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61479F">
      <w:pPr>
        <w:pBdr>
          <w:bottom w:val="single" w:sz="4" w:space="9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DF" w:rsidRDefault="00F5369F" w:rsidP="00F5369F">
      <w:pPr>
        <w:jc w:val="right"/>
        <w:rPr>
          <w:rFonts w:ascii="Arial Black" w:hAnsi="Arial Black"/>
          <w:caps/>
          <w:sz w:val="15"/>
        </w:rPr>
      </w:pPr>
      <w:r w:rsidRPr="000D1DD6">
        <w:rPr>
          <w:rFonts w:ascii="Arial Black" w:hAnsi="Arial Black"/>
          <w:caps/>
          <w:sz w:val="15"/>
        </w:rPr>
        <w:t>WIPO/GRTKF/IC/4</w:t>
      </w:r>
      <w:r>
        <w:rPr>
          <w:rFonts w:ascii="Arial Black" w:hAnsi="Arial Black"/>
          <w:caps/>
          <w:sz w:val="15"/>
        </w:rPr>
        <w:t>2/INF/9</w:t>
      </w:r>
    </w:p>
    <w:p w:rsidR="008B2CC1" w:rsidRPr="005D6F73" w:rsidRDefault="00B1090C" w:rsidP="0040540C">
      <w:pPr>
        <w:jc w:val="right"/>
        <w:rPr>
          <w:lang w:val="fr-FR"/>
        </w:rPr>
      </w:pPr>
      <w:r w:rsidRPr="005D6F73">
        <w:rPr>
          <w:rFonts w:ascii="Arial Black" w:hAnsi="Arial Black"/>
          <w:caps/>
          <w:sz w:val="15"/>
          <w:lang w:val="fr-FR"/>
        </w:rPr>
        <w:t>ORIGINAL</w:t>
      </w:r>
      <w:r w:rsidR="005D6F73">
        <w:rPr>
          <w:rFonts w:ascii="Arial Black" w:hAnsi="Arial Black"/>
          <w:caps/>
          <w:sz w:val="15"/>
          <w:lang w:val="fr-FR"/>
        </w:rPr>
        <w:t> :</w:t>
      </w:r>
      <w:r w:rsidR="002956DE" w:rsidRPr="005D6F73">
        <w:rPr>
          <w:rFonts w:ascii="Arial Black" w:hAnsi="Arial Black"/>
          <w:caps/>
          <w:sz w:val="15"/>
          <w:lang w:val="fr-FR"/>
        </w:rPr>
        <w:t xml:space="preserve"> </w:t>
      </w:r>
      <w:bookmarkStart w:id="0" w:name="Original"/>
      <w:r w:rsidR="00FC4872" w:rsidRPr="005D6F73">
        <w:rPr>
          <w:rFonts w:ascii="Arial Black" w:hAnsi="Arial Black"/>
          <w:caps/>
          <w:sz w:val="15"/>
          <w:lang w:val="fr-FR"/>
        </w:rPr>
        <w:t>anglais</w:t>
      </w:r>
    </w:p>
    <w:bookmarkEnd w:id="0"/>
    <w:p w:rsidR="008B2CC1" w:rsidRPr="005D6F73" w:rsidRDefault="00B1090C" w:rsidP="00B1090C">
      <w:pPr>
        <w:spacing w:after="1200"/>
        <w:jc w:val="right"/>
        <w:rPr>
          <w:lang w:val="fr-FR"/>
        </w:rPr>
      </w:pPr>
      <w:r w:rsidRPr="005D6F73">
        <w:rPr>
          <w:rFonts w:ascii="Arial Black" w:hAnsi="Arial Black"/>
          <w:caps/>
          <w:sz w:val="15"/>
          <w:lang w:val="fr-FR"/>
        </w:rPr>
        <w:t>DATE</w:t>
      </w:r>
      <w:r w:rsidR="005D6F73">
        <w:rPr>
          <w:rFonts w:ascii="Arial Black" w:hAnsi="Arial Black"/>
          <w:caps/>
          <w:sz w:val="15"/>
          <w:lang w:val="fr-FR"/>
        </w:rPr>
        <w:t> :</w:t>
      </w:r>
      <w:r w:rsidR="002956DE" w:rsidRPr="005D6F73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Date"/>
      <w:r w:rsidR="00FC4872" w:rsidRPr="005D6F73">
        <w:rPr>
          <w:rFonts w:ascii="Arial Black" w:hAnsi="Arial Black"/>
          <w:caps/>
          <w:sz w:val="15"/>
          <w:lang w:val="fr-FR"/>
        </w:rPr>
        <w:t>2</w:t>
      </w:r>
      <w:r w:rsidR="009802DF" w:rsidRPr="005D6F73">
        <w:rPr>
          <w:rFonts w:ascii="Arial Black" w:hAnsi="Arial Black"/>
          <w:caps/>
          <w:sz w:val="15"/>
          <w:lang w:val="fr-FR"/>
        </w:rPr>
        <w:t>8 janvier 20</w:t>
      </w:r>
      <w:r w:rsidR="00FC4872" w:rsidRPr="005D6F73">
        <w:rPr>
          <w:rFonts w:ascii="Arial Black" w:hAnsi="Arial Black"/>
          <w:caps/>
          <w:sz w:val="15"/>
          <w:lang w:val="fr-FR"/>
        </w:rPr>
        <w:t>22</w:t>
      </w:r>
    </w:p>
    <w:bookmarkEnd w:id="1"/>
    <w:p w:rsidR="003845C1" w:rsidRPr="00DD0286" w:rsidRDefault="008827FC" w:rsidP="00F127F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</w:rPr>
      </w:pPr>
      <w:r w:rsidRPr="00DD0286">
        <w:rPr>
          <w:rFonts w:ascii="Arial" w:hAnsi="Arial"/>
          <w:b/>
          <w:spacing w:val="0"/>
          <w:sz w:val="28"/>
          <w:lang w:val="fr-FR"/>
        </w:rPr>
        <w:t>Comité intergouvernemental de la propriété intellectuelle relative aux ressources géné</w:t>
      </w:r>
      <w:bookmarkStart w:id="2" w:name="_GoBack"/>
      <w:bookmarkEnd w:id="2"/>
      <w:r w:rsidRPr="00DD0286">
        <w:rPr>
          <w:rFonts w:ascii="Arial" w:hAnsi="Arial"/>
          <w:b/>
          <w:spacing w:val="0"/>
          <w:sz w:val="28"/>
          <w:lang w:val="fr-FR"/>
        </w:rPr>
        <w:t>tiques, aux savoirs traditionnels et au folklore</w:t>
      </w:r>
    </w:p>
    <w:p w:rsidR="00F50CA1" w:rsidRPr="003845C1" w:rsidRDefault="00F50CA1" w:rsidP="00F50CA1">
      <w:pPr>
        <w:rPr>
          <w:b/>
          <w:sz w:val="24"/>
          <w:szCs w:val="24"/>
        </w:rPr>
      </w:pPr>
      <w:bookmarkStart w:id="3" w:name="TitleOfDoc"/>
      <w:r>
        <w:rPr>
          <w:b/>
          <w:sz w:val="24"/>
          <w:szCs w:val="24"/>
        </w:rPr>
        <w:t>Quarante</w:t>
      </w:r>
      <w:r w:rsidR="00B82461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deux</w:t>
      </w:r>
      <w:r w:rsidR="005D6F73">
        <w:rPr>
          <w:b/>
          <w:sz w:val="24"/>
          <w:szCs w:val="24"/>
        </w:rPr>
        <w:t>ième session</w:t>
      </w:r>
    </w:p>
    <w:p w:rsidR="00F50CA1" w:rsidRDefault="00F50CA1" w:rsidP="00B82461">
      <w:pPr>
        <w:spacing w:after="960"/>
        <w:rPr>
          <w:b/>
          <w:sz w:val="24"/>
          <w:szCs w:val="24"/>
        </w:rPr>
      </w:pPr>
      <w:r>
        <w:rPr>
          <w:b/>
          <w:sz w:val="24"/>
          <w:szCs w:val="24"/>
        </w:rPr>
        <w:t>Genève, 2</w:t>
      </w:r>
      <w:r w:rsidR="009802DF">
        <w:rPr>
          <w:b/>
          <w:sz w:val="24"/>
          <w:szCs w:val="24"/>
        </w:rPr>
        <w:t>8 février</w:t>
      </w:r>
      <w:r>
        <w:rPr>
          <w:b/>
          <w:sz w:val="24"/>
          <w:szCs w:val="24"/>
        </w:rPr>
        <w:t xml:space="preserve"> – </w:t>
      </w:r>
      <w:r w:rsidR="009802DF">
        <w:rPr>
          <w:b/>
          <w:sz w:val="24"/>
          <w:szCs w:val="24"/>
        </w:rPr>
        <w:t>4 mars 20</w:t>
      </w:r>
      <w:r>
        <w:rPr>
          <w:b/>
          <w:sz w:val="24"/>
          <w:szCs w:val="24"/>
        </w:rPr>
        <w:t>22</w:t>
      </w:r>
    </w:p>
    <w:p w:rsidR="00FC4872" w:rsidRPr="00A90E69" w:rsidRDefault="00FC4872" w:rsidP="00B82461">
      <w:pPr>
        <w:spacing w:after="360"/>
        <w:rPr>
          <w:caps/>
          <w:sz w:val="24"/>
        </w:rPr>
      </w:pPr>
      <w:r w:rsidRPr="00A90E69">
        <w:rPr>
          <w:caps/>
          <w:sz w:val="24"/>
        </w:rPr>
        <w:t>Rapport sur la compilation d</w:t>
      </w:r>
      <w:r w:rsidR="005D6F73">
        <w:rPr>
          <w:caps/>
          <w:sz w:val="24"/>
        </w:rPr>
        <w:t>’</w:t>
      </w:r>
      <w:r w:rsidRPr="00A90E69">
        <w:rPr>
          <w:caps/>
          <w:sz w:val="24"/>
        </w:rPr>
        <w:t xml:space="preserve">informations relatives aux régimes </w:t>
      </w:r>
      <w:r w:rsidRPr="00FF64CA">
        <w:rPr>
          <w:i/>
          <w:caps/>
          <w:sz w:val="24"/>
        </w:rPr>
        <w:t>sui</w:t>
      </w:r>
      <w:r w:rsidR="0069380F" w:rsidRPr="0069380F">
        <w:rPr>
          <w:i/>
          <w:caps/>
          <w:sz w:val="24"/>
        </w:rPr>
        <w:t> </w:t>
      </w:r>
      <w:r w:rsidRPr="00FF64CA">
        <w:rPr>
          <w:i/>
          <w:caps/>
          <w:sz w:val="24"/>
        </w:rPr>
        <w:t>generis</w:t>
      </w:r>
      <w:r w:rsidRPr="00A90E69">
        <w:rPr>
          <w:caps/>
          <w:sz w:val="24"/>
        </w:rPr>
        <w:t xml:space="preserve"> nationaux et régionaux de protection des savoirs traditionnels et des expressions culturelles traditionnelles par la propriété intellectuelle</w:t>
      </w:r>
    </w:p>
    <w:p w:rsidR="00FC4872" w:rsidRPr="00A90E69" w:rsidRDefault="00FC4872" w:rsidP="00B82461">
      <w:pPr>
        <w:spacing w:after="1040"/>
        <w:rPr>
          <w:i/>
        </w:rPr>
      </w:pPr>
      <w:r w:rsidRPr="00A90E69">
        <w:rPr>
          <w:i/>
        </w:rPr>
        <w:t>Document établi par le Secrétariat</w:t>
      </w:r>
    </w:p>
    <w:p w:rsidR="00F87A6F" w:rsidRDefault="00FC4872" w:rsidP="00B82461">
      <w:pPr>
        <w:pStyle w:val="ONUMFS"/>
      </w:pPr>
      <w:r w:rsidRPr="00A90E69">
        <w:t xml:space="preserve">En </w:t>
      </w:r>
      <w:r w:rsidR="009802DF" w:rsidRPr="00A90E69">
        <w:t>octobre</w:t>
      </w:r>
      <w:r w:rsidR="009802DF">
        <w:t> </w:t>
      </w:r>
      <w:r w:rsidR="009802DF" w:rsidRPr="00A90E69">
        <w:t>20</w:t>
      </w:r>
      <w:r w:rsidRPr="00A90E69">
        <w:t>19, l</w:t>
      </w:r>
      <w:r w:rsidR="005D6F73">
        <w:t>’</w:t>
      </w:r>
      <w:r w:rsidRPr="00A90E69">
        <w:t>Assemblée générale de l</w:t>
      </w:r>
      <w:r w:rsidR="005D6F73">
        <w:t>’</w:t>
      </w:r>
      <w:r w:rsidRPr="00A90E69">
        <w:t>OMPI a renouvelé le mandat du Comité intergouvernemental de la propriété intellectuelle relative aux ressources génétiques, aux savoirs traditionnels et au folklore (</w:t>
      </w:r>
      <w:r w:rsidR="00020085">
        <w:t>ci</w:t>
      </w:r>
      <w:r w:rsidR="00B82461">
        <w:noBreakHyphen/>
      </w:r>
      <w:r w:rsidR="00020085">
        <w:t xml:space="preserve">après </w:t>
      </w:r>
      <w:r w:rsidRPr="00A90E69">
        <w:t xml:space="preserve">le </w:t>
      </w:r>
      <w:r w:rsidR="009802DF">
        <w:t>“</w:t>
      </w:r>
      <w:r w:rsidRPr="00A90E69">
        <w:t>comité</w:t>
      </w:r>
      <w:r w:rsidR="009802DF">
        <w:t>”</w:t>
      </w:r>
      <w:r w:rsidRPr="00A90E69">
        <w:t>) pour l</w:t>
      </w:r>
      <w:r w:rsidR="005D6F73">
        <w:t>’</w:t>
      </w:r>
      <w:r w:rsidRPr="00A90E69">
        <w:t xml:space="preserve">exercice </w:t>
      </w:r>
      <w:r w:rsidR="009802DF" w:rsidRPr="00A90E69">
        <w:t>biennal</w:t>
      </w:r>
      <w:r w:rsidR="009802DF">
        <w:t> </w:t>
      </w:r>
      <w:r w:rsidR="009802DF" w:rsidRPr="00A90E69">
        <w:t>2020</w:t>
      </w:r>
      <w:r w:rsidR="00B82461">
        <w:noBreakHyphen/>
      </w:r>
      <w:r w:rsidRPr="00A90E69">
        <w:t xml:space="preserve">2021.  Dans le cadre de son mandat, le comité a prié le Secrétariat de continuer de recueillir, compiler et mettre en ligne des informations sur les régimes </w:t>
      </w:r>
      <w:r w:rsidRPr="00FF64CA">
        <w:rPr>
          <w:i/>
        </w:rPr>
        <w:t>sui</w:t>
      </w:r>
      <w:r w:rsidR="0069380F" w:rsidRPr="0069380F">
        <w:rPr>
          <w:i/>
        </w:rPr>
        <w:t> </w:t>
      </w:r>
      <w:r w:rsidRPr="00FF64CA">
        <w:rPr>
          <w:i/>
        </w:rPr>
        <w:t>generis</w:t>
      </w:r>
      <w:r w:rsidRPr="00A90E69">
        <w:t xml:space="preserve"> nationaux et régionaux de protection des savoirs traditionnels et des expressions culturelles traditionnelles par la propriété intellectuelle.</w:t>
      </w:r>
    </w:p>
    <w:p w:rsidR="009802DF" w:rsidRDefault="00F87A6F" w:rsidP="00B82461">
      <w:pPr>
        <w:pStyle w:val="ONUMFS"/>
      </w:pPr>
      <w:r w:rsidRPr="00F87A6F">
        <w:t xml:space="preserve">Conformément au mandat qui lui a été confié par le </w:t>
      </w:r>
      <w:r w:rsidR="00FC4872" w:rsidRPr="00F87A6F">
        <w:t>comité, le Secrétariat a établi une compilation préliminaire en ligne d</w:t>
      </w:r>
      <w:r w:rsidR="005D6F73">
        <w:t>’</w:t>
      </w:r>
      <w:r w:rsidR="00FC4872" w:rsidRPr="00F87A6F">
        <w:t xml:space="preserve">informations relatives aux régimes </w:t>
      </w:r>
      <w:r w:rsidR="00FC4872" w:rsidRPr="00FF64CA">
        <w:rPr>
          <w:i/>
        </w:rPr>
        <w:t>sui</w:t>
      </w:r>
      <w:r w:rsidR="0069380F" w:rsidRPr="0069380F">
        <w:rPr>
          <w:i/>
        </w:rPr>
        <w:t> </w:t>
      </w:r>
      <w:r w:rsidR="00FC4872" w:rsidRPr="00FF64CA">
        <w:rPr>
          <w:i/>
        </w:rPr>
        <w:t>generis</w:t>
      </w:r>
      <w:r w:rsidR="00FC4872" w:rsidRPr="00F87A6F">
        <w:t xml:space="preserve"> nationaux et régionaux de protection des savoirs traditionnels et des expressions culturelles traditionnelles par la propriété intellectuelle.</w:t>
      </w:r>
    </w:p>
    <w:p w:rsidR="00FC4872" w:rsidRPr="00650F17" w:rsidRDefault="00FC4872" w:rsidP="00B82461">
      <w:pPr>
        <w:pStyle w:val="ONUMFS"/>
      </w:pPr>
      <w:r w:rsidRPr="00650F17">
        <w:t>Aux fins de l</w:t>
      </w:r>
      <w:r w:rsidR="005D6F73">
        <w:t>’</w:t>
      </w:r>
      <w:r w:rsidRPr="00650F17">
        <w:t xml:space="preserve">élaboration de </w:t>
      </w:r>
      <w:r w:rsidR="005606B6">
        <w:t>cette</w:t>
      </w:r>
      <w:r w:rsidRPr="00650F17">
        <w:t xml:space="preserve"> compilation, le terme </w:t>
      </w:r>
      <w:r w:rsidR="009802DF">
        <w:t>“</w:t>
      </w:r>
      <w:r w:rsidR="009802DF" w:rsidRPr="00650F17">
        <w:t>r</w:t>
      </w:r>
      <w:r w:rsidRPr="00650F17">
        <w:t xml:space="preserve">égimes </w:t>
      </w:r>
      <w:r w:rsidRPr="00FF64CA">
        <w:rPr>
          <w:i/>
        </w:rPr>
        <w:t>sui</w:t>
      </w:r>
      <w:r w:rsidR="0069380F" w:rsidRPr="0069380F">
        <w:rPr>
          <w:i/>
        </w:rPr>
        <w:t> </w:t>
      </w:r>
      <w:r w:rsidRPr="00FF64CA">
        <w:rPr>
          <w:i/>
        </w:rPr>
        <w:t>generi</w:t>
      </w:r>
      <w:r w:rsidR="009802DF" w:rsidRPr="00FF64CA">
        <w:rPr>
          <w:i/>
        </w:rPr>
        <w:t>s</w:t>
      </w:r>
      <w:r w:rsidR="009802DF">
        <w:t>”</w:t>
      </w:r>
      <w:r w:rsidRPr="00650F17">
        <w:t xml:space="preserve"> s</w:t>
      </w:r>
      <w:r w:rsidR="005D6F73">
        <w:t>’</w:t>
      </w:r>
      <w:r w:rsidRPr="00650F17">
        <w:t>entend des mécanismes juridiques offr</w:t>
      </w:r>
      <w:r w:rsidR="004B66FE" w:rsidRPr="00650F17">
        <w:t>a</w:t>
      </w:r>
      <w:r w:rsidRPr="00650F17">
        <w:t>nt aux peuples autochtones et aux communautés locales</w:t>
      </w:r>
      <w:r w:rsidR="004B66FE" w:rsidRPr="00650F17">
        <w:t>,</w:t>
      </w:r>
      <w:r w:rsidRPr="00650F17">
        <w:t xml:space="preserve"> </w:t>
      </w:r>
      <w:r w:rsidR="004B66FE" w:rsidRPr="00650F17">
        <w:t>ainsi qu</w:t>
      </w:r>
      <w:r w:rsidR="005D6F73">
        <w:t>’</w:t>
      </w:r>
      <w:r w:rsidRPr="00650F17">
        <w:t>à d</w:t>
      </w:r>
      <w:r w:rsidR="005D6F73">
        <w:t>’</w:t>
      </w:r>
      <w:r w:rsidRPr="00650F17">
        <w:t>autres bénéficiaires</w:t>
      </w:r>
      <w:r w:rsidR="004B66FE" w:rsidRPr="00650F17">
        <w:t>,</w:t>
      </w:r>
      <w:r w:rsidRPr="00650F17">
        <w:t xml:space="preserve"> une protection </w:t>
      </w:r>
      <w:r w:rsidR="004B66FE" w:rsidRPr="00650F17">
        <w:t>de leurs savoirs traditionnels ou de leurs expressions culturelles traditionnelles par la</w:t>
      </w:r>
      <w:r w:rsidRPr="00650F17">
        <w:t xml:space="preserve"> propriété intellectuelle ou une protection analogue contre l</w:t>
      </w:r>
      <w:r w:rsidR="004B66FE" w:rsidRPr="00650F17">
        <w:t xml:space="preserve">es </w:t>
      </w:r>
      <w:r w:rsidRPr="00650F17">
        <w:t>utilisation</w:t>
      </w:r>
      <w:r w:rsidR="004B66FE" w:rsidRPr="00650F17">
        <w:t>s</w:t>
      </w:r>
      <w:r w:rsidRPr="00650F17">
        <w:t xml:space="preserve"> abusive</w:t>
      </w:r>
      <w:r w:rsidR="004B66FE" w:rsidRPr="00650F17">
        <w:t>s</w:t>
      </w:r>
      <w:r w:rsidRPr="00650F17">
        <w:t xml:space="preserve"> ou l</w:t>
      </w:r>
      <w:r w:rsidR="004B66FE" w:rsidRPr="00650F17">
        <w:t xml:space="preserve">es </w:t>
      </w:r>
      <w:r w:rsidRPr="00650F17">
        <w:t>appropriation</w:t>
      </w:r>
      <w:r w:rsidR="004B66FE" w:rsidRPr="00650F17">
        <w:t>s</w:t>
      </w:r>
      <w:r w:rsidRPr="00650F17">
        <w:t xml:space="preserve"> abusive</w:t>
      </w:r>
      <w:r w:rsidR="004B66FE" w:rsidRPr="00650F17">
        <w:t>s</w:t>
      </w:r>
      <w:r w:rsidRPr="00650F17">
        <w:t>, ou contre les utilisations dénaturée</w:t>
      </w:r>
      <w:r w:rsidR="00AB1A6A" w:rsidRPr="00650F17">
        <w:t>s</w:t>
      </w:r>
      <w:r w:rsidRPr="00650F17">
        <w:t xml:space="preserve"> ou offensante</w:t>
      </w:r>
      <w:r w:rsidR="00AB1A6A" w:rsidRPr="00650F17">
        <w:t>s</w:t>
      </w:r>
      <w:r w:rsidRPr="00650F17">
        <w:t xml:space="preserve"> sur le plan cultur</w:t>
      </w:r>
      <w:r w:rsidR="00B82461" w:rsidRPr="00650F17">
        <w:t>el</w:t>
      </w:r>
      <w:r w:rsidR="00B82461">
        <w:t xml:space="preserve">.  </w:t>
      </w:r>
      <w:r w:rsidR="00B82461" w:rsidRPr="00650F17">
        <w:t>Ce</w:t>
      </w:r>
      <w:r w:rsidRPr="00650F17">
        <w:t xml:space="preserve">s mécanismes peuvent </w:t>
      </w:r>
      <w:r w:rsidR="00A04215" w:rsidRPr="00650F17">
        <w:t>relever</w:t>
      </w:r>
      <w:r w:rsidRPr="00650F17">
        <w:t xml:space="preserve"> de systèmes de propriété intellectuelle dont les </w:t>
      </w:r>
      <w:r w:rsidR="00B4619E" w:rsidRPr="00650F17">
        <w:t>éléments</w:t>
      </w:r>
      <w:r w:rsidR="00650F17" w:rsidRPr="00650F17">
        <w:t xml:space="preserve"> ont été modifié</w:t>
      </w:r>
      <w:r w:rsidRPr="00650F17">
        <w:t xml:space="preserve">s pour </w:t>
      </w:r>
      <w:r w:rsidR="00642BEA" w:rsidRPr="00650F17">
        <w:t>prendre en considération les caractéristiques des savoirs traditionnels et expressions culturelles traditionnelles</w:t>
      </w:r>
      <w:r w:rsidRPr="00650F17">
        <w:t xml:space="preserve"> ou pour créer des obligations de divulgation </w:t>
      </w:r>
      <w:r w:rsidR="000D241B" w:rsidRPr="00650F17">
        <w:t>propres</w:t>
      </w:r>
      <w:r w:rsidRPr="00650F17">
        <w:t xml:space="preserve"> aux savoirs traditionnels, </w:t>
      </w:r>
      <w:r w:rsidR="00CE50B4" w:rsidRPr="00650F17">
        <w:t>ou</w:t>
      </w:r>
      <w:r w:rsidRPr="00650F17">
        <w:t xml:space="preserve"> de systèmes </w:t>
      </w:r>
      <w:r w:rsidR="00B579E8">
        <w:t>qui ne sont pas</w:t>
      </w:r>
      <w:r w:rsidRPr="00650F17">
        <w:t xml:space="preserve"> </w:t>
      </w:r>
      <w:r w:rsidRPr="00650F17">
        <w:lastRenderedPageBreak/>
        <w:t>liés à la propri</w:t>
      </w:r>
      <w:r w:rsidR="005E7CA5">
        <w:t>été intellectuelle (par exemple</w:t>
      </w:r>
      <w:r w:rsidRPr="00650F17">
        <w:t xml:space="preserve"> les lois sur l</w:t>
      </w:r>
      <w:r w:rsidR="005D6F73">
        <w:t>’</w:t>
      </w:r>
      <w:r w:rsidRPr="00650F17">
        <w:t>accès et le partage des avantages, les droits des peuples autochtones).</w:t>
      </w:r>
    </w:p>
    <w:p w:rsidR="00FC4872" w:rsidRPr="005F387D" w:rsidRDefault="00E331B5" w:rsidP="00B82461">
      <w:pPr>
        <w:pStyle w:val="ONUMFS"/>
      </w:pPr>
      <w:r>
        <w:t>L</w:t>
      </w:r>
      <w:r w:rsidR="00FC4872" w:rsidRPr="005F387D">
        <w:t>a version préliminaire</w:t>
      </w:r>
      <w:r>
        <w:t xml:space="preserve"> de</w:t>
      </w:r>
      <w:r w:rsidR="00FC4872" w:rsidRPr="005F387D">
        <w:t xml:space="preserve"> la compilation en ligne </w:t>
      </w:r>
      <w:r>
        <w:t>présente</w:t>
      </w:r>
      <w:r w:rsidR="00FC4872" w:rsidRPr="005F387D">
        <w:t xml:space="preserve"> des informations factuelles sur les régimes </w:t>
      </w:r>
      <w:r w:rsidR="00FC4872" w:rsidRPr="00FF64CA">
        <w:rPr>
          <w:i/>
        </w:rPr>
        <w:t>sui</w:t>
      </w:r>
      <w:r w:rsidR="0069380F" w:rsidRPr="0069380F">
        <w:rPr>
          <w:i/>
        </w:rPr>
        <w:t> </w:t>
      </w:r>
      <w:r w:rsidR="00FC4872" w:rsidRPr="00FF64CA">
        <w:rPr>
          <w:i/>
        </w:rPr>
        <w:t>generis</w:t>
      </w:r>
      <w:r w:rsidR="00FC4872" w:rsidRPr="005F387D">
        <w:t xml:space="preserve"> régionaux et nationaux existants dans 24</w:t>
      </w:r>
      <w:r w:rsidR="00B82461">
        <w:t> </w:t>
      </w:r>
      <w:r w:rsidR="00FC4872" w:rsidRPr="005F387D">
        <w:t>États membr</w:t>
      </w:r>
      <w:r w:rsidR="00B82461" w:rsidRPr="005F387D">
        <w:t>es</w:t>
      </w:r>
      <w:r w:rsidR="00B82461">
        <w:t xml:space="preserve">.  </w:t>
      </w:r>
      <w:r w:rsidR="00B82461" w:rsidRPr="005F387D">
        <w:t>Ce</w:t>
      </w:r>
      <w:r w:rsidR="00FC4872" w:rsidRPr="005F387D">
        <w:t xml:space="preserve">s informations sont </w:t>
      </w:r>
      <w:r w:rsidR="00E74DA0">
        <w:t>structurées en</w:t>
      </w:r>
      <w:r w:rsidR="00CE50B4" w:rsidRPr="005F387D">
        <w:t xml:space="preserve"> cinq</w:t>
      </w:r>
      <w:r w:rsidR="0069380F">
        <w:t> </w:t>
      </w:r>
      <w:r w:rsidR="00CE50B4" w:rsidRPr="005F387D">
        <w:t>catégories</w:t>
      </w:r>
      <w:r w:rsidR="005D6F73">
        <w:t> :</w:t>
      </w:r>
    </w:p>
    <w:p w:rsidR="00FC4872" w:rsidRPr="00A90E69" w:rsidRDefault="00FC4872" w:rsidP="00B82461">
      <w:pPr>
        <w:pStyle w:val="ListParagraph"/>
        <w:numPr>
          <w:ilvl w:val="0"/>
          <w:numId w:val="8"/>
        </w:numPr>
        <w:ind w:left="1134" w:hanging="567"/>
        <w:rPr>
          <w:lang w:val="fr-CH"/>
        </w:rPr>
      </w:pPr>
      <w:r w:rsidRPr="00A90E69">
        <w:rPr>
          <w:lang w:val="fr-CH"/>
        </w:rPr>
        <w:t>Nom de l</w:t>
      </w:r>
      <w:r w:rsidR="005D6F73">
        <w:rPr>
          <w:lang w:val="fr-CH"/>
        </w:rPr>
        <w:t>’</w:t>
      </w:r>
      <w:r w:rsidRPr="00A90E69">
        <w:rPr>
          <w:lang w:val="fr-CH"/>
        </w:rPr>
        <w:t>État membre ou du groupe régional dans lequel le régime a été adopté;</w:t>
      </w:r>
    </w:p>
    <w:p w:rsidR="00FC4872" w:rsidRPr="00A90E69" w:rsidRDefault="006A1152" w:rsidP="00B82461">
      <w:pPr>
        <w:pStyle w:val="ListParagraph"/>
        <w:numPr>
          <w:ilvl w:val="0"/>
          <w:numId w:val="8"/>
        </w:numPr>
        <w:ind w:left="1134" w:hanging="567"/>
        <w:rPr>
          <w:lang w:val="fr-CH"/>
        </w:rPr>
      </w:pPr>
      <w:r>
        <w:rPr>
          <w:lang w:val="fr-CH"/>
        </w:rPr>
        <w:t>Intitulé</w:t>
      </w:r>
      <w:r w:rsidR="00FC4872" w:rsidRPr="00A90E69">
        <w:rPr>
          <w:lang w:val="fr-CH"/>
        </w:rPr>
        <w:t xml:space="preserve"> </w:t>
      </w:r>
      <w:r w:rsidRPr="00A90E69">
        <w:rPr>
          <w:lang w:val="fr-CH"/>
        </w:rPr>
        <w:t xml:space="preserve">et date </w:t>
      </w:r>
      <w:r>
        <w:rPr>
          <w:lang w:val="fr-CH"/>
        </w:rPr>
        <w:t>d</w:t>
      </w:r>
      <w:r w:rsidR="005D6F73">
        <w:rPr>
          <w:lang w:val="fr-CH"/>
        </w:rPr>
        <w:t>’</w:t>
      </w:r>
      <w:r>
        <w:rPr>
          <w:lang w:val="fr-CH"/>
        </w:rPr>
        <w:t xml:space="preserve">adoption </w:t>
      </w:r>
      <w:r w:rsidR="00FC4872" w:rsidRPr="00A90E69">
        <w:rPr>
          <w:lang w:val="fr-CH"/>
        </w:rPr>
        <w:t>des instruments juridiques form</w:t>
      </w:r>
      <w:r w:rsidR="005E7CA5">
        <w:rPr>
          <w:lang w:val="fr-CH"/>
        </w:rPr>
        <w:t>a</w:t>
      </w:r>
      <w:r w:rsidR="00FC4872" w:rsidRPr="00A90E69">
        <w:rPr>
          <w:lang w:val="fr-CH"/>
        </w:rPr>
        <w:t>nt cha</w:t>
      </w:r>
      <w:r w:rsidR="00935243">
        <w:rPr>
          <w:lang w:val="fr-CH"/>
        </w:rPr>
        <w:t>que régime</w:t>
      </w:r>
      <w:r w:rsidR="00FC4872" w:rsidRPr="00A90E69">
        <w:rPr>
          <w:lang w:val="fr-CH"/>
        </w:rPr>
        <w:t xml:space="preserve"> </w:t>
      </w:r>
      <w:r w:rsidR="00FC4872" w:rsidRPr="00FF64CA">
        <w:rPr>
          <w:i/>
          <w:lang w:val="fr-CH"/>
        </w:rPr>
        <w:t>sui</w:t>
      </w:r>
      <w:r w:rsidR="0069380F" w:rsidRPr="0069380F">
        <w:rPr>
          <w:i/>
          <w:lang w:val="fr-CH"/>
        </w:rPr>
        <w:t> </w:t>
      </w:r>
      <w:r w:rsidR="00FC4872" w:rsidRPr="00FF64CA">
        <w:rPr>
          <w:i/>
          <w:lang w:val="fr-CH"/>
        </w:rPr>
        <w:t>generis</w:t>
      </w:r>
      <w:r w:rsidR="00FC4872" w:rsidRPr="00A90E69">
        <w:rPr>
          <w:lang w:val="fr-CH"/>
        </w:rPr>
        <w:t>;</w:t>
      </w:r>
    </w:p>
    <w:p w:rsidR="00FC4872" w:rsidRPr="00A90E69" w:rsidRDefault="006A1152" w:rsidP="00B82461">
      <w:pPr>
        <w:pStyle w:val="ListParagraph"/>
        <w:numPr>
          <w:ilvl w:val="0"/>
          <w:numId w:val="8"/>
        </w:numPr>
        <w:ind w:left="1134" w:hanging="567"/>
        <w:rPr>
          <w:lang w:val="fr-CH"/>
        </w:rPr>
      </w:pPr>
      <w:r>
        <w:rPr>
          <w:lang w:val="fr-CH"/>
        </w:rPr>
        <w:t>Traitement ou non</w:t>
      </w:r>
      <w:r w:rsidR="00FC4872" w:rsidRPr="00A90E69">
        <w:rPr>
          <w:lang w:val="fr-CH"/>
        </w:rPr>
        <w:t xml:space="preserve"> </w:t>
      </w:r>
      <w:r w:rsidR="00935243">
        <w:rPr>
          <w:lang w:val="fr-CH"/>
        </w:rPr>
        <w:t xml:space="preserve">des </w:t>
      </w:r>
      <w:r w:rsidR="00FC4872" w:rsidRPr="00A90E69">
        <w:rPr>
          <w:lang w:val="fr-CH"/>
        </w:rPr>
        <w:t>savoirs traditionnels;</w:t>
      </w:r>
    </w:p>
    <w:p w:rsidR="00FC4872" w:rsidRPr="00A90E69" w:rsidRDefault="006A1152" w:rsidP="00B82461">
      <w:pPr>
        <w:pStyle w:val="ListParagraph"/>
        <w:numPr>
          <w:ilvl w:val="0"/>
          <w:numId w:val="8"/>
        </w:numPr>
        <w:ind w:left="1134" w:hanging="567"/>
        <w:rPr>
          <w:lang w:val="fr-CH"/>
        </w:rPr>
      </w:pPr>
      <w:r>
        <w:rPr>
          <w:lang w:val="fr-CH"/>
        </w:rPr>
        <w:t>Traitement ou non</w:t>
      </w:r>
      <w:r w:rsidRPr="00A90E69">
        <w:rPr>
          <w:lang w:val="fr-CH"/>
        </w:rPr>
        <w:t xml:space="preserve"> </w:t>
      </w:r>
      <w:r w:rsidR="00FC4872" w:rsidRPr="00A90E69">
        <w:rPr>
          <w:lang w:val="fr-CH"/>
        </w:rPr>
        <w:t xml:space="preserve">des expressions culturelles </w:t>
      </w:r>
      <w:proofErr w:type="gramStart"/>
      <w:r w:rsidR="00FC4872" w:rsidRPr="00A90E69">
        <w:rPr>
          <w:lang w:val="fr-CH"/>
        </w:rPr>
        <w:t>traditionnelles</w:t>
      </w:r>
      <w:r w:rsidR="0069380F">
        <w:rPr>
          <w:lang w:val="fr-CH"/>
        </w:rPr>
        <w:t xml:space="preserve">; </w:t>
      </w:r>
      <w:r w:rsidR="00FC4872" w:rsidRPr="00A90E69">
        <w:rPr>
          <w:lang w:val="fr-CH"/>
        </w:rPr>
        <w:t xml:space="preserve"> et</w:t>
      </w:r>
      <w:proofErr w:type="gramEnd"/>
    </w:p>
    <w:p w:rsidR="009802DF" w:rsidRDefault="00D81CEC" w:rsidP="00B82461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fr-CH"/>
        </w:rPr>
      </w:pPr>
      <w:r>
        <w:rPr>
          <w:lang w:val="fr-CH"/>
        </w:rPr>
        <w:t>Informations relatives aux</w:t>
      </w:r>
      <w:r w:rsidR="00FC4872" w:rsidRPr="00A90E69">
        <w:rPr>
          <w:lang w:val="fr-CH"/>
        </w:rPr>
        <w:t xml:space="preserve"> questions traitées par </w:t>
      </w:r>
      <w:r w:rsidR="008D6BFA">
        <w:rPr>
          <w:lang w:val="fr-CH"/>
        </w:rPr>
        <w:t>chaque</w:t>
      </w:r>
      <w:r w:rsidR="00FC4872" w:rsidRPr="00A90E69">
        <w:rPr>
          <w:lang w:val="fr-CH"/>
        </w:rPr>
        <w:t xml:space="preserve"> instrument juridique constitu</w:t>
      </w:r>
      <w:r w:rsidR="008D6BFA">
        <w:rPr>
          <w:lang w:val="fr-CH"/>
        </w:rPr>
        <w:t>a</w:t>
      </w:r>
      <w:r w:rsidR="00FC4872" w:rsidRPr="00A90E69">
        <w:rPr>
          <w:lang w:val="fr-CH"/>
        </w:rPr>
        <w:t xml:space="preserve">nt </w:t>
      </w:r>
      <w:r w:rsidR="008D6BFA">
        <w:rPr>
          <w:lang w:val="fr-CH"/>
        </w:rPr>
        <w:t>les différents</w:t>
      </w:r>
      <w:r w:rsidR="00FC4872" w:rsidRPr="00A90E69">
        <w:rPr>
          <w:lang w:val="fr-CH"/>
        </w:rPr>
        <w:t xml:space="preserve"> </w:t>
      </w:r>
      <w:r w:rsidR="00276DAC">
        <w:rPr>
          <w:lang w:val="fr-CH"/>
        </w:rPr>
        <w:t xml:space="preserve">régimes </w:t>
      </w:r>
      <w:r w:rsidR="00FC4872" w:rsidRPr="00FF64CA">
        <w:rPr>
          <w:i/>
          <w:lang w:val="fr-CH"/>
        </w:rPr>
        <w:t>sui</w:t>
      </w:r>
      <w:r w:rsidR="0069380F" w:rsidRPr="0069380F">
        <w:rPr>
          <w:i/>
          <w:lang w:val="fr-CH"/>
        </w:rPr>
        <w:t> </w:t>
      </w:r>
      <w:r w:rsidR="00FC4872" w:rsidRPr="00FF64CA">
        <w:rPr>
          <w:i/>
          <w:lang w:val="fr-CH"/>
        </w:rPr>
        <w:t>generis</w:t>
      </w:r>
      <w:r w:rsidR="00FC4872" w:rsidRPr="00A90E69">
        <w:rPr>
          <w:lang w:val="fr-CH"/>
        </w:rPr>
        <w:t>.</w:t>
      </w:r>
    </w:p>
    <w:p w:rsidR="009802DF" w:rsidRDefault="00FC4872" w:rsidP="00B82461">
      <w:pPr>
        <w:pStyle w:val="ONUMFS"/>
      </w:pPr>
      <w:r w:rsidRPr="00A90E69">
        <w:t xml:space="preserve">Les </w:t>
      </w:r>
      <w:r w:rsidR="00D81CEC">
        <w:t xml:space="preserve">informations </w:t>
      </w:r>
      <w:r w:rsidR="008D6BFA">
        <w:t>relatives aux</w:t>
      </w:r>
      <w:r w:rsidR="008D6BFA" w:rsidRPr="00A90E69">
        <w:t xml:space="preserve"> questions traitées par </w:t>
      </w:r>
      <w:r w:rsidR="008D6BFA">
        <w:t>chaque</w:t>
      </w:r>
      <w:r w:rsidR="008D6BFA" w:rsidRPr="00A90E69">
        <w:t xml:space="preserve"> instrument juridique constitu</w:t>
      </w:r>
      <w:r w:rsidR="008D6BFA">
        <w:t>a</w:t>
      </w:r>
      <w:r w:rsidR="008D6BFA" w:rsidRPr="00A90E69">
        <w:t xml:space="preserve">nt </w:t>
      </w:r>
      <w:r w:rsidR="008D6BFA">
        <w:t>les différents</w:t>
      </w:r>
      <w:r w:rsidR="008D6BFA" w:rsidRPr="00A90E69">
        <w:t xml:space="preserve"> </w:t>
      </w:r>
      <w:r w:rsidR="00130901">
        <w:t xml:space="preserve">régimes </w:t>
      </w:r>
      <w:r w:rsidR="008D6BFA" w:rsidRPr="00FF64CA">
        <w:rPr>
          <w:i/>
        </w:rPr>
        <w:t>sui</w:t>
      </w:r>
      <w:r w:rsidR="0069380F" w:rsidRPr="0069380F">
        <w:rPr>
          <w:i/>
        </w:rPr>
        <w:t> </w:t>
      </w:r>
      <w:r w:rsidR="008D6BFA" w:rsidRPr="00FF64CA">
        <w:rPr>
          <w:i/>
        </w:rPr>
        <w:t>generis</w:t>
      </w:r>
      <w:r w:rsidR="008D6BFA">
        <w:t xml:space="preserve"> </w:t>
      </w:r>
      <w:r w:rsidR="009F7C4F">
        <w:t>portent sur les</w:t>
      </w:r>
      <w:r w:rsidRPr="00A90E69">
        <w:t xml:space="preserve"> questions de fond examinées par le comité, </w:t>
      </w:r>
      <w:r w:rsidR="005D6F73">
        <w:t>à savoir :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>
        <w:rPr>
          <w:lang w:val="fr-CH"/>
        </w:rPr>
        <w:t>U</w:t>
      </w:r>
      <w:r w:rsidRPr="00A90E69">
        <w:rPr>
          <w:lang w:val="fr-CH"/>
        </w:rPr>
        <w:t>tilisation des termes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Critères de protection/critères à remplir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Bénéficiaires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Étendue de la protection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Protection des bases de données complémentaire et défensive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Sanctions, recours et exercice des droits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Exigence de divulgation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Exceptions et limitations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>
        <w:rPr>
          <w:lang w:val="fr-CH"/>
        </w:rPr>
        <w:t>D</w:t>
      </w:r>
      <w:r w:rsidRPr="00A90E69">
        <w:rPr>
          <w:lang w:val="fr-CH"/>
        </w:rPr>
        <w:t>urée de la protection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Formalités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r w:rsidRPr="00A90E69">
        <w:rPr>
          <w:lang w:val="fr-CH"/>
        </w:rPr>
        <w:t>Coopération transfrontière</w:t>
      </w:r>
    </w:p>
    <w:p w:rsidR="00FC4872" w:rsidRPr="00A90E69" w:rsidRDefault="00FC4872" w:rsidP="00B82461">
      <w:pPr>
        <w:pStyle w:val="ListParagraph"/>
        <w:numPr>
          <w:ilvl w:val="0"/>
          <w:numId w:val="9"/>
        </w:numPr>
        <w:spacing w:after="220"/>
        <w:ind w:left="1134" w:hanging="567"/>
        <w:contextualSpacing w:val="0"/>
        <w:rPr>
          <w:lang w:val="fr-CH"/>
        </w:rPr>
      </w:pPr>
      <w:r>
        <w:rPr>
          <w:lang w:val="fr-CH"/>
        </w:rPr>
        <w:t>R</w:t>
      </w:r>
      <w:r w:rsidRPr="00A90E69">
        <w:rPr>
          <w:lang w:val="fr-CH"/>
        </w:rPr>
        <w:t>enforcement des capacités et sensibilisation</w:t>
      </w:r>
    </w:p>
    <w:p w:rsidR="009802DF" w:rsidRDefault="00FC4872" w:rsidP="00B82461">
      <w:pPr>
        <w:pStyle w:val="ONUMFS"/>
      </w:pPr>
      <w:r w:rsidRPr="00A90E69">
        <w:t xml:space="preserve">En </w:t>
      </w:r>
      <w:r w:rsidR="009802DF" w:rsidRPr="00A90E69">
        <w:t>juillet</w:t>
      </w:r>
      <w:r w:rsidR="009802DF">
        <w:t> </w:t>
      </w:r>
      <w:r w:rsidR="009802DF" w:rsidRPr="00A90E69">
        <w:t>20</w:t>
      </w:r>
      <w:r w:rsidRPr="00A90E69">
        <w:t>20, dans le cadre d</w:t>
      </w:r>
      <w:r w:rsidR="005D6F73">
        <w:t>’</w:t>
      </w:r>
      <w:r w:rsidRPr="00A90E69">
        <w:t>une série d</w:t>
      </w:r>
      <w:r w:rsidR="005D6F73">
        <w:t>’</w:t>
      </w:r>
      <w:r w:rsidRPr="00A90E69">
        <w:t xml:space="preserve">activités préparatoires </w:t>
      </w:r>
      <w:r w:rsidR="00405707">
        <w:t>menées en vue de</w:t>
      </w:r>
      <w:r w:rsidRPr="00A90E69">
        <w:t xml:space="preserve"> la </w:t>
      </w:r>
      <w:r w:rsidR="005F387D">
        <w:t>quarante</w:t>
      </w:r>
      <w:r w:rsidR="005D6F73">
        <w:t> et unième session</w:t>
      </w:r>
      <w:r w:rsidRPr="00A90E69">
        <w:t xml:space="preserve"> de l</w:t>
      </w:r>
      <w:r w:rsidR="005D6F73">
        <w:t>’</w:t>
      </w:r>
      <w:r w:rsidRPr="00A90E69">
        <w:t>IGC, les États membres et les observateurs accrédités ont été invités à examiner la compilation, s</w:t>
      </w:r>
      <w:r w:rsidR="005D6F73">
        <w:t>’</w:t>
      </w:r>
      <w:r w:rsidRPr="00A90E69">
        <w:t>ils le souhaitaient, à formuler des observ</w:t>
      </w:r>
      <w:r w:rsidR="00276DAC">
        <w:t>ations</w:t>
      </w:r>
      <w:r w:rsidRPr="00A90E69">
        <w:t xml:space="preserve"> et à fournir des corrections ou des informations actualisées en anglais avant le 3</w:t>
      </w:r>
      <w:r w:rsidR="009802DF" w:rsidRPr="00A90E69">
        <w:t>0</w:t>
      </w:r>
      <w:r w:rsidR="009802DF">
        <w:t> </w:t>
      </w:r>
      <w:r w:rsidR="009802DF" w:rsidRPr="00A90E69">
        <w:t>septembre</w:t>
      </w:r>
      <w:r w:rsidR="009802DF">
        <w:t> </w:t>
      </w:r>
      <w:r w:rsidR="009802DF" w:rsidRPr="00A90E69">
        <w:t>20</w:t>
      </w:r>
      <w:r w:rsidRPr="00A90E69">
        <w:t>20.  Des réponses ont été reçues d</w:t>
      </w:r>
      <w:r w:rsidR="005D6F73">
        <w:t>’</w:t>
      </w:r>
      <w:r w:rsidRPr="00A90E69">
        <w:t>un État membre et d</w:t>
      </w:r>
      <w:r w:rsidR="005D6F73">
        <w:t>’</w:t>
      </w:r>
      <w:r w:rsidRPr="00A90E69">
        <w:t>un observateur accrédi</w:t>
      </w:r>
      <w:r w:rsidR="00B82461" w:rsidRPr="00A90E69">
        <w:t>té</w:t>
      </w:r>
      <w:r w:rsidR="00B82461">
        <w:t xml:space="preserve">.  </w:t>
      </w:r>
      <w:r w:rsidR="00B82461" w:rsidRPr="00A90E69">
        <w:t>Le</w:t>
      </w:r>
      <w:r w:rsidRPr="00A90E69">
        <w:t xml:space="preserve"> secrétariat de l</w:t>
      </w:r>
      <w:r w:rsidR="005D6F73">
        <w:t>’</w:t>
      </w:r>
      <w:r w:rsidRPr="00A90E69">
        <w:t>IGC a intégré les observations reçues et a ajouté quelques pays.</w:t>
      </w:r>
    </w:p>
    <w:p w:rsidR="00FC4872" w:rsidRPr="00A90E69" w:rsidRDefault="00FC4872" w:rsidP="00B82461">
      <w:pPr>
        <w:pStyle w:val="ONUMFS"/>
      </w:pPr>
      <w:r w:rsidRPr="00A90E69">
        <w:t>La compilation d</w:t>
      </w:r>
      <w:r w:rsidR="005D6F73">
        <w:t>’</w:t>
      </w:r>
      <w:r w:rsidRPr="00A90E69">
        <w:t xml:space="preserve">informations relatives aux régimes </w:t>
      </w:r>
      <w:r w:rsidRPr="00FF64CA">
        <w:rPr>
          <w:i/>
        </w:rPr>
        <w:t>sui</w:t>
      </w:r>
      <w:r w:rsidR="0069380F" w:rsidRPr="0069380F">
        <w:rPr>
          <w:i/>
        </w:rPr>
        <w:t> </w:t>
      </w:r>
      <w:r w:rsidRPr="00FF64CA">
        <w:rPr>
          <w:i/>
        </w:rPr>
        <w:t>generis</w:t>
      </w:r>
      <w:r w:rsidRPr="00A90E69">
        <w:t xml:space="preserve"> nationaux et régionaux de protection des savoirs traditionnels et des expressions culturelles traditionnelles par la propriété intellectuelle est disponible en ligne à l</w:t>
      </w:r>
      <w:r w:rsidR="005D6F73">
        <w:t>’</w:t>
      </w:r>
      <w:r w:rsidRPr="00A90E69">
        <w:t>adresse suivante</w:t>
      </w:r>
      <w:r w:rsidR="005D6F73">
        <w:t> :</w:t>
      </w:r>
      <w:r w:rsidRPr="00A90E69">
        <w:t xml:space="preserve"> https://www.wipo.int/export/sites/www/tk/en/resources/pdf/compilation_sui_generis_regimes.pdf.</w:t>
      </w:r>
    </w:p>
    <w:p w:rsidR="009802DF" w:rsidRPr="00B82461" w:rsidRDefault="00FC4872" w:rsidP="00B82461">
      <w:pPr>
        <w:pStyle w:val="ONUMFS"/>
        <w:ind w:left="5533"/>
        <w:rPr>
          <w:i/>
        </w:rPr>
      </w:pPr>
      <w:r w:rsidRPr="00B82461">
        <w:rPr>
          <w:i/>
        </w:rPr>
        <w:t>L</w:t>
      </w:r>
      <w:r w:rsidR="005D6F73" w:rsidRPr="00B82461">
        <w:rPr>
          <w:i/>
        </w:rPr>
        <w:t>’</w:t>
      </w:r>
      <w:r w:rsidRPr="00B82461">
        <w:rPr>
          <w:i/>
        </w:rPr>
        <w:t xml:space="preserve">IGC est invité à prendre note du document et à formuler des observations et </w:t>
      </w:r>
      <w:r w:rsidR="009566A5" w:rsidRPr="00B82461">
        <w:rPr>
          <w:i/>
        </w:rPr>
        <w:t xml:space="preserve">des </w:t>
      </w:r>
      <w:r w:rsidRPr="00B82461">
        <w:rPr>
          <w:i/>
        </w:rPr>
        <w:t>informations actualisées supplémentaires, le cas échéant.</w:t>
      </w:r>
    </w:p>
    <w:p w:rsidR="00F50CA1" w:rsidRDefault="00FC4872" w:rsidP="00B82461">
      <w:pPr>
        <w:pStyle w:val="Endofdocument-Annex"/>
        <w:spacing w:before="720"/>
      </w:pPr>
      <w:r w:rsidRPr="00A90E69">
        <w:t>[Fin du document]</w:t>
      </w:r>
      <w:bookmarkStart w:id="4" w:name="Prepared"/>
      <w:bookmarkEnd w:id="3"/>
      <w:bookmarkEnd w:id="4"/>
    </w:p>
    <w:sectPr w:rsidR="00F50CA1" w:rsidSect="00FC4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72" w:rsidRDefault="00FC4872">
      <w:r>
        <w:separator/>
      </w:r>
    </w:p>
  </w:endnote>
  <w:endnote w:type="continuationSeparator" w:id="0">
    <w:p w:rsidR="00FC4872" w:rsidRPr="009D30E6" w:rsidRDefault="00FC487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C4872" w:rsidRPr="009D30E6" w:rsidRDefault="00FC487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C4872" w:rsidRPr="009D30E6" w:rsidRDefault="00FC487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7" w:rsidRDefault="00AB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7" w:rsidRDefault="00AB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7" w:rsidRDefault="00AB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72" w:rsidRDefault="00FC4872">
      <w:r>
        <w:separator/>
      </w:r>
    </w:p>
  </w:footnote>
  <w:footnote w:type="continuationSeparator" w:id="0">
    <w:p w:rsidR="00FC4872" w:rsidRDefault="00FC4872" w:rsidP="007461F1">
      <w:r>
        <w:separator/>
      </w:r>
    </w:p>
    <w:p w:rsidR="00FC4872" w:rsidRPr="009D30E6" w:rsidRDefault="00FC487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C4872" w:rsidRPr="009D30E6" w:rsidRDefault="00FC487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7" w:rsidRDefault="00AB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FC4872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WIPO/GRTKF/IC/42/9</w:t>
    </w:r>
  </w:p>
  <w:p w:rsidR="00F16975" w:rsidRDefault="00F16975" w:rsidP="00B82461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8246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7" w:rsidRDefault="00AB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EB2CDB"/>
    <w:multiLevelType w:val="hybridMultilevel"/>
    <w:tmpl w:val="8AD0CFD6"/>
    <w:lvl w:ilvl="0" w:tplc="991A06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521B23"/>
    <w:multiLevelType w:val="hybridMultilevel"/>
    <w:tmpl w:val="027C9D9A"/>
    <w:lvl w:ilvl="0" w:tplc="991A06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53E48"/>
    <w:multiLevelType w:val="hybridMultilevel"/>
    <w:tmpl w:val="D8BC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72"/>
    <w:rsid w:val="00011B7D"/>
    <w:rsid w:val="00020085"/>
    <w:rsid w:val="00075432"/>
    <w:rsid w:val="0009458A"/>
    <w:rsid w:val="000D241B"/>
    <w:rsid w:val="000F1157"/>
    <w:rsid w:val="000F5E56"/>
    <w:rsid w:val="00130901"/>
    <w:rsid w:val="001362EE"/>
    <w:rsid w:val="001832A6"/>
    <w:rsid w:val="00195C6E"/>
    <w:rsid w:val="001B266A"/>
    <w:rsid w:val="001B488E"/>
    <w:rsid w:val="001C6508"/>
    <w:rsid w:val="001D3D56"/>
    <w:rsid w:val="00215393"/>
    <w:rsid w:val="00240654"/>
    <w:rsid w:val="002634C4"/>
    <w:rsid w:val="00265E63"/>
    <w:rsid w:val="00276DAC"/>
    <w:rsid w:val="002956DE"/>
    <w:rsid w:val="002D7258"/>
    <w:rsid w:val="002E4D1A"/>
    <w:rsid w:val="002F16BC"/>
    <w:rsid w:val="002F4E68"/>
    <w:rsid w:val="00322C0B"/>
    <w:rsid w:val="00381798"/>
    <w:rsid w:val="003845C1"/>
    <w:rsid w:val="003A67A3"/>
    <w:rsid w:val="003B1E07"/>
    <w:rsid w:val="003C31C5"/>
    <w:rsid w:val="004008A2"/>
    <w:rsid w:val="004025DF"/>
    <w:rsid w:val="0040540C"/>
    <w:rsid w:val="00405707"/>
    <w:rsid w:val="0040702C"/>
    <w:rsid w:val="00423E3E"/>
    <w:rsid w:val="00427AF4"/>
    <w:rsid w:val="004647DA"/>
    <w:rsid w:val="00477D6B"/>
    <w:rsid w:val="004B05CE"/>
    <w:rsid w:val="004B66FE"/>
    <w:rsid w:val="004D6471"/>
    <w:rsid w:val="0051455D"/>
    <w:rsid w:val="00525B63"/>
    <w:rsid w:val="00525E59"/>
    <w:rsid w:val="00541348"/>
    <w:rsid w:val="005421DD"/>
    <w:rsid w:val="00554FA5"/>
    <w:rsid w:val="005606B6"/>
    <w:rsid w:val="00567A4C"/>
    <w:rsid w:val="00574036"/>
    <w:rsid w:val="00595F07"/>
    <w:rsid w:val="005D6F73"/>
    <w:rsid w:val="005E6516"/>
    <w:rsid w:val="005E7CA5"/>
    <w:rsid w:val="005F387D"/>
    <w:rsid w:val="00605827"/>
    <w:rsid w:val="0061479F"/>
    <w:rsid w:val="00616671"/>
    <w:rsid w:val="00642BEA"/>
    <w:rsid w:val="00650F17"/>
    <w:rsid w:val="00681B93"/>
    <w:rsid w:val="0069380F"/>
    <w:rsid w:val="006A1152"/>
    <w:rsid w:val="006B0DB5"/>
    <w:rsid w:val="007461F1"/>
    <w:rsid w:val="00752716"/>
    <w:rsid w:val="007D6961"/>
    <w:rsid w:val="007F07CB"/>
    <w:rsid w:val="00810CEF"/>
    <w:rsid w:val="0081208D"/>
    <w:rsid w:val="00834BCD"/>
    <w:rsid w:val="008827FC"/>
    <w:rsid w:val="008B2CC1"/>
    <w:rsid w:val="008D6BFA"/>
    <w:rsid w:val="008E7930"/>
    <w:rsid w:val="009050D3"/>
    <w:rsid w:val="0090731E"/>
    <w:rsid w:val="00935243"/>
    <w:rsid w:val="009566A5"/>
    <w:rsid w:val="00966A22"/>
    <w:rsid w:val="00974CD6"/>
    <w:rsid w:val="009802DF"/>
    <w:rsid w:val="009D30E6"/>
    <w:rsid w:val="009E3F6F"/>
    <w:rsid w:val="009F499F"/>
    <w:rsid w:val="009F7C4F"/>
    <w:rsid w:val="00A04215"/>
    <w:rsid w:val="00A11D74"/>
    <w:rsid w:val="00A27680"/>
    <w:rsid w:val="00AB1A6A"/>
    <w:rsid w:val="00AB30D7"/>
    <w:rsid w:val="00AC0AE4"/>
    <w:rsid w:val="00AD61DB"/>
    <w:rsid w:val="00B1090C"/>
    <w:rsid w:val="00B35AF5"/>
    <w:rsid w:val="00B45C15"/>
    <w:rsid w:val="00B4619E"/>
    <w:rsid w:val="00B579E8"/>
    <w:rsid w:val="00B82461"/>
    <w:rsid w:val="00BB2E8C"/>
    <w:rsid w:val="00BE0BE0"/>
    <w:rsid w:val="00C664C8"/>
    <w:rsid w:val="00C9191E"/>
    <w:rsid w:val="00CE50B4"/>
    <w:rsid w:val="00CF0460"/>
    <w:rsid w:val="00D43E0F"/>
    <w:rsid w:val="00D45252"/>
    <w:rsid w:val="00D71B4D"/>
    <w:rsid w:val="00D75C1E"/>
    <w:rsid w:val="00D81CEC"/>
    <w:rsid w:val="00D93D55"/>
    <w:rsid w:val="00DB1C48"/>
    <w:rsid w:val="00DB68A0"/>
    <w:rsid w:val="00DD0286"/>
    <w:rsid w:val="00DD4917"/>
    <w:rsid w:val="00DD6A16"/>
    <w:rsid w:val="00E0091A"/>
    <w:rsid w:val="00E203AA"/>
    <w:rsid w:val="00E331B5"/>
    <w:rsid w:val="00E4058B"/>
    <w:rsid w:val="00E5217A"/>
    <w:rsid w:val="00E527A5"/>
    <w:rsid w:val="00E74DA0"/>
    <w:rsid w:val="00E76456"/>
    <w:rsid w:val="00E93F3F"/>
    <w:rsid w:val="00EB018A"/>
    <w:rsid w:val="00EE64F1"/>
    <w:rsid w:val="00EE71CB"/>
    <w:rsid w:val="00F127FD"/>
    <w:rsid w:val="00F16975"/>
    <w:rsid w:val="00F50CA1"/>
    <w:rsid w:val="00F5369F"/>
    <w:rsid w:val="00F66152"/>
    <w:rsid w:val="00F87A6F"/>
    <w:rsid w:val="00F91BE0"/>
    <w:rsid w:val="00FC4872"/>
    <w:rsid w:val="00FE19E9"/>
    <w:rsid w:val="00FF4371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462F832-639E-47DE-BD5E-843E2F2C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FC487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semiHidden/>
    <w:unhideWhenUsed/>
    <w:rsid w:val="00B8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GC_4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5EEC-5448-47FA-B185-8AC77546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 (F).dotm</Template>
  <TotalTime>92</TotalTime>
  <Pages>2</Pages>
  <Words>652</Words>
  <Characters>4045</Characters>
  <Application>Microsoft Office Word</Application>
  <DocSecurity>0</DocSecurity>
  <Lines>76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WIPO/GRTKF/IC/42/</vt:lpstr>
      <vt:lpstr>WIPO/GRTKF/IC/42</vt:lpstr>
    </vt:vector>
  </TitlesOfParts>
  <Company>WIPO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WIPO/GRTKF/IC/42/9</dc:title>
  <dc:creator>ROUABHI Naïma</dc:creator>
  <cp:keywords>FOR OFFICIAL USE ONLY</cp:keywords>
  <cp:lastModifiedBy>BERNARD Nadège</cp:lastModifiedBy>
  <cp:revision>41</cp:revision>
  <cp:lastPrinted>2011-05-19T12:37:00Z</cp:lastPrinted>
  <dcterms:created xsi:type="dcterms:W3CDTF">2022-02-15T16:24:00Z</dcterms:created>
  <dcterms:modified xsi:type="dcterms:W3CDTF">2022-02-16T17:08:00Z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fb7de23d-63ae-461a-8eb4-22df48bf330f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