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WIPO/GRTKF/IC/44/1 PROV. 2</w:t>
            </w:r>
            <w:r w:rsidR="006C3C5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</w:t>
            </w:r>
            <w:r w:rsidR="006C3C5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Español</w:t>
            </w:r>
            <w:r w:rsidR="006C3C5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478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FECHA:</w:t>
            </w:r>
            <w:r w:rsidR="006C3C5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Jueves, 07 de septiembre de 2022</w:t>
            </w:r>
            <w:r w:rsidR="006C3C5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Cuadragésima cuarta sesión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Ginebra, 12 a 16 de septiembre de 2022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0" w:name="TitleOfDoc"/>
      <w:bookmarkEnd w:id="0"/>
      <w:r>
        <w:rPr>
          <w:caps/>
          <w:sz w:val="24"/>
        </w:rPr>
        <w:t>PROYECTO DE ORDEN DEL DÍA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r>
        <w:rPr>
          <w:i/>
        </w:rPr>
        <w:t>preparado por la Secretaría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Apertura de la sesión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Aprobación del orden del día</w:t>
      </w:r>
    </w:p>
    <w:p w:rsidR="005C0BCD" w:rsidRPr="00451224" w:rsidRDefault="005C0BCD" w:rsidP="006C3C51">
      <w:pPr>
        <w:pStyle w:val="Footer"/>
        <w:ind w:left="1134"/>
        <w:outlineLvl w:val="0"/>
        <w:rPr>
          <w:szCs w:val="22"/>
        </w:rPr>
      </w:pPr>
      <w:r>
        <w:t>Véanse el presente documento y los documentos WIPO/GRTKF/IC/43/INF/2 Rev. y WIPO/GRTKF/IC/43/INF/3 Rev.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Acreditación de determinadas organizaciones</w:t>
      </w:r>
    </w:p>
    <w:p w:rsidR="005C0BCD" w:rsidRPr="00451224" w:rsidRDefault="005C0BCD" w:rsidP="006C3C51">
      <w:pPr>
        <w:pStyle w:val="ONUME"/>
        <w:numPr>
          <w:ilvl w:val="0"/>
          <w:numId w:val="0"/>
        </w:numPr>
        <w:spacing w:after="0"/>
        <w:ind w:left="1134"/>
        <w:rPr>
          <w:szCs w:val="22"/>
        </w:rPr>
      </w:pPr>
      <w:r>
        <w:t>Véase el documento WIPO/GRTKF/IC/44/2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Participación de los pueblos indígenas y las comunidades locales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Informe actualizado sobre el funcionamiento del Fondo de Contribuciones Voluntarias</w:t>
      </w:r>
    </w:p>
    <w:p w:rsidR="005C0BCD" w:rsidRDefault="005C0BCD" w:rsidP="006C3C51">
      <w:pPr>
        <w:pStyle w:val="Footer"/>
        <w:ind w:left="1701"/>
      </w:pPr>
      <w:r>
        <w:t xml:space="preserve">Véanse los </w:t>
      </w:r>
      <w:r>
        <w:rPr>
          <w:snapToGrid w:val="0"/>
        </w:rPr>
        <w:t>documentos</w:t>
      </w:r>
      <w:r w:rsidR="006C3C51">
        <w:rPr>
          <w:snapToGrid w:val="0"/>
        </w:rPr>
        <w:t xml:space="preserve"> </w:t>
      </w:r>
      <w:r>
        <w:t>WIPO/GRTKF/IC/44/3, WIPO/GRTKF/IC/44/INF/4 y WIPO/GRTKF/IC/44/INF/6.</w:t>
      </w:r>
    </w:p>
    <w:p w:rsidR="006C3C51" w:rsidRPr="00451224" w:rsidRDefault="006C3C51" w:rsidP="005C0BCD">
      <w:pPr>
        <w:pStyle w:val="Footer"/>
        <w:tabs>
          <w:tab w:val="left" w:pos="567"/>
        </w:tabs>
        <w:ind w:left="927"/>
        <w:rPr>
          <w:szCs w:val="22"/>
        </w:rPr>
      </w:pPr>
    </w:p>
    <w:p w:rsidR="005C0BCD" w:rsidRPr="00451224" w:rsidRDefault="005C0BC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Nombramiento de la Junta Asesora del Fondo de Contribuciones Voluntarias</w:t>
      </w:r>
    </w:p>
    <w:p w:rsidR="005C0BCD" w:rsidRPr="00451224" w:rsidRDefault="005C0BCD" w:rsidP="006C3C51">
      <w:pPr>
        <w:pStyle w:val="Footer"/>
        <w:tabs>
          <w:tab w:val="left" w:pos="567"/>
        </w:tabs>
        <w:ind w:left="1701"/>
        <w:rPr>
          <w:szCs w:val="22"/>
        </w:rPr>
      </w:pPr>
      <w:r>
        <w:t xml:space="preserve">Véase el </w:t>
      </w:r>
      <w:r>
        <w:rPr>
          <w:snapToGrid w:val="0"/>
        </w:rPr>
        <w:t>documento</w:t>
      </w:r>
      <w:r>
        <w:t xml:space="preserve"> WIPO/GRTKF/IC/44/3.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 xml:space="preserve">Nota informativa para la mesa redonda de los pueblos indígenas y las comunidades locales </w:t>
      </w:r>
    </w:p>
    <w:p w:rsidR="005C0BCD" w:rsidRDefault="005C0BCD" w:rsidP="006C3C51">
      <w:pPr>
        <w:pStyle w:val="Footer"/>
        <w:ind w:left="1701"/>
        <w:rPr>
          <w:szCs w:val="22"/>
        </w:rPr>
      </w:pPr>
      <w:r>
        <w:rPr>
          <w:snapToGrid w:val="0"/>
        </w:rPr>
        <w:t>Véase el documento</w:t>
      </w:r>
      <w:r w:rsidR="006C3C51">
        <w:rPr>
          <w:snapToGrid w:val="0"/>
        </w:rPr>
        <w:t xml:space="preserve"> </w:t>
      </w:r>
      <w:bookmarkStart w:id="1" w:name="_GoBack"/>
      <w:bookmarkEnd w:id="1"/>
      <w:r>
        <w:t>WIPO/GRTKF/IC/44/INF/5.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Default="005F4A65">
      <w:pPr>
        <w:rPr>
          <w:szCs w:val="22"/>
        </w:rPr>
      </w:pPr>
      <w:r>
        <w:br w:type="page"/>
      </w: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Conocimientos tradicionales/Expresiones culturales tradicionales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La protección de los conocimientos tradicionales:</w:t>
      </w:r>
      <w:r w:rsidR="006C3C51">
        <w:t xml:space="preserve"> </w:t>
      </w:r>
      <w:r>
        <w:t xml:space="preserve">Proyecto de artículos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 xml:space="preserve">Véase el documento WIPO/GRTKF/IC/44/4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La protección de las expresiones culturales tradicionales:</w:t>
      </w:r>
      <w:r w:rsidR="006C3C51">
        <w:t xml:space="preserve"> </w:t>
      </w:r>
      <w:r>
        <w:t xml:space="preserve">Proyecto de artículos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 xml:space="preserve">Véase el documento WIPO/GRTKF/IC/44/5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La protección de los conocimientos tradicionales:</w:t>
      </w:r>
      <w:r w:rsidR="006C3C51">
        <w:t xml:space="preserve"> </w:t>
      </w:r>
      <w:r>
        <w:t xml:space="preserve">Proyecto actualizado de análisis de las carencias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 xml:space="preserve">Véase el documento WIPO/GRTKF/IC/44/6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La protección de las expresiones culturales tradicionales:</w:t>
      </w:r>
      <w:r w:rsidR="006C3C51">
        <w:t xml:space="preserve"> </w:t>
      </w:r>
      <w:r>
        <w:t xml:space="preserve">Proyecto actualizado de análisis de las carencias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>Véase el documento WIPO/GRTKF/IC/44/7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 xml:space="preserve">Informe sobre la compilación de materiales sobre las bases de datos relativas a los recursos genéticos y los conocimientos tradicionales conexos.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>Véase el documento WIPO/GRTKF/IC/44/8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 xml:space="preserve">Informe sobre la compilación de materiales sobre regímenes de divulgación relativos a los recursos genéticos y los conocimientos tradicionales conexos. </w:t>
      </w:r>
    </w:p>
    <w:p w:rsidR="005F4A65" w:rsidRDefault="005F4A65" w:rsidP="006C3C51">
      <w:pPr>
        <w:pStyle w:val="Footer"/>
        <w:tabs>
          <w:tab w:val="clear" w:pos="4320"/>
          <w:tab w:val="clear" w:pos="8640"/>
        </w:tabs>
        <w:ind w:left="1701"/>
        <w:contextualSpacing/>
      </w:pPr>
      <w:r>
        <w:t>Véase el documento WIPO/GRTKF/IC/44/9</w:t>
      </w:r>
    </w:p>
    <w:p w:rsidR="0054783D" w:rsidRDefault="0054783D" w:rsidP="005F4A65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Default="0054783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 xml:space="preserve">Recomendación conjunta sobre los recursos genéticos y los conocimientos tradicionales conexos </w:t>
      </w:r>
    </w:p>
    <w:p w:rsidR="0054783D" w:rsidRDefault="0054783D" w:rsidP="006C3C51">
      <w:pPr>
        <w:ind w:left="1701"/>
        <w:contextualSpacing/>
        <w:outlineLvl w:val="0"/>
        <w:rPr>
          <w:szCs w:val="22"/>
        </w:rPr>
      </w:pPr>
      <w:r>
        <w:t>Véase el documento WIPO/GRTKF/IC/44/10</w:t>
      </w:r>
    </w:p>
    <w:p w:rsidR="0054783D" w:rsidRDefault="0054783D" w:rsidP="0054783D">
      <w:pPr>
        <w:ind w:left="1122"/>
        <w:contextualSpacing/>
        <w:outlineLvl w:val="0"/>
        <w:rPr>
          <w:szCs w:val="22"/>
        </w:rPr>
      </w:pPr>
    </w:p>
    <w:p w:rsidR="0054783D" w:rsidRDefault="0054783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Recomendación conjunta sobre el uso de bases de datos para la protección preventiva de los recursos genéticos y los conocimientos tradicionales asociados a los recursos genéticos</w:t>
      </w:r>
    </w:p>
    <w:p w:rsidR="0054783D" w:rsidRPr="00D21B94" w:rsidRDefault="0054783D" w:rsidP="006C3C51">
      <w:pPr>
        <w:ind w:left="1701"/>
        <w:contextualSpacing/>
        <w:outlineLvl w:val="0"/>
        <w:rPr>
          <w:szCs w:val="22"/>
        </w:rPr>
      </w:pPr>
      <w:r>
        <w:t>Véase el documento WIPO/GRTKF/IC/44/11</w:t>
      </w:r>
    </w:p>
    <w:p w:rsidR="0054783D" w:rsidRDefault="0054783D" w:rsidP="005F4A65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Pr="00F262CD" w:rsidRDefault="0054783D" w:rsidP="0054783D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t>Expresiones culturales tradicionales:</w:t>
      </w:r>
      <w:r w:rsidR="006C3C51">
        <w:t xml:space="preserve"> </w:t>
      </w:r>
      <w:r>
        <w:t>Documento de debate</w:t>
      </w:r>
    </w:p>
    <w:p w:rsidR="0054783D" w:rsidRDefault="0054783D" w:rsidP="006C3C51">
      <w:pPr>
        <w:ind w:left="1701"/>
        <w:contextualSpacing/>
        <w:outlineLvl w:val="0"/>
        <w:rPr>
          <w:szCs w:val="22"/>
        </w:rPr>
      </w:pPr>
      <w:r>
        <w:t>Véase el documento WIPO/GRTKF/IC/44/12</w:t>
      </w:r>
    </w:p>
    <w:p w:rsidR="0054783D" w:rsidRDefault="0054783D" w:rsidP="0054783D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Default="0054783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Selección de ejemplos de conocimientos tradicionales para estimular un debate sobre las materias que deben ser objeto de protección y las materias que no se prevé proteger</w:t>
      </w:r>
    </w:p>
    <w:p w:rsidR="0054783D" w:rsidRPr="00D21B94" w:rsidRDefault="0054783D" w:rsidP="006C3C51">
      <w:pPr>
        <w:ind w:left="1701"/>
        <w:contextualSpacing/>
        <w:outlineLvl w:val="0"/>
        <w:rPr>
          <w:szCs w:val="22"/>
        </w:rPr>
      </w:pPr>
      <w:r>
        <w:t>Véase el documento WIPO/GRTKF/IC/44/13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C0BCD" w:rsidRDefault="005C0BC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Glosario de los términos más importantes relacionados con la propiedad intelectual y los recursos genéticos, los conocimientos tradicionales y las expresiones culturales tradicionales.</w:t>
      </w:r>
    </w:p>
    <w:p w:rsidR="005C0BCD" w:rsidRDefault="005F4A65" w:rsidP="006C3C51">
      <w:pPr>
        <w:pStyle w:val="Footer"/>
        <w:ind w:left="1701"/>
        <w:outlineLvl w:val="0"/>
        <w:rPr>
          <w:szCs w:val="22"/>
        </w:rPr>
      </w:pPr>
      <w:r>
        <w:t xml:space="preserve">Véase el documento WIPO/GRTKF/IC/44/INF/7.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6C3C5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</w:rPr>
      </w:pPr>
      <w: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5C0BCD" w:rsidRDefault="005F4A65" w:rsidP="006C3C51">
      <w:pPr>
        <w:pStyle w:val="Footer"/>
        <w:ind w:left="1701"/>
        <w:outlineLvl w:val="0"/>
        <w:rPr>
          <w:szCs w:val="22"/>
        </w:rPr>
      </w:pPr>
      <w:r>
        <w:t xml:space="preserve">Véase el documento WIPO/GRTKF/IC/44/INF/8.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5F4A65" w:rsidP="006C3C51">
      <w:pPr>
        <w:pStyle w:val="Footer"/>
        <w:keepNext/>
        <w:keepLines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lastRenderedPageBreak/>
        <w:t xml:space="preserve">Establecimiento de uno o varios grupos de expertos </w:t>
      </w:r>
      <w:r>
        <w:rPr>
          <w:i/>
        </w:rPr>
        <w:t>ad hoc</w:t>
      </w:r>
    </w:p>
    <w:p w:rsidR="005C0BCD" w:rsidRPr="00A6159E" w:rsidRDefault="005C0BCD" w:rsidP="006C3C51">
      <w:pPr>
        <w:pStyle w:val="Footer"/>
        <w:keepNext/>
        <w:keepLines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Otras cuestiones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t>Clausura de la sesión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>
        <w:rPr>
          <w:sz w:val="22"/>
        </w:rPr>
        <w:t>[Fin del documento]</w:t>
      </w:r>
    </w:p>
    <w:sectPr w:rsidR="002928D3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8" w:rsidRDefault="00C56218">
      <w:r>
        <w:separator/>
      </w:r>
    </w:p>
  </w:endnote>
  <w:endnote w:type="continuationSeparator" w:id="0">
    <w:p w:rsidR="00C56218" w:rsidRDefault="00C56218" w:rsidP="003B38C1">
      <w:r>
        <w:separator/>
      </w:r>
    </w:p>
    <w:p w:rsidR="00C56218" w:rsidRPr="003B38C1" w:rsidRDefault="00C562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6218" w:rsidRPr="003B38C1" w:rsidRDefault="00C562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8" w:rsidRDefault="00C56218">
      <w:r>
        <w:separator/>
      </w:r>
    </w:p>
  </w:footnote>
  <w:footnote w:type="continuationSeparator" w:id="0">
    <w:p w:rsidR="00C56218" w:rsidRDefault="00C56218" w:rsidP="008B60B2">
      <w:r>
        <w:separator/>
      </w:r>
    </w:p>
    <w:p w:rsidR="00C56218" w:rsidRPr="00ED77FB" w:rsidRDefault="00C562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6218" w:rsidRPr="00ED77FB" w:rsidRDefault="00C562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5F4A65" w:rsidP="000F2AD2">
    <w:pPr>
      <w:jc w:val="right"/>
    </w:pPr>
    <w:r>
      <w:t xml:space="preserve">WIPO/GRTKF/IC/44/1 </w:t>
    </w:r>
    <w:r w:rsidR="006C3C51">
      <w:t>Prov</w:t>
    </w:r>
    <w:r>
      <w:t>. 2</w:t>
    </w:r>
  </w:p>
  <w:p w:rsidR="000F2AD2" w:rsidRDefault="000F2AD2" w:rsidP="000F2AD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C3C51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C3C51" w:rsidP="00477D6B">
    <w:pPr>
      <w:jc w:val="right"/>
    </w:pPr>
    <w:bookmarkStart w:id="2" w:name="Code2"/>
    <w:bookmarkEnd w:id="2"/>
    <w:r>
      <w:t>WIPO/GRTKF/IC/44/1 Prov. 2</w:t>
    </w:r>
  </w:p>
  <w:p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C3C5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1C150D"/>
    <w:rsid w:val="0021217E"/>
    <w:rsid w:val="00257353"/>
    <w:rsid w:val="002634C4"/>
    <w:rsid w:val="0027034E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8302F"/>
    <w:rsid w:val="004C6344"/>
    <w:rsid w:val="004D6D7A"/>
    <w:rsid w:val="005019FF"/>
    <w:rsid w:val="0053057A"/>
    <w:rsid w:val="0054783D"/>
    <w:rsid w:val="00560A29"/>
    <w:rsid w:val="005A1F0B"/>
    <w:rsid w:val="005C0BCD"/>
    <w:rsid w:val="005C6649"/>
    <w:rsid w:val="005F4A65"/>
    <w:rsid w:val="00605827"/>
    <w:rsid w:val="00646050"/>
    <w:rsid w:val="006713CA"/>
    <w:rsid w:val="00676C5C"/>
    <w:rsid w:val="006A19E9"/>
    <w:rsid w:val="006C310D"/>
    <w:rsid w:val="006C3C51"/>
    <w:rsid w:val="006E7A6D"/>
    <w:rsid w:val="00760E71"/>
    <w:rsid w:val="007D1613"/>
    <w:rsid w:val="007E4C0E"/>
    <w:rsid w:val="007F0117"/>
    <w:rsid w:val="007F1432"/>
    <w:rsid w:val="0087791A"/>
    <w:rsid w:val="008A134B"/>
    <w:rsid w:val="008B1F3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56218"/>
    <w:rsid w:val="00C6012D"/>
    <w:rsid w:val="00C86D74"/>
    <w:rsid w:val="00C92388"/>
    <w:rsid w:val="00CC4E12"/>
    <w:rsid w:val="00CD04F1"/>
    <w:rsid w:val="00D45252"/>
    <w:rsid w:val="00D71B4D"/>
    <w:rsid w:val="00D93D55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43F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EE49BCD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3</Pages>
  <Words>449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FOR OFFICIAL USE ONLY</cp:keywords>
  <cp:lastModifiedBy>BOU LLORET Amparo</cp:lastModifiedBy>
  <cp:revision>2</cp:revision>
  <cp:lastPrinted>2011-02-15T11:56:00Z</cp:lastPrinted>
  <dcterms:created xsi:type="dcterms:W3CDTF">2022-09-09T10:05:00Z</dcterms:created>
  <dcterms:modified xsi:type="dcterms:W3CDTF">2022-09-09T10:05:00Z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