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74BC" w:rsidRPr="00442FED" w:rsidTr="003C5E4D">
        <w:tc>
          <w:tcPr>
            <w:tcW w:w="4513" w:type="dxa"/>
            <w:tcBorders>
              <w:bottom w:val="single" w:sz="4" w:space="0" w:color="auto"/>
            </w:tcBorders>
            <w:tcMar>
              <w:bottom w:w="170" w:type="dxa"/>
            </w:tcMar>
          </w:tcPr>
          <w:p w:rsidR="003374BC" w:rsidRPr="00442FED" w:rsidRDefault="003374BC" w:rsidP="003C5E4D">
            <w:pPr>
              <w:rPr>
                <w:lang w:val="es-ES"/>
              </w:rPr>
            </w:pPr>
          </w:p>
        </w:tc>
        <w:tc>
          <w:tcPr>
            <w:tcW w:w="4337" w:type="dxa"/>
            <w:tcBorders>
              <w:bottom w:val="single" w:sz="4" w:space="0" w:color="auto"/>
            </w:tcBorders>
            <w:tcMar>
              <w:left w:w="0" w:type="dxa"/>
              <w:right w:w="0" w:type="dxa"/>
            </w:tcMar>
          </w:tcPr>
          <w:p w:rsidR="003374BC" w:rsidRPr="00442FED" w:rsidRDefault="003374BC" w:rsidP="003C5E4D">
            <w:pPr>
              <w:rPr>
                <w:lang w:val="es-ES"/>
              </w:rPr>
            </w:pPr>
            <w:r w:rsidRPr="00442FED">
              <w:rPr>
                <w:noProof/>
                <w:lang w:eastAsia="en-US"/>
              </w:rPr>
              <w:drawing>
                <wp:inline distT="0" distB="0" distL="0" distR="0" wp14:anchorId="65A3CC6D" wp14:editId="57E66F5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374BC" w:rsidRPr="00442FED" w:rsidRDefault="003374BC" w:rsidP="003C5E4D">
            <w:pPr>
              <w:jc w:val="right"/>
              <w:rPr>
                <w:lang w:val="es-ES"/>
              </w:rPr>
            </w:pPr>
            <w:r w:rsidRPr="00442FED">
              <w:rPr>
                <w:b/>
                <w:sz w:val="40"/>
                <w:szCs w:val="40"/>
                <w:lang w:val="es-ES"/>
              </w:rPr>
              <w:t>S</w:t>
            </w:r>
          </w:p>
        </w:tc>
      </w:tr>
      <w:tr w:rsidR="003374BC" w:rsidRPr="00442FED" w:rsidTr="003C5E4D">
        <w:trPr>
          <w:trHeight w:hRule="exact" w:val="340"/>
        </w:trPr>
        <w:tc>
          <w:tcPr>
            <w:tcW w:w="9356" w:type="dxa"/>
            <w:gridSpan w:val="3"/>
            <w:tcBorders>
              <w:top w:val="single" w:sz="4" w:space="0" w:color="auto"/>
            </w:tcBorders>
            <w:tcMar>
              <w:top w:w="170" w:type="dxa"/>
              <w:left w:w="0" w:type="dxa"/>
              <w:right w:w="0" w:type="dxa"/>
            </w:tcMar>
            <w:vAlign w:val="bottom"/>
          </w:tcPr>
          <w:p w:rsidR="003374BC" w:rsidRPr="00442FED" w:rsidRDefault="003374BC" w:rsidP="00B11199">
            <w:pPr>
              <w:jc w:val="right"/>
              <w:rPr>
                <w:rFonts w:ascii="Arial Black" w:hAnsi="Arial Black"/>
                <w:caps/>
                <w:sz w:val="15"/>
                <w:lang w:val="es-ES"/>
              </w:rPr>
            </w:pPr>
            <w:bookmarkStart w:id="0" w:name="Code"/>
            <w:bookmarkEnd w:id="0"/>
            <w:r w:rsidRPr="00442FED">
              <w:rPr>
                <w:rFonts w:ascii="Arial Black" w:hAnsi="Arial Black"/>
                <w:caps/>
                <w:sz w:val="15"/>
                <w:lang w:val="es-ES"/>
              </w:rPr>
              <w:t>WIPO/GRTKF/IC/</w:t>
            </w:r>
            <w:r>
              <w:rPr>
                <w:rFonts w:ascii="Arial Black" w:hAnsi="Arial Black"/>
                <w:caps/>
                <w:sz w:val="15"/>
                <w:lang w:val="es-ES"/>
              </w:rPr>
              <w:t>3</w:t>
            </w:r>
            <w:r w:rsidR="00B11199">
              <w:rPr>
                <w:rFonts w:ascii="Arial Black" w:hAnsi="Arial Black"/>
                <w:caps/>
                <w:sz w:val="15"/>
                <w:lang w:val="es-ES"/>
              </w:rPr>
              <w:t>1</w:t>
            </w:r>
            <w:r w:rsidRPr="00442FED">
              <w:rPr>
                <w:rFonts w:ascii="Arial Black" w:hAnsi="Arial Black"/>
                <w:caps/>
                <w:sz w:val="15"/>
                <w:lang w:val="es-ES"/>
              </w:rPr>
              <w:t>/INF/</w:t>
            </w:r>
            <w:r w:rsidR="00B11199">
              <w:rPr>
                <w:rFonts w:ascii="Arial Black" w:hAnsi="Arial Black"/>
                <w:caps/>
                <w:sz w:val="15"/>
                <w:lang w:val="es-ES"/>
              </w:rPr>
              <w:t>9</w:t>
            </w:r>
          </w:p>
        </w:tc>
      </w:tr>
      <w:tr w:rsidR="003374BC" w:rsidRPr="00442FED" w:rsidTr="003C5E4D">
        <w:trPr>
          <w:trHeight w:hRule="exact" w:val="170"/>
        </w:trPr>
        <w:tc>
          <w:tcPr>
            <w:tcW w:w="9356" w:type="dxa"/>
            <w:gridSpan w:val="3"/>
            <w:noWrap/>
            <w:tcMar>
              <w:left w:w="0" w:type="dxa"/>
              <w:right w:w="0" w:type="dxa"/>
            </w:tcMar>
            <w:vAlign w:val="bottom"/>
          </w:tcPr>
          <w:p w:rsidR="003374BC" w:rsidRPr="00442FED" w:rsidRDefault="003374BC" w:rsidP="003C5E4D">
            <w:pPr>
              <w:jc w:val="right"/>
              <w:rPr>
                <w:rFonts w:ascii="Arial Black" w:hAnsi="Arial Black"/>
                <w:caps/>
                <w:sz w:val="15"/>
                <w:lang w:val="es-ES"/>
              </w:rPr>
            </w:pPr>
            <w:r w:rsidRPr="00442FED">
              <w:rPr>
                <w:rFonts w:ascii="Arial Black" w:hAnsi="Arial Black"/>
                <w:caps/>
                <w:sz w:val="15"/>
                <w:lang w:val="es-ES"/>
              </w:rPr>
              <w:t xml:space="preserve">ORIGINAL:  </w:t>
            </w:r>
            <w:bookmarkStart w:id="1" w:name="Original"/>
            <w:bookmarkEnd w:id="1"/>
            <w:r w:rsidRPr="00442FED">
              <w:rPr>
                <w:rFonts w:ascii="Arial Black" w:hAnsi="Arial Black"/>
                <w:caps/>
                <w:sz w:val="15"/>
                <w:lang w:val="es-ES"/>
              </w:rPr>
              <w:t>inglés</w:t>
            </w:r>
          </w:p>
        </w:tc>
      </w:tr>
      <w:tr w:rsidR="003374BC" w:rsidRPr="00442FED" w:rsidTr="003C5E4D">
        <w:trPr>
          <w:trHeight w:hRule="exact" w:val="198"/>
        </w:trPr>
        <w:tc>
          <w:tcPr>
            <w:tcW w:w="9356" w:type="dxa"/>
            <w:gridSpan w:val="3"/>
            <w:tcMar>
              <w:left w:w="0" w:type="dxa"/>
              <w:right w:w="0" w:type="dxa"/>
            </w:tcMar>
            <w:vAlign w:val="bottom"/>
          </w:tcPr>
          <w:p w:rsidR="003374BC" w:rsidRPr="00442FED" w:rsidRDefault="003374BC" w:rsidP="00B11199">
            <w:pPr>
              <w:jc w:val="right"/>
              <w:rPr>
                <w:rFonts w:ascii="Arial Black" w:hAnsi="Arial Black"/>
                <w:caps/>
                <w:sz w:val="15"/>
                <w:lang w:val="es-ES"/>
              </w:rPr>
            </w:pPr>
            <w:r w:rsidRPr="00442FED">
              <w:rPr>
                <w:rFonts w:ascii="Arial Black" w:hAnsi="Arial Black"/>
                <w:caps/>
                <w:sz w:val="15"/>
                <w:lang w:val="es-ES"/>
              </w:rPr>
              <w:t xml:space="preserve">fecha: </w:t>
            </w:r>
            <w:bookmarkStart w:id="2" w:name="Date"/>
            <w:bookmarkEnd w:id="2"/>
            <w:r w:rsidRPr="00442FED">
              <w:rPr>
                <w:rFonts w:ascii="Arial Black" w:hAnsi="Arial Black"/>
                <w:caps/>
                <w:sz w:val="15"/>
                <w:lang w:val="es-ES"/>
              </w:rPr>
              <w:t xml:space="preserve"> </w:t>
            </w:r>
            <w:r w:rsidR="00B11199">
              <w:rPr>
                <w:rFonts w:ascii="Arial Black" w:hAnsi="Arial Black"/>
                <w:caps/>
                <w:sz w:val="15"/>
                <w:lang w:val="es-ES"/>
              </w:rPr>
              <w:t>1</w:t>
            </w:r>
            <w:r>
              <w:rPr>
                <w:rFonts w:ascii="Arial Black" w:hAnsi="Arial Black"/>
                <w:caps/>
                <w:sz w:val="15"/>
                <w:lang w:val="es-ES"/>
              </w:rPr>
              <w:t>3 de ma</w:t>
            </w:r>
            <w:r w:rsidR="00B11199">
              <w:rPr>
                <w:rFonts w:ascii="Arial Black" w:hAnsi="Arial Black"/>
                <w:caps/>
                <w:sz w:val="15"/>
                <w:lang w:val="es-ES"/>
              </w:rPr>
              <w:t>y</w:t>
            </w:r>
            <w:r>
              <w:rPr>
                <w:rFonts w:ascii="Arial Black" w:hAnsi="Arial Black"/>
                <w:caps/>
                <w:sz w:val="15"/>
                <w:lang w:val="es-ES"/>
              </w:rPr>
              <w:t>o de</w:t>
            </w:r>
            <w:r w:rsidRPr="00442FED">
              <w:rPr>
                <w:rFonts w:ascii="Arial Black" w:hAnsi="Arial Black"/>
                <w:caps/>
                <w:sz w:val="15"/>
                <w:lang w:val="es-ES"/>
              </w:rPr>
              <w:t xml:space="preserve"> 2016</w:t>
            </w:r>
          </w:p>
        </w:tc>
      </w:tr>
    </w:tbl>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suppressAutoHyphens/>
        <w:rPr>
          <w:b/>
          <w:sz w:val="28"/>
          <w:lang w:val="es-ES" w:eastAsia="ar-SA"/>
        </w:rPr>
      </w:pPr>
      <w:r w:rsidRPr="00442FED">
        <w:rPr>
          <w:b/>
          <w:sz w:val="28"/>
          <w:lang w:val="es-ES" w:eastAsia="ar-SA"/>
        </w:rPr>
        <w:t>Comité Intergubernamental sobre Propiedad Intelectual y Recursos Genéticos, Conocimientos Tradicionales y Folclore</w:t>
      </w:r>
    </w:p>
    <w:p w:rsidR="003374BC" w:rsidRPr="00442FED" w:rsidRDefault="003374BC" w:rsidP="003374BC">
      <w:pPr>
        <w:suppressAutoHyphens/>
        <w:rPr>
          <w:lang w:val="es-ES" w:eastAsia="ar-SA"/>
        </w:rPr>
      </w:pPr>
    </w:p>
    <w:p w:rsidR="003374BC" w:rsidRPr="00442FED" w:rsidRDefault="003374BC" w:rsidP="003374BC">
      <w:pPr>
        <w:suppressAutoHyphens/>
        <w:rPr>
          <w:lang w:val="es-ES" w:eastAsia="ar-SA"/>
        </w:rPr>
      </w:pPr>
    </w:p>
    <w:p w:rsidR="003374BC" w:rsidRPr="00442FED" w:rsidRDefault="003374BC" w:rsidP="003374BC">
      <w:pPr>
        <w:suppressAutoHyphens/>
        <w:rPr>
          <w:b/>
          <w:sz w:val="24"/>
          <w:szCs w:val="24"/>
          <w:lang w:val="es-ES" w:eastAsia="ar-SA"/>
        </w:rPr>
      </w:pPr>
      <w:r>
        <w:rPr>
          <w:b/>
          <w:sz w:val="24"/>
          <w:szCs w:val="24"/>
          <w:lang w:val="es-ES" w:eastAsia="ar-SA"/>
        </w:rPr>
        <w:t>Trigésima</w:t>
      </w:r>
      <w:r w:rsidRPr="00442FED">
        <w:rPr>
          <w:b/>
          <w:sz w:val="24"/>
          <w:szCs w:val="24"/>
          <w:lang w:val="es-ES" w:eastAsia="ar-SA"/>
        </w:rPr>
        <w:t xml:space="preserve"> </w:t>
      </w:r>
      <w:r w:rsidR="00B11199">
        <w:rPr>
          <w:b/>
          <w:sz w:val="24"/>
          <w:szCs w:val="24"/>
          <w:lang w:val="es-ES" w:eastAsia="ar-SA"/>
        </w:rPr>
        <w:t xml:space="preserve">primera </w:t>
      </w:r>
      <w:r w:rsidRPr="00442FED">
        <w:rPr>
          <w:b/>
          <w:sz w:val="24"/>
          <w:szCs w:val="24"/>
          <w:lang w:val="es-ES" w:eastAsia="ar-SA"/>
        </w:rPr>
        <w:t>sesión</w:t>
      </w:r>
    </w:p>
    <w:p w:rsidR="003374BC" w:rsidRPr="00442FED" w:rsidRDefault="003374BC" w:rsidP="003374BC">
      <w:pPr>
        <w:suppressAutoHyphens/>
        <w:rPr>
          <w:lang w:val="es-ES" w:eastAsia="ar-SA"/>
        </w:rPr>
      </w:pPr>
      <w:r w:rsidRPr="00442FED">
        <w:rPr>
          <w:b/>
          <w:sz w:val="24"/>
          <w:szCs w:val="24"/>
          <w:lang w:val="es-ES" w:eastAsia="ar-SA"/>
        </w:rPr>
        <w:t xml:space="preserve">Ginebra, </w:t>
      </w:r>
      <w:r w:rsidR="00B11199">
        <w:rPr>
          <w:b/>
          <w:sz w:val="24"/>
          <w:szCs w:val="24"/>
          <w:lang w:val="es-ES" w:eastAsia="ar-SA"/>
        </w:rPr>
        <w:t>19 a 2</w:t>
      </w:r>
      <w:r>
        <w:rPr>
          <w:b/>
          <w:sz w:val="24"/>
          <w:szCs w:val="24"/>
          <w:lang w:val="es-ES" w:eastAsia="ar-SA"/>
        </w:rPr>
        <w:t xml:space="preserve">3 de </w:t>
      </w:r>
      <w:r w:rsidR="00B11199">
        <w:rPr>
          <w:b/>
          <w:sz w:val="24"/>
          <w:szCs w:val="24"/>
          <w:lang w:val="es-ES" w:eastAsia="ar-SA"/>
        </w:rPr>
        <w:t xml:space="preserve">septiembre </w:t>
      </w:r>
      <w:r w:rsidRPr="00442FED">
        <w:rPr>
          <w:b/>
          <w:sz w:val="24"/>
          <w:szCs w:val="24"/>
          <w:lang w:val="es-ES" w:eastAsia="ar-SA"/>
        </w:rPr>
        <w:t>de 2016</w:t>
      </w: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caps/>
          <w:sz w:val="24"/>
          <w:lang w:val="es-ES"/>
        </w:rPr>
      </w:pPr>
      <w:bookmarkStart w:id="3" w:name="TitleOfDoc"/>
      <w:bookmarkEnd w:id="3"/>
      <w:r w:rsidRPr="00442FED">
        <w:rPr>
          <w:caps/>
          <w:sz w:val="24"/>
          <w:lang w:val="es-ES"/>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3374BC" w:rsidRPr="00442FED" w:rsidRDefault="003374BC" w:rsidP="003374BC">
      <w:pPr>
        <w:rPr>
          <w:lang w:val="es-ES"/>
        </w:rPr>
      </w:pPr>
    </w:p>
    <w:p w:rsidR="003374BC" w:rsidRPr="00442FED" w:rsidRDefault="003374BC" w:rsidP="003374BC">
      <w:pPr>
        <w:rPr>
          <w:i/>
          <w:lang w:val="es-ES"/>
        </w:rPr>
      </w:pPr>
      <w:bookmarkStart w:id="4" w:name="Prepared"/>
      <w:bookmarkStart w:id="5" w:name="_GoBack"/>
      <w:bookmarkEnd w:id="4"/>
      <w:r w:rsidRPr="00442FED">
        <w:rPr>
          <w:i/>
          <w:lang w:val="es-ES"/>
        </w:rPr>
        <w:t>Documento de información presentado por la Secretaría del Foro Permanente de las Naciones Unidas para las Cuestiones Indígenas</w:t>
      </w:r>
    </w:p>
    <w:bookmarkEnd w:id="5"/>
    <w:p w:rsidR="003374BC" w:rsidRPr="00302B0F" w:rsidRDefault="003374BC" w:rsidP="003374BC">
      <w:pPr>
        <w:rPr>
          <w:lang w:val="es-ES"/>
        </w:rPr>
      </w:pPr>
    </w:p>
    <w:p w:rsidR="003374BC" w:rsidRPr="005921BE" w:rsidRDefault="003374BC" w:rsidP="003374BC">
      <w:pPr>
        <w:rPr>
          <w:lang w:val="es-ES"/>
        </w:rPr>
      </w:pPr>
    </w:p>
    <w:p w:rsidR="003374BC" w:rsidRPr="005921BE" w:rsidRDefault="003374BC" w:rsidP="003374BC">
      <w:pPr>
        <w:rPr>
          <w:i/>
          <w:lang w:val="es-ES"/>
        </w:rPr>
      </w:pPr>
    </w:p>
    <w:p w:rsidR="003374BC" w:rsidRPr="005921BE" w:rsidRDefault="003374BC" w:rsidP="003374BC">
      <w:pPr>
        <w:rPr>
          <w:lang w:val="es-ES"/>
        </w:rPr>
      </w:pPr>
    </w:p>
    <w:p w:rsidR="003374BC" w:rsidRPr="00274710" w:rsidRDefault="003374BC" w:rsidP="003374BC">
      <w:pPr>
        <w:tabs>
          <w:tab w:val="left" w:pos="1710"/>
        </w:tabs>
        <w:rPr>
          <w:szCs w:val="22"/>
          <w:lang w:val="es-ES"/>
        </w:rPr>
      </w:pPr>
    </w:p>
    <w:p w:rsidR="003374BC" w:rsidRPr="00274710" w:rsidRDefault="003374BC" w:rsidP="00274710">
      <w:pPr>
        <w:pStyle w:val="ONUMFS"/>
        <w:rPr>
          <w:lang w:val="es-ES"/>
        </w:rPr>
      </w:pPr>
      <w:r w:rsidRPr="00274710">
        <w:rPr>
          <w:lang w:val="es-ES"/>
        </w:rPr>
        <w:t>E</w:t>
      </w:r>
      <w:r w:rsidRPr="005921BE">
        <w:rPr>
          <w:lang w:val="es-ES"/>
        </w:rPr>
        <w:t>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derechos humanos de los indígenas.”</w:t>
      </w:r>
      <w:r w:rsidRPr="005921BE">
        <w:rPr>
          <w:rStyle w:val="FootnoteReference"/>
          <w:szCs w:val="22"/>
          <w:lang w:val="es-ES"/>
        </w:rPr>
        <w:footnoteReference w:id="1"/>
      </w:r>
    </w:p>
    <w:p w:rsidR="003374BC" w:rsidRPr="00274710" w:rsidRDefault="003374BC" w:rsidP="003374BC">
      <w:pPr>
        <w:pStyle w:val="ONUMFS"/>
        <w:rPr>
          <w:lang w:val="es-ES"/>
        </w:rPr>
      </w:pPr>
      <w:r w:rsidRPr="005921BE">
        <w:rPr>
          <w:lang w:val="es-ES"/>
        </w:rPr>
        <w:t>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OMPI relativos a los recursos genéticos, los conocimientos tradicionales y las expresiones culturales tradicionales”) en 2014 y lo presentó a la Secretaría del UNPFII.</w:t>
      </w:r>
    </w:p>
    <w:p w:rsidR="003374BC" w:rsidRPr="005921BE" w:rsidRDefault="003374BC" w:rsidP="003374BC">
      <w:pPr>
        <w:pStyle w:val="ONUMFS"/>
        <w:rPr>
          <w:lang w:val="es-ES"/>
        </w:rPr>
      </w:pPr>
      <w:r w:rsidRPr="005921BE">
        <w:rPr>
          <w:lang w:val="es-ES"/>
        </w:rPr>
        <w:lastRenderedPageBreak/>
        <w:t xml:space="preserve">El 28 de mayo de 2015, la Secretaría de la OMPI recibió la petición de la Secretaría del UNPFII de presentar el examen técnico realizado por el Profesor Anaya al Comité Intergubernamental de la OMPI sobre Propiedad Intelectual y Recursos Genéticos, Conocimientos Tradicionales y Folclore (CIG) en calidad de documento de información. </w:t>
      </w:r>
    </w:p>
    <w:p w:rsidR="003374BC" w:rsidRPr="005921BE" w:rsidRDefault="003374BC" w:rsidP="003374BC">
      <w:pPr>
        <w:pStyle w:val="ONUMFS"/>
        <w:rPr>
          <w:lang w:val="es-ES"/>
        </w:rPr>
      </w:pPr>
      <w:r w:rsidRPr="005921BE">
        <w:rPr>
          <w:lang w:val="es-ES"/>
        </w:rPr>
        <w:t>Asimismo, la Secretaría del UNPFII pidió que se presentara el examen técnico en futuras sesiones del CIG en las que se examinen los conocimientos tradicionales y las expresiones culturales tradicionales, respectivamente.</w:t>
      </w:r>
    </w:p>
    <w:p w:rsidR="003374BC" w:rsidRPr="005921BE" w:rsidRDefault="00AE495F" w:rsidP="003374BC">
      <w:pPr>
        <w:pStyle w:val="ONUMFS"/>
        <w:rPr>
          <w:lang w:val="es-ES"/>
        </w:rPr>
      </w:pPr>
      <w:r>
        <w:rPr>
          <w:lang w:val="es-ES"/>
        </w:rPr>
        <w:t>Conforme a</w:t>
      </w:r>
      <w:r w:rsidR="003374BC" w:rsidRPr="005921BE">
        <w:rPr>
          <w:lang w:val="es-ES"/>
        </w:rPr>
        <w:t xml:space="preserve"> dicha petición,</w:t>
      </w:r>
      <w:r>
        <w:rPr>
          <w:lang w:val="es-ES"/>
        </w:rPr>
        <w:t xml:space="preserve"> el examen técnico se puso a disposición en la</w:t>
      </w:r>
      <w:r w:rsidR="00005DE1">
        <w:rPr>
          <w:lang w:val="es-ES"/>
        </w:rPr>
        <w:t>s sesiones</w:t>
      </w:r>
      <w:r>
        <w:rPr>
          <w:lang w:val="es-ES"/>
        </w:rPr>
        <w:t xml:space="preserve"> vigesimonovena </w:t>
      </w:r>
      <w:r w:rsidR="00005DE1">
        <w:rPr>
          <w:lang w:val="es-ES"/>
        </w:rPr>
        <w:t xml:space="preserve">y trigésima </w:t>
      </w:r>
      <w:r>
        <w:rPr>
          <w:lang w:val="es-ES"/>
        </w:rPr>
        <w:t xml:space="preserve">del CIG, </w:t>
      </w:r>
      <w:r w:rsidR="00005DE1">
        <w:rPr>
          <w:lang w:val="es-ES"/>
        </w:rPr>
        <w:t xml:space="preserve">respectivamente, </w:t>
      </w:r>
      <w:r>
        <w:rPr>
          <w:lang w:val="es-ES"/>
        </w:rPr>
        <w:t>como documento</w:t>
      </w:r>
      <w:r w:rsidR="00005DE1">
        <w:rPr>
          <w:lang w:val="es-ES"/>
        </w:rPr>
        <w:t>s</w:t>
      </w:r>
      <w:r>
        <w:rPr>
          <w:lang w:val="es-ES"/>
        </w:rPr>
        <w:t xml:space="preserve"> de información WIPO/GRTKF/IC/29/INF/10</w:t>
      </w:r>
      <w:r w:rsidR="00005DE1">
        <w:rPr>
          <w:lang w:val="es-ES"/>
        </w:rPr>
        <w:t xml:space="preserve"> y WIPO/GRTKF/IC/30/INF/10</w:t>
      </w:r>
      <w:r>
        <w:rPr>
          <w:lang w:val="es-ES"/>
        </w:rPr>
        <w:t>.  Ese mismo examen técnico figura en el Anexo del presente documento.</w:t>
      </w:r>
    </w:p>
    <w:p w:rsidR="003374BC" w:rsidRPr="00422B53" w:rsidRDefault="003374BC" w:rsidP="003374BC">
      <w:pPr>
        <w:pStyle w:val="ONUMFS"/>
        <w:tabs>
          <w:tab w:val="clear" w:pos="567"/>
        </w:tabs>
        <w:ind w:left="5529"/>
        <w:rPr>
          <w:i/>
          <w:lang w:val="es-ES"/>
        </w:rPr>
      </w:pPr>
      <w:r w:rsidRPr="005921BE">
        <w:rPr>
          <w:i/>
          <w:lang w:val="es-ES"/>
        </w:rPr>
        <w:t xml:space="preserve">Se invita al </w:t>
      </w:r>
      <w:r w:rsidR="00005DE1">
        <w:rPr>
          <w:i/>
          <w:lang w:val="es-ES"/>
        </w:rPr>
        <w:t>CIG</w:t>
      </w:r>
      <w:r w:rsidRPr="005921BE">
        <w:rPr>
          <w:i/>
          <w:lang w:val="es-ES"/>
        </w:rPr>
        <w:t xml:space="preserve"> a tomar nota de</w:t>
      </w:r>
      <w:r w:rsidR="00AE495F">
        <w:rPr>
          <w:i/>
          <w:lang w:val="es-ES"/>
        </w:rPr>
        <w:t>l examen técnico que figura</w:t>
      </w:r>
      <w:r w:rsidRPr="005921BE">
        <w:rPr>
          <w:i/>
          <w:lang w:val="es-ES"/>
        </w:rPr>
        <w:t xml:space="preserve"> en el Anexo del presente documento.</w:t>
      </w:r>
    </w:p>
    <w:p w:rsidR="00422B53" w:rsidRDefault="00422B53" w:rsidP="00422B53">
      <w:pPr>
        <w:pStyle w:val="ONUMFS"/>
        <w:numPr>
          <w:ilvl w:val="0"/>
          <w:numId w:val="0"/>
        </w:numPr>
        <w:rPr>
          <w:lang w:val="es-ES"/>
        </w:rPr>
      </w:pPr>
    </w:p>
    <w:p w:rsidR="00422B53" w:rsidRPr="00422B53" w:rsidRDefault="00422B53" w:rsidP="00422B53">
      <w:pPr>
        <w:pStyle w:val="ONUMFS"/>
        <w:numPr>
          <w:ilvl w:val="0"/>
          <w:numId w:val="0"/>
        </w:numPr>
        <w:ind w:left="5529"/>
        <w:rPr>
          <w:lang w:val="es-ES"/>
        </w:rPr>
      </w:pPr>
      <w:r>
        <w:rPr>
          <w:lang w:val="es-ES"/>
        </w:rPr>
        <w:t>[Sigue el Anexo]</w:t>
      </w:r>
    </w:p>
    <w:p w:rsidR="003374BC" w:rsidRPr="005921BE" w:rsidRDefault="003374BC" w:rsidP="003374BC">
      <w:pPr>
        <w:pStyle w:val="ONUMFS"/>
        <w:numPr>
          <w:ilvl w:val="0"/>
          <w:numId w:val="0"/>
        </w:numPr>
        <w:rPr>
          <w:lang w:val="es-ES"/>
        </w:rPr>
      </w:pPr>
    </w:p>
    <w:p w:rsidR="003374BC" w:rsidRPr="005921BE" w:rsidRDefault="003374BC" w:rsidP="003374BC">
      <w:pPr>
        <w:pStyle w:val="ONUMFS"/>
        <w:numPr>
          <w:ilvl w:val="0"/>
          <w:numId w:val="0"/>
        </w:numPr>
        <w:rPr>
          <w:lang w:val="es-ES"/>
        </w:rPr>
      </w:pPr>
    </w:p>
    <w:p w:rsidR="003374BC" w:rsidRPr="005921BE" w:rsidRDefault="003374BC" w:rsidP="003374BC">
      <w:pPr>
        <w:pStyle w:val="ONUMFS"/>
        <w:numPr>
          <w:ilvl w:val="0"/>
          <w:numId w:val="0"/>
        </w:numPr>
        <w:rPr>
          <w:lang w:val="es-ES"/>
        </w:rPr>
        <w:sectPr w:rsidR="003374BC" w:rsidRPr="005921BE"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b/>
          <w:color w:val="000000"/>
          <w:szCs w:val="22"/>
          <w:lang w:val="es-ES"/>
        </w:rPr>
      </w:pPr>
      <w:r w:rsidRPr="005921BE">
        <w:rPr>
          <w:b/>
          <w:color w:val="000000"/>
          <w:szCs w:val="22"/>
          <w:lang w:val="es-ES"/>
        </w:rPr>
        <w:t>Examen técnico de algunas cuestiones esenciales de propiedad intelectual de los proyectos de instrumentos de la OMPI relativos a los recursos genéticos, los conocimientos tradicionales y las expresiones culturales tradicionales</w:t>
      </w: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color w:val="000000"/>
          <w:szCs w:val="22"/>
          <w:lang w:val="es-ES"/>
        </w:rPr>
      </w:pPr>
      <w:r w:rsidRPr="005921BE">
        <w:rPr>
          <w:color w:val="000000"/>
          <w:szCs w:val="22"/>
          <w:lang w:val="es-ES"/>
        </w:rPr>
        <w:t>realizado por el Profesor James Anaya</w:t>
      </w: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color w:val="000000"/>
          <w:szCs w:val="22"/>
          <w:lang w:val="es-ES"/>
        </w:rPr>
      </w:pPr>
    </w:p>
    <w:p w:rsidR="003374BC" w:rsidRPr="005921BE" w:rsidRDefault="003374BC" w:rsidP="003374BC">
      <w:pPr>
        <w:rPr>
          <w:b/>
          <w:color w:val="000000"/>
          <w:szCs w:val="22"/>
          <w:lang w:val="es-ES"/>
        </w:rPr>
      </w:pPr>
      <w:r w:rsidRPr="005921BE">
        <w:rPr>
          <w:b/>
          <w:color w:val="000000"/>
          <w:szCs w:val="22"/>
          <w:lang w:val="es-ES"/>
        </w:rPr>
        <w:t>I.</w:t>
      </w:r>
      <w:r w:rsidRPr="005921BE">
        <w:rPr>
          <w:b/>
          <w:color w:val="000000"/>
          <w:szCs w:val="22"/>
          <w:lang w:val="es-ES"/>
        </w:rPr>
        <w:tab/>
        <w:t>Antecedentes e introducción</w:t>
      </w:r>
    </w:p>
    <w:p w:rsidR="003374BC" w:rsidRPr="005921BE" w:rsidRDefault="003374BC" w:rsidP="003374BC">
      <w:pPr>
        <w:tabs>
          <w:tab w:val="left" w:pos="1710"/>
        </w:tabs>
        <w:rPr>
          <w:color w:val="000000"/>
          <w:szCs w:val="22"/>
          <w:lang w:val="es-ES"/>
        </w:rPr>
      </w:pPr>
    </w:p>
    <w:p w:rsidR="003374BC" w:rsidRPr="00FD4645" w:rsidRDefault="003374BC" w:rsidP="003374BC">
      <w:pPr>
        <w:pStyle w:val="ONUMFS"/>
        <w:numPr>
          <w:ilvl w:val="0"/>
          <w:numId w:val="11"/>
        </w:numPr>
        <w:rPr>
          <w:lang w:val="es-ES"/>
        </w:rPr>
      </w:pPr>
      <w:r w:rsidRPr="00FD4645">
        <w:rPr>
          <w:lang w:val="es-ES"/>
        </w:rPr>
        <w:t>En su 11º período de sesiones, el Foro Permanente de las Naciones Unidas para las Cuestiones Indígenas pidió a la Organización Mundial de la Propiedad Intelectual (OMPI) que encargara la realización de un examen técnico independiente en el marco de los derechos humanos indígenas de los proyectos de texto elaborados por el Comité Intergubernamental de la OMPI sobre Propiedad Intelectual y Recursos Genéticos, Conocimientos Tradicionales y Folclore.  El presente informe contiene el examen solicitado.  Según las instrucciones de la Secretaría de la OMPI, se hace referencia a los proyectos de texto actuales, que figuran en los documentos de la OMPI WIPO/GRTKF</w:t>
      </w:r>
      <w:r w:rsidR="00274710">
        <w:rPr>
          <w:lang w:val="es-ES"/>
        </w:rPr>
        <w:t xml:space="preserve">/IC/28/4, WIPO/GRTKF/IC/28/5 y </w:t>
      </w:r>
      <w:r w:rsidRPr="00FD4645">
        <w:rPr>
          <w:lang w:val="es-ES"/>
        </w:rPr>
        <w:t>WIPO/GRTKF/IC/28/6.</w:t>
      </w:r>
    </w:p>
    <w:p w:rsidR="003374BC" w:rsidRPr="005921BE" w:rsidRDefault="003374BC" w:rsidP="003374BC">
      <w:pPr>
        <w:pStyle w:val="ONUMFS"/>
        <w:rPr>
          <w:lang w:val="es-ES"/>
        </w:rPr>
      </w:pPr>
      <w:r w:rsidRPr="005921BE">
        <w:rPr>
          <w:lang w:val="es-ES"/>
        </w:rPr>
        <w:t>El presente informe ha sido elaborado bajo la exclusiva responsabilidad del autor.  No refleja necesariamente las opiniones de la OMPI, los Estados miembros de la OMPI o los observadores de la OMPI.</w:t>
      </w:r>
    </w:p>
    <w:p w:rsidR="003374BC" w:rsidRDefault="003374BC" w:rsidP="003374BC">
      <w:pPr>
        <w:pStyle w:val="ONUMFS"/>
        <w:rPr>
          <w:lang w:val="es-ES"/>
        </w:rPr>
      </w:pPr>
      <w:r w:rsidRPr="005921BE">
        <w:rPr>
          <w:lang w:val="es-ES"/>
        </w:rPr>
        <w:t>En la primera parte del informe se exponen el contenido y las líneas generales del marco de derechos humanos que es de aplicación a los pueblos indígenas en relación con las cuestiones de propiedad intelectual de los proyectos de texto.  Posteriormente, se examinan aspectos esenciales de los proyectos de texto tomando como referencia el marco de los derechos humanos.  Las limitaciones de espacio no permiten un examen exhaustivo o más detallado de los proyectos de texto o de todas las cuestiones problemáticas de derechos humanos que puedan plantear dichos proyectos.</w:t>
      </w:r>
    </w:p>
    <w:p w:rsidR="00353565" w:rsidRPr="005921BE" w:rsidRDefault="00353565" w:rsidP="00353565">
      <w:pPr>
        <w:pStyle w:val="ONUMFS"/>
        <w:numPr>
          <w:ilvl w:val="0"/>
          <w:numId w:val="0"/>
        </w:numPr>
        <w:rPr>
          <w:lang w:val="es-ES"/>
        </w:rPr>
      </w:pPr>
    </w:p>
    <w:p w:rsidR="003374BC" w:rsidRPr="005921BE" w:rsidRDefault="003374BC" w:rsidP="003374BC">
      <w:pPr>
        <w:rPr>
          <w:b/>
          <w:color w:val="000000"/>
          <w:szCs w:val="22"/>
          <w:lang w:val="es-ES"/>
        </w:rPr>
      </w:pPr>
      <w:r w:rsidRPr="005921BE">
        <w:rPr>
          <w:b/>
          <w:color w:val="000000"/>
          <w:szCs w:val="22"/>
          <w:lang w:val="es-ES"/>
        </w:rPr>
        <w:t>II.</w:t>
      </w:r>
      <w:r w:rsidRPr="005921BE">
        <w:rPr>
          <w:b/>
          <w:color w:val="000000"/>
          <w:szCs w:val="22"/>
          <w:lang w:val="es-ES"/>
        </w:rPr>
        <w:tab/>
        <w:t>El marco de derechos humanos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Los proyectos de texto tienen por fin fomentar las normas internacionales para el reconocimiento y la protección de los intereses vinculados a la propiedad y de otro tipo sobre los recursos genéticos (WIPO/GRTKF/IC/28/4), los conocimientos tradicionales (WIPO/GRTKF/IC/28/5) y las expresiones culturales tradicionales (WIPO/GRTKF/IC/28/6).  Relacionado directamente con las cuestiones de propiedad intelectual examinadas en esos textos se halla el artículo 31 de la Declaración de las Naciones Unidas sobre los derechos de los pueblos indígenas, en el que se declara lo siguiente:</w:t>
      </w:r>
    </w:p>
    <w:p w:rsidR="003374BC" w:rsidRPr="005921BE" w:rsidRDefault="003374BC" w:rsidP="003374BC">
      <w:pPr>
        <w:pStyle w:val="ONUMFS"/>
        <w:numPr>
          <w:ilvl w:val="0"/>
          <w:numId w:val="0"/>
        </w:numPr>
        <w:ind w:left="567"/>
        <w:rPr>
          <w:lang w:val="es-ES"/>
        </w:rPr>
      </w:pPr>
      <w:r w:rsidRPr="005921BE">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r w:rsidRPr="005921BE">
        <w:rPr>
          <w:vertAlign w:val="superscript"/>
          <w:lang w:val="es-ES"/>
        </w:rPr>
        <w:footnoteReference w:id="2"/>
      </w:r>
      <w:r w:rsidRPr="005921BE">
        <w:rPr>
          <w:lang w:val="es-ES"/>
        </w:rPr>
        <w:t xml:space="preserve"> </w:t>
      </w:r>
    </w:p>
    <w:p w:rsidR="003374BC" w:rsidRPr="005921BE" w:rsidRDefault="003374BC" w:rsidP="003374BC">
      <w:pPr>
        <w:pStyle w:val="ONUMFS"/>
        <w:rPr>
          <w:lang w:val="es-ES"/>
        </w:rPr>
      </w:pPr>
      <w:r w:rsidRPr="005921BE">
        <w:rPr>
          <w:lang w:val="es-ES"/>
        </w:rPr>
        <w:lastRenderedPageBreak/>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3374BC" w:rsidRPr="005921BE" w:rsidRDefault="003374BC" w:rsidP="003374BC">
      <w:pPr>
        <w:rPr>
          <w:i/>
          <w:color w:val="000000"/>
          <w:szCs w:val="22"/>
          <w:lang w:val="es-ES"/>
        </w:rPr>
      </w:pPr>
      <w:r w:rsidRPr="005921BE">
        <w:rPr>
          <w:i/>
          <w:color w:val="000000"/>
          <w:szCs w:val="22"/>
          <w:lang w:val="es-ES"/>
        </w:rPr>
        <w:t>El derecho a la cultura y a la religión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color w:val="000000"/>
          <w:szCs w:val="22"/>
          <w:lang w:val="es-ES"/>
        </w:rPr>
      </w:pPr>
      <w:r w:rsidRPr="005921BE">
        <w:rPr>
          <w:lang w:val="es-ES"/>
        </w:rPr>
        <w:t>Se reconoce en general que el derecho a gozar de la cultura que se consagra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y otras expresiones culturales.</w:t>
      </w:r>
      <w:r w:rsidRPr="005921BE">
        <w:rPr>
          <w:vertAlign w:val="superscript"/>
          <w:lang w:val="es-ES"/>
        </w:rPr>
        <w:footnoteReference w:id="3"/>
      </w:r>
      <w:r w:rsidRPr="005921BE">
        <w:rPr>
          <w:lang w:val="es-ES"/>
        </w:rPr>
        <w:t xml:space="preserve">  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Pr="005921BE">
        <w:rPr>
          <w:vertAlign w:val="superscript"/>
          <w:lang w:val="es-ES"/>
        </w:rPr>
        <w:footnoteReference w:id="4"/>
      </w:r>
      <w:r w:rsidRPr="005921BE">
        <w:rPr>
          <w:lang w:val="es-ES"/>
        </w:rPr>
        <w:t xml:space="preserve">  En muchos casos, esos aspectos del patrimonio indígena forman parte de los sistemas de creencias religiosas indígenas o están relacionados con ellos y, por lo tanto, entran dentro del ámbito del derecho a la religión.</w:t>
      </w:r>
      <w:r w:rsidRPr="005921BE">
        <w:rPr>
          <w:color w:val="000000"/>
          <w:szCs w:val="22"/>
          <w:lang w:val="es-ES"/>
        </w:rPr>
        <w:t xml:space="preserve"> </w:t>
      </w:r>
    </w:p>
    <w:p w:rsidR="003374BC" w:rsidRPr="005921BE" w:rsidRDefault="003374BC" w:rsidP="003374BC">
      <w:pPr>
        <w:tabs>
          <w:tab w:val="left" w:pos="1710"/>
        </w:tabs>
        <w:rPr>
          <w:i/>
          <w:color w:val="000000"/>
          <w:szCs w:val="22"/>
          <w:lang w:val="es-ES"/>
        </w:rPr>
      </w:pPr>
      <w:r w:rsidRPr="005921BE">
        <w:rPr>
          <w:i/>
          <w:color w:val="000000"/>
          <w:szCs w:val="22"/>
          <w:lang w:val="es-ES"/>
        </w:rPr>
        <w:t>El derecho a la propiedad</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Además de basarse en el derecho a la cultura, el artículo 31 de la Declaración citado anteriormente es una afirmación de los intereses vinculados a la 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Pr="005921BE">
        <w:rPr>
          <w:vertAlign w:val="superscript"/>
          <w:lang w:val="es-ES"/>
        </w:rPr>
        <w:footnoteReference w:id="5"/>
      </w:r>
      <w:r w:rsidRPr="005921BE">
        <w:rPr>
          <w:lang w:val="es-ES"/>
        </w:rPr>
        <w:t xml:space="preserve">  Varias fuentes de autorizad a nivel internacional</w:t>
      </w:r>
      <w:r w:rsidRPr="005921BE">
        <w:rPr>
          <w:vertAlign w:val="superscript"/>
          <w:lang w:val="es-ES"/>
        </w:rPr>
        <w:footnoteReference w:id="6"/>
      </w:r>
      <w:r w:rsidRPr="005921BE">
        <w:rPr>
          <w:lang w:val="es-ES"/>
        </w:rPr>
        <w:t xml:space="preserve"> así como una jurisprudencia cada vez más abundante que dimana de los tribunales regionales y nacionales y de los órganos de derechos humanos</w:t>
      </w:r>
      <w:r w:rsidRPr="005921BE">
        <w:rPr>
          <w:vertAlign w:val="superscript"/>
          <w:lang w:val="es-ES"/>
        </w:rPr>
        <w:footnoteReference w:id="7"/>
      </w:r>
      <w:r w:rsidRPr="005921BE">
        <w:rPr>
          <w:lang w:val="es-ES"/>
        </w:rPr>
        <w:t xml:space="preserve">, establecen que los pueblos indígenas tienen derechos de propiedad sobre las tierras y los recursos naturales usados tradicionalmente, entre los que figuran, en consecuencia, los recursos genéticos que han usado o poseído tradicionalmente.  </w:t>
      </w:r>
    </w:p>
    <w:p w:rsidR="003374BC" w:rsidRPr="005921BE" w:rsidRDefault="003374BC" w:rsidP="003374BC">
      <w:pPr>
        <w:tabs>
          <w:tab w:val="left" w:pos="1710"/>
        </w:tabs>
        <w:rPr>
          <w:i/>
          <w:color w:val="000000"/>
          <w:szCs w:val="22"/>
          <w:lang w:val="es-ES"/>
        </w:rPr>
      </w:pPr>
      <w:r w:rsidRPr="005921BE">
        <w:rPr>
          <w:i/>
          <w:color w:val="000000"/>
          <w:szCs w:val="22"/>
          <w:lang w:val="es-ES"/>
        </w:rPr>
        <w:t>El derecho a la autodeterminación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Además, el “derecho a mantener, controlar, proteger y desarrollar” aspectos de su patrimonio cultural articulado en el artículo 31 de la Declaración es un componente del derecho de autodeterminación, que se consagra para “todos los pueblos” en los pactos internacionales </w:t>
      </w:r>
      <w:r w:rsidRPr="005921BE">
        <w:rPr>
          <w:lang w:val="es-ES"/>
        </w:rPr>
        <w:lastRenderedPageBreak/>
        <w:t>sobre derechos humanos</w:t>
      </w:r>
      <w:r w:rsidRPr="005921BE">
        <w:rPr>
          <w:vertAlign w:val="superscript"/>
          <w:lang w:val="es-ES"/>
        </w:rPr>
        <w:footnoteReference w:id="8"/>
      </w:r>
      <w:r w:rsidRPr="005921BE">
        <w:rPr>
          <w:lang w:val="es-ES"/>
        </w:rPr>
        <w:t xml:space="preserve"> 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Pr="005921BE">
        <w:rPr>
          <w:vertAlign w:val="superscript"/>
          <w:lang w:val="es-ES"/>
        </w:rPr>
        <w:footnoteReference w:id="9"/>
      </w:r>
    </w:p>
    <w:p w:rsidR="003374BC" w:rsidRPr="005921BE" w:rsidRDefault="003374BC" w:rsidP="003374BC">
      <w:pPr>
        <w:pStyle w:val="ONUMFS"/>
        <w:rPr>
          <w:lang w:val="es-ES"/>
        </w:rPr>
      </w:pPr>
      <w:r w:rsidRPr="005921BE">
        <w:rPr>
          <w:lang w:val="es-ES"/>
        </w:rPr>
        <w:t>Como parte de su derecho a la autodeterminación, los pueblos indígenas “tienen derecho a la autonomía o al autogobierno en las cuestiones relacionadas con sus asuntos internos y locales”.</w:t>
      </w:r>
      <w:r w:rsidRPr="005921BE">
        <w:rPr>
          <w:vertAlign w:val="superscript"/>
          <w:lang w:val="es-ES"/>
        </w:rPr>
        <w:footnoteReference w:id="10"/>
      </w:r>
      <w:r w:rsidRPr="005921BE">
        <w:rPr>
          <w:lang w:val="es-ES"/>
        </w:rPr>
        <w:t xml:space="preserve">  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otros dicha materia.</w:t>
      </w:r>
    </w:p>
    <w:p w:rsidR="003374BC" w:rsidRPr="005921BE" w:rsidRDefault="003374BC" w:rsidP="003374BC">
      <w:pPr>
        <w:tabs>
          <w:tab w:val="left" w:pos="1710"/>
        </w:tabs>
        <w:rPr>
          <w:i/>
          <w:color w:val="000000"/>
          <w:szCs w:val="22"/>
          <w:lang w:val="es-ES"/>
        </w:rPr>
      </w:pPr>
      <w:r w:rsidRPr="005921BE">
        <w:rPr>
          <w:i/>
          <w:color w:val="000000"/>
          <w:szCs w:val="22"/>
          <w:lang w:val="es-ES"/>
        </w:rPr>
        <w:t>La obligación de los Estados a aplicar los derechos humanos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Como corolario de todos los derechos humanos reconocidos internacionalmente está el deber de los Estados de respetarlos, protegerlos y hacerlos cumplir.  Este deber se consagra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consagrados en el artículo 31 se prescribe que “[c]onjuntamente con los pueblos indígenas, los Estados adoptarán medidas eficaces para reconocer y proteger el ejercicio de estos derechos.”  Al adoptar esas medidas efectivas, deberán tenerse en cuenta los intereses generales de la sociedad y los derechos humanos de otros, según se estipula en el artículo 46 de la Declaración;  pero al final deberán reconocerse y protegerse los derechos específicos de los pueblos indígenas, y armonizarse con los derechos humanos de todos.</w:t>
      </w:r>
    </w:p>
    <w:p w:rsidR="003374BC" w:rsidRPr="005921BE" w:rsidRDefault="003374BC" w:rsidP="003374BC">
      <w:pPr>
        <w:tabs>
          <w:tab w:val="left" w:pos="1710"/>
        </w:tabs>
        <w:rPr>
          <w:i/>
          <w:color w:val="000000"/>
          <w:szCs w:val="22"/>
          <w:lang w:val="es-ES"/>
        </w:rPr>
      </w:pPr>
      <w:r w:rsidRPr="005921BE">
        <w:rPr>
          <w:i/>
          <w:color w:val="000000"/>
          <w:szCs w:val="22"/>
          <w:lang w:val="es-ES"/>
        </w:rPr>
        <w:t>Consentimiento fundamentado previo y libre</w:t>
      </w:r>
    </w:p>
    <w:p w:rsidR="003374BC" w:rsidRPr="005921BE" w:rsidRDefault="003374BC" w:rsidP="003374BC">
      <w:pPr>
        <w:tabs>
          <w:tab w:val="left" w:pos="1710"/>
        </w:tabs>
        <w:rPr>
          <w:color w:val="000000"/>
          <w:szCs w:val="22"/>
          <w:lang w:val="es-ES"/>
        </w:rPr>
      </w:pPr>
    </w:p>
    <w:p w:rsidR="003374BC" w:rsidRDefault="003374BC" w:rsidP="003374BC">
      <w:pPr>
        <w:pStyle w:val="ONUMFS"/>
        <w:rPr>
          <w:lang w:val="es-ES"/>
        </w:rPr>
      </w:pPr>
      <w:r w:rsidRPr="005921BE">
        <w:rPr>
          <w:lang w:val="es-ES"/>
        </w:rPr>
        <w:t>Entre los deberes positivos de los Estados a fin de proteger los derechos de los pueblos indígenas se halla el de velar por que se celebren consultas con ellos para obtener su consentimiento fundamentado previo y libre antes de adoptar medidas que afecten materialmente al goce de sus derechos.</w:t>
      </w:r>
      <w:r w:rsidRPr="005921BE">
        <w:rPr>
          <w:vertAlign w:val="superscript"/>
          <w:lang w:val="es-ES"/>
        </w:rPr>
        <w:footnoteReference w:id="11"/>
      </w:r>
      <w:r w:rsidRPr="005921BE">
        <w:rPr>
          <w:lang w:val="es-ES"/>
        </w:rPr>
        <w:t xml:space="preserve">  Por ejemplo, el Comité para la Eliminación de la Discriminación Racial ha confirmado repetidamente que normalmente solo podrá accederse a los recursos naturales de los pueblos indígenas, incluidos los recursos genéticos, con su consentimiento.</w:t>
      </w:r>
      <w:r w:rsidRPr="005921BE">
        <w:rPr>
          <w:vertAlign w:val="superscript"/>
          <w:lang w:val="es-ES"/>
        </w:rPr>
        <w:footnoteReference w:id="12"/>
      </w:r>
      <w:r w:rsidRPr="005921BE">
        <w:rPr>
          <w:lang w:val="es-ES"/>
        </w:rPr>
        <w:t xml:space="preserve">  En cuanto a los conocimientos y las expresiones culturales tradicionales, el Comité de Derechos Económicos, Sociales y Culturales ha subrayado que los Estados “deberían respetar, siempre que sea posible, el principio del consentimiento libre, previo y fundado de los autores indígenas”.</w:t>
      </w:r>
      <w:r w:rsidRPr="005921BE">
        <w:rPr>
          <w:vertAlign w:val="superscript"/>
          <w:lang w:val="es-ES"/>
        </w:rPr>
        <w:footnoteReference w:id="13"/>
      </w:r>
      <w:r w:rsidRPr="005921BE">
        <w:rPr>
          <w:lang w:val="es-ES"/>
        </w:rPr>
        <w:t xml:space="preserve">  El principio del consentimiento fundamentado previo y libre también gana aceptación en la práctica.</w:t>
      </w:r>
      <w:r w:rsidRPr="005921BE">
        <w:rPr>
          <w:vertAlign w:val="superscript"/>
          <w:lang w:val="es-ES"/>
        </w:rPr>
        <w:footnoteReference w:id="14"/>
      </w:r>
      <w:r w:rsidRPr="005921BE">
        <w:rPr>
          <w:lang w:val="es-ES"/>
        </w:rPr>
        <w:t xml:space="preserve">  Por lo tanto, por regla general, no se deberá tener acceso a los recursos genéticos, conocimientos tradicionales y expresiones culturales de los pueblos indígenas ni utilizarlos sin su consentimiento, bajo las condiciones que estén en </w:t>
      </w:r>
      <w:r w:rsidRPr="005921BE">
        <w:rPr>
          <w:lang w:val="es-ES"/>
        </w:rPr>
        <w:lastRenderedPageBreak/>
        <w:t>concordancia con los derechos afectados.  El principio del consentimiento funciona como protección para el goce de los derechos reconocidos en las fuentes internacionales autorizadas, incluidas las mencionadas anteriormente, y es instrumental para ello.</w:t>
      </w:r>
    </w:p>
    <w:p w:rsidR="00353565" w:rsidRPr="005921BE" w:rsidRDefault="00353565" w:rsidP="00353565">
      <w:pPr>
        <w:pStyle w:val="ONUMFS"/>
        <w:numPr>
          <w:ilvl w:val="0"/>
          <w:numId w:val="0"/>
        </w:numPr>
        <w:rPr>
          <w:lang w:val="es-ES"/>
        </w:rPr>
      </w:pPr>
    </w:p>
    <w:p w:rsidR="003374BC" w:rsidRPr="005921BE" w:rsidRDefault="003374BC" w:rsidP="003374BC">
      <w:pPr>
        <w:rPr>
          <w:b/>
          <w:color w:val="000000"/>
          <w:szCs w:val="22"/>
          <w:lang w:val="es-ES"/>
        </w:rPr>
      </w:pPr>
      <w:r w:rsidRPr="005921BE">
        <w:rPr>
          <w:b/>
          <w:color w:val="000000"/>
          <w:szCs w:val="22"/>
          <w:lang w:val="es-ES"/>
        </w:rPr>
        <w:t>III.</w:t>
      </w:r>
      <w:r w:rsidRPr="005921BE">
        <w:rPr>
          <w:b/>
          <w:color w:val="000000"/>
          <w:szCs w:val="22"/>
          <w:lang w:val="es-ES"/>
        </w:rPr>
        <w:tab/>
        <w:t xml:space="preserve">El proyecto de texto sobre los recursos genéticos (Anexo del documento WIPO/GRTKF/IC/28/4) </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El proyecto de texto sobre la protección de los recursos genéticos tiene por fin impedir la apropiación y el patentamiento indebidos de las propiedades de esos recursos y de los conocimientos tradicionales conexos por parte de quienes no hayan descubierto o creado dichas propiedades o conocimientos tradicionales.</w:t>
      </w:r>
    </w:p>
    <w:p w:rsidR="003374BC" w:rsidRPr="005921BE" w:rsidRDefault="003374BC" w:rsidP="003374BC">
      <w:pPr>
        <w:tabs>
          <w:tab w:val="left" w:pos="1710"/>
        </w:tabs>
        <w:rPr>
          <w:i/>
          <w:color w:val="000000"/>
          <w:szCs w:val="22"/>
          <w:lang w:val="es-ES"/>
        </w:rPr>
      </w:pPr>
      <w:r w:rsidRPr="005921BE">
        <w:rPr>
          <w:i/>
          <w:color w:val="000000"/>
          <w:szCs w:val="22"/>
          <w:lang w:val="es-ES"/>
        </w:rPr>
        <w:t>Divulgación:  El mecanismo fundamental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3374BC" w:rsidRPr="005921BE" w:rsidRDefault="003374BC" w:rsidP="003374BC">
      <w:pPr>
        <w:tabs>
          <w:tab w:val="left" w:pos="1710"/>
        </w:tabs>
        <w:rPr>
          <w:i/>
          <w:color w:val="000000"/>
          <w:szCs w:val="22"/>
          <w:lang w:val="es-ES"/>
        </w:rPr>
      </w:pPr>
      <w:r w:rsidRPr="005921BE">
        <w:rPr>
          <w:i/>
          <w:color w:val="000000"/>
          <w:szCs w:val="22"/>
          <w:lang w:val="es-ES"/>
        </w:rPr>
        <w:t>Ausencia de reconocimiento de los pueblos indígenas en calidad de titulares de derechos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En cualquier caso, al basarse en un mecanismo preventivo de divulgación, el proyecto de instrumento no va hasta el punto de prever o exigir el reconocimiento positivo 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exige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figuran explícitamente en la parte dispositiva del proyecto de instrumento. </w:t>
      </w:r>
    </w:p>
    <w:p w:rsidR="003374BC" w:rsidRDefault="003374BC" w:rsidP="003374BC">
      <w:pPr>
        <w:pStyle w:val="ONUMFS"/>
        <w:rPr>
          <w:lang w:val="es-ES"/>
        </w:rPr>
      </w:pPr>
      <w:r w:rsidRPr="005921BE">
        <w:rPr>
          <w:lang w:val="es-ES"/>
        </w:rPr>
        <w:t>Esta omisión es motivo de inquietud, puesto que en la práctica puede habilitar la postura de resistencia, actual o potencial, a tratar a los pueblos indígenas como titulares de derechos de propiedad sobre los recursos genéticos y los conocimientos conexos que han poseído debidamente.  Por otra parte, de mantenerse esa omisión, no podría interpretarse correctamente en el sentido de que implica un fundamento jurídico para negar los derechos de los pueblos indígenas sobre los recursos genéticos, que se basan en la Declaración sobre los derechos de los pueblos indígenas y otras fuentes internacionales.</w:t>
      </w:r>
    </w:p>
    <w:p w:rsidR="00353565" w:rsidRPr="005921BE" w:rsidRDefault="00353565" w:rsidP="00353565">
      <w:pPr>
        <w:pStyle w:val="ONUMFS"/>
        <w:numPr>
          <w:ilvl w:val="0"/>
          <w:numId w:val="0"/>
        </w:numPr>
        <w:rPr>
          <w:lang w:val="es-ES"/>
        </w:rPr>
      </w:pPr>
    </w:p>
    <w:p w:rsidR="003374BC" w:rsidRPr="005921BE" w:rsidRDefault="003374BC" w:rsidP="003374BC">
      <w:pPr>
        <w:rPr>
          <w:b/>
          <w:color w:val="000000"/>
          <w:szCs w:val="22"/>
          <w:lang w:val="es-ES"/>
        </w:rPr>
      </w:pPr>
      <w:r w:rsidRPr="005921BE">
        <w:rPr>
          <w:b/>
          <w:color w:val="000000"/>
          <w:szCs w:val="22"/>
          <w:lang w:val="es-ES"/>
        </w:rPr>
        <w:lastRenderedPageBreak/>
        <w:t>IV.</w:t>
      </w:r>
      <w:r w:rsidRPr="005921BE">
        <w:rPr>
          <w:b/>
          <w:color w:val="000000"/>
          <w:szCs w:val="22"/>
          <w:lang w:val="es-ES"/>
        </w:rPr>
        <w:tab/>
        <w:t>Los proyectos de texto sobre los conocimientos tradicionales (Anexo del documento WIPO/GRTKF/IC/28/5) y las expresiones culturales tradicionales (Anexo del documento WIPO/GRTKF/IC/28/6)</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Los otros dos instrumentos tiene por objetivo respectivamente la protección de los conocimientos tradicionales y las expresiones culturales tradicionales.</w:t>
      </w:r>
    </w:p>
    <w:p w:rsidR="003374BC" w:rsidRPr="005921BE" w:rsidRDefault="003374BC" w:rsidP="003374BC">
      <w:pPr>
        <w:tabs>
          <w:tab w:val="left" w:pos="1710"/>
        </w:tabs>
        <w:rPr>
          <w:i/>
          <w:color w:val="000000"/>
          <w:szCs w:val="22"/>
          <w:lang w:val="es-ES"/>
        </w:rPr>
      </w:pPr>
      <w:r w:rsidRPr="005921BE">
        <w:rPr>
          <w:i/>
          <w:color w:val="000000"/>
          <w:szCs w:val="22"/>
          <w:lang w:val="es-ES"/>
        </w:rPr>
        <w:t>Beneficiarios</w:t>
      </w:r>
    </w:p>
    <w:p w:rsidR="003374BC" w:rsidRPr="005921BE" w:rsidRDefault="003374BC" w:rsidP="003374BC">
      <w:pPr>
        <w:tabs>
          <w:tab w:val="left" w:pos="1710"/>
        </w:tabs>
        <w:rPr>
          <w:i/>
          <w:color w:val="000000"/>
          <w:szCs w:val="22"/>
          <w:lang w:val="es-ES"/>
        </w:rPr>
      </w:pPr>
    </w:p>
    <w:p w:rsidR="003374BC" w:rsidRPr="005921BE" w:rsidRDefault="003374BC" w:rsidP="003374BC">
      <w:pPr>
        <w:pStyle w:val="ONUMFS"/>
        <w:rPr>
          <w:lang w:val="es-ES"/>
        </w:rPr>
      </w:pPr>
      <w:r w:rsidRPr="005921BE">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3374BC" w:rsidRPr="005921BE" w:rsidRDefault="003374BC" w:rsidP="003374BC">
      <w:pPr>
        <w:tabs>
          <w:tab w:val="left" w:pos="1710"/>
        </w:tabs>
        <w:rPr>
          <w:i/>
          <w:color w:val="000000"/>
          <w:szCs w:val="22"/>
          <w:lang w:val="es-ES"/>
        </w:rPr>
      </w:pPr>
      <w:r w:rsidRPr="005921BE">
        <w:rPr>
          <w:i/>
          <w:color w:val="000000"/>
          <w:szCs w:val="22"/>
          <w:lang w:val="es-ES"/>
        </w:rPr>
        <w:t>El alcance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p>
    <w:p w:rsidR="003374BC" w:rsidRPr="005921BE" w:rsidRDefault="003374BC" w:rsidP="003374BC">
      <w:pPr>
        <w:pStyle w:val="ONUMFS"/>
        <w:rPr>
          <w:lang w:val="es-ES"/>
        </w:rPr>
      </w:pPr>
      <w:r w:rsidRPr="005921BE">
        <w:rPr>
          <w:lang w:val="es-ES"/>
        </w:rPr>
        <w:t>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tradicionales en cuestión o posee la exclusividad sobre ellos.  En el extremo del espectro en el que se halla el nivel más alto de protección figuran los conocimientos y las expresiones culturales tradicionales 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equitativos de todo uso autorizado.</w:t>
      </w:r>
    </w:p>
    <w:p w:rsidR="003374BC" w:rsidRPr="005921BE" w:rsidRDefault="003374BC" w:rsidP="003374BC">
      <w:pPr>
        <w:pStyle w:val="ONUMFS"/>
        <w:rPr>
          <w:lang w:val="es-ES"/>
        </w:rPr>
      </w:pPr>
      <w:r w:rsidRPr="005921BE">
        <w:rPr>
          <w:lang w:val="es-ES"/>
        </w:rPr>
        <w:t>En el otro extremo del espectro 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la participación en los beneficios o el uso.  La participación en los beneficios y otros tipos de protección se aplicarán en los casos situados en mitad de los dos extremos.</w:t>
      </w:r>
    </w:p>
    <w:p w:rsidR="003374BC" w:rsidRPr="005921BE" w:rsidRDefault="003374BC" w:rsidP="003374BC">
      <w:pPr>
        <w:pStyle w:val="ONUMFS"/>
        <w:rPr>
          <w:lang w:val="es-ES"/>
        </w:rPr>
      </w:pPr>
      <w:r w:rsidRPr="005921BE">
        <w:rPr>
          <w:lang w:val="es-ES"/>
        </w:rPr>
        <w:t>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de un amplio sector, salvo que se satisfagan determinadas condiciones relativas a la creatividad individual.</w:t>
      </w:r>
    </w:p>
    <w:p w:rsidR="003374BC" w:rsidRPr="005921BE" w:rsidRDefault="003374BC" w:rsidP="003374BC">
      <w:pPr>
        <w:pStyle w:val="ONUMFS"/>
        <w:rPr>
          <w:lang w:val="es-ES"/>
        </w:rPr>
      </w:pPr>
      <w:r w:rsidRPr="005921BE">
        <w:rPr>
          <w:lang w:val="es-ES"/>
        </w:rPr>
        <w:lastRenderedPageBreak/>
        <w:t>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parte esencial de las culturas y sociedades de los pueblos indígenas.  Como ha sostenido el Comité de Derechos Económicos, Sociales y Culturales:  “Mientras que… los derechos de propiedad intelectual… pueden ser… de alcance y duración limitados… los derechos humanos son la expresión imperecedera de un título fundamental de la persona humana”;  además, la protección de los derechos humanos salvaguarda los vínculos entre “los pueblos… y su patrimonio cultural colectivo”.</w:t>
      </w:r>
      <w:r w:rsidRPr="005921BE">
        <w:rPr>
          <w:vertAlign w:val="superscript"/>
          <w:lang w:val="es-ES"/>
        </w:rPr>
        <w:footnoteReference w:id="15"/>
      </w:r>
      <w:r w:rsidRPr="005921BE">
        <w:rPr>
          <w:lang w:val="es-ES"/>
        </w:rPr>
        <w:t xml:space="preserve"> 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Pr="005921BE">
        <w:rPr>
          <w:vertAlign w:val="superscript"/>
          <w:lang w:val="es-ES"/>
        </w:rPr>
        <w:footnoteReference w:id="16"/>
      </w:r>
      <w:r w:rsidRPr="005921BE">
        <w:rPr>
          <w:lang w:val="es-ES"/>
        </w:rPr>
        <w:t>, 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3374BC" w:rsidRPr="005921BE" w:rsidRDefault="003374BC" w:rsidP="003374BC">
      <w:pPr>
        <w:tabs>
          <w:tab w:val="left" w:pos="1710"/>
        </w:tabs>
        <w:rPr>
          <w:i/>
          <w:color w:val="000000"/>
          <w:szCs w:val="22"/>
          <w:lang w:val="es-ES"/>
        </w:rPr>
      </w:pPr>
      <w:r w:rsidRPr="005921BE">
        <w:rPr>
          <w:i/>
          <w:color w:val="000000"/>
          <w:szCs w:val="22"/>
          <w:lang w:val="es-ES"/>
        </w:rPr>
        <w:t>Duración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Pr="005921BE">
        <w:rPr>
          <w:vertAlign w:val="superscript"/>
          <w:lang w:val="es-ES"/>
        </w:rPr>
        <w:footnoteReference w:id="17"/>
      </w:r>
      <w:r w:rsidRPr="005921BE">
        <w:rPr>
          <w:lang w:val="es-ES"/>
        </w:rPr>
        <w:t xml:space="preserve"> </w:t>
      </w:r>
    </w:p>
    <w:p w:rsidR="003374BC" w:rsidRPr="005921BE" w:rsidRDefault="003374BC" w:rsidP="003374BC">
      <w:pPr>
        <w:tabs>
          <w:tab w:val="left" w:pos="1710"/>
        </w:tabs>
        <w:rPr>
          <w:i/>
          <w:color w:val="000000"/>
          <w:szCs w:val="22"/>
          <w:lang w:val="es-ES"/>
        </w:rPr>
      </w:pPr>
      <w:r w:rsidRPr="005921BE">
        <w:rPr>
          <w:i/>
          <w:color w:val="000000"/>
          <w:szCs w:val="22"/>
          <w:lang w:val="es-ES"/>
        </w:rPr>
        <w:t>Excepciones y limitaciones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culturales tradicionales de los pueblos indígenas que puedan considerarse de otro modo que se hallan en el dominio público a fin de cumplir con las normas en materia de derechos humanos.  Esto implica necesariamente que esas normas de derechos humanos también </w:t>
      </w:r>
      <w:r w:rsidRPr="005921BE">
        <w:rPr>
          <w:lang w:val="es-ES"/>
        </w:rPr>
        <w:lastRenderedPageBreak/>
        <w:t>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protección en absoluto.  Toda posible excepción o limitación debería definirse y formularse concretamente en los instrumentos, y debería garantizarse el cumplimiento de las normas de derechos humanos.</w:t>
      </w:r>
    </w:p>
    <w:p w:rsidR="003374BC" w:rsidRPr="005921BE" w:rsidRDefault="003374BC" w:rsidP="003374BC">
      <w:pPr>
        <w:tabs>
          <w:tab w:val="left" w:pos="1710"/>
        </w:tabs>
        <w:rPr>
          <w:i/>
          <w:color w:val="000000"/>
          <w:szCs w:val="22"/>
          <w:lang w:val="es-ES"/>
        </w:rPr>
      </w:pPr>
      <w:r w:rsidRPr="005921BE">
        <w:rPr>
          <w:i/>
          <w:color w:val="000000"/>
          <w:szCs w:val="22"/>
          <w:lang w:val="es-ES"/>
        </w:rPr>
        <w:t>Definición de apropiación indebida</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De manera parecida a los proyectos de artículos sobre excepciones y limitaciones, las disposiciones relativas a la apropiación indebida contienen propuestas que dan a entender que las apropiaciones indebidas de conocimientos o expresiones culturales tradicionales han de definirse como violaciones de la legislación nacional.  Ese tipo de propuestas vuelven a ser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utilizados por personas distintas de quienes los hayan generado o creado.  En cambio, para estar en concordancia con las normas en materia de derechos humanos, debería definirse la apropiación indebida como lo que tiene lugar cuando alguien accede sin consentimiento a los conocimientos y expresiones culturales tradicionales.</w:t>
      </w:r>
    </w:p>
    <w:p w:rsidR="003374BC" w:rsidRPr="005921BE" w:rsidRDefault="003374BC" w:rsidP="003374BC">
      <w:pPr>
        <w:pStyle w:val="ONUMFS"/>
        <w:numPr>
          <w:ilvl w:val="0"/>
          <w:numId w:val="0"/>
        </w:numPr>
        <w:rPr>
          <w:szCs w:val="22"/>
          <w:lang w:val="es-ES"/>
        </w:rPr>
      </w:pPr>
    </w:p>
    <w:p w:rsidR="003374BC" w:rsidRPr="005921BE" w:rsidRDefault="003374BC" w:rsidP="003374BC">
      <w:pPr>
        <w:pStyle w:val="Endofdocument"/>
        <w:rPr>
          <w:rFonts w:ascii="Arial" w:hAnsi="Arial" w:cs="Arial"/>
          <w:sz w:val="22"/>
          <w:szCs w:val="22"/>
          <w:lang w:val="es-ES"/>
        </w:rPr>
      </w:pPr>
      <w:r w:rsidRPr="005921BE">
        <w:rPr>
          <w:rFonts w:ascii="Arial" w:hAnsi="Arial" w:cs="Arial"/>
          <w:sz w:val="22"/>
          <w:szCs w:val="22"/>
          <w:lang w:val="es-ES"/>
        </w:rPr>
        <w:t>[Fin del Anexo y del documento]</w:t>
      </w:r>
    </w:p>
    <w:p w:rsidR="00BD75DB" w:rsidRPr="00274710" w:rsidRDefault="00BD75DB" w:rsidP="003374BC">
      <w:pPr>
        <w:rPr>
          <w:lang w:val="es-ES"/>
        </w:rPr>
      </w:pPr>
    </w:p>
    <w:sectPr w:rsidR="00BD75DB" w:rsidRPr="00274710"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09" w:rsidRDefault="003C0E09">
      <w:r>
        <w:separator/>
      </w:r>
    </w:p>
  </w:endnote>
  <w:endnote w:type="continuationSeparator" w:id="0">
    <w:p w:rsidR="003C0E09" w:rsidRDefault="003C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09" w:rsidRDefault="003C0E09">
      <w:r>
        <w:separator/>
      </w:r>
    </w:p>
  </w:footnote>
  <w:footnote w:type="continuationSeparator" w:id="0">
    <w:p w:rsidR="003C0E09" w:rsidRDefault="003C0E09">
      <w:r>
        <w:continuationSeparator/>
      </w:r>
    </w:p>
  </w:footnote>
  <w:footnote w:id="1">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UNPFII, documento E/2012/43 – E/C.19/2012/13.</w:t>
      </w:r>
    </w:p>
  </w:footnote>
  <w:footnote w:id="2">
    <w:p w:rsidR="003374BC" w:rsidRPr="00F24488" w:rsidRDefault="003374BC" w:rsidP="003374BC">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A.G. (2007), art. 31.1 (“Declaración sobre los </w:t>
      </w:r>
      <w:r>
        <w:rPr>
          <w:lang w:val="es-ES"/>
        </w:rPr>
        <w:t xml:space="preserve">derechos de los </w:t>
      </w:r>
      <w:r w:rsidRPr="00F24488">
        <w:rPr>
          <w:lang w:val="es-ES"/>
        </w:rPr>
        <w:t>pueblos indígenas”).</w:t>
      </w:r>
    </w:p>
  </w:footnote>
  <w:footnote w:id="3">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E/C.12/GC/21, pár. 37; Declaración Universal sobre la Diversidad Cultural, UNESCO 2001, art. 4.</w:t>
      </w:r>
    </w:p>
  </w:footnote>
  <w:footnote w:id="4">
    <w:p w:rsidR="003374BC" w:rsidRPr="00F24488" w:rsidRDefault="003374BC" w:rsidP="003374BC">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o. 23, CCPR/C/Rev.1/Add.5, pár.</w:t>
      </w:r>
      <w:r w:rsidRPr="00F24488">
        <w:rPr>
          <w:lang w:val="es-ES"/>
        </w:rPr>
        <w:t xml:space="preserve"> 7.</w:t>
      </w:r>
    </w:p>
  </w:footnote>
  <w:footnote w:id="5">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E/C.12/GC/17,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E/C./GC/21.</w:t>
      </w:r>
    </w:p>
  </w:footnote>
  <w:footnote w:id="6">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 xml:space="preserve">del Comité para la Eliminación de la Discriminación Racial y numerosas observaciones concretas de países </w:t>
      </w:r>
      <w:r w:rsidRPr="00F24488">
        <w:rPr>
          <w:lang w:val="es-ES"/>
        </w:rPr>
        <w:t>(</w:t>
      </w:r>
      <w:r>
        <w:rPr>
          <w:lang w:val="es-ES"/>
        </w:rPr>
        <w:t>por ejemplo, CERD/C/SWE/CO/19-21, pár</w:t>
      </w:r>
      <w:r w:rsidRPr="00F24488">
        <w:rPr>
          <w:lang w:val="es-ES"/>
        </w:rPr>
        <w:t>. 17).</w:t>
      </w:r>
    </w:p>
  </w:footnote>
  <w:footnote w:id="7">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r w:rsidRPr="00F24488">
        <w:rPr>
          <w:i/>
          <w:lang w:val="es-ES"/>
        </w:rPr>
        <w:t xml:space="preserve">Saramaka People </w:t>
      </w:r>
      <w:r>
        <w:rPr>
          <w:i/>
          <w:lang w:val="es-ES"/>
        </w:rPr>
        <w:t>c</w:t>
      </w:r>
      <w:r w:rsidRPr="00F24488">
        <w:rPr>
          <w:i/>
          <w:lang w:val="es-ES"/>
        </w:rPr>
        <w:t xml:space="preserve">. Suriname,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r w:rsidRPr="00F24488">
        <w:rPr>
          <w:i/>
          <w:lang w:val="es-ES"/>
        </w:rPr>
        <w:t xml:space="preserve">Ctr. for Minority Rights Dev. </w:t>
      </w:r>
      <w:r>
        <w:rPr>
          <w:i/>
          <w:lang w:val="es-ES"/>
        </w:rPr>
        <w:t>c</w:t>
      </w:r>
      <w:r w:rsidRPr="00F24488">
        <w:rPr>
          <w:i/>
          <w:lang w:val="es-ES"/>
        </w:rPr>
        <w:t>. Kenya</w:t>
      </w:r>
      <w:r w:rsidRPr="00F24488">
        <w:rPr>
          <w:lang w:val="es-ES"/>
        </w:rPr>
        <w:t>, Comm. 276/2003 27</w:t>
      </w:r>
      <w:r w:rsidRPr="00F24488">
        <w:rPr>
          <w:vertAlign w:val="superscript"/>
          <w:lang w:val="es-ES"/>
        </w:rPr>
        <w:t>th</w:t>
      </w:r>
      <w:r>
        <w:rPr>
          <w:lang w:val="es-ES"/>
        </w:rPr>
        <w:t xml:space="preserve"> ACHRR AAR Anexo (junio de</w:t>
      </w:r>
      <w:r w:rsidRPr="00F24488">
        <w:rPr>
          <w:lang w:val="es-ES"/>
        </w:rPr>
        <w:t xml:space="preserve"> 2009 – </w:t>
      </w:r>
      <w:r>
        <w:rPr>
          <w:lang w:val="es-ES"/>
        </w:rPr>
        <w:t>n</w:t>
      </w:r>
      <w:r w:rsidRPr="00F24488">
        <w:rPr>
          <w:lang w:val="es-ES"/>
        </w:rPr>
        <w:t>ov. 2009) (</w:t>
      </w:r>
      <w:r>
        <w:rPr>
          <w:lang w:val="es-ES"/>
        </w:rPr>
        <w:t xml:space="preserve">causa </w:t>
      </w:r>
      <w:r w:rsidRPr="00F24488">
        <w:rPr>
          <w:lang w:val="es-ES"/>
        </w:rPr>
        <w:t>Endorois).</w:t>
      </w:r>
    </w:p>
  </w:footnote>
  <w:footnote w:id="8">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9">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CCPR/C/79/Add.105,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r w:rsidRPr="00F24488">
        <w:rPr>
          <w:lang w:val="es-ES"/>
        </w:rPr>
        <w:t xml:space="preserve">CCPR/CO/74/SWE, </w:t>
      </w:r>
      <w:r>
        <w:rPr>
          <w:lang w:val="es-ES"/>
        </w:rPr>
        <w:t>pár. 15.</w:t>
      </w:r>
    </w:p>
  </w:footnote>
  <w:footnote w:id="10">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Pr>
          <w:lang w:val="es-ES"/>
        </w:rPr>
        <w:t>.</w:t>
      </w:r>
    </w:p>
  </w:footnote>
  <w:footnote w:id="11">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2">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y CERD/C/SWE/CO/19-21, pár</w:t>
      </w:r>
      <w:r w:rsidRPr="00F24488">
        <w:rPr>
          <w:lang w:val="es-ES"/>
        </w:rPr>
        <w:t>. 17.</w:t>
      </w:r>
    </w:p>
  </w:footnote>
  <w:footnote w:id="13">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4">
    <w:p w:rsidR="003374BC" w:rsidRPr="00FD4645" w:rsidRDefault="003374BC" w:rsidP="003374BC">
      <w:pPr>
        <w:pStyle w:val="FootnoteText"/>
        <w:jc w:val="both"/>
        <w:rPr>
          <w:rStyle w:val="FootnoteReference"/>
          <w:szCs w:val="18"/>
          <w:vertAlign w:val="baseline"/>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considerable atención a examinar la delimitación de este principio.  Véase, por ejemplo, A/HRC/12/34,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A/HRC/21/47, pár</w:t>
      </w:r>
      <w:r w:rsidRPr="00F24488">
        <w:rPr>
          <w:spacing w:val="-2"/>
          <w:szCs w:val="18"/>
          <w:lang w:val="es-ES"/>
        </w:rPr>
        <w:t xml:space="preserve">s. 47-53 </w:t>
      </w:r>
      <w:r>
        <w:rPr>
          <w:spacing w:val="-2"/>
          <w:szCs w:val="18"/>
          <w:lang w:val="es-ES"/>
        </w:rPr>
        <w:t xml:space="preserve">y </w:t>
      </w:r>
      <w:r w:rsidRPr="00F24488">
        <w:rPr>
          <w:spacing w:val="-2"/>
          <w:szCs w:val="18"/>
          <w:lang w:val="es-ES"/>
        </w:rPr>
        <w:t>62-71</w:t>
      </w:r>
      <w:r w:rsidRPr="00FD4645">
        <w:rPr>
          <w:spacing w:val="-2"/>
          <w:szCs w:val="18"/>
          <w:lang w:val="es-ES"/>
        </w:rPr>
        <w:t>.</w:t>
      </w:r>
    </w:p>
  </w:footnote>
  <w:footnote w:id="15">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6">
    <w:p w:rsidR="003374BC" w:rsidRPr="005921BE" w:rsidRDefault="003374BC" w:rsidP="003374BC">
      <w:pPr>
        <w:pStyle w:val="FootnoteText"/>
      </w:pPr>
      <w:r w:rsidRPr="00F24488">
        <w:rPr>
          <w:rStyle w:val="FootnoteReference"/>
          <w:lang w:val="es-ES"/>
        </w:rPr>
        <w:footnoteRef/>
      </w:r>
      <w:r w:rsidRPr="005921BE">
        <w:t xml:space="preserve"> Véase S. James Anaya,</w:t>
      </w:r>
      <w:r w:rsidRPr="005921BE">
        <w:rPr>
          <w:i/>
        </w:rPr>
        <w:t xml:space="preserve"> Indigenous Peoples in International Law</w:t>
      </w:r>
      <w:r w:rsidRPr="005921BE">
        <w:t xml:space="preserve"> (Oxford Univ. Press, 2d. ed. 2004).</w:t>
      </w:r>
    </w:p>
  </w:footnote>
  <w:footnote w:id="17">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WIPO/GRTKF/IC/25/INF/9.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BC" w:rsidRPr="005921BE" w:rsidRDefault="003374BC" w:rsidP="00254151">
    <w:pPr>
      <w:jc w:val="right"/>
      <w:rPr>
        <w:lang w:val="es-ES"/>
      </w:rPr>
    </w:pPr>
    <w:r w:rsidRPr="005921BE">
      <w:rPr>
        <w:lang w:val="es-ES"/>
      </w:rPr>
      <w:t>WIPO/GRTKF/IC/</w:t>
    </w:r>
    <w:r w:rsidR="00B11199">
      <w:rPr>
        <w:lang w:val="es-ES"/>
      </w:rPr>
      <w:t>31</w:t>
    </w:r>
    <w:r w:rsidRPr="005921BE">
      <w:rPr>
        <w:lang w:val="es-ES"/>
      </w:rPr>
      <w:t>/INF/</w:t>
    </w:r>
    <w:r w:rsidR="00B11199">
      <w:rPr>
        <w:lang w:val="es-ES"/>
      </w:rPr>
      <w:t>9</w:t>
    </w:r>
  </w:p>
  <w:p w:rsidR="003374BC" w:rsidRPr="005921BE" w:rsidRDefault="003374BC" w:rsidP="00254151">
    <w:pPr>
      <w:jc w:val="right"/>
      <w:rPr>
        <w:lang w:val="es-ES"/>
      </w:rPr>
    </w:pPr>
    <w:r w:rsidRPr="005921BE">
      <w:rPr>
        <w:lang w:val="es-ES"/>
      </w:rPr>
      <w:t xml:space="preserve">página </w:t>
    </w:r>
    <w:r>
      <w:fldChar w:fldCharType="begin"/>
    </w:r>
    <w:r w:rsidRPr="005921BE">
      <w:rPr>
        <w:lang w:val="es-ES"/>
      </w:rPr>
      <w:instrText xml:space="preserve"> PAGE  \* MERGEFORMAT </w:instrText>
    </w:r>
    <w:r>
      <w:fldChar w:fldCharType="separate"/>
    </w:r>
    <w:r w:rsidR="00933766">
      <w:rPr>
        <w:noProof/>
        <w:lang w:val="es-ES"/>
      </w:rPr>
      <w:t>2</w:t>
    </w:r>
    <w:r>
      <w:fldChar w:fldCharType="end"/>
    </w:r>
  </w:p>
  <w:p w:rsidR="003374BC" w:rsidRPr="005921BE" w:rsidRDefault="003374BC"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274710" w:rsidRDefault="00254456" w:rsidP="00254151">
    <w:pPr>
      <w:jc w:val="right"/>
      <w:rPr>
        <w:lang w:val="es-ES"/>
      </w:rPr>
    </w:pPr>
    <w:r w:rsidRPr="00274710">
      <w:rPr>
        <w:lang w:val="es-ES"/>
      </w:rPr>
      <w:t>W</w:t>
    </w:r>
    <w:r w:rsidR="00F9799A" w:rsidRPr="00274710">
      <w:rPr>
        <w:lang w:val="es-ES"/>
      </w:rPr>
      <w:t>IPO/GRTKF/IC/3</w:t>
    </w:r>
    <w:r w:rsidR="00861AE4">
      <w:rPr>
        <w:lang w:val="es-ES"/>
      </w:rPr>
      <w:t>1/INF/9</w:t>
    </w:r>
  </w:p>
  <w:p w:rsidR="00254456" w:rsidRPr="00274710" w:rsidRDefault="002F5442" w:rsidP="00254151">
    <w:pPr>
      <w:jc w:val="right"/>
      <w:rPr>
        <w:lang w:val="es-ES"/>
      </w:rPr>
    </w:pPr>
    <w:r w:rsidRPr="00274710">
      <w:rPr>
        <w:lang w:val="es-ES"/>
      </w:rPr>
      <w:t>Anex</w:t>
    </w:r>
    <w:r w:rsidR="00274710" w:rsidRPr="00274710">
      <w:rPr>
        <w:lang w:val="es-ES"/>
      </w:rPr>
      <w:t>o</w:t>
    </w:r>
    <w:r w:rsidRPr="00274710">
      <w:rPr>
        <w:lang w:val="es-ES"/>
      </w:rPr>
      <w:t xml:space="preserve">, </w:t>
    </w:r>
    <w:r w:rsidR="00254456" w:rsidRPr="00274710">
      <w:rPr>
        <w:lang w:val="es-ES"/>
      </w:rPr>
      <w:t>p</w:t>
    </w:r>
    <w:r w:rsidR="00274710" w:rsidRPr="00274710">
      <w:rPr>
        <w:lang w:val="es-ES"/>
      </w:rPr>
      <w:t>á</w:t>
    </w:r>
    <w:r w:rsidR="00254456" w:rsidRPr="00274710">
      <w:rPr>
        <w:lang w:val="es-ES"/>
      </w:rPr>
      <w:t>g</w:t>
    </w:r>
    <w:r w:rsidR="00274710" w:rsidRPr="00274710">
      <w:rPr>
        <w:lang w:val="es-ES"/>
      </w:rPr>
      <w:t>ina</w:t>
    </w:r>
    <w:r w:rsidR="00254456" w:rsidRPr="00274710">
      <w:rPr>
        <w:lang w:val="es-ES"/>
      </w:rPr>
      <w:t xml:space="preserve"> </w:t>
    </w:r>
    <w:r w:rsidR="00254456">
      <w:fldChar w:fldCharType="begin"/>
    </w:r>
    <w:r w:rsidR="00254456" w:rsidRPr="00274710">
      <w:rPr>
        <w:lang w:val="es-ES"/>
      </w:rPr>
      <w:instrText xml:space="preserve"> PAGE  \* MERGEFORMAT </w:instrText>
    </w:r>
    <w:r w:rsidR="00254456">
      <w:fldChar w:fldCharType="separate"/>
    </w:r>
    <w:r w:rsidR="00933766">
      <w:rPr>
        <w:noProof/>
        <w:lang w:val="es-ES"/>
      </w:rPr>
      <w:t>7</w:t>
    </w:r>
    <w:r w:rsidR="00254456">
      <w:fldChar w:fldCharType="end"/>
    </w:r>
  </w:p>
  <w:p w:rsidR="00254456" w:rsidRPr="00274710" w:rsidRDefault="00254456" w:rsidP="00254151">
    <w:pPr>
      <w:jc w:val="right"/>
      <w:rPr>
        <w:lang w:val="es-ES"/>
      </w:rPr>
    </w:pPr>
  </w:p>
  <w:p w:rsidR="007A006C" w:rsidRPr="00274710" w:rsidRDefault="007A006C" w:rsidP="00254151">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DB" w:rsidRDefault="00BD75DB">
    <w:pPr>
      <w:pStyle w:val="Header"/>
    </w:pPr>
  </w:p>
  <w:p w:rsidR="00BD75DB" w:rsidRDefault="00C85400" w:rsidP="00BD75DB">
    <w:pPr>
      <w:pStyle w:val="Header"/>
      <w:jc w:val="right"/>
    </w:pPr>
    <w:r>
      <w:t>WIPO</w:t>
    </w:r>
    <w:r w:rsidR="00F9799A">
      <w:t>/GRTKF/IC/3</w:t>
    </w:r>
    <w:r w:rsidR="00861AE4">
      <w:t>1/INF/9</w:t>
    </w:r>
  </w:p>
  <w:p w:rsidR="00BD75DB" w:rsidRDefault="00254456" w:rsidP="00BD75DB">
    <w:pPr>
      <w:pStyle w:val="Header"/>
      <w:jc w:val="right"/>
    </w:pPr>
    <w:r>
      <w:t>ANEX</w:t>
    </w:r>
    <w:r w:rsidR="00274710">
      <w:t>O</w:t>
    </w:r>
  </w:p>
  <w:p w:rsidR="00BD75DB" w:rsidRDefault="00BD75DB"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9"/>
  </w:num>
  <w:num w:numId="4">
    <w:abstractNumId w:val="7"/>
  </w:num>
  <w:num w:numId="5">
    <w:abstractNumId w:val="1"/>
  </w:num>
  <w:num w:numId="6">
    <w:abstractNumId w:val="6"/>
  </w:num>
  <w:num w:numId="7">
    <w:abstractNumId w:val="8"/>
  </w:num>
  <w:num w:numId="8">
    <w:abstractNumId w:val="5"/>
  </w:num>
  <w:num w:numId="9">
    <w:abstractNumId w:val="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5DE1"/>
    <w:rsid w:val="00014859"/>
    <w:rsid w:val="00014BAF"/>
    <w:rsid w:val="00015131"/>
    <w:rsid w:val="00021326"/>
    <w:rsid w:val="00035147"/>
    <w:rsid w:val="00067BE6"/>
    <w:rsid w:val="000751E6"/>
    <w:rsid w:val="00076C56"/>
    <w:rsid w:val="00082CE5"/>
    <w:rsid w:val="00094DB0"/>
    <w:rsid w:val="000A7863"/>
    <w:rsid w:val="000F15C1"/>
    <w:rsid w:val="000F5E56"/>
    <w:rsid w:val="00122DF0"/>
    <w:rsid w:val="00144226"/>
    <w:rsid w:val="00181F91"/>
    <w:rsid w:val="00194282"/>
    <w:rsid w:val="001D4831"/>
    <w:rsid w:val="001D6B66"/>
    <w:rsid w:val="001E6B0C"/>
    <w:rsid w:val="001E71FA"/>
    <w:rsid w:val="00227F28"/>
    <w:rsid w:val="00231A7F"/>
    <w:rsid w:val="00237730"/>
    <w:rsid w:val="00254151"/>
    <w:rsid w:val="00254456"/>
    <w:rsid w:val="0027424D"/>
    <w:rsid w:val="00274710"/>
    <w:rsid w:val="00286A5B"/>
    <w:rsid w:val="002D7D9B"/>
    <w:rsid w:val="002E5A9C"/>
    <w:rsid w:val="002E6FFB"/>
    <w:rsid w:val="002F0D78"/>
    <w:rsid w:val="002F36EE"/>
    <w:rsid w:val="002F5442"/>
    <w:rsid w:val="00300E66"/>
    <w:rsid w:val="00302338"/>
    <w:rsid w:val="00321D0C"/>
    <w:rsid w:val="00322EBF"/>
    <w:rsid w:val="003374BC"/>
    <w:rsid w:val="00337B8D"/>
    <w:rsid w:val="00353565"/>
    <w:rsid w:val="00353B44"/>
    <w:rsid w:val="00360FC1"/>
    <w:rsid w:val="003701F0"/>
    <w:rsid w:val="00383EE4"/>
    <w:rsid w:val="00395756"/>
    <w:rsid w:val="003A7431"/>
    <w:rsid w:val="003B1E1C"/>
    <w:rsid w:val="003C0E09"/>
    <w:rsid w:val="003C1CB3"/>
    <w:rsid w:val="003C631D"/>
    <w:rsid w:val="003D778B"/>
    <w:rsid w:val="00422B53"/>
    <w:rsid w:val="00431118"/>
    <w:rsid w:val="00432381"/>
    <w:rsid w:val="004406CC"/>
    <w:rsid w:val="0044605A"/>
    <w:rsid w:val="0045393A"/>
    <w:rsid w:val="0049441F"/>
    <w:rsid w:val="004A1B89"/>
    <w:rsid w:val="004D1E94"/>
    <w:rsid w:val="004D66C5"/>
    <w:rsid w:val="004F1EE8"/>
    <w:rsid w:val="00501A0D"/>
    <w:rsid w:val="0050773F"/>
    <w:rsid w:val="00523B06"/>
    <w:rsid w:val="00535AF3"/>
    <w:rsid w:val="00544CAE"/>
    <w:rsid w:val="00551AA3"/>
    <w:rsid w:val="005540A9"/>
    <w:rsid w:val="005A24B5"/>
    <w:rsid w:val="005C16F6"/>
    <w:rsid w:val="005C6173"/>
    <w:rsid w:val="005D0BEE"/>
    <w:rsid w:val="005D51DD"/>
    <w:rsid w:val="005D6E66"/>
    <w:rsid w:val="00602B74"/>
    <w:rsid w:val="00606FE3"/>
    <w:rsid w:val="00637896"/>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D2DD5"/>
    <w:rsid w:val="00704A79"/>
    <w:rsid w:val="00731B4E"/>
    <w:rsid w:val="0073419F"/>
    <w:rsid w:val="00735934"/>
    <w:rsid w:val="007779AD"/>
    <w:rsid w:val="007A006C"/>
    <w:rsid w:val="007A1EDB"/>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50506"/>
    <w:rsid w:val="00861AE4"/>
    <w:rsid w:val="008718D4"/>
    <w:rsid w:val="00876D50"/>
    <w:rsid w:val="00887CEB"/>
    <w:rsid w:val="00890CB5"/>
    <w:rsid w:val="008933E6"/>
    <w:rsid w:val="008965F9"/>
    <w:rsid w:val="008A3699"/>
    <w:rsid w:val="008A5CE8"/>
    <w:rsid w:val="008D515A"/>
    <w:rsid w:val="008D7485"/>
    <w:rsid w:val="008D7EE2"/>
    <w:rsid w:val="008F341D"/>
    <w:rsid w:val="009054A3"/>
    <w:rsid w:val="00907722"/>
    <w:rsid w:val="009108E7"/>
    <w:rsid w:val="00924653"/>
    <w:rsid w:val="009277F7"/>
    <w:rsid w:val="00933766"/>
    <w:rsid w:val="0095606D"/>
    <w:rsid w:val="00966839"/>
    <w:rsid w:val="0098646B"/>
    <w:rsid w:val="0098770C"/>
    <w:rsid w:val="009A16D0"/>
    <w:rsid w:val="009B3676"/>
    <w:rsid w:val="009D7A5F"/>
    <w:rsid w:val="009E2349"/>
    <w:rsid w:val="009E4902"/>
    <w:rsid w:val="009F197B"/>
    <w:rsid w:val="00A13056"/>
    <w:rsid w:val="00A23D3F"/>
    <w:rsid w:val="00A25B71"/>
    <w:rsid w:val="00A261A7"/>
    <w:rsid w:val="00A45A0C"/>
    <w:rsid w:val="00A54040"/>
    <w:rsid w:val="00A654D7"/>
    <w:rsid w:val="00A81D35"/>
    <w:rsid w:val="00A9758A"/>
    <w:rsid w:val="00AA064C"/>
    <w:rsid w:val="00AC0982"/>
    <w:rsid w:val="00AE495F"/>
    <w:rsid w:val="00AE75AA"/>
    <w:rsid w:val="00AF518D"/>
    <w:rsid w:val="00AF7FAF"/>
    <w:rsid w:val="00B04B82"/>
    <w:rsid w:val="00B11199"/>
    <w:rsid w:val="00B129A0"/>
    <w:rsid w:val="00B32AD0"/>
    <w:rsid w:val="00B37CF9"/>
    <w:rsid w:val="00B41C4B"/>
    <w:rsid w:val="00B42DC6"/>
    <w:rsid w:val="00B47038"/>
    <w:rsid w:val="00B554CF"/>
    <w:rsid w:val="00B55F29"/>
    <w:rsid w:val="00B7641F"/>
    <w:rsid w:val="00B7724D"/>
    <w:rsid w:val="00B824E7"/>
    <w:rsid w:val="00B827E5"/>
    <w:rsid w:val="00B84566"/>
    <w:rsid w:val="00BD75DB"/>
    <w:rsid w:val="00BF0477"/>
    <w:rsid w:val="00BF31D2"/>
    <w:rsid w:val="00C10995"/>
    <w:rsid w:val="00C17D04"/>
    <w:rsid w:val="00C17FD0"/>
    <w:rsid w:val="00C20F26"/>
    <w:rsid w:val="00C451E7"/>
    <w:rsid w:val="00C47A5D"/>
    <w:rsid w:val="00C52F14"/>
    <w:rsid w:val="00C6261D"/>
    <w:rsid w:val="00C64FAD"/>
    <w:rsid w:val="00C85400"/>
    <w:rsid w:val="00C948E4"/>
    <w:rsid w:val="00CB185B"/>
    <w:rsid w:val="00CD51CE"/>
    <w:rsid w:val="00CD65AB"/>
    <w:rsid w:val="00CE5669"/>
    <w:rsid w:val="00CE5A88"/>
    <w:rsid w:val="00D21685"/>
    <w:rsid w:val="00D21781"/>
    <w:rsid w:val="00D319B9"/>
    <w:rsid w:val="00D34CBD"/>
    <w:rsid w:val="00D37D1F"/>
    <w:rsid w:val="00D43A36"/>
    <w:rsid w:val="00D542B1"/>
    <w:rsid w:val="00D61B5C"/>
    <w:rsid w:val="00D62EC4"/>
    <w:rsid w:val="00D734A0"/>
    <w:rsid w:val="00D740C6"/>
    <w:rsid w:val="00DA0FAF"/>
    <w:rsid w:val="00DB3C04"/>
    <w:rsid w:val="00DC5988"/>
    <w:rsid w:val="00DC741C"/>
    <w:rsid w:val="00DD4D2C"/>
    <w:rsid w:val="00DF0DC2"/>
    <w:rsid w:val="00E0131E"/>
    <w:rsid w:val="00E060D5"/>
    <w:rsid w:val="00E84318"/>
    <w:rsid w:val="00EB480A"/>
    <w:rsid w:val="00EC26DF"/>
    <w:rsid w:val="00EE41CA"/>
    <w:rsid w:val="00F03CD6"/>
    <w:rsid w:val="00F27D33"/>
    <w:rsid w:val="00F34D18"/>
    <w:rsid w:val="00F3653A"/>
    <w:rsid w:val="00F53F8E"/>
    <w:rsid w:val="00F62CD4"/>
    <w:rsid w:val="00F86F78"/>
    <w:rsid w:val="00F9799A"/>
    <w:rsid w:val="00FA0180"/>
    <w:rsid w:val="00FB1136"/>
    <w:rsid w:val="00FB3CD2"/>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566B-9EA4-4496-8383-4FB17E65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MORENO PALESTINI Maria Del Pilar</cp:lastModifiedBy>
  <cp:revision>6</cp:revision>
  <cp:lastPrinted>2016-05-31T12:44:00Z</cp:lastPrinted>
  <dcterms:created xsi:type="dcterms:W3CDTF">2016-05-31T07:51:00Z</dcterms:created>
  <dcterms:modified xsi:type="dcterms:W3CDTF">2016-05-31T12:45:00Z</dcterms:modified>
</cp:coreProperties>
</file>