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EC6584">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C6584">
            <w:pPr>
              <w:jc w:val="right"/>
              <w:rPr>
                <w:rFonts w:ascii="Arial Black" w:hAnsi="Arial Black"/>
                <w:caps/>
                <w:sz w:val="15"/>
              </w:rPr>
            </w:pPr>
            <w:r w:rsidRPr="0090731E">
              <w:rPr>
                <w:rFonts w:ascii="Arial Black" w:hAnsi="Arial Black"/>
                <w:caps/>
                <w:sz w:val="15"/>
              </w:rPr>
              <w:t>DATE</w:t>
            </w:r>
            <w:r w:rsidR="00EC6584">
              <w:rPr>
                <w:rFonts w:ascii="Arial Black" w:hAnsi="Arial Black"/>
                <w:caps/>
                <w:sz w:val="15"/>
              </w:rPr>
              <w:t xml:space="preserve">: </w:t>
            </w:r>
            <w:r w:rsidR="00DB3A08">
              <w:rPr>
                <w:rFonts w:ascii="Arial Black" w:hAnsi="Arial Black"/>
                <w:caps/>
                <w:sz w:val="15"/>
              </w:rPr>
              <w:t xml:space="preserve"> </w:t>
            </w:r>
            <w:r w:rsidR="00EC6584">
              <w:rPr>
                <w:rFonts w:ascii="Arial Black" w:hAnsi="Arial Black"/>
                <w:caps/>
                <w:sz w:val="15"/>
              </w:rPr>
              <w:t>December 15,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EE1606" w:rsidRPr="004F28B8" w:rsidRDefault="00EE1606" w:rsidP="00EE1606">
      <w:pPr>
        <w:spacing w:after="720"/>
      </w:pPr>
      <w:bookmarkStart w:id="3" w:name="TitleOfDoc"/>
      <w:bookmarkEnd w:id="3"/>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EE1606" w:rsidRPr="008B2CC1" w:rsidRDefault="00EE1606" w:rsidP="00EE1606">
      <w:pPr>
        <w:spacing w:after="960"/>
        <w:rPr>
          <w:i/>
        </w:rPr>
      </w:pPr>
      <w:bookmarkStart w:id="4" w:name="Prepared"/>
      <w:bookmarkEnd w:id="4"/>
      <w:r>
        <w:rPr>
          <w:i/>
        </w:rPr>
        <w:t>Document prepared by the Secretariat</w:t>
      </w:r>
    </w:p>
    <w:p w:rsidR="00EE1606" w:rsidRDefault="00EE1606" w:rsidP="00EE1606">
      <w:pPr>
        <w:pStyle w:val="ONUME"/>
      </w:pPr>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
    <w:p w:rsidR="00EE1606" w:rsidRDefault="00EE1606" w:rsidP="00EE1606">
      <w:pPr>
        <w:pStyle w:val="ONUME"/>
      </w:pPr>
      <w:r>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t>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lastRenderedPageBreak/>
        <w:t>blind peer reviewed by two indigenous experts</w:t>
      </w:r>
      <w:r>
        <w:t>.  The Annex to this document contains the Updated Technical Review</w:t>
      </w:r>
      <w:r w:rsidRPr="004E599A">
        <w:t xml:space="preserve"> provided by the commissioned indigenous experts</w:t>
      </w:r>
      <w:r>
        <w:t xml:space="preserve">. </w:t>
      </w:r>
    </w:p>
    <w:p w:rsidR="00EE1606" w:rsidRPr="00975206" w:rsidRDefault="00EE1606" w:rsidP="00EE1606">
      <w:pPr>
        <w:pStyle w:val="ONUME"/>
        <w:ind w:left="5533"/>
        <w:rPr>
          <w:i/>
        </w:rPr>
      </w:pPr>
      <w:r w:rsidRPr="00975206">
        <w:rPr>
          <w:i/>
        </w:rPr>
        <w:t xml:space="preserve">The Committee </w:t>
      </w:r>
      <w:proofErr w:type="gramStart"/>
      <w:r w:rsidRPr="00975206">
        <w:rPr>
          <w:i/>
        </w:rPr>
        <w:t>is invited</w:t>
      </w:r>
      <w:proofErr w:type="gramEnd"/>
      <w:r w:rsidRPr="00975206">
        <w:rPr>
          <w:i/>
        </w:rPr>
        <w:t xml:space="preserve"> to take note of the Annex to this document.</w:t>
      </w:r>
    </w:p>
    <w:p w:rsidR="00EE1606" w:rsidRDefault="00EE1606" w:rsidP="00EE1606">
      <w:pPr>
        <w:spacing w:before="240"/>
        <w:ind w:left="5530"/>
      </w:pPr>
      <w:r>
        <w:t>[Annex follows]</w:t>
      </w:r>
    </w:p>
    <w:p w:rsidR="00EE1606" w:rsidRDefault="00EE1606" w:rsidP="00EE1606">
      <w:pPr>
        <w:ind w:left="5533"/>
        <w:sectPr w:rsidR="00EE1606"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EE1606" w:rsidRDefault="00EE1606" w:rsidP="00EE1606">
      <w:pPr>
        <w:spacing w:before="240"/>
        <w:jc w:val="center"/>
        <w:rPr>
          <w:b/>
          <w:lang w:val="en-GB"/>
        </w:rPr>
      </w:pPr>
      <w:r w:rsidRPr="008B5CD1">
        <w:rPr>
          <w:b/>
          <w:lang w:val="en-GB"/>
        </w:rPr>
        <w:lastRenderedPageBreak/>
        <w:t>Update of the Technical Review of Key Intellectual Property-Related Issues of the WIPO</w:t>
      </w:r>
      <w:r>
        <w:rPr>
          <w:b/>
          <w:lang w:val="en-GB"/>
        </w:rPr>
        <w:t> </w:t>
      </w:r>
      <w:r w:rsidRPr="008B5CD1">
        <w:rPr>
          <w:b/>
          <w:lang w:val="en-GB"/>
        </w:rPr>
        <w:t>Draft Instruments on Genetic Resources, Traditional Knowledge and Traditional</w:t>
      </w:r>
      <w:r>
        <w:rPr>
          <w:b/>
          <w:lang w:val="en-GB"/>
        </w:rPr>
        <w:t> </w:t>
      </w:r>
      <w:r w:rsidRPr="008B5CD1">
        <w:rPr>
          <w:b/>
          <w:lang w:val="en-GB"/>
        </w:rPr>
        <w:t>Cultural Expressions within the Framework of Indigenous Human Rights</w:t>
      </w:r>
    </w:p>
    <w:p w:rsidR="00EE1606" w:rsidRPr="008B5CD1" w:rsidRDefault="00EE1606" w:rsidP="00EE1606">
      <w:pPr>
        <w:spacing w:before="480"/>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EE1606" w:rsidRDefault="00EE1606" w:rsidP="00EE1606">
      <w:pPr>
        <w:keepNext/>
        <w:spacing w:before="480" w:after="180"/>
        <w:rPr>
          <w:b/>
          <w:lang w:val="en-GB"/>
        </w:rPr>
      </w:pPr>
      <w:r w:rsidRPr="008B5CD1">
        <w:rPr>
          <w:b/>
          <w:lang w:val="en-GB"/>
        </w:rPr>
        <w:t>B</w:t>
      </w:r>
      <w:r>
        <w:rPr>
          <w:b/>
          <w:lang w:val="en-GB"/>
        </w:rPr>
        <w:t>ACKGROUND AND INTRODUCTION</w:t>
      </w:r>
    </w:p>
    <w:p w:rsidR="00EE1606" w:rsidRPr="00A876D6" w:rsidRDefault="00EE1606" w:rsidP="00EE1606">
      <w:pPr>
        <w:pStyle w:val="ONUME"/>
        <w:numPr>
          <w:ilvl w:val="0"/>
          <w:numId w:val="7"/>
        </w:numPr>
        <w:rPr>
          <w:lang w:val="en-GB"/>
        </w:rPr>
      </w:pPr>
      <w:proofErr w:type="gramStart"/>
      <w:r w:rsidRPr="00A876D6">
        <w:rPr>
          <w:lang w:val="en-GB"/>
        </w:rPr>
        <w:t>During the 18</w:t>
      </w:r>
      <w:r w:rsidRPr="00A876D6">
        <w:rPr>
          <w:vertAlign w:val="superscript"/>
          <w:lang w:val="en-GB"/>
        </w:rPr>
        <w:t>th</w:t>
      </w:r>
      <w:r w:rsidRPr="00A876D6">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A876D6">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EE1606" w:rsidRDefault="00EE1606" w:rsidP="00EE1606">
      <w:pPr>
        <w:pStyle w:val="ONUME"/>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EE1606" w:rsidRDefault="00EE1606" w:rsidP="00EE1606">
      <w:pPr>
        <w:pStyle w:val="ONUME"/>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EE1606" w:rsidRDefault="00EE1606" w:rsidP="00EE1606">
      <w:pPr>
        <w:pStyle w:val="ONUME"/>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EE1606" w:rsidRDefault="00EE1606" w:rsidP="00EE1606">
      <w:pPr>
        <w:pStyle w:val="ONUME"/>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w:t>
      </w:r>
      <w:proofErr w:type="gramStart"/>
      <w:r w:rsidRPr="00F63EBF">
        <w:rPr>
          <w:lang w:val="en-GB"/>
        </w:rPr>
        <w:t>three</w:t>
      </w:r>
      <w:proofErr w:type="gramEnd"/>
      <w:r w:rsidRPr="00F63EBF">
        <w:rPr>
          <w:lang w:val="en-GB"/>
        </w:rPr>
        <w:t xml:space="preserve"> covers final considerations. </w:t>
      </w:r>
    </w:p>
    <w:p w:rsidR="00EE1606" w:rsidRDefault="00EE1606" w:rsidP="00EE1606">
      <w:pPr>
        <w:pStyle w:val="ONUME"/>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EE1606" w:rsidRDefault="00EE1606" w:rsidP="00EE1606">
      <w:pPr>
        <w:keepNext/>
        <w:spacing w:before="240" w:after="220"/>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EE1606" w:rsidRPr="00A876D6" w:rsidRDefault="00EE1606" w:rsidP="00EE1606">
      <w:pPr>
        <w:keepNext/>
        <w:spacing w:after="180"/>
        <w:rPr>
          <w:b/>
          <w:bCs/>
          <w:iCs/>
          <w:lang w:val="en-GB"/>
        </w:rPr>
      </w:pPr>
      <w:r w:rsidRPr="00A876D6">
        <w:rPr>
          <w:b/>
          <w:bCs/>
          <w:iCs/>
          <w:lang w:val="en-GB"/>
        </w:rPr>
        <w:t xml:space="preserve">Balancing </w:t>
      </w:r>
    </w:p>
    <w:p w:rsidR="00EE1606" w:rsidRDefault="00EE1606" w:rsidP="00EE1606">
      <w:pPr>
        <w:pStyle w:val="ONUME"/>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EE1606" w:rsidRDefault="00EE1606" w:rsidP="00EE1606">
      <w:pPr>
        <w:pStyle w:val="ONUME"/>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EE1606" w:rsidRDefault="00EE1606" w:rsidP="00EE1606">
      <w:pPr>
        <w:pStyle w:val="ONUME"/>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EE1606" w:rsidRDefault="00EE1606" w:rsidP="00EE1606">
      <w:pPr>
        <w:pStyle w:val="ONUME"/>
        <w:rPr>
          <w:lang w:val="en-GB"/>
        </w:rPr>
      </w:pPr>
      <w:r w:rsidRPr="00DE4616">
        <w:rPr>
          <w:lang w:val="en-GB"/>
        </w:rPr>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 xml:space="preserve">Accordingly, since human rights are </w:t>
      </w:r>
      <w:r w:rsidRPr="00DE4616">
        <w:rPr>
          <w:lang w:val="en-GB"/>
        </w:rPr>
        <w:lastRenderedPageBreak/>
        <w:t>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EE1606" w:rsidRDefault="00EE1606" w:rsidP="00EE1606">
      <w:pPr>
        <w:pStyle w:val="ONUME"/>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EE1606" w:rsidRDefault="00EE1606" w:rsidP="00EE1606">
      <w:pPr>
        <w:pStyle w:val="ONUME"/>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EE1606" w:rsidRDefault="00EE1606" w:rsidP="00EE1606">
      <w:pPr>
        <w:pStyle w:val="ONUME"/>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EE1606" w:rsidRPr="00A876D6" w:rsidRDefault="00EE1606" w:rsidP="00EE1606">
      <w:pPr>
        <w:keepNext/>
        <w:spacing w:after="220"/>
        <w:rPr>
          <w:b/>
          <w:bCs/>
          <w:iCs/>
          <w:lang w:val="en-GB"/>
        </w:rPr>
      </w:pPr>
      <w:r w:rsidRPr="00A876D6">
        <w:rPr>
          <w:b/>
          <w:bCs/>
          <w:iCs/>
          <w:lang w:val="en-GB"/>
        </w:rPr>
        <w:t>Redress</w:t>
      </w:r>
    </w:p>
    <w:p w:rsidR="00EE1606" w:rsidRDefault="00EE1606" w:rsidP="00EE1606">
      <w:pPr>
        <w:pStyle w:val="ONUME"/>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EE1606" w:rsidRDefault="00EE1606" w:rsidP="00EE1606">
      <w:pPr>
        <w:pStyle w:val="ONUME"/>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t xml:space="preserve">Another element of redress is repatriation. </w:t>
      </w:r>
      <w:r>
        <w:rPr>
          <w:lang w:val="en-GB"/>
        </w:rPr>
        <w:t xml:space="preserve"> </w:t>
      </w:r>
      <w:r w:rsidRPr="00DE4616">
        <w:rPr>
          <w:lang w:val="en-GB"/>
        </w:rPr>
        <w:t xml:space="preserve">As the indigenous caucus has stated before, the legal instrument should include repatriation on the basis that ‘negotiations could not just </w:t>
      </w:r>
      <w:r w:rsidRPr="00DE4616">
        <w:rPr>
          <w:lang w:val="en-GB"/>
        </w:rPr>
        <w:lastRenderedPageBreak/>
        <w:t>address future practices related to patent issues’ but should also address ‘historical misappropriations and wrongdoings’.</w:t>
      </w:r>
      <w:r w:rsidRPr="008B5CD1">
        <w:rPr>
          <w:vertAlign w:val="superscript"/>
          <w:lang w:val="en-GB"/>
        </w:rPr>
        <w:footnoteReference w:id="20"/>
      </w:r>
    </w:p>
    <w:p w:rsidR="00EE1606" w:rsidRDefault="00EE1606" w:rsidP="00EE1606">
      <w:pPr>
        <w:pStyle w:val="ONUME"/>
        <w:rPr>
          <w:lang w:val="en-GB"/>
        </w:rPr>
      </w:pPr>
      <w:r w:rsidRPr="00D63A1C">
        <w:rPr>
          <w:lang w:val="en-GB"/>
        </w:rPr>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EE1606" w:rsidRDefault="00EE1606" w:rsidP="00EE1606">
      <w:pPr>
        <w:pStyle w:val="ONUME"/>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EE1606" w:rsidRPr="00A876D6" w:rsidRDefault="00EE1606" w:rsidP="00EE1606">
      <w:pPr>
        <w:keepNext/>
        <w:spacing w:after="220"/>
        <w:rPr>
          <w:b/>
          <w:bCs/>
          <w:iCs/>
          <w:lang w:val="en-GB"/>
        </w:rPr>
      </w:pPr>
      <w:r w:rsidRPr="00A876D6">
        <w:rPr>
          <w:b/>
          <w:bCs/>
          <w:iCs/>
          <w:lang w:val="en-GB"/>
        </w:rPr>
        <w:t xml:space="preserve">Public Domain </w:t>
      </w:r>
    </w:p>
    <w:p w:rsidR="00EE1606" w:rsidRDefault="00EE1606" w:rsidP="00EE1606">
      <w:pPr>
        <w:pStyle w:val="ONUME"/>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w:t>
      </w:r>
      <w:r w:rsidR="00635BB7">
        <w:rPr>
          <w:lang w:val="en-GB"/>
        </w:rPr>
        <w:t xml:space="preserve"> </w:t>
      </w:r>
      <w:r w:rsidRPr="00D63A1C">
        <w:rPr>
          <w:lang w:val="en-GB"/>
        </w:rPr>
        <w:t xml:space="preserve"> The intention is to foster access to information and materials needed for future creative works.</w:t>
      </w:r>
      <w:r w:rsidRPr="008B5CD1">
        <w:rPr>
          <w:vertAlign w:val="superscript"/>
          <w:lang w:val="en-GB"/>
        </w:rPr>
        <w:footnoteReference w:id="24"/>
      </w:r>
    </w:p>
    <w:p w:rsidR="00EE1606" w:rsidRDefault="00EE1606" w:rsidP="00EE1606">
      <w:pPr>
        <w:pStyle w:val="ONUME"/>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EE1606" w:rsidRDefault="00EE1606" w:rsidP="00EE1606">
      <w:pPr>
        <w:pStyle w:val="ONUME"/>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EE1606" w:rsidRDefault="00EE1606" w:rsidP="00EE1606">
      <w:pPr>
        <w:pStyle w:val="ONUME"/>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EE1606" w:rsidRDefault="00EE1606" w:rsidP="00EE1606">
      <w:pPr>
        <w:pStyle w:val="ONUME"/>
        <w:rPr>
          <w:lang w:val="en-GB"/>
        </w:rPr>
      </w:pPr>
      <w:r w:rsidRPr="00D63A1C">
        <w:rPr>
          <w:lang w:val="en-GB"/>
        </w:rPr>
        <w:t xml:space="preserve">Examined from the indigenous peoples’ perspectives, public domain is at odds with indigenous peoples’ human rights enshrined in authoritative international instruments such as 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 xml:space="preserve">Correspondingly, subjecting </w:t>
      </w:r>
      <w:r w:rsidRPr="00D63A1C">
        <w:rPr>
          <w:lang w:val="en-GB"/>
        </w:rPr>
        <w:lastRenderedPageBreak/>
        <w:t>indigenous peoples’ TK and TCEs to time limitation negates the limitless and trans-generational nature of rights associated with TK and T</w:t>
      </w:r>
      <w:r>
        <w:rPr>
          <w:lang w:val="en-GB"/>
        </w:rPr>
        <w:t xml:space="preserve">CEs among indigenous peoples.  </w:t>
      </w:r>
    </w:p>
    <w:p w:rsidR="00EE1606" w:rsidRDefault="00EE1606" w:rsidP="00EE1606">
      <w:pPr>
        <w:pStyle w:val="ONUME"/>
        <w:keepLines/>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EE1606" w:rsidRDefault="00EE1606" w:rsidP="00EE1606">
      <w:pPr>
        <w:pStyle w:val="ONUME"/>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EE1606" w:rsidRPr="00A876D6" w:rsidRDefault="00EE1606" w:rsidP="00EE1606">
      <w:pPr>
        <w:keepNext/>
        <w:spacing w:after="220"/>
        <w:rPr>
          <w:b/>
          <w:bCs/>
          <w:iCs/>
          <w:lang w:val="en-GB"/>
        </w:rPr>
      </w:pPr>
      <w:r w:rsidRPr="00A876D6">
        <w:rPr>
          <w:b/>
          <w:bCs/>
          <w:iCs/>
          <w:lang w:val="en-GB"/>
        </w:rPr>
        <w:t xml:space="preserve">Exceptions and Limitations </w:t>
      </w:r>
    </w:p>
    <w:p w:rsidR="00EE1606" w:rsidRDefault="00EE1606" w:rsidP="00EE1606">
      <w:pPr>
        <w:pStyle w:val="ONUME"/>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EE1606" w:rsidRDefault="00EE1606" w:rsidP="00EE1606">
      <w:pPr>
        <w:pStyle w:val="ONUME"/>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EE1606" w:rsidRDefault="00EE1606" w:rsidP="00EE1606">
      <w:pPr>
        <w:pStyle w:val="ONUME"/>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EE1606" w:rsidRDefault="00EE1606" w:rsidP="00EE1606">
      <w:pPr>
        <w:pStyle w:val="ONUME"/>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EE1606" w:rsidRDefault="00EE1606" w:rsidP="00EE1606">
      <w:pPr>
        <w:pStyle w:val="ONUME"/>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EE1606" w:rsidRPr="00A876D6" w:rsidRDefault="00EE1606" w:rsidP="00EE1606">
      <w:pPr>
        <w:keepNext/>
        <w:spacing w:after="220"/>
        <w:rPr>
          <w:b/>
          <w:bCs/>
          <w:iCs/>
          <w:lang w:val="en-GB"/>
        </w:rPr>
      </w:pPr>
      <w:r w:rsidRPr="00A876D6">
        <w:rPr>
          <w:b/>
          <w:bCs/>
          <w:iCs/>
          <w:lang w:val="en-GB"/>
        </w:rPr>
        <w:lastRenderedPageBreak/>
        <w:t xml:space="preserve">Scope of protection: The Tiered Approach </w:t>
      </w:r>
    </w:p>
    <w:p w:rsidR="00EE1606" w:rsidRDefault="00EE1606" w:rsidP="00EE1606">
      <w:pPr>
        <w:pStyle w:val="ONUME"/>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EE1606" w:rsidRDefault="00EE1606" w:rsidP="00EE1606">
      <w:pPr>
        <w:pStyle w:val="ONUME"/>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EE1606" w:rsidRDefault="00EE1606" w:rsidP="00EE1606">
      <w:pPr>
        <w:pStyle w:val="ONUME"/>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EE1606" w:rsidRDefault="00EE1606" w:rsidP="00EE1606">
      <w:pPr>
        <w:pStyle w:val="ONUME"/>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EE1606" w:rsidRPr="00A876D6" w:rsidRDefault="00EE1606" w:rsidP="00EE1606">
      <w:pPr>
        <w:keepNext/>
        <w:spacing w:after="220"/>
        <w:rPr>
          <w:b/>
          <w:bCs/>
          <w:iCs/>
          <w:lang w:val="en-GB"/>
        </w:rPr>
      </w:pPr>
      <w:r w:rsidRPr="00A876D6">
        <w:rPr>
          <w:b/>
          <w:bCs/>
          <w:iCs/>
          <w:lang w:val="en-GB"/>
        </w:rPr>
        <w:t xml:space="preserve">Databases and Knowledge Registers </w:t>
      </w:r>
    </w:p>
    <w:p w:rsidR="00EE1606" w:rsidRDefault="00EE1606" w:rsidP="00EE1606">
      <w:pPr>
        <w:pStyle w:val="ONUME"/>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EE1606" w:rsidRDefault="00EE1606" w:rsidP="00EE1606">
      <w:pPr>
        <w:pStyle w:val="ONUME"/>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EE1606" w:rsidRDefault="00EE1606" w:rsidP="00EE1606">
      <w:pPr>
        <w:pStyle w:val="ONUME"/>
        <w:rPr>
          <w:lang w:val="en-GB"/>
        </w:rPr>
      </w:pPr>
      <w:r w:rsidRPr="004D65FB">
        <w:rPr>
          <w:lang w:val="en-GB"/>
        </w:rPr>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 xml:space="preserve">Indigenous peoples are hence emphatic that any documentation and recording of TK </w:t>
      </w:r>
      <w:r w:rsidRPr="004D65FB">
        <w:rPr>
          <w:lang w:val="en-GB"/>
        </w:rPr>
        <w:lastRenderedPageBreak/>
        <w:t>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EE1606" w:rsidRDefault="00EE1606" w:rsidP="00EE1606">
      <w:pPr>
        <w:pStyle w:val="ONUME"/>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EE1606" w:rsidRDefault="00EE1606" w:rsidP="00EE1606">
      <w:pPr>
        <w:pStyle w:val="ONUME"/>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EE1606" w:rsidRDefault="00EE1606" w:rsidP="00EE1606">
      <w:pPr>
        <w:keepNext/>
        <w:spacing w:before="240" w:after="220"/>
        <w:rPr>
          <w:b/>
          <w:lang w:val="en-GB"/>
        </w:rPr>
      </w:pPr>
      <w:r w:rsidRPr="008B5CD1">
        <w:rPr>
          <w:b/>
          <w:lang w:val="en-GB"/>
        </w:rPr>
        <w:t xml:space="preserve">PART 2: DRAFT TEXTS ON GENETIC RESOURCES (GRS) </w:t>
      </w:r>
    </w:p>
    <w:p w:rsidR="00EE1606" w:rsidRPr="00A876D6" w:rsidRDefault="00EE1606" w:rsidP="00EE1606">
      <w:pPr>
        <w:keepNext/>
        <w:spacing w:after="220"/>
        <w:rPr>
          <w:b/>
          <w:bCs/>
          <w:iCs/>
          <w:lang w:val="en-GB"/>
        </w:rPr>
      </w:pPr>
      <w:r w:rsidRPr="00A876D6">
        <w:rPr>
          <w:b/>
          <w:bCs/>
          <w:iCs/>
          <w:lang w:val="en-GB"/>
        </w:rPr>
        <w:t>Indigenous peoples’ rights to genetic resources</w:t>
      </w:r>
    </w:p>
    <w:p w:rsidR="00EE1606" w:rsidRDefault="00EE1606" w:rsidP="00EE1606">
      <w:pPr>
        <w:pStyle w:val="ONUME"/>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EE1606" w:rsidRDefault="00EE1606" w:rsidP="00EE1606">
      <w:pPr>
        <w:pStyle w:val="ONUME"/>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EE1606" w:rsidRDefault="00EE1606" w:rsidP="00EE1606">
      <w:pPr>
        <w:pStyle w:val="ONUME"/>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EE1606" w:rsidRDefault="00EE1606" w:rsidP="00EE1606">
      <w:pPr>
        <w:pStyle w:val="ONUME"/>
        <w:keepLines/>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EE1606" w:rsidRDefault="00EE1606" w:rsidP="00EE1606">
      <w:pPr>
        <w:pStyle w:val="ONUME"/>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EE1606" w:rsidRDefault="00EE1606" w:rsidP="00EE1606">
      <w:pPr>
        <w:keepNext/>
        <w:spacing w:after="220"/>
        <w:rPr>
          <w:b/>
          <w:bCs/>
          <w:iCs/>
          <w:lang w:val="en-GB"/>
        </w:rPr>
      </w:pPr>
      <w:r w:rsidRPr="008B5CD1">
        <w:rPr>
          <w:b/>
          <w:bCs/>
          <w:iCs/>
          <w:lang w:val="en-GB"/>
        </w:rPr>
        <w:t>Mandatory disclosure</w:t>
      </w:r>
    </w:p>
    <w:p w:rsidR="00EE1606" w:rsidRDefault="00EE1606" w:rsidP="00EE1606">
      <w:pPr>
        <w:pStyle w:val="ONUME"/>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EE1606" w:rsidRDefault="00EE1606" w:rsidP="00EE1606">
      <w:pPr>
        <w:pStyle w:val="ONUME"/>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EE1606" w:rsidRDefault="00EE1606" w:rsidP="00EE1606">
      <w:pPr>
        <w:pStyle w:val="ONUME"/>
        <w:rPr>
          <w:lang w:val="en-GB"/>
        </w:rPr>
      </w:pPr>
      <w:r w:rsidRPr="00CB512C">
        <w:rPr>
          <w:lang w:val="en-GB"/>
        </w:rPr>
        <w:lastRenderedPageBreak/>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EE1606" w:rsidRDefault="00EE1606" w:rsidP="00EE1606">
      <w:pPr>
        <w:pStyle w:val="ONUME"/>
        <w:keepLines/>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EE1606" w:rsidRDefault="00EE1606" w:rsidP="00EE1606">
      <w:pPr>
        <w:keepNext/>
        <w:spacing w:after="220"/>
        <w:rPr>
          <w:b/>
          <w:bCs/>
          <w:iCs/>
          <w:lang w:val="en-GB"/>
        </w:rPr>
      </w:pPr>
      <w:r>
        <w:rPr>
          <w:b/>
          <w:bCs/>
          <w:iCs/>
          <w:lang w:val="en-GB"/>
        </w:rPr>
        <w:t>Dispute resolution</w:t>
      </w:r>
    </w:p>
    <w:p w:rsidR="00EE1606" w:rsidRDefault="00EE1606" w:rsidP="00EE1606">
      <w:pPr>
        <w:pStyle w:val="ONUME"/>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EE1606" w:rsidRDefault="00EE1606" w:rsidP="00EE1606">
      <w:pPr>
        <w:pStyle w:val="ONUME"/>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EE1606" w:rsidRPr="00A876D6" w:rsidRDefault="00EE1606" w:rsidP="00EE1606">
      <w:pPr>
        <w:keepNext/>
        <w:spacing w:after="220"/>
        <w:rPr>
          <w:b/>
          <w:bCs/>
          <w:iCs/>
          <w:lang w:val="en-GB"/>
        </w:rPr>
      </w:pPr>
      <w:r w:rsidRPr="00A876D6">
        <w:rPr>
          <w:b/>
          <w:bCs/>
          <w:iCs/>
          <w:lang w:val="en-GB"/>
        </w:rPr>
        <w:t>Traceability</w:t>
      </w:r>
    </w:p>
    <w:p w:rsidR="00EE1606" w:rsidRDefault="00EE1606" w:rsidP="00EE1606">
      <w:pPr>
        <w:pStyle w:val="ONUME"/>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EE1606" w:rsidRDefault="00EE1606" w:rsidP="00EE1606">
      <w:pPr>
        <w:rPr>
          <w:b/>
          <w:bCs/>
          <w:lang w:val="en-GB"/>
        </w:rPr>
      </w:pPr>
      <w:r>
        <w:rPr>
          <w:b/>
          <w:bCs/>
          <w:lang w:val="en-GB"/>
        </w:rPr>
        <w:br w:type="page"/>
      </w:r>
    </w:p>
    <w:p w:rsidR="00EE1606" w:rsidRDefault="00EE1606" w:rsidP="00EE1606">
      <w:pPr>
        <w:keepNext/>
        <w:spacing w:before="440" w:after="220"/>
        <w:rPr>
          <w:b/>
          <w:lang w:val="en-GB"/>
        </w:rPr>
      </w:pPr>
      <w:r w:rsidRPr="008B5CD1">
        <w:rPr>
          <w:b/>
          <w:lang w:val="en-GB"/>
        </w:rPr>
        <w:lastRenderedPageBreak/>
        <w:t xml:space="preserve">Part 3: FINAL CONSIDERATIONS </w:t>
      </w:r>
    </w:p>
    <w:p w:rsidR="00EE1606" w:rsidRDefault="00EE1606" w:rsidP="00EE1606">
      <w:pPr>
        <w:pStyle w:val="ONUME"/>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EE1606" w:rsidRDefault="00EE1606" w:rsidP="00EE1606">
      <w:pPr>
        <w:pStyle w:val="ONUME"/>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EE1606" w:rsidRDefault="00EE1606" w:rsidP="00EE1606">
      <w:pPr>
        <w:pStyle w:val="ONUME"/>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2928D3" w:rsidRDefault="00EE1606" w:rsidP="00635BB7">
      <w:pPr>
        <w:spacing w:before="600"/>
        <w:ind w:left="5530"/>
      </w:pPr>
      <w:r>
        <w:t>[End of Annex and of document]</w:t>
      </w:r>
      <w:bookmarkStart w:id="9" w:name="_GoBack"/>
      <w:bookmarkEnd w:id="9"/>
    </w:p>
    <w:sectPr w:rsidR="002928D3" w:rsidSect="00D174B2">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EF" w:rsidRDefault="001677EF">
      <w:r>
        <w:separator/>
      </w:r>
    </w:p>
  </w:endnote>
  <w:endnote w:type="continuationSeparator" w:id="0">
    <w:p w:rsidR="001677EF" w:rsidRDefault="001677EF" w:rsidP="003B38C1">
      <w:r>
        <w:separator/>
      </w:r>
    </w:p>
    <w:p w:rsidR="001677EF" w:rsidRPr="003B38C1" w:rsidRDefault="001677EF" w:rsidP="003B38C1">
      <w:pPr>
        <w:spacing w:after="60"/>
        <w:rPr>
          <w:sz w:val="17"/>
        </w:rPr>
      </w:pPr>
      <w:r>
        <w:rPr>
          <w:sz w:val="17"/>
        </w:rPr>
        <w:t>[Endnote continued from previous page]</w:t>
      </w:r>
    </w:p>
  </w:endnote>
  <w:endnote w:type="continuationNotice" w:id="1">
    <w:p w:rsidR="001677EF" w:rsidRPr="003B38C1" w:rsidRDefault="001677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3" w:rsidRDefault="001A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3" w:rsidRDefault="001A2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EF" w:rsidRDefault="001677EF">
      <w:r>
        <w:separator/>
      </w:r>
    </w:p>
  </w:footnote>
  <w:footnote w:type="continuationSeparator" w:id="0">
    <w:p w:rsidR="001677EF" w:rsidRDefault="001677EF" w:rsidP="008B60B2">
      <w:r>
        <w:separator/>
      </w:r>
    </w:p>
    <w:p w:rsidR="001677EF" w:rsidRPr="00ED77FB" w:rsidRDefault="001677EF" w:rsidP="008B60B2">
      <w:pPr>
        <w:spacing w:after="60"/>
        <w:rPr>
          <w:sz w:val="17"/>
          <w:szCs w:val="17"/>
        </w:rPr>
      </w:pPr>
      <w:r w:rsidRPr="00ED77FB">
        <w:rPr>
          <w:sz w:val="17"/>
          <w:szCs w:val="17"/>
        </w:rPr>
        <w:t>[Footnote continued from previous page]</w:t>
      </w:r>
    </w:p>
  </w:footnote>
  <w:footnote w:type="continuationNotice" w:id="1">
    <w:p w:rsidR="001677EF" w:rsidRPr="00ED77FB" w:rsidRDefault="001677EF" w:rsidP="008B60B2">
      <w:pPr>
        <w:spacing w:before="60"/>
        <w:jc w:val="right"/>
        <w:rPr>
          <w:sz w:val="17"/>
          <w:szCs w:val="17"/>
        </w:rPr>
      </w:pPr>
      <w:r w:rsidRPr="00ED77FB">
        <w:rPr>
          <w:sz w:val="17"/>
          <w:szCs w:val="17"/>
        </w:rPr>
        <w:t>[Footnote continued on next page]</w:t>
      </w:r>
    </w:p>
  </w:footnote>
  <w:footnote w:id="2">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EE1606" w:rsidRPr="002A671B"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Pr="00635BB7">
          <w:rPr>
            <w:rStyle w:val="Hyperlink"/>
            <w:color w:val="0033CC"/>
            <w:szCs w:val="18"/>
          </w:rPr>
          <w:t>https://www.un.org/development/desa/indigenouspeoples/news/2019/06/18-session-report/</w:t>
        </w:r>
      </w:hyperlink>
      <w:r w:rsidRPr="00635BB7">
        <w:rPr>
          <w:rStyle w:val="Hyperlink"/>
          <w:color w:val="0033CC"/>
          <w:szCs w:val="18"/>
        </w:rPr>
        <w:t>.</w:t>
      </w:r>
      <w:r w:rsidR="00635BB7">
        <w:rPr>
          <w:rStyle w:val="Hyperlink"/>
          <w:color w:val="auto"/>
          <w:szCs w:val="18"/>
          <w:u w:val="none"/>
        </w:rPr>
        <w:t xml:space="preserve"> </w:t>
      </w:r>
      <w:r w:rsidRPr="002A671B">
        <w:rPr>
          <w:szCs w:val="18"/>
        </w:rPr>
        <w:t xml:space="preserve"> </w:t>
      </w:r>
    </w:p>
  </w:footnote>
  <w:footnote w:id="4">
    <w:p w:rsidR="00EE1606" w:rsidRPr="008B5CD1" w:rsidRDefault="00EE1606" w:rsidP="00EE1606">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Document WIPO/GRTKF/IC/29/INF/10, available at </w:t>
      </w:r>
      <w:hyperlink r:id="rId2" w:history="1">
        <w:r w:rsidRPr="00635BB7">
          <w:rPr>
            <w:rStyle w:val="Hyperlink"/>
            <w:color w:val="0033CC"/>
            <w:szCs w:val="18"/>
          </w:rPr>
          <w:t>https://www.wipo.int/edocs/mdocs/tk/en/wipo_grtkf_ic_29/wipo_grtkf_ic_29_inf_10.pdf</w:t>
        </w:r>
      </w:hyperlink>
      <w:r w:rsidRPr="002A671B">
        <w:rPr>
          <w:rStyle w:val="Hyperlink"/>
          <w:color w:val="auto"/>
          <w:szCs w:val="18"/>
          <w:u w:val="none"/>
        </w:rPr>
        <w:t xml:space="preserve">. </w:t>
      </w:r>
    </w:p>
  </w:footnote>
  <w:footnote w:id="5">
    <w:p w:rsidR="00EE1606" w:rsidRPr="008B5CD1" w:rsidRDefault="00EE1606" w:rsidP="00EE1606">
      <w:pPr>
        <w:pStyle w:val="FootnoteText"/>
        <w:rPr>
          <w:szCs w:val="18"/>
          <w:lang w:val="uz-Cyrl-UZ"/>
        </w:rPr>
      </w:pPr>
      <w:r w:rsidRPr="008B5CD1">
        <w:rPr>
          <w:rStyle w:val="FootnoteReference"/>
          <w:szCs w:val="18"/>
        </w:rPr>
        <w:footnoteRef/>
      </w:r>
      <w:r w:rsidRPr="008B5CD1">
        <w:rPr>
          <w:szCs w:val="18"/>
          <w:lang w:val="uz-Cyrl-UZ"/>
        </w:rPr>
        <w:t xml:space="preserve"> </w:t>
      </w:r>
      <w:r>
        <w:rPr>
          <w:szCs w:val="18"/>
          <w:lang w:val="uz-Cyrl-UZ"/>
        </w:rPr>
        <w:tab/>
      </w:r>
      <w:r w:rsidRPr="008B5CD1">
        <w:rPr>
          <w:szCs w:val="18"/>
          <w:lang w:val="uz-Cyrl-UZ"/>
        </w:rPr>
        <w:t>E/2019/43-E/C.19/1</w:t>
      </w:r>
      <w:r w:rsidRPr="008B5CD1">
        <w:rPr>
          <w:szCs w:val="18"/>
        </w:rPr>
        <w:t>0</w:t>
      </w:r>
      <w:r w:rsidRPr="008B5CD1">
        <w:rPr>
          <w:szCs w:val="18"/>
          <w:lang w:val="uz-Cyrl-UZ"/>
        </w:rPr>
        <w:t xml:space="preserve"> at para 10.</w:t>
      </w:r>
    </w:p>
  </w:footnote>
  <w:footnote w:id="6">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bookmarkStart w:id="5" w:name="_Hlk49439221"/>
      <w:r>
        <w:rPr>
          <w:szCs w:val="18"/>
        </w:rPr>
        <w:tab/>
      </w:r>
      <w:r w:rsidRPr="008B5CD1">
        <w:rPr>
          <w:szCs w:val="18"/>
        </w:rPr>
        <w:t>WIPO/GRTKF/IC/29/INF/10 at para 11</w:t>
      </w:r>
      <w:bookmarkEnd w:id="5"/>
      <w:r w:rsidRPr="008B5CD1">
        <w:rPr>
          <w:szCs w:val="18"/>
        </w:rPr>
        <w:t>.</w:t>
      </w:r>
    </w:p>
  </w:footnote>
  <w:footnote w:id="7">
    <w:p w:rsidR="00EE1606" w:rsidRPr="002A671B"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Pr="00635BB7">
          <w:rPr>
            <w:rStyle w:val="Hyperlink"/>
            <w:color w:val="0033CC"/>
            <w:szCs w:val="18"/>
          </w:rPr>
          <w:t>https://www.wipo.int/meetings/en/doc_details.jsp?doc_id=</w:t>
        </w:r>
        <w:r w:rsidR="005D69E1" w:rsidRPr="00635BB7">
          <w:rPr>
            <w:rStyle w:val="Hyperlink"/>
            <w:color w:val="0033CC"/>
            <w:szCs w:val="18"/>
          </w:rPr>
          <w:t xml:space="preserve">  </w:t>
        </w:r>
        <w:r w:rsidRPr="00635BB7">
          <w:rPr>
            <w:rStyle w:val="Hyperlink"/>
            <w:color w:val="0033CC"/>
            <w:szCs w:val="18"/>
          </w:rPr>
          <w:t>3934</w:t>
        </w:r>
      </w:hyperlink>
      <w:r w:rsidRPr="002A671B">
        <w:rPr>
          <w:szCs w:val="18"/>
        </w:rPr>
        <w:t xml:space="preserve">. </w:t>
      </w:r>
    </w:p>
  </w:footnote>
  <w:footnote w:id="8">
    <w:p w:rsidR="00EE1606" w:rsidRPr="008B5CD1" w:rsidRDefault="00EE1606" w:rsidP="00EE1606">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Pr="00635BB7">
          <w:rPr>
            <w:rStyle w:val="Hyperlink"/>
            <w:color w:val="0033CC"/>
            <w:szCs w:val="18"/>
          </w:rPr>
          <w:t>https://www.wipo.int/meetings/en/doc_details.jsp?doc_id=443934</w:t>
        </w:r>
      </w:hyperlink>
      <w:r w:rsidRPr="002A671B">
        <w:rPr>
          <w:szCs w:val="18"/>
        </w:rPr>
        <w:t xml:space="preserve">. </w:t>
      </w:r>
    </w:p>
  </w:footnote>
  <w:footnote w:id="9">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Pr="00635BB7">
          <w:rPr>
            <w:rStyle w:val="Hyperlink"/>
            <w:color w:val="0033CC"/>
            <w:szCs w:val="18"/>
          </w:rPr>
          <w:t>https://www.wipo.int/meetings/en/doc_details.jsp?doc_id=443934</w:t>
        </w:r>
      </w:hyperlink>
      <w:r w:rsidRPr="00DE4616">
        <w:rPr>
          <w:rStyle w:val="Hyperlink"/>
          <w:rFonts w:eastAsia="Times New Roman"/>
          <w:color w:val="auto"/>
          <w:szCs w:val="18"/>
          <w:u w:val="none"/>
        </w:rPr>
        <w:t>,</w:t>
      </w:r>
      <w:r>
        <w:rPr>
          <w:rStyle w:val="Hyperlink"/>
          <w:rFonts w:eastAsia="Times New Roman"/>
          <w:color w:val="auto"/>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hyperlink r:id="rId6" w:history="1">
        <w:r w:rsidRPr="00635BB7">
          <w:rPr>
            <w:rStyle w:val="Hyperlink"/>
            <w:color w:val="0033CC"/>
            <w:szCs w:val="18"/>
          </w:rPr>
          <w:t>https://www.wipo.int/meetings/en/doc_details.jsp?doc_id=443934</w:t>
        </w:r>
      </w:hyperlink>
      <w:r w:rsidRPr="002A671B">
        <w:rPr>
          <w:rStyle w:val="Hyperlink"/>
          <w:rFonts w:eastAsia="Times New Roman"/>
          <w:color w:val="auto"/>
          <w:szCs w:val="18"/>
          <w:u w:val="none"/>
        </w:rPr>
        <w:t>.</w:t>
      </w:r>
      <w:proofErr w:type="gramEnd"/>
      <w:r w:rsidRPr="002A671B">
        <w:rPr>
          <w:rStyle w:val="Hyperlink"/>
          <w:rFonts w:eastAsia="Times New Roman"/>
          <w:color w:val="auto"/>
          <w:szCs w:val="18"/>
          <w:u w:val="none"/>
        </w:rPr>
        <w:t xml:space="preserve"> </w:t>
      </w:r>
    </w:p>
  </w:footnote>
  <w:footnote w:id="10">
    <w:p w:rsidR="00EE1606" w:rsidRPr="008B5CD1" w:rsidRDefault="00EE1606" w:rsidP="00EE1606">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See Annex C1, available at </w:t>
      </w:r>
      <w:hyperlink r:id="rId7" w:history="1">
        <w:r w:rsidRPr="00635BB7">
          <w:rPr>
            <w:rStyle w:val="Hyperlink"/>
            <w:rFonts w:eastAsia="Times New Roman"/>
            <w:color w:val="0033CC"/>
            <w:sz w:val="18"/>
            <w:szCs w:val="18"/>
          </w:rPr>
          <w:t>https://www.wto.org/english/docs_e/legal_e/27-trips.pdf</w:t>
        </w:r>
      </w:hyperlink>
      <w:r w:rsidRPr="002A671B">
        <w:rPr>
          <w:rStyle w:val="Hyperlink"/>
          <w:rFonts w:eastAsia="Times New Roman"/>
          <w:color w:val="auto"/>
          <w:sz w:val="18"/>
          <w:szCs w:val="18"/>
          <w:u w:val="none"/>
        </w:rPr>
        <w:t xml:space="preserve">. </w:t>
      </w:r>
    </w:p>
  </w:footnote>
  <w:footnote w:id="11">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United Nations Declaration on the Rights of Indigenous Peoples (UNDRIP), Article 4, available at </w:t>
      </w:r>
      <w:hyperlink r:id="rId8" w:history="1">
        <w:r w:rsidRPr="00635BB7">
          <w:rPr>
            <w:rStyle w:val="Hyperlink"/>
            <w:color w:val="0033CC"/>
            <w:szCs w:val="18"/>
          </w:rPr>
          <w:t>https://undocs.org/A/RES/61/295</w:t>
        </w:r>
      </w:hyperlink>
      <w:r w:rsidRPr="008B5CD1">
        <w:rPr>
          <w:szCs w:val="18"/>
        </w:rPr>
        <w:t>.</w:t>
      </w:r>
      <w:r>
        <w:rPr>
          <w:szCs w:val="18"/>
        </w:rPr>
        <w:t xml:space="preserve"> </w:t>
      </w:r>
    </w:p>
  </w:footnote>
  <w:footnote w:id="12">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 19. </w:t>
      </w:r>
    </w:p>
  </w:footnote>
  <w:footnote w:id="13">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i/>
          <w:szCs w:val="18"/>
        </w:rPr>
        <w:t>Sui Generis</w:t>
      </w:r>
      <w:r w:rsidRPr="008B5CD1">
        <w:rPr>
          <w:szCs w:val="18"/>
        </w:rPr>
        <w:t xml:space="preserve"> according to Black’s Law Dictionary means of its own kind or class, unique or peculiar. </w:t>
      </w:r>
    </w:p>
  </w:footnote>
  <w:footnote w:id="14">
    <w:p w:rsidR="00EE1606" w:rsidRPr="008B5CD1" w:rsidRDefault="00EE1606" w:rsidP="00EE1606">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Pr>
          <w:rFonts w:eastAsia="Times New Roman"/>
          <w:i/>
          <w:iCs/>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9" w:history="1">
        <w:r w:rsidRPr="00635BB7">
          <w:rPr>
            <w:rStyle w:val="Hyperlink"/>
            <w:rFonts w:eastAsia="Times New Roman"/>
            <w:color w:val="0033CC"/>
            <w:sz w:val="18"/>
            <w:szCs w:val="18"/>
            <w:lang w:val="en-AU" w:eastAsia="en-GB"/>
          </w:rPr>
          <w:t>https://papers.ssrn.com/abstract=2765827</w:t>
        </w:r>
      </w:hyperlink>
      <w:r>
        <w:rPr>
          <w:rFonts w:eastAsia="Times New Roman"/>
          <w:sz w:val="18"/>
          <w:szCs w:val="18"/>
          <w:lang w:val="en-AU" w:eastAsia="en-GB"/>
        </w:rPr>
        <w:t>&gt;</w:t>
      </w:r>
      <w:r w:rsidRPr="008B5CD1">
        <w:rPr>
          <w:sz w:val="18"/>
          <w:szCs w:val="18"/>
        </w:rPr>
        <w:t>;</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EE1606" w:rsidRPr="008B5CD1" w:rsidRDefault="00EE1606" w:rsidP="00EE1606">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EE1606" w:rsidRPr="008B5CD1" w:rsidRDefault="00EE1606" w:rsidP="00EE1606">
      <w:pPr>
        <w:ind w:firstLine="567"/>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10" w:history="1">
        <w:r w:rsidRPr="00635BB7">
          <w:rPr>
            <w:rStyle w:val="Hyperlink"/>
            <w:rFonts w:eastAsia="Times New Roman"/>
            <w:color w:val="0033CC"/>
            <w:sz w:val="18"/>
            <w:szCs w:val="18"/>
            <w:lang w:val="en-AU" w:eastAsia="en-GB"/>
          </w:rPr>
          <w:t>https://papers.ssrn.com/abstract=2765827</w:t>
        </w:r>
      </w:hyperlink>
      <w:r>
        <w:rPr>
          <w:rFonts w:eastAsia="Times New Roman"/>
          <w:sz w:val="18"/>
          <w:szCs w:val="18"/>
          <w:lang w:val="en-AU" w:eastAsia="en-GB"/>
        </w:rPr>
        <w:t xml:space="preserve">&gt;. </w:t>
      </w:r>
    </w:p>
  </w:footnote>
  <w:footnote w:id="17">
    <w:p w:rsidR="00EE1606" w:rsidRPr="008B5CD1" w:rsidRDefault="00EE1606" w:rsidP="00EE1606">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bookmarkStart w:id="6" w:name="_Hlk49439119"/>
      <w:r>
        <w:rPr>
          <w:szCs w:val="18"/>
        </w:rPr>
        <w:tab/>
      </w:r>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6"/>
    </w:p>
  </w:footnote>
  <w:footnote w:id="21">
    <w:p w:rsidR="00EE1606" w:rsidRPr="009E308A"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Refer </w:t>
      </w:r>
      <w:proofErr w:type="gramStart"/>
      <w:r w:rsidRPr="008B5CD1">
        <w:rPr>
          <w:szCs w:val="18"/>
        </w:rPr>
        <w:t>to:</w:t>
      </w:r>
      <w:proofErr w:type="gramEnd"/>
      <w:r w:rsidRPr="008B5CD1">
        <w:rPr>
          <w:szCs w:val="18"/>
        </w:rPr>
        <w:t xml:space="preserve"> </w:t>
      </w:r>
      <w:hyperlink r:id="rId11" w:history="1">
        <w:r w:rsidRPr="00635BB7">
          <w:rPr>
            <w:rStyle w:val="Hyperlink"/>
            <w:rFonts w:eastAsia="Times New Roman"/>
            <w:color w:val="0033CC"/>
            <w:szCs w:val="18"/>
            <w:lang w:val="en-AU" w:eastAsia="en-GB"/>
          </w:rPr>
          <w:t>https://www.cbd.int/doc/guidelines/cbd-RutzolijirisaxikGuidelines-en.pdf</w:t>
        </w:r>
      </w:hyperlink>
      <w:r w:rsidRPr="009E308A">
        <w:rPr>
          <w:rFonts w:eastAsia="Times New Roman"/>
          <w:szCs w:val="18"/>
          <w:lang w:val="en-AU" w:eastAsia="en-GB"/>
        </w:rPr>
        <w:t xml:space="preserve">. </w:t>
      </w:r>
    </w:p>
  </w:footnote>
  <w:footnote w:id="22">
    <w:p w:rsidR="00EE1606" w:rsidRPr="009E308A" w:rsidRDefault="00EE1606" w:rsidP="00EE1606">
      <w:pPr>
        <w:pStyle w:val="FootnoteText"/>
        <w:rPr>
          <w:szCs w:val="18"/>
        </w:rPr>
      </w:pPr>
      <w:r w:rsidRPr="009E308A">
        <w:rPr>
          <w:rStyle w:val="FootnoteReference"/>
          <w:szCs w:val="18"/>
        </w:rPr>
        <w:footnoteRef/>
      </w:r>
      <w:r w:rsidRPr="009E308A">
        <w:rPr>
          <w:szCs w:val="18"/>
        </w:rPr>
        <w:t xml:space="preserve">  </w:t>
      </w:r>
      <w:r>
        <w:rPr>
          <w:szCs w:val="18"/>
        </w:rPr>
        <w:tab/>
      </w:r>
      <w:proofErr w:type="spellStart"/>
      <w:r w:rsidRPr="009E308A">
        <w:rPr>
          <w:szCs w:val="18"/>
        </w:rPr>
        <w:t>Rutzolijirisaxik</w:t>
      </w:r>
      <w:proofErr w:type="spellEnd"/>
      <w:r w:rsidRPr="009E308A">
        <w:rPr>
          <w:szCs w:val="18"/>
        </w:rPr>
        <w:t xml:space="preserve"> Guidelines, par. 11(k).</w:t>
      </w:r>
    </w:p>
  </w:footnote>
  <w:footnote w:id="23">
    <w:p w:rsidR="00EE1606" w:rsidRPr="009E308A" w:rsidRDefault="00EE1606" w:rsidP="00EE1606">
      <w:pPr>
        <w:pStyle w:val="FootnoteText"/>
        <w:rPr>
          <w:szCs w:val="18"/>
        </w:rPr>
      </w:pPr>
      <w:r w:rsidRPr="009E308A">
        <w:rPr>
          <w:rStyle w:val="FootnoteReference"/>
          <w:szCs w:val="18"/>
        </w:rPr>
        <w:footnoteRef/>
      </w:r>
      <w:r w:rsidRPr="009E308A">
        <w:rPr>
          <w:szCs w:val="18"/>
        </w:rPr>
        <w:t xml:space="preserve"> </w:t>
      </w:r>
      <w:r>
        <w:rPr>
          <w:szCs w:val="18"/>
        </w:rPr>
        <w:tab/>
      </w:r>
      <w:r w:rsidRPr="009E308A">
        <w:rPr>
          <w:szCs w:val="18"/>
        </w:rPr>
        <w:t xml:space="preserve">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EE1606" w:rsidRPr="00D63A1C" w:rsidRDefault="00EE1606" w:rsidP="00EE1606">
      <w:pPr>
        <w:rPr>
          <w:sz w:val="18"/>
          <w:szCs w:val="18"/>
        </w:rPr>
      </w:pPr>
      <w:r w:rsidRPr="009E308A">
        <w:rPr>
          <w:rStyle w:val="FootnoteReference"/>
          <w:sz w:val="18"/>
          <w:szCs w:val="18"/>
        </w:rPr>
        <w:footnoteRef/>
      </w:r>
      <w:r w:rsidRPr="009E308A">
        <w:rPr>
          <w:sz w:val="18"/>
          <w:szCs w:val="18"/>
        </w:rPr>
        <w:t xml:space="preserve"> </w:t>
      </w:r>
      <w:r>
        <w:rPr>
          <w:sz w:val="18"/>
          <w:szCs w:val="18"/>
        </w:rPr>
        <w:tab/>
      </w:r>
      <w:r w:rsidRPr="009E308A">
        <w:rPr>
          <w:sz w:val="18"/>
          <w:szCs w:val="18"/>
        </w:rPr>
        <w:t xml:space="preserve">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Pr="00635BB7">
          <w:rPr>
            <w:rStyle w:val="Hyperlink"/>
            <w:rFonts w:eastAsia="Times New Roman"/>
            <w:color w:val="0033CC"/>
            <w:sz w:val="18"/>
            <w:szCs w:val="18"/>
          </w:rPr>
          <w:t>https://www.cigionline.org/sites/default/files/documents/Paper%20no.176web.pdf</w:t>
        </w:r>
      </w:hyperlink>
      <w:r w:rsidRPr="009E308A">
        <w:rPr>
          <w:rStyle w:val="Hyperlink"/>
          <w:rFonts w:eastAsia="Times New Roman"/>
          <w:color w:val="auto"/>
          <w:sz w:val="18"/>
          <w:szCs w:val="18"/>
          <w:u w:val="none"/>
        </w:rPr>
        <w:t xml:space="preserve">. </w:t>
      </w:r>
    </w:p>
  </w:footnote>
  <w:footnote w:id="25">
    <w:p w:rsidR="00EE1606" w:rsidRPr="00D63A1C" w:rsidRDefault="00EE1606" w:rsidP="00EE1606">
      <w:pPr>
        <w:pStyle w:val="FootnoteText"/>
        <w:rPr>
          <w:szCs w:val="18"/>
        </w:rPr>
      </w:pPr>
      <w:r w:rsidRPr="00D63A1C">
        <w:rPr>
          <w:rStyle w:val="FootnoteReference"/>
          <w:szCs w:val="18"/>
        </w:rPr>
        <w:footnoteRef/>
      </w:r>
      <w:r w:rsidRPr="00D63A1C">
        <w:rPr>
          <w:szCs w:val="18"/>
        </w:rPr>
        <w:t xml:space="preserve"> </w:t>
      </w:r>
      <w:bookmarkStart w:id="7" w:name="_Hlk49439153"/>
      <w:r>
        <w:rPr>
          <w:szCs w:val="18"/>
        </w:rPr>
        <w:tab/>
        <w:t xml:space="preserve">See </w:t>
      </w:r>
      <w:r w:rsidRPr="00D63A1C">
        <w:rPr>
          <w:szCs w:val="18"/>
        </w:rPr>
        <w:t xml:space="preserve">paragraphs 4 to 6 of the “Technical Review” available at </w:t>
      </w:r>
      <w:hyperlink r:id="rId13" w:history="1">
        <w:r w:rsidRPr="00635BB7">
          <w:rPr>
            <w:rStyle w:val="Hyperlink"/>
            <w:color w:val="0033CC"/>
            <w:szCs w:val="18"/>
          </w:rPr>
          <w:t>https://www.wipo.int/edocs/mdocs/tk/en/wipo_grtkf_ic_29/wipo_grtkf_ic_29_inf_10.pdf</w:t>
        </w:r>
      </w:hyperlink>
      <w:r w:rsidRPr="00D63A1C">
        <w:rPr>
          <w:rStyle w:val="Hyperlink"/>
          <w:color w:val="auto"/>
          <w:szCs w:val="18"/>
          <w:u w:val="none"/>
        </w:rPr>
        <w:t>.</w:t>
      </w:r>
      <w:r>
        <w:rPr>
          <w:rStyle w:val="Hyperlink"/>
          <w:color w:val="auto"/>
          <w:szCs w:val="18"/>
          <w:u w:val="none"/>
        </w:rPr>
        <w:t xml:space="preserve"> </w:t>
      </w:r>
    </w:p>
    <w:bookmarkEnd w:id="7"/>
  </w:footnote>
  <w:footnote w:id="26">
    <w:p w:rsidR="00EE1606" w:rsidRPr="00D63A1C" w:rsidRDefault="00EE1606" w:rsidP="00EE1606">
      <w:pPr>
        <w:pStyle w:val="FootnoteText"/>
        <w:rPr>
          <w:szCs w:val="18"/>
        </w:rPr>
      </w:pPr>
      <w:r w:rsidRPr="00D63A1C">
        <w:rPr>
          <w:rStyle w:val="FootnoteReference"/>
          <w:szCs w:val="18"/>
        </w:rPr>
        <w:footnoteRef/>
      </w:r>
      <w:r w:rsidRPr="00D63A1C">
        <w:rPr>
          <w:szCs w:val="18"/>
        </w:rPr>
        <w:t xml:space="preserve"> </w:t>
      </w:r>
      <w:r>
        <w:rPr>
          <w:szCs w:val="18"/>
        </w:rPr>
        <w:tab/>
      </w:r>
      <w:r w:rsidRPr="00D63A1C">
        <w:rPr>
          <w:szCs w:val="18"/>
        </w:rPr>
        <w:t xml:space="preserve">Bagley, ibid. </w:t>
      </w:r>
    </w:p>
  </w:footnote>
  <w:footnote w:id="27">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UNDRIP, article 19.</w:t>
      </w:r>
    </w:p>
  </w:footnote>
  <w:footnote w:id="28">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See WIPO Study on Limitations and Exceptions of Copyright and Related Rights in the Digital Environment. Standing Committee on Copyright and Related Rights. Geneva, June 23 to 27, 2003, available at </w:t>
      </w:r>
      <w:hyperlink r:id="rId14" w:history="1">
        <w:r w:rsidRPr="00635BB7">
          <w:rPr>
            <w:rStyle w:val="Hyperlink"/>
            <w:color w:val="0033CC"/>
            <w:szCs w:val="18"/>
          </w:rPr>
          <w:t>https://www.wipo.int/edocs/mdocs/copyright/en/sccr_9/sccr_9_7.pdf</w:t>
        </w:r>
      </w:hyperlink>
      <w:r w:rsidRPr="009E308A">
        <w:rPr>
          <w:rStyle w:val="Hyperlink"/>
          <w:color w:val="auto"/>
          <w:szCs w:val="18"/>
          <w:u w:val="none"/>
        </w:rPr>
        <w:t>.</w:t>
      </w:r>
      <w:r w:rsidRPr="009E308A">
        <w:rPr>
          <w:szCs w:val="18"/>
        </w:rPr>
        <w:t xml:space="preserve"> </w:t>
      </w:r>
    </w:p>
  </w:footnote>
  <w:footnote w:id="29">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bookmarkStart w:id="8" w:name="_Hlk49439170"/>
      <w:r>
        <w:rPr>
          <w:szCs w:val="18"/>
        </w:rPr>
        <w:tab/>
      </w:r>
      <w:r w:rsidRPr="008B5CD1">
        <w:rPr>
          <w:szCs w:val="18"/>
        </w:rPr>
        <w:t>See WO/GA/51/12 Annex I on page 18 on “Exceptions and Limitations”.</w:t>
      </w:r>
      <w:bookmarkEnd w:id="8"/>
    </w:p>
  </w:footnote>
  <w:footnote w:id="30">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Articles 11(2) and 19. </w:t>
      </w:r>
    </w:p>
  </w:footnote>
  <w:footnote w:id="31">
    <w:p w:rsidR="00EE1606" w:rsidRPr="00D63A1C" w:rsidRDefault="00EE1606" w:rsidP="00EE1606">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 xml:space="preserve">See Article 32.5, available at </w:t>
      </w:r>
      <w:hyperlink r:id="rId15" w:history="1">
        <w:r w:rsidRPr="00635BB7">
          <w:rPr>
            <w:rStyle w:val="Hyperlink"/>
            <w:rFonts w:eastAsia="Times New Roman"/>
            <w:color w:val="0033CC"/>
            <w:sz w:val="18"/>
            <w:szCs w:val="18"/>
          </w:rPr>
          <w:t>https://ustr.gov/sites/default/files/files/agreements/FTA/USMCA/Text/32_Exceptions_and_General_Provisions.pdf</w:t>
        </w:r>
      </w:hyperlink>
      <w:r w:rsidRPr="00635BB7">
        <w:rPr>
          <w:rStyle w:val="Hyperlink"/>
          <w:rFonts w:eastAsia="Times New Roman"/>
          <w:color w:val="auto"/>
          <w:sz w:val="18"/>
          <w:szCs w:val="18"/>
          <w:u w:val="none"/>
        </w:rPr>
        <w:t>.</w:t>
      </w:r>
    </w:p>
  </w:footnote>
  <w:footnote w:id="32">
    <w:p w:rsidR="00EE1606" w:rsidRPr="00D63A1C" w:rsidRDefault="00EE1606" w:rsidP="00EE1606">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EE1606" w:rsidRPr="00CB512C"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EE1606" w:rsidRPr="00CB512C" w:rsidRDefault="00EE1606" w:rsidP="00EE1606">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EE1606" w:rsidRPr="00CB512C" w:rsidRDefault="00EE1606" w:rsidP="00EE1606">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EE1606" w:rsidRPr="00CB512C" w:rsidRDefault="00EE1606" w:rsidP="00EE1606">
      <w:pPr>
        <w:pStyle w:val="FootnoteText"/>
        <w:rPr>
          <w:szCs w:val="18"/>
        </w:rPr>
      </w:pPr>
      <w:r w:rsidRPr="00CB512C">
        <w:rPr>
          <w:rStyle w:val="FootnoteReference"/>
          <w:szCs w:val="18"/>
        </w:rPr>
        <w:footnoteRef/>
      </w:r>
      <w:r w:rsidRPr="00CB512C">
        <w:rPr>
          <w:i/>
          <w:iCs/>
          <w:szCs w:val="18"/>
        </w:rPr>
        <w:t xml:space="preserve"> </w:t>
      </w:r>
      <w:r>
        <w:rPr>
          <w:i/>
          <w:iCs/>
          <w:szCs w:val="18"/>
        </w:rPr>
        <w:tab/>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EE1606" w:rsidRPr="00CB512C" w:rsidRDefault="00EE1606" w:rsidP="00EE1606">
      <w:pPr>
        <w:pStyle w:val="FootnoteText"/>
        <w:rPr>
          <w:szCs w:val="18"/>
        </w:rPr>
      </w:pPr>
      <w:r w:rsidRPr="00CB512C">
        <w:rPr>
          <w:rStyle w:val="FootnoteReference"/>
          <w:szCs w:val="18"/>
        </w:rPr>
        <w:footnoteRef/>
      </w:r>
      <w:r w:rsidRPr="00CB512C">
        <w:rPr>
          <w:iCs/>
          <w:szCs w:val="18"/>
        </w:rPr>
        <w:t xml:space="preserve"> </w:t>
      </w:r>
      <w:r>
        <w:rPr>
          <w:iCs/>
          <w:szCs w:val="18"/>
        </w:rPr>
        <w:tab/>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16" w:history="1">
        <w:r w:rsidRPr="00635BB7">
          <w:rPr>
            <w:rStyle w:val="Hyperlink"/>
            <w:color w:val="0033CC"/>
            <w:szCs w:val="18"/>
          </w:rPr>
          <w:t>https://www.wipo.int/edocs/mdocs/tk/en/wipo_grtkf_ic_29/wipo_grtkf_ic_29_inf_10.pdf</w:t>
        </w:r>
      </w:hyperlink>
      <w:r w:rsidRPr="00957002">
        <w:rPr>
          <w:rStyle w:val="Hyperlink"/>
          <w:color w:val="auto"/>
          <w:szCs w:val="18"/>
          <w:u w:val="none"/>
        </w:rPr>
        <w:t>.</w:t>
      </w:r>
    </w:p>
  </w:footnote>
  <w:footnote w:id="38">
    <w:p w:rsidR="00EE1606" w:rsidRPr="00CB512C" w:rsidRDefault="00EE1606" w:rsidP="00EE1606">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Document WIPO/GRTKF/IC/29/INF/10, available at </w:t>
      </w:r>
      <w:hyperlink r:id="rId17" w:history="1">
        <w:r w:rsidRPr="00635BB7">
          <w:rPr>
            <w:rStyle w:val="Hyperlink"/>
            <w:color w:val="0033CC"/>
            <w:szCs w:val="18"/>
          </w:rPr>
          <w:t>https://www.wipo.int/edocs/mdocs/tk/en/wipo_grtkf_ic_29/wipo_grtkf_ic_29_inf_10.pdf</w:t>
        </w:r>
      </w:hyperlink>
      <w:r w:rsidRPr="00CB512C">
        <w:rPr>
          <w:szCs w:val="18"/>
        </w:rPr>
        <w:t>.</w:t>
      </w:r>
    </w:p>
  </w:footnote>
  <w:footnote w:id="39">
    <w:p w:rsidR="00EE1606" w:rsidRPr="00CB512C" w:rsidRDefault="00EE1606" w:rsidP="00EE1606">
      <w:pPr>
        <w:pStyle w:val="FootnoteText"/>
        <w:rPr>
          <w:szCs w:val="18"/>
        </w:rPr>
      </w:pPr>
      <w:r w:rsidRPr="00CB512C">
        <w:rPr>
          <w:rStyle w:val="FootnoteReference"/>
          <w:szCs w:val="18"/>
        </w:rPr>
        <w:footnoteRef/>
      </w:r>
      <w:r w:rsidRPr="00CB512C">
        <w:rPr>
          <w:szCs w:val="18"/>
        </w:rPr>
        <w:t xml:space="preserve"> </w:t>
      </w:r>
      <w:r>
        <w:rPr>
          <w:szCs w:val="18"/>
        </w:rPr>
        <w:tab/>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635BB7">
          <w:rPr>
            <w:rStyle w:val="Hyperlink"/>
            <w:color w:val="0033CC"/>
            <w:szCs w:val="18"/>
          </w:rPr>
          <w:t>https://absch.cbd.int/reports/analyzer</w:t>
        </w:r>
      </w:hyperlink>
      <w:r w:rsidRPr="00635BB7">
        <w:rPr>
          <w:szCs w:val="18"/>
        </w:rPr>
        <w:t xml:space="preserve"> at </w:t>
      </w:r>
      <w:proofErr w:type="gramStart"/>
      <w:r w:rsidRPr="00635BB7">
        <w:rPr>
          <w:szCs w:val="18"/>
        </w:rPr>
        <w:t>11</w:t>
      </w:r>
      <w:r w:rsidRPr="00635BB7">
        <w:rPr>
          <w:szCs w:val="18"/>
          <w:vertAlign w:val="superscript"/>
        </w:rPr>
        <w:t>th</w:t>
      </w:r>
      <w:proofErr w:type="gramEnd"/>
      <w:r w:rsidRPr="00635BB7">
        <w:rPr>
          <w:szCs w:val="18"/>
        </w:rPr>
        <w:t xml:space="preserve"> May 2020</w:t>
      </w:r>
      <w:r w:rsidRPr="00CB512C">
        <w:rPr>
          <w:szCs w:val="18"/>
        </w:rPr>
        <w:t>.</w:t>
      </w:r>
    </w:p>
  </w:footnote>
  <w:footnote w:id="40">
    <w:p w:rsidR="00EE1606" w:rsidRPr="00CB512C" w:rsidRDefault="00EE1606" w:rsidP="00EE1606">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635BB7">
          <w:rPr>
            <w:rStyle w:val="Hyperlink"/>
            <w:color w:val="0033CC"/>
            <w:szCs w:val="18"/>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EE1606" w:rsidRPr="00CB512C" w:rsidRDefault="00EE1606" w:rsidP="00EE1606">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EE1606" w:rsidRPr="008B5CD1" w:rsidRDefault="00EE1606" w:rsidP="00EE1606">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20" w:history="1">
        <w:r w:rsidRPr="00635BB7">
          <w:rPr>
            <w:rStyle w:val="Hyperlink"/>
            <w:color w:val="0033CC"/>
            <w:szCs w:val="18"/>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UNDRIP,</w:t>
      </w:r>
      <w:proofErr w:type="gramEnd"/>
      <w:r w:rsidRPr="008B5CD1">
        <w:rPr>
          <w:szCs w:val="18"/>
        </w:rPr>
        <w:t xml:space="preserve"> art 31, art 23.</w:t>
      </w:r>
    </w:p>
  </w:footnote>
  <w:footnote w:id="43">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EE1606" w:rsidRPr="008B5CD1" w:rsidRDefault="00EE1606" w:rsidP="00EE1606">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EE1606" w:rsidRPr="008B5CD1" w:rsidRDefault="00EE1606" w:rsidP="00EE1606">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EE1606" w:rsidRPr="008B5CD1" w:rsidRDefault="00EE1606" w:rsidP="00EE1606">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sz w:val="18"/>
          <w:szCs w:val="18"/>
          <w:lang w:val="en-AU" w:eastAsia="en-GB"/>
        </w:rPr>
        <w:t xml:space="preserve">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EE1606" w:rsidRPr="008B5CD1" w:rsidRDefault="00EE1606" w:rsidP="00EE1606">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CBD AHTEG DSI, 13-16 February 2018, CBD/DSI/AHTEG/2018/1/4, para 29.</w:t>
      </w:r>
    </w:p>
  </w:footnote>
  <w:footnote w:id="50">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Chair’s text, art. 6.5.</w:t>
      </w:r>
    </w:p>
  </w:footnote>
  <w:footnote w:id="51">
    <w:p w:rsidR="00EE1606" w:rsidRPr="008B5CD1" w:rsidRDefault="00EE1606" w:rsidP="00EE1606">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Consolidated text, art. 6.4</w:t>
      </w:r>
    </w:p>
  </w:footnote>
  <w:footnote w:id="52">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EE1606" w:rsidRPr="008B5CD1" w:rsidRDefault="00EE1606" w:rsidP="00EE1606">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6C3950">
        <w:rPr>
          <w:sz w:val="18"/>
          <w:szCs w:val="18"/>
        </w:rPr>
        <w:t>CBD AHTEG DSI, 13-16 February 2018, CBD/DSI/AHTEG/2018/1/4, para 29.</w:t>
      </w:r>
      <w:r>
        <w:rPr>
          <w:sz w:val="18"/>
          <w:szCs w:val="18"/>
        </w:rPr>
        <w:t xml:space="preserve"> </w:t>
      </w:r>
      <w:r w:rsidRPr="006C3950">
        <w:rPr>
          <w:sz w:val="18"/>
          <w:szCs w:val="18"/>
        </w:rPr>
        <w:t xml:space="preserve">Frederic </w:t>
      </w:r>
      <w:proofErr w:type="spellStart"/>
      <w:r w:rsidRPr="006C3950">
        <w:rPr>
          <w:sz w:val="18"/>
          <w:szCs w:val="18"/>
        </w:rPr>
        <w:t>Perron</w:t>
      </w:r>
      <w:proofErr w:type="spellEnd"/>
      <w:r w:rsidRPr="006C3950">
        <w:rPr>
          <w:sz w:val="18"/>
          <w:szCs w:val="18"/>
        </w:rPr>
        <w:t xml:space="preserve">-Welch,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EE1606" w:rsidRPr="008B5CD1" w:rsidRDefault="00EE1606" w:rsidP="00EE1606">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0F2AD2">
    <w:pPr>
      <w:jc w:val="right"/>
    </w:pPr>
    <w:r>
      <w:t>WIPO/GRTKF/IC/42/INF/8</w:t>
    </w:r>
  </w:p>
  <w:p w:rsidR="00EE1606" w:rsidRDefault="00EE1606"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E1606" w:rsidRDefault="00EE1606"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477D6B">
    <w:pPr>
      <w:jc w:val="right"/>
    </w:pPr>
    <w:r>
      <w:t>WIPO/GRTKF/IC/46/INF/8</w:t>
    </w:r>
  </w:p>
  <w:p w:rsidR="00EE1606" w:rsidRDefault="00EE1606" w:rsidP="00477D6B">
    <w:pPr>
      <w:jc w:val="right"/>
    </w:pPr>
    <w:proofErr w:type="gramStart"/>
    <w:r>
      <w:t>page</w:t>
    </w:r>
    <w:proofErr w:type="gramEnd"/>
    <w:r>
      <w:t xml:space="preserve"> </w:t>
    </w:r>
    <w:r>
      <w:fldChar w:fldCharType="begin"/>
    </w:r>
    <w:r>
      <w:instrText xml:space="preserve"> PAGE  \* MERGEFORMAT </w:instrText>
    </w:r>
    <w:r>
      <w:fldChar w:fldCharType="separate"/>
    </w:r>
    <w:r w:rsidR="00635BB7">
      <w:rPr>
        <w:noProof/>
      </w:rPr>
      <w:t>2</w:t>
    </w:r>
    <w:r>
      <w:fldChar w:fldCharType="end"/>
    </w:r>
  </w:p>
  <w:p w:rsidR="00EE1606" w:rsidRDefault="00EE1606" w:rsidP="00477D6B">
    <w:pPr>
      <w:jc w:val="right"/>
    </w:pPr>
  </w:p>
  <w:p w:rsidR="00EE1606" w:rsidRDefault="00EE16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3" w:rsidRDefault="001A2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EC6584" w:rsidRDefault="00C752BF" w:rsidP="00EC6584">
    <w:pPr>
      <w:jc w:val="right"/>
    </w:pPr>
    <w:r>
      <w:t>WIPO/GRTKF/IC/46</w:t>
    </w:r>
    <w:r w:rsidR="00EC6584">
      <w:t>/INF/8</w:t>
    </w:r>
  </w:p>
  <w:p w:rsidR="000F2AD2" w:rsidRDefault="00EC6584" w:rsidP="00EC6584">
    <w:pPr>
      <w:jc w:val="right"/>
    </w:pPr>
    <w:r>
      <w:t xml:space="preserve">Annex, page </w:t>
    </w:r>
    <w:r w:rsidR="00C752BF">
      <w:t>2</w:t>
    </w:r>
  </w:p>
  <w:p w:rsidR="00EC6584" w:rsidRDefault="00EC6584" w:rsidP="00EC6584">
    <w:pPr>
      <w:jc w:val="center"/>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477D6B">
    <w:pPr>
      <w:jc w:val="right"/>
    </w:pPr>
    <w:r>
      <w:t>WIPO/GRTKF/IC/46/INF/8</w:t>
    </w:r>
  </w:p>
  <w:p w:rsidR="00EE1606" w:rsidRDefault="00D174B2" w:rsidP="00477D6B">
    <w:pPr>
      <w:jc w:val="right"/>
    </w:pPr>
    <w:r>
      <w:t xml:space="preserve">Annex, page </w:t>
    </w:r>
    <w:r>
      <w:fldChar w:fldCharType="begin"/>
    </w:r>
    <w:r>
      <w:instrText xml:space="preserve"> PAGE   \* MERGEFORMAT </w:instrText>
    </w:r>
    <w:r>
      <w:fldChar w:fldCharType="separate"/>
    </w:r>
    <w:r w:rsidR="00635BB7">
      <w:rPr>
        <w:noProof/>
      </w:rPr>
      <w:t>10</w:t>
    </w:r>
    <w:r>
      <w:rPr>
        <w:noProof/>
      </w:rPr>
      <w:fldChar w:fldCharType="end"/>
    </w:r>
  </w:p>
  <w:p w:rsidR="00EE1606" w:rsidRDefault="00EE1606" w:rsidP="00477D6B">
    <w:pPr>
      <w:jc w:val="right"/>
    </w:pPr>
  </w:p>
  <w:p w:rsidR="00EE1606" w:rsidRDefault="00EE160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84" w:rsidRDefault="00EC6584" w:rsidP="00EC6584">
    <w:pPr>
      <w:jc w:val="right"/>
    </w:pPr>
    <w:r>
      <w:t>WIPO/GRTKF/IC/46/INF/8</w:t>
    </w:r>
  </w:p>
  <w:p w:rsidR="00EC6584" w:rsidRDefault="00EC6584" w:rsidP="00EC6584">
    <w:pPr>
      <w:jc w:val="right"/>
    </w:pPr>
    <w:r>
      <w:t>ANNEX</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7169"/>
    <w:rsid w:val="000D1DD6"/>
    <w:rsid w:val="000F2AD2"/>
    <w:rsid w:val="000F5E56"/>
    <w:rsid w:val="001307BE"/>
    <w:rsid w:val="001362EE"/>
    <w:rsid w:val="001647D5"/>
    <w:rsid w:val="001677EF"/>
    <w:rsid w:val="001832A6"/>
    <w:rsid w:val="001A2233"/>
    <w:rsid w:val="0021217E"/>
    <w:rsid w:val="00233428"/>
    <w:rsid w:val="002634C4"/>
    <w:rsid w:val="002928D3"/>
    <w:rsid w:val="002F1FE6"/>
    <w:rsid w:val="002F4E68"/>
    <w:rsid w:val="00312F7F"/>
    <w:rsid w:val="00361450"/>
    <w:rsid w:val="003629AF"/>
    <w:rsid w:val="003673CF"/>
    <w:rsid w:val="003845C1"/>
    <w:rsid w:val="00385705"/>
    <w:rsid w:val="003A6F89"/>
    <w:rsid w:val="003B1CA9"/>
    <w:rsid w:val="003B38C1"/>
    <w:rsid w:val="00423E3E"/>
    <w:rsid w:val="00427AF4"/>
    <w:rsid w:val="004647DA"/>
    <w:rsid w:val="00474062"/>
    <w:rsid w:val="00477D6B"/>
    <w:rsid w:val="00493709"/>
    <w:rsid w:val="005019FF"/>
    <w:rsid w:val="0053057A"/>
    <w:rsid w:val="00560A29"/>
    <w:rsid w:val="005C6649"/>
    <w:rsid w:val="005D69E1"/>
    <w:rsid w:val="006001E7"/>
    <w:rsid w:val="00605827"/>
    <w:rsid w:val="00635BB7"/>
    <w:rsid w:val="00646050"/>
    <w:rsid w:val="006713CA"/>
    <w:rsid w:val="00676C5C"/>
    <w:rsid w:val="007D1613"/>
    <w:rsid w:val="007E4C0E"/>
    <w:rsid w:val="00875528"/>
    <w:rsid w:val="008A134B"/>
    <w:rsid w:val="008A3756"/>
    <w:rsid w:val="008B2CC1"/>
    <w:rsid w:val="008B60B2"/>
    <w:rsid w:val="009057A8"/>
    <w:rsid w:val="0090731E"/>
    <w:rsid w:val="00916EE2"/>
    <w:rsid w:val="00966A22"/>
    <w:rsid w:val="0096722F"/>
    <w:rsid w:val="00980843"/>
    <w:rsid w:val="00996229"/>
    <w:rsid w:val="009C0EC3"/>
    <w:rsid w:val="009E1045"/>
    <w:rsid w:val="009E2791"/>
    <w:rsid w:val="009E3F6F"/>
    <w:rsid w:val="009F499F"/>
    <w:rsid w:val="00A37342"/>
    <w:rsid w:val="00A42DAF"/>
    <w:rsid w:val="00A45BD8"/>
    <w:rsid w:val="00A869B7"/>
    <w:rsid w:val="00A95721"/>
    <w:rsid w:val="00AC205C"/>
    <w:rsid w:val="00AE5229"/>
    <w:rsid w:val="00AF0A6B"/>
    <w:rsid w:val="00B05A69"/>
    <w:rsid w:val="00B4759F"/>
    <w:rsid w:val="00B658BD"/>
    <w:rsid w:val="00B9734B"/>
    <w:rsid w:val="00BA30E2"/>
    <w:rsid w:val="00BC588E"/>
    <w:rsid w:val="00BC7DD2"/>
    <w:rsid w:val="00C11BFE"/>
    <w:rsid w:val="00C5068F"/>
    <w:rsid w:val="00C752BF"/>
    <w:rsid w:val="00C86D74"/>
    <w:rsid w:val="00CD04F1"/>
    <w:rsid w:val="00CE356E"/>
    <w:rsid w:val="00D174B2"/>
    <w:rsid w:val="00D45252"/>
    <w:rsid w:val="00D71B4D"/>
    <w:rsid w:val="00D93D55"/>
    <w:rsid w:val="00DB3A08"/>
    <w:rsid w:val="00DD3F47"/>
    <w:rsid w:val="00E00F12"/>
    <w:rsid w:val="00E15015"/>
    <w:rsid w:val="00E335FE"/>
    <w:rsid w:val="00EA7D6E"/>
    <w:rsid w:val="00EC4E49"/>
    <w:rsid w:val="00EC6584"/>
    <w:rsid w:val="00ED77FB"/>
    <w:rsid w:val="00EE1606"/>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8126A"/>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EC6584"/>
    <w:rPr>
      <w:vertAlign w:val="superscript"/>
    </w:rPr>
  </w:style>
  <w:style w:type="character" w:styleId="Hyperlink">
    <w:name w:val="Hyperlink"/>
    <w:basedOn w:val="DefaultParagraphFont"/>
    <w:uiPriority w:val="99"/>
    <w:unhideWhenUsed/>
    <w:rsid w:val="00E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C381-D133-4D0B-A750-621D8195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12</TotalTime>
  <Pages>12</Pages>
  <Words>4200</Words>
  <Characters>24549</Characters>
  <Application>Microsoft Office Word</Application>
  <DocSecurity>0</DocSecurity>
  <Lines>371</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6</cp:revision>
  <cp:lastPrinted>2011-02-15T11:56:00Z</cp:lastPrinted>
  <dcterms:created xsi:type="dcterms:W3CDTF">2022-12-16T13:54:00Z</dcterms:created>
  <dcterms:modified xsi:type="dcterms:W3CDTF">2022-12-16T17:10:00Z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548bd7df-6215-47b0-8959-37453b961a16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