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8066B8"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F10338" w:rsidP="00104C84">
            <w:pPr>
              <w:jc w:val="right"/>
              <w:rPr>
                <w:rFonts w:ascii="Arial Black" w:hAnsi="Arial Black"/>
                <w:caps/>
                <w:sz w:val="15"/>
              </w:rPr>
            </w:pPr>
            <w:r>
              <w:rPr>
                <w:rFonts w:ascii="Arial Black" w:hAnsi="Arial Black"/>
                <w:caps/>
                <w:sz w:val="15"/>
              </w:rPr>
              <w:t>pct/</w:t>
            </w:r>
            <w:r w:rsidR="00104C84">
              <w:rPr>
                <w:rFonts w:ascii="Arial Black" w:hAnsi="Arial Black"/>
                <w:caps/>
                <w:sz w:val="15"/>
              </w:rPr>
              <w:t>MIA/21</w:t>
            </w:r>
            <w:r>
              <w:rPr>
                <w:rFonts w:ascii="Arial Black" w:hAnsi="Arial Black"/>
                <w:caps/>
                <w:sz w:val="15"/>
              </w:rPr>
              <w:t>/</w:t>
            </w:r>
            <w:bookmarkStart w:id="1" w:name="Code"/>
            <w:bookmarkEnd w:id="1"/>
            <w:r w:rsidR="006A03AB">
              <w:rPr>
                <w:rFonts w:ascii="Arial Black" w:hAnsi="Arial Black"/>
                <w:caps/>
                <w:sz w:val="15"/>
              </w:rPr>
              <w:t>8</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r w:rsidR="004E17B8">
              <w:rPr>
                <w:rFonts w:ascii="Arial Black" w:hAnsi="Arial Black"/>
                <w:caps/>
                <w:sz w:val="15"/>
              </w:rPr>
              <w:t>English</w:t>
            </w:r>
            <w:r w:rsidR="00F85798">
              <w:rPr>
                <w:rFonts w:ascii="Arial Black" w:hAnsi="Arial Black"/>
                <w:caps/>
                <w:sz w:val="15"/>
              </w:rPr>
              <w:t xml:space="preserve"> only</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F55E4F">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3" w:name="Date"/>
            <w:bookmarkEnd w:id="3"/>
            <w:r w:rsidR="00D3064D">
              <w:rPr>
                <w:rFonts w:ascii="Arial Black" w:hAnsi="Arial Black"/>
                <w:caps/>
                <w:sz w:val="15"/>
              </w:rPr>
              <w:t>January</w:t>
            </w:r>
            <w:r w:rsidR="00104C84">
              <w:rPr>
                <w:rFonts w:ascii="Arial Black" w:hAnsi="Arial Black"/>
                <w:caps/>
                <w:sz w:val="15"/>
              </w:rPr>
              <w:t xml:space="preserve"> </w:t>
            </w:r>
            <w:r w:rsidR="00F55E4F">
              <w:rPr>
                <w:rFonts w:ascii="Arial Black" w:hAnsi="Arial Black"/>
                <w:caps/>
                <w:sz w:val="15"/>
              </w:rPr>
              <w:t>21</w:t>
            </w:r>
            <w:r w:rsidR="00D3064D">
              <w:rPr>
                <w:rFonts w:ascii="Arial Black" w:hAnsi="Arial Black"/>
                <w:caps/>
                <w:sz w:val="15"/>
              </w:rPr>
              <w:t>, 2014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104C84" w:rsidRDefault="00104C84" w:rsidP="00F10338">
      <w:pPr>
        <w:rPr>
          <w:b/>
          <w:sz w:val="28"/>
          <w:szCs w:val="28"/>
        </w:rPr>
      </w:pPr>
      <w:r>
        <w:rPr>
          <w:b/>
          <w:sz w:val="28"/>
          <w:szCs w:val="28"/>
        </w:rPr>
        <w:t>Meeting of International Authorities</w:t>
      </w:r>
      <w:r w:rsidRPr="00F10338">
        <w:rPr>
          <w:b/>
          <w:sz w:val="28"/>
          <w:szCs w:val="28"/>
        </w:rPr>
        <w:t xml:space="preserve"> </w:t>
      </w:r>
    </w:p>
    <w:p w:rsidR="00F10338" w:rsidRPr="00F10338" w:rsidRDefault="00104C84" w:rsidP="00F10338">
      <w:pPr>
        <w:rPr>
          <w:b/>
          <w:sz w:val="28"/>
          <w:szCs w:val="28"/>
        </w:rPr>
      </w:pPr>
      <w:r>
        <w:rPr>
          <w:b/>
          <w:sz w:val="28"/>
          <w:szCs w:val="28"/>
        </w:rPr>
        <w:t xml:space="preserve">Under the </w:t>
      </w:r>
      <w:r w:rsidR="00F10338" w:rsidRPr="00F10338">
        <w:rPr>
          <w:b/>
          <w:sz w:val="28"/>
          <w:szCs w:val="28"/>
        </w:rPr>
        <w:t>Patent Cooperation Treaty (PCT)</w:t>
      </w:r>
    </w:p>
    <w:p w:rsidR="00F10338" w:rsidRPr="00F10338" w:rsidRDefault="00F10338" w:rsidP="00F10338">
      <w:pPr>
        <w:rPr>
          <w:b/>
          <w:sz w:val="28"/>
          <w:szCs w:val="28"/>
        </w:rPr>
      </w:pPr>
    </w:p>
    <w:p w:rsidR="003845C1" w:rsidRDefault="003845C1" w:rsidP="003845C1"/>
    <w:p w:rsidR="003845C1" w:rsidRDefault="003845C1" w:rsidP="003845C1"/>
    <w:p w:rsidR="00912505" w:rsidRPr="00912505" w:rsidRDefault="00104C84" w:rsidP="00912505">
      <w:pPr>
        <w:rPr>
          <w:b/>
          <w:sz w:val="24"/>
          <w:szCs w:val="24"/>
        </w:rPr>
      </w:pPr>
      <w:r>
        <w:rPr>
          <w:b/>
          <w:sz w:val="24"/>
          <w:szCs w:val="24"/>
        </w:rPr>
        <w:t>Twenty-First</w:t>
      </w:r>
      <w:r w:rsidR="00912505" w:rsidRPr="00912505">
        <w:rPr>
          <w:b/>
          <w:sz w:val="24"/>
          <w:szCs w:val="24"/>
        </w:rPr>
        <w:t xml:space="preserve"> </w:t>
      </w:r>
      <w:proofErr w:type="gramStart"/>
      <w:r w:rsidR="00912505" w:rsidRPr="00912505">
        <w:rPr>
          <w:b/>
          <w:sz w:val="24"/>
          <w:szCs w:val="24"/>
        </w:rPr>
        <w:t>Session</w:t>
      </w:r>
      <w:proofErr w:type="gramEnd"/>
    </w:p>
    <w:p w:rsidR="00912505" w:rsidRPr="00912505" w:rsidRDefault="00D3064D" w:rsidP="00912505">
      <w:pPr>
        <w:rPr>
          <w:b/>
          <w:sz w:val="24"/>
          <w:szCs w:val="24"/>
        </w:rPr>
      </w:pPr>
      <w:r>
        <w:rPr>
          <w:b/>
          <w:sz w:val="24"/>
          <w:szCs w:val="24"/>
        </w:rPr>
        <w:t>Tel Aviv, February 11</w:t>
      </w:r>
      <w:r w:rsidR="006A03AB">
        <w:rPr>
          <w:b/>
          <w:sz w:val="24"/>
          <w:szCs w:val="24"/>
        </w:rPr>
        <w:t xml:space="preserve"> to </w:t>
      </w:r>
      <w:r>
        <w:rPr>
          <w:b/>
          <w:sz w:val="24"/>
          <w:szCs w:val="24"/>
        </w:rPr>
        <w:t>13</w:t>
      </w:r>
      <w:r w:rsidR="00912505" w:rsidRPr="00912505">
        <w:rPr>
          <w:b/>
          <w:sz w:val="24"/>
          <w:szCs w:val="24"/>
        </w:rPr>
        <w:t>, 201</w:t>
      </w:r>
      <w:r w:rsidR="00104C84">
        <w:rPr>
          <w:b/>
          <w:sz w:val="24"/>
          <w:szCs w:val="24"/>
        </w:rPr>
        <w:t>4</w:t>
      </w:r>
    </w:p>
    <w:p w:rsidR="008B2CC1" w:rsidRPr="008B2CC1" w:rsidRDefault="008B2CC1" w:rsidP="008B2CC1"/>
    <w:p w:rsidR="008B2CC1" w:rsidRPr="008B2CC1" w:rsidRDefault="008B2CC1" w:rsidP="008B2CC1"/>
    <w:p w:rsidR="008B2CC1" w:rsidRPr="008B2CC1" w:rsidRDefault="008B2CC1" w:rsidP="008B2CC1"/>
    <w:p w:rsidR="008B2CC1" w:rsidRPr="00D3064D" w:rsidRDefault="00D3064D" w:rsidP="008B2CC1">
      <w:pPr>
        <w:rPr>
          <w:caps/>
          <w:sz w:val="24"/>
        </w:rPr>
      </w:pPr>
      <w:bookmarkStart w:id="4" w:name="TitleOfDoc"/>
      <w:bookmarkEnd w:id="4"/>
      <w:r w:rsidRPr="00D3064D">
        <w:rPr>
          <w:bCs/>
          <w:caps/>
          <w:sz w:val="24"/>
          <w:lang w:val="en-GB"/>
        </w:rPr>
        <w:t xml:space="preserve">INTRODUCTION OF </w:t>
      </w:r>
      <w:r w:rsidR="00400645">
        <w:rPr>
          <w:bCs/>
          <w:caps/>
          <w:sz w:val="24"/>
          <w:lang w:val="en-GB"/>
        </w:rPr>
        <w:t xml:space="preserve">a </w:t>
      </w:r>
      <w:r w:rsidRPr="00D3064D">
        <w:rPr>
          <w:bCs/>
          <w:caps/>
          <w:sz w:val="24"/>
          <w:lang w:val="en-GB"/>
        </w:rPr>
        <w:t xml:space="preserve">MANDATORY RESPONSE TO </w:t>
      </w:r>
      <w:r w:rsidR="006A03AB">
        <w:rPr>
          <w:bCs/>
          <w:caps/>
          <w:sz w:val="24"/>
          <w:lang w:val="en-GB"/>
        </w:rPr>
        <w:t xml:space="preserve">a </w:t>
      </w:r>
      <w:r w:rsidRPr="00D3064D">
        <w:rPr>
          <w:bCs/>
          <w:caps/>
          <w:sz w:val="24"/>
          <w:lang w:val="en-GB"/>
        </w:rPr>
        <w:t xml:space="preserve">NEGATIVE </w:t>
      </w:r>
      <w:r w:rsidR="006A03AB">
        <w:rPr>
          <w:bCs/>
          <w:caps/>
          <w:sz w:val="24"/>
          <w:lang w:val="en-GB"/>
        </w:rPr>
        <w:t>Written Opinion of the International Searching authority or International Preliminary Examination Report</w:t>
      </w:r>
    </w:p>
    <w:p w:rsidR="008B2CC1" w:rsidRPr="008B2CC1" w:rsidRDefault="008B2CC1" w:rsidP="008B2CC1"/>
    <w:p w:rsidR="008B2CC1" w:rsidRPr="008B2CC1" w:rsidRDefault="004E17B8" w:rsidP="008B2CC1">
      <w:pPr>
        <w:rPr>
          <w:i/>
        </w:rPr>
      </w:pPr>
      <w:bookmarkStart w:id="5" w:name="Prepared"/>
      <w:bookmarkEnd w:id="5"/>
      <w:r>
        <w:rPr>
          <w:i/>
        </w:rPr>
        <w:t>Document submitted by</w:t>
      </w:r>
      <w:r w:rsidR="0006398B" w:rsidRPr="0006398B">
        <w:rPr>
          <w:i/>
        </w:rPr>
        <w:t xml:space="preserve"> </w:t>
      </w:r>
      <w:r w:rsidR="0006398B" w:rsidRPr="00BB634C">
        <w:rPr>
          <w:i/>
        </w:rPr>
        <w:t xml:space="preserve">the </w:t>
      </w:r>
      <w:r>
        <w:rPr>
          <w:i/>
        </w:rPr>
        <w:t xml:space="preserve">United States </w:t>
      </w:r>
      <w:r w:rsidR="002173BA">
        <w:rPr>
          <w:i/>
        </w:rPr>
        <w:t>Patent and Trademark Office</w:t>
      </w:r>
    </w:p>
    <w:p w:rsidR="00AC205C" w:rsidRDefault="00AC205C"/>
    <w:p w:rsidR="000F5E56" w:rsidRDefault="000F5E56"/>
    <w:p w:rsidR="002928D3" w:rsidRDefault="002928D3" w:rsidP="0053057A"/>
    <w:p w:rsidR="00823D23" w:rsidRDefault="00823D23" w:rsidP="0053057A"/>
    <w:p w:rsidR="00823D23" w:rsidRDefault="00823D23" w:rsidP="0053057A"/>
    <w:p w:rsidR="0006398B" w:rsidRPr="00097B80" w:rsidRDefault="0006398B" w:rsidP="0006398B">
      <w:pPr>
        <w:pStyle w:val="Heading1"/>
      </w:pPr>
      <w:r w:rsidRPr="00097B80">
        <w:t>SUMMARY</w:t>
      </w:r>
    </w:p>
    <w:p w:rsidR="0006398B" w:rsidRPr="00097B80" w:rsidRDefault="00D3064D" w:rsidP="0006398B">
      <w:pPr>
        <w:pStyle w:val="ONUME"/>
        <w:rPr>
          <w:rFonts w:eastAsia="Arial"/>
          <w:lang w:val="en-GB"/>
        </w:rPr>
      </w:pPr>
      <w:r w:rsidRPr="00D3064D">
        <w:rPr>
          <w:rFonts w:eastAsia="Arial"/>
          <w:lang w:val="en-GB"/>
        </w:rPr>
        <w:t xml:space="preserve">The present document relates to </w:t>
      </w:r>
      <w:r w:rsidR="004A3FCC">
        <w:rPr>
          <w:rFonts w:eastAsia="Arial"/>
          <w:lang w:val="en-GB"/>
        </w:rPr>
        <w:t xml:space="preserve">the </w:t>
      </w:r>
      <w:r w:rsidRPr="00D3064D">
        <w:rPr>
          <w:rFonts w:eastAsia="Arial"/>
          <w:lang w:val="en-GB"/>
        </w:rPr>
        <w:t xml:space="preserve">proposal </w:t>
      </w:r>
      <w:r w:rsidR="004A3FCC">
        <w:rPr>
          <w:rFonts w:eastAsia="Arial"/>
          <w:lang w:val="en-GB"/>
        </w:rPr>
        <w:t xml:space="preserve">by </w:t>
      </w:r>
      <w:r w:rsidR="004A3FCC" w:rsidRPr="00D3064D">
        <w:rPr>
          <w:rFonts w:eastAsia="Arial"/>
        </w:rPr>
        <w:t xml:space="preserve">the United Kingdom and the United States of America </w:t>
      </w:r>
      <w:r w:rsidRPr="00D3064D">
        <w:rPr>
          <w:rFonts w:eastAsia="Arial"/>
          <w:lang w:val="en-GB"/>
        </w:rPr>
        <w:t>to amend the PCT Regulations to specifically provide that applicants must respond to any outstanding negative comments issued by the International Searching Authority (ISA) in the Chapter I written opinion or by the International Preliminary Examining Authority (IPEA) in the international preliminary examination report upon entering the national/regional phase.</w:t>
      </w:r>
    </w:p>
    <w:p w:rsidR="0006398B" w:rsidRPr="0006398B" w:rsidRDefault="0006398B" w:rsidP="0006398B">
      <w:pPr>
        <w:pStyle w:val="Heading1"/>
      </w:pPr>
      <w:r w:rsidRPr="0006398B">
        <w:t>Background</w:t>
      </w:r>
    </w:p>
    <w:p w:rsidR="0006398B" w:rsidRPr="0080021F" w:rsidRDefault="00D3064D" w:rsidP="0006398B">
      <w:pPr>
        <w:pStyle w:val="ONUME"/>
        <w:rPr>
          <w:rFonts w:eastAsia="Arial"/>
          <w:lang w:val="en-GB"/>
        </w:rPr>
      </w:pPr>
      <w:r w:rsidRPr="00D3064D">
        <w:rPr>
          <w:rFonts w:eastAsia="Arial"/>
        </w:rPr>
        <w:t xml:space="preserve">At the fifth session of the PCT Working Group, held in Geneva from May 29 to June 1, 2012, the United Kingdom and the United States of America presented a joint proposal entitled “PCT 20/20”, containing </w:t>
      </w:r>
      <w:r w:rsidR="00AD404F">
        <w:rPr>
          <w:rFonts w:eastAsia="Arial"/>
        </w:rPr>
        <w:t>12</w:t>
      </w:r>
      <w:r w:rsidR="00AD404F" w:rsidRPr="00D3064D">
        <w:rPr>
          <w:rFonts w:eastAsia="Arial"/>
        </w:rPr>
        <w:t xml:space="preserve"> </w:t>
      </w:r>
      <w:r w:rsidRPr="00D3064D">
        <w:rPr>
          <w:rFonts w:eastAsia="Arial"/>
        </w:rPr>
        <w:t xml:space="preserve">proposals for further improvement of the PCT system (document PCT/WG/5/18).  The proposals received varying levels of support by the Working Group (see the Summary by the Chair of the fifth </w:t>
      </w:r>
      <w:proofErr w:type="gramStart"/>
      <w:r w:rsidRPr="00D3064D">
        <w:rPr>
          <w:rFonts w:eastAsia="Arial"/>
        </w:rPr>
        <w:t>session,</w:t>
      </w:r>
      <w:proofErr w:type="gramEnd"/>
      <w:r w:rsidRPr="00D3064D">
        <w:rPr>
          <w:rFonts w:eastAsia="Arial"/>
        </w:rPr>
        <w:t xml:space="preserve"> document PCT/WG/5/21, paragraphs 27 to 29).  Following the discussions, the Delegations of the </w:t>
      </w:r>
      <w:smartTag w:uri="urn:schemas-microsoft-com:office:smarttags" w:element="country-region">
        <w:r w:rsidRPr="00D3064D">
          <w:rPr>
            <w:rFonts w:eastAsia="Arial"/>
          </w:rPr>
          <w:t>United Kingdom</w:t>
        </w:r>
      </w:smartTag>
      <w:r w:rsidRPr="00D3064D">
        <w:rPr>
          <w:rFonts w:eastAsia="Arial"/>
        </w:rPr>
        <w:t xml:space="preserve"> and of the </w:t>
      </w:r>
      <w:smartTag w:uri="urn:schemas-microsoft-com:office:smarttags" w:element="place">
        <w:smartTag w:uri="urn:schemas-microsoft-com:office:smarttags" w:element="country-region">
          <w:r w:rsidRPr="00D3064D">
            <w:rPr>
              <w:rFonts w:eastAsia="Arial"/>
            </w:rPr>
            <w:t>United States of America</w:t>
          </w:r>
        </w:smartTag>
      </w:smartTag>
      <w:r w:rsidRPr="00D3064D">
        <w:rPr>
          <w:rFonts w:eastAsia="Arial"/>
        </w:rPr>
        <w:t xml:space="preserve"> agreed to further elaborate on the proposals and to provide more details on how to take the proposals forward, for discussion at the next session of the Working Group.</w:t>
      </w:r>
    </w:p>
    <w:p w:rsidR="0006398B" w:rsidRPr="0080021F" w:rsidRDefault="00D3064D" w:rsidP="0006398B">
      <w:pPr>
        <w:pStyle w:val="ONUME"/>
        <w:rPr>
          <w:rFonts w:eastAsia="Arial"/>
          <w:lang w:val="en-GB"/>
        </w:rPr>
      </w:pPr>
      <w:r w:rsidRPr="00D3064D">
        <w:rPr>
          <w:rFonts w:eastAsia="Arial"/>
          <w:lang w:val="en-GB"/>
        </w:rPr>
        <w:lastRenderedPageBreak/>
        <w:t xml:space="preserve">The joint PCT 20/20 proposal included a </w:t>
      </w:r>
      <w:r w:rsidR="00823D23">
        <w:rPr>
          <w:rFonts w:eastAsia="Arial"/>
          <w:lang w:val="en-GB"/>
        </w:rPr>
        <w:t>general</w:t>
      </w:r>
      <w:r w:rsidRPr="00D3064D">
        <w:rPr>
          <w:rFonts w:eastAsia="Arial"/>
          <w:lang w:val="en-GB"/>
        </w:rPr>
        <w:t xml:space="preserve"> proposal </w:t>
      </w:r>
      <w:r w:rsidR="00823D23">
        <w:rPr>
          <w:rFonts w:eastAsia="Arial"/>
          <w:lang w:val="en-GB"/>
        </w:rPr>
        <w:t>to</w:t>
      </w:r>
      <w:r w:rsidRPr="00D3064D">
        <w:rPr>
          <w:rFonts w:eastAsia="Arial"/>
          <w:lang w:val="en-GB"/>
        </w:rPr>
        <w:t xml:space="preserve"> “</w:t>
      </w:r>
      <w:r w:rsidRPr="00D3064D">
        <w:rPr>
          <w:rFonts w:eastAsia="Arial"/>
        </w:rPr>
        <w:t>Integrate National/International Phases, Use a National First Action on the Merits for PCT Search Report, Require Response to Negative Comments at the National Phase.</w:t>
      </w:r>
      <w:r w:rsidRPr="00D3064D">
        <w:rPr>
          <w:rFonts w:eastAsia="Arial"/>
          <w:lang w:val="en-GB"/>
        </w:rPr>
        <w:t>”</w:t>
      </w:r>
    </w:p>
    <w:p w:rsidR="00D3064D" w:rsidRDefault="00D3064D" w:rsidP="00D3064D">
      <w:pPr>
        <w:pStyle w:val="ONUME"/>
        <w:spacing w:after="0"/>
        <w:rPr>
          <w:rFonts w:eastAsia="Arial"/>
          <w:lang w:val="en-GB"/>
        </w:rPr>
      </w:pPr>
      <w:bookmarkStart w:id="6" w:name="_Ref377631975"/>
      <w:r w:rsidRPr="00D3064D">
        <w:rPr>
          <w:rFonts w:eastAsia="Arial"/>
          <w:lang w:val="en-GB"/>
        </w:rPr>
        <w:t>As originally set forth, this proposal envisioned three types of integration of the national and international phases:</w:t>
      </w:r>
      <w:bookmarkEnd w:id="6"/>
    </w:p>
    <w:p w:rsidR="003C376F" w:rsidRDefault="003C376F" w:rsidP="004A3FCC">
      <w:pPr>
        <w:pStyle w:val="ONUME"/>
        <w:numPr>
          <w:ilvl w:val="0"/>
          <w:numId w:val="0"/>
        </w:numPr>
        <w:spacing w:after="0"/>
        <w:rPr>
          <w:rFonts w:eastAsia="Arial"/>
          <w:lang w:val="en-GB"/>
        </w:rPr>
      </w:pPr>
    </w:p>
    <w:p w:rsidR="00D3064D" w:rsidRDefault="00D3064D" w:rsidP="004A3FCC">
      <w:pPr>
        <w:pStyle w:val="ONUME"/>
        <w:numPr>
          <w:ilvl w:val="0"/>
          <w:numId w:val="29"/>
        </w:numPr>
        <w:spacing w:after="0"/>
        <w:ind w:left="567" w:firstLine="0"/>
        <w:rPr>
          <w:rFonts w:eastAsia="Arial"/>
          <w:lang w:val="en-GB"/>
        </w:rPr>
      </w:pPr>
      <w:r w:rsidRPr="003C376F">
        <w:rPr>
          <w:rFonts w:eastAsia="Arial"/>
          <w:lang w:val="en-GB"/>
        </w:rPr>
        <w:t>selection of an ISA would also be deemed a national phase entry in that Office, whereby the international search report (ISR) and written opinion (WO) would constitute both the international work product and a national Office action for that Office;</w:t>
      </w:r>
    </w:p>
    <w:p w:rsidR="003C376F" w:rsidRDefault="003C376F" w:rsidP="004A3FCC">
      <w:pPr>
        <w:pStyle w:val="ONUME"/>
        <w:numPr>
          <w:ilvl w:val="0"/>
          <w:numId w:val="0"/>
        </w:numPr>
        <w:spacing w:after="0"/>
        <w:ind w:left="567"/>
        <w:rPr>
          <w:rFonts w:eastAsia="Arial"/>
          <w:lang w:val="en-GB"/>
        </w:rPr>
      </w:pPr>
    </w:p>
    <w:p w:rsidR="003C376F" w:rsidRDefault="003C376F" w:rsidP="004A3FCC">
      <w:pPr>
        <w:pStyle w:val="ONUME"/>
        <w:numPr>
          <w:ilvl w:val="0"/>
          <w:numId w:val="29"/>
        </w:numPr>
        <w:spacing w:after="0"/>
        <w:ind w:left="567" w:firstLine="0"/>
        <w:rPr>
          <w:rFonts w:eastAsia="Arial"/>
          <w:lang w:val="en-GB"/>
        </w:rPr>
      </w:pPr>
      <w:r w:rsidRPr="00D3064D">
        <w:rPr>
          <w:rFonts w:eastAsia="Arial"/>
          <w:lang w:val="en-GB"/>
        </w:rPr>
        <w:t>requiring, at the time of national phase entry, a complete response to any outstanding negative indications made by the ISA/IPEA</w:t>
      </w:r>
      <w:r>
        <w:rPr>
          <w:rFonts w:eastAsia="Arial"/>
          <w:lang w:val="en-GB"/>
        </w:rPr>
        <w:t>;</w:t>
      </w:r>
    </w:p>
    <w:p w:rsidR="003C376F" w:rsidRDefault="003C376F" w:rsidP="004A3FCC">
      <w:pPr>
        <w:pStyle w:val="ONUME"/>
        <w:numPr>
          <w:ilvl w:val="0"/>
          <w:numId w:val="0"/>
        </w:numPr>
        <w:spacing w:after="0"/>
        <w:ind w:left="567"/>
        <w:rPr>
          <w:rFonts w:eastAsia="Arial"/>
          <w:lang w:val="en-GB"/>
        </w:rPr>
      </w:pPr>
    </w:p>
    <w:p w:rsidR="003C376F" w:rsidRDefault="003C376F" w:rsidP="004A3FCC">
      <w:pPr>
        <w:pStyle w:val="ONUME"/>
        <w:numPr>
          <w:ilvl w:val="0"/>
          <w:numId w:val="29"/>
        </w:numPr>
        <w:spacing w:after="0"/>
        <w:ind w:left="567" w:firstLine="0"/>
        <w:rPr>
          <w:rFonts w:eastAsia="Arial"/>
          <w:lang w:val="en-GB"/>
        </w:rPr>
      </w:pPr>
      <w:r w:rsidRPr="00D3064D">
        <w:rPr>
          <w:rFonts w:eastAsia="Arial"/>
          <w:lang w:val="en-GB"/>
        </w:rPr>
        <w:t>where a national first action on the merits has been issued by the ISA in its capacity as a national Office in a parent application or family member, that the ISA adopt that as the ISR/WO where the claims are the same, thus reducing the burden on the ISAs and encouraging applicants to file international applications in the best form possible</w:t>
      </w:r>
      <w:r>
        <w:rPr>
          <w:rFonts w:eastAsia="Arial"/>
          <w:lang w:val="en-GB"/>
        </w:rPr>
        <w:t>.</w:t>
      </w:r>
    </w:p>
    <w:p w:rsidR="003C376F" w:rsidRPr="00055D8A" w:rsidRDefault="003C376F" w:rsidP="004A3FCC">
      <w:pPr>
        <w:pStyle w:val="ONUME"/>
        <w:numPr>
          <w:ilvl w:val="0"/>
          <w:numId w:val="0"/>
        </w:numPr>
        <w:spacing w:after="0"/>
        <w:rPr>
          <w:rFonts w:eastAsia="Arial"/>
          <w:lang w:val="en-GB"/>
        </w:rPr>
      </w:pPr>
    </w:p>
    <w:p w:rsidR="0006398B" w:rsidRDefault="00D3064D" w:rsidP="0006398B">
      <w:pPr>
        <w:pStyle w:val="ONUME"/>
        <w:rPr>
          <w:rFonts w:eastAsia="Arial"/>
          <w:lang w:val="en-GB"/>
        </w:rPr>
      </w:pPr>
      <w:r w:rsidRPr="00D3064D">
        <w:rPr>
          <w:rFonts w:eastAsia="Arial"/>
        </w:rPr>
        <w:t xml:space="preserve">Similarly, the European Patent Office (EPO), in its document titled “Proposals for Further Improvement of PCT Services and Products”, which was also submitted to the fifth session of the PCT Working Group (PCT/WG/5/20), indicated that it already required such a response in its regional phase applications where it was the ISA or IPEA.  The paper indicated that </w:t>
      </w:r>
      <w:r w:rsidRPr="00D3064D">
        <w:rPr>
          <w:rFonts w:eastAsia="Arial"/>
          <w:lang w:val="en-GB"/>
        </w:rPr>
        <w:t>the EPO was of the view that this procedure could be implemented by other designated Offices in order to enhance efficiency in the processing of PCT applications in the national phase.</w:t>
      </w:r>
    </w:p>
    <w:p w:rsidR="00D3064D" w:rsidRPr="00D3064D" w:rsidRDefault="00D3064D" w:rsidP="00D3064D">
      <w:pPr>
        <w:pStyle w:val="ONUME"/>
        <w:rPr>
          <w:rFonts w:eastAsia="Arial"/>
          <w:lang w:val="en-GB"/>
        </w:rPr>
      </w:pPr>
      <w:r w:rsidRPr="00D3064D">
        <w:rPr>
          <w:rFonts w:eastAsia="Arial"/>
          <w:lang w:val="en-GB"/>
        </w:rPr>
        <w:t>In this regard, the EPO has indicated that the implementation of this requirement has had a significant and positive impact on European regional phase filings.  Specifically, since implementation, the percentage of applications affected by the requirement (i.e., where the EPO was the ISA) in which applicants file amended claims when entering the European phase has increased from 18.3 per cent in 2009 to 87.6 per cent in 2012.  Further, the fact that these amendments are generally aimed at overcoming the objections raised (and are not purely formal in nature) is evidenced by the fact that, over the same period, the percentage of European regional phase applications where the EPO was the ISA which could be granted on the first action when entering the European phase has increased from 15 per cent to 33 per cent.</w:t>
      </w:r>
    </w:p>
    <w:p w:rsidR="00BC4326" w:rsidRPr="00BC4326" w:rsidRDefault="00D3064D" w:rsidP="00BC4326">
      <w:pPr>
        <w:pStyle w:val="ONUME"/>
        <w:rPr>
          <w:rFonts w:eastAsia="Arial"/>
          <w:lang w:val="en-GB"/>
        </w:rPr>
      </w:pPr>
      <w:r w:rsidRPr="00D3064D">
        <w:rPr>
          <w:rFonts w:eastAsia="Arial"/>
          <w:lang w:val="en-GB"/>
        </w:rPr>
        <w:t>Taking into account the discussions and the comments received during the fifth session of the Working Group, the United Kingdom and the United States of America prepared revised versions of the original proposals for further improvement of the PCT system.  Those revised and expanded proposals were communicated by the International Bureau, by way of a Circular (Circular C. PCT 1364, dated December 20, 2012, Annex I), to Offices of all PCT Contracting States as well as to other interested parties.  The Circular invited recipients to review and further comm</w:t>
      </w:r>
      <w:r>
        <w:rPr>
          <w:rFonts w:eastAsia="Arial"/>
          <w:lang w:val="en-GB"/>
        </w:rPr>
        <w:t>ent on those revised proposals.</w:t>
      </w:r>
      <w:r w:rsidR="00DE33C8">
        <w:rPr>
          <w:rFonts w:eastAsia="Arial"/>
          <w:lang w:val="en-GB"/>
        </w:rPr>
        <w:t xml:space="preserve"> </w:t>
      </w:r>
      <w:r w:rsidR="00E6419E">
        <w:rPr>
          <w:rFonts w:eastAsia="Arial"/>
          <w:lang w:val="en-GB"/>
        </w:rPr>
        <w:t>T</w:t>
      </w:r>
      <w:r w:rsidRPr="00D3064D">
        <w:rPr>
          <w:rFonts w:eastAsia="Arial"/>
          <w:lang w:val="en-GB"/>
        </w:rPr>
        <w:t>he expanded proposals were</w:t>
      </w:r>
      <w:r w:rsidR="00DE33C8">
        <w:rPr>
          <w:rFonts w:eastAsia="Arial"/>
          <w:lang w:val="en-GB"/>
        </w:rPr>
        <w:t xml:space="preserve"> also</w:t>
      </w:r>
      <w:r w:rsidRPr="00D3064D">
        <w:rPr>
          <w:rFonts w:eastAsia="Arial"/>
          <w:lang w:val="en-GB"/>
        </w:rPr>
        <w:t xml:space="preserve"> discussed at the twentieth session of the Meeting of International Authorities under the Patent Cooperation Treaty (PCT/MIA), held in Munich from February 6 to 8, 2013.  </w:t>
      </w:r>
    </w:p>
    <w:p w:rsidR="00D3064D" w:rsidRDefault="00D3064D" w:rsidP="00D3064D">
      <w:pPr>
        <w:pStyle w:val="ONUME"/>
        <w:spacing w:after="0"/>
        <w:rPr>
          <w:rFonts w:eastAsia="Arial"/>
          <w:lang w:val="en-GB"/>
        </w:rPr>
      </w:pPr>
      <w:r w:rsidRPr="00D3064D">
        <w:rPr>
          <w:rFonts w:eastAsia="Arial"/>
          <w:lang w:val="en-GB"/>
        </w:rPr>
        <w:t xml:space="preserve">With regard to the specific discussions at the </w:t>
      </w:r>
      <w:r w:rsidR="00194083">
        <w:rPr>
          <w:rFonts w:eastAsia="Arial"/>
          <w:lang w:val="en-GB"/>
        </w:rPr>
        <w:t xml:space="preserve">twentieth session of the </w:t>
      </w:r>
      <w:r w:rsidRPr="00D3064D">
        <w:rPr>
          <w:rFonts w:eastAsia="Arial"/>
          <w:lang w:val="en-GB"/>
        </w:rPr>
        <w:t xml:space="preserve">MIA on the topic of integrating the national and international phases, paragraph 68 of the </w:t>
      </w:r>
      <w:r w:rsidR="00194083">
        <w:rPr>
          <w:rFonts w:eastAsia="Arial"/>
          <w:lang w:val="en-GB"/>
        </w:rPr>
        <w:t xml:space="preserve">Summary by the Chair (document PCT/MIA/20/14) (“the </w:t>
      </w:r>
      <w:r w:rsidRPr="00D3064D">
        <w:rPr>
          <w:rFonts w:eastAsia="Arial"/>
          <w:lang w:val="en-GB"/>
        </w:rPr>
        <w:t>MIA Report</w:t>
      </w:r>
      <w:r w:rsidR="00194083">
        <w:rPr>
          <w:rFonts w:eastAsia="Arial"/>
          <w:lang w:val="en-GB"/>
        </w:rPr>
        <w:t>”)</w:t>
      </w:r>
      <w:r w:rsidRPr="00D3064D">
        <w:rPr>
          <w:rFonts w:eastAsia="Arial"/>
          <w:lang w:val="en-GB"/>
        </w:rPr>
        <w:t xml:space="preserve"> states:</w:t>
      </w:r>
    </w:p>
    <w:p w:rsidR="00194083" w:rsidRDefault="00194083" w:rsidP="004A3FCC">
      <w:pPr>
        <w:pStyle w:val="ONUME"/>
        <w:numPr>
          <w:ilvl w:val="0"/>
          <w:numId w:val="0"/>
        </w:numPr>
        <w:spacing w:after="0"/>
        <w:rPr>
          <w:rFonts w:eastAsia="Arial"/>
          <w:lang w:val="en-GB"/>
        </w:rPr>
      </w:pPr>
    </w:p>
    <w:p w:rsidR="00BC4326" w:rsidRPr="00D3064D" w:rsidRDefault="00D3064D" w:rsidP="00BC4326">
      <w:pPr>
        <w:pStyle w:val="ONUME"/>
        <w:numPr>
          <w:ilvl w:val="0"/>
          <w:numId w:val="0"/>
        </w:numPr>
        <w:ind w:left="567"/>
        <w:rPr>
          <w:rFonts w:eastAsia="Arial"/>
          <w:lang w:val="en-GB"/>
        </w:rPr>
      </w:pPr>
      <w:r w:rsidRPr="00D3064D">
        <w:rPr>
          <w:rFonts w:eastAsia="Arial"/>
          <w:lang w:val="en-GB"/>
        </w:rPr>
        <w:t>“68</w:t>
      </w:r>
      <w:proofErr w:type="gramStart"/>
      <w:r w:rsidRPr="00D3064D">
        <w:rPr>
          <w:rFonts w:eastAsia="Arial"/>
          <w:lang w:val="en-GB"/>
        </w:rPr>
        <w:t>.  Many</w:t>
      </w:r>
      <w:proofErr w:type="gramEnd"/>
      <w:r w:rsidRPr="00D3064D">
        <w:rPr>
          <w:rFonts w:eastAsia="Arial"/>
          <w:lang w:val="en-GB"/>
        </w:rPr>
        <w:t xml:space="preserve"> of the Authorities supported the principles of this proposal.  It was desirable to reduce duplication in the system and to strengthen the link between the international and national phases, especially in the Office which acted as International Searching or Preliminary Examining Authority.  This would improve quality and reduce costs.  However, it was emphasized that the national phase outcomes must always be determined by the </w:t>
      </w:r>
      <w:r w:rsidRPr="00D3064D">
        <w:rPr>
          <w:rFonts w:eastAsia="Arial"/>
          <w:lang w:val="en-GB"/>
        </w:rPr>
        <w:lastRenderedPageBreak/>
        <w:t>relevant designated Office.  Some aspects were, however, easier than others.  Parts of the proposal had already been implemented unilaterally by some Offices.  Other parts might require changes to national laws.  Careful consideration was necessary to the appropriate implementation of the proposals.”</w:t>
      </w:r>
    </w:p>
    <w:p w:rsidR="00961F3B" w:rsidRPr="00823D23" w:rsidRDefault="00BC4326" w:rsidP="00803071">
      <w:pPr>
        <w:pStyle w:val="ONUME"/>
        <w:rPr>
          <w:lang w:val="en-GB"/>
        </w:rPr>
      </w:pPr>
      <w:r w:rsidRPr="00BC4326">
        <w:rPr>
          <w:lang w:val="en-GB"/>
        </w:rPr>
        <w:t xml:space="preserve">In particular, it is noted in paragraph 101 </w:t>
      </w:r>
      <w:r w:rsidR="00D3064D" w:rsidRPr="00A6303A">
        <w:rPr>
          <w:lang w:val="en-GB"/>
        </w:rPr>
        <w:t xml:space="preserve">of the MIA Report </w:t>
      </w:r>
      <w:r w:rsidRPr="00BC4326">
        <w:rPr>
          <w:lang w:val="en-GB"/>
        </w:rPr>
        <w:t>that “there was particular interest and hope for fast progress in the PCT Working Group” on several items, including Item F, Integrate National and International Phases.</w:t>
      </w:r>
    </w:p>
    <w:p w:rsidR="00BC4326" w:rsidRDefault="00BC4326" w:rsidP="00BC4326">
      <w:pPr>
        <w:pStyle w:val="Heading1"/>
        <w:rPr>
          <w:rFonts w:eastAsia="Arial"/>
          <w:lang w:val="en-GB"/>
        </w:rPr>
      </w:pPr>
      <w:r>
        <w:rPr>
          <w:rFonts w:eastAsia="Arial"/>
        </w:rPr>
        <w:t xml:space="preserve">Development of the proposal </w:t>
      </w:r>
    </w:p>
    <w:p w:rsidR="00E6419E" w:rsidRPr="00A6303A" w:rsidRDefault="00A6303A" w:rsidP="00A6303A">
      <w:pPr>
        <w:pStyle w:val="ONUME"/>
        <w:rPr>
          <w:lang w:val="en-GB"/>
        </w:rPr>
      </w:pPr>
      <w:r>
        <w:t xml:space="preserve">In deciding how to move forward in light of </w:t>
      </w:r>
      <w:r w:rsidRPr="00BC4326">
        <w:t xml:space="preserve">the responses to the Circular and in view of the specific discussions on the matter held at the MIA, and </w:t>
      </w:r>
      <w:r>
        <w:t>specifically the indication by the Authorities for fast progress on national and international phase integration,</w:t>
      </w:r>
      <w:r w:rsidRPr="00BC4326">
        <w:t xml:space="preserve"> </w:t>
      </w:r>
      <w:r>
        <w:t>the</w:t>
      </w:r>
      <w:r w:rsidRPr="00BC4326">
        <w:t xml:space="preserve"> </w:t>
      </w:r>
      <w:r w:rsidRPr="00A6303A">
        <w:t xml:space="preserve">United States and United Kingdom </w:t>
      </w:r>
      <w:r>
        <w:t xml:space="preserve">came to the conclusion that, in view </w:t>
      </w:r>
      <w:r w:rsidRPr="00BC4326">
        <w:t>of the extensive revisions to national laws and practices that would be involved in the implementation of items (a) and (c)</w:t>
      </w:r>
      <w:r w:rsidR="007D692C">
        <w:t xml:space="preserve"> discussed</w:t>
      </w:r>
      <w:r w:rsidRPr="00BC4326">
        <w:t xml:space="preserve"> </w:t>
      </w:r>
      <w:r w:rsidR="001E38C0">
        <w:t xml:space="preserve">in paragraph </w:t>
      </w:r>
      <w:r w:rsidR="00194083">
        <w:fldChar w:fldCharType="begin"/>
      </w:r>
      <w:r w:rsidR="00194083">
        <w:instrText xml:space="preserve"> REF _Ref377631975 \r \h </w:instrText>
      </w:r>
      <w:r w:rsidR="00194083">
        <w:fldChar w:fldCharType="separate"/>
      </w:r>
      <w:r w:rsidR="00AA7DFE">
        <w:t>4</w:t>
      </w:r>
      <w:r w:rsidR="00194083">
        <w:fldChar w:fldCharType="end"/>
      </w:r>
      <w:r w:rsidR="001E38C0">
        <w:t xml:space="preserve"> </w:t>
      </w:r>
      <w:r w:rsidRPr="00BC4326">
        <w:t>above, the only type of integration that was ripe for consideration by the Working Group was the requirement for a complete response to any outstanding negative indications made by the ISA/IPEA.</w:t>
      </w:r>
      <w:r>
        <w:t xml:space="preserve"> </w:t>
      </w:r>
    </w:p>
    <w:p w:rsidR="00C92D91" w:rsidRPr="00E6419E" w:rsidRDefault="001E60A7" w:rsidP="00E6419E">
      <w:pPr>
        <w:pStyle w:val="ONUME"/>
        <w:rPr>
          <w:rFonts w:eastAsia="Arial"/>
          <w:bCs/>
          <w:lang w:val="x-none"/>
        </w:rPr>
      </w:pPr>
      <w:r>
        <w:rPr>
          <w:rFonts w:eastAsia="Arial"/>
          <w:bCs/>
        </w:rPr>
        <w:t>A</w:t>
      </w:r>
      <w:r w:rsidRPr="00E6419E">
        <w:rPr>
          <w:rFonts w:eastAsia="Arial"/>
          <w:bCs/>
          <w:lang w:val="x-none"/>
        </w:rPr>
        <w:t>doption</w:t>
      </w:r>
      <w:r w:rsidR="00E6419E" w:rsidRPr="00E6419E">
        <w:rPr>
          <w:rFonts w:eastAsia="Arial"/>
          <w:bCs/>
          <w:lang w:val="x-none"/>
        </w:rPr>
        <w:t xml:space="preserve"> of </w:t>
      </w:r>
      <w:r>
        <w:rPr>
          <w:rFonts w:eastAsia="Arial"/>
          <w:bCs/>
        </w:rPr>
        <w:t>such a</w:t>
      </w:r>
      <w:r w:rsidR="00E6419E" w:rsidRPr="00E6419E">
        <w:rPr>
          <w:rFonts w:eastAsia="Arial"/>
          <w:bCs/>
          <w:lang w:val="x-none"/>
        </w:rPr>
        <w:t xml:space="preserve"> proposal would help to reduce the amount of duplicative work being performed by the national/regional Offices and would promote the advancement of the prosecution of international applications in the national/regional phase.</w:t>
      </w:r>
    </w:p>
    <w:p w:rsidR="00E6419E" w:rsidRPr="004A3FCC" w:rsidRDefault="007D692C" w:rsidP="00E6419E">
      <w:pPr>
        <w:pStyle w:val="ONUME"/>
        <w:spacing w:after="0"/>
        <w:rPr>
          <w:rFonts w:eastAsia="Arial"/>
          <w:bCs/>
          <w:lang w:val="x-none"/>
        </w:rPr>
      </w:pPr>
      <w:r>
        <w:rPr>
          <w:rFonts w:eastAsia="Arial"/>
          <w:bCs/>
        </w:rPr>
        <w:t>A</w:t>
      </w:r>
      <w:r w:rsidR="001E60A7" w:rsidRPr="00E6419E">
        <w:rPr>
          <w:rFonts w:eastAsia="Arial"/>
          <w:bCs/>
          <w:lang w:val="x-none"/>
        </w:rPr>
        <w:t>bsent</w:t>
      </w:r>
      <w:r w:rsidR="00E6419E" w:rsidRPr="00E6419E">
        <w:rPr>
          <w:rFonts w:eastAsia="Arial"/>
          <w:bCs/>
          <w:lang w:val="x-none"/>
        </w:rPr>
        <w:t xml:space="preserve"> such a requirement, applicants can, and many times do, enter the national/regional phase with either the same claims that were originally filed in the international application or those amended claims filed in Chapter II.  Further, applicants often file such claims without any remarks directed to overcoming the objections set forth in the international phase work product. </w:t>
      </w:r>
      <w:r w:rsidR="00194083">
        <w:rPr>
          <w:rFonts w:eastAsia="Arial"/>
          <w:bCs/>
        </w:rPr>
        <w:t xml:space="preserve"> </w:t>
      </w:r>
      <w:r w:rsidR="00E6419E" w:rsidRPr="00E6419E">
        <w:rPr>
          <w:rFonts w:eastAsia="Arial"/>
          <w:bCs/>
          <w:lang w:val="x-none"/>
        </w:rPr>
        <w:t>Such behavior by applicants:</w:t>
      </w:r>
    </w:p>
    <w:p w:rsidR="00194083" w:rsidRPr="00E6419E" w:rsidRDefault="00194083" w:rsidP="004A3FCC">
      <w:pPr>
        <w:pStyle w:val="ONUME"/>
        <w:numPr>
          <w:ilvl w:val="0"/>
          <w:numId w:val="0"/>
        </w:numPr>
        <w:spacing w:after="0"/>
        <w:rPr>
          <w:rFonts w:eastAsia="Arial"/>
          <w:bCs/>
          <w:lang w:val="x-none"/>
        </w:rPr>
      </w:pPr>
    </w:p>
    <w:p w:rsidR="00E6419E" w:rsidRPr="004A3FCC" w:rsidRDefault="00E6419E" w:rsidP="00C335FB">
      <w:pPr>
        <w:pStyle w:val="ONUME"/>
        <w:numPr>
          <w:ilvl w:val="0"/>
          <w:numId w:val="28"/>
        </w:numPr>
        <w:spacing w:after="0"/>
        <w:ind w:left="567" w:firstLine="0"/>
        <w:rPr>
          <w:rFonts w:eastAsia="Arial"/>
          <w:bCs/>
          <w:lang w:val="x-none"/>
        </w:rPr>
      </w:pPr>
      <w:r w:rsidRPr="00E6419E">
        <w:rPr>
          <w:rFonts w:eastAsia="Arial"/>
          <w:bCs/>
          <w:lang w:val="x-none"/>
        </w:rPr>
        <w:t>trivializes the work performed by the International Authority in the application;</w:t>
      </w:r>
    </w:p>
    <w:p w:rsidR="00194083" w:rsidRPr="00E6419E" w:rsidRDefault="00194083" w:rsidP="00C335FB">
      <w:pPr>
        <w:pStyle w:val="ONUME"/>
        <w:numPr>
          <w:ilvl w:val="0"/>
          <w:numId w:val="0"/>
        </w:numPr>
        <w:spacing w:after="0"/>
        <w:ind w:left="567"/>
        <w:rPr>
          <w:rFonts w:eastAsia="Arial"/>
          <w:bCs/>
          <w:lang w:val="x-none"/>
        </w:rPr>
      </w:pPr>
    </w:p>
    <w:p w:rsidR="00E6419E" w:rsidRPr="00C335FB" w:rsidRDefault="00E6419E" w:rsidP="00C335FB">
      <w:pPr>
        <w:pStyle w:val="ONUME"/>
        <w:numPr>
          <w:ilvl w:val="0"/>
          <w:numId w:val="28"/>
        </w:numPr>
        <w:spacing w:after="0"/>
        <w:ind w:left="1134" w:hanging="567"/>
        <w:rPr>
          <w:rFonts w:eastAsia="Arial"/>
          <w:bCs/>
          <w:lang w:val="x-none"/>
        </w:rPr>
      </w:pPr>
      <w:r w:rsidRPr="00E6419E">
        <w:rPr>
          <w:rFonts w:eastAsia="Arial"/>
          <w:bCs/>
          <w:lang w:val="x-none"/>
        </w:rPr>
        <w:t>forces the national/regional Office to unnecessarily perform a substantially identical search and examination as that already performed by, and issue a substantially identical work product as that previously issued by, the International Authority;</w:t>
      </w:r>
    </w:p>
    <w:p w:rsidR="00194083" w:rsidRPr="00E6419E" w:rsidRDefault="00194083" w:rsidP="00C335FB">
      <w:pPr>
        <w:pStyle w:val="ONUME"/>
        <w:numPr>
          <w:ilvl w:val="0"/>
          <w:numId w:val="0"/>
        </w:numPr>
        <w:spacing w:after="0"/>
        <w:ind w:left="567"/>
        <w:rPr>
          <w:rFonts w:eastAsia="Arial"/>
          <w:bCs/>
          <w:lang w:val="x-none"/>
        </w:rPr>
      </w:pPr>
    </w:p>
    <w:p w:rsidR="00E6419E" w:rsidRPr="00E6419E" w:rsidRDefault="00E6419E" w:rsidP="00C335FB">
      <w:pPr>
        <w:pStyle w:val="ONUME"/>
        <w:numPr>
          <w:ilvl w:val="0"/>
          <w:numId w:val="28"/>
        </w:numPr>
        <w:ind w:left="1134" w:hanging="567"/>
        <w:rPr>
          <w:rFonts w:eastAsia="Arial"/>
          <w:bCs/>
          <w:lang w:val="x-none"/>
        </w:rPr>
      </w:pPr>
      <w:r w:rsidRPr="00E6419E">
        <w:rPr>
          <w:rFonts w:eastAsia="Arial"/>
          <w:bCs/>
          <w:lang w:val="x-none"/>
        </w:rPr>
        <w:t>stagnates the prosecution of the application, thus further delaying the issuance of a valid national/regional patent.</w:t>
      </w:r>
    </w:p>
    <w:p w:rsidR="00E6419E" w:rsidRPr="00AB5B4A" w:rsidRDefault="001E60A7" w:rsidP="00E6419E">
      <w:pPr>
        <w:pStyle w:val="ONUME"/>
        <w:rPr>
          <w:rFonts w:eastAsia="Arial"/>
          <w:bCs/>
          <w:lang w:val="x-none"/>
        </w:rPr>
      </w:pPr>
      <w:r>
        <w:rPr>
          <w:rFonts w:eastAsia="Arial"/>
          <w:bCs/>
        </w:rPr>
        <w:t>Finally, the United States and United Kingdom decided</w:t>
      </w:r>
      <w:r w:rsidR="00AB5B4A">
        <w:rPr>
          <w:rFonts w:eastAsia="Arial"/>
          <w:bCs/>
        </w:rPr>
        <w:t xml:space="preserve">, of the three proposals set forth in paragraph </w:t>
      </w:r>
      <w:r w:rsidR="00C472A3">
        <w:rPr>
          <w:rFonts w:eastAsia="Arial"/>
          <w:bCs/>
        </w:rPr>
        <w:fldChar w:fldCharType="begin"/>
      </w:r>
      <w:r w:rsidR="00C472A3">
        <w:rPr>
          <w:rFonts w:eastAsia="Arial"/>
          <w:bCs/>
        </w:rPr>
        <w:instrText xml:space="preserve"> REF _Ref377631975 \r \h </w:instrText>
      </w:r>
      <w:r w:rsidR="00C472A3">
        <w:rPr>
          <w:rFonts w:eastAsia="Arial"/>
          <w:bCs/>
        </w:rPr>
      </w:r>
      <w:r w:rsidR="00C472A3">
        <w:rPr>
          <w:rFonts w:eastAsia="Arial"/>
          <w:bCs/>
        </w:rPr>
        <w:fldChar w:fldCharType="separate"/>
      </w:r>
      <w:r w:rsidR="00AA7DFE">
        <w:rPr>
          <w:rFonts w:eastAsia="Arial"/>
          <w:bCs/>
        </w:rPr>
        <w:t>4</w:t>
      </w:r>
      <w:r w:rsidR="00C472A3">
        <w:rPr>
          <w:rFonts w:eastAsia="Arial"/>
          <w:bCs/>
        </w:rPr>
        <w:fldChar w:fldCharType="end"/>
      </w:r>
      <w:r w:rsidR="00AB5B4A">
        <w:rPr>
          <w:rFonts w:eastAsia="Arial"/>
          <w:bCs/>
        </w:rPr>
        <w:t>,</w:t>
      </w:r>
      <w:r>
        <w:rPr>
          <w:rFonts w:eastAsia="Arial"/>
          <w:bCs/>
        </w:rPr>
        <w:t xml:space="preserve"> to pursue the present </w:t>
      </w:r>
      <w:r w:rsidR="00AB5B4A">
        <w:rPr>
          <w:rFonts w:eastAsia="Arial"/>
          <w:bCs/>
        </w:rPr>
        <w:t>proposal because it</w:t>
      </w:r>
      <w:r>
        <w:rPr>
          <w:rFonts w:eastAsia="Arial"/>
          <w:bCs/>
        </w:rPr>
        <w:t xml:space="preserve"> is the position of </w:t>
      </w:r>
      <w:r w:rsidR="00AB5B4A">
        <w:rPr>
          <w:rFonts w:eastAsia="Arial"/>
          <w:bCs/>
        </w:rPr>
        <w:t>our</w:t>
      </w:r>
      <w:r>
        <w:rPr>
          <w:rFonts w:eastAsia="Arial"/>
          <w:bCs/>
        </w:rPr>
        <w:t xml:space="preserve"> </w:t>
      </w:r>
      <w:r w:rsidR="00C472A3">
        <w:rPr>
          <w:rFonts w:eastAsia="Arial"/>
          <w:bCs/>
        </w:rPr>
        <w:t xml:space="preserve">Offices </w:t>
      </w:r>
      <w:r>
        <w:rPr>
          <w:rFonts w:eastAsia="Arial"/>
          <w:bCs/>
        </w:rPr>
        <w:t xml:space="preserve">that </w:t>
      </w:r>
      <w:r w:rsidR="00AB5B4A" w:rsidRPr="00E6419E">
        <w:rPr>
          <w:rFonts w:eastAsia="Arial"/>
          <w:bCs/>
          <w:lang w:val="x-none"/>
        </w:rPr>
        <w:t>each</w:t>
      </w:r>
      <w:r w:rsidR="00E6419E" w:rsidRPr="00E6419E">
        <w:rPr>
          <w:rFonts w:eastAsia="Arial"/>
          <w:bCs/>
          <w:lang w:val="x-none"/>
        </w:rPr>
        <w:t xml:space="preserve"> stage of an international application should build upon, and further the progress made in, the previous stage.  Chapter I should build on any prior national application work, and Chapter II is designed to build on the work performed in Chapter I.  In the same manner, national stage prosecution should logically continue the forward momentum gained in the international stage.  However, failure to provide a mechanism requiring the applicant, upon entering the national phase, to respond to any outstanding objections made in the international phase only serves to allow the international phase progress to stall, and even regress, at a crucial point in the application’s prosecution.</w:t>
      </w:r>
    </w:p>
    <w:p w:rsidR="00AB5B4A" w:rsidRPr="00786ABF" w:rsidRDefault="00AB5B4A" w:rsidP="00E6419E">
      <w:pPr>
        <w:pStyle w:val="ONUME"/>
        <w:rPr>
          <w:rFonts w:eastAsia="Arial"/>
          <w:bCs/>
          <w:lang w:val="x-none"/>
        </w:rPr>
      </w:pPr>
      <w:r>
        <w:rPr>
          <w:rFonts w:eastAsia="Arial"/>
          <w:bCs/>
        </w:rPr>
        <w:t xml:space="preserve">In drafting the proposal, our </w:t>
      </w:r>
      <w:r w:rsidR="00C472A3">
        <w:rPr>
          <w:rFonts w:eastAsia="Arial"/>
          <w:bCs/>
        </w:rPr>
        <w:t>O</w:t>
      </w:r>
      <w:r>
        <w:rPr>
          <w:rFonts w:eastAsia="Arial"/>
          <w:bCs/>
        </w:rPr>
        <w:t xml:space="preserve">ffices were especially cognizant of the fact that the PCT is an agreement directed </w:t>
      </w:r>
      <w:r w:rsidR="007D692C">
        <w:rPr>
          <w:rFonts w:eastAsia="Arial"/>
          <w:bCs/>
        </w:rPr>
        <w:t xml:space="preserve">primarily </w:t>
      </w:r>
      <w:r w:rsidR="00786ABF">
        <w:rPr>
          <w:rFonts w:eastAsia="Arial"/>
          <w:bCs/>
        </w:rPr>
        <w:t>to</w:t>
      </w:r>
      <w:r>
        <w:rPr>
          <w:rFonts w:eastAsia="Arial"/>
          <w:bCs/>
        </w:rPr>
        <w:t xml:space="preserve"> international phase processing which leaves </w:t>
      </w:r>
      <w:r w:rsidR="00786ABF">
        <w:rPr>
          <w:rFonts w:eastAsia="Arial"/>
          <w:bCs/>
        </w:rPr>
        <w:t xml:space="preserve">decisions concerning </w:t>
      </w:r>
      <w:r>
        <w:rPr>
          <w:rFonts w:eastAsia="Arial"/>
          <w:bCs/>
        </w:rPr>
        <w:t>national phase processing almost exclusively</w:t>
      </w:r>
      <w:r w:rsidR="00786ABF">
        <w:rPr>
          <w:rFonts w:eastAsia="Arial"/>
          <w:bCs/>
        </w:rPr>
        <w:t xml:space="preserve"> to the discretion of the national </w:t>
      </w:r>
      <w:r w:rsidR="00C472A3">
        <w:rPr>
          <w:rFonts w:eastAsia="Arial"/>
          <w:bCs/>
        </w:rPr>
        <w:t>O</w:t>
      </w:r>
      <w:r w:rsidR="00786ABF">
        <w:rPr>
          <w:rFonts w:eastAsia="Arial"/>
          <w:bCs/>
        </w:rPr>
        <w:t xml:space="preserve">ffices. </w:t>
      </w:r>
      <w:r w:rsidR="00C472A3">
        <w:rPr>
          <w:rFonts w:eastAsia="Arial"/>
          <w:bCs/>
        </w:rPr>
        <w:t xml:space="preserve"> </w:t>
      </w:r>
      <w:r w:rsidR="00786ABF">
        <w:rPr>
          <w:rFonts w:eastAsia="Arial"/>
          <w:bCs/>
        </w:rPr>
        <w:t xml:space="preserve">Likewise, we were well aware of the concerns of both national </w:t>
      </w:r>
      <w:r w:rsidR="00C472A3">
        <w:rPr>
          <w:rFonts w:eastAsia="Arial"/>
          <w:bCs/>
        </w:rPr>
        <w:t>O</w:t>
      </w:r>
      <w:r w:rsidR="00786ABF">
        <w:rPr>
          <w:rFonts w:eastAsia="Arial"/>
          <w:bCs/>
        </w:rPr>
        <w:t xml:space="preserve">ffices and users in this regard. </w:t>
      </w:r>
    </w:p>
    <w:p w:rsidR="00786ABF" w:rsidRPr="00786ABF" w:rsidRDefault="00786ABF" w:rsidP="00E6419E">
      <w:pPr>
        <w:pStyle w:val="ONUME"/>
        <w:rPr>
          <w:rFonts w:eastAsia="Arial"/>
          <w:bCs/>
          <w:lang w:val="x-none"/>
        </w:rPr>
      </w:pPr>
      <w:r>
        <w:rPr>
          <w:rFonts w:eastAsia="Arial"/>
          <w:bCs/>
        </w:rPr>
        <w:lastRenderedPageBreak/>
        <w:t xml:space="preserve">Further, it was decided that the proposal should not be drafted to include a notice of incompatibility provision as the inclusion of such would imply that the provision must be adopted by all national </w:t>
      </w:r>
      <w:r w:rsidR="00C472A3">
        <w:rPr>
          <w:rFonts w:eastAsia="Arial"/>
          <w:bCs/>
        </w:rPr>
        <w:t xml:space="preserve">Offices </w:t>
      </w:r>
      <w:r>
        <w:rPr>
          <w:rFonts w:eastAsia="Arial"/>
          <w:bCs/>
        </w:rPr>
        <w:t>as part of their national practice at some future point.</w:t>
      </w:r>
    </w:p>
    <w:p w:rsidR="00DA51C2" w:rsidRPr="00DA51C2" w:rsidRDefault="00786ABF" w:rsidP="00E6419E">
      <w:pPr>
        <w:pStyle w:val="ONUME"/>
        <w:rPr>
          <w:rFonts w:eastAsia="Arial"/>
          <w:bCs/>
          <w:lang w:val="x-none"/>
        </w:rPr>
      </w:pPr>
      <w:r>
        <w:rPr>
          <w:rFonts w:eastAsia="Arial"/>
          <w:bCs/>
        </w:rPr>
        <w:t xml:space="preserve">Therefore, it was decided that the provision would be drafted in a manner </w:t>
      </w:r>
      <w:r w:rsidR="00DA51C2">
        <w:rPr>
          <w:rFonts w:eastAsia="Arial"/>
          <w:bCs/>
        </w:rPr>
        <w:t xml:space="preserve">such </w:t>
      </w:r>
      <w:r>
        <w:rPr>
          <w:rFonts w:eastAsia="Arial"/>
          <w:bCs/>
        </w:rPr>
        <w:t xml:space="preserve">that the filing of a response to the </w:t>
      </w:r>
      <w:r w:rsidR="00DA51C2">
        <w:rPr>
          <w:rFonts w:eastAsia="Arial"/>
          <w:bCs/>
        </w:rPr>
        <w:t>international phase observations would be required</w:t>
      </w:r>
      <w:r w:rsidR="007D692C">
        <w:rPr>
          <w:rFonts w:eastAsia="Arial"/>
          <w:bCs/>
        </w:rPr>
        <w:t xml:space="preserve"> of</w:t>
      </w:r>
      <w:r w:rsidR="00DA51C2">
        <w:rPr>
          <w:rFonts w:eastAsia="Arial"/>
          <w:bCs/>
        </w:rPr>
        <w:t xml:space="preserve"> applicants, but that the decision of whether, to what extent, and under what conditions the requirement would actually be implemented in the national phase would ultimately be left to each national </w:t>
      </w:r>
      <w:r w:rsidR="00ED72C8">
        <w:rPr>
          <w:rFonts w:eastAsia="Arial"/>
          <w:bCs/>
        </w:rPr>
        <w:t xml:space="preserve">Office </w:t>
      </w:r>
      <w:r w:rsidR="00DA51C2">
        <w:rPr>
          <w:rFonts w:eastAsia="Arial"/>
          <w:bCs/>
        </w:rPr>
        <w:t xml:space="preserve">by leaving up to each </w:t>
      </w:r>
      <w:r w:rsidR="00ED72C8">
        <w:rPr>
          <w:rFonts w:eastAsia="Arial"/>
          <w:bCs/>
        </w:rPr>
        <w:t xml:space="preserve">Office </w:t>
      </w:r>
      <w:r w:rsidR="00DA51C2">
        <w:rPr>
          <w:rFonts w:eastAsia="Arial"/>
          <w:bCs/>
        </w:rPr>
        <w:t>what, if any, sanction would</w:t>
      </w:r>
      <w:r w:rsidR="007D692C">
        <w:rPr>
          <w:rFonts w:eastAsia="Arial"/>
          <w:bCs/>
        </w:rPr>
        <w:t xml:space="preserve"> be</w:t>
      </w:r>
      <w:r w:rsidR="00DA51C2">
        <w:rPr>
          <w:rFonts w:eastAsia="Arial"/>
          <w:bCs/>
        </w:rPr>
        <w:t xml:space="preserve"> impose</w:t>
      </w:r>
      <w:r w:rsidR="007D692C">
        <w:rPr>
          <w:rFonts w:eastAsia="Arial"/>
          <w:bCs/>
        </w:rPr>
        <w:t>d</w:t>
      </w:r>
      <w:r w:rsidR="00DA51C2">
        <w:rPr>
          <w:rFonts w:eastAsia="Arial"/>
          <w:bCs/>
        </w:rPr>
        <w:t xml:space="preserve"> for failure to submit the required response. </w:t>
      </w:r>
    </w:p>
    <w:p w:rsidR="00786ABF" w:rsidRPr="00B92695" w:rsidRDefault="00DA51C2" w:rsidP="00E6419E">
      <w:pPr>
        <w:pStyle w:val="ONUME"/>
        <w:rPr>
          <w:rFonts w:eastAsia="Arial"/>
          <w:bCs/>
          <w:lang w:val="x-none"/>
        </w:rPr>
      </w:pPr>
      <w:r>
        <w:rPr>
          <w:rFonts w:eastAsia="Arial"/>
          <w:bCs/>
        </w:rPr>
        <w:t xml:space="preserve">This approach gives the maximum flexibility to </w:t>
      </w:r>
      <w:r w:rsidR="00ED72C8">
        <w:rPr>
          <w:rFonts w:eastAsia="Arial"/>
          <w:bCs/>
        </w:rPr>
        <w:t xml:space="preserve">Offices </w:t>
      </w:r>
      <w:r>
        <w:rPr>
          <w:rFonts w:eastAsia="Arial"/>
          <w:bCs/>
        </w:rPr>
        <w:t>in implementing the provision as it allow</w:t>
      </w:r>
      <w:r w:rsidR="007D692C">
        <w:rPr>
          <w:rFonts w:eastAsia="Arial"/>
          <w:bCs/>
        </w:rPr>
        <w:t>s</w:t>
      </w:r>
      <w:r>
        <w:rPr>
          <w:rFonts w:eastAsia="Arial"/>
          <w:bCs/>
        </w:rPr>
        <w:t xml:space="preserve"> any </w:t>
      </w:r>
      <w:r w:rsidR="00ED72C8">
        <w:rPr>
          <w:rFonts w:eastAsia="Arial"/>
          <w:bCs/>
        </w:rPr>
        <w:t xml:space="preserve">Office </w:t>
      </w:r>
      <w:r>
        <w:rPr>
          <w:rFonts w:eastAsia="Arial"/>
          <w:bCs/>
        </w:rPr>
        <w:t xml:space="preserve">which desires to make the filing of such a response a mandatory aspect of their national practice to do so by imposing any sanction it felt was appropriate for failure to </w:t>
      </w:r>
      <w:r w:rsidR="00B92695">
        <w:rPr>
          <w:rFonts w:eastAsia="Arial"/>
          <w:bCs/>
        </w:rPr>
        <w:t xml:space="preserve">submit the required response. </w:t>
      </w:r>
      <w:r w:rsidR="00ED72C8">
        <w:rPr>
          <w:rFonts w:eastAsia="Arial"/>
          <w:bCs/>
        </w:rPr>
        <w:t xml:space="preserve"> </w:t>
      </w:r>
      <w:r w:rsidR="00B92695">
        <w:rPr>
          <w:rFonts w:eastAsia="Arial"/>
          <w:bCs/>
        </w:rPr>
        <w:t>Likewise,</w:t>
      </w:r>
      <w:r>
        <w:rPr>
          <w:rFonts w:eastAsia="Arial"/>
          <w:bCs/>
        </w:rPr>
        <w:t xml:space="preserve"> any </w:t>
      </w:r>
      <w:r w:rsidR="00ED72C8">
        <w:rPr>
          <w:rFonts w:eastAsia="Arial"/>
          <w:bCs/>
        </w:rPr>
        <w:t>O</w:t>
      </w:r>
      <w:r>
        <w:rPr>
          <w:rFonts w:eastAsia="Arial"/>
          <w:bCs/>
        </w:rPr>
        <w:t>ffice which</w:t>
      </w:r>
      <w:r>
        <w:rPr>
          <w:rFonts w:eastAsia="Arial"/>
          <w:bCs/>
          <w:lang w:val="x-none"/>
        </w:rPr>
        <w:t xml:space="preserve"> d</w:t>
      </w:r>
      <w:r w:rsidR="00B92695">
        <w:rPr>
          <w:rFonts w:eastAsia="Arial"/>
          <w:bCs/>
        </w:rPr>
        <w:t>id</w:t>
      </w:r>
      <w:r w:rsidR="00E6419E" w:rsidRPr="00DA51C2">
        <w:rPr>
          <w:rFonts w:eastAsia="Arial"/>
          <w:bCs/>
          <w:lang w:val="x-none"/>
        </w:rPr>
        <w:t xml:space="preserve"> not want to make it mandatory for applicants to submit such a response could simply not impose any sanction. </w:t>
      </w:r>
      <w:r w:rsidR="00ED72C8">
        <w:rPr>
          <w:rFonts w:eastAsia="Arial"/>
          <w:bCs/>
        </w:rPr>
        <w:t xml:space="preserve"> </w:t>
      </w:r>
      <w:r w:rsidR="00E6419E" w:rsidRPr="00DA51C2">
        <w:rPr>
          <w:rFonts w:eastAsia="Arial"/>
          <w:bCs/>
          <w:lang w:val="x-none"/>
        </w:rPr>
        <w:t xml:space="preserve">Alternatively, an </w:t>
      </w:r>
      <w:r w:rsidR="00ED72C8">
        <w:rPr>
          <w:rFonts w:eastAsia="Arial"/>
          <w:bCs/>
        </w:rPr>
        <w:t>O</w:t>
      </w:r>
      <w:r w:rsidR="00ED72C8" w:rsidRPr="00DA51C2">
        <w:rPr>
          <w:rFonts w:eastAsia="Arial"/>
          <w:bCs/>
          <w:lang w:val="x-none"/>
        </w:rPr>
        <w:t xml:space="preserve">ffice </w:t>
      </w:r>
      <w:r w:rsidR="00E6419E" w:rsidRPr="00DA51C2">
        <w:rPr>
          <w:rFonts w:eastAsia="Arial"/>
          <w:bCs/>
          <w:lang w:val="x-none"/>
        </w:rPr>
        <w:t>would also be free to only impose a sanction</w:t>
      </w:r>
      <w:r w:rsidR="00B92695">
        <w:rPr>
          <w:rFonts w:eastAsia="Arial"/>
          <w:bCs/>
        </w:rPr>
        <w:t xml:space="preserve"> under certain situations as it deemed appropriate, e.g.</w:t>
      </w:r>
      <w:r w:rsidR="00B92695">
        <w:rPr>
          <w:rFonts w:eastAsia="Arial"/>
          <w:bCs/>
          <w:lang w:val="x-none"/>
        </w:rPr>
        <w:t xml:space="preserve"> when th</w:t>
      </w:r>
      <w:r w:rsidR="00B92695">
        <w:rPr>
          <w:rFonts w:eastAsia="Arial"/>
          <w:bCs/>
        </w:rPr>
        <w:t xml:space="preserve">at </w:t>
      </w:r>
      <w:r w:rsidR="00ED72C8">
        <w:rPr>
          <w:rFonts w:eastAsia="Arial"/>
          <w:bCs/>
        </w:rPr>
        <w:t>Office</w:t>
      </w:r>
      <w:r w:rsidR="00ED72C8" w:rsidRPr="00DA51C2">
        <w:rPr>
          <w:rFonts w:eastAsia="Arial"/>
          <w:bCs/>
          <w:lang w:val="x-none"/>
        </w:rPr>
        <w:t xml:space="preserve"> </w:t>
      </w:r>
      <w:r w:rsidR="00E6419E" w:rsidRPr="00DA51C2">
        <w:rPr>
          <w:rFonts w:eastAsia="Arial"/>
          <w:bCs/>
          <w:lang w:val="x-none"/>
        </w:rPr>
        <w:t>w</w:t>
      </w:r>
      <w:r w:rsidR="00B92695">
        <w:rPr>
          <w:rFonts w:eastAsia="Arial"/>
          <w:bCs/>
        </w:rPr>
        <w:t>as</w:t>
      </w:r>
      <w:r w:rsidR="00E6419E" w:rsidRPr="00DA51C2">
        <w:rPr>
          <w:rFonts w:eastAsia="Arial"/>
          <w:bCs/>
          <w:lang w:val="x-none"/>
        </w:rPr>
        <w:t xml:space="preserve"> the </w:t>
      </w:r>
      <w:r w:rsidR="00ED72C8">
        <w:rPr>
          <w:rFonts w:eastAsia="Arial"/>
          <w:bCs/>
        </w:rPr>
        <w:t>I</w:t>
      </w:r>
      <w:r w:rsidR="00E6419E" w:rsidRPr="00DA51C2">
        <w:rPr>
          <w:rFonts w:eastAsia="Arial"/>
          <w:bCs/>
          <w:lang w:val="x-none"/>
        </w:rPr>
        <w:t xml:space="preserve">nternational </w:t>
      </w:r>
      <w:r w:rsidR="00ED72C8">
        <w:rPr>
          <w:rFonts w:eastAsia="Arial"/>
          <w:bCs/>
        </w:rPr>
        <w:t>S</w:t>
      </w:r>
      <w:r w:rsidR="00E6419E" w:rsidRPr="00DA51C2">
        <w:rPr>
          <w:rFonts w:eastAsia="Arial"/>
          <w:bCs/>
          <w:lang w:val="x-none"/>
        </w:rPr>
        <w:t xml:space="preserve">earching or </w:t>
      </w:r>
      <w:r w:rsidR="00ED72C8">
        <w:rPr>
          <w:rFonts w:eastAsia="Arial"/>
          <w:bCs/>
        </w:rPr>
        <w:t>Preliminary E</w:t>
      </w:r>
      <w:r w:rsidR="00E6419E" w:rsidRPr="00DA51C2">
        <w:rPr>
          <w:rFonts w:eastAsia="Arial"/>
          <w:bCs/>
          <w:lang w:val="x-none"/>
        </w:rPr>
        <w:t xml:space="preserve">xamining </w:t>
      </w:r>
      <w:r w:rsidR="00ED72C8">
        <w:rPr>
          <w:rFonts w:eastAsia="Arial"/>
          <w:bCs/>
        </w:rPr>
        <w:t>A</w:t>
      </w:r>
      <w:r w:rsidR="00E6419E" w:rsidRPr="00DA51C2">
        <w:rPr>
          <w:rFonts w:eastAsia="Arial"/>
          <w:bCs/>
          <w:lang w:val="x-none"/>
        </w:rPr>
        <w:t>uthority and no such response was filed.</w:t>
      </w:r>
    </w:p>
    <w:p w:rsidR="00B92695" w:rsidRPr="00E6419E" w:rsidRDefault="00B92695" w:rsidP="00E6419E">
      <w:pPr>
        <w:pStyle w:val="ONUME"/>
        <w:rPr>
          <w:rFonts w:eastAsia="Arial"/>
          <w:bCs/>
          <w:lang w:val="x-none"/>
        </w:rPr>
      </w:pPr>
      <w:r w:rsidRPr="00A6303A">
        <w:rPr>
          <w:rFonts w:eastAsia="Arial"/>
          <w:bCs/>
        </w:rPr>
        <w:t xml:space="preserve">The </w:t>
      </w:r>
      <w:r>
        <w:rPr>
          <w:rFonts w:eastAsia="Arial"/>
          <w:bCs/>
        </w:rPr>
        <w:t>resulting</w:t>
      </w:r>
      <w:r w:rsidRPr="00A6303A">
        <w:rPr>
          <w:rFonts w:eastAsia="Arial"/>
          <w:bCs/>
        </w:rPr>
        <w:t xml:space="preserve"> proposal </w:t>
      </w:r>
      <w:r>
        <w:rPr>
          <w:rFonts w:eastAsia="Arial"/>
          <w:bCs/>
        </w:rPr>
        <w:t xml:space="preserve">was presented </w:t>
      </w:r>
      <w:r w:rsidRPr="00A6303A">
        <w:rPr>
          <w:rFonts w:eastAsia="Arial"/>
          <w:bCs/>
        </w:rPr>
        <w:t>at the sixth session of the PCT Working Group</w:t>
      </w:r>
      <w:r w:rsidR="00ED72C8">
        <w:rPr>
          <w:rFonts w:eastAsia="Arial"/>
          <w:bCs/>
        </w:rPr>
        <w:t xml:space="preserve"> (see document PCT/WG/6/15).  The proposed amendments to the PCT Regulations are</w:t>
      </w:r>
      <w:r w:rsidRPr="00A6303A">
        <w:rPr>
          <w:rFonts w:eastAsia="Arial"/>
          <w:bCs/>
        </w:rPr>
        <w:t xml:space="preserve"> attached </w:t>
      </w:r>
      <w:r w:rsidR="00ED72C8">
        <w:rPr>
          <w:rFonts w:eastAsia="Arial"/>
          <w:bCs/>
        </w:rPr>
        <w:t>in</w:t>
      </w:r>
      <w:r w:rsidRPr="00A6303A">
        <w:rPr>
          <w:rFonts w:eastAsia="Arial"/>
          <w:bCs/>
        </w:rPr>
        <w:t xml:space="preserve"> </w:t>
      </w:r>
      <w:r w:rsidR="00ED72C8">
        <w:rPr>
          <w:rFonts w:eastAsia="Arial"/>
          <w:bCs/>
        </w:rPr>
        <w:t>the</w:t>
      </w:r>
      <w:r w:rsidRPr="00A6303A">
        <w:rPr>
          <w:rFonts w:eastAsia="Arial"/>
          <w:bCs/>
        </w:rPr>
        <w:t xml:space="preserve"> </w:t>
      </w:r>
      <w:r w:rsidR="00ED72C8">
        <w:rPr>
          <w:rFonts w:eastAsia="Arial"/>
          <w:bCs/>
        </w:rPr>
        <w:t>A</w:t>
      </w:r>
      <w:r w:rsidR="00ED72C8" w:rsidRPr="00A6303A">
        <w:rPr>
          <w:rFonts w:eastAsia="Arial"/>
          <w:bCs/>
        </w:rPr>
        <w:t>nnex</w:t>
      </w:r>
      <w:r w:rsidR="00ED72C8">
        <w:rPr>
          <w:rFonts w:eastAsia="Arial"/>
          <w:bCs/>
        </w:rPr>
        <w:t xml:space="preserve"> </w:t>
      </w:r>
      <w:r>
        <w:rPr>
          <w:rFonts w:eastAsia="Arial"/>
          <w:bCs/>
        </w:rPr>
        <w:t xml:space="preserve">to this document. </w:t>
      </w:r>
      <w:r w:rsidR="00ED72C8">
        <w:rPr>
          <w:rFonts w:eastAsia="Arial"/>
          <w:bCs/>
        </w:rPr>
        <w:t xml:space="preserve"> </w:t>
      </w:r>
      <w:r>
        <w:rPr>
          <w:rFonts w:eastAsia="Arial"/>
          <w:bCs/>
        </w:rPr>
        <w:t>The proposal</w:t>
      </w:r>
      <w:r w:rsidRPr="00A6303A">
        <w:rPr>
          <w:rFonts w:eastAsia="Arial"/>
          <w:bCs/>
        </w:rPr>
        <w:t xml:space="preserve"> as presented </w:t>
      </w:r>
      <w:r>
        <w:rPr>
          <w:rFonts w:eastAsia="Arial"/>
          <w:bCs/>
        </w:rPr>
        <w:t>is</w:t>
      </w:r>
      <w:r w:rsidRPr="00A6303A">
        <w:rPr>
          <w:rFonts w:eastAsia="Arial"/>
          <w:bCs/>
        </w:rPr>
        <w:t xml:space="preserve"> believed to address the concerns as expressed by the MIA as well as those expressed in the responses to Circular C. PCT 1364.</w:t>
      </w:r>
      <w:r w:rsidRPr="00B92695">
        <w:rPr>
          <w:rFonts w:eastAsia="Arial"/>
          <w:bCs/>
          <w:lang w:val="en-GB"/>
        </w:rPr>
        <w:t xml:space="preserve"> </w:t>
      </w:r>
      <w:r w:rsidR="00ED72C8">
        <w:rPr>
          <w:rFonts w:eastAsia="Arial"/>
          <w:bCs/>
          <w:lang w:val="en-GB"/>
        </w:rPr>
        <w:t xml:space="preserve"> </w:t>
      </w:r>
      <w:r>
        <w:rPr>
          <w:rFonts w:eastAsia="Arial"/>
          <w:bCs/>
          <w:lang w:val="en-GB"/>
        </w:rPr>
        <w:t>Specifically, the U</w:t>
      </w:r>
      <w:r w:rsidR="007D692C">
        <w:rPr>
          <w:rFonts w:eastAsia="Arial"/>
          <w:bCs/>
          <w:lang w:val="en-GB"/>
        </w:rPr>
        <w:t>nited States and United Kingdom</w:t>
      </w:r>
      <w:r>
        <w:rPr>
          <w:rFonts w:eastAsia="Arial"/>
          <w:bCs/>
          <w:lang w:val="en-GB"/>
        </w:rPr>
        <w:t xml:space="preserve"> proposed </w:t>
      </w:r>
      <w:r w:rsidRPr="00A6303A">
        <w:rPr>
          <w:rFonts w:eastAsia="Arial"/>
          <w:bCs/>
        </w:rPr>
        <w:t>to amend the PCT Regulations to include new Rules 51</w:t>
      </w:r>
      <w:r w:rsidRPr="00A6303A">
        <w:rPr>
          <w:rFonts w:eastAsia="Arial"/>
          <w:bCs/>
          <w:i/>
        </w:rPr>
        <w:t>ter</w:t>
      </w:r>
      <w:r w:rsidRPr="00A6303A">
        <w:rPr>
          <w:rFonts w:eastAsia="Arial"/>
          <w:bCs/>
        </w:rPr>
        <w:t xml:space="preserve"> and 76</w:t>
      </w:r>
      <w:r w:rsidRPr="00A6303A">
        <w:rPr>
          <w:rFonts w:eastAsia="Arial"/>
          <w:bCs/>
          <w:i/>
        </w:rPr>
        <w:t>bis</w:t>
      </w:r>
      <w:r w:rsidRPr="00A6303A">
        <w:rPr>
          <w:rFonts w:eastAsia="Arial"/>
          <w:bCs/>
        </w:rPr>
        <w:t xml:space="preserve"> which specifically provide </w:t>
      </w:r>
      <w:r>
        <w:rPr>
          <w:rFonts w:eastAsia="Arial"/>
          <w:bCs/>
        </w:rPr>
        <w:t>a</w:t>
      </w:r>
      <w:r w:rsidRPr="00A6303A">
        <w:rPr>
          <w:rFonts w:eastAsia="Arial"/>
          <w:bCs/>
        </w:rPr>
        <w:t xml:space="preserve"> requirement for a complete response to any outstanding negative indications made by the ISA/IPEA.</w:t>
      </w:r>
    </w:p>
    <w:p w:rsidR="00DE33C8" w:rsidRPr="00C335FB" w:rsidRDefault="00DE33C8" w:rsidP="00C335FB">
      <w:pPr>
        <w:pStyle w:val="Heading1"/>
        <w:rPr>
          <w:rStyle w:val="Heading1Char"/>
          <w:b/>
          <w:bCs/>
        </w:rPr>
      </w:pPr>
      <w:r w:rsidRPr="00DE33C8">
        <w:t>DISCUSSION AT THE SIXTH SESSION OF THE PCT WORKING GROUP</w:t>
      </w:r>
      <w:r w:rsidRPr="00DE33C8">
        <w:rPr>
          <w:lang w:val="x-none"/>
        </w:rPr>
        <w:t xml:space="preserve"> </w:t>
      </w:r>
    </w:p>
    <w:p w:rsidR="00E6419E" w:rsidRPr="00E6419E" w:rsidRDefault="00E6419E" w:rsidP="00E6419E">
      <w:pPr>
        <w:pStyle w:val="ONUME"/>
        <w:rPr>
          <w:rFonts w:eastAsia="Arial"/>
          <w:bCs/>
          <w:lang w:val="x-none"/>
        </w:rPr>
      </w:pPr>
      <w:r w:rsidRPr="00E6419E">
        <w:rPr>
          <w:rFonts w:eastAsia="Arial"/>
          <w:bCs/>
          <w:lang w:val="x-none"/>
        </w:rPr>
        <w:t>The majority of the delegations which took the floor on the matter at the Working Group meeting indicated some le</w:t>
      </w:r>
      <w:r w:rsidR="00961F3B">
        <w:rPr>
          <w:rFonts w:eastAsia="Arial"/>
          <w:bCs/>
          <w:lang w:val="x-none"/>
        </w:rPr>
        <w:t>vel of support for the proposal</w:t>
      </w:r>
      <w:r w:rsidR="00961F3B">
        <w:rPr>
          <w:rFonts w:eastAsia="Arial"/>
          <w:bCs/>
        </w:rPr>
        <w:t>.</w:t>
      </w:r>
      <w:r w:rsidRPr="00E6419E">
        <w:rPr>
          <w:rFonts w:eastAsia="Arial"/>
          <w:bCs/>
          <w:lang w:val="x-none"/>
        </w:rPr>
        <w:t xml:space="preserve"> </w:t>
      </w:r>
      <w:r w:rsidR="00ED72C8">
        <w:rPr>
          <w:rFonts w:eastAsia="Arial"/>
          <w:bCs/>
        </w:rPr>
        <w:t xml:space="preserve"> </w:t>
      </w:r>
      <w:r w:rsidR="00961F3B">
        <w:rPr>
          <w:rFonts w:eastAsia="Arial"/>
          <w:bCs/>
        </w:rPr>
        <w:t>However,</w:t>
      </w:r>
      <w:r w:rsidRPr="00E6419E">
        <w:rPr>
          <w:rFonts w:eastAsia="Arial"/>
          <w:bCs/>
          <w:lang w:val="x-none"/>
        </w:rPr>
        <w:t xml:space="preserve"> many</w:t>
      </w:r>
      <w:r w:rsidR="00961F3B">
        <w:rPr>
          <w:rFonts w:eastAsia="Arial"/>
          <w:bCs/>
        </w:rPr>
        <w:t xml:space="preserve"> of the delegations also</w:t>
      </w:r>
      <w:r w:rsidR="00961F3B">
        <w:rPr>
          <w:rFonts w:eastAsia="Arial"/>
          <w:bCs/>
          <w:lang w:val="x-none"/>
        </w:rPr>
        <w:t xml:space="preserve"> indicat</w:t>
      </w:r>
      <w:r w:rsidR="00961F3B">
        <w:rPr>
          <w:rFonts w:eastAsia="Arial"/>
          <w:bCs/>
        </w:rPr>
        <w:t>ed</w:t>
      </w:r>
      <w:r w:rsidRPr="00E6419E">
        <w:rPr>
          <w:rFonts w:eastAsia="Arial"/>
          <w:bCs/>
          <w:lang w:val="x-none"/>
        </w:rPr>
        <w:t xml:space="preserve"> some concern for the</w:t>
      </w:r>
      <w:r w:rsidR="00961F3B">
        <w:rPr>
          <w:rFonts w:eastAsia="Arial"/>
          <w:bCs/>
        </w:rPr>
        <w:t xml:space="preserve"> fact that</w:t>
      </w:r>
      <w:r w:rsidRPr="00E6419E">
        <w:rPr>
          <w:rFonts w:eastAsia="Arial"/>
          <w:bCs/>
          <w:lang w:val="x-none"/>
        </w:rPr>
        <w:t xml:space="preserve"> </w:t>
      </w:r>
      <w:r w:rsidR="00961F3B" w:rsidRPr="00E6419E">
        <w:rPr>
          <w:rFonts w:eastAsia="Arial"/>
          <w:bCs/>
          <w:lang w:val="x-none"/>
        </w:rPr>
        <w:t>the provision</w:t>
      </w:r>
      <w:r w:rsidR="00961F3B">
        <w:rPr>
          <w:rFonts w:eastAsia="Arial"/>
          <w:bCs/>
        </w:rPr>
        <w:t xml:space="preserve"> set forth a </w:t>
      </w:r>
      <w:r w:rsidR="00803071">
        <w:rPr>
          <w:rFonts w:eastAsia="Arial"/>
          <w:bCs/>
          <w:lang w:val="x-none"/>
        </w:rPr>
        <w:t>mandatory</w:t>
      </w:r>
      <w:r w:rsidRPr="00E6419E">
        <w:rPr>
          <w:rFonts w:eastAsia="Arial"/>
          <w:bCs/>
          <w:lang w:val="x-none"/>
        </w:rPr>
        <w:t xml:space="preserve"> </w:t>
      </w:r>
      <w:r w:rsidR="00961F3B">
        <w:rPr>
          <w:rFonts w:eastAsia="Arial"/>
          <w:bCs/>
        </w:rPr>
        <w:t xml:space="preserve">requirement for national phase processing and as such encroached on the national sovereignty of the </w:t>
      </w:r>
      <w:r w:rsidR="00F0581B">
        <w:rPr>
          <w:rFonts w:eastAsia="Arial"/>
          <w:bCs/>
        </w:rPr>
        <w:t xml:space="preserve">Offices </w:t>
      </w:r>
      <w:r w:rsidR="00961F3B">
        <w:rPr>
          <w:rFonts w:eastAsia="Arial"/>
          <w:bCs/>
        </w:rPr>
        <w:t>with respect to their national practices</w:t>
      </w:r>
      <w:r w:rsidRPr="00E6419E">
        <w:rPr>
          <w:rFonts w:eastAsia="Arial"/>
          <w:bCs/>
          <w:lang w:val="x-none"/>
        </w:rPr>
        <w:t xml:space="preserve">. </w:t>
      </w:r>
      <w:r w:rsidR="007D341B">
        <w:rPr>
          <w:rFonts w:eastAsia="Arial"/>
          <w:bCs/>
        </w:rPr>
        <w:t xml:space="preserve"> </w:t>
      </w:r>
      <w:r w:rsidRPr="00E6419E">
        <w:rPr>
          <w:rFonts w:eastAsia="Arial"/>
          <w:bCs/>
          <w:lang w:val="x-none"/>
        </w:rPr>
        <w:t xml:space="preserve">There were also suggestions made with regard to specific wording used in the proposal as well as with regard to whether responses should be required in all situations (e.g., when the </w:t>
      </w:r>
      <w:r w:rsidR="007D341B">
        <w:rPr>
          <w:rFonts w:eastAsia="Arial"/>
          <w:bCs/>
        </w:rPr>
        <w:t>I</w:t>
      </w:r>
      <w:r w:rsidRPr="00E6419E">
        <w:rPr>
          <w:rFonts w:eastAsia="Arial"/>
          <w:bCs/>
          <w:lang w:val="x-none"/>
        </w:rPr>
        <w:t xml:space="preserve">nternational </w:t>
      </w:r>
      <w:r w:rsidR="007D341B">
        <w:rPr>
          <w:rFonts w:eastAsia="Arial"/>
          <w:bCs/>
        </w:rPr>
        <w:t>A</w:t>
      </w:r>
      <w:r w:rsidRPr="00E6419E">
        <w:rPr>
          <w:rFonts w:eastAsia="Arial"/>
          <w:bCs/>
          <w:lang w:val="x-none"/>
        </w:rPr>
        <w:t xml:space="preserve">uthority was different </w:t>
      </w:r>
      <w:r w:rsidR="007D341B">
        <w:rPr>
          <w:rFonts w:eastAsia="Arial"/>
          <w:bCs/>
        </w:rPr>
        <w:t>from</w:t>
      </w:r>
      <w:r w:rsidRPr="00E6419E">
        <w:rPr>
          <w:rFonts w:eastAsia="Arial"/>
          <w:bCs/>
          <w:lang w:val="x-none"/>
        </w:rPr>
        <w:t xml:space="preserve"> the national/regional stage </w:t>
      </w:r>
      <w:r w:rsidR="007D341B">
        <w:rPr>
          <w:rFonts w:eastAsia="Arial"/>
          <w:bCs/>
        </w:rPr>
        <w:t>O</w:t>
      </w:r>
      <w:r w:rsidRPr="00E6419E">
        <w:rPr>
          <w:rFonts w:eastAsia="Arial"/>
          <w:bCs/>
          <w:lang w:val="x-none"/>
        </w:rPr>
        <w:t xml:space="preserve">ffice, with regard to issues of </w:t>
      </w:r>
      <w:r>
        <w:rPr>
          <w:rFonts w:eastAsia="Arial"/>
          <w:bCs/>
          <w:lang w:val="x-none"/>
        </w:rPr>
        <w:t>clarity and more minor issues).</w:t>
      </w:r>
    </w:p>
    <w:p w:rsidR="00B92695" w:rsidRPr="00B92695" w:rsidRDefault="00E6419E" w:rsidP="00E6419E">
      <w:pPr>
        <w:pStyle w:val="ONUME"/>
        <w:rPr>
          <w:rFonts w:eastAsia="Arial"/>
          <w:bCs/>
          <w:lang w:val="x-none"/>
        </w:rPr>
      </w:pPr>
      <w:r w:rsidRPr="00E6419E">
        <w:rPr>
          <w:rFonts w:eastAsia="Arial"/>
          <w:bCs/>
          <w:lang w:val="x-none"/>
        </w:rPr>
        <w:t xml:space="preserve">In response, the USPTO indicated that it felt that the majority of the concerns expressed were addressed by the fact that the provision was drafted in such a way that, while it was mandatory for applicants to submit a response, it was up to each </w:t>
      </w:r>
      <w:r w:rsidR="007D341B">
        <w:rPr>
          <w:rFonts w:eastAsia="Arial"/>
          <w:bCs/>
        </w:rPr>
        <w:t>O</w:t>
      </w:r>
      <w:r w:rsidR="007D341B" w:rsidRPr="00E6419E">
        <w:rPr>
          <w:rFonts w:eastAsia="Arial"/>
          <w:bCs/>
          <w:lang w:val="x-none"/>
        </w:rPr>
        <w:t xml:space="preserve">ffice </w:t>
      </w:r>
      <w:r w:rsidRPr="00E6419E">
        <w:rPr>
          <w:rFonts w:eastAsia="Arial"/>
          <w:bCs/>
          <w:lang w:val="x-none"/>
        </w:rPr>
        <w:t xml:space="preserve">to determine what, if any, sanction to apply if </w:t>
      </w:r>
      <w:r w:rsidR="00961F3B">
        <w:rPr>
          <w:rFonts w:eastAsia="Arial"/>
          <w:bCs/>
          <w:lang w:val="x-none"/>
        </w:rPr>
        <w:t>no such response were received</w:t>
      </w:r>
      <w:r w:rsidR="00961F3B">
        <w:rPr>
          <w:rFonts w:eastAsia="Arial"/>
          <w:bCs/>
        </w:rPr>
        <w:t xml:space="preserve">, and that, as such, the national </w:t>
      </w:r>
      <w:r w:rsidR="007D341B">
        <w:rPr>
          <w:rFonts w:eastAsia="Arial"/>
          <w:bCs/>
        </w:rPr>
        <w:t xml:space="preserve">Offices </w:t>
      </w:r>
      <w:r w:rsidR="00961F3B">
        <w:rPr>
          <w:rFonts w:eastAsia="Arial"/>
          <w:bCs/>
        </w:rPr>
        <w:t xml:space="preserve">had maximum flexibility with regard to whether or not the proposal would be implemented in their </w:t>
      </w:r>
      <w:r w:rsidR="007D341B">
        <w:rPr>
          <w:rFonts w:eastAsia="Arial"/>
          <w:bCs/>
        </w:rPr>
        <w:t>Office</w:t>
      </w:r>
      <w:r w:rsidR="005955E1">
        <w:rPr>
          <w:rFonts w:eastAsia="Arial"/>
          <w:bCs/>
        </w:rPr>
        <w:t xml:space="preserve"> (see paragraph 100 of document PCT/WG/6/24)</w:t>
      </w:r>
      <w:r w:rsidR="00961F3B">
        <w:rPr>
          <w:rFonts w:eastAsia="Arial"/>
          <w:bCs/>
        </w:rPr>
        <w:t>.</w:t>
      </w:r>
    </w:p>
    <w:p w:rsidR="00803071" w:rsidRPr="00803071" w:rsidRDefault="00E6419E" w:rsidP="00D06340">
      <w:pPr>
        <w:pStyle w:val="ONUME"/>
        <w:rPr>
          <w:rFonts w:eastAsia="Arial"/>
          <w:bCs/>
          <w:lang w:val="x-none"/>
        </w:rPr>
      </w:pPr>
      <w:r w:rsidRPr="00E6419E">
        <w:rPr>
          <w:rFonts w:eastAsia="Arial"/>
          <w:bCs/>
          <w:lang w:val="x-none"/>
        </w:rPr>
        <w:t xml:space="preserve">The </w:t>
      </w:r>
      <w:r w:rsidR="005955E1">
        <w:rPr>
          <w:rFonts w:eastAsia="Arial"/>
          <w:bCs/>
        </w:rPr>
        <w:t>C</w:t>
      </w:r>
      <w:r w:rsidRPr="00E6419E">
        <w:rPr>
          <w:rFonts w:eastAsia="Arial"/>
          <w:bCs/>
          <w:lang w:val="x-none"/>
        </w:rPr>
        <w:t>hair of the meeting supported this interpre</w:t>
      </w:r>
      <w:r>
        <w:rPr>
          <w:rFonts w:eastAsia="Arial"/>
          <w:bCs/>
          <w:lang w:val="x-none"/>
        </w:rPr>
        <w:t>tation in his comments as well.</w:t>
      </w:r>
    </w:p>
    <w:p w:rsidR="00D06340" w:rsidRPr="00803071" w:rsidRDefault="00451E52" w:rsidP="00F55E4F">
      <w:pPr>
        <w:pStyle w:val="Heading1"/>
        <w:keepNext w:val="0"/>
        <w:rPr>
          <w:lang w:val="x-none"/>
        </w:rPr>
      </w:pPr>
      <w:r w:rsidRPr="00803071">
        <w:t>LOOKING AHEAD</w:t>
      </w:r>
    </w:p>
    <w:p w:rsidR="00FD518A" w:rsidRPr="00961F3B" w:rsidRDefault="00E6419E" w:rsidP="00F55E4F">
      <w:pPr>
        <w:pStyle w:val="ONUME"/>
        <w:rPr>
          <w:rFonts w:eastAsia="Arial"/>
          <w:lang w:val="en-GB"/>
        </w:rPr>
      </w:pPr>
      <w:r w:rsidRPr="00E6419E">
        <w:rPr>
          <w:rFonts w:eastAsia="Arial"/>
        </w:rPr>
        <w:t>The U</w:t>
      </w:r>
      <w:r w:rsidR="00400645">
        <w:rPr>
          <w:rFonts w:eastAsia="Arial"/>
        </w:rPr>
        <w:t>nited States Patent and Trademark Office</w:t>
      </w:r>
      <w:r w:rsidRPr="00E6419E">
        <w:rPr>
          <w:rFonts w:eastAsia="Arial"/>
        </w:rPr>
        <w:t xml:space="preserve"> and </w:t>
      </w:r>
      <w:r w:rsidR="00400645">
        <w:rPr>
          <w:rFonts w:eastAsia="Arial"/>
        </w:rPr>
        <w:t>the Intellectual Property Office of the United Kingdom</w:t>
      </w:r>
      <w:r w:rsidRPr="00E6419E">
        <w:rPr>
          <w:rFonts w:eastAsia="Arial"/>
        </w:rPr>
        <w:t xml:space="preserve"> intend to further pursue the matter and present a revised proposal at the next session of the PCT Working Group taking into account the suggestions made </w:t>
      </w:r>
      <w:r w:rsidR="00961F3B">
        <w:rPr>
          <w:rFonts w:eastAsia="Arial"/>
        </w:rPr>
        <w:t>at the</w:t>
      </w:r>
      <w:r w:rsidR="00F0581B">
        <w:rPr>
          <w:rFonts w:eastAsia="Arial"/>
        </w:rPr>
        <w:t xml:space="preserve"> sixth session of the</w:t>
      </w:r>
      <w:r w:rsidR="00961F3B">
        <w:rPr>
          <w:rFonts w:eastAsia="Arial"/>
        </w:rPr>
        <w:t xml:space="preserve"> Working Group as well as the discussions at this session of the MIA</w:t>
      </w:r>
      <w:r w:rsidRPr="00E6419E">
        <w:rPr>
          <w:rFonts w:eastAsia="Arial"/>
        </w:rPr>
        <w:t>.</w:t>
      </w:r>
    </w:p>
    <w:p w:rsidR="00961F3B" w:rsidRDefault="00F0581B" w:rsidP="00F55E4F">
      <w:pPr>
        <w:pStyle w:val="ONUME"/>
        <w:keepNext/>
        <w:keepLines/>
        <w:rPr>
          <w:rFonts w:eastAsia="Arial"/>
          <w:lang w:val="en-GB"/>
        </w:rPr>
      </w:pPr>
      <w:r>
        <w:rPr>
          <w:rFonts w:eastAsia="Arial"/>
        </w:rPr>
        <w:lastRenderedPageBreak/>
        <w:t xml:space="preserve">International </w:t>
      </w:r>
      <w:r w:rsidR="00961F3B">
        <w:rPr>
          <w:rFonts w:eastAsia="Arial"/>
        </w:rPr>
        <w:t xml:space="preserve">Authorities are </w:t>
      </w:r>
      <w:r w:rsidR="00BE08AA">
        <w:rPr>
          <w:rFonts w:eastAsia="Arial"/>
        </w:rPr>
        <w:t xml:space="preserve">again </w:t>
      </w:r>
      <w:r w:rsidR="00961F3B">
        <w:rPr>
          <w:rFonts w:eastAsia="Arial"/>
        </w:rPr>
        <w:t>asked to comment on the proposal</w:t>
      </w:r>
      <w:r w:rsidR="00BE08AA">
        <w:rPr>
          <w:rFonts w:eastAsia="Arial"/>
        </w:rPr>
        <w:t>.  In doing so, Authorities are</w:t>
      </w:r>
      <w:r w:rsidR="001D6AC3">
        <w:rPr>
          <w:rFonts w:eastAsia="Arial"/>
        </w:rPr>
        <w:t xml:space="preserve"> </w:t>
      </w:r>
      <w:r w:rsidR="00961F3B">
        <w:rPr>
          <w:rFonts w:eastAsia="Arial"/>
        </w:rPr>
        <w:t xml:space="preserve">specifically </w:t>
      </w:r>
      <w:r w:rsidR="00BE08AA">
        <w:rPr>
          <w:rFonts w:eastAsia="Arial"/>
        </w:rPr>
        <w:t xml:space="preserve">requested to identify any aspects which do not </w:t>
      </w:r>
      <w:r w:rsidR="00823D23">
        <w:rPr>
          <w:rFonts w:eastAsia="Arial"/>
        </w:rPr>
        <w:t>address concerns regarding encroach</w:t>
      </w:r>
      <w:r w:rsidR="00BE08AA">
        <w:rPr>
          <w:rFonts w:eastAsia="Arial"/>
        </w:rPr>
        <w:t>ment</w:t>
      </w:r>
      <w:r w:rsidR="00823D23">
        <w:rPr>
          <w:rFonts w:eastAsia="Arial"/>
        </w:rPr>
        <w:t xml:space="preserve"> on </w:t>
      </w:r>
      <w:r w:rsidR="00BE08AA">
        <w:rPr>
          <w:rFonts w:eastAsia="Arial"/>
        </w:rPr>
        <w:t xml:space="preserve">an Office’s </w:t>
      </w:r>
      <w:r w:rsidR="00823D23">
        <w:rPr>
          <w:rFonts w:eastAsia="Arial"/>
        </w:rPr>
        <w:t>ability to establish their own national phase practices, or that the requirement should only be applicable in certain situations.</w:t>
      </w:r>
    </w:p>
    <w:p w:rsidR="002F54BC" w:rsidRDefault="0006398B" w:rsidP="002F54BC">
      <w:pPr>
        <w:pStyle w:val="ONUME"/>
        <w:ind w:left="5580"/>
      </w:pPr>
      <w:r w:rsidRPr="00803071">
        <w:rPr>
          <w:i/>
          <w:iCs/>
        </w:rPr>
        <w:t xml:space="preserve">The </w:t>
      </w:r>
      <w:r w:rsidR="00F0581B">
        <w:rPr>
          <w:i/>
          <w:iCs/>
        </w:rPr>
        <w:t>Meeting</w:t>
      </w:r>
      <w:r w:rsidR="00F0581B" w:rsidRPr="00803071">
        <w:rPr>
          <w:i/>
          <w:iCs/>
        </w:rPr>
        <w:t xml:space="preserve"> </w:t>
      </w:r>
      <w:r w:rsidR="00F0581B">
        <w:rPr>
          <w:i/>
          <w:iCs/>
        </w:rPr>
        <w:t>is</w:t>
      </w:r>
      <w:r w:rsidRPr="00803071">
        <w:rPr>
          <w:i/>
          <w:iCs/>
        </w:rPr>
        <w:t xml:space="preserve"> invited </w:t>
      </w:r>
      <w:r w:rsidR="00823D23" w:rsidRPr="00803071">
        <w:rPr>
          <w:i/>
          <w:iCs/>
        </w:rPr>
        <w:t>to comment on the proposal and specifically the questions posited in paragraph 23.</w:t>
      </w:r>
    </w:p>
    <w:p w:rsidR="0006398B" w:rsidRDefault="0006398B" w:rsidP="002F54BC">
      <w:pPr>
        <w:pStyle w:val="Endofdocument-Annex"/>
        <w:sectPr w:rsidR="0006398B" w:rsidSect="00E93714">
          <w:headerReference w:type="default" r:id="rId10"/>
          <w:endnotePr>
            <w:numFmt w:val="decimal"/>
          </w:endnotePr>
          <w:pgSz w:w="11907" w:h="16840" w:code="9"/>
          <w:pgMar w:top="567" w:right="1134" w:bottom="1418" w:left="1418" w:header="510" w:footer="1021" w:gutter="0"/>
          <w:cols w:space="720"/>
          <w:titlePg/>
          <w:docGrid w:linePitch="299"/>
        </w:sectPr>
      </w:pPr>
      <w:r>
        <w:t>[</w:t>
      </w:r>
      <w:r w:rsidR="00F07F00">
        <w:t>Annex</w:t>
      </w:r>
      <w:r>
        <w:t xml:space="preserve"> follow</w:t>
      </w:r>
      <w:r w:rsidR="00F07F00">
        <w:t>s</w:t>
      </w:r>
      <w:r>
        <w:t>]</w:t>
      </w:r>
    </w:p>
    <w:p w:rsidR="00E6419E" w:rsidRDefault="00FD518A" w:rsidP="00E6419E">
      <w:pPr>
        <w:jc w:val="center"/>
        <w:rPr>
          <w:rFonts w:eastAsia="MS Mincho"/>
          <w:lang w:eastAsia="ja-JP"/>
        </w:rPr>
      </w:pPr>
      <w:r w:rsidRPr="00FD518A">
        <w:rPr>
          <w:rFonts w:eastAsia="MS Mincho"/>
          <w:lang w:eastAsia="ja-JP"/>
        </w:rPr>
        <w:lastRenderedPageBreak/>
        <w:t xml:space="preserve"> </w:t>
      </w:r>
    </w:p>
    <w:p w:rsidR="00E6419E" w:rsidRDefault="00E6419E" w:rsidP="00E6419E">
      <w:pPr>
        <w:jc w:val="center"/>
        <w:rPr>
          <w:rFonts w:eastAsia="MS Mincho"/>
          <w:lang w:eastAsia="ja-JP"/>
        </w:rPr>
      </w:pPr>
    </w:p>
    <w:p w:rsidR="00E6419E" w:rsidRPr="00E6419E" w:rsidRDefault="00E6419E" w:rsidP="00E6419E">
      <w:pPr>
        <w:jc w:val="center"/>
      </w:pPr>
      <w:r w:rsidRPr="00E6419E">
        <w:t>ANNEX</w:t>
      </w:r>
    </w:p>
    <w:p w:rsidR="00E6419E" w:rsidRPr="00E6419E" w:rsidRDefault="00E6419E" w:rsidP="00E6419E">
      <w:pPr>
        <w:jc w:val="center"/>
      </w:pPr>
    </w:p>
    <w:p w:rsidR="00E6419E" w:rsidRPr="00E6419E" w:rsidRDefault="00E6419E" w:rsidP="00E6419E">
      <w:pPr>
        <w:tabs>
          <w:tab w:val="center" w:pos="4536"/>
          <w:tab w:val="right" w:pos="9072"/>
        </w:tabs>
        <w:jc w:val="center"/>
      </w:pPr>
      <w:r w:rsidRPr="00E6419E">
        <w:t>PROPOSED AMENDMENTS TO THE PCT REGULATIONS</w:t>
      </w:r>
      <w:r w:rsidRPr="00E6419E">
        <w:rPr>
          <w:vertAlign w:val="superscript"/>
        </w:rPr>
        <w:footnoteReference w:id="2"/>
      </w:r>
    </w:p>
    <w:p w:rsidR="00E6419E" w:rsidRPr="00E6419E" w:rsidRDefault="00E6419E" w:rsidP="00E6419E">
      <w:pPr>
        <w:jc w:val="center"/>
      </w:pPr>
    </w:p>
    <w:p w:rsidR="00E6419E" w:rsidRPr="00E6419E" w:rsidRDefault="00E6419E" w:rsidP="00E6419E">
      <w:pPr>
        <w:jc w:val="center"/>
      </w:pPr>
    </w:p>
    <w:p w:rsidR="00E6419E" w:rsidRPr="00E6419E" w:rsidRDefault="00E6419E" w:rsidP="00E6419E">
      <w:pPr>
        <w:jc w:val="center"/>
      </w:pPr>
      <w:r w:rsidRPr="00E6419E">
        <w:t>TABLE OF CONTENTS</w:t>
      </w:r>
    </w:p>
    <w:p w:rsidR="00E6419E" w:rsidRDefault="00E6419E" w:rsidP="00E6419E">
      <w:pPr>
        <w:spacing w:line="276" w:lineRule="auto"/>
        <w:jc w:val="both"/>
      </w:pPr>
    </w:p>
    <w:p w:rsidR="00277D4A" w:rsidRDefault="00277D4A">
      <w:pPr>
        <w:pStyle w:val="TOC1"/>
        <w:rPr>
          <w:rFonts w:asciiTheme="minorHAnsi" w:eastAsiaTheme="minorEastAsia" w:hAnsiTheme="minorHAnsi" w:cstheme="minorBidi"/>
          <w:szCs w:val="22"/>
          <w:lang w:eastAsia="en-US"/>
        </w:rPr>
      </w:pPr>
      <w:r>
        <w:fldChar w:fldCharType="begin"/>
      </w:r>
      <w:r>
        <w:instrText xml:space="preserve"> TOC \h \z \t "Leg # Title,1,Leg SubRule #,2" </w:instrText>
      </w:r>
      <w:r>
        <w:fldChar w:fldCharType="separate"/>
      </w:r>
      <w:hyperlink w:anchor="_Toc377992098" w:history="1">
        <w:r w:rsidRPr="00396695">
          <w:rPr>
            <w:rStyle w:val="Hyperlink"/>
          </w:rPr>
          <w:t>Rule 51</w:t>
        </w:r>
        <w:r w:rsidRPr="00396695">
          <w:rPr>
            <w:rStyle w:val="Hyperlink"/>
            <w:i/>
          </w:rPr>
          <w:t>ter</w:t>
        </w:r>
        <w:r w:rsidRPr="00396695">
          <w:rPr>
            <w:rStyle w:val="Hyperlink"/>
          </w:rPr>
          <w:t xml:space="preserve">   Response to Outstanding Objections Before the Designated Office</w:t>
        </w:r>
        <w:r>
          <w:rPr>
            <w:webHidden/>
          </w:rPr>
          <w:tab/>
        </w:r>
        <w:r>
          <w:rPr>
            <w:webHidden/>
          </w:rPr>
          <w:fldChar w:fldCharType="begin"/>
        </w:r>
        <w:r>
          <w:rPr>
            <w:webHidden/>
          </w:rPr>
          <w:instrText xml:space="preserve"> PAGEREF _Toc377992098 \h </w:instrText>
        </w:r>
        <w:r>
          <w:rPr>
            <w:webHidden/>
          </w:rPr>
        </w:r>
        <w:r>
          <w:rPr>
            <w:webHidden/>
          </w:rPr>
          <w:fldChar w:fldCharType="separate"/>
        </w:r>
        <w:r w:rsidR="00AA7DFE">
          <w:rPr>
            <w:webHidden/>
          </w:rPr>
          <w:t>2</w:t>
        </w:r>
        <w:r>
          <w:rPr>
            <w:webHidden/>
          </w:rPr>
          <w:fldChar w:fldCharType="end"/>
        </w:r>
      </w:hyperlink>
    </w:p>
    <w:p w:rsidR="00277D4A" w:rsidRPr="00F55E4F" w:rsidRDefault="00CB6CC6">
      <w:pPr>
        <w:pStyle w:val="TOC2"/>
        <w:rPr>
          <w:rFonts w:asciiTheme="minorHAnsi" w:eastAsiaTheme="minorEastAsia" w:hAnsiTheme="minorHAnsi" w:cstheme="minorBidi"/>
          <w:i w:val="0"/>
          <w:szCs w:val="22"/>
          <w:lang w:eastAsia="en-US"/>
        </w:rPr>
      </w:pPr>
      <w:hyperlink w:anchor="_Toc377992099" w:history="1">
        <w:r w:rsidR="00277D4A" w:rsidRPr="00396695">
          <w:rPr>
            <w:rStyle w:val="Hyperlink"/>
          </w:rPr>
          <w:t>Rule 51ter.1  Mandatory Response</w:t>
        </w:r>
        <w:r w:rsidR="00277D4A">
          <w:rPr>
            <w:webHidden/>
          </w:rPr>
          <w:tab/>
        </w:r>
        <w:r w:rsidR="00277D4A" w:rsidRPr="00F55E4F">
          <w:rPr>
            <w:i w:val="0"/>
            <w:webHidden/>
          </w:rPr>
          <w:fldChar w:fldCharType="begin"/>
        </w:r>
        <w:r w:rsidR="00277D4A" w:rsidRPr="00F55E4F">
          <w:rPr>
            <w:i w:val="0"/>
            <w:webHidden/>
          </w:rPr>
          <w:instrText xml:space="preserve"> PAGEREF _Toc377992099 \h </w:instrText>
        </w:r>
        <w:r w:rsidR="00277D4A" w:rsidRPr="00F55E4F">
          <w:rPr>
            <w:i w:val="0"/>
            <w:webHidden/>
          </w:rPr>
        </w:r>
        <w:r w:rsidR="00277D4A" w:rsidRPr="00F55E4F">
          <w:rPr>
            <w:i w:val="0"/>
            <w:webHidden/>
          </w:rPr>
          <w:fldChar w:fldCharType="separate"/>
        </w:r>
        <w:r w:rsidR="00AA7DFE">
          <w:rPr>
            <w:i w:val="0"/>
            <w:webHidden/>
          </w:rPr>
          <w:t>2</w:t>
        </w:r>
        <w:r w:rsidR="00277D4A" w:rsidRPr="00F55E4F">
          <w:rPr>
            <w:i w:val="0"/>
            <w:webHidden/>
          </w:rPr>
          <w:fldChar w:fldCharType="end"/>
        </w:r>
      </w:hyperlink>
    </w:p>
    <w:p w:rsidR="00277D4A" w:rsidRDefault="00CB6CC6">
      <w:pPr>
        <w:pStyle w:val="TOC1"/>
        <w:rPr>
          <w:rFonts w:asciiTheme="minorHAnsi" w:eastAsiaTheme="minorEastAsia" w:hAnsiTheme="minorHAnsi" w:cstheme="minorBidi"/>
          <w:szCs w:val="22"/>
          <w:lang w:eastAsia="en-US"/>
        </w:rPr>
      </w:pPr>
      <w:hyperlink w:anchor="_Toc377992100" w:history="1">
        <w:r w:rsidR="00277D4A" w:rsidRPr="00396695">
          <w:rPr>
            <w:rStyle w:val="Hyperlink"/>
          </w:rPr>
          <w:t>Rule 76</w:t>
        </w:r>
        <w:r w:rsidR="00277D4A" w:rsidRPr="00396695">
          <w:rPr>
            <w:rStyle w:val="Hyperlink"/>
            <w:i/>
          </w:rPr>
          <w:t>bis</w:t>
        </w:r>
        <w:r w:rsidR="00277D4A" w:rsidRPr="00396695">
          <w:rPr>
            <w:rStyle w:val="Hyperlink"/>
          </w:rPr>
          <w:t xml:space="preserve">   Response to Outstanding Objections Before the Elected Office</w:t>
        </w:r>
        <w:r w:rsidR="00277D4A">
          <w:rPr>
            <w:webHidden/>
          </w:rPr>
          <w:tab/>
        </w:r>
        <w:r w:rsidR="00277D4A">
          <w:rPr>
            <w:webHidden/>
          </w:rPr>
          <w:fldChar w:fldCharType="begin"/>
        </w:r>
        <w:r w:rsidR="00277D4A">
          <w:rPr>
            <w:webHidden/>
          </w:rPr>
          <w:instrText xml:space="preserve"> PAGEREF _Toc377992100 \h </w:instrText>
        </w:r>
        <w:r w:rsidR="00277D4A">
          <w:rPr>
            <w:webHidden/>
          </w:rPr>
        </w:r>
        <w:r w:rsidR="00277D4A">
          <w:rPr>
            <w:webHidden/>
          </w:rPr>
          <w:fldChar w:fldCharType="separate"/>
        </w:r>
        <w:r w:rsidR="00AA7DFE">
          <w:rPr>
            <w:webHidden/>
          </w:rPr>
          <w:t>3</w:t>
        </w:r>
        <w:r w:rsidR="00277D4A">
          <w:rPr>
            <w:webHidden/>
          </w:rPr>
          <w:fldChar w:fldCharType="end"/>
        </w:r>
      </w:hyperlink>
    </w:p>
    <w:p w:rsidR="00277D4A" w:rsidRDefault="00CB6CC6">
      <w:pPr>
        <w:pStyle w:val="TOC2"/>
        <w:rPr>
          <w:rFonts w:asciiTheme="minorHAnsi" w:eastAsiaTheme="minorEastAsia" w:hAnsiTheme="minorHAnsi" w:cstheme="minorBidi"/>
          <w:i w:val="0"/>
          <w:szCs w:val="22"/>
          <w:lang w:eastAsia="en-US"/>
        </w:rPr>
      </w:pPr>
      <w:hyperlink w:anchor="_Toc377992101" w:history="1">
        <w:r w:rsidR="00277D4A" w:rsidRPr="00396695">
          <w:rPr>
            <w:rStyle w:val="Hyperlink"/>
          </w:rPr>
          <w:t>Rule 76bis.1   Mandatory Response</w:t>
        </w:r>
        <w:r w:rsidR="00277D4A">
          <w:rPr>
            <w:webHidden/>
          </w:rPr>
          <w:tab/>
        </w:r>
        <w:r w:rsidR="00277D4A" w:rsidRPr="00F55E4F">
          <w:rPr>
            <w:i w:val="0"/>
            <w:webHidden/>
          </w:rPr>
          <w:fldChar w:fldCharType="begin"/>
        </w:r>
        <w:r w:rsidR="00277D4A" w:rsidRPr="00F55E4F">
          <w:rPr>
            <w:i w:val="0"/>
            <w:webHidden/>
          </w:rPr>
          <w:instrText xml:space="preserve"> PAGEREF _Toc377992101 \h </w:instrText>
        </w:r>
        <w:r w:rsidR="00277D4A" w:rsidRPr="00F55E4F">
          <w:rPr>
            <w:i w:val="0"/>
            <w:webHidden/>
          </w:rPr>
        </w:r>
        <w:r w:rsidR="00277D4A" w:rsidRPr="00F55E4F">
          <w:rPr>
            <w:i w:val="0"/>
            <w:webHidden/>
          </w:rPr>
          <w:fldChar w:fldCharType="separate"/>
        </w:r>
        <w:r w:rsidR="00AA7DFE">
          <w:rPr>
            <w:i w:val="0"/>
            <w:webHidden/>
          </w:rPr>
          <w:t>3</w:t>
        </w:r>
        <w:r w:rsidR="00277D4A" w:rsidRPr="00F55E4F">
          <w:rPr>
            <w:i w:val="0"/>
            <w:webHidden/>
          </w:rPr>
          <w:fldChar w:fldCharType="end"/>
        </w:r>
      </w:hyperlink>
    </w:p>
    <w:p w:rsidR="00A440C7" w:rsidRPr="00E6419E" w:rsidRDefault="00277D4A" w:rsidP="00E6419E">
      <w:pPr>
        <w:spacing w:line="276" w:lineRule="auto"/>
        <w:jc w:val="both"/>
      </w:pPr>
      <w:r>
        <w:fldChar w:fldCharType="end"/>
      </w:r>
    </w:p>
    <w:p w:rsidR="00E6419E" w:rsidRPr="00F55E4F" w:rsidRDefault="00E6419E" w:rsidP="00F55E4F">
      <w:pPr>
        <w:pStyle w:val="LegTitle"/>
        <w:rPr>
          <w:rStyle w:val="InsertedText"/>
        </w:rPr>
      </w:pPr>
      <w:bookmarkStart w:id="7" w:name="_Toc377992098"/>
      <w:r w:rsidRPr="00F55E4F">
        <w:rPr>
          <w:color w:val="0000FF"/>
          <w:u w:val="single"/>
        </w:rPr>
        <w:lastRenderedPageBreak/>
        <w:t xml:space="preserve">Rule </w:t>
      </w:r>
      <w:proofErr w:type="gramStart"/>
      <w:r w:rsidRPr="00F55E4F">
        <w:rPr>
          <w:color w:val="0000FF"/>
          <w:u w:val="single"/>
        </w:rPr>
        <w:t>51</w:t>
      </w:r>
      <w:r w:rsidRPr="00F55E4F">
        <w:rPr>
          <w:i/>
          <w:color w:val="0000FF"/>
          <w:u w:val="single"/>
        </w:rPr>
        <w:t>ter</w:t>
      </w:r>
      <w:r w:rsidRPr="00F55E4F">
        <w:rPr>
          <w:color w:val="0000FF"/>
        </w:rPr>
        <w:t xml:space="preserve"> </w:t>
      </w:r>
      <w:r w:rsidRPr="00F55E4F">
        <w:rPr>
          <w:rStyle w:val="LegInsertedText"/>
        </w:rPr>
        <w:t xml:space="preserve"> </w:t>
      </w:r>
      <w:proofErr w:type="gramEnd"/>
      <w:r w:rsidRPr="00F55E4F">
        <w:rPr>
          <w:rStyle w:val="LegInsertedText"/>
        </w:rPr>
        <w:br/>
      </w:r>
      <w:r w:rsidRPr="00F55E4F">
        <w:rPr>
          <w:rStyle w:val="InsertedText"/>
        </w:rPr>
        <w:t>Response to Outstanding Objections Before the Designated Office</w:t>
      </w:r>
      <w:bookmarkEnd w:id="7"/>
    </w:p>
    <w:p w:rsidR="00E6419E" w:rsidRPr="00F55E4F" w:rsidRDefault="00E6419E" w:rsidP="00F55E4F">
      <w:pPr>
        <w:pStyle w:val="LegSubRule"/>
        <w:rPr>
          <w:rStyle w:val="LegInsertedText"/>
          <w:sz w:val="22"/>
          <w:szCs w:val="22"/>
        </w:rPr>
      </w:pPr>
      <w:bookmarkStart w:id="8" w:name="_Toc377992099"/>
      <w:r w:rsidRPr="00F55E4F">
        <w:rPr>
          <w:rStyle w:val="LegInsertedText"/>
          <w:sz w:val="22"/>
          <w:szCs w:val="22"/>
        </w:rPr>
        <w:t>Rule 51</w:t>
      </w:r>
      <w:r w:rsidRPr="00F55E4F">
        <w:rPr>
          <w:rStyle w:val="LegInsertedText"/>
          <w:i/>
          <w:sz w:val="22"/>
          <w:szCs w:val="22"/>
        </w:rPr>
        <w:t>ter.</w:t>
      </w:r>
      <w:r w:rsidRPr="00F55E4F">
        <w:rPr>
          <w:rStyle w:val="LegInsertedText"/>
          <w:sz w:val="22"/>
          <w:szCs w:val="22"/>
        </w:rPr>
        <w:t>1</w:t>
      </w:r>
      <w:proofErr w:type="gramStart"/>
      <w:r w:rsidRPr="00F55E4F">
        <w:rPr>
          <w:rStyle w:val="LegInsertedText"/>
          <w:sz w:val="22"/>
          <w:szCs w:val="22"/>
        </w:rPr>
        <w:t>  Mandatory</w:t>
      </w:r>
      <w:proofErr w:type="gramEnd"/>
      <w:r w:rsidRPr="00F55E4F">
        <w:rPr>
          <w:rStyle w:val="LegInsertedText"/>
          <w:sz w:val="22"/>
          <w:szCs w:val="22"/>
        </w:rPr>
        <w:t xml:space="preserve"> Response</w:t>
      </w:r>
      <w:bookmarkEnd w:id="8"/>
    </w:p>
    <w:p w:rsidR="00E6419E" w:rsidRPr="00F55E4F" w:rsidRDefault="00E6419E" w:rsidP="00E6419E">
      <w:pPr>
        <w:tabs>
          <w:tab w:val="left" w:pos="454"/>
        </w:tabs>
        <w:spacing w:before="240" w:line="480" w:lineRule="auto"/>
        <w:rPr>
          <w:rStyle w:val="LegInsertedText"/>
        </w:rPr>
      </w:pPr>
      <w:r w:rsidRPr="00F55E4F">
        <w:tab/>
      </w:r>
      <w:r w:rsidRPr="00F55E4F">
        <w:rPr>
          <w:rStyle w:val="LegInsertedText"/>
        </w:rPr>
        <w:t>(a)  If, at the time of submission of the requirements under Article 22 to the designated Office, the International Searching Authority has issued a written opinion under Rule 43bis which contains negative statements under any of PCT Article 33 (2), (3), or (4), the applicant shall also be required to submit a response directed to overcoming the objections set forth in the written opinion. Such a response must be in the form of:</w:t>
      </w:r>
    </w:p>
    <w:p w:rsidR="00E6419E" w:rsidRPr="00F55E4F" w:rsidRDefault="00E6419E" w:rsidP="00E6419E">
      <w:pPr>
        <w:tabs>
          <w:tab w:val="right" w:pos="1020"/>
          <w:tab w:val="left" w:pos="1191"/>
        </w:tabs>
        <w:spacing w:before="60" w:line="480" w:lineRule="auto"/>
        <w:rPr>
          <w:rStyle w:val="LegInsertedText"/>
        </w:rPr>
      </w:pPr>
      <w:r w:rsidRPr="00F55E4F">
        <w:tab/>
      </w:r>
      <w:r w:rsidRPr="00F55E4F">
        <w:rPr>
          <w:rStyle w:val="LegInsertedText"/>
        </w:rPr>
        <w:t>(</w:t>
      </w:r>
      <w:proofErr w:type="spellStart"/>
      <w:r w:rsidRPr="00F55E4F">
        <w:rPr>
          <w:rStyle w:val="LegInsertedText"/>
        </w:rPr>
        <w:t>i</w:t>
      </w:r>
      <w:proofErr w:type="spellEnd"/>
      <w:r w:rsidRPr="00F55E4F">
        <w:rPr>
          <w:rStyle w:val="LegInsertedText"/>
        </w:rPr>
        <w:t>)</w:t>
      </w:r>
      <w:r w:rsidRPr="00F55E4F">
        <w:rPr>
          <w:rStyle w:val="LegInsertedText"/>
        </w:rPr>
        <w:tab/>
      </w:r>
      <w:proofErr w:type="gramStart"/>
      <w:r w:rsidRPr="00F55E4F">
        <w:rPr>
          <w:rStyle w:val="LegInsertedText"/>
        </w:rPr>
        <w:t>an</w:t>
      </w:r>
      <w:proofErr w:type="gramEnd"/>
      <w:r w:rsidRPr="00F55E4F">
        <w:rPr>
          <w:rStyle w:val="LegInsertedText"/>
        </w:rPr>
        <w:t xml:space="preserve"> amendment to the claims which overcomes the objections, and/or</w:t>
      </w:r>
    </w:p>
    <w:p w:rsidR="00E6419E" w:rsidRPr="00F55E4F" w:rsidRDefault="00E6419E" w:rsidP="00E6419E">
      <w:pPr>
        <w:tabs>
          <w:tab w:val="right" w:pos="1020"/>
          <w:tab w:val="left" w:pos="1191"/>
        </w:tabs>
        <w:spacing w:before="60" w:line="480" w:lineRule="auto"/>
        <w:rPr>
          <w:rStyle w:val="LegInsertedText"/>
        </w:rPr>
      </w:pPr>
      <w:r w:rsidRPr="00F55E4F">
        <w:tab/>
      </w:r>
      <w:r w:rsidRPr="00F55E4F">
        <w:rPr>
          <w:rStyle w:val="LegInsertedText"/>
        </w:rPr>
        <w:t>(ii)</w:t>
      </w:r>
      <w:r w:rsidRPr="00F55E4F">
        <w:rPr>
          <w:rStyle w:val="LegInsertedText"/>
        </w:rPr>
        <w:tab/>
      </w:r>
      <w:proofErr w:type="gramStart"/>
      <w:r w:rsidRPr="00F55E4F">
        <w:rPr>
          <w:rStyle w:val="LegInsertedText"/>
        </w:rPr>
        <w:t>a</w:t>
      </w:r>
      <w:proofErr w:type="gramEnd"/>
      <w:r w:rsidRPr="00F55E4F">
        <w:rPr>
          <w:rStyle w:val="LegInsertedText"/>
        </w:rPr>
        <w:t xml:space="preserve"> substantive argument which distinctly sets forth the errors in the objections. </w:t>
      </w:r>
    </w:p>
    <w:p w:rsidR="00E6419E" w:rsidRPr="00F55E4F" w:rsidRDefault="00E6419E" w:rsidP="00E6419E">
      <w:pPr>
        <w:tabs>
          <w:tab w:val="left" w:pos="454"/>
        </w:tabs>
        <w:spacing w:before="240" w:line="480" w:lineRule="auto"/>
        <w:rPr>
          <w:rStyle w:val="LegInsertedText"/>
        </w:rPr>
      </w:pPr>
      <w:r w:rsidRPr="00F55E4F">
        <w:tab/>
      </w:r>
      <w:r w:rsidRPr="00F55E4F">
        <w:rPr>
          <w:rStyle w:val="LegInsertedText"/>
        </w:rPr>
        <w:t xml:space="preserve">(b)  Failure to submit a response under paragraph (a) may result in the imposing of an appropriate sanction as determined by the designated Office. </w:t>
      </w:r>
    </w:p>
    <w:p w:rsidR="00E6419E" w:rsidRPr="00F55E4F" w:rsidRDefault="00E6419E" w:rsidP="00E6419E">
      <w:pPr>
        <w:tabs>
          <w:tab w:val="left" w:pos="454"/>
        </w:tabs>
        <w:spacing w:before="240" w:line="480" w:lineRule="auto"/>
        <w:rPr>
          <w:rStyle w:val="LegInsertedText"/>
        </w:rPr>
      </w:pPr>
      <w:r w:rsidRPr="00F55E4F">
        <w:tab/>
      </w:r>
      <w:r w:rsidRPr="00F55E4F">
        <w:rPr>
          <w:rStyle w:val="LegInsertedText"/>
        </w:rPr>
        <w:t>(c)  Where the applicant did not furnish a response under paragraph (a), prior to imposing any sanction provided for in paragraph (b)</w:t>
      </w:r>
      <w:r w:rsidR="00DA2372" w:rsidRPr="00F55E4F">
        <w:rPr>
          <w:rStyle w:val="LegInsertedText"/>
        </w:rPr>
        <w:t>,</w:t>
      </w:r>
      <w:r w:rsidRPr="00F55E4F">
        <w:rPr>
          <w:rStyle w:val="LegInsertedText"/>
        </w:rPr>
        <w:t xml:space="preserve"> the designated Office shall invite the applicant to furnish such response within a time limit which shall be reasonable under the circumstances and shall be fixed in the invitation.</w:t>
      </w:r>
    </w:p>
    <w:p w:rsidR="00E6419E" w:rsidRPr="00F55E4F" w:rsidRDefault="00E6419E" w:rsidP="00F55E4F">
      <w:pPr>
        <w:pStyle w:val="LegTitle"/>
        <w:rPr>
          <w:rStyle w:val="InsertedText"/>
        </w:rPr>
      </w:pPr>
      <w:bookmarkStart w:id="9" w:name="_Toc377992100"/>
      <w:r w:rsidRPr="00072BBD">
        <w:rPr>
          <w:color w:val="0000FF"/>
          <w:u w:val="single"/>
        </w:rPr>
        <w:lastRenderedPageBreak/>
        <w:t xml:space="preserve">Rule </w:t>
      </w:r>
      <w:proofErr w:type="gramStart"/>
      <w:r w:rsidRPr="00072BBD">
        <w:rPr>
          <w:color w:val="0000FF"/>
          <w:u w:val="single"/>
        </w:rPr>
        <w:t>76</w:t>
      </w:r>
      <w:r w:rsidRPr="00072BBD">
        <w:rPr>
          <w:i/>
          <w:color w:val="0000FF"/>
          <w:u w:val="single"/>
        </w:rPr>
        <w:t>bis</w:t>
      </w:r>
      <w:r w:rsidRPr="00F55E4F">
        <w:rPr>
          <w:rStyle w:val="LegInsertedText"/>
        </w:rPr>
        <w:t xml:space="preserve">  </w:t>
      </w:r>
      <w:proofErr w:type="gramEnd"/>
      <w:r w:rsidRPr="00F55E4F">
        <w:rPr>
          <w:rStyle w:val="LegInsertedText"/>
        </w:rPr>
        <w:br/>
      </w:r>
      <w:r w:rsidRPr="00F55E4F">
        <w:rPr>
          <w:rStyle w:val="InsertedText"/>
        </w:rPr>
        <w:t>Response to Outstanding Objections Before the Elected Office</w:t>
      </w:r>
      <w:bookmarkEnd w:id="9"/>
    </w:p>
    <w:p w:rsidR="00E6419E" w:rsidRPr="00F55E4F" w:rsidRDefault="00E6419E" w:rsidP="00F55E4F">
      <w:pPr>
        <w:pStyle w:val="LegSubRule"/>
        <w:rPr>
          <w:rStyle w:val="LegInsertedText"/>
          <w:sz w:val="22"/>
          <w:szCs w:val="22"/>
        </w:rPr>
      </w:pPr>
      <w:bookmarkStart w:id="10" w:name="_Toc377992101"/>
      <w:r w:rsidRPr="00F55E4F">
        <w:rPr>
          <w:rStyle w:val="LegInsertedText"/>
          <w:sz w:val="22"/>
          <w:szCs w:val="22"/>
        </w:rPr>
        <w:t>Rule 76</w:t>
      </w:r>
      <w:r w:rsidRPr="00F55E4F">
        <w:rPr>
          <w:rStyle w:val="LegInsertedText"/>
          <w:i/>
          <w:sz w:val="22"/>
          <w:szCs w:val="22"/>
        </w:rPr>
        <w:t>bis</w:t>
      </w:r>
      <w:r w:rsidRPr="00F55E4F">
        <w:rPr>
          <w:rStyle w:val="LegInsertedText"/>
          <w:sz w:val="22"/>
          <w:szCs w:val="22"/>
        </w:rPr>
        <w:t>.1   Mandatory Response</w:t>
      </w:r>
      <w:bookmarkEnd w:id="10"/>
    </w:p>
    <w:p w:rsidR="00E6419E" w:rsidRPr="00F55E4F" w:rsidRDefault="00E6419E" w:rsidP="00E6419E">
      <w:pPr>
        <w:tabs>
          <w:tab w:val="left" w:pos="454"/>
        </w:tabs>
        <w:spacing w:before="240" w:line="480" w:lineRule="auto"/>
        <w:rPr>
          <w:rStyle w:val="LegInsertedText"/>
        </w:rPr>
      </w:pPr>
      <w:r w:rsidRPr="00F55E4F">
        <w:tab/>
      </w:r>
      <w:r w:rsidRPr="00F55E4F">
        <w:rPr>
          <w:rStyle w:val="LegInsertedText"/>
        </w:rPr>
        <w:t>(a)  If, at the time of submission of the requirements under Article 39 to the elected Office, the International Preliminary Examining Authority has issued a written opinion under Rule 66, or an international preliminary examination report under Rule 70, which contains negative statements under any of PCT Article 33 (2), (3), or (4), the applicant shall also be required to submit a response directed to overcoming the objections set forth in the opinion or report. Such a response must be in the form of:</w:t>
      </w:r>
    </w:p>
    <w:p w:rsidR="00E6419E" w:rsidRPr="00F55E4F" w:rsidRDefault="00E6419E" w:rsidP="00E6419E">
      <w:pPr>
        <w:tabs>
          <w:tab w:val="right" w:pos="1020"/>
          <w:tab w:val="left" w:pos="1191"/>
        </w:tabs>
        <w:spacing w:before="60" w:line="480" w:lineRule="auto"/>
        <w:rPr>
          <w:rStyle w:val="LegInsertedText"/>
        </w:rPr>
      </w:pPr>
      <w:r w:rsidRPr="00F55E4F">
        <w:tab/>
      </w:r>
      <w:r w:rsidRPr="00F55E4F">
        <w:rPr>
          <w:rStyle w:val="LegInsertedText"/>
        </w:rPr>
        <w:t>(</w:t>
      </w:r>
      <w:proofErr w:type="spellStart"/>
      <w:r w:rsidRPr="00F55E4F">
        <w:rPr>
          <w:rStyle w:val="LegInsertedText"/>
        </w:rPr>
        <w:t>i</w:t>
      </w:r>
      <w:proofErr w:type="spellEnd"/>
      <w:r w:rsidRPr="00F55E4F">
        <w:rPr>
          <w:rStyle w:val="LegInsertedText"/>
        </w:rPr>
        <w:t>)</w:t>
      </w:r>
      <w:r w:rsidRPr="00F55E4F">
        <w:rPr>
          <w:rStyle w:val="LegInsertedText"/>
        </w:rPr>
        <w:tab/>
      </w:r>
      <w:proofErr w:type="gramStart"/>
      <w:r w:rsidRPr="00F55E4F">
        <w:rPr>
          <w:rStyle w:val="LegInsertedText"/>
        </w:rPr>
        <w:t>an</w:t>
      </w:r>
      <w:proofErr w:type="gramEnd"/>
      <w:r w:rsidRPr="00F55E4F">
        <w:rPr>
          <w:rStyle w:val="LegInsertedText"/>
        </w:rPr>
        <w:t xml:space="preserve"> amendment to the claims which overcomes the objections, and/or</w:t>
      </w:r>
    </w:p>
    <w:p w:rsidR="00E6419E" w:rsidRPr="00F55E4F" w:rsidRDefault="00E6419E" w:rsidP="00E6419E">
      <w:pPr>
        <w:tabs>
          <w:tab w:val="right" w:pos="1020"/>
          <w:tab w:val="left" w:pos="1191"/>
        </w:tabs>
        <w:spacing w:before="60" w:line="480" w:lineRule="auto"/>
        <w:rPr>
          <w:rStyle w:val="LegInsertedText"/>
        </w:rPr>
      </w:pPr>
      <w:r w:rsidRPr="00F55E4F">
        <w:tab/>
      </w:r>
      <w:r w:rsidRPr="00F55E4F">
        <w:rPr>
          <w:rStyle w:val="LegInsertedText"/>
        </w:rPr>
        <w:t>(ii)</w:t>
      </w:r>
      <w:r w:rsidRPr="00F55E4F">
        <w:rPr>
          <w:rStyle w:val="LegInsertedText"/>
        </w:rPr>
        <w:tab/>
      </w:r>
      <w:proofErr w:type="gramStart"/>
      <w:r w:rsidRPr="00F55E4F">
        <w:rPr>
          <w:rStyle w:val="LegInsertedText"/>
        </w:rPr>
        <w:t>a</w:t>
      </w:r>
      <w:proofErr w:type="gramEnd"/>
      <w:r w:rsidRPr="00F55E4F">
        <w:rPr>
          <w:rStyle w:val="LegInsertedText"/>
        </w:rPr>
        <w:t xml:space="preserve"> substantive argument which distinctly sets forth the errors in the objections. </w:t>
      </w:r>
    </w:p>
    <w:p w:rsidR="00E6419E" w:rsidRPr="00F55E4F" w:rsidRDefault="00E6419E" w:rsidP="00E6419E">
      <w:pPr>
        <w:tabs>
          <w:tab w:val="left" w:pos="454"/>
        </w:tabs>
        <w:spacing w:before="240" w:line="480" w:lineRule="auto"/>
        <w:rPr>
          <w:rStyle w:val="LegInsertedText"/>
        </w:rPr>
      </w:pPr>
      <w:r w:rsidRPr="00F55E4F">
        <w:tab/>
        <w:t>(</w:t>
      </w:r>
      <w:r w:rsidRPr="00F55E4F">
        <w:rPr>
          <w:rStyle w:val="LegInsertedText"/>
        </w:rPr>
        <w:t xml:space="preserve">b)  Failure to submit a response under paragraph (a) may result in the imposing of an appropriate sanction as determined by the elected Office. </w:t>
      </w:r>
    </w:p>
    <w:p w:rsidR="00FD518A" w:rsidRPr="00F55E4F" w:rsidRDefault="00E6419E" w:rsidP="00F55E4F">
      <w:pPr>
        <w:spacing w:before="240" w:line="480" w:lineRule="auto"/>
        <w:rPr>
          <w:rStyle w:val="LegInsertedText"/>
        </w:rPr>
      </w:pPr>
      <w:r w:rsidRPr="00F55E4F">
        <w:tab/>
        <w:t>(</w:t>
      </w:r>
      <w:r w:rsidRPr="00F55E4F">
        <w:rPr>
          <w:rStyle w:val="LegInsertedText"/>
        </w:rPr>
        <w:t>c)  Where the applicant did not furnish a response under paragraph (a), prior to imposing any sanction provided for in paragraph (b)</w:t>
      </w:r>
      <w:r w:rsidR="00DA2372" w:rsidRPr="00F55E4F">
        <w:rPr>
          <w:rStyle w:val="LegInsertedText"/>
        </w:rPr>
        <w:t>,</w:t>
      </w:r>
      <w:r w:rsidRPr="00F55E4F">
        <w:rPr>
          <w:rStyle w:val="LegInsertedText"/>
        </w:rPr>
        <w:t xml:space="preserve"> the elected Office shall invite the applicant to furnish such response within a time limit which shall be reasonable under the circumstances and shall be fixed in the invitation.</w:t>
      </w:r>
    </w:p>
    <w:p w:rsidR="00FD518A" w:rsidRPr="00FD518A" w:rsidRDefault="00FD518A" w:rsidP="00DA2372">
      <w:pPr>
        <w:spacing w:line="480" w:lineRule="auto"/>
        <w:rPr>
          <w:rFonts w:eastAsia="MS Mincho"/>
          <w:lang w:eastAsia="ja-JP"/>
        </w:rPr>
      </w:pPr>
    </w:p>
    <w:p w:rsidR="0006398B" w:rsidRDefault="00FD518A" w:rsidP="00FD518A">
      <w:pPr>
        <w:ind w:left="5400"/>
      </w:pPr>
      <w:r w:rsidRPr="00FD518A">
        <w:rPr>
          <w:rFonts w:eastAsia="MS Mincho"/>
          <w:lang w:eastAsia="ja-JP"/>
        </w:rPr>
        <w:t>[End of Annex and of document]</w:t>
      </w:r>
    </w:p>
    <w:sectPr w:rsidR="0006398B" w:rsidSect="004A3D1B">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D90" w:rsidRDefault="00404D90">
      <w:r>
        <w:separator/>
      </w:r>
    </w:p>
  </w:endnote>
  <w:endnote w:type="continuationSeparator" w:id="0">
    <w:p w:rsidR="00404D90" w:rsidRDefault="00404D90" w:rsidP="003B38C1">
      <w:r>
        <w:separator/>
      </w:r>
    </w:p>
    <w:p w:rsidR="00404D90" w:rsidRPr="003B38C1" w:rsidRDefault="00404D90" w:rsidP="003B38C1">
      <w:pPr>
        <w:spacing w:after="60"/>
        <w:rPr>
          <w:sz w:val="17"/>
        </w:rPr>
      </w:pPr>
      <w:r>
        <w:rPr>
          <w:sz w:val="17"/>
        </w:rPr>
        <w:t>[Endnote continued from previous page]</w:t>
      </w:r>
    </w:p>
  </w:endnote>
  <w:endnote w:type="continuationNotice" w:id="1">
    <w:p w:rsidR="00404D90" w:rsidRPr="003B38C1" w:rsidRDefault="00404D9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D90" w:rsidRDefault="00404D90">
      <w:r>
        <w:separator/>
      </w:r>
    </w:p>
  </w:footnote>
  <w:footnote w:type="continuationSeparator" w:id="0">
    <w:p w:rsidR="00404D90" w:rsidRDefault="00404D90" w:rsidP="008B60B2">
      <w:r>
        <w:separator/>
      </w:r>
    </w:p>
    <w:p w:rsidR="00404D90" w:rsidRPr="00ED77FB" w:rsidRDefault="00404D90" w:rsidP="008B60B2">
      <w:pPr>
        <w:spacing w:after="60"/>
        <w:rPr>
          <w:sz w:val="17"/>
          <w:szCs w:val="17"/>
        </w:rPr>
      </w:pPr>
      <w:r w:rsidRPr="00ED77FB">
        <w:rPr>
          <w:sz w:val="17"/>
          <w:szCs w:val="17"/>
        </w:rPr>
        <w:t>[Footnote continued from previous page]</w:t>
      </w:r>
    </w:p>
  </w:footnote>
  <w:footnote w:type="continuationNotice" w:id="1">
    <w:p w:rsidR="00404D90" w:rsidRPr="00ED77FB" w:rsidRDefault="00404D90" w:rsidP="008B60B2">
      <w:pPr>
        <w:spacing w:before="60"/>
        <w:jc w:val="right"/>
        <w:rPr>
          <w:sz w:val="17"/>
          <w:szCs w:val="17"/>
        </w:rPr>
      </w:pPr>
      <w:r w:rsidRPr="00ED77FB">
        <w:rPr>
          <w:sz w:val="17"/>
          <w:szCs w:val="17"/>
        </w:rPr>
        <w:t>[Footnote continued on next page]</w:t>
      </w:r>
    </w:p>
  </w:footnote>
  <w:footnote w:id="2">
    <w:p w:rsidR="00E6419E" w:rsidRPr="00F55E4F" w:rsidRDefault="00E6419E" w:rsidP="00E6419E">
      <w:pPr>
        <w:pStyle w:val="FootnoteText"/>
        <w:rPr>
          <w:rFonts w:ascii="Arial" w:hAnsi="Arial" w:cs="Arial"/>
        </w:rPr>
      </w:pPr>
      <w:r>
        <w:rPr>
          <w:rStyle w:val="FootnoteReference"/>
        </w:rPr>
        <w:footnoteRef/>
      </w:r>
      <w:r>
        <w:t xml:space="preserve"> </w:t>
      </w:r>
      <w:r>
        <w:tab/>
      </w:r>
      <w:r w:rsidRPr="00F55E4F">
        <w:rPr>
          <w:rFonts w:ascii="Arial" w:hAnsi="Arial" w:cs="Arial"/>
          <w:sz w:val="18"/>
          <w:szCs w:val="18"/>
        </w:rPr>
        <w:t>Proposed additions and deletions are indicated, respectively, by underlining and striking through the text concerned.  Certain provisions that are not proposed to be amended may be included for ease of reference.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573" w:rsidRDefault="00FB0573" w:rsidP="00A9501E">
    <w:pPr>
      <w:jc w:val="right"/>
    </w:pPr>
    <w:r>
      <w:t>PCT/</w:t>
    </w:r>
    <w:r w:rsidR="00D06340">
      <w:t>MIA</w:t>
    </w:r>
    <w:r>
      <w:t>/</w:t>
    </w:r>
    <w:r w:rsidR="00D06340">
      <w:t>21</w:t>
    </w:r>
    <w:r>
      <w:t>/</w:t>
    </w:r>
    <w:r w:rsidR="006A03AB">
      <w:t>8</w:t>
    </w:r>
  </w:p>
  <w:p w:rsidR="00FB0573" w:rsidRDefault="00FB0573" w:rsidP="00477D6B">
    <w:pPr>
      <w:jc w:val="right"/>
    </w:pPr>
    <w:proofErr w:type="gramStart"/>
    <w:r>
      <w:t>page</w:t>
    </w:r>
    <w:proofErr w:type="gramEnd"/>
    <w:r>
      <w:t xml:space="preserve"> </w:t>
    </w:r>
    <w:r>
      <w:fldChar w:fldCharType="begin"/>
    </w:r>
    <w:r>
      <w:instrText xml:space="preserve"> PAGE  \* MERGEFORMAT </w:instrText>
    </w:r>
    <w:r>
      <w:fldChar w:fldCharType="separate"/>
    </w:r>
    <w:r w:rsidR="00CB6CC6">
      <w:rPr>
        <w:noProof/>
      </w:rPr>
      <w:t>5</w:t>
    </w:r>
    <w:r>
      <w:fldChar w:fldCharType="end"/>
    </w:r>
  </w:p>
  <w:p w:rsidR="00FB0573" w:rsidRDefault="00FB0573"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573" w:rsidRDefault="00FB0573" w:rsidP="00477D6B">
    <w:pPr>
      <w:jc w:val="right"/>
    </w:pPr>
    <w:bookmarkStart w:id="11" w:name="Code2"/>
    <w:bookmarkEnd w:id="11"/>
    <w:r>
      <w:t>PCT/</w:t>
    </w:r>
    <w:r w:rsidR="00435C51" w:rsidRPr="00435C51">
      <w:t xml:space="preserve"> MIA/21/</w:t>
    </w:r>
    <w:r w:rsidR="006A03AB">
      <w:t>8</w:t>
    </w:r>
  </w:p>
  <w:p w:rsidR="00FB0573" w:rsidRDefault="00435C51" w:rsidP="00477D6B">
    <w:pPr>
      <w:jc w:val="right"/>
    </w:pPr>
    <w:r>
      <w:t>A</w:t>
    </w:r>
    <w:r w:rsidR="006A03AB">
      <w:t>nnex</w:t>
    </w:r>
    <w:r>
      <w:t xml:space="preserve">, </w:t>
    </w:r>
    <w:r w:rsidR="00FB0573">
      <w:t xml:space="preserve">page </w:t>
    </w:r>
    <w:r w:rsidR="004A3D1B">
      <w:fldChar w:fldCharType="begin"/>
    </w:r>
    <w:r w:rsidR="004A3D1B">
      <w:instrText xml:space="preserve"> PAGE   \* MERGEFORMAT </w:instrText>
    </w:r>
    <w:r w:rsidR="004A3D1B">
      <w:fldChar w:fldCharType="separate"/>
    </w:r>
    <w:r w:rsidR="00CB6CC6">
      <w:rPr>
        <w:noProof/>
      </w:rPr>
      <w:t>3</w:t>
    </w:r>
    <w:r w:rsidR="004A3D1B">
      <w:rPr>
        <w:noProof/>
      </w:rPr>
      <w:fldChar w:fldCharType="end"/>
    </w:r>
  </w:p>
  <w:p w:rsidR="00FB0573" w:rsidRDefault="00FB0573"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573" w:rsidRPr="008246E0" w:rsidRDefault="00FB0573" w:rsidP="0006398B">
    <w:pPr>
      <w:jc w:val="right"/>
    </w:pPr>
    <w:r w:rsidRPr="008246E0">
      <w:t>PCT/</w:t>
    </w:r>
    <w:r w:rsidR="00435C51">
      <w:t>MIA/21/</w:t>
    </w:r>
    <w:r w:rsidR="006A03AB">
      <w:t>8</w:t>
    </w:r>
  </w:p>
  <w:p w:rsidR="00FB0573" w:rsidRDefault="00FB0573" w:rsidP="0006398B">
    <w:pPr>
      <w:jc w:val="right"/>
    </w:pPr>
    <w:r w:rsidRPr="008246E0">
      <w:t>ANNEX</w:t>
    </w:r>
    <w:r w:rsidR="00E6419E">
      <w:t xml:space="preserve"> </w:t>
    </w:r>
  </w:p>
  <w:p w:rsidR="00FB0573" w:rsidRPr="008246E0" w:rsidRDefault="00FB0573" w:rsidP="0006398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66223E4"/>
    <w:lvl w:ilvl="0">
      <w:start w:val="1"/>
      <w:numFmt w:val="decimal"/>
      <w:lvlText w:val="%1."/>
      <w:lvlJc w:val="left"/>
      <w:pPr>
        <w:tabs>
          <w:tab w:val="num" w:pos="1209"/>
        </w:tabs>
        <w:ind w:left="1209" w:hanging="360"/>
      </w:pPr>
    </w:lvl>
  </w:abstractNum>
  <w:abstractNum w:abstractNumId="1">
    <w:nsid w:val="FFFFFF7E"/>
    <w:multiLevelType w:val="singleLevel"/>
    <w:tmpl w:val="32D46310"/>
    <w:lvl w:ilvl="0">
      <w:start w:val="1"/>
      <w:numFmt w:val="decimal"/>
      <w:lvlText w:val="%1."/>
      <w:lvlJc w:val="left"/>
      <w:pPr>
        <w:tabs>
          <w:tab w:val="num" w:pos="926"/>
        </w:tabs>
        <w:ind w:left="926" w:hanging="360"/>
      </w:pPr>
    </w:lvl>
  </w:abstractNum>
  <w:abstractNum w:abstractNumId="2">
    <w:nsid w:val="FFFFFF7F"/>
    <w:multiLevelType w:val="singleLevel"/>
    <w:tmpl w:val="9BE08658"/>
    <w:lvl w:ilvl="0">
      <w:start w:val="1"/>
      <w:numFmt w:val="decimal"/>
      <w:lvlText w:val="%1."/>
      <w:lvlJc w:val="left"/>
      <w:pPr>
        <w:tabs>
          <w:tab w:val="num" w:pos="643"/>
        </w:tabs>
        <w:ind w:left="643" w:hanging="360"/>
      </w:pPr>
    </w:lvl>
  </w:abstractNum>
  <w:abstractNum w:abstractNumId="3">
    <w:nsid w:val="FFFFFF81"/>
    <w:multiLevelType w:val="singleLevel"/>
    <w:tmpl w:val="5FB2CD64"/>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334AF24A"/>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75C8FDAA"/>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2164524A"/>
    <w:lvl w:ilvl="0">
      <w:start w:val="1"/>
      <w:numFmt w:val="decimal"/>
      <w:lvlText w:val="%1."/>
      <w:lvlJc w:val="left"/>
      <w:pPr>
        <w:tabs>
          <w:tab w:val="num" w:pos="360"/>
        </w:tabs>
        <w:ind w:left="360" w:hanging="360"/>
      </w:pPr>
    </w:lvl>
  </w:abstractNum>
  <w:abstractNum w:abstractNumId="7">
    <w:nsid w:val="FFFFFF89"/>
    <w:multiLevelType w:val="singleLevel"/>
    <w:tmpl w:val="989C06D8"/>
    <w:lvl w:ilvl="0">
      <w:start w:val="1"/>
      <w:numFmt w:val="bullet"/>
      <w:lvlText w:val=""/>
      <w:lvlJc w:val="left"/>
      <w:pPr>
        <w:tabs>
          <w:tab w:val="num" w:pos="360"/>
        </w:tabs>
        <w:ind w:left="360" w:hanging="360"/>
      </w:pPr>
      <w:rPr>
        <w:rFonts w:ascii="Symbol" w:hAnsi="Symbol" w:hint="default"/>
      </w:rPr>
    </w:lvl>
  </w:abstractNum>
  <w:abstractNum w:abstractNumId="8">
    <w:nsid w:val="06CD29E3"/>
    <w:multiLevelType w:val="multilevel"/>
    <w:tmpl w:val="A8B84CA6"/>
    <w:lvl w:ilvl="0">
      <w:start w:val="1"/>
      <w:numFmt w:val="decimal"/>
      <w:lvlRestart w:val="0"/>
      <w:pStyle w:val="ONUME"/>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0B584F1C"/>
    <w:multiLevelType w:val="hybridMultilevel"/>
    <w:tmpl w:val="40E635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7D5000"/>
    <w:multiLevelType w:val="singleLevel"/>
    <w:tmpl w:val="0409000F"/>
    <w:lvl w:ilvl="0">
      <w:start w:val="1"/>
      <w:numFmt w:val="decimal"/>
      <w:lvlText w:val="%1."/>
      <w:lvlJc w:val="left"/>
      <w:pPr>
        <w:tabs>
          <w:tab w:val="num" w:pos="360"/>
        </w:tabs>
        <w:ind w:left="360" w:hanging="360"/>
      </w:pPr>
    </w:lvl>
  </w:abstractNum>
  <w:abstractNum w:abstractNumId="1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223160D1"/>
    <w:multiLevelType w:val="multilevel"/>
    <w:tmpl w:val="EE12DDDE"/>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54"/>
        </w:tabs>
        <w:ind w:left="1287"/>
      </w:pPr>
      <w:rPr>
        <w:rFonts w:cs="Times New Roman" w:hint="default"/>
      </w:rPr>
    </w:lvl>
    <w:lvl w:ilvl="2">
      <w:start w:val="1"/>
      <w:numFmt w:val="lowerRoman"/>
      <w:lvlText w:val="(%3)"/>
      <w:lvlJc w:val="left"/>
      <w:pPr>
        <w:tabs>
          <w:tab w:val="num" w:pos="2421"/>
        </w:tabs>
        <w:ind w:left="1854"/>
      </w:pPr>
      <w:rPr>
        <w:rFonts w:cs="Times New Roman" w:hint="default"/>
      </w:rPr>
    </w:lvl>
    <w:lvl w:ilvl="3">
      <w:start w:val="1"/>
      <w:numFmt w:val="bullet"/>
      <w:lvlText w:val=""/>
      <w:lvlJc w:val="left"/>
      <w:pPr>
        <w:tabs>
          <w:tab w:val="num" w:pos="2988"/>
        </w:tabs>
        <w:ind w:left="2421"/>
      </w:pPr>
      <w:rPr>
        <w:rFonts w:hint="default"/>
      </w:rPr>
    </w:lvl>
    <w:lvl w:ilvl="4">
      <w:start w:val="1"/>
      <w:numFmt w:val="bullet"/>
      <w:lvlText w:val=""/>
      <w:lvlJc w:val="left"/>
      <w:pPr>
        <w:tabs>
          <w:tab w:val="num" w:pos="3555"/>
        </w:tabs>
        <w:ind w:left="2988"/>
      </w:pPr>
      <w:rPr>
        <w:rFonts w:hint="default"/>
      </w:rPr>
    </w:lvl>
    <w:lvl w:ilvl="5">
      <w:start w:val="1"/>
      <w:numFmt w:val="bullet"/>
      <w:lvlText w:val=""/>
      <w:lvlJc w:val="left"/>
      <w:pPr>
        <w:tabs>
          <w:tab w:val="num" w:pos="4122"/>
        </w:tabs>
        <w:ind w:left="3555"/>
      </w:pPr>
      <w:rPr>
        <w:rFonts w:hint="default"/>
      </w:rPr>
    </w:lvl>
    <w:lvl w:ilvl="6">
      <w:start w:val="1"/>
      <w:numFmt w:val="bullet"/>
      <w:lvlText w:val=""/>
      <w:lvlJc w:val="left"/>
      <w:pPr>
        <w:tabs>
          <w:tab w:val="num" w:pos="4689"/>
        </w:tabs>
        <w:ind w:left="4122"/>
      </w:pPr>
      <w:rPr>
        <w:rFonts w:hint="default"/>
      </w:rPr>
    </w:lvl>
    <w:lvl w:ilvl="7">
      <w:start w:val="1"/>
      <w:numFmt w:val="bullet"/>
      <w:lvlText w:val=""/>
      <w:lvlJc w:val="left"/>
      <w:pPr>
        <w:tabs>
          <w:tab w:val="num" w:pos="5255"/>
        </w:tabs>
        <w:ind w:left="4689"/>
      </w:pPr>
      <w:rPr>
        <w:rFonts w:hint="default"/>
      </w:rPr>
    </w:lvl>
    <w:lvl w:ilvl="8">
      <w:start w:val="1"/>
      <w:numFmt w:val="bullet"/>
      <w:lvlText w:val=""/>
      <w:lvlJc w:val="left"/>
      <w:pPr>
        <w:tabs>
          <w:tab w:val="num" w:pos="5822"/>
        </w:tabs>
        <w:ind w:left="5255"/>
      </w:pPr>
      <w:rPr>
        <w:rFonts w:hint="default"/>
      </w:rPr>
    </w:lvl>
  </w:abstractNum>
  <w:abstractNum w:abstractNumId="13">
    <w:nsid w:val="37DE6D68"/>
    <w:multiLevelType w:val="hybridMultilevel"/>
    <w:tmpl w:val="038EB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5EE7DAE"/>
    <w:multiLevelType w:val="hybridMultilevel"/>
    <w:tmpl w:val="B25CFD4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51677A"/>
    <w:multiLevelType w:val="hybridMultilevel"/>
    <w:tmpl w:val="ED7EC4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8B1ACE"/>
    <w:multiLevelType w:val="hybridMultilevel"/>
    <w:tmpl w:val="EC8EAD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6C745B9A"/>
    <w:multiLevelType w:val="hybridMultilevel"/>
    <w:tmpl w:val="4F2A5864"/>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3F066A"/>
    <w:multiLevelType w:val="hybridMultilevel"/>
    <w:tmpl w:val="5C78D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3A1659"/>
    <w:multiLevelType w:val="hybridMultilevel"/>
    <w:tmpl w:val="09FEBF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4"/>
  </w:num>
  <w:num w:numId="3">
    <w:abstractNumId w:val="6"/>
  </w:num>
  <w:num w:numId="4">
    <w:abstractNumId w:val="16"/>
  </w:num>
  <w:num w:numId="5">
    <w:abstractNumId w:val="8"/>
  </w:num>
  <w:num w:numId="6">
    <w:abstractNumId w:val="11"/>
  </w:num>
  <w:num w:numId="7">
    <w:abstractNumId w:val="19"/>
  </w:num>
  <w:num w:numId="8">
    <w:abstractNumId w:val="7"/>
  </w:num>
  <w:num w:numId="9">
    <w:abstractNumId w:val="5"/>
  </w:num>
  <w:num w:numId="10">
    <w:abstractNumId w:val="4"/>
  </w:num>
  <w:num w:numId="11">
    <w:abstractNumId w:val="3"/>
  </w:num>
  <w:num w:numId="12">
    <w:abstractNumId w:val="16"/>
  </w:num>
  <w:num w:numId="13">
    <w:abstractNumId w:val="2"/>
  </w:num>
  <w:num w:numId="14">
    <w:abstractNumId w:val="1"/>
  </w:num>
  <w:num w:numId="15">
    <w:abstractNumId w:val="0"/>
  </w:num>
  <w:num w:numId="16">
    <w:abstractNumId w:val="8"/>
  </w:num>
  <w:num w:numId="17">
    <w:abstractNumId w:val="11"/>
  </w:num>
  <w:num w:numId="18">
    <w:abstractNumId w:val="16"/>
  </w:num>
  <w:num w:numId="19">
    <w:abstractNumId w:val="8"/>
  </w:num>
  <w:num w:numId="20">
    <w:abstractNumId w:val="11"/>
  </w:num>
  <w:num w:numId="21">
    <w:abstractNumId w:val="20"/>
  </w:num>
  <w:num w:numId="22">
    <w:abstractNumId w:val="21"/>
  </w:num>
  <w:num w:numId="23">
    <w:abstractNumId w:val="15"/>
  </w:num>
  <w:num w:numId="24">
    <w:abstractNumId w:val="18"/>
  </w:num>
  <w:num w:numId="25">
    <w:abstractNumId w:val="12"/>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3"/>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7B8"/>
    <w:rsid w:val="00024366"/>
    <w:rsid w:val="00043CAA"/>
    <w:rsid w:val="0006398B"/>
    <w:rsid w:val="00072BBD"/>
    <w:rsid w:val="00075432"/>
    <w:rsid w:val="0009233B"/>
    <w:rsid w:val="000968ED"/>
    <w:rsid w:val="000D411A"/>
    <w:rsid w:val="000F5E56"/>
    <w:rsid w:val="00104C84"/>
    <w:rsid w:val="001362EE"/>
    <w:rsid w:val="00157D64"/>
    <w:rsid w:val="001832A6"/>
    <w:rsid w:val="00194083"/>
    <w:rsid w:val="00197DFA"/>
    <w:rsid w:val="001D6AC3"/>
    <w:rsid w:val="001E38C0"/>
    <w:rsid w:val="001E5432"/>
    <w:rsid w:val="001E60A7"/>
    <w:rsid w:val="00200036"/>
    <w:rsid w:val="002173BA"/>
    <w:rsid w:val="0026255F"/>
    <w:rsid w:val="002634C4"/>
    <w:rsid w:val="00277D4A"/>
    <w:rsid w:val="002928D3"/>
    <w:rsid w:val="002A7BAC"/>
    <w:rsid w:val="002D7346"/>
    <w:rsid w:val="002E7EBB"/>
    <w:rsid w:val="002F1FE6"/>
    <w:rsid w:val="002F4E68"/>
    <w:rsid w:val="002F54BC"/>
    <w:rsid w:val="00304606"/>
    <w:rsid w:val="00312F7F"/>
    <w:rsid w:val="00326B6F"/>
    <w:rsid w:val="00357BF0"/>
    <w:rsid w:val="00361450"/>
    <w:rsid w:val="003673CF"/>
    <w:rsid w:val="003845C1"/>
    <w:rsid w:val="003A6F89"/>
    <w:rsid w:val="003B38C1"/>
    <w:rsid w:val="003C376F"/>
    <w:rsid w:val="003F19A1"/>
    <w:rsid w:val="00400645"/>
    <w:rsid w:val="00404D90"/>
    <w:rsid w:val="00423E3E"/>
    <w:rsid w:val="00425024"/>
    <w:rsid w:val="00427AF4"/>
    <w:rsid w:val="00435C51"/>
    <w:rsid w:val="004434E4"/>
    <w:rsid w:val="00451E52"/>
    <w:rsid w:val="004647DA"/>
    <w:rsid w:val="0047392F"/>
    <w:rsid w:val="00474062"/>
    <w:rsid w:val="00477D6B"/>
    <w:rsid w:val="004A3D1B"/>
    <w:rsid w:val="004A3FCC"/>
    <w:rsid w:val="004D4817"/>
    <w:rsid w:val="004E17B8"/>
    <w:rsid w:val="004E699C"/>
    <w:rsid w:val="004F0089"/>
    <w:rsid w:val="005019FF"/>
    <w:rsid w:val="005106E1"/>
    <w:rsid w:val="00513261"/>
    <w:rsid w:val="0053057A"/>
    <w:rsid w:val="005553C0"/>
    <w:rsid w:val="00560A29"/>
    <w:rsid w:val="005955E1"/>
    <w:rsid w:val="005A2546"/>
    <w:rsid w:val="005C6649"/>
    <w:rsid w:val="00605827"/>
    <w:rsid w:val="00613BF4"/>
    <w:rsid w:val="00617F76"/>
    <w:rsid w:val="00646050"/>
    <w:rsid w:val="006713CA"/>
    <w:rsid w:val="00676349"/>
    <w:rsid w:val="00676C5C"/>
    <w:rsid w:val="00686F03"/>
    <w:rsid w:val="006A03AB"/>
    <w:rsid w:val="006A304C"/>
    <w:rsid w:val="006C7E4D"/>
    <w:rsid w:val="00737D5C"/>
    <w:rsid w:val="0074480B"/>
    <w:rsid w:val="00746CEA"/>
    <w:rsid w:val="00786ABF"/>
    <w:rsid w:val="00787D7C"/>
    <w:rsid w:val="007D1613"/>
    <w:rsid w:val="007D341B"/>
    <w:rsid w:val="007D692C"/>
    <w:rsid w:val="007D7228"/>
    <w:rsid w:val="0080245A"/>
    <w:rsid w:val="00803071"/>
    <w:rsid w:val="008066B8"/>
    <w:rsid w:val="0081645F"/>
    <w:rsid w:val="00823A5B"/>
    <w:rsid w:val="00823D23"/>
    <w:rsid w:val="0083584F"/>
    <w:rsid w:val="00866DB2"/>
    <w:rsid w:val="00873FA9"/>
    <w:rsid w:val="0088054E"/>
    <w:rsid w:val="008B2CC1"/>
    <w:rsid w:val="008B60B2"/>
    <w:rsid w:val="008B6D26"/>
    <w:rsid w:val="008C4654"/>
    <w:rsid w:val="008C60CD"/>
    <w:rsid w:val="0090731E"/>
    <w:rsid w:val="00912505"/>
    <w:rsid w:val="00916EE2"/>
    <w:rsid w:val="00933601"/>
    <w:rsid w:val="009374D4"/>
    <w:rsid w:val="00961F3B"/>
    <w:rsid w:val="00966A22"/>
    <w:rsid w:val="0096722F"/>
    <w:rsid w:val="00980843"/>
    <w:rsid w:val="0098612A"/>
    <w:rsid w:val="00993DF7"/>
    <w:rsid w:val="009D7B9C"/>
    <w:rsid w:val="009E2791"/>
    <w:rsid w:val="009E3F6F"/>
    <w:rsid w:val="009F499F"/>
    <w:rsid w:val="00A00635"/>
    <w:rsid w:val="00A0784F"/>
    <w:rsid w:val="00A22571"/>
    <w:rsid w:val="00A2265D"/>
    <w:rsid w:val="00A42DAF"/>
    <w:rsid w:val="00A440C7"/>
    <w:rsid w:val="00A45BD8"/>
    <w:rsid w:val="00A6303A"/>
    <w:rsid w:val="00A81C3D"/>
    <w:rsid w:val="00A869B7"/>
    <w:rsid w:val="00A9501E"/>
    <w:rsid w:val="00AA7DFE"/>
    <w:rsid w:val="00AB5B4A"/>
    <w:rsid w:val="00AC205C"/>
    <w:rsid w:val="00AD404F"/>
    <w:rsid w:val="00AE62C7"/>
    <w:rsid w:val="00AE7F37"/>
    <w:rsid w:val="00AF0A6B"/>
    <w:rsid w:val="00AF568B"/>
    <w:rsid w:val="00B05A69"/>
    <w:rsid w:val="00B157BA"/>
    <w:rsid w:val="00B25500"/>
    <w:rsid w:val="00B30256"/>
    <w:rsid w:val="00B552E3"/>
    <w:rsid w:val="00B61E80"/>
    <w:rsid w:val="00B92695"/>
    <w:rsid w:val="00B9734B"/>
    <w:rsid w:val="00BC2554"/>
    <w:rsid w:val="00BC4326"/>
    <w:rsid w:val="00BE08AA"/>
    <w:rsid w:val="00C1193F"/>
    <w:rsid w:val="00C11BFE"/>
    <w:rsid w:val="00C12919"/>
    <w:rsid w:val="00C1299E"/>
    <w:rsid w:val="00C205EF"/>
    <w:rsid w:val="00C335FB"/>
    <w:rsid w:val="00C472A3"/>
    <w:rsid w:val="00C52E06"/>
    <w:rsid w:val="00C60973"/>
    <w:rsid w:val="00C92D91"/>
    <w:rsid w:val="00C95E99"/>
    <w:rsid w:val="00CB6CC6"/>
    <w:rsid w:val="00CE19ED"/>
    <w:rsid w:val="00CF537F"/>
    <w:rsid w:val="00D03BCB"/>
    <w:rsid w:val="00D06340"/>
    <w:rsid w:val="00D3064D"/>
    <w:rsid w:val="00D44BDC"/>
    <w:rsid w:val="00D44E7E"/>
    <w:rsid w:val="00D45252"/>
    <w:rsid w:val="00D467A8"/>
    <w:rsid w:val="00D701A6"/>
    <w:rsid w:val="00D71B4D"/>
    <w:rsid w:val="00D73499"/>
    <w:rsid w:val="00D93D55"/>
    <w:rsid w:val="00DA2372"/>
    <w:rsid w:val="00DA51C2"/>
    <w:rsid w:val="00DE33C8"/>
    <w:rsid w:val="00E04DD1"/>
    <w:rsid w:val="00E0610E"/>
    <w:rsid w:val="00E335FE"/>
    <w:rsid w:val="00E6419E"/>
    <w:rsid w:val="00E76F1F"/>
    <w:rsid w:val="00E831F3"/>
    <w:rsid w:val="00E84A76"/>
    <w:rsid w:val="00E85118"/>
    <w:rsid w:val="00E93714"/>
    <w:rsid w:val="00E93B47"/>
    <w:rsid w:val="00EA2FA7"/>
    <w:rsid w:val="00EC4E49"/>
    <w:rsid w:val="00ED72C8"/>
    <w:rsid w:val="00ED77FB"/>
    <w:rsid w:val="00EE45FA"/>
    <w:rsid w:val="00F03243"/>
    <w:rsid w:val="00F0581B"/>
    <w:rsid w:val="00F07F00"/>
    <w:rsid w:val="00F10338"/>
    <w:rsid w:val="00F10FFE"/>
    <w:rsid w:val="00F22B4C"/>
    <w:rsid w:val="00F55E4F"/>
    <w:rsid w:val="00F603AB"/>
    <w:rsid w:val="00F66152"/>
    <w:rsid w:val="00F85798"/>
    <w:rsid w:val="00FA42D5"/>
    <w:rsid w:val="00FB0573"/>
    <w:rsid w:val="00FC6B95"/>
    <w:rsid w:val="00FD4AFB"/>
    <w:rsid w:val="00FD518A"/>
    <w:rsid w:val="00FF0DCC"/>
    <w:rsid w:val="00FF322E"/>
    <w:rsid w:val="00FF3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4DD1"/>
    <w:rPr>
      <w:rFonts w:ascii="Arial" w:eastAsia="SimSun" w:hAnsi="Arial" w:cs="Arial"/>
      <w:sz w:val="22"/>
      <w:lang w:eastAsia="zh-CN"/>
    </w:rPr>
  </w:style>
  <w:style w:type="paragraph" w:styleId="Heading1">
    <w:name w:val="heading 1"/>
    <w:basedOn w:val="Normal"/>
    <w:next w:val="Normal"/>
    <w:link w:val="Heading1Char"/>
    <w:qFormat/>
    <w:rsid w:val="00E04DD1"/>
    <w:pPr>
      <w:keepNext/>
      <w:spacing w:before="240" w:after="60"/>
      <w:outlineLvl w:val="0"/>
    </w:pPr>
    <w:rPr>
      <w:b/>
      <w:bCs/>
      <w:caps/>
      <w:kern w:val="32"/>
      <w:szCs w:val="32"/>
    </w:rPr>
  </w:style>
  <w:style w:type="paragraph" w:styleId="Heading2">
    <w:name w:val="heading 2"/>
    <w:basedOn w:val="Normal"/>
    <w:next w:val="Normal"/>
    <w:qFormat/>
    <w:rsid w:val="00E04DD1"/>
    <w:pPr>
      <w:keepNext/>
      <w:spacing w:before="240" w:after="60"/>
      <w:outlineLvl w:val="1"/>
    </w:pPr>
    <w:rPr>
      <w:bCs/>
      <w:iCs/>
      <w:caps/>
      <w:szCs w:val="28"/>
    </w:rPr>
  </w:style>
  <w:style w:type="paragraph" w:styleId="Heading3">
    <w:name w:val="heading 3"/>
    <w:basedOn w:val="Normal"/>
    <w:next w:val="Normal"/>
    <w:qFormat/>
    <w:rsid w:val="00E04DD1"/>
    <w:pPr>
      <w:keepNext/>
      <w:spacing w:before="240" w:after="60"/>
      <w:outlineLvl w:val="2"/>
    </w:pPr>
    <w:rPr>
      <w:bCs/>
      <w:szCs w:val="26"/>
      <w:u w:val="single"/>
    </w:rPr>
  </w:style>
  <w:style w:type="paragraph" w:styleId="Heading4">
    <w:name w:val="heading 4"/>
    <w:basedOn w:val="Normal"/>
    <w:next w:val="Normal"/>
    <w:qFormat/>
    <w:rsid w:val="00E04DD1"/>
    <w:pPr>
      <w:keepNext/>
      <w:spacing w:before="240" w:after="60"/>
      <w:outlineLvl w:val="3"/>
    </w:pPr>
    <w:rPr>
      <w:bCs/>
      <w:i/>
      <w:szCs w:val="28"/>
    </w:rPr>
  </w:style>
  <w:style w:type="paragraph" w:styleId="Heading5">
    <w:name w:val="heading 5"/>
    <w:basedOn w:val="Normal"/>
    <w:next w:val="Normal"/>
    <w:qFormat/>
    <w:rsid w:val="002F54BC"/>
    <w:pPr>
      <w:outlineLvl w:val="4"/>
    </w:pPr>
  </w:style>
  <w:style w:type="paragraph" w:styleId="Heading6">
    <w:name w:val="heading 6"/>
    <w:basedOn w:val="Normal"/>
    <w:next w:val="Normal"/>
    <w:qFormat/>
    <w:rsid w:val="002F54BC"/>
    <w:pPr>
      <w:outlineLvl w:val="5"/>
    </w:pPr>
  </w:style>
  <w:style w:type="paragraph" w:styleId="Heading7">
    <w:name w:val="heading 7"/>
    <w:basedOn w:val="Normal"/>
    <w:next w:val="Normal"/>
    <w:qFormat/>
    <w:rsid w:val="002F54BC"/>
    <w:pPr>
      <w:keepNext/>
      <w:keepLines/>
      <w:spacing w:before="80" w:after="60"/>
      <w:outlineLvl w:val="6"/>
    </w:pPr>
    <w:rPr>
      <w:b/>
      <w:kern w:val="28"/>
    </w:rPr>
  </w:style>
  <w:style w:type="paragraph" w:styleId="Heading8">
    <w:name w:val="heading 8"/>
    <w:basedOn w:val="Normal"/>
    <w:next w:val="Normal"/>
    <w:qFormat/>
    <w:rsid w:val="002F54BC"/>
    <w:pPr>
      <w:keepNext/>
      <w:keepLines/>
      <w:spacing w:before="80" w:after="60"/>
      <w:outlineLvl w:val="7"/>
    </w:pPr>
    <w:rPr>
      <w:i/>
      <w:kern w:val="28"/>
    </w:rPr>
  </w:style>
  <w:style w:type="paragraph" w:styleId="Heading9">
    <w:name w:val="heading 9"/>
    <w:basedOn w:val="Normal"/>
    <w:next w:val="Normal"/>
    <w:qFormat/>
    <w:rsid w:val="002F54BC"/>
    <w:pPr>
      <w:spacing w:before="240" w:after="6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E04DD1"/>
    <w:pPr>
      <w:ind w:left="5534"/>
    </w:pPr>
  </w:style>
  <w:style w:type="paragraph" w:styleId="BodyText">
    <w:name w:val="Body Text"/>
    <w:basedOn w:val="Normal"/>
    <w:rsid w:val="00E04DD1"/>
    <w:pPr>
      <w:spacing w:after="220"/>
    </w:pPr>
  </w:style>
  <w:style w:type="paragraph" w:styleId="Caption">
    <w:name w:val="caption"/>
    <w:basedOn w:val="Normal"/>
    <w:next w:val="Normal"/>
    <w:qFormat/>
    <w:rsid w:val="00E04DD1"/>
    <w:rPr>
      <w:b/>
      <w:bCs/>
      <w:sz w:val="18"/>
    </w:rPr>
  </w:style>
  <w:style w:type="paragraph" w:styleId="CommentText">
    <w:name w:val="annotation text"/>
    <w:basedOn w:val="Normal"/>
    <w:semiHidden/>
    <w:rsid w:val="00E04DD1"/>
    <w:rPr>
      <w:sz w:val="18"/>
    </w:rPr>
  </w:style>
  <w:style w:type="paragraph" w:styleId="EndnoteText">
    <w:name w:val="endnote text"/>
    <w:basedOn w:val="Normal"/>
    <w:semiHidden/>
    <w:rsid w:val="00E04DD1"/>
    <w:rPr>
      <w:sz w:val="18"/>
    </w:rPr>
  </w:style>
  <w:style w:type="paragraph" w:styleId="Footer">
    <w:name w:val="footer"/>
    <w:basedOn w:val="Normal"/>
    <w:semiHidden/>
    <w:rsid w:val="00E04DD1"/>
    <w:pPr>
      <w:tabs>
        <w:tab w:val="center" w:pos="4320"/>
        <w:tab w:val="right" w:pos="8640"/>
      </w:tabs>
    </w:pPr>
  </w:style>
  <w:style w:type="paragraph" w:customStyle="1" w:styleId="DecisionInvitingPara">
    <w:name w:val="Decision Inviting Para."/>
    <w:basedOn w:val="Normal"/>
    <w:rsid w:val="00E04DD1"/>
    <w:pPr>
      <w:spacing w:after="120" w:line="260" w:lineRule="exact"/>
      <w:ind w:left="5534" w:hanging="567"/>
    </w:pPr>
    <w:rPr>
      <w:rFonts w:eastAsia="MS Mincho"/>
      <w:i/>
      <w:lang w:eastAsia="ja-JP"/>
    </w:rPr>
  </w:style>
  <w:style w:type="paragraph" w:styleId="ListNumber">
    <w:name w:val="List Number"/>
    <w:basedOn w:val="Normal"/>
    <w:semiHidden/>
    <w:rsid w:val="00E04DD1"/>
    <w:pPr>
      <w:numPr>
        <w:numId w:val="18"/>
      </w:numPr>
    </w:pPr>
  </w:style>
  <w:style w:type="paragraph" w:customStyle="1" w:styleId="ONUME">
    <w:name w:val="ONUM E"/>
    <w:basedOn w:val="BodyText"/>
    <w:link w:val="ONUMEChar"/>
    <w:rsid w:val="00E04DD1"/>
    <w:pPr>
      <w:numPr>
        <w:numId w:val="19"/>
      </w:numPr>
    </w:pPr>
  </w:style>
  <w:style w:type="character" w:customStyle="1" w:styleId="ONUMEChar">
    <w:name w:val="ONUM E Char"/>
    <w:link w:val="ONUME"/>
    <w:rsid w:val="0006398B"/>
    <w:rPr>
      <w:rFonts w:ascii="Arial" w:eastAsia="SimSun" w:hAnsi="Arial" w:cs="Arial"/>
      <w:sz w:val="22"/>
      <w:lang w:val="en-US" w:eastAsia="zh-CN" w:bidi="ar-SA"/>
    </w:rPr>
  </w:style>
  <w:style w:type="paragraph" w:customStyle="1" w:styleId="ONUMFS">
    <w:name w:val="ONUM FS"/>
    <w:basedOn w:val="BodyText"/>
    <w:rsid w:val="00E04DD1"/>
    <w:pPr>
      <w:numPr>
        <w:numId w:val="20"/>
      </w:numPr>
    </w:pPr>
  </w:style>
  <w:style w:type="paragraph" w:styleId="Salutation">
    <w:name w:val="Salutation"/>
    <w:basedOn w:val="Normal"/>
    <w:next w:val="Normal"/>
    <w:semiHidden/>
    <w:rsid w:val="00E04DD1"/>
  </w:style>
  <w:style w:type="paragraph" w:styleId="Signature">
    <w:name w:val="Signature"/>
    <w:basedOn w:val="Normal"/>
    <w:semiHidden/>
    <w:rsid w:val="00E04DD1"/>
    <w:pPr>
      <w:ind w:left="5250"/>
    </w:pPr>
  </w:style>
  <w:style w:type="paragraph" w:styleId="ListParagraph">
    <w:name w:val="List Paragraph"/>
    <w:basedOn w:val="Normal"/>
    <w:uiPriority w:val="34"/>
    <w:qFormat/>
    <w:rsid w:val="0006398B"/>
    <w:pPr>
      <w:ind w:left="720"/>
    </w:pPr>
    <w:rPr>
      <w:rFonts w:eastAsia="Arial" w:cs="Times New Roman"/>
      <w:sz w:val="24"/>
      <w:szCs w:val="24"/>
      <w:lang w:val="en-GB" w:eastAsia="en-US"/>
    </w:rPr>
  </w:style>
  <w:style w:type="character" w:styleId="FootnoteReference">
    <w:name w:val="footnote reference"/>
    <w:rsid w:val="00E04DD1"/>
    <w:rPr>
      <w:vertAlign w:val="superscript"/>
    </w:rPr>
  </w:style>
  <w:style w:type="paragraph" w:customStyle="1" w:styleId="EndofDocument">
    <w:name w:val="[End of Document]"/>
    <w:basedOn w:val="Normal"/>
    <w:semiHidden/>
    <w:rsid w:val="002F54BC"/>
    <w:pPr>
      <w:ind w:left="5534"/>
    </w:pPr>
  </w:style>
  <w:style w:type="paragraph" w:customStyle="1" w:styleId="Meetingtitle">
    <w:name w:val="Meeting title"/>
    <w:basedOn w:val="Normal"/>
    <w:next w:val="Normal"/>
    <w:rsid w:val="002F54BC"/>
    <w:pPr>
      <w:spacing w:after="360"/>
    </w:pPr>
    <w:rPr>
      <w:b/>
      <w:caps/>
      <w:sz w:val="28"/>
      <w:lang w:val="fr-FR"/>
    </w:rPr>
  </w:style>
  <w:style w:type="paragraph" w:styleId="BalloonText">
    <w:name w:val="Balloon Text"/>
    <w:basedOn w:val="Normal"/>
    <w:semiHidden/>
    <w:rsid w:val="00E04DD1"/>
    <w:rPr>
      <w:rFonts w:ascii="Tahoma" w:hAnsi="Tahoma" w:cs="Tahoma"/>
      <w:sz w:val="16"/>
      <w:szCs w:val="16"/>
    </w:rPr>
  </w:style>
  <w:style w:type="paragraph" w:customStyle="1" w:styleId="BodyTexta">
    <w:name w:val="Body Text (a)"/>
    <w:basedOn w:val="BodyText"/>
    <w:rsid w:val="002F54BC"/>
    <w:pPr>
      <w:ind w:left="2155"/>
    </w:pPr>
  </w:style>
  <w:style w:type="paragraph" w:styleId="BodyTextIndent">
    <w:name w:val="Body Text Indent"/>
    <w:basedOn w:val="Normal"/>
    <w:semiHidden/>
    <w:rsid w:val="002F54BC"/>
    <w:pPr>
      <w:ind w:left="567"/>
    </w:pPr>
  </w:style>
  <w:style w:type="paragraph" w:styleId="Closing">
    <w:name w:val="Closing"/>
    <w:basedOn w:val="Normal"/>
    <w:semiHidden/>
    <w:rsid w:val="002F54BC"/>
    <w:pPr>
      <w:ind w:left="4536"/>
      <w:jc w:val="center"/>
    </w:pPr>
  </w:style>
  <w:style w:type="paragraph" w:customStyle="1" w:styleId="Comment">
    <w:name w:val="Comment"/>
    <w:basedOn w:val="Normal"/>
    <w:rsid w:val="002F54BC"/>
    <w:pPr>
      <w:ind w:left="1021"/>
    </w:pPr>
    <w:rPr>
      <w:i/>
      <w:iCs/>
    </w:rPr>
  </w:style>
  <w:style w:type="character" w:styleId="CommentReference">
    <w:name w:val="annotation reference"/>
    <w:rsid w:val="002F54BC"/>
    <w:rPr>
      <w:sz w:val="16"/>
      <w:szCs w:val="16"/>
    </w:rPr>
  </w:style>
  <w:style w:type="paragraph" w:styleId="CommentSubject">
    <w:name w:val="annotation subject"/>
    <w:basedOn w:val="CommentText"/>
    <w:next w:val="CommentText"/>
    <w:rsid w:val="002F54BC"/>
    <w:rPr>
      <w:b/>
      <w:bCs/>
      <w:sz w:val="20"/>
    </w:rPr>
  </w:style>
  <w:style w:type="paragraph" w:customStyle="1" w:styleId="Committee">
    <w:name w:val="Committee"/>
    <w:basedOn w:val="Normal"/>
    <w:semiHidden/>
    <w:rsid w:val="002F54BC"/>
    <w:pPr>
      <w:spacing w:after="300"/>
      <w:jc w:val="center"/>
    </w:pPr>
    <w:rPr>
      <w:b/>
      <w:caps/>
      <w:kern w:val="28"/>
      <w:sz w:val="30"/>
    </w:rPr>
  </w:style>
  <w:style w:type="paragraph" w:customStyle="1" w:styleId="Default">
    <w:name w:val="Default"/>
    <w:rsid w:val="002F54BC"/>
    <w:pPr>
      <w:autoSpaceDE w:val="0"/>
      <w:autoSpaceDN w:val="0"/>
      <w:adjustRightInd w:val="0"/>
    </w:pPr>
    <w:rPr>
      <w:rFonts w:ascii="Arial" w:hAnsi="Arial" w:cs="Arial"/>
      <w:color w:val="000000"/>
      <w:sz w:val="24"/>
      <w:szCs w:val="24"/>
      <w:lang w:eastAsia="ja-JP"/>
    </w:rPr>
  </w:style>
  <w:style w:type="character" w:customStyle="1" w:styleId="DeletedText">
    <w:name w:val="Deleted Text"/>
    <w:rsid w:val="00E04DD1"/>
    <w:rPr>
      <w:strike/>
      <w:dstrike w:val="0"/>
      <w:color w:val="FF0000"/>
    </w:rPr>
  </w:style>
  <w:style w:type="paragraph" w:styleId="DocumentMap">
    <w:name w:val="Document Map"/>
    <w:basedOn w:val="Normal"/>
    <w:rsid w:val="002F54BC"/>
    <w:pPr>
      <w:shd w:val="clear" w:color="auto" w:fill="000080"/>
    </w:pPr>
    <w:rPr>
      <w:rFonts w:ascii="Tahoma" w:hAnsi="Tahoma" w:cs="Tahoma"/>
    </w:rPr>
  </w:style>
  <w:style w:type="paragraph" w:customStyle="1" w:styleId="Documenttitle">
    <w:name w:val="Document title"/>
    <w:basedOn w:val="Normal"/>
    <w:link w:val="DocumenttitleChar"/>
    <w:rsid w:val="002F54BC"/>
    <w:pPr>
      <w:spacing w:before="1200"/>
    </w:pPr>
    <w:rPr>
      <w:b/>
      <w:caps/>
    </w:rPr>
  </w:style>
  <w:style w:type="character" w:customStyle="1" w:styleId="DocumenttitleChar">
    <w:name w:val="Document title Char"/>
    <w:link w:val="Documenttitle"/>
    <w:rsid w:val="002F54BC"/>
    <w:rPr>
      <w:rFonts w:ascii="Arial" w:hAnsi="Arial" w:cs="Arial"/>
      <w:b/>
      <w:caps/>
      <w:sz w:val="22"/>
      <w:lang w:val="en-US" w:eastAsia="en-US" w:bidi="ar-SA"/>
    </w:rPr>
  </w:style>
  <w:style w:type="paragraph" w:customStyle="1" w:styleId="Endofdocument0">
    <w:name w:val="End of document"/>
    <w:basedOn w:val="Normal"/>
    <w:link w:val="EndofdocumentChar"/>
    <w:rsid w:val="002F54BC"/>
    <w:pPr>
      <w:spacing w:after="120"/>
      <w:ind w:left="5533"/>
    </w:pPr>
  </w:style>
  <w:style w:type="character" w:customStyle="1" w:styleId="EndofdocumentChar">
    <w:name w:val="End of document Char"/>
    <w:link w:val="Endofdocument0"/>
    <w:rsid w:val="002F54BC"/>
    <w:rPr>
      <w:rFonts w:ascii="Arial" w:hAnsi="Arial" w:cs="Arial"/>
      <w:sz w:val="22"/>
      <w:lang w:val="en-US" w:eastAsia="en-US" w:bidi="ar-SA"/>
    </w:rPr>
  </w:style>
  <w:style w:type="character" w:styleId="EndnoteReference">
    <w:name w:val="endnote reference"/>
    <w:semiHidden/>
    <w:rsid w:val="00E04DD1"/>
    <w:rPr>
      <w:vertAlign w:val="superscript"/>
    </w:rPr>
  </w:style>
  <w:style w:type="character" w:customStyle="1" w:styleId="field-content">
    <w:name w:val="field-content"/>
    <w:basedOn w:val="DefaultParagraphFont"/>
    <w:rsid w:val="002F54BC"/>
  </w:style>
  <w:style w:type="paragraph" w:customStyle="1" w:styleId="Figureholder">
    <w:name w:val="Figure holder"/>
    <w:basedOn w:val="Normal"/>
    <w:rsid w:val="002F54BC"/>
  </w:style>
  <w:style w:type="paragraph" w:customStyle="1" w:styleId="Figuretitle">
    <w:name w:val="Figure title"/>
    <w:basedOn w:val="Normal"/>
    <w:rsid w:val="002F54BC"/>
    <w:pPr>
      <w:keepNext/>
      <w:spacing w:before="60" w:after="60"/>
    </w:pPr>
    <w:rPr>
      <w:i/>
    </w:rPr>
  </w:style>
  <w:style w:type="character" w:styleId="Hyperlink">
    <w:name w:val="Hyperlink"/>
    <w:uiPriority w:val="99"/>
    <w:rsid w:val="00E04DD1"/>
    <w:rPr>
      <w:color w:val="000099"/>
      <w:u w:val="single"/>
    </w:rPr>
  </w:style>
  <w:style w:type="paragraph" w:styleId="Index1">
    <w:name w:val="index 1"/>
    <w:basedOn w:val="Normal"/>
    <w:next w:val="Normal"/>
    <w:autoRedefine/>
    <w:semiHidden/>
    <w:rsid w:val="002F54BC"/>
    <w:pPr>
      <w:ind w:left="200" w:hanging="200"/>
    </w:pPr>
  </w:style>
  <w:style w:type="paragraph" w:styleId="Index2">
    <w:name w:val="index 2"/>
    <w:basedOn w:val="Normal"/>
    <w:next w:val="Normal"/>
    <w:autoRedefine/>
    <w:rsid w:val="002F54BC"/>
    <w:pPr>
      <w:ind w:left="400" w:hanging="200"/>
    </w:pPr>
  </w:style>
  <w:style w:type="paragraph" w:styleId="Index3">
    <w:name w:val="index 3"/>
    <w:basedOn w:val="Normal"/>
    <w:next w:val="Normal"/>
    <w:autoRedefine/>
    <w:rsid w:val="002F54BC"/>
    <w:pPr>
      <w:ind w:left="600" w:hanging="200"/>
    </w:pPr>
  </w:style>
  <w:style w:type="paragraph" w:styleId="Index4">
    <w:name w:val="index 4"/>
    <w:basedOn w:val="Normal"/>
    <w:next w:val="Normal"/>
    <w:autoRedefine/>
    <w:rsid w:val="002F54BC"/>
    <w:pPr>
      <w:ind w:left="800" w:hanging="200"/>
    </w:pPr>
  </w:style>
  <w:style w:type="paragraph" w:styleId="Index5">
    <w:name w:val="index 5"/>
    <w:basedOn w:val="Normal"/>
    <w:next w:val="Normal"/>
    <w:autoRedefine/>
    <w:rsid w:val="002F54BC"/>
    <w:pPr>
      <w:ind w:left="1000" w:hanging="200"/>
    </w:pPr>
  </w:style>
  <w:style w:type="paragraph" w:styleId="Index6">
    <w:name w:val="index 6"/>
    <w:basedOn w:val="Normal"/>
    <w:next w:val="Normal"/>
    <w:autoRedefine/>
    <w:rsid w:val="002F54BC"/>
    <w:pPr>
      <w:ind w:left="1200" w:hanging="200"/>
    </w:pPr>
  </w:style>
  <w:style w:type="paragraph" w:styleId="Index7">
    <w:name w:val="index 7"/>
    <w:basedOn w:val="Normal"/>
    <w:next w:val="Normal"/>
    <w:autoRedefine/>
    <w:rsid w:val="002F54BC"/>
    <w:pPr>
      <w:ind w:left="1400" w:hanging="200"/>
    </w:pPr>
  </w:style>
  <w:style w:type="paragraph" w:styleId="Index8">
    <w:name w:val="index 8"/>
    <w:basedOn w:val="Normal"/>
    <w:next w:val="Normal"/>
    <w:autoRedefine/>
    <w:rsid w:val="002F54BC"/>
    <w:pPr>
      <w:ind w:left="1600" w:hanging="200"/>
    </w:pPr>
  </w:style>
  <w:style w:type="paragraph" w:styleId="Index9">
    <w:name w:val="index 9"/>
    <w:basedOn w:val="Normal"/>
    <w:next w:val="Normal"/>
    <w:autoRedefine/>
    <w:rsid w:val="002F54BC"/>
    <w:pPr>
      <w:ind w:left="1800" w:hanging="200"/>
    </w:pPr>
  </w:style>
  <w:style w:type="paragraph" w:styleId="IndexHeading">
    <w:name w:val="index heading"/>
    <w:basedOn w:val="Normal"/>
    <w:next w:val="Index1"/>
    <w:semiHidden/>
    <w:rsid w:val="002F54BC"/>
    <w:rPr>
      <w:rFonts w:eastAsia="MS Mincho"/>
      <w:b/>
      <w:sz w:val="24"/>
      <w:lang w:eastAsia="ja-JP"/>
    </w:rPr>
  </w:style>
  <w:style w:type="character" w:customStyle="1" w:styleId="InsertedText">
    <w:name w:val="Inserted Text"/>
    <w:rsid w:val="002F54BC"/>
    <w:rPr>
      <w:color w:val="0000FF"/>
      <w:u w:val="single"/>
    </w:rPr>
  </w:style>
  <w:style w:type="paragraph" w:customStyle="1" w:styleId="Language">
    <w:name w:val="Language"/>
    <w:basedOn w:val="Normal"/>
    <w:next w:val="Normal"/>
    <w:autoRedefine/>
    <w:rsid w:val="002F54BC"/>
    <w:pPr>
      <w:spacing w:line="340" w:lineRule="atLeast"/>
      <w:jc w:val="right"/>
    </w:pPr>
    <w:rPr>
      <w:b/>
      <w:caps/>
      <w:sz w:val="40"/>
      <w:lang w:val="pt-BR"/>
    </w:rPr>
  </w:style>
  <w:style w:type="paragraph" w:customStyle="1" w:styleId="LegBasic">
    <w:name w:val="Leg Basic"/>
    <w:rsid w:val="002F54BC"/>
    <w:pPr>
      <w:spacing w:line="480" w:lineRule="auto"/>
    </w:pPr>
    <w:rPr>
      <w:rFonts w:ascii="Arial" w:eastAsia="Arial Unicode MS" w:hAnsi="Arial"/>
      <w:snapToGrid w:val="0"/>
    </w:rPr>
  </w:style>
  <w:style w:type="paragraph" w:customStyle="1" w:styleId="LegTitle">
    <w:name w:val="Leg # Title"/>
    <w:basedOn w:val="Normal"/>
    <w:next w:val="Normal"/>
    <w:rsid w:val="00E04DD1"/>
    <w:pPr>
      <w:keepNext/>
      <w:keepLines/>
      <w:pageBreakBefore/>
      <w:spacing w:before="240" w:line="480" w:lineRule="auto"/>
      <w:jc w:val="center"/>
    </w:pPr>
    <w:rPr>
      <w:rFonts w:eastAsia="Arial Unicode MS" w:cs="Times New Roman"/>
      <w:b/>
      <w:snapToGrid w:val="0"/>
      <w:lang w:eastAsia="en-US"/>
    </w:rPr>
  </w:style>
  <w:style w:type="paragraph" w:customStyle="1" w:styleId="Leg1">
    <w:name w:val="Leg (1)"/>
    <w:basedOn w:val="Normal"/>
    <w:rsid w:val="002F54BC"/>
    <w:pPr>
      <w:tabs>
        <w:tab w:val="left" w:pos="397"/>
      </w:tabs>
      <w:spacing w:before="120"/>
      <w:jc w:val="both"/>
    </w:pPr>
    <w:rPr>
      <w:rFonts w:ascii="Times New Roman" w:hAnsi="Times New Roman"/>
      <w:sz w:val="28"/>
    </w:rPr>
  </w:style>
  <w:style w:type="paragraph" w:customStyle="1" w:styleId="Lega">
    <w:name w:val="Leg (a)"/>
    <w:basedOn w:val="Normal"/>
    <w:rsid w:val="00E04DD1"/>
    <w:pPr>
      <w:tabs>
        <w:tab w:val="left" w:pos="454"/>
      </w:tabs>
      <w:spacing w:before="240" w:after="240" w:line="480" w:lineRule="auto"/>
    </w:pPr>
    <w:rPr>
      <w:rFonts w:eastAsia="Arial Unicode MS" w:cs="Times New Roman"/>
      <w:snapToGrid w:val="0"/>
      <w:sz w:val="20"/>
      <w:lang w:eastAsia="en-US"/>
    </w:rPr>
  </w:style>
  <w:style w:type="paragraph" w:customStyle="1" w:styleId="Legacont">
    <w:name w:val="Leg (a) [cont]"/>
    <w:basedOn w:val="Lega"/>
    <w:next w:val="Lega"/>
    <w:rsid w:val="002F54BC"/>
    <w:pPr>
      <w:spacing w:before="60"/>
    </w:pPr>
  </w:style>
  <w:style w:type="paragraph" w:customStyle="1" w:styleId="Legi">
    <w:name w:val="Leg (i)"/>
    <w:basedOn w:val="Normal"/>
    <w:rsid w:val="00E04DD1"/>
    <w:pPr>
      <w:tabs>
        <w:tab w:val="right" w:pos="1020"/>
        <w:tab w:val="left" w:pos="1191"/>
      </w:tabs>
      <w:spacing w:before="60" w:after="240" w:line="480" w:lineRule="auto"/>
    </w:pPr>
    <w:rPr>
      <w:rFonts w:eastAsia="Arial Unicode MS" w:cs="Times New Roman"/>
      <w:snapToGrid w:val="0"/>
      <w:lang w:eastAsia="en-US"/>
    </w:rPr>
  </w:style>
  <w:style w:type="character" w:customStyle="1" w:styleId="LegBasicChar">
    <w:name w:val="Leg Basic Char"/>
    <w:rsid w:val="002F54BC"/>
    <w:rPr>
      <w:noProof w:val="0"/>
      <w:snapToGrid w:val="0"/>
      <w:sz w:val="20"/>
      <w:lang w:val="en-US" w:eastAsia="en-US" w:bidi="ar-SA"/>
    </w:rPr>
  </w:style>
  <w:style w:type="character" w:customStyle="1" w:styleId="LegiChar">
    <w:name w:val="Leg (i) Char"/>
    <w:basedOn w:val="LegBasicChar"/>
    <w:rsid w:val="002F54BC"/>
    <w:rPr>
      <w:noProof w:val="0"/>
      <w:snapToGrid w:val="0"/>
      <w:sz w:val="20"/>
      <w:lang w:val="en-US" w:eastAsia="en-US" w:bidi="ar-SA"/>
    </w:rPr>
  </w:style>
  <w:style w:type="paragraph" w:customStyle="1" w:styleId="Legiindent">
    <w:name w:val="Leg (i) indent"/>
    <w:basedOn w:val="Legi"/>
    <w:rsid w:val="002F54BC"/>
    <w:pPr>
      <w:ind w:left="1191" w:hanging="1191"/>
    </w:pPr>
  </w:style>
  <w:style w:type="character" w:customStyle="1" w:styleId="LegiindentChar">
    <w:name w:val="Leg (i) indent Char"/>
    <w:basedOn w:val="LegiChar"/>
    <w:rsid w:val="002F54BC"/>
    <w:rPr>
      <w:noProof w:val="0"/>
      <w:snapToGrid w:val="0"/>
      <w:sz w:val="20"/>
      <w:lang w:val="en-US" w:eastAsia="en-US" w:bidi="ar-SA"/>
    </w:rPr>
  </w:style>
  <w:style w:type="paragraph" w:customStyle="1" w:styleId="LegChPtTitle">
    <w:name w:val="Leg Ch/Pt # Title"/>
    <w:basedOn w:val="LegBasic"/>
    <w:rsid w:val="002F54BC"/>
    <w:pPr>
      <w:keepNext/>
      <w:keepLines/>
      <w:spacing w:before="480"/>
      <w:jc w:val="center"/>
    </w:pPr>
    <w:rPr>
      <w:caps/>
    </w:rPr>
  </w:style>
  <w:style w:type="paragraph" w:customStyle="1" w:styleId="LegComment">
    <w:name w:val="Leg Comment"/>
    <w:basedOn w:val="Normal"/>
    <w:rsid w:val="00E04DD1"/>
    <w:pPr>
      <w:spacing w:before="240" w:after="480" w:line="276" w:lineRule="auto"/>
    </w:pPr>
    <w:rPr>
      <w:rFonts w:eastAsia="Calibri"/>
      <w:szCs w:val="22"/>
    </w:rPr>
  </w:style>
  <w:style w:type="paragraph" w:customStyle="1" w:styleId="LegCont">
    <w:name w:val="Leg Cont"/>
    <w:basedOn w:val="LegBasic"/>
    <w:next w:val="Lega"/>
    <w:rsid w:val="002F54BC"/>
    <w:pPr>
      <w:keepNext/>
      <w:pageBreakBefore/>
      <w:spacing w:after="240"/>
      <w:jc w:val="center"/>
    </w:pPr>
    <w:rPr>
      <w:i/>
    </w:rPr>
  </w:style>
  <w:style w:type="paragraph" w:customStyle="1" w:styleId="LegFootnote">
    <w:name w:val="Leg Footnote"/>
    <w:basedOn w:val="LegBasic"/>
    <w:rsid w:val="002F54BC"/>
    <w:pPr>
      <w:tabs>
        <w:tab w:val="left" w:pos="425"/>
      </w:tabs>
      <w:spacing w:before="20"/>
    </w:pPr>
    <w:rPr>
      <w:sz w:val="18"/>
    </w:rPr>
  </w:style>
  <w:style w:type="paragraph" w:customStyle="1" w:styleId="Legfootnotea">
    <w:name w:val="Leg footnote (a)"/>
    <w:basedOn w:val="LegFootnote"/>
    <w:rsid w:val="002F54BC"/>
    <w:pPr>
      <w:ind w:left="454"/>
    </w:pPr>
  </w:style>
  <w:style w:type="paragraph" w:customStyle="1" w:styleId="Legfootnoteai">
    <w:name w:val="Leg footnote (a)(i)"/>
    <w:basedOn w:val="Legfootnotea"/>
    <w:rsid w:val="002F54BC"/>
    <w:pPr>
      <w:tabs>
        <w:tab w:val="right" w:pos="1247"/>
        <w:tab w:val="left" w:pos="1417"/>
      </w:tabs>
      <w:spacing w:before="23"/>
    </w:pPr>
  </w:style>
  <w:style w:type="paragraph" w:customStyle="1" w:styleId="Legfootnotetitle">
    <w:name w:val="Leg footnote title"/>
    <w:basedOn w:val="Legfootnotea"/>
    <w:rsid w:val="002F54BC"/>
    <w:pPr>
      <w:tabs>
        <w:tab w:val="left" w:pos="850"/>
      </w:tabs>
      <w:spacing w:before="45"/>
      <w:jc w:val="center"/>
    </w:pPr>
    <w:rPr>
      <w:b/>
    </w:rPr>
  </w:style>
  <w:style w:type="paragraph" w:customStyle="1" w:styleId="LegSubRule">
    <w:name w:val="Leg SubRule #"/>
    <w:basedOn w:val="Normal"/>
    <w:rsid w:val="00E04DD1"/>
    <w:pPr>
      <w:keepNext/>
      <w:keepLines/>
      <w:tabs>
        <w:tab w:val="left" w:pos="510"/>
      </w:tabs>
      <w:spacing w:before="480" w:line="480" w:lineRule="auto"/>
      <w:ind w:left="533" w:hanging="533"/>
    </w:pPr>
    <w:rPr>
      <w:rFonts w:eastAsia="Arial Unicode MS" w:cs="Times New Roman"/>
      <w:snapToGrid w:val="0"/>
      <w:sz w:val="20"/>
      <w:lang w:eastAsia="en-US"/>
    </w:rPr>
  </w:style>
  <w:style w:type="paragraph" w:customStyle="1" w:styleId="LegTOCHead">
    <w:name w:val="Leg TOC Head"/>
    <w:basedOn w:val="LegBasic"/>
    <w:rsid w:val="002F54BC"/>
    <w:pPr>
      <w:keepNext/>
      <w:keepLines/>
      <w:spacing w:before="120" w:after="60"/>
    </w:pPr>
    <w:rPr>
      <w:i/>
    </w:rPr>
  </w:style>
  <w:style w:type="paragraph" w:customStyle="1" w:styleId="LegTOCRule">
    <w:name w:val="Leg TOC Rule"/>
    <w:basedOn w:val="LegBasic"/>
    <w:rsid w:val="002F54BC"/>
    <w:pPr>
      <w:keepNext/>
      <w:keepLines/>
      <w:tabs>
        <w:tab w:val="left" w:pos="567"/>
        <w:tab w:val="left" w:pos="1361"/>
        <w:tab w:val="left" w:pos="2268"/>
      </w:tabs>
      <w:spacing w:before="60"/>
      <w:ind w:left="2268" w:hanging="2268"/>
    </w:pPr>
  </w:style>
  <w:style w:type="paragraph" w:customStyle="1" w:styleId="LegTOCSubRule">
    <w:name w:val="Leg TOC SubRule"/>
    <w:basedOn w:val="LegBasic"/>
    <w:rsid w:val="002F54BC"/>
    <w:pPr>
      <w:keepLines/>
      <w:tabs>
        <w:tab w:val="left" w:pos="1361"/>
        <w:tab w:val="left" w:pos="2608"/>
      </w:tabs>
      <w:ind w:left="2608" w:hanging="2608"/>
    </w:pPr>
  </w:style>
  <w:style w:type="character" w:customStyle="1" w:styleId="LegDeletedText">
    <w:name w:val="LegDeletedText"/>
    <w:rsid w:val="00E04DD1"/>
    <w:rPr>
      <w:strike/>
      <w:color w:val="FF0000"/>
    </w:rPr>
  </w:style>
  <w:style w:type="character" w:customStyle="1" w:styleId="LegInsertedText">
    <w:name w:val="LegInsertedText"/>
    <w:rsid w:val="00E04DD1"/>
    <w:rPr>
      <w:color w:val="0000FF"/>
      <w:u w:val="single"/>
    </w:rPr>
  </w:style>
  <w:style w:type="paragraph" w:styleId="List5">
    <w:name w:val="List 5"/>
    <w:basedOn w:val="Normal"/>
    <w:rsid w:val="002F54BC"/>
    <w:pPr>
      <w:ind w:left="1415" w:hanging="283"/>
    </w:pPr>
    <w:rPr>
      <w:rFonts w:ascii="Times New Roman" w:eastAsia="MS Mincho" w:hAnsi="Times New Roman"/>
      <w:sz w:val="24"/>
      <w:lang w:eastAsia="ja-JP"/>
    </w:rPr>
  </w:style>
  <w:style w:type="paragraph" w:styleId="ListBullet">
    <w:name w:val="List Bullet"/>
    <w:basedOn w:val="Normal"/>
    <w:autoRedefine/>
    <w:rsid w:val="002F54BC"/>
    <w:pPr>
      <w:tabs>
        <w:tab w:val="num" w:pos="360"/>
      </w:tabs>
      <w:ind w:left="360" w:hanging="360"/>
    </w:pPr>
    <w:rPr>
      <w:rFonts w:ascii="Times New Roman" w:eastAsia="MS Mincho" w:hAnsi="Times New Roman"/>
      <w:sz w:val="24"/>
      <w:lang w:eastAsia="ja-JP"/>
    </w:rPr>
  </w:style>
  <w:style w:type="paragraph" w:styleId="ListBullet2">
    <w:name w:val="List Bullet 2"/>
    <w:basedOn w:val="Normal"/>
    <w:autoRedefine/>
    <w:rsid w:val="002F54BC"/>
    <w:pPr>
      <w:tabs>
        <w:tab w:val="num" w:pos="643"/>
      </w:tabs>
      <w:ind w:left="643" w:hanging="360"/>
    </w:pPr>
    <w:rPr>
      <w:rFonts w:ascii="Times New Roman" w:eastAsia="MS Mincho" w:hAnsi="Times New Roman"/>
      <w:sz w:val="24"/>
      <w:lang w:eastAsia="ja-JP"/>
    </w:rPr>
  </w:style>
  <w:style w:type="paragraph" w:styleId="ListBullet3">
    <w:name w:val="List Bullet 3"/>
    <w:basedOn w:val="Normal"/>
    <w:autoRedefine/>
    <w:rsid w:val="002F54BC"/>
    <w:pPr>
      <w:tabs>
        <w:tab w:val="num" w:pos="926"/>
      </w:tabs>
      <w:ind w:left="926" w:hanging="360"/>
    </w:pPr>
    <w:rPr>
      <w:rFonts w:ascii="Times New Roman" w:eastAsia="MS Mincho" w:hAnsi="Times New Roman"/>
      <w:sz w:val="24"/>
      <w:lang w:eastAsia="ja-JP"/>
    </w:rPr>
  </w:style>
  <w:style w:type="paragraph" w:styleId="ListBullet4">
    <w:name w:val="List Bullet 4"/>
    <w:basedOn w:val="Normal"/>
    <w:autoRedefine/>
    <w:rsid w:val="002F54BC"/>
    <w:pPr>
      <w:tabs>
        <w:tab w:val="num" w:pos="1209"/>
      </w:tabs>
      <w:ind w:left="1209" w:hanging="360"/>
    </w:pPr>
    <w:rPr>
      <w:rFonts w:ascii="Times New Roman" w:eastAsia="MS Mincho" w:hAnsi="Times New Roman"/>
      <w:sz w:val="24"/>
      <w:lang w:eastAsia="ja-JP"/>
    </w:rPr>
  </w:style>
  <w:style w:type="paragraph" w:styleId="ListContinue5">
    <w:name w:val="List Continue 5"/>
    <w:basedOn w:val="Normal"/>
    <w:rsid w:val="002F54BC"/>
    <w:pPr>
      <w:ind w:left="1415"/>
    </w:pPr>
    <w:rPr>
      <w:rFonts w:ascii="Times New Roman" w:eastAsia="MS Mincho" w:hAnsi="Times New Roman"/>
      <w:sz w:val="24"/>
      <w:lang w:eastAsia="ja-JP"/>
    </w:rPr>
  </w:style>
  <w:style w:type="paragraph" w:styleId="ListNumber2">
    <w:name w:val="List Number 2"/>
    <w:basedOn w:val="Normal"/>
    <w:rsid w:val="002F54BC"/>
    <w:pPr>
      <w:tabs>
        <w:tab w:val="num" w:pos="643"/>
      </w:tabs>
      <w:ind w:left="643" w:hanging="360"/>
    </w:pPr>
    <w:rPr>
      <w:rFonts w:ascii="Times New Roman" w:eastAsia="MS Mincho" w:hAnsi="Times New Roman"/>
      <w:sz w:val="24"/>
      <w:lang w:eastAsia="ja-JP"/>
    </w:rPr>
  </w:style>
  <w:style w:type="paragraph" w:styleId="ListNumber3">
    <w:name w:val="List Number 3"/>
    <w:basedOn w:val="Normal"/>
    <w:rsid w:val="002F54BC"/>
    <w:pPr>
      <w:tabs>
        <w:tab w:val="num" w:pos="926"/>
      </w:tabs>
      <w:ind w:left="926" w:hanging="360"/>
    </w:pPr>
    <w:rPr>
      <w:rFonts w:ascii="Times New Roman" w:eastAsia="MS Mincho" w:hAnsi="Times New Roman"/>
      <w:sz w:val="24"/>
      <w:lang w:eastAsia="ja-JP"/>
    </w:rPr>
  </w:style>
  <w:style w:type="paragraph" w:styleId="ListNumber4">
    <w:name w:val="List Number 4"/>
    <w:basedOn w:val="Normal"/>
    <w:rsid w:val="002F54BC"/>
    <w:pPr>
      <w:tabs>
        <w:tab w:val="num" w:pos="1209"/>
      </w:tabs>
      <w:ind w:left="1209" w:hanging="360"/>
    </w:pPr>
    <w:rPr>
      <w:rFonts w:ascii="Times New Roman" w:eastAsia="MS Mincho" w:hAnsi="Times New Roman"/>
      <w:sz w:val="24"/>
      <w:lang w:eastAsia="ja-JP"/>
    </w:rPr>
  </w:style>
  <w:style w:type="paragraph" w:styleId="MacroText">
    <w:name w:val="macro"/>
    <w:semiHidden/>
    <w:rsid w:val="002F54B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MeetinglanguageDate">
    <w:name w:val="Meeting language &amp; Date"/>
    <w:basedOn w:val="Normal"/>
    <w:next w:val="Meetingtitle"/>
    <w:rsid w:val="002F54BC"/>
    <w:pPr>
      <w:spacing w:after="1680" w:line="160" w:lineRule="exact"/>
      <w:contextualSpacing/>
      <w:jc w:val="right"/>
    </w:pPr>
    <w:rPr>
      <w:rFonts w:ascii="Arial Black" w:hAnsi="Arial Black"/>
      <w:b/>
      <w:caps/>
      <w:sz w:val="15"/>
      <w:lang w:val="fr-FR"/>
    </w:rPr>
  </w:style>
  <w:style w:type="paragraph" w:customStyle="1" w:styleId="MeetingCode">
    <w:name w:val="Meeting Code"/>
    <w:basedOn w:val="MeetinglanguageDate"/>
    <w:rsid w:val="002F54BC"/>
    <w:pPr>
      <w:spacing w:before="300" w:after="0"/>
    </w:pPr>
  </w:style>
  <w:style w:type="paragraph" w:customStyle="1" w:styleId="Sessiontitle">
    <w:name w:val="Session title"/>
    <w:basedOn w:val="Meetingtitle"/>
    <w:next w:val="Normal"/>
    <w:rsid w:val="002F54BC"/>
    <w:pPr>
      <w:spacing w:after="0"/>
    </w:pPr>
    <w:rPr>
      <w:caps w:val="0"/>
    </w:rPr>
  </w:style>
  <w:style w:type="paragraph" w:customStyle="1" w:styleId="Meetingdateplace">
    <w:name w:val="Meeting date &amp; place"/>
    <w:basedOn w:val="Sessiontitle"/>
    <w:next w:val="Documenttitle"/>
    <w:rsid w:val="002F54BC"/>
    <w:rPr>
      <w:sz w:val="24"/>
      <w:lang w:val="en-US"/>
    </w:rPr>
  </w:style>
  <w:style w:type="paragraph" w:customStyle="1" w:styleId="Meetingplacedate">
    <w:name w:val="Meeting place &amp; date"/>
    <w:basedOn w:val="Sessiontitle"/>
    <w:next w:val="Documenttitle"/>
    <w:rsid w:val="002F54BC"/>
  </w:style>
  <w:style w:type="paragraph" w:customStyle="1" w:styleId="Normala">
    <w:name w:val="Normal (a)"/>
    <w:basedOn w:val="Normal"/>
    <w:link w:val="NormalaChar"/>
    <w:rsid w:val="002F54BC"/>
    <w:pPr>
      <w:ind w:left="2155"/>
    </w:pPr>
  </w:style>
  <w:style w:type="character" w:customStyle="1" w:styleId="NormalaChar">
    <w:name w:val="Normal (a) Char"/>
    <w:link w:val="Normala"/>
    <w:rsid w:val="002F54BC"/>
    <w:rPr>
      <w:rFonts w:ascii="Arial" w:hAnsi="Arial" w:cs="Arial"/>
      <w:sz w:val="22"/>
      <w:lang w:val="en-US" w:eastAsia="en-US" w:bidi="ar-SA"/>
    </w:rPr>
  </w:style>
  <w:style w:type="paragraph" w:customStyle="1" w:styleId="Normalai">
    <w:name w:val="Normal (a)(i)"/>
    <w:basedOn w:val="Normal"/>
    <w:rsid w:val="002F54BC"/>
    <w:pPr>
      <w:ind w:left="2722"/>
    </w:pPr>
    <w:rPr>
      <w:lang w:eastAsia="ja-JP"/>
    </w:rPr>
  </w:style>
  <w:style w:type="paragraph" w:styleId="NormalWeb">
    <w:name w:val="Normal (Web)"/>
    <w:basedOn w:val="Normal"/>
    <w:rsid w:val="002F54BC"/>
    <w:pPr>
      <w:spacing w:before="100" w:beforeAutospacing="1" w:after="100" w:afterAutospacing="1"/>
    </w:pPr>
    <w:rPr>
      <w:rFonts w:eastAsia="MS Mincho"/>
      <w:sz w:val="18"/>
      <w:szCs w:val="18"/>
      <w:lang w:eastAsia="ja-JP"/>
    </w:rPr>
  </w:style>
  <w:style w:type="paragraph" w:styleId="NormalIndent">
    <w:name w:val="Normal Indent"/>
    <w:basedOn w:val="Normal"/>
    <w:semiHidden/>
    <w:rsid w:val="002F54BC"/>
    <w:pPr>
      <w:ind w:left="567"/>
    </w:pPr>
  </w:style>
  <w:style w:type="paragraph" w:customStyle="1" w:styleId="Normal-Autofields">
    <w:name w:val="Normal-Autofields"/>
    <w:basedOn w:val="Normal"/>
    <w:rsid w:val="002F54BC"/>
  </w:style>
  <w:style w:type="paragraph" w:customStyle="1" w:styleId="Normal-Header">
    <w:name w:val="Normal-Header"/>
    <w:rsid w:val="002F54BC"/>
    <w:rPr>
      <w:rFonts w:ascii="Arial" w:hAnsi="Arial"/>
      <w:sz w:val="16"/>
    </w:rPr>
  </w:style>
  <w:style w:type="paragraph" w:customStyle="1" w:styleId="Organizer">
    <w:name w:val="Organizer"/>
    <w:basedOn w:val="Normal"/>
    <w:semiHidden/>
    <w:rsid w:val="002F54BC"/>
    <w:pPr>
      <w:spacing w:after="600"/>
      <w:ind w:left="-992" w:right="-992"/>
      <w:jc w:val="center"/>
    </w:pPr>
    <w:rPr>
      <w:b/>
      <w:caps/>
      <w:kern w:val="26"/>
      <w:sz w:val="26"/>
    </w:rPr>
  </w:style>
  <w:style w:type="character" w:styleId="PageNumber">
    <w:name w:val="page number"/>
    <w:basedOn w:val="DefaultParagraphFont"/>
    <w:rsid w:val="00E04DD1"/>
  </w:style>
  <w:style w:type="paragraph" w:customStyle="1" w:styleId="Para1">
    <w:name w:val="Para 1."/>
    <w:basedOn w:val="Normal"/>
    <w:rsid w:val="002F54BC"/>
    <w:rPr>
      <w:rFonts w:ascii="Times New Roman" w:hAnsi="Times New Roman"/>
      <w:sz w:val="24"/>
      <w:lang w:eastAsia="ja-JP"/>
    </w:rPr>
  </w:style>
  <w:style w:type="character" w:customStyle="1" w:styleId="patentscopemark1">
    <w:name w:val="patentscopemark1"/>
    <w:rsid w:val="002F54BC"/>
    <w:rPr>
      <w:caps/>
      <w:sz w:val="22"/>
      <w:szCs w:val="22"/>
    </w:rPr>
  </w:style>
  <w:style w:type="paragraph" w:customStyle="1" w:styleId="Session">
    <w:name w:val="Session"/>
    <w:basedOn w:val="Normal"/>
    <w:semiHidden/>
    <w:rsid w:val="002F54BC"/>
    <w:pPr>
      <w:spacing w:before="60"/>
      <w:jc w:val="center"/>
    </w:pPr>
    <w:rPr>
      <w:b/>
      <w:sz w:val="30"/>
    </w:rPr>
  </w:style>
  <w:style w:type="paragraph" w:customStyle="1" w:styleId="PlaceAndDate">
    <w:name w:val="PlaceAndDate"/>
    <w:basedOn w:val="Session"/>
    <w:semiHidden/>
    <w:rsid w:val="002F54BC"/>
  </w:style>
  <w:style w:type="paragraph" w:customStyle="1" w:styleId="preparedby">
    <w:name w:val="prepared by"/>
    <w:basedOn w:val="Normal"/>
    <w:next w:val="Normal"/>
    <w:rsid w:val="002F54BC"/>
    <w:pPr>
      <w:spacing w:after="480"/>
    </w:pPr>
    <w:rPr>
      <w:i/>
    </w:rPr>
  </w:style>
  <w:style w:type="paragraph" w:styleId="Quote">
    <w:name w:val="Quote"/>
    <w:basedOn w:val="Normal"/>
    <w:qFormat/>
    <w:rsid w:val="002F54BC"/>
    <w:pPr>
      <w:ind w:left="2155"/>
    </w:pPr>
  </w:style>
  <w:style w:type="paragraph" w:customStyle="1" w:styleId="Quotesub">
    <w:name w:val="Quote sub"/>
    <w:basedOn w:val="Normal"/>
    <w:rsid w:val="002F54BC"/>
    <w:pPr>
      <w:tabs>
        <w:tab w:val="left" w:pos="567"/>
        <w:tab w:val="left" w:pos="1134"/>
      </w:tabs>
      <w:ind w:left="2722"/>
    </w:pPr>
  </w:style>
  <w:style w:type="paragraph" w:customStyle="1" w:styleId="RComment">
    <w:name w:val="RComment"/>
    <w:basedOn w:val="Normal"/>
    <w:next w:val="Normal"/>
    <w:link w:val="RCommentChar"/>
    <w:rsid w:val="002F54BC"/>
    <w:pPr>
      <w:tabs>
        <w:tab w:val="left" w:pos="567"/>
      </w:tabs>
      <w:spacing w:after="600"/>
    </w:pPr>
    <w:rPr>
      <w:rFonts w:ascii="Times New Roman" w:hAnsi="Times New Roman"/>
      <w:sz w:val="24"/>
      <w:lang w:eastAsia="ja-JP"/>
    </w:rPr>
  </w:style>
  <w:style w:type="character" w:customStyle="1" w:styleId="RCommentChar">
    <w:name w:val="RComment Char"/>
    <w:link w:val="RComment"/>
    <w:rsid w:val="002F54BC"/>
    <w:rPr>
      <w:rFonts w:cs="Arial"/>
      <w:sz w:val="24"/>
      <w:lang w:val="en-US" w:eastAsia="ja-JP" w:bidi="ar-SA"/>
    </w:rPr>
  </w:style>
  <w:style w:type="paragraph" w:customStyle="1" w:styleId="RContinued">
    <w:name w:val="RContinued"/>
    <w:basedOn w:val="Normal"/>
    <w:next w:val="Normal"/>
    <w:rsid w:val="00E04DD1"/>
    <w:pPr>
      <w:pageBreakBefore/>
      <w:tabs>
        <w:tab w:val="left" w:pos="567"/>
      </w:tabs>
      <w:spacing w:after="360" w:line="480" w:lineRule="auto"/>
      <w:jc w:val="center"/>
    </w:pPr>
    <w:rPr>
      <w:rFonts w:ascii="Times New Roman" w:eastAsia="Times New Roman" w:hAnsi="Times New Roman"/>
      <w:i/>
      <w:sz w:val="24"/>
      <w:lang w:eastAsia="ja-JP"/>
    </w:rPr>
  </w:style>
  <w:style w:type="character" w:customStyle="1" w:styleId="RDeletedText">
    <w:name w:val="RDeletedText"/>
    <w:rsid w:val="002F54BC"/>
    <w:rPr>
      <w:strike/>
      <w:color w:val="FF0000"/>
    </w:rPr>
  </w:style>
  <w:style w:type="character" w:customStyle="1" w:styleId="RInsertedText">
    <w:name w:val="RInsertedText"/>
    <w:rsid w:val="002F54BC"/>
    <w:rPr>
      <w:color w:val="0000FF"/>
      <w:u w:val="single"/>
    </w:rPr>
  </w:style>
  <w:style w:type="character" w:customStyle="1" w:styleId="RItalic">
    <w:name w:val="RItalic"/>
    <w:rsid w:val="002F54BC"/>
    <w:rPr>
      <w:i/>
    </w:rPr>
  </w:style>
  <w:style w:type="paragraph" w:customStyle="1" w:styleId="RNoMain">
    <w:name w:val="RNo.(Main)"/>
    <w:basedOn w:val="Normal"/>
    <w:next w:val="Normal"/>
    <w:link w:val="RNoMainChar"/>
    <w:rsid w:val="002F54BC"/>
    <w:pPr>
      <w:keepNext/>
      <w:pageBreakBefore/>
      <w:tabs>
        <w:tab w:val="left" w:pos="57"/>
      </w:tabs>
      <w:spacing w:after="600" w:line="480" w:lineRule="auto"/>
      <w:jc w:val="center"/>
    </w:pPr>
    <w:rPr>
      <w:b/>
      <w:lang w:val="fr-FR" w:eastAsia="ja-JP"/>
    </w:rPr>
  </w:style>
  <w:style w:type="character" w:customStyle="1" w:styleId="RNoMainChar">
    <w:name w:val="RNo.(Main) Char"/>
    <w:link w:val="RNoMain"/>
    <w:rsid w:val="002F54BC"/>
    <w:rPr>
      <w:rFonts w:ascii="Arial" w:hAnsi="Arial" w:cs="Arial"/>
      <w:b/>
      <w:sz w:val="22"/>
      <w:lang w:val="fr-FR" w:eastAsia="ja-JP" w:bidi="ar-SA"/>
    </w:rPr>
  </w:style>
  <w:style w:type="paragraph" w:customStyle="1" w:styleId="RPara">
    <w:name w:val="RPar(a)"/>
    <w:basedOn w:val="Normal"/>
    <w:link w:val="RParaChar"/>
    <w:rsid w:val="002F54BC"/>
    <w:pPr>
      <w:tabs>
        <w:tab w:val="left" w:pos="567"/>
      </w:tabs>
      <w:spacing w:after="360" w:line="480" w:lineRule="auto"/>
    </w:pPr>
    <w:rPr>
      <w:rFonts w:ascii="Times New Roman" w:hAnsi="Times New Roman"/>
      <w:sz w:val="24"/>
      <w:lang w:eastAsia="ja-JP"/>
    </w:rPr>
  </w:style>
  <w:style w:type="character" w:customStyle="1" w:styleId="RParaChar">
    <w:name w:val="RPar(a) Char"/>
    <w:link w:val="RPara"/>
    <w:rsid w:val="002F54BC"/>
    <w:rPr>
      <w:rFonts w:cs="Arial"/>
      <w:sz w:val="24"/>
      <w:lang w:val="en-US" w:eastAsia="ja-JP" w:bidi="ar-SA"/>
    </w:rPr>
  </w:style>
  <w:style w:type="paragraph" w:customStyle="1" w:styleId="RPari">
    <w:name w:val="RPar(i)"/>
    <w:basedOn w:val="Normal"/>
    <w:link w:val="RPariChar"/>
    <w:rsid w:val="00E04DD1"/>
    <w:pPr>
      <w:tabs>
        <w:tab w:val="right" w:pos="1276"/>
        <w:tab w:val="left" w:pos="1418"/>
      </w:tabs>
      <w:spacing w:after="600" w:line="480" w:lineRule="auto"/>
    </w:pPr>
    <w:rPr>
      <w:rFonts w:eastAsia="Times New Roman" w:cs="Times New Roman"/>
      <w:sz w:val="20"/>
      <w:lang w:eastAsia="en-US"/>
    </w:rPr>
  </w:style>
  <w:style w:type="character" w:customStyle="1" w:styleId="RPariChar">
    <w:name w:val="RPar(i) Char"/>
    <w:link w:val="RPari"/>
    <w:rsid w:val="00E04DD1"/>
    <w:rPr>
      <w:rFonts w:ascii="Arial" w:hAnsi="Arial"/>
      <w:lang w:val="en-US" w:eastAsia="en-US" w:bidi="ar-SA"/>
    </w:rPr>
  </w:style>
  <w:style w:type="paragraph" w:customStyle="1" w:styleId="RPariIndent">
    <w:name w:val="RPar(i)Indent"/>
    <w:basedOn w:val="RPari"/>
    <w:rsid w:val="002F54BC"/>
    <w:pPr>
      <w:ind w:left="1418" w:hanging="1418"/>
    </w:pPr>
  </w:style>
  <w:style w:type="paragraph" w:customStyle="1" w:styleId="RTitleSub">
    <w:name w:val="RTitle(Sub)"/>
    <w:basedOn w:val="Normal"/>
    <w:next w:val="RPara"/>
    <w:rsid w:val="002F54BC"/>
    <w:pPr>
      <w:keepNext/>
      <w:tabs>
        <w:tab w:val="left" w:pos="567"/>
      </w:tabs>
      <w:spacing w:after="360" w:line="480" w:lineRule="auto"/>
    </w:pPr>
    <w:rPr>
      <w:rFonts w:ascii="Times New Roman" w:hAnsi="Times New Roman"/>
      <w:sz w:val="24"/>
      <w:lang w:eastAsia="ja-JP"/>
    </w:rPr>
  </w:style>
  <w:style w:type="paragraph" w:customStyle="1" w:styleId="Signaturealigned">
    <w:name w:val="Signature_aligned"/>
    <w:basedOn w:val="Normal"/>
    <w:rsid w:val="002F54BC"/>
    <w:pPr>
      <w:ind w:left="5534"/>
    </w:pPr>
  </w:style>
  <w:style w:type="table" w:styleId="TableGrid">
    <w:name w:val="Table Grid"/>
    <w:basedOn w:val="TableNormal"/>
    <w:rsid w:val="002F54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e">
    <w:name w:val="Table note"/>
    <w:basedOn w:val="Normal"/>
    <w:rsid w:val="002F54BC"/>
    <w:pPr>
      <w:keepNext/>
      <w:keepLines/>
      <w:autoSpaceDE w:val="0"/>
      <w:autoSpaceDN w:val="0"/>
      <w:adjustRightInd w:val="0"/>
    </w:pPr>
    <w:rPr>
      <w:sz w:val="14"/>
      <w:szCs w:val="14"/>
    </w:rPr>
  </w:style>
  <w:style w:type="paragraph" w:styleId="TableofAuthorities">
    <w:name w:val="table of authorities"/>
    <w:basedOn w:val="Normal"/>
    <w:next w:val="Normal"/>
    <w:rsid w:val="002F54BC"/>
    <w:pPr>
      <w:ind w:left="200" w:hanging="200"/>
    </w:pPr>
  </w:style>
  <w:style w:type="paragraph" w:styleId="TableofFigures">
    <w:name w:val="table of figures"/>
    <w:basedOn w:val="Normal"/>
    <w:next w:val="Normal"/>
    <w:rsid w:val="002F54BC"/>
  </w:style>
  <w:style w:type="paragraph" w:customStyle="1" w:styleId="Tabletext">
    <w:name w:val="Table text"/>
    <w:basedOn w:val="Normal"/>
    <w:rsid w:val="002F54BC"/>
    <w:pPr>
      <w:keepNext/>
      <w:keepLines/>
    </w:pPr>
    <w:rPr>
      <w:snapToGrid w:val="0"/>
      <w:sz w:val="16"/>
      <w:szCs w:val="16"/>
    </w:rPr>
  </w:style>
  <w:style w:type="paragraph" w:customStyle="1" w:styleId="TESTintellectualproperty">
    <w:name w:val="TESTintellectualproperty"/>
    <w:basedOn w:val="Normal"/>
    <w:link w:val="TESTintellectualpropertyChar"/>
    <w:semiHidden/>
    <w:rsid w:val="002F54BC"/>
    <w:pPr>
      <w:ind w:left="4848"/>
    </w:pPr>
    <w:rPr>
      <w:caps/>
      <w:sz w:val="16"/>
    </w:rPr>
  </w:style>
  <w:style w:type="character" w:customStyle="1" w:styleId="TESTintellectualpropertyChar">
    <w:name w:val="TESTintellectualproperty Char"/>
    <w:link w:val="TESTintellectualproperty"/>
    <w:rsid w:val="002F54BC"/>
    <w:rPr>
      <w:rFonts w:ascii="Arial" w:hAnsi="Arial" w:cs="Arial"/>
      <w:caps/>
      <w:sz w:val="16"/>
      <w:lang w:val="en-US" w:eastAsia="en-US" w:bidi="ar-SA"/>
    </w:rPr>
  </w:style>
  <w:style w:type="paragraph" w:customStyle="1" w:styleId="TESTIintellectual">
    <w:name w:val="TEST I intellectual"/>
    <w:basedOn w:val="TESTintellectualproperty"/>
    <w:link w:val="TESTIintellectualChar"/>
    <w:semiHidden/>
    <w:rsid w:val="002F54BC"/>
    <w:rPr>
      <w:rFonts w:ascii="Arial Black" w:hAnsi="Arial Black"/>
    </w:rPr>
  </w:style>
  <w:style w:type="character" w:customStyle="1" w:styleId="TESTIintellectualChar">
    <w:name w:val="TEST I intellectual Char"/>
    <w:link w:val="TESTIintellectual"/>
    <w:rsid w:val="002F54BC"/>
    <w:rPr>
      <w:rFonts w:ascii="Arial Black" w:hAnsi="Arial Black" w:cs="Arial"/>
      <w:caps/>
      <w:sz w:val="16"/>
      <w:lang w:val="en-US" w:eastAsia="en-US" w:bidi="ar-SA"/>
    </w:rPr>
  </w:style>
  <w:style w:type="paragraph" w:customStyle="1" w:styleId="TESTorganisation">
    <w:name w:val="TESTorganisation"/>
    <w:basedOn w:val="TESTintellectualproperty"/>
    <w:next w:val="MeetingCode"/>
    <w:link w:val="TESTorganisationChar"/>
    <w:semiHidden/>
    <w:rsid w:val="002F54BC"/>
  </w:style>
  <w:style w:type="character" w:customStyle="1" w:styleId="TESTorganisationChar">
    <w:name w:val="TESTorganisation Char"/>
    <w:basedOn w:val="TESTintellectualpropertyChar"/>
    <w:link w:val="TESTorganisation"/>
    <w:rsid w:val="002F54BC"/>
    <w:rPr>
      <w:rFonts w:ascii="Arial" w:hAnsi="Arial" w:cs="Arial"/>
      <w:caps/>
      <w:sz w:val="16"/>
      <w:lang w:val="en-US" w:eastAsia="en-US" w:bidi="ar-SA"/>
    </w:rPr>
  </w:style>
  <w:style w:type="paragraph" w:customStyle="1" w:styleId="TESTIorganisation">
    <w:name w:val="TEST I organisation"/>
    <w:basedOn w:val="TESTorganisation"/>
    <w:link w:val="TESTIorganisationChar"/>
    <w:semiHidden/>
    <w:rsid w:val="002F54BC"/>
    <w:rPr>
      <w:b/>
    </w:rPr>
  </w:style>
  <w:style w:type="character" w:customStyle="1" w:styleId="TESTIorganisationChar">
    <w:name w:val="TEST I organisation Char"/>
    <w:link w:val="TESTIorganisation"/>
    <w:rsid w:val="002F54BC"/>
    <w:rPr>
      <w:rFonts w:ascii="Arial" w:hAnsi="Arial" w:cs="Arial"/>
      <w:b/>
      <w:caps/>
      <w:sz w:val="16"/>
      <w:lang w:val="en-US" w:eastAsia="en-US" w:bidi="ar-SA"/>
    </w:rPr>
  </w:style>
  <w:style w:type="paragraph" w:customStyle="1" w:styleId="TESTwiposouslogo">
    <w:name w:val="TESTwiposouslogo"/>
    <w:basedOn w:val="Normal"/>
    <w:link w:val="TESTwiposouslogoChar"/>
    <w:semiHidden/>
    <w:rsid w:val="002F54BC"/>
    <w:pPr>
      <w:spacing w:line="0" w:lineRule="atLeast"/>
      <w:ind w:right="4933"/>
      <w:jc w:val="right"/>
    </w:pPr>
    <w:rPr>
      <w:b/>
      <w:w w:val="150"/>
      <w:sz w:val="24"/>
      <w:lang w:val="fr-FR"/>
    </w:rPr>
  </w:style>
  <w:style w:type="character" w:customStyle="1" w:styleId="TESTwiposouslogoChar">
    <w:name w:val="TESTwiposouslogo Char"/>
    <w:link w:val="TESTwiposouslogo"/>
    <w:rsid w:val="002F54BC"/>
    <w:rPr>
      <w:rFonts w:ascii="Arial" w:hAnsi="Arial" w:cs="Arial"/>
      <w:b/>
      <w:w w:val="150"/>
      <w:sz w:val="24"/>
      <w:lang w:val="fr-FR" w:eastAsia="en-US" w:bidi="ar-SA"/>
    </w:rPr>
  </w:style>
  <w:style w:type="paragraph" w:customStyle="1" w:styleId="TestIWIPO">
    <w:name w:val="Test I WIPO"/>
    <w:basedOn w:val="TESTwiposouslogo"/>
    <w:link w:val="TestIWIPOChar"/>
    <w:semiHidden/>
    <w:rsid w:val="002F54BC"/>
    <w:pPr>
      <w:ind w:right="4763"/>
    </w:pPr>
    <w:rPr>
      <w:sz w:val="28"/>
      <w:szCs w:val="28"/>
    </w:rPr>
  </w:style>
  <w:style w:type="character" w:customStyle="1" w:styleId="TestIWIPOChar">
    <w:name w:val="Test I WIPO Char"/>
    <w:link w:val="TestIWIPO"/>
    <w:rsid w:val="002F54BC"/>
    <w:rPr>
      <w:rFonts w:ascii="Arial" w:hAnsi="Arial" w:cs="Arial"/>
      <w:b/>
      <w:w w:val="150"/>
      <w:sz w:val="28"/>
      <w:szCs w:val="28"/>
      <w:lang w:val="fr-FR" w:eastAsia="en-US" w:bidi="ar-SA"/>
    </w:rPr>
  </w:style>
  <w:style w:type="paragraph" w:customStyle="1" w:styleId="TESTworld">
    <w:name w:val="TESTworld"/>
    <w:basedOn w:val="TESTwiposouslogo"/>
    <w:semiHidden/>
    <w:rsid w:val="002F54BC"/>
    <w:pPr>
      <w:ind w:right="4763"/>
    </w:pPr>
    <w:rPr>
      <w:b w:val="0"/>
      <w:caps/>
      <w:w w:val="100"/>
      <w:sz w:val="16"/>
    </w:rPr>
  </w:style>
  <w:style w:type="paragraph" w:styleId="Title">
    <w:name w:val="Title"/>
    <w:basedOn w:val="Normal"/>
    <w:qFormat/>
    <w:rsid w:val="002F54BC"/>
    <w:pPr>
      <w:spacing w:after="300"/>
      <w:jc w:val="center"/>
    </w:pPr>
    <w:rPr>
      <w:b/>
      <w:caps/>
      <w:kern w:val="28"/>
      <w:sz w:val="30"/>
    </w:rPr>
  </w:style>
  <w:style w:type="paragraph" w:customStyle="1" w:styleId="TitleofDoc">
    <w:name w:val="Title of Doc"/>
    <w:basedOn w:val="Normal"/>
    <w:rsid w:val="002F54BC"/>
    <w:pPr>
      <w:spacing w:before="1200"/>
      <w:jc w:val="center"/>
    </w:pPr>
    <w:rPr>
      <w:rFonts w:ascii="Times New Roman" w:hAnsi="Times New Roman"/>
      <w:caps/>
      <w:sz w:val="24"/>
      <w:lang w:eastAsia="ja-JP"/>
    </w:rPr>
  </w:style>
  <w:style w:type="paragraph" w:styleId="TOAHeading">
    <w:name w:val="toa heading"/>
    <w:basedOn w:val="Normal"/>
    <w:next w:val="Normal"/>
    <w:rsid w:val="002F54BC"/>
    <w:pPr>
      <w:spacing w:before="120"/>
    </w:pPr>
    <w:rPr>
      <w:b/>
      <w:bCs/>
      <w:sz w:val="24"/>
      <w:szCs w:val="24"/>
    </w:rPr>
  </w:style>
  <w:style w:type="paragraph" w:styleId="TOC1">
    <w:name w:val="toc 1"/>
    <w:basedOn w:val="Normal"/>
    <w:next w:val="Normal"/>
    <w:autoRedefine/>
    <w:uiPriority w:val="39"/>
    <w:qFormat/>
    <w:rsid w:val="00E04DD1"/>
    <w:pPr>
      <w:keepNext/>
      <w:keepLines/>
      <w:tabs>
        <w:tab w:val="left" w:pos="567"/>
        <w:tab w:val="right" w:leader="dot" w:pos="9356"/>
      </w:tabs>
      <w:spacing w:before="240" w:after="120"/>
      <w:ind w:left="567" w:hanging="567"/>
    </w:pPr>
    <w:rPr>
      <w:rFonts w:eastAsia="MS Mincho" w:cs="Times New Roman"/>
      <w:noProof/>
      <w:lang w:eastAsia="ja-JP"/>
    </w:rPr>
  </w:style>
  <w:style w:type="paragraph" w:styleId="TOC2">
    <w:name w:val="toc 2"/>
    <w:basedOn w:val="Normal"/>
    <w:next w:val="Normal"/>
    <w:autoRedefine/>
    <w:uiPriority w:val="39"/>
    <w:qFormat/>
    <w:rsid w:val="00E04DD1"/>
    <w:pPr>
      <w:keepLines/>
      <w:tabs>
        <w:tab w:val="right" w:leader="dot" w:pos="9356"/>
      </w:tabs>
      <w:spacing w:after="120"/>
      <w:ind w:left="1021" w:hanging="567"/>
    </w:pPr>
    <w:rPr>
      <w:rFonts w:eastAsia="MS Mincho" w:cs="Times New Roman"/>
      <w:i/>
      <w:noProof/>
      <w:lang w:eastAsia="ja-JP"/>
    </w:rPr>
  </w:style>
  <w:style w:type="paragraph" w:styleId="TOC3">
    <w:name w:val="toc 3"/>
    <w:basedOn w:val="Normal"/>
    <w:next w:val="Normal"/>
    <w:autoRedefine/>
    <w:uiPriority w:val="39"/>
    <w:qFormat/>
    <w:rsid w:val="002F54BC"/>
    <w:pPr>
      <w:tabs>
        <w:tab w:val="left" w:pos="960"/>
        <w:tab w:val="right" w:leader="dot" w:pos="9639"/>
      </w:tabs>
      <w:ind w:left="2722" w:right="566"/>
    </w:pPr>
    <w:rPr>
      <w:i/>
      <w:lang w:eastAsia="ja-JP"/>
    </w:rPr>
  </w:style>
  <w:style w:type="paragraph" w:styleId="TOC4">
    <w:name w:val="toc 4"/>
    <w:basedOn w:val="Normal"/>
    <w:next w:val="Normal"/>
    <w:autoRedefine/>
    <w:rsid w:val="002F54BC"/>
    <w:pPr>
      <w:ind w:left="600"/>
    </w:pPr>
  </w:style>
  <w:style w:type="paragraph" w:styleId="TOC5">
    <w:name w:val="toc 5"/>
    <w:basedOn w:val="Normal"/>
    <w:next w:val="Normal"/>
    <w:autoRedefine/>
    <w:rsid w:val="002F54BC"/>
    <w:pPr>
      <w:ind w:left="800"/>
    </w:pPr>
  </w:style>
  <w:style w:type="paragraph" w:styleId="TOC6">
    <w:name w:val="toc 6"/>
    <w:basedOn w:val="Normal"/>
    <w:next w:val="Normal"/>
    <w:autoRedefine/>
    <w:rsid w:val="002F54BC"/>
    <w:pPr>
      <w:ind w:left="1000"/>
    </w:pPr>
  </w:style>
  <w:style w:type="paragraph" w:styleId="TOC7">
    <w:name w:val="toc 7"/>
    <w:basedOn w:val="Normal"/>
    <w:next w:val="Normal"/>
    <w:autoRedefine/>
    <w:rsid w:val="002F54BC"/>
    <w:pPr>
      <w:ind w:left="1200"/>
    </w:pPr>
  </w:style>
  <w:style w:type="paragraph" w:styleId="TOC8">
    <w:name w:val="toc 8"/>
    <w:basedOn w:val="Normal"/>
    <w:next w:val="Normal"/>
    <w:autoRedefine/>
    <w:rsid w:val="002F54BC"/>
    <w:pPr>
      <w:ind w:left="1400"/>
    </w:pPr>
  </w:style>
  <w:style w:type="paragraph" w:styleId="TOC9">
    <w:name w:val="toc 9"/>
    <w:basedOn w:val="Normal"/>
    <w:next w:val="Normal"/>
    <w:semiHidden/>
    <w:rsid w:val="002F54BC"/>
    <w:pPr>
      <w:tabs>
        <w:tab w:val="right" w:leader="dot" w:pos="9071"/>
      </w:tabs>
      <w:ind w:left="1920"/>
    </w:pPr>
  </w:style>
  <w:style w:type="character" w:customStyle="1" w:styleId="StyleLegDeletedText">
    <w:name w:val="Style LegDeletedText +"/>
    <w:rsid w:val="00E04DD1"/>
    <w:rPr>
      <w:strike/>
      <w:color w:val="FF0000"/>
      <w:sz w:val="22"/>
    </w:rPr>
  </w:style>
  <w:style w:type="paragraph" w:styleId="Header">
    <w:name w:val="header"/>
    <w:basedOn w:val="Normal"/>
    <w:rsid w:val="004434E4"/>
    <w:pPr>
      <w:tabs>
        <w:tab w:val="center" w:pos="4320"/>
        <w:tab w:val="right" w:pos="8640"/>
      </w:tabs>
    </w:pPr>
  </w:style>
  <w:style w:type="character" w:customStyle="1" w:styleId="Heading1Char">
    <w:name w:val="Heading 1 Char"/>
    <w:link w:val="Heading1"/>
    <w:rsid w:val="00D06340"/>
    <w:rPr>
      <w:rFonts w:ascii="Arial" w:eastAsia="SimSun" w:hAnsi="Arial" w:cs="Arial"/>
      <w:b/>
      <w:bCs/>
      <w:caps/>
      <w:kern w:val="32"/>
      <w:sz w:val="22"/>
      <w:szCs w:val="32"/>
      <w:lang w:eastAsia="zh-CN"/>
    </w:rPr>
  </w:style>
  <w:style w:type="paragraph" w:styleId="FootnoteText">
    <w:name w:val="footnote text"/>
    <w:basedOn w:val="Normal"/>
    <w:link w:val="FootnoteTextChar"/>
    <w:uiPriority w:val="99"/>
    <w:unhideWhenUsed/>
    <w:rsid w:val="0081645F"/>
    <w:rPr>
      <w:rFonts w:ascii="Times New Roman" w:eastAsia="Calibri" w:hAnsi="Times New Roman" w:cs="Times New Roman"/>
      <w:sz w:val="20"/>
      <w:lang w:eastAsia="en-US"/>
    </w:rPr>
  </w:style>
  <w:style w:type="character" w:customStyle="1" w:styleId="FootnoteTextChar">
    <w:name w:val="Footnote Text Char"/>
    <w:link w:val="FootnoteText"/>
    <w:uiPriority w:val="99"/>
    <w:rsid w:val="0081645F"/>
    <w:rPr>
      <w:rFonts w:eastAsia="Calibri"/>
    </w:rPr>
  </w:style>
  <w:style w:type="paragraph" w:styleId="TOCHeading">
    <w:name w:val="TOC Heading"/>
    <w:basedOn w:val="Heading1"/>
    <w:next w:val="Normal"/>
    <w:uiPriority w:val="39"/>
    <w:semiHidden/>
    <w:unhideWhenUsed/>
    <w:qFormat/>
    <w:rsid w:val="00A440C7"/>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4DD1"/>
    <w:rPr>
      <w:rFonts w:ascii="Arial" w:eastAsia="SimSun" w:hAnsi="Arial" w:cs="Arial"/>
      <w:sz w:val="22"/>
      <w:lang w:eastAsia="zh-CN"/>
    </w:rPr>
  </w:style>
  <w:style w:type="paragraph" w:styleId="Heading1">
    <w:name w:val="heading 1"/>
    <w:basedOn w:val="Normal"/>
    <w:next w:val="Normal"/>
    <w:link w:val="Heading1Char"/>
    <w:qFormat/>
    <w:rsid w:val="00E04DD1"/>
    <w:pPr>
      <w:keepNext/>
      <w:spacing w:before="240" w:after="60"/>
      <w:outlineLvl w:val="0"/>
    </w:pPr>
    <w:rPr>
      <w:b/>
      <w:bCs/>
      <w:caps/>
      <w:kern w:val="32"/>
      <w:szCs w:val="32"/>
    </w:rPr>
  </w:style>
  <w:style w:type="paragraph" w:styleId="Heading2">
    <w:name w:val="heading 2"/>
    <w:basedOn w:val="Normal"/>
    <w:next w:val="Normal"/>
    <w:qFormat/>
    <w:rsid w:val="00E04DD1"/>
    <w:pPr>
      <w:keepNext/>
      <w:spacing w:before="240" w:after="60"/>
      <w:outlineLvl w:val="1"/>
    </w:pPr>
    <w:rPr>
      <w:bCs/>
      <w:iCs/>
      <w:caps/>
      <w:szCs w:val="28"/>
    </w:rPr>
  </w:style>
  <w:style w:type="paragraph" w:styleId="Heading3">
    <w:name w:val="heading 3"/>
    <w:basedOn w:val="Normal"/>
    <w:next w:val="Normal"/>
    <w:qFormat/>
    <w:rsid w:val="00E04DD1"/>
    <w:pPr>
      <w:keepNext/>
      <w:spacing w:before="240" w:after="60"/>
      <w:outlineLvl w:val="2"/>
    </w:pPr>
    <w:rPr>
      <w:bCs/>
      <w:szCs w:val="26"/>
      <w:u w:val="single"/>
    </w:rPr>
  </w:style>
  <w:style w:type="paragraph" w:styleId="Heading4">
    <w:name w:val="heading 4"/>
    <w:basedOn w:val="Normal"/>
    <w:next w:val="Normal"/>
    <w:qFormat/>
    <w:rsid w:val="00E04DD1"/>
    <w:pPr>
      <w:keepNext/>
      <w:spacing w:before="240" w:after="60"/>
      <w:outlineLvl w:val="3"/>
    </w:pPr>
    <w:rPr>
      <w:bCs/>
      <w:i/>
      <w:szCs w:val="28"/>
    </w:rPr>
  </w:style>
  <w:style w:type="paragraph" w:styleId="Heading5">
    <w:name w:val="heading 5"/>
    <w:basedOn w:val="Normal"/>
    <w:next w:val="Normal"/>
    <w:qFormat/>
    <w:rsid w:val="002F54BC"/>
    <w:pPr>
      <w:outlineLvl w:val="4"/>
    </w:pPr>
  </w:style>
  <w:style w:type="paragraph" w:styleId="Heading6">
    <w:name w:val="heading 6"/>
    <w:basedOn w:val="Normal"/>
    <w:next w:val="Normal"/>
    <w:qFormat/>
    <w:rsid w:val="002F54BC"/>
    <w:pPr>
      <w:outlineLvl w:val="5"/>
    </w:pPr>
  </w:style>
  <w:style w:type="paragraph" w:styleId="Heading7">
    <w:name w:val="heading 7"/>
    <w:basedOn w:val="Normal"/>
    <w:next w:val="Normal"/>
    <w:qFormat/>
    <w:rsid w:val="002F54BC"/>
    <w:pPr>
      <w:keepNext/>
      <w:keepLines/>
      <w:spacing w:before="80" w:after="60"/>
      <w:outlineLvl w:val="6"/>
    </w:pPr>
    <w:rPr>
      <w:b/>
      <w:kern w:val="28"/>
    </w:rPr>
  </w:style>
  <w:style w:type="paragraph" w:styleId="Heading8">
    <w:name w:val="heading 8"/>
    <w:basedOn w:val="Normal"/>
    <w:next w:val="Normal"/>
    <w:qFormat/>
    <w:rsid w:val="002F54BC"/>
    <w:pPr>
      <w:keepNext/>
      <w:keepLines/>
      <w:spacing w:before="80" w:after="60"/>
      <w:outlineLvl w:val="7"/>
    </w:pPr>
    <w:rPr>
      <w:i/>
      <w:kern w:val="28"/>
    </w:rPr>
  </w:style>
  <w:style w:type="paragraph" w:styleId="Heading9">
    <w:name w:val="heading 9"/>
    <w:basedOn w:val="Normal"/>
    <w:next w:val="Normal"/>
    <w:qFormat/>
    <w:rsid w:val="002F54BC"/>
    <w:pPr>
      <w:spacing w:before="240" w:after="6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E04DD1"/>
    <w:pPr>
      <w:ind w:left="5534"/>
    </w:pPr>
  </w:style>
  <w:style w:type="paragraph" w:styleId="BodyText">
    <w:name w:val="Body Text"/>
    <w:basedOn w:val="Normal"/>
    <w:rsid w:val="00E04DD1"/>
    <w:pPr>
      <w:spacing w:after="220"/>
    </w:pPr>
  </w:style>
  <w:style w:type="paragraph" w:styleId="Caption">
    <w:name w:val="caption"/>
    <w:basedOn w:val="Normal"/>
    <w:next w:val="Normal"/>
    <w:qFormat/>
    <w:rsid w:val="00E04DD1"/>
    <w:rPr>
      <w:b/>
      <w:bCs/>
      <w:sz w:val="18"/>
    </w:rPr>
  </w:style>
  <w:style w:type="paragraph" w:styleId="CommentText">
    <w:name w:val="annotation text"/>
    <w:basedOn w:val="Normal"/>
    <w:semiHidden/>
    <w:rsid w:val="00E04DD1"/>
    <w:rPr>
      <w:sz w:val="18"/>
    </w:rPr>
  </w:style>
  <w:style w:type="paragraph" w:styleId="EndnoteText">
    <w:name w:val="endnote text"/>
    <w:basedOn w:val="Normal"/>
    <w:semiHidden/>
    <w:rsid w:val="00E04DD1"/>
    <w:rPr>
      <w:sz w:val="18"/>
    </w:rPr>
  </w:style>
  <w:style w:type="paragraph" w:styleId="Footer">
    <w:name w:val="footer"/>
    <w:basedOn w:val="Normal"/>
    <w:semiHidden/>
    <w:rsid w:val="00E04DD1"/>
    <w:pPr>
      <w:tabs>
        <w:tab w:val="center" w:pos="4320"/>
        <w:tab w:val="right" w:pos="8640"/>
      </w:tabs>
    </w:pPr>
  </w:style>
  <w:style w:type="paragraph" w:customStyle="1" w:styleId="DecisionInvitingPara">
    <w:name w:val="Decision Inviting Para."/>
    <w:basedOn w:val="Normal"/>
    <w:rsid w:val="00E04DD1"/>
    <w:pPr>
      <w:spacing w:after="120" w:line="260" w:lineRule="exact"/>
      <w:ind w:left="5534" w:hanging="567"/>
    </w:pPr>
    <w:rPr>
      <w:rFonts w:eastAsia="MS Mincho"/>
      <w:i/>
      <w:lang w:eastAsia="ja-JP"/>
    </w:rPr>
  </w:style>
  <w:style w:type="paragraph" w:styleId="ListNumber">
    <w:name w:val="List Number"/>
    <w:basedOn w:val="Normal"/>
    <w:semiHidden/>
    <w:rsid w:val="00E04DD1"/>
    <w:pPr>
      <w:numPr>
        <w:numId w:val="18"/>
      </w:numPr>
    </w:pPr>
  </w:style>
  <w:style w:type="paragraph" w:customStyle="1" w:styleId="ONUME">
    <w:name w:val="ONUM E"/>
    <w:basedOn w:val="BodyText"/>
    <w:link w:val="ONUMEChar"/>
    <w:rsid w:val="00E04DD1"/>
    <w:pPr>
      <w:numPr>
        <w:numId w:val="19"/>
      </w:numPr>
    </w:pPr>
  </w:style>
  <w:style w:type="character" w:customStyle="1" w:styleId="ONUMEChar">
    <w:name w:val="ONUM E Char"/>
    <w:link w:val="ONUME"/>
    <w:rsid w:val="0006398B"/>
    <w:rPr>
      <w:rFonts w:ascii="Arial" w:eastAsia="SimSun" w:hAnsi="Arial" w:cs="Arial"/>
      <w:sz w:val="22"/>
      <w:lang w:val="en-US" w:eastAsia="zh-CN" w:bidi="ar-SA"/>
    </w:rPr>
  </w:style>
  <w:style w:type="paragraph" w:customStyle="1" w:styleId="ONUMFS">
    <w:name w:val="ONUM FS"/>
    <w:basedOn w:val="BodyText"/>
    <w:rsid w:val="00E04DD1"/>
    <w:pPr>
      <w:numPr>
        <w:numId w:val="20"/>
      </w:numPr>
    </w:pPr>
  </w:style>
  <w:style w:type="paragraph" w:styleId="Salutation">
    <w:name w:val="Salutation"/>
    <w:basedOn w:val="Normal"/>
    <w:next w:val="Normal"/>
    <w:semiHidden/>
    <w:rsid w:val="00E04DD1"/>
  </w:style>
  <w:style w:type="paragraph" w:styleId="Signature">
    <w:name w:val="Signature"/>
    <w:basedOn w:val="Normal"/>
    <w:semiHidden/>
    <w:rsid w:val="00E04DD1"/>
    <w:pPr>
      <w:ind w:left="5250"/>
    </w:pPr>
  </w:style>
  <w:style w:type="paragraph" w:styleId="ListParagraph">
    <w:name w:val="List Paragraph"/>
    <w:basedOn w:val="Normal"/>
    <w:uiPriority w:val="34"/>
    <w:qFormat/>
    <w:rsid w:val="0006398B"/>
    <w:pPr>
      <w:ind w:left="720"/>
    </w:pPr>
    <w:rPr>
      <w:rFonts w:eastAsia="Arial" w:cs="Times New Roman"/>
      <w:sz w:val="24"/>
      <w:szCs w:val="24"/>
      <w:lang w:val="en-GB" w:eastAsia="en-US"/>
    </w:rPr>
  </w:style>
  <w:style w:type="character" w:styleId="FootnoteReference">
    <w:name w:val="footnote reference"/>
    <w:rsid w:val="00E04DD1"/>
    <w:rPr>
      <w:vertAlign w:val="superscript"/>
    </w:rPr>
  </w:style>
  <w:style w:type="paragraph" w:customStyle="1" w:styleId="EndofDocument">
    <w:name w:val="[End of Document]"/>
    <w:basedOn w:val="Normal"/>
    <w:semiHidden/>
    <w:rsid w:val="002F54BC"/>
    <w:pPr>
      <w:ind w:left="5534"/>
    </w:pPr>
  </w:style>
  <w:style w:type="paragraph" w:customStyle="1" w:styleId="Meetingtitle">
    <w:name w:val="Meeting title"/>
    <w:basedOn w:val="Normal"/>
    <w:next w:val="Normal"/>
    <w:rsid w:val="002F54BC"/>
    <w:pPr>
      <w:spacing w:after="360"/>
    </w:pPr>
    <w:rPr>
      <w:b/>
      <w:caps/>
      <w:sz w:val="28"/>
      <w:lang w:val="fr-FR"/>
    </w:rPr>
  </w:style>
  <w:style w:type="paragraph" w:styleId="BalloonText">
    <w:name w:val="Balloon Text"/>
    <w:basedOn w:val="Normal"/>
    <w:semiHidden/>
    <w:rsid w:val="00E04DD1"/>
    <w:rPr>
      <w:rFonts w:ascii="Tahoma" w:hAnsi="Tahoma" w:cs="Tahoma"/>
      <w:sz w:val="16"/>
      <w:szCs w:val="16"/>
    </w:rPr>
  </w:style>
  <w:style w:type="paragraph" w:customStyle="1" w:styleId="BodyTexta">
    <w:name w:val="Body Text (a)"/>
    <w:basedOn w:val="BodyText"/>
    <w:rsid w:val="002F54BC"/>
    <w:pPr>
      <w:ind w:left="2155"/>
    </w:pPr>
  </w:style>
  <w:style w:type="paragraph" w:styleId="BodyTextIndent">
    <w:name w:val="Body Text Indent"/>
    <w:basedOn w:val="Normal"/>
    <w:semiHidden/>
    <w:rsid w:val="002F54BC"/>
    <w:pPr>
      <w:ind w:left="567"/>
    </w:pPr>
  </w:style>
  <w:style w:type="paragraph" w:styleId="Closing">
    <w:name w:val="Closing"/>
    <w:basedOn w:val="Normal"/>
    <w:semiHidden/>
    <w:rsid w:val="002F54BC"/>
    <w:pPr>
      <w:ind w:left="4536"/>
      <w:jc w:val="center"/>
    </w:pPr>
  </w:style>
  <w:style w:type="paragraph" w:customStyle="1" w:styleId="Comment">
    <w:name w:val="Comment"/>
    <w:basedOn w:val="Normal"/>
    <w:rsid w:val="002F54BC"/>
    <w:pPr>
      <w:ind w:left="1021"/>
    </w:pPr>
    <w:rPr>
      <w:i/>
      <w:iCs/>
    </w:rPr>
  </w:style>
  <w:style w:type="character" w:styleId="CommentReference">
    <w:name w:val="annotation reference"/>
    <w:rsid w:val="002F54BC"/>
    <w:rPr>
      <w:sz w:val="16"/>
      <w:szCs w:val="16"/>
    </w:rPr>
  </w:style>
  <w:style w:type="paragraph" w:styleId="CommentSubject">
    <w:name w:val="annotation subject"/>
    <w:basedOn w:val="CommentText"/>
    <w:next w:val="CommentText"/>
    <w:rsid w:val="002F54BC"/>
    <w:rPr>
      <w:b/>
      <w:bCs/>
      <w:sz w:val="20"/>
    </w:rPr>
  </w:style>
  <w:style w:type="paragraph" w:customStyle="1" w:styleId="Committee">
    <w:name w:val="Committee"/>
    <w:basedOn w:val="Normal"/>
    <w:semiHidden/>
    <w:rsid w:val="002F54BC"/>
    <w:pPr>
      <w:spacing w:after="300"/>
      <w:jc w:val="center"/>
    </w:pPr>
    <w:rPr>
      <w:b/>
      <w:caps/>
      <w:kern w:val="28"/>
      <w:sz w:val="30"/>
    </w:rPr>
  </w:style>
  <w:style w:type="paragraph" w:customStyle="1" w:styleId="Default">
    <w:name w:val="Default"/>
    <w:rsid w:val="002F54BC"/>
    <w:pPr>
      <w:autoSpaceDE w:val="0"/>
      <w:autoSpaceDN w:val="0"/>
      <w:adjustRightInd w:val="0"/>
    </w:pPr>
    <w:rPr>
      <w:rFonts w:ascii="Arial" w:hAnsi="Arial" w:cs="Arial"/>
      <w:color w:val="000000"/>
      <w:sz w:val="24"/>
      <w:szCs w:val="24"/>
      <w:lang w:eastAsia="ja-JP"/>
    </w:rPr>
  </w:style>
  <w:style w:type="character" w:customStyle="1" w:styleId="DeletedText">
    <w:name w:val="Deleted Text"/>
    <w:rsid w:val="00E04DD1"/>
    <w:rPr>
      <w:strike/>
      <w:dstrike w:val="0"/>
      <w:color w:val="FF0000"/>
    </w:rPr>
  </w:style>
  <w:style w:type="paragraph" w:styleId="DocumentMap">
    <w:name w:val="Document Map"/>
    <w:basedOn w:val="Normal"/>
    <w:rsid w:val="002F54BC"/>
    <w:pPr>
      <w:shd w:val="clear" w:color="auto" w:fill="000080"/>
    </w:pPr>
    <w:rPr>
      <w:rFonts w:ascii="Tahoma" w:hAnsi="Tahoma" w:cs="Tahoma"/>
    </w:rPr>
  </w:style>
  <w:style w:type="paragraph" w:customStyle="1" w:styleId="Documenttitle">
    <w:name w:val="Document title"/>
    <w:basedOn w:val="Normal"/>
    <w:link w:val="DocumenttitleChar"/>
    <w:rsid w:val="002F54BC"/>
    <w:pPr>
      <w:spacing w:before="1200"/>
    </w:pPr>
    <w:rPr>
      <w:b/>
      <w:caps/>
    </w:rPr>
  </w:style>
  <w:style w:type="character" w:customStyle="1" w:styleId="DocumenttitleChar">
    <w:name w:val="Document title Char"/>
    <w:link w:val="Documenttitle"/>
    <w:rsid w:val="002F54BC"/>
    <w:rPr>
      <w:rFonts w:ascii="Arial" w:hAnsi="Arial" w:cs="Arial"/>
      <w:b/>
      <w:caps/>
      <w:sz w:val="22"/>
      <w:lang w:val="en-US" w:eastAsia="en-US" w:bidi="ar-SA"/>
    </w:rPr>
  </w:style>
  <w:style w:type="paragraph" w:customStyle="1" w:styleId="Endofdocument0">
    <w:name w:val="End of document"/>
    <w:basedOn w:val="Normal"/>
    <w:link w:val="EndofdocumentChar"/>
    <w:rsid w:val="002F54BC"/>
    <w:pPr>
      <w:spacing w:after="120"/>
      <w:ind w:left="5533"/>
    </w:pPr>
  </w:style>
  <w:style w:type="character" w:customStyle="1" w:styleId="EndofdocumentChar">
    <w:name w:val="End of document Char"/>
    <w:link w:val="Endofdocument0"/>
    <w:rsid w:val="002F54BC"/>
    <w:rPr>
      <w:rFonts w:ascii="Arial" w:hAnsi="Arial" w:cs="Arial"/>
      <w:sz w:val="22"/>
      <w:lang w:val="en-US" w:eastAsia="en-US" w:bidi="ar-SA"/>
    </w:rPr>
  </w:style>
  <w:style w:type="character" w:styleId="EndnoteReference">
    <w:name w:val="endnote reference"/>
    <w:semiHidden/>
    <w:rsid w:val="00E04DD1"/>
    <w:rPr>
      <w:vertAlign w:val="superscript"/>
    </w:rPr>
  </w:style>
  <w:style w:type="character" w:customStyle="1" w:styleId="field-content">
    <w:name w:val="field-content"/>
    <w:basedOn w:val="DefaultParagraphFont"/>
    <w:rsid w:val="002F54BC"/>
  </w:style>
  <w:style w:type="paragraph" w:customStyle="1" w:styleId="Figureholder">
    <w:name w:val="Figure holder"/>
    <w:basedOn w:val="Normal"/>
    <w:rsid w:val="002F54BC"/>
  </w:style>
  <w:style w:type="paragraph" w:customStyle="1" w:styleId="Figuretitle">
    <w:name w:val="Figure title"/>
    <w:basedOn w:val="Normal"/>
    <w:rsid w:val="002F54BC"/>
    <w:pPr>
      <w:keepNext/>
      <w:spacing w:before="60" w:after="60"/>
    </w:pPr>
    <w:rPr>
      <w:i/>
    </w:rPr>
  </w:style>
  <w:style w:type="character" w:styleId="Hyperlink">
    <w:name w:val="Hyperlink"/>
    <w:uiPriority w:val="99"/>
    <w:rsid w:val="00E04DD1"/>
    <w:rPr>
      <w:color w:val="000099"/>
      <w:u w:val="single"/>
    </w:rPr>
  </w:style>
  <w:style w:type="paragraph" w:styleId="Index1">
    <w:name w:val="index 1"/>
    <w:basedOn w:val="Normal"/>
    <w:next w:val="Normal"/>
    <w:autoRedefine/>
    <w:semiHidden/>
    <w:rsid w:val="002F54BC"/>
    <w:pPr>
      <w:ind w:left="200" w:hanging="200"/>
    </w:pPr>
  </w:style>
  <w:style w:type="paragraph" w:styleId="Index2">
    <w:name w:val="index 2"/>
    <w:basedOn w:val="Normal"/>
    <w:next w:val="Normal"/>
    <w:autoRedefine/>
    <w:rsid w:val="002F54BC"/>
    <w:pPr>
      <w:ind w:left="400" w:hanging="200"/>
    </w:pPr>
  </w:style>
  <w:style w:type="paragraph" w:styleId="Index3">
    <w:name w:val="index 3"/>
    <w:basedOn w:val="Normal"/>
    <w:next w:val="Normal"/>
    <w:autoRedefine/>
    <w:rsid w:val="002F54BC"/>
    <w:pPr>
      <w:ind w:left="600" w:hanging="200"/>
    </w:pPr>
  </w:style>
  <w:style w:type="paragraph" w:styleId="Index4">
    <w:name w:val="index 4"/>
    <w:basedOn w:val="Normal"/>
    <w:next w:val="Normal"/>
    <w:autoRedefine/>
    <w:rsid w:val="002F54BC"/>
    <w:pPr>
      <w:ind w:left="800" w:hanging="200"/>
    </w:pPr>
  </w:style>
  <w:style w:type="paragraph" w:styleId="Index5">
    <w:name w:val="index 5"/>
    <w:basedOn w:val="Normal"/>
    <w:next w:val="Normal"/>
    <w:autoRedefine/>
    <w:rsid w:val="002F54BC"/>
    <w:pPr>
      <w:ind w:left="1000" w:hanging="200"/>
    </w:pPr>
  </w:style>
  <w:style w:type="paragraph" w:styleId="Index6">
    <w:name w:val="index 6"/>
    <w:basedOn w:val="Normal"/>
    <w:next w:val="Normal"/>
    <w:autoRedefine/>
    <w:rsid w:val="002F54BC"/>
    <w:pPr>
      <w:ind w:left="1200" w:hanging="200"/>
    </w:pPr>
  </w:style>
  <w:style w:type="paragraph" w:styleId="Index7">
    <w:name w:val="index 7"/>
    <w:basedOn w:val="Normal"/>
    <w:next w:val="Normal"/>
    <w:autoRedefine/>
    <w:rsid w:val="002F54BC"/>
    <w:pPr>
      <w:ind w:left="1400" w:hanging="200"/>
    </w:pPr>
  </w:style>
  <w:style w:type="paragraph" w:styleId="Index8">
    <w:name w:val="index 8"/>
    <w:basedOn w:val="Normal"/>
    <w:next w:val="Normal"/>
    <w:autoRedefine/>
    <w:rsid w:val="002F54BC"/>
    <w:pPr>
      <w:ind w:left="1600" w:hanging="200"/>
    </w:pPr>
  </w:style>
  <w:style w:type="paragraph" w:styleId="Index9">
    <w:name w:val="index 9"/>
    <w:basedOn w:val="Normal"/>
    <w:next w:val="Normal"/>
    <w:autoRedefine/>
    <w:rsid w:val="002F54BC"/>
    <w:pPr>
      <w:ind w:left="1800" w:hanging="200"/>
    </w:pPr>
  </w:style>
  <w:style w:type="paragraph" w:styleId="IndexHeading">
    <w:name w:val="index heading"/>
    <w:basedOn w:val="Normal"/>
    <w:next w:val="Index1"/>
    <w:semiHidden/>
    <w:rsid w:val="002F54BC"/>
    <w:rPr>
      <w:rFonts w:eastAsia="MS Mincho"/>
      <w:b/>
      <w:sz w:val="24"/>
      <w:lang w:eastAsia="ja-JP"/>
    </w:rPr>
  </w:style>
  <w:style w:type="character" w:customStyle="1" w:styleId="InsertedText">
    <w:name w:val="Inserted Text"/>
    <w:rsid w:val="002F54BC"/>
    <w:rPr>
      <w:color w:val="0000FF"/>
      <w:u w:val="single"/>
    </w:rPr>
  </w:style>
  <w:style w:type="paragraph" w:customStyle="1" w:styleId="Language">
    <w:name w:val="Language"/>
    <w:basedOn w:val="Normal"/>
    <w:next w:val="Normal"/>
    <w:autoRedefine/>
    <w:rsid w:val="002F54BC"/>
    <w:pPr>
      <w:spacing w:line="340" w:lineRule="atLeast"/>
      <w:jc w:val="right"/>
    </w:pPr>
    <w:rPr>
      <w:b/>
      <w:caps/>
      <w:sz w:val="40"/>
      <w:lang w:val="pt-BR"/>
    </w:rPr>
  </w:style>
  <w:style w:type="paragraph" w:customStyle="1" w:styleId="LegBasic">
    <w:name w:val="Leg Basic"/>
    <w:rsid w:val="002F54BC"/>
    <w:pPr>
      <w:spacing w:line="480" w:lineRule="auto"/>
    </w:pPr>
    <w:rPr>
      <w:rFonts w:ascii="Arial" w:eastAsia="Arial Unicode MS" w:hAnsi="Arial"/>
      <w:snapToGrid w:val="0"/>
    </w:rPr>
  </w:style>
  <w:style w:type="paragraph" w:customStyle="1" w:styleId="LegTitle">
    <w:name w:val="Leg # Title"/>
    <w:basedOn w:val="Normal"/>
    <w:next w:val="Normal"/>
    <w:rsid w:val="00E04DD1"/>
    <w:pPr>
      <w:keepNext/>
      <w:keepLines/>
      <w:pageBreakBefore/>
      <w:spacing w:before="240" w:line="480" w:lineRule="auto"/>
      <w:jc w:val="center"/>
    </w:pPr>
    <w:rPr>
      <w:rFonts w:eastAsia="Arial Unicode MS" w:cs="Times New Roman"/>
      <w:b/>
      <w:snapToGrid w:val="0"/>
      <w:lang w:eastAsia="en-US"/>
    </w:rPr>
  </w:style>
  <w:style w:type="paragraph" w:customStyle="1" w:styleId="Leg1">
    <w:name w:val="Leg (1)"/>
    <w:basedOn w:val="Normal"/>
    <w:rsid w:val="002F54BC"/>
    <w:pPr>
      <w:tabs>
        <w:tab w:val="left" w:pos="397"/>
      </w:tabs>
      <w:spacing w:before="120"/>
      <w:jc w:val="both"/>
    </w:pPr>
    <w:rPr>
      <w:rFonts w:ascii="Times New Roman" w:hAnsi="Times New Roman"/>
      <w:sz w:val="28"/>
    </w:rPr>
  </w:style>
  <w:style w:type="paragraph" w:customStyle="1" w:styleId="Lega">
    <w:name w:val="Leg (a)"/>
    <w:basedOn w:val="Normal"/>
    <w:rsid w:val="00E04DD1"/>
    <w:pPr>
      <w:tabs>
        <w:tab w:val="left" w:pos="454"/>
      </w:tabs>
      <w:spacing w:before="240" w:after="240" w:line="480" w:lineRule="auto"/>
    </w:pPr>
    <w:rPr>
      <w:rFonts w:eastAsia="Arial Unicode MS" w:cs="Times New Roman"/>
      <w:snapToGrid w:val="0"/>
      <w:sz w:val="20"/>
      <w:lang w:eastAsia="en-US"/>
    </w:rPr>
  </w:style>
  <w:style w:type="paragraph" w:customStyle="1" w:styleId="Legacont">
    <w:name w:val="Leg (a) [cont]"/>
    <w:basedOn w:val="Lega"/>
    <w:next w:val="Lega"/>
    <w:rsid w:val="002F54BC"/>
    <w:pPr>
      <w:spacing w:before="60"/>
    </w:pPr>
  </w:style>
  <w:style w:type="paragraph" w:customStyle="1" w:styleId="Legi">
    <w:name w:val="Leg (i)"/>
    <w:basedOn w:val="Normal"/>
    <w:rsid w:val="00E04DD1"/>
    <w:pPr>
      <w:tabs>
        <w:tab w:val="right" w:pos="1020"/>
        <w:tab w:val="left" w:pos="1191"/>
      </w:tabs>
      <w:spacing w:before="60" w:after="240" w:line="480" w:lineRule="auto"/>
    </w:pPr>
    <w:rPr>
      <w:rFonts w:eastAsia="Arial Unicode MS" w:cs="Times New Roman"/>
      <w:snapToGrid w:val="0"/>
      <w:lang w:eastAsia="en-US"/>
    </w:rPr>
  </w:style>
  <w:style w:type="character" w:customStyle="1" w:styleId="LegBasicChar">
    <w:name w:val="Leg Basic Char"/>
    <w:rsid w:val="002F54BC"/>
    <w:rPr>
      <w:noProof w:val="0"/>
      <w:snapToGrid w:val="0"/>
      <w:sz w:val="20"/>
      <w:lang w:val="en-US" w:eastAsia="en-US" w:bidi="ar-SA"/>
    </w:rPr>
  </w:style>
  <w:style w:type="character" w:customStyle="1" w:styleId="LegiChar">
    <w:name w:val="Leg (i) Char"/>
    <w:basedOn w:val="LegBasicChar"/>
    <w:rsid w:val="002F54BC"/>
    <w:rPr>
      <w:noProof w:val="0"/>
      <w:snapToGrid w:val="0"/>
      <w:sz w:val="20"/>
      <w:lang w:val="en-US" w:eastAsia="en-US" w:bidi="ar-SA"/>
    </w:rPr>
  </w:style>
  <w:style w:type="paragraph" w:customStyle="1" w:styleId="Legiindent">
    <w:name w:val="Leg (i) indent"/>
    <w:basedOn w:val="Legi"/>
    <w:rsid w:val="002F54BC"/>
    <w:pPr>
      <w:ind w:left="1191" w:hanging="1191"/>
    </w:pPr>
  </w:style>
  <w:style w:type="character" w:customStyle="1" w:styleId="LegiindentChar">
    <w:name w:val="Leg (i) indent Char"/>
    <w:basedOn w:val="LegiChar"/>
    <w:rsid w:val="002F54BC"/>
    <w:rPr>
      <w:noProof w:val="0"/>
      <w:snapToGrid w:val="0"/>
      <w:sz w:val="20"/>
      <w:lang w:val="en-US" w:eastAsia="en-US" w:bidi="ar-SA"/>
    </w:rPr>
  </w:style>
  <w:style w:type="paragraph" w:customStyle="1" w:styleId="LegChPtTitle">
    <w:name w:val="Leg Ch/Pt # Title"/>
    <w:basedOn w:val="LegBasic"/>
    <w:rsid w:val="002F54BC"/>
    <w:pPr>
      <w:keepNext/>
      <w:keepLines/>
      <w:spacing w:before="480"/>
      <w:jc w:val="center"/>
    </w:pPr>
    <w:rPr>
      <w:caps/>
    </w:rPr>
  </w:style>
  <w:style w:type="paragraph" w:customStyle="1" w:styleId="LegComment">
    <w:name w:val="Leg Comment"/>
    <w:basedOn w:val="Normal"/>
    <w:rsid w:val="00E04DD1"/>
    <w:pPr>
      <w:spacing w:before="240" w:after="480" w:line="276" w:lineRule="auto"/>
    </w:pPr>
    <w:rPr>
      <w:rFonts w:eastAsia="Calibri"/>
      <w:szCs w:val="22"/>
    </w:rPr>
  </w:style>
  <w:style w:type="paragraph" w:customStyle="1" w:styleId="LegCont">
    <w:name w:val="Leg Cont"/>
    <w:basedOn w:val="LegBasic"/>
    <w:next w:val="Lega"/>
    <w:rsid w:val="002F54BC"/>
    <w:pPr>
      <w:keepNext/>
      <w:pageBreakBefore/>
      <w:spacing w:after="240"/>
      <w:jc w:val="center"/>
    </w:pPr>
    <w:rPr>
      <w:i/>
    </w:rPr>
  </w:style>
  <w:style w:type="paragraph" w:customStyle="1" w:styleId="LegFootnote">
    <w:name w:val="Leg Footnote"/>
    <w:basedOn w:val="LegBasic"/>
    <w:rsid w:val="002F54BC"/>
    <w:pPr>
      <w:tabs>
        <w:tab w:val="left" w:pos="425"/>
      </w:tabs>
      <w:spacing w:before="20"/>
    </w:pPr>
    <w:rPr>
      <w:sz w:val="18"/>
    </w:rPr>
  </w:style>
  <w:style w:type="paragraph" w:customStyle="1" w:styleId="Legfootnotea">
    <w:name w:val="Leg footnote (a)"/>
    <w:basedOn w:val="LegFootnote"/>
    <w:rsid w:val="002F54BC"/>
    <w:pPr>
      <w:ind w:left="454"/>
    </w:pPr>
  </w:style>
  <w:style w:type="paragraph" w:customStyle="1" w:styleId="Legfootnoteai">
    <w:name w:val="Leg footnote (a)(i)"/>
    <w:basedOn w:val="Legfootnotea"/>
    <w:rsid w:val="002F54BC"/>
    <w:pPr>
      <w:tabs>
        <w:tab w:val="right" w:pos="1247"/>
        <w:tab w:val="left" w:pos="1417"/>
      </w:tabs>
      <w:spacing w:before="23"/>
    </w:pPr>
  </w:style>
  <w:style w:type="paragraph" w:customStyle="1" w:styleId="Legfootnotetitle">
    <w:name w:val="Leg footnote title"/>
    <w:basedOn w:val="Legfootnotea"/>
    <w:rsid w:val="002F54BC"/>
    <w:pPr>
      <w:tabs>
        <w:tab w:val="left" w:pos="850"/>
      </w:tabs>
      <w:spacing w:before="45"/>
      <w:jc w:val="center"/>
    </w:pPr>
    <w:rPr>
      <w:b/>
    </w:rPr>
  </w:style>
  <w:style w:type="paragraph" w:customStyle="1" w:styleId="LegSubRule">
    <w:name w:val="Leg SubRule #"/>
    <w:basedOn w:val="Normal"/>
    <w:rsid w:val="00E04DD1"/>
    <w:pPr>
      <w:keepNext/>
      <w:keepLines/>
      <w:tabs>
        <w:tab w:val="left" w:pos="510"/>
      </w:tabs>
      <w:spacing w:before="480" w:line="480" w:lineRule="auto"/>
      <w:ind w:left="533" w:hanging="533"/>
    </w:pPr>
    <w:rPr>
      <w:rFonts w:eastAsia="Arial Unicode MS" w:cs="Times New Roman"/>
      <w:snapToGrid w:val="0"/>
      <w:sz w:val="20"/>
      <w:lang w:eastAsia="en-US"/>
    </w:rPr>
  </w:style>
  <w:style w:type="paragraph" w:customStyle="1" w:styleId="LegTOCHead">
    <w:name w:val="Leg TOC Head"/>
    <w:basedOn w:val="LegBasic"/>
    <w:rsid w:val="002F54BC"/>
    <w:pPr>
      <w:keepNext/>
      <w:keepLines/>
      <w:spacing w:before="120" w:after="60"/>
    </w:pPr>
    <w:rPr>
      <w:i/>
    </w:rPr>
  </w:style>
  <w:style w:type="paragraph" w:customStyle="1" w:styleId="LegTOCRule">
    <w:name w:val="Leg TOC Rule"/>
    <w:basedOn w:val="LegBasic"/>
    <w:rsid w:val="002F54BC"/>
    <w:pPr>
      <w:keepNext/>
      <w:keepLines/>
      <w:tabs>
        <w:tab w:val="left" w:pos="567"/>
        <w:tab w:val="left" w:pos="1361"/>
        <w:tab w:val="left" w:pos="2268"/>
      </w:tabs>
      <w:spacing w:before="60"/>
      <w:ind w:left="2268" w:hanging="2268"/>
    </w:pPr>
  </w:style>
  <w:style w:type="paragraph" w:customStyle="1" w:styleId="LegTOCSubRule">
    <w:name w:val="Leg TOC SubRule"/>
    <w:basedOn w:val="LegBasic"/>
    <w:rsid w:val="002F54BC"/>
    <w:pPr>
      <w:keepLines/>
      <w:tabs>
        <w:tab w:val="left" w:pos="1361"/>
        <w:tab w:val="left" w:pos="2608"/>
      </w:tabs>
      <w:ind w:left="2608" w:hanging="2608"/>
    </w:pPr>
  </w:style>
  <w:style w:type="character" w:customStyle="1" w:styleId="LegDeletedText">
    <w:name w:val="LegDeletedText"/>
    <w:rsid w:val="00E04DD1"/>
    <w:rPr>
      <w:strike/>
      <w:color w:val="FF0000"/>
    </w:rPr>
  </w:style>
  <w:style w:type="character" w:customStyle="1" w:styleId="LegInsertedText">
    <w:name w:val="LegInsertedText"/>
    <w:rsid w:val="00E04DD1"/>
    <w:rPr>
      <w:color w:val="0000FF"/>
      <w:u w:val="single"/>
    </w:rPr>
  </w:style>
  <w:style w:type="paragraph" w:styleId="List5">
    <w:name w:val="List 5"/>
    <w:basedOn w:val="Normal"/>
    <w:rsid w:val="002F54BC"/>
    <w:pPr>
      <w:ind w:left="1415" w:hanging="283"/>
    </w:pPr>
    <w:rPr>
      <w:rFonts w:ascii="Times New Roman" w:eastAsia="MS Mincho" w:hAnsi="Times New Roman"/>
      <w:sz w:val="24"/>
      <w:lang w:eastAsia="ja-JP"/>
    </w:rPr>
  </w:style>
  <w:style w:type="paragraph" w:styleId="ListBullet">
    <w:name w:val="List Bullet"/>
    <w:basedOn w:val="Normal"/>
    <w:autoRedefine/>
    <w:rsid w:val="002F54BC"/>
    <w:pPr>
      <w:tabs>
        <w:tab w:val="num" w:pos="360"/>
      </w:tabs>
      <w:ind w:left="360" w:hanging="360"/>
    </w:pPr>
    <w:rPr>
      <w:rFonts w:ascii="Times New Roman" w:eastAsia="MS Mincho" w:hAnsi="Times New Roman"/>
      <w:sz w:val="24"/>
      <w:lang w:eastAsia="ja-JP"/>
    </w:rPr>
  </w:style>
  <w:style w:type="paragraph" w:styleId="ListBullet2">
    <w:name w:val="List Bullet 2"/>
    <w:basedOn w:val="Normal"/>
    <w:autoRedefine/>
    <w:rsid w:val="002F54BC"/>
    <w:pPr>
      <w:tabs>
        <w:tab w:val="num" w:pos="643"/>
      </w:tabs>
      <w:ind w:left="643" w:hanging="360"/>
    </w:pPr>
    <w:rPr>
      <w:rFonts w:ascii="Times New Roman" w:eastAsia="MS Mincho" w:hAnsi="Times New Roman"/>
      <w:sz w:val="24"/>
      <w:lang w:eastAsia="ja-JP"/>
    </w:rPr>
  </w:style>
  <w:style w:type="paragraph" w:styleId="ListBullet3">
    <w:name w:val="List Bullet 3"/>
    <w:basedOn w:val="Normal"/>
    <w:autoRedefine/>
    <w:rsid w:val="002F54BC"/>
    <w:pPr>
      <w:tabs>
        <w:tab w:val="num" w:pos="926"/>
      </w:tabs>
      <w:ind w:left="926" w:hanging="360"/>
    </w:pPr>
    <w:rPr>
      <w:rFonts w:ascii="Times New Roman" w:eastAsia="MS Mincho" w:hAnsi="Times New Roman"/>
      <w:sz w:val="24"/>
      <w:lang w:eastAsia="ja-JP"/>
    </w:rPr>
  </w:style>
  <w:style w:type="paragraph" w:styleId="ListBullet4">
    <w:name w:val="List Bullet 4"/>
    <w:basedOn w:val="Normal"/>
    <w:autoRedefine/>
    <w:rsid w:val="002F54BC"/>
    <w:pPr>
      <w:tabs>
        <w:tab w:val="num" w:pos="1209"/>
      </w:tabs>
      <w:ind w:left="1209" w:hanging="360"/>
    </w:pPr>
    <w:rPr>
      <w:rFonts w:ascii="Times New Roman" w:eastAsia="MS Mincho" w:hAnsi="Times New Roman"/>
      <w:sz w:val="24"/>
      <w:lang w:eastAsia="ja-JP"/>
    </w:rPr>
  </w:style>
  <w:style w:type="paragraph" w:styleId="ListContinue5">
    <w:name w:val="List Continue 5"/>
    <w:basedOn w:val="Normal"/>
    <w:rsid w:val="002F54BC"/>
    <w:pPr>
      <w:ind w:left="1415"/>
    </w:pPr>
    <w:rPr>
      <w:rFonts w:ascii="Times New Roman" w:eastAsia="MS Mincho" w:hAnsi="Times New Roman"/>
      <w:sz w:val="24"/>
      <w:lang w:eastAsia="ja-JP"/>
    </w:rPr>
  </w:style>
  <w:style w:type="paragraph" w:styleId="ListNumber2">
    <w:name w:val="List Number 2"/>
    <w:basedOn w:val="Normal"/>
    <w:rsid w:val="002F54BC"/>
    <w:pPr>
      <w:tabs>
        <w:tab w:val="num" w:pos="643"/>
      </w:tabs>
      <w:ind w:left="643" w:hanging="360"/>
    </w:pPr>
    <w:rPr>
      <w:rFonts w:ascii="Times New Roman" w:eastAsia="MS Mincho" w:hAnsi="Times New Roman"/>
      <w:sz w:val="24"/>
      <w:lang w:eastAsia="ja-JP"/>
    </w:rPr>
  </w:style>
  <w:style w:type="paragraph" w:styleId="ListNumber3">
    <w:name w:val="List Number 3"/>
    <w:basedOn w:val="Normal"/>
    <w:rsid w:val="002F54BC"/>
    <w:pPr>
      <w:tabs>
        <w:tab w:val="num" w:pos="926"/>
      </w:tabs>
      <w:ind w:left="926" w:hanging="360"/>
    </w:pPr>
    <w:rPr>
      <w:rFonts w:ascii="Times New Roman" w:eastAsia="MS Mincho" w:hAnsi="Times New Roman"/>
      <w:sz w:val="24"/>
      <w:lang w:eastAsia="ja-JP"/>
    </w:rPr>
  </w:style>
  <w:style w:type="paragraph" w:styleId="ListNumber4">
    <w:name w:val="List Number 4"/>
    <w:basedOn w:val="Normal"/>
    <w:rsid w:val="002F54BC"/>
    <w:pPr>
      <w:tabs>
        <w:tab w:val="num" w:pos="1209"/>
      </w:tabs>
      <w:ind w:left="1209" w:hanging="360"/>
    </w:pPr>
    <w:rPr>
      <w:rFonts w:ascii="Times New Roman" w:eastAsia="MS Mincho" w:hAnsi="Times New Roman"/>
      <w:sz w:val="24"/>
      <w:lang w:eastAsia="ja-JP"/>
    </w:rPr>
  </w:style>
  <w:style w:type="paragraph" w:styleId="MacroText">
    <w:name w:val="macro"/>
    <w:semiHidden/>
    <w:rsid w:val="002F54B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MeetinglanguageDate">
    <w:name w:val="Meeting language &amp; Date"/>
    <w:basedOn w:val="Normal"/>
    <w:next w:val="Meetingtitle"/>
    <w:rsid w:val="002F54BC"/>
    <w:pPr>
      <w:spacing w:after="1680" w:line="160" w:lineRule="exact"/>
      <w:contextualSpacing/>
      <w:jc w:val="right"/>
    </w:pPr>
    <w:rPr>
      <w:rFonts w:ascii="Arial Black" w:hAnsi="Arial Black"/>
      <w:b/>
      <w:caps/>
      <w:sz w:val="15"/>
      <w:lang w:val="fr-FR"/>
    </w:rPr>
  </w:style>
  <w:style w:type="paragraph" w:customStyle="1" w:styleId="MeetingCode">
    <w:name w:val="Meeting Code"/>
    <w:basedOn w:val="MeetinglanguageDate"/>
    <w:rsid w:val="002F54BC"/>
    <w:pPr>
      <w:spacing w:before="300" w:after="0"/>
    </w:pPr>
  </w:style>
  <w:style w:type="paragraph" w:customStyle="1" w:styleId="Sessiontitle">
    <w:name w:val="Session title"/>
    <w:basedOn w:val="Meetingtitle"/>
    <w:next w:val="Normal"/>
    <w:rsid w:val="002F54BC"/>
    <w:pPr>
      <w:spacing w:after="0"/>
    </w:pPr>
    <w:rPr>
      <w:caps w:val="0"/>
    </w:rPr>
  </w:style>
  <w:style w:type="paragraph" w:customStyle="1" w:styleId="Meetingdateplace">
    <w:name w:val="Meeting date &amp; place"/>
    <w:basedOn w:val="Sessiontitle"/>
    <w:next w:val="Documenttitle"/>
    <w:rsid w:val="002F54BC"/>
    <w:rPr>
      <w:sz w:val="24"/>
      <w:lang w:val="en-US"/>
    </w:rPr>
  </w:style>
  <w:style w:type="paragraph" w:customStyle="1" w:styleId="Meetingplacedate">
    <w:name w:val="Meeting place &amp; date"/>
    <w:basedOn w:val="Sessiontitle"/>
    <w:next w:val="Documenttitle"/>
    <w:rsid w:val="002F54BC"/>
  </w:style>
  <w:style w:type="paragraph" w:customStyle="1" w:styleId="Normala">
    <w:name w:val="Normal (a)"/>
    <w:basedOn w:val="Normal"/>
    <w:link w:val="NormalaChar"/>
    <w:rsid w:val="002F54BC"/>
    <w:pPr>
      <w:ind w:left="2155"/>
    </w:pPr>
  </w:style>
  <w:style w:type="character" w:customStyle="1" w:styleId="NormalaChar">
    <w:name w:val="Normal (a) Char"/>
    <w:link w:val="Normala"/>
    <w:rsid w:val="002F54BC"/>
    <w:rPr>
      <w:rFonts w:ascii="Arial" w:hAnsi="Arial" w:cs="Arial"/>
      <w:sz w:val="22"/>
      <w:lang w:val="en-US" w:eastAsia="en-US" w:bidi="ar-SA"/>
    </w:rPr>
  </w:style>
  <w:style w:type="paragraph" w:customStyle="1" w:styleId="Normalai">
    <w:name w:val="Normal (a)(i)"/>
    <w:basedOn w:val="Normal"/>
    <w:rsid w:val="002F54BC"/>
    <w:pPr>
      <w:ind w:left="2722"/>
    </w:pPr>
    <w:rPr>
      <w:lang w:eastAsia="ja-JP"/>
    </w:rPr>
  </w:style>
  <w:style w:type="paragraph" w:styleId="NormalWeb">
    <w:name w:val="Normal (Web)"/>
    <w:basedOn w:val="Normal"/>
    <w:rsid w:val="002F54BC"/>
    <w:pPr>
      <w:spacing w:before="100" w:beforeAutospacing="1" w:after="100" w:afterAutospacing="1"/>
    </w:pPr>
    <w:rPr>
      <w:rFonts w:eastAsia="MS Mincho"/>
      <w:sz w:val="18"/>
      <w:szCs w:val="18"/>
      <w:lang w:eastAsia="ja-JP"/>
    </w:rPr>
  </w:style>
  <w:style w:type="paragraph" w:styleId="NormalIndent">
    <w:name w:val="Normal Indent"/>
    <w:basedOn w:val="Normal"/>
    <w:semiHidden/>
    <w:rsid w:val="002F54BC"/>
    <w:pPr>
      <w:ind w:left="567"/>
    </w:pPr>
  </w:style>
  <w:style w:type="paragraph" w:customStyle="1" w:styleId="Normal-Autofields">
    <w:name w:val="Normal-Autofields"/>
    <w:basedOn w:val="Normal"/>
    <w:rsid w:val="002F54BC"/>
  </w:style>
  <w:style w:type="paragraph" w:customStyle="1" w:styleId="Normal-Header">
    <w:name w:val="Normal-Header"/>
    <w:rsid w:val="002F54BC"/>
    <w:rPr>
      <w:rFonts w:ascii="Arial" w:hAnsi="Arial"/>
      <w:sz w:val="16"/>
    </w:rPr>
  </w:style>
  <w:style w:type="paragraph" w:customStyle="1" w:styleId="Organizer">
    <w:name w:val="Organizer"/>
    <w:basedOn w:val="Normal"/>
    <w:semiHidden/>
    <w:rsid w:val="002F54BC"/>
    <w:pPr>
      <w:spacing w:after="600"/>
      <w:ind w:left="-992" w:right="-992"/>
      <w:jc w:val="center"/>
    </w:pPr>
    <w:rPr>
      <w:b/>
      <w:caps/>
      <w:kern w:val="26"/>
      <w:sz w:val="26"/>
    </w:rPr>
  </w:style>
  <w:style w:type="character" w:styleId="PageNumber">
    <w:name w:val="page number"/>
    <w:basedOn w:val="DefaultParagraphFont"/>
    <w:rsid w:val="00E04DD1"/>
  </w:style>
  <w:style w:type="paragraph" w:customStyle="1" w:styleId="Para1">
    <w:name w:val="Para 1."/>
    <w:basedOn w:val="Normal"/>
    <w:rsid w:val="002F54BC"/>
    <w:rPr>
      <w:rFonts w:ascii="Times New Roman" w:hAnsi="Times New Roman"/>
      <w:sz w:val="24"/>
      <w:lang w:eastAsia="ja-JP"/>
    </w:rPr>
  </w:style>
  <w:style w:type="character" w:customStyle="1" w:styleId="patentscopemark1">
    <w:name w:val="patentscopemark1"/>
    <w:rsid w:val="002F54BC"/>
    <w:rPr>
      <w:caps/>
      <w:sz w:val="22"/>
      <w:szCs w:val="22"/>
    </w:rPr>
  </w:style>
  <w:style w:type="paragraph" w:customStyle="1" w:styleId="Session">
    <w:name w:val="Session"/>
    <w:basedOn w:val="Normal"/>
    <w:semiHidden/>
    <w:rsid w:val="002F54BC"/>
    <w:pPr>
      <w:spacing w:before="60"/>
      <w:jc w:val="center"/>
    </w:pPr>
    <w:rPr>
      <w:b/>
      <w:sz w:val="30"/>
    </w:rPr>
  </w:style>
  <w:style w:type="paragraph" w:customStyle="1" w:styleId="PlaceAndDate">
    <w:name w:val="PlaceAndDate"/>
    <w:basedOn w:val="Session"/>
    <w:semiHidden/>
    <w:rsid w:val="002F54BC"/>
  </w:style>
  <w:style w:type="paragraph" w:customStyle="1" w:styleId="preparedby">
    <w:name w:val="prepared by"/>
    <w:basedOn w:val="Normal"/>
    <w:next w:val="Normal"/>
    <w:rsid w:val="002F54BC"/>
    <w:pPr>
      <w:spacing w:after="480"/>
    </w:pPr>
    <w:rPr>
      <w:i/>
    </w:rPr>
  </w:style>
  <w:style w:type="paragraph" w:styleId="Quote">
    <w:name w:val="Quote"/>
    <w:basedOn w:val="Normal"/>
    <w:qFormat/>
    <w:rsid w:val="002F54BC"/>
    <w:pPr>
      <w:ind w:left="2155"/>
    </w:pPr>
  </w:style>
  <w:style w:type="paragraph" w:customStyle="1" w:styleId="Quotesub">
    <w:name w:val="Quote sub"/>
    <w:basedOn w:val="Normal"/>
    <w:rsid w:val="002F54BC"/>
    <w:pPr>
      <w:tabs>
        <w:tab w:val="left" w:pos="567"/>
        <w:tab w:val="left" w:pos="1134"/>
      </w:tabs>
      <w:ind w:left="2722"/>
    </w:pPr>
  </w:style>
  <w:style w:type="paragraph" w:customStyle="1" w:styleId="RComment">
    <w:name w:val="RComment"/>
    <w:basedOn w:val="Normal"/>
    <w:next w:val="Normal"/>
    <w:link w:val="RCommentChar"/>
    <w:rsid w:val="002F54BC"/>
    <w:pPr>
      <w:tabs>
        <w:tab w:val="left" w:pos="567"/>
      </w:tabs>
      <w:spacing w:after="600"/>
    </w:pPr>
    <w:rPr>
      <w:rFonts w:ascii="Times New Roman" w:hAnsi="Times New Roman"/>
      <w:sz w:val="24"/>
      <w:lang w:eastAsia="ja-JP"/>
    </w:rPr>
  </w:style>
  <w:style w:type="character" w:customStyle="1" w:styleId="RCommentChar">
    <w:name w:val="RComment Char"/>
    <w:link w:val="RComment"/>
    <w:rsid w:val="002F54BC"/>
    <w:rPr>
      <w:rFonts w:cs="Arial"/>
      <w:sz w:val="24"/>
      <w:lang w:val="en-US" w:eastAsia="ja-JP" w:bidi="ar-SA"/>
    </w:rPr>
  </w:style>
  <w:style w:type="paragraph" w:customStyle="1" w:styleId="RContinued">
    <w:name w:val="RContinued"/>
    <w:basedOn w:val="Normal"/>
    <w:next w:val="Normal"/>
    <w:rsid w:val="00E04DD1"/>
    <w:pPr>
      <w:pageBreakBefore/>
      <w:tabs>
        <w:tab w:val="left" w:pos="567"/>
      </w:tabs>
      <w:spacing w:after="360" w:line="480" w:lineRule="auto"/>
      <w:jc w:val="center"/>
    </w:pPr>
    <w:rPr>
      <w:rFonts w:ascii="Times New Roman" w:eastAsia="Times New Roman" w:hAnsi="Times New Roman"/>
      <w:i/>
      <w:sz w:val="24"/>
      <w:lang w:eastAsia="ja-JP"/>
    </w:rPr>
  </w:style>
  <w:style w:type="character" w:customStyle="1" w:styleId="RDeletedText">
    <w:name w:val="RDeletedText"/>
    <w:rsid w:val="002F54BC"/>
    <w:rPr>
      <w:strike/>
      <w:color w:val="FF0000"/>
    </w:rPr>
  </w:style>
  <w:style w:type="character" w:customStyle="1" w:styleId="RInsertedText">
    <w:name w:val="RInsertedText"/>
    <w:rsid w:val="002F54BC"/>
    <w:rPr>
      <w:color w:val="0000FF"/>
      <w:u w:val="single"/>
    </w:rPr>
  </w:style>
  <w:style w:type="character" w:customStyle="1" w:styleId="RItalic">
    <w:name w:val="RItalic"/>
    <w:rsid w:val="002F54BC"/>
    <w:rPr>
      <w:i/>
    </w:rPr>
  </w:style>
  <w:style w:type="paragraph" w:customStyle="1" w:styleId="RNoMain">
    <w:name w:val="RNo.(Main)"/>
    <w:basedOn w:val="Normal"/>
    <w:next w:val="Normal"/>
    <w:link w:val="RNoMainChar"/>
    <w:rsid w:val="002F54BC"/>
    <w:pPr>
      <w:keepNext/>
      <w:pageBreakBefore/>
      <w:tabs>
        <w:tab w:val="left" w:pos="57"/>
      </w:tabs>
      <w:spacing w:after="600" w:line="480" w:lineRule="auto"/>
      <w:jc w:val="center"/>
    </w:pPr>
    <w:rPr>
      <w:b/>
      <w:lang w:val="fr-FR" w:eastAsia="ja-JP"/>
    </w:rPr>
  </w:style>
  <w:style w:type="character" w:customStyle="1" w:styleId="RNoMainChar">
    <w:name w:val="RNo.(Main) Char"/>
    <w:link w:val="RNoMain"/>
    <w:rsid w:val="002F54BC"/>
    <w:rPr>
      <w:rFonts w:ascii="Arial" w:hAnsi="Arial" w:cs="Arial"/>
      <w:b/>
      <w:sz w:val="22"/>
      <w:lang w:val="fr-FR" w:eastAsia="ja-JP" w:bidi="ar-SA"/>
    </w:rPr>
  </w:style>
  <w:style w:type="paragraph" w:customStyle="1" w:styleId="RPara">
    <w:name w:val="RPar(a)"/>
    <w:basedOn w:val="Normal"/>
    <w:link w:val="RParaChar"/>
    <w:rsid w:val="002F54BC"/>
    <w:pPr>
      <w:tabs>
        <w:tab w:val="left" w:pos="567"/>
      </w:tabs>
      <w:spacing w:after="360" w:line="480" w:lineRule="auto"/>
    </w:pPr>
    <w:rPr>
      <w:rFonts w:ascii="Times New Roman" w:hAnsi="Times New Roman"/>
      <w:sz w:val="24"/>
      <w:lang w:eastAsia="ja-JP"/>
    </w:rPr>
  </w:style>
  <w:style w:type="character" w:customStyle="1" w:styleId="RParaChar">
    <w:name w:val="RPar(a) Char"/>
    <w:link w:val="RPara"/>
    <w:rsid w:val="002F54BC"/>
    <w:rPr>
      <w:rFonts w:cs="Arial"/>
      <w:sz w:val="24"/>
      <w:lang w:val="en-US" w:eastAsia="ja-JP" w:bidi="ar-SA"/>
    </w:rPr>
  </w:style>
  <w:style w:type="paragraph" w:customStyle="1" w:styleId="RPari">
    <w:name w:val="RPar(i)"/>
    <w:basedOn w:val="Normal"/>
    <w:link w:val="RPariChar"/>
    <w:rsid w:val="00E04DD1"/>
    <w:pPr>
      <w:tabs>
        <w:tab w:val="right" w:pos="1276"/>
        <w:tab w:val="left" w:pos="1418"/>
      </w:tabs>
      <w:spacing w:after="600" w:line="480" w:lineRule="auto"/>
    </w:pPr>
    <w:rPr>
      <w:rFonts w:eastAsia="Times New Roman" w:cs="Times New Roman"/>
      <w:sz w:val="20"/>
      <w:lang w:eastAsia="en-US"/>
    </w:rPr>
  </w:style>
  <w:style w:type="character" w:customStyle="1" w:styleId="RPariChar">
    <w:name w:val="RPar(i) Char"/>
    <w:link w:val="RPari"/>
    <w:rsid w:val="00E04DD1"/>
    <w:rPr>
      <w:rFonts w:ascii="Arial" w:hAnsi="Arial"/>
      <w:lang w:val="en-US" w:eastAsia="en-US" w:bidi="ar-SA"/>
    </w:rPr>
  </w:style>
  <w:style w:type="paragraph" w:customStyle="1" w:styleId="RPariIndent">
    <w:name w:val="RPar(i)Indent"/>
    <w:basedOn w:val="RPari"/>
    <w:rsid w:val="002F54BC"/>
    <w:pPr>
      <w:ind w:left="1418" w:hanging="1418"/>
    </w:pPr>
  </w:style>
  <w:style w:type="paragraph" w:customStyle="1" w:styleId="RTitleSub">
    <w:name w:val="RTitle(Sub)"/>
    <w:basedOn w:val="Normal"/>
    <w:next w:val="RPara"/>
    <w:rsid w:val="002F54BC"/>
    <w:pPr>
      <w:keepNext/>
      <w:tabs>
        <w:tab w:val="left" w:pos="567"/>
      </w:tabs>
      <w:spacing w:after="360" w:line="480" w:lineRule="auto"/>
    </w:pPr>
    <w:rPr>
      <w:rFonts w:ascii="Times New Roman" w:hAnsi="Times New Roman"/>
      <w:sz w:val="24"/>
      <w:lang w:eastAsia="ja-JP"/>
    </w:rPr>
  </w:style>
  <w:style w:type="paragraph" w:customStyle="1" w:styleId="Signaturealigned">
    <w:name w:val="Signature_aligned"/>
    <w:basedOn w:val="Normal"/>
    <w:rsid w:val="002F54BC"/>
    <w:pPr>
      <w:ind w:left="5534"/>
    </w:pPr>
  </w:style>
  <w:style w:type="table" w:styleId="TableGrid">
    <w:name w:val="Table Grid"/>
    <w:basedOn w:val="TableNormal"/>
    <w:rsid w:val="002F54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e">
    <w:name w:val="Table note"/>
    <w:basedOn w:val="Normal"/>
    <w:rsid w:val="002F54BC"/>
    <w:pPr>
      <w:keepNext/>
      <w:keepLines/>
      <w:autoSpaceDE w:val="0"/>
      <w:autoSpaceDN w:val="0"/>
      <w:adjustRightInd w:val="0"/>
    </w:pPr>
    <w:rPr>
      <w:sz w:val="14"/>
      <w:szCs w:val="14"/>
    </w:rPr>
  </w:style>
  <w:style w:type="paragraph" w:styleId="TableofAuthorities">
    <w:name w:val="table of authorities"/>
    <w:basedOn w:val="Normal"/>
    <w:next w:val="Normal"/>
    <w:rsid w:val="002F54BC"/>
    <w:pPr>
      <w:ind w:left="200" w:hanging="200"/>
    </w:pPr>
  </w:style>
  <w:style w:type="paragraph" w:styleId="TableofFigures">
    <w:name w:val="table of figures"/>
    <w:basedOn w:val="Normal"/>
    <w:next w:val="Normal"/>
    <w:rsid w:val="002F54BC"/>
  </w:style>
  <w:style w:type="paragraph" w:customStyle="1" w:styleId="Tabletext">
    <w:name w:val="Table text"/>
    <w:basedOn w:val="Normal"/>
    <w:rsid w:val="002F54BC"/>
    <w:pPr>
      <w:keepNext/>
      <w:keepLines/>
    </w:pPr>
    <w:rPr>
      <w:snapToGrid w:val="0"/>
      <w:sz w:val="16"/>
      <w:szCs w:val="16"/>
    </w:rPr>
  </w:style>
  <w:style w:type="paragraph" w:customStyle="1" w:styleId="TESTintellectualproperty">
    <w:name w:val="TESTintellectualproperty"/>
    <w:basedOn w:val="Normal"/>
    <w:link w:val="TESTintellectualpropertyChar"/>
    <w:semiHidden/>
    <w:rsid w:val="002F54BC"/>
    <w:pPr>
      <w:ind w:left="4848"/>
    </w:pPr>
    <w:rPr>
      <w:caps/>
      <w:sz w:val="16"/>
    </w:rPr>
  </w:style>
  <w:style w:type="character" w:customStyle="1" w:styleId="TESTintellectualpropertyChar">
    <w:name w:val="TESTintellectualproperty Char"/>
    <w:link w:val="TESTintellectualproperty"/>
    <w:rsid w:val="002F54BC"/>
    <w:rPr>
      <w:rFonts w:ascii="Arial" w:hAnsi="Arial" w:cs="Arial"/>
      <w:caps/>
      <w:sz w:val="16"/>
      <w:lang w:val="en-US" w:eastAsia="en-US" w:bidi="ar-SA"/>
    </w:rPr>
  </w:style>
  <w:style w:type="paragraph" w:customStyle="1" w:styleId="TESTIintellectual">
    <w:name w:val="TEST I intellectual"/>
    <w:basedOn w:val="TESTintellectualproperty"/>
    <w:link w:val="TESTIintellectualChar"/>
    <w:semiHidden/>
    <w:rsid w:val="002F54BC"/>
    <w:rPr>
      <w:rFonts w:ascii="Arial Black" w:hAnsi="Arial Black"/>
    </w:rPr>
  </w:style>
  <w:style w:type="character" w:customStyle="1" w:styleId="TESTIintellectualChar">
    <w:name w:val="TEST I intellectual Char"/>
    <w:link w:val="TESTIintellectual"/>
    <w:rsid w:val="002F54BC"/>
    <w:rPr>
      <w:rFonts w:ascii="Arial Black" w:hAnsi="Arial Black" w:cs="Arial"/>
      <w:caps/>
      <w:sz w:val="16"/>
      <w:lang w:val="en-US" w:eastAsia="en-US" w:bidi="ar-SA"/>
    </w:rPr>
  </w:style>
  <w:style w:type="paragraph" w:customStyle="1" w:styleId="TESTorganisation">
    <w:name w:val="TESTorganisation"/>
    <w:basedOn w:val="TESTintellectualproperty"/>
    <w:next w:val="MeetingCode"/>
    <w:link w:val="TESTorganisationChar"/>
    <w:semiHidden/>
    <w:rsid w:val="002F54BC"/>
  </w:style>
  <w:style w:type="character" w:customStyle="1" w:styleId="TESTorganisationChar">
    <w:name w:val="TESTorganisation Char"/>
    <w:basedOn w:val="TESTintellectualpropertyChar"/>
    <w:link w:val="TESTorganisation"/>
    <w:rsid w:val="002F54BC"/>
    <w:rPr>
      <w:rFonts w:ascii="Arial" w:hAnsi="Arial" w:cs="Arial"/>
      <w:caps/>
      <w:sz w:val="16"/>
      <w:lang w:val="en-US" w:eastAsia="en-US" w:bidi="ar-SA"/>
    </w:rPr>
  </w:style>
  <w:style w:type="paragraph" w:customStyle="1" w:styleId="TESTIorganisation">
    <w:name w:val="TEST I organisation"/>
    <w:basedOn w:val="TESTorganisation"/>
    <w:link w:val="TESTIorganisationChar"/>
    <w:semiHidden/>
    <w:rsid w:val="002F54BC"/>
    <w:rPr>
      <w:b/>
    </w:rPr>
  </w:style>
  <w:style w:type="character" w:customStyle="1" w:styleId="TESTIorganisationChar">
    <w:name w:val="TEST I organisation Char"/>
    <w:link w:val="TESTIorganisation"/>
    <w:rsid w:val="002F54BC"/>
    <w:rPr>
      <w:rFonts w:ascii="Arial" w:hAnsi="Arial" w:cs="Arial"/>
      <w:b/>
      <w:caps/>
      <w:sz w:val="16"/>
      <w:lang w:val="en-US" w:eastAsia="en-US" w:bidi="ar-SA"/>
    </w:rPr>
  </w:style>
  <w:style w:type="paragraph" w:customStyle="1" w:styleId="TESTwiposouslogo">
    <w:name w:val="TESTwiposouslogo"/>
    <w:basedOn w:val="Normal"/>
    <w:link w:val="TESTwiposouslogoChar"/>
    <w:semiHidden/>
    <w:rsid w:val="002F54BC"/>
    <w:pPr>
      <w:spacing w:line="0" w:lineRule="atLeast"/>
      <w:ind w:right="4933"/>
      <w:jc w:val="right"/>
    </w:pPr>
    <w:rPr>
      <w:b/>
      <w:w w:val="150"/>
      <w:sz w:val="24"/>
      <w:lang w:val="fr-FR"/>
    </w:rPr>
  </w:style>
  <w:style w:type="character" w:customStyle="1" w:styleId="TESTwiposouslogoChar">
    <w:name w:val="TESTwiposouslogo Char"/>
    <w:link w:val="TESTwiposouslogo"/>
    <w:rsid w:val="002F54BC"/>
    <w:rPr>
      <w:rFonts w:ascii="Arial" w:hAnsi="Arial" w:cs="Arial"/>
      <w:b/>
      <w:w w:val="150"/>
      <w:sz w:val="24"/>
      <w:lang w:val="fr-FR" w:eastAsia="en-US" w:bidi="ar-SA"/>
    </w:rPr>
  </w:style>
  <w:style w:type="paragraph" w:customStyle="1" w:styleId="TestIWIPO">
    <w:name w:val="Test I WIPO"/>
    <w:basedOn w:val="TESTwiposouslogo"/>
    <w:link w:val="TestIWIPOChar"/>
    <w:semiHidden/>
    <w:rsid w:val="002F54BC"/>
    <w:pPr>
      <w:ind w:right="4763"/>
    </w:pPr>
    <w:rPr>
      <w:sz w:val="28"/>
      <w:szCs w:val="28"/>
    </w:rPr>
  </w:style>
  <w:style w:type="character" w:customStyle="1" w:styleId="TestIWIPOChar">
    <w:name w:val="Test I WIPO Char"/>
    <w:link w:val="TestIWIPO"/>
    <w:rsid w:val="002F54BC"/>
    <w:rPr>
      <w:rFonts w:ascii="Arial" w:hAnsi="Arial" w:cs="Arial"/>
      <w:b/>
      <w:w w:val="150"/>
      <w:sz w:val="28"/>
      <w:szCs w:val="28"/>
      <w:lang w:val="fr-FR" w:eastAsia="en-US" w:bidi="ar-SA"/>
    </w:rPr>
  </w:style>
  <w:style w:type="paragraph" w:customStyle="1" w:styleId="TESTworld">
    <w:name w:val="TESTworld"/>
    <w:basedOn w:val="TESTwiposouslogo"/>
    <w:semiHidden/>
    <w:rsid w:val="002F54BC"/>
    <w:pPr>
      <w:ind w:right="4763"/>
    </w:pPr>
    <w:rPr>
      <w:b w:val="0"/>
      <w:caps/>
      <w:w w:val="100"/>
      <w:sz w:val="16"/>
    </w:rPr>
  </w:style>
  <w:style w:type="paragraph" w:styleId="Title">
    <w:name w:val="Title"/>
    <w:basedOn w:val="Normal"/>
    <w:qFormat/>
    <w:rsid w:val="002F54BC"/>
    <w:pPr>
      <w:spacing w:after="300"/>
      <w:jc w:val="center"/>
    </w:pPr>
    <w:rPr>
      <w:b/>
      <w:caps/>
      <w:kern w:val="28"/>
      <w:sz w:val="30"/>
    </w:rPr>
  </w:style>
  <w:style w:type="paragraph" w:customStyle="1" w:styleId="TitleofDoc">
    <w:name w:val="Title of Doc"/>
    <w:basedOn w:val="Normal"/>
    <w:rsid w:val="002F54BC"/>
    <w:pPr>
      <w:spacing w:before="1200"/>
      <w:jc w:val="center"/>
    </w:pPr>
    <w:rPr>
      <w:rFonts w:ascii="Times New Roman" w:hAnsi="Times New Roman"/>
      <w:caps/>
      <w:sz w:val="24"/>
      <w:lang w:eastAsia="ja-JP"/>
    </w:rPr>
  </w:style>
  <w:style w:type="paragraph" w:styleId="TOAHeading">
    <w:name w:val="toa heading"/>
    <w:basedOn w:val="Normal"/>
    <w:next w:val="Normal"/>
    <w:rsid w:val="002F54BC"/>
    <w:pPr>
      <w:spacing w:before="120"/>
    </w:pPr>
    <w:rPr>
      <w:b/>
      <w:bCs/>
      <w:sz w:val="24"/>
      <w:szCs w:val="24"/>
    </w:rPr>
  </w:style>
  <w:style w:type="paragraph" w:styleId="TOC1">
    <w:name w:val="toc 1"/>
    <w:basedOn w:val="Normal"/>
    <w:next w:val="Normal"/>
    <w:autoRedefine/>
    <w:uiPriority w:val="39"/>
    <w:qFormat/>
    <w:rsid w:val="00E04DD1"/>
    <w:pPr>
      <w:keepNext/>
      <w:keepLines/>
      <w:tabs>
        <w:tab w:val="left" w:pos="567"/>
        <w:tab w:val="right" w:leader="dot" w:pos="9356"/>
      </w:tabs>
      <w:spacing w:before="240" w:after="120"/>
      <w:ind w:left="567" w:hanging="567"/>
    </w:pPr>
    <w:rPr>
      <w:rFonts w:eastAsia="MS Mincho" w:cs="Times New Roman"/>
      <w:noProof/>
      <w:lang w:eastAsia="ja-JP"/>
    </w:rPr>
  </w:style>
  <w:style w:type="paragraph" w:styleId="TOC2">
    <w:name w:val="toc 2"/>
    <w:basedOn w:val="Normal"/>
    <w:next w:val="Normal"/>
    <w:autoRedefine/>
    <w:uiPriority w:val="39"/>
    <w:qFormat/>
    <w:rsid w:val="00E04DD1"/>
    <w:pPr>
      <w:keepLines/>
      <w:tabs>
        <w:tab w:val="right" w:leader="dot" w:pos="9356"/>
      </w:tabs>
      <w:spacing w:after="120"/>
      <w:ind w:left="1021" w:hanging="567"/>
    </w:pPr>
    <w:rPr>
      <w:rFonts w:eastAsia="MS Mincho" w:cs="Times New Roman"/>
      <w:i/>
      <w:noProof/>
      <w:lang w:eastAsia="ja-JP"/>
    </w:rPr>
  </w:style>
  <w:style w:type="paragraph" w:styleId="TOC3">
    <w:name w:val="toc 3"/>
    <w:basedOn w:val="Normal"/>
    <w:next w:val="Normal"/>
    <w:autoRedefine/>
    <w:uiPriority w:val="39"/>
    <w:qFormat/>
    <w:rsid w:val="002F54BC"/>
    <w:pPr>
      <w:tabs>
        <w:tab w:val="left" w:pos="960"/>
        <w:tab w:val="right" w:leader="dot" w:pos="9639"/>
      </w:tabs>
      <w:ind w:left="2722" w:right="566"/>
    </w:pPr>
    <w:rPr>
      <w:i/>
      <w:lang w:eastAsia="ja-JP"/>
    </w:rPr>
  </w:style>
  <w:style w:type="paragraph" w:styleId="TOC4">
    <w:name w:val="toc 4"/>
    <w:basedOn w:val="Normal"/>
    <w:next w:val="Normal"/>
    <w:autoRedefine/>
    <w:rsid w:val="002F54BC"/>
    <w:pPr>
      <w:ind w:left="600"/>
    </w:pPr>
  </w:style>
  <w:style w:type="paragraph" w:styleId="TOC5">
    <w:name w:val="toc 5"/>
    <w:basedOn w:val="Normal"/>
    <w:next w:val="Normal"/>
    <w:autoRedefine/>
    <w:rsid w:val="002F54BC"/>
    <w:pPr>
      <w:ind w:left="800"/>
    </w:pPr>
  </w:style>
  <w:style w:type="paragraph" w:styleId="TOC6">
    <w:name w:val="toc 6"/>
    <w:basedOn w:val="Normal"/>
    <w:next w:val="Normal"/>
    <w:autoRedefine/>
    <w:rsid w:val="002F54BC"/>
    <w:pPr>
      <w:ind w:left="1000"/>
    </w:pPr>
  </w:style>
  <w:style w:type="paragraph" w:styleId="TOC7">
    <w:name w:val="toc 7"/>
    <w:basedOn w:val="Normal"/>
    <w:next w:val="Normal"/>
    <w:autoRedefine/>
    <w:rsid w:val="002F54BC"/>
    <w:pPr>
      <w:ind w:left="1200"/>
    </w:pPr>
  </w:style>
  <w:style w:type="paragraph" w:styleId="TOC8">
    <w:name w:val="toc 8"/>
    <w:basedOn w:val="Normal"/>
    <w:next w:val="Normal"/>
    <w:autoRedefine/>
    <w:rsid w:val="002F54BC"/>
    <w:pPr>
      <w:ind w:left="1400"/>
    </w:pPr>
  </w:style>
  <w:style w:type="paragraph" w:styleId="TOC9">
    <w:name w:val="toc 9"/>
    <w:basedOn w:val="Normal"/>
    <w:next w:val="Normal"/>
    <w:semiHidden/>
    <w:rsid w:val="002F54BC"/>
    <w:pPr>
      <w:tabs>
        <w:tab w:val="right" w:leader="dot" w:pos="9071"/>
      </w:tabs>
      <w:ind w:left="1920"/>
    </w:pPr>
  </w:style>
  <w:style w:type="character" w:customStyle="1" w:styleId="StyleLegDeletedText">
    <w:name w:val="Style LegDeletedText +"/>
    <w:rsid w:val="00E04DD1"/>
    <w:rPr>
      <w:strike/>
      <w:color w:val="FF0000"/>
      <w:sz w:val="22"/>
    </w:rPr>
  </w:style>
  <w:style w:type="paragraph" w:styleId="Header">
    <w:name w:val="header"/>
    <w:basedOn w:val="Normal"/>
    <w:rsid w:val="004434E4"/>
    <w:pPr>
      <w:tabs>
        <w:tab w:val="center" w:pos="4320"/>
        <w:tab w:val="right" w:pos="8640"/>
      </w:tabs>
    </w:pPr>
  </w:style>
  <w:style w:type="character" w:customStyle="1" w:styleId="Heading1Char">
    <w:name w:val="Heading 1 Char"/>
    <w:link w:val="Heading1"/>
    <w:rsid w:val="00D06340"/>
    <w:rPr>
      <w:rFonts w:ascii="Arial" w:eastAsia="SimSun" w:hAnsi="Arial" w:cs="Arial"/>
      <w:b/>
      <w:bCs/>
      <w:caps/>
      <w:kern w:val="32"/>
      <w:sz w:val="22"/>
      <w:szCs w:val="32"/>
      <w:lang w:eastAsia="zh-CN"/>
    </w:rPr>
  </w:style>
  <w:style w:type="paragraph" w:styleId="FootnoteText">
    <w:name w:val="footnote text"/>
    <w:basedOn w:val="Normal"/>
    <w:link w:val="FootnoteTextChar"/>
    <w:uiPriority w:val="99"/>
    <w:unhideWhenUsed/>
    <w:rsid w:val="0081645F"/>
    <w:rPr>
      <w:rFonts w:ascii="Times New Roman" w:eastAsia="Calibri" w:hAnsi="Times New Roman" w:cs="Times New Roman"/>
      <w:sz w:val="20"/>
      <w:lang w:eastAsia="en-US"/>
    </w:rPr>
  </w:style>
  <w:style w:type="character" w:customStyle="1" w:styleId="FootnoteTextChar">
    <w:name w:val="Footnote Text Char"/>
    <w:link w:val="FootnoteText"/>
    <w:uiPriority w:val="99"/>
    <w:rsid w:val="0081645F"/>
    <w:rPr>
      <w:rFonts w:eastAsia="Calibri"/>
    </w:rPr>
  </w:style>
  <w:style w:type="paragraph" w:styleId="TOCHeading">
    <w:name w:val="TOC Heading"/>
    <w:basedOn w:val="Heading1"/>
    <w:next w:val="Normal"/>
    <w:uiPriority w:val="39"/>
    <w:semiHidden/>
    <w:unhideWhenUsed/>
    <w:qFormat/>
    <w:rsid w:val="00A440C7"/>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28CF9-AC24-46B1-BBB4-EA0E429B0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2569</Words>
  <Characters>13996</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PCT/WG/617</vt:lpstr>
    </vt:vector>
  </TitlesOfParts>
  <Company>WIPO</Company>
  <LinksUpToDate>false</LinksUpToDate>
  <CharactersWithSpaces>16532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PCT/WG/617</dc:title>
  <dc:subject>Introduction of Mandatory Response to a Negative Written Opinion of the International Searching Authority or International Preliminary Examining Report</dc:subject>
  <dc:creator>WIPO</dc:creator>
  <cp:lastModifiedBy>MARLOW Thomas</cp:lastModifiedBy>
  <cp:revision>14</cp:revision>
  <cp:lastPrinted>2014-01-21T15:30:00Z</cp:lastPrinted>
  <dcterms:created xsi:type="dcterms:W3CDTF">2014-01-20T12:59:00Z</dcterms:created>
  <dcterms:modified xsi:type="dcterms:W3CDTF">2014-01-21T15:34:00Z</dcterms:modified>
</cp:coreProperties>
</file>