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BAC" w14:textId="77777777" w:rsidR="00621C1C" w:rsidRDefault="000E2CC8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4C8FCCC" wp14:editId="0D96F8C7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6CA0BCD9" w14:textId="77777777" w:rsidR="00621C1C" w:rsidRDefault="000E2CC8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PCT/WG/17/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 PROV. 2</w:t>
      </w:r>
    </w:p>
    <w:p w14:paraId="6D79C917" w14:textId="77777777" w:rsidR="00621C1C" w:rsidRDefault="000E2CC8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1" w:name="Original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14:paraId="742465B9" w14:textId="77777777" w:rsidR="00621C1C" w:rsidRDefault="000E2CC8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 26 يناير 2024</w:t>
      </w:r>
    </w:p>
    <w:bookmarkEnd w:id="2"/>
    <w:p w14:paraId="335F597A" w14:textId="77777777" w:rsidR="00621C1C" w:rsidRDefault="000E2CC8">
      <w:pPr>
        <w:pStyle w:val="Heading1"/>
      </w:pPr>
      <w:r>
        <w:rPr>
          <w:rFonts w:hint="cs"/>
          <w:rtl/>
        </w:rPr>
        <w:t>ا</w:t>
      </w:r>
      <w:r>
        <w:rPr>
          <w:rtl/>
        </w:rPr>
        <w:t>لفريق العامل لمعاهدة التعاون بشأن البراءات</w:t>
      </w:r>
    </w:p>
    <w:p w14:paraId="6BF86D1E" w14:textId="77777777" w:rsidR="00621C1C" w:rsidRDefault="000E2CC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rtl/>
        </w:rPr>
        <w:t>الدورة ال</w:t>
      </w:r>
      <w:r>
        <w:rPr>
          <w:rFonts w:asciiTheme="minorHAnsi" w:hAnsiTheme="minorHAnsi" w:hint="cs"/>
          <w:bCs/>
          <w:sz w:val="24"/>
          <w:szCs w:val="24"/>
          <w:rtl/>
        </w:rPr>
        <w:t>سابع</w:t>
      </w:r>
      <w:r>
        <w:rPr>
          <w:rFonts w:asciiTheme="minorHAnsi" w:hAnsiTheme="minorHAnsi"/>
          <w:bCs/>
          <w:sz w:val="24"/>
          <w:szCs w:val="24"/>
          <w:rtl/>
        </w:rPr>
        <w:t>ة عشرة</w:t>
      </w:r>
    </w:p>
    <w:p w14:paraId="347F02E6" w14:textId="77777777" w:rsidR="00621C1C" w:rsidRDefault="000E2CC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 19 إلى 21 فبراير 2024</w:t>
      </w:r>
    </w:p>
    <w:p w14:paraId="079EF3B8" w14:textId="77777777" w:rsidR="00621C1C" w:rsidRDefault="000E2CC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 المعدّل</w:t>
      </w:r>
    </w:p>
    <w:p w14:paraId="77F89C3A" w14:textId="77777777" w:rsidR="00621C1C" w:rsidRDefault="000E2CC8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من إعداد الأمانة</w:t>
      </w:r>
    </w:p>
    <w:p w14:paraId="178E5ABA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افتتاح الدورة</w:t>
      </w:r>
    </w:p>
    <w:p w14:paraId="4B3B5C93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 xml:space="preserve">اعتماد جدول </w:t>
      </w:r>
      <w:r>
        <w:rPr>
          <w:rtl/>
          <w:lang w:bidi="ar-EG"/>
        </w:rPr>
        <w:t>الأعمال</w:t>
      </w:r>
    </w:p>
    <w:p w14:paraId="3F5B466C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 Prov. 2</w:t>
      </w:r>
      <w:r>
        <w:rPr>
          <w:rFonts w:hint="cs"/>
          <w:rtl/>
          <w:lang w:bidi="ar-EG"/>
        </w:rPr>
        <w:t>.</w:t>
      </w:r>
    </w:p>
    <w:p w14:paraId="2BA980F7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 xml:space="preserve">انتخاب النائب الثاني لرئيس الدورة وأعضاء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مكتب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لدورة الثامنة عشرة</w:t>
      </w:r>
    </w:p>
    <w:p w14:paraId="20C55481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إحصائيات معاهدة التعاون بشأن البراءات</w:t>
      </w:r>
    </w:p>
    <w:p w14:paraId="4D47AB5C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اجتماع الإدارات الدولية العاملة في ظل معاهدة التعاون بشأن البراءات: تقرير الدورة الثلاثين</w:t>
      </w:r>
    </w:p>
    <w:p w14:paraId="5185C1BC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>انظر(ي)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PCT/WG/17/2</w:t>
      </w:r>
      <w:r>
        <w:rPr>
          <w:rFonts w:hint="cs"/>
          <w:rtl/>
          <w:lang w:bidi="ar-EG"/>
        </w:rPr>
        <w:t>.</w:t>
      </w:r>
    </w:p>
    <w:p w14:paraId="136636EC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تنسيق المساعدة التقنية في إطار معاهدة التعاون بشأن البراءات</w:t>
      </w:r>
    </w:p>
    <w:p w14:paraId="5355A53E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PCT/WG/17/19</w:t>
      </w:r>
      <w:r>
        <w:rPr>
          <w:rFonts w:hint="cs"/>
          <w:rtl/>
          <w:lang w:bidi="ar-EG"/>
        </w:rPr>
        <w:t>.</w:t>
      </w:r>
    </w:p>
    <w:p w14:paraId="17B12D7E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تنسيق</w:t>
      </w:r>
      <w:r>
        <w:rPr>
          <w:rFonts w:hint="cs"/>
          <w:rtl/>
        </w:rPr>
        <w:t xml:space="preserve"> </w:t>
      </w:r>
      <w:r>
        <w:rPr>
          <w:rtl/>
          <w:lang w:bidi="ar-EG"/>
        </w:rPr>
        <w:t>تدريب فاحصي البراءات</w:t>
      </w:r>
    </w:p>
    <w:p w14:paraId="032AF8D1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PCT/WG/17/11</w:t>
      </w:r>
      <w:r>
        <w:rPr>
          <w:rFonts w:hint="cs"/>
          <w:rtl/>
          <w:lang w:bidi="ar-EG"/>
        </w:rPr>
        <w:t>.</w:t>
      </w:r>
    </w:p>
    <w:p w14:paraId="22982CB0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الخدمات الشبكية لمعاهدة التعاون بشأن البراءات</w:t>
      </w:r>
    </w:p>
    <w:p w14:paraId="42F72FB6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PCT/WG/17/20</w:t>
      </w:r>
      <w:r>
        <w:rPr>
          <w:rFonts w:hint="cs"/>
          <w:rtl/>
          <w:lang w:bidi="ar-EG"/>
        </w:rPr>
        <w:t>.</w:t>
      </w:r>
    </w:p>
    <w:p w14:paraId="1FEE2672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 xml:space="preserve">وسيلة لإيداع </w:t>
      </w:r>
      <w:r>
        <w:rPr>
          <w:rtl/>
          <w:lang w:bidi="ar-EG"/>
        </w:rPr>
        <w:t>الطلبات الدولية والوثائق ذات الصلة</w:t>
      </w:r>
    </w:p>
    <w:p w14:paraId="0E45A847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PCT/WG/17/15</w:t>
      </w:r>
      <w:r>
        <w:rPr>
          <w:rFonts w:hint="cs"/>
          <w:rtl/>
          <w:lang w:bidi="ar-EG"/>
        </w:rPr>
        <w:t>.</w:t>
      </w:r>
    </w:p>
    <w:p w14:paraId="21555C80" w14:textId="77777777" w:rsidR="00621C1C" w:rsidRDefault="000E2CC8">
      <w:pPr>
        <w:pStyle w:val="ONUMA"/>
        <w:keepNext/>
        <w:spacing w:after="0"/>
        <w:rPr>
          <w:lang w:bidi="ar-EG"/>
        </w:rPr>
      </w:pPr>
      <w:r>
        <w:rPr>
          <w:rtl/>
          <w:lang w:bidi="ar-EG"/>
        </w:rPr>
        <w:lastRenderedPageBreak/>
        <w:t>التدابير القانونية لدعم المعالجة الإلكترونية</w:t>
      </w:r>
    </w:p>
    <w:p w14:paraId="62CA5086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PCT/WG/17/9</w:t>
      </w:r>
      <w:r>
        <w:rPr>
          <w:rFonts w:hint="cs"/>
          <w:rtl/>
          <w:lang w:bidi="ar-EG"/>
        </w:rPr>
        <w:t>.</w:t>
      </w:r>
    </w:p>
    <w:p w14:paraId="067FFD19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 xml:space="preserve">حماية البيانات الشخصية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معاهدة التعاون بشأن البراءات</w:t>
      </w:r>
    </w:p>
    <w:p w14:paraId="771D6871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PCT/WG/17/8</w:t>
      </w:r>
      <w:r>
        <w:rPr>
          <w:rFonts w:hint="cs"/>
          <w:rtl/>
          <w:lang w:bidi="ar-EG"/>
        </w:rPr>
        <w:t>.</w:t>
      </w:r>
    </w:p>
    <w:p w14:paraId="3E3CB861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لغات التواصل للمكتب الدولي</w:t>
      </w:r>
    </w:p>
    <w:p w14:paraId="3A7A287F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</w:t>
      </w:r>
      <w:r>
        <w:rPr>
          <w:rFonts w:hint="cs"/>
          <w:rtl/>
          <w:lang w:bidi="ar-EG"/>
        </w:rPr>
        <w:t xml:space="preserve">الوثيقة </w:t>
      </w:r>
      <w:r>
        <w:rPr>
          <w:lang w:bidi="ar-EG"/>
        </w:rPr>
        <w:t>PCT/WG/17/6</w:t>
      </w:r>
      <w:r>
        <w:rPr>
          <w:rFonts w:hint="cs"/>
          <w:rtl/>
          <w:lang w:bidi="ar-EG"/>
        </w:rPr>
        <w:t>.</w:t>
      </w:r>
    </w:p>
    <w:p w14:paraId="7B706002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تعديل إضافي على القاعدة 3.26</w:t>
      </w:r>
      <w:r>
        <w:rPr>
          <w:rFonts w:hint="cs"/>
          <w:vertAlign w:val="superscript"/>
          <w:rtl/>
          <w:lang w:bidi="ar-EG"/>
        </w:rPr>
        <w:t>(ثالثاً)</w:t>
      </w:r>
      <w:r>
        <w:rPr>
          <w:rFonts w:hint="cs"/>
          <w:rtl/>
          <w:lang w:bidi="ar-EG"/>
        </w:rPr>
        <w:t xml:space="preserve"> - </w:t>
      </w:r>
      <w:r>
        <w:rPr>
          <w:rtl/>
          <w:lang w:bidi="ar-EG"/>
        </w:rPr>
        <w:t>الدعوة إلى تصحيح أوجه النقص بناء على المادة 3(4)"1"</w:t>
      </w:r>
    </w:p>
    <w:p w14:paraId="21201EB2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PCT/WG/17/7</w:t>
      </w:r>
      <w:r>
        <w:rPr>
          <w:rFonts w:hint="cs"/>
          <w:rtl/>
          <w:lang w:bidi="ar-EG"/>
        </w:rPr>
        <w:t>.</w:t>
      </w:r>
    </w:p>
    <w:p w14:paraId="684650C7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الاستشهاد ب</w:t>
      </w:r>
      <w:r>
        <w:rPr>
          <w:rFonts w:hint="cs"/>
          <w:rtl/>
          <w:lang w:bidi="ar-EG"/>
        </w:rPr>
        <w:t xml:space="preserve">حالات الكشف </w:t>
      </w:r>
      <w:r>
        <w:rPr>
          <w:rtl/>
          <w:lang w:bidi="ar-EG"/>
        </w:rPr>
        <w:t>غير المكتوبة</w:t>
      </w:r>
    </w:p>
    <w:p w14:paraId="6C95D262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PCT/WG/17/10</w:t>
      </w:r>
      <w:r>
        <w:rPr>
          <w:rFonts w:hint="cs"/>
          <w:rtl/>
          <w:lang w:bidi="ar-EG"/>
        </w:rPr>
        <w:t>.</w:t>
      </w:r>
    </w:p>
    <w:p w14:paraId="4AB4EF9D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</w:rPr>
        <w:t xml:space="preserve">تقرير الدراسة الاستقصائية بشأن </w:t>
      </w:r>
      <w:r>
        <w:rPr>
          <w:rFonts w:hint="cs"/>
          <w:rtl/>
        </w:rPr>
        <w:t>استراتيجيات البحث</w:t>
      </w:r>
    </w:p>
    <w:p w14:paraId="1A59372C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PCT/WG/17/14</w:t>
      </w:r>
      <w:r>
        <w:rPr>
          <w:rFonts w:hint="cs"/>
          <w:rtl/>
          <w:lang w:bidi="ar-EG"/>
        </w:rPr>
        <w:t>.</w:t>
      </w:r>
    </w:p>
    <w:p w14:paraId="6BA6645B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</w:rPr>
        <w:t>الرسومات الملونة</w:t>
      </w:r>
    </w:p>
    <w:p w14:paraId="6964DAF0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PCT/WG/17/12</w:t>
      </w:r>
      <w:r>
        <w:rPr>
          <w:rFonts w:hint="cs"/>
          <w:rtl/>
          <w:lang w:bidi="ar-EG"/>
        </w:rPr>
        <w:t>.</w:t>
      </w:r>
    </w:p>
    <w:p w14:paraId="5D3007F8" w14:textId="77777777" w:rsidR="00621C1C" w:rsidRDefault="000E2CC8">
      <w:pPr>
        <w:pStyle w:val="ONUMA"/>
        <w:spacing w:after="0"/>
        <w:rPr>
          <w:lang w:bidi="ar-EG"/>
        </w:rPr>
      </w:pPr>
      <w:r>
        <w:rPr>
          <w:rFonts w:hint="cs"/>
          <w:rtl/>
        </w:rPr>
        <w:t>المعرّف</w:t>
      </w:r>
      <w:r>
        <w:rPr>
          <w:rFonts w:hint="cs"/>
          <w:rtl/>
          <w:lang w:bidi="ar-EG"/>
        </w:rPr>
        <w:t xml:space="preserve"> العالمي ومعاهدة التعاون بشأن البراءات</w:t>
      </w:r>
    </w:p>
    <w:p w14:paraId="16AEACAF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PCT/WG/17/13</w:t>
      </w:r>
      <w:r>
        <w:rPr>
          <w:rFonts w:hint="cs"/>
          <w:rtl/>
          <w:lang w:bidi="ar-EG"/>
        </w:rPr>
        <w:t>.</w:t>
      </w:r>
    </w:p>
    <w:p w14:paraId="46236527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</w:rPr>
        <w:t>معايير</w:t>
      </w:r>
      <w:r>
        <w:rPr>
          <w:rtl/>
          <w:lang w:bidi="ar-EG"/>
        </w:rPr>
        <w:t xml:space="preserve"> تخفيض الرسوم لبعض المودعين من بعض البلدان، ولا سيما البلدان النامية والبلدان ا</w:t>
      </w:r>
      <w:r>
        <w:rPr>
          <w:rtl/>
          <w:lang w:bidi="ar-EG"/>
        </w:rPr>
        <w:t>لأقل نموا</w:t>
      </w:r>
      <w:r>
        <w:rPr>
          <w:rFonts w:hint="cs"/>
          <w:rtl/>
          <w:lang w:bidi="ar-EG"/>
        </w:rPr>
        <w:t>ً</w:t>
      </w:r>
    </w:p>
    <w:p w14:paraId="56EC701E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PCT/WG/17/5</w:t>
      </w:r>
      <w:r>
        <w:rPr>
          <w:rFonts w:hint="cs"/>
          <w:rtl/>
          <w:lang w:bidi="ar-EG"/>
        </w:rPr>
        <w:t>.</w:t>
      </w:r>
    </w:p>
    <w:p w14:paraId="47961EC4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قوائم التسلسل</w:t>
      </w:r>
    </w:p>
    <w:p w14:paraId="6527264F" w14:textId="77777777" w:rsidR="00621C1C" w:rsidRDefault="000E2CC8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tl/>
          <w:lang w:bidi="ar-EG"/>
        </w:rPr>
        <w:t xml:space="preserve">تنفيذ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في معاهدة التعاون بشأن البراءات</w:t>
      </w:r>
    </w:p>
    <w:p w14:paraId="29F58E20" w14:textId="77777777" w:rsidR="00621C1C" w:rsidRDefault="000E2CC8">
      <w:pPr>
        <w:pStyle w:val="BodyText"/>
        <w:ind w:left="1417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PCT/WG/17/3</w:t>
      </w:r>
      <w:r>
        <w:rPr>
          <w:rFonts w:hint="cs"/>
          <w:rtl/>
          <w:lang w:bidi="ar-EG"/>
        </w:rPr>
        <w:t>.</w:t>
      </w:r>
    </w:p>
    <w:p w14:paraId="4C5A2AE8" w14:textId="77777777" w:rsidR="00621C1C" w:rsidRDefault="000E2CC8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tl/>
          <w:lang w:bidi="ar-EG"/>
        </w:rPr>
        <w:t>فرقة العمل المعنية بقوائم التسلسل: تقرير مرحلي</w:t>
      </w:r>
    </w:p>
    <w:p w14:paraId="3A2CD27C" w14:textId="77777777" w:rsidR="00621C1C" w:rsidRDefault="000E2CC8">
      <w:pPr>
        <w:pStyle w:val="BodyText"/>
        <w:ind w:left="1417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PCT/WG/17/18</w:t>
      </w:r>
      <w:r>
        <w:rPr>
          <w:rFonts w:hint="cs"/>
          <w:rtl/>
          <w:lang w:bidi="ar-EG"/>
        </w:rPr>
        <w:t>.</w:t>
      </w:r>
    </w:p>
    <w:p w14:paraId="6493AE78" w14:textId="77777777" w:rsidR="00621C1C" w:rsidRDefault="000E2CC8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tl/>
          <w:lang w:bidi="ar-EG"/>
        </w:rPr>
        <w:t xml:space="preserve">إرسال قوائم التسلسل كجزء من وثائق </w:t>
      </w:r>
      <w:r>
        <w:rPr>
          <w:rtl/>
          <w:lang w:bidi="ar-EG"/>
        </w:rPr>
        <w:t>الأولوية</w:t>
      </w:r>
    </w:p>
    <w:p w14:paraId="1099201E" w14:textId="77777777" w:rsidR="00621C1C" w:rsidRDefault="000E2CC8">
      <w:pPr>
        <w:pStyle w:val="BodyText"/>
        <w:ind w:left="1417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PCT/WG/17/4</w:t>
      </w:r>
      <w:r>
        <w:rPr>
          <w:rFonts w:hint="cs"/>
          <w:rtl/>
          <w:lang w:bidi="ar-EG"/>
        </w:rPr>
        <w:t>.</w:t>
      </w:r>
    </w:p>
    <w:p w14:paraId="5D71CF4D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فرقة العمل المعنية بالحد الأدنى للوثائق المنصوص عليها في معاهدة التعاون بشأن البراءات: تقرير مرحلي</w:t>
      </w:r>
    </w:p>
    <w:p w14:paraId="722AA3D9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PCT/WG/17/16</w:t>
      </w:r>
      <w:r>
        <w:rPr>
          <w:rFonts w:hint="cs"/>
          <w:rtl/>
          <w:lang w:bidi="ar-EG"/>
        </w:rPr>
        <w:t>.</w:t>
      </w:r>
    </w:p>
    <w:p w14:paraId="68DCA4BB" w14:textId="77777777" w:rsidR="00621C1C" w:rsidRDefault="000E2CC8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البحث والفحص التعاونيين في إطار معاهدة التعاون بشأن البراءات بين مكاتب الملكية الفكرية ال</w:t>
      </w:r>
      <w:r>
        <w:rPr>
          <w:rtl/>
          <w:lang w:bidi="ar-EG"/>
        </w:rPr>
        <w:t>خمسة: التقرير النهائي</w:t>
      </w:r>
    </w:p>
    <w:p w14:paraId="73A87F29" w14:textId="77777777" w:rsidR="00621C1C" w:rsidRDefault="000E2CC8">
      <w:pPr>
        <w:pStyle w:val="BodyText"/>
        <w:ind w:left="850"/>
        <w:rPr>
          <w:lang w:bidi="ar-EG"/>
        </w:rPr>
      </w:pPr>
      <w:r>
        <w:rPr>
          <w:rFonts w:hint="cs"/>
          <w:rtl/>
          <w:lang w:bidi="ar-EG"/>
        </w:rPr>
        <w:t xml:space="preserve">انظر(ي) الوثيقة </w:t>
      </w:r>
      <w:r>
        <w:rPr>
          <w:lang w:bidi="ar-EG"/>
        </w:rPr>
        <w:t>PCT/WG/17/17</w:t>
      </w:r>
      <w:r>
        <w:rPr>
          <w:rFonts w:hint="cs"/>
          <w:rtl/>
          <w:lang w:bidi="ar-EG"/>
        </w:rPr>
        <w:t>.</w:t>
      </w:r>
    </w:p>
    <w:p w14:paraId="222330F2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حلقة عمل لتبادل المعلومات: المسار السريع لمعالجة البراءات (</w:t>
      </w:r>
      <w:r>
        <w:rPr>
          <w:lang w:bidi="ar-EG"/>
        </w:rPr>
        <w:t>PPH</w:t>
      </w:r>
      <w:r>
        <w:rPr>
          <w:rtl/>
          <w:lang w:bidi="ar-EG"/>
        </w:rPr>
        <w:t>) ومعاهدة التعاون بشأن البراءات</w:t>
      </w:r>
    </w:p>
    <w:p w14:paraId="3B1980DE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مسائل أخرى</w:t>
      </w:r>
    </w:p>
    <w:p w14:paraId="5C718D07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ملخص الرئيس</w:t>
      </w:r>
    </w:p>
    <w:p w14:paraId="0B3C3138" w14:textId="77777777" w:rsidR="00621C1C" w:rsidRDefault="000E2CC8">
      <w:pPr>
        <w:pStyle w:val="ONUMA"/>
        <w:rPr>
          <w:lang w:bidi="ar-EG"/>
        </w:rPr>
      </w:pPr>
      <w:r>
        <w:rPr>
          <w:rtl/>
          <w:lang w:bidi="ar-EG"/>
        </w:rPr>
        <w:t>اختتام الدورة</w:t>
      </w:r>
    </w:p>
    <w:p w14:paraId="1F38E57F" w14:textId="77777777" w:rsidR="00621C1C" w:rsidRDefault="000E2CC8">
      <w:pPr>
        <w:pStyle w:val="Endofdocument-Annex"/>
        <w:spacing w:before="480"/>
        <w:rPr>
          <w:lang w:bidi="ar-EG"/>
        </w:rPr>
      </w:pPr>
      <w:r>
        <w:rPr>
          <w:rtl/>
          <w:lang w:bidi="ar-EG"/>
        </w:rPr>
        <w:t>[نهاية الوثيقة]</w:t>
      </w:r>
    </w:p>
    <w:sectPr w:rsidR="00621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2D7C" w14:textId="77777777" w:rsidR="00621C1C" w:rsidRDefault="000E2CC8">
      <w:r>
        <w:separator/>
      </w:r>
    </w:p>
  </w:endnote>
  <w:endnote w:type="continuationSeparator" w:id="0">
    <w:p w14:paraId="23835401" w14:textId="77777777" w:rsidR="00621C1C" w:rsidRDefault="000E2CC8">
      <w:r>
        <w:separator/>
      </w:r>
    </w:p>
    <w:p w14:paraId="003A70F3" w14:textId="77777777" w:rsidR="00621C1C" w:rsidRDefault="000E2CC8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7C6FCE" w14:textId="77777777" w:rsidR="00621C1C" w:rsidRDefault="000E2CC8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4E8F" w14:textId="77777777" w:rsidR="000E2CC8" w:rsidRDefault="000E2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3AE7" w14:textId="77777777" w:rsidR="000E2CC8" w:rsidRDefault="000E2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7694" w14:textId="77777777" w:rsidR="000E2CC8" w:rsidRDefault="000E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586" w14:textId="77777777" w:rsidR="00621C1C" w:rsidRDefault="000E2CC8">
      <w:r>
        <w:separator/>
      </w:r>
    </w:p>
  </w:footnote>
  <w:footnote w:type="continuationSeparator" w:id="0">
    <w:p w14:paraId="71665D93" w14:textId="77777777" w:rsidR="00621C1C" w:rsidRDefault="000E2CC8">
      <w:r>
        <w:separator/>
      </w:r>
    </w:p>
    <w:p w14:paraId="7F20C237" w14:textId="77777777" w:rsidR="00621C1C" w:rsidRDefault="000E2CC8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6733A83" w14:textId="77777777" w:rsidR="00621C1C" w:rsidRDefault="000E2CC8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1928" w14:textId="77777777" w:rsidR="000E2CC8" w:rsidRDefault="000E2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DA7D" w14:textId="77777777" w:rsidR="00621C1C" w:rsidRDefault="000E2CC8">
    <w:pPr>
      <w:bidi w:val="0"/>
    </w:pPr>
    <w:r>
      <w:t>PCT/WG/17/1 Prov. 2</w:t>
    </w:r>
  </w:p>
  <w:p w14:paraId="221CC933" w14:textId="77777777" w:rsidR="00621C1C" w:rsidRDefault="000E2CC8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5F708F" w14:textId="77777777" w:rsidR="00621C1C" w:rsidRDefault="00621C1C">
    <w:pPr>
      <w:bidi w:val="0"/>
    </w:pPr>
  </w:p>
  <w:p w14:paraId="796DFF47" w14:textId="77777777" w:rsidR="00621C1C" w:rsidRDefault="00621C1C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944A" w14:textId="77777777" w:rsidR="000E2CC8" w:rsidRDefault="000E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750780445">
    <w:abstractNumId w:val="2"/>
  </w:num>
  <w:num w:numId="2" w16cid:durableId="1791393633">
    <w:abstractNumId w:val="5"/>
  </w:num>
  <w:num w:numId="3" w16cid:durableId="1388722045">
    <w:abstractNumId w:val="0"/>
  </w:num>
  <w:num w:numId="4" w16cid:durableId="1152407921">
    <w:abstractNumId w:val="6"/>
  </w:num>
  <w:num w:numId="5" w16cid:durableId="1609196609">
    <w:abstractNumId w:val="1"/>
  </w:num>
  <w:num w:numId="6" w16cid:durableId="1215654740">
    <w:abstractNumId w:val="3"/>
  </w:num>
  <w:num w:numId="7" w16cid:durableId="640115397">
    <w:abstractNumId w:val="7"/>
  </w:num>
  <w:num w:numId="8" w16cid:durableId="2015448591">
    <w:abstractNumId w:val="4"/>
  </w:num>
  <w:num w:numId="9" w16cid:durableId="2119639117">
    <w:abstractNumId w:val="7"/>
  </w:num>
  <w:num w:numId="10" w16cid:durableId="1189875722">
    <w:abstractNumId w:val="7"/>
  </w:num>
  <w:num w:numId="11" w16cid:durableId="1616211689">
    <w:abstractNumId w:val="7"/>
  </w:num>
  <w:num w:numId="12" w16cid:durableId="1216433265">
    <w:abstractNumId w:val="7"/>
  </w:num>
  <w:num w:numId="13" w16cid:durableId="287325102">
    <w:abstractNumId w:val="7"/>
  </w:num>
  <w:num w:numId="14" w16cid:durableId="1899391935">
    <w:abstractNumId w:val="7"/>
  </w:num>
  <w:num w:numId="15" w16cid:durableId="797725330">
    <w:abstractNumId w:val="7"/>
  </w:num>
  <w:num w:numId="16" w16cid:durableId="1847093511">
    <w:abstractNumId w:val="7"/>
  </w:num>
  <w:num w:numId="17" w16cid:durableId="1282805140">
    <w:abstractNumId w:val="7"/>
  </w:num>
  <w:num w:numId="18" w16cid:durableId="1567453524">
    <w:abstractNumId w:val="7"/>
  </w:num>
  <w:num w:numId="19" w16cid:durableId="54666862">
    <w:abstractNumId w:val="7"/>
  </w:num>
  <w:num w:numId="20" w16cid:durableId="1323508061">
    <w:abstractNumId w:val="7"/>
  </w:num>
  <w:num w:numId="21" w16cid:durableId="180097702">
    <w:abstractNumId w:val="7"/>
  </w:num>
  <w:num w:numId="22" w16cid:durableId="641040015">
    <w:abstractNumId w:val="7"/>
  </w:num>
  <w:num w:numId="23" w16cid:durableId="214121614">
    <w:abstractNumId w:val="7"/>
  </w:num>
  <w:num w:numId="24" w16cid:durableId="346950888">
    <w:abstractNumId w:val="7"/>
  </w:num>
  <w:num w:numId="25" w16cid:durableId="672104200">
    <w:abstractNumId w:val="7"/>
  </w:num>
  <w:num w:numId="26" w16cid:durableId="1276865031">
    <w:abstractNumId w:val="7"/>
  </w:num>
  <w:num w:numId="27" w16cid:durableId="778262195">
    <w:abstractNumId w:val="7"/>
  </w:num>
  <w:num w:numId="28" w16cid:durableId="620114639">
    <w:abstractNumId w:val="7"/>
  </w:num>
  <w:num w:numId="29" w16cid:durableId="1324356586">
    <w:abstractNumId w:val="7"/>
  </w:num>
  <w:num w:numId="30" w16cid:durableId="1804880333">
    <w:abstractNumId w:val="7"/>
  </w:num>
  <w:num w:numId="31" w16cid:durableId="934827951">
    <w:abstractNumId w:val="7"/>
  </w:num>
  <w:num w:numId="32" w16cid:durableId="1241214642">
    <w:abstractNumId w:val="7"/>
  </w:num>
  <w:num w:numId="33" w16cid:durableId="1953978330">
    <w:abstractNumId w:val="7"/>
  </w:num>
  <w:num w:numId="34" w16cid:durableId="1400443315">
    <w:abstractNumId w:val="7"/>
  </w:num>
  <w:num w:numId="35" w16cid:durableId="134377878">
    <w:abstractNumId w:val="7"/>
  </w:num>
  <w:num w:numId="36" w16cid:durableId="425269222">
    <w:abstractNumId w:val="7"/>
  </w:num>
  <w:num w:numId="37" w16cid:durableId="773206499">
    <w:abstractNumId w:val="7"/>
  </w:num>
  <w:num w:numId="38" w16cid:durableId="769007817">
    <w:abstractNumId w:val="7"/>
  </w:num>
  <w:num w:numId="39" w16cid:durableId="838546026">
    <w:abstractNumId w:val="7"/>
  </w:num>
  <w:num w:numId="40" w16cid:durableId="1817336292">
    <w:abstractNumId w:val="7"/>
  </w:num>
  <w:num w:numId="41" w16cid:durableId="827012981">
    <w:abstractNumId w:val="7"/>
  </w:num>
  <w:num w:numId="42" w16cid:durableId="1510296937">
    <w:abstractNumId w:val="7"/>
  </w:num>
  <w:num w:numId="43" w16cid:durableId="697700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1C"/>
    <w:rsid w:val="000E2CC8"/>
    <w:rsid w:val="006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ED54B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D1EF-33FD-4806-A552-079E7EA1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 Prov. 2</vt:lpstr>
    </vt:vector>
  </TitlesOfParts>
  <Company>WIPO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 Prov. 2</dc:title>
  <dc:creator>ALAKHRAS Basel</dc:creator>
  <cp:keywords>Public</cp:keywords>
  <cp:lastModifiedBy>MARLOW Thomas</cp:lastModifiedBy>
  <cp:revision>2</cp:revision>
  <cp:lastPrinted>2023-12-18T15:22:00Z</cp:lastPrinted>
  <dcterms:created xsi:type="dcterms:W3CDTF">2024-01-30T09:07:00Z</dcterms:created>
  <dcterms:modified xsi:type="dcterms:W3CDTF">2024-01-30T09:07:00Z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2023-12-18T15:22:00Z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29369f1e-d9d7-4fb2-a0f5-7e7b4012e50d</vt:lpwstr>
  </property>
  <property fmtid="{D5CDD505-2E9C-101B-9397-08002B2CF9AE}" pid="13" name="MSIP_Label_20773ee6-353b-4fb9-a59d-0b94c8c67bea_ContentBits">
    <vt:lpwstr>0</vt:lpwstr>
  </property>
</Properties>
</file>