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779C5" w:rsidRPr="00FB5D79" w14:paraId="0651F148" w14:textId="77777777" w:rsidTr="005779C5">
        <w:tc>
          <w:tcPr>
            <w:tcW w:w="4513" w:type="dxa"/>
            <w:tcBorders>
              <w:bottom w:val="single" w:sz="4" w:space="0" w:color="auto"/>
            </w:tcBorders>
            <w:tcMar>
              <w:bottom w:w="170" w:type="dxa"/>
            </w:tcMar>
          </w:tcPr>
          <w:p w14:paraId="0BDB7CA4" w14:textId="231F6E4D" w:rsidR="005779C5" w:rsidRPr="00457E35" w:rsidRDefault="005779C5" w:rsidP="005779C5"/>
        </w:tc>
        <w:tc>
          <w:tcPr>
            <w:tcW w:w="4337" w:type="dxa"/>
            <w:tcBorders>
              <w:bottom w:val="single" w:sz="4" w:space="0" w:color="auto"/>
            </w:tcBorders>
            <w:tcMar>
              <w:left w:w="0" w:type="dxa"/>
              <w:right w:w="0" w:type="dxa"/>
            </w:tcMar>
          </w:tcPr>
          <w:p w14:paraId="7E495AFE" w14:textId="1B639C4A" w:rsidR="005779C5" w:rsidRPr="00FB5D79" w:rsidRDefault="005929DA" w:rsidP="005779C5">
            <w:r w:rsidRPr="00FB5D79">
              <w:rPr>
                <w:noProof/>
                <w:lang w:val="en-US" w:eastAsia="en-US"/>
              </w:rPr>
              <w:drawing>
                <wp:inline distT="0" distB="0" distL="0" distR="0" wp14:anchorId="4F836982" wp14:editId="29C8E771">
                  <wp:extent cx="1860550" cy="1327785"/>
                  <wp:effectExtent l="0" t="0" r="6350" b="5715"/>
                  <wp:docPr id="1" name="Imag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F34C40C" w14:textId="535FF3F9" w:rsidR="005779C5" w:rsidRPr="00FB5D79" w:rsidRDefault="005929DA" w:rsidP="005779C5">
            <w:pPr>
              <w:jc w:val="right"/>
            </w:pPr>
            <w:r w:rsidRPr="00FB5D79">
              <w:rPr>
                <w:b/>
                <w:sz w:val="40"/>
                <w:szCs w:val="40"/>
              </w:rPr>
              <w:t>F</w:t>
            </w:r>
          </w:p>
        </w:tc>
      </w:tr>
      <w:tr w:rsidR="005779C5" w:rsidRPr="00FB5D79" w14:paraId="31F4EC3E" w14:textId="77777777" w:rsidTr="00FA4E19">
        <w:trPr>
          <w:trHeight w:val="397"/>
        </w:trPr>
        <w:tc>
          <w:tcPr>
            <w:tcW w:w="9356" w:type="dxa"/>
            <w:gridSpan w:val="3"/>
            <w:tcBorders>
              <w:top w:val="single" w:sz="4" w:space="0" w:color="auto"/>
            </w:tcBorders>
            <w:tcMar>
              <w:top w:w="170" w:type="dxa"/>
              <w:left w:w="0" w:type="dxa"/>
              <w:right w:w="0" w:type="dxa"/>
            </w:tcMar>
            <w:vAlign w:val="bottom"/>
          </w:tcPr>
          <w:p w14:paraId="10A2005F" w14:textId="53C25CED" w:rsidR="005779C5" w:rsidRPr="00FB5D79" w:rsidRDefault="00753F0A" w:rsidP="00753F0A">
            <w:pPr>
              <w:jc w:val="right"/>
              <w:rPr>
                <w:rFonts w:ascii="Arial Black" w:hAnsi="Arial Black"/>
                <w:caps/>
                <w:sz w:val="15"/>
              </w:rPr>
            </w:pPr>
            <w:r w:rsidRPr="00FB5D79">
              <w:rPr>
                <w:rFonts w:ascii="Arial Black" w:hAnsi="Arial Black"/>
                <w:caps/>
                <w:sz w:val="15"/>
              </w:rPr>
              <w:t>CDIP/22</w:t>
            </w:r>
            <w:bookmarkStart w:id="0" w:name="Code"/>
            <w:bookmarkEnd w:id="0"/>
            <w:r w:rsidRPr="00FB5D79">
              <w:rPr>
                <w:rFonts w:ascii="Arial Black" w:hAnsi="Arial Black"/>
                <w:caps/>
                <w:sz w:val="15"/>
              </w:rPr>
              <w:t>/9</w:t>
            </w:r>
            <w:r w:rsidR="00965F3A">
              <w:rPr>
                <w:rFonts w:ascii="Arial Black" w:hAnsi="Arial Black"/>
                <w:caps/>
                <w:sz w:val="15"/>
              </w:rPr>
              <w:t> REV</w:t>
            </w:r>
            <w:r w:rsidR="005779C5" w:rsidRPr="00FB5D79">
              <w:rPr>
                <w:rFonts w:ascii="Arial Black" w:hAnsi="Arial Black"/>
                <w:caps/>
                <w:sz w:val="15"/>
              </w:rPr>
              <w:t xml:space="preserve"> </w:t>
            </w:r>
          </w:p>
        </w:tc>
      </w:tr>
      <w:tr w:rsidR="005779C5" w:rsidRPr="00FB5D79" w14:paraId="595514FC" w14:textId="77777777" w:rsidTr="005779C5">
        <w:trPr>
          <w:trHeight w:hRule="exact" w:val="170"/>
        </w:trPr>
        <w:tc>
          <w:tcPr>
            <w:tcW w:w="9356" w:type="dxa"/>
            <w:gridSpan w:val="3"/>
            <w:noWrap/>
            <w:tcMar>
              <w:left w:w="0" w:type="dxa"/>
              <w:right w:w="0" w:type="dxa"/>
            </w:tcMar>
            <w:vAlign w:val="bottom"/>
          </w:tcPr>
          <w:p w14:paraId="1C17D50D" w14:textId="53EF3930" w:rsidR="005779C5" w:rsidRPr="00FB5D79" w:rsidRDefault="005779C5" w:rsidP="005929DA">
            <w:pPr>
              <w:jc w:val="right"/>
              <w:rPr>
                <w:rFonts w:ascii="Arial Black" w:hAnsi="Arial Black"/>
                <w:caps/>
                <w:sz w:val="15"/>
              </w:rPr>
            </w:pPr>
            <w:r w:rsidRPr="00FB5D79">
              <w:rPr>
                <w:rFonts w:ascii="Arial Black" w:hAnsi="Arial Black"/>
                <w:caps/>
                <w:sz w:val="15"/>
              </w:rPr>
              <w:t>ORIGINAL</w:t>
            </w:r>
            <w:r w:rsidR="00965F3A">
              <w:rPr>
                <w:rFonts w:ascii="Arial Black" w:hAnsi="Arial Black"/>
                <w:caps/>
                <w:sz w:val="15"/>
              </w:rPr>
              <w:t> :</w:t>
            </w:r>
            <w:r w:rsidRPr="00FB5D79">
              <w:rPr>
                <w:rFonts w:ascii="Arial Black" w:hAnsi="Arial Black"/>
                <w:caps/>
                <w:sz w:val="15"/>
              </w:rPr>
              <w:t xml:space="preserve"> </w:t>
            </w:r>
            <w:bookmarkStart w:id="1" w:name="Original"/>
            <w:bookmarkEnd w:id="1"/>
            <w:r w:rsidR="005929DA" w:rsidRPr="00FB5D79">
              <w:rPr>
                <w:rFonts w:ascii="Arial Black" w:hAnsi="Arial Black"/>
                <w:caps/>
                <w:sz w:val="15"/>
              </w:rPr>
              <w:t>anglais</w:t>
            </w:r>
          </w:p>
        </w:tc>
      </w:tr>
      <w:tr w:rsidR="005779C5" w:rsidRPr="00FB5D79" w14:paraId="6090F6CC" w14:textId="77777777" w:rsidTr="005779C5">
        <w:trPr>
          <w:trHeight w:hRule="exact" w:val="198"/>
        </w:trPr>
        <w:tc>
          <w:tcPr>
            <w:tcW w:w="9356" w:type="dxa"/>
            <w:gridSpan w:val="3"/>
            <w:tcMar>
              <w:left w:w="0" w:type="dxa"/>
              <w:right w:w="0" w:type="dxa"/>
            </w:tcMar>
            <w:vAlign w:val="bottom"/>
          </w:tcPr>
          <w:p w14:paraId="3012E968" w14:textId="1064576C" w:rsidR="005779C5" w:rsidRPr="00FB5D79" w:rsidRDefault="005779C5" w:rsidP="00965F3A">
            <w:pPr>
              <w:jc w:val="right"/>
              <w:rPr>
                <w:rFonts w:ascii="Arial Black" w:hAnsi="Arial Black"/>
                <w:caps/>
                <w:sz w:val="15"/>
              </w:rPr>
            </w:pPr>
            <w:r w:rsidRPr="00FB5D79">
              <w:rPr>
                <w:rFonts w:ascii="Arial Black" w:hAnsi="Arial Black"/>
                <w:caps/>
                <w:sz w:val="15"/>
              </w:rPr>
              <w:t>DATE</w:t>
            </w:r>
            <w:r w:rsidR="00965F3A">
              <w:rPr>
                <w:rFonts w:ascii="Arial Black" w:hAnsi="Arial Black"/>
                <w:caps/>
                <w:sz w:val="15"/>
              </w:rPr>
              <w:t> :</w:t>
            </w:r>
            <w:r w:rsidRPr="00FB5D79">
              <w:rPr>
                <w:rFonts w:ascii="Arial Black" w:hAnsi="Arial Black"/>
                <w:caps/>
                <w:sz w:val="15"/>
              </w:rPr>
              <w:t xml:space="preserve"> </w:t>
            </w:r>
            <w:bookmarkStart w:id="2" w:name="Date"/>
            <w:bookmarkEnd w:id="2"/>
            <w:r w:rsidR="00965F3A">
              <w:rPr>
                <w:rFonts w:ascii="Arial Black" w:hAnsi="Arial Black"/>
                <w:caps/>
                <w:sz w:val="15"/>
              </w:rPr>
              <w:t>19 novembre </w:t>
            </w:r>
            <w:r w:rsidR="00440A3C" w:rsidRPr="00FB5D79">
              <w:rPr>
                <w:rFonts w:ascii="Arial Black" w:hAnsi="Arial Black"/>
                <w:caps/>
                <w:sz w:val="15"/>
              </w:rPr>
              <w:t>201</w:t>
            </w:r>
            <w:r w:rsidR="00753F0A" w:rsidRPr="00FB5D79">
              <w:rPr>
                <w:rFonts w:ascii="Arial Black" w:hAnsi="Arial Black"/>
                <w:caps/>
                <w:sz w:val="15"/>
              </w:rPr>
              <w:t>8</w:t>
            </w:r>
          </w:p>
        </w:tc>
      </w:tr>
    </w:tbl>
    <w:p w14:paraId="0B177E4D" w14:textId="6C000F53" w:rsidR="005779C5" w:rsidRPr="00FB5D79" w:rsidRDefault="005929DA" w:rsidP="00793EDB">
      <w:pPr>
        <w:spacing w:before="1200" w:after="600"/>
        <w:rPr>
          <w:b/>
          <w:sz w:val="28"/>
          <w:szCs w:val="28"/>
        </w:rPr>
      </w:pPr>
      <w:r w:rsidRPr="00FB5D79">
        <w:rPr>
          <w:b/>
          <w:sz w:val="28"/>
          <w:szCs w:val="28"/>
        </w:rPr>
        <w:t>Comité du développement et de la propriété intellectuelle (CDIP)</w:t>
      </w:r>
    </w:p>
    <w:p w14:paraId="02992D66" w14:textId="629B3EC1" w:rsidR="00753F0A" w:rsidRPr="00FB5D79" w:rsidRDefault="005929DA" w:rsidP="00753F0A">
      <w:pPr>
        <w:rPr>
          <w:b/>
          <w:sz w:val="24"/>
          <w:szCs w:val="24"/>
        </w:rPr>
      </w:pPr>
      <w:r w:rsidRPr="00FB5D79">
        <w:rPr>
          <w:b/>
          <w:sz w:val="24"/>
          <w:szCs w:val="24"/>
        </w:rPr>
        <w:t>Vingt</w:t>
      </w:r>
      <w:r w:rsidR="00965F3A">
        <w:rPr>
          <w:b/>
          <w:sz w:val="24"/>
          <w:szCs w:val="24"/>
        </w:rPr>
        <w:t>-</w:t>
      </w:r>
      <w:r w:rsidRPr="00FB5D79">
        <w:rPr>
          <w:b/>
          <w:sz w:val="24"/>
          <w:szCs w:val="24"/>
        </w:rPr>
        <w:t>deux</w:t>
      </w:r>
      <w:r w:rsidR="00965F3A">
        <w:rPr>
          <w:b/>
          <w:sz w:val="24"/>
          <w:szCs w:val="24"/>
        </w:rPr>
        <w:t>ième session</w:t>
      </w:r>
    </w:p>
    <w:p w14:paraId="0431BAB3" w14:textId="5C4CB9D6" w:rsidR="00753F0A" w:rsidRPr="00FB5D79" w:rsidRDefault="005929DA" w:rsidP="00753F0A">
      <w:pPr>
        <w:rPr>
          <w:b/>
          <w:sz w:val="24"/>
          <w:szCs w:val="24"/>
        </w:rPr>
      </w:pPr>
      <w:r w:rsidRPr="00FB5D79">
        <w:rPr>
          <w:b/>
          <w:sz w:val="24"/>
          <w:szCs w:val="24"/>
        </w:rPr>
        <w:t>Genève</w:t>
      </w:r>
      <w:r w:rsidR="00753F0A" w:rsidRPr="00FB5D79">
        <w:rPr>
          <w:b/>
          <w:sz w:val="24"/>
          <w:szCs w:val="24"/>
        </w:rPr>
        <w:t xml:space="preserve">, </w:t>
      </w:r>
      <w:r w:rsidRPr="00FB5D79">
        <w:rPr>
          <w:b/>
          <w:sz w:val="24"/>
          <w:szCs w:val="24"/>
        </w:rPr>
        <w:t>19 – 23 novembre </w:t>
      </w:r>
      <w:r w:rsidR="00753F0A" w:rsidRPr="00FB5D79">
        <w:rPr>
          <w:b/>
          <w:sz w:val="24"/>
          <w:szCs w:val="24"/>
        </w:rPr>
        <w:t>2018</w:t>
      </w:r>
    </w:p>
    <w:p w14:paraId="4F793D0B" w14:textId="1885E205" w:rsidR="00753F0A" w:rsidRPr="00C053D9" w:rsidRDefault="00934806" w:rsidP="00C053D9">
      <w:pPr>
        <w:spacing w:before="720" w:after="360"/>
        <w:rPr>
          <w:caps/>
          <w:sz w:val="24"/>
          <w:szCs w:val="24"/>
        </w:rPr>
      </w:pPr>
      <w:bookmarkStart w:id="3" w:name="TitleOfDoc"/>
      <w:bookmarkEnd w:id="3"/>
      <w:r w:rsidRPr="00C053D9">
        <w:rPr>
          <w:sz w:val="24"/>
          <w:szCs w:val="24"/>
        </w:rPr>
        <w:t xml:space="preserve">RAPPORT D’ÉVALUATION DU PROJET RELATIF À LA PROPRIÉTÉ INTELLECTUELLE ET AU DÉVELOPPEMENT SOCIOÉCONOMIQUE – </w:t>
      </w:r>
      <w:r>
        <w:rPr>
          <w:sz w:val="24"/>
          <w:szCs w:val="24"/>
        </w:rPr>
        <w:t>P</w:t>
      </w:r>
      <w:r w:rsidRPr="00C053D9">
        <w:rPr>
          <w:sz w:val="24"/>
          <w:szCs w:val="24"/>
        </w:rPr>
        <w:t>HASE II</w:t>
      </w:r>
    </w:p>
    <w:p w14:paraId="39E449CC" w14:textId="55F3EF73" w:rsidR="00753F0A" w:rsidRPr="00FB5D79" w:rsidRDefault="004E1A3C" w:rsidP="00793EDB">
      <w:pPr>
        <w:spacing w:after="960"/>
        <w:rPr>
          <w:i/>
        </w:rPr>
      </w:pPr>
      <w:bookmarkStart w:id="4" w:name="Prepared"/>
      <w:bookmarkEnd w:id="4"/>
      <w:proofErr w:type="gramStart"/>
      <w:r w:rsidRPr="00FB5D79">
        <w:rPr>
          <w:i/>
        </w:rPr>
        <w:t>établi</w:t>
      </w:r>
      <w:proofErr w:type="gramEnd"/>
      <w:r w:rsidR="001D4044" w:rsidRPr="00FB5D79">
        <w:rPr>
          <w:i/>
        </w:rPr>
        <w:t xml:space="preserve"> par </w:t>
      </w:r>
      <w:r w:rsidR="00DE279C" w:rsidRPr="00FB5D79">
        <w:rPr>
          <w:i/>
        </w:rPr>
        <w:t>M. </w:t>
      </w:r>
      <w:r w:rsidR="00753F0A" w:rsidRPr="00FB5D79">
        <w:rPr>
          <w:i/>
        </w:rPr>
        <w:t>Pedro</w:t>
      </w:r>
      <w:r w:rsidR="00EB4E6B" w:rsidRPr="00FB5D79">
        <w:rPr>
          <w:i/>
        </w:rPr>
        <w:t> </w:t>
      </w:r>
      <w:proofErr w:type="spellStart"/>
      <w:r w:rsidR="00753F0A" w:rsidRPr="00FB5D79">
        <w:rPr>
          <w:i/>
        </w:rPr>
        <w:t>Roffe</w:t>
      </w:r>
      <w:proofErr w:type="spellEnd"/>
      <w:r w:rsidR="00753F0A" w:rsidRPr="00FB5D79">
        <w:rPr>
          <w:i/>
        </w:rPr>
        <w:t xml:space="preserve">, </w:t>
      </w:r>
      <w:r w:rsidR="00761A9E" w:rsidRPr="00FB5D79">
        <w:rPr>
          <w:i/>
        </w:rPr>
        <w:t>membre éminent du</w:t>
      </w:r>
      <w:r w:rsidR="001C6AEC" w:rsidRPr="00FB5D79">
        <w:rPr>
          <w:i/>
        </w:rPr>
        <w:t xml:space="preserve"> </w:t>
      </w:r>
      <w:r w:rsidRPr="00FB5D79">
        <w:rPr>
          <w:i/>
        </w:rPr>
        <w:t xml:space="preserve">Centre international pour le commerce et le développement durable (ICTSD), </w:t>
      </w:r>
      <w:r w:rsidR="005929DA" w:rsidRPr="00FB5D79">
        <w:rPr>
          <w:i/>
        </w:rPr>
        <w:t>Genève</w:t>
      </w:r>
    </w:p>
    <w:p w14:paraId="49DD0273" w14:textId="4E6E0A85" w:rsidR="005779C5" w:rsidRPr="00340853" w:rsidRDefault="005929DA" w:rsidP="00793EDB">
      <w:pPr>
        <w:pStyle w:val="ONUMFS"/>
        <w:tabs>
          <w:tab w:val="clear" w:pos="360"/>
        </w:tabs>
        <w:rPr>
          <w:lang w:val="fr-CH"/>
        </w:rPr>
      </w:pPr>
      <w:r w:rsidRPr="00340853">
        <w:rPr>
          <w:lang w:val="fr-CH"/>
        </w:rPr>
        <w:t>L</w:t>
      </w:r>
      <w:r w:rsidR="00646944" w:rsidRPr="00340853">
        <w:rPr>
          <w:lang w:val="fr-CH"/>
        </w:rPr>
        <w:t>’</w:t>
      </w:r>
      <w:r w:rsidRPr="00340853">
        <w:rPr>
          <w:lang w:val="fr-CH"/>
        </w:rPr>
        <w:t xml:space="preserve">annexe du présent document </w:t>
      </w:r>
      <w:r w:rsidR="004E1A3C" w:rsidRPr="00340853">
        <w:rPr>
          <w:lang w:val="fr-CH"/>
        </w:rPr>
        <w:t>comprend</w:t>
      </w:r>
      <w:r w:rsidRPr="00340853">
        <w:rPr>
          <w:lang w:val="fr-CH"/>
        </w:rPr>
        <w:t xml:space="preserve"> un rapport d</w:t>
      </w:r>
      <w:r w:rsidR="00646944" w:rsidRPr="00340853">
        <w:rPr>
          <w:lang w:val="fr-CH"/>
        </w:rPr>
        <w:t>’</w:t>
      </w:r>
      <w:r w:rsidRPr="00340853">
        <w:rPr>
          <w:lang w:val="fr-CH"/>
        </w:rPr>
        <w:t xml:space="preserve">évaluation indépendant </w:t>
      </w:r>
      <w:r w:rsidR="004E1A3C" w:rsidRPr="00340853">
        <w:rPr>
          <w:lang w:val="fr-CH"/>
        </w:rPr>
        <w:t>du projet relatif à la propriété intellectuelle et au développement socioéconomique</w:t>
      </w:r>
      <w:r w:rsidRPr="00340853">
        <w:rPr>
          <w:lang w:val="fr-CH"/>
        </w:rPr>
        <w:t xml:space="preserve"> </w:t>
      </w:r>
      <w:r w:rsidR="004E1A3C" w:rsidRPr="00340853">
        <w:rPr>
          <w:lang w:val="fr-CH"/>
        </w:rPr>
        <w:t>–</w:t>
      </w:r>
      <w:r w:rsidRPr="00340853">
        <w:rPr>
          <w:lang w:val="fr-CH"/>
        </w:rPr>
        <w:t xml:space="preserve"> </w:t>
      </w:r>
      <w:r w:rsidR="004E1A3C" w:rsidRPr="00340853">
        <w:rPr>
          <w:lang w:val="fr-CH"/>
        </w:rPr>
        <w:t>p</w:t>
      </w:r>
      <w:r w:rsidRPr="00340853">
        <w:rPr>
          <w:lang w:val="fr-CH"/>
        </w:rPr>
        <w:t>hase</w:t>
      </w:r>
      <w:r w:rsidR="004E1A3C" w:rsidRPr="00340853">
        <w:rPr>
          <w:lang w:val="fr-CH"/>
        </w:rPr>
        <w:t> </w:t>
      </w:r>
      <w:r w:rsidRPr="00340853">
        <w:rPr>
          <w:lang w:val="fr-CH"/>
        </w:rPr>
        <w:t xml:space="preserve">II, </w:t>
      </w:r>
      <w:r w:rsidR="004E1A3C" w:rsidRPr="00340853">
        <w:rPr>
          <w:lang w:val="fr-CH"/>
        </w:rPr>
        <w:t>établi</w:t>
      </w:r>
      <w:r w:rsidRPr="00340853">
        <w:rPr>
          <w:lang w:val="fr-CH"/>
        </w:rPr>
        <w:t xml:space="preserve"> par </w:t>
      </w:r>
      <w:r w:rsidR="00DE279C" w:rsidRPr="00340853">
        <w:rPr>
          <w:lang w:val="fr-CH"/>
        </w:rPr>
        <w:t>M. </w:t>
      </w:r>
      <w:r w:rsidRPr="00340853">
        <w:rPr>
          <w:lang w:val="fr-CH"/>
        </w:rPr>
        <w:t>Pedro</w:t>
      </w:r>
      <w:r w:rsidR="004F4030" w:rsidRPr="00340853">
        <w:rPr>
          <w:lang w:val="fr-CH"/>
        </w:rPr>
        <w:t> </w:t>
      </w:r>
      <w:proofErr w:type="spellStart"/>
      <w:r w:rsidRPr="00340853">
        <w:rPr>
          <w:lang w:val="fr-CH"/>
        </w:rPr>
        <w:t>Roffe</w:t>
      </w:r>
      <w:proofErr w:type="spellEnd"/>
      <w:r w:rsidRPr="00340853">
        <w:rPr>
          <w:lang w:val="fr-CH"/>
        </w:rPr>
        <w:t xml:space="preserve">, </w:t>
      </w:r>
      <w:r w:rsidR="00761A9E" w:rsidRPr="00340853">
        <w:rPr>
          <w:lang w:val="fr-CH"/>
        </w:rPr>
        <w:t>membre éminent</w:t>
      </w:r>
      <w:r w:rsidR="001C6AEC" w:rsidRPr="00340853">
        <w:rPr>
          <w:lang w:val="fr-CH"/>
        </w:rPr>
        <w:t xml:space="preserve"> </w:t>
      </w:r>
      <w:r w:rsidR="00761A9E" w:rsidRPr="00340853">
        <w:rPr>
          <w:lang w:val="fr-CH"/>
        </w:rPr>
        <w:t xml:space="preserve">du </w:t>
      </w:r>
      <w:r w:rsidRPr="00340853">
        <w:rPr>
          <w:lang w:val="fr-CH"/>
        </w:rPr>
        <w:t>Centre</w:t>
      </w:r>
      <w:r w:rsidR="004E1A3C" w:rsidRPr="00340853">
        <w:rPr>
          <w:lang w:val="fr-CH"/>
        </w:rPr>
        <w:t xml:space="preserve"> international</w:t>
      </w:r>
      <w:r w:rsidRPr="00340853">
        <w:rPr>
          <w:lang w:val="fr-CH"/>
        </w:rPr>
        <w:t xml:space="preserve"> pour le commerce et le développement durable (ICTSD),</w:t>
      </w:r>
      <w:r w:rsidR="00753F0A" w:rsidRPr="00340853">
        <w:rPr>
          <w:lang w:val="fr-CH"/>
        </w:rPr>
        <w:t xml:space="preserve"> </w:t>
      </w:r>
      <w:r w:rsidR="004E1A3C" w:rsidRPr="00340853">
        <w:rPr>
          <w:lang w:val="fr-CH"/>
        </w:rPr>
        <w:t>Genève</w:t>
      </w:r>
      <w:r w:rsidR="00753F0A" w:rsidRPr="00340853">
        <w:rPr>
          <w:lang w:val="fr-CH"/>
        </w:rPr>
        <w:t>.</w:t>
      </w:r>
    </w:p>
    <w:p w14:paraId="2C429674" w14:textId="6E1715E4" w:rsidR="005779C5" w:rsidRPr="00340853" w:rsidRDefault="001D4044" w:rsidP="002F1D11">
      <w:pPr>
        <w:pStyle w:val="ONUMFS"/>
        <w:tabs>
          <w:tab w:val="clear" w:pos="360"/>
        </w:tabs>
        <w:ind w:left="5533"/>
        <w:rPr>
          <w:i/>
          <w:iCs/>
          <w:szCs w:val="22"/>
          <w:lang w:val="fr-CH"/>
        </w:rPr>
      </w:pPr>
      <w:r w:rsidRPr="00340853">
        <w:rPr>
          <w:i/>
          <w:lang w:val="fr-CH"/>
        </w:rPr>
        <w:t xml:space="preserve">Le CDIP est invité à </w:t>
      </w:r>
      <w:r w:rsidR="0063040B" w:rsidRPr="00340853">
        <w:rPr>
          <w:i/>
          <w:lang w:val="fr-CH"/>
        </w:rPr>
        <w:t>prendre note des informations contenues dans</w:t>
      </w:r>
      <w:r w:rsidRPr="00340853">
        <w:rPr>
          <w:i/>
          <w:lang w:val="fr-CH"/>
        </w:rPr>
        <w:t xml:space="preserve"> l</w:t>
      </w:r>
      <w:r w:rsidR="00646944" w:rsidRPr="00340853">
        <w:rPr>
          <w:i/>
          <w:lang w:val="fr-CH"/>
        </w:rPr>
        <w:t>’</w:t>
      </w:r>
      <w:r w:rsidRPr="00340853">
        <w:rPr>
          <w:i/>
          <w:lang w:val="fr-CH"/>
        </w:rPr>
        <w:t>annexe du présent document.</w:t>
      </w:r>
    </w:p>
    <w:p w14:paraId="1BFC4ED5" w14:textId="7D211756" w:rsidR="00646944" w:rsidRPr="00FB5D79" w:rsidRDefault="005779C5" w:rsidP="00793EDB">
      <w:pPr>
        <w:tabs>
          <w:tab w:val="left" w:pos="4950"/>
        </w:tabs>
        <w:spacing w:before="960"/>
        <w:ind w:left="5534"/>
      </w:pPr>
      <w:r w:rsidRPr="00FB5D79">
        <w:t>[</w:t>
      </w:r>
      <w:r w:rsidR="005929DA" w:rsidRPr="00FB5D79">
        <w:t>L</w:t>
      </w:r>
      <w:r w:rsidR="00646944" w:rsidRPr="00FB5D79">
        <w:t>’</w:t>
      </w:r>
      <w:r w:rsidR="005929DA" w:rsidRPr="00FB5D79">
        <w:t>annexe suit</w:t>
      </w:r>
      <w:r w:rsidRPr="00FB5D79">
        <w:t>]</w:t>
      </w:r>
    </w:p>
    <w:p w14:paraId="7A347EA2" w14:textId="77777777" w:rsidR="005779C5" w:rsidRPr="00FB5D79" w:rsidRDefault="005779C5">
      <w:pPr>
        <w:rPr>
          <w:bCs/>
          <w:iCs/>
          <w:caps/>
        </w:rPr>
      </w:pPr>
    </w:p>
    <w:p w14:paraId="10BEC856" w14:textId="77777777" w:rsidR="005779C5" w:rsidRPr="00FB5D79" w:rsidRDefault="005779C5">
      <w:pPr>
        <w:sectPr w:rsidR="005779C5" w:rsidRPr="00FB5D79" w:rsidSect="00440A3C">
          <w:headerReference w:type="default" r:id="rId9"/>
          <w:pgSz w:w="11907" w:h="16840" w:code="9"/>
          <w:pgMar w:top="567" w:right="1134" w:bottom="1418" w:left="1418" w:header="510" w:footer="1021" w:gutter="0"/>
          <w:cols w:space="720"/>
          <w:titlePg/>
        </w:sectPr>
      </w:pPr>
    </w:p>
    <w:p w14:paraId="485BDEC2" w14:textId="6E7EC7AA" w:rsidR="005779C5" w:rsidRPr="00FB5D79" w:rsidRDefault="005779C5"/>
    <w:p w14:paraId="24D05444" w14:textId="77777777" w:rsidR="000F5E56" w:rsidRPr="00FB5D79" w:rsidRDefault="000F5E56"/>
    <w:p w14:paraId="673D894C" w14:textId="77777777" w:rsidR="00ED1A22" w:rsidRPr="00FB5D79" w:rsidRDefault="00ED1A22"/>
    <w:p w14:paraId="3EC90539" w14:textId="764C1165" w:rsidR="00C34E43" w:rsidRPr="00FB5D79" w:rsidRDefault="00315C34" w:rsidP="00C34E43">
      <w:pPr>
        <w:jc w:val="center"/>
        <w:rPr>
          <w:b/>
          <w:bCs/>
        </w:rPr>
      </w:pPr>
      <w:r w:rsidRPr="00FB5D79">
        <w:rPr>
          <w:b/>
          <w:bCs/>
        </w:rPr>
        <w:t>TABLE DES MATI</w:t>
      </w:r>
      <w:r w:rsidR="004F4030" w:rsidRPr="00FB5D79">
        <w:rPr>
          <w:b/>
          <w:bCs/>
        </w:rPr>
        <w:t>È</w:t>
      </w:r>
      <w:r w:rsidRPr="00FB5D79">
        <w:rPr>
          <w:b/>
          <w:bCs/>
        </w:rPr>
        <w:t>RES</w:t>
      </w:r>
    </w:p>
    <w:p w14:paraId="40DA22AA" w14:textId="77777777" w:rsidR="00C34E43" w:rsidRPr="00FB5D79" w:rsidRDefault="00C34E43" w:rsidP="00C34E43">
      <w:pPr>
        <w:jc w:val="center"/>
        <w:rPr>
          <w:b/>
          <w:bCs/>
        </w:rPr>
      </w:pPr>
    </w:p>
    <w:p w14:paraId="44C0CCFB" w14:textId="6A8B738D" w:rsidR="00605E80" w:rsidRDefault="00A409C3">
      <w:pPr>
        <w:pStyle w:val="TOC1"/>
        <w:rPr>
          <w:rFonts w:asciiTheme="minorHAnsi" w:eastAsiaTheme="minorEastAsia" w:hAnsiTheme="minorHAnsi" w:cstheme="minorBidi"/>
          <w:b w:val="0"/>
          <w:caps w:val="0"/>
          <w:noProof/>
          <w:szCs w:val="22"/>
          <w:lang w:val="en-US" w:eastAsia="en-US"/>
        </w:rPr>
      </w:pPr>
      <w:r w:rsidRPr="00FB5D79">
        <w:rPr>
          <w:bCs/>
        </w:rPr>
        <w:fldChar w:fldCharType="begin"/>
      </w:r>
      <w:r w:rsidRPr="00FB5D79">
        <w:rPr>
          <w:bCs/>
        </w:rPr>
        <w:instrText xml:space="preserve"> TOC \o "1-3" \h \z \u </w:instrText>
      </w:r>
      <w:r w:rsidRPr="00FB5D79">
        <w:rPr>
          <w:bCs/>
        </w:rPr>
        <w:fldChar w:fldCharType="separate"/>
      </w:r>
      <w:hyperlink w:anchor="_Toc530408355" w:history="1">
        <w:r w:rsidR="00605E80" w:rsidRPr="0019428A">
          <w:rPr>
            <w:rStyle w:val="Hyperlink"/>
            <w:noProof/>
          </w:rPr>
          <w:t>Liste des acronymes</w:t>
        </w:r>
        <w:r w:rsidR="00605E80">
          <w:rPr>
            <w:noProof/>
            <w:webHidden/>
          </w:rPr>
          <w:tab/>
        </w:r>
        <w:r w:rsidR="00605E80">
          <w:rPr>
            <w:noProof/>
            <w:webHidden/>
          </w:rPr>
          <w:fldChar w:fldCharType="begin"/>
        </w:r>
        <w:r w:rsidR="00605E80">
          <w:rPr>
            <w:noProof/>
            <w:webHidden/>
          </w:rPr>
          <w:instrText xml:space="preserve"> PAGEREF _Toc530408355 \h </w:instrText>
        </w:r>
        <w:r w:rsidR="00605E80">
          <w:rPr>
            <w:noProof/>
            <w:webHidden/>
          </w:rPr>
        </w:r>
        <w:r w:rsidR="00605E80">
          <w:rPr>
            <w:noProof/>
            <w:webHidden/>
          </w:rPr>
          <w:fldChar w:fldCharType="separate"/>
        </w:r>
        <w:r w:rsidR="00EC0225">
          <w:rPr>
            <w:noProof/>
            <w:webHidden/>
          </w:rPr>
          <w:t>2</w:t>
        </w:r>
        <w:r w:rsidR="00605E80">
          <w:rPr>
            <w:noProof/>
            <w:webHidden/>
          </w:rPr>
          <w:fldChar w:fldCharType="end"/>
        </w:r>
      </w:hyperlink>
    </w:p>
    <w:p w14:paraId="3384816A" w14:textId="6CC8320E" w:rsidR="00605E80" w:rsidRDefault="00081E58">
      <w:pPr>
        <w:pStyle w:val="TOC1"/>
        <w:rPr>
          <w:rFonts w:asciiTheme="minorHAnsi" w:eastAsiaTheme="minorEastAsia" w:hAnsiTheme="minorHAnsi" w:cstheme="minorBidi"/>
          <w:b w:val="0"/>
          <w:caps w:val="0"/>
          <w:noProof/>
          <w:szCs w:val="22"/>
          <w:lang w:val="en-US" w:eastAsia="en-US"/>
        </w:rPr>
      </w:pPr>
      <w:hyperlink w:anchor="_Toc530408356" w:history="1">
        <w:r w:rsidR="00605E80" w:rsidRPr="0019428A">
          <w:rPr>
            <w:rStyle w:val="Hyperlink"/>
            <w:noProof/>
          </w:rPr>
          <w:t>Résumé</w:t>
        </w:r>
        <w:r w:rsidR="00605E80">
          <w:rPr>
            <w:noProof/>
            <w:webHidden/>
          </w:rPr>
          <w:tab/>
        </w:r>
        <w:r w:rsidR="00605E80">
          <w:rPr>
            <w:noProof/>
            <w:webHidden/>
          </w:rPr>
          <w:fldChar w:fldCharType="begin"/>
        </w:r>
        <w:r w:rsidR="00605E80">
          <w:rPr>
            <w:noProof/>
            <w:webHidden/>
          </w:rPr>
          <w:instrText xml:space="preserve"> PAGEREF _Toc530408356 \h </w:instrText>
        </w:r>
        <w:r w:rsidR="00605E80">
          <w:rPr>
            <w:noProof/>
            <w:webHidden/>
          </w:rPr>
        </w:r>
        <w:r w:rsidR="00605E80">
          <w:rPr>
            <w:noProof/>
            <w:webHidden/>
          </w:rPr>
          <w:fldChar w:fldCharType="separate"/>
        </w:r>
        <w:r w:rsidR="00EC0225">
          <w:rPr>
            <w:noProof/>
            <w:webHidden/>
          </w:rPr>
          <w:t>3</w:t>
        </w:r>
        <w:r w:rsidR="00605E80">
          <w:rPr>
            <w:noProof/>
            <w:webHidden/>
          </w:rPr>
          <w:fldChar w:fldCharType="end"/>
        </w:r>
      </w:hyperlink>
    </w:p>
    <w:p w14:paraId="7D659D3D" w14:textId="30B9BE44" w:rsidR="00605E80" w:rsidRDefault="00081E58">
      <w:pPr>
        <w:pStyle w:val="TOC1"/>
        <w:rPr>
          <w:rFonts w:asciiTheme="minorHAnsi" w:eastAsiaTheme="minorEastAsia" w:hAnsiTheme="minorHAnsi" w:cstheme="minorBidi"/>
          <w:b w:val="0"/>
          <w:caps w:val="0"/>
          <w:noProof/>
          <w:szCs w:val="22"/>
          <w:lang w:val="en-US" w:eastAsia="en-US"/>
        </w:rPr>
      </w:pPr>
      <w:hyperlink w:anchor="_Toc530408357" w:history="1">
        <w:r w:rsidR="00605E80" w:rsidRPr="0019428A">
          <w:rPr>
            <w:rStyle w:val="Hyperlink"/>
            <w:noProof/>
          </w:rPr>
          <w:t>1.</w:t>
        </w:r>
        <w:r w:rsidR="00605E80">
          <w:rPr>
            <w:rFonts w:asciiTheme="minorHAnsi" w:eastAsiaTheme="minorEastAsia" w:hAnsiTheme="minorHAnsi" w:cstheme="minorBidi"/>
            <w:b w:val="0"/>
            <w:caps w:val="0"/>
            <w:noProof/>
            <w:szCs w:val="22"/>
            <w:lang w:val="en-US" w:eastAsia="en-US"/>
          </w:rPr>
          <w:tab/>
        </w:r>
        <w:r w:rsidR="00605E80" w:rsidRPr="0019428A">
          <w:rPr>
            <w:rStyle w:val="Hyperlink"/>
            <w:noProof/>
          </w:rPr>
          <w:t>Introduction</w:t>
        </w:r>
        <w:r w:rsidR="00605E80">
          <w:rPr>
            <w:noProof/>
            <w:webHidden/>
          </w:rPr>
          <w:tab/>
        </w:r>
        <w:r w:rsidR="00605E80">
          <w:rPr>
            <w:noProof/>
            <w:webHidden/>
          </w:rPr>
          <w:fldChar w:fldCharType="begin"/>
        </w:r>
        <w:r w:rsidR="00605E80">
          <w:rPr>
            <w:noProof/>
            <w:webHidden/>
          </w:rPr>
          <w:instrText xml:space="preserve"> PAGEREF _Toc530408357 \h </w:instrText>
        </w:r>
        <w:r w:rsidR="00605E80">
          <w:rPr>
            <w:noProof/>
            <w:webHidden/>
          </w:rPr>
        </w:r>
        <w:r w:rsidR="00605E80">
          <w:rPr>
            <w:noProof/>
            <w:webHidden/>
          </w:rPr>
          <w:fldChar w:fldCharType="separate"/>
        </w:r>
        <w:r w:rsidR="00EC0225">
          <w:rPr>
            <w:noProof/>
            <w:webHidden/>
          </w:rPr>
          <w:t>5</w:t>
        </w:r>
        <w:r w:rsidR="00605E80">
          <w:rPr>
            <w:noProof/>
            <w:webHidden/>
          </w:rPr>
          <w:fldChar w:fldCharType="end"/>
        </w:r>
      </w:hyperlink>
    </w:p>
    <w:p w14:paraId="3E4E3648" w14:textId="7EE84667" w:rsidR="00605E80" w:rsidRDefault="00081E58">
      <w:pPr>
        <w:pStyle w:val="TOC2"/>
        <w:rPr>
          <w:rFonts w:asciiTheme="minorHAnsi" w:eastAsiaTheme="minorEastAsia" w:hAnsiTheme="minorHAnsi" w:cstheme="minorBidi"/>
          <w:caps w:val="0"/>
          <w:noProof/>
          <w:szCs w:val="22"/>
          <w:lang w:val="en-US" w:eastAsia="en-US"/>
        </w:rPr>
      </w:pPr>
      <w:hyperlink w:anchor="_Toc530408358" w:history="1">
        <w:r w:rsidR="00605E80" w:rsidRPr="0019428A">
          <w:rPr>
            <w:rStyle w:val="Hyperlink"/>
            <w:noProof/>
          </w:rPr>
          <w:t>A)</w:t>
        </w:r>
        <w:r w:rsidR="00605E80">
          <w:rPr>
            <w:rFonts w:asciiTheme="minorHAnsi" w:eastAsiaTheme="minorEastAsia" w:hAnsiTheme="minorHAnsi" w:cstheme="minorBidi"/>
            <w:caps w:val="0"/>
            <w:noProof/>
            <w:szCs w:val="22"/>
            <w:lang w:val="en-US" w:eastAsia="en-US"/>
          </w:rPr>
          <w:tab/>
        </w:r>
        <w:r w:rsidR="00605E80" w:rsidRPr="0019428A">
          <w:rPr>
            <w:rStyle w:val="Hyperlink"/>
            <w:noProof/>
          </w:rPr>
          <w:t>Contexte et description du projet</w:t>
        </w:r>
        <w:r w:rsidR="00605E80">
          <w:rPr>
            <w:noProof/>
            <w:webHidden/>
          </w:rPr>
          <w:tab/>
        </w:r>
        <w:r w:rsidR="00605E80">
          <w:rPr>
            <w:noProof/>
            <w:webHidden/>
          </w:rPr>
          <w:fldChar w:fldCharType="begin"/>
        </w:r>
        <w:r w:rsidR="00605E80">
          <w:rPr>
            <w:noProof/>
            <w:webHidden/>
          </w:rPr>
          <w:instrText xml:space="preserve"> PAGEREF _Toc530408358 \h </w:instrText>
        </w:r>
        <w:r w:rsidR="00605E80">
          <w:rPr>
            <w:noProof/>
            <w:webHidden/>
          </w:rPr>
        </w:r>
        <w:r w:rsidR="00605E80">
          <w:rPr>
            <w:noProof/>
            <w:webHidden/>
          </w:rPr>
          <w:fldChar w:fldCharType="separate"/>
        </w:r>
        <w:r w:rsidR="00EC0225">
          <w:rPr>
            <w:noProof/>
            <w:webHidden/>
          </w:rPr>
          <w:t>5</w:t>
        </w:r>
        <w:r w:rsidR="00605E80">
          <w:rPr>
            <w:noProof/>
            <w:webHidden/>
          </w:rPr>
          <w:fldChar w:fldCharType="end"/>
        </w:r>
      </w:hyperlink>
    </w:p>
    <w:p w14:paraId="59852B37" w14:textId="07534AB0" w:rsidR="00605E80" w:rsidRDefault="00081E58">
      <w:pPr>
        <w:pStyle w:val="TOC2"/>
        <w:rPr>
          <w:rFonts w:asciiTheme="minorHAnsi" w:eastAsiaTheme="minorEastAsia" w:hAnsiTheme="minorHAnsi" w:cstheme="minorBidi"/>
          <w:caps w:val="0"/>
          <w:noProof/>
          <w:szCs w:val="22"/>
          <w:lang w:val="en-US" w:eastAsia="en-US"/>
        </w:rPr>
      </w:pPr>
      <w:hyperlink w:anchor="_Toc530408359" w:history="1">
        <w:r w:rsidR="00605E80" w:rsidRPr="0019428A">
          <w:rPr>
            <w:rStyle w:val="Hyperlink"/>
            <w:noProof/>
          </w:rPr>
          <w:t>B)</w:t>
        </w:r>
        <w:r w:rsidR="00605E80">
          <w:rPr>
            <w:rFonts w:asciiTheme="minorHAnsi" w:eastAsiaTheme="minorEastAsia" w:hAnsiTheme="minorHAnsi" w:cstheme="minorBidi"/>
            <w:caps w:val="0"/>
            <w:noProof/>
            <w:szCs w:val="22"/>
            <w:lang w:val="en-US" w:eastAsia="en-US"/>
          </w:rPr>
          <w:tab/>
        </w:r>
        <w:r w:rsidR="00605E80" w:rsidRPr="0019428A">
          <w:rPr>
            <w:rStyle w:val="Hyperlink"/>
            <w:noProof/>
          </w:rPr>
          <w:t>Objet, méthodologie et limites de la présente évaluation</w:t>
        </w:r>
        <w:r w:rsidR="00605E80">
          <w:rPr>
            <w:noProof/>
            <w:webHidden/>
          </w:rPr>
          <w:tab/>
        </w:r>
        <w:r w:rsidR="00605E80">
          <w:rPr>
            <w:noProof/>
            <w:webHidden/>
          </w:rPr>
          <w:fldChar w:fldCharType="begin"/>
        </w:r>
        <w:r w:rsidR="00605E80">
          <w:rPr>
            <w:noProof/>
            <w:webHidden/>
          </w:rPr>
          <w:instrText xml:space="preserve"> PAGEREF _Toc530408359 \h </w:instrText>
        </w:r>
        <w:r w:rsidR="00605E80">
          <w:rPr>
            <w:noProof/>
            <w:webHidden/>
          </w:rPr>
        </w:r>
        <w:r w:rsidR="00605E80">
          <w:rPr>
            <w:noProof/>
            <w:webHidden/>
          </w:rPr>
          <w:fldChar w:fldCharType="separate"/>
        </w:r>
        <w:r w:rsidR="00EC0225">
          <w:rPr>
            <w:noProof/>
            <w:webHidden/>
          </w:rPr>
          <w:t>7</w:t>
        </w:r>
        <w:r w:rsidR="00605E80">
          <w:rPr>
            <w:noProof/>
            <w:webHidden/>
          </w:rPr>
          <w:fldChar w:fldCharType="end"/>
        </w:r>
      </w:hyperlink>
    </w:p>
    <w:p w14:paraId="64D7CC9F" w14:textId="386CDD96" w:rsidR="00605E80" w:rsidRDefault="00081E58">
      <w:pPr>
        <w:pStyle w:val="TOC2"/>
        <w:rPr>
          <w:rFonts w:asciiTheme="minorHAnsi" w:eastAsiaTheme="minorEastAsia" w:hAnsiTheme="minorHAnsi" w:cstheme="minorBidi"/>
          <w:caps w:val="0"/>
          <w:noProof/>
          <w:szCs w:val="22"/>
          <w:lang w:val="en-US" w:eastAsia="en-US"/>
        </w:rPr>
      </w:pPr>
      <w:hyperlink w:anchor="_Toc530408360" w:history="1">
        <w:r w:rsidR="00605E80" w:rsidRPr="0019428A">
          <w:rPr>
            <w:rStyle w:val="Hyperlink"/>
            <w:noProof/>
          </w:rPr>
          <w:t>C)</w:t>
        </w:r>
        <w:r w:rsidR="00605E80">
          <w:rPr>
            <w:rFonts w:asciiTheme="minorHAnsi" w:eastAsiaTheme="minorEastAsia" w:hAnsiTheme="minorHAnsi" w:cstheme="minorBidi"/>
            <w:caps w:val="0"/>
            <w:noProof/>
            <w:szCs w:val="22"/>
            <w:lang w:val="en-US" w:eastAsia="en-US"/>
          </w:rPr>
          <w:tab/>
        </w:r>
        <w:r w:rsidR="00605E80" w:rsidRPr="0019428A">
          <w:rPr>
            <w:rStyle w:val="Hyperlink"/>
            <w:noProof/>
          </w:rPr>
          <w:t>Objectif principal de la méthodologie</w:t>
        </w:r>
        <w:r w:rsidR="00605E80">
          <w:rPr>
            <w:noProof/>
            <w:webHidden/>
          </w:rPr>
          <w:tab/>
        </w:r>
        <w:r w:rsidR="00605E80">
          <w:rPr>
            <w:noProof/>
            <w:webHidden/>
          </w:rPr>
          <w:fldChar w:fldCharType="begin"/>
        </w:r>
        <w:r w:rsidR="00605E80">
          <w:rPr>
            <w:noProof/>
            <w:webHidden/>
          </w:rPr>
          <w:instrText xml:space="preserve"> PAGEREF _Toc530408360 \h </w:instrText>
        </w:r>
        <w:r w:rsidR="00605E80">
          <w:rPr>
            <w:noProof/>
            <w:webHidden/>
          </w:rPr>
        </w:r>
        <w:r w:rsidR="00605E80">
          <w:rPr>
            <w:noProof/>
            <w:webHidden/>
          </w:rPr>
          <w:fldChar w:fldCharType="separate"/>
        </w:r>
        <w:r w:rsidR="00EC0225">
          <w:rPr>
            <w:noProof/>
            <w:webHidden/>
          </w:rPr>
          <w:t>8</w:t>
        </w:r>
        <w:r w:rsidR="00605E80">
          <w:rPr>
            <w:noProof/>
            <w:webHidden/>
          </w:rPr>
          <w:fldChar w:fldCharType="end"/>
        </w:r>
      </w:hyperlink>
    </w:p>
    <w:p w14:paraId="45D1E254" w14:textId="44DE797E" w:rsidR="00605E80" w:rsidRDefault="00081E58">
      <w:pPr>
        <w:pStyle w:val="TOC1"/>
        <w:rPr>
          <w:rFonts w:asciiTheme="minorHAnsi" w:eastAsiaTheme="minorEastAsia" w:hAnsiTheme="minorHAnsi" w:cstheme="minorBidi"/>
          <w:b w:val="0"/>
          <w:caps w:val="0"/>
          <w:noProof/>
          <w:szCs w:val="22"/>
          <w:lang w:val="en-US" w:eastAsia="en-US"/>
        </w:rPr>
      </w:pPr>
      <w:hyperlink w:anchor="_Toc530408361" w:history="1">
        <w:r w:rsidR="00605E80" w:rsidRPr="0019428A">
          <w:rPr>
            <w:rStyle w:val="Hyperlink"/>
            <w:noProof/>
          </w:rPr>
          <w:t>2.</w:t>
        </w:r>
        <w:r w:rsidR="00605E80">
          <w:rPr>
            <w:rFonts w:asciiTheme="minorHAnsi" w:eastAsiaTheme="minorEastAsia" w:hAnsiTheme="minorHAnsi" w:cstheme="minorBidi"/>
            <w:b w:val="0"/>
            <w:caps w:val="0"/>
            <w:noProof/>
            <w:szCs w:val="22"/>
            <w:lang w:val="en-US" w:eastAsia="en-US"/>
          </w:rPr>
          <w:tab/>
        </w:r>
        <w:r w:rsidR="00605E80" w:rsidRPr="0019428A">
          <w:rPr>
            <w:rStyle w:val="Hyperlink"/>
            <w:noProof/>
          </w:rPr>
          <w:t>Principales limites de la présente évaluation</w:t>
        </w:r>
        <w:r w:rsidR="00605E80">
          <w:rPr>
            <w:noProof/>
            <w:webHidden/>
          </w:rPr>
          <w:tab/>
        </w:r>
        <w:r w:rsidR="00605E80">
          <w:rPr>
            <w:noProof/>
            <w:webHidden/>
          </w:rPr>
          <w:fldChar w:fldCharType="begin"/>
        </w:r>
        <w:r w:rsidR="00605E80">
          <w:rPr>
            <w:noProof/>
            <w:webHidden/>
          </w:rPr>
          <w:instrText xml:space="preserve"> PAGEREF _Toc530408361 \h </w:instrText>
        </w:r>
        <w:r w:rsidR="00605E80">
          <w:rPr>
            <w:noProof/>
            <w:webHidden/>
          </w:rPr>
        </w:r>
        <w:r w:rsidR="00605E80">
          <w:rPr>
            <w:noProof/>
            <w:webHidden/>
          </w:rPr>
          <w:fldChar w:fldCharType="separate"/>
        </w:r>
        <w:r w:rsidR="00EC0225">
          <w:rPr>
            <w:noProof/>
            <w:webHidden/>
          </w:rPr>
          <w:t>9</w:t>
        </w:r>
        <w:r w:rsidR="00605E80">
          <w:rPr>
            <w:noProof/>
            <w:webHidden/>
          </w:rPr>
          <w:fldChar w:fldCharType="end"/>
        </w:r>
      </w:hyperlink>
    </w:p>
    <w:p w14:paraId="1FE47FF1" w14:textId="42220338" w:rsidR="00605E80" w:rsidRDefault="00081E58">
      <w:pPr>
        <w:pStyle w:val="TOC1"/>
        <w:rPr>
          <w:rFonts w:asciiTheme="minorHAnsi" w:eastAsiaTheme="minorEastAsia" w:hAnsiTheme="minorHAnsi" w:cstheme="minorBidi"/>
          <w:b w:val="0"/>
          <w:caps w:val="0"/>
          <w:noProof/>
          <w:szCs w:val="22"/>
          <w:lang w:val="en-US" w:eastAsia="en-US"/>
        </w:rPr>
      </w:pPr>
      <w:hyperlink w:anchor="_Toc530408362" w:history="1">
        <w:r w:rsidR="00605E80" w:rsidRPr="0019428A">
          <w:rPr>
            <w:rStyle w:val="Hyperlink"/>
            <w:noProof/>
          </w:rPr>
          <w:t>3.</w:t>
        </w:r>
        <w:r w:rsidR="00605E80">
          <w:rPr>
            <w:rFonts w:asciiTheme="minorHAnsi" w:eastAsiaTheme="minorEastAsia" w:hAnsiTheme="minorHAnsi" w:cstheme="minorBidi"/>
            <w:b w:val="0"/>
            <w:caps w:val="0"/>
            <w:noProof/>
            <w:szCs w:val="22"/>
            <w:lang w:val="en-US" w:eastAsia="en-US"/>
          </w:rPr>
          <w:tab/>
        </w:r>
        <w:r w:rsidR="00605E80" w:rsidRPr="0019428A">
          <w:rPr>
            <w:rStyle w:val="Hyperlink"/>
            <w:noProof/>
          </w:rPr>
          <w:t>Résultats et évaluation</w:t>
        </w:r>
        <w:r w:rsidR="00605E80">
          <w:rPr>
            <w:noProof/>
            <w:webHidden/>
          </w:rPr>
          <w:tab/>
        </w:r>
        <w:r w:rsidR="00605E80">
          <w:rPr>
            <w:noProof/>
            <w:webHidden/>
          </w:rPr>
          <w:fldChar w:fldCharType="begin"/>
        </w:r>
        <w:r w:rsidR="00605E80">
          <w:rPr>
            <w:noProof/>
            <w:webHidden/>
          </w:rPr>
          <w:instrText xml:space="preserve"> PAGEREF _Toc530408362 \h </w:instrText>
        </w:r>
        <w:r w:rsidR="00605E80">
          <w:rPr>
            <w:noProof/>
            <w:webHidden/>
          </w:rPr>
        </w:r>
        <w:r w:rsidR="00605E80">
          <w:rPr>
            <w:noProof/>
            <w:webHidden/>
          </w:rPr>
          <w:fldChar w:fldCharType="separate"/>
        </w:r>
        <w:r w:rsidR="00EC0225">
          <w:rPr>
            <w:noProof/>
            <w:webHidden/>
          </w:rPr>
          <w:t>10</w:t>
        </w:r>
        <w:r w:rsidR="00605E80">
          <w:rPr>
            <w:noProof/>
            <w:webHidden/>
          </w:rPr>
          <w:fldChar w:fldCharType="end"/>
        </w:r>
      </w:hyperlink>
    </w:p>
    <w:p w14:paraId="1C0D08B6" w14:textId="5EF91D19" w:rsidR="00605E80" w:rsidRDefault="00081E58">
      <w:pPr>
        <w:pStyle w:val="TOC2"/>
        <w:rPr>
          <w:rFonts w:asciiTheme="minorHAnsi" w:eastAsiaTheme="minorEastAsia" w:hAnsiTheme="minorHAnsi" w:cstheme="minorBidi"/>
          <w:caps w:val="0"/>
          <w:noProof/>
          <w:szCs w:val="22"/>
          <w:lang w:val="en-US" w:eastAsia="en-US"/>
        </w:rPr>
      </w:pPr>
      <w:hyperlink w:anchor="_Toc530408363" w:history="1">
        <w:r w:rsidR="00605E80" w:rsidRPr="0019428A">
          <w:rPr>
            <w:rStyle w:val="Hyperlink"/>
            <w:noProof/>
          </w:rPr>
          <w:t>A)</w:t>
        </w:r>
        <w:r w:rsidR="00605E80">
          <w:rPr>
            <w:rFonts w:asciiTheme="minorHAnsi" w:eastAsiaTheme="minorEastAsia" w:hAnsiTheme="minorHAnsi" w:cstheme="minorBidi"/>
            <w:caps w:val="0"/>
            <w:noProof/>
            <w:szCs w:val="22"/>
            <w:lang w:val="en-US" w:eastAsia="en-US"/>
          </w:rPr>
          <w:tab/>
        </w:r>
        <w:r w:rsidR="00605E80" w:rsidRPr="0019428A">
          <w:rPr>
            <w:rStyle w:val="Hyperlink"/>
            <w:noProof/>
          </w:rPr>
          <w:t>Conception et gestion du projet</w:t>
        </w:r>
        <w:r w:rsidR="00605E80">
          <w:rPr>
            <w:noProof/>
            <w:webHidden/>
          </w:rPr>
          <w:tab/>
        </w:r>
        <w:r w:rsidR="00605E80">
          <w:rPr>
            <w:noProof/>
            <w:webHidden/>
          </w:rPr>
          <w:fldChar w:fldCharType="begin"/>
        </w:r>
        <w:r w:rsidR="00605E80">
          <w:rPr>
            <w:noProof/>
            <w:webHidden/>
          </w:rPr>
          <w:instrText xml:space="preserve"> PAGEREF _Toc530408363 \h </w:instrText>
        </w:r>
        <w:r w:rsidR="00605E80">
          <w:rPr>
            <w:noProof/>
            <w:webHidden/>
          </w:rPr>
        </w:r>
        <w:r w:rsidR="00605E80">
          <w:rPr>
            <w:noProof/>
            <w:webHidden/>
          </w:rPr>
          <w:fldChar w:fldCharType="separate"/>
        </w:r>
        <w:r w:rsidR="00EC0225">
          <w:rPr>
            <w:noProof/>
            <w:webHidden/>
          </w:rPr>
          <w:t>10</w:t>
        </w:r>
        <w:r w:rsidR="00605E80">
          <w:rPr>
            <w:noProof/>
            <w:webHidden/>
          </w:rPr>
          <w:fldChar w:fldCharType="end"/>
        </w:r>
      </w:hyperlink>
    </w:p>
    <w:p w14:paraId="3B13DE86" w14:textId="08602E89" w:rsidR="00605E80" w:rsidRDefault="00081E58">
      <w:pPr>
        <w:pStyle w:val="TOC2"/>
        <w:rPr>
          <w:rFonts w:asciiTheme="minorHAnsi" w:eastAsiaTheme="minorEastAsia" w:hAnsiTheme="minorHAnsi" w:cstheme="minorBidi"/>
          <w:caps w:val="0"/>
          <w:noProof/>
          <w:szCs w:val="22"/>
          <w:lang w:val="en-US" w:eastAsia="en-US"/>
        </w:rPr>
      </w:pPr>
      <w:hyperlink w:anchor="_Toc530408364" w:history="1">
        <w:r w:rsidR="00605E80" w:rsidRPr="0019428A">
          <w:rPr>
            <w:rStyle w:val="Hyperlink"/>
            <w:noProof/>
          </w:rPr>
          <w:t>B)</w:t>
        </w:r>
        <w:r w:rsidR="00605E80">
          <w:rPr>
            <w:rFonts w:asciiTheme="minorHAnsi" w:eastAsiaTheme="minorEastAsia" w:hAnsiTheme="minorHAnsi" w:cstheme="minorBidi"/>
            <w:caps w:val="0"/>
            <w:noProof/>
            <w:szCs w:val="22"/>
            <w:lang w:val="en-US" w:eastAsia="en-US"/>
          </w:rPr>
          <w:tab/>
        </w:r>
        <w:r w:rsidR="00605E80" w:rsidRPr="0019428A">
          <w:rPr>
            <w:rStyle w:val="Hyperlink"/>
            <w:noProof/>
          </w:rPr>
          <w:t>Efficacité</w:t>
        </w:r>
        <w:r w:rsidR="00605E80">
          <w:rPr>
            <w:noProof/>
            <w:webHidden/>
          </w:rPr>
          <w:tab/>
        </w:r>
        <w:r w:rsidR="00605E80">
          <w:rPr>
            <w:noProof/>
            <w:webHidden/>
          </w:rPr>
          <w:fldChar w:fldCharType="begin"/>
        </w:r>
        <w:r w:rsidR="00605E80">
          <w:rPr>
            <w:noProof/>
            <w:webHidden/>
          </w:rPr>
          <w:instrText xml:space="preserve"> PAGEREF _Toc530408364 \h </w:instrText>
        </w:r>
        <w:r w:rsidR="00605E80">
          <w:rPr>
            <w:noProof/>
            <w:webHidden/>
          </w:rPr>
        </w:r>
        <w:r w:rsidR="00605E80">
          <w:rPr>
            <w:noProof/>
            <w:webHidden/>
          </w:rPr>
          <w:fldChar w:fldCharType="separate"/>
        </w:r>
        <w:r w:rsidR="00EC0225">
          <w:rPr>
            <w:noProof/>
            <w:webHidden/>
          </w:rPr>
          <w:t>12</w:t>
        </w:r>
        <w:r w:rsidR="00605E80">
          <w:rPr>
            <w:noProof/>
            <w:webHidden/>
          </w:rPr>
          <w:fldChar w:fldCharType="end"/>
        </w:r>
      </w:hyperlink>
    </w:p>
    <w:p w14:paraId="044C7B32" w14:textId="4D64A40C" w:rsidR="00605E80" w:rsidRDefault="00081E58">
      <w:pPr>
        <w:pStyle w:val="TOC2"/>
        <w:rPr>
          <w:rFonts w:asciiTheme="minorHAnsi" w:eastAsiaTheme="minorEastAsia" w:hAnsiTheme="minorHAnsi" w:cstheme="minorBidi"/>
          <w:caps w:val="0"/>
          <w:noProof/>
          <w:szCs w:val="22"/>
          <w:lang w:val="en-US" w:eastAsia="en-US"/>
        </w:rPr>
      </w:pPr>
      <w:hyperlink w:anchor="_Toc530408365" w:history="1">
        <w:r w:rsidR="00605E80" w:rsidRPr="0019428A">
          <w:rPr>
            <w:rStyle w:val="Hyperlink"/>
            <w:noProof/>
          </w:rPr>
          <w:t>C)</w:t>
        </w:r>
        <w:r w:rsidR="00605E80">
          <w:rPr>
            <w:rFonts w:asciiTheme="minorHAnsi" w:eastAsiaTheme="minorEastAsia" w:hAnsiTheme="minorHAnsi" w:cstheme="minorBidi"/>
            <w:caps w:val="0"/>
            <w:noProof/>
            <w:szCs w:val="22"/>
            <w:lang w:val="en-US" w:eastAsia="en-US"/>
          </w:rPr>
          <w:tab/>
        </w:r>
        <w:r w:rsidR="00605E80" w:rsidRPr="0019428A">
          <w:rPr>
            <w:rStyle w:val="Hyperlink"/>
            <w:noProof/>
          </w:rPr>
          <w:t>Participants, information et diffusion des réalisations du projet</w:t>
        </w:r>
        <w:r w:rsidR="00605E80">
          <w:rPr>
            <w:noProof/>
            <w:webHidden/>
          </w:rPr>
          <w:tab/>
        </w:r>
        <w:r w:rsidR="00605E80">
          <w:rPr>
            <w:noProof/>
            <w:webHidden/>
          </w:rPr>
          <w:fldChar w:fldCharType="begin"/>
        </w:r>
        <w:r w:rsidR="00605E80">
          <w:rPr>
            <w:noProof/>
            <w:webHidden/>
          </w:rPr>
          <w:instrText xml:space="preserve"> PAGEREF _Toc530408365 \h </w:instrText>
        </w:r>
        <w:r w:rsidR="00605E80">
          <w:rPr>
            <w:noProof/>
            <w:webHidden/>
          </w:rPr>
        </w:r>
        <w:r w:rsidR="00605E80">
          <w:rPr>
            <w:noProof/>
            <w:webHidden/>
          </w:rPr>
          <w:fldChar w:fldCharType="separate"/>
        </w:r>
        <w:r w:rsidR="00EC0225">
          <w:rPr>
            <w:noProof/>
            <w:webHidden/>
          </w:rPr>
          <w:t>17</w:t>
        </w:r>
        <w:r w:rsidR="00605E80">
          <w:rPr>
            <w:noProof/>
            <w:webHidden/>
          </w:rPr>
          <w:fldChar w:fldCharType="end"/>
        </w:r>
      </w:hyperlink>
    </w:p>
    <w:p w14:paraId="051EEFB4" w14:textId="0B9BEBC0" w:rsidR="00605E80" w:rsidRDefault="00081E58">
      <w:pPr>
        <w:pStyle w:val="TOC2"/>
        <w:rPr>
          <w:rFonts w:asciiTheme="minorHAnsi" w:eastAsiaTheme="minorEastAsia" w:hAnsiTheme="minorHAnsi" w:cstheme="minorBidi"/>
          <w:caps w:val="0"/>
          <w:noProof/>
          <w:szCs w:val="22"/>
          <w:lang w:val="en-US" w:eastAsia="en-US"/>
        </w:rPr>
      </w:pPr>
      <w:hyperlink w:anchor="_Toc530408366" w:history="1">
        <w:r w:rsidR="00605E80" w:rsidRPr="0019428A">
          <w:rPr>
            <w:rStyle w:val="Hyperlink"/>
            <w:noProof/>
          </w:rPr>
          <w:t>D)</w:t>
        </w:r>
        <w:r w:rsidR="00605E80">
          <w:rPr>
            <w:rFonts w:asciiTheme="minorHAnsi" w:eastAsiaTheme="minorEastAsia" w:hAnsiTheme="minorHAnsi" w:cstheme="minorBidi"/>
            <w:caps w:val="0"/>
            <w:noProof/>
            <w:szCs w:val="22"/>
            <w:lang w:val="en-US" w:eastAsia="en-US"/>
          </w:rPr>
          <w:tab/>
        </w:r>
        <w:r w:rsidR="00605E80" w:rsidRPr="0019428A">
          <w:rPr>
            <w:rStyle w:val="Hyperlink"/>
            <w:noProof/>
          </w:rPr>
          <w:t>Impact et probabilité de pérennité</w:t>
        </w:r>
        <w:r w:rsidR="00605E80">
          <w:rPr>
            <w:noProof/>
            <w:webHidden/>
          </w:rPr>
          <w:tab/>
        </w:r>
        <w:r w:rsidR="00605E80">
          <w:rPr>
            <w:noProof/>
            <w:webHidden/>
          </w:rPr>
          <w:fldChar w:fldCharType="begin"/>
        </w:r>
        <w:r w:rsidR="00605E80">
          <w:rPr>
            <w:noProof/>
            <w:webHidden/>
          </w:rPr>
          <w:instrText xml:space="preserve"> PAGEREF _Toc530408366 \h </w:instrText>
        </w:r>
        <w:r w:rsidR="00605E80">
          <w:rPr>
            <w:noProof/>
            <w:webHidden/>
          </w:rPr>
        </w:r>
        <w:r w:rsidR="00605E80">
          <w:rPr>
            <w:noProof/>
            <w:webHidden/>
          </w:rPr>
          <w:fldChar w:fldCharType="separate"/>
        </w:r>
        <w:r w:rsidR="00EC0225">
          <w:rPr>
            <w:noProof/>
            <w:webHidden/>
          </w:rPr>
          <w:t>18</w:t>
        </w:r>
        <w:r w:rsidR="00605E80">
          <w:rPr>
            <w:noProof/>
            <w:webHidden/>
          </w:rPr>
          <w:fldChar w:fldCharType="end"/>
        </w:r>
      </w:hyperlink>
    </w:p>
    <w:p w14:paraId="0EDE8B42" w14:textId="32122335" w:rsidR="00605E80" w:rsidRDefault="00081E58">
      <w:pPr>
        <w:pStyle w:val="TOC1"/>
        <w:rPr>
          <w:rFonts w:asciiTheme="minorHAnsi" w:eastAsiaTheme="minorEastAsia" w:hAnsiTheme="minorHAnsi" w:cstheme="minorBidi"/>
          <w:b w:val="0"/>
          <w:caps w:val="0"/>
          <w:noProof/>
          <w:szCs w:val="22"/>
          <w:lang w:val="en-US" w:eastAsia="en-US"/>
        </w:rPr>
      </w:pPr>
      <w:hyperlink w:anchor="_Toc530408367" w:history="1">
        <w:r w:rsidR="00605E80" w:rsidRPr="0019428A">
          <w:rPr>
            <w:rStyle w:val="Hyperlink"/>
            <w:noProof/>
          </w:rPr>
          <w:t>4.</w:t>
        </w:r>
        <w:r w:rsidR="00605E80">
          <w:rPr>
            <w:rFonts w:asciiTheme="minorHAnsi" w:eastAsiaTheme="minorEastAsia" w:hAnsiTheme="minorHAnsi" w:cstheme="minorBidi"/>
            <w:b w:val="0"/>
            <w:caps w:val="0"/>
            <w:noProof/>
            <w:szCs w:val="22"/>
            <w:lang w:val="en-US" w:eastAsia="en-US"/>
          </w:rPr>
          <w:tab/>
        </w:r>
        <w:r w:rsidR="00605E80" w:rsidRPr="0019428A">
          <w:rPr>
            <w:rStyle w:val="Hyperlink"/>
            <w:noProof/>
          </w:rPr>
          <w:t>CONCLUSIONS</w:t>
        </w:r>
        <w:r w:rsidR="00605E80">
          <w:rPr>
            <w:noProof/>
            <w:webHidden/>
          </w:rPr>
          <w:tab/>
        </w:r>
        <w:r w:rsidR="00605E80">
          <w:rPr>
            <w:noProof/>
            <w:webHidden/>
          </w:rPr>
          <w:fldChar w:fldCharType="begin"/>
        </w:r>
        <w:r w:rsidR="00605E80">
          <w:rPr>
            <w:noProof/>
            <w:webHidden/>
          </w:rPr>
          <w:instrText xml:space="preserve"> PAGEREF _Toc530408367 \h </w:instrText>
        </w:r>
        <w:r w:rsidR="00605E80">
          <w:rPr>
            <w:noProof/>
            <w:webHidden/>
          </w:rPr>
        </w:r>
        <w:r w:rsidR="00605E80">
          <w:rPr>
            <w:noProof/>
            <w:webHidden/>
          </w:rPr>
          <w:fldChar w:fldCharType="separate"/>
        </w:r>
        <w:r w:rsidR="00EC0225">
          <w:rPr>
            <w:noProof/>
            <w:webHidden/>
          </w:rPr>
          <w:t>20</w:t>
        </w:r>
        <w:r w:rsidR="00605E80">
          <w:rPr>
            <w:noProof/>
            <w:webHidden/>
          </w:rPr>
          <w:fldChar w:fldCharType="end"/>
        </w:r>
      </w:hyperlink>
    </w:p>
    <w:p w14:paraId="0A9125AB" w14:textId="5598C9A3" w:rsidR="00605E80" w:rsidRDefault="00081E58">
      <w:pPr>
        <w:pStyle w:val="TOC1"/>
        <w:rPr>
          <w:rFonts w:asciiTheme="minorHAnsi" w:eastAsiaTheme="minorEastAsia" w:hAnsiTheme="minorHAnsi" w:cstheme="minorBidi"/>
          <w:b w:val="0"/>
          <w:caps w:val="0"/>
          <w:noProof/>
          <w:szCs w:val="22"/>
          <w:lang w:val="en-US" w:eastAsia="en-US"/>
        </w:rPr>
      </w:pPr>
      <w:hyperlink w:anchor="_Toc530408368" w:history="1">
        <w:r w:rsidR="00605E80" w:rsidRPr="0019428A">
          <w:rPr>
            <w:rStyle w:val="Hyperlink"/>
            <w:noProof/>
          </w:rPr>
          <w:t>5.</w:t>
        </w:r>
        <w:r w:rsidR="00605E80">
          <w:rPr>
            <w:rFonts w:asciiTheme="minorHAnsi" w:eastAsiaTheme="minorEastAsia" w:hAnsiTheme="minorHAnsi" w:cstheme="minorBidi"/>
            <w:b w:val="0"/>
            <w:caps w:val="0"/>
            <w:noProof/>
            <w:szCs w:val="22"/>
            <w:lang w:val="en-US" w:eastAsia="en-US"/>
          </w:rPr>
          <w:tab/>
        </w:r>
        <w:r w:rsidR="00605E80" w:rsidRPr="0019428A">
          <w:rPr>
            <w:rStyle w:val="Hyperlink"/>
            <w:noProof/>
          </w:rPr>
          <w:t>Recommandations</w:t>
        </w:r>
        <w:r w:rsidR="00605E80">
          <w:rPr>
            <w:noProof/>
            <w:webHidden/>
          </w:rPr>
          <w:tab/>
        </w:r>
        <w:r w:rsidR="00605E80">
          <w:rPr>
            <w:noProof/>
            <w:webHidden/>
          </w:rPr>
          <w:fldChar w:fldCharType="begin"/>
        </w:r>
        <w:r w:rsidR="00605E80">
          <w:rPr>
            <w:noProof/>
            <w:webHidden/>
          </w:rPr>
          <w:instrText xml:space="preserve"> PAGEREF _Toc530408368 \h </w:instrText>
        </w:r>
        <w:r w:rsidR="00605E80">
          <w:rPr>
            <w:noProof/>
            <w:webHidden/>
          </w:rPr>
        </w:r>
        <w:r w:rsidR="00605E80">
          <w:rPr>
            <w:noProof/>
            <w:webHidden/>
          </w:rPr>
          <w:fldChar w:fldCharType="separate"/>
        </w:r>
        <w:r w:rsidR="00EC0225">
          <w:rPr>
            <w:noProof/>
            <w:webHidden/>
          </w:rPr>
          <w:t>23</w:t>
        </w:r>
        <w:r w:rsidR="00605E80">
          <w:rPr>
            <w:noProof/>
            <w:webHidden/>
          </w:rPr>
          <w:fldChar w:fldCharType="end"/>
        </w:r>
      </w:hyperlink>
    </w:p>
    <w:p w14:paraId="25B2B529" w14:textId="521D2FD5" w:rsidR="00ED1A22" w:rsidRPr="00FB5D79" w:rsidRDefault="00A409C3" w:rsidP="00430267">
      <w:pPr>
        <w:pStyle w:val="TOC1"/>
        <w:rPr>
          <w:rFonts w:asciiTheme="minorHAnsi" w:eastAsiaTheme="minorEastAsia" w:hAnsiTheme="minorHAnsi" w:cstheme="minorBidi"/>
          <w:noProof/>
          <w:szCs w:val="22"/>
          <w:lang w:eastAsia="fr-FR"/>
        </w:rPr>
      </w:pPr>
      <w:r w:rsidRPr="00FB5D79">
        <w:fldChar w:fldCharType="end"/>
      </w:r>
    </w:p>
    <w:p w14:paraId="53DCB578" w14:textId="096C83F6" w:rsidR="008968E7" w:rsidRPr="00C053D9" w:rsidRDefault="00C34E43" w:rsidP="00C053D9">
      <w:pPr>
        <w:pStyle w:val="Title"/>
        <w:rPr>
          <w:rFonts w:ascii="Arial Bold" w:hAnsi="Arial Bold"/>
          <w:caps/>
          <w:lang w:val="fr-FR"/>
        </w:rPr>
      </w:pPr>
      <w:r w:rsidRPr="00934806">
        <w:rPr>
          <w:lang w:val="fr-CH"/>
        </w:rPr>
        <w:br w:type="page"/>
      </w:r>
      <w:bookmarkStart w:id="5" w:name="_Toc335712747"/>
      <w:bookmarkStart w:id="6" w:name="_Toc530408355"/>
      <w:r w:rsidR="00C053D9" w:rsidRPr="00C053D9">
        <w:rPr>
          <w:rFonts w:ascii="Arial Bold" w:hAnsi="Arial Bold"/>
          <w:caps/>
          <w:lang w:val="fr-FR"/>
        </w:rPr>
        <w:lastRenderedPageBreak/>
        <w:t>Liste des acronymes</w:t>
      </w:r>
      <w:bookmarkEnd w:id="5"/>
      <w:bookmarkEnd w:id="6"/>
    </w:p>
    <w:p w14:paraId="7AACAE27" w14:textId="77777777" w:rsidR="008968E7" w:rsidRPr="00FB5D79" w:rsidRDefault="008968E7" w:rsidP="006075D7">
      <w:pPr>
        <w:jc w:val="both"/>
      </w:pPr>
    </w:p>
    <w:p w14:paraId="2DAB27B1" w14:textId="77777777" w:rsidR="001630D3" w:rsidRPr="00FB5D79" w:rsidRDefault="001630D3" w:rsidP="005D32B1">
      <w:pPr>
        <w:rPr>
          <w:rFonts w:eastAsia="Times New Roman"/>
          <w:lang w:eastAsia="en-US"/>
        </w:rPr>
      </w:pPr>
    </w:p>
    <w:p w14:paraId="5E7D1890" w14:textId="45614E5F" w:rsidR="006758C7" w:rsidRPr="00FB5D79" w:rsidRDefault="006758C7" w:rsidP="005D32B1">
      <w:pPr>
        <w:rPr>
          <w:rFonts w:eastAsia="Times New Roman"/>
          <w:lang w:eastAsia="en-US"/>
        </w:rPr>
      </w:pPr>
      <w:r w:rsidRPr="00FB5D79">
        <w:rPr>
          <w:rFonts w:eastAsia="Times New Roman"/>
          <w:lang w:eastAsia="en-US"/>
        </w:rPr>
        <w:t>CAD</w:t>
      </w:r>
      <w:r w:rsidRPr="00FB5D79">
        <w:rPr>
          <w:rFonts w:eastAsia="Times New Roman"/>
          <w:lang w:eastAsia="en-US"/>
        </w:rPr>
        <w:tab/>
      </w:r>
      <w:r w:rsidRPr="00FB5D79">
        <w:rPr>
          <w:rFonts w:eastAsia="Times New Roman"/>
          <w:lang w:eastAsia="en-US"/>
        </w:rPr>
        <w:tab/>
      </w:r>
      <w:r w:rsidRPr="00FB5D79">
        <w:t>Comité d</w:t>
      </w:r>
      <w:r w:rsidR="00646944" w:rsidRPr="00FB5D79">
        <w:t>’</w:t>
      </w:r>
      <w:r w:rsidRPr="00FB5D79">
        <w:t>aide au développement</w:t>
      </w:r>
      <w:r w:rsidRPr="00FB5D79">
        <w:rPr>
          <w:rFonts w:eastAsia="Times New Roman"/>
          <w:lang w:eastAsia="en-US"/>
        </w:rPr>
        <w:t xml:space="preserve"> (de l</w:t>
      </w:r>
      <w:r w:rsidR="00646944" w:rsidRPr="00FB5D79">
        <w:rPr>
          <w:rFonts w:eastAsia="Times New Roman"/>
          <w:lang w:eastAsia="en-US"/>
        </w:rPr>
        <w:t>’</w:t>
      </w:r>
      <w:r w:rsidRPr="00FB5D79">
        <w:rPr>
          <w:rFonts w:eastAsia="Times New Roman"/>
          <w:lang w:eastAsia="en-US"/>
        </w:rPr>
        <w:t>OCDE)</w:t>
      </w:r>
    </w:p>
    <w:p w14:paraId="002426FB" w14:textId="77777777" w:rsidR="006758C7" w:rsidRPr="00FB5D79" w:rsidRDefault="006758C7" w:rsidP="005D32B1">
      <w:pPr>
        <w:rPr>
          <w:rFonts w:eastAsia="Times New Roman"/>
          <w:lang w:eastAsia="en-US"/>
        </w:rPr>
      </w:pPr>
      <w:r w:rsidRPr="00FB5D79">
        <w:rPr>
          <w:rFonts w:eastAsia="Times New Roman"/>
          <w:lang w:eastAsia="en-US"/>
        </w:rPr>
        <w:t>CDIP</w:t>
      </w:r>
      <w:r w:rsidRPr="00FB5D79">
        <w:rPr>
          <w:rFonts w:eastAsia="Times New Roman"/>
          <w:lang w:eastAsia="en-US"/>
        </w:rPr>
        <w:tab/>
      </w:r>
      <w:r w:rsidRPr="00FB5D79">
        <w:rPr>
          <w:rFonts w:eastAsia="Times New Roman"/>
          <w:lang w:eastAsia="en-US"/>
        </w:rPr>
        <w:tab/>
        <w:t>Comité du développement et de la propriété intellectuelle</w:t>
      </w:r>
    </w:p>
    <w:p w14:paraId="05F8166C" w14:textId="77777777" w:rsidR="006758C7" w:rsidRPr="00934806" w:rsidRDefault="006758C7" w:rsidP="005D32B1">
      <w:pPr>
        <w:rPr>
          <w:rFonts w:eastAsia="Times New Roman"/>
          <w:lang w:val="es-ES" w:eastAsia="en-US"/>
        </w:rPr>
      </w:pPr>
      <w:r w:rsidRPr="00934806">
        <w:rPr>
          <w:rFonts w:eastAsia="Times New Roman"/>
          <w:lang w:val="es-ES" w:eastAsia="en-US"/>
        </w:rPr>
        <w:t>DNP</w:t>
      </w:r>
      <w:r w:rsidRPr="00934806">
        <w:rPr>
          <w:rFonts w:eastAsia="Times New Roman"/>
          <w:lang w:val="es-ES" w:eastAsia="en-US"/>
        </w:rPr>
        <w:tab/>
      </w:r>
      <w:r w:rsidRPr="00934806">
        <w:rPr>
          <w:rFonts w:eastAsia="Times New Roman"/>
          <w:lang w:val="es-ES" w:eastAsia="en-US"/>
        </w:rPr>
        <w:tab/>
      </w:r>
      <w:r w:rsidRPr="00934806">
        <w:rPr>
          <w:rFonts w:eastAsia="Times New Roman"/>
          <w:i/>
          <w:lang w:val="es-ES" w:eastAsia="en-US"/>
        </w:rPr>
        <w:t>Departamento Nacional de Planeación</w:t>
      </w:r>
      <w:r w:rsidRPr="00934806">
        <w:rPr>
          <w:rFonts w:eastAsia="Times New Roman"/>
          <w:lang w:val="es-ES" w:eastAsia="en-US"/>
        </w:rPr>
        <w:t xml:space="preserve">, </w:t>
      </w:r>
      <w:proofErr w:type="spellStart"/>
      <w:r w:rsidRPr="00934806">
        <w:rPr>
          <w:rFonts w:eastAsia="Times New Roman"/>
          <w:lang w:val="es-ES" w:eastAsia="en-US"/>
        </w:rPr>
        <w:t>Colombie</w:t>
      </w:r>
      <w:proofErr w:type="spellEnd"/>
    </w:p>
    <w:p w14:paraId="7F1CF2F6" w14:textId="0262770D" w:rsidR="006758C7" w:rsidRPr="00FB5D79" w:rsidRDefault="006758C7" w:rsidP="005D32B1">
      <w:pPr>
        <w:rPr>
          <w:rFonts w:eastAsia="Times New Roman"/>
          <w:lang w:eastAsia="en-US"/>
        </w:rPr>
      </w:pPr>
      <w:r w:rsidRPr="00FB5D79">
        <w:rPr>
          <w:rFonts w:eastAsia="Times New Roman"/>
          <w:lang w:eastAsia="en-US"/>
        </w:rPr>
        <w:t>G</w:t>
      </w:r>
      <w:r w:rsidR="004F4030" w:rsidRPr="00FB5D79">
        <w:rPr>
          <w:rFonts w:eastAsia="Times New Roman"/>
          <w:lang w:eastAsia="en-US"/>
        </w:rPr>
        <w:t>N</w:t>
      </w:r>
      <w:r w:rsidRPr="00FB5D79">
        <w:rPr>
          <w:rFonts w:eastAsia="Times New Roman"/>
          <w:lang w:eastAsia="en-US"/>
        </w:rPr>
        <w:t>UE</w:t>
      </w:r>
      <w:r w:rsidRPr="00FB5D79">
        <w:rPr>
          <w:rFonts w:eastAsia="Times New Roman"/>
          <w:lang w:eastAsia="en-US"/>
        </w:rPr>
        <w:tab/>
        <w:t xml:space="preserve">Groupe des </w:t>
      </w:r>
      <w:r w:rsidR="00965F3A">
        <w:rPr>
          <w:rFonts w:eastAsia="Times New Roman"/>
          <w:lang w:eastAsia="en-US"/>
        </w:rPr>
        <w:t>Nations Unies</w:t>
      </w:r>
      <w:r w:rsidRPr="00FB5D79">
        <w:rPr>
          <w:rFonts w:eastAsia="Times New Roman"/>
          <w:lang w:eastAsia="en-US"/>
        </w:rPr>
        <w:t xml:space="preserve"> pour l</w:t>
      </w:r>
      <w:r w:rsidR="00646944" w:rsidRPr="00FB5D79">
        <w:rPr>
          <w:rFonts w:eastAsia="Times New Roman"/>
          <w:lang w:eastAsia="en-US"/>
        </w:rPr>
        <w:t>’</w:t>
      </w:r>
      <w:r w:rsidRPr="00FB5D79">
        <w:rPr>
          <w:rFonts w:eastAsia="Times New Roman"/>
          <w:lang w:eastAsia="en-US"/>
        </w:rPr>
        <w:t>évaluation</w:t>
      </w:r>
    </w:p>
    <w:p w14:paraId="14A1C3CA" w14:textId="77777777" w:rsidR="006758C7" w:rsidRPr="00FB5D79" w:rsidRDefault="006758C7" w:rsidP="005D32B1">
      <w:pPr>
        <w:rPr>
          <w:rFonts w:eastAsia="Times New Roman"/>
          <w:lang w:eastAsia="en-US"/>
        </w:rPr>
      </w:pPr>
      <w:r w:rsidRPr="00FB5D79">
        <w:rPr>
          <w:rFonts w:eastAsia="Times New Roman"/>
          <w:lang w:eastAsia="en-US"/>
        </w:rPr>
        <w:t xml:space="preserve">ICA </w:t>
      </w:r>
      <w:r w:rsidRPr="00FB5D79">
        <w:rPr>
          <w:rFonts w:eastAsia="Times New Roman"/>
          <w:lang w:eastAsia="en-US"/>
        </w:rPr>
        <w:tab/>
      </w:r>
      <w:r w:rsidRPr="00FB5D79">
        <w:rPr>
          <w:rFonts w:eastAsia="Times New Roman"/>
          <w:lang w:eastAsia="en-US"/>
        </w:rPr>
        <w:tab/>
      </w:r>
      <w:proofErr w:type="spellStart"/>
      <w:r w:rsidRPr="00FB5D79">
        <w:rPr>
          <w:rFonts w:eastAsia="Times New Roman"/>
          <w:i/>
          <w:lang w:eastAsia="en-US"/>
        </w:rPr>
        <w:t>Instituto</w:t>
      </w:r>
      <w:proofErr w:type="spellEnd"/>
      <w:r w:rsidRPr="00FB5D79">
        <w:rPr>
          <w:rFonts w:eastAsia="Times New Roman"/>
          <w:i/>
          <w:lang w:eastAsia="en-US"/>
        </w:rPr>
        <w:t xml:space="preserve"> </w:t>
      </w:r>
      <w:proofErr w:type="spellStart"/>
      <w:r w:rsidRPr="00FB5D79">
        <w:rPr>
          <w:rFonts w:eastAsia="Times New Roman"/>
          <w:i/>
          <w:lang w:eastAsia="en-US"/>
        </w:rPr>
        <w:t>Colombiano</w:t>
      </w:r>
      <w:proofErr w:type="spellEnd"/>
      <w:r w:rsidRPr="00FB5D79">
        <w:rPr>
          <w:rFonts w:eastAsia="Times New Roman"/>
          <w:i/>
          <w:lang w:eastAsia="en-US"/>
        </w:rPr>
        <w:t xml:space="preserve"> </w:t>
      </w:r>
      <w:proofErr w:type="spellStart"/>
      <w:r w:rsidRPr="00FB5D79">
        <w:rPr>
          <w:rFonts w:eastAsia="Times New Roman"/>
          <w:i/>
          <w:lang w:eastAsia="en-US"/>
        </w:rPr>
        <w:t>Agropecuario</w:t>
      </w:r>
      <w:proofErr w:type="spellEnd"/>
    </w:p>
    <w:p w14:paraId="1CE0D435" w14:textId="77777777" w:rsidR="006758C7" w:rsidRPr="00FB5D79" w:rsidRDefault="006758C7" w:rsidP="005D32B1">
      <w:pPr>
        <w:rPr>
          <w:rFonts w:eastAsia="Times New Roman"/>
          <w:lang w:eastAsia="en-US"/>
        </w:rPr>
      </w:pPr>
      <w:r w:rsidRPr="00FB5D79">
        <w:rPr>
          <w:rFonts w:eastAsia="Times New Roman"/>
          <w:lang w:eastAsia="en-US"/>
        </w:rPr>
        <w:t>ICTSD</w:t>
      </w:r>
      <w:r w:rsidRPr="00FB5D79">
        <w:rPr>
          <w:rFonts w:eastAsia="Times New Roman"/>
          <w:lang w:eastAsia="en-US"/>
        </w:rPr>
        <w:tab/>
        <w:t>Centre international pour le commerce et le développement durable</w:t>
      </w:r>
    </w:p>
    <w:p w14:paraId="7839B517" w14:textId="77777777" w:rsidR="006758C7" w:rsidRPr="00FB5D79" w:rsidRDefault="006758C7" w:rsidP="005D32B1">
      <w:pPr>
        <w:rPr>
          <w:rFonts w:eastAsia="Times New Roman"/>
          <w:lang w:eastAsia="en-US"/>
        </w:rPr>
      </w:pPr>
      <w:r w:rsidRPr="00FB5D79">
        <w:rPr>
          <w:rFonts w:eastAsia="Times New Roman"/>
          <w:lang w:eastAsia="en-US"/>
        </w:rPr>
        <w:t>OCDE</w:t>
      </w:r>
      <w:r w:rsidRPr="00FB5D79">
        <w:rPr>
          <w:rFonts w:eastAsia="Times New Roman"/>
          <w:lang w:eastAsia="en-US"/>
        </w:rPr>
        <w:tab/>
        <w:t>Organisation de coopération et de développement économiques</w:t>
      </w:r>
    </w:p>
    <w:p w14:paraId="58E52A44" w14:textId="09DA016D" w:rsidR="006758C7" w:rsidRPr="00FB5D79" w:rsidRDefault="006758C7" w:rsidP="005D32B1">
      <w:pPr>
        <w:rPr>
          <w:rFonts w:eastAsia="Times New Roman"/>
          <w:lang w:eastAsia="en-US"/>
        </w:rPr>
      </w:pPr>
      <w:r w:rsidRPr="00FB5D79">
        <w:rPr>
          <w:rFonts w:eastAsia="Times New Roman"/>
          <w:lang w:eastAsia="en-US"/>
        </w:rPr>
        <w:t>OMPI</w:t>
      </w:r>
      <w:r w:rsidRPr="00FB5D79">
        <w:rPr>
          <w:rFonts w:eastAsia="Times New Roman"/>
          <w:lang w:eastAsia="en-US"/>
        </w:rPr>
        <w:tab/>
      </w:r>
      <w:r w:rsidRPr="00FB5D79">
        <w:rPr>
          <w:rFonts w:eastAsia="Times New Roman"/>
          <w:lang w:eastAsia="en-US"/>
        </w:rPr>
        <w:tab/>
        <w:t xml:space="preserve">Organisation </w:t>
      </w:r>
      <w:r w:rsidR="000E4777" w:rsidRPr="00FB5D79">
        <w:rPr>
          <w:rFonts w:eastAsia="Times New Roman"/>
          <w:lang w:eastAsia="en-US"/>
        </w:rPr>
        <w:t>Mondiale</w:t>
      </w:r>
      <w:r w:rsidRPr="00FB5D79">
        <w:rPr>
          <w:rFonts w:eastAsia="Times New Roman"/>
          <w:lang w:eastAsia="en-US"/>
        </w:rPr>
        <w:t xml:space="preserve"> de la </w:t>
      </w:r>
      <w:r w:rsidR="000E4777" w:rsidRPr="00FB5D79">
        <w:rPr>
          <w:rFonts w:eastAsia="Times New Roman"/>
          <w:lang w:eastAsia="en-US"/>
        </w:rPr>
        <w:t>Propriété Intellectuelle</w:t>
      </w:r>
    </w:p>
    <w:p w14:paraId="6A9356BB" w14:textId="74AB64EB" w:rsidR="006758C7" w:rsidRPr="00FB5D79" w:rsidRDefault="006758C7" w:rsidP="00F85512">
      <w:pPr>
        <w:rPr>
          <w:rFonts w:eastAsia="Times New Roman"/>
          <w:lang w:eastAsia="en-US"/>
        </w:rPr>
      </w:pPr>
      <w:r w:rsidRPr="00FB5D79">
        <w:rPr>
          <w:rFonts w:eastAsia="Times New Roman"/>
          <w:lang w:eastAsia="en-US"/>
        </w:rPr>
        <w:t>ONU</w:t>
      </w:r>
      <w:r w:rsidRPr="00FB5D79">
        <w:rPr>
          <w:rFonts w:eastAsia="Times New Roman"/>
          <w:lang w:eastAsia="en-US"/>
        </w:rPr>
        <w:tab/>
      </w:r>
      <w:r w:rsidRPr="00FB5D79">
        <w:rPr>
          <w:rFonts w:eastAsia="Times New Roman"/>
          <w:lang w:eastAsia="en-US"/>
        </w:rPr>
        <w:tab/>
      </w:r>
      <w:r w:rsidR="00965F3A">
        <w:rPr>
          <w:rFonts w:eastAsia="Times New Roman"/>
          <w:lang w:eastAsia="en-US"/>
        </w:rPr>
        <w:t>Nations Unies</w:t>
      </w:r>
    </w:p>
    <w:p w14:paraId="31733095" w14:textId="77777777" w:rsidR="006758C7" w:rsidRPr="00FB5D79" w:rsidRDefault="006758C7" w:rsidP="005D32B1">
      <w:pPr>
        <w:rPr>
          <w:rFonts w:eastAsia="Times New Roman"/>
          <w:lang w:eastAsia="en-US"/>
        </w:rPr>
      </w:pPr>
      <w:r w:rsidRPr="00FB5D79">
        <w:rPr>
          <w:rFonts w:eastAsia="Times New Roman"/>
          <w:lang w:eastAsia="en-US"/>
        </w:rPr>
        <w:t>PMA</w:t>
      </w:r>
      <w:r w:rsidRPr="00FB5D79">
        <w:rPr>
          <w:rFonts w:eastAsia="Times New Roman"/>
          <w:lang w:eastAsia="en-US"/>
        </w:rPr>
        <w:tab/>
      </w:r>
      <w:r w:rsidRPr="00FB5D79">
        <w:rPr>
          <w:rFonts w:eastAsia="Times New Roman"/>
          <w:lang w:eastAsia="en-US"/>
        </w:rPr>
        <w:tab/>
        <w:t>Pays les moins avancés</w:t>
      </w:r>
    </w:p>
    <w:p w14:paraId="0AB4452A" w14:textId="1DBB91D5" w:rsidR="00646944" w:rsidRPr="00FB5D79" w:rsidRDefault="006758C7" w:rsidP="005D32B1">
      <w:pPr>
        <w:rPr>
          <w:rFonts w:eastAsia="Times New Roman"/>
          <w:lang w:eastAsia="en-US"/>
        </w:rPr>
      </w:pPr>
      <w:r w:rsidRPr="00FB5D79">
        <w:rPr>
          <w:rFonts w:eastAsia="Times New Roman"/>
          <w:lang w:eastAsia="en-US"/>
        </w:rPr>
        <w:t>R</w:t>
      </w:r>
      <w:r w:rsidR="00965F3A">
        <w:rPr>
          <w:rFonts w:eastAsia="Times New Roman"/>
          <w:lang w:eastAsia="en-US"/>
        </w:rPr>
        <w:t>-</w:t>
      </w:r>
      <w:r w:rsidRPr="00FB5D79">
        <w:rPr>
          <w:rFonts w:eastAsia="Times New Roman"/>
          <w:lang w:eastAsia="en-US"/>
        </w:rPr>
        <w:t>D</w:t>
      </w:r>
      <w:r w:rsidRPr="00FB5D79">
        <w:rPr>
          <w:rFonts w:eastAsia="Times New Roman"/>
          <w:lang w:eastAsia="en-US"/>
        </w:rPr>
        <w:tab/>
      </w:r>
      <w:r w:rsidRPr="00FB5D79">
        <w:rPr>
          <w:rFonts w:eastAsia="Times New Roman"/>
          <w:lang w:eastAsia="en-US"/>
        </w:rPr>
        <w:tab/>
        <w:t>Recherche et développement</w:t>
      </w:r>
    </w:p>
    <w:p w14:paraId="59F5EDE4" w14:textId="3968F60E" w:rsidR="006758C7" w:rsidRPr="00FB5D79" w:rsidRDefault="006758C7" w:rsidP="005D32B1">
      <w:pPr>
        <w:rPr>
          <w:rFonts w:eastAsia="Times New Roman"/>
          <w:lang w:eastAsia="en-US"/>
        </w:rPr>
      </w:pPr>
      <w:r w:rsidRPr="00FB5D79">
        <w:rPr>
          <w:rFonts w:eastAsia="Times New Roman"/>
          <w:lang w:eastAsia="en-US"/>
        </w:rPr>
        <w:t>UNCST</w:t>
      </w:r>
      <w:r w:rsidRPr="00FB5D79">
        <w:rPr>
          <w:rFonts w:eastAsia="Times New Roman"/>
          <w:lang w:eastAsia="en-US"/>
        </w:rPr>
        <w:tab/>
      </w:r>
      <w:r w:rsidRPr="00FB5D79">
        <w:t>Conseil national ougandais pour la science et la technologie</w:t>
      </w:r>
    </w:p>
    <w:p w14:paraId="4AB4235D" w14:textId="053376B9" w:rsidR="006758C7" w:rsidRPr="00FB5D79" w:rsidRDefault="006758C7" w:rsidP="005D32B1">
      <w:pPr>
        <w:rPr>
          <w:rFonts w:eastAsia="Times New Roman"/>
          <w:lang w:eastAsia="en-US"/>
        </w:rPr>
      </w:pPr>
      <w:r w:rsidRPr="00FB5D79">
        <w:rPr>
          <w:rFonts w:eastAsia="Times New Roman"/>
          <w:lang w:eastAsia="en-US"/>
        </w:rPr>
        <w:t>URSB</w:t>
      </w:r>
      <w:r w:rsidRPr="00FB5D79">
        <w:rPr>
          <w:rFonts w:eastAsia="Times New Roman"/>
          <w:lang w:eastAsia="en-US"/>
        </w:rPr>
        <w:tab/>
        <w:t>Bureau des services d</w:t>
      </w:r>
      <w:r w:rsidR="00646944" w:rsidRPr="00FB5D79">
        <w:rPr>
          <w:rFonts w:eastAsia="Times New Roman"/>
          <w:lang w:eastAsia="en-US"/>
        </w:rPr>
        <w:t>’</w:t>
      </w:r>
      <w:r w:rsidRPr="00FB5D79">
        <w:rPr>
          <w:rFonts w:eastAsia="Times New Roman"/>
          <w:lang w:eastAsia="en-US"/>
        </w:rPr>
        <w:t>enregistrement de l</w:t>
      </w:r>
      <w:r w:rsidR="00646944" w:rsidRPr="00FB5D79">
        <w:rPr>
          <w:rFonts w:eastAsia="Times New Roman"/>
          <w:lang w:eastAsia="en-US"/>
        </w:rPr>
        <w:t>’</w:t>
      </w:r>
      <w:r w:rsidRPr="00FB5D79">
        <w:rPr>
          <w:rFonts w:eastAsia="Times New Roman"/>
          <w:lang w:eastAsia="en-US"/>
        </w:rPr>
        <w:t>Ouganda</w:t>
      </w:r>
    </w:p>
    <w:p w14:paraId="70FE956C" w14:textId="77777777" w:rsidR="001630D3" w:rsidRPr="00FB5D79" w:rsidRDefault="001630D3" w:rsidP="005D32B1">
      <w:pPr>
        <w:rPr>
          <w:rFonts w:eastAsia="Times New Roman"/>
          <w:lang w:eastAsia="en-US"/>
        </w:rPr>
      </w:pPr>
    </w:p>
    <w:p w14:paraId="71B74100" w14:textId="77777777" w:rsidR="001630D3" w:rsidRPr="00FB5D79" w:rsidRDefault="001630D3" w:rsidP="005D32B1">
      <w:pPr>
        <w:rPr>
          <w:rFonts w:eastAsia="Times New Roman"/>
          <w:lang w:eastAsia="en-US"/>
        </w:rPr>
      </w:pPr>
    </w:p>
    <w:p w14:paraId="1E458514" w14:textId="51DC9049" w:rsidR="001630D3" w:rsidRPr="00FB5D79" w:rsidRDefault="001630D3" w:rsidP="001630D3">
      <w:pPr>
        <w:rPr>
          <w:rFonts w:eastAsia="Times New Roman"/>
          <w:lang w:eastAsia="en-US"/>
        </w:rPr>
      </w:pPr>
    </w:p>
    <w:p w14:paraId="4DA20B86" w14:textId="77777777" w:rsidR="008968E7" w:rsidRPr="00FB5D79" w:rsidRDefault="008968E7" w:rsidP="006075D7">
      <w:pPr>
        <w:jc w:val="both"/>
      </w:pPr>
      <w:r w:rsidRPr="00FB5D79">
        <w:br w:type="page"/>
      </w:r>
    </w:p>
    <w:p w14:paraId="5CA0E92C" w14:textId="1857F765" w:rsidR="008968E7" w:rsidRPr="00C053D9" w:rsidRDefault="00C053D9" w:rsidP="00C053D9">
      <w:pPr>
        <w:pStyle w:val="Title"/>
        <w:rPr>
          <w:rFonts w:ascii="Arial Bold" w:hAnsi="Arial Bold"/>
          <w:caps/>
          <w:lang w:val="fr-FR"/>
        </w:rPr>
      </w:pPr>
      <w:bookmarkStart w:id="7" w:name="_Toc530408356"/>
      <w:r w:rsidRPr="00C053D9">
        <w:rPr>
          <w:rFonts w:ascii="Arial Bold" w:hAnsi="Arial Bold"/>
          <w:caps/>
          <w:lang w:val="fr-FR"/>
        </w:rPr>
        <w:lastRenderedPageBreak/>
        <w:t>Résumé</w:t>
      </w:r>
      <w:bookmarkEnd w:id="7"/>
    </w:p>
    <w:p w14:paraId="3C4182EA" w14:textId="77777777" w:rsidR="005929DA" w:rsidRPr="00FB5D79" w:rsidRDefault="005929DA" w:rsidP="005929DA">
      <w:pPr>
        <w:pStyle w:val="Title"/>
        <w:rPr>
          <w:lang w:val="fr-FR"/>
        </w:rPr>
      </w:pPr>
    </w:p>
    <w:p w14:paraId="395F83EE" w14:textId="7A33DF8E" w:rsidR="00646944" w:rsidRPr="00FB5D79" w:rsidRDefault="00B523C8" w:rsidP="001B0964">
      <w:pPr>
        <w:spacing w:after="120"/>
        <w:jc w:val="both"/>
      </w:pPr>
      <w:r w:rsidRPr="00FB5D79">
        <w:t>Le présent</w:t>
      </w:r>
      <w:r w:rsidR="001B0964" w:rsidRPr="00FB5D79">
        <w:t xml:space="preserve"> rapport </w:t>
      </w:r>
      <w:r w:rsidR="0063040B" w:rsidRPr="00FB5D79">
        <w:t>concerne</w:t>
      </w:r>
      <w:r w:rsidR="001B0964" w:rsidRPr="00FB5D79">
        <w:t xml:space="preserve"> l</w:t>
      </w:r>
      <w:r w:rsidR="00646944" w:rsidRPr="00FB5D79">
        <w:t>’</w:t>
      </w:r>
      <w:r w:rsidR="001B0964" w:rsidRPr="00FB5D79">
        <w:t>évaluation indépendante de la phase</w:t>
      </w:r>
      <w:r w:rsidR="00965C78" w:rsidRPr="00FB5D79">
        <w:t> </w:t>
      </w:r>
      <w:r w:rsidR="001B0964" w:rsidRPr="00FB5D79">
        <w:t xml:space="preserve">II du projet </w:t>
      </w:r>
      <w:r w:rsidR="0063040B" w:rsidRPr="00FB5D79">
        <w:t>relevant du</w:t>
      </w:r>
      <w:r w:rsidR="00965C78" w:rsidRPr="00FB5D79">
        <w:t xml:space="preserve"> Plan d</w:t>
      </w:r>
      <w:r w:rsidR="00646944" w:rsidRPr="00FB5D79">
        <w:t>’</w:t>
      </w:r>
      <w:r w:rsidR="00965C78" w:rsidRPr="00FB5D79">
        <w:t xml:space="preserve">action pour le développement relatif à la propriété intellectuelle et au développement socioéconomique </w:t>
      </w:r>
      <w:r w:rsidR="001B0964" w:rsidRPr="00FB5D79">
        <w:t>(DA_35_37_02)</w:t>
      </w:r>
      <w:r w:rsidR="00611031" w:rsidRPr="00FB5D79">
        <w:t xml:space="preserve">.  </w:t>
      </w:r>
      <w:r w:rsidR="001B0964" w:rsidRPr="00FB5D79">
        <w:t xml:space="preserve">Adopté </w:t>
      </w:r>
      <w:r w:rsidR="0063040B" w:rsidRPr="00FB5D79">
        <w:t>durant la quatorz</w:t>
      </w:r>
      <w:r w:rsidR="00965F3A">
        <w:t>ième session</w:t>
      </w:r>
      <w:r w:rsidR="001B0964" w:rsidRPr="00FB5D79">
        <w:t xml:space="preserve"> du Comité du développement et de la propriété int</w:t>
      </w:r>
      <w:r w:rsidR="00965C78" w:rsidRPr="00FB5D79">
        <w:t>ellectuelle (CDIP)</w:t>
      </w:r>
      <w:r w:rsidR="00DA2E4E" w:rsidRPr="00FB5D79">
        <w:t>,</w:t>
      </w:r>
      <w:r w:rsidR="0063040B" w:rsidRPr="00FB5D79">
        <w:t xml:space="preserve"> tenue</w:t>
      </w:r>
      <w:r w:rsidR="00965C78" w:rsidRPr="00FB5D79">
        <w:t xml:space="preserve"> en novembre </w:t>
      </w:r>
      <w:r w:rsidR="001B0964" w:rsidRPr="00FB5D79">
        <w:t xml:space="preserve">2014, il </w:t>
      </w:r>
      <w:r w:rsidR="00DA2E4E" w:rsidRPr="00FB5D79">
        <w:t>continue de servir de</w:t>
      </w:r>
      <w:r w:rsidR="00D06A71" w:rsidRPr="00FB5D79">
        <w:t xml:space="preserve"> projet</w:t>
      </w:r>
      <w:r w:rsidR="00965F3A">
        <w:t>-</w:t>
      </w:r>
      <w:r w:rsidR="00D06A71" w:rsidRPr="00FB5D79">
        <w:t>cadre</w:t>
      </w:r>
      <w:r w:rsidR="001B0964" w:rsidRPr="00FB5D79">
        <w:t xml:space="preserve"> </w:t>
      </w:r>
      <w:r w:rsidR="005C35A9" w:rsidRPr="00FB5D79">
        <w:t>d</w:t>
      </w:r>
      <w:r w:rsidR="00646944" w:rsidRPr="00FB5D79">
        <w:t>’</w:t>
      </w:r>
      <w:r w:rsidR="001B0964" w:rsidRPr="00FB5D79">
        <w:t xml:space="preserve">études nationales et régionales visant à </w:t>
      </w:r>
      <w:r w:rsidR="0063040B" w:rsidRPr="00FB5D79">
        <w:t>combler les lacunes</w:t>
      </w:r>
      <w:r w:rsidR="00965C78" w:rsidRPr="00FB5D79">
        <w:t xml:space="preserve"> des </w:t>
      </w:r>
      <w:r w:rsidR="001B0964" w:rsidRPr="00FB5D79">
        <w:t xml:space="preserve">décideurs </w:t>
      </w:r>
      <w:r w:rsidR="00965C78" w:rsidRPr="00FB5D79">
        <w:t>s</w:t>
      </w:r>
      <w:r w:rsidR="00646944" w:rsidRPr="00FB5D79">
        <w:t>’</w:t>
      </w:r>
      <w:r w:rsidR="00965C78" w:rsidRPr="00FB5D79">
        <w:t>agissant de l</w:t>
      </w:r>
      <w:r w:rsidR="00646944" w:rsidRPr="00FB5D79">
        <w:t>’</w:t>
      </w:r>
      <w:r w:rsidR="00965C78" w:rsidRPr="00FB5D79">
        <w:t>élaboration</w:t>
      </w:r>
      <w:r w:rsidR="001B0964" w:rsidRPr="00FB5D79">
        <w:t xml:space="preserve"> et </w:t>
      </w:r>
      <w:r w:rsidR="00965C78" w:rsidRPr="00FB5D79">
        <w:t xml:space="preserve">de </w:t>
      </w:r>
      <w:r w:rsidR="001B0964" w:rsidRPr="00FB5D79">
        <w:t>la mise en œuvre d</w:t>
      </w:r>
      <w:r w:rsidR="00646944" w:rsidRPr="00FB5D79">
        <w:t>’</w:t>
      </w:r>
      <w:r w:rsidR="001B0964" w:rsidRPr="00FB5D79">
        <w:t xml:space="preserve">un régime de propriété intellectuelle favorisant le développement et à contribuer à </w:t>
      </w:r>
      <w:r w:rsidR="00965C78" w:rsidRPr="00FB5D79">
        <w:rPr>
          <w:szCs w:val="22"/>
        </w:rPr>
        <w:t>mieux informer les décideurs chargés d</w:t>
      </w:r>
      <w:r w:rsidR="00646944" w:rsidRPr="00FB5D79">
        <w:rPr>
          <w:szCs w:val="22"/>
        </w:rPr>
        <w:t>’</w:t>
      </w:r>
      <w:r w:rsidR="00965C78" w:rsidRPr="00FB5D79">
        <w:rPr>
          <w:szCs w:val="22"/>
        </w:rPr>
        <w:t>élaborer les politiques de propriété intellectuelle aux niveaux national et international</w:t>
      </w:r>
      <w:r w:rsidR="00611031" w:rsidRPr="00FB5D79">
        <w:t>.</w:t>
      </w:r>
    </w:p>
    <w:p w14:paraId="3DE6DFC1" w14:textId="3D1DC01A" w:rsidR="001B0964" w:rsidRPr="00FB5D79" w:rsidRDefault="001B0964" w:rsidP="001B0964">
      <w:pPr>
        <w:spacing w:after="120"/>
        <w:jc w:val="both"/>
      </w:pPr>
      <w:r w:rsidRPr="00FB5D79">
        <w:t xml:space="preserve">Le projet a été mis en œuvre </w:t>
      </w:r>
      <w:r w:rsidR="00965C78" w:rsidRPr="00FB5D79">
        <w:t>entre janvier </w:t>
      </w:r>
      <w:r w:rsidRPr="00FB5D79">
        <w:t xml:space="preserve">2015 </w:t>
      </w:r>
      <w:r w:rsidR="00965C78" w:rsidRPr="00FB5D79">
        <w:t>et juin </w:t>
      </w:r>
      <w:r w:rsidRPr="00FB5D79">
        <w:t>2018</w:t>
      </w:r>
      <w:r w:rsidR="00611031" w:rsidRPr="00FB5D79">
        <w:t xml:space="preserve">.  </w:t>
      </w:r>
      <w:r w:rsidRPr="00FB5D79">
        <w:t>Les principaux livrables du projet comprenaient des études, des réunions techniques, des ateliers et des séminaires.</w:t>
      </w:r>
    </w:p>
    <w:p w14:paraId="5D22D6E3" w14:textId="5D61C463" w:rsidR="001B0964" w:rsidRPr="00FB5D79" w:rsidRDefault="001B0964" w:rsidP="001B0964">
      <w:pPr>
        <w:spacing w:after="120"/>
        <w:jc w:val="both"/>
      </w:pPr>
      <w:r w:rsidRPr="00FB5D79">
        <w:t>L</w:t>
      </w:r>
      <w:r w:rsidR="00646944" w:rsidRPr="00FB5D79">
        <w:t>’</w:t>
      </w:r>
      <w:r w:rsidRPr="00FB5D79">
        <w:t xml:space="preserve">évaluation </w:t>
      </w:r>
      <w:r w:rsidR="0063040B" w:rsidRPr="00FB5D79">
        <w:t>effectuée sur la base d</w:t>
      </w:r>
      <w:r w:rsidR="00646944" w:rsidRPr="00FB5D79">
        <w:t>’</w:t>
      </w:r>
      <w:r w:rsidR="0063040B" w:rsidRPr="00FB5D79">
        <w:t>un</w:t>
      </w:r>
      <w:r w:rsidR="00965C78" w:rsidRPr="00FB5D79">
        <w:t xml:space="preserve"> mandat </w:t>
      </w:r>
      <w:r w:rsidR="0063040B" w:rsidRPr="00FB5D79">
        <w:t>datant</w:t>
      </w:r>
      <w:r w:rsidR="00965C78" w:rsidRPr="00FB5D79">
        <w:t xml:space="preserve"> du 19 juin </w:t>
      </w:r>
      <w:r w:rsidRPr="00FB5D79">
        <w:t>2</w:t>
      </w:r>
      <w:r w:rsidR="00965C78" w:rsidRPr="00FB5D79">
        <w:t>018</w:t>
      </w:r>
      <w:r w:rsidR="0063040B" w:rsidRPr="00FB5D79">
        <w:t xml:space="preserve"> a été menée</w:t>
      </w:r>
      <w:r w:rsidR="00965C78" w:rsidRPr="00FB5D79">
        <w:t xml:space="preserve"> </w:t>
      </w:r>
      <w:r w:rsidR="0063040B" w:rsidRPr="00FB5D79">
        <w:t>du</w:t>
      </w:r>
      <w:r w:rsidR="00965C78" w:rsidRPr="00FB5D79">
        <w:t xml:space="preserve"> 10 juillet 2018 </w:t>
      </w:r>
      <w:r w:rsidR="0063040B" w:rsidRPr="00FB5D79">
        <w:t>au</w:t>
      </w:r>
      <w:r w:rsidR="00965C78" w:rsidRPr="00FB5D79">
        <w:t xml:space="preserve"> 15 septembre </w:t>
      </w:r>
      <w:r w:rsidRPr="00FB5D79">
        <w:t xml:space="preserve">2018 par un évaluateur </w:t>
      </w:r>
      <w:r w:rsidR="0063040B" w:rsidRPr="00FB5D79">
        <w:t>extérieur</w:t>
      </w:r>
      <w:r w:rsidRPr="00FB5D79">
        <w:t xml:space="preserve"> en étroite </w:t>
      </w:r>
      <w:r w:rsidR="0063040B" w:rsidRPr="00FB5D79">
        <w:t>collaboration</w:t>
      </w:r>
      <w:r w:rsidRPr="00FB5D79">
        <w:t xml:space="preserve"> avec la </w:t>
      </w:r>
      <w:r w:rsidR="00C97A0D" w:rsidRPr="00FB5D79">
        <w:rPr>
          <w:rFonts w:eastAsia="Times New Roman"/>
          <w:lang w:eastAsia="en-US"/>
        </w:rPr>
        <w:t>Division de la coordination du Plan d</w:t>
      </w:r>
      <w:r w:rsidR="00646944" w:rsidRPr="00FB5D79">
        <w:rPr>
          <w:rFonts w:eastAsia="Times New Roman"/>
          <w:lang w:eastAsia="en-US"/>
        </w:rPr>
        <w:t>’</w:t>
      </w:r>
      <w:r w:rsidR="00C97A0D" w:rsidRPr="00FB5D79">
        <w:rPr>
          <w:rFonts w:eastAsia="Times New Roman"/>
          <w:lang w:eastAsia="en-US"/>
        </w:rPr>
        <w:t>action pour le développement</w:t>
      </w:r>
      <w:r w:rsidRPr="00FB5D79">
        <w:t>.</w:t>
      </w:r>
    </w:p>
    <w:p w14:paraId="798942F0" w14:textId="77777777" w:rsidR="00507A10" w:rsidRPr="00FB5D79" w:rsidRDefault="00507A10" w:rsidP="001B0964">
      <w:pPr>
        <w:spacing w:after="120"/>
        <w:jc w:val="both"/>
      </w:pPr>
    </w:p>
    <w:p w14:paraId="3DCB1F1F" w14:textId="77777777" w:rsidR="00646944" w:rsidRPr="00FB5D79" w:rsidRDefault="005D32B1" w:rsidP="005D32B1">
      <w:pPr>
        <w:spacing w:after="120"/>
        <w:jc w:val="both"/>
        <w:rPr>
          <w:u w:val="single"/>
        </w:rPr>
      </w:pPr>
      <w:r w:rsidRPr="00FB5D79">
        <w:rPr>
          <w:u w:val="single"/>
        </w:rPr>
        <w:t>Conclusions</w:t>
      </w:r>
    </w:p>
    <w:p w14:paraId="66034774" w14:textId="40CE1A13" w:rsidR="005D32B1" w:rsidRPr="00FB5D79" w:rsidRDefault="005D32B1" w:rsidP="005D32B1">
      <w:pPr>
        <w:spacing w:after="120"/>
        <w:jc w:val="both"/>
      </w:pPr>
    </w:p>
    <w:p w14:paraId="1F4E8217" w14:textId="46B4A837" w:rsidR="005D32B1" w:rsidRPr="00FB5D79" w:rsidRDefault="001B0964" w:rsidP="005D32B1">
      <w:pPr>
        <w:spacing w:after="120"/>
        <w:jc w:val="both"/>
      </w:pPr>
      <w:r w:rsidRPr="00FB5D79">
        <w:t xml:space="preserve">Les </w:t>
      </w:r>
      <w:r w:rsidR="0063040B" w:rsidRPr="00FB5D79">
        <w:t>résultats</w:t>
      </w:r>
      <w:r w:rsidRPr="00FB5D79">
        <w:t xml:space="preserve"> </w:t>
      </w:r>
      <w:r w:rsidR="007768D9" w:rsidRPr="00FB5D79">
        <w:t>ainsi que</w:t>
      </w:r>
      <w:r w:rsidRPr="00FB5D79">
        <w:t xml:space="preserve"> </w:t>
      </w:r>
      <w:r w:rsidR="00C97A0D" w:rsidRPr="00FB5D79">
        <w:t>l</w:t>
      </w:r>
      <w:r w:rsidR="00646944" w:rsidRPr="00FB5D79">
        <w:t>’</w:t>
      </w:r>
      <w:r w:rsidR="00C97A0D" w:rsidRPr="00FB5D79">
        <w:t>analyse</w:t>
      </w:r>
      <w:r w:rsidRPr="00FB5D79">
        <w:t xml:space="preserve"> de l</w:t>
      </w:r>
      <w:r w:rsidR="00646944" w:rsidRPr="00FB5D79">
        <w:t>’</w:t>
      </w:r>
      <w:r w:rsidRPr="00FB5D79">
        <w:t xml:space="preserve">évaluation ont </w:t>
      </w:r>
      <w:r w:rsidR="00C97A0D" w:rsidRPr="00FB5D79">
        <w:t xml:space="preserve">permis </w:t>
      </w:r>
      <w:r w:rsidR="0063040B" w:rsidRPr="00FB5D79">
        <w:t>de tirer les</w:t>
      </w:r>
      <w:r w:rsidRPr="00FB5D79">
        <w:t xml:space="preserve"> conclusions suivantes</w:t>
      </w:r>
      <w:r w:rsidR="00965F3A">
        <w:t> :</w:t>
      </w:r>
    </w:p>
    <w:p w14:paraId="594B228D" w14:textId="77777777" w:rsidR="005D32B1" w:rsidRPr="00FB5D79" w:rsidRDefault="005D32B1" w:rsidP="005D32B1">
      <w:pPr>
        <w:spacing w:after="120"/>
        <w:jc w:val="both"/>
        <w:rPr>
          <w:b/>
        </w:rPr>
      </w:pPr>
    </w:p>
    <w:p w14:paraId="621A1287" w14:textId="4FC92554" w:rsidR="005D32B1" w:rsidRPr="00FB5D79" w:rsidRDefault="005D32B1" w:rsidP="005D32B1">
      <w:pPr>
        <w:spacing w:after="120"/>
        <w:jc w:val="both"/>
        <w:rPr>
          <w:b/>
        </w:rPr>
      </w:pPr>
      <w:r w:rsidRPr="00FB5D79">
        <w:rPr>
          <w:b/>
        </w:rPr>
        <w:t>Conclusion</w:t>
      </w:r>
      <w:r w:rsidR="0063040B" w:rsidRPr="00FB5D79">
        <w:rPr>
          <w:b/>
        </w:rPr>
        <w:t xml:space="preserve"> n° </w:t>
      </w:r>
      <w:r w:rsidRPr="00FB5D79">
        <w:rPr>
          <w:b/>
        </w:rPr>
        <w:t>1</w:t>
      </w:r>
      <w:r w:rsidR="00965F3A">
        <w:rPr>
          <w:b/>
        </w:rPr>
        <w:t> :</w:t>
      </w:r>
      <w:r w:rsidRPr="00FB5D79">
        <w:rPr>
          <w:b/>
        </w:rPr>
        <w:t xml:space="preserve"> </w:t>
      </w:r>
      <w:r w:rsidR="00553CAB" w:rsidRPr="00FB5D79">
        <w:rPr>
          <w:b/>
          <w:bCs/>
        </w:rPr>
        <w:t>Le projet a été bien planifié et bien géré</w:t>
      </w:r>
      <w:r w:rsidRPr="00FB5D79">
        <w:rPr>
          <w:b/>
        </w:rPr>
        <w:t>.</w:t>
      </w:r>
    </w:p>
    <w:p w14:paraId="19730BAD" w14:textId="1F5BAABE" w:rsidR="001B0964" w:rsidRPr="00FB5D79" w:rsidRDefault="001B0964" w:rsidP="001B0964">
      <w:pPr>
        <w:spacing w:after="120"/>
        <w:jc w:val="both"/>
      </w:pPr>
      <w:r w:rsidRPr="00FB5D79">
        <w:t xml:space="preserve">Le projet a été conçu pour répondre aux besoins et aux priorités de tous les pays bénéficiaires qui ont clairement exprimé leurs besoins et </w:t>
      </w:r>
      <w:r w:rsidR="00C457D7" w:rsidRPr="00FB5D79">
        <w:t xml:space="preserve">ont </w:t>
      </w:r>
      <w:r w:rsidRPr="00FB5D79">
        <w:t xml:space="preserve">participé activement à </w:t>
      </w:r>
      <w:r w:rsidR="00C457D7" w:rsidRPr="00FB5D79">
        <w:t>l</w:t>
      </w:r>
      <w:r w:rsidR="00646944" w:rsidRPr="00FB5D79">
        <w:t>’</w:t>
      </w:r>
      <w:r w:rsidR="00C457D7" w:rsidRPr="00FB5D79">
        <w:t>élaboration</w:t>
      </w:r>
      <w:r w:rsidRPr="00FB5D79">
        <w:t xml:space="preserve"> des étud</w:t>
      </w:r>
      <w:r w:rsidR="00172764" w:rsidRPr="00FB5D79">
        <w:t>es.  Bi</w:t>
      </w:r>
      <w:r w:rsidRPr="00FB5D79">
        <w:t>en que le projet ait été bien planifié et bien géré, certaines améliorations pourraient être envisagées en ce qui concerne la gestion, le suivi de la mise en œuvre et l</w:t>
      </w:r>
      <w:r w:rsidR="00646944" w:rsidRPr="00FB5D79">
        <w:t>’</w:t>
      </w:r>
      <w:r w:rsidRPr="00FB5D79">
        <w:t>auto</w:t>
      </w:r>
      <w:r w:rsidR="00965F3A">
        <w:t>-</w:t>
      </w:r>
      <w:r w:rsidRPr="00FB5D79">
        <w:t xml:space="preserve">évaluation des projets </w:t>
      </w:r>
      <w:r w:rsidR="00C457D7" w:rsidRPr="00FB5D79">
        <w:t>relevant du Plan d</w:t>
      </w:r>
      <w:r w:rsidR="00646944" w:rsidRPr="00FB5D79">
        <w:t>’</w:t>
      </w:r>
      <w:r w:rsidR="00C457D7" w:rsidRPr="00FB5D79">
        <w:t>action pour le développeme</w:t>
      </w:r>
      <w:r w:rsidR="00172764" w:rsidRPr="00FB5D79">
        <w:t>nt.  Le</w:t>
      </w:r>
      <w:r w:rsidRPr="00FB5D79">
        <w:t xml:space="preserve"> projet</w:t>
      </w:r>
      <w:r w:rsidR="00965F3A">
        <w:t>-</w:t>
      </w:r>
      <w:r w:rsidRPr="00FB5D79">
        <w:t>cadre a</w:t>
      </w:r>
      <w:r w:rsidR="00D06A71" w:rsidRPr="00FB5D79">
        <w:t xml:space="preserve"> sollicité</w:t>
      </w:r>
      <w:r w:rsidRPr="00FB5D79">
        <w:t xml:space="preserve">, à juste titre, la participation de différents acteurs et parties prenantes </w:t>
      </w:r>
      <w:r w:rsidR="002A0AF2" w:rsidRPr="00FB5D79">
        <w:t>non</w:t>
      </w:r>
      <w:r w:rsidR="004F4030" w:rsidRPr="00FB5D79">
        <w:t xml:space="preserve"> </w:t>
      </w:r>
      <w:r w:rsidR="002A0AF2" w:rsidRPr="00FB5D79">
        <w:t>membres d</w:t>
      </w:r>
      <w:r w:rsidR="00646944" w:rsidRPr="00FB5D79">
        <w:t>’</w:t>
      </w:r>
      <w:r w:rsidRPr="00FB5D79">
        <w:t>institutions de propriété intellectuel</w:t>
      </w:r>
      <w:r w:rsidR="00172764" w:rsidRPr="00FB5D79">
        <w:t>le.  L’e</w:t>
      </w:r>
      <w:r w:rsidRPr="00FB5D79">
        <w:t xml:space="preserve">xpérience montre que la sélection des partenaires institutionnels et des experts locaux est </w:t>
      </w:r>
      <w:r w:rsidR="002C4CAD" w:rsidRPr="00FB5D79">
        <w:t>déterminante</w:t>
      </w:r>
      <w:r w:rsidRPr="00FB5D79">
        <w:t xml:space="preserve"> pour la réussite du projet.</w:t>
      </w:r>
    </w:p>
    <w:p w14:paraId="5EA625CF" w14:textId="77777777" w:rsidR="005D32B1" w:rsidRPr="00FB5D79" w:rsidRDefault="005D32B1" w:rsidP="005D32B1">
      <w:pPr>
        <w:spacing w:after="120"/>
        <w:jc w:val="both"/>
        <w:rPr>
          <w:b/>
        </w:rPr>
      </w:pPr>
    </w:p>
    <w:p w14:paraId="01C41844" w14:textId="7DF466A9" w:rsidR="005D32B1" w:rsidRPr="00FB5D79" w:rsidRDefault="005D32B1" w:rsidP="005D32B1">
      <w:pPr>
        <w:spacing w:after="120"/>
        <w:jc w:val="both"/>
        <w:rPr>
          <w:b/>
        </w:rPr>
      </w:pPr>
      <w:r w:rsidRPr="00FB5D79">
        <w:rPr>
          <w:b/>
        </w:rPr>
        <w:t>Conclusion</w:t>
      </w:r>
      <w:r w:rsidR="0063040B" w:rsidRPr="00FB5D79">
        <w:rPr>
          <w:b/>
        </w:rPr>
        <w:t xml:space="preserve"> n° </w:t>
      </w:r>
      <w:r w:rsidRPr="00FB5D79">
        <w:rPr>
          <w:b/>
        </w:rPr>
        <w:t>2</w:t>
      </w:r>
      <w:r w:rsidR="00965F3A">
        <w:rPr>
          <w:b/>
        </w:rPr>
        <w:t> :</w:t>
      </w:r>
      <w:r w:rsidRPr="00FB5D79">
        <w:rPr>
          <w:b/>
        </w:rPr>
        <w:t xml:space="preserve"> </w:t>
      </w:r>
      <w:r w:rsidR="001B0964" w:rsidRPr="00FB5D79">
        <w:rPr>
          <w:b/>
        </w:rPr>
        <w:t xml:space="preserve">La stratégie </w:t>
      </w:r>
      <w:r w:rsidR="00ED0B1F" w:rsidRPr="00FB5D79">
        <w:rPr>
          <w:b/>
        </w:rPr>
        <w:t xml:space="preserve">de mise en œuvre </w:t>
      </w:r>
      <w:r w:rsidR="002C4CAD" w:rsidRPr="00FB5D79">
        <w:rPr>
          <w:b/>
        </w:rPr>
        <w:t>de la phase II</w:t>
      </w:r>
      <w:r w:rsidR="001B0964" w:rsidRPr="00FB5D79">
        <w:rPr>
          <w:b/>
        </w:rPr>
        <w:t xml:space="preserve"> et les objectifs ont été atteints à la satisfaction des </w:t>
      </w:r>
      <w:r w:rsidR="002C4CAD" w:rsidRPr="00FB5D79">
        <w:rPr>
          <w:b/>
        </w:rPr>
        <w:t>parties prenantes</w:t>
      </w:r>
      <w:r w:rsidR="001B0964" w:rsidRPr="00FB5D79">
        <w:rPr>
          <w:b/>
        </w:rPr>
        <w:t>.</w:t>
      </w:r>
    </w:p>
    <w:p w14:paraId="18AD814B" w14:textId="36ACBB79" w:rsidR="001B0964" w:rsidRPr="00FB5D79" w:rsidRDefault="001B0964" w:rsidP="001B0964">
      <w:pPr>
        <w:spacing w:after="120"/>
        <w:jc w:val="both"/>
      </w:pPr>
      <w:r w:rsidRPr="00FB5D79">
        <w:t>Le projet reposait sur deux</w:t>
      </w:r>
      <w:r w:rsidR="000E4777" w:rsidRPr="00FB5D79">
        <w:t> </w:t>
      </w:r>
      <w:r w:rsidRPr="00FB5D79">
        <w:t xml:space="preserve">piliers, </w:t>
      </w:r>
      <w:r w:rsidR="00965F3A">
        <w:t>à savoir</w:t>
      </w:r>
      <w:r w:rsidRPr="00FB5D79">
        <w:t xml:space="preserve"> la promotion de </w:t>
      </w:r>
      <w:r w:rsidR="00923EA8" w:rsidRPr="00FB5D79">
        <w:rPr>
          <w:iCs/>
        </w:rPr>
        <w:t>la continuité des recherches entamées au cours de la phase I</w:t>
      </w:r>
      <w:r w:rsidRPr="00FB5D79">
        <w:t xml:space="preserve"> et l</w:t>
      </w:r>
      <w:r w:rsidR="00646944" w:rsidRPr="00FB5D79">
        <w:t>’</w:t>
      </w:r>
      <w:r w:rsidRPr="00FB5D79">
        <w:t xml:space="preserve">extension </w:t>
      </w:r>
      <w:r w:rsidR="00923EA8" w:rsidRPr="00FB5D79">
        <w:t>de l</w:t>
      </w:r>
      <w:r w:rsidR="00646944" w:rsidRPr="00FB5D79">
        <w:t>’</w:t>
      </w:r>
      <w:r w:rsidRPr="00FB5D79">
        <w:t xml:space="preserve">étude à de nouveaux pays et régions, dont au moins un PMA, </w:t>
      </w:r>
      <w:r w:rsidR="00923EA8" w:rsidRPr="00FB5D79">
        <w:rPr>
          <w:iCs/>
        </w:rPr>
        <w:t>et à des sujets non traités au cours de la phase I</w:t>
      </w:r>
      <w:r w:rsidR="00611031" w:rsidRPr="00FB5D79">
        <w:t>.</w:t>
      </w:r>
      <w:r w:rsidR="000E4777" w:rsidRPr="00FB5D79">
        <w:rPr>
          <w:iCs/>
        </w:rPr>
        <w:t> </w:t>
      </w:r>
      <w:r w:rsidR="00BF09AA" w:rsidRPr="00FB5D79">
        <w:t>S</w:t>
      </w:r>
      <w:r w:rsidR="00646944" w:rsidRPr="00FB5D79">
        <w:t>’</w:t>
      </w:r>
      <w:r w:rsidR="00BF09AA" w:rsidRPr="00FB5D79">
        <w:t>agissant de</w:t>
      </w:r>
      <w:r w:rsidRPr="00FB5D79">
        <w:t xml:space="preserve"> la </w:t>
      </w:r>
      <w:r w:rsidR="00817CF2" w:rsidRPr="00FB5D79">
        <w:t>pérennité du projet</w:t>
      </w:r>
      <w:r w:rsidRPr="00FB5D79">
        <w:t xml:space="preserve">, il est encore </w:t>
      </w:r>
      <w:r w:rsidR="00BF09AA" w:rsidRPr="00FB5D79">
        <w:t xml:space="preserve">globalement </w:t>
      </w:r>
      <w:r w:rsidRPr="00FB5D79">
        <w:t xml:space="preserve">trop tôt pour tirer des conclusions définitives, mais le projet a jeté des bases importantes pour poursuivre et élargir les </w:t>
      </w:r>
      <w:r w:rsidR="00E61FEA" w:rsidRPr="00FB5D79">
        <w:t>études</w:t>
      </w:r>
      <w:r w:rsidRPr="00FB5D79">
        <w:t xml:space="preserve"> visant à </w:t>
      </w:r>
      <w:r w:rsidR="00F55157" w:rsidRPr="00FB5D79">
        <w:t>créer</w:t>
      </w:r>
      <w:r w:rsidRPr="00FB5D79">
        <w:t xml:space="preserve"> des ensembles de données </w:t>
      </w:r>
      <w:r w:rsidR="00F55157" w:rsidRPr="00FB5D79">
        <w:t>fiables</w:t>
      </w:r>
      <w:r w:rsidRPr="00FB5D79">
        <w:t xml:space="preserve"> </w:t>
      </w:r>
      <w:r w:rsidR="00B31157" w:rsidRPr="00FB5D79">
        <w:t xml:space="preserve">et factuelles </w:t>
      </w:r>
      <w:r w:rsidR="00F55157" w:rsidRPr="00FB5D79">
        <w:t>qui permettent</w:t>
      </w:r>
      <w:r w:rsidRPr="00FB5D79">
        <w:t xml:space="preserve"> de mieux </w:t>
      </w:r>
      <w:r w:rsidR="00E61FEA" w:rsidRPr="00FB5D79">
        <w:t>cerner</w:t>
      </w:r>
      <w:r w:rsidRPr="00FB5D79">
        <w:t xml:space="preserve"> les </w:t>
      </w:r>
      <w:r w:rsidR="005C5F36" w:rsidRPr="00FB5D79">
        <w:t>effets</w:t>
      </w:r>
      <w:r w:rsidR="00F55157" w:rsidRPr="00FB5D79">
        <w:t xml:space="preserve"> socio</w:t>
      </w:r>
      <w:r w:rsidRPr="00FB5D79">
        <w:t xml:space="preserve">économiques de la propriété intellectuelle et </w:t>
      </w:r>
      <w:r w:rsidR="00F55157" w:rsidRPr="00FB5D79">
        <w:t>qui soient exploitables</w:t>
      </w:r>
      <w:r w:rsidRPr="00FB5D79">
        <w:t xml:space="preserve"> par les parties prenant</w:t>
      </w:r>
      <w:r w:rsidR="00172764" w:rsidRPr="00FB5D79">
        <w:t>es.  Le</w:t>
      </w:r>
      <w:r w:rsidR="00F55157" w:rsidRPr="00FB5D79">
        <w:t xml:space="preserve">s </w:t>
      </w:r>
      <w:r w:rsidR="00A76834" w:rsidRPr="00FB5D79">
        <w:t xml:space="preserve">études </w:t>
      </w:r>
      <w:r w:rsidR="003E3310" w:rsidRPr="00FB5D79">
        <w:t>réalisées</w:t>
      </w:r>
      <w:r w:rsidR="00A76834" w:rsidRPr="00FB5D79">
        <w:t xml:space="preserve"> </w:t>
      </w:r>
      <w:r w:rsidR="003E3310" w:rsidRPr="00FB5D79">
        <w:t>étaient</w:t>
      </w:r>
      <w:r w:rsidRPr="00FB5D79">
        <w:t xml:space="preserve"> pertinent</w:t>
      </w:r>
      <w:r w:rsidR="00A76834" w:rsidRPr="00FB5D79">
        <w:t xml:space="preserve">es </w:t>
      </w:r>
      <w:r w:rsidRPr="00FB5D79">
        <w:t>et unique</w:t>
      </w:r>
      <w:r w:rsidR="00F55157" w:rsidRPr="00FB5D79">
        <w:t>s</w:t>
      </w:r>
      <w:r w:rsidRPr="00FB5D79">
        <w:t xml:space="preserve"> à </w:t>
      </w:r>
      <w:r w:rsidR="00665B3F" w:rsidRPr="00FB5D79">
        <w:t>maints</w:t>
      </w:r>
      <w:r w:rsidRPr="00FB5D79">
        <w:t xml:space="preserve"> égar</w:t>
      </w:r>
      <w:r w:rsidR="00172764" w:rsidRPr="00FB5D79">
        <w:t>ds.  Né</w:t>
      </w:r>
      <w:r w:rsidR="003E3310" w:rsidRPr="00FB5D79">
        <w:t xml:space="preserve">anmoins, pour </w:t>
      </w:r>
      <w:r w:rsidRPr="00FB5D79">
        <w:t>que de nombreux pays puissent</w:t>
      </w:r>
      <w:r w:rsidR="00BE6E60" w:rsidRPr="00FB5D79">
        <w:t xml:space="preserve"> </w:t>
      </w:r>
      <w:r w:rsidR="00E61FEA" w:rsidRPr="00FB5D79">
        <w:t>tirer parti</w:t>
      </w:r>
      <w:r w:rsidRPr="00FB5D79">
        <w:t xml:space="preserve"> </w:t>
      </w:r>
      <w:r w:rsidR="00F55157" w:rsidRPr="00FB5D79">
        <w:t>de ce</w:t>
      </w:r>
      <w:r w:rsidRPr="00FB5D79">
        <w:t xml:space="preserve"> projet</w:t>
      </w:r>
      <w:r w:rsidR="003E3310" w:rsidRPr="00FB5D79">
        <w:t xml:space="preserve"> durablement</w:t>
      </w:r>
      <w:r w:rsidRPr="00FB5D79">
        <w:t>, il faut un suivi et, dans un certain nombre de cas, des investissements importants dans le renforcement des capacités.</w:t>
      </w:r>
    </w:p>
    <w:p w14:paraId="5DF9A500" w14:textId="77777777" w:rsidR="005D32B1" w:rsidRPr="00FB5D79" w:rsidRDefault="005D32B1" w:rsidP="005D32B1">
      <w:pPr>
        <w:spacing w:after="120"/>
        <w:jc w:val="both"/>
      </w:pPr>
    </w:p>
    <w:p w14:paraId="4D3BD7BA" w14:textId="17D5EDD9" w:rsidR="005D32B1" w:rsidRPr="00FB5D79" w:rsidRDefault="005D32B1" w:rsidP="005D32B1">
      <w:pPr>
        <w:spacing w:after="120"/>
        <w:jc w:val="both"/>
        <w:rPr>
          <w:b/>
        </w:rPr>
      </w:pPr>
      <w:r w:rsidRPr="00FB5D79">
        <w:rPr>
          <w:b/>
        </w:rPr>
        <w:t xml:space="preserve">Conclusion </w:t>
      </w:r>
      <w:r w:rsidR="0063040B" w:rsidRPr="00FB5D79">
        <w:rPr>
          <w:b/>
        </w:rPr>
        <w:t>n° </w:t>
      </w:r>
      <w:r w:rsidRPr="00FB5D79">
        <w:rPr>
          <w:b/>
        </w:rPr>
        <w:t>3</w:t>
      </w:r>
      <w:r w:rsidR="00965F3A">
        <w:rPr>
          <w:b/>
        </w:rPr>
        <w:t> :</w:t>
      </w:r>
      <w:r w:rsidRPr="00FB5D79">
        <w:rPr>
          <w:b/>
        </w:rPr>
        <w:t xml:space="preserve"> </w:t>
      </w:r>
      <w:r w:rsidR="00F55157" w:rsidRPr="00FB5D79">
        <w:rPr>
          <w:b/>
        </w:rPr>
        <w:t>L</w:t>
      </w:r>
      <w:r w:rsidR="00646944" w:rsidRPr="00FB5D79">
        <w:rPr>
          <w:b/>
        </w:rPr>
        <w:t>’</w:t>
      </w:r>
      <w:r w:rsidR="00F55157" w:rsidRPr="00FB5D79">
        <w:rPr>
          <w:b/>
        </w:rPr>
        <w:t xml:space="preserve">aide </w:t>
      </w:r>
      <w:r w:rsidR="001B0964" w:rsidRPr="00FB5D79">
        <w:rPr>
          <w:b/>
        </w:rPr>
        <w:t xml:space="preserve">a été </w:t>
      </w:r>
      <w:r w:rsidR="006C65AF" w:rsidRPr="00FB5D79">
        <w:rPr>
          <w:b/>
        </w:rPr>
        <w:t>apportée</w:t>
      </w:r>
      <w:r w:rsidR="001B0964" w:rsidRPr="00FB5D79">
        <w:rPr>
          <w:b/>
        </w:rPr>
        <w:t xml:space="preserve"> </w:t>
      </w:r>
      <w:r w:rsidR="006C65AF" w:rsidRPr="00FB5D79">
        <w:rPr>
          <w:b/>
        </w:rPr>
        <w:t>à temps</w:t>
      </w:r>
      <w:r w:rsidR="001B0964" w:rsidRPr="00FB5D79">
        <w:rPr>
          <w:b/>
        </w:rPr>
        <w:t xml:space="preserve"> et </w:t>
      </w:r>
      <w:r w:rsidR="00F55157" w:rsidRPr="00FB5D79">
        <w:rPr>
          <w:b/>
        </w:rPr>
        <w:t>s</w:t>
      </w:r>
      <w:r w:rsidR="00646944" w:rsidRPr="00FB5D79">
        <w:rPr>
          <w:b/>
        </w:rPr>
        <w:t>’</w:t>
      </w:r>
      <w:r w:rsidR="00F55157" w:rsidRPr="00FB5D79">
        <w:rPr>
          <w:b/>
        </w:rPr>
        <w:t xml:space="preserve">est révélée </w:t>
      </w:r>
      <w:r w:rsidR="001B0964" w:rsidRPr="00FB5D79">
        <w:rPr>
          <w:b/>
        </w:rPr>
        <w:t xml:space="preserve">de grande qualité, et les résultats </w:t>
      </w:r>
      <w:r w:rsidR="006C65AF" w:rsidRPr="00FB5D79">
        <w:rPr>
          <w:b/>
        </w:rPr>
        <w:t>étaient</w:t>
      </w:r>
      <w:r w:rsidR="00F55157" w:rsidRPr="00FB5D79">
        <w:rPr>
          <w:b/>
        </w:rPr>
        <w:t xml:space="preserve"> reproductibles</w:t>
      </w:r>
      <w:r w:rsidR="001B0964" w:rsidRPr="00FB5D79">
        <w:rPr>
          <w:b/>
        </w:rPr>
        <w:t>.</w:t>
      </w:r>
    </w:p>
    <w:p w14:paraId="094B0CAE" w14:textId="333391DA" w:rsidR="005D32B1" w:rsidRPr="00FB5D79" w:rsidRDefault="00E63C3C" w:rsidP="005D32B1">
      <w:pPr>
        <w:spacing w:after="120"/>
        <w:jc w:val="both"/>
      </w:pPr>
      <w:r w:rsidRPr="00FB5D79">
        <w:t>L</w:t>
      </w:r>
      <w:r w:rsidR="00646944" w:rsidRPr="00FB5D79">
        <w:t>’</w:t>
      </w:r>
      <w:r w:rsidRPr="00FB5D79">
        <w:t>étude réalisée est de grande quali</w:t>
      </w:r>
      <w:r w:rsidR="00172764" w:rsidRPr="00FB5D79">
        <w:t>té.  S’a</w:t>
      </w:r>
      <w:r w:rsidRPr="00FB5D79">
        <w:t>gissant de la mise en œuvre de la recommandation du Plan d</w:t>
      </w:r>
      <w:r w:rsidR="00646944" w:rsidRPr="00FB5D79">
        <w:t>’</w:t>
      </w:r>
      <w:r w:rsidRPr="00FB5D79">
        <w:t>action pour le développement,</w:t>
      </w:r>
      <w:r w:rsidR="00646944" w:rsidRPr="00FB5D79">
        <w:t xml:space="preserve"> le CDI</w:t>
      </w:r>
      <w:r w:rsidRPr="00FB5D79">
        <w:t>P devrait s</w:t>
      </w:r>
      <w:r w:rsidR="00646944" w:rsidRPr="00FB5D79">
        <w:t>’</w:t>
      </w:r>
      <w:r w:rsidRPr="00FB5D79">
        <w:t>enorgueillir d</w:t>
      </w:r>
      <w:r w:rsidR="00646944" w:rsidRPr="00FB5D79">
        <w:t>’</w:t>
      </w:r>
      <w:r w:rsidRPr="00FB5D79">
        <w:t>avoir permis, grâce aux conseils du Bureau de l</w:t>
      </w:r>
      <w:r w:rsidR="00646944" w:rsidRPr="00FB5D79">
        <w:t>’</w:t>
      </w:r>
      <w:r w:rsidRPr="00FB5D79">
        <w:t xml:space="preserve">économiste en chef, de faire progresser ces travaux, qui ont aidé les pays </w:t>
      </w:r>
      <w:r w:rsidRPr="00FB5D79">
        <w:lastRenderedPageBreak/>
        <w:t>bénéficiaires à mieux cerner les effets socioéconomiques de la protection de la propriété intellectuelle;  il devrait également se féliciter d</w:t>
      </w:r>
      <w:r w:rsidR="00646944" w:rsidRPr="00FB5D79">
        <w:t>’</w:t>
      </w:r>
      <w:r w:rsidRPr="00FB5D79">
        <w:t>avoir amélioré les capacités des pays dotés de capacités limitées en la matière afin qu</w:t>
      </w:r>
      <w:r w:rsidR="00646944" w:rsidRPr="00FB5D79">
        <w:t>’</w:t>
      </w:r>
      <w:r w:rsidRPr="00FB5D79">
        <w:t>ils puissent commencer à créer des capacités d</w:t>
      </w:r>
      <w:r w:rsidR="00646944" w:rsidRPr="00FB5D79">
        <w:t>’</w:t>
      </w:r>
      <w:r w:rsidRPr="00FB5D79">
        <w:t>analyse à cet eff</w:t>
      </w:r>
      <w:r w:rsidR="00172764" w:rsidRPr="00FB5D79">
        <w:t>et.  L’a</w:t>
      </w:r>
      <w:r w:rsidR="00C44025" w:rsidRPr="00FB5D79">
        <w:t xml:space="preserve">ide </w:t>
      </w:r>
      <w:r w:rsidR="002F1398" w:rsidRPr="00FB5D79">
        <w:t>apportée par</w:t>
      </w:r>
      <w:r w:rsidR="001B0964" w:rsidRPr="00FB5D79">
        <w:t xml:space="preserve"> </w:t>
      </w:r>
      <w:r w:rsidR="00480511" w:rsidRPr="00FB5D79">
        <w:t>l</w:t>
      </w:r>
      <w:r w:rsidR="00646944" w:rsidRPr="00FB5D79">
        <w:t>’</w:t>
      </w:r>
      <w:r w:rsidR="00480511" w:rsidRPr="00FB5D79">
        <w:t>équipe chargée du projet</w:t>
      </w:r>
      <w:r w:rsidR="001B0964" w:rsidRPr="00FB5D79">
        <w:t xml:space="preserve"> </w:t>
      </w:r>
      <w:r w:rsidR="002F1398" w:rsidRPr="00FB5D79">
        <w:t>s</w:t>
      </w:r>
      <w:r w:rsidR="00646944" w:rsidRPr="00FB5D79">
        <w:t>’</w:t>
      </w:r>
      <w:r w:rsidR="002F1398" w:rsidRPr="00FB5D79">
        <w:t>est révélée</w:t>
      </w:r>
      <w:r w:rsidR="001B0964" w:rsidRPr="00FB5D79">
        <w:t xml:space="preserve"> de grande qualité, très innovant</w:t>
      </w:r>
      <w:r w:rsidR="00C44025" w:rsidRPr="00FB5D79">
        <w:t>e</w:t>
      </w:r>
      <w:r w:rsidR="001B0964" w:rsidRPr="00FB5D79">
        <w:t>, engagé</w:t>
      </w:r>
      <w:r w:rsidR="00C44025" w:rsidRPr="00FB5D79">
        <w:t>e</w:t>
      </w:r>
      <w:r w:rsidR="001B0964" w:rsidRPr="00FB5D79">
        <w:t xml:space="preserve"> et professionnel</w:t>
      </w:r>
      <w:r w:rsidR="00C44025" w:rsidRPr="00FB5D79">
        <w:t>le</w:t>
      </w:r>
      <w:r w:rsidR="001B0964" w:rsidRPr="00FB5D79">
        <w:t xml:space="preserve">, reflétant les meilleures pratiques </w:t>
      </w:r>
      <w:r w:rsidR="00D2025B" w:rsidRPr="00FB5D79">
        <w:t xml:space="preserve">en vigueur </w:t>
      </w:r>
      <w:r w:rsidR="001B0964" w:rsidRPr="00FB5D79">
        <w:t xml:space="preserve">dans les pays qui ont </w:t>
      </w:r>
      <w:r w:rsidR="00C44025" w:rsidRPr="00FB5D79">
        <w:t>l</w:t>
      </w:r>
      <w:r w:rsidR="00646944" w:rsidRPr="00FB5D79">
        <w:t>’</w:t>
      </w:r>
      <w:r w:rsidR="001B0964" w:rsidRPr="00FB5D79">
        <w:t xml:space="preserve">expérience </w:t>
      </w:r>
      <w:r w:rsidR="00C44025" w:rsidRPr="00FB5D79">
        <w:t xml:space="preserve">de ce type </w:t>
      </w:r>
      <w:r w:rsidR="001B0964" w:rsidRPr="00FB5D79">
        <w:t>d</w:t>
      </w:r>
      <w:r w:rsidR="00646944" w:rsidRPr="00FB5D79">
        <w:t>’</w:t>
      </w:r>
      <w:r w:rsidR="004476F1" w:rsidRPr="00FB5D79">
        <w:t>étud</w:t>
      </w:r>
      <w:r w:rsidR="00172764" w:rsidRPr="00FB5D79">
        <w:t>es.  To</w:t>
      </w:r>
      <w:r w:rsidR="00611031" w:rsidRPr="00FB5D79">
        <w:t>ut ce</w:t>
      </w:r>
      <w:r w:rsidR="001B0964" w:rsidRPr="00FB5D79">
        <w:t xml:space="preserve"> qui a été fait </w:t>
      </w:r>
      <w:r w:rsidR="0053740A" w:rsidRPr="00FB5D79">
        <w:t>en matière de regroupement et de</w:t>
      </w:r>
      <w:r w:rsidR="001B0964" w:rsidRPr="00FB5D79">
        <w:t xml:space="preserve"> numérisation</w:t>
      </w:r>
      <w:r w:rsidR="00E07D16" w:rsidRPr="00FB5D79">
        <w:t>, sur la base d</w:t>
      </w:r>
      <w:r w:rsidR="00646944" w:rsidRPr="00FB5D79">
        <w:t>’</w:t>
      </w:r>
      <w:r w:rsidR="00E07D16" w:rsidRPr="00FB5D79">
        <w:t xml:space="preserve">un dénominateur commun, </w:t>
      </w:r>
      <w:r w:rsidR="001B0964" w:rsidRPr="00FB5D79">
        <w:t>de</w:t>
      </w:r>
      <w:r w:rsidR="00D2025B" w:rsidRPr="00FB5D79">
        <w:t xml:space="preserve">s </w:t>
      </w:r>
      <w:r w:rsidR="00E07D16" w:rsidRPr="00FB5D79">
        <w:t xml:space="preserve">données brutes </w:t>
      </w:r>
      <w:r w:rsidR="00BD36E0" w:rsidRPr="00FB5D79">
        <w:t xml:space="preserve">sur </w:t>
      </w:r>
      <w:r w:rsidR="0053740A" w:rsidRPr="00FB5D79">
        <w:t>les titres de</w:t>
      </w:r>
      <w:r w:rsidR="00BD36E0" w:rsidRPr="00FB5D79">
        <w:t xml:space="preserve"> </w:t>
      </w:r>
      <w:r w:rsidR="006C65AF" w:rsidRPr="00FB5D79">
        <w:t>propriété intellectuelle</w:t>
      </w:r>
      <w:r w:rsidR="00BD36E0" w:rsidRPr="00FB5D79">
        <w:t xml:space="preserve"> </w:t>
      </w:r>
      <w:r w:rsidR="0053740A" w:rsidRPr="00FB5D79">
        <w:t>demandés ou délivrés</w:t>
      </w:r>
      <w:r w:rsidR="00E07D16" w:rsidRPr="00FB5D79">
        <w:t>, de façon à pouvoir établir un lien entre ces données et d</w:t>
      </w:r>
      <w:r w:rsidR="00646944" w:rsidRPr="00FB5D79">
        <w:t>’</w:t>
      </w:r>
      <w:r w:rsidR="00E07D16" w:rsidRPr="00FB5D79">
        <w:t xml:space="preserve">autres données microéconomiques provenant des offices de la statistique, </w:t>
      </w:r>
      <w:r w:rsidR="00611031" w:rsidRPr="00FB5D79">
        <w:t>constitue</w:t>
      </w:r>
      <w:r w:rsidR="001B0964" w:rsidRPr="00FB5D79">
        <w:t xml:space="preserve"> une étape importante pour </w:t>
      </w:r>
      <w:r w:rsidR="00717614" w:rsidRPr="00FB5D79">
        <w:t xml:space="preserve">appréhender </w:t>
      </w:r>
      <w:r w:rsidR="00CD7E50" w:rsidRPr="00FB5D79">
        <w:t>l</w:t>
      </w:r>
      <w:r w:rsidR="00646944" w:rsidRPr="00FB5D79">
        <w:t>’</w:t>
      </w:r>
      <w:r w:rsidR="00CD7E50" w:rsidRPr="00FB5D79">
        <w:t xml:space="preserve">utilisation qui est faite </w:t>
      </w:r>
      <w:r w:rsidR="00717614" w:rsidRPr="00FB5D79">
        <w:t>de</w:t>
      </w:r>
      <w:r w:rsidR="00880340" w:rsidRPr="00FB5D79">
        <w:t xml:space="preserve"> </w:t>
      </w:r>
      <w:r w:rsidR="001B0964" w:rsidRPr="00FB5D79">
        <w:t xml:space="preserve">la </w:t>
      </w:r>
      <w:r w:rsidR="006C65AF" w:rsidRPr="00FB5D79">
        <w:t>propriété intellectuel</w:t>
      </w:r>
      <w:r w:rsidR="00172764" w:rsidRPr="00FB5D79">
        <w:t>le.  L’é</w:t>
      </w:r>
      <w:r w:rsidR="001B0964" w:rsidRPr="00FB5D79">
        <w:t xml:space="preserve">tude devrait </w:t>
      </w:r>
      <w:r w:rsidR="00C44025" w:rsidRPr="00FB5D79">
        <w:t>être reproductible</w:t>
      </w:r>
      <w:r w:rsidR="001B0964" w:rsidRPr="00FB5D79">
        <w:t xml:space="preserve"> dans d</w:t>
      </w:r>
      <w:r w:rsidR="00646944" w:rsidRPr="00FB5D79">
        <w:t>’</w:t>
      </w:r>
      <w:r w:rsidR="001B0964" w:rsidRPr="00FB5D79">
        <w:t>autres pays</w:t>
      </w:r>
      <w:r w:rsidR="00C44025" w:rsidRPr="00FB5D79">
        <w:t xml:space="preserve"> </w:t>
      </w:r>
      <w:r w:rsidR="00611031" w:rsidRPr="00FB5D79">
        <w:t>sous réserve</w:t>
      </w:r>
      <w:r w:rsidR="00C44025" w:rsidRPr="00FB5D79">
        <w:t xml:space="preserve"> des différent</w:t>
      </w:r>
      <w:r w:rsidR="00611031" w:rsidRPr="00FB5D79">
        <w:t>e</w:t>
      </w:r>
      <w:r w:rsidR="001B0964" w:rsidRPr="00FB5D79">
        <w:t xml:space="preserve">s </w:t>
      </w:r>
      <w:r w:rsidR="00611031" w:rsidRPr="00FB5D79">
        <w:t>circonstances</w:t>
      </w:r>
      <w:r w:rsidR="001B0964" w:rsidRPr="00FB5D79">
        <w:t xml:space="preserve"> et conditions </w:t>
      </w:r>
      <w:r w:rsidR="00611031" w:rsidRPr="00FB5D79">
        <w:t>qui prévalent</w:t>
      </w:r>
      <w:r w:rsidR="001B0964" w:rsidRPr="00FB5D79">
        <w:t xml:space="preserve"> sur la disponibilité des données.</w:t>
      </w:r>
    </w:p>
    <w:p w14:paraId="7943AAA4" w14:textId="77777777" w:rsidR="005D32B1" w:rsidRPr="00FB5D79" w:rsidRDefault="005D32B1" w:rsidP="005D32B1">
      <w:pPr>
        <w:spacing w:after="120"/>
        <w:jc w:val="both"/>
        <w:rPr>
          <w:b/>
        </w:rPr>
      </w:pPr>
    </w:p>
    <w:p w14:paraId="608395F4" w14:textId="2B922C31" w:rsidR="005D32B1" w:rsidRPr="00FB5D79" w:rsidRDefault="005D32B1" w:rsidP="00553CAB">
      <w:pPr>
        <w:tabs>
          <w:tab w:val="left" w:pos="3119"/>
        </w:tabs>
        <w:spacing w:after="120"/>
        <w:jc w:val="both"/>
        <w:rPr>
          <w:b/>
        </w:rPr>
      </w:pPr>
      <w:r w:rsidRPr="00FB5D79">
        <w:rPr>
          <w:b/>
        </w:rPr>
        <w:t xml:space="preserve">Conclusion </w:t>
      </w:r>
      <w:r w:rsidR="0063040B" w:rsidRPr="00FB5D79">
        <w:rPr>
          <w:b/>
        </w:rPr>
        <w:t>n° </w:t>
      </w:r>
      <w:r w:rsidRPr="00FB5D79">
        <w:rPr>
          <w:b/>
        </w:rPr>
        <w:t>4</w:t>
      </w:r>
      <w:r w:rsidR="00965F3A">
        <w:rPr>
          <w:b/>
        </w:rPr>
        <w:t> :</w:t>
      </w:r>
      <w:r w:rsidRPr="00FB5D79">
        <w:rPr>
          <w:b/>
        </w:rPr>
        <w:t xml:space="preserve"> </w:t>
      </w:r>
      <w:r w:rsidR="001B0964" w:rsidRPr="00FB5D79">
        <w:rPr>
          <w:b/>
        </w:rPr>
        <w:t xml:space="preserve">Le projet </w:t>
      </w:r>
      <w:r w:rsidR="00CB1104" w:rsidRPr="00FB5D79">
        <w:rPr>
          <w:b/>
        </w:rPr>
        <w:t>a présenté un réel intérêt</w:t>
      </w:r>
      <w:r w:rsidR="001B0964" w:rsidRPr="00FB5D79">
        <w:rPr>
          <w:b/>
        </w:rPr>
        <w:t xml:space="preserve"> pour les pays bénéficiaires, </w:t>
      </w:r>
      <w:r w:rsidR="00611031" w:rsidRPr="00FB5D79">
        <w:rPr>
          <w:b/>
        </w:rPr>
        <w:t>et s</w:t>
      </w:r>
      <w:r w:rsidR="00646944" w:rsidRPr="00FB5D79">
        <w:rPr>
          <w:b/>
        </w:rPr>
        <w:t>’</w:t>
      </w:r>
      <w:r w:rsidR="00611031" w:rsidRPr="00FB5D79">
        <w:rPr>
          <w:b/>
        </w:rPr>
        <w:t>est</w:t>
      </w:r>
      <w:r w:rsidR="001B0964" w:rsidRPr="00FB5D79">
        <w:rPr>
          <w:b/>
        </w:rPr>
        <w:t xml:space="preserve"> traduit par un degré élevé d</w:t>
      </w:r>
      <w:r w:rsidR="00646944" w:rsidRPr="00FB5D79">
        <w:rPr>
          <w:b/>
        </w:rPr>
        <w:t>’</w:t>
      </w:r>
      <w:r w:rsidR="001B0964" w:rsidRPr="00FB5D79">
        <w:rPr>
          <w:b/>
        </w:rPr>
        <w:t>appropriation.</w:t>
      </w:r>
    </w:p>
    <w:p w14:paraId="2AAC2E6F" w14:textId="5F696D67" w:rsidR="005D32B1" w:rsidRPr="00FB5D79" w:rsidRDefault="001B0964" w:rsidP="005D32B1">
      <w:pPr>
        <w:spacing w:after="120"/>
        <w:jc w:val="both"/>
      </w:pPr>
      <w:r w:rsidRPr="00FB5D79">
        <w:t xml:space="preserve">La série de </w:t>
      </w:r>
      <w:r w:rsidR="00707C9F" w:rsidRPr="00FB5D79">
        <w:t>séances</w:t>
      </w:r>
      <w:r w:rsidRPr="00FB5D79">
        <w:t xml:space="preserve"> d</w:t>
      </w:r>
      <w:r w:rsidR="00646944" w:rsidRPr="00FB5D79">
        <w:t>’</w:t>
      </w:r>
      <w:r w:rsidRPr="00FB5D79">
        <w:t>information, d</w:t>
      </w:r>
      <w:r w:rsidR="00646944" w:rsidRPr="00FB5D79">
        <w:t>’</w:t>
      </w:r>
      <w:r w:rsidRPr="00FB5D79">
        <w:t xml:space="preserve">ateliers et de séminaires organisés dans le cadre de la mise en œuvre du projet a grandement contribué à sensibiliser </w:t>
      </w:r>
      <w:r w:rsidR="00611031" w:rsidRPr="00FB5D79">
        <w:t>les pays</w:t>
      </w:r>
      <w:r w:rsidRPr="00FB5D79">
        <w:t xml:space="preserve"> aux aspects socioéconomiques </w:t>
      </w:r>
      <w:r w:rsidR="00611031" w:rsidRPr="00FB5D79">
        <w:t>de</w:t>
      </w:r>
      <w:r w:rsidRPr="00FB5D79">
        <w:t xml:space="preserve"> la propriété intellectuel</w:t>
      </w:r>
      <w:r w:rsidR="00172764" w:rsidRPr="00FB5D79">
        <w:t>le.  Ce</w:t>
      </w:r>
      <w:r w:rsidRPr="00FB5D79">
        <w:t xml:space="preserve"> type d</w:t>
      </w:r>
      <w:r w:rsidR="00646944" w:rsidRPr="00FB5D79">
        <w:t>’</w:t>
      </w:r>
      <w:r w:rsidRPr="00FB5D79">
        <w:t xml:space="preserve">activités planifiées au </w:t>
      </w:r>
      <w:r w:rsidR="0096759B" w:rsidRPr="00FB5D79">
        <w:t>début du projet</w:t>
      </w:r>
      <w:r w:rsidRPr="00FB5D79">
        <w:t xml:space="preserve">, </w:t>
      </w:r>
      <w:r w:rsidR="0096759B" w:rsidRPr="00FB5D79">
        <w:t xml:space="preserve">pendant sa mise en œuvre puis à la fin du projet, </w:t>
      </w:r>
      <w:r w:rsidR="00913012" w:rsidRPr="00FB5D79">
        <w:t xml:space="preserve">au moment </w:t>
      </w:r>
      <w:r w:rsidRPr="00FB5D79">
        <w:t>de la présentation des résultats aux acteurs locaux</w:t>
      </w:r>
      <w:r w:rsidR="0096759B" w:rsidRPr="00FB5D79">
        <w:t>,</w:t>
      </w:r>
      <w:r w:rsidRPr="00FB5D79">
        <w:t xml:space="preserve"> a certainement contribué à </w:t>
      </w:r>
      <w:r w:rsidR="0096759B" w:rsidRPr="00FB5D79">
        <w:t>l</w:t>
      </w:r>
      <w:r w:rsidR="00646944" w:rsidRPr="00FB5D79">
        <w:t>’</w:t>
      </w:r>
      <w:r w:rsidR="0096759B" w:rsidRPr="00FB5D79">
        <w:t xml:space="preserve">amélioration de la </w:t>
      </w:r>
      <w:r w:rsidRPr="00FB5D79">
        <w:t xml:space="preserve">diffusion </w:t>
      </w:r>
      <w:r w:rsidR="00611031" w:rsidRPr="00FB5D79">
        <w:t xml:space="preserve">des </w:t>
      </w:r>
      <w:r w:rsidR="00A76834" w:rsidRPr="00FB5D79">
        <w:t>études</w:t>
      </w:r>
      <w:r w:rsidR="00686FA3" w:rsidRPr="00FB5D79">
        <w:t xml:space="preserve">, </w:t>
      </w:r>
      <w:r w:rsidR="0096759B" w:rsidRPr="00FB5D79">
        <w:t xml:space="preserve">au renforcement de </w:t>
      </w:r>
      <w:r w:rsidR="00686FA3" w:rsidRPr="00FB5D79">
        <w:t xml:space="preserve">la </w:t>
      </w:r>
      <w:r w:rsidR="00347D0E" w:rsidRPr="00FB5D79">
        <w:t>coopération</w:t>
      </w:r>
      <w:r w:rsidRPr="00FB5D79">
        <w:t xml:space="preserve"> </w:t>
      </w:r>
      <w:r w:rsidR="00347D0E" w:rsidRPr="00FB5D79">
        <w:t>interinstitutionnelle</w:t>
      </w:r>
      <w:r w:rsidRPr="00FB5D79">
        <w:t xml:space="preserve"> et </w:t>
      </w:r>
      <w:r w:rsidR="00686FA3" w:rsidRPr="00FB5D79">
        <w:t xml:space="preserve">à </w:t>
      </w:r>
      <w:r w:rsidR="0096759B" w:rsidRPr="00FB5D79">
        <w:t>la prise de conscience accrue du</w:t>
      </w:r>
      <w:r w:rsidRPr="00FB5D79">
        <w:t xml:space="preserve"> travail collectif </w:t>
      </w:r>
      <w:r w:rsidR="0096759B" w:rsidRPr="00FB5D79">
        <w:t>déployé</w:t>
      </w:r>
      <w:r w:rsidRPr="00FB5D79">
        <w:t xml:space="preserve">, en termes de suivi, notamment des lacunes et des besoins </w:t>
      </w:r>
      <w:r w:rsidR="004000BA" w:rsidRPr="00FB5D79">
        <w:t xml:space="preserve">en matière </w:t>
      </w:r>
      <w:r w:rsidRPr="00FB5D79">
        <w:t>de renforcement des capacités dans des domaines spécifiqu</w:t>
      </w:r>
      <w:r w:rsidR="00172764" w:rsidRPr="00FB5D79">
        <w:t>es.  Il</w:t>
      </w:r>
      <w:r w:rsidRPr="00FB5D79">
        <w:t xml:space="preserve"> n</w:t>
      </w:r>
      <w:r w:rsidR="00646944" w:rsidRPr="00FB5D79">
        <w:t>’</w:t>
      </w:r>
      <w:r w:rsidRPr="00FB5D79">
        <w:t>a pas été possible d</w:t>
      </w:r>
      <w:r w:rsidR="00646944" w:rsidRPr="00FB5D79">
        <w:t>’</w:t>
      </w:r>
      <w:r w:rsidRPr="00FB5D79">
        <w:t xml:space="preserve">organiser un colloque de recherche réunissant </w:t>
      </w:r>
      <w:r w:rsidR="005D51F6" w:rsidRPr="00FB5D79">
        <w:t>les</w:t>
      </w:r>
      <w:r w:rsidRPr="00FB5D79">
        <w:t xml:space="preserve"> auteurs d</w:t>
      </w:r>
      <w:r w:rsidR="005D51F6" w:rsidRPr="00FB5D79">
        <w:t xml:space="preserve">es </w:t>
      </w:r>
      <w:r w:rsidRPr="00FB5D79">
        <w:t xml:space="preserve">études, </w:t>
      </w:r>
      <w:r w:rsidR="005D51F6" w:rsidRPr="00FB5D79">
        <w:t xml:space="preserve">les décideurs et </w:t>
      </w:r>
      <w:r w:rsidRPr="00FB5D79">
        <w:t xml:space="preserve">autres parties prenantes </w:t>
      </w:r>
      <w:r w:rsidR="00611031" w:rsidRPr="00FB5D79">
        <w:t>concerné</w:t>
      </w:r>
      <w:r w:rsidR="00172764" w:rsidRPr="00FB5D79">
        <w:t>es.  Le</w:t>
      </w:r>
      <w:r w:rsidRPr="00FB5D79">
        <w:t xml:space="preserve"> Secrétariat pourrait envisager d</w:t>
      </w:r>
      <w:r w:rsidR="00646944" w:rsidRPr="00FB5D79">
        <w:t>’</w:t>
      </w:r>
      <w:r w:rsidRPr="00FB5D79">
        <w:t>autres formes d</w:t>
      </w:r>
      <w:r w:rsidR="00646944" w:rsidRPr="00FB5D79">
        <w:t>’</w:t>
      </w:r>
      <w:r w:rsidRPr="00FB5D79">
        <w:t xml:space="preserve">organisation </w:t>
      </w:r>
      <w:r w:rsidR="004000BA" w:rsidRPr="00FB5D79">
        <w:t>de ce type de</w:t>
      </w:r>
      <w:r w:rsidRPr="00FB5D79">
        <w:t xml:space="preserve"> manifestation qui</w:t>
      </w:r>
      <w:r w:rsidR="00251A35" w:rsidRPr="00FB5D79">
        <w:t xml:space="preserve"> permet de prendre du recul et donne une perception plus large des</w:t>
      </w:r>
      <w:r w:rsidRPr="00FB5D79">
        <w:t xml:space="preserve"> enseignements tirés, </w:t>
      </w:r>
      <w:r w:rsidR="00251A35" w:rsidRPr="00FB5D79">
        <w:t>des</w:t>
      </w:r>
      <w:r w:rsidRPr="00FB5D79">
        <w:t xml:space="preserve"> réussites et </w:t>
      </w:r>
      <w:r w:rsidR="00251A35" w:rsidRPr="00FB5D79">
        <w:t>des</w:t>
      </w:r>
      <w:r w:rsidRPr="00FB5D79">
        <w:t xml:space="preserve"> lacunes </w:t>
      </w:r>
      <w:r w:rsidR="004000BA" w:rsidRPr="00FB5D79">
        <w:t>en ce qui concerne</w:t>
      </w:r>
      <w:r w:rsidRPr="00FB5D79">
        <w:t xml:space="preserve"> la </w:t>
      </w:r>
      <w:r w:rsidR="0022305A" w:rsidRPr="00FB5D79">
        <w:t>pérennité</w:t>
      </w:r>
      <w:r w:rsidRPr="00FB5D79">
        <w:t xml:space="preserve"> de ces activités.</w:t>
      </w:r>
    </w:p>
    <w:p w14:paraId="5A437744" w14:textId="67FED098" w:rsidR="005D32B1" w:rsidRPr="00FB5D79" w:rsidRDefault="005D32B1" w:rsidP="005D32B1">
      <w:pPr>
        <w:spacing w:after="120"/>
        <w:jc w:val="both"/>
      </w:pPr>
    </w:p>
    <w:p w14:paraId="3595369A" w14:textId="49495949" w:rsidR="005D32B1" w:rsidRPr="00FB5D79" w:rsidRDefault="005D32B1" w:rsidP="005D32B1">
      <w:pPr>
        <w:spacing w:after="120"/>
        <w:jc w:val="both"/>
        <w:rPr>
          <w:u w:val="single"/>
        </w:rPr>
      </w:pPr>
      <w:r w:rsidRPr="00FB5D79">
        <w:rPr>
          <w:u w:val="single"/>
        </w:rPr>
        <w:t>Recomm</w:t>
      </w:r>
      <w:r w:rsidR="001B0964" w:rsidRPr="00FB5D79">
        <w:rPr>
          <w:u w:val="single"/>
        </w:rPr>
        <w:t>a</w:t>
      </w:r>
      <w:r w:rsidR="00611031" w:rsidRPr="00FB5D79">
        <w:rPr>
          <w:u w:val="single"/>
        </w:rPr>
        <w:t>ndations</w:t>
      </w:r>
    </w:p>
    <w:p w14:paraId="2CC01218" w14:textId="515DB610" w:rsidR="005D32B1" w:rsidRPr="00FB5D79" w:rsidRDefault="005D32B1" w:rsidP="0031235E">
      <w:pPr>
        <w:tabs>
          <w:tab w:val="left" w:pos="2579"/>
        </w:tabs>
        <w:spacing w:after="120"/>
        <w:jc w:val="both"/>
        <w:rPr>
          <w:b/>
        </w:rPr>
      </w:pPr>
    </w:p>
    <w:p w14:paraId="2595A641" w14:textId="6155C88A" w:rsidR="00646944" w:rsidRPr="00FB5D79" w:rsidRDefault="001B0964" w:rsidP="005D32B1">
      <w:pPr>
        <w:spacing w:after="120"/>
        <w:jc w:val="both"/>
        <w:rPr>
          <w:b/>
        </w:rPr>
      </w:pPr>
      <w:r w:rsidRPr="00FB5D79">
        <w:rPr>
          <w:b/>
        </w:rPr>
        <w:t>Recommandation</w:t>
      </w:r>
      <w:r w:rsidR="0031235E" w:rsidRPr="00FB5D79">
        <w:rPr>
          <w:b/>
        </w:rPr>
        <w:t xml:space="preserve"> </w:t>
      </w:r>
      <w:r w:rsidR="0063040B" w:rsidRPr="00FB5D79">
        <w:rPr>
          <w:b/>
        </w:rPr>
        <w:t>n° </w:t>
      </w:r>
      <w:r w:rsidR="0031235E" w:rsidRPr="00FB5D79">
        <w:rPr>
          <w:b/>
        </w:rPr>
        <w:t xml:space="preserve">1 (découlant de la conclusion </w:t>
      </w:r>
      <w:r w:rsidR="00553CAB" w:rsidRPr="00FB5D79">
        <w:rPr>
          <w:b/>
        </w:rPr>
        <w:t>n° 1)</w:t>
      </w:r>
      <w:r w:rsidR="00C457D7" w:rsidRPr="00FB5D79">
        <w:rPr>
          <w:b/>
        </w:rPr>
        <w:t>,</w:t>
      </w:r>
      <w:r w:rsidR="0031235E" w:rsidRPr="00FB5D79">
        <w:rPr>
          <w:b/>
        </w:rPr>
        <w:t xml:space="preserve"> à l</w:t>
      </w:r>
      <w:r w:rsidR="00646944" w:rsidRPr="00FB5D79">
        <w:rPr>
          <w:b/>
        </w:rPr>
        <w:t>’</w:t>
      </w:r>
      <w:r w:rsidR="0031235E" w:rsidRPr="00FB5D79">
        <w:rPr>
          <w:b/>
        </w:rPr>
        <w:t>intention</w:t>
      </w:r>
      <w:r w:rsidR="00646944" w:rsidRPr="00FB5D79">
        <w:rPr>
          <w:b/>
        </w:rPr>
        <w:t xml:space="preserve"> du CDI</w:t>
      </w:r>
      <w:r w:rsidR="0031235E" w:rsidRPr="00FB5D79">
        <w:rPr>
          <w:b/>
        </w:rPr>
        <w:t>P et du Secrétariat, sur la planification et la gestion des projets</w:t>
      </w:r>
      <w:r w:rsidR="00965F3A">
        <w:rPr>
          <w:b/>
        </w:rPr>
        <w:t> :</w:t>
      </w:r>
    </w:p>
    <w:p w14:paraId="75A45299" w14:textId="3475C865" w:rsidR="001B0964" w:rsidRPr="00FB5D79" w:rsidRDefault="005D32B1" w:rsidP="001B0964">
      <w:pPr>
        <w:spacing w:after="120"/>
        <w:jc w:val="both"/>
      </w:pPr>
      <w:r w:rsidRPr="00FB5D79">
        <w:t>a)</w:t>
      </w:r>
      <w:r w:rsidRPr="00FB5D79">
        <w:tab/>
      </w:r>
      <w:r w:rsidR="001B0964" w:rsidRPr="00FB5D79">
        <w:t xml:space="preserve">Veiller à ce que </w:t>
      </w:r>
      <w:r w:rsidR="000910FD" w:rsidRPr="00FB5D79">
        <w:t xml:space="preserve">la mise en œuvre </w:t>
      </w:r>
      <w:r w:rsidR="00707C9F" w:rsidRPr="00FB5D79">
        <w:t>des</w:t>
      </w:r>
      <w:r w:rsidR="001B0964" w:rsidRPr="00FB5D79">
        <w:t xml:space="preserve"> projet</w:t>
      </w:r>
      <w:r w:rsidR="00707C9F" w:rsidRPr="00FB5D79">
        <w:t>s</w:t>
      </w:r>
      <w:r w:rsidR="001B0964" w:rsidRPr="00FB5D79">
        <w:t xml:space="preserve"> </w:t>
      </w:r>
      <w:r w:rsidR="00251A35" w:rsidRPr="00FB5D79">
        <w:t>ait été</w:t>
      </w:r>
      <w:r w:rsidR="001B0964" w:rsidRPr="00FB5D79">
        <w:t xml:space="preserve"> conçue de manière à </w:t>
      </w:r>
      <w:r w:rsidR="00CB1104" w:rsidRPr="00FB5D79">
        <w:t>faciliter la</w:t>
      </w:r>
      <w:r w:rsidR="001B0964" w:rsidRPr="00FB5D79">
        <w:t xml:space="preserve"> </w:t>
      </w:r>
      <w:r w:rsidR="00F56A3B" w:rsidRPr="00FB5D79">
        <w:t xml:space="preserve">bonne </w:t>
      </w:r>
      <w:r w:rsidR="001B0964" w:rsidRPr="00FB5D79">
        <w:t xml:space="preserve">coordination </w:t>
      </w:r>
      <w:r w:rsidR="00CB1104" w:rsidRPr="00FB5D79">
        <w:t>au niveau local</w:t>
      </w:r>
      <w:r w:rsidR="001B0964" w:rsidRPr="00FB5D79">
        <w:t xml:space="preserve"> et </w:t>
      </w:r>
      <w:r w:rsidR="00CB1104" w:rsidRPr="00FB5D79">
        <w:t xml:space="preserve">à </w:t>
      </w:r>
      <w:r w:rsidR="00F56A3B" w:rsidRPr="00FB5D79">
        <w:t>promouvoir</w:t>
      </w:r>
      <w:r w:rsidR="0081010A" w:rsidRPr="00FB5D79">
        <w:t xml:space="preserve"> le renforcement de</w:t>
      </w:r>
      <w:r w:rsidR="00CB1104" w:rsidRPr="00FB5D79">
        <w:t xml:space="preserve"> la</w:t>
      </w:r>
      <w:r w:rsidR="001B0964" w:rsidRPr="00FB5D79">
        <w:t xml:space="preserve"> coopération entre les différents organismes, ministères et parties prenantes.</w:t>
      </w:r>
    </w:p>
    <w:p w14:paraId="3C019F22" w14:textId="11E3A3BF" w:rsidR="001B0964" w:rsidRPr="00FB5D79" w:rsidRDefault="00FB5D79" w:rsidP="001B0964">
      <w:pPr>
        <w:spacing w:after="120"/>
        <w:jc w:val="both"/>
      </w:pPr>
      <w:r w:rsidRPr="00FB5D79">
        <w:t>b)</w:t>
      </w:r>
      <w:r w:rsidR="009E34C1" w:rsidRPr="00FB5D79">
        <w:tab/>
      </w:r>
      <w:r w:rsidR="00F56A3B" w:rsidRPr="00FB5D79">
        <w:t>Prévoir</w:t>
      </w:r>
      <w:r w:rsidR="001B0964" w:rsidRPr="00FB5D79">
        <w:t xml:space="preserve"> </w:t>
      </w:r>
      <w:r w:rsidR="00F56A3B" w:rsidRPr="00FB5D79">
        <w:t>dès</w:t>
      </w:r>
      <w:r w:rsidR="001B0964" w:rsidRPr="00FB5D79">
        <w:t xml:space="preserve"> la conception et la planification des projets des séances d</w:t>
      </w:r>
      <w:r w:rsidR="00646944" w:rsidRPr="00FB5D79">
        <w:t>’</w:t>
      </w:r>
      <w:r w:rsidR="001B0964" w:rsidRPr="00FB5D79">
        <w:t>information préliminaires à l</w:t>
      </w:r>
      <w:r w:rsidR="00646944" w:rsidRPr="00FB5D79">
        <w:t>’</w:t>
      </w:r>
      <w:r w:rsidR="001B0964" w:rsidRPr="00FB5D79">
        <w:t xml:space="preserve">intention des organismes, des parties prenantes et des bénéficiaires potentiels </w:t>
      </w:r>
      <w:r w:rsidR="00707C9F" w:rsidRPr="00FB5D79">
        <w:t>visant à</w:t>
      </w:r>
      <w:r w:rsidR="001B0964" w:rsidRPr="00FB5D79">
        <w:t xml:space="preserve"> </w:t>
      </w:r>
      <w:r w:rsidR="00707C9F" w:rsidRPr="00FB5D79">
        <w:t>faciliter</w:t>
      </w:r>
      <w:r w:rsidR="001B0964" w:rsidRPr="00FB5D79">
        <w:t xml:space="preserve"> l</w:t>
      </w:r>
      <w:r w:rsidR="00646944" w:rsidRPr="00FB5D79">
        <w:t>’</w:t>
      </w:r>
      <w:r w:rsidR="001B0964" w:rsidRPr="00FB5D79">
        <w:t>appropriation des résultats.</w:t>
      </w:r>
    </w:p>
    <w:p w14:paraId="2542B664" w14:textId="56DFBD51" w:rsidR="001B0964" w:rsidRPr="00FB5D79" w:rsidRDefault="00FB5D79" w:rsidP="001B0964">
      <w:pPr>
        <w:spacing w:after="120"/>
        <w:jc w:val="both"/>
      </w:pPr>
      <w:r w:rsidRPr="00FB5D79">
        <w:t>c)</w:t>
      </w:r>
      <w:r w:rsidR="009E34C1" w:rsidRPr="00FB5D79">
        <w:tab/>
      </w:r>
      <w:r w:rsidR="001B0964" w:rsidRPr="00FB5D79">
        <w:t xml:space="preserve">Prévoir dans les </w:t>
      </w:r>
      <w:r w:rsidR="005D51F6" w:rsidRPr="00FB5D79">
        <w:t>calendriers</w:t>
      </w:r>
      <w:r w:rsidR="001B0964" w:rsidRPr="00FB5D79">
        <w:t xml:space="preserve"> de planification, avec des stratégies d</w:t>
      </w:r>
      <w:r w:rsidR="00646944" w:rsidRPr="00FB5D79">
        <w:t>’</w:t>
      </w:r>
      <w:r w:rsidR="001B0964" w:rsidRPr="00FB5D79">
        <w:t>atténuation appropriées, les incid</w:t>
      </w:r>
      <w:r w:rsidR="00ED0B1F" w:rsidRPr="00FB5D79">
        <w:t>ents qui pourraient retarder la mise en œuvre</w:t>
      </w:r>
      <w:r w:rsidR="00251A35" w:rsidRPr="00FB5D79">
        <w:t xml:space="preserve"> du projet</w:t>
      </w:r>
      <w:r w:rsidR="001B0964" w:rsidRPr="00FB5D79">
        <w:t>.</w:t>
      </w:r>
    </w:p>
    <w:p w14:paraId="0B5BE868" w14:textId="132C0B01" w:rsidR="001B0964" w:rsidRPr="00FB5D79" w:rsidRDefault="00FB5D79" w:rsidP="001B0964">
      <w:pPr>
        <w:spacing w:after="120"/>
        <w:jc w:val="both"/>
      </w:pPr>
      <w:r w:rsidRPr="00FB5D79">
        <w:t>d)</w:t>
      </w:r>
      <w:r w:rsidR="009E34C1" w:rsidRPr="00FB5D79">
        <w:tab/>
      </w:r>
      <w:r w:rsidR="001B0964" w:rsidRPr="00FB5D79">
        <w:t xml:space="preserve">Envisager </w:t>
      </w:r>
      <w:r w:rsidR="004D5C3E" w:rsidRPr="00FB5D79">
        <w:t>de mettre en place le</w:t>
      </w:r>
      <w:r w:rsidR="001B0964" w:rsidRPr="00FB5D79">
        <w:t xml:space="preserve"> cadre logique.</w:t>
      </w:r>
    </w:p>
    <w:p w14:paraId="7374565C" w14:textId="1D6E2588" w:rsidR="005D32B1" w:rsidRPr="00FB5D79" w:rsidRDefault="00FB5D79" w:rsidP="001B0964">
      <w:pPr>
        <w:spacing w:after="120"/>
        <w:jc w:val="both"/>
      </w:pPr>
      <w:r w:rsidRPr="00FB5D79">
        <w:t>e)</w:t>
      </w:r>
      <w:r w:rsidR="009E34C1" w:rsidRPr="00FB5D79">
        <w:tab/>
      </w:r>
      <w:r w:rsidR="001B0964" w:rsidRPr="00FB5D79">
        <w:t>Choisir des experts locaux</w:t>
      </w:r>
      <w:r w:rsidR="00D535C6" w:rsidRPr="00FB5D79">
        <w:t xml:space="preserve"> qui non seulement </w:t>
      </w:r>
      <w:r w:rsidR="00442B75" w:rsidRPr="00FB5D79">
        <w:t>satisfont aux</w:t>
      </w:r>
      <w:r w:rsidR="00D535C6" w:rsidRPr="00FB5D79">
        <w:t xml:space="preserve"> critères de</w:t>
      </w:r>
      <w:r w:rsidR="001B0964" w:rsidRPr="00FB5D79">
        <w:t xml:space="preserve"> qualité</w:t>
      </w:r>
      <w:r w:rsidR="00D535C6" w:rsidRPr="00FB5D79">
        <w:t xml:space="preserve"> mais aussi</w:t>
      </w:r>
      <w:r w:rsidR="001B0964" w:rsidRPr="00FB5D79">
        <w:t xml:space="preserve"> </w:t>
      </w:r>
      <w:r w:rsidR="00D535C6" w:rsidRPr="00FB5D79">
        <w:t xml:space="preserve">soient </w:t>
      </w:r>
      <w:r w:rsidR="001B0964" w:rsidRPr="00FB5D79">
        <w:t>capables de naviguer, d</w:t>
      </w:r>
      <w:r w:rsidR="00646944" w:rsidRPr="00FB5D79">
        <w:t>’</w:t>
      </w:r>
      <w:r w:rsidR="001B0964" w:rsidRPr="00FB5D79">
        <w:t xml:space="preserve">interagir et de </w:t>
      </w:r>
      <w:r w:rsidR="0066385A" w:rsidRPr="00FB5D79">
        <w:t>facili</w:t>
      </w:r>
      <w:r w:rsidR="00A473FA" w:rsidRPr="00FB5D79">
        <w:t>ter les interactions sans heurt</w:t>
      </w:r>
      <w:r w:rsidR="0066385A" w:rsidRPr="00FB5D79">
        <w:t xml:space="preserve"> </w:t>
      </w:r>
      <w:r w:rsidR="00981D7B" w:rsidRPr="00FB5D79">
        <w:t>avec les différent</w:t>
      </w:r>
      <w:r w:rsidR="001B0964" w:rsidRPr="00FB5D79">
        <w:t xml:space="preserve">s </w:t>
      </w:r>
      <w:r w:rsidR="00981D7B" w:rsidRPr="00FB5D79">
        <w:t>organismes</w:t>
      </w:r>
      <w:r w:rsidR="001B0964" w:rsidRPr="00FB5D79">
        <w:t xml:space="preserve"> et parties prenantes.</w:t>
      </w:r>
    </w:p>
    <w:p w14:paraId="5121EEBF" w14:textId="77777777" w:rsidR="005D32B1" w:rsidRPr="00FB5D79" w:rsidRDefault="005D32B1" w:rsidP="005D32B1">
      <w:pPr>
        <w:spacing w:after="120"/>
        <w:jc w:val="both"/>
      </w:pPr>
    </w:p>
    <w:p w14:paraId="69EF2C9F" w14:textId="77777777" w:rsidR="00913012" w:rsidRPr="00FB5D79" w:rsidRDefault="00913012">
      <w:pPr>
        <w:rPr>
          <w:b/>
        </w:rPr>
      </w:pPr>
      <w:r w:rsidRPr="00FB5D79">
        <w:rPr>
          <w:b/>
        </w:rPr>
        <w:br w:type="page"/>
      </w:r>
    </w:p>
    <w:p w14:paraId="1DD101CF" w14:textId="6A15CD7F" w:rsidR="005D32B1" w:rsidRPr="00FB5D79" w:rsidRDefault="001B0964" w:rsidP="005D32B1">
      <w:pPr>
        <w:spacing w:after="120"/>
        <w:jc w:val="both"/>
        <w:rPr>
          <w:b/>
        </w:rPr>
      </w:pPr>
      <w:r w:rsidRPr="00FB5D79">
        <w:rPr>
          <w:b/>
        </w:rPr>
        <w:lastRenderedPageBreak/>
        <w:t>Recommandation</w:t>
      </w:r>
      <w:r w:rsidR="0031235E" w:rsidRPr="00FB5D79">
        <w:rPr>
          <w:b/>
        </w:rPr>
        <w:t xml:space="preserve"> </w:t>
      </w:r>
      <w:r w:rsidR="0063040B" w:rsidRPr="00FB5D79">
        <w:rPr>
          <w:b/>
        </w:rPr>
        <w:t>n° </w:t>
      </w:r>
      <w:r w:rsidR="0031235E" w:rsidRPr="00FB5D79">
        <w:rPr>
          <w:b/>
        </w:rPr>
        <w:t xml:space="preserve">2 (conclusions </w:t>
      </w:r>
      <w:r w:rsidR="0066385A" w:rsidRPr="00FB5D79">
        <w:rPr>
          <w:b/>
        </w:rPr>
        <w:t>n° </w:t>
      </w:r>
      <w:r w:rsidR="0031235E" w:rsidRPr="00FB5D79">
        <w:rPr>
          <w:b/>
        </w:rPr>
        <w:t>2, 3, 4), à l</w:t>
      </w:r>
      <w:r w:rsidR="00646944" w:rsidRPr="00FB5D79">
        <w:rPr>
          <w:b/>
        </w:rPr>
        <w:t>’</w:t>
      </w:r>
      <w:r w:rsidR="0031235E" w:rsidRPr="00FB5D79">
        <w:rPr>
          <w:b/>
        </w:rPr>
        <w:t>intention des États membres,</w:t>
      </w:r>
      <w:r w:rsidR="00646944" w:rsidRPr="00FB5D79">
        <w:rPr>
          <w:b/>
        </w:rPr>
        <w:t xml:space="preserve"> du CDI</w:t>
      </w:r>
      <w:r w:rsidR="0031235E" w:rsidRPr="00FB5D79">
        <w:rPr>
          <w:b/>
        </w:rPr>
        <w:t xml:space="preserve">P et du Secrétariat, de </w:t>
      </w:r>
      <w:r w:rsidR="0066385A" w:rsidRPr="00FB5D79">
        <w:rPr>
          <w:b/>
        </w:rPr>
        <w:t>continuer à s</w:t>
      </w:r>
      <w:r w:rsidR="00646944" w:rsidRPr="00FB5D79">
        <w:rPr>
          <w:b/>
        </w:rPr>
        <w:t>’</w:t>
      </w:r>
      <w:r w:rsidR="0066385A" w:rsidRPr="00FB5D79">
        <w:rPr>
          <w:b/>
        </w:rPr>
        <w:t>efforcer d</w:t>
      </w:r>
      <w:r w:rsidR="00646944" w:rsidRPr="00FB5D79">
        <w:rPr>
          <w:b/>
        </w:rPr>
        <w:t>’</w:t>
      </w:r>
      <w:r w:rsidR="0031235E" w:rsidRPr="00FB5D79">
        <w:rPr>
          <w:b/>
        </w:rPr>
        <w:t xml:space="preserve">encourager et </w:t>
      </w:r>
      <w:r w:rsidR="0066385A" w:rsidRPr="00FB5D79">
        <w:rPr>
          <w:b/>
        </w:rPr>
        <w:t xml:space="preserve">de </w:t>
      </w:r>
      <w:r w:rsidR="0031235E" w:rsidRPr="00FB5D79">
        <w:rPr>
          <w:b/>
        </w:rPr>
        <w:t xml:space="preserve">consolider les résultats positifs des </w:t>
      </w:r>
      <w:r w:rsidR="00A76834" w:rsidRPr="00FB5D79">
        <w:rPr>
          <w:b/>
        </w:rPr>
        <w:t>études menées</w:t>
      </w:r>
      <w:r w:rsidR="0031235E" w:rsidRPr="00FB5D79">
        <w:rPr>
          <w:b/>
        </w:rPr>
        <w:t xml:space="preserve"> pour mieux évaluer l</w:t>
      </w:r>
      <w:r w:rsidR="00646944" w:rsidRPr="00FB5D79">
        <w:rPr>
          <w:b/>
        </w:rPr>
        <w:t>’</w:t>
      </w:r>
      <w:r w:rsidR="0031235E" w:rsidRPr="00FB5D79">
        <w:rPr>
          <w:b/>
        </w:rPr>
        <w:t xml:space="preserve">impact économique, social et culturel </w:t>
      </w:r>
      <w:r w:rsidR="00CD7E50" w:rsidRPr="00FB5D79">
        <w:rPr>
          <w:b/>
        </w:rPr>
        <w:t>de l</w:t>
      </w:r>
      <w:r w:rsidR="00646944" w:rsidRPr="00FB5D79">
        <w:rPr>
          <w:b/>
        </w:rPr>
        <w:t>’</w:t>
      </w:r>
      <w:r w:rsidR="00CD7E50" w:rsidRPr="00FB5D79">
        <w:rPr>
          <w:b/>
        </w:rPr>
        <w:t>utilisation des</w:t>
      </w:r>
      <w:r w:rsidR="0031235E" w:rsidRPr="00FB5D79">
        <w:rPr>
          <w:b/>
        </w:rPr>
        <w:t xml:space="preserve"> systèmes de propriété </w:t>
      </w:r>
      <w:r w:rsidR="0004438E" w:rsidRPr="00FB5D79">
        <w:rPr>
          <w:b/>
        </w:rPr>
        <w:t>intellectuelle</w:t>
      </w:r>
      <w:r w:rsidR="00965F3A">
        <w:rPr>
          <w:b/>
        </w:rPr>
        <w:t> :</w:t>
      </w:r>
    </w:p>
    <w:p w14:paraId="4990F9F6" w14:textId="372F5F4C" w:rsidR="0031235E" w:rsidRPr="00FB5D79" w:rsidRDefault="005D32B1" w:rsidP="0031235E">
      <w:pPr>
        <w:spacing w:after="120"/>
        <w:jc w:val="both"/>
      </w:pPr>
      <w:r w:rsidRPr="00FB5D79">
        <w:t>a)</w:t>
      </w:r>
      <w:r w:rsidRPr="00FB5D79">
        <w:tab/>
      </w:r>
      <w:r w:rsidR="0031235E" w:rsidRPr="00FB5D79">
        <w:t>Consolider l</w:t>
      </w:r>
      <w:r w:rsidR="00646944" w:rsidRPr="00FB5D79">
        <w:t>’</w:t>
      </w:r>
      <w:r w:rsidR="00DE4719" w:rsidRPr="00FB5D79">
        <w:t xml:space="preserve">intégration des </w:t>
      </w:r>
      <w:r w:rsidR="0031235E" w:rsidRPr="00FB5D79">
        <w:t>études économiques dans les activités du Programme</w:t>
      </w:r>
      <w:r w:rsidR="0004438E" w:rsidRPr="00FB5D79">
        <w:t> </w:t>
      </w:r>
      <w:r w:rsidR="0031235E" w:rsidRPr="00FB5D79">
        <w:t>16.</w:t>
      </w:r>
    </w:p>
    <w:p w14:paraId="59D22D67" w14:textId="569F046F" w:rsidR="0031235E" w:rsidRPr="00FB5D79" w:rsidRDefault="0031235E" w:rsidP="0031235E">
      <w:pPr>
        <w:spacing w:after="120"/>
        <w:jc w:val="both"/>
      </w:pPr>
      <w:r w:rsidRPr="00FB5D79">
        <w:t xml:space="preserve">b) </w:t>
      </w:r>
      <w:r w:rsidR="009E34C1" w:rsidRPr="00FB5D79">
        <w:tab/>
      </w:r>
      <w:r w:rsidRPr="00FB5D79">
        <w:t>Encourager</w:t>
      </w:r>
      <w:r w:rsidR="00646944" w:rsidRPr="00FB5D79">
        <w:t xml:space="preserve"> le CDI</w:t>
      </w:r>
      <w:r w:rsidRPr="00FB5D79">
        <w:t xml:space="preserve">P à tirer parti des </w:t>
      </w:r>
      <w:r w:rsidR="00A76834" w:rsidRPr="00FB5D79">
        <w:t>études</w:t>
      </w:r>
      <w:r w:rsidRPr="00FB5D79">
        <w:t xml:space="preserve"> </w:t>
      </w:r>
      <w:r w:rsidR="00A76834" w:rsidRPr="00FB5D79">
        <w:t xml:space="preserve">menées </w:t>
      </w:r>
      <w:r w:rsidRPr="00FB5D79">
        <w:t>sur l</w:t>
      </w:r>
      <w:r w:rsidR="00646944" w:rsidRPr="00FB5D79">
        <w:t>’</w:t>
      </w:r>
      <w:r w:rsidRPr="00FB5D79">
        <w:t>impact économique, social et culturel de l</w:t>
      </w:r>
      <w:r w:rsidR="00646944" w:rsidRPr="00FB5D79">
        <w:t>’</w:t>
      </w:r>
      <w:r w:rsidRPr="00FB5D79">
        <w:t xml:space="preserve">utilisation des systèmes de propriété intellectuelle et </w:t>
      </w:r>
      <w:r w:rsidR="00DE4719" w:rsidRPr="00FB5D79">
        <w:t>l</w:t>
      </w:r>
      <w:r w:rsidR="00646944" w:rsidRPr="00FB5D79">
        <w:t>’</w:t>
      </w:r>
      <w:r w:rsidR="00DE4719" w:rsidRPr="00FB5D79">
        <w:t xml:space="preserve">inciter </w:t>
      </w:r>
      <w:r w:rsidRPr="00FB5D79">
        <w:t>à s</w:t>
      </w:r>
      <w:r w:rsidR="00646944" w:rsidRPr="00FB5D79">
        <w:t>’</w:t>
      </w:r>
      <w:r w:rsidRPr="00FB5D79">
        <w:t xml:space="preserve">appuyer sur les résultats </w:t>
      </w:r>
      <w:r w:rsidR="00DE4719" w:rsidRPr="00FB5D79">
        <w:t xml:space="preserve">de ces </w:t>
      </w:r>
      <w:r w:rsidR="00A76834" w:rsidRPr="00FB5D79">
        <w:t>études</w:t>
      </w:r>
      <w:r w:rsidR="00DE4719" w:rsidRPr="00FB5D79">
        <w:t xml:space="preserve"> et les enseignements qu</w:t>
      </w:r>
      <w:r w:rsidR="00646944" w:rsidRPr="00FB5D79">
        <w:t>’</w:t>
      </w:r>
      <w:r w:rsidR="00DE4719" w:rsidRPr="00FB5D79">
        <w:t xml:space="preserve">il en a tirés </w:t>
      </w:r>
      <w:r w:rsidRPr="00FB5D79">
        <w:t xml:space="preserve">pour orienter les débats </w:t>
      </w:r>
      <w:r w:rsidR="00085BCB" w:rsidRPr="00FB5D79">
        <w:t xml:space="preserve">qui ont lieu au sein </w:t>
      </w:r>
      <w:r w:rsidRPr="00FB5D79">
        <w:t xml:space="preserve">du </w:t>
      </w:r>
      <w:r w:rsidR="000E4777" w:rsidRPr="00FB5D79">
        <w:t>comité</w:t>
      </w:r>
      <w:r w:rsidRPr="00FB5D79">
        <w:t>, notamment sur la propriété intellectuelle et le développement</w:t>
      </w:r>
      <w:r w:rsidR="00DE4719" w:rsidRPr="00FB5D79">
        <w:t>.</w:t>
      </w:r>
    </w:p>
    <w:p w14:paraId="6F24BCDB" w14:textId="2D7A066B" w:rsidR="0031235E" w:rsidRPr="00FB5D79" w:rsidRDefault="0031235E" w:rsidP="0031235E">
      <w:pPr>
        <w:spacing w:after="120"/>
        <w:jc w:val="both"/>
      </w:pPr>
      <w:r w:rsidRPr="00FB5D79">
        <w:t xml:space="preserve">c) </w:t>
      </w:r>
      <w:r w:rsidR="009E34C1" w:rsidRPr="00FB5D79">
        <w:tab/>
      </w:r>
      <w:r w:rsidRPr="00FB5D79">
        <w:t>Continuer d</w:t>
      </w:r>
      <w:r w:rsidR="00646944" w:rsidRPr="00FB5D79">
        <w:t>’</w:t>
      </w:r>
      <w:r w:rsidRPr="00FB5D79">
        <w:t xml:space="preserve">aider les </w:t>
      </w:r>
      <w:r w:rsidR="00DE4719" w:rsidRPr="00FB5D79">
        <w:t>offices</w:t>
      </w:r>
      <w:r w:rsidRPr="00FB5D79">
        <w:t xml:space="preserve"> de propriété intellectuelle </w:t>
      </w:r>
      <w:r w:rsidR="005469E6" w:rsidRPr="00FB5D79">
        <w:t>ainsi que</w:t>
      </w:r>
      <w:r w:rsidRPr="00FB5D79">
        <w:t xml:space="preserve"> les </w:t>
      </w:r>
      <w:r w:rsidR="00096091" w:rsidRPr="00FB5D79">
        <w:t xml:space="preserve">offices de la statistique </w:t>
      </w:r>
      <w:r w:rsidRPr="00FB5D79">
        <w:t>à créer des bases de données sur la propriété intellectuelle</w:t>
      </w:r>
      <w:r w:rsidR="00EB25BC" w:rsidRPr="00FB5D79">
        <w:t xml:space="preserve">, à </w:t>
      </w:r>
      <w:r w:rsidR="00486F84" w:rsidRPr="00FB5D79">
        <w:t>les remanier</w:t>
      </w:r>
      <w:r w:rsidRPr="00FB5D79">
        <w:t xml:space="preserve"> et à </w:t>
      </w:r>
      <w:r w:rsidR="00C261D3" w:rsidRPr="00FB5D79">
        <w:t xml:space="preserve">les </w:t>
      </w:r>
      <w:r w:rsidR="00EB25BC" w:rsidRPr="00FB5D79">
        <w:t>relier</w:t>
      </w:r>
      <w:r w:rsidR="00C261D3" w:rsidRPr="00FB5D79">
        <w:t xml:space="preserve"> </w:t>
      </w:r>
      <w:r w:rsidRPr="00FB5D79">
        <w:t>avec d</w:t>
      </w:r>
      <w:r w:rsidR="00646944" w:rsidRPr="00FB5D79">
        <w:t>’</w:t>
      </w:r>
      <w:r w:rsidRPr="00FB5D79">
        <w:t>autres bases de données.</w:t>
      </w:r>
    </w:p>
    <w:p w14:paraId="4C3E2042" w14:textId="3D550685" w:rsidR="005D32B1" w:rsidRPr="00FB5D79" w:rsidRDefault="0031235E" w:rsidP="0031235E">
      <w:pPr>
        <w:spacing w:after="120"/>
        <w:jc w:val="both"/>
      </w:pPr>
      <w:r w:rsidRPr="00FB5D79">
        <w:t xml:space="preserve">d) </w:t>
      </w:r>
      <w:r w:rsidR="009E34C1" w:rsidRPr="00FB5D79">
        <w:tab/>
      </w:r>
      <w:r w:rsidRPr="00FB5D79">
        <w:t>L</w:t>
      </w:r>
      <w:r w:rsidR="00646944" w:rsidRPr="00FB5D79">
        <w:t>’</w:t>
      </w:r>
      <w:r w:rsidRPr="00FB5D79">
        <w:t xml:space="preserve">élaboration de stratégies ou de politiques en matière de propriété intellectuelle </w:t>
      </w:r>
      <w:r w:rsidR="00085BCB" w:rsidRPr="00FB5D79">
        <w:t>doit</w:t>
      </w:r>
      <w:r w:rsidRPr="00FB5D79">
        <w:t xml:space="preserve"> être fondée sur des bases de données fiables et</w:t>
      </w:r>
      <w:r w:rsidR="00862897" w:rsidRPr="00FB5D79">
        <w:t xml:space="preserve"> sur</w:t>
      </w:r>
      <w:r w:rsidRPr="00FB5D79">
        <w:t xml:space="preserve"> leur valeur économique</w:t>
      </w:r>
      <w:r w:rsidR="005D32B1" w:rsidRPr="00FB5D79">
        <w:t>.</w:t>
      </w:r>
    </w:p>
    <w:p w14:paraId="06686550" w14:textId="77777777" w:rsidR="005D32B1" w:rsidRPr="00FB5D79" w:rsidRDefault="005D32B1" w:rsidP="005D32B1">
      <w:pPr>
        <w:spacing w:after="120"/>
        <w:jc w:val="both"/>
      </w:pPr>
    </w:p>
    <w:p w14:paraId="2496A724" w14:textId="0B612F6E" w:rsidR="00646944" w:rsidRPr="00FB5D79" w:rsidRDefault="001B0964" w:rsidP="005D32B1">
      <w:pPr>
        <w:spacing w:after="120"/>
        <w:jc w:val="both"/>
        <w:rPr>
          <w:b/>
        </w:rPr>
      </w:pPr>
      <w:r w:rsidRPr="00FB5D79">
        <w:rPr>
          <w:b/>
        </w:rPr>
        <w:t>Recommandation</w:t>
      </w:r>
      <w:r w:rsidR="0031235E" w:rsidRPr="00FB5D79">
        <w:rPr>
          <w:b/>
        </w:rPr>
        <w:t xml:space="preserve"> </w:t>
      </w:r>
      <w:r w:rsidR="0063040B" w:rsidRPr="00FB5D79">
        <w:rPr>
          <w:b/>
        </w:rPr>
        <w:t>n° </w:t>
      </w:r>
      <w:r w:rsidR="0031235E" w:rsidRPr="00FB5D79">
        <w:rPr>
          <w:b/>
        </w:rPr>
        <w:t xml:space="preserve">3 (conclusions </w:t>
      </w:r>
      <w:r w:rsidR="004F2F1F" w:rsidRPr="00FB5D79">
        <w:rPr>
          <w:b/>
        </w:rPr>
        <w:t>n° </w:t>
      </w:r>
      <w:r w:rsidR="0031235E" w:rsidRPr="00FB5D79">
        <w:rPr>
          <w:b/>
        </w:rPr>
        <w:t>1, 3, 4), à l</w:t>
      </w:r>
      <w:r w:rsidR="00646944" w:rsidRPr="00FB5D79">
        <w:rPr>
          <w:b/>
        </w:rPr>
        <w:t>’</w:t>
      </w:r>
      <w:r w:rsidR="0031235E" w:rsidRPr="00FB5D79">
        <w:rPr>
          <w:b/>
        </w:rPr>
        <w:t>intention des États membres,</w:t>
      </w:r>
      <w:r w:rsidR="00646944" w:rsidRPr="00FB5D79">
        <w:rPr>
          <w:b/>
        </w:rPr>
        <w:t xml:space="preserve"> du CDI</w:t>
      </w:r>
      <w:r w:rsidR="0031235E" w:rsidRPr="00FB5D79">
        <w:rPr>
          <w:b/>
        </w:rPr>
        <w:t>P et du Secrétariat, d</w:t>
      </w:r>
      <w:r w:rsidR="00646944" w:rsidRPr="00FB5D79">
        <w:rPr>
          <w:b/>
        </w:rPr>
        <w:t>’</w:t>
      </w:r>
      <w:r w:rsidR="0031235E" w:rsidRPr="00FB5D79">
        <w:rPr>
          <w:b/>
        </w:rPr>
        <w:t xml:space="preserve">envisager </w:t>
      </w:r>
      <w:r w:rsidR="00EE5078" w:rsidRPr="00FB5D79">
        <w:rPr>
          <w:b/>
        </w:rPr>
        <w:t>d</w:t>
      </w:r>
      <w:r w:rsidR="00646944" w:rsidRPr="00FB5D79">
        <w:rPr>
          <w:b/>
        </w:rPr>
        <w:t>’</w:t>
      </w:r>
      <w:r w:rsidR="00EE5078" w:rsidRPr="00FB5D79">
        <w:rPr>
          <w:b/>
        </w:rPr>
        <w:t>accentuer</w:t>
      </w:r>
      <w:r w:rsidR="0022305A" w:rsidRPr="00FB5D79">
        <w:rPr>
          <w:b/>
        </w:rPr>
        <w:t xml:space="preserve"> </w:t>
      </w:r>
      <w:r w:rsidR="00EE5078" w:rsidRPr="00FB5D79">
        <w:rPr>
          <w:b/>
        </w:rPr>
        <w:t xml:space="preserve">le </w:t>
      </w:r>
      <w:r w:rsidR="0022305A" w:rsidRPr="00FB5D79">
        <w:rPr>
          <w:b/>
        </w:rPr>
        <w:t>renforcement</w:t>
      </w:r>
      <w:r w:rsidR="0031235E" w:rsidRPr="00FB5D79">
        <w:rPr>
          <w:b/>
        </w:rPr>
        <w:t xml:space="preserve"> des capacités </w:t>
      </w:r>
      <w:r w:rsidR="0022305A" w:rsidRPr="00FB5D79">
        <w:rPr>
          <w:b/>
        </w:rPr>
        <w:t>des</w:t>
      </w:r>
      <w:r w:rsidR="0031235E" w:rsidRPr="00FB5D79">
        <w:rPr>
          <w:b/>
        </w:rPr>
        <w:t xml:space="preserve"> pays bénéficiaires, </w:t>
      </w:r>
      <w:r w:rsidR="0022305A" w:rsidRPr="00FB5D79">
        <w:rPr>
          <w:b/>
        </w:rPr>
        <w:t>notamment afin d</w:t>
      </w:r>
      <w:r w:rsidR="00646944" w:rsidRPr="00FB5D79">
        <w:rPr>
          <w:b/>
        </w:rPr>
        <w:t>’</w:t>
      </w:r>
      <w:r w:rsidR="0031235E" w:rsidRPr="00FB5D79">
        <w:rPr>
          <w:b/>
        </w:rPr>
        <w:t xml:space="preserve">assurer la </w:t>
      </w:r>
      <w:r w:rsidR="0022305A" w:rsidRPr="00FB5D79">
        <w:rPr>
          <w:b/>
        </w:rPr>
        <w:t>pérennité</w:t>
      </w:r>
      <w:r w:rsidR="0031235E" w:rsidRPr="00FB5D79">
        <w:rPr>
          <w:b/>
        </w:rPr>
        <w:t xml:space="preserve"> des </w:t>
      </w:r>
      <w:r w:rsidR="00A76834" w:rsidRPr="00FB5D79">
        <w:rPr>
          <w:b/>
        </w:rPr>
        <w:t xml:space="preserve">études menées </w:t>
      </w:r>
      <w:r w:rsidR="0031235E" w:rsidRPr="00FB5D79">
        <w:rPr>
          <w:b/>
        </w:rPr>
        <w:t>dans le cadre du projet</w:t>
      </w:r>
      <w:r w:rsidR="00965F3A">
        <w:rPr>
          <w:b/>
        </w:rPr>
        <w:t>-</w:t>
      </w:r>
      <w:r w:rsidR="0031235E" w:rsidRPr="00FB5D79">
        <w:rPr>
          <w:b/>
        </w:rPr>
        <w:t>cadre</w:t>
      </w:r>
      <w:r w:rsidR="00965F3A">
        <w:rPr>
          <w:b/>
        </w:rPr>
        <w:t> :</w:t>
      </w:r>
    </w:p>
    <w:p w14:paraId="780C89CA" w14:textId="7917E41A" w:rsidR="0031235E" w:rsidRPr="00FB5D79" w:rsidRDefault="005D32B1" w:rsidP="0031235E">
      <w:pPr>
        <w:spacing w:after="120"/>
        <w:jc w:val="both"/>
      </w:pPr>
      <w:r w:rsidRPr="00FB5D79">
        <w:t>a)</w:t>
      </w:r>
      <w:r w:rsidRPr="00FB5D79">
        <w:tab/>
      </w:r>
      <w:r w:rsidR="0031235E" w:rsidRPr="00FB5D79">
        <w:t xml:space="preserve">Aider les pays </w:t>
      </w:r>
      <w:r w:rsidR="008A1B31" w:rsidRPr="00FB5D79">
        <w:t xml:space="preserve">qui </w:t>
      </w:r>
      <w:r w:rsidR="00AE37E3" w:rsidRPr="00FB5D79">
        <w:t>souhaitent</w:t>
      </w:r>
      <w:r w:rsidR="008A1B31" w:rsidRPr="00FB5D79">
        <w:t xml:space="preserve"> renforcer leurs</w:t>
      </w:r>
      <w:r w:rsidR="0031235E" w:rsidRPr="00FB5D79">
        <w:t xml:space="preserve"> capacités à traduire les résultats des études </w:t>
      </w:r>
      <w:r w:rsidR="0022305A" w:rsidRPr="00FB5D79">
        <w:t>menées</w:t>
      </w:r>
      <w:r w:rsidR="0031235E" w:rsidRPr="00FB5D79">
        <w:t xml:space="preserve"> </w:t>
      </w:r>
      <w:r w:rsidR="00B34828" w:rsidRPr="00FB5D79">
        <w:t>chez eux</w:t>
      </w:r>
      <w:r w:rsidR="0031235E" w:rsidRPr="00FB5D79">
        <w:t xml:space="preserve"> en </w:t>
      </w:r>
      <w:r w:rsidR="00085BCB" w:rsidRPr="00FB5D79">
        <w:t>réussites pérennes</w:t>
      </w:r>
      <w:r w:rsidR="0031235E" w:rsidRPr="00FB5D79">
        <w:t>.</w:t>
      </w:r>
    </w:p>
    <w:p w14:paraId="140F0797" w14:textId="01E7F962" w:rsidR="0031235E" w:rsidRPr="00FB5D79" w:rsidRDefault="0031235E" w:rsidP="0031235E">
      <w:pPr>
        <w:spacing w:after="120"/>
        <w:jc w:val="both"/>
      </w:pPr>
      <w:r w:rsidRPr="00FB5D79">
        <w:t xml:space="preserve">b) </w:t>
      </w:r>
      <w:r w:rsidR="009E34C1" w:rsidRPr="00FB5D79">
        <w:tab/>
      </w:r>
      <w:r w:rsidR="00085BCB" w:rsidRPr="00FB5D79">
        <w:t>Aider au renforcement des capacités des offices de propriété intellectuelle et des institutions compétentes en ce qui concerne la production et la maintenance de données statistiques fiables sur la propriété intellectuelle</w:t>
      </w:r>
      <w:r w:rsidRPr="00FB5D79">
        <w:t>.</w:t>
      </w:r>
    </w:p>
    <w:p w14:paraId="1FA2F36A" w14:textId="3B56C8A5" w:rsidR="0031235E" w:rsidRPr="00FB5D79" w:rsidRDefault="0031235E" w:rsidP="0031235E">
      <w:pPr>
        <w:spacing w:after="120"/>
        <w:jc w:val="both"/>
      </w:pPr>
      <w:r w:rsidRPr="00FB5D79">
        <w:t xml:space="preserve">c) </w:t>
      </w:r>
      <w:r w:rsidR="009E34C1" w:rsidRPr="00FB5D79">
        <w:tab/>
      </w:r>
      <w:r w:rsidRPr="00FB5D79">
        <w:t xml:space="preserve">Encourager et </w:t>
      </w:r>
      <w:r w:rsidR="00B34828" w:rsidRPr="00FB5D79">
        <w:t>aider</w:t>
      </w:r>
      <w:r w:rsidRPr="00FB5D79">
        <w:t xml:space="preserve"> les </w:t>
      </w:r>
      <w:r w:rsidR="00085BCB" w:rsidRPr="00FB5D79">
        <w:t>services nationaux</w:t>
      </w:r>
      <w:r w:rsidRPr="00FB5D79">
        <w:t xml:space="preserve"> </w:t>
      </w:r>
      <w:r w:rsidR="001447EA" w:rsidRPr="00FB5D79">
        <w:t>à renforcer les</w:t>
      </w:r>
      <w:r w:rsidRPr="00FB5D79">
        <w:t xml:space="preserve"> capacités d</w:t>
      </w:r>
      <w:r w:rsidR="00646944" w:rsidRPr="00FB5D79">
        <w:t>’</w:t>
      </w:r>
      <w:r w:rsidRPr="00FB5D79">
        <w:t>analyse économique de l</w:t>
      </w:r>
      <w:r w:rsidR="00646944" w:rsidRPr="00FB5D79">
        <w:t>’</w:t>
      </w:r>
      <w:r w:rsidRPr="00FB5D79">
        <w:t>innovation et de la propriété intellectuelle.</w:t>
      </w:r>
    </w:p>
    <w:p w14:paraId="7C4D0768" w14:textId="712472C5" w:rsidR="00646944" w:rsidRPr="00FB5D79" w:rsidRDefault="0031235E" w:rsidP="004F2F1F">
      <w:pPr>
        <w:spacing w:after="120"/>
        <w:jc w:val="both"/>
      </w:pPr>
      <w:r w:rsidRPr="00FB5D79">
        <w:t xml:space="preserve">d) </w:t>
      </w:r>
      <w:r w:rsidR="009E34C1" w:rsidRPr="00FB5D79">
        <w:tab/>
      </w:r>
      <w:r w:rsidRPr="00FB5D79">
        <w:t>Organ</w:t>
      </w:r>
      <w:r w:rsidR="006F5974" w:rsidRPr="00FB5D79">
        <w:t xml:space="preserve">iser des colloques régionaux </w:t>
      </w:r>
      <w:r w:rsidRPr="00FB5D79">
        <w:t xml:space="preserve">ou internationaux </w:t>
      </w:r>
      <w:r w:rsidR="000513D6" w:rsidRPr="00FB5D79">
        <w:t>visant à</w:t>
      </w:r>
      <w:r w:rsidRPr="00FB5D79">
        <w:t xml:space="preserve"> examiner les enseignements tirés du projet</w:t>
      </w:r>
      <w:r w:rsidR="00965F3A">
        <w:t>-</w:t>
      </w:r>
      <w:r w:rsidRPr="00FB5D79">
        <w:t xml:space="preserve">cadre en identifiant, entre autres, </w:t>
      </w:r>
      <w:r w:rsidR="00D96645" w:rsidRPr="00FB5D79">
        <w:t>le manque</w:t>
      </w:r>
      <w:r w:rsidR="000513D6" w:rsidRPr="00FB5D79">
        <w:t xml:space="preserve"> de</w:t>
      </w:r>
      <w:r w:rsidRPr="00FB5D79">
        <w:t xml:space="preserve"> renforcement des capacités</w:t>
      </w:r>
      <w:r w:rsidR="00611031" w:rsidRPr="00FB5D79">
        <w:t>.</w:t>
      </w:r>
    </w:p>
    <w:p w14:paraId="7BCF6CBD" w14:textId="68CDDA1A" w:rsidR="005D32B1" w:rsidRPr="00FB5D79" w:rsidRDefault="0031235E" w:rsidP="004F2F1F">
      <w:pPr>
        <w:spacing w:after="120"/>
        <w:jc w:val="both"/>
      </w:pPr>
      <w:r w:rsidRPr="00FB5D79">
        <w:t xml:space="preserve">e) </w:t>
      </w:r>
      <w:r w:rsidR="009E34C1" w:rsidRPr="00FB5D79">
        <w:tab/>
      </w:r>
      <w:r w:rsidRPr="00FB5D79">
        <w:t xml:space="preserve">Encourager les </w:t>
      </w:r>
      <w:r w:rsidR="00A76834" w:rsidRPr="00FB5D79">
        <w:t>études</w:t>
      </w:r>
      <w:r w:rsidRPr="00FB5D79">
        <w:t xml:space="preserve"> sur</w:t>
      </w:r>
      <w:r w:rsidR="00646944" w:rsidRPr="00FB5D79">
        <w:t xml:space="preserve"> les PMA</w:t>
      </w:r>
      <w:r w:rsidRPr="00FB5D79">
        <w:t xml:space="preserve"> afin de </w:t>
      </w:r>
      <w:r w:rsidR="003E5446" w:rsidRPr="00FB5D79">
        <w:t>créer</w:t>
      </w:r>
      <w:r w:rsidRPr="00FB5D79">
        <w:t xml:space="preserve"> des bases de données fiables sur la propriété intellectuelle.</w:t>
      </w:r>
    </w:p>
    <w:p w14:paraId="38115ABC" w14:textId="77777777" w:rsidR="00A356FF" w:rsidRPr="00FB5D79" w:rsidRDefault="00A356FF" w:rsidP="004F2F1F">
      <w:pPr>
        <w:spacing w:after="120"/>
        <w:jc w:val="both"/>
      </w:pPr>
    </w:p>
    <w:p w14:paraId="3D126136" w14:textId="4D58D8BD" w:rsidR="00064757" w:rsidRPr="00C053D9" w:rsidRDefault="00064757" w:rsidP="00C053D9">
      <w:pPr>
        <w:pStyle w:val="Heading1"/>
      </w:pPr>
      <w:bookmarkStart w:id="8" w:name="_Toc530408357"/>
      <w:r w:rsidRPr="00C053D9">
        <w:t>Introduction</w:t>
      </w:r>
      <w:bookmarkEnd w:id="8"/>
    </w:p>
    <w:p w14:paraId="5F598CBE" w14:textId="0AF1A602" w:rsidR="005D32B1" w:rsidRPr="00FB5D79" w:rsidRDefault="00A356FF" w:rsidP="004F2F1F">
      <w:pPr>
        <w:pStyle w:val="ONUME"/>
        <w:numPr>
          <w:ilvl w:val="0"/>
          <w:numId w:val="0"/>
        </w:numPr>
        <w:jc w:val="both"/>
      </w:pPr>
      <w:r w:rsidRPr="00FB5D79">
        <w:t>Le présent</w:t>
      </w:r>
      <w:r w:rsidR="0031235E" w:rsidRPr="00FB5D79">
        <w:t xml:space="preserve"> rapport </w:t>
      </w:r>
      <w:r w:rsidRPr="00FB5D79">
        <w:t>concerne</w:t>
      </w:r>
      <w:r w:rsidR="0031235E" w:rsidRPr="00FB5D79">
        <w:t xml:space="preserve"> l</w:t>
      </w:r>
      <w:r w:rsidR="00646944" w:rsidRPr="00FB5D79">
        <w:t>’</w:t>
      </w:r>
      <w:r w:rsidR="0031235E" w:rsidRPr="00FB5D79">
        <w:t>évalu</w:t>
      </w:r>
      <w:r w:rsidRPr="00FB5D79">
        <w:t>ation de la phase </w:t>
      </w:r>
      <w:r w:rsidR="004F2F1F" w:rsidRPr="00FB5D79">
        <w:t xml:space="preserve">II </w:t>
      </w:r>
      <w:r w:rsidRPr="00FB5D79">
        <w:t>du projet relevant du Plan d</w:t>
      </w:r>
      <w:r w:rsidR="00646944" w:rsidRPr="00FB5D79">
        <w:t>’</w:t>
      </w:r>
      <w:r w:rsidRPr="00FB5D79">
        <w:t xml:space="preserve">action pour le développement relatif à la propriété intellectuelle et au développement socioéconomique </w:t>
      </w:r>
      <w:r w:rsidR="005D32B1" w:rsidRPr="00FB5D79">
        <w:t>(</w:t>
      </w:r>
      <w:r w:rsidR="0031235E" w:rsidRPr="00FB5D79">
        <w:t>code projet</w:t>
      </w:r>
      <w:r w:rsidR="00965F3A">
        <w:t> :</w:t>
      </w:r>
      <w:r w:rsidR="005D32B1" w:rsidRPr="00FB5D79">
        <w:t xml:space="preserve"> DA_35_37_02),</w:t>
      </w:r>
      <w:r w:rsidR="004F2F1F" w:rsidRPr="00FB5D79">
        <w:t xml:space="preserve"> </w:t>
      </w:r>
      <w:r w:rsidR="0031235E" w:rsidRPr="00FB5D79">
        <w:t xml:space="preserve">appelé </w:t>
      </w:r>
      <w:r w:rsidR="00646944" w:rsidRPr="00FB5D79">
        <w:t>“</w:t>
      </w:r>
      <w:r w:rsidR="0031235E" w:rsidRPr="00FB5D79">
        <w:t>le projet</w:t>
      </w:r>
      <w:r w:rsidR="00646944" w:rsidRPr="00FB5D79">
        <w:t>”</w:t>
      </w:r>
      <w:r w:rsidR="004F2F1F" w:rsidRPr="00FB5D79">
        <w:t>.</w:t>
      </w:r>
    </w:p>
    <w:p w14:paraId="01A37C19" w14:textId="4905EE88" w:rsidR="005D32B1" w:rsidRPr="00FB5D79" w:rsidRDefault="00A356FF" w:rsidP="004F2F1F">
      <w:pPr>
        <w:pStyle w:val="ONUME"/>
        <w:numPr>
          <w:ilvl w:val="0"/>
          <w:numId w:val="0"/>
        </w:numPr>
        <w:jc w:val="both"/>
      </w:pPr>
      <w:r w:rsidRPr="00FB5D79">
        <w:t>L</w:t>
      </w:r>
      <w:r w:rsidR="00646944" w:rsidRPr="00FB5D79">
        <w:t>’</w:t>
      </w:r>
      <w:r w:rsidRPr="00FB5D79">
        <w:t>évaluation a été effectuée sur la base d</w:t>
      </w:r>
      <w:r w:rsidR="00646944" w:rsidRPr="00FB5D79">
        <w:t>’</w:t>
      </w:r>
      <w:r w:rsidRPr="00FB5D79">
        <w:t>un mandat datant du 19 juin 2018</w:t>
      </w:r>
      <w:r w:rsidR="00611031" w:rsidRPr="00FB5D79">
        <w:t xml:space="preserve">.  </w:t>
      </w:r>
      <w:r w:rsidRPr="00FB5D79">
        <w:t xml:space="preserve">Elle a été menée du 10 juillet 2018 au 15 septembre 2018 par un évaluateur extérieur en étroite collaboration avec la </w:t>
      </w:r>
      <w:r w:rsidRPr="00FB5D79">
        <w:rPr>
          <w:rFonts w:eastAsia="Times New Roman"/>
          <w:lang w:eastAsia="en-US"/>
        </w:rPr>
        <w:t>Division de la coordination du Plan d</w:t>
      </w:r>
      <w:r w:rsidR="00646944" w:rsidRPr="00FB5D79">
        <w:rPr>
          <w:rFonts w:eastAsia="Times New Roman"/>
          <w:lang w:eastAsia="en-US"/>
        </w:rPr>
        <w:t>’</w:t>
      </w:r>
      <w:r w:rsidRPr="00FB5D79">
        <w:rPr>
          <w:rFonts w:eastAsia="Times New Roman"/>
          <w:lang w:eastAsia="en-US"/>
        </w:rPr>
        <w:t>action pour le développement</w:t>
      </w:r>
      <w:r w:rsidR="00E60A5E" w:rsidRPr="00FB5D79">
        <w:t>.</w:t>
      </w:r>
    </w:p>
    <w:p w14:paraId="61F4965A" w14:textId="6F8F5171" w:rsidR="00C34E43" w:rsidRPr="00C053D9" w:rsidRDefault="00C053D9" w:rsidP="00C053D9">
      <w:pPr>
        <w:pStyle w:val="Heading2"/>
        <w:numPr>
          <w:ilvl w:val="1"/>
          <w:numId w:val="3"/>
        </w:numPr>
      </w:pPr>
      <w:bookmarkStart w:id="9" w:name="_Toc530408358"/>
      <w:r w:rsidRPr="00C053D9">
        <w:t>Contexte et description du projet</w:t>
      </w:r>
      <w:bookmarkEnd w:id="9"/>
    </w:p>
    <w:p w14:paraId="18D2AA3F" w14:textId="3675CE4C" w:rsidR="005D32B1" w:rsidRPr="00FB5D79" w:rsidRDefault="0031235E" w:rsidP="004F2F1F">
      <w:pPr>
        <w:jc w:val="both"/>
      </w:pPr>
      <w:r w:rsidRPr="00FB5D79">
        <w:t>Le Comité du développement et de la propriété intellec</w:t>
      </w:r>
      <w:r w:rsidR="00A356FF" w:rsidRPr="00FB5D79">
        <w:t>tuelle (CDIP) a adopté</w:t>
      </w:r>
      <w:r w:rsidR="004E1438" w:rsidRPr="00FB5D79">
        <w:t>,</w:t>
      </w:r>
      <w:r w:rsidR="00A356FF" w:rsidRPr="00FB5D79">
        <w:t xml:space="preserve"> en avril </w:t>
      </w:r>
      <w:r w:rsidRPr="00FB5D79">
        <w:t>2010</w:t>
      </w:r>
      <w:r w:rsidR="004E1438" w:rsidRPr="00FB5D79">
        <w:t>,</w:t>
      </w:r>
      <w:r w:rsidRPr="00FB5D79">
        <w:t xml:space="preserve"> le projet </w:t>
      </w:r>
      <w:r w:rsidR="00E60A5E" w:rsidRPr="00FB5D79">
        <w:t>relatif à</w:t>
      </w:r>
      <w:r w:rsidRPr="00FB5D79">
        <w:t xml:space="preserve"> la propriété intellectuelle et </w:t>
      </w:r>
      <w:r w:rsidR="00E60A5E" w:rsidRPr="00FB5D79">
        <w:t>au développement socio</w:t>
      </w:r>
      <w:r w:rsidRPr="00FB5D79">
        <w:t>économique (phase</w:t>
      </w:r>
      <w:r w:rsidR="00A356FF" w:rsidRPr="00FB5D79">
        <w:t> </w:t>
      </w:r>
      <w:r w:rsidRPr="00FB5D79">
        <w:t>I)</w:t>
      </w:r>
      <w:r w:rsidR="00E60A5E" w:rsidRPr="00FB5D79">
        <w:t>,</w:t>
      </w:r>
      <w:r w:rsidRPr="00FB5D79">
        <w:t xml:space="preserve"> qui a permis de réaliser une série d</w:t>
      </w:r>
      <w:r w:rsidR="00646944" w:rsidRPr="00FB5D79">
        <w:t>’</w:t>
      </w:r>
      <w:r w:rsidRPr="00FB5D79">
        <w:t>études nationales autour de trois</w:t>
      </w:r>
      <w:r w:rsidR="000E4777" w:rsidRPr="00FB5D79">
        <w:t> </w:t>
      </w:r>
      <w:r w:rsidR="00E60A5E" w:rsidRPr="00FB5D79">
        <w:t>thématiques</w:t>
      </w:r>
      <w:r w:rsidR="00965F3A">
        <w:t> :</w:t>
      </w:r>
      <w:r w:rsidRPr="00FB5D79">
        <w:t xml:space="preserve"> l</w:t>
      </w:r>
      <w:r w:rsidR="00646944" w:rsidRPr="00FB5D79">
        <w:t>’</w:t>
      </w:r>
      <w:r w:rsidRPr="00FB5D79">
        <w:t>i</w:t>
      </w:r>
      <w:r w:rsidR="00E60A5E" w:rsidRPr="00FB5D79">
        <w:t xml:space="preserve">nnovation </w:t>
      </w:r>
      <w:proofErr w:type="gramStart"/>
      <w:r w:rsidR="00E60A5E" w:rsidRPr="00FB5D79">
        <w:t>nationale</w:t>
      </w:r>
      <w:r w:rsidR="00186E50" w:rsidRPr="00FB5D79">
        <w:t>;</w:t>
      </w:r>
      <w:r w:rsidRPr="00FB5D79">
        <w:t xml:space="preserve"> </w:t>
      </w:r>
      <w:r w:rsidR="000E4777" w:rsidRPr="00FB5D79">
        <w:t xml:space="preserve"> </w:t>
      </w:r>
      <w:r w:rsidRPr="00FB5D79">
        <w:t>la</w:t>
      </w:r>
      <w:proofErr w:type="gramEnd"/>
      <w:r w:rsidRPr="00FB5D79">
        <w:t xml:space="preserve"> diffusion internationale et nationale des connaissances</w:t>
      </w:r>
      <w:r w:rsidR="004E1438" w:rsidRPr="00FB5D79">
        <w:t xml:space="preserve"> acquises</w:t>
      </w:r>
      <w:r w:rsidR="00186E50" w:rsidRPr="00FB5D79">
        <w:t>;</w:t>
      </w:r>
      <w:r w:rsidR="000E4777" w:rsidRPr="00FB5D79">
        <w:t xml:space="preserve"> </w:t>
      </w:r>
      <w:r w:rsidRPr="00FB5D79">
        <w:t xml:space="preserve"> </w:t>
      </w:r>
      <w:r w:rsidR="00E60A5E" w:rsidRPr="00FB5D79">
        <w:t>les</w:t>
      </w:r>
      <w:r w:rsidRPr="00FB5D79">
        <w:t xml:space="preserve"> </w:t>
      </w:r>
      <w:r w:rsidRPr="00FB5D79">
        <w:lastRenderedPageBreak/>
        <w:t xml:space="preserve">caractéristiques internationales du système de </w:t>
      </w:r>
      <w:r w:rsidR="00E60A5E" w:rsidRPr="00FB5D79">
        <w:t>propriété intellectuelle</w:t>
      </w:r>
      <w:r w:rsidRPr="00FB5D79">
        <w:t xml:space="preserve"> et ses </w:t>
      </w:r>
      <w:r w:rsidR="00E60A5E" w:rsidRPr="00FB5D79">
        <w:t>conséquences</w:t>
      </w:r>
      <w:r w:rsidRPr="00FB5D79">
        <w:t xml:space="preserve"> économiqu</w:t>
      </w:r>
      <w:r w:rsidR="00172764" w:rsidRPr="00FB5D79">
        <w:t>es.  Le</w:t>
      </w:r>
      <w:r w:rsidRPr="00FB5D79">
        <w:t xml:space="preserve"> projet </w:t>
      </w:r>
      <w:r w:rsidR="004E1438" w:rsidRPr="00FB5D79">
        <w:t>s</w:t>
      </w:r>
      <w:r w:rsidR="00646944" w:rsidRPr="00FB5D79">
        <w:t>’</w:t>
      </w:r>
      <w:r w:rsidR="004E1438" w:rsidRPr="00FB5D79">
        <w:t>est</w:t>
      </w:r>
      <w:r w:rsidRPr="00FB5D79">
        <w:t xml:space="preserve"> achevé fin 2013</w:t>
      </w:r>
      <w:r w:rsidR="005D32B1" w:rsidRPr="00FB5D79">
        <w:rPr>
          <w:vertAlign w:val="superscript"/>
        </w:rPr>
        <w:footnoteReference w:id="2"/>
      </w:r>
      <w:r w:rsidR="00191196" w:rsidRPr="00FB5D79">
        <w:t>.</w:t>
      </w:r>
    </w:p>
    <w:p w14:paraId="64D9F0ED" w14:textId="77777777" w:rsidR="005D32B1" w:rsidRPr="00FB5D79" w:rsidRDefault="005D32B1" w:rsidP="005D32B1">
      <w:pPr>
        <w:jc w:val="both"/>
      </w:pPr>
    </w:p>
    <w:p w14:paraId="6415C12C" w14:textId="2C40FC3C" w:rsidR="00646944" w:rsidRPr="00FB5D79" w:rsidRDefault="0053740A" w:rsidP="00283300">
      <w:pPr>
        <w:jc w:val="both"/>
      </w:pPr>
      <w:r w:rsidRPr="00FB5D79">
        <w:t>À la reprise de sa quatorz</w:t>
      </w:r>
      <w:r w:rsidR="00965F3A">
        <w:t>ième session</w:t>
      </w:r>
      <w:r w:rsidR="00283300" w:rsidRPr="00FB5D79">
        <w:t xml:space="preserve"> (2014),</w:t>
      </w:r>
      <w:r w:rsidR="00646944" w:rsidRPr="00FB5D79">
        <w:t xml:space="preserve"> le CDI</w:t>
      </w:r>
      <w:r w:rsidR="004E1438" w:rsidRPr="00FB5D79">
        <w:t>P a approuvé la phase </w:t>
      </w:r>
      <w:r w:rsidR="00283300" w:rsidRPr="00FB5D79">
        <w:t>II du projet</w:t>
      </w:r>
      <w:r w:rsidR="00DA2E4E" w:rsidRPr="00FB5D79">
        <w:t xml:space="preserve">, qui constitue la phase de </w:t>
      </w:r>
      <w:r w:rsidR="00283300" w:rsidRPr="00FB5D79">
        <w:t>suivi de la phase</w:t>
      </w:r>
      <w:r w:rsidR="004E1438" w:rsidRPr="00FB5D79">
        <w:t> </w:t>
      </w:r>
      <w:r w:rsidR="00283300" w:rsidRPr="00FB5D79">
        <w:t>I</w:t>
      </w:r>
      <w:r w:rsidR="00611031" w:rsidRPr="00FB5D79">
        <w:t>.</w:t>
      </w:r>
      <w:r w:rsidR="000E4777" w:rsidRPr="00FB5D79">
        <w:t> </w:t>
      </w:r>
      <w:r w:rsidR="00283300" w:rsidRPr="00FB5D79">
        <w:t xml:space="preserve">La </w:t>
      </w:r>
      <w:r w:rsidR="00E60A5E" w:rsidRPr="00FB5D79">
        <w:t xml:space="preserve">phase II </w:t>
      </w:r>
      <w:r w:rsidR="00DA2E4E" w:rsidRPr="00FB5D79">
        <w:t>continue de servir de</w:t>
      </w:r>
      <w:r w:rsidR="00283300" w:rsidRPr="00FB5D79">
        <w:t xml:space="preserve"> projet</w:t>
      </w:r>
      <w:r w:rsidR="00965F3A">
        <w:t>-</w:t>
      </w:r>
      <w:r w:rsidR="00283300" w:rsidRPr="00FB5D79">
        <w:t>cadre</w:t>
      </w:r>
      <w:r w:rsidR="00DA2E4E" w:rsidRPr="00FB5D79">
        <w:t xml:space="preserve"> </w:t>
      </w:r>
      <w:r w:rsidR="005C35A9" w:rsidRPr="00FB5D79">
        <w:t>d</w:t>
      </w:r>
      <w:r w:rsidR="00646944" w:rsidRPr="00FB5D79">
        <w:t>’</w:t>
      </w:r>
      <w:r w:rsidR="00283300" w:rsidRPr="00FB5D79">
        <w:t xml:space="preserve">études nationales et régionales </w:t>
      </w:r>
      <w:r w:rsidR="00DA2E4E" w:rsidRPr="00FB5D79">
        <w:t>visant à combler les lacunes des décideurs s</w:t>
      </w:r>
      <w:r w:rsidR="00646944" w:rsidRPr="00FB5D79">
        <w:t>’</w:t>
      </w:r>
      <w:r w:rsidR="00DA2E4E" w:rsidRPr="00FB5D79">
        <w:t>agissant de l</w:t>
      </w:r>
      <w:r w:rsidR="00646944" w:rsidRPr="00FB5D79">
        <w:t>’</w:t>
      </w:r>
      <w:r w:rsidR="00DA2E4E" w:rsidRPr="00FB5D79">
        <w:t>élaboration et de la mise en œuvre d</w:t>
      </w:r>
      <w:r w:rsidR="00646944" w:rsidRPr="00FB5D79">
        <w:t>’</w:t>
      </w:r>
      <w:r w:rsidR="00DA2E4E" w:rsidRPr="00FB5D79">
        <w:t>un régime de propriété intellectuelle favorisant le développement</w:t>
      </w:r>
      <w:r w:rsidR="00611031" w:rsidRPr="00FB5D79">
        <w:t>.</w:t>
      </w:r>
    </w:p>
    <w:p w14:paraId="5B59FB84" w14:textId="32222C99" w:rsidR="00283300" w:rsidRPr="00FB5D79" w:rsidRDefault="00283300" w:rsidP="00283300">
      <w:pPr>
        <w:jc w:val="both"/>
      </w:pPr>
    </w:p>
    <w:p w14:paraId="06F8EE78" w14:textId="40ECB49A" w:rsidR="00283300" w:rsidRPr="00FB5D79" w:rsidRDefault="00283300" w:rsidP="00283300">
      <w:pPr>
        <w:jc w:val="both"/>
      </w:pPr>
      <w:r w:rsidRPr="00FB5D79">
        <w:t xml:space="preserve">Les études et les travaux </w:t>
      </w:r>
      <w:r w:rsidR="00A76834" w:rsidRPr="00FB5D79">
        <w:t xml:space="preserve">de recherche </w:t>
      </w:r>
      <w:r w:rsidR="00D65F85" w:rsidRPr="00FB5D79">
        <w:t>menés visaient à</w:t>
      </w:r>
      <w:r w:rsidRPr="00FB5D79">
        <w:t xml:space="preserve"> mieux </w:t>
      </w:r>
      <w:r w:rsidR="00A76834" w:rsidRPr="00FB5D79">
        <w:t>cerner</w:t>
      </w:r>
      <w:r w:rsidR="00B05864" w:rsidRPr="00FB5D79">
        <w:t xml:space="preserve"> les </w:t>
      </w:r>
      <w:r w:rsidR="005C5F36" w:rsidRPr="00FB5D79">
        <w:t>effets</w:t>
      </w:r>
      <w:r w:rsidRPr="00FB5D79">
        <w:t xml:space="preserve"> </w:t>
      </w:r>
      <w:r w:rsidR="00B05864" w:rsidRPr="00FB5D79">
        <w:t>socioéconomiques</w:t>
      </w:r>
      <w:r w:rsidRPr="00FB5D79">
        <w:t xml:space="preserve"> de la protection de la propriété intellectuelle dans les pays en développement dans le contexte des recommandations </w:t>
      </w:r>
      <w:r w:rsidR="00D65F85" w:rsidRPr="00FB5D79">
        <w:t>n° </w:t>
      </w:r>
      <w:r w:rsidRPr="00FB5D79">
        <w:t>3</w:t>
      </w:r>
      <w:r w:rsidR="00D65F85" w:rsidRPr="00FB5D79">
        <w:t>5</w:t>
      </w:r>
      <w:r w:rsidR="005D32B1" w:rsidRPr="00FB5D79">
        <w:rPr>
          <w:vertAlign w:val="superscript"/>
        </w:rPr>
        <w:footnoteReference w:id="3"/>
      </w:r>
      <w:r w:rsidR="005D32B1" w:rsidRPr="00FB5D79">
        <w:rPr>
          <w:vertAlign w:val="superscript"/>
        </w:rPr>
        <w:t xml:space="preserve"> </w:t>
      </w:r>
      <w:r w:rsidRPr="00FB5D79">
        <w:t>et</w:t>
      </w:r>
      <w:r w:rsidR="00191196" w:rsidRPr="00FB5D79">
        <w:t xml:space="preserve"> </w:t>
      </w:r>
      <w:r w:rsidR="00D65F85" w:rsidRPr="00FB5D79">
        <w:t>n° </w:t>
      </w:r>
      <w:r w:rsidR="00191196" w:rsidRPr="00FB5D79">
        <w:t>37</w:t>
      </w:r>
      <w:r w:rsidR="005D32B1" w:rsidRPr="00FB5D79">
        <w:rPr>
          <w:vertAlign w:val="superscript"/>
        </w:rPr>
        <w:footnoteReference w:id="4"/>
      </w:r>
      <w:r w:rsidR="00D65F85" w:rsidRPr="00FB5D79">
        <w:t xml:space="preserve"> du Plan d</w:t>
      </w:r>
      <w:r w:rsidR="00646944" w:rsidRPr="00FB5D79">
        <w:t>’</w:t>
      </w:r>
      <w:r w:rsidR="00D65F85" w:rsidRPr="00FB5D79">
        <w:t>action pour le développeme</w:t>
      </w:r>
      <w:r w:rsidR="00172764" w:rsidRPr="00FB5D79">
        <w:t>nt.  L’o</w:t>
      </w:r>
      <w:r w:rsidR="00385BC9" w:rsidRPr="00FB5D79">
        <w:t>bjectif était également</w:t>
      </w:r>
      <w:r w:rsidR="00E60A5E" w:rsidRPr="00FB5D79">
        <w:t xml:space="preserve"> </w:t>
      </w:r>
      <w:r w:rsidR="00646944" w:rsidRPr="00FB5D79">
        <w:t>“</w:t>
      </w:r>
      <w:r w:rsidRPr="00FB5D79">
        <w:t xml:space="preserve">la création et </w:t>
      </w:r>
      <w:r w:rsidR="00EA1939" w:rsidRPr="00FB5D79">
        <w:t>la tenue à jour</w:t>
      </w:r>
      <w:r w:rsidRPr="00FB5D79">
        <w:t xml:space="preserve"> d</w:t>
      </w:r>
      <w:r w:rsidR="00EA1939" w:rsidRPr="00FB5D79">
        <w:t>es</w:t>
      </w:r>
      <w:r w:rsidRPr="00FB5D79">
        <w:t xml:space="preserve"> capacité</w:t>
      </w:r>
      <w:r w:rsidR="00EA1939" w:rsidRPr="00FB5D79">
        <w:t>s</w:t>
      </w:r>
      <w:r w:rsidRPr="00FB5D79">
        <w:t xml:space="preserve"> d</w:t>
      </w:r>
      <w:r w:rsidR="00646944" w:rsidRPr="00FB5D79">
        <w:t>’</w:t>
      </w:r>
      <w:r w:rsidRPr="00FB5D79">
        <w:t>analyse dans les pays où peu d</w:t>
      </w:r>
      <w:r w:rsidR="00646944" w:rsidRPr="00FB5D79">
        <w:t>’</w:t>
      </w:r>
      <w:r w:rsidRPr="00FB5D79">
        <w:t xml:space="preserve">études économiques sur la </w:t>
      </w:r>
      <w:r w:rsidR="00E60A5E" w:rsidRPr="00FB5D79">
        <w:t>propriété intellectuelle</w:t>
      </w:r>
      <w:r w:rsidRPr="00FB5D79">
        <w:t xml:space="preserve"> ont été </w:t>
      </w:r>
      <w:r w:rsidR="00EA1939" w:rsidRPr="00FB5D79">
        <w:t>entreprises</w:t>
      </w:r>
      <w:r w:rsidRPr="00FB5D79">
        <w:t xml:space="preserve"> jusqu</w:t>
      </w:r>
      <w:r w:rsidR="00646944" w:rsidRPr="00FB5D79">
        <w:t>’</w:t>
      </w:r>
      <w:r w:rsidR="00EA1939" w:rsidRPr="00FB5D79">
        <w:t>ici</w:t>
      </w:r>
      <w:r w:rsidR="00646944" w:rsidRPr="00FB5D79">
        <w:t>”</w:t>
      </w:r>
      <w:r w:rsidRPr="00FB5D79">
        <w:t>.</w:t>
      </w:r>
    </w:p>
    <w:p w14:paraId="16E11364" w14:textId="77777777" w:rsidR="00283300" w:rsidRPr="00FB5D79" w:rsidRDefault="00283300" w:rsidP="00283300">
      <w:pPr>
        <w:jc w:val="both"/>
      </w:pPr>
    </w:p>
    <w:p w14:paraId="53B193BB" w14:textId="765E992D" w:rsidR="00283300" w:rsidRPr="00FB5D79" w:rsidRDefault="00385BC9" w:rsidP="00283300">
      <w:pPr>
        <w:jc w:val="both"/>
      </w:pPr>
      <w:r w:rsidRPr="00FB5D79">
        <w:rPr>
          <w:rFonts w:eastAsia="Times New Roman"/>
          <w:szCs w:val="22"/>
          <w:lang w:eastAsia="en-US"/>
        </w:rPr>
        <w:t xml:space="preserve">Tout en cherchant à atteindre les mêmes objectifs que </w:t>
      </w:r>
      <w:r w:rsidR="00B05864" w:rsidRPr="00FB5D79">
        <w:t>la phase </w:t>
      </w:r>
      <w:r w:rsidR="00283300" w:rsidRPr="00FB5D79">
        <w:t xml:space="preserve">I, </w:t>
      </w:r>
      <w:r w:rsidRPr="00FB5D79">
        <w:rPr>
          <w:rFonts w:eastAsia="Times New Roman"/>
          <w:szCs w:val="22"/>
          <w:lang w:eastAsia="en-US"/>
        </w:rPr>
        <w:t>la phase II vise à promouvoir la continuité et l</w:t>
      </w:r>
      <w:r w:rsidR="00646944" w:rsidRPr="00FB5D79">
        <w:rPr>
          <w:rFonts w:eastAsia="Times New Roman"/>
          <w:szCs w:val="22"/>
          <w:lang w:eastAsia="en-US"/>
        </w:rPr>
        <w:t>’</w:t>
      </w:r>
      <w:r w:rsidRPr="00FB5D79">
        <w:rPr>
          <w:rFonts w:eastAsia="Times New Roman"/>
          <w:szCs w:val="22"/>
          <w:lang w:eastAsia="en-US"/>
        </w:rPr>
        <w:t>extension des</w:t>
      </w:r>
      <w:r w:rsidR="00B113D7" w:rsidRPr="00FB5D79">
        <w:rPr>
          <w:rFonts w:eastAsia="Times New Roman"/>
          <w:szCs w:val="22"/>
          <w:lang w:eastAsia="en-US"/>
        </w:rPr>
        <w:t xml:space="preserve"> recherche</w:t>
      </w:r>
      <w:r w:rsidR="00312D63" w:rsidRPr="00FB5D79">
        <w:rPr>
          <w:rFonts w:eastAsia="Times New Roman"/>
          <w:szCs w:val="22"/>
          <w:lang w:eastAsia="en-US"/>
        </w:rPr>
        <w:t>s</w:t>
      </w:r>
      <w:r w:rsidR="00B113D7" w:rsidRPr="00FB5D79">
        <w:rPr>
          <w:rFonts w:eastAsia="Times New Roman"/>
          <w:szCs w:val="22"/>
          <w:lang w:eastAsia="en-US"/>
        </w:rPr>
        <w:t xml:space="preserve"> entamé</w:t>
      </w:r>
      <w:r w:rsidR="00312D63" w:rsidRPr="00FB5D79">
        <w:rPr>
          <w:rFonts w:eastAsia="Times New Roman"/>
          <w:szCs w:val="22"/>
          <w:lang w:eastAsia="en-US"/>
        </w:rPr>
        <w:t>e</w:t>
      </w:r>
      <w:r w:rsidR="00B113D7" w:rsidRPr="00FB5D79">
        <w:rPr>
          <w:rFonts w:eastAsia="Times New Roman"/>
          <w:szCs w:val="22"/>
          <w:lang w:eastAsia="en-US"/>
        </w:rPr>
        <w:t xml:space="preserve">s </w:t>
      </w:r>
      <w:r w:rsidR="00355C32" w:rsidRPr="00FB5D79">
        <w:t>en </w:t>
      </w:r>
      <w:r w:rsidR="00283300" w:rsidRPr="00FB5D79">
        <w:t>2010</w:t>
      </w:r>
      <w:r w:rsidR="00611031" w:rsidRPr="00FB5D79">
        <w:t xml:space="preserve">.  </w:t>
      </w:r>
      <w:r w:rsidR="00283300" w:rsidRPr="00FB5D79">
        <w:t>Comme indiqué dans la proposition de projet (CDIP/14/7, reproduite à l</w:t>
      </w:r>
      <w:r w:rsidR="00646944" w:rsidRPr="00FB5D79">
        <w:t>’</w:t>
      </w:r>
      <w:r w:rsidR="00DA2E4E" w:rsidRPr="00FB5D79">
        <w:t>annexe </w:t>
      </w:r>
      <w:r w:rsidR="00283300" w:rsidRPr="00FB5D79">
        <w:t xml:space="preserve">1), </w:t>
      </w:r>
      <w:r w:rsidR="000910FD" w:rsidRPr="00FB5D79">
        <w:t xml:space="preserve">la mise en œuvre </w:t>
      </w:r>
      <w:r w:rsidR="009B0231" w:rsidRPr="00FB5D79">
        <w:t>du projet repose sur deux</w:t>
      </w:r>
      <w:r w:rsidR="000E4777" w:rsidRPr="00FB5D79">
        <w:t> </w:t>
      </w:r>
      <w:r w:rsidR="009B0231" w:rsidRPr="00FB5D79">
        <w:t>piliers</w:t>
      </w:r>
      <w:r w:rsidR="00965F3A">
        <w:t> :</w:t>
      </w:r>
      <w:r w:rsidR="00283300" w:rsidRPr="00FB5D79">
        <w:t xml:space="preserve"> i)</w:t>
      </w:r>
      <w:r w:rsidR="000E4777" w:rsidRPr="00FB5D79">
        <w:t> </w:t>
      </w:r>
      <w:r w:rsidR="00D65F85" w:rsidRPr="00FB5D79">
        <w:rPr>
          <w:iCs/>
        </w:rPr>
        <w:t>promouvoir la continuité des recherches entamées au cours de la phase I</w:t>
      </w:r>
      <w:r w:rsidR="00283300" w:rsidRPr="00FB5D79">
        <w:t xml:space="preserve">, </w:t>
      </w:r>
      <w:r w:rsidR="00D65F85" w:rsidRPr="00FB5D79">
        <w:t xml:space="preserve">en soutenant les </w:t>
      </w:r>
      <w:r w:rsidR="00A76834" w:rsidRPr="00FB5D79">
        <w:t>études</w:t>
      </w:r>
      <w:r w:rsidR="00D65F85" w:rsidRPr="00FB5D79">
        <w:t xml:space="preserve"> s</w:t>
      </w:r>
      <w:r w:rsidR="00646944" w:rsidRPr="00FB5D79">
        <w:t>’</w:t>
      </w:r>
      <w:r w:rsidR="00D65F85" w:rsidRPr="00FB5D79">
        <w:t xml:space="preserve">appuyant sur les ensembles de </w:t>
      </w:r>
      <w:r w:rsidR="000A6C3F" w:rsidRPr="00FB5D79">
        <w:t>données microéconomiques</w:t>
      </w:r>
      <w:r w:rsidR="00D65F85" w:rsidRPr="00FB5D79">
        <w:t xml:space="preserve"> obtenues à l</w:t>
      </w:r>
      <w:r w:rsidR="00646944" w:rsidRPr="00FB5D79">
        <w:t>’</w:t>
      </w:r>
      <w:r w:rsidR="00D65F85" w:rsidRPr="00FB5D79">
        <w:t>issue de la phase </w:t>
      </w:r>
      <w:proofErr w:type="gramStart"/>
      <w:r w:rsidR="00D65F85" w:rsidRPr="00FB5D79">
        <w:t>I</w:t>
      </w:r>
      <w:r w:rsidR="00186E50" w:rsidRPr="00FB5D79">
        <w:t>;</w:t>
      </w:r>
      <w:r w:rsidR="00DA2E4E" w:rsidRPr="00FB5D79">
        <w:t xml:space="preserve"> </w:t>
      </w:r>
      <w:r w:rsidR="000E4777" w:rsidRPr="00FB5D79">
        <w:t xml:space="preserve"> </w:t>
      </w:r>
      <w:r w:rsidR="00283300" w:rsidRPr="00FB5D79">
        <w:t>II</w:t>
      </w:r>
      <w:proofErr w:type="gramEnd"/>
      <w:r w:rsidR="00283300" w:rsidRPr="00FB5D79">
        <w:t xml:space="preserve">) </w:t>
      </w:r>
      <w:r w:rsidR="00D65F85" w:rsidRPr="00FB5D79">
        <w:rPr>
          <w:iCs/>
        </w:rPr>
        <w:t>étendre l</w:t>
      </w:r>
      <w:r w:rsidR="00646944" w:rsidRPr="00FB5D79">
        <w:rPr>
          <w:iCs/>
        </w:rPr>
        <w:t>’</w:t>
      </w:r>
      <w:r w:rsidR="00D65F85" w:rsidRPr="00FB5D79">
        <w:rPr>
          <w:iCs/>
        </w:rPr>
        <w:t>étude à de nouveaux pays et régions, dont au moins un PMA, et à des sujets non traités au cours de la phase I</w:t>
      </w:r>
      <w:r w:rsidR="00283300" w:rsidRPr="00FB5D79">
        <w:t>.</w:t>
      </w:r>
    </w:p>
    <w:p w14:paraId="5E7D53CF" w14:textId="77777777" w:rsidR="00283300" w:rsidRPr="00FB5D79" w:rsidRDefault="00283300" w:rsidP="00283300">
      <w:pPr>
        <w:jc w:val="both"/>
      </w:pPr>
    </w:p>
    <w:p w14:paraId="79854FF3" w14:textId="196540A8" w:rsidR="00646944" w:rsidRPr="00FB5D79" w:rsidRDefault="00283300" w:rsidP="00283300">
      <w:pPr>
        <w:jc w:val="both"/>
      </w:pPr>
      <w:r w:rsidRPr="00FB5D79">
        <w:t>Le projet a été mené par des équipes de recherche sous la direction du Bureau de l</w:t>
      </w:r>
      <w:r w:rsidR="00646944" w:rsidRPr="00FB5D79">
        <w:t>’</w:t>
      </w:r>
      <w:r w:rsidRPr="00FB5D79">
        <w:t>économiste en chef de l</w:t>
      </w:r>
      <w:r w:rsidR="00646944" w:rsidRPr="00FB5D79">
        <w:t>’</w:t>
      </w:r>
      <w:r w:rsidRPr="00FB5D79">
        <w:t xml:space="preserve">OMPI, </w:t>
      </w:r>
      <w:r w:rsidR="00AE4303" w:rsidRPr="00FB5D79">
        <w:t>composé d</w:t>
      </w:r>
      <w:r w:rsidR="00646944" w:rsidRPr="00FB5D79">
        <w:t>’</w:t>
      </w:r>
      <w:r w:rsidRPr="00FB5D79">
        <w:t xml:space="preserve">experts et </w:t>
      </w:r>
      <w:r w:rsidR="00AE4303" w:rsidRPr="00FB5D79">
        <w:t xml:space="preserve">de </w:t>
      </w:r>
      <w:r w:rsidRPr="00FB5D79">
        <w:t xml:space="preserve">chercheurs </w:t>
      </w:r>
      <w:r w:rsidR="00AE4303" w:rsidRPr="00FB5D79">
        <w:t>étrangers</w:t>
      </w:r>
      <w:r w:rsidRPr="00FB5D79">
        <w:t xml:space="preserve"> et loca</w:t>
      </w:r>
      <w:r w:rsidR="00172764" w:rsidRPr="00FB5D79">
        <w:t>ux.  Le</w:t>
      </w:r>
      <w:r w:rsidRPr="00FB5D79">
        <w:t xml:space="preserve"> projet s</w:t>
      </w:r>
      <w:r w:rsidR="00646944" w:rsidRPr="00FB5D79">
        <w:t>’</w:t>
      </w:r>
      <w:r w:rsidRPr="00FB5D79">
        <w:t>adress</w:t>
      </w:r>
      <w:r w:rsidR="00AE4303" w:rsidRPr="00FB5D79">
        <w:t>e</w:t>
      </w:r>
      <w:r w:rsidRPr="00FB5D79">
        <w:t xml:space="preserve"> </w:t>
      </w:r>
      <w:r w:rsidR="00AE4303" w:rsidRPr="00FB5D79">
        <w:t>essentiellement</w:t>
      </w:r>
      <w:r w:rsidRPr="00FB5D79">
        <w:t xml:space="preserve"> aux </w:t>
      </w:r>
      <w:r w:rsidR="00C65870" w:rsidRPr="00FB5D79">
        <w:t>dirigeants</w:t>
      </w:r>
      <w:r w:rsidRPr="00FB5D79">
        <w:t xml:space="preserve"> </w:t>
      </w:r>
      <w:r w:rsidR="00532A3E" w:rsidRPr="00FB5D79">
        <w:t>du secteur public</w:t>
      </w:r>
      <w:r w:rsidRPr="00FB5D79">
        <w:t xml:space="preserve"> et à leurs conseille</w:t>
      </w:r>
      <w:r w:rsidR="00172764" w:rsidRPr="00FB5D79">
        <w:t>rs.  En</w:t>
      </w:r>
      <w:r w:rsidRPr="00FB5D79">
        <w:t xml:space="preserve"> outre, </w:t>
      </w:r>
      <w:r w:rsidR="00AE4303" w:rsidRPr="00FB5D79">
        <w:t xml:space="preserve">ce projet profite également à </w:t>
      </w:r>
      <w:r w:rsidRPr="00FB5D79">
        <w:t xml:space="preserve">des organisations non gouvernementales, </w:t>
      </w:r>
      <w:r w:rsidR="00AE4303" w:rsidRPr="00FB5D79">
        <w:t xml:space="preserve">à </w:t>
      </w:r>
      <w:r w:rsidRPr="00FB5D79">
        <w:t xml:space="preserve">des universitaires </w:t>
      </w:r>
      <w:r w:rsidR="00AE4303" w:rsidRPr="00FB5D79">
        <w:t>et au</w:t>
      </w:r>
      <w:r w:rsidRPr="00FB5D79">
        <w:t xml:space="preserve"> grand public</w:t>
      </w:r>
      <w:r w:rsidR="00611031" w:rsidRPr="00FB5D79">
        <w:t>.</w:t>
      </w:r>
    </w:p>
    <w:p w14:paraId="23074550" w14:textId="31A09BCA" w:rsidR="00283300" w:rsidRPr="00FB5D79" w:rsidRDefault="00283300" w:rsidP="00283300">
      <w:pPr>
        <w:jc w:val="both"/>
      </w:pPr>
    </w:p>
    <w:p w14:paraId="11EEFED8" w14:textId="6A681BA0" w:rsidR="00283300" w:rsidRPr="00FB5D79" w:rsidRDefault="000910FD" w:rsidP="00283300">
      <w:pPr>
        <w:jc w:val="both"/>
      </w:pPr>
      <w:r w:rsidRPr="00FB5D79">
        <w:t>La mise en œuvre du</w:t>
      </w:r>
      <w:r w:rsidR="00283300" w:rsidRPr="00FB5D79">
        <w:t xml:space="preserve"> projet a débuté le</w:t>
      </w:r>
      <w:r w:rsidR="00646944" w:rsidRPr="00FB5D79">
        <w:t xml:space="preserve"> 1</w:t>
      </w:r>
      <w:r w:rsidR="00646944" w:rsidRPr="00FB5D79">
        <w:rPr>
          <w:vertAlign w:val="superscript"/>
        </w:rPr>
        <w:t>er</w:t>
      </w:r>
      <w:r w:rsidR="00646944" w:rsidRPr="00FB5D79">
        <w:t> </w:t>
      </w:r>
      <w:r w:rsidR="004E1438" w:rsidRPr="00FB5D79">
        <w:t>janvier </w:t>
      </w:r>
      <w:r w:rsidR="00283300" w:rsidRPr="00FB5D79">
        <w:t>2015 et s</w:t>
      </w:r>
      <w:r w:rsidR="00646944" w:rsidRPr="00FB5D79">
        <w:t>’</w:t>
      </w:r>
      <w:r w:rsidR="004E1438" w:rsidRPr="00FB5D79">
        <w:t>est achevée en juin 2018 (durée de 42 </w:t>
      </w:r>
      <w:r w:rsidR="00283300" w:rsidRPr="00FB5D79">
        <w:t>moi</w:t>
      </w:r>
      <w:r w:rsidR="00AE4303" w:rsidRPr="00FB5D79">
        <w:t>s, dont une prorogation de six </w:t>
      </w:r>
      <w:r w:rsidR="00283300" w:rsidRPr="00FB5D79">
        <w:t xml:space="preserve">mois approuvée à la </w:t>
      </w:r>
      <w:r w:rsidR="00606922" w:rsidRPr="00FB5D79">
        <w:t>vingt</w:t>
      </w:r>
      <w:r w:rsidR="00965F3A">
        <w:t>ième session</w:t>
      </w:r>
      <w:r w:rsidR="00646944" w:rsidRPr="00FB5D79">
        <w:t xml:space="preserve"> du CDI</w:t>
      </w:r>
      <w:r w:rsidR="00191196" w:rsidRPr="00FB5D79">
        <w:t>P)</w:t>
      </w:r>
      <w:r w:rsidR="005D32B1" w:rsidRPr="00FB5D79">
        <w:rPr>
          <w:vertAlign w:val="superscript"/>
        </w:rPr>
        <w:footnoteReference w:id="5"/>
      </w:r>
      <w:r w:rsidR="00191196" w:rsidRPr="00FB5D79">
        <w:t xml:space="preserve">. </w:t>
      </w:r>
      <w:r w:rsidR="005D32B1" w:rsidRPr="00FB5D79">
        <w:t xml:space="preserve"> </w:t>
      </w:r>
      <w:r w:rsidR="00283300" w:rsidRPr="00FB5D79">
        <w:t xml:space="preserve">Au moment de la rédaction du présent rapport, il était prévu que certaines activités et certains rapports </w:t>
      </w:r>
      <w:r w:rsidR="00505428" w:rsidRPr="00FB5D79">
        <w:t>définitifs</w:t>
      </w:r>
      <w:r w:rsidR="00283300" w:rsidRPr="00FB5D79">
        <w:t xml:space="preserve"> soient achevés et </w:t>
      </w:r>
      <w:r w:rsidR="00505428" w:rsidRPr="00FB5D79">
        <w:t>soient communiqués</w:t>
      </w:r>
      <w:r w:rsidR="00283300" w:rsidRPr="00FB5D79">
        <w:t xml:space="preserve"> à la </w:t>
      </w:r>
      <w:r w:rsidR="00AE4303" w:rsidRPr="00FB5D79">
        <w:t>vingt</w:t>
      </w:r>
      <w:r w:rsidR="00965F3A">
        <w:t>-</w:t>
      </w:r>
      <w:r w:rsidR="00AE4303" w:rsidRPr="00FB5D79">
        <w:t>deux</w:t>
      </w:r>
      <w:r w:rsidR="00965F3A">
        <w:t>ième session</w:t>
      </w:r>
      <w:r w:rsidR="00646944" w:rsidRPr="00FB5D79">
        <w:t xml:space="preserve"> du CDI</w:t>
      </w:r>
      <w:r w:rsidR="00283300" w:rsidRPr="00FB5D79">
        <w:t>P</w:t>
      </w:r>
      <w:r w:rsidR="00AE4303" w:rsidRPr="00FB5D79">
        <w:t>.</w:t>
      </w:r>
    </w:p>
    <w:p w14:paraId="18B352A1" w14:textId="77777777" w:rsidR="00283300" w:rsidRPr="00FB5D79" w:rsidRDefault="00283300" w:rsidP="00283300">
      <w:pPr>
        <w:jc w:val="both"/>
      </w:pPr>
    </w:p>
    <w:p w14:paraId="146010CE" w14:textId="0434AA20" w:rsidR="00646944" w:rsidRPr="00FB5D79" w:rsidRDefault="00283300" w:rsidP="00283300">
      <w:pPr>
        <w:jc w:val="both"/>
        <w:rPr>
          <w:iCs/>
        </w:rPr>
      </w:pPr>
      <w:r w:rsidRPr="00FB5D79">
        <w:t>Le budget total du projet s</w:t>
      </w:r>
      <w:r w:rsidR="00646944" w:rsidRPr="00FB5D79">
        <w:t>’</w:t>
      </w:r>
      <w:r w:rsidR="00505428" w:rsidRPr="00FB5D79">
        <w:t>élève</w:t>
      </w:r>
      <w:r w:rsidRPr="00FB5D79">
        <w:t xml:space="preserve"> à 801</w:t>
      </w:r>
      <w:r w:rsidR="00606922" w:rsidRPr="00FB5D79">
        <w:t> 000 </w:t>
      </w:r>
      <w:r w:rsidRPr="00FB5D79">
        <w:t>francs suisses, dont 61</w:t>
      </w:r>
      <w:r w:rsidR="00606922" w:rsidRPr="00FB5D79">
        <w:t>%</w:t>
      </w:r>
      <w:r w:rsidRPr="00FB5D79">
        <w:t xml:space="preserve"> </w:t>
      </w:r>
      <w:r w:rsidR="00B31FD0" w:rsidRPr="00FB5D79">
        <w:t>représentent des</w:t>
      </w:r>
      <w:r w:rsidRPr="00FB5D79">
        <w:t xml:space="preserve"> dépenses </w:t>
      </w:r>
      <w:r w:rsidR="00B31FD0" w:rsidRPr="00FB5D79">
        <w:t>autres que les dépenses de</w:t>
      </w:r>
      <w:r w:rsidRPr="00FB5D79">
        <w:t xml:space="preserve"> personnel et 39</w:t>
      </w:r>
      <w:r w:rsidR="00606922" w:rsidRPr="00FB5D79">
        <w:t>%</w:t>
      </w:r>
      <w:r w:rsidRPr="00FB5D79">
        <w:t xml:space="preserve"> </w:t>
      </w:r>
      <w:r w:rsidR="00B31FD0" w:rsidRPr="00FB5D79">
        <w:t>des</w:t>
      </w:r>
      <w:r w:rsidRPr="00FB5D79">
        <w:t xml:space="preserve"> dépenses de personnel</w:t>
      </w:r>
      <w:r w:rsidR="005D32B1" w:rsidRPr="00FB5D79">
        <w:rPr>
          <w:iCs/>
          <w:vertAlign w:val="superscript"/>
        </w:rPr>
        <w:footnoteReference w:id="6"/>
      </w:r>
      <w:r w:rsidR="00191196" w:rsidRPr="00FB5D79">
        <w:rPr>
          <w:iCs/>
        </w:rPr>
        <w:t>.</w:t>
      </w:r>
      <w:r w:rsidR="005D32B1" w:rsidRPr="00FB5D79">
        <w:rPr>
          <w:iCs/>
        </w:rPr>
        <w:t xml:space="preserve">  </w:t>
      </w:r>
      <w:r w:rsidRPr="00FB5D79">
        <w:rPr>
          <w:iCs/>
        </w:rPr>
        <w:t>En juillet</w:t>
      </w:r>
      <w:r w:rsidR="004E1438" w:rsidRPr="00FB5D79">
        <w:rPr>
          <w:iCs/>
        </w:rPr>
        <w:t> </w:t>
      </w:r>
      <w:r w:rsidRPr="00FB5D79">
        <w:rPr>
          <w:iCs/>
        </w:rPr>
        <w:t>2015 et décembre</w:t>
      </w:r>
      <w:r w:rsidR="004E1438" w:rsidRPr="00FB5D79">
        <w:rPr>
          <w:iCs/>
        </w:rPr>
        <w:t> </w:t>
      </w:r>
      <w:r w:rsidRPr="00FB5D79">
        <w:rPr>
          <w:iCs/>
        </w:rPr>
        <w:t>2016, les taux d</w:t>
      </w:r>
      <w:r w:rsidR="00646944" w:rsidRPr="00FB5D79">
        <w:rPr>
          <w:iCs/>
        </w:rPr>
        <w:t>’</w:t>
      </w:r>
      <w:r w:rsidRPr="00FB5D79">
        <w:rPr>
          <w:iCs/>
        </w:rPr>
        <w:t>utilisation du budget du projet étaient respectivement de 6</w:t>
      </w:r>
      <w:r w:rsidR="00606922" w:rsidRPr="00FB5D79">
        <w:rPr>
          <w:iCs/>
        </w:rPr>
        <w:t>%</w:t>
      </w:r>
      <w:r w:rsidRPr="00FB5D79">
        <w:rPr>
          <w:iCs/>
        </w:rPr>
        <w:t xml:space="preserve"> et 25</w:t>
      </w:r>
      <w:r w:rsidR="00606922" w:rsidRPr="00FB5D79">
        <w:rPr>
          <w:iCs/>
        </w:rPr>
        <w:t>%</w:t>
      </w:r>
      <w:r w:rsidR="00611031" w:rsidRPr="00FB5D79">
        <w:rPr>
          <w:iCs/>
        </w:rPr>
        <w:t xml:space="preserve">.  </w:t>
      </w:r>
      <w:r w:rsidR="00B05864" w:rsidRPr="00FB5D79">
        <w:rPr>
          <w:iCs/>
        </w:rPr>
        <w:t xml:space="preserve">À </w:t>
      </w:r>
      <w:r w:rsidR="004E1438" w:rsidRPr="00FB5D79">
        <w:rPr>
          <w:iCs/>
        </w:rPr>
        <w:t>la mi</w:t>
      </w:r>
      <w:r w:rsidR="00965F3A">
        <w:rPr>
          <w:iCs/>
        </w:rPr>
        <w:t>-</w:t>
      </w:r>
      <w:r w:rsidR="004E1438" w:rsidRPr="00FB5D79">
        <w:rPr>
          <w:iCs/>
        </w:rPr>
        <w:t>septembre </w:t>
      </w:r>
      <w:r w:rsidRPr="00FB5D79">
        <w:rPr>
          <w:iCs/>
        </w:rPr>
        <w:t>2017, l</w:t>
      </w:r>
      <w:r w:rsidR="00B31FD0" w:rsidRPr="00FB5D79">
        <w:rPr>
          <w:iCs/>
        </w:rPr>
        <w:t>e p</w:t>
      </w:r>
      <w:r w:rsidRPr="00FB5D79">
        <w:rPr>
          <w:iCs/>
        </w:rPr>
        <w:t xml:space="preserve">rojet avait utilisé 70% de son </w:t>
      </w:r>
      <w:r w:rsidR="00B31FD0" w:rsidRPr="00FB5D79">
        <w:rPr>
          <w:iCs/>
        </w:rPr>
        <w:t>budg</w:t>
      </w:r>
      <w:r w:rsidR="00172764" w:rsidRPr="00FB5D79">
        <w:rPr>
          <w:iCs/>
        </w:rPr>
        <w:t>et.  En</w:t>
      </w:r>
      <w:r w:rsidR="004E1438" w:rsidRPr="00FB5D79">
        <w:rPr>
          <w:iCs/>
        </w:rPr>
        <w:t xml:space="preserve"> juin </w:t>
      </w:r>
      <w:r w:rsidRPr="00FB5D79">
        <w:rPr>
          <w:iCs/>
        </w:rPr>
        <w:t>2018, le taux d</w:t>
      </w:r>
      <w:r w:rsidR="00646944" w:rsidRPr="00FB5D79">
        <w:rPr>
          <w:iCs/>
        </w:rPr>
        <w:t>’</w:t>
      </w:r>
      <w:r w:rsidRPr="00FB5D79">
        <w:rPr>
          <w:iCs/>
        </w:rPr>
        <w:t>utilisation du budget avoisinait 91</w:t>
      </w:r>
      <w:r w:rsidR="00606922" w:rsidRPr="00FB5D79">
        <w:rPr>
          <w:iCs/>
        </w:rPr>
        <w:t>%</w:t>
      </w:r>
      <w:r w:rsidRPr="00FB5D79">
        <w:rPr>
          <w:iCs/>
        </w:rPr>
        <w:t xml:space="preserve"> si l</w:t>
      </w:r>
      <w:r w:rsidR="00646944" w:rsidRPr="00FB5D79">
        <w:rPr>
          <w:iCs/>
        </w:rPr>
        <w:t>’</w:t>
      </w:r>
      <w:r w:rsidRPr="00FB5D79">
        <w:rPr>
          <w:iCs/>
        </w:rPr>
        <w:t xml:space="preserve">on considère les arriérés de paiement, </w:t>
      </w:r>
      <w:r w:rsidR="00965F3A">
        <w:rPr>
          <w:iCs/>
        </w:rPr>
        <w:t>à savoir</w:t>
      </w:r>
      <w:r w:rsidRPr="00FB5D79">
        <w:rPr>
          <w:iCs/>
        </w:rPr>
        <w:t xml:space="preserve"> les </w:t>
      </w:r>
      <w:r w:rsidR="0081185B" w:rsidRPr="00FB5D79">
        <w:rPr>
          <w:iCs/>
        </w:rPr>
        <w:t>contrats de</w:t>
      </w:r>
      <w:r w:rsidRPr="00FB5D79">
        <w:rPr>
          <w:iCs/>
        </w:rPr>
        <w:t xml:space="preserve"> services fournis dans le cadre de </w:t>
      </w:r>
      <w:r w:rsidR="000910FD" w:rsidRPr="00FB5D79">
        <w:rPr>
          <w:iCs/>
        </w:rPr>
        <w:t xml:space="preserve">la mise en œuvre </w:t>
      </w:r>
      <w:r w:rsidRPr="00FB5D79">
        <w:rPr>
          <w:iCs/>
        </w:rPr>
        <w:t>des activités</w:t>
      </w:r>
      <w:r w:rsidR="00611031" w:rsidRPr="00FB5D79">
        <w:rPr>
          <w:iCs/>
        </w:rPr>
        <w:t>.</w:t>
      </w:r>
    </w:p>
    <w:p w14:paraId="0CF04592" w14:textId="0A5906A1" w:rsidR="00283300" w:rsidRPr="00FB5D79" w:rsidRDefault="00283300" w:rsidP="00283300">
      <w:pPr>
        <w:jc w:val="both"/>
        <w:rPr>
          <w:iCs/>
        </w:rPr>
      </w:pPr>
    </w:p>
    <w:p w14:paraId="0D2DE269" w14:textId="77777777" w:rsidR="004E1438" w:rsidRPr="00FB5D79" w:rsidRDefault="004E1438">
      <w:pPr>
        <w:rPr>
          <w:iCs/>
        </w:rPr>
      </w:pPr>
      <w:r w:rsidRPr="00FB5D79">
        <w:rPr>
          <w:iCs/>
        </w:rPr>
        <w:br w:type="page"/>
      </w:r>
    </w:p>
    <w:p w14:paraId="7E314891" w14:textId="4AD77B56" w:rsidR="005D32B1" w:rsidRPr="00FB5D79" w:rsidRDefault="00606922" w:rsidP="00283300">
      <w:pPr>
        <w:jc w:val="both"/>
      </w:pPr>
      <w:r w:rsidRPr="00FB5D79">
        <w:rPr>
          <w:iCs/>
        </w:rPr>
        <w:lastRenderedPageBreak/>
        <w:t>Au total, sept </w:t>
      </w:r>
      <w:r w:rsidR="00283300" w:rsidRPr="00FB5D79">
        <w:rPr>
          <w:iCs/>
        </w:rPr>
        <w:t xml:space="preserve">grands </w:t>
      </w:r>
      <w:r w:rsidR="008514AA" w:rsidRPr="00FB5D79">
        <w:rPr>
          <w:iCs/>
        </w:rPr>
        <w:t xml:space="preserve">travaux de recherche </w:t>
      </w:r>
      <w:r w:rsidR="00283300" w:rsidRPr="00FB5D79">
        <w:rPr>
          <w:iCs/>
        </w:rPr>
        <w:t xml:space="preserve">ont été </w:t>
      </w:r>
      <w:r w:rsidR="00F83742" w:rsidRPr="00FB5D79">
        <w:rPr>
          <w:iCs/>
        </w:rPr>
        <w:t>menés</w:t>
      </w:r>
      <w:r w:rsidR="00283300" w:rsidRPr="00FB5D79">
        <w:rPr>
          <w:iCs/>
        </w:rPr>
        <w:t xml:space="preserve"> dans le cadre de </w:t>
      </w:r>
      <w:r w:rsidR="000910FD" w:rsidRPr="00FB5D79">
        <w:rPr>
          <w:iCs/>
        </w:rPr>
        <w:t xml:space="preserve">la mise en œuvre </w:t>
      </w:r>
      <w:r w:rsidR="00191196" w:rsidRPr="00FB5D79">
        <w:rPr>
          <w:iCs/>
        </w:rPr>
        <w:t>de la phase</w:t>
      </w:r>
      <w:r w:rsidRPr="00FB5D79">
        <w:rPr>
          <w:iCs/>
        </w:rPr>
        <w:t> </w:t>
      </w:r>
      <w:r w:rsidR="00191196" w:rsidRPr="00FB5D79">
        <w:rPr>
          <w:iCs/>
        </w:rPr>
        <w:t>II</w:t>
      </w:r>
      <w:r w:rsidR="005D32B1" w:rsidRPr="00FB5D79">
        <w:rPr>
          <w:iCs/>
          <w:vertAlign w:val="superscript"/>
        </w:rPr>
        <w:footnoteReference w:id="7"/>
      </w:r>
      <w:r w:rsidR="00965F3A">
        <w:rPr>
          <w:iCs/>
        </w:rPr>
        <w:t> :</w:t>
      </w:r>
    </w:p>
    <w:p w14:paraId="4B685929" w14:textId="62CC9AEE" w:rsidR="00646944" w:rsidRPr="00FB5D79" w:rsidRDefault="00283300" w:rsidP="009E34C1">
      <w:pPr>
        <w:numPr>
          <w:ilvl w:val="0"/>
          <w:numId w:val="11"/>
        </w:numPr>
        <w:ind w:left="1134" w:hanging="567"/>
        <w:jc w:val="both"/>
      </w:pPr>
      <w:r w:rsidRPr="00FB5D79">
        <w:t>Amérique centrale et République dominicaine</w:t>
      </w:r>
      <w:r w:rsidR="00965F3A">
        <w:t> :</w:t>
      </w:r>
      <w:r w:rsidRPr="00FB5D79">
        <w:t xml:space="preserve"> Évaluation de l</w:t>
      </w:r>
      <w:r w:rsidR="00646944" w:rsidRPr="00FB5D79">
        <w:t>’</w:t>
      </w:r>
      <w:r w:rsidRPr="00FB5D79">
        <w:t xml:space="preserve">utilisation de la propriété intellectuelle dans </w:t>
      </w:r>
      <w:r w:rsidR="00F83742" w:rsidRPr="00FB5D79">
        <w:t xml:space="preserve">le cadre de </w:t>
      </w:r>
      <w:r w:rsidRPr="00FB5D79">
        <w:t>l</w:t>
      </w:r>
      <w:r w:rsidR="00646944" w:rsidRPr="00FB5D79">
        <w:t>’</w:t>
      </w:r>
      <w:r w:rsidRPr="00FB5D79">
        <w:t>intégration économique régionale des pays d</w:t>
      </w:r>
      <w:r w:rsidR="00646944" w:rsidRPr="00FB5D79">
        <w:t>’</w:t>
      </w:r>
      <w:r w:rsidRPr="00FB5D79">
        <w:t>Amérique centrale et de la République dominicaine</w:t>
      </w:r>
      <w:r w:rsidR="00611031" w:rsidRPr="00FB5D79">
        <w:t>.</w:t>
      </w:r>
    </w:p>
    <w:p w14:paraId="2FE88544" w14:textId="3787440C" w:rsidR="00283300" w:rsidRPr="00FB5D79" w:rsidRDefault="00283300" w:rsidP="009E34C1">
      <w:pPr>
        <w:numPr>
          <w:ilvl w:val="0"/>
          <w:numId w:val="11"/>
        </w:numPr>
        <w:ind w:left="1134" w:hanging="567"/>
        <w:jc w:val="both"/>
      </w:pPr>
      <w:r w:rsidRPr="00FB5D79">
        <w:t>Colombie</w:t>
      </w:r>
      <w:r w:rsidR="00965F3A">
        <w:t> :</w:t>
      </w:r>
      <w:r w:rsidRPr="00FB5D79">
        <w:t xml:space="preserve"> Étude sur l</w:t>
      </w:r>
      <w:r w:rsidR="00646944" w:rsidRPr="00FB5D79">
        <w:t>’</w:t>
      </w:r>
      <w:r w:rsidRPr="00FB5D79">
        <w:t xml:space="preserve">utilisation de la </w:t>
      </w:r>
      <w:r w:rsidR="00606922" w:rsidRPr="00FB5D79">
        <w:t>propriété intellectuelle</w:t>
      </w:r>
      <w:r w:rsidRPr="00FB5D79">
        <w:t>.</w:t>
      </w:r>
    </w:p>
    <w:p w14:paraId="064D5780" w14:textId="4EBB04F7" w:rsidR="00283300" w:rsidRPr="00FB5D79" w:rsidRDefault="00283300" w:rsidP="009E34C1">
      <w:pPr>
        <w:numPr>
          <w:ilvl w:val="0"/>
          <w:numId w:val="11"/>
        </w:numPr>
        <w:ind w:left="1134" w:hanging="567"/>
        <w:jc w:val="both"/>
      </w:pPr>
      <w:r w:rsidRPr="00FB5D79">
        <w:t>Chili</w:t>
      </w:r>
      <w:r w:rsidR="00965F3A">
        <w:t> :</w:t>
      </w:r>
      <w:r w:rsidR="00316C8D" w:rsidRPr="00FB5D79">
        <w:t xml:space="preserve"> L</w:t>
      </w:r>
      <w:r w:rsidR="00646944" w:rsidRPr="00FB5D79">
        <w:t>’</w:t>
      </w:r>
      <w:r w:rsidR="00316C8D" w:rsidRPr="00FB5D79">
        <w:t>u</w:t>
      </w:r>
      <w:r w:rsidRPr="00FB5D79">
        <w:t xml:space="preserve">tilisation de la </w:t>
      </w:r>
      <w:r w:rsidR="00316C8D" w:rsidRPr="00FB5D79">
        <w:rPr>
          <w:bCs/>
        </w:rPr>
        <w:t xml:space="preserve">propriété intellectuelle </w:t>
      </w:r>
      <w:r w:rsidRPr="00FB5D79">
        <w:t>dans les pays à revenu intermédiaire</w:t>
      </w:r>
      <w:r w:rsidR="001D0453" w:rsidRPr="00FB5D79">
        <w:t>.</w:t>
      </w:r>
    </w:p>
    <w:p w14:paraId="60227C26" w14:textId="4F1852C0" w:rsidR="00283300" w:rsidRPr="00FB5D79" w:rsidRDefault="00283300" w:rsidP="009E34C1">
      <w:pPr>
        <w:numPr>
          <w:ilvl w:val="0"/>
          <w:numId w:val="11"/>
        </w:numPr>
        <w:ind w:left="1134" w:hanging="567"/>
        <w:jc w:val="both"/>
      </w:pPr>
      <w:r w:rsidRPr="00FB5D79">
        <w:t>Ouganda</w:t>
      </w:r>
      <w:r w:rsidR="00965F3A">
        <w:t> :</w:t>
      </w:r>
      <w:r w:rsidRPr="00FB5D79">
        <w:t xml:space="preserve"> </w:t>
      </w:r>
      <w:r w:rsidR="00671D7A" w:rsidRPr="00FB5D79">
        <w:t xml:space="preserve">Promotion de </w:t>
      </w:r>
      <w:r w:rsidRPr="00FB5D79">
        <w:t>l</w:t>
      </w:r>
      <w:r w:rsidR="00646944" w:rsidRPr="00FB5D79">
        <w:t>’</w:t>
      </w:r>
      <w:r w:rsidRPr="00FB5D79">
        <w:t>innovation dans le secteur agroalimentaire ougandais</w:t>
      </w:r>
      <w:r w:rsidR="00965F3A">
        <w:t> :</w:t>
      </w:r>
      <w:r w:rsidR="00316C8D" w:rsidRPr="00FB5D79">
        <w:t xml:space="preserve"> </w:t>
      </w:r>
      <w:r w:rsidR="00C7220C" w:rsidRPr="00FB5D79">
        <w:t>plants de café robusta et transformation des fruits tropicaux</w:t>
      </w:r>
      <w:r w:rsidR="001D0453" w:rsidRPr="00FB5D79">
        <w:t>.</w:t>
      </w:r>
    </w:p>
    <w:p w14:paraId="1DBC2AFF" w14:textId="653383DE" w:rsidR="005D32B1" w:rsidRPr="00FB5D79" w:rsidRDefault="00283300" w:rsidP="009E34C1">
      <w:pPr>
        <w:numPr>
          <w:ilvl w:val="0"/>
          <w:numId w:val="11"/>
        </w:numPr>
        <w:ind w:left="1134" w:hanging="567"/>
        <w:jc w:val="both"/>
      </w:pPr>
      <w:r w:rsidRPr="00FB5D79">
        <w:t>Brésil et Chili</w:t>
      </w:r>
      <w:r w:rsidR="00965F3A">
        <w:t> :</w:t>
      </w:r>
      <w:r w:rsidRPr="00FB5D79">
        <w:t xml:space="preserve"> Le rôle de la </w:t>
      </w:r>
      <w:r w:rsidR="00316C8D" w:rsidRPr="00FB5D79">
        <w:rPr>
          <w:bCs/>
        </w:rPr>
        <w:t xml:space="preserve">propriété intellectuelle </w:t>
      </w:r>
      <w:r w:rsidRPr="00FB5D79">
        <w:t>dans le secteur minier</w:t>
      </w:r>
      <w:r w:rsidR="001D0453" w:rsidRPr="00FB5D79">
        <w:t>.</w:t>
      </w:r>
    </w:p>
    <w:p w14:paraId="5731C71A" w14:textId="114EA21D" w:rsidR="0003424E" w:rsidRPr="00FB5D79" w:rsidRDefault="005D32B1" w:rsidP="009E34C1">
      <w:pPr>
        <w:numPr>
          <w:ilvl w:val="0"/>
          <w:numId w:val="11"/>
        </w:numPr>
        <w:ind w:left="1134" w:hanging="567"/>
        <w:jc w:val="both"/>
        <w:rPr>
          <w:bCs/>
        </w:rPr>
      </w:pPr>
      <w:r w:rsidRPr="00FB5D79">
        <w:t>ASEAN</w:t>
      </w:r>
      <w:r w:rsidR="00965F3A">
        <w:t> :</w:t>
      </w:r>
      <w:r w:rsidRPr="00FB5D79">
        <w:t xml:space="preserve"> </w:t>
      </w:r>
      <w:r w:rsidR="0003424E" w:rsidRPr="00FB5D79">
        <w:rPr>
          <w:bCs/>
        </w:rPr>
        <w:t>Comprendre l</w:t>
      </w:r>
      <w:r w:rsidR="00646944" w:rsidRPr="00FB5D79">
        <w:rPr>
          <w:bCs/>
        </w:rPr>
        <w:t>’</w:t>
      </w:r>
      <w:r w:rsidR="0003424E" w:rsidRPr="00FB5D79">
        <w:rPr>
          <w:bCs/>
        </w:rPr>
        <w:t>utilisation des dessins et modèles industriels dans les pays d</w:t>
      </w:r>
      <w:r w:rsidR="00646944" w:rsidRPr="00FB5D79">
        <w:rPr>
          <w:bCs/>
        </w:rPr>
        <w:t>’</w:t>
      </w:r>
      <w:r w:rsidR="0003424E" w:rsidRPr="00FB5D79">
        <w:rPr>
          <w:bCs/>
        </w:rPr>
        <w:t>Asie du Sud</w:t>
      </w:r>
      <w:r w:rsidR="00965F3A">
        <w:rPr>
          <w:bCs/>
        </w:rPr>
        <w:t>-</w:t>
      </w:r>
      <w:r w:rsidR="0003424E" w:rsidRPr="00FB5D79">
        <w:rPr>
          <w:bCs/>
        </w:rPr>
        <w:t xml:space="preserve">Est </w:t>
      </w:r>
      <w:r w:rsidR="008B276B" w:rsidRPr="00FB5D79">
        <w:rPr>
          <w:bCs/>
        </w:rPr>
        <w:t xml:space="preserve">– </w:t>
      </w:r>
      <w:r w:rsidR="0003424E" w:rsidRPr="00FB5D79">
        <w:rPr>
          <w:bCs/>
        </w:rPr>
        <w:t>le cas de l</w:t>
      </w:r>
      <w:r w:rsidR="00646944" w:rsidRPr="00FB5D79">
        <w:rPr>
          <w:bCs/>
        </w:rPr>
        <w:t>’</w:t>
      </w:r>
      <w:r w:rsidR="0003424E" w:rsidRPr="00FB5D79">
        <w:rPr>
          <w:bCs/>
        </w:rPr>
        <w:t>Indonésie, des Philippines et de la Thaïlande</w:t>
      </w:r>
      <w:r w:rsidR="001D0453" w:rsidRPr="00FB5D79">
        <w:rPr>
          <w:bCs/>
        </w:rPr>
        <w:t>.</w:t>
      </w:r>
    </w:p>
    <w:p w14:paraId="274FCC16" w14:textId="7D09F3FB" w:rsidR="005D32B1" w:rsidRPr="00FB5D79" w:rsidRDefault="0003424E" w:rsidP="009E34C1">
      <w:pPr>
        <w:numPr>
          <w:ilvl w:val="0"/>
          <w:numId w:val="11"/>
        </w:numPr>
        <w:ind w:left="1134" w:hanging="567"/>
        <w:jc w:val="both"/>
      </w:pPr>
      <w:r w:rsidRPr="00FB5D79">
        <w:rPr>
          <w:bCs/>
        </w:rPr>
        <w:t>Pologne</w:t>
      </w:r>
      <w:r w:rsidR="00965F3A">
        <w:rPr>
          <w:bCs/>
        </w:rPr>
        <w:t> :</w:t>
      </w:r>
      <w:r w:rsidRPr="00FB5D79">
        <w:rPr>
          <w:bCs/>
        </w:rPr>
        <w:t xml:space="preserve"> </w:t>
      </w:r>
      <w:r w:rsidR="00E05E29" w:rsidRPr="00FB5D79">
        <w:t>le rôle du système de propriété intellectuelle en matière d</w:t>
      </w:r>
      <w:r w:rsidR="00646944" w:rsidRPr="00FB5D79">
        <w:t>’</w:t>
      </w:r>
      <w:r w:rsidR="00E05E29" w:rsidRPr="00FB5D79">
        <w:t>innovations dans le secteur de la santé</w:t>
      </w:r>
      <w:r w:rsidRPr="00FB5D79">
        <w:rPr>
          <w:bCs/>
        </w:rPr>
        <w:t>.</w:t>
      </w:r>
    </w:p>
    <w:p w14:paraId="3B55268F" w14:textId="77777777" w:rsidR="005D32B1" w:rsidRPr="00FB5D79" w:rsidRDefault="005D32B1" w:rsidP="005D32B1">
      <w:pPr>
        <w:jc w:val="both"/>
      </w:pPr>
    </w:p>
    <w:p w14:paraId="2CECE13E" w14:textId="4082196D" w:rsidR="0003424E" w:rsidRPr="00FB5D79" w:rsidRDefault="0003424E" w:rsidP="0003424E">
      <w:pPr>
        <w:jc w:val="both"/>
      </w:pPr>
      <w:r w:rsidRPr="00FB5D79">
        <w:t>Les travaux relatifs aux différentes études énumérées ci</w:t>
      </w:r>
      <w:r w:rsidR="00965F3A">
        <w:t>-</w:t>
      </w:r>
      <w:r w:rsidRPr="00FB5D79">
        <w:t>dessus ont été menés</w:t>
      </w:r>
      <w:r w:rsidR="001D0453" w:rsidRPr="00FB5D79">
        <w:t xml:space="preserve"> sur la base des enseignements tirés de la phase </w:t>
      </w:r>
      <w:r w:rsidRPr="00FB5D79">
        <w:t xml:space="preserve">I du projet et </w:t>
      </w:r>
      <w:r w:rsidR="001D0453" w:rsidRPr="00FB5D79">
        <w:t xml:space="preserve">ont été </w:t>
      </w:r>
      <w:r w:rsidRPr="00FB5D79">
        <w:t xml:space="preserve">précédés de travaux préparatoires approfondis </w:t>
      </w:r>
      <w:r w:rsidR="00512D88" w:rsidRPr="00FB5D79">
        <w:t>(l</w:t>
      </w:r>
      <w:r w:rsidR="00646944" w:rsidRPr="00FB5D79">
        <w:t>’</w:t>
      </w:r>
      <w:r w:rsidR="00512D88" w:rsidRPr="00FB5D79">
        <w:t xml:space="preserve">identification des partenaires locaux qualifiés, notamment des institutions et des consultants locaux, par exemple) </w:t>
      </w:r>
      <w:r w:rsidRPr="00FB5D79">
        <w:t>dans les pays respecti</w:t>
      </w:r>
      <w:r w:rsidR="00172764" w:rsidRPr="00FB5D79">
        <w:t>fs.  Ce</w:t>
      </w:r>
      <w:r w:rsidRPr="00FB5D79">
        <w:t xml:space="preserve">la </w:t>
      </w:r>
      <w:r w:rsidR="001D0453" w:rsidRPr="00FB5D79">
        <w:t>s</w:t>
      </w:r>
      <w:r w:rsidR="00646944" w:rsidRPr="00FB5D79">
        <w:t>’</w:t>
      </w:r>
      <w:r w:rsidR="001D0453" w:rsidRPr="00FB5D79">
        <w:t>est fait</w:t>
      </w:r>
      <w:r w:rsidRPr="00FB5D79">
        <w:t xml:space="preserve"> en consultation avec les offices de propriété intellectuelle et les </w:t>
      </w:r>
      <w:r w:rsidR="00512D88" w:rsidRPr="00FB5D79">
        <w:t xml:space="preserve">organismes compétents </w:t>
      </w:r>
      <w:r w:rsidRPr="00FB5D79">
        <w:t xml:space="preserve">dans les secteurs </w:t>
      </w:r>
      <w:r w:rsidR="00413E9D" w:rsidRPr="00FB5D79">
        <w:t>étudi</w:t>
      </w:r>
      <w:r w:rsidR="00172764" w:rsidRPr="00FB5D79">
        <w:t>és.  Ce</w:t>
      </w:r>
      <w:r w:rsidR="00645A07" w:rsidRPr="00FB5D79">
        <w:t xml:space="preserve">s </w:t>
      </w:r>
      <w:r w:rsidRPr="00FB5D79">
        <w:t>activités</w:t>
      </w:r>
      <w:r w:rsidR="00645A07" w:rsidRPr="00FB5D79">
        <w:t xml:space="preserve"> ont permis de bien planifier</w:t>
      </w:r>
      <w:r w:rsidRPr="00FB5D79">
        <w:t xml:space="preserve"> la coor</w:t>
      </w:r>
      <w:r w:rsidR="00645A07" w:rsidRPr="00FB5D79">
        <w:t>dination au sein du Secrétariat</w:t>
      </w:r>
      <w:r w:rsidRPr="00FB5D79">
        <w:t xml:space="preserve">, </w:t>
      </w:r>
      <w:r w:rsidR="00316C8D" w:rsidRPr="00FB5D79">
        <w:t>notamment</w:t>
      </w:r>
      <w:r w:rsidRPr="00FB5D79">
        <w:t xml:space="preserve"> avec l</w:t>
      </w:r>
      <w:r w:rsidR="00606922" w:rsidRPr="00FB5D79">
        <w:t xml:space="preserve">es </w:t>
      </w:r>
      <w:r w:rsidR="00482097" w:rsidRPr="00FB5D79">
        <w:t>bureaux</w:t>
      </w:r>
      <w:r w:rsidR="00606922" w:rsidRPr="00FB5D79">
        <w:t xml:space="preserve"> régionaux (Programme </w:t>
      </w:r>
      <w:r w:rsidRPr="00FB5D79">
        <w:t xml:space="preserve">9) et les pays en transition et </w:t>
      </w:r>
      <w:r w:rsidR="00B00942" w:rsidRPr="00FB5D79">
        <w:t xml:space="preserve">les </w:t>
      </w:r>
      <w:r w:rsidRPr="00FB5D79">
        <w:t>pays développés (Pr</w:t>
      </w:r>
      <w:r w:rsidR="00606922" w:rsidRPr="00FB5D79">
        <w:t>ogramme </w:t>
      </w:r>
      <w:r w:rsidRPr="00FB5D79">
        <w:t>10).</w:t>
      </w:r>
    </w:p>
    <w:p w14:paraId="1689CFC2" w14:textId="77777777" w:rsidR="0003424E" w:rsidRPr="00FB5D79" w:rsidRDefault="0003424E" w:rsidP="0003424E">
      <w:pPr>
        <w:jc w:val="both"/>
      </w:pPr>
    </w:p>
    <w:p w14:paraId="3FF3FCD9" w14:textId="6AAA6600" w:rsidR="0003424E" w:rsidRPr="00FB5D79" w:rsidRDefault="0003424E" w:rsidP="0003424E">
      <w:pPr>
        <w:jc w:val="both"/>
      </w:pPr>
      <w:r w:rsidRPr="00FB5D79">
        <w:t xml:space="preserve">Les activités </w:t>
      </w:r>
      <w:r w:rsidR="00B00942" w:rsidRPr="00FB5D79">
        <w:t>entreprises</w:t>
      </w:r>
      <w:r w:rsidRPr="00FB5D79">
        <w:t xml:space="preserve"> dans le cadre de</w:t>
      </w:r>
      <w:r w:rsidR="000910FD" w:rsidRPr="00FB5D79">
        <w:t xml:space="preserve"> la mise en œuvre </w:t>
      </w:r>
      <w:r w:rsidRPr="00FB5D79">
        <w:t>du projet comprenaient des séances d</w:t>
      </w:r>
      <w:r w:rsidR="00646944" w:rsidRPr="00FB5D79">
        <w:t>’</w:t>
      </w:r>
      <w:r w:rsidRPr="00FB5D79">
        <w:t xml:space="preserve">information, des réunions, des ateliers et des séminaires visant à </w:t>
      </w:r>
      <w:r w:rsidR="00A76834" w:rsidRPr="00FB5D79">
        <w:t>ce que</w:t>
      </w:r>
      <w:r w:rsidR="00B650E4" w:rsidRPr="00FB5D79">
        <w:t xml:space="preserve"> </w:t>
      </w:r>
      <w:r w:rsidRPr="00FB5D79">
        <w:t xml:space="preserve">les décideurs et les partenaires </w:t>
      </w:r>
      <w:r w:rsidR="00A76834" w:rsidRPr="00FB5D79">
        <w:t>se familiarisent avec</w:t>
      </w:r>
      <w:r w:rsidR="00B650E4" w:rsidRPr="00FB5D79">
        <w:t xml:space="preserve"> le projet en définissant</w:t>
      </w:r>
      <w:r w:rsidRPr="00FB5D79">
        <w:t xml:space="preserve"> la portée des travaux et </w:t>
      </w:r>
      <w:r w:rsidR="00A76834" w:rsidRPr="00FB5D79">
        <w:t>discutent</w:t>
      </w:r>
      <w:r w:rsidR="00B650E4" w:rsidRPr="00FB5D79">
        <w:t xml:space="preserve"> des </w:t>
      </w:r>
      <w:r w:rsidRPr="00FB5D79">
        <w:t xml:space="preserve">résultats préliminaires et </w:t>
      </w:r>
      <w:r w:rsidR="00B00942" w:rsidRPr="00FB5D79">
        <w:t xml:space="preserve">principaux </w:t>
      </w:r>
      <w:r w:rsidRPr="00FB5D79">
        <w:t>du projet.</w:t>
      </w:r>
    </w:p>
    <w:p w14:paraId="0E37F397" w14:textId="77777777" w:rsidR="0003424E" w:rsidRPr="00FB5D79" w:rsidRDefault="0003424E" w:rsidP="0003424E">
      <w:pPr>
        <w:jc w:val="both"/>
      </w:pPr>
    </w:p>
    <w:p w14:paraId="34EB5863" w14:textId="4732DCBC" w:rsidR="00646944" w:rsidRPr="00FB5D79" w:rsidRDefault="0003424E" w:rsidP="0003424E">
      <w:pPr>
        <w:jc w:val="both"/>
      </w:pPr>
      <w:r w:rsidRPr="00FB5D79">
        <w:t>D</w:t>
      </w:r>
      <w:r w:rsidR="00646944" w:rsidRPr="00FB5D79">
        <w:t>’</w:t>
      </w:r>
      <w:r w:rsidRPr="00FB5D79">
        <w:t xml:space="preserve">après </w:t>
      </w:r>
      <w:r w:rsidR="00220808" w:rsidRPr="00FB5D79">
        <w:t>l</w:t>
      </w:r>
      <w:r w:rsidR="00646944" w:rsidRPr="00FB5D79">
        <w:t>’</w:t>
      </w:r>
      <w:r w:rsidR="00220808" w:rsidRPr="00FB5D79">
        <w:t>analyse préliminaire</w:t>
      </w:r>
      <w:r w:rsidRPr="00FB5D79">
        <w:t xml:space="preserve"> des documents mis à la disposition de l</w:t>
      </w:r>
      <w:r w:rsidR="00646944" w:rsidRPr="00FB5D79">
        <w:t>’</w:t>
      </w:r>
      <w:r w:rsidR="00DA033A" w:rsidRPr="00FB5D79">
        <w:t>évaluateur (voir </w:t>
      </w:r>
      <w:r w:rsidR="00B7008C" w:rsidRPr="00FB5D79">
        <w:t>l</w:t>
      </w:r>
      <w:r w:rsidR="00646944" w:rsidRPr="00FB5D79">
        <w:t>’</w:t>
      </w:r>
      <w:r w:rsidR="00B7008C" w:rsidRPr="00FB5D79">
        <w:t>annexe </w:t>
      </w:r>
      <w:r w:rsidRPr="00FB5D79">
        <w:t xml:space="preserve">IV) et validés par des entretiens, les </w:t>
      </w:r>
      <w:r w:rsidR="00B650E4" w:rsidRPr="00FB5D79">
        <w:t>résultats</w:t>
      </w:r>
      <w:r w:rsidRPr="00FB5D79">
        <w:t xml:space="preserve"> prévus ont été </w:t>
      </w:r>
      <w:r w:rsidR="00B650E4" w:rsidRPr="00FB5D79">
        <w:t>atteints</w:t>
      </w:r>
      <w:r w:rsidRPr="00FB5D79">
        <w:t xml:space="preserve"> comme indiqué dans les sections suivantes du </w:t>
      </w:r>
      <w:r w:rsidR="00B650E4" w:rsidRPr="00FB5D79">
        <w:t xml:space="preserve">présent </w:t>
      </w:r>
      <w:r w:rsidRPr="00FB5D79">
        <w:t>rapport.</w:t>
      </w:r>
    </w:p>
    <w:p w14:paraId="35D6110B" w14:textId="3271D0CF" w:rsidR="00ED1A22" w:rsidRPr="00C053D9" w:rsidRDefault="00C053D9" w:rsidP="00C053D9">
      <w:pPr>
        <w:pStyle w:val="Heading2"/>
        <w:numPr>
          <w:ilvl w:val="1"/>
          <w:numId w:val="3"/>
        </w:numPr>
      </w:pPr>
      <w:bookmarkStart w:id="10" w:name="_Toc530408359"/>
      <w:r w:rsidRPr="00C053D9">
        <w:t>Objet, méthodologie et limites de la présente évaluation</w:t>
      </w:r>
      <w:bookmarkEnd w:id="10"/>
    </w:p>
    <w:p w14:paraId="2BF92143" w14:textId="5F370630" w:rsidR="005D32B1" w:rsidRPr="00FB5D79" w:rsidRDefault="0003424E" w:rsidP="005D32B1">
      <w:pPr>
        <w:jc w:val="both"/>
        <w:rPr>
          <w:bCs/>
          <w:iCs/>
        </w:rPr>
      </w:pPr>
      <w:r w:rsidRPr="00FB5D79">
        <w:rPr>
          <w:bCs/>
          <w:iCs/>
        </w:rPr>
        <w:t xml:space="preserve">Le cadre de </w:t>
      </w:r>
      <w:r w:rsidR="00DD26FC" w:rsidRPr="00FB5D79">
        <w:rPr>
          <w:bCs/>
          <w:iCs/>
        </w:rPr>
        <w:t>la présente</w:t>
      </w:r>
      <w:r w:rsidRPr="00FB5D79">
        <w:rPr>
          <w:bCs/>
          <w:iCs/>
        </w:rPr>
        <w:t xml:space="preserve"> évaluation est</w:t>
      </w:r>
      <w:r w:rsidR="00D76217" w:rsidRPr="00FB5D79">
        <w:rPr>
          <w:bCs/>
          <w:iCs/>
        </w:rPr>
        <w:t xml:space="preserve"> fondé sur </w:t>
      </w:r>
      <w:r w:rsidRPr="00FB5D79">
        <w:rPr>
          <w:bCs/>
          <w:iCs/>
        </w:rPr>
        <w:t>la politique d</w:t>
      </w:r>
      <w:r w:rsidR="00646944" w:rsidRPr="00FB5D79">
        <w:rPr>
          <w:bCs/>
          <w:iCs/>
        </w:rPr>
        <w:t>’</w:t>
      </w:r>
      <w:r w:rsidRPr="00FB5D79">
        <w:rPr>
          <w:bCs/>
          <w:iCs/>
        </w:rPr>
        <w:t>évaluation de l</w:t>
      </w:r>
      <w:r w:rsidR="00646944" w:rsidRPr="00FB5D79">
        <w:rPr>
          <w:bCs/>
          <w:iCs/>
        </w:rPr>
        <w:t>’</w:t>
      </w:r>
      <w:r w:rsidRPr="00FB5D79">
        <w:rPr>
          <w:bCs/>
          <w:iCs/>
        </w:rPr>
        <w:t>OMPI</w:t>
      </w:r>
      <w:r w:rsidR="00B650E4" w:rsidRPr="00FB5D79">
        <w:rPr>
          <w:rStyle w:val="FootnoteReference"/>
          <w:bCs/>
          <w:iCs/>
        </w:rPr>
        <w:footnoteReference w:id="8"/>
      </w:r>
      <w:r w:rsidRPr="00FB5D79">
        <w:rPr>
          <w:bCs/>
          <w:iCs/>
        </w:rPr>
        <w:t xml:space="preserve">, qui est alignée sur les normes </w:t>
      </w:r>
      <w:r w:rsidR="00D76217" w:rsidRPr="00FB5D79">
        <w:rPr>
          <w:rFonts w:eastAsia="Times New Roman"/>
          <w:lang w:eastAsia="en-US"/>
        </w:rPr>
        <w:t>et règles d</w:t>
      </w:r>
      <w:r w:rsidR="00646944" w:rsidRPr="00FB5D79">
        <w:rPr>
          <w:rFonts w:eastAsia="Times New Roman"/>
          <w:lang w:eastAsia="en-US"/>
        </w:rPr>
        <w:t>’</w:t>
      </w:r>
      <w:r w:rsidR="00D76217" w:rsidRPr="00FB5D79">
        <w:rPr>
          <w:rFonts w:eastAsia="Times New Roman"/>
          <w:lang w:eastAsia="en-US"/>
        </w:rPr>
        <w:t xml:space="preserve">évaluation du Groupe des </w:t>
      </w:r>
      <w:r w:rsidR="00965F3A">
        <w:rPr>
          <w:rFonts w:eastAsia="Times New Roman"/>
          <w:lang w:eastAsia="en-US"/>
        </w:rPr>
        <w:t>Nations Unies</w:t>
      </w:r>
      <w:r w:rsidR="00D76217" w:rsidRPr="00FB5D79">
        <w:rPr>
          <w:rFonts w:eastAsia="Times New Roman"/>
          <w:lang w:eastAsia="en-US"/>
        </w:rPr>
        <w:t xml:space="preserve"> pour l</w:t>
      </w:r>
      <w:r w:rsidR="00646944" w:rsidRPr="00FB5D79">
        <w:rPr>
          <w:rFonts w:eastAsia="Times New Roman"/>
          <w:lang w:eastAsia="en-US"/>
        </w:rPr>
        <w:t>’</w:t>
      </w:r>
      <w:r w:rsidR="00D76217" w:rsidRPr="00FB5D79">
        <w:rPr>
          <w:rFonts w:eastAsia="Times New Roman"/>
          <w:lang w:eastAsia="en-US"/>
        </w:rPr>
        <w:t>évaluation</w:t>
      </w:r>
      <w:r w:rsidR="00D76217" w:rsidRPr="00FB5D79">
        <w:rPr>
          <w:iCs/>
        </w:rPr>
        <w:t xml:space="preserve"> (GNUE) </w:t>
      </w:r>
      <w:r w:rsidRPr="00FB5D79">
        <w:rPr>
          <w:bCs/>
          <w:iCs/>
        </w:rPr>
        <w:t xml:space="preserve">et </w:t>
      </w:r>
      <w:r w:rsidR="00D76217" w:rsidRPr="00FB5D79">
        <w:rPr>
          <w:bCs/>
          <w:iCs/>
        </w:rPr>
        <w:t xml:space="preserve">sur </w:t>
      </w:r>
      <w:r w:rsidRPr="00FB5D79">
        <w:rPr>
          <w:bCs/>
          <w:iCs/>
        </w:rPr>
        <w:t>les critères d</w:t>
      </w:r>
      <w:r w:rsidR="00646944" w:rsidRPr="00FB5D79">
        <w:rPr>
          <w:bCs/>
          <w:iCs/>
        </w:rPr>
        <w:t>’</w:t>
      </w:r>
      <w:r w:rsidRPr="00FB5D79">
        <w:rPr>
          <w:bCs/>
          <w:iCs/>
        </w:rPr>
        <w:t xml:space="preserve">évaluation et </w:t>
      </w:r>
      <w:r w:rsidR="00D76217" w:rsidRPr="00FB5D79">
        <w:rPr>
          <w:bCs/>
          <w:iCs/>
        </w:rPr>
        <w:t xml:space="preserve">les </w:t>
      </w:r>
      <w:r w:rsidRPr="00FB5D79">
        <w:rPr>
          <w:bCs/>
          <w:iCs/>
        </w:rPr>
        <w:t>normes de qualité adoptés par le Comité d</w:t>
      </w:r>
      <w:r w:rsidR="00646944" w:rsidRPr="00FB5D79">
        <w:rPr>
          <w:bCs/>
          <w:iCs/>
        </w:rPr>
        <w:t>’</w:t>
      </w:r>
      <w:r w:rsidRPr="00FB5D79">
        <w:rPr>
          <w:bCs/>
          <w:iCs/>
        </w:rPr>
        <w:t>aide au développement de l</w:t>
      </w:r>
      <w:r w:rsidR="00646944" w:rsidRPr="00FB5D79">
        <w:rPr>
          <w:bCs/>
          <w:iCs/>
        </w:rPr>
        <w:t>’</w:t>
      </w:r>
      <w:r w:rsidRPr="00FB5D79">
        <w:rPr>
          <w:bCs/>
          <w:iCs/>
        </w:rPr>
        <w:t>Organisation de coopération et de dé</w:t>
      </w:r>
      <w:r w:rsidR="00D76217" w:rsidRPr="00FB5D79">
        <w:rPr>
          <w:bCs/>
          <w:iCs/>
        </w:rPr>
        <w:t xml:space="preserve">veloppement économiques (OCDE </w:t>
      </w:r>
      <w:r w:rsidRPr="00FB5D79">
        <w:rPr>
          <w:bCs/>
          <w:iCs/>
        </w:rPr>
        <w:t>CAD)</w:t>
      </w:r>
      <w:r w:rsidR="005D32B1" w:rsidRPr="00FB5D79">
        <w:rPr>
          <w:bCs/>
          <w:iCs/>
          <w:vertAlign w:val="superscript"/>
        </w:rPr>
        <w:footnoteReference w:id="9"/>
      </w:r>
      <w:r w:rsidR="004E1438" w:rsidRPr="00FB5D79">
        <w:rPr>
          <w:bCs/>
          <w:iCs/>
        </w:rPr>
        <w:t>.</w:t>
      </w:r>
    </w:p>
    <w:p w14:paraId="0F7DE348" w14:textId="77777777" w:rsidR="005D32B1" w:rsidRPr="00FB5D79" w:rsidRDefault="005D32B1" w:rsidP="005D32B1">
      <w:pPr>
        <w:jc w:val="both"/>
        <w:rPr>
          <w:bCs/>
          <w:iCs/>
        </w:rPr>
      </w:pPr>
    </w:p>
    <w:p w14:paraId="6B84EFC2" w14:textId="6916F582" w:rsidR="005D32B1" w:rsidRPr="00FB5D79" w:rsidRDefault="0003424E" w:rsidP="005D32B1">
      <w:pPr>
        <w:jc w:val="both"/>
      </w:pPr>
      <w:r w:rsidRPr="00FB5D79">
        <w:t>L</w:t>
      </w:r>
      <w:r w:rsidR="00646944" w:rsidRPr="00FB5D79">
        <w:t>’</w:t>
      </w:r>
      <w:r w:rsidRPr="00FB5D79">
        <w:t xml:space="preserve">évaluation a été </w:t>
      </w:r>
      <w:r w:rsidR="008F689D" w:rsidRPr="00FB5D79">
        <w:t>menée</w:t>
      </w:r>
      <w:r w:rsidRPr="00FB5D79">
        <w:t xml:space="preserve"> par un évaluateur </w:t>
      </w:r>
      <w:r w:rsidR="008F689D" w:rsidRPr="00FB5D79">
        <w:t>extérieur</w:t>
      </w:r>
      <w:r w:rsidRPr="00FB5D79">
        <w:t xml:space="preserve"> </w:t>
      </w:r>
      <w:r w:rsidR="008F689D" w:rsidRPr="00FB5D79">
        <w:t>en collaboration avec</w:t>
      </w:r>
      <w:r w:rsidRPr="00FB5D79">
        <w:t xml:space="preserve"> </w:t>
      </w:r>
      <w:r w:rsidR="008F689D" w:rsidRPr="00FB5D79">
        <w:t xml:space="preserve">la </w:t>
      </w:r>
      <w:r w:rsidR="008F689D" w:rsidRPr="00FB5D79">
        <w:rPr>
          <w:rFonts w:eastAsia="Times New Roman"/>
          <w:lang w:eastAsia="en-US"/>
        </w:rPr>
        <w:t>Division de la coordination du Plan d</w:t>
      </w:r>
      <w:r w:rsidR="00646944" w:rsidRPr="00FB5D79">
        <w:rPr>
          <w:rFonts w:eastAsia="Times New Roman"/>
          <w:lang w:eastAsia="en-US"/>
        </w:rPr>
        <w:t>’</w:t>
      </w:r>
      <w:r w:rsidR="008F689D" w:rsidRPr="00FB5D79">
        <w:rPr>
          <w:rFonts w:eastAsia="Times New Roman"/>
          <w:lang w:eastAsia="en-US"/>
        </w:rPr>
        <w:t>action pour le développeme</w:t>
      </w:r>
      <w:r w:rsidR="00172764" w:rsidRPr="00FB5D79">
        <w:rPr>
          <w:rFonts w:eastAsia="Times New Roman"/>
          <w:lang w:eastAsia="en-US"/>
        </w:rPr>
        <w:t xml:space="preserve">nt.  </w:t>
      </w:r>
      <w:r w:rsidR="00172764" w:rsidRPr="00FB5D79">
        <w:t>El</w:t>
      </w:r>
      <w:r w:rsidR="008F689D" w:rsidRPr="00FB5D79">
        <w:t xml:space="preserve">le </w:t>
      </w:r>
      <w:r w:rsidR="00C65870" w:rsidRPr="00FB5D79">
        <w:t xml:space="preserve">est fondée sur </w:t>
      </w:r>
      <w:r w:rsidR="004E1438" w:rsidRPr="00FB5D79">
        <w:t>un rapport initial du 18 juillet </w:t>
      </w:r>
      <w:r w:rsidRPr="00FB5D79">
        <w:t xml:space="preserve">2018 qui </w:t>
      </w:r>
      <w:r w:rsidR="00C65870" w:rsidRPr="00FB5D79">
        <w:t>rend le</w:t>
      </w:r>
      <w:r w:rsidRPr="00FB5D79">
        <w:t xml:space="preserve"> </w:t>
      </w:r>
      <w:r w:rsidR="00416035" w:rsidRPr="00FB5D79">
        <w:t>mandat</w:t>
      </w:r>
      <w:r w:rsidRPr="00FB5D79">
        <w:t xml:space="preserve"> </w:t>
      </w:r>
      <w:r w:rsidR="00C65870" w:rsidRPr="00FB5D79">
        <w:t xml:space="preserve">effectif </w:t>
      </w:r>
      <w:r w:rsidRPr="00FB5D79">
        <w:t>(voir l</w:t>
      </w:r>
      <w:r w:rsidR="00646944" w:rsidRPr="00FB5D79">
        <w:t>’</w:t>
      </w:r>
      <w:r w:rsidR="004E1438" w:rsidRPr="00FB5D79">
        <w:t>annexe </w:t>
      </w:r>
      <w:r w:rsidRPr="00FB5D79">
        <w:t>2)</w:t>
      </w:r>
      <w:r w:rsidR="00611031" w:rsidRPr="00FB5D79">
        <w:t xml:space="preserve">.  </w:t>
      </w:r>
      <w:r w:rsidRPr="00FB5D79">
        <w:t>L</w:t>
      </w:r>
      <w:r w:rsidR="00646944" w:rsidRPr="00FB5D79">
        <w:t>’</w:t>
      </w:r>
      <w:r w:rsidRPr="00FB5D79">
        <w:t>évaluat</w:t>
      </w:r>
      <w:r w:rsidR="00F83742" w:rsidRPr="00FB5D79">
        <w:t xml:space="preserve">ion </w:t>
      </w:r>
      <w:r w:rsidR="00C6746E" w:rsidRPr="00FB5D79">
        <w:t xml:space="preserve">a </w:t>
      </w:r>
      <w:r w:rsidR="00C65870" w:rsidRPr="00FB5D79">
        <w:t>été menée</w:t>
      </w:r>
      <w:r w:rsidR="00C6746E" w:rsidRPr="00FB5D79">
        <w:t xml:space="preserve"> de </w:t>
      </w:r>
      <w:r w:rsidR="00F83742" w:rsidRPr="00FB5D79">
        <w:t>janvier 2015</w:t>
      </w:r>
      <w:r w:rsidR="00C6746E" w:rsidRPr="00FB5D79">
        <w:t xml:space="preserve"> à </w:t>
      </w:r>
      <w:r w:rsidR="00F83742" w:rsidRPr="00FB5D79">
        <w:t>juin </w:t>
      </w:r>
      <w:r w:rsidRPr="00FB5D79">
        <w:t>2018.</w:t>
      </w:r>
    </w:p>
    <w:p w14:paraId="346AE504" w14:textId="2CAD3A3A" w:rsidR="00735A4B" w:rsidRPr="00C053D9" w:rsidRDefault="00C053D9" w:rsidP="00C053D9">
      <w:pPr>
        <w:pStyle w:val="Heading2"/>
        <w:numPr>
          <w:ilvl w:val="1"/>
          <w:numId w:val="3"/>
        </w:numPr>
      </w:pPr>
      <w:bookmarkStart w:id="11" w:name="_Toc530408360"/>
      <w:r w:rsidRPr="00C053D9">
        <w:lastRenderedPageBreak/>
        <w:t>Objectif principal de la méthodologie</w:t>
      </w:r>
      <w:bookmarkEnd w:id="11"/>
    </w:p>
    <w:p w14:paraId="4912AA59" w14:textId="4EB0A1FE" w:rsidR="00735A4B" w:rsidRPr="00FB5D79" w:rsidRDefault="0003424E" w:rsidP="00735A4B">
      <w:pPr>
        <w:jc w:val="both"/>
      </w:pPr>
      <w:r w:rsidRPr="00FB5D79">
        <w:t>L</w:t>
      </w:r>
      <w:r w:rsidR="00646944" w:rsidRPr="00FB5D79">
        <w:t>’</w:t>
      </w:r>
      <w:r w:rsidRPr="00FB5D79">
        <w:t>objectif principal de l</w:t>
      </w:r>
      <w:r w:rsidR="00646944" w:rsidRPr="00FB5D79">
        <w:t>’</w:t>
      </w:r>
      <w:r w:rsidRPr="00FB5D79">
        <w:t xml:space="preserve">évaluation était de déterminer si le projet dans son ensemble </w:t>
      </w:r>
      <w:r w:rsidR="00605FA5" w:rsidRPr="00FB5D79">
        <w:t>fournit l</w:t>
      </w:r>
      <w:r w:rsidR="00646944" w:rsidRPr="00FB5D79">
        <w:t>’</w:t>
      </w:r>
      <w:r w:rsidR="00605FA5" w:rsidRPr="00FB5D79">
        <w:t>aide appropriée</w:t>
      </w:r>
      <w:r w:rsidRPr="00FB5D79">
        <w:t xml:space="preserve"> de la bonne façon pour atteindre ses objecti</w:t>
      </w:r>
      <w:r w:rsidR="00172764" w:rsidRPr="00FB5D79">
        <w:t>fs.  Da</w:t>
      </w:r>
      <w:r w:rsidRPr="00FB5D79">
        <w:t xml:space="preserve">ns le cadre de cet objectif général, </w:t>
      </w:r>
      <w:r w:rsidR="00D52D17" w:rsidRPr="00FB5D79">
        <w:t>deux</w:t>
      </w:r>
      <w:r w:rsidR="000E4777" w:rsidRPr="00FB5D79">
        <w:t> </w:t>
      </w:r>
      <w:r w:rsidRPr="00FB5D79">
        <w:t xml:space="preserve">objectifs </w:t>
      </w:r>
      <w:r w:rsidR="00D52D17" w:rsidRPr="00FB5D79">
        <w:t>spécifiques ont été définis</w:t>
      </w:r>
      <w:r w:rsidR="00965F3A">
        <w:t> :</w:t>
      </w:r>
    </w:p>
    <w:p w14:paraId="5C09E8D0" w14:textId="03849C77" w:rsidR="0003424E" w:rsidRPr="00FB5D79" w:rsidRDefault="0003424E" w:rsidP="009F022F">
      <w:pPr>
        <w:numPr>
          <w:ilvl w:val="0"/>
          <w:numId w:val="12"/>
        </w:numPr>
        <w:ind w:left="1134" w:hanging="566"/>
        <w:jc w:val="both"/>
      </w:pPr>
      <w:r w:rsidRPr="00FB5D79">
        <w:t>Tirer les enseignements de l</w:t>
      </w:r>
      <w:r w:rsidR="00646944" w:rsidRPr="00FB5D79">
        <w:t>’</w:t>
      </w:r>
      <w:r w:rsidRPr="00FB5D79">
        <w:t xml:space="preserve">expérience acquise au cours de </w:t>
      </w:r>
      <w:r w:rsidR="000910FD" w:rsidRPr="00FB5D79">
        <w:t xml:space="preserve">la mise en œuvre </w:t>
      </w:r>
      <w:r w:rsidRPr="00FB5D79">
        <w:t xml:space="preserve">du projet </w:t>
      </w:r>
      <w:r w:rsidR="002F2138" w:rsidRPr="00FB5D79">
        <w:t>sur</w:t>
      </w:r>
      <w:r w:rsidRPr="00FB5D79">
        <w:t xml:space="preserve"> ce qui a bien fonctionné et ce qui n</w:t>
      </w:r>
      <w:r w:rsidR="00646944" w:rsidRPr="00FB5D79">
        <w:t>’</w:t>
      </w:r>
      <w:r w:rsidRPr="00FB5D79">
        <w:t>a pas bien fonctionné</w:t>
      </w:r>
      <w:r w:rsidR="00F86541" w:rsidRPr="00FB5D79">
        <w:t xml:space="preserve">, en vue de la poursuite des </w:t>
      </w:r>
      <w:r w:rsidRPr="00FB5D79">
        <w:t xml:space="preserve">activités dans le domaine des études et recherches économiques </w:t>
      </w:r>
      <w:r w:rsidR="00AE0CA4" w:rsidRPr="00FB5D79">
        <w:t>relatives</w:t>
      </w:r>
      <w:r w:rsidRPr="00FB5D79">
        <w:t xml:space="preserve"> à la propriété intellectuelle.</w:t>
      </w:r>
    </w:p>
    <w:p w14:paraId="56A653B6" w14:textId="45798440" w:rsidR="00735A4B" w:rsidRPr="00FB5D79" w:rsidRDefault="00275634" w:rsidP="009F022F">
      <w:pPr>
        <w:numPr>
          <w:ilvl w:val="0"/>
          <w:numId w:val="12"/>
        </w:numPr>
        <w:ind w:left="1134" w:hanging="566"/>
        <w:jc w:val="both"/>
      </w:pPr>
      <w:r w:rsidRPr="00FB5D79">
        <w:t>Procéder à une</w:t>
      </w:r>
      <w:r w:rsidR="0003424E" w:rsidRPr="00FB5D79">
        <w:t xml:space="preserve"> évaluation </w:t>
      </w:r>
      <w:r w:rsidR="00C01545" w:rsidRPr="00FB5D79">
        <w:t xml:space="preserve">factuelle </w:t>
      </w:r>
      <w:r w:rsidR="0003424E" w:rsidRPr="00FB5D79">
        <w:t xml:space="preserve">du projet pour </w:t>
      </w:r>
      <w:r w:rsidR="00C01545" w:rsidRPr="00FB5D79">
        <w:t>soutenir le</w:t>
      </w:r>
      <w:r w:rsidR="0003424E" w:rsidRPr="00FB5D79">
        <w:t xml:space="preserve"> processus décisionnel</w:t>
      </w:r>
      <w:r w:rsidR="00646944" w:rsidRPr="00FB5D79">
        <w:t xml:space="preserve"> du CDI</w:t>
      </w:r>
      <w:r w:rsidR="0003424E" w:rsidRPr="00FB5D79">
        <w:t xml:space="preserve">P et contribuer efficacement à la mise en œuvre des </w:t>
      </w:r>
      <w:r w:rsidR="002F2138" w:rsidRPr="00FB5D79">
        <w:t>recommandations du Plan d</w:t>
      </w:r>
      <w:r w:rsidR="00646944" w:rsidRPr="00FB5D79">
        <w:t>’</w:t>
      </w:r>
      <w:r w:rsidR="002F2138" w:rsidRPr="00FB5D79">
        <w:t>action pour le développement</w:t>
      </w:r>
      <w:r w:rsidR="0003424E" w:rsidRPr="00FB5D79">
        <w:t>.</w:t>
      </w:r>
    </w:p>
    <w:p w14:paraId="3E55B7A3" w14:textId="77777777" w:rsidR="00735A4B" w:rsidRPr="00FB5D79" w:rsidRDefault="00735A4B" w:rsidP="00735A4B">
      <w:pPr>
        <w:jc w:val="both"/>
      </w:pPr>
    </w:p>
    <w:p w14:paraId="3225B338" w14:textId="59A6CE68" w:rsidR="00646944" w:rsidRPr="00FB5D79" w:rsidRDefault="002F2138" w:rsidP="00735A4B">
      <w:pPr>
        <w:jc w:val="both"/>
      </w:pPr>
      <w:r w:rsidRPr="00FB5D79">
        <w:t>Conformément au mandat, l</w:t>
      </w:r>
      <w:r w:rsidR="00646944" w:rsidRPr="00FB5D79">
        <w:t>’</w:t>
      </w:r>
      <w:r w:rsidR="0003424E" w:rsidRPr="00FB5D79">
        <w:t xml:space="preserve">évaluation </w:t>
      </w:r>
      <w:r w:rsidR="00864F65" w:rsidRPr="00FB5D79">
        <w:t>a porté plus particulièrement sur les questions suivantes</w:t>
      </w:r>
      <w:r w:rsidR="00965F3A">
        <w:t> :</w:t>
      </w:r>
    </w:p>
    <w:p w14:paraId="4EA937F0" w14:textId="6C539027" w:rsidR="0003424E" w:rsidRPr="00FB5D79" w:rsidRDefault="0003424E" w:rsidP="009F022F">
      <w:pPr>
        <w:numPr>
          <w:ilvl w:val="0"/>
          <w:numId w:val="13"/>
        </w:numPr>
        <w:ind w:left="1134" w:hanging="567"/>
        <w:jc w:val="both"/>
        <w:rPr>
          <w:i/>
        </w:rPr>
      </w:pPr>
      <w:r w:rsidRPr="00FB5D79">
        <w:rPr>
          <w:i/>
        </w:rPr>
        <w:t>Conception et gestion du projet</w:t>
      </w:r>
      <w:r w:rsidR="00965F3A">
        <w:rPr>
          <w:i/>
        </w:rPr>
        <w:t> :</w:t>
      </w:r>
      <w:r w:rsidR="00D70A8A" w:rsidRPr="00FB5D79">
        <w:rPr>
          <w:i/>
        </w:rPr>
        <w:t xml:space="preserve"> l</w:t>
      </w:r>
      <w:r w:rsidRPr="00FB5D79">
        <w:rPr>
          <w:i/>
        </w:rPr>
        <w:t xml:space="preserve">a pertinence du descriptif </w:t>
      </w:r>
      <w:r w:rsidR="00D70A8A" w:rsidRPr="00FB5D79">
        <w:rPr>
          <w:i/>
        </w:rPr>
        <w:t>du</w:t>
      </w:r>
      <w:r w:rsidRPr="00FB5D79">
        <w:rPr>
          <w:i/>
        </w:rPr>
        <w:t xml:space="preserve"> projet initial en tant que guide pour </w:t>
      </w:r>
      <w:r w:rsidR="00922FE2" w:rsidRPr="00FB5D79">
        <w:rPr>
          <w:i/>
        </w:rPr>
        <w:t xml:space="preserve">la mise en œuvre </w:t>
      </w:r>
      <w:r w:rsidRPr="00FB5D79">
        <w:rPr>
          <w:i/>
        </w:rPr>
        <w:t>du projet et l</w:t>
      </w:r>
      <w:r w:rsidR="00646944" w:rsidRPr="00FB5D79">
        <w:rPr>
          <w:i/>
        </w:rPr>
        <w:t>’</w:t>
      </w:r>
      <w:r w:rsidRPr="00FB5D79">
        <w:rPr>
          <w:i/>
        </w:rPr>
        <w:t>é</w:t>
      </w:r>
      <w:r w:rsidR="00D70A8A" w:rsidRPr="00FB5D79">
        <w:rPr>
          <w:i/>
        </w:rPr>
        <w:t>valuation des résultats obtenus</w:t>
      </w:r>
      <w:r w:rsidR="00186E50" w:rsidRPr="00FB5D79">
        <w:rPr>
          <w:i/>
        </w:rPr>
        <w:t>;</w:t>
      </w:r>
    </w:p>
    <w:p w14:paraId="4CD3DB89" w14:textId="674F4B8A" w:rsidR="0003424E" w:rsidRPr="00FB5D79" w:rsidRDefault="0003424E" w:rsidP="009F022F">
      <w:pPr>
        <w:numPr>
          <w:ilvl w:val="0"/>
          <w:numId w:val="13"/>
        </w:numPr>
        <w:ind w:left="1134" w:hanging="567"/>
        <w:jc w:val="both"/>
        <w:rPr>
          <w:i/>
        </w:rPr>
      </w:pPr>
      <w:r w:rsidRPr="00FB5D79">
        <w:rPr>
          <w:i/>
        </w:rPr>
        <w:t>Efficacité</w:t>
      </w:r>
      <w:r w:rsidR="00965F3A">
        <w:rPr>
          <w:i/>
        </w:rPr>
        <w:t> :</w:t>
      </w:r>
      <w:r w:rsidR="00D70A8A" w:rsidRPr="00FB5D79">
        <w:rPr>
          <w:i/>
        </w:rPr>
        <w:t xml:space="preserve"> dans quelle mesure</w:t>
      </w:r>
      <w:r w:rsidRPr="00FB5D79">
        <w:rPr>
          <w:i/>
        </w:rPr>
        <w:t xml:space="preserve"> les objectifs ont été atteints ou devraient l</w:t>
      </w:r>
      <w:r w:rsidR="00646944" w:rsidRPr="00FB5D79">
        <w:rPr>
          <w:i/>
        </w:rPr>
        <w:t>’</w:t>
      </w:r>
      <w:r w:rsidRPr="00FB5D79">
        <w:rPr>
          <w:i/>
        </w:rPr>
        <w:t>être</w:t>
      </w:r>
      <w:r w:rsidR="00186E50" w:rsidRPr="00FB5D79">
        <w:rPr>
          <w:i/>
        </w:rPr>
        <w:t>;</w:t>
      </w:r>
    </w:p>
    <w:p w14:paraId="16CC55D6" w14:textId="0F8093CF" w:rsidR="00735A4B" w:rsidRPr="00FB5D79" w:rsidRDefault="00817CF2" w:rsidP="009F022F">
      <w:pPr>
        <w:numPr>
          <w:ilvl w:val="0"/>
          <w:numId w:val="13"/>
        </w:numPr>
        <w:ind w:left="1134" w:hanging="567"/>
        <w:jc w:val="both"/>
      </w:pPr>
      <w:r w:rsidRPr="00FB5D79">
        <w:rPr>
          <w:i/>
        </w:rPr>
        <w:t>Pérennité</w:t>
      </w:r>
      <w:r w:rsidR="00965F3A">
        <w:rPr>
          <w:i/>
        </w:rPr>
        <w:t> :</w:t>
      </w:r>
      <w:r w:rsidR="00D70A8A" w:rsidRPr="00FB5D79">
        <w:rPr>
          <w:i/>
        </w:rPr>
        <w:t xml:space="preserve"> l</w:t>
      </w:r>
      <w:r w:rsidR="0003424E" w:rsidRPr="00FB5D79">
        <w:rPr>
          <w:i/>
        </w:rPr>
        <w:t xml:space="preserve">a probabilité que les avantages du projet </w:t>
      </w:r>
      <w:r w:rsidR="00C01545" w:rsidRPr="00FB5D79">
        <w:rPr>
          <w:i/>
        </w:rPr>
        <w:t>perdurent</w:t>
      </w:r>
      <w:r w:rsidR="0003424E" w:rsidRPr="00FB5D79">
        <w:rPr>
          <w:i/>
        </w:rPr>
        <w:t xml:space="preserve"> après </w:t>
      </w:r>
      <w:r w:rsidR="004836F9" w:rsidRPr="00FB5D79">
        <w:rPr>
          <w:i/>
        </w:rPr>
        <w:t xml:space="preserve">que </w:t>
      </w:r>
      <w:r w:rsidR="0003424E" w:rsidRPr="00FB5D79">
        <w:rPr>
          <w:i/>
        </w:rPr>
        <w:t>l</w:t>
      </w:r>
      <w:r w:rsidR="00646944" w:rsidRPr="00FB5D79">
        <w:rPr>
          <w:i/>
        </w:rPr>
        <w:t>’</w:t>
      </w:r>
      <w:r w:rsidR="0003424E" w:rsidRPr="00FB5D79">
        <w:rPr>
          <w:i/>
        </w:rPr>
        <w:t>aide</w:t>
      </w:r>
      <w:r w:rsidR="004836F9" w:rsidRPr="00FB5D79">
        <w:rPr>
          <w:i/>
        </w:rPr>
        <w:t xml:space="preserve"> a été apportée</w:t>
      </w:r>
      <w:r w:rsidR="00D70A8A" w:rsidRPr="00FB5D79">
        <w:rPr>
          <w:i/>
        </w:rPr>
        <w:t>.</w:t>
      </w:r>
    </w:p>
    <w:p w14:paraId="3805AC10" w14:textId="77777777" w:rsidR="00735A4B" w:rsidRPr="00FB5D79" w:rsidRDefault="00735A4B" w:rsidP="00735A4B">
      <w:pPr>
        <w:jc w:val="both"/>
      </w:pPr>
    </w:p>
    <w:p w14:paraId="6646DD69" w14:textId="6EF2F63F" w:rsidR="00646944" w:rsidRPr="00FB5D79" w:rsidRDefault="0003424E" w:rsidP="00735A4B">
      <w:pPr>
        <w:jc w:val="both"/>
      </w:pPr>
      <w:r w:rsidRPr="00FB5D79">
        <w:t>Tout en préservant son indépendance, l</w:t>
      </w:r>
      <w:r w:rsidR="00646944" w:rsidRPr="00FB5D79">
        <w:t>’</w:t>
      </w:r>
      <w:r w:rsidRPr="00FB5D79">
        <w:t>évaluation a appliqué une méthodologie participative en associant les principales parties prenantes au processus afin d</w:t>
      </w:r>
      <w:r w:rsidR="00646944" w:rsidRPr="00FB5D79">
        <w:t>’</w:t>
      </w:r>
      <w:r w:rsidRPr="00FB5D79">
        <w:t>obtenir un degré élevé d</w:t>
      </w:r>
      <w:r w:rsidR="00646944" w:rsidRPr="00FB5D79">
        <w:t>’</w:t>
      </w:r>
      <w:r w:rsidRPr="00FB5D79">
        <w:t xml:space="preserve">appropriation des </w:t>
      </w:r>
      <w:r w:rsidR="004836F9" w:rsidRPr="00FB5D79">
        <w:t>résultats</w:t>
      </w:r>
      <w:r w:rsidRPr="00FB5D79">
        <w:t xml:space="preserve"> de l</w:t>
      </w:r>
      <w:r w:rsidR="00646944" w:rsidRPr="00FB5D79">
        <w:t>’</w:t>
      </w:r>
      <w:r w:rsidRPr="00FB5D79">
        <w:t xml:space="preserve">évaluation et </w:t>
      </w:r>
      <w:r w:rsidR="00FF5BE0" w:rsidRPr="00FB5D79">
        <w:t>de veiller à ce que l</w:t>
      </w:r>
      <w:r w:rsidR="00646944" w:rsidRPr="00FB5D79">
        <w:t>’</w:t>
      </w:r>
      <w:r w:rsidR="00FF5BE0" w:rsidRPr="00FB5D79">
        <w:t>Organisation en tire des enseignemen</w:t>
      </w:r>
      <w:r w:rsidR="00172764" w:rsidRPr="00FB5D79">
        <w:t>ts.  L’é</w:t>
      </w:r>
      <w:r w:rsidRPr="00FB5D79">
        <w:t xml:space="preserve">valuation a fait appel à divers outils, notamment des </w:t>
      </w:r>
      <w:r w:rsidR="00E5115D" w:rsidRPr="00FB5D79">
        <w:t>entretiens</w:t>
      </w:r>
      <w:r w:rsidRPr="00FB5D79">
        <w:t xml:space="preserve"> avec </w:t>
      </w:r>
      <w:r w:rsidR="00FF5BE0" w:rsidRPr="00FB5D79">
        <w:t>les</w:t>
      </w:r>
      <w:r w:rsidRPr="00FB5D79">
        <w:t xml:space="preserve"> </w:t>
      </w:r>
      <w:r w:rsidR="00FF5BE0" w:rsidRPr="00FB5D79">
        <w:t xml:space="preserve">principales </w:t>
      </w:r>
      <w:r w:rsidR="00E5115D" w:rsidRPr="00FB5D79">
        <w:t>parties prenantes</w:t>
      </w:r>
      <w:r w:rsidRPr="00FB5D79">
        <w:t xml:space="preserve">, des </w:t>
      </w:r>
      <w:r w:rsidR="00E5115D" w:rsidRPr="00FB5D79">
        <w:t>questionnaires</w:t>
      </w:r>
      <w:r w:rsidRPr="00FB5D79">
        <w:t xml:space="preserve"> d</w:t>
      </w:r>
      <w:r w:rsidR="00646944" w:rsidRPr="00FB5D79">
        <w:t>’</w:t>
      </w:r>
      <w:r w:rsidRPr="00FB5D79">
        <w:t>auto</w:t>
      </w:r>
      <w:r w:rsidR="00965F3A">
        <w:t>-</w:t>
      </w:r>
      <w:r w:rsidRPr="00FB5D79">
        <w:t>évaluation en ligne et l</w:t>
      </w:r>
      <w:r w:rsidR="00646944" w:rsidRPr="00FB5D79">
        <w:t>’</w:t>
      </w:r>
      <w:r w:rsidRPr="00FB5D79">
        <w:t>analyse de documents structur</w:t>
      </w:r>
      <w:r w:rsidR="00172764" w:rsidRPr="00FB5D79">
        <w:t>és.  La</w:t>
      </w:r>
      <w:r w:rsidRPr="00FB5D79">
        <w:t xml:space="preserve"> méthode de </w:t>
      </w:r>
      <w:r w:rsidR="00F874E4" w:rsidRPr="00FB5D79">
        <w:t>collecte</w:t>
      </w:r>
      <w:r w:rsidRPr="00FB5D79">
        <w:t xml:space="preserve"> des données a été adaptée au groupe spécifique </w:t>
      </w:r>
      <w:r w:rsidR="00D82280" w:rsidRPr="00FB5D79">
        <w:t>de parties prenantes</w:t>
      </w:r>
      <w:r w:rsidR="00FF5BE0" w:rsidRPr="00FB5D79">
        <w:t xml:space="preserve"> impliquées dans le</w:t>
      </w:r>
      <w:r w:rsidR="00E84F3F" w:rsidRPr="00FB5D79">
        <w:t xml:space="preserve"> projet (tableau </w:t>
      </w:r>
      <w:r w:rsidRPr="00FB5D79">
        <w:t>1)</w:t>
      </w:r>
      <w:r w:rsidR="00611031" w:rsidRPr="00FB5D79">
        <w:t xml:space="preserve">.  </w:t>
      </w:r>
      <w:r w:rsidR="00FF5BE0" w:rsidRPr="00FB5D79">
        <w:t>Le</w:t>
      </w:r>
      <w:r w:rsidRPr="00FB5D79">
        <w:t>s sources d</w:t>
      </w:r>
      <w:r w:rsidR="00646944" w:rsidRPr="00FB5D79">
        <w:t>’</w:t>
      </w:r>
      <w:r w:rsidRPr="00FB5D79">
        <w:t xml:space="preserve">information les plus fiables et les plus appropriées </w:t>
      </w:r>
      <w:r w:rsidR="004836F9" w:rsidRPr="00FB5D79">
        <w:t>ainsi que les données primaires et secondaires obtenues par triangulation (contre</w:t>
      </w:r>
      <w:r w:rsidR="00965F3A">
        <w:t>-</w:t>
      </w:r>
      <w:r w:rsidR="004836F9" w:rsidRPr="00FB5D79">
        <w:t>validées) ont été utilisées</w:t>
      </w:r>
      <w:r w:rsidR="00611031" w:rsidRPr="00FB5D79">
        <w:t>.</w:t>
      </w:r>
    </w:p>
    <w:p w14:paraId="3337AA51" w14:textId="7D314592" w:rsidR="00735A4B" w:rsidRPr="00FB5D79" w:rsidRDefault="00735A4B" w:rsidP="00735A4B">
      <w:pPr>
        <w:jc w:val="both"/>
      </w:pPr>
    </w:p>
    <w:p w14:paraId="798DAA82" w14:textId="3F7C42DF" w:rsidR="00735A4B" w:rsidRPr="00FB5D79" w:rsidRDefault="00735A4B" w:rsidP="00735A4B">
      <w:pPr>
        <w:jc w:val="both"/>
        <w:rPr>
          <w:b/>
        </w:rPr>
      </w:pPr>
      <w:r w:rsidRPr="00FB5D79">
        <w:rPr>
          <w:b/>
        </w:rPr>
        <w:t>Table</w:t>
      </w:r>
      <w:r w:rsidR="0003424E" w:rsidRPr="00FB5D79">
        <w:rPr>
          <w:b/>
        </w:rPr>
        <w:t>au </w:t>
      </w:r>
      <w:r w:rsidRPr="00FB5D79">
        <w:rPr>
          <w:b/>
        </w:rPr>
        <w:t>1</w:t>
      </w:r>
      <w:r w:rsidR="00965F3A">
        <w:rPr>
          <w:b/>
        </w:rPr>
        <w:t> :</w:t>
      </w:r>
      <w:r w:rsidRPr="00FB5D79">
        <w:rPr>
          <w:b/>
        </w:rPr>
        <w:t xml:space="preserve"> </w:t>
      </w:r>
      <w:r w:rsidR="0003424E" w:rsidRPr="00FB5D79">
        <w:rPr>
          <w:b/>
        </w:rPr>
        <w:t>Groupes de parties prenantes et outils de collecte de</w:t>
      </w:r>
      <w:r w:rsidR="00F80A9F" w:rsidRPr="00FB5D79">
        <w:rPr>
          <w:b/>
        </w:rPr>
        <w:t>s</w:t>
      </w:r>
      <w:r w:rsidR="0003424E" w:rsidRPr="00FB5D79">
        <w:rPr>
          <w:b/>
        </w:rPr>
        <w:t xml:space="preserve"> données</w:t>
      </w:r>
    </w:p>
    <w:p w14:paraId="4AD32933" w14:textId="77777777" w:rsidR="00735A4B" w:rsidRPr="00FB5D79" w:rsidRDefault="00735A4B" w:rsidP="00735A4B">
      <w:pPr>
        <w:jc w:val="both"/>
        <w:rPr>
          <w:b/>
        </w:rPr>
      </w:pPr>
    </w:p>
    <w:tbl>
      <w:tblPr>
        <w:tblStyle w:val="MediumGrid3-Accent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077"/>
        <w:gridCol w:w="1289"/>
        <w:gridCol w:w="1585"/>
        <w:gridCol w:w="1696"/>
      </w:tblGrid>
      <w:tr w:rsidR="00735A4B" w:rsidRPr="00FB5D79" w14:paraId="52C86837" w14:textId="77777777" w:rsidTr="00D82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1E059A1" w14:textId="5ADF6A37" w:rsidR="00735A4B" w:rsidRPr="00FB5D79" w:rsidRDefault="00735A4B" w:rsidP="00A60393">
            <w:pPr>
              <w:jc w:val="both"/>
            </w:pPr>
            <w:r w:rsidRPr="00FB5D79">
              <w:rPr>
                <w:noProof/>
                <w:lang w:val="en-US" w:eastAsia="en-US"/>
              </w:rPr>
              <mc:AlternateContent>
                <mc:Choice Requires="wps">
                  <w:drawing>
                    <wp:anchor distT="0" distB="0" distL="114300" distR="114300" simplePos="0" relativeHeight="251660800" behindDoc="0" locked="0" layoutInCell="1" allowOverlap="1" wp14:anchorId="6A85700E" wp14:editId="1C28C7CB">
                      <wp:simplePos x="0" y="0"/>
                      <wp:positionH relativeFrom="column">
                        <wp:posOffset>-54610</wp:posOffset>
                      </wp:positionH>
                      <wp:positionV relativeFrom="paragraph">
                        <wp:posOffset>16007</wp:posOffset>
                      </wp:positionV>
                      <wp:extent cx="2570672" cy="396815"/>
                      <wp:effectExtent l="0" t="0" r="20320" b="22860"/>
                      <wp:wrapNone/>
                      <wp:docPr id="5" name="Straight Connector 5"/>
                      <wp:cNvGraphicFramePr/>
                      <a:graphic xmlns:a="http://schemas.openxmlformats.org/drawingml/2006/main">
                        <a:graphicData uri="http://schemas.microsoft.com/office/word/2010/wordprocessingShape">
                          <wps:wsp>
                            <wps:cNvCnPr/>
                            <wps:spPr>
                              <a:xfrm>
                                <a:off x="0" y="0"/>
                                <a:ext cx="2570672" cy="396815"/>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D41D45"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" strokecolor="window"/>
                  </w:pict>
                </mc:Fallback>
              </mc:AlternateContent>
            </w:r>
            <w:r w:rsidR="00F80A9F" w:rsidRPr="00FB5D79">
              <w:t xml:space="preserve"> Méthode de collecte des données</w:t>
            </w:r>
          </w:p>
          <w:p w14:paraId="11BF31E5" w14:textId="3BE1133E" w:rsidR="00735A4B" w:rsidRPr="00FB5D79" w:rsidRDefault="0003424E" w:rsidP="00F80A9F">
            <w:pPr>
              <w:jc w:val="both"/>
            </w:pPr>
            <w:r w:rsidRPr="00FB5D79">
              <w:t xml:space="preserve">Groupes </w:t>
            </w:r>
            <w:r w:rsidR="00F80A9F" w:rsidRPr="00FB5D79">
              <w:br/>
              <w:t xml:space="preserve">de </w:t>
            </w:r>
            <w:r w:rsidRPr="00FB5D79">
              <w:t>parties prenantes</w:t>
            </w:r>
          </w:p>
        </w:tc>
        <w:tc>
          <w:tcPr>
            <w:tcW w:w="1289" w:type="dxa"/>
            <w:tcBorders>
              <w:bottom w:val="single" w:sz="4" w:space="0" w:color="auto"/>
            </w:tcBorders>
          </w:tcPr>
          <w:p w14:paraId="6EE9E213" w14:textId="2F4DC5EC" w:rsidR="00735A4B" w:rsidRPr="00FB5D79" w:rsidRDefault="00F80A9F" w:rsidP="00A60393">
            <w:pPr>
              <w:jc w:val="both"/>
              <w:cnfStyle w:val="100000000000" w:firstRow="1" w:lastRow="0" w:firstColumn="0" w:lastColumn="0" w:oddVBand="0" w:evenVBand="0" w:oddHBand="0" w:evenHBand="0" w:firstRowFirstColumn="0" w:firstRowLastColumn="0" w:lastRowFirstColumn="0" w:lastRowLastColumn="0"/>
            </w:pPr>
            <w:r w:rsidRPr="00FB5D79">
              <w:t>Entretien en face à face</w:t>
            </w:r>
            <w:r w:rsidR="00735A4B" w:rsidRPr="00FB5D79">
              <w:t xml:space="preserve"> </w:t>
            </w:r>
          </w:p>
        </w:tc>
        <w:tc>
          <w:tcPr>
            <w:tcW w:w="1585" w:type="dxa"/>
          </w:tcPr>
          <w:p w14:paraId="1D92E279" w14:textId="2D5460F2" w:rsidR="00735A4B" w:rsidRPr="00FB5D79" w:rsidRDefault="00F80A9F" w:rsidP="00A60393">
            <w:pPr>
              <w:jc w:val="both"/>
              <w:cnfStyle w:val="100000000000" w:firstRow="1" w:lastRow="0" w:firstColumn="0" w:lastColumn="0" w:oddVBand="0" w:evenVBand="0" w:oddHBand="0" w:evenHBand="0" w:firstRowFirstColumn="0" w:firstRowLastColumn="0" w:lastRowFirstColumn="0" w:lastRowLastColumn="0"/>
            </w:pPr>
            <w:r w:rsidRPr="00FB5D79">
              <w:t>Entretien téléphonique</w:t>
            </w:r>
          </w:p>
        </w:tc>
        <w:tc>
          <w:tcPr>
            <w:tcW w:w="1696" w:type="dxa"/>
          </w:tcPr>
          <w:p w14:paraId="27070144" w14:textId="47BF4EAD" w:rsidR="00735A4B" w:rsidRPr="00FB5D79" w:rsidRDefault="00F80A9F" w:rsidP="00A60393">
            <w:pPr>
              <w:jc w:val="both"/>
              <w:cnfStyle w:val="100000000000" w:firstRow="1" w:lastRow="0" w:firstColumn="0" w:lastColumn="0" w:oddVBand="0" w:evenVBand="0" w:oddHBand="0" w:evenHBand="0" w:firstRowFirstColumn="0" w:firstRowLastColumn="0" w:lastRowFirstColumn="0" w:lastRowLastColumn="0"/>
            </w:pPr>
            <w:r w:rsidRPr="00FB5D79">
              <w:t>Questionnaire en ligne</w:t>
            </w:r>
          </w:p>
        </w:tc>
      </w:tr>
      <w:tr w:rsidR="00735A4B" w:rsidRPr="00FB5D79" w14:paraId="408D12C7" w14:textId="77777777" w:rsidTr="00D8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4" w:space="0" w:color="auto"/>
            </w:tcBorders>
          </w:tcPr>
          <w:p w14:paraId="6D52F000" w14:textId="4294396D" w:rsidR="00735A4B" w:rsidRPr="00FB5D79" w:rsidRDefault="00F80A9F" w:rsidP="00F80A9F">
            <w:pPr>
              <w:jc w:val="both"/>
            </w:pPr>
            <w:r w:rsidRPr="00FB5D79">
              <w:t>Secrétariat de l</w:t>
            </w:r>
            <w:r w:rsidR="00646944" w:rsidRPr="00FB5D79">
              <w:t>’</w:t>
            </w:r>
            <w:r w:rsidRPr="00FB5D79">
              <w:t>OMPI</w:t>
            </w:r>
          </w:p>
        </w:tc>
        <w:tc>
          <w:tcPr>
            <w:tcW w:w="1289" w:type="dxa"/>
            <w:tcBorders>
              <w:top w:val="single" w:sz="4" w:space="0" w:color="auto"/>
              <w:left w:val="single" w:sz="4" w:space="0" w:color="auto"/>
              <w:bottom w:val="single" w:sz="4" w:space="0" w:color="auto"/>
              <w:right w:val="single" w:sz="4" w:space="0" w:color="auto"/>
            </w:tcBorders>
          </w:tcPr>
          <w:p w14:paraId="21CE3107" w14:textId="77777777" w:rsidR="00735A4B" w:rsidRPr="00FB5D79" w:rsidRDefault="00735A4B" w:rsidP="00A60393">
            <w:pPr>
              <w:jc w:val="both"/>
              <w:cnfStyle w:val="000000100000" w:firstRow="0" w:lastRow="0" w:firstColumn="0" w:lastColumn="0" w:oddVBand="0" w:evenVBand="0" w:oddHBand="1" w:evenHBand="0" w:firstRowFirstColumn="0" w:firstRowLastColumn="0" w:lastRowFirstColumn="0" w:lastRowLastColumn="0"/>
            </w:pPr>
            <w:r w:rsidRPr="00FB5D79">
              <w:t>X</w:t>
            </w:r>
          </w:p>
        </w:tc>
        <w:tc>
          <w:tcPr>
            <w:tcW w:w="1585" w:type="dxa"/>
            <w:tcBorders>
              <w:left w:val="single" w:sz="4" w:space="0" w:color="auto"/>
            </w:tcBorders>
          </w:tcPr>
          <w:p w14:paraId="7E3BAB49" w14:textId="77777777" w:rsidR="00735A4B" w:rsidRPr="00FB5D79" w:rsidRDefault="00735A4B" w:rsidP="00A60393">
            <w:pPr>
              <w:jc w:val="both"/>
              <w:cnfStyle w:val="000000100000" w:firstRow="0" w:lastRow="0" w:firstColumn="0" w:lastColumn="0" w:oddVBand="0" w:evenVBand="0" w:oddHBand="1" w:evenHBand="0" w:firstRowFirstColumn="0" w:firstRowLastColumn="0" w:lastRowFirstColumn="0" w:lastRowLastColumn="0"/>
            </w:pPr>
          </w:p>
        </w:tc>
        <w:tc>
          <w:tcPr>
            <w:tcW w:w="1696" w:type="dxa"/>
          </w:tcPr>
          <w:p w14:paraId="5227163D" w14:textId="77777777" w:rsidR="00735A4B" w:rsidRPr="00FB5D79" w:rsidRDefault="00735A4B" w:rsidP="00A60393">
            <w:pPr>
              <w:jc w:val="both"/>
              <w:cnfStyle w:val="000000100000" w:firstRow="0" w:lastRow="0" w:firstColumn="0" w:lastColumn="0" w:oddVBand="0" w:evenVBand="0" w:oddHBand="1" w:evenHBand="0" w:firstRowFirstColumn="0" w:firstRowLastColumn="0" w:lastRowFirstColumn="0" w:lastRowLastColumn="0"/>
            </w:pPr>
          </w:p>
        </w:tc>
      </w:tr>
      <w:tr w:rsidR="00735A4B" w:rsidRPr="00FB5D79" w14:paraId="58A71E74" w14:textId="77777777" w:rsidTr="00D82280">
        <w:tc>
          <w:tcPr>
            <w:cnfStyle w:val="001000000000" w:firstRow="0" w:lastRow="0" w:firstColumn="1" w:lastColumn="0" w:oddVBand="0" w:evenVBand="0" w:oddHBand="0" w:evenHBand="0" w:firstRowFirstColumn="0" w:firstRowLastColumn="0" w:lastRowFirstColumn="0" w:lastRowLastColumn="0"/>
            <w:tcW w:w="4077" w:type="dxa"/>
          </w:tcPr>
          <w:p w14:paraId="7F16365A" w14:textId="40310708" w:rsidR="00735A4B" w:rsidRPr="00FB5D79" w:rsidRDefault="00F80A9F" w:rsidP="006D55FD">
            <w:pPr>
              <w:jc w:val="both"/>
            </w:pPr>
            <w:r w:rsidRPr="00FB5D79">
              <w:t xml:space="preserve">Délégations des États membres, </w:t>
            </w:r>
            <w:r w:rsidR="006D55FD" w:rsidRPr="00FB5D79">
              <w:t>offices nationaux de propriété intellectuelle</w:t>
            </w:r>
            <w:r w:rsidRPr="00FB5D79">
              <w:t>, experts nationaux et internationaux et parties prenantes en général</w:t>
            </w:r>
          </w:p>
        </w:tc>
        <w:tc>
          <w:tcPr>
            <w:tcW w:w="1289" w:type="dxa"/>
            <w:tcBorders>
              <w:top w:val="single" w:sz="4" w:space="0" w:color="auto"/>
            </w:tcBorders>
          </w:tcPr>
          <w:p w14:paraId="123027A3" w14:textId="77777777" w:rsidR="00735A4B" w:rsidRPr="00FB5D79" w:rsidRDefault="00735A4B" w:rsidP="00A60393">
            <w:pPr>
              <w:jc w:val="both"/>
              <w:cnfStyle w:val="000000000000" w:firstRow="0" w:lastRow="0" w:firstColumn="0" w:lastColumn="0" w:oddVBand="0" w:evenVBand="0" w:oddHBand="0" w:evenHBand="0" w:firstRowFirstColumn="0" w:firstRowLastColumn="0" w:lastRowFirstColumn="0" w:lastRowLastColumn="0"/>
            </w:pPr>
          </w:p>
        </w:tc>
        <w:tc>
          <w:tcPr>
            <w:tcW w:w="1585" w:type="dxa"/>
          </w:tcPr>
          <w:p w14:paraId="5C6D6551" w14:textId="77777777" w:rsidR="00735A4B" w:rsidRPr="00FB5D79" w:rsidRDefault="00735A4B" w:rsidP="00A60393">
            <w:pPr>
              <w:jc w:val="both"/>
              <w:cnfStyle w:val="000000000000" w:firstRow="0" w:lastRow="0" w:firstColumn="0" w:lastColumn="0" w:oddVBand="0" w:evenVBand="0" w:oddHBand="0" w:evenHBand="0" w:firstRowFirstColumn="0" w:firstRowLastColumn="0" w:lastRowFirstColumn="0" w:lastRowLastColumn="0"/>
            </w:pPr>
            <w:r w:rsidRPr="00FB5D79">
              <w:t>X</w:t>
            </w:r>
          </w:p>
        </w:tc>
        <w:tc>
          <w:tcPr>
            <w:tcW w:w="1696" w:type="dxa"/>
          </w:tcPr>
          <w:p w14:paraId="6BD4AABE" w14:textId="77777777" w:rsidR="00735A4B" w:rsidRPr="00FB5D79" w:rsidRDefault="00735A4B" w:rsidP="00A60393">
            <w:pPr>
              <w:jc w:val="both"/>
              <w:cnfStyle w:val="000000000000" w:firstRow="0" w:lastRow="0" w:firstColumn="0" w:lastColumn="0" w:oddVBand="0" w:evenVBand="0" w:oddHBand="0" w:evenHBand="0" w:firstRowFirstColumn="0" w:firstRowLastColumn="0" w:lastRowFirstColumn="0" w:lastRowLastColumn="0"/>
            </w:pPr>
            <w:r w:rsidRPr="00FB5D79">
              <w:t>X</w:t>
            </w:r>
          </w:p>
        </w:tc>
      </w:tr>
    </w:tbl>
    <w:p w14:paraId="1E48237B" w14:textId="77777777" w:rsidR="00735A4B" w:rsidRPr="00FB5D79" w:rsidRDefault="00735A4B" w:rsidP="00735A4B">
      <w:pPr>
        <w:jc w:val="both"/>
      </w:pPr>
    </w:p>
    <w:p w14:paraId="0D759C47" w14:textId="29A94209" w:rsidR="00F80A9F" w:rsidRPr="00FB5D79" w:rsidRDefault="00F80A9F" w:rsidP="00F80A9F">
      <w:pPr>
        <w:jc w:val="both"/>
      </w:pPr>
      <w:r w:rsidRPr="00FB5D79">
        <w:t xml:space="preserve">Les </w:t>
      </w:r>
      <w:r w:rsidR="004C57F1" w:rsidRPr="00FB5D79">
        <w:t>principales</w:t>
      </w:r>
      <w:r w:rsidRPr="00FB5D79">
        <w:t xml:space="preserve"> </w:t>
      </w:r>
      <w:r w:rsidR="004C57F1" w:rsidRPr="00FB5D79">
        <w:t>parties prenantes</w:t>
      </w:r>
      <w:r w:rsidRPr="00FB5D79">
        <w:t xml:space="preserve"> internes et </w:t>
      </w:r>
      <w:r w:rsidR="004C57F1" w:rsidRPr="00FB5D79">
        <w:t>extérieures</w:t>
      </w:r>
      <w:r w:rsidRPr="00FB5D79">
        <w:t xml:space="preserve"> ont été </w:t>
      </w:r>
      <w:r w:rsidR="004C57F1" w:rsidRPr="00FB5D79">
        <w:t>interrogées</w:t>
      </w:r>
      <w:r w:rsidRPr="00FB5D79">
        <w:t xml:space="preserve"> (par téléphone ou en </w:t>
      </w:r>
      <w:r w:rsidR="004C57F1" w:rsidRPr="00FB5D79">
        <w:t>face à face</w:t>
      </w:r>
      <w:r w:rsidRPr="00FB5D79">
        <w:t>)</w:t>
      </w:r>
      <w:r w:rsidR="004C57F1" w:rsidRPr="00FB5D79">
        <w:t>,</w:t>
      </w:r>
      <w:r w:rsidRPr="00FB5D79">
        <w:t xml:space="preserve"> et les </w:t>
      </w:r>
      <w:r w:rsidR="001F2ECA" w:rsidRPr="00FB5D79">
        <w:t>comptes rendus d</w:t>
      </w:r>
      <w:r w:rsidR="00646944" w:rsidRPr="00FB5D79">
        <w:t>’</w:t>
      </w:r>
      <w:r w:rsidR="001F2ECA" w:rsidRPr="00FB5D79">
        <w:t xml:space="preserve">entretien </w:t>
      </w:r>
      <w:r w:rsidRPr="00FB5D79">
        <w:t>ont été organisés de manière à ce que l</w:t>
      </w:r>
      <w:r w:rsidR="00CF3DAE" w:rsidRPr="00FB5D79">
        <w:t xml:space="preserve">es informations </w:t>
      </w:r>
      <w:r w:rsidRPr="00FB5D79">
        <w:t>obt</w:t>
      </w:r>
      <w:r w:rsidR="00CF3DAE" w:rsidRPr="00FB5D79">
        <w:t xml:space="preserve">enues soient faciles </w:t>
      </w:r>
      <w:r w:rsidRPr="00FB5D79">
        <w:t>à traiter et à analyser</w:t>
      </w:r>
      <w:r w:rsidR="00611031" w:rsidRPr="00FB5D79">
        <w:t xml:space="preserve">.  </w:t>
      </w:r>
      <w:r w:rsidRPr="00FB5D79">
        <w:t xml:space="preserve">(Voir </w:t>
      </w:r>
      <w:r w:rsidR="004C57F1" w:rsidRPr="00FB5D79">
        <w:t>l</w:t>
      </w:r>
      <w:r w:rsidR="00646944" w:rsidRPr="00FB5D79">
        <w:t>’</w:t>
      </w:r>
      <w:r w:rsidR="004C57F1" w:rsidRPr="00FB5D79">
        <w:t>annexe </w:t>
      </w:r>
      <w:r w:rsidRPr="00FB5D79">
        <w:t>III</w:t>
      </w:r>
      <w:r w:rsidR="00965F3A">
        <w:t> :</w:t>
      </w:r>
      <w:r w:rsidRPr="00FB5D79">
        <w:t xml:space="preserve"> liste des parties prenantes interrogées</w:t>
      </w:r>
      <w:r w:rsidR="004F4030" w:rsidRPr="00FB5D79">
        <w:t>.)</w:t>
      </w:r>
    </w:p>
    <w:p w14:paraId="73F91540" w14:textId="77777777" w:rsidR="00F80A9F" w:rsidRPr="00FB5D79" w:rsidRDefault="00F80A9F" w:rsidP="00F80A9F">
      <w:pPr>
        <w:jc w:val="both"/>
      </w:pPr>
    </w:p>
    <w:p w14:paraId="35B120B3" w14:textId="60F2C23F" w:rsidR="00F80A9F" w:rsidRPr="00FB5D79" w:rsidRDefault="00F80A9F" w:rsidP="00F80A9F">
      <w:pPr>
        <w:jc w:val="both"/>
      </w:pPr>
      <w:r w:rsidRPr="00FB5D79">
        <w:t xml:space="preserve">Les personnes </w:t>
      </w:r>
      <w:r w:rsidR="00CF3DAE" w:rsidRPr="00FB5D79">
        <w:t xml:space="preserve">extérieures </w:t>
      </w:r>
      <w:r w:rsidRPr="00FB5D79">
        <w:t>interrogées ont partagé ouvertement des informations</w:t>
      </w:r>
      <w:r w:rsidR="00CF3DAE" w:rsidRPr="00FB5D79">
        <w:t>,</w:t>
      </w:r>
      <w:r w:rsidRPr="00FB5D79">
        <w:t xml:space="preserve"> des idées </w:t>
      </w:r>
      <w:r w:rsidR="00CF3DAE" w:rsidRPr="00FB5D79">
        <w:t xml:space="preserve">personnelles </w:t>
      </w:r>
      <w:r w:rsidRPr="00FB5D79">
        <w:t xml:space="preserve">et des expériences ainsi que des </w:t>
      </w:r>
      <w:r w:rsidR="00CF3DAE" w:rsidRPr="00FB5D79">
        <w:t>enseignements qu</w:t>
      </w:r>
      <w:r w:rsidR="00646944" w:rsidRPr="00FB5D79">
        <w:t>’</w:t>
      </w:r>
      <w:r w:rsidR="00CF3DAE" w:rsidRPr="00FB5D79">
        <w:t>elles ont tirés</w:t>
      </w:r>
      <w:r w:rsidRPr="00FB5D79">
        <w:t xml:space="preserve"> </w:t>
      </w:r>
      <w:r w:rsidR="00CF3DAE" w:rsidRPr="00FB5D79">
        <w:t xml:space="preserve">en matière </w:t>
      </w:r>
      <w:r w:rsidR="00ED0B1F" w:rsidRPr="00FB5D79">
        <w:t xml:space="preserve">de mise en œuvre </w:t>
      </w:r>
      <w:r w:rsidRPr="00FB5D79">
        <w:t>du projet.</w:t>
      </w:r>
    </w:p>
    <w:p w14:paraId="674054F5" w14:textId="77777777" w:rsidR="00F80A9F" w:rsidRPr="00FB5D79" w:rsidRDefault="00F80A9F" w:rsidP="00F80A9F">
      <w:pPr>
        <w:jc w:val="both"/>
      </w:pPr>
    </w:p>
    <w:p w14:paraId="4CFC77A3" w14:textId="77777777" w:rsidR="00CF3DAE" w:rsidRPr="00FB5D79" w:rsidRDefault="00CF3DAE">
      <w:r w:rsidRPr="00FB5D79">
        <w:br w:type="page"/>
      </w:r>
    </w:p>
    <w:p w14:paraId="2A08245B" w14:textId="3B4DC6CA" w:rsidR="00F80A9F" w:rsidRPr="00FB5D79" w:rsidRDefault="00F80A9F" w:rsidP="00F80A9F">
      <w:pPr>
        <w:jc w:val="both"/>
      </w:pPr>
      <w:r w:rsidRPr="00FB5D79">
        <w:lastRenderedPageBreak/>
        <w:t>T</w:t>
      </w:r>
      <w:r w:rsidR="006815FF" w:rsidRPr="00FB5D79">
        <w:t>ous les membres du p</w:t>
      </w:r>
      <w:r w:rsidRPr="00FB5D79">
        <w:t>ersonnel de l</w:t>
      </w:r>
      <w:r w:rsidR="00646944" w:rsidRPr="00FB5D79">
        <w:t>’</w:t>
      </w:r>
      <w:r w:rsidRPr="00FB5D79">
        <w:t xml:space="preserve">OMPI, </w:t>
      </w:r>
      <w:r w:rsidR="00316C8D" w:rsidRPr="00FB5D79">
        <w:t>notamment</w:t>
      </w:r>
      <w:r w:rsidR="00CF3DAE" w:rsidRPr="00FB5D79">
        <w:t xml:space="preserve"> ceux du Programme </w:t>
      </w:r>
      <w:r w:rsidRPr="00FB5D79">
        <w:t xml:space="preserve">16, </w:t>
      </w:r>
      <w:r w:rsidR="006815FF" w:rsidRPr="00FB5D79">
        <w:t>ont</w:t>
      </w:r>
      <w:r w:rsidRPr="00FB5D79">
        <w:t xml:space="preserve"> </w:t>
      </w:r>
      <w:r w:rsidR="006815FF" w:rsidRPr="00FB5D79">
        <w:t>participé</w:t>
      </w:r>
      <w:r w:rsidRPr="00FB5D79">
        <w:t xml:space="preserve"> </w:t>
      </w:r>
      <w:r w:rsidR="006815FF" w:rsidRPr="00FB5D79">
        <w:t>activement au</w:t>
      </w:r>
      <w:r w:rsidRPr="00FB5D79">
        <w:t xml:space="preserve"> processus d</w:t>
      </w:r>
      <w:r w:rsidR="00646944" w:rsidRPr="00FB5D79">
        <w:t>’</w:t>
      </w:r>
      <w:r w:rsidRPr="00FB5D79">
        <w:t xml:space="preserve">évaluation, en fournissant en temps utile un accès </w:t>
      </w:r>
      <w:r w:rsidR="006815FF" w:rsidRPr="00FB5D79">
        <w:t>aux</w:t>
      </w:r>
      <w:r w:rsidRPr="00FB5D79">
        <w:t xml:space="preserve"> </w:t>
      </w:r>
      <w:r w:rsidR="006815FF" w:rsidRPr="00FB5D79">
        <w:t>informations</w:t>
      </w:r>
      <w:r w:rsidRPr="00FB5D79">
        <w:t xml:space="preserve"> et à la documentation pertinente sur la formulation et </w:t>
      </w:r>
      <w:r w:rsidR="000910FD" w:rsidRPr="00FB5D79">
        <w:t xml:space="preserve">la mise en œuvre </w:t>
      </w:r>
      <w:r w:rsidRPr="00FB5D79">
        <w:t>du proj</w:t>
      </w:r>
      <w:r w:rsidR="00172764" w:rsidRPr="00FB5D79">
        <w:t>et.  Le</w:t>
      </w:r>
      <w:r w:rsidRPr="00FB5D79">
        <w:t>ur spontanéité, leur enthousiasme et leur franchise sont très appréciés.</w:t>
      </w:r>
    </w:p>
    <w:p w14:paraId="15677960" w14:textId="77777777" w:rsidR="00F80A9F" w:rsidRPr="00FB5D79" w:rsidRDefault="00F80A9F" w:rsidP="00F80A9F">
      <w:pPr>
        <w:jc w:val="both"/>
      </w:pPr>
    </w:p>
    <w:p w14:paraId="362E67D2" w14:textId="39D3035E" w:rsidR="00646944" w:rsidRPr="00FB5D79" w:rsidRDefault="00F80A9F" w:rsidP="00F80A9F">
      <w:pPr>
        <w:jc w:val="both"/>
      </w:pPr>
      <w:r w:rsidRPr="00FB5D79">
        <w:t xml:space="preserve">Afin de </w:t>
      </w:r>
      <w:r w:rsidR="005C18B7" w:rsidRPr="00FB5D79">
        <w:t>veiller à ce que l</w:t>
      </w:r>
      <w:r w:rsidR="00646944" w:rsidRPr="00FB5D79">
        <w:t>’</w:t>
      </w:r>
      <w:r w:rsidR="005C18B7" w:rsidRPr="00FB5D79">
        <w:t>Organisation en tire des enseignements</w:t>
      </w:r>
      <w:r w:rsidRPr="00FB5D79">
        <w:t xml:space="preserve">, le présent rapport contient des recommandations ciblées qui devraient servir à améliorer les </w:t>
      </w:r>
      <w:r w:rsidR="00A76834" w:rsidRPr="00FB5D79">
        <w:t>études à venir</w:t>
      </w:r>
      <w:r w:rsidRPr="00FB5D79">
        <w:t xml:space="preserve"> sur la propriété intellectuelle et le développement socioéconomique, tant au sein de l</w:t>
      </w:r>
      <w:r w:rsidR="00646944" w:rsidRPr="00FB5D79">
        <w:t>’</w:t>
      </w:r>
      <w:r w:rsidRPr="00FB5D79">
        <w:t>Organisation qu</w:t>
      </w:r>
      <w:r w:rsidR="00646944" w:rsidRPr="00FB5D79">
        <w:t>’</w:t>
      </w:r>
      <w:r w:rsidRPr="00FB5D79">
        <w:t>à travers les initiatives des États membres</w:t>
      </w:r>
      <w:r w:rsidR="00611031" w:rsidRPr="00FB5D79">
        <w:t>.</w:t>
      </w:r>
    </w:p>
    <w:p w14:paraId="715B3DCA" w14:textId="47A8EA39" w:rsidR="00F80A9F" w:rsidRPr="00FB5D79" w:rsidRDefault="00F80A9F" w:rsidP="00F80A9F">
      <w:pPr>
        <w:jc w:val="both"/>
      </w:pPr>
    </w:p>
    <w:p w14:paraId="6DB8EDBD" w14:textId="7E4B2FF9" w:rsidR="00735A4B" w:rsidRPr="00FB5D79" w:rsidRDefault="00F80A9F" w:rsidP="00F80A9F">
      <w:pPr>
        <w:jc w:val="both"/>
      </w:pPr>
      <w:r w:rsidRPr="00FB5D79">
        <w:t>La présentation du rapport d</w:t>
      </w:r>
      <w:r w:rsidR="00646944" w:rsidRPr="00FB5D79">
        <w:t>’</w:t>
      </w:r>
      <w:r w:rsidR="005C18B7" w:rsidRPr="00FB5D79">
        <w:t>évaluation à la vingt</w:t>
      </w:r>
      <w:r w:rsidR="00965F3A">
        <w:t>-</w:t>
      </w:r>
      <w:r w:rsidR="005C18B7" w:rsidRPr="00FB5D79">
        <w:t>deux</w:t>
      </w:r>
      <w:r w:rsidR="00965F3A">
        <w:t>ième session</w:t>
      </w:r>
      <w:r w:rsidR="00646944" w:rsidRPr="00FB5D79">
        <w:t xml:space="preserve"> du CDI</w:t>
      </w:r>
      <w:r w:rsidR="005C18B7" w:rsidRPr="00FB5D79">
        <w:t>P de novembre </w:t>
      </w:r>
      <w:r w:rsidRPr="00FB5D79">
        <w:t>2018 contribuera à la diffusion de l</w:t>
      </w:r>
      <w:r w:rsidR="00646944" w:rsidRPr="00FB5D79">
        <w:t>’</w:t>
      </w:r>
      <w:r w:rsidRPr="00FB5D79">
        <w:t xml:space="preserve">information et aux </w:t>
      </w:r>
      <w:r w:rsidR="00994101" w:rsidRPr="00FB5D79">
        <w:t>apports</w:t>
      </w:r>
      <w:r w:rsidRPr="00FB5D79">
        <w:t xml:space="preserve"> au processus décisionnel</w:t>
      </w:r>
      <w:r w:rsidR="00646944" w:rsidRPr="00FB5D79">
        <w:t xml:space="preserve"> du CDI</w:t>
      </w:r>
      <w:r w:rsidRPr="00FB5D79">
        <w:t>P et assurera la responsabilisation du Secrétariat de l</w:t>
      </w:r>
      <w:r w:rsidR="00646944" w:rsidRPr="00FB5D79">
        <w:t>’</w:t>
      </w:r>
      <w:r w:rsidRPr="00FB5D79">
        <w:t>OMPI envers ses États membres.</w:t>
      </w:r>
    </w:p>
    <w:p w14:paraId="74EB5944" w14:textId="77777777" w:rsidR="00735A4B" w:rsidRPr="00FB5D79" w:rsidRDefault="00735A4B" w:rsidP="00735A4B"/>
    <w:p w14:paraId="03D57D5B" w14:textId="25A9DF04" w:rsidR="00321245" w:rsidRPr="00C053D9" w:rsidRDefault="00C053D9" w:rsidP="00C053D9">
      <w:pPr>
        <w:pStyle w:val="Heading1"/>
      </w:pPr>
      <w:bookmarkStart w:id="12" w:name="_Toc530408361"/>
      <w:r w:rsidRPr="00C053D9">
        <w:t>Principales limites de la présente évaluation</w:t>
      </w:r>
      <w:bookmarkEnd w:id="12"/>
    </w:p>
    <w:p w14:paraId="07E2A8D7" w14:textId="4269E6B7" w:rsidR="00F80A9F" w:rsidRPr="00FB5D79" w:rsidRDefault="00F80A9F" w:rsidP="00F80A9F">
      <w:pPr>
        <w:jc w:val="both"/>
      </w:pPr>
      <w:r w:rsidRPr="00FB5D79">
        <w:t xml:space="preserve">Comme indiqué </w:t>
      </w:r>
      <w:r w:rsidR="00C8246C" w:rsidRPr="00FB5D79">
        <w:t>précédemment</w:t>
      </w:r>
      <w:r w:rsidRPr="00FB5D79">
        <w:t xml:space="preserve"> (voir par</w:t>
      </w:r>
      <w:r w:rsidR="006815FF" w:rsidRPr="00FB5D79">
        <w:t>agraphe </w:t>
      </w:r>
      <w:r w:rsidRPr="00FB5D79">
        <w:t xml:space="preserve">9, supra), la plupart des études et </w:t>
      </w:r>
      <w:r w:rsidR="005C77BB" w:rsidRPr="00FB5D79">
        <w:t xml:space="preserve">des </w:t>
      </w:r>
      <w:r w:rsidRPr="00FB5D79">
        <w:t xml:space="preserve">travaux entrepris dans le cadre du projet </w:t>
      </w:r>
      <w:r w:rsidR="007B3179" w:rsidRPr="00FB5D79">
        <w:t>sont terminés</w:t>
      </w:r>
      <w:r w:rsidR="005C77BB" w:rsidRPr="00FB5D79">
        <w:t>,</w:t>
      </w:r>
      <w:r w:rsidRPr="00FB5D79">
        <w:t xml:space="preserve"> et leurs résultats </w:t>
      </w:r>
      <w:r w:rsidR="005C77BB" w:rsidRPr="00FB5D79">
        <w:t xml:space="preserve">ont été </w:t>
      </w:r>
      <w:r w:rsidRPr="00FB5D79">
        <w:t>communiqués aux États membres lors des précédentes réunions</w:t>
      </w:r>
      <w:r w:rsidR="00646944" w:rsidRPr="00FB5D79">
        <w:t xml:space="preserve"> du C</w:t>
      </w:r>
      <w:r w:rsidR="00172764" w:rsidRPr="00FB5D79">
        <w:t>DIP.  Le</w:t>
      </w:r>
      <w:r w:rsidRPr="00FB5D79">
        <w:t xml:space="preserve">s </w:t>
      </w:r>
      <w:r w:rsidR="00A76834" w:rsidRPr="00FB5D79">
        <w:t>études relatives</w:t>
      </w:r>
      <w:r w:rsidRPr="00FB5D79">
        <w:t xml:space="preserve"> au secteur minier dans le cas du Chili et du Brésil, </w:t>
      </w:r>
      <w:r w:rsidR="00A76834" w:rsidRPr="00FB5D79">
        <w:t xml:space="preserve">celles relatives </w:t>
      </w:r>
      <w:r w:rsidR="003A511C" w:rsidRPr="00FB5D79">
        <w:t>aux</w:t>
      </w:r>
      <w:r w:rsidR="00CF3DAE" w:rsidRPr="00FB5D79">
        <w:t xml:space="preserve"> dessins et modèles industriels</w:t>
      </w:r>
      <w:r w:rsidRPr="00FB5D79">
        <w:t xml:space="preserve"> </w:t>
      </w:r>
      <w:r w:rsidR="004836F9" w:rsidRPr="00FB5D79">
        <w:t>dans les pays</w:t>
      </w:r>
      <w:r w:rsidR="003A511C" w:rsidRPr="00FB5D79">
        <w:t xml:space="preserve"> de</w:t>
      </w:r>
      <w:r w:rsidRPr="00FB5D79">
        <w:t xml:space="preserve"> </w:t>
      </w:r>
      <w:r w:rsidR="00CF3DAE" w:rsidRPr="00FB5D79">
        <w:t>l</w:t>
      </w:r>
      <w:r w:rsidR="00646944" w:rsidRPr="00FB5D79">
        <w:t>’</w:t>
      </w:r>
      <w:r w:rsidR="00CF3DAE" w:rsidRPr="00FB5D79">
        <w:t>ASEAN</w:t>
      </w:r>
      <w:r w:rsidRPr="00FB5D79">
        <w:t xml:space="preserve"> et </w:t>
      </w:r>
      <w:r w:rsidR="00A76834" w:rsidRPr="00FB5D79">
        <w:t>celles relatives</w:t>
      </w:r>
      <w:r w:rsidR="003A511C" w:rsidRPr="00FB5D79">
        <w:t xml:space="preserve"> à la santé </w:t>
      </w:r>
      <w:r w:rsidRPr="00FB5D79">
        <w:t>en Pologne sont toujours en attente de publication fina</w:t>
      </w:r>
      <w:r w:rsidR="00172764" w:rsidRPr="00FB5D79">
        <w:t>le.  Da</w:t>
      </w:r>
      <w:r w:rsidRPr="00FB5D79">
        <w:t xml:space="preserve">ns le cas de la Pologne, une dernière réunion avec les parties prenantes locales </w:t>
      </w:r>
      <w:r w:rsidR="007B3179" w:rsidRPr="00FB5D79">
        <w:t>visant à</w:t>
      </w:r>
      <w:r w:rsidRPr="00FB5D79">
        <w:t xml:space="preserve"> examiner les résultats des travaux est prévue </w:t>
      </w:r>
      <w:r w:rsidR="00A0600C" w:rsidRPr="00FB5D79">
        <w:t>pour le quatrième trimestre </w:t>
      </w:r>
      <w:r w:rsidRPr="00FB5D79">
        <w:t>2018</w:t>
      </w:r>
      <w:r w:rsidR="00611031" w:rsidRPr="00FB5D79">
        <w:t xml:space="preserve">.  </w:t>
      </w:r>
      <w:r w:rsidRPr="00FB5D79">
        <w:t>L</w:t>
      </w:r>
      <w:r w:rsidR="00646944" w:rsidRPr="00FB5D79">
        <w:t>’</w:t>
      </w:r>
      <w:r w:rsidRPr="00FB5D79">
        <w:t xml:space="preserve">évaluateur a eu accès à la documentation pertinente </w:t>
      </w:r>
      <w:r w:rsidR="00BC30B8" w:rsidRPr="00FB5D79">
        <w:t>sur</w:t>
      </w:r>
      <w:r w:rsidRPr="00FB5D79">
        <w:t xml:space="preserve"> ces activités.</w:t>
      </w:r>
    </w:p>
    <w:p w14:paraId="1D73EC17" w14:textId="77777777" w:rsidR="00F80A9F" w:rsidRPr="00FB5D79" w:rsidRDefault="00F80A9F" w:rsidP="00F80A9F">
      <w:pPr>
        <w:jc w:val="both"/>
      </w:pPr>
    </w:p>
    <w:p w14:paraId="0334F9BD" w14:textId="51BE4E5F" w:rsidR="00F80A9F" w:rsidRPr="00FB5D79" w:rsidRDefault="00F80A9F" w:rsidP="00F80A9F">
      <w:pPr>
        <w:jc w:val="both"/>
      </w:pPr>
      <w:r w:rsidRPr="00FB5D79">
        <w:t>L</w:t>
      </w:r>
      <w:r w:rsidR="00646944" w:rsidRPr="00FB5D79">
        <w:t>’</w:t>
      </w:r>
      <w:r w:rsidRPr="00FB5D79">
        <w:t xml:space="preserve">une des limites </w:t>
      </w:r>
      <w:r w:rsidR="00F73773" w:rsidRPr="00FB5D79">
        <w:t>évidentes</w:t>
      </w:r>
      <w:r w:rsidRPr="00FB5D79">
        <w:t xml:space="preserve"> de cette évaluation</w:t>
      </w:r>
      <w:r w:rsidR="007B3179" w:rsidRPr="00FB5D79">
        <w:t xml:space="preserve"> – une limite </w:t>
      </w:r>
      <w:r w:rsidRPr="00FB5D79">
        <w:t>propre à un certain nombre d</w:t>
      </w:r>
      <w:r w:rsidR="00646944" w:rsidRPr="00FB5D79">
        <w:t>’</w:t>
      </w:r>
      <w:r w:rsidRPr="00FB5D79">
        <w:t>exercices de cette nature</w:t>
      </w:r>
      <w:r w:rsidR="007B3179" w:rsidRPr="00FB5D79">
        <w:t xml:space="preserve"> –</w:t>
      </w:r>
      <w:r w:rsidRPr="00FB5D79">
        <w:t xml:space="preserve"> est</w:t>
      </w:r>
      <w:r w:rsidR="001E5833" w:rsidRPr="00FB5D79">
        <w:t xml:space="preserve"> </w:t>
      </w:r>
      <w:r w:rsidR="00303CF1" w:rsidRPr="00FB5D79">
        <w:t>le</w:t>
      </w:r>
      <w:r w:rsidR="001E5833" w:rsidRPr="00FB5D79">
        <w:t xml:space="preserve"> caractère </w:t>
      </w:r>
      <w:r w:rsidR="00303CF1" w:rsidRPr="00FB5D79">
        <w:t>récent d</w:t>
      </w:r>
      <w:r w:rsidR="00646944" w:rsidRPr="00FB5D79">
        <w:t>’</w:t>
      </w:r>
      <w:r w:rsidR="00303CF1" w:rsidRPr="00FB5D79">
        <w:t>une grande partie du travail réali</w:t>
      </w:r>
      <w:r w:rsidR="00172764" w:rsidRPr="00FB5D79">
        <w:t>sé.  Ce</w:t>
      </w:r>
      <w:r w:rsidRPr="00FB5D79">
        <w:t xml:space="preserve"> facteur ne permet pas </w:t>
      </w:r>
      <w:r w:rsidR="00303CF1" w:rsidRPr="00FB5D79">
        <w:t>d</w:t>
      </w:r>
      <w:r w:rsidR="00646944" w:rsidRPr="00FB5D79">
        <w:t>’</w:t>
      </w:r>
      <w:r w:rsidR="00303CF1" w:rsidRPr="00FB5D79">
        <w:t>avoir le recul permettant de dire qu</w:t>
      </w:r>
      <w:r w:rsidR="00646944" w:rsidRPr="00FB5D79">
        <w:t>’</w:t>
      </w:r>
      <w:r w:rsidR="00303CF1" w:rsidRPr="00FB5D79">
        <w:t>avec le temps</w:t>
      </w:r>
      <w:r w:rsidRPr="00FB5D79">
        <w:t xml:space="preserve">, </w:t>
      </w:r>
      <w:r w:rsidR="007B3179" w:rsidRPr="00FB5D79">
        <w:t>elle</w:t>
      </w:r>
      <w:r w:rsidRPr="00FB5D79">
        <w:t xml:space="preserve"> pourrait mieux contribuer à la prise en compte des effets et des impacts mesurables du type de travail </w:t>
      </w:r>
      <w:r w:rsidR="00303CF1" w:rsidRPr="00FB5D79">
        <w:t>réalisé</w:t>
      </w:r>
      <w:r w:rsidRPr="00FB5D79">
        <w:t xml:space="preserve"> dans le cadre </w:t>
      </w:r>
      <w:r w:rsidR="00F73773" w:rsidRPr="00FB5D79">
        <w:t xml:space="preserve">de ce </w:t>
      </w:r>
      <w:r w:rsidRPr="00FB5D79">
        <w:t>proj</w:t>
      </w:r>
      <w:r w:rsidR="00172764" w:rsidRPr="00FB5D79">
        <w:t>et.  Le</w:t>
      </w:r>
      <w:r w:rsidR="006758E8" w:rsidRPr="00FB5D79">
        <w:t>s activités menées depuis le lancement de la phase I du projet</w:t>
      </w:r>
      <w:r w:rsidR="00F73773" w:rsidRPr="00FB5D79">
        <w:t xml:space="preserve">, </w:t>
      </w:r>
      <w:r w:rsidR="006758E8" w:rsidRPr="00FB5D79">
        <w:t xml:space="preserve">ont une incidence importante sur ce projet, </w:t>
      </w:r>
      <w:r w:rsidR="00F73773" w:rsidRPr="00FB5D79">
        <w:t>q</w:t>
      </w:r>
      <w:r w:rsidR="00CF3DAE" w:rsidRPr="00FB5D79">
        <w:t>ui</w:t>
      </w:r>
      <w:r w:rsidR="00F73773" w:rsidRPr="00FB5D79">
        <w:t xml:space="preserve"> vise à</w:t>
      </w:r>
      <w:r w:rsidRPr="00FB5D79">
        <w:t xml:space="preserve"> mieux </w:t>
      </w:r>
      <w:r w:rsidR="001E5833" w:rsidRPr="00FB5D79">
        <w:t>cerner</w:t>
      </w:r>
      <w:r w:rsidRPr="00FB5D79">
        <w:t xml:space="preserve"> les effets </w:t>
      </w:r>
      <w:r w:rsidR="00B05864" w:rsidRPr="00FB5D79">
        <w:t>socioéconomiques</w:t>
      </w:r>
      <w:r w:rsidRPr="00FB5D79">
        <w:t xml:space="preserve"> de la protection de la propriété intellectuelle dans les pays </w:t>
      </w:r>
      <w:r w:rsidR="002521B3" w:rsidRPr="00FB5D79">
        <w:t>où peu d</w:t>
      </w:r>
      <w:r w:rsidR="00646944" w:rsidRPr="00FB5D79">
        <w:t>’</w:t>
      </w:r>
      <w:r w:rsidR="002521B3" w:rsidRPr="00FB5D79">
        <w:t xml:space="preserve">études économiques sur la propriété intellectuelle ont été </w:t>
      </w:r>
      <w:r w:rsidR="001E5833" w:rsidRPr="00FB5D79">
        <w:t>réalisée</w:t>
      </w:r>
      <w:r w:rsidR="006758E8" w:rsidRPr="00FB5D79">
        <w:t>s</w:t>
      </w:r>
      <w:r w:rsidR="002521B3" w:rsidRPr="00FB5D79">
        <w:t xml:space="preserve"> jusqu</w:t>
      </w:r>
      <w:r w:rsidR="00646944" w:rsidRPr="00FB5D79">
        <w:t>’</w:t>
      </w:r>
      <w:r w:rsidR="006758E8" w:rsidRPr="00FB5D79">
        <w:t>à présent</w:t>
      </w:r>
      <w:r w:rsidRPr="00FB5D79">
        <w:t xml:space="preserve"> et qui </w:t>
      </w:r>
      <w:r w:rsidR="000619A4" w:rsidRPr="00FB5D79">
        <w:t>ont</w:t>
      </w:r>
      <w:r w:rsidRPr="00FB5D79">
        <w:t xml:space="preserve"> récemment commencé à acquérir de l</w:t>
      </w:r>
      <w:r w:rsidR="00646944" w:rsidRPr="00FB5D79">
        <w:t>’</w:t>
      </w:r>
      <w:r w:rsidRPr="00FB5D79">
        <w:t>expérience sur ces questions</w:t>
      </w:r>
      <w:r w:rsidR="00A0600C" w:rsidRPr="00FB5D79">
        <w:t>.</w:t>
      </w:r>
    </w:p>
    <w:p w14:paraId="225D70CC" w14:textId="77777777" w:rsidR="00F80A9F" w:rsidRPr="00FB5D79" w:rsidRDefault="00F80A9F" w:rsidP="00F80A9F">
      <w:pPr>
        <w:jc w:val="both"/>
      </w:pPr>
    </w:p>
    <w:p w14:paraId="75BD113C" w14:textId="0F21289C" w:rsidR="00F80A9F" w:rsidRPr="00FB5D79" w:rsidRDefault="00F80A9F" w:rsidP="00F80A9F">
      <w:pPr>
        <w:jc w:val="both"/>
      </w:pPr>
      <w:r w:rsidRPr="00FB5D79">
        <w:t>De même, l</w:t>
      </w:r>
      <w:r w:rsidR="00646944" w:rsidRPr="00FB5D79">
        <w:t>’</w:t>
      </w:r>
      <w:r w:rsidRPr="00FB5D79">
        <w:t xml:space="preserve">objectif </w:t>
      </w:r>
      <w:r w:rsidR="002521B3" w:rsidRPr="00FB5D79">
        <w:t>connexe</w:t>
      </w:r>
      <w:r w:rsidRPr="00FB5D79">
        <w:t xml:space="preserve"> du projet, </w:t>
      </w:r>
      <w:r w:rsidR="00965F3A">
        <w:t>à savoir</w:t>
      </w:r>
      <w:r w:rsidRPr="00FB5D79">
        <w:t xml:space="preserve"> la création et </w:t>
      </w:r>
      <w:r w:rsidR="001447EA" w:rsidRPr="00FB5D79">
        <w:t>la tenue à jour des</w:t>
      </w:r>
      <w:r w:rsidRPr="00FB5D79">
        <w:t xml:space="preserve"> capacité</w:t>
      </w:r>
      <w:r w:rsidR="001447EA" w:rsidRPr="00FB5D79">
        <w:t>s</w:t>
      </w:r>
      <w:r w:rsidRPr="00FB5D79">
        <w:t xml:space="preserve"> d</w:t>
      </w:r>
      <w:r w:rsidR="00646944" w:rsidRPr="00FB5D79">
        <w:t>’</w:t>
      </w:r>
      <w:r w:rsidRPr="00FB5D79">
        <w:t>analyse dans ces pays, est important et difficile à atteindre dans le cadre d</w:t>
      </w:r>
      <w:r w:rsidR="00646944" w:rsidRPr="00FB5D79">
        <w:t>’</w:t>
      </w:r>
      <w:r w:rsidRPr="00FB5D79">
        <w:t>un seul proj</w:t>
      </w:r>
      <w:r w:rsidR="00172764" w:rsidRPr="00FB5D79">
        <w:t>et.  Ma</w:t>
      </w:r>
      <w:r w:rsidR="00D900A8" w:rsidRPr="00FB5D79">
        <w:t>lgré</w:t>
      </w:r>
      <w:r w:rsidRPr="00FB5D79">
        <w:t xml:space="preserve"> ces limites </w:t>
      </w:r>
      <w:r w:rsidR="00D900A8" w:rsidRPr="00FB5D79">
        <w:t>d</w:t>
      </w:r>
      <w:r w:rsidR="00646944" w:rsidRPr="00FB5D79">
        <w:t>’</w:t>
      </w:r>
      <w:r w:rsidR="00D900A8" w:rsidRPr="00FB5D79">
        <w:t>ordre général</w:t>
      </w:r>
      <w:r w:rsidRPr="00FB5D79">
        <w:t xml:space="preserve">, comme </w:t>
      </w:r>
      <w:r w:rsidR="00D900A8" w:rsidRPr="00FB5D79">
        <w:t xml:space="preserve">nous le verrons </w:t>
      </w:r>
      <w:r w:rsidRPr="00FB5D79">
        <w:t xml:space="preserve">plus loin, </w:t>
      </w:r>
      <w:r w:rsidR="00D900A8" w:rsidRPr="00FB5D79">
        <w:t>le</w:t>
      </w:r>
      <w:r w:rsidRPr="00FB5D79">
        <w:t xml:space="preserve"> projet</w:t>
      </w:r>
      <w:r w:rsidR="00965F3A">
        <w:t>-</w:t>
      </w:r>
      <w:r w:rsidRPr="00FB5D79">
        <w:t xml:space="preserve">cadre </w:t>
      </w:r>
      <w:r w:rsidR="00D900A8" w:rsidRPr="00FB5D79">
        <w:t xml:space="preserve">considéré </w:t>
      </w:r>
      <w:r w:rsidRPr="00FB5D79">
        <w:t xml:space="preserve">a </w:t>
      </w:r>
      <w:r w:rsidR="00D900A8" w:rsidRPr="00FB5D79">
        <w:t xml:space="preserve">produit des effets </w:t>
      </w:r>
      <w:r w:rsidRPr="00FB5D79">
        <w:t>tangible</w:t>
      </w:r>
      <w:r w:rsidR="00D900A8" w:rsidRPr="00FB5D79">
        <w:t>s</w:t>
      </w:r>
      <w:r w:rsidRPr="00FB5D79">
        <w:t>.</w:t>
      </w:r>
    </w:p>
    <w:p w14:paraId="714B1471" w14:textId="77777777" w:rsidR="00F80A9F" w:rsidRPr="00FB5D79" w:rsidRDefault="00F80A9F" w:rsidP="00F80A9F">
      <w:pPr>
        <w:jc w:val="both"/>
      </w:pPr>
    </w:p>
    <w:p w14:paraId="34D38E9A" w14:textId="082E9307" w:rsidR="00F80A9F" w:rsidRPr="00FB5D79" w:rsidRDefault="00F80A9F" w:rsidP="00F80A9F">
      <w:pPr>
        <w:jc w:val="both"/>
      </w:pPr>
      <w:r w:rsidRPr="00FB5D79">
        <w:t>La présente évaluation n</w:t>
      </w:r>
      <w:r w:rsidR="00646944" w:rsidRPr="00FB5D79">
        <w:t>’</w:t>
      </w:r>
      <w:r w:rsidRPr="00FB5D79">
        <w:t>a pas comporté de visites sur le terra</w:t>
      </w:r>
      <w:r w:rsidR="00172764" w:rsidRPr="00FB5D79">
        <w:t>in.  L’e</w:t>
      </w:r>
      <w:r w:rsidR="00CC5426" w:rsidRPr="00FB5D79">
        <w:t>nquête</w:t>
      </w:r>
      <w:r w:rsidRPr="00FB5D79">
        <w:t xml:space="preserve"> s</w:t>
      </w:r>
      <w:r w:rsidR="00646944" w:rsidRPr="00FB5D79">
        <w:t>’</w:t>
      </w:r>
      <w:r w:rsidRPr="00FB5D79">
        <w:t xml:space="preserve">est concentrée sur les principaux acteurs impliqués dans </w:t>
      </w:r>
      <w:r w:rsidR="000910FD" w:rsidRPr="00FB5D79">
        <w:t xml:space="preserve">la mise en œuvre </w:t>
      </w:r>
      <w:r w:rsidRPr="00FB5D79">
        <w:t xml:space="preserve">du projet au niveau du Secrétariat et </w:t>
      </w:r>
      <w:r w:rsidR="00CC5426" w:rsidRPr="00FB5D79">
        <w:t>sur</w:t>
      </w:r>
      <w:r w:rsidRPr="00FB5D79">
        <w:t xml:space="preserve"> les entretiens avec </w:t>
      </w:r>
      <w:r w:rsidR="00CC5426" w:rsidRPr="00FB5D79">
        <w:t>différentes</w:t>
      </w:r>
      <w:r w:rsidRPr="00FB5D79">
        <w:t xml:space="preserve"> parties prenantes, </w:t>
      </w:r>
      <w:r w:rsidR="00965F3A">
        <w:t>à savoir</w:t>
      </w:r>
      <w:r w:rsidRPr="00FB5D79">
        <w:t xml:space="preserve"> des fonctionnaires, des consultants et des bénéficiair</w:t>
      </w:r>
      <w:r w:rsidR="00172764" w:rsidRPr="00FB5D79">
        <w:t>es.  Un</w:t>
      </w:r>
      <w:r w:rsidR="008B1ACB" w:rsidRPr="00FB5D79">
        <w:t xml:space="preserve"> questionnaire</w:t>
      </w:r>
      <w:r w:rsidRPr="00FB5D79">
        <w:t xml:space="preserve"> a également été envoyé aux principa</w:t>
      </w:r>
      <w:r w:rsidR="00CF3DAE" w:rsidRPr="00FB5D79">
        <w:t>les</w:t>
      </w:r>
      <w:r w:rsidRPr="00FB5D79">
        <w:t xml:space="preserve"> </w:t>
      </w:r>
      <w:r w:rsidR="004C57F1" w:rsidRPr="00FB5D79">
        <w:t>parties prenantes</w:t>
      </w:r>
      <w:r w:rsidRPr="00FB5D79">
        <w:t>.</w:t>
      </w:r>
    </w:p>
    <w:p w14:paraId="66C139ED" w14:textId="77777777" w:rsidR="00F80A9F" w:rsidRPr="00FB5D79" w:rsidRDefault="00F80A9F" w:rsidP="00F80A9F">
      <w:pPr>
        <w:jc w:val="both"/>
      </w:pPr>
    </w:p>
    <w:p w14:paraId="00639451" w14:textId="73B544FD" w:rsidR="00735A4B" w:rsidRPr="00FB5D79" w:rsidRDefault="00F80A9F" w:rsidP="00F80A9F">
      <w:pPr>
        <w:jc w:val="both"/>
      </w:pPr>
      <w:r w:rsidRPr="00FB5D79">
        <w:t>Certaines des limites rencontrées par l</w:t>
      </w:r>
      <w:r w:rsidR="00646944" w:rsidRPr="00FB5D79">
        <w:t>’</w:t>
      </w:r>
      <w:r w:rsidRPr="00FB5D79">
        <w:t xml:space="preserve">équipe </w:t>
      </w:r>
      <w:r w:rsidR="00CC5426" w:rsidRPr="00FB5D79">
        <w:t>chargée de l</w:t>
      </w:r>
      <w:r w:rsidR="00646944" w:rsidRPr="00FB5D79">
        <w:t>’</w:t>
      </w:r>
      <w:r w:rsidRPr="00FB5D79">
        <w:t>évaluation pourraient être résumées comme suit</w:t>
      </w:r>
      <w:r w:rsidR="00965F3A">
        <w:t> :</w:t>
      </w:r>
    </w:p>
    <w:p w14:paraId="3A55BEE7" w14:textId="77AFE4F3" w:rsidR="00F80A9F" w:rsidRPr="00FB5D79" w:rsidRDefault="008B1ACB" w:rsidP="00F80A9F">
      <w:pPr>
        <w:numPr>
          <w:ilvl w:val="0"/>
          <w:numId w:val="14"/>
        </w:numPr>
        <w:jc w:val="both"/>
      </w:pPr>
      <w:r w:rsidRPr="00FB5D79">
        <w:t>L</w:t>
      </w:r>
      <w:r w:rsidR="006E6A7E" w:rsidRPr="00FB5D79">
        <w:t xml:space="preserve">es </w:t>
      </w:r>
      <w:r w:rsidR="00F80A9F" w:rsidRPr="00FB5D79">
        <w:t xml:space="preserve">données </w:t>
      </w:r>
      <w:r w:rsidR="006E6A7E" w:rsidRPr="00FB5D79">
        <w:t xml:space="preserve">de certaines parties prenantes, </w:t>
      </w:r>
      <w:r w:rsidR="00965F3A">
        <w:t>à savoir</w:t>
      </w:r>
      <w:r w:rsidR="006E6A7E" w:rsidRPr="00FB5D79">
        <w:t xml:space="preserve"> les utilisateurs de </w:t>
      </w:r>
      <w:r w:rsidR="006758E8" w:rsidRPr="00FB5D79">
        <w:t>droits</w:t>
      </w:r>
      <w:r w:rsidR="006E6A7E" w:rsidRPr="00FB5D79">
        <w:t xml:space="preserve"> de propriété intellectuelle, les particuliers et les personnes morales, n</w:t>
      </w:r>
      <w:r w:rsidR="00646944" w:rsidRPr="00FB5D79">
        <w:t>’</w:t>
      </w:r>
      <w:r w:rsidR="006E6A7E" w:rsidRPr="00FB5D79">
        <w:t xml:space="preserve">ont pas été </w:t>
      </w:r>
      <w:r w:rsidR="00F874E4" w:rsidRPr="00FB5D79">
        <w:t>collectées</w:t>
      </w:r>
      <w:r w:rsidR="006E6A7E" w:rsidRPr="00FB5D79">
        <w:t>, car il ne s</w:t>
      </w:r>
      <w:r w:rsidR="00646944" w:rsidRPr="00FB5D79">
        <w:t>’</w:t>
      </w:r>
      <w:r w:rsidR="006E6A7E" w:rsidRPr="00FB5D79">
        <w:t>agissait pas des</w:t>
      </w:r>
      <w:r w:rsidR="00F80A9F" w:rsidRPr="00FB5D79">
        <w:t xml:space="preserve"> principaux bénéficiaires du projet.</w:t>
      </w:r>
    </w:p>
    <w:p w14:paraId="633B2CC5" w14:textId="3F305F7D" w:rsidR="00735A4B" w:rsidRPr="00FB5D79" w:rsidRDefault="002E330D" w:rsidP="00F80A9F">
      <w:pPr>
        <w:numPr>
          <w:ilvl w:val="0"/>
          <w:numId w:val="14"/>
        </w:numPr>
        <w:jc w:val="both"/>
      </w:pPr>
      <w:r w:rsidRPr="00FB5D79">
        <w:t xml:space="preserve">La phase de </w:t>
      </w:r>
      <w:r w:rsidR="00F874E4" w:rsidRPr="00FB5D79">
        <w:t>collecte active</w:t>
      </w:r>
      <w:r w:rsidRPr="00FB5D79">
        <w:t xml:space="preserve"> de données </w:t>
      </w:r>
      <w:r w:rsidR="00F80A9F" w:rsidRPr="00FB5D79">
        <w:t>a coïncidé</w:t>
      </w:r>
      <w:r w:rsidR="00261684" w:rsidRPr="00FB5D79">
        <w:t>,</w:t>
      </w:r>
      <w:r w:rsidR="00F80A9F" w:rsidRPr="00FB5D79">
        <w:t xml:space="preserve"> dans certains pays</w:t>
      </w:r>
      <w:r w:rsidR="00261684" w:rsidRPr="00FB5D79">
        <w:t>,</w:t>
      </w:r>
      <w:r w:rsidR="00F80A9F" w:rsidRPr="00FB5D79">
        <w:t xml:space="preserve"> avec la période des vacances </w:t>
      </w:r>
      <w:r w:rsidR="00261684" w:rsidRPr="00FB5D79">
        <w:t>estivales</w:t>
      </w:r>
      <w:r w:rsidR="00F80A9F" w:rsidRPr="00FB5D79">
        <w:t xml:space="preserve">, ce qui </w:t>
      </w:r>
      <w:r w:rsidR="00261684" w:rsidRPr="00FB5D79">
        <w:t>peut</w:t>
      </w:r>
      <w:r w:rsidR="00F80A9F" w:rsidRPr="00FB5D79">
        <w:t xml:space="preserve"> </w:t>
      </w:r>
      <w:r w:rsidR="00261684" w:rsidRPr="00FB5D79">
        <w:t>expliquer</w:t>
      </w:r>
      <w:r w:rsidR="00F80A9F" w:rsidRPr="00FB5D79">
        <w:t xml:space="preserve"> le taux </w:t>
      </w:r>
      <w:r w:rsidR="00CC5426" w:rsidRPr="00FB5D79">
        <w:t xml:space="preserve">modéré </w:t>
      </w:r>
      <w:r w:rsidR="00F80A9F" w:rsidRPr="00FB5D79">
        <w:t>de réponse (17</w:t>
      </w:r>
      <w:r w:rsidR="00606922" w:rsidRPr="00FB5D79">
        <w:t>%</w:t>
      </w:r>
      <w:r w:rsidR="00F80A9F" w:rsidRPr="00FB5D79">
        <w:t xml:space="preserve">) </w:t>
      </w:r>
      <w:r w:rsidR="00CC5426" w:rsidRPr="00FB5D79">
        <w:t xml:space="preserve">au questionnaire en ligne distribué </w:t>
      </w:r>
      <w:r w:rsidR="00F80A9F" w:rsidRPr="00FB5D79">
        <w:t xml:space="preserve">aux principales parties prenantes </w:t>
      </w:r>
      <w:r w:rsidR="00CC5426" w:rsidRPr="00FB5D79">
        <w:t>extérieur</w:t>
      </w:r>
      <w:r w:rsidR="00172764" w:rsidRPr="00FB5D79">
        <w:t>es.  Po</w:t>
      </w:r>
      <w:r w:rsidR="00F80A9F" w:rsidRPr="00FB5D79">
        <w:t xml:space="preserve">ur la </w:t>
      </w:r>
      <w:r w:rsidR="00F80A9F" w:rsidRPr="00FB5D79">
        <w:lastRenderedPageBreak/>
        <w:t>même raison,</w:t>
      </w:r>
      <w:r w:rsidR="00261684" w:rsidRPr="00FB5D79">
        <w:t xml:space="preserve"> il n</w:t>
      </w:r>
      <w:r w:rsidR="00646944" w:rsidRPr="00FB5D79">
        <w:t>’</w:t>
      </w:r>
      <w:r w:rsidR="00261684" w:rsidRPr="00FB5D79">
        <w:t>a pas été possible de joindre ni d</w:t>
      </w:r>
      <w:r w:rsidR="00646944" w:rsidRPr="00FB5D79">
        <w:t>’</w:t>
      </w:r>
      <w:r w:rsidR="00261684" w:rsidRPr="00FB5D79">
        <w:t>interroger c</w:t>
      </w:r>
      <w:r w:rsidR="005C77BB" w:rsidRPr="00FB5D79">
        <w:t>ertaines</w:t>
      </w:r>
      <w:r w:rsidR="00F80A9F" w:rsidRPr="00FB5D79">
        <w:t xml:space="preserve"> </w:t>
      </w:r>
      <w:r w:rsidR="004C57F1" w:rsidRPr="00FB5D79">
        <w:t>parties prenantes</w:t>
      </w:r>
      <w:r w:rsidR="00F80A9F" w:rsidRPr="00FB5D79">
        <w:t xml:space="preserve"> </w:t>
      </w:r>
      <w:r w:rsidR="005C77BB" w:rsidRPr="00FB5D79">
        <w:t>extérieures</w:t>
      </w:r>
      <w:r w:rsidR="00F80A9F" w:rsidRPr="00FB5D79">
        <w:t xml:space="preserve"> qui n</w:t>
      </w:r>
      <w:r w:rsidR="00646944" w:rsidRPr="00FB5D79">
        <w:t>’</w:t>
      </w:r>
      <w:r w:rsidR="00F80A9F" w:rsidRPr="00FB5D79">
        <w:t>étaient pas disponibles pendant la période de l</w:t>
      </w:r>
      <w:r w:rsidR="00646944" w:rsidRPr="00FB5D79">
        <w:t>’</w:t>
      </w:r>
      <w:r w:rsidR="00F80A9F" w:rsidRPr="00FB5D79">
        <w:t>évaluation.</w:t>
      </w:r>
    </w:p>
    <w:p w14:paraId="70315E04" w14:textId="77777777" w:rsidR="00735A4B" w:rsidRPr="00FB5D79" w:rsidRDefault="00735A4B" w:rsidP="00735A4B">
      <w:pPr>
        <w:ind w:left="928"/>
        <w:jc w:val="both"/>
      </w:pPr>
    </w:p>
    <w:p w14:paraId="30F0B5EA" w14:textId="3740F965" w:rsidR="00735A4B" w:rsidRPr="00FB5D79" w:rsidRDefault="00F80A9F" w:rsidP="00735A4B">
      <w:pPr>
        <w:jc w:val="both"/>
      </w:pPr>
      <w:r w:rsidRPr="00FB5D79">
        <w:t xml:space="preserve">Les facteurs susmentionnés ont limité </w:t>
      </w:r>
      <w:r w:rsidR="00261684" w:rsidRPr="00FB5D79">
        <w:t>quelque peu</w:t>
      </w:r>
      <w:r w:rsidRPr="00FB5D79">
        <w:t xml:space="preserve"> </w:t>
      </w:r>
      <w:r w:rsidR="00EF56A3" w:rsidRPr="00FB5D79">
        <w:t>le champ d</w:t>
      </w:r>
      <w:r w:rsidR="00646944" w:rsidRPr="00FB5D79">
        <w:t>’</w:t>
      </w:r>
      <w:r w:rsidR="00EF56A3" w:rsidRPr="00FB5D79">
        <w:t>observation</w:t>
      </w:r>
      <w:r w:rsidRPr="00FB5D79">
        <w:t xml:space="preserve"> et la profondeur de l</w:t>
      </w:r>
      <w:r w:rsidR="00646944" w:rsidRPr="00FB5D79">
        <w:t>’</w:t>
      </w:r>
      <w:r w:rsidRPr="00FB5D79">
        <w:t>évaluati</w:t>
      </w:r>
      <w:r w:rsidR="00172764" w:rsidRPr="00FB5D79">
        <w:t>on.  Le</w:t>
      </w:r>
      <w:r w:rsidRPr="00FB5D79">
        <w:t xml:space="preserve">s </w:t>
      </w:r>
      <w:r w:rsidR="00E56C3C" w:rsidRPr="00FB5D79">
        <w:t>résultats</w:t>
      </w:r>
      <w:r w:rsidRPr="00FB5D79">
        <w:t xml:space="preserve"> et l</w:t>
      </w:r>
      <w:r w:rsidR="00646944" w:rsidRPr="00FB5D79">
        <w:t>’</w:t>
      </w:r>
      <w:r w:rsidRPr="00FB5D79">
        <w:t xml:space="preserve">évaluation </w:t>
      </w:r>
      <w:r w:rsidR="00261684" w:rsidRPr="00FB5D79">
        <w:t>ci</w:t>
      </w:r>
      <w:r w:rsidR="00965F3A">
        <w:t>-</w:t>
      </w:r>
      <w:r w:rsidR="00261684" w:rsidRPr="00FB5D79">
        <w:t>après</w:t>
      </w:r>
      <w:r w:rsidRPr="00FB5D79">
        <w:t xml:space="preserve"> </w:t>
      </w:r>
      <w:r w:rsidR="00261684" w:rsidRPr="00FB5D79">
        <w:t>doivent</w:t>
      </w:r>
      <w:r w:rsidRPr="00FB5D79">
        <w:t xml:space="preserve"> tenir compte de ces limites.</w:t>
      </w:r>
    </w:p>
    <w:p w14:paraId="3C1469B1" w14:textId="77777777" w:rsidR="00735A4B" w:rsidRPr="00FB5D79" w:rsidRDefault="00735A4B" w:rsidP="00735A4B">
      <w:pPr>
        <w:jc w:val="both"/>
      </w:pPr>
    </w:p>
    <w:p w14:paraId="6989F64A" w14:textId="47721C2A" w:rsidR="00735A4B" w:rsidRPr="00C053D9" w:rsidRDefault="00C053D9" w:rsidP="00C053D9">
      <w:pPr>
        <w:pStyle w:val="Heading1"/>
      </w:pPr>
      <w:bookmarkStart w:id="13" w:name="_Toc530408362"/>
      <w:r w:rsidRPr="00C053D9">
        <w:t xml:space="preserve">Résultats </w:t>
      </w:r>
      <w:r w:rsidR="00AA1B58" w:rsidRPr="00C053D9">
        <w:t>et é</w:t>
      </w:r>
      <w:r w:rsidR="00F80A9F" w:rsidRPr="00C053D9">
        <w:t>valuation</w:t>
      </w:r>
      <w:bookmarkEnd w:id="13"/>
    </w:p>
    <w:p w14:paraId="316D5010" w14:textId="3F00EBAD" w:rsidR="00735A4B" w:rsidRPr="00FB5D79" w:rsidRDefault="00F80A9F" w:rsidP="00C65870">
      <w:pPr>
        <w:tabs>
          <w:tab w:val="left" w:pos="2835"/>
        </w:tabs>
        <w:jc w:val="both"/>
      </w:pPr>
      <w:r w:rsidRPr="00FB5D79">
        <w:t xml:space="preserve">Cette section présente les </w:t>
      </w:r>
      <w:r w:rsidR="00795E47" w:rsidRPr="00FB5D79">
        <w:t>principaux résultats du présent</w:t>
      </w:r>
      <w:r w:rsidRPr="00FB5D79">
        <w:t xml:space="preserve"> rapport, qui </w:t>
      </w:r>
      <w:r w:rsidR="000A2370" w:rsidRPr="00FB5D79">
        <w:t>fournit une évaluation du</w:t>
      </w:r>
      <w:r w:rsidRPr="00FB5D79">
        <w:t xml:space="preserve"> projet à la lumière des trois</w:t>
      </w:r>
      <w:r w:rsidR="000E4777" w:rsidRPr="00FB5D79">
        <w:t> </w:t>
      </w:r>
      <w:r w:rsidRPr="00FB5D79">
        <w:t>principaux critères d</w:t>
      </w:r>
      <w:r w:rsidR="00646944" w:rsidRPr="00FB5D79">
        <w:t>’</w:t>
      </w:r>
      <w:r w:rsidRPr="00FB5D79">
        <w:t xml:space="preserve">évaluation identifiés dans </w:t>
      </w:r>
      <w:r w:rsidR="002521B3" w:rsidRPr="00FB5D79">
        <w:t>le mandat</w:t>
      </w:r>
      <w:r w:rsidRPr="00FB5D79">
        <w:t xml:space="preserve">, </w:t>
      </w:r>
      <w:r w:rsidR="00965F3A">
        <w:t>à savoir</w:t>
      </w:r>
      <w:r w:rsidRPr="00FB5D79">
        <w:t xml:space="preserve"> la conception et la gestion du projet, son efficacité et sa </w:t>
      </w:r>
      <w:r w:rsidR="00817CF2" w:rsidRPr="00FB5D79">
        <w:t>pérennité</w:t>
      </w:r>
      <w:r w:rsidRPr="00FB5D79">
        <w:t>.</w:t>
      </w:r>
    </w:p>
    <w:p w14:paraId="41EB3F16" w14:textId="4B622476" w:rsidR="00B105E2" w:rsidRPr="00C053D9" w:rsidRDefault="00C053D9" w:rsidP="00C053D9">
      <w:pPr>
        <w:pStyle w:val="Heading2"/>
        <w:numPr>
          <w:ilvl w:val="1"/>
          <w:numId w:val="3"/>
        </w:numPr>
      </w:pPr>
      <w:bookmarkStart w:id="14" w:name="_Toc530408363"/>
      <w:r w:rsidRPr="00C053D9">
        <w:t>Conception et gestion du projet</w:t>
      </w:r>
      <w:bookmarkEnd w:id="14"/>
    </w:p>
    <w:p w14:paraId="03A4475F" w14:textId="0FEC4932" w:rsidR="00524DAF" w:rsidRPr="00FB5D79" w:rsidRDefault="00EF56A3" w:rsidP="00524DAF">
      <w:pPr>
        <w:jc w:val="both"/>
      </w:pPr>
      <w:bookmarkStart w:id="15" w:name="_Toc335712733"/>
      <w:r w:rsidRPr="00FB5D79">
        <w:t>Sur la base</w:t>
      </w:r>
      <w:r w:rsidR="00524DAF" w:rsidRPr="00FB5D79">
        <w:t xml:space="preserve"> de l</w:t>
      </w:r>
      <w:r w:rsidR="00646944" w:rsidRPr="00FB5D79">
        <w:t>’</w:t>
      </w:r>
      <w:r w:rsidR="00524DAF" w:rsidRPr="00FB5D79">
        <w:t xml:space="preserve">expérience </w:t>
      </w:r>
      <w:r w:rsidRPr="00FB5D79">
        <w:t xml:space="preserve">acquise au cours </w:t>
      </w:r>
      <w:r w:rsidR="00524DAF" w:rsidRPr="00FB5D79">
        <w:t xml:space="preserve">de la </w:t>
      </w:r>
      <w:r w:rsidR="002521B3" w:rsidRPr="00FB5D79">
        <w:t>phase I</w:t>
      </w:r>
      <w:r w:rsidR="00524DAF" w:rsidRPr="00FB5D79">
        <w:t xml:space="preserve"> et des enseignements tirés de </w:t>
      </w:r>
      <w:r w:rsidR="00744A48" w:rsidRPr="00FB5D79">
        <w:t>la phase I</w:t>
      </w:r>
      <w:r w:rsidR="00524DAF" w:rsidRPr="00FB5D79">
        <w:t xml:space="preserve"> et</w:t>
      </w:r>
      <w:r w:rsidR="000A2370" w:rsidRPr="00FB5D79">
        <w:t xml:space="preserve"> </w:t>
      </w:r>
      <w:r w:rsidRPr="00FB5D79">
        <w:t>compte tenu des nouvelles difficultés à surmonter</w:t>
      </w:r>
      <w:r w:rsidR="00524DAF" w:rsidRPr="00FB5D79">
        <w:t xml:space="preserve">, la </w:t>
      </w:r>
      <w:r w:rsidR="002521B3" w:rsidRPr="00FB5D79">
        <w:t>phase II</w:t>
      </w:r>
      <w:r w:rsidR="00524DAF" w:rsidRPr="00FB5D79">
        <w:t xml:space="preserve"> du projet a été judicieusement préparée et planifiée.</w:t>
      </w:r>
    </w:p>
    <w:p w14:paraId="5052B751" w14:textId="77777777" w:rsidR="00524DAF" w:rsidRPr="00FB5D79" w:rsidRDefault="00524DAF" w:rsidP="00524DAF">
      <w:pPr>
        <w:jc w:val="both"/>
      </w:pPr>
    </w:p>
    <w:p w14:paraId="331974F0" w14:textId="566F2CC3" w:rsidR="00646944" w:rsidRPr="00FB5D79" w:rsidRDefault="00524DAF" w:rsidP="000A2370">
      <w:pPr>
        <w:jc w:val="both"/>
      </w:pPr>
      <w:r w:rsidRPr="00FB5D79">
        <w:t xml:space="preserve">Le </w:t>
      </w:r>
      <w:r w:rsidR="000A2370" w:rsidRPr="00FB5D79">
        <w:t>rapport d</w:t>
      </w:r>
      <w:r w:rsidR="00646944" w:rsidRPr="00FB5D79">
        <w:t>’</w:t>
      </w:r>
      <w:r w:rsidR="000A2370" w:rsidRPr="00FB5D79">
        <w:t>évaluation du projet</w:t>
      </w:r>
      <w:r w:rsidRPr="00FB5D79">
        <w:t xml:space="preserve"> (CDIP14/7</w:t>
      </w:r>
      <w:r w:rsidR="005C77BB" w:rsidRPr="00FB5D79">
        <w:t xml:space="preserve">, voir </w:t>
      </w:r>
      <w:r w:rsidR="000A2370" w:rsidRPr="00FB5D79">
        <w:t>l</w:t>
      </w:r>
      <w:r w:rsidR="00646944" w:rsidRPr="00FB5D79">
        <w:t>’</w:t>
      </w:r>
      <w:r w:rsidR="005C77BB" w:rsidRPr="00FB5D79">
        <w:t>annexe </w:t>
      </w:r>
      <w:r w:rsidRPr="00FB5D79">
        <w:t xml:space="preserve">I) décrit les objectifs principaux et </w:t>
      </w:r>
      <w:r w:rsidR="002521B3" w:rsidRPr="00FB5D79">
        <w:t>connexes</w:t>
      </w:r>
      <w:r w:rsidRPr="00FB5D79">
        <w:t xml:space="preserve"> du projet </w:t>
      </w:r>
      <w:r w:rsidR="000A2370" w:rsidRPr="00FB5D79">
        <w:t>ainsi que</w:t>
      </w:r>
      <w:r w:rsidRPr="00FB5D79">
        <w:t xml:space="preserve"> la stratégie </w:t>
      </w:r>
      <w:r w:rsidR="000A2370" w:rsidRPr="00FB5D79">
        <w:t>de mise en œuvre de la phase II</w:t>
      </w:r>
      <w:r w:rsidRPr="00FB5D79">
        <w:t xml:space="preserve">, </w:t>
      </w:r>
      <w:r w:rsidR="000A2370" w:rsidRPr="00FB5D79">
        <w:t>les</w:t>
      </w:r>
      <w:r w:rsidRPr="00FB5D79">
        <w:t xml:space="preserve"> liens </w:t>
      </w:r>
      <w:r w:rsidR="000A2370" w:rsidRPr="00FB5D79">
        <w:t>entre le projet et</w:t>
      </w:r>
      <w:r w:rsidRPr="00FB5D79">
        <w:t xml:space="preserve"> </w:t>
      </w:r>
      <w:r w:rsidR="000A2370" w:rsidRPr="00FB5D79">
        <w:t>d</w:t>
      </w:r>
      <w:r w:rsidR="00646944" w:rsidRPr="00FB5D79">
        <w:t>’</w:t>
      </w:r>
      <w:r w:rsidR="000A2370" w:rsidRPr="00FB5D79">
        <w:t>autres programmes de l</w:t>
      </w:r>
      <w:r w:rsidR="00646944" w:rsidRPr="00FB5D79">
        <w:t>’</w:t>
      </w:r>
      <w:r w:rsidR="000A2370" w:rsidRPr="00FB5D79">
        <w:t>OMPI et projets du Plan d</w:t>
      </w:r>
      <w:r w:rsidR="00646944" w:rsidRPr="00FB5D79">
        <w:t>’</w:t>
      </w:r>
      <w:r w:rsidR="000A2370" w:rsidRPr="00FB5D79">
        <w:t>action pour le développement</w:t>
      </w:r>
      <w:r w:rsidRPr="00FB5D79">
        <w:t xml:space="preserve">, </w:t>
      </w:r>
      <w:r w:rsidR="000A2370" w:rsidRPr="00FB5D79">
        <w:t>l</w:t>
      </w:r>
      <w:r w:rsidR="00646944" w:rsidRPr="00FB5D79">
        <w:t>’</w:t>
      </w:r>
      <w:r w:rsidR="000A2370" w:rsidRPr="00FB5D79">
        <w:t>un des principaux risques, qui concerne la qualité des</w:t>
      </w:r>
      <w:r w:rsidRPr="00FB5D79">
        <w:t xml:space="preserve"> données</w:t>
      </w:r>
      <w:r w:rsidR="000A2370" w:rsidRPr="00FB5D79">
        <w:t>,</w:t>
      </w:r>
      <w:r w:rsidRPr="00FB5D79">
        <w:t xml:space="preserve"> et </w:t>
      </w:r>
      <w:r w:rsidR="000A2370" w:rsidRPr="00FB5D79">
        <w:t xml:space="preserve">enfin </w:t>
      </w:r>
      <w:r w:rsidRPr="00FB5D79">
        <w:t>la stratégie d</w:t>
      </w:r>
      <w:r w:rsidR="00646944" w:rsidRPr="00FB5D79">
        <w:t>’</w:t>
      </w:r>
      <w:r w:rsidRPr="00FB5D79">
        <w:t>atténuati</w:t>
      </w:r>
      <w:r w:rsidR="00172764" w:rsidRPr="00FB5D79">
        <w:t>on.  Le</w:t>
      </w:r>
      <w:r w:rsidRPr="00FB5D79">
        <w:t xml:space="preserve"> descriptif </w:t>
      </w:r>
      <w:r w:rsidR="00AD44DE" w:rsidRPr="00FB5D79">
        <w:t>du</w:t>
      </w:r>
      <w:r w:rsidRPr="00FB5D79">
        <w:t xml:space="preserve"> projet </w:t>
      </w:r>
      <w:r w:rsidR="00AD44DE" w:rsidRPr="00FB5D79">
        <w:t>renseigne sur</w:t>
      </w:r>
      <w:r w:rsidRPr="00FB5D79">
        <w:t xml:space="preserve"> </w:t>
      </w:r>
      <w:r w:rsidR="005817AC" w:rsidRPr="00FB5D79">
        <w:t>les</w:t>
      </w:r>
      <w:r w:rsidRPr="00FB5D79">
        <w:t xml:space="preserve"> indicateurs </w:t>
      </w:r>
      <w:r w:rsidR="005817AC" w:rsidRPr="00FB5D79">
        <w:t>de résultats</w:t>
      </w:r>
      <w:r w:rsidRPr="00FB5D79">
        <w:t xml:space="preserve"> et </w:t>
      </w:r>
      <w:r w:rsidR="005817AC" w:rsidRPr="00FB5D79">
        <w:t>de réussite</w:t>
      </w:r>
      <w:r w:rsidRPr="00FB5D79">
        <w:t>.</w:t>
      </w:r>
    </w:p>
    <w:p w14:paraId="531EE1E0" w14:textId="2D51B856" w:rsidR="00524DAF" w:rsidRPr="00FB5D79" w:rsidRDefault="00524DAF" w:rsidP="00524DAF">
      <w:pPr>
        <w:jc w:val="both"/>
      </w:pPr>
    </w:p>
    <w:p w14:paraId="2FA6A845" w14:textId="74D1D49D" w:rsidR="00646944" w:rsidRPr="00FB5D79" w:rsidRDefault="00524DAF" w:rsidP="00524DAF">
      <w:pPr>
        <w:jc w:val="both"/>
      </w:pPr>
      <w:r w:rsidRPr="00FB5D79">
        <w:t xml:space="preserve">Les </w:t>
      </w:r>
      <w:r w:rsidR="00DD3D3A" w:rsidRPr="00FB5D79">
        <w:t>sujets à étudier</w:t>
      </w:r>
      <w:r w:rsidRPr="00FB5D79">
        <w:t xml:space="preserve"> ont été définis en consultation avec les États </w:t>
      </w:r>
      <w:r w:rsidR="000E4777" w:rsidRPr="00FB5D79">
        <w:t>membres</w:t>
      </w:r>
      <w:r w:rsidRPr="00FB5D79">
        <w:t xml:space="preserve"> et ont été conceptualisé</w:t>
      </w:r>
      <w:r w:rsidR="00D84291" w:rsidRPr="00FB5D79">
        <w:t>e</w:t>
      </w:r>
      <w:r w:rsidRPr="00FB5D79">
        <w:t xml:space="preserve">s par le biais de </w:t>
      </w:r>
      <w:r w:rsidR="00744A48" w:rsidRPr="00FB5D79">
        <w:t xml:space="preserve">synthèses </w:t>
      </w:r>
      <w:r w:rsidRPr="00FB5D79">
        <w:t>d</w:t>
      </w:r>
      <w:r w:rsidR="00646944" w:rsidRPr="00FB5D79">
        <w:t>’</w:t>
      </w:r>
      <w:r w:rsidRPr="00FB5D79">
        <w:t>étude</w:t>
      </w:r>
      <w:r w:rsidR="00D84291" w:rsidRPr="00FB5D79">
        <w:t xml:space="preserve"> ou de</w:t>
      </w:r>
      <w:r w:rsidRPr="00FB5D79">
        <w:t xml:space="preserve"> propositions articulant </w:t>
      </w:r>
      <w:r w:rsidR="00DD3D3A" w:rsidRPr="00FB5D79">
        <w:t>l</w:t>
      </w:r>
      <w:r w:rsidR="00646944" w:rsidRPr="00FB5D79">
        <w:t>’</w:t>
      </w:r>
      <w:r w:rsidR="00DD3D3A" w:rsidRPr="00FB5D79">
        <w:t>ensemble de la</w:t>
      </w:r>
      <w:r w:rsidRPr="00FB5D79">
        <w:t xml:space="preserve"> méthodologie et la stratégie </w:t>
      </w:r>
      <w:r w:rsidR="00ED0B1F" w:rsidRPr="00FB5D79">
        <w:t xml:space="preserve">de mise en œuvre </w:t>
      </w:r>
      <w:r w:rsidRPr="00FB5D79">
        <w:t>des différentes étud</w:t>
      </w:r>
      <w:r w:rsidR="00172764" w:rsidRPr="00FB5D79">
        <w:t>es.  La</w:t>
      </w:r>
      <w:r w:rsidRPr="00FB5D79">
        <w:t xml:space="preserve"> grande majorité des parties prenantes </w:t>
      </w:r>
      <w:r w:rsidR="00DD3D3A" w:rsidRPr="00FB5D79">
        <w:t>extérieures</w:t>
      </w:r>
      <w:r w:rsidRPr="00FB5D79">
        <w:t xml:space="preserve">, les </w:t>
      </w:r>
      <w:r w:rsidR="00DD3D3A" w:rsidRPr="00FB5D79">
        <w:t>personnes ayant répondu</w:t>
      </w:r>
      <w:r w:rsidRPr="00FB5D79">
        <w:t xml:space="preserve"> </w:t>
      </w:r>
      <w:r w:rsidR="00E53109" w:rsidRPr="00FB5D79">
        <w:t>au questionnaire</w:t>
      </w:r>
      <w:r w:rsidRPr="00FB5D79">
        <w:t xml:space="preserve"> et les personnes interrogées ont souligné que le projet et les sujets </w:t>
      </w:r>
      <w:r w:rsidR="00DD3D3A" w:rsidRPr="00FB5D79">
        <w:t>traités</w:t>
      </w:r>
      <w:r w:rsidRPr="00FB5D79">
        <w:t xml:space="preserve"> étaient très pertinents et répondaient aux besoins et priorités réels des pays respectifs.</w:t>
      </w:r>
    </w:p>
    <w:p w14:paraId="4E71892B" w14:textId="72A7EFC7" w:rsidR="00524DAF" w:rsidRPr="00FB5D79" w:rsidRDefault="00524DAF" w:rsidP="00524DAF">
      <w:pPr>
        <w:jc w:val="both"/>
      </w:pPr>
    </w:p>
    <w:p w14:paraId="2CC98E8B" w14:textId="2F5E83B3" w:rsidR="00646944" w:rsidRPr="00FB5D79" w:rsidRDefault="00201D0C" w:rsidP="00524DAF">
      <w:pPr>
        <w:jc w:val="both"/>
      </w:pPr>
      <w:r w:rsidRPr="00FB5D79">
        <w:t xml:space="preserve">Le </w:t>
      </w:r>
      <w:r w:rsidR="000A6EE2" w:rsidRPr="00FB5D79">
        <w:t>fait que</w:t>
      </w:r>
      <w:r w:rsidR="00646944" w:rsidRPr="00FB5D79">
        <w:t xml:space="preserve"> le CDI</w:t>
      </w:r>
      <w:r w:rsidRPr="00FB5D79">
        <w:t>P a</w:t>
      </w:r>
      <w:r w:rsidR="000A6EE2" w:rsidRPr="00FB5D79">
        <w:t>it</w:t>
      </w:r>
      <w:r w:rsidRPr="00FB5D79">
        <w:t xml:space="preserve"> approuvé </w:t>
      </w:r>
      <w:r w:rsidR="00524DAF" w:rsidRPr="00FB5D79">
        <w:t xml:space="preserve">la proposition de projet à </w:t>
      </w:r>
      <w:r w:rsidRPr="00FB5D79">
        <w:t>sa</w:t>
      </w:r>
      <w:r w:rsidR="00524DAF" w:rsidRPr="00FB5D79">
        <w:t xml:space="preserve"> </w:t>
      </w:r>
      <w:r w:rsidR="005C77BB" w:rsidRPr="00FB5D79">
        <w:t>quatorz</w:t>
      </w:r>
      <w:r w:rsidR="00965F3A">
        <w:t>ième session</w:t>
      </w:r>
      <w:r w:rsidRPr="00FB5D79">
        <w:t>, tenue</w:t>
      </w:r>
      <w:r w:rsidR="005C77BB" w:rsidRPr="00FB5D79">
        <w:t xml:space="preserve"> en novembre </w:t>
      </w:r>
      <w:r w:rsidR="00524DAF" w:rsidRPr="00FB5D79">
        <w:t>2014</w:t>
      </w:r>
      <w:r w:rsidRPr="00FB5D79">
        <w:t xml:space="preserve">, </w:t>
      </w:r>
      <w:r w:rsidR="00524DAF" w:rsidRPr="00FB5D79">
        <w:t xml:space="preserve">témoigne de la pertinence </w:t>
      </w:r>
      <w:r w:rsidRPr="00FB5D79">
        <w:t>des</w:t>
      </w:r>
      <w:r w:rsidR="00524DAF" w:rsidRPr="00FB5D79">
        <w:t xml:space="preserve"> objectifs et de </w:t>
      </w:r>
      <w:r w:rsidR="000A18C3" w:rsidRPr="00FB5D79">
        <w:t>la</w:t>
      </w:r>
      <w:r w:rsidR="00524DAF" w:rsidRPr="00FB5D79">
        <w:t xml:space="preserve"> stratégie de mise en œuvre</w:t>
      </w:r>
      <w:r w:rsidR="000A18C3" w:rsidRPr="00FB5D79">
        <w:t xml:space="preserve"> de la phase II, </w:t>
      </w:r>
      <w:r w:rsidR="00A375F1" w:rsidRPr="00FB5D79">
        <w:t>celle</w:t>
      </w:r>
      <w:r w:rsidR="00965F3A">
        <w:t>-</w:t>
      </w:r>
      <w:r w:rsidR="00A375F1" w:rsidRPr="00FB5D79">
        <w:t>ci visant à</w:t>
      </w:r>
      <w:r w:rsidR="000A18C3" w:rsidRPr="00FB5D79">
        <w:t xml:space="preserve"> </w:t>
      </w:r>
      <w:r w:rsidR="007345CF" w:rsidRPr="00FB5D79">
        <w:rPr>
          <w:iCs/>
        </w:rPr>
        <w:t xml:space="preserve">promouvoir la continuité des recherches entamées lors de la </w:t>
      </w:r>
      <w:r w:rsidR="000A6EE2" w:rsidRPr="00FB5D79">
        <w:rPr>
          <w:iCs/>
        </w:rPr>
        <w:t xml:space="preserve">première phase </w:t>
      </w:r>
      <w:r w:rsidR="007345CF" w:rsidRPr="00FB5D79">
        <w:rPr>
          <w:iCs/>
        </w:rPr>
        <w:t>du projet et étendre l</w:t>
      </w:r>
      <w:r w:rsidR="00646944" w:rsidRPr="00FB5D79">
        <w:rPr>
          <w:iCs/>
        </w:rPr>
        <w:t>’</w:t>
      </w:r>
      <w:r w:rsidR="007345CF" w:rsidRPr="00FB5D79">
        <w:rPr>
          <w:iCs/>
        </w:rPr>
        <w:t>étude à de nouveaux pays et régions</w:t>
      </w:r>
      <w:r w:rsidR="00524DAF" w:rsidRPr="00FB5D79">
        <w:t>.</w:t>
      </w:r>
    </w:p>
    <w:p w14:paraId="6E4D1362" w14:textId="27922606" w:rsidR="00524DAF" w:rsidRPr="00FB5D79" w:rsidRDefault="00524DAF" w:rsidP="00524DAF">
      <w:pPr>
        <w:jc w:val="both"/>
      </w:pPr>
    </w:p>
    <w:p w14:paraId="510453DF" w14:textId="61A7C2A8" w:rsidR="00735A4B" w:rsidRPr="00FB5D79" w:rsidRDefault="00524DAF" w:rsidP="00524DAF">
      <w:pPr>
        <w:jc w:val="both"/>
      </w:pPr>
      <w:r w:rsidRPr="00FB5D79">
        <w:t xml:space="preserve">Les objectifs du projet étaient </w:t>
      </w:r>
      <w:r w:rsidR="00A375F1" w:rsidRPr="00FB5D79">
        <w:t>conformes aux objectifs</w:t>
      </w:r>
      <w:r w:rsidRPr="00FB5D79">
        <w:t xml:space="preserve"> stratégiques de l</w:t>
      </w:r>
      <w:r w:rsidR="00646944" w:rsidRPr="00FB5D79">
        <w:t>’</w:t>
      </w:r>
      <w:r w:rsidRPr="00FB5D79">
        <w:t>OMPI</w:t>
      </w:r>
      <w:r w:rsidR="00735A4B" w:rsidRPr="00FB5D79">
        <w:rPr>
          <w:vertAlign w:val="superscript"/>
        </w:rPr>
        <w:footnoteReference w:id="10"/>
      </w:r>
      <w:r w:rsidR="005C77BB" w:rsidRPr="00FB5D79">
        <w:t>.</w:t>
      </w:r>
    </w:p>
    <w:p w14:paraId="2E1284CE" w14:textId="77777777" w:rsidR="00735A4B" w:rsidRPr="00FB5D79" w:rsidRDefault="00735A4B" w:rsidP="00735A4B">
      <w:pPr>
        <w:jc w:val="both"/>
      </w:pPr>
    </w:p>
    <w:p w14:paraId="177D90CE" w14:textId="24566002" w:rsidR="00735A4B" w:rsidRPr="00FB5D79" w:rsidRDefault="00A375F1" w:rsidP="00735A4B">
      <w:pPr>
        <w:jc w:val="both"/>
        <w:rPr>
          <w:bCs/>
        </w:rPr>
      </w:pPr>
      <w:r w:rsidRPr="00FB5D79">
        <w:t xml:space="preserve">Les </w:t>
      </w:r>
      <w:r w:rsidR="00524DAF" w:rsidRPr="00FB5D79">
        <w:t>programmes de l</w:t>
      </w:r>
      <w:r w:rsidR="00646944" w:rsidRPr="00FB5D79">
        <w:t>’</w:t>
      </w:r>
      <w:r w:rsidR="00524DAF" w:rsidRPr="00FB5D79">
        <w:t>OMPI</w:t>
      </w:r>
      <w:r w:rsidRPr="00FB5D79">
        <w:t xml:space="preserve"> concernés</w:t>
      </w:r>
      <w:r w:rsidR="00735A4B" w:rsidRPr="00FB5D79">
        <w:rPr>
          <w:vertAlign w:val="superscript"/>
        </w:rPr>
        <w:footnoteReference w:id="11"/>
      </w:r>
      <w:r w:rsidR="00524DAF" w:rsidRPr="00FB5D79">
        <w:t xml:space="preserve"> </w:t>
      </w:r>
      <w:r w:rsidRPr="00FB5D79">
        <w:t>et</w:t>
      </w:r>
      <w:r w:rsidR="00524DAF" w:rsidRPr="00FB5D79">
        <w:t xml:space="preserve"> les parties prenantes </w:t>
      </w:r>
      <w:r w:rsidR="00DD3D3A" w:rsidRPr="00FB5D79">
        <w:t>extérieures</w:t>
      </w:r>
      <w:r w:rsidRPr="00FB5D79">
        <w:t xml:space="preserve"> ont</w:t>
      </w:r>
      <w:r w:rsidR="00524DAF" w:rsidRPr="00FB5D79">
        <w:t xml:space="preserve"> déclaré </w:t>
      </w:r>
      <w:r w:rsidR="003E3A1B" w:rsidRPr="00FB5D79">
        <w:t>ne pas avoir rencontré</w:t>
      </w:r>
      <w:r w:rsidR="004C4E6A" w:rsidRPr="00FB5D79">
        <w:t xml:space="preserve"> de</w:t>
      </w:r>
      <w:r w:rsidR="00524DAF" w:rsidRPr="00FB5D79">
        <w:t xml:space="preserve"> problème </w:t>
      </w:r>
      <w:r w:rsidR="004C4E6A" w:rsidRPr="00FB5D79">
        <w:t>de communication ni de</w:t>
      </w:r>
      <w:r w:rsidR="00524DAF" w:rsidRPr="00FB5D79">
        <w:t xml:space="preserve"> coordin</w:t>
      </w:r>
      <w:r w:rsidR="00F73773" w:rsidRPr="00FB5D79">
        <w:t xml:space="preserve">ation avec </w:t>
      </w:r>
      <w:r w:rsidRPr="00FB5D79">
        <w:t>l</w:t>
      </w:r>
      <w:r w:rsidR="00646944" w:rsidRPr="00FB5D79">
        <w:t>’</w:t>
      </w:r>
      <w:r w:rsidRPr="00FB5D79">
        <w:t>équipe chargée du proj</w:t>
      </w:r>
      <w:r w:rsidR="00172764" w:rsidRPr="00FB5D79">
        <w:t>et.  Au</w:t>
      </w:r>
      <w:r w:rsidR="00524DAF" w:rsidRPr="00FB5D79">
        <w:t>cun chevauchement entre le projet et d</w:t>
      </w:r>
      <w:r w:rsidR="00646944" w:rsidRPr="00FB5D79">
        <w:t>’</w:t>
      </w:r>
      <w:r w:rsidR="00524DAF" w:rsidRPr="00FB5D79">
        <w:t>autres activités menées par l</w:t>
      </w:r>
      <w:r w:rsidR="00646944" w:rsidRPr="00FB5D79">
        <w:t>’</w:t>
      </w:r>
      <w:r w:rsidR="00524DAF" w:rsidRPr="00FB5D79">
        <w:t>OMPI</w:t>
      </w:r>
      <w:r w:rsidR="00A42951" w:rsidRPr="00FB5D79">
        <w:t xml:space="preserve"> n</w:t>
      </w:r>
      <w:r w:rsidR="00646944" w:rsidRPr="00FB5D79">
        <w:t>’</w:t>
      </w:r>
      <w:r w:rsidR="00A42951" w:rsidRPr="00FB5D79">
        <w:t>a été signa</w:t>
      </w:r>
      <w:r w:rsidR="00172764" w:rsidRPr="00FB5D79">
        <w:t>lé.  Le</w:t>
      </w:r>
      <w:r w:rsidR="00524DAF" w:rsidRPr="00FB5D79">
        <w:t xml:space="preserve">s parties prenantes </w:t>
      </w:r>
      <w:r w:rsidR="00DD3D3A" w:rsidRPr="00FB5D79">
        <w:t>extérieures</w:t>
      </w:r>
      <w:r w:rsidR="00524DAF" w:rsidRPr="00FB5D79">
        <w:t xml:space="preserve"> ont confirmé</w:t>
      </w:r>
      <w:r w:rsidR="009508DB" w:rsidRPr="00FB5D79">
        <w:t xml:space="preserve"> qu</w:t>
      </w:r>
      <w:r w:rsidR="00646944" w:rsidRPr="00FB5D79">
        <w:t>’</w:t>
      </w:r>
      <w:r w:rsidR="009508DB" w:rsidRPr="00FB5D79">
        <w:t>elles étaient extrêmement satisfaites de l</w:t>
      </w:r>
      <w:r w:rsidR="00646944" w:rsidRPr="00FB5D79">
        <w:t>’</w:t>
      </w:r>
      <w:r w:rsidR="009508DB" w:rsidRPr="00FB5D79">
        <w:t>aide apportée</w:t>
      </w:r>
      <w:r w:rsidR="00524DAF" w:rsidRPr="00FB5D79">
        <w:t xml:space="preserve"> par l</w:t>
      </w:r>
      <w:r w:rsidR="00646944" w:rsidRPr="00FB5D79">
        <w:t>’</w:t>
      </w:r>
      <w:r w:rsidR="00524DAF" w:rsidRPr="00FB5D79">
        <w:t>Organisation dans le cadre de la mise en œuvre du projet.</w:t>
      </w:r>
    </w:p>
    <w:p w14:paraId="4728EAA1" w14:textId="77777777" w:rsidR="00735A4B" w:rsidRPr="00FB5D79" w:rsidRDefault="00735A4B" w:rsidP="00735A4B">
      <w:pPr>
        <w:jc w:val="both"/>
        <w:rPr>
          <w:bCs/>
        </w:rPr>
      </w:pPr>
    </w:p>
    <w:p w14:paraId="6096A508" w14:textId="381A2B1A" w:rsidR="00646944" w:rsidRPr="00FB5D79" w:rsidRDefault="00135974" w:rsidP="00524DAF">
      <w:pPr>
        <w:jc w:val="both"/>
        <w:rPr>
          <w:bCs/>
        </w:rPr>
      </w:pPr>
      <w:r w:rsidRPr="00FB5D79">
        <w:t>Aux fins d</w:t>
      </w:r>
      <w:r w:rsidR="00646944" w:rsidRPr="00FB5D79">
        <w:t>’</w:t>
      </w:r>
      <w:r w:rsidRPr="00FB5D79">
        <w:t>officialisation de</w:t>
      </w:r>
      <w:r w:rsidR="00524DAF" w:rsidRPr="00FB5D79">
        <w:t xml:space="preserve"> la coordination et </w:t>
      </w:r>
      <w:r w:rsidRPr="00FB5D79">
        <w:t xml:space="preserve">de </w:t>
      </w:r>
      <w:r w:rsidR="00524DAF" w:rsidRPr="00FB5D79">
        <w:t xml:space="preserve">la collaboration dans le </w:t>
      </w:r>
      <w:r w:rsidR="006F5974" w:rsidRPr="00FB5D79">
        <w:t xml:space="preserve">cadre du projet, des accords </w:t>
      </w:r>
      <w:r w:rsidR="00524DAF" w:rsidRPr="00FB5D79">
        <w:t>ou protocoles d</w:t>
      </w:r>
      <w:r w:rsidR="00646944" w:rsidRPr="00FB5D79">
        <w:t>’</w:t>
      </w:r>
      <w:r w:rsidR="00524DAF" w:rsidRPr="00FB5D79">
        <w:t>accord ont été signés entre l</w:t>
      </w:r>
      <w:r w:rsidR="00646944" w:rsidRPr="00FB5D79">
        <w:t>’</w:t>
      </w:r>
      <w:r w:rsidR="00524DAF" w:rsidRPr="00FB5D79">
        <w:t>OMPI et chaque pays bénéficiai</w:t>
      </w:r>
      <w:r w:rsidR="00172764" w:rsidRPr="00FB5D79">
        <w:t>re.  Le</w:t>
      </w:r>
      <w:r w:rsidR="00CD4A9A" w:rsidRPr="00FB5D79">
        <w:t xml:space="preserve">s </w:t>
      </w:r>
      <w:r w:rsidR="00482097" w:rsidRPr="00FB5D79">
        <w:t>bureaux</w:t>
      </w:r>
      <w:r w:rsidR="00524DAF" w:rsidRPr="00FB5D79">
        <w:t xml:space="preserve"> régionaux de l</w:t>
      </w:r>
      <w:r w:rsidR="00646944" w:rsidRPr="00FB5D79">
        <w:t>’</w:t>
      </w:r>
      <w:r w:rsidR="00CD4A9A" w:rsidRPr="00FB5D79">
        <w:t>OMPI</w:t>
      </w:r>
      <w:r w:rsidR="00735A4B" w:rsidRPr="00FB5D79">
        <w:rPr>
          <w:bCs/>
          <w:vertAlign w:val="superscript"/>
        </w:rPr>
        <w:footnoteReference w:id="12"/>
      </w:r>
      <w:r w:rsidR="00735A4B" w:rsidRPr="00FB5D79">
        <w:rPr>
          <w:bCs/>
        </w:rPr>
        <w:t xml:space="preserve"> </w:t>
      </w:r>
      <w:r w:rsidR="00524DAF" w:rsidRPr="00FB5D79">
        <w:rPr>
          <w:bCs/>
        </w:rPr>
        <w:t xml:space="preserve">ainsi que le Programme relatif aux </w:t>
      </w:r>
      <w:r w:rsidR="00E53109" w:rsidRPr="00FB5D79">
        <w:rPr>
          <w:bCs/>
        </w:rPr>
        <w:t xml:space="preserve">pays en transition et aux </w:t>
      </w:r>
      <w:r w:rsidR="00524DAF" w:rsidRPr="00FB5D79">
        <w:rPr>
          <w:bCs/>
        </w:rPr>
        <w:t xml:space="preserve">pays </w:t>
      </w:r>
      <w:r w:rsidR="00524DAF" w:rsidRPr="00FB5D79">
        <w:rPr>
          <w:bCs/>
        </w:rPr>
        <w:lastRenderedPageBreak/>
        <w:t>développés ont joué un rôle important en facilitant le travail de l</w:t>
      </w:r>
      <w:r w:rsidR="00646944" w:rsidRPr="00FB5D79">
        <w:rPr>
          <w:bCs/>
        </w:rPr>
        <w:t>’</w:t>
      </w:r>
      <w:r w:rsidR="00524DAF" w:rsidRPr="00FB5D79">
        <w:rPr>
          <w:bCs/>
        </w:rPr>
        <w:t xml:space="preserve">équipe </w:t>
      </w:r>
      <w:r w:rsidRPr="00FB5D79">
        <w:rPr>
          <w:bCs/>
        </w:rPr>
        <w:t xml:space="preserve">chargée </w:t>
      </w:r>
      <w:r w:rsidR="00524DAF" w:rsidRPr="00FB5D79">
        <w:rPr>
          <w:bCs/>
        </w:rPr>
        <w:t xml:space="preserve">du projet et en identifiant des partenaires dans le pays ou </w:t>
      </w:r>
      <w:r w:rsidR="00CB64C1" w:rsidRPr="00FB5D79">
        <w:rPr>
          <w:bCs/>
        </w:rPr>
        <w:t xml:space="preserve">les régions </w:t>
      </w:r>
      <w:r w:rsidR="00524DAF" w:rsidRPr="00FB5D79">
        <w:rPr>
          <w:bCs/>
        </w:rPr>
        <w:t>concernés par le projet.</w:t>
      </w:r>
    </w:p>
    <w:p w14:paraId="010D25E6" w14:textId="4B6E4695" w:rsidR="00524DAF" w:rsidRPr="00FB5D79" w:rsidRDefault="00524DAF" w:rsidP="00524DAF">
      <w:pPr>
        <w:jc w:val="both"/>
        <w:rPr>
          <w:bCs/>
        </w:rPr>
      </w:pPr>
    </w:p>
    <w:p w14:paraId="707392BD" w14:textId="694AC3A8" w:rsidR="00524DAF" w:rsidRPr="00FB5D79" w:rsidRDefault="00C30D7B" w:rsidP="00524DAF">
      <w:pPr>
        <w:jc w:val="both"/>
        <w:rPr>
          <w:bCs/>
        </w:rPr>
      </w:pPr>
      <w:r w:rsidRPr="00FB5D79">
        <w:rPr>
          <w:bCs/>
        </w:rPr>
        <w:t xml:space="preserve">Un nombre limité </w:t>
      </w:r>
      <w:r w:rsidR="00482097" w:rsidRPr="00FB5D79">
        <w:rPr>
          <w:bCs/>
        </w:rPr>
        <w:t>de bureaux</w:t>
      </w:r>
      <w:r w:rsidR="00CB64C1" w:rsidRPr="00FB5D79">
        <w:rPr>
          <w:bCs/>
        </w:rPr>
        <w:t xml:space="preserve"> régionaux</w:t>
      </w:r>
      <w:r w:rsidRPr="00FB5D79">
        <w:rPr>
          <w:bCs/>
        </w:rPr>
        <w:t xml:space="preserve"> ont exprimé</w:t>
      </w:r>
      <w:r w:rsidR="00524DAF" w:rsidRPr="00FB5D79">
        <w:rPr>
          <w:bCs/>
        </w:rPr>
        <w:t xml:space="preserve">, en raison de leur expérience et de leur connaissance des conditions locales, </w:t>
      </w:r>
      <w:r w:rsidRPr="00FB5D79">
        <w:rPr>
          <w:bCs/>
        </w:rPr>
        <w:t>davantage d</w:t>
      </w:r>
      <w:r w:rsidR="00646944" w:rsidRPr="00FB5D79">
        <w:rPr>
          <w:bCs/>
        </w:rPr>
        <w:t>’</w:t>
      </w:r>
      <w:r w:rsidR="00524DAF" w:rsidRPr="00FB5D79">
        <w:rPr>
          <w:bCs/>
        </w:rPr>
        <w:t xml:space="preserve">intérêt pour une participation plus active </w:t>
      </w:r>
      <w:r w:rsidRPr="00FB5D79">
        <w:rPr>
          <w:bCs/>
        </w:rPr>
        <w:t xml:space="preserve">aux </w:t>
      </w:r>
      <w:r w:rsidR="00524DAF" w:rsidRPr="00FB5D79">
        <w:rPr>
          <w:bCs/>
        </w:rPr>
        <w:t>interactions de fo</w:t>
      </w:r>
      <w:r w:rsidR="00D25E87" w:rsidRPr="00FB5D79">
        <w:rPr>
          <w:bCs/>
        </w:rPr>
        <w:t>nd avec les partenaires locaux.</w:t>
      </w:r>
    </w:p>
    <w:p w14:paraId="1CD1409E" w14:textId="77777777" w:rsidR="00524DAF" w:rsidRPr="00FB5D79" w:rsidRDefault="00524DAF" w:rsidP="00524DAF">
      <w:pPr>
        <w:jc w:val="both"/>
        <w:rPr>
          <w:bCs/>
        </w:rPr>
      </w:pPr>
    </w:p>
    <w:p w14:paraId="2B952D2E" w14:textId="7DA27F96" w:rsidR="00524DAF" w:rsidRPr="00FB5D79" w:rsidRDefault="00524DAF" w:rsidP="00524DAF">
      <w:pPr>
        <w:jc w:val="both"/>
        <w:rPr>
          <w:bCs/>
        </w:rPr>
      </w:pPr>
      <w:r w:rsidRPr="00FB5D79">
        <w:rPr>
          <w:bCs/>
        </w:rPr>
        <w:t>Tout au long de la mise en œuvre du projet, les participants aux ateliers et aux séances d</w:t>
      </w:r>
      <w:r w:rsidR="00646944" w:rsidRPr="00FB5D79">
        <w:rPr>
          <w:bCs/>
        </w:rPr>
        <w:t>’</w:t>
      </w:r>
      <w:r w:rsidRPr="00FB5D79">
        <w:rPr>
          <w:bCs/>
        </w:rPr>
        <w:t xml:space="preserve">information ont été sélectionnés en consultation avec </w:t>
      </w:r>
      <w:r w:rsidR="00B75F5D" w:rsidRPr="00FB5D79">
        <w:rPr>
          <w:bCs/>
        </w:rPr>
        <w:t>les</w:t>
      </w:r>
      <w:r w:rsidRPr="00FB5D79">
        <w:rPr>
          <w:bCs/>
        </w:rPr>
        <w:t xml:space="preserve"> homologues nationaux.</w:t>
      </w:r>
    </w:p>
    <w:p w14:paraId="14F3069E" w14:textId="77777777" w:rsidR="00524DAF" w:rsidRPr="00FB5D79" w:rsidRDefault="00524DAF" w:rsidP="00524DAF">
      <w:pPr>
        <w:jc w:val="both"/>
        <w:rPr>
          <w:bCs/>
        </w:rPr>
      </w:pPr>
    </w:p>
    <w:p w14:paraId="4A51AB1F" w14:textId="3476BB7F" w:rsidR="00524DAF" w:rsidRPr="00FB5D79" w:rsidRDefault="00524DAF" w:rsidP="00524DAF">
      <w:pPr>
        <w:jc w:val="both"/>
        <w:rPr>
          <w:bCs/>
        </w:rPr>
      </w:pPr>
      <w:r w:rsidRPr="00FB5D79">
        <w:rPr>
          <w:bCs/>
        </w:rPr>
        <w:t xml:space="preserve">La durée </w:t>
      </w:r>
      <w:r w:rsidR="005C77BB" w:rsidRPr="00FB5D79">
        <w:rPr>
          <w:bCs/>
        </w:rPr>
        <w:t>du projet a été prolongée</w:t>
      </w:r>
      <w:r w:rsidR="002314B2" w:rsidRPr="00FB5D79">
        <w:rPr>
          <w:bCs/>
        </w:rPr>
        <w:t>, passant</w:t>
      </w:r>
      <w:r w:rsidR="005C77BB" w:rsidRPr="00FB5D79">
        <w:rPr>
          <w:bCs/>
        </w:rPr>
        <w:t xml:space="preserve"> de 36 mois à 42 </w:t>
      </w:r>
      <w:r w:rsidRPr="00FB5D79">
        <w:rPr>
          <w:bCs/>
        </w:rPr>
        <w:t>mois au tot</w:t>
      </w:r>
      <w:r w:rsidR="00172764" w:rsidRPr="00FB5D79">
        <w:rPr>
          <w:bCs/>
        </w:rPr>
        <w:t>al.  Da</w:t>
      </w:r>
      <w:r w:rsidRPr="00FB5D79">
        <w:rPr>
          <w:bCs/>
        </w:rPr>
        <w:t xml:space="preserve">ns certains cas (en Pologne et </w:t>
      </w:r>
      <w:r w:rsidR="00744A48" w:rsidRPr="00FB5D79">
        <w:rPr>
          <w:bCs/>
        </w:rPr>
        <w:t>dans les</w:t>
      </w:r>
      <w:r w:rsidR="004836F9" w:rsidRPr="00FB5D79">
        <w:rPr>
          <w:bCs/>
        </w:rPr>
        <w:t xml:space="preserve"> pays de</w:t>
      </w:r>
      <w:r w:rsidRPr="00FB5D79">
        <w:rPr>
          <w:bCs/>
        </w:rPr>
        <w:t xml:space="preserve"> </w:t>
      </w:r>
      <w:r w:rsidR="00AA1B58" w:rsidRPr="00FB5D79">
        <w:rPr>
          <w:bCs/>
        </w:rPr>
        <w:t>l</w:t>
      </w:r>
      <w:r w:rsidR="00646944" w:rsidRPr="00FB5D79">
        <w:rPr>
          <w:bCs/>
        </w:rPr>
        <w:t>’</w:t>
      </w:r>
      <w:r w:rsidR="00AA1B58" w:rsidRPr="00FB5D79">
        <w:rPr>
          <w:bCs/>
        </w:rPr>
        <w:t>ASEAN</w:t>
      </w:r>
      <w:r w:rsidR="00C30D7B" w:rsidRPr="00FB5D79">
        <w:rPr>
          <w:bCs/>
        </w:rPr>
        <w:t>, par exemple</w:t>
      </w:r>
      <w:r w:rsidRPr="00FB5D79">
        <w:rPr>
          <w:bCs/>
        </w:rPr>
        <w:t xml:space="preserve">), le projet a </w:t>
      </w:r>
      <w:r w:rsidR="00B75F5D" w:rsidRPr="00FB5D79">
        <w:rPr>
          <w:bCs/>
        </w:rPr>
        <w:t>pris du retard pour des</w:t>
      </w:r>
      <w:r w:rsidRPr="00FB5D79">
        <w:rPr>
          <w:bCs/>
        </w:rPr>
        <w:t xml:space="preserve"> raisons techniques, </w:t>
      </w:r>
      <w:r w:rsidR="00965F3A">
        <w:rPr>
          <w:bCs/>
        </w:rPr>
        <w:t>à savoir</w:t>
      </w:r>
      <w:r w:rsidRPr="00FB5D79">
        <w:rPr>
          <w:bCs/>
        </w:rPr>
        <w:t xml:space="preserve"> le recrutement tardif des </w:t>
      </w:r>
      <w:r w:rsidR="002314B2" w:rsidRPr="00FB5D79">
        <w:rPr>
          <w:bCs/>
        </w:rPr>
        <w:t>chargés</w:t>
      </w:r>
      <w:r w:rsidRPr="00FB5D79">
        <w:rPr>
          <w:bCs/>
        </w:rPr>
        <w:t xml:space="preserve"> de projet, le changement de consultants nationaux et la </w:t>
      </w:r>
      <w:r w:rsidR="002314B2" w:rsidRPr="00FB5D79">
        <w:rPr>
          <w:bCs/>
        </w:rPr>
        <w:t xml:space="preserve">durée trop longue de la </w:t>
      </w:r>
      <w:r w:rsidRPr="00FB5D79">
        <w:rPr>
          <w:bCs/>
        </w:rPr>
        <w:t>traduction dans une langue non officielle de l</w:t>
      </w:r>
      <w:r w:rsidR="00646944" w:rsidRPr="00FB5D79">
        <w:rPr>
          <w:bCs/>
        </w:rPr>
        <w:t>’</w:t>
      </w:r>
      <w:r w:rsidR="00986303" w:rsidRPr="00FB5D79">
        <w:rPr>
          <w:bCs/>
        </w:rPr>
        <w:t>ONU.</w:t>
      </w:r>
    </w:p>
    <w:p w14:paraId="3A1EA84B" w14:textId="77777777" w:rsidR="00524DAF" w:rsidRPr="00FB5D79" w:rsidRDefault="00524DAF" w:rsidP="00524DAF">
      <w:pPr>
        <w:jc w:val="both"/>
        <w:rPr>
          <w:bCs/>
        </w:rPr>
      </w:pPr>
    </w:p>
    <w:p w14:paraId="0D36AD02" w14:textId="0D2BB9F1" w:rsidR="00524DAF" w:rsidRPr="00FB5D79" w:rsidRDefault="00C30D7B" w:rsidP="00524DAF">
      <w:pPr>
        <w:jc w:val="both"/>
      </w:pPr>
      <w:r w:rsidRPr="00FB5D79">
        <w:rPr>
          <w:bCs/>
        </w:rPr>
        <w:t>La prolongation de six </w:t>
      </w:r>
      <w:r w:rsidR="00524DAF" w:rsidRPr="00FB5D79">
        <w:rPr>
          <w:bCs/>
        </w:rPr>
        <w:t xml:space="preserve">mois a été demandée </w:t>
      </w:r>
      <w:r w:rsidRPr="00FB5D79">
        <w:rPr>
          <w:bCs/>
        </w:rPr>
        <w:t>à temps</w:t>
      </w:r>
      <w:r w:rsidR="00524DAF" w:rsidRPr="00FB5D79">
        <w:rPr>
          <w:bCs/>
        </w:rPr>
        <w:t xml:space="preserve"> et app</w:t>
      </w:r>
      <w:r w:rsidR="00AA1B58" w:rsidRPr="00FB5D79">
        <w:rPr>
          <w:bCs/>
        </w:rPr>
        <w:t xml:space="preserve">rouvée à la </w:t>
      </w:r>
      <w:r w:rsidRPr="00FB5D79">
        <w:rPr>
          <w:bCs/>
        </w:rPr>
        <w:t>vingt</w:t>
      </w:r>
      <w:r w:rsidR="00965F3A">
        <w:rPr>
          <w:bCs/>
        </w:rPr>
        <w:t>ième session</w:t>
      </w:r>
      <w:r w:rsidR="00646944" w:rsidRPr="00FB5D79">
        <w:rPr>
          <w:bCs/>
        </w:rPr>
        <w:t xml:space="preserve"> du CDI</w:t>
      </w:r>
      <w:r w:rsidR="00AA1B58" w:rsidRPr="00FB5D79">
        <w:rPr>
          <w:bCs/>
        </w:rPr>
        <w:t>P</w:t>
      </w:r>
      <w:r w:rsidR="00735A4B" w:rsidRPr="00FB5D79">
        <w:rPr>
          <w:vertAlign w:val="superscript"/>
        </w:rPr>
        <w:footnoteReference w:id="13"/>
      </w:r>
      <w:r w:rsidR="00AA1B58" w:rsidRPr="00FB5D79">
        <w:rPr>
          <w:bCs/>
        </w:rPr>
        <w:t>.</w:t>
      </w:r>
      <w:r w:rsidR="00735A4B" w:rsidRPr="00FB5D79">
        <w:t xml:space="preserve"> </w:t>
      </w:r>
      <w:r w:rsidR="00524DAF" w:rsidRPr="00FB5D79">
        <w:t xml:space="preserve"> L</w:t>
      </w:r>
      <w:r w:rsidR="00480511" w:rsidRPr="00FB5D79">
        <w:t>es</w:t>
      </w:r>
      <w:r w:rsidR="00524DAF" w:rsidRPr="00FB5D79">
        <w:t xml:space="preserve"> difficultés </w:t>
      </w:r>
      <w:r w:rsidR="00480511" w:rsidRPr="00FB5D79">
        <w:t xml:space="preserve">de mise en œuvre </w:t>
      </w:r>
      <w:r w:rsidR="00524DAF" w:rsidRPr="00FB5D79">
        <w:t xml:space="preserve">rencontrées </w:t>
      </w:r>
      <w:r w:rsidR="00480511" w:rsidRPr="00FB5D79">
        <w:t xml:space="preserve">ne sont pas inédites </w:t>
      </w:r>
      <w:r w:rsidR="00166563" w:rsidRPr="00FB5D79">
        <w:t>pour</w:t>
      </w:r>
      <w:r w:rsidR="00524DAF" w:rsidRPr="00FB5D79">
        <w:t xml:space="preserve"> des proje</w:t>
      </w:r>
      <w:r w:rsidR="00166563" w:rsidRPr="00FB5D79">
        <w:t>ts de cette ampleur</w:t>
      </w:r>
      <w:r w:rsidR="00480511" w:rsidRPr="00FB5D79">
        <w:t>,</w:t>
      </w:r>
      <w:r w:rsidR="00166563" w:rsidRPr="00FB5D79">
        <w:t xml:space="preserve"> impliquant la participation de nombreuses parties prena</w:t>
      </w:r>
      <w:r w:rsidR="00480511" w:rsidRPr="00FB5D79">
        <w:t>ntes</w:t>
      </w:r>
      <w:r w:rsidR="00166563" w:rsidRPr="00FB5D79">
        <w:t xml:space="preserve"> qui </w:t>
      </w:r>
      <w:r w:rsidR="00480511" w:rsidRPr="00FB5D79">
        <w:t xml:space="preserve">ignorent </w:t>
      </w:r>
      <w:r w:rsidR="00166563" w:rsidRPr="00FB5D79">
        <w:t>parfois quels sont les</w:t>
      </w:r>
      <w:r w:rsidR="00524DAF" w:rsidRPr="00FB5D79">
        <w:t xml:space="preserve"> </w:t>
      </w:r>
      <w:r w:rsidR="00166563" w:rsidRPr="00FB5D79">
        <w:t>effets</w:t>
      </w:r>
      <w:r w:rsidR="00524DAF" w:rsidRPr="00FB5D79">
        <w:t xml:space="preserve"> </w:t>
      </w:r>
      <w:r w:rsidR="005C35A9" w:rsidRPr="00FB5D79">
        <w:t>socioéconomique</w:t>
      </w:r>
      <w:r w:rsidR="00524DAF" w:rsidRPr="00FB5D79">
        <w:t xml:space="preserve">s de la </w:t>
      </w:r>
      <w:r w:rsidR="00166563" w:rsidRPr="00FB5D79">
        <w:t>propriété intellectuelle</w:t>
      </w:r>
      <w:r w:rsidR="00524DAF" w:rsidRPr="00FB5D79">
        <w:t xml:space="preserve"> et impliquant également </w:t>
      </w:r>
      <w:r w:rsidR="00166563" w:rsidRPr="00FB5D79">
        <w:t>la participation d</w:t>
      </w:r>
      <w:r w:rsidR="00646944" w:rsidRPr="00FB5D79">
        <w:t>’</w:t>
      </w:r>
      <w:r w:rsidR="00524DAF" w:rsidRPr="00FB5D79">
        <w:t xml:space="preserve">un certain nombre de pays </w:t>
      </w:r>
      <w:r w:rsidR="00480511" w:rsidRPr="00FB5D79">
        <w:t>de telle ou telle région</w:t>
      </w:r>
      <w:r w:rsidR="00524DAF" w:rsidRPr="00FB5D79">
        <w:t xml:space="preserve"> qui demandent une coordination spéciale au niveau régional et avec </w:t>
      </w:r>
      <w:r w:rsidRPr="00FB5D79">
        <w:rPr>
          <w:bCs/>
        </w:rPr>
        <w:t>l</w:t>
      </w:r>
      <w:r w:rsidR="00646944" w:rsidRPr="00FB5D79">
        <w:rPr>
          <w:bCs/>
        </w:rPr>
        <w:t>’</w:t>
      </w:r>
      <w:r w:rsidRPr="00FB5D79">
        <w:rPr>
          <w:bCs/>
        </w:rPr>
        <w:t>équipe chargée du projet</w:t>
      </w:r>
      <w:r w:rsidRPr="00FB5D79">
        <w:t>.</w:t>
      </w:r>
      <w:r w:rsidR="000E4777" w:rsidRPr="00FB5D79">
        <w:t xml:space="preserve">  </w:t>
      </w:r>
      <w:r w:rsidR="00524DAF" w:rsidRPr="00FB5D79">
        <w:t>Certaines de ces difficultés expliquent les retards d</w:t>
      </w:r>
      <w:r w:rsidR="00646944" w:rsidRPr="00FB5D79">
        <w:t>’</w:t>
      </w:r>
      <w:r w:rsidR="00166563" w:rsidRPr="00FB5D79">
        <w:t>atteinte</w:t>
      </w:r>
      <w:r w:rsidR="00C90DCB" w:rsidRPr="00FB5D79">
        <w:t xml:space="preserve"> des résultats finaux.</w:t>
      </w:r>
    </w:p>
    <w:p w14:paraId="0597DDB4" w14:textId="77777777" w:rsidR="00524DAF" w:rsidRPr="00FB5D79" w:rsidRDefault="00524DAF" w:rsidP="00524DAF">
      <w:pPr>
        <w:jc w:val="both"/>
      </w:pPr>
    </w:p>
    <w:p w14:paraId="328B275D" w14:textId="596DEADB" w:rsidR="00646944" w:rsidRPr="00FB5D79" w:rsidRDefault="00480511" w:rsidP="00524DAF">
      <w:pPr>
        <w:jc w:val="both"/>
      </w:pPr>
      <w:r w:rsidRPr="00FB5D79">
        <w:t>Dans les cas concernés, l</w:t>
      </w:r>
      <w:r w:rsidR="00646944" w:rsidRPr="00FB5D79">
        <w:t>’</w:t>
      </w:r>
      <w:r w:rsidRPr="00FB5D79">
        <w:t>équipe chargée du projet</w:t>
      </w:r>
      <w:r w:rsidR="00524DAF" w:rsidRPr="00FB5D79">
        <w:t xml:space="preserve"> a</w:t>
      </w:r>
      <w:r w:rsidRPr="00FB5D79">
        <w:t xml:space="preserve"> adopté et suivi une stratégie</w:t>
      </w:r>
      <w:r w:rsidR="00524DAF" w:rsidRPr="00FB5D79">
        <w:t xml:space="preserve"> </w:t>
      </w:r>
      <w:r w:rsidR="000E47F2" w:rsidRPr="00FB5D79">
        <w:t>consistant à capitaliser sur</w:t>
      </w:r>
      <w:r w:rsidR="00524DAF" w:rsidRPr="00FB5D79">
        <w:t xml:space="preserve"> l</w:t>
      </w:r>
      <w:r w:rsidR="00646944" w:rsidRPr="00FB5D79">
        <w:t>’</w:t>
      </w:r>
      <w:r w:rsidR="00524DAF" w:rsidRPr="00FB5D79">
        <w:t>exper</w:t>
      </w:r>
      <w:r w:rsidRPr="00FB5D79">
        <w:t xml:space="preserve">tise locale </w:t>
      </w:r>
      <w:r w:rsidR="00CF4280" w:rsidRPr="00FB5D79">
        <w:t>acquise</w:t>
      </w:r>
      <w:r w:rsidRPr="00FB5D79">
        <w:t xml:space="preserve"> lors de la phase </w:t>
      </w:r>
      <w:r w:rsidR="00524DAF" w:rsidRPr="00FB5D79">
        <w:t xml:space="preserve">I </w:t>
      </w:r>
      <w:r w:rsidR="000E47F2" w:rsidRPr="00FB5D79">
        <w:t>en ce qui concerne</w:t>
      </w:r>
      <w:r w:rsidR="00524DAF" w:rsidRPr="00FB5D79">
        <w:t xml:space="preserve"> la sélection d</w:t>
      </w:r>
      <w:r w:rsidR="00646944" w:rsidRPr="00FB5D79">
        <w:t>’</w:t>
      </w:r>
      <w:r w:rsidR="00524DAF" w:rsidRPr="00FB5D79">
        <w:t>experts internationaux et locaux</w:t>
      </w:r>
      <w:r w:rsidR="00CF4280" w:rsidRPr="00FB5D79">
        <w:t>,</w:t>
      </w:r>
      <w:r w:rsidR="00524DAF" w:rsidRPr="00FB5D79">
        <w:t xml:space="preserve"> et </w:t>
      </w:r>
      <w:r w:rsidR="000E47F2" w:rsidRPr="00FB5D79">
        <w:t xml:space="preserve">plus généralement </w:t>
      </w:r>
      <w:r w:rsidR="00CF4280" w:rsidRPr="00FB5D79">
        <w:t>à impliquer davantage les</w:t>
      </w:r>
      <w:r w:rsidR="00524DAF" w:rsidRPr="00FB5D79">
        <w:t xml:space="preserve"> partenaires loca</w:t>
      </w:r>
      <w:r w:rsidR="00172764" w:rsidRPr="00FB5D79">
        <w:t>ux.  Ce</w:t>
      </w:r>
      <w:r w:rsidR="00524DAF" w:rsidRPr="00FB5D79">
        <w:t xml:space="preserve">tte stratégie a été jugée positive et extrêmement utile pour jeter les bases du renforcement des capacités et des </w:t>
      </w:r>
      <w:r w:rsidR="00BC30B8" w:rsidRPr="00FB5D79">
        <w:t>études à venir</w:t>
      </w:r>
      <w:r w:rsidR="00524DAF" w:rsidRPr="00FB5D79">
        <w:t xml:space="preserve"> </w:t>
      </w:r>
      <w:r w:rsidR="00CF4280" w:rsidRPr="00FB5D79">
        <w:t>en la matière</w:t>
      </w:r>
      <w:r w:rsidR="00524DAF" w:rsidRPr="00FB5D79">
        <w:t>.</w:t>
      </w:r>
    </w:p>
    <w:p w14:paraId="3FB64C24" w14:textId="0E461B1F" w:rsidR="00524DAF" w:rsidRPr="00FB5D79" w:rsidRDefault="00524DAF" w:rsidP="00524DAF">
      <w:pPr>
        <w:jc w:val="both"/>
      </w:pPr>
    </w:p>
    <w:p w14:paraId="711037D0" w14:textId="5F4CA70E" w:rsidR="00646944" w:rsidRPr="00FB5D79" w:rsidRDefault="00524DAF" w:rsidP="00524DAF">
      <w:pPr>
        <w:jc w:val="both"/>
      </w:pPr>
      <w:r w:rsidRPr="00FB5D79">
        <w:t xml:space="preserve">Les entretiens avec les parties prenantes bénéficiaires ont confirmé </w:t>
      </w:r>
      <w:r w:rsidR="00B558C8" w:rsidRPr="00FB5D79">
        <w:t>le</w:t>
      </w:r>
      <w:r w:rsidRPr="00FB5D79">
        <w:t xml:space="preserve"> </w:t>
      </w:r>
      <w:r w:rsidR="00914CA5" w:rsidRPr="00FB5D79">
        <w:t xml:space="preserve">haut </w:t>
      </w:r>
      <w:r w:rsidRPr="00FB5D79">
        <w:t>degré d</w:t>
      </w:r>
      <w:r w:rsidR="00646944" w:rsidRPr="00FB5D79">
        <w:t>’</w:t>
      </w:r>
      <w:r w:rsidRPr="00FB5D79">
        <w:t xml:space="preserve">approbation </w:t>
      </w:r>
      <w:r w:rsidR="00B558C8" w:rsidRPr="00FB5D79">
        <w:t>de</w:t>
      </w:r>
      <w:r w:rsidRPr="00FB5D79">
        <w:t xml:space="preserve"> </w:t>
      </w:r>
      <w:r w:rsidR="00B558C8" w:rsidRPr="00FB5D79">
        <w:t>l</w:t>
      </w:r>
      <w:r w:rsidR="00646944" w:rsidRPr="00FB5D79">
        <w:t>’</w:t>
      </w:r>
      <w:r w:rsidR="00B558C8" w:rsidRPr="00FB5D79">
        <w:t>aide</w:t>
      </w:r>
      <w:r w:rsidRPr="00FB5D79">
        <w:t xml:space="preserve"> </w:t>
      </w:r>
      <w:r w:rsidR="00B05AC8" w:rsidRPr="00FB5D79">
        <w:t>que</w:t>
      </w:r>
      <w:r w:rsidRPr="00FB5D79">
        <w:t xml:space="preserve"> </w:t>
      </w:r>
      <w:r w:rsidR="00480511" w:rsidRPr="00FB5D79">
        <w:t>l</w:t>
      </w:r>
      <w:r w:rsidR="00646944" w:rsidRPr="00FB5D79">
        <w:t>’</w:t>
      </w:r>
      <w:r w:rsidR="00480511" w:rsidRPr="00FB5D79">
        <w:t>équipe chargée du projet</w:t>
      </w:r>
      <w:r w:rsidRPr="00FB5D79">
        <w:t xml:space="preserve"> </w:t>
      </w:r>
      <w:r w:rsidR="00DE7917" w:rsidRPr="00FB5D79">
        <w:t xml:space="preserve">présente </w:t>
      </w:r>
      <w:r w:rsidRPr="00FB5D79">
        <w:t>tant sur le terrain qu</w:t>
      </w:r>
      <w:r w:rsidR="00646944" w:rsidRPr="00FB5D79">
        <w:t>’</w:t>
      </w:r>
      <w:r w:rsidRPr="00FB5D79">
        <w:t xml:space="preserve">à Genève </w:t>
      </w:r>
      <w:r w:rsidR="00B05AC8" w:rsidRPr="00FB5D79">
        <w:t xml:space="preserve">a apportée </w:t>
      </w:r>
      <w:r w:rsidR="00617E53" w:rsidRPr="00FB5D79">
        <w:t>aux</w:t>
      </w:r>
      <w:r w:rsidR="00B558C8" w:rsidRPr="00FB5D79">
        <w:t xml:space="preserve"> partenaires locaux </w:t>
      </w:r>
      <w:r w:rsidR="00617E53" w:rsidRPr="00FB5D79">
        <w:t>dans le cadre de la mise en œuvre du</w:t>
      </w:r>
      <w:r w:rsidR="00B558C8" w:rsidRPr="00FB5D79">
        <w:t xml:space="preserve"> projet</w:t>
      </w:r>
      <w:r w:rsidRPr="00FB5D79">
        <w:t>.</w:t>
      </w:r>
    </w:p>
    <w:p w14:paraId="77E3084A" w14:textId="1F71EFFB" w:rsidR="00524DAF" w:rsidRPr="00FB5D79" w:rsidRDefault="00524DAF" w:rsidP="00524DAF">
      <w:pPr>
        <w:jc w:val="both"/>
      </w:pPr>
    </w:p>
    <w:p w14:paraId="56A3DD14" w14:textId="726B4085" w:rsidR="00646944" w:rsidRPr="00FB5D79" w:rsidRDefault="00AD44DE" w:rsidP="00524DAF">
      <w:pPr>
        <w:jc w:val="both"/>
      </w:pPr>
      <w:r w:rsidRPr="00FB5D79">
        <w:t xml:space="preserve">Le descriptif du projet a été organisé </w:t>
      </w:r>
      <w:r w:rsidR="00524DAF" w:rsidRPr="00FB5D79">
        <w:t xml:space="preserve">par </w:t>
      </w:r>
      <w:r w:rsidR="00B05AC8" w:rsidRPr="00FB5D79">
        <w:t>thématique</w:t>
      </w:r>
      <w:r w:rsidR="00524DAF" w:rsidRPr="00FB5D79">
        <w:t xml:space="preserve"> présentant les méthodologies et les stratégies d</w:t>
      </w:r>
      <w:r w:rsidR="00646944" w:rsidRPr="00FB5D79">
        <w:t>’</w:t>
      </w:r>
      <w:r w:rsidR="00524DAF" w:rsidRPr="00FB5D79">
        <w:t>interventi</w:t>
      </w:r>
      <w:r w:rsidR="00172764" w:rsidRPr="00FB5D79">
        <w:t>on.  De</w:t>
      </w:r>
      <w:r w:rsidR="00524DAF" w:rsidRPr="00FB5D79">
        <w:t xml:space="preserve">s objectifs raisonnablement clairs ont été fixés pour chaque étude et pour </w:t>
      </w:r>
      <w:r w:rsidR="00B05AC8" w:rsidRPr="00FB5D79">
        <w:t>le projet dans son ensemble</w:t>
      </w:r>
      <w:r w:rsidR="00524DAF" w:rsidRPr="00FB5D79">
        <w:t xml:space="preserve">, </w:t>
      </w:r>
      <w:r w:rsidR="00051B64" w:rsidRPr="00FB5D79">
        <w:t xml:space="preserve">ce qui </w:t>
      </w:r>
      <w:r w:rsidR="00DE7917" w:rsidRPr="00FB5D79">
        <w:t>a permis</w:t>
      </w:r>
      <w:r w:rsidR="00051B64" w:rsidRPr="00FB5D79">
        <w:t xml:space="preserve"> d</w:t>
      </w:r>
      <w:r w:rsidR="00646944" w:rsidRPr="00FB5D79">
        <w:t>’</w:t>
      </w:r>
      <w:r w:rsidR="00051B64" w:rsidRPr="00FB5D79">
        <w:t>établir une corrélation entre</w:t>
      </w:r>
      <w:r w:rsidR="00524DAF" w:rsidRPr="00FB5D79">
        <w:t xml:space="preserve"> </w:t>
      </w:r>
      <w:r w:rsidR="00DE7917" w:rsidRPr="00FB5D79">
        <w:t xml:space="preserve">chaque </w:t>
      </w:r>
      <w:r w:rsidR="00051B64" w:rsidRPr="00FB5D79">
        <w:t>étude et les</w:t>
      </w:r>
      <w:r w:rsidR="00524DAF" w:rsidRPr="00FB5D79">
        <w:t xml:space="preserve"> résultats </w:t>
      </w:r>
      <w:r w:rsidR="00051B64" w:rsidRPr="00FB5D79">
        <w:t>escomptés</w:t>
      </w:r>
      <w:r w:rsidR="00524DAF" w:rsidRPr="00FB5D79">
        <w:t xml:space="preserve"> </w:t>
      </w:r>
      <w:r w:rsidR="00DE7917" w:rsidRPr="00FB5D79">
        <w:t>par</w:t>
      </w:r>
      <w:r w:rsidR="00524DAF" w:rsidRPr="00FB5D79">
        <w:t xml:space="preserve"> </w:t>
      </w:r>
      <w:r w:rsidR="00ED0B1F" w:rsidRPr="00FB5D79">
        <w:t xml:space="preserve">le </w:t>
      </w:r>
      <w:r w:rsidR="00D87B48" w:rsidRPr="00FB5D79">
        <w:t>service</w:t>
      </w:r>
      <w:r w:rsidR="00ED0B1F" w:rsidRPr="00FB5D79">
        <w:t xml:space="preserve"> </w:t>
      </w:r>
      <w:r w:rsidR="00D87B48" w:rsidRPr="00FB5D79">
        <w:t>de l</w:t>
      </w:r>
      <w:r w:rsidR="00646944" w:rsidRPr="00FB5D79">
        <w:t>’</w:t>
      </w:r>
      <w:r w:rsidR="00D87B48" w:rsidRPr="00FB5D79">
        <w:t xml:space="preserve">OMPI </w:t>
      </w:r>
      <w:r w:rsidR="00ED0B1F" w:rsidRPr="00FB5D79">
        <w:t>chargé de la mise en œuvre</w:t>
      </w:r>
      <w:r w:rsidR="00524DAF" w:rsidRPr="00FB5D79">
        <w:t xml:space="preserve"> </w:t>
      </w:r>
      <w:r w:rsidR="005C77BB" w:rsidRPr="00FB5D79">
        <w:t>(Programme 16</w:t>
      </w:r>
      <w:r w:rsidR="00965F3A">
        <w:t> :</w:t>
      </w:r>
      <w:r w:rsidR="00524DAF" w:rsidRPr="00FB5D79">
        <w:t xml:space="preserve"> économie et statistiques)</w:t>
      </w:r>
      <w:r w:rsidR="00735A4B" w:rsidRPr="00FB5D79">
        <w:rPr>
          <w:vertAlign w:val="superscript"/>
        </w:rPr>
        <w:footnoteReference w:id="14"/>
      </w:r>
      <w:r w:rsidR="00524DAF" w:rsidRPr="00FB5D79">
        <w:t xml:space="preserve">. </w:t>
      </w:r>
      <w:r w:rsidR="00735A4B" w:rsidRPr="00FB5D79">
        <w:t xml:space="preserve"> </w:t>
      </w:r>
      <w:r w:rsidR="00480511" w:rsidRPr="00FB5D79">
        <w:t>L</w:t>
      </w:r>
      <w:r w:rsidR="00646944" w:rsidRPr="00FB5D79">
        <w:t>’</w:t>
      </w:r>
      <w:r w:rsidR="00480511" w:rsidRPr="00FB5D79">
        <w:t>équipe chargée du projet</w:t>
      </w:r>
      <w:r w:rsidR="00524DAF" w:rsidRPr="00FB5D79">
        <w:t xml:space="preserve"> a séquencé les activités et identifié les </w:t>
      </w:r>
      <w:r w:rsidR="00051B64" w:rsidRPr="00FB5D79">
        <w:t xml:space="preserve">principaux </w:t>
      </w:r>
      <w:r w:rsidR="00524DAF" w:rsidRPr="00FB5D79">
        <w:t xml:space="preserve">éléments </w:t>
      </w:r>
      <w:r w:rsidR="00DE7917" w:rsidRPr="00FB5D79">
        <w:t>permettant d</w:t>
      </w:r>
      <w:r w:rsidR="00646944" w:rsidRPr="00FB5D79">
        <w:t>’</w:t>
      </w:r>
      <w:r w:rsidR="00524DAF" w:rsidRPr="00FB5D79">
        <w:t>atte</w:t>
      </w:r>
      <w:r w:rsidR="00051B64" w:rsidRPr="00FB5D79">
        <w:t>indre les objectifs du projet.</w:t>
      </w:r>
    </w:p>
    <w:p w14:paraId="4511564A" w14:textId="6B5929C2" w:rsidR="00524DAF" w:rsidRPr="00FB5D79" w:rsidRDefault="00524DAF" w:rsidP="00524DAF">
      <w:pPr>
        <w:jc w:val="both"/>
      </w:pPr>
    </w:p>
    <w:p w14:paraId="18594096" w14:textId="6A1C4FFC" w:rsidR="00735A4B" w:rsidRPr="00FB5D79" w:rsidRDefault="00524DAF" w:rsidP="00524DAF">
      <w:pPr>
        <w:jc w:val="both"/>
      </w:pPr>
      <w:r w:rsidRPr="00FB5D79">
        <w:t xml:space="preserve">Toutefois, </w:t>
      </w:r>
      <w:r w:rsidR="007A75FF" w:rsidRPr="00FB5D79">
        <w:t>les</w:t>
      </w:r>
      <w:r w:rsidRPr="00FB5D79">
        <w:t xml:space="preserve"> i</w:t>
      </w:r>
      <w:r w:rsidR="007A75FF" w:rsidRPr="00FB5D79">
        <w:t>nformations</w:t>
      </w:r>
      <w:r w:rsidRPr="00FB5D79">
        <w:t xml:space="preserve"> sur la liste des participants aux ateliers et </w:t>
      </w:r>
      <w:r w:rsidR="004D5C3E" w:rsidRPr="00FB5D79">
        <w:t xml:space="preserve">aux </w:t>
      </w:r>
      <w:r w:rsidRPr="00FB5D79">
        <w:t xml:space="preserve">réunions organisés dans </w:t>
      </w:r>
      <w:r w:rsidR="004D5C3E" w:rsidRPr="00FB5D79">
        <w:t xml:space="preserve">les </w:t>
      </w:r>
      <w:r w:rsidRPr="00FB5D79">
        <w:t xml:space="preserve">différents pays dans le cadre </w:t>
      </w:r>
      <w:r w:rsidR="00C30D7B" w:rsidRPr="00FB5D79">
        <w:t>de la mise en œuvre de la phase </w:t>
      </w:r>
      <w:r w:rsidRPr="00FB5D79">
        <w:t>II</w:t>
      </w:r>
      <w:r w:rsidR="007A75FF" w:rsidRPr="00FB5D79">
        <w:t xml:space="preserve"> n</w:t>
      </w:r>
      <w:r w:rsidR="00646944" w:rsidRPr="00FB5D79">
        <w:t>’</w:t>
      </w:r>
      <w:r w:rsidR="007A75FF" w:rsidRPr="00FB5D79">
        <w:t>étaient pas systématiquement disponibl</w:t>
      </w:r>
      <w:r w:rsidR="00172764" w:rsidRPr="00FB5D79">
        <w:t>es.  Le</w:t>
      </w:r>
      <w:r w:rsidRPr="00FB5D79">
        <w:t xml:space="preserve"> secrétariat a expliqué que cette </w:t>
      </w:r>
      <w:r w:rsidR="004D5C3E" w:rsidRPr="00FB5D79">
        <w:t>responsabilité</w:t>
      </w:r>
      <w:r w:rsidRPr="00FB5D79">
        <w:t xml:space="preserve"> incombait aux partenaires locaux </w:t>
      </w:r>
      <w:r w:rsidR="004D5C3E" w:rsidRPr="00FB5D79">
        <w:t>chargés d</w:t>
      </w:r>
      <w:r w:rsidR="00F874E4" w:rsidRPr="00FB5D79">
        <w:t>e la collecte</w:t>
      </w:r>
      <w:r w:rsidR="004D5C3E" w:rsidRPr="00FB5D79">
        <w:t xml:space="preserve"> de</w:t>
      </w:r>
      <w:r w:rsidRPr="00FB5D79">
        <w:t xml:space="preserve"> ces informatio</w:t>
      </w:r>
      <w:r w:rsidR="00172764" w:rsidRPr="00FB5D79">
        <w:t>ns.  L’a</w:t>
      </w:r>
      <w:r w:rsidRPr="00FB5D79">
        <w:t xml:space="preserve">ccès facile à ces informations </w:t>
      </w:r>
      <w:r w:rsidR="004D5C3E" w:rsidRPr="00FB5D79">
        <w:t>permettrait d</w:t>
      </w:r>
      <w:r w:rsidR="00646944" w:rsidRPr="00FB5D79">
        <w:t>’</w:t>
      </w:r>
      <w:r w:rsidR="004D5C3E" w:rsidRPr="00FB5D79">
        <w:t xml:space="preserve">avoir </w:t>
      </w:r>
      <w:r w:rsidRPr="00FB5D79">
        <w:t>une bonne vue d</w:t>
      </w:r>
      <w:r w:rsidR="00646944" w:rsidRPr="00FB5D79">
        <w:t>’</w:t>
      </w:r>
      <w:r w:rsidRPr="00FB5D79">
        <w:t xml:space="preserve">ensemble de la participation </w:t>
      </w:r>
      <w:r w:rsidR="004D5C3E" w:rsidRPr="00FB5D79">
        <w:t>ainsi que</w:t>
      </w:r>
      <w:r w:rsidRPr="00FB5D79">
        <w:t xml:space="preserve"> de la capacité du projet </w:t>
      </w:r>
      <w:r w:rsidR="004D5C3E" w:rsidRPr="00FB5D79">
        <w:t>d</w:t>
      </w:r>
      <w:r w:rsidR="00646944" w:rsidRPr="00FB5D79">
        <w:t>’</w:t>
      </w:r>
      <w:r w:rsidRPr="00FB5D79">
        <w:t xml:space="preserve">atteindre </w:t>
      </w:r>
      <w:r w:rsidR="004D5C3E" w:rsidRPr="00FB5D79">
        <w:t>diverses parties prenantes.</w:t>
      </w:r>
    </w:p>
    <w:p w14:paraId="330F7550" w14:textId="77777777" w:rsidR="00735A4B" w:rsidRPr="00FB5D79" w:rsidRDefault="00735A4B" w:rsidP="00735A4B">
      <w:pPr>
        <w:jc w:val="both"/>
      </w:pPr>
    </w:p>
    <w:p w14:paraId="4315915F" w14:textId="0EB081FF" w:rsidR="0064347F" w:rsidRPr="00FB5D79" w:rsidRDefault="0064347F" w:rsidP="0064347F">
      <w:pPr>
        <w:jc w:val="both"/>
        <w:rPr>
          <w:bCs/>
        </w:rPr>
      </w:pPr>
      <w:r w:rsidRPr="00FB5D79">
        <w:t xml:space="preserve">À la lumière des </w:t>
      </w:r>
      <w:r w:rsidR="004D5C3E" w:rsidRPr="00FB5D79">
        <w:t>enseignements tirés</w:t>
      </w:r>
      <w:r w:rsidRPr="00FB5D79">
        <w:t xml:space="preserve"> au</w:t>
      </w:r>
      <w:r w:rsidR="004D5C3E" w:rsidRPr="00FB5D79">
        <w:t xml:space="preserve"> cours de la phase </w:t>
      </w:r>
      <w:r w:rsidRPr="00FB5D79">
        <w:t>I du projet et des recommandations formulées lors de l</w:t>
      </w:r>
      <w:r w:rsidR="00646944" w:rsidRPr="00FB5D79">
        <w:t>’</w:t>
      </w:r>
      <w:r w:rsidRPr="00FB5D79">
        <w:t xml:space="preserve">évaluation de la phase I </w:t>
      </w:r>
      <w:r w:rsidR="00735A4B" w:rsidRPr="00FB5D79">
        <w:t>(</w:t>
      </w:r>
      <w:r w:rsidR="004D5C3E" w:rsidRPr="00FB5D79">
        <w:rPr>
          <w:bCs/>
        </w:rPr>
        <w:t>CDIP/14/3)</w:t>
      </w:r>
      <w:r w:rsidR="00735A4B" w:rsidRPr="00FB5D79">
        <w:rPr>
          <w:vertAlign w:val="superscript"/>
        </w:rPr>
        <w:footnoteReference w:id="15"/>
      </w:r>
      <w:r w:rsidR="004D5C3E" w:rsidRPr="00FB5D79">
        <w:rPr>
          <w:bCs/>
        </w:rPr>
        <w:t>,</w:t>
      </w:r>
      <w:r w:rsidR="000950CC" w:rsidRPr="00FB5D79">
        <w:rPr>
          <w:bCs/>
        </w:rPr>
        <w:t xml:space="preserve"> </w:t>
      </w:r>
      <w:r w:rsidR="00ED0B1F" w:rsidRPr="00FB5D79">
        <w:rPr>
          <w:bCs/>
        </w:rPr>
        <w:t xml:space="preserve">il a été envisagé, dans le cadre de </w:t>
      </w:r>
      <w:r w:rsidRPr="00FB5D79">
        <w:rPr>
          <w:bCs/>
        </w:rPr>
        <w:t xml:space="preserve">la </w:t>
      </w:r>
      <w:r w:rsidRPr="00FB5D79">
        <w:rPr>
          <w:bCs/>
        </w:rPr>
        <w:lastRenderedPageBreak/>
        <w:t xml:space="preserve">stratégie </w:t>
      </w:r>
      <w:r w:rsidR="00ED0B1F" w:rsidRPr="00FB5D79">
        <w:rPr>
          <w:bCs/>
        </w:rPr>
        <w:t>de mise en œuvre de la phase </w:t>
      </w:r>
      <w:r w:rsidRPr="00FB5D79">
        <w:rPr>
          <w:bCs/>
        </w:rPr>
        <w:t>II</w:t>
      </w:r>
      <w:r w:rsidR="00ED0B1F" w:rsidRPr="00FB5D79">
        <w:rPr>
          <w:bCs/>
        </w:rPr>
        <w:t>,</w:t>
      </w:r>
      <w:r w:rsidRPr="00FB5D79">
        <w:rPr>
          <w:bCs/>
        </w:rPr>
        <w:t xml:space="preserve"> de renforcer la gestion de projets </w:t>
      </w:r>
      <w:r w:rsidR="00ED0B1F" w:rsidRPr="00FB5D79">
        <w:rPr>
          <w:bCs/>
        </w:rPr>
        <w:t>par la mise en place du</w:t>
      </w:r>
      <w:r w:rsidRPr="00FB5D79">
        <w:rPr>
          <w:bCs/>
        </w:rPr>
        <w:t xml:space="preserve"> cadre logique</w:t>
      </w:r>
      <w:r w:rsidR="00ED0B1F" w:rsidRPr="00FB5D79">
        <w:rPr>
          <w:bCs/>
        </w:rPr>
        <w:t>,</w:t>
      </w:r>
      <w:r w:rsidRPr="00FB5D79">
        <w:rPr>
          <w:bCs/>
        </w:rPr>
        <w:t xml:space="preserve"> perçu en général comme un outil essentiel pour la planification, la mise en œuvre, la gestion, le suivi et l</w:t>
      </w:r>
      <w:r w:rsidR="00646944" w:rsidRPr="00FB5D79">
        <w:rPr>
          <w:bCs/>
        </w:rPr>
        <w:t>’</w:t>
      </w:r>
      <w:r w:rsidRPr="00FB5D79">
        <w:rPr>
          <w:bCs/>
        </w:rPr>
        <w:t xml:space="preserve">évaluation des projets de développement </w:t>
      </w:r>
      <w:r w:rsidR="00ED0B1F" w:rsidRPr="00FB5D79">
        <w:rPr>
          <w:bCs/>
        </w:rPr>
        <w:t>internationa</w:t>
      </w:r>
      <w:r w:rsidR="00172764" w:rsidRPr="00FB5D79">
        <w:rPr>
          <w:bCs/>
        </w:rPr>
        <w:t>ux.  Le</w:t>
      </w:r>
      <w:r w:rsidR="00AD44DE" w:rsidRPr="00FB5D79">
        <w:rPr>
          <w:bCs/>
        </w:rPr>
        <w:t xml:space="preserve"> descriptif du projet examiné</w:t>
      </w:r>
      <w:r w:rsidRPr="00FB5D79">
        <w:rPr>
          <w:bCs/>
        </w:rPr>
        <w:t xml:space="preserve"> par l</w:t>
      </w:r>
      <w:r w:rsidR="00646944" w:rsidRPr="00FB5D79">
        <w:rPr>
          <w:bCs/>
        </w:rPr>
        <w:t>’</w:t>
      </w:r>
      <w:r w:rsidRPr="00FB5D79">
        <w:rPr>
          <w:bCs/>
        </w:rPr>
        <w:t xml:space="preserve">équipe </w:t>
      </w:r>
      <w:r w:rsidR="00ED0B1F" w:rsidRPr="00FB5D79">
        <w:rPr>
          <w:bCs/>
        </w:rPr>
        <w:t>chargée de l</w:t>
      </w:r>
      <w:r w:rsidR="00646944" w:rsidRPr="00FB5D79">
        <w:rPr>
          <w:bCs/>
        </w:rPr>
        <w:t>’</w:t>
      </w:r>
      <w:r w:rsidR="00AD44DE" w:rsidRPr="00FB5D79">
        <w:rPr>
          <w:bCs/>
        </w:rPr>
        <w:t>évaluation ne faisai</w:t>
      </w:r>
      <w:r w:rsidRPr="00FB5D79">
        <w:rPr>
          <w:bCs/>
        </w:rPr>
        <w:t>t pas référence à ce cadre logiq</w:t>
      </w:r>
      <w:r w:rsidR="00172764" w:rsidRPr="00FB5D79">
        <w:rPr>
          <w:bCs/>
        </w:rPr>
        <w:t>ue.  Il</w:t>
      </w:r>
      <w:r w:rsidRPr="00FB5D79">
        <w:rPr>
          <w:bCs/>
        </w:rPr>
        <w:t xml:space="preserve"> convient de noter</w:t>
      </w:r>
      <w:r w:rsidR="002514A2" w:rsidRPr="00FB5D79">
        <w:rPr>
          <w:bCs/>
        </w:rPr>
        <w:t xml:space="preserve"> que malgré cela</w:t>
      </w:r>
      <w:r w:rsidRPr="00FB5D79">
        <w:rPr>
          <w:bCs/>
        </w:rPr>
        <w:t>, la théorie de l</w:t>
      </w:r>
      <w:r w:rsidR="00646944" w:rsidRPr="00FB5D79">
        <w:rPr>
          <w:bCs/>
        </w:rPr>
        <w:t>’</w:t>
      </w:r>
      <w:r w:rsidRPr="00FB5D79">
        <w:rPr>
          <w:bCs/>
        </w:rPr>
        <w:t>in</w:t>
      </w:r>
      <w:r w:rsidR="002514A2" w:rsidRPr="00FB5D79">
        <w:rPr>
          <w:bCs/>
        </w:rPr>
        <w:t xml:space="preserve">tervention, </w:t>
      </w:r>
      <w:r w:rsidR="00965F3A">
        <w:rPr>
          <w:bCs/>
        </w:rPr>
        <w:t>y compris</w:t>
      </w:r>
      <w:r w:rsidR="00FB60E7" w:rsidRPr="00FB5D79">
        <w:rPr>
          <w:bCs/>
        </w:rPr>
        <w:t xml:space="preserve"> les objectifs spécifiques ainsi que</w:t>
      </w:r>
      <w:r w:rsidR="002514A2" w:rsidRPr="00FB5D79">
        <w:rPr>
          <w:bCs/>
        </w:rPr>
        <w:t xml:space="preserve"> les résultats correspondants et les résultats potentiels liés aux indicateurs de performance, </w:t>
      </w:r>
      <w:r w:rsidRPr="00FB5D79">
        <w:rPr>
          <w:bCs/>
        </w:rPr>
        <w:t>a été bien expliquée.</w:t>
      </w:r>
    </w:p>
    <w:p w14:paraId="2D76D08A" w14:textId="77777777" w:rsidR="0064347F" w:rsidRPr="00FB5D79" w:rsidRDefault="0064347F" w:rsidP="0064347F">
      <w:pPr>
        <w:jc w:val="both"/>
        <w:rPr>
          <w:bCs/>
        </w:rPr>
      </w:pPr>
    </w:p>
    <w:p w14:paraId="422B0E9B" w14:textId="77A053F1" w:rsidR="0064347F" w:rsidRPr="00FB5D79" w:rsidRDefault="0064347F" w:rsidP="0064347F">
      <w:pPr>
        <w:jc w:val="both"/>
        <w:rPr>
          <w:bCs/>
        </w:rPr>
      </w:pPr>
      <w:r w:rsidRPr="00FB5D79">
        <w:rPr>
          <w:bCs/>
        </w:rPr>
        <w:t>L</w:t>
      </w:r>
      <w:r w:rsidR="00646944" w:rsidRPr="00FB5D79">
        <w:rPr>
          <w:bCs/>
        </w:rPr>
        <w:t>’</w:t>
      </w:r>
      <w:r w:rsidRPr="00FB5D79">
        <w:rPr>
          <w:bCs/>
        </w:rPr>
        <w:t xml:space="preserve">organisation </w:t>
      </w:r>
      <w:r w:rsidR="00FB60E7" w:rsidRPr="00FB5D79">
        <w:rPr>
          <w:bCs/>
        </w:rPr>
        <w:t>des documents</w:t>
      </w:r>
      <w:r w:rsidRPr="00FB5D79">
        <w:rPr>
          <w:bCs/>
        </w:rPr>
        <w:t xml:space="preserve"> et la préparation d</w:t>
      </w:r>
      <w:r w:rsidR="00646944" w:rsidRPr="00FB5D79">
        <w:rPr>
          <w:bCs/>
        </w:rPr>
        <w:t>’</w:t>
      </w:r>
      <w:r w:rsidRPr="00FB5D79">
        <w:rPr>
          <w:bCs/>
        </w:rPr>
        <w:t xml:space="preserve">un grand nombre de réunions, </w:t>
      </w:r>
      <w:r w:rsidR="00FB60E7" w:rsidRPr="00FB5D79">
        <w:rPr>
          <w:bCs/>
        </w:rPr>
        <w:t>notamment</w:t>
      </w:r>
      <w:r w:rsidRPr="00FB5D79">
        <w:rPr>
          <w:bCs/>
        </w:rPr>
        <w:t xml:space="preserve"> </w:t>
      </w:r>
      <w:r w:rsidR="00FB60E7" w:rsidRPr="00FB5D79">
        <w:rPr>
          <w:bCs/>
        </w:rPr>
        <w:t xml:space="preserve">de </w:t>
      </w:r>
      <w:r w:rsidRPr="00FB5D79">
        <w:rPr>
          <w:bCs/>
        </w:rPr>
        <w:t xml:space="preserve">celles </w:t>
      </w:r>
      <w:r w:rsidR="00FB60E7" w:rsidRPr="00FB5D79">
        <w:rPr>
          <w:bCs/>
        </w:rPr>
        <w:t xml:space="preserve">impliquant </w:t>
      </w:r>
      <w:r w:rsidRPr="00FB5D79">
        <w:rPr>
          <w:bCs/>
        </w:rPr>
        <w:t xml:space="preserve">des rencontres régionales, </w:t>
      </w:r>
      <w:r w:rsidR="00FB60E7" w:rsidRPr="00FB5D79">
        <w:rPr>
          <w:bCs/>
        </w:rPr>
        <w:t>supposent</w:t>
      </w:r>
      <w:r w:rsidRPr="00FB5D79">
        <w:rPr>
          <w:bCs/>
        </w:rPr>
        <w:t xml:space="preserve"> des consultations complexes et </w:t>
      </w:r>
      <w:r w:rsidR="00FB60E7" w:rsidRPr="00FB5D79">
        <w:rPr>
          <w:bCs/>
        </w:rPr>
        <w:t>prenantes</w:t>
      </w:r>
      <w:r w:rsidRPr="00FB5D79">
        <w:rPr>
          <w:bCs/>
        </w:rPr>
        <w:t>.</w:t>
      </w:r>
    </w:p>
    <w:p w14:paraId="08DC2D4C" w14:textId="77777777" w:rsidR="0064347F" w:rsidRPr="00FB5D79" w:rsidRDefault="0064347F" w:rsidP="0064347F">
      <w:pPr>
        <w:jc w:val="both"/>
        <w:rPr>
          <w:bCs/>
        </w:rPr>
      </w:pPr>
    </w:p>
    <w:p w14:paraId="6AC272E5" w14:textId="0DEF9576" w:rsidR="0064347F" w:rsidRPr="00FB5D79" w:rsidRDefault="0064347F" w:rsidP="0064347F">
      <w:pPr>
        <w:jc w:val="both"/>
      </w:pPr>
      <w:r w:rsidRPr="00FB5D79">
        <w:rPr>
          <w:bCs/>
        </w:rPr>
        <w:t xml:space="preserve">Il </w:t>
      </w:r>
      <w:r w:rsidR="00FB60E7" w:rsidRPr="00FB5D79">
        <w:rPr>
          <w:bCs/>
        </w:rPr>
        <w:t xml:space="preserve">importe </w:t>
      </w:r>
      <w:r w:rsidRPr="00FB5D79">
        <w:rPr>
          <w:bCs/>
        </w:rPr>
        <w:t>de noter que des évaluations d</w:t>
      </w:r>
      <w:r w:rsidR="00646944" w:rsidRPr="00FB5D79">
        <w:rPr>
          <w:bCs/>
        </w:rPr>
        <w:t>’</w:t>
      </w:r>
      <w:r w:rsidRPr="00FB5D79">
        <w:rPr>
          <w:bCs/>
        </w:rPr>
        <w:t xml:space="preserve">ateliers </w:t>
      </w:r>
      <w:r w:rsidR="00FB60E7" w:rsidRPr="00FB5D79">
        <w:rPr>
          <w:bCs/>
        </w:rPr>
        <w:t xml:space="preserve">ainsi que des consultations approfondies avec les parties prenantes </w:t>
      </w:r>
      <w:r w:rsidRPr="00FB5D79">
        <w:rPr>
          <w:bCs/>
        </w:rPr>
        <w:t xml:space="preserve">ont </w:t>
      </w:r>
      <w:r w:rsidR="00FB60E7" w:rsidRPr="00FB5D79">
        <w:rPr>
          <w:bCs/>
        </w:rPr>
        <w:t>eu lieu régulièrement</w:t>
      </w:r>
      <w:r w:rsidRPr="00FB5D79">
        <w:rPr>
          <w:bCs/>
        </w:rPr>
        <w:t xml:space="preserve"> pour suivre les progrès et s</w:t>
      </w:r>
      <w:r w:rsidR="00646944" w:rsidRPr="00FB5D79">
        <w:rPr>
          <w:bCs/>
        </w:rPr>
        <w:t>’</w:t>
      </w:r>
      <w:r w:rsidRPr="00FB5D79">
        <w:rPr>
          <w:bCs/>
        </w:rPr>
        <w:t>assurer que les études étaient d</w:t>
      </w:r>
      <w:r w:rsidR="00646944" w:rsidRPr="00FB5D79">
        <w:rPr>
          <w:bCs/>
        </w:rPr>
        <w:t>’</w:t>
      </w:r>
      <w:r w:rsidRPr="00FB5D79">
        <w:rPr>
          <w:bCs/>
        </w:rPr>
        <w:t xml:space="preserve">une utilité pratique </w:t>
      </w:r>
      <w:r w:rsidR="00FB60E7" w:rsidRPr="00FB5D79">
        <w:rPr>
          <w:bCs/>
        </w:rPr>
        <w:t>aux</w:t>
      </w:r>
      <w:r w:rsidRPr="00FB5D79">
        <w:rPr>
          <w:bCs/>
        </w:rPr>
        <w:t xml:space="preserve"> pays bénéficiair</w:t>
      </w:r>
      <w:r w:rsidR="00172764" w:rsidRPr="00FB5D79">
        <w:rPr>
          <w:bCs/>
        </w:rPr>
        <w:t>es.  Da</w:t>
      </w:r>
      <w:r w:rsidRPr="00FB5D79">
        <w:rPr>
          <w:bCs/>
        </w:rPr>
        <w:t>ns le même temps, l</w:t>
      </w:r>
      <w:r w:rsidR="00646944" w:rsidRPr="00FB5D79">
        <w:rPr>
          <w:bCs/>
        </w:rPr>
        <w:t>’</w:t>
      </w:r>
      <w:r w:rsidRPr="00FB5D79">
        <w:rPr>
          <w:bCs/>
        </w:rPr>
        <w:t xml:space="preserve">équipe chargée du projet a assuré le suivi des réalisations du projet en contribuant régulièrement aux rapports </w:t>
      </w:r>
      <w:r w:rsidR="00996D99" w:rsidRPr="00FB5D79">
        <w:rPr>
          <w:bCs/>
        </w:rPr>
        <w:t>complets et systématiques sur l</w:t>
      </w:r>
      <w:r w:rsidR="00646944" w:rsidRPr="00FB5D79">
        <w:rPr>
          <w:bCs/>
        </w:rPr>
        <w:t>’</w:t>
      </w:r>
      <w:r w:rsidR="00996D99" w:rsidRPr="00FB5D79">
        <w:rPr>
          <w:bCs/>
        </w:rPr>
        <w:t>état d</w:t>
      </w:r>
      <w:r w:rsidR="00646944" w:rsidRPr="00FB5D79">
        <w:rPr>
          <w:bCs/>
        </w:rPr>
        <w:t>’</w:t>
      </w:r>
      <w:r w:rsidR="00996D99" w:rsidRPr="00FB5D79">
        <w:rPr>
          <w:bCs/>
        </w:rPr>
        <w:t xml:space="preserve">avancement </w:t>
      </w:r>
      <w:r w:rsidR="00D521B9" w:rsidRPr="00FB5D79">
        <w:rPr>
          <w:bCs/>
        </w:rPr>
        <w:t xml:space="preserve">des projets </w:t>
      </w:r>
      <w:r w:rsidRPr="00FB5D79">
        <w:rPr>
          <w:bCs/>
        </w:rPr>
        <w:t>portés à l</w:t>
      </w:r>
      <w:r w:rsidR="00646944" w:rsidRPr="00FB5D79">
        <w:rPr>
          <w:bCs/>
        </w:rPr>
        <w:t>’</w:t>
      </w:r>
      <w:r w:rsidRPr="00FB5D79">
        <w:rPr>
          <w:bCs/>
        </w:rPr>
        <w:t>attention des États membres par le Secrétariat lors des sessions respectives</w:t>
      </w:r>
      <w:r w:rsidR="00646944" w:rsidRPr="00FB5D79">
        <w:rPr>
          <w:bCs/>
        </w:rPr>
        <w:t xml:space="preserve"> du CDI</w:t>
      </w:r>
      <w:r w:rsidRPr="00FB5D79">
        <w:rPr>
          <w:bCs/>
        </w:rPr>
        <w:t>P</w:t>
      </w:r>
      <w:r w:rsidR="00735A4B" w:rsidRPr="00FB5D79">
        <w:rPr>
          <w:vertAlign w:val="superscript"/>
        </w:rPr>
        <w:footnoteReference w:id="16"/>
      </w:r>
      <w:r w:rsidRPr="00FB5D79">
        <w:rPr>
          <w:bCs/>
        </w:rPr>
        <w:t>.</w:t>
      </w:r>
      <w:r w:rsidR="00735A4B" w:rsidRPr="00FB5D79">
        <w:t xml:space="preserve">  </w:t>
      </w:r>
      <w:r w:rsidRPr="00FB5D79">
        <w:t xml:space="preserve">Un rapport </w:t>
      </w:r>
      <w:r w:rsidR="000910FD" w:rsidRPr="00FB5D79">
        <w:t>sur l</w:t>
      </w:r>
      <w:r w:rsidR="00646944" w:rsidRPr="00FB5D79">
        <w:t>’</w:t>
      </w:r>
      <w:r w:rsidR="000910FD" w:rsidRPr="00FB5D79">
        <w:t>état d</w:t>
      </w:r>
      <w:r w:rsidR="00646944" w:rsidRPr="00FB5D79">
        <w:t>’</w:t>
      </w:r>
      <w:r w:rsidR="000910FD" w:rsidRPr="00FB5D79">
        <w:t xml:space="preserve">avancement </w:t>
      </w:r>
      <w:r w:rsidR="00D521B9" w:rsidRPr="00FB5D79">
        <w:t>des</w:t>
      </w:r>
      <w:r w:rsidR="000910FD" w:rsidRPr="00FB5D79">
        <w:t xml:space="preserve"> projet</w:t>
      </w:r>
      <w:r w:rsidR="00D521B9" w:rsidRPr="00FB5D79">
        <w:t>s</w:t>
      </w:r>
      <w:r w:rsidRPr="00FB5D79">
        <w:t xml:space="preserve"> a été mis à la disposition de l</w:t>
      </w:r>
      <w:r w:rsidR="00646944" w:rsidRPr="00FB5D79">
        <w:t>’</w:t>
      </w:r>
      <w:r w:rsidR="00996D99" w:rsidRPr="00FB5D79">
        <w:t>équipe chargée de l</w:t>
      </w:r>
      <w:r w:rsidR="00646944" w:rsidRPr="00FB5D79">
        <w:t>’</w:t>
      </w:r>
      <w:r w:rsidRPr="00FB5D79">
        <w:t>évaluation en août</w:t>
      </w:r>
      <w:r w:rsidR="008C0C30" w:rsidRPr="00FB5D79">
        <w:t> </w:t>
      </w:r>
      <w:r w:rsidRPr="00FB5D79">
        <w:t>2018.</w:t>
      </w:r>
    </w:p>
    <w:p w14:paraId="40BEBA45" w14:textId="7B25C34A" w:rsidR="0064347F" w:rsidRPr="00FB5D79" w:rsidRDefault="0064347F" w:rsidP="000910FD">
      <w:pPr>
        <w:tabs>
          <w:tab w:val="left" w:pos="924"/>
        </w:tabs>
        <w:jc w:val="both"/>
      </w:pPr>
    </w:p>
    <w:p w14:paraId="4DE8963A" w14:textId="22DC05ED" w:rsidR="00646944" w:rsidRPr="00FB5D79" w:rsidRDefault="00854B4B" w:rsidP="0064347F">
      <w:pPr>
        <w:jc w:val="both"/>
      </w:pPr>
      <w:r w:rsidRPr="00FB5D79">
        <w:t xml:space="preserve">Il </w:t>
      </w:r>
      <w:r w:rsidR="005D51F6" w:rsidRPr="00FB5D79">
        <w:t>a été</w:t>
      </w:r>
      <w:r w:rsidRPr="00FB5D79">
        <w:t xml:space="preserve"> suggéré</w:t>
      </w:r>
      <w:r w:rsidR="005D51F6" w:rsidRPr="00FB5D79">
        <w:t>,</w:t>
      </w:r>
      <w:r w:rsidRPr="00FB5D79">
        <w:t xml:space="preserve"> dans la</w:t>
      </w:r>
      <w:r w:rsidR="0064347F" w:rsidRPr="00FB5D79">
        <w:t xml:space="preserve"> proposition de projet</w:t>
      </w:r>
      <w:r w:rsidR="005D51F6" w:rsidRPr="00FB5D79">
        <w:t>,</w:t>
      </w:r>
      <w:r w:rsidR="0064347F" w:rsidRPr="00FB5D79">
        <w:t xml:space="preserve"> </w:t>
      </w:r>
      <w:r w:rsidR="005D51F6" w:rsidRPr="00FB5D79">
        <w:t>d</w:t>
      </w:r>
      <w:r w:rsidR="00646944" w:rsidRPr="00FB5D79">
        <w:t>’</w:t>
      </w:r>
      <w:r w:rsidR="005D51F6" w:rsidRPr="00FB5D79">
        <w:t xml:space="preserve">organiser à Genève </w:t>
      </w:r>
      <w:r w:rsidR="0064347F" w:rsidRPr="00FB5D79">
        <w:t xml:space="preserve">un colloque de recherche </w:t>
      </w:r>
      <w:r w:rsidR="005D51F6" w:rsidRPr="00FB5D79">
        <w:t>réunissant</w:t>
      </w:r>
      <w:r w:rsidR="0064347F" w:rsidRPr="00FB5D79">
        <w:t xml:space="preserve"> </w:t>
      </w:r>
      <w:r w:rsidR="005D51F6" w:rsidRPr="00FB5D79">
        <w:t>les</w:t>
      </w:r>
      <w:r w:rsidR="0064347F" w:rsidRPr="00FB5D79">
        <w:t xml:space="preserve"> auteur</w:t>
      </w:r>
      <w:r w:rsidR="005D51F6" w:rsidRPr="00FB5D79">
        <w:t xml:space="preserve">s des </w:t>
      </w:r>
      <w:r w:rsidR="005E5CDF" w:rsidRPr="00FB5D79">
        <w:t xml:space="preserve">études, les décideurs et </w:t>
      </w:r>
      <w:r w:rsidR="0064347F" w:rsidRPr="00FB5D79">
        <w:t>autr</w:t>
      </w:r>
      <w:r w:rsidR="005E5CDF" w:rsidRPr="00FB5D79">
        <w:t>es parties prenantes concernées afin qu</w:t>
      </w:r>
      <w:r w:rsidR="00646944" w:rsidRPr="00FB5D79">
        <w:t>’</w:t>
      </w:r>
      <w:r w:rsidR="005E5CDF" w:rsidRPr="00FB5D79">
        <w:t xml:space="preserve">ils puissent échanger </w:t>
      </w:r>
      <w:r w:rsidRPr="00FB5D79">
        <w:t>sur</w:t>
      </w:r>
      <w:r w:rsidR="0064347F" w:rsidRPr="00FB5D79">
        <w:t xml:space="preserve"> </w:t>
      </w:r>
      <w:r w:rsidRPr="00FB5D79">
        <w:t>les</w:t>
      </w:r>
      <w:r w:rsidR="0064347F" w:rsidRPr="00FB5D79">
        <w:t xml:space="preserve"> principaux enseignements tirés des différentes études, leur applicabilité au sens large et leurs </w:t>
      </w:r>
      <w:r w:rsidRPr="00FB5D79">
        <w:t>effets</w:t>
      </w:r>
      <w:r w:rsidR="0064347F" w:rsidRPr="00FB5D79">
        <w:t xml:space="preserve"> </w:t>
      </w:r>
      <w:r w:rsidR="005E5CDF" w:rsidRPr="00FB5D79">
        <w:t>en matière de</w:t>
      </w:r>
      <w:r w:rsidR="0064347F" w:rsidRPr="00FB5D79">
        <w:t xml:space="preserve"> prise de décisions aux niveaux national et internation</w:t>
      </w:r>
      <w:r w:rsidR="00172764" w:rsidRPr="00FB5D79">
        <w:t>al.  No</w:t>
      </w:r>
      <w:r w:rsidR="0064347F" w:rsidRPr="00FB5D79">
        <w:t xml:space="preserve">us croyons </w:t>
      </w:r>
      <w:r w:rsidR="005E5CDF" w:rsidRPr="00FB5D79">
        <w:t>savoir</w:t>
      </w:r>
      <w:r w:rsidR="0064347F" w:rsidRPr="00FB5D79">
        <w:t xml:space="preserve"> que </w:t>
      </w:r>
      <w:r w:rsidR="00696925" w:rsidRPr="00FB5D79">
        <w:t>ce colloque n</w:t>
      </w:r>
      <w:r w:rsidR="00646944" w:rsidRPr="00FB5D79">
        <w:t>’</w:t>
      </w:r>
      <w:r w:rsidR="00696925" w:rsidRPr="00FB5D79">
        <w:t>a pas eu lieu</w:t>
      </w:r>
      <w:r w:rsidR="0064347F" w:rsidRPr="00FB5D79">
        <w:t xml:space="preserve">, </w:t>
      </w:r>
      <w:r w:rsidR="00696925" w:rsidRPr="00FB5D79">
        <w:t>notamment</w:t>
      </w:r>
      <w:r w:rsidR="0064347F" w:rsidRPr="00FB5D79">
        <w:t xml:space="preserve"> parce que </w:t>
      </w:r>
      <w:r w:rsidR="005E5CDF" w:rsidRPr="00FB5D79">
        <w:t xml:space="preserve">certains aspects </w:t>
      </w:r>
      <w:r w:rsidR="0064347F" w:rsidRPr="00FB5D79">
        <w:t xml:space="preserve">du travail sont </w:t>
      </w:r>
      <w:r w:rsidR="00C64A67" w:rsidRPr="00FB5D79">
        <w:t>toujours</w:t>
      </w:r>
      <w:r w:rsidR="0064347F" w:rsidRPr="00FB5D79">
        <w:t xml:space="preserve"> en cours.</w:t>
      </w:r>
    </w:p>
    <w:p w14:paraId="4F2A0BD0" w14:textId="163A1948" w:rsidR="0064347F" w:rsidRPr="00FB5D79" w:rsidRDefault="0064347F" w:rsidP="0064347F">
      <w:pPr>
        <w:jc w:val="both"/>
      </w:pPr>
    </w:p>
    <w:p w14:paraId="2F39A76D" w14:textId="5EF66332" w:rsidR="00735A4B" w:rsidRPr="00FB5D79" w:rsidRDefault="0064347F" w:rsidP="0064347F">
      <w:pPr>
        <w:jc w:val="both"/>
      </w:pPr>
      <w:r w:rsidRPr="00FB5D79">
        <w:t xml:space="preserve">Un </w:t>
      </w:r>
      <w:r w:rsidR="008C0C30" w:rsidRPr="00FB5D79">
        <w:t>colloque</w:t>
      </w:r>
      <w:r w:rsidRPr="00FB5D79">
        <w:t xml:space="preserve"> </w:t>
      </w:r>
      <w:r w:rsidR="008C0C30" w:rsidRPr="00FB5D79">
        <w:t xml:space="preserve">de </w:t>
      </w:r>
      <w:r w:rsidR="00C64A67" w:rsidRPr="00FB5D79">
        <w:t>cette ampleur</w:t>
      </w:r>
      <w:r w:rsidR="008C0C30" w:rsidRPr="00FB5D79">
        <w:t xml:space="preserve"> </w:t>
      </w:r>
      <w:r w:rsidR="00C64A67" w:rsidRPr="00FB5D79">
        <w:t>représente</w:t>
      </w:r>
      <w:r w:rsidRPr="00FB5D79">
        <w:t xml:space="preserve"> une activité importante qui devrait avoir lieu à un moment opport</w:t>
      </w:r>
      <w:r w:rsidR="00172764" w:rsidRPr="00FB5D79">
        <w:t>un.  De</w:t>
      </w:r>
      <w:r w:rsidRPr="00FB5D79">
        <w:t xml:space="preserve"> toute évidence, il </w:t>
      </w:r>
      <w:r w:rsidR="00C64A67" w:rsidRPr="00FB5D79">
        <w:t xml:space="preserve">a été impossible dans la pratique </w:t>
      </w:r>
      <w:r w:rsidRPr="00FB5D79">
        <w:t>de l</w:t>
      </w:r>
      <w:r w:rsidR="00646944" w:rsidRPr="00FB5D79">
        <w:t>’</w:t>
      </w:r>
      <w:r w:rsidR="00C64A67" w:rsidRPr="00FB5D79">
        <w:t>organiser</w:t>
      </w:r>
      <w:r w:rsidRPr="00FB5D79">
        <w:t xml:space="preserve"> pendant la durée de vie du proj</w:t>
      </w:r>
      <w:r w:rsidR="00172764" w:rsidRPr="00FB5D79">
        <w:t>et.  Le</w:t>
      </w:r>
      <w:r w:rsidRPr="00FB5D79">
        <w:t xml:space="preserve"> Secrétariat devrait envisager de </w:t>
      </w:r>
      <w:r w:rsidR="00F0257A" w:rsidRPr="00FB5D79">
        <w:t>faire la promotion de</w:t>
      </w:r>
      <w:r w:rsidRPr="00FB5D79">
        <w:t xml:space="preserve"> </w:t>
      </w:r>
      <w:r w:rsidR="00C64A67" w:rsidRPr="00FB5D79">
        <w:t xml:space="preserve">cette </w:t>
      </w:r>
      <w:r w:rsidRPr="00FB5D79">
        <w:t>activité en tant que manifestation parallèle à l</w:t>
      </w:r>
      <w:r w:rsidR="00646944" w:rsidRPr="00FB5D79">
        <w:t>’</w:t>
      </w:r>
      <w:r w:rsidRPr="00FB5D79">
        <w:t>une des sessions ordinaires</w:t>
      </w:r>
      <w:r w:rsidR="00646944" w:rsidRPr="00FB5D79">
        <w:t xml:space="preserve"> du CDI</w:t>
      </w:r>
      <w:r w:rsidRPr="00FB5D79">
        <w:t>P afin d</w:t>
      </w:r>
      <w:r w:rsidR="00646944" w:rsidRPr="00FB5D79">
        <w:t>’</w:t>
      </w:r>
      <w:r w:rsidRPr="00FB5D79">
        <w:t xml:space="preserve">évaluer </w:t>
      </w:r>
      <w:r w:rsidR="00F0257A" w:rsidRPr="00FB5D79">
        <w:t>de plus près et avec davantage de recul</w:t>
      </w:r>
      <w:r w:rsidRPr="00FB5D79">
        <w:t xml:space="preserve"> l</w:t>
      </w:r>
      <w:r w:rsidR="00646944" w:rsidRPr="00FB5D79">
        <w:t>’</w:t>
      </w:r>
      <w:r w:rsidRPr="00FB5D79">
        <w:t xml:space="preserve">impact et la </w:t>
      </w:r>
      <w:r w:rsidR="00817CF2" w:rsidRPr="00FB5D79">
        <w:t>pérennité</w:t>
      </w:r>
      <w:r w:rsidRPr="00FB5D79">
        <w:t xml:space="preserve"> </w:t>
      </w:r>
      <w:r w:rsidR="00B04A87" w:rsidRPr="00FB5D79">
        <w:t xml:space="preserve">réels </w:t>
      </w:r>
      <w:r w:rsidRPr="00FB5D79">
        <w:t>de ces activit</w:t>
      </w:r>
      <w:r w:rsidR="00172764" w:rsidRPr="00FB5D79">
        <w:t xml:space="preserve">és.  À </w:t>
      </w:r>
      <w:r w:rsidR="00D47A38" w:rsidRPr="00FB5D79">
        <w:t>première vue,</w:t>
      </w:r>
      <w:r w:rsidRPr="00FB5D79">
        <w:t xml:space="preserve"> les résultats de cette évaluation </w:t>
      </w:r>
      <w:r w:rsidR="00BE09D1" w:rsidRPr="00FB5D79">
        <w:t>indiquent que</w:t>
      </w:r>
      <w:r w:rsidRPr="00FB5D79">
        <w:t xml:space="preserve"> </w:t>
      </w:r>
      <w:r w:rsidR="00F0257A" w:rsidRPr="00FB5D79">
        <w:t>les</w:t>
      </w:r>
      <w:r w:rsidRPr="00FB5D79">
        <w:t xml:space="preserve"> </w:t>
      </w:r>
      <w:r w:rsidR="00BC30B8" w:rsidRPr="00FB5D79">
        <w:t>études</w:t>
      </w:r>
      <w:r w:rsidRPr="00FB5D79">
        <w:t xml:space="preserve"> </w:t>
      </w:r>
      <w:r w:rsidR="00BE09D1" w:rsidRPr="00FB5D79">
        <w:t>menées sont prospectives et fiables</w:t>
      </w:r>
      <w:r w:rsidR="00BC30B8" w:rsidRPr="00FB5D79">
        <w:t xml:space="preserve"> </w:t>
      </w:r>
      <w:r w:rsidR="00BE09D1" w:rsidRPr="00FB5D79">
        <w:t>et qu</w:t>
      </w:r>
      <w:r w:rsidR="00646944" w:rsidRPr="00FB5D79">
        <w:t>’</w:t>
      </w:r>
      <w:r w:rsidR="00BE09D1" w:rsidRPr="00FB5D79">
        <w:t xml:space="preserve">elles </w:t>
      </w:r>
      <w:r w:rsidRPr="00FB5D79">
        <w:t>méritent d</w:t>
      </w:r>
      <w:r w:rsidR="00646944" w:rsidRPr="00FB5D79">
        <w:t>’</w:t>
      </w:r>
      <w:r w:rsidRPr="00FB5D79">
        <w:t xml:space="preserve">être </w:t>
      </w:r>
      <w:r w:rsidR="00B04A87" w:rsidRPr="00FB5D79">
        <w:t>poursuivies</w:t>
      </w:r>
      <w:r w:rsidRPr="00FB5D79">
        <w:t>.</w:t>
      </w:r>
    </w:p>
    <w:p w14:paraId="0C94AC8A" w14:textId="320D89E2" w:rsidR="00C053D9" w:rsidRPr="00C053D9" w:rsidRDefault="00C053D9" w:rsidP="00C053D9">
      <w:pPr>
        <w:pStyle w:val="Heading2"/>
        <w:numPr>
          <w:ilvl w:val="1"/>
          <w:numId w:val="3"/>
        </w:numPr>
      </w:pPr>
      <w:bookmarkStart w:id="16" w:name="_Toc530408364"/>
      <w:r w:rsidRPr="00C053D9">
        <w:t>Efficacité</w:t>
      </w:r>
      <w:bookmarkEnd w:id="16"/>
    </w:p>
    <w:bookmarkEnd w:id="15"/>
    <w:p w14:paraId="5DE2EC43" w14:textId="6889CC5C" w:rsidR="0064347F" w:rsidRPr="00FB5D79" w:rsidRDefault="0064347F" w:rsidP="0064347F">
      <w:pPr>
        <w:jc w:val="both"/>
      </w:pPr>
      <w:r w:rsidRPr="00FB5D79">
        <w:t xml:space="preserve">Cette section accorde une attention particulière à la comparaison des </w:t>
      </w:r>
      <w:r w:rsidR="00923EA8" w:rsidRPr="00FB5D79">
        <w:t>réalisations</w:t>
      </w:r>
      <w:r w:rsidRPr="00FB5D79">
        <w:t xml:space="preserve"> de la mise en œuvre par rapport à la stratégie de mise en œuvre annoncée dans la proposition de projet</w:t>
      </w:r>
      <w:r w:rsidR="00923EA8" w:rsidRPr="00FB5D79">
        <w:t>,</w:t>
      </w:r>
      <w:r w:rsidRPr="00FB5D79">
        <w:t xml:space="preserve"> qui </w:t>
      </w:r>
      <w:r w:rsidR="00A25C95" w:rsidRPr="00FB5D79">
        <w:t>reposait sur</w:t>
      </w:r>
      <w:r w:rsidRPr="00FB5D79">
        <w:t xml:space="preserve"> deux</w:t>
      </w:r>
      <w:r w:rsidR="000E4777" w:rsidRPr="00FB5D79">
        <w:t> </w:t>
      </w:r>
      <w:r w:rsidR="00923EA8" w:rsidRPr="00FB5D79">
        <w:t>piliers</w:t>
      </w:r>
      <w:r w:rsidR="00965F3A">
        <w:t> :</w:t>
      </w:r>
      <w:r w:rsidRPr="00FB5D79">
        <w:t xml:space="preserve"> </w:t>
      </w:r>
      <w:r w:rsidR="00923EA8" w:rsidRPr="00FB5D79">
        <w:t>i)</w:t>
      </w:r>
      <w:r w:rsidR="000E4777" w:rsidRPr="00FB5D79">
        <w:t> </w:t>
      </w:r>
      <w:r w:rsidR="00923EA8" w:rsidRPr="00FB5D79">
        <w:rPr>
          <w:iCs/>
        </w:rPr>
        <w:t>promouvoir la continuité des recherches entamées au cours de la phase I</w:t>
      </w:r>
      <w:r w:rsidR="00923EA8" w:rsidRPr="00FB5D79">
        <w:t>, en s</w:t>
      </w:r>
      <w:r w:rsidR="00646944" w:rsidRPr="00FB5D79">
        <w:t>’</w:t>
      </w:r>
      <w:r w:rsidR="00923EA8" w:rsidRPr="00FB5D79">
        <w:t xml:space="preserve">appuyant sur les ensembles de </w:t>
      </w:r>
      <w:r w:rsidR="000A6C3F" w:rsidRPr="00FB5D79">
        <w:t>données microéconomiques</w:t>
      </w:r>
      <w:r w:rsidR="00923EA8" w:rsidRPr="00FB5D79">
        <w:t xml:space="preserve"> obtenues à l</w:t>
      </w:r>
      <w:r w:rsidR="00646944" w:rsidRPr="00FB5D79">
        <w:t>’</w:t>
      </w:r>
      <w:r w:rsidR="00923EA8" w:rsidRPr="00FB5D79">
        <w:t xml:space="preserve">issue de la phase I; </w:t>
      </w:r>
      <w:r w:rsidR="00A25C95" w:rsidRPr="00FB5D79">
        <w:t xml:space="preserve"> ii) </w:t>
      </w:r>
      <w:r w:rsidR="00923EA8" w:rsidRPr="00FB5D79">
        <w:rPr>
          <w:iCs/>
        </w:rPr>
        <w:t>étendre l</w:t>
      </w:r>
      <w:r w:rsidR="00646944" w:rsidRPr="00FB5D79">
        <w:rPr>
          <w:iCs/>
        </w:rPr>
        <w:t>’</w:t>
      </w:r>
      <w:r w:rsidR="00923EA8" w:rsidRPr="00FB5D79">
        <w:rPr>
          <w:iCs/>
        </w:rPr>
        <w:t>étude à de nouveaux pays et régions, dont au moins un PMA, et à des sujets non traités au cours de la phase I</w:t>
      </w:r>
      <w:r w:rsidRPr="00FB5D79">
        <w:t>.</w:t>
      </w:r>
    </w:p>
    <w:p w14:paraId="658EB3F5" w14:textId="77777777" w:rsidR="0064347F" w:rsidRPr="00FB5D79" w:rsidRDefault="0064347F" w:rsidP="0064347F">
      <w:pPr>
        <w:jc w:val="both"/>
      </w:pPr>
    </w:p>
    <w:p w14:paraId="2E9AB43E" w14:textId="311528D9" w:rsidR="0064347F" w:rsidRPr="00FB5D79" w:rsidRDefault="0064347F" w:rsidP="0064347F">
      <w:pPr>
        <w:jc w:val="both"/>
      </w:pPr>
      <w:r w:rsidRPr="00FB5D79">
        <w:t>Dans l</w:t>
      </w:r>
      <w:r w:rsidR="00646944" w:rsidRPr="00FB5D79">
        <w:t>’</w:t>
      </w:r>
      <w:r w:rsidRPr="00FB5D79">
        <w:t xml:space="preserve">ensemble, comme indiqué dans les paragraphes </w:t>
      </w:r>
      <w:r w:rsidR="003A68A4" w:rsidRPr="00FB5D79">
        <w:t>ci</w:t>
      </w:r>
      <w:r w:rsidR="00965F3A">
        <w:t>-</w:t>
      </w:r>
      <w:r w:rsidR="003A68A4" w:rsidRPr="00FB5D79">
        <w:t>après</w:t>
      </w:r>
      <w:r w:rsidRPr="00FB5D79">
        <w:t>, la phase</w:t>
      </w:r>
      <w:r w:rsidR="00DC74AA" w:rsidRPr="00FB5D79">
        <w:t> </w:t>
      </w:r>
      <w:r w:rsidRPr="00FB5D79">
        <w:t xml:space="preserve">II a largement </w:t>
      </w:r>
      <w:r w:rsidR="00A25C95" w:rsidRPr="00FB5D79">
        <w:t>appliqué</w:t>
      </w:r>
      <w:r w:rsidRPr="00FB5D79">
        <w:t xml:space="preserve"> ladite stratégie </w:t>
      </w:r>
      <w:r w:rsidR="00ED0B1F" w:rsidRPr="00FB5D79">
        <w:t xml:space="preserve">de mise en œuvre </w:t>
      </w:r>
      <w:r w:rsidRPr="00FB5D79">
        <w:t xml:space="preserve">en </w:t>
      </w:r>
      <w:r w:rsidR="003A68A4" w:rsidRPr="00FB5D79">
        <w:t>faisant la promotion de</w:t>
      </w:r>
      <w:r w:rsidRPr="00FB5D79">
        <w:t xml:space="preserve"> </w:t>
      </w:r>
      <w:r w:rsidR="003A68A4" w:rsidRPr="00FB5D79">
        <w:rPr>
          <w:iCs/>
        </w:rPr>
        <w:t>la continuité des recherches entamées au cours de la phase I</w:t>
      </w:r>
      <w:r w:rsidR="003A68A4" w:rsidRPr="00FB5D79">
        <w:t xml:space="preserve"> et en étendant </w:t>
      </w:r>
      <w:r w:rsidR="003A68A4" w:rsidRPr="00FB5D79">
        <w:rPr>
          <w:iCs/>
        </w:rPr>
        <w:t>l</w:t>
      </w:r>
      <w:r w:rsidR="00646944" w:rsidRPr="00FB5D79">
        <w:rPr>
          <w:iCs/>
        </w:rPr>
        <w:t>’</w:t>
      </w:r>
      <w:r w:rsidR="003A68A4" w:rsidRPr="00FB5D79">
        <w:rPr>
          <w:iCs/>
        </w:rPr>
        <w:t>étude à de nouveaux pays et régions, dont au moins un PMA, et à des sujets non traités au cours de la phase I</w:t>
      </w:r>
      <w:r w:rsidR="000E4777" w:rsidRPr="00FB5D79">
        <w:rPr>
          <w:iCs/>
        </w:rPr>
        <w:t>. </w:t>
      </w:r>
      <w:r w:rsidRPr="00FB5D79">
        <w:t>Il est intéressant de noter qu</w:t>
      </w:r>
      <w:r w:rsidR="00646944" w:rsidRPr="00FB5D79">
        <w:t>’</w:t>
      </w:r>
      <w:r w:rsidRPr="00FB5D79">
        <w:t xml:space="preserve">en entreprenant de </w:t>
      </w:r>
      <w:r w:rsidR="00A25C95" w:rsidRPr="00FB5D79">
        <w:t>nouvelles études</w:t>
      </w:r>
      <w:r w:rsidRPr="00FB5D79">
        <w:t>, on s</w:t>
      </w:r>
      <w:r w:rsidR="00646944" w:rsidRPr="00FB5D79">
        <w:t>’</w:t>
      </w:r>
      <w:r w:rsidRPr="00FB5D79">
        <w:t xml:space="preserve">est efforcé de promouvoir </w:t>
      </w:r>
      <w:r w:rsidR="00923EA8" w:rsidRPr="00FB5D79">
        <w:rPr>
          <w:iCs/>
        </w:rPr>
        <w:t>la continuité des recherches entamées au cours de la phase I</w:t>
      </w:r>
      <w:r w:rsidRPr="00FB5D79">
        <w:t>.</w:t>
      </w:r>
    </w:p>
    <w:p w14:paraId="00017A21" w14:textId="77777777" w:rsidR="0064347F" w:rsidRPr="00FB5D79" w:rsidRDefault="0064347F" w:rsidP="0064347F">
      <w:pPr>
        <w:jc w:val="both"/>
      </w:pPr>
    </w:p>
    <w:p w14:paraId="53B70207" w14:textId="1C913FA7" w:rsidR="0064347F" w:rsidRPr="00FB5D79" w:rsidRDefault="00226FFA" w:rsidP="0064347F">
      <w:pPr>
        <w:jc w:val="both"/>
        <w:rPr>
          <w:u w:val="single"/>
        </w:rPr>
      </w:pPr>
      <w:r w:rsidRPr="00FB5D79">
        <w:rPr>
          <w:u w:val="single"/>
        </w:rPr>
        <w:lastRenderedPageBreak/>
        <w:t>Études</w:t>
      </w:r>
      <w:r w:rsidR="0064347F" w:rsidRPr="00FB5D79">
        <w:rPr>
          <w:u w:val="single"/>
        </w:rPr>
        <w:t xml:space="preserve"> </w:t>
      </w:r>
      <w:r w:rsidR="00217BD3" w:rsidRPr="00FB5D79">
        <w:rPr>
          <w:u w:val="single"/>
        </w:rPr>
        <w:t xml:space="preserve">menées lors </w:t>
      </w:r>
      <w:r w:rsidR="0064347F" w:rsidRPr="00FB5D79">
        <w:rPr>
          <w:u w:val="single"/>
        </w:rPr>
        <w:t>de la phase</w:t>
      </w:r>
      <w:r w:rsidR="00740596" w:rsidRPr="00FB5D79">
        <w:rPr>
          <w:u w:val="single"/>
        </w:rPr>
        <w:t> </w:t>
      </w:r>
      <w:r w:rsidR="0064347F" w:rsidRPr="00FB5D79">
        <w:rPr>
          <w:u w:val="single"/>
        </w:rPr>
        <w:t>II</w:t>
      </w:r>
    </w:p>
    <w:p w14:paraId="2ED5AFAC" w14:textId="77777777" w:rsidR="0064347F" w:rsidRPr="00FB5D79" w:rsidRDefault="0064347F" w:rsidP="0064347F">
      <w:pPr>
        <w:jc w:val="both"/>
      </w:pPr>
    </w:p>
    <w:p w14:paraId="56C114C0" w14:textId="6FC570D7" w:rsidR="0064347F" w:rsidRPr="00FB5D79" w:rsidRDefault="00A25C95" w:rsidP="0064347F">
      <w:pPr>
        <w:jc w:val="both"/>
      </w:pPr>
      <w:r w:rsidRPr="00FB5D79">
        <w:t>Dans le cadre du projet, sept</w:t>
      </w:r>
      <w:r w:rsidR="000E4777" w:rsidRPr="00FB5D79">
        <w:t> </w:t>
      </w:r>
      <w:r w:rsidRPr="00FB5D79">
        <w:t>études ont été réalisées</w:t>
      </w:r>
      <w:r w:rsidR="00965F3A">
        <w:t> :</w:t>
      </w:r>
      <w:r w:rsidR="0064347F" w:rsidRPr="00FB5D79">
        <w:t xml:space="preserve"> quatre</w:t>
      </w:r>
      <w:r w:rsidR="000E4777" w:rsidRPr="00FB5D79">
        <w:t> </w:t>
      </w:r>
      <w:r w:rsidR="0064347F" w:rsidRPr="00FB5D79">
        <w:t>spécifiques à un pays (Colombie, Chili, Pologne, Ouganda), deux</w:t>
      </w:r>
      <w:r w:rsidR="000E4777" w:rsidRPr="00FB5D79">
        <w:t> </w:t>
      </w:r>
      <w:r w:rsidR="00740596" w:rsidRPr="00FB5D79">
        <w:t>spécifiques à une région</w:t>
      </w:r>
      <w:r w:rsidR="0064347F" w:rsidRPr="00FB5D79">
        <w:t xml:space="preserve"> (pays d</w:t>
      </w:r>
      <w:r w:rsidR="00646944" w:rsidRPr="00FB5D79">
        <w:t>’</w:t>
      </w:r>
      <w:r w:rsidR="0064347F" w:rsidRPr="00FB5D79">
        <w:t>Amérique centrale et République dominicaine, et trois</w:t>
      </w:r>
      <w:r w:rsidR="000E4777" w:rsidRPr="00FB5D79">
        <w:t> </w:t>
      </w:r>
      <w:r w:rsidR="0064347F" w:rsidRPr="00FB5D79">
        <w:t>pays de l</w:t>
      </w:r>
      <w:r w:rsidR="00646944" w:rsidRPr="00FB5D79">
        <w:t>’</w:t>
      </w:r>
      <w:r w:rsidR="00C93446" w:rsidRPr="00FB5D79">
        <w:t>ASEAN</w:t>
      </w:r>
      <w:r w:rsidR="0064347F" w:rsidRPr="00FB5D79">
        <w:t xml:space="preserve">), et une spécifique au secteur minier (Brésil et Chili).  </w:t>
      </w:r>
      <w:r w:rsidR="000E4777" w:rsidRPr="00FB5D79">
        <w:t>À</w:t>
      </w:r>
      <w:r w:rsidR="00C93446" w:rsidRPr="00FB5D79">
        <w:t xml:space="preserve"> </w:t>
      </w:r>
      <w:r w:rsidR="0064347F" w:rsidRPr="00FB5D79">
        <w:t xml:space="preserve">la date du présent rapport, </w:t>
      </w:r>
      <w:r w:rsidR="00C93446" w:rsidRPr="00FB5D79">
        <w:t>toutes les études</w:t>
      </w:r>
      <w:r w:rsidR="0064347F" w:rsidRPr="00FB5D79">
        <w:t xml:space="preserve"> ont été </w:t>
      </w:r>
      <w:r w:rsidR="00740596" w:rsidRPr="00FB5D79">
        <w:t>parachevé</w:t>
      </w:r>
      <w:r w:rsidR="00C93446" w:rsidRPr="00FB5D79">
        <w:t>e</w:t>
      </w:r>
      <w:r w:rsidR="00740596" w:rsidRPr="00FB5D79">
        <w:t>s,</w:t>
      </w:r>
      <w:r w:rsidR="0064347F" w:rsidRPr="00FB5D79">
        <w:t xml:space="preserve"> mais certain</w:t>
      </w:r>
      <w:r w:rsidR="00C93446" w:rsidRPr="00FB5D79">
        <w:t>es</w:t>
      </w:r>
      <w:r w:rsidR="0064347F" w:rsidRPr="00FB5D79">
        <w:t xml:space="preserve"> (Pologne, pays d</w:t>
      </w:r>
      <w:r w:rsidR="00646944" w:rsidRPr="00FB5D79">
        <w:t>’</w:t>
      </w:r>
      <w:r w:rsidR="0064347F" w:rsidRPr="00FB5D79">
        <w:t xml:space="preserve">Asie du Sud et secteur minier) </w:t>
      </w:r>
      <w:r w:rsidR="00C93446" w:rsidRPr="00FB5D79">
        <w:t>sont en attente de publication</w:t>
      </w:r>
      <w:r w:rsidR="0064347F" w:rsidRPr="00FB5D79">
        <w:t>.</w:t>
      </w:r>
    </w:p>
    <w:p w14:paraId="4845FD97" w14:textId="77777777" w:rsidR="0064347F" w:rsidRPr="00FB5D79" w:rsidRDefault="0064347F" w:rsidP="0064347F">
      <w:pPr>
        <w:jc w:val="both"/>
      </w:pPr>
    </w:p>
    <w:p w14:paraId="23C2DC74" w14:textId="1B8A9ED9" w:rsidR="00735A4B" w:rsidRPr="00FB5D79" w:rsidRDefault="00B03F80" w:rsidP="0064347F">
      <w:pPr>
        <w:jc w:val="both"/>
      </w:pPr>
      <w:r w:rsidRPr="00FB5D79">
        <w:t>L</w:t>
      </w:r>
      <w:r w:rsidR="00646944" w:rsidRPr="00FB5D79">
        <w:t>’</w:t>
      </w:r>
      <w:r w:rsidRPr="00FB5D79">
        <w:t>atteinte</w:t>
      </w:r>
      <w:r w:rsidR="0064347F" w:rsidRPr="00FB5D79">
        <w:t xml:space="preserve"> des </w:t>
      </w:r>
      <w:r w:rsidRPr="00FB5D79">
        <w:t xml:space="preserve">résultats suivants </w:t>
      </w:r>
      <w:r w:rsidR="00220808" w:rsidRPr="00FB5D79">
        <w:t xml:space="preserve">lors </w:t>
      </w:r>
      <w:r w:rsidRPr="00FB5D79">
        <w:t>de la phase </w:t>
      </w:r>
      <w:r w:rsidR="0064347F" w:rsidRPr="00FB5D79">
        <w:t>II a été validé</w:t>
      </w:r>
      <w:r w:rsidRPr="00FB5D79">
        <w:t>e</w:t>
      </w:r>
      <w:r w:rsidR="0064347F" w:rsidRPr="00FB5D79">
        <w:t xml:space="preserve"> </w:t>
      </w:r>
      <w:r w:rsidR="00220808" w:rsidRPr="00FB5D79">
        <w:t xml:space="preserve">grâce à des </w:t>
      </w:r>
      <w:r w:rsidRPr="00FB5D79">
        <w:t>entretiens</w:t>
      </w:r>
      <w:r w:rsidR="0064347F" w:rsidRPr="00FB5D79">
        <w:t xml:space="preserve"> et </w:t>
      </w:r>
      <w:r w:rsidR="00220808" w:rsidRPr="00FB5D79">
        <w:t>une analyse préliminaire</w:t>
      </w:r>
      <w:r w:rsidR="0064347F" w:rsidRPr="00FB5D79">
        <w:t>.</w:t>
      </w:r>
    </w:p>
    <w:p w14:paraId="059015B3" w14:textId="77777777" w:rsidR="00735A4B" w:rsidRPr="00FB5D79" w:rsidRDefault="00735A4B" w:rsidP="00735A4B">
      <w:pPr>
        <w:jc w:val="both"/>
      </w:pPr>
    </w:p>
    <w:p w14:paraId="039D396A" w14:textId="44772872" w:rsidR="00735A4B" w:rsidRPr="00FB5D79" w:rsidRDefault="00735A4B" w:rsidP="00735A4B">
      <w:pPr>
        <w:jc w:val="both"/>
      </w:pPr>
      <w:r w:rsidRPr="00FB5D79">
        <w:rPr>
          <w:u w:val="single"/>
        </w:rPr>
        <w:t>Colombi</w:t>
      </w:r>
      <w:r w:rsidR="00731C32" w:rsidRPr="00FB5D79">
        <w:rPr>
          <w:u w:val="single"/>
        </w:rPr>
        <w:t>e</w:t>
      </w:r>
      <w:r w:rsidR="00965F3A">
        <w:rPr>
          <w:u w:val="single"/>
        </w:rPr>
        <w:t> :</w:t>
      </w:r>
    </w:p>
    <w:p w14:paraId="41B052A0" w14:textId="77777777" w:rsidR="00735A4B" w:rsidRPr="00FB5D79" w:rsidRDefault="00735A4B" w:rsidP="00735A4B">
      <w:pPr>
        <w:jc w:val="both"/>
      </w:pPr>
    </w:p>
    <w:p w14:paraId="73C322D1" w14:textId="0EB700ED" w:rsidR="00646944" w:rsidRPr="00FB5D79" w:rsidRDefault="0064347F" w:rsidP="009F022F">
      <w:pPr>
        <w:numPr>
          <w:ilvl w:val="1"/>
          <w:numId w:val="15"/>
        </w:numPr>
        <w:ind w:left="1134" w:hanging="566"/>
        <w:jc w:val="both"/>
      </w:pPr>
      <w:r w:rsidRPr="00FB5D79">
        <w:t>Le principal objectif de l</w:t>
      </w:r>
      <w:r w:rsidR="00646944" w:rsidRPr="00FB5D79">
        <w:t>’</w:t>
      </w:r>
      <w:r w:rsidRPr="00FB5D79">
        <w:t xml:space="preserve">étude </w:t>
      </w:r>
      <w:r w:rsidR="0038592D" w:rsidRPr="00FB5D79">
        <w:t>colombienne</w:t>
      </w:r>
      <w:r w:rsidRPr="00FB5D79">
        <w:t xml:space="preserve"> était </w:t>
      </w:r>
      <w:r w:rsidR="00DF7F1E" w:rsidRPr="00FB5D79">
        <w:t>de procéder à une étude statistique</w:t>
      </w:r>
      <w:r w:rsidRPr="00FB5D79">
        <w:t xml:space="preserve"> </w:t>
      </w:r>
      <w:r w:rsidR="00DF7F1E" w:rsidRPr="00FB5D79">
        <w:t xml:space="preserve">de </w:t>
      </w:r>
      <w:r w:rsidRPr="00FB5D79">
        <w:t>l</w:t>
      </w:r>
      <w:r w:rsidR="00646944" w:rsidRPr="00FB5D79">
        <w:t>’</w:t>
      </w:r>
      <w:r w:rsidRPr="00FB5D79">
        <w:t xml:space="preserve">utilisation de la propriété intellectuelle en Colombie et </w:t>
      </w:r>
      <w:r w:rsidR="00DF7F1E" w:rsidRPr="00FB5D79">
        <w:t>d</w:t>
      </w:r>
      <w:r w:rsidR="00646944" w:rsidRPr="00FB5D79">
        <w:t>’</w:t>
      </w:r>
      <w:r w:rsidR="00DF7F1E" w:rsidRPr="00FB5D79">
        <w:t>instaurer</w:t>
      </w:r>
      <w:r w:rsidRPr="00FB5D79">
        <w:t xml:space="preserve"> </w:t>
      </w:r>
      <w:r w:rsidR="00DF7F1E" w:rsidRPr="00FB5D79">
        <w:t xml:space="preserve">les capacités techniques permettant </w:t>
      </w:r>
      <w:r w:rsidRPr="00FB5D79">
        <w:t>d</w:t>
      </w:r>
      <w:r w:rsidR="00646944" w:rsidRPr="00FB5D79">
        <w:t>’</w:t>
      </w:r>
      <w:r w:rsidRPr="00FB5D79">
        <w:t>analyser l</w:t>
      </w:r>
      <w:r w:rsidR="00646944" w:rsidRPr="00FB5D79">
        <w:t>’</w:t>
      </w:r>
      <w:r w:rsidRPr="00FB5D79">
        <w:t xml:space="preserve">impact des politiques </w:t>
      </w:r>
      <w:r w:rsidR="0056221F" w:rsidRPr="00FB5D79">
        <w:t xml:space="preserve">en matière </w:t>
      </w:r>
      <w:r w:rsidRPr="00FB5D79">
        <w:t>de propriété intellectuelle.</w:t>
      </w:r>
    </w:p>
    <w:p w14:paraId="619E749C" w14:textId="46F717AA" w:rsidR="00646944" w:rsidRPr="00FB5D79" w:rsidRDefault="0064347F" w:rsidP="009F022F">
      <w:pPr>
        <w:numPr>
          <w:ilvl w:val="1"/>
          <w:numId w:val="15"/>
        </w:numPr>
        <w:ind w:left="1134" w:hanging="566"/>
        <w:jc w:val="both"/>
      </w:pPr>
      <w:r w:rsidRPr="00FB5D79">
        <w:t>La réalisation de l</w:t>
      </w:r>
      <w:r w:rsidR="00646944" w:rsidRPr="00FB5D79">
        <w:t>’</w:t>
      </w:r>
      <w:r w:rsidRPr="00FB5D79">
        <w:t>étude a nécessité une coordination entre plusieurs organismes publics colombiens et l</w:t>
      </w:r>
      <w:r w:rsidR="00646944" w:rsidRPr="00FB5D79">
        <w:t>’</w:t>
      </w:r>
      <w:r w:rsidRPr="00FB5D79">
        <w:t>OMPI.</w:t>
      </w:r>
    </w:p>
    <w:p w14:paraId="602F41E0" w14:textId="6C4D282C" w:rsidR="0064347F" w:rsidRPr="00FB5D79" w:rsidRDefault="0064347F" w:rsidP="009F022F">
      <w:pPr>
        <w:numPr>
          <w:ilvl w:val="1"/>
          <w:numId w:val="15"/>
        </w:numPr>
        <w:ind w:left="1134" w:hanging="566"/>
        <w:jc w:val="both"/>
      </w:pPr>
      <w:r w:rsidRPr="00FB5D79">
        <w:t>Dans le cas de la Colombie, comme indiqué dans le rapport final, il s</w:t>
      </w:r>
      <w:r w:rsidR="00646944" w:rsidRPr="00FB5D79">
        <w:t>’</w:t>
      </w:r>
      <w:r w:rsidRPr="00FB5D79">
        <w:t>agissait non seulement d</w:t>
      </w:r>
      <w:r w:rsidR="00646944" w:rsidRPr="00FB5D79">
        <w:t>’</w:t>
      </w:r>
      <w:r w:rsidRPr="00FB5D79">
        <w:t xml:space="preserve">organismes </w:t>
      </w:r>
      <w:r w:rsidR="0056221F" w:rsidRPr="00FB5D79">
        <w:t xml:space="preserve">chargés de </w:t>
      </w:r>
      <w:r w:rsidR="00BE09D1" w:rsidRPr="00FB5D79">
        <w:t>l</w:t>
      </w:r>
      <w:r w:rsidR="00646944" w:rsidRPr="00FB5D79">
        <w:t>’</w:t>
      </w:r>
      <w:r w:rsidR="00BE09D1" w:rsidRPr="00FB5D79">
        <w:t>application</w:t>
      </w:r>
      <w:r w:rsidRPr="00FB5D79">
        <w:t xml:space="preserve"> et </w:t>
      </w:r>
      <w:r w:rsidR="0056221F" w:rsidRPr="00FB5D79">
        <w:t>de</w:t>
      </w:r>
      <w:r w:rsidRPr="00FB5D79">
        <w:t xml:space="preserve"> </w:t>
      </w:r>
      <w:r w:rsidR="0056221F" w:rsidRPr="00FB5D79">
        <w:t xml:space="preserve">la </w:t>
      </w:r>
      <w:r w:rsidRPr="00FB5D79">
        <w:t xml:space="preserve">gestion </w:t>
      </w:r>
      <w:r w:rsidR="00BE09D1" w:rsidRPr="00FB5D79">
        <w:t>des droits de</w:t>
      </w:r>
      <w:r w:rsidRPr="00FB5D79">
        <w:t xml:space="preserve"> propriété intellectuelle, mais aussi</w:t>
      </w:r>
      <w:r w:rsidR="00BA1A50" w:rsidRPr="00FB5D79">
        <w:t>, entre autres,</w:t>
      </w:r>
      <w:r w:rsidRPr="00FB5D79">
        <w:t xml:space="preserve"> du </w:t>
      </w:r>
      <w:proofErr w:type="spellStart"/>
      <w:r w:rsidRPr="00FB5D79">
        <w:rPr>
          <w:i/>
        </w:rPr>
        <w:t>Departamento</w:t>
      </w:r>
      <w:proofErr w:type="spellEnd"/>
      <w:r w:rsidRPr="00FB5D79">
        <w:rPr>
          <w:i/>
        </w:rPr>
        <w:t xml:space="preserve"> </w:t>
      </w:r>
      <w:proofErr w:type="spellStart"/>
      <w:r w:rsidRPr="00FB5D79">
        <w:rPr>
          <w:i/>
        </w:rPr>
        <w:t>Nacional</w:t>
      </w:r>
      <w:proofErr w:type="spellEnd"/>
      <w:r w:rsidRPr="00FB5D79">
        <w:rPr>
          <w:i/>
        </w:rPr>
        <w:t xml:space="preserve"> de </w:t>
      </w:r>
      <w:proofErr w:type="spellStart"/>
      <w:r w:rsidRPr="00FB5D79">
        <w:rPr>
          <w:i/>
        </w:rPr>
        <w:t>Planeación</w:t>
      </w:r>
      <w:proofErr w:type="spellEnd"/>
      <w:r w:rsidRPr="00FB5D79">
        <w:rPr>
          <w:i/>
        </w:rPr>
        <w:t xml:space="preserve"> (DNP),</w:t>
      </w:r>
      <w:r w:rsidRPr="00FB5D79">
        <w:t xml:space="preserve"> de l</w:t>
      </w:r>
      <w:r w:rsidR="00646944" w:rsidRPr="00FB5D79">
        <w:t>’</w:t>
      </w:r>
      <w:proofErr w:type="spellStart"/>
      <w:r w:rsidRPr="00FB5D79">
        <w:rPr>
          <w:i/>
        </w:rPr>
        <w:t>Instituto</w:t>
      </w:r>
      <w:proofErr w:type="spellEnd"/>
      <w:r w:rsidRPr="00FB5D79">
        <w:rPr>
          <w:i/>
        </w:rPr>
        <w:t xml:space="preserve"> </w:t>
      </w:r>
      <w:proofErr w:type="spellStart"/>
      <w:r w:rsidRPr="00FB5D79">
        <w:rPr>
          <w:i/>
        </w:rPr>
        <w:t>Colombiano</w:t>
      </w:r>
      <w:proofErr w:type="spellEnd"/>
      <w:r w:rsidRPr="00FB5D79">
        <w:rPr>
          <w:i/>
        </w:rPr>
        <w:t xml:space="preserve"> </w:t>
      </w:r>
      <w:proofErr w:type="spellStart"/>
      <w:r w:rsidRPr="00FB5D79">
        <w:rPr>
          <w:i/>
        </w:rPr>
        <w:t>Agropecuario</w:t>
      </w:r>
      <w:proofErr w:type="spellEnd"/>
      <w:r w:rsidRPr="00FB5D79">
        <w:rPr>
          <w:i/>
        </w:rPr>
        <w:t xml:space="preserve"> (ICA)</w:t>
      </w:r>
      <w:r w:rsidRPr="00FB5D79">
        <w:t xml:space="preserve"> et du </w:t>
      </w:r>
      <w:proofErr w:type="spellStart"/>
      <w:r w:rsidRPr="00FB5D79">
        <w:rPr>
          <w:i/>
        </w:rPr>
        <w:t>Departamento</w:t>
      </w:r>
      <w:proofErr w:type="spellEnd"/>
      <w:r w:rsidRPr="00FB5D79">
        <w:rPr>
          <w:i/>
        </w:rPr>
        <w:t xml:space="preserve"> </w:t>
      </w:r>
      <w:proofErr w:type="spellStart"/>
      <w:r w:rsidRPr="00FB5D79">
        <w:rPr>
          <w:i/>
        </w:rPr>
        <w:t>Administrativo</w:t>
      </w:r>
      <w:proofErr w:type="spellEnd"/>
      <w:r w:rsidRPr="00FB5D79">
        <w:rPr>
          <w:i/>
        </w:rPr>
        <w:t xml:space="preserve"> </w:t>
      </w:r>
      <w:proofErr w:type="spellStart"/>
      <w:r w:rsidRPr="00FB5D79">
        <w:rPr>
          <w:i/>
        </w:rPr>
        <w:t>Nacional</w:t>
      </w:r>
      <w:proofErr w:type="spellEnd"/>
      <w:r w:rsidRPr="00FB5D79">
        <w:rPr>
          <w:i/>
        </w:rPr>
        <w:t xml:space="preserve"> de </w:t>
      </w:r>
      <w:proofErr w:type="spellStart"/>
      <w:r w:rsidRPr="00FB5D79">
        <w:rPr>
          <w:i/>
        </w:rPr>
        <w:t>Estadística</w:t>
      </w:r>
      <w:proofErr w:type="spellEnd"/>
      <w:r w:rsidRPr="00FB5D79">
        <w:rPr>
          <w:i/>
        </w:rPr>
        <w:t xml:space="preserve"> (DANE)</w:t>
      </w:r>
      <w:r w:rsidR="00823D8D" w:rsidRPr="00FB5D79">
        <w:t>,</w:t>
      </w:r>
      <w:r w:rsidRPr="00FB5D79">
        <w:t xml:space="preserve"> qui fournissent également </w:t>
      </w:r>
      <w:r w:rsidR="00BA1A50" w:rsidRPr="00FB5D79">
        <w:t>des données et une aide technique</w:t>
      </w:r>
      <w:r w:rsidRPr="00FB5D79">
        <w:t>.</w:t>
      </w:r>
    </w:p>
    <w:p w14:paraId="0A4DBB94" w14:textId="1E22EF5B" w:rsidR="00646944" w:rsidRPr="00FB5D79" w:rsidRDefault="0064347F" w:rsidP="009F022F">
      <w:pPr>
        <w:numPr>
          <w:ilvl w:val="1"/>
          <w:numId w:val="15"/>
        </w:numPr>
        <w:ind w:left="1134" w:hanging="566"/>
        <w:jc w:val="both"/>
      </w:pPr>
      <w:r w:rsidRPr="00FB5D79">
        <w:t>L</w:t>
      </w:r>
      <w:r w:rsidR="00646944" w:rsidRPr="00FB5D79">
        <w:t>’</w:t>
      </w:r>
      <w:r w:rsidRPr="00FB5D79">
        <w:t xml:space="preserve">étude </w:t>
      </w:r>
      <w:r w:rsidR="00BA1A50" w:rsidRPr="00FB5D79">
        <w:t>impliquait</w:t>
      </w:r>
      <w:r w:rsidRPr="00FB5D79">
        <w:t xml:space="preserve"> la création d</w:t>
      </w:r>
      <w:r w:rsidR="00646944" w:rsidRPr="00FB5D79">
        <w:t>’</w:t>
      </w:r>
      <w:r w:rsidRPr="00FB5D79">
        <w:t xml:space="preserve">une base de données sur la propriété intellectuelle </w:t>
      </w:r>
      <w:r w:rsidR="0038592D" w:rsidRPr="00FB5D79">
        <w:t>dédiée à</w:t>
      </w:r>
      <w:r w:rsidRPr="00FB5D79">
        <w:t xml:space="preserve"> l</w:t>
      </w:r>
      <w:r w:rsidR="00646944" w:rsidRPr="00FB5D79">
        <w:t>’</w:t>
      </w:r>
      <w:r w:rsidRPr="00FB5D79">
        <w:t xml:space="preserve">analyse économique, </w:t>
      </w:r>
      <w:r w:rsidR="0038592D" w:rsidRPr="00FB5D79">
        <w:t>à</w:t>
      </w:r>
      <w:r w:rsidR="00BA1A50" w:rsidRPr="00FB5D79">
        <w:t xml:space="preserve"> </w:t>
      </w:r>
      <w:r w:rsidRPr="00FB5D79">
        <w:t>l</w:t>
      </w:r>
      <w:r w:rsidR="00646944" w:rsidRPr="00FB5D79">
        <w:t>’</w:t>
      </w:r>
      <w:r w:rsidRPr="00FB5D79">
        <w:t>évaluation statistique de l</w:t>
      </w:r>
      <w:r w:rsidR="00646944" w:rsidRPr="00FB5D79">
        <w:t>’</w:t>
      </w:r>
      <w:r w:rsidRPr="00FB5D79">
        <w:t xml:space="preserve">utilisation de la propriété intellectuelle en Colombie et </w:t>
      </w:r>
      <w:r w:rsidR="0038592D" w:rsidRPr="00FB5D79">
        <w:t>à</w:t>
      </w:r>
      <w:r w:rsidR="00BA1A50" w:rsidRPr="00FB5D79">
        <w:t xml:space="preserve"> </w:t>
      </w:r>
      <w:r w:rsidR="0038592D" w:rsidRPr="00FB5D79">
        <w:t>la création des</w:t>
      </w:r>
      <w:r w:rsidRPr="00FB5D79">
        <w:t xml:space="preserve"> capacités techniques </w:t>
      </w:r>
      <w:r w:rsidR="0038592D" w:rsidRPr="00FB5D79">
        <w:t>permettant d</w:t>
      </w:r>
      <w:r w:rsidR="00646944" w:rsidRPr="00FB5D79">
        <w:t>’</w:t>
      </w:r>
      <w:r w:rsidR="0038592D" w:rsidRPr="00FB5D79">
        <w:t>analyser</w:t>
      </w:r>
      <w:r w:rsidR="00BA1A50" w:rsidRPr="00FB5D79">
        <w:t xml:space="preserve"> l</w:t>
      </w:r>
      <w:r w:rsidR="00646944" w:rsidRPr="00FB5D79">
        <w:t>’</w:t>
      </w:r>
      <w:r w:rsidR="00BA1A50" w:rsidRPr="00FB5D79">
        <w:t>impact</w:t>
      </w:r>
      <w:r w:rsidRPr="00FB5D79">
        <w:t xml:space="preserve"> des politiques </w:t>
      </w:r>
      <w:r w:rsidR="00BA1A50" w:rsidRPr="00FB5D79">
        <w:t xml:space="preserve">en matière </w:t>
      </w:r>
      <w:r w:rsidRPr="00FB5D79">
        <w:t>de propriété intellectuelle.</w:t>
      </w:r>
    </w:p>
    <w:p w14:paraId="478EA4C5" w14:textId="610A064A" w:rsidR="0064347F" w:rsidRPr="00FB5D79" w:rsidRDefault="00EF248C" w:rsidP="009F022F">
      <w:pPr>
        <w:numPr>
          <w:ilvl w:val="1"/>
          <w:numId w:val="15"/>
        </w:numPr>
        <w:ind w:left="1134" w:hanging="566"/>
        <w:jc w:val="both"/>
      </w:pPr>
      <w:r w:rsidRPr="00FB5D79">
        <w:t>Selon le rapport final,</w:t>
      </w:r>
      <w:r w:rsidRPr="00FB5D79">
        <w:rPr>
          <w:i/>
        </w:rPr>
        <w:t xml:space="preserve"> </w:t>
      </w:r>
      <w:r w:rsidR="00646944" w:rsidRPr="00FB5D79">
        <w:t>“</w:t>
      </w:r>
      <w:r w:rsidRPr="00FB5D79">
        <w:t>les secteurs dans lesquels la demande de nouvelles créations était la plus forte au cours de la période considérée étaient les secteurs ci</w:t>
      </w:r>
      <w:r w:rsidR="00965F3A">
        <w:t>-</w:t>
      </w:r>
      <w:r w:rsidRPr="00FB5D79">
        <w:t>après</w:t>
      </w:r>
      <w:r w:rsidR="00965F3A">
        <w:t> :</w:t>
      </w:r>
      <w:r w:rsidRPr="00FB5D79">
        <w:t xml:space="preserve"> machines pour l</w:t>
      </w:r>
      <w:r w:rsidR="00646944" w:rsidRPr="00FB5D79">
        <w:t>’</w:t>
      </w:r>
      <w:r w:rsidRPr="00FB5D79">
        <w:t xml:space="preserve">extraction ou la </w:t>
      </w:r>
      <w:proofErr w:type="gramStart"/>
      <w:r w:rsidRPr="00FB5D79">
        <w:t>construction;  produits</w:t>
      </w:r>
      <w:proofErr w:type="gramEnd"/>
      <w:r w:rsidRPr="00FB5D79">
        <w:t xml:space="preserve"> pharmaceutiques;  produits chimiques;  caoutchouc synthétique;  et actions de soutien agrico</w:t>
      </w:r>
      <w:r w:rsidR="00172764" w:rsidRPr="00FB5D79">
        <w:t>le.  Le</w:t>
      </w:r>
      <w:r w:rsidRPr="00FB5D79">
        <w:t>s principaux secteurs utilisant le système des marques étaient les secteurs ci</w:t>
      </w:r>
      <w:r w:rsidR="00965F3A">
        <w:t>-</w:t>
      </w:r>
      <w:r w:rsidRPr="00FB5D79">
        <w:t>après</w:t>
      </w:r>
      <w:r w:rsidR="00965F3A">
        <w:t> :</w:t>
      </w:r>
      <w:r w:rsidRPr="00FB5D79">
        <w:t xml:space="preserve"> </w:t>
      </w:r>
      <w:proofErr w:type="gramStart"/>
      <w:r w:rsidRPr="00FB5D79">
        <w:t>caoutchouc;  commercialisation</w:t>
      </w:r>
      <w:proofErr w:type="gramEnd"/>
      <w:r w:rsidRPr="00FB5D79">
        <w:t xml:space="preserve"> de l</w:t>
      </w:r>
      <w:r w:rsidR="00646944" w:rsidRPr="00FB5D79">
        <w:t>’</w:t>
      </w:r>
      <w:r w:rsidRPr="00FB5D79">
        <w:t>énergie électrique;  organisation de manifestations;  et produits pharmaceutiqu</w:t>
      </w:r>
      <w:r w:rsidR="00172764" w:rsidRPr="00FB5D79">
        <w:t>es.  En</w:t>
      </w:r>
      <w:r w:rsidRPr="00FB5D79">
        <w:t>fin, les principaux secteurs utilisant le système d</w:t>
      </w:r>
      <w:r w:rsidR="00646944" w:rsidRPr="00FB5D79">
        <w:t>’</w:t>
      </w:r>
      <w:r w:rsidRPr="00FB5D79">
        <w:t>enregistrement du droit d</w:t>
      </w:r>
      <w:r w:rsidR="00646944" w:rsidRPr="00FB5D79">
        <w:t>’</w:t>
      </w:r>
      <w:r w:rsidRPr="00FB5D79">
        <w:t>auteur étaient les secteurs ci</w:t>
      </w:r>
      <w:r w:rsidR="00965F3A">
        <w:t>-</w:t>
      </w:r>
      <w:r w:rsidRPr="00FB5D79">
        <w:t>après</w:t>
      </w:r>
      <w:r w:rsidR="00965F3A">
        <w:t> :</w:t>
      </w:r>
      <w:r w:rsidRPr="00FB5D79">
        <w:t xml:space="preserve"> création </w:t>
      </w:r>
      <w:proofErr w:type="gramStart"/>
      <w:r w:rsidRPr="00FB5D79">
        <w:t>littéraire;  création</w:t>
      </w:r>
      <w:proofErr w:type="gramEnd"/>
      <w:r w:rsidRPr="00FB5D79">
        <w:t xml:space="preserve"> musicale;  création d</w:t>
      </w:r>
      <w:r w:rsidR="00646944" w:rsidRPr="00FB5D79">
        <w:t>’</w:t>
      </w:r>
      <w:r w:rsidRPr="00FB5D79">
        <w:t>arts visuels;  enregistrement sonore et édition musicale;  systèmes informatiques;  édition;  et création audiovisuelle</w:t>
      </w:r>
      <w:r w:rsidR="0064347F" w:rsidRPr="00FB5D79">
        <w:t xml:space="preserve">. </w:t>
      </w:r>
      <w:r w:rsidR="000E4777" w:rsidRPr="00FB5D79">
        <w:t xml:space="preserve"> </w:t>
      </w:r>
      <w:r w:rsidR="0064347F" w:rsidRPr="00FB5D79">
        <w:t>(Voir le</w:t>
      </w:r>
      <w:r w:rsidR="0038592D" w:rsidRPr="00FB5D79">
        <w:t xml:space="preserve"> </w:t>
      </w:r>
      <w:r w:rsidR="00C02948" w:rsidRPr="00FB5D79">
        <w:t>résumé de l</w:t>
      </w:r>
      <w:r w:rsidR="00646944" w:rsidRPr="00FB5D79">
        <w:t>’</w:t>
      </w:r>
      <w:r w:rsidR="00C02948" w:rsidRPr="00FB5D79">
        <w:t xml:space="preserve">étude, </w:t>
      </w:r>
      <w:r w:rsidR="00ED1398" w:rsidRPr="00FB5D79">
        <w:t>document</w:t>
      </w:r>
      <w:r w:rsidR="00EB4E6B" w:rsidRPr="00FB5D79">
        <w:t> </w:t>
      </w:r>
      <w:r w:rsidR="0038592D" w:rsidRPr="00FB5D79">
        <w:t>CDIP/20/INF/2)</w:t>
      </w:r>
    </w:p>
    <w:p w14:paraId="4653FF18" w14:textId="67147491" w:rsidR="0064347F" w:rsidRPr="00FB5D79" w:rsidRDefault="0064347F" w:rsidP="009F022F">
      <w:pPr>
        <w:numPr>
          <w:ilvl w:val="1"/>
          <w:numId w:val="15"/>
        </w:numPr>
        <w:ind w:left="1134" w:hanging="566"/>
        <w:jc w:val="both"/>
      </w:pPr>
      <w:r w:rsidRPr="00FB5D79">
        <w:t>L</w:t>
      </w:r>
      <w:r w:rsidR="00646944" w:rsidRPr="00FB5D79">
        <w:t>’</w:t>
      </w:r>
      <w:r w:rsidRPr="00FB5D79">
        <w:t xml:space="preserve">étude colombienne </w:t>
      </w:r>
      <w:r w:rsidR="0038592D" w:rsidRPr="00FB5D79">
        <w:t>s</w:t>
      </w:r>
      <w:r w:rsidR="00646944" w:rsidRPr="00FB5D79">
        <w:t>’</w:t>
      </w:r>
      <w:r w:rsidR="0038592D" w:rsidRPr="00FB5D79">
        <w:t>est appuyée sur les études menées lors</w:t>
      </w:r>
      <w:r w:rsidR="00823D8D" w:rsidRPr="00FB5D79">
        <w:t xml:space="preserve"> de la phase </w:t>
      </w:r>
      <w:r w:rsidRPr="00FB5D79">
        <w:t>I et a représenté l</w:t>
      </w:r>
      <w:r w:rsidR="00646944" w:rsidRPr="00FB5D79">
        <w:t>’</w:t>
      </w:r>
      <w:r w:rsidRPr="00FB5D79">
        <w:t>extension du projet à un nouveau pays.</w:t>
      </w:r>
    </w:p>
    <w:p w14:paraId="74874F39" w14:textId="7E066244" w:rsidR="007B29DB" w:rsidRPr="00FB5D79" w:rsidRDefault="0064347F" w:rsidP="009F022F">
      <w:pPr>
        <w:numPr>
          <w:ilvl w:val="1"/>
          <w:numId w:val="15"/>
        </w:numPr>
        <w:ind w:left="1134" w:hanging="566"/>
        <w:jc w:val="both"/>
      </w:pPr>
      <w:r w:rsidRPr="00FB5D79">
        <w:t>Les résultats de l</w:t>
      </w:r>
      <w:r w:rsidR="00646944" w:rsidRPr="00FB5D79">
        <w:t>’</w:t>
      </w:r>
      <w:r w:rsidRPr="00FB5D79">
        <w:t xml:space="preserve">étude ont été présentés aux États membres à la </w:t>
      </w:r>
      <w:r w:rsidR="00EF248C" w:rsidRPr="00FB5D79">
        <w:t>vingt</w:t>
      </w:r>
      <w:r w:rsidR="00965F3A">
        <w:t>ième session</w:t>
      </w:r>
      <w:r w:rsidR="00646944" w:rsidRPr="00FB5D79">
        <w:t xml:space="preserve"> du CDI</w:t>
      </w:r>
      <w:r w:rsidR="00735A4B" w:rsidRPr="00FB5D79">
        <w:t>P</w:t>
      </w:r>
      <w:r w:rsidR="00735A4B" w:rsidRPr="00FB5D79">
        <w:rPr>
          <w:vertAlign w:val="superscript"/>
        </w:rPr>
        <w:footnoteReference w:id="17"/>
      </w:r>
      <w:r w:rsidRPr="00FB5D79">
        <w:t>.</w:t>
      </w:r>
    </w:p>
    <w:p w14:paraId="2200D7E4" w14:textId="77777777" w:rsidR="00BE09D1" w:rsidRPr="00FB5D79" w:rsidRDefault="00BE09D1" w:rsidP="00735A4B">
      <w:pPr>
        <w:jc w:val="both"/>
        <w:rPr>
          <w:u w:val="single"/>
        </w:rPr>
      </w:pPr>
    </w:p>
    <w:p w14:paraId="3766741B" w14:textId="6AC0764D" w:rsidR="00735A4B" w:rsidRPr="00FB5D79" w:rsidRDefault="00731C32" w:rsidP="00735A4B">
      <w:pPr>
        <w:jc w:val="both"/>
      </w:pPr>
      <w:r w:rsidRPr="00FB5D79">
        <w:rPr>
          <w:u w:val="single"/>
        </w:rPr>
        <w:t>Ou</w:t>
      </w:r>
      <w:r w:rsidR="00735A4B" w:rsidRPr="00FB5D79">
        <w:rPr>
          <w:u w:val="single"/>
        </w:rPr>
        <w:t>ganda</w:t>
      </w:r>
    </w:p>
    <w:p w14:paraId="70810706" w14:textId="77777777" w:rsidR="00735A4B" w:rsidRPr="00FB5D79" w:rsidRDefault="00735A4B" w:rsidP="00735A4B">
      <w:pPr>
        <w:jc w:val="both"/>
      </w:pPr>
    </w:p>
    <w:p w14:paraId="20F75B81" w14:textId="50E4ACD4" w:rsidR="00735A4B" w:rsidRPr="00FB5D79" w:rsidRDefault="00B0417C" w:rsidP="009F022F">
      <w:pPr>
        <w:numPr>
          <w:ilvl w:val="0"/>
          <w:numId w:val="16"/>
        </w:numPr>
        <w:ind w:left="1134" w:hanging="567"/>
        <w:jc w:val="both"/>
      </w:pPr>
      <w:r w:rsidRPr="00FB5D79">
        <w:t>L</w:t>
      </w:r>
      <w:r w:rsidR="00646944" w:rsidRPr="00FB5D79">
        <w:t>’</w:t>
      </w:r>
      <w:r w:rsidRPr="00FB5D79">
        <w:t xml:space="preserve">objectif général était de mieux </w:t>
      </w:r>
      <w:r w:rsidR="004476F1" w:rsidRPr="00FB5D79">
        <w:t>cerner</w:t>
      </w:r>
      <w:r w:rsidRPr="00FB5D79">
        <w:t xml:space="preserve"> le rôle de l</w:t>
      </w:r>
      <w:r w:rsidR="00646944" w:rsidRPr="00FB5D79">
        <w:t>’</w:t>
      </w:r>
      <w:r w:rsidRPr="00FB5D79">
        <w:t xml:space="preserve">innovation et de la propriété intellectuelle dans </w:t>
      </w:r>
      <w:r w:rsidR="006204D0" w:rsidRPr="00FB5D79">
        <w:t>un</w:t>
      </w:r>
      <w:r w:rsidRPr="00FB5D79">
        <w:t xml:space="preserve"> </w:t>
      </w:r>
      <w:r w:rsidR="006204D0" w:rsidRPr="00FB5D79">
        <w:t>PMA</w:t>
      </w:r>
      <w:r w:rsidRPr="00FB5D79">
        <w:t xml:space="preserve">.  </w:t>
      </w:r>
      <w:r w:rsidR="006204D0" w:rsidRPr="00FB5D79">
        <w:t>C</w:t>
      </w:r>
      <w:r w:rsidR="00646944" w:rsidRPr="00FB5D79">
        <w:t>’</w:t>
      </w:r>
      <w:r w:rsidR="006204D0" w:rsidRPr="00FB5D79">
        <w:t>est la première fois qu</w:t>
      </w:r>
      <w:r w:rsidR="00646944" w:rsidRPr="00FB5D79">
        <w:t>’</w:t>
      </w:r>
      <w:r w:rsidR="006204D0" w:rsidRPr="00FB5D79">
        <w:t>un PMA fait l</w:t>
      </w:r>
      <w:r w:rsidR="00646944" w:rsidRPr="00FB5D79">
        <w:t>’</w:t>
      </w:r>
      <w:r w:rsidR="006204D0" w:rsidRPr="00FB5D79">
        <w:t>objet d</w:t>
      </w:r>
      <w:r w:rsidR="00646944" w:rsidRPr="00FB5D79">
        <w:t>’</w:t>
      </w:r>
      <w:r w:rsidR="006204D0" w:rsidRPr="00FB5D79">
        <w:t xml:space="preserve">études socioéconomiques, ce qui représente en soi </w:t>
      </w:r>
      <w:r w:rsidRPr="00FB5D79">
        <w:t>une réalisation</w:t>
      </w:r>
      <w:r w:rsidR="006204D0" w:rsidRPr="00FB5D79">
        <w:t xml:space="preserve"> importante du projet</w:t>
      </w:r>
      <w:r w:rsidRPr="00FB5D79">
        <w:t>.</w:t>
      </w:r>
    </w:p>
    <w:p w14:paraId="4C7E341C" w14:textId="1D752D95" w:rsidR="00735A4B" w:rsidRPr="00FB5D79" w:rsidRDefault="00B0417C" w:rsidP="009F022F">
      <w:pPr>
        <w:numPr>
          <w:ilvl w:val="0"/>
          <w:numId w:val="16"/>
        </w:numPr>
        <w:ind w:left="1134" w:hanging="567"/>
        <w:jc w:val="both"/>
      </w:pPr>
      <w:r w:rsidRPr="00FB5D79">
        <w:t>L</w:t>
      </w:r>
      <w:r w:rsidR="00646944" w:rsidRPr="00FB5D79">
        <w:t>’</w:t>
      </w:r>
      <w:r w:rsidRPr="00FB5D79">
        <w:t xml:space="preserve">étude portait </w:t>
      </w:r>
      <w:r w:rsidR="00B2757E" w:rsidRPr="00FB5D79">
        <w:t>notamment</w:t>
      </w:r>
      <w:r w:rsidRPr="00FB5D79">
        <w:t xml:space="preserve"> sur </w:t>
      </w:r>
      <w:r w:rsidR="00C7220C" w:rsidRPr="00FB5D79">
        <w:t>le secteur agroalimentaire</w:t>
      </w:r>
      <w:r w:rsidRPr="00FB5D79">
        <w:t xml:space="preserve"> et visait à </w:t>
      </w:r>
      <w:r w:rsidR="004476F1" w:rsidRPr="00FB5D79">
        <w:t>mettre à jour les entraves commerciales, techniques, institutionnelles et politiques qui limitent ou affaiblissent les effets positifs des activités de recherche</w:t>
      </w:r>
      <w:r w:rsidR="00965F3A">
        <w:t>-</w:t>
      </w:r>
      <w:r w:rsidR="004476F1" w:rsidRPr="00FB5D79">
        <w:t xml:space="preserve">développement agricoles et </w:t>
      </w:r>
      <w:r w:rsidR="004476F1" w:rsidRPr="00FB5D79">
        <w:lastRenderedPageBreak/>
        <w:t>de la diffusion de l</w:t>
      </w:r>
      <w:r w:rsidR="00646944" w:rsidRPr="00FB5D79">
        <w:t>’</w:t>
      </w:r>
      <w:r w:rsidR="004476F1" w:rsidRPr="00FB5D79">
        <w:t>innovation et de techniques dans le secte</w:t>
      </w:r>
      <w:r w:rsidR="00172764" w:rsidRPr="00FB5D79">
        <w:t>ur.  El</w:t>
      </w:r>
      <w:r w:rsidR="00B2757E" w:rsidRPr="00FB5D79">
        <w:t>le</w:t>
      </w:r>
      <w:r w:rsidRPr="00FB5D79">
        <w:t xml:space="preserve"> </w:t>
      </w:r>
      <w:r w:rsidR="00671D7A" w:rsidRPr="00FB5D79">
        <w:t>portait sur</w:t>
      </w:r>
      <w:r w:rsidR="004476F1" w:rsidRPr="00FB5D79">
        <w:t xml:space="preserve"> </w:t>
      </w:r>
      <w:r w:rsidRPr="00FB5D79">
        <w:t>l</w:t>
      </w:r>
      <w:r w:rsidR="00C7220C" w:rsidRPr="00FB5D79">
        <w:t>es plants de</w:t>
      </w:r>
      <w:r w:rsidRPr="00FB5D79">
        <w:t xml:space="preserve"> café robusta et la transformation des fruits tropicaux</w:t>
      </w:r>
      <w:r w:rsidR="00735A4B" w:rsidRPr="00FB5D79">
        <w:rPr>
          <w:vertAlign w:val="superscript"/>
        </w:rPr>
        <w:footnoteReference w:id="18"/>
      </w:r>
      <w:r w:rsidRPr="00FB5D79">
        <w:t>.</w:t>
      </w:r>
    </w:p>
    <w:p w14:paraId="21CBDCE1" w14:textId="5FBECD97" w:rsidR="00646944" w:rsidRPr="00FB5D79" w:rsidRDefault="00537011" w:rsidP="009F022F">
      <w:pPr>
        <w:numPr>
          <w:ilvl w:val="0"/>
          <w:numId w:val="16"/>
        </w:numPr>
        <w:ind w:left="1134" w:hanging="567"/>
        <w:jc w:val="both"/>
      </w:pPr>
      <w:r w:rsidRPr="00FB5D79">
        <w:t xml:space="preserve">Le projet a été mené en coopération avec le Conseil national </w:t>
      </w:r>
      <w:r w:rsidR="00D865E6" w:rsidRPr="00FB5D79">
        <w:t>ougandais</w:t>
      </w:r>
      <w:r w:rsidRPr="00FB5D79">
        <w:t xml:space="preserve"> pour la science et la technologie (UNCST) et le Bureau des services d</w:t>
      </w:r>
      <w:r w:rsidR="00646944" w:rsidRPr="00FB5D79">
        <w:t>’</w:t>
      </w:r>
      <w:r w:rsidRPr="00FB5D79">
        <w:t xml:space="preserve">enregistrement </w:t>
      </w:r>
      <w:r w:rsidR="00D865E6" w:rsidRPr="00FB5D79">
        <w:t>de l</w:t>
      </w:r>
      <w:r w:rsidR="00646944" w:rsidRPr="00FB5D79">
        <w:t>’</w:t>
      </w:r>
      <w:r w:rsidR="00D865E6" w:rsidRPr="00FB5D79">
        <w:t xml:space="preserve">Ouganda </w:t>
      </w:r>
      <w:r w:rsidRPr="00FB5D79">
        <w:t>(URSB).</w:t>
      </w:r>
    </w:p>
    <w:p w14:paraId="77A15A68" w14:textId="6BF9BC51" w:rsidR="00537011" w:rsidRPr="00FB5D79" w:rsidRDefault="00537011" w:rsidP="009F022F">
      <w:pPr>
        <w:numPr>
          <w:ilvl w:val="0"/>
          <w:numId w:val="16"/>
        </w:numPr>
        <w:ind w:left="1134" w:hanging="567"/>
        <w:jc w:val="both"/>
      </w:pPr>
      <w:r w:rsidRPr="00FB5D79">
        <w:t>L</w:t>
      </w:r>
      <w:r w:rsidR="00646944" w:rsidRPr="00FB5D79">
        <w:t>’</w:t>
      </w:r>
      <w:r w:rsidRPr="00FB5D79">
        <w:t xml:space="preserve">étude a </w:t>
      </w:r>
      <w:r w:rsidR="004476F1" w:rsidRPr="00FB5D79">
        <w:t>démarré</w:t>
      </w:r>
      <w:r w:rsidRPr="00FB5D79">
        <w:t xml:space="preserve"> à Kampala </w:t>
      </w:r>
      <w:r w:rsidR="004476F1" w:rsidRPr="00FB5D79">
        <w:t>le 11 octobre 2016, en collaboration avec l</w:t>
      </w:r>
      <w:r w:rsidR="00646944" w:rsidRPr="00FB5D79">
        <w:t>’</w:t>
      </w:r>
      <w:r w:rsidR="004476F1" w:rsidRPr="00FB5D79">
        <w:t>UNCST et l</w:t>
      </w:r>
      <w:r w:rsidR="00646944" w:rsidRPr="00FB5D79">
        <w:t>’</w:t>
      </w:r>
      <w:r w:rsidR="004476F1" w:rsidRPr="00FB5D79">
        <w:t>URSB et en coordination avec M. </w:t>
      </w:r>
      <w:proofErr w:type="spellStart"/>
      <w:r w:rsidR="004476F1" w:rsidRPr="00FB5D79">
        <w:t>Bemanya</w:t>
      </w:r>
      <w:proofErr w:type="spellEnd"/>
      <w:r w:rsidR="004476F1" w:rsidRPr="00FB5D79">
        <w:t> </w:t>
      </w:r>
      <w:proofErr w:type="spellStart"/>
      <w:r w:rsidR="004476F1" w:rsidRPr="00FB5D79">
        <w:t>Twebaze</w:t>
      </w:r>
      <w:proofErr w:type="spellEnd"/>
      <w:r w:rsidR="004476F1" w:rsidRPr="00FB5D79">
        <w:t>, directeur général de l</w:t>
      </w:r>
      <w:r w:rsidR="00646944" w:rsidRPr="00FB5D79">
        <w:t>’</w:t>
      </w:r>
      <w:r w:rsidR="004476F1" w:rsidRPr="00FB5D79">
        <w:t>URSB, et de M. Julius </w:t>
      </w:r>
      <w:proofErr w:type="spellStart"/>
      <w:r w:rsidR="004476F1" w:rsidRPr="00FB5D79">
        <w:t>Ecuru</w:t>
      </w:r>
      <w:proofErr w:type="spellEnd"/>
      <w:r w:rsidR="004476F1" w:rsidRPr="00FB5D79">
        <w:t>, secrétaire exécutif adjoint de l</w:t>
      </w:r>
      <w:r w:rsidR="00646944" w:rsidRPr="00FB5D79">
        <w:t>’</w:t>
      </w:r>
      <w:r w:rsidR="004476F1" w:rsidRPr="00FB5D79">
        <w:t>UNCST, en qualité d</w:t>
      </w:r>
      <w:r w:rsidR="00646944" w:rsidRPr="00FB5D79">
        <w:t>’</w:t>
      </w:r>
      <w:r w:rsidR="004476F1" w:rsidRPr="00FB5D79">
        <w:t xml:space="preserve">interlocuteurs au sein du </w:t>
      </w:r>
      <w:r w:rsidR="000E4777" w:rsidRPr="00FB5D79">
        <w:t>Gouvernement</w:t>
      </w:r>
      <w:r w:rsidR="004476F1" w:rsidRPr="00FB5D79">
        <w:t xml:space="preserve"> ougandais</w:t>
      </w:r>
      <w:r w:rsidR="00A811C7" w:rsidRPr="00FB5D79">
        <w:t>.</w:t>
      </w:r>
    </w:p>
    <w:p w14:paraId="04164930" w14:textId="61A21AA6" w:rsidR="00537011" w:rsidRPr="00FB5D79" w:rsidRDefault="00537011" w:rsidP="009F022F">
      <w:pPr>
        <w:numPr>
          <w:ilvl w:val="0"/>
          <w:numId w:val="16"/>
        </w:numPr>
        <w:ind w:left="1134" w:hanging="567"/>
        <w:jc w:val="both"/>
      </w:pPr>
      <w:r w:rsidRPr="00FB5D79">
        <w:t>Dans l</w:t>
      </w:r>
      <w:r w:rsidR="00646944" w:rsidRPr="00FB5D79">
        <w:t>’</w:t>
      </w:r>
      <w:r w:rsidR="00D8459C" w:rsidRPr="00FB5D79">
        <w:t xml:space="preserve">une de ses conclusions, </w:t>
      </w:r>
      <w:r w:rsidR="00646944" w:rsidRPr="00FB5D79">
        <w:t>“</w:t>
      </w:r>
      <w:r w:rsidR="004476F1" w:rsidRPr="00FB5D79">
        <w:t>l</w:t>
      </w:r>
      <w:r w:rsidR="00646944" w:rsidRPr="00FB5D79">
        <w:t>’</w:t>
      </w:r>
      <w:r w:rsidR="004476F1" w:rsidRPr="00FB5D79">
        <w:t>étude propose un certain nombre de mesures se rapportant à des thèmes récurrents tels que la nécessité d</w:t>
      </w:r>
      <w:r w:rsidR="00646944" w:rsidRPr="00FB5D79">
        <w:t>’</w:t>
      </w:r>
      <w:r w:rsidR="004476F1" w:rsidRPr="00FB5D79">
        <w:t>harmoniser les politiqu</w:t>
      </w:r>
      <w:r w:rsidR="00172764" w:rsidRPr="00FB5D79">
        <w:t>es.  El</w:t>
      </w:r>
      <w:r w:rsidR="004476F1" w:rsidRPr="00FB5D79">
        <w:t>le formule aussi des propositions de politiques plus spécifiques, par exemple pour améliorer le transfert de connaissances et créer un environnement propice à l</w:t>
      </w:r>
      <w:r w:rsidR="00646944" w:rsidRPr="00FB5D79">
        <w:t>’</w:t>
      </w:r>
      <w:r w:rsidR="004476F1" w:rsidRPr="00FB5D79">
        <w:t>innovation chez les agriculteurs, tout en favorisant les retombées des activités publiques de recherche</w:t>
      </w:r>
      <w:r w:rsidR="00965F3A">
        <w:t>-</w:t>
      </w:r>
      <w:r w:rsidR="004476F1" w:rsidRPr="00FB5D79">
        <w:t>développement au profit du secteur agroalimentai</w:t>
      </w:r>
      <w:r w:rsidR="00172764" w:rsidRPr="00FB5D79">
        <w:t>re.  L’é</w:t>
      </w:r>
      <w:r w:rsidR="004476F1" w:rsidRPr="00FB5D79">
        <w:t>tude comprend également des suggestions de politiques relatives à la propriété intellectuelle et des propositions sur la manière de fonder et d</w:t>
      </w:r>
      <w:r w:rsidR="00646944" w:rsidRPr="00FB5D79">
        <w:t>’</w:t>
      </w:r>
      <w:r w:rsidR="004476F1" w:rsidRPr="00FB5D79">
        <w:t>entretenir des institutions de propriété intellectuelle plus efficaces en vue d</w:t>
      </w:r>
      <w:r w:rsidR="00646944" w:rsidRPr="00FB5D79">
        <w:t>’</w:t>
      </w:r>
      <w:r w:rsidR="004476F1" w:rsidRPr="00FB5D79">
        <w:t>encourager l</w:t>
      </w:r>
      <w:r w:rsidR="00646944" w:rsidRPr="00FB5D79">
        <w:t>’</w:t>
      </w:r>
      <w:r w:rsidR="004476F1" w:rsidRPr="00FB5D79">
        <w:t>innovation dans le secteur agroalimentaire</w:t>
      </w:r>
      <w:r w:rsidR="00646944" w:rsidRPr="00FB5D79">
        <w:t>”</w:t>
      </w:r>
      <w:r w:rsidRPr="00FB5D79">
        <w:t xml:space="preserve">. </w:t>
      </w:r>
      <w:r w:rsidR="000E4777" w:rsidRPr="00FB5D79">
        <w:t xml:space="preserve"> </w:t>
      </w:r>
      <w:r w:rsidRPr="00FB5D79">
        <w:t>(Voir le résumé de l</w:t>
      </w:r>
      <w:r w:rsidR="00646944" w:rsidRPr="00FB5D79">
        <w:t>’</w:t>
      </w:r>
      <w:r w:rsidR="004F4030" w:rsidRPr="00FB5D79">
        <w:t>étude, CDIP/21/INF/3)</w:t>
      </w:r>
    </w:p>
    <w:p w14:paraId="122C52A8" w14:textId="28BA733E" w:rsidR="00646944" w:rsidRPr="00FB5D79" w:rsidRDefault="00D8459C" w:rsidP="009F022F">
      <w:pPr>
        <w:numPr>
          <w:ilvl w:val="0"/>
          <w:numId w:val="16"/>
        </w:numPr>
        <w:ind w:left="1134" w:hanging="567"/>
        <w:jc w:val="both"/>
      </w:pPr>
      <w:r w:rsidRPr="00FB5D79">
        <w:t>Les résultats de l</w:t>
      </w:r>
      <w:r w:rsidR="00646944" w:rsidRPr="00FB5D79">
        <w:t>’</w:t>
      </w:r>
      <w:r w:rsidRPr="00FB5D79">
        <w:t>étude ont été présentés aux États membres à la</w:t>
      </w:r>
      <w:r w:rsidR="00537011" w:rsidRPr="00FB5D79">
        <w:t xml:space="preserve"> </w:t>
      </w:r>
      <w:r w:rsidRPr="00FB5D79">
        <w:t>vingt</w:t>
      </w:r>
      <w:r w:rsidR="00965F3A">
        <w:t> et unième session</w:t>
      </w:r>
      <w:r w:rsidR="00646944" w:rsidRPr="00FB5D79">
        <w:t xml:space="preserve"> du CDI</w:t>
      </w:r>
      <w:r w:rsidR="00537011" w:rsidRPr="00FB5D79">
        <w:t>P.</w:t>
      </w:r>
    </w:p>
    <w:p w14:paraId="3AD44059" w14:textId="24E577A9" w:rsidR="00537011" w:rsidRPr="00FB5D79" w:rsidRDefault="00537011" w:rsidP="009F022F">
      <w:pPr>
        <w:ind w:left="1134" w:hanging="567"/>
        <w:jc w:val="both"/>
      </w:pPr>
    </w:p>
    <w:p w14:paraId="2DDFB36D" w14:textId="7A09E1A2" w:rsidR="00735A4B" w:rsidRPr="00FB5D79" w:rsidRDefault="00731C32" w:rsidP="00735A4B">
      <w:pPr>
        <w:jc w:val="both"/>
        <w:rPr>
          <w:u w:val="single"/>
        </w:rPr>
      </w:pPr>
      <w:r w:rsidRPr="00FB5D79">
        <w:rPr>
          <w:u w:val="single"/>
        </w:rPr>
        <w:t>Chili</w:t>
      </w:r>
    </w:p>
    <w:p w14:paraId="79F32F51" w14:textId="77777777" w:rsidR="00735A4B" w:rsidRPr="00FB5D79" w:rsidRDefault="00735A4B" w:rsidP="00735A4B">
      <w:pPr>
        <w:jc w:val="both"/>
        <w:rPr>
          <w:u w:val="single"/>
        </w:rPr>
      </w:pPr>
    </w:p>
    <w:p w14:paraId="15E9299B" w14:textId="504531CC" w:rsidR="00537011" w:rsidRPr="00FB5D79" w:rsidRDefault="00444BE8" w:rsidP="009F022F">
      <w:pPr>
        <w:numPr>
          <w:ilvl w:val="0"/>
          <w:numId w:val="31"/>
        </w:numPr>
        <w:ind w:left="1134" w:hanging="567"/>
        <w:jc w:val="both"/>
      </w:pPr>
      <w:r w:rsidRPr="00FB5D79">
        <w:t>Il s</w:t>
      </w:r>
      <w:r w:rsidR="00646944" w:rsidRPr="00FB5D79">
        <w:t>’</w:t>
      </w:r>
      <w:r w:rsidRPr="00FB5D79">
        <w:t>agissait d</w:t>
      </w:r>
      <w:r w:rsidR="00646944" w:rsidRPr="00FB5D79">
        <w:t>’</w:t>
      </w:r>
      <w:r w:rsidRPr="00FB5D79">
        <w:t xml:space="preserve">une étude de </w:t>
      </w:r>
      <w:r w:rsidR="00537011" w:rsidRPr="00FB5D79">
        <w:t xml:space="preserve">suivi </w:t>
      </w:r>
      <w:r w:rsidRPr="00FB5D79">
        <w:t>sur les</w:t>
      </w:r>
      <w:r w:rsidR="00537011" w:rsidRPr="00FB5D79">
        <w:t xml:space="preserve"> résultats de la phase</w:t>
      </w:r>
      <w:r w:rsidR="00C02948" w:rsidRPr="00FB5D79">
        <w:t> </w:t>
      </w:r>
      <w:r w:rsidR="00537011" w:rsidRPr="00FB5D79">
        <w:t>I du projet</w:t>
      </w:r>
      <w:r w:rsidR="00965F3A">
        <w:t>-</w:t>
      </w:r>
      <w:r w:rsidR="00537011" w:rsidRPr="00FB5D79">
        <w:t>cadre (CDIP/5/7).</w:t>
      </w:r>
    </w:p>
    <w:p w14:paraId="45338F79" w14:textId="3249487A" w:rsidR="00646944" w:rsidRPr="00FB5D79" w:rsidRDefault="00537011" w:rsidP="009F022F">
      <w:pPr>
        <w:numPr>
          <w:ilvl w:val="0"/>
          <w:numId w:val="31"/>
        </w:numPr>
        <w:ind w:left="1134" w:hanging="567"/>
        <w:jc w:val="both"/>
      </w:pPr>
      <w:r w:rsidRPr="00FB5D79">
        <w:t>L</w:t>
      </w:r>
      <w:r w:rsidR="00646944" w:rsidRPr="00FB5D79">
        <w:t>’</w:t>
      </w:r>
      <w:r w:rsidRPr="00FB5D79">
        <w:t xml:space="preserve">étude </w:t>
      </w:r>
      <w:r w:rsidR="00444BE8" w:rsidRPr="00FB5D79">
        <w:t>visait à explorer</w:t>
      </w:r>
      <w:r w:rsidRPr="00FB5D79">
        <w:t xml:space="preserve"> les </w:t>
      </w:r>
      <w:r w:rsidR="00444BE8" w:rsidRPr="00FB5D79">
        <w:t>facteurs qui déterminent</w:t>
      </w:r>
      <w:r w:rsidRPr="00FB5D79">
        <w:t xml:space="preserve"> l</w:t>
      </w:r>
      <w:r w:rsidR="00646944" w:rsidRPr="00FB5D79">
        <w:t>’</w:t>
      </w:r>
      <w:r w:rsidRPr="00FB5D79">
        <w:t xml:space="preserve">utilisation de la </w:t>
      </w:r>
      <w:r w:rsidR="007B29DB" w:rsidRPr="00FB5D79">
        <w:t>propriété intellectuelle</w:t>
      </w:r>
      <w:r w:rsidRPr="00FB5D79">
        <w:t xml:space="preserve"> </w:t>
      </w:r>
      <w:r w:rsidR="00444BE8" w:rsidRPr="00FB5D79">
        <w:t>dans</w:t>
      </w:r>
      <w:r w:rsidRPr="00FB5D79">
        <w:t xml:space="preserve"> les entreprises, en s</w:t>
      </w:r>
      <w:r w:rsidR="00646944" w:rsidRPr="00FB5D79">
        <w:t>’</w:t>
      </w:r>
      <w:r w:rsidRPr="00FB5D79">
        <w:t>appuyant sur un ensemble de données d</w:t>
      </w:r>
      <w:r w:rsidR="00646944" w:rsidRPr="00FB5D79">
        <w:t>’</w:t>
      </w:r>
      <w:r w:rsidR="00C02948" w:rsidRPr="00FB5D79">
        <w:t xml:space="preserve">une richesse </w:t>
      </w:r>
      <w:r w:rsidR="00646944" w:rsidRPr="00FB5D79">
        <w:t>“</w:t>
      </w:r>
      <w:r w:rsidRPr="00FB5D79">
        <w:t>unique</w:t>
      </w:r>
      <w:r w:rsidR="00646944" w:rsidRPr="00FB5D79">
        <w:t>”</w:t>
      </w:r>
      <w:r w:rsidRPr="00FB5D79">
        <w:t xml:space="preserve"> sur l</w:t>
      </w:r>
      <w:r w:rsidR="00646944" w:rsidRPr="00FB5D79">
        <w:t>’</w:t>
      </w:r>
      <w:r w:rsidRPr="00FB5D79">
        <w:t xml:space="preserve">utilisation de la </w:t>
      </w:r>
      <w:r w:rsidR="00C02948" w:rsidRPr="00FB5D79">
        <w:t>propriété intellectuelle</w:t>
      </w:r>
      <w:r w:rsidRPr="00FB5D79">
        <w:t xml:space="preserve"> et l</w:t>
      </w:r>
      <w:r w:rsidR="00444BE8" w:rsidRPr="00FB5D79">
        <w:t xml:space="preserve">es résultats </w:t>
      </w:r>
      <w:r w:rsidRPr="00FB5D79">
        <w:t>des entreprises.</w:t>
      </w:r>
    </w:p>
    <w:p w14:paraId="2513416A" w14:textId="745107E9" w:rsidR="00646944" w:rsidRPr="00FB5D79" w:rsidRDefault="00537011" w:rsidP="009F022F">
      <w:pPr>
        <w:numPr>
          <w:ilvl w:val="0"/>
          <w:numId w:val="31"/>
        </w:numPr>
        <w:ind w:left="1134" w:hanging="567"/>
        <w:jc w:val="both"/>
      </w:pPr>
      <w:r w:rsidRPr="00FB5D79">
        <w:t>L</w:t>
      </w:r>
      <w:r w:rsidR="00646944" w:rsidRPr="00FB5D79">
        <w:t>’</w:t>
      </w:r>
      <w:r w:rsidR="00E7035C" w:rsidRPr="00FB5D79">
        <w:t>étude a</w:t>
      </w:r>
      <w:r w:rsidRPr="00FB5D79">
        <w:t xml:space="preserve"> </w:t>
      </w:r>
      <w:r w:rsidR="00E7035C" w:rsidRPr="00FB5D79">
        <w:t>impliqué</w:t>
      </w:r>
      <w:r w:rsidRPr="00FB5D79">
        <w:t xml:space="preserve"> la participation étroite d</w:t>
      </w:r>
      <w:r w:rsidR="00646944" w:rsidRPr="00FB5D79">
        <w:t>’</w:t>
      </w:r>
      <w:r w:rsidRPr="00FB5D79">
        <w:t>organismes nationaux tels que l</w:t>
      </w:r>
      <w:r w:rsidR="00646944" w:rsidRPr="00FB5D79">
        <w:t>’</w:t>
      </w:r>
      <w:r w:rsidRPr="00FB5D79">
        <w:t xml:space="preserve">Institut national de la propriété industrielle </w:t>
      </w:r>
      <w:r w:rsidR="00C02948" w:rsidRPr="00FB5D79">
        <w:t xml:space="preserve">(INAPI) </w:t>
      </w:r>
      <w:r w:rsidRPr="00FB5D79">
        <w:t xml:space="preserve">du Chili </w:t>
      </w:r>
      <w:r w:rsidR="00E7035C" w:rsidRPr="00FB5D79">
        <w:t>ainsi que</w:t>
      </w:r>
      <w:r w:rsidRPr="00FB5D79">
        <w:t xml:space="preserve"> l</w:t>
      </w:r>
      <w:r w:rsidR="00646944" w:rsidRPr="00FB5D79">
        <w:t>’</w:t>
      </w:r>
      <w:r w:rsidRPr="00FB5D79">
        <w:t xml:space="preserve">utilisation de sources de données telles que les données </w:t>
      </w:r>
      <w:r w:rsidR="00444BE8" w:rsidRPr="00FB5D79">
        <w:t>de l</w:t>
      </w:r>
      <w:r w:rsidR="00646944" w:rsidRPr="00FB5D79">
        <w:t>’</w:t>
      </w:r>
      <w:r w:rsidR="00444BE8" w:rsidRPr="00FB5D79">
        <w:t xml:space="preserve">INAPI </w:t>
      </w:r>
      <w:r w:rsidR="007B29DB" w:rsidRPr="00FB5D79">
        <w:t>relatives à la propriété intellectuelle</w:t>
      </w:r>
      <w:r w:rsidRPr="00FB5D79">
        <w:t>, l</w:t>
      </w:r>
      <w:r w:rsidR="00646944" w:rsidRPr="00FB5D79">
        <w:t>’</w:t>
      </w:r>
      <w:r w:rsidRPr="00FB5D79">
        <w:t xml:space="preserve">Enquête </w:t>
      </w:r>
      <w:r w:rsidR="00444BE8" w:rsidRPr="00FB5D79">
        <w:t>de recensement industriel</w:t>
      </w:r>
      <w:r w:rsidRPr="00FB5D79">
        <w:t xml:space="preserve"> (ENIA) et l</w:t>
      </w:r>
      <w:r w:rsidR="00646944" w:rsidRPr="00FB5D79">
        <w:t>’</w:t>
      </w:r>
      <w:r w:rsidRPr="00FB5D79">
        <w:t>Enquête sur l</w:t>
      </w:r>
      <w:r w:rsidR="00646944" w:rsidRPr="00FB5D79">
        <w:t>’</w:t>
      </w:r>
      <w:r w:rsidRPr="00FB5D79">
        <w:t>innovation (INNOVACION).</w:t>
      </w:r>
    </w:p>
    <w:p w14:paraId="1F6938B4" w14:textId="267D8045" w:rsidR="00537011" w:rsidRPr="00FB5D79" w:rsidRDefault="00537011" w:rsidP="009F022F">
      <w:pPr>
        <w:numPr>
          <w:ilvl w:val="0"/>
          <w:numId w:val="31"/>
        </w:numPr>
        <w:ind w:left="1134" w:hanging="567"/>
        <w:jc w:val="both"/>
      </w:pPr>
      <w:r w:rsidRPr="00FB5D79">
        <w:t>L</w:t>
      </w:r>
      <w:r w:rsidR="00646944" w:rsidRPr="00FB5D79">
        <w:t>’</w:t>
      </w:r>
      <w:r w:rsidRPr="00FB5D79">
        <w:t xml:space="preserve">une des conclusions </w:t>
      </w:r>
      <w:r w:rsidR="00E7035C" w:rsidRPr="00FB5D79">
        <w:t xml:space="preserve">a été que </w:t>
      </w:r>
      <w:r w:rsidRPr="00FB5D79">
        <w:t>l</w:t>
      </w:r>
      <w:r w:rsidR="00646944" w:rsidRPr="00FB5D79">
        <w:t>’</w:t>
      </w:r>
      <w:r w:rsidR="007B29DB" w:rsidRPr="00FB5D79">
        <w:t xml:space="preserve">étude </w:t>
      </w:r>
      <w:r w:rsidR="00646944" w:rsidRPr="00FB5D79">
        <w:t>“</w:t>
      </w:r>
      <w:r w:rsidR="00290441" w:rsidRPr="00FB5D79">
        <w:t>a démontré que les entreprises en plein essor jugent utile de protéger leurs actifs immatériels au moyen du système de la propriété intellectuel</w:t>
      </w:r>
      <w:r w:rsidR="00172764" w:rsidRPr="00FB5D79">
        <w:t>le.  Ce</w:t>
      </w:r>
      <w:r w:rsidR="00290441" w:rsidRPr="00FB5D79">
        <w:t>pendant, les données utilisées dans l</w:t>
      </w:r>
      <w:r w:rsidR="00646944" w:rsidRPr="00FB5D79">
        <w:t>’</w:t>
      </w:r>
      <w:r w:rsidR="00290441" w:rsidRPr="00FB5D79">
        <w:t>étude n</w:t>
      </w:r>
      <w:r w:rsidR="00646944" w:rsidRPr="00FB5D79">
        <w:t>’</w:t>
      </w:r>
      <w:r w:rsidR="00290441" w:rsidRPr="00FB5D79">
        <w:t>ont pas permis de déterminer précisément dans quelle mesure les nouvelles stratégies en matière de propriété intellectuelle étaient adaptées aux modèles commerciaux des entreprises et si ces stratégies étaient liées aux spécificités de chaque produit, technologies ou secteur d</w:t>
      </w:r>
      <w:r w:rsidR="00646944" w:rsidRPr="00FB5D79">
        <w:t>’</w:t>
      </w:r>
      <w:r w:rsidR="00290441" w:rsidRPr="00FB5D79">
        <w:t>activi</w:t>
      </w:r>
      <w:r w:rsidR="00172764" w:rsidRPr="00FB5D79">
        <w:t>té.  Un</w:t>
      </w:r>
      <w:r w:rsidR="00290441" w:rsidRPr="00FB5D79">
        <w:t>e étude plus poussée de ces questions permettrait de mieux comprendre quels sont les facteurs qui incitent les entreprises à utiliser la propriété intellectuelle et les incidences de cette utilisation pour les entreprises dans les pays à revenu intermédiaire</w:t>
      </w:r>
      <w:r w:rsidR="007B29DB" w:rsidRPr="00FB5D79">
        <w:t>.</w:t>
      </w:r>
      <w:r w:rsidR="00646944" w:rsidRPr="00FB5D79">
        <w:t>”</w:t>
      </w:r>
      <w:r w:rsidRPr="00FB5D79">
        <w:t xml:space="preserve"> (Voir le résumé de l</w:t>
      </w:r>
      <w:r w:rsidR="00646944" w:rsidRPr="00FB5D79">
        <w:t>’</w:t>
      </w:r>
      <w:r w:rsidR="004F4030" w:rsidRPr="00FB5D79">
        <w:t>étude, CDIP/21/INF/4)</w:t>
      </w:r>
    </w:p>
    <w:p w14:paraId="06ADC9A0" w14:textId="27CC5759" w:rsidR="00646944" w:rsidRPr="00FB5D79" w:rsidRDefault="00D8459C" w:rsidP="009F022F">
      <w:pPr>
        <w:numPr>
          <w:ilvl w:val="0"/>
          <w:numId w:val="31"/>
        </w:numPr>
        <w:ind w:left="1134" w:hanging="567"/>
        <w:jc w:val="both"/>
      </w:pPr>
      <w:r w:rsidRPr="00FB5D79">
        <w:t>Les résultats de l</w:t>
      </w:r>
      <w:r w:rsidR="00646944" w:rsidRPr="00FB5D79">
        <w:t>’</w:t>
      </w:r>
      <w:r w:rsidRPr="00FB5D79">
        <w:t>étude ont été présentés à la vingt</w:t>
      </w:r>
      <w:r w:rsidR="00965F3A">
        <w:t> et unième session</w:t>
      </w:r>
      <w:r w:rsidR="00646944" w:rsidRPr="00FB5D79">
        <w:t xml:space="preserve"> du CDI</w:t>
      </w:r>
      <w:r w:rsidRPr="00FB5D79">
        <w:t>P</w:t>
      </w:r>
      <w:r w:rsidR="00537011" w:rsidRPr="00FB5D79">
        <w:t>.</w:t>
      </w:r>
    </w:p>
    <w:p w14:paraId="42179B92" w14:textId="6EC13F7E" w:rsidR="00537011" w:rsidRPr="00FB5D79" w:rsidRDefault="00537011" w:rsidP="00537011">
      <w:pPr>
        <w:jc w:val="both"/>
      </w:pPr>
    </w:p>
    <w:p w14:paraId="3BA56A2D" w14:textId="7509D3B0" w:rsidR="00735A4B" w:rsidRPr="00FB5D79" w:rsidRDefault="00731C32" w:rsidP="00735A4B">
      <w:pPr>
        <w:jc w:val="both"/>
        <w:rPr>
          <w:u w:val="single"/>
        </w:rPr>
      </w:pPr>
      <w:r w:rsidRPr="00FB5D79">
        <w:rPr>
          <w:u w:val="single"/>
        </w:rPr>
        <w:t>Amérique centrale et République dominicaine</w:t>
      </w:r>
    </w:p>
    <w:p w14:paraId="53E710AB" w14:textId="77777777" w:rsidR="00735A4B" w:rsidRPr="00FB5D79" w:rsidRDefault="00735A4B" w:rsidP="00735A4B">
      <w:pPr>
        <w:jc w:val="both"/>
        <w:rPr>
          <w:u w:val="single"/>
        </w:rPr>
      </w:pPr>
    </w:p>
    <w:p w14:paraId="61DA0EFE" w14:textId="1642C8BA" w:rsidR="00537011" w:rsidRPr="00FB5D79" w:rsidRDefault="00537011" w:rsidP="009F022F">
      <w:pPr>
        <w:numPr>
          <w:ilvl w:val="0"/>
          <w:numId w:val="19"/>
        </w:numPr>
        <w:ind w:left="1134" w:hanging="567"/>
        <w:jc w:val="both"/>
      </w:pPr>
      <w:r w:rsidRPr="00FB5D79">
        <w:t>L</w:t>
      </w:r>
      <w:r w:rsidR="00646944" w:rsidRPr="00FB5D79">
        <w:t>’</w:t>
      </w:r>
      <w:r w:rsidRPr="00FB5D79">
        <w:t xml:space="preserve">étude </w:t>
      </w:r>
      <w:r w:rsidR="00ED1398" w:rsidRPr="00FB5D79">
        <w:t>portait sur</w:t>
      </w:r>
      <w:r w:rsidRPr="00FB5D79">
        <w:t xml:space="preserve"> </w:t>
      </w:r>
      <w:r w:rsidR="00ED1398" w:rsidRPr="00FB5D79">
        <w:t xml:space="preserve">les relations </w:t>
      </w:r>
      <w:r w:rsidRPr="00FB5D79">
        <w:t>entre l</w:t>
      </w:r>
      <w:r w:rsidR="00646944" w:rsidRPr="00FB5D79">
        <w:t>’</w:t>
      </w:r>
      <w:r w:rsidRPr="00FB5D79">
        <w:t xml:space="preserve">utilisation de la </w:t>
      </w:r>
      <w:r w:rsidR="00ED1398" w:rsidRPr="00FB5D79">
        <w:t>propriété intellectuelle</w:t>
      </w:r>
      <w:r w:rsidRPr="00FB5D79">
        <w:t xml:space="preserve"> et les flux commerciaux dans la zone économique régiona</w:t>
      </w:r>
      <w:r w:rsidR="00172764" w:rsidRPr="00FB5D79">
        <w:t>le.  Da</w:t>
      </w:r>
      <w:r w:rsidRPr="00FB5D79">
        <w:t>ns le cadre de la mise en œuvre de l</w:t>
      </w:r>
      <w:r w:rsidR="00646944" w:rsidRPr="00FB5D79">
        <w:t>’</w:t>
      </w:r>
      <w:r w:rsidRPr="00FB5D79">
        <w:t xml:space="preserve">étude, un atelier technique </w:t>
      </w:r>
      <w:r w:rsidR="00ED1398" w:rsidRPr="00FB5D79">
        <w:t>réunissant les</w:t>
      </w:r>
      <w:r w:rsidRPr="00FB5D79">
        <w:t xml:space="preserve"> </w:t>
      </w:r>
      <w:r w:rsidR="00ED1398" w:rsidRPr="00FB5D79">
        <w:t>représentants</w:t>
      </w:r>
      <w:r w:rsidRPr="00FB5D79">
        <w:t xml:space="preserve"> des pays </w:t>
      </w:r>
      <w:r w:rsidRPr="00FB5D79">
        <w:lastRenderedPageBreak/>
        <w:t>participants s</w:t>
      </w:r>
      <w:r w:rsidR="00646944" w:rsidRPr="00FB5D79">
        <w:t>’</w:t>
      </w:r>
      <w:r w:rsidRPr="00FB5D79">
        <w:t>est tenu à El</w:t>
      </w:r>
      <w:r w:rsidR="000E4777" w:rsidRPr="00FB5D79">
        <w:t> </w:t>
      </w:r>
      <w:r w:rsidRPr="00FB5D79">
        <w:t>Salvador en avril</w:t>
      </w:r>
      <w:r w:rsidR="00ED1398" w:rsidRPr="00FB5D79">
        <w:t> </w:t>
      </w:r>
      <w:r w:rsidRPr="00FB5D79">
        <w:t xml:space="preserve">2017.  </w:t>
      </w:r>
      <w:r w:rsidR="00ED1398" w:rsidRPr="00FB5D79">
        <w:t>Cet atelier</w:t>
      </w:r>
      <w:r w:rsidRPr="00FB5D79">
        <w:t xml:space="preserve"> a été</w:t>
      </w:r>
      <w:r w:rsidR="00ED1398" w:rsidRPr="00FB5D79">
        <w:t xml:space="preserve"> suivi </w:t>
      </w:r>
      <w:r w:rsidRPr="00FB5D79">
        <w:t>de deux</w:t>
      </w:r>
      <w:r w:rsidR="000E4777" w:rsidRPr="00FB5D79">
        <w:t> </w:t>
      </w:r>
      <w:r w:rsidR="00ED1398" w:rsidRPr="00FB5D79">
        <w:t>séances</w:t>
      </w:r>
      <w:r w:rsidRPr="00FB5D79">
        <w:t xml:space="preserve"> de discussions techniques.</w:t>
      </w:r>
    </w:p>
    <w:p w14:paraId="6C474C41" w14:textId="4E9032E1" w:rsidR="00646944" w:rsidRPr="00FB5D79" w:rsidRDefault="00ED1398" w:rsidP="009F022F">
      <w:pPr>
        <w:numPr>
          <w:ilvl w:val="0"/>
          <w:numId w:val="19"/>
        </w:numPr>
        <w:ind w:left="1134" w:hanging="567"/>
        <w:jc w:val="both"/>
      </w:pPr>
      <w:r w:rsidRPr="00FB5D79">
        <w:t>En juillet </w:t>
      </w:r>
      <w:r w:rsidR="00537011" w:rsidRPr="00FB5D79">
        <w:t>2017, l</w:t>
      </w:r>
      <w:r w:rsidR="00646944" w:rsidRPr="00FB5D79">
        <w:t>’</w:t>
      </w:r>
      <w:r w:rsidR="00537011" w:rsidRPr="00FB5D79">
        <w:t xml:space="preserve">étude a été présentée </w:t>
      </w:r>
      <w:r w:rsidR="00A43BAD" w:rsidRPr="00FB5D79">
        <w:t>à l</w:t>
      </w:r>
      <w:r w:rsidR="00646944" w:rsidRPr="00FB5D79">
        <w:t>’</w:t>
      </w:r>
      <w:r w:rsidR="00A43BAD" w:rsidRPr="00FB5D79">
        <w:t>occasion</w:t>
      </w:r>
      <w:r w:rsidR="00537011" w:rsidRPr="00FB5D79">
        <w:t xml:space="preserve"> d</w:t>
      </w:r>
      <w:r w:rsidR="00646944" w:rsidRPr="00FB5D79">
        <w:t>’</w:t>
      </w:r>
      <w:r w:rsidR="00537011" w:rsidRPr="00FB5D79">
        <w:t xml:space="preserve">une réunion technique </w:t>
      </w:r>
      <w:r w:rsidR="00A43BAD" w:rsidRPr="00FB5D79">
        <w:t>de préparation de</w:t>
      </w:r>
      <w:r w:rsidR="00537011" w:rsidRPr="00FB5D79">
        <w:t xml:space="preserve"> la cinquième</w:t>
      </w:r>
      <w:r w:rsidR="003C515D" w:rsidRPr="00FB5D79">
        <w:t> </w:t>
      </w:r>
      <w:r w:rsidR="00A43BAD" w:rsidRPr="00FB5D79">
        <w:t>conférence</w:t>
      </w:r>
      <w:r w:rsidR="00537011" w:rsidRPr="00FB5D79">
        <w:t xml:space="preserve"> ministérielle </w:t>
      </w:r>
      <w:r w:rsidR="00A43BAD" w:rsidRPr="00FB5D79">
        <w:t>d</w:t>
      </w:r>
      <w:r w:rsidR="00646944" w:rsidRPr="00FB5D79">
        <w:t>’</w:t>
      </w:r>
      <w:r w:rsidR="00A43BAD" w:rsidRPr="00FB5D79">
        <w:t>Amérique centrale</w:t>
      </w:r>
      <w:r w:rsidR="00537011" w:rsidRPr="00FB5D79">
        <w:t xml:space="preserve"> sur la propriété intellectuelle qui s</w:t>
      </w:r>
      <w:r w:rsidR="00646944" w:rsidRPr="00FB5D79">
        <w:t>’</w:t>
      </w:r>
      <w:r w:rsidRPr="00FB5D79">
        <w:t>est tenue à Panama en juillet </w:t>
      </w:r>
      <w:r w:rsidR="00537011" w:rsidRPr="00FB5D79">
        <w:t xml:space="preserve">2017.  Un résumé </w:t>
      </w:r>
      <w:r w:rsidR="00A43BAD" w:rsidRPr="00FB5D79">
        <w:t xml:space="preserve">succinct </w:t>
      </w:r>
      <w:r w:rsidR="00537011" w:rsidRPr="00FB5D79">
        <w:t>a été présenté aux ministres.</w:t>
      </w:r>
    </w:p>
    <w:p w14:paraId="50C84853" w14:textId="15C6C2D7" w:rsidR="00537011" w:rsidRPr="00FB5D79" w:rsidRDefault="00537011" w:rsidP="009F022F">
      <w:pPr>
        <w:numPr>
          <w:ilvl w:val="0"/>
          <w:numId w:val="19"/>
        </w:numPr>
        <w:ind w:left="1134" w:hanging="567"/>
        <w:jc w:val="both"/>
      </w:pPr>
      <w:r w:rsidRPr="00FB5D79">
        <w:t>Comme le souligne l</w:t>
      </w:r>
      <w:r w:rsidR="00646944" w:rsidRPr="00FB5D79">
        <w:t>’</w:t>
      </w:r>
      <w:r w:rsidRPr="00FB5D79">
        <w:t xml:space="preserve">étude, </w:t>
      </w:r>
      <w:r w:rsidR="00A43BAD" w:rsidRPr="00FB5D79">
        <w:t>l</w:t>
      </w:r>
      <w:r w:rsidR="00646944" w:rsidRPr="00FB5D79">
        <w:t>’</w:t>
      </w:r>
      <w:r w:rsidR="00A43BAD" w:rsidRPr="00FB5D79">
        <w:t>un des enseignements tirés de l</w:t>
      </w:r>
      <w:r w:rsidR="00646944" w:rsidRPr="00FB5D79">
        <w:t>’</w:t>
      </w:r>
      <w:r w:rsidR="00A43BAD" w:rsidRPr="00FB5D79">
        <w:t>expérience a été le suivant</w:t>
      </w:r>
      <w:r w:rsidR="00965F3A">
        <w:t> :</w:t>
      </w:r>
      <w:r w:rsidR="00ED1398" w:rsidRPr="00FB5D79">
        <w:t xml:space="preserve"> </w:t>
      </w:r>
      <w:r w:rsidR="00646944" w:rsidRPr="00FB5D79">
        <w:t>“</w:t>
      </w:r>
      <w:r w:rsidR="00ED1398" w:rsidRPr="00FB5D79">
        <w:t>Lors de la création d</w:t>
      </w:r>
      <w:r w:rsidR="00646944" w:rsidRPr="00FB5D79">
        <w:t>’</w:t>
      </w:r>
      <w:r w:rsidR="00ED1398" w:rsidRPr="00FB5D79">
        <w:t>une base de données complète sur la propriété intellectuelle et les flux commerciaux, à des fins statistiques, la Division de l</w:t>
      </w:r>
      <w:r w:rsidR="00646944" w:rsidRPr="00FB5D79">
        <w:t>’</w:t>
      </w:r>
      <w:r w:rsidR="00ED1398" w:rsidRPr="00FB5D79">
        <w:t>économie et des statistiques a dû faire face à deux</w:t>
      </w:r>
      <w:r w:rsidR="000E4777" w:rsidRPr="00FB5D79">
        <w:t> </w:t>
      </w:r>
      <w:r w:rsidR="00ED1398" w:rsidRPr="00FB5D79">
        <w:t>défis majeu</w:t>
      </w:r>
      <w:r w:rsidR="00172764" w:rsidRPr="00FB5D79">
        <w:t>rs.  Le</w:t>
      </w:r>
      <w:r w:rsidR="00ED1398" w:rsidRPr="00FB5D79">
        <w:t xml:space="preserve"> premier concernait la couverture détaillée des échanges bilatéra</w:t>
      </w:r>
      <w:r w:rsidR="00172764" w:rsidRPr="00FB5D79">
        <w:t>ux.  S’i</w:t>
      </w:r>
      <w:r w:rsidR="00ED1398" w:rsidRPr="00FB5D79">
        <w:t>l existe suffisamment de données sur les flux de biens commercialisés, rares sont en revanche les données disponibles sur le commerce des servic</w:t>
      </w:r>
      <w:r w:rsidR="00172764" w:rsidRPr="00FB5D79">
        <w:t>es.  Le</w:t>
      </w:r>
      <w:r w:rsidR="00ED1398" w:rsidRPr="00FB5D79">
        <w:t xml:space="preserve"> second défi portait sur les différentes situations en matière de collecte de données sur la propriété intellectuelle observées dans l</w:t>
      </w:r>
      <w:r w:rsidR="00646944" w:rsidRPr="00FB5D79">
        <w:t>’</w:t>
      </w:r>
      <w:r w:rsidR="00ED1398" w:rsidRPr="00FB5D79">
        <w:t>ensemble des offices nationaux de propriété intellectuel</w:t>
      </w:r>
      <w:r w:rsidR="00172764" w:rsidRPr="00FB5D79">
        <w:t>le.  La</w:t>
      </w:r>
      <w:r w:rsidR="00ED1398" w:rsidRPr="00FB5D79">
        <w:t xml:space="preserve"> structure et l</w:t>
      </w:r>
      <w:r w:rsidR="00646944" w:rsidRPr="00FB5D79">
        <w:t>’</w:t>
      </w:r>
      <w:r w:rsidR="00ED1398" w:rsidRPr="00FB5D79">
        <w:t>exhaustivité des données varient, mettant en évidence des différences en termes de procédures et d</w:t>
      </w:r>
      <w:r w:rsidR="00646944" w:rsidRPr="00FB5D79">
        <w:t>’</w:t>
      </w:r>
      <w:r w:rsidR="00ED1398" w:rsidRPr="00FB5D79">
        <w:t>infrastructur</w:t>
      </w:r>
      <w:r w:rsidR="00172764" w:rsidRPr="00FB5D79">
        <w:t>es.  On</w:t>
      </w:r>
      <w:r w:rsidR="00ED1398" w:rsidRPr="00FB5D79">
        <w:t xml:space="preserve"> a cependant constaté une plus grande harmonie entre les pays pour ce qui est de la collecte de données sur les marques ainsi que, dans une moindre mesure, sur les brevets, sur les dessins et modèles industriels et, pour finir, sur les modèles d</w:t>
      </w:r>
      <w:r w:rsidR="00646944" w:rsidRPr="00FB5D79">
        <w:t>’</w:t>
      </w:r>
      <w:r w:rsidR="00ED1398" w:rsidRPr="00FB5D79">
        <w:t>utili</w:t>
      </w:r>
      <w:r w:rsidR="00172764" w:rsidRPr="00FB5D79">
        <w:t>té.  C’e</w:t>
      </w:r>
      <w:r w:rsidR="00ED1398" w:rsidRPr="00FB5D79">
        <w:t>st dans le domaine des enregistrements de droit d</w:t>
      </w:r>
      <w:r w:rsidR="00646944" w:rsidRPr="00FB5D79">
        <w:t>’</w:t>
      </w:r>
      <w:r w:rsidR="00ED1398" w:rsidRPr="00FB5D79">
        <w:t>auteur que l</w:t>
      </w:r>
      <w:r w:rsidR="00646944" w:rsidRPr="00FB5D79">
        <w:t>’</w:t>
      </w:r>
      <w:r w:rsidR="00ED1398" w:rsidRPr="00FB5D79">
        <w:t>on a observé le plus de divergences en matière de collecte, que l</w:t>
      </w:r>
      <w:r w:rsidR="00646944" w:rsidRPr="00FB5D79">
        <w:t>’</w:t>
      </w:r>
      <w:r w:rsidR="00ED1398" w:rsidRPr="00FB5D79">
        <w:t>on disposait de moins de données, et que les structures de données différaient le pl</w:t>
      </w:r>
      <w:r w:rsidR="00172764" w:rsidRPr="00FB5D79">
        <w:t>us.  Si</w:t>
      </w:r>
      <w:r w:rsidR="00ED1398" w:rsidRPr="00FB5D79">
        <w:t xml:space="preserve"> les différences dans la structure des données ont ralenti le traitement et l</w:t>
      </w:r>
      <w:r w:rsidR="00646944" w:rsidRPr="00FB5D79">
        <w:t>’</w:t>
      </w:r>
      <w:r w:rsidR="00ED1398" w:rsidRPr="00FB5D79">
        <w:t>harmonisation des données, au bout du compte, les obstacles d</w:t>
      </w:r>
      <w:r w:rsidR="00646944" w:rsidRPr="00FB5D79">
        <w:t>’</w:t>
      </w:r>
      <w:r w:rsidR="00ED1398" w:rsidRPr="00FB5D79">
        <w:t>ordre technique ont toutefois pu être surmontés.</w:t>
      </w:r>
      <w:r w:rsidR="00646944" w:rsidRPr="00FB5D79">
        <w:t>”</w:t>
      </w:r>
      <w:r w:rsidRPr="00FB5D79">
        <w:t xml:space="preserve"> (Voir le résumé de l</w:t>
      </w:r>
      <w:r w:rsidR="00646944" w:rsidRPr="00FB5D79">
        <w:t>’</w:t>
      </w:r>
      <w:r w:rsidR="004F4030" w:rsidRPr="00FB5D79">
        <w:t>étude, document</w:t>
      </w:r>
      <w:r w:rsidR="00EB4E6B" w:rsidRPr="00FB5D79">
        <w:t> </w:t>
      </w:r>
      <w:r w:rsidR="004F4030" w:rsidRPr="00FB5D79">
        <w:t>CDIP/20/INF/3)</w:t>
      </w:r>
    </w:p>
    <w:p w14:paraId="2FBF2806" w14:textId="5B650887" w:rsidR="00735A4B" w:rsidRPr="00FB5D79" w:rsidRDefault="00D8459C" w:rsidP="009F022F">
      <w:pPr>
        <w:numPr>
          <w:ilvl w:val="0"/>
          <w:numId w:val="19"/>
        </w:numPr>
        <w:ind w:left="1134" w:hanging="567"/>
        <w:jc w:val="both"/>
      </w:pPr>
      <w:r w:rsidRPr="00FB5D79">
        <w:t>Les résultats de l</w:t>
      </w:r>
      <w:r w:rsidR="00646944" w:rsidRPr="00FB5D79">
        <w:t>’</w:t>
      </w:r>
      <w:r w:rsidRPr="00FB5D79">
        <w:t>étude ont été présentés aux États membres à la vingt</w:t>
      </w:r>
      <w:r w:rsidR="00965F3A">
        <w:t>ième session</w:t>
      </w:r>
      <w:r w:rsidR="00646944" w:rsidRPr="00FB5D79">
        <w:t xml:space="preserve"> du CDI</w:t>
      </w:r>
      <w:r w:rsidRPr="00FB5D79">
        <w:t>P</w:t>
      </w:r>
      <w:r w:rsidR="0015417F" w:rsidRPr="00FB5D79">
        <w:t>.</w:t>
      </w:r>
    </w:p>
    <w:p w14:paraId="536F4253" w14:textId="77777777" w:rsidR="00735A4B" w:rsidRPr="00FB5D79" w:rsidRDefault="00735A4B" w:rsidP="00735A4B">
      <w:pPr>
        <w:jc w:val="both"/>
      </w:pPr>
    </w:p>
    <w:p w14:paraId="2F9AA34F" w14:textId="4452E623" w:rsidR="00646944" w:rsidRPr="00FB5D79" w:rsidRDefault="00735A4B" w:rsidP="00735A4B">
      <w:pPr>
        <w:jc w:val="both"/>
        <w:rPr>
          <w:u w:val="single"/>
        </w:rPr>
      </w:pPr>
      <w:r w:rsidRPr="00FB5D79">
        <w:rPr>
          <w:u w:val="single"/>
        </w:rPr>
        <w:t>ASEAN</w:t>
      </w:r>
      <w:r w:rsidR="00646944" w:rsidRPr="00FB5D79">
        <w:t>:</w:t>
      </w:r>
    </w:p>
    <w:p w14:paraId="18335A1D" w14:textId="67652DCB" w:rsidR="00735A4B" w:rsidRPr="00FB5D79" w:rsidRDefault="00735A4B" w:rsidP="00735A4B">
      <w:pPr>
        <w:jc w:val="both"/>
        <w:rPr>
          <w:u w:val="single"/>
        </w:rPr>
      </w:pPr>
    </w:p>
    <w:p w14:paraId="6217BD02" w14:textId="47BB52B2" w:rsidR="00537011" w:rsidRPr="00FB5D79" w:rsidRDefault="00537011" w:rsidP="009F022F">
      <w:pPr>
        <w:numPr>
          <w:ilvl w:val="0"/>
          <w:numId w:val="20"/>
        </w:numPr>
        <w:ind w:left="1134" w:hanging="567"/>
        <w:jc w:val="both"/>
      </w:pPr>
      <w:r w:rsidRPr="00FB5D79">
        <w:t>L</w:t>
      </w:r>
      <w:r w:rsidR="00646944" w:rsidRPr="00FB5D79">
        <w:t>’</w:t>
      </w:r>
      <w:r w:rsidRPr="00FB5D79">
        <w:t xml:space="preserve">étude </w:t>
      </w:r>
      <w:r w:rsidR="0076277B" w:rsidRPr="00FB5D79">
        <w:t xml:space="preserve">visait à cerner </w:t>
      </w:r>
      <w:r w:rsidRPr="00FB5D79">
        <w:t>l</w:t>
      </w:r>
      <w:r w:rsidR="00646944" w:rsidRPr="00FB5D79">
        <w:t>’</w:t>
      </w:r>
      <w:r w:rsidRPr="00FB5D79">
        <w:t>utilisation des dessins et modèles industriels dans trois</w:t>
      </w:r>
      <w:r w:rsidR="000E4777" w:rsidRPr="00FB5D79">
        <w:t> </w:t>
      </w:r>
      <w:r w:rsidRPr="00FB5D79">
        <w:t>pays de la région de l</w:t>
      </w:r>
      <w:r w:rsidR="00646944" w:rsidRPr="00FB5D79">
        <w:t>’</w:t>
      </w:r>
      <w:r w:rsidR="0076277B" w:rsidRPr="00FB5D79">
        <w:t>ASEAN</w:t>
      </w:r>
      <w:r w:rsidRPr="00FB5D79">
        <w:t xml:space="preserve">, </w:t>
      </w:r>
      <w:r w:rsidR="00965F3A">
        <w:t>à savoir</w:t>
      </w:r>
      <w:r w:rsidRPr="00FB5D79">
        <w:t xml:space="preserve"> l</w:t>
      </w:r>
      <w:r w:rsidR="00646944" w:rsidRPr="00FB5D79">
        <w:t>’</w:t>
      </w:r>
      <w:r w:rsidRPr="00FB5D79">
        <w:t>Indonésie, les Philippines et la Thaïlande.</w:t>
      </w:r>
    </w:p>
    <w:p w14:paraId="43BAEEF6" w14:textId="3F4BDDAA" w:rsidR="00537011" w:rsidRPr="00FB5D79" w:rsidRDefault="00537011" w:rsidP="009F022F">
      <w:pPr>
        <w:numPr>
          <w:ilvl w:val="0"/>
          <w:numId w:val="20"/>
        </w:numPr>
        <w:ind w:left="1134" w:hanging="567"/>
        <w:jc w:val="both"/>
      </w:pPr>
      <w:r w:rsidRPr="00FB5D79">
        <w:t>L</w:t>
      </w:r>
      <w:r w:rsidR="00646944" w:rsidRPr="00FB5D79">
        <w:t>’</w:t>
      </w:r>
      <w:r w:rsidRPr="00FB5D79">
        <w:t xml:space="preserve">étude </w:t>
      </w:r>
      <w:r w:rsidR="0076277B" w:rsidRPr="00FB5D79">
        <w:t>était composée d</w:t>
      </w:r>
      <w:r w:rsidR="00646944" w:rsidRPr="00FB5D79">
        <w:t>’</w:t>
      </w:r>
      <w:r w:rsidRPr="00FB5D79">
        <w:t xml:space="preserve">une enquête à grande échelle </w:t>
      </w:r>
      <w:r w:rsidR="0076277B" w:rsidRPr="00FB5D79">
        <w:t>sur les</w:t>
      </w:r>
      <w:r w:rsidRPr="00FB5D79">
        <w:t xml:space="preserve"> </w:t>
      </w:r>
      <w:r w:rsidR="00423AED" w:rsidRPr="00FB5D79">
        <w:t>déposants</w:t>
      </w:r>
      <w:r w:rsidRPr="00FB5D79">
        <w:t xml:space="preserve"> </w:t>
      </w:r>
      <w:r w:rsidR="0076277B" w:rsidRPr="00FB5D79">
        <w:t>de dessins et modèles industriels</w:t>
      </w:r>
      <w:r w:rsidRPr="00FB5D79">
        <w:t xml:space="preserve"> </w:t>
      </w:r>
      <w:r w:rsidR="0076277B" w:rsidRPr="00FB5D79">
        <w:t>locaux</w:t>
      </w:r>
      <w:r w:rsidRPr="00FB5D79">
        <w:t xml:space="preserve"> dans </w:t>
      </w:r>
      <w:r w:rsidR="0076277B" w:rsidRPr="00FB5D79">
        <w:t>chacun de ces trois</w:t>
      </w:r>
      <w:r w:rsidR="000E4777" w:rsidRPr="00FB5D79">
        <w:t> </w:t>
      </w:r>
      <w:r w:rsidR="0076277B" w:rsidRPr="00FB5D79">
        <w:t>pa</w:t>
      </w:r>
      <w:r w:rsidR="00172764" w:rsidRPr="00FB5D79">
        <w:t>ys.  L’o</w:t>
      </w:r>
      <w:r w:rsidRPr="00FB5D79">
        <w:t>bjectif de l</w:t>
      </w:r>
      <w:r w:rsidR="00646944" w:rsidRPr="00FB5D79">
        <w:t>’</w:t>
      </w:r>
      <w:r w:rsidRPr="00FB5D79">
        <w:t xml:space="preserve">enquête était </w:t>
      </w:r>
      <w:r w:rsidR="0076277B" w:rsidRPr="00FB5D79">
        <w:t>d</w:t>
      </w:r>
      <w:r w:rsidR="00646944" w:rsidRPr="00FB5D79">
        <w:t>’</w:t>
      </w:r>
      <w:r w:rsidR="0076277B" w:rsidRPr="00FB5D79">
        <w:t>identifier</w:t>
      </w:r>
      <w:r w:rsidRPr="00FB5D79">
        <w:t xml:space="preserve"> qui étaient les utilisateurs de </w:t>
      </w:r>
      <w:r w:rsidR="0076277B" w:rsidRPr="00FB5D79">
        <w:t xml:space="preserve">dessins et modèles industriels </w:t>
      </w:r>
      <w:r w:rsidRPr="00FB5D79">
        <w:t xml:space="preserve">dans </w:t>
      </w:r>
      <w:r w:rsidR="0076277B" w:rsidRPr="00FB5D79">
        <w:t>ces</w:t>
      </w:r>
      <w:r w:rsidRPr="00FB5D79">
        <w:t xml:space="preserve"> pays, de </w:t>
      </w:r>
      <w:r w:rsidR="0076277B" w:rsidRPr="00FB5D79">
        <w:t>savoir</w:t>
      </w:r>
      <w:r w:rsidRPr="00FB5D79">
        <w:t xml:space="preserve"> comment </w:t>
      </w:r>
      <w:r w:rsidR="0076277B" w:rsidRPr="00FB5D79">
        <w:t>les utilisateurs en question</w:t>
      </w:r>
      <w:r w:rsidRPr="00FB5D79">
        <w:t xml:space="preserve"> utilisaient leurs dessins ou modèles protégés et de </w:t>
      </w:r>
      <w:r w:rsidR="0076277B" w:rsidRPr="00FB5D79">
        <w:t>faire le lien avec</w:t>
      </w:r>
      <w:r w:rsidRPr="00FB5D79">
        <w:t xml:space="preserve"> la valeur du dessin ou modè</w:t>
      </w:r>
      <w:r w:rsidR="00172764" w:rsidRPr="00FB5D79">
        <w:t>le.  L’e</w:t>
      </w:r>
      <w:r w:rsidRPr="00FB5D79">
        <w:t xml:space="preserve">nquête </w:t>
      </w:r>
      <w:r w:rsidR="0076277B" w:rsidRPr="00FB5D79">
        <w:t>comprenait également des</w:t>
      </w:r>
      <w:r w:rsidRPr="00FB5D79">
        <w:t xml:space="preserve"> questions sur la facilité avec laquelle il </w:t>
      </w:r>
      <w:r w:rsidR="0076277B" w:rsidRPr="00FB5D79">
        <w:t>était</w:t>
      </w:r>
      <w:r w:rsidRPr="00FB5D79">
        <w:t xml:space="preserve"> possible de déposer</w:t>
      </w:r>
      <w:r w:rsidR="0076277B" w:rsidRPr="00FB5D79">
        <w:t xml:space="preserve"> </w:t>
      </w:r>
      <w:r w:rsidR="00423AED" w:rsidRPr="00FB5D79">
        <w:t>des</w:t>
      </w:r>
      <w:r w:rsidR="0076277B" w:rsidRPr="00FB5D79">
        <w:t xml:space="preserve"> dessins et modèles industriels </w:t>
      </w:r>
      <w:r w:rsidRPr="00FB5D79">
        <w:t xml:space="preserve">et de faire respecter </w:t>
      </w:r>
      <w:r w:rsidR="0076277B" w:rsidRPr="00FB5D79">
        <w:t>les dessins et modèles industriels protégés</w:t>
      </w:r>
      <w:r w:rsidRPr="00FB5D79">
        <w:t>.</w:t>
      </w:r>
    </w:p>
    <w:p w14:paraId="756E2928" w14:textId="077B2D21" w:rsidR="00537011" w:rsidRPr="00FB5D79" w:rsidRDefault="00537011" w:rsidP="009F022F">
      <w:pPr>
        <w:numPr>
          <w:ilvl w:val="0"/>
          <w:numId w:val="20"/>
        </w:numPr>
        <w:ind w:left="1134" w:hanging="567"/>
        <w:jc w:val="both"/>
      </w:pPr>
      <w:r w:rsidRPr="00FB5D79">
        <w:t>Des missions d</w:t>
      </w:r>
      <w:r w:rsidR="00646944" w:rsidRPr="00FB5D79">
        <w:t>’</w:t>
      </w:r>
      <w:r w:rsidR="00956475" w:rsidRPr="00FB5D79">
        <w:t xml:space="preserve">enquête ont été </w:t>
      </w:r>
      <w:r w:rsidR="00EB51D2" w:rsidRPr="00FB5D79">
        <w:t>lancées</w:t>
      </w:r>
      <w:r w:rsidR="00956475" w:rsidRPr="00FB5D79">
        <w:t xml:space="preserve"> en </w:t>
      </w:r>
      <w:r w:rsidRPr="00FB5D79">
        <w:t xml:space="preserve">2016 aux Philippines et en Thaïlande, </w:t>
      </w:r>
      <w:r w:rsidR="00956475" w:rsidRPr="00FB5D79">
        <w:t>ainsi qu</w:t>
      </w:r>
      <w:r w:rsidR="00646944" w:rsidRPr="00FB5D79">
        <w:t>’</w:t>
      </w:r>
      <w:r w:rsidR="00956475" w:rsidRPr="00FB5D79">
        <w:t>en mars 2017</w:t>
      </w:r>
      <w:r w:rsidRPr="00FB5D79">
        <w:t xml:space="preserve"> e</w:t>
      </w:r>
      <w:r w:rsidR="00956475" w:rsidRPr="00FB5D79">
        <w:t>n Indonés</w:t>
      </w:r>
      <w:r w:rsidR="00172764" w:rsidRPr="00FB5D79">
        <w:t>ie.  De</w:t>
      </w:r>
      <w:r w:rsidRPr="00FB5D79">
        <w:t xml:space="preserve">s ateliers </w:t>
      </w:r>
      <w:r w:rsidR="00EB51D2" w:rsidRPr="00FB5D79">
        <w:t>visant à susciter des</w:t>
      </w:r>
      <w:r w:rsidRPr="00FB5D79">
        <w:t xml:space="preserve"> réactions et </w:t>
      </w:r>
      <w:r w:rsidR="00EB51D2" w:rsidRPr="00FB5D79">
        <w:t xml:space="preserve">des </w:t>
      </w:r>
      <w:r w:rsidRPr="00FB5D79">
        <w:t xml:space="preserve">commentaires </w:t>
      </w:r>
      <w:r w:rsidR="00EB51D2" w:rsidRPr="00FB5D79">
        <w:t>sur les questionnaires d</w:t>
      </w:r>
      <w:r w:rsidR="00646944" w:rsidRPr="00FB5D79">
        <w:t>’</w:t>
      </w:r>
      <w:r w:rsidR="00EB51D2" w:rsidRPr="00FB5D79">
        <w:t xml:space="preserve">enquête de la part des </w:t>
      </w:r>
      <w:r w:rsidRPr="00FB5D79">
        <w:t>parties prenantes concer</w:t>
      </w:r>
      <w:r w:rsidR="00EB51D2" w:rsidRPr="00FB5D79">
        <w:t>nées ont été organis</w:t>
      </w:r>
      <w:r w:rsidR="00172764" w:rsidRPr="00FB5D79">
        <w:t>és.  Le</w:t>
      </w:r>
      <w:r w:rsidRPr="00FB5D79">
        <w:t>s parties prenantes c</w:t>
      </w:r>
      <w:r w:rsidRPr="00FB5D79">
        <w:rPr>
          <w:sz w:val="24"/>
        </w:rPr>
        <w:t>o</w:t>
      </w:r>
      <w:r w:rsidRPr="00FB5D79">
        <w:t xml:space="preserve">mprenaient les déposants </w:t>
      </w:r>
      <w:r w:rsidR="00EB51D2" w:rsidRPr="00FB5D79">
        <w:t>de dessins et modèles industriels</w:t>
      </w:r>
      <w:r w:rsidRPr="00FB5D79">
        <w:t xml:space="preserve">, les examinateurs des offices nationaux de propriété intellectuelle, les avocats spécialisés dans </w:t>
      </w:r>
      <w:r w:rsidR="000D669B" w:rsidRPr="00FB5D79">
        <w:t>le domaine de la</w:t>
      </w:r>
      <w:r w:rsidRPr="00FB5D79">
        <w:t xml:space="preserve"> propriété intellectuelle ainsi que les associations </w:t>
      </w:r>
      <w:r w:rsidR="00423AED" w:rsidRPr="00FB5D79">
        <w:t>commerciales</w:t>
      </w:r>
      <w:r w:rsidRPr="00FB5D79">
        <w:t xml:space="preserve"> et les associations de </w:t>
      </w:r>
      <w:r w:rsidR="00423AED" w:rsidRPr="00FB5D79">
        <w:t>dessins et modèles</w:t>
      </w:r>
      <w:r w:rsidRPr="00FB5D79">
        <w:t>.</w:t>
      </w:r>
    </w:p>
    <w:p w14:paraId="28F32DF5" w14:textId="5C83A9C9" w:rsidR="00646944" w:rsidRPr="00FB5D79" w:rsidRDefault="00537011" w:rsidP="009F022F">
      <w:pPr>
        <w:numPr>
          <w:ilvl w:val="0"/>
          <w:numId w:val="20"/>
        </w:numPr>
        <w:ind w:left="1134" w:hanging="567"/>
        <w:jc w:val="both"/>
      </w:pPr>
      <w:r w:rsidRPr="00FB5D79">
        <w:t>L</w:t>
      </w:r>
      <w:r w:rsidR="00646944" w:rsidRPr="00FB5D79">
        <w:t>’</w:t>
      </w:r>
      <w:r w:rsidRPr="00FB5D79">
        <w:t xml:space="preserve">enquête a ensuite été </w:t>
      </w:r>
      <w:r w:rsidR="000D669B" w:rsidRPr="00FB5D79">
        <w:t>menée</w:t>
      </w:r>
      <w:r w:rsidRPr="00FB5D79">
        <w:t xml:space="preserve"> dans les trois</w:t>
      </w:r>
      <w:r w:rsidR="000E4777" w:rsidRPr="00FB5D79">
        <w:t> </w:t>
      </w:r>
      <w:r w:rsidRPr="00FB5D79">
        <w:t>pays</w:t>
      </w:r>
      <w:r w:rsidR="000D669B" w:rsidRPr="00FB5D79">
        <w:t>,</w:t>
      </w:r>
      <w:r w:rsidRPr="00FB5D79">
        <w:t xml:space="preserve"> et </w:t>
      </w:r>
      <w:r w:rsidR="00F874E4" w:rsidRPr="00FB5D79">
        <w:t>la collecte</w:t>
      </w:r>
      <w:r w:rsidRPr="00FB5D79">
        <w:t xml:space="preserve"> des réponses s</w:t>
      </w:r>
      <w:r w:rsidR="00646944" w:rsidRPr="00FB5D79">
        <w:t>’</w:t>
      </w:r>
      <w:r w:rsidRPr="00FB5D79">
        <w:t>est achevé</w:t>
      </w:r>
      <w:r w:rsidR="00F874E4" w:rsidRPr="00FB5D79">
        <w:t>e</w:t>
      </w:r>
      <w:r w:rsidR="00EB51D2" w:rsidRPr="00FB5D79">
        <w:t>, selon les entretiens, en juin </w:t>
      </w:r>
      <w:r w:rsidRPr="00FB5D79">
        <w:t>2018.</w:t>
      </w:r>
    </w:p>
    <w:p w14:paraId="166B9B09" w14:textId="578672D1" w:rsidR="00646944" w:rsidRPr="00FB5D79" w:rsidRDefault="00537011" w:rsidP="009F022F">
      <w:pPr>
        <w:numPr>
          <w:ilvl w:val="0"/>
          <w:numId w:val="20"/>
        </w:numPr>
        <w:ind w:left="1134" w:hanging="567"/>
        <w:jc w:val="both"/>
      </w:pPr>
      <w:r w:rsidRPr="00FB5D79">
        <w:t>Les résultats préliminaires de l</w:t>
      </w:r>
      <w:r w:rsidR="00646944" w:rsidRPr="00FB5D79">
        <w:t>’</w:t>
      </w:r>
      <w:r w:rsidRPr="00FB5D79">
        <w:t xml:space="preserve">enquête ont été diffusés </w:t>
      </w:r>
      <w:r w:rsidR="00A43BAD" w:rsidRPr="00FB5D79">
        <w:t>à l</w:t>
      </w:r>
      <w:r w:rsidR="00646944" w:rsidRPr="00FB5D79">
        <w:t>’</w:t>
      </w:r>
      <w:r w:rsidR="00A43BAD" w:rsidRPr="00FB5D79">
        <w:t>occasion</w:t>
      </w:r>
      <w:r w:rsidRPr="00FB5D79">
        <w:t xml:space="preserve"> de la réunion de consultation OMPI</w:t>
      </w:r>
      <w:r w:rsidR="00965F3A">
        <w:t>-</w:t>
      </w:r>
      <w:r w:rsidRPr="00FB5D79">
        <w:t>ASEAN qui s</w:t>
      </w:r>
      <w:r w:rsidR="00646944" w:rsidRPr="00FB5D79">
        <w:t>’</w:t>
      </w:r>
      <w:r w:rsidRPr="00FB5D79">
        <w:t xml:space="preserve">est tenue à Singapour </w:t>
      </w:r>
      <w:r w:rsidR="000D669B" w:rsidRPr="00FB5D79">
        <w:t>pendant</w:t>
      </w:r>
      <w:r w:rsidRPr="00FB5D79">
        <w:t xml:space="preserve"> la </w:t>
      </w:r>
      <w:r w:rsidR="00A43BAD" w:rsidRPr="00FB5D79">
        <w:t>cinquante</w:t>
      </w:r>
      <w:r w:rsidR="00965F3A">
        <w:t>-</w:t>
      </w:r>
      <w:r w:rsidR="00A43BAD" w:rsidRPr="00FB5D79">
        <w:t>sixième </w:t>
      </w:r>
      <w:r w:rsidRPr="00FB5D79">
        <w:t xml:space="preserve">réunion du </w:t>
      </w:r>
      <w:r w:rsidR="000D669B" w:rsidRPr="00FB5D79">
        <w:t>g</w:t>
      </w:r>
      <w:r w:rsidRPr="00FB5D79">
        <w:t>roupe de travail de l</w:t>
      </w:r>
      <w:r w:rsidR="00646944" w:rsidRPr="00FB5D79">
        <w:t>’</w:t>
      </w:r>
      <w:r w:rsidRPr="00FB5D79">
        <w:t>ASEAN sur la coopération en matière d</w:t>
      </w:r>
      <w:r w:rsidR="00A43BAD" w:rsidRPr="00FB5D79">
        <w:t>e propriété intellectuelle</w:t>
      </w:r>
      <w:r w:rsidR="000D669B" w:rsidRPr="00FB5D79">
        <w:t>, tenue</w:t>
      </w:r>
      <w:r w:rsidR="00A43BAD" w:rsidRPr="00FB5D79">
        <w:t xml:space="preserve"> le 7 septembre </w:t>
      </w:r>
      <w:r w:rsidRPr="00FB5D79">
        <w:t>2018.</w:t>
      </w:r>
    </w:p>
    <w:p w14:paraId="7D601194" w14:textId="2FB6E3AA" w:rsidR="00735A4B" w:rsidRPr="00FB5D79" w:rsidRDefault="00537011" w:rsidP="009F022F">
      <w:pPr>
        <w:numPr>
          <w:ilvl w:val="0"/>
          <w:numId w:val="20"/>
        </w:numPr>
        <w:ind w:left="1134" w:hanging="567"/>
        <w:jc w:val="both"/>
      </w:pPr>
      <w:r w:rsidRPr="00FB5D79">
        <w:t xml:space="preserve">Les résultats et </w:t>
      </w:r>
      <w:r w:rsidR="000D669B" w:rsidRPr="00FB5D79">
        <w:t>la documentation pertinente</w:t>
      </w:r>
      <w:r w:rsidR="00D8459C" w:rsidRPr="00FB5D79">
        <w:t xml:space="preserve"> </w:t>
      </w:r>
      <w:r w:rsidRPr="00FB5D79">
        <w:t xml:space="preserve">seront mis à la disposition des États membres à la </w:t>
      </w:r>
      <w:r w:rsidR="00D8459C" w:rsidRPr="00FB5D79">
        <w:t>vingt</w:t>
      </w:r>
      <w:r w:rsidR="00965F3A">
        <w:t>-</w:t>
      </w:r>
      <w:r w:rsidR="00D8459C" w:rsidRPr="00FB5D79">
        <w:t>deux</w:t>
      </w:r>
      <w:r w:rsidR="00965F3A">
        <w:t>ième session</w:t>
      </w:r>
      <w:r w:rsidR="00646944" w:rsidRPr="00FB5D79">
        <w:t xml:space="preserve"> du CDI</w:t>
      </w:r>
      <w:r w:rsidRPr="00FB5D79">
        <w:t>P.</w:t>
      </w:r>
    </w:p>
    <w:p w14:paraId="698F56EB" w14:textId="77777777" w:rsidR="00735A4B" w:rsidRPr="00FB5D79" w:rsidRDefault="00735A4B" w:rsidP="00735A4B">
      <w:pPr>
        <w:ind w:left="1080"/>
        <w:jc w:val="both"/>
      </w:pPr>
    </w:p>
    <w:p w14:paraId="3B0674D3" w14:textId="1176F1EA" w:rsidR="00735A4B" w:rsidRPr="00FB5D79" w:rsidRDefault="00537011" w:rsidP="00735A4B">
      <w:pPr>
        <w:jc w:val="both"/>
        <w:rPr>
          <w:u w:val="single"/>
        </w:rPr>
      </w:pPr>
      <w:r w:rsidRPr="00FB5D79">
        <w:rPr>
          <w:u w:val="single"/>
        </w:rPr>
        <w:t>Le rôle de la propriété intellectuelle dans le secteur minier</w:t>
      </w:r>
    </w:p>
    <w:p w14:paraId="01BC9B5F" w14:textId="77777777" w:rsidR="00735A4B" w:rsidRPr="00FB5D79" w:rsidRDefault="00735A4B" w:rsidP="00735A4B">
      <w:pPr>
        <w:jc w:val="both"/>
        <w:rPr>
          <w:u w:val="single"/>
        </w:rPr>
      </w:pPr>
    </w:p>
    <w:p w14:paraId="634198BD" w14:textId="34EA9848" w:rsidR="00537011" w:rsidRPr="00FB5D79" w:rsidRDefault="00A22B90" w:rsidP="009F022F">
      <w:pPr>
        <w:numPr>
          <w:ilvl w:val="0"/>
          <w:numId w:val="21"/>
        </w:numPr>
        <w:ind w:left="1134" w:hanging="567"/>
        <w:jc w:val="both"/>
        <w:rPr>
          <w:iCs/>
        </w:rPr>
      </w:pPr>
      <w:r w:rsidRPr="00FB5D79">
        <w:rPr>
          <w:iCs/>
        </w:rPr>
        <w:t xml:space="preserve">Cette </w:t>
      </w:r>
      <w:r w:rsidR="000D669B" w:rsidRPr="00FB5D79">
        <w:rPr>
          <w:iCs/>
        </w:rPr>
        <w:t xml:space="preserve">étude visait </w:t>
      </w:r>
      <w:r w:rsidR="00537011" w:rsidRPr="00FB5D79">
        <w:rPr>
          <w:iCs/>
        </w:rPr>
        <w:t xml:space="preserve">à </w:t>
      </w:r>
      <w:r w:rsidR="00F874E4" w:rsidRPr="00FB5D79">
        <w:rPr>
          <w:iCs/>
        </w:rPr>
        <w:t>collecter</w:t>
      </w:r>
      <w:r w:rsidR="00537011" w:rsidRPr="00FB5D79">
        <w:rPr>
          <w:iCs/>
        </w:rPr>
        <w:t xml:space="preserve"> des données empiriques </w:t>
      </w:r>
      <w:r w:rsidRPr="00FB5D79">
        <w:rPr>
          <w:iCs/>
        </w:rPr>
        <w:t>témoignant des</w:t>
      </w:r>
      <w:r w:rsidR="00537011" w:rsidRPr="00FB5D79">
        <w:rPr>
          <w:iCs/>
        </w:rPr>
        <w:t xml:space="preserve"> principales tendances mondiales </w:t>
      </w:r>
      <w:r w:rsidRPr="00FB5D79">
        <w:t>en matière d</w:t>
      </w:r>
      <w:r w:rsidR="00646944" w:rsidRPr="00FB5D79">
        <w:t>’</w:t>
      </w:r>
      <w:r w:rsidRPr="00FB5D79">
        <w:t>innovation et d</w:t>
      </w:r>
      <w:r w:rsidR="00646944" w:rsidRPr="00FB5D79">
        <w:t>’</w:t>
      </w:r>
      <w:r w:rsidRPr="00FB5D79">
        <w:t>utilisation de la propriété intellectuelle dans le secteur minier</w:t>
      </w:r>
      <w:r w:rsidR="00537011" w:rsidRPr="00FB5D79">
        <w:rPr>
          <w:iCs/>
        </w:rPr>
        <w:t>.</w:t>
      </w:r>
    </w:p>
    <w:p w14:paraId="668D7CEC" w14:textId="19848CE9" w:rsidR="00537011" w:rsidRPr="00FB5D79" w:rsidRDefault="00537011" w:rsidP="009F022F">
      <w:pPr>
        <w:numPr>
          <w:ilvl w:val="0"/>
          <w:numId w:val="21"/>
        </w:numPr>
        <w:ind w:left="1134" w:hanging="567"/>
        <w:jc w:val="both"/>
        <w:rPr>
          <w:iCs/>
        </w:rPr>
      </w:pPr>
      <w:r w:rsidRPr="00FB5D79">
        <w:rPr>
          <w:iCs/>
        </w:rPr>
        <w:t>Un atelier technique réunissant les principales parties prenantes s</w:t>
      </w:r>
      <w:r w:rsidR="00646944" w:rsidRPr="00FB5D79">
        <w:rPr>
          <w:iCs/>
        </w:rPr>
        <w:t>’</w:t>
      </w:r>
      <w:r w:rsidR="000D669B" w:rsidRPr="00FB5D79">
        <w:rPr>
          <w:iCs/>
        </w:rPr>
        <w:t>est tenu à Genève en mars </w:t>
      </w:r>
      <w:proofErr w:type="gramStart"/>
      <w:r w:rsidRPr="00FB5D79">
        <w:rPr>
          <w:iCs/>
        </w:rPr>
        <w:t>2017</w:t>
      </w:r>
      <w:r w:rsidR="000D669B" w:rsidRPr="00FB5D79">
        <w:rPr>
          <w:iCs/>
        </w:rPr>
        <w:t xml:space="preserve">;  </w:t>
      </w:r>
      <w:r w:rsidR="00A22B90" w:rsidRPr="00FB5D79">
        <w:t>il</w:t>
      </w:r>
      <w:proofErr w:type="gramEnd"/>
      <w:r w:rsidR="00A22B90" w:rsidRPr="00FB5D79">
        <w:t xml:space="preserve"> a permis de définir les grands axes du travail proposé</w:t>
      </w:r>
      <w:r w:rsidRPr="00FB5D79">
        <w:rPr>
          <w:iCs/>
        </w:rPr>
        <w:t>.</w:t>
      </w:r>
    </w:p>
    <w:p w14:paraId="38A0C169" w14:textId="08B33EB5" w:rsidR="00646944" w:rsidRPr="00FB5D79" w:rsidRDefault="00AD44DE" w:rsidP="009F022F">
      <w:pPr>
        <w:numPr>
          <w:ilvl w:val="0"/>
          <w:numId w:val="21"/>
        </w:numPr>
        <w:ind w:left="1134" w:hanging="567"/>
        <w:jc w:val="both"/>
        <w:rPr>
          <w:iCs/>
        </w:rPr>
      </w:pPr>
      <w:r w:rsidRPr="00FB5D79">
        <w:t>L</w:t>
      </w:r>
      <w:r w:rsidR="00646944" w:rsidRPr="00FB5D79">
        <w:t>’</w:t>
      </w:r>
      <w:r w:rsidRPr="00FB5D79">
        <w:t>étude devant être menée au Chili et au Brésil s</w:t>
      </w:r>
      <w:r w:rsidR="00646944" w:rsidRPr="00FB5D79">
        <w:t>’</w:t>
      </w:r>
      <w:r w:rsidRPr="00FB5D79">
        <w:t>inscrit dans le suivi de la phase I du projet</w:t>
      </w:r>
      <w:r w:rsidR="00537011" w:rsidRPr="00FB5D79">
        <w:rPr>
          <w:iCs/>
        </w:rPr>
        <w:t>.</w:t>
      </w:r>
    </w:p>
    <w:p w14:paraId="2735CDBB" w14:textId="48431E86" w:rsidR="00537011" w:rsidRPr="00FB5D79" w:rsidRDefault="00654B41" w:rsidP="009F022F">
      <w:pPr>
        <w:numPr>
          <w:ilvl w:val="0"/>
          <w:numId w:val="21"/>
        </w:numPr>
        <w:ind w:left="1134" w:hanging="567"/>
        <w:jc w:val="both"/>
        <w:rPr>
          <w:iCs/>
        </w:rPr>
      </w:pPr>
      <w:r w:rsidRPr="00FB5D79">
        <w:rPr>
          <w:iCs/>
        </w:rPr>
        <w:t>D</w:t>
      </w:r>
      <w:r w:rsidR="00646944" w:rsidRPr="00FB5D79">
        <w:rPr>
          <w:iCs/>
        </w:rPr>
        <w:t>’</w:t>
      </w:r>
      <w:r w:rsidRPr="00FB5D79">
        <w:rPr>
          <w:iCs/>
        </w:rPr>
        <w:t>après</w:t>
      </w:r>
      <w:r w:rsidR="00537011" w:rsidRPr="00FB5D79">
        <w:rPr>
          <w:iCs/>
        </w:rPr>
        <w:t xml:space="preserve"> l</w:t>
      </w:r>
      <w:r w:rsidR="000D669B" w:rsidRPr="00FB5D79">
        <w:rPr>
          <w:iCs/>
        </w:rPr>
        <w:t xml:space="preserve">es </w:t>
      </w:r>
      <w:r w:rsidR="00F874E4" w:rsidRPr="00FB5D79">
        <w:rPr>
          <w:iCs/>
        </w:rPr>
        <w:t>données</w:t>
      </w:r>
      <w:r w:rsidR="000D669B" w:rsidRPr="00FB5D79">
        <w:rPr>
          <w:iCs/>
        </w:rPr>
        <w:t xml:space="preserve"> </w:t>
      </w:r>
      <w:r w:rsidR="00F874E4" w:rsidRPr="00FB5D79">
        <w:rPr>
          <w:iCs/>
        </w:rPr>
        <w:t>collectées</w:t>
      </w:r>
      <w:r w:rsidR="000D669B" w:rsidRPr="00FB5D79">
        <w:rPr>
          <w:iCs/>
        </w:rPr>
        <w:t xml:space="preserve"> </w:t>
      </w:r>
      <w:r w:rsidR="00537011" w:rsidRPr="00FB5D79">
        <w:rPr>
          <w:iCs/>
        </w:rPr>
        <w:t xml:space="preserve">lors des </w:t>
      </w:r>
      <w:r w:rsidR="000D669B" w:rsidRPr="00FB5D79">
        <w:rPr>
          <w:iCs/>
        </w:rPr>
        <w:t xml:space="preserve">entretiens </w:t>
      </w:r>
      <w:r w:rsidR="00537011" w:rsidRPr="00FB5D79">
        <w:rPr>
          <w:iCs/>
        </w:rPr>
        <w:t xml:space="preserve">avec les </w:t>
      </w:r>
      <w:r w:rsidR="000B7E3F" w:rsidRPr="00FB5D79">
        <w:rPr>
          <w:iCs/>
        </w:rPr>
        <w:t xml:space="preserve">principaux </w:t>
      </w:r>
      <w:r w:rsidR="00537011" w:rsidRPr="00FB5D79">
        <w:rPr>
          <w:iCs/>
        </w:rPr>
        <w:t xml:space="preserve">experts et la documentation fournie par </w:t>
      </w:r>
      <w:r w:rsidR="00480511" w:rsidRPr="00FB5D79">
        <w:rPr>
          <w:iCs/>
        </w:rPr>
        <w:t>l</w:t>
      </w:r>
      <w:r w:rsidR="00646944" w:rsidRPr="00FB5D79">
        <w:rPr>
          <w:iCs/>
        </w:rPr>
        <w:t>’</w:t>
      </w:r>
      <w:r w:rsidR="00480511" w:rsidRPr="00FB5D79">
        <w:rPr>
          <w:iCs/>
        </w:rPr>
        <w:t>équipe chargée du projet</w:t>
      </w:r>
      <w:r w:rsidR="00537011" w:rsidRPr="00FB5D79">
        <w:rPr>
          <w:iCs/>
        </w:rPr>
        <w:t xml:space="preserve">, les versions </w:t>
      </w:r>
      <w:r w:rsidR="00423AED" w:rsidRPr="00FB5D79">
        <w:rPr>
          <w:iCs/>
        </w:rPr>
        <w:t>provisoires</w:t>
      </w:r>
      <w:r w:rsidR="00537011" w:rsidRPr="00FB5D79">
        <w:rPr>
          <w:iCs/>
        </w:rPr>
        <w:t xml:space="preserve"> des études sont disponibl</w:t>
      </w:r>
      <w:r w:rsidR="00172764" w:rsidRPr="00FB5D79">
        <w:rPr>
          <w:iCs/>
        </w:rPr>
        <w:t>es.  Ce</w:t>
      </w:r>
      <w:r w:rsidR="00537011" w:rsidRPr="00FB5D79">
        <w:rPr>
          <w:iCs/>
        </w:rPr>
        <w:t>s études feront partie d</w:t>
      </w:r>
      <w:r w:rsidR="00646944" w:rsidRPr="00FB5D79">
        <w:rPr>
          <w:iCs/>
        </w:rPr>
        <w:t>’</w:t>
      </w:r>
      <w:r w:rsidR="00537011" w:rsidRPr="00FB5D79">
        <w:rPr>
          <w:iCs/>
        </w:rPr>
        <w:t>un ensemble d</w:t>
      </w:r>
      <w:r w:rsidR="00646944" w:rsidRPr="00FB5D79">
        <w:rPr>
          <w:iCs/>
        </w:rPr>
        <w:t>’</w:t>
      </w:r>
      <w:r w:rsidR="00537011" w:rsidRPr="00FB5D79">
        <w:rPr>
          <w:iCs/>
        </w:rPr>
        <w:t>études de cas qui seront publiées prochainement.</w:t>
      </w:r>
    </w:p>
    <w:p w14:paraId="53B27E63" w14:textId="745302CB" w:rsidR="00646944" w:rsidRPr="00FB5D79" w:rsidRDefault="000C3966" w:rsidP="009F022F">
      <w:pPr>
        <w:numPr>
          <w:ilvl w:val="0"/>
          <w:numId w:val="21"/>
        </w:numPr>
        <w:ind w:left="1134" w:hanging="567"/>
        <w:jc w:val="both"/>
        <w:rPr>
          <w:iCs/>
        </w:rPr>
      </w:pPr>
      <w:r w:rsidRPr="00FB5D79">
        <w:rPr>
          <w:iCs/>
        </w:rPr>
        <w:t>Les</w:t>
      </w:r>
      <w:r w:rsidR="00537011" w:rsidRPr="00FB5D79">
        <w:rPr>
          <w:iCs/>
        </w:rPr>
        <w:t xml:space="preserve"> versions espagnol</w:t>
      </w:r>
      <w:r w:rsidR="00654B41" w:rsidRPr="00FB5D79">
        <w:rPr>
          <w:iCs/>
        </w:rPr>
        <w:t>e</w:t>
      </w:r>
      <w:r w:rsidR="00537011" w:rsidRPr="00FB5D79">
        <w:rPr>
          <w:iCs/>
        </w:rPr>
        <w:t xml:space="preserve"> et anglais</w:t>
      </w:r>
      <w:r w:rsidR="00654B41" w:rsidRPr="00FB5D79">
        <w:rPr>
          <w:iCs/>
        </w:rPr>
        <w:t>e</w:t>
      </w:r>
      <w:r w:rsidR="00537011" w:rsidRPr="00FB5D79">
        <w:rPr>
          <w:iCs/>
        </w:rPr>
        <w:t xml:space="preserve"> de l</w:t>
      </w:r>
      <w:r w:rsidR="00646944" w:rsidRPr="00FB5D79">
        <w:rPr>
          <w:iCs/>
        </w:rPr>
        <w:t>’</w:t>
      </w:r>
      <w:r w:rsidR="00537011" w:rsidRPr="00FB5D79">
        <w:rPr>
          <w:iCs/>
        </w:rPr>
        <w:t xml:space="preserve">étude </w:t>
      </w:r>
      <w:r w:rsidR="000D669B" w:rsidRPr="00FB5D79">
        <w:rPr>
          <w:iCs/>
        </w:rPr>
        <w:t xml:space="preserve">intitulée </w:t>
      </w:r>
      <w:r w:rsidR="00646944" w:rsidRPr="00FB5D79">
        <w:rPr>
          <w:i/>
          <w:iCs/>
        </w:rPr>
        <w:t>“I</w:t>
      </w:r>
      <w:r w:rsidR="00537011" w:rsidRPr="00FB5D79">
        <w:rPr>
          <w:i/>
          <w:iCs/>
        </w:rPr>
        <w:t xml:space="preserve">nnovation and IP </w:t>
      </w:r>
      <w:proofErr w:type="spellStart"/>
      <w:r w:rsidR="00537011" w:rsidRPr="00FB5D79">
        <w:rPr>
          <w:i/>
          <w:iCs/>
        </w:rPr>
        <w:t>rights</w:t>
      </w:r>
      <w:proofErr w:type="spellEnd"/>
      <w:r w:rsidR="00537011" w:rsidRPr="00FB5D79">
        <w:rPr>
          <w:i/>
          <w:iCs/>
        </w:rPr>
        <w:t xml:space="preserve"> in the </w:t>
      </w:r>
      <w:proofErr w:type="spellStart"/>
      <w:r w:rsidR="00537011" w:rsidRPr="00FB5D79">
        <w:rPr>
          <w:i/>
          <w:iCs/>
        </w:rPr>
        <w:t>Chilean</w:t>
      </w:r>
      <w:proofErr w:type="spellEnd"/>
      <w:r w:rsidR="00537011" w:rsidRPr="00FB5D79">
        <w:rPr>
          <w:i/>
          <w:iCs/>
        </w:rPr>
        <w:t xml:space="preserve"> </w:t>
      </w:r>
      <w:proofErr w:type="spellStart"/>
      <w:r w:rsidR="00537011" w:rsidRPr="00FB5D79">
        <w:rPr>
          <w:i/>
          <w:iCs/>
        </w:rPr>
        <w:t>copper</w:t>
      </w:r>
      <w:proofErr w:type="spellEnd"/>
      <w:r w:rsidR="00537011" w:rsidRPr="00FB5D79">
        <w:rPr>
          <w:i/>
          <w:iCs/>
        </w:rPr>
        <w:t xml:space="preserve"> </w:t>
      </w:r>
      <w:proofErr w:type="spellStart"/>
      <w:r w:rsidR="00537011" w:rsidRPr="00FB5D79">
        <w:rPr>
          <w:i/>
          <w:iCs/>
        </w:rPr>
        <w:t>mining</w:t>
      </w:r>
      <w:proofErr w:type="spellEnd"/>
      <w:r w:rsidR="00537011" w:rsidRPr="00FB5D79">
        <w:rPr>
          <w:i/>
          <w:iCs/>
        </w:rPr>
        <w:t xml:space="preserve"> </w:t>
      </w:r>
      <w:proofErr w:type="spellStart"/>
      <w:r w:rsidR="00537011" w:rsidRPr="00FB5D79">
        <w:rPr>
          <w:i/>
          <w:iCs/>
        </w:rPr>
        <w:t>secto</w:t>
      </w:r>
      <w:r w:rsidR="00646944" w:rsidRPr="00FB5D79">
        <w:rPr>
          <w:i/>
          <w:iCs/>
        </w:rPr>
        <w:t>r</w:t>
      </w:r>
      <w:proofErr w:type="spellEnd"/>
      <w:r w:rsidR="00646944" w:rsidRPr="00FB5D79">
        <w:rPr>
          <w:i/>
          <w:iCs/>
        </w:rPr>
        <w:t>”</w:t>
      </w:r>
      <w:r w:rsidRPr="00FB5D79">
        <w:rPr>
          <w:iCs/>
        </w:rPr>
        <w:t>,</w:t>
      </w:r>
      <w:r w:rsidR="00537011" w:rsidRPr="00FB5D79">
        <w:rPr>
          <w:iCs/>
        </w:rPr>
        <w:t xml:space="preserve"> </w:t>
      </w:r>
      <w:r w:rsidR="000D669B" w:rsidRPr="00FB5D79">
        <w:rPr>
          <w:iCs/>
        </w:rPr>
        <w:t>établie</w:t>
      </w:r>
      <w:r w:rsidR="00537011" w:rsidRPr="00FB5D79">
        <w:rPr>
          <w:iCs/>
        </w:rPr>
        <w:t xml:space="preserve"> par des consultants locaux, </w:t>
      </w:r>
      <w:r w:rsidR="000D669B" w:rsidRPr="00FB5D79">
        <w:rPr>
          <w:iCs/>
        </w:rPr>
        <w:t>datant de juillet </w:t>
      </w:r>
      <w:r w:rsidR="00537011" w:rsidRPr="00FB5D79">
        <w:rPr>
          <w:iCs/>
        </w:rPr>
        <w:t xml:space="preserve">2018, ont été </w:t>
      </w:r>
      <w:r w:rsidRPr="00FB5D79">
        <w:rPr>
          <w:iCs/>
        </w:rPr>
        <w:t>transmises</w:t>
      </w:r>
      <w:r w:rsidR="00537011" w:rsidRPr="00FB5D79">
        <w:rPr>
          <w:iCs/>
        </w:rPr>
        <w:t xml:space="preserve"> à l</w:t>
      </w:r>
      <w:r w:rsidR="00646944" w:rsidRPr="00FB5D79">
        <w:rPr>
          <w:iCs/>
        </w:rPr>
        <w:t>’</w:t>
      </w:r>
      <w:r w:rsidR="00537011" w:rsidRPr="00FB5D79">
        <w:rPr>
          <w:iCs/>
        </w:rPr>
        <w:t>évaluate</w:t>
      </w:r>
      <w:r w:rsidR="00172764" w:rsidRPr="00FB5D79">
        <w:rPr>
          <w:iCs/>
        </w:rPr>
        <w:t>ur.  Un</w:t>
      </w:r>
      <w:r w:rsidRPr="00FB5D79">
        <w:rPr>
          <w:iCs/>
        </w:rPr>
        <w:t>e version définitive</w:t>
      </w:r>
      <w:r w:rsidR="00537011" w:rsidRPr="00FB5D79">
        <w:rPr>
          <w:iCs/>
        </w:rPr>
        <w:t>, en anglais, de l</w:t>
      </w:r>
      <w:r w:rsidR="00646944" w:rsidRPr="00FB5D79">
        <w:rPr>
          <w:iCs/>
        </w:rPr>
        <w:t>’</w:t>
      </w:r>
      <w:r w:rsidR="00537011" w:rsidRPr="00FB5D79">
        <w:rPr>
          <w:iCs/>
        </w:rPr>
        <w:t xml:space="preserve">étude </w:t>
      </w:r>
      <w:r w:rsidR="000D669B" w:rsidRPr="00FB5D79">
        <w:rPr>
          <w:iCs/>
        </w:rPr>
        <w:t xml:space="preserve">intitulée </w:t>
      </w:r>
      <w:r w:rsidR="00646944" w:rsidRPr="00FB5D79">
        <w:rPr>
          <w:i/>
          <w:iCs/>
        </w:rPr>
        <w:t>“</w:t>
      </w:r>
      <w:proofErr w:type="spellStart"/>
      <w:r w:rsidR="00646944" w:rsidRPr="00FB5D79">
        <w:rPr>
          <w:i/>
          <w:iCs/>
        </w:rPr>
        <w:t>T</w:t>
      </w:r>
      <w:r w:rsidR="00537011" w:rsidRPr="00FB5D79">
        <w:rPr>
          <w:i/>
          <w:iCs/>
        </w:rPr>
        <w:t>echnology</w:t>
      </w:r>
      <w:proofErr w:type="spellEnd"/>
      <w:r w:rsidR="00537011" w:rsidRPr="00FB5D79">
        <w:rPr>
          <w:i/>
          <w:iCs/>
        </w:rPr>
        <w:t xml:space="preserve"> Protection and </w:t>
      </w:r>
      <w:proofErr w:type="spellStart"/>
      <w:r w:rsidR="00537011" w:rsidRPr="00FB5D79">
        <w:rPr>
          <w:i/>
          <w:iCs/>
        </w:rPr>
        <w:t>Technology</w:t>
      </w:r>
      <w:proofErr w:type="spellEnd"/>
      <w:r w:rsidR="00537011" w:rsidRPr="00FB5D79">
        <w:rPr>
          <w:i/>
          <w:iCs/>
        </w:rPr>
        <w:t xml:space="preserve"> Transfer in </w:t>
      </w:r>
      <w:proofErr w:type="spellStart"/>
      <w:r w:rsidR="00537011" w:rsidRPr="00FB5D79">
        <w:rPr>
          <w:i/>
          <w:iCs/>
        </w:rPr>
        <w:t>Brazilian</w:t>
      </w:r>
      <w:proofErr w:type="spellEnd"/>
      <w:r w:rsidR="00537011" w:rsidRPr="00FB5D79">
        <w:rPr>
          <w:i/>
          <w:iCs/>
        </w:rPr>
        <w:t xml:space="preserve"> Mining </w:t>
      </w:r>
      <w:proofErr w:type="spellStart"/>
      <w:r w:rsidR="00537011" w:rsidRPr="00FB5D79">
        <w:rPr>
          <w:i/>
          <w:iCs/>
        </w:rPr>
        <w:t>Secto</w:t>
      </w:r>
      <w:r w:rsidR="00646944" w:rsidRPr="00FB5D79">
        <w:rPr>
          <w:i/>
          <w:iCs/>
        </w:rPr>
        <w:t>r</w:t>
      </w:r>
      <w:proofErr w:type="spellEnd"/>
      <w:r w:rsidR="00646944" w:rsidRPr="00FB5D79">
        <w:rPr>
          <w:i/>
          <w:iCs/>
        </w:rPr>
        <w:t>”</w:t>
      </w:r>
      <w:r w:rsidR="00537011" w:rsidRPr="00FB5D79">
        <w:rPr>
          <w:iCs/>
        </w:rPr>
        <w:t xml:space="preserve">, </w:t>
      </w:r>
      <w:r w:rsidR="000D669B" w:rsidRPr="00FB5D79">
        <w:rPr>
          <w:iCs/>
        </w:rPr>
        <w:t>établie</w:t>
      </w:r>
      <w:r w:rsidR="00537011" w:rsidRPr="00FB5D79">
        <w:rPr>
          <w:iCs/>
        </w:rPr>
        <w:t xml:space="preserve"> par des cons</w:t>
      </w:r>
      <w:r w:rsidR="00FE7762" w:rsidRPr="00FB5D79">
        <w:rPr>
          <w:iCs/>
        </w:rPr>
        <w:t>ultants locaux, datant de juillet </w:t>
      </w:r>
      <w:r w:rsidR="00537011" w:rsidRPr="00FB5D79">
        <w:rPr>
          <w:iCs/>
        </w:rPr>
        <w:t xml:space="preserve">2018, a également </w:t>
      </w:r>
      <w:r w:rsidRPr="00FB5D79">
        <w:rPr>
          <w:iCs/>
        </w:rPr>
        <w:t xml:space="preserve">été transmise </w:t>
      </w:r>
      <w:r w:rsidR="00537011" w:rsidRPr="00FB5D79">
        <w:rPr>
          <w:iCs/>
        </w:rPr>
        <w:t>pendant l</w:t>
      </w:r>
      <w:r w:rsidR="00646944" w:rsidRPr="00FB5D79">
        <w:rPr>
          <w:iCs/>
        </w:rPr>
        <w:t>’</w:t>
      </w:r>
      <w:r w:rsidR="00537011" w:rsidRPr="00FB5D79">
        <w:rPr>
          <w:iCs/>
        </w:rPr>
        <w:t>évaluation.</w:t>
      </w:r>
    </w:p>
    <w:p w14:paraId="7E051D7D" w14:textId="3DE8E566" w:rsidR="00537011" w:rsidRPr="00FB5D79" w:rsidRDefault="00537011" w:rsidP="009F022F">
      <w:pPr>
        <w:numPr>
          <w:ilvl w:val="0"/>
          <w:numId w:val="21"/>
        </w:numPr>
        <w:ind w:left="1134" w:hanging="567"/>
        <w:jc w:val="both"/>
        <w:rPr>
          <w:iCs/>
        </w:rPr>
      </w:pPr>
      <w:r w:rsidRPr="00FB5D79">
        <w:rPr>
          <w:iCs/>
        </w:rPr>
        <w:t>Selon le projet de rapport, l</w:t>
      </w:r>
      <w:r w:rsidR="00646944" w:rsidRPr="00FB5D79">
        <w:rPr>
          <w:iCs/>
        </w:rPr>
        <w:t>’</w:t>
      </w:r>
      <w:r w:rsidRPr="00FB5D79">
        <w:rPr>
          <w:iCs/>
        </w:rPr>
        <w:t xml:space="preserve">une des conclusions tirées </w:t>
      </w:r>
      <w:r w:rsidR="000D669B" w:rsidRPr="00FB5D79">
        <w:rPr>
          <w:iCs/>
        </w:rPr>
        <w:t>de l</w:t>
      </w:r>
      <w:r w:rsidR="00646944" w:rsidRPr="00FB5D79">
        <w:rPr>
          <w:iCs/>
        </w:rPr>
        <w:t>’</w:t>
      </w:r>
      <w:r w:rsidR="000D669B" w:rsidRPr="00FB5D79">
        <w:rPr>
          <w:iCs/>
        </w:rPr>
        <w:t>étude menée</w:t>
      </w:r>
      <w:r w:rsidRPr="00FB5D79">
        <w:rPr>
          <w:iCs/>
        </w:rPr>
        <w:t xml:space="preserve"> au Brésil </w:t>
      </w:r>
      <w:r w:rsidR="000D669B" w:rsidRPr="00FB5D79">
        <w:rPr>
          <w:iCs/>
        </w:rPr>
        <w:t>a été</w:t>
      </w:r>
      <w:r w:rsidRPr="00FB5D79">
        <w:rPr>
          <w:iCs/>
        </w:rPr>
        <w:t xml:space="preserve"> la suivante</w:t>
      </w:r>
      <w:r w:rsidR="00965F3A">
        <w:rPr>
          <w:iCs/>
        </w:rPr>
        <w:t> :</w:t>
      </w:r>
      <w:r w:rsidR="00FE7762" w:rsidRPr="00FB5D79">
        <w:rPr>
          <w:iCs/>
        </w:rPr>
        <w:t xml:space="preserve"> </w:t>
      </w:r>
      <w:r w:rsidR="00646944" w:rsidRPr="00FB5D79">
        <w:rPr>
          <w:iCs/>
        </w:rPr>
        <w:t>“</w:t>
      </w:r>
      <w:r w:rsidRPr="00FB5D79">
        <w:rPr>
          <w:iCs/>
        </w:rPr>
        <w:t>Historiquement, la capacité d</w:t>
      </w:r>
      <w:r w:rsidR="00646944" w:rsidRPr="00FB5D79">
        <w:rPr>
          <w:iCs/>
        </w:rPr>
        <w:t>’</w:t>
      </w:r>
      <w:r w:rsidRPr="00FB5D79">
        <w:rPr>
          <w:iCs/>
        </w:rPr>
        <w:t xml:space="preserve">innovation du secteur tend à se limiter à des solutions à court terme, ce qui contribue à faire des entreprises des </w:t>
      </w:r>
      <w:r w:rsidR="00646944" w:rsidRPr="00FB5D79">
        <w:rPr>
          <w:iCs/>
        </w:rPr>
        <w:t>“</w:t>
      </w:r>
      <w:r w:rsidRPr="00FB5D79">
        <w:rPr>
          <w:iCs/>
        </w:rPr>
        <w:t>adeptes</w:t>
      </w:r>
      <w:r w:rsidR="00646944" w:rsidRPr="00FB5D79">
        <w:rPr>
          <w:iCs/>
        </w:rPr>
        <w:t>”</w:t>
      </w:r>
      <w:r w:rsidRPr="00FB5D79">
        <w:rPr>
          <w:iCs/>
        </w:rPr>
        <w:t xml:space="preserve"> des technologies existant</w:t>
      </w:r>
      <w:r w:rsidR="00172764" w:rsidRPr="00FB5D79">
        <w:rPr>
          <w:iCs/>
        </w:rPr>
        <w:t>es.  Ai</w:t>
      </w:r>
      <w:r w:rsidRPr="00FB5D79">
        <w:rPr>
          <w:iCs/>
        </w:rPr>
        <w:t xml:space="preserve">nsi, les sociétés minières </w:t>
      </w:r>
      <w:r w:rsidR="000C3966" w:rsidRPr="00FB5D79">
        <w:rPr>
          <w:iCs/>
        </w:rPr>
        <w:t>ont préféré devenir</w:t>
      </w:r>
      <w:r w:rsidRPr="00FB5D79">
        <w:rPr>
          <w:iCs/>
        </w:rPr>
        <w:t xml:space="preserve"> clientes de</w:t>
      </w:r>
      <w:r w:rsidR="000C3966" w:rsidRPr="00FB5D79">
        <w:rPr>
          <w:iCs/>
        </w:rPr>
        <w:t>s</w:t>
      </w:r>
      <w:r w:rsidRPr="00FB5D79">
        <w:rPr>
          <w:iCs/>
        </w:rPr>
        <w:t xml:space="preserve"> technologies existantes plutôt que d</w:t>
      </w:r>
      <w:r w:rsidR="00646944" w:rsidRPr="00FB5D79">
        <w:rPr>
          <w:iCs/>
        </w:rPr>
        <w:t>’</w:t>
      </w:r>
      <w:r w:rsidRPr="00FB5D79">
        <w:rPr>
          <w:iCs/>
        </w:rPr>
        <w:t xml:space="preserve">investir dans </w:t>
      </w:r>
      <w:r w:rsidR="000C3966" w:rsidRPr="00FB5D79">
        <w:rPr>
          <w:iCs/>
        </w:rPr>
        <w:t>des activités de</w:t>
      </w:r>
      <w:r w:rsidRPr="00FB5D79">
        <w:rPr>
          <w:iCs/>
        </w:rPr>
        <w:t xml:space="preserve"> recherche</w:t>
      </w:r>
      <w:r w:rsidR="00965F3A">
        <w:rPr>
          <w:iCs/>
        </w:rPr>
        <w:t>-</w:t>
      </w:r>
      <w:r w:rsidRPr="00FB5D79">
        <w:rPr>
          <w:iCs/>
        </w:rPr>
        <w:t xml:space="preserve">développement </w:t>
      </w:r>
      <w:r w:rsidR="000C3966" w:rsidRPr="00FB5D79">
        <w:rPr>
          <w:iCs/>
        </w:rPr>
        <w:t xml:space="preserve">à long terme davantage </w:t>
      </w:r>
      <w:r w:rsidR="00403B4D" w:rsidRPr="00FB5D79">
        <w:rPr>
          <w:iCs/>
        </w:rPr>
        <w:t>perturbatrice</w:t>
      </w:r>
      <w:r w:rsidRPr="00FB5D79">
        <w:rPr>
          <w:iCs/>
        </w:rPr>
        <w:t xml:space="preserve"> pour relever les défis </w:t>
      </w:r>
      <w:r w:rsidR="000C3966" w:rsidRPr="00FB5D79">
        <w:rPr>
          <w:iCs/>
        </w:rPr>
        <w:t>à ven</w:t>
      </w:r>
      <w:r w:rsidR="00172764" w:rsidRPr="00FB5D79">
        <w:rPr>
          <w:iCs/>
        </w:rPr>
        <w:t>ir.  Ce</w:t>
      </w:r>
      <w:r w:rsidRPr="00FB5D79">
        <w:rPr>
          <w:iCs/>
        </w:rPr>
        <w:t xml:space="preserve">tte étude montre que les </w:t>
      </w:r>
      <w:r w:rsidR="00E53FC1" w:rsidRPr="00FB5D79">
        <w:rPr>
          <w:iCs/>
        </w:rPr>
        <w:t>sociétés</w:t>
      </w:r>
      <w:r w:rsidRPr="00FB5D79">
        <w:rPr>
          <w:iCs/>
        </w:rPr>
        <w:t xml:space="preserve"> minières sont en train </w:t>
      </w:r>
      <w:r w:rsidR="00E53FC1" w:rsidRPr="00FB5D79">
        <w:rPr>
          <w:iCs/>
        </w:rPr>
        <w:t>d</w:t>
      </w:r>
      <w:r w:rsidR="00646944" w:rsidRPr="00FB5D79">
        <w:rPr>
          <w:iCs/>
        </w:rPr>
        <w:t>’</w:t>
      </w:r>
      <w:r w:rsidR="00E53FC1" w:rsidRPr="00FB5D79">
        <w:rPr>
          <w:iCs/>
        </w:rPr>
        <w:t xml:space="preserve">abandonner les </w:t>
      </w:r>
      <w:r w:rsidRPr="00FB5D79">
        <w:rPr>
          <w:iCs/>
        </w:rPr>
        <w:t xml:space="preserve">investissements à court terme </w:t>
      </w:r>
      <w:r w:rsidR="00E53FC1" w:rsidRPr="00FB5D79">
        <w:rPr>
          <w:iCs/>
        </w:rPr>
        <w:t>au profit</w:t>
      </w:r>
      <w:r w:rsidRPr="00FB5D79">
        <w:rPr>
          <w:iCs/>
        </w:rPr>
        <w:t xml:space="preserve"> des investissements à long terme dans l</w:t>
      </w:r>
      <w:r w:rsidR="00646944" w:rsidRPr="00FB5D79">
        <w:rPr>
          <w:iCs/>
        </w:rPr>
        <w:t>’</w:t>
      </w:r>
      <w:r w:rsidRPr="00FB5D79">
        <w:rPr>
          <w:iCs/>
        </w:rPr>
        <w:t>innovati</w:t>
      </w:r>
      <w:r w:rsidR="00172764" w:rsidRPr="00FB5D79">
        <w:rPr>
          <w:iCs/>
        </w:rPr>
        <w:t>on.  Va</w:t>
      </w:r>
      <w:r w:rsidRPr="00FB5D79">
        <w:rPr>
          <w:iCs/>
        </w:rPr>
        <w:t xml:space="preserve">le, la plus grande société minière brésilienne, a commencé à </w:t>
      </w:r>
      <w:r w:rsidR="00F64D98" w:rsidRPr="00FB5D79">
        <w:rPr>
          <w:iCs/>
        </w:rPr>
        <w:t xml:space="preserve">remplacer </w:t>
      </w:r>
      <w:r w:rsidRPr="00FB5D79">
        <w:rPr>
          <w:iCs/>
        </w:rPr>
        <w:t xml:space="preserve">les anciens investissements non coordonnés visant </w:t>
      </w:r>
      <w:r w:rsidR="00D72080" w:rsidRPr="00FB5D79">
        <w:rPr>
          <w:iCs/>
        </w:rPr>
        <w:t>essentiellement</w:t>
      </w:r>
      <w:r w:rsidRPr="00FB5D79">
        <w:rPr>
          <w:iCs/>
        </w:rPr>
        <w:t xml:space="preserve"> des améliorations technologiques à court et moyen terme</w:t>
      </w:r>
      <w:r w:rsidR="00F64D98" w:rsidRPr="00FB5D79">
        <w:rPr>
          <w:iCs/>
        </w:rPr>
        <w:t xml:space="preserve"> par une stratégie de propriété intellectuelle à long terme cohérente</w:t>
      </w:r>
      <w:r w:rsidRPr="00FB5D79">
        <w:rPr>
          <w:iCs/>
        </w:rPr>
        <w:t>.</w:t>
      </w:r>
      <w:r w:rsidR="00646944" w:rsidRPr="00FB5D79">
        <w:rPr>
          <w:iCs/>
        </w:rPr>
        <w:t>”</w:t>
      </w:r>
    </w:p>
    <w:p w14:paraId="408DDDC2" w14:textId="091B4CF9" w:rsidR="00646944" w:rsidRPr="00FB5D79" w:rsidRDefault="00537011" w:rsidP="009F022F">
      <w:pPr>
        <w:numPr>
          <w:ilvl w:val="0"/>
          <w:numId w:val="21"/>
        </w:numPr>
        <w:ind w:left="1134" w:hanging="567"/>
        <w:jc w:val="both"/>
        <w:rPr>
          <w:iCs/>
        </w:rPr>
      </w:pPr>
      <w:r w:rsidRPr="00FB5D79">
        <w:rPr>
          <w:iCs/>
        </w:rPr>
        <w:t xml:space="preserve">Dans le cas du Chili, </w:t>
      </w:r>
      <w:r w:rsidR="003175EF" w:rsidRPr="00FB5D79">
        <w:rPr>
          <w:iCs/>
        </w:rPr>
        <w:t xml:space="preserve">selon le projet de rapport, </w:t>
      </w:r>
      <w:r w:rsidRPr="00FB5D79">
        <w:rPr>
          <w:iCs/>
        </w:rPr>
        <w:t>une conclusion parallèle a été tirée</w:t>
      </w:r>
      <w:r w:rsidR="00965F3A">
        <w:rPr>
          <w:iCs/>
        </w:rPr>
        <w:t> :</w:t>
      </w:r>
      <w:r w:rsidR="00D8459C" w:rsidRPr="00FB5D79">
        <w:rPr>
          <w:iCs/>
        </w:rPr>
        <w:t xml:space="preserve"> </w:t>
      </w:r>
      <w:r w:rsidR="00646944" w:rsidRPr="00FB5D79">
        <w:rPr>
          <w:iCs/>
        </w:rPr>
        <w:t>“</w:t>
      </w:r>
      <w:r w:rsidRPr="00FB5D79">
        <w:rPr>
          <w:iCs/>
        </w:rPr>
        <w:t xml:space="preserve">Les résultats des </w:t>
      </w:r>
      <w:r w:rsidR="000D669B" w:rsidRPr="00FB5D79">
        <w:rPr>
          <w:iCs/>
        </w:rPr>
        <w:t>entretiens</w:t>
      </w:r>
      <w:r w:rsidRPr="00FB5D79">
        <w:rPr>
          <w:iCs/>
        </w:rPr>
        <w:t xml:space="preserve"> indiquent qu</w:t>
      </w:r>
      <w:r w:rsidR="00646944" w:rsidRPr="00FB5D79">
        <w:rPr>
          <w:iCs/>
        </w:rPr>
        <w:t>’</w:t>
      </w:r>
      <w:r w:rsidRPr="00FB5D79">
        <w:rPr>
          <w:iCs/>
        </w:rPr>
        <w:t>au Chili, il y a suffisamment d</w:t>
      </w:r>
      <w:r w:rsidR="00646944" w:rsidRPr="00FB5D79">
        <w:rPr>
          <w:iCs/>
        </w:rPr>
        <w:t>’</w:t>
      </w:r>
      <w:r w:rsidRPr="00FB5D79">
        <w:rPr>
          <w:iCs/>
        </w:rPr>
        <w:t>expertise juridique et qu</w:t>
      </w:r>
      <w:r w:rsidR="00646944" w:rsidRPr="00FB5D79">
        <w:rPr>
          <w:iCs/>
        </w:rPr>
        <w:t>’</w:t>
      </w:r>
      <w:r w:rsidRPr="00FB5D79">
        <w:rPr>
          <w:iCs/>
        </w:rPr>
        <w:t>il est relativement facile d</w:t>
      </w:r>
      <w:r w:rsidR="00646944" w:rsidRPr="00FB5D79">
        <w:rPr>
          <w:iCs/>
        </w:rPr>
        <w:t>’</w:t>
      </w:r>
      <w:r w:rsidRPr="00FB5D79">
        <w:rPr>
          <w:iCs/>
        </w:rPr>
        <w:t xml:space="preserve">obtenir ce </w:t>
      </w:r>
      <w:r w:rsidR="003175EF" w:rsidRPr="00FB5D79">
        <w:rPr>
          <w:iCs/>
        </w:rPr>
        <w:t>type</w:t>
      </w:r>
      <w:r w:rsidRPr="00FB5D79">
        <w:rPr>
          <w:iCs/>
        </w:rPr>
        <w:t xml:space="preserve"> de conseils dans le domaine des droits de </w:t>
      </w:r>
      <w:r w:rsidR="00A43BAD" w:rsidRPr="00FB5D79">
        <w:rPr>
          <w:iCs/>
        </w:rPr>
        <w:t>propriété intellectuel</w:t>
      </w:r>
      <w:r w:rsidR="00172764" w:rsidRPr="00FB5D79">
        <w:rPr>
          <w:iCs/>
        </w:rPr>
        <w:t>le.  Ce</w:t>
      </w:r>
      <w:r w:rsidRPr="00FB5D79">
        <w:rPr>
          <w:iCs/>
        </w:rPr>
        <w:t xml:space="preserve">pendant, les capacités commerciales (expertise en </w:t>
      </w:r>
      <w:r w:rsidR="003175EF" w:rsidRPr="00FB5D79">
        <w:rPr>
          <w:iCs/>
        </w:rPr>
        <w:t xml:space="preserve">matière de </w:t>
      </w:r>
      <w:r w:rsidRPr="00FB5D79">
        <w:rPr>
          <w:iCs/>
        </w:rPr>
        <w:t>gestion de l</w:t>
      </w:r>
      <w:r w:rsidR="00646944" w:rsidRPr="00FB5D79">
        <w:rPr>
          <w:iCs/>
        </w:rPr>
        <w:t>’</w:t>
      </w:r>
      <w:r w:rsidRPr="00FB5D79">
        <w:rPr>
          <w:iCs/>
        </w:rPr>
        <w:t xml:space="preserve">innovation et plans </w:t>
      </w:r>
      <w:r w:rsidR="00403B4D" w:rsidRPr="00FB5D79">
        <w:rPr>
          <w:iCs/>
        </w:rPr>
        <w:t>d</w:t>
      </w:r>
      <w:r w:rsidR="00646944" w:rsidRPr="00FB5D79">
        <w:rPr>
          <w:iCs/>
        </w:rPr>
        <w:t>’</w:t>
      </w:r>
      <w:r w:rsidR="00403B4D" w:rsidRPr="00FB5D79">
        <w:rPr>
          <w:iCs/>
        </w:rPr>
        <w:t>action</w:t>
      </w:r>
      <w:r w:rsidRPr="00FB5D79">
        <w:rPr>
          <w:iCs/>
        </w:rPr>
        <w:t xml:space="preserve"> traitant </w:t>
      </w:r>
      <w:r w:rsidR="003175EF" w:rsidRPr="00FB5D79">
        <w:rPr>
          <w:iCs/>
        </w:rPr>
        <w:t>les</w:t>
      </w:r>
      <w:r w:rsidRPr="00FB5D79">
        <w:rPr>
          <w:iCs/>
        </w:rPr>
        <w:t xml:space="preserve"> questions de commercialisation et de </w:t>
      </w:r>
      <w:r w:rsidR="008C0D09" w:rsidRPr="00FB5D79">
        <w:rPr>
          <w:iCs/>
        </w:rPr>
        <w:t>cession</w:t>
      </w:r>
      <w:r w:rsidRPr="00FB5D79">
        <w:rPr>
          <w:iCs/>
        </w:rPr>
        <w:t xml:space="preserve"> </w:t>
      </w:r>
      <w:r w:rsidR="008C0D09" w:rsidRPr="00FB5D79">
        <w:rPr>
          <w:iCs/>
        </w:rPr>
        <w:t>de</w:t>
      </w:r>
      <w:r w:rsidRPr="00FB5D79">
        <w:rPr>
          <w:iCs/>
        </w:rPr>
        <w:t xml:space="preserve"> droits de </w:t>
      </w:r>
      <w:r w:rsidR="00A43BAD" w:rsidRPr="00FB5D79">
        <w:rPr>
          <w:iCs/>
        </w:rPr>
        <w:t>propriété intellectuelle</w:t>
      </w:r>
      <w:r w:rsidR="008C0D09" w:rsidRPr="00FB5D79">
        <w:rPr>
          <w:iCs/>
        </w:rPr>
        <w:t xml:space="preserve"> sous licence</w:t>
      </w:r>
      <w:r w:rsidRPr="00FB5D79">
        <w:rPr>
          <w:iCs/>
        </w:rPr>
        <w:t>) sont beaucoup moins développé</w:t>
      </w:r>
      <w:r w:rsidR="00172764" w:rsidRPr="00FB5D79">
        <w:rPr>
          <w:iCs/>
        </w:rPr>
        <w:t>es.  Le</w:t>
      </w:r>
      <w:r w:rsidRPr="00FB5D79">
        <w:rPr>
          <w:iCs/>
        </w:rPr>
        <w:t xml:space="preserve">s universités sont censées jouer un rôle </w:t>
      </w:r>
      <w:r w:rsidR="003175EF" w:rsidRPr="00FB5D79">
        <w:rPr>
          <w:iCs/>
        </w:rPr>
        <w:t>permettant de</w:t>
      </w:r>
      <w:r w:rsidRPr="00FB5D79">
        <w:rPr>
          <w:iCs/>
        </w:rPr>
        <w:t xml:space="preserve"> remédier </w:t>
      </w:r>
      <w:r w:rsidR="00D8459C" w:rsidRPr="00FB5D79">
        <w:rPr>
          <w:iCs/>
        </w:rPr>
        <w:t>à cette pénurie de compétences.</w:t>
      </w:r>
      <w:r w:rsidR="00646944" w:rsidRPr="00FB5D79">
        <w:rPr>
          <w:iCs/>
        </w:rPr>
        <w:t>”</w:t>
      </w:r>
    </w:p>
    <w:p w14:paraId="3BFE952E" w14:textId="7EED9FA4" w:rsidR="00735A4B" w:rsidRPr="00FB5D79" w:rsidRDefault="00537011" w:rsidP="009F022F">
      <w:pPr>
        <w:numPr>
          <w:ilvl w:val="0"/>
          <w:numId w:val="21"/>
        </w:numPr>
        <w:ind w:left="1134" w:hanging="567"/>
        <w:jc w:val="both"/>
      </w:pPr>
      <w:r w:rsidRPr="00FB5D79">
        <w:rPr>
          <w:iCs/>
        </w:rPr>
        <w:t>Les résultats de ces études devraient être présentés aux États membres à la vingt</w:t>
      </w:r>
      <w:r w:rsidR="00965F3A">
        <w:rPr>
          <w:iCs/>
        </w:rPr>
        <w:t>-</w:t>
      </w:r>
      <w:r w:rsidRPr="00FB5D79">
        <w:rPr>
          <w:iCs/>
        </w:rPr>
        <w:t>deux</w:t>
      </w:r>
      <w:r w:rsidR="00965F3A">
        <w:rPr>
          <w:iCs/>
        </w:rPr>
        <w:t>ième session</w:t>
      </w:r>
      <w:r w:rsidR="00646944" w:rsidRPr="00FB5D79">
        <w:rPr>
          <w:iCs/>
        </w:rPr>
        <w:t xml:space="preserve"> du CDI</w:t>
      </w:r>
      <w:r w:rsidRPr="00FB5D79">
        <w:rPr>
          <w:iCs/>
        </w:rPr>
        <w:t>P.</w:t>
      </w:r>
    </w:p>
    <w:p w14:paraId="30ADD9DB" w14:textId="0FCCF657" w:rsidR="00A43BAD" w:rsidRPr="00FB5D79" w:rsidRDefault="00A43BAD">
      <w:r w:rsidRPr="00FB5D79">
        <w:br w:type="page"/>
      </w:r>
    </w:p>
    <w:p w14:paraId="188B7FBA" w14:textId="078E7658" w:rsidR="00735A4B" w:rsidRPr="00FB5D79" w:rsidRDefault="00731C32" w:rsidP="00735A4B">
      <w:pPr>
        <w:jc w:val="both"/>
      </w:pPr>
      <w:r w:rsidRPr="00FB5D79">
        <w:rPr>
          <w:u w:val="single"/>
        </w:rPr>
        <w:lastRenderedPageBreak/>
        <w:t>Pologne</w:t>
      </w:r>
    </w:p>
    <w:p w14:paraId="3AAFBBE4" w14:textId="77777777" w:rsidR="00735A4B" w:rsidRPr="00FB5D79" w:rsidRDefault="00735A4B" w:rsidP="00735A4B">
      <w:pPr>
        <w:jc w:val="both"/>
      </w:pPr>
    </w:p>
    <w:p w14:paraId="0FAA19A9" w14:textId="3B48C7A1" w:rsidR="00646944" w:rsidRPr="00FB5D79" w:rsidRDefault="00040638" w:rsidP="009F022F">
      <w:pPr>
        <w:numPr>
          <w:ilvl w:val="0"/>
          <w:numId w:val="18"/>
        </w:numPr>
        <w:ind w:left="1134" w:hanging="567"/>
        <w:jc w:val="both"/>
      </w:pPr>
      <w:r w:rsidRPr="00FB5D79">
        <w:t>L</w:t>
      </w:r>
      <w:r w:rsidR="00646944" w:rsidRPr="00FB5D79">
        <w:t>’</w:t>
      </w:r>
      <w:r w:rsidRPr="00FB5D79">
        <w:t xml:space="preserve">étude visait à explorer le rôle du système de propriété intellectuelle </w:t>
      </w:r>
      <w:r w:rsidR="005C0EC7" w:rsidRPr="00FB5D79">
        <w:t xml:space="preserve">en </w:t>
      </w:r>
      <w:r w:rsidR="00D74486" w:rsidRPr="00FB5D79">
        <w:t>matière d</w:t>
      </w:r>
      <w:r w:rsidR="00646944" w:rsidRPr="00FB5D79">
        <w:t>’</w:t>
      </w:r>
      <w:r w:rsidRPr="00FB5D79">
        <w:t xml:space="preserve">innovations dans le secteur de la santé </w:t>
      </w:r>
      <w:r w:rsidR="00D74486" w:rsidRPr="00FB5D79">
        <w:t>ainsi que</w:t>
      </w:r>
      <w:r w:rsidRPr="00FB5D79">
        <w:t xml:space="preserve"> les caractéristiques des activités de recherche et développement (R</w:t>
      </w:r>
      <w:r w:rsidR="00965F3A">
        <w:t>-</w:t>
      </w:r>
      <w:r w:rsidRPr="00FB5D79">
        <w:t>D) et d</w:t>
      </w:r>
      <w:r w:rsidR="00646944" w:rsidRPr="00FB5D79">
        <w:t>’</w:t>
      </w:r>
      <w:r w:rsidRPr="00FB5D79">
        <w:t>innovation menées dans ce secteur.</w:t>
      </w:r>
    </w:p>
    <w:p w14:paraId="237DC75A" w14:textId="34D671EB" w:rsidR="00646944" w:rsidRPr="00FB5D79" w:rsidRDefault="00040638" w:rsidP="009F022F">
      <w:pPr>
        <w:numPr>
          <w:ilvl w:val="0"/>
          <w:numId w:val="18"/>
        </w:numPr>
        <w:ind w:left="1134" w:hanging="567"/>
        <w:jc w:val="both"/>
      </w:pPr>
      <w:r w:rsidRPr="00FB5D79">
        <w:t xml:space="preserve">Dans le cadre de la mise en œuvre </w:t>
      </w:r>
      <w:r w:rsidR="00D74486" w:rsidRPr="00FB5D79">
        <w:t>de l</w:t>
      </w:r>
      <w:r w:rsidR="00646944" w:rsidRPr="00FB5D79">
        <w:t>’</w:t>
      </w:r>
      <w:r w:rsidR="00D74486" w:rsidRPr="00FB5D79">
        <w:t>étude</w:t>
      </w:r>
      <w:r w:rsidRPr="00FB5D79">
        <w:t>, un atelier intermédiaire s</w:t>
      </w:r>
      <w:r w:rsidR="00646944" w:rsidRPr="00FB5D79">
        <w:t>’</w:t>
      </w:r>
      <w:r w:rsidRPr="00FB5D79">
        <w:t>est tenu à Cracovie en septembre</w:t>
      </w:r>
      <w:r w:rsidR="00D74486" w:rsidRPr="00FB5D79">
        <w:t> </w:t>
      </w:r>
      <w:r w:rsidRPr="00FB5D79">
        <w:t>2016.</w:t>
      </w:r>
    </w:p>
    <w:p w14:paraId="0DF953D4" w14:textId="77777777" w:rsidR="00646944" w:rsidRPr="00FB5D79" w:rsidRDefault="00040638" w:rsidP="009F022F">
      <w:pPr>
        <w:numPr>
          <w:ilvl w:val="0"/>
          <w:numId w:val="18"/>
        </w:numPr>
        <w:ind w:left="1134" w:hanging="567"/>
        <w:jc w:val="both"/>
      </w:pPr>
      <w:r w:rsidRPr="00FB5D79">
        <w:t xml:space="preserve">La mise en œuvre du projet a </w:t>
      </w:r>
      <w:r w:rsidR="007B67C8" w:rsidRPr="00FB5D79">
        <w:t>pris du retard</w:t>
      </w:r>
      <w:r w:rsidRPr="00FB5D79">
        <w:t>, comme indiqué.</w:t>
      </w:r>
    </w:p>
    <w:p w14:paraId="0F9CFE4B" w14:textId="22AF6E85" w:rsidR="00646944" w:rsidRPr="00FB5D79" w:rsidRDefault="00040638" w:rsidP="009F022F">
      <w:pPr>
        <w:numPr>
          <w:ilvl w:val="0"/>
          <w:numId w:val="18"/>
        </w:numPr>
        <w:ind w:left="1134" w:hanging="567"/>
        <w:jc w:val="both"/>
      </w:pPr>
      <w:r w:rsidRPr="00FB5D79">
        <w:t>L</w:t>
      </w:r>
      <w:r w:rsidR="00646944" w:rsidRPr="00FB5D79">
        <w:t>’</w:t>
      </w:r>
      <w:r w:rsidRPr="00FB5D79">
        <w:t xml:space="preserve">étude </w:t>
      </w:r>
      <w:r w:rsidR="00BE56F9" w:rsidRPr="00FB5D79">
        <w:t>s</w:t>
      </w:r>
      <w:r w:rsidR="00646944" w:rsidRPr="00FB5D79">
        <w:t>’</w:t>
      </w:r>
      <w:r w:rsidR="00BE56F9" w:rsidRPr="00FB5D79">
        <w:t>est terminée</w:t>
      </w:r>
      <w:r w:rsidRPr="00FB5D79">
        <w:t xml:space="preserve"> </w:t>
      </w:r>
      <w:r w:rsidR="00BE56F9" w:rsidRPr="00FB5D79">
        <w:t>il y a quelques</w:t>
      </w:r>
      <w:r w:rsidRPr="00FB5D79">
        <w:t xml:space="preserve"> mo</w:t>
      </w:r>
      <w:r w:rsidR="00172764" w:rsidRPr="00FB5D79">
        <w:t>is.  Se</w:t>
      </w:r>
      <w:r w:rsidRPr="00FB5D79">
        <w:t xml:space="preserve">lon les informations disponibles, </w:t>
      </w:r>
      <w:r w:rsidR="00BE56F9" w:rsidRPr="00FB5D79">
        <w:t>elle</w:t>
      </w:r>
      <w:r w:rsidRPr="00FB5D79">
        <w:t xml:space="preserve"> comprend trois</w:t>
      </w:r>
      <w:r w:rsidR="000E4777" w:rsidRPr="00FB5D79">
        <w:t> </w:t>
      </w:r>
      <w:r w:rsidRPr="00FB5D79">
        <w:t xml:space="preserve">documents de travail </w:t>
      </w:r>
      <w:r w:rsidR="00BE56F9" w:rsidRPr="00FB5D79">
        <w:t>sur les</w:t>
      </w:r>
      <w:r w:rsidRPr="00FB5D79">
        <w:t xml:space="preserve"> composantes quantitatives et qualitatives des conditions </w:t>
      </w:r>
      <w:r w:rsidR="00BE56F9" w:rsidRPr="00FB5D79">
        <w:t>qui prévalent</w:t>
      </w:r>
      <w:r w:rsidRPr="00FB5D79">
        <w:t xml:space="preserve"> </w:t>
      </w:r>
      <w:r w:rsidR="00BE56F9" w:rsidRPr="00FB5D79">
        <w:t xml:space="preserve">dans le secteur de la santé </w:t>
      </w:r>
      <w:r w:rsidRPr="00FB5D79">
        <w:t xml:space="preserve">en Pologne en </w:t>
      </w:r>
      <w:r w:rsidR="00F25509" w:rsidRPr="00FB5D79">
        <w:t>ce qui concerne l</w:t>
      </w:r>
      <w:r w:rsidR="00646944" w:rsidRPr="00FB5D79">
        <w:t>’</w:t>
      </w:r>
      <w:r w:rsidRPr="00FB5D79">
        <w:t xml:space="preserve">innovation, </w:t>
      </w:r>
      <w:r w:rsidR="00F25509" w:rsidRPr="00FB5D79">
        <w:t>le</w:t>
      </w:r>
      <w:r w:rsidRPr="00FB5D79">
        <w:t xml:space="preserve"> paysage des brevets </w:t>
      </w:r>
      <w:r w:rsidR="00F25509" w:rsidRPr="00FB5D79">
        <w:t>et</w:t>
      </w:r>
      <w:r w:rsidR="00BE56F9" w:rsidRPr="00FB5D79">
        <w:t xml:space="preserve"> les</w:t>
      </w:r>
      <w:r w:rsidRPr="00FB5D79">
        <w:t xml:space="preserve"> résultats d</w:t>
      </w:r>
      <w:r w:rsidR="00BE56F9" w:rsidRPr="00FB5D79">
        <w:t xml:space="preserve">es </w:t>
      </w:r>
      <w:r w:rsidRPr="00FB5D79">
        <w:t xml:space="preserve">entretiens structurés </w:t>
      </w:r>
      <w:r w:rsidR="00F25509" w:rsidRPr="00FB5D79">
        <w:t>qui ont eu lieu avec les</w:t>
      </w:r>
      <w:r w:rsidRPr="00FB5D79">
        <w:t xml:space="preserve"> parties prenantes</w:t>
      </w:r>
      <w:r w:rsidR="00F25509" w:rsidRPr="00FB5D79">
        <w:t xml:space="preserve">, </w:t>
      </w:r>
      <w:r w:rsidR="00965F3A">
        <w:t>à savoir</w:t>
      </w:r>
      <w:r w:rsidR="00F25509" w:rsidRPr="00FB5D79">
        <w:t xml:space="preserve"> notamment</w:t>
      </w:r>
      <w:r w:rsidRPr="00FB5D79">
        <w:t xml:space="preserve"> </w:t>
      </w:r>
      <w:r w:rsidR="008C0D09" w:rsidRPr="00FB5D79">
        <w:t>l</w:t>
      </w:r>
      <w:r w:rsidR="00646944" w:rsidRPr="00FB5D79">
        <w:t>’</w:t>
      </w:r>
      <w:r w:rsidR="008C0D09" w:rsidRPr="00FB5D79">
        <w:t xml:space="preserve">industrie pharmaceutique </w:t>
      </w:r>
      <w:r w:rsidRPr="00FB5D79">
        <w:t xml:space="preserve">et </w:t>
      </w:r>
      <w:r w:rsidR="008C0D09" w:rsidRPr="00FB5D79">
        <w:t>l</w:t>
      </w:r>
      <w:r w:rsidR="00646944" w:rsidRPr="00FB5D79">
        <w:t>’</w:t>
      </w:r>
      <w:r w:rsidR="008C0D09" w:rsidRPr="00FB5D79">
        <w:t xml:space="preserve">industrie des </w:t>
      </w:r>
      <w:r w:rsidRPr="00FB5D79">
        <w:t>technologies médicales, l</w:t>
      </w:r>
      <w:r w:rsidR="00646944" w:rsidRPr="00FB5D79">
        <w:t>’</w:t>
      </w:r>
      <w:r w:rsidRPr="00FB5D79">
        <w:t>Office national de la statistique, les ministères de la Santé et de l</w:t>
      </w:r>
      <w:r w:rsidR="00646944" w:rsidRPr="00FB5D79">
        <w:t>’</w:t>
      </w:r>
      <w:r w:rsidRPr="00FB5D79">
        <w:t>Entrepren</w:t>
      </w:r>
      <w:r w:rsidR="006F5974" w:rsidRPr="00FB5D79">
        <w:t>a</w:t>
      </w:r>
      <w:r w:rsidRPr="00FB5D79">
        <w:t>riat et des Technologies.</w:t>
      </w:r>
    </w:p>
    <w:p w14:paraId="2B1587E9" w14:textId="75617357" w:rsidR="00040638" w:rsidRPr="00FB5D79" w:rsidRDefault="004476F1" w:rsidP="009F022F">
      <w:pPr>
        <w:numPr>
          <w:ilvl w:val="0"/>
          <w:numId w:val="18"/>
        </w:numPr>
        <w:ind w:left="1134" w:hanging="567"/>
        <w:jc w:val="both"/>
      </w:pPr>
      <w:r w:rsidRPr="00FB5D79">
        <w:t>D</w:t>
      </w:r>
      <w:r w:rsidR="00646944" w:rsidRPr="00FB5D79">
        <w:t>’</w:t>
      </w:r>
      <w:r w:rsidRPr="00FB5D79">
        <w:t>après les entretiens</w:t>
      </w:r>
      <w:r w:rsidR="00040638" w:rsidRPr="00FB5D79">
        <w:t>, il s</w:t>
      </w:r>
      <w:r w:rsidR="00646944" w:rsidRPr="00FB5D79">
        <w:t>’</w:t>
      </w:r>
      <w:r w:rsidR="00040638" w:rsidRPr="00FB5D79">
        <w:t>agit d</w:t>
      </w:r>
      <w:r w:rsidR="00646944" w:rsidRPr="00FB5D79">
        <w:t>’</w:t>
      </w:r>
      <w:r w:rsidR="00040638" w:rsidRPr="00FB5D79">
        <w:t>un exercice important et uniq</w:t>
      </w:r>
      <w:r w:rsidR="00172764" w:rsidRPr="00FB5D79">
        <w:t>ue.  Il</w:t>
      </w:r>
      <w:r w:rsidR="004345CF" w:rsidRPr="00FB5D79">
        <w:t xml:space="preserve"> s</w:t>
      </w:r>
      <w:r w:rsidR="00646944" w:rsidRPr="00FB5D79">
        <w:t>’</w:t>
      </w:r>
      <w:r w:rsidR="004345CF" w:rsidRPr="00FB5D79">
        <w:t>agit du premier travail de</w:t>
      </w:r>
      <w:r w:rsidR="00040638" w:rsidRPr="00FB5D79">
        <w:t xml:space="preserve"> </w:t>
      </w:r>
      <w:proofErr w:type="gramStart"/>
      <w:r w:rsidR="00040638" w:rsidRPr="00FB5D79">
        <w:t xml:space="preserve">cette nature </w:t>
      </w:r>
      <w:r w:rsidR="00960003" w:rsidRPr="00FB5D79">
        <w:t>mené</w:t>
      </w:r>
      <w:proofErr w:type="gramEnd"/>
      <w:r w:rsidR="00960003" w:rsidRPr="00FB5D79">
        <w:t xml:space="preserve"> à bien</w:t>
      </w:r>
      <w:r w:rsidR="00040638" w:rsidRPr="00FB5D79">
        <w:t xml:space="preserve"> dans le pays.</w:t>
      </w:r>
    </w:p>
    <w:p w14:paraId="740BD28E" w14:textId="1B30F087" w:rsidR="00040638" w:rsidRPr="00FB5D79" w:rsidRDefault="00040638" w:rsidP="009F022F">
      <w:pPr>
        <w:numPr>
          <w:ilvl w:val="0"/>
          <w:numId w:val="18"/>
        </w:numPr>
        <w:ind w:left="1134" w:hanging="567"/>
        <w:jc w:val="both"/>
      </w:pPr>
      <w:r w:rsidRPr="00FB5D79">
        <w:t>Une grande réunion</w:t>
      </w:r>
      <w:r w:rsidR="00960003" w:rsidRPr="00FB5D79">
        <w:t xml:space="preserve"> visant à</w:t>
      </w:r>
      <w:r w:rsidRPr="00FB5D79">
        <w:t xml:space="preserve"> présenter </w:t>
      </w:r>
      <w:r w:rsidR="00960003" w:rsidRPr="00FB5D79">
        <w:t>à un large public</w:t>
      </w:r>
      <w:r w:rsidRPr="00FB5D79">
        <w:t xml:space="preserve"> les résultats et les recommandations de l</w:t>
      </w:r>
      <w:r w:rsidR="00646944" w:rsidRPr="00FB5D79">
        <w:t>’</w:t>
      </w:r>
      <w:r w:rsidRPr="00FB5D79">
        <w:t>étude</w:t>
      </w:r>
      <w:r w:rsidR="00960003" w:rsidRPr="00FB5D79">
        <w:t xml:space="preserve"> est prévue fin octobre 2018 en Pologne.</w:t>
      </w:r>
    </w:p>
    <w:p w14:paraId="02B32169" w14:textId="44EE1917" w:rsidR="00646944" w:rsidRPr="00FB5D79" w:rsidRDefault="00040638" w:rsidP="009F022F">
      <w:pPr>
        <w:numPr>
          <w:ilvl w:val="0"/>
          <w:numId w:val="18"/>
        </w:numPr>
        <w:ind w:left="1134" w:hanging="567"/>
        <w:jc w:val="both"/>
      </w:pPr>
      <w:r w:rsidRPr="00FB5D79">
        <w:t>L</w:t>
      </w:r>
      <w:r w:rsidR="00646944" w:rsidRPr="00FB5D79">
        <w:t>’</w:t>
      </w:r>
      <w:r w:rsidRPr="00FB5D79">
        <w:t xml:space="preserve">équipe </w:t>
      </w:r>
      <w:r w:rsidR="00960003" w:rsidRPr="00FB5D79">
        <w:t>de l</w:t>
      </w:r>
      <w:r w:rsidR="00646944" w:rsidRPr="00FB5D79">
        <w:t>’</w:t>
      </w:r>
      <w:r w:rsidR="00960003" w:rsidRPr="00FB5D79">
        <w:t>OMPI chargée du</w:t>
      </w:r>
      <w:r w:rsidRPr="00FB5D79">
        <w:t xml:space="preserve"> projet prévoit de présenter les principaux résultats de l</w:t>
      </w:r>
      <w:r w:rsidR="00646944" w:rsidRPr="00FB5D79">
        <w:t>’</w:t>
      </w:r>
      <w:r w:rsidRPr="00FB5D79">
        <w:t xml:space="preserve">étude à la </w:t>
      </w:r>
      <w:r w:rsidR="00C90DCB" w:rsidRPr="00FB5D79">
        <w:t>vingt</w:t>
      </w:r>
      <w:r w:rsidR="00965F3A">
        <w:t>-</w:t>
      </w:r>
      <w:r w:rsidR="00C90DCB" w:rsidRPr="00FB5D79">
        <w:t>deux</w:t>
      </w:r>
      <w:r w:rsidR="00965F3A">
        <w:t>ième session</w:t>
      </w:r>
      <w:r w:rsidR="00646944" w:rsidRPr="00FB5D79">
        <w:t xml:space="preserve"> du CDI</w:t>
      </w:r>
      <w:r w:rsidRPr="00FB5D79">
        <w:t>P.</w:t>
      </w:r>
    </w:p>
    <w:p w14:paraId="62B803F5" w14:textId="1D81414E" w:rsidR="00735A4B" w:rsidRPr="00FB5D79" w:rsidRDefault="00735A4B" w:rsidP="00735A4B">
      <w:pPr>
        <w:ind w:left="1080"/>
        <w:jc w:val="both"/>
      </w:pPr>
    </w:p>
    <w:p w14:paraId="5490229F" w14:textId="2539BA12" w:rsidR="00735A4B" w:rsidRPr="00C053D9" w:rsidRDefault="00C053D9" w:rsidP="00C053D9">
      <w:pPr>
        <w:pStyle w:val="Heading2"/>
        <w:numPr>
          <w:ilvl w:val="1"/>
          <w:numId w:val="3"/>
        </w:numPr>
      </w:pPr>
      <w:bookmarkStart w:id="17" w:name="_Toc530408365"/>
      <w:r w:rsidRPr="00C053D9">
        <w:t>Participants, information et diffusion des réalisations du projet</w:t>
      </w:r>
      <w:bookmarkEnd w:id="17"/>
    </w:p>
    <w:p w14:paraId="0A406332" w14:textId="32EE09CB" w:rsidR="00040638" w:rsidRPr="00FB5D79" w:rsidRDefault="00960003" w:rsidP="00040638">
      <w:pPr>
        <w:jc w:val="both"/>
      </w:pPr>
      <w:r w:rsidRPr="00FB5D79">
        <w:t>Lors de la</w:t>
      </w:r>
      <w:r w:rsidR="00040638" w:rsidRPr="00FB5D79">
        <w:t xml:space="preserve"> mise en œuvre du projet</w:t>
      </w:r>
      <w:r w:rsidRPr="00FB5D79">
        <w:t>, on s</w:t>
      </w:r>
      <w:r w:rsidR="00646944" w:rsidRPr="00FB5D79">
        <w:t>’</w:t>
      </w:r>
      <w:r w:rsidRPr="00FB5D79">
        <w:t>est efforcé d</w:t>
      </w:r>
      <w:r w:rsidR="00646944" w:rsidRPr="00FB5D79">
        <w:t>’</w:t>
      </w:r>
      <w:r w:rsidR="00040638" w:rsidRPr="00FB5D79">
        <w:t xml:space="preserve">impliquer différents acteurs et </w:t>
      </w:r>
      <w:r w:rsidRPr="00FB5D79">
        <w:t>de</w:t>
      </w:r>
      <w:r w:rsidR="00040638" w:rsidRPr="00FB5D79">
        <w:t xml:space="preserve"> diffuser </w:t>
      </w:r>
      <w:r w:rsidRPr="00FB5D79">
        <w:t>les</w:t>
      </w:r>
      <w:r w:rsidR="00040638" w:rsidRPr="00FB5D79">
        <w:t xml:space="preserve"> réalisations auprès d</w:t>
      </w:r>
      <w:r w:rsidR="00646944" w:rsidRPr="00FB5D79">
        <w:t>’</w:t>
      </w:r>
      <w:r w:rsidR="00040638" w:rsidRPr="00FB5D79">
        <w:t xml:space="preserve">un </w:t>
      </w:r>
      <w:r w:rsidRPr="00FB5D79">
        <w:t xml:space="preserve">large </w:t>
      </w:r>
      <w:r w:rsidR="00040638" w:rsidRPr="00FB5D79">
        <w:t>public.</w:t>
      </w:r>
    </w:p>
    <w:p w14:paraId="632A3753" w14:textId="77777777" w:rsidR="00040638" w:rsidRPr="00FB5D79" w:rsidRDefault="00040638" w:rsidP="00040638">
      <w:pPr>
        <w:jc w:val="both"/>
      </w:pPr>
    </w:p>
    <w:p w14:paraId="2D091006" w14:textId="22A2FB82" w:rsidR="00646944" w:rsidRPr="00FB5D79" w:rsidRDefault="00040638" w:rsidP="00040638">
      <w:pPr>
        <w:jc w:val="both"/>
      </w:pPr>
      <w:r w:rsidRPr="00FB5D79">
        <w:t>Comme indiqué dans la section précédente, une série d</w:t>
      </w:r>
      <w:r w:rsidR="00646944" w:rsidRPr="00FB5D79">
        <w:t>’</w:t>
      </w:r>
      <w:r w:rsidRPr="00FB5D79">
        <w:t xml:space="preserve">ateliers, de séminaires et de </w:t>
      </w:r>
      <w:r w:rsidR="008C0D09" w:rsidRPr="00FB5D79">
        <w:t>séances</w:t>
      </w:r>
      <w:r w:rsidRPr="00FB5D79">
        <w:t xml:space="preserve"> d</w:t>
      </w:r>
      <w:r w:rsidR="00646944" w:rsidRPr="00FB5D79">
        <w:t>’</w:t>
      </w:r>
      <w:r w:rsidRPr="00FB5D79">
        <w:t>information ont été organisés dans les pays partenaires au début</w:t>
      </w:r>
      <w:r w:rsidR="00960003" w:rsidRPr="00FB5D79">
        <w:t xml:space="preserve"> du projet</w:t>
      </w:r>
      <w:r w:rsidRPr="00FB5D79">
        <w:t xml:space="preserve">, pendant </w:t>
      </w:r>
      <w:r w:rsidR="00960003" w:rsidRPr="00FB5D79">
        <w:t xml:space="preserve">le projet </w:t>
      </w:r>
      <w:r w:rsidRPr="00FB5D79">
        <w:t>et à la fin du proj</w:t>
      </w:r>
      <w:r w:rsidR="00172764" w:rsidRPr="00FB5D79">
        <w:t>et.  D’u</w:t>
      </w:r>
      <w:r w:rsidRPr="00FB5D79">
        <w:t>ne manière générale, comme on peut le voir dans le</w:t>
      </w:r>
      <w:r w:rsidR="00966EA3" w:rsidRPr="00FB5D79">
        <w:t>s</w:t>
      </w:r>
      <w:r w:rsidRPr="00FB5D79">
        <w:t xml:space="preserve"> résumé</w:t>
      </w:r>
      <w:r w:rsidR="00966EA3" w:rsidRPr="00FB5D79">
        <w:t>s</w:t>
      </w:r>
      <w:r w:rsidRPr="00FB5D79">
        <w:t xml:space="preserve"> </w:t>
      </w:r>
      <w:r w:rsidR="00966EA3" w:rsidRPr="00FB5D79">
        <w:t>d</w:t>
      </w:r>
      <w:r w:rsidR="00646944" w:rsidRPr="00FB5D79">
        <w:t>’</w:t>
      </w:r>
      <w:r w:rsidRPr="00FB5D79">
        <w:t xml:space="preserve">études disponibles, ces rencontres </w:t>
      </w:r>
      <w:r w:rsidR="00966EA3" w:rsidRPr="00FB5D79">
        <w:t>impliquaient</w:t>
      </w:r>
      <w:r w:rsidRPr="00FB5D79">
        <w:t xml:space="preserve"> non seulement les offices de propriété intellectuelle, mais aussi des institutions et des </w:t>
      </w:r>
      <w:r w:rsidR="003C515D" w:rsidRPr="00FB5D79">
        <w:t>organismes</w:t>
      </w:r>
      <w:r w:rsidRPr="00FB5D79">
        <w:t xml:space="preserve"> travaillant dans le domaine d</w:t>
      </w:r>
      <w:r w:rsidR="00646944" w:rsidRPr="00FB5D79">
        <w:t>’</w:t>
      </w:r>
      <w:r w:rsidRPr="00FB5D79">
        <w:t>activité concerné.</w:t>
      </w:r>
    </w:p>
    <w:p w14:paraId="46349C36" w14:textId="14D43BDB" w:rsidR="00040638" w:rsidRPr="00FB5D79" w:rsidRDefault="00040638" w:rsidP="00040638">
      <w:pPr>
        <w:jc w:val="both"/>
      </w:pPr>
    </w:p>
    <w:p w14:paraId="71794B1A" w14:textId="5680F5CD" w:rsidR="00646944" w:rsidRPr="00FB5D79" w:rsidRDefault="00040638" w:rsidP="00040638">
      <w:pPr>
        <w:jc w:val="both"/>
      </w:pPr>
      <w:r w:rsidRPr="00FB5D79">
        <w:t>Comme dans le cas des e</w:t>
      </w:r>
      <w:r w:rsidR="00A66BC6" w:rsidRPr="00FB5D79">
        <w:t xml:space="preserve">xercices de collecte de données réalisés </w:t>
      </w:r>
      <w:r w:rsidRPr="00FB5D79">
        <w:t xml:space="preserve">au Brésil, en Colombie, au Chili et en Pologne, </w:t>
      </w:r>
      <w:r w:rsidR="00A66BC6" w:rsidRPr="00FB5D79">
        <w:t xml:space="preserve">par exemple, </w:t>
      </w:r>
      <w:r w:rsidRPr="00FB5D79">
        <w:t xml:space="preserve">le </w:t>
      </w:r>
      <w:r w:rsidR="003C515D" w:rsidRPr="00FB5D79">
        <w:t>projet</w:t>
      </w:r>
      <w:r w:rsidRPr="00FB5D79">
        <w:t xml:space="preserve"> a nécessité </w:t>
      </w:r>
      <w:r w:rsidR="003C515D" w:rsidRPr="00FB5D79">
        <w:t>la</w:t>
      </w:r>
      <w:r w:rsidRPr="00FB5D79">
        <w:t xml:space="preserve"> participation directe des offices nationaux de la statistiq</w:t>
      </w:r>
      <w:r w:rsidR="00172764" w:rsidRPr="00FB5D79">
        <w:t>ue.  D’a</w:t>
      </w:r>
      <w:r w:rsidRPr="00FB5D79">
        <w:t xml:space="preserve">utres </w:t>
      </w:r>
      <w:r w:rsidR="007E2C74" w:rsidRPr="00FB5D79">
        <w:t xml:space="preserve">institutions étatiques, telles </w:t>
      </w:r>
      <w:r w:rsidRPr="00FB5D79">
        <w:t xml:space="preserve">que </w:t>
      </w:r>
      <w:r w:rsidR="003C515D" w:rsidRPr="00FB5D79">
        <w:t>la direction</w:t>
      </w:r>
      <w:r w:rsidRPr="00FB5D79">
        <w:t xml:space="preserve"> col</w:t>
      </w:r>
      <w:r w:rsidR="003C515D" w:rsidRPr="00FB5D79">
        <w:t xml:space="preserve">ombienne de la Planification, le </w:t>
      </w:r>
      <w:r w:rsidR="000E4777" w:rsidRPr="00FB5D79">
        <w:t>Ministère</w:t>
      </w:r>
      <w:r w:rsidRPr="00FB5D79">
        <w:t xml:space="preserve"> colombien de l</w:t>
      </w:r>
      <w:r w:rsidR="00646944" w:rsidRPr="00FB5D79">
        <w:t>’</w:t>
      </w:r>
      <w:r w:rsidR="003C515D" w:rsidRPr="00FB5D79">
        <w:t>A</w:t>
      </w:r>
      <w:r w:rsidRPr="00FB5D79">
        <w:t xml:space="preserve">griculture </w:t>
      </w:r>
      <w:r w:rsidR="003C515D" w:rsidRPr="00FB5D79">
        <w:t xml:space="preserve">et le </w:t>
      </w:r>
      <w:r w:rsidR="000E4777" w:rsidRPr="00FB5D79">
        <w:t>Ministère</w:t>
      </w:r>
      <w:r w:rsidR="003C515D" w:rsidRPr="00FB5D79">
        <w:t xml:space="preserve"> polonais de la S</w:t>
      </w:r>
      <w:r w:rsidRPr="00FB5D79">
        <w:t>anté</w:t>
      </w:r>
      <w:r w:rsidR="003C515D" w:rsidRPr="00FB5D79">
        <w:t>, y ont également participé</w:t>
      </w:r>
      <w:r w:rsidRPr="00FB5D79">
        <w:t>.</w:t>
      </w:r>
    </w:p>
    <w:p w14:paraId="65BE5CE9" w14:textId="4FB86EA3" w:rsidR="00040638" w:rsidRPr="00FB5D79" w:rsidRDefault="00040638" w:rsidP="00040638">
      <w:pPr>
        <w:jc w:val="both"/>
      </w:pPr>
    </w:p>
    <w:p w14:paraId="081ED14E" w14:textId="00C9B0AC" w:rsidR="00646944" w:rsidRPr="00FB5D79" w:rsidRDefault="00040638" w:rsidP="00040638">
      <w:pPr>
        <w:jc w:val="both"/>
      </w:pPr>
      <w:r w:rsidRPr="00FB5D79">
        <w:t>Dans le</w:t>
      </w:r>
      <w:r w:rsidR="00B727BA" w:rsidRPr="00FB5D79">
        <w:t xml:space="preserve"> cadre du</w:t>
      </w:r>
      <w:r w:rsidRPr="00FB5D79">
        <w:t xml:space="preserve"> travail </w:t>
      </w:r>
      <w:r w:rsidR="00A66BC6" w:rsidRPr="00FB5D79">
        <w:t>novateur</w:t>
      </w:r>
      <w:r w:rsidRPr="00FB5D79">
        <w:t xml:space="preserve"> sur l</w:t>
      </w:r>
      <w:r w:rsidR="00646944" w:rsidRPr="00FB5D79">
        <w:t>’</w:t>
      </w:r>
      <w:r w:rsidRPr="00FB5D79">
        <w:t>agriculture</w:t>
      </w:r>
      <w:r w:rsidR="00B727BA" w:rsidRPr="00FB5D79">
        <w:t xml:space="preserve"> mené </w:t>
      </w:r>
      <w:r w:rsidRPr="00FB5D79">
        <w:t xml:space="preserve">en Ouganda, il a impliqué des institutions telles que le </w:t>
      </w:r>
      <w:r w:rsidR="003C515D" w:rsidRPr="00FB5D79">
        <w:t xml:space="preserve">Conseil national ougandais pour la science et la technologie (UNCST) </w:t>
      </w:r>
      <w:r w:rsidRPr="00FB5D79">
        <w:t xml:space="preserve">et le </w:t>
      </w:r>
      <w:r w:rsidR="003C515D" w:rsidRPr="00FB5D79">
        <w:rPr>
          <w:rFonts w:eastAsia="Times New Roman"/>
          <w:lang w:eastAsia="en-US"/>
        </w:rPr>
        <w:t>Bureau des services d</w:t>
      </w:r>
      <w:r w:rsidR="00646944" w:rsidRPr="00FB5D79">
        <w:rPr>
          <w:rFonts w:eastAsia="Times New Roman"/>
          <w:lang w:eastAsia="en-US"/>
        </w:rPr>
        <w:t>’</w:t>
      </w:r>
      <w:r w:rsidR="003C515D" w:rsidRPr="00FB5D79">
        <w:rPr>
          <w:rFonts w:eastAsia="Times New Roman"/>
          <w:lang w:eastAsia="en-US"/>
        </w:rPr>
        <w:t>enregistrement de l</w:t>
      </w:r>
      <w:r w:rsidR="00646944" w:rsidRPr="00FB5D79">
        <w:rPr>
          <w:rFonts w:eastAsia="Times New Roman"/>
          <w:lang w:eastAsia="en-US"/>
        </w:rPr>
        <w:t>’</w:t>
      </w:r>
      <w:r w:rsidR="003C515D" w:rsidRPr="00FB5D79">
        <w:rPr>
          <w:rFonts w:eastAsia="Times New Roman"/>
          <w:lang w:eastAsia="en-US"/>
        </w:rPr>
        <w:t>Ouganda (URSB)</w:t>
      </w:r>
      <w:r w:rsidRPr="00FB5D79">
        <w:t>.</w:t>
      </w:r>
    </w:p>
    <w:p w14:paraId="25103E68" w14:textId="55430B8C" w:rsidR="00040638" w:rsidRPr="00FB5D79" w:rsidRDefault="00040638" w:rsidP="00040638">
      <w:pPr>
        <w:jc w:val="both"/>
      </w:pPr>
    </w:p>
    <w:p w14:paraId="7B36EDAD" w14:textId="5C4CFAA6" w:rsidR="00040638" w:rsidRPr="00FB5D79" w:rsidRDefault="00147800" w:rsidP="00040638">
      <w:pPr>
        <w:jc w:val="both"/>
      </w:pPr>
      <w:r w:rsidRPr="00FB5D79">
        <w:t>S</w:t>
      </w:r>
      <w:r w:rsidR="00646944" w:rsidRPr="00FB5D79">
        <w:t>’</w:t>
      </w:r>
      <w:r w:rsidRPr="00FB5D79">
        <w:t>agissant</w:t>
      </w:r>
      <w:r w:rsidR="00040638" w:rsidRPr="00FB5D79">
        <w:t xml:space="preserve"> de l</w:t>
      </w:r>
      <w:r w:rsidR="00646944" w:rsidRPr="00FB5D79">
        <w:t>’</w:t>
      </w:r>
      <w:r w:rsidR="00040638" w:rsidRPr="00FB5D79">
        <w:t xml:space="preserve">étude </w:t>
      </w:r>
      <w:r w:rsidRPr="00FB5D79">
        <w:t>sur les pays d</w:t>
      </w:r>
      <w:r w:rsidR="00646944" w:rsidRPr="00FB5D79">
        <w:t>’</w:t>
      </w:r>
      <w:r w:rsidRPr="00FB5D79">
        <w:t>Amérique centrale</w:t>
      </w:r>
      <w:r w:rsidR="00040638" w:rsidRPr="00FB5D79">
        <w:t>, des ateliers et des discussions tec</w:t>
      </w:r>
      <w:r w:rsidR="003C515D" w:rsidRPr="00FB5D79">
        <w:t xml:space="preserve">hniques </w:t>
      </w:r>
      <w:r w:rsidRPr="00FB5D79">
        <w:t>sur les</w:t>
      </w:r>
      <w:r w:rsidR="00040638" w:rsidRPr="00FB5D79">
        <w:t xml:space="preserve"> résultats préliminaires de l</w:t>
      </w:r>
      <w:r w:rsidR="00646944" w:rsidRPr="00FB5D79">
        <w:t>’</w:t>
      </w:r>
      <w:r w:rsidR="00040638" w:rsidRPr="00FB5D79">
        <w:t>étude régionale</w:t>
      </w:r>
      <w:r w:rsidR="003C515D" w:rsidRPr="00FB5D79">
        <w:t xml:space="preserve"> ont été organisés au Salvad</w:t>
      </w:r>
      <w:r w:rsidR="00172764" w:rsidRPr="00FB5D79">
        <w:t>or.  L’a</w:t>
      </w:r>
      <w:r w:rsidR="00040638" w:rsidRPr="00FB5D79">
        <w:t xml:space="preserve">telier </w:t>
      </w:r>
      <w:r w:rsidR="003C515D" w:rsidRPr="00FB5D79">
        <w:t>s</w:t>
      </w:r>
      <w:r w:rsidR="00646944" w:rsidRPr="00FB5D79">
        <w:t>’</w:t>
      </w:r>
      <w:r w:rsidR="003C515D" w:rsidRPr="00FB5D79">
        <w:t>adressait</w:t>
      </w:r>
      <w:r w:rsidR="00040638" w:rsidRPr="00FB5D79">
        <w:t xml:space="preserve"> aux représentants techniques du Costa</w:t>
      </w:r>
      <w:r w:rsidR="000E4777" w:rsidRPr="00FB5D79">
        <w:t> </w:t>
      </w:r>
      <w:r w:rsidR="00040638" w:rsidRPr="00FB5D79">
        <w:t>Rica, d</w:t>
      </w:r>
      <w:r w:rsidR="00646944" w:rsidRPr="00FB5D79">
        <w:t>’</w:t>
      </w:r>
      <w:r w:rsidR="00040638" w:rsidRPr="00FB5D79">
        <w:t>El</w:t>
      </w:r>
      <w:r w:rsidR="000E4777" w:rsidRPr="00FB5D79">
        <w:t> </w:t>
      </w:r>
      <w:r w:rsidR="00040638" w:rsidRPr="00FB5D79">
        <w:t>Salvador, du Guatemala, du Honduras, du Nicaragua, du Panama et de la République dominicai</w:t>
      </w:r>
      <w:r w:rsidR="00172764" w:rsidRPr="00FB5D79">
        <w:t>ne.  L’é</w:t>
      </w:r>
      <w:r w:rsidR="003C515D" w:rsidRPr="00FB5D79">
        <w:t xml:space="preserve">tude </w:t>
      </w:r>
      <w:r w:rsidRPr="00FB5D79">
        <w:t>sur les pays d</w:t>
      </w:r>
      <w:r w:rsidR="00646944" w:rsidRPr="00FB5D79">
        <w:t>’</w:t>
      </w:r>
      <w:r w:rsidR="00040638" w:rsidRPr="00FB5D79">
        <w:t xml:space="preserve">Amérique centrale </w:t>
      </w:r>
      <w:r w:rsidR="003C515D" w:rsidRPr="00FB5D79">
        <w:t>a</w:t>
      </w:r>
      <w:r w:rsidR="00040638" w:rsidRPr="00FB5D79">
        <w:t xml:space="preserve"> été présen</w:t>
      </w:r>
      <w:r w:rsidR="003C515D" w:rsidRPr="00FB5D79">
        <w:t>tée et approuvée à l</w:t>
      </w:r>
      <w:r w:rsidR="00646944" w:rsidRPr="00FB5D79">
        <w:t>’</w:t>
      </w:r>
      <w:r w:rsidR="003C515D" w:rsidRPr="00FB5D79">
        <w:t>occasion de la cinquième conférence ministérielle d</w:t>
      </w:r>
      <w:r w:rsidR="00646944" w:rsidRPr="00FB5D79">
        <w:t>’</w:t>
      </w:r>
      <w:r w:rsidR="003C515D" w:rsidRPr="00FB5D79">
        <w:t>Amérique centrale sur la propriété intellectuelle</w:t>
      </w:r>
      <w:r w:rsidR="00040638" w:rsidRPr="00FB5D79">
        <w:t>, tenue en juillet</w:t>
      </w:r>
      <w:r w:rsidR="003C515D" w:rsidRPr="00FB5D79">
        <w:t> </w:t>
      </w:r>
      <w:r w:rsidR="00040638" w:rsidRPr="00FB5D79">
        <w:t>2017.</w:t>
      </w:r>
    </w:p>
    <w:p w14:paraId="0548F425" w14:textId="77777777" w:rsidR="00040638" w:rsidRPr="00FB5D79" w:rsidRDefault="00040638" w:rsidP="00040638">
      <w:pPr>
        <w:jc w:val="both"/>
      </w:pPr>
    </w:p>
    <w:p w14:paraId="18C76504" w14:textId="77777777" w:rsidR="00966EA3" w:rsidRPr="00FB5D79" w:rsidRDefault="00966EA3">
      <w:r w:rsidRPr="00FB5D79">
        <w:br w:type="page"/>
      </w:r>
    </w:p>
    <w:p w14:paraId="5ACAF14D" w14:textId="15BBA067" w:rsidR="00040638" w:rsidRPr="00FB5D79" w:rsidRDefault="00226FFA" w:rsidP="00040638">
      <w:pPr>
        <w:jc w:val="both"/>
      </w:pPr>
      <w:r w:rsidRPr="00FB5D79">
        <w:lastRenderedPageBreak/>
        <w:t>S</w:t>
      </w:r>
      <w:r w:rsidR="00646944" w:rsidRPr="00FB5D79">
        <w:t>’</w:t>
      </w:r>
      <w:r w:rsidRPr="00FB5D79">
        <w:t>agissant de</w:t>
      </w:r>
      <w:r w:rsidR="00966EA3" w:rsidRPr="00FB5D79">
        <w:t xml:space="preserve"> la Pologne, </w:t>
      </w:r>
      <w:r w:rsidR="00480511" w:rsidRPr="00FB5D79">
        <w:t>l</w:t>
      </w:r>
      <w:r w:rsidR="00646944" w:rsidRPr="00FB5D79">
        <w:t>’</w:t>
      </w:r>
      <w:r w:rsidR="00480511" w:rsidRPr="00FB5D79">
        <w:t>équipe chargée du projet</w:t>
      </w:r>
      <w:r w:rsidR="00040638" w:rsidRPr="00FB5D79">
        <w:t xml:space="preserve"> s</w:t>
      </w:r>
      <w:r w:rsidR="00646944" w:rsidRPr="00FB5D79">
        <w:t>’</w:t>
      </w:r>
      <w:r w:rsidR="00040638" w:rsidRPr="00FB5D79">
        <w:t xml:space="preserve">est rendue en Pologne </w:t>
      </w:r>
      <w:r w:rsidR="00BC172C" w:rsidRPr="00FB5D79">
        <w:t xml:space="preserve">en mars 2015 </w:t>
      </w:r>
      <w:r w:rsidR="00040638" w:rsidRPr="00FB5D79">
        <w:t>pour lancer l</w:t>
      </w:r>
      <w:r w:rsidR="00646944" w:rsidRPr="00FB5D79">
        <w:t>’</w:t>
      </w:r>
      <w:r w:rsidR="00040638" w:rsidRPr="00FB5D79">
        <w:t>étu</w:t>
      </w:r>
      <w:r w:rsidR="00172764" w:rsidRPr="00FB5D79">
        <w:t>de.  Da</w:t>
      </w:r>
      <w:r w:rsidR="00040638" w:rsidRPr="00FB5D79">
        <w:t>ns ce contexte, l</w:t>
      </w:r>
      <w:r w:rsidR="00646944" w:rsidRPr="00FB5D79">
        <w:t>’</w:t>
      </w:r>
      <w:r w:rsidR="00040638" w:rsidRPr="00FB5D79">
        <w:t>Office des brevets de la République de Pologne a organisé un atelier auquel ont participé 29</w:t>
      </w:r>
      <w:r w:rsidR="00966EA3" w:rsidRPr="00FB5D79">
        <w:t> </w:t>
      </w:r>
      <w:r w:rsidR="00040638" w:rsidRPr="00FB5D79">
        <w:t>représentants d</w:t>
      </w:r>
      <w:r w:rsidR="00646944" w:rsidRPr="00FB5D79">
        <w:t>’</w:t>
      </w:r>
      <w:r w:rsidR="00040638" w:rsidRPr="00FB5D79">
        <w:t>universités nationales, d</w:t>
      </w:r>
      <w:r w:rsidR="00646944" w:rsidRPr="00FB5D79">
        <w:t>’</w:t>
      </w:r>
      <w:r w:rsidR="00040638" w:rsidRPr="00FB5D79">
        <w:t>offices de</w:t>
      </w:r>
      <w:r w:rsidR="00BC172C" w:rsidRPr="00FB5D79">
        <w:t>s</w:t>
      </w:r>
      <w:r w:rsidR="00040638" w:rsidRPr="00FB5D79">
        <w:t xml:space="preserve"> brevets, d</w:t>
      </w:r>
      <w:r w:rsidR="00646944" w:rsidRPr="00FB5D79">
        <w:t>’</w:t>
      </w:r>
      <w:r w:rsidR="00040638" w:rsidRPr="00FB5D79">
        <w:t xml:space="preserve">organismes publics </w:t>
      </w:r>
      <w:r w:rsidR="00966EA3" w:rsidRPr="00FB5D79">
        <w:t>et de centres de recherc</w:t>
      </w:r>
      <w:r w:rsidR="00172764" w:rsidRPr="00FB5D79">
        <w:t>he.  En</w:t>
      </w:r>
      <w:r w:rsidR="00966EA3" w:rsidRPr="00FB5D79">
        <w:t> </w:t>
      </w:r>
      <w:r w:rsidR="00040638" w:rsidRPr="00FB5D79">
        <w:t xml:space="preserve">2016, </w:t>
      </w:r>
      <w:r w:rsidR="00480511" w:rsidRPr="00FB5D79">
        <w:t>l</w:t>
      </w:r>
      <w:r w:rsidR="00646944" w:rsidRPr="00FB5D79">
        <w:t>’</w:t>
      </w:r>
      <w:r w:rsidR="00480511" w:rsidRPr="00FB5D79">
        <w:t>équipe chargée du projet</w:t>
      </w:r>
      <w:r w:rsidR="00040638" w:rsidRPr="00FB5D79">
        <w:t xml:space="preserve"> a participé à un atelier intermédiaire (le colloque international sur la propriété industrielle dans une économie innovante) </w:t>
      </w:r>
      <w:r w:rsidR="00423F2E" w:rsidRPr="00FB5D79">
        <w:t>visant à</w:t>
      </w:r>
      <w:r w:rsidR="00040638" w:rsidRPr="00FB5D79">
        <w:t xml:space="preserve"> examiner les résultats préliminaires de l</w:t>
      </w:r>
      <w:r w:rsidR="00646944" w:rsidRPr="00FB5D79">
        <w:t>’</w:t>
      </w:r>
      <w:r w:rsidR="00040638" w:rsidRPr="00FB5D79">
        <w:t>étu</w:t>
      </w:r>
      <w:r w:rsidR="00172764" w:rsidRPr="00FB5D79">
        <w:t>de.  L’a</w:t>
      </w:r>
      <w:r w:rsidR="00040638" w:rsidRPr="00FB5D79">
        <w:t>telier s</w:t>
      </w:r>
      <w:r w:rsidR="00646944" w:rsidRPr="00FB5D79">
        <w:t>’</w:t>
      </w:r>
      <w:r w:rsidR="00040638" w:rsidRPr="00FB5D79">
        <w:t>est tenu à Cracovie, en Polo</w:t>
      </w:r>
      <w:r w:rsidR="00966EA3" w:rsidRPr="00FB5D79">
        <w:t>gne</w:t>
      </w:r>
      <w:r w:rsidR="00423F2E" w:rsidRPr="00FB5D79">
        <w:t>, et</w:t>
      </w:r>
      <w:r w:rsidR="00966EA3" w:rsidRPr="00FB5D79">
        <w:t xml:space="preserve"> plus de 300 </w:t>
      </w:r>
      <w:r w:rsidR="00040638" w:rsidRPr="00FB5D79">
        <w:t>experts locaux et internationaux</w:t>
      </w:r>
      <w:r w:rsidR="00423F2E" w:rsidRPr="00FB5D79">
        <w:t xml:space="preserve"> y ont partici</w:t>
      </w:r>
      <w:r w:rsidR="00172764" w:rsidRPr="00FB5D79">
        <w:t>pé.  Co</w:t>
      </w:r>
      <w:r w:rsidR="00040638" w:rsidRPr="00FB5D79">
        <w:t xml:space="preserve">mme </w:t>
      </w:r>
      <w:r w:rsidR="00423F2E" w:rsidRPr="00FB5D79">
        <w:t>indiqué précédemment</w:t>
      </w:r>
      <w:r w:rsidR="00040638" w:rsidRPr="00FB5D79">
        <w:t xml:space="preserve">, une dernière réunion à laquelle participeront des </w:t>
      </w:r>
      <w:r w:rsidR="007E2C74" w:rsidRPr="00FB5D79">
        <w:t>représentants</w:t>
      </w:r>
      <w:r w:rsidR="00040638" w:rsidRPr="00FB5D79">
        <w:t xml:space="preserve"> de l</w:t>
      </w:r>
      <w:r w:rsidR="00646944" w:rsidRPr="00FB5D79">
        <w:t>’</w:t>
      </w:r>
      <w:r w:rsidR="007E2C74" w:rsidRPr="00FB5D79">
        <w:t xml:space="preserve">industrie, </w:t>
      </w:r>
      <w:r w:rsidR="00040638" w:rsidRPr="00FB5D79">
        <w:t xml:space="preserve">de différents ministères et </w:t>
      </w:r>
      <w:r w:rsidR="007E2C74" w:rsidRPr="00FB5D79">
        <w:t>d</w:t>
      </w:r>
      <w:r w:rsidR="00646944" w:rsidRPr="00FB5D79">
        <w:t>’</w:t>
      </w:r>
      <w:r w:rsidR="007E2C74" w:rsidRPr="00FB5D79">
        <w:t>institutions étatiques</w:t>
      </w:r>
      <w:r w:rsidR="005924D1" w:rsidRPr="00FB5D79">
        <w:t xml:space="preserve"> doit se tenir au mois d</w:t>
      </w:r>
      <w:r w:rsidR="00646944" w:rsidRPr="00FB5D79">
        <w:t>’</w:t>
      </w:r>
      <w:r w:rsidR="005924D1" w:rsidRPr="00FB5D79">
        <w:t>octobre de cette année.</w:t>
      </w:r>
    </w:p>
    <w:p w14:paraId="36980A37" w14:textId="77777777" w:rsidR="00040638" w:rsidRPr="00FB5D79" w:rsidRDefault="00040638" w:rsidP="00040638">
      <w:pPr>
        <w:jc w:val="both"/>
      </w:pPr>
    </w:p>
    <w:p w14:paraId="61A676E7" w14:textId="13D24E06" w:rsidR="00735A4B" w:rsidRPr="00FB5D79" w:rsidRDefault="00040638" w:rsidP="00040638">
      <w:pPr>
        <w:jc w:val="both"/>
      </w:pPr>
      <w:r w:rsidRPr="00FB5D79">
        <w:t>Lors d</w:t>
      </w:r>
      <w:r w:rsidR="00646944" w:rsidRPr="00FB5D79">
        <w:t>’</w:t>
      </w:r>
      <w:r w:rsidRPr="00FB5D79">
        <w:t>une manifestatio</w:t>
      </w:r>
      <w:r w:rsidR="007E2C74" w:rsidRPr="00FB5D79">
        <w:t xml:space="preserve">n organisée à Buenos Aires en </w:t>
      </w:r>
      <w:r w:rsidR="00966EA3" w:rsidRPr="00FB5D79">
        <w:t>mai </w:t>
      </w:r>
      <w:r w:rsidRPr="00FB5D79">
        <w:t>2018 par l</w:t>
      </w:r>
      <w:r w:rsidR="00646944" w:rsidRPr="00FB5D79">
        <w:t>’</w:t>
      </w:r>
      <w:r w:rsidRPr="00FB5D79">
        <w:t>OMPI à l</w:t>
      </w:r>
      <w:r w:rsidR="00646944" w:rsidRPr="00FB5D79">
        <w:t>’</w:t>
      </w:r>
      <w:r w:rsidRPr="00FB5D79">
        <w:t>occasion de la Réunion régionale des directeurs des offices de propriété industrielle et des organismes de promotion des exportations et des investissements des pays d</w:t>
      </w:r>
      <w:r w:rsidR="00646944" w:rsidRPr="00FB5D79">
        <w:t>’</w:t>
      </w:r>
      <w:r w:rsidRPr="00FB5D79">
        <w:t xml:space="preserve">Amérique latine, les études socioéconomiques </w:t>
      </w:r>
      <w:r w:rsidR="00AB174B" w:rsidRPr="00FB5D79">
        <w:t>menées</w:t>
      </w:r>
      <w:r w:rsidRPr="00FB5D79">
        <w:t xml:space="preserve"> dans le cadre du projet</w:t>
      </w:r>
      <w:r w:rsidR="00965F3A">
        <w:t>-</w:t>
      </w:r>
      <w:r w:rsidRPr="00FB5D79">
        <w:t xml:space="preserve">cadre ont été présentées comme un progrès important </w:t>
      </w:r>
      <w:r w:rsidR="007E2C74" w:rsidRPr="00FB5D79">
        <w:t>permettant de mieux cerner</w:t>
      </w:r>
      <w:r w:rsidRPr="00FB5D79">
        <w:t xml:space="preserve"> le rôle de la propriété intellectuelle et ses </w:t>
      </w:r>
      <w:r w:rsidR="00AB174B" w:rsidRPr="00FB5D79">
        <w:t>effets</w:t>
      </w:r>
      <w:r w:rsidRPr="00FB5D79">
        <w:t xml:space="preserve"> </w:t>
      </w:r>
      <w:r w:rsidR="005C6194" w:rsidRPr="00FB5D79">
        <w:t>sur le développement socioéconomiq</w:t>
      </w:r>
      <w:r w:rsidR="00172764" w:rsidRPr="00FB5D79">
        <w:t>ue.  Il</w:t>
      </w:r>
      <w:r w:rsidRPr="00FB5D79">
        <w:t xml:space="preserve"> a été recommandé que </w:t>
      </w:r>
      <w:r w:rsidR="005C6194" w:rsidRPr="00FB5D79">
        <w:t>les</w:t>
      </w:r>
      <w:r w:rsidRPr="00FB5D79">
        <w:t xml:space="preserve"> études de cette nature soient reproduites dans les différents pays de la région et développé</w:t>
      </w:r>
      <w:r w:rsidR="00172764" w:rsidRPr="00FB5D79">
        <w:t>es.  Le</w:t>
      </w:r>
      <w:r w:rsidRPr="00FB5D79">
        <w:t xml:space="preserve">s activités </w:t>
      </w:r>
      <w:r w:rsidR="005C6194" w:rsidRPr="00FB5D79">
        <w:t>menées dans le cadre du</w:t>
      </w:r>
      <w:r w:rsidRPr="00FB5D79">
        <w:t xml:space="preserve"> projet ont donné lieu à une initiative</w:t>
      </w:r>
      <w:r w:rsidR="005C6194" w:rsidRPr="00FB5D79">
        <w:t xml:space="preserve"> à laquelle</w:t>
      </w:r>
      <w:r w:rsidR="00646944" w:rsidRPr="00FB5D79">
        <w:t xml:space="preserve"> le PRO</w:t>
      </w:r>
      <w:r w:rsidRPr="00FB5D79">
        <w:t>SUR</w:t>
      </w:r>
      <w:r w:rsidR="00735A4B" w:rsidRPr="00FB5D79">
        <w:rPr>
          <w:vertAlign w:val="superscript"/>
        </w:rPr>
        <w:footnoteReference w:id="19"/>
      </w:r>
      <w:r w:rsidR="00735A4B" w:rsidRPr="00FB5D79">
        <w:t xml:space="preserve"> </w:t>
      </w:r>
      <w:r w:rsidR="005C6194" w:rsidRPr="00FB5D79">
        <w:t>envisage d</w:t>
      </w:r>
      <w:r w:rsidR="00646944" w:rsidRPr="00FB5D79">
        <w:t>’</w:t>
      </w:r>
      <w:r w:rsidR="005C6194" w:rsidRPr="00FB5D79">
        <w:t xml:space="preserve">avoir recours </w:t>
      </w:r>
      <w:r w:rsidRPr="00FB5D79">
        <w:t xml:space="preserve">pour développer les travaux sur les données et les statistiques en matière de propriété intellectuelle en vue de nouvelles études </w:t>
      </w:r>
      <w:r w:rsidR="005C6194" w:rsidRPr="00FB5D79">
        <w:t>sur la propriété intellectuelle</w:t>
      </w:r>
      <w:r w:rsidRPr="00FB5D79">
        <w:t>.</w:t>
      </w:r>
    </w:p>
    <w:p w14:paraId="4A2C6B69" w14:textId="2C65BEFB" w:rsidR="00735A4B" w:rsidRPr="00FB5D79" w:rsidRDefault="00735A4B" w:rsidP="00735A4B">
      <w:pPr>
        <w:jc w:val="both"/>
      </w:pPr>
    </w:p>
    <w:p w14:paraId="25217FC6" w14:textId="4A84E12C" w:rsidR="00735A4B" w:rsidRPr="00FB5D79" w:rsidRDefault="005A4A1B" w:rsidP="00735A4B">
      <w:pPr>
        <w:jc w:val="both"/>
      </w:pPr>
      <w:r w:rsidRPr="00FB5D79">
        <w:t>Le Secrétariat a diffusé les</w:t>
      </w:r>
      <w:r w:rsidR="007E2C74" w:rsidRPr="00FB5D79">
        <w:t xml:space="preserve"> informations relatives</w:t>
      </w:r>
      <w:r w:rsidR="00040638" w:rsidRPr="00FB5D79">
        <w:t xml:space="preserve"> au projet</w:t>
      </w:r>
      <w:r w:rsidRPr="00FB5D79">
        <w:t xml:space="preserve"> par le biais de</w:t>
      </w:r>
      <w:r w:rsidR="00040638" w:rsidRPr="00FB5D79">
        <w:t xml:space="preserve"> publications en </w:t>
      </w:r>
      <w:proofErr w:type="gramStart"/>
      <w:r w:rsidR="00040638" w:rsidRPr="00FB5D79">
        <w:t>ligne</w:t>
      </w:r>
      <w:r w:rsidRPr="00FB5D79">
        <w:t>;  il</w:t>
      </w:r>
      <w:proofErr w:type="gramEnd"/>
      <w:r w:rsidRPr="00FB5D79">
        <w:t xml:space="preserve"> a également eu recours</w:t>
      </w:r>
      <w:r w:rsidR="00646944" w:rsidRPr="00FB5D79">
        <w:t xml:space="preserve"> au CDI</w:t>
      </w:r>
      <w:r w:rsidR="00040638" w:rsidRPr="00FB5D79">
        <w:t>P comme</w:t>
      </w:r>
      <w:r w:rsidR="007E2C74" w:rsidRPr="00FB5D79">
        <w:t xml:space="preserve"> moyen de fournir des rapports sur l</w:t>
      </w:r>
      <w:r w:rsidR="00646944" w:rsidRPr="00FB5D79">
        <w:t>’</w:t>
      </w:r>
      <w:r w:rsidR="007E2C74" w:rsidRPr="00FB5D79">
        <w:t>état d</w:t>
      </w:r>
      <w:r w:rsidR="00646944" w:rsidRPr="00FB5D79">
        <w:t>’</w:t>
      </w:r>
      <w:r w:rsidR="00040638" w:rsidRPr="00FB5D79">
        <w:t xml:space="preserve">avancement </w:t>
      </w:r>
      <w:r w:rsidR="007E2C74" w:rsidRPr="00FB5D79">
        <w:t>de</w:t>
      </w:r>
      <w:r w:rsidR="00040638" w:rsidRPr="00FB5D79">
        <w:t xml:space="preserve"> la mise en œuvre du proj</w:t>
      </w:r>
      <w:r w:rsidR="00172764" w:rsidRPr="00FB5D79">
        <w:t>et.  Le</w:t>
      </w:r>
      <w:r w:rsidR="00040638" w:rsidRPr="00FB5D79">
        <w:t>s rapports d</w:t>
      </w:r>
      <w:r w:rsidR="00646944" w:rsidRPr="00FB5D79">
        <w:t>’</w:t>
      </w:r>
      <w:r w:rsidR="00040638" w:rsidRPr="00FB5D79">
        <w:t>étude et le</w:t>
      </w:r>
      <w:r w:rsidR="003E06CA" w:rsidRPr="00FB5D79">
        <w:t>s</w:t>
      </w:r>
      <w:r w:rsidR="00040638" w:rsidRPr="00FB5D79">
        <w:t xml:space="preserve"> résumé</w:t>
      </w:r>
      <w:r w:rsidR="003E06CA" w:rsidRPr="00FB5D79">
        <w:t>s</w:t>
      </w:r>
      <w:r w:rsidR="00040638" w:rsidRPr="00FB5D79">
        <w:t xml:space="preserve"> de communications sont disponibles sur le site </w:t>
      </w:r>
      <w:r w:rsidR="007E2C74" w:rsidRPr="00FB5D79">
        <w:t>Internet</w:t>
      </w:r>
      <w:r w:rsidR="00040638" w:rsidRPr="00FB5D79">
        <w:t xml:space="preserve"> de l</w:t>
      </w:r>
      <w:r w:rsidR="00646944" w:rsidRPr="00FB5D79">
        <w:t>’</w:t>
      </w:r>
      <w:r w:rsidR="00040638" w:rsidRPr="00FB5D79">
        <w:t>OMPI</w:t>
      </w:r>
      <w:r w:rsidR="00735A4B" w:rsidRPr="00FB5D79">
        <w:rPr>
          <w:vertAlign w:val="superscript"/>
        </w:rPr>
        <w:footnoteReference w:id="20"/>
      </w:r>
      <w:r w:rsidR="00040638" w:rsidRPr="00FB5D79">
        <w:t>.</w:t>
      </w:r>
    </w:p>
    <w:p w14:paraId="112FA699" w14:textId="77777777" w:rsidR="00735A4B" w:rsidRPr="00FB5D79" w:rsidRDefault="00735A4B" w:rsidP="00735A4B">
      <w:pPr>
        <w:jc w:val="both"/>
      </w:pPr>
    </w:p>
    <w:p w14:paraId="6C1702FD" w14:textId="3320D245" w:rsidR="00735A4B" w:rsidRPr="00FB5D79" w:rsidRDefault="007A2996" w:rsidP="00735A4B">
      <w:pPr>
        <w:jc w:val="both"/>
      </w:pPr>
      <w:r w:rsidRPr="00FB5D79">
        <w:t xml:space="preserve">De même, des informations sur les séminaires, </w:t>
      </w:r>
      <w:r w:rsidR="007E2C74" w:rsidRPr="00FB5D79">
        <w:t xml:space="preserve">les </w:t>
      </w:r>
      <w:r w:rsidRPr="00FB5D79">
        <w:t xml:space="preserve">réunions et </w:t>
      </w:r>
      <w:r w:rsidR="007E2C74" w:rsidRPr="00FB5D79">
        <w:t xml:space="preserve">les </w:t>
      </w:r>
      <w:r w:rsidRPr="00FB5D79">
        <w:t xml:space="preserve">ateliers organisés dans </w:t>
      </w:r>
      <w:r w:rsidR="007E2C74" w:rsidRPr="00FB5D79">
        <w:t>tel</w:t>
      </w:r>
      <w:r w:rsidRPr="00FB5D79">
        <w:t xml:space="preserve"> pays ou </w:t>
      </w:r>
      <w:r w:rsidR="00686285" w:rsidRPr="00FB5D79">
        <w:t xml:space="preserve">dans </w:t>
      </w:r>
      <w:r w:rsidR="007E2C74" w:rsidRPr="00FB5D79">
        <w:t xml:space="preserve">telle </w:t>
      </w:r>
      <w:r w:rsidRPr="00FB5D79">
        <w:t>région</w:t>
      </w:r>
      <w:r w:rsidR="00735A4B" w:rsidRPr="00FB5D79">
        <w:rPr>
          <w:vertAlign w:val="superscript"/>
        </w:rPr>
        <w:footnoteReference w:id="21"/>
      </w:r>
      <w:r w:rsidR="00735A4B" w:rsidRPr="00FB5D79">
        <w:t xml:space="preserve"> </w:t>
      </w:r>
      <w:r w:rsidRPr="00FB5D79">
        <w:t xml:space="preserve">ainsi que les rapports </w:t>
      </w:r>
      <w:r w:rsidR="00686285" w:rsidRPr="00FB5D79">
        <w:t>définitifs</w:t>
      </w:r>
      <w:r w:rsidR="007E2C74" w:rsidRPr="00FB5D79">
        <w:t xml:space="preserve"> sont disponibles en ligne</w:t>
      </w:r>
      <w:r w:rsidR="00735A4B" w:rsidRPr="00FB5D79">
        <w:rPr>
          <w:vertAlign w:val="superscript"/>
        </w:rPr>
        <w:footnoteReference w:id="22"/>
      </w:r>
      <w:r w:rsidRPr="00FB5D79">
        <w:t>.</w:t>
      </w:r>
    </w:p>
    <w:p w14:paraId="49DA81B8" w14:textId="77777777" w:rsidR="00735A4B" w:rsidRPr="00FB5D79" w:rsidRDefault="00735A4B" w:rsidP="00735A4B">
      <w:pPr>
        <w:jc w:val="both"/>
      </w:pPr>
    </w:p>
    <w:p w14:paraId="5B318CD2" w14:textId="69D80D71" w:rsidR="00735A4B" w:rsidRPr="00FB5D79" w:rsidRDefault="00D85A8C" w:rsidP="009A7CD8">
      <w:pPr>
        <w:pStyle w:val="ONUME"/>
        <w:numPr>
          <w:ilvl w:val="0"/>
          <w:numId w:val="0"/>
        </w:numPr>
        <w:rPr>
          <w:iCs/>
        </w:rPr>
      </w:pPr>
      <w:r w:rsidRPr="00FB5D79">
        <w:rPr>
          <w:iCs/>
        </w:rPr>
        <w:t xml:space="preserve">Toutes les parties prenantes </w:t>
      </w:r>
      <w:r w:rsidR="00DD3D3A" w:rsidRPr="00FB5D79">
        <w:rPr>
          <w:iCs/>
        </w:rPr>
        <w:t>extérieures</w:t>
      </w:r>
      <w:r w:rsidRPr="00FB5D79">
        <w:rPr>
          <w:iCs/>
        </w:rPr>
        <w:t xml:space="preserve"> interrogées (représentants </w:t>
      </w:r>
      <w:r w:rsidR="005924D1" w:rsidRPr="00FB5D79">
        <w:rPr>
          <w:iCs/>
        </w:rPr>
        <w:t>d</w:t>
      </w:r>
      <w:r w:rsidR="00646944" w:rsidRPr="00FB5D79">
        <w:rPr>
          <w:iCs/>
        </w:rPr>
        <w:t>’</w:t>
      </w:r>
      <w:r w:rsidR="005924D1" w:rsidRPr="00FB5D79">
        <w:rPr>
          <w:iCs/>
        </w:rPr>
        <w:t>universités</w:t>
      </w:r>
      <w:r w:rsidR="00686285" w:rsidRPr="00FB5D79">
        <w:rPr>
          <w:iCs/>
        </w:rPr>
        <w:t>, d</w:t>
      </w:r>
      <w:r w:rsidR="00646944" w:rsidRPr="00FB5D79">
        <w:rPr>
          <w:iCs/>
        </w:rPr>
        <w:t>’</w:t>
      </w:r>
      <w:r w:rsidRPr="00FB5D79">
        <w:rPr>
          <w:iCs/>
        </w:rPr>
        <w:t xml:space="preserve">offices nationaux de </w:t>
      </w:r>
      <w:r w:rsidR="00686285" w:rsidRPr="00FB5D79">
        <w:rPr>
          <w:iCs/>
        </w:rPr>
        <w:t>propriété intellectuelle et d</w:t>
      </w:r>
      <w:r w:rsidR="00646944" w:rsidRPr="00FB5D79">
        <w:rPr>
          <w:iCs/>
        </w:rPr>
        <w:t>’</w:t>
      </w:r>
      <w:r w:rsidR="00686285" w:rsidRPr="00FB5D79">
        <w:rPr>
          <w:iCs/>
        </w:rPr>
        <w:t>institutions étatiques</w:t>
      </w:r>
      <w:r w:rsidRPr="00FB5D79">
        <w:rPr>
          <w:iCs/>
        </w:rPr>
        <w:t xml:space="preserve">) ont jugé positifs les ateliers organisés dans le cadre de </w:t>
      </w:r>
      <w:r w:rsidR="007E2C74" w:rsidRPr="00FB5D79">
        <w:rPr>
          <w:iCs/>
        </w:rPr>
        <w:t>la mise en œuvre du</w:t>
      </w:r>
      <w:r w:rsidRPr="00FB5D79">
        <w:rPr>
          <w:iCs/>
        </w:rPr>
        <w:t xml:space="preserve"> proj</w:t>
      </w:r>
      <w:r w:rsidR="00172764" w:rsidRPr="00FB5D79">
        <w:rPr>
          <w:iCs/>
        </w:rPr>
        <w:t>et.  Il</w:t>
      </w:r>
      <w:r w:rsidRPr="00FB5D79">
        <w:rPr>
          <w:iCs/>
        </w:rPr>
        <w:t xml:space="preserve">s ont été unanimes à affirmer que le projet répondait très bien à leurs attentes et ont apprécié </w:t>
      </w:r>
      <w:r w:rsidR="00686285" w:rsidRPr="00FB5D79">
        <w:rPr>
          <w:iCs/>
        </w:rPr>
        <w:t>le fait d</w:t>
      </w:r>
      <w:r w:rsidR="00646944" w:rsidRPr="00FB5D79">
        <w:rPr>
          <w:iCs/>
        </w:rPr>
        <w:t>’</w:t>
      </w:r>
      <w:r w:rsidR="00686285" w:rsidRPr="00FB5D79">
        <w:rPr>
          <w:iCs/>
        </w:rPr>
        <w:t>avoir l</w:t>
      </w:r>
      <w:r w:rsidR="00646944" w:rsidRPr="00FB5D79">
        <w:rPr>
          <w:iCs/>
        </w:rPr>
        <w:t>’</w:t>
      </w:r>
      <w:r w:rsidR="00686285" w:rsidRPr="00FB5D79">
        <w:rPr>
          <w:iCs/>
        </w:rPr>
        <w:t>occasion de procéder à un échange d</w:t>
      </w:r>
      <w:r w:rsidR="00646944" w:rsidRPr="00FB5D79">
        <w:rPr>
          <w:iCs/>
        </w:rPr>
        <w:t>’</w:t>
      </w:r>
      <w:r w:rsidRPr="00FB5D79">
        <w:rPr>
          <w:iCs/>
        </w:rPr>
        <w:t xml:space="preserve">expérience et de </w:t>
      </w:r>
      <w:r w:rsidR="00686285" w:rsidRPr="00FB5D79">
        <w:rPr>
          <w:iCs/>
        </w:rPr>
        <w:t>pouvoir apprendre à se</w:t>
      </w:r>
      <w:r w:rsidRPr="00FB5D79">
        <w:rPr>
          <w:iCs/>
        </w:rPr>
        <w:t xml:space="preserve"> familiariser avec </w:t>
      </w:r>
      <w:r w:rsidR="00E4261A" w:rsidRPr="00FB5D79">
        <w:rPr>
          <w:iCs/>
        </w:rPr>
        <w:t>les</w:t>
      </w:r>
      <w:r w:rsidRPr="00FB5D79">
        <w:rPr>
          <w:iCs/>
        </w:rPr>
        <w:t xml:space="preserve"> nouveaux outils </w:t>
      </w:r>
      <w:r w:rsidR="00A62B25" w:rsidRPr="00FB5D79">
        <w:rPr>
          <w:iCs/>
        </w:rPr>
        <w:t>permettant d</w:t>
      </w:r>
      <w:r w:rsidR="00646944" w:rsidRPr="00FB5D79">
        <w:rPr>
          <w:iCs/>
        </w:rPr>
        <w:t>’</w:t>
      </w:r>
      <w:r w:rsidRPr="00FB5D79">
        <w:rPr>
          <w:iCs/>
        </w:rPr>
        <w:t xml:space="preserve">analyser les effets de la </w:t>
      </w:r>
      <w:r w:rsidR="007E2C74" w:rsidRPr="00FB5D79">
        <w:rPr>
          <w:iCs/>
        </w:rPr>
        <w:t>propriété intellectuelle</w:t>
      </w:r>
      <w:r w:rsidRPr="00FB5D79">
        <w:rPr>
          <w:iCs/>
        </w:rPr>
        <w:t xml:space="preserve"> sur l</w:t>
      </w:r>
      <w:r w:rsidR="00646944" w:rsidRPr="00FB5D79">
        <w:rPr>
          <w:iCs/>
        </w:rPr>
        <w:t>’</w:t>
      </w:r>
      <w:r w:rsidRPr="00FB5D79">
        <w:rPr>
          <w:iCs/>
        </w:rPr>
        <w:t>économie nationale.</w:t>
      </w:r>
    </w:p>
    <w:p w14:paraId="156FFBD4" w14:textId="4D24A045" w:rsidR="00735A4B" w:rsidRPr="00C053D9" w:rsidRDefault="00C053D9" w:rsidP="00C053D9">
      <w:pPr>
        <w:pStyle w:val="Heading2"/>
        <w:numPr>
          <w:ilvl w:val="1"/>
          <w:numId w:val="3"/>
        </w:numPr>
      </w:pPr>
      <w:bookmarkStart w:id="18" w:name="_Toc530408366"/>
      <w:r w:rsidRPr="00C053D9">
        <w:t>Impact et probabilité de pérennité</w:t>
      </w:r>
      <w:bookmarkEnd w:id="18"/>
    </w:p>
    <w:p w14:paraId="2113AEEB" w14:textId="13EE5275" w:rsidR="00646944" w:rsidRPr="00FB5D79" w:rsidRDefault="00D85A8C" w:rsidP="00D85A8C">
      <w:pPr>
        <w:jc w:val="both"/>
      </w:pPr>
      <w:r w:rsidRPr="00FB5D79">
        <w:t>Il est encore trop tôt pour évaluer l</w:t>
      </w:r>
      <w:r w:rsidR="00646944" w:rsidRPr="00FB5D79">
        <w:t>’</w:t>
      </w:r>
      <w:r w:rsidRPr="00FB5D79">
        <w:t xml:space="preserve">impact des </w:t>
      </w:r>
      <w:r w:rsidR="00E4261A" w:rsidRPr="00FB5D79">
        <w:t>études menées</w:t>
      </w:r>
      <w:r w:rsidRPr="00FB5D79">
        <w:t xml:space="preserve"> au cours de la phase</w:t>
      </w:r>
      <w:r w:rsidR="00E4261A" w:rsidRPr="00FB5D79">
        <w:t> </w:t>
      </w:r>
      <w:r w:rsidRPr="00FB5D79">
        <w:t xml:space="preserve">II du projet, mais </w:t>
      </w:r>
      <w:r w:rsidR="00E4261A" w:rsidRPr="00FB5D79">
        <w:t>tout porte à croire</w:t>
      </w:r>
      <w:r w:rsidRPr="00FB5D79">
        <w:t xml:space="preserve"> que </w:t>
      </w:r>
      <w:r w:rsidR="00E4261A" w:rsidRPr="00FB5D79">
        <w:t>ces</w:t>
      </w:r>
      <w:r w:rsidRPr="00FB5D79">
        <w:t xml:space="preserve"> </w:t>
      </w:r>
      <w:r w:rsidR="00E4261A" w:rsidRPr="00FB5D79">
        <w:t xml:space="preserve">études </w:t>
      </w:r>
      <w:r w:rsidRPr="00FB5D79">
        <w:t>permettent de</w:t>
      </w:r>
      <w:r w:rsidR="00E4261A" w:rsidRPr="00FB5D79">
        <w:t xml:space="preserve"> beaucoup</w:t>
      </w:r>
      <w:r w:rsidRPr="00FB5D79">
        <w:t xml:space="preserve"> mieux </w:t>
      </w:r>
      <w:r w:rsidR="00E4261A" w:rsidRPr="00FB5D79">
        <w:t>cerner</w:t>
      </w:r>
      <w:r w:rsidRPr="00FB5D79">
        <w:t xml:space="preserve"> le rôle de la propriété intellectuelle et que le travail </w:t>
      </w:r>
      <w:r w:rsidR="00E4261A" w:rsidRPr="00FB5D79">
        <w:t>novateur</w:t>
      </w:r>
      <w:r w:rsidRPr="00FB5D79">
        <w:t xml:space="preserve"> </w:t>
      </w:r>
      <w:r w:rsidR="00E4261A" w:rsidRPr="00FB5D79">
        <w:t>réalisé</w:t>
      </w:r>
      <w:r w:rsidRPr="00FB5D79">
        <w:t xml:space="preserve"> pour</w:t>
      </w:r>
      <w:r w:rsidR="002E54F8" w:rsidRPr="00FB5D79">
        <w:t xml:space="preserve"> </w:t>
      </w:r>
      <w:r w:rsidR="00646944" w:rsidRPr="00FB5D79">
        <w:t>“</w:t>
      </w:r>
      <w:r w:rsidRPr="00FB5D79">
        <w:t>nettoyer</w:t>
      </w:r>
      <w:r w:rsidR="00646944" w:rsidRPr="00FB5D79">
        <w:t>”</w:t>
      </w:r>
      <w:r w:rsidRPr="00FB5D79">
        <w:t xml:space="preserve"> les données existantes et créer de nouveaux ensembles de données qui relient les statistiques </w:t>
      </w:r>
      <w:r w:rsidR="00E4261A" w:rsidRPr="00FB5D79">
        <w:t xml:space="preserve">classiques </w:t>
      </w:r>
      <w:r w:rsidRPr="00FB5D79">
        <w:t>de propriété intellectuelle aux informations économiques générales constitue un grand pas en avant.</w:t>
      </w:r>
    </w:p>
    <w:p w14:paraId="66C1A12A" w14:textId="52895984" w:rsidR="00D85A8C" w:rsidRPr="00FB5D79" w:rsidRDefault="00D85A8C" w:rsidP="00D85A8C">
      <w:pPr>
        <w:jc w:val="both"/>
      </w:pPr>
      <w:r w:rsidRPr="00FB5D79">
        <w:t xml:space="preserve">Les </w:t>
      </w:r>
      <w:r w:rsidR="002E54F8" w:rsidRPr="00FB5D79">
        <w:t>parties prenantes</w:t>
      </w:r>
      <w:r w:rsidRPr="00FB5D79">
        <w:t xml:space="preserve"> </w:t>
      </w:r>
      <w:r w:rsidR="002733A5" w:rsidRPr="00FB5D79">
        <w:t>soulignent</w:t>
      </w:r>
      <w:r w:rsidRPr="00FB5D79">
        <w:t xml:space="preserve"> l</w:t>
      </w:r>
      <w:r w:rsidR="00646944" w:rsidRPr="00FB5D79">
        <w:t>’</w:t>
      </w:r>
      <w:r w:rsidRPr="00FB5D79">
        <w:t xml:space="preserve">importante contribution </w:t>
      </w:r>
      <w:r w:rsidR="00E0346C" w:rsidRPr="00FB5D79">
        <w:t>des</w:t>
      </w:r>
      <w:r w:rsidR="002E54F8" w:rsidRPr="00FB5D79">
        <w:t xml:space="preserve"> recommandations du Plan d</w:t>
      </w:r>
      <w:r w:rsidR="00646944" w:rsidRPr="00FB5D79">
        <w:t>’</w:t>
      </w:r>
      <w:r w:rsidR="002E54F8" w:rsidRPr="00FB5D79">
        <w:t xml:space="preserve">action pour le développement </w:t>
      </w:r>
      <w:r w:rsidR="00E0346C" w:rsidRPr="00FB5D79">
        <w:t>en la matière, une contribution</w:t>
      </w:r>
      <w:r w:rsidRPr="00FB5D79">
        <w:t xml:space="preserve"> qui a fait une grande différence </w:t>
      </w:r>
      <w:r w:rsidR="00E0346C" w:rsidRPr="00FB5D79">
        <w:t>par rapport à</w:t>
      </w:r>
      <w:r w:rsidRPr="00FB5D79">
        <w:t xml:space="preserve"> la situation qui prévalait avant la création</w:t>
      </w:r>
      <w:r w:rsidR="00646944" w:rsidRPr="00FB5D79">
        <w:t xml:space="preserve"> du C</w:t>
      </w:r>
      <w:r w:rsidR="00172764" w:rsidRPr="00FB5D79">
        <w:t>DIP.  Le</w:t>
      </w:r>
      <w:r w:rsidRPr="00FB5D79">
        <w:t xml:space="preserve">s </w:t>
      </w:r>
      <w:r w:rsidR="002E54F8" w:rsidRPr="00FB5D79">
        <w:t xml:space="preserve">parties prenantes </w:t>
      </w:r>
      <w:r w:rsidRPr="00FB5D79">
        <w:t>interrogé</w:t>
      </w:r>
      <w:r w:rsidR="002E54F8" w:rsidRPr="00FB5D79">
        <w:t>e</w:t>
      </w:r>
      <w:r w:rsidRPr="00FB5D79">
        <w:t>s aux fins de la présente évaluation ont également beaucoup apprécié les méthodes et les outils statistiques présentés a</w:t>
      </w:r>
      <w:r w:rsidR="002E54F8" w:rsidRPr="00FB5D79">
        <w:t xml:space="preserve">insi que les études </w:t>
      </w:r>
      <w:r w:rsidR="00E0346C" w:rsidRPr="00FB5D79">
        <w:t>réalisées</w:t>
      </w:r>
      <w:r w:rsidR="002E54F8" w:rsidRPr="00FB5D79">
        <w:t>.</w:t>
      </w:r>
    </w:p>
    <w:p w14:paraId="2D50AD0A" w14:textId="77777777" w:rsidR="00D85A8C" w:rsidRPr="00FB5D79" w:rsidRDefault="00D85A8C" w:rsidP="00D85A8C">
      <w:pPr>
        <w:jc w:val="both"/>
      </w:pPr>
    </w:p>
    <w:p w14:paraId="2A30D543" w14:textId="67DA4234" w:rsidR="00735A4B" w:rsidRPr="00FB5D79" w:rsidRDefault="00D85A8C" w:rsidP="00D85A8C">
      <w:pPr>
        <w:jc w:val="both"/>
      </w:pPr>
      <w:r w:rsidRPr="00FB5D79">
        <w:lastRenderedPageBreak/>
        <w:t xml:space="preserve">Les parties prenantes internes et </w:t>
      </w:r>
      <w:r w:rsidR="00DD3D3A" w:rsidRPr="00FB5D79">
        <w:t>extérieures</w:t>
      </w:r>
      <w:r w:rsidRPr="00FB5D79">
        <w:t xml:space="preserve"> ont souligné certain</w:t>
      </w:r>
      <w:r w:rsidR="006557E2" w:rsidRPr="00FB5D79">
        <w:t>e</w:t>
      </w:r>
      <w:r w:rsidRPr="00FB5D79">
        <w:t xml:space="preserve">s </w:t>
      </w:r>
      <w:r w:rsidR="006557E2" w:rsidRPr="00FB5D79">
        <w:t xml:space="preserve">difficultés </w:t>
      </w:r>
      <w:r w:rsidRPr="00FB5D79">
        <w:t xml:space="preserve">que </w:t>
      </w:r>
      <w:r w:rsidR="006557E2" w:rsidRPr="00FB5D79">
        <w:t xml:space="preserve">tous </w:t>
      </w:r>
      <w:r w:rsidRPr="00FB5D79">
        <w:t>les pays ont rencontré</w:t>
      </w:r>
      <w:r w:rsidR="006557E2" w:rsidRPr="00FB5D79">
        <w:t>e</w:t>
      </w:r>
      <w:r w:rsidRPr="00FB5D79">
        <w:t>s au cours de la mise en œuvre du projet</w:t>
      </w:r>
      <w:r w:rsidR="00965F3A">
        <w:t> :</w:t>
      </w:r>
    </w:p>
    <w:p w14:paraId="2E722A35" w14:textId="77777777" w:rsidR="00735A4B" w:rsidRPr="00FB5D79" w:rsidRDefault="00735A4B" w:rsidP="00735A4B">
      <w:pPr>
        <w:jc w:val="both"/>
      </w:pPr>
    </w:p>
    <w:p w14:paraId="6C713D06" w14:textId="37ECE1E5" w:rsidR="00646944" w:rsidRPr="00FB5D79" w:rsidRDefault="001F732E" w:rsidP="009F022F">
      <w:pPr>
        <w:numPr>
          <w:ilvl w:val="0"/>
          <w:numId w:val="22"/>
        </w:numPr>
        <w:ind w:left="1134" w:hanging="567"/>
        <w:jc w:val="both"/>
      </w:pPr>
      <w:r w:rsidRPr="00FB5D79">
        <w:rPr>
          <w:i/>
        </w:rPr>
        <w:t>Une</w:t>
      </w:r>
      <w:r w:rsidR="0045635A" w:rsidRPr="00FB5D79">
        <w:rPr>
          <w:i/>
        </w:rPr>
        <w:t xml:space="preserve"> méconnaissance générale, </w:t>
      </w:r>
      <w:r w:rsidR="00D85A8C" w:rsidRPr="00FB5D79">
        <w:rPr>
          <w:i/>
        </w:rPr>
        <w:t>au niveau local</w:t>
      </w:r>
      <w:r w:rsidR="0045635A" w:rsidRPr="00FB5D79">
        <w:rPr>
          <w:i/>
        </w:rPr>
        <w:t>,</w:t>
      </w:r>
      <w:r w:rsidR="00D85A8C" w:rsidRPr="00FB5D79">
        <w:rPr>
          <w:i/>
        </w:rPr>
        <w:t xml:space="preserve"> </w:t>
      </w:r>
      <w:r w:rsidR="0045635A" w:rsidRPr="00FB5D79">
        <w:rPr>
          <w:i/>
        </w:rPr>
        <w:t>de</w:t>
      </w:r>
      <w:r w:rsidR="00D85A8C" w:rsidRPr="00FB5D79">
        <w:rPr>
          <w:i/>
        </w:rPr>
        <w:t xml:space="preserve"> l</w:t>
      </w:r>
      <w:r w:rsidR="00646944" w:rsidRPr="00FB5D79">
        <w:rPr>
          <w:i/>
        </w:rPr>
        <w:t>’</w:t>
      </w:r>
      <w:r w:rsidR="00D85A8C" w:rsidRPr="00FB5D79">
        <w:rPr>
          <w:i/>
        </w:rPr>
        <w:t xml:space="preserve">importance de la propriété intellectuelle dans les secteurs économiques prioritaires </w:t>
      </w:r>
      <w:r w:rsidR="00D85A8C" w:rsidRPr="00FB5D79">
        <w:t xml:space="preserve">du pays ou de la région, ce qui </w:t>
      </w:r>
      <w:r w:rsidR="0045635A" w:rsidRPr="00FB5D79">
        <w:t>peut</w:t>
      </w:r>
      <w:r w:rsidR="00D85A8C" w:rsidRPr="00FB5D79">
        <w:t xml:space="preserve"> entraîner une modification des priorités nationales et un recentrage de l</w:t>
      </w:r>
      <w:r w:rsidR="00646944" w:rsidRPr="00FB5D79">
        <w:t>’</w:t>
      </w:r>
      <w:r w:rsidR="00D85A8C" w:rsidRPr="00FB5D79">
        <w:t xml:space="preserve">intérêt des principaux organismes </w:t>
      </w:r>
      <w:r w:rsidR="005C5F36" w:rsidRPr="00FB5D79">
        <w:t xml:space="preserve">et dirigeants du secteur public </w:t>
      </w:r>
      <w:r w:rsidR="005E6447" w:rsidRPr="00FB5D79">
        <w:t>chargés des questions économiques</w:t>
      </w:r>
      <w:r w:rsidR="00D85A8C" w:rsidRPr="00FB5D79">
        <w:t>.</w:t>
      </w:r>
    </w:p>
    <w:p w14:paraId="02304104" w14:textId="11381DA2" w:rsidR="00D85A8C" w:rsidRPr="00FB5D79" w:rsidRDefault="00D85A8C" w:rsidP="009F022F">
      <w:pPr>
        <w:numPr>
          <w:ilvl w:val="0"/>
          <w:numId w:val="22"/>
        </w:numPr>
        <w:ind w:left="1134" w:hanging="567"/>
        <w:jc w:val="both"/>
      </w:pPr>
      <w:r w:rsidRPr="00FB5D79">
        <w:rPr>
          <w:i/>
        </w:rPr>
        <w:t>La fragmentation des données et les difficultés d</w:t>
      </w:r>
      <w:r w:rsidR="00646944" w:rsidRPr="00FB5D79">
        <w:rPr>
          <w:i/>
        </w:rPr>
        <w:t>’</w:t>
      </w:r>
      <w:r w:rsidRPr="00FB5D79">
        <w:rPr>
          <w:i/>
        </w:rPr>
        <w:t xml:space="preserve">accès </w:t>
      </w:r>
      <w:r w:rsidR="00103C28" w:rsidRPr="00FB5D79">
        <w:rPr>
          <w:i/>
        </w:rPr>
        <w:t>à des</w:t>
      </w:r>
      <w:r w:rsidRPr="00FB5D79">
        <w:rPr>
          <w:i/>
        </w:rPr>
        <w:t xml:space="preserve"> données statistiques organisées et nettoyé</w:t>
      </w:r>
      <w:r w:rsidR="00172764" w:rsidRPr="00FB5D79">
        <w:rPr>
          <w:i/>
        </w:rPr>
        <w:t xml:space="preserve">es.  </w:t>
      </w:r>
      <w:r w:rsidR="00172764" w:rsidRPr="00FB5D79">
        <w:t>Se</w:t>
      </w:r>
      <w:r w:rsidRPr="00FB5D79">
        <w:t xml:space="preserve">lon le pays ou </w:t>
      </w:r>
      <w:r w:rsidR="00103C28" w:rsidRPr="00FB5D79">
        <w:t>le contact régional</w:t>
      </w:r>
      <w:r w:rsidRPr="00FB5D79">
        <w:t xml:space="preserve">, </w:t>
      </w:r>
      <w:r w:rsidR="00902624" w:rsidRPr="00FB5D79">
        <w:t>il se peut que les</w:t>
      </w:r>
      <w:r w:rsidRPr="00FB5D79">
        <w:t xml:space="preserve"> données </w:t>
      </w:r>
      <w:r w:rsidR="00902624" w:rsidRPr="00FB5D79">
        <w:t>soient</w:t>
      </w:r>
      <w:r w:rsidRPr="00FB5D79">
        <w:t xml:space="preserve"> disponibles sur papier et ne </w:t>
      </w:r>
      <w:r w:rsidR="00902624" w:rsidRPr="00FB5D79">
        <w:t xml:space="preserve">soient </w:t>
      </w:r>
      <w:r w:rsidRPr="00FB5D79">
        <w:t xml:space="preserve">pas </w:t>
      </w:r>
      <w:proofErr w:type="gramStart"/>
      <w:r w:rsidR="00902624" w:rsidRPr="00FB5D79">
        <w:t>numérisées;  il</w:t>
      </w:r>
      <w:proofErr w:type="gramEnd"/>
      <w:r w:rsidR="00902624" w:rsidRPr="00FB5D79">
        <w:t xml:space="preserve"> se peut également que les bases </w:t>
      </w:r>
      <w:r w:rsidRPr="00FB5D79">
        <w:t xml:space="preserve">de données </w:t>
      </w:r>
      <w:r w:rsidR="00902624" w:rsidRPr="00FB5D79">
        <w:t>des</w:t>
      </w:r>
      <w:r w:rsidRPr="00FB5D79">
        <w:t xml:space="preserve"> différents organismes publics </w:t>
      </w:r>
      <w:r w:rsidR="00902624" w:rsidRPr="00FB5D79">
        <w:t>ne soient pas</w:t>
      </w:r>
      <w:r w:rsidRPr="00FB5D79">
        <w:t xml:space="preserve"> </w:t>
      </w:r>
      <w:r w:rsidR="00EB25BC" w:rsidRPr="00FB5D79">
        <w:t>mises en relation</w:t>
      </w:r>
      <w:r w:rsidR="00EB4E6B" w:rsidRPr="00FB5D79">
        <w:t>/</w:t>
      </w:r>
      <w:r w:rsidR="00EB25BC" w:rsidRPr="00FB5D79">
        <w:t>liées les unes aux autr</w:t>
      </w:r>
      <w:r w:rsidR="00172764" w:rsidRPr="00FB5D79">
        <w:t>es.  Le</w:t>
      </w:r>
      <w:r w:rsidRPr="00FB5D79">
        <w:t xml:space="preserve"> coût des bases de données et logiciels privés difficilement accessibles aux pays à faible revenu </w:t>
      </w:r>
      <w:r w:rsidR="00902624" w:rsidRPr="00FB5D79">
        <w:t>pose également</w:t>
      </w:r>
      <w:r w:rsidRPr="00FB5D79">
        <w:t xml:space="preserve"> problème.</w:t>
      </w:r>
    </w:p>
    <w:p w14:paraId="0E0DBC95" w14:textId="4BC1E5CD" w:rsidR="00735A4B" w:rsidRPr="00FB5D79" w:rsidRDefault="00902624" w:rsidP="009F022F">
      <w:pPr>
        <w:numPr>
          <w:ilvl w:val="0"/>
          <w:numId w:val="22"/>
        </w:numPr>
        <w:ind w:left="1134" w:hanging="567"/>
        <w:jc w:val="both"/>
      </w:pPr>
      <w:r w:rsidRPr="00FB5D79">
        <w:rPr>
          <w:i/>
        </w:rPr>
        <w:t>Le manque</w:t>
      </w:r>
      <w:r w:rsidR="00D85A8C" w:rsidRPr="00FB5D79">
        <w:rPr>
          <w:i/>
        </w:rPr>
        <w:t xml:space="preserve"> d</w:t>
      </w:r>
      <w:r w:rsidR="00646944" w:rsidRPr="00FB5D79">
        <w:rPr>
          <w:i/>
        </w:rPr>
        <w:t>’</w:t>
      </w:r>
      <w:r w:rsidRPr="00FB5D79">
        <w:rPr>
          <w:i/>
        </w:rPr>
        <w:t xml:space="preserve">infrastructures </w:t>
      </w:r>
      <w:r w:rsidR="00D85A8C" w:rsidRPr="00FB5D79">
        <w:rPr>
          <w:i/>
        </w:rPr>
        <w:t xml:space="preserve">et de ressources humaines </w:t>
      </w:r>
      <w:r w:rsidR="00D85A8C" w:rsidRPr="00FB5D79">
        <w:t xml:space="preserve">qui </w:t>
      </w:r>
      <w:r w:rsidR="002733A5" w:rsidRPr="00FB5D79">
        <w:t>influent sur</w:t>
      </w:r>
      <w:r w:rsidR="00D85A8C" w:rsidRPr="00FB5D79">
        <w:t xml:space="preserve"> le suivi </w:t>
      </w:r>
      <w:r w:rsidRPr="00FB5D79">
        <w:t>analytique</w:t>
      </w:r>
      <w:r w:rsidR="00D85A8C" w:rsidRPr="00FB5D79">
        <w:t xml:space="preserve"> </w:t>
      </w:r>
      <w:r w:rsidRPr="00FB5D79">
        <w:t>de</w:t>
      </w:r>
      <w:r w:rsidR="00D85A8C" w:rsidRPr="00FB5D79">
        <w:t xml:space="preserve"> la </w:t>
      </w:r>
      <w:r w:rsidR="003C515D" w:rsidRPr="00FB5D79">
        <w:t>propriété intellectuelle</w:t>
      </w:r>
      <w:r w:rsidR="00D85A8C" w:rsidRPr="00FB5D79">
        <w:t xml:space="preserve"> et </w:t>
      </w:r>
      <w:r w:rsidR="001313FC" w:rsidRPr="00FB5D79">
        <w:t>transforment</w:t>
      </w:r>
      <w:r w:rsidR="00D85A8C" w:rsidRPr="00FB5D79">
        <w:t xml:space="preserve"> </w:t>
      </w:r>
      <w:r w:rsidRPr="00FB5D79">
        <w:t>les</w:t>
      </w:r>
      <w:r w:rsidR="00D85A8C" w:rsidRPr="00FB5D79">
        <w:t xml:space="preserve"> </w:t>
      </w:r>
      <w:r w:rsidRPr="00FB5D79">
        <w:t>résultats</w:t>
      </w:r>
      <w:r w:rsidR="00D85A8C" w:rsidRPr="00FB5D79">
        <w:t xml:space="preserve"> </w:t>
      </w:r>
      <w:r w:rsidRPr="00FB5D79">
        <w:t xml:space="preserve">importants </w:t>
      </w:r>
      <w:r w:rsidR="00D85A8C" w:rsidRPr="00FB5D79">
        <w:t xml:space="preserve">en </w:t>
      </w:r>
      <w:r w:rsidRPr="00FB5D79">
        <w:t>réussites</w:t>
      </w:r>
      <w:r w:rsidR="00D85A8C" w:rsidRPr="00FB5D79">
        <w:t xml:space="preserve"> durables.</w:t>
      </w:r>
    </w:p>
    <w:p w14:paraId="40084E49" w14:textId="77777777" w:rsidR="00735A4B" w:rsidRPr="00FB5D79" w:rsidRDefault="00735A4B" w:rsidP="00735A4B">
      <w:pPr>
        <w:ind w:left="1287"/>
        <w:jc w:val="both"/>
      </w:pPr>
    </w:p>
    <w:p w14:paraId="403E1FC9" w14:textId="532A232E" w:rsidR="00646944" w:rsidRPr="00FB5D79" w:rsidRDefault="00AD44DE" w:rsidP="00D85A8C">
      <w:pPr>
        <w:jc w:val="both"/>
      </w:pPr>
      <w:r w:rsidRPr="00FB5D79">
        <w:t>Le descriptif du projet</w:t>
      </w:r>
      <w:r w:rsidR="00D85A8C" w:rsidRPr="00FB5D79">
        <w:t xml:space="preserve"> </w:t>
      </w:r>
      <w:r w:rsidR="00123525" w:rsidRPr="00FB5D79">
        <w:t xml:space="preserve">ne </w:t>
      </w:r>
      <w:r w:rsidR="00B27F58" w:rsidRPr="00FB5D79">
        <w:t>fait référence à aucune</w:t>
      </w:r>
      <w:r w:rsidR="00D85A8C" w:rsidRPr="00FB5D79">
        <w:t xml:space="preserve"> stratégie de sortie spécifique </w:t>
      </w:r>
      <w:r w:rsidR="00B27F58" w:rsidRPr="00FB5D79">
        <w:t>qui permettrait d</w:t>
      </w:r>
      <w:r w:rsidR="00646944" w:rsidRPr="00FB5D79">
        <w:t>’</w:t>
      </w:r>
      <w:r w:rsidR="00D85A8C" w:rsidRPr="00FB5D79">
        <w:t>assurer la continuité des avantages du projet après son achèveme</w:t>
      </w:r>
      <w:r w:rsidR="00172764" w:rsidRPr="00FB5D79">
        <w:t>nt.  S’a</w:t>
      </w:r>
      <w:r w:rsidR="00C261D3" w:rsidRPr="00FB5D79">
        <w:t>gissant de</w:t>
      </w:r>
      <w:r w:rsidR="00D85A8C" w:rsidRPr="00FB5D79">
        <w:t xml:space="preserve"> </w:t>
      </w:r>
      <w:r w:rsidR="00A6512D" w:rsidRPr="00FB5D79">
        <w:t>la réorganisation</w:t>
      </w:r>
      <w:r w:rsidR="00D85A8C" w:rsidRPr="00FB5D79">
        <w:t xml:space="preserve"> des données sur la propriété intellectuelle, les enseignements tirés fournissent des indications qui </w:t>
      </w:r>
      <w:r w:rsidR="00817CF2" w:rsidRPr="00FB5D79">
        <w:t>permettraient</w:t>
      </w:r>
      <w:r w:rsidR="00D85A8C" w:rsidRPr="00FB5D79">
        <w:t xml:space="preserve"> d</w:t>
      </w:r>
      <w:r w:rsidR="00646944" w:rsidRPr="00FB5D79">
        <w:t>’</w:t>
      </w:r>
      <w:r w:rsidR="00D85A8C" w:rsidRPr="00FB5D79">
        <w:t xml:space="preserve">assurer la </w:t>
      </w:r>
      <w:r w:rsidR="00817CF2" w:rsidRPr="00FB5D79">
        <w:t>pérennité</w:t>
      </w:r>
      <w:r w:rsidR="00D85A8C" w:rsidRPr="00FB5D79">
        <w:t xml:space="preserve"> des résultats, par exemple en élaborant et en </w:t>
      </w:r>
      <w:r w:rsidR="00C261D3" w:rsidRPr="00FB5D79">
        <w:t>mettant en œuvre</w:t>
      </w:r>
      <w:r w:rsidR="00D85A8C" w:rsidRPr="00FB5D79">
        <w:t xml:space="preserve"> la méthodologie utilisée au Chili, au Brésil et en Colombie </w:t>
      </w:r>
      <w:r w:rsidR="00EB25BC" w:rsidRPr="00FB5D79">
        <w:t>pour</w:t>
      </w:r>
      <w:r w:rsidR="00D85A8C" w:rsidRPr="00FB5D79">
        <w:t xml:space="preserve"> </w:t>
      </w:r>
      <w:r w:rsidR="00A6512D" w:rsidRPr="00FB5D79">
        <w:t>remanier</w:t>
      </w:r>
      <w:r w:rsidR="00D85A8C" w:rsidRPr="00FB5D79">
        <w:t xml:space="preserve"> les bases de données statistiques nationales sur la propriété intellectuelle, en élaborant une stratégie de suivi </w:t>
      </w:r>
      <w:r w:rsidR="00EB25BC" w:rsidRPr="00FB5D79">
        <w:t>visant à</w:t>
      </w:r>
      <w:r w:rsidR="00D85A8C" w:rsidRPr="00FB5D79">
        <w:t xml:space="preserve"> aider les institutions nationales à </w:t>
      </w:r>
      <w:r w:rsidR="00C33D10" w:rsidRPr="00FB5D79">
        <w:t>mettre en place</w:t>
      </w:r>
      <w:r w:rsidR="00D85A8C" w:rsidRPr="00FB5D79">
        <w:t xml:space="preserve"> </w:t>
      </w:r>
      <w:r w:rsidR="00C33D10" w:rsidRPr="00FB5D79">
        <w:t xml:space="preserve">le projet </w:t>
      </w:r>
      <w:r w:rsidR="00D85A8C" w:rsidRPr="00FB5D79">
        <w:t xml:space="preserve">et </w:t>
      </w:r>
      <w:r w:rsidR="00817CF2" w:rsidRPr="00FB5D79">
        <w:t xml:space="preserve">à </w:t>
      </w:r>
      <w:r w:rsidR="00C33D10" w:rsidRPr="00FB5D79">
        <w:t xml:space="preserve">en </w:t>
      </w:r>
      <w:r w:rsidR="00817CF2" w:rsidRPr="00FB5D79">
        <w:t>assurer la pérennité</w:t>
      </w:r>
      <w:r w:rsidR="00D85A8C" w:rsidRPr="00FB5D79">
        <w:t xml:space="preserve"> et en planifiant de nouvelles études </w:t>
      </w:r>
      <w:r w:rsidR="00C261D3" w:rsidRPr="00FB5D79">
        <w:t>visant à surmonter les difficultés rencontrées</w:t>
      </w:r>
      <w:r w:rsidR="00D85A8C" w:rsidRPr="00FB5D79">
        <w:t xml:space="preserve">, </w:t>
      </w:r>
      <w:r w:rsidR="00C261D3" w:rsidRPr="00FB5D79">
        <w:t xml:space="preserve">à combler </w:t>
      </w:r>
      <w:r w:rsidR="00D85A8C" w:rsidRPr="00FB5D79">
        <w:t xml:space="preserve">les lacunes existantes et </w:t>
      </w:r>
      <w:r w:rsidR="00C261D3" w:rsidRPr="00FB5D79">
        <w:t xml:space="preserve">à </w:t>
      </w:r>
      <w:r w:rsidR="00D85A8C" w:rsidRPr="00FB5D79">
        <w:t xml:space="preserve">renforcer les capacités et </w:t>
      </w:r>
      <w:r w:rsidR="00C33D10" w:rsidRPr="00FB5D79">
        <w:t>les connaissances</w:t>
      </w:r>
      <w:r w:rsidR="00D85A8C" w:rsidRPr="00FB5D79">
        <w:t xml:space="preserve"> au niveau local.</w:t>
      </w:r>
      <w:bookmarkStart w:id="19" w:name="_GoBack"/>
      <w:bookmarkEnd w:id="19"/>
    </w:p>
    <w:p w14:paraId="68E5C686" w14:textId="4F3F08B6" w:rsidR="00D85A8C" w:rsidRPr="00FB5D79" w:rsidRDefault="00D85A8C" w:rsidP="00D85A8C">
      <w:pPr>
        <w:jc w:val="both"/>
      </w:pPr>
    </w:p>
    <w:p w14:paraId="46AB3678" w14:textId="79315552" w:rsidR="00646944" w:rsidRPr="00FB5D79" w:rsidRDefault="00D85A8C" w:rsidP="00D85A8C">
      <w:pPr>
        <w:jc w:val="both"/>
      </w:pPr>
      <w:r w:rsidRPr="00FB5D79">
        <w:t>Comme souligné dans l</w:t>
      </w:r>
      <w:r w:rsidR="00646944" w:rsidRPr="00FB5D79">
        <w:t>’</w:t>
      </w:r>
      <w:r w:rsidRPr="00FB5D79">
        <w:t xml:space="preserve">évaluation de la </w:t>
      </w:r>
      <w:r w:rsidR="00C33D10" w:rsidRPr="00FB5D79">
        <w:t>phase I</w:t>
      </w:r>
      <w:r w:rsidRPr="00FB5D79">
        <w:t xml:space="preserve"> du projet, la méthodologie mise au point dans</w:t>
      </w:r>
      <w:r w:rsidR="00611CE3" w:rsidRPr="00FB5D79">
        <w:t xml:space="preserve"> le cadre du projet</w:t>
      </w:r>
      <w:r w:rsidR="00965F3A">
        <w:t>-</w:t>
      </w:r>
      <w:r w:rsidR="00611CE3" w:rsidRPr="00FB5D79">
        <w:t xml:space="preserve">cadre pour </w:t>
      </w:r>
      <w:r w:rsidR="00646944" w:rsidRPr="00FB5D79">
        <w:t>“</w:t>
      </w:r>
      <w:r w:rsidRPr="00FB5D79">
        <w:t>la collecte, le nettoyage, la fusion, l</w:t>
      </w:r>
      <w:r w:rsidR="00646944" w:rsidRPr="00FB5D79">
        <w:t>’</w:t>
      </w:r>
      <w:r w:rsidRPr="00FB5D79">
        <w:t>analyse</w:t>
      </w:r>
      <w:r w:rsidR="00B62596" w:rsidRPr="00FB5D79">
        <w:t xml:space="preserve"> des données</w:t>
      </w:r>
      <w:r w:rsidRPr="00FB5D79">
        <w:t xml:space="preserve">, la </w:t>
      </w:r>
      <w:r w:rsidR="00B62596" w:rsidRPr="00FB5D79">
        <w:t>création de l</w:t>
      </w:r>
      <w:r w:rsidR="00646944" w:rsidRPr="00FB5D79">
        <w:t>’</w:t>
      </w:r>
      <w:r w:rsidR="00B62596" w:rsidRPr="00FB5D79">
        <w:t>ensemble de données</w:t>
      </w:r>
      <w:r w:rsidRPr="00FB5D79">
        <w:t xml:space="preserve"> et l</w:t>
      </w:r>
      <w:r w:rsidR="00646944" w:rsidRPr="00FB5D79">
        <w:t>’</w:t>
      </w:r>
      <w:r w:rsidRPr="00FB5D79">
        <w:t>utilisation de</w:t>
      </w:r>
      <w:r w:rsidR="00B62596" w:rsidRPr="00FB5D79">
        <w:t>s</w:t>
      </w:r>
      <w:r w:rsidRPr="00FB5D79">
        <w:t xml:space="preserve"> données sur la propriété intellectuelle </w:t>
      </w:r>
      <w:r w:rsidR="00B62596" w:rsidRPr="00FB5D79">
        <w:t xml:space="preserve">en lien avec </w:t>
      </w:r>
      <w:r w:rsidRPr="00FB5D79">
        <w:t>d</w:t>
      </w:r>
      <w:r w:rsidR="00646944" w:rsidRPr="00FB5D79">
        <w:t>’</w:t>
      </w:r>
      <w:r w:rsidRPr="00FB5D79">
        <w:t xml:space="preserve">autres </w:t>
      </w:r>
      <w:r w:rsidR="000A6C3F" w:rsidRPr="00FB5D79">
        <w:t>données microéconomiques</w:t>
      </w:r>
      <w:r w:rsidRPr="00FB5D79">
        <w:t xml:space="preserve"> afin d</w:t>
      </w:r>
      <w:r w:rsidR="00646944" w:rsidRPr="00FB5D79">
        <w:t>’</w:t>
      </w:r>
      <w:r w:rsidRPr="00FB5D79">
        <w:t>analyser les tendances et caractéristiques spécifiques de l</w:t>
      </w:r>
      <w:r w:rsidR="00646944" w:rsidRPr="00FB5D79">
        <w:t>’</w:t>
      </w:r>
      <w:r w:rsidRPr="00FB5D79">
        <w:t xml:space="preserve">utilisation de la propriété intellectuelle est bien documentée et </w:t>
      </w:r>
      <w:r w:rsidR="000B468C" w:rsidRPr="00FB5D79">
        <w:t>largement</w:t>
      </w:r>
      <w:r w:rsidR="002E54F8" w:rsidRPr="00FB5D79">
        <w:t xml:space="preserve"> reproductib</w:t>
      </w:r>
      <w:r w:rsidR="00611CE3" w:rsidRPr="00FB5D79">
        <w:t>le</w:t>
      </w:r>
      <w:r w:rsidR="00646944" w:rsidRPr="00FB5D79">
        <w:t>”</w:t>
      </w:r>
      <w:r w:rsidR="00735A4B" w:rsidRPr="00FB5D79">
        <w:rPr>
          <w:vertAlign w:val="superscript"/>
        </w:rPr>
        <w:footnoteReference w:id="23"/>
      </w:r>
      <w:r w:rsidRPr="00FB5D79">
        <w:t>.</w:t>
      </w:r>
    </w:p>
    <w:p w14:paraId="3308320B" w14:textId="2A562A8D" w:rsidR="00735A4B" w:rsidRPr="00FB5D79" w:rsidRDefault="00735A4B" w:rsidP="00735A4B">
      <w:pPr>
        <w:jc w:val="both"/>
      </w:pPr>
    </w:p>
    <w:p w14:paraId="5C74A124" w14:textId="32AF6448" w:rsidR="00735A4B" w:rsidRPr="00FB5D79" w:rsidRDefault="00FD4C6F" w:rsidP="00735A4B">
      <w:pPr>
        <w:jc w:val="both"/>
      </w:pPr>
      <w:r w:rsidRPr="00FB5D79">
        <w:t xml:space="preserve">Comme cela a également été souligné à cette occasion et réaffirmé par </w:t>
      </w:r>
      <w:r w:rsidR="000B468C" w:rsidRPr="00FB5D79">
        <w:t>les</w:t>
      </w:r>
      <w:r w:rsidRPr="00FB5D79">
        <w:t xml:space="preserve"> </w:t>
      </w:r>
      <w:r w:rsidR="00AD3EA7" w:rsidRPr="00FB5D79">
        <w:t xml:space="preserve">récentes </w:t>
      </w:r>
      <w:r w:rsidRPr="00FB5D79">
        <w:t xml:space="preserve">études </w:t>
      </w:r>
      <w:r w:rsidR="00AD3EA7" w:rsidRPr="00FB5D79">
        <w:t>menées</w:t>
      </w:r>
      <w:r w:rsidR="005109ED" w:rsidRPr="00FB5D79">
        <w:t xml:space="preserve"> au cours de la phase </w:t>
      </w:r>
      <w:r w:rsidRPr="00FB5D79">
        <w:t xml:space="preserve">II, la pérennité des résultats dépend de la disponibilité </w:t>
      </w:r>
      <w:r w:rsidR="00BD4280" w:rsidRPr="00FB5D79">
        <w:t>constante</w:t>
      </w:r>
      <w:r w:rsidR="00AD3EA7" w:rsidRPr="00FB5D79">
        <w:t xml:space="preserve"> des</w:t>
      </w:r>
      <w:r w:rsidRPr="00FB5D79">
        <w:t xml:space="preserve"> compétences au sein </w:t>
      </w:r>
      <w:r w:rsidR="00AD3EA7" w:rsidRPr="00FB5D79">
        <w:t xml:space="preserve">et en dehors </w:t>
      </w:r>
      <w:r w:rsidRPr="00FB5D79">
        <w:t>des offices de proprié</w:t>
      </w:r>
      <w:r w:rsidR="00686285" w:rsidRPr="00FB5D79">
        <w:t xml:space="preserve">té intellectuelle.  </w:t>
      </w:r>
      <w:r w:rsidR="00646944" w:rsidRPr="00FB5D79">
        <w:t>“</w:t>
      </w:r>
      <w:r w:rsidRPr="00FB5D79">
        <w:t>L</w:t>
      </w:r>
      <w:r w:rsidR="00646944" w:rsidRPr="00FB5D79">
        <w:t>’</w:t>
      </w:r>
      <w:r w:rsidRPr="00FB5D79">
        <w:t xml:space="preserve">extension des formations à un nombre </w:t>
      </w:r>
      <w:r w:rsidR="00BD4280" w:rsidRPr="00FB5D79">
        <w:t>accru d</w:t>
      </w:r>
      <w:r w:rsidR="00646944" w:rsidRPr="00FB5D79">
        <w:t>’</w:t>
      </w:r>
      <w:r w:rsidR="00BD4280" w:rsidRPr="00FB5D79">
        <w:t>agents permanents</w:t>
      </w:r>
      <w:r w:rsidRPr="00FB5D79">
        <w:t xml:space="preserve"> et une documentation claire </w:t>
      </w:r>
      <w:r w:rsidR="00BD4280" w:rsidRPr="00FB5D79">
        <w:t>sur les</w:t>
      </w:r>
      <w:r w:rsidRPr="00FB5D79">
        <w:t xml:space="preserve"> processus </w:t>
      </w:r>
      <w:r w:rsidR="00BD4280" w:rsidRPr="00FB5D79">
        <w:t>constitueraient</w:t>
      </w:r>
      <w:r w:rsidRPr="00FB5D79">
        <w:t xml:space="preserve"> un </w:t>
      </w:r>
      <w:r w:rsidR="00BD4280" w:rsidRPr="00FB5D79">
        <w:t xml:space="preserve">bon </w:t>
      </w:r>
      <w:r w:rsidRPr="00FB5D79">
        <w:t xml:space="preserve">moyen de </w:t>
      </w:r>
      <w:r w:rsidR="009B6EE7" w:rsidRPr="00FB5D79">
        <w:t>parer au</w:t>
      </w:r>
      <w:r w:rsidRPr="00FB5D79">
        <w:t xml:space="preserve"> risque de perte de savoir</w:t>
      </w:r>
      <w:r w:rsidR="00965F3A">
        <w:t>-</w:t>
      </w:r>
      <w:r w:rsidRPr="00FB5D79">
        <w:t>faire en cas de départ</w:t>
      </w:r>
      <w:r w:rsidR="009B6EE7" w:rsidRPr="00FB5D79">
        <w:t xml:space="preserve"> de membres du personnel ou de réaffectation de membres du personnel </w:t>
      </w:r>
      <w:r w:rsidRPr="00FB5D79">
        <w:t>à d</w:t>
      </w:r>
      <w:r w:rsidR="00646944" w:rsidRPr="00FB5D79">
        <w:t>’</w:t>
      </w:r>
      <w:r w:rsidRPr="00FB5D79">
        <w:t>autres fonctions</w:t>
      </w:r>
      <w:r w:rsidR="00646944" w:rsidRPr="00FB5D79">
        <w:t>”</w:t>
      </w:r>
      <w:r w:rsidR="00735A4B" w:rsidRPr="00FB5D79">
        <w:rPr>
          <w:vertAlign w:val="superscript"/>
        </w:rPr>
        <w:footnoteReference w:id="24"/>
      </w:r>
      <w:r w:rsidRPr="00FB5D79">
        <w:t>.</w:t>
      </w:r>
    </w:p>
    <w:p w14:paraId="0156D76C" w14:textId="77777777" w:rsidR="00735A4B" w:rsidRPr="00FB5D79" w:rsidRDefault="00735A4B" w:rsidP="00735A4B">
      <w:pPr>
        <w:jc w:val="both"/>
      </w:pPr>
    </w:p>
    <w:p w14:paraId="74905A47" w14:textId="77777777" w:rsidR="00686285" w:rsidRPr="00FB5D79" w:rsidRDefault="00686285">
      <w:r w:rsidRPr="00FB5D79">
        <w:br w:type="page"/>
      </w:r>
    </w:p>
    <w:p w14:paraId="5B94F699" w14:textId="55FE2BEA" w:rsidR="00270A92" w:rsidRPr="00FB5D79" w:rsidRDefault="00270A92" w:rsidP="00270A92">
      <w:pPr>
        <w:jc w:val="both"/>
      </w:pPr>
      <w:r w:rsidRPr="00FB5D79">
        <w:lastRenderedPageBreak/>
        <w:t xml:space="preserve">Autrement dit, pour </w:t>
      </w:r>
      <w:r w:rsidR="00015CB8" w:rsidRPr="00FB5D79">
        <w:t xml:space="preserve">que les </w:t>
      </w:r>
      <w:r w:rsidR="006057C5" w:rsidRPr="00FB5D79">
        <w:t>études menées</w:t>
      </w:r>
      <w:r w:rsidR="00015CB8" w:rsidRPr="00FB5D79">
        <w:t xml:space="preserve"> dans le cadre du projet</w:t>
      </w:r>
      <w:r w:rsidR="00965F3A">
        <w:t>-</w:t>
      </w:r>
      <w:r w:rsidR="00015CB8" w:rsidRPr="00FB5D79">
        <w:t>cadre aient</w:t>
      </w:r>
      <w:r w:rsidRPr="00FB5D79">
        <w:t xml:space="preserve"> un impact </w:t>
      </w:r>
      <w:r w:rsidR="00015CB8" w:rsidRPr="00FB5D79">
        <w:t xml:space="preserve">réel </w:t>
      </w:r>
      <w:r w:rsidRPr="00FB5D79">
        <w:t xml:space="preserve">et </w:t>
      </w:r>
      <w:r w:rsidR="00015CB8" w:rsidRPr="00FB5D79">
        <w:t>soient réellement pérennes, leur pérennité à moyen et long terme doit être assur</w:t>
      </w:r>
      <w:r w:rsidR="00172764" w:rsidRPr="00FB5D79">
        <w:t>ée.  Ce</w:t>
      </w:r>
      <w:r w:rsidR="00C34275" w:rsidRPr="00FB5D79">
        <w:t>tte</w:t>
      </w:r>
      <w:r w:rsidRPr="00FB5D79">
        <w:t xml:space="preserve"> responsabilité </w:t>
      </w:r>
      <w:r w:rsidR="00C34275" w:rsidRPr="00FB5D79">
        <w:t>incombe aux</w:t>
      </w:r>
      <w:r w:rsidRPr="00FB5D79">
        <w:t xml:space="preserve"> institutions </w:t>
      </w:r>
      <w:r w:rsidR="00C34275" w:rsidRPr="00FB5D79">
        <w:t xml:space="preserve">nationales </w:t>
      </w:r>
      <w:r w:rsidRPr="00FB5D79">
        <w:t xml:space="preserve">compétentes </w:t>
      </w:r>
      <w:r w:rsidR="00C34275" w:rsidRPr="00FB5D79">
        <w:t>ayant bénéficié</w:t>
      </w:r>
      <w:r w:rsidRPr="00FB5D79">
        <w:t xml:space="preserve"> de </w:t>
      </w:r>
      <w:r w:rsidR="00D90D3A" w:rsidRPr="00FB5D79">
        <w:t>l</w:t>
      </w:r>
      <w:r w:rsidR="00646944" w:rsidRPr="00FB5D79">
        <w:t>’</w:t>
      </w:r>
      <w:r w:rsidR="00D90D3A" w:rsidRPr="00FB5D79">
        <w:t>aide</w:t>
      </w:r>
      <w:r w:rsidRPr="00FB5D79">
        <w:t xml:space="preserve"> de l</w:t>
      </w:r>
      <w:r w:rsidR="00646944" w:rsidRPr="00FB5D79">
        <w:t>’</w:t>
      </w:r>
      <w:r w:rsidR="00C34275" w:rsidRPr="00FB5D79">
        <w:t>OMPI ainsi qu</w:t>
      </w:r>
      <w:r w:rsidR="00646944" w:rsidRPr="00FB5D79">
        <w:t>’</w:t>
      </w:r>
      <w:r w:rsidR="00C34275" w:rsidRPr="00FB5D79">
        <w:t xml:space="preserve">aux </w:t>
      </w:r>
      <w:r w:rsidRPr="00FB5D79">
        <w:t xml:space="preserve">autres </w:t>
      </w:r>
      <w:r w:rsidR="00D90D3A" w:rsidRPr="00FB5D79">
        <w:t>organismes compétents</w:t>
      </w:r>
      <w:r w:rsidRPr="00FB5D79">
        <w:t>.</w:t>
      </w:r>
    </w:p>
    <w:p w14:paraId="0D0E89B2" w14:textId="77777777" w:rsidR="00686285" w:rsidRPr="00FB5D79" w:rsidRDefault="00686285" w:rsidP="00270A92">
      <w:pPr>
        <w:jc w:val="both"/>
      </w:pPr>
    </w:p>
    <w:p w14:paraId="3517E80F" w14:textId="18991A56" w:rsidR="00646944" w:rsidRPr="00FB5D79" w:rsidRDefault="00270A92" w:rsidP="00270A92">
      <w:pPr>
        <w:jc w:val="both"/>
      </w:pPr>
      <w:r w:rsidRPr="00FB5D79">
        <w:t xml:space="preserve">Comme </w:t>
      </w:r>
      <w:r w:rsidR="00686285" w:rsidRPr="00FB5D79">
        <w:t>indiqué précédemment</w:t>
      </w:r>
      <w:r w:rsidRPr="00FB5D79">
        <w:t xml:space="preserve"> dans le contexte de l</w:t>
      </w:r>
      <w:r w:rsidR="00646944" w:rsidRPr="00FB5D79">
        <w:t>’</w:t>
      </w:r>
      <w:r w:rsidRPr="00FB5D79">
        <w:t>Amérique latine, l</w:t>
      </w:r>
      <w:r w:rsidR="00646944" w:rsidRPr="00FB5D79">
        <w:t>’</w:t>
      </w:r>
      <w:r w:rsidRPr="00FB5D79">
        <w:t xml:space="preserve">OMPI a organisé une réunion régionale des directeurs des offices de propriété industrielle et des </w:t>
      </w:r>
      <w:r w:rsidR="00C34275" w:rsidRPr="00FB5D79">
        <w:t>organismes de promotion des exportations et des investissements des pays d</w:t>
      </w:r>
      <w:r w:rsidR="00646944" w:rsidRPr="00FB5D79">
        <w:t>’</w:t>
      </w:r>
      <w:r w:rsidR="00C34275" w:rsidRPr="00FB5D79">
        <w:t xml:space="preserve">Amérique </w:t>
      </w:r>
      <w:proofErr w:type="gramStart"/>
      <w:r w:rsidR="00C34275" w:rsidRPr="00FB5D79">
        <w:t>latine;  cette</w:t>
      </w:r>
      <w:proofErr w:type="gramEnd"/>
      <w:r w:rsidR="00C34275" w:rsidRPr="00FB5D79">
        <w:t xml:space="preserve"> réunion a été l</w:t>
      </w:r>
      <w:r w:rsidR="00646944" w:rsidRPr="00FB5D79">
        <w:t>’</w:t>
      </w:r>
      <w:r w:rsidR="00C34275" w:rsidRPr="00FB5D79">
        <w:t xml:space="preserve">occasion </w:t>
      </w:r>
      <w:r w:rsidR="005802FA" w:rsidRPr="00FB5D79">
        <w:t xml:space="preserve">notamment </w:t>
      </w:r>
      <w:r w:rsidR="00C34275" w:rsidRPr="00FB5D79">
        <w:t xml:space="preserve">de souligner </w:t>
      </w:r>
      <w:r w:rsidRPr="00FB5D79">
        <w:t xml:space="preserve">la pertinence </w:t>
      </w:r>
      <w:r w:rsidR="006057C5" w:rsidRPr="00FB5D79">
        <w:t xml:space="preserve">de ces études </w:t>
      </w:r>
      <w:r w:rsidRPr="00FB5D79">
        <w:t xml:space="preserve">et </w:t>
      </w:r>
      <w:r w:rsidR="006057C5" w:rsidRPr="00FB5D79">
        <w:t>leur</w:t>
      </w:r>
      <w:r w:rsidRPr="00FB5D79">
        <w:t xml:space="preserve"> poursui</w:t>
      </w:r>
      <w:r w:rsidR="00172764" w:rsidRPr="00FB5D79">
        <w:t>te.  En</w:t>
      </w:r>
      <w:r w:rsidR="00686285" w:rsidRPr="00FB5D79">
        <w:t xml:space="preserve"> octobre </w:t>
      </w:r>
      <w:r w:rsidRPr="00FB5D79">
        <w:t xml:space="preserve">2018, le </w:t>
      </w:r>
      <w:r w:rsidR="00303194" w:rsidRPr="00FB5D79">
        <w:t>Bureau régional pour l</w:t>
      </w:r>
      <w:r w:rsidR="00646944" w:rsidRPr="00FB5D79">
        <w:t>’</w:t>
      </w:r>
      <w:r w:rsidR="00303194" w:rsidRPr="00FB5D79">
        <w:t xml:space="preserve">Amérique latine et les Caraïbes </w:t>
      </w:r>
      <w:r w:rsidRPr="00FB5D79">
        <w:t>prévoit, conjointement avec le Programme</w:t>
      </w:r>
      <w:r w:rsidR="000B5F0D" w:rsidRPr="00FB5D79">
        <w:t> </w:t>
      </w:r>
      <w:r w:rsidRPr="00FB5D79">
        <w:t>16, d</w:t>
      </w:r>
      <w:r w:rsidR="00646944" w:rsidRPr="00FB5D79">
        <w:t>’</w:t>
      </w:r>
      <w:r w:rsidRPr="00FB5D79">
        <w:t xml:space="preserve">organiser un programme de formation </w:t>
      </w:r>
      <w:r w:rsidR="00303194" w:rsidRPr="00FB5D79">
        <w:t>sur l</w:t>
      </w:r>
      <w:r w:rsidR="00646944" w:rsidRPr="00FB5D79">
        <w:t>’</w:t>
      </w:r>
      <w:r w:rsidR="00303194" w:rsidRPr="00FB5D79">
        <w:t xml:space="preserve">économie de la propriété intellectuelle </w:t>
      </w:r>
      <w:r w:rsidRPr="00FB5D79">
        <w:t>à l</w:t>
      </w:r>
      <w:r w:rsidR="00646944" w:rsidRPr="00FB5D79">
        <w:t>’</w:t>
      </w:r>
      <w:r w:rsidRPr="00FB5D79">
        <w:t xml:space="preserve">intention des économistes et </w:t>
      </w:r>
      <w:r w:rsidR="00303194" w:rsidRPr="00FB5D79">
        <w:t xml:space="preserve">des </w:t>
      </w:r>
      <w:r w:rsidRPr="00FB5D79">
        <w:t>statisticiens, en mettant l</w:t>
      </w:r>
      <w:r w:rsidR="00646944" w:rsidRPr="00FB5D79">
        <w:t>’</w:t>
      </w:r>
      <w:r w:rsidRPr="00FB5D79">
        <w:t xml:space="preserve">accent sur les données et les conséquences de </w:t>
      </w:r>
      <w:r w:rsidR="00303194" w:rsidRPr="00FB5D79">
        <w:t>l</w:t>
      </w:r>
      <w:r w:rsidR="00646944" w:rsidRPr="00FB5D79">
        <w:t>’</w:t>
      </w:r>
      <w:r w:rsidRPr="00FB5D79">
        <w:t xml:space="preserve">organisation et </w:t>
      </w:r>
      <w:r w:rsidR="00303194" w:rsidRPr="00FB5D79">
        <w:t>de l</w:t>
      </w:r>
      <w:r w:rsidR="00646944" w:rsidRPr="00FB5D79">
        <w:t>’</w:t>
      </w:r>
      <w:r w:rsidRPr="00FB5D79">
        <w:t>harmonisation</w:t>
      </w:r>
      <w:r w:rsidR="00303194" w:rsidRPr="00FB5D79">
        <w:t xml:space="preserve"> des données</w:t>
      </w:r>
      <w:r w:rsidRPr="00FB5D79">
        <w:t>.</w:t>
      </w:r>
    </w:p>
    <w:p w14:paraId="70873FC2" w14:textId="31556BDE" w:rsidR="00270A92" w:rsidRPr="00FB5D79" w:rsidRDefault="00270A92" w:rsidP="00270A92">
      <w:pPr>
        <w:jc w:val="both"/>
      </w:pPr>
    </w:p>
    <w:p w14:paraId="1A68904B" w14:textId="77777777" w:rsidR="00646944" w:rsidRPr="00FB5D79" w:rsidRDefault="00270A92" w:rsidP="00270A92">
      <w:pPr>
        <w:jc w:val="both"/>
      </w:pPr>
      <w:r w:rsidRPr="00FB5D79">
        <w:t>En Amérique centrale, un exercice de renforcement des capacités est pré</w:t>
      </w:r>
      <w:r w:rsidR="00303194" w:rsidRPr="00FB5D79">
        <w:t>vu pour le dernier trimestre</w:t>
      </w:r>
      <w:r w:rsidR="00D90D3A" w:rsidRPr="00FB5D79">
        <w:t> </w:t>
      </w:r>
      <w:r w:rsidRPr="00FB5D79">
        <w:t xml:space="preserve">2018, dans le prolongement des </w:t>
      </w:r>
      <w:r w:rsidR="00303194" w:rsidRPr="00FB5D79">
        <w:t>études</w:t>
      </w:r>
      <w:r w:rsidRPr="00FB5D79">
        <w:t xml:space="preserve"> </w:t>
      </w:r>
      <w:r w:rsidR="00303194" w:rsidRPr="00FB5D79">
        <w:t xml:space="preserve">menées </w:t>
      </w:r>
      <w:r w:rsidR="00D90D3A" w:rsidRPr="00FB5D79">
        <w:t>dans le cadre de la phase </w:t>
      </w:r>
      <w:r w:rsidRPr="00FB5D79">
        <w:t>II.</w:t>
      </w:r>
    </w:p>
    <w:p w14:paraId="68FAB221" w14:textId="712E5B11" w:rsidR="00270A92" w:rsidRPr="00FB5D79" w:rsidRDefault="00270A92" w:rsidP="00270A92">
      <w:pPr>
        <w:jc w:val="both"/>
      </w:pPr>
    </w:p>
    <w:p w14:paraId="5E59D116" w14:textId="5BC1EBE9" w:rsidR="00646944" w:rsidRPr="00FB5D79" w:rsidRDefault="00270A92" w:rsidP="00270A92">
      <w:pPr>
        <w:jc w:val="both"/>
      </w:pPr>
      <w:r w:rsidRPr="00FB5D79">
        <w:t>Enfin, comme l</w:t>
      </w:r>
      <w:r w:rsidR="00646944" w:rsidRPr="00FB5D79">
        <w:t>’</w:t>
      </w:r>
      <w:r w:rsidRPr="00FB5D79">
        <w:t xml:space="preserve">a </w:t>
      </w:r>
      <w:r w:rsidR="00303194" w:rsidRPr="00FB5D79">
        <w:t>signalé</w:t>
      </w:r>
      <w:r w:rsidRPr="00FB5D79">
        <w:t xml:space="preserve"> l</w:t>
      </w:r>
      <w:r w:rsidR="00646944" w:rsidRPr="00FB5D79">
        <w:t>’</w:t>
      </w:r>
      <w:r w:rsidRPr="00FB5D79">
        <w:t xml:space="preserve">économiste en chef et comme indiqué dans le Projet de programme et budget </w:t>
      </w:r>
      <w:r w:rsidR="00303194" w:rsidRPr="00FB5D79">
        <w:t>de l</w:t>
      </w:r>
      <w:r w:rsidR="00646944" w:rsidRPr="00FB5D79">
        <w:t>’</w:t>
      </w:r>
      <w:r w:rsidR="00303194" w:rsidRPr="00FB5D79">
        <w:t xml:space="preserve">OMPI proposé </w:t>
      </w:r>
      <w:r w:rsidRPr="00FB5D79">
        <w:t>pour l</w:t>
      </w:r>
      <w:r w:rsidR="00646944" w:rsidRPr="00FB5D79">
        <w:t>’</w:t>
      </w:r>
      <w:r w:rsidR="00D90D3A" w:rsidRPr="00FB5D79">
        <w:t>exercice biennal </w:t>
      </w:r>
      <w:r w:rsidRPr="00FB5D79">
        <w:t>2018</w:t>
      </w:r>
      <w:r w:rsidR="00965F3A">
        <w:t>-</w:t>
      </w:r>
      <w:r w:rsidRPr="00FB5D79">
        <w:t xml:space="preserve">2019, </w:t>
      </w:r>
      <w:r w:rsidR="006A738F" w:rsidRPr="00FB5D79">
        <w:t>les</w:t>
      </w:r>
      <w:r w:rsidRPr="00FB5D79">
        <w:t xml:space="preserve"> nouvelle</w:t>
      </w:r>
      <w:r w:rsidR="006A738F" w:rsidRPr="00FB5D79">
        <w:t xml:space="preserve">s études économiques seraient </w:t>
      </w:r>
      <w:r w:rsidRPr="00FB5D79">
        <w:t>in</w:t>
      </w:r>
      <w:r w:rsidR="006A738F" w:rsidRPr="00FB5D79">
        <w:t xml:space="preserve">tégrées </w:t>
      </w:r>
      <w:r w:rsidRPr="00FB5D79">
        <w:t>aux act</w:t>
      </w:r>
      <w:r w:rsidR="000B5F0D" w:rsidRPr="00FB5D79">
        <w:t>ivités du Programme </w:t>
      </w:r>
      <w:r w:rsidRPr="00FB5D79">
        <w:t>16.</w:t>
      </w:r>
    </w:p>
    <w:p w14:paraId="4CB31527" w14:textId="77777777" w:rsidR="00735A4B" w:rsidRPr="00FB5D79" w:rsidRDefault="00735A4B" w:rsidP="00735A4B">
      <w:pPr>
        <w:pStyle w:val="ONUME"/>
        <w:numPr>
          <w:ilvl w:val="0"/>
          <w:numId w:val="0"/>
        </w:numPr>
      </w:pPr>
    </w:p>
    <w:p w14:paraId="0D3F6225" w14:textId="2C87E992" w:rsidR="00735A4B" w:rsidRPr="00FB5D79" w:rsidRDefault="00735A4B" w:rsidP="00735A4B">
      <w:pPr>
        <w:pStyle w:val="Heading1"/>
        <w:spacing w:before="0" w:after="220"/>
      </w:pPr>
      <w:bookmarkStart w:id="20" w:name="_Toc530408367"/>
      <w:r w:rsidRPr="00FB5D79">
        <w:t>CONCLUSIONS</w:t>
      </w:r>
      <w:bookmarkEnd w:id="20"/>
    </w:p>
    <w:p w14:paraId="49352902" w14:textId="71E68640" w:rsidR="00735A4B" w:rsidRPr="00FB5D79" w:rsidRDefault="003423CB" w:rsidP="00735A4B">
      <w:pPr>
        <w:jc w:val="both"/>
      </w:pPr>
      <w:r w:rsidRPr="00FB5D79">
        <w:t>Les résultats de l</w:t>
      </w:r>
      <w:r w:rsidR="00646944" w:rsidRPr="00FB5D79">
        <w:t>’</w:t>
      </w:r>
      <w:r w:rsidRPr="00FB5D79">
        <w:t>évaluation ont permis de tirer les conclusions suivantes</w:t>
      </w:r>
      <w:r w:rsidR="00965F3A">
        <w:t> :</w:t>
      </w:r>
    </w:p>
    <w:p w14:paraId="17731994" w14:textId="77777777" w:rsidR="00735A4B" w:rsidRPr="00FB5D79" w:rsidRDefault="00735A4B" w:rsidP="00735A4B">
      <w:pPr>
        <w:jc w:val="both"/>
        <w:rPr>
          <w:b/>
        </w:rPr>
      </w:pPr>
    </w:p>
    <w:p w14:paraId="35A9132A" w14:textId="65BB841C" w:rsidR="00735A4B" w:rsidRPr="00FB5D79" w:rsidRDefault="00735A4B" w:rsidP="00735A4B">
      <w:pPr>
        <w:jc w:val="both"/>
        <w:rPr>
          <w:b/>
          <w:bCs/>
        </w:rPr>
      </w:pPr>
      <w:r w:rsidRPr="00FB5D79">
        <w:rPr>
          <w:b/>
        </w:rPr>
        <w:t xml:space="preserve">Conclusion </w:t>
      </w:r>
      <w:r w:rsidR="00731C32" w:rsidRPr="00FB5D79">
        <w:rPr>
          <w:b/>
        </w:rPr>
        <w:t>n° </w:t>
      </w:r>
      <w:r w:rsidRPr="00FB5D79">
        <w:rPr>
          <w:b/>
        </w:rPr>
        <w:t>1</w:t>
      </w:r>
      <w:r w:rsidR="00965F3A">
        <w:rPr>
          <w:b/>
        </w:rPr>
        <w:t> :</w:t>
      </w:r>
      <w:r w:rsidR="003423CB" w:rsidRPr="00FB5D79">
        <w:rPr>
          <w:b/>
          <w:bCs/>
        </w:rPr>
        <w:t xml:space="preserve"> le projet a été bien planifié et bien géré</w:t>
      </w:r>
      <w:r w:rsidR="006A738F" w:rsidRPr="00FB5D79">
        <w:rPr>
          <w:b/>
          <w:bCs/>
        </w:rPr>
        <w:t>.</w:t>
      </w:r>
    </w:p>
    <w:p w14:paraId="32510847" w14:textId="77777777" w:rsidR="00735A4B" w:rsidRPr="00FB5D79" w:rsidRDefault="00735A4B" w:rsidP="00735A4B">
      <w:pPr>
        <w:jc w:val="both"/>
        <w:rPr>
          <w:b/>
          <w:bCs/>
        </w:rPr>
      </w:pPr>
    </w:p>
    <w:p w14:paraId="292EFD7B" w14:textId="2AB8C197" w:rsidR="00646944" w:rsidRPr="00FB5D79" w:rsidRDefault="006A738F" w:rsidP="003423CB">
      <w:pPr>
        <w:jc w:val="both"/>
      </w:pPr>
      <w:r w:rsidRPr="00FB5D79">
        <w:t>Le projet a été conçu pour répondre aux besoins et aux priorités de tous les pays bénéficiaires qui ont clairement exprimé leurs besoins et ont participé activement à l</w:t>
      </w:r>
      <w:r w:rsidR="00646944" w:rsidRPr="00FB5D79">
        <w:t>’</w:t>
      </w:r>
      <w:r w:rsidRPr="00FB5D79">
        <w:t>élaboration des étud</w:t>
      </w:r>
      <w:r w:rsidR="00172764" w:rsidRPr="00FB5D79">
        <w:t>es.  Il</w:t>
      </w:r>
      <w:r w:rsidR="003423CB" w:rsidRPr="00FB5D79">
        <w:t xml:space="preserve"> a énoncé de manière convaincante les liens avec sa première phase et </w:t>
      </w:r>
      <w:r w:rsidR="00FA04F2" w:rsidRPr="00FB5D79">
        <w:t>les moyens permettant</w:t>
      </w:r>
      <w:r w:rsidR="003423CB" w:rsidRPr="00FB5D79">
        <w:t xml:space="preserve"> de reproduire les </w:t>
      </w:r>
      <w:r w:rsidR="00FA04F2" w:rsidRPr="00FB5D79">
        <w:t>études</w:t>
      </w:r>
      <w:r w:rsidR="003423CB" w:rsidRPr="00FB5D79">
        <w:t xml:space="preserve"> dans différents pays en tenant compte </w:t>
      </w:r>
      <w:r w:rsidR="00FA04F2" w:rsidRPr="00FB5D79">
        <w:t xml:space="preserve">des différents contextes </w:t>
      </w:r>
      <w:r w:rsidR="005C35A9" w:rsidRPr="00FB5D79">
        <w:t>socioéconomique</w:t>
      </w:r>
      <w:r w:rsidR="00FA04F2" w:rsidRPr="00FB5D79">
        <w:t>s</w:t>
      </w:r>
      <w:r w:rsidR="003423CB" w:rsidRPr="00FB5D79">
        <w:t>.</w:t>
      </w:r>
    </w:p>
    <w:p w14:paraId="2D99E579" w14:textId="36B71860" w:rsidR="003423CB" w:rsidRPr="00FB5D79" w:rsidRDefault="003423CB" w:rsidP="003423CB">
      <w:pPr>
        <w:jc w:val="both"/>
      </w:pPr>
    </w:p>
    <w:p w14:paraId="04052648" w14:textId="44701C78" w:rsidR="003423CB" w:rsidRPr="00FB5D79" w:rsidRDefault="003423CB" w:rsidP="003423CB">
      <w:pPr>
        <w:jc w:val="both"/>
      </w:pPr>
      <w:r w:rsidRPr="00FB5D79">
        <w:t>Bien que le projet ait été bien planifié et bien géré, certaines améliorations pourraient être envisagées en ce qui concerne la gestion, le suivi de la mise en œuvre et l</w:t>
      </w:r>
      <w:r w:rsidR="00646944" w:rsidRPr="00FB5D79">
        <w:t>’</w:t>
      </w:r>
      <w:r w:rsidRPr="00FB5D79">
        <w:t>auto</w:t>
      </w:r>
      <w:r w:rsidR="00965F3A">
        <w:t>-</w:t>
      </w:r>
      <w:r w:rsidRPr="00FB5D79">
        <w:t xml:space="preserve">évaluation des projets </w:t>
      </w:r>
      <w:r w:rsidR="006A738F" w:rsidRPr="00FB5D79">
        <w:t>relevant du Plan d</w:t>
      </w:r>
      <w:r w:rsidR="00646944" w:rsidRPr="00FB5D79">
        <w:t>’</w:t>
      </w:r>
      <w:r w:rsidR="006A738F" w:rsidRPr="00FB5D79">
        <w:t>action pour le développeme</w:t>
      </w:r>
      <w:r w:rsidR="00172764" w:rsidRPr="00FB5D79">
        <w:t>nt.  Il</w:t>
      </w:r>
      <w:r w:rsidRPr="00FB5D79">
        <w:t xml:space="preserve"> a été fait référence ci</w:t>
      </w:r>
      <w:r w:rsidR="00965F3A">
        <w:t>-</w:t>
      </w:r>
      <w:r w:rsidRPr="00FB5D79">
        <w:t xml:space="preserve">dessus à </w:t>
      </w:r>
      <w:r w:rsidR="004D5C3E" w:rsidRPr="00FB5D79">
        <w:t>la mise en place</w:t>
      </w:r>
      <w:r w:rsidRPr="00FB5D79">
        <w:t xml:space="preserve"> </w:t>
      </w:r>
      <w:r w:rsidR="004D5C3E" w:rsidRPr="00FB5D79">
        <w:t>du</w:t>
      </w:r>
      <w:r w:rsidRPr="00FB5D79">
        <w:t xml:space="preserve"> cadre logique.</w:t>
      </w:r>
    </w:p>
    <w:p w14:paraId="549A4B08" w14:textId="77777777" w:rsidR="003423CB" w:rsidRPr="00FB5D79" w:rsidRDefault="003423CB" w:rsidP="003423CB">
      <w:pPr>
        <w:jc w:val="both"/>
      </w:pPr>
    </w:p>
    <w:p w14:paraId="641530C3" w14:textId="6E8106E8" w:rsidR="00646944" w:rsidRPr="00FB5D79" w:rsidRDefault="006A738F" w:rsidP="003423CB">
      <w:pPr>
        <w:jc w:val="both"/>
      </w:pPr>
      <w:r w:rsidRPr="00FB5D79">
        <w:t>Le projet</w:t>
      </w:r>
      <w:r w:rsidR="00965F3A">
        <w:t>-</w:t>
      </w:r>
      <w:r w:rsidRPr="00FB5D79">
        <w:t xml:space="preserve">cadre a sollicité, à juste titre, la participation de différents acteurs et parties prenantes </w:t>
      </w:r>
      <w:r w:rsidR="002A0AF2" w:rsidRPr="00FB5D79">
        <w:t>non</w:t>
      </w:r>
      <w:r w:rsidR="004F4030" w:rsidRPr="00FB5D79">
        <w:t xml:space="preserve"> </w:t>
      </w:r>
      <w:r w:rsidR="002A0AF2" w:rsidRPr="00FB5D79">
        <w:t>membres d</w:t>
      </w:r>
      <w:r w:rsidR="00646944" w:rsidRPr="00FB5D79">
        <w:t>’</w:t>
      </w:r>
      <w:r w:rsidRPr="00FB5D79">
        <w:t>institutions de propriété intellectuelle</w:t>
      </w:r>
      <w:r w:rsidR="00E05E29" w:rsidRPr="00FB5D79">
        <w:t xml:space="preserve"> (</w:t>
      </w:r>
      <w:r w:rsidR="003423CB" w:rsidRPr="00FB5D79">
        <w:t>l</w:t>
      </w:r>
      <w:r w:rsidR="00646944" w:rsidRPr="00FB5D79">
        <w:t>’</w:t>
      </w:r>
      <w:r w:rsidR="003423CB" w:rsidRPr="00FB5D79">
        <w:t xml:space="preserve">étude sur </w:t>
      </w:r>
      <w:r w:rsidR="00E05E29" w:rsidRPr="00FB5D79">
        <w:t>le secteur agroalimentaire ougandais ou</w:t>
      </w:r>
      <w:r w:rsidR="003423CB" w:rsidRPr="00FB5D79">
        <w:t xml:space="preserve"> l</w:t>
      </w:r>
      <w:r w:rsidR="00646944" w:rsidRPr="00FB5D79">
        <w:t>’</w:t>
      </w:r>
      <w:r w:rsidR="003423CB" w:rsidRPr="00FB5D79">
        <w:t xml:space="preserve">étude polonaise </w:t>
      </w:r>
      <w:r w:rsidR="00E05E29" w:rsidRPr="00FB5D79">
        <w:t>menée dans le secteur de</w:t>
      </w:r>
      <w:r w:rsidR="003423CB" w:rsidRPr="00FB5D79">
        <w:t xml:space="preserve"> la santé</w:t>
      </w:r>
      <w:r w:rsidR="00E05E29" w:rsidRPr="00FB5D79">
        <w:t>, par exemple)</w:t>
      </w:r>
      <w:r w:rsidR="003423CB" w:rsidRPr="00FB5D79">
        <w:t>.  C</w:t>
      </w:r>
      <w:r w:rsidR="00646944" w:rsidRPr="00FB5D79">
        <w:t>’</w:t>
      </w:r>
      <w:r w:rsidR="003423CB" w:rsidRPr="00FB5D79">
        <w:t>est probablement le cas de la plupart des études qui doivent s</w:t>
      </w:r>
      <w:r w:rsidR="00646944" w:rsidRPr="00FB5D79">
        <w:t>’</w:t>
      </w:r>
      <w:r w:rsidR="003423CB" w:rsidRPr="00FB5D79">
        <w:t xml:space="preserve">adresser à des acteurs non traditionnels de la </w:t>
      </w:r>
      <w:r w:rsidR="00D90D3A" w:rsidRPr="00FB5D79">
        <w:t>propriété intellectuelle</w:t>
      </w:r>
      <w:r w:rsidR="003423CB" w:rsidRPr="00FB5D79">
        <w:t>.</w:t>
      </w:r>
    </w:p>
    <w:p w14:paraId="527B39F1" w14:textId="0ABF3306" w:rsidR="003423CB" w:rsidRPr="00FB5D79" w:rsidRDefault="003423CB" w:rsidP="003423CB">
      <w:pPr>
        <w:jc w:val="both"/>
      </w:pPr>
    </w:p>
    <w:p w14:paraId="5C6AC424" w14:textId="4E717D7B" w:rsidR="003423CB" w:rsidRPr="00FB5D79" w:rsidRDefault="003423CB" w:rsidP="003423CB">
      <w:pPr>
        <w:jc w:val="both"/>
      </w:pPr>
      <w:r w:rsidRPr="00FB5D79">
        <w:t xml:space="preserve">Bien que cette interaction ait très bien fonctionné dans la plupart des cas, la participation active des différents acteurs </w:t>
      </w:r>
      <w:r w:rsidR="00E05E29" w:rsidRPr="00FB5D79">
        <w:t>a parfois nécessité</w:t>
      </w:r>
      <w:r w:rsidRPr="00FB5D79">
        <w:t xml:space="preserve"> </w:t>
      </w:r>
      <w:r w:rsidR="00E05E29" w:rsidRPr="00FB5D79">
        <w:t>davantage</w:t>
      </w:r>
      <w:r w:rsidRPr="00FB5D79">
        <w:t xml:space="preserve"> de coordination et </w:t>
      </w:r>
      <w:r w:rsidR="00E05E29" w:rsidRPr="00FB5D79">
        <w:t>de zè</w:t>
      </w:r>
      <w:r w:rsidR="00172764" w:rsidRPr="00FB5D79">
        <w:t>le.  L’u</w:t>
      </w:r>
      <w:r w:rsidR="00E05E29" w:rsidRPr="00FB5D79">
        <w:t>n des enseignements à tirer de cette expérience</w:t>
      </w:r>
      <w:r w:rsidRPr="00FB5D79">
        <w:t xml:space="preserve"> est que </w:t>
      </w:r>
      <w:r w:rsidR="00E05E29" w:rsidRPr="00FB5D79">
        <w:t>les</w:t>
      </w:r>
      <w:r w:rsidRPr="00FB5D79">
        <w:t xml:space="preserve"> projets ambitieux de cette nature nécessitent une interaction active avec diverses parties prenantes </w:t>
      </w:r>
      <w:r w:rsidR="00FC7748" w:rsidRPr="00FB5D79">
        <w:t>(</w:t>
      </w:r>
      <w:r w:rsidRPr="00FB5D79">
        <w:t xml:space="preserve">ne </w:t>
      </w:r>
      <w:r w:rsidR="00FC7748" w:rsidRPr="00FB5D79">
        <w:t>possédant pas nécessairement une bonne connaissance des</w:t>
      </w:r>
      <w:r w:rsidRPr="00FB5D79">
        <w:t xml:space="preserve"> questions de propriété intellectuelle</w:t>
      </w:r>
      <w:r w:rsidR="00FC7748" w:rsidRPr="00FB5D79">
        <w:t xml:space="preserve">) </w:t>
      </w:r>
      <w:r w:rsidRPr="00FB5D79">
        <w:t xml:space="preserve">et </w:t>
      </w:r>
      <w:r w:rsidR="00FC7748" w:rsidRPr="00FB5D79">
        <w:t>réclament</w:t>
      </w:r>
      <w:r w:rsidRPr="00FB5D79">
        <w:t xml:space="preserve"> donc une attention particulière </w:t>
      </w:r>
      <w:r w:rsidR="00FC7748" w:rsidRPr="00FB5D79">
        <w:t>lors de</w:t>
      </w:r>
      <w:r w:rsidRPr="00FB5D79">
        <w:t xml:space="preserve"> la phase préparatoire </w:t>
      </w:r>
      <w:r w:rsidR="00FC7748" w:rsidRPr="00FB5D79">
        <w:t>ainsi qu</w:t>
      </w:r>
      <w:r w:rsidR="00646944" w:rsidRPr="00FB5D79">
        <w:t>’</w:t>
      </w:r>
      <w:r w:rsidRPr="00FB5D79">
        <w:t xml:space="preserve">une planification adéquate de </w:t>
      </w:r>
      <w:r w:rsidR="00FC7748" w:rsidRPr="00FB5D79">
        <w:t>la mise en œuvre</w:t>
      </w:r>
      <w:r w:rsidR="001A7C01" w:rsidRPr="00FB5D79">
        <w:t xml:space="preserve"> du projet.</w:t>
      </w:r>
    </w:p>
    <w:p w14:paraId="06F38102" w14:textId="77777777" w:rsidR="003423CB" w:rsidRPr="00FB5D79" w:rsidRDefault="003423CB" w:rsidP="003423CB">
      <w:pPr>
        <w:jc w:val="both"/>
      </w:pPr>
    </w:p>
    <w:p w14:paraId="25123756" w14:textId="77777777" w:rsidR="00D90D3A" w:rsidRPr="00FB5D79" w:rsidRDefault="00D90D3A">
      <w:r w:rsidRPr="00FB5D79">
        <w:br w:type="page"/>
      </w:r>
    </w:p>
    <w:p w14:paraId="62E958A3" w14:textId="0F0E6AAA" w:rsidR="00735A4B" w:rsidRPr="00FB5D79" w:rsidRDefault="003423CB" w:rsidP="003423CB">
      <w:pPr>
        <w:jc w:val="both"/>
      </w:pPr>
      <w:r w:rsidRPr="00FB5D79">
        <w:lastRenderedPageBreak/>
        <w:t>Dans les projets complexes impliquant le recrutement de consultants locaux, il serait toujours difficile de sélectionner les bons consultants qui pourraient être disponibles pendant toute la durée de la missi</w:t>
      </w:r>
      <w:r w:rsidR="00172764" w:rsidRPr="00FB5D79">
        <w:t>on.  Da</w:t>
      </w:r>
      <w:r w:rsidR="0073555E" w:rsidRPr="00FB5D79">
        <w:t xml:space="preserve">ns le même temps, </w:t>
      </w:r>
      <w:r w:rsidR="00E61FEA" w:rsidRPr="00FB5D79">
        <w:t>au</w:t>
      </w:r>
      <w:r w:rsidR="00965F3A">
        <w:t>-</w:t>
      </w:r>
      <w:r w:rsidR="00E61FEA" w:rsidRPr="00FB5D79">
        <w:t xml:space="preserve">delà de ses compétences et de ses qualités, </w:t>
      </w:r>
      <w:r w:rsidR="0073555E" w:rsidRPr="00FB5D79">
        <w:t>le</w:t>
      </w:r>
      <w:r w:rsidRPr="00FB5D79">
        <w:t xml:space="preserve"> consultant</w:t>
      </w:r>
      <w:r w:rsidR="00E61FEA" w:rsidRPr="00FB5D79">
        <w:t>/correspondant</w:t>
      </w:r>
      <w:r w:rsidRPr="00FB5D79">
        <w:t xml:space="preserve"> local </w:t>
      </w:r>
      <w:r w:rsidR="00E61FEA" w:rsidRPr="00FB5D79">
        <w:t>doit</w:t>
      </w:r>
      <w:r w:rsidRPr="00FB5D79">
        <w:t xml:space="preserve"> </w:t>
      </w:r>
      <w:r w:rsidR="0073555E" w:rsidRPr="00FB5D79">
        <w:t>faciliter</w:t>
      </w:r>
      <w:r w:rsidRPr="00FB5D79">
        <w:t xml:space="preserve"> l</w:t>
      </w:r>
      <w:r w:rsidR="00646944" w:rsidRPr="00FB5D79">
        <w:t>’</w:t>
      </w:r>
      <w:r w:rsidRPr="00FB5D79">
        <w:t>interaction entre les différents acteurs et groupes d</w:t>
      </w:r>
      <w:r w:rsidR="00646944" w:rsidRPr="00FB5D79">
        <w:t>’</w:t>
      </w:r>
      <w:r w:rsidRPr="00FB5D79">
        <w:t>intér</w:t>
      </w:r>
      <w:r w:rsidR="00172764" w:rsidRPr="00FB5D79">
        <w:t>êt.  L’e</w:t>
      </w:r>
      <w:r w:rsidR="0073555E" w:rsidRPr="00FB5D79">
        <w:t>xpérience montre que la sélection des partenaires institutionnels et des experts locaux est déterminante pour la réussite du projet</w:t>
      </w:r>
      <w:r w:rsidRPr="00FB5D79">
        <w:t>.</w:t>
      </w:r>
    </w:p>
    <w:p w14:paraId="2CFA40C7" w14:textId="77777777" w:rsidR="00735A4B" w:rsidRPr="00FB5D79" w:rsidRDefault="00735A4B" w:rsidP="00735A4B">
      <w:pPr>
        <w:jc w:val="both"/>
      </w:pPr>
    </w:p>
    <w:p w14:paraId="1793EAC9" w14:textId="47BA81F9" w:rsidR="00735A4B" w:rsidRPr="00FB5D79" w:rsidRDefault="00735A4B" w:rsidP="00735A4B">
      <w:pPr>
        <w:jc w:val="both"/>
        <w:rPr>
          <w:b/>
        </w:rPr>
      </w:pPr>
      <w:r w:rsidRPr="00FB5D79">
        <w:rPr>
          <w:b/>
        </w:rPr>
        <w:t xml:space="preserve">Conclusion </w:t>
      </w:r>
      <w:r w:rsidR="00731C32" w:rsidRPr="00FB5D79">
        <w:rPr>
          <w:b/>
        </w:rPr>
        <w:t>n° </w:t>
      </w:r>
      <w:r w:rsidRPr="00FB5D79">
        <w:rPr>
          <w:b/>
        </w:rPr>
        <w:t>2</w:t>
      </w:r>
      <w:r w:rsidR="00965F3A">
        <w:rPr>
          <w:b/>
        </w:rPr>
        <w:t> :</w:t>
      </w:r>
      <w:r w:rsidRPr="00FB5D79">
        <w:rPr>
          <w:b/>
          <w:bCs/>
        </w:rPr>
        <w:t xml:space="preserve"> </w:t>
      </w:r>
      <w:r w:rsidR="003423CB" w:rsidRPr="00FB5D79">
        <w:rPr>
          <w:b/>
        </w:rPr>
        <w:t xml:space="preserve">La stratégie </w:t>
      </w:r>
      <w:r w:rsidR="00ED0B1F" w:rsidRPr="00FB5D79">
        <w:rPr>
          <w:b/>
        </w:rPr>
        <w:t xml:space="preserve">de mise en œuvre </w:t>
      </w:r>
      <w:r w:rsidR="003423CB" w:rsidRPr="00FB5D79">
        <w:rPr>
          <w:b/>
        </w:rPr>
        <w:t>de la phase II et les objectifs ont été atteints à la satisfaction des parties prenantes.</w:t>
      </w:r>
    </w:p>
    <w:p w14:paraId="20A2E85A" w14:textId="77777777" w:rsidR="00735A4B" w:rsidRPr="00FB5D79" w:rsidRDefault="00735A4B" w:rsidP="00735A4B">
      <w:pPr>
        <w:jc w:val="both"/>
        <w:rPr>
          <w:b/>
        </w:rPr>
      </w:pPr>
    </w:p>
    <w:p w14:paraId="28CFAEA1" w14:textId="21C202B1" w:rsidR="00646944" w:rsidRPr="00FB5D79" w:rsidRDefault="00E61FEA" w:rsidP="003423CB">
      <w:pPr>
        <w:jc w:val="both"/>
      </w:pPr>
      <w:r w:rsidRPr="00FB5D79">
        <w:t>Le projet reposait sur deux</w:t>
      </w:r>
      <w:r w:rsidR="000E4777" w:rsidRPr="00FB5D79">
        <w:t> </w:t>
      </w:r>
      <w:r w:rsidRPr="00FB5D79">
        <w:t xml:space="preserve">piliers, </w:t>
      </w:r>
      <w:r w:rsidR="00965F3A">
        <w:t>à savoir</w:t>
      </w:r>
      <w:r w:rsidRPr="00FB5D79">
        <w:t xml:space="preserve"> la promotion de </w:t>
      </w:r>
      <w:r w:rsidRPr="00FB5D79">
        <w:rPr>
          <w:iCs/>
        </w:rPr>
        <w:t>la continuité des recherches entamées au cours de la phase I</w:t>
      </w:r>
      <w:r w:rsidRPr="00FB5D79">
        <w:t xml:space="preserve"> et l</w:t>
      </w:r>
      <w:r w:rsidR="00646944" w:rsidRPr="00FB5D79">
        <w:t>’</w:t>
      </w:r>
      <w:r w:rsidRPr="00FB5D79">
        <w:t>extension de l</w:t>
      </w:r>
      <w:r w:rsidR="00646944" w:rsidRPr="00FB5D79">
        <w:t>’</w:t>
      </w:r>
      <w:r w:rsidRPr="00FB5D79">
        <w:t xml:space="preserve">étude à de nouveaux pays et régions, dont au moins un PMA, </w:t>
      </w:r>
      <w:r w:rsidRPr="00FB5D79">
        <w:rPr>
          <w:iCs/>
        </w:rPr>
        <w:t>et à des sujets non traités au cours de la phase I</w:t>
      </w:r>
      <w:r w:rsidRPr="00FB5D79">
        <w:t>.</w:t>
      </w:r>
    </w:p>
    <w:p w14:paraId="2141D61E" w14:textId="2D1564FB" w:rsidR="00E61FEA" w:rsidRPr="00FB5D79" w:rsidRDefault="00E61FEA" w:rsidP="003423CB">
      <w:pPr>
        <w:jc w:val="both"/>
      </w:pPr>
    </w:p>
    <w:p w14:paraId="46022746" w14:textId="795FB26E" w:rsidR="00646944" w:rsidRPr="00FB5D79" w:rsidRDefault="00E61FEA" w:rsidP="00E61FEA">
      <w:pPr>
        <w:jc w:val="both"/>
      </w:pPr>
      <w:r w:rsidRPr="00FB5D79">
        <w:t>S</w:t>
      </w:r>
      <w:r w:rsidR="00646944" w:rsidRPr="00FB5D79">
        <w:t>’</w:t>
      </w:r>
      <w:r w:rsidRPr="00FB5D79">
        <w:t xml:space="preserve">agissant de la pérennité du projet, il est encore globalement trop tôt pour tirer des conclusions définitives, mais le projet a jeté des bases importantes pour poursuivre et élargir les études visant à créer des ensembles de données fiables et </w:t>
      </w:r>
      <w:r w:rsidR="00B31157" w:rsidRPr="00FB5D79">
        <w:t>factuelles</w:t>
      </w:r>
      <w:r w:rsidRPr="00FB5D79">
        <w:t xml:space="preserve"> qui permettent de mieux cerner les </w:t>
      </w:r>
      <w:r w:rsidR="005C5F36" w:rsidRPr="00FB5D79">
        <w:t>effets</w:t>
      </w:r>
      <w:r w:rsidRPr="00FB5D79">
        <w:t xml:space="preserve"> socioéconomiques de la propriété intellectuelle et qui soient exploitables par les parties prenantes.</w:t>
      </w:r>
    </w:p>
    <w:p w14:paraId="4369AC7E" w14:textId="1BFCA2E7" w:rsidR="00E61FEA" w:rsidRPr="00FB5D79" w:rsidRDefault="00E61FEA" w:rsidP="00E61FEA">
      <w:pPr>
        <w:jc w:val="both"/>
      </w:pPr>
    </w:p>
    <w:p w14:paraId="480B2BEC" w14:textId="64CCB475" w:rsidR="00E61FEA" w:rsidRPr="00FB5D79" w:rsidRDefault="00E61FEA" w:rsidP="00E61FEA">
      <w:pPr>
        <w:jc w:val="both"/>
      </w:pPr>
      <w:r w:rsidRPr="00FB5D79">
        <w:t xml:space="preserve">Les </w:t>
      </w:r>
      <w:r w:rsidR="00BC30B8" w:rsidRPr="00FB5D79">
        <w:t xml:space="preserve">nouvelles </w:t>
      </w:r>
      <w:r w:rsidRPr="00FB5D79">
        <w:t xml:space="preserve">études menées au Chili et au Brésil au cours de la phase II ont permis </w:t>
      </w:r>
      <w:r w:rsidR="00A76834" w:rsidRPr="00FB5D79">
        <w:t>de soutenir</w:t>
      </w:r>
      <w:r w:rsidR="008D1B7F" w:rsidRPr="00FB5D79">
        <w:t xml:space="preserve"> et d</w:t>
      </w:r>
      <w:r w:rsidR="00646944" w:rsidRPr="00FB5D79">
        <w:t>’</w:t>
      </w:r>
      <w:r w:rsidR="008D1B7F" w:rsidRPr="00FB5D79">
        <w:t>élargir les</w:t>
      </w:r>
      <w:r w:rsidRPr="00FB5D79">
        <w:t xml:space="preserve"> </w:t>
      </w:r>
      <w:r w:rsidR="00BC30B8" w:rsidRPr="00FB5D79">
        <w:t xml:space="preserve">travaux entamés </w:t>
      </w:r>
      <w:r w:rsidRPr="00FB5D79">
        <w:t>au cours de la phase I.</w:t>
      </w:r>
      <w:r w:rsidR="000E4777" w:rsidRPr="00FB5D79">
        <w:t> </w:t>
      </w:r>
      <w:r w:rsidRPr="00FB5D79">
        <w:t xml:space="preserve">Il faut </w:t>
      </w:r>
      <w:r w:rsidR="00BC30B8" w:rsidRPr="00FB5D79">
        <w:t>davantage</w:t>
      </w:r>
      <w:r w:rsidRPr="00FB5D79">
        <w:t xml:space="preserve"> de travail et des capacités humaines appropriées pour </w:t>
      </w:r>
      <w:r w:rsidR="00A76834" w:rsidRPr="00FB5D79">
        <w:t>soutenir</w:t>
      </w:r>
      <w:r w:rsidR="008D1B7F" w:rsidRPr="00FB5D79">
        <w:t xml:space="preserve"> ces études</w:t>
      </w:r>
      <w:r w:rsidRPr="00FB5D79">
        <w:t>.</w:t>
      </w:r>
    </w:p>
    <w:p w14:paraId="6FA0E7E1" w14:textId="77777777" w:rsidR="00E61FEA" w:rsidRPr="00FB5D79" w:rsidRDefault="00E61FEA" w:rsidP="00E61FEA">
      <w:pPr>
        <w:jc w:val="both"/>
      </w:pPr>
    </w:p>
    <w:p w14:paraId="0AEC9934" w14:textId="2D38995C" w:rsidR="00E61FEA" w:rsidRPr="00FB5D79" w:rsidRDefault="008D1B7F" w:rsidP="00E61FEA">
      <w:pPr>
        <w:jc w:val="both"/>
      </w:pPr>
      <w:r w:rsidRPr="00FB5D79">
        <w:t>S</w:t>
      </w:r>
      <w:r w:rsidR="00646944" w:rsidRPr="00FB5D79">
        <w:t>’</w:t>
      </w:r>
      <w:r w:rsidRPr="00FB5D79">
        <w:t>agissant de</w:t>
      </w:r>
      <w:r w:rsidR="00E61FEA" w:rsidRPr="00FB5D79">
        <w:t xml:space="preserve"> l</w:t>
      </w:r>
      <w:r w:rsidR="00646944" w:rsidRPr="00FB5D79">
        <w:t>’</w:t>
      </w:r>
      <w:r w:rsidR="00E61FEA" w:rsidRPr="00FB5D79">
        <w:t xml:space="preserve">extension </w:t>
      </w:r>
      <w:r w:rsidR="00BC30B8" w:rsidRPr="00FB5D79">
        <w:t>de l</w:t>
      </w:r>
      <w:r w:rsidR="00646944" w:rsidRPr="00FB5D79">
        <w:t>’</w:t>
      </w:r>
      <w:r w:rsidR="00BC30B8" w:rsidRPr="00FB5D79">
        <w:t>étude</w:t>
      </w:r>
      <w:r w:rsidR="00E61FEA" w:rsidRPr="00FB5D79">
        <w:t xml:space="preserve"> à de </w:t>
      </w:r>
      <w:r w:rsidR="00BC30B8" w:rsidRPr="00FB5D79">
        <w:t>nouveaux</w:t>
      </w:r>
      <w:r w:rsidR="00E61FEA" w:rsidRPr="00FB5D79">
        <w:t xml:space="preserve"> pays</w:t>
      </w:r>
      <w:r w:rsidR="00BC30B8" w:rsidRPr="00FB5D79">
        <w:t xml:space="preserve"> et à des sujets non traités au cours de la phase I</w:t>
      </w:r>
      <w:r w:rsidR="00E61FEA" w:rsidRPr="00FB5D79">
        <w:t xml:space="preserve">, le projet a connu un </w:t>
      </w:r>
      <w:r w:rsidR="00665B3F" w:rsidRPr="00FB5D79">
        <w:t>franc</w:t>
      </w:r>
      <w:r w:rsidR="00E61FEA" w:rsidRPr="00FB5D79">
        <w:t xml:space="preserve"> succ</w:t>
      </w:r>
      <w:r w:rsidR="00172764" w:rsidRPr="00FB5D79">
        <w:t>ès.  De</w:t>
      </w:r>
      <w:r w:rsidR="00E61FEA" w:rsidRPr="00FB5D79">
        <w:t xml:space="preserve"> nouveaux sujets tels que la valeur </w:t>
      </w:r>
      <w:r w:rsidR="00665B3F" w:rsidRPr="00FB5D79">
        <w:t>des dessins et modèles</w:t>
      </w:r>
      <w:r w:rsidR="00E61FEA" w:rsidRPr="00FB5D79">
        <w:t xml:space="preserve"> industriel</w:t>
      </w:r>
      <w:r w:rsidR="00665B3F" w:rsidRPr="00FB5D79">
        <w:t>s</w:t>
      </w:r>
      <w:r w:rsidR="00E61FEA" w:rsidRPr="00FB5D79">
        <w:t xml:space="preserve"> et l</w:t>
      </w:r>
      <w:r w:rsidR="00646944" w:rsidRPr="00FB5D79">
        <w:t>’</w:t>
      </w:r>
      <w:r w:rsidR="00E61FEA" w:rsidRPr="00FB5D79">
        <w:t xml:space="preserve">innovation </w:t>
      </w:r>
      <w:r w:rsidR="00665B3F" w:rsidRPr="00FB5D79">
        <w:t>dans le secteur agroalimentaire</w:t>
      </w:r>
      <w:r w:rsidR="00E61FEA" w:rsidRPr="00FB5D79">
        <w:t xml:space="preserve"> ont été explorés au cours de la </w:t>
      </w:r>
      <w:r w:rsidR="00665B3F" w:rsidRPr="00FB5D79">
        <w:t xml:space="preserve">phase II, </w:t>
      </w:r>
      <w:r w:rsidR="00E61FEA" w:rsidRPr="00FB5D79">
        <w:t xml:space="preserve">et de nouveaux pays </w:t>
      </w:r>
      <w:r w:rsidR="00665B3F" w:rsidRPr="00FB5D79">
        <w:t xml:space="preserve">ou régions </w:t>
      </w:r>
      <w:r w:rsidR="00E61FEA" w:rsidRPr="00FB5D79">
        <w:t>ont été ajoutés au projet</w:t>
      </w:r>
      <w:r w:rsidR="00965F3A">
        <w:t>-</w:t>
      </w:r>
      <w:r w:rsidR="00E61FEA" w:rsidRPr="00FB5D79">
        <w:t>cadre</w:t>
      </w:r>
      <w:r w:rsidR="00665B3F" w:rsidRPr="00FB5D79">
        <w:t xml:space="preserve"> (l</w:t>
      </w:r>
      <w:r w:rsidR="00646944" w:rsidRPr="00FB5D79">
        <w:t>’</w:t>
      </w:r>
      <w:r w:rsidR="00E61FEA" w:rsidRPr="00FB5D79">
        <w:t xml:space="preserve">Amérique centrale, </w:t>
      </w:r>
      <w:r w:rsidR="00665B3F" w:rsidRPr="00FB5D79">
        <w:t xml:space="preserve">la </w:t>
      </w:r>
      <w:r w:rsidR="00E61FEA" w:rsidRPr="00FB5D79">
        <w:t xml:space="preserve">Colombie, </w:t>
      </w:r>
      <w:r w:rsidR="00665B3F" w:rsidRPr="00FB5D79">
        <w:t xml:space="preserve">la </w:t>
      </w:r>
      <w:r w:rsidR="00E61FEA" w:rsidRPr="00FB5D79">
        <w:t xml:space="preserve">République dominicaine, </w:t>
      </w:r>
      <w:r w:rsidR="00665B3F" w:rsidRPr="00FB5D79">
        <w:t>l</w:t>
      </w:r>
      <w:r w:rsidR="00646944" w:rsidRPr="00FB5D79">
        <w:t>’</w:t>
      </w:r>
      <w:r w:rsidR="00E61FEA" w:rsidRPr="00FB5D79">
        <w:t xml:space="preserve">Indonésie, </w:t>
      </w:r>
      <w:r w:rsidR="00665B3F" w:rsidRPr="00FB5D79">
        <w:t xml:space="preserve">la </w:t>
      </w:r>
      <w:r w:rsidR="00E61FEA" w:rsidRPr="00FB5D79">
        <w:t xml:space="preserve">Pologne, </w:t>
      </w:r>
      <w:r w:rsidR="00665B3F" w:rsidRPr="00FB5D79">
        <w:t xml:space="preserve">les </w:t>
      </w:r>
      <w:r w:rsidR="00E61FEA" w:rsidRPr="00FB5D79">
        <w:t xml:space="preserve">Philippines et </w:t>
      </w:r>
      <w:r w:rsidR="00665B3F" w:rsidRPr="00FB5D79">
        <w:t>l</w:t>
      </w:r>
      <w:r w:rsidR="00646944" w:rsidRPr="00FB5D79">
        <w:t>’</w:t>
      </w:r>
      <w:r w:rsidR="00E61FEA" w:rsidRPr="00FB5D79">
        <w:t>Ouganda</w:t>
      </w:r>
      <w:r w:rsidR="00665B3F" w:rsidRPr="00FB5D79">
        <w:t>)</w:t>
      </w:r>
      <w:r w:rsidR="00E61FEA" w:rsidRPr="00FB5D79">
        <w:t>.</w:t>
      </w:r>
    </w:p>
    <w:p w14:paraId="7019F365" w14:textId="77777777" w:rsidR="003423CB" w:rsidRPr="00FB5D79" w:rsidRDefault="003423CB" w:rsidP="003423CB">
      <w:pPr>
        <w:jc w:val="both"/>
      </w:pPr>
    </w:p>
    <w:p w14:paraId="2E9B5644" w14:textId="04A90475" w:rsidR="003423CB" w:rsidRPr="00FB5D79" w:rsidRDefault="00B567B9" w:rsidP="003423CB">
      <w:pPr>
        <w:jc w:val="both"/>
      </w:pPr>
      <w:r w:rsidRPr="00FB5D79">
        <w:t>Le retour d</w:t>
      </w:r>
      <w:r w:rsidR="00646944" w:rsidRPr="00FB5D79">
        <w:t>’</w:t>
      </w:r>
      <w:r w:rsidRPr="00FB5D79">
        <w:t xml:space="preserve">information confirme </w:t>
      </w:r>
      <w:r w:rsidR="003423CB" w:rsidRPr="00FB5D79">
        <w:t xml:space="preserve">que les objectifs du projet sont restés très pertinents et </w:t>
      </w:r>
      <w:r w:rsidRPr="00FB5D79">
        <w:t>réalistes</w:t>
      </w:r>
      <w:r w:rsidR="003423CB" w:rsidRPr="00FB5D79">
        <w:t xml:space="preserve"> </w:t>
      </w:r>
      <w:r w:rsidRPr="00FB5D79">
        <w:t>aux yeux des</w:t>
      </w:r>
      <w:r w:rsidR="003423CB" w:rsidRPr="00FB5D79">
        <w:t xml:space="preserve"> pays et régions participant à la mise en œuvre du projet.</w:t>
      </w:r>
    </w:p>
    <w:p w14:paraId="184929D3" w14:textId="77777777" w:rsidR="003423CB" w:rsidRPr="00FB5D79" w:rsidRDefault="003423CB" w:rsidP="003423CB">
      <w:pPr>
        <w:jc w:val="both"/>
      </w:pPr>
    </w:p>
    <w:p w14:paraId="0FCC7031" w14:textId="0C1D69D3" w:rsidR="00646944" w:rsidRPr="00FB5D79" w:rsidRDefault="003423CB" w:rsidP="003423CB">
      <w:pPr>
        <w:jc w:val="both"/>
      </w:pPr>
      <w:r w:rsidRPr="00FB5D79">
        <w:t xml:space="preserve">Un certain nombre de parties prenantes ont </w:t>
      </w:r>
      <w:r w:rsidR="00B567B9" w:rsidRPr="00FB5D79">
        <w:t>signalé</w:t>
      </w:r>
      <w:r w:rsidRPr="00FB5D79">
        <w:t xml:space="preserve"> que </w:t>
      </w:r>
      <w:r w:rsidR="00B567B9" w:rsidRPr="00FB5D79">
        <w:t xml:space="preserve">les </w:t>
      </w:r>
      <w:r w:rsidR="003E3310" w:rsidRPr="00FB5D79">
        <w:t>études</w:t>
      </w:r>
      <w:r w:rsidRPr="00FB5D79">
        <w:t xml:space="preserve"> </w:t>
      </w:r>
      <w:r w:rsidR="003E3310" w:rsidRPr="00FB5D79">
        <w:t>réalisées par</w:t>
      </w:r>
      <w:r w:rsidRPr="00FB5D79">
        <w:t xml:space="preserve"> l</w:t>
      </w:r>
      <w:r w:rsidR="00646944" w:rsidRPr="00FB5D79">
        <w:t>’</w:t>
      </w:r>
      <w:r w:rsidRPr="00FB5D79">
        <w:t xml:space="preserve">OMPI </w:t>
      </w:r>
      <w:r w:rsidR="003E3310" w:rsidRPr="00FB5D79">
        <w:t xml:space="preserve">en la matière étaient pertinentes et uniques </w:t>
      </w:r>
      <w:r w:rsidRPr="00FB5D79">
        <w:t xml:space="preserve">à </w:t>
      </w:r>
      <w:r w:rsidR="003E3310" w:rsidRPr="00FB5D79">
        <w:t>maints égar</w:t>
      </w:r>
      <w:r w:rsidR="00172764" w:rsidRPr="00FB5D79">
        <w:t>ds.  Né</w:t>
      </w:r>
      <w:r w:rsidR="003E3310" w:rsidRPr="00FB5D79">
        <w:t>anmoins, pour que de nombreux pays puissent tirer parti de ce projet durablement, il faut un suivi et, dans un certain nombre de cas, des investissements importants dans le renforcement des capacités</w:t>
      </w:r>
      <w:r w:rsidRPr="00FB5D79">
        <w:t>.</w:t>
      </w:r>
    </w:p>
    <w:p w14:paraId="3BDC89D7" w14:textId="5BA97A7A" w:rsidR="003423CB" w:rsidRPr="00FB5D79" w:rsidRDefault="003423CB" w:rsidP="003423CB">
      <w:pPr>
        <w:jc w:val="both"/>
      </w:pPr>
    </w:p>
    <w:p w14:paraId="4E93BD9C" w14:textId="2ED62DFB" w:rsidR="00735A4B" w:rsidRPr="00FB5D79" w:rsidRDefault="00457E35" w:rsidP="003423CB">
      <w:pPr>
        <w:jc w:val="both"/>
      </w:pPr>
      <w:r w:rsidRPr="00FB5D79">
        <w:t>Certaines</w:t>
      </w:r>
      <w:r w:rsidR="003423CB" w:rsidRPr="00FB5D79">
        <w:t xml:space="preserve"> </w:t>
      </w:r>
      <w:r w:rsidR="002E54F8" w:rsidRPr="00FB5D79">
        <w:t xml:space="preserve">parties prenantes </w:t>
      </w:r>
      <w:r w:rsidR="003423CB" w:rsidRPr="00FB5D79">
        <w:t xml:space="preserve">ont remarqué que ce type </w:t>
      </w:r>
      <w:r w:rsidR="001313FC" w:rsidRPr="00FB5D79">
        <w:t>d</w:t>
      </w:r>
      <w:r w:rsidR="00646944" w:rsidRPr="00FB5D79">
        <w:t>’</w:t>
      </w:r>
      <w:r w:rsidR="001313FC" w:rsidRPr="00FB5D79">
        <w:t>études</w:t>
      </w:r>
      <w:r w:rsidR="003423CB" w:rsidRPr="00FB5D79">
        <w:t xml:space="preserve"> qui, dans bien des cas, </w:t>
      </w:r>
      <w:r w:rsidR="001313FC" w:rsidRPr="00FB5D79">
        <w:t xml:space="preserve">sont nouvelles </w:t>
      </w:r>
      <w:r w:rsidR="003423CB" w:rsidRPr="00FB5D79">
        <w:t>et important</w:t>
      </w:r>
      <w:r w:rsidR="001313FC" w:rsidRPr="00FB5D79">
        <w:t>es</w:t>
      </w:r>
      <w:r w:rsidR="003423CB" w:rsidRPr="00FB5D79">
        <w:t xml:space="preserve">, </w:t>
      </w:r>
      <w:r w:rsidR="001313FC" w:rsidRPr="00FB5D79">
        <w:t>s</w:t>
      </w:r>
      <w:r w:rsidR="00646944" w:rsidRPr="00FB5D79">
        <w:t>’</w:t>
      </w:r>
      <w:r w:rsidR="001313FC" w:rsidRPr="00FB5D79">
        <w:t>accompagnent</w:t>
      </w:r>
      <w:r w:rsidR="003423CB" w:rsidRPr="00FB5D79">
        <w:t xml:space="preserve"> de nombreuses attentes </w:t>
      </w:r>
      <w:r w:rsidR="001313FC" w:rsidRPr="00FB5D79">
        <w:t>qui ne sont pas faciles à</w:t>
      </w:r>
      <w:r w:rsidR="003423CB" w:rsidRPr="00FB5D79">
        <w:t xml:space="preserve"> satisfaire faute de ressources humaines </w:t>
      </w:r>
      <w:r w:rsidR="001313FC" w:rsidRPr="00FB5D79">
        <w:t>permettant</w:t>
      </w:r>
      <w:r w:rsidR="003423CB" w:rsidRPr="00FB5D79">
        <w:t xml:space="preserve"> pouvoir poursuivre </w:t>
      </w:r>
      <w:r w:rsidR="001313FC" w:rsidRPr="00FB5D79">
        <w:t>les travaux</w:t>
      </w:r>
      <w:r w:rsidR="003423CB" w:rsidRPr="00FB5D79">
        <w:t xml:space="preserve"> et </w:t>
      </w:r>
      <w:r w:rsidR="001313FC" w:rsidRPr="00FB5D79">
        <w:t xml:space="preserve">de </w:t>
      </w:r>
      <w:r w:rsidR="003423CB" w:rsidRPr="00FB5D79">
        <w:t xml:space="preserve">transformer </w:t>
      </w:r>
      <w:r w:rsidR="001313FC" w:rsidRPr="00FB5D79">
        <w:t>les</w:t>
      </w:r>
      <w:r w:rsidR="003423CB" w:rsidRPr="00FB5D79">
        <w:t xml:space="preserve"> </w:t>
      </w:r>
      <w:r w:rsidR="001313FC" w:rsidRPr="00FB5D79">
        <w:t>résultats</w:t>
      </w:r>
      <w:r w:rsidR="003423CB" w:rsidRPr="00FB5D79">
        <w:t xml:space="preserve"> importants en </w:t>
      </w:r>
      <w:r w:rsidR="001313FC" w:rsidRPr="00FB5D79">
        <w:t>réelles réussites</w:t>
      </w:r>
      <w:r w:rsidR="003423CB" w:rsidRPr="00FB5D79">
        <w:t>.</w:t>
      </w:r>
    </w:p>
    <w:p w14:paraId="14DDD80D" w14:textId="77777777" w:rsidR="00735A4B" w:rsidRPr="00FB5D79" w:rsidRDefault="00735A4B" w:rsidP="00735A4B">
      <w:pPr>
        <w:jc w:val="both"/>
      </w:pPr>
    </w:p>
    <w:p w14:paraId="1DB61E0D" w14:textId="30C0DA34" w:rsidR="00735A4B" w:rsidRPr="00FB5D79" w:rsidRDefault="00735A4B" w:rsidP="00735A4B">
      <w:pPr>
        <w:jc w:val="both"/>
        <w:rPr>
          <w:b/>
        </w:rPr>
      </w:pPr>
      <w:r w:rsidRPr="00FB5D79">
        <w:rPr>
          <w:b/>
        </w:rPr>
        <w:t xml:space="preserve">Conclusion </w:t>
      </w:r>
      <w:r w:rsidR="00731C32" w:rsidRPr="00FB5D79">
        <w:rPr>
          <w:b/>
        </w:rPr>
        <w:t>n° </w:t>
      </w:r>
      <w:r w:rsidRPr="00FB5D79">
        <w:rPr>
          <w:b/>
        </w:rPr>
        <w:t>3</w:t>
      </w:r>
      <w:r w:rsidR="00965F3A">
        <w:rPr>
          <w:b/>
        </w:rPr>
        <w:t> :</w:t>
      </w:r>
      <w:r w:rsidRPr="00FB5D79">
        <w:rPr>
          <w:b/>
        </w:rPr>
        <w:t xml:space="preserve"> </w:t>
      </w:r>
      <w:r w:rsidR="003423CB" w:rsidRPr="00FB5D79">
        <w:rPr>
          <w:b/>
        </w:rPr>
        <w:t>L</w:t>
      </w:r>
      <w:r w:rsidR="00646944" w:rsidRPr="00FB5D79">
        <w:rPr>
          <w:b/>
        </w:rPr>
        <w:t>’</w:t>
      </w:r>
      <w:r w:rsidR="003423CB" w:rsidRPr="00FB5D79">
        <w:rPr>
          <w:b/>
        </w:rPr>
        <w:t>aide a été apportée à temps et s</w:t>
      </w:r>
      <w:r w:rsidR="00646944" w:rsidRPr="00FB5D79">
        <w:rPr>
          <w:b/>
        </w:rPr>
        <w:t>’</w:t>
      </w:r>
      <w:r w:rsidR="003423CB" w:rsidRPr="00FB5D79">
        <w:rPr>
          <w:b/>
        </w:rPr>
        <w:t>est révélée de grande qualité, et les résultats étaient reproductibles.</w:t>
      </w:r>
    </w:p>
    <w:p w14:paraId="6EAB9C75" w14:textId="77777777" w:rsidR="00735A4B" w:rsidRPr="00FB5D79" w:rsidRDefault="00735A4B" w:rsidP="00735A4B">
      <w:pPr>
        <w:jc w:val="both"/>
        <w:rPr>
          <w:b/>
        </w:rPr>
      </w:pPr>
    </w:p>
    <w:p w14:paraId="522119DC" w14:textId="4A8D57A0" w:rsidR="00646944" w:rsidRPr="00FB5D79" w:rsidRDefault="001313FC" w:rsidP="003423CB">
      <w:pPr>
        <w:jc w:val="both"/>
      </w:pPr>
      <w:r w:rsidRPr="00FB5D79">
        <w:t>L</w:t>
      </w:r>
      <w:r w:rsidR="00646944" w:rsidRPr="00FB5D79">
        <w:t>’</w:t>
      </w:r>
      <w:r w:rsidRPr="00FB5D79">
        <w:t>étude réalisée est de grande quali</w:t>
      </w:r>
      <w:r w:rsidR="00172764" w:rsidRPr="00FB5D79">
        <w:t>té.  S’a</w:t>
      </w:r>
      <w:r w:rsidRPr="00FB5D79">
        <w:t>gissant de la mise en œuvre de la recommandation du Plan d</w:t>
      </w:r>
      <w:r w:rsidR="00646944" w:rsidRPr="00FB5D79">
        <w:t>’</w:t>
      </w:r>
      <w:r w:rsidRPr="00FB5D79">
        <w:t>action pour le développement,</w:t>
      </w:r>
      <w:r w:rsidR="00646944" w:rsidRPr="00FB5D79">
        <w:t xml:space="preserve"> le CDI</w:t>
      </w:r>
      <w:r w:rsidRPr="00FB5D79">
        <w:t>P devrait s</w:t>
      </w:r>
      <w:r w:rsidR="00646944" w:rsidRPr="00FB5D79">
        <w:t>’</w:t>
      </w:r>
      <w:r w:rsidRPr="00FB5D79">
        <w:t>enorgueillir d</w:t>
      </w:r>
      <w:r w:rsidR="00646944" w:rsidRPr="00FB5D79">
        <w:t>’</w:t>
      </w:r>
      <w:r w:rsidRPr="00FB5D79">
        <w:t>avoir permis, grâce aux conseils du Bureau de l</w:t>
      </w:r>
      <w:r w:rsidR="00646944" w:rsidRPr="00FB5D79">
        <w:t>’</w:t>
      </w:r>
      <w:r w:rsidRPr="00FB5D79">
        <w:t xml:space="preserve">économiste en chef, de faire progresser </w:t>
      </w:r>
      <w:r w:rsidR="00E8350A" w:rsidRPr="00FB5D79">
        <w:t>ces travaux</w:t>
      </w:r>
      <w:r w:rsidR="00E63C3C" w:rsidRPr="00FB5D79">
        <w:t>,</w:t>
      </w:r>
      <w:r w:rsidRPr="00FB5D79">
        <w:t xml:space="preserve"> qui ont aidé les pays bénéficiaires à mieux cerner les effets socioéconomiques de la protection de la propriété intellectuelle</w:t>
      </w:r>
      <w:r w:rsidR="00E63C3C" w:rsidRPr="00FB5D79">
        <w:t xml:space="preserve">; </w:t>
      </w:r>
      <w:r w:rsidRPr="00FB5D79">
        <w:t xml:space="preserve"> </w:t>
      </w:r>
      <w:r w:rsidR="00E63C3C" w:rsidRPr="00FB5D79">
        <w:t xml:space="preserve">il devrait également se féliciter </w:t>
      </w:r>
      <w:r w:rsidRPr="00FB5D79">
        <w:t>d</w:t>
      </w:r>
      <w:r w:rsidR="00646944" w:rsidRPr="00FB5D79">
        <w:t>’</w:t>
      </w:r>
      <w:r w:rsidRPr="00FB5D79">
        <w:t xml:space="preserve">avoir amélioré les capacités des pays dotés de capacités limitées en la matière </w:t>
      </w:r>
      <w:r w:rsidR="00E8350A" w:rsidRPr="00FB5D79">
        <w:t xml:space="preserve">afin </w:t>
      </w:r>
      <w:r w:rsidR="00E63C3C" w:rsidRPr="00FB5D79">
        <w:t>qu</w:t>
      </w:r>
      <w:r w:rsidR="00646944" w:rsidRPr="00FB5D79">
        <w:t>’</w:t>
      </w:r>
      <w:r w:rsidR="00E63C3C" w:rsidRPr="00FB5D79">
        <w:t>ils puissent commencer</w:t>
      </w:r>
      <w:r w:rsidRPr="00FB5D79">
        <w:t xml:space="preserve"> à créer des capacités d</w:t>
      </w:r>
      <w:r w:rsidR="00646944" w:rsidRPr="00FB5D79">
        <w:t>’</w:t>
      </w:r>
      <w:r w:rsidRPr="00FB5D79">
        <w:t>analyse à cet effet.</w:t>
      </w:r>
    </w:p>
    <w:p w14:paraId="73450512" w14:textId="30F8C16C" w:rsidR="003423CB" w:rsidRPr="00FB5D79" w:rsidRDefault="003423CB" w:rsidP="003423CB">
      <w:pPr>
        <w:jc w:val="both"/>
      </w:pPr>
    </w:p>
    <w:p w14:paraId="39E06E63" w14:textId="094D4579" w:rsidR="003423CB" w:rsidRPr="00FB5D79" w:rsidRDefault="001313FC" w:rsidP="003423CB">
      <w:pPr>
        <w:jc w:val="both"/>
      </w:pPr>
      <w:r w:rsidRPr="00FB5D79">
        <w:lastRenderedPageBreak/>
        <w:t>L</w:t>
      </w:r>
      <w:r w:rsidR="00646944" w:rsidRPr="00FB5D79">
        <w:t>’</w:t>
      </w:r>
      <w:r w:rsidRPr="00FB5D79">
        <w:t>aide apportée par l</w:t>
      </w:r>
      <w:r w:rsidR="00646944" w:rsidRPr="00FB5D79">
        <w:t>’</w:t>
      </w:r>
      <w:r w:rsidRPr="00FB5D79">
        <w:t>équipe chargée du projet s</w:t>
      </w:r>
      <w:r w:rsidR="00646944" w:rsidRPr="00FB5D79">
        <w:t>’</w:t>
      </w:r>
      <w:r w:rsidRPr="00FB5D79">
        <w:t>est révélée de grande qualité, très innovante, engagée et professionnelle, reflétant les meilleures pratiques en vigueur dans les pays qui ont l</w:t>
      </w:r>
      <w:r w:rsidR="00646944" w:rsidRPr="00FB5D79">
        <w:t>’</w:t>
      </w:r>
      <w:r w:rsidRPr="00FB5D79">
        <w:t>expérience de ce type d</w:t>
      </w:r>
      <w:r w:rsidR="00646944" w:rsidRPr="00FB5D79">
        <w:t>’</w:t>
      </w:r>
      <w:r w:rsidRPr="00FB5D79">
        <w:t>études.</w:t>
      </w:r>
    </w:p>
    <w:p w14:paraId="71F7A6B3" w14:textId="77777777" w:rsidR="003423CB" w:rsidRPr="00FB5D79" w:rsidRDefault="003423CB" w:rsidP="003423CB">
      <w:pPr>
        <w:jc w:val="both"/>
      </w:pPr>
    </w:p>
    <w:p w14:paraId="5B4F0C9D" w14:textId="595E13E2" w:rsidR="00646944" w:rsidRPr="00FB5D79" w:rsidRDefault="003423CB" w:rsidP="003423CB">
      <w:pPr>
        <w:jc w:val="both"/>
      </w:pPr>
      <w:r w:rsidRPr="00FB5D79">
        <w:t>La phase</w:t>
      </w:r>
      <w:r w:rsidR="001313FC" w:rsidRPr="00FB5D79">
        <w:t> </w:t>
      </w:r>
      <w:r w:rsidRPr="00FB5D79">
        <w:t xml:space="preserve">II </w:t>
      </w:r>
      <w:r w:rsidR="00E8350A" w:rsidRPr="00FB5D79">
        <w:t>constitue la phase de</w:t>
      </w:r>
      <w:r w:rsidRPr="00FB5D79">
        <w:t xml:space="preserve"> suivi de la phase</w:t>
      </w:r>
      <w:r w:rsidR="00B13D81" w:rsidRPr="00FB5D79">
        <w:t> </w:t>
      </w:r>
      <w:proofErr w:type="gramStart"/>
      <w:r w:rsidR="00B13D81" w:rsidRPr="00FB5D79">
        <w:t>I;  elle</w:t>
      </w:r>
      <w:proofErr w:type="gramEnd"/>
      <w:r w:rsidR="00B13D81" w:rsidRPr="00FB5D79">
        <w:t xml:space="preserve"> s</w:t>
      </w:r>
      <w:r w:rsidR="00646944" w:rsidRPr="00FB5D79">
        <w:t>’</w:t>
      </w:r>
      <w:r w:rsidR="00B13D81" w:rsidRPr="00FB5D79">
        <w:t xml:space="preserve">inspire des enseignements tirés lors de la mise en œuvre du projet initial </w:t>
      </w:r>
      <w:r w:rsidR="00E8350A" w:rsidRPr="00FB5D79">
        <w:t xml:space="preserve">et suit </w:t>
      </w:r>
      <w:r w:rsidR="00B13D81" w:rsidRPr="00FB5D79">
        <w:t xml:space="preserve">ainsi </w:t>
      </w:r>
      <w:r w:rsidR="00E8350A" w:rsidRPr="00FB5D79">
        <w:t xml:space="preserve">la même démarche </w:t>
      </w:r>
      <w:r w:rsidRPr="00FB5D79">
        <w:t xml:space="preserve">fructueuse </w:t>
      </w:r>
      <w:r w:rsidR="00E8350A" w:rsidRPr="00FB5D79">
        <w:t>que c</w:t>
      </w:r>
      <w:r w:rsidR="00B13D81" w:rsidRPr="00FB5D79">
        <w:t>elle adoptée lors de la phase I</w:t>
      </w:r>
      <w:r w:rsidRPr="00FB5D79">
        <w:t>.</w:t>
      </w:r>
      <w:r w:rsidR="000E4777" w:rsidRPr="00FB5D79">
        <w:t> </w:t>
      </w:r>
      <w:r w:rsidRPr="00FB5D79">
        <w:t xml:space="preserve">Si, </w:t>
      </w:r>
      <w:r w:rsidR="007D663E" w:rsidRPr="00FB5D79">
        <w:t>lors de</w:t>
      </w:r>
      <w:r w:rsidRPr="00FB5D79">
        <w:t xml:space="preserve"> la phase</w:t>
      </w:r>
      <w:r w:rsidR="00E8350A" w:rsidRPr="00FB5D79">
        <w:t> </w:t>
      </w:r>
      <w:r w:rsidRPr="00FB5D79">
        <w:t xml:space="preserve">I, </w:t>
      </w:r>
      <w:r w:rsidR="007D663E" w:rsidRPr="00FB5D79">
        <w:t>les décideurs n</w:t>
      </w:r>
      <w:r w:rsidR="00646944" w:rsidRPr="00FB5D79">
        <w:t>’</w:t>
      </w:r>
      <w:r w:rsidR="007D663E" w:rsidRPr="00FB5D79">
        <w:t>avaient pas vraiment conscience de</w:t>
      </w:r>
      <w:r w:rsidRPr="00FB5D79">
        <w:t xml:space="preserve"> l</w:t>
      </w:r>
      <w:r w:rsidR="00646944" w:rsidRPr="00FB5D79">
        <w:t>’</w:t>
      </w:r>
      <w:r w:rsidRPr="00FB5D79">
        <w:t xml:space="preserve">importance </w:t>
      </w:r>
      <w:r w:rsidR="007D663E" w:rsidRPr="00FB5D79">
        <w:t>d</w:t>
      </w:r>
      <w:r w:rsidR="00646944" w:rsidRPr="00FB5D79">
        <w:t>’</w:t>
      </w:r>
      <w:r w:rsidR="007D663E" w:rsidRPr="00FB5D79">
        <w:t>utiliser des données économiques</w:t>
      </w:r>
      <w:r w:rsidRPr="00FB5D79">
        <w:t xml:space="preserve">, </w:t>
      </w:r>
      <w:r w:rsidR="007D663E" w:rsidRPr="00FB5D79">
        <w:t>les</w:t>
      </w:r>
      <w:r w:rsidRPr="00FB5D79">
        <w:t xml:space="preserve"> </w:t>
      </w:r>
      <w:r w:rsidR="00BC30B8" w:rsidRPr="00FB5D79">
        <w:t>études</w:t>
      </w:r>
      <w:r w:rsidRPr="00FB5D79">
        <w:t xml:space="preserve"> </w:t>
      </w:r>
      <w:r w:rsidR="00BC30B8" w:rsidRPr="00FB5D79">
        <w:t xml:space="preserve">menées </w:t>
      </w:r>
      <w:r w:rsidRPr="00FB5D79">
        <w:t>dans le cadre du projet</w:t>
      </w:r>
      <w:r w:rsidR="00965F3A">
        <w:t>-</w:t>
      </w:r>
      <w:r w:rsidRPr="00FB5D79">
        <w:t>cadre</w:t>
      </w:r>
      <w:r w:rsidR="007D663E" w:rsidRPr="00FB5D79">
        <w:t xml:space="preserve"> leur ont fait comprendre qu</w:t>
      </w:r>
      <w:r w:rsidR="00646944" w:rsidRPr="00FB5D79">
        <w:t>’</w:t>
      </w:r>
      <w:r w:rsidR="007D663E" w:rsidRPr="00FB5D79">
        <w:t>il était nécessaire de développer ce type d</w:t>
      </w:r>
      <w:r w:rsidR="00646944" w:rsidRPr="00FB5D79">
        <w:t>’</w:t>
      </w:r>
      <w:r w:rsidR="007D663E" w:rsidRPr="00FB5D79">
        <w:t>études, et la demande en la matière a augmenté</w:t>
      </w:r>
      <w:r w:rsidRPr="00FB5D79">
        <w:t>.</w:t>
      </w:r>
    </w:p>
    <w:p w14:paraId="0CADC875" w14:textId="5AE9EDA7" w:rsidR="003423CB" w:rsidRPr="00FB5D79" w:rsidRDefault="003423CB" w:rsidP="00E8350A">
      <w:pPr>
        <w:tabs>
          <w:tab w:val="left" w:pos="5205"/>
        </w:tabs>
        <w:jc w:val="both"/>
      </w:pPr>
    </w:p>
    <w:p w14:paraId="228C1653" w14:textId="4E3885B7" w:rsidR="00646944" w:rsidRPr="00FB5D79" w:rsidRDefault="003423CB" w:rsidP="003423CB">
      <w:pPr>
        <w:jc w:val="both"/>
      </w:pPr>
      <w:r w:rsidRPr="00FB5D79">
        <w:t>L</w:t>
      </w:r>
      <w:r w:rsidR="00646944" w:rsidRPr="00FB5D79">
        <w:t>’</w:t>
      </w:r>
      <w:r w:rsidR="007D663E" w:rsidRPr="00FB5D79">
        <w:t xml:space="preserve">étude menée </w:t>
      </w:r>
      <w:r w:rsidR="00E214A9" w:rsidRPr="00FB5D79">
        <w:t>dans les pays d</w:t>
      </w:r>
      <w:r w:rsidR="00646944" w:rsidRPr="00FB5D79">
        <w:t>’</w:t>
      </w:r>
      <w:r w:rsidR="007D663E" w:rsidRPr="00FB5D79">
        <w:t xml:space="preserve">Amérique centrale </w:t>
      </w:r>
      <w:r w:rsidRPr="00FB5D79">
        <w:t>est un bon exemple qui a mis en évidence d</w:t>
      </w:r>
      <w:r w:rsidR="00646944" w:rsidRPr="00FB5D79">
        <w:t>’</w:t>
      </w:r>
      <w:r w:rsidRPr="00FB5D79">
        <w:t>importantes lacunes et la nécessité de les combl</w:t>
      </w:r>
      <w:r w:rsidR="00172764" w:rsidRPr="00FB5D79">
        <w:t>er.  Le</w:t>
      </w:r>
      <w:r w:rsidRPr="00FB5D79">
        <w:t xml:space="preserve"> renforcement des</w:t>
      </w:r>
      <w:r w:rsidR="007D663E" w:rsidRPr="00FB5D79">
        <w:t xml:space="preserve"> capacités</w:t>
      </w:r>
      <w:r w:rsidRPr="00FB5D79">
        <w:t xml:space="preserve"> </w:t>
      </w:r>
      <w:r w:rsidR="005E612D" w:rsidRPr="00FB5D79">
        <w:t>à l</w:t>
      </w:r>
      <w:r w:rsidR="00646944" w:rsidRPr="00FB5D79">
        <w:t>’</w:t>
      </w:r>
      <w:r w:rsidR="005E612D" w:rsidRPr="00FB5D79">
        <w:t xml:space="preserve">appui de cette étude </w:t>
      </w:r>
      <w:r w:rsidRPr="00FB5D79">
        <w:t xml:space="preserve">est nécessaire, comme </w:t>
      </w:r>
      <w:r w:rsidR="00371006" w:rsidRPr="00FB5D79">
        <w:t xml:space="preserve">le </w:t>
      </w:r>
      <w:r w:rsidR="00E214A9" w:rsidRPr="00FB5D79">
        <w:t>demandent</w:t>
      </w:r>
      <w:r w:rsidR="001313FC" w:rsidRPr="00FB5D79">
        <w:t xml:space="preserve"> ces pays.</w:t>
      </w:r>
    </w:p>
    <w:p w14:paraId="158A6E50" w14:textId="426B1EDF" w:rsidR="001313FC" w:rsidRPr="00FB5D79" w:rsidRDefault="001313FC" w:rsidP="003423CB">
      <w:pPr>
        <w:jc w:val="both"/>
      </w:pPr>
    </w:p>
    <w:p w14:paraId="4AB6D21A" w14:textId="6748C866" w:rsidR="001313FC" w:rsidRPr="00FB5D79" w:rsidRDefault="001313FC" w:rsidP="003423CB">
      <w:pPr>
        <w:jc w:val="both"/>
      </w:pPr>
      <w:r w:rsidRPr="00FB5D79">
        <w:t>Tout ce qui a été fait en matière de regroupement et de numérisation, sur la base d</w:t>
      </w:r>
      <w:r w:rsidR="00646944" w:rsidRPr="00FB5D79">
        <w:t>’</w:t>
      </w:r>
      <w:r w:rsidRPr="00FB5D79">
        <w:t>un dénominateur commun, des données brutes sur les titres de propriété intellectuelle demandés ou délivrés, de façon à pouvoir établir un lien entre ces données et d</w:t>
      </w:r>
      <w:r w:rsidR="00646944" w:rsidRPr="00FB5D79">
        <w:t>’</w:t>
      </w:r>
      <w:r w:rsidRPr="00FB5D79">
        <w:t>autres données microéconomiques provenant des offices de la statistique, constitue une étape importante pour appréhender l</w:t>
      </w:r>
      <w:r w:rsidR="00646944" w:rsidRPr="00FB5D79">
        <w:t>’</w:t>
      </w:r>
      <w:r w:rsidRPr="00FB5D79">
        <w:t>utilisation qui est faite de la propriété intellectuelle</w:t>
      </w:r>
      <w:r w:rsidR="00E214A9" w:rsidRPr="00FB5D79">
        <w:t xml:space="preserve"> dans le pays concerné</w:t>
      </w:r>
      <w:r w:rsidRPr="00FB5D79">
        <w:t>.</w:t>
      </w:r>
    </w:p>
    <w:p w14:paraId="7A2123F9" w14:textId="77777777" w:rsidR="00E214A9" w:rsidRPr="00FB5D79" w:rsidRDefault="00E214A9" w:rsidP="003423CB">
      <w:pPr>
        <w:jc w:val="both"/>
      </w:pPr>
    </w:p>
    <w:p w14:paraId="646DFD2B" w14:textId="0374E17D" w:rsidR="00E214A9" w:rsidRPr="00FB5D79" w:rsidRDefault="00E214A9" w:rsidP="003423CB">
      <w:pPr>
        <w:jc w:val="both"/>
      </w:pPr>
      <w:r w:rsidRPr="00FB5D79">
        <w:t>Les données économiques fiables constituent un important prérequis à la conception des politiques et stratégies nationales en matière de propriété intellectuelle.</w:t>
      </w:r>
    </w:p>
    <w:p w14:paraId="3DD3FEEA" w14:textId="77777777" w:rsidR="001313FC" w:rsidRPr="00FB5D79" w:rsidRDefault="001313FC" w:rsidP="003423CB">
      <w:pPr>
        <w:jc w:val="both"/>
      </w:pPr>
    </w:p>
    <w:p w14:paraId="7AB69DD8" w14:textId="63D6F81E" w:rsidR="001313FC" w:rsidRPr="00FB5D79" w:rsidRDefault="001313FC" w:rsidP="003423CB">
      <w:pPr>
        <w:jc w:val="both"/>
      </w:pPr>
      <w:r w:rsidRPr="00FB5D79">
        <w:t>L</w:t>
      </w:r>
      <w:r w:rsidR="00646944" w:rsidRPr="00FB5D79">
        <w:t>’</w:t>
      </w:r>
      <w:r w:rsidRPr="00FB5D79">
        <w:t>étude devrait être reproductible dans d</w:t>
      </w:r>
      <w:r w:rsidR="00646944" w:rsidRPr="00FB5D79">
        <w:t>’</w:t>
      </w:r>
      <w:r w:rsidRPr="00FB5D79">
        <w:t>autres pays sous réserve des différentes circonstan</w:t>
      </w:r>
      <w:r w:rsidR="009855AE" w:rsidRPr="00FB5D79">
        <w:t xml:space="preserve">ces et conditions qui prévalent, entre autres, </w:t>
      </w:r>
      <w:r w:rsidRPr="00FB5D79">
        <w:t>sur la disponibilité des données.</w:t>
      </w:r>
    </w:p>
    <w:p w14:paraId="4EC3FDA7" w14:textId="77777777" w:rsidR="00735A4B" w:rsidRPr="00FB5D79" w:rsidRDefault="00735A4B" w:rsidP="00735A4B">
      <w:pPr>
        <w:jc w:val="both"/>
        <w:rPr>
          <w:b/>
        </w:rPr>
      </w:pPr>
    </w:p>
    <w:p w14:paraId="4FE6DCB0" w14:textId="5004799D" w:rsidR="00735A4B" w:rsidRPr="00FB5D79" w:rsidRDefault="00735A4B" w:rsidP="00735A4B">
      <w:pPr>
        <w:jc w:val="both"/>
        <w:rPr>
          <w:b/>
          <w:bCs/>
        </w:rPr>
      </w:pPr>
      <w:r w:rsidRPr="00FB5D79">
        <w:rPr>
          <w:b/>
        </w:rPr>
        <w:t xml:space="preserve">Conclusion </w:t>
      </w:r>
      <w:r w:rsidR="00731C32" w:rsidRPr="00FB5D79">
        <w:rPr>
          <w:b/>
        </w:rPr>
        <w:t>n° </w:t>
      </w:r>
      <w:r w:rsidRPr="00FB5D79">
        <w:rPr>
          <w:b/>
        </w:rPr>
        <w:t>4</w:t>
      </w:r>
      <w:r w:rsidR="00965F3A">
        <w:rPr>
          <w:b/>
        </w:rPr>
        <w:t> :</w:t>
      </w:r>
      <w:r w:rsidR="003423CB" w:rsidRPr="00FB5D79">
        <w:rPr>
          <w:b/>
          <w:bCs/>
        </w:rPr>
        <w:t xml:space="preserve"> </w:t>
      </w:r>
      <w:r w:rsidR="003423CB" w:rsidRPr="00FB5D79">
        <w:rPr>
          <w:b/>
        </w:rPr>
        <w:t>Le projet a présenté un réel intérêt pour les pays bénéficiaires, et s</w:t>
      </w:r>
      <w:r w:rsidR="00646944" w:rsidRPr="00FB5D79">
        <w:rPr>
          <w:b/>
        </w:rPr>
        <w:t>’</w:t>
      </w:r>
      <w:r w:rsidR="003423CB" w:rsidRPr="00FB5D79">
        <w:rPr>
          <w:b/>
        </w:rPr>
        <w:t>est traduit par un degré élevé d</w:t>
      </w:r>
      <w:r w:rsidR="00646944" w:rsidRPr="00FB5D79">
        <w:rPr>
          <w:b/>
        </w:rPr>
        <w:t>’</w:t>
      </w:r>
      <w:r w:rsidR="003423CB" w:rsidRPr="00FB5D79">
        <w:rPr>
          <w:b/>
        </w:rPr>
        <w:t>appropriation.</w:t>
      </w:r>
    </w:p>
    <w:p w14:paraId="66AD30CA" w14:textId="77777777" w:rsidR="00735A4B" w:rsidRPr="00FB5D79" w:rsidRDefault="00735A4B" w:rsidP="00735A4B">
      <w:pPr>
        <w:jc w:val="both"/>
        <w:rPr>
          <w:b/>
          <w:bCs/>
        </w:rPr>
      </w:pPr>
    </w:p>
    <w:p w14:paraId="5F2CE810" w14:textId="66029B3A" w:rsidR="00646944" w:rsidRPr="00FB5D79" w:rsidRDefault="00E8350A" w:rsidP="00C52F2F">
      <w:pPr>
        <w:jc w:val="both"/>
      </w:pPr>
      <w:r w:rsidRPr="00FB5D79">
        <w:t>La série de séances d</w:t>
      </w:r>
      <w:r w:rsidR="00646944" w:rsidRPr="00FB5D79">
        <w:t>’</w:t>
      </w:r>
      <w:r w:rsidRPr="00FB5D79">
        <w:t>information, d</w:t>
      </w:r>
      <w:r w:rsidR="00646944" w:rsidRPr="00FB5D79">
        <w:t>’</w:t>
      </w:r>
      <w:r w:rsidRPr="00FB5D79">
        <w:t>ateliers et de séminaires organisés dans le cadre de la mise en œuvre du projet a grandement contribué à sensibiliser les pays aux aspects socioéconomiques de la propriété intellectuel</w:t>
      </w:r>
      <w:r w:rsidR="00172764" w:rsidRPr="00FB5D79">
        <w:t>le.  Co</w:t>
      </w:r>
      <w:r w:rsidR="00C52F2F" w:rsidRPr="00FB5D79">
        <w:t xml:space="preserve">mme </w:t>
      </w:r>
      <w:r w:rsidR="00B32ED1" w:rsidRPr="00FB5D79">
        <w:t>indiqué</w:t>
      </w:r>
      <w:r w:rsidR="00C52F2F" w:rsidRPr="00FB5D79">
        <w:t xml:space="preserve"> </w:t>
      </w:r>
      <w:r w:rsidR="00B32ED1" w:rsidRPr="00FB5D79">
        <w:t>précédemment</w:t>
      </w:r>
      <w:r w:rsidR="00C52F2F" w:rsidRPr="00FB5D79">
        <w:t>, les séances d</w:t>
      </w:r>
      <w:r w:rsidR="00646944" w:rsidRPr="00FB5D79">
        <w:t>’</w:t>
      </w:r>
      <w:r w:rsidR="00C52F2F" w:rsidRPr="00FB5D79">
        <w:t xml:space="preserve">information, les ateliers et les séminaires </w:t>
      </w:r>
      <w:r w:rsidR="00B32ED1" w:rsidRPr="00FB5D79">
        <w:t>ont constitué</w:t>
      </w:r>
      <w:r w:rsidR="00C52F2F" w:rsidRPr="00FB5D79">
        <w:t xml:space="preserve"> une composante essentielle de la mise en œuvre</w:t>
      </w:r>
      <w:r w:rsidR="00B32ED1" w:rsidRPr="00FB5D79">
        <w:t xml:space="preserve"> du projet dans la plupart des études réalisées au cours de la phase </w:t>
      </w:r>
      <w:r w:rsidR="00C52F2F" w:rsidRPr="00FB5D79">
        <w:t>II.</w:t>
      </w:r>
    </w:p>
    <w:p w14:paraId="498A7B70" w14:textId="02A3C0ED" w:rsidR="00C52F2F" w:rsidRPr="00FB5D79" w:rsidRDefault="00C52F2F" w:rsidP="00C52F2F">
      <w:pPr>
        <w:jc w:val="both"/>
      </w:pPr>
    </w:p>
    <w:p w14:paraId="2DA7EDEE" w14:textId="5722B5C2" w:rsidR="00646944" w:rsidRPr="00FB5D79" w:rsidRDefault="00C52F2F" w:rsidP="00C52F2F">
      <w:pPr>
        <w:jc w:val="both"/>
      </w:pPr>
      <w:r w:rsidRPr="00FB5D79">
        <w:t>Pour le travail de suivi de l</w:t>
      </w:r>
      <w:r w:rsidR="00646944" w:rsidRPr="00FB5D79">
        <w:t>’</w:t>
      </w:r>
      <w:r w:rsidRPr="00FB5D79">
        <w:t>OMPI et d</w:t>
      </w:r>
      <w:r w:rsidR="00646944" w:rsidRPr="00FB5D79">
        <w:t>’</w:t>
      </w:r>
      <w:r w:rsidRPr="00FB5D79">
        <w:t xml:space="preserve">autres institutions, il pourrait être utile de </w:t>
      </w:r>
      <w:r w:rsidR="0050772F" w:rsidRPr="00FB5D79">
        <w:t>répertorier systématiquement les</w:t>
      </w:r>
      <w:r w:rsidRPr="00FB5D79">
        <w:t xml:space="preserve"> personnes participant à ces manifestatio</w:t>
      </w:r>
      <w:r w:rsidR="00172764" w:rsidRPr="00FB5D79">
        <w:t>ns.  Ap</w:t>
      </w:r>
      <w:r w:rsidRPr="00FB5D79">
        <w:t xml:space="preserve">paremment, </w:t>
      </w:r>
      <w:r w:rsidR="00B32ED1" w:rsidRPr="00FB5D79">
        <w:t>ces</w:t>
      </w:r>
      <w:r w:rsidRPr="00FB5D79">
        <w:t xml:space="preserve"> information</w:t>
      </w:r>
      <w:r w:rsidR="00B32ED1" w:rsidRPr="00FB5D79">
        <w:t>s</w:t>
      </w:r>
      <w:r w:rsidRPr="00FB5D79">
        <w:t xml:space="preserve"> </w:t>
      </w:r>
      <w:r w:rsidR="00B32ED1" w:rsidRPr="00FB5D79">
        <w:t>ne sont</w:t>
      </w:r>
      <w:r w:rsidRPr="00FB5D79">
        <w:t xml:space="preserve"> pas facilement accessible</w:t>
      </w:r>
      <w:r w:rsidR="00B32ED1" w:rsidRPr="00FB5D79">
        <w:t>s</w:t>
      </w:r>
      <w:r w:rsidRPr="00FB5D79">
        <w:t>.</w:t>
      </w:r>
    </w:p>
    <w:p w14:paraId="180D95A7" w14:textId="58CF8ED9" w:rsidR="00C52F2F" w:rsidRPr="00FB5D79" w:rsidRDefault="00C52F2F" w:rsidP="00C52F2F">
      <w:pPr>
        <w:jc w:val="both"/>
      </w:pPr>
    </w:p>
    <w:p w14:paraId="51E969C3" w14:textId="7D060FC2" w:rsidR="00646944" w:rsidRPr="00FB5D79" w:rsidRDefault="0096759B" w:rsidP="00C52F2F">
      <w:pPr>
        <w:jc w:val="both"/>
      </w:pPr>
      <w:r w:rsidRPr="00FB5D79">
        <w:t>Ce type d</w:t>
      </w:r>
      <w:r w:rsidR="00646944" w:rsidRPr="00FB5D79">
        <w:t>’</w:t>
      </w:r>
      <w:r w:rsidRPr="00FB5D79">
        <w:t>activités planifiées au début du projet, pendant sa mise en œuvre puis à la fin du projet, au moment de la présentation des résultats aux acteurs locaux, a certainement contribué à l</w:t>
      </w:r>
      <w:r w:rsidR="00646944" w:rsidRPr="00FB5D79">
        <w:t>’</w:t>
      </w:r>
      <w:r w:rsidRPr="00FB5D79">
        <w:t xml:space="preserve">amélioration de la diffusion des études, au renforcement de la </w:t>
      </w:r>
      <w:r w:rsidR="00347D0E" w:rsidRPr="00FB5D79">
        <w:t>coopération interinstitutionnelle</w:t>
      </w:r>
      <w:r w:rsidRPr="00FB5D79">
        <w:t xml:space="preserve"> et à la prise de conscience accrue du travail collectif déployé, en termes de suivi, notamment des lacunes et des besoins en matière de renforcement des capacités dans des domaines spécifiques</w:t>
      </w:r>
      <w:r w:rsidR="00C52F2F" w:rsidRPr="00FB5D79">
        <w:t>.</w:t>
      </w:r>
    </w:p>
    <w:p w14:paraId="27279F71" w14:textId="1E5F87CC" w:rsidR="00C52F2F" w:rsidRPr="00FB5D79" w:rsidRDefault="00C52F2F" w:rsidP="00C52F2F">
      <w:pPr>
        <w:jc w:val="both"/>
      </w:pPr>
    </w:p>
    <w:p w14:paraId="361C7736" w14:textId="5BE089BE" w:rsidR="00C52F2F" w:rsidRPr="00FB5D79" w:rsidRDefault="00C52F2F" w:rsidP="00C52F2F">
      <w:pPr>
        <w:jc w:val="both"/>
      </w:pPr>
      <w:r w:rsidRPr="00FB5D79">
        <w:t>Ces activités ont grandement contribué à faire de l</w:t>
      </w:r>
      <w:r w:rsidR="00646944" w:rsidRPr="00FB5D79">
        <w:t>’</w:t>
      </w:r>
      <w:r w:rsidRPr="00FB5D79">
        <w:t>ensemble de l</w:t>
      </w:r>
      <w:r w:rsidR="00646944" w:rsidRPr="00FB5D79">
        <w:t>’</w:t>
      </w:r>
      <w:r w:rsidRPr="00FB5D79">
        <w:t>ex</w:t>
      </w:r>
      <w:r w:rsidR="0096759B" w:rsidRPr="00FB5D79">
        <w:t>ercice une expérience inclusive et</w:t>
      </w:r>
      <w:r w:rsidRPr="00FB5D79">
        <w:t xml:space="preserve"> à permettre aux différents acteurs et institutions de dialoguer et d</w:t>
      </w:r>
      <w:r w:rsidR="00646944" w:rsidRPr="00FB5D79">
        <w:t>’</w:t>
      </w:r>
      <w:r w:rsidRPr="00FB5D79">
        <w:t>interagir les uns avec les autres et</w:t>
      </w:r>
      <w:r w:rsidR="0096759B" w:rsidRPr="00FB5D79">
        <w:t xml:space="preserve"> donc</w:t>
      </w:r>
      <w:r w:rsidRPr="00FB5D79">
        <w:t xml:space="preserve"> de s</w:t>
      </w:r>
      <w:r w:rsidR="00646944" w:rsidRPr="00FB5D79">
        <w:t>’</w:t>
      </w:r>
      <w:r w:rsidRPr="00FB5D79">
        <w:t xml:space="preserve">approprier les </w:t>
      </w:r>
      <w:r w:rsidR="0096759B" w:rsidRPr="00FB5D79">
        <w:t>résultats</w:t>
      </w:r>
      <w:r w:rsidRPr="00FB5D79">
        <w:t xml:space="preserve"> et de créer des attentes positives pour des </w:t>
      </w:r>
      <w:r w:rsidR="0096759B" w:rsidRPr="00FB5D79">
        <w:t>réussites prospective</w:t>
      </w:r>
      <w:r w:rsidRPr="00FB5D79">
        <w:t>s.</w:t>
      </w:r>
    </w:p>
    <w:p w14:paraId="7D161F31" w14:textId="77777777" w:rsidR="00C52F2F" w:rsidRPr="00FB5D79" w:rsidRDefault="00C52F2F" w:rsidP="00C52F2F">
      <w:pPr>
        <w:jc w:val="both"/>
      </w:pPr>
    </w:p>
    <w:p w14:paraId="30D88BE9" w14:textId="77777777" w:rsidR="00646944" w:rsidRPr="00FB5D79" w:rsidRDefault="00C52F2F" w:rsidP="00C52F2F">
      <w:pPr>
        <w:jc w:val="both"/>
      </w:pPr>
      <w:r w:rsidRPr="00FB5D79">
        <w:t xml:space="preserve">La plupart des éléments </w:t>
      </w:r>
      <w:r w:rsidR="0096759B" w:rsidRPr="00FB5D79">
        <w:t>stratégiques</w:t>
      </w:r>
      <w:r w:rsidRPr="00FB5D79">
        <w:t xml:space="preserve"> énumérés dans la proposition de projet ont été dûment mis en œuvre.</w:t>
      </w:r>
    </w:p>
    <w:p w14:paraId="20AB9F2B" w14:textId="028B30B7" w:rsidR="00C52F2F" w:rsidRPr="00FB5D79" w:rsidRDefault="00C52F2F" w:rsidP="00C52F2F">
      <w:pPr>
        <w:jc w:val="both"/>
      </w:pPr>
    </w:p>
    <w:p w14:paraId="35B49010" w14:textId="358ADCFC" w:rsidR="00735A4B" w:rsidRPr="00FB5D79" w:rsidRDefault="00C52F2F" w:rsidP="00C52F2F">
      <w:pPr>
        <w:jc w:val="both"/>
      </w:pPr>
      <w:r w:rsidRPr="00FB5D79">
        <w:lastRenderedPageBreak/>
        <w:t>Il n</w:t>
      </w:r>
      <w:r w:rsidR="00646944" w:rsidRPr="00FB5D79">
        <w:t>’</w:t>
      </w:r>
      <w:r w:rsidRPr="00FB5D79">
        <w:t xml:space="preserve">a pas été </w:t>
      </w:r>
      <w:r w:rsidR="00B34C4F" w:rsidRPr="00FB5D79">
        <w:t>possible d</w:t>
      </w:r>
      <w:r w:rsidR="00646944" w:rsidRPr="00FB5D79">
        <w:t>’</w:t>
      </w:r>
      <w:r w:rsidR="00B34C4F" w:rsidRPr="00FB5D79">
        <w:t>organiser un</w:t>
      </w:r>
      <w:r w:rsidRPr="00FB5D79">
        <w:t xml:space="preserve"> colloque de recherche réunissant </w:t>
      </w:r>
      <w:r w:rsidR="005D51F6" w:rsidRPr="00FB5D79">
        <w:t>les</w:t>
      </w:r>
      <w:r w:rsidRPr="00FB5D79">
        <w:t xml:space="preserve"> auteurs d</w:t>
      </w:r>
      <w:r w:rsidR="005D51F6" w:rsidRPr="00FB5D79">
        <w:t xml:space="preserve">es études, les décideurs et </w:t>
      </w:r>
      <w:r w:rsidRPr="00FB5D79">
        <w:t>autre</w:t>
      </w:r>
      <w:r w:rsidR="0045635A" w:rsidRPr="00FB5D79">
        <w:t xml:space="preserve">s parties prenantes concernées </w:t>
      </w:r>
      <w:r w:rsidR="00646944" w:rsidRPr="00FB5D79">
        <w:t>“</w:t>
      </w:r>
      <w:r w:rsidRPr="00FB5D79">
        <w:t xml:space="preserve">pour examiner les principaux enseignements tirés des différentes études, leur applicabilité au sens large et leurs </w:t>
      </w:r>
      <w:r w:rsidR="0096759B" w:rsidRPr="00FB5D79">
        <w:t>conséquences</w:t>
      </w:r>
      <w:r w:rsidRPr="00FB5D79">
        <w:t xml:space="preserve"> pour les décideurs aux ni</w:t>
      </w:r>
      <w:r w:rsidR="0045635A" w:rsidRPr="00FB5D79">
        <w:t>veaux national et international</w:t>
      </w:r>
      <w:r w:rsidR="00646944" w:rsidRPr="00FB5D79">
        <w:t>”</w:t>
      </w:r>
      <w:r w:rsidRPr="00FB5D79">
        <w:t xml:space="preserve">.  </w:t>
      </w:r>
      <w:r w:rsidR="00251A35" w:rsidRPr="00FB5D79">
        <w:t>Outre le coût de ce type de manifestation, plusieurs raisons font que</w:t>
      </w:r>
      <w:r w:rsidR="003543EB" w:rsidRPr="00FB5D79">
        <w:t xml:space="preserve"> </w:t>
      </w:r>
      <w:r w:rsidR="00251A35" w:rsidRPr="00FB5D79">
        <w:t>ce colloque</w:t>
      </w:r>
      <w:r w:rsidR="003543EB" w:rsidRPr="00FB5D79">
        <w:t xml:space="preserve"> était </w:t>
      </w:r>
      <w:r w:rsidR="00981BBA" w:rsidRPr="00FB5D79">
        <w:t>impossible à organiser</w:t>
      </w:r>
      <w:r w:rsidR="003543EB" w:rsidRPr="00FB5D79">
        <w:t xml:space="preserve"> à ce moment</w:t>
      </w:r>
      <w:r w:rsidR="00965F3A">
        <w:t>-</w:t>
      </w:r>
      <w:r w:rsidR="00172764" w:rsidRPr="00FB5D79">
        <w:t>là.  Le</w:t>
      </w:r>
      <w:r w:rsidR="00251A35" w:rsidRPr="00FB5D79">
        <w:t xml:space="preserve"> Secrétariat pourrait envisager d</w:t>
      </w:r>
      <w:r w:rsidR="00646944" w:rsidRPr="00FB5D79">
        <w:t>’</w:t>
      </w:r>
      <w:r w:rsidR="00251A35" w:rsidRPr="00FB5D79">
        <w:t>autres formes d</w:t>
      </w:r>
      <w:r w:rsidR="00646944" w:rsidRPr="00FB5D79">
        <w:t>’</w:t>
      </w:r>
      <w:r w:rsidR="00251A35" w:rsidRPr="00FB5D79">
        <w:t xml:space="preserve">organisation de ce type de manifestation qui permet de prendre du recul et </w:t>
      </w:r>
      <w:r w:rsidR="00303CF1" w:rsidRPr="00FB5D79">
        <w:t>d</w:t>
      </w:r>
      <w:r w:rsidR="00646944" w:rsidRPr="00FB5D79">
        <w:t>’</w:t>
      </w:r>
      <w:r w:rsidR="00303CF1" w:rsidRPr="00FB5D79">
        <w:t>avoir</w:t>
      </w:r>
      <w:r w:rsidR="00251A35" w:rsidRPr="00FB5D79">
        <w:t xml:space="preserve"> une perception plus large des enseignements tirés, des réussites et des lacunes en ce qui concerne la pérennité de ces activités</w:t>
      </w:r>
      <w:r w:rsidR="0096759B" w:rsidRPr="00FB5D79">
        <w:t>.</w:t>
      </w:r>
    </w:p>
    <w:p w14:paraId="0E70536D" w14:textId="2B48FA88" w:rsidR="00735A4B" w:rsidRPr="00FB5D79" w:rsidRDefault="00735A4B" w:rsidP="00735A4B">
      <w:pPr>
        <w:pStyle w:val="ONUME"/>
        <w:numPr>
          <w:ilvl w:val="0"/>
          <w:numId w:val="0"/>
        </w:numPr>
      </w:pPr>
    </w:p>
    <w:p w14:paraId="04DCDFFE" w14:textId="1249031B" w:rsidR="00735A4B" w:rsidRPr="00C053D9" w:rsidRDefault="00C053D9" w:rsidP="00C053D9">
      <w:pPr>
        <w:pStyle w:val="Heading1"/>
      </w:pPr>
      <w:bookmarkStart w:id="21" w:name="_Toc530408368"/>
      <w:r w:rsidRPr="00C053D9">
        <w:t>Recommandations</w:t>
      </w:r>
      <w:bookmarkEnd w:id="21"/>
    </w:p>
    <w:p w14:paraId="74B63854" w14:textId="4754AED6" w:rsidR="00735A4B" w:rsidRPr="00FB5D79" w:rsidRDefault="00C52F2F" w:rsidP="00735A4B">
      <w:pPr>
        <w:jc w:val="both"/>
      </w:pPr>
      <w:r w:rsidRPr="00FB5D79">
        <w:t>Sur la base des conclusions susmentionnées, l</w:t>
      </w:r>
      <w:r w:rsidR="00646944" w:rsidRPr="00FB5D79">
        <w:t>’</w:t>
      </w:r>
      <w:r w:rsidRPr="00FB5D79">
        <w:t>évaluation formule les recommandations suivantes</w:t>
      </w:r>
      <w:r w:rsidR="00965F3A">
        <w:t> :</w:t>
      </w:r>
    </w:p>
    <w:p w14:paraId="0D9BE9A0" w14:textId="77777777" w:rsidR="00735A4B" w:rsidRPr="00FB5D79" w:rsidRDefault="00735A4B" w:rsidP="00735A4B">
      <w:pPr>
        <w:jc w:val="both"/>
      </w:pPr>
    </w:p>
    <w:p w14:paraId="24CDCE00" w14:textId="7F6B4A3A" w:rsidR="00646944" w:rsidRPr="00FB5D79" w:rsidRDefault="00C52F2F" w:rsidP="00735A4B">
      <w:pPr>
        <w:jc w:val="both"/>
        <w:rPr>
          <w:b/>
        </w:rPr>
      </w:pPr>
      <w:r w:rsidRPr="00FB5D79">
        <w:rPr>
          <w:b/>
        </w:rPr>
        <w:t>Recommandation n° 1 (découlant de la conclusion n° 1), à l</w:t>
      </w:r>
      <w:r w:rsidR="00646944" w:rsidRPr="00FB5D79">
        <w:rPr>
          <w:b/>
        </w:rPr>
        <w:t>’</w:t>
      </w:r>
      <w:r w:rsidRPr="00FB5D79">
        <w:rPr>
          <w:b/>
        </w:rPr>
        <w:t>intention</w:t>
      </w:r>
      <w:r w:rsidR="00646944" w:rsidRPr="00FB5D79">
        <w:rPr>
          <w:b/>
        </w:rPr>
        <w:t xml:space="preserve"> du CDI</w:t>
      </w:r>
      <w:r w:rsidRPr="00FB5D79">
        <w:rPr>
          <w:b/>
        </w:rPr>
        <w:t>P et du Secrétariat, sur la planification et la gestion des projets</w:t>
      </w:r>
      <w:r w:rsidR="00965F3A">
        <w:rPr>
          <w:b/>
        </w:rPr>
        <w:t> :</w:t>
      </w:r>
    </w:p>
    <w:p w14:paraId="0D1792A7" w14:textId="7341224D" w:rsidR="00735A4B" w:rsidRPr="00FB5D79" w:rsidRDefault="00735A4B" w:rsidP="00735A4B">
      <w:pPr>
        <w:jc w:val="both"/>
        <w:rPr>
          <w:b/>
        </w:rPr>
      </w:pPr>
    </w:p>
    <w:p w14:paraId="5C61C14C" w14:textId="3FEDE07B" w:rsidR="00735A4B" w:rsidRPr="00FB5D79" w:rsidRDefault="00251A35" w:rsidP="00735A4B">
      <w:pPr>
        <w:jc w:val="both"/>
      </w:pPr>
      <w:r w:rsidRPr="00FB5D79">
        <w:t xml:space="preserve">Veiller à ce que </w:t>
      </w:r>
      <w:r w:rsidR="000910FD" w:rsidRPr="00FB5D79">
        <w:t xml:space="preserve">la mise en œuvre </w:t>
      </w:r>
      <w:r w:rsidRPr="00FB5D79">
        <w:t>des projets ait été conçue de manière à faciliter la bonne coordination au niveau local et à promouvoir le renforcement de la coopération entre les différents organismes, ministères et parties prenantes</w:t>
      </w:r>
      <w:r w:rsidR="00735A4B" w:rsidRPr="00FB5D79">
        <w:t>.</w:t>
      </w:r>
    </w:p>
    <w:p w14:paraId="2D415607" w14:textId="77777777" w:rsidR="00735A4B" w:rsidRPr="00FB5D79" w:rsidRDefault="00735A4B" w:rsidP="00735A4B">
      <w:pPr>
        <w:jc w:val="both"/>
      </w:pPr>
    </w:p>
    <w:p w14:paraId="3E8E2714" w14:textId="79E698AD" w:rsidR="00735A4B" w:rsidRPr="00FB5D79" w:rsidRDefault="00251A35" w:rsidP="00735A4B">
      <w:pPr>
        <w:jc w:val="both"/>
      </w:pPr>
      <w:r w:rsidRPr="00FB5D79">
        <w:t>Prévoir dès la conception et la planification des projets des séances d</w:t>
      </w:r>
      <w:r w:rsidR="00646944" w:rsidRPr="00FB5D79">
        <w:t>’</w:t>
      </w:r>
      <w:r w:rsidRPr="00FB5D79">
        <w:t>information préliminaires à l</w:t>
      </w:r>
      <w:r w:rsidR="00646944" w:rsidRPr="00FB5D79">
        <w:t>’</w:t>
      </w:r>
      <w:r w:rsidRPr="00FB5D79">
        <w:t>intention des organismes, des parties prenantes et des bénéficiaires potentiels visant à faciliter l</w:t>
      </w:r>
      <w:r w:rsidR="00646944" w:rsidRPr="00FB5D79">
        <w:t>’</w:t>
      </w:r>
      <w:r w:rsidRPr="00FB5D79">
        <w:t>appropriation des résultats</w:t>
      </w:r>
      <w:r w:rsidR="00735A4B" w:rsidRPr="00FB5D79">
        <w:t>.</w:t>
      </w:r>
    </w:p>
    <w:p w14:paraId="6E7E109D" w14:textId="77777777" w:rsidR="00735A4B" w:rsidRPr="00FB5D79" w:rsidRDefault="00735A4B" w:rsidP="00735A4B">
      <w:pPr>
        <w:jc w:val="both"/>
      </w:pPr>
    </w:p>
    <w:p w14:paraId="75505BE1" w14:textId="45A5E1FA" w:rsidR="00735A4B" w:rsidRPr="00FB5D79" w:rsidRDefault="00251A35" w:rsidP="00735A4B">
      <w:pPr>
        <w:jc w:val="both"/>
      </w:pPr>
      <w:r w:rsidRPr="00FB5D79">
        <w:t xml:space="preserve">Prévoir dans les </w:t>
      </w:r>
      <w:r w:rsidR="005D51F6" w:rsidRPr="00FB5D79">
        <w:t>calendriers</w:t>
      </w:r>
      <w:r w:rsidRPr="00FB5D79">
        <w:t xml:space="preserve"> de planification, avec des stratégies d</w:t>
      </w:r>
      <w:r w:rsidR="00646944" w:rsidRPr="00FB5D79">
        <w:t>’</w:t>
      </w:r>
      <w:r w:rsidRPr="00FB5D79">
        <w:t>atténuation appropriées, les incidents (changement d</w:t>
      </w:r>
      <w:r w:rsidR="00646944" w:rsidRPr="00FB5D79">
        <w:t>’</w:t>
      </w:r>
      <w:r w:rsidRPr="00FB5D79">
        <w:t xml:space="preserve">affiliation des partenaires, approbation officielle des accords </w:t>
      </w:r>
      <w:r w:rsidR="005B60EE" w:rsidRPr="00FB5D79">
        <w:t xml:space="preserve">passés </w:t>
      </w:r>
      <w:r w:rsidRPr="00FB5D79">
        <w:t>avec le pays bénéficiaire, traduction, consultant local dans l</w:t>
      </w:r>
      <w:r w:rsidR="00646944" w:rsidRPr="00FB5D79">
        <w:t>’</w:t>
      </w:r>
      <w:r w:rsidRPr="00FB5D79">
        <w:t>impossibilité de poursuivre la mission, par exemple) qui pourraient retarder la mise en œuvre du projet</w:t>
      </w:r>
      <w:r w:rsidR="00ED0B1F" w:rsidRPr="00FB5D79">
        <w:t>.</w:t>
      </w:r>
    </w:p>
    <w:p w14:paraId="26E1C8E4" w14:textId="77777777" w:rsidR="00735A4B" w:rsidRPr="00FB5D79" w:rsidRDefault="00735A4B" w:rsidP="00735A4B">
      <w:pPr>
        <w:jc w:val="both"/>
      </w:pPr>
    </w:p>
    <w:p w14:paraId="3EE499EF" w14:textId="7BF2500D" w:rsidR="00735A4B" w:rsidRPr="00FB5D79" w:rsidRDefault="00C52F2F" w:rsidP="00735A4B">
      <w:pPr>
        <w:jc w:val="both"/>
      </w:pPr>
      <w:r w:rsidRPr="00FB5D79">
        <w:t xml:space="preserve">Envisager </w:t>
      </w:r>
      <w:r w:rsidR="004D5C3E" w:rsidRPr="00FB5D79">
        <w:t xml:space="preserve">de mettre en place le </w:t>
      </w:r>
      <w:r w:rsidRPr="00FB5D79">
        <w:t>cadre logique</w:t>
      </w:r>
      <w:r w:rsidR="00735A4B" w:rsidRPr="00FB5D79">
        <w:t>.</w:t>
      </w:r>
    </w:p>
    <w:p w14:paraId="62F24E1F" w14:textId="77777777" w:rsidR="00735A4B" w:rsidRPr="00FB5D79" w:rsidRDefault="00735A4B" w:rsidP="00735A4B">
      <w:pPr>
        <w:jc w:val="both"/>
      </w:pPr>
    </w:p>
    <w:p w14:paraId="04ABF579" w14:textId="580D2EAB" w:rsidR="00735A4B" w:rsidRPr="00FB5D79" w:rsidRDefault="00C52F2F" w:rsidP="00735A4B">
      <w:pPr>
        <w:jc w:val="both"/>
      </w:pPr>
      <w:r w:rsidRPr="00FB5D79">
        <w:t>Choisir des experts locaux qui non seulement satisfont aux critères de qualité mais aussi soient capables de naviguer, d</w:t>
      </w:r>
      <w:r w:rsidR="00646944" w:rsidRPr="00FB5D79">
        <w:t>’</w:t>
      </w:r>
      <w:r w:rsidRPr="00FB5D79">
        <w:t>interagir et de faciliter les interactions</w:t>
      </w:r>
      <w:r w:rsidR="00EB4E6B" w:rsidRPr="00FB5D79">
        <w:t xml:space="preserve"> sans heurt</w:t>
      </w:r>
      <w:r w:rsidR="00981D7B" w:rsidRPr="00FB5D79">
        <w:t xml:space="preserve"> avec les différent</w:t>
      </w:r>
      <w:r w:rsidRPr="00FB5D79">
        <w:t xml:space="preserve">s </w:t>
      </w:r>
      <w:r w:rsidR="00981D7B" w:rsidRPr="00FB5D79">
        <w:t>organismes</w:t>
      </w:r>
      <w:r w:rsidRPr="00FB5D79">
        <w:t xml:space="preserve"> et parties prenant</w:t>
      </w:r>
      <w:r w:rsidR="00172764" w:rsidRPr="00FB5D79">
        <w:t>es.  De</w:t>
      </w:r>
      <w:r w:rsidR="00981D7B" w:rsidRPr="00FB5D79">
        <w:t>s consultations préalables avec les acteurs concernés permettraient de faciliter le processus.</w:t>
      </w:r>
    </w:p>
    <w:p w14:paraId="53F4E03F" w14:textId="77777777" w:rsidR="00735A4B" w:rsidRPr="00FB5D79" w:rsidRDefault="00735A4B" w:rsidP="00735A4B">
      <w:pPr>
        <w:jc w:val="both"/>
      </w:pPr>
    </w:p>
    <w:p w14:paraId="744BC10D" w14:textId="1EB0D21D" w:rsidR="00735A4B" w:rsidRPr="00FB5D79" w:rsidRDefault="00C52F2F" w:rsidP="00735A4B">
      <w:pPr>
        <w:jc w:val="both"/>
        <w:rPr>
          <w:b/>
        </w:rPr>
      </w:pPr>
      <w:r w:rsidRPr="00FB5D79">
        <w:rPr>
          <w:b/>
        </w:rPr>
        <w:t>Recommandation n° 2 (conclusions n° 2, 3, 4), à l</w:t>
      </w:r>
      <w:r w:rsidR="00646944" w:rsidRPr="00FB5D79">
        <w:rPr>
          <w:b/>
        </w:rPr>
        <w:t>’</w:t>
      </w:r>
      <w:r w:rsidR="00981D7B" w:rsidRPr="00FB5D79">
        <w:rPr>
          <w:b/>
        </w:rPr>
        <w:t>intention</w:t>
      </w:r>
      <w:r w:rsidR="00646944" w:rsidRPr="00FB5D79">
        <w:rPr>
          <w:b/>
        </w:rPr>
        <w:t xml:space="preserve"> du CDI</w:t>
      </w:r>
      <w:r w:rsidRPr="00FB5D79">
        <w:rPr>
          <w:b/>
        </w:rPr>
        <w:t>P et du Secrétariat, de continuer à s</w:t>
      </w:r>
      <w:r w:rsidR="00646944" w:rsidRPr="00FB5D79">
        <w:rPr>
          <w:b/>
        </w:rPr>
        <w:t>’</w:t>
      </w:r>
      <w:r w:rsidRPr="00FB5D79">
        <w:rPr>
          <w:b/>
        </w:rPr>
        <w:t>efforcer d</w:t>
      </w:r>
      <w:r w:rsidR="00646944" w:rsidRPr="00FB5D79">
        <w:rPr>
          <w:b/>
        </w:rPr>
        <w:t>’</w:t>
      </w:r>
      <w:r w:rsidRPr="00FB5D79">
        <w:rPr>
          <w:b/>
        </w:rPr>
        <w:t xml:space="preserve">encourager et de consolider les résultats positifs des </w:t>
      </w:r>
      <w:r w:rsidR="00981D7B" w:rsidRPr="00FB5D79">
        <w:rPr>
          <w:b/>
        </w:rPr>
        <w:t>études menées</w:t>
      </w:r>
      <w:r w:rsidRPr="00FB5D79">
        <w:rPr>
          <w:b/>
        </w:rPr>
        <w:t xml:space="preserve"> pour mieux évaluer l</w:t>
      </w:r>
      <w:r w:rsidR="00646944" w:rsidRPr="00FB5D79">
        <w:rPr>
          <w:b/>
        </w:rPr>
        <w:t>’</w:t>
      </w:r>
      <w:r w:rsidRPr="00FB5D79">
        <w:rPr>
          <w:b/>
        </w:rPr>
        <w:t>impact économique, social et culturel de l</w:t>
      </w:r>
      <w:r w:rsidR="00646944" w:rsidRPr="00FB5D79">
        <w:rPr>
          <w:b/>
        </w:rPr>
        <w:t>’</w:t>
      </w:r>
      <w:r w:rsidRPr="00FB5D79">
        <w:rPr>
          <w:b/>
        </w:rPr>
        <w:t>utilisation des systèmes de propriété intellectuelle</w:t>
      </w:r>
      <w:r w:rsidR="00965F3A">
        <w:rPr>
          <w:b/>
        </w:rPr>
        <w:t> :</w:t>
      </w:r>
    </w:p>
    <w:p w14:paraId="193A0CB5" w14:textId="77777777" w:rsidR="00735A4B" w:rsidRPr="00FB5D79" w:rsidRDefault="00735A4B" w:rsidP="00735A4B">
      <w:pPr>
        <w:jc w:val="both"/>
        <w:rPr>
          <w:b/>
        </w:rPr>
      </w:pPr>
    </w:p>
    <w:p w14:paraId="0E809EE9" w14:textId="732C17B5" w:rsidR="008513DC" w:rsidRPr="00FB5D79" w:rsidRDefault="008513DC" w:rsidP="008513DC">
      <w:pPr>
        <w:spacing w:after="120"/>
        <w:jc w:val="both"/>
      </w:pPr>
      <w:r w:rsidRPr="00FB5D79">
        <w:t>Consolider l</w:t>
      </w:r>
      <w:r w:rsidR="00646944" w:rsidRPr="00FB5D79">
        <w:t>’</w:t>
      </w:r>
      <w:r w:rsidRPr="00FB5D79">
        <w:t>intégration des études économiques dans les activités du Programme 16.</w:t>
      </w:r>
    </w:p>
    <w:p w14:paraId="775D0730" w14:textId="09FF27A0" w:rsidR="008513DC" w:rsidRPr="00FB5D79" w:rsidRDefault="00085BCB" w:rsidP="008513DC">
      <w:pPr>
        <w:spacing w:after="120"/>
        <w:jc w:val="both"/>
      </w:pPr>
      <w:r w:rsidRPr="00FB5D79">
        <w:t>Encourager</w:t>
      </w:r>
      <w:r w:rsidR="00646944" w:rsidRPr="00FB5D79">
        <w:t xml:space="preserve"> le CDI</w:t>
      </w:r>
      <w:r w:rsidRPr="00FB5D79">
        <w:t>P à tirer parti des études menées sur l</w:t>
      </w:r>
      <w:r w:rsidR="00646944" w:rsidRPr="00FB5D79">
        <w:t>’</w:t>
      </w:r>
      <w:r w:rsidRPr="00FB5D79">
        <w:t>impact économique, social et culturel de l</w:t>
      </w:r>
      <w:r w:rsidR="00646944" w:rsidRPr="00FB5D79">
        <w:t>’</w:t>
      </w:r>
      <w:r w:rsidRPr="00FB5D79">
        <w:t>utilisation des systèmes de propriété intellectuelle et l</w:t>
      </w:r>
      <w:r w:rsidR="00646944" w:rsidRPr="00FB5D79">
        <w:t>’</w:t>
      </w:r>
      <w:r w:rsidRPr="00FB5D79">
        <w:t>inciter à s</w:t>
      </w:r>
      <w:r w:rsidR="00646944" w:rsidRPr="00FB5D79">
        <w:t>’</w:t>
      </w:r>
      <w:r w:rsidRPr="00FB5D79">
        <w:t>appuyer sur les résultats de ces études et les enseignements qu</w:t>
      </w:r>
      <w:r w:rsidR="00646944" w:rsidRPr="00FB5D79">
        <w:t>’</w:t>
      </w:r>
      <w:r w:rsidRPr="00FB5D79">
        <w:t xml:space="preserve">il en a tirés pour orienter les débats qui ont lieu au sein du </w:t>
      </w:r>
      <w:r w:rsidR="000E4777" w:rsidRPr="00FB5D79">
        <w:t>comité</w:t>
      </w:r>
      <w:r w:rsidRPr="00FB5D79">
        <w:t>, notamment sur la propriété intellectuelle et le développement</w:t>
      </w:r>
      <w:r w:rsidR="008513DC" w:rsidRPr="00FB5D79">
        <w:t>.</w:t>
      </w:r>
    </w:p>
    <w:p w14:paraId="46E9C5A2" w14:textId="1CB27427" w:rsidR="008513DC" w:rsidRPr="00FB5D79" w:rsidRDefault="00486F84" w:rsidP="008513DC">
      <w:pPr>
        <w:spacing w:after="120"/>
        <w:jc w:val="both"/>
      </w:pPr>
      <w:r w:rsidRPr="00FB5D79">
        <w:t>Continuer d</w:t>
      </w:r>
      <w:r w:rsidR="00646944" w:rsidRPr="00FB5D79">
        <w:t>’</w:t>
      </w:r>
      <w:r w:rsidRPr="00FB5D79">
        <w:t>aider les offices de propriété intellectuelle ainsi que les offices de la statistique à créer des bases de données sur la propriété intellectuelle, à les remanier et à les relier avec d</w:t>
      </w:r>
      <w:r w:rsidR="00646944" w:rsidRPr="00FB5D79">
        <w:t>’</w:t>
      </w:r>
      <w:r w:rsidRPr="00FB5D79">
        <w:t>autres bases de données</w:t>
      </w:r>
      <w:r w:rsidR="008513DC" w:rsidRPr="00FB5D79">
        <w:t>.</w:t>
      </w:r>
    </w:p>
    <w:p w14:paraId="29C7E35C" w14:textId="090AF32A" w:rsidR="00735A4B" w:rsidRPr="00FB5D79" w:rsidRDefault="008513DC" w:rsidP="008513DC">
      <w:pPr>
        <w:jc w:val="both"/>
      </w:pPr>
      <w:r w:rsidRPr="00FB5D79">
        <w:t>L</w:t>
      </w:r>
      <w:r w:rsidR="00646944" w:rsidRPr="00FB5D79">
        <w:t>’</w:t>
      </w:r>
      <w:r w:rsidRPr="00FB5D79">
        <w:t xml:space="preserve">élaboration de stratégies ou de politiques en matière de propriété intellectuelle </w:t>
      </w:r>
      <w:r w:rsidR="00085BCB" w:rsidRPr="00FB5D79">
        <w:t>doit</w:t>
      </w:r>
      <w:r w:rsidRPr="00FB5D79">
        <w:t xml:space="preserve"> être fondée sur des bases de données fiables et sur leur valeur économique.</w:t>
      </w:r>
    </w:p>
    <w:p w14:paraId="5A1D5D70" w14:textId="4C0A8A0F" w:rsidR="00646944" w:rsidRPr="00FB5D79" w:rsidRDefault="008513DC" w:rsidP="00735A4B">
      <w:pPr>
        <w:jc w:val="both"/>
        <w:rPr>
          <w:b/>
        </w:rPr>
      </w:pPr>
      <w:r w:rsidRPr="00FB5D79">
        <w:rPr>
          <w:b/>
        </w:rPr>
        <w:lastRenderedPageBreak/>
        <w:t>Recommandation n° 3 (conclusions n° 1, 3, 4), à l</w:t>
      </w:r>
      <w:r w:rsidR="00646944" w:rsidRPr="00FB5D79">
        <w:rPr>
          <w:b/>
        </w:rPr>
        <w:t>’</w:t>
      </w:r>
      <w:r w:rsidRPr="00FB5D79">
        <w:rPr>
          <w:b/>
        </w:rPr>
        <w:t>intention des États membres,</w:t>
      </w:r>
      <w:r w:rsidR="00646944" w:rsidRPr="00FB5D79">
        <w:rPr>
          <w:b/>
        </w:rPr>
        <w:t xml:space="preserve"> du CDI</w:t>
      </w:r>
      <w:r w:rsidRPr="00FB5D79">
        <w:rPr>
          <w:b/>
        </w:rPr>
        <w:t>P et du Secrétariat, d</w:t>
      </w:r>
      <w:r w:rsidR="00646944" w:rsidRPr="00FB5D79">
        <w:rPr>
          <w:b/>
        </w:rPr>
        <w:t>’</w:t>
      </w:r>
      <w:r w:rsidRPr="00FB5D79">
        <w:rPr>
          <w:b/>
        </w:rPr>
        <w:t xml:space="preserve">envisager </w:t>
      </w:r>
      <w:r w:rsidR="00EE5078" w:rsidRPr="00FB5D79">
        <w:rPr>
          <w:b/>
        </w:rPr>
        <w:t>d</w:t>
      </w:r>
      <w:r w:rsidR="00646944" w:rsidRPr="00FB5D79">
        <w:rPr>
          <w:b/>
        </w:rPr>
        <w:t>’</w:t>
      </w:r>
      <w:r w:rsidR="00EE5078" w:rsidRPr="00FB5D79">
        <w:rPr>
          <w:b/>
        </w:rPr>
        <w:t>accentuer le</w:t>
      </w:r>
      <w:r w:rsidRPr="00FB5D79">
        <w:rPr>
          <w:b/>
        </w:rPr>
        <w:t xml:space="preserve"> renforcement des capacités des pays bénéficiaires, notamment afin d</w:t>
      </w:r>
      <w:r w:rsidR="00646944" w:rsidRPr="00FB5D79">
        <w:rPr>
          <w:b/>
        </w:rPr>
        <w:t>’</w:t>
      </w:r>
      <w:r w:rsidRPr="00FB5D79">
        <w:rPr>
          <w:b/>
        </w:rPr>
        <w:t xml:space="preserve">assurer la pérennité des </w:t>
      </w:r>
      <w:r w:rsidR="00BC30B8" w:rsidRPr="00FB5D79">
        <w:rPr>
          <w:b/>
        </w:rPr>
        <w:t xml:space="preserve">études menées </w:t>
      </w:r>
      <w:r w:rsidRPr="00FB5D79">
        <w:rPr>
          <w:b/>
        </w:rPr>
        <w:t>dans le cadre du projet</w:t>
      </w:r>
      <w:r w:rsidR="00965F3A">
        <w:rPr>
          <w:b/>
        </w:rPr>
        <w:t>-</w:t>
      </w:r>
      <w:r w:rsidRPr="00FB5D79">
        <w:rPr>
          <w:b/>
        </w:rPr>
        <w:t>cadre</w:t>
      </w:r>
      <w:r w:rsidR="00965F3A">
        <w:rPr>
          <w:b/>
        </w:rPr>
        <w:t> :</w:t>
      </w:r>
    </w:p>
    <w:p w14:paraId="17BE96F0" w14:textId="06648A61" w:rsidR="00735A4B" w:rsidRPr="00FB5D79" w:rsidRDefault="00735A4B" w:rsidP="00735A4B">
      <w:pPr>
        <w:jc w:val="both"/>
        <w:rPr>
          <w:b/>
        </w:rPr>
      </w:pPr>
    </w:p>
    <w:p w14:paraId="270E2031" w14:textId="1C76D439" w:rsidR="008513DC" w:rsidRPr="00FB5D79" w:rsidRDefault="008513DC" w:rsidP="008513DC">
      <w:pPr>
        <w:spacing w:after="120"/>
        <w:jc w:val="both"/>
      </w:pPr>
      <w:r w:rsidRPr="00FB5D79">
        <w:t xml:space="preserve">Aider les pays qui souhaitent renforcer leurs capacités à traduire les résultats des études menées chez eux en </w:t>
      </w:r>
      <w:r w:rsidR="00085BCB" w:rsidRPr="00FB5D79">
        <w:t>réussites pérennes</w:t>
      </w:r>
      <w:r w:rsidRPr="00FB5D79">
        <w:t>.</w:t>
      </w:r>
    </w:p>
    <w:p w14:paraId="63F5BAA3" w14:textId="257880FA" w:rsidR="008513DC" w:rsidRPr="00FB5D79" w:rsidRDefault="008513DC" w:rsidP="008513DC">
      <w:pPr>
        <w:spacing w:after="120"/>
        <w:jc w:val="both"/>
      </w:pPr>
      <w:r w:rsidRPr="00FB5D79">
        <w:t xml:space="preserve">Aider au renforcement des capacités des offices de propriété intellectuelle et des institutions compétentes en </w:t>
      </w:r>
      <w:r w:rsidR="00085BCB" w:rsidRPr="00FB5D79">
        <w:t>ce qui concerne la</w:t>
      </w:r>
      <w:r w:rsidRPr="00FB5D79">
        <w:t xml:space="preserve"> production et </w:t>
      </w:r>
      <w:r w:rsidR="00085BCB" w:rsidRPr="00FB5D79">
        <w:t>la</w:t>
      </w:r>
      <w:r w:rsidRPr="00FB5D79">
        <w:t xml:space="preserve"> maintenance de données</w:t>
      </w:r>
      <w:r w:rsidR="00085BCB" w:rsidRPr="00FB5D79">
        <w:t xml:space="preserve"> statistiques</w:t>
      </w:r>
      <w:r w:rsidRPr="00FB5D79">
        <w:t xml:space="preserve"> fiables </w:t>
      </w:r>
      <w:r w:rsidR="00085BCB" w:rsidRPr="00FB5D79">
        <w:t>sur la propriété intellectuelle</w:t>
      </w:r>
      <w:r w:rsidRPr="00FB5D79">
        <w:t>.</w:t>
      </w:r>
    </w:p>
    <w:p w14:paraId="6505D9F3" w14:textId="336562CB" w:rsidR="008513DC" w:rsidRPr="00FB5D79" w:rsidRDefault="008513DC" w:rsidP="008513DC">
      <w:pPr>
        <w:spacing w:after="120"/>
        <w:jc w:val="both"/>
      </w:pPr>
      <w:r w:rsidRPr="00FB5D79">
        <w:t xml:space="preserve">Encourager et aider les </w:t>
      </w:r>
      <w:r w:rsidR="00085BCB" w:rsidRPr="00FB5D79">
        <w:t>services nationaux</w:t>
      </w:r>
      <w:r w:rsidRPr="00FB5D79">
        <w:t xml:space="preserve"> à renforcer les capacités d</w:t>
      </w:r>
      <w:r w:rsidR="00646944" w:rsidRPr="00FB5D79">
        <w:t>’</w:t>
      </w:r>
      <w:r w:rsidRPr="00FB5D79">
        <w:t>analyse économique de l</w:t>
      </w:r>
      <w:r w:rsidR="00646944" w:rsidRPr="00FB5D79">
        <w:t>’</w:t>
      </w:r>
      <w:r w:rsidRPr="00FB5D79">
        <w:t>innovation et de la propriété intellectuelle.</w:t>
      </w:r>
    </w:p>
    <w:p w14:paraId="00163626" w14:textId="1E2767BC" w:rsidR="00646944" w:rsidRPr="00FB5D79" w:rsidRDefault="008513DC" w:rsidP="008513DC">
      <w:pPr>
        <w:spacing w:after="120"/>
        <w:jc w:val="both"/>
      </w:pPr>
      <w:r w:rsidRPr="00FB5D79">
        <w:t>Organ</w:t>
      </w:r>
      <w:r w:rsidR="006F5974" w:rsidRPr="00FB5D79">
        <w:t xml:space="preserve">iser des colloques régionaux </w:t>
      </w:r>
      <w:r w:rsidRPr="00FB5D79">
        <w:t>ou internationaux visant à examiner les enseignements tirés du projet</w:t>
      </w:r>
      <w:r w:rsidR="00965F3A">
        <w:t>-</w:t>
      </w:r>
      <w:r w:rsidRPr="00FB5D79">
        <w:t xml:space="preserve">cadre en identifiant, entre autres, </w:t>
      </w:r>
      <w:r w:rsidR="00D96645" w:rsidRPr="00FB5D79">
        <w:t>le manque</w:t>
      </w:r>
      <w:r w:rsidRPr="00FB5D79">
        <w:t xml:space="preserve"> de renforcement des capacités.</w:t>
      </w:r>
    </w:p>
    <w:p w14:paraId="4D7960B8" w14:textId="27332488" w:rsidR="00735A4B" w:rsidRPr="00FB5D79" w:rsidRDefault="008513DC" w:rsidP="008513DC">
      <w:pPr>
        <w:jc w:val="both"/>
      </w:pPr>
      <w:r w:rsidRPr="00FB5D79">
        <w:t>Encourager les travaux sur</w:t>
      </w:r>
      <w:r w:rsidR="00646944" w:rsidRPr="00FB5D79">
        <w:t xml:space="preserve"> les PMA</w:t>
      </w:r>
      <w:r w:rsidRPr="00FB5D79">
        <w:t xml:space="preserve"> afin de créer des bases de données fiables sur la propriété intellectuelle.</w:t>
      </w:r>
    </w:p>
    <w:p w14:paraId="29C006CE" w14:textId="3A6D5EF9" w:rsidR="00735A4B" w:rsidRPr="00FB5D79" w:rsidRDefault="00735A4B" w:rsidP="00735A4B">
      <w:pPr>
        <w:pStyle w:val="ONUME"/>
        <w:numPr>
          <w:ilvl w:val="0"/>
          <w:numId w:val="0"/>
        </w:numPr>
      </w:pPr>
    </w:p>
    <w:p w14:paraId="10159742" w14:textId="1C4B8334" w:rsidR="00191437" w:rsidRPr="00C053D9" w:rsidRDefault="00C053D9" w:rsidP="00C053D9">
      <w:r w:rsidRPr="00C053D9">
        <w:t>Liste des annexes</w:t>
      </w:r>
    </w:p>
    <w:p w14:paraId="3B22AFD7" w14:textId="7F05483A" w:rsidR="00191437" w:rsidRPr="00FB5D79" w:rsidRDefault="00191437" w:rsidP="00191437">
      <w:pPr>
        <w:jc w:val="both"/>
      </w:pPr>
      <w:r w:rsidRPr="00FB5D79">
        <w:t>I</w:t>
      </w:r>
      <w:r w:rsidR="00EB4E6B" w:rsidRPr="00FB5D79">
        <w:t xml:space="preserve">. </w:t>
      </w:r>
      <w:r w:rsidR="009F022F" w:rsidRPr="00FB5D79">
        <w:tab/>
      </w:r>
      <w:r w:rsidR="00AD44DE" w:rsidRPr="00FB5D79">
        <w:t xml:space="preserve">Descriptif du </w:t>
      </w:r>
      <w:r w:rsidR="00161006" w:rsidRPr="00FB5D79">
        <w:t>projet</w:t>
      </w:r>
    </w:p>
    <w:p w14:paraId="3CC0AE50" w14:textId="08B0CE57" w:rsidR="00191437" w:rsidRPr="00FB5D79" w:rsidRDefault="00191437" w:rsidP="00191437">
      <w:pPr>
        <w:jc w:val="both"/>
      </w:pPr>
      <w:r w:rsidRPr="00FB5D79">
        <w:t>II</w:t>
      </w:r>
      <w:r w:rsidR="00EB4E6B" w:rsidRPr="00FB5D79">
        <w:t xml:space="preserve">. </w:t>
      </w:r>
      <w:r w:rsidR="009F022F" w:rsidRPr="00FB5D79">
        <w:tab/>
      </w:r>
      <w:r w:rsidR="00161006" w:rsidRPr="00FB5D79">
        <w:t>Mandat</w:t>
      </w:r>
    </w:p>
    <w:p w14:paraId="46EBF96C" w14:textId="01E88274" w:rsidR="00191437" w:rsidRPr="00FB5D79" w:rsidRDefault="00172764" w:rsidP="00191437">
      <w:pPr>
        <w:jc w:val="both"/>
      </w:pPr>
      <w:r w:rsidRPr="00FB5D79">
        <w:t xml:space="preserve">III. </w:t>
      </w:r>
      <w:r w:rsidR="009F022F" w:rsidRPr="00FB5D79">
        <w:tab/>
      </w:r>
      <w:r w:rsidRPr="00FB5D79">
        <w:t>Li</w:t>
      </w:r>
      <w:r w:rsidR="0028735A" w:rsidRPr="00FB5D79">
        <w:t>ste des p</w:t>
      </w:r>
      <w:r w:rsidR="00161006" w:rsidRPr="00FB5D79">
        <w:t>arties prenantes interrogées</w:t>
      </w:r>
    </w:p>
    <w:p w14:paraId="65CC6D36" w14:textId="4FE13B03" w:rsidR="00191437" w:rsidRPr="00FB5D79" w:rsidRDefault="00191437" w:rsidP="00191437">
      <w:pPr>
        <w:jc w:val="both"/>
      </w:pPr>
      <w:r w:rsidRPr="00FB5D79">
        <w:t>IV</w:t>
      </w:r>
      <w:r w:rsidR="00611031" w:rsidRPr="00FB5D79">
        <w:t xml:space="preserve">. </w:t>
      </w:r>
      <w:r w:rsidR="009F022F" w:rsidRPr="00FB5D79">
        <w:tab/>
      </w:r>
      <w:r w:rsidR="00FC27CA" w:rsidRPr="00FB5D79">
        <w:t>Sélection</w:t>
      </w:r>
      <w:r w:rsidR="009C1662" w:rsidRPr="00FB5D79">
        <w:t xml:space="preserve"> de</w:t>
      </w:r>
      <w:r w:rsidR="00EC3D61" w:rsidRPr="00FB5D79">
        <w:t xml:space="preserve"> documents</w:t>
      </w:r>
    </w:p>
    <w:p w14:paraId="1ADC9B1C" w14:textId="1663590D" w:rsidR="005D1626" w:rsidRPr="00FB5D79" w:rsidRDefault="005D1626" w:rsidP="00780A34">
      <w:pPr>
        <w:pStyle w:val="Endofdocument-Annex"/>
        <w:spacing w:before="960"/>
      </w:pPr>
      <w:r w:rsidRPr="00FB5D79">
        <w:t>[</w:t>
      </w:r>
      <w:r w:rsidR="00D556C1">
        <w:t>Les a</w:t>
      </w:r>
      <w:r w:rsidR="00643AB5">
        <w:t>ppendices</w:t>
      </w:r>
      <w:r w:rsidR="00D556C1">
        <w:t xml:space="preserve"> suivent</w:t>
      </w:r>
      <w:r w:rsidRPr="00FB5D79">
        <w:t>]</w:t>
      </w:r>
    </w:p>
    <w:p w14:paraId="0D36529E" w14:textId="77777777" w:rsidR="005D1626" w:rsidRPr="00FB5D79" w:rsidRDefault="005D1626" w:rsidP="005D1626">
      <w:pPr>
        <w:pStyle w:val="ONUME"/>
        <w:numPr>
          <w:ilvl w:val="0"/>
          <w:numId w:val="0"/>
        </w:numPr>
        <w:spacing w:after="0"/>
        <w:jc w:val="right"/>
      </w:pPr>
    </w:p>
    <w:p w14:paraId="03AAF3F8" w14:textId="77777777" w:rsidR="005D1626" w:rsidRPr="00FB5D79" w:rsidRDefault="005D1626" w:rsidP="005D1626">
      <w:pPr>
        <w:pStyle w:val="ONUME"/>
        <w:numPr>
          <w:ilvl w:val="0"/>
          <w:numId w:val="0"/>
        </w:numPr>
        <w:spacing w:after="0"/>
        <w:jc w:val="right"/>
        <w:sectPr w:rsidR="005D1626" w:rsidRPr="00FB5D79" w:rsidSect="005779C5">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p>
    <w:p w14:paraId="780C325D" w14:textId="06F5181E" w:rsidR="005D1626" w:rsidRPr="00FB5D79" w:rsidRDefault="005D1626" w:rsidP="005D1626">
      <w:pPr>
        <w:pStyle w:val="ONUME"/>
        <w:numPr>
          <w:ilvl w:val="0"/>
          <w:numId w:val="0"/>
        </w:numPr>
        <w:spacing w:after="0"/>
        <w:jc w:val="right"/>
      </w:pPr>
    </w:p>
    <w:p w14:paraId="37CD60EF" w14:textId="454E59D3" w:rsidR="00336E3A" w:rsidRPr="00C053D9" w:rsidRDefault="00643AB5" w:rsidP="00C053D9">
      <w:r>
        <w:t>APPENDICE</w:t>
      </w:r>
      <w:r w:rsidR="00E05F22" w:rsidRPr="00C053D9">
        <w:t> </w:t>
      </w:r>
      <w:r w:rsidR="00E05F22">
        <w:t>I</w:t>
      </w:r>
      <w:r w:rsidR="00965F3A">
        <w:t> :</w:t>
      </w:r>
      <w:r w:rsidR="00E05F22" w:rsidRPr="00C053D9">
        <w:t xml:space="preserve"> DESCRIPTIF DU PROJET</w:t>
      </w:r>
    </w:p>
    <w:p w14:paraId="6CB0F739" w14:textId="0E45FE30" w:rsidR="00646944" w:rsidRPr="00FB5D79" w:rsidRDefault="00B0365F" w:rsidP="00734C20">
      <w:pPr>
        <w:pStyle w:val="ONUME"/>
        <w:numPr>
          <w:ilvl w:val="0"/>
          <w:numId w:val="0"/>
        </w:numPr>
        <w:jc w:val="both"/>
      </w:pPr>
      <w:r w:rsidRPr="00FB5D79">
        <w:t xml:space="preserve">Le </w:t>
      </w:r>
      <w:r w:rsidR="00B32ED1" w:rsidRPr="00FB5D79">
        <w:t>descriptif</w:t>
      </w:r>
      <w:r w:rsidRPr="00FB5D79">
        <w:t xml:space="preserve"> </w:t>
      </w:r>
      <w:r w:rsidR="00B32ED1" w:rsidRPr="00FB5D79">
        <w:t>du</w:t>
      </w:r>
      <w:r w:rsidRPr="00FB5D79">
        <w:t xml:space="preserve"> projet</w:t>
      </w:r>
      <w:r w:rsidR="00EB4E6B" w:rsidRPr="00FB5D79">
        <w:rPr>
          <w:color w:val="3B3B3B"/>
        </w:rPr>
        <w:t> </w:t>
      </w:r>
      <w:r w:rsidR="00734C20" w:rsidRPr="00FB5D79">
        <w:rPr>
          <w:color w:val="3B3B3B"/>
        </w:rPr>
        <w:t>CDIP/1</w:t>
      </w:r>
      <w:r w:rsidR="004B4C30" w:rsidRPr="00FB5D79">
        <w:rPr>
          <w:color w:val="3B3B3B"/>
        </w:rPr>
        <w:t>4</w:t>
      </w:r>
      <w:r w:rsidR="00734C20" w:rsidRPr="00FB5D79">
        <w:rPr>
          <w:color w:val="3B3B3B"/>
        </w:rPr>
        <w:t>/</w:t>
      </w:r>
      <w:r w:rsidR="004B4C30" w:rsidRPr="00FB5D79">
        <w:rPr>
          <w:color w:val="3B3B3B"/>
        </w:rPr>
        <w:t>7</w:t>
      </w:r>
      <w:r w:rsidR="00734C20" w:rsidRPr="00FB5D79">
        <w:t xml:space="preserve"> </w:t>
      </w:r>
      <w:r w:rsidRPr="00FB5D79">
        <w:t>est disponible à l</w:t>
      </w:r>
      <w:r w:rsidR="00646944" w:rsidRPr="00FB5D79">
        <w:t>’</w:t>
      </w:r>
      <w:r w:rsidRPr="00FB5D79">
        <w:t>adresse suivante</w:t>
      </w:r>
      <w:r w:rsidR="00965F3A">
        <w:t> :</w:t>
      </w:r>
    </w:p>
    <w:p w14:paraId="4CC6F1E1" w14:textId="17F9C856" w:rsidR="005D1626" w:rsidRPr="00FB5D79" w:rsidRDefault="00081E58" w:rsidP="00BC2D62">
      <w:pPr>
        <w:pStyle w:val="ONUME"/>
        <w:numPr>
          <w:ilvl w:val="0"/>
          <w:numId w:val="0"/>
        </w:numPr>
        <w:spacing w:after="0"/>
        <w:jc w:val="both"/>
      </w:pPr>
      <w:hyperlink r:id="rId13" w:history="1">
        <w:r w:rsidR="008A420A" w:rsidRPr="00FB5D79">
          <w:rPr>
            <w:rStyle w:val="Hyperlink"/>
          </w:rPr>
          <w:t>http://www.wipo.int/meetings/en/doc_details.jsp?doc_id=286771</w:t>
        </w:r>
      </w:hyperlink>
      <w:r w:rsidR="008A420A" w:rsidRPr="00FB5D79">
        <w:rPr>
          <w:rStyle w:val="Hyperlink"/>
        </w:rPr>
        <w:t xml:space="preserve"> </w:t>
      </w:r>
      <w:r w:rsidR="008A420A" w:rsidRPr="00FB5D79">
        <w:t>(en anglais uniquement)</w:t>
      </w:r>
    </w:p>
    <w:p w14:paraId="3F94FC32" w14:textId="77777777" w:rsidR="00BC2D62" w:rsidRPr="00FB5D79" w:rsidRDefault="00BC2D62" w:rsidP="00BC2D62">
      <w:pPr>
        <w:pStyle w:val="ONUME"/>
        <w:numPr>
          <w:ilvl w:val="0"/>
          <w:numId w:val="0"/>
        </w:numPr>
        <w:spacing w:after="0"/>
        <w:jc w:val="both"/>
      </w:pPr>
    </w:p>
    <w:p w14:paraId="519BE5A7" w14:textId="77777777" w:rsidR="00BC2D62" w:rsidRPr="00FB5D79" w:rsidRDefault="00BC2D62" w:rsidP="00BC2D62">
      <w:pPr>
        <w:pStyle w:val="ONUME"/>
        <w:numPr>
          <w:ilvl w:val="0"/>
          <w:numId w:val="0"/>
        </w:numPr>
        <w:spacing w:after="0"/>
        <w:jc w:val="both"/>
        <w:rPr>
          <w:caps/>
        </w:rPr>
      </w:pPr>
    </w:p>
    <w:p w14:paraId="64C60930" w14:textId="57862BEE" w:rsidR="00BC2D62" w:rsidRPr="00FB5D79" w:rsidRDefault="00BC2D62" w:rsidP="00BC2D62">
      <w:pPr>
        <w:pStyle w:val="Endofdocument-Annex"/>
        <w:ind w:left="4950"/>
        <w:rPr>
          <w:szCs w:val="22"/>
        </w:rPr>
      </w:pPr>
      <w:r w:rsidRPr="00FB5D79">
        <w:rPr>
          <w:caps/>
          <w:szCs w:val="22"/>
        </w:rPr>
        <w:t>[</w:t>
      </w:r>
      <w:r w:rsidR="00161006" w:rsidRPr="00FB5D79">
        <w:rPr>
          <w:szCs w:val="22"/>
        </w:rPr>
        <w:t>L</w:t>
      </w:r>
      <w:r w:rsidR="00646944" w:rsidRPr="00FB5D79">
        <w:rPr>
          <w:szCs w:val="22"/>
        </w:rPr>
        <w:t>’</w:t>
      </w:r>
      <w:r w:rsidR="00643AB5">
        <w:rPr>
          <w:szCs w:val="22"/>
        </w:rPr>
        <w:t>appendice</w:t>
      </w:r>
      <w:r w:rsidR="00161006" w:rsidRPr="00FB5D79">
        <w:rPr>
          <w:szCs w:val="22"/>
        </w:rPr>
        <w:t> </w:t>
      </w:r>
      <w:r w:rsidRPr="00FB5D79">
        <w:rPr>
          <w:szCs w:val="22"/>
        </w:rPr>
        <w:t xml:space="preserve">II </w:t>
      </w:r>
      <w:r w:rsidR="00D556C1">
        <w:rPr>
          <w:szCs w:val="22"/>
        </w:rPr>
        <w:t>suit</w:t>
      </w:r>
      <w:r w:rsidRPr="00FB5D79">
        <w:rPr>
          <w:szCs w:val="22"/>
        </w:rPr>
        <w:t>]</w:t>
      </w:r>
    </w:p>
    <w:p w14:paraId="44102561" w14:textId="77777777" w:rsidR="003E61F8" w:rsidRPr="00FB5D79" w:rsidRDefault="003E61F8" w:rsidP="00BC2D62">
      <w:pPr>
        <w:pStyle w:val="Endofdocument-Annex"/>
        <w:ind w:left="4950"/>
        <w:rPr>
          <w:szCs w:val="22"/>
        </w:rPr>
      </w:pPr>
    </w:p>
    <w:p w14:paraId="45F8CD9B" w14:textId="77777777" w:rsidR="003E61F8" w:rsidRPr="00FB5D79" w:rsidRDefault="003E61F8" w:rsidP="00BC2D62">
      <w:pPr>
        <w:pStyle w:val="Endofdocument-Annex"/>
        <w:ind w:left="4950"/>
        <w:rPr>
          <w:caps/>
          <w:szCs w:val="22"/>
        </w:rPr>
        <w:sectPr w:rsidR="003E61F8" w:rsidRPr="00FB5D79" w:rsidSect="005779C5">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14:paraId="5D0C8651" w14:textId="12CA83CB" w:rsidR="00696C22" w:rsidRPr="00FB5D79" w:rsidRDefault="00643AB5" w:rsidP="00807D9F">
      <w:pPr>
        <w:pStyle w:val="ONUME"/>
        <w:numPr>
          <w:ilvl w:val="0"/>
          <w:numId w:val="0"/>
        </w:numPr>
        <w:jc w:val="both"/>
      </w:pPr>
      <w:r>
        <w:lastRenderedPageBreak/>
        <w:t>APPENDICE</w:t>
      </w:r>
      <w:r w:rsidR="00AB741A" w:rsidRPr="00765B4A">
        <w:t> II</w:t>
      </w:r>
      <w:r w:rsidR="00965F3A">
        <w:t> :</w:t>
      </w:r>
      <w:r w:rsidR="00807D9F" w:rsidRPr="00FB5D79">
        <w:rPr>
          <w:caps/>
        </w:rPr>
        <w:t xml:space="preserve"> </w:t>
      </w:r>
      <w:r w:rsidR="00AB741A" w:rsidRPr="00FB5D79">
        <w:rPr>
          <w:caps/>
        </w:rPr>
        <w:t>MANDAT</w:t>
      </w:r>
    </w:p>
    <w:p w14:paraId="7B8723F2" w14:textId="77777777" w:rsidR="00807D9F" w:rsidRPr="00FB5D79" w:rsidRDefault="00807D9F" w:rsidP="005137BF">
      <w:pPr>
        <w:pStyle w:val="ListParagraph"/>
        <w:tabs>
          <w:tab w:val="left" w:pos="851"/>
          <w:tab w:val="left" w:pos="4253"/>
        </w:tabs>
        <w:spacing w:after="120"/>
        <w:ind w:left="0"/>
        <w:contextualSpacing w:val="0"/>
        <w:jc w:val="both"/>
        <w:rPr>
          <w:szCs w:val="22"/>
        </w:rPr>
      </w:pPr>
      <w:bookmarkStart w:id="22" w:name="_Toc172357882"/>
    </w:p>
    <w:bookmarkEnd w:id="22"/>
    <w:p w14:paraId="4134E41B" w14:textId="1FE0126E" w:rsidR="00191437" w:rsidRPr="00FB5D79" w:rsidRDefault="00AB741A" w:rsidP="005137BF">
      <w:pPr>
        <w:spacing w:after="220"/>
        <w:jc w:val="both"/>
        <w:rPr>
          <w:rFonts w:ascii="Times New Roman" w:hAnsi="Times New Roman" w:cs="Times New Roman"/>
          <w:b/>
          <w:szCs w:val="22"/>
        </w:rPr>
      </w:pPr>
      <w:r w:rsidRPr="00FB5D79">
        <w:rPr>
          <w:rFonts w:ascii="Times New Roman" w:hAnsi="Times New Roman" w:cs="Times New Roman"/>
          <w:b/>
          <w:szCs w:val="22"/>
        </w:rPr>
        <w:t>MANDAT</w:t>
      </w:r>
    </w:p>
    <w:p w14:paraId="251FBFB8" w14:textId="77777777" w:rsidR="00191437" w:rsidRPr="00FB5D79" w:rsidRDefault="00191437" w:rsidP="005137BF">
      <w:pPr>
        <w:tabs>
          <w:tab w:val="left" w:pos="851"/>
          <w:tab w:val="left" w:pos="4253"/>
        </w:tabs>
        <w:spacing w:after="120"/>
        <w:contextualSpacing/>
        <w:jc w:val="both"/>
        <w:rPr>
          <w:rFonts w:ascii="Times New Roman" w:hAnsi="Times New Roman" w:cs="Times New Roman"/>
          <w:b/>
          <w:szCs w:val="22"/>
        </w:rPr>
      </w:pPr>
    </w:p>
    <w:p w14:paraId="4E0ABC80" w14:textId="24348294" w:rsidR="00191437" w:rsidRPr="00FB5D79" w:rsidRDefault="00161006" w:rsidP="00D556C1">
      <w:pPr>
        <w:tabs>
          <w:tab w:val="left" w:pos="4253"/>
        </w:tabs>
        <w:spacing w:after="120"/>
        <w:ind w:left="4253" w:hanging="4253"/>
        <w:contextualSpacing/>
        <w:rPr>
          <w:rFonts w:ascii="Times New Roman" w:hAnsi="Times New Roman" w:cs="Times New Roman"/>
          <w:b/>
          <w:szCs w:val="22"/>
        </w:rPr>
      </w:pPr>
      <w:r w:rsidRPr="00FB5D79">
        <w:rPr>
          <w:rFonts w:ascii="Times New Roman" w:hAnsi="Times New Roman" w:cs="Times New Roman"/>
          <w:b/>
          <w:szCs w:val="22"/>
        </w:rPr>
        <w:t>Intitulé du mandat</w:t>
      </w:r>
      <w:r w:rsidR="00965F3A">
        <w:rPr>
          <w:rFonts w:ascii="Times New Roman" w:hAnsi="Times New Roman" w:cs="Times New Roman"/>
          <w:b/>
          <w:szCs w:val="22"/>
        </w:rPr>
        <w:t> :</w:t>
      </w:r>
      <w:r w:rsidR="000E4777" w:rsidRPr="00FB5D79">
        <w:rPr>
          <w:rFonts w:ascii="Times New Roman" w:hAnsi="Times New Roman" w:cs="Times New Roman"/>
          <w:b/>
          <w:szCs w:val="22"/>
        </w:rPr>
        <w:t xml:space="preserve"> </w:t>
      </w:r>
      <w:r w:rsidR="00191437" w:rsidRPr="00FB5D79">
        <w:rPr>
          <w:rFonts w:ascii="Times New Roman" w:hAnsi="Times New Roman" w:cs="Times New Roman"/>
          <w:b/>
          <w:szCs w:val="22"/>
        </w:rPr>
        <w:tab/>
      </w:r>
      <w:r w:rsidRPr="00FB5D79">
        <w:rPr>
          <w:rFonts w:ascii="Times New Roman" w:hAnsi="Times New Roman" w:cs="Times New Roman"/>
          <w:b/>
          <w:szCs w:val="22"/>
        </w:rPr>
        <w:t>Évaluation du projet</w:t>
      </w:r>
      <w:r w:rsidR="00191437" w:rsidRPr="00FB5D79">
        <w:rPr>
          <w:rFonts w:ascii="Times New Roman" w:hAnsi="Times New Roman" w:cs="Times New Roman"/>
          <w:b/>
          <w:szCs w:val="22"/>
        </w:rPr>
        <w:t xml:space="preserve"> </w:t>
      </w:r>
      <w:r w:rsidRPr="00FB5D79">
        <w:rPr>
          <w:rFonts w:ascii="Times New Roman" w:hAnsi="Times New Roman" w:cs="Times New Roman"/>
          <w:b/>
          <w:szCs w:val="22"/>
        </w:rPr>
        <w:t>relatif à la propriété intellectuelle et</w:t>
      </w:r>
      <w:r w:rsidR="00D556C1">
        <w:rPr>
          <w:rFonts w:ascii="Times New Roman" w:hAnsi="Times New Roman" w:cs="Times New Roman"/>
          <w:b/>
          <w:szCs w:val="22"/>
        </w:rPr>
        <w:t xml:space="preserve"> </w:t>
      </w:r>
      <w:r w:rsidRPr="00FB5D79">
        <w:rPr>
          <w:rFonts w:ascii="Times New Roman" w:hAnsi="Times New Roman" w:cs="Times New Roman"/>
          <w:b/>
          <w:szCs w:val="22"/>
        </w:rPr>
        <w:t>au développement socioéconomique – Phase </w:t>
      </w:r>
      <w:r w:rsidR="00191437" w:rsidRPr="00FB5D79">
        <w:rPr>
          <w:rFonts w:ascii="Times New Roman" w:hAnsi="Times New Roman" w:cs="Times New Roman"/>
          <w:b/>
          <w:szCs w:val="22"/>
        </w:rPr>
        <w:t>II</w:t>
      </w:r>
    </w:p>
    <w:p w14:paraId="0CEE5F5B" w14:textId="77777777" w:rsidR="00191437" w:rsidRPr="00FB5D79" w:rsidRDefault="00191437" w:rsidP="005137BF">
      <w:pPr>
        <w:tabs>
          <w:tab w:val="left" w:pos="4678"/>
        </w:tabs>
        <w:spacing w:after="120"/>
        <w:ind w:left="4678" w:hanging="4678"/>
        <w:contextualSpacing/>
        <w:jc w:val="both"/>
        <w:rPr>
          <w:rFonts w:ascii="Times New Roman" w:hAnsi="Times New Roman" w:cs="Times New Roman"/>
          <w:b/>
          <w:szCs w:val="22"/>
        </w:rPr>
      </w:pPr>
    </w:p>
    <w:p w14:paraId="2FCCEC45" w14:textId="55F10D73" w:rsidR="00191437" w:rsidRPr="00FB5D79" w:rsidRDefault="00242808" w:rsidP="00D556C1">
      <w:pPr>
        <w:tabs>
          <w:tab w:val="left" w:pos="4253"/>
        </w:tabs>
        <w:spacing w:after="120"/>
        <w:ind w:left="4253" w:hanging="4253"/>
        <w:contextualSpacing/>
        <w:rPr>
          <w:rFonts w:ascii="Times New Roman" w:hAnsi="Times New Roman" w:cs="Times New Roman"/>
          <w:b/>
          <w:szCs w:val="22"/>
        </w:rPr>
      </w:pPr>
      <w:r w:rsidRPr="00FB5D79">
        <w:rPr>
          <w:rFonts w:ascii="Times New Roman" w:hAnsi="Times New Roman" w:cs="Times New Roman"/>
          <w:b/>
          <w:szCs w:val="22"/>
        </w:rPr>
        <w:t>Nom su service</w:t>
      </w:r>
      <w:r w:rsidR="00191437" w:rsidRPr="00FB5D79">
        <w:rPr>
          <w:rFonts w:ascii="Times New Roman" w:hAnsi="Times New Roman" w:cs="Times New Roman"/>
          <w:b/>
          <w:szCs w:val="22"/>
        </w:rPr>
        <w:t>/</w:t>
      </w:r>
      <w:r w:rsidRPr="00FB5D79">
        <w:rPr>
          <w:rFonts w:ascii="Times New Roman" w:hAnsi="Times New Roman" w:cs="Times New Roman"/>
          <w:b/>
          <w:szCs w:val="22"/>
        </w:rPr>
        <w:t>secteur</w:t>
      </w:r>
      <w:r w:rsidR="00965F3A">
        <w:rPr>
          <w:rFonts w:ascii="Times New Roman" w:hAnsi="Times New Roman" w:cs="Times New Roman"/>
          <w:b/>
          <w:szCs w:val="22"/>
        </w:rPr>
        <w:t> :</w:t>
      </w:r>
      <w:r w:rsidR="00191437" w:rsidRPr="00FB5D79">
        <w:rPr>
          <w:rFonts w:ascii="Times New Roman" w:hAnsi="Times New Roman" w:cs="Times New Roman"/>
          <w:b/>
          <w:szCs w:val="22"/>
        </w:rPr>
        <w:t xml:space="preserve"> </w:t>
      </w:r>
      <w:r w:rsidR="00191437" w:rsidRPr="00FB5D79">
        <w:rPr>
          <w:rFonts w:ascii="Times New Roman" w:hAnsi="Times New Roman" w:cs="Times New Roman"/>
          <w:b/>
          <w:szCs w:val="22"/>
        </w:rPr>
        <w:tab/>
      </w:r>
      <w:r w:rsidR="00161006" w:rsidRPr="00FB5D79">
        <w:rPr>
          <w:rFonts w:ascii="Times New Roman" w:hAnsi="Times New Roman" w:cs="Times New Roman"/>
          <w:b/>
          <w:szCs w:val="22"/>
        </w:rPr>
        <w:t>Division de la coordination du Plan d</w:t>
      </w:r>
      <w:r w:rsidR="00646944" w:rsidRPr="00FB5D79">
        <w:rPr>
          <w:rFonts w:ascii="Times New Roman" w:hAnsi="Times New Roman" w:cs="Times New Roman"/>
          <w:b/>
          <w:szCs w:val="22"/>
        </w:rPr>
        <w:t>’</w:t>
      </w:r>
      <w:r w:rsidR="00161006" w:rsidRPr="00FB5D79">
        <w:rPr>
          <w:rFonts w:ascii="Times New Roman" w:hAnsi="Times New Roman" w:cs="Times New Roman"/>
          <w:b/>
          <w:szCs w:val="22"/>
        </w:rPr>
        <w:t>action pour le</w:t>
      </w:r>
      <w:r w:rsidR="00D556C1">
        <w:rPr>
          <w:rFonts w:ascii="Times New Roman" w:hAnsi="Times New Roman" w:cs="Times New Roman"/>
          <w:b/>
          <w:szCs w:val="22"/>
        </w:rPr>
        <w:t> </w:t>
      </w:r>
      <w:r w:rsidR="00161006" w:rsidRPr="00FB5D79">
        <w:rPr>
          <w:rFonts w:ascii="Times New Roman" w:hAnsi="Times New Roman" w:cs="Times New Roman"/>
          <w:b/>
          <w:szCs w:val="22"/>
        </w:rPr>
        <w:t>développement</w:t>
      </w:r>
      <w:r w:rsidR="00191437" w:rsidRPr="00FB5D79">
        <w:rPr>
          <w:rFonts w:ascii="Times New Roman" w:hAnsi="Times New Roman" w:cs="Times New Roman"/>
          <w:b/>
          <w:szCs w:val="22"/>
        </w:rPr>
        <w:t xml:space="preserve">, </w:t>
      </w:r>
      <w:r w:rsidR="00A178C8" w:rsidRPr="00FB5D79">
        <w:rPr>
          <w:rFonts w:ascii="Times New Roman" w:hAnsi="Times New Roman" w:cs="Times New Roman"/>
          <w:b/>
          <w:szCs w:val="22"/>
        </w:rPr>
        <w:t>secteur du développement</w:t>
      </w:r>
    </w:p>
    <w:p w14:paraId="6390CE1C" w14:textId="77777777" w:rsidR="00191437" w:rsidRPr="00FB5D79" w:rsidRDefault="00191437" w:rsidP="00D556C1">
      <w:pPr>
        <w:spacing w:after="120"/>
        <w:ind w:left="4680"/>
        <w:contextualSpacing/>
        <w:rPr>
          <w:rFonts w:ascii="Times New Roman" w:hAnsi="Times New Roman" w:cs="Times New Roman"/>
          <w:szCs w:val="22"/>
        </w:rPr>
      </w:pPr>
    </w:p>
    <w:p w14:paraId="453FE71B" w14:textId="11AA4273" w:rsidR="00191437" w:rsidRPr="00FB5D79" w:rsidRDefault="00242808" w:rsidP="00D556C1">
      <w:pPr>
        <w:tabs>
          <w:tab w:val="left" w:pos="851"/>
          <w:tab w:val="left" w:pos="4253"/>
        </w:tabs>
        <w:spacing w:after="120"/>
        <w:ind w:left="4680" w:hanging="4680"/>
        <w:contextualSpacing/>
        <w:rPr>
          <w:rFonts w:ascii="Times New Roman" w:hAnsi="Times New Roman" w:cs="Times New Roman"/>
          <w:b/>
          <w:szCs w:val="22"/>
        </w:rPr>
      </w:pPr>
      <w:r w:rsidRPr="00FB5D79">
        <w:rPr>
          <w:rFonts w:ascii="Times New Roman" w:hAnsi="Times New Roman" w:cs="Times New Roman"/>
          <w:b/>
          <w:szCs w:val="22"/>
        </w:rPr>
        <w:t>Lieu d</w:t>
      </w:r>
      <w:r w:rsidR="00646944" w:rsidRPr="00FB5D79">
        <w:rPr>
          <w:rFonts w:ascii="Times New Roman" w:hAnsi="Times New Roman" w:cs="Times New Roman"/>
          <w:b/>
          <w:szCs w:val="22"/>
        </w:rPr>
        <w:t>’</w:t>
      </w:r>
      <w:r w:rsidRPr="00FB5D79">
        <w:rPr>
          <w:rFonts w:ascii="Times New Roman" w:hAnsi="Times New Roman" w:cs="Times New Roman"/>
          <w:b/>
          <w:szCs w:val="22"/>
        </w:rPr>
        <w:t>affectation</w:t>
      </w:r>
      <w:r w:rsidR="00965F3A">
        <w:rPr>
          <w:rFonts w:ascii="Times New Roman" w:hAnsi="Times New Roman" w:cs="Times New Roman"/>
          <w:b/>
          <w:szCs w:val="22"/>
        </w:rPr>
        <w:t> :</w:t>
      </w:r>
      <w:r w:rsidR="000E4777" w:rsidRPr="00FB5D79">
        <w:rPr>
          <w:rFonts w:ascii="Times New Roman" w:hAnsi="Times New Roman" w:cs="Times New Roman"/>
          <w:b/>
          <w:szCs w:val="22"/>
        </w:rPr>
        <w:t xml:space="preserve"> </w:t>
      </w:r>
      <w:r w:rsidR="00AE62F1" w:rsidRPr="00FB5D79">
        <w:rPr>
          <w:rFonts w:ascii="Times New Roman" w:hAnsi="Times New Roman" w:cs="Times New Roman"/>
          <w:b/>
          <w:szCs w:val="22"/>
        </w:rPr>
        <w:tab/>
      </w:r>
      <w:r w:rsidR="00A031C9" w:rsidRPr="00FB5D79">
        <w:rPr>
          <w:rFonts w:ascii="Times New Roman" w:hAnsi="Times New Roman" w:cs="Times New Roman"/>
          <w:b/>
          <w:szCs w:val="22"/>
        </w:rPr>
        <w:t>Genève</w:t>
      </w:r>
      <w:r w:rsidR="00191437" w:rsidRPr="00FB5D79">
        <w:rPr>
          <w:rFonts w:ascii="Times New Roman" w:hAnsi="Times New Roman" w:cs="Times New Roman"/>
          <w:b/>
          <w:szCs w:val="22"/>
        </w:rPr>
        <w:t xml:space="preserve">, </w:t>
      </w:r>
      <w:r w:rsidR="00A031C9" w:rsidRPr="00FB5D79">
        <w:rPr>
          <w:rFonts w:ascii="Times New Roman" w:hAnsi="Times New Roman" w:cs="Times New Roman"/>
          <w:b/>
          <w:szCs w:val="22"/>
        </w:rPr>
        <w:t>Suisse</w:t>
      </w:r>
    </w:p>
    <w:p w14:paraId="3F91D5F8" w14:textId="77777777" w:rsidR="00191437" w:rsidRPr="00FB5D79" w:rsidRDefault="00191437" w:rsidP="005137BF">
      <w:pPr>
        <w:tabs>
          <w:tab w:val="left" w:pos="851"/>
        </w:tabs>
        <w:spacing w:after="120"/>
        <w:ind w:left="4680"/>
        <w:contextualSpacing/>
        <w:jc w:val="both"/>
        <w:rPr>
          <w:rFonts w:ascii="Times New Roman" w:hAnsi="Times New Roman" w:cs="Times New Roman"/>
          <w:szCs w:val="22"/>
        </w:rPr>
      </w:pPr>
    </w:p>
    <w:p w14:paraId="58CA58CB" w14:textId="38D4D1E3" w:rsidR="00191437" w:rsidRPr="00FB5D79" w:rsidRDefault="00242808" w:rsidP="00D556C1">
      <w:pPr>
        <w:tabs>
          <w:tab w:val="left" w:pos="4253"/>
          <w:tab w:val="left" w:pos="4678"/>
        </w:tabs>
        <w:contextualSpacing/>
        <w:rPr>
          <w:rFonts w:ascii="Times New Roman" w:hAnsi="Times New Roman" w:cs="Times New Roman"/>
          <w:b/>
          <w:szCs w:val="22"/>
        </w:rPr>
      </w:pPr>
      <w:r w:rsidRPr="00FB5D79">
        <w:rPr>
          <w:rFonts w:ascii="Times New Roman" w:hAnsi="Times New Roman" w:cs="Times New Roman"/>
          <w:b/>
          <w:szCs w:val="22"/>
        </w:rPr>
        <w:t>Durée prévue de la mission</w:t>
      </w:r>
      <w:r w:rsidR="00965F3A">
        <w:rPr>
          <w:rFonts w:ascii="Times New Roman" w:hAnsi="Times New Roman" w:cs="Times New Roman"/>
          <w:b/>
          <w:szCs w:val="22"/>
        </w:rPr>
        <w:t> :</w:t>
      </w:r>
      <w:r w:rsidR="000E4777" w:rsidRPr="00FB5D79">
        <w:rPr>
          <w:rFonts w:ascii="Times New Roman" w:hAnsi="Times New Roman" w:cs="Times New Roman"/>
          <w:b/>
          <w:szCs w:val="22"/>
        </w:rPr>
        <w:t xml:space="preserve"> </w:t>
      </w:r>
      <w:r w:rsidR="00AE62F1" w:rsidRPr="00FB5D79">
        <w:rPr>
          <w:rFonts w:ascii="Times New Roman" w:hAnsi="Times New Roman" w:cs="Times New Roman"/>
          <w:b/>
          <w:szCs w:val="22"/>
        </w:rPr>
        <w:tab/>
      </w:r>
      <w:r w:rsidR="00A031C9" w:rsidRPr="00FB5D79">
        <w:rPr>
          <w:rFonts w:ascii="Times New Roman" w:hAnsi="Times New Roman" w:cs="Times New Roman"/>
          <w:b/>
          <w:szCs w:val="22"/>
        </w:rPr>
        <w:t>du 10 juillet au 15 septembre </w:t>
      </w:r>
      <w:r w:rsidR="00191437" w:rsidRPr="00FB5D79">
        <w:rPr>
          <w:rFonts w:ascii="Times New Roman" w:hAnsi="Times New Roman" w:cs="Times New Roman"/>
          <w:b/>
          <w:szCs w:val="22"/>
        </w:rPr>
        <w:t>2018</w:t>
      </w:r>
    </w:p>
    <w:p w14:paraId="65BD4B72" w14:textId="77777777" w:rsidR="00191437" w:rsidRPr="00FB5D79" w:rsidRDefault="00191437" w:rsidP="00AE62F1">
      <w:pPr>
        <w:tabs>
          <w:tab w:val="left" w:pos="851"/>
          <w:tab w:val="left" w:pos="4678"/>
        </w:tabs>
        <w:jc w:val="both"/>
        <w:rPr>
          <w:rFonts w:ascii="Times New Roman" w:hAnsi="Times New Roman" w:cs="Times New Roman"/>
          <w:b/>
          <w:szCs w:val="22"/>
        </w:rPr>
      </w:pPr>
    </w:p>
    <w:p w14:paraId="2A043D3E" w14:textId="5027626D" w:rsidR="00191437" w:rsidRPr="00FB5D79" w:rsidRDefault="007C6AF4" w:rsidP="005137BF">
      <w:pPr>
        <w:spacing w:before="240" w:after="60"/>
        <w:jc w:val="both"/>
        <w:outlineLvl w:val="4"/>
        <w:rPr>
          <w:rFonts w:ascii="Times New Roman" w:eastAsiaTheme="majorEastAsia" w:hAnsi="Times New Roman" w:cs="Times New Roman"/>
          <w:b/>
          <w:szCs w:val="22"/>
        </w:rPr>
      </w:pPr>
      <w:r w:rsidRPr="00FB5D79">
        <w:rPr>
          <w:rFonts w:ascii="Times New Roman" w:eastAsiaTheme="majorEastAsia" w:hAnsi="Times New Roman" w:cs="Times New Roman"/>
          <w:b/>
          <w:szCs w:val="22"/>
        </w:rPr>
        <w:t>Objectif du mandat</w:t>
      </w:r>
    </w:p>
    <w:p w14:paraId="7FAE2B6B" w14:textId="77777777" w:rsidR="00191437" w:rsidRPr="00FB5D79" w:rsidRDefault="00191437" w:rsidP="007C6AF4">
      <w:pPr>
        <w:jc w:val="both"/>
        <w:rPr>
          <w:rFonts w:ascii="Times New Roman" w:hAnsi="Times New Roman" w:cs="Times New Roman"/>
          <w:szCs w:val="22"/>
        </w:rPr>
      </w:pPr>
    </w:p>
    <w:p w14:paraId="258FA584" w14:textId="67362949" w:rsidR="007C6AF4" w:rsidRPr="00FB5D79" w:rsidRDefault="007C6AF4" w:rsidP="006B770B">
      <w:pPr>
        <w:rPr>
          <w:rFonts w:ascii="Times New Roman" w:hAnsi="Times New Roman" w:cs="Times New Roman"/>
          <w:szCs w:val="22"/>
        </w:rPr>
      </w:pPr>
      <w:r w:rsidRPr="00FB5D79">
        <w:rPr>
          <w:rFonts w:ascii="Times New Roman" w:hAnsi="Times New Roman" w:cs="Times New Roman"/>
          <w:szCs w:val="22"/>
        </w:rPr>
        <w:t xml:space="preserve">Le présent document </w:t>
      </w:r>
      <w:r w:rsidR="005C35A9" w:rsidRPr="00FB5D79">
        <w:rPr>
          <w:rFonts w:ascii="Times New Roman" w:hAnsi="Times New Roman" w:cs="Times New Roman"/>
          <w:szCs w:val="22"/>
        </w:rPr>
        <w:t>est</w:t>
      </w:r>
      <w:r w:rsidRPr="00FB5D79">
        <w:rPr>
          <w:rFonts w:ascii="Times New Roman" w:hAnsi="Times New Roman" w:cs="Times New Roman"/>
          <w:szCs w:val="22"/>
        </w:rPr>
        <w:t xml:space="preserve"> le mandat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du </w:t>
      </w:r>
      <w:r w:rsidRPr="00FB5D79">
        <w:rPr>
          <w:rFonts w:ascii="Times New Roman" w:hAnsi="Times New Roman" w:cs="Times New Roman"/>
          <w:i/>
          <w:szCs w:val="22"/>
        </w:rPr>
        <w:t xml:space="preserve">Projet </w:t>
      </w:r>
      <w:r w:rsidR="005C35A9" w:rsidRPr="00FB5D79">
        <w:rPr>
          <w:rFonts w:ascii="Times New Roman" w:hAnsi="Times New Roman" w:cs="Times New Roman"/>
          <w:i/>
          <w:szCs w:val="22"/>
        </w:rPr>
        <w:t>relatif à</w:t>
      </w:r>
      <w:r w:rsidRPr="00FB5D79">
        <w:rPr>
          <w:rFonts w:ascii="Times New Roman" w:hAnsi="Times New Roman" w:cs="Times New Roman"/>
          <w:i/>
          <w:szCs w:val="22"/>
        </w:rPr>
        <w:t xml:space="preserve"> la propriété intellectuelle et </w:t>
      </w:r>
      <w:r w:rsidR="005C35A9" w:rsidRPr="00FB5D79">
        <w:rPr>
          <w:rFonts w:ascii="Times New Roman" w:hAnsi="Times New Roman" w:cs="Times New Roman"/>
          <w:i/>
          <w:szCs w:val="22"/>
        </w:rPr>
        <w:t>au</w:t>
      </w:r>
      <w:r w:rsidRPr="00FB5D79">
        <w:rPr>
          <w:rFonts w:ascii="Times New Roman" w:hAnsi="Times New Roman" w:cs="Times New Roman"/>
          <w:i/>
          <w:szCs w:val="22"/>
        </w:rPr>
        <w:t xml:space="preserve"> développement </w:t>
      </w:r>
      <w:r w:rsidR="005C35A9" w:rsidRPr="00FB5D79">
        <w:rPr>
          <w:rFonts w:ascii="Times New Roman" w:hAnsi="Times New Roman" w:cs="Times New Roman"/>
          <w:i/>
          <w:szCs w:val="22"/>
        </w:rPr>
        <w:t>socioéconomique – Phase </w:t>
      </w:r>
      <w:r w:rsidRPr="00FB5D79">
        <w:rPr>
          <w:rFonts w:ascii="Times New Roman" w:hAnsi="Times New Roman" w:cs="Times New Roman"/>
          <w:i/>
          <w:szCs w:val="22"/>
        </w:rPr>
        <w:t>II</w:t>
      </w:r>
      <w:r w:rsidRPr="00FB5D79">
        <w:rPr>
          <w:rFonts w:ascii="Times New Roman" w:hAnsi="Times New Roman" w:cs="Times New Roman"/>
          <w:szCs w:val="22"/>
        </w:rPr>
        <w:t xml:space="preserve">, </w:t>
      </w:r>
      <w:r w:rsidR="005C35A9" w:rsidRPr="00FB5D79">
        <w:rPr>
          <w:rFonts w:ascii="Times New Roman" w:hAnsi="Times New Roman" w:cs="Times New Roman"/>
          <w:szCs w:val="22"/>
        </w:rPr>
        <w:t>adopté durant</w:t>
      </w:r>
      <w:r w:rsidRPr="00FB5D79">
        <w:rPr>
          <w:rFonts w:ascii="Times New Roman" w:hAnsi="Times New Roman" w:cs="Times New Roman"/>
          <w:szCs w:val="22"/>
        </w:rPr>
        <w:t xml:space="preserve"> la </w:t>
      </w:r>
      <w:r w:rsidR="005C35A9" w:rsidRPr="00FB5D79">
        <w:rPr>
          <w:rFonts w:ascii="Times New Roman" w:hAnsi="Times New Roman" w:cs="Times New Roman"/>
          <w:szCs w:val="22"/>
        </w:rPr>
        <w:t>quatorz</w:t>
      </w:r>
      <w:r w:rsidR="00965F3A">
        <w:rPr>
          <w:rFonts w:ascii="Times New Roman" w:hAnsi="Times New Roman" w:cs="Times New Roman"/>
          <w:szCs w:val="22"/>
        </w:rPr>
        <w:t>ième session</w:t>
      </w:r>
      <w:r w:rsidRPr="00FB5D79">
        <w:rPr>
          <w:rFonts w:ascii="Times New Roman" w:hAnsi="Times New Roman" w:cs="Times New Roman"/>
          <w:szCs w:val="22"/>
        </w:rPr>
        <w:t xml:space="preserve"> du Comité du développement et de la propriété intellectuelle (CDI</w:t>
      </w:r>
      <w:r w:rsidR="005C35A9" w:rsidRPr="00FB5D79">
        <w:rPr>
          <w:rFonts w:ascii="Times New Roman" w:hAnsi="Times New Roman" w:cs="Times New Roman"/>
          <w:szCs w:val="22"/>
        </w:rPr>
        <w:t>P), tenue en novembre </w:t>
      </w:r>
      <w:r w:rsidRPr="00FB5D79">
        <w:rPr>
          <w:rFonts w:ascii="Times New Roman" w:hAnsi="Times New Roman" w:cs="Times New Roman"/>
          <w:szCs w:val="22"/>
        </w:rPr>
        <w:t>2014</w:t>
      </w:r>
      <w:r w:rsidR="005C35A9" w:rsidRPr="00FB5D79">
        <w:rPr>
          <w:rFonts w:ascii="Times New Roman" w:hAnsi="Times New Roman" w:cs="Times New Roman"/>
          <w:szCs w:val="22"/>
        </w:rPr>
        <w:t xml:space="preserve"> à Genè</w:t>
      </w:r>
      <w:r w:rsidR="00172764" w:rsidRPr="00FB5D79">
        <w:rPr>
          <w:rFonts w:ascii="Times New Roman" w:hAnsi="Times New Roman" w:cs="Times New Roman"/>
          <w:szCs w:val="22"/>
        </w:rPr>
        <w:t>ve.  Ce</w:t>
      </w:r>
      <w:r w:rsidRPr="00FB5D79">
        <w:rPr>
          <w:rFonts w:ascii="Times New Roman" w:hAnsi="Times New Roman" w:cs="Times New Roman"/>
          <w:szCs w:val="22"/>
        </w:rPr>
        <w:t xml:space="preserve"> projet fait suite au projet</w:t>
      </w:r>
      <w:r w:rsidR="005C35A9" w:rsidRPr="00FB5D79">
        <w:rPr>
          <w:rFonts w:ascii="Times New Roman" w:hAnsi="Times New Roman" w:cs="Times New Roman"/>
          <w:szCs w:val="22"/>
        </w:rPr>
        <w:t xml:space="preserve"> intitulé </w:t>
      </w:r>
      <w:r w:rsidRPr="00FB5D79">
        <w:rPr>
          <w:rFonts w:ascii="Times New Roman" w:hAnsi="Times New Roman" w:cs="Times New Roman"/>
          <w:i/>
          <w:szCs w:val="22"/>
        </w:rPr>
        <w:t xml:space="preserve">Propriété intellectuelle et développement </w:t>
      </w:r>
      <w:r w:rsidR="005C35A9" w:rsidRPr="00FB5D79">
        <w:rPr>
          <w:rFonts w:ascii="Times New Roman" w:hAnsi="Times New Roman" w:cs="Times New Roman"/>
          <w:i/>
          <w:szCs w:val="22"/>
        </w:rPr>
        <w:t xml:space="preserve">socioéconomique </w:t>
      </w:r>
      <w:r w:rsidR="005C35A9" w:rsidRPr="00FB5D79">
        <w:rPr>
          <w:rFonts w:ascii="Times New Roman" w:hAnsi="Times New Roman" w:cs="Times New Roman"/>
          <w:szCs w:val="22"/>
        </w:rPr>
        <w:t>(CDIP/5/7 </w:t>
      </w:r>
      <w:proofErr w:type="spellStart"/>
      <w:r w:rsidR="005C35A9" w:rsidRPr="00FB5D79">
        <w:rPr>
          <w:rFonts w:ascii="Times New Roman" w:hAnsi="Times New Roman" w:cs="Times New Roman"/>
          <w:szCs w:val="22"/>
        </w:rPr>
        <w:t>Rev</w:t>
      </w:r>
      <w:proofErr w:type="spellEnd"/>
      <w:r w:rsidR="005C35A9" w:rsidRPr="00FB5D79">
        <w:rPr>
          <w:rFonts w:ascii="Times New Roman" w:hAnsi="Times New Roman" w:cs="Times New Roman"/>
          <w:szCs w:val="22"/>
        </w:rPr>
        <w:t>.</w:t>
      </w:r>
      <w:r w:rsidR="000E4777" w:rsidRPr="00FB5D79">
        <w:rPr>
          <w:rFonts w:ascii="Times New Roman" w:hAnsi="Times New Roman" w:cs="Times New Roman"/>
          <w:szCs w:val="22"/>
        </w:rPr>
        <w:t xml:space="preserve"> </w:t>
      </w:r>
      <w:r w:rsidR="005C35A9" w:rsidRPr="00FB5D79">
        <w:rPr>
          <w:rFonts w:ascii="Times New Roman" w:hAnsi="Times New Roman" w:cs="Times New Roman"/>
          <w:szCs w:val="22"/>
        </w:rPr>
        <w:t>1), qui s</w:t>
      </w:r>
      <w:r w:rsidR="00646944" w:rsidRPr="00FB5D79">
        <w:rPr>
          <w:rFonts w:ascii="Times New Roman" w:hAnsi="Times New Roman" w:cs="Times New Roman"/>
          <w:szCs w:val="22"/>
        </w:rPr>
        <w:t>’</w:t>
      </w:r>
      <w:r w:rsidR="005C35A9" w:rsidRPr="00FB5D79">
        <w:rPr>
          <w:rFonts w:ascii="Times New Roman" w:hAnsi="Times New Roman" w:cs="Times New Roman"/>
          <w:szCs w:val="22"/>
        </w:rPr>
        <w:t>est achevé fin </w:t>
      </w:r>
      <w:r w:rsidRPr="00FB5D79">
        <w:rPr>
          <w:rFonts w:ascii="Times New Roman" w:hAnsi="Times New Roman" w:cs="Times New Roman"/>
          <w:szCs w:val="22"/>
        </w:rPr>
        <w:t>2013.  Il s</w:t>
      </w:r>
      <w:r w:rsidR="00646944" w:rsidRPr="00FB5D79">
        <w:rPr>
          <w:rFonts w:ascii="Times New Roman" w:hAnsi="Times New Roman" w:cs="Times New Roman"/>
          <w:szCs w:val="22"/>
        </w:rPr>
        <w:t>’</w:t>
      </w:r>
      <w:r w:rsidRPr="00FB5D79">
        <w:rPr>
          <w:rFonts w:ascii="Times New Roman" w:hAnsi="Times New Roman" w:cs="Times New Roman"/>
          <w:szCs w:val="22"/>
        </w:rPr>
        <w:t>agit toujours d</w:t>
      </w:r>
      <w:r w:rsidR="00646944" w:rsidRPr="00FB5D79">
        <w:rPr>
          <w:rFonts w:ascii="Times New Roman" w:hAnsi="Times New Roman" w:cs="Times New Roman"/>
          <w:szCs w:val="22"/>
        </w:rPr>
        <w:t>’</w:t>
      </w:r>
      <w:r w:rsidRPr="00FB5D79">
        <w:rPr>
          <w:rFonts w:ascii="Times New Roman" w:hAnsi="Times New Roman" w:cs="Times New Roman"/>
          <w:szCs w:val="22"/>
        </w:rPr>
        <w:t>un projet</w:t>
      </w:r>
      <w:r w:rsidR="00965F3A">
        <w:rPr>
          <w:rFonts w:ascii="Times New Roman" w:hAnsi="Times New Roman" w:cs="Times New Roman"/>
          <w:szCs w:val="22"/>
        </w:rPr>
        <w:t>-</w:t>
      </w:r>
      <w:r w:rsidRPr="00FB5D79">
        <w:rPr>
          <w:rFonts w:ascii="Times New Roman" w:hAnsi="Times New Roman" w:cs="Times New Roman"/>
          <w:szCs w:val="22"/>
        </w:rPr>
        <w:t>cadre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études nationales et régionales visant à combler </w:t>
      </w:r>
      <w:r w:rsidR="005C35A9" w:rsidRPr="00FB5D79">
        <w:rPr>
          <w:rFonts w:ascii="Times New Roman" w:hAnsi="Times New Roman" w:cs="Times New Roman"/>
          <w:szCs w:val="22"/>
        </w:rPr>
        <w:t>les lacunes</w:t>
      </w:r>
      <w:r w:rsidRPr="00FB5D79">
        <w:rPr>
          <w:rFonts w:ascii="Times New Roman" w:hAnsi="Times New Roman" w:cs="Times New Roman"/>
          <w:szCs w:val="22"/>
        </w:rPr>
        <w:t xml:space="preserve"> </w:t>
      </w:r>
      <w:r w:rsidR="005C35A9" w:rsidRPr="00FB5D79">
        <w:rPr>
          <w:rFonts w:ascii="Times New Roman" w:hAnsi="Times New Roman" w:cs="Times New Roman"/>
          <w:szCs w:val="22"/>
        </w:rPr>
        <w:t>des</w:t>
      </w:r>
      <w:r w:rsidRPr="00FB5D79">
        <w:rPr>
          <w:rFonts w:ascii="Times New Roman" w:hAnsi="Times New Roman" w:cs="Times New Roman"/>
          <w:szCs w:val="22"/>
        </w:rPr>
        <w:t xml:space="preserve"> décideurs </w:t>
      </w:r>
      <w:r w:rsidR="005C35A9" w:rsidRPr="00FB5D79">
        <w:rPr>
          <w:rFonts w:ascii="Times New Roman" w:hAnsi="Times New Roman" w:cs="Times New Roman"/>
          <w:szCs w:val="22"/>
        </w:rPr>
        <w:t>s</w:t>
      </w:r>
      <w:r w:rsidR="00646944" w:rsidRPr="00FB5D79">
        <w:rPr>
          <w:rFonts w:ascii="Times New Roman" w:hAnsi="Times New Roman" w:cs="Times New Roman"/>
          <w:szCs w:val="22"/>
        </w:rPr>
        <w:t>’</w:t>
      </w:r>
      <w:r w:rsidR="005C35A9" w:rsidRPr="00FB5D79">
        <w:rPr>
          <w:rFonts w:ascii="Times New Roman" w:hAnsi="Times New Roman" w:cs="Times New Roman"/>
          <w:szCs w:val="22"/>
        </w:rPr>
        <w:t>agissant de l</w:t>
      </w:r>
      <w:r w:rsidR="00646944" w:rsidRPr="00FB5D79">
        <w:rPr>
          <w:rFonts w:ascii="Times New Roman" w:hAnsi="Times New Roman" w:cs="Times New Roman"/>
          <w:szCs w:val="22"/>
        </w:rPr>
        <w:t>’</w:t>
      </w:r>
      <w:r w:rsidR="005C35A9" w:rsidRPr="00FB5D79">
        <w:rPr>
          <w:rFonts w:ascii="Times New Roman" w:hAnsi="Times New Roman" w:cs="Times New Roman"/>
          <w:szCs w:val="22"/>
        </w:rPr>
        <w:t>élaboration et de la mise en œuvre d</w:t>
      </w:r>
      <w:r w:rsidR="00646944" w:rsidRPr="00FB5D79">
        <w:rPr>
          <w:rFonts w:ascii="Times New Roman" w:hAnsi="Times New Roman" w:cs="Times New Roman"/>
          <w:szCs w:val="22"/>
        </w:rPr>
        <w:t>’</w:t>
      </w:r>
      <w:r w:rsidR="005C35A9" w:rsidRPr="00FB5D79">
        <w:rPr>
          <w:rFonts w:ascii="Times New Roman" w:hAnsi="Times New Roman" w:cs="Times New Roman"/>
          <w:szCs w:val="22"/>
        </w:rPr>
        <w:t>un régime de propriété intellectuelle favorisant le développeme</w:t>
      </w:r>
      <w:r w:rsidR="00172764" w:rsidRPr="00FB5D79">
        <w:rPr>
          <w:rFonts w:ascii="Times New Roman" w:hAnsi="Times New Roman" w:cs="Times New Roman"/>
          <w:szCs w:val="22"/>
        </w:rPr>
        <w:t>nt.  Le</w:t>
      </w:r>
      <w:r w:rsidRPr="00FB5D79">
        <w:rPr>
          <w:rFonts w:ascii="Times New Roman" w:hAnsi="Times New Roman" w:cs="Times New Roman"/>
          <w:szCs w:val="22"/>
        </w:rPr>
        <w:t xml:space="preserve">s activités entreprises dans le cadre de ce projet sont décrites dans le </w:t>
      </w:r>
      <w:r w:rsidR="005C35A9" w:rsidRPr="00FB5D79">
        <w:rPr>
          <w:rFonts w:ascii="Times New Roman" w:hAnsi="Times New Roman" w:cs="Times New Roman"/>
          <w:szCs w:val="22"/>
        </w:rPr>
        <w:t>descriptif du</w:t>
      </w:r>
      <w:r w:rsidRPr="00FB5D79">
        <w:rPr>
          <w:rFonts w:ascii="Times New Roman" w:hAnsi="Times New Roman" w:cs="Times New Roman"/>
          <w:szCs w:val="22"/>
        </w:rPr>
        <w:t xml:space="preserve"> projet (CDIP/14/7).</w:t>
      </w:r>
    </w:p>
    <w:p w14:paraId="12CD84EF" w14:textId="77777777" w:rsidR="007C6AF4" w:rsidRPr="00FB5D79" w:rsidRDefault="007C6AF4" w:rsidP="006B770B">
      <w:pPr>
        <w:rPr>
          <w:rFonts w:ascii="Times New Roman" w:hAnsi="Times New Roman" w:cs="Times New Roman"/>
          <w:szCs w:val="22"/>
        </w:rPr>
      </w:pPr>
    </w:p>
    <w:p w14:paraId="6AC60DA6" w14:textId="2E44EB9B" w:rsidR="00646944" w:rsidRPr="00FB5D79" w:rsidRDefault="00312D63" w:rsidP="006B770B">
      <w:pPr>
        <w:rPr>
          <w:rFonts w:ascii="Times New Roman" w:hAnsi="Times New Roman" w:cs="Times New Roman"/>
          <w:szCs w:val="22"/>
        </w:rPr>
      </w:pPr>
      <w:r w:rsidRPr="00FB5D79">
        <w:rPr>
          <w:rFonts w:ascii="Times New Roman" w:hAnsi="Times New Roman" w:cs="Times New Roman"/>
          <w:szCs w:val="22"/>
        </w:rPr>
        <w:t>Tout en cherchant à atteindre les mêmes objectifs que la phase I, la phase II vise à promouvoir la continuité des recherches entamées lors de</w:t>
      </w:r>
      <w:r w:rsidR="007C6AF4" w:rsidRPr="00FB5D79">
        <w:rPr>
          <w:rFonts w:ascii="Times New Roman" w:hAnsi="Times New Roman" w:cs="Times New Roman"/>
          <w:szCs w:val="22"/>
        </w:rPr>
        <w:t xml:space="preserve"> la </w:t>
      </w:r>
      <w:r w:rsidRPr="00FB5D79">
        <w:rPr>
          <w:rFonts w:ascii="Times New Roman" w:hAnsi="Times New Roman" w:cs="Times New Roman"/>
          <w:szCs w:val="22"/>
        </w:rPr>
        <w:t xml:space="preserve">phase I </w:t>
      </w:r>
      <w:r w:rsidR="007C6AF4" w:rsidRPr="00FB5D79">
        <w:rPr>
          <w:rFonts w:ascii="Times New Roman" w:hAnsi="Times New Roman" w:cs="Times New Roman"/>
          <w:szCs w:val="22"/>
        </w:rPr>
        <w:t xml:space="preserve">du projet et à étendre </w:t>
      </w: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étude </w:t>
      </w:r>
      <w:r w:rsidR="007C6AF4" w:rsidRPr="00FB5D79">
        <w:rPr>
          <w:rFonts w:ascii="Times New Roman" w:hAnsi="Times New Roman" w:cs="Times New Roman"/>
          <w:szCs w:val="22"/>
        </w:rPr>
        <w:t>à de nouveaux pays et régions</w:t>
      </w:r>
      <w:r w:rsidRPr="00FB5D79">
        <w:rPr>
          <w:rFonts w:ascii="Times New Roman" w:hAnsi="Times New Roman" w:cs="Times New Roman"/>
          <w:szCs w:val="22"/>
        </w:rPr>
        <w:t>, et à des sujets non traités au cours de la phase I</w:t>
      </w:r>
      <w:r w:rsidR="007C6AF4" w:rsidRPr="00FB5D79">
        <w:rPr>
          <w:rFonts w:ascii="Times New Roman" w:hAnsi="Times New Roman" w:cs="Times New Roman"/>
          <w:szCs w:val="22"/>
        </w:rPr>
        <w:t>.</w:t>
      </w:r>
    </w:p>
    <w:p w14:paraId="2A2F277D" w14:textId="5C0945C2" w:rsidR="007C6AF4" w:rsidRPr="00FB5D79" w:rsidRDefault="007C6AF4" w:rsidP="006B770B">
      <w:pPr>
        <w:rPr>
          <w:rFonts w:ascii="Times New Roman" w:hAnsi="Times New Roman" w:cs="Times New Roman"/>
          <w:szCs w:val="22"/>
        </w:rPr>
      </w:pPr>
    </w:p>
    <w:p w14:paraId="53B26AA3" w14:textId="590135AC" w:rsidR="00646944" w:rsidRPr="00FB5D79" w:rsidRDefault="005C35A9" w:rsidP="006B770B">
      <w:pPr>
        <w:rPr>
          <w:rFonts w:ascii="Times New Roman" w:hAnsi="Times New Roman" w:cs="Times New Roman"/>
          <w:szCs w:val="22"/>
        </w:rPr>
      </w:pPr>
      <w:r w:rsidRPr="00FB5D79">
        <w:rPr>
          <w:rFonts w:ascii="Times New Roman" w:hAnsi="Times New Roman" w:cs="Times New Roman"/>
          <w:szCs w:val="22"/>
        </w:rPr>
        <w:t>Le projet a été mis en œuvre entre janvier 2015 et décembre 2017</w:t>
      </w:r>
      <w:r w:rsidR="007C6AF4" w:rsidRPr="00FB5D79">
        <w:rPr>
          <w:rFonts w:ascii="Times New Roman" w:hAnsi="Times New Roman" w:cs="Times New Roman"/>
          <w:szCs w:val="22"/>
        </w:rPr>
        <w:t xml:space="preserve">.  Il a été mis en œuvre sous la supervision du directeur de projet, </w:t>
      </w:r>
      <w:r w:rsidR="00312D63" w:rsidRPr="00FB5D79">
        <w:rPr>
          <w:rFonts w:ascii="Times New Roman" w:hAnsi="Times New Roman" w:cs="Times New Roman"/>
          <w:szCs w:val="22"/>
        </w:rPr>
        <w:t>M. </w:t>
      </w:r>
      <w:r w:rsidR="007C6AF4" w:rsidRPr="00FB5D79">
        <w:rPr>
          <w:rFonts w:ascii="Times New Roman" w:hAnsi="Times New Roman" w:cs="Times New Roman"/>
          <w:szCs w:val="22"/>
        </w:rPr>
        <w:t>C</w:t>
      </w:r>
      <w:r w:rsidR="00B47DC9" w:rsidRPr="00FB5D79">
        <w:rPr>
          <w:rFonts w:ascii="Times New Roman" w:hAnsi="Times New Roman" w:cs="Times New Roman"/>
          <w:szCs w:val="22"/>
        </w:rPr>
        <w:t>arsten Fink, économiste en chef à la</w:t>
      </w:r>
      <w:r w:rsidR="007C6AF4" w:rsidRPr="00FB5D79">
        <w:rPr>
          <w:rFonts w:ascii="Times New Roman" w:hAnsi="Times New Roman" w:cs="Times New Roman"/>
          <w:szCs w:val="22"/>
        </w:rPr>
        <w:t xml:space="preserve"> Division de l</w:t>
      </w:r>
      <w:r w:rsidR="00646944" w:rsidRPr="00FB5D79">
        <w:rPr>
          <w:rFonts w:ascii="Times New Roman" w:hAnsi="Times New Roman" w:cs="Times New Roman"/>
          <w:szCs w:val="22"/>
        </w:rPr>
        <w:t>’</w:t>
      </w:r>
      <w:r w:rsidR="007C6AF4" w:rsidRPr="00FB5D79">
        <w:rPr>
          <w:rFonts w:ascii="Times New Roman" w:hAnsi="Times New Roman" w:cs="Times New Roman"/>
          <w:szCs w:val="22"/>
        </w:rPr>
        <w:t xml:space="preserve">économie et </w:t>
      </w:r>
      <w:r w:rsidR="00B47DC9" w:rsidRPr="00FB5D79">
        <w:rPr>
          <w:rFonts w:ascii="Times New Roman" w:hAnsi="Times New Roman" w:cs="Times New Roman"/>
          <w:szCs w:val="22"/>
        </w:rPr>
        <w:t>des</w:t>
      </w:r>
      <w:r w:rsidR="007C6AF4" w:rsidRPr="00FB5D79">
        <w:rPr>
          <w:rFonts w:ascii="Times New Roman" w:hAnsi="Times New Roman" w:cs="Times New Roman"/>
          <w:szCs w:val="22"/>
        </w:rPr>
        <w:t xml:space="preserve"> statistique</w:t>
      </w:r>
      <w:r w:rsidR="00B47DC9" w:rsidRPr="00FB5D79">
        <w:rPr>
          <w:rFonts w:ascii="Times New Roman" w:hAnsi="Times New Roman" w:cs="Times New Roman"/>
          <w:szCs w:val="22"/>
        </w:rPr>
        <w:t>s</w:t>
      </w:r>
      <w:r w:rsidR="007C6AF4" w:rsidRPr="00FB5D79">
        <w:rPr>
          <w:rFonts w:ascii="Times New Roman" w:hAnsi="Times New Roman" w:cs="Times New Roman"/>
          <w:szCs w:val="22"/>
        </w:rPr>
        <w:t>.</w:t>
      </w:r>
    </w:p>
    <w:p w14:paraId="2CDD302A" w14:textId="4B0681E7" w:rsidR="007C6AF4" w:rsidRPr="00FB5D79" w:rsidRDefault="007C6AF4" w:rsidP="006B770B">
      <w:pPr>
        <w:rPr>
          <w:rFonts w:ascii="Times New Roman" w:hAnsi="Times New Roman" w:cs="Times New Roman"/>
          <w:szCs w:val="22"/>
        </w:rPr>
      </w:pPr>
    </w:p>
    <w:p w14:paraId="3C8D9566" w14:textId="0B176CA2" w:rsidR="007C6AF4" w:rsidRPr="00FB5D79" w:rsidRDefault="007C6AF4" w:rsidP="006B770B">
      <w:pPr>
        <w:rPr>
          <w:rFonts w:ascii="Times New Roman" w:hAnsi="Times New Roman" w:cs="Times New Roman"/>
          <w:szCs w:val="22"/>
        </w:rPr>
      </w:pPr>
      <w:r w:rsidRPr="00FB5D79">
        <w:rPr>
          <w:rFonts w:ascii="Times New Roman" w:hAnsi="Times New Roman" w:cs="Times New Roman"/>
          <w:szCs w:val="22"/>
        </w:rPr>
        <w:t>Cette évaluation se veut une évaluation participati</w:t>
      </w:r>
      <w:r w:rsidR="00172764" w:rsidRPr="00FB5D79">
        <w:rPr>
          <w:rFonts w:ascii="Times New Roman" w:hAnsi="Times New Roman" w:cs="Times New Roman"/>
          <w:szCs w:val="22"/>
        </w:rPr>
        <w:t>ve.  El</w:t>
      </w:r>
      <w:r w:rsidR="00F531F5" w:rsidRPr="00FB5D79">
        <w:rPr>
          <w:rFonts w:ascii="Times New Roman" w:hAnsi="Times New Roman" w:cs="Times New Roman"/>
          <w:szCs w:val="22"/>
        </w:rPr>
        <w:t xml:space="preserve">le doit </w:t>
      </w:r>
      <w:r w:rsidR="00A134E5" w:rsidRPr="00FB5D79">
        <w:rPr>
          <w:rFonts w:ascii="Times New Roman" w:hAnsi="Times New Roman" w:cs="Times New Roman"/>
          <w:szCs w:val="22"/>
        </w:rPr>
        <w:t>induire</w:t>
      </w:r>
      <w:r w:rsidRPr="00FB5D79">
        <w:rPr>
          <w:rFonts w:ascii="Times New Roman" w:hAnsi="Times New Roman" w:cs="Times New Roman"/>
          <w:szCs w:val="22"/>
        </w:rPr>
        <w:t xml:space="preserve"> une participation active d</w:t>
      </w:r>
      <w:r w:rsidR="00A134E5" w:rsidRPr="00FB5D79">
        <w:rPr>
          <w:rFonts w:ascii="Times New Roman" w:hAnsi="Times New Roman" w:cs="Times New Roman"/>
          <w:szCs w:val="22"/>
        </w:rPr>
        <w:t>es parties prenantes</w:t>
      </w:r>
      <w:r w:rsidR="00F531F5" w:rsidRPr="00FB5D79">
        <w:rPr>
          <w:rFonts w:ascii="Times New Roman" w:hAnsi="Times New Roman" w:cs="Times New Roman"/>
          <w:szCs w:val="22"/>
        </w:rPr>
        <w:t xml:space="preserve">, </w:t>
      </w:r>
      <w:r w:rsidR="00965F3A">
        <w:rPr>
          <w:rFonts w:ascii="Times New Roman" w:hAnsi="Times New Roman" w:cs="Times New Roman"/>
          <w:szCs w:val="22"/>
        </w:rPr>
        <w:t>à savoir</w:t>
      </w:r>
      <w:r w:rsidR="00F531F5" w:rsidRPr="00FB5D79">
        <w:rPr>
          <w:rFonts w:ascii="Times New Roman" w:hAnsi="Times New Roman" w:cs="Times New Roman"/>
          <w:szCs w:val="22"/>
        </w:rPr>
        <w:t xml:space="preserve">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équipe </w:t>
      </w:r>
      <w:r w:rsidR="00F531F5" w:rsidRPr="00FB5D79">
        <w:rPr>
          <w:rFonts w:ascii="Times New Roman" w:hAnsi="Times New Roman" w:cs="Times New Roman"/>
          <w:szCs w:val="22"/>
        </w:rPr>
        <w:t>chargée du</w:t>
      </w:r>
      <w:r w:rsidRPr="00FB5D79">
        <w:rPr>
          <w:rFonts w:ascii="Times New Roman" w:hAnsi="Times New Roman" w:cs="Times New Roman"/>
          <w:szCs w:val="22"/>
        </w:rPr>
        <w:t xml:space="preserve"> projet, </w:t>
      </w:r>
      <w:r w:rsidR="00F531F5" w:rsidRPr="00FB5D79">
        <w:rPr>
          <w:rFonts w:ascii="Times New Roman" w:hAnsi="Times New Roman" w:cs="Times New Roman"/>
          <w:szCs w:val="22"/>
        </w:rPr>
        <w:t xml:space="preserve">les </w:t>
      </w:r>
      <w:r w:rsidRPr="00FB5D79">
        <w:rPr>
          <w:rFonts w:ascii="Times New Roman" w:hAnsi="Times New Roman" w:cs="Times New Roman"/>
          <w:szCs w:val="22"/>
        </w:rPr>
        <w:t xml:space="preserve">partenaires, </w:t>
      </w:r>
      <w:r w:rsidR="00F531F5" w:rsidRPr="00FB5D79">
        <w:rPr>
          <w:rFonts w:ascii="Times New Roman" w:hAnsi="Times New Roman" w:cs="Times New Roman"/>
          <w:szCs w:val="22"/>
        </w:rPr>
        <w:t xml:space="preserve">les </w:t>
      </w:r>
      <w:r w:rsidRPr="00FB5D79">
        <w:rPr>
          <w:rFonts w:ascii="Times New Roman" w:hAnsi="Times New Roman" w:cs="Times New Roman"/>
          <w:szCs w:val="22"/>
        </w:rPr>
        <w:t xml:space="preserve">bénéficiaires et autres parties </w:t>
      </w:r>
      <w:r w:rsidR="00F531F5" w:rsidRPr="00FB5D79">
        <w:rPr>
          <w:rFonts w:ascii="Times New Roman" w:hAnsi="Times New Roman" w:cs="Times New Roman"/>
          <w:szCs w:val="22"/>
        </w:rPr>
        <w:t xml:space="preserve">prenantes </w:t>
      </w:r>
      <w:r w:rsidRPr="00FB5D79">
        <w:rPr>
          <w:rFonts w:ascii="Times New Roman" w:hAnsi="Times New Roman" w:cs="Times New Roman"/>
          <w:szCs w:val="22"/>
        </w:rPr>
        <w:t>intéressées</w:t>
      </w:r>
      <w:r w:rsidR="00A134E5" w:rsidRPr="00FB5D79">
        <w:rPr>
          <w:rFonts w:ascii="Times New Roman" w:hAnsi="Times New Roman" w:cs="Times New Roman"/>
          <w:szCs w:val="22"/>
        </w:rPr>
        <w:t>, au processus d</w:t>
      </w:r>
      <w:r w:rsidR="00646944" w:rsidRPr="00FB5D79">
        <w:rPr>
          <w:rFonts w:ascii="Times New Roman" w:hAnsi="Times New Roman" w:cs="Times New Roman"/>
          <w:szCs w:val="22"/>
        </w:rPr>
        <w:t>’</w:t>
      </w:r>
      <w:r w:rsidR="00A134E5" w:rsidRPr="00FB5D79">
        <w:rPr>
          <w:rFonts w:ascii="Times New Roman" w:hAnsi="Times New Roman" w:cs="Times New Roman"/>
          <w:szCs w:val="22"/>
        </w:rPr>
        <w:t>évaluation</w:t>
      </w:r>
      <w:r w:rsidRPr="00FB5D79">
        <w:rPr>
          <w:rFonts w:ascii="Times New Roman" w:hAnsi="Times New Roman" w:cs="Times New Roman"/>
          <w:szCs w:val="22"/>
        </w:rPr>
        <w:t>.</w:t>
      </w:r>
    </w:p>
    <w:p w14:paraId="1EA9313D" w14:textId="77777777" w:rsidR="007C6AF4" w:rsidRPr="00FB5D79" w:rsidRDefault="007C6AF4" w:rsidP="006B770B">
      <w:pPr>
        <w:rPr>
          <w:rFonts w:ascii="Times New Roman" w:hAnsi="Times New Roman" w:cs="Times New Roman"/>
          <w:szCs w:val="22"/>
        </w:rPr>
      </w:pPr>
    </w:p>
    <w:p w14:paraId="69072CA5" w14:textId="1919E7CF" w:rsidR="00191437" w:rsidRPr="00FB5D79" w:rsidRDefault="0045635A" w:rsidP="006B770B">
      <w:pPr>
        <w:rPr>
          <w:rFonts w:ascii="Times New Roman" w:hAnsi="Times New Roman" w:cs="Times New Roman"/>
          <w:szCs w:val="22"/>
        </w:rPr>
      </w:pPr>
      <w:r w:rsidRPr="00FB5D79">
        <w:rPr>
          <w:rFonts w:ascii="Times New Roman" w:hAnsi="Times New Roman" w:cs="Times New Roman"/>
          <w:szCs w:val="22"/>
        </w:rPr>
        <w:t>La présente évaluation vise un double objectif</w:t>
      </w:r>
      <w:r w:rsidR="00965F3A">
        <w:rPr>
          <w:rFonts w:ascii="Times New Roman" w:hAnsi="Times New Roman" w:cs="Times New Roman"/>
          <w:szCs w:val="22"/>
        </w:rPr>
        <w:t> :</w:t>
      </w:r>
    </w:p>
    <w:p w14:paraId="5348B2FF" w14:textId="77777777" w:rsidR="00191437" w:rsidRPr="00FB5D79" w:rsidRDefault="00191437" w:rsidP="006B770B">
      <w:pPr>
        <w:rPr>
          <w:rFonts w:ascii="Times New Roman" w:hAnsi="Times New Roman" w:cs="Times New Roman"/>
          <w:szCs w:val="22"/>
        </w:rPr>
      </w:pPr>
    </w:p>
    <w:p w14:paraId="0C95FFFE" w14:textId="7342402C" w:rsidR="007C6AF4" w:rsidRPr="00FB5D79" w:rsidRDefault="00191437" w:rsidP="006B770B">
      <w:pPr>
        <w:ind w:left="567"/>
        <w:rPr>
          <w:rFonts w:ascii="Times New Roman" w:hAnsi="Times New Roman" w:cs="Times New Roman"/>
          <w:szCs w:val="22"/>
        </w:rPr>
      </w:pPr>
      <w:r w:rsidRPr="00FB5D79">
        <w:rPr>
          <w:rFonts w:ascii="Times New Roman" w:hAnsi="Times New Roman" w:cs="Times New Roman"/>
          <w:szCs w:val="22"/>
        </w:rPr>
        <w:t>1.</w:t>
      </w:r>
      <w:r w:rsidRPr="00FB5D79">
        <w:rPr>
          <w:rFonts w:ascii="Times New Roman" w:hAnsi="Times New Roman" w:cs="Times New Roman"/>
          <w:szCs w:val="22"/>
        </w:rPr>
        <w:tab/>
      </w:r>
      <w:r w:rsidR="004A2FC3" w:rsidRPr="00FB5D79">
        <w:rPr>
          <w:rFonts w:ascii="Times New Roman" w:hAnsi="Times New Roman" w:cs="Times New Roman"/>
          <w:szCs w:val="22"/>
        </w:rPr>
        <w:t>Tirer les enseignements de l</w:t>
      </w:r>
      <w:r w:rsidR="00646944" w:rsidRPr="00FB5D79">
        <w:rPr>
          <w:rFonts w:ascii="Times New Roman" w:hAnsi="Times New Roman" w:cs="Times New Roman"/>
          <w:szCs w:val="22"/>
        </w:rPr>
        <w:t>’</w:t>
      </w:r>
      <w:r w:rsidR="004A2FC3" w:rsidRPr="00FB5D79">
        <w:rPr>
          <w:rFonts w:ascii="Times New Roman" w:hAnsi="Times New Roman" w:cs="Times New Roman"/>
          <w:szCs w:val="22"/>
        </w:rPr>
        <w:t xml:space="preserve">expérience acquise au cours de </w:t>
      </w:r>
      <w:r w:rsidR="000910FD" w:rsidRPr="00FB5D79">
        <w:rPr>
          <w:rFonts w:ascii="Times New Roman" w:hAnsi="Times New Roman" w:cs="Times New Roman"/>
          <w:szCs w:val="22"/>
        </w:rPr>
        <w:t xml:space="preserve">la mise en œuvre </w:t>
      </w:r>
      <w:r w:rsidR="004A2FC3" w:rsidRPr="00FB5D79">
        <w:rPr>
          <w:rFonts w:ascii="Times New Roman" w:hAnsi="Times New Roman" w:cs="Times New Roman"/>
          <w:szCs w:val="22"/>
        </w:rPr>
        <w:t>du projet sur ce qui a bien fonctionné et ce qui n</w:t>
      </w:r>
      <w:r w:rsidR="00646944" w:rsidRPr="00FB5D79">
        <w:rPr>
          <w:rFonts w:ascii="Times New Roman" w:hAnsi="Times New Roman" w:cs="Times New Roman"/>
          <w:szCs w:val="22"/>
        </w:rPr>
        <w:t>’</w:t>
      </w:r>
      <w:r w:rsidR="004A2FC3" w:rsidRPr="00FB5D79">
        <w:rPr>
          <w:rFonts w:ascii="Times New Roman" w:hAnsi="Times New Roman" w:cs="Times New Roman"/>
          <w:szCs w:val="22"/>
        </w:rPr>
        <w:t xml:space="preserve">a pas bien fonctionné, en vue </w:t>
      </w:r>
      <w:r w:rsidR="00F86541" w:rsidRPr="00FB5D79">
        <w:rPr>
          <w:rFonts w:ascii="Times New Roman" w:hAnsi="Times New Roman" w:cs="Times New Roman"/>
          <w:szCs w:val="22"/>
        </w:rPr>
        <w:t>de la poursuite des activités</w:t>
      </w:r>
      <w:r w:rsidR="004A2FC3" w:rsidRPr="00FB5D79">
        <w:rPr>
          <w:rFonts w:ascii="Times New Roman" w:hAnsi="Times New Roman" w:cs="Times New Roman"/>
          <w:szCs w:val="22"/>
        </w:rPr>
        <w:t xml:space="preserve"> dans le domaine </w:t>
      </w:r>
      <w:r w:rsidR="00F86541" w:rsidRPr="00FB5D79">
        <w:rPr>
          <w:rFonts w:ascii="Times New Roman" w:hAnsi="Times New Roman" w:cs="Times New Roman"/>
          <w:szCs w:val="22"/>
        </w:rPr>
        <w:t>de</w:t>
      </w:r>
      <w:r w:rsidR="004A2FC3" w:rsidRPr="00FB5D79">
        <w:rPr>
          <w:rFonts w:ascii="Times New Roman" w:hAnsi="Times New Roman" w:cs="Times New Roman"/>
          <w:szCs w:val="22"/>
        </w:rPr>
        <w:t xml:space="preserve"> la propriété intellectuel</w:t>
      </w:r>
      <w:r w:rsidR="00172764" w:rsidRPr="00FB5D79">
        <w:rPr>
          <w:rFonts w:ascii="Times New Roman" w:hAnsi="Times New Roman" w:cs="Times New Roman"/>
          <w:szCs w:val="22"/>
        </w:rPr>
        <w:t>le.  Ce</w:t>
      </w:r>
      <w:r w:rsidR="007C6AF4" w:rsidRPr="00FB5D79">
        <w:rPr>
          <w:rFonts w:ascii="Times New Roman" w:hAnsi="Times New Roman" w:cs="Times New Roman"/>
          <w:szCs w:val="22"/>
        </w:rPr>
        <w:t>la comprend l</w:t>
      </w:r>
      <w:r w:rsidR="00646944" w:rsidRPr="00FB5D79">
        <w:rPr>
          <w:rFonts w:ascii="Times New Roman" w:hAnsi="Times New Roman" w:cs="Times New Roman"/>
          <w:szCs w:val="22"/>
        </w:rPr>
        <w:t>’</w:t>
      </w:r>
      <w:r w:rsidR="007C6AF4" w:rsidRPr="00FB5D79">
        <w:rPr>
          <w:rFonts w:ascii="Times New Roman" w:hAnsi="Times New Roman" w:cs="Times New Roman"/>
          <w:szCs w:val="22"/>
        </w:rPr>
        <w:t xml:space="preserve">évaluation du cadre de conception </w:t>
      </w:r>
      <w:r w:rsidR="00B6493F" w:rsidRPr="00FB5D79">
        <w:rPr>
          <w:rFonts w:ascii="Times New Roman" w:hAnsi="Times New Roman" w:cs="Times New Roman"/>
          <w:szCs w:val="22"/>
        </w:rPr>
        <w:t xml:space="preserve">du projet et </w:t>
      </w:r>
      <w:r w:rsidR="007C6AF4" w:rsidRPr="00FB5D79">
        <w:rPr>
          <w:rFonts w:ascii="Times New Roman" w:hAnsi="Times New Roman" w:cs="Times New Roman"/>
          <w:szCs w:val="22"/>
        </w:rPr>
        <w:t xml:space="preserve">de la gestion du projet, </w:t>
      </w:r>
      <w:r w:rsidR="00965F3A">
        <w:rPr>
          <w:rFonts w:ascii="Times New Roman" w:hAnsi="Times New Roman" w:cs="Times New Roman"/>
          <w:szCs w:val="22"/>
        </w:rPr>
        <w:t>y compris</w:t>
      </w:r>
      <w:r w:rsidR="007C6AF4" w:rsidRPr="00FB5D79">
        <w:rPr>
          <w:rFonts w:ascii="Times New Roman" w:hAnsi="Times New Roman" w:cs="Times New Roman"/>
          <w:szCs w:val="22"/>
        </w:rPr>
        <w:t xml:space="preserve"> les outils de </w:t>
      </w:r>
      <w:r w:rsidR="00B6493F" w:rsidRPr="00FB5D79">
        <w:rPr>
          <w:rFonts w:ascii="Times New Roman" w:hAnsi="Times New Roman" w:cs="Times New Roman"/>
          <w:szCs w:val="22"/>
        </w:rPr>
        <w:t>suivi</w:t>
      </w:r>
      <w:r w:rsidR="007C6AF4" w:rsidRPr="00FB5D79">
        <w:rPr>
          <w:rFonts w:ascii="Times New Roman" w:hAnsi="Times New Roman" w:cs="Times New Roman"/>
          <w:szCs w:val="22"/>
        </w:rPr>
        <w:t xml:space="preserve"> et </w:t>
      </w:r>
      <w:r w:rsidR="00B6493F" w:rsidRPr="00FB5D79">
        <w:rPr>
          <w:rFonts w:ascii="Times New Roman" w:hAnsi="Times New Roman" w:cs="Times New Roman"/>
          <w:szCs w:val="22"/>
        </w:rPr>
        <w:t>d</w:t>
      </w:r>
      <w:r w:rsidR="00646944" w:rsidRPr="00FB5D79">
        <w:rPr>
          <w:rFonts w:ascii="Times New Roman" w:hAnsi="Times New Roman" w:cs="Times New Roman"/>
          <w:szCs w:val="22"/>
        </w:rPr>
        <w:t>’</w:t>
      </w:r>
      <w:r w:rsidR="00B6493F" w:rsidRPr="00FB5D79">
        <w:rPr>
          <w:rFonts w:ascii="Times New Roman" w:hAnsi="Times New Roman" w:cs="Times New Roman"/>
          <w:szCs w:val="22"/>
        </w:rPr>
        <w:t>établissement de rapports</w:t>
      </w:r>
      <w:r w:rsidR="007C6AF4" w:rsidRPr="00FB5D79">
        <w:rPr>
          <w:rFonts w:ascii="Times New Roman" w:hAnsi="Times New Roman" w:cs="Times New Roman"/>
          <w:szCs w:val="22"/>
        </w:rPr>
        <w:t>, ainsi que la mesure et la communication des résultats obtenus à ce jour et l</w:t>
      </w:r>
      <w:r w:rsidR="00646944" w:rsidRPr="00FB5D79">
        <w:rPr>
          <w:rFonts w:ascii="Times New Roman" w:hAnsi="Times New Roman" w:cs="Times New Roman"/>
          <w:szCs w:val="22"/>
        </w:rPr>
        <w:t>’</w:t>
      </w:r>
      <w:r w:rsidR="007C6AF4" w:rsidRPr="00FB5D79">
        <w:rPr>
          <w:rFonts w:ascii="Times New Roman" w:hAnsi="Times New Roman" w:cs="Times New Roman"/>
          <w:szCs w:val="22"/>
        </w:rPr>
        <w:t xml:space="preserve">évaluation de la probabilité de </w:t>
      </w:r>
      <w:r w:rsidR="00817CF2" w:rsidRPr="00FB5D79">
        <w:rPr>
          <w:rFonts w:ascii="Times New Roman" w:hAnsi="Times New Roman" w:cs="Times New Roman"/>
          <w:szCs w:val="22"/>
        </w:rPr>
        <w:t>pérennité</w:t>
      </w:r>
      <w:r w:rsidR="007C6AF4" w:rsidRPr="00FB5D79">
        <w:rPr>
          <w:rFonts w:ascii="Times New Roman" w:hAnsi="Times New Roman" w:cs="Times New Roman"/>
          <w:szCs w:val="22"/>
        </w:rPr>
        <w:t xml:space="preserve"> des résultats obtenus</w:t>
      </w:r>
      <w:r w:rsidR="00186E50" w:rsidRPr="00FB5D79">
        <w:rPr>
          <w:rFonts w:ascii="Times New Roman" w:hAnsi="Times New Roman" w:cs="Times New Roman"/>
          <w:szCs w:val="22"/>
        </w:rPr>
        <w:t>;</w:t>
      </w:r>
    </w:p>
    <w:p w14:paraId="718A5F07" w14:textId="77777777" w:rsidR="007C6AF4" w:rsidRPr="00FB5D79" w:rsidRDefault="007C6AF4" w:rsidP="006B770B">
      <w:pPr>
        <w:ind w:left="567"/>
        <w:rPr>
          <w:rFonts w:ascii="Times New Roman" w:hAnsi="Times New Roman" w:cs="Times New Roman"/>
          <w:szCs w:val="22"/>
        </w:rPr>
      </w:pPr>
    </w:p>
    <w:p w14:paraId="7782B9B9" w14:textId="0E851C69" w:rsidR="00646944"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2.</w:t>
      </w:r>
      <w:r w:rsidRPr="00FB5D79">
        <w:rPr>
          <w:rFonts w:ascii="Times New Roman" w:hAnsi="Times New Roman" w:cs="Times New Roman"/>
          <w:szCs w:val="22"/>
        </w:rPr>
        <w:tab/>
        <w:t xml:space="preserve">Fournir </w:t>
      </w:r>
      <w:r w:rsidR="00F86541" w:rsidRPr="00FB5D79">
        <w:rPr>
          <w:rFonts w:ascii="Times New Roman" w:hAnsi="Times New Roman" w:cs="Times New Roman"/>
          <w:szCs w:val="22"/>
        </w:rPr>
        <w:t xml:space="preserve">des données </w:t>
      </w:r>
      <w:r w:rsidRPr="00FB5D79">
        <w:rPr>
          <w:rFonts w:ascii="Times New Roman" w:hAnsi="Times New Roman" w:cs="Times New Roman"/>
          <w:szCs w:val="22"/>
        </w:rPr>
        <w:t>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4A2FC3" w:rsidRPr="00FB5D79">
        <w:rPr>
          <w:rFonts w:ascii="Times New Roman" w:hAnsi="Times New Roman" w:cs="Times New Roman"/>
          <w:szCs w:val="22"/>
        </w:rPr>
        <w:t>factuelles</w:t>
      </w:r>
      <w:r w:rsidRPr="00FB5D79">
        <w:rPr>
          <w:rFonts w:ascii="Times New Roman" w:hAnsi="Times New Roman" w:cs="Times New Roman"/>
          <w:szCs w:val="22"/>
        </w:rPr>
        <w:t xml:space="preserve"> à l</w:t>
      </w:r>
      <w:r w:rsidR="00646944" w:rsidRPr="00FB5D79">
        <w:rPr>
          <w:rFonts w:ascii="Times New Roman" w:hAnsi="Times New Roman" w:cs="Times New Roman"/>
          <w:szCs w:val="22"/>
        </w:rPr>
        <w:t>’</w:t>
      </w:r>
      <w:r w:rsidRPr="00FB5D79">
        <w:rPr>
          <w:rFonts w:ascii="Times New Roman" w:hAnsi="Times New Roman" w:cs="Times New Roman"/>
          <w:szCs w:val="22"/>
        </w:rPr>
        <w:t xml:space="preserve">appui </w:t>
      </w:r>
      <w:r w:rsidR="00F86541" w:rsidRPr="00FB5D79">
        <w:rPr>
          <w:rFonts w:ascii="Times New Roman" w:hAnsi="Times New Roman" w:cs="Times New Roman"/>
          <w:szCs w:val="22"/>
        </w:rPr>
        <w:t>du processus décisionnel</w:t>
      </w:r>
      <w:r w:rsidR="00646944" w:rsidRPr="00FB5D79">
        <w:rPr>
          <w:rFonts w:ascii="Times New Roman" w:hAnsi="Times New Roman" w:cs="Times New Roman"/>
          <w:szCs w:val="22"/>
        </w:rPr>
        <w:t xml:space="preserve"> du CDI</w:t>
      </w:r>
      <w:r w:rsidRPr="00FB5D79">
        <w:rPr>
          <w:rFonts w:ascii="Times New Roman" w:hAnsi="Times New Roman" w:cs="Times New Roman"/>
          <w:szCs w:val="22"/>
        </w:rPr>
        <w:t>P.</w:t>
      </w:r>
    </w:p>
    <w:p w14:paraId="18B6908F" w14:textId="30ACFD6B" w:rsidR="00191437" w:rsidRPr="00FB5D79" w:rsidRDefault="00191437" w:rsidP="006B770B">
      <w:pPr>
        <w:rPr>
          <w:rFonts w:ascii="Times New Roman" w:hAnsi="Times New Roman" w:cs="Times New Roman"/>
          <w:szCs w:val="22"/>
        </w:rPr>
      </w:pPr>
    </w:p>
    <w:p w14:paraId="79F0FB8B" w14:textId="77777777" w:rsidR="00E23764" w:rsidRPr="00FB5D79" w:rsidRDefault="00E23764" w:rsidP="006B770B">
      <w:pPr>
        <w:rPr>
          <w:rFonts w:ascii="Times New Roman" w:hAnsi="Times New Roman" w:cs="Times New Roman"/>
          <w:szCs w:val="22"/>
        </w:rPr>
      </w:pPr>
      <w:r w:rsidRPr="00FB5D79">
        <w:rPr>
          <w:rFonts w:ascii="Times New Roman" w:hAnsi="Times New Roman" w:cs="Times New Roman"/>
          <w:szCs w:val="22"/>
        </w:rPr>
        <w:br w:type="page"/>
      </w:r>
    </w:p>
    <w:p w14:paraId="2ED486EE" w14:textId="2676274C" w:rsidR="00191437" w:rsidRPr="00FB5D79" w:rsidRDefault="00641CDC" w:rsidP="006B770B">
      <w:pPr>
        <w:rPr>
          <w:rFonts w:ascii="Times New Roman" w:hAnsi="Times New Roman" w:cs="Times New Roman"/>
          <w:szCs w:val="22"/>
        </w:rPr>
      </w:pPr>
      <w:r w:rsidRPr="00FB5D79">
        <w:rPr>
          <w:rFonts w:ascii="Times New Roman" w:hAnsi="Times New Roman" w:cs="Times New Roman"/>
          <w:szCs w:val="22"/>
        </w:rPr>
        <w:lastRenderedPageBreak/>
        <w:t>L</w:t>
      </w:r>
      <w:r w:rsidR="00646944" w:rsidRPr="00FB5D79">
        <w:rPr>
          <w:rFonts w:ascii="Times New Roman" w:hAnsi="Times New Roman" w:cs="Times New Roman"/>
          <w:szCs w:val="22"/>
        </w:rPr>
        <w:t>’</w:t>
      </w:r>
      <w:r w:rsidR="007C6AF4" w:rsidRPr="00FB5D79">
        <w:rPr>
          <w:rFonts w:ascii="Times New Roman" w:hAnsi="Times New Roman" w:cs="Times New Roman"/>
          <w:szCs w:val="22"/>
        </w:rPr>
        <w:t xml:space="preserve">évaluation </w:t>
      </w:r>
      <w:r w:rsidR="00864F65" w:rsidRPr="00FB5D79">
        <w:rPr>
          <w:rFonts w:ascii="Times New Roman" w:hAnsi="Times New Roman" w:cs="Times New Roman"/>
          <w:szCs w:val="22"/>
        </w:rPr>
        <w:t xml:space="preserve">visera </w:t>
      </w:r>
      <w:r w:rsidRPr="00FB5D79">
        <w:rPr>
          <w:rFonts w:ascii="Times New Roman" w:hAnsi="Times New Roman" w:cs="Times New Roman"/>
          <w:szCs w:val="22"/>
        </w:rPr>
        <w:t xml:space="preserve">notamment </w:t>
      </w:r>
      <w:r w:rsidR="00864F65" w:rsidRPr="00FB5D79">
        <w:rPr>
          <w:rFonts w:ascii="Times New Roman" w:hAnsi="Times New Roman" w:cs="Times New Roman"/>
          <w:szCs w:val="22"/>
        </w:rPr>
        <w:t>à déterminer dans quelle</w:t>
      </w:r>
      <w:r w:rsidR="007C6AF4" w:rsidRPr="00FB5D79">
        <w:rPr>
          <w:rFonts w:ascii="Times New Roman" w:hAnsi="Times New Roman" w:cs="Times New Roman"/>
          <w:szCs w:val="22"/>
        </w:rPr>
        <w:t xml:space="preserve"> mesure le projet</w:t>
      </w:r>
      <w:r w:rsidR="00922FE2" w:rsidRPr="00FB5D79">
        <w:rPr>
          <w:rFonts w:ascii="Times New Roman" w:hAnsi="Times New Roman" w:cs="Times New Roman"/>
          <w:szCs w:val="22"/>
        </w:rPr>
        <w:t xml:space="preserve"> a contribué à</w:t>
      </w:r>
      <w:r w:rsidR="00965F3A">
        <w:rPr>
          <w:rFonts w:ascii="Times New Roman" w:hAnsi="Times New Roman" w:cs="Times New Roman"/>
          <w:szCs w:val="22"/>
        </w:rPr>
        <w:t> :</w:t>
      </w:r>
    </w:p>
    <w:p w14:paraId="2A492F28" w14:textId="77777777" w:rsidR="00191437" w:rsidRPr="00FB5D79" w:rsidRDefault="00191437" w:rsidP="006B770B">
      <w:pPr>
        <w:rPr>
          <w:rFonts w:ascii="Times New Roman" w:hAnsi="Times New Roman" w:cs="Times New Roman"/>
          <w:szCs w:val="22"/>
        </w:rPr>
      </w:pPr>
    </w:p>
    <w:p w14:paraId="12F4DAAD" w14:textId="34D6841D" w:rsidR="007C6AF4" w:rsidRPr="00FB5D79" w:rsidRDefault="00191437" w:rsidP="006B770B">
      <w:pPr>
        <w:ind w:left="567"/>
        <w:rPr>
          <w:rFonts w:ascii="Times New Roman" w:hAnsi="Times New Roman" w:cs="Times New Roman"/>
          <w:szCs w:val="22"/>
        </w:rPr>
      </w:pPr>
      <w:r w:rsidRPr="00FB5D79">
        <w:rPr>
          <w:rFonts w:ascii="Times New Roman" w:hAnsi="Times New Roman" w:cs="Times New Roman"/>
          <w:szCs w:val="22"/>
        </w:rPr>
        <w:t>a)</w:t>
      </w:r>
      <w:r w:rsidRPr="00FB5D79">
        <w:rPr>
          <w:rFonts w:ascii="Times New Roman" w:hAnsi="Times New Roman" w:cs="Times New Roman"/>
          <w:szCs w:val="22"/>
        </w:rPr>
        <w:tab/>
      </w:r>
      <w:r w:rsidR="00922FE2" w:rsidRPr="00FB5D79">
        <w:rPr>
          <w:rFonts w:ascii="Times New Roman" w:hAnsi="Times New Roman" w:cs="Times New Roman"/>
          <w:szCs w:val="22"/>
        </w:rPr>
        <w:t>mieux cerner les</w:t>
      </w:r>
      <w:r w:rsidR="007C6AF4" w:rsidRPr="00FB5D79">
        <w:rPr>
          <w:rFonts w:ascii="Times New Roman" w:hAnsi="Times New Roman" w:cs="Times New Roman"/>
          <w:szCs w:val="22"/>
        </w:rPr>
        <w:t xml:space="preserve"> effets </w:t>
      </w:r>
      <w:r w:rsidR="005C35A9" w:rsidRPr="00FB5D79">
        <w:rPr>
          <w:rFonts w:ascii="Times New Roman" w:hAnsi="Times New Roman" w:cs="Times New Roman"/>
          <w:szCs w:val="22"/>
        </w:rPr>
        <w:t>socioéconomique</w:t>
      </w:r>
      <w:r w:rsidR="007C6AF4" w:rsidRPr="00FB5D79">
        <w:rPr>
          <w:rFonts w:ascii="Times New Roman" w:hAnsi="Times New Roman" w:cs="Times New Roman"/>
          <w:szCs w:val="22"/>
        </w:rPr>
        <w:t xml:space="preserve">s de la protection de la </w:t>
      </w:r>
      <w:r w:rsidR="00B6493F" w:rsidRPr="00FB5D79">
        <w:rPr>
          <w:rFonts w:ascii="Times New Roman" w:hAnsi="Times New Roman" w:cs="Times New Roman"/>
          <w:szCs w:val="22"/>
        </w:rPr>
        <w:t>propriété intellectuelle</w:t>
      </w:r>
      <w:r w:rsidR="007C6AF4" w:rsidRPr="00FB5D79">
        <w:rPr>
          <w:rFonts w:ascii="Times New Roman" w:hAnsi="Times New Roman" w:cs="Times New Roman"/>
          <w:szCs w:val="22"/>
        </w:rPr>
        <w:t xml:space="preserve"> dans les pays en développement</w:t>
      </w:r>
      <w:r w:rsidR="00186E50" w:rsidRPr="00FB5D79">
        <w:rPr>
          <w:rFonts w:ascii="Times New Roman" w:hAnsi="Times New Roman" w:cs="Times New Roman"/>
          <w:szCs w:val="22"/>
        </w:rPr>
        <w:t>;</w:t>
      </w:r>
    </w:p>
    <w:p w14:paraId="5675CC07" w14:textId="77777777" w:rsidR="007C6AF4" w:rsidRPr="00FB5D79" w:rsidRDefault="007C6AF4" w:rsidP="006B770B">
      <w:pPr>
        <w:ind w:left="567"/>
        <w:rPr>
          <w:rFonts w:ascii="Times New Roman" w:hAnsi="Times New Roman" w:cs="Times New Roman"/>
          <w:szCs w:val="22"/>
        </w:rPr>
      </w:pPr>
    </w:p>
    <w:p w14:paraId="5FD93696" w14:textId="7FBA08B7" w:rsidR="00191437"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 xml:space="preserve">b) </w:t>
      </w:r>
      <w:r w:rsidR="00922FE2" w:rsidRPr="00FB5D79">
        <w:rPr>
          <w:rFonts w:ascii="Times New Roman" w:hAnsi="Times New Roman" w:cs="Times New Roman"/>
          <w:szCs w:val="22"/>
        </w:rPr>
        <w:t xml:space="preserve">créer </w:t>
      </w:r>
      <w:r w:rsidRPr="00FB5D79">
        <w:rPr>
          <w:rFonts w:ascii="Times New Roman" w:hAnsi="Times New Roman" w:cs="Times New Roman"/>
          <w:szCs w:val="22"/>
        </w:rPr>
        <w:t>une capacité d</w:t>
      </w:r>
      <w:r w:rsidR="00646944" w:rsidRPr="00FB5D79">
        <w:rPr>
          <w:rFonts w:ascii="Times New Roman" w:hAnsi="Times New Roman" w:cs="Times New Roman"/>
          <w:szCs w:val="22"/>
        </w:rPr>
        <w:t>’</w:t>
      </w:r>
      <w:r w:rsidRPr="00FB5D79">
        <w:rPr>
          <w:rFonts w:ascii="Times New Roman" w:hAnsi="Times New Roman" w:cs="Times New Roman"/>
          <w:szCs w:val="22"/>
        </w:rPr>
        <w:t>analyse dans les pays où peu d</w:t>
      </w:r>
      <w:r w:rsidR="00646944" w:rsidRPr="00FB5D79">
        <w:rPr>
          <w:rFonts w:ascii="Times New Roman" w:hAnsi="Times New Roman" w:cs="Times New Roman"/>
          <w:szCs w:val="22"/>
        </w:rPr>
        <w:t>’</w:t>
      </w:r>
      <w:r w:rsidRPr="00FB5D79">
        <w:rPr>
          <w:rFonts w:ascii="Times New Roman" w:hAnsi="Times New Roman" w:cs="Times New Roman"/>
          <w:szCs w:val="22"/>
        </w:rPr>
        <w:t>études économiques sur la propriété intellectuelle ont été réalisées.</w:t>
      </w:r>
    </w:p>
    <w:p w14:paraId="2B100511" w14:textId="77777777" w:rsidR="00191437" w:rsidRPr="00FB5D79" w:rsidRDefault="00191437" w:rsidP="006B770B">
      <w:pPr>
        <w:rPr>
          <w:rFonts w:ascii="Times New Roman" w:hAnsi="Times New Roman" w:cs="Times New Roman"/>
          <w:bCs/>
          <w:szCs w:val="22"/>
        </w:rPr>
      </w:pPr>
    </w:p>
    <w:p w14:paraId="209F1839" w14:textId="0DC70C49" w:rsidR="00191437" w:rsidRPr="00FB5D79" w:rsidRDefault="007C6AF4" w:rsidP="006B770B">
      <w:pPr>
        <w:rPr>
          <w:rFonts w:ascii="Times New Roman" w:hAnsi="Times New Roman" w:cs="Times New Roman"/>
          <w:szCs w:val="22"/>
        </w:rPr>
      </w:pPr>
      <w:r w:rsidRPr="00FB5D79">
        <w:rPr>
          <w:rFonts w:ascii="Times New Roman" w:hAnsi="Times New Roman" w:cs="Times New Roman"/>
          <w:szCs w:val="22"/>
        </w:rPr>
        <w:t>À cette fin, l</w:t>
      </w:r>
      <w:r w:rsidR="00646944" w:rsidRPr="00FB5D79">
        <w:rPr>
          <w:rFonts w:ascii="Times New Roman" w:hAnsi="Times New Roman" w:cs="Times New Roman"/>
          <w:szCs w:val="22"/>
        </w:rPr>
        <w:t>’</w:t>
      </w:r>
      <w:r w:rsidR="00EE0FD5" w:rsidRPr="00FB5D79">
        <w:rPr>
          <w:rFonts w:ascii="Times New Roman" w:hAnsi="Times New Roman" w:cs="Times New Roman"/>
          <w:szCs w:val="22"/>
        </w:rPr>
        <w:t xml:space="preserve">évaluation </w:t>
      </w:r>
      <w:r w:rsidRPr="00FB5D79">
        <w:rPr>
          <w:rFonts w:ascii="Times New Roman" w:hAnsi="Times New Roman" w:cs="Times New Roman"/>
          <w:szCs w:val="22"/>
        </w:rPr>
        <w:t xml:space="preserve">portera </w:t>
      </w:r>
      <w:r w:rsidR="00EE0FD5" w:rsidRPr="00FB5D79">
        <w:rPr>
          <w:rFonts w:ascii="Times New Roman" w:hAnsi="Times New Roman" w:cs="Times New Roman"/>
          <w:szCs w:val="22"/>
        </w:rPr>
        <w:t xml:space="preserve">plus particulièrement </w:t>
      </w:r>
      <w:r w:rsidRPr="00FB5D79">
        <w:rPr>
          <w:rFonts w:ascii="Times New Roman" w:hAnsi="Times New Roman" w:cs="Times New Roman"/>
          <w:szCs w:val="22"/>
        </w:rPr>
        <w:t xml:space="preserve">sur les </w:t>
      </w:r>
      <w:r w:rsidR="00864F65" w:rsidRPr="00FB5D79">
        <w:rPr>
          <w:rFonts w:ascii="Times New Roman" w:hAnsi="Times New Roman" w:cs="Times New Roman"/>
          <w:szCs w:val="22"/>
        </w:rPr>
        <w:t>questions suivante</w:t>
      </w:r>
      <w:r w:rsidRPr="00FB5D79">
        <w:rPr>
          <w:rFonts w:ascii="Times New Roman" w:hAnsi="Times New Roman" w:cs="Times New Roman"/>
          <w:szCs w:val="22"/>
        </w:rPr>
        <w:t>s</w:t>
      </w:r>
      <w:r w:rsidR="00965F3A">
        <w:rPr>
          <w:rFonts w:ascii="Times New Roman" w:hAnsi="Times New Roman" w:cs="Times New Roman"/>
          <w:szCs w:val="22"/>
        </w:rPr>
        <w:t> :</w:t>
      </w:r>
    </w:p>
    <w:p w14:paraId="1270FB48" w14:textId="77777777" w:rsidR="00191437" w:rsidRPr="00FB5D79" w:rsidRDefault="00191437" w:rsidP="006B770B">
      <w:pPr>
        <w:outlineLvl w:val="0"/>
        <w:rPr>
          <w:rFonts w:ascii="Times New Roman" w:eastAsia="Times New Roman" w:hAnsi="Times New Roman" w:cs="Times New Roman"/>
          <w:szCs w:val="22"/>
        </w:rPr>
      </w:pPr>
    </w:p>
    <w:p w14:paraId="1364B1F4" w14:textId="33B4ADA9" w:rsidR="00191437" w:rsidRPr="001F00FB" w:rsidRDefault="007C6AF4" w:rsidP="001F00FB">
      <w:pPr>
        <w:rPr>
          <w:rFonts w:ascii="Times New Roman" w:hAnsi="Times New Roman" w:cs="Times New Roman"/>
          <w:b/>
        </w:rPr>
      </w:pPr>
      <w:bookmarkStart w:id="23" w:name="_Toc526862683"/>
      <w:bookmarkStart w:id="24" w:name="_Toc527290918"/>
      <w:bookmarkStart w:id="25" w:name="_Toc527290961"/>
      <w:bookmarkStart w:id="26" w:name="_Toc527451328"/>
      <w:bookmarkStart w:id="27" w:name="_Toc527556975"/>
      <w:r w:rsidRPr="001F00FB">
        <w:rPr>
          <w:rFonts w:ascii="Times New Roman" w:hAnsi="Times New Roman" w:cs="Times New Roman"/>
          <w:b/>
        </w:rPr>
        <w:t xml:space="preserve">Conception et gestion </w:t>
      </w:r>
      <w:r w:rsidR="00795E47" w:rsidRPr="001F00FB">
        <w:rPr>
          <w:rFonts w:ascii="Times New Roman" w:hAnsi="Times New Roman" w:cs="Times New Roman"/>
          <w:b/>
        </w:rPr>
        <w:t>du</w:t>
      </w:r>
      <w:r w:rsidRPr="001F00FB">
        <w:rPr>
          <w:rFonts w:ascii="Times New Roman" w:hAnsi="Times New Roman" w:cs="Times New Roman"/>
          <w:b/>
        </w:rPr>
        <w:t xml:space="preserve"> projet</w:t>
      </w:r>
      <w:bookmarkEnd w:id="23"/>
      <w:bookmarkEnd w:id="24"/>
      <w:bookmarkEnd w:id="25"/>
      <w:bookmarkEnd w:id="26"/>
      <w:bookmarkEnd w:id="27"/>
    </w:p>
    <w:p w14:paraId="190BAB58" w14:textId="77777777" w:rsidR="00191437" w:rsidRPr="00FB5D79" w:rsidRDefault="00191437" w:rsidP="006B770B">
      <w:pPr>
        <w:rPr>
          <w:rFonts w:ascii="Times New Roman" w:hAnsi="Times New Roman" w:cs="Times New Roman"/>
          <w:szCs w:val="22"/>
        </w:rPr>
      </w:pPr>
    </w:p>
    <w:p w14:paraId="19692B5A" w14:textId="5FC6C5C1" w:rsidR="007C6AF4" w:rsidRPr="00FB5D79" w:rsidRDefault="007C6AF4" w:rsidP="006B770B">
      <w:pPr>
        <w:pStyle w:val="ListParagraph"/>
        <w:numPr>
          <w:ilvl w:val="0"/>
          <w:numId w:val="33"/>
        </w:numPr>
        <w:ind w:left="567" w:firstLine="0"/>
        <w:rPr>
          <w:rFonts w:ascii="Times New Roman" w:hAnsi="Times New Roman" w:cs="Times New Roman"/>
          <w:szCs w:val="22"/>
        </w:rPr>
      </w:pPr>
      <w:r w:rsidRPr="00FB5D79">
        <w:rPr>
          <w:rFonts w:ascii="Times New Roman" w:hAnsi="Times New Roman" w:cs="Times New Roman"/>
          <w:szCs w:val="22"/>
        </w:rPr>
        <w:t xml:space="preserve">La pertinence du descriptif </w:t>
      </w:r>
      <w:r w:rsidR="00AD44DE" w:rsidRPr="00FB5D79">
        <w:rPr>
          <w:rFonts w:ascii="Times New Roman" w:hAnsi="Times New Roman" w:cs="Times New Roman"/>
          <w:szCs w:val="22"/>
        </w:rPr>
        <w:t>du</w:t>
      </w:r>
      <w:r w:rsidRPr="00FB5D79">
        <w:rPr>
          <w:rFonts w:ascii="Times New Roman" w:hAnsi="Times New Roman" w:cs="Times New Roman"/>
          <w:szCs w:val="22"/>
        </w:rPr>
        <w:t xml:space="preserve"> projet initial en tant que guide pour la mise en œuvre du projet et l</w:t>
      </w:r>
      <w:r w:rsidR="00646944" w:rsidRPr="00FB5D79">
        <w:rPr>
          <w:rFonts w:ascii="Times New Roman" w:hAnsi="Times New Roman" w:cs="Times New Roman"/>
          <w:szCs w:val="22"/>
        </w:rPr>
        <w:t>’</w:t>
      </w:r>
      <w:r w:rsidRPr="00FB5D79">
        <w:rPr>
          <w:rFonts w:ascii="Times New Roman" w:hAnsi="Times New Roman" w:cs="Times New Roman"/>
          <w:szCs w:val="22"/>
        </w:rPr>
        <w:t>évaluation des résultats obtenus</w:t>
      </w:r>
      <w:r w:rsidR="00186E50" w:rsidRPr="00FB5D79">
        <w:rPr>
          <w:rFonts w:ascii="Times New Roman" w:hAnsi="Times New Roman" w:cs="Times New Roman"/>
          <w:szCs w:val="22"/>
        </w:rPr>
        <w:t>;</w:t>
      </w:r>
    </w:p>
    <w:p w14:paraId="72B0DFA7" w14:textId="77777777" w:rsidR="007C6AF4" w:rsidRPr="00FB5D79" w:rsidRDefault="007C6AF4" w:rsidP="006B770B">
      <w:pPr>
        <w:ind w:left="567"/>
        <w:rPr>
          <w:rFonts w:ascii="Times New Roman" w:hAnsi="Times New Roman" w:cs="Times New Roman"/>
          <w:szCs w:val="22"/>
        </w:rPr>
      </w:pPr>
    </w:p>
    <w:p w14:paraId="06810035" w14:textId="0A5B1BD5" w:rsidR="007C6AF4"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2.</w:t>
      </w:r>
      <w:r w:rsidRPr="00FB5D79">
        <w:rPr>
          <w:rFonts w:ascii="Times New Roman" w:hAnsi="Times New Roman" w:cs="Times New Roman"/>
          <w:szCs w:val="22"/>
        </w:rPr>
        <w:tab/>
        <w:t>Les outils de suivi</w:t>
      </w:r>
      <w:r w:rsidR="00922FE2" w:rsidRPr="00FB5D79">
        <w:rPr>
          <w:rFonts w:ascii="Times New Roman" w:hAnsi="Times New Roman" w:cs="Times New Roman"/>
          <w:szCs w:val="22"/>
        </w:rPr>
        <w:t xml:space="preserve"> du projet</w:t>
      </w:r>
      <w:r w:rsidRPr="00FB5D79">
        <w:rPr>
          <w:rFonts w:ascii="Times New Roman" w:hAnsi="Times New Roman" w:cs="Times New Roman"/>
          <w:szCs w:val="22"/>
        </w:rPr>
        <w:t>, d</w:t>
      </w:r>
      <w:r w:rsidR="00646944" w:rsidRPr="00FB5D79">
        <w:rPr>
          <w:rFonts w:ascii="Times New Roman" w:hAnsi="Times New Roman" w:cs="Times New Roman"/>
          <w:szCs w:val="22"/>
        </w:rPr>
        <w:t>’</w:t>
      </w:r>
      <w:r w:rsidRPr="00FB5D79">
        <w:rPr>
          <w:rFonts w:ascii="Times New Roman" w:hAnsi="Times New Roman" w:cs="Times New Roman"/>
          <w:szCs w:val="22"/>
        </w:rPr>
        <w:t>auto</w:t>
      </w:r>
      <w:r w:rsidR="00965F3A">
        <w:rPr>
          <w:rFonts w:ascii="Times New Roman" w:hAnsi="Times New Roman" w:cs="Times New Roman"/>
          <w:szCs w:val="22"/>
        </w:rPr>
        <w:t>-</w:t>
      </w:r>
      <w:r w:rsidRPr="00FB5D79">
        <w:rPr>
          <w:rFonts w:ascii="Times New Roman" w:hAnsi="Times New Roman" w:cs="Times New Roman"/>
          <w:szCs w:val="22"/>
        </w:rPr>
        <w:t>évaluation et d</w:t>
      </w:r>
      <w:r w:rsidR="00646944" w:rsidRPr="00FB5D79">
        <w:rPr>
          <w:rFonts w:ascii="Times New Roman" w:hAnsi="Times New Roman" w:cs="Times New Roman"/>
          <w:szCs w:val="22"/>
        </w:rPr>
        <w:t>’</w:t>
      </w:r>
      <w:r w:rsidRPr="00FB5D79">
        <w:rPr>
          <w:rFonts w:ascii="Times New Roman" w:hAnsi="Times New Roman" w:cs="Times New Roman"/>
          <w:szCs w:val="22"/>
        </w:rPr>
        <w:t>établissement de rappor</w:t>
      </w:r>
      <w:r w:rsidR="00922FE2" w:rsidRPr="00FB5D79">
        <w:rPr>
          <w:rFonts w:ascii="Times New Roman" w:hAnsi="Times New Roman" w:cs="Times New Roman"/>
          <w:szCs w:val="22"/>
        </w:rPr>
        <w:t>ts</w:t>
      </w:r>
      <w:r w:rsidRPr="00FB5D79">
        <w:rPr>
          <w:rFonts w:ascii="Times New Roman" w:hAnsi="Times New Roman" w:cs="Times New Roman"/>
          <w:szCs w:val="22"/>
        </w:rPr>
        <w:t xml:space="preserve"> et l</w:t>
      </w:r>
      <w:r w:rsidR="00646944" w:rsidRPr="00FB5D79">
        <w:rPr>
          <w:rFonts w:ascii="Times New Roman" w:hAnsi="Times New Roman" w:cs="Times New Roman"/>
          <w:szCs w:val="22"/>
        </w:rPr>
        <w:t>’</w:t>
      </w:r>
      <w:r w:rsidRPr="00FB5D79">
        <w:rPr>
          <w:rFonts w:ascii="Times New Roman" w:hAnsi="Times New Roman" w:cs="Times New Roman"/>
          <w:szCs w:val="22"/>
        </w:rPr>
        <w:t xml:space="preserve">analyse de leur utilité et de leur adéquation </w:t>
      </w:r>
      <w:r w:rsidR="00DC5615" w:rsidRPr="00FB5D79">
        <w:rPr>
          <w:rFonts w:ascii="Times New Roman" w:hAnsi="Times New Roman" w:cs="Times New Roman"/>
          <w:szCs w:val="22"/>
        </w:rPr>
        <w:t>s</w:t>
      </w:r>
      <w:r w:rsidR="00646944" w:rsidRPr="00FB5D79">
        <w:rPr>
          <w:rFonts w:ascii="Times New Roman" w:hAnsi="Times New Roman" w:cs="Times New Roman"/>
          <w:szCs w:val="22"/>
        </w:rPr>
        <w:t>’</w:t>
      </w:r>
      <w:r w:rsidR="00DC5615" w:rsidRPr="00FB5D79">
        <w:rPr>
          <w:rFonts w:ascii="Times New Roman" w:hAnsi="Times New Roman" w:cs="Times New Roman"/>
          <w:szCs w:val="22"/>
        </w:rPr>
        <w:t>agissant de</w:t>
      </w:r>
      <w:r w:rsidRPr="00FB5D79">
        <w:rPr>
          <w:rFonts w:ascii="Times New Roman" w:hAnsi="Times New Roman" w:cs="Times New Roman"/>
          <w:szCs w:val="22"/>
        </w:rPr>
        <w:t xml:space="preserve"> fournir à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équipe </w:t>
      </w:r>
      <w:r w:rsidR="00922FE2" w:rsidRPr="00FB5D79">
        <w:rPr>
          <w:rFonts w:ascii="Times New Roman" w:hAnsi="Times New Roman" w:cs="Times New Roman"/>
          <w:szCs w:val="22"/>
        </w:rPr>
        <w:t>chargée du</w:t>
      </w:r>
      <w:r w:rsidRPr="00FB5D79">
        <w:rPr>
          <w:rFonts w:ascii="Times New Roman" w:hAnsi="Times New Roman" w:cs="Times New Roman"/>
          <w:szCs w:val="22"/>
        </w:rPr>
        <w:t xml:space="preserve"> projet et aux principales parties prenantes des informations </w:t>
      </w:r>
      <w:r w:rsidR="00DC5615" w:rsidRPr="00FB5D79">
        <w:rPr>
          <w:rFonts w:ascii="Times New Roman" w:hAnsi="Times New Roman" w:cs="Times New Roman"/>
          <w:szCs w:val="22"/>
        </w:rPr>
        <w:t>utiles à la prise de décisions</w:t>
      </w:r>
      <w:r w:rsidR="00186E50" w:rsidRPr="00FB5D79">
        <w:rPr>
          <w:rFonts w:ascii="Times New Roman" w:hAnsi="Times New Roman" w:cs="Times New Roman"/>
          <w:szCs w:val="22"/>
        </w:rPr>
        <w:t>;</w:t>
      </w:r>
    </w:p>
    <w:p w14:paraId="5C5A53CF" w14:textId="77777777" w:rsidR="007C6AF4" w:rsidRPr="00FB5D79" w:rsidRDefault="007C6AF4" w:rsidP="006B770B">
      <w:pPr>
        <w:ind w:left="567"/>
        <w:rPr>
          <w:rFonts w:ascii="Times New Roman" w:hAnsi="Times New Roman" w:cs="Times New Roman"/>
          <w:szCs w:val="22"/>
        </w:rPr>
      </w:pPr>
    </w:p>
    <w:p w14:paraId="104E0E95" w14:textId="112ABBD9" w:rsidR="007C6AF4"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3.</w:t>
      </w:r>
      <w:r w:rsidRPr="00FB5D79">
        <w:rPr>
          <w:rFonts w:ascii="Times New Roman" w:hAnsi="Times New Roman" w:cs="Times New Roman"/>
          <w:szCs w:val="22"/>
        </w:rPr>
        <w:tab/>
        <w:t>La mesure dans laquelle d</w:t>
      </w:r>
      <w:r w:rsidR="00646944" w:rsidRPr="00FB5D79">
        <w:rPr>
          <w:rFonts w:ascii="Times New Roman" w:hAnsi="Times New Roman" w:cs="Times New Roman"/>
          <w:szCs w:val="22"/>
        </w:rPr>
        <w:t>’</w:t>
      </w:r>
      <w:r w:rsidRPr="00FB5D79">
        <w:rPr>
          <w:rFonts w:ascii="Times New Roman" w:hAnsi="Times New Roman" w:cs="Times New Roman"/>
          <w:szCs w:val="22"/>
        </w:rPr>
        <w:t>autres entités au sein du Secrétariat ont contribué et permis une mise en œuvre efficace et efficiente du projet</w:t>
      </w:r>
      <w:r w:rsidR="00186E50" w:rsidRPr="00FB5D79">
        <w:rPr>
          <w:rFonts w:ascii="Times New Roman" w:hAnsi="Times New Roman" w:cs="Times New Roman"/>
          <w:szCs w:val="22"/>
        </w:rPr>
        <w:t>;</w:t>
      </w:r>
    </w:p>
    <w:p w14:paraId="1D923090" w14:textId="77777777" w:rsidR="007C6AF4" w:rsidRPr="00FB5D79" w:rsidRDefault="007C6AF4" w:rsidP="006B770B">
      <w:pPr>
        <w:ind w:left="567"/>
        <w:rPr>
          <w:rFonts w:ascii="Times New Roman" w:hAnsi="Times New Roman" w:cs="Times New Roman"/>
          <w:szCs w:val="22"/>
        </w:rPr>
      </w:pPr>
    </w:p>
    <w:p w14:paraId="0C5DD444" w14:textId="22011EE3" w:rsidR="007C6AF4"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4.</w:t>
      </w:r>
      <w:r w:rsidRPr="00FB5D79">
        <w:rPr>
          <w:rFonts w:ascii="Times New Roman" w:hAnsi="Times New Roman" w:cs="Times New Roman"/>
          <w:szCs w:val="22"/>
        </w:rPr>
        <w:tab/>
      </w:r>
      <w:r w:rsidR="00362026" w:rsidRPr="00FB5D79">
        <w:rPr>
          <w:rFonts w:ascii="Times New Roman" w:hAnsi="Times New Roman" w:cs="Times New Roman"/>
          <w:szCs w:val="22"/>
        </w:rPr>
        <w:t>dans quelle mesure</w:t>
      </w:r>
      <w:r w:rsidRPr="00FB5D79">
        <w:rPr>
          <w:rFonts w:ascii="Times New Roman" w:hAnsi="Times New Roman" w:cs="Times New Roman"/>
          <w:szCs w:val="22"/>
        </w:rPr>
        <w:t xml:space="preserve"> les risques </w:t>
      </w:r>
      <w:r w:rsidR="00B6493F" w:rsidRPr="00FB5D79">
        <w:rPr>
          <w:rFonts w:ascii="Times New Roman" w:hAnsi="Times New Roman" w:cs="Times New Roman"/>
          <w:szCs w:val="22"/>
        </w:rPr>
        <w:t>énumérés</w:t>
      </w:r>
      <w:r w:rsidRPr="00FB5D79">
        <w:rPr>
          <w:rFonts w:ascii="Times New Roman" w:hAnsi="Times New Roman" w:cs="Times New Roman"/>
          <w:szCs w:val="22"/>
        </w:rPr>
        <w:t xml:space="preserve"> dans le </w:t>
      </w:r>
      <w:r w:rsidR="00B6493F" w:rsidRPr="00FB5D79">
        <w:rPr>
          <w:rFonts w:ascii="Times New Roman" w:hAnsi="Times New Roman" w:cs="Times New Roman"/>
          <w:szCs w:val="22"/>
        </w:rPr>
        <w:t>descriptif du</w:t>
      </w:r>
      <w:r w:rsidRPr="00FB5D79">
        <w:rPr>
          <w:rFonts w:ascii="Times New Roman" w:hAnsi="Times New Roman" w:cs="Times New Roman"/>
          <w:szCs w:val="22"/>
        </w:rPr>
        <w:t xml:space="preserve"> projet initial se sont matérialisés ou ont été atténués</w:t>
      </w:r>
      <w:r w:rsidR="00186E50" w:rsidRPr="00FB5D79">
        <w:rPr>
          <w:rFonts w:ascii="Times New Roman" w:hAnsi="Times New Roman" w:cs="Times New Roman"/>
          <w:szCs w:val="22"/>
        </w:rPr>
        <w:t>;</w:t>
      </w:r>
    </w:p>
    <w:p w14:paraId="06A4E0EA" w14:textId="77777777" w:rsidR="007C6AF4" w:rsidRPr="00FB5D79" w:rsidRDefault="007C6AF4" w:rsidP="006B770B">
      <w:pPr>
        <w:ind w:left="567"/>
        <w:rPr>
          <w:rFonts w:ascii="Times New Roman" w:hAnsi="Times New Roman" w:cs="Times New Roman"/>
          <w:szCs w:val="22"/>
        </w:rPr>
      </w:pPr>
    </w:p>
    <w:p w14:paraId="1C3A66F5" w14:textId="2B5406BF" w:rsidR="00191437"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5.</w:t>
      </w:r>
      <w:r w:rsidRPr="00FB5D79">
        <w:rPr>
          <w:rFonts w:ascii="Times New Roman" w:hAnsi="Times New Roman" w:cs="Times New Roman"/>
          <w:szCs w:val="22"/>
        </w:rPr>
        <w:tab/>
        <w:t xml:space="preserve">La capacité </w:t>
      </w:r>
      <w:r w:rsidR="008B24BC" w:rsidRPr="00FB5D79">
        <w:rPr>
          <w:rFonts w:ascii="Times New Roman" w:hAnsi="Times New Roman" w:cs="Times New Roman"/>
          <w:szCs w:val="22"/>
        </w:rPr>
        <w:t>de réaction du</w:t>
      </w:r>
      <w:r w:rsidRPr="00FB5D79">
        <w:rPr>
          <w:rFonts w:ascii="Times New Roman" w:hAnsi="Times New Roman" w:cs="Times New Roman"/>
          <w:szCs w:val="22"/>
        </w:rPr>
        <w:t xml:space="preserve"> projet aux </w:t>
      </w:r>
      <w:r w:rsidR="008B24BC" w:rsidRPr="00FB5D79">
        <w:rPr>
          <w:rFonts w:ascii="Times New Roman" w:hAnsi="Times New Roman" w:cs="Times New Roman"/>
          <w:szCs w:val="22"/>
        </w:rPr>
        <w:t>tendances et</w:t>
      </w:r>
      <w:r w:rsidRPr="00FB5D79">
        <w:rPr>
          <w:rFonts w:ascii="Times New Roman" w:hAnsi="Times New Roman" w:cs="Times New Roman"/>
          <w:szCs w:val="22"/>
        </w:rPr>
        <w:t xml:space="preserve"> technologies </w:t>
      </w:r>
      <w:r w:rsidR="008B24BC" w:rsidRPr="00FB5D79">
        <w:rPr>
          <w:rFonts w:ascii="Times New Roman" w:hAnsi="Times New Roman" w:cs="Times New Roman"/>
          <w:szCs w:val="22"/>
        </w:rPr>
        <w:t xml:space="preserve">émergentes </w:t>
      </w:r>
      <w:r w:rsidRPr="00FB5D79">
        <w:rPr>
          <w:rFonts w:ascii="Times New Roman" w:hAnsi="Times New Roman" w:cs="Times New Roman"/>
          <w:szCs w:val="22"/>
        </w:rPr>
        <w:t xml:space="preserve">et </w:t>
      </w:r>
      <w:r w:rsidR="008B24BC" w:rsidRPr="00FB5D79">
        <w:rPr>
          <w:rFonts w:ascii="Times New Roman" w:hAnsi="Times New Roman" w:cs="Times New Roman"/>
          <w:szCs w:val="22"/>
        </w:rPr>
        <w:t xml:space="preserve">aux </w:t>
      </w:r>
      <w:r w:rsidRPr="00FB5D79">
        <w:rPr>
          <w:rFonts w:ascii="Times New Roman" w:hAnsi="Times New Roman" w:cs="Times New Roman"/>
          <w:szCs w:val="22"/>
        </w:rPr>
        <w:t xml:space="preserve">autres forces </w:t>
      </w:r>
      <w:r w:rsidR="00DD3D3A" w:rsidRPr="00FB5D79">
        <w:rPr>
          <w:rFonts w:ascii="Times New Roman" w:hAnsi="Times New Roman" w:cs="Times New Roman"/>
          <w:szCs w:val="22"/>
        </w:rPr>
        <w:t>extérieures</w:t>
      </w:r>
      <w:r w:rsidRPr="00FB5D79">
        <w:rPr>
          <w:rFonts w:ascii="Times New Roman" w:hAnsi="Times New Roman" w:cs="Times New Roman"/>
          <w:szCs w:val="22"/>
        </w:rPr>
        <w:t>.</w:t>
      </w:r>
    </w:p>
    <w:p w14:paraId="078C8D50" w14:textId="77777777" w:rsidR="00191437" w:rsidRPr="00FB5D79" w:rsidRDefault="00191437" w:rsidP="006B770B">
      <w:pPr>
        <w:rPr>
          <w:rFonts w:ascii="Times New Roman" w:hAnsi="Times New Roman" w:cs="Times New Roman"/>
          <w:szCs w:val="22"/>
        </w:rPr>
      </w:pPr>
    </w:p>
    <w:p w14:paraId="3615F467" w14:textId="7B5D2C6C" w:rsidR="00191437" w:rsidRPr="00CB0BA3" w:rsidRDefault="009B4D2C" w:rsidP="00CB0BA3">
      <w:pPr>
        <w:rPr>
          <w:rFonts w:ascii="Times New Roman" w:hAnsi="Times New Roman" w:cs="Times New Roman"/>
          <w:u w:val="single"/>
        </w:rPr>
      </w:pPr>
      <w:bookmarkStart w:id="28" w:name="_Toc526862684"/>
      <w:bookmarkStart w:id="29" w:name="_Toc527290919"/>
      <w:bookmarkStart w:id="30" w:name="_Toc527290962"/>
      <w:bookmarkStart w:id="31" w:name="_Toc527363681"/>
      <w:bookmarkStart w:id="32" w:name="_Toc527451286"/>
      <w:bookmarkStart w:id="33" w:name="_Toc527451329"/>
      <w:bookmarkStart w:id="34" w:name="_Toc527556976"/>
      <w:r w:rsidRPr="00CB0BA3">
        <w:rPr>
          <w:rFonts w:ascii="Times New Roman" w:hAnsi="Times New Roman" w:cs="Times New Roman"/>
          <w:u w:val="single"/>
        </w:rPr>
        <w:t>Efficacité</w:t>
      </w:r>
      <w:bookmarkEnd w:id="28"/>
      <w:bookmarkEnd w:id="29"/>
      <w:bookmarkEnd w:id="30"/>
      <w:bookmarkEnd w:id="31"/>
      <w:bookmarkEnd w:id="32"/>
      <w:bookmarkEnd w:id="33"/>
      <w:bookmarkEnd w:id="34"/>
    </w:p>
    <w:p w14:paraId="034DF20E" w14:textId="77777777" w:rsidR="00191437" w:rsidRPr="00FB5D79" w:rsidRDefault="00191437" w:rsidP="006B770B">
      <w:pPr>
        <w:rPr>
          <w:rFonts w:ascii="Times New Roman" w:hAnsi="Times New Roman" w:cs="Times New Roman"/>
          <w:szCs w:val="22"/>
        </w:rPr>
      </w:pPr>
    </w:p>
    <w:p w14:paraId="64B29703" w14:textId="1C615D25" w:rsidR="00646944" w:rsidRPr="00FB5D79" w:rsidRDefault="009B4D2C" w:rsidP="006B770B">
      <w:pPr>
        <w:numPr>
          <w:ilvl w:val="0"/>
          <w:numId w:val="23"/>
        </w:num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utilité du projet </w:t>
      </w:r>
      <w:r w:rsidR="008B24BC" w:rsidRPr="00FB5D79">
        <w:rPr>
          <w:rFonts w:ascii="Times New Roman" w:hAnsi="Times New Roman" w:cs="Times New Roman"/>
          <w:szCs w:val="22"/>
        </w:rPr>
        <w:t>s</w:t>
      </w:r>
      <w:r w:rsidR="00646944" w:rsidRPr="00FB5D79">
        <w:rPr>
          <w:rFonts w:ascii="Times New Roman" w:hAnsi="Times New Roman" w:cs="Times New Roman"/>
          <w:szCs w:val="22"/>
        </w:rPr>
        <w:t>’</w:t>
      </w:r>
      <w:r w:rsidR="008B24BC" w:rsidRPr="00FB5D79">
        <w:rPr>
          <w:rFonts w:ascii="Times New Roman" w:hAnsi="Times New Roman" w:cs="Times New Roman"/>
          <w:szCs w:val="22"/>
        </w:rPr>
        <w:t>agissant de contribuer à ce que les décideurs</w:t>
      </w:r>
      <w:r w:rsidRPr="00FB5D79">
        <w:rPr>
          <w:rFonts w:ascii="Times New Roman" w:hAnsi="Times New Roman" w:cs="Times New Roman"/>
          <w:szCs w:val="22"/>
        </w:rPr>
        <w:t xml:space="preserve"> </w:t>
      </w:r>
      <w:r w:rsidR="008B24BC" w:rsidRPr="00FB5D79">
        <w:rPr>
          <w:rFonts w:ascii="Times New Roman" w:hAnsi="Times New Roman" w:cs="Times New Roman"/>
          <w:szCs w:val="22"/>
        </w:rPr>
        <w:t>soient mieux informés des liens entre la propriété intellectuelle et la fuite des cerveaux et à ce qu</w:t>
      </w:r>
      <w:r w:rsidR="00646944" w:rsidRPr="00FB5D79">
        <w:rPr>
          <w:rFonts w:ascii="Times New Roman" w:hAnsi="Times New Roman" w:cs="Times New Roman"/>
          <w:szCs w:val="22"/>
        </w:rPr>
        <w:t>’</w:t>
      </w:r>
      <w:r w:rsidR="008B24BC" w:rsidRPr="00FB5D79">
        <w:rPr>
          <w:rFonts w:ascii="Times New Roman" w:hAnsi="Times New Roman" w:cs="Times New Roman"/>
          <w:szCs w:val="22"/>
        </w:rPr>
        <w:t>ils comprennent mieux cette problématique</w:t>
      </w:r>
      <w:r w:rsidR="00186E50" w:rsidRPr="00FB5D79">
        <w:rPr>
          <w:rFonts w:ascii="Times New Roman" w:hAnsi="Times New Roman" w:cs="Times New Roman"/>
          <w:szCs w:val="22"/>
        </w:rPr>
        <w:t>;</w:t>
      </w:r>
    </w:p>
    <w:p w14:paraId="047B1B46" w14:textId="30CED775" w:rsidR="00646944" w:rsidRPr="00FB5D79" w:rsidRDefault="009B4D2C" w:rsidP="006B770B">
      <w:pPr>
        <w:numPr>
          <w:ilvl w:val="0"/>
          <w:numId w:val="23"/>
        </w:num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efficacité du projet </w:t>
      </w:r>
      <w:r w:rsidR="008B1F39" w:rsidRPr="00FB5D79">
        <w:rPr>
          <w:rFonts w:ascii="Times New Roman" w:hAnsi="Times New Roman" w:cs="Times New Roman"/>
          <w:szCs w:val="22"/>
        </w:rPr>
        <w:t>s</w:t>
      </w:r>
      <w:r w:rsidR="00646944" w:rsidRPr="00FB5D79">
        <w:rPr>
          <w:rFonts w:ascii="Times New Roman" w:hAnsi="Times New Roman" w:cs="Times New Roman"/>
          <w:szCs w:val="22"/>
        </w:rPr>
        <w:t>’</w:t>
      </w:r>
      <w:r w:rsidR="008B1F39" w:rsidRPr="00FB5D79">
        <w:rPr>
          <w:rFonts w:ascii="Times New Roman" w:hAnsi="Times New Roman" w:cs="Times New Roman"/>
          <w:szCs w:val="22"/>
        </w:rPr>
        <w:t>agissant de l</w:t>
      </w:r>
      <w:r w:rsidR="00646944" w:rsidRPr="00FB5D79">
        <w:rPr>
          <w:rFonts w:ascii="Times New Roman" w:hAnsi="Times New Roman" w:cs="Times New Roman"/>
          <w:szCs w:val="22"/>
        </w:rPr>
        <w:t>’</w:t>
      </w:r>
      <w:r w:rsidRPr="00FB5D79">
        <w:rPr>
          <w:rFonts w:ascii="Times New Roman" w:hAnsi="Times New Roman" w:cs="Times New Roman"/>
          <w:szCs w:val="22"/>
        </w:rPr>
        <w:t xml:space="preserve">extension </w:t>
      </w:r>
      <w:r w:rsidR="008B1F39" w:rsidRPr="00FB5D79">
        <w:rPr>
          <w:rFonts w:ascii="Times New Roman" w:hAnsi="Times New Roman" w:cs="Times New Roman"/>
          <w:szCs w:val="22"/>
        </w:rPr>
        <w:t>de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étude à de nouveaux pays et régions non </w:t>
      </w:r>
      <w:r w:rsidR="008B1F39" w:rsidRPr="00FB5D79">
        <w:rPr>
          <w:rFonts w:ascii="Times New Roman" w:hAnsi="Times New Roman" w:cs="Times New Roman"/>
          <w:szCs w:val="22"/>
        </w:rPr>
        <w:t>traités au cours de la</w:t>
      </w:r>
      <w:r w:rsidRPr="00FB5D79">
        <w:rPr>
          <w:rFonts w:ascii="Times New Roman" w:hAnsi="Times New Roman" w:cs="Times New Roman"/>
          <w:szCs w:val="22"/>
        </w:rPr>
        <w:t xml:space="preserve"> phase</w:t>
      </w:r>
      <w:r w:rsidR="008B1F39" w:rsidRPr="00FB5D79">
        <w:rPr>
          <w:rFonts w:ascii="Times New Roman" w:hAnsi="Times New Roman" w:cs="Times New Roman"/>
          <w:szCs w:val="22"/>
        </w:rPr>
        <w:t> I</w:t>
      </w:r>
      <w:r w:rsidRPr="00FB5D79">
        <w:rPr>
          <w:rFonts w:ascii="Times New Roman" w:hAnsi="Times New Roman" w:cs="Times New Roman"/>
          <w:szCs w:val="22"/>
        </w:rPr>
        <w:t>.</w:t>
      </w:r>
    </w:p>
    <w:p w14:paraId="7FFDFE1E" w14:textId="436CB212" w:rsidR="009B4D2C" w:rsidRPr="00FB5D79" w:rsidRDefault="0028138E" w:rsidP="006B770B">
      <w:pPr>
        <w:numPr>
          <w:ilvl w:val="0"/>
          <w:numId w:val="23"/>
        </w:num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009B4D2C" w:rsidRPr="00FB5D79">
        <w:rPr>
          <w:rFonts w:ascii="Times New Roman" w:hAnsi="Times New Roman" w:cs="Times New Roman"/>
          <w:szCs w:val="22"/>
        </w:rPr>
        <w:t>efficacité du projet</w:t>
      </w:r>
      <w:r w:rsidRPr="00FB5D79">
        <w:rPr>
          <w:rFonts w:ascii="Times New Roman" w:hAnsi="Times New Roman" w:cs="Times New Roman"/>
          <w:szCs w:val="22"/>
        </w:rPr>
        <w:t xml:space="preserve"> s</w:t>
      </w:r>
      <w:r w:rsidR="00646944" w:rsidRPr="00FB5D79">
        <w:rPr>
          <w:rFonts w:ascii="Times New Roman" w:hAnsi="Times New Roman" w:cs="Times New Roman"/>
          <w:szCs w:val="22"/>
        </w:rPr>
        <w:t>’</w:t>
      </w:r>
      <w:r w:rsidRPr="00FB5D79">
        <w:rPr>
          <w:rFonts w:ascii="Times New Roman" w:hAnsi="Times New Roman" w:cs="Times New Roman"/>
          <w:szCs w:val="22"/>
        </w:rPr>
        <w:t>agissant</w:t>
      </w:r>
      <w:r w:rsidR="009B4D2C" w:rsidRPr="00FB5D79">
        <w:rPr>
          <w:rFonts w:ascii="Times New Roman" w:hAnsi="Times New Roman" w:cs="Times New Roman"/>
          <w:szCs w:val="22"/>
        </w:rPr>
        <w:t xml:space="preserve"> de créer une capacité d</w:t>
      </w:r>
      <w:r w:rsidR="00646944" w:rsidRPr="00FB5D79">
        <w:rPr>
          <w:rFonts w:ascii="Times New Roman" w:hAnsi="Times New Roman" w:cs="Times New Roman"/>
          <w:szCs w:val="22"/>
        </w:rPr>
        <w:t>’</w:t>
      </w:r>
      <w:r w:rsidR="009B4D2C" w:rsidRPr="00FB5D79">
        <w:rPr>
          <w:rFonts w:ascii="Times New Roman" w:hAnsi="Times New Roman" w:cs="Times New Roman"/>
          <w:szCs w:val="22"/>
        </w:rPr>
        <w:t>analyse dans les pays où peu d</w:t>
      </w:r>
      <w:r w:rsidR="00646944" w:rsidRPr="00FB5D79">
        <w:rPr>
          <w:rFonts w:ascii="Times New Roman" w:hAnsi="Times New Roman" w:cs="Times New Roman"/>
          <w:szCs w:val="22"/>
        </w:rPr>
        <w:t>’</w:t>
      </w:r>
      <w:r w:rsidR="009B4D2C" w:rsidRPr="00FB5D79">
        <w:rPr>
          <w:rFonts w:ascii="Times New Roman" w:hAnsi="Times New Roman" w:cs="Times New Roman"/>
          <w:szCs w:val="22"/>
        </w:rPr>
        <w:t xml:space="preserve">études économiques sur la propriété intellectuelle ont été </w:t>
      </w:r>
      <w:proofErr w:type="gramStart"/>
      <w:r w:rsidR="00111F2B" w:rsidRPr="00FB5D79">
        <w:rPr>
          <w:rFonts w:ascii="Times New Roman" w:hAnsi="Times New Roman" w:cs="Times New Roman"/>
          <w:szCs w:val="22"/>
        </w:rPr>
        <w:t>réalisées</w:t>
      </w:r>
      <w:r w:rsidR="00186E50" w:rsidRPr="00FB5D79">
        <w:rPr>
          <w:rFonts w:ascii="Times New Roman" w:hAnsi="Times New Roman" w:cs="Times New Roman"/>
          <w:szCs w:val="22"/>
        </w:rPr>
        <w:t>;</w:t>
      </w:r>
      <w:r w:rsidR="009B4D2C" w:rsidRPr="00FB5D79">
        <w:rPr>
          <w:rFonts w:ascii="Times New Roman" w:hAnsi="Times New Roman" w:cs="Times New Roman"/>
          <w:szCs w:val="22"/>
        </w:rPr>
        <w:t xml:space="preserve"> </w:t>
      </w:r>
      <w:r w:rsidR="000E4777" w:rsidRPr="00FB5D79">
        <w:rPr>
          <w:rFonts w:ascii="Times New Roman" w:hAnsi="Times New Roman" w:cs="Times New Roman"/>
          <w:szCs w:val="22"/>
        </w:rPr>
        <w:t xml:space="preserve"> </w:t>
      </w:r>
      <w:r w:rsidR="009B4D2C" w:rsidRPr="00FB5D79">
        <w:rPr>
          <w:rFonts w:ascii="Times New Roman" w:hAnsi="Times New Roman" w:cs="Times New Roman"/>
          <w:szCs w:val="22"/>
        </w:rPr>
        <w:t>et</w:t>
      </w:r>
      <w:proofErr w:type="gramEnd"/>
    </w:p>
    <w:p w14:paraId="5250DF7E" w14:textId="56C54F7D" w:rsidR="00191437" w:rsidRPr="00FB5D79" w:rsidRDefault="009B4D2C" w:rsidP="006B770B">
      <w:pPr>
        <w:numPr>
          <w:ilvl w:val="0"/>
          <w:numId w:val="23"/>
        </w:numPr>
        <w:rPr>
          <w:rFonts w:ascii="Times New Roman" w:hAnsi="Times New Roman" w:cs="Times New Roman"/>
          <w:i/>
          <w:iCs/>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efficacité du projet </w:t>
      </w:r>
      <w:r w:rsidR="0028138E" w:rsidRPr="00FB5D79">
        <w:rPr>
          <w:rFonts w:ascii="Times New Roman" w:hAnsi="Times New Roman" w:cs="Times New Roman"/>
          <w:szCs w:val="22"/>
        </w:rPr>
        <w:t>s</w:t>
      </w:r>
      <w:r w:rsidR="00646944" w:rsidRPr="00FB5D79">
        <w:rPr>
          <w:rFonts w:ascii="Times New Roman" w:hAnsi="Times New Roman" w:cs="Times New Roman"/>
          <w:szCs w:val="22"/>
        </w:rPr>
        <w:t>’</w:t>
      </w:r>
      <w:r w:rsidR="0028138E" w:rsidRPr="00FB5D79">
        <w:rPr>
          <w:rFonts w:ascii="Times New Roman" w:hAnsi="Times New Roman" w:cs="Times New Roman"/>
          <w:szCs w:val="22"/>
        </w:rPr>
        <w:t xml:space="preserve">agissant </w:t>
      </w:r>
      <w:r w:rsidRPr="00FB5D79">
        <w:rPr>
          <w:rFonts w:ascii="Times New Roman" w:hAnsi="Times New Roman" w:cs="Times New Roman"/>
          <w:szCs w:val="22"/>
        </w:rPr>
        <w:t xml:space="preserve">de contribuer à une prise de décision </w:t>
      </w:r>
      <w:r w:rsidR="00111F2B" w:rsidRPr="00FB5D79">
        <w:rPr>
          <w:rFonts w:ascii="Times New Roman" w:hAnsi="Times New Roman" w:cs="Times New Roman"/>
          <w:szCs w:val="22"/>
        </w:rPr>
        <w:t>plus éclairée</w:t>
      </w:r>
      <w:r w:rsidRPr="00FB5D79">
        <w:rPr>
          <w:rFonts w:ascii="Times New Roman" w:hAnsi="Times New Roman" w:cs="Times New Roman"/>
          <w:szCs w:val="22"/>
        </w:rPr>
        <w:t xml:space="preserve"> sur les politiques de propriété intellectuelle aux niveaux national et international.</w:t>
      </w:r>
    </w:p>
    <w:p w14:paraId="039AC98E" w14:textId="77777777" w:rsidR="00191437" w:rsidRPr="00FB5D79" w:rsidRDefault="00191437" w:rsidP="006B770B">
      <w:pPr>
        <w:rPr>
          <w:rFonts w:ascii="Times New Roman" w:hAnsi="Times New Roman" w:cs="Times New Roman"/>
          <w:i/>
          <w:iCs/>
          <w:szCs w:val="22"/>
        </w:rPr>
      </w:pPr>
    </w:p>
    <w:p w14:paraId="64330BD3" w14:textId="49E570B3" w:rsidR="00191437" w:rsidRPr="00FB5D79" w:rsidRDefault="00817CF2" w:rsidP="006B770B">
      <w:pPr>
        <w:spacing w:after="220"/>
        <w:rPr>
          <w:rFonts w:ascii="Times New Roman" w:hAnsi="Times New Roman" w:cs="Times New Roman"/>
          <w:i/>
          <w:iCs/>
          <w:szCs w:val="22"/>
          <w:u w:val="single"/>
        </w:rPr>
      </w:pPr>
      <w:r w:rsidRPr="00FB5D79">
        <w:rPr>
          <w:rFonts w:ascii="Times New Roman" w:hAnsi="Times New Roman" w:cs="Times New Roman"/>
          <w:szCs w:val="22"/>
          <w:u w:val="single"/>
        </w:rPr>
        <w:t>Pérennité</w:t>
      </w:r>
    </w:p>
    <w:p w14:paraId="519FBF32" w14:textId="660D8CD7" w:rsidR="009B4D2C" w:rsidRPr="00FB5D79" w:rsidRDefault="009B4D2C" w:rsidP="00553827">
      <w:pPr>
        <w:numPr>
          <w:ilvl w:val="0"/>
          <w:numId w:val="26"/>
        </w:numPr>
        <w:ind w:left="1134" w:hanging="567"/>
        <w:rPr>
          <w:rFonts w:ascii="Times New Roman" w:hAnsi="Times New Roman" w:cs="Times New Roman"/>
          <w:szCs w:val="22"/>
        </w:rPr>
      </w:pPr>
      <w:r w:rsidRPr="00FB5D79">
        <w:rPr>
          <w:rFonts w:ascii="Times New Roman" w:hAnsi="Times New Roman" w:cs="Times New Roman"/>
          <w:szCs w:val="22"/>
        </w:rPr>
        <w:t xml:space="preserve">La probabilité de </w:t>
      </w:r>
      <w:r w:rsidR="001F46A5" w:rsidRPr="00FB5D79">
        <w:rPr>
          <w:rFonts w:ascii="Times New Roman" w:hAnsi="Times New Roman" w:cs="Times New Roman"/>
          <w:szCs w:val="22"/>
        </w:rPr>
        <w:t>continuité</w:t>
      </w:r>
      <w:r w:rsidRPr="00FB5D79">
        <w:rPr>
          <w:rFonts w:ascii="Times New Roman" w:hAnsi="Times New Roman" w:cs="Times New Roman"/>
          <w:szCs w:val="22"/>
        </w:rPr>
        <w:t xml:space="preserve"> des </w:t>
      </w:r>
      <w:r w:rsidR="00A76834" w:rsidRPr="00FB5D79">
        <w:rPr>
          <w:rFonts w:ascii="Times New Roman" w:hAnsi="Times New Roman" w:cs="Times New Roman"/>
          <w:szCs w:val="22"/>
        </w:rPr>
        <w:t>études</w:t>
      </w:r>
      <w:r w:rsidRPr="00FB5D79">
        <w:rPr>
          <w:rFonts w:ascii="Times New Roman" w:hAnsi="Times New Roman" w:cs="Times New Roman"/>
          <w:szCs w:val="22"/>
        </w:rPr>
        <w:t xml:space="preserve"> sur la propriété intellectuelle et le développement </w:t>
      </w:r>
      <w:r w:rsidR="005C35A9" w:rsidRPr="00FB5D79">
        <w:rPr>
          <w:rFonts w:ascii="Times New Roman" w:hAnsi="Times New Roman" w:cs="Times New Roman"/>
          <w:szCs w:val="22"/>
        </w:rPr>
        <w:t>socioéconomique</w:t>
      </w:r>
      <w:r w:rsidRPr="00FB5D79">
        <w:rPr>
          <w:rFonts w:ascii="Times New Roman" w:hAnsi="Times New Roman" w:cs="Times New Roman"/>
          <w:szCs w:val="22"/>
        </w:rPr>
        <w:t xml:space="preserve"> à l</w:t>
      </w:r>
      <w:r w:rsidR="00646944" w:rsidRPr="00FB5D79">
        <w:rPr>
          <w:rFonts w:ascii="Times New Roman" w:hAnsi="Times New Roman" w:cs="Times New Roman"/>
          <w:szCs w:val="22"/>
        </w:rPr>
        <w:t>’</w:t>
      </w:r>
      <w:r w:rsidRPr="00FB5D79">
        <w:rPr>
          <w:rFonts w:ascii="Times New Roman" w:hAnsi="Times New Roman" w:cs="Times New Roman"/>
          <w:szCs w:val="22"/>
        </w:rPr>
        <w:t>OMPI et dans ses États membres</w:t>
      </w:r>
      <w:r w:rsidR="00186E50" w:rsidRPr="00FB5D79">
        <w:rPr>
          <w:rFonts w:ascii="Times New Roman" w:hAnsi="Times New Roman" w:cs="Times New Roman"/>
          <w:szCs w:val="22"/>
        </w:rPr>
        <w:t>;</w:t>
      </w:r>
    </w:p>
    <w:p w14:paraId="7876B48E" w14:textId="77777777" w:rsidR="009B4D2C" w:rsidRPr="00FB5D79" w:rsidRDefault="009B4D2C" w:rsidP="00553827">
      <w:pPr>
        <w:ind w:left="1134" w:hanging="567"/>
        <w:rPr>
          <w:rFonts w:ascii="Times New Roman" w:hAnsi="Times New Roman" w:cs="Times New Roman"/>
          <w:szCs w:val="22"/>
        </w:rPr>
      </w:pPr>
    </w:p>
    <w:p w14:paraId="7D0BCF98" w14:textId="77777777" w:rsidR="00646944" w:rsidRDefault="001F46A5" w:rsidP="00553827">
      <w:pPr>
        <w:numPr>
          <w:ilvl w:val="0"/>
          <w:numId w:val="26"/>
        </w:numPr>
        <w:ind w:left="1134" w:hanging="567"/>
        <w:rPr>
          <w:rFonts w:ascii="Times New Roman" w:hAnsi="Times New Roman" w:cs="Times New Roman"/>
          <w:szCs w:val="22"/>
        </w:rPr>
      </w:pPr>
      <w:r w:rsidRPr="00FB5D79">
        <w:rPr>
          <w:rFonts w:ascii="Times New Roman" w:hAnsi="Times New Roman" w:cs="Times New Roman"/>
          <w:szCs w:val="22"/>
        </w:rPr>
        <w:t xml:space="preserve">Dans quelle mesure </w:t>
      </w:r>
      <w:r w:rsidR="009B4D2C" w:rsidRPr="00FB5D79">
        <w:rPr>
          <w:rFonts w:ascii="Times New Roman" w:hAnsi="Times New Roman" w:cs="Times New Roman"/>
          <w:szCs w:val="22"/>
        </w:rPr>
        <w:t xml:space="preserve">le projet a contribué à promouvoir la </w:t>
      </w:r>
      <w:r w:rsidR="00312D63" w:rsidRPr="00FB5D79">
        <w:rPr>
          <w:rFonts w:ascii="Times New Roman" w:hAnsi="Times New Roman" w:cs="Times New Roman"/>
          <w:szCs w:val="22"/>
        </w:rPr>
        <w:t>continuité des recherches entamées lors de la phase I</w:t>
      </w:r>
      <w:r w:rsidR="009B4D2C" w:rsidRPr="00FB5D79">
        <w:rPr>
          <w:rFonts w:ascii="Times New Roman" w:hAnsi="Times New Roman" w:cs="Times New Roman"/>
          <w:szCs w:val="22"/>
        </w:rPr>
        <w:t xml:space="preserve"> du projet.</w:t>
      </w:r>
    </w:p>
    <w:p w14:paraId="489742CC" w14:textId="77777777" w:rsidR="004F455A" w:rsidRPr="00FB5D79" w:rsidRDefault="004F455A" w:rsidP="004F455A">
      <w:pPr>
        <w:rPr>
          <w:rFonts w:ascii="Times New Roman" w:hAnsi="Times New Roman" w:cs="Times New Roman"/>
          <w:szCs w:val="22"/>
        </w:rPr>
      </w:pPr>
    </w:p>
    <w:p w14:paraId="1A82F83B" w14:textId="402F0D6C" w:rsidR="00646944" w:rsidRPr="004F455A" w:rsidRDefault="00922FE2" w:rsidP="004F455A">
      <w:pPr>
        <w:rPr>
          <w:rFonts w:ascii="Times New Roman" w:hAnsi="Times New Roman" w:cs="Times New Roman"/>
          <w:b/>
          <w:szCs w:val="22"/>
        </w:rPr>
      </w:pPr>
      <w:bookmarkStart w:id="35" w:name="_Toc522646154"/>
      <w:bookmarkStart w:id="36" w:name="_Toc524511899"/>
      <w:bookmarkStart w:id="37" w:name="_Toc524512439"/>
      <w:bookmarkStart w:id="38" w:name="_Toc524513065"/>
      <w:bookmarkStart w:id="39" w:name="_Toc524513086"/>
      <w:bookmarkStart w:id="40" w:name="_Toc524709164"/>
      <w:bookmarkStart w:id="41" w:name="_Toc524709577"/>
      <w:bookmarkStart w:id="42" w:name="_Toc526862685"/>
      <w:bookmarkStart w:id="43" w:name="_Toc527290920"/>
      <w:bookmarkStart w:id="44" w:name="_Toc527290963"/>
      <w:bookmarkStart w:id="45" w:name="_Toc527363682"/>
      <w:bookmarkStart w:id="46" w:name="_Toc527451287"/>
      <w:bookmarkStart w:id="47" w:name="_Toc527451330"/>
      <w:bookmarkStart w:id="48" w:name="_Toc527556977"/>
      <w:r w:rsidRPr="004F455A">
        <w:rPr>
          <w:rFonts w:ascii="Times New Roman" w:hAnsi="Times New Roman" w:cs="Times New Roman"/>
          <w:b/>
          <w:szCs w:val="22"/>
        </w:rPr>
        <w:t>M</w:t>
      </w:r>
      <w:r w:rsidR="00D822F9" w:rsidRPr="004F455A">
        <w:rPr>
          <w:rFonts w:ascii="Times New Roman" w:hAnsi="Times New Roman" w:cs="Times New Roman"/>
          <w:b/>
          <w:szCs w:val="22"/>
        </w:rPr>
        <w:t>ise en œuvre des recommandations du Plan d</w:t>
      </w:r>
      <w:r w:rsidR="00646944" w:rsidRPr="004F455A">
        <w:rPr>
          <w:rFonts w:ascii="Times New Roman" w:hAnsi="Times New Roman" w:cs="Times New Roman"/>
          <w:b/>
          <w:szCs w:val="22"/>
        </w:rPr>
        <w:t>’</w:t>
      </w:r>
      <w:r w:rsidR="00D822F9" w:rsidRPr="004F455A">
        <w:rPr>
          <w:rFonts w:ascii="Times New Roman" w:hAnsi="Times New Roman" w:cs="Times New Roman"/>
          <w:b/>
          <w:szCs w:val="22"/>
        </w:rPr>
        <w:t>action pour le développement</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635CC22" w14:textId="4927E4D7" w:rsidR="00191437" w:rsidRPr="00FB5D79" w:rsidRDefault="00191437" w:rsidP="006B770B">
      <w:pPr>
        <w:rPr>
          <w:rFonts w:ascii="Times New Roman" w:hAnsi="Times New Roman" w:cs="Times New Roman"/>
          <w:szCs w:val="22"/>
        </w:rPr>
      </w:pPr>
    </w:p>
    <w:p w14:paraId="6DBE16B2" w14:textId="189BC328" w:rsidR="00646944" w:rsidRPr="00FB5D79" w:rsidRDefault="001F46A5" w:rsidP="006B770B">
      <w:pPr>
        <w:spacing w:after="220"/>
        <w:rPr>
          <w:rFonts w:ascii="Times New Roman" w:hAnsi="Times New Roman" w:cs="Times New Roman"/>
          <w:szCs w:val="22"/>
        </w:rPr>
      </w:pPr>
      <w:r w:rsidRPr="00FB5D79">
        <w:rPr>
          <w:rFonts w:ascii="Times New Roman" w:hAnsi="Times New Roman" w:cs="Times New Roman"/>
          <w:szCs w:val="22"/>
        </w:rPr>
        <w:t>Dans quelle mesure</w:t>
      </w:r>
      <w:r w:rsidR="00D822F9" w:rsidRPr="00FB5D79">
        <w:rPr>
          <w:rFonts w:ascii="Times New Roman" w:hAnsi="Times New Roman" w:cs="Times New Roman"/>
          <w:szCs w:val="22"/>
        </w:rPr>
        <w:t xml:space="preserve"> les recommandations </w:t>
      </w:r>
      <w:r w:rsidR="00242808" w:rsidRPr="00FB5D79">
        <w:rPr>
          <w:rFonts w:ascii="Times New Roman" w:hAnsi="Times New Roman" w:cs="Times New Roman"/>
          <w:szCs w:val="22"/>
        </w:rPr>
        <w:t>n° </w:t>
      </w:r>
      <w:r w:rsidR="00D822F9" w:rsidRPr="00FB5D79">
        <w:rPr>
          <w:rFonts w:ascii="Times New Roman" w:hAnsi="Times New Roman" w:cs="Times New Roman"/>
          <w:szCs w:val="22"/>
        </w:rPr>
        <w:t xml:space="preserve">35 et </w:t>
      </w:r>
      <w:r w:rsidR="00242808" w:rsidRPr="00FB5D79">
        <w:rPr>
          <w:rFonts w:ascii="Times New Roman" w:hAnsi="Times New Roman" w:cs="Times New Roman"/>
          <w:szCs w:val="22"/>
        </w:rPr>
        <w:t>n° </w:t>
      </w:r>
      <w:r w:rsidR="00D822F9" w:rsidRPr="00FB5D79">
        <w:rPr>
          <w:rFonts w:ascii="Times New Roman" w:hAnsi="Times New Roman" w:cs="Times New Roman"/>
          <w:szCs w:val="22"/>
        </w:rPr>
        <w:t xml:space="preserve">37 </w:t>
      </w:r>
      <w:r w:rsidR="00242808" w:rsidRPr="00FB5D79">
        <w:rPr>
          <w:rFonts w:ascii="Times New Roman" w:hAnsi="Times New Roman" w:cs="Times New Roman"/>
          <w:szCs w:val="22"/>
        </w:rPr>
        <w:t>du Plan d</w:t>
      </w:r>
      <w:r w:rsidR="00646944" w:rsidRPr="00FB5D79">
        <w:rPr>
          <w:rFonts w:ascii="Times New Roman" w:hAnsi="Times New Roman" w:cs="Times New Roman"/>
          <w:szCs w:val="22"/>
        </w:rPr>
        <w:t>’</w:t>
      </w:r>
      <w:r w:rsidR="00242808" w:rsidRPr="00FB5D79">
        <w:rPr>
          <w:rFonts w:ascii="Times New Roman" w:hAnsi="Times New Roman" w:cs="Times New Roman"/>
          <w:szCs w:val="22"/>
        </w:rPr>
        <w:t>action pour le développement</w:t>
      </w:r>
      <w:r w:rsidR="00D822F9" w:rsidRPr="00FB5D79">
        <w:rPr>
          <w:rFonts w:ascii="Times New Roman" w:hAnsi="Times New Roman" w:cs="Times New Roman"/>
          <w:szCs w:val="22"/>
        </w:rPr>
        <w:t xml:space="preserve"> ont été mises en œuvre dans le cadre de ce projet.</w:t>
      </w:r>
    </w:p>
    <w:p w14:paraId="3604DD39" w14:textId="313347E0" w:rsidR="00D822F9" w:rsidRPr="00FB5D79" w:rsidRDefault="00D822F9" w:rsidP="006B770B">
      <w:pPr>
        <w:spacing w:after="220"/>
        <w:rPr>
          <w:rFonts w:ascii="Times New Roman" w:hAnsi="Times New Roman" w:cs="Times New Roman"/>
          <w:szCs w:val="22"/>
        </w:rPr>
      </w:pPr>
      <w:r w:rsidRPr="00FB5D79">
        <w:rPr>
          <w:rFonts w:ascii="Times New Roman" w:hAnsi="Times New Roman" w:cs="Times New Roman"/>
          <w:szCs w:val="22"/>
        </w:rPr>
        <w:t xml:space="preserve">Le calendrier </w:t>
      </w:r>
      <w:r w:rsidR="00ED0B1F" w:rsidRPr="00FB5D79">
        <w:rPr>
          <w:rFonts w:ascii="Times New Roman" w:hAnsi="Times New Roman" w:cs="Times New Roman"/>
          <w:szCs w:val="22"/>
        </w:rPr>
        <w:t xml:space="preserve">de mise en œuvre </w:t>
      </w:r>
      <w:r w:rsidR="00B53084" w:rsidRPr="00FB5D79">
        <w:rPr>
          <w:rFonts w:ascii="Times New Roman" w:hAnsi="Times New Roman" w:cs="Times New Roman"/>
          <w:szCs w:val="22"/>
        </w:rPr>
        <w:t>du</w:t>
      </w:r>
      <w:r w:rsidRPr="00FB5D79">
        <w:rPr>
          <w:rFonts w:ascii="Times New Roman" w:hAnsi="Times New Roman" w:cs="Times New Roman"/>
          <w:szCs w:val="22"/>
        </w:rPr>
        <w:t xml:space="preserve"> projet considéré </w:t>
      </w:r>
      <w:r w:rsidR="00A34591" w:rsidRPr="00FB5D79">
        <w:rPr>
          <w:rFonts w:ascii="Times New Roman" w:hAnsi="Times New Roman" w:cs="Times New Roman"/>
          <w:szCs w:val="22"/>
        </w:rPr>
        <w:t>pour cette évaluation est de 36 </w:t>
      </w:r>
      <w:r w:rsidR="0003099B" w:rsidRPr="00FB5D79">
        <w:rPr>
          <w:rFonts w:ascii="Times New Roman" w:hAnsi="Times New Roman" w:cs="Times New Roman"/>
          <w:szCs w:val="22"/>
        </w:rPr>
        <w:t>mois (janvier 2015 – décembre </w:t>
      </w:r>
      <w:r w:rsidRPr="00FB5D79">
        <w:rPr>
          <w:rFonts w:ascii="Times New Roman" w:hAnsi="Times New Roman" w:cs="Times New Roman"/>
          <w:szCs w:val="22"/>
        </w:rPr>
        <w:t xml:space="preserve">2017).  </w:t>
      </w:r>
      <w:r w:rsidR="00F81A94" w:rsidRPr="00FB5D79">
        <w:rPr>
          <w:rFonts w:ascii="Times New Roman" w:hAnsi="Times New Roman" w:cs="Times New Roman"/>
          <w:szCs w:val="22"/>
        </w:rPr>
        <w:t>L</w:t>
      </w:r>
      <w:r w:rsidR="00646944" w:rsidRPr="00FB5D79">
        <w:rPr>
          <w:rFonts w:ascii="Times New Roman" w:hAnsi="Times New Roman" w:cs="Times New Roman"/>
          <w:szCs w:val="22"/>
        </w:rPr>
        <w:t>’</w:t>
      </w:r>
      <w:r w:rsidR="00F81A94" w:rsidRPr="00FB5D79">
        <w:rPr>
          <w:rFonts w:ascii="Times New Roman" w:hAnsi="Times New Roman" w:cs="Times New Roman"/>
          <w:szCs w:val="22"/>
        </w:rPr>
        <w:t>objectif sera davantage d</w:t>
      </w:r>
      <w:r w:rsidR="00646944" w:rsidRPr="00FB5D79">
        <w:rPr>
          <w:rFonts w:ascii="Times New Roman" w:hAnsi="Times New Roman" w:cs="Times New Roman"/>
          <w:szCs w:val="22"/>
        </w:rPr>
        <w:t>’</w:t>
      </w:r>
      <w:r w:rsidR="00F81A94" w:rsidRPr="00FB5D79">
        <w:rPr>
          <w:rFonts w:ascii="Times New Roman" w:hAnsi="Times New Roman" w:cs="Times New Roman"/>
          <w:szCs w:val="22"/>
        </w:rPr>
        <w:t>évaluer</w:t>
      </w:r>
      <w:r w:rsidR="00B13FE1" w:rsidRPr="00FB5D79">
        <w:rPr>
          <w:rFonts w:ascii="Times New Roman" w:hAnsi="Times New Roman" w:cs="Times New Roman"/>
          <w:szCs w:val="22"/>
        </w:rPr>
        <w:t xml:space="preserve"> le</w:t>
      </w:r>
      <w:r w:rsidRPr="00FB5D79">
        <w:rPr>
          <w:rFonts w:ascii="Times New Roman" w:hAnsi="Times New Roman" w:cs="Times New Roman"/>
          <w:szCs w:val="22"/>
        </w:rPr>
        <w:t xml:space="preserve"> projet dans son ensemble et sa contribution à </w:t>
      </w:r>
      <w:r w:rsidR="00B13FE1" w:rsidRPr="00FB5D79">
        <w:rPr>
          <w:rFonts w:ascii="Times New Roman" w:hAnsi="Times New Roman" w:cs="Times New Roman"/>
          <w:szCs w:val="22"/>
        </w:rPr>
        <w:t>l</w:t>
      </w:r>
      <w:r w:rsidR="00646944" w:rsidRPr="00FB5D79">
        <w:rPr>
          <w:rFonts w:ascii="Times New Roman" w:hAnsi="Times New Roman" w:cs="Times New Roman"/>
          <w:szCs w:val="22"/>
        </w:rPr>
        <w:t>’</w:t>
      </w:r>
      <w:r w:rsidR="00B13FE1" w:rsidRPr="00FB5D79">
        <w:rPr>
          <w:rFonts w:ascii="Times New Roman" w:hAnsi="Times New Roman" w:cs="Times New Roman"/>
          <w:szCs w:val="22"/>
        </w:rPr>
        <w:t>estimation</w:t>
      </w:r>
      <w:r w:rsidRPr="00FB5D79">
        <w:rPr>
          <w:rFonts w:ascii="Times New Roman" w:hAnsi="Times New Roman" w:cs="Times New Roman"/>
          <w:szCs w:val="22"/>
        </w:rPr>
        <w:t xml:space="preserve"> des besoins des États membres et</w:t>
      </w:r>
      <w:r w:rsidR="00F81A94" w:rsidRPr="00FB5D79">
        <w:rPr>
          <w:rFonts w:ascii="Times New Roman" w:hAnsi="Times New Roman" w:cs="Times New Roman"/>
          <w:szCs w:val="22"/>
        </w:rPr>
        <w:t xml:space="preserve"> d</w:t>
      </w:r>
      <w:r w:rsidR="00646944" w:rsidRPr="00FB5D79">
        <w:rPr>
          <w:rFonts w:ascii="Times New Roman" w:hAnsi="Times New Roman" w:cs="Times New Roman"/>
          <w:szCs w:val="22"/>
        </w:rPr>
        <w:t>’</w:t>
      </w:r>
      <w:r w:rsidR="00F81A94" w:rsidRPr="00FB5D79">
        <w:rPr>
          <w:rFonts w:ascii="Times New Roman" w:hAnsi="Times New Roman" w:cs="Times New Roman"/>
          <w:szCs w:val="22"/>
        </w:rPr>
        <w:t>identifier les</w:t>
      </w:r>
      <w:r w:rsidRPr="00FB5D79">
        <w:rPr>
          <w:rFonts w:ascii="Times New Roman" w:hAnsi="Times New Roman" w:cs="Times New Roman"/>
          <w:szCs w:val="22"/>
        </w:rPr>
        <w:t xml:space="preserve"> ressources ou moyens permettant de </w:t>
      </w:r>
      <w:r w:rsidRPr="00FB5D79">
        <w:rPr>
          <w:rFonts w:ascii="Times New Roman" w:hAnsi="Times New Roman" w:cs="Times New Roman"/>
          <w:szCs w:val="22"/>
        </w:rPr>
        <w:lastRenderedPageBreak/>
        <w:t>répondre à ces besoins</w:t>
      </w:r>
      <w:r w:rsidR="001F46A5" w:rsidRPr="00FB5D79">
        <w:rPr>
          <w:rFonts w:ascii="Times New Roman" w:hAnsi="Times New Roman" w:cs="Times New Roman"/>
          <w:szCs w:val="22"/>
        </w:rPr>
        <w:t xml:space="preserve"> que </w:t>
      </w:r>
      <w:r w:rsidR="00F81A94" w:rsidRPr="00FB5D79">
        <w:rPr>
          <w:rFonts w:ascii="Times New Roman" w:hAnsi="Times New Roman" w:cs="Times New Roman"/>
          <w:szCs w:val="22"/>
        </w:rPr>
        <w:t>d</w:t>
      </w:r>
      <w:r w:rsidR="00646944" w:rsidRPr="00FB5D79">
        <w:rPr>
          <w:rFonts w:ascii="Times New Roman" w:hAnsi="Times New Roman" w:cs="Times New Roman"/>
          <w:szCs w:val="22"/>
        </w:rPr>
        <w:t>’</w:t>
      </w:r>
      <w:r w:rsidR="00F81A94" w:rsidRPr="00FB5D79">
        <w:rPr>
          <w:rFonts w:ascii="Times New Roman" w:hAnsi="Times New Roman" w:cs="Times New Roman"/>
          <w:szCs w:val="22"/>
        </w:rPr>
        <w:t xml:space="preserve">évaluer </w:t>
      </w:r>
      <w:r w:rsidR="001F46A5" w:rsidRPr="00FB5D79">
        <w:rPr>
          <w:rFonts w:ascii="Times New Roman" w:hAnsi="Times New Roman" w:cs="Times New Roman"/>
          <w:szCs w:val="22"/>
        </w:rPr>
        <w:t>l</w:t>
      </w:r>
      <w:r w:rsidR="00B13FE1" w:rsidRPr="00FB5D79">
        <w:rPr>
          <w:rFonts w:ascii="Times New Roman" w:hAnsi="Times New Roman" w:cs="Times New Roman"/>
          <w:szCs w:val="22"/>
        </w:rPr>
        <w:t>es</w:t>
      </w:r>
      <w:r w:rsidR="001F46A5" w:rsidRPr="00FB5D79">
        <w:rPr>
          <w:rFonts w:ascii="Times New Roman" w:hAnsi="Times New Roman" w:cs="Times New Roman"/>
          <w:szCs w:val="22"/>
        </w:rPr>
        <w:t xml:space="preserve"> activités individuell</w:t>
      </w:r>
      <w:r w:rsidR="00172764" w:rsidRPr="00FB5D79">
        <w:rPr>
          <w:rFonts w:ascii="Times New Roman" w:hAnsi="Times New Roman" w:cs="Times New Roman"/>
          <w:szCs w:val="22"/>
        </w:rPr>
        <w:t>es.  L’é</w:t>
      </w:r>
      <w:r w:rsidRPr="00FB5D79">
        <w:rPr>
          <w:rFonts w:ascii="Times New Roman" w:hAnsi="Times New Roman" w:cs="Times New Roman"/>
          <w:szCs w:val="22"/>
        </w:rPr>
        <w:t>valuation portera également sur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évolution du projet au fil du temps et sur </w:t>
      </w:r>
      <w:r w:rsidR="00370830" w:rsidRPr="00FB5D79">
        <w:rPr>
          <w:rFonts w:ascii="Times New Roman" w:hAnsi="Times New Roman" w:cs="Times New Roman"/>
          <w:szCs w:val="22"/>
        </w:rPr>
        <w:t>sa performance</w:t>
      </w:r>
      <w:r w:rsidR="00965F3A">
        <w:rPr>
          <w:rFonts w:ascii="Times New Roman" w:hAnsi="Times New Roman" w:cs="Times New Roman"/>
          <w:szCs w:val="22"/>
        </w:rPr>
        <w:t> :</w:t>
      </w:r>
      <w:r w:rsidRPr="00FB5D79">
        <w:rPr>
          <w:rFonts w:ascii="Times New Roman" w:hAnsi="Times New Roman" w:cs="Times New Roman"/>
          <w:szCs w:val="22"/>
        </w:rPr>
        <w:t xml:space="preserve"> conception </w:t>
      </w:r>
      <w:r w:rsidR="00370830" w:rsidRPr="00FB5D79">
        <w:rPr>
          <w:rFonts w:ascii="Times New Roman" w:hAnsi="Times New Roman" w:cs="Times New Roman"/>
          <w:szCs w:val="22"/>
        </w:rPr>
        <w:t xml:space="preserve">du projet, </w:t>
      </w:r>
      <w:r w:rsidRPr="00FB5D79">
        <w:rPr>
          <w:rFonts w:ascii="Times New Roman" w:hAnsi="Times New Roman" w:cs="Times New Roman"/>
          <w:szCs w:val="22"/>
        </w:rPr>
        <w:t>gestion du projet, coordination, cohérence, mise en œ</w:t>
      </w:r>
      <w:r w:rsidR="008B1F39" w:rsidRPr="00FB5D79">
        <w:rPr>
          <w:rFonts w:ascii="Times New Roman" w:hAnsi="Times New Roman" w:cs="Times New Roman"/>
          <w:szCs w:val="22"/>
        </w:rPr>
        <w:t>uvre et résultats obtenus.</w:t>
      </w:r>
    </w:p>
    <w:p w14:paraId="004CC178" w14:textId="51F24B23" w:rsidR="00D822F9" w:rsidRPr="00FB5D79" w:rsidRDefault="00D822F9" w:rsidP="006B770B">
      <w:pPr>
        <w:spacing w:after="220"/>
        <w:rPr>
          <w:rFonts w:ascii="Times New Roman" w:hAnsi="Times New Roman" w:cs="Times New Roman"/>
          <w:szCs w:val="22"/>
        </w:rPr>
      </w:pPr>
      <w:r w:rsidRPr="00FB5D79">
        <w:rPr>
          <w:rFonts w:ascii="Times New Roman" w:hAnsi="Times New Roman" w:cs="Times New Roman"/>
          <w:szCs w:val="22"/>
        </w:rPr>
        <w:t>La méthodologie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vise à </w:t>
      </w:r>
      <w:r w:rsidR="00FE7A67" w:rsidRPr="00FB5D79">
        <w:rPr>
          <w:rFonts w:ascii="Times New Roman" w:hAnsi="Times New Roman" w:cs="Times New Roman"/>
          <w:szCs w:val="22"/>
        </w:rPr>
        <w:t>créer un équilibre entre</w:t>
      </w:r>
      <w:r w:rsidRPr="00FB5D79">
        <w:rPr>
          <w:rFonts w:ascii="Times New Roman" w:hAnsi="Times New Roman" w:cs="Times New Roman"/>
          <w:szCs w:val="22"/>
        </w:rPr>
        <w:t xml:space="preserve"> les besoins d</w:t>
      </w:r>
      <w:r w:rsidR="00646944" w:rsidRPr="00FB5D79">
        <w:rPr>
          <w:rFonts w:ascii="Times New Roman" w:hAnsi="Times New Roman" w:cs="Times New Roman"/>
          <w:szCs w:val="22"/>
        </w:rPr>
        <w:t>’</w:t>
      </w:r>
      <w:r w:rsidRPr="00FB5D79">
        <w:rPr>
          <w:rFonts w:ascii="Times New Roman" w:hAnsi="Times New Roman" w:cs="Times New Roman"/>
          <w:szCs w:val="22"/>
        </w:rPr>
        <w:t xml:space="preserve">apprentissage et </w:t>
      </w:r>
      <w:r w:rsidR="00FE7A67" w:rsidRPr="00FB5D79">
        <w:rPr>
          <w:rFonts w:ascii="Times New Roman" w:hAnsi="Times New Roman" w:cs="Times New Roman"/>
          <w:szCs w:val="22"/>
        </w:rPr>
        <w:t xml:space="preserve">les besoins </w:t>
      </w:r>
      <w:r w:rsidRPr="00FB5D79">
        <w:rPr>
          <w:rFonts w:ascii="Times New Roman" w:hAnsi="Times New Roman" w:cs="Times New Roman"/>
          <w:szCs w:val="22"/>
        </w:rPr>
        <w:t>de responsabilisati</w:t>
      </w:r>
      <w:r w:rsidR="00172764" w:rsidRPr="00FB5D79">
        <w:rPr>
          <w:rFonts w:ascii="Times New Roman" w:hAnsi="Times New Roman" w:cs="Times New Roman"/>
          <w:szCs w:val="22"/>
        </w:rPr>
        <w:t xml:space="preserve">on.  À </w:t>
      </w:r>
      <w:r w:rsidRPr="00FB5D79">
        <w:rPr>
          <w:rFonts w:ascii="Times New Roman" w:hAnsi="Times New Roman" w:cs="Times New Roman"/>
          <w:szCs w:val="22"/>
        </w:rPr>
        <w:t>cette fin,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FE7A67" w:rsidRPr="00FB5D79">
        <w:rPr>
          <w:rFonts w:ascii="Times New Roman" w:hAnsi="Times New Roman" w:cs="Times New Roman"/>
          <w:szCs w:val="22"/>
        </w:rPr>
        <w:t>doit</w:t>
      </w:r>
      <w:r w:rsidRPr="00FB5D79">
        <w:rPr>
          <w:rFonts w:ascii="Times New Roman" w:hAnsi="Times New Roman" w:cs="Times New Roman"/>
          <w:szCs w:val="22"/>
        </w:rPr>
        <w:t xml:space="preserve"> prévoir une participation active au processus d</w:t>
      </w:r>
      <w:r w:rsidR="00646944" w:rsidRPr="00FB5D79">
        <w:rPr>
          <w:rFonts w:ascii="Times New Roman" w:hAnsi="Times New Roman" w:cs="Times New Roman"/>
          <w:szCs w:val="22"/>
        </w:rPr>
        <w:t>’</w:t>
      </w:r>
      <w:r w:rsidRPr="00FB5D79">
        <w:rPr>
          <w:rFonts w:ascii="Times New Roman" w:hAnsi="Times New Roman" w:cs="Times New Roman"/>
          <w:szCs w:val="22"/>
        </w:rPr>
        <w:t>évaluation des parties prenantes au projet</w:t>
      </w:r>
      <w:r w:rsidR="00965F3A">
        <w:rPr>
          <w:rFonts w:ascii="Times New Roman" w:hAnsi="Times New Roman" w:cs="Times New Roman"/>
          <w:szCs w:val="22"/>
        </w:rPr>
        <w:t> :</w:t>
      </w:r>
      <w:r w:rsidRPr="00FB5D79">
        <w:rPr>
          <w:rFonts w:ascii="Times New Roman" w:hAnsi="Times New Roman" w:cs="Times New Roman"/>
          <w:szCs w:val="22"/>
        </w:rPr>
        <w:t xml:space="preserve"> équipe </w:t>
      </w:r>
      <w:r w:rsidR="00242808" w:rsidRPr="00FB5D79">
        <w:rPr>
          <w:rFonts w:ascii="Times New Roman" w:hAnsi="Times New Roman" w:cs="Times New Roman"/>
          <w:szCs w:val="22"/>
        </w:rPr>
        <w:t>chargée du</w:t>
      </w:r>
      <w:r w:rsidRPr="00FB5D79">
        <w:rPr>
          <w:rFonts w:ascii="Times New Roman" w:hAnsi="Times New Roman" w:cs="Times New Roman"/>
          <w:szCs w:val="22"/>
        </w:rPr>
        <w:t xml:space="preserve"> projet, hauts responsables, États membres et offices nationaux de propriété intellectuelle.</w:t>
      </w:r>
    </w:p>
    <w:p w14:paraId="6A0F1347" w14:textId="52C8416C" w:rsidR="00D822F9" w:rsidRPr="00FB5D79" w:rsidRDefault="00D822F9" w:rsidP="006B770B">
      <w:pPr>
        <w:spacing w:after="220"/>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expert en évaluation sera chargé de mener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en consultation et en </w:t>
      </w:r>
      <w:r w:rsidR="00FE7A67" w:rsidRPr="00FB5D79">
        <w:rPr>
          <w:rFonts w:ascii="Times New Roman" w:hAnsi="Times New Roman" w:cs="Times New Roman"/>
          <w:szCs w:val="22"/>
        </w:rPr>
        <w:t>coopération</w:t>
      </w:r>
      <w:r w:rsidRPr="00FB5D79">
        <w:rPr>
          <w:rFonts w:ascii="Times New Roman" w:hAnsi="Times New Roman" w:cs="Times New Roman"/>
          <w:szCs w:val="22"/>
        </w:rPr>
        <w:t xml:space="preserve"> avec </w:t>
      </w:r>
      <w:r w:rsidR="00480511" w:rsidRPr="00FB5D79">
        <w:rPr>
          <w:rFonts w:ascii="Times New Roman" w:hAnsi="Times New Roman" w:cs="Times New Roman"/>
          <w:szCs w:val="22"/>
        </w:rPr>
        <w:t>l</w:t>
      </w:r>
      <w:r w:rsidR="00646944" w:rsidRPr="00FB5D79">
        <w:rPr>
          <w:rFonts w:ascii="Times New Roman" w:hAnsi="Times New Roman" w:cs="Times New Roman"/>
          <w:szCs w:val="22"/>
        </w:rPr>
        <w:t>’</w:t>
      </w:r>
      <w:r w:rsidR="00480511" w:rsidRPr="00FB5D79">
        <w:rPr>
          <w:rFonts w:ascii="Times New Roman" w:hAnsi="Times New Roman" w:cs="Times New Roman"/>
          <w:szCs w:val="22"/>
        </w:rPr>
        <w:t>équipe chargée du projet</w:t>
      </w:r>
      <w:r w:rsidRPr="00FB5D79">
        <w:rPr>
          <w:rFonts w:ascii="Times New Roman" w:hAnsi="Times New Roman" w:cs="Times New Roman"/>
          <w:szCs w:val="22"/>
        </w:rPr>
        <w:t xml:space="preserve"> et la Division de la coordination du Plan d</w:t>
      </w:r>
      <w:r w:rsidR="00646944" w:rsidRPr="00FB5D79">
        <w:rPr>
          <w:rFonts w:ascii="Times New Roman" w:hAnsi="Times New Roman" w:cs="Times New Roman"/>
          <w:szCs w:val="22"/>
        </w:rPr>
        <w:t>’</w:t>
      </w:r>
      <w:r w:rsidR="002946AB" w:rsidRPr="00FB5D79">
        <w:rPr>
          <w:rFonts w:ascii="Times New Roman" w:hAnsi="Times New Roman" w:cs="Times New Roman"/>
          <w:szCs w:val="22"/>
        </w:rPr>
        <w:t>action pour le développement.</w:t>
      </w:r>
    </w:p>
    <w:p w14:paraId="7F176EA5" w14:textId="50A3D471" w:rsidR="00191437" w:rsidRPr="00FB5D79" w:rsidRDefault="00D822F9" w:rsidP="006B770B">
      <w:pPr>
        <w:spacing w:after="220"/>
        <w:rPr>
          <w:rFonts w:ascii="Times New Roman" w:hAnsi="Times New Roman" w:cs="Times New Roman"/>
          <w:szCs w:val="22"/>
        </w:rPr>
      </w:pPr>
      <w:r w:rsidRPr="00FB5D79">
        <w:rPr>
          <w:rFonts w:ascii="Times New Roman" w:hAnsi="Times New Roman" w:cs="Times New Roman"/>
          <w:szCs w:val="22"/>
        </w:rPr>
        <w:t>La méthodologie d</w:t>
      </w:r>
      <w:r w:rsidR="00646944" w:rsidRPr="00FB5D79">
        <w:rPr>
          <w:rFonts w:ascii="Times New Roman" w:hAnsi="Times New Roman" w:cs="Times New Roman"/>
          <w:szCs w:val="22"/>
        </w:rPr>
        <w:t>’</w:t>
      </w:r>
      <w:r w:rsidRPr="00FB5D79">
        <w:rPr>
          <w:rFonts w:ascii="Times New Roman" w:hAnsi="Times New Roman" w:cs="Times New Roman"/>
          <w:szCs w:val="22"/>
        </w:rPr>
        <w:t>évaluation comprendra les éléments suivants</w:t>
      </w:r>
      <w:r w:rsidR="00965F3A">
        <w:rPr>
          <w:rFonts w:ascii="Times New Roman" w:hAnsi="Times New Roman" w:cs="Times New Roman"/>
          <w:szCs w:val="22"/>
        </w:rPr>
        <w:t> :</w:t>
      </w:r>
    </w:p>
    <w:p w14:paraId="2F09AF34" w14:textId="09FA7839" w:rsidR="00646944" w:rsidRPr="00FB5D79" w:rsidRDefault="009A14C0" w:rsidP="006B770B">
      <w:pPr>
        <w:numPr>
          <w:ilvl w:val="0"/>
          <w:numId w:val="25"/>
        </w:numPr>
        <w:spacing w:after="220"/>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analyse préliminaire</w:t>
      </w:r>
      <w:r w:rsidR="00D822F9" w:rsidRPr="00FB5D79">
        <w:rPr>
          <w:rFonts w:ascii="Times New Roman" w:hAnsi="Times New Roman" w:cs="Times New Roman"/>
          <w:szCs w:val="22"/>
        </w:rPr>
        <w:t xml:space="preserve"> de la documentation pertinente relative au projet, </w:t>
      </w:r>
      <w:r w:rsidR="00965F3A">
        <w:rPr>
          <w:rFonts w:ascii="Times New Roman" w:hAnsi="Times New Roman" w:cs="Times New Roman"/>
          <w:szCs w:val="22"/>
        </w:rPr>
        <w:t>à savoir</w:t>
      </w:r>
      <w:r w:rsidR="00D822F9" w:rsidRPr="00FB5D79">
        <w:rPr>
          <w:rFonts w:ascii="Times New Roman" w:hAnsi="Times New Roman" w:cs="Times New Roman"/>
          <w:szCs w:val="22"/>
        </w:rPr>
        <w:t xml:space="preserve"> le cadre du projet (</w:t>
      </w:r>
      <w:r w:rsidR="00FE7A67" w:rsidRPr="00FB5D79">
        <w:rPr>
          <w:rFonts w:ascii="Times New Roman" w:hAnsi="Times New Roman" w:cs="Times New Roman"/>
          <w:szCs w:val="22"/>
        </w:rPr>
        <w:t>descriptif du</w:t>
      </w:r>
      <w:r w:rsidR="00D822F9" w:rsidRPr="00FB5D79">
        <w:rPr>
          <w:rFonts w:ascii="Times New Roman" w:hAnsi="Times New Roman" w:cs="Times New Roman"/>
          <w:szCs w:val="22"/>
        </w:rPr>
        <w:t xml:space="preserve"> projet i</w:t>
      </w:r>
      <w:r w:rsidR="00FE7A67" w:rsidRPr="00FB5D79">
        <w:rPr>
          <w:rFonts w:ascii="Times New Roman" w:hAnsi="Times New Roman" w:cs="Times New Roman"/>
          <w:szCs w:val="22"/>
        </w:rPr>
        <w:t>nitial et étude), les rapports sur l</w:t>
      </w:r>
      <w:r w:rsidR="00646944" w:rsidRPr="00FB5D79">
        <w:rPr>
          <w:rFonts w:ascii="Times New Roman" w:hAnsi="Times New Roman" w:cs="Times New Roman"/>
          <w:szCs w:val="22"/>
        </w:rPr>
        <w:t>’</w:t>
      </w:r>
      <w:r w:rsidR="00FE7A67" w:rsidRPr="00FB5D79">
        <w:rPr>
          <w:rFonts w:ascii="Times New Roman" w:hAnsi="Times New Roman" w:cs="Times New Roman"/>
          <w:szCs w:val="22"/>
        </w:rPr>
        <w:t>état d</w:t>
      </w:r>
      <w:r w:rsidR="00646944" w:rsidRPr="00FB5D79">
        <w:rPr>
          <w:rFonts w:ascii="Times New Roman" w:hAnsi="Times New Roman" w:cs="Times New Roman"/>
          <w:szCs w:val="22"/>
        </w:rPr>
        <w:t>’</w:t>
      </w:r>
      <w:r w:rsidR="00D822F9" w:rsidRPr="00FB5D79">
        <w:rPr>
          <w:rFonts w:ascii="Times New Roman" w:hAnsi="Times New Roman" w:cs="Times New Roman"/>
          <w:szCs w:val="22"/>
        </w:rPr>
        <w:t>avancement, les informations de suivi, les rapports de mission et autres documents pertinents</w:t>
      </w:r>
      <w:r w:rsidR="00186E50" w:rsidRPr="00FB5D79">
        <w:rPr>
          <w:rFonts w:ascii="Times New Roman" w:hAnsi="Times New Roman" w:cs="Times New Roman"/>
          <w:szCs w:val="22"/>
        </w:rPr>
        <w:t>;</w:t>
      </w:r>
    </w:p>
    <w:p w14:paraId="2843AD4E" w14:textId="3670F196" w:rsidR="00646944" w:rsidRPr="00FB5D79" w:rsidRDefault="00B534AE" w:rsidP="006B770B">
      <w:pPr>
        <w:numPr>
          <w:ilvl w:val="0"/>
          <w:numId w:val="25"/>
        </w:numPr>
        <w:spacing w:after="220"/>
        <w:rPr>
          <w:rFonts w:ascii="Times New Roman" w:hAnsi="Times New Roman" w:cs="Times New Roman"/>
          <w:szCs w:val="22"/>
        </w:rPr>
      </w:pPr>
      <w:r w:rsidRPr="00FB5D79">
        <w:rPr>
          <w:rFonts w:ascii="Times New Roman" w:hAnsi="Times New Roman" w:cs="Times New Roman"/>
          <w:szCs w:val="22"/>
        </w:rPr>
        <w:t>Les e</w:t>
      </w:r>
      <w:r w:rsidR="00D822F9" w:rsidRPr="00FB5D79">
        <w:rPr>
          <w:rFonts w:ascii="Times New Roman" w:hAnsi="Times New Roman" w:cs="Times New Roman"/>
          <w:szCs w:val="22"/>
        </w:rPr>
        <w:t xml:space="preserve">ntretiens </w:t>
      </w:r>
      <w:r w:rsidRPr="00FB5D79">
        <w:rPr>
          <w:rFonts w:ascii="Times New Roman" w:hAnsi="Times New Roman" w:cs="Times New Roman"/>
          <w:szCs w:val="22"/>
        </w:rPr>
        <w:t xml:space="preserve">qui ont eu lieu </w:t>
      </w:r>
      <w:r w:rsidR="00D822F9" w:rsidRPr="00FB5D79">
        <w:rPr>
          <w:rFonts w:ascii="Times New Roman" w:hAnsi="Times New Roman" w:cs="Times New Roman"/>
          <w:szCs w:val="22"/>
        </w:rPr>
        <w:t>au Secrétariat de l</w:t>
      </w:r>
      <w:r w:rsidR="00646944" w:rsidRPr="00FB5D79">
        <w:rPr>
          <w:rFonts w:ascii="Times New Roman" w:hAnsi="Times New Roman" w:cs="Times New Roman"/>
          <w:szCs w:val="22"/>
        </w:rPr>
        <w:t>’</w:t>
      </w:r>
      <w:r w:rsidR="00D822F9" w:rsidRPr="00FB5D79">
        <w:rPr>
          <w:rFonts w:ascii="Times New Roman" w:hAnsi="Times New Roman" w:cs="Times New Roman"/>
          <w:szCs w:val="22"/>
        </w:rPr>
        <w:t xml:space="preserve">OMPI (équipe </w:t>
      </w:r>
      <w:r w:rsidR="004B4CFE" w:rsidRPr="00FB5D79">
        <w:rPr>
          <w:rFonts w:ascii="Times New Roman" w:hAnsi="Times New Roman" w:cs="Times New Roman"/>
          <w:szCs w:val="22"/>
        </w:rPr>
        <w:t>chargée du</w:t>
      </w:r>
      <w:r w:rsidR="00D822F9" w:rsidRPr="00FB5D79">
        <w:rPr>
          <w:rFonts w:ascii="Times New Roman" w:hAnsi="Times New Roman" w:cs="Times New Roman"/>
          <w:szCs w:val="22"/>
        </w:rPr>
        <w:t xml:space="preserve"> projet, autres entités techniques contribuant au projet, etc.</w:t>
      </w:r>
      <w:r w:rsidR="004B4CFE" w:rsidRPr="00FB5D79">
        <w:rPr>
          <w:rFonts w:ascii="Times New Roman" w:hAnsi="Times New Roman" w:cs="Times New Roman"/>
          <w:szCs w:val="22"/>
        </w:rPr>
        <w:t>);</w:t>
      </w:r>
    </w:p>
    <w:p w14:paraId="6CDD55B3" w14:textId="6378C123" w:rsidR="00191437" w:rsidRPr="00FB5D79" w:rsidRDefault="00B534AE" w:rsidP="006B770B">
      <w:pPr>
        <w:numPr>
          <w:ilvl w:val="0"/>
          <w:numId w:val="25"/>
        </w:numPr>
        <w:spacing w:after="220"/>
        <w:rPr>
          <w:rFonts w:ascii="Times New Roman" w:hAnsi="Times New Roman" w:cs="Times New Roman"/>
          <w:szCs w:val="22"/>
        </w:rPr>
      </w:pPr>
      <w:r w:rsidRPr="00FB5D79">
        <w:rPr>
          <w:rFonts w:ascii="Times New Roman" w:hAnsi="Times New Roman" w:cs="Times New Roman"/>
          <w:szCs w:val="22"/>
        </w:rPr>
        <w:t>Les e</w:t>
      </w:r>
      <w:r w:rsidR="00D822F9" w:rsidRPr="00FB5D79">
        <w:rPr>
          <w:rFonts w:ascii="Times New Roman" w:hAnsi="Times New Roman" w:cs="Times New Roman"/>
          <w:szCs w:val="22"/>
        </w:rPr>
        <w:t xml:space="preserve">ntretiens </w:t>
      </w:r>
      <w:r w:rsidRPr="00FB5D79">
        <w:rPr>
          <w:rFonts w:ascii="Times New Roman" w:hAnsi="Times New Roman" w:cs="Times New Roman"/>
          <w:szCs w:val="22"/>
        </w:rPr>
        <w:t xml:space="preserve">qui ont eu lieu </w:t>
      </w:r>
      <w:r w:rsidR="00D822F9" w:rsidRPr="00FB5D79">
        <w:rPr>
          <w:rFonts w:ascii="Times New Roman" w:hAnsi="Times New Roman" w:cs="Times New Roman"/>
          <w:szCs w:val="22"/>
        </w:rPr>
        <w:t xml:space="preserve">avec les parties prenantes, </w:t>
      </w:r>
      <w:r w:rsidR="00965F3A">
        <w:rPr>
          <w:rFonts w:ascii="Times New Roman" w:hAnsi="Times New Roman" w:cs="Times New Roman"/>
          <w:szCs w:val="22"/>
        </w:rPr>
        <w:t>à savoir</w:t>
      </w:r>
      <w:r w:rsidR="006F5974" w:rsidRPr="00FB5D79">
        <w:rPr>
          <w:rFonts w:ascii="Times New Roman" w:hAnsi="Times New Roman" w:cs="Times New Roman"/>
          <w:szCs w:val="22"/>
        </w:rPr>
        <w:t xml:space="preserve"> les utilisateurs </w:t>
      </w:r>
      <w:r w:rsidR="00D822F9" w:rsidRPr="00FB5D79">
        <w:rPr>
          <w:rFonts w:ascii="Times New Roman" w:hAnsi="Times New Roman" w:cs="Times New Roman"/>
          <w:szCs w:val="22"/>
        </w:rPr>
        <w:t>ou utilisateurs potentiels de la base de données.</w:t>
      </w:r>
    </w:p>
    <w:p w14:paraId="022DB0F0" w14:textId="0D66394C" w:rsidR="00191437" w:rsidRPr="00FB5D79" w:rsidRDefault="00D822F9" w:rsidP="006B770B">
      <w:pPr>
        <w:rPr>
          <w:rFonts w:ascii="Times New Roman" w:hAnsi="Times New Roman" w:cs="Times New Roman"/>
          <w:b/>
          <w:szCs w:val="22"/>
        </w:rPr>
      </w:pPr>
      <w:r w:rsidRPr="00FB5D79">
        <w:rPr>
          <w:rFonts w:ascii="Times New Roman" w:hAnsi="Times New Roman" w:cs="Times New Roman"/>
          <w:b/>
          <w:szCs w:val="22"/>
        </w:rPr>
        <w:t>Livrables</w:t>
      </w:r>
      <w:r w:rsidR="00EB4E6B" w:rsidRPr="00FB5D79">
        <w:rPr>
          <w:rFonts w:ascii="Times New Roman" w:hAnsi="Times New Roman" w:cs="Times New Roman"/>
          <w:b/>
          <w:szCs w:val="22"/>
        </w:rPr>
        <w:t>/</w:t>
      </w:r>
      <w:r w:rsidR="00191437" w:rsidRPr="00FB5D79">
        <w:rPr>
          <w:rFonts w:ascii="Times New Roman" w:hAnsi="Times New Roman" w:cs="Times New Roman"/>
          <w:b/>
          <w:szCs w:val="22"/>
        </w:rPr>
        <w:t>services</w:t>
      </w:r>
    </w:p>
    <w:p w14:paraId="2DE992DF" w14:textId="77777777" w:rsidR="00191437" w:rsidRPr="00FB5D79" w:rsidRDefault="00191437" w:rsidP="006B770B">
      <w:pPr>
        <w:rPr>
          <w:rFonts w:ascii="Times New Roman" w:hAnsi="Times New Roman" w:cs="Times New Roman"/>
          <w:szCs w:val="22"/>
        </w:rPr>
      </w:pPr>
    </w:p>
    <w:p w14:paraId="44DC8380" w14:textId="21994FE4" w:rsidR="00646944" w:rsidRPr="00FB5D79" w:rsidRDefault="00D822F9"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évaluateur sera chargé de remettre le rapport d</w:t>
      </w:r>
      <w:r w:rsidR="00646944" w:rsidRPr="00FB5D79">
        <w:rPr>
          <w:rFonts w:ascii="Times New Roman" w:hAnsi="Times New Roman" w:cs="Times New Roman"/>
          <w:szCs w:val="22"/>
        </w:rPr>
        <w:t>’</w:t>
      </w:r>
      <w:r w:rsidRPr="00FB5D79">
        <w:rPr>
          <w:rFonts w:ascii="Times New Roman" w:hAnsi="Times New Roman" w:cs="Times New Roman"/>
          <w:szCs w:val="22"/>
        </w:rPr>
        <w:t>évaluation décrit ci</w:t>
      </w:r>
      <w:r w:rsidR="00965F3A">
        <w:rPr>
          <w:rFonts w:ascii="Times New Roman" w:hAnsi="Times New Roman" w:cs="Times New Roman"/>
          <w:szCs w:val="22"/>
        </w:rPr>
        <w:t>-</w:t>
      </w:r>
      <w:r w:rsidRPr="00FB5D79">
        <w:rPr>
          <w:rFonts w:ascii="Times New Roman" w:hAnsi="Times New Roman" w:cs="Times New Roman"/>
          <w:szCs w:val="22"/>
        </w:rPr>
        <w:t xml:space="preserve">dessus conformément aux autres </w:t>
      </w:r>
      <w:r w:rsidR="004B4CFE" w:rsidRPr="00FB5D79">
        <w:rPr>
          <w:rFonts w:ascii="Times New Roman" w:hAnsi="Times New Roman" w:cs="Times New Roman"/>
          <w:szCs w:val="22"/>
        </w:rPr>
        <w:t>informations</w:t>
      </w:r>
      <w:r w:rsidRPr="00FB5D79">
        <w:rPr>
          <w:rFonts w:ascii="Times New Roman" w:hAnsi="Times New Roman" w:cs="Times New Roman"/>
          <w:szCs w:val="22"/>
        </w:rPr>
        <w:t xml:space="preserve"> </w:t>
      </w:r>
      <w:r w:rsidR="004B4CFE" w:rsidRPr="00FB5D79">
        <w:rPr>
          <w:rFonts w:ascii="Times New Roman" w:hAnsi="Times New Roman" w:cs="Times New Roman"/>
          <w:szCs w:val="22"/>
        </w:rPr>
        <w:t>figurant</w:t>
      </w:r>
      <w:r w:rsidRPr="00FB5D79">
        <w:rPr>
          <w:rFonts w:ascii="Times New Roman" w:hAnsi="Times New Roman" w:cs="Times New Roman"/>
          <w:szCs w:val="22"/>
        </w:rPr>
        <w:t xml:space="preserve"> dans le présent document.</w:t>
      </w:r>
    </w:p>
    <w:p w14:paraId="78103797" w14:textId="30799F2E" w:rsidR="00D822F9" w:rsidRPr="00FB5D79" w:rsidRDefault="00D822F9" w:rsidP="006B770B">
      <w:pPr>
        <w:rPr>
          <w:rFonts w:ascii="Times New Roman" w:hAnsi="Times New Roman" w:cs="Times New Roman"/>
          <w:szCs w:val="22"/>
        </w:rPr>
      </w:pPr>
    </w:p>
    <w:p w14:paraId="5B21F421" w14:textId="5411F341" w:rsidR="00191437" w:rsidRPr="00FB5D79" w:rsidRDefault="00D822F9"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évaluateur </w:t>
      </w:r>
      <w:r w:rsidR="00214CA3" w:rsidRPr="00FB5D79">
        <w:rPr>
          <w:rFonts w:ascii="Times New Roman" w:hAnsi="Times New Roman" w:cs="Times New Roman"/>
          <w:szCs w:val="22"/>
        </w:rPr>
        <w:t>remettra</w:t>
      </w:r>
      <w:r w:rsidR="00965F3A">
        <w:rPr>
          <w:rFonts w:ascii="Times New Roman" w:hAnsi="Times New Roman" w:cs="Times New Roman"/>
          <w:szCs w:val="22"/>
        </w:rPr>
        <w:t> :</w:t>
      </w:r>
    </w:p>
    <w:p w14:paraId="409F778C" w14:textId="77777777" w:rsidR="00191437" w:rsidRPr="00FB5D79" w:rsidRDefault="00191437" w:rsidP="006B770B">
      <w:pPr>
        <w:rPr>
          <w:rFonts w:ascii="Times New Roman" w:hAnsi="Times New Roman" w:cs="Times New Roman"/>
          <w:szCs w:val="22"/>
        </w:rPr>
      </w:pPr>
    </w:p>
    <w:p w14:paraId="481761B5" w14:textId="63B32AAA" w:rsidR="00D822F9" w:rsidRPr="00FB5D79" w:rsidRDefault="00191437" w:rsidP="006B770B">
      <w:pPr>
        <w:ind w:left="567"/>
        <w:rPr>
          <w:rFonts w:ascii="Times New Roman" w:hAnsi="Times New Roman" w:cs="Times New Roman"/>
          <w:szCs w:val="22"/>
        </w:rPr>
      </w:pPr>
      <w:r w:rsidRPr="00FB5D79">
        <w:rPr>
          <w:rFonts w:ascii="Times New Roman" w:hAnsi="Times New Roman" w:cs="Times New Roman"/>
          <w:szCs w:val="22"/>
        </w:rPr>
        <w:t>a)</w:t>
      </w:r>
      <w:r w:rsidRPr="00FB5D79">
        <w:rPr>
          <w:rFonts w:ascii="Times New Roman" w:hAnsi="Times New Roman" w:cs="Times New Roman"/>
          <w:szCs w:val="22"/>
        </w:rPr>
        <w:tab/>
      </w:r>
      <w:r w:rsidR="00D822F9" w:rsidRPr="00FB5D79">
        <w:rPr>
          <w:rFonts w:ascii="Times New Roman" w:hAnsi="Times New Roman" w:cs="Times New Roman"/>
          <w:szCs w:val="22"/>
        </w:rPr>
        <w:t xml:space="preserve">Un rapport initial </w:t>
      </w:r>
      <w:r w:rsidR="00C661D2" w:rsidRPr="00FB5D79">
        <w:rPr>
          <w:rFonts w:ascii="Times New Roman" w:hAnsi="Times New Roman" w:cs="Times New Roman"/>
          <w:szCs w:val="22"/>
        </w:rPr>
        <w:t>comprenant</w:t>
      </w:r>
      <w:r w:rsidR="00D822F9" w:rsidRPr="00FB5D79">
        <w:rPr>
          <w:rFonts w:ascii="Times New Roman" w:hAnsi="Times New Roman" w:cs="Times New Roman"/>
          <w:szCs w:val="22"/>
        </w:rPr>
        <w:t xml:space="preserve"> une description de la méthodologie </w:t>
      </w:r>
      <w:r w:rsidR="00C661D2" w:rsidRPr="00FB5D79">
        <w:rPr>
          <w:rFonts w:ascii="Times New Roman" w:hAnsi="Times New Roman" w:cs="Times New Roman"/>
          <w:szCs w:val="22"/>
        </w:rPr>
        <w:t>d</w:t>
      </w:r>
      <w:r w:rsidR="00646944" w:rsidRPr="00FB5D79">
        <w:rPr>
          <w:rFonts w:ascii="Times New Roman" w:hAnsi="Times New Roman" w:cs="Times New Roman"/>
          <w:szCs w:val="22"/>
        </w:rPr>
        <w:t>’</w:t>
      </w:r>
      <w:r w:rsidR="00C661D2" w:rsidRPr="00FB5D79">
        <w:rPr>
          <w:rFonts w:ascii="Times New Roman" w:hAnsi="Times New Roman" w:cs="Times New Roman"/>
          <w:szCs w:val="22"/>
        </w:rPr>
        <w:t xml:space="preserve">évaluation </w:t>
      </w:r>
      <w:r w:rsidR="00D822F9" w:rsidRPr="00FB5D79">
        <w:rPr>
          <w:rFonts w:ascii="Times New Roman" w:hAnsi="Times New Roman" w:cs="Times New Roman"/>
          <w:szCs w:val="22"/>
        </w:rPr>
        <w:t xml:space="preserve">et de </w:t>
      </w:r>
      <w:r w:rsidR="00C661D2" w:rsidRPr="00FB5D79">
        <w:rPr>
          <w:rFonts w:ascii="Times New Roman" w:hAnsi="Times New Roman" w:cs="Times New Roman"/>
          <w:szCs w:val="22"/>
        </w:rPr>
        <w:t xml:space="preserve">la démarche </w:t>
      </w:r>
      <w:proofErr w:type="gramStart"/>
      <w:r w:rsidR="00C661D2" w:rsidRPr="00FB5D79">
        <w:rPr>
          <w:rFonts w:ascii="Times New Roman" w:hAnsi="Times New Roman" w:cs="Times New Roman"/>
          <w:szCs w:val="22"/>
        </w:rPr>
        <w:t>méthodologique</w:t>
      </w:r>
      <w:r w:rsidR="00186E50" w:rsidRPr="00FB5D79">
        <w:rPr>
          <w:rFonts w:ascii="Times New Roman" w:hAnsi="Times New Roman" w:cs="Times New Roman"/>
          <w:szCs w:val="22"/>
        </w:rPr>
        <w:t>;</w:t>
      </w:r>
      <w:r w:rsidR="00677D1C" w:rsidRPr="00FB5D79">
        <w:rPr>
          <w:rFonts w:ascii="Times New Roman" w:hAnsi="Times New Roman" w:cs="Times New Roman"/>
          <w:szCs w:val="22"/>
        </w:rPr>
        <w:t xml:space="preserve"> </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les</w:t>
      </w:r>
      <w:proofErr w:type="gramEnd"/>
      <w:r w:rsidR="00D822F9" w:rsidRPr="00FB5D79">
        <w:rPr>
          <w:rFonts w:ascii="Times New Roman" w:hAnsi="Times New Roman" w:cs="Times New Roman"/>
          <w:szCs w:val="22"/>
        </w:rPr>
        <w:t xml:space="preserve"> outils de collecte de</w:t>
      </w:r>
      <w:r w:rsidR="00677D1C" w:rsidRPr="00FB5D79">
        <w:rPr>
          <w:rFonts w:ascii="Times New Roman" w:hAnsi="Times New Roman" w:cs="Times New Roman"/>
          <w:szCs w:val="22"/>
        </w:rPr>
        <w:t>s</w:t>
      </w:r>
      <w:r w:rsidR="00D822F9" w:rsidRPr="00FB5D79">
        <w:rPr>
          <w:rFonts w:ascii="Times New Roman" w:hAnsi="Times New Roman" w:cs="Times New Roman"/>
          <w:szCs w:val="22"/>
        </w:rPr>
        <w:t xml:space="preserve"> données (</w:t>
      </w:r>
      <w:r w:rsidR="00965F3A">
        <w:rPr>
          <w:rFonts w:ascii="Times New Roman" w:hAnsi="Times New Roman" w:cs="Times New Roman"/>
          <w:szCs w:val="22"/>
        </w:rPr>
        <w:t>à savoir</w:t>
      </w:r>
      <w:r w:rsidR="00D822F9" w:rsidRPr="00FB5D79">
        <w:rPr>
          <w:rFonts w:ascii="Times New Roman" w:hAnsi="Times New Roman" w:cs="Times New Roman"/>
          <w:szCs w:val="22"/>
        </w:rPr>
        <w:t xml:space="preserve"> des enquêtes éventuelles auprès des bénéficiaires et des parties prenantes)</w:t>
      </w:r>
      <w:r w:rsidR="00186E50" w:rsidRPr="00FB5D79">
        <w:rPr>
          <w:rFonts w:ascii="Times New Roman" w:hAnsi="Times New Roman" w:cs="Times New Roman"/>
          <w:szCs w:val="22"/>
        </w:rPr>
        <w:t>;</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 xml:space="preserve"> les</w:t>
      </w:r>
      <w:r w:rsidR="00D822F9" w:rsidRPr="00FB5D79">
        <w:rPr>
          <w:rFonts w:ascii="Times New Roman" w:hAnsi="Times New Roman" w:cs="Times New Roman"/>
          <w:szCs w:val="22"/>
        </w:rPr>
        <w:t xml:space="preserve"> méthodes d</w:t>
      </w:r>
      <w:r w:rsidR="00646944" w:rsidRPr="00FB5D79">
        <w:rPr>
          <w:rFonts w:ascii="Times New Roman" w:hAnsi="Times New Roman" w:cs="Times New Roman"/>
          <w:szCs w:val="22"/>
        </w:rPr>
        <w:t>’</w:t>
      </w:r>
      <w:r w:rsidR="00D822F9" w:rsidRPr="00FB5D79">
        <w:rPr>
          <w:rFonts w:ascii="Times New Roman" w:hAnsi="Times New Roman" w:cs="Times New Roman"/>
          <w:szCs w:val="22"/>
        </w:rPr>
        <w:t>analyse des données</w:t>
      </w:r>
      <w:r w:rsidR="00186E50" w:rsidRPr="00FB5D79">
        <w:rPr>
          <w:rFonts w:ascii="Times New Roman" w:hAnsi="Times New Roman" w:cs="Times New Roman"/>
          <w:szCs w:val="22"/>
        </w:rPr>
        <w:t>;</w:t>
      </w:r>
      <w:r w:rsidR="00677D1C" w:rsidRPr="00FB5D79">
        <w:rPr>
          <w:rFonts w:ascii="Times New Roman" w:hAnsi="Times New Roman" w:cs="Times New Roman"/>
          <w:szCs w:val="22"/>
        </w:rPr>
        <w:t xml:space="preserve"> </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la liste des principales</w:t>
      </w:r>
      <w:r w:rsidR="00D822F9" w:rsidRPr="00FB5D79">
        <w:rPr>
          <w:rFonts w:ascii="Times New Roman" w:hAnsi="Times New Roman" w:cs="Times New Roman"/>
          <w:szCs w:val="22"/>
        </w:rPr>
        <w:t xml:space="preserve"> parties prenantes à interroger</w:t>
      </w:r>
      <w:r w:rsidR="00186E50" w:rsidRPr="00FB5D79">
        <w:rPr>
          <w:rFonts w:ascii="Times New Roman" w:hAnsi="Times New Roman" w:cs="Times New Roman"/>
          <w:szCs w:val="22"/>
        </w:rPr>
        <w:t>;</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 xml:space="preserve"> </w:t>
      </w:r>
      <w:r w:rsidR="00D822F9" w:rsidRPr="00FB5D79">
        <w:rPr>
          <w:rFonts w:ascii="Times New Roman" w:hAnsi="Times New Roman" w:cs="Times New Roman"/>
          <w:szCs w:val="22"/>
        </w:rPr>
        <w:t>des questions d</w:t>
      </w:r>
      <w:r w:rsidR="00646944" w:rsidRPr="00FB5D79">
        <w:rPr>
          <w:rFonts w:ascii="Times New Roman" w:hAnsi="Times New Roman" w:cs="Times New Roman"/>
          <w:szCs w:val="22"/>
        </w:rPr>
        <w:t>’</w:t>
      </w:r>
      <w:r w:rsidR="00D822F9" w:rsidRPr="00FB5D79">
        <w:rPr>
          <w:rFonts w:ascii="Times New Roman" w:hAnsi="Times New Roman" w:cs="Times New Roman"/>
          <w:szCs w:val="22"/>
        </w:rPr>
        <w:t>évaluation supplémentaires</w:t>
      </w:r>
      <w:r w:rsidR="00186E50" w:rsidRPr="00FB5D79">
        <w:rPr>
          <w:rFonts w:ascii="Times New Roman" w:hAnsi="Times New Roman" w:cs="Times New Roman"/>
          <w:szCs w:val="22"/>
        </w:rPr>
        <w:t>;</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 xml:space="preserve"> </w:t>
      </w:r>
      <w:r w:rsidR="00D822F9" w:rsidRPr="00FB5D79">
        <w:rPr>
          <w:rFonts w:ascii="Times New Roman" w:hAnsi="Times New Roman" w:cs="Times New Roman"/>
          <w:szCs w:val="22"/>
        </w:rPr>
        <w:t>des critères d</w:t>
      </w:r>
      <w:r w:rsidR="00646944" w:rsidRPr="00FB5D79">
        <w:rPr>
          <w:rFonts w:ascii="Times New Roman" w:hAnsi="Times New Roman" w:cs="Times New Roman"/>
          <w:szCs w:val="22"/>
        </w:rPr>
        <w:t>’</w:t>
      </w:r>
      <w:r w:rsidR="00677D1C" w:rsidRPr="00FB5D79">
        <w:rPr>
          <w:rFonts w:ascii="Times New Roman" w:hAnsi="Times New Roman" w:cs="Times New Roman"/>
          <w:szCs w:val="22"/>
        </w:rPr>
        <w:t xml:space="preserve">évaluation des performances;  un plan </w:t>
      </w:r>
      <w:r w:rsidR="00D822F9" w:rsidRPr="00FB5D79">
        <w:rPr>
          <w:rFonts w:ascii="Times New Roman" w:hAnsi="Times New Roman" w:cs="Times New Roman"/>
          <w:szCs w:val="22"/>
        </w:rPr>
        <w:t>d</w:t>
      </w:r>
      <w:r w:rsidR="00646944" w:rsidRPr="00FB5D79">
        <w:rPr>
          <w:rFonts w:ascii="Times New Roman" w:hAnsi="Times New Roman" w:cs="Times New Roman"/>
          <w:szCs w:val="22"/>
        </w:rPr>
        <w:t>’</w:t>
      </w:r>
      <w:r w:rsidR="00D822F9" w:rsidRPr="00FB5D79">
        <w:rPr>
          <w:rFonts w:ascii="Times New Roman" w:hAnsi="Times New Roman" w:cs="Times New Roman"/>
          <w:szCs w:val="22"/>
        </w:rPr>
        <w:t>évaluation</w:t>
      </w:r>
      <w:r w:rsidR="00186E50" w:rsidRPr="00FB5D79">
        <w:rPr>
          <w:rFonts w:ascii="Times New Roman" w:hAnsi="Times New Roman" w:cs="Times New Roman"/>
          <w:szCs w:val="22"/>
        </w:rPr>
        <w:t>;</w:t>
      </w:r>
    </w:p>
    <w:p w14:paraId="440C2642" w14:textId="77777777" w:rsidR="00D822F9" w:rsidRPr="00FB5D79" w:rsidRDefault="00D822F9" w:rsidP="006B770B">
      <w:pPr>
        <w:ind w:left="567"/>
        <w:rPr>
          <w:rFonts w:ascii="Times New Roman" w:hAnsi="Times New Roman" w:cs="Times New Roman"/>
          <w:szCs w:val="22"/>
        </w:rPr>
      </w:pPr>
    </w:p>
    <w:p w14:paraId="4EF51EBD" w14:textId="384DFDF6" w:rsidR="00646944" w:rsidRPr="00FB5D79" w:rsidRDefault="00D822F9" w:rsidP="006B770B">
      <w:pPr>
        <w:ind w:left="567"/>
        <w:rPr>
          <w:rFonts w:ascii="Times New Roman" w:hAnsi="Times New Roman" w:cs="Times New Roman"/>
          <w:szCs w:val="22"/>
        </w:rPr>
      </w:pPr>
      <w:r w:rsidRPr="00FB5D79">
        <w:rPr>
          <w:rFonts w:ascii="Times New Roman" w:hAnsi="Times New Roman" w:cs="Times New Roman"/>
          <w:szCs w:val="22"/>
        </w:rPr>
        <w:t xml:space="preserve">b) </w:t>
      </w:r>
      <w:r w:rsidR="00214CA3" w:rsidRPr="00FB5D79">
        <w:rPr>
          <w:rFonts w:ascii="Times New Roman" w:hAnsi="Times New Roman" w:cs="Times New Roman"/>
          <w:szCs w:val="22"/>
        </w:rPr>
        <w:t>Un p</w:t>
      </w:r>
      <w:r w:rsidRPr="00FB5D79">
        <w:rPr>
          <w:rFonts w:ascii="Times New Roman" w:hAnsi="Times New Roman" w:cs="Times New Roman"/>
          <w:szCs w:val="22"/>
        </w:rPr>
        <w:t>rojet de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assorti de recommandations concrètes découlant des </w:t>
      </w:r>
      <w:r w:rsidR="003C202B" w:rsidRPr="00FB5D79">
        <w:rPr>
          <w:rFonts w:ascii="Times New Roman" w:hAnsi="Times New Roman" w:cs="Times New Roman"/>
          <w:szCs w:val="22"/>
        </w:rPr>
        <w:t xml:space="preserve">observations et des </w:t>
      </w:r>
      <w:r w:rsidR="00677D1C" w:rsidRPr="00FB5D79">
        <w:rPr>
          <w:rFonts w:ascii="Times New Roman" w:hAnsi="Times New Roman" w:cs="Times New Roman"/>
          <w:szCs w:val="22"/>
        </w:rPr>
        <w:t>c</w:t>
      </w:r>
      <w:r w:rsidR="003C202B" w:rsidRPr="00FB5D79">
        <w:rPr>
          <w:rFonts w:ascii="Times New Roman" w:hAnsi="Times New Roman" w:cs="Times New Roman"/>
          <w:szCs w:val="22"/>
        </w:rPr>
        <w:t>onclusions</w:t>
      </w:r>
      <w:r w:rsidR="00186E50" w:rsidRPr="00FB5D79">
        <w:rPr>
          <w:rFonts w:ascii="Times New Roman" w:hAnsi="Times New Roman" w:cs="Times New Roman"/>
          <w:szCs w:val="22"/>
        </w:rPr>
        <w:t>;</w:t>
      </w:r>
    </w:p>
    <w:p w14:paraId="132B760E" w14:textId="5AAD8C88" w:rsidR="00D822F9" w:rsidRPr="00FB5D79" w:rsidRDefault="00D822F9" w:rsidP="006B770B">
      <w:pPr>
        <w:ind w:left="567"/>
        <w:rPr>
          <w:rFonts w:ascii="Times New Roman" w:hAnsi="Times New Roman" w:cs="Times New Roman"/>
          <w:szCs w:val="22"/>
        </w:rPr>
      </w:pPr>
    </w:p>
    <w:p w14:paraId="055CC05F" w14:textId="691F2540" w:rsidR="00D822F9" w:rsidRPr="00FB5D79" w:rsidRDefault="00214CA3" w:rsidP="006B770B">
      <w:pPr>
        <w:ind w:left="567"/>
        <w:rPr>
          <w:rFonts w:ascii="Times New Roman" w:hAnsi="Times New Roman" w:cs="Times New Roman"/>
          <w:szCs w:val="22"/>
        </w:rPr>
      </w:pPr>
      <w:r w:rsidRPr="00FB5D79">
        <w:rPr>
          <w:rFonts w:ascii="Times New Roman" w:hAnsi="Times New Roman" w:cs="Times New Roman"/>
          <w:szCs w:val="22"/>
        </w:rPr>
        <w:t>c) Un r</w:t>
      </w:r>
      <w:r w:rsidR="00D822F9" w:rsidRPr="00FB5D79">
        <w:rPr>
          <w:rFonts w:ascii="Times New Roman" w:hAnsi="Times New Roman" w:cs="Times New Roman"/>
          <w:szCs w:val="22"/>
        </w:rPr>
        <w:t>apport d</w:t>
      </w:r>
      <w:r w:rsidR="00646944" w:rsidRPr="00FB5D79">
        <w:rPr>
          <w:rFonts w:ascii="Times New Roman" w:hAnsi="Times New Roman" w:cs="Times New Roman"/>
          <w:szCs w:val="22"/>
        </w:rPr>
        <w:t>’</w:t>
      </w:r>
      <w:r w:rsidR="00D822F9" w:rsidRPr="00FB5D79">
        <w:rPr>
          <w:rFonts w:ascii="Times New Roman" w:hAnsi="Times New Roman" w:cs="Times New Roman"/>
          <w:szCs w:val="22"/>
        </w:rPr>
        <w:t>évaluation final</w:t>
      </w:r>
      <w:r w:rsidR="00186E50" w:rsidRPr="00FB5D79">
        <w:rPr>
          <w:rFonts w:ascii="Times New Roman" w:hAnsi="Times New Roman" w:cs="Times New Roman"/>
          <w:szCs w:val="22"/>
        </w:rPr>
        <w:t>;</w:t>
      </w:r>
    </w:p>
    <w:p w14:paraId="524CA25A" w14:textId="77777777" w:rsidR="00D822F9" w:rsidRPr="00FB5D79" w:rsidRDefault="00D822F9" w:rsidP="006B770B">
      <w:pPr>
        <w:ind w:left="567"/>
        <w:rPr>
          <w:rFonts w:ascii="Times New Roman" w:hAnsi="Times New Roman" w:cs="Times New Roman"/>
          <w:szCs w:val="22"/>
        </w:rPr>
      </w:pPr>
    </w:p>
    <w:p w14:paraId="6BD838BF" w14:textId="5C869673" w:rsidR="00191437" w:rsidRPr="00FB5D79" w:rsidRDefault="00D822F9" w:rsidP="006B770B">
      <w:pPr>
        <w:ind w:left="567"/>
        <w:rPr>
          <w:rFonts w:ascii="Times New Roman" w:hAnsi="Times New Roman" w:cs="Times New Roman"/>
          <w:szCs w:val="22"/>
        </w:rPr>
      </w:pPr>
      <w:r w:rsidRPr="00FB5D79">
        <w:rPr>
          <w:rFonts w:ascii="Times New Roman" w:hAnsi="Times New Roman" w:cs="Times New Roman"/>
          <w:szCs w:val="22"/>
        </w:rPr>
        <w:t>d) Un résumé complet du rapport d</w:t>
      </w:r>
      <w:r w:rsidR="00646944" w:rsidRPr="00FB5D79">
        <w:rPr>
          <w:rFonts w:ascii="Times New Roman" w:hAnsi="Times New Roman" w:cs="Times New Roman"/>
          <w:szCs w:val="22"/>
        </w:rPr>
        <w:t>’</w:t>
      </w:r>
      <w:r w:rsidRPr="00FB5D79">
        <w:rPr>
          <w:rFonts w:ascii="Times New Roman" w:hAnsi="Times New Roman" w:cs="Times New Roman"/>
          <w:szCs w:val="22"/>
        </w:rPr>
        <w:t>évaluation final, structuré comme suit</w:t>
      </w:r>
      <w:r w:rsidR="00965F3A">
        <w:rPr>
          <w:rFonts w:ascii="Times New Roman" w:hAnsi="Times New Roman" w:cs="Times New Roman"/>
          <w:szCs w:val="22"/>
        </w:rPr>
        <w:t> :</w:t>
      </w:r>
    </w:p>
    <w:p w14:paraId="6105D7D1" w14:textId="77777777" w:rsidR="00191437" w:rsidRPr="00FB5D79" w:rsidRDefault="00191437" w:rsidP="006B770B">
      <w:pPr>
        <w:ind w:left="567"/>
        <w:rPr>
          <w:rFonts w:ascii="Times New Roman" w:hAnsi="Times New Roman" w:cs="Times New Roman"/>
          <w:szCs w:val="22"/>
        </w:rPr>
      </w:pPr>
    </w:p>
    <w:p w14:paraId="3BF14291" w14:textId="5343BE18" w:rsidR="00646944" w:rsidRPr="00FB5D79" w:rsidRDefault="00191437" w:rsidP="006B770B">
      <w:pPr>
        <w:ind w:left="1134" w:firstLine="14"/>
        <w:rPr>
          <w:rFonts w:ascii="Times New Roman" w:hAnsi="Times New Roman" w:cs="Times New Roman"/>
          <w:szCs w:val="22"/>
        </w:rPr>
      </w:pPr>
      <w:r w:rsidRPr="00FB5D79">
        <w:rPr>
          <w:rFonts w:ascii="Times New Roman" w:hAnsi="Times New Roman" w:cs="Times New Roman"/>
          <w:szCs w:val="22"/>
        </w:rPr>
        <w:t>i)</w:t>
      </w:r>
      <w:r w:rsidRPr="00FB5D79">
        <w:rPr>
          <w:rFonts w:ascii="Times New Roman" w:hAnsi="Times New Roman" w:cs="Times New Roman"/>
          <w:szCs w:val="22"/>
        </w:rPr>
        <w:tab/>
      </w:r>
      <w:r w:rsidR="00D822F9" w:rsidRPr="00FB5D79">
        <w:rPr>
          <w:rFonts w:ascii="Times New Roman" w:hAnsi="Times New Roman" w:cs="Times New Roman"/>
          <w:szCs w:val="22"/>
        </w:rPr>
        <w:t>Description de la méthodologie d</w:t>
      </w:r>
      <w:r w:rsidR="00646944" w:rsidRPr="00FB5D79">
        <w:rPr>
          <w:rFonts w:ascii="Times New Roman" w:hAnsi="Times New Roman" w:cs="Times New Roman"/>
          <w:szCs w:val="22"/>
        </w:rPr>
        <w:t>’</w:t>
      </w:r>
      <w:r w:rsidR="00D822F9" w:rsidRPr="00FB5D79">
        <w:rPr>
          <w:rFonts w:ascii="Times New Roman" w:hAnsi="Times New Roman" w:cs="Times New Roman"/>
          <w:szCs w:val="22"/>
        </w:rPr>
        <w:t>évaluation utilisée</w:t>
      </w:r>
      <w:r w:rsidR="00186E50" w:rsidRPr="00FB5D79">
        <w:rPr>
          <w:rFonts w:ascii="Times New Roman" w:hAnsi="Times New Roman" w:cs="Times New Roman"/>
          <w:szCs w:val="22"/>
        </w:rPr>
        <w:t>;</w:t>
      </w:r>
    </w:p>
    <w:p w14:paraId="1148E457" w14:textId="475C5337" w:rsidR="00D822F9" w:rsidRPr="00FB5D79" w:rsidRDefault="00D822F9" w:rsidP="006B770B">
      <w:pPr>
        <w:ind w:left="1134" w:firstLine="14"/>
        <w:rPr>
          <w:rFonts w:ascii="Times New Roman" w:hAnsi="Times New Roman" w:cs="Times New Roman"/>
          <w:szCs w:val="22"/>
        </w:rPr>
      </w:pPr>
    </w:p>
    <w:p w14:paraId="346CA65D" w14:textId="4CACD741" w:rsidR="00D822F9" w:rsidRPr="00FB5D79" w:rsidRDefault="00677D1C" w:rsidP="006B770B">
      <w:pPr>
        <w:ind w:left="1134" w:firstLine="14"/>
        <w:rPr>
          <w:rFonts w:ascii="Times New Roman" w:hAnsi="Times New Roman" w:cs="Times New Roman"/>
          <w:szCs w:val="22"/>
        </w:rPr>
      </w:pPr>
      <w:r w:rsidRPr="00FB5D79">
        <w:rPr>
          <w:rFonts w:ascii="Times New Roman" w:hAnsi="Times New Roman" w:cs="Times New Roman"/>
          <w:szCs w:val="22"/>
        </w:rPr>
        <w:t>ii)</w:t>
      </w:r>
      <w:r w:rsidRPr="00FB5D79">
        <w:rPr>
          <w:rFonts w:ascii="Times New Roman" w:hAnsi="Times New Roman" w:cs="Times New Roman"/>
          <w:szCs w:val="22"/>
        </w:rPr>
        <w:tab/>
      </w:r>
      <w:r w:rsidR="00D822F9" w:rsidRPr="00FB5D79">
        <w:rPr>
          <w:rFonts w:ascii="Times New Roman" w:hAnsi="Times New Roman" w:cs="Times New Roman"/>
          <w:szCs w:val="22"/>
        </w:rPr>
        <w:t xml:space="preserve">Résumé des principales </w:t>
      </w:r>
      <w:r w:rsidR="003C202B" w:rsidRPr="00FB5D79">
        <w:rPr>
          <w:rFonts w:ascii="Times New Roman" w:hAnsi="Times New Roman" w:cs="Times New Roman"/>
          <w:szCs w:val="22"/>
        </w:rPr>
        <w:t>observations</w:t>
      </w:r>
      <w:r w:rsidRPr="00FB5D79">
        <w:rPr>
          <w:rFonts w:ascii="Times New Roman" w:hAnsi="Times New Roman" w:cs="Times New Roman"/>
          <w:szCs w:val="22"/>
        </w:rPr>
        <w:t xml:space="preserve"> </w:t>
      </w:r>
      <w:r w:rsidR="003C202B" w:rsidRPr="00FB5D79">
        <w:rPr>
          <w:rFonts w:ascii="Times New Roman" w:hAnsi="Times New Roman" w:cs="Times New Roman"/>
          <w:szCs w:val="22"/>
        </w:rPr>
        <w:t xml:space="preserve">factuelles </w:t>
      </w:r>
      <w:r w:rsidRPr="00FB5D79">
        <w:rPr>
          <w:rFonts w:ascii="Times New Roman" w:hAnsi="Times New Roman" w:cs="Times New Roman"/>
          <w:szCs w:val="22"/>
        </w:rPr>
        <w:t>quant aux</w:t>
      </w:r>
      <w:r w:rsidR="00D822F9" w:rsidRPr="00FB5D79">
        <w:rPr>
          <w:rFonts w:ascii="Times New Roman" w:hAnsi="Times New Roman" w:cs="Times New Roman"/>
          <w:szCs w:val="22"/>
        </w:rPr>
        <w:t xml:space="preserve"> principales questions </w:t>
      </w:r>
      <w:r w:rsidRPr="00FB5D79">
        <w:rPr>
          <w:rFonts w:ascii="Times New Roman" w:hAnsi="Times New Roman" w:cs="Times New Roman"/>
          <w:szCs w:val="22"/>
        </w:rPr>
        <w:t>évaluées</w:t>
      </w:r>
      <w:r w:rsidR="00186E50" w:rsidRPr="00FB5D79">
        <w:rPr>
          <w:rFonts w:ascii="Times New Roman" w:hAnsi="Times New Roman" w:cs="Times New Roman"/>
          <w:szCs w:val="22"/>
        </w:rPr>
        <w:t>;</w:t>
      </w:r>
    </w:p>
    <w:p w14:paraId="4736FF92" w14:textId="77777777" w:rsidR="00D822F9" w:rsidRPr="00FB5D79" w:rsidRDefault="00D822F9" w:rsidP="006B770B">
      <w:pPr>
        <w:ind w:left="1134" w:firstLine="14"/>
        <w:rPr>
          <w:rFonts w:ascii="Times New Roman" w:hAnsi="Times New Roman" w:cs="Times New Roman"/>
          <w:szCs w:val="22"/>
        </w:rPr>
      </w:pPr>
    </w:p>
    <w:p w14:paraId="23F77050" w14:textId="6EE47015" w:rsidR="00D822F9" w:rsidRPr="00FB5D79" w:rsidRDefault="00677D1C" w:rsidP="006B770B">
      <w:pPr>
        <w:ind w:left="1134" w:firstLine="14"/>
        <w:rPr>
          <w:rFonts w:ascii="Times New Roman" w:hAnsi="Times New Roman" w:cs="Times New Roman"/>
          <w:szCs w:val="22"/>
        </w:rPr>
      </w:pPr>
      <w:r w:rsidRPr="00FB5D79">
        <w:rPr>
          <w:rFonts w:ascii="Times New Roman" w:hAnsi="Times New Roman" w:cs="Times New Roman"/>
          <w:szCs w:val="22"/>
        </w:rPr>
        <w:t>iii)</w:t>
      </w:r>
      <w:r w:rsidRPr="00FB5D79">
        <w:rPr>
          <w:rFonts w:ascii="Times New Roman" w:hAnsi="Times New Roman" w:cs="Times New Roman"/>
          <w:szCs w:val="22"/>
        </w:rPr>
        <w:tab/>
      </w:r>
      <w:r w:rsidR="003C202B" w:rsidRPr="00FB5D79">
        <w:rPr>
          <w:rFonts w:ascii="Times New Roman" w:hAnsi="Times New Roman" w:cs="Times New Roman"/>
          <w:szCs w:val="22"/>
        </w:rPr>
        <w:t>C</w:t>
      </w:r>
      <w:r w:rsidR="00D822F9" w:rsidRPr="00FB5D79">
        <w:rPr>
          <w:rFonts w:ascii="Times New Roman" w:hAnsi="Times New Roman" w:cs="Times New Roman"/>
          <w:szCs w:val="22"/>
        </w:rPr>
        <w:t>onclusions tirées de ces constatations</w:t>
      </w:r>
      <w:r w:rsidR="00186E50" w:rsidRPr="00FB5D79">
        <w:rPr>
          <w:rFonts w:ascii="Times New Roman" w:hAnsi="Times New Roman" w:cs="Times New Roman"/>
          <w:szCs w:val="22"/>
        </w:rPr>
        <w:t>;</w:t>
      </w:r>
    </w:p>
    <w:p w14:paraId="669C7298" w14:textId="77777777" w:rsidR="00D822F9" w:rsidRPr="00FB5D79" w:rsidRDefault="00D822F9" w:rsidP="006B770B">
      <w:pPr>
        <w:ind w:left="1134" w:firstLine="14"/>
        <w:rPr>
          <w:rFonts w:ascii="Times New Roman" w:hAnsi="Times New Roman" w:cs="Times New Roman"/>
          <w:szCs w:val="22"/>
        </w:rPr>
      </w:pPr>
    </w:p>
    <w:p w14:paraId="040E984B" w14:textId="77777777" w:rsidR="00646944" w:rsidRPr="00FB5D79" w:rsidRDefault="00677D1C" w:rsidP="006B770B">
      <w:pPr>
        <w:ind w:left="1134" w:firstLine="14"/>
        <w:rPr>
          <w:rFonts w:ascii="Times New Roman" w:hAnsi="Times New Roman" w:cs="Times New Roman"/>
          <w:szCs w:val="22"/>
        </w:rPr>
      </w:pPr>
      <w:r w:rsidRPr="00FB5D79">
        <w:rPr>
          <w:rFonts w:ascii="Times New Roman" w:hAnsi="Times New Roman" w:cs="Times New Roman"/>
          <w:szCs w:val="22"/>
        </w:rPr>
        <w:t>iv)</w:t>
      </w:r>
      <w:r w:rsidRPr="00FB5D79">
        <w:rPr>
          <w:rFonts w:ascii="Times New Roman" w:hAnsi="Times New Roman" w:cs="Times New Roman"/>
          <w:szCs w:val="22"/>
        </w:rPr>
        <w:tab/>
      </w:r>
      <w:r w:rsidR="00D822F9" w:rsidRPr="00FB5D79">
        <w:rPr>
          <w:rFonts w:ascii="Times New Roman" w:hAnsi="Times New Roman" w:cs="Times New Roman"/>
          <w:szCs w:val="22"/>
        </w:rPr>
        <w:t>Recommandations découlant des conclusions et des enseignements tirés.</w:t>
      </w:r>
    </w:p>
    <w:p w14:paraId="0E76C8D7" w14:textId="3193897F" w:rsidR="00191437" w:rsidRPr="00FB5D79" w:rsidRDefault="00191437" w:rsidP="006B770B">
      <w:pPr>
        <w:rPr>
          <w:rFonts w:ascii="Times New Roman" w:hAnsi="Times New Roman" w:cs="Times New Roman"/>
          <w:szCs w:val="22"/>
        </w:rPr>
      </w:pPr>
    </w:p>
    <w:p w14:paraId="7E038EC8" w14:textId="56BDEE07" w:rsidR="00191437" w:rsidRPr="00FB5D79" w:rsidRDefault="00D822F9"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A34591" w:rsidRPr="00FB5D79">
        <w:rPr>
          <w:rFonts w:ascii="Times New Roman" w:hAnsi="Times New Roman" w:cs="Times New Roman"/>
          <w:szCs w:val="22"/>
        </w:rPr>
        <w:t>du projet devrait débuter le 10 </w:t>
      </w:r>
      <w:r w:rsidRPr="00FB5D79">
        <w:rPr>
          <w:rFonts w:ascii="Times New Roman" w:hAnsi="Times New Roman" w:cs="Times New Roman"/>
          <w:szCs w:val="22"/>
        </w:rPr>
        <w:t>ju</w:t>
      </w:r>
      <w:r w:rsidR="00A34591" w:rsidRPr="00FB5D79">
        <w:rPr>
          <w:rFonts w:ascii="Times New Roman" w:hAnsi="Times New Roman" w:cs="Times New Roman"/>
          <w:szCs w:val="22"/>
        </w:rPr>
        <w:t>illet 2018 et se terminer le 15 </w:t>
      </w:r>
      <w:r w:rsidRPr="00FB5D79">
        <w:rPr>
          <w:rFonts w:ascii="Times New Roman" w:hAnsi="Times New Roman" w:cs="Times New Roman"/>
          <w:szCs w:val="22"/>
        </w:rPr>
        <w:t>septembre</w:t>
      </w:r>
      <w:r w:rsidR="00A34591" w:rsidRPr="00FB5D79">
        <w:rPr>
          <w:rFonts w:ascii="Times New Roman" w:hAnsi="Times New Roman" w:cs="Times New Roman"/>
          <w:szCs w:val="22"/>
        </w:rPr>
        <w:t> </w:t>
      </w:r>
      <w:r w:rsidRPr="00FB5D79">
        <w:rPr>
          <w:rFonts w:ascii="Times New Roman" w:hAnsi="Times New Roman" w:cs="Times New Roman"/>
          <w:szCs w:val="22"/>
        </w:rPr>
        <w:t>2018.</w:t>
      </w:r>
      <w:r w:rsidR="00A34591" w:rsidRPr="00FB5D79">
        <w:rPr>
          <w:rFonts w:ascii="Times New Roman" w:hAnsi="Times New Roman" w:cs="Times New Roman"/>
          <w:szCs w:val="22"/>
        </w:rPr>
        <w:t xml:space="preserve"> </w:t>
      </w:r>
      <w:r w:rsidRPr="00FB5D79">
        <w:rPr>
          <w:rFonts w:ascii="Times New Roman" w:hAnsi="Times New Roman" w:cs="Times New Roman"/>
          <w:szCs w:val="22"/>
        </w:rPr>
        <w:t xml:space="preserve"> Les rapports seront rédigés en anglais.</w:t>
      </w:r>
    </w:p>
    <w:p w14:paraId="69899513" w14:textId="77777777" w:rsidR="00191437" w:rsidRPr="00FB5D79" w:rsidRDefault="00191437" w:rsidP="006B770B">
      <w:pPr>
        <w:rPr>
          <w:rFonts w:ascii="Times New Roman" w:hAnsi="Times New Roman" w:cs="Times New Roman"/>
          <w:szCs w:val="22"/>
        </w:rPr>
      </w:pPr>
    </w:p>
    <w:p w14:paraId="5E28F502" w14:textId="625404B0" w:rsidR="00191437" w:rsidRPr="00E12E2F" w:rsidRDefault="00457E35" w:rsidP="00E12E2F">
      <w:pPr>
        <w:rPr>
          <w:rFonts w:ascii="Times New Roman" w:hAnsi="Times New Roman" w:cs="Times New Roman"/>
          <w:b/>
        </w:rPr>
      </w:pPr>
      <w:r w:rsidRPr="00E12E2F">
        <w:rPr>
          <w:rFonts w:ascii="Times New Roman" w:hAnsi="Times New Roman" w:cs="Times New Roman"/>
          <w:b/>
        </w:rPr>
        <w:lastRenderedPageBreak/>
        <w:t>Établissement</w:t>
      </w:r>
      <w:r w:rsidR="00D822F9" w:rsidRPr="00E12E2F">
        <w:rPr>
          <w:rFonts w:ascii="Times New Roman" w:hAnsi="Times New Roman" w:cs="Times New Roman"/>
          <w:b/>
        </w:rPr>
        <w:t xml:space="preserve"> de</w:t>
      </w:r>
      <w:r w:rsidR="00294314" w:rsidRPr="00E12E2F">
        <w:rPr>
          <w:rFonts w:ascii="Times New Roman" w:hAnsi="Times New Roman" w:cs="Times New Roman"/>
          <w:b/>
        </w:rPr>
        <w:t>s</w:t>
      </w:r>
      <w:r w:rsidR="00D822F9" w:rsidRPr="00E12E2F">
        <w:rPr>
          <w:rFonts w:ascii="Times New Roman" w:hAnsi="Times New Roman" w:cs="Times New Roman"/>
          <w:b/>
        </w:rPr>
        <w:t xml:space="preserve"> rapports</w:t>
      </w:r>
    </w:p>
    <w:p w14:paraId="6AEAFBA5" w14:textId="77777777" w:rsidR="00553827" w:rsidRPr="00FB5D79" w:rsidRDefault="00553827" w:rsidP="006B770B">
      <w:pPr>
        <w:keepNext/>
        <w:widowControl w:val="0"/>
        <w:overflowPunct w:val="0"/>
        <w:adjustRightInd w:val="0"/>
        <w:spacing w:after="60"/>
        <w:contextualSpacing/>
        <w:rPr>
          <w:rFonts w:ascii="Times New Roman" w:hAnsi="Times New Roman" w:cs="Times New Roman"/>
          <w:b/>
          <w:szCs w:val="22"/>
        </w:rPr>
      </w:pPr>
    </w:p>
    <w:p w14:paraId="644C3846" w14:textId="59B95923" w:rsidR="00191437" w:rsidRPr="00FB5D79" w:rsidRDefault="00D822F9"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évaluateur sera sous la supervision du directeur </w:t>
      </w:r>
      <w:r w:rsidR="00D54848" w:rsidRPr="00FB5D79">
        <w:rPr>
          <w:rFonts w:ascii="Times New Roman" w:hAnsi="Times New Roman" w:cs="Times New Roman"/>
          <w:szCs w:val="22"/>
        </w:rPr>
        <w:t>de la Division de la coordination du Plan d</w:t>
      </w:r>
      <w:r w:rsidR="00646944" w:rsidRPr="00FB5D79">
        <w:rPr>
          <w:rFonts w:ascii="Times New Roman" w:hAnsi="Times New Roman" w:cs="Times New Roman"/>
          <w:szCs w:val="22"/>
        </w:rPr>
        <w:t>’</w:t>
      </w:r>
      <w:r w:rsidR="00D54848" w:rsidRPr="00FB5D79">
        <w:rPr>
          <w:rFonts w:ascii="Times New Roman" w:hAnsi="Times New Roman" w:cs="Times New Roman"/>
          <w:szCs w:val="22"/>
        </w:rPr>
        <w:t>action pour le développeme</w:t>
      </w:r>
      <w:r w:rsidR="00172764" w:rsidRPr="00FB5D79">
        <w:rPr>
          <w:rFonts w:ascii="Times New Roman" w:hAnsi="Times New Roman" w:cs="Times New Roman"/>
          <w:szCs w:val="22"/>
        </w:rPr>
        <w:t>nt.  En</w:t>
      </w:r>
      <w:r w:rsidRPr="00FB5D79">
        <w:rPr>
          <w:rFonts w:ascii="Times New Roman" w:hAnsi="Times New Roman" w:cs="Times New Roman"/>
          <w:szCs w:val="22"/>
        </w:rPr>
        <w:t xml:space="preserve"> outre,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évaluateur </w:t>
      </w:r>
      <w:r w:rsidR="00294314" w:rsidRPr="00FB5D79">
        <w:rPr>
          <w:rFonts w:ascii="Times New Roman" w:hAnsi="Times New Roman" w:cs="Times New Roman"/>
          <w:szCs w:val="22"/>
        </w:rPr>
        <w:t>devra</w:t>
      </w:r>
      <w:r w:rsidR="00965F3A">
        <w:rPr>
          <w:rFonts w:ascii="Times New Roman" w:hAnsi="Times New Roman" w:cs="Times New Roman"/>
          <w:szCs w:val="22"/>
        </w:rPr>
        <w:t> :</w:t>
      </w:r>
    </w:p>
    <w:p w14:paraId="5B17BA82" w14:textId="77777777" w:rsidR="00191437" w:rsidRPr="00FB5D79" w:rsidRDefault="00191437" w:rsidP="006B770B">
      <w:pPr>
        <w:ind w:left="720"/>
        <w:rPr>
          <w:rFonts w:ascii="Times New Roman" w:hAnsi="Times New Roman" w:cs="Times New Roman"/>
          <w:szCs w:val="22"/>
        </w:rPr>
      </w:pPr>
    </w:p>
    <w:p w14:paraId="630DD0F8" w14:textId="033B258B" w:rsidR="00D822F9" w:rsidRPr="00FB5D79" w:rsidRDefault="00D822F9" w:rsidP="006B770B">
      <w:pPr>
        <w:pStyle w:val="ListParagraph"/>
        <w:numPr>
          <w:ilvl w:val="0"/>
          <w:numId w:val="36"/>
        </w:numPr>
        <w:spacing w:after="240"/>
        <w:ind w:left="714" w:hanging="357"/>
        <w:contextualSpacing w:val="0"/>
        <w:rPr>
          <w:rFonts w:ascii="Times New Roman" w:hAnsi="Times New Roman" w:cs="Times New Roman"/>
          <w:szCs w:val="22"/>
        </w:rPr>
      </w:pPr>
      <w:r w:rsidRPr="00FB5D79">
        <w:rPr>
          <w:rFonts w:ascii="Times New Roman" w:hAnsi="Times New Roman" w:cs="Times New Roman"/>
          <w:szCs w:val="22"/>
        </w:rPr>
        <w:t>Travailler en étroite collaboration avec</w:t>
      </w:r>
      <w:r w:rsidR="00D54848" w:rsidRPr="00FB5D79">
        <w:rPr>
          <w:rFonts w:ascii="Times New Roman" w:hAnsi="Times New Roman" w:cs="Times New Roman"/>
          <w:szCs w:val="22"/>
        </w:rPr>
        <w:t xml:space="preserve"> la Division de la coordination du Plan d</w:t>
      </w:r>
      <w:r w:rsidR="00646944" w:rsidRPr="00FB5D79">
        <w:rPr>
          <w:rFonts w:ascii="Times New Roman" w:hAnsi="Times New Roman" w:cs="Times New Roman"/>
          <w:szCs w:val="22"/>
        </w:rPr>
        <w:t>’</w:t>
      </w:r>
      <w:r w:rsidR="00D54848" w:rsidRPr="00FB5D79">
        <w:rPr>
          <w:rFonts w:ascii="Times New Roman" w:hAnsi="Times New Roman" w:cs="Times New Roman"/>
          <w:szCs w:val="22"/>
        </w:rPr>
        <w:t>action pour le développement</w:t>
      </w:r>
      <w:r w:rsidRPr="00FB5D79">
        <w:rPr>
          <w:rFonts w:ascii="Times New Roman" w:hAnsi="Times New Roman" w:cs="Times New Roman"/>
          <w:szCs w:val="22"/>
        </w:rPr>
        <w:t xml:space="preserve"> et la Division de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économie et </w:t>
      </w:r>
      <w:r w:rsidR="003C202B" w:rsidRPr="00FB5D79">
        <w:rPr>
          <w:rFonts w:ascii="Times New Roman" w:hAnsi="Times New Roman" w:cs="Times New Roman"/>
          <w:szCs w:val="22"/>
        </w:rPr>
        <w:t xml:space="preserve">des </w:t>
      </w:r>
      <w:r w:rsidRPr="00FB5D79">
        <w:rPr>
          <w:rFonts w:ascii="Times New Roman" w:hAnsi="Times New Roman" w:cs="Times New Roman"/>
          <w:szCs w:val="22"/>
        </w:rPr>
        <w:t>statistique</w:t>
      </w:r>
      <w:r w:rsidR="003C202B" w:rsidRPr="00FB5D79">
        <w:rPr>
          <w:rFonts w:ascii="Times New Roman" w:hAnsi="Times New Roman" w:cs="Times New Roman"/>
          <w:szCs w:val="22"/>
        </w:rPr>
        <w:t>s</w:t>
      </w:r>
      <w:r w:rsidRPr="00FB5D79">
        <w:rPr>
          <w:rFonts w:ascii="Times New Roman" w:hAnsi="Times New Roman" w:cs="Times New Roman"/>
          <w:szCs w:val="22"/>
        </w:rPr>
        <w:t xml:space="preserve"> </w:t>
      </w:r>
      <w:r w:rsidR="0051345D" w:rsidRPr="00FB5D79">
        <w:rPr>
          <w:rFonts w:ascii="Times New Roman" w:hAnsi="Times New Roman" w:cs="Times New Roman"/>
          <w:szCs w:val="22"/>
        </w:rPr>
        <w:t xml:space="preserve">et </w:t>
      </w:r>
      <w:r w:rsidR="002D617F" w:rsidRPr="00FB5D79">
        <w:rPr>
          <w:rFonts w:ascii="Times New Roman" w:hAnsi="Times New Roman" w:cs="Times New Roman"/>
          <w:szCs w:val="22"/>
        </w:rPr>
        <w:t xml:space="preserve">assurer </w:t>
      </w:r>
      <w:r w:rsidR="00A715C8" w:rsidRPr="00FB5D79">
        <w:rPr>
          <w:rFonts w:ascii="Times New Roman" w:hAnsi="Times New Roman" w:cs="Times New Roman"/>
          <w:szCs w:val="22"/>
        </w:rPr>
        <w:t>la</w:t>
      </w:r>
      <w:r w:rsidR="002D617F" w:rsidRPr="00FB5D79">
        <w:rPr>
          <w:rFonts w:ascii="Times New Roman" w:hAnsi="Times New Roman" w:cs="Times New Roman"/>
          <w:szCs w:val="22"/>
        </w:rPr>
        <w:t xml:space="preserve"> coordination </w:t>
      </w:r>
      <w:r w:rsidR="00A715C8" w:rsidRPr="00FB5D79">
        <w:rPr>
          <w:rFonts w:ascii="Times New Roman" w:hAnsi="Times New Roman" w:cs="Times New Roman"/>
          <w:szCs w:val="22"/>
        </w:rPr>
        <w:t xml:space="preserve">avec </w:t>
      </w:r>
      <w:r w:rsidRPr="00FB5D79">
        <w:rPr>
          <w:rFonts w:ascii="Times New Roman" w:hAnsi="Times New Roman" w:cs="Times New Roman"/>
          <w:szCs w:val="22"/>
        </w:rPr>
        <w:t xml:space="preserve">les </w:t>
      </w:r>
      <w:r w:rsidR="00ED023A" w:rsidRPr="00FB5D79">
        <w:rPr>
          <w:rFonts w:ascii="Times New Roman" w:hAnsi="Times New Roman" w:cs="Times New Roman"/>
          <w:szCs w:val="22"/>
        </w:rPr>
        <w:t>administrateurs</w:t>
      </w:r>
      <w:r w:rsidRPr="00FB5D79">
        <w:rPr>
          <w:rFonts w:ascii="Times New Roman" w:hAnsi="Times New Roman" w:cs="Times New Roman"/>
          <w:szCs w:val="22"/>
        </w:rPr>
        <w:t xml:space="preserve"> de programme de l</w:t>
      </w:r>
      <w:r w:rsidR="00646944" w:rsidRPr="00FB5D79">
        <w:rPr>
          <w:rFonts w:ascii="Times New Roman" w:hAnsi="Times New Roman" w:cs="Times New Roman"/>
          <w:szCs w:val="22"/>
        </w:rPr>
        <w:t>’</w:t>
      </w:r>
      <w:r w:rsidRPr="00FB5D79">
        <w:rPr>
          <w:rFonts w:ascii="Times New Roman" w:hAnsi="Times New Roman" w:cs="Times New Roman"/>
          <w:szCs w:val="22"/>
        </w:rPr>
        <w:t xml:space="preserve">OMPI </w:t>
      </w:r>
      <w:r w:rsidR="002D617F" w:rsidRPr="00FB5D79">
        <w:rPr>
          <w:rFonts w:ascii="Times New Roman" w:hAnsi="Times New Roman" w:cs="Times New Roman"/>
          <w:szCs w:val="22"/>
        </w:rPr>
        <w:t>concernés</w:t>
      </w:r>
      <w:r w:rsidRPr="00FB5D79">
        <w:rPr>
          <w:rFonts w:ascii="Times New Roman" w:hAnsi="Times New Roman" w:cs="Times New Roman"/>
          <w:szCs w:val="22"/>
        </w:rPr>
        <w:t>, le cas échéant</w:t>
      </w:r>
      <w:r w:rsidR="002D617F" w:rsidRPr="00FB5D79">
        <w:rPr>
          <w:rFonts w:ascii="Times New Roman" w:hAnsi="Times New Roman" w:cs="Times New Roman"/>
          <w:szCs w:val="22"/>
        </w:rPr>
        <w:t>;</w:t>
      </w:r>
    </w:p>
    <w:p w14:paraId="3F278E5D" w14:textId="59B04072" w:rsidR="00191437" w:rsidRPr="00FB5D79" w:rsidRDefault="00A715C8" w:rsidP="006B770B">
      <w:pPr>
        <w:pStyle w:val="ListParagraph"/>
        <w:numPr>
          <w:ilvl w:val="0"/>
          <w:numId w:val="36"/>
        </w:numPr>
        <w:rPr>
          <w:rFonts w:ascii="Times New Roman" w:hAnsi="Times New Roman" w:cs="Times New Roman"/>
          <w:szCs w:val="22"/>
        </w:rPr>
      </w:pPr>
      <w:r w:rsidRPr="00FB5D79">
        <w:rPr>
          <w:rFonts w:ascii="Times New Roman" w:hAnsi="Times New Roman" w:cs="Times New Roman"/>
          <w:szCs w:val="22"/>
        </w:rPr>
        <w:t>Veiller à</w:t>
      </w:r>
      <w:r w:rsidR="00D822F9" w:rsidRPr="00FB5D79">
        <w:rPr>
          <w:rFonts w:ascii="Times New Roman" w:hAnsi="Times New Roman" w:cs="Times New Roman"/>
          <w:szCs w:val="22"/>
        </w:rPr>
        <w:t xml:space="preserve"> la qualité des données (validité, cohérence et exactitude) tout au long des phases d</w:t>
      </w:r>
      <w:r w:rsidR="00646944" w:rsidRPr="00FB5D79">
        <w:rPr>
          <w:rFonts w:ascii="Times New Roman" w:hAnsi="Times New Roman" w:cs="Times New Roman"/>
          <w:szCs w:val="22"/>
        </w:rPr>
        <w:t>’</w:t>
      </w:r>
      <w:r w:rsidR="00D822F9" w:rsidRPr="00FB5D79">
        <w:rPr>
          <w:rFonts w:ascii="Times New Roman" w:hAnsi="Times New Roman" w:cs="Times New Roman"/>
          <w:szCs w:val="22"/>
        </w:rPr>
        <w:t xml:space="preserve">établissement de rapports analytiques (rapport initial et rapport </w:t>
      </w:r>
      <w:r w:rsidRPr="00FB5D79">
        <w:rPr>
          <w:rFonts w:ascii="Times New Roman" w:hAnsi="Times New Roman" w:cs="Times New Roman"/>
          <w:szCs w:val="22"/>
        </w:rPr>
        <w:t>d</w:t>
      </w:r>
      <w:r w:rsidR="00646944" w:rsidRPr="00FB5D79">
        <w:rPr>
          <w:rFonts w:ascii="Times New Roman" w:hAnsi="Times New Roman" w:cs="Times New Roman"/>
          <w:szCs w:val="22"/>
        </w:rPr>
        <w:t>’</w:t>
      </w:r>
      <w:r w:rsidRPr="00FB5D79">
        <w:rPr>
          <w:rFonts w:ascii="Times New Roman" w:hAnsi="Times New Roman" w:cs="Times New Roman"/>
          <w:szCs w:val="22"/>
        </w:rPr>
        <w:t>évaluation final</w:t>
      </w:r>
      <w:r w:rsidR="00D822F9" w:rsidRPr="00FB5D79">
        <w:rPr>
          <w:rFonts w:ascii="Times New Roman" w:hAnsi="Times New Roman" w:cs="Times New Roman"/>
          <w:szCs w:val="22"/>
        </w:rPr>
        <w:t>).</w:t>
      </w:r>
    </w:p>
    <w:p w14:paraId="6B8D5A60" w14:textId="77777777" w:rsidR="00191437" w:rsidRPr="00FB5D79" w:rsidRDefault="00191437" w:rsidP="006B770B">
      <w:pPr>
        <w:rPr>
          <w:rFonts w:ascii="Times New Roman" w:hAnsi="Times New Roman" w:cs="Times New Roman"/>
          <w:szCs w:val="22"/>
        </w:rPr>
      </w:pPr>
    </w:p>
    <w:p w14:paraId="28D117DA" w14:textId="224E12B3" w:rsidR="00191437" w:rsidRDefault="00D822F9" w:rsidP="006B770B">
      <w:pPr>
        <w:widowControl w:val="0"/>
        <w:overflowPunct w:val="0"/>
        <w:adjustRightInd w:val="0"/>
        <w:contextualSpacing/>
        <w:rPr>
          <w:rFonts w:ascii="Times New Roman" w:hAnsi="Times New Roman" w:cs="Times New Roman"/>
          <w:b/>
          <w:szCs w:val="22"/>
        </w:rPr>
      </w:pPr>
      <w:r w:rsidRPr="00FB5D79">
        <w:rPr>
          <w:rFonts w:ascii="Times New Roman" w:hAnsi="Times New Roman" w:cs="Times New Roman"/>
          <w:b/>
          <w:szCs w:val="22"/>
        </w:rPr>
        <w:t>Profil</w:t>
      </w:r>
    </w:p>
    <w:p w14:paraId="53C4D0B7" w14:textId="77777777" w:rsidR="00553827" w:rsidRPr="00FB5D79" w:rsidRDefault="00553827" w:rsidP="006B770B">
      <w:pPr>
        <w:widowControl w:val="0"/>
        <w:overflowPunct w:val="0"/>
        <w:adjustRightInd w:val="0"/>
        <w:contextualSpacing/>
        <w:rPr>
          <w:rFonts w:ascii="Times New Roman" w:hAnsi="Times New Roman" w:cs="Times New Roman"/>
          <w:b/>
          <w:szCs w:val="22"/>
        </w:rPr>
      </w:pPr>
    </w:p>
    <w:p w14:paraId="6CEFAD67" w14:textId="306797C1" w:rsidR="00646944" w:rsidRPr="00934806" w:rsidRDefault="00E23764" w:rsidP="006B770B">
      <w:pPr>
        <w:pStyle w:val="ONUME"/>
        <w:rPr>
          <w:rFonts w:ascii="Times New Roman" w:eastAsia="Calibri" w:hAnsi="Times New Roman" w:cs="Times New Roman"/>
          <w:szCs w:val="22"/>
          <w:shd w:val="clear" w:color="auto" w:fill="FFFFFF"/>
          <w:lang w:val="en-US" w:eastAsia="en-US"/>
        </w:rPr>
      </w:pPr>
      <w:r w:rsidRPr="00E47E3E">
        <w:rPr>
          <w:rFonts w:ascii="Times New Roman" w:hAnsi="Times New Roman" w:cs="Times New Roman"/>
        </w:rPr>
        <w:t>M.</w:t>
      </w:r>
      <w:r w:rsidRPr="00FB5D79">
        <w:rPr>
          <w:rFonts w:ascii="Times New Roman" w:hAnsi="Times New Roman"/>
          <w:b/>
        </w:rPr>
        <w:t> </w:t>
      </w:r>
      <w:r w:rsidR="00D822F9" w:rsidRPr="00FB5D79">
        <w:rPr>
          <w:rFonts w:ascii="Times New Roman" w:eastAsia="Calibri" w:hAnsi="Times New Roman" w:cs="Times New Roman"/>
          <w:szCs w:val="22"/>
          <w:shd w:val="clear" w:color="auto" w:fill="FFFFFF"/>
          <w:lang w:eastAsia="en-US"/>
        </w:rPr>
        <w:t>Pedro</w:t>
      </w:r>
      <w:r w:rsidR="00EB4E6B" w:rsidRPr="00FB5D79">
        <w:rPr>
          <w:rFonts w:ascii="Times New Roman" w:eastAsia="Calibri" w:hAnsi="Times New Roman" w:cs="Times New Roman"/>
          <w:szCs w:val="22"/>
          <w:shd w:val="clear" w:color="auto" w:fill="FFFFFF"/>
          <w:lang w:eastAsia="en-US"/>
        </w:rPr>
        <w:t> </w:t>
      </w:r>
      <w:proofErr w:type="spellStart"/>
      <w:r w:rsidR="00D822F9" w:rsidRPr="00FB5D79">
        <w:rPr>
          <w:rFonts w:ascii="Times New Roman" w:eastAsia="Calibri" w:hAnsi="Times New Roman" w:cs="Times New Roman"/>
          <w:szCs w:val="22"/>
          <w:shd w:val="clear" w:color="auto" w:fill="FFFFFF"/>
          <w:lang w:eastAsia="en-US"/>
        </w:rPr>
        <w:t>Roffe</w:t>
      </w:r>
      <w:proofErr w:type="spellEnd"/>
      <w:r w:rsidR="00D822F9" w:rsidRPr="00FB5D79">
        <w:rPr>
          <w:rFonts w:ascii="Times New Roman" w:eastAsia="Calibri" w:hAnsi="Times New Roman" w:cs="Times New Roman"/>
          <w:szCs w:val="22"/>
          <w:shd w:val="clear" w:color="auto" w:fill="FFFFFF"/>
          <w:lang w:eastAsia="en-US"/>
        </w:rPr>
        <w:t xml:space="preserve"> est </w:t>
      </w:r>
      <w:r w:rsidR="0050772F" w:rsidRPr="00FB5D79">
        <w:rPr>
          <w:rFonts w:ascii="Times New Roman" w:eastAsia="Calibri" w:hAnsi="Times New Roman" w:cs="Times New Roman"/>
          <w:szCs w:val="22"/>
          <w:shd w:val="clear" w:color="auto" w:fill="FFFFFF"/>
          <w:lang w:eastAsia="en-US"/>
        </w:rPr>
        <w:t>une personnalité influente</w:t>
      </w:r>
      <w:r w:rsidR="00D822F9" w:rsidRPr="00FB5D79">
        <w:rPr>
          <w:rFonts w:ascii="Times New Roman" w:eastAsia="Calibri" w:hAnsi="Times New Roman" w:cs="Times New Roman"/>
          <w:szCs w:val="22"/>
          <w:shd w:val="clear" w:color="auto" w:fill="FFFFFF"/>
          <w:lang w:eastAsia="en-US"/>
        </w:rPr>
        <w:t xml:space="preserve"> dans les débats mondiaux qui façonnent le système international de</w:t>
      </w:r>
      <w:r w:rsidR="0050772F" w:rsidRPr="00FB5D79">
        <w:rPr>
          <w:rFonts w:ascii="Times New Roman" w:eastAsia="Calibri" w:hAnsi="Times New Roman" w:cs="Times New Roman"/>
          <w:szCs w:val="22"/>
          <w:shd w:val="clear" w:color="auto" w:fill="FFFFFF"/>
          <w:lang w:eastAsia="en-US"/>
        </w:rPr>
        <w:t xml:space="preserve"> la</w:t>
      </w:r>
      <w:r w:rsidR="00D822F9" w:rsidRPr="00FB5D79">
        <w:rPr>
          <w:rFonts w:ascii="Times New Roman" w:eastAsia="Calibri" w:hAnsi="Times New Roman" w:cs="Times New Roman"/>
          <w:szCs w:val="22"/>
          <w:shd w:val="clear" w:color="auto" w:fill="FFFFFF"/>
          <w:lang w:eastAsia="en-US"/>
        </w:rPr>
        <w:t xml:space="preserve"> propriété intellectuelle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aujourd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 xml:space="preserve">hui, </w:t>
      </w:r>
      <w:r w:rsidR="0050772F" w:rsidRPr="00FB5D79">
        <w:rPr>
          <w:rFonts w:ascii="Times New Roman" w:eastAsia="Calibri" w:hAnsi="Times New Roman" w:cs="Times New Roman"/>
          <w:szCs w:val="22"/>
          <w:shd w:val="clear" w:color="auto" w:fill="FFFFFF"/>
          <w:lang w:eastAsia="en-US"/>
        </w:rPr>
        <w:t>notamment</w:t>
      </w:r>
      <w:r w:rsidR="00D822F9" w:rsidRPr="00FB5D79">
        <w:rPr>
          <w:rFonts w:ascii="Times New Roman" w:eastAsia="Calibri" w:hAnsi="Times New Roman" w:cs="Times New Roman"/>
          <w:szCs w:val="22"/>
          <w:shd w:val="clear" w:color="auto" w:fill="FFFFFF"/>
          <w:lang w:eastAsia="en-US"/>
        </w:rPr>
        <w:t xml:space="preserve"> son interface avec </w:t>
      </w:r>
      <w:r w:rsidR="0050772F" w:rsidRPr="00FB5D79">
        <w:rPr>
          <w:rFonts w:ascii="Times New Roman" w:eastAsia="Calibri" w:hAnsi="Times New Roman" w:cs="Times New Roman"/>
          <w:szCs w:val="22"/>
          <w:shd w:val="clear" w:color="auto" w:fill="FFFFFF"/>
          <w:lang w:eastAsia="en-US"/>
        </w:rPr>
        <w:t>diverses</w:t>
      </w:r>
      <w:r w:rsidR="00D822F9" w:rsidRPr="00FB5D79">
        <w:rPr>
          <w:rFonts w:ascii="Times New Roman" w:eastAsia="Calibri" w:hAnsi="Times New Roman" w:cs="Times New Roman"/>
          <w:szCs w:val="22"/>
          <w:shd w:val="clear" w:color="auto" w:fill="FFFFFF"/>
          <w:lang w:eastAsia="en-US"/>
        </w:rPr>
        <w:t xml:space="preserve"> questions telles que le transfert de technologie</w:t>
      </w:r>
      <w:r w:rsidR="00A715C8" w:rsidRPr="00FB5D79">
        <w:rPr>
          <w:rFonts w:ascii="Times New Roman" w:eastAsia="Calibri" w:hAnsi="Times New Roman" w:cs="Times New Roman"/>
          <w:szCs w:val="22"/>
          <w:shd w:val="clear" w:color="auto" w:fill="FFFFFF"/>
          <w:lang w:eastAsia="en-US"/>
        </w:rPr>
        <w:t>s</w:t>
      </w:r>
      <w:r w:rsidR="00D822F9" w:rsidRPr="00FB5D79">
        <w:rPr>
          <w:rFonts w:ascii="Times New Roman" w:eastAsia="Calibri" w:hAnsi="Times New Roman" w:cs="Times New Roman"/>
          <w:szCs w:val="22"/>
          <w:shd w:val="clear" w:color="auto" w:fill="FFFFFF"/>
          <w:lang w:eastAsia="en-US"/>
        </w:rPr>
        <w:t>, le commerce, le développement, les investissements et la santé publiq</w:t>
      </w:r>
      <w:r w:rsidR="00172764" w:rsidRPr="00FB5D79">
        <w:rPr>
          <w:rFonts w:ascii="Times New Roman" w:eastAsia="Calibri" w:hAnsi="Times New Roman" w:cs="Times New Roman"/>
          <w:szCs w:val="22"/>
          <w:shd w:val="clear" w:color="auto" w:fill="FFFFFF"/>
          <w:lang w:eastAsia="en-US"/>
        </w:rPr>
        <w:t>ue.  Au</w:t>
      </w:r>
      <w:r w:rsidR="00D822F9" w:rsidRPr="00FB5D79">
        <w:rPr>
          <w:rFonts w:ascii="Times New Roman" w:eastAsia="Calibri" w:hAnsi="Times New Roman" w:cs="Times New Roman"/>
          <w:szCs w:val="22"/>
          <w:shd w:val="clear" w:color="auto" w:fill="FFFFFF"/>
          <w:lang w:eastAsia="en-US"/>
        </w:rPr>
        <w:t>teur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articles et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ouvrages</w:t>
      </w:r>
      <w:r w:rsidR="0050772F"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 xml:space="preserve"> </w:t>
      </w:r>
      <w:r w:rsidR="0050772F" w:rsidRPr="00FB5D79">
        <w:rPr>
          <w:rFonts w:ascii="Times New Roman" w:eastAsia="Calibri" w:hAnsi="Times New Roman" w:cs="Times New Roman"/>
          <w:szCs w:val="22"/>
          <w:shd w:val="clear" w:color="auto" w:fill="FFFFFF"/>
          <w:lang w:eastAsia="en-US"/>
        </w:rPr>
        <w:t xml:space="preserve">il est également </w:t>
      </w:r>
      <w:r w:rsidR="00D822F9" w:rsidRPr="00FB5D79">
        <w:rPr>
          <w:rFonts w:ascii="Times New Roman" w:eastAsia="Calibri" w:hAnsi="Times New Roman" w:cs="Times New Roman"/>
          <w:szCs w:val="22"/>
          <w:shd w:val="clear" w:color="auto" w:fill="FFFFFF"/>
          <w:lang w:eastAsia="en-US"/>
        </w:rPr>
        <w:t>responsable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 xml:space="preserve">un certain nombre de publications relatives aux </w:t>
      </w:r>
      <w:r w:rsidR="00965F3A">
        <w:rPr>
          <w:rFonts w:ascii="Times New Roman" w:eastAsia="Calibri" w:hAnsi="Times New Roman" w:cs="Times New Roman"/>
          <w:szCs w:val="22"/>
          <w:shd w:val="clear" w:color="auto" w:fill="FFFFFF"/>
          <w:lang w:eastAsia="en-US"/>
        </w:rPr>
        <w:t>Nations Unies</w:t>
      </w:r>
      <w:r w:rsidR="00172764" w:rsidRPr="00FB5D79">
        <w:rPr>
          <w:rFonts w:ascii="Times New Roman" w:eastAsia="Calibri" w:hAnsi="Times New Roman" w:cs="Times New Roman"/>
          <w:szCs w:val="22"/>
          <w:shd w:val="clear" w:color="auto" w:fill="FFFFFF"/>
          <w:lang w:eastAsia="en-US"/>
        </w:rPr>
        <w:t xml:space="preserve">.  </w:t>
      </w:r>
      <w:proofErr w:type="spellStart"/>
      <w:r w:rsidR="00172764" w:rsidRPr="00934806">
        <w:rPr>
          <w:rFonts w:ascii="Times New Roman" w:eastAsia="Calibri" w:hAnsi="Times New Roman" w:cs="Times New Roman"/>
          <w:szCs w:val="22"/>
          <w:shd w:val="clear" w:color="auto" w:fill="FFFFFF"/>
          <w:lang w:val="en-US" w:eastAsia="en-US"/>
        </w:rPr>
        <w:t>Ré</w:t>
      </w:r>
      <w:r w:rsidR="00D822F9" w:rsidRPr="00934806">
        <w:rPr>
          <w:rFonts w:ascii="Times New Roman" w:eastAsia="Calibri" w:hAnsi="Times New Roman" w:cs="Times New Roman"/>
          <w:szCs w:val="22"/>
          <w:shd w:val="clear" w:color="auto" w:fill="FFFFFF"/>
          <w:lang w:val="en-US" w:eastAsia="en-US"/>
        </w:rPr>
        <w:t>cemment</w:t>
      </w:r>
      <w:proofErr w:type="spellEnd"/>
      <w:r w:rsidR="00D822F9" w:rsidRPr="00934806">
        <w:rPr>
          <w:rFonts w:ascii="Times New Roman" w:eastAsia="Calibri" w:hAnsi="Times New Roman" w:cs="Times New Roman"/>
          <w:szCs w:val="22"/>
          <w:shd w:val="clear" w:color="auto" w:fill="FFFFFF"/>
          <w:lang w:val="en-US" w:eastAsia="en-US"/>
        </w:rPr>
        <w:t xml:space="preserve">, </w:t>
      </w:r>
      <w:proofErr w:type="spellStart"/>
      <w:r w:rsidR="00D822F9" w:rsidRPr="00934806">
        <w:rPr>
          <w:rFonts w:ascii="Times New Roman" w:eastAsia="Calibri" w:hAnsi="Times New Roman" w:cs="Times New Roman"/>
          <w:szCs w:val="22"/>
          <w:shd w:val="clear" w:color="auto" w:fill="FFFFFF"/>
          <w:lang w:val="en-US" w:eastAsia="en-US"/>
        </w:rPr>
        <w:t>il</w:t>
      </w:r>
      <w:proofErr w:type="spellEnd"/>
      <w:r w:rsidR="00D822F9" w:rsidRPr="00934806">
        <w:rPr>
          <w:rFonts w:ascii="Times New Roman" w:eastAsia="Calibri" w:hAnsi="Times New Roman" w:cs="Times New Roman"/>
          <w:szCs w:val="22"/>
          <w:shd w:val="clear" w:color="auto" w:fill="FFFFFF"/>
          <w:lang w:val="en-US" w:eastAsia="en-US"/>
        </w:rPr>
        <w:t xml:space="preserve"> a </w:t>
      </w:r>
      <w:proofErr w:type="spellStart"/>
      <w:r w:rsidR="00D822F9" w:rsidRPr="00934806">
        <w:rPr>
          <w:rFonts w:ascii="Times New Roman" w:eastAsia="Calibri" w:hAnsi="Times New Roman" w:cs="Times New Roman"/>
          <w:szCs w:val="22"/>
          <w:shd w:val="clear" w:color="auto" w:fill="FFFFFF"/>
          <w:lang w:val="en-US" w:eastAsia="en-US"/>
        </w:rPr>
        <w:t>publié</w:t>
      </w:r>
      <w:proofErr w:type="spellEnd"/>
      <w:r w:rsidR="00D822F9" w:rsidRPr="00934806">
        <w:rPr>
          <w:rFonts w:ascii="Times New Roman" w:eastAsia="Calibri" w:hAnsi="Times New Roman" w:cs="Times New Roman"/>
          <w:szCs w:val="22"/>
          <w:shd w:val="clear" w:color="auto" w:fill="FFFFFF"/>
          <w:lang w:val="en-US" w:eastAsia="en-US"/>
        </w:rPr>
        <w:t xml:space="preserve"> </w:t>
      </w:r>
      <w:r w:rsidR="00A715C8" w:rsidRPr="00934806">
        <w:rPr>
          <w:rFonts w:ascii="Times New Roman" w:eastAsia="Calibri" w:hAnsi="Times New Roman" w:cs="Times New Roman"/>
          <w:szCs w:val="22"/>
          <w:shd w:val="clear" w:color="auto" w:fill="FFFFFF"/>
          <w:lang w:val="en-US" w:eastAsia="en-US"/>
        </w:rPr>
        <w:t>les</w:t>
      </w:r>
      <w:r w:rsidR="00D822F9" w:rsidRPr="00934806">
        <w:rPr>
          <w:rFonts w:ascii="Times New Roman" w:eastAsia="Calibri" w:hAnsi="Times New Roman" w:cs="Times New Roman"/>
          <w:szCs w:val="22"/>
          <w:shd w:val="clear" w:color="auto" w:fill="FFFFFF"/>
          <w:lang w:val="en-US" w:eastAsia="en-US"/>
        </w:rPr>
        <w:t xml:space="preserve"> </w:t>
      </w:r>
      <w:r w:rsidR="0050772F" w:rsidRPr="00934806">
        <w:rPr>
          <w:rFonts w:ascii="Times New Roman" w:eastAsia="Calibri" w:hAnsi="Times New Roman" w:cs="Times New Roman"/>
          <w:szCs w:val="22"/>
          <w:shd w:val="clear" w:color="auto" w:fill="FFFFFF"/>
          <w:lang w:val="en-US" w:eastAsia="en-US"/>
        </w:rPr>
        <w:t>communications</w:t>
      </w:r>
      <w:r w:rsidR="00A715C8" w:rsidRPr="00934806">
        <w:rPr>
          <w:rFonts w:ascii="Times New Roman" w:eastAsia="Calibri" w:hAnsi="Times New Roman" w:cs="Times New Roman"/>
          <w:szCs w:val="22"/>
          <w:shd w:val="clear" w:color="auto" w:fill="FFFFFF"/>
          <w:lang w:val="en-US" w:eastAsia="en-US"/>
        </w:rPr>
        <w:t xml:space="preserve"> </w:t>
      </w:r>
      <w:proofErr w:type="spellStart"/>
      <w:r w:rsidR="00A715C8" w:rsidRPr="00934806">
        <w:rPr>
          <w:rFonts w:ascii="Times New Roman" w:eastAsia="Calibri" w:hAnsi="Times New Roman" w:cs="Times New Roman"/>
          <w:szCs w:val="22"/>
          <w:shd w:val="clear" w:color="auto" w:fill="FFFFFF"/>
          <w:lang w:val="en-US" w:eastAsia="en-US"/>
        </w:rPr>
        <w:t>suivantes</w:t>
      </w:r>
      <w:proofErr w:type="spellEnd"/>
      <w:r w:rsidR="00965F3A">
        <w:rPr>
          <w:rFonts w:ascii="Times New Roman" w:eastAsia="Calibri" w:hAnsi="Times New Roman" w:cs="Times New Roman"/>
          <w:szCs w:val="22"/>
          <w:shd w:val="clear" w:color="auto" w:fill="FFFFFF"/>
          <w:lang w:val="en-US" w:eastAsia="en-US"/>
        </w:rPr>
        <w:t> :</w:t>
      </w:r>
      <w:r w:rsidR="00A34591" w:rsidRPr="00934806">
        <w:rPr>
          <w:rFonts w:ascii="Times New Roman" w:eastAsia="Calibri" w:hAnsi="Times New Roman" w:cs="Times New Roman"/>
          <w:szCs w:val="22"/>
          <w:shd w:val="clear" w:color="auto" w:fill="FFFFFF"/>
          <w:lang w:val="en-US" w:eastAsia="en-US"/>
        </w:rPr>
        <w:t xml:space="preserve"> </w:t>
      </w:r>
      <w:r w:rsidR="00A715C8" w:rsidRPr="00934806">
        <w:rPr>
          <w:rFonts w:ascii="Times New Roman" w:eastAsia="Calibri" w:hAnsi="Times New Roman" w:cs="Times New Roman"/>
          <w:i/>
          <w:iCs/>
          <w:szCs w:val="22"/>
          <w:shd w:val="clear" w:color="auto" w:fill="FFFFFF"/>
          <w:lang w:val="en-US" w:eastAsia="en-US"/>
        </w:rPr>
        <w:t>International Technology Transfer</w:t>
      </w:r>
      <w:r w:rsidR="00965F3A">
        <w:rPr>
          <w:rFonts w:ascii="Times New Roman" w:eastAsia="Calibri" w:hAnsi="Times New Roman" w:cs="Times New Roman"/>
          <w:i/>
          <w:iCs/>
          <w:szCs w:val="22"/>
          <w:shd w:val="clear" w:color="auto" w:fill="FFFFFF"/>
          <w:lang w:val="en-US" w:eastAsia="en-US"/>
        </w:rPr>
        <w:t> :</w:t>
      </w:r>
      <w:r w:rsidR="00A715C8" w:rsidRPr="00934806">
        <w:rPr>
          <w:rFonts w:ascii="Times New Roman" w:eastAsia="Calibri" w:hAnsi="Times New Roman" w:cs="Times New Roman"/>
          <w:i/>
          <w:iCs/>
          <w:szCs w:val="22"/>
          <w:shd w:val="clear" w:color="auto" w:fill="FFFFFF"/>
          <w:lang w:val="en-US" w:eastAsia="en-US"/>
        </w:rPr>
        <w:t xml:space="preserve"> The Origins and Aftermath of the United Nations Negotiations on a Draft Code of Conduct;  Bilateral Agreements and a TRIPS</w:t>
      </w:r>
      <w:r w:rsidR="00965F3A">
        <w:rPr>
          <w:rFonts w:ascii="Times New Roman" w:eastAsia="Calibri" w:hAnsi="Times New Roman" w:cs="Times New Roman"/>
          <w:i/>
          <w:iCs/>
          <w:szCs w:val="22"/>
          <w:shd w:val="clear" w:color="auto" w:fill="FFFFFF"/>
          <w:lang w:val="en-US" w:eastAsia="en-US"/>
        </w:rPr>
        <w:t>-</w:t>
      </w:r>
      <w:r w:rsidR="00A715C8" w:rsidRPr="00934806">
        <w:rPr>
          <w:rFonts w:ascii="Times New Roman" w:eastAsia="Calibri" w:hAnsi="Times New Roman" w:cs="Times New Roman"/>
          <w:i/>
          <w:iCs/>
          <w:szCs w:val="22"/>
          <w:shd w:val="clear" w:color="auto" w:fill="FFFFFF"/>
          <w:lang w:val="en-US" w:eastAsia="en-US"/>
        </w:rPr>
        <w:t>Plus World;</w:t>
      </w:r>
      <w:r w:rsidR="00A715C8" w:rsidRPr="00934806">
        <w:rPr>
          <w:rFonts w:ascii="Times New Roman" w:hAnsi="Times New Roman"/>
          <w:i/>
          <w:shd w:val="clear" w:color="auto" w:fill="FFFFFF"/>
          <w:lang w:val="en-US"/>
        </w:rPr>
        <w:t xml:space="preserve">  </w:t>
      </w:r>
      <w:r w:rsidR="00A715C8" w:rsidRPr="00934806">
        <w:rPr>
          <w:rFonts w:ascii="Times New Roman" w:eastAsia="Calibri" w:hAnsi="Times New Roman" w:cs="Times New Roman"/>
          <w:i/>
          <w:iCs/>
          <w:szCs w:val="22"/>
          <w:shd w:val="clear" w:color="auto" w:fill="FFFFFF"/>
          <w:lang w:val="en-US" w:eastAsia="en-US"/>
        </w:rPr>
        <w:t>The Chile</w:t>
      </w:r>
      <w:r w:rsidR="00965F3A">
        <w:rPr>
          <w:rFonts w:ascii="Times New Roman" w:eastAsia="Calibri" w:hAnsi="Times New Roman" w:cs="Times New Roman"/>
          <w:i/>
          <w:iCs/>
          <w:szCs w:val="22"/>
          <w:shd w:val="clear" w:color="auto" w:fill="FFFFFF"/>
          <w:lang w:val="en-US" w:eastAsia="en-US"/>
        </w:rPr>
        <w:t>-</w:t>
      </w:r>
      <w:r w:rsidR="00A715C8" w:rsidRPr="00934806">
        <w:rPr>
          <w:rFonts w:ascii="Times New Roman" w:eastAsia="Calibri" w:hAnsi="Times New Roman" w:cs="Times New Roman"/>
          <w:i/>
          <w:iCs/>
          <w:szCs w:val="22"/>
          <w:shd w:val="clear" w:color="auto" w:fill="FFFFFF"/>
          <w:lang w:val="en-US" w:eastAsia="en-US"/>
        </w:rPr>
        <w:t>USA Free Trade Agreement;</w:t>
      </w:r>
      <w:r w:rsidR="00A715C8" w:rsidRPr="00934806">
        <w:rPr>
          <w:rFonts w:ascii="Times New Roman" w:hAnsi="Times New Roman"/>
          <w:i/>
          <w:shd w:val="clear" w:color="auto" w:fill="FFFFFF"/>
          <w:lang w:val="en-US"/>
        </w:rPr>
        <w:t xml:space="preserve">  </w:t>
      </w:r>
      <w:r w:rsidR="00A715C8" w:rsidRPr="00934806">
        <w:rPr>
          <w:rFonts w:ascii="Times New Roman" w:eastAsia="Calibri" w:hAnsi="Times New Roman" w:cs="Times New Roman"/>
          <w:i/>
          <w:iCs/>
          <w:szCs w:val="22"/>
          <w:shd w:val="clear" w:color="auto" w:fill="FFFFFF"/>
          <w:lang w:val="en-US" w:eastAsia="en-US"/>
        </w:rPr>
        <w:t>Resource Book on TRIPS and Development;</w:t>
      </w:r>
      <w:r w:rsidR="00A715C8" w:rsidRPr="00934806">
        <w:rPr>
          <w:rFonts w:ascii="Times New Roman" w:hAnsi="Times New Roman"/>
          <w:i/>
          <w:shd w:val="clear" w:color="auto" w:fill="FFFFFF"/>
          <w:lang w:val="en-US"/>
        </w:rPr>
        <w:t xml:space="preserve">  </w:t>
      </w:r>
      <w:r w:rsidR="00A715C8" w:rsidRPr="00934806">
        <w:rPr>
          <w:rFonts w:ascii="Times New Roman" w:eastAsia="Calibri" w:hAnsi="Times New Roman" w:cs="Times New Roman"/>
          <w:szCs w:val="22"/>
          <w:shd w:val="clear" w:color="auto" w:fill="FFFFFF"/>
          <w:lang w:val="en-US" w:eastAsia="en-US"/>
        </w:rPr>
        <w:t xml:space="preserve">and </w:t>
      </w:r>
      <w:r w:rsidR="00A715C8" w:rsidRPr="00934806">
        <w:rPr>
          <w:rFonts w:ascii="Times New Roman" w:eastAsia="Calibri" w:hAnsi="Times New Roman" w:cs="Times New Roman"/>
          <w:i/>
          <w:iCs/>
          <w:szCs w:val="22"/>
          <w:shd w:val="clear" w:color="auto" w:fill="FFFFFF"/>
          <w:lang w:val="en-US" w:eastAsia="en-US"/>
        </w:rPr>
        <w:t>Negotiating Health</w:t>
      </w:r>
      <w:r w:rsidR="00965F3A">
        <w:rPr>
          <w:rFonts w:ascii="Times New Roman" w:eastAsia="Calibri" w:hAnsi="Times New Roman" w:cs="Times New Roman"/>
          <w:i/>
          <w:iCs/>
          <w:szCs w:val="22"/>
          <w:shd w:val="clear" w:color="auto" w:fill="FFFFFF"/>
          <w:lang w:val="en-US" w:eastAsia="en-US"/>
        </w:rPr>
        <w:t> :</w:t>
      </w:r>
      <w:r w:rsidR="00A715C8" w:rsidRPr="00934806">
        <w:rPr>
          <w:rFonts w:ascii="Times New Roman" w:eastAsia="Calibri" w:hAnsi="Times New Roman" w:cs="Times New Roman"/>
          <w:i/>
          <w:iCs/>
          <w:szCs w:val="22"/>
          <w:shd w:val="clear" w:color="auto" w:fill="FFFFFF"/>
          <w:lang w:val="en-US" w:eastAsia="en-US"/>
        </w:rPr>
        <w:t xml:space="preserve"> Intellectual Property and Access to Medicines</w:t>
      </w:r>
      <w:r w:rsidR="00D822F9" w:rsidRPr="00934806">
        <w:rPr>
          <w:rFonts w:ascii="Times New Roman" w:eastAsia="Calibri" w:hAnsi="Times New Roman" w:cs="Times New Roman"/>
          <w:szCs w:val="22"/>
          <w:shd w:val="clear" w:color="auto" w:fill="FFFFFF"/>
          <w:lang w:val="en-US" w:eastAsia="en-US"/>
        </w:rPr>
        <w:t>.</w:t>
      </w:r>
    </w:p>
    <w:p w14:paraId="443DDCA5" w14:textId="2F8768AD" w:rsidR="00191437" w:rsidRPr="00FB5D79" w:rsidRDefault="00E23764" w:rsidP="006B770B">
      <w:pPr>
        <w:pStyle w:val="ONUME"/>
        <w:rPr>
          <w:rFonts w:ascii="Times New Roman" w:eastAsia="Calibri" w:hAnsi="Times New Roman" w:cs="Times New Roman"/>
          <w:szCs w:val="22"/>
          <w:shd w:val="clear" w:color="auto" w:fill="FFFFFF"/>
          <w:lang w:eastAsia="en-US"/>
        </w:rPr>
      </w:pPr>
      <w:r w:rsidRPr="00FB5D79">
        <w:rPr>
          <w:rFonts w:ascii="Times New Roman" w:eastAsia="Calibri" w:hAnsi="Times New Roman" w:cs="Times New Roman"/>
          <w:szCs w:val="22"/>
          <w:shd w:val="clear" w:color="auto" w:fill="FFFFFF"/>
          <w:lang w:eastAsia="en-US"/>
        </w:rPr>
        <w:t>M. </w:t>
      </w:r>
      <w:proofErr w:type="spellStart"/>
      <w:r w:rsidR="00D822F9" w:rsidRPr="00FB5D79">
        <w:rPr>
          <w:rFonts w:ascii="Times New Roman" w:eastAsia="Calibri" w:hAnsi="Times New Roman" w:cs="Times New Roman"/>
          <w:szCs w:val="22"/>
          <w:shd w:val="clear" w:color="auto" w:fill="FFFFFF"/>
          <w:lang w:eastAsia="en-US"/>
        </w:rPr>
        <w:t>Roffe</w:t>
      </w:r>
      <w:proofErr w:type="spellEnd"/>
      <w:r w:rsidR="00D822F9" w:rsidRPr="00FB5D79">
        <w:rPr>
          <w:rFonts w:ascii="Times New Roman" w:eastAsia="Calibri" w:hAnsi="Times New Roman" w:cs="Times New Roman"/>
          <w:szCs w:val="22"/>
          <w:shd w:val="clear" w:color="auto" w:fill="FFFFFF"/>
          <w:lang w:eastAsia="en-US"/>
        </w:rPr>
        <w:t xml:space="preserve"> est diplômé de la Faculté de droit de l</w:t>
      </w:r>
      <w:r w:rsidR="00646944" w:rsidRPr="00FB5D79">
        <w:rPr>
          <w:rFonts w:ascii="Times New Roman" w:eastAsia="Calibri" w:hAnsi="Times New Roman" w:cs="Times New Roman"/>
          <w:szCs w:val="22"/>
          <w:shd w:val="clear" w:color="auto" w:fill="FFFFFF"/>
          <w:lang w:eastAsia="en-US"/>
        </w:rPr>
        <w:t>’</w:t>
      </w:r>
      <w:r w:rsidR="006504D6" w:rsidRPr="00FB5D79">
        <w:rPr>
          <w:rFonts w:ascii="Times New Roman" w:eastAsia="Calibri" w:hAnsi="Times New Roman" w:cs="Times New Roman"/>
          <w:szCs w:val="22"/>
          <w:shd w:val="clear" w:color="auto" w:fill="FFFFFF"/>
          <w:lang w:eastAsia="en-US"/>
        </w:rPr>
        <w:t>u</w:t>
      </w:r>
      <w:r w:rsidR="00D822F9" w:rsidRPr="00FB5D79">
        <w:rPr>
          <w:rFonts w:ascii="Times New Roman" w:eastAsia="Calibri" w:hAnsi="Times New Roman" w:cs="Times New Roman"/>
          <w:szCs w:val="22"/>
          <w:shd w:val="clear" w:color="auto" w:fill="FFFFFF"/>
          <w:lang w:eastAsia="en-US"/>
        </w:rPr>
        <w:t>niversité du Chili et</w:t>
      </w:r>
      <w:r w:rsidR="00A715C8" w:rsidRPr="00FB5D79">
        <w:rPr>
          <w:rFonts w:ascii="Times New Roman" w:eastAsia="Calibri" w:hAnsi="Times New Roman" w:cs="Times New Roman"/>
          <w:szCs w:val="22"/>
          <w:shd w:val="clear" w:color="auto" w:fill="FFFFFF"/>
          <w:lang w:eastAsia="en-US"/>
        </w:rPr>
        <w:t xml:space="preserve"> a fait des études de troisième </w:t>
      </w:r>
      <w:r w:rsidR="00D822F9" w:rsidRPr="00FB5D79">
        <w:rPr>
          <w:rFonts w:ascii="Times New Roman" w:eastAsia="Calibri" w:hAnsi="Times New Roman" w:cs="Times New Roman"/>
          <w:szCs w:val="22"/>
          <w:shd w:val="clear" w:color="auto" w:fill="FFFFFF"/>
          <w:lang w:eastAsia="en-US"/>
        </w:rPr>
        <w:t>cycle à l</w:t>
      </w:r>
      <w:r w:rsidR="00646944" w:rsidRPr="00FB5D79">
        <w:rPr>
          <w:rFonts w:ascii="Times New Roman" w:eastAsia="Calibri" w:hAnsi="Times New Roman" w:cs="Times New Roman"/>
          <w:szCs w:val="22"/>
          <w:shd w:val="clear" w:color="auto" w:fill="FFFFFF"/>
          <w:lang w:eastAsia="en-US"/>
        </w:rPr>
        <w:t>’</w:t>
      </w:r>
      <w:r w:rsidR="006504D6" w:rsidRPr="00FB5D79">
        <w:rPr>
          <w:rFonts w:ascii="Times New Roman" w:eastAsia="Calibri" w:hAnsi="Times New Roman" w:cs="Times New Roman"/>
          <w:szCs w:val="22"/>
          <w:shd w:val="clear" w:color="auto" w:fill="FFFFFF"/>
          <w:lang w:eastAsia="en-US"/>
        </w:rPr>
        <w:t>u</w:t>
      </w:r>
      <w:r w:rsidR="00D822F9" w:rsidRPr="00FB5D79">
        <w:rPr>
          <w:rFonts w:ascii="Times New Roman" w:eastAsia="Calibri" w:hAnsi="Times New Roman" w:cs="Times New Roman"/>
          <w:szCs w:val="22"/>
          <w:shd w:val="clear" w:color="auto" w:fill="FFFFFF"/>
          <w:lang w:eastAsia="en-US"/>
        </w:rPr>
        <w:t>niversité de New</w:t>
      </w:r>
      <w:r w:rsidR="000E4777" w:rsidRPr="00FB5D79">
        <w:rPr>
          <w:rFonts w:ascii="Times New Roman" w:eastAsia="Calibri" w:hAnsi="Times New Roman" w:cs="Times New Roman"/>
          <w:szCs w:val="22"/>
          <w:shd w:val="clear" w:color="auto" w:fill="FFFFFF"/>
          <w:lang w:eastAsia="en-US"/>
        </w:rPr>
        <w:t> </w:t>
      </w:r>
      <w:r w:rsidR="00D822F9" w:rsidRPr="00FB5D79">
        <w:rPr>
          <w:rFonts w:ascii="Times New Roman" w:eastAsia="Calibri" w:hAnsi="Times New Roman" w:cs="Times New Roman"/>
          <w:szCs w:val="22"/>
          <w:shd w:val="clear" w:color="auto" w:fill="FFFFFF"/>
          <w:lang w:eastAsia="en-US"/>
        </w:rPr>
        <w:t xml:space="preserve">York, </w:t>
      </w:r>
      <w:r w:rsidR="00A715C8" w:rsidRPr="00FB5D79">
        <w:rPr>
          <w:rFonts w:ascii="Times New Roman" w:eastAsia="Calibri" w:hAnsi="Times New Roman" w:cs="Times New Roman"/>
          <w:szCs w:val="22"/>
          <w:shd w:val="clear" w:color="auto" w:fill="FFFFFF"/>
          <w:lang w:eastAsia="en-US"/>
        </w:rPr>
        <w:t>à l</w:t>
      </w:r>
      <w:r w:rsidR="00646944" w:rsidRPr="00FB5D79">
        <w:rPr>
          <w:rFonts w:ascii="Times New Roman" w:eastAsia="Calibri" w:hAnsi="Times New Roman" w:cs="Times New Roman"/>
          <w:szCs w:val="22"/>
          <w:shd w:val="clear" w:color="auto" w:fill="FFFFFF"/>
          <w:lang w:eastAsia="en-US"/>
        </w:rPr>
        <w:t>’</w:t>
      </w:r>
      <w:r w:rsidR="0050772F" w:rsidRPr="00FB5D79">
        <w:rPr>
          <w:rFonts w:ascii="Times New Roman" w:eastAsia="Calibri" w:hAnsi="Times New Roman" w:cs="Times New Roman"/>
          <w:szCs w:val="22"/>
          <w:shd w:val="clear" w:color="auto" w:fill="FFFFFF"/>
          <w:lang w:eastAsia="en-US"/>
        </w:rPr>
        <w:t xml:space="preserve">institut </w:t>
      </w:r>
      <w:r w:rsidR="00D822F9" w:rsidRPr="00FB5D79">
        <w:rPr>
          <w:rFonts w:ascii="Times New Roman" w:eastAsia="Calibri" w:hAnsi="Times New Roman" w:cs="Times New Roman"/>
          <w:i/>
          <w:szCs w:val="22"/>
          <w:shd w:val="clear" w:color="auto" w:fill="FFFFFF"/>
          <w:lang w:eastAsia="en-US"/>
        </w:rPr>
        <w:t xml:space="preserve">Europa </w:t>
      </w:r>
      <w:r w:rsidR="00D822F9" w:rsidRPr="00FB5D79">
        <w:rPr>
          <w:rFonts w:ascii="Times New Roman" w:eastAsia="Calibri" w:hAnsi="Times New Roman" w:cs="Times New Roman"/>
          <w:szCs w:val="22"/>
          <w:shd w:val="clear" w:color="auto" w:fill="FFFFFF"/>
          <w:lang w:eastAsia="en-US"/>
        </w:rPr>
        <w:t>(</w:t>
      </w:r>
      <w:r w:rsidR="00A715C8" w:rsidRPr="00FB5D79">
        <w:rPr>
          <w:rFonts w:ascii="Times New Roman" w:eastAsia="Calibri" w:hAnsi="Times New Roman" w:cs="Times New Roman"/>
          <w:szCs w:val="22"/>
          <w:shd w:val="clear" w:color="auto" w:fill="FFFFFF"/>
          <w:lang w:eastAsia="en-US"/>
        </w:rPr>
        <w:t>u</w:t>
      </w:r>
      <w:r w:rsidR="00D822F9" w:rsidRPr="00FB5D79">
        <w:rPr>
          <w:rFonts w:ascii="Times New Roman" w:eastAsia="Calibri" w:hAnsi="Times New Roman" w:cs="Times New Roman"/>
          <w:szCs w:val="22"/>
          <w:shd w:val="clear" w:color="auto" w:fill="FFFFFF"/>
          <w:lang w:eastAsia="en-US"/>
        </w:rPr>
        <w:t>niversité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Amsterdam) et à l</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Institut de hautes é</w:t>
      </w:r>
      <w:r w:rsidR="006504D6" w:rsidRPr="00FB5D79">
        <w:rPr>
          <w:rFonts w:ascii="Times New Roman" w:eastAsia="Calibri" w:hAnsi="Times New Roman" w:cs="Times New Roman"/>
          <w:szCs w:val="22"/>
          <w:shd w:val="clear" w:color="auto" w:fill="FFFFFF"/>
          <w:lang w:eastAsia="en-US"/>
        </w:rPr>
        <w:t xml:space="preserve">tudes internationales </w:t>
      </w:r>
      <w:r w:rsidR="00A715C8" w:rsidRPr="00FB5D79">
        <w:rPr>
          <w:rFonts w:ascii="Times New Roman" w:eastAsia="Calibri" w:hAnsi="Times New Roman" w:cs="Times New Roman"/>
          <w:szCs w:val="22"/>
          <w:shd w:val="clear" w:color="auto" w:fill="FFFFFF"/>
          <w:lang w:eastAsia="en-US"/>
        </w:rPr>
        <w:t xml:space="preserve">et du développement </w:t>
      </w:r>
      <w:r w:rsidR="006504D6" w:rsidRPr="00FB5D79">
        <w:rPr>
          <w:rFonts w:ascii="Times New Roman" w:eastAsia="Calibri" w:hAnsi="Times New Roman" w:cs="Times New Roman"/>
          <w:szCs w:val="22"/>
          <w:shd w:val="clear" w:color="auto" w:fill="FFFFFF"/>
          <w:lang w:eastAsia="en-US"/>
        </w:rPr>
        <w:t>(Genève).</w:t>
      </w:r>
    </w:p>
    <w:p w14:paraId="6D53A7D6" w14:textId="059158F8" w:rsidR="00191437" w:rsidRDefault="004D17AB" w:rsidP="006B770B">
      <w:pPr>
        <w:widowControl w:val="0"/>
        <w:overflowPunct w:val="0"/>
        <w:adjustRightInd w:val="0"/>
        <w:contextualSpacing/>
        <w:rPr>
          <w:rFonts w:ascii="Times New Roman" w:hAnsi="Times New Roman" w:cs="Times New Roman"/>
          <w:b/>
          <w:szCs w:val="22"/>
        </w:rPr>
      </w:pPr>
      <w:r w:rsidRPr="00FB5D79">
        <w:rPr>
          <w:rFonts w:ascii="Times New Roman" w:hAnsi="Times New Roman" w:cs="Times New Roman"/>
          <w:b/>
          <w:szCs w:val="22"/>
        </w:rPr>
        <w:t>Durée du contrat et rémunération</w:t>
      </w:r>
    </w:p>
    <w:p w14:paraId="4087EC59" w14:textId="77777777" w:rsidR="00553827" w:rsidRPr="00FB5D79" w:rsidRDefault="00553827" w:rsidP="006B770B">
      <w:pPr>
        <w:widowControl w:val="0"/>
        <w:overflowPunct w:val="0"/>
        <w:adjustRightInd w:val="0"/>
        <w:contextualSpacing/>
        <w:rPr>
          <w:rFonts w:ascii="Times New Roman" w:hAnsi="Times New Roman" w:cs="Times New Roman"/>
          <w:b/>
          <w:szCs w:val="22"/>
        </w:rPr>
      </w:pPr>
    </w:p>
    <w:p w14:paraId="3D5ABD52" w14:textId="4EA68241" w:rsidR="00191437" w:rsidRPr="00FB5D79" w:rsidRDefault="00D56604" w:rsidP="006B770B">
      <w:pPr>
        <w:tabs>
          <w:tab w:val="left" w:pos="851"/>
        </w:tabs>
        <w:rPr>
          <w:rFonts w:ascii="Times New Roman" w:hAnsi="Times New Roman" w:cs="Times New Roman"/>
          <w:szCs w:val="22"/>
        </w:rPr>
      </w:pPr>
      <w:r w:rsidRPr="00FB5D79">
        <w:rPr>
          <w:rFonts w:ascii="Times New Roman" w:hAnsi="Times New Roman" w:cs="Times New Roman"/>
          <w:szCs w:val="22"/>
        </w:rPr>
        <w:t>Le contrat débutera le 10 juillet 2018 et prendra fin le 15 septembre </w:t>
      </w:r>
      <w:r w:rsidR="0082318C" w:rsidRPr="00FB5D79">
        <w:rPr>
          <w:rFonts w:ascii="Times New Roman" w:hAnsi="Times New Roman" w:cs="Times New Roman"/>
          <w:szCs w:val="22"/>
        </w:rPr>
        <w:t xml:space="preserve">2018.  Au cours de cette période, le calendrier suivant </w:t>
      </w:r>
      <w:r w:rsidR="00405DAB" w:rsidRPr="00FB5D79">
        <w:rPr>
          <w:rFonts w:ascii="Times New Roman" w:hAnsi="Times New Roman" w:cs="Times New Roman"/>
          <w:szCs w:val="22"/>
        </w:rPr>
        <w:t>devra</w:t>
      </w:r>
      <w:r w:rsidR="0082318C" w:rsidRPr="00FB5D79">
        <w:rPr>
          <w:rFonts w:ascii="Times New Roman" w:hAnsi="Times New Roman" w:cs="Times New Roman"/>
          <w:szCs w:val="22"/>
        </w:rPr>
        <w:t xml:space="preserve"> être respecté</w:t>
      </w:r>
      <w:r w:rsidR="00965F3A">
        <w:rPr>
          <w:rFonts w:ascii="Times New Roman" w:hAnsi="Times New Roman" w:cs="Times New Roman"/>
          <w:szCs w:val="22"/>
        </w:rPr>
        <w:t> :</w:t>
      </w:r>
    </w:p>
    <w:p w14:paraId="5D1DC0F0" w14:textId="77777777" w:rsidR="00191437" w:rsidRPr="00FB5D79" w:rsidRDefault="00191437" w:rsidP="006B770B">
      <w:pPr>
        <w:tabs>
          <w:tab w:val="left" w:pos="851"/>
        </w:tabs>
        <w:rPr>
          <w:rFonts w:ascii="Times New Roman" w:hAnsi="Times New Roman" w:cs="Times New Roman"/>
          <w:szCs w:val="22"/>
        </w:rPr>
      </w:pPr>
    </w:p>
    <w:p w14:paraId="1AC71016" w14:textId="5BDC26F3" w:rsidR="0082318C" w:rsidRPr="00FB5D79" w:rsidRDefault="0082318C" w:rsidP="006B770B">
      <w:pPr>
        <w:numPr>
          <w:ilvl w:val="0"/>
          <w:numId w:val="28"/>
        </w:numPr>
        <w:ind w:left="567" w:hanging="567"/>
        <w:rPr>
          <w:rFonts w:ascii="Times New Roman" w:hAnsi="Times New Roman" w:cs="Times New Roman"/>
          <w:szCs w:val="22"/>
        </w:rPr>
      </w:pPr>
      <w:r w:rsidRPr="00FB5D79">
        <w:rPr>
          <w:rFonts w:ascii="Times New Roman" w:hAnsi="Times New Roman" w:cs="Times New Roman"/>
          <w:szCs w:val="22"/>
        </w:rPr>
        <w:t xml:space="preserve">Le rapport initial </w:t>
      </w:r>
      <w:r w:rsidR="00405DAB" w:rsidRPr="00FB5D79">
        <w:rPr>
          <w:rFonts w:ascii="Times New Roman" w:hAnsi="Times New Roman" w:cs="Times New Roman"/>
          <w:szCs w:val="22"/>
        </w:rPr>
        <w:t>devra</w:t>
      </w:r>
      <w:r w:rsidRPr="00FB5D79">
        <w:rPr>
          <w:rFonts w:ascii="Times New Roman" w:hAnsi="Times New Roman" w:cs="Times New Roman"/>
          <w:szCs w:val="22"/>
        </w:rPr>
        <w:t xml:space="preserve"> être soumis à l</w:t>
      </w:r>
      <w:r w:rsidR="00646944" w:rsidRPr="00FB5D79">
        <w:rPr>
          <w:rFonts w:ascii="Times New Roman" w:hAnsi="Times New Roman" w:cs="Times New Roman"/>
          <w:szCs w:val="22"/>
        </w:rPr>
        <w:t>’</w:t>
      </w:r>
      <w:r w:rsidR="00D56604" w:rsidRPr="00FB5D79">
        <w:rPr>
          <w:rFonts w:ascii="Times New Roman" w:hAnsi="Times New Roman" w:cs="Times New Roman"/>
          <w:szCs w:val="22"/>
        </w:rPr>
        <w:t>OMPI avant le 15 juillet </w:t>
      </w:r>
      <w:r w:rsidRPr="00FB5D79">
        <w:rPr>
          <w:rFonts w:ascii="Times New Roman" w:hAnsi="Times New Roman" w:cs="Times New Roman"/>
          <w:szCs w:val="22"/>
        </w:rPr>
        <w:t xml:space="preserve">2018.  </w:t>
      </w:r>
      <w:r w:rsidR="00405DAB" w:rsidRPr="00FB5D79">
        <w:rPr>
          <w:rFonts w:ascii="Times New Roman" w:hAnsi="Times New Roman" w:cs="Times New Roman"/>
          <w:szCs w:val="22"/>
        </w:rPr>
        <w:t>L</w:t>
      </w:r>
      <w:r w:rsidR="00646944" w:rsidRPr="00FB5D79">
        <w:rPr>
          <w:rFonts w:ascii="Times New Roman" w:hAnsi="Times New Roman" w:cs="Times New Roman"/>
          <w:szCs w:val="22"/>
        </w:rPr>
        <w:t>’</w:t>
      </w:r>
      <w:r w:rsidR="00405DAB" w:rsidRPr="00FB5D79">
        <w:rPr>
          <w:rFonts w:ascii="Times New Roman" w:hAnsi="Times New Roman" w:cs="Times New Roman"/>
          <w:szCs w:val="22"/>
        </w:rPr>
        <w:t>OMPI devra transmettre ses</w:t>
      </w:r>
      <w:r w:rsidRPr="00FB5D79">
        <w:rPr>
          <w:rFonts w:ascii="Times New Roman" w:hAnsi="Times New Roman" w:cs="Times New Roman"/>
          <w:szCs w:val="22"/>
        </w:rPr>
        <w:t xml:space="preserve"> commentaires </w:t>
      </w:r>
      <w:r w:rsidR="00405DAB" w:rsidRPr="00FB5D79">
        <w:rPr>
          <w:rFonts w:ascii="Times New Roman" w:hAnsi="Times New Roman" w:cs="Times New Roman"/>
          <w:szCs w:val="22"/>
        </w:rPr>
        <w:t>au plus tard le 20 juillet </w:t>
      </w:r>
      <w:r w:rsidRPr="00FB5D79">
        <w:rPr>
          <w:rFonts w:ascii="Times New Roman" w:hAnsi="Times New Roman" w:cs="Times New Roman"/>
          <w:szCs w:val="22"/>
        </w:rPr>
        <w:t>2018.  Le projet de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405DAB" w:rsidRPr="00FB5D79">
        <w:rPr>
          <w:rFonts w:ascii="Times New Roman" w:hAnsi="Times New Roman" w:cs="Times New Roman"/>
          <w:szCs w:val="22"/>
        </w:rPr>
        <w:t>devra</w:t>
      </w:r>
      <w:r w:rsidR="00D72080" w:rsidRPr="00FB5D79">
        <w:rPr>
          <w:rFonts w:ascii="Times New Roman" w:hAnsi="Times New Roman" w:cs="Times New Roman"/>
          <w:szCs w:val="22"/>
        </w:rPr>
        <w:t xml:space="preserve"> être </w:t>
      </w:r>
      <w:r w:rsidRPr="00FB5D79">
        <w:rPr>
          <w:rFonts w:ascii="Times New Roman" w:hAnsi="Times New Roman" w:cs="Times New Roman"/>
          <w:szCs w:val="22"/>
        </w:rPr>
        <w:t>soumis à l</w:t>
      </w:r>
      <w:r w:rsidR="00646944" w:rsidRPr="00FB5D79">
        <w:rPr>
          <w:rFonts w:ascii="Times New Roman" w:hAnsi="Times New Roman" w:cs="Times New Roman"/>
          <w:szCs w:val="22"/>
        </w:rPr>
        <w:t>’</w:t>
      </w:r>
      <w:r w:rsidR="00405DAB" w:rsidRPr="00FB5D79">
        <w:rPr>
          <w:rFonts w:ascii="Times New Roman" w:hAnsi="Times New Roman" w:cs="Times New Roman"/>
          <w:szCs w:val="22"/>
        </w:rPr>
        <w:t>OMPI au plus tard le 27 août </w:t>
      </w:r>
      <w:r w:rsidRPr="00FB5D79">
        <w:rPr>
          <w:rFonts w:ascii="Times New Roman" w:hAnsi="Times New Roman" w:cs="Times New Roman"/>
          <w:szCs w:val="22"/>
        </w:rPr>
        <w:t xml:space="preserve">2018.  Les corrections </w:t>
      </w:r>
      <w:r w:rsidR="00405DAB" w:rsidRPr="00FB5D79">
        <w:rPr>
          <w:rFonts w:ascii="Times New Roman" w:hAnsi="Times New Roman" w:cs="Times New Roman"/>
          <w:szCs w:val="22"/>
        </w:rPr>
        <w:t>apportées à</w:t>
      </w:r>
      <w:r w:rsidRPr="00FB5D79">
        <w:rPr>
          <w:rFonts w:ascii="Times New Roman" w:hAnsi="Times New Roman" w:cs="Times New Roman"/>
          <w:szCs w:val="22"/>
        </w:rPr>
        <w:t xml:space="preserve"> </w:t>
      </w:r>
      <w:r w:rsidR="00405DAB" w:rsidRPr="00FB5D79">
        <w:rPr>
          <w:rFonts w:ascii="Times New Roman" w:hAnsi="Times New Roman" w:cs="Times New Roman"/>
          <w:szCs w:val="22"/>
        </w:rPr>
        <w:t>la version provisoire</w:t>
      </w:r>
      <w:r w:rsidRPr="00FB5D79">
        <w:rPr>
          <w:rFonts w:ascii="Times New Roman" w:hAnsi="Times New Roman" w:cs="Times New Roman"/>
          <w:szCs w:val="22"/>
        </w:rPr>
        <w:t xml:space="preserve"> </w:t>
      </w:r>
      <w:r w:rsidR="00405DAB" w:rsidRPr="00FB5D79">
        <w:rPr>
          <w:rFonts w:ascii="Times New Roman" w:hAnsi="Times New Roman" w:cs="Times New Roman"/>
          <w:szCs w:val="22"/>
        </w:rPr>
        <w:t>devront être</w:t>
      </w:r>
      <w:r w:rsidRPr="00FB5D79">
        <w:rPr>
          <w:rFonts w:ascii="Times New Roman" w:hAnsi="Times New Roman" w:cs="Times New Roman"/>
          <w:szCs w:val="22"/>
        </w:rPr>
        <w:t xml:space="preserve"> </w:t>
      </w:r>
      <w:r w:rsidR="00B8260C" w:rsidRPr="00FB5D79">
        <w:rPr>
          <w:rFonts w:ascii="Times New Roman" w:hAnsi="Times New Roman" w:cs="Times New Roman"/>
          <w:szCs w:val="22"/>
        </w:rPr>
        <w:t>communiquées</w:t>
      </w:r>
      <w:r w:rsidRPr="00FB5D79">
        <w:rPr>
          <w:rFonts w:ascii="Times New Roman" w:hAnsi="Times New Roman" w:cs="Times New Roman"/>
          <w:szCs w:val="22"/>
        </w:rPr>
        <w:t xml:space="preserve"> </w:t>
      </w:r>
      <w:r w:rsidR="00405DAB" w:rsidRPr="00FB5D79">
        <w:rPr>
          <w:rFonts w:ascii="Times New Roman" w:hAnsi="Times New Roman" w:cs="Times New Roman"/>
          <w:szCs w:val="22"/>
        </w:rPr>
        <w:t>au plus tard le</w:t>
      </w:r>
      <w:r w:rsidR="00D56604" w:rsidRPr="00FB5D79">
        <w:rPr>
          <w:rFonts w:ascii="Times New Roman" w:hAnsi="Times New Roman" w:cs="Times New Roman"/>
          <w:szCs w:val="22"/>
        </w:rPr>
        <w:t xml:space="preserve"> 3 </w:t>
      </w:r>
      <w:r w:rsidR="00646944" w:rsidRPr="00FB5D79">
        <w:rPr>
          <w:rFonts w:ascii="Times New Roman" w:hAnsi="Times New Roman" w:cs="Times New Roman"/>
          <w:szCs w:val="22"/>
        </w:rPr>
        <w:t>septembre 20</w:t>
      </w:r>
      <w:r w:rsidRPr="00FB5D79">
        <w:rPr>
          <w:rFonts w:ascii="Times New Roman" w:hAnsi="Times New Roman" w:cs="Times New Roman"/>
          <w:szCs w:val="22"/>
        </w:rPr>
        <w:t>18.  Le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final </w:t>
      </w:r>
      <w:r w:rsidR="00405DAB" w:rsidRPr="00FB5D79">
        <w:rPr>
          <w:rFonts w:ascii="Times New Roman" w:hAnsi="Times New Roman" w:cs="Times New Roman"/>
          <w:szCs w:val="22"/>
        </w:rPr>
        <w:t>devra être soumis au plus tard le 15 septembre </w:t>
      </w:r>
      <w:r w:rsidRPr="00FB5D79">
        <w:rPr>
          <w:rFonts w:ascii="Times New Roman" w:hAnsi="Times New Roman" w:cs="Times New Roman"/>
          <w:szCs w:val="22"/>
        </w:rPr>
        <w:t>2018.</w:t>
      </w:r>
    </w:p>
    <w:p w14:paraId="61C0DA42" w14:textId="77777777" w:rsidR="0082318C" w:rsidRPr="00FB5D79" w:rsidRDefault="0082318C" w:rsidP="006B770B">
      <w:pPr>
        <w:ind w:left="567" w:hanging="567"/>
        <w:rPr>
          <w:rFonts w:ascii="Times New Roman" w:hAnsi="Times New Roman" w:cs="Times New Roman"/>
          <w:szCs w:val="22"/>
        </w:rPr>
      </w:pPr>
    </w:p>
    <w:p w14:paraId="21D2231E" w14:textId="1B1E04B6" w:rsidR="00191437" w:rsidRPr="00FB5D79" w:rsidRDefault="0082318C" w:rsidP="006B770B">
      <w:pPr>
        <w:numPr>
          <w:ilvl w:val="0"/>
          <w:numId w:val="28"/>
        </w:numPr>
        <w:ind w:left="567" w:hanging="567"/>
        <w:rPr>
          <w:rFonts w:ascii="Times New Roman" w:hAnsi="Times New Roman" w:cs="Times New Roman"/>
          <w:szCs w:val="22"/>
        </w:rPr>
      </w:pPr>
      <w:r w:rsidRPr="00FB5D79">
        <w:rPr>
          <w:rFonts w:ascii="Times New Roman" w:hAnsi="Times New Roman" w:cs="Times New Roman"/>
          <w:szCs w:val="22"/>
        </w:rPr>
        <w:t>La version finale du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contenant une réponse de la direction </w:t>
      </w:r>
      <w:r w:rsidR="00B13093" w:rsidRPr="00FB5D79">
        <w:rPr>
          <w:rFonts w:ascii="Times New Roman" w:hAnsi="Times New Roman" w:cs="Times New Roman"/>
          <w:szCs w:val="22"/>
        </w:rPr>
        <w:t>dans une</w:t>
      </w:r>
      <w:r w:rsidRPr="00FB5D79">
        <w:rPr>
          <w:rFonts w:ascii="Times New Roman" w:hAnsi="Times New Roman" w:cs="Times New Roman"/>
          <w:szCs w:val="22"/>
        </w:rPr>
        <w:t xml:space="preserve"> annexe sera examinée </w:t>
      </w:r>
      <w:r w:rsidR="00B13093" w:rsidRPr="00FB5D79">
        <w:rPr>
          <w:rFonts w:ascii="Times New Roman" w:hAnsi="Times New Roman" w:cs="Times New Roman"/>
          <w:szCs w:val="22"/>
        </w:rPr>
        <w:t>à</w:t>
      </w:r>
      <w:r w:rsidRPr="00FB5D79">
        <w:rPr>
          <w:rFonts w:ascii="Times New Roman" w:hAnsi="Times New Roman" w:cs="Times New Roman"/>
          <w:szCs w:val="22"/>
        </w:rPr>
        <w:t xml:space="preserve"> la vingt</w:t>
      </w:r>
      <w:r w:rsidR="00965F3A">
        <w:rPr>
          <w:rFonts w:ascii="Times New Roman" w:hAnsi="Times New Roman" w:cs="Times New Roman"/>
          <w:szCs w:val="22"/>
        </w:rPr>
        <w:t>-</w:t>
      </w:r>
      <w:r w:rsidRPr="00FB5D79">
        <w:rPr>
          <w:rFonts w:ascii="Times New Roman" w:hAnsi="Times New Roman" w:cs="Times New Roman"/>
          <w:szCs w:val="22"/>
        </w:rPr>
        <w:t>deux</w:t>
      </w:r>
      <w:r w:rsidR="00965F3A">
        <w:rPr>
          <w:rFonts w:ascii="Times New Roman" w:hAnsi="Times New Roman" w:cs="Times New Roman"/>
          <w:szCs w:val="22"/>
        </w:rPr>
        <w:t>ième session</w:t>
      </w:r>
      <w:r w:rsidR="00646944" w:rsidRPr="00FB5D79">
        <w:rPr>
          <w:rFonts w:ascii="Times New Roman" w:hAnsi="Times New Roman" w:cs="Times New Roman"/>
          <w:szCs w:val="22"/>
        </w:rPr>
        <w:t xml:space="preserve"> du CDI</w:t>
      </w:r>
      <w:r w:rsidRPr="00FB5D79">
        <w:rPr>
          <w:rFonts w:ascii="Times New Roman" w:hAnsi="Times New Roman" w:cs="Times New Roman"/>
          <w:szCs w:val="22"/>
        </w:rPr>
        <w:t>P, qui se tiendra du 19</w:t>
      </w:r>
      <w:r w:rsidR="00B13093" w:rsidRPr="00FB5D79">
        <w:rPr>
          <w:rFonts w:ascii="Times New Roman" w:hAnsi="Times New Roman" w:cs="Times New Roman"/>
          <w:szCs w:val="22"/>
        </w:rPr>
        <w:t> au 23 novembre </w:t>
      </w:r>
      <w:r w:rsidRPr="00FB5D79">
        <w:rPr>
          <w:rFonts w:ascii="Times New Roman" w:hAnsi="Times New Roman" w:cs="Times New Roman"/>
          <w:szCs w:val="22"/>
        </w:rPr>
        <w:t>2018.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évaluateur pourrait </w:t>
      </w:r>
      <w:r w:rsidR="001D53D9" w:rsidRPr="00FB5D79">
        <w:rPr>
          <w:rFonts w:ascii="Times New Roman" w:hAnsi="Times New Roman" w:cs="Times New Roman"/>
          <w:szCs w:val="22"/>
        </w:rPr>
        <w:t xml:space="preserve">avoir à </w:t>
      </w:r>
      <w:r w:rsidRPr="00FB5D79">
        <w:rPr>
          <w:rFonts w:ascii="Times New Roman" w:hAnsi="Times New Roman" w:cs="Times New Roman"/>
          <w:szCs w:val="22"/>
        </w:rPr>
        <w:t>présenter le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1D53D9" w:rsidRPr="00FB5D79">
        <w:rPr>
          <w:rFonts w:ascii="Times New Roman" w:hAnsi="Times New Roman" w:cs="Times New Roman"/>
          <w:szCs w:val="22"/>
        </w:rPr>
        <w:t>à l</w:t>
      </w:r>
      <w:r w:rsidR="00646944" w:rsidRPr="00FB5D79">
        <w:rPr>
          <w:rFonts w:ascii="Times New Roman" w:hAnsi="Times New Roman" w:cs="Times New Roman"/>
          <w:szCs w:val="22"/>
        </w:rPr>
        <w:t>’</w:t>
      </w:r>
      <w:r w:rsidR="001D53D9" w:rsidRPr="00FB5D79">
        <w:rPr>
          <w:rFonts w:ascii="Times New Roman" w:hAnsi="Times New Roman" w:cs="Times New Roman"/>
          <w:szCs w:val="22"/>
        </w:rPr>
        <w:t>occasion</w:t>
      </w:r>
      <w:r w:rsidRPr="00FB5D79">
        <w:rPr>
          <w:rFonts w:ascii="Times New Roman" w:hAnsi="Times New Roman" w:cs="Times New Roman"/>
          <w:szCs w:val="22"/>
        </w:rPr>
        <w:t xml:space="preserve"> de cette session</w:t>
      </w:r>
      <w:r w:rsidR="00646944" w:rsidRPr="00FB5D79">
        <w:rPr>
          <w:rFonts w:ascii="Times New Roman" w:hAnsi="Times New Roman" w:cs="Times New Roman"/>
          <w:szCs w:val="22"/>
        </w:rPr>
        <w:t xml:space="preserve"> du CDI</w:t>
      </w:r>
      <w:r w:rsidRPr="00FB5D79">
        <w:rPr>
          <w:rFonts w:ascii="Times New Roman" w:hAnsi="Times New Roman" w:cs="Times New Roman"/>
          <w:szCs w:val="22"/>
        </w:rPr>
        <w:t>P.</w:t>
      </w:r>
    </w:p>
    <w:p w14:paraId="1599E794" w14:textId="77777777" w:rsidR="00191437" w:rsidRPr="00FB5D79" w:rsidRDefault="00191437" w:rsidP="006B770B">
      <w:pPr>
        <w:tabs>
          <w:tab w:val="left" w:pos="851"/>
        </w:tabs>
        <w:rPr>
          <w:rFonts w:ascii="Times New Roman" w:hAnsi="Times New Roman" w:cs="Times New Roman"/>
          <w:szCs w:val="22"/>
        </w:rPr>
      </w:pPr>
    </w:p>
    <w:p w14:paraId="4C55DCA6" w14:textId="7C729E47" w:rsidR="00191437" w:rsidRPr="00FB5D79" w:rsidRDefault="0082318C"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évaluateur rece</w:t>
      </w:r>
      <w:r w:rsidR="00E23764" w:rsidRPr="00FB5D79">
        <w:rPr>
          <w:rFonts w:ascii="Times New Roman" w:hAnsi="Times New Roman" w:cs="Times New Roman"/>
          <w:szCs w:val="22"/>
        </w:rPr>
        <w:t>vra une somme forfaitaire de 10 000 </w:t>
      </w:r>
      <w:r w:rsidRPr="00FB5D79">
        <w:rPr>
          <w:rFonts w:ascii="Times New Roman" w:hAnsi="Times New Roman" w:cs="Times New Roman"/>
          <w:szCs w:val="22"/>
        </w:rPr>
        <w:t xml:space="preserve">francs suisses, </w:t>
      </w:r>
      <w:r w:rsidR="00E23764" w:rsidRPr="00FB5D79">
        <w:rPr>
          <w:rFonts w:ascii="Times New Roman" w:hAnsi="Times New Roman" w:cs="Times New Roman"/>
          <w:szCs w:val="22"/>
        </w:rPr>
        <w:t>payable</w:t>
      </w:r>
      <w:r w:rsidRPr="00FB5D79">
        <w:rPr>
          <w:rFonts w:ascii="Times New Roman" w:hAnsi="Times New Roman" w:cs="Times New Roman"/>
          <w:szCs w:val="22"/>
        </w:rPr>
        <w:t xml:space="preserve"> en deux</w:t>
      </w:r>
      <w:r w:rsidR="000E4777" w:rsidRPr="00FB5D79">
        <w:rPr>
          <w:rFonts w:ascii="Times New Roman" w:hAnsi="Times New Roman" w:cs="Times New Roman"/>
          <w:szCs w:val="22"/>
        </w:rPr>
        <w:t> </w:t>
      </w:r>
      <w:r w:rsidRPr="00FB5D79">
        <w:rPr>
          <w:rFonts w:ascii="Times New Roman" w:hAnsi="Times New Roman" w:cs="Times New Roman"/>
          <w:szCs w:val="22"/>
        </w:rPr>
        <w:t>versements</w:t>
      </w:r>
      <w:r w:rsidR="00965F3A">
        <w:rPr>
          <w:rFonts w:ascii="Times New Roman" w:hAnsi="Times New Roman" w:cs="Times New Roman"/>
          <w:szCs w:val="22"/>
        </w:rPr>
        <w:t> :</w:t>
      </w:r>
      <w:r w:rsidR="00191437" w:rsidRPr="00FB5D79">
        <w:rPr>
          <w:rFonts w:ascii="Times New Roman" w:hAnsi="Times New Roman" w:cs="Times New Roman"/>
          <w:szCs w:val="22"/>
        </w:rPr>
        <w:br/>
      </w:r>
    </w:p>
    <w:p w14:paraId="4A3F200C" w14:textId="40DF283C" w:rsidR="0082318C" w:rsidRPr="00FB5D79" w:rsidRDefault="00E23764" w:rsidP="006B770B">
      <w:pPr>
        <w:numPr>
          <w:ilvl w:val="0"/>
          <w:numId w:val="27"/>
        </w:numPr>
        <w:ind w:left="567" w:hanging="567"/>
        <w:rPr>
          <w:rFonts w:ascii="Times New Roman" w:hAnsi="Times New Roman" w:cs="Times New Roman"/>
          <w:szCs w:val="22"/>
        </w:rPr>
      </w:pPr>
      <w:r w:rsidRPr="00FB5D79">
        <w:rPr>
          <w:rFonts w:ascii="Times New Roman" w:hAnsi="Times New Roman" w:cs="Times New Roman"/>
          <w:szCs w:val="22"/>
        </w:rPr>
        <w:t>50</w:t>
      </w:r>
      <w:r w:rsidR="0082318C" w:rsidRPr="00FB5D79">
        <w:rPr>
          <w:rFonts w:ascii="Times New Roman" w:hAnsi="Times New Roman" w:cs="Times New Roman"/>
          <w:szCs w:val="22"/>
        </w:rPr>
        <w:t xml:space="preserve">% </w:t>
      </w:r>
      <w:r w:rsidR="00E71A66" w:rsidRPr="00FB5D79">
        <w:rPr>
          <w:rFonts w:ascii="Times New Roman" w:hAnsi="Times New Roman" w:cs="Times New Roman"/>
          <w:szCs w:val="22"/>
        </w:rPr>
        <w:t xml:space="preserve">après </w:t>
      </w:r>
      <w:r w:rsidR="0082318C" w:rsidRPr="00FB5D79">
        <w:rPr>
          <w:rFonts w:ascii="Times New Roman" w:hAnsi="Times New Roman" w:cs="Times New Roman"/>
          <w:szCs w:val="22"/>
        </w:rPr>
        <w:t>acceptation par l</w:t>
      </w:r>
      <w:r w:rsidR="00646944" w:rsidRPr="00FB5D79">
        <w:rPr>
          <w:rFonts w:ascii="Times New Roman" w:hAnsi="Times New Roman" w:cs="Times New Roman"/>
          <w:szCs w:val="22"/>
        </w:rPr>
        <w:t>’</w:t>
      </w:r>
      <w:r w:rsidR="0082318C" w:rsidRPr="00FB5D79">
        <w:rPr>
          <w:rFonts w:ascii="Times New Roman" w:hAnsi="Times New Roman" w:cs="Times New Roman"/>
          <w:szCs w:val="22"/>
        </w:rPr>
        <w:t>OMPI d</w:t>
      </w:r>
      <w:r w:rsidR="00646944" w:rsidRPr="00FB5D79">
        <w:rPr>
          <w:rFonts w:ascii="Times New Roman" w:hAnsi="Times New Roman" w:cs="Times New Roman"/>
          <w:szCs w:val="22"/>
        </w:rPr>
        <w:t>’</w:t>
      </w:r>
      <w:r w:rsidR="0082318C" w:rsidRPr="00FB5D79">
        <w:rPr>
          <w:rFonts w:ascii="Times New Roman" w:hAnsi="Times New Roman" w:cs="Times New Roman"/>
          <w:szCs w:val="22"/>
        </w:rPr>
        <w:t>un rapport initial</w:t>
      </w:r>
      <w:r w:rsidR="00186E50" w:rsidRPr="00FB5D79">
        <w:rPr>
          <w:rFonts w:ascii="Times New Roman" w:hAnsi="Times New Roman" w:cs="Times New Roman"/>
          <w:szCs w:val="22"/>
        </w:rPr>
        <w:t>;</w:t>
      </w:r>
    </w:p>
    <w:p w14:paraId="72BD4FCA" w14:textId="77777777" w:rsidR="0082318C" w:rsidRPr="00FB5D79" w:rsidRDefault="0082318C" w:rsidP="006B770B">
      <w:pPr>
        <w:ind w:left="567" w:hanging="567"/>
        <w:rPr>
          <w:rFonts w:ascii="Times New Roman" w:hAnsi="Times New Roman" w:cs="Times New Roman"/>
          <w:szCs w:val="22"/>
        </w:rPr>
      </w:pPr>
    </w:p>
    <w:p w14:paraId="6CCD4537" w14:textId="5C1CF261" w:rsidR="00191437" w:rsidRPr="00FB5D79" w:rsidRDefault="00E23764" w:rsidP="006B770B">
      <w:pPr>
        <w:numPr>
          <w:ilvl w:val="0"/>
          <w:numId w:val="27"/>
        </w:numPr>
        <w:ind w:left="567" w:hanging="567"/>
        <w:rPr>
          <w:rFonts w:ascii="Times New Roman" w:hAnsi="Times New Roman" w:cs="Times New Roman"/>
          <w:szCs w:val="22"/>
        </w:rPr>
      </w:pPr>
      <w:r w:rsidRPr="00FB5D79">
        <w:rPr>
          <w:rFonts w:ascii="Times New Roman" w:hAnsi="Times New Roman" w:cs="Times New Roman"/>
          <w:szCs w:val="22"/>
        </w:rPr>
        <w:t>50</w:t>
      </w:r>
      <w:r w:rsidR="0082318C" w:rsidRPr="00FB5D79">
        <w:rPr>
          <w:rFonts w:ascii="Times New Roman" w:hAnsi="Times New Roman" w:cs="Times New Roman"/>
          <w:szCs w:val="22"/>
        </w:rPr>
        <w:t>% après acceptation par l</w:t>
      </w:r>
      <w:r w:rsidR="00646944" w:rsidRPr="00FB5D79">
        <w:rPr>
          <w:rFonts w:ascii="Times New Roman" w:hAnsi="Times New Roman" w:cs="Times New Roman"/>
          <w:szCs w:val="22"/>
        </w:rPr>
        <w:t>’</w:t>
      </w:r>
      <w:r w:rsidR="0082318C" w:rsidRPr="00FB5D79">
        <w:rPr>
          <w:rFonts w:ascii="Times New Roman" w:hAnsi="Times New Roman" w:cs="Times New Roman"/>
          <w:szCs w:val="22"/>
        </w:rPr>
        <w:t>OMPI d</w:t>
      </w:r>
      <w:r w:rsidR="00646944" w:rsidRPr="00FB5D79">
        <w:rPr>
          <w:rFonts w:ascii="Times New Roman" w:hAnsi="Times New Roman" w:cs="Times New Roman"/>
          <w:szCs w:val="22"/>
        </w:rPr>
        <w:t>’</w:t>
      </w:r>
      <w:r w:rsidR="0082318C" w:rsidRPr="00FB5D79">
        <w:rPr>
          <w:rFonts w:ascii="Times New Roman" w:hAnsi="Times New Roman" w:cs="Times New Roman"/>
          <w:szCs w:val="22"/>
        </w:rPr>
        <w:t>un rapport d</w:t>
      </w:r>
      <w:r w:rsidR="00646944" w:rsidRPr="00FB5D79">
        <w:rPr>
          <w:rFonts w:ascii="Times New Roman" w:hAnsi="Times New Roman" w:cs="Times New Roman"/>
          <w:szCs w:val="22"/>
        </w:rPr>
        <w:t>’</w:t>
      </w:r>
      <w:r w:rsidR="0082318C" w:rsidRPr="00FB5D79">
        <w:rPr>
          <w:rFonts w:ascii="Times New Roman" w:hAnsi="Times New Roman" w:cs="Times New Roman"/>
          <w:szCs w:val="22"/>
        </w:rPr>
        <w:t>évaluation final.</w:t>
      </w:r>
    </w:p>
    <w:p w14:paraId="19E53D21" w14:textId="77777777" w:rsidR="00191437" w:rsidRPr="00FB5D79" w:rsidRDefault="00191437" w:rsidP="006B770B">
      <w:pPr>
        <w:rPr>
          <w:rFonts w:ascii="Times New Roman" w:hAnsi="Times New Roman" w:cs="Times New Roman"/>
          <w:szCs w:val="22"/>
        </w:rPr>
      </w:pPr>
    </w:p>
    <w:p w14:paraId="0A66CF11" w14:textId="7F45E84D" w:rsidR="00191437" w:rsidRPr="00FB5D79" w:rsidRDefault="0082318C" w:rsidP="006B770B">
      <w:pPr>
        <w:tabs>
          <w:tab w:val="left" w:pos="851"/>
        </w:tabs>
        <w:rPr>
          <w:rFonts w:ascii="Times New Roman" w:hAnsi="Times New Roman" w:cs="Times New Roman"/>
          <w:szCs w:val="22"/>
        </w:rPr>
      </w:pPr>
      <w:r w:rsidRPr="00FB5D79">
        <w:rPr>
          <w:rFonts w:ascii="Times New Roman" w:hAnsi="Times New Roman" w:cs="Times New Roman"/>
          <w:szCs w:val="22"/>
        </w:rPr>
        <w:t xml:space="preserve">La rémunération sera </w:t>
      </w:r>
      <w:r w:rsidR="00E71A66" w:rsidRPr="00FB5D79">
        <w:rPr>
          <w:rFonts w:ascii="Times New Roman" w:hAnsi="Times New Roman" w:cs="Times New Roman"/>
          <w:szCs w:val="22"/>
        </w:rPr>
        <w:t>subordonné</w:t>
      </w:r>
      <w:r w:rsidR="000910FD" w:rsidRPr="00FB5D79">
        <w:rPr>
          <w:rFonts w:ascii="Times New Roman" w:hAnsi="Times New Roman" w:cs="Times New Roman"/>
          <w:szCs w:val="22"/>
        </w:rPr>
        <w:t>e</w:t>
      </w:r>
      <w:r w:rsidR="00E71A66" w:rsidRPr="00FB5D79">
        <w:rPr>
          <w:rFonts w:ascii="Times New Roman" w:hAnsi="Times New Roman" w:cs="Times New Roman"/>
          <w:szCs w:val="22"/>
        </w:rPr>
        <w:t xml:space="preserve"> à</w:t>
      </w:r>
      <w:r w:rsidRPr="00FB5D79">
        <w:rPr>
          <w:rFonts w:ascii="Times New Roman" w:hAnsi="Times New Roman" w:cs="Times New Roman"/>
          <w:szCs w:val="22"/>
        </w:rPr>
        <w:t xml:space="preserve"> la réception des livrables conformément au présent mandat et à </w:t>
      </w:r>
      <w:r w:rsidR="00E71A66" w:rsidRPr="00FB5D79">
        <w:rPr>
          <w:rFonts w:ascii="Times New Roman" w:hAnsi="Times New Roman" w:cs="Times New Roman"/>
          <w:szCs w:val="22"/>
        </w:rPr>
        <w:t>la réalisation</w:t>
      </w:r>
      <w:r w:rsidRPr="00FB5D79">
        <w:rPr>
          <w:rFonts w:ascii="Times New Roman" w:hAnsi="Times New Roman" w:cs="Times New Roman"/>
          <w:szCs w:val="22"/>
        </w:rPr>
        <w:t xml:space="preserve"> des tâches qui y sont décrites.</w:t>
      </w:r>
    </w:p>
    <w:p w14:paraId="2C1CDC9B" w14:textId="77777777" w:rsidR="00807D9F" w:rsidRPr="00FB5D79" w:rsidRDefault="00807D9F" w:rsidP="006B770B">
      <w:pPr>
        <w:tabs>
          <w:tab w:val="left" w:pos="5670"/>
        </w:tabs>
        <w:rPr>
          <w:szCs w:val="22"/>
        </w:rPr>
      </w:pPr>
    </w:p>
    <w:p w14:paraId="3A1600E8" w14:textId="39E4DDBE" w:rsidR="00807D9F" w:rsidRPr="00FB5D79" w:rsidRDefault="00191437" w:rsidP="00553827">
      <w:pPr>
        <w:tabs>
          <w:tab w:val="left" w:pos="5670"/>
        </w:tabs>
        <w:ind w:left="5534"/>
        <w:jc w:val="both"/>
        <w:rPr>
          <w:szCs w:val="22"/>
        </w:rPr>
      </w:pPr>
      <w:r w:rsidRPr="00FB5D79">
        <w:rPr>
          <w:szCs w:val="22"/>
        </w:rPr>
        <w:t>[</w:t>
      </w:r>
      <w:r w:rsidR="00F37D07" w:rsidRPr="00FB5D79">
        <w:rPr>
          <w:szCs w:val="22"/>
        </w:rPr>
        <w:t>L</w:t>
      </w:r>
      <w:r w:rsidR="00646944" w:rsidRPr="00FB5D79">
        <w:rPr>
          <w:szCs w:val="22"/>
        </w:rPr>
        <w:t>’</w:t>
      </w:r>
      <w:r w:rsidR="00643AB5">
        <w:rPr>
          <w:szCs w:val="22"/>
        </w:rPr>
        <w:t>appendic</w:t>
      </w:r>
      <w:r w:rsidR="00F37D07" w:rsidRPr="00FB5D79">
        <w:rPr>
          <w:szCs w:val="22"/>
        </w:rPr>
        <w:t>e </w:t>
      </w:r>
      <w:r w:rsidR="00807D9F" w:rsidRPr="00FB5D79">
        <w:rPr>
          <w:szCs w:val="22"/>
        </w:rPr>
        <w:t>I</w:t>
      </w:r>
      <w:r w:rsidRPr="00FB5D79">
        <w:rPr>
          <w:szCs w:val="22"/>
        </w:rPr>
        <w:t>I</w:t>
      </w:r>
      <w:r w:rsidR="00807D9F" w:rsidRPr="00FB5D79">
        <w:rPr>
          <w:szCs w:val="22"/>
        </w:rPr>
        <w:t>I</w:t>
      </w:r>
      <w:r w:rsidRPr="00FB5D79">
        <w:rPr>
          <w:szCs w:val="22"/>
        </w:rPr>
        <w:t xml:space="preserve"> </w:t>
      </w:r>
      <w:r w:rsidR="00F37D07" w:rsidRPr="00FB5D79">
        <w:rPr>
          <w:szCs w:val="22"/>
        </w:rPr>
        <w:t>suit</w:t>
      </w:r>
      <w:r w:rsidR="00807D9F" w:rsidRPr="00FB5D79">
        <w:rPr>
          <w:szCs w:val="22"/>
        </w:rPr>
        <w:t>]</w:t>
      </w:r>
    </w:p>
    <w:p w14:paraId="792DA503" w14:textId="77777777" w:rsidR="00807D9F" w:rsidRPr="00FB5D79" w:rsidRDefault="00807D9F" w:rsidP="006075D7">
      <w:pPr>
        <w:pStyle w:val="ONUME"/>
        <w:numPr>
          <w:ilvl w:val="0"/>
          <w:numId w:val="0"/>
        </w:numPr>
        <w:jc w:val="both"/>
        <w:rPr>
          <w:caps/>
        </w:rPr>
      </w:pPr>
    </w:p>
    <w:p w14:paraId="065E44F5" w14:textId="77777777" w:rsidR="00807D9F" w:rsidRPr="00FB5D79" w:rsidRDefault="00807D9F" w:rsidP="006075D7">
      <w:pPr>
        <w:pStyle w:val="ONUME"/>
        <w:numPr>
          <w:ilvl w:val="0"/>
          <w:numId w:val="0"/>
        </w:numPr>
        <w:jc w:val="both"/>
        <w:rPr>
          <w:caps/>
        </w:rPr>
        <w:sectPr w:rsidR="00807D9F" w:rsidRPr="00FB5D79" w:rsidSect="005779C5">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14:paraId="4489B4EE" w14:textId="2D629901" w:rsidR="003E1AD8" w:rsidRPr="00FB5D79" w:rsidRDefault="00765B4A" w:rsidP="00A373EA">
      <w:pPr>
        <w:pStyle w:val="ONUME"/>
        <w:numPr>
          <w:ilvl w:val="0"/>
          <w:numId w:val="0"/>
        </w:numPr>
        <w:rPr>
          <w:caps/>
        </w:rPr>
      </w:pPr>
      <w:r w:rsidRPr="00765B4A">
        <w:rPr>
          <w:caps/>
        </w:rPr>
        <w:lastRenderedPageBreak/>
        <w:t>Annexe III</w:t>
      </w:r>
      <w:r w:rsidR="00965F3A">
        <w:rPr>
          <w:caps/>
        </w:rPr>
        <w:t> :</w:t>
      </w:r>
      <w:r w:rsidRPr="00765B4A">
        <w:rPr>
          <w:caps/>
        </w:rPr>
        <w:t xml:space="preserve"> liste des</w:t>
      </w:r>
      <w:r w:rsidR="00875EFA">
        <w:rPr>
          <w:caps/>
        </w:rPr>
        <w:t xml:space="preserve"> parties prenantes interrog</w:t>
      </w:r>
      <w:r w:rsidR="008844CC">
        <w:rPr>
          <w:caps/>
        </w:rPr>
        <w:t>é</w:t>
      </w:r>
      <w:r w:rsidR="00875EFA">
        <w:rPr>
          <w:caps/>
        </w:rPr>
        <w:t xml:space="preserve">es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191437" w:rsidRPr="00FB5D79" w14:paraId="43AB7801" w14:textId="77777777" w:rsidTr="0009552D">
        <w:trPr>
          <w:tblHeader/>
        </w:trPr>
        <w:tc>
          <w:tcPr>
            <w:tcW w:w="568" w:type="dxa"/>
            <w:shd w:val="clear" w:color="auto" w:fill="auto"/>
            <w:vAlign w:val="center"/>
          </w:tcPr>
          <w:p w14:paraId="7D22A6D2" w14:textId="77777777" w:rsidR="00191437" w:rsidRPr="00FB5D79" w:rsidRDefault="00191437" w:rsidP="00A60393">
            <w:pPr>
              <w:spacing w:before="20" w:after="20"/>
              <w:rPr>
                <w:rFonts w:ascii="Times New Roman" w:hAnsi="Times New Roman" w:cs="Times New Roman"/>
                <w:b/>
                <w:bCs/>
                <w:szCs w:val="22"/>
              </w:rPr>
            </w:pPr>
          </w:p>
        </w:tc>
        <w:tc>
          <w:tcPr>
            <w:tcW w:w="9214" w:type="dxa"/>
            <w:shd w:val="clear" w:color="auto" w:fill="auto"/>
            <w:vAlign w:val="center"/>
          </w:tcPr>
          <w:p w14:paraId="3566CBF6" w14:textId="1D7CF7CF" w:rsidR="00191437" w:rsidRPr="00FB5D79" w:rsidRDefault="0092223A" w:rsidP="00A60393">
            <w:pPr>
              <w:spacing w:before="20" w:after="20"/>
              <w:rPr>
                <w:rFonts w:ascii="Times New Roman" w:hAnsi="Times New Roman" w:cs="Times New Roman"/>
                <w:b/>
                <w:bCs/>
                <w:szCs w:val="22"/>
              </w:rPr>
            </w:pPr>
            <w:r w:rsidRPr="00FB5D79">
              <w:rPr>
                <w:rFonts w:ascii="Times New Roman" w:hAnsi="Times New Roman" w:cs="Times New Roman"/>
                <w:b/>
                <w:bCs/>
                <w:szCs w:val="22"/>
              </w:rPr>
              <w:t>Nom et fonction</w:t>
            </w:r>
            <w:r w:rsidR="00191437" w:rsidRPr="00FB5D79">
              <w:rPr>
                <w:rFonts w:ascii="Times New Roman" w:hAnsi="Times New Roman" w:cs="Times New Roman"/>
                <w:b/>
                <w:bCs/>
                <w:szCs w:val="22"/>
              </w:rPr>
              <w:t xml:space="preserve"> </w:t>
            </w:r>
          </w:p>
        </w:tc>
      </w:tr>
      <w:tr w:rsidR="00191437" w:rsidRPr="00FB5D79" w14:paraId="55B67780" w14:textId="77777777" w:rsidTr="0009552D">
        <w:tc>
          <w:tcPr>
            <w:tcW w:w="568" w:type="dxa"/>
            <w:shd w:val="clear" w:color="auto" w:fill="auto"/>
            <w:vAlign w:val="center"/>
          </w:tcPr>
          <w:p w14:paraId="24279DD3"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EDE6ADE" w14:textId="1B9440E4" w:rsidR="00191437" w:rsidRPr="00E12E2F" w:rsidRDefault="00754546" w:rsidP="00E12E2F">
            <w:pPr>
              <w:rPr>
                <w:rFonts w:ascii="Times New Roman" w:hAnsi="Times New Roman" w:cs="Times New Roman"/>
              </w:rPr>
            </w:pPr>
            <w:bookmarkStart w:id="49" w:name="_Toc526862686"/>
            <w:bookmarkStart w:id="50" w:name="_Toc527290921"/>
            <w:bookmarkStart w:id="51" w:name="_Toc527290964"/>
            <w:bookmarkStart w:id="52" w:name="_Toc527363683"/>
            <w:bookmarkStart w:id="53" w:name="_Toc527451288"/>
            <w:bookmarkStart w:id="54" w:name="_Toc527451331"/>
            <w:bookmarkStart w:id="55" w:name="_Toc527556978"/>
            <w:r w:rsidRPr="00E12E2F">
              <w:rPr>
                <w:rFonts w:ascii="Times New Roman" w:hAnsi="Times New Roman" w:cs="Times New Roman"/>
              </w:rPr>
              <w:t>Mme </w:t>
            </w:r>
            <w:proofErr w:type="spellStart"/>
            <w:r w:rsidR="00191437" w:rsidRPr="00E12E2F">
              <w:rPr>
                <w:rFonts w:ascii="Times New Roman" w:hAnsi="Times New Roman" w:cs="Times New Roman"/>
              </w:rPr>
              <w:t>Beatriz</w:t>
            </w:r>
            <w:proofErr w:type="spellEnd"/>
            <w:r w:rsidR="00EB4E6B" w:rsidRPr="00E12E2F">
              <w:rPr>
                <w:rFonts w:ascii="Times New Roman" w:hAnsi="Times New Roman" w:cs="Times New Roman"/>
              </w:rPr>
              <w:t> </w:t>
            </w:r>
            <w:proofErr w:type="spellStart"/>
            <w:r w:rsidR="00191437" w:rsidRPr="00E12E2F">
              <w:rPr>
                <w:rFonts w:ascii="Times New Roman" w:hAnsi="Times New Roman" w:cs="Times New Roman"/>
              </w:rPr>
              <w:t>Amorim</w:t>
            </w:r>
            <w:r w:rsidR="00965F3A">
              <w:rPr>
                <w:rFonts w:ascii="Times New Roman" w:hAnsi="Times New Roman" w:cs="Times New Roman"/>
              </w:rPr>
              <w:t>-</w:t>
            </w:r>
            <w:r w:rsidR="00191437" w:rsidRPr="00E12E2F">
              <w:rPr>
                <w:rFonts w:ascii="Times New Roman" w:hAnsi="Times New Roman" w:cs="Times New Roman"/>
              </w:rPr>
              <w:t>Borher</w:t>
            </w:r>
            <w:proofErr w:type="spellEnd"/>
            <w:r w:rsidR="00191437" w:rsidRPr="00E12E2F">
              <w:rPr>
                <w:rFonts w:ascii="Times New Roman" w:hAnsi="Times New Roman" w:cs="Times New Roman"/>
              </w:rPr>
              <w:t xml:space="preserve">, </w:t>
            </w:r>
            <w:r w:rsidR="00FC044A" w:rsidRPr="00E12E2F">
              <w:rPr>
                <w:rFonts w:ascii="Times New Roman" w:hAnsi="Times New Roman" w:cs="Times New Roman"/>
              </w:rPr>
              <w:t>directrice du B</w:t>
            </w:r>
            <w:r w:rsidR="00AB7D9C" w:rsidRPr="00E12E2F">
              <w:rPr>
                <w:rFonts w:ascii="Times New Roman" w:hAnsi="Times New Roman" w:cs="Times New Roman"/>
              </w:rPr>
              <w:t>ureau régional pour l</w:t>
            </w:r>
            <w:r w:rsidR="00646944" w:rsidRPr="00E12E2F">
              <w:rPr>
                <w:rFonts w:ascii="Times New Roman" w:hAnsi="Times New Roman" w:cs="Times New Roman"/>
              </w:rPr>
              <w:t>’</w:t>
            </w:r>
            <w:r w:rsidR="00AB7D9C" w:rsidRPr="00E12E2F">
              <w:rPr>
                <w:rFonts w:ascii="Times New Roman" w:hAnsi="Times New Roman" w:cs="Times New Roman"/>
              </w:rPr>
              <w:t>Amérique latine et les Caraïbes</w:t>
            </w:r>
            <w:r w:rsidR="00FC044A" w:rsidRPr="00E12E2F">
              <w:rPr>
                <w:rFonts w:ascii="Times New Roman" w:hAnsi="Times New Roman" w:cs="Times New Roman"/>
              </w:rPr>
              <w:t>, secteur du développement</w:t>
            </w:r>
            <w:r w:rsidR="00191437" w:rsidRPr="00E12E2F">
              <w:rPr>
                <w:rFonts w:ascii="Times New Roman" w:hAnsi="Times New Roman" w:cs="Times New Roman"/>
              </w:rPr>
              <w:t xml:space="preserve">, </w:t>
            </w:r>
            <w:r w:rsidR="0092223A" w:rsidRPr="00E12E2F">
              <w:rPr>
                <w:rFonts w:ascii="Times New Roman" w:hAnsi="Times New Roman" w:cs="Times New Roman"/>
              </w:rPr>
              <w:t>OMPI</w:t>
            </w:r>
            <w:bookmarkEnd w:id="49"/>
            <w:bookmarkEnd w:id="50"/>
            <w:bookmarkEnd w:id="51"/>
            <w:bookmarkEnd w:id="52"/>
            <w:bookmarkEnd w:id="53"/>
            <w:bookmarkEnd w:id="54"/>
            <w:bookmarkEnd w:id="55"/>
          </w:p>
        </w:tc>
      </w:tr>
      <w:tr w:rsidR="00191437" w:rsidRPr="00FB5D79" w14:paraId="4717A721" w14:textId="77777777" w:rsidTr="0009552D">
        <w:tc>
          <w:tcPr>
            <w:tcW w:w="568" w:type="dxa"/>
            <w:shd w:val="clear" w:color="auto" w:fill="auto"/>
            <w:vAlign w:val="center"/>
          </w:tcPr>
          <w:p w14:paraId="541353D3"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48395D4" w14:textId="1CEE4000" w:rsidR="00191437" w:rsidRPr="00FB5D79" w:rsidRDefault="00FC044A" w:rsidP="003F2AB9">
            <w:pPr>
              <w:spacing w:before="20" w:after="20"/>
              <w:jc w:val="both"/>
              <w:rPr>
                <w:rFonts w:ascii="Times New Roman" w:hAnsi="Times New Roman" w:cs="Times New Roman"/>
                <w:bCs/>
                <w:szCs w:val="22"/>
              </w:rPr>
            </w:pPr>
            <w:r w:rsidRPr="00FB5D79">
              <w:rPr>
                <w:rFonts w:ascii="Times New Roman" w:hAnsi="Times New Roman" w:cs="Times New Roman"/>
                <w:bCs/>
                <w:szCs w:val="22"/>
              </w:rPr>
              <w:t>Mme</w:t>
            </w:r>
            <w:r w:rsidR="00754546" w:rsidRPr="00FB5D79">
              <w:rPr>
                <w:rFonts w:ascii="Times New Roman" w:hAnsi="Times New Roman" w:cs="Times New Roman"/>
                <w:bCs/>
                <w:szCs w:val="22"/>
              </w:rPr>
              <w:t> </w:t>
            </w:r>
            <w:proofErr w:type="spellStart"/>
            <w:r w:rsidR="00191437" w:rsidRPr="00FB5D79">
              <w:rPr>
                <w:rFonts w:ascii="Times New Roman" w:hAnsi="Times New Roman" w:cs="Times New Roman"/>
                <w:bCs/>
                <w:szCs w:val="22"/>
              </w:rPr>
              <w:t>Elżbieta</w:t>
            </w:r>
            <w:proofErr w:type="spellEnd"/>
            <w:r w:rsidR="00191437" w:rsidRPr="00FB5D79">
              <w:rPr>
                <w:rFonts w:ascii="Times New Roman" w:hAnsi="Times New Roman" w:cs="Times New Roman"/>
                <w:bCs/>
                <w:szCs w:val="22"/>
              </w:rPr>
              <w:t xml:space="preserve"> </w:t>
            </w:r>
            <w:proofErr w:type="spellStart"/>
            <w:r w:rsidR="00191437" w:rsidRPr="00FB5D79">
              <w:rPr>
                <w:rFonts w:ascii="Times New Roman" w:hAnsi="Times New Roman" w:cs="Times New Roman"/>
                <w:bCs/>
                <w:szCs w:val="22"/>
              </w:rPr>
              <w:t>Balcerowska</w:t>
            </w:r>
            <w:proofErr w:type="spellEnd"/>
            <w:r w:rsidR="00191437" w:rsidRPr="00FB5D79">
              <w:rPr>
                <w:rFonts w:ascii="Times New Roman" w:hAnsi="Times New Roman" w:cs="Times New Roman"/>
                <w:bCs/>
                <w:szCs w:val="22"/>
              </w:rPr>
              <w:t xml:space="preserve">, </w:t>
            </w:r>
            <w:r w:rsidR="00754546" w:rsidRPr="00FB5D79">
              <w:rPr>
                <w:rFonts w:ascii="Times New Roman" w:hAnsi="Times New Roman" w:cs="Times New Roman"/>
                <w:bCs/>
                <w:szCs w:val="22"/>
              </w:rPr>
              <w:t>Office des brevets de la République de Pologne</w:t>
            </w:r>
          </w:p>
        </w:tc>
      </w:tr>
      <w:tr w:rsidR="00191437" w:rsidRPr="00FB5D79" w14:paraId="6CA8B009" w14:textId="77777777" w:rsidTr="0009552D">
        <w:tc>
          <w:tcPr>
            <w:tcW w:w="568" w:type="dxa"/>
            <w:shd w:val="clear" w:color="auto" w:fill="auto"/>
            <w:vAlign w:val="center"/>
          </w:tcPr>
          <w:p w14:paraId="717370E8"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74BF5EE7" w14:textId="57839A71"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Irfan Baloch, </w:t>
            </w:r>
            <w:r w:rsidR="00D54848" w:rsidRPr="00FB5D79">
              <w:rPr>
                <w:rFonts w:ascii="Times New Roman" w:hAnsi="Times New Roman" w:cs="Times New Roman"/>
                <w:bCs/>
                <w:szCs w:val="22"/>
              </w:rPr>
              <w:t>d</w:t>
            </w:r>
            <w:r w:rsidRPr="00FB5D79">
              <w:rPr>
                <w:rFonts w:ascii="Times New Roman" w:hAnsi="Times New Roman" w:cs="Times New Roman"/>
                <w:bCs/>
                <w:szCs w:val="22"/>
              </w:rPr>
              <w:t>irecteur de la</w:t>
            </w:r>
            <w:r w:rsidR="00191437" w:rsidRPr="00FB5D79">
              <w:rPr>
                <w:rFonts w:ascii="Times New Roman" w:hAnsi="Times New Roman" w:cs="Times New Roman"/>
                <w:bCs/>
                <w:szCs w:val="22"/>
              </w:rPr>
              <w:t xml:space="preserve"> </w:t>
            </w:r>
            <w:r w:rsidR="00D54848" w:rsidRPr="00FB5D79">
              <w:rPr>
                <w:rFonts w:ascii="Times New Roman" w:hAnsi="Times New Roman" w:cs="Times New Roman"/>
                <w:szCs w:val="22"/>
              </w:rPr>
              <w:t>Division de la coordination du Plan d</w:t>
            </w:r>
            <w:r w:rsidR="00646944" w:rsidRPr="00FB5D79">
              <w:rPr>
                <w:rFonts w:ascii="Times New Roman" w:hAnsi="Times New Roman" w:cs="Times New Roman"/>
                <w:szCs w:val="22"/>
              </w:rPr>
              <w:t>’</w:t>
            </w:r>
            <w:r w:rsidR="00D54848" w:rsidRPr="00FB5D79">
              <w:rPr>
                <w:rFonts w:ascii="Times New Roman" w:hAnsi="Times New Roman" w:cs="Times New Roman"/>
                <w:szCs w:val="22"/>
              </w:rPr>
              <w:t>action pour le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62A39BA0" w14:textId="77777777" w:rsidTr="0009552D">
        <w:tc>
          <w:tcPr>
            <w:tcW w:w="568" w:type="dxa"/>
            <w:shd w:val="clear" w:color="auto" w:fill="auto"/>
            <w:vAlign w:val="center"/>
          </w:tcPr>
          <w:p w14:paraId="1E764DAC"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3B8E7176" w14:textId="4BC14879" w:rsidR="00191437" w:rsidRPr="00FB5D79" w:rsidRDefault="00FC044A" w:rsidP="003F2AB9">
            <w:pPr>
              <w:spacing w:before="20" w:after="20"/>
              <w:jc w:val="both"/>
              <w:rPr>
                <w:rFonts w:ascii="Times New Roman" w:hAnsi="Times New Roman" w:cs="Times New Roman"/>
                <w:bCs/>
                <w:szCs w:val="22"/>
              </w:rPr>
            </w:pPr>
            <w:r w:rsidRPr="00FB5D79">
              <w:rPr>
                <w:rFonts w:ascii="Times New Roman" w:hAnsi="Times New Roman" w:cs="Times New Roman"/>
                <w:szCs w:val="22"/>
              </w:rPr>
              <w:t>M. </w:t>
            </w:r>
            <w:r w:rsidR="00191437" w:rsidRPr="00FB5D79">
              <w:rPr>
                <w:rFonts w:ascii="Times New Roman" w:hAnsi="Times New Roman" w:cs="Times New Roman"/>
                <w:szCs w:val="22"/>
              </w:rPr>
              <w:t xml:space="preserve">Humberto Javier </w:t>
            </w:r>
            <w:proofErr w:type="spellStart"/>
            <w:r w:rsidR="00191437" w:rsidRPr="00FB5D79">
              <w:rPr>
                <w:rFonts w:ascii="Times New Roman" w:hAnsi="Times New Roman" w:cs="Times New Roman"/>
                <w:szCs w:val="22"/>
              </w:rPr>
              <w:t>Collado</w:t>
            </w:r>
            <w:proofErr w:type="spellEnd"/>
            <w:r w:rsidR="00191437" w:rsidRPr="00FB5D79">
              <w:rPr>
                <w:rFonts w:ascii="Times New Roman" w:hAnsi="Times New Roman" w:cs="Times New Roman"/>
                <w:szCs w:val="22"/>
              </w:rPr>
              <w:t xml:space="preserve">, </w:t>
            </w:r>
            <w:r w:rsidR="00072EBF" w:rsidRPr="00875EFA">
              <w:rPr>
                <w:rStyle w:val="Strong"/>
                <w:rFonts w:ascii="Times New Roman" w:hAnsi="Times New Roman" w:cs="Times New Roman"/>
                <w:b w:val="0"/>
                <w:szCs w:val="22"/>
                <w:bdr w:val="none" w:sz="0" w:space="0" w:color="auto" w:frame="1"/>
              </w:rPr>
              <w:t>Service d</w:t>
            </w:r>
            <w:r w:rsidR="00646944" w:rsidRPr="00875EFA">
              <w:rPr>
                <w:rStyle w:val="Strong"/>
                <w:rFonts w:ascii="Times New Roman" w:hAnsi="Times New Roman" w:cs="Times New Roman"/>
                <w:b w:val="0"/>
                <w:szCs w:val="22"/>
                <w:bdr w:val="none" w:sz="0" w:space="0" w:color="auto" w:frame="1"/>
              </w:rPr>
              <w:t>’</w:t>
            </w:r>
            <w:r w:rsidR="00072EBF" w:rsidRPr="00875EFA">
              <w:rPr>
                <w:rStyle w:val="Strong"/>
                <w:rFonts w:ascii="Times New Roman" w:hAnsi="Times New Roman" w:cs="Times New Roman"/>
                <w:b w:val="0"/>
                <w:szCs w:val="22"/>
                <w:bdr w:val="none" w:sz="0" w:space="0" w:color="auto" w:frame="1"/>
              </w:rPr>
              <w:t>enregistrement des titres de</w:t>
            </w:r>
            <w:r w:rsidR="00761A9E" w:rsidRPr="00875EFA">
              <w:rPr>
                <w:rStyle w:val="Strong"/>
                <w:rFonts w:ascii="Times New Roman" w:hAnsi="Times New Roman" w:cs="Times New Roman"/>
                <w:b w:val="0"/>
                <w:szCs w:val="22"/>
                <w:bdr w:val="none" w:sz="0" w:space="0" w:color="auto" w:frame="1"/>
              </w:rPr>
              <w:t xml:space="preserve"> propriété intellectuelle</w:t>
            </w:r>
            <w:r w:rsidR="00191437" w:rsidRPr="00875EFA">
              <w:rPr>
                <w:rStyle w:val="Strong"/>
                <w:rFonts w:ascii="Times New Roman" w:hAnsi="Times New Roman" w:cs="Times New Roman"/>
                <w:b w:val="0"/>
                <w:szCs w:val="22"/>
                <w:bdr w:val="none" w:sz="0" w:space="0" w:color="auto" w:frame="1"/>
              </w:rPr>
              <w:t xml:space="preserve"> (RPI),</w:t>
            </w:r>
            <w:r w:rsidR="00191437" w:rsidRPr="00FB5D79">
              <w:rPr>
                <w:rStyle w:val="Strong"/>
                <w:rFonts w:ascii="Times New Roman" w:hAnsi="Times New Roman" w:cs="Times New Roman"/>
                <w:szCs w:val="22"/>
                <w:bdr w:val="none" w:sz="0" w:space="0" w:color="auto" w:frame="1"/>
              </w:rPr>
              <w:t xml:space="preserve"> </w:t>
            </w:r>
            <w:r w:rsidR="00191437" w:rsidRPr="00FB5D79">
              <w:rPr>
                <w:rFonts w:ascii="Times New Roman" w:hAnsi="Times New Roman" w:cs="Times New Roman"/>
                <w:szCs w:val="22"/>
              </w:rPr>
              <w:t>Nicaragua</w:t>
            </w:r>
          </w:p>
        </w:tc>
      </w:tr>
      <w:tr w:rsidR="00191437" w:rsidRPr="00FB5D79" w14:paraId="75105027" w14:textId="77777777" w:rsidTr="0009552D">
        <w:tc>
          <w:tcPr>
            <w:tcW w:w="568" w:type="dxa"/>
            <w:shd w:val="clear" w:color="auto" w:fill="auto"/>
            <w:vAlign w:val="center"/>
          </w:tcPr>
          <w:p w14:paraId="39962836"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50916659" w14:textId="7B6B0294" w:rsidR="00191437" w:rsidRPr="00FB5D79" w:rsidRDefault="00FC044A" w:rsidP="003F2AB9">
            <w:pPr>
              <w:spacing w:before="20" w:after="20"/>
              <w:jc w:val="both"/>
              <w:rPr>
                <w:rFonts w:ascii="Times New Roman" w:hAnsi="Times New Roman" w:cs="Times New Roman"/>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Julius</w:t>
            </w:r>
            <w:r w:rsidR="00EB4E6B" w:rsidRPr="00FB5D79">
              <w:rPr>
                <w:rFonts w:ascii="Times New Roman" w:hAnsi="Times New Roman" w:cs="Times New Roman"/>
                <w:bCs/>
                <w:szCs w:val="22"/>
              </w:rPr>
              <w:t> </w:t>
            </w:r>
            <w:proofErr w:type="spellStart"/>
            <w:r w:rsidR="00191437" w:rsidRPr="00FB5D79">
              <w:rPr>
                <w:rFonts w:ascii="Times New Roman" w:hAnsi="Times New Roman" w:cs="Times New Roman"/>
                <w:bCs/>
                <w:szCs w:val="22"/>
              </w:rPr>
              <w:t>Ecuru</w:t>
            </w:r>
            <w:proofErr w:type="spellEnd"/>
            <w:r w:rsidR="00191437" w:rsidRPr="00FB5D79">
              <w:rPr>
                <w:rFonts w:ascii="Times New Roman" w:hAnsi="Times New Roman" w:cs="Times New Roman"/>
                <w:bCs/>
                <w:szCs w:val="22"/>
              </w:rPr>
              <w:t>,</w:t>
            </w:r>
            <w:r w:rsidR="00072EBF" w:rsidRPr="00FB5D79">
              <w:rPr>
                <w:rFonts w:ascii="Times New Roman" w:hAnsi="Times New Roman" w:cs="Times New Roman"/>
                <w:bCs/>
                <w:szCs w:val="22"/>
              </w:rPr>
              <w:t xml:space="preserve"> </w:t>
            </w:r>
            <w:r w:rsidR="00072EBF" w:rsidRPr="00FB5D79">
              <w:rPr>
                <w:rFonts w:ascii="Times New Roman" w:hAnsi="Times New Roman" w:cs="Times New Roman"/>
                <w:szCs w:val="22"/>
              </w:rPr>
              <w:t>Conseil national ougandais pour la science et la technologie (UNCST)</w:t>
            </w:r>
          </w:p>
        </w:tc>
      </w:tr>
      <w:tr w:rsidR="00191437" w:rsidRPr="00FB5D79" w14:paraId="35E5C2DE" w14:textId="77777777" w:rsidTr="0009552D">
        <w:tc>
          <w:tcPr>
            <w:tcW w:w="568" w:type="dxa"/>
            <w:shd w:val="clear" w:color="auto" w:fill="auto"/>
            <w:vAlign w:val="center"/>
          </w:tcPr>
          <w:p w14:paraId="0DDFD09F"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5E531F54" w14:textId="16CC73C2" w:rsidR="00191437" w:rsidRPr="00FB5D79" w:rsidRDefault="00FC044A" w:rsidP="00072EBF">
            <w:pPr>
              <w:spacing w:before="20" w:after="20"/>
              <w:jc w:val="both"/>
              <w:rPr>
                <w:rFonts w:ascii="Times New Roman" w:hAnsi="Times New Roman" w:cs="Times New Roman"/>
                <w:bCs/>
                <w:szCs w:val="22"/>
              </w:rPr>
            </w:pPr>
            <w:r w:rsidRPr="00FB5D79">
              <w:rPr>
                <w:rFonts w:ascii="Times New Roman" w:hAnsi="Times New Roman" w:cs="Times New Roman"/>
                <w:szCs w:val="22"/>
              </w:rPr>
              <w:t>M. </w:t>
            </w:r>
            <w:r w:rsidR="00191437" w:rsidRPr="00FB5D79">
              <w:rPr>
                <w:rFonts w:ascii="Times New Roman" w:hAnsi="Times New Roman" w:cs="Times New Roman"/>
                <w:szCs w:val="22"/>
              </w:rPr>
              <w:t>Sergio</w:t>
            </w:r>
            <w:r w:rsidR="00EB4E6B" w:rsidRPr="00FB5D79">
              <w:rPr>
                <w:rFonts w:ascii="Times New Roman" w:hAnsi="Times New Roman" w:cs="Times New Roman"/>
                <w:szCs w:val="22"/>
              </w:rPr>
              <w:t> </w:t>
            </w:r>
            <w:r w:rsidR="00191437" w:rsidRPr="00FB5D79">
              <w:rPr>
                <w:rFonts w:ascii="Times New Roman" w:hAnsi="Times New Roman" w:cs="Times New Roman"/>
                <w:szCs w:val="22"/>
              </w:rPr>
              <w:t xml:space="preserve">Escudero, </w:t>
            </w:r>
            <w:r w:rsidR="00754546" w:rsidRPr="00FB5D79">
              <w:rPr>
                <w:rFonts w:ascii="Times New Roman" w:hAnsi="Times New Roman" w:cs="Times New Roman"/>
                <w:szCs w:val="22"/>
              </w:rPr>
              <w:t xml:space="preserve">directeur du département </w:t>
            </w:r>
            <w:r w:rsidR="00072EBF" w:rsidRPr="00FB5D79">
              <w:rPr>
                <w:rFonts w:ascii="Times New Roman" w:hAnsi="Times New Roman" w:cs="Times New Roman"/>
                <w:szCs w:val="22"/>
              </w:rPr>
              <w:t>P</w:t>
            </w:r>
            <w:r w:rsidR="00754546" w:rsidRPr="00FB5D79">
              <w:rPr>
                <w:rFonts w:ascii="Times New Roman" w:hAnsi="Times New Roman" w:cs="Times New Roman"/>
                <w:szCs w:val="22"/>
              </w:rPr>
              <w:t xml:space="preserve">olitique et </w:t>
            </w:r>
            <w:r w:rsidR="00072EBF" w:rsidRPr="00FB5D79">
              <w:rPr>
                <w:rFonts w:ascii="Times New Roman" w:hAnsi="Times New Roman" w:cs="Times New Roman"/>
                <w:szCs w:val="22"/>
              </w:rPr>
              <w:t>A</w:t>
            </w:r>
            <w:r w:rsidR="00754546" w:rsidRPr="00FB5D79">
              <w:rPr>
                <w:rFonts w:ascii="Times New Roman" w:hAnsi="Times New Roman" w:cs="Times New Roman"/>
                <w:szCs w:val="22"/>
              </w:rPr>
              <w:t>ffaires internationales</w:t>
            </w:r>
            <w:r w:rsidR="00191437" w:rsidRPr="00FB5D79">
              <w:rPr>
                <w:rFonts w:ascii="Times New Roman" w:hAnsi="Times New Roman" w:cs="Times New Roman"/>
                <w:szCs w:val="22"/>
              </w:rPr>
              <w:t xml:space="preserve">, </w:t>
            </w:r>
            <w:r w:rsidR="00754546" w:rsidRPr="00FB5D79">
              <w:rPr>
                <w:rFonts w:ascii="Times New Roman" w:hAnsi="Times New Roman" w:cs="Times New Roman"/>
                <w:szCs w:val="22"/>
              </w:rPr>
              <w:t xml:space="preserve">Institut national de la propriété industrielle </w:t>
            </w:r>
            <w:r w:rsidR="00191437" w:rsidRPr="00FB5D79">
              <w:rPr>
                <w:rFonts w:ascii="Times New Roman" w:hAnsi="Times New Roman" w:cs="Times New Roman"/>
                <w:szCs w:val="22"/>
              </w:rPr>
              <w:t xml:space="preserve">(INAPI), </w:t>
            </w:r>
            <w:r w:rsidR="0092223A" w:rsidRPr="00FB5D79">
              <w:rPr>
                <w:rFonts w:ascii="Times New Roman" w:hAnsi="Times New Roman" w:cs="Times New Roman"/>
                <w:szCs w:val="22"/>
              </w:rPr>
              <w:t>Chili</w:t>
            </w:r>
          </w:p>
        </w:tc>
      </w:tr>
      <w:tr w:rsidR="00191437" w:rsidRPr="00FB5D79" w14:paraId="1A7EAE5A" w14:textId="77777777" w:rsidTr="0009552D">
        <w:tc>
          <w:tcPr>
            <w:tcW w:w="568" w:type="dxa"/>
            <w:shd w:val="clear" w:color="auto" w:fill="auto"/>
            <w:vAlign w:val="center"/>
          </w:tcPr>
          <w:p w14:paraId="4A7180F6"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7F6D2DB0" w14:textId="3CAAD062" w:rsidR="00191437" w:rsidRPr="00FB5D79" w:rsidRDefault="00FC044A" w:rsidP="003F2AB9">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bCs/>
                <w:szCs w:val="22"/>
              </w:rPr>
              <w:t xml:space="preserve">Marina </w:t>
            </w:r>
            <w:proofErr w:type="spellStart"/>
            <w:r w:rsidR="00191437" w:rsidRPr="00FB5D79">
              <w:rPr>
                <w:rFonts w:ascii="Times New Roman" w:hAnsi="Times New Roman" w:cs="Times New Roman"/>
                <w:bCs/>
                <w:szCs w:val="22"/>
              </w:rPr>
              <w:t>Filgueiras</w:t>
            </w:r>
            <w:proofErr w:type="spellEnd"/>
            <w:r w:rsidR="00191437" w:rsidRPr="00FB5D79">
              <w:rPr>
                <w:rFonts w:ascii="Times New Roman" w:hAnsi="Times New Roman" w:cs="Times New Roman"/>
                <w:bCs/>
                <w:szCs w:val="22"/>
              </w:rPr>
              <w:t xml:space="preserve"> Jorge,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375045FF" w14:textId="77777777" w:rsidTr="0009552D">
        <w:tc>
          <w:tcPr>
            <w:tcW w:w="568" w:type="dxa"/>
            <w:shd w:val="clear" w:color="auto" w:fill="auto"/>
            <w:vAlign w:val="center"/>
          </w:tcPr>
          <w:p w14:paraId="08F37E74"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046CDC2" w14:textId="5D87DC86" w:rsidR="00191437" w:rsidRPr="00FB5D79" w:rsidRDefault="00FC044A" w:rsidP="00B47DC9">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Carsten Fink, </w:t>
            </w:r>
            <w:r w:rsidR="00D54848" w:rsidRPr="00FB5D79">
              <w:rPr>
                <w:rFonts w:ascii="Times New Roman" w:hAnsi="Times New Roman" w:cs="Times New Roman"/>
                <w:bCs/>
                <w:szCs w:val="22"/>
              </w:rPr>
              <w:t xml:space="preserve">économiste en chef </w:t>
            </w:r>
            <w:r w:rsidR="00B47DC9" w:rsidRPr="00FB5D79">
              <w:rPr>
                <w:rFonts w:ascii="Times New Roman" w:hAnsi="Times New Roman" w:cs="Times New Roman"/>
                <w:bCs/>
                <w:szCs w:val="22"/>
              </w:rPr>
              <w:t>à</w:t>
            </w:r>
            <w:r w:rsidR="00D54848" w:rsidRPr="00FB5D79">
              <w:rPr>
                <w:rFonts w:ascii="Times New Roman" w:hAnsi="Times New Roman" w:cs="Times New Roman"/>
                <w:bCs/>
                <w:szCs w:val="22"/>
              </w:rPr>
              <w:t xml:space="preserve"> la Division de l</w:t>
            </w:r>
            <w:r w:rsidR="00646944" w:rsidRPr="00FB5D79">
              <w:rPr>
                <w:rFonts w:ascii="Times New Roman" w:hAnsi="Times New Roman" w:cs="Times New Roman"/>
                <w:bCs/>
                <w:szCs w:val="22"/>
              </w:rPr>
              <w:t>’</w:t>
            </w:r>
            <w:r w:rsidR="00D54848" w:rsidRPr="00FB5D79">
              <w:rPr>
                <w:rFonts w:ascii="Times New Roman" w:hAnsi="Times New Roman" w:cs="Times New Roman"/>
                <w:bCs/>
                <w:szCs w:val="22"/>
              </w:rPr>
              <w:t>économie et des statistiques</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27367099" w14:textId="77777777" w:rsidTr="0009552D">
        <w:tc>
          <w:tcPr>
            <w:tcW w:w="568" w:type="dxa"/>
            <w:shd w:val="clear" w:color="auto" w:fill="auto"/>
            <w:vAlign w:val="center"/>
          </w:tcPr>
          <w:p w14:paraId="1D9A1C29" w14:textId="5579FDD3"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3C370E90" w14:textId="522B9140"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Georges</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Gh</w:t>
            </w:r>
            <w:r w:rsidR="00D54848" w:rsidRPr="00FB5D79">
              <w:rPr>
                <w:rFonts w:ascii="Times New Roman" w:hAnsi="Times New Roman" w:cs="Times New Roman"/>
                <w:bCs/>
                <w:szCs w:val="22"/>
              </w:rPr>
              <w:t xml:space="preserve">andour, </w:t>
            </w:r>
            <w:r w:rsidR="00A178C8" w:rsidRPr="00FB5D79">
              <w:rPr>
                <w:rFonts w:ascii="Times New Roman" w:hAnsi="Times New Roman" w:cs="Times New Roman"/>
                <w:bCs/>
                <w:szCs w:val="22"/>
              </w:rPr>
              <w:t>administrateur principal de programme</w:t>
            </w:r>
            <w:r w:rsidR="00D54848" w:rsidRPr="00FB5D79">
              <w:rPr>
                <w:rFonts w:ascii="Times New Roman" w:hAnsi="Times New Roman" w:cs="Times New Roman"/>
                <w:bCs/>
                <w:szCs w:val="22"/>
              </w:rPr>
              <w:t xml:space="preserve">, </w:t>
            </w:r>
            <w:r w:rsidR="00D54848" w:rsidRPr="00FB5D79">
              <w:rPr>
                <w:rFonts w:ascii="Times New Roman" w:hAnsi="Times New Roman" w:cs="Times New Roman"/>
                <w:szCs w:val="22"/>
              </w:rPr>
              <w:t>Division de la coordination du Plan d</w:t>
            </w:r>
            <w:r w:rsidR="00646944" w:rsidRPr="00FB5D79">
              <w:rPr>
                <w:rFonts w:ascii="Times New Roman" w:hAnsi="Times New Roman" w:cs="Times New Roman"/>
                <w:szCs w:val="22"/>
              </w:rPr>
              <w:t>’</w:t>
            </w:r>
            <w:r w:rsidR="00D54848" w:rsidRPr="00FB5D79">
              <w:rPr>
                <w:rFonts w:ascii="Times New Roman" w:hAnsi="Times New Roman" w:cs="Times New Roman"/>
                <w:szCs w:val="22"/>
              </w:rPr>
              <w:t>action pour le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14D38371" w14:textId="77777777" w:rsidTr="0009552D">
        <w:tc>
          <w:tcPr>
            <w:tcW w:w="568" w:type="dxa"/>
            <w:shd w:val="clear" w:color="auto" w:fill="auto"/>
            <w:vAlign w:val="center"/>
          </w:tcPr>
          <w:p w14:paraId="6E8A5F97"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4D822508" w14:textId="24B915EE"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Oswaldo </w:t>
            </w:r>
            <w:proofErr w:type="spellStart"/>
            <w:r w:rsidR="00191437" w:rsidRPr="00FB5D79">
              <w:rPr>
                <w:rFonts w:ascii="Times New Roman" w:hAnsi="Times New Roman" w:cs="Times New Roman"/>
                <w:bCs/>
                <w:szCs w:val="22"/>
              </w:rPr>
              <w:t>Girones</w:t>
            </w:r>
            <w:proofErr w:type="spellEnd"/>
            <w:r w:rsidR="00191437" w:rsidRPr="00FB5D79">
              <w:rPr>
                <w:rFonts w:ascii="Times New Roman" w:hAnsi="Times New Roman" w:cs="Times New Roman"/>
                <w:bCs/>
                <w:szCs w:val="22"/>
              </w:rPr>
              <w:t xml:space="preserve"> </w:t>
            </w:r>
            <w:proofErr w:type="spellStart"/>
            <w:r w:rsidR="00191437" w:rsidRPr="00FB5D79">
              <w:rPr>
                <w:rFonts w:ascii="Times New Roman" w:hAnsi="Times New Roman" w:cs="Times New Roman"/>
                <w:bCs/>
                <w:szCs w:val="22"/>
              </w:rPr>
              <w:t>Jorda</w:t>
            </w:r>
            <w:proofErr w:type="spellEnd"/>
            <w:r w:rsidR="00191437" w:rsidRPr="00FB5D79">
              <w:rPr>
                <w:rFonts w:ascii="Times New Roman" w:hAnsi="Times New Roman" w:cs="Times New Roman"/>
                <w:bCs/>
                <w:szCs w:val="22"/>
              </w:rPr>
              <w:t xml:space="preserve">, </w:t>
            </w:r>
            <w:r w:rsidR="00A178C8" w:rsidRPr="00FB5D79">
              <w:rPr>
                <w:rFonts w:ascii="Times New Roman" w:hAnsi="Times New Roman" w:cs="Times New Roman"/>
                <w:szCs w:val="22"/>
              </w:rPr>
              <w:t>conseiller principal</w:t>
            </w:r>
            <w:r w:rsidR="00191437" w:rsidRPr="00FB5D79">
              <w:rPr>
                <w:rFonts w:ascii="Times New Roman" w:hAnsi="Times New Roman" w:cs="Times New Roman"/>
                <w:szCs w:val="22"/>
              </w:rPr>
              <w:t xml:space="preserve">, </w:t>
            </w:r>
            <w:r w:rsidR="00A178C8" w:rsidRPr="00FB5D79">
              <w:rPr>
                <w:rFonts w:ascii="Times New Roman" w:hAnsi="Times New Roman" w:cs="Times New Roman"/>
                <w:caps/>
                <w:szCs w:val="22"/>
              </w:rPr>
              <w:t>B</w:t>
            </w:r>
            <w:r w:rsidR="00A178C8" w:rsidRPr="00FB5D79">
              <w:rPr>
                <w:rFonts w:ascii="Times New Roman" w:hAnsi="Times New Roman" w:cs="Times New Roman"/>
                <w:szCs w:val="22"/>
              </w:rPr>
              <w:t>ureau régional pour l</w:t>
            </w:r>
            <w:r w:rsidR="00646944" w:rsidRPr="00FB5D79">
              <w:rPr>
                <w:rFonts w:ascii="Times New Roman" w:hAnsi="Times New Roman" w:cs="Times New Roman"/>
                <w:szCs w:val="22"/>
              </w:rPr>
              <w:t>’</w:t>
            </w:r>
            <w:r w:rsidR="00A178C8" w:rsidRPr="00FB5D79">
              <w:rPr>
                <w:rFonts w:ascii="Times New Roman" w:hAnsi="Times New Roman" w:cs="Times New Roman"/>
                <w:szCs w:val="22"/>
              </w:rPr>
              <w:t>Amérique latine et les Caraïbes</w:t>
            </w:r>
            <w:r w:rsidR="00191437" w:rsidRPr="00FB5D79">
              <w:rPr>
                <w:rFonts w:ascii="Times New Roman" w:hAnsi="Times New Roman" w:cs="Times New Roman"/>
                <w:szCs w:val="22"/>
                <w:shd w:val="clear" w:color="auto" w:fill="FFFFFF"/>
              </w:rPr>
              <w:t xml:space="preserve">, </w:t>
            </w:r>
            <w:r w:rsidR="00A178C8" w:rsidRPr="00FB5D79">
              <w:rPr>
                <w:rFonts w:ascii="Times New Roman" w:hAnsi="Times New Roman" w:cs="Times New Roman"/>
                <w:bCs/>
                <w:szCs w:val="22"/>
              </w:rPr>
              <w:t>secteur du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0BA0B7BF" w14:textId="77777777" w:rsidTr="0009552D">
        <w:tc>
          <w:tcPr>
            <w:tcW w:w="568" w:type="dxa"/>
            <w:shd w:val="clear" w:color="auto" w:fill="auto"/>
            <w:vAlign w:val="center"/>
          </w:tcPr>
          <w:p w14:paraId="1166503C"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D20BA88" w14:textId="18EFA0B9"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proofErr w:type="spellStart"/>
            <w:r w:rsidR="00191437" w:rsidRPr="00FB5D79">
              <w:rPr>
                <w:rFonts w:ascii="Times New Roman" w:hAnsi="Times New Roman" w:cs="Times New Roman"/>
                <w:bCs/>
                <w:szCs w:val="22"/>
              </w:rPr>
              <w:t>Intan</w:t>
            </w:r>
            <w:proofErr w:type="spellEnd"/>
            <w:r w:rsidR="00EB4E6B" w:rsidRPr="00FB5D79">
              <w:rPr>
                <w:rFonts w:ascii="Times New Roman" w:hAnsi="Times New Roman" w:cs="Times New Roman"/>
                <w:bCs/>
                <w:szCs w:val="22"/>
              </w:rPr>
              <w:t> </w:t>
            </w:r>
            <w:proofErr w:type="spellStart"/>
            <w:r w:rsidR="00191437" w:rsidRPr="00FB5D79">
              <w:rPr>
                <w:rFonts w:ascii="Times New Roman" w:hAnsi="Times New Roman" w:cs="Times New Roman"/>
                <w:bCs/>
                <w:szCs w:val="22"/>
              </w:rPr>
              <w:t>Hamdan</w:t>
            </w:r>
            <w:r w:rsidR="00965F3A">
              <w:rPr>
                <w:rFonts w:ascii="Times New Roman" w:hAnsi="Times New Roman" w:cs="Times New Roman"/>
                <w:bCs/>
                <w:szCs w:val="22"/>
              </w:rPr>
              <w:t>-</w:t>
            </w:r>
            <w:r w:rsidR="00191437" w:rsidRPr="00FB5D79">
              <w:rPr>
                <w:rFonts w:ascii="Times New Roman" w:hAnsi="Times New Roman" w:cs="Times New Roman"/>
                <w:bCs/>
                <w:szCs w:val="22"/>
              </w:rPr>
              <w:t>Livramento</w:t>
            </w:r>
            <w:proofErr w:type="spellEnd"/>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économiste</w:t>
            </w:r>
            <w:r w:rsidR="00072EBF" w:rsidRPr="00FB5D79">
              <w:rPr>
                <w:rFonts w:ascii="Times New Roman" w:hAnsi="Times New Roman" w:cs="Times New Roman"/>
                <w:bCs/>
                <w:szCs w:val="22"/>
              </w:rPr>
              <w:t xml:space="preserve"> à la</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Division de l</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économie et des statistiques</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1D098BA4" w14:textId="77777777" w:rsidTr="0009552D">
        <w:tc>
          <w:tcPr>
            <w:tcW w:w="568" w:type="dxa"/>
            <w:shd w:val="clear" w:color="auto" w:fill="auto"/>
            <w:vAlign w:val="center"/>
          </w:tcPr>
          <w:p w14:paraId="2FB5C0AD"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6AAD7FB7" w14:textId="006E3CFA" w:rsidR="00191437" w:rsidRPr="00FB5D79" w:rsidRDefault="00FC044A" w:rsidP="003F2AB9">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bCs/>
                <w:szCs w:val="22"/>
              </w:rPr>
              <w:t>Diana</w:t>
            </w:r>
            <w:r w:rsidR="00EB4E6B" w:rsidRPr="00FB5D79">
              <w:rPr>
                <w:rFonts w:ascii="Times New Roman" w:hAnsi="Times New Roman" w:cs="Times New Roman"/>
                <w:bCs/>
                <w:szCs w:val="22"/>
              </w:rPr>
              <w:t> </w:t>
            </w:r>
            <w:proofErr w:type="spellStart"/>
            <w:r w:rsidR="00BF79B6">
              <w:rPr>
                <w:rFonts w:ascii="Times New Roman" w:hAnsi="Times New Roman" w:cs="Times New Roman"/>
                <w:bCs/>
                <w:szCs w:val="22"/>
              </w:rPr>
              <w:t>Hasbú</w:t>
            </w:r>
            <w:r w:rsidR="00191437" w:rsidRPr="00FB5D79">
              <w:rPr>
                <w:rFonts w:ascii="Times New Roman" w:hAnsi="Times New Roman" w:cs="Times New Roman"/>
                <w:bCs/>
                <w:szCs w:val="22"/>
              </w:rPr>
              <w:t>n</w:t>
            </w:r>
            <w:proofErr w:type="spellEnd"/>
            <w:r w:rsidR="00191437" w:rsidRPr="00FB5D79">
              <w:rPr>
                <w:rFonts w:ascii="Times New Roman" w:hAnsi="Times New Roman" w:cs="Times New Roman"/>
                <w:bCs/>
                <w:szCs w:val="22"/>
              </w:rPr>
              <w:t xml:space="preserve">, </w:t>
            </w:r>
            <w:r w:rsidR="00A178C8" w:rsidRPr="00FB5D79">
              <w:rPr>
                <w:rFonts w:ascii="Times New Roman" w:hAnsi="Times New Roman" w:cs="Times New Roman"/>
                <w:szCs w:val="22"/>
              </w:rPr>
              <w:t>Mission permanente</w:t>
            </w:r>
            <w:r w:rsidR="00A178C8" w:rsidRPr="00FB5D79">
              <w:rPr>
                <w:rFonts w:ascii="Times New Roman" w:hAnsi="Times New Roman" w:cs="Times New Roman"/>
                <w:bCs/>
                <w:szCs w:val="22"/>
              </w:rPr>
              <w:t xml:space="preserve"> d</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El </w:t>
            </w:r>
            <w:r w:rsidR="00A178C8" w:rsidRPr="00FB5D79">
              <w:rPr>
                <w:rFonts w:ascii="Times New Roman" w:hAnsi="Times New Roman" w:cs="Times New Roman"/>
                <w:szCs w:val="22"/>
              </w:rPr>
              <w:t>Salvador</w:t>
            </w:r>
            <w:r w:rsidR="00A178C8" w:rsidRPr="00FB5D79">
              <w:rPr>
                <w:rFonts w:ascii="Times New Roman" w:hAnsi="Times New Roman" w:cs="Times New Roman"/>
                <w:bCs/>
                <w:szCs w:val="22"/>
              </w:rPr>
              <w:t xml:space="preserve"> auprès des </w:t>
            </w:r>
            <w:r w:rsidR="00965F3A">
              <w:rPr>
                <w:rFonts w:ascii="Times New Roman" w:hAnsi="Times New Roman" w:cs="Times New Roman"/>
                <w:szCs w:val="22"/>
              </w:rPr>
              <w:t>Nations Unies</w:t>
            </w:r>
          </w:p>
        </w:tc>
      </w:tr>
      <w:tr w:rsidR="00191437" w:rsidRPr="00FB5D79" w14:paraId="4EC1D711" w14:textId="77777777" w:rsidTr="0009552D">
        <w:tc>
          <w:tcPr>
            <w:tcW w:w="568" w:type="dxa"/>
            <w:shd w:val="clear" w:color="auto" w:fill="auto"/>
            <w:vAlign w:val="center"/>
          </w:tcPr>
          <w:p w14:paraId="123EC53C"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D213A2F" w14:textId="6806CB90"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iCs/>
                <w:szCs w:val="22"/>
                <w:bdr w:val="none" w:sz="0" w:space="0" w:color="auto" w:frame="1"/>
              </w:rPr>
              <w:t xml:space="preserve">Juan Pablo Herrera </w:t>
            </w:r>
            <w:proofErr w:type="spellStart"/>
            <w:r w:rsidR="00191437" w:rsidRPr="00FB5D79">
              <w:rPr>
                <w:rFonts w:ascii="Times New Roman" w:hAnsi="Times New Roman" w:cs="Times New Roman"/>
                <w:iCs/>
                <w:szCs w:val="22"/>
                <w:bdr w:val="none" w:sz="0" w:space="0" w:color="auto" w:frame="1"/>
              </w:rPr>
              <w:t>Saavedra</w:t>
            </w:r>
            <w:proofErr w:type="spellEnd"/>
            <w:r w:rsidR="00191437" w:rsidRPr="00FB5D79">
              <w:rPr>
                <w:rFonts w:ascii="Times New Roman" w:hAnsi="Times New Roman" w:cs="Times New Roman"/>
                <w:iCs/>
                <w:szCs w:val="22"/>
                <w:bdr w:val="none" w:sz="0" w:space="0" w:color="auto" w:frame="1"/>
              </w:rPr>
              <w:t>,</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Surintendance du Commerce et de l</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Industrie,</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Colo</w:t>
            </w:r>
            <w:r w:rsidR="0092223A" w:rsidRPr="00FB5D79">
              <w:rPr>
                <w:rFonts w:ascii="Times New Roman" w:hAnsi="Times New Roman" w:cs="Times New Roman"/>
                <w:szCs w:val="22"/>
              </w:rPr>
              <w:t>mbie</w:t>
            </w:r>
          </w:p>
        </w:tc>
      </w:tr>
      <w:tr w:rsidR="00191437" w:rsidRPr="00FB5D79" w14:paraId="6A0AB7FE" w14:textId="77777777" w:rsidTr="0009552D">
        <w:tc>
          <w:tcPr>
            <w:tcW w:w="568" w:type="dxa"/>
            <w:shd w:val="clear" w:color="auto" w:fill="auto"/>
            <w:vAlign w:val="center"/>
          </w:tcPr>
          <w:p w14:paraId="7D6497A4"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71A6112" w14:textId="77BD014C"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bCs/>
                <w:szCs w:val="22"/>
              </w:rPr>
              <w:t xml:space="preserve">Donna Hill, </w:t>
            </w:r>
            <w:r w:rsidR="00A178C8" w:rsidRPr="00FB5D79">
              <w:rPr>
                <w:rFonts w:ascii="Times New Roman" w:hAnsi="Times New Roman" w:cs="Times New Roman"/>
                <w:szCs w:val="22"/>
                <w:shd w:val="clear" w:color="auto" w:fill="FFFFFF"/>
              </w:rPr>
              <w:t>administrat</w:t>
            </w:r>
            <w:r w:rsidR="004F4030" w:rsidRPr="00FB5D79">
              <w:rPr>
                <w:rFonts w:ascii="Times New Roman" w:hAnsi="Times New Roman" w:cs="Times New Roman"/>
                <w:szCs w:val="22"/>
                <w:shd w:val="clear" w:color="auto" w:fill="FFFFFF"/>
              </w:rPr>
              <w:t>rice</w:t>
            </w:r>
            <w:r w:rsidR="00A178C8" w:rsidRPr="00FB5D79">
              <w:rPr>
                <w:rFonts w:ascii="Times New Roman" w:hAnsi="Times New Roman" w:cs="Times New Roman"/>
                <w:szCs w:val="22"/>
                <w:shd w:val="clear" w:color="auto" w:fill="FFFFFF"/>
              </w:rPr>
              <w:t xml:space="preserve"> principal</w:t>
            </w:r>
            <w:r w:rsidR="004F4030" w:rsidRPr="00FB5D79">
              <w:rPr>
                <w:rFonts w:ascii="Times New Roman" w:hAnsi="Times New Roman" w:cs="Times New Roman"/>
                <w:szCs w:val="22"/>
                <w:shd w:val="clear" w:color="auto" w:fill="FFFFFF"/>
              </w:rPr>
              <w:t>e</w:t>
            </w:r>
            <w:r w:rsidR="00A178C8" w:rsidRPr="00FB5D79">
              <w:rPr>
                <w:rFonts w:ascii="Times New Roman" w:hAnsi="Times New Roman" w:cs="Times New Roman"/>
                <w:szCs w:val="22"/>
                <w:shd w:val="clear" w:color="auto" w:fill="FFFFFF"/>
              </w:rPr>
              <w:t xml:space="preserve"> de progra</w:t>
            </w:r>
            <w:r w:rsidR="00A178C8" w:rsidRPr="00FB5D79">
              <w:rPr>
                <w:rFonts w:ascii="Times New Roman" w:hAnsi="Times New Roman" w:cs="Times New Roman"/>
                <w:bCs/>
                <w:szCs w:val="22"/>
              </w:rPr>
              <w:t>mme</w:t>
            </w:r>
            <w:r w:rsidR="00191437" w:rsidRPr="00FB5D79">
              <w:rPr>
                <w:rFonts w:ascii="Times New Roman" w:hAnsi="Times New Roman" w:cs="Times New Roman"/>
                <w:bCs/>
                <w:szCs w:val="22"/>
              </w:rPr>
              <w:t xml:space="preserve">, </w:t>
            </w:r>
            <w:r w:rsidR="00EA29E5" w:rsidRPr="00FB5D79">
              <w:rPr>
                <w:rFonts w:ascii="Times New Roman" w:hAnsi="Times New Roman" w:cs="Times New Roman"/>
                <w:bCs/>
                <w:szCs w:val="22"/>
              </w:rPr>
              <w:t>Département des pays en transition et des pays développés</w:t>
            </w:r>
            <w:r w:rsidR="006F14E0" w:rsidRPr="00FB5D79">
              <w:rPr>
                <w:rFonts w:ascii="Times New Roman" w:hAnsi="Times New Roman" w:cs="Times New Roman"/>
                <w:bCs/>
                <w:szCs w:val="22"/>
              </w:rPr>
              <w:t>, OMPI</w:t>
            </w:r>
          </w:p>
        </w:tc>
      </w:tr>
      <w:tr w:rsidR="00191437" w:rsidRPr="00FB5D79" w14:paraId="5F814374" w14:textId="77777777" w:rsidTr="0009552D">
        <w:tc>
          <w:tcPr>
            <w:tcW w:w="568" w:type="dxa"/>
            <w:shd w:val="clear" w:color="auto" w:fill="auto"/>
            <w:vAlign w:val="center"/>
          </w:tcPr>
          <w:p w14:paraId="38417DEA"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43885066" w14:textId="3653AB78"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Travis J</w:t>
            </w:r>
            <w:r w:rsidR="006F14E0" w:rsidRPr="00FB5D79">
              <w:rPr>
                <w:rFonts w:ascii="Times New Roman" w:hAnsi="Times New Roman" w:cs="Times New Roman"/>
                <w:bCs/>
                <w:szCs w:val="22"/>
              </w:rPr>
              <w:t xml:space="preserve">. </w:t>
            </w:r>
            <w:proofErr w:type="spellStart"/>
            <w:r w:rsidR="00191437" w:rsidRPr="00FB5D79">
              <w:rPr>
                <w:rFonts w:ascii="Times New Roman" w:hAnsi="Times New Roman" w:cs="Times New Roman"/>
                <w:bCs/>
                <w:szCs w:val="22"/>
              </w:rPr>
              <w:t>Lybbert</w:t>
            </w:r>
            <w:proofErr w:type="spellEnd"/>
            <w:r w:rsidR="00191437" w:rsidRPr="00FB5D79">
              <w:rPr>
                <w:rFonts w:ascii="Times New Roman" w:hAnsi="Times New Roman" w:cs="Times New Roman"/>
                <w:bCs/>
                <w:szCs w:val="22"/>
              </w:rPr>
              <w:t xml:space="preserve">, </w:t>
            </w:r>
            <w:r w:rsidR="0049511E" w:rsidRPr="00FB5D79">
              <w:rPr>
                <w:rFonts w:ascii="Times New Roman" w:hAnsi="Times New Roman" w:cs="Times New Roman"/>
                <w:bCs/>
                <w:szCs w:val="22"/>
              </w:rPr>
              <w:t>professeur à l</w:t>
            </w:r>
            <w:r w:rsidR="00646944" w:rsidRPr="00FB5D79">
              <w:rPr>
                <w:rFonts w:ascii="Times New Roman" w:hAnsi="Times New Roman" w:cs="Times New Roman"/>
                <w:bCs/>
                <w:szCs w:val="22"/>
              </w:rPr>
              <w:t>’</w:t>
            </w:r>
            <w:r w:rsidR="0049511E" w:rsidRPr="00FB5D79">
              <w:rPr>
                <w:rFonts w:ascii="Times New Roman" w:hAnsi="Times New Roman" w:cs="Times New Roman"/>
                <w:bCs/>
                <w:szCs w:val="22"/>
              </w:rPr>
              <w:t>université de Californie</w:t>
            </w:r>
          </w:p>
        </w:tc>
      </w:tr>
      <w:tr w:rsidR="00191437" w:rsidRPr="00FB5D79" w14:paraId="2B165F09" w14:textId="77777777" w:rsidTr="0009552D">
        <w:tc>
          <w:tcPr>
            <w:tcW w:w="568" w:type="dxa"/>
            <w:shd w:val="clear" w:color="auto" w:fill="auto"/>
            <w:vAlign w:val="center"/>
          </w:tcPr>
          <w:p w14:paraId="7D059047"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597CFD83" w14:textId="5611A805"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Mario</w:t>
            </w:r>
            <w:r w:rsidR="00EB4E6B" w:rsidRPr="00FB5D79">
              <w:rPr>
                <w:rFonts w:ascii="Times New Roman" w:hAnsi="Times New Roman" w:cs="Times New Roman"/>
                <w:bCs/>
                <w:szCs w:val="22"/>
              </w:rPr>
              <w:t> </w:t>
            </w:r>
            <w:proofErr w:type="spellStart"/>
            <w:r w:rsidR="00191437" w:rsidRPr="00FB5D79">
              <w:rPr>
                <w:rFonts w:ascii="Times New Roman" w:hAnsi="Times New Roman" w:cs="Times New Roman"/>
                <w:bCs/>
                <w:szCs w:val="22"/>
              </w:rPr>
              <w:t>Matus</w:t>
            </w:r>
            <w:proofErr w:type="spellEnd"/>
            <w:r w:rsidR="00191437" w:rsidRPr="00FB5D79">
              <w:rPr>
                <w:rFonts w:ascii="Times New Roman" w:hAnsi="Times New Roman" w:cs="Times New Roman"/>
                <w:bCs/>
                <w:szCs w:val="22"/>
              </w:rPr>
              <w:t xml:space="preserve">, </w:t>
            </w:r>
            <w:r w:rsidR="00EA29E5" w:rsidRPr="00FB5D79">
              <w:rPr>
                <w:rFonts w:ascii="Times New Roman" w:hAnsi="Times New Roman" w:cs="Times New Roman"/>
                <w:bCs/>
                <w:szCs w:val="22"/>
              </w:rPr>
              <w:t>vice</w:t>
            </w:r>
            <w:r w:rsidR="00965F3A">
              <w:rPr>
                <w:rFonts w:ascii="Times New Roman" w:hAnsi="Times New Roman" w:cs="Times New Roman"/>
                <w:bCs/>
                <w:szCs w:val="22"/>
              </w:rPr>
              <w:t>-</w:t>
            </w:r>
            <w:r w:rsidR="00EA29E5" w:rsidRPr="00FB5D79">
              <w:rPr>
                <w:rFonts w:ascii="Times New Roman" w:hAnsi="Times New Roman" w:cs="Times New Roman"/>
                <w:bCs/>
                <w:szCs w:val="22"/>
              </w:rPr>
              <w:t>directeur général</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secteur du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2D469327" w14:textId="77777777" w:rsidTr="0009552D">
        <w:tc>
          <w:tcPr>
            <w:tcW w:w="568" w:type="dxa"/>
            <w:shd w:val="clear" w:color="auto" w:fill="auto"/>
            <w:vAlign w:val="center"/>
          </w:tcPr>
          <w:p w14:paraId="1448AAF2"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42D2D51D" w14:textId="0B7E67E3"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proofErr w:type="spellStart"/>
            <w:r w:rsidR="00191437" w:rsidRPr="00FB5D79">
              <w:rPr>
                <w:rFonts w:ascii="Times New Roman" w:eastAsiaTheme="minorHAnsi" w:hAnsi="Times New Roman" w:cs="Times New Roman"/>
                <w:iCs/>
                <w:szCs w:val="22"/>
                <w:bdr w:val="none" w:sz="0" w:space="0" w:color="auto" w:frame="1"/>
                <w:lang w:eastAsia="en-US"/>
              </w:rPr>
              <w:t>Lolibeth</w:t>
            </w:r>
            <w:proofErr w:type="spellEnd"/>
            <w:r w:rsidR="00191437" w:rsidRPr="00FB5D79">
              <w:rPr>
                <w:rFonts w:ascii="Times New Roman" w:eastAsiaTheme="minorHAnsi" w:hAnsi="Times New Roman" w:cs="Times New Roman"/>
                <w:iCs/>
                <w:szCs w:val="22"/>
                <w:bdr w:val="none" w:sz="0" w:space="0" w:color="auto" w:frame="1"/>
                <w:lang w:eastAsia="en-US"/>
              </w:rPr>
              <w:t xml:space="preserve"> R</w:t>
            </w:r>
            <w:r w:rsidR="00A178C8" w:rsidRPr="00FB5D79">
              <w:rPr>
                <w:rFonts w:ascii="Times New Roman" w:eastAsiaTheme="minorHAnsi" w:hAnsi="Times New Roman" w:cs="Times New Roman"/>
                <w:iCs/>
                <w:szCs w:val="22"/>
                <w:bdr w:val="none" w:sz="0" w:space="0" w:color="auto" w:frame="1"/>
                <w:lang w:eastAsia="en-US"/>
              </w:rPr>
              <w:t xml:space="preserve">. </w:t>
            </w:r>
            <w:proofErr w:type="spellStart"/>
            <w:r w:rsidR="00191437" w:rsidRPr="00FB5D79">
              <w:rPr>
                <w:rFonts w:ascii="Times New Roman" w:eastAsiaTheme="minorHAnsi" w:hAnsi="Times New Roman" w:cs="Times New Roman"/>
                <w:iCs/>
                <w:szCs w:val="22"/>
                <w:bdr w:val="none" w:sz="0" w:space="0" w:color="auto" w:frame="1"/>
                <w:lang w:eastAsia="en-US"/>
              </w:rPr>
              <w:t>Medrano</w:t>
            </w:r>
            <w:proofErr w:type="spellEnd"/>
            <w:r w:rsidR="00191437" w:rsidRPr="00FB5D79">
              <w:rPr>
                <w:rFonts w:ascii="Times New Roman" w:eastAsiaTheme="minorHAnsi" w:hAnsi="Times New Roman" w:cs="Times New Roman"/>
                <w:iCs/>
                <w:szCs w:val="22"/>
                <w:bdr w:val="none" w:sz="0" w:space="0" w:color="auto" w:frame="1"/>
                <w:lang w:eastAsia="en-US"/>
              </w:rPr>
              <w:t xml:space="preserve">, </w:t>
            </w:r>
            <w:r w:rsidR="0080195B" w:rsidRPr="00FB5D79">
              <w:rPr>
                <w:rFonts w:ascii="Times New Roman" w:hAnsi="Times New Roman" w:cs="Times New Roman"/>
                <w:szCs w:val="22"/>
              </w:rPr>
              <w:t>Office des brevets</w:t>
            </w:r>
            <w:r w:rsidR="00191437" w:rsidRPr="00FB5D79">
              <w:rPr>
                <w:rFonts w:ascii="Times New Roman" w:hAnsi="Times New Roman" w:cs="Times New Roman"/>
                <w:bCs/>
                <w:szCs w:val="22"/>
              </w:rPr>
              <w:t xml:space="preserve">, </w:t>
            </w:r>
            <w:r w:rsidR="00EA29E5" w:rsidRPr="00FB5D79">
              <w:rPr>
                <w:rFonts w:ascii="Times New Roman" w:hAnsi="Times New Roman" w:cs="Times New Roman"/>
                <w:bCs/>
                <w:szCs w:val="22"/>
              </w:rPr>
              <w:t xml:space="preserve">Office de la propriété intellectuelle des Philippines </w:t>
            </w:r>
            <w:r w:rsidR="00191437" w:rsidRPr="00875EFA">
              <w:rPr>
                <w:rStyle w:val="Strong"/>
                <w:rFonts w:ascii="Times New Roman" w:hAnsi="Times New Roman" w:cs="Times New Roman"/>
                <w:b w:val="0"/>
                <w:szCs w:val="22"/>
                <w:bdr w:val="none" w:sz="0" w:space="0" w:color="auto" w:frame="1"/>
              </w:rPr>
              <w:t>(IPOPHL)</w:t>
            </w:r>
          </w:p>
        </w:tc>
      </w:tr>
      <w:tr w:rsidR="00191437" w:rsidRPr="00FB5D79" w14:paraId="49EC2BDE" w14:textId="77777777" w:rsidTr="0009552D">
        <w:tc>
          <w:tcPr>
            <w:tcW w:w="568" w:type="dxa"/>
            <w:shd w:val="clear" w:color="auto" w:fill="auto"/>
            <w:vAlign w:val="center"/>
          </w:tcPr>
          <w:p w14:paraId="0787FBF0"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6D8E595" w14:textId="77C3E9BF"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szCs w:val="22"/>
              </w:rPr>
              <w:t>M. </w:t>
            </w:r>
            <w:r w:rsidR="00191437" w:rsidRPr="00FB5D79">
              <w:rPr>
                <w:rFonts w:ascii="Times New Roman" w:hAnsi="Times New Roman" w:cs="Times New Roman"/>
                <w:szCs w:val="22"/>
              </w:rPr>
              <w:t xml:space="preserve">Sergio Medeiros </w:t>
            </w:r>
            <w:proofErr w:type="spellStart"/>
            <w:r w:rsidR="00191437" w:rsidRPr="00FB5D79">
              <w:rPr>
                <w:rFonts w:ascii="Times New Roman" w:hAnsi="Times New Roman" w:cs="Times New Roman"/>
                <w:szCs w:val="22"/>
              </w:rPr>
              <w:t>Paulino</w:t>
            </w:r>
            <w:proofErr w:type="spellEnd"/>
            <w:r w:rsidR="00191437" w:rsidRPr="00FB5D79">
              <w:rPr>
                <w:rFonts w:ascii="Times New Roman" w:hAnsi="Times New Roman" w:cs="Times New Roman"/>
                <w:szCs w:val="22"/>
              </w:rPr>
              <w:t xml:space="preserve"> de Carvalho,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0F172C29" w14:textId="77777777" w:rsidTr="0009552D">
        <w:tc>
          <w:tcPr>
            <w:tcW w:w="568" w:type="dxa"/>
            <w:shd w:val="clear" w:color="auto" w:fill="auto"/>
            <w:vAlign w:val="center"/>
          </w:tcPr>
          <w:p w14:paraId="045BB9F8"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4DFA1C29" w14:textId="1CC53DEA"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proofErr w:type="spellStart"/>
            <w:r w:rsidR="00191437" w:rsidRPr="00FB5D79">
              <w:rPr>
                <w:rFonts w:ascii="Times New Roman" w:hAnsi="Times New Roman" w:cs="Times New Roman"/>
                <w:bCs/>
                <w:szCs w:val="22"/>
              </w:rPr>
              <w:t>Ye</w:t>
            </w:r>
            <w:proofErr w:type="spellEnd"/>
            <w:r w:rsidR="00191437" w:rsidRPr="00FB5D79">
              <w:rPr>
                <w:rFonts w:ascii="Times New Roman" w:hAnsi="Times New Roman" w:cs="Times New Roman"/>
                <w:bCs/>
                <w:szCs w:val="22"/>
              </w:rPr>
              <w:t xml:space="preserve"> Mi</w:t>
            </w:r>
            <w:r w:rsidR="00BF79B6">
              <w:rPr>
                <w:rFonts w:ascii="Times New Roman" w:hAnsi="Times New Roman" w:cs="Times New Roman"/>
                <w:bCs/>
                <w:szCs w:val="22"/>
              </w:rPr>
              <w:t>n</w:t>
            </w:r>
            <w:r w:rsidR="00191437" w:rsidRPr="00FB5D79">
              <w:rPr>
                <w:rFonts w:ascii="Times New Roman" w:hAnsi="Times New Roman" w:cs="Times New Roman"/>
                <w:bCs/>
                <w:szCs w:val="22"/>
              </w:rPr>
              <w:t xml:space="preserve"> </w:t>
            </w:r>
            <w:proofErr w:type="spellStart"/>
            <w:r w:rsidR="00191437" w:rsidRPr="00FB5D79">
              <w:rPr>
                <w:rFonts w:ascii="Times New Roman" w:hAnsi="Times New Roman" w:cs="Times New Roman"/>
                <w:bCs/>
                <w:szCs w:val="22"/>
              </w:rPr>
              <w:t>Than</w:t>
            </w:r>
            <w:proofErr w:type="spellEnd"/>
            <w:r w:rsidR="00191437" w:rsidRPr="00FB5D79">
              <w:rPr>
                <w:rFonts w:ascii="Times New Roman" w:hAnsi="Times New Roman" w:cs="Times New Roman"/>
                <w:bCs/>
                <w:szCs w:val="22"/>
              </w:rPr>
              <w:t xml:space="preserve">, </w:t>
            </w:r>
            <w:r w:rsidR="00A178C8" w:rsidRPr="00FB5D79">
              <w:rPr>
                <w:rFonts w:ascii="Times New Roman" w:hAnsi="Times New Roman" w:cs="Times New Roman"/>
                <w:szCs w:val="22"/>
                <w:shd w:val="clear" w:color="auto" w:fill="FFFFFF"/>
              </w:rPr>
              <w:t>administrateur principal de programm</w:t>
            </w:r>
            <w:r w:rsidR="00A178C8" w:rsidRPr="00FB5D79">
              <w:rPr>
                <w:rFonts w:ascii="Times New Roman" w:hAnsi="Times New Roman" w:cs="Times New Roman"/>
                <w:bCs/>
                <w:szCs w:val="22"/>
              </w:rPr>
              <w:t>e</w:t>
            </w:r>
            <w:r w:rsidR="00191437" w:rsidRPr="00FB5D79">
              <w:rPr>
                <w:rFonts w:ascii="Times New Roman" w:hAnsi="Times New Roman" w:cs="Times New Roman"/>
                <w:bCs/>
                <w:szCs w:val="22"/>
              </w:rPr>
              <w:t>,</w:t>
            </w:r>
            <w:r w:rsidR="0080195B" w:rsidRPr="00FB5D79">
              <w:rPr>
                <w:rFonts w:ascii="Times New Roman" w:hAnsi="Times New Roman" w:cs="Times New Roman"/>
                <w:bCs/>
                <w:szCs w:val="22"/>
              </w:rPr>
              <w:t xml:space="preserve"> Bureau régional pour l</w:t>
            </w:r>
            <w:r w:rsidR="00646944" w:rsidRPr="00FB5D79">
              <w:rPr>
                <w:rFonts w:ascii="Times New Roman" w:hAnsi="Times New Roman" w:cs="Times New Roman"/>
                <w:bCs/>
                <w:szCs w:val="22"/>
              </w:rPr>
              <w:t>’</w:t>
            </w:r>
            <w:r w:rsidR="0080195B" w:rsidRPr="00FB5D79">
              <w:rPr>
                <w:rFonts w:ascii="Times New Roman" w:hAnsi="Times New Roman" w:cs="Times New Roman"/>
                <w:bCs/>
                <w:szCs w:val="22"/>
              </w:rPr>
              <w:t>Asie et le Pacifique</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secteur du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02A1E521" w14:textId="77777777" w:rsidTr="0009552D">
        <w:tc>
          <w:tcPr>
            <w:tcW w:w="568" w:type="dxa"/>
            <w:shd w:val="clear" w:color="auto" w:fill="auto"/>
            <w:vAlign w:val="center"/>
          </w:tcPr>
          <w:p w14:paraId="0705DD84"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70FC269" w14:textId="7BF3797E" w:rsidR="00191437" w:rsidRPr="00FB5D79" w:rsidRDefault="00FC044A" w:rsidP="006F14E0">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proofErr w:type="spellStart"/>
            <w:r w:rsidR="00191437" w:rsidRPr="00FB5D79">
              <w:rPr>
                <w:rFonts w:ascii="Times New Roman" w:hAnsi="Times New Roman" w:cs="Times New Roman"/>
                <w:bCs/>
                <w:szCs w:val="22"/>
              </w:rPr>
              <w:t>Deunden</w:t>
            </w:r>
            <w:proofErr w:type="spellEnd"/>
            <w:r w:rsidR="00191437" w:rsidRPr="00FB5D79">
              <w:rPr>
                <w:rFonts w:ascii="Times New Roman" w:hAnsi="Times New Roman" w:cs="Times New Roman"/>
                <w:bCs/>
                <w:szCs w:val="22"/>
              </w:rPr>
              <w:t xml:space="preserve"> </w:t>
            </w:r>
            <w:proofErr w:type="spellStart"/>
            <w:r w:rsidR="00191437" w:rsidRPr="00FB5D79">
              <w:rPr>
                <w:rFonts w:ascii="Times New Roman" w:hAnsi="Times New Roman" w:cs="Times New Roman"/>
                <w:bCs/>
                <w:szCs w:val="22"/>
              </w:rPr>
              <w:t>Nikomborirak</w:t>
            </w:r>
            <w:proofErr w:type="spellEnd"/>
            <w:r w:rsidR="00191437" w:rsidRPr="00FB5D79">
              <w:rPr>
                <w:rFonts w:ascii="Times New Roman" w:hAnsi="Times New Roman" w:cs="Times New Roman"/>
                <w:szCs w:val="22"/>
                <w:shd w:val="clear" w:color="auto" w:fill="FFFFFF"/>
              </w:rPr>
              <w:t xml:space="preserve">, </w:t>
            </w:r>
            <w:r w:rsidR="006F14E0" w:rsidRPr="00FB5D79">
              <w:rPr>
                <w:rFonts w:ascii="Times New Roman" w:hAnsi="Times New Roman" w:cs="Times New Roman"/>
                <w:szCs w:val="22"/>
                <w:shd w:val="clear" w:color="auto" w:fill="FFFFFF"/>
              </w:rPr>
              <w:t>Institut thaïlandais de recherche sur le développement (TDRI)</w:t>
            </w:r>
          </w:p>
        </w:tc>
      </w:tr>
      <w:tr w:rsidR="00191437" w:rsidRPr="00FB5D79" w14:paraId="1E054E8C" w14:textId="77777777" w:rsidTr="0009552D">
        <w:tc>
          <w:tcPr>
            <w:tcW w:w="568" w:type="dxa"/>
            <w:shd w:val="clear" w:color="auto" w:fill="auto"/>
            <w:vAlign w:val="center"/>
          </w:tcPr>
          <w:p w14:paraId="17DFD232"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08F8C48" w14:textId="6C54D1CD"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Giovanni</w:t>
            </w:r>
            <w:r w:rsidR="00EB4E6B" w:rsidRPr="00FB5D79">
              <w:rPr>
                <w:rFonts w:ascii="Times New Roman" w:hAnsi="Times New Roman" w:cs="Times New Roman"/>
                <w:bCs/>
                <w:szCs w:val="22"/>
              </w:rPr>
              <w:t> </w:t>
            </w:r>
            <w:proofErr w:type="spellStart"/>
            <w:r w:rsidR="00191437" w:rsidRPr="00FB5D79">
              <w:rPr>
                <w:rFonts w:ascii="Times New Roman" w:hAnsi="Times New Roman" w:cs="Times New Roman"/>
                <w:bCs/>
                <w:szCs w:val="22"/>
              </w:rPr>
              <w:t>Napolitano</w:t>
            </w:r>
            <w:proofErr w:type="spellEnd"/>
            <w:r w:rsidR="00191437" w:rsidRPr="00FB5D79">
              <w:rPr>
                <w:rFonts w:ascii="Times New Roman" w:hAnsi="Times New Roman" w:cs="Times New Roman"/>
                <w:bCs/>
                <w:szCs w:val="22"/>
              </w:rPr>
              <w:t xml:space="preserve">, </w:t>
            </w:r>
            <w:r w:rsidR="0080195B" w:rsidRPr="00FB5D79">
              <w:rPr>
                <w:rFonts w:ascii="Times New Roman" w:hAnsi="Times New Roman" w:cs="Times New Roman"/>
                <w:szCs w:val="22"/>
                <w:shd w:val="clear" w:color="auto" w:fill="FFFFFF"/>
              </w:rPr>
              <w:t>vice</w:t>
            </w:r>
            <w:r w:rsidR="00965F3A">
              <w:rPr>
                <w:rFonts w:ascii="Times New Roman" w:hAnsi="Times New Roman" w:cs="Times New Roman"/>
                <w:szCs w:val="22"/>
                <w:shd w:val="clear" w:color="auto" w:fill="FFFFFF"/>
              </w:rPr>
              <w:t>-</w:t>
            </w:r>
            <w:r w:rsidR="0080195B" w:rsidRPr="00FB5D79">
              <w:rPr>
                <w:rFonts w:ascii="Times New Roman" w:hAnsi="Times New Roman" w:cs="Times New Roman"/>
                <w:szCs w:val="22"/>
                <w:shd w:val="clear" w:color="auto" w:fill="FFFFFF"/>
              </w:rPr>
              <w:t>directeur du</w:t>
            </w:r>
            <w:r w:rsidR="00191437" w:rsidRPr="00FB5D79">
              <w:rPr>
                <w:rFonts w:ascii="Times New Roman" w:hAnsi="Times New Roman" w:cs="Times New Roman"/>
                <w:szCs w:val="22"/>
                <w:shd w:val="clear" w:color="auto" w:fill="FFFFFF"/>
              </w:rPr>
              <w:t xml:space="preserve"> </w:t>
            </w:r>
            <w:r w:rsidR="0080195B" w:rsidRPr="00FB5D79">
              <w:rPr>
                <w:rFonts w:ascii="Times New Roman" w:hAnsi="Times New Roman" w:cs="Times New Roman"/>
                <w:szCs w:val="22"/>
                <w:shd w:val="clear" w:color="auto" w:fill="FFFFFF"/>
              </w:rPr>
              <w:t>Département des pays en transition et des pays développés</w:t>
            </w:r>
            <w:r w:rsidR="006443D5" w:rsidRPr="00FB5D79">
              <w:rPr>
                <w:rFonts w:ascii="Times New Roman" w:hAnsi="Times New Roman" w:cs="Times New Roman"/>
                <w:szCs w:val="22"/>
                <w:shd w:val="clear" w:color="auto" w:fill="FFFFFF"/>
              </w:rPr>
              <w:t>, OMPI</w:t>
            </w:r>
          </w:p>
        </w:tc>
      </w:tr>
      <w:tr w:rsidR="00191437" w:rsidRPr="00FB5D79" w14:paraId="2C6F69F1" w14:textId="77777777" w:rsidTr="0009552D">
        <w:tc>
          <w:tcPr>
            <w:tcW w:w="568" w:type="dxa"/>
            <w:shd w:val="clear" w:color="auto" w:fill="auto"/>
            <w:vAlign w:val="center"/>
          </w:tcPr>
          <w:p w14:paraId="4CA300AA"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245D5AC1" w14:textId="3291ADDA"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szCs w:val="22"/>
              </w:rPr>
              <w:t>Mme </w:t>
            </w:r>
            <w:r w:rsidR="00191437" w:rsidRPr="00FB5D79">
              <w:rPr>
                <w:rFonts w:ascii="Times New Roman" w:hAnsi="Times New Roman" w:cs="Times New Roman"/>
                <w:szCs w:val="22"/>
              </w:rPr>
              <w:t xml:space="preserve">Ana Claudia </w:t>
            </w:r>
            <w:proofErr w:type="spellStart"/>
            <w:r w:rsidR="00191437" w:rsidRPr="00FB5D79">
              <w:rPr>
                <w:rFonts w:ascii="Times New Roman" w:hAnsi="Times New Roman" w:cs="Times New Roman"/>
                <w:szCs w:val="22"/>
              </w:rPr>
              <w:t>Nonato</w:t>
            </w:r>
            <w:proofErr w:type="spellEnd"/>
            <w:r w:rsidR="00191437" w:rsidRPr="00FB5D79">
              <w:rPr>
                <w:rFonts w:ascii="Times New Roman" w:hAnsi="Times New Roman" w:cs="Times New Roman"/>
                <w:szCs w:val="22"/>
              </w:rPr>
              <w:t xml:space="preserve"> da Silva </w:t>
            </w:r>
            <w:proofErr w:type="spellStart"/>
            <w:r w:rsidR="00191437" w:rsidRPr="00FB5D79">
              <w:rPr>
                <w:rFonts w:ascii="Times New Roman" w:hAnsi="Times New Roman" w:cs="Times New Roman"/>
                <w:szCs w:val="22"/>
              </w:rPr>
              <w:t>Loureiro</w:t>
            </w:r>
            <w:proofErr w:type="spellEnd"/>
            <w:r w:rsidR="00191437" w:rsidRPr="00FB5D79">
              <w:rPr>
                <w:rFonts w:ascii="Times New Roman" w:hAnsi="Times New Roman" w:cs="Times New Roman"/>
                <w:szCs w:val="22"/>
              </w:rPr>
              <w:t xml:space="preserve">,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2F6E9D73" w14:textId="77777777" w:rsidTr="0009552D">
        <w:tc>
          <w:tcPr>
            <w:tcW w:w="568" w:type="dxa"/>
            <w:shd w:val="clear" w:color="auto" w:fill="auto"/>
            <w:vAlign w:val="center"/>
          </w:tcPr>
          <w:p w14:paraId="4940157F"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3A8585E6" w14:textId="1DA72273" w:rsidR="00191437" w:rsidRPr="00FB5D79" w:rsidRDefault="00FC044A" w:rsidP="006443D5">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iCs/>
                <w:szCs w:val="22"/>
                <w:bdr w:val="none" w:sz="0" w:space="0" w:color="auto" w:frame="1"/>
              </w:rPr>
              <w:t xml:space="preserve">María Catalina </w:t>
            </w:r>
            <w:proofErr w:type="spellStart"/>
            <w:r w:rsidR="00191437" w:rsidRPr="00FB5D79">
              <w:rPr>
                <w:rFonts w:ascii="Times New Roman" w:hAnsi="Times New Roman" w:cs="Times New Roman"/>
                <w:iCs/>
                <w:szCs w:val="22"/>
                <w:bdr w:val="none" w:sz="0" w:space="0" w:color="auto" w:frame="1"/>
              </w:rPr>
              <w:t>Olivos</w:t>
            </w:r>
            <w:proofErr w:type="spellEnd"/>
            <w:r w:rsidR="00191437" w:rsidRPr="00FB5D79">
              <w:rPr>
                <w:rFonts w:ascii="Times New Roman" w:hAnsi="Times New Roman" w:cs="Times New Roman"/>
                <w:iCs/>
                <w:szCs w:val="22"/>
                <w:bdr w:val="none" w:sz="0" w:space="0" w:color="auto" w:frame="1"/>
              </w:rPr>
              <w:t xml:space="preserve"> </w:t>
            </w:r>
            <w:proofErr w:type="spellStart"/>
            <w:r w:rsidR="00191437" w:rsidRPr="00FB5D79">
              <w:rPr>
                <w:rFonts w:ascii="Times New Roman" w:hAnsi="Times New Roman" w:cs="Times New Roman"/>
                <w:iCs/>
                <w:szCs w:val="22"/>
                <w:bdr w:val="none" w:sz="0" w:space="0" w:color="auto" w:frame="1"/>
              </w:rPr>
              <w:t>Besserer</w:t>
            </w:r>
            <w:proofErr w:type="spellEnd"/>
            <w:r w:rsidR="00191437" w:rsidRPr="00FB5D79">
              <w:rPr>
                <w:rFonts w:ascii="Times New Roman" w:hAnsi="Times New Roman" w:cs="Times New Roman"/>
                <w:iCs/>
                <w:szCs w:val="22"/>
                <w:bdr w:val="none" w:sz="0" w:space="0" w:color="auto" w:frame="1"/>
              </w:rPr>
              <w:t xml:space="preserve">, </w:t>
            </w:r>
            <w:r w:rsidR="006443D5" w:rsidRPr="00FB5D79">
              <w:rPr>
                <w:rFonts w:ascii="Times New Roman" w:hAnsi="Times New Roman" w:cs="Times New Roman"/>
                <w:bCs/>
                <w:szCs w:val="22"/>
              </w:rPr>
              <w:t>conseillère</w:t>
            </w:r>
            <w:r w:rsidR="0080195B" w:rsidRPr="00FB5D79">
              <w:rPr>
                <w:rFonts w:ascii="Times New Roman" w:hAnsi="Times New Roman" w:cs="Times New Roman"/>
                <w:bCs/>
                <w:szCs w:val="22"/>
              </w:rPr>
              <w:t xml:space="preserve"> juridique</w:t>
            </w:r>
            <w:r w:rsidR="00191437" w:rsidRPr="00FB5D79">
              <w:rPr>
                <w:rFonts w:ascii="Times New Roman" w:hAnsi="Times New Roman" w:cs="Times New Roman"/>
                <w:bCs/>
                <w:szCs w:val="22"/>
              </w:rPr>
              <w:t xml:space="preserve">, </w:t>
            </w:r>
            <w:r w:rsidR="006443D5" w:rsidRPr="00FB5D79">
              <w:rPr>
                <w:rFonts w:ascii="Times New Roman" w:hAnsi="Times New Roman" w:cs="Times New Roman"/>
                <w:szCs w:val="22"/>
              </w:rPr>
              <w:t>département Politique et Affaires internationales</w:t>
            </w:r>
            <w:r w:rsidR="00191437" w:rsidRPr="00FB5D79">
              <w:rPr>
                <w:rFonts w:ascii="Times New Roman" w:hAnsi="Times New Roman" w:cs="Times New Roman"/>
                <w:bCs/>
                <w:szCs w:val="22"/>
              </w:rPr>
              <w:t xml:space="preserve">,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(INAPI), </w:t>
            </w:r>
            <w:r w:rsidR="0092223A" w:rsidRPr="00FB5D79">
              <w:rPr>
                <w:rFonts w:ascii="Times New Roman" w:hAnsi="Times New Roman" w:cs="Times New Roman"/>
                <w:bCs/>
                <w:szCs w:val="22"/>
              </w:rPr>
              <w:t>Chili</w:t>
            </w:r>
          </w:p>
        </w:tc>
      </w:tr>
      <w:tr w:rsidR="00191437" w:rsidRPr="00FB5D79" w14:paraId="6DC7A230" w14:textId="77777777" w:rsidTr="0009552D">
        <w:tc>
          <w:tcPr>
            <w:tcW w:w="568" w:type="dxa"/>
            <w:shd w:val="clear" w:color="auto" w:fill="auto"/>
            <w:vAlign w:val="center"/>
          </w:tcPr>
          <w:p w14:paraId="419B16E6"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75CA5263" w14:textId="4956064F"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szCs w:val="22"/>
              </w:rPr>
              <w:t>Mme </w:t>
            </w:r>
            <w:r w:rsidR="00191437" w:rsidRPr="00FB5D79">
              <w:rPr>
                <w:rFonts w:ascii="Times New Roman" w:hAnsi="Times New Roman" w:cs="Times New Roman"/>
                <w:szCs w:val="22"/>
              </w:rPr>
              <w:t xml:space="preserve">Vera </w:t>
            </w:r>
            <w:proofErr w:type="spellStart"/>
            <w:r w:rsidR="00191437" w:rsidRPr="00FB5D79">
              <w:rPr>
                <w:rFonts w:ascii="Times New Roman" w:hAnsi="Times New Roman" w:cs="Times New Roman"/>
                <w:szCs w:val="22"/>
              </w:rPr>
              <w:t>Pinheiro</w:t>
            </w:r>
            <w:proofErr w:type="spellEnd"/>
            <w:r w:rsidR="00191437" w:rsidRPr="00FB5D79">
              <w:rPr>
                <w:rFonts w:ascii="Times New Roman" w:hAnsi="Times New Roman" w:cs="Times New Roman"/>
                <w:szCs w:val="22"/>
              </w:rPr>
              <w:t xml:space="preserve">,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2D421D91" w14:textId="77777777" w:rsidTr="0009552D">
        <w:tc>
          <w:tcPr>
            <w:tcW w:w="568" w:type="dxa"/>
            <w:shd w:val="clear" w:color="auto" w:fill="auto"/>
            <w:vAlign w:val="center"/>
          </w:tcPr>
          <w:p w14:paraId="1EA5FFF4"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6158F87F" w14:textId="650F761B" w:rsidR="00191437" w:rsidRPr="00FB5D79" w:rsidRDefault="00FC044A" w:rsidP="00BF79B6">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Julio </w:t>
            </w:r>
            <w:proofErr w:type="spellStart"/>
            <w:r w:rsidR="00191437" w:rsidRPr="00FB5D79">
              <w:rPr>
                <w:rFonts w:ascii="Times New Roman" w:hAnsi="Times New Roman" w:cs="Times New Roman"/>
                <w:bCs/>
                <w:szCs w:val="22"/>
              </w:rPr>
              <w:t>Raffo</w:t>
            </w:r>
            <w:proofErr w:type="spellEnd"/>
            <w:r w:rsidR="00191437" w:rsidRPr="00FB5D79">
              <w:rPr>
                <w:rFonts w:ascii="Times New Roman" w:hAnsi="Times New Roman" w:cs="Times New Roman"/>
                <w:bCs/>
                <w:szCs w:val="22"/>
              </w:rPr>
              <w:t xml:space="preserve">, </w:t>
            </w:r>
            <w:r w:rsidR="00BF79B6">
              <w:rPr>
                <w:rFonts w:ascii="Times New Roman" w:hAnsi="Times New Roman" w:cs="Times New Roman"/>
                <w:bCs/>
                <w:szCs w:val="22"/>
              </w:rPr>
              <w:t>chef</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Division de l</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économie et des statistiques</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23693DCD" w14:textId="77777777" w:rsidTr="0009552D">
        <w:tc>
          <w:tcPr>
            <w:tcW w:w="568" w:type="dxa"/>
            <w:shd w:val="clear" w:color="auto" w:fill="auto"/>
            <w:vAlign w:val="center"/>
          </w:tcPr>
          <w:p w14:paraId="5C752010"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45BDE3B" w14:textId="59465A58"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proofErr w:type="spellStart"/>
            <w:r w:rsidR="00191437" w:rsidRPr="00FB5D79">
              <w:rPr>
                <w:rFonts w:ascii="Times New Roman" w:hAnsi="Times New Roman" w:cs="Times New Roman"/>
                <w:bCs/>
                <w:szCs w:val="22"/>
              </w:rPr>
              <w:t>Maximiliano</w:t>
            </w:r>
            <w:proofErr w:type="spellEnd"/>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 xml:space="preserve">Santa Cruz, </w:t>
            </w:r>
            <w:r w:rsidR="0080195B" w:rsidRPr="00FB5D79">
              <w:rPr>
                <w:rFonts w:ascii="Times New Roman" w:hAnsi="Times New Roman" w:cs="Times New Roman"/>
                <w:bCs/>
                <w:szCs w:val="22"/>
              </w:rPr>
              <w:t>directeur de l</w:t>
            </w:r>
            <w:r w:rsidR="00646944" w:rsidRPr="00FB5D79">
              <w:rPr>
                <w:rFonts w:ascii="Times New Roman" w:hAnsi="Times New Roman" w:cs="Times New Roman"/>
                <w:bCs/>
                <w:szCs w:val="22"/>
              </w:rPr>
              <w:t>’</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(INAPI), </w:t>
            </w:r>
            <w:r w:rsidR="0092223A" w:rsidRPr="00FB5D79">
              <w:rPr>
                <w:rFonts w:ascii="Times New Roman" w:hAnsi="Times New Roman" w:cs="Times New Roman"/>
                <w:bCs/>
                <w:szCs w:val="22"/>
              </w:rPr>
              <w:t>Chili</w:t>
            </w:r>
          </w:p>
        </w:tc>
      </w:tr>
      <w:tr w:rsidR="00191437" w:rsidRPr="00FB5D79" w14:paraId="28C21B07" w14:textId="77777777" w:rsidTr="0009552D">
        <w:tc>
          <w:tcPr>
            <w:tcW w:w="568" w:type="dxa"/>
            <w:shd w:val="clear" w:color="auto" w:fill="auto"/>
            <w:vAlign w:val="center"/>
          </w:tcPr>
          <w:p w14:paraId="17749613"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6EAE1E02" w14:textId="0E91E566" w:rsidR="00191437" w:rsidRPr="00FB5D79" w:rsidRDefault="00FC044A" w:rsidP="00BF79B6">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Mar</w:t>
            </w:r>
            <w:r w:rsidR="00BF79B6">
              <w:rPr>
                <w:rFonts w:ascii="Times New Roman" w:hAnsi="Times New Roman" w:cs="Times New Roman"/>
                <w:bCs/>
                <w:szCs w:val="22"/>
              </w:rPr>
              <w:t>c</w:t>
            </w:r>
            <w:r w:rsidR="00EB4E6B" w:rsidRPr="00FB5D79">
              <w:rPr>
                <w:rFonts w:ascii="Times New Roman" w:hAnsi="Times New Roman" w:cs="Times New Roman"/>
                <w:bCs/>
                <w:szCs w:val="22"/>
              </w:rPr>
              <w:t> </w:t>
            </w:r>
            <w:proofErr w:type="spellStart"/>
            <w:r w:rsidR="00191437" w:rsidRPr="00FB5D79">
              <w:rPr>
                <w:rFonts w:ascii="Times New Roman" w:hAnsi="Times New Roman" w:cs="Times New Roman"/>
                <w:bCs/>
                <w:szCs w:val="22"/>
              </w:rPr>
              <w:t>Sery</w:t>
            </w:r>
            <w:r w:rsidR="00965F3A">
              <w:rPr>
                <w:rFonts w:ascii="Times New Roman" w:hAnsi="Times New Roman" w:cs="Times New Roman"/>
                <w:bCs/>
                <w:szCs w:val="22"/>
              </w:rPr>
              <w:t>-</w:t>
            </w:r>
            <w:r w:rsidR="00191437" w:rsidRPr="00FB5D79">
              <w:rPr>
                <w:rFonts w:ascii="Times New Roman" w:hAnsi="Times New Roman" w:cs="Times New Roman"/>
                <w:bCs/>
                <w:szCs w:val="22"/>
              </w:rPr>
              <w:t>Kore</w:t>
            </w:r>
            <w:proofErr w:type="spellEnd"/>
            <w:r w:rsidR="00191437" w:rsidRPr="00FB5D79">
              <w:rPr>
                <w:rFonts w:ascii="Times New Roman" w:hAnsi="Times New Roman" w:cs="Times New Roman"/>
                <w:bCs/>
                <w:szCs w:val="22"/>
              </w:rPr>
              <w:t xml:space="preserve">, </w:t>
            </w:r>
            <w:r w:rsidR="0080195B" w:rsidRPr="00FB5D79">
              <w:rPr>
                <w:rFonts w:ascii="Times New Roman" w:hAnsi="Times New Roman" w:cs="Times New Roman"/>
                <w:bCs/>
                <w:szCs w:val="22"/>
              </w:rPr>
              <w:t>directeur du</w:t>
            </w:r>
            <w:r w:rsidR="00191437" w:rsidRPr="00FB5D79">
              <w:rPr>
                <w:rFonts w:ascii="Times New Roman" w:hAnsi="Times New Roman" w:cs="Times New Roman"/>
                <w:bCs/>
                <w:szCs w:val="22"/>
              </w:rPr>
              <w:t xml:space="preserve"> </w:t>
            </w:r>
            <w:r w:rsidR="0080195B" w:rsidRPr="00FB5D79">
              <w:rPr>
                <w:rFonts w:ascii="Times New Roman" w:hAnsi="Times New Roman" w:cs="Times New Roman"/>
                <w:bCs/>
                <w:szCs w:val="22"/>
              </w:rPr>
              <w:t>Bureau régional pour l</w:t>
            </w:r>
            <w:r w:rsidR="00646944" w:rsidRPr="00FB5D79">
              <w:rPr>
                <w:rFonts w:ascii="Times New Roman" w:hAnsi="Times New Roman" w:cs="Times New Roman"/>
                <w:bCs/>
                <w:szCs w:val="22"/>
              </w:rPr>
              <w:t>’</w:t>
            </w:r>
            <w:r w:rsidR="0080195B" w:rsidRPr="00FB5D79">
              <w:rPr>
                <w:rFonts w:ascii="Times New Roman" w:hAnsi="Times New Roman" w:cs="Times New Roman"/>
                <w:bCs/>
                <w:szCs w:val="22"/>
              </w:rPr>
              <w:t>Afrique</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secteur du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5FD43991" w14:textId="77777777" w:rsidTr="0009552D">
        <w:tc>
          <w:tcPr>
            <w:tcW w:w="568" w:type="dxa"/>
            <w:shd w:val="clear" w:color="auto" w:fill="auto"/>
            <w:vAlign w:val="center"/>
          </w:tcPr>
          <w:p w14:paraId="3993AF63"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71BC4C9E" w14:textId="4A88BBD8" w:rsidR="00191437" w:rsidRPr="00FB5D79" w:rsidRDefault="00FC044A" w:rsidP="00D97A7C">
            <w:pPr>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George</w:t>
            </w:r>
            <w:r w:rsidR="00EB4E6B" w:rsidRPr="00FB5D79">
              <w:rPr>
                <w:rFonts w:ascii="Times New Roman" w:hAnsi="Times New Roman" w:cs="Times New Roman"/>
                <w:bCs/>
                <w:szCs w:val="22"/>
              </w:rPr>
              <w:t> </w:t>
            </w:r>
            <w:proofErr w:type="spellStart"/>
            <w:r w:rsidR="00191437" w:rsidRPr="00FB5D79">
              <w:rPr>
                <w:rFonts w:ascii="Times New Roman" w:hAnsi="Times New Roman" w:cs="Times New Roman"/>
                <w:bCs/>
                <w:szCs w:val="22"/>
              </w:rPr>
              <w:t>Tebagana</w:t>
            </w:r>
            <w:proofErr w:type="spellEnd"/>
            <w:r w:rsidR="00191437" w:rsidRPr="00FB5D79">
              <w:rPr>
                <w:rFonts w:ascii="Times New Roman" w:hAnsi="Times New Roman" w:cs="Times New Roman"/>
                <w:bCs/>
                <w:szCs w:val="22"/>
              </w:rPr>
              <w:t xml:space="preserve">, </w:t>
            </w:r>
            <w:r w:rsidR="0080195B" w:rsidRPr="00FB5D79">
              <w:rPr>
                <w:rFonts w:ascii="Times New Roman" w:hAnsi="Times New Roman" w:cs="Times New Roman"/>
                <w:bCs/>
                <w:szCs w:val="22"/>
              </w:rPr>
              <w:t>Affaires économiques/juridique</w:t>
            </w:r>
            <w:r w:rsidR="00191437" w:rsidRPr="00FB5D79">
              <w:rPr>
                <w:rFonts w:ascii="Times New Roman" w:hAnsi="Times New Roman" w:cs="Times New Roman"/>
                <w:bCs/>
                <w:szCs w:val="22"/>
              </w:rPr>
              <w:t xml:space="preserve">s, </w:t>
            </w:r>
            <w:r w:rsidR="00D26935" w:rsidRPr="00FB5D79">
              <w:rPr>
                <w:rFonts w:ascii="Times New Roman" w:hAnsi="Times New Roman" w:cs="Times New Roman"/>
                <w:bCs/>
                <w:szCs w:val="22"/>
              </w:rPr>
              <w:t>Mission permanente de l</w:t>
            </w:r>
            <w:r w:rsidR="00646944" w:rsidRPr="00FB5D79">
              <w:rPr>
                <w:rFonts w:ascii="Times New Roman" w:hAnsi="Times New Roman" w:cs="Times New Roman"/>
                <w:bCs/>
                <w:szCs w:val="22"/>
              </w:rPr>
              <w:t>’</w:t>
            </w:r>
            <w:r w:rsidR="00D26935" w:rsidRPr="00FB5D79">
              <w:rPr>
                <w:rFonts w:ascii="Times New Roman" w:hAnsi="Times New Roman" w:cs="Times New Roman"/>
                <w:bCs/>
                <w:szCs w:val="22"/>
              </w:rPr>
              <w:t>Ouganda</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Genève</w:t>
            </w:r>
          </w:p>
        </w:tc>
      </w:tr>
      <w:tr w:rsidR="00191437" w:rsidRPr="00FB5D79" w14:paraId="1D3C5A1C" w14:textId="77777777" w:rsidTr="0009552D">
        <w:tc>
          <w:tcPr>
            <w:tcW w:w="568" w:type="dxa"/>
            <w:shd w:val="clear" w:color="auto" w:fill="auto"/>
            <w:vAlign w:val="center"/>
          </w:tcPr>
          <w:p w14:paraId="6BB1465E"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AE5640F" w14:textId="44D7E81D" w:rsidR="00191437" w:rsidRPr="00FB5D79" w:rsidRDefault="00FC044A" w:rsidP="00D97A7C">
            <w:pPr>
              <w:jc w:val="both"/>
              <w:rPr>
                <w:rFonts w:ascii="Times New Roman" w:hAnsi="Times New Roman" w:cs="Times New Roman"/>
                <w:szCs w:val="22"/>
              </w:rPr>
            </w:pPr>
            <w:r w:rsidRPr="00FB5D79">
              <w:rPr>
                <w:rFonts w:ascii="Times New Roman" w:hAnsi="Times New Roman" w:cs="Times New Roman"/>
                <w:szCs w:val="22"/>
              </w:rPr>
              <w:t>M. </w:t>
            </w:r>
            <w:r w:rsidR="00191437" w:rsidRPr="00FB5D79">
              <w:rPr>
                <w:rFonts w:ascii="Times New Roman" w:hAnsi="Times New Roman" w:cs="Times New Roman"/>
                <w:szCs w:val="22"/>
              </w:rPr>
              <w:t xml:space="preserve">Felipe </w:t>
            </w:r>
            <w:proofErr w:type="spellStart"/>
            <w:r w:rsidR="00191437" w:rsidRPr="00FB5D79">
              <w:rPr>
                <w:rFonts w:ascii="Times New Roman" w:hAnsi="Times New Roman" w:cs="Times New Roman"/>
                <w:szCs w:val="22"/>
              </w:rPr>
              <w:t>Veiga</w:t>
            </w:r>
            <w:proofErr w:type="spellEnd"/>
            <w:r w:rsidR="00191437" w:rsidRPr="00FB5D79">
              <w:rPr>
                <w:rFonts w:ascii="Times New Roman" w:hAnsi="Times New Roman" w:cs="Times New Roman"/>
                <w:szCs w:val="22"/>
              </w:rPr>
              <w:t xml:space="preserve"> Lopes,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5D6AFA23" w14:textId="77777777" w:rsidTr="0009552D">
        <w:tc>
          <w:tcPr>
            <w:tcW w:w="568" w:type="dxa"/>
            <w:shd w:val="clear" w:color="auto" w:fill="auto"/>
            <w:vAlign w:val="center"/>
          </w:tcPr>
          <w:p w14:paraId="2F59A2AA"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CC219F8" w14:textId="1C7FB585" w:rsidR="00191437" w:rsidRPr="00FB5D79" w:rsidRDefault="00FC044A" w:rsidP="00BF79B6">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Sacha </w:t>
            </w:r>
            <w:proofErr w:type="spellStart"/>
            <w:r w:rsidR="00191437" w:rsidRPr="00FB5D79">
              <w:rPr>
                <w:rFonts w:ascii="Times New Roman" w:hAnsi="Times New Roman" w:cs="Times New Roman"/>
                <w:bCs/>
                <w:szCs w:val="22"/>
              </w:rPr>
              <w:t>Wunsch</w:t>
            </w:r>
            <w:proofErr w:type="spellEnd"/>
            <w:r w:rsidR="00965F3A">
              <w:rPr>
                <w:rFonts w:ascii="Times New Roman" w:hAnsi="Times New Roman" w:cs="Times New Roman"/>
                <w:bCs/>
                <w:szCs w:val="22"/>
              </w:rPr>
              <w:t>-</w:t>
            </w:r>
            <w:r w:rsidR="00191437" w:rsidRPr="00FB5D79">
              <w:rPr>
                <w:rFonts w:ascii="Times New Roman" w:hAnsi="Times New Roman" w:cs="Times New Roman"/>
                <w:bCs/>
                <w:szCs w:val="22"/>
              </w:rPr>
              <w:t xml:space="preserve">Vincent, </w:t>
            </w:r>
            <w:r w:rsidR="00BF79B6">
              <w:rPr>
                <w:rFonts w:ascii="Times New Roman" w:hAnsi="Times New Roman" w:cs="Times New Roman"/>
                <w:bCs/>
                <w:szCs w:val="22"/>
              </w:rPr>
              <w:t>chef</w:t>
            </w:r>
            <w:r w:rsidR="00750ADE" w:rsidRPr="00FB5D79">
              <w:rPr>
                <w:rFonts w:ascii="Times New Roman" w:hAnsi="Times New Roman" w:cs="Times New Roman"/>
                <w:bCs/>
                <w:szCs w:val="22"/>
              </w:rPr>
              <w:t>,</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Division de l</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économie et des statistiques</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bl>
    <w:p w14:paraId="361C73DC" w14:textId="6D609CAD" w:rsidR="00BA5862" w:rsidRDefault="00BA5862" w:rsidP="00643AB5">
      <w:pPr>
        <w:pStyle w:val="Endofdocument-Annex"/>
        <w:spacing w:before="480"/>
        <w:jc w:val="both"/>
        <w:rPr>
          <w:szCs w:val="22"/>
        </w:rPr>
      </w:pPr>
      <w:r w:rsidRPr="00FB5D79">
        <w:t>[</w:t>
      </w:r>
      <w:r w:rsidR="00BC2CE5">
        <w:t>L’appendice IV suit</w:t>
      </w:r>
      <w:r w:rsidRPr="00FB5D79">
        <w:rPr>
          <w:szCs w:val="22"/>
        </w:rPr>
        <w:t>]</w:t>
      </w:r>
    </w:p>
    <w:p w14:paraId="2E448E05" w14:textId="25EB1B7F" w:rsidR="003F6B47" w:rsidRPr="00FB5D79" w:rsidRDefault="003F6B47" w:rsidP="00D97A7C">
      <w:pPr>
        <w:pStyle w:val="ONUME"/>
        <w:numPr>
          <w:ilvl w:val="0"/>
          <w:numId w:val="0"/>
        </w:numPr>
        <w:jc w:val="both"/>
        <w:rPr>
          <w:caps/>
        </w:rPr>
        <w:sectPr w:rsidR="003F6B47" w:rsidRPr="00FB5D79" w:rsidSect="005779C5">
          <w:headerReference w:type="first" r:id="rId20"/>
          <w:pgSz w:w="11907" w:h="16840" w:code="9"/>
          <w:pgMar w:top="567" w:right="1134" w:bottom="1418" w:left="1418" w:header="510" w:footer="1021" w:gutter="0"/>
          <w:pgNumType w:start="1"/>
          <w:cols w:space="720"/>
          <w:titlePg/>
        </w:sectPr>
      </w:pPr>
    </w:p>
    <w:p w14:paraId="68369F0E" w14:textId="7D9FD1CD" w:rsidR="006D23B0" w:rsidRPr="00765B4A" w:rsidRDefault="00BC2CE5" w:rsidP="000D0D46">
      <w:pPr>
        <w:pStyle w:val="ONUME"/>
        <w:numPr>
          <w:ilvl w:val="0"/>
          <w:numId w:val="0"/>
        </w:numPr>
        <w:spacing w:after="120"/>
        <w:rPr>
          <w:caps/>
        </w:rPr>
      </w:pPr>
      <w:r>
        <w:rPr>
          <w:caps/>
        </w:rPr>
        <w:lastRenderedPageBreak/>
        <w:t>APPENDIC</w:t>
      </w:r>
      <w:r w:rsidR="00765B4A" w:rsidRPr="00765B4A">
        <w:rPr>
          <w:caps/>
        </w:rPr>
        <w:t>e IV</w:t>
      </w:r>
      <w:r w:rsidR="00965F3A">
        <w:rPr>
          <w:caps/>
        </w:rPr>
        <w:t> :</w:t>
      </w:r>
      <w:r w:rsidR="00765B4A" w:rsidRPr="00765B4A">
        <w:rPr>
          <w:caps/>
        </w:rPr>
        <w:t xml:space="preserve"> sélection de documents</w:t>
      </w:r>
      <w:r w:rsidR="009B140E">
        <w:rPr>
          <w:rStyle w:val="FootnoteReference"/>
          <w:caps/>
        </w:rPr>
        <w:footnoteReference w:id="25"/>
      </w:r>
    </w:p>
    <w:p w14:paraId="5CBE5248" w14:textId="16E4958D" w:rsidR="00965F3A" w:rsidRDefault="00965F3A" w:rsidP="000D0D46">
      <w:pPr>
        <w:pStyle w:val="ListNumber"/>
        <w:numPr>
          <w:ilvl w:val="0"/>
          <w:numId w:val="0"/>
        </w:numPr>
        <w:tabs>
          <w:tab w:val="right" w:pos="9355"/>
        </w:tabs>
        <w:spacing w:after="120" w:line="260" w:lineRule="atLeast"/>
        <w:jc w:val="both"/>
        <w:rPr>
          <w:b/>
          <w:szCs w:val="22"/>
        </w:rPr>
      </w:pPr>
      <w:r>
        <w:rPr>
          <w:b/>
          <w:szCs w:val="22"/>
        </w:rPr>
        <w:t>Documents relatifs au suivi et à l’évaluation</w:t>
      </w:r>
    </w:p>
    <w:p w14:paraId="5A4A1252" w14:textId="0C6CA52E" w:rsidR="00965F3A" w:rsidRDefault="00965F3A" w:rsidP="000D0D46">
      <w:pPr>
        <w:pStyle w:val="ListNumber"/>
        <w:numPr>
          <w:ilvl w:val="0"/>
          <w:numId w:val="41"/>
        </w:numPr>
        <w:tabs>
          <w:tab w:val="right" w:pos="9355"/>
        </w:tabs>
        <w:spacing w:after="120" w:line="260" w:lineRule="atLeast"/>
        <w:jc w:val="both"/>
        <w:rPr>
          <w:szCs w:val="22"/>
        </w:rPr>
      </w:pPr>
      <w:r>
        <w:rPr>
          <w:szCs w:val="22"/>
        </w:rPr>
        <w:t>Politique d’évaluation de l’OMPI, Division de la supervision interne, deuxième édition 2016-2020</w:t>
      </w:r>
    </w:p>
    <w:p w14:paraId="3F098B96" w14:textId="45B24B61" w:rsidR="00965F3A" w:rsidRDefault="00965F3A" w:rsidP="000D0D46">
      <w:pPr>
        <w:pStyle w:val="ListNumber"/>
        <w:numPr>
          <w:ilvl w:val="0"/>
          <w:numId w:val="41"/>
        </w:numPr>
        <w:tabs>
          <w:tab w:val="right" w:pos="9355"/>
        </w:tabs>
        <w:spacing w:after="120" w:line="260" w:lineRule="atLeast"/>
        <w:jc w:val="both"/>
        <w:rPr>
          <w:szCs w:val="22"/>
        </w:rPr>
      </w:pPr>
      <w:r>
        <w:rPr>
          <w:szCs w:val="22"/>
        </w:rPr>
        <w:t>Lignes directrices et ouvrages de référence du CAD, Normes de qualité pour l’évaluation du développement, Comité d’aide au développement de l’</w:t>
      </w:r>
      <w:r w:rsidR="003804FC">
        <w:rPr>
          <w:szCs w:val="22"/>
        </w:rPr>
        <w:t>OCDE (CAD), OCDE, 2010</w:t>
      </w:r>
    </w:p>
    <w:p w14:paraId="64029377" w14:textId="30AA123F" w:rsidR="003804FC" w:rsidRDefault="003804FC" w:rsidP="000D0D46">
      <w:pPr>
        <w:pStyle w:val="ListNumber"/>
        <w:numPr>
          <w:ilvl w:val="0"/>
          <w:numId w:val="41"/>
        </w:numPr>
        <w:tabs>
          <w:tab w:val="right" w:pos="9355"/>
        </w:tabs>
        <w:spacing w:after="120" w:line="260" w:lineRule="atLeast"/>
        <w:jc w:val="both"/>
        <w:rPr>
          <w:szCs w:val="22"/>
        </w:rPr>
      </w:pPr>
      <w:r>
        <w:rPr>
          <w:szCs w:val="22"/>
        </w:rPr>
        <w:t>Normes et règles d’évaluation du Groupe des Nations Unies pour l’Évaluation, GNUE, 2016</w:t>
      </w:r>
    </w:p>
    <w:p w14:paraId="078ABEA0" w14:textId="061345FE" w:rsidR="003804FC" w:rsidRPr="00A373EA" w:rsidRDefault="003804FC" w:rsidP="000D0D46">
      <w:pPr>
        <w:pStyle w:val="ListNumber"/>
        <w:numPr>
          <w:ilvl w:val="0"/>
          <w:numId w:val="41"/>
        </w:numPr>
        <w:tabs>
          <w:tab w:val="right" w:pos="9355"/>
        </w:tabs>
        <w:spacing w:after="120" w:line="260" w:lineRule="atLeast"/>
        <w:jc w:val="both"/>
        <w:rPr>
          <w:szCs w:val="22"/>
        </w:rPr>
      </w:pPr>
      <w:r w:rsidRPr="00A373EA">
        <w:rPr>
          <w:szCs w:val="22"/>
        </w:rPr>
        <w:t xml:space="preserve">Rapport d’évaluation concernant le projet relatif </w:t>
      </w:r>
      <w:r w:rsidR="008556F6" w:rsidRPr="00A373EA">
        <w:rPr>
          <w:szCs w:val="22"/>
        </w:rPr>
        <w:t>à</w:t>
      </w:r>
      <w:r w:rsidRPr="00A373EA">
        <w:rPr>
          <w:szCs w:val="22"/>
        </w:rPr>
        <w:t xml:space="preserve"> la propriété intellectuelle et au développement socioéconomique, CDIP/14/3, 2014</w:t>
      </w:r>
    </w:p>
    <w:p w14:paraId="44E52AF0" w14:textId="052FF36F" w:rsidR="003804FC" w:rsidRPr="00605E80" w:rsidRDefault="003804FC" w:rsidP="000D0D46">
      <w:pPr>
        <w:pStyle w:val="ListNumber"/>
        <w:numPr>
          <w:ilvl w:val="0"/>
          <w:numId w:val="0"/>
        </w:numPr>
        <w:tabs>
          <w:tab w:val="right" w:pos="9355"/>
        </w:tabs>
        <w:spacing w:after="120" w:line="260" w:lineRule="atLeast"/>
        <w:jc w:val="both"/>
        <w:rPr>
          <w:b/>
          <w:szCs w:val="22"/>
        </w:rPr>
      </w:pPr>
      <w:r w:rsidRPr="00605E80">
        <w:rPr>
          <w:b/>
          <w:szCs w:val="22"/>
        </w:rPr>
        <w:t>Documents de l’OMPI relatifs aux programmes</w:t>
      </w:r>
    </w:p>
    <w:p w14:paraId="1B9AA8F1" w14:textId="42DB4B90" w:rsidR="003804FC" w:rsidRPr="00A373EA" w:rsidRDefault="003804FC" w:rsidP="000D0D46">
      <w:pPr>
        <w:pStyle w:val="ListNumber"/>
        <w:numPr>
          <w:ilvl w:val="0"/>
          <w:numId w:val="42"/>
        </w:numPr>
        <w:tabs>
          <w:tab w:val="right" w:pos="9355"/>
        </w:tabs>
        <w:spacing w:after="120" w:line="260" w:lineRule="atLeast"/>
        <w:jc w:val="both"/>
        <w:rPr>
          <w:szCs w:val="22"/>
        </w:rPr>
      </w:pPr>
      <w:r w:rsidRPr="00A373EA">
        <w:rPr>
          <w:szCs w:val="22"/>
        </w:rPr>
        <w:t>Plans stratégiques à moyen terme pour l’Organisation Mondiale de la Propriété Intellectuelle</w:t>
      </w:r>
      <w:r w:rsidR="008556F6" w:rsidRPr="00A373EA">
        <w:rPr>
          <w:szCs w:val="22"/>
        </w:rPr>
        <w:t xml:space="preserve"> (OMPI)</w:t>
      </w:r>
      <w:r w:rsidRPr="00A373EA">
        <w:rPr>
          <w:szCs w:val="22"/>
        </w:rPr>
        <w:t xml:space="preserve"> pour 2016-2021 et 20</w:t>
      </w:r>
      <w:r w:rsidR="008556F6" w:rsidRPr="00A373EA">
        <w:rPr>
          <w:szCs w:val="22"/>
        </w:rPr>
        <w:t>10-2015</w:t>
      </w:r>
    </w:p>
    <w:p w14:paraId="71EEB05F" w14:textId="16A8C5EA" w:rsidR="008556F6" w:rsidRPr="00605E80" w:rsidRDefault="008556F6" w:rsidP="000D0D46">
      <w:pPr>
        <w:pStyle w:val="ListNumber"/>
        <w:numPr>
          <w:ilvl w:val="0"/>
          <w:numId w:val="42"/>
        </w:numPr>
        <w:tabs>
          <w:tab w:val="right" w:pos="9355"/>
        </w:tabs>
        <w:spacing w:after="120" w:line="260" w:lineRule="atLeast"/>
        <w:jc w:val="both"/>
        <w:rPr>
          <w:szCs w:val="22"/>
        </w:rPr>
      </w:pPr>
      <w:r w:rsidRPr="00605E80">
        <w:rPr>
          <w:szCs w:val="22"/>
        </w:rPr>
        <w:t>Programmes et budgets de l’OMPI pour 2014-2015 et 2016-2017</w:t>
      </w:r>
    </w:p>
    <w:p w14:paraId="63BD522F" w14:textId="39EA28FD" w:rsidR="008556F6" w:rsidRPr="00605E80" w:rsidRDefault="008556F6" w:rsidP="000D0D46">
      <w:pPr>
        <w:pStyle w:val="ListNumber"/>
        <w:numPr>
          <w:ilvl w:val="0"/>
          <w:numId w:val="0"/>
        </w:numPr>
        <w:tabs>
          <w:tab w:val="right" w:pos="9355"/>
        </w:tabs>
        <w:spacing w:after="120" w:line="260" w:lineRule="atLeast"/>
        <w:jc w:val="both"/>
        <w:rPr>
          <w:b/>
          <w:szCs w:val="22"/>
        </w:rPr>
      </w:pPr>
      <w:r w:rsidRPr="00605E80">
        <w:rPr>
          <w:b/>
          <w:szCs w:val="22"/>
        </w:rPr>
        <w:t xml:space="preserve">Documents </w:t>
      </w:r>
      <w:r w:rsidR="007C7FC1" w:rsidRPr="00605E80">
        <w:rPr>
          <w:b/>
          <w:szCs w:val="22"/>
        </w:rPr>
        <w:t>du</w:t>
      </w:r>
      <w:r w:rsidRPr="00605E80">
        <w:rPr>
          <w:b/>
          <w:szCs w:val="22"/>
        </w:rPr>
        <w:t xml:space="preserve"> CDIP</w:t>
      </w:r>
    </w:p>
    <w:p w14:paraId="61E948FE" w14:textId="2C9AC1AA" w:rsidR="008556F6" w:rsidRPr="00605E80" w:rsidRDefault="008556F6" w:rsidP="000D0D46">
      <w:pPr>
        <w:pStyle w:val="ListNumber"/>
        <w:numPr>
          <w:ilvl w:val="0"/>
          <w:numId w:val="43"/>
        </w:numPr>
        <w:tabs>
          <w:tab w:val="right" w:pos="9355"/>
        </w:tabs>
        <w:spacing w:after="120" w:line="260" w:lineRule="atLeast"/>
        <w:jc w:val="both"/>
        <w:rPr>
          <w:szCs w:val="22"/>
        </w:rPr>
      </w:pPr>
      <w:r w:rsidRPr="00605E80">
        <w:rPr>
          <w:szCs w:val="22"/>
        </w:rPr>
        <w:t>Projet relatif à la propriété intellectuelle et au développement socioéconomique, CDIP/5/7, 2010</w:t>
      </w:r>
    </w:p>
    <w:p w14:paraId="480469DA" w14:textId="7838D5CF" w:rsidR="008556F6" w:rsidRPr="00605E80" w:rsidRDefault="008556F6" w:rsidP="000D0D46">
      <w:pPr>
        <w:pStyle w:val="ListNumber"/>
        <w:numPr>
          <w:ilvl w:val="0"/>
          <w:numId w:val="43"/>
        </w:numPr>
        <w:tabs>
          <w:tab w:val="right" w:pos="9355"/>
        </w:tabs>
        <w:spacing w:after="120" w:line="260" w:lineRule="atLeast"/>
        <w:jc w:val="both"/>
        <w:rPr>
          <w:szCs w:val="22"/>
        </w:rPr>
      </w:pPr>
      <w:r w:rsidRPr="00605E80">
        <w:rPr>
          <w:szCs w:val="22"/>
        </w:rPr>
        <w:t>Projet relatif à la propriété intellectuelle et au développement socioéconomique – Phase II, CDIP/14/7, 2014</w:t>
      </w:r>
    </w:p>
    <w:p w14:paraId="376F67D3" w14:textId="364D000B" w:rsidR="008556F6" w:rsidRPr="00605E80" w:rsidRDefault="008556F6" w:rsidP="000D0D46">
      <w:pPr>
        <w:pStyle w:val="ListNumber"/>
        <w:numPr>
          <w:ilvl w:val="0"/>
          <w:numId w:val="43"/>
        </w:numPr>
        <w:tabs>
          <w:tab w:val="right" w:pos="9355"/>
        </w:tabs>
        <w:spacing w:after="120" w:line="260" w:lineRule="atLeast"/>
        <w:jc w:val="both"/>
        <w:rPr>
          <w:szCs w:val="22"/>
        </w:rPr>
      </w:pPr>
      <w:r w:rsidRPr="00605E80">
        <w:rPr>
          <w:szCs w:val="22"/>
        </w:rPr>
        <w:t>Résumé du président, CDIP/14/SUMMARY, 2014</w:t>
      </w:r>
    </w:p>
    <w:p w14:paraId="43077EB6" w14:textId="67333BCA" w:rsidR="008556F6" w:rsidRPr="00605E80" w:rsidRDefault="008556F6" w:rsidP="000D0D46">
      <w:pPr>
        <w:pStyle w:val="ListNumber"/>
        <w:numPr>
          <w:ilvl w:val="0"/>
          <w:numId w:val="43"/>
        </w:numPr>
        <w:tabs>
          <w:tab w:val="right" w:pos="9355"/>
        </w:tabs>
        <w:spacing w:after="120" w:line="260" w:lineRule="atLeast"/>
        <w:jc w:val="both"/>
        <w:rPr>
          <w:szCs w:val="22"/>
        </w:rPr>
      </w:pPr>
      <w:r w:rsidRPr="00605E80">
        <w:rPr>
          <w:szCs w:val="22"/>
        </w:rPr>
        <w:t>Rapports sur l’état d’avancement de la mise en œuvre de la phase II, CDIP/16/2, CDIP/18/2 et CDIP/20/2</w:t>
      </w:r>
    </w:p>
    <w:p w14:paraId="492372FC" w14:textId="010BE928" w:rsidR="007C7FC1" w:rsidRPr="00605E80" w:rsidRDefault="007C7FC1" w:rsidP="000D0D46">
      <w:pPr>
        <w:pStyle w:val="ListNumber"/>
        <w:numPr>
          <w:ilvl w:val="0"/>
          <w:numId w:val="0"/>
        </w:numPr>
        <w:tabs>
          <w:tab w:val="right" w:pos="9355"/>
        </w:tabs>
        <w:spacing w:after="120" w:line="260" w:lineRule="atLeast"/>
        <w:jc w:val="both"/>
        <w:rPr>
          <w:b/>
          <w:szCs w:val="22"/>
        </w:rPr>
      </w:pPr>
      <w:r w:rsidRPr="00605E80">
        <w:rPr>
          <w:b/>
          <w:szCs w:val="22"/>
        </w:rPr>
        <w:t>Documents et études relatifs au projet</w:t>
      </w:r>
    </w:p>
    <w:p w14:paraId="40FC4480" w14:textId="5E3F1675" w:rsidR="007C7FC1" w:rsidRPr="00605E80" w:rsidRDefault="007C7FC1" w:rsidP="000D0D46">
      <w:pPr>
        <w:pStyle w:val="ListNumber"/>
        <w:numPr>
          <w:ilvl w:val="0"/>
          <w:numId w:val="45"/>
        </w:numPr>
        <w:tabs>
          <w:tab w:val="right" w:pos="9355"/>
        </w:tabs>
        <w:spacing w:after="120" w:line="260" w:lineRule="atLeast"/>
        <w:jc w:val="both"/>
        <w:rPr>
          <w:b/>
          <w:szCs w:val="22"/>
        </w:rPr>
      </w:pPr>
      <w:r w:rsidRPr="00605E80">
        <w:rPr>
          <w:szCs w:val="22"/>
        </w:rPr>
        <w:t>Résumé de l’étude sur l’utilisation de la propriété intellectuelle en Colombie, CDIP/20/INF/2, 2017</w:t>
      </w:r>
    </w:p>
    <w:p w14:paraId="4604F4DF" w14:textId="54A85394" w:rsidR="007C7FC1" w:rsidRPr="00605E80" w:rsidRDefault="007C7FC1" w:rsidP="000D0D46">
      <w:pPr>
        <w:pStyle w:val="ListNumber"/>
        <w:numPr>
          <w:ilvl w:val="0"/>
          <w:numId w:val="45"/>
        </w:numPr>
        <w:tabs>
          <w:tab w:val="right" w:pos="9355"/>
        </w:tabs>
        <w:spacing w:after="120" w:line="260" w:lineRule="atLeast"/>
        <w:jc w:val="both"/>
        <w:rPr>
          <w:b/>
          <w:szCs w:val="22"/>
        </w:rPr>
      </w:pPr>
      <w:r w:rsidRPr="00605E80">
        <w:rPr>
          <w:szCs w:val="22"/>
        </w:rPr>
        <w:t>Résumé de l’étude sur l’utilisation du système de la propriété intellectuelle en Amérique centrale et en République dominicaine, CDIP/20/INF3, 2017</w:t>
      </w:r>
    </w:p>
    <w:p w14:paraId="402B5CBA" w14:textId="77777777" w:rsidR="00567B03" w:rsidRDefault="00567B03" w:rsidP="000D0D46">
      <w:pPr>
        <w:pStyle w:val="ListNumber"/>
        <w:numPr>
          <w:ilvl w:val="0"/>
          <w:numId w:val="45"/>
        </w:numPr>
        <w:tabs>
          <w:tab w:val="right" w:pos="9355"/>
        </w:tabs>
        <w:spacing w:after="120" w:line="260" w:lineRule="atLeast"/>
        <w:jc w:val="both"/>
        <w:rPr>
          <w:b/>
          <w:szCs w:val="22"/>
        </w:rPr>
      </w:pPr>
      <w:r>
        <w:rPr>
          <w:szCs w:val="22"/>
        </w:rPr>
        <w:t>Résumé de l’étude sur la promotion de l’innovation dans le secteur agroalimentaire ougandais : études sectorielles sur les plants de café robusta et la transformation des fruits tropicaux, CDIP/20/INF/3, 2018</w:t>
      </w:r>
    </w:p>
    <w:p w14:paraId="5A910FE7" w14:textId="648749A8" w:rsidR="00567B03" w:rsidRDefault="00567B03" w:rsidP="000D0D46">
      <w:pPr>
        <w:pStyle w:val="ListNumber"/>
        <w:numPr>
          <w:ilvl w:val="0"/>
          <w:numId w:val="45"/>
        </w:numPr>
        <w:tabs>
          <w:tab w:val="right" w:pos="9355"/>
        </w:tabs>
        <w:spacing w:after="120" w:line="260" w:lineRule="atLeast"/>
        <w:rPr>
          <w:b/>
          <w:szCs w:val="22"/>
        </w:rPr>
      </w:pPr>
      <w:r>
        <w:rPr>
          <w:szCs w:val="22"/>
        </w:rPr>
        <w:t>La promotion de l’innovation dans le secteur agroalimentaire ougandais : études sectorielles sur les plants de café robusta et la transformation des fruits tropicaux</w:t>
      </w:r>
      <w:r>
        <w:rPr>
          <w:b/>
          <w:szCs w:val="22"/>
        </w:rPr>
        <w:t xml:space="preserve">, </w:t>
      </w:r>
      <w:r>
        <w:rPr>
          <w:szCs w:val="22"/>
        </w:rPr>
        <w:t xml:space="preserve">Document de recherche économique n° 42, 2018, </w:t>
      </w:r>
      <w:hyperlink r:id="rId21" w:history="1">
        <w:r>
          <w:rPr>
            <w:rStyle w:val="Hyperlink"/>
            <w:szCs w:val="22"/>
          </w:rPr>
          <w:t>http://www.wipo.int/publications/fr/details.jsp?id=4320&amp;plang=FR</w:t>
        </w:r>
      </w:hyperlink>
    </w:p>
    <w:p w14:paraId="0A1C03F0" w14:textId="38F05A5E" w:rsidR="00567B03" w:rsidRDefault="00567B03" w:rsidP="000D0D46">
      <w:pPr>
        <w:pStyle w:val="ListNumber"/>
        <w:numPr>
          <w:ilvl w:val="0"/>
          <w:numId w:val="45"/>
        </w:numPr>
        <w:tabs>
          <w:tab w:val="right" w:pos="9355"/>
        </w:tabs>
        <w:spacing w:after="120" w:line="260" w:lineRule="atLeast"/>
        <w:jc w:val="both"/>
        <w:rPr>
          <w:b/>
          <w:szCs w:val="22"/>
          <w:lang w:val="es-ES"/>
        </w:rPr>
      </w:pPr>
      <w:r>
        <w:rPr>
          <w:szCs w:val="22"/>
        </w:rPr>
        <w:t xml:space="preserve">Résumé de l’étude sur l’utilisation de la propriété intellectuelle </w:t>
      </w:r>
      <w:r w:rsidR="000D0D46">
        <w:rPr>
          <w:szCs w:val="22"/>
        </w:rPr>
        <w:t>au</w:t>
      </w:r>
      <w:r>
        <w:rPr>
          <w:szCs w:val="22"/>
        </w:rPr>
        <w:t xml:space="preserve"> Chili, CDIP/21/INF/4, 2018</w:t>
      </w:r>
    </w:p>
    <w:p w14:paraId="6FCFBAB1" w14:textId="352197A3" w:rsidR="00567B03" w:rsidRDefault="00567B03" w:rsidP="000D0D46">
      <w:pPr>
        <w:pStyle w:val="ListNumber"/>
        <w:numPr>
          <w:ilvl w:val="0"/>
          <w:numId w:val="45"/>
        </w:numPr>
        <w:tabs>
          <w:tab w:val="right" w:pos="9355"/>
        </w:tabs>
        <w:spacing w:after="120" w:line="260" w:lineRule="atLeast"/>
        <w:jc w:val="both"/>
        <w:rPr>
          <w:b/>
          <w:szCs w:val="22"/>
          <w:lang w:val="es-ES"/>
        </w:rPr>
      </w:pPr>
      <w:r>
        <w:rPr>
          <w:szCs w:val="22"/>
        </w:rPr>
        <w:t>L’utilisation de la propriété intellectuelle dans les pays à revenu intermédiaire : le cas du Chili, Document de recherche économique n° 43, C. Fink et. </w:t>
      </w:r>
      <w:r w:rsidR="000D0D46">
        <w:rPr>
          <w:szCs w:val="22"/>
          <w:lang w:val="es-ES"/>
        </w:rPr>
        <w:t>a</w:t>
      </w:r>
      <w:r>
        <w:rPr>
          <w:szCs w:val="22"/>
          <w:lang w:val="es-ES"/>
        </w:rPr>
        <w:t xml:space="preserve">l, </w:t>
      </w:r>
      <w:hyperlink r:id="rId22" w:history="1">
        <w:r>
          <w:rPr>
            <w:rStyle w:val="Hyperlink"/>
            <w:lang w:val="es-ES"/>
          </w:rPr>
          <w:t>http://www.wipo.int/publications/en/details.jsp?id=4322</w:t>
        </w:r>
      </w:hyperlink>
    </w:p>
    <w:p w14:paraId="5DD78089" w14:textId="2102CDAB" w:rsidR="002E1385" w:rsidRDefault="005929DA" w:rsidP="000D0D46">
      <w:pPr>
        <w:pStyle w:val="Endofdocument-Annex"/>
        <w:spacing w:before="480"/>
        <w:jc w:val="both"/>
        <w:rPr>
          <w:szCs w:val="22"/>
        </w:rPr>
      </w:pPr>
      <w:r w:rsidRPr="00FB5D79">
        <w:t>[Fin de l</w:t>
      </w:r>
      <w:r w:rsidR="00646944" w:rsidRPr="00FB5D79">
        <w:t>’</w:t>
      </w:r>
      <w:r w:rsidRPr="00FB5D79">
        <w:t>a</w:t>
      </w:r>
      <w:r w:rsidR="00BC2CE5">
        <w:t>ppendice</w:t>
      </w:r>
      <w:r w:rsidRPr="00FB5D79">
        <w:t> IV et du document</w:t>
      </w:r>
      <w:r w:rsidR="002E1385" w:rsidRPr="00FB5D79">
        <w:rPr>
          <w:szCs w:val="22"/>
        </w:rPr>
        <w:t>]</w:t>
      </w:r>
    </w:p>
    <w:sectPr w:rsidR="002E1385" w:rsidSect="005779C5">
      <w:headerReference w:type="default" r:id="rId23"/>
      <w:headerReference w:type="first" r:id="rId24"/>
      <w:footerReference w:type="first" r:id="rId2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FF0D" w14:textId="77777777" w:rsidR="00B1196F" w:rsidRDefault="00B1196F">
      <w:r>
        <w:separator/>
      </w:r>
    </w:p>
  </w:endnote>
  <w:endnote w:type="continuationSeparator" w:id="0">
    <w:p w14:paraId="4BEA5389" w14:textId="77777777" w:rsidR="00B1196F" w:rsidRDefault="00B1196F" w:rsidP="00A326CA">
      <w:r>
        <w:separator/>
      </w:r>
    </w:p>
    <w:p w14:paraId="77939438" w14:textId="77777777" w:rsidR="00B1196F" w:rsidRPr="00C30D7B" w:rsidRDefault="00B1196F" w:rsidP="00A326CA">
      <w:pPr>
        <w:rPr>
          <w:lang w:val="en-GB"/>
        </w:rPr>
      </w:pPr>
      <w:r w:rsidRPr="00C30D7B">
        <w:rPr>
          <w:sz w:val="17"/>
          <w:lang w:val="en-GB"/>
        </w:rPr>
        <w:t>[Endnote continued from previous page]</w:t>
      </w:r>
    </w:p>
  </w:endnote>
  <w:endnote w:type="continuationNotice" w:id="1">
    <w:p w14:paraId="618C187C" w14:textId="77777777" w:rsidR="00B1196F" w:rsidRPr="00C30D7B" w:rsidRDefault="00B1196F" w:rsidP="00A326CA">
      <w:pPr>
        <w:spacing w:before="60"/>
        <w:jc w:val="right"/>
        <w:rPr>
          <w:sz w:val="17"/>
          <w:szCs w:val="17"/>
          <w:lang w:val="en-GB"/>
        </w:rPr>
      </w:pPr>
      <w:r w:rsidRPr="00C30D7B">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9F1" w14:textId="77777777" w:rsidR="00081E58" w:rsidRDefault="0008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7770" w14:textId="77777777" w:rsidR="00081E58" w:rsidRDefault="00081E58">
    <w:pPr>
      <w:pStyle w:val="Footer"/>
    </w:pPr>
  </w:p>
  <w:p w14:paraId="49069AAF" w14:textId="77777777" w:rsidR="00081E58" w:rsidRDefault="00081E58"/>
  <w:p w14:paraId="326DCD88" w14:textId="77777777" w:rsidR="00081E58" w:rsidRDefault="00081E5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8C1" w14:textId="77777777" w:rsidR="00081E58" w:rsidRDefault="00081E58">
    <w:pPr>
      <w:pStyle w:val="Footer"/>
    </w:pPr>
  </w:p>
  <w:p w14:paraId="3C49397F" w14:textId="77777777" w:rsidR="00081E58" w:rsidRDefault="00081E5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6F4B" w14:textId="77777777" w:rsidR="00081E58" w:rsidRDefault="0008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0B883" w14:textId="77777777" w:rsidR="00B1196F" w:rsidRDefault="00B1196F">
      <w:r>
        <w:separator/>
      </w:r>
    </w:p>
  </w:footnote>
  <w:footnote w:type="continuationSeparator" w:id="0">
    <w:p w14:paraId="1B6AFB8C" w14:textId="77777777" w:rsidR="00B1196F" w:rsidRDefault="00B1196F" w:rsidP="00A326CA">
      <w:r>
        <w:separator/>
      </w:r>
    </w:p>
    <w:p w14:paraId="7240F7C8" w14:textId="77777777" w:rsidR="00B1196F" w:rsidRPr="00C30D7B" w:rsidRDefault="00B1196F" w:rsidP="00A326CA">
      <w:pPr>
        <w:spacing w:after="60"/>
        <w:rPr>
          <w:sz w:val="17"/>
          <w:szCs w:val="17"/>
          <w:lang w:val="en-GB"/>
        </w:rPr>
      </w:pPr>
      <w:r w:rsidRPr="00C30D7B">
        <w:rPr>
          <w:sz w:val="17"/>
          <w:szCs w:val="17"/>
          <w:lang w:val="en-GB"/>
        </w:rPr>
        <w:t>[Footnote continued from previous page]</w:t>
      </w:r>
    </w:p>
  </w:footnote>
  <w:footnote w:type="continuationNotice" w:id="1">
    <w:p w14:paraId="4E6CD6E0" w14:textId="77777777" w:rsidR="00B1196F" w:rsidRPr="00C30D7B" w:rsidRDefault="00B1196F" w:rsidP="00A326CA">
      <w:pPr>
        <w:spacing w:before="60"/>
        <w:jc w:val="right"/>
        <w:rPr>
          <w:sz w:val="17"/>
          <w:szCs w:val="17"/>
          <w:lang w:val="en-GB"/>
        </w:rPr>
      </w:pPr>
      <w:r w:rsidRPr="00C30D7B">
        <w:rPr>
          <w:sz w:val="17"/>
          <w:szCs w:val="17"/>
          <w:lang w:val="en-GB"/>
        </w:rPr>
        <w:t>[Footnote continued on next page]</w:t>
      </w:r>
    </w:p>
  </w:footnote>
  <w:footnote w:id="2">
    <w:p w14:paraId="2BA236A7" w14:textId="3C350285"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 xml:space="preserve">Le projet initial relatif à la propriété intellectuelle et au développement socioéconomique (DA_35_37_01) a été adopté à la cinquième session du Comité du développement et de la propriété intellectuelle (CDIP) en avril 2010.  Le rapport sur l’évaluation indépendante de la phase I a été examiné par le CDIP à sa quatorzième session (CDIP/14/3).  </w:t>
      </w:r>
    </w:p>
  </w:footnote>
  <w:footnote w:id="3">
    <w:p w14:paraId="091768EE" w14:textId="58AE7172" w:rsidR="00081E58" w:rsidRPr="00553827" w:rsidRDefault="00081E58" w:rsidP="00463AAF">
      <w:pPr>
        <w:pStyle w:val="FootnoteText"/>
        <w:jc w:val="both"/>
        <w:rPr>
          <w:iCs/>
          <w:szCs w:val="18"/>
        </w:rPr>
      </w:pPr>
      <w:r w:rsidRPr="00553827">
        <w:rPr>
          <w:rStyle w:val="FootnoteReference"/>
          <w:rFonts w:cs="Arial"/>
          <w:szCs w:val="18"/>
        </w:rPr>
        <w:footnoteRef/>
      </w:r>
      <w:r w:rsidRPr="00553827">
        <w:rPr>
          <w:szCs w:val="18"/>
        </w:rPr>
        <w:t xml:space="preserve"> </w:t>
      </w:r>
      <w:r w:rsidRPr="00553827">
        <w:rPr>
          <w:szCs w:val="18"/>
        </w:rPr>
        <w:tab/>
      </w:r>
      <w:r w:rsidRPr="00553827">
        <w:rPr>
          <w:iCs/>
          <w:szCs w:val="18"/>
        </w:rPr>
        <w:t>Recommandation n° 35 (groupe D) : demander à l’OMPI de réaliser, à la demande des États membres, de nouvelles études pour évaluer l’incidence économique, sociale et culturelle de l’utilisation des systèmes de propriété intellectuelle dans ces États.</w:t>
      </w:r>
    </w:p>
  </w:footnote>
  <w:footnote w:id="4">
    <w:p w14:paraId="62213824" w14:textId="3743070B" w:rsidR="00081E58" w:rsidRPr="00553827" w:rsidRDefault="00081E58" w:rsidP="00463AAF">
      <w:pPr>
        <w:pStyle w:val="FootnoteText"/>
        <w:jc w:val="both"/>
        <w:rPr>
          <w:iCs/>
          <w:szCs w:val="18"/>
        </w:rPr>
      </w:pPr>
      <w:r w:rsidRPr="00553827">
        <w:rPr>
          <w:rStyle w:val="FootnoteReference"/>
          <w:rFonts w:cs="Arial"/>
          <w:szCs w:val="18"/>
        </w:rPr>
        <w:footnoteRef/>
      </w:r>
      <w:r w:rsidRPr="00553827">
        <w:rPr>
          <w:szCs w:val="18"/>
        </w:rPr>
        <w:t xml:space="preserve"> </w:t>
      </w:r>
      <w:r w:rsidRPr="00553827">
        <w:rPr>
          <w:szCs w:val="18"/>
        </w:rPr>
        <w:tab/>
      </w:r>
      <w:r w:rsidRPr="00553827">
        <w:rPr>
          <w:iCs/>
          <w:szCs w:val="18"/>
        </w:rPr>
        <w:t>Recommandation n° 37 (groupe D) : à la demande des États membres et selon leurs instructions, l’OMPI peut réaliser des études sur la protection de la propriété intellectuelle afin de déterminer les liens et les incidences possibles entre propriété intellectuelle et développement.</w:t>
      </w:r>
    </w:p>
  </w:footnote>
  <w:footnote w:id="5">
    <w:p w14:paraId="2F73BA6F" w14:textId="217208AA"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r w:rsidRPr="00553827">
        <w:rPr>
          <w:szCs w:val="18"/>
          <w:shd w:val="clear" w:color="auto" w:fill="FAFAFA"/>
        </w:rPr>
        <w:t>Aucun fonds supplémentaire n’a été alloué dans le cadre de cette prorogation.</w:t>
      </w:r>
    </w:p>
  </w:footnote>
  <w:footnote w:id="6">
    <w:p w14:paraId="05C409BF" w14:textId="2EC3292A" w:rsidR="00081E58" w:rsidRPr="00553827" w:rsidRDefault="00081E58" w:rsidP="00463AAF">
      <w:pPr>
        <w:pStyle w:val="FootnoteText"/>
        <w:jc w:val="both"/>
        <w:rPr>
          <w:szCs w:val="18"/>
          <w:shd w:val="clear" w:color="auto" w:fill="FAFAFA"/>
        </w:rPr>
      </w:pPr>
      <w:r w:rsidRPr="00553827">
        <w:rPr>
          <w:rStyle w:val="FootnoteReference"/>
          <w:rFonts w:cs="Arial"/>
          <w:szCs w:val="18"/>
        </w:rPr>
        <w:footnoteRef/>
      </w:r>
      <w:r w:rsidRPr="00553827">
        <w:rPr>
          <w:szCs w:val="18"/>
        </w:rPr>
        <w:t xml:space="preserve"> </w:t>
      </w:r>
      <w:r w:rsidRPr="00553827">
        <w:rPr>
          <w:szCs w:val="18"/>
        </w:rPr>
        <w:tab/>
      </w:r>
      <w:r w:rsidRPr="00553827">
        <w:rPr>
          <w:iCs/>
          <w:szCs w:val="18"/>
        </w:rPr>
        <w:t xml:space="preserve">Comprend le coût d’un chargé de projet, mais exclut toute contribution du personnel de </w:t>
      </w:r>
      <w:r w:rsidRPr="00553827">
        <w:rPr>
          <w:szCs w:val="18"/>
          <w:shd w:val="clear" w:color="auto" w:fill="FAFAFA"/>
        </w:rPr>
        <w:t>l’OMPI.</w:t>
      </w:r>
    </w:p>
  </w:footnote>
  <w:footnote w:id="7">
    <w:p w14:paraId="4CB69A8F" w14:textId="69C0E2C3"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r w:rsidRPr="00553827">
        <w:rPr>
          <w:iCs/>
          <w:szCs w:val="18"/>
        </w:rPr>
        <w:t>Pour de plus amples informations, se reporter à la section Résultats et évaluation, infra.</w:t>
      </w:r>
    </w:p>
  </w:footnote>
  <w:footnote w:id="8">
    <w:p w14:paraId="6DB33E4E" w14:textId="27C8324D"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Division de la supervision interne, politique d’évaluation, deuxième édition/2016</w:t>
      </w:r>
      <w:r w:rsidRPr="00553827">
        <w:rPr>
          <w:szCs w:val="18"/>
        </w:rPr>
        <w:noBreakHyphen/>
        <w:t>2020.</w:t>
      </w:r>
    </w:p>
  </w:footnote>
  <w:footnote w:id="9">
    <w:p w14:paraId="47B7FA71" w14:textId="463E772F"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 xml:space="preserve">Lignes directrices et ouvrages de référence du CAD, Normes de qualité pour l’évaluation du développement, OCDE CAD, OCDE 2010.  </w:t>
      </w:r>
    </w:p>
    <w:p w14:paraId="18D15741" w14:textId="6DBC45EC" w:rsidR="00081E58" w:rsidRPr="00553827" w:rsidRDefault="00081E58" w:rsidP="00463AAF">
      <w:pPr>
        <w:pStyle w:val="FootnoteText"/>
        <w:jc w:val="both"/>
        <w:rPr>
          <w:szCs w:val="18"/>
        </w:rPr>
      </w:pPr>
    </w:p>
  </w:footnote>
  <w:footnote w:id="10">
    <w:p w14:paraId="51D8C59B" w14:textId="4A7A80A3"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 xml:space="preserve">Objectif stratégique III : favoriser l’utilisation de la propriété intellectuelle au service du </w:t>
      </w:r>
      <w:proofErr w:type="gramStart"/>
      <w:r w:rsidRPr="00553827">
        <w:rPr>
          <w:szCs w:val="18"/>
        </w:rPr>
        <w:t>développement;  objectif</w:t>
      </w:r>
      <w:proofErr w:type="gramEnd"/>
      <w:r w:rsidRPr="00553827">
        <w:rPr>
          <w:szCs w:val="18"/>
        </w:rPr>
        <w:t xml:space="preserve"> stratégique V : Source de références mondiale pour l’information et l’analyse en matière de propriété intellectuelle </w:t>
      </w:r>
    </w:p>
  </w:footnote>
  <w:footnote w:id="11">
    <w:p w14:paraId="0421B051" w14:textId="58A5D4EA"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 xml:space="preserve">Programme 8 : coordination du Plan d’action pour le </w:t>
      </w:r>
      <w:proofErr w:type="gramStart"/>
      <w:r w:rsidRPr="00553827">
        <w:rPr>
          <w:szCs w:val="18"/>
        </w:rPr>
        <w:t>développement;  Programme</w:t>
      </w:r>
      <w:proofErr w:type="gramEnd"/>
      <w:r w:rsidRPr="00553827">
        <w:rPr>
          <w:szCs w:val="18"/>
        </w:rPr>
        <w:t> 9 : Afrique, pays Arabes, Asie et Pacifique, pays d’Amérique latine et des Caraïbes, pays les moins avancés;  Programme 10 : pays en transition et pays développés.</w:t>
      </w:r>
    </w:p>
  </w:footnote>
  <w:footnote w:id="12">
    <w:p w14:paraId="1B75C136" w14:textId="6CE5FDD4"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Programme 9</w:t>
      </w:r>
    </w:p>
  </w:footnote>
  <w:footnote w:id="13">
    <w:p w14:paraId="0F81E76C" w14:textId="4E47B2A3"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r w:rsidRPr="00553827">
        <w:rPr>
          <w:szCs w:val="18"/>
          <w:shd w:val="clear" w:color="auto" w:fill="FFFFFF"/>
        </w:rPr>
        <w:t>Résumé présenté par le Président (CDIP/20/SUMMARY)</w:t>
      </w:r>
    </w:p>
  </w:footnote>
  <w:footnote w:id="14">
    <w:p w14:paraId="0597D38F" w14:textId="2F9D0463" w:rsidR="00081E58" w:rsidRPr="00553827" w:rsidRDefault="00081E58" w:rsidP="00463AAF">
      <w:pPr>
        <w:pStyle w:val="NoSpacing"/>
        <w:jc w:val="both"/>
        <w:rPr>
          <w:sz w:val="18"/>
          <w:szCs w:val="18"/>
          <w:lang w:val="fr-FR"/>
        </w:rPr>
      </w:pPr>
      <w:r w:rsidRPr="00553827">
        <w:rPr>
          <w:rStyle w:val="FootnoteReference"/>
          <w:rFonts w:cs="Arial"/>
          <w:sz w:val="18"/>
          <w:szCs w:val="18"/>
          <w:lang w:val="fr-FR"/>
        </w:rPr>
        <w:footnoteRef/>
      </w:r>
      <w:r w:rsidRPr="00553827">
        <w:rPr>
          <w:sz w:val="18"/>
          <w:szCs w:val="18"/>
          <w:lang w:val="fr-FR"/>
        </w:rPr>
        <w:t xml:space="preserve"> </w:t>
      </w:r>
      <w:r w:rsidRPr="00553827">
        <w:rPr>
          <w:sz w:val="18"/>
          <w:szCs w:val="18"/>
          <w:lang w:val="fr-FR"/>
        </w:rPr>
        <w:tab/>
        <w:t xml:space="preserve">Résultat escompté V.1 : Utilisation plus large et plus efficace de l’information statistique de l’OMPI en matière de propriété </w:t>
      </w:r>
      <w:proofErr w:type="gramStart"/>
      <w:r w:rsidRPr="00553827">
        <w:rPr>
          <w:sz w:val="18"/>
          <w:szCs w:val="18"/>
          <w:lang w:val="fr-FR"/>
        </w:rPr>
        <w:t>intellectuelle;  résultat</w:t>
      </w:r>
      <w:proofErr w:type="gramEnd"/>
      <w:r w:rsidRPr="00553827">
        <w:rPr>
          <w:sz w:val="18"/>
          <w:szCs w:val="18"/>
          <w:lang w:val="fr-FR"/>
        </w:rPr>
        <w:t xml:space="preserve"> escompté V.2 : Utilisation plus large et plus efficace des analyses économiques de l’OMPI aux fins de l’élaboration des politiques</w:t>
      </w:r>
    </w:p>
  </w:footnote>
  <w:footnote w:id="15">
    <w:p w14:paraId="2C9BC6B4" w14:textId="35BE1665" w:rsidR="00081E58" w:rsidRPr="00553827" w:rsidRDefault="00081E58" w:rsidP="00463AAF">
      <w:pPr>
        <w:pStyle w:val="NoSpacing"/>
        <w:jc w:val="both"/>
        <w:rPr>
          <w:sz w:val="18"/>
          <w:szCs w:val="18"/>
          <w:lang w:val="fr-FR"/>
        </w:rPr>
      </w:pPr>
      <w:r w:rsidRPr="00553827">
        <w:rPr>
          <w:rStyle w:val="FootnoteReference"/>
          <w:rFonts w:cs="Arial"/>
          <w:sz w:val="18"/>
          <w:szCs w:val="18"/>
          <w:lang w:val="fr-FR"/>
        </w:rPr>
        <w:footnoteRef/>
      </w:r>
      <w:r w:rsidRPr="00553827">
        <w:rPr>
          <w:sz w:val="18"/>
          <w:szCs w:val="18"/>
          <w:lang w:val="fr-FR"/>
        </w:rPr>
        <w:t xml:space="preserve"> </w:t>
      </w:r>
      <w:r w:rsidRPr="00553827">
        <w:rPr>
          <w:sz w:val="18"/>
          <w:szCs w:val="18"/>
          <w:lang w:val="fr-FR"/>
        </w:rPr>
        <w:tab/>
        <w:t xml:space="preserve">Recommandation n° 3 : à l’intention du Secrétariat, concernant le fait de renforcer l’application des outils de planification et de suivi : a) Il conviendrait de renforcer le contrôle de la qualité des projets au stade d’élaboration, de manière à assurer la bonne application des outils existants de planification de </w:t>
      </w:r>
      <w:proofErr w:type="gramStart"/>
      <w:r w:rsidRPr="00553827">
        <w:rPr>
          <w:sz w:val="18"/>
          <w:szCs w:val="18"/>
          <w:lang w:val="fr-FR"/>
        </w:rPr>
        <w:t>projet;  b</w:t>
      </w:r>
      <w:proofErr w:type="gramEnd"/>
      <w:r w:rsidRPr="00553827">
        <w:rPr>
          <w:sz w:val="18"/>
          <w:szCs w:val="18"/>
          <w:lang w:val="fr-FR"/>
        </w:rPr>
        <w:t>) Envisager de mettre en place le cadre logique comme base pour la gestion du cycle de projet.</w:t>
      </w:r>
    </w:p>
  </w:footnote>
  <w:footnote w:id="16">
    <w:p w14:paraId="6F22B23E" w14:textId="586DDEA8" w:rsidR="00081E58" w:rsidRPr="00553827" w:rsidRDefault="00081E58" w:rsidP="00463AAF">
      <w:pPr>
        <w:pStyle w:val="NoSpacing"/>
        <w:jc w:val="both"/>
        <w:rPr>
          <w:sz w:val="18"/>
          <w:szCs w:val="18"/>
          <w:lang w:val="fr-FR"/>
        </w:rPr>
      </w:pPr>
      <w:r w:rsidRPr="00553827">
        <w:rPr>
          <w:rStyle w:val="FootnoteReference"/>
          <w:rFonts w:cs="Arial"/>
          <w:sz w:val="18"/>
          <w:szCs w:val="18"/>
          <w:lang w:val="fr-FR"/>
        </w:rPr>
        <w:footnoteRef/>
      </w:r>
      <w:r w:rsidRPr="00553827">
        <w:rPr>
          <w:sz w:val="18"/>
          <w:szCs w:val="18"/>
          <w:lang w:val="fr-FR"/>
        </w:rPr>
        <w:t xml:space="preserve"> </w:t>
      </w:r>
      <w:r w:rsidRPr="00553827">
        <w:rPr>
          <w:sz w:val="18"/>
          <w:szCs w:val="18"/>
          <w:lang w:val="fr-FR"/>
        </w:rPr>
        <w:tab/>
        <w:t>Documents </w:t>
      </w:r>
      <w:r w:rsidRPr="00553827">
        <w:rPr>
          <w:caps/>
          <w:sz w:val="18"/>
          <w:szCs w:val="18"/>
          <w:lang w:val="fr-FR"/>
        </w:rPr>
        <w:t xml:space="preserve">CDIP/16/2, CDIP/18/2 </w:t>
      </w:r>
      <w:r w:rsidRPr="00553827">
        <w:rPr>
          <w:sz w:val="18"/>
          <w:szCs w:val="18"/>
          <w:lang w:val="fr-FR"/>
        </w:rPr>
        <w:t>et</w:t>
      </w:r>
      <w:r w:rsidRPr="00553827">
        <w:rPr>
          <w:caps/>
          <w:sz w:val="18"/>
          <w:szCs w:val="18"/>
          <w:lang w:val="fr-FR"/>
        </w:rPr>
        <w:t xml:space="preserve"> CDIP/20/2</w:t>
      </w:r>
    </w:p>
  </w:footnote>
  <w:footnote w:id="17">
    <w:p w14:paraId="3582AC7C" w14:textId="0A03B531"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proofErr w:type="gramStart"/>
      <w:r w:rsidRPr="00553827">
        <w:rPr>
          <w:szCs w:val="18"/>
        </w:rPr>
        <w:t>tenue</w:t>
      </w:r>
      <w:proofErr w:type="gramEnd"/>
      <w:r w:rsidRPr="00553827">
        <w:rPr>
          <w:szCs w:val="18"/>
        </w:rPr>
        <w:t xml:space="preserve"> du 27 novembre au 1</w:t>
      </w:r>
      <w:r w:rsidRPr="00553827">
        <w:rPr>
          <w:szCs w:val="18"/>
          <w:vertAlign w:val="superscript"/>
        </w:rPr>
        <w:t>er</w:t>
      </w:r>
      <w:r w:rsidRPr="00553827">
        <w:rPr>
          <w:szCs w:val="18"/>
        </w:rPr>
        <w:t> décembre 2017.</w:t>
      </w:r>
    </w:p>
  </w:footnote>
  <w:footnote w:id="18">
    <w:p w14:paraId="711FE1E4" w14:textId="64C30761"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hyperlink r:id="rId1" w:history="1">
        <w:r w:rsidRPr="00553827">
          <w:rPr>
            <w:rStyle w:val="Hyperlink"/>
            <w:color w:val="auto"/>
            <w:szCs w:val="18"/>
          </w:rPr>
          <w:t>http://www.wipo.int/edocs/pubdocs/en/wipo_pub_econstat_wp_42.pdf</w:t>
        </w:r>
      </w:hyperlink>
      <w:r w:rsidRPr="00553827">
        <w:rPr>
          <w:szCs w:val="18"/>
        </w:rPr>
        <w:t xml:space="preserve"> (en anglais uniquement)</w:t>
      </w:r>
    </w:p>
  </w:footnote>
  <w:footnote w:id="19">
    <w:p w14:paraId="080BF4D5" w14:textId="4B4ACA54" w:rsidR="00081E58" w:rsidRPr="00A559A8"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r w:rsidRPr="00A559A8">
        <w:rPr>
          <w:szCs w:val="18"/>
        </w:rPr>
        <w:t>Le </w:t>
      </w:r>
      <w:r w:rsidRPr="00A559A8">
        <w:rPr>
          <w:szCs w:val="18"/>
          <w:shd w:val="clear" w:color="auto" w:fill="FFFFFF"/>
        </w:rPr>
        <w:t>PROSUR est un programme financé par la Banque interaméricaine de développement (BID) qui vise à promouvoir l’échange d’informations entre les offices sud</w:t>
      </w:r>
      <w:r w:rsidRPr="00A559A8">
        <w:rPr>
          <w:szCs w:val="18"/>
          <w:shd w:val="clear" w:color="auto" w:fill="FFFFFF"/>
        </w:rPr>
        <w:noBreakHyphen/>
        <w:t>américains de propriété industrielle, afin de leur permettre de gérer plus efficacement leurs procédures.</w:t>
      </w:r>
    </w:p>
  </w:footnote>
  <w:footnote w:id="20">
    <w:p w14:paraId="4DBC4B19" w14:textId="28FEF2CD"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hyperlink r:id="rId2" w:history="1">
        <w:r w:rsidRPr="00553827">
          <w:rPr>
            <w:rStyle w:val="Hyperlink"/>
            <w:color w:val="auto"/>
            <w:szCs w:val="18"/>
          </w:rPr>
          <w:t>http://www.wipo.int/econ_stat/fr/economics/studies/index.html</w:t>
        </w:r>
      </w:hyperlink>
      <w:r w:rsidRPr="00553827">
        <w:rPr>
          <w:szCs w:val="18"/>
        </w:rPr>
        <w:t xml:space="preserve"> </w:t>
      </w:r>
    </w:p>
  </w:footnote>
  <w:footnote w:id="21">
    <w:p w14:paraId="4B99CF01" w14:textId="57B55ECA"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hyperlink r:id="rId3" w:history="1">
        <w:r w:rsidRPr="00553827">
          <w:rPr>
            <w:rStyle w:val="Hyperlink"/>
            <w:color w:val="auto"/>
            <w:szCs w:val="18"/>
          </w:rPr>
          <w:t>http://www.wipo.int/meetings/fr/index.jsp</w:t>
        </w:r>
      </w:hyperlink>
      <w:r w:rsidRPr="00553827">
        <w:rPr>
          <w:szCs w:val="18"/>
        </w:rPr>
        <w:t xml:space="preserve"> </w:t>
      </w:r>
    </w:p>
  </w:footnote>
  <w:footnote w:id="22">
    <w:p w14:paraId="3861182F" w14:textId="64024DB0" w:rsidR="00081E58" w:rsidRPr="003F35F9" w:rsidRDefault="00081E58" w:rsidP="003F35F9">
      <w:pPr>
        <w:jc w:val="both"/>
        <w:rPr>
          <w:iCs/>
          <w:sz w:val="18"/>
          <w:szCs w:val="18"/>
        </w:rPr>
      </w:pPr>
      <w:r w:rsidRPr="00553827">
        <w:rPr>
          <w:rStyle w:val="FootnoteReference"/>
          <w:rFonts w:cs="Arial"/>
          <w:sz w:val="18"/>
          <w:szCs w:val="18"/>
        </w:rPr>
        <w:footnoteRef/>
      </w:r>
      <w:r w:rsidRPr="00553827">
        <w:rPr>
          <w:sz w:val="18"/>
          <w:szCs w:val="18"/>
        </w:rPr>
        <w:t xml:space="preserve"> </w:t>
      </w:r>
      <w:r w:rsidRPr="00553827">
        <w:rPr>
          <w:sz w:val="18"/>
          <w:szCs w:val="18"/>
        </w:rPr>
        <w:tab/>
      </w:r>
      <w:hyperlink r:id="rId4" w:history="1">
        <w:r w:rsidRPr="00553827">
          <w:rPr>
            <w:rStyle w:val="Hyperlink"/>
            <w:iCs/>
            <w:color w:val="auto"/>
            <w:sz w:val="18"/>
            <w:szCs w:val="18"/>
          </w:rPr>
          <w:t>http://www.wipo.int/publications/fr/details.jsp?id=4320</w:t>
        </w:r>
      </w:hyperlink>
      <w:r w:rsidRPr="00553827">
        <w:rPr>
          <w:iCs/>
          <w:sz w:val="18"/>
          <w:szCs w:val="18"/>
        </w:rPr>
        <w:t xml:space="preserve"> </w:t>
      </w:r>
    </w:p>
  </w:footnote>
  <w:footnote w:id="23">
    <w:p w14:paraId="1DFA58B0" w14:textId="047E6B2C"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Voir CDIP/14/3, Annexe, paragraphe 78 (en anglais uniquement)</w:t>
      </w:r>
    </w:p>
  </w:footnote>
  <w:footnote w:id="24">
    <w:p w14:paraId="28290EA3" w14:textId="00E2272B" w:rsidR="00081E58" w:rsidRPr="00553827" w:rsidRDefault="00081E58"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proofErr w:type="spellStart"/>
      <w:r w:rsidRPr="00553827">
        <w:rPr>
          <w:szCs w:val="18"/>
        </w:rPr>
        <w:t>Ditto</w:t>
      </w:r>
      <w:proofErr w:type="spellEnd"/>
      <w:r w:rsidRPr="00553827">
        <w:rPr>
          <w:szCs w:val="18"/>
        </w:rPr>
        <w:t>, paragraphe 79.</w:t>
      </w:r>
    </w:p>
  </w:footnote>
  <w:footnote w:id="25">
    <w:p w14:paraId="4144A2F1" w14:textId="56E5489A" w:rsidR="00081E58" w:rsidRPr="00605E80" w:rsidRDefault="00081E58">
      <w:pPr>
        <w:pStyle w:val="FootnoteText"/>
        <w:rPr>
          <w:lang w:val="fr-CH"/>
        </w:rPr>
      </w:pPr>
      <w:r>
        <w:rPr>
          <w:rStyle w:val="FootnoteReference"/>
        </w:rPr>
        <w:footnoteRef/>
      </w:r>
      <w:r>
        <w:tab/>
        <w:t>Aux fins de l’évaluation, l’évaluateur a eu accès à des documents internes et non officiels, y compris à des projets de rapports et des rapports de mission qui ne figurent pas dans cette liste.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0C09" w14:textId="77777777" w:rsidR="00081E58" w:rsidRDefault="00081E58" w:rsidP="00C34E43">
    <w:pPr>
      <w:pStyle w:val="Header"/>
      <w:pBdr>
        <w:bottom w:val="single" w:sz="4" w:space="1" w:color="auto"/>
      </w:pBdr>
    </w:pPr>
  </w:p>
  <w:p w14:paraId="46CE9600" w14:textId="45961F03" w:rsidR="00081E58" w:rsidRDefault="00081E58" w:rsidP="00C34E43">
    <w:pPr>
      <w:pStyle w:val="Header"/>
      <w:pBdr>
        <w:bottom w:val="single" w:sz="4" w:space="1" w:color="auto"/>
      </w:pBdr>
    </w:pPr>
    <w:r>
      <w:tab/>
    </w:r>
    <w:r>
      <w:tab/>
    </w:r>
    <w:r>
      <w:fldChar w:fldCharType="begin"/>
    </w:r>
    <w:r>
      <w:instrText xml:space="preserve"> PAGE </w:instrText>
    </w:r>
    <w:r>
      <w:fldChar w:fldCharType="separate"/>
    </w:r>
    <w:r w:rsidR="00EC0225">
      <w:rPr>
        <w:noProof/>
      </w:rPr>
      <w:t>23</w:t>
    </w:r>
    <w:r>
      <w:fldChar w:fldCharType="end"/>
    </w:r>
    <w:r>
      <w:t>.</w:t>
    </w:r>
    <w:r w:rsidRPr="00D342F9">
      <w:tab/>
    </w:r>
  </w:p>
  <w:p w14:paraId="7E5D6AF1" w14:textId="77777777" w:rsidR="00081E58" w:rsidRPr="00DD4C78" w:rsidRDefault="00081E58" w:rsidP="00DD4C78">
    <w:pPr>
      <w:pStyle w:val="Header"/>
      <w:jc w:val="right"/>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C660" w14:textId="5064BD01" w:rsidR="00081E58" w:rsidRDefault="00081E58" w:rsidP="005779C5">
    <w:pPr>
      <w:pStyle w:val="Header"/>
      <w:jc w:val="right"/>
    </w:pPr>
    <w:r>
      <w:t xml:space="preserve">CDIP/22/9 </w:t>
    </w:r>
    <w:proofErr w:type="spellStart"/>
    <w:r>
      <w:t>Rev</w:t>
    </w:r>
    <w:proofErr w:type="spellEnd"/>
    <w:r>
      <w:t>.</w:t>
    </w:r>
  </w:p>
  <w:p w14:paraId="0221300A" w14:textId="218F163D" w:rsidR="00081E58" w:rsidRDefault="00081E58" w:rsidP="005779C5">
    <w:pPr>
      <w:pStyle w:val="Header"/>
      <w:jc w:val="right"/>
    </w:pPr>
    <w:r>
      <w:t>APPENDICE IV</w:t>
    </w:r>
  </w:p>
  <w:p w14:paraId="4E3C96F8" w14:textId="77777777" w:rsidR="00081E58" w:rsidRDefault="00081E58">
    <w:pPr>
      <w:pStyle w:val="Header"/>
    </w:pPr>
  </w:p>
  <w:p w14:paraId="05788FCD" w14:textId="77777777" w:rsidR="00081E58" w:rsidRDefault="00081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6FE9" w14:textId="31B6E5BA" w:rsidR="00081E58" w:rsidRPr="009D5D79" w:rsidRDefault="00081E58" w:rsidP="005779C5">
    <w:pPr>
      <w:pStyle w:val="Header"/>
      <w:jc w:val="right"/>
    </w:pPr>
    <w:r w:rsidRPr="009D5D79">
      <w:t>CDIP/22/9</w:t>
    </w:r>
    <w:r>
      <w:t> </w:t>
    </w:r>
    <w:proofErr w:type="spellStart"/>
    <w:r>
      <w:t>Rev</w:t>
    </w:r>
    <w:proofErr w:type="spellEnd"/>
    <w:r w:rsidR="004D4F7B">
      <w:t>.</w:t>
    </w:r>
  </w:p>
  <w:p w14:paraId="7AC303A0" w14:textId="71BF4302" w:rsidR="00081E58" w:rsidRPr="009D5D79" w:rsidRDefault="00081E58" w:rsidP="00802701">
    <w:pPr>
      <w:pStyle w:val="Header"/>
      <w:jc w:val="right"/>
    </w:pPr>
    <w:r w:rsidRPr="009D5D79">
      <w:t xml:space="preserve">Annexe, page </w:t>
    </w:r>
    <w:r w:rsidRPr="009D5D79">
      <w:fldChar w:fldCharType="begin"/>
    </w:r>
    <w:r w:rsidRPr="009D5D79">
      <w:instrText xml:space="preserve"> PAGE </w:instrText>
    </w:r>
    <w:r w:rsidRPr="009D5D79">
      <w:fldChar w:fldCharType="separate"/>
    </w:r>
    <w:r w:rsidR="00EC0225">
      <w:rPr>
        <w:noProof/>
      </w:rPr>
      <w:t>24</w:t>
    </w:r>
    <w:r w:rsidRPr="009D5D79">
      <w:fldChar w:fldCharType="end"/>
    </w:r>
  </w:p>
  <w:p w14:paraId="266F03FE" w14:textId="77777777" w:rsidR="00081E58" w:rsidRPr="00DD4C78" w:rsidRDefault="00081E58"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F6A" w14:textId="4F46D4F1" w:rsidR="00081E58" w:rsidRDefault="00081E58" w:rsidP="00FA4E19">
    <w:pPr>
      <w:pStyle w:val="Header"/>
      <w:jc w:val="right"/>
    </w:pPr>
    <w:r>
      <w:t>CDIP/22/9 </w:t>
    </w:r>
    <w:proofErr w:type="spellStart"/>
    <w:r>
      <w:t>Rev</w:t>
    </w:r>
    <w:proofErr w:type="spellEnd"/>
  </w:p>
  <w:p w14:paraId="58F41BEC" w14:textId="5BE59B26" w:rsidR="00081E58" w:rsidRDefault="00081E58" w:rsidP="00FA4E19">
    <w:pPr>
      <w:pStyle w:val="Header"/>
      <w:jc w:val="right"/>
    </w:pPr>
    <w:r>
      <w:t>ANNEXE</w:t>
    </w:r>
  </w:p>
  <w:p w14:paraId="594EFCBA" w14:textId="77777777" w:rsidR="00081E58" w:rsidRDefault="00081E58" w:rsidP="00FA4E19">
    <w:pPr>
      <w:pStyle w:val="Header"/>
    </w:pPr>
  </w:p>
  <w:p w14:paraId="79B244B0" w14:textId="77777777" w:rsidR="00081E58" w:rsidRPr="00FA4E19" w:rsidRDefault="00081E58" w:rsidP="00FA4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F989" w14:textId="77777777" w:rsidR="00081E58" w:rsidRDefault="00081E58" w:rsidP="005779C5">
    <w:pPr>
      <w:pStyle w:val="Header"/>
      <w:jc w:val="right"/>
    </w:pPr>
    <w:r>
      <w:t>CDIP/19/4</w:t>
    </w:r>
  </w:p>
  <w:p w14:paraId="68DED45C" w14:textId="17551BFA" w:rsidR="00081E58" w:rsidRDefault="00081E58" w:rsidP="005D1626">
    <w:pPr>
      <w:pStyle w:val="Header"/>
      <w:jc w:val="right"/>
    </w:pPr>
    <w:r>
      <w:tab/>
    </w:r>
    <w:r>
      <w:tab/>
      <w:t>APPENDIX I</w:t>
    </w:r>
  </w:p>
  <w:p w14:paraId="4785B439" w14:textId="77777777" w:rsidR="00081E58" w:rsidRPr="00DD4C78" w:rsidRDefault="00081E58" w:rsidP="00DD4C78">
    <w:pPr>
      <w:pStyle w:val="Header"/>
      <w:jc w:val="right"/>
      <w:rPr>
        <w:lang w:val="fr-CH"/>
      </w:rPr>
    </w:pPr>
  </w:p>
  <w:p w14:paraId="19A63628" w14:textId="77777777" w:rsidR="00081E58" w:rsidRDefault="00081E58"/>
  <w:p w14:paraId="260353A7" w14:textId="77777777" w:rsidR="00081E58" w:rsidRDefault="00081E5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120F" w14:textId="682E6D29" w:rsidR="00081E58" w:rsidRDefault="00081E58" w:rsidP="00106214">
    <w:pPr>
      <w:pStyle w:val="Header"/>
      <w:jc w:val="right"/>
    </w:pPr>
    <w:r>
      <w:t>CDIP/22/9</w:t>
    </w:r>
    <w:r w:rsidR="00767561">
      <w:t xml:space="preserve"> </w:t>
    </w:r>
    <w:proofErr w:type="spellStart"/>
    <w:r w:rsidR="00767561">
      <w:t>Rev</w:t>
    </w:r>
    <w:proofErr w:type="spellEnd"/>
    <w:r w:rsidR="00767561">
      <w:t>.</w:t>
    </w:r>
  </w:p>
  <w:p w14:paraId="21A19F3A" w14:textId="76231329" w:rsidR="00081E58" w:rsidRDefault="00081E58" w:rsidP="00106214">
    <w:pPr>
      <w:pStyle w:val="Header"/>
      <w:jc w:val="right"/>
    </w:pPr>
    <w:r>
      <w:t>APPENDICE I</w:t>
    </w:r>
  </w:p>
  <w:p w14:paraId="50664165" w14:textId="77777777" w:rsidR="00081E58" w:rsidRDefault="00081E58">
    <w:pPr>
      <w:pStyle w:val="Header"/>
    </w:pPr>
  </w:p>
  <w:p w14:paraId="50BF5D93" w14:textId="56794ECD" w:rsidR="00081E58" w:rsidRDefault="00081E5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B17C" w14:textId="10352CC9" w:rsidR="00081E58" w:rsidRDefault="00081E58" w:rsidP="005779C5">
    <w:pPr>
      <w:pStyle w:val="Header"/>
      <w:jc w:val="right"/>
    </w:pPr>
    <w:r>
      <w:t>CDIP/22/9</w:t>
    </w:r>
    <w:r w:rsidR="00767561">
      <w:t xml:space="preserve"> </w:t>
    </w:r>
    <w:proofErr w:type="spellStart"/>
    <w:r w:rsidR="00767561">
      <w:t>Rev</w:t>
    </w:r>
    <w:proofErr w:type="spellEnd"/>
    <w:r w:rsidR="00767561">
      <w:t>.</w:t>
    </w:r>
  </w:p>
  <w:p w14:paraId="0ECBB765" w14:textId="18242A23" w:rsidR="00081E58" w:rsidRDefault="00081E58" w:rsidP="005D1626">
    <w:pPr>
      <w:pStyle w:val="Header"/>
      <w:jc w:val="right"/>
    </w:pPr>
    <w:r>
      <w:tab/>
    </w:r>
    <w:r>
      <w:tab/>
    </w:r>
    <w:r w:rsidRPr="00643AB5">
      <w:t>Appendice</w:t>
    </w:r>
    <w:r>
      <w:t xml:space="preserve"> II, page </w:t>
    </w:r>
    <w:r>
      <w:fldChar w:fldCharType="begin"/>
    </w:r>
    <w:r>
      <w:instrText xml:space="preserve"> PAGE   \* MERGEFORMAT </w:instrText>
    </w:r>
    <w:r>
      <w:fldChar w:fldCharType="separate"/>
    </w:r>
    <w:r w:rsidR="00EC0225">
      <w:rPr>
        <w:noProof/>
      </w:rPr>
      <w:t>4</w:t>
    </w:r>
    <w:r>
      <w:rPr>
        <w:noProof/>
      </w:rPr>
      <w:fldChar w:fldCharType="end"/>
    </w:r>
  </w:p>
  <w:p w14:paraId="38474CE6" w14:textId="77777777" w:rsidR="00081E58" w:rsidRPr="00DD4C78" w:rsidRDefault="00081E58" w:rsidP="00DD4C78">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6F8D" w14:textId="03B80DC8" w:rsidR="00081E58" w:rsidRDefault="00081E58" w:rsidP="005779C5">
    <w:pPr>
      <w:pStyle w:val="Header"/>
      <w:jc w:val="right"/>
    </w:pPr>
    <w:r>
      <w:t>CDIP/22/9</w:t>
    </w:r>
    <w:r w:rsidR="00767561">
      <w:t xml:space="preserve"> </w:t>
    </w:r>
    <w:proofErr w:type="spellStart"/>
    <w:r w:rsidR="00767561">
      <w:t>Rev</w:t>
    </w:r>
    <w:proofErr w:type="spellEnd"/>
    <w:r w:rsidR="00767561">
      <w:t xml:space="preserve">. </w:t>
    </w:r>
  </w:p>
  <w:p w14:paraId="651D42E5" w14:textId="5C3F373E" w:rsidR="00081E58" w:rsidRDefault="00081E58" w:rsidP="005779C5">
    <w:pPr>
      <w:pStyle w:val="Header"/>
      <w:jc w:val="right"/>
    </w:pPr>
    <w:r>
      <w:t>APPENDICE II, page 2</w:t>
    </w:r>
  </w:p>
  <w:p w14:paraId="2E9C40C1" w14:textId="77777777" w:rsidR="00081E58" w:rsidRDefault="00081E58">
    <w:pPr>
      <w:pStyle w:val="Header"/>
    </w:pPr>
  </w:p>
  <w:p w14:paraId="3B6D05BA" w14:textId="77777777" w:rsidR="00081E58" w:rsidRDefault="00081E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1968" w14:textId="4BDDDF4D" w:rsidR="00081E58" w:rsidRDefault="00081E58" w:rsidP="005779C5">
    <w:pPr>
      <w:pStyle w:val="Header"/>
      <w:jc w:val="right"/>
    </w:pPr>
    <w:r>
      <w:t>CDIP/22/9</w:t>
    </w:r>
    <w:r w:rsidR="004D4F7B">
      <w:t xml:space="preserve"> </w:t>
    </w:r>
    <w:proofErr w:type="spellStart"/>
    <w:r w:rsidR="004D4F7B">
      <w:t>Rev</w:t>
    </w:r>
    <w:proofErr w:type="spellEnd"/>
    <w:r w:rsidR="004D4F7B">
      <w:t>.</w:t>
    </w:r>
  </w:p>
  <w:p w14:paraId="7C7F87FD" w14:textId="74D8AD9D" w:rsidR="00081E58" w:rsidRDefault="00081E58" w:rsidP="005779C5">
    <w:pPr>
      <w:pStyle w:val="Header"/>
      <w:jc w:val="right"/>
    </w:pPr>
    <w:r>
      <w:t>APPENDICE III</w:t>
    </w:r>
  </w:p>
  <w:p w14:paraId="4390F39D" w14:textId="77777777" w:rsidR="00081E58" w:rsidRDefault="00081E58">
    <w:pPr>
      <w:pStyle w:val="Header"/>
    </w:pPr>
  </w:p>
  <w:p w14:paraId="2ADEADDF" w14:textId="77777777" w:rsidR="00081E58" w:rsidRDefault="00081E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4084" w14:textId="1090C8EB" w:rsidR="00081E58" w:rsidRDefault="00081E58" w:rsidP="005779C5">
    <w:pPr>
      <w:pStyle w:val="Header"/>
      <w:jc w:val="right"/>
    </w:pPr>
    <w:r>
      <w:t>CDIP/22/9</w:t>
    </w:r>
  </w:p>
  <w:p w14:paraId="4640169E" w14:textId="7B2CE6D0" w:rsidR="00081E58" w:rsidRDefault="00081E58" w:rsidP="005D1626">
    <w:pPr>
      <w:pStyle w:val="Header"/>
      <w:jc w:val="right"/>
    </w:pPr>
    <w:r>
      <w:tab/>
    </w:r>
    <w:r>
      <w:tab/>
      <w:t xml:space="preserve">Annexe IV, page </w:t>
    </w:r>
    <w:r>
      <w:fldChar w:fldCharType="begin"/>
    </w:r>
    <w:r>
      <w:instrText xml:space="preserve"> PAGE   \* MERGEFORMAT </w:instrText>
    </w:r>
    <w:r>
      <w:fldChar w:fldCharType="separate"/>
    </w:r>
    <w:r w:rsidR="00EC0225">
      <w:rPr>
        <w:noProof/>
      </w:rPr>
      <w:t>23</w:t>
    </w:r>
    <w:r>
      <w:rPr>
        <w:noProof/>
      </w:rPr>
      <w:fldChar w:fldCharType="end"/>
    </w:r>
  </w:p>
  <w:p w14:paraId="23B07F3F" w14:textId="77777777" w:rsidR="00081E58" w:rsidRPr="00DD4C78" w:rsidRDefault="00081E58" w:rsidP="00DD4C7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94D44A"/>
    <w:lvl w:ilvl="0">
      <w:start w:val="1"/>
      <w:numFmt w:val="decimal"/>
      <w:lvlText w:val="%1."/>
      <w:lvlJc w:val="left"/>
      <w:pPr>
        <w:tabs>
          <w:tab w:val="num" w:pos="360"/>
        </w:tabs>
        <w:ind w:left="360" w:hanging="360"/>
      </w:pPr>
    </w:lvl>
  </w:abstractNum>
  <w:abstractNum w:abstractNumId="1" w15:restartNumberingAfterBreak="0">
    <w:nsid w:val="042076BE"/>
    <w:multiLevelType w:val="hybridMultilevel"/>
    <w:tmpl w:val="600AE63E"/>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534584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B1E11"/>
    <w:multiLevelType w:val="hybridMultilevel"/>
    <w:tmpl w:val="9D009E8C"/>
    <w:lvl w:ilvl="0" w:tplc="9B6AC74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3"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8083E"/>
    <w:multiLevelType w:val="multilevel"/>
    <w:tmpl w:val="1A00CF32"/>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51A73"/>
    <w:multiLevelType w:val="hybridMultilevel"/>
    <w:tmpl w:val="C054D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B6C3D"/>
    <w:multiLevelType w:val="hybridMultilevel"/>
    <w:tmpl w:val="80AE2FD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DF305A"/>
    <w:multiLevelType w:val="hybridMultilevel"/>
    <w:tmpl w:val="61686DB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83175A"/>
    <w:multiLevelType w:val="hybridMultilevel"/>
    <w:tmpl w:val="0A9C6286"/>
    <w:lvl w:ilvl="0" w:tplc="6C709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0" w15:restartNumberingAfterBreak="0">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70DF5EE3"/>
    <w:multiLevelType w:val="hybridMultilevel"/>
    <w:tmpl w:val="F1E20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EA74FD"/>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4" w15:restartNumberingAfterBreak="0">
    <w:nsid w:val="75A6322D"/>
    <w:multiLevelType w:val="hybridMultilevel"/>
    <w:tmpl w:val="2642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23D2C"/>
    <w:multiLevelType w:val="hybridMultilevel"/>
    <w:tmpl w:val="FD62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18"/>
  </w:num>
  <w:num w:numId="4">
    <w:abstractNumId w:val="35"/>
  </w:num>
  <w:num w:numId="5">
    <w:abstractNumId w:val="5"/>
  </w:num>
  <w:num w:numId="6">
    <w:abstractNumId w:val="17"/>
  </w:num>
  <w:num w:numId="7">
    <w:abstractNumId w:val="19"/>
  </w:num>
  <w:num w:numId="8">
    <w:abstractNumId w:val="7"/>
  </w:num>
  <w:num w:numId="9">
    <w:abstractNumId w:val="24"/>
  </w:num>
  <w:num w:numId="10">
    <w:abstractNumId w:val="15"/>
  </w:num>
  <w:num w:numId="11">
    <w:abstractNumId w:val="8"/>
  </w:num>
  <w:num w:numId="12">
    <w:abstractNumId w:val="31"/>
  </w:num>
  <w:num w:numId="13">
    <w:abstractNumId w:val="1"/>
  </w:num>
  <w:num w:numId="14">
    <w:abstractNumId w:val="16"/>
  </w:num>
  <w:num w:numId="15">
    <w:abstractNumId w:val="28"/>
  </w:num>
  <w:num w:numId="16">
    <w:abstractNumId w:val="30"/>
  </w:num>
  <w:num w:numId="17">
    <w:abstractNumId w:val="27"/>
  </w:num>
  <w:num w:numId="18">
    <w:abstractNumId w:val="33"/>
  </w:num>
  <w:num w:numId="19">
    <w:abstractNumId w:val="12"/>
  </w:num>
  <w:num w:numId="20">
    <w:abstractNumId w:val="4"/>
  </w:num>
  <w:num w:numId="21">
    <w:abstractNumId w:val="6"/>
  </w:num>
  <w:num w:numId="22">
    <w:abstractNumId w:val="14"/>
  </w:num>
  <w:num w:numId="23">
    <w:abstractNumId w:val="29"/>
  </w:num>
  <w:num w:numId="24">
    <w:abstractNumId w:val="13"/>
  </w:num>
  <w:num w:numId="25">
    <w:abstractNumId w:val="29"/>
    <w:lvlOverride w:ilvl="0">
      <w:startOverride w:val="1"/>
    </w:lvlOverride>
  </w:num>
  <w:num w:numId="26">
    <w:abstractNumId w:val="20"/>
  </w:num>
  <w:num w:numId="27">
    <w:abstractNumId w:val="36"/>
  </w:num>
  <w:num w:numId="28">
    <w:abstractNumId w:val="37"/>
  </w:num>
  <w:num w:numId="29">
    <w:abstractNumId w:val="9"/>
  </w:num>
  <w:num w:numId="30">
    <w:abstractNumId w:val="23"/>
  </w:num>
  <w:num w:numId="31">
    <w:abstractNumId w:val="26"/>
  </w:num>
  <w:num w:numId="32">
    <w:abstractNumId w:val="2"/>
  </w:num>
  <w:num w:numId="33">
    <w:abstractNumId w:val="10"/>
  </w:num>
  <w:num w:numId="34">
    <w:abstractNumId w:val="0"/>
  </w:num>
  <w:num w:numId="35">
    <w:abstractNumId w:val="22"/>
  </w:num>
  <w:num w:numId="36">
    <w:abstractNumId w:val="25"/>
  </w:num>
  <w:num w:numId="37">
    <w:abstractNumId w:val="11"/>
  </w:num>
  <w:num w:numId="38">
    <w:abstractNumId w:val="3"/>
  </w:num>
  <w:num w:numId="39">
    <w:abstractNumId w:val="3"/>
  </w:num>
  <w:num w:numId="40">
    <w:abstractNumId w:val="3"/>
  </w:num>
  <w:num w:numId="41">
    <w:abstractNumId w:val="34"/>
  </w:num>
  <w:num w:numId="42">
    <w:abstractNumId w:val="21"/>
  </w:num>
  <w:num w:numId="43">
    <w:abstractNumId w:val="38"/>
  </w:num>
  <w:num w:numId="44">
    <w:abstractNumId w:val="23"/>
  </w:num>
  <w:num w:numId="45">
    <w:abstractNumId w:val="32"/>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3"/>
    <w:rsid w:val="00000220"/>
    <w:rsid w:val="000022DD"/>
    <w:rsid w:val="000026DD"/>
    <w:rsid w:val="00005389"/>
    <w:rsid w:val="0000550E"/>
    <w:rsid w:val="00006719"/>
    <w:rsid w:val="00006864"/>
    <w:rsid w:val="00007C67"/>
    <w:rsid w:val="000114E6"/>
    <w:rsid w:val="00012469"/>
    <w:rsid w:val="00012EB3"/>
    <w:rsid w:val="000133E8"/>
    <w:rsid w:val="00013F3F"/>
    <w:rsid w:val="00013FA1"/>
    <w:rsid w:val="00014E10"/>
    <w:rsid w:val="00015159"/>
    <w:rsid w:val="00015CB8"/>
    <w:rsid w:val="000164B5"/>
    <w:rsid w:val="00016B54"/>
    <w:rsid w:val="00016F85"/>
    <w:rsid w:val="0001739F"/>
    <w:rsid w:val="00017F53"/>
    <w:rsid w:val="0002045F"/>
    <w:rsid w:val="000206C8"/>
    <w:rsid w:val="00022DDB"/>
    <w:rsid w:val="00023EC4"/>
    <w:rsid w:val="00024ECF"/>
    <w:rsid w:val="00026082"/>
    <w:rsid w:val="000260CE"/>
    <w:rsid w:val="00026E46"/>
    <w:rsid w:val="0003099B"/>
    <w:rsid w:val="0003126F"/>
    <w:rsid w:val="00033233"/>
    <w:rsid w:val="00033BBE"/>
    <w:rsid w:val="0003424E"/>
    <w:rsid w:val="000350E6"/>
    <w:rsid w:val="00035AD0"/>
    <w:rsid w:val="00036997"/>
    <w:rsid w:val="0003724E"/>
    <w:rsid w:val="00037369"/>
    <w:rsid w:val="00037B74"/>
    <w:rsid w:val="00040638"/>
    <w:rsid w:val="00040CC3"/>
    <w:rsid w:val="00040EB8"/>
    <w:rsid w:val="00041460"/>
    <w:rsid w:val="00043A2D"/>
    <w:rsid w:val="00044185"/>
    <w:rsid w:val="00044265"/>
    <w:rsid w:val="0004438E"/>
    <w:rsid w:val="0004647F"/>
    <w:rsid w:val="00046D95"/>
    <w:rsid w:val="000513D6"/>
    <w:rsid w:val="00051B64"/>
    <w:rsid w:val="00051FA6"/>
    <w:rsid w:val="000540B8"/>
    <w:rsid w:val="0006010A"/>
    <w:rsid w:val="000602A6"/>
    <w:rsid w:val="00060447"/>
    <w:rsid w:val="0006160C"/>
    <w:rsid w:val="000619A4"/>
    <w:rsid w:val="00063BEA"/>
    <w:rsid w:val="00064757"/>
    <w:rsid w:val="000648A3"/>
    <w:rsid w:val="00064EF6"/>
    <w:rsid w:val="0006594B"/>
    <w:rsid w:val="000668AF"/>
    <w:rsid w:val="00066F76"/>
    <w:rsid w:val="00070B7E"/>
    <w:rsid w:val="00070D68"/>
    <w:rsid w:val="0007193E"/>
    <w:rsid w:val="00072EBF"/>
    <w:rsid w:val="0007381E"/>
    <w:rsid w:val="0007529F"/>
    <w:rsid w:val="000755B6"/>
    <w:rsid w:val="00076D54"/>
    <w:rsid w:val="00077F78"/>
    <w:rsid w:val="00081E58"/>
    <w:rsid w:val="00081E81"/>
    <w:rsid w:val="0008204C"/>
    <w:rsid w:val="00082393"/>
    <w:rsid w:val="00082935"/>
    <w:rsid w:val="000838C0"/>
    <w:rsid w:val="0008428F"/>
    <w:rsid w:val="000851FA"/>
    <w:rsid w:val="00085BCB"/>
    <w:rsid w:val="0008728A"/>
    <w:rsid w:val="00087A20"/>
    <w:rsid w:val="00087D7A"/>
    <w:rsid w:val="000909F7"/>
    <w:rsid w:val="000910FD"/>
    <w:rsid w:val="00091CE3"/>
    <w:rsid w:val="00092627"/>
    <w:rsid w:val="00092FBF"/>
    <w:rsid w:val="00093007"/>
    <w:rsid w:val="00094E23"/>
    <w:rsid w:val="000950CC"/>
    <w:rsid w:val="0009552D"/>
    <w:rsid w:val="00096091"/>
    <w:rsid w:val="0009620A"/>
    <w:rsid w:val="000968B3"/>
    <w:rsid w:val="00096EA4"/>
    <w:rsid w:val="0009717C"/>
    <w:rsid w:val="00097A78"/>
    <w:rsid w:val="00097FB1"/>
    <w:rsid w:val="000A0217"/>
    <w:rsid w:val="000A04F9"/>
    <w:rsid w:val="000A08DD"/>
    <w:rsid w:val="000A18AF"/>
    <w:rsid w:val="000A18C3"/>
    <w:rsid w:val="000A1D5F"/>
    <w:rsid w:val="000A227C"/>
    <w:rsid w:val="000A2370"/>
    <w:rsid w:val="000A28E2"/>
    <w:rsid w:val="000A30A8"/>
    <w:rsid w:val="000A3DEB"/>
    <w:rsid w:val="000A3F75"/>
    <w:rsid w:val="000A4A4F"/>
    <w:rsid w:val="000A4AF0"/>
    <w:rsid w:val="000A5390"/>
    <w:rsid w:val="000A5966"/>
    <w:rsid w:val="000A5AEE"/>
    <w:rsid w:val="000A680C"/>
    <w:rsid w:val="000A6C3F"/>
    <w:rsid w:val="000A6EE2"/>
    <w:rsid w:val="000B10AF"/>
    <w:rsid w:val="000B23E2"/>
    <w:rsid w:val="000B25CA"/>
    <w:rsid w:val="000B468C"/>
    <w:rsid w:val="000B5F0D"/>
    <w:rsid w:val="000B60A0"/>
    <w:rsid w:val="000B666F"/>
    <w:rsid w:val="000B6671"/>
    <w:rsid w:val="000B7818"/>
    <w:rsid w:val="000B7E3F"/>
    <w:rsid w:val="000C09B0"/>
    <w:rsid w:val="000C2C1A"/>
    <w:rsid w:val="000C38A6"/>
    <w:rsid w:val="000C3966"/>
    <w:rsid w:val="000C3D82"/>
    <w:rsid w:val="000C40D2"/>
    <w:rsid w:val="000C4644"/>
    <w:rsid w:val="000C4EC1"/>
    <w:rsid w:val="000C641A"/>
    <w:rsid w:val="000C76A0"/>
    <w:rsid w:val="000C7C6B"/>
    <w:rsid w:val="000C7DE4"/>
    <w:rsid w:val="000D0162"/>
    <w:rsid w:val="000D0CC9"/>
    <w:rsid w:val="000D0D46"/>
    <w:rsid w:val="000D0EB0"/>
    <w:rsid w:val="000D2019"/>
    <w:rsid w:val="000D5660"/>
    <w:rsid w:val="000D5F8B"/>
    <w:rsid w:val="000D63C5"/>
    <w:rsid w:val="000D669B"/>
    <w:rsid w:val="000D7238"/>
    <w:rsid w:val="000E0EBE"/>
    <w:rsid w:val="000E21BA"/>
    <w:rsid w:val="000E3BC3"/>
    <w:rsid w:val="000E4777"/>
    <w:rsid w:val="000E47F2"/>
    <w:rsid w:val="000E4A15"/>
    <w:rsid w:val="000E4E78"/>
    <w:rsid w:val="000E6D2A"/>
    <w:rsid w:val="000F5E56"/>
    <w:rsid w:val="000F7D74"/>
    <w:rsid w:val="0010042A"/>
    <w:rsid w:val="001009BF"/>
    <w:rsid w:val="00103C28"/>
    <w:rsid w:val="00104443"/>
    <w:rsid w:val="001057EF"/>
    <w:rsid w:val="00105E64"/>
    <w:rsid w:val="00106214"/>
    <w:rsid w:val="001066BF"/>
    <w:rsid w:val="001103DA"/>
    <w:rsid w:val="00111F2B"/>
    <w:rsid w:val="001124D5"/>
    <w:rsid w:val="00112DD2"/>
    <w:rsid w:val="001133DA"/>
    <w:rsid w:val="0011491F"/>
    <w:rsid w:val="00116183"/>
    <w:rsid w:val="0011660F"/>
    <w:rsid w:val="0012022B"/>
    <w:rsid w:val="00120364"/>
    <w:rsid w:val="001207F2"/>
    <w:rsid w:val="00121BD6"/>
    <w:rsid w:val="001228BA"/>
    <w:rsid w:val="00123231"/>
    <w:rsid w:val="00123525"/>
    <w:rsid w:val="0012494E"/>
    <w:rsid w:val="00124E15"/>
    <w:rsid w:val="00126163"/>
    <w:rsid w:val="00126595"/>
    <w:rsid w:val="00126BA4"/>
    <w:rsid w:val="00126E0E"/>
    <w:rsid w:val="001272E2"/>
    <w:rsid w:val="00127393"/>
    <w:rsid w:val="00127CB9"/>
    <w:rsid w:val="001311E4"/>
    <w:rsid w:val="001313FC"/>
    <w:rsid w:val="00132928"/>
    <w:rsid w:val="00132DFD"/>
    <w:rsid w:val="00133329"/>
    <w:rsid w:val="001351D6"/>
    <w:rsid w:val="00135974"/>
    <w:rsid w:val="0013616D"/>
    <w:rsid w:val="0013682F"/>
    <w:rsid w:val="001372A9"/>
    <w:rsid w:val="0013789C"/>
    <w:rsid w:val="00137B24"/>
    <w:rsid w:val="001433A5"/>
    <w:rsid w:val="001435A7"/>
    <w:rsid w:val="00143A20"/>
    <w:rsid w:val="001447EA"/>
    <w:rsid w:val="00145B81"/>
    <w:rsid w:val="00146045"/>
    <w:rsid w:val="00146CC7"/>
    <w:rsid w:val="00147800"/>
    <w:rsid w:val="0015007D"/>
    <w:rsid w:val="00150131"/>
    <w:rsid w:val="0015215E"/>
    <w:rsid w:val="0015417F"/>
    <w:rsid w:val="00155206"/>
    <w:rsid w:val="0015557F"/>
    <w:rsid w:val="00157043"/>
    <w:rsid w:val="00157886"/>
    <w:rsid w:val="00157B01"/>
    <w:rsid w:val="00160498"/>
    <w:rsid w:val="00160C75"/>
    <w:rsid w:val="00160F2A"/>
    <w:rsid w:val="00161006"/>
    <w:rsid w:val="001630D3"/>
    <w:rsid w:val="00163E3E"/>
    <w:rsid w:val="00164D63"/>
    <w:rsid w:val="00164F69"/>
    <w:rsid w:val="00164FF0"/>
    <w:rsid w:val="0016531D"/>
    <w:rsid w:val="00165CBF"/>
    <w:rsid w:val="00166563"/>
    <w:rsid w:val="00166B1F"/>
    <w:rsid w:val="00167E90"/>
    <w:rsid w:val="00167E9C"/>
    <w:rsid w:val="00167FCD"/>
    <w:rsid w:val="001703C7"/>
    <w:rsid w:val="0017089F"/>
    <w:rsid w:val="00170CDB"/>
    <w:rsid w:val="00171EAF"/>
    <w:rsid w:val="00172764"/>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6E50"/>
    <w:rsid w:val="00187533"/>
    <w:rsid w:val="001909CC"/>
    <w:rsid w:val="00191196"/>
    <w:rsid w:val="00191437"/>
    <w:rsid w:val="00192049"/>
    <w:rsid w:val="001953FA"/>
    <w:rsid w:val="0019604D"/>
    <w:rsid w:val="001968E2"/>
    <w:rsid w:val="00197CF5"/>
    <w:rsid w:val="00197E70"/>
    <w:rsid w:val="001A16F8"/>
    <w:rsid w:val="001A1C3D"/>
    <w:rsid w:val="001A23AF"/>
    <w:rsid w:val="001A2CE1"/>
    <w:rsid w:val="001A2E4E"/>
    <w:rsid w:val="001A7C01"/>
    <w:rsid w:val="001B0964"/>
    <w:rsid w:val="001B1932"/>
    <w:rsid w:val="001B1A1A"/>
    <w:rsid w:val="001B2A78"/>
    <w:rsid w:val="001B2D5B"/>
    <w:rsid w:val="001B4B12"/>
    <w:rsid w:val="001B4CEE"/>
    <w:rsid w:val="001B7090"/>
    <w:rsid w:val="001C0654"/>
    <w:rsid w:val="001C0BC0"/>
    <w:rsid w:val="001C10C3"/>
    <w:rsid w:val="001C1C0F"/>
    <w:rsid w:val="001C1FC7"/>
    <w:rsid w:val="001C2680"/>
    <w:rsid w:val="001C3587"/>
    <w:rsid w:val="001C5334"/>
    <w:rsid w:val="001C5A6D"/>
    <w:rsid w:val="001C6222"/>
    <w:rsid w:val="001C6AEC"/>
    <w:rsid w:val="001C6C2C"/>
    <w:rsid w:val="001C6DF0"/>
    <w:rsid w:val="001D0453"/>
    <w:rsid w:val="001D159D"/>
    <w:rsid w:val="001D2191"/>
    <w:rsid w:val="001D2A21"/>
    <w:rsid w:val="001D312E"/>
    <w:rsid w:val="001D4044"/>
    <w:rsid w:val="001D4D25"/>
    <w:rsid w:val="001D53D9"/>
    <w:rsid w:val="001D54CE"/>
    <w:rsid w:val="001D5557"/>
    <w:rsid w:val="001D5620"/>
    <w:rsid w:val="001D6F8E"/>
    <w:rsid w:val="001D73D7"/>
    <w:rsid w:val="001E0004"/>
    <w:rsid w:val="001E1FD9"/>
    <w:rsid w:val="001E225C"/>
    <w:rsid w:val="001E23FF"/>
    <w:rsid w:val="001E265D"/>
    <w:rsid w:val="001E3C55"/>
    <w:rsid w:val="001E4B8D"/>
    <w:rsid w:val="001E4FFD"/>
    <w:rsid w:val="001E5833"/>
    <w:rsid w:val="001E6FF7"/>
    <w:rsid w:val="001F00FB"/>
    <w:rsid w:val="001F1108"/>
    <w:rsid w:val="001F1CA9"/>
    <w:rsid w:val="001F2ECA"/>
    <w:rsid w:val="001F3BF5"/>
    <w:rsid w:val="001F46A5"/>
    <w:rsid w:val="001F5540"/>
    <w:rsid w:val="001F5D5D"/>
    <w:rsid w:val="001F5E11"/>
    <w:rsid w:val="001F62B0"/>
    <w:rsid w:val="001F732E"/>
    <w:rsid w:val="002011AB"/>
    <w:rsid w:val="00201563"/>
    <w:rsid w:val="002017B4"/>
    <w:rsid w:val="0020181C"/>
    <w:rsid w:val="00201BFF"/>
    <w:rsid w:val="00201D0C"/>
    <w:rsid w:val="00203532"/>
    <w:rsid w:val="00203899"/>
    <w:rsid w:val="00206D69"/>
    <w:rsid w:val="00207B23"/>
    <w:rsid w:val="00210749"/>
    <w:rsid w:val="00210A45"/>
    <w:rsid w:val="002112ED"/>
    <w:rsid w:val="002115CF"/>
    <w:rsid w:val="00212150"/>
    <w:rsid w:val="00214CA3"/>
    <w:rsid w:val="00215CA7"/>
    <w:rsid w:val="00217BD3"/>
    <w:rsid w:val="00217DC1"/>
    <w:rsid w:val="00220808"/>
    <w:rsid w:val="00220E96"/>
    <w:rsid w:val="00221D46"/>
    <w:rsid w:val="00222119"/>
    <w:rsid w:val="00222D57"/>
    <w:rsid w:val="00222EA4"/>
    <w:rsid w:val="0022305A"/>
    <w:rsid w:val="00224E86"/>
    <w:rsid w:val="00226333"/>
    <w:rsid w:val="00226FFA"/>
    <w:rsid w:val="002271E3"/>
    <w:rsid w:val="00227AB4"/>
    <w:rsid w:val="00227D3B"/>
    <w:rsid w:val="0023002A"/>
    <w:rsid w:val="002314B2"/>
    <w:rsid w:val="00232361"/>
    <w:rsid w:val="00232CEE"/>
    <w:rsid w:val="002332E7"/>
    <w:rsid w:val="002334AC"/>
    <w:rsid w:val="0023378D"/>
    <w:rsid w:val="002346DD"/>
    <w:rsid w:val="0023515B"/>
    <w:rsid w:val="00235701"/>
    <w:rsid w:val="0023680D"/>
    <w:rsid w:val="00237DC1"/>
    <w:rsid w:val="002400A0"/>
    <w:rsid w:val="00240CF1"/>
    <w:rsid w:val="0024198F"/>
    <w:rsid w:val="00242808"/>
    <w:rsid w:val="002434EF"/>
    <w:rsid w:val="00243DD6"/>
    <w:rsid w:val="00244BC5"/>
    <w:rsid w:val="002459B6"/>
    <w:rsid w:val="00246C1A"/>
    <w:rsid w:val="002470FE"/>
    <w:rsid w:val="002473A6"/>
    <w:rsid w:val="00247959"/>
    <w:rsid w:val="00247C89"/>
    <w:rsid w:val="002500D0"/>
    <w:rsid w:val="002514A2"/>
    <w:rsid w:val="00251A35"/>
    <w:rsid w:val="002521B3"/>
    <w:rsid w:val="00252A51"/>
    <w:rsid w:val="00253A5B"/>
    <w:rsid w:val="00254396"/>
    <w:rsid w:val="002544A4"/>
    <w:rsid w:val="00256F0B"/>
    <w:rsid w:val="00257FF4"/>
    <w:rsid w:val="002609F3"/>
    <w:rsid w:val="00260F0C"/>
    <w:rsid w:val="00261684"/>
    <w:rsid w:val="00265697"/>
    <w:rsid w:val="00265B1E"/>
    <w:rsid w:val="00265E68"/>
    <w:rsid w:val="002666CB"/>
    <w:rsid w:val="002669A1"/>
    <w:rsid w:val="00267947"/>
    <w:rsid w:val="0027057D"/>
    <w:rsid w:val="00270A92"/>
    <w:rsid w:val="002719DE"/>
    <w:rsid w:val="00272510"/>
    <w:rsid w:val="00272E2D"/>
    <w:rsid w:val="002733A5"/>
    <w:rsid w:val="00273810"/>
    <w:rsid w:val="00273CC2"/>
    <w:rsid w:val="0027490D"/>
    <w:rsid w:val="00275634"/>
    <w:rsid w:val="0027677C"/>
    <w:rsid w:val="00276F27"/>
    <w:rsid w:val="00277618"/>
    <w:rsid w:val="0028055E"/>
    <w:rsid w:val="00280FDB"/>
    <w:rsid w:val="0028136B"/>
    <w:rsid w:val="0028138E"/>
    <w:rsid w:val="002832F1"/>
    <w:rsid w:val="00283300"/>
    <w:rsid w:val="00283A62"/>
    <w:rsid w:val="00283B56"/>
    <w:rsid w:val="00284D31"/>
    <w:rsid w:val="0028538D"/>
    <w:rsid w:val="0028595C"/>
    <w:rsid w:val="0028639F"/>
    <w:rsid w:val="0028718A"/>
    <w:rsid w:val="0028735A"/>
    <w:rsid w:val="00290441"/>
    <w:rsid w:val="002917D9"/>
    <w:rsid w:val="00292485"/>
    <w:rsid w:val="002925EC"/>
    <w:rsid w:val="00293991"/>
    <w:rsid w:val="00294314"/>
    <w:rsid w:val="00294534"/>
    <w:rsid w:val="002946AB"/>
    <w:rsid w:val="00296496"/>
    <w:rsid w:val="00296BA5"/>
    <w:rsid w:val="002A01C1"/>
    <w:rsid w:val="002A0AF2"/>
    <w:rsid w:val="002A100B"/>
    <w:rsid w:val="002A232A"/>
    <w:rsid w:val="002A253A"/>
    <w:rsid w:val="002A27B8"/>
    <w:rsid w:val="002A3A63"/>
    <w:rsid w:val="002A3CF5"/>
    <w:rsid w:val="002A4B13"/>
    <w:rsid w:val="002A7A74"/>
    <w:rsid w:val="002B1287"/>
    <w:rsid w:val="002B1425"/>
    <w:rsid w:val="002B20E1"/>
    <w:rsid w:val="002B21B3"/>
    <w:rsid w:val="002B2618"/>
    <w:rsid w:val="002B2773"/>
    <w:rsid w:val="002B27F4"/>
    <w:rsid w:val="002B376E"/>
    <w:rsid w:val="002B4488"/>
    <w:rsid w:val="002B44F0"/>
    <w:rsid w:val="002B5949"/>
    <w:rsid w:val="002C00A7"/>
    <w:rsid w:val="002C17B3"/>
    <w:rsid w:val="002C20F1"/>
    <w:rsid w:val="002C4CAD"/>
    <w:rsid w:val="002C4CD4"/>
    <w:rsid w:val="002C504F"/>
    <w:rsid w:val="002C5B4D"/>
    <w:rsid w:val="002C5D09"/>
    <w:rsid w:val="002C6D62"/>
    <w:rsid w:val="002D1852"/>
    <w:rsid w:val="002D2D38"/>
    <w:rsid w:val="002D4D2E"/>
    <w:rsid w:val="002D4EDE"/>
    <w:rsid w:val="002D617F"/>
    <w:rsid w:val="002D7107"/>
    <w:rsid w:val="002E1385"/>
    <w:rsid w:val="002E1583"/>
    <w:rsid w:val="002E2A5C"/>
    <w:rsid w:val="002E330D"/>
    <w:rsid w:val="002E54F8"/>
    <w:rsid w:val="002F1398"/>
    <w:rsid w:val="002F1D11"/>
    <w:rsid w:val="002F2138"/>
    <w:rsid w:val="002F3A88"/>
    <w:rsid w:val="002F42C4"/>
    <w:rsid w:val="002F4A79"/>
    <w:rsid w:val="002F5ADD"/>
    <w:rsid w:val="002F61CE"/>
    <w:rsid w:val="002F6DEE"/>
    <w:rsid w:val="002F78DE"/>
    <w:rsid w:val="002F7BE7"/>
    <w:rsid w:val="003008EE"/>
    <w:rsid w:val="00302C73"/>
    <w:rsid w:val="00302CAD"/>
    <w:rsid w:val="00302F14"/>
    <w:rsid w:val="00303194"/>
    <w:rsid w:val="003038F1"/>
    <w:rsid w:val="00303CF1"/>
    <w:rsid w:val="00303E65"/>
    <w:rsid w:val="003044FE"/>
    <w:rsid w:val="003050B5"/>
    <w:rsid w:val="00305434"/>
    <w:rsid w:val="003059DE"/>
    <w:rsid w:val="003061B4"/>
    <w:rsid w:val="00310888"/>
    <w:rsid w:val="003116AE"/>
    <w:rsid w:val="00311F96"/>
    <w:rsid w:val="00312232"/>
    <w:rsid w:val="0031235E"/>
    <w:rsid w:val="00312D63"/>
    <w:rsid w:val="003131BB"/>
    <w:rsid w:val="0031357C"/>
    <w:rsid w:val="00313A99"/>
    <w:rsid w:val="003141CD"/>
    <w:rsid w:val="00314E39"/>
    <w:rsid w:val="00315C34"/>
    <w:rsid w:val="00316C8D"/>
    <w:rsid w:val="003175EF"/>
    <w:rsid w:val="00321245"/>
    <w:rsid w:val="0032189B"/>
    <w:rsid w:val="00323C3D"/>
    <w:rsid w:val="003255E1"/>
    <w:rsid w:val="00326D87"/>
    <w:rsid w:val="00327B43"/>
    <w:rsid w:val="00330987"/>
    <w:rsid w:val="00331FF7"/>
    <w:rsid w:val="003327B3"/>
    <w:rsid w:val="00332971"/>
    <w:rsid w:val="0033466C"/>
    <w:rsid w:val="00334791"/>
    <w:rsid w:val="003347DE"/>
    <w:rsid w:val="00334889"/>
    <w:rsid w:val="00334D6C"/>
    <w:rsid w:val="003352E4"/>
    <w:rsid w:val="00336171"/>
    <w:rsid w:val="003366BA"/>
    <w:rsid w:val="00336E3A"/>
    <w:rsid w:val="00340853"/>
    <w:rsid w:val="00341151"/>
    <w:rsid w:val="00341A47"/>
    <w:rsid w:val="003423CB"/>
    <w:rsid w:val="00342942"/>
    <w:rsid w:val="00343A14"/>
    <w:rsid w:val="003444CC"/>
    <w:rsid w:val="00344FDB"/>
    <w:rsid w:val="0034654E"/>
    <w:rsid w:val="00346ACB"/>
    <w:rsid w:val="003476A2"/>
    <w:rsid w:val="00347D0E"/>
    <w:rsid w:val="00351E2E"/>
    <w:rsid w:val="003543EB"/>
    <w:rsid w:val="00355C32"/>
    <w:rsid w:val="003572D0"/>
    <w:rsid w:val="00357E2A"/>
    <w:rsid w:val="00360743"/>
    <w:rsid w:val="00360E55"/>
    <w:rsid w:val="00362026"/>
    <w:rsid w:val="00362F5E"/>
    <w:rsid w:val="00363245"/>
    <w:rsid w:val="00363940"/>
    <w:rsid w:val="00363C31"/>
    <w:rsid w:val="00365518"/>
    <w:rsid w:val="00365F8A"/>
    <w:rsid w:val="003674A6"/>
    <w:rsid w:val="00370830"/>
    <w:rsid w:val="00371006"/>
    <w:rsid w:val="00372016"/>
    <w:rsid w:val="00372C5F"/>
    <w:rsid w:val="00372DD5"/>
    <w:rsid w:val="00374148"/>
    <w:rsid w:val="0037434C"/>
    <w:rsid w:val="00374EFB"/>
    <w:rsid w:val="003754D3"/>
    <w:rsid w:val="00377E64"/>
    <w:rsid w:val="003804FC"/>
    <w:rsid w:val="00380FEE"/>
    <w:rsid w:val="003837BC"/>
    <w:rsid w:val="00384F0D"/>
    <w:rsid w:val="00385260"/>
    <w:rsid w:val="0038592D"/>
    <w:rsid w:val="00385A87"/>
    <w:rsid w:val="00385BC9"/>
    <w:rsid w:val="00386533"/>
    <w:rsid w:val="00387B18"/>
    <w:rsid w:val="00390A91"/>
    <w:rsid w:val="003917FE"/>
    <w:rsid w:val="00393603"/>
    <w:rsid w:val="003939A0"/>
    <w:rsid w:val="00393B08"/>
    <w:rsid w:val="00395206"/>
    <w:rsid w:val="00396539"/>
    <w:rsid w:val="00397592"/>
    <w:rsid w:val="003A0B35"/>
    <w:rsid w:val="003A127F"/>
    <w:rsid w:val="003A1311"/>
    <w:rsid w:val="003A1DEC"/>
    <w:rsid w:val="003A2099"/>
    <w:rsid w:val="003A2179"/>
    <w:rsid w:val="003A21C7"/>
    <w:rsid w:val="003A233C"/>
    <w:rsid w:val="003A4482"/>
    <w:rsid w:val="003A511C"/>
    <w:rsid w:val="003A68A4"/>
    <w:rsid w:val="003A6EB3"/>
    <w:rsid w:val="003A7059"/>
    <w:rsid w:val="003B1377"/>
    <w:rsid w:val="003B1AA8"/>
    <w:rsid w:val="003B31E3"/>
    <w:rsid w:val="003B3670"/>
    <w:rsid w:val="003B43D2"/>
    <w:rsid w:val="003B4E65"/>
    <w:rsid w:val="003B6141"/>
    <w:rsid w:val="003B73F3"/>
    <w:rsid w:val="003B752E"/>
    <w:rsid w:val="003C0B75"/>
    <w:rsid w:val="003C1626"/>
    <w:rsid w:val="003C1B44"/>
    <w:rsid w:val="003C1DE9"/>
    <w:rsid w:val="003C202B"/>
    <w:rsid w:val="003C334B"/>
    <w:rsid w:val="003C3678"/>
    <w:rsid w:val="003C3D35"/>
    <w:rsid w:val="003C444D"/>
    <w:rsid w:val="003C4B56"/>
    <w:rsid w:val="003C515D"/>
    <w:rsid w:val="003C5E14"/>
    <w:rsid w:val="003D1EB0"/>
    <w:rsid w:val="003D252E"/>
    <w:rsid w:val="003D4F02"/>
    <w:rsid w:val="003E06CA"/>
    <w:rsid w:val="003E0F37"/>
    <w:rsid w:val="003E1AD8"/>
    <w:rsid w:val="003E1E59"/>
    <w:rsid w:val="003E2880"/>
    <w:rsid w:val="003E31D4"/>
    <w:rsid w:val="003E3310"/>
    <w:rsid w:val="003E3A1B"/>
    <w:rsid w:val="003E5446"/>
    <w:rsid w:val="003E58F1"/>
    <w:rsid w:val="003E61F8"/>
    <w:rsid w:val="003E6DF8"/>
    <w:rsid w:val="003F01F5"/>
    <w:rsid w:val="003F08B3"/>
    <w:rsid w:val="003F11B4"/>
    <w:rsid w:val="003F2816"/>
    <w:rsid w:val="003F29D5"/>
    <w:rsid w:val="003F2AB9"/>
    <w:rsid w:val="003F3001"/>
    <w:rsid w:val="003F3195"/>
    <w:rsid w:val="003F35F9"/>
    <w:rsid w:val="003F3996"/>
    <w:rsid w:val="003F4ECD"/>
    <w:rsid w:val="003F6B47"/>
    <w:rsid w:val="003F73C5"/>
    <w:rsid w:val="003F75F7"/>
    <w:rsid w:val="003F7760"/>
    <w:rsid w:val="003F7D4E"/>
    <w:rsid w:val="004000BA"/>
    <w:rsid w:val="00400A14"/>
    <w:rsid w:val="00400CDB"/>
    <w:rsid w:val="00400CEB"/>
    <w:rsid w:val="00402ADE"/>
    <w:rsid w:val="004032D4"/>
    <w:rsid w:val="00403B4D"/>
    <w:rsid w:val="0040451D"/>
    <w:rsid w:val="00405089"/>
    <w:rsid w:val="004050E5"/>
    <w:rsid w:val="00405AC1"/>
    <w:rsid w:val="00405DAB"/>
    <w:rsid w:val="004075A6"/>
    <w:rsid w:val="00407B3F"/>
    <w:rsid w:val="00407C03"/>
    <w:rsid w:val="00411FFA"/>
    <w:rsid w:val="0041321D"/>
    <w:rsid w:val="004132ED"/>
    <w:rsid w:val="0041338C"/>
    <w:rsid w:val="00413979"/>
    <w:rsid w:val="00413E9D"/>
    <w:rsid w:val="00414F90"/>
    <w:rsid w:val="00415478"/>
    <w:rsid w:val="00416035"/>
    <w:rsid w:val="004167D5"/>
    <w:rsid w:val="00420141"/>
    <w:rsid w:val="0042325F"/>
    <w:rsid w:val="00423AED"/>
    <w:rsid w:val="00423F2E"/>
    <w:rsid w:val="004254AA"/>
    <w:rsid w:val="00426886"/>
    <w:rsid w:val="00430267"/>
    <w:rsid w:val="00430FDD"/>
    <w:rsid w:val="00430FEB"/>
    <w:rsid w:val="0043261C"/>
    <w:rsid w:val="00432898"/>
    <w:rsid w:val="004338BF"/>
    <w:rsid w:val="004345CF"/>
    <w:rsid w:val="0043470E"/>
    <w:rsid w:val="00434B09"/>
    <w:rsid w:val="0043522E"/>
    <w:rsid w:val="00436915"/>
    <w:rsid w:val="004371AF"/>
    <w:rsid w:val="004371C9"/>
    <w:rsid w:val="00440167"/>
    <w:rsid w:val="004406A0"/>
    <w:rsid w:val="00440A3C"/>
    <w:rsid w:val="00440C61"/>
    <w:rsid w:val="00442B75"/>
    <w:rsid w:val="00442C24"/>
    <w:rsid w:val="00443C65"/>
    <w:rsid w:val="00443E5A"/>
    <w:rsid w:val="00444BE8"/>
    <w:rsid w:val="004450A0"/>
    <w:rsid w:val="004476F1"/>
    <w:rsid w:val="00450771"/>
    <w:rsid w:val="0045635A"/>
    <w:rsid w:val="00456665"/>
    <w:rsid w:val="00456C85"/>
    <w:rsid w:val="00457667"/>
    <w:rsid w:val="00457B42"/>
    <w:rsid w:val="00457D83"/>
    <w:rsid w:val="00457E35"/>
    <w:rsid w:val="00460D69"/>
    <w:rsid w:val="00461217"/>
    <w:rsid w:val="004625EC"/>
    <w:rsid w:val="004634B4"/>
    <w:rsid w:val="00463AAF"/>
    <w:rsid w:val="004658BB"/>
    <w:rsid w:val="00466387"/>
    <w:rsid w:val="00466B6A"/>
    <w:rsid w:val="004675A6"/>
    <w:rsid w:val="0046793D"/>
    <w:rsid w:val="0047293B"/>
    <w:rsid w:val="00473686"/>
    <w:rsid w:val="00474335"/>
    <w:rsid w:val="00476B4E"/>
    <w:rsid w:val="00476D6E"/>
    <w:rsid w:val="004803BA"/>
    <w:rsid w:val="00480511"/>
    <w:rsid w:val="004815F6"/>
    <w:rsid w:val="00482097"/>
    <w:rsid w:val="004836F9"/>
    <w:rsid w:val="00483C66"/>
    <w:rsid w:val="004848B9"/>
    <w:rsid w:val="00485878"/>
    <w:rsid w:val="00485B83"/>
    <w:rsid w:val="00485EB7"/>
    <w:rsid w:val="004864A6"/>
    <w:rsid w:val="004865A8"/>
    <w:rsid w:val="004865FE"/>
    <w:rsid w:val="00486F84"/>
    <w:rsid w:val="00491253"/>
    <w:rsid w:val="0049417A"/>
    <w:rsid w:val="00494A80"/>
    <w:rsid w:val="0049511E"/>
    <w:rsid w:val="00496949"/>
    <w:rsid w:val="00497B26"/>
    <w:rsid w:val="004A0240"/>
    <w:rsid w:val="004A0325"/>
    <w:rsid w:val="004A0D7B"/>
    <w:rsid w:val="004A2FC3"/>
    <w:rsid w:val="004A3143"/>
    <w:rsid w:val="004A3377"/>
    <w:rsid w:val="004A3801"/>
    <w:rsid w:val="004A4B71"/>
    <w:rsid w:val="004A5475"/>
    <w:rsid w:val="004A6AF7"/>
    <w:rsid w:val="004A70DC"/>
    <w:rsid w:val="004A7591"/>
    <w:rsid w:val="004B1C18"/>
    <w:rsid w:val="004B2AB7"/>
    <w:rsid w:val="004B2F5A"/>
    <w:rsid w:val="004B3BF0"/>
    <w:rsid w:val="004B4716"/>
    <w:rsid w:val="004B4C30"/>
    <w:rsid w:val="004B4CFE"/>
    <w:rsid w:val="004B59C3"/>
    <w:rsid w:val="004C2853"/>
    <w:rsid w:val="004C4E6A"/>
    <w:rsid w:val="004C57F1"/>
    <w:rsid w:val="004C5969"/>
    <w:rsid w:val="004C5BAD"/>
    <w:rsid w:val="004C65DF"/>
    <w:rsid w:val="004C7910"/>
    <w:rsid w:val="004D0C13"/>
    <w:rsid w:val="004D17AB"/>
    <w:rsid w:val="004D241B"/>
    <w:rsid w:val="004D2746"/>
    <w:rsid w:val="004D278F"/>
    <w:rsid w:val="004D34BD"/>
    <w:rsid w:val="004D391B"/>
    <w:rsid w:val="004D44E8"/>
    <w:rsid w:val="004D4514"/>
    <w:rsid w:val="004D4F7B"/>
    <w:rsid w:val="004D5C3E"/>
    <w:rsid w:val="004D6528"/>
    <w:rsid w:val="004D6E4F"/>
    <w:rsid w:val="004D7649"/>
    <w:rsid w:val="004E0266"/>
    <w:rsid w:val="004E1438"/>
    <w:rsid w:val="004E1A3C"/>
    <w:rsid w:val="004E2A3F"/>
    <w:rsid w:val="004E480E"/>
    <w:rsid w:val="004E4CCC"/>
    <w:rsid w:val="004E4DEC"/>
    <w:rsid w:val="004E4E3D"/>
    <w:rsid w:val="004E4ED3"/>
    <w:rsid w:val="004E5C64"/>
    <w:rsid w:val="004E653E"/>
    <w:rsid w:val="004E7F18"/>
    <w:rsid w:val="004F1045"/>
    <w:rsid w:val="004F2F1F"/>
    <w:rsid w:val="004F3F7D"/>
    <w:rsid w:val="004F4030"/>
    <w:rsid w:val="004F455A"/>
    <w:rsid w:val="004F6E79"/>
    <w:rsid w:val="004F77B1"/>
    <w:rsid w:val="0050296F"/>
    <w:rsid w:val="005038A6"/>
    <w:rsid w:val="0050419B"/>
    <w:rsid w:val="00505428"/>
    <w:rsid w:val="0050552B"/>
    <w:rsid w:val="0050772F"/>
    <w:rsid w:val="00507A10"/>
    <w:rsid w:val="0051004B"/>
    <w:rsid w:val="005107AB"/>
    <w:rsid w:val="005109ED"/>
    <w:rsid w:val="00512D88"/>
    <w:rsid w:val="0051345D"/>
    <w:rsid w:val="005136A5"/>
    <w:rsid w:val="005137BF"/>
    <w:rsid w:val="00514CFC"/>
    <w:rsid w:val="005152FD"/>
    <w:rsid w:val="00515B01"/>
    <w:rsid w:val="00517814"/>
    <w:rsid w:val="005203AA"/>
    <w:rsid w:val="005207B5"/>
    <w:rsid w:val="00520E9F"/>
    <w:rsid w:val="00521716"/>
    <w:rsid w:val="00521E11"/>
    <w:rsid w:val="005220D4"/>
    <w:rsid w:val="005237D0"/>
    <w:rsid w:val="005242E7"/>
    <w:rsid w:val="00524DAF"/>
    <w:rsid w:val="00526AF9"/>
    <w:rsid w:val="005270B9"/>
    <w:rsid w:val="00527508"/>
    <w:rsid w:val="005307F1"/>
    <w:rsid w:val="00531A29"/>
    <w:rsid w:val="005322A5"/>
    <w:rsid w:val="005324AA"/>
    <w:rsid w:val="00532A3E"/>
    <w:rsid w:val="00532D2F"/>
    <w:rsid w:val="00532DD0"/>
    <w:rsid w:val="00533791"/>
    <w:rsid w:val="00533D8F"/>
    <w:rsid w:val="00535FEB"/>
    <w:rsid w:val="00536462"/>
    <w:rsid w:val="00536BB3"/>
    <w:rsid w:val="00537011"/>
    <w:rsid w:val="0053740A"/>
    <w:rsid w:val="00541F8B"/>
    <w:rsid w:val="00542885"/>
    <w:rsid w:val="005437C0"/>
    <w:rsid w:val="00543C2F"/>
    <w:rsid w:val="0054403E"/>
    <w:rsid w:val="00545DCE"/>
    <w:rsid w:val="00545F69"/>
    <w:rsid w:val="005469E6"/>
    <w:rsid w:val="0054797C"/>
    <w:rsid w:val="005501C7"/>
    <w:rsid w:val="00551651"/>
    <w:rsid w:val="00552256"/>
    <w:rsid w:val="00552FD6"/>
    <w:rsid w:val="00553242"/>
    <w:rsid w:val="00553827"/>
    <w:rsid w:val="0055387E"/>
    <w:rsid w:val="0055396F"/>
    <w:rsid w:val="00553BC6"/>
    <w:rsid w:val="00553CAB"/>
    <w:rsid w:val="0055467A"/>
    <w:rsid w:val="005547ED"/>
    <w:rsid w:val="00554972"/>
    <w:rsid w:val="00554A1A"/>
    <w:rsid w:val="00554B9D"/>
    <w:rsid w:val="005562B1"/>
    <w:rsid w:val="005567E4"/>
    <w:rsid w:val="005576B8"/>
    <w:rsid w:val="00560314"/>
    <w:rsid w:val="0056153F"/>
    <w:rsid w:val="005619A1"/>
    <w:rsid w:val="00561DE7"/>
    <w:rsid w:val="0056221F"/>
    <w:rsid w:val="005625AD"/>
    <w:rsid w:val="0056525C"/>
    <w:rsid w:val="0056525F"/>
    <w:rsid w:val="0056587F"/>
    <w:rsid w:val="00566D12"/>
    <w:rsid w:val="00566FD8"/>
    <w:rsid w:val="00567136"/>
    <w:rsid w:val="00567B03"/>
    <w:rsid w:val="0057056C"/>
    <w:rsid w:val="0057110A"/>
    <w:rsid w:val="00573D8C"/>
    <w:rsid w:val="00573DC1"/>
    <w:rsid w:val="005743EE"/>
    <w:rsid w:val="00575624"/>
    <w:rsid w:val="005758CC"/>
    <w:rsid w:val="00576E5A"/>
    <w:rsid w:val="005773FE"/>
    <w:rsid w:val="005779C5"/>
    <w:rsid w:val="005802FA"/>
    <w:rsid w:val="00580424"/>
    <w:rsid w:val="005813B8"/>
    <w:rsid w:val="005817AC"/>
    <w:rsid w:val="005819D0"/>
    <w:rsid w:val="00583FEB"/>
    <w:rsid w:val="00584BA8"/>
    <w:rsid w:val="005868A1"/>
    <w:rsid w:val="005905C0"/>
    <w:rsid w:val="00590AC8"/>
    <w:rsid w:val="00591DD3"/>
    <w:rsid w:val="005924D1"/>
    <w:rsid w:val="005929DA"/>
    <w:rsid w:val="005943BB"/>
    <w:rsid w:val="00595234"/>
    <w:rsid w:val="0059563C"/>
    <w:rsid w:val="0059583F"/>
    <w:rsid w:val="00595E17"/>
    <w:rsid w:val="00596CA3"/>
    <w:rsid w:val="0059705A"/>
    <w:rsid w:val="005A0190"/>
    <w:rsid w:val="005A0EE7"/>
    <w:rsid w:val="005A1200"/>
    <w:rsid w:val="005A2926"/>
    <w:rsid w:val="005A33D1"/>
    <w:rsid w:val="005A4A1B"/>
    <w:rsid w:val="005B065F"/>
    <w:rsid w:val="005B0C7E"/>
    <w:rsid w:val="005B0CB4"/>
    <w:rsid w:val="005B3279"/>
    <w:rsid w:val="005B4269"/>
    <w:rsid w:val="005B445B"/>
    <w:rsid w:val="005B5081"/>
    <w:rsid w:val="005B60EE"/>
    <w:rsid w:val="005B6682"/>
    <w:rsid w:val="005B678C"/>
    <w:rsid w:val="005B68AD"/>
    <w:rsid w:val="005B6900"/>
    <w:rsid w:val="005C00D8"/>
    <w:rsid w:val="005C01A6"/>
    <w:rsid w:val="005C06B0"/>
    <w:rsid w:val="005C097E"/>
    <w:rsid w:val="005C0EC7"/>
    <w:rsid w:val="005C18B7"/>
    <w:rsid w:val="005C2B4D"/>
    <w:rsid w:val="005C31B0"/>
    <w:rsid w:val="005C3334"/>
    <w:rsid w:val="005C3463"/>
    <w:rsid w:val="005C35A9"/>
    <w:rsid w:val="005C4995"/>
    <w:rsid w:val="005C4AEF"/>
    <w:rsid w:val="005C5293"/>
    <w:rsid w:val="005C58F5"/>
    <w:rsid w:val="005C5F36"/>
    <w:rsid w:val="005C6194"/>
    <w:rsid w:val="005C6F01"/>
    <w:rsid w:val="005C73B4"/>
    <w:rsid w:val="005C77BB"/>
    <w:rsid w:val="005C7AB4"/>
    <w:rsid w:val="005C7BE7"/>
    <w:rsid w:val="005D01C9"/>
    <w:rsid w:val="005D1018"/>
    <w:rsid w:val="005D1626"/>
    <w:rsid w:val="005D243E"/>
    <w:rsid w:val="005D32B1"/>
    <w:rsid w:val="005D3740"/>
    <w:rsid w:val="005D4014"/>
    <w:rsid w:val="005D459D"/>
    <w:rsid w:val="005D4634"/>
    <w:rsid w:val="005D51F6"/>
    <w:rsid w:val="005D66B3"/>
    <w:rsid w:val="005D6ED5"/>
    <w:rsid w:val="005E0725"/>
    <w:rsid w:val="005E3143"/>
    <w:rsid w:val="005E40A1"/>
    <w:rsid w:val="005E538B"/>
    <w:rsid w:val="005E5BD4"/>
    <w:rsid w:val="005E5CDF"/>
    <w:rsid w:val="005E612D"/>
    <w:rsid w:val="005E6447"/>
    <w:rsid w:val="005E6492"/>
    <w:rsid w:val="005E66D1"/>
    <w:rsid w:val="005E6E9E"/>
    <w:rsid w:val="005E7A96"/>
    <w:rsid w:val="005F01EB"/>
    <w:rsid w:val="005F0DB2"/>
    <w:rsid w:val="005F1D93"/>
    <w:rsid w:val="005F23C0"/>
    <w:rsid w:val="005F2738"/>
    <w:rsid w:val="005F3576"/>
    <w:rsid w:val="005F3B4E"/>
    <w:rsid w:val="005F4239"/>
    <w:rsid w:val="005F44EC"/>
    <w:rsid w:val="005F45CC"/>
    <w:rsid w:val="005F64DF"/>
    <w:rsid w:val="005F6946"/>
    <w:rsid w:val="006001A3"/>
    <w:rsid w:val="006014BD"/>
    <w:rsid w:val="0060240F"/>
    <w:rsid w:val="00604190"/>
    <w:rsid w:val="006057C5"/>
    <w:rsid w:val="00605A2A"/>
    <w:rsid w:val="00605E80"/>
    <w:rsid w:val="00605FA5"/>
    <w:rsid w:val="006062D3"/>
    <w:rsid w:val="00606922"/>
    <w:rsid w:val="00607478"/>
    <w:rsid w:val="006075D7"/>
    <w:rsid w:val="00610A71"/>
    <w:rsid w:val="00611031"/>
    <w:rsid w:val="00611CE3"/>
    <w:rsid w:val="00612879"/>
    <w:rsid w:val="00612F81"/>
    <w:rsid w:val="00613096"/>
    <w:rsid w:val="006140ED"/>
    <w:rsid w:val="00614E66"/>
    <w:rsid w:val="00616025"/>
    <w:rsid w:val="00616927"/>
    <w:rsid w:val="00616D80"/>
    <w:rsid w:val="00617484"/>
    <w:rsid w:val="00617E53"/>
    <w:rsid w:val="006204D0"/>
    <w:rsid w:val="00620722"/>
    <w:rsid w:val="00621413"/>
    <w:rsid w:val="00621C9E"/>
    <w:rsid w:val="00622F5D"/>
    <w:rsid w:val="006235BA"/>
    <w:rsid w:val="00623993"/>
    <w:rsid w:val="00624AA2"/>
    <w:rsid w:val="00624ACF"/>
    <w:rsid w:val="00624C04"/>
    <w:rsid w:val="0062577A"/>
    <w:rsid w:val="00625DC5"/>
    <w:rsid w:val="00626943"/>
    <w:rsid w:val="00627255"/>
    <w:rsid w:val="00627DA8"/>
    <w:rsid w:val="0063040B"/>
    <w:rsid w:val="00630AD4"/>
    <w:rsid w:val="00630DD7"/>
    <w:rsid w:val="00631068"/>
    <w:rsid w:val="00631FE3"/>
    <w:rsid w:val="006324A2"/>
    <w:rsid w:val="0063253C"/>
    <w:rsid w:val="00632A82"/>
    <w:rsid w:val="00633CE9"/>
    <w:rsid w:val="006352D3"/>
    <w:rsid w:val="00640859"/>
    <w:rsid w:val="00640A1C"/>
    <w:rsid w:val="00640EEA"/>
    <w:rsid w:val="00641143"/>
    <w:rsid w:val="00641440"/>
    <w:rsid w:val="00641CDC"/>
    <w:rsid w:val="0064321A"/>
    <w:rsid w:val="0064347F"/>
    <w:rsid w:val="00643AB5"/>
    <w:rsid w:val="00643BB9"/>
    <w:rsid w:val="006443D5"/>
    <w:rsid w:val="00644566"/>
    <w:rsid w:val="00645A07"/>
    <w:rsid w:val="00646570"/>
    <w:rsid w:val="00646944"/>
    <w:rsid w:val="006500C8"/>
    <w:rsid w:val="006504D6"/>
    <w:rsid w:val="00650660"/>
    <w:rsid w:val="00651A5C"/>
    <w:rsid w:val="00654B41"/>
    <w:rsid w:val="00654B4E"/>
    <w:rsid w:val="006557E2"/>
    <w:rsid w:val="00655AF1"/>
    <w:rsid w:val="0065676B"/>
    <w:rsid w:val="0065679B"/>
    <w:rsid w:val="006568E5"/>
    <w:rsid w:val="00656E9C"/>
    <w:rsid w:val="00660C3A"/>
    <w:rsid w:val="00662DBB"/>
    <w:rsid w:val="0066385A"/>
    <w:rsid w:val="00663F90"/>
    <w:rsid w:val="00664529"/>
    <w:rsid w:val="006645CC"/>
    <w:rsid w:val="00664B3B"/>
    <w:rsid w:val="00665B3F"/>
    <w:rsid w:val="0066788F"/>
    <w:rsid w:val="006710CD"/>
    <w:rsid w:val="006717DB"/>
    <w:rsid w:val="00671A8D"/>
    <w:rsid w:val="00671ADB"/>
    <w:rsid w:val="00671D7A"/>
    <w:rsid w:val="0067327D"/>
    <w:rsid w:val="0067429D"/>
    <w:rsid w:val="006746F5"/>
    <w:rsid w:val="0067487B"/>
    <w:rsid w:val="006748FA"/>
    <w:rsid w:val="006758C7"/>
    <w:rsid w:val="006758E8"/>
    <w:rsid w:val="00675941"/>
    <w:rsid w:val="006767C1"/>
    <w:rsid w:val="00677D1C"/>
    <w:rsid w:val="00680C1D"/>
    <w:rsid w:val="006813C7"/>
    <w:rsid w:val="006815FF"/>
    <w:rsid w:val="00681B0E"/>
    <w:rsid w:val="00681D9C"/>
    <w:rsid w:val="006826F0"/>
    <w:rsid w:val="006838B8"/>
    <w:rsid w:val="006839F6"/>
    <w:rsid w:val="00683D19"/>
    <w:rsid w:val="00684004"/>
    <w:rsid w:val="006843B3"/>
    <w:rsid w:val="00684719"/>
    <w:rsid w:val="00684B80"/>
    <w:rsid w:val="0068505C"/>
    <w:rsid w:val="00685485"/>
    <w:rsid w:val="0068588A"/>
    <w:rsid w:val="00685C26"/>
    <w:rsid w:val="00685CBA"/>
    <w:rsid w:val="00686285"/>
    <w:rsid w:val="00686FA3"/>
    <w:rsid w:val="0069035B"/>
    <w:rsid w:val="00691721"/>
    <w:rsid w:val="006924DC"/>
    <w:rsid w:val="006927A7"/>
    <w:rsid w:val="006928E4"/>
    <w:rsid w:val="00693D47"/>
    <w:rsid w:val="00694598"/>
    <w:rsid w:val="00696925"/>
    <w:rsid w:val="00696C22"/>
    <w:rsid w:val="00696E24"/>
    <w:rsid w:val="006A08FE"/>
    <w:rsid w:val="006A1332"/>
    <w:rsid w:val="006A2787"/>
    <w:rsid w:val="006A722F"/>
    <w:rsid w:val="006A7302"/>
    <w:rsid w:val="006A738F"/>
    <w:rsid w:val="006B03E8"/>
    <w:rsid w:val="006B0B20"/>
    <w:rsid w:val="006B0C81"/>
    <w:rsid w:val="006B23E5"/>
    <w:rsid w:val="006B455B"/>
    <w:rsid w:val="006B5BC4"/>
    <w:rsid w:val="006B7512"/>
    <w:rsid w:val="006B770B"/>
    <w:rsid w:val="006B7B21"/>
    <w:rsid w:val="006C0117"/>
    <w:rsid w:val="006C02EF"/>
    <w:rsid w:val="006C0F22"/>
    <w:rsid w:val="006C1DA5"/>
    <w:rsid w:val="006C5738"/>
    <w:rsid w:val="006C5866"/>
    <w:rsid w:val="006C65AF"/>
    <w:rsid w:val="006D0274"/>
    <w:rsid w:val="006D0736"/>
    <w:rsid w:val="006D0C38"/>
    <w:rsid w:val="006D23B0"/>
    <w:rsid w:val="006D304A"/>
    <w:rsid w:val="006D3506"/>
    <w:rsid w:val="006D385E"/>
    <w:rsid w:val="006D426E"/>
    <w:rsid w:val="006D55FD"/>
    <w:rsid w:val="006D5C56"/>
    <w:rsid w:val="006D6792"/>
    <w:rsid w:val="006D7449"/>
    <w:rsid w:val="006E0351"/>
    <w:rsid w:val="006E07FB"/>
    <w:rsid w:val="006E0AFC"/>
    <w:rsid w:val="006E0CAF"/>
    <w:rsid w:val="006E0DDC"/>
    <w:rsid w:val="006E1255"/>
    <w:rsid w:val="006E1A13"/>
    <w:rsid w:val="006E37A7"/>
    <w:rsid w:val="006E3C5F"/>
    <w:rsid w:val="006E4023"/>
    <w:rsid w:val="006E4BD8"/>
    <w:rsid w:val="006E65BE"/>
    <w:rsid w:val="006E6A7E"/>
    <w:rsid w:val="006F14E0"/>
    <w:rsid w:val="006F1B74"/>
    <w:rsid w:val="006F4944"/>
    <w:rsid w:val="006F545E"/>
    <w:rsid w:val="006F5974"/>
    <w:rsid w:val="006F60B9"/>
    <w:rsid w:val="006F6209"/>
    <w:rsid w:val="006F67DD"/>
    <w:rsid w:val="00700CE9"/>
    <w:rsid w:val="00701254"/>
    <w:rsid w:val="00701BA5"/>
    <w:rsid w:val="00702058"/>
    <w:rsid w:val="00702508"/>
    <w:rsid w:val="007039D1"/>
    <w:rsid w:val="00703AD6"/>
    <w:rsid w:val="00704429"/>
    <w:rsid w:val="00705207"/>
    <w:rsid w:val="007052E9"/>
    <w:rsid w:val="00705821"/>
    <w:rsid w:val="00705B4C"/>
    <w:rsid w:val="00707683"/>
    <w:rsid w:val="00707C9F"/>
    <w:rsid w:val="00710617"/>
    <w:rsid w:val="00710DB4"/>
    <w:rsid w:val="0071100F"/>
    <w:rsid w:val="00711FC2"/>
    <w:rsid w:val="00712485"/>
    <w:rsid w:val="0071381C"/>
    <w:rsid w:val="00713C49"/>
    <w:rsid w:val="007140AF"/>
    <w:rsid w:val="0071534B"/>
    <w:rsid w:val="00715742"/>
    <w:rsid w:val="00716CB7"/>
    <w:rsid w:val="00717481"/>
    <w:rsid w:val="00717614"/>
    <w:rsid w:val="00717E90"/>
    <w:rsid w:val="007217F6"/>
    <w:rsid w:val="00722883"/>
    <w:rsid w:val="00724FD9"/>
    <w:rsid w:val="0072526E"/>
    <w:rsid w:val="0072739D"/>
    <w:rsid w:val="007273A3"/>
    <w:rsid w:val="007274A1"/>
    <w:rsid w:val="007274E8"/>
    <w:rsid w:val="00730A80"/>
    <w:rsid w:val="00730EB6"/>
    <w:rsid w:val="00731300"/>
    <w:rsid w:val="007315E8"/>
    <w:rsid w:val="00731C32"/>
    <w:rsid w:val="00733043"/>
    <w:rsid w:val="007335A3"/>
    <w:rsid w:val="00733A01"/>
    <w:rsid w:val="007345CF"/>
    <w:rsid w:val="00734C20"/>
    <w:rsid w:val="0073555E"/>
    <w:rsid w:val="00735A4B"/>
    <w:rsid w:val="007404A7"/>
    <w:rsid w:val="00740596"/>
    <w:rsid w:val="007411A6"/>
    <w:rsid w:val="007412F7"/>
    <w:rsid w:val="0074158F"/>
    <w:rsid w:val="0074221E"/>
    <w:rsid w:val="007425FB"/>
    <w:rsid w:val="00742734"/>
    <w:rsid w:val="00742A46"/>
    <w:rsid w:val="00743B9C"/>
    <w:rsid w:val="0074415F"/>
    <w:rsid w:val="00744594"/>
    <w:rsid w:val="00744A48"/>
    <w:rsid w:val="00745EDD"/>
    <w:rsid w:val="0074714D"/>
    <w:rsid w:val="00750ADE"/>
    <w:rsid w:val="0075134C"/>
    <w:rsid w:val="00751445"/>
    <w:rsid w:val="0075171A"/>
    <w:rsid w:val="00751932"/>
    <w:rsid w:val="0075203E"/>
    <w:rsid w:val="00752C7B"/>
    <w:rsid w:val="00753C3A"/>
    <w:rsid w:val="00753CD0"/>
    <w:rsid w:val="00753F0A"/>
    <w:rsid w:val="007540A5"/>
    <w:rsid w:val="00754546"/>
    <w:rsid w:val="00754A46"/>
    <w:rsid w:val="00754B71"/>
    <w:rsid w:val="00755BE5"/>
    <w:rsid w:val="0075698D"/>
    <w:rsid w:val="0075795C"/>
    <w:rsid w:val="00761603"/>
    <w:rsid w:val="00761A9E"/>
    <w:rsid w:val="0076277B"/>
    <w:rsid w:val="0076280F"/>
    <w:rsid w:val="0076296F"/>
    <w:rsid w:val="007645A1"/>
    <w:rsid w:val="00765B4A"/>
    <w:rsid w:val="00765C16"/>
    <w:rsid w:val="00766A50"/>
    <w:rsid w:val="00766DF8"/>
    <w:rsid w:val="00767561"/>
    <w:rsid w:val="00767562"/>
    <w:rsid w:val="00770184"/>
    <w:rsid w:val="00770278"/>
    <w:rsid w:val="00771FF2"/>
    <w:rsid w:val="00772564"/>
    <w:rsid w:val="00772A91"/>
    <w:rsid w:val="00772ECA"/>
    <w:rsid w:val="0077331F"/>
    <w:rsid w:val="00773356"/>
    <w:rsid w:val="00775AAC"/>
    <w:rsid w:val="00775CDF"/>
    <w:rsid w:val="00775D8B"/>
    <w:rsid w:val="00775F8E"/>
    <w:rsid w:val="007768D9"/>
    <w:rsid w:val="00776992"/>
    <w:rsid w:val="00776AD1"/>
    <w:rsid w:val="00776D74"/>
    <w:rsid w:val="00777427"/>
    <w:rsid w:val="00777CD9"/>
    <w:rsid w:val="00780A34"/>
    <w:rsid w:val="00780B21"/>
    <w:rsid w:val="0078266B"/>
    <w:rsid w:val="00782CFB"/>
    <w:rsid w:val="00782F0F"/>
    <w:rsid w:val="007830B8"/>
    <w:rsid w:val="0078460D"/>
    <w:rsid w:val="0078509C"/>
    <w:rsid w:val="0078526D"/>
    <w:rsid w:val="007853A0"/>
    <w:rsid w:val="00785B02"/>
    <w:rsid w:val="007861F5"/>
    <w:rsid w:val="00791234"/>
    <w:rsid w:val="007924A8"/>
    <w:rsid w:val="00793EDB"/>
    <w:rsid w:val="007946F2"/>
    <w:rsid w:val="00794E56"/>
    <w:rsid w:val="00795BB7"/>
    <w:rsid w:val="00795C92"/>
    <w:rsid w:val="00795CA3"/>
    <w:rsid w:val="00795E47"/>
    <w:rsid w:val="00796F8C"/>
    <w:rsid w:val="007971CD"/>
    <w:rsid w:val="00797819"/>
    <w:rsid w:val="007A0448"/>
    <w:rsid w:val="007A05E5"/>
    <w:rsid w:val="007A18EA"/>
    <w:rsid w:val="007A1B2F"/>
    <w:rsid w:val="007A1C39"/>
    <w:rsid w:val="007A2996"/>
    <w:rsid w:val="007A2CDB"/>
    <w:rsid w:val="007A43A7"/>
    <w:rsid w:val="007A4F9B"/>
    <w:rsid w:val="007A63B2"/>
    <w:rsid w:val="007A6500"/>
    <w:rsid w:val="007A69B9"/>
    <w:rsid w:val="007A75FF"/>
    <w:rsid w:val="007A7957"/>
    <w:rsid w:val="007B026B"/>
    <w:rsid w:val="007B031B"/>
    <w:rsid w:val="007B2713"/>
    <w:rsid w:val="007B29DB"/>
    <w:rsid w:val="007B3075"/>
    <w:rsid w:val="007B3179"/>
    <w:rsid w:val="007B4E3D"/>
    <w:rsid w:val="007B5AC2"/>
    <w:rsid w:val="007B5CAC"/>
    <w:rsid w:val="007B67C8"/>
    <w:rsid w:val="007B7C54"/>
    <w:rsid w:val="007C0777"/>
    <w:rsid w:val="007C2E29"/>
    <w:rsid w:val="007C2FB0"/>
    <w:rsid w:val="007C3D93"/>
    <w:rsid w:val="007C3EA2"/>
    <w:rsid w:val="007C471A"/>
    <w:rsid w:val="007C49E4"/>
    <w:rsid w:val="007C4FE6"/>
    <w:rsid w:val="007C5688"/>
    <w:rsid w:val="007C6AF4"/>
    <w:rsid w:val="007C6F55"/>
    <w:rsid w:val="007C7313"/>
    <w:rsid w:val="007C7917"/>
    <w:rsid w:val="007C7FC1"/>
    <w:rsid w:val="007D0A57"/>
    <w:rsid w:val="007D2058"/>
    <w:rsid w:val="007D2E71"/>
    <w:rsid w:val="007D3017"/>
    <w:rsid w:val="007D502F"/>
    <w:rsid w:val="007D5579"/>
    <w:rsid w:val="007D663E"/>
    <w:rsid w:val="007D680D"/>
    <w:rsid w:val="007D6AC4"/>
    <w:rsid w:val="007D6C06"/>
    <w:rsid w:val="007D6FC0"/>
    <w:rsid w:val="007D709C"/>
    <w:rsid w:val="007D7489"/>
    <w:rsid w:val="007E0BC4"/>
    <w:rsid w:val="007E166B"/>
    <w:rsid w:val="007E181E"/>
    <w:rsid w:val="007E2202"/>
    <w:rsid w:val="007E2C74"/>
    <w:rsid w:val="007E3A28"/>
    <w:rsid w:val="007E4138"/>
    <w:rsid w:val="007E4E3D"/>
    <w:rsid w:val="007E4E59"/>
    <w:rsid w:val="007E505B"/>
    <w:rsid w:val="007E5A74"/>
    <w:rsid w:val="007E62F2"/>
    <w:rsid w:val="007E704C"/>
    <w:rsid w:val="007E77A1"/>
    <w:rsid w:val="007E7B58"/>
    <w:rsid w:val="007F099A"/>
    <w:rsid w:val="007F116F"/>
    <w:rsid w:val="007F1316"/>
    <w:rsid w:val="007F14BE"/>
    <w:rsid w:val="007F2C7C"/>
    <w:rsid w:val="007F3E61"/>
    <w:rsid w:val="007F446D"/>
    <w:rsid w:val="007F5A67"/>
    <w:rsid w:val="007F5BAA"/>
    <w:rsid w:val="007F78B3"/>
    <w:rsid w:val="00801192"/>
    <w:rsid w:val="00801446"/>
    <w:rsid w:val="0080195B"/>
    <w:rsid w:val="00802701"/>
    <w:rsid w:val="00804875"/>
    <w:rsid w:val="008051C1"/>
    <w:rsid w:val="00805D03"/>
    <w:rsid w:val="00807248"/>
    <w:rsid w:val="00807415"/>
    <w:rsid w:val="00807D9F"/>
    <w:rsid w:val="0081010A"/>
    <w:rsid w:val="0081027F"/>
    <w:rsid w:val="008113A6"/>
    <w:rsid w:val="0081185B"/>
    <w:rsid w:val="00811C9B"/>
    <w:rsid w:val="00813B6D"/>
    <w:rsid w:val="0081540E"/>
    <w:rsid w:val="008156F5"/>
    <w:rsid w:val="00817127"/>
    <w:rsid w:val="00817B85"/>
    <w:rsid w:val="00817CF2"/>
    <w:rsid w:val="00817D76"/>
    <w:rsid w:val="00817E82"/>
    <w:rsid w:val="00821ABB"/>
    <w:rsid w:val="00821D64"/>
    <w:rsid w:val="00822B15"/>
    <w:rsid w:val="0082303A"/>
    <w:rsid w:val="0082318C"/>
    <w:rsid w:val="00823707"/>
    <w:rsid w:val="00823D8D"/>
    <w:rsid w:val="008243CD"/>
    <w:rsid w:val="008269D0"/>
    <w:rsid w:val="00827530"/>
    <w:rsid w:val="00827C29"/>
    <w:rsid w:val="0083009D"/>
    <w:rsid w:val="0083141A"/>
    <w:rsid w:val="0083318F"/>
    <w:rsid w:val="008337F3"/>
    <w:rsid w:val="00833F28"/>
    <w:rsid w:val="00840990"/>
    <w:rsid w:val="00841DFF"/>
    <w:rsid w:val="00842B48"/>
    <w:rsid w:val="008456C4"/>
    <w:rsid w:val="00847121"/>
    <w:rsid w:val="008476B5"/>
    <w:rsid w:val="008513DC"/>
    <w:rsid w:val="008514AA"/>
    <w:rsid w:val="00852502"/>
    <w:rsid w:val="00852F61"/>
    <w:rsid w:val="00853017"/>
    <w:rsid w:val="00853CA5"/>
    <w:rsid w:val="00854B4B"/>
    <w:rsid w:val="008556F6"/>
    <w:rsid w:val="008573F2"/>
    <w:rsid w:val="00861605"/>
    <w:rsid w:val="00861E56"/>
    <w:rsid w:val="00862897"/>
    <w:rsid w:val="00864F65"/>
    <w:rsid w:val="0086606E"/>
    <w:rsid w:val="00866136"/>
    <w:rsid w:val="0086645C"/>
    <w:rsid w:val="00867956"/>
    <w:rsid w:val="008713F2"/>
    <w:rsid w:val="00871ADA"/>
    <w:rsid w:val="00872923"/>
    <w:rsid w:val="00873B93"/>
    <w:rsid w:val="00873D2B"/>
    <w:rsid w:val="0087410B"/>
    <w:rsid w:val="0087418C"/>
    <w:rsid w:val="00875EFA"/>
    <w:rsid w:val="00877796"/>
    <w:rsid w:val="008778C0"/>
    <w:rsid w:val="00880340"/>
    <w:rsid w:val="00880B4B"/>
    <w:rsid w:val="0088240D"/>
    <w:rsid w:val="0088391F"/>
    <w:rsid w:val="00883BFB"/>
    <w:rsid w:val="0088437E"/>
    <w:rsid w:val="008844CC"/>
    <w:rsid w:val="0088509F"/>
    <w:rsid w:val="008857F9"/>
    <w:rsid w:val="00885A97"/>
    <w:rsid w:val="00886881"/>
    <w:rsid w:val="00886FD2"/>
    <w:rsid w:val="00887836"/>
    <w:rsid w:val="0089034D"/>
    <w:rsid w:val="0089047D"/>
    <w:rsid w:val="0089051C"/>
    <w:rsid w:val="0089084C"/>
    <w:rsid w:val="00894712"/>
    <w:rsid w:val="00894C68"/>
    <w:rsid w:val="008968E7"/>
    <w:rsid w:val="00896917"/>
    <w:rsid w:val="008A14BB"/>
    <w:rsid w:val="008A1B31"/>
    <w:rsid w:val="008A210F"/>
    <w:rsid w:val="008A29C4"/>
    <w:rsid w:val="008A3039"/>
    <w:rsid w:val="008A420A"/>
    <w:rsid w:val="008A4DA7"/>
    <w:rsid w:val="008A5AC4"/>
    <w:rsid w:val="008A6E15"/>
    <w:rsid w:val="008A7346"/>
    <w:rsid w:val="008A74C2"/>
    <w:rsid w:val="008A7BC7"/>
    <w:rsid w:val="008B021A"/>
    <w:rsid w:val="008B1565"/>
    <w:rsid w:val="008B16E9"/>
    <w:rsid w:val="008B1ACB"/>
    <w:rsid w:val="008B1E3B"/>
    <w:rsid w:val="008B1F39"/>
    <w:rsid w:val="008B24BC"/>
    <w:rsid w:val="008B276B"/>
    <w:rsid w:val="008B3971"/>
    <w:rsid w:val="008B3B0B"/>
    <w:rsid w:val="008B4CE1"/>
    <w:rsid w:val="008B5634"/>
    <w:rsid w:val="008B581C"/>
    <w:rsid w:val="008B7917"/>
    <w:rsid w:val="008B7A3B"/>
    <w:rsid w:val="008B7AE0"/>
    <w:rsid w:val="008C07AF"/>
    <w:rsid w:val="008C0C30"/>
    <w:rsid w:val="008C0D09"/>
    <w:rsid w:val="008C3666"/>
    <w:rsid w:val="008C702E"/>
    <w:rsid w:val="008C7805"/>
    <w:rsid w:val="008D10E8"/>
    <w:rsid w:val="008D15B8"/>
    <w:rsid w:val="008D1690"/>
    <w:rsid w:val="008D1B7F"/>
    <w:rsid w:val="008D2152"/>
    <w:rsid w:val="008D2174"/>
    <w:rsid w:val="008D5014"/>
    <w:rsid w:val="008D63DC"/>
    <w:rsid w:val="008D6765"/>
    <w:rsid w:val="008D6B59"/>
    <w:rsid w:val="008E091F"/>
    <w:rsid w:val="008E0DB5"/>
    <w:rsid w:val="008E0FD9"/>
    <w:rsid w:val="008E14DD"/>
    <w:rsid w:val="008E341A"/>
    <w:rsid w:val="008E3458"/>
    <w:rsid w:val="008E3BDD"/>
    <w:rsid w:val="008E3BEE"/>
    <w:rsid w:val="008E409A"/>
    <w:rsid w:val="008E4B3E"/>
    <w:rsid w:val="008E70C6"/>
    <w:rsid w:val="008E7746"/>
    <w:rsid w:val="008E77EC"/>
    <w:rsid w:val="008F019F"/>
    <w:rsid w:val="008F22E5"/>
    <w:rsid w:val="008F2737"/>
    <w:rsid w:val="008F3E6F"/>
    <w:rsid w:val="008F40C5"/>
    <w:rsid w:val="008F47BA"/>
    <w:rsid w:val="008F689D"/>
    <w:rsid w:val="008F6BE8"/>
    <w:rsid w:val="008F7531"/>
    <w:rsid w:val="0090199D"/>
    <w:rsid w:val="009023FA"/>
    <w:rsid w:val="00902624"/>
    <w:rsid w:val="00903A65"/>
    <w:rsid w:val="00903DC3"/>
    <w:rsid w:val="009042BB"/>
    <w:rsid w:val="0090469D"/>
    <w:rsid w:val="00904D3B"/>
    <w:rsid w:val="00904D3F"/>
    <w:rsid w:val="00905C1F"/>
    <w:rsid w:val="009069C9"/>
    <w:rsid w:val="00907427"/>
    <w:rsid w:val="00907A16"/>
    <w:rsid w:val="00907F68"/>
    <w:rsid w:val="009110D3"/>
    <w:rsid w:val="00912CBA"/>
    <w:rsid w:val="00913012"/>
    <w:rsid w:val="009132D1"/>
    <w:rsid w:val="0091430B"/>
    <w:rsid w:val="00914999"/>
    <w:rsid w:val="00914CA5"/>
    <w:rsid w:val="00915901"/>
    <w:rsid w:val="00915ACB"/>
    <w:rsid w:val="009163FB"/>
    <w:rsid w:val="00916415"/>
    <w:rsid w:val="00920248"/>
    <w:rsid w:val="0092223A"/>
    <w:rsid w:val="00922FE2"/>
    <w:rsid w:val="00923361"/>
    <w:rsid w:val="00923EA8"/>
    <w:rsid w:val="00923FFD"/>
    <w:rsid w:val="0092688A"/>
    <w:rsid w:val="00926DAA"/>
    <w:rsid w:val="00927488"/>
    <w:rsid w:val="0092749C"/>
    <w:rsid w:val="00930E18"/>
    <w:rsid w:val="00930F9E"/>
    <w:rsid w:val="009312F1"/>
    <w:rsid w:val="00931A6B"/>
    <w:rsid w:val="00934806"/>
    <w:rsid w:val="00935EFB"/>
    <w:rsid w:val="009369C0"/>
    <w:rsid w:val="00936B53"/>
    <w:rsid w:val="0094031B"/>
    <w:rsid w:val="00942F09"/>
    <w:rsid w:val="00942FA1"/>
    <w:rsid w:val="00943932"/>
    <w:rsid w:val="00943F7D"/>
    <w:rsid w:val="009449F2"/>
    <w:rsid w:val="009508DB"/>
    <w:rsid w:val="00950D05"/>
    <w:rsid w:val="00951696"/>
    <w:rsid w:val="00951BBA"/>
    <w:rsid w:val="00951D00"/>
    <w:rsid w:val="00952232"/>
    <w:rsid w:val="009529B2"/>
    <w:rsid w:val="00952BE2"/>
    <w:rsid w:val="00953A11"/>
    <w:rsid w:val="009546A8"/>
    <w:rsid w:val="0095643E"/>
    <w:rsid w:val="00956475"/>
    <w:rsid w:val="00956EA8"/>
    <w:rsid w:val="00960003"/>
    <w:rsid w:val="00960A8F"/>
    <w:rsid w:val="00961EEB"/>
    <w:rsid w:val="009628E3"/>
    <w:rsid w:val="00962D9E"/>
    <w:rsid w:val="00965C78"/>
    <w:rsid w:val="00965CCA"/>
    <w:rsid w:val="00965F3A"/>
    <w:rsid w:val="00966EA3"/>
    <w:rsid w:val="0096759B"/>
    <w:rsid w:val="0097029E"/>
    <w:rsid w:val="00973962"/>
    <w:rsid w:val="0097459A"/>
    <w:rsid w:val="009748BB"/>
    <w:rsid w:val="0097574B"/>
    <w:rsid w:val="00975AAF"/>
    <w:rsid w:val="00975B3A"/>
    <w:rsid w:val="00976F49"/>
    <w:rsid w:val="00980330"/>
    <w:rsid w:val="009803FE"/>
    <w:rsid w:val="00980E0C"/>
    <w:rsid w:val="00981BBA"/>
    <w:rsid w:val="00981D7B"/>
    <w:rsid w:val="00982297"/>
    <w:rsid w:val="00982380"/>
    <w:rsid w:val="00982C36"/>
    <w:rsid w:val="00983436"/>
    <w:rsid w:val="009855AE"/>
    <w:rsid w:val="00986303"/>
    <w:rsid w:val="0098674F"/>
    <w:rsid w:val="0098738B"/>
    <w:rsid w:val="009874E5"/>
    <w:rsid w:val="00990EB7"/>
    <w:rsid w:val="00994101"/>
    <w:rsid w:val="00996C53"/>
    <w:rsid w:val="00996D99"/>
    <w:rsid w:val="009976F5"/>
    <w:rsid w:val="009A0955"/>
    <w:rsid w:val="009A1003"/>
    <w:rsid w:val="009A14C0"/>
    <w:rsid w:val="009A36EE"/>
    <w:rsid w:val="009A3B3C"/>
    <w:rsid w:val="009A432E"/>
    <w:rsid w:val="009A477A"/>
    <w:rsid w:val="009A6784"/>
    <w:rsid w:val="009A67A5"/>
    <w:rsid w:val="009A7CD8"/>
    <w:rsid w:val="009B0206"/>
    <w:rsid w:val="009B0231"/>
    <w:rsid w:val="009B0511"/>
    <w:rsid w:val="009B0633"/>
    <w:rsid w:val="009B140E"/>
    <w:rsid w:val="009B4D2C"/>
    <w:rsid w:val="009B53C8"/>
    <w:rsid w:val="009B6EE7"/>
    <w:rsid w:val="009B718C"/>
    <w:rsid w:val="009B76C2"/>
    <w:rsid w:val="009B79E3"/>
    <w:rsid w:val="009C0503"/>
    <w:rsid w:val="009C0DDA"/>
    <w:rsid w:val="009C1662"/>
    <w:rsid w:val="009C1E12"/>
    <w:rsid w:val="009C216E"/>
    <w:rsid w:val="009C30AC"/>
    <w:rsid w:val="009C3B32"/>
    <w:rsid w:val="009C512A"/>
    <w:rsid w:val="009C5AE9"/>
    <w:rsid w:val="009C6C73"/>
    <w:rsid w:val="009D0155"/>
    <w:rsid w:val="009D0C86"/>
    <w:rsid w:val="009D1F8F"/>
    <w:rsid w:val="009D436C"/>
    <w:rsid w:val="009D4523"/>
    <w:rsid w:val="009D5298"/>
    <w:rsid w:val="009D5D79"/>
    <w:rsid w:val="009D6114"/>
    <w:rsid w:val="009D68F9"/>
    <w:rsid w:val="009E0BAA"/>
    <w:rsid w:val="009E0E0D"/>
    <w:rsid w:val="009E2A99"/>
    <w:rsid w:val="009E34C1"/>
    <w:rsid w:val="009E36B5"/>
    <w:rsid w:val="009E3AD5"/>
    <w:rsid w:val="009E3BDC"/>
    <w:rsid w:val="009E6560"/>
    <w:rsid w:val="009E6575"/>
    <w:rsid w:val="009F022F"/>
    <w:rsid w:val="009F0822"/>
    <w:rsid w:val="009F1FF3"/>
    <w:rsid w:val="009F26CE"/>
    <w:rsid w:val="009F2F7A"/>
    <w:rsid w:val="009F34DD"/>
    <w:rsid w:val="009F54D4"/>
    <w:rsid w:val="009F7D19"/>
    <w:rsid w:val="009F7F3E"/>
    <w:rsid w:val="00A00172"/>
    <w:rsid w:val="00A0140F"/>
    <w:rsid w:val="00A0159A"/>
    <w:rsid w:val="00A01930"/>
    <w:rsid w:val="00A0212A"/>
    <w:rsid w:val="00A0286C"/>
    <w:rsid w:val="00A02AB6"/>
    <w:rsid w:val="00A031C9"/>
    <w:rsid w:val="00A042B0"/>
    <w:rsid w:val="00A046FC"/>
    <w:rsid w:val="00A04AD9"/>
    <w:rsid w:val="00A0600C"/>
    <w:rsid w:val="00A06611"/>
    <w:rsid w:val="00A068F9"/>
    <w:rsid w:val="00A1154C"/>
    <w:rsid w:val="00A134E5"/>
    <w:rsid w:val="00A14E03"/>
    <w:rsid w:val="00A15236"/>
    <w:rsid w:val="00A15536"/>
    <w:rsid w:val="00A15859"/>
    <w:rsid w:val="00A16459"/>
    <w:rsid w:val="00A168ED"/>
    <w:rsid w:val="00A17077"/>
    <w:rsid w:val="00A178C8"/>
    <w:rsid w:val="00A21332"/>
    <w:rsid w:val="00A21D81"/>
    <w:rsid w:val="00A21E6B"/>
    <w:rsid w:val="00A21EF8"/>
    <w:rsid w:val="00A224DB"/>
    <w:rsid w:val="00A22B90"/>
    <w:rsid w:val="00A232E5"/>
    <w:rsid w:val="00A24466"/>
    <w:rsid w:val="00A24CE6"/>
    <w:rsid w:val="00A24EF0"/>
    <w:rsid w:val="00A25666"/>
    <w:rsid w:val="00A25C95"/>
    <w:rsid w:val="00A26E21"/>
    <w:rsid w:val="00A30090"/>
    <w:rsid w:val="00A3042C"/>
    <w:rsid w:val="00A326CA"/>
    <w:rsid w:val="00A34591"/>
    <w:rsid w:val="00A34C06"/>
    <w:rsid w:val="00A356FF"/>
    <w:rsid w:val="00A365CD"/>
    <w:rsid w:val="00A36D58"/>
    <w:rsid w:val="00A373EA"/>
    <w:rsid w:val="00A375F1"/>
    <w:rsid w:val="00A402AC"/>
    <w:rsid w:val="00A40699"/>
    <w:rsid w:val="00A40869"/>
    <w:rsid w:val="00A409C3"/>
    <w:rsid w:val="00A41AF8"/>
    <w:rsid w:val="00A42951"/>
    <w:rsid w:val="00A42A8A"/>
    <w:rsid w:val="00A42C72"/>
    <w:rsid w:val="00A42CC2"/>
    <w:rsid w:val="00A43BAD"/>
    <w:rsid w:val="00A458DE"/>
    <w:rsid w:val="00A473FA"/>
    <w:rsid w:val="00A503F0"/>
    <w:rsid w:val="00A50D6F"/>
    <w:rsid w:val="00A50DFB"/>
    <w:rsid w:val="00A52E16"/>
    <w:rsid w:val="00A53CBC"/>
    <w:rsid w:val="00A5423E"/>
    <w:rsid w:val="00A543A4"/>
    <w:rsid w:val="00A54683"/>
    <w:rsid w:val="00A559A8"/>
    <w:rsid w:val="00A60393"/>
    <w:rsid w:val="00A60E32"/>
    <w:rsid w:val="00A610D9"/>
    <w:rsid w:val="00A61970"/>
    <w:rsid w:val="00A6273B"/>
    <w:rsid w:val="00A62B25"/>
    <w:rsid w:val="00A63C90"/>
    <w:rsid w:val="00A64155"/>
    <w:rsid w:val="00A64ACA"/>
    <w:rsid w:val="00A6512D"/>
    <w:rsid w:val="00A65DF8"/>
    <w:rsid w:val="00A6688F"/>
    <w:rsid w:val="00A66BC6"/>
    <w:rsid w:val="00A66EF5"/>
    <w:rsid w:val="00A70C73"/>
    <w:rsid w:val="00A70FEA"/>
    <w:rsid w:val="00A710FF"/>
    <w:rsid w:val="00A7130E"/>
    <w:rsid w:val="00A7159C"/>
    <w:rsid w:val="00A715C8"/>
    <w:rsid w:val="00A725B0"/>
    <w:rsid w:val="00A7316B"/>
    <w:rsid w:val="00A74B42"/>
    <w:rsid w:val="00A751B4"/>
    <w:rsid w:val="00A7564C"/>
    <w:rsid w:val="00A75FD2"/>
    <w:rsid w:val="00A764EF"/>
    <w:rsid w:val="00A76834"/>
    <w:rsid w:val="00A77D24"/>
    <w:rsid w:val="00A80AD2"/>
    <w:rsid w:val="00A811C7"/>
    <w:rsid w:val="00A814DA"/>
    <w:rsid w:val="00A8179B"/>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3995"/>
    <w:rsid w:val="00A953E1"/>
    <w:rsid w:val="00A96921"/>
    <w:rsid w:val="00A97EB2"/>
    <w:rsid w:val="00A97EC8"/>
    <w:rsid w:val="00AA0C8F"/>
    <w:rsid w:val="00AA125B"/>
    <w:rsid w:val="00AA1B58"/>
    <w:rsid w:val="00AA1D80"/>
    <w:rsid w:val="00AA417E"/>
    <w:rsid w:val="00AA4D52"/>
    <w:rsid w:val="00AA4DBB"/>
    <w:rsid w:val="00AA51F2"/>
    <w:rsid w:val="00AA54BA"/>
    <w:rsid w:val="00AB144E"/>
    <w:rsid w:val="00AB174B"/>
    <w:rsid w:val="00AB3ACE"/>
    <w:rsid w:val="00AB741A"/>
    <w:rsid w:val="00AB7D9C"/>
    <w:rsid w:val="00AC1F34"/>
    <w:rsid w:val="00AC5BCC"/>
    <w:rsid w:val="00AC6440"/>
    <w:rsid w:val="00AC7838"/>
    <w:rsid w:val="00AD05FD"/>
    <w:rsid w:val="00AD14A3"/>
    <w:rsid w:val="00AD2362"/>
    <w:rsid w:val="00AD3EA7"/>
    <w:rsid w:val="00AD44DE"/>
    <w:rsid w:val="00AD6302"/>
    <w:rsid w:val="00AD6A7C"/>
    <w:rsid w:val="00AD6BF0"/>
    <w:rsid w:val="00AD73FD"/>
    <w:rsid w:val="00AE0CA4"/>
    <w:rsid w:val="00AE0D05"/>
    <w:rsid w:val="00AE0E90"/>
    <w:rsid w:val="00AE1E02"/>
    <w:rsid w:val="00AE27BD"/>
    <w:rsid w:val="00AE37E3"/>
    <w:rsid w:val="00AE4158"/>
    <w:rsid w:val="00AE4303"/>
    <w:rsid w:val="00AE49FF"/>
    <w:rsid w:val="00AE61A7"/>
    <w:rsid w:val="00AE62F1"/>
    <w:rsid w:val="00AF00BA"/>
    <w:rsid w:val="00AF0E7F"/>
    <w:rsid w:val="00AF28F3"/>
    <w:rsid w:val="00AF4998"/>
    <w:rsid w:val="00AF5F06"/>
    <w:rsid w:val="00AF61D7"/>
    <w:rsid w:val="00B00391"/>
    <w:rsid w:val="00B00942"/>
    <w:rsid w:val="00B0269B"/>
    <w:rsid w:val="00B02E7A"/>
    <w:rsid w:val="00B034CE"/>
    <w:rsid w:val="00B0365F"/>
    <w:rsid w:val="00B03F80"/>
    <w:rsid w:val="00B0417C"/>
    <w:rsid w:val="00B04A87"/>
    <w:rsid w:val="00B05864"/>
    <w:rsid w:val="00B05AC8"/>
    <w:rsid w:val="00B105E2"/>
    <w:rsid w:val="00B10E10"/>
    <w:rsid w:val="00B10E6D"/>
    <w:rsid w:val="00B11346"/>
    <w:rsid w:val="00B113D7"/>
    <w:rsid w:val="00B1196F"/>
    <w:rsid w:val="00B119B7"/>
    <w:rsid w:val="00B11A51"/>
    <w:rsid w:val="00B1273E"/>
    <w:rsid w:val="00B12878"/>
    <w:rsid w:val="00B13093"/>
    <w:rsid w:val="00B1367B"/>
    <w:rsid w:val="00B13D81"/>
    <w:rsid w:val="00B13FE1"/>
    <w:rsid w:val="00B155A6"/>
    <w:rsid w:val="00B15BBF"/>
    <w:rsid w:val="00B16B22"/>
    <w:rsid w:val="00B179C6"/>
    <w:rsid w:val="00B17F12"/>
    <w:rsid w:val="00B20A76"/>
    <w:rsid w:val="00B2214F"/>
    <w:rsid w:val="00B224D7"/>
    <w:rsid w:val="00B234CB"/>
    <w:rsid w:val="00B2367F"/>
    <w:rsid w:val="00B25945"/>
    <w:rsid w:val="00B262C7"/>
    <w:rsid w:val="00B26EF9"/>
    <w:rsid w:val="00B2757E"/>
    <w:rsid w:val="00B27D70"/>
    <w:rsid w:val="00B27F58"/>
    <w:rsid w:val="00B30015"/>
    <w:rsid w:val="00B31157"/>
    <w:rsid w:val="00B31FD0"/>
    <w:rsid w:val="00B32ED1"/>
    <w:rsid w:val="00B33402"/>
    <w:rsid w:val="00B34828"/>
    <w:rsid w:val="00B34880"/>
    <w:rsid w:val="00B34C4F"/>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47DC9"/>
    <w:rsid w:val="00B50B83"/>
    <w:rsid w:val="00B523C8"/>
    <w:rsid w:val="00B52655"/>
    <w:rsid w:val="00B53084"/>
    <w:rsid w:val="00B534AE"/>
    <w:rsid w:val="00B53B12"/>
    <w:rsid w:val="00B53BE9"/>
    <w:rsid w:val="00B5414E"/>
    <w:rsid w:val="00B54E5F"/>
    <w:rsid w:val="00B54F7E"/>
    <w:rsid w:val="00B558C8"/>
    <w:rsid w:val="00B55CD3"/>
    <w:rsid w:val="00B5649E"/>
    <w:rsid w:val="00B567B9"/>
    <w:rsid w:val="00B56CB2"/>
    <w:rsid w:val="00B62596"/>
    <w:rsid w:val="00B64804"/>
    <w:rsid w:val="00B6493F"/>
    <w:rsid w:val="00B64CCD"/>
    <w:rsid w:val="00B64D97"/>
    <w:rsid w:val="00B650E4"/>
    <w:rsid w:val="00B660BB"/>
    <w:rsid w:val="00B665B6"/>
    <w:rsid w:val="00B6799F"/>
    <w:rsid w:val="00B67BF3"/>
    <w:rsid w:val="00B7008C"/>
    <w:rsid w:val="00B72613"/>
    <w:rsid w:val="00B727BA"/>
    <w:rsid w:val="00B72922"/>
    <w:rsid w:val="00B75101"/>
    <w:rsid w:val="00B7527D"/>
    <w:rsid w:val="00B75F5D"/>
    <w:rsid w:val="00B77176"/>
    <w:rsid w:val="00B77367"/>
    <w:rsid w:val="00B8118C"/>
    <w:rsid w:val="00B817B3"/>
    <w:rsid w:val="00B8189D"/>
    <w:rsid w:val="00B8260C"/>
    <w:rsid w:val="00B8301E"/>
    <w:rsid w:val="00B833E4"/>
    <w:rsid w:val="00B833F2"/>
    <w:rsid w:val="00B846BC"/>
    <w:rsid w:val="00B852E7"/>
    <w:rsid w:val="00B858E4"/>
    <w:rsid w:val="00B90F54"/>
    <w:rsid w:val="00B9103F"/>
    <w:rsid w:val="00B91E55"/>
    <w:rsid w:val="00B94B86"/>
    <w:rsid w:val="00B94F37"/>
    <w:rsid w:val="00B965EF"/>
    <w:rsid w:val="00BA0AD4"/>
    <w:rsid w:val="00BA110E"/>
    <w:rsid w:val="00BA1A50"/>
    <w:rsid w:val="00BA20AA"/>
    <w:rsid w:val="00BA3967"/>
    <w:rsid w:val="00BA3F1E"/>
    <w:rsid w:val="00BA411F"/>
    <w:rsid w:val="00BA4EC3"/>
    <w:rsid w:val="00BA5862"/>
    <w:rsid w:val="00BA629C"/>
    <w:rsid w:val="00BA6E32"/>
    <w:rsid w:val="00BA7666"/>
    <w:rsid w:val="00BA7852"/>
    <w:rsid w:val="00BA7B37"/>
    <w:rsid w:val="00BB04D3"/>
    <w:rsid w:val="00BB0A35"/>
    <w:rsid w:val="00BB12AF"/>
    <w:rsid w:val="00BB159E"/>
    <w:rsid w:val="00BB534E"/>
    <w:rsid w:val="00BB5781"/>
    <w:rsid w:val="00BB67CF"/>
    <w:rsid w:val="00BB6D79"/>
    <w:rsid w:val="00BB6D81"/>
    <w:rsid w:val="00BB6ED9"/>
    <w:rsid w:val="00BB79BB"/>
    <w:rsid w:val="00BC12EA"/>
    <w:rsid w:val="00BC158C"/>
    <w:rsid w:val="00BC172C"/>
    <w:rsid w:val="00BC2AFC"/>
    <w:rsid w:val="00BC2CE5"/>
    <w:rsid w:val="00BC2D62"/>
    <w:rsid w:val="00BC30B8"/>
    <w:rsid w:val="00BC385E"/>
    <w:rsid w:val="00BC3896"/>
    <w:rsid w:val="00BC3F27"/>
    <w:rsid w:val="00BC4236"/>
    <w:rsid w:val="00BC43D0"/>
    <w:rsid w:val="00BC54A0"/>
    <w:rsid w:val="00BC74CB"/>
    <w:rsid w:val="00BD07E6"/>
    <w:rsid w:val="00BD15E1"/>
    <w:rsid w:val="00BD1A58"/>
    <w:rsid w:val="00BD2196"/>
    <w:rsid w:val="00BD2FE6"/>
    <w:rsid w:val="00BD36E0"/>
    <w:rsid w:val="00BD39F2"/>
    <w:rsid w:val="00BD3C25"/>
    <w:rsid w:val="00BD4280"/>
    <w:rsid w:val="00BD5349"/>
    <w:rsid w:val="00BD5FB6"/>
    <w:rsid w:val="00BD6265"/>
    <w:rsid w:val="00BD6684"/>
    <w:rsid w:val="00BD7258"/>
    <w:rsid w:val="00BE09D1"/>
    <w:rsid w:val="00BE0BFE"/>
    <w:rsid w:val="00BE154B"/>
    <w:rsid w:val="00BE1F88"/>
    <w:rsid w:val="00BE28E4"/>
    <w:rsid w:val="00BE457B"/>
    <w:rsid w:val="00BE4800"/>
    <w:rsid w:val="00BE4C1C"/>
    <w:rsid w:val="00BE56F9"/>
    <w:rsid w:val="00BE6517"/>
    <w:rsid w:val="00BE6C47"/>
    <w:rsid w:val="00BE6E60"/>
    <w:rsid w:val="00BE7B16"/>
    <w:rsid w:val="00BF02BB"/>
    <w:rsid w:val="00BF09AA"/>
    <w:rsid w:val="00BF3DA7"/>
    <w:rsid w:val="00BF4C1B"/>
    <w:rsid w:val="00BF58C8"/>
    <w:rsid w:val="00BF5AEC"/>
    <w:rsid w:val="00BF6518"/>
    <w:rsid w:val="00BF73BB"/>
    <w:rsid w:val="00BF79B6"/>
    <w:rsid w:val="00BF7BB3"/>
    <w:rsid w:val="00C001EB"/>
    <w:rsid w:val="00C00863"/>
    <w:rsid w:val="00C00C20"/>
    <w:rsid w:val="00C01545"/>
    <w:rsid w:val="00C01F9E"/>
    <w:rsid w:val="00C02948"/>
    <w:rsid w:val="00C02A87"/>
    <w:rsid w:val="00C049CB"/>
    <w:rsid w:val="00C053D9"/>
    <w:rsid w:val="00C058B8"/>
    <w:rsid w:val="00C06C58"/>
    <w:rsid w:val="00C079A4"/>
    <w:rsid w:val="00C07C64"/>
    <w:rsid w:val="00C12DA5"/>
    <w:rsid w:val="00C13DDF"/>
    <w:rsid w:val="00C15041"/>
    <w:rsid w:val="00C1643A"/>
    <w:rsid w:val="00C16FBF"/>
    <w:rsid w:val="00C200E0"/>
    <w:rsid w:val="00C2019E"/>
    <w:rsid w:val="00C2142A"/>
    <w:rsid w:val="00C21BF7"/>
    <w:rsid w:val="00C22F96"/>
    <w:rsid w:val="00C23126"/>
    <w:rsid w:val="00C2407F"/>
    <w:rsid w:val="00C2437B"/>
    <w:rsid w:val="00C24C11"/>
    <w:rsid w:val="00C261D3"/>
    <w:rsid w:val="00C264F8"/>
    <w:rsid w:val="00C27BA8"/>
    <w:rsid w:val="00C3063B"/>
    <w:rsid w:val="00C30D7B"/>
    <w:rsid w:val="00C33424"/>
    <w:rsid w:val="00C33D10"/>
    <w:rsid w:val="00C34275"/>
    <w:rsid w:val="00C344FC"/>
    <w:rsid w:val="00C34E43"/>
    <w:rsid w:val="00C35727"/>
    <w:rsid w:val="00C36996"/>
    <w:rsid w:val="00C36B50"/>
    <w:rsid w:val="00C37E05"/>
    <w:rsid w:val="00C4003A"/>
    <w:rsid w:val="00C4005A"/>
    <w:rsid w:val="00C41A14"/>
    <w:rsid w:val="00C41D5D"/>
    <w:rsid w:val="00C427C5"/>
    <w:rsid w:val="00C44025"/>
    <w:rsid w:val="00C457D7"/>
    <w:rsid w:val="00C45CF7"/>
    <w:rsid w:val="00C466D1"/>
    <w:rsid w:val="00C46C9E"/>
    <w:rsid w:val="00C470DD"/>
    <w:rsid w:val="00C47AA7"/>
    <w:rsid w:val="00C504A1"/>
    <w:rsid w:val="00C50EFA"/>
    <w:rsid w:val="00C51D35"/>
    <w:rsid w:val="00C524EC"/>
    <w:rsid w:val="00C52F2F"/>
    <w:rsid w:val="00C53B0D"/>
    <w:rsid w:val="00C53CD5"/>
    <w:rsid w:val="00C548EF"/>
    <w:rsid w:val="00C549BC"/>
    <w:rsid w:val="00C60507"/>
    <w:rsid w:val="00C60DAC"/>
    <w:rsid w:val="00C610D1"/>
    <w:rsid w:val="00C613D3"/>
    <w:rsid w:val="00C618F7"/>
    <w:rsid w:val="00C61B20"/>
    <w:rsid w:val="00C633BE"/>
    <w:rsid w:val="00C63433"/>
    <w:rsid w:val="00C64A67"/>
    <w:rsid w:val="00C64D59"/>
    <w:rsid w:val="00C65870"/>
    <w:rsid w:val="00C65E1B"/>
    <w:rsid w:val="00C661D2"/>
    <w:rsid w:val="00C66A1A"/>
    <w:rsid w:val="00C6746E"/>
    <w:rsid w:val="00C70181"/>
    <w:rsid w:val="00C715EB"/>
    <w:rsid w:val="00C7220C"/>
    <w:rsid w:val="00C758BD"/>
    <w:rsid w:val="00C75B92"/>
    <w:rsid w:val="00C76799"/>
    <w:rsid w:val="00C76A74"/>
    <w:rsid w:val="00C76C0E"/>
    <w:rsid w:val="00C81A62"/>
    <w:rsid w:val="00C81D5F"/>
    <w:rsid w:val="00C8246C"/>
    <w:rsid w:val="00C82CEA"/>
    <w:rsid w:val="00C84165"/>
    <w:rsid w:val="00C846D3"/>
    <w:rsid w:val="00C850AC"/>
    <w:rsid w:val="00C86DCA"/>
    <w:rsid w:val="00C86F88"/>
    <w:rsid w:val="00C87F29"/>
    <w:rsid w:val="00C90726"/>
    <w:rsid w:val="00C90AD1"/>
    <w:rsid w:val="00C90DCB"/>
    <w:rsid w:val="00C916D2"/>
    <w:rsid w:val="00C91DF6"/>
    <w:rsid w:val="00C93446"/>
    <w:rsid w:val="00C94C19"/>
    <w:rsid w:val="00C94EF1"/>
    <w:rsid w:val="00C974B0"/>
    <w:rsid w:val="00C977EF"/>
    <w:rsid w:val="00C9796D"/>
    <w:rsid w:val="00C97A0D"/>
    <w:rsid w:val="00C97A24"/>
    <w:rsid w:val="00C97C6C"/>
    <w:rsid w:val="00CA1B2F"/>
    <w:rsid w:val="00CA2276"/>
    <w:rsid w:val="00CA4F2F"/>
    <w:rsid w:val="00CA5407"/>
    <w:rsid w:val="00CA5979"/>
    <w:rsid w:val="00CA60B8"/>
    <w:rsid w:val="00CA661C"/>
    <w:rsid w:val="00CA6C84"/>
    <w:rsid w:val="00CA7520"/>
    <w:rsid w:val="00CB0496"/>
    <w:rsid w:val="00CB09C7"/>
    <w:rsid w:val="00CB0BA3"/>
    <w:rsid w:val="00CB1104"/>
    <w:rsid w:val="00CB1451"/>
    <w:rsid w:val="00CB3F66"/>
    <w:rsid w:val="00CB4202"/>
    <w:rsid w:val="00CB639D"/>
    <w:rsid w:val="00CB64C1"/>
    <w:rsid w:val="00CC18E5"/>
    <w:rsid w:val="00CC3CC7"/>
    <w:rsid w:val="00CC3EE4"/>
    <w:rsid w:val="00CC5344"/>
    <w:rsid w:val="00CC5426"/>
    <w:rsid w:val="00CC5445"/>
    <w:rsid w:val="00CC5DE4"/>
    <w:rsid w:val="00CC5ED3"/>
    <w:rsid w:val="00CC670D"/>
    <w:rsid w:val="00CD05A9"/>
    <w:rsid w:val="00CD06CD"/>
    <w:rsid w:val="00CD3418"/>
    <w:rsid w:val="00CD38E0"/>
    <w:rsid w:val="00CD4A9A"/>
    <w:rsid w:val="00CD5643"/>
    <w:rsid w:val="00CD7E50"/>
    <w:rsid w:val="00CE042E"/>
    <w:rsid w:val="00CE09E2"/>
    <w:rsid w:val="00CE0F9D"/>
    <w:rsid w:val="00CE155C"/>
    <w:rsid w:val="00CE4BCB"/>
    <w:rsid w:val="00CE4C2B"/>
    <w:rsid w:val="00CE5008"/>
    <w:rsid w:val="00CE56C1"/>
    <w:rsid w:val="00CE7A13"/>
    <w:rsid w:val="00CF21B1"/>
    <w:rsid w:val="00CF3DAE"/>
    <w:rsid w:val="00CF4280"/>
    <w:rsid w:val="00CF46E5"/>
    <w:rsid w:val="00CF6F60"/>
    <w:rsid w:val="00CF79D1"/>
    <w:rsid w:val="00D00158"/>
    <w:rsid w:val="00D003D6"/>
    <w:rsid w:val="00D02D22"/>
    <w:rsid w:val="00D0358A"/>
    <w:rsid w:val="00D05A45"/>
    <w:rsid w:val="00D06A71"/>
    <w:rsid w:val="00D104B3"/>
    <w:rsid w:val="00D113CF"/>
    <w:rsid w:val="00D13566"/>
    <w:rsid w:val="00D137B9"/>
    <w:rsid w:val="00D13F6F"/>
    <w:rsid w:val="00D1419E"/>
    <w:rsid w:val="00D1590B"/>
    <w:rsid w:val="00D17517"/>
    <w:rsid w:val="00D177AF"/>
    <w:rsid w:val="00D17F15"/>
    <w:rsid w:val="00D20137"/>
    <w:rsid w:val="00D2025B"/>
    <w:rsid w:val="00D204AB"/>
    <w:rsid w:val="00D204E2"/>
    <w:rsid w:val="00D205FE"/>
    <w:rsid w:val="00D2061F"/>
    <w:rsid w:val="00D2179D"/>
    <w:rsid w:val="00D21F40"/>
    <w:rsid w:val="00D22754"/>
    <w:rsid w:val="00D22D90"/>
    <w:rsid w:val="00D243B8"/>
    <w:rsid w:val="00D251F1"/>
    <w:rsid w:val="00D25E87"/>
    <w:rsid w:val="00D26935"/>
    <w:rsid w:val="00D26D20"/>
    <w:rsid w:val="00D272B3"/>
    <w:rsid w:val="00D300AD"/>
    <w:rsid w:val="00D315F2"/>
    <w:rsid w:val="00D31FEC"/>
    <w:rsid w:val="00D32102"/>
    <w:rsid w:val="00D330F5"/>
    <w:rsid w:val="00D33112"/>
    <w:rsid w:val="00D33A12"/>
    <w:rsid w:val="00D3423A"/>
    <w:rsid w:val="00D349B1"/>
    <w:rsid w:val="00D34EA4"/>
    <w:rsid w:val="00D41542"/>
    <w:rsid w:val="00D4328C"/>
    <w:rsid w:val="00D438AA"/>
    <w:rsid w:val="00D443CF"/>
    <w:rsid w:val="00D4496A"/>
    <w:rsid w:val="00D44C2E"/>
    <w:rsid w:val="00D44D07"/>
    <w:rsid w:val="00D46A71"/>
    <w:rsid w:val="00D478FD"/>
    <w:rsid w:val="00D47A38"/>
    <w:rsid w:val="00D50BD8"/>
    <w:rsid w:val="00D516AE"/>
    <w:rsid w:val="00D521B9"/>
    <w:rsid w:val="00D52D17"/>
    <w:rsid w:val="00D535C6"/>
    <w:rsid w:val="00D54411"/>
    <w:rsid w:val="00D54848"/>
    <w:rsid w:val="00D55445"/>
    <w:rsid w:val="00D5562A"/>
    <w:rsid w:val="00D556C1"/>
    <w:rsid w:val="00D55940"/>
    <w:rsid w:val="00D56182"/>
    <w:rsid w:val="00D564E6"/>
    <w:rsid w:val="00D56604"/>
    <w:rsid w:val="00D567D7"/>
    <w:rsid w:val="00D5752F"/>
    <w:rsid w:val="00D60F44"/>
    <w:rsid w:val="00D622F0"/>
    <w:rsid w:val="00D62F6C"/>
    <w:rsid w:val="00D6552A"/>
    <w:rsid w:val="00D658BF"/>
    <w:rsid w:val="00D65F85"/>
    <w:rsid w:val="00D66068"/>
    <w:rsid w:val="00D661D4"/>
    <w:rsid w:val="00D67159"/>
    <w:rsid w:val="00D67398"/>
    <w:rsid w:val="00D67B37"/>
    <w:rsid w:val="00D67E9B"/>
    <w:rsid w:val="00D70A8A"/>
    <w:rsid w:val="00D70F82"/>
    <w:rsid w:val="00D72080"/>
    <w:rsid w:val="00D725A7"/>
    <w:rsid w:val="00D72E1C"/>
    <w:rsid w:val="00D741E0"/>
    <w:rsid w:val="00D74486"/>
    <w:rsid w:val="00D76217"/>
    <w:rsid w:val="00D7750D"/>
    <w:rsid w:val="00D80A10"/>
    <w:rsid w:val="00D80C81"/>
    <w:rsid w:val="00D81411"/>
    <w:rsid w:val="00D81558"/>
    <w:rsid w:val="00D81A99"/>
    <w:rsid w:val="00D81B42"/>
    <w:rsid w:val="00D82280"/>
    <w:rsid w:val="00D822F9"/>
    <w:rsid w:val="00D8266F"/>
    <w:rsid w:val="00D82DED"/>
    <w:rsid w:val="00D84291"/>
    <w:rsid w:val="00D8459C"/>
    <w:rsid w:val="00D848FE"/>
    <w:rsid w:val="00D85A8C"/>
    <w:rsid w:val="00D85B2D"/>
    <w:rsid w:val="00D865E6"/>
    <w:rsid w:val="00D866CE"/>
    <w:rsid w:val="00D86B3F"/>
    <w:rsid w:val="00D87288"/>
    <w:rsid w:val="00D872E7"/>
    <w:rsid w:val="00D87B48"/>
    <w:rsid w:val="00D900A8"/>
    <w:rsid w:val="00D90D3A"/>
    <w:rsid w:val="00D9133C"/>
    <w:rsid w:val="00D91461"/>
    <w:rsid w:val="00D921E0"/>
    <w:rsid w:val="00D93DF7"/>
    <w:rsid w:val="00D9400D"/>
    <w:rsid w:val="00D95133"/>
    <w:rsid w:val="00D95E18"/>
    <w:rsid w:val="00D96278"/>
    <w:rsid w:val="00D96645"/>
    <w:rsid w:val="00D96B2C"/>
    <w:rsid w:val="00D96B8D"/>
    <w:rsid w:val="00D96C21"/>
    <w:rsid w:val="00D97439"/>
    <w:rsid w:val="00D97A7C"/>
    <w:rsid w:val="00DA033A"/>
    <w:rsid w:val="00DA2E4E"/>
    <w:rsid w:val="00DA3453"/>
    <w:rsid w:val="00DA3EA3"/>
    <w:rsid w:val="00DA4ED6"/>
    <w:rsid w:val="00DA58F1"/>
    <w:rsid w:val="00DA7595"/>
    <w:rsid w:val="00DB177E"/>
    <w:rsid w:val="00DB1B12"/>
    <w:rsid w:val="00DB3557"/>
    <w:rsid w:val="00DB37EA"/>
    <w:rsid w:val="00DB3C3C"/>
    <w:rsid w:val="00DB44C2"/>
    <w:rsid w:val="00DB56EC"/>
    <w:rsid w:val="00DB5A34"/>
    <w:rsid w:val="00DB60CA"/>
    <w:rsid w:val="00DB6D9E"/>
    <w:rsid w:val="00DB7149"/>
    <w:rsid w:val="00DC177F"/>
    <w:rsid w:val="00DC206A"/>
    <w:rsid w:val="00DC262E"/>
    <w:rsid w:val="00DC30CC"/>
    <w:rsid w:val="00DC3519"/>
    <w:rsid w:val="00DC4A9B"/>
    <w:rsid w:val="00DC5079"/>
    <w:rsid w:val="00DC5615"/>
    <w:rsid w:val="00DC5A0C"/>
    <w:rsid w:val="00DC5D74"/>
    <w:rsid w:val="00DC6D89"/>
    <w:rsid w:val="00DC74AA"/>
    <w:rsid w:val="00DD08BF"/>
    <w:rsid w:val="00DD1D96"/>
    <w:rsid w:val="00DD2690"/>
    <w:rsid w:val="00DD26FC"/>
    <w:rsid w:val="00DD3D3A"/>
    <w:rsid w:val="00DD4099"/>
    <w:rsid w:val="00DD42F4"/>
    <w:rsid w:val="00DD492B"/>
    <w:rsid w:val="00DD4C78"/>
    <w:rsid w:val="00DD5C6E"/>
    <w:rsid w:val="00DD6706"/>
    <w:rsid w:val="00DD7C41"/>
    <w:rsid w:val="00DE0B4F"/>
    <w:rsid w:val="00DE1909"/>
    <w:rsid w:val="00DE279C"/>
    <w:rsid w:val="00DE3275"/>
    <w:rsid w:val="00DE39E6"/>
    <w:rsid w:val="00DE438E"/>
    <w:rsid w:val="00DE4719"/>
    <w:rsid w:val="00DE49A3"/>
    <w:rsid w:val="00DE59E7"/>
    <w:rsid w:val="00DE6474"/>
    <w:rsid w:val="00DE6E67"/>
    <w:rsid w:val="00DE7917"/>
    <w:rsid w:val="00DF0126"/>
    <w:rsid w:val="00DF1AD7"/>
    <w:rsid w:val="00DF1FCA"/>
    <w:rsid w:val="00DF1FE4"/>
    <w:rsid w:val="00DF227C"/>
    <w:rsid w:val="00DF2E8D"/>
    <w:rsid w:val="00DF578F"/>
    <w:rsid w:val="00DF71A7"/>
    <w:rsid w:val="00DF7A84"/>
    <w:rsid w:val="00DF7F1E"/>
    <w:rsid w:val="00E006D8"/>
    <w:rsid w:val="00E0346C"/>
    <w:rsid w:val="00E05E29"/>
    <w:rsid w:val="00E05F22"/>
    <w:rsid w:val="00E0603D"/>
    <w:rsid w:val="00E060FA"/>
    <w:rsid w:val="00E065DF"/>
    <w:rsid w:val="00E06CD0"/>
    <w:rsid w:val="00E07384"/>
    <w:rsid w:val="00E07D16"/>
    <w:rsid w:val="00E07F39"/>
    <w:rsid w:val="00E1064D"/>
    <w:rsid w:val="00E10BA0"/>
    <w:rsid w:val="00E11A2A"/>
    <w:rsid w:val="00E12E2F"/>
    <w:rsid w:val="00E1364F"/>
    <w:rsid w:val="00E14F49"/>
    <w:rsid w:val="00E169AA"/>
    <w:rsid w:val="00E17347"/>
    <w:rsid w:val="00E17EFD"/>
    <w:rsid w:val="00E201ED"/>
    <w:rsid w:val="00E214A9"/>
    <w:rsid w:val="00E228BB"/>
    <w:rsid w:val="00E228EB"/>
    <w:rsid w:val="00E23764"/>
    <w:rsid w:val="00E23853"/>
    <w:rsid w:val="00E239F3"/>
    <w:rsid w:val="00E260C5"/>
    <w:rsid w:val="00E262D5"/>
    <w:rsid w:val="00E26F5D"/>
    <w:rsid w:val="00E30CC5"/>
    <w:rsid w:val="00E32AB3"/>
    <w:rsid w:val="00E36B2F"/>
    <w:rsid w:val="00E36C97"/>
    <w:rsid w:val="00E36CB5"/>
    <w:rsid w:val="00E40BC4"/>
    <w:rsid w:val="00E40C20"/>
    <w:rsid w:val="00E4261A"/>
    <w:rsid w:val="00E432E0"/>
    <w:rsid w:val="00E43645"/>
    <w:rsid w:val="00E43EB6"/>
    <w:rsid w:val="00E44EFD"/>
    <w:rsid w:val="00E4690E"/>
    <w:rsid w:val="00E47E3E"/>
    <w:rsid w:val="00E5115D"/>
    <w:rsid w:val="00E51CBE"/>
    <w:rsid w:val="00E52E67"/>
    <w:rsid w:val="00E53109"/>
    <w:rsid w:val="00E53FC1"/>
    <w:rsid w:val="00E540F5"/>
    <w:rsid w:val="00E56C3C"/>
    <w:rsid w:val="00E60543"/>
    <w:rsid w:val="00E60556"/>
    <w:rsid w:val="00E60A5E"/>
    <w:rsid w:val="00E61FEA"/>
    <w:rsid w:val="00E635C0"/>
    <w:rsid w:val="00E6390C"/>
    <w:rsid w:val="00E63C3C"/>
    <w:rsid w:val="00E643EE"/>
    <w:rsid w:val="00E65A2D"/>
    <w:rsid w:val="00E66855"/>
    <w:rsid w:val="00E66919"/>
    <w:rsid w:val="00E67C84"/>
    <w:rsid w:val="00E70048"/>
    <w:rsid w:val="00E7035C"/>
    <w:rsid w:val="00E7139D"/>
    <w:rsid w:val="00E71A66"/>
    <w:rsid w:val="00E72E80"/>
    <w:rsid w:val="00E73A91"/>
    <w:rsid w:val="00E73FAD"/>
    <w:rsid w:val="00E75231"/>
    <w:rsid w:val="00E75AB6"/>
    <w:rsid w:val="00E75FC7"/>
    <w:rsid w:val="00E77AFC"/>
    <w:rsid w:val="00E80972"/>
    <w:rsid w:val="00E80DA7"/>
    <w:rsid w:val="00E82A1F"/>
    <w:rsid w:val="00E82CBF"/>
    <w:rsid w:val="00E8350A"/>
    <w:rsid w:val="00E84EEE"/>
    <w:rsid w:val="00E84F3F"/>
    <w:rsid w:val="00E85E82"/>
    <w:rsid w:val="00E86F89"/>
    <w:rsid w:val="00E87C3B"/>
    <w:rsid w:val="00E91916"/>
    <w:rsid w:val="00E94817"/>
    <w:rsid w:val="00E954B4"/>
    <w:rsid w:val="00E967BB"/>
    <w:rsid w:val="00EA1258"/>
    <w:rsid w:val="00EA1939"/>
    <w:rsid w:val="00EA29E5"/>
    <w:rsid w:val="00EA36E5"/>
    <w:rsid w:val="00EA4349"/>
    <w:rsid w:val="00EA4682"/>
    <w:rsid w:val="00EA4D5C"/>
    <w:rsid w:val="00EA5944"/>
    <w:rsid w:val="00EA5F27"/>
    <w:rsid w:val="00EA75A0"/>
    <w:rsid w:val="00EB0849"/>
    <w:rsid w:val="00EB0FDC"/>
    <w:rsid w:val="00EB1303"/>
    <w:rsid w:val="00EB209A"/>
    <w:rsid w:val="00EB25BC"/>
    <w:rsid w:val="00EB2E89"/>
    <w:rsid w:val="00EB3953"/>
    <w:rsid w:val="00EB4E6B"/>
    <w:rsid w:val="00EB51D2"/>
    <w:rsid w:val="00EC0225"/>
    <w:rsid w:val="00EC0FCD"/>
    <w:rsid w:val="00EC168A"/>
    <w:rsid w:val="00EC1AB3"/>
    <w:rsid w:val="00EC1B28"/>
    <w:rsid w:val="00EC2E73"/>
    <w:rsid w:val="00EC3D61"/>
    <w:rsid w:val="00EC4BB5"/>
    <w:rsid w:val="00EC6B0E"/>
    <w:rsid w:val="00EC6C46"/>
    <w:rsid w:val="00EC7AA8"/>
    <w:rsid w:val="00EC7D03"/>
    <w:rsid w:val="00ED023A"/>
    <w:rsid w:val="00ED066D"/>
    <w:rsid w:val="00ED0B1F"/>
    <w:rsid w:val="00ED0F14"/>
    <w:rsid w:val="00ED1398"/>
    <w:rsid w:val="00ED183F"/>
    <w:rsid w:val="00ED1A22"/>
    <w:rsid w:val="00ED1A2D"/>
    <w:rsid w:val="00ED1A7A"/>
    <w:rsid w:val="00ED234B"/>
    <w:rsid w:val="00ED262C"/>
    <w:rsid w:val="00ED2F0A"/>
    <w:rsid w:val="00ED32D7"/>
    <w:rsid w:val="00ED36BA"/>
    <w:rsid w:val="00ED4004"/>
    <w:rsid w:val="00ED4C02"/>
    <w:rsid w:val="00ED4F5A"/>
    <w:rsid w:val="00ED682D"/>
    <w:rsid w:val="00ED76B2"/>
    <w:rsid w:val="00EE0EE7"/>
    <w:rsid w:val="00EE0F64"/>
    <w:rsid w:val="00EE0FD5"/>
    <w:rsid w:val="00EE10F8"/>
    <w:rsid w:val="00EE153D"/>
    <w:rsid w:val="00EE1EDD"/>
    <w:rsid w:val="00EE251A"/>
    <w:rsid w:val="00EE2741"/>
    <w:rsid w:val="00EE45D5"/>
    <w:rsid w:val="00EE4910"/>
    <w:rsid w:val="00EE5078"/>
    <w:rsid w:val="00EE7294"/>
    <w:rsid w:val="00EE75DC"/>
    <w:rsid w:val="00EF0FC6"/>
    <w:rsid w:val="00EF1293"/>
    <w:rsid w:val="00EF1B7F"/>
    <w:rsid w:val="00EF248C"/>
    <w:rsid w:val="00EF28A0"/>
    <w:rsid w:val="00EF36D5"/>
    <w:rsid w:val="00EF3D7F"/>
    <w:rsid w:val="00EF434D"/>
    <w:rsid w:val="00EF542C"/>
    <w:rsid w:val="00EF56A3"/>
    <w:rsid w:val="00EF6334"/>
    <w:rsid w:val="00EF7D3F"/>
    <w:rsid w:val="00F009AB"/>
    <w:rsid w:val="00F0205C"/>
    <w:rsid w:val="00F0257A"/>
    <w:rsid w:val="00F03917"/>
    <w:rsid w:val="00F04433"/>
    <w:rsid w:val="00F05313"/>
    <w:rsid w:val="00F06623"/>
    <w:rsid w:val="00F10452"/>
    <w:rsid w:val="00F116CD"/>
    <w:rsid w:val="00F1514B"/>
    <w:rsid w:val="00F15464"/>
    <w:rsid w:val="00F15683"/>
    <w:rsid w:val="00F15B6D"/>
    <w:rsid w:val="00F16B22"/>
    <w:rsid w:val="00F20550"/>
    <w:rsid w:val="00F208F0"/>
    <w:rsid w:val="00F20E1A"/>
    <w:rsid w:val="00F2120F"/>
    <w:rsid w:val="00F22190"/>
    <w:rsid w:val="00F23972"/>
    <w:rsid w:val="00F23DE1"/>
    <w:rsid w:val="00F243A7"/>
    <w:rsid w:val="00F24525"/>
    <w:rsid w:val="00F25509"/>
    <w:rsid w:val="00F271DB"/>
    <w:rsid w:val="00F3098D"/>
    <w:rsid w:val="00F321DD"/>
    <w:rsid w:val="00F331CD"/>
    <w:rsid w:val="00F334A8"/>
    <w:rsid w:val="00F3351F"/>
    <w:rsid w:val="00F3374A"/>
    <w:rsid w:val="00F360B2"/>
    <w:rsid w:val="00F37344"/>
    <w:rsid w:val="00F37BAC"/>
    <w:rsid w:val="00F37D07"/>
    <w:rsid w:val="00F37E78"/>
    <w:rsid w:val="00F4086B"/>
    <w:rsid w:val="00F40D00"/>
    <w:rsid w:val="00F4172B"/>
    <w:rsid w:val="00F418A7"/>
    <w:rsid w:val="00F44A17"/>
    <w:rsid w:val="00F46BC1"/>
    <w:rsid w:val="00F476A8"/>
    <w:rsid w:val="00F478FD"/>
    <w:rsid w:val="00F5147F"/>
    <w:rsid w:val="00F51AFD"/>
    <w:rsid w:val="00F531F5"/>
    <w:rsid w:val="00F5414A"/>
    <w:rsid w:val="00F54529"/>
    <w:rsid w:val="00F546D2"/>
    <w:rsid w:val="00F55157"/>
    <w:rsid w:val="00F556FB"/>
    <w:rsid w:val="00F56A3B"/>
    <w:rsid w:val="00F5701C"/>
    <w:rsid w:val="00F6204A"/>
    <w:rsid w:val="00F633BF"/>
    <w:rsid w:val="00F6380E"/>
    <w:rsid w:val="00F63972"/>
    <w:rsid w:val="00F64D98"/>
    <w:rsid w:val="00F734F3"/>
    <w:rsid w:val="00F73773"/>
    <w:rsid w:val="00F74A38"/>
    <w:rsid w:val="00F75503"/>
    <w:rsid w:val="00F75787"/>
    <w:rsid w:val="00F76A9D"/>
    <w:rsid w:val="00F802DB"/>
    <w:rsid w:val="00F8044C"/>
    <w:rsid w:val="00F80A9F"/>
    <w:rsid w:val="00F80C07"/>
    <w:rsid w:val="00F816C2"/>
    <w:rsid w:val="00F81A94"/>
    <w:rsid w:val="00F81CFB"/>
    <w:rsid w:val="00F83742"/>
    <w:rsid w:val="00F848D5"/>
    <w:rsid w:val="00F85512"/>
    <w:rsid w:val="00F85EA4"/>
    <w:rsid w:val="00F86541"/>
    <w:rsid w:val="00F8667C"/>
    <w:rsid w:val="00F874E4"/>
    <w:rsid w:val="00F87642"/>
    <w:rsid w:val="00F87F78"/>
    <w:rsid w:val="00F90B3F"/>
    <w:rsid w:val="00F90D78"/>
    <w:rsid w:val="00F9555D"/>
    <w:rsid w:val="00F95C36"/>
    <w:rsid w:val="00F973D7"/>
    <w:rsid w:val="00F97C03"/>
    <w:rsid w:val="00FA04F2"/>
    <w:rsid w:val="00FA0842"/>
    <w:rsid w:val="00FA1C18"/>
    <w:rsid w:val="00FA2EFD"/>
    <w:rsid w:val="00FA2F67"/>
    <w:rsid w:val="00FA39E9"/>
    <w:rsid w:val="00FA42A0"/>
    <w:rsid w:val="00FA4E19"/>
    <w:rsid w:val="00FA524E"/>
    <w:rsid w:val="00FA5A18"/>
    <w:rsid w:val="00FA72A1"/>
    <w:rsid w:val="00FB02CE"/>
    <w:rsid w:val="00FB0C00"/>
    <w:rsid w:val="00FB1086"/>
    <w:rsid w:val="00FB1094"/>
    <w:rsid w:val="00FB1582"/>
    <w:rsid w:val="00FB1628"/>
    <w:rsid w:val="00FB1E31"/>
    <w:rsid w:val="00FB21A1"/>
    <w:rsid w:val="00FB3E36"/>
    <w:rsid w:val="00FB46B3"/>
    <w:rsid w:val="00FB4D92"/>
    <w:rsid w:val="00FB5267"/>
    <w:rsid w:val="00FB5280"/>
    <w:rsid w:val="00FB592E"/>
    <w:rsid w:val="00FB5D79"/>
    <w:rsid w:val="00FB60E7"/>
    <w:rsid w:val="00FC044A"/>
    <w:rsid w:val="00FC05BB"/>
    <w:rsid w:val="00FC07CE"/>
    <w:rsid w:val="00FC1AD1"/>
    <w:rsid w:val="00FC27CA"/>
    <w:rsid w:val="00FC33B2"/>
    <w:rsid w:val="00FC4A94"/>
    <w:rsid w:val="00FC52DE"/>
    <w:rsid w:val="00FC5790"/>
    <w:rsid w:val="00FC710B"/>
    <w:rsid w:val="00FC7748"/>
    <w:rsid w:val="00FC7931"/>
    <w:rsid w:val="00FC7F25"/>
    <w:rsid w:val="00FD096B"/>
    <w:rsid w:val="00FD0E81"/>
    <w:rsid w:val="00FD1395"/>
    <w:rsid w:val="00FD3ECF"/>
    <w:rsid w:val="00FD47F9"/>
    <w:rsid w:val="00FD4C6F"/>
    <w:rsid w:val="00FD51D6"/>
    <w:rsid w:val="00FD61A9"/>
    <w:rsid w:val="00FD696F"/>
    <w:rsid w:val="00FE1863"/>
    <w:rsid w:val="00FE1945"/>
    <w:rsid w:val="00FE1FEF"/>
    <w:rsid w:val="00FE30BE"/>
    <w:rsid w:val="00FE358D"/>
    <w:rsid w:val="00FE3B2F"/>
    <w:rsid w:val="00FE3DDD"/>
    <w:rsid w:val="00FE3EBE"/>
    <w:rsid w:val="00FE4909"/>
    <w:rsid w:val="00FE5B8C"/>
    <w:rsid w:val="00FE6EE0"/>
    <w:rsid w:val="00FE712E"/>
    <w:rsid w:val="00FE762E"/>
    <w:rsid w:val="00FE76F0"/>
    <w:rsid w:val="00FE7762"/>
    <w:rsid w:val="00FE7A67"/>
    <w:rsid w:val="00FE7FA3"/>
    <w:rsid w:val="00FF39ED"/>
    <w:rsid w:val="00FF50AB"/>
    <w:rsid w:val="00FF56DF"/>
    <w:rsid w:val="00FF571C"/>
    <w:rsid w:val="00FF59DA"/>
    <w:rsid w:val="00FF5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B47F5"/>
  <w15:docId w15:val="{8CEAEAF5-E453-470E-BCA9-9F4D2D7E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B1"/>
    <w:rPr>
      <w:rFonts w:ascii="Arial" w:eastAsia="SimSun" w:hAnsi="Arial" w:cs="Arial"/>
      <w:sz w:val="22"/>
      <w:lang w:val="fr-FR" w:eastAsia="zh-CN"/>
    </w:rPr>
  </w:style>
  <w:style w:type="paragraph" w:styleId="Heading1">
    <w:name w:val="heading 1"/>
    <w:basedOn w:val="Normal"/>
    <w:next w:val="Normal"/>
    <w:link w:val="Heading1Char"/>
    <w:uiPriority w:val="9"/>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uiPriority w:val="99"/>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430267"/>
    <w:pPr>
      <w:tabs>
        <w:tab w:val="left" w:pos="284"/>
        <w:tab w:val="right" w:leader="dot" w:pos="9345"/>
      </w:tabs>
      <w:spacing w:before="120" w:after="120"/>
    </w:pPr>
    <w:rPr>
      <w:rFonts w:ascii="Arial Bold" w:hAnsi="Arial Bold"/>
      <w:b/>
      <w:caps/>
    </w:rPr>
  </w:style>
  <w:style w:type="paragraph" w:styleId="TOC2">
    <w:name w:val="toc 2"/>
    <w:basedOn w:val="Normal"/>
    <w:next w:val="Normal"/>
    <w:autoRedefine/>
    <w:uiPriority w:val="39"/>
    <w:rsid w:val="00430267"/>
    <w:pPr>
      <w:tabs>
        <w:tab w:val="left" w:pos="567"/>
        <w:tab w:val="right" w:leader="dot" w:pos="9345"/>
      </w:tabs>
      <w:spacing w:before="120" w:after="120"/>
    </w:pPr>
    <w:rPr>
      <w:caps/>
    </w:rPr>
  </w:style>
  <w:style w:type="character" w:styleId="FootnoteReference">
    <w:name w:val="footnote reference"/>
    <w:uiPriority w:val="99"/>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basedOn w:val="DefaultParagraphFont"/>
    <w:link w:val="Heading2"/>
    <w:rsid w:val="00735A4B"/>
    <w:rPr>
      <w:rFonts w:ascii="Arial" w:eastAsia="SimSun" w:hAnsi="Arial" w:cs="Arial"/>
      <w:bCs/>
      <w:iCs/>
      <w:caps/>
      <w:sz w:val="22"/>
      <w:szCs w:val="28"/>
      <w:lang w:eastAsia="zh-CN"/>
    </w:rPr>
  </w:style>
  <w:style w:type="table" w:styleId="MediumGrid3-Accent1">
    <w:name w:val="Medium Grid 3 Accent 1"/>
    <w:basedOn w:val="TableNormal"/>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735A4B"/>
    <w:rPr>
      <w:rFonts w:ascii="Arial" w:eastAsia="SimSun" w:hAnsi="Arial" w:cs="Arial"/>
      <w:sz w:val="22"/>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191437"/>
    <w:rPr>
      <w:rFonts w:ascii="Arial" w:eastAsia="SimSun" w:hAnsi="Arial" w:cs="Arial"/>
      <w:sz w:val="22"/>
      <w:lang w:eastAsia="zh-CN"/>
    </w:rPr>
  </w:style>
  <w:style w:type="character" w:styleId="Emphasis">
    <w:name w:val="Emphasis"/>
    <w:basedOn w:val="DefaultParagraphFont"/>
    <w:uiPriority w:val="20"/>
    <w:qFormat/>
    <w:rsid w:val="00191437"/>
    <w:rPr>
      <w:i/>
      <w:iCs/>
    </w:rPr>
  </w:style>
  <w:style w:type="character" w:styleId="Strong">
    <w:name w:val="Strong"/>
    <w:basedOn w:val="DefaultParagraphFont"/>
    <w:uiPriority w:val="22"/>
    <w:qFormat/>
    <w:rsid w:val="00191437"/>
    <w:rPr>
      <w:b/>
      <w:bCs/>
    </w:rPr>
  </w:style>
  <w:style w:type="paragraph" w:styleId="Title">
    <w:name w:val="Title"/>
    <w:basedOn w:val="Normal"/>
    <w:link w:val="TitleChar"/>
    <w:qFormat/>
    <w:rsid w:val="005929DA"/>
    <w:pPr>
      <w:jc w:val="both"/>
      <w:outlineLvl w:val="0"/>
    </w:pPr>
    <w:rPr>
      <w:b/>
      <w:lang w:val="es-ES_tradnl"/>
    </w:rPr>
  </w:style>
  <w:style w:type="character" w:customStyle="1" w:styleId="TitleChar">
    <w:name w:val="Title Char"/>
    <w:basedOn w:val="DefaultParagraphFont"/>
    <w:link w:val="Title"/>
    <w:rsid w:val="005929DA"/>
    <w:rPr>
      <w:rFonts w:ascii="Arial" w:eastAsia="SimSun" w:hAnsi="Arial" w:cs="Arial"/>
      <w:b/>
      <w:sz w:val="22"/>
      <w:lang w:val="es-ES_tradnl" w:eastAsia="zh-CN"/>
    </w:rPr>
  </w:style>
  <w:style w:type="paragraph" w:customStyle="1" w:styleId="CarCar">
    <w:name w:val="Car Car"/>
    <w:basedOn w:val="Normal"/>
    <w:rsid w:val="001057EF"/>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semiHidden/>
    <w:unhideWhenUsed/>
    <w:rsid w:val="003E31D4"/>
    <w:rPr>
      <w:color w:val="800080" w:themeColor="followedHyperlink"/>
      <w:u w:val="single"/>
    </w:rPr>
  </w:style>
  <w:style w:type="paragraph" w:customStyle="1" w:styleId="ONUMFS">
    <w:name w:val="ONUM FS"/>
    <w:basedOn w:val="BodyText"/>
    <w:rsid w:val="00793EDB"/>
    <w:pPr>
      <w:numPr>
        <w:numId w:val="37"/>
      </w:numPr>
      <w:tabs>
        <w:tab w:val="clear" w:pos="567"/>
        <w:tab w:val="num" w:pos="360"/>
      </w:tabs>
      <w:spacing w:after="220"/>
    </w:pPr>
    <w:rPr>
      <w:lang w:val="en-US"/>
    </w:rPr>
  </w:style>
  <w:style w:type="paragraph" w:styleId="BodyText">
    <w:name w:val="Body Text"/>
    <w:basedOn w:val="Normal"/>
    <w:link w:val="BodyTextChar"/>
    <w:semiHidden/>
    <w:unhideWhenUsed/>
    <w:rsid w:val="00793EDB"/>
    <w:pPr>
      <w:spacing w:after="120"/>
    </w:pPr>
  </w:style>
  <w:style w:type="character" w:customStyle="1" w:styleId="BodyTextChar">
    <w:name w:val="Body Text Char"/>
    <w:basedOn w:val="DefaultParagraphFont"/>
    <w:link w:val="BodyText"/>
    <w:semiHidden/>
    <w:rsid w:val="00793EDB"/>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464">
      <w:bodyDiv w:val="1"/>
      <w:marLeft w:val="0"/>
      <w:marRight w:val="0"/>
      <w:marTop w:val="0"/>
      <w:marBottom w:val="0"/>
      <w:divBdr>
        <w:top w:val="none" w:sz="0" w:space="0" w:color="auto"/>
        <w:left w:val="none" w:sz="0" w:space="0" w:color="auto"/>
        <w:bottom w:val="none" w:sz="0" w:space="0" w:color="auto"/>
        <w:right w:val="none" w:sz="0" w:space="0" w:color="auto"/>
      </w:divBdr>
    </w:div>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240146560">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557017959">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951090246">
      <w:bodyDiv w:val="1"/>
      <w:marLeft w:val="0"/>
      <w:marRight w:val="0"/>
      <w:marTop w:val="0"/>
      <w:marBottom w:val="0"/>
      <w:divBdr>
        <w:top w:val="none" w:sz="0" w:space="0" w:color="auto"/>
        <w:left w:val="none" w:sz="0" w:space="0" w:color="auto"/>
        <w:bottom w:val="none" w:sz="0" w:space="0" w:color="auto"/>
        <w:right w:val="none" w:sz="0" w:space="0" w:color="auto"/>
      </w:divBdr>
    </w:div>
    <w:div w:id="1192450101">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462111268">
      <w:bodyDiv w:val="1"/>
      <w:marLeft w:val="0"/>
      <w:marRight w:val="0"/>
      <w:marTop w:val="0"/>
      <w:marBottom w:val="0"/>
      <w:divBdr>
        <w:top w:val="none" w:sz="0" w:space="0" w:color="auto"/>
        <w:left w:val="none" w:sz="0" w:space="0" w:color="auto"/>
        <w:bottom w:val="none" w:sz="0" w:space="0" w:color="auto"/>
        <w:right w:val="none" w:sz="0" w:space="0" w:color="auto"/>
      </w:divBdr>
    </w:div>
    <w:div w:id="1644626954">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761561480">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oc_details.jsp?doc_id=286771"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publications/fr/details.jsp?id=4320&amp;plang=F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wipo.int/publications/en/details.jsp?id=432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index.jsp" TargetMode="External"/><Relationship Id="rId2" Type="http://schemas.openxmlformats.org/officeDocument/2006/relationships/hyperlink" Target="http://www.wipo.int/econ_stat/fr/economics/studies/index.html" TargetMode="External"/><Relationship Id="rId1" Type="http://schemas.openxmlformats.org/officeDocument/2006/relationships/hyperlink" Target="http://www.wipo.int/edocs/pubdocs/en/wipo_pub_econstat_wp_42.pdf" TargetMode="External"/><Relationship Id="rId4" Type="http://schemas.openxmlformats.org/officeDocument/2006/relationships/hyperlink" Target="http://www.wipo.int/publications/fr/details.jsp?id=4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1BAD-C1D1-4DF7-877F-4D456428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13769</Words>
  <Characters>78488</Characters>
  <Application>Microsoft Office Word</Application>
  <DocSecurity>0</DocSecurity>
  <Lines>654</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92073</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MARTINEZ LIMÓN Cristina</cp:lastModifiedBy>
  <cp:revision>5</cp:revision>
  <cp:lastPrinted>2018-11-20T09:39:00Z</cp:lastPrinted>
  <dcterms:created xsi:type="dcterms:W3CDTF">2018-11-20T09:27:00Z</dcterms:created>
  <dcterms:modified xsi:type="dcterms:W3CDTF">2018-11-20T09:50:00Z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