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D39D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93EDF" w:rsidRDefault="00EC4E49" w:rsidP="008A3947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D39D5" w:rsidRDefault="00962200" w:rsidP="008A3947">
            <w:pPr>
              <w:rPr>
                <w:lang w:val="es-ES"/>
              </w:rPr>
            </w:pPr>
            <w:r w:rsidRPr="009D39D5">
              <w:rPr>
                <w:noProof/>
                <w:color w:val="00B050"/>
                <w:lang w:eastAsia="en-US"/>
              </w:rPr>
              <w:drawing>
                <wp:inline distT="0" distB="0" distL="0" distR="0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D39D5" w:rsidRDefault="00962200" w:rsidP="008A3947">
            <w:pPr>
              <w:jc w:val="right"/>
              <w:rPr>
                <w:lang w:val="es-ES"/>
              </w:rPr>
            </w:pPr>
            <w:r w:rsidRPr="009D39D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9D39D5" w:rsidTr="00037B31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D39D5" w:rsidRDefault="00801E1B" w:rsidP="008A394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D39D5">
              <w:rPr>
                <w:rFonts w:ascii="Arial Black" w:hAnsi="Arial Black"/>
                <w:caps/>
                <w:sz w:val="15"/>
                <w:lang w:val="es-ES"/>
              </w:rPr>
              <w:t>WIPO/ACE/9/</w:t>
            </w:r>
            <w:bookmarkStart w:id="0" w:name="Code"/>
            <w:bookmarkEnd w:id="0"/>
            <w:r w:rsidR="007F1AEB" w:rsidRPr="009D39D5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8B2CC1" w:rsidRPr="009D39D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037B31" w:rsidTr="00037B31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7B31" w:rsidRDefault="008B2CC1" w:rsidP="008A3947">
            <w:pPr>
              <w:jc w:val="right"/>
              <w:rPr>
                <w:rFonts w:ascii="Arial Black" w:hAnsi="Arial Black"/>
                <w:b/>
                <w:caps/>
                <w:sz w:val="15"/>
                <w:lang w:val="es-ES"/>
              </w:rPr>
            </w:pPr>
            <w:r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>ORIGINAL:</w:t>
            </w:r>
            <w:r w:rsidR="007F1AEB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 </w:t>
            </w:r>
            <w:r w:rsidR="00962200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>Inglés</w:t>
            </w:r>
            <w:r w:rsidR="00A42DAF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</w:t>
            </w:r>
            <w:r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037B31" w:rsidTr="00037B31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7B31" w:rsidRDefault="00962200" w:rsidP="008A3947">
            <w:pPr>
              <w:jc w:val="right"/>
              <w:rPr>
                <w:rFonts w:ascii="Arial Black" w:hAnsi="Arial Black"/>
                <w:b/>
                <w:caps/>
                <w:sz w:val="15"/>
                <w:lang w:val="es-ES"/>
              </w:rPr>
            </w:pPr>
            <w:r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>Fecha</w:t>
            </w:r>
            <w:r w:rsidR="008B2CC1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>:</w:t>
            </w:r>
            <w:r w:rsidR="007F1AEB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 27</w:t>
            </w:r>
            <w:r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de enero de</w:t>
            </w:r>
            <w:r w:rsidR="007F1AEB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2014</w:t>
            </w:r>
            <w:r w:rsidR="00A42DAF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</w:t>
            </w:r>
            <w:r w:rsidR="008B2CC1" w:rsidRPr="00037B31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9D39D5" w:rsidRDefault="008B2CC1" w:rsidP="008A3947">
      <w:pPr>
        <w:rPr>
          <w:lang w:val="es-ES"/>
        </w:rPr>
      </w:pPr>
    </w:p>
    <w:p w:rsidR="008B2CC1" w:rsidRPr="009D39D5" w:rsidRDefault="008B2CC1" w:rsidP="008A3947">
      <w:pPr>
        <w:rPr>
          <w:lang w:val="es-ES"/>
        </w:rPr>
      </w:pPr>
    </w:p>
    <w:p w:rsidR="008B2CC1" w:rsidRPr="009D39D5" w:rsidRDefault="008B2CC1" w:rsidP="008A3947">
      <w:pPr>
        <w:rPr>
          <w:lang w:val="es-ES"/>
        </w:rPr>
      </w:pPr>
    </w:p>
    <w:p w:rsidR="008B2CC1" w:rsidRPr="009D39D5" w:rsidRDefault="008B2CC1" w:rsidP="008A3947">
      <w:pPr>
        <w:rPr>
          <w:lang w:val="es-ES"/>
        </w:rPr>
      </w:pPr>
      <w:bookmarkStart w:id="3" w:name="_GoBack"/>
      <w:bookmarkEnd w:id="3"/>
    </w:p>
    <w:p w:rsidR="008B2CC1" w:rsidRPr="009D39D5" w:rsidRDefault="008B2CC1" w:rsidP="008A3947">
      <w:pPr>
        <w:rPr>
          <w:lang w:val="es-ES"/>
        </w:rPr>
      </w:pPr>
    </w:p>
    <w:p w:rsidR="00735172" w:rsidRPr="00CA6081" w:rsidRDefault="00735172" w:rsidP="008A3947">
      <w:pPr>
        <w:pStyle w:val="Meetingtitle"/>
        <w:spacing w:line="240" w:lineRule="auto"/>
        <w:ind w:left="0"/>
        <w:rPr>
          <w:lang w:val="es-ES"/>
        </w:rPr>
      </w:pPr>
      <w:r w:rsidRPr="00CA6081">
        <w:rPr>
          <w:lang w:val="es-ES"/>
        </w:rPr>
        <w:t>Comité Asesor sobre Observancia</w:t>
      </w:r>
    </w:p>
    <w:p w:rsidR="00735172" w:rsidRPr="00CA6081" w:rsidRDefault="00735172" w:rsidP="008A3947">
      <w:pPr>
        <w:pStyle w:val="Sessiontitle"/>
        <w:spacing w:line="240" w:lineRule="auto"/>
        <w:ind w:left="0"/>
        <w:rPr>
          <w:lang w:val="es-ES"/>
        </w:rPr>
      </w:pPr>
      <w:r w:rsidRPr="00CA6081">
        <w:rPr>
          <w:lang w:val="es-ES" w:eastAsia="ko-KR"/>
        </w:rPr>
        <w:t>Novena sesión.</w:t>
      </w:r>
    </w:p>
    <w:p w:rsidR="00735172" w:rsidRPr="00CA6081" w:rsidRDefault="00735172" w:rsidP="008A3947">
      <w:pPr>
        <w:pStyle w:val="Meetingplacedate"/>
        <w:spacing w:line="240" w:lineRule="auto"/>
        <w:ind w:left="0"/>
        <w:rPr>
          <w:lang w:val="es-ES"/>
        </w:rPr>
      </w:pPr>
      <w:r w:rsidRPr="00CA6081">
        <w:rPr>
          <w:lang w:val="es-ES"/>
        </w:rPr>
        <w:t>Ginebra, 3 a 5 de marzo de 2014</w:t>
      </w:r>
    </w:p>
    <w:p w:rsidR="008B2CC1" w:rsidRPr="009D39D5" w:rsidRDefault="008B2CC1" w:rsidP="008A3947">
      <w:pPr>
        <w:rPr>
          <w:lang w:val="es-ES"/>
        </w:rPr>
      </w:pPr>
    </w:p>
    <w:p w:rsidR="008B2CC1" w:rsidRPr="009D39D5" w:rsidRDefault="008B2CC1" w:rsidP="008A3947">
      <w:pPr>
        <w:rPr>
          <w:lang w:val="es-ES"/>
        </w:rPr>
      </w:pPr>
    </w:p>
    <w:p w:rsidR="008B2CC1" w:rsidRPr="009D39D5" w:rsidRDefault="008B2CC1" w:rsidP="008A3947">
      <w:pPr>
        <w:rPr>
          <w:lang w:val="es-ES"/>
        </w:rPr>
      </w:pPr>
    </w:p>
    <w:p w:rsidR="007F1AEB" w:rsidRPr="009D39D5" w:rsidRDefault="003343C6" w:rsidP="008A3947">
      <w:pPr>
        <w:rPr>
          <w:caps/>
          <w:sz w:val="24"/>
          <w:lang w:val="es-ES"/>
        </w:rPr>
      </w:pPr>
      <w:bookmarkStart w:id="4" w:name="TitleOfDoc"/>
      <w:bookmarkEnd w:id="4"/>
      <w:r w:rsidRPr="009D39D5">
        <w:rPr>
          <w:caps/>
          <w:sz w:val="24"/>
          <w:lang w:val="es-ES"/>
        </w:rPr>
        <w:t>LA SOLUCIÓN EXTRAJUDICIAL DE CONTROVERSIAS</w:t>
      </w:r>
      <w:r w:rsidR="007F1AEB" w:rsidRPr="009D39D5">
        <w:rPr>
          <w:caps/>
          <w:sz w:val="24"/>
          <w:lang w:val="es-ES"/>
        </w:rPr>
        <w:t xml:space="preserve"> </w:t>
      </w:r>
      <w:r w:rsidRPr="009D39D5">
        <w:rPr>
          <w:caps/>
          <w:sz w:val="24"/>
          <w:lang w:val="es-ES"/>
        </w:rPr>
        <w:t xml:space="preserve">COMO </w:t>
      </w:r>
      <w:r w:rsidR="00FC63C6">
        <w:rPr>
          <w:caps/>
          <w:sz w:val="24"/>
          <w:lang w:val="es-ES"/>
        </w:rPr>
        <w:t>HERRAMIENTA PARA LA</w:t>
      </w:r>
      <w:r w:rsidR="00EC195D">
        <w:rPr>
          <w:caps/>
          <w:sz w:val="24"/>
          <w:lang w:val="es-ES"/>
        </w:rPr>
        <w:t xml:space="preserve"> </w:t>
      </w:r>
      <w:r w:rsidRPr="009D39D5">
        <w:rPr>
          <w:caps/>
          <w:sz w:val="24"/>
          <w:lang w:val="es-ES"/>
        </w:rPr>
        <w:t>observancia de los derechos de propiedad intelectual</w:t>
      </w:r>
      <w:r w:rsidR="0074328A" w:rsidRPr="009D39D5">
        <w:rPr>
          <w:caps/>
          <w:sz w:val="24"/>
          <w:lang w:val="es-ES"/>
        </w:rPr>
        <w:t xml:space="preserve"> –</w:t>
      </w:r>
      <w:r w:rsidR="002D0BCA" w:rsidRPr="009D39D5">
        <w:rPr>
          <w:caps/>
          <w:sz w:val="24"/>
          <w:lang w:val="es-ES"/>
        </w:rPr>
        <w:t xml:space="preserve"> </w:t>
      </w:r>
      <w:r w:rsidRPr="009D39D5">
        <w:rPr>
          <w:caps/>
          <w:sz w:val="24"/>
          <w:lang w:val="es-ES"/>
        </w:rPr>
        <w:t>resumen</w:t>
      </w:r>
      <w:r w:rsidR="007F1AEB" w:rsidRPr="009D39D5">
        <w:rPr>
          <w:caps/>
          <w:sz w:val="24"/>
          <w:lang w:val="es-ES"/>
        </w:rPr>
        <w:footnoteReference w:customMarkFollows="1" w:id="2"/>
        <w:sym w:font="Symbol" w:char="F02A"/>
      </w:r>
    </w:p>
    <w:p w:rsidR="008B2CC1" w:rsidRPr="009D39D5" w:rsidRDefault="008B2CC1" w:rsidP="008A3947">
      <w:pPr>
        <w:rPr>
          <w:lang w:val="es-ES"/>
        </w:rPr>
      </w:pPr>
    </w:p>
    <w:p w:rsidR="007F1AEB" w:rsidRPr="009D39D5" w:rsidRDefault="007F1AEB" w:rsidP="008A3947">
      <w:pPr>
        <w:rPr>
          <w:i/>
          <w:lang w:val="es-ES"/>
        </w:rPr>
      </w:pPr>
      <w:bookmarkStart w:id="5" w:name="Prepared"/>
      <w:bookmarkEnd w:id="5"/>
    </w:p>
    <w:p w:rsidR="007F1AEB" w:rsidRPr="009D39D5" w:rsidRDefault="00EE517C" w:rsidP="008A3947">
      <w:pPr>
        <w:rPr>
          <w:i/>
          <w:lang w:val="es-ES"/>
        </w:rPr>
      </w:pPr>
      <w:r w:rsidRPr="009D39D5">
        <w:rPr>
          <w:i/>
          <w:lang w:val="es-ES"/>
        </w:rPr>
        <w:t>p</w:t>
      </w:r>
      <w:r w:rsidR="007F1AEB" w:rsidRPr="009D39D5">
        <w:rPr>
          <w:i/>
          <w:lang w:val="es-ES"/>
        </w:rPr>
        <w:t>repar</w:t>
      </w:r>
      <w:r w:rsidRPr="009D39D5">
        <w:rPr>
          <w:i/>
          <w:lang w:val="es-ES"/>
        </w:rPr>
        <w:t>ado por</w:t>
      </w:r>
      <w:r w:rsidR="007F1AEB" w:rsidRPr="009D39D5">
        <w:rPr>
          <w:i/>
          <w:lang w:val="es-ES"/>
        </w:rPr>
        <w:t xml:space="preserve"> Trevor Cook,</w:t>
      </w:r>
      <w:r w:rsidR="007F1AEB" w:rsidRPr="009D39D5">
        <w:rPr>
          <w:lang w:val="es-ES"/>
        </w:rPr>
        <w:t xml:space="preserve"> </w:t>
      </w:r>
      <w:r w:rsidR="00075A7C">
        <w:rPr>
          <w:lang w:val="es-ES"/>
        </w:rPr>
        <w:t>Asociado</w:t>
      </w:r>
      <w:r w:rsidR="00301620" w:rsidRPr="009D39D5">
        <w:rPr>
          <w:lang w:val="es-ES"/>
        </w:rPr>
        <w:t xml:space="preserve">, </w:t>
      </w:r>
      <w:r w:rsidR="007F1AEB" w:rsidRPr="009D39D5">
        <w:rPr>
          <w:i/>
          <w:lang w:val="es-ES"/>
        </w:rPr>
        <w:t>WilmerHale, N</w:t>
      </w:r>
      <w:r w:rsidR="003343C6" w:rsidRPr="009D39D5">
        <w:rPr>
          <w:i/>
          <w:lang w:val="es-ES"/>
        </w:rPr>
        <w:t>ueva</w:t>
      </w:r>
      <w:r w:rsidR="00075A7C">
        <w:rPr>
          <w:i/>
          <w:lang w:val="es-ES"/>
        </w:rPr>
        <w:t xml:space="preserve"> York</w:t>
      </w:r>
      <w:r w:rsidR="007F1AEB" w:rsidRPr="009D39D5">
        <w:rPr>
          <w:i/>
          <w:lang w:val="es-ES"/>
        </w:rPr>
        <w:t xml:space="preserve"> </w:t>
      </w:r>
      <w:r w:rsidR="00075A7C">
        <w:rPr>
          <w:i/>
          <w:lang w:val="es-ES"/>
        </w:rPr>
        <w:t>(</w:t>
      </w:r>
      <w:r w:rsidR="003343C6" w:rsidRPr="009D39D5">
        <w:rPr>
          <w:i/>
          <w:lang w:val="es-ES"/>
        </w:rPr>
        <w:t>Estados Unidos de América</w:t>
      </w:r>
      <w:r w:rsidR="00075A7C">
        <w:rPr>
          <w:i/>
          <w:lang w:val="es-ES"/>
        </w:rPr>
        <w:t>)</w:t>
      </w:r>
      <w:r w:rsidR="007F1AEB" w:rsidRPr="009D39D5">
        <w:rPr>
          <w:i/>
          <w:vertAlign w:val="superscript"/>
          <w:lang w:val="es-ES"/>
        </w:rPr>
        <w:footnoteReference w:customMarkFollows="1" w:id="3"/>
        <w:sym w:font="Symbol" w:char="F02A"/>
      </w:r>
      <w:r w:rsidR="007F1AEB" w:rsidRPr="009D39D5">
        <w:rPr>
          <w:i/>
          <w:vertAlign w:val="superscript"/>
          <w:lang w:val="es-ES"/>
        </w:rPr>
        <w:sym w:font="Symbol" w:char="F02A"/>
      </w:r>
    </w:p>
    <w:p w:rsidR="002928D3" w:rsidRPr="009D39D5" w:rsidRDefault="002928D3" w:rsidP="008A3947">
      <w:pPr>
        <w:rPr>
          <w:lang w:val="es-ES"/>
        </w:rPr>
      </w:pPr>
    </w:p>
    <w:p w:rsidR="002928D3" w:rsidRPr="009D39D5" w:rsidRDefault="002928D3" w:rsidP="008A3947">
      <w:pPr>
        <w:rPr>
          <w:lang w:val="es-ES"/>
        </w:rPr>
      </w:pPr>
    </w:p>
    <w:p w:rsidR="002928D3" w:rsidRPr="009D39D5" w:rsidRDefault="002928D3" w:rsidP="008A3947">
      <w:pPr>
        <w:rPr>
          <w:lang w:val="es-ES"/>
        </w:rPr>
      </w:pP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647F99" w:rsidP="008A3947">
      <w:pPr>
        <w:pStyle w:val="Heading1"/>
        <w:rPr>
          <w:lang w:val="es-ES"/>
        </w:rPr>
      </w:pPr>
      <w:r w:rsidRPr="009D39D5">
        <w:rPr>
          <w:lang w:val="es-ES"/>
        </w:rPr>
        <w:t>INTRODUC</w:t>
      </w:r>
      <w:r w:rsidR="00EE517C" w:rsidRPr="009D39D5">
        <w:rPr>
          <w:lang w:val="es-ES"/>
        </w:rPr>
        <w:t>CIÓN</w:t>
      </w:r>
    </w:p>
    <w:p w:rsidR="00647F99" w:rsidRPr="00B34229" w:rsidRDefault="00647F99" w:rsidP="008A3947">
      <w:pPr>
        <w:rPr>
          <w:bCs/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707527" w:rsidRPr="009D39D5">
        <w:rPr>
          <w:lang w:val="es-ES"/>
        </w:rPr>
        <w:t>El presente documento constituye un</w:t>
      </w:r>
      <w:r w:rsidR="00301620" w:rsidRPr="009D39D5">
        <w:rPr>
          <w:lang w:val="es-ES"/>
        </w:rPr>
        <w:t xml:space="preserve"> resumen</w:t>
      </w:r>
      <w:r w:rsidR="00707527" w:rsidRPr="009D39D5">
        <w:rPr>
          <w:lang w:val="es-ES"/>
        </w:rPr>
        <w:t xml:space="preserve"> sobre la forma en que puede utilizarse la solución extrajudicial de controversias</w:t>
      </w:r>
      <w:r w:rsidR="00647F99" w:rsidRPr="009D39D5">
        <w:rPr>
          <w:lang w:val="es-ES"/>
        </w:rPr>
        <w:t xml:space="preserve"> </w:t>
      </w:r>
      <w:r w:rsidR="00301620" w:rsidRPr="009D39D5">
        <w:rPr>
          <w:lang w:val="es-ES"/>
        </w:rPr>
        <w:t xml:space="preserve">como herramienta </w:t>
      </w:r>
      <w:r w:rsidR="00707527" w:rsidRPr="009D39D5">
        <w:rPr>
          <w:lang w:val="es-ES"/>
        </w:rPr>
        <w:t>para la observancia de los derechos de propiedad intelectual</w:t>
      </w:r>
      <w:r w:rsidR="00647F99" w:rsidRPr="009D39D5">
        <w:rPr>
          <w:lang w:val="es-ES"/>
        </w:rPr>
        <w:t xml:space="preserve">.  </w:t>
      </w:r>
    </w:p>
    <w:p w:rsidR="007F1AEB" w:rsidRPr="009D39D5" w:rsidRDefault="007F1AEB" w:rsidP="008A3947">
      <w:pPr>
        <w:rPr>
          <w:lang w:val="es-ES"/>
        </w:rPr>
      </w:pPr>
    </w:p>
    <w:p w:rsidR="00647F99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AB4D28" w:rsidRPr="009D39D5">
        <w:rPr>
          <w:lang w:val="es-ES"/>
        </w:rPr>
        <w:t>A</w:t>
      </w:r>
      <w:r w:rsidR="006822B7" w:rsidRPr="009D39D5">
        <w:rPr>
          <w:lang w:val="es-ES"/>
        </w:rPr>
        <w:t xml:space="preserve"> primera vista, </w:t>
      </w:r>
      <w:r w:rsidR="00AB4D28" w:rsidRPr="009D39D5">
        <w:rPr>
          <w:lang w:val="es-ES"/>
        </w:rPr>
        <w:t xml:space="preserve">tal vez </w:t>
      </w:r>
      <w:r w:rsidR="006822B7" w:rsidRPr="009D39D5">
        <w:rPr>
          <w:lang w:val="es-ES"/>
        </w:rPr>
        <w:t>pued</w:t>
      </w:r>
      <w:r w:rsidR="00AB4D28" w:rsidRPr="009D39D5">
        <w:rPr>
          <w:lang w:val="es-ES"/>
        </w:rPr>
        <w:t>a</w:t>
      </w:r>
      <w:r w:rsidR="006822B7" w:rsidRPr="009D39D5">
        <w:rPr>
          <w:lang w:val="es-ES"/>
        </w:rPr>
        <w:t xml:space="preserve"> parecer</w:t>
      </w:r>
      <w:r w:rsidR="00AB4D28" w:rsidRPr="009D39D5">
        <w:rPr>
          <w:lang w:val="es-ES"/>
        </w:rPr>
        <w:t>,</w:t>
      </w:r>
      <w:r w:rsidR="006822B7" w:rsidRPr="009D39D5">
        <w:rPr>
          <w:lang w:val="es-ES"/>
        </w:rPr>
        <w:t xml:space="preserve"> en alguna medida</w:t>
      </w:r>
      <w:r w:rsidR="00AB4D28" w:rsidRPr="009D39D5">
        <w:rPr>
          <w:lang w:val="es-ES"/>
        </w:rPr>
        <w:t>,</w:t>
      </w:r>
      <w:r w:rsidR="006822B7" w:rsidRPr="009D39D5">
        <w:rPr>
          <w:lang w:val="es-ES"/>
        </w:rPr>
        <w:t xml:space="preserve"> contrario al sentido común </w:t>
      </w:r>
      <w:r w:rsidR="00AB4D28" w:rsidRPr="009D39D5">
        <w:rPr>
          <w:lang w:val="es-ES"/>
        </w:rPr>
        <w:t xml:space="preserve">afirmar </w:t>
      </w:r>
      <w:r w:rsidR="006822B7" w:rsidRPr="009D39D5">
        <w:rPr>
          <w:lang w:val="es-ES"/>
        </w:rPr>
        <w:t>que la solución extrajudicial de controversias deb</w:t>
      </w:r>
      <w:r w:rsidR="00AB4D28" w:rsidRPr="009D39D5">
        <w:rPr>
          <w:lang w:val="es-ES"/>
        </w:rPr>
        <w:t>erí</w:t>
      </w:r>
      <w:r w:rsidR="006822B7" w:rsidRPr="009D39D5">
        <w:rPr>
          <w:lang w:val="es-ES"/>
        </w:rPr>
        <w:t xml:space="preserve">a desempeñar una función en la </w:t>
      </w:r>
      <w:r w:rsidR="00647F99" w:rsidRPr="009D39D5">
        <w:rPr>
          <w:i/>
          <w:lang w:val="es-ES"/>
        </w:rPr>
        <w:t>o</w:t>
      </w:r>
      <w:r w:rsidR="006822B7" w:rsidRPr="009D39D5">
        <w:rPr>
          <w:i/>
          <w:lang w:val="es-ES"/>
        </w:rPr>
        <w:t xml:space="preserve">bservancia </w:t>
      </w:r>
      <w:r w:rsidR="006822B7" w:rsidRPr="009D39D5">
        <w:rPr>
          <w:lang w:val="es-ES"/>
        </w:rPr>
        <w:t>de los derechos de P.I</w:t>
      </w:r>
      <w:r w:rsidR="006822B7" w:rsidRPr="009D39D5">
        <w:rPr>
          <w:i/>
          <w:lang w:val="es-ES"/>
        </w:rPr>
        <w:t>.</w:t>
      </w:r>
      <w:r w:rsidR="00647F99" w:rsidRPr="009D39D5">
        <w:rPr>
          <w:lang w:val="es-ES"/>
        </w:rPr>
        <w:t xml:space="preserve">  </w:t>
      </w:r>
      <w:r w:rsidR="00C53A44">
        <w:rPr>
          <w:lang w:val="es-ES"/>
        </w:rPr>
        <w:t>De hecho</w:t>
      </w:r>
      <w:r w:rsidR="00301620" w:rsidRPr="009D39D5">
        <w:rPr>
          <w:lang w:val="es-ES"/>
        </w:rPr>
        <w:t>,</w:t>
      </w:r>
      <w:r w:rsidR="006822B7" w:rsidRPr="009D39D5">
        <w:rPr>
          <w:lang w:val="es-ES"/>
        </w:rPr>
        <w:t xml:space="preserve"> la solución extrajudicial de controversias tiene mucho que aportar a dicha observancia en la medida en que permite solucionar las controversias </w:t>
      </w:r>
      <w:r w:rsidR="00301620" w:rsidRPr="009D39D5">
        <w:rPr>
          <w:lang w:val="es-ES"/>
        </w:rPr>
        <w:t xml:space="preserve">en materia </w:t>
      </w:r>
      <w:r w:rsidR="006822B7" w:rsidRPr="009D39D5">
        <w:rPr>
          <w:lang w:val="es-ES"/>
        </w:rPr>
        <w:t xml:space="preserve">de P.I., independientemente de que exista, al menos inicialmente, un acuerdo </w:t>
      </w:r>
      <w:r w:rsidR="00065EEB" w:rsidRPr="009D39D5">
        <w:rPr>
          <w:lang w:val="es-ES"/>
        </w:rPr>
        <w:t>subyacente</w:t>
      </w:r>
      <w:r w:rsidR="00647F99" w:rsidRPr="009D39D5">
        <w:rPr>
          <w:lang w:val="es-ES"/>
        </w:rPr>
        <w:t xml:space="preserve">, </w:t>
      </w:r>
      <w:r w:rsidR="00301620" w:rsidRPr="009D39D5">
        <w:rPr>
          <w:lang w:val="es-ES"/>
        </w:rPr>
        <w:t>por vías a las que no tienen acceso un</w:t>
      </w:r>
      <w:r w:rsidR="00065EEB" w:rsidRPr="009D39D5">
        <w:rPr>
          <w:lang w:val="es-ES"/>
        </w:rPr>
        <w:t xml:space="preserve"> tribunal nacional u otros </w:t>
      </w:r>
      <w:r w:rsidR="00301620" w:rsidRPr="009D39D5">
        <w:rPr>
          <w:lang w:val="es-ES"/>
        </w:rPr>
        <w:t>sistemas</w:t>
      </w:r>
      <w:r w:rsidR="00065EEB" w:rsidRPr="009D39D5">
        <w:rPr>
          <w:lang w:val="es-ES"/>
        </w:rPr>
        <w:t xml:space="preserve"> </w:t>
      </w:r>
      <w:r w:rsidR="00065EEB" w:rsidRPr="009D39D5">
        <w:rPr>
          <w:lang w:val="es-ES"/>
        </w:rPr>
        <w:lastRenderedPageBreak/>
        <w:t>de observancia tradicionales u oficiales</w:t>
      </w:r>
      <w:r w:rsidR="00AB4D28" w:rsidRPr="009D39D5">
        <w:rPr>
          <w:lang w:val="es-ES"/>
        </w:rPr>
        <w:t>,</w:t>
      </w:r>
      <w:r w:rsidR="00065EEB" w:rsidRPr="009D39D5">
        <w:rPr>
          <w:lang w:val="es-ES"/>
        </w:rPr>
        <w:t xml:space="preserve"> o </w:t>
      </w:r>
      <w:r w:rsidR="00301620" w:rsidRPr="009D39D5">
        <w:rPr>
          <w:lang w:val="es-ES"/>
        </w:rPr>
        <w:t>sencillamente</w:t>
      </w:r>
      <w:r w:rsidR="00065EEB" w:rsidRPr="009D39D5">
        <w:rPr>
          <w:lang w:val="es-ES"/>
        </w:rPr>
        <w:t xml:space="preserve">, de manera </w:t>
      </w:r>
      <w:r w:rsidR="00301620" w:rsidRPr="009D39D5">
        <w:rPr>
          <w:lang w:val="es-ES"/>
        </w:rPr>
        <w:t>más apropiada</w:t>
      </w:r>
      <w:r w:rsidR="00FE15D3">
        <w:rPr>
          <w:lang w:val="es-ES"/>
        </w:rPr>
        <w:t xml:space="preserve"> que estos últimos</w:t>
      </w:r>
      <w:r w:rsidR="00065EEB" w:rsidRPr="009D39D5">
        <w:rPr>
          <w:lang w:val="es-ES"/>
        </w:rPr>
        <w:t>.</w:t>
      </w:r>
    </w:p>
    <w:p w:rsidR="00647F99" w:rsidRPr="009D39D5" w:rsidRDefault="0077771B" w:rsidP="008A3947">
      <w:pPr>
        <w:pStyle w:val="Heading2"/>
        <w:numPr>
          <w:ilvl w:val="0"/>
          <w:numId w:val="12"/>
        </w:numPr>
        <w:tabs>
          <w:tab w:val="left" w:pos="567"/>
        </w:tabs>
        <w:ind w:left="0" w:firstLine="0"/>
        <w:rPr>
          <w:lang w:val="es-ES"/>
        </w:rPr>
      </w:pPr>
      <w:r w:rsidRPr="009D39D5">
        <w:rPr>
          <w:lang w:val="es-ES"/>
        </w:rPr>
        <w:t>tipos de proce</w:t>
      </w:r>
      <w:r w:rsidR="00AB4D28" w:rsidRPr="009D39D5">
        <w:rPr>
          <w:lang w:val="es-ES"/>
        </w:rPr>
        <w:t>D</w:t>
      </w:r>
      <w:r w:rsidRPr="009D39D5">
        <w:rPr>
          <w:lang w:val="es-ES"/>
        </w:rPr>
        <w:t xml:space="preserve">imientos </w:t>
      </w:r>
      <w:r w:rsidR="00AB4D28" w:rsidRPr="009D39D5">
        <w:rPr>
          <w:lang w:val="es-ES"/>
        </w:rPr>
        <w:t xml:space="preserve">de solución extrajudicial de controversias </w:t>
      </w:r>
      <w:r w:rsidRPr="009D39D5">
        <w:rPr>
          <w:lang w:val="es-ES"/>
        </w:rPr>
        <w:t>que p</w:t>
      </w:r>
      <w:r w:rsidR="00AB4D28" w:rsidRPr="009D39D5">
        <w:rPr>
          <w:lang w:val="es-ES"/>
        </w:rPr>
        <w:t>odrían</w:t>
      </w:r>
      <w:r w:rsidRPr="009D39D5">
        <w:rPr>
          <w:lang w:val="es-ES"/>
        </w:rPr>
        <w:t xml:space="preserve"> utilizarse para la observancia de los derechos de P.I.</w:t>
      </w:r>
      <w:r w:rsidR="00647F99" w:rsidRPr="009D39D5">
        <w:rPr>
          <w:lang w:val="es-ES"/>
        </w:rPr>
        <w:t xml:space="preserve"> (</w:t>
      </w:r>
      <w:r w:rsidRPr="009D39D5">
        <w:rPr>
          <w:lang w:val="es-ES"/>
        </w:rPr>
        <w:t>POR EJEMPLO,</w:t>
      </w:r>
      <w:r w:rsidR="006E0EF6">
        <w:rPr>
          <w:lang w:val="es-ES"/>
        </w:rPr>
        <w:t xml:space="preserve"> EL</w:t>
      </w:r>
      <w:r w:rsidRPr="009D39D5">
        <w:rPr>
          <w:lang w:val="es-ES"/>
        </w:rPr>
        <w:t xml:space="preserve"> ARBITRAJE, </w:t>
      </w:r>
      <w:r w:rsidR="006E0EF6">
        <w:rPr>
          <w:lang w:val="es-ES"/>
        </w:rPr>
        <w:t xml:space="preserve">LA </w:t>
      </w:r>
      <w:r w:rsidRPr="009D39D5">
        <w:rPr>
          <w:lang w:val="es-ES"/>
        </w:rPr>
        <w:t xml:space="preserve">MEDIACIÓN, </w:t>
      </w:r>
      <w:r w:rsidR="006E0EF6">
        <w:rPr>
          <w:lang w:val="es-ES"/>
        </w:rPr>
        <w:t xml:space="preserve">LA </w:t>
      </w:r>
      <w:r w:rsidRPr="009D39D5">
        <w:rPr>
          <w:lang w:val="es-ES"/>
        </w:rPr>
        <w:t>DECISIÓN DE EXPERTO Y otros procedimientos administrativos basados en el consentimiento de las partes</w:t>
      </w:r>
      <w:r w:rsidR="00647F99" w:rsidRPr="009D39D5">
        <w:rPr>
          <w:lang w:val="es-ES"/>
        </w:rPr>
        <w:t>)</w:t>
      </w:r>
    </w:p>
    <w:p w:rsidR="00647F99" w:rsidRPr="00B34229" w:rsidRDefault="00647F99" w:rsidP="008A3947">
      <w:pPr>
        <w:rPr>
          <w:bCs/>
          <w:lang w:val="es-ES"/>
        </w:rPr>
      </w:pPr>
    </w:p>
    <w:p w:rsidR="00647F99" w:rsidRPr="009D39D5" w:rsidRDefault="00647F99" w:rsidP="008A3947">
      <w:pPr>
        <w:numPr>
          <w:ilvl w:val="0"/>
          <w:numId w:val="8"/>
        </w:numPr>
        <w:ind w:left="1134" w:hanging="567"/>
        <w:rPr>
          <w:lang w:val="es-ES"/>
        </w:rPr>
      </w:pPr>
      <w:r w:rsidRPr="009D39D5">
        <w:rPr>
          <w:lang w:val="es-ES"/>
        </w:rPr>
        <w:t>Introduc</w:t>
      </w:r>
      <w:r w:rsidR="00EE517C" w:rsidRPr="009D39D5">
        <w:rPr>
          <w:lang w:val="es-ES"/>
        </w:rPr>
        <w:t>ción</w:t>
      </w:r>
    </w:p>
    <w:p w:rsidR="007F1AEB" w:rsidRPr="009D39D5" w:rsidRDefault="007F1AEB" w:rsidP="00B34229">
      <w:pPr>
        <w:tabs>
          <w:tab w:val="left" w:pos="7170"/>
        </w:tabs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C72B80" w:rsidRPr="009D39D5">
        <w:rPr>
          <w:lang w:val="es-ES"/>
        </w:rPr>
        <w:t xml:space="preserve">No es posible definir la solución extrajudicial de controversias de una </w:t>
      </w:r>
      <w:r w:rsidR="00F45AAE">
        <w:rPr>
          <w:lang w:val="es-ES"/>
        </w:rPr>
        <w:t xml:space="preserve">única </w:t>
      </w:r>
      <w:r w:rsidR="00C72B80" w:rsidRPr="009D39D5">
        <w:rPr>
          <w:lang w:val="es-ES"/>
        </w:rPr>
        <w:t xml:space="preserve">manera </w:t>
      </w:r>
      <w:r w:rsidR="00F45AAE">
        <w:rPr>
          <w:lang w:val="es-ES"/>
        </w:rPr>
        <w:t>general</w:t>
      </w:r>
      <w:r w:rsidR="00C72B80" w:rsidRPr="009D39D5">
        <w:rPr>
          <w:lang w:val="es-ES"/>
        </w:rPr>
        <w:t xml:space="preserve"> y, al mismo tiempo, exclusiva</w:t>
      </w:r>
      <w:r w:rsidR="00FF32BB" w:rsidRPr="009D39D5">
        <w:rPr>
          <w:lang w:val="es-ES"/>
        </w:rPr>
        <w:t xml:space="preserve">;  </w:t>
      </w:r>
      <w:r w:rsidR="00C72B80" w:rsidRPr="009D39D5">
        <w:rPr>
          <w:lang w:val="es-ES"/>
        </w:rPr>
        <w:t xml:space="preserve">esta puede abarcar desde la asistencia a las partes para lograr una solución negociada de la controversia </w:t>
      </w:r>
      <w:r w:rsidR="00AB4D28" w:rsidRPr="009D39D5">
        <w:rPr>
          <w:lang w:val="es-ES"/>
        </w:rPr>
        <w:t>surgida</w:t>
      </w:r>
      <w:r w:rsidR="00C72B80" w:rsidRPr="009D39D5">
        <w:rPr>
          <w:lang w:val="es-ES"/>
        </w:rPr>
        <w:t xml:space="preserve">, fórmula que puede, </w:t>
      </w:r>
      <w:r w:rsidR="00301620" w:rsidRPr="009D39D5">
        <w:rPr>
          <w:lang w:val="es-ES"/>
        </w:rPr>
        <w:t>aunque</w:t>
      </w:r>
      <w:r w:rsidR="00C72B80" w:rsidRPr="009D39D5">
        <w:rPr>
          <w:lang w:val="es-ES"/>
        </w:rPr>
        <w:t xml:space="preserve"> no forzosamente, </w:t>
      </w:r>
      <w:r w:rsidR="00AB4D28" w:rsidRPr="009D39D5">
        <w:rPr>
          <w:lang w:val="es-ES"/>
        </w:rPr>
        <w:t>implicar</w:t>
      </w:r>
      <w:r w:rsidR="00C72B80" w:rsidRPr="009D39D5">
        <w:rPr>
          <w:lang w:val="es-ES"/>
        </w:rPr>
        <w:t xml:space="preserve"> una decisión independiente en relación con </w:t>
      </w:r>
      <w:r w:rsidR="007067F5" w:rsidRPr="009D39D5">
        <w:rPr>
          <w:lang w:val="es-ES"/>
        </w:rPr>
        <w:t xml:space="preserve">el fondo de la controversia </w:t>
      </w:r>
      <w:r w:rsidR="00647F99" w:rsidRPr="009D39D5">
        <w:rPr>
          <w:lang w:val="es-ES"/>
        </w:rPr>
        <w:t>(</w:t>
      </w:r>
      <w:r w:rsidR="007067F5" w:rsidRPr="009D39D5">
        <w:rPr>
          <w:lang w:val="es-ES"/>
        </w:rPr>
        <w:t>por ejemplo, la mediación</w:t>
      </w:r>
      <w:r w:rsidR="00647F99" w:rsidRPr="009D39D5">
        <w:rPr>
          <w:lang w:val="es-ES"/>
        </w:rPr>
        <w:t xml:space="preserve">), </w:t>
      </w:r>
      <w:r w:rsidR="007067F5" w:rsidRPr="009D39D5">
        <w:rPr>
          <w:lang w:val="es-ES"/>
        </w:rPr>
        <w:t xml:space="preserve">hasta diversos tipos de decisión independiente </w:t>
      </w:r>
      <w:r w:rsidR="00AB4D28" w:rsidRPr="009D39D5">
        <w:rPr>
          <w:lang w:val="es-ES"/>
        </w:rPr>
        <w:t>sobre e</w:t>
      </w:r>
      <w:r w:rsidR="007067F5" w:rsidRPr="009D39D5">
        <w:rPr>
          <w:lang w:val="es-ES"/>
        </w:rPr>
        <w:t xml:space="preserve">l fondo del asunto o determinados aspectos de este </w:t>
      </w:r>
      <w:r w:rsidR="00647F99" w:rsidRPr="009D39D5">
        <w:rPr>
          <w:lang w:val="es-ES"/>
        </w:rPr>
        <w:t>(</w:t>
      </w:r>
      <w:r w:rsidR="007067F5" w:rsidRPr="009D39D5">
        <w:rPr>
          <w:lang w:val="es-ES"/>
        </w:rPr>
        <w:t>como el arbitraje o la decisión de experto</w:t>
      </w:r>
      <w:r w:rsidR="00647F99" w:rsidRPr="009D39D5">
        <w:rPr>
          <w:lang w:val="es-ES"/>
        </w:rPr>
        <w:t xml:space="preserve">).  </w:t>
      </w:r>
      <w:r w:rsidR="007067F5" w:rsidRPr="009D39D5">
        <w:rPr>
          <w:lang w:val="es-ES"/>
        </w:rPr>
        <w:t xml:space="preserve">Una decisión independiente de esa clase puede tener carácter vinculante para las partes </w:t>
      </w:r>
      <w:r w:rsidR="00647F99" w:rsidRPr="009D39D5">
        <w:rPr>
          <w:lang w:val="es-ES"/>
        </w:rPr>
        <w:t>(</w:t>
      </w:r>
      <w:r w:rsidR="007067F5" w:rsidRPr="009D39D5">
        <w:rPr>
          <w:lang w:val="es-ES"/>
        </w:rPr>
        <w:t>como en el caso del arbitraje y en numerosas decisiones de expertos</w:t>
      </w:r>
      <w:r w:rsidR="00647F99" w:rsidRPr="009D39D5">
        <w:rPr>
          <w:lang w:val="es-ES"/>
        </w:rPr>
        <w:t>) o</w:t>
      </w:r>
      <w:r w:rsidR="007067F5" w:rsidRPr="009D39D5">
        <w:rPr>
          <w:lang w:val="es-ES"/>
        </w:rPr>
        <w:t xml:space="preserve"> no vinculante</w:t>
      </w:r>
      <w:r w:rsidR="00647F99" w:rsidRPr="009D39D5">
        <w:rPr>
          <w:lang w:val="es-ES"/>
        </w:rPr>
        <w:t xml:space="preserve"> (</w:t>
      </w:r>
      <w:r w:rsidR="007067F5" w:rsidRPr="009D39D5">
        <w:rPr>
          <w:lang w:val="es-ES"/>
        </w:rPr>
        <w:t>como puede suceder</w:t>
      </w:r>
      <w:r w:rsidR="00AB4D28" w:rsidRPr="009D39D5">
        <w:rPr>
          <w:lang w:val="es-ES"/>
        </w:rPr>
        <w:t>,</w:t>
      </w:r>
      <w:r w:rsidR="007067F5" w:rsidRPr="009D39D5">
        <w:rPr>
          <w:lang w:val="es-ES"/>
        </w:rPr>
        <w:t xml:space="preserve"> en </w:t>
      </w:r>
      <w:r w:rsidR="00AB4D28" w:rsidRPr="009D39D5">
        <w:rPr>
          <w:lang w:val="es-ES"/>
        </w:rPr>
        <w:t>ocasiones, con la</w:t>
      </w:r>
      <w:r w:rsidR="007067F5" w:rsidRPr="009D39D5">
        <w:rPr>
          <w:lang w:val="es-ES"/>
        </w:rPr>
        <w:t xml:space="preserve"> decisi</w:t>
      </w:r>
      <w:r w:rsidR="00AB4D28" w:rsidRPr="009D39D5">
        <w:rPr>
          <w:lang w:val="es-ES"/>
        </w:rPr>
        <w:t>ón</w:t>
      </w:r>
      <w:r w:rsidR="007067F5" w:rsidRPr="009D39D5">
        <w:rPr>
          <w:lang w:val="es-ES"/>
        </w:rPr>
        <w:t xml:space="preserve"> de experto</w:t>
      </w:r>
      <w:r w:rsidR="00647F99" w:rsidRPr="009D39D5">
        <w:rPr>
          <w:lang w:val="es-ES"/>
        </w:rPr>
        <w:t xml:space="preserve">), </w:t>
      </w:r>
      <w:r w:rsidR="007067F5" w:rsidRPr="009D39D5">
        <w:rPr>
          <w:lang w:val="es-ES"/>
        </w:rPr>
        <w:t>si bien, incluso cuando la decisión no tiene carácter vinculante</w:t>
      </w:r>
      <w:r w:rsidR="00647F99" w:rsidRPr="009D39D5">
        <w:rPr>
          <w:lang w:val="es-ES"/>
        </w:rPr>
        <w:t xml:space="preserve"> (</w:t>
      </w:r>
      <w:r w:rsidR="007067F5" w:rsidRPr="009D39D5">
        <w:rPr>
          <w:lang w:val="es-ES"/>
        </w:rPr>
        <w:t>denominada en este documento</w:t>
      </w:r>
      <w:r w:rsidR="00647F99" w:rsidRPr="009D39D5">
        <w:rPr>
          <w:lang w:val="es-ES"/>
        </w:rPr>
        <w:t xml:space="preserve"> “</w:t>
      </w:r>
      <w:r w:rsidR="007067F5" w:rsidRPr="009D39D5">
        <w:rPr>
          <w:lang w:val="es-ES"/>
        </w:rPr>
        <w:t>evaluación imparcial</w:t>
      </w:r>
      <w:r w:rsidR="00647F99" w:rsidRPr="009D39D5">
        <w:rPr>
          <w:lang w:val="es-ES"/>
        </w:rPr>
        <w:t xml:space="preserve">”) </w:t>
      </w:r>
      <w:r w:rsidR="007067F5" w:rsidRPr="009D39D5">
        <w:rPr>
          <w:lang w:val="es-ES"/>
        </w:rPr>
        <w:t>p</w:t>
      </w:r>
      <w:r w:rsidR="00AB4D28" w:rsidRPr="009D39D5">
        <w:rPr>
          <w:lang w:val="es-ES"/>
        </w:rPr>
        <w:t>odría</w:t>
      </w:r>
      <w:r w:rsidR="007067F5" w:rsidRPr="009D39D5">
        <w:rPr>
          <w:lang w:val="es-ES"/>
        </w:rPr>
        <w:t xml:space="preserve"> tener una in</w:t>
      </w:r>
      <w:r w:rsidR="00AB4D28" w:rsidRPr="009D39D5">
        <w:rPr>
          <w:lang w:val="es-ES"/>
        </w:rPr>
        <w:t>fluencia</w:t>
      </w:r>
      <w:r w:rsidR="007067F5" w:rsidRPr="009D39D5">
        <w:rPr>
          <w:lang w:val="es-ES"/>
        </w:rPr>
        <w:t xml:space="preserve"> considerable en las partes y facilitar</w:t>
      </w:r>
      <w:r w:rsidR="00AB4D28" w:rsidRPr="009D39D5">
        <w:rPr>
          <w:lang w:val="es-ES"/>
        </w:rPr>
        <w:t>,</w:t>
      </w:r>
      <w:r w:rsidR="007067F5" w:rsidRPr="009D39D5">
        <w:rPr>
          <w:lang w:val="es-ES"/>
        </w:rPr>
        <w:t xml:space="preserve"> de esa forma</w:t>
      </w:r>
      <w:r w:rsidR="00AB4D28" w:rsidRPr="009D39D5">
        <w:rPr>
          <w:lang w:val="es-ES"/>
        </w:rPr>
        <w:t>,</w:t>
      </w:r>
      <w:r w:rsidR="007067F5" w:rsidRPr="009D39D5">
        <w:rPr>
          <w:lang w:val="es-ES"/>
        </w:rPr>
        <w:t xml:space="preserve"> </w:t>
      </w:r>
      <w:r w:rsidR="00B06023" w:rsidRPr="009D39D5">
        <w:rPr>
          <w:lang w:val="es-ES"/>
        </w:rPr>
        <w:t>una solución negociada en función de la medida en que se difund</w:t>
      </w:r>
      <w:r w:rsidR="00AB4D28" w:rsidRPr="009D39D5">
        <w:rPr>
          <w:lang w:val="es-ES"/>
        </w:rPr>
        <w:t>a</w:t>
      </w:r>
      <w:r w:rsidR="00B06023" w:rsidRPr="009D39D5">
        <w:rPr>
          <w:lang w:val="es-ES"/>
        </w:rPr>
        <w:t xml:space="preserve">, o </w:t>
      </w:r>
      <w:r w:rsidR="00301620" w:rsidRPr="009D39D5">
        <w:rPr>
          <w:lang w:val="es-ES"/>
        </w:rPr>
        <w:t xml:space="preserve">en razón </w:t>
      </w:r>
      <w:r w:rsidR="00B06023" w:rsidRPr="009D39D5">
        <w:rPr>
          <w:lang w:val="es-ES"/>
        </w:rPr>
        <w:t>de la naturaleza del</w:t>
      </w:r>
      <w:r w:rsidR="00A8391B">
        <w:rPr>
          <w:lang w:val="es-ES"/>
        </w:rPr>
        <w:t xml:space="preserve"> órgano</w:t>
      </w:r>
      <w:r w:rsidR="00B06023" w:rsidRPr="009D39D5">
        <w:rPr>
          <w:lang w:val="es-ES"/>
        </w:rPr>
        <w:t xml:space="preserve"> que </w:t>
      </w:r>
      <w:r w:rsidR="00F40362" w:rsidRPr="009D39D5">
        <w:rPr>
          <w:lang w:val="es-ES"/>
        </w:rPr>
        <w:t>l</w:t>
      </w:r>
      <w:r w:rsidR="00AB4D28" w:rsidRPr="009D39D5">
        <w:rPr>
          <w:lang w:val="es-ES"/>
        </w:rPr>
        <w:t>a</w:t>
      </w:r>
      <w:r w:rsidR="00F40362" w:rsidRPr="009D39D5">
        <w:rPr>
          <w:lang w:val="es-ES"/>
        </w:rPr>
        <w:t xml:space="preserve"> </w:t>
      </w:r>
      <w:r w:rsidR="00301620" w:rsidRPr="009D39D5">
        <w:rPr>
          <w:lang w:val="es-ES"/>
        </w:rPr>
        <w:t>formule</w:t>
      </w:r>
      <w:r w:rsidR="00F40362" w:rsidRPr="009D39D5">
        <w:rPr>
          <w:lang w:val="es-ES"/>
        </w:rPr>
        <w:t>.</w:t>
      </w:r>
      <w:r w:rsidR="00647F99" w:rsidRPr="009D39D5">
        <w:rPr>
          <w:lang w:val="es-ES"/>
        </w:rPr>
        <w:t xml:space="preserve">  </w:t>
      </w:r>
      <w:r w:rsidR="00F40362" w:rsidRPr="009D39D5">
        <w:rPr>
          <w:lang w:val="es-ES"/>
        </w:rPr>
        <w:t xml:space="preserve">Por lo general, pero no siempre, son particulares u organizaciones del sector privado las que </w:t>
      </w:r>
      <w:r w:rsidR="00301620" w:rsidRPr="009D39D5">
        <w:rPr>
          <w:lang w:val="es-ES"/>
        </w:rPr>
        <w:t>formulan</w:t>
      </w:r>
      <w:r w:rsidR="00F40362" w:rsidRPr="009D39D5">
        <w:rPr>
          <w:lang w:val="es-ES"/>
        </w:rPr>
        <w:t xml:space="preserve"> estas decisiones independientes, o gestionan el proceso </w:t>
      </w:r>
      <w:r w:rsidR="00AB4D28" w:rsidRPr="009D39D5">
        <w:rPr>
          <w:lang w:val="es-ES"/>
        </w:rPr>
        <w:t xml:space="preserve">que lleva a su </w:t>
      </w:r>
      <w:r w:rsidR="00301620" w:rsidRPr="009D39D5">
        <w:rPr>
          <w:lang w:val="es-ES"/>
        </w:rPr>
        <w:t>formulaci</w:t>
      </w:r>
      <w:r w:rsidR="00AB4D28" w:rsidRPr="009D39D5">
        <w:rPr>
          <w:lang w:val="es-ES"/>
        </w:rPr>
        <w:t>ón</w:t>
      </w:r>
      <w:r w:rsidR="00647F99" w:rsidRPr="009D39D5">
        <w:rPr>
          <w:lang w:val="es-ES"/>
        </w:rPr>
        <w:t xml:space="preserve">.  </w:t>
      </w:r>
      <w:r w:rsidR="00F40362" w:rsidRPr="009D39D5">
        <w:rPr>
          <w:lang w:val="es-ES"/>
        </w:rPr>
        <w:t xml:space="preserve">Cada uno de estos tipos de solución extrajudicial de controversias se </w:t>
      </w:r>
      <w:r w:rsidR="00AB4D28" w:rsidRPr="009D39D5">
        <w:rPr>
          <w:lang w:val="es-ES"/>
        </w:rPr>
        <w:t>explica</w:t>
      </w:r>
      <w:r w:rsidR="00F40362" w:rsidRPr="009D39D5">
        <w:rPr>
          <w:lang w:val="es-ES"/>
        </w:rPr>
        <w:t xml:space="preserve"> </w:t>
      </w:r>
      <w:r w:rsidR="00AB4D28" w:rsidRPr="009D39D5">
        <w:rPr>
          <w:lang w:val="es-ES"/>
        </w:rPr>
        <w:t>de manera más exhaustiva</w:t>
      </w:r>
      <w:r w:rsidR="00F40362" w:rsidRPr="009D39D5">
        <w:rPr>
          <w:lang w:val="es-ES"/>
        </w:rPr>
        <w:t xml:space="preserve"> a continuación.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647F99" w:rsidP="008A3947">
      <w:pPr>
        <w:numPr>
          <w:ilvl w:val="0"/>
          <w:numId w:val="8"/>
        </w:numPr>
        <w:ind w:left="1134" w:hanging="567"/>
        <w:rPr>
          <w:lang w:val="es-ES"/>
        </w:rPr>
      </w:pPr>
      <w:r w:rsidRPr="009D39D5">
        <w:rPr>
          <w:lang w:val="es-ES"/>
        </w:rPr>
        <w:t>Arbitra</w:t>
      </w:r>
      <w:r w:rsidR="00EE517C" w:rsidRPr="009D39D5">
        <w:rPr>
          <w:lang w:val="es-ES"/>
        </w:rPr>
        <w:t>je</w:t>
      </w:r>
    </w:p>
    <w:p w:rsidR="007F1AEB" w:rsidRPr="009D39D5" w:rsidRDefault="007F1AEB" w:rsidP="00B34229">
      <w:pPr>
        <w:rPr>
          <w:lang w:val="es-ES"/>
        </w:rPr>
      </w:pPr>
    </w:p>
    <w:p w:rsidR="00AB0312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86680A" w:rsidRPr="009D39D5">
        <w:rPr>
          <w:lang w:val="es-ES"/>
        </w:rPr>
        <w:t xml:space="preserve">El arbitraje se ha definido como un procedimiento vinculante en el marco del cual se somete la controversia a uno o más árbitros que toman una decisión definitiva </w:t>
      </w:r>
      <w:r w:rsidR="00AB4D28" w:rsidRPr="009D39D5">
        <w:rPr>
          <w:lang w:val="es-ES"/>
        </w:rPr>
        <w:t xml:space="preserve">al </w:t>
      </w:r>
      <w:r w:rsidR="0086680A" w:rsidRPr="009D39D5">
        <w:rPr>
          <w:lang w:val="es-ES"/>
        </w:rPr>
        <w:t>respecto</w:t>
      </w:r>
      <w:r w:rsidR="00647F99" w:rsidRPr="009D39D5">
        <w:rPr>
          <w:lang w:val="es-ES"/>
        </w:rPr>
        <w:t xml:space="preserve">. </w:t>
      </w:r>
    </w:p>
    <w:p w:rsidR="00AB0312" w:rsidRPr="009D39D5" w:rsidRDefault="00AB0312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64C35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64C35" w:rsidRPr="009D39D5">
        <w:rPr>
          <w:lang w:val="es-ES"/>
        </w:rPr>
        <w:tab/>
      </w:r>
      <w:r w:rsidR="0086680A" w:rsidRPr="009D39D5">
        <w:rPr>
          <w:lang w:val="es-ES"/>
        </w:rPr>
        <w:t xml:space="preserve">Para que pueda efectuarse el arbitraje de una controversia es necesario que las partes hayan </w:t>
      </w:r>
      <w:r w:rsidR="00C548D0" w:rsidRPr="009D39D5">
        <w:rPr>
          <w:lang w:val="es-ES"/>
        </w:rPr>
        <w:t>acordado</w:t>
      </w:r>
      <w:r w:rsidR="0086680A" w:rsidRPr="009D39D5">
        <w:rPr>
          <w:lang w:val="es-ES"/>
        </w:rPr>
        <w:t xml:space="preserve"> primero someterla al </w:t>
      </w:r>
      <w:r w:rsidR="00C32EAC" w:rsidRPr="009D39D5">
        <w:rPr>
          <w:lang w:val="es-ES"/>
        </w:rPr>
        <w:t xml:space="preserve">procedimiento de </w:t>
      </w:r>
      <w:r w:rsidR="0086680A" w:rsidRPr="009D39D5">
        <w:rPr>
          <w:lang w:val="es-ES"/>
        </w:rPr>
        <w:t>arbitraje</w:t>
      </w:r>
      <w:r w:rsidR="00647F99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86680A" w:rsidRPr="009D39D5">
        <w:rPr>
          <w:lang w:val="es-ES"/>
        </w:rPr>
        <w:t xml:space="preserve">La forma más común es </w:t>
      </w:r>
      <w:r w:rsidR="008A3947">
        <w:rPr>
          <w:lang w:val="es-ES"/>
        </w:rPr>
        <w:t xml:space="preserve">estipular el arbitraje </w:t>
      </w:r>
      <w:r w:rsidR="0086680A" w:rsidRPr="009D39D5">
        <w:rPr>
          <w:lang w:val="es-ES"/>
        </w:rPr>
        <w:t>antes de que s</w:t>
      </w:r>
      <w:r w:rsidR="00C548D0" w:rsidRPr="009D39D5">
        <w:rPr>
          <w:lang w:val="es-ES"/>
        </w:rPr>
        <w:t>urja</w:t>
      </w:r>
      <w:r w:rsidR="0086680A" w:rsidRPr="009D39D5">
        <w:rPr>
          <w:lang w:val="es-ES"/>
        </w:rPr>
        <w:t xml:space="preserve"> la controversia en el marco de la relación existente entre las partes, como</w:t>
      </w:r>
      <w:r w:rsidR="00C548D0" w:rsidRPr="009D39D5">
        <w:rPr>
          <w:lang w:val="es-ES"/>
        </w:rPr>
        <w:t>,</w:t>
      </w:r>
      <w:r w:rsidR="0086680A" w:rsidRPr="009D39D5">
        <w:rPr>
          <w:lang w:val="es-ES"/>
        </w:rPr>
        <w:t xml:space="preserve"> por ejemplo</w:t>
      </w:r>
      <w:r w:rsidR="00C548D0" w:rsidRPr="009D39D5">
        <w:rPr>
          <w:lang w:val="es-ES"/>
        </w:rPr>
        <w:t>,</w:t>
      </w:r>
      <w:r w:rsidR="0086680A" w:rsidRPr="009D39D5">
        <w:rPr>
          <w:lang w:val="es-ES"/>
        </w:rPr>
        <w:t xml:space="preserve"> </w:t>
      </w:r>
      <w:r w:rsidR="00301620" w:rsidRPr="009D39D5">
        <w:rPr>
          <w:lang w:val="es-ES"/>
        </w:rPr>
        <w:t>sobre la base de</w:t>
      </w:r>
      <w:r w:rsidR="0086680A" w:rsidRPr="009D39D5">
        <w:rPr>
          <w:lang w:val="es-ES"/>
        </w:rPr>
        <w:t xml:space="preserve"> un acuerdo entre ellas en el cual el sometimiento a arbitraje se reflejará en una cláusula de dicho acuerdo en virtud de la cual las partes </w:t>
      </w:r>
      <w:r w:rsidR="00C548D0" w:rsidRPr="009D39D5">
        <w:rPr>
          <w:lang w:val="es-ES"/>
        </w:rPr>
        <w:t>convienen generalmente</w:t>
      </w:r>
      <w:r w:rsidR="00FB7942" w:rsidRPr="009D39D5">
        <w:rPr>
          <w:lang w:val="es-ES"/>
        </w:rPr>
        <w:t xml:space="preserve"> </w:t>
      </w:r>
      <w:r w:rsidR="00C548D0" w:rsidRPr="009D39D5">
        <w:rPr>
          <w:lang w:val="es-ES"/>
        </w:rPr>
        <w:t xml:space="preserve">en </w:t>
      </w:r>
      <w:r w:rsidR="00FB7942" w:rsidRPr="009D39D5">
        <w:rPr>
          <w:lang w:val="es-ES"/>
        </w:rPr>
        <w:t>someter</w:t>
      </w:r>
      <w:r w:rsidR="0086680A" w:rsidRPr="009D39D5">
        <w:rPr>
          <w:lang w:val="es-ES"/>
        </w:rPr>
        <w:t xml:space="preserve"> </w:t>
      </w:r>
      <w:r w:rsidR="00647F99" w:rsidRPr="009D39D5">
        <w:rPr>
          <w:lang w:val="es-ES"/>
        </w:rPr>
        <w:t>“</w:t>
      </w:r>
      <w:r w:rsidR="002B7514" w:rsidRPr="009D39D5">
        <w:rPr>
          <w:lang w:val="es-ES"/>
        </w:rPr>
        <w:t xml:space="preserve">toda controversia, diferencia o reclamación que surja del acuerdo” </w:t>
      </w:r>
      <w:r w:rsidR="00C548D0" w:rsidRPr="009D39D5">
        <w:rPr>
          <w:lang w:val="es-ES"/>
        </w:rPr>
        <w:t>o relacionada con e</w:t>
      </w:r>
      <w:r w:rsidR="00301620" w:rsidRPr="009D39D5">
        <w:rPr>
          <w:lang w:val="es-ES"/>
        </w:rPr>
        <w:t xml:space="preserve">ste </w:t>
      </w:r>
      <w:r w:rsidR="00542A12" w:rsidRPr="009D39D5">
        <w:rPr>
          <w:lang w:val="es-ES"/>
        </w:rPr>
        <w:t xml:space="preserve">al procedimiento </w:t>
      </w:r>
      <w:r w:rsidR="002B7514" w:rsidRPr="009D39D5">
        <w:rPr>
          <w:lang w:val="es-ES"/>
        </w:rPr>
        <w:t>de arbitraje</w:t>
      </w:r>
      <w:r w:rsidR="00647F99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9A7996" w:rsidRPr="009D39D5">
        <w:rPr>
          <w:lang w:val="es-ES"/>
        </w:rPr>
        <w:t>La o</w:t>
      </w:r>
      <w:r w:rsidR="00542A12" w:rsidRPr="009D39D5">
        <w:rPr>
          <w:lang w:val="es-ES"/>
        </w:rPr>
        <w:t xml:space="preserve">tra forma en que las partes pueden someter una cuestión al procedimiento de arbitraje es por medio del acuerdo de sometimiento, que se </w:t>
      </w:r>
      <w:r w:rsidR="00C548D0" w:rsidRPr="009D39D5">
        <w:rPr>
          <w:lang w:val="es-ES"/>
        </w:rPr>
        <w:t>concierta</w:t>
      </w:r>
      <w:r w:rsidR="00542A12" w:rsidRPr="009D39D5">
        <w:rPr>
          <w:lang w:val="es-ES"/>
        </w:rPr>
        <w:t xml:space="preserve"> una vez surgida la controversia, y </w:t>
      </w:r>
      <w:r w:rsidR="00C548D0" w:rsidRPr="009D39D5">
        <w:rPr>
          <w:lang w:val="es-ES"/>
        </w:rPr>
        <w:t xml:space="preserve">en </w:t>
      </w:r>
      <w:r w:rsidR="00542A12" w:rsidRPr="009D39D5">
        <w:rPr>
          <w:lang w:val="es-ES"/>
        </w:rPr>
        <w:t xml:space="preserve">el cual (a diferencia de la cláusula de arbitraje mencionada anteriormente) </w:t>
      </w:r>
      <w:r w:rsidR="00C548D0" w:rsidRPr="009D39D5">
        <w:rPr>
          <w:lang w:val="es-ES"/>
        </w:rPr>
        <w:t xml:space="preserve">se </w:t>
      </w:r>
      <w:r w:rsidR="00542A12" w:rsidRPr="009D39D5">
        <w:rPr>
          <w:lang w:val="es-ES"/>
        </w:rPr>
        <w:t xml:space="preserve">especifica la naturaleza de la controversia </w:t>
      </w:r>
      <w:r w:rsidR="009A7996" w:rsidRPr="009D39D5">
        <w:rPr>
          <w:lang w:val="es-ES"/>
        </w:rPr>
        <w:t>que se va a tratar por esta vía</w:t>
      </w:r>
      <w:r w:rsidR="00542A12" w:rsidRPr="009D39D5">
        <w:rPr>
          <w:lang w:val="es-ES"/>
        </w:rPr>
        <w:t>.</w:t>
      </w:r>
      <w:r w:rsidR="00647F99" w:rsidRPr="009D39D5">
        <w:rPr>
          <w:lang w:val="es-ES"/>
        </w:rPr>
        <w:t xml:space="preserve">  </w:t>
      </w:r>
      <w:r w:rsidR="00542A12" w:rsidRPr="009D39D5">
        <w:rPr>
          <w:lang w:val="es-ES"/>
        </w:rPr>
        <w:t xml:space="preserve">El acuerdo de sometimiento es </w:t>
      </w:r>
      <w:r w:rsidR="00C548D0" w:rsidRPr="009D39D5">
        <w:rPr>
          <w:lang w:val="es-ES"/>
        </w:rPr>
        <w:t>e</w:t>
      </w:r>
      <w:r w:rsidR="00542A12" w:rsidRPr="009D39D5">
        <w:rPr>
          <w:lang w:val="es-ES"/>
        </w:rPr>
        <w:t xml:space="preserve">l </w:t>
      </w:r>
      <w:r w:rsidR="00C548D0" w:rsidRPr="009D39D5">
        <w:rPr>
          <w:lang w:val="es-ES"/>
        </w:rPr>
        <w:t>medio</w:t>
      </w:r>
      <w:r w:rsidR="00542A12" w:rsidRPr="009D39D5">
        <w:rPr>
          <w:lang w:val="es-ES"/>
        </w:rPr>
        <w:t xml:space="preserve"> más interesante de </w:t>
      </w:r>
      <w:r w:rsidR="00C548D0" w:rsidRPr="009D39D5">
        <w:rPr>
          <w:lang w:val="es-ES"/>
        </w:rPr>
        <w:t>someter</w:t>
      </w:r>
      <w:r w:rsidR="00542A12" w:rsidRPr="009D39D5">
        <w:rPr>
          <w:lang w:val="es-ES"/>
        </w:rPr>
        <w:t xml:space="preserve"> una </w:t>
      </w:r>
      <w:r w:rsidR="00C548D0" w:rsidRPr="009D39D5">
        <w:rPr>
          <w:lang w:val="es-ES"/>
        </w:rPr>
        <w:t>diferencia</w:t>
      </w:r>
      <w:r w:rsidR="00542A12" w:rsidRPr="009D39D5">
        <w:rPr>
          <w:lang w:val="es-ES"/>
        </w:rPr>
        <w:t xml:space="preserve"> </w:t>
      </w:r>
      <w:r w:rsidR="00954B3D" w:rsidRPr="009D39D5">
        <w:rPr>
          <w:lang w:val="es-ES"/>
        </w:rPr>
        <w:t xml:space="preserve">al arbitraje desde el punto de vista de la observancia de los derechos de P.I., puesto que no requiere que haya ninguna relación anterior entre las partes </w:t>
      </w:r>
      <w:r w:rsidR="009A7996" w:rsidRPr="009D39D5">
        <w:rPr>
          <w:lang w:val="es-ES"/>
        </w:rPr>
        <w:t>ya</w:t>
      </w:r>
      <w:r w:rsidR="00A8391B">
        <w:rPr>
          <w:lang w:val="es-ES"/>
        </w:rPr>
        <w:t xml:space="preserve"> que en</w:t>
      </w:r>
      <w:r w:rsidR="00C548D0" w:rsidRPr="009D39D5">
        <w:rPr>
          <w:lang w:val="es-ES"/>
        </w:rPr>
        <w:t xml:space="preserve"> el propio</w:t>
      </w:r>
      <w:r w:rsidR="00954B3D" w:rsidRPr="009D39D5">
        <w:rPr>
          <w:lang w:val="es-ES"/>
        </w:rPr>
        <w:t xml:space="preserve"> acuerdo de sometimiento que establece la relación entre estas </w:t>
      </w:r>
      <w:r w:rsidR="00A8391B">
        <w:rPr>
          <w:lang w:val="es-ES"/>
        </w:rPr>
        <w:t xml:space="preserve">se </w:t>
      </w:r>
      <w:r w:rsidR="009A7996" w:rsidRPr="009D39D5">
        <w:rPr>
          <w:lang w:val="es-ES"/>
        </w:rPr>
        <w:t>estipula el procedimiento de arbitraje</w:t>
      </w:r>
      <w:r w:rsidR="00954B3D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7F1AEB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954B3D" w:rsidRPr="009D39D5">
        <w:rPr>
          <w:lang w:val="es-ES"/>
        </w:rPr>
        <w:t xml:space="preserve">Ya sea que la disposición </w:t>
      </w:r>
      <w:r w:rsidR="006C01DE">
        <w:rPr>
          <w:lang w:val="es-ES"/>
        </w:rPr>
        <w:t>sobre</w:t>
      </w:r>
      <w:r w:rsidR="00954B3D" w:rsidRPr="009D39D5">
        <w:rPr>
          <w:lang w:val="es-ES"/>
        </w:rPr>
        <w:t xml:space="preserve"> arbitraje sea anterior o posterior a la controversia, en ella deberá</w:t>
      </w:r>
      <w:r w:rsidR="0014431C">
        <w:rPr>
          <w:lang w:val="es-ES"/>
        </w:rPr>
        <w:t>n</w:t>
      </w:r>
      <w:r w:rsidR="00954B3D" w:rsidRPr="009D39D5">
        <w:rPr>
          <w:lang w:val="es-ES"/>
        </w:rPr>
        <w:t xml:space="preserve"> especificarse determinados aspectos del arbitraje</w:t>
      </w:r>
      <w:r w:rsidR="009E0239" w:rsidRPr="009D39D5">
        <w:rPr>
          <w:lang w:val="es-ES"/>
        </w:rPr>
        <w:t>, como</w:t>
      </w:r>
      <w:r w:rsidR="00C548D0" w:rsidRPr="009D39D5">
        <w:rPr>
          <w:lang w:val="es-ES"/>
        </w:rPr>
        <w:t xml:space="preserve"> determinar,</w:t>
      </w:r>
      <w:r w:rsidR="009E0239" w:rsidRPr="009D39D5">
        <w:rPr>
          <w:lang w:val="es-ES"/>
        </w:rPr>
        <w:t xml:space="preserve"> por ejemplo, al </w:t>
      </w:r>
      <w:r w:rsidR="009E0239" w:rsidRPr="009D39D5">
        <w:rPr>
          <w:lang w:val="es-ES"/>
        </w:rPr>
        <w:lastRenderedPageBreak/>
        <w:t>menos, la sede del arbitraje, el idioma, la cantidad de árbitros, y la identidad de</w:t>
      </w:r>
      <w:r w:rsidR="00C548D0" w:rsidRPr="009D39D5">
        <w:rPr>
          <w:lang w:val="es-ES"/>
        </w:rPr>
        <w:t xml:space="preserve"> </w:t>
      </w:r>
      <w:r w:rsidR="009E0239" w:rsidRPr="009D39D5">
        <w:rPr>
          <w:lang w:val="es-ES"/>
        </w:rPr>
        <w:t>l</w:t>
      </w:r>
      <w:r w:rsidR="00C548D0" w:rsidRPr="009D39D5">
        <w:rPr>
          <w:lang w:val="es-ES"/>
        </w:rPr>
        <w:t>a</w:t>
      </w:r>
      <w:r w:rsidR="009E0239" w:rsidRPr="009D39D5">
        <w:rPr>
          <w:lang w:val="es-ES"/>
        </w:rPr>
        <w:t xml:space="preserve"> institu</w:t>
      </w:r>
      <w:r w:rsidR="00C548D0" w:rsidRPr="009D39D5">
        <w:rPr>
          <w:lang w:val="es-ES"/>
        </w:rPr>
        <w:t>ción</w:t>
      </w:r>
      <w:r w:rsidR="009E0239" w:rsidRPr="009D39D5">
        <w:rPr>
          <w:lang w:val="es-ES"/>
        </w:rPr>
        <w:t xml:space="preserve"> encargad</w:t>
      </w:r>
      <w:r w:rsidR="00C548D0" w:rsidRPr="009D39D5">
        <w:rPr>
          <w:lang w:val="es-ES"/>
        </w:rPr>
        <w:t>a</w:t>
      </w:r>
      <w:r w:rsidR="009E0239" w:rsidRPr="009D39D5">
        <w:rPr>
          <w:lang w:val="es-ES"/>
        </w:rPr>
        <w:t xml:space="preserve"> del arbitraje cuyas normas se aplicarán, y del</w:t>
      </w:r>
      <w:r w:rsidR="00C548D0" w:rsidRPr="009D39D5">
        <w:rPr>
          <w:lang w:val="es-ES"/>
        </w:rPr>
        <w:t xml:space="preserve"> organismo</w:t>
      </w:r>
      <w:r w:rsidR="009E0239" w:rsidRPr="009D39D5">
        <w:rPr>
          <w:lang w:val="es-ES"/>
        </w:rPr>
        <w:t xml:space="preserve"> que gestionará el procedimiento de selección del árbitro o de los árbitros.</w:t>
      </w:r>
      <w:r w:rsidR="00647F99" w:rsidRPr="009D39D5">
        <w:rPr>
          <w:lang w:val="es-ES"/>
        </w:rPr>
        <w:t xml:space="preserve"> 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9E4C81" w:rsidRPr="009D39D5">
        <w:rPr>
          <w:lang w:val="es-ES"/>
        </w:rPr>
        <w:t>Se</w:t>
      </w:r>
      <w:r w:rsidR="009E0239" w:rsidRPr="009D39D5">
        <w:rPr>
          <w:lang w:val="es-ES"/>
        </w:rPr>
        <w:t xml:space="preserve"> reconoc</w:t>
      </w:r>
      <w:r w:rsidR="009E4C81" w:rsidRPr="009D39D5">
        <w:rPr>
          <w:lang w:val="es-ES"/>
        </w:rPr>
        <w:t>e</w:t>
      </w:r>
      <w:r w:rsidR="00F45AAE">
        <w:rPr>
          <w:lang w:val="es-ES"/>
        </w:rPr>
        <w:t>n</w:t>
      </w:r>
      <w:r w:rsidR="009E0239" w:rsidRPr="009D39D5">
        <w:rPr>
          <w:lang w:val="es-ES"/>
        </w:rPr>
        <w:t xml:space="preserve"> </w:t>
      </w:r>
      <w:r w:rsidR="009A7996" w:rsidRPr="009D39D5">
        <w:rPr>
          <w:lang w:val="es-ES"/>
        </w:rPr>
        <w:t>sobradamente</w:t>
      </w:r>
      <w:r w:rsidR="009E0239" w:rsidRPr="009D39D5">
        <w:rPr>
          <w:lang w:val="es-ES"/>
        </w:rPr>
        <w:t xml:space="preserve"> y no es necesario re</w:t>
      </w:r>
      <w:r w:rsidR="009E4C81" w:rsidRPr="009D39D5">
        <w:rPr>
          <w:lang w:val="es-ES"/>
        </w:rPr>
        <w:t>iterar</w:t>
      </w:r>
      <w:r w:rsidR="009E0239" w:rsidRPr="009D39D5">
        <w:rPr>
          <w:lang w:val="es-ES"/>
        </w:rPr>
        <w:t xml:space="preserve">los en este artículo, </w:t>
      </w:r>
      <w:r w:rsidR="00F45AAE">
        <w:rPr>
          <w:lang w:val="es-ES"/>
        </w:rPr>
        <w:t>las ventajas</w:t>
      </w:r>
      <w:r w:rsidR="009E4C81" w:rsidRPr="009D39D5">
        <w:rPr>
          <w:lang w:val="es-ES"/>
        </w:rPr>
        <w:t xml:space="preserve"> en general</w:t>
      </w:r>
      <w:r w:rsidR="009E0239" w:rsidRPr="009D39D5">
        <w:rPr>
          <w:lang w:val="es-ES"/>
        </w:rPr>
        <w:t xml:space="preserve"> del procedimiento de arbitraje</w:t>
      </w:r>
      <w:r w:rsidR="009A7996" w:rsidRPr="009D39D5">
        <w:rPr>
          <w:lang w:val="es-ES"/>
        </w:rPr>
        <w:t xml:space="preserve"> frente a</w:t>
      </w:r>
      <w:r w:rsidR="00F45AAE">
        <w:rPr>
          <w:lang w:val="es-ES"/>
        </w:rPr>
        <w:t>l</w:t>
      </w:r>
      <w:r w:rsidR="009A7996" w:rsidRPr="009D39D5">
        <w:rPr>
          <w:lang w:val="es-ES"/>
        </w:rPr>
        <w:t xml:space="preserve"> </w:t>
      </w:r>
      <w:r w:rsidR="009E0239" w:rsidRPr="009D39D5">
        <w:rPr>
          <w:lang w:val="es-ES"/>
        </w:rPr>
        <w:t xml:space="preserve">pleito </w:t>
      </w:r>
      <w:r w:rsidR="009E4C81" w:rsidRPr="009D39D5">
        <w:rPr>
          <w:lang w:val="es-ES"/>
        </w:rPr>
        <w:t xml:space="preserve">judicial </w:t>
      </w:r>
      <w:r w:rsidR="009E0239" w:rsidRPr="009D39D5">
        <w:rPr>
          <w:lang w:val="es-ES"/>
        </w:rPr>
        <w:t>como forma de solucionar controversias comerciales, a saber</w:t>
      </w:r>
      <w:r w:rsidR="009E4C81" w:rsidRPr="009D39D5">
        <w:rPr>
          <w:lang w:val="es-ES"/>
        </w:rPr>
        <w:t>,</w:t>
      </w:r>
      <w:r w:rsidR="009E0239" w:rsidRPr="009D39D5">
        <w:rPr>
          <w:lang w:val="es-ES"/>
        </w:rPr>
        <w:t xml:space="preserve"> </w:t>
      </w:r>
      <w:r w:rsidR="006675F4" w:rsidRPr="009D39D5">
        <w:rPr>
          <w:lang w:val="es-ES"/>
        </w:rPr>
        <w:t xml:space="preserve">la autonomía de las partes, la imparcialidad, la irrevocabilidad, la confidencialidad, y la </w:t>
      </w:r>
      <w:r w:rsidR="00A23EF7">
        <w:rPr>
          <w:lang w:val="es-ES"/>
        </w:rPr>
        <w:t xml:space="preserve">fuerza </w:t>
      </w:r>
      <w:r w:rsidR="00B12354" w:rsidRPr="009D39D5">
        <w:rPr>
          <w:lang w:val="es-ES"/>
        </w:rPr>
        <w:t>ejecu</w:t>
      </w:r>
      <w:r w:rsidR="00A23EF7">
        <w:rPr>
          <w:lang w:val="es-ES"/>
        </w:rPr>
        <w:t>toria</w:t>
      </w:r>
      <w:r w:rsidR="00B12354" w:rsidRPr="009D39D5">
        <w:rPr>
          <w:lang w:val="es-ES"/>
        </w:rPr>
        <w:t xml:space="preserve"> </w:t>
      </w:r>
      <w:r w:rsidR="006C01DE" w:rsidRPr="009D39D5">
        <w:rPr>
          <w:lang w:val="es-ES"/>
        </w:rPr>
        <w:t xml:space="preserve">inmediata </w:t>
      </w:r>
      <w:r w:rsidR="006C01DE">
        <w:rPr>
          <w:lang w:val="es-ES"/>
        </w:rPr>
        <w:t xml:space="preserve">a nivel </w:t>
      </w:r>
      <w:r w:rsidR="00B12354" w:rsidRPr="009D39D5">
        <w:rPr>
          <w:lang w:val="es-ES"/>
        </w:rPr>
        <w:t>internacional</w:t>
      </w:r>
      <w:r w:rsidR="00225F9E" w:rsidRPr="009D39D5">
        <w:rPr>
          <w:lang w:val="es-ES"/>
        </w:rPr>
        <w:t xml:space="preserve"> </w:t>
      </w:r>
      <w:r w:rsidR="009E4C81" w:rsidRPr="009D39D5">
        <w:rPr>
          <w:lang w:val="es-ES"/>
        </w:rPr>
        <w:t xml:space="preserve">prevista </w:t>
      </w:r>
      <w:r w:rsidR="0069796B" w:rsidRPr="009D39D5">
        <w:rPr>
          <w:lang w:val="es-ES"/>
        </w:rPr>
        <w:t>en la Convención sobre el Reconocimiento y la Ejecución de las Sentencias Arbitrales Extranjeras (la Convención de Nueva York)</w:t>
      </w:r>
      <w:r w:rsidR="00647F99" w:rsidRPr="009D39D5">
        <w:rPr>
          <w:lang w:val="es-ES"/>
        </w:rPr>
        <w:t>.</w:t>
      </w:r>
    </w:p>
    <w:p w:rsidR="0074328A" w:rsidRPr="009D39D5" w:rsidRDefault="0074328A" w:rsidP="008A3947">
      <w:pPr>
        <w:rPr>
          <w:lang w:val="es-ES"/>
        </w:rPr>
      </w:pPr>
    </w:p>
    <w:p w:rsidR="00647F99" w:rsidRPr="009D39D5" w:rsidRDefault="00B12354" w:rsidP="008A3947">
      <w:pPr>
        <w:numPr>
          <w:ilvl w:val="0"/>
          <w:numId w:val="8"/>
        </w:numPr>
        <w:ind w:left="1134" w:hanging="567"/>
        <w:rPr>
          <w:lang w:val="es-ES"/>
        </w:rPr>
      </w:pPr>
      <w:r w:rsidRPr="009D39D5">
        <w:rPr>
          <w:lang w:val="es-ES"/>
        </w:rPr>
        <w:t>Decisión de experto</w:t>
      </w:r>
    </w:p>
    <w:p w:rsidR="007F1AEB" w:rsidRPr="009D39D5" w:rsidRDefault="007F1AEB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B12354" w:rsidRPr="009D39D5">
        <w:rPr>
          <w:lang w:val="es-ES"/>
        </w:rPr>
        <w:t>La decisión de experto se ha definido como el procedimiento por el cual una diferencia de carácter técnico, científico o comercial entre las partes se somete a uno o más expertos que toman una decisión sobre el asunto</w:t>
      </w:r>
      <w:r w:rsidR="00647F99" w:rsidRPr="009D39D5">
        <w:rPr>
          <w:lang w:val="es-ES"/>
        </w:rPr>
        <w:t xml:space="preserve">.  </w:t>
      </w:r>
      <w:r w:rsidR="00B12354" w:rsidRPr="009D39D5">
        <w:rPr>
          <w:lang w:val="es-ES"/>
        </w:rPr>
        <w:t xml:space="preserve">La decisión es </w:t>
      </w:r>
      <w:r w:rsidR="006C01DE">
        <w:rPr>
          <w:lang w:val="es-ES"/>
        </w:rPr>
        <w:t>vinculante</w:t>
      </w:r>
      <w:r w:rsidR="00B12354" w:rsidRPr="009D39D5">
        <w:rPr>
          <w:lang w:val="es-ES"/>
        </w:rPr>
        <w:t xml:space="preserve">, a no ser que las partes decidan </w:t>
      </w:r>
      <w:r w:rsidR="002E7F72">
        <w:rPr>
          <w:lang w:val="es-ES"/>
        </w:rPr>
        <w:t>lo contrario</w:t>
      </w:r>
      <w:r w:rsidR="00647F99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D816C5" w:rsidRPr="009D39D5">
        <w:rPr>
          <w:lang w:val="es-ES"/>
        </w:rPr>
        <w:t>A</w:t>
      </w:r>
      <w:r w:rsidR="002C27EF" w:rsidRPr="009D39D5">
        <w:rPr>
          <w:lang w:val="es-ES"/>
        </w:rPr>
        <w:t xml:space="preserve">l finalizar el proceso, el </w:t>
      </w:r>
      <w:r w:rsidR="009A7996" w:rsidRPr="009D39D5">
        <w:rPr>
          <w:lang w:val="es-ES"/>
        </w:rPr>
        <w:t>e</w:t>
      </w:r>
      <w:r w:rsidR="002C27EF" w:rsidRPr="009D39D5">
        <w:rPr>
          <w:lang w:val="es-ES"/>
        </w:rPr>
        <w:t xml:space="preserve">xperto </w:t>
      </w:r>
      <w:r w:rsidR="009A7996" w:rsidRPr="009D39D5">
        <w:rPr>
          <w:lang w:val="es-ES"/>
        </w:rPr>
        <w:t>formula</w:t>
      </w:r>
      <w:r w:rsidR="002C27EF" w:rsidRPr="009D39D5">
        <w:rPr>
          <w:lang w:val="es-ES"/>
        </w:rPr>
        <w:t xml:space="preserve"> una decisión, por lo general sobre una cuestión específica, que puede ser vinculante o no vinculante pero, </w:t>
      </w:r>
      <w:r w:rsidR="009A7996" w:rsidRPr="009D39D5">
        <w:rPr>
          <w:lang w:val="es-ES"/>
        </w:rPr>
        <w:t xml:space="preserve">que </w:t>
      </w:r>
      <w:r w:rsidR="002C27EF" w:rsidRPr="009D39D5">
        <w:rPr>
          <w:lang w:val="es-ES"/>
        </w:rPr>
        <w:t xml:space="preserve">si </w:t>
      </w:r>
      <w:r w:rsidR="009E4C81" w:rsidRPr="009D39D5">
        <w:rPr>
          <w:lang w:val="es-ES"/>
        </w:rPr>
        <w:t>tiene carácter v</w:t>
      </w:r>
      <w:r w:rsidR="002C27EF" w:rsidRPr="009D39D5">
        <w:rPr>
          <w:lang w:val="es-ES"/>
        </w:rPr>
        <w:t xml:space="preserve">inculante, suele ejecutarse en el marco del contrato que </w:t>
      </w:r>
      <w:r w:rsidR="009E4C81" w:rsidRPr="009D39D5">
        <w:rPr>
          <w:lang w:val="es-ES"/>
        </w:rPr>
        <w:t>estipula</w:t>
      </w:r>
      <w:r w:rsidR="002C27EF" w:rsidRPr="009D39D5">
        <w:rPr>
          <w:lang w:val="es-ES"/>
        </w:rPr>
        <w:t xml:space="preserve"> </w:t>
      </w:r>
      <w:r w:rsidR="009A7996" w:rsidRPr="009D39D5">
        <w:rPr>
          <w:lang w:val="es-ES"/>
        </w:rPr>
        <w:t xml:space="preserve">el recurso a la </w:t>
      </w:r>
      <w:r w:rsidR="002C27EF" w:rsidRPr="009D39D5">
        <w:rPr>
          <w:lang w:val="es-ES"/>
        </w:rPr>
        <w:t>decisión</w:t>
      </w:r>
      <w:r w:rsidR="009A7996" w:rsidRPr="009D39D5">
        <w:rPr>
          <w:lang w:val="es-ES"/>
        </w:rPr>
        <w:t xml:space="preserve"> de experto</w:t>
      </w:r>
      <w:r w:rsidR="002C27EF" w:rsidRPr="009D39D5">
        <w:rPr>
          <w:lang w:val="es-ES"/>
        </w:rPr>
        <w:t xml:space="preserve">. 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F76E3A" w:rsidRPr="009D39D5">
        <w:rPr>
          <w:lang w:val="es-ES"/>
        </w:rPr>
        <w:t>L</w:t>
      </w:r>
      <w:r w:rsidR="00366849" w:rsidRPr="009D39D5">
        <w:rPr>
          <w:lang w:val="es-ES"/>
        </w:rPr>
        <w:t>as ventajas</w:t>
      </w:r>
      <w:r w:rsidR="00F76E3A" w:rsidRPr="009D39D5">
        <w:rPr>
          <w:lang w:val="es-ES"/>
        </w:rPr>
        <w:t xml:space="preserve"> de la decisión de experto se han </w:t>
      </w:r>
      <w:r w:rsidR="00366849" w:rsidRPr="009D39D5">
        <w:rPr>
          <w:lang w:val="es-ES"/>
        </w:rPr>
        <w:t>e</w:t>
      </w:r>
      <w:r w:rsidR="008A3947">
        <w:rPr>
          <w:lang w:val="es-ES"/>
        </w:rPr>
        <w:t>xpuesto</w:t>
      </w:r>
      <w:r w:rsidR="00F76E3A" w:rsidRPr="009D39D5">
        <w:rPr>
          <w:lang w:val="es-ES"/>
        </w:rPr>
        <w:t xml:space="preserve"> de la siguiente forma</w:t>
      </w:r>
      <w:r w:rsidR="00FF32BB" w:rsidRPr="009D39D5">
        <w:rPr>
          <w:lang w:val="es-ES"/>
        </w:rPr>
        <w:t xml:space="preserve">:  </w:t>
      </w:r>
      <w:r w:rsidR="00F76E3A" w:rsidRPr="009D39D5">
        <w:rPr>
          <w:lang w:val="es-ES"/>
        </w:rPr>
        <w:t xml:space="preserve">es menos </w:t>
      </w:r>
      <w:r w:rsidR="00366849" w:rsidRPr="009D39D5">
        <w:rPr>
          <w:lang w:val="es-ES"/>
        </w:rPr>
        <w:t>onerosa</w:t>
      </w:r>
      <w:r w:rsidR="00F76E3A" w:rsidRPr="009D39D5">
        <w:rPr>
          <w:lang w:val="es-ES"/>
        </w:rPr>
        <w:t xml:space="preserve"> y más rápida, </w:t>
      </w:r>
      <w:r w:rsidR="00EC2F28" w:rsidRPr="009D39D5">
        <w:rPr>
          <w:lang w:val="es-ES"/>
        </w:rPr>
        <w:t>soslaya</w:t>
      </w:r>
      <w:r w:rsidR="000B3EAC" w:rsidRPr="009D39D5">
        <w:rPr>
          <w:lang w:val="es-ES"/>
        </w:rPr>
        <w:t xml:space="preserve"> las dificultade</w:t>
      </w:r>
      <w:r w:rsidR="006C01DE">
        <w:rPr>
          <w:lang w:val="es-ES"/>
        </w:rPr>
        <w:t>s de aplicación de las reglas que regulan</w:t>
      </w:r>
      <w:r w:rsidR="000B3EAC" w:rsidRPr="009D39D5">
        <w:rPr>
          <w:lang w:val="es-ES"/>
        </w:rPr>
        <w:t xml:space="preserve"> la práctica de la prueba y el procedimiento y brinda </w:t>
      </w:r>
      <w:r w:rsidR="00EC2F28" w:rsidRPr="009D39D5">
        <w:rPr>
          <w:lang w:val="es-ES"/>
        </w:rPr>
        <w:t>un</w:t>
      </w:r>
      <w:r w:rsidR="009E4D65" w:rsidRPr="009D39D5">
        <w:rPr>
          <w:lang w:val="es-ES"/>
        </w:rPr>
        <w:t xml:space="preserve"> carácter irrevocable que </w:t>
      </w:r>
      <w:r w:rsidR="00EC2F28" w:rsidRPr="009D39D5">
        <w:rPr>
          <w:lang w:val="es-ES"/>
        </w:rPr>
        <w:t xml:space="preserve">evita </w:t>
      </w:r>
      <w:r w:rsidR="009E4D65" w:rsidRPr="009D39D5">
        <w:rPr>
          <w:lang w:val="es-ES"/>
        </w:rPr>
        <w:t>las demoras, la</w:t>
      </w:r>
      <w:r w:rsidR="00EC2F28" w:rsidRPr="009D39D5">
        <w:rPr>
          <w:lang w:val="es-ES"/>
        </w:rPr>
        <w:t>s eventuales</w:t>
      </w:r>
      <w:r w:rsidR="006C01DE">
        <w:rPr>
          <w:lang w:val="es-ES"/>
        </w:rPr>
        <w:t xml:space="preserve"> revisiones</w:t>
      </w:r>
      <w:r w:rsidR="009E4D65" w:rsidRPr="009D39D5">
        <w:rPr>
          <w:lang w:val="es-ES"/>
        </w:rPr>
        <w:t xml:space="preserve"> de la causa y </w:t>
      </w:r>
      <w:r w:rsidR="00842EDC">
        <w:rPr>
          <w:lang w:val="es-ES"/>
        </w:rPr>
        <w:t xml:space="preserve">las </w:t>
      </w:r>
      <w:r w:rsidR="009E4D65" w:rsidRPr="009D39D5">
        <w:rPr>
          <w:lang w:val="es-ES"/>
        </w:rPr>
        <w:t>apelaci</w:t>
      </w:r>
      <w:r w:rsidR="006C01DE">
        <w:rPr>
          <w:lang w:val="es-ES"/>
        </w:rPr>
        <w:t>ones</w:t>
      </w:r>
      <w:r w:rsidR="00EC2F28" w:rsidRPr="009D39D5">
        <w:rPr>
          <w:lang w:val="es-ES"/>
        </w:rPr>
        <w:t>,</w:t>
      </w:r>
      <w:r w:rsidR="009E4D65" w:rsidRPr="009D39D5">
        <w:rPr>
          <w:lang w:val="es-ES"/>
        </w:rPr>
        <w:t xml:space="preserve"> </w:t>
      </w:r>
      <w:r w:rsidR="009A7996" w:rsidRPr="009D39D5">
        <w:rPr>
          <w:lang w:val="es-ES"/>
        </w:rPr>
        <w:t>por lo cual</w:t>
      </w:r>
      <w:r w:rsidR="009E4D65" w:rsidRPr="009D39D5">
        <w:rPr>
          <w:lang w:val="es-ES"/>
        </w:rPr>
        <w:t xml:space="preserve"> es </w:t>
      </w:r>
      <w:r w:rsidR="00EC2F28" w:rsidRPr="009D39D5">
        <w:rPr>
          <w:lang w:val="es-ES"/>
        </w:rPr>
        <w:t>idóneo</w:t>
      </w:r>
      <w:r w:rsidR="009E4D65" w:rsidRPr="009D39D5">
        <w:rPr>
          <w:lang w:val="es-ES"/>
        </w:rPr>
        <w:t xml:space="preserve">, en particular, en el caso de que se necesiten los conocimientos de un experto en la materia o cuando </w:t>
      </w:r>
      <w:r w:rsidR="009A7996" w:rsidRPr="009D39D5">
        <w:rPr>
          <w:lang w:val="es-ES"/>
        </w:rPr>
        <w:t xml:space="preserve">es probable que </w:t>
      </w:r>
      <w:r w:rsidR="009E4D65" w:rsidRPr="009D39D5">
        <w:rPr>
          <w:lang w:val="es-ES"/>
        </w:rPr>
        <w:t xml:space="preserve">las partes tengan una relación duradera </w:t>
      </w:r>
      <w:r w:rsidR="00647F99" w:rsidRPr="009D39D5">
        <w:rPr>
          <w:lang w:val="es-ES"/>
        </w:rPr>
        <w:t>(</w:t>
      </w:r>
      <w:r w:rsidR="00647F99" w:rsidRPr="009D39D5">
        <w:rPr>
          <w:i/>
          <w:lang w:val="es-ES"/>
        </w:rPr>
        <w:t>The Heart Research Institute Ltd v Psiron Ltd</w:t>
      </w:r>
      <w:r w:rsidR="00647F99" w:rsidRPr="009D39D5">
        <w:rPr>
          <w:lang w:val="es-ES"/>
        </w:rPr>
        <w:t xml:space="preserve"> [2002] NSWC 646).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9E4D65" w:rsidRPr="009D39D5">
        <w:rPr>
          <w:lang w:val="es-ES"/>
        </w:rPr>
        <w:t xml:space="preserve">Por lo general, las decisiones de expertos se refieren a un asunto específico definido en el contrato </w:t>
      </w:r>
      <w:r w:rsidR="008C5A9A" w:rsidRPr="009D39D5">
        <w:rPr>
          <w:lang w:val="es-ES"/>
        </w:rPr>
        <w:t xml:space="preserve">en el marco del cual surgen. </w:t>
      </w:r>
      <w:r w:rsidR="00EC2F28" w:rsidRPr="009D39D5">
        <w:rPr>
          <w:lang w:val="es-ES"/>
        </w:rPr>
        <w:t xml:space="preserve"> L</w:t>
      </w:r>
      <w:r w:rsidR="008C5A9A" w:rsidRPr="009D39D5">
        <w:rPr>
          <w:lang w:val="es-ES"/>
        </w:rPr>
        <w:t xml:space="preserve">a cuestión que </w:t>
      </w:r>
      <w:r w:rsidR="00EC2F28" w:rsidRPr="009D39D5">
        <w:rPr>
          <w:lang w:val="es-ES"/>
        </w:rPr>
        <w:t xml:space="preserve">se </w:t>
      </w:r>
      <w:r w:rsidR="008C5A9A" w:rsidRPr="009D39D5">
        <w:rPr>
          <w:lang w:val="es-ES"/>
        </w:rPr>
        <w:t>suele abordar en dicha decisi</w:t>
      </w:r>
      <w:r w:rsidR="00EC2F28" w:rsidRPr="009D39D5">
        <w:rPr>
          <w:lang w:val="es-ES"/>
        </w:rPr>
        <w:t>ón</w:t>
      </w:r>
      <w:r w:rsidR="008C5A9A" w:rsidRPr="009D39D5">
        <w:rPr>
          <w:lang w:val="es-ES"/>
        </w:rPr>
        <w:t xml:space="preserve">, que es aplicable </w:t>
      </w:r>
      <w:r w:rsidR="00EC2F28" w:rsidRPr="009D39D5">
        <w:rPr>
          <w:lang w:val="es-ES"/>
        </w:rPr>
        <w:t>tanto</w:t>
      </w:r>
      <w:r w:rsidR="008C5A9A" w:rsidRPr="009D39D5">
        <w:rPr>
          <w:lang w:val="es-ES"/>
        </w:rPr>
        <w:t xml:space="preserve"> a la P.I. </w:t>
      </w:r>
      <w:r w:rsidR="00EC2F28" w:rsidRPr="009D39D5">
        <w:rPr>
          <w:lang w:val="es-ES"/>
        </w:rPr>
        <w:t>como</w:t>
      </w:r>
      <w:r w:rsidR="008C5A9A" w:rsidRPr="009D39D5">
        <w:rPr>
          <w:lang w:val="es-ES"/>
        </w:rPr>
        <w:t xml:space="preserve"> a otros ámbitos de derecho, es la val</w:t>
      </w:r>
      <w:r w:rsidR="00EC2F28" w:rsidRPr="009D39D5">
        <w:rPr>
          <w:lang w:val="es-ES"/>
        </w:rPr>
        <w:t>or</w:t>
      </w:r>
      <w:r w:rsidR="008C5A9A" w:rsidRPr="009D39D5">
        <w:rPr>
          <w:lang w:val="es-ES"/>
        </w:rPr>
        <w:t>ación de un bien, como</w:t>
      </w:r>
      <w:r w:rsidR="00EC2F28" w:rsidRPr="009D39D5">
        <w:rPr>
          <w:lang w:val="es-ES"/>
        </w:rPr>
        <w:t xml:space="preserve"> por ejemplo</w:t>
      </w:r>
      <w:r w:rsidR="008C5A9A" w:rsidRPr="009D39D5">
        <w:rPr>
          <w:lang w:val="es-ES"/>
        </w:rPr>
        <w:t xml:space="preserve">, en el caso de la P.I., el ajuste </w:t>
      </w:r>
      <w:r w:rsidR="00EC2F28" w:rsidRPr="009D39D5">
        <w:rPr>
          <w:lang w:val="es-ES"/>
        </w:rPr>
        <w:t>de</w:t>
      </w:r>
      <w:r w:rsidR="008C5A9A" w:rsidRPr="009D39D5">
        <w:rPr>
          <w:lang w:val="es-ES"/>
        </w:rPr>
        <w:t xml:space="preserve">l valor de </w:t>
      </w:r>
      <w:r w:rsidR="009A7996" w:rsidRPr="009D39D5">
        <w:rPr>
          <w:lang w:val="es-ES"/>
        </w:rPr>
        <w:t>un</w:t>
      </w:r>
      <w:r w:rsidR="008C5A9A" w:rsidRPr="009D39D5">
        <w:rPr>
          <w:lang w:val="es-ES"/>
        </w:rPr>
        <w:t xml:space="preserve">a cartera de patentes </w:t>
      </w:r>
      <w:r w:rsidR="009A7996" w:rsidRPr="009D39D5">
        <w:rPr>
          <w:lang w:val="es-ES"/>
        </w:rPr>
        <w:t>en un contrato</w:t>
      </w:r>
      <w:r w:rsidR="008C5A9A" w:rsidRPr="009D39D5">
        <w:rPr>
          <w:lang w:val="es-ES"/>
        </w:rPr>
        <w:t xml:space="preserve"> </w:t>
      </w:r>
      <w:r w:rsidR="00EC2F28" w:rsidRPr="009D39D5">
        <w:rPr>
          <w:lang w:val="es-ES"/>
        </w:rPr>
        <w:t>con fines de venta</w:t>
      </w:r>
      <w:r w:rsidR="008C5A9A" w:rsidRPr="009D39D5">
        <w:rPr>
          <w:lang w:val="es-ES"/>
        </w:rPr>
        <w:t xml:space="preserve"> o </w:t>
      </w:r>
      <w:r w:rsidR="003D28F7" w:rsidRPr="009D39D5">
        <w:rPr>
          <w:lang w:val="es-ES"/>
        </w:rPr>
        <w:t xml:space="preserve">la </w:t>
      </w:r>
      <w:r w:rsidR="009A7996" w:rsidRPr="009D39D5">
        <w:rPr>
          <w:lang w:val="es-ES"/>
        </w:rPr>
        <w:t xml:space="preserve">cuantía de la </w:t>
      </w:r>
      <w:r w:rsidR="003D28F7" w:rsidRPr="009D39D5">
        <w:rPr>
          <w:lang w:val="es-ES"/>
        </w:rPr>
        <w:t xml:space="preserve">regalía prevista en </w:t>
      </w:r>
      <w:r w:rsidR="00EC2F28" w:rsidRPr="009D39D5">
        <w:rPr>
          <w:lang w:val="es-ES"/>
        </w:rPr>
        <w:t>una</w:t>
      </w:r>
      <w:r w:rsidR="003D28F7" w:rsidRPr="009D39D5">
        <w:rPr>
          <w:lang w:val="es-ES"/>
        </w:rPr>
        <w:t xml:space="preserve"> licencia de P.I.</w:t>
      </w:r>
      <w:r w:rsidR="00EC2F28" w:rsidRPr="009D39D5">
        <w:rPr>
          <w:lang w:val="es-ES"/>
        </w:rPr>
        <w:t>,</w:t>
      </w:r>
      <w:r w:rsidR="003D28F7" w:rsidRPr="009D39D5">
        <w:rPr>
          <w:lang w:val="es-ES"/>
        </w:rPr>
        <w:t xml:space="preserve"> </w:t>
      </w:r>
      <w:r w:rsidR="009A7996" w:rsidRPr="009D39D5">
        <w:rPr>
          <w:lang w:val="es-ES"/>
        </w:rPr>
        <w:t>de modo que se</w:t>
      </w:r>
      <w:r w:rsidR="003D28F7" w:rsidRPr="009D39D5">
        <w:rPr>
          <w:lang w:val="es-ES"/>
        </w:rPr>
        <w:t xml:space="preserve"> reflej</w:t>
      </w:r>
      <w:r w:rsidR="009A7996" w:rsidRPr="009D39D5">
        <w:rPr>
          <w:lang w:val="es-ES"/>
        </w:rPr>
        <w:t>en</w:t>
      </w:r>
      <w:r w:rsidR="003D28F7" w:rsidRPr="009D39D5">
        <w:rPr>
          <w:lang w:val="es-ES"/>
        </w:rPr>
        <w:t xml:space="preserve"> determinad</w:t>
      </w:r>
      <w:r w:rsidR="009A7996" w:rsidRPr="009D39D5">
        <w:rPr>
          <w:lang w:val="es-ES"/>
        </w:rPr>
        <w:t xml:space="preserve">as circunstancias </w:t>
      </w:r>
      <w:r w:rsidR="003D28F7" w:rsidRPr="009D39D5">
        <w:rPr>
          <w:lang w:val="es-ES"/>
        </w:rPr>
        <w:t>espec</w:t>
      </w:r>
      <w:r w:rsidR="00EC2F28" w:rsidRPr="009D39D5">
        <w:rPr>
          <w:lang w:val="es-ES"/>
        </w:rPr>
        <w:t>ífic</w:t>
      </w:r>
      <w:r w:rsidR="009A7996" w:rsidRPr="009D39D5">
        <w:rPr>
          <w:lang w:val="es-ES"/>
        </w:rPr>
        <w:t>a</w:t>
      </w:r>
      <w:r w:rsidR="00EC2F28" w:rsidRPr="009D39D5">
        <w:rPr>
          <w:lang w:val="es-ES"/>
        </w:rPr>
        <w:t>s</w:t>
      </w:r>
      <w:r w:rsidR="003D28F7" w:rsidRPr="009D39D5">
        <w:rPr>
          <w:lang w:val="es-ES"/>
        </w:rPr>
        <w:t xml:space="preserve"> que no </w:t>
      </w:r>
      <w:r w:rsidR="00EC2F28" w:rsidRPr="009D39D5">
        <w:rPr>
          <w:lang w:val="es-ES"/>
        </w:rPr>
        <w:t>h</w:t>
      </w:r>
      <w:r w:rsidR="009A7996" w:rsidRPr="009D39D5">
        <w:rPr>
          <w:lang w:val="es-ES"/>
        </w:rPr>
        <w:t xml:space="preserve">ubiera </w:t>
      </w:r>
      <w:r w:rsidR="00EC2F28" w:rsidRPr="009D39D5">
        <w:rPr>
          <w:lang w:val="es-ES"/>
        </w:rPr>
        <w:t>sido</w:t>
      </w:r>
      <w:r w:rsidR="003D28F7" w:rsidRPr="009D39D5">
        <w:rPr>
          <w:lang w:val="es-ES"/>
        </w:rPr>
        <w:t xml:space="preserve"> posible cuantificar al </w:t>
      </w:r>
      <w:r w:rsidR="009A7996" w:rsidRPr="009D39D5">
        <w:rPr>
          <w:lang w:val="es-ES"/>
        </w:rPr>
        <w:t xml:space="preserve">establecer </w:t>
      </w:r>
      <w:r w:rsidR="003D28F7" w:rsidRPr="009D39D5">
        <w:rPr>
          <w:lang w:val="es-ES"/>
        </w:rPr>
        <w:t>el acuerdo</w:t>
      </w:r>
      <w:r w:rsidR="00FF32BB" w:rsidRPr="009D39D5">
        <w:rPr>
          <w:lang w:val="es-ES"/>
        </w:rPr>
        <w:t xml:space="preserve">.  </w:t>
      </w:r>
      <w:r w:rsidR="003D28F7" w:rsidRPr="009D39D5">
        <w:rPr>
          <w:lang w:val="es-ES"/>
        </w:rPr>
        <w:t xml:space="preserve">No obstante, la decisión de experto puede también, al igual que el arbitraje, aplicarse a otras cuestiones relacionadas con la P.I., </w:t>
      </w:r>
      <w:r w:rsidR="00EC2F28" w:rsidRPr="009D39D5">
        <w:rPr>
          <w:lang w:val="es-ES"/>
        </w:rPr>
        <w:t xml:space="preserve">como </w:t>
      </w:r>
      <w:r w:rsidR="003D28F7" w:rsidRPr="009D39D5">
        <w:rPr>
          <w:lang w:val="es-ES"/>
        </w:rPr>
        <w:t>las que habitualmente se consideran dominio exclusivo de los tribunales.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3D28F7" w:rsidRPr="009D39D5">
        <w:rPr>
          <w:lang w:val="es-ES"/>
        </w:rPr>
        <w:t>Si bien la legislación relativa a la decisi</w:t>
      </w:r>
      <w:r w:rsidR="00EC2F28" w:rsidRPr="009D39D5">
        <w:rPr>
          <w:lang w:val="es-ES"/>
        </w:rPr>
        <w:t>ón</w:t>
      </w:r>
      <w:r w:rsidR="003D28F7" w:rsidRPr="009D39D5">
        <w:rPr>
          <w:lang w:val="es-ES"/>
        </w:rPr>
        <w:t xml:space="preserve"> de experto se ha establecido en ámbitos </w:t>
      </w:r>
      <w:r w:rsidR="00A904F8" w:rsidRPr="009D39D5">
        <w:rPr>
          <w:lang w:val="es-ES"/>
        </w:rPr>
        <w:t>ajenos a</w:t>
      </w:r>
      <w:r w:rsidR="003D28F7" w:rsidRPr="009D39D5">
        <w:rPr>
          <w:lang w:val="es-ES"/>
        </w:rPr>
        <w:t xml:space="preserve"> la P.I., en especial en </w:t>
      </w:r>
      <w:r w:rsidR="00EC2F28" w:rsidRPr="009D39D5">
        <w:rPr>
          <w:lang w:val="es-ES"/>
        </w:rPr>
        <w:t xml:space="preserve">relación con </w:t>
      </w:r>
      <w:r w:rsidR="003D28F7" w:rsidRPr="009D39D5">
        <w:rPr>
          <w:lang w:val="es-ES"/>
        </w:rPr>
        <w:t xml:space="preserve">la construcción de edificios, </w:t>
      </w:r>
      <w:r w:rsidR="0050284F" w:rsidRPr="009D39D5">
        <w:rPr>
          <w:lang w:val="es-ES"/>
        </w:rPr>
        <w:t>dicha decisión</w:t>
      </w:r>
      <w:r w:rsidR="003D28F7" w:rsidRPr="009D39D5">
        <w:rPr>
          <w:lang w:val="es-ES"/>
        </w:rPr>
        <w:t>, aunque no se de</w:t>
      </w:r>
      <w:r w:rsidR="0050284F" w:rsidRPr="009D39D5">
        <w:rPr>
          <w:lang w:val="es-ES"/>
        </w:rPr>
        <w:t>fina</w:t>
      </w:r>
      <w:r w:rsidR="003D28F7" w:rsidRPr="009D39D5">
        <w:rPr>
          <w:lang w:val="es-ES"/>
        </w:rPr>
        <w:t xml:space="preserve"> forzosamente como tal, </w:t>
      </w:r>
      <w:r w:rsidR="00281CDB" w:rsidRPr="009D39D5">
        <w:rPr>
          <w:lang w:val="es-ES"/>
        </w:rPr>
        <w:t>ya se utiliza</w:t>
      </w:r>
      <w:r w:rsidR="003D28F7" w:rsidRPr="009D39D5">
        <w:rPr>
          <w:lang w:val="es-ES"/>
        </w:rPr>
        <w:t xml:space="preserve"> de hecho ampliamente </w:t>
      </w:r>
      <w:r w:rsidR="00281CDB" w:rsidRPr="009D39D5">
        <w:rPr>
          <w:lang w:val="es-ES"/>
        </w:rPr>
        <w:t xml:space="preserve">en la esfera de la P.I., si bien </w:t>
      </w:r>
      <w:r w:rsidR="00A904F8" w:rsidRPr="009D39D5">
        <w:rPr>
          <w:lang w:val="es-ES"/>
        </w:rPr>
        <w:t xml:space="preserve">no </w:t>
      </w:r>
      <w:r w:rsidR="00281CDB" w:rsidRPr="009D39D5">
        <w:rPr>
          <w:lang w:val="es-ES"/>
        </w:rPr>
        <w:t xml:space="preserve">parece </w:t>
      </w:r>
      <w:r w:rsidR="00A904F8" w:rsidRPr="009D39D5">
        <w:rPr>
          <w:lang w:val="es-ES"/>
        </w:rPr>
        <w:t>contar con una buena acogida</w:t>
      </w:r>
      <w:r w:rsidR="00647F99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054187" w:rsidRPr="009D39D5">
        <w:rPr>
          <w:lang w:val="es-ES"/>
        </w:rPr>
        <w:t xml:space="preserve">Por lo tanto, la solución de controversias </w:t>
      </w:r>
      <w:r w:rsidR="00A904F8" w:rsidRPr="009D39D5">
        <w:rPr>
          <w:lang w:val="es-ES"/>
        </w:rPr>
        <w:t>en relación</w:t>
      </w:r>
      <w:r w:rsidR="00C36721" w:rsidRPr="009D39D5">
        <w:rPr>
          <w:lang w:val="es-ES"/>
        </w:rPr>
        <w:t xml:space="preserve"> </w:t>
      </w:r>
      <w:r w:rsidR="0050284F" w:rsidRPr="009D39D5">
        <w:rPr>
          <w:lang w:val="es-ES"/>
        </w:rPr>
        <w:t>con los</w:t>
      </w:r>
      <w:r w:rsidR="00054187" w:rsidRPr="009D39D5">
        <w:rPr>
          <w:lang w:val="es-ES"/>
        </w:rPr>
        <w:t xml:space="preserve"> nombres de dominio, como las previstas en</w:t>
      </w:r>
      <w:r w:rsidR="00647F99" w:rsidRPr="009D39D5">
        <w:rPr>
          <w:lang w:val="es-ES"/>
        </w:rPr>
        <w:t xml:space="preserve"> </w:t>
      </w:r>
      <w:r w:rsidR="00606ADD" w:rsidRPr="009D39D5">
        <w:rPr>
          <w:lang w:val="es-ES"/>
        </w:rPr>
        <w:t>la Política Uniforme de Solución de Controversias en materia de Nombres de Dominio</w:t>
      </w:r>
      <w:r w:rsidR="00054187" w:rsidRPr="009D39D5">
        <w:rPr>
          <w:lang w:val="es-ES"/>
        </w:rPr>
        <w:t xml:space="preserve">, se </w:t>
      </w:r>
      <w:r w:rsidR="00A93EDF" w:rsidRPr="009D39D5">
        <w:rPr>
          <w:lang w:val="es-ES"/>
        </w:rPr>
        <w:t>puede</w:t>
      </w:r>
      <w:r w:rsidR="00054187" w:rsidRPr="009D39D5">
        <w:rPr>
          <w:lang w:val="es-ES"/>
        </w:rPr>
        <w:t xml:space="preserve"> considerar </w:t>
      </w:r>
      <w:r w:rsidR="0050284F" w:rsidRPr="009D39D5">
        <w:rPr>
          <w:lang w:val="es-ES"/>
        </w:rPr>
        <w:t xml:space="preserve">como </w:t>
      </w:r>
      <w:r w:rsidR="00054187" w:rsidRPr="009D39D5">
        <w:rPr>
          <w:lang w:val="es-ES"/>
        </w:rPr>
        <w:t>un tipo de decisión de experto</w:t>
      </w:r>
      <w:r w:rsidR="00FF32BB" w:rsidRPr="009D39D5">
        <w:rPr>
          <w:lang w:val="es-ES"/>
        </w:rPr>
        <w:t xml:space="preserve">.  </w:t>
      </w:r>
      <w:r w:rsidR="0062634A" w:rsidRPr="009D39D5">
        <w:rPr>
          <w:lang w:val="es-ES"/>
        </w:rPr>
        <w:t xml:space="preserve">Mediante </w:t>
      </w:r>
      <w:r w:rsidR="0050284F" w:rsidRPr="009D39D5">
        <w:rPr>
          <w:lang w:val="es-ES"/>
        </w:rPr>
        <w:t xml:space="preserve">la firma de </w:t>
      </w:r>
      <w:r w:rsidR="0062634A" w:rsidRPr="009D39D5">
        <w:rPr>
          <w:lang w:val="es-ES"/>
        </w:rPr>
        <w:t>un contrato con el registrador de un nombre de dominio específico que ha</w:t>
      </w:r>
      <w:r w:rsidR="00A904F8" w:rsidRPr="009D39D5">
        <w:rPr>
          <w:lang w:val="es-ES"/>
        </w:rPr>
        <w:t>ya</w:t>
      </w:r>
      <w:r w:rsidR="0062634A" w:rsidRPr="009D39D5">
        <w:rPr>
          <w:lang w:val="es-ES"/>
        </w:rPr>
        <w:t xml:space="preserve"> adoptado </w:t>
      </w:r>
      <w:r w:rsidR="00606ADD" w:rsidRPr="009D39D5">
        <w:rPr>
          <w:lang w:val="es-ES"/>
        </w:rPr>
        <w:t>la Política Uniforme</w:t>
      </w:r>
      <w:r w:rsidR="00647F99" w:rsidRPr="009D39D5">
        <w:rPr>
          <w:lang w:val="es-ES"/>
        </w:rPr>
        <w:t xml:space="preserve">, </w:t>
      </w:r>
      <w:r w:rsidR="0062634A" w:rsidRPr="009D39D5">
        <w:rPr>
          <w:lang w:val="es-ES"/>
        </w:rPr>
        <w:t>el solicitante del nombre de dominio se somete voluntariamente a las normas de dicha Política.</w:t>
      </w:r>
      <w:r w:rsidR="00647F99" w:rsidRPr="009D39D5">
        <w:rPr>
          <w:lang w:val="es-ES"/>
        </w:rPr>
        <w:t xml:space="preserve">  </w:t>
      </w:r>
      <w:r w:rsidR="0062634A" w:rsidRPr="009D39D5">
        <w:rPr>
          <w:lang w:val="es-ES"/>
        </w:rPr>
        <w:t xml:space="preserve">La decisión </w:t>
      </w:r>
      <w:r w:rsidR="0050284F" w:rsidRPr="009D39D5">
        <w:rPr>
          <w:lang w:val="es-ES"/>
        </w:rPr>
        <w:t>tomada al amparo de</w:t>
      </w:r>
      <w:r w:rsidR="00647F99" w:rsidRPr="009D39D5">
        <w:rPr>
          <w:lang w:val="es-ES"/>
        </w:rPr>
        <w:t xml:space="preserve"> </w:t>
      </w:r>
      <w:r w:rsidR="00606ADD" w:rsidRPr="009D39D5">
        <w:rPr>
          <w:lang w:val="es-ES"/>
        </w:rPr>
        <w:t>la Política Uniforme</w:t>
      </w:r>
      <w:r w:rsidR="00647F99" w:rsidRPr="009D39D5">
        <w:rPr>
          <w:lang w:val="es-ES"/>
        </w:rPr>
        <w:t xml:space="preserve"> </w:t>
      </w:r>
      <w:r w:rsidR="0062634A" w:rsidRPr="009D39D5">
        <w:rPr>
          <w:lang w:val="es-ES"/>
        </w:rPr>
        <w:t xml:space="preserve">se </w:t>
      </w:r>
      <w:r w:rsidR="0050284F" w:rsidRPr="009D39D5">
        <w:rPr>
          <w:lang w:val="es-ES"/>
        </w:rPr>
        <w:t>ejecuta</w:t>
      </w:r>
      <w:r w:rsidR="0062634A" w:rsidRPr="009D39D5">
        <w:rPr>
          <w:lang w:val="es-ES"/>
        </w:rPr>
        <w:t xml:space="preserve"> de forma automática en el marco de ese contrato celebrado entre el solicitante y el registrador</w:t>
      </w:r>
      <w:r w:rsidR="00647F99" w:rsidRPr="009D39D5">
        <w:rPr>
          <w:lang w:val="es-ES"/>
        </w:rPr>
        <w:t xml:space="preserve">.  </w:t>
      </w:r>
      <w:r w:rsidR="00606ADD" w:rsidRPr="009D39D5">
        <w:rPr>
          <w:lang w:val="es-ES"/>
        </w:rPr>
        <w:t xml:space="preserve">El procedimiento de la Política Uniforme no pretende sustituir la competencia </w:t>
      </w:r>
      <w:r w:rsidR="0050284F" w:rsidRPr="009D39D5">
        <w:rPr>
          <w:lang w:val="es-ES"/>
        </w:rPr>
        <w:t>de los tribunales</w:t>
      </w:r>
      <w:r w:rsidR="00606ADD" w:rsidRPr="009D39D5">
        <w:rPr>
          <w:lang w:val="es-ES"/>
        </w:rPr>
        <w:t xml:space="preserve"> nacional</w:t>
      </w:r>
      <w:r w:rsidR="0050284F" w:rsidRPr="009D39D5">
        <w:rPr>
          <w:lang w:val="es-ES"/>
        </w:rPr>
        <w:t>es</w:t>
      </w:r>
      <w:r w:rsidR="00606ADD" w:rsidRPr="009D39D5">
        <w:rPr>
          <w:lang w:val="es-ES"/>
        </w:rPr>
        <w:t xml:space="preserve"> en </w:t>
      </w:r>
      <w:r w:rsidR="0050284F" w:rsidRPr="009D39D5">
        <w:rPr>
          <w:lang w:val="es-ES"/>
        </w:rPr>
        <w:t>cuanto a decidir</w:t>
      </w:r>
      <w:r w:rsidR="00606ADD" w:rsidRPr="009D39D5">
        <w:rPr>
          <w:lang w:val="es-ES"/>
        </w:rPr>
        <w:t xml:space="preserve"> si la utilización de un nombre de dominio infringe </w:t>
      </w:r>
      <w:r w:rsidR="003B267C">
        <w:rPr>
          <w:lang w:val="es-ES"/>
        </w:rPr>
        <w:t>los</w:t>
      </w:r>
      <w:r w:rsidR="004B4B5E" w:rsidRPr="009D39D5">
        <w:rPr>
          <w:lang w:val="es-ES"/>
        </w:rPr>
        <w:t xml:space="preserve"> derecho</w:t>
      </w:r>
      <w:r w:rsidR="003B267C">
        <w:rPr>
          <w:lang w:val="es-ES"/>
        </w:rPr>
        <w:t>s</w:t>
      </w:r>
      <w:r w:rsidR="004B4B5E" w:rsidRPr="009D39D5">
        <w:rPr>
          <w:lang w:val="es-ES"/>
        </w:rPr>
        <w:t xml:space="preserve"> </w:t>
      </w:r>
      <w:r w:rsidR="004B4B5E" w:rsidRPr="009D39D5">
        <w:rPr>
          <w:lang w:val="es-ES"/>
        </w:rPr>
        <w:lastRenderedPageBreak/>
        <w:t>de marca</w:t>
      </w:r>
      <w:r w:rsidR="00647F99" w:rsidRPr="009D39D5">
        <w:rPr>
          <w:lang w:val="es-ES"/>
        </w:rPr>
        <w:t xml:space="preserve">.  </w:t>
      </w:r>
      <w:r w:rsidR="004B4B5E" w:rsidRPr="009D39D5">
        <w:rPr>
          <w:lang w:val="es-ES"/>
        </w:rPr>
        <w:t>Ahora bien,</w:t>
      </w:r>
      <w:r w:rsidR="003B267C">
        <w:rPr>
          <w:lang w:val="es-ES"/>
        </w:rPr>
        <w:t xml:space="preserve"> las demandas por infracción de los</w:t>
      </w:r>
      <w:r w:rsidR="004B4B5E" w:rsidRPr="009D39D5">
        <w:rPr>
          <w:lang w:val="es-ES"/>
        </w:rPr>
        <w:t xml:space="preserve"> derecho</w:t>
      </w:r>
      <w:r w:rsidR="003B267C">
        <w:rPr>
          <w:lang w:val="es-ES"/>
        </w:rPr>
        <w:t>s</w:t>
      </w:r>
      <w:r w:rsidR="004B4B5E" w:rsidRPr="009D39D5">
        <w:rPr>
          <w:lang w:val="es-ES"/>
        </w:rPr>
        <w:t xml:space="preserve"> de marca son costosas y los intentos de utilizarlas para los nombres de dominio</w:t>
      </w:r>
      <w:r w:rsidR="00A904F8" w:rsidRPr="009D39D5">
        <w:rPr>
          <w:lang w:val="es-ES"/>
        </w:rPr>
        <w:t>,</w:t>
      </w:r>
      <w:r w:rsidR="004B4B5E" w:rsidRPr="009D39D5">
        <w:rPr>
          <w:lang w:val="es-ES"/>
        </w:rPr>
        <w:t xml:space="preserve"> </w:t>
      </w:r>
      <w:r w:rsidR="0050284F" w:rsidRPr="009D39D5">
        <w:rPr>
          <w:lang w:val="es-ES"/>
        </w:rPr>
        <w:t>habida cuenta</w:t>
      </w:r>
      <w:r w:rsidR="004B4B5E" w:rsidRPr="009D39D5">
        <w:rPr>
          <w:lang w:val="es-ES"/>
        </w:rPr>
        <w:t xml:space="preserve"> de la naturaleza </w:t>
      </w:r>
      <w:r w:rsidR="00647F99" w:rsidRPr="009D39D5">
        <w:rPr>
          <w:lang w:val="es-ES"/>
        </w:rPr>
        <w:t>interna</w:t>
      </w:r>
      <w:r w:rsidR="004B4B5E" w:rsidRPr="009D39D5">
        <w:rPr>
          <w:lang w:val="es-ES"/>
        </w:rPr>
        <w:t>c</w:t>
      </w:r>
      <w:r w:rsidR="00647F99" w:rsidRPr="009D39D5">
        <w:rPr>
          <w:lang w:val="es-ES"/>
        </w:rPr>
        <w:t xml:space="preserve">ional </w:t>
      </w:r>
      <w:r w:rsidR="004B4B5E" w:rsidRPr="009D39D5">
        <w:rPr>
          <w:lang w:val="es-ES"/>
        </w:rPr>
        <w:t xml:space="preserve">e inmaterial de </w:t>
      </w:r>
      <w:r w:rsidR="00647F99" w:rsidRPr="009D39D5">
        <w:rPr>
          <w:lang w:val="es-ES"/>
        </w:rPr>
        <w:t xml:space="preserve">internet, </w:t>
      </w:r>
      <w:r w:rsidR="0050284F" w:rsidRPr="009D39D5">
        <w:rPr>
          <w:lang w:val="es-ES"/>
        </w:rPr>
        <w:t>se enfrentan, en</w:t>
      </w:r>
      <w:r w:rsidR="004B4B5E" w:rsidRPr="009D39D5">
        <w:rPr>
          <w:lang w:val="es-ES"/>
        </w:rPr>
        <w:t xml:space="preserve"> la práctica</w:t>
      </w:r>
      <w:r w:rsidR="0050284F" w:rsidRPr="009D39D5">
        <w:rPr>
          <w:lang w:val="es-ES"/>
        </w:rPr>
        <w:t>, con</w:t>
      </w:r>
      <w:r w:rsidR="004B4B5E" w:rsidRPr="009D39D5">
        <w:rPr>
          <w:lang w:val="es-ES"/>
        </w:rPr>
        <w:t xml:space="preserve"> la dificultad de encontrar un tribunal nacional </w:t>
      </w:r>
      <w:r w:rsidR="0050284F" w:rsidRPr="009D39D5">
        <w:rPr>
          <w:lang w:val="es-ES"/>
        </w:rPr>
        <w:t xml:space="preserve">que </w:t>
      </w:r>
      <w:r w:rsidR="00C200A2">
        <w:rPr>
          <w:lang w:val="es-ES"/>
        </w:rPr>
        <w:t>sea competente</w:t>
      </w:r>
      <w:r w:rsidR="004B4B5E" w:rsidRPr="009D39D5">
        <w:rPr>
          <w:lang w:val="es-ES"/>
        </w:rPr>
        <w:t xml:space="preserve"> respecto de la marca de que se trate y </w:t>
      </w:r>
      <w:r w:rsidR="0050284F" w:rsidRPr="009D39D5">
        <w:rPr>
          <w:lang w:val="es-ES"/>
        </w:rPr>
        <w:t>d</w:t>
      </w:r>
      <w:r w:rsidR="00054187" w:rsidRPr="009D39D5">
        <w:rPr>
          <w:lang w:val="es-ES"/>
        </w:rPr>
        <w:t>el solicitante del nombre de dominio</w:t>
      </w:r>
      <w:r w:rsidR="0050284F" w:rsidRPr="009D39D5">
        <w:rPr>
          <w:lang w:val="es-ES"/>
        </w:rPr>
        <w:t xml:space="preserve"> o del registrador de este</w:t>
      </w:r>
      <w:r w:rsidR="00647F99" w:rsidRPr="009D39D5">
        <w:rPr>
          <w:lang w:val="es-ES"/>
        </w:rPr>
        <w:t xml:space="preserve">.  </w:t>
      </w:r>
      <w:r w:rsidR="00A904F8" w:rsidRPr="009D39D5">
        <w:rPr>
          <w:lang w:val="es-ES"/>
        </w:rPr>
        <w:t>Así,</w:t>
      </w:r>
      <w:r w:rsidR="00054187" w:rsidRPr="009D39D5">
        <w:rPr>
          <w:lang w:val="es-ES"/>
        </w:rPr>
        <w:t xml:space="preserve"> en la práctica, </w:t>
      </w:r>
      <w:r w:rsidR="0050284F" w:rsidRPr="009D39D5">
        <w:rPr>
          <w:lang w:val="es-ES"/>
        </w:rPr>
        <w:t xml:space="preserve">la </w:t>
      </w:r>
      <w:r w:rsidR="00054187" w:rsidRPr="009D39D5">
        <w:rPr>
          <w:lang w:val="es-ES"/>
        </w:rPr>
        <w:t>dispon</w:t>
      </w:r>
      <w:r w:rsidR="0050284F" w:rsidRPr="009D39D5">
        <w:rPr>
          <w:lang w:val="es-ES"/>
        </w:rPr>
        <w:t>ibilidad</w:t>
      </w:r>
      <w:r w:rsidR="00054187" w:rsidRPr="009D39D5">
        <w:rPr>
          <w:lang w:val="es-ES"/>
        </w:rPr>
        <w:t xml:space="preserve"> de decisiones </w:t>
      </w:r>
      <w:r w:rsidR="0050284F" w:rsidRPr="009D39D5">
        <w:rPr>
          <w:lang w:val="es-ES"/>
        </w:rPr>
        <w:t>tomadas al amparo</w:t>
      </w:r>
      <w:r w:rsidR="00054187" w:rsidRPr="009D39D5">
        <w:rPr>
          <w:lang w:val="es-ES"/>
        </w:rPr>
        <w:t xml:space="preserve"> de la Política Uniforme hace que la amplia mayoría de esos litigios relacionados con marcas resulten inútiles</w:t>
      </w:r>
      <w:r w:rsidR="00647F99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9506C6" w:rsidRPr="009D39D5">
        <w:rPr>
          <w:lang w:val="es-ES"/>
        </w:rPr>
        <w:t xml:space="preserve">Otro ejemplo de un tipo de decisión de experto en relación con la P.I son las </w:t>
      </w:r>
      <w:r w:rsidR="00C200A2">
        <w:rPr>
          <w:lang w:val="es-ES"/>
        </w:rPr>
        <w:t>normas</w:t>
      </w:r>
      <w:r w:rsidR="009506C6" w:rsidRPr="009D39D5">
        <w:rPr>
          <w:lang w:val="es-ES"/>
        </w:rPr>
        <w:t xml:space="preserve"> de determinados consorcios de patentes relacionados con normas técnicas e</w:t>
      </w:r>
      <w:r w:rsidR="0050284F" w:rsidRPr="009D39D5">
        <w:rPr>
          <w:lang w:val="es-ES"/>
        </w:rPr>
        <w:t>xistentes</w:t>
      </w:r>
      <w:r w:rsidR="009506C6" w:rsidRPr="009D39D5">
        <w:rPr>
          <w:lang w:val="es-ES"/>
        </w:rPr>
        <w:t xml:space="preserve"> en el sector de las tecnologías de la información y las comunicaciones (TIC)</w:t>
      </w:r>
      <w:r w:rsidR="00647F99" w:rsidRPr="009D39D5">
        <w:rPr>
          <w:lang w:val="es-ES"/>
        </w:rPr>
        <w:t xml:space="preserve">, </w:t>
      </w:r>
      <w:r w:rsidR="00291B9E" w:rsidRPr="009D39D5">
        <w:rPr>
          <w:lang w:val="es-ES"/>
        </w:rPr>
        <w:t xml:space="preserve">como </w:t>
      </w:r>
      <w:r w:rsidR="009506C6" w:rsidRPr="009D39D5">
        <w:rPr>
          <w:lang w:val="es-ES"/>
        </w:rPr>
        <w:t xml:space="preserve">por ejemplo, </w:t>
      </w:r>
      <w:r w:rsidR="00291B9E" w:rsidRPr="009D39D5">
        <w:rPr>
          <w:lang w:val="es-ES"/>
        </w:rPr>
        <w:t xml:space="preserve">los </w:t>
      </w:r>
      <w:r w:rsidR="00A93EDF" w:rsidRPr="009D39D5">
        <w:rPr>
          <w:lang w:val="es-ES"/>
        </w:rPr>
        <w:t>códec</w:t>
      </w:r>
      <w:r w:rsidR="00A904F8" w:rsidRPr="009D39D5">
        <w:rPr>
          <w:lang w:val="es-ES"/>
        </w:rPr>
        <w:t>s</w:t>
      </w:r>
      <w:r w:rsidR="00291B9E" w:rsidRPr="009D39D5">
        <w:rPr>
          <w:lang w:val="es-ES"/>
        </w:rPr>
        <w:t xml:space="preserve"> de </w:t>
      </w:r>
      <w:r w:rsidR="00A904F8" w:rsidRPr="009D39D5">
        <w:rPr>
          <w:lang w:val="es-ES"/>
        </w:rPr>
        <w:t>audio</w:t>
      </w:r>
      <w:r w:rsidR="00291B9E" w:rsidRPr="009D39D5">
        <w:rPr>
          <w:lang w:val="es-ES"/>
        </w:rPr>
        <w:t xml:space="preserve"> o v</w:t>
      </w:r>
      <w:r w:rsidR="00096F9C" w:rsidRPr="009D39D5">
        <w:rPr>
          <w:lang w:val="es-ES"/>
        </w:rPr>
        <w:t>i</w:t>
      </w:r>
      <w:r w:rsidR="00291B9E" w:rsidRPr="009D39D5">
        <w:rPr>
          <w:lang w:val="es-ES"/>
        </w:rPr>
        <w:t xml:space="preserve">deo que </w:t>
      </w:r>
      <w:r w:rsidR="00A904F8" w:rsidRPr="009D39D5">
        <w:rPr>
          <w:lang w:val="es-ES"/>
        </w:rPr>
        <w:t>requieren una</w:t>
      </w:r>
      <w:r w:rsidR="00291B9E" w:rsidRPr="009D39D5">
        <w:rPr>
          <w:lang w:val="es-ES"/>
        </w:rPr>
        <w:t xml:space="preserve"> decisión de experto</w:t>
      </w:r>
      <w:r w:rsidR="00647F99" w:rsidRPr="009D39D5">
        <w:rPr>
          <w:lang w:val="es-ES"/>
        </w:rPr>
        <w:t>.</w:t>
      </w:r>
    </w:p>
    <w:p w:rsidR="00764C35" w:rsidRPr="009D39D5" w:rsidRDefault="00764C35" w:rsidP="008A3947">
      <w:pPr>
        <w:rPr>
          <w:lang w:val="es-ES"/>
        </w:rPr>
      </w:pPr>
    </w:p>
    <w:p w:rsidR="00647F99" w:rsidRPr="009D39D5" w:rsidRDefault="00647F99" w:rsidP="008A3947">
      <w:pPr>
        <w:numPr>
          <w:ilvl w:val="0"/>
          <w:numId w:val="8"/>
        </w:numPr>
        <w:ind w:left="1134" w:hanging="567"/>
        <w:rPr>
          <w:lang w:val="es-ES"/>
        </w:rPr>
      </w:pPr>
      <w:r w:rsidRPr="009D39D5">
        <w:rPr>
          <w:lang w:val="es-ES"/>
        </w:rPr>
        <w:t>Evalua</w:t>
      </w:r>
      <w:r w:rsidR="001450E4" w:rsidRPr="009D39D5">
        <w:rPr>
          <w:lang w:val="es-ES"/>
        </w:rPr>
        <w:t>ción imparcial</w:t>
      </w:r>
    </w:p>
    <w:p w:rsidR="007F1AEB" w:rsidRPr="009D39D5" w:rsidRDefault="007F1AEB" w:rsidP="00B34229">
      <w:pPr>
        <w:rPr>
          <w:lang w:val="es-ES"/>
        </w:rPr>
      </w:pPr>
    </w:p>
    <w:p w:rsidR="0074328A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1450E4" w:rsidRPr="009D39D5">
        <w:rPr>
          <w:lang w:val="es-ES"/>
        </w:rPr>
        <w:t xml:space="preserve">La evaluación imparcial temprana, el aporte de </w:t>
      </w:r>
      <w:r w:rsidR="009D39D5" w:rsidRPr="009D39D5">
        <w:rPr>
          <w:lang w:val="es-ES"/>
        </w:rPr>
        <w:t>dictámenes</w:t>
      </w:r>
      <w:r w:rsidR="001450E4" w:rsidRPr="009D39D5">
        <w:rPr>
          <w:lang w:val="es-ES"/>
        </w:rPr>
        <w:t xml:space="preserve"> </w:t>
      </w:r>
      <w:r w:rsidR="0050284F" w:rsidRPr="009D39D5">
        <w:rPr>
          <w:lang w:val="es-ES"/>
        </w:rPr>
        <w:t xml:space="preserve">de carácter </w:t>
      </w:r>
      <w:r w:rsidR="001450E4" w:rsidRPr="009D39D5">
        <w:rPr>
          <w:lang w:val="es-ES"/>
        </w:rPr>
        <w:t xml:space="preserve">no vinculante sobre determinados asuntos, puede </w:t>
      </w:r>
      <w:r w:rsidR="0050284F" w:rsidRPr="009D39D5">
        <w:rPr>
          <w:lang w:val="es-ES"/>
        </w:rPr>
        <w:t>ser de gran</w:t>
      </w:r>
      <w:r w:rsidR="001450E4" w:rsidRPr="009D39D5">
        <w:rPr>
          <w:lang w:val="es-ES"/>
        </w:rPr>
        <w:t xml:space="preserve"> valor cuando la materia es </w:t>
      </w:r>
      <w:r w:rsidR="0050284F" w:rsidRPr="009D39D5">
        <w:rPr>
          <w:lang w:val="es-ES"/>
        </w:rPr>
        <w:t>especial</w:t>
      </w:r>
      <w:r w:rsidR="001450E4" w:rsidRPr="009D39D5">
        <w:rPr>
          <w:lang w:val="es-ES"/>
        </w:rPr>
        <w:t xml:space="preserve">mente compleja, y las partes, </w:t>
      </w:r>
      <w:r w:rsidR="0050284F" w:rsidRPr="009D39D5">
        <w:rPr>
          <w:lang w:val="es-ES"/>
        </w:rPr>
        <w:t>en efecto</w:t>
      </w:r>
      <w:r w:rsidR="001450E4" w:rsidRPr="009D39D5">
        <w:rPr>
          <w:lang w:val="es-ES"/>
        </w:rPr>
        <w:t>, requieren pauta</w:t>
      </w:r>
      <w:r w:rsidR="0050284F" w:rsidRPr="009D39D5">
        <w:rPr>
          <w:lang w:val="es-ES"/>
        </w:rPr>
        <w:t>s</w:t>
      </w:r>
      <w:r w:rsidR="001450E4" w:rsidRPr="009D39D5">
        <w:rPr>
          <w:lang w:val="es-ES"/>
        </w:rPr>
        <w:t xml:space="preserve"> </w:t>
      </w:r>
      <w:r w:rsidR="0050284F" w:rsidRPr="009D39D5">
        <w:rPr>
          <w:lang w:val="es-ES"/>
        </w:rPr>
        <w:t>sobre</w:t>
      </w:r>
      <w:r w:rsidR="001450E4" w:rsidRPr="009D39D5">
        <w:rPr>
          <w:lang w:val="es-ES"/>
        </w:rPr>
        <w:t xml:space="preserve"> la </w:t>
      </w:r>
      <w:r w:rsidR="001F310B" w:rsidRPr="009D39D5">
        <w:rPr>
          <w:lang w:val="es-ES"/>
        </w:rPr>
        <w:t xml:space="preserve">diversidad </w:t>
      </w:r>
      <w:r w:rsidR="001450E4" w:rsidRPr="009D39D5">
        <w:rPr>
          <w:lang w:val="es-ES"/>
        </w:rPr>
        <w:t xml:space="preserve">de </w:t>
      </w:r>
      <w:r w:rsidR="0050284F" w:rsidRPr="009D39D5">
        <w:rPr>
          <w:lang w:val="es-ES"/>
        </w:rPr>
        <w:t xml:space="preserve">los </w:t>
      </w:r>
      <w:r w:rsidR="001450E4" w:rsidRPr="009D39D5">
        <w:rPr>
          <w:lang w:val="es-ES"/>
        </w:rPr>
        <w:t xml:space="preserve">posibles resultados </w:t>
      </w:r>
      <w:r w:rsidR="001F310B" w:rsidRPr="009D39D5">
        <w:rPr>
          <w:lang w:val="es-ES"/>
        </w:rPr>
        <w:t>en la</w:t>
      </w:r>
      <w:r w:rsidR="001450E4" w:rsidRPr="009D39D5">
        <w:rPr>
          <w:lang w:val="es-ES"/>
        </w:rPr>
        <w:t xml:space="preserve"> hipótesis de que </w:t>
      </w:r>
      <w:r w:rsidR="0050284F" w:rsidRPr="009D39D5">
        <w:rPr>
          <w:lang w:val="es-ES"/>
        </w:rPr>
        <w:t>la controversia s</w:t>
      </w:r>
      <w:r w:rsidR="001450E4" w:rsidRPr="009D39D5">
        <w:rPr>
          <w:lang w:val="es-ES"/>
        </w:rPr>
        <w:t xml:space="preserve">e </w:t>
      </w:r>
      <w:r w:rsidR="0050284F" w:rsidRPr="009D39D5">
        <w:rPr>
          <w:lang w:val="es-ES"/>
        </w:rPr>
        <w:t>tenga que</w:t>
      </w:r>
      <w:r w:rsidR="001450E4" w:rsidRPr="009D39D5">
        <w:rPr>
          <w:lang w:val="es-ES"/>
        </w:rPr>
        <w:t xml:space="preserve"> resolver por </w:t>
      </w:r>
      <w:r w:rsidR="0050284F" w:rsidRPr="009D39D5">
        <w:rPr>
          <w:lang w:val="es-ES"/>
        </w:rPr>
        <w:t>v</w:t>
      </w:r>
      <w:r w:rsidR="001450E4" w:rsidRPr="009D39D5">
        <w:rPr>
          <w:lang w:val="es-ES"/>
        </w:rPr>
        <w:t>ía judicial</w:t>
      </w:r>
      <w:r w:rsidR="001F310B" w:rsidRPr="009D39D5">
        <w:rPr>
          <w:lang w:val="es-ES"/>
        </w:rPr>
        <w:t>.</w:t>
      </w:r>
    </w:p>
    <w:p w:rsidR="001F310B" w:rsidRPr="009D39D5" w:rsidRDefault="001F310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1F310B" w:rsidRPr="009D39D5">
        <w:rPr>
          <w:lang w:val="es-ES"/>
        </w:rPr>
        <w:t xml:space="preserve">El servicio de consulta de </w:t>
      </w:r>
      <w:r w:rsidR="00C200A2">
        <w:rPr>
          <w:lang w:val="es-ES"/>
        </w:rPr>
        <w:t>dictámenes</w:t>
      </w:r>
      <w:r w:rsidR="001F310B" w:rsidRPr="009D39D5">
        <w:rPr>
          <w:lang w:val="es-ES"/>
        </w:rPr>
        <w:t xml:space="preserve"> de la Oficina de Propiedad Intelectual del Reino Unido constituye un ejemplo interesante de la utilización de una clase de evaluación imparcial en relación con la P.I. </w:t>
      </w:r>
      <w:r w:rsidR="00647F99" w:rsidRPr="009D39D5">
        <w:rPr>
          <w:lang w:val="es-ES"/>
        </w:rPr>
        <w:t xml:space="preserve"> </w:t>
      </w:r>
      <w:r w:rsidR="001F310B" w:rsidRPr="009D39D5">
        <w:rPr>
          <w:lang w:val="es-ES"/>
        </w:rPr>
        <w:t>E</w:t>
      </w:r>
      <w:r w:rsidR="0050284F" w:rsidRPr="009D39D5">
        <w:rPr>
          <w:lang w:val="es-ES"/>
        </w:rPr>
        <w:t>l</w:t>
      </w:r>
      <w:r w:rsidR="001F310B" w:rsidRPr="009D39D5">
        <w:rPr>
          <w:lang w:val="es-ES"/>
        </w:rPr>
        <w:t xml:space="preserve"> servicio</w:t>
      </w:r>
      <w:r w:rsidR="0050284F" w:rsidRPr="009D39D5">
        <w:rPr>
          <w:lang w:val="es-ES"/>
        </w:rPr>
        <w:t xml:space="preserve"> de esta</w:t>
      </w:r>
      <w:r w:rsidR="001F310B" w:rsidRPr="009D39D5">
        <w:rPr>
          <w:lang w:val="es-ES"/>
        </w:rPr>
        <w:t xml:space="preserve"> Oficina de Propiedad Intelectual proporcionará, en el plazo de tres meses a partir de la solicitud</w:t>
      </w:r>
      <w:r w:rsidR="00647F99" w:rsidRPr="009D39D5">
        <w:rPr>
          <w:lang w:val="es-ES"/>
        </w:rPr>
        <w:t xml:space="preserve">, </w:t>
      </w:r>
      <w:r w:rsidR="00A904F8" w:rsidRPr="009D39D5">
        <w:rPr>
          <w:lang w:val="es-ES"/>
        </w:rPr>
        <w:t>dictámenes</w:t>
      </w:r>
      <w:r w:rsidR="001F310B" w:rsidRPr="009D39D5">
        <w:rPr>
          <w:lang w:val="es-ES"/>
        </w:rPr>
        <w:t xml:space="preserve"> </w:t>
      </w:r>
      <w:r w:rsidR="0050284F" w:rsidRPr="009D39D5">
        <w:rPr>
          <w:lang w:val="es-ES"/>
        </w:rPr>
        <w:t xml:space="preserve">de carácter </w:t>
      </w:r>
      <w:r w:rsidR="001F310B" w:rsidRPr="009D39D5">
        <w:rPr>
          <w:lang w:val="es-ES"/>
        </w:rPr>
        <w:t>no vinculante sobre la infracción de patentes que están en vigor en ese país</w:t>
      </w:r>
      <w:r w:rsidR="00D050F6" w:rsidRPr="009D39D5">
        <w:rPr>
          <w:lang w:val="es-ES"/>
        </w:rPr>
        <w:t>,</w:t>
      </w:r>
      <w:r w:rsidR="001F310B" w:rsidRPr="009D39D5">
        <w:rPr>
          <w:lang w:val="es-ES"/>
        </w:rPr>
        <w:t xml:space="preserve"> y en relación con determinados aspectos de </w:t>
      </w:r>
      <w:r w:rsidR="00D050F6" w:rsidRPr="009D39D5">
        <w:rPr>
          <w:lang w:val="es-ES"/>
        </w:rPr>
        <w:t>la</w:t>
      </w:r>
      <w:r w:rsidR="001F310B" w:rsidRPr="009D39D5">
        <w:rPr>
          <w:lang w:val="es-ES"/>
        </w:rPr>
        <w:t xml:space="preserve"> validez</w:t>
      </w:r>
      <w:r w:rsidR="00D050F6" w:rsidRPr="009D39D5">
        <w:rPr>
          <w:lang w:val="es-ES"/>
        </w:rPr>
        <w:t xml:space="preserve"> de las patentes</w:t>
      </w:r>
      <w:r w:rsidR="00647F99" w:rsidRPr="009D39D5">
        <w:rPr>
          <w:lang w:val="es-ES"/>
        </w:rPr>
        <w:t xml:space="preserve">, </w:t>
      </w:r>
      <w:r w:rsidR="00D050F6" w:rsidRPr="009D39D5">
        <w:rPr>
          <w:lang w:val="es-ES"/>
        </w:rPr>
        <w:t>ante cualquier solicitud</w:t>
      </w:r>
      <w:r w:rsidR="001F310B" w:rsidRPr="009D39D5">
        <w:rPr>
          <w:lang w:val="es-ES"/>
        </w:rPr>
        <w:t>,</w:t>
      </w:r>
      <w:r w:rsidR="00647F99" w:rsidRPr="009D39D5">
        <w:rPr>
          <w:lang w:val="es-ES"/>
        </w:rPr>
        <w:t xml:space="preserve"> </w:t>
      </w:r>
      <w:r w:rsidR="00C200A2">
        <w:rPr>
          <w:lang w:val="es-ES"/>
        </w:rPr>
        <w:t>al tiempo que</w:t>
      </w:r>
      <w:r w:rsidR="001F310B" w:rsidRPr="009D39D5">
        <w:rPr>
          <w:lang w:val="es-ES"/>
        </w:rPr>
        <w:t xml:space="preserve"> </w:t>
      </w:r>
      <w:r w:rsidR="00D050F6" w:rsidRPr="009D39D5">
        <w:rPr>
          <w:lang w:val="es-ES"/>
        </w:rPr>
        <w:t>terceros</w:t>
      </w:r>
      <w:r w:rsidR="001F310B" w:rsidRPr="009D39D5">
        <w:rPr>
          <w:lang w:val="es-ES"/>
        </w:rPr>
        <w:t xml:space="preserve"> pueden presentar comentarios</w:t>
      </w:r>
      <w:r w:rsidR="00C200A2">
        <w:rPr>
          <w:lang w:val="es-ES"/>
        </w:rPr>
        <w:t>,</w:t>
      </w:r>
      <w:r w:rsidR="00FF32BB" w:rsidRPr="009D39D5">
        <w:rPr>
          <w:lang w:val="es-ES"/>
        </w:rPr>
        <w:t xml:space="preserve"> </w:t>
      </w:r>
      <w:r w:rsidR="001F310B" w:rsidRPr="009D39D5">
        <w:rPr>
          <w:lang w:val="es-ES"/>
        </w:rPr>
        <w:t xml:space="preserve">y los titulares de las patentes </w:t>
      </w:r>
      <w:r w:rsidR="00D050F6" w:rsidRPr="009D39D5">
        <w:rPr>
          <w:lang w:val="es-ES"/>
        </w:rPr>
        <w:t>o</w:t>
      </w:r>
      <w:r w:rsidR="001F310B" w:rsidRPr="009D39D5">
        <w:rPr>
          <w:lang w:val="es-ES"/>
        </w:rPr>
        <w:t xml:space="preserve"> de las licencias exclusivas </w:t>
      </w:r>
      <w:r w:rsidR="00D050F6" w:rsidRPr="009D39D5">
        <w:rPr>
          <w:lang w:val="es-ES"/>
        </w:rPr>
        <w:t>tienen la posibilidad de cuestionar</w:t>
      </w:r>
      <w:r w:rsidR="001F310B" w:rsidRPr="009D39D5">
        <w:rPr>
          <w:lang w:val="es-ES"/>
        </w:rPr>
        <w:t xml:space="preserve"> </w:t>
      </w:r>
      <w:r w:rsidR="00C200A2">
        <w:rPr>
          <w:lang w:val="es-ES"/>
        </w:rPr>
        <w:t>ese dictamen</w:t>
      </w:r>
      <w:r w:rsidR="001F310B" w:rsidRPr="009D39D5">
        <w:rPr>
          <w:lang w:val="es-ES"/>
        </w:rPr>
        <w:t xml:space="preserve"> </w:t>
      </w:r>
      <w:r w:rsidR="00D050F6" w:rsidRPr="009D39D5">
        <w:rPr>
          <w:lang w:val="es-ES"/>
        </w:rPr>
        <w:t xml:space="preserve">dadas </w:t>
      </w:r>
      <w:r w:rsidR="001F310B" w:rsidRPr="009D39D5">
        <w:rPr>
          <w:lang w:val="es-ES"/>
        </w:rPr>
        <w:t>ciertas circunstancias</w:t>
      </w:r>
      <w:r w:rsidR="00647F99" w:rsidRPr="009D39D5">
        <w:rPr>
          <w:lang w:val="es-ES"/>
        </w:rPr>
        <w:t xml:space="preserve">. 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647F99" w:rsidP="008A3947">
      <w:pPr>
        <w:numPr>
          <w:ilvl w:val="0"/>
          <w:numId w:val="8"/>
        </w:numPr>
        <w:ind w:left="1134" w:hanging="567"/>
        <w:rPr>
          <w:lang w:val="es-ES"/>
        </w:rPr>
      </w:pPr>
      <w:r w:rsidRPr="009D39D5">
        <w:rPr>
          <w:lang w:val="es-ES"/>
        </w:rPr>
        <w:t>Media</w:t>
      </w:r>
      <w:r w:rsidR="00EE517C" w:rsidRPr="009D39D5">
        <w:rPr>
          <w:lang w:val="es-ES"/>
        </w:rPr>
        <w:t>ción</w:t>
      </w:r>
      <w:r w:rsidRPr="009D39D5">
        <w:rPr>
          <w:lang w:val="es-ES"/>
        </w:rPr>
        <w:t xml:space="preserve"> </w:t>
      </w:r>
    </w:p>
    <w:p w:rsidR="00787DA2" w:rsidRPr="009D39D5" w:rsidRDefault="00787DA2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787DA2" w:rsidRPr="009D39D5">
        <w:rPr>
          <w:lang w:val="es-ES"/>
        </w:rPr>
        <w:t xml:space="preserve">La mediación se ha definido como un procedimiento de carácter </w:t>
      </w:r>
      <w:r w:rsidR="00647F99" w:rsidRPr="009D39D5">
        <w:rPr>
          <w:lang w:val="es-ES"/>
        </w:rPr>
        <w:t xml:space="preserve">informal </w:t>
      </w:r>
      <w:r w:rsidR="00787DA2" w:rsidRPr="009D39D5">
        <w:rPr>
          <w:lang w:val="es-ES"/>
        </w:rPr>
        <w:t>en el que un intermediario neutral</w:t>
      </w:r>
      <w:r w:rsidR="00647F99" w:rsidRPr="009D39D5">
        <w:rPr>
          <w:lang w:val="es-ES"/>
        </w:rPr>
        <w:t xml:space="preserve">, </w:t>
      </w:r>
      <w:r w:rsidR="00787DA2" w:rsidRPr="009D39D5">
        <w:rPr>
          <w:lang w:val="es-ES"/>
        </w:rPr>
        <w:t>el</w:t>
      </w:r>
      <w:r w:rsidR="00647F99" w:rsidRPr="009D39D5">
        <w:rPr>
          <w:lang w:val="es-ES"/>
        </w:rPr>
        <w:t xml:space="preserve"> media</w:t>
      </w:r>
      <w:r w:rsidR="00787DA2" w:rsidRPr="009D39D5">
        <w:rPr>
          <w:lang w:val="es-ES"/>
        </w:rPr>
        <w:t>dor</w:t>
      </w:r>
      <w:r w:rsidR="00647F99" w:rsidRPr="009D39D5">
        <w:rPr>
          <w:lang w:val="es-ES"/>
        </w:rPr>
        <w:t>, a</w:t>
      </w:r>
      <w:r w:rsidR="00787DA2" w:rsidRPr="009D39D5">
        <w:rPr>
          <w:lang w:val="es-ES"/>
        </w:rPr>
        <w:t xml:space="preserve">yuda a las partes a </w:t>
      </w:r>
      <w:r w:rsidR="00D050F6" w:rsidRPr="009D39D5">
        <w:rPr>
          <w:lang w:val="es-ES"/>
        </w:rPr>
        <w:t>resolver un</w:t>
      </w:r>
      <w:r w:rsidR="00787DA2" w:rsidRPr="009D39D5">
        <w:rPr>
          <w:lang w:val="es-ES"/>
        </w:rPr>
        <w:t>a controversia</w:t>
      </w:r>
      <w:r w:rsidR="00647F99" w:rsidRPr="009D39D5">
        <w:rPr>
          <w:lang w:val="es-ES"/>
        </w:rPr>
        <w:t xml:space="preserve">.  </w:t>
      </w:r>
      <w:r w:rsidR="00787DA2" w:rsidRPr="009D39D5">
        <w:rPr>
          <w:lang w:val="es-ES"/>
        </w:rPr>
        <w:t xml:space="preserve">La mediación puede ser de gran valor en la solución de controversias </w:t>
      </w:r>
      <w:r w:rsidR="00A904F8" w:rsidRPr="009D39D5">
        <w:rPr>
          <w:lang w:val="es-ES"/>
        </w:rPr>
        <w:t xml:space="preserve">en materia </w:t>
      </w:r>
      <w:r w:rsidR="00787DA2" w:rsidRPr="009D39D5">
        <w:rPr>
          <w:lang w:val="es-ES"/>
        </w:rPr>
        <w:t>de P.I</w:t>
      </w:r>
      <w:r w:rsidR="00FF32BB" w:rsidRPr="009D39D5">
        <w:rPr>
          <w:lang w:val="es-ES"/>
        </w:rPr>
        <w:t xml:space="preserve">.  </w:t>
      </w:r>
      <w:r w:rsidR="00787DA2" w:rsidRPr="009D39D5">
        <w:rPr>
          <w:lang w:val="es-ES"/>
        </w:rPr>
        <w:t xml:space="preserve">No obstante, debido a su </w:t>
      </w:r>
      <w:r w:rsidR="00D050F6" w:rsidRPr="009D39D5">
        <w:rPr>
          <w:lang w:val="es-ES"/>
        </w:rPr>
        <w:t>naturaleza</w:t>
      </w:r>
      <w:r w:rsidR="00787DA2" w:rsidRPr="009D39D5">
        <w:rPr>
          <w:lang w:val="es-ES"/>
        </w:rPr>
        <w:t xml:space="preserve"> completamente co</w:t>
      </w:r>
      <w:r w:rsidR="00647F99" w:rsidRPr="009D39D5">
        <w:rPr>
          <w:lang w:val="es-ES"/>
        </w:rPr>
        <w:t>nsensual</w:t>
      </w:r>
      <w:r w:rsidR="00787DA2" w:rsidRPr="009D39D5">
        <w:rPr>
          <w:lang w:val="es-ES"/>
        </w:rPr>
        <w:t xml:space="preserve">, </w:t>
      </w:r>
      <w:r w:rsidR="00D050F6" w:rsidRPr="009D39D5">
        <w:rPr>
          <w:lang w:val="es-ES"/>
        </w:rPr>
        <w:t xml:space="preserve">a </w:t>
      </w:r>
      <w:r w:rsidR="00787DA2" w:rsidRPr="009D39D5">
        <w:rPr>
          <w:lang w:val="es-ES"/>
        </w:rPr>
        <w:t xml:space="preserve">su </w:t>
      </w:r>
      <w:r w:rsidR="00647F99" w:rsidRPr="009D39D5">
        <w:rPr>
          <w:lang w:val="es-ES"/>
        </w:rPr>
        <w:t>flexibili</w:t>
      </w:r>
      <w:r w:rsidR="00787DA2" w:rsidRPr="009D39D5">
        <w:rPr>
          <w:lang w:val="es-ES"/>
        </w:rPr>
        <w:t xml:space="preserve">dad y </w:t>
      </w:r>
      <w:r w:rsidR="00D050F6" w:rsidRPr="009D39D5">
        <w:rPr>
          <w:lang w:val="es-ES"/>
        </w:rPr>
        <w:t xml:space="preserve">a </w:t>
      </w:r>
      <w:r w:rsidR="00787DA2" w:rsidRPr="009D39D5">
        <w:rPr>
          <w:lang w:val="es-ES"/>
        </w:rPr>
        <w:t xml:space="preserve">la variabilidad de </w:t>
      </w:r>
      <w:r w:rsidR="00647F99" w:rsidRPr="009D39D5">
        <w:rPr>
          <w:lang w:val="es-ES"/>
        </w:rPr>
        <w:t xml:space="preserve"> proced</w:t>
      </w:r>
      <w:r w:rsidR="00787DA2" w:rsidRPr="009D39D5">
        <w:rPr>
          <w:lang w:val="es-ES"/>
        </w:rPr>
        <w:t xml:space="preserve">imientos utilizados, y </w:t>
      </w:r>
      <w:r w:rsidR="00D050F6" w:rsidRPr="009D39D5">
        <w:rPr>
          <w:lang w:val="es-ES"/>
        </w:rPr>
        <w:t>tratándose</w:t>
      </w:r>
      <w:r w:rsidR="00787DA2" w:rsidRPr="009D39D5">
        <w:rPr>
          <w:lang w:val="es-ES"/>
        </w:rPr>
        <w:t>, fundamentalmente, de una negociación supervisada</w:t>
      </w:r>
      <w:r w:rsidR="00647F99" w:rsidRPr="009D39D5">
        <w:rPr>
          <w:lang w:val="es-ES"/>
        </w:rPr>
        <w:t xml:space="preserve">, </w:t>
      </w:r>
      <w:r w:rsidR="00787DA2" w:rsidRPr="009D39D5">
        <w:rPr>
          <w:lang w:val="es-ES"/>
        </w:rPr>
        <w:t>no plantea problema</w:t>
      </w:r>
      <w:r w:rsidR="00C200A2">
        <w:rPr>
          <w:lang w:val="es-ES"/>
        </w:rPr>
        <w:t>s</w:t>
      </w:r>
      <w:r w:rsidR="00787DA2" w:rsidRPr="009D39D5">
        <w:rPr>
          <w:lang w:val="es-ES"/>
        </w:rPr>
        <w:t xml:space="preserve"> </w:t>
      </w:r>
      <w:r w:rsidR="00C200A2" w:rsidRPr="009D39D5">
        <w:rPr>
          <w:lang w:val="es-ES"/>
        </w:rPr>
        <w:t>especial</w:t>
      </w:r>
      <w:r w:rsidR="00C200A2">
        <w:rPr>
          <w:lang w:val="es-ES"/>
        </w:rPr>
        <w:t>es</w:t>
      </w:r>
      <w:r w:rsidR="00C200A2" w:rsidRPr="009D39D5">
        <w:rPr>
          <w:lang w:val="es-ES"/>
        </w:rPr>
        <w:t xml:space="preserve"> </w:t>
      </w:r>
      <w:r w:rsidR="00D050F6" w:rsidRPr="009D39D5">
        <w:rPr>
          <w:lang w:val="es-ES"/>
        </w:rPr>
        <w:t xml:space="preserve">de orden </w:t>
      </w:r>
      <w:r w:rsidR="00787DA2" w:rsidRPr="009D39D5">
        <w:rPr>
          <w:lang w:val="es-ES"/>
        </w:rPr>
        <w:t>jurídico</w:t>
      </w:r>
      <w:r w:rsidR="00647F99" w:rsidRPr="009D39D5">
        <w:rPr>
          <w:lang w:val="es-ES"/>
        </w:rPr>
        <w:t xml:space="preserve">. 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C200A2" w:rsidP="00B34229">
      <w:pPr>
        <w:pStyle w:val="Heading2"/>
        <w:numPr>
          <w:ilvl w:val="0"/>
          <w:numId w:val="12"/>
        </w:numPr>
        <w:tabs>
          <w:tab w:val="left" w:pos="567"/>
        </w:tabs>
        <w:ind w:left="567" w:hanging="567"/>
        <w:rPr>
          <w:lang w:val="es-ES"/>
        </w:rPr>
      </w:pPr>
      <w:r>
        <w:rPr>
          <w:lang w:val="es-ES"/>
        </w:rPr>
        <w:t>marco</w:t>
      </w:r>
      <w:r w:rsidR="006E2DF3">
        <w:rPr>
          <w:lang w:val="es-ES"/>
        </w:rPr>
        <w:t>S</w:t>
      </w:r>
      <w:r w:rsidR="00272EA6" w:rsidRPr="009D39D5">
        <w:rPr>
          <w:lang w:val="es-ES"/>
        </w:rPr>
        <w:t xml:space="preserve"> jurídico</w:t>
      </w:r>
      <w:r w:rsidR="006E2DF3">
        <w:rPr>
          <w:lang w:val="es-ES"/>
        </w:rPr>
        <w:t>S</w:t>
      </w:r>
      <w:r w:rsidR="00272EA6" w:rsidRPr="009D39D5">
        <w:rPr>
          <w:lang w:val="es-ES"/>
        </w:rPr>
        <w:t xml:space="preserve"> y normativo</w:t>
      </w:r>
      <w:r w:rsidR="006E2DF3">
        <w:rPr>
          <w:lang w:val="es-ES"/>
        </w:rPr>
        <w:t>S</w:t>
      </w:r>
      <w:r w:rsidR="00272EA6" w:rsidRPr="009D39D5">
        <w:rPr>
          <w:lang w:val="es-ES"/>
        </w:rPr>
        <w:t xml:space="preserve"> para la </w:t>
      </w:r>
      <w:r w:rsidR="00707527" w:rsidRPr="009D39D5">
        <w:rPr>
          <w:lang w:val="es-ES"/>
        </w:rPr>
        <w:t>SOLUCIÓN EXTRAJUDICIAL DE CONTROVERSIAS</w:t>
      </w:r>
      <w:r w:rsidR="00272EA6" w:rsidRPr="009D39D5">
        <w:rPr>
          <w:lang w:val="es-ES"/>
        </w:rPr>
        <w:t xml:space="preserve"> en el</w:t>
      </w:r>
      <w:r w:rsidR="00647F99" w:rsidRPr="009D39D5">
        <w:rPr>
          <w:lang w:val="es-ES"/>
        </w:rPr>
        <w:t xml:space="preserve"> CONTEXT</w:t>
      </w:r>
      <w:r w:rsidR="00272EA6" w:rsidRPr="009D39D5">
        <w:rPr>
          <w:lang w:val="es-ES"/>
        </w:rPr>
        <w:t>o de la observancia de los derechos de P.I.</w:t>
      </w:r>
    </w:p>
    <w:p w:rsidR="00647F99" w:rsidRPr="009D39D5" w:rsidRDefault="00647F99" w:rsidP="008A3947">
      <w:pPr>
        <w:rPr>
          <w:b/>
          <w:lang w:val="es-ES"/>
        </w:rPr>
      </w:pPr>
    </w:p>
    <w:p w:rsidR="00647F99" w:rsidRPr="009D39D5" w:rsidRDefault="00647F99" w:rsidP="008A3947">
      <w:pPr>
        <w:numPr>
          <w:ilvl w:val="0"/>
          <w:numId w:val="9"/>
        </w:numPr>
        <w:ind w:left="1134" w:hanging="567"/>
        <w:rPr>
          <w:lang w:val="es-ES"/>
        </w:rPr>
      </w:pPr>
      <w:r w:rsidRPr="009D39D5">
        <w:rPr>
          <w:lang w:val="es-ES"/>
        </w:rPr>
        <w:t>Introduc</w:t>
      </w:r>
      <w:r w:rsidR="00EE517C" w:rsidRPr="009D39D5">
        <w:rPr>
          <w:lang w:val="es-ES"/>
        </w:rPr>
        <w:t>ción</w:t>
      </w:r>
    </w:p>
    <w:p w:rsidR="007F1AEB" w:rsidRPr="009D39D5" w:rsidRDefault="007F1AEB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BD52BA" w:rsidRPr="009D39D5">
        <w:rPr>
          <w:lang w:val="es-ES"/>
        </w:rPr>
        <w:t>Es en el ámbito del arbitraje donde l</w:t>
      </w:r>
      <w:r w:rsidR="00272EA6" w:rsidRPr="009D39D5">
        <w:rPr>
          <w:lang w:val="es-ES"/>
        </w:rPr>
        <w:t>os marcos jurídico</w:t>
      </w:r>
      <w:r w:rsidR="006E2DF3">
        <w:rPr>
          <w:lang w:val="es-ES"/>
        </w:rPr>
        <w:t>s</w:t>
      </w:r>
      <w:r w:rsidR="00272EA6" w:rsidRPr="009D39D5">
        <w:rPr>
          <w:lang w:val="es-ES"/>
        </w:rPr>
        <w:t xml:space="preserve"> y normativo</w:t>
      </w:r>
      <w:r w:rsidR="006E2DF3">
        <w:rPr>
          <w:lang w:val="es-ES"/>
        </w:rPr>
        <w:t>s</w:t>
      </w:r>
      <w:r w:rsidR="00272EA6" w:rsidRPr="009D39D5">
        <w:rPr>
          <w:lang w:val="es-ES"/>
        </w:rPr>
        <w:t xml:space="preserve"> para la solución extrajudicial de controversias </w:t>
      </w:r>
      <w:r w:rsidR="00BD52BA" w:rsidRPr="009D39D5">
        <w:rPr>
          <w:lang w:val="es-ES"/>
        </w:rPr>
        <w:t>más se han perfeccionado</w:t>
      </w:r>
      <w:r w:rsidR="00272EA6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272EA6" w:rsidP="008A3947">
      <w:pPr>
        <w:numPr>
          <w:ilvl w:val="0"/>
          <w:numId w:val="9"/>
        </w:numPr>
        <w:ind w:left="1134" w:hanging="567"/>
        <w:rPr>
          <w:lang w:val="es-ES"/>
        </w:rPr>
      </w:pPr>
      <w:r w:rsidRPr="009D39D5">
        <w:rPr>
          <w:lang w:val="es-ES"/>
        </w:rPr>
        <w:t xml:space="preserve">La </w:t>
      </w:r>
      <w:r w:rsidR="00BD52BA" w:rsidRPr="009D39D5">
        <w:rPr>
          <w:lang w:val="es-ES"/>
        </w:rPr>
        <w:t xml:space="preserve">aplicación </w:t>
      </w:r>
      <w:r w:rsidRPr="009D39D5">
        <w:rPr>
          <w:lang w:val="es-ES"/>
        </w:rPr>
        <w:t xml:space="preserve">de la legislación y la jurisdicción </w:t>
      </w:r>
      <w:r w:rsidR="00BD52BA" w:rsidRPr="009D39D5">
        <w:rPr>
          <w:lang w:val="es-ES"/>
        </w:rPr>
        <w:t>pertinentes</w:t>
      </w:r>
      <w:r w:rsidRPr="009D39D5">
        <w:rPr>
          <w:lang w:val="es-ES"/>
        </w:rPr>
        <w:t xml:space="preserve"> a la P.I.</w:t>
      </w:r>
    </w:p>
    <w:p w:rsidR="007F1AEB" w:rsidRPr="009D39D5" w:rsidRDefault="007F1AEB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BD52BA" w:rsidRPr="009D39D5">
        <w:rPr>
          <w:lang w:val="es-ES"/>
        </w:rPr>
        <w:t>En l</w:t>
      </w:r>
      <w:r w:rsidR="00536FFA" w:rsidRPr="009D39D5">
        <w:rPr>
          <w:lang w:val="es-ES"/>
        </w:rPr>
        <w:t>a legislación nacional (o, alguna</w:t>
      </w:r>
      <w:r w:rsidR="00A41534" w:rsidRPr="009D39D5">
        <w:rPr>
          <w:lang w:val="es-ES"/>
        </w:rPr>
        <w:t xml:space="preserve"> que otra vez</w:t>
      </w:r>
      <w:r w:rsidR="00536FFA" w:rsidRPr="009D39D5">
        <w:rPr>
          <w:lang w:val="es-ES"/>
        </w:rPr>
        <w:t xml:space="preserve">, </w:t>
      </w:r>
      <w:r w:rsidR="00A41534" w:rsidRPr="009D39D5">
        <w:rPr>
          <w:lang w:val="es-ES"/>
        </w:rPr>
        <w:t xml:space="preserve">en </w:t>
      </w:r>
      <w:r w:rsidR="00536FFA" w:rsidRPr="009D39D5">
        <w:rPr>
          <w:lang w:val="es-ES"/>
        </w:rPr>
        <w:t xml:space="preserve">la legislación regional) </w:t>
      </w:r>
      <w:r w:rsidR="00A41534" w:rsidRPr="009D39D5">
        <w:rPr>
          <w:lang w:val="es-ES"/>
        </w:rPr>
        <w:t xml:space="preserve">se </w:t>
      </w:r>
      <w:r w:rsidR="00536FFA" w:rsidRPr="009D39D5">
        <w:rPr>
          <w:lang w:val="es-ES"/>
        </w:rPr>
        <w:t>establece</w:t>
      </w:r>
      <w:r w:rsidR="00A41534" w:rsidRPr="009D39D5">
        <w:rPr>
          <w:lang w:val="es-ES"/>
        </w:rPr>
        <w:t>n</w:t>
      </w:r>
      <w:r w:rsidR="00536FFA" w:rsidRPr="009D39D5">
        <w:rPr>
          <w:lang w:val="es-ES"/>
        </w:rPr>
        <w:t xml:space="preserve"> los derechos de P.I. y, por tanto, general</w:t>
      </w:r>
      <w:r w:rsidR="00A904F8" w:rsidRPr="009D39D5">
        <w:rPr>
          <w:lang w:val="es-ES"/>
        </w:rPr>
        <w:t>mente</w:t>
      </w:r>
      <w:r w:rsidR="00536FFA" w:rsidRPr="009D39D5">
        <w:rPr>
          <w:lang w:val="es-ES"/>
        </w:rPr>
        <w:t xml:space="preserve"> solo </w:t>
      </w:r>
      <w:r w:rsidR="00A41534" w:rsidRPr="009D39D5">
        <w:rPr>
          <w:lang w:val="es-ES"/>
        </w:rPr>
        <w:t>tienen</w:t>
      </w:r>
      <w:r w:rsidR="00536FFA" w:rsidRPr="009D39D5">
        <w:rPr>
          <w:lang w:val="es-ES"/>
        </w:rPr>
        <w:t xml:space="preserve"> vigen</w:t>
      </w:r>
      <w:r w:rsidR="00A41534" w:rsidRPr="009D39D5">
        <w:rPr>
          <w:lang w:val="es-ES"/>
        </w:rPr>
        <w:t>cia</w:t>
      </w:r>
      <w:r w:rsidR="00536FFA" w:rsidRPr="009D39D5">
        <w:rPr>
          <w:lang w:val="es-ES"/>
        </w:rPr>
        <w:t xml:space="preserve"> a nivel local</w:t>
      </w:r>
      <w:r w:rsidR="00647F99" w:rsidRPr="009D39D5">
        <w:rPr>
          <w:lang w:val="es-ES"/>
        </w:rPr>
        <w:t xml:space="preserve"> (o regional)</w:t>
      </w:r>
      <w:r w:rsidR="00FF32BB" w:rsidRPr="009D39D5">
        <w:rPr>
          <w:lang w:val="es-ES"/>
        </w:rPr>
        <w:t xml:space="preserve">;  </w:t>
      </w:r>
      <w:r w:rsidR="00536FFA" w:rsidRPr="009D39D5">
        <w:rPr>
          <w:lang w:val="es-ES"/>
        </w:rPr>
        <w:t>y los derechos de P.I. suelen existir de forma paralela en distintas jurisdicciones, cada un</w:t>
      </w:r>
      <w:r w:rsidR="00A41534" w:rsidRPr="009D39D5">
        <w:rPr>
          <w:lang w:val="es-ES"/>
        </w:rPr>
        <w:t>a con</w:t>
      </w:r>
      <w:r w:rsidR="00536FFA" w:rsidRPr="009D39D5">
        <w:rPr>
          <w:lang w:val="es-ES"/>
        </w:rPr>
        <w:t xml:space="preserve"> su </w:t>
      </w:r>
      <w:r w:rsidR="00A41534" w:rsidRPr="009D39D5">
        <w:rPr>
          <w:lang w:val="es-ES"/>
        </w:rPr>
        <w:t xml:space="preserve">derecho sustantivo </w:t>
      </w:r>
      <w:r w:rsidR="00536FFA" w:rsidRPr="009D39D5">
        <w:rPr>
          <w:lang w:val="es-ES"/>
        </w:rPr>
        <w:t>relativ</w:t>
      </w:r>
      <w:r w:rsidR="00A41534" w:rsidRPr="009D39D5">
        <w:rPr>
          <w:lang w:val="es-ES"/>
        </w:rPr>
        <w:t>o</w:t>
      </w:r>
      <w:r w:rsidR="00536FFA" w:rsidRPr="009D39D5">
        <w:rPr>
          <w:lang w:val="es-ES"/>
        </w:rPr>
        <w:t xml:space="preserve"> a la P.I. </w:t>
      </w:r>
      <w:r w:rsidR="00A41534" w:rsidRPr="009D39D5">
        <w:rPr>
          <w:lang w:val="es-ES"/>
        </w:rPr>
        <w:t>y</w:t>
      </w:r>
      <w:r w:rsidR="00536FFA" w:rsidRPr="009D39D5">
        <w:rPr>
          <w:lang w:val="es-ES"/>
        </w:rPr>
        <w:t xml:space="preserve"> con sus propios tribunales nacionales y </w:t>
      </w:r>
      <w:r w:rsidR="00536FFA" w:rsidRPr="009D39D5">
        <w:rPr>
          <w:lang w:val="es-ES"/>
        </w:rPr>
        <w:lastRenderedPageBreak/>
        <w:t xml:space="preserve">oficinas de propiedad </w:t>
      </w:r>
      <w:r w:rsidR="00647F99" w:rsidRPr="009D39D5">
        <w:rPr>
          <w:lang w:val="es-ES"/>
        </w:rPr>
        <w:t>intelectual</w:t>
      </w:r>
      <w:r w:rsidR="00467E5E" w:rsidRPr="009D39D5">
        <w:rPr>
          <w:lang w:val="es-ES"/>
        </w:rPr>
        <w:t>,</w:t>
      </w:r>
      <w:r w:rsidR="00647F99" w:rsidRPr="009D39D5">
        <w:rPr>
          <w:lang w:val="es-ES"/>
        </w:rPr>
        <w:t xml:space="preserve"> </w:t>
      </w:r>
      <w:r w:rsidR="00536FFA" w:rsidRPr="009D39D5">
        <w:rPr>
          <w:lang w:val="es-ES"/>
        </w:rPr>
        <w:t>en l</w:t>
      </w:r>
      <w:r w:rsidR="00467E5E" w:rsidRPr="009D39D5">
        <w:rPr>
          <w:lang w:val="es-ES"/>
        </w:rPr>
        <w:t>os</w:t>
      </w:r>
      <w:r w:rsidR="00536FFA" w:rsidRPr="009D39D5">
        <w:rPr>
          <w:lang w:val="es-ES"/>
        </w:rPr>
        <w:t xml:space="preserve"> que se puede hacer valer esos derechos o ponerlos en entredicho</w:t>
      </w:r>
      <w:r w:rsidR="00647F99" w:rsidRPr="009D39D5">
        <w:rPr>
          <w:lang w:val="es-ES"/>
        </w:rPr>
        <w:t>.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536FFA" w:rsidRPr="009D39D5">
        <w:rPr>
          <w:lang w:val="es-ES"/>
        </w:rPr>
        <w:t>La naturaleza</w:t>
      </w:r>
      <w:r w:rsidR="00647F99" w:rsidRPr="009D39D5">
        <w:rPr>
          <w:lang w:val="es-ES"/>
        </w:rPr>
        <w:t xml:space="preserve"> territorial </w:t>
      </w:r>
      <w:r w:rsidR="00536FFA" w:rsidRPr="009D39D5">
        <w:rPr>
          <w:lang w:val="es-ES"/>
        </w:rPr>
        <w:t>de la P.I. tiene consecuencias i</w:t>
      </w:r>
      <w:r w:rsidR="00647F99" w:rsidRPr="009D39D5">
        <w:rPr>
          <w:lang w:val="es-ES"/>
        </w:rPr>
        <w:t>mportant</w:t>
      </w:r>
      <w:r w:rsidR="00536FFA" w:rsidRPr="009D39D5">
        <w:rPr>
          <w:lang w:val="es-ES"/>
        </w:rPr>
        <w:t xml:space="preserve">es desde </w:t>
      </w:r>
      <w:r w:rsidR="00467E5E" w:rsidRPr="009D39D5">
        <w:rPr>
          <w:lang w:val="es-ES"/>
        </w:rPr>
        <w:t>la</w:t>
      </w:r>
      <w:r w:rsidR="00536FFA" w:rsidRPr="009D39D5">
        <w:rPr>
          <w:lang w:val="es-ES"/>
        </w:rPr>
        <w:t xml:space="preserve"> perspectiva de</w:t>
      </w:r>
      <w:r w:rsidR="00467E5E" w:rsidRPr="009D39D5">
        <w:rPr>
          <w:lang w:val="es-ES"/>
        </w:rPr>
        <w:t>l</w:t>
      </w:r>
      <w:r w:rsidR="00536FFA" w:rsidRPr="009D39D5">
        <w:rPr>
          <w:lang w:val="es-ES"/>
        </w:rPr>
        <w:t xml:space="preserve"> procedimiento </w:t>
      </w:r>
      <w:r w:rsidR="00467E5E" w:rsidRPr="009D39D5">
        <w:rPr>
          <w:lang w:val="es-ES"/>
        </w:rPr>
        <w:t>encaminado a</w:t>
      </w:r>
      <w:r w:rsidR="00536FFA" w:rsidRPr="009D39D5">
        <w:rPr>
          <w:lang w:val="es-ES"/>
        </w:rPr>
        <w:t xml:space="preserve"> la solución de </w:t>
      </w:r>
      <w:r w:rsidR="00A904F8" w:rsidRPr="009D39D5">
        <w:rPr>
          <w:lang w:val="es-ES"/>
        </w:rPr>
        <w:t xml:space="preserve">un número creciente </w:t>
      </w:r>
      <w:r w:rsidR="00536FFA" w:rsidRPr="009D39D5">
        <w:rPr>
          <w:lang w:val="es-ES"/>
        </w:rPr>
        <w:t xml:space="preserve">de controversias </w:t>
      </w:r>
      <w:r w:rsidR="00467E5E" w:rsidRPr="009D39D5">
        <w:rPr>
          <w:lang w:val="es-ES"/>
        </w:rPr>
        <w:t>con</w:t>
      </w:r>
      <w:r w:rsidR="00536FFA" w:rsidRPr="009D39D5">
        <w:rPr>
          <w:lang w:val="es-ES"/>
        </w:rPr>
        <w:t xml:space="preserve"> dimensión </w:t>
      </w:r>
      <w:r w:rsidR="00647F99" w:rsidRPr="009D39D5">
        <w:rPr>
          <w:lang w:val="es-ES"/>
        </w:rPr>
        <w:t>interna</w:t>
      </w:r>
      <w:r w:rsidR="00536FFA" w:rsidRPr="009D39D5">
        <w:rPr>
          <w:lang w:val="es-ES"/>
        </w:rPr>
        <w:t>c</w:t>
      </w:r>
      <w:r w:rsidR="00822D04">
        <w:rPr>
          <w:lang w:val="es-ES"/>
        </w:rPr>
        <w:t>ional</w:t>
      </w:r>
      <w:r w:rsidR="00647F99" w:rsidRPr="009D39D5">
        <w:rPr>
          <w:lang w:val="es-ES"/>
        </w:rPr>
        <w:t xml:space="preserve"> </w:t>
      </w:r>
      <w:r w:rsidR="00536FFA" w:rsidRPr="009D39D5">
        <w:rPr>
          <w:lang w:val="es-ES"/>
        </w:rPr>
        <w:t>y que</w:t>
      </w:r>
      <w:r w:rsidR="00467E5E" w:rsidRPr="009D39D5">
        <w:rPr>
          <w:lang w:val="es-ES"/>
        </w:rPr>
        <w:t>, por tanto,</w:t>
      </w:r>
      <w:r w:rsidR="00536FFA" w:rsidRPr="009D39D5">
        <w:rPr>
          <w:lang w:val="es-ES"/>
        </w:rPr>
        <w:t xml:space="preserve"> </w:t>
      </w:r>
      <w:r w:rsidR="00467E5E" w:rsidRPr="009D39D5">
        <w:rPr>
          <w:lang w:val="es-ES"/>
        </w:rPr>
        <w:t>atañen</w:t>
      </w:r>
      <w:r w:rsidR="00536FFA" w:rsidRPr="009D39D5">
        <w:rPr>
          <w:lang w:val="es-ES"/>
        </w:rPr>
        <w:t xml:space="preserve"> forzosamente a derechos de P.I. </w:t>
      </w:r>
      <w:r w:rsidR="00467E5E" w:rsidRPr="009D39D5">
        <w:rPr>
          <w:lang w:val="es-ES"/>
        </w:rPr>
        <w:t xml:space="preserve">paralelos </w:t>
      </w:r>
      <w:r w:rsidR="00366C62" w:rsidRPr="009D39D5">
        <w:rPr>
          <w:lang w:val="es-ES"/>
        </w:rPr>
        <w:t>existen</w:t>
      </w:r>
      <w:r w:rsidR="00467E5E" w:rsidRPr="009D39D5">
        <w:rPr>
          <w:lang w:val="es-ES"/>
        </w:rPr>
        <w:t>tes</w:t>
      </w:r>
      <w:r w:rsidR="00366C62" w:rsidRPr="009D39D5">
        <w:rPr>
          <w:lang w:val="es-ES"/>
        </w:rPr>
        <w:t xml:space="preserve"> en múltiples j</w:t>
      </w:r>
      <w:r w:rsidR="00647F99" w:rsidRPr="009D39D5">
        <w:rPr>
          <w:lang w:val="es-ES"/>
        </w:rPr>
        <w:t>urisdic</w:t>
      </w:r>
      <w:r w:rsidR="00366C62" w:rsidRPr="009D39D5">
        <w:rPr>
          <w:lang w:val="es-ES"/>
        </w:rPr>
        <w:t xml:space="preserve">ciones y </w:t>
      </w:r>
      <w:r w:rsidR="00467E5E" w:rsidRPr="009D39D5">
        <w:rPr>
          <w:lang w:val="es-ES"/>
        </w:rPr>
        <w:t xml:space="preserve">que </w:t>
      </w:r>
      <w:r w:rsidR="00A52B59">
        <w:rPr>
          <w:lang w:val="es-ES"/>
        </w:rPr>
        <w:t>se rigen</w:t>
      </w:r>
      <w:r w:rsidR="00366C62" w:rsidRPr="009D39D5">
        <w:rPr>
          <w:lang w:val="es-ES"/>
        </w:rPr>
        <w:t xml:space="preserve"> </w:t>
      </w:r>
      <w:r w:rsidR="00467E5E" w:rsidRPr="009D39D5">
        <w:rPr>
          <w:lang w:val="es-ES"/>
        </w:rPr>
        <w:t>por</w:t>
      </w:r>
      <w:r w:rsidR="00366C62" w:rsidRPr="009D39D5">
        <w:rPr>
          <w:lang w:val="es-ES"/>
        </w:rPr>
        <w:t xml:space="preserve"> una amplia variedad de leyes diferentes.</w:t>
      </w:r>
      <w:r w:rsidR="00647F99" w:rsidRPr="009D39D5">
        <w:rPr>
          <w:lang w:val="es-ES"/>
        </w:rPr>
        <w:t xml:space="preserve">  </w:t>
      </w:r>
      <w:r w:rsidR="00A93EDF" w:rsidRPr="009D39D5">
        <w:rPr>
          <w:lang w:val="es-ES"/>
        </w:rPr>
        <w:t xml:space="preserve">Ello se debe, en gran medida, a que los sistemas judiciales nacionales no son capaces de solucionar esas controversias sobre una base internacional, incapacidad que es fruto de la naturaleza territorial de esos derechos, lo </w:t>
      </w:r>
      <w:r w:rsidR="00467E5E" w:rsidRPr="009D39D5">
        <w:rPr>
          <w:lang w:val="es-ES"/>
        </w:rPr>
        <w:t>cual conlleva la reticencia de l</w:t>
      </w:r>
      <w:r w:rsidR="00A93EDF" w:rsidRPr="009D39D5">
        <w:rPr>
          <w:lang w:val="es-ES"/>
        </w:rPr>
        <w:t xml:space="preserve">os tribunales a </w:t>
      </w:r>
      <w:r w:rsidR="00BF2548" w:rsidRPr="009D39D5">
        <w:rPr>
          <w:lang w:val="es-ES"/>
        </w:rPr>
        <w:t>emitir dictámenes</w:t>
      </w:r>
      <w:r w:rsidR="00A93EDF" w:rsidRPr="009D39D5">
        <w:rPr>
          <w:lang w:val="es-ES"/>
        </w:rPr>
        <w:t xml:space="preserve"> al respecto.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435C1D" w:rsidRPr="009D39D5">
        <w:rPr>
          <w:lang w:val="es-ES"/>
        </w:rPr>
        <w:t>Sin embargo, e</w:t>
      </w:r>
      <w:r w:rsidR="00467E5E" w:rsidRPr="009D39D5">
        <w:rPr>
          <w:lang w:val="es-ES"/>
        </w:rPr>
        <w:t>ste factor</w:t>
      </w:r>
      <w:r w:rsidR="00435C1D" w:rsidRPr="009D39D5">
        <w:rPr>
          <w:lang w:val="es-ES"/>
        </w:rPr>
        <w:t xml:space="preserve"> no constituye un impedimento para </w:t>
      </w:r>
      <w:r w:rsidR="00467E5E" w:rsidRPr="009D39D5">
        <w:rPr>
          <w:lang w:val="es-ES"/>
        </w:rPr>
        <w:t>el</w:t>
      </w:r>
      <w:r w:rsidR="00C32EAC" w:rsidRPr="009D39D5">
        <w:rPr>
          <w:lang w:val="es-ES"/>
        </w:rPr>
        <w:t xml:space="preserve"> </w:t>
      </w:r>
      <w:r w:rsidR="00435C1D" w:rsidRPr="009D39D5">
        <w:rPr>
          <w:lang w:val="es-ES"/>
        </w:rPr>
        <w:t xml:space="preserve">arbitraje internacional </w:t>
      </w:r>
      <w:r w:rsidR="00C32EAC" w:rsidRPr="009D39D5">
        <w:rPr>
          <w:lang w:val="es-ES"/>
        </w:rPr>
        <w:t>en relación con</w:t>
      </w:r>
      <w:r w:rsidR="00435C1D" w:rsidRPr="009D39D5">
        <w:rPr>
          <w:lang w:val="es-ES"/>
        </w:rPr>
        <w:t xml:space="preserve"> </w:t>
      </w:r>
      <w:r w:rsidR="00467E5E" w:rsidRPr="009D39D5">
        <w:rPr>
          <w:lang w:val="es-ES"/>
        </w:rPr>
        <w:t>la</w:t>
      </w:r>
      <w:r w:rsidR="00435C1D" w:rsidRPr="009D39D5">
        <w:rPr>
          <w:lang w:val="es-ES"/>
        </w:rPr>
        <w:t xml:space="preserve"> P.I.</w:t>
      </w:r>
      <w:r w:rsidR="00647F99" w:rsidRPr="009D39D5">
        <w:rPr>
          <w:lang w:val="es-ES"/>
        </w:rPr>
        <w:t xml:space="preserve">  </w:t>
      </w:r>
      <w:r w:rsidR="00435C1D" w:rsidRPr="009D39D5">
        <w:rPr>
          <w:lang w:val="es-ES"/>
        </w:rPr>
        <w:t xml:space="preserve">De hecho, </w:t>
      </w:r>
      <w:r w:rsidR="00467E5E" w:rsidRPr="009D39D5">
        <w:rPr>
          <w:lang w:val="es-ES"/>
        </w:rPr>
        <w:t xml:space="preserve">en este </w:t>
      </w:r>
      <w:r w:rsidR="00435C1D" w:rsidRPr="009D39D5">
        <w:rPr>
          <w:lang w:val="es-ES"/>
        </w:rPr>
        <w:t>arbitraje</w:t>
      </w:r>
      <w:r w:rsidR="00647F99" w:rsidRPr="009D39D5">
        <w:rPr>
          <w:lang w:val="es-ES"/>
        </w:rPr>
        <w:t xml:space="preserve"> </w:t>
      </w:r>
      <w:r w:rsidR="00467E5E" w:rsidRPr="009D39D5">
        <w:rPr>
          <w:lang w:val="es-ES"/>
        </w:rPr>
        <w:t xml:space="preserve">se suele tener en cuenta </w:t>
      </w:r>
      <w:r w:rsidR="00435C1D" w:rsidRPr="009D39D5">
        <w:rPr>
          <w:lang w:val="es-ES"/>
        </w:rPr>
        <w:t xml:space="preserve">no solo la legislación del acuerdo de arbitraje propiamente dicho y de la sede del arbitraje, </w:t>
      </w:r>
      <w:r w:rsidR="0028256E" w:rsidRPr="009D39D5">
        <w:rPr>
          <w:lang w:val="es-ES"/>
        </w:rPr>
        <w:t>como s</w:t>
      </w:r>
      <w:r w:rsidR="00467E5E" w:rsidRPr="009D39D5">
        <w:rPr>
          <w:lang w:val="es-ES"/>
        </w:rPr>
        <w:t>e acostumbra</w:t>
      </w:r>
      <w:r w:rsidR="0028256E" w:rsidRPr="009D39D5">
        <w:rPr>
          <w:lang w:val="es-ES"/>
        </w:rPr>
        <w:t xml:space="preserve"> en el arbitraje </w:t>
      </w:r>
      <w:r w:rsidR="00647F99" w:rsidRPr="009D39D5">
        <w:rPr>
          <w:lang w:val="es-ES"/>
        </w:rPr>
        <w:t>interna</w:t>
      </w:r>
      <w:r w:rsidR="0028256E" w:rsidRPr="009D39D5">
        <w:rPr>
          <w:lang w:val="es-ES"/>
        </w:rPr>
        <w:t>c</w:t>
      </w:r>
      <w:r w:rsidR="00647F99" w:rsidRPr="009D39D5">
        <w:rPr>
          <w:lang w:val="es-ES"/>
        </w:rPr>
        <w:t xml:space="preserve">ional, </w:t>
      </w:r>
      <w:r w:rsidR="0028256E" w:rsidRPr="009D39D5">
        <w:rPr>
          <w:lang w:val="es-ES"/>
        </w:rPr>
        <w:t xml:space="preserve">sino también la legislación </w:t>
      </w:r>
      <w:r w:rsidR="00647F99" w:rsidRPr="009D39D5">
        <w:rPr>
          <w:lang w:val="es-ES"/>
        </w:rPr>
        <w:t xml:space="preserve">aplicable </w:t>
      </w:r>
      <w:r w:rsidR="0028256E" w:rsidRPr="009D39D5">
        <w:rPr>
          <w:lang w:val="es-ES"/>
        </w:rPr>
        <w:t xml:space="preserve">al fondo de la controversia, a saber la ley o leyes en virtud de las cuales se decidirá </w:t>
      </w:r>
      <w:r w:rsidR="00467E5E" w:rsidRPr="009D39D5">
        <w:rPr>
          <w:lang w:val="es-ES"/>
        </w:rPr>
        <w:t>lo esencial, o sea</w:t>
      </w:r>
      <w:r w:rsidR="0028256E" w:rsidRPr="009D39D5">
        <w:rPr>
          <w:lang w:val="es-ES"/>
        </w:rPr>
        <w:t xml:space="preserve"> la infracción y</w:t>
      </w:r>
      <w:r w:rsidR="00647F99" w:rsidRPr="009D39D5">
        <w:rPr>
          <w:lang w:val="es-ES"/>
        </w:rPr>
        <w:t>/o</w:t>
      </w:r>
      <w:r w:rsidR="0028256E" w:rsidRPr="009D39D5">
        <w:rPr>
          <w:lang w:val="es-ES"/>
        </w:rPr>
        <w:t xml:space="preserve"> la validez del derecho de P.I. de que se trate</w:t>
      </w:r>
      <w:r w:rsidR="00647F99" w:rsidRPr="009D39D5">
        <w:rPr>
          <w:lang w:val="es-ES"/>
        </w:rPr>
        <w:t>.</w:t>
      </w:r>
    </w:p>
    <w:p w:rsidR="007D6EA3" w:rsidRPr="009D39D5" w:rsidRDefault="007D6EA3" w:rsidP="008A3947">
      <w:pPr>
        <w:rPr>
          <w:lang w:val="es-ES"/>
        </w:rPr>
      </w:pPr>
    </w:p>
    <w:p w:rsidR="00647F99" w:rsidRPr="009D39D5" w:rsidRDefault="00467E5E" w:rsidP="008A3947">
      <w:pPr>
        <w:numPr>
          <w:ilvl w:val="0"/>
          <w:numId w:val="9"/>
        </w:numPr>
        <w:ind w:left="1134" w:hanging="567"/>
        <w:rPr>
          <w:lang w:val="es-ES"/>
        </w:rPr>
      </w:pPr>
      <w:r w:rsidRPr="009D39D5">
        <w:rPr>
          <w:lang w:val="es-ES"/>
        </w:rPr>
        <w:t>La</w:t>
      </w:r>
      <w:r w:rsidR="0028256E" w:rsidRPr="009D39D5">
        <w:rPr>
          <w:lang w:val="es-ES"/>
        </w:rPr>
        <w:t xml:space="preserve"> </w:t>
      </w:r>
      <w:r w:rsidR="00A23EF7">
        <w:rPr>
          <w:lang w:val="es-ES"/>
        </w:rPr>
        <w:t xml:space="preserve">fuerza </w:t>
      </w:r>
      <w:r w:rsidR="0028256E" w:rsidRPr="009D39D5">
        <w:rPr>
          <w:lang w:val="es-ES"/>
        </w:rPr>
        <w:t>ejecu</w:t>
      </w:r>
      <w:r w:rsidR="00A23EF7">
        <w:rPr>
          <w:lang w:val="es-ES"/>
        </w:rPr>
        <w:t>toria</w:t>
      </w:r>
      <w:r w:rsidR="0028256E" w:rsidRPr="009D39D5">
        <w:rPr>
          <w:lang w:val="es-ES"/>
        </w:rPr>
        <w:t xml:space="preserve"> </w:t>
      </w:r>
      <w:r w:rsidR="00CE68B8">
        <w:rPr>
          <w:lang w:val="es-ES"/>
        </w:rPr>
        <w:t xml:space="preserve">a nivel </w:t>
      </w:r>
      <w:r w:rsidR="00CE68B8" w:rsidRPr="009D39D5">
        <w:rPr>
          <w:lang w:val="es-ES"/>
        </w:rPr>
        <w:t xml:space="preserve">internacional </w:t>
      </w:r>
      <w:r w:rsidR="0028256E" w:rsidRPr="009D39D5">
        <w:rPr>
          <w:lang w:val="es-ES"/>
        </w:rPr>
        <w:t>de los laudos arbitrales</w:t>
      </w:r>
      <w:r w:rsidR="00CE68B8" w:rsidRPr="00CE68B8">
        <w:rPr>
          <w:lang w:val="es-ES"/>
        </w:rPr>
        <w:t xml:space="preserve"> </w:t>
      </w:r>
    </w:p>
    <w:p w:rsidR="0074328A" w:rsidRPr="009D39D5" w:rsidRDefault="0074328A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9F06AF" w:rsidRPr="009D39D5">
        <w:rPr>
          <w:lang w:val="es-ES"/>
        </w:rPr>
        <w:t xml:space="preserve">De las diversas formas de solución extrajudicial de controversias analizadas, se puede afirmar que únicamente el arbitraje tiene un marco reglamentario internacional </w:t>
      </w:r>
      <w:r w:rsidR="00467E5E" w:rsidRPr="009D39D5">
        <w:rPr>
          <w:lang w:val="es-ES"/>
        </w:rPr>
        <w:t>vigente que</w:t>
      </w:r>
      <w:r w:rsidR="009F06AF" w:rsidRPr="009D39D5">
        <w:rPr>
          <w:lang w:val="es-ES"/>
        </w:rPr>
        <w:t xml:space="preserve"> permite la ejecución de los laudos arbitrales extranjeros a nivel local</w:t>
      </w:r>
      <w:r w:rsidR="00647F99" w:rsidRPr="009D39D5">
        <w:rPr>
          <w:lang w:val="es-ES"/>
        </w:rPr>
        <w:t xml:space="preserve">.  </w:t>
      </w:r>
      <w:r w:rsidR="00151A6E" w:rsidRPr="009D39D5">
        <w:rPr>
          <w:lang w:val="es-ES"/>
        </w:rPr>
        <w:t>En cambio</w:t>
      </w:r>
      <w:r w:rsidR="009F06AF" w:rsidRPr="009D39D5">
        <w:rPr>
          <w:lang w:val="es-ES"/>
        </w:rPr>
        <w:t>, no hay ningún convenio internacional</w:t>
      </w:r>
      <w:r w:rsidR="00647F99" w:rsidRPr="009D39D5">
        <w:rPr>
          <w:lang w:val="es-ES"/>
        </w:rPr>
        <w:t xml:space="preserve"> </w:t>
      </w:r>
      <w:r w:rsidR="009F06AF" w:rsidRPr="009D39D5">
        <w:rPr>
          <w:lang w:val="es-ES"/>
        </w:rPr>
        <w:t xml:space="preserve">que </w:t>
      </w:r>
      <w:r w:rsidR="00467E5E" w:rsidRPr="009D39D5">
        <w:rPr>
          <w:lang w:val="es-ES"/>
        </w:rPr>
        <w:t xml:space="preserve">haga posible </w:t>
      </w:r>
      <w:r w:rsidR="009F06AF" w:rsidRPr="009D39D5">
        <w:rPr>
          <w:lang w:val="es-ES"/>
        </w:rPr>
        <w:t xml:space="preserve">el cumplimiento de los mandatos judiciales extranjeros a </w:t>
      </w:r>
      <w:r w:rsidR="00467E5E" w:rsidRPr="009D39D5">
        <w:rPr>
          <w:lang w:val="es-ES"/>
        </w:rPr>
        <w:t>escala</w:t>
      </w:r>
      <w:r w:rsidR="009F06AF" w:rsidRPr="009D39D5">
        <w:rPr>
          <w:lang w:val="es-ES"/>
        </w:rPr>
        <w:t xml:space="preserve"> local</w:t>
      </w:r>
      <w:r w:rsidR="00647F99" w:rsidRPr="009D39D5">
        <w:rPr>
          <w:lang w:val="es-ES"/>
        </w:rPr>
        <w:t>.</w:t>
      </w:r>
    </w:p>
    <w:p w:rsidR="001F66FC" w:rsidRPr="009D39D5" w:rsidRDefault="001F66FC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467E5E" w:rsidRPr="009D39D5">
        <w:rPr>
          <w:lang w:val="es-ES"/>
        </w:rPr>
        <w:t>La</w:t>
      </w:r>
      <w:r w:rsidR="003D60A8" w:rsidRPr="009D39D5">
        <w:rPr>
          <w:lang w:val="es-ES"/>
        </w:rPr>
        <w:t xml:space="preserve"> experiencia </w:t>
      </w:r>
      <w:r w:rsidR="00467E5E" w:rsidRPr="009D39D5">
        <w:rPr>
          <w:lang w:val="es-ES"/>
        </w:rPr>
        <w:t xml:space="preserve">práctica </w:t>
      </w:r>
      <w:r w:rsidR="003D60A8" w:rsidRPr="009D39D5">
        <w:rPr>
          <w:lang w:val="es-ES"/>
        </w:rPr>
        <w:t xml:space="preserve">del Centro de Arbitraje y Mediación de la OMPI </w:t>
      </w:r>
      <w:r w:rsidR="00467E5E" w:rsidRPr="009D39D5">
        <w:rPr>
          <w:lang w:val="es-ES"/>
        </w:rPr>
        <w:t xml:space="preserve">ha sido </w:t>
      </w:r>
      <w:r w:rsidR="003D60A8" w:rsidRPr="009D39D5">
        <w:rPr>
          <w:lang w:val="es-ES"/>
        </w:rPr>
        <w:t xml:space="preserve">que </w:t>
      </w:r>
      <w:r w:rsidR="00651723" w:rsidRPr="009D39D5">
        <w:rPr>
          <w:lang w:val="es-ES"/>
        </w:rPr>
        <w:t xml:space="preserve">la mayoría de los laudos arbitrales se </w:t>
      </w:r>
      <w:r w:rsidR="003D60A8" w:rsidRPr="009D39D5">
        <w:rPr>
          <w:lang w:val="es-ES"/>
        </w:rPr>
        <w:t>ejecuta de forma voluntaria</w:t>
      </w:r>
      <w:r w:rsidR="00FF32BB" w:rsidRPr="009D39D5">
        <w:rPr>
          <w:lang w:val="es-ES"/>
        </w:rPr>
        <w:t xml:space="preserve">.  </w:t>
      </w:r>
      <w:r w:rsidR="003D60A8" w:rsidRPr="009D39D5">
        <w:rPr>
          <w:lang w:val="es-ES"/>
        </w:rPr>
        <w:t xml:space="preserve">Sin embargo, </w:t>
      </w:r>
      <w:r w:rsidR="00651723" w:rsidRPr="009D39D5">
        <w:rPr>
          <w:lang w:val="es-ES"/>
        </w:rPr>
        <w:t>cuando</w:t>
      </w:r>
      <w:r w:rsidR="003D60A8" w:rsidRPr="009D39D5">
        <w:rPr>
          <w:lang w:val="es-ES"/>
        </w:rPr>
        <w:t xml:space="preserve"> se comprueba que es necesari</w:t>
      </w:r>
      <w:r w:rsidR="00651723" w:rsidRPr="009D39D5">
        <w:rPr>
          <w:lang w:val="es-ES"/>
        </w:rPr>
        <w:t>o hacerlos respetar</w:t>
      </w:r>
      <w:r w:rsidR="003D60A8" w:rsidRPr="009D39D5">
        <w:rPr>
          <w:lang w:val="es-ES"/>
        </w:rPr>
        <w:t xml:space="preserve">, las partes han de </w:t>
      </w:r>
      <w:r w:rsidR="00651723" w:rsidRPr="009D39D5">
        <w:rPr>
          <w:lang w:val="es-ES"/>
        </w:rPr>
        <w:t xml:space="preserve">recurrir a </w:t>
      </w:r>
      <w:r w:rsidR="003D60A8" w:rsidRPr="009D39D5">
        <w:rPr>
          <w:lang w:val="es-ES"/>
        </w:rPr>
        <w:t xml:space="preserve">los tribunales nacionales de los países en los que </w:t>
      </w:r>
      <w:r w:rsidR="00651723" w:rsidRPr="009D39D5">
        <w:rPr>
          <w:lang w:val="es-ES"/>
        </w:rPr>
        <w:t>desean</w:t>
      </w:r>
      <w:r w:rsidR="003D60A8" w:rsidRPr="009D39D5">
        <w:rPr>
          <w:lang w:val="es-ES"/>
        </w:rPr>
        <w:t xml:space="preserve"> que se </w:t>
      </w:r>
      <w:r w:rsidR="00651723" w:rsidRPr="009D39D5">
        <w:rPr>
          <w:lang w:val="es-ES"/>
        </w:rPr>
        <w:t>ejecute</w:t>
      </w:r>
      <w:r w:rsidR="003D60A8" w:rsidRPr="009D39D5">
        <w:rPr>
          <w:lang w:val="es-ES"/>
        </w:rPr>
        <w:t xml:space="preserve"> el laudo arbitral</w:t>
      </w:r>
      <w:r w:rsidR="00FF32BB" w:rsidRPr="009D39D5">
        <w:rPr>
          <w:lang w:val="es-ES"/>
        </w:rPr>
        <w:t xml:space="preserve">.  </w:t>
      </w:r>
      <w:r w:rsidR="003D60A8" w:rsidRPr="009D39D5">
        <w:rPr>
          <w:lang w:val="es-ES"/>
        </w:rPr>
        <w:t xml:space="preserve">Las partes pueden tomar como base el marco jurídico uniforme establecido </w:t>
      </w:r>
      <w:r w:rsidR="00A52B59">
        <w:rPr>
          <w:lang w:val="es-ES"/>
        </w:rPr>
        <w:t xml:space="preserve">a nivel </w:t>
      </w:r>
      <w:r w:rsidR="00A52B59" w:rsidRPr="009D39D5">
        <w:rPr>
          <w:lang w:val="es-ES"/>
        </w:rPr>
        <w:t xml:space="preserve">internacional </w:t>
      </w:r>
      <w:r w:rsidR="003D60A8" w:rsidRPr="009D39D5">
        <w:rPr>
          <w:lang w:val="es-ES"/>
        </w:rPr>
        <w:t xml:space="preserve">por </w:t>
      </w:r>
      <w:r w:rsidR="009830B1" w:rsidRPr="009D39D5">
        <w:rPr>
          <w:lang w:val="es-ES"/>
        </w:rPr>
        <w:t xml:space="preserve">la Convención de Nueva </w:t>
      </w:r>
      <w:r w:rsidR="00647F99" w:rsidRPr="009D39D5">
        <w:rPr>
          <w:lang w:val="es-ES"/>
        </w:rPr>
        <w:t xml:space="preserve">York </w:t>
      </w:r>
      <w:r w:rsidR="009830B1" w:rsidRPr="009D39D5">
        <w:rPr>
          <w:lang w:val="es-ES"/>
        </w:rPr>
        <w:t>para la ejecución de las sentencias arbitrales extranjeras</w:t>
      </w:r>
      <w:r w:rsidR="00647F99" w:rsidRPr="009D39D5">
        <w:rPr>
          <w:lang w:val="es-ES"/>
        </w:rPr>
        <w:t xml:space="preserve">, </w:t>
      </w:r>
      <w:r w:rsidR="00651723" w:rsidRPr="009D39D5">
        <w:rPr>
          <w:lang w:val="es-ES"/>
        </w:rPr>
        <w:t xml:space="preserve">que </w:t>
      </w:r>
      <w:r w:rsidR="001F66FC" w:rsidRPr="009D39D5">
        <w:rPr>
          <w:lang w:val="es-ES"/>
        </w:rPr>
        <w:t>son aquellas que se pretende ejecutar en un Estado distinto del Estado de</w:t>
      </w:r>
      <w:r w:rsidR="00BF2548" w:rsidRPr="009D39D5">
        <w:rPr>
          <w:lang w:val="es-ES"/>
        </w:rPr>
        <w:t xml:space="preserve"> la sede</w:t>
      </w:r>
      <w:r w:rsidR="001F66FC" w:rsidRPr="009D39D5">
        <w:rPr>
          <w:lang w:val="es-ES"/>
        </w:rPr>
        <w:t xml:space="preserve"> de</w:t>
      </w:r>
      <w:r w:rsidR="00651723" w:rsidRPr="009D39D5">
        <w:rPr>
          <w:lang w:val="es-ES"/>
        </w:rPr>
        <w:t>l</w:t>
      </w:r>
      <w:r w:rsidR="001F66FC" w:rsidRPr="009D39D5">
        <w:rPr>
          <w:lang w:val="es-ES"/>
        </w:rPr>
        <w:t xml:space="preserve"> arbitraje</w:t>
      </w:r>
      <w:r w:rsidR="00647F99" w:rsidRPr="009D39D5">
        <w:rPr>
          <w:lang w:val="es-ES"/>
        </w:rPr>
        <w:t xml:space="preserve">.  </w:t>
      </w:r>
      <w:r w:rsidR="001F66FC" w:rsidRPr="009D39D5">
        <w:rPr>
          <w:lang w:val="es-ES"/>
        </w:rPr>
        <w:t>El tribunal al que se solicita que haga cumplir una sentencia de conformidad con la Convención de Nueva</w:t>
      </w:r>
      <w:r w:rsidR="00647F99" w:rsidRPr="009D39D5">
        <w:rPr>
          <w:lang w:val="es-ES"/>
        </w:rPr>
        <w:t xml:space="preserve"> York </w:t>
      </w:r>
      <w:r w:rsidR="001F66FC" w:rsidRPr="009D39D5">
        <w:rPr>
          <w:lang w:val="es-ES"/>
        </w:rPr>
        <w:t xml:space="preserve">no puede, por lo general, examinar el fondo de la sentencia, y </w:t>
      </w:r>
      <w:r w:rsidR="00651723" w:rsidRPr="009D39D5">
        <w:rPr>
          <w:lang w:val="es-ES"/>
        </w:rPr>
        <w:t xml:space="preserve">solo </w:t>
      </w:r>
      <w:r w:rsidR="001F66FC" w:rsidRPr="009D39D5">
        <w:rPr>
          <w:lang w:val="es-ES"/>
        </w:rPr>
        <w:t xml:space="preserve">puede denegar el reconocimiento y la ejecución sobre la base de uno o </w:t>
      </w:r>
      <w:r w:rsidR="00BF2548" w:rsidRPr="009D39D5">
        <w:rPr>
          <w:lang w:val="es-ES"/>
        </w:rPr>
        <w:t>varios</w:t>
      </w:r>
      <w:r w:rsidR="001F66FC" w:rsidRPr="009D39D5">
        <w:rPr>
          <w:lang w:val="es-ES"/>
        </w:rPr>
        <w:t xml:space="preserve"> de los motivos</w:t>
      </w:r>
      <w:r w:rsidR="00647F99" w:rsidRPr="009D39D5">
        <w:rPr>
          <w:lang w:val="es-ES"/>
        </w:rPr>
        <w:t xml:space="preserve"> </w:t>
      </w:r>
      <w:r w:rsidR="001F66FC" w:rsidRPr="009D39D5">
        <w:rPr>
          <w:lang w:val="es-ES"/>
        </w:rPr>
        <w:t xml:space="preserve">estipulados en el </w:t>
      </w:r>
      <w:r w:rsidR="00647F99" w:rsidRPr="009D39D5">
        <w:rPr>
          <w:lang w:val="es-ES"/>
        </w:rPr>
        <w:t>Art</w:t>
      </w:r>
      <w:r w:rsidR="001F66FC" w:rsidRPr="009D39D5">
        <w:rPr>
          <w:lang w:val="es-ES"/>
        </w:rPr>
        <w:t>ículo</w:t>
      </w:r>
      <w:r w:rsidR="00BF2548" w:rsidRPr="009D39D5">
        <w:rPr>
          <w:lang w:val="es-ES"/>
        </w:rPr>
        <w:t> </w:t>
      </w:r>
      <w:r w:rsidR="00647F99" w:rsidRPr="009D39D5">
        <w:rPr>
          <w:lang w:val="es-ES"/>
        </w:rPr>
        <w:t xml:space="preserve">V </w:t>
      </w:r>
      <w:r w:rsidR="001F66FC" w:rsidRPr="009D39D5">
        <w:rPr>
          <w:lang w:val="es-ES"/>
        </w:rPr>
        <w:t xml:space="preserve">de la </w:t>
      </w:r>
      <w:r w:rsidR="00647F99" w:rsidRPr="009D39D5">
        <w:rPr>
          <w:lang w:val="es-ES"/>
        </w:rPr>
        <w:t>Conven</w:t>
      </w:r>
      <w:r w:rsidR="001F66FC" w:rsidRPr="009D39D5">
        <w:rPr>
          <w:lang w:val="es-ES"/>
        </w:rPr>
        <w:t>ción</w:t>
      </w:r>
      <w:r w:rsidR="00647F99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472D38" w:rsidP="008A3947">
      <w:pPr>
        <w:numPr>
          <w:ilvl w:val="0"/>
          <w:numId w:val="9"/>
        </w:numPr>
        <w:ind w:left="1134" w:hanging="567"/>
        <w:rPr>
          <w:lang w:val="es-ES"/>
        </w:rPr>
      </w:pPr>
      <w:r w:rsidRPr="009D39D5">
        <w:rPr>
          <w:lang w:val="es-ES"/>
        </w:rPr>
        <w:t xml:space="preserve">Perspectivas nacionales </w:t>
      </w:r>
      <w:r w:rsidR="00BF2548" w:rsidRPr="009D39D5">
        <w:rPr>
          <w:lang w:val="es-ES"/>
        </w:rPr>
        <w:t>en cuanto a la posibilidad de someter a</w:t>
      </w:r>
      <w:r w:rsidR="00A93EDF" w:rsidRPr="009D39D5">
        <w:rPr>
          <w:lang w:val="es-ES"/>
        </w:rPr>
        <w:t xml:space="preserve"> arbitraje </w:t>
      </w:r>
      <w:r w:rsidR="00BF2548" w:rsidRPr="009D39D5">
        <w:rPr>
          <w:lang w:val="es-ES"/>
        </w:rPr>
        <w:t>las</w:t>
      </w:r>
      <w:r w:rsidR="00651723" w:rsidRPr="009D39D5">
        <w:rPr>
          <w:lang w:val="es-ES"/>
        </w:rPr>
        <w:t xml:space="preserve"> controversias </w:t>
      </w:r>
      <w:r w:rsidR="00BF2548" w:rsidRPr="009D39D5">
        <w:rPr>
          <w:lang w:val="es-ES"/>
        </w:rPr>
        <w:t xml:space="preserve">en materia </w:t>
      </w:r>
      <w:r w:rsidR="00651723" w:rsidRPr="009D39D5">
        <w:rPr>
          <w:lang w:val="es-ES"/>
        </w:rPr>
        <w:t>de</w:t>
      </w:r>
      <w:r w:rsidR="009A3C21" w:rsidRPr="009D39D5">
        <w:rPr>
          <w:lang w:val="es-ES"/>
        </w:rPr>
        <w:t xml:space="preserve"> P.I.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9A3C21" w:rsidRPr="009D39D5">
        <w:rPr>
          <w:lang w:val="es-ES"/>
        </w:rPr>
        <w:t>La legislación relativa a la P.I. de la mayoría de las jurisdicciones nacionales no se pronuncia sobre la relación entre la P.I. y el arbitraje</w:t>
      </w:r>
      <w:r w:rsidR="00FF32BB" w:rsidRPr="009D39D5">
        <w:rPr>
          <w:lang w:val="es-ES"/>
        </w:rPr>
        <w:t xml:space="preserve">.  </w:t>
      </w:r>
      <w:r w:rsidR="00651723" w:rsidRPr="009D39D5">
        <w:rPr>
          <w:lang w:val="es-ES"/>
        </w:rPr>
        <w:t>Solo e</w:t>
      </w:r>
      <w:r w:rsidR="009A3C21" w:rsidRPr="009D39D5">
        <w:rPr>
          <w:lang w:val="es-ES"/>
        </w:rPr>
        <w:t xml:space="preserve">n algunas leyes nacionales o regionales se </w:t>
      </w:r>
      <w:r w:rsidR="00651723" w:rsidRPr="009D39D5">
        <w:rPr>
          <w:lang w:val="es-ES"/>
        </w:rPr>
        <w:t>contempla</w:t>
      </w:r>
      <w:r w:rsidR="009A3C21" w:rsidRPr="009D39D5">
        <w:rPr>
          <w:lang w:val="es-ES"/>
        </w:rPr>
        <w:t xml:space="preserve"> específicamente el arbitraje de la</w:t>
      </w:r>
      <w:r w:rsidR="00C32EAC" w:rsidRPr="009D39D5">
        <w:rPr>
          <w:lang w:val="es-ES"/>
        </w:rPr>
        <w:t xml:space="preserve">s controversias </w:t>
      </w:r>
      <w:r w:rsidR="008F1FCE" w:rsidRPr="009D39D5">
        <w:rPr>
          <w:lang w:val="es-ES"/>
        </w:rPr>
        <w:t xml:space="preserve">en materia </w:t>
      </w:r>
      <w:r w:rsidR="00C32EAC" w:rsidRPr="009D39D5">
        <w:rPr>
          <w:lang w:val="es-ES"/>
        </w:rPr>
        <w:t xml:space="preserve">de </w:t>
      </w:r>
      <w:r w:rsidR="009A3C21" w:rsidRPr="009D39D5">
        <w:rPr>
          <w:lang w:val="es-ES"/>
        </w:rPr>
        <w:t>P.I</w:t>
      </w:r>
      <w:r w:rsidR="00FF32BB" w:rsidRPr="009D39D5">
        <w:rPr>
          <w:lang w:val="es-ES"/>
        </w:rPr>
        <w:t xml:space="preserve">.  </w:t>
      </w:r>
      <w:r w:rsidR="00647F99" w:rsidRPr="009D39D5">
        <w:rPr>
          <w:lang w:val="es-ES"/>
        </w:rPr>
        <w:t xml:space="preserve"> </w:t>
      </w:r>
      <w:r w:rsidR="009A3C21" w:rsidRPr="009D39D5">
        <w:rPr>
          <w:lang w:val="es-ES"/>
        </w:rPr>
        <w:t>Así, en los Estados Unidos de América se reconoce que las controversias relacionadas con patentes de ese país pueden someterse a arbitraje</w:t>
      </w:r>
      <w:r w:rsidR="00647F99" w:rsidRPr="009D39D5">
        <w:rPr>
          <w:lang w:val="es-ES"/>
        </w:rPr>
        <w:t xml:space="preserve">, </w:t>
      </w:r>
      <w:r w:rsidR="009A3C21" w:rsidRPr="009D39D5">
        <w:rPr>
          <w:lang w:val="es-ES"/>
        </w:rPr>
        <w:t xml:space="preserve">aunque solo </w:t>
      </w:r>
      <w:r w:rsidR="00651723" w:rsidRPr="009D39D5">
        <w:rPr>
          <w:lang w:val="es-ES"/>
        </w:rPr>
        <w:t>t</w:t>
      </w:r>
      <w:r w:rsidR="008F1FCE" w:rsidRPr="009D39D5">
        <w:rPr>
          <w:lang w:val="es-ES"/>
        </w:rPr>
        <w:t>endrá</w:t>
      </w:r>
      <w:r w:rsidR="00651723" w:rsidRPr="009D39D5">
        <w:rPr>
          <w:lang w:val="es-ES"/>
        </w:rPr>
        <w:t xml:space="preserve"> efecto </w:t>
      </w:r>
      <w:r w:rsidR="00651723" w:rsidRPr="009D39D5">
        <w:rPr>
          <w:i/>
          <w:lang w:val="es-ES"/>
        </w:rPr>
        <w:t>inter</w:t>
      </w:r>
      <w:r w:rsidR="009A3C21" w:rsidRPr="009D39D5">
        <w:rPr>
          <w:i/>
          <w:lang w:val="es-ES"/>
        </w:rPr>
        <w:t xml:space="preserve"> partes</w:t>
      </w:r>
      <w:r w:rsidR="00647F99" w:rsidRPr="009D39D5">
        <w:rPr>
          <w:lang w:val="es-ES"/>
        </w:rPr>
        <w:t xml:space="preserve">.  </w:t>
      </w:r>
      <w:r w:rsidR="00512393" w:rsidRPr="009D39D5">
        <w:rPr>
          <w:lang w:val="es-ES"/>
        </w:rPr>
        <w:t>En la Unión</w:t>
      </w:r>
      <w:r w:rsidR="00647F99" w:rsidRPr="009D39D5">
        <w:rPr>
          <w:lang w:val="es-ES"/>
        </w:rPr>
        <w:t xml:space="preserve"> Europea, </w:t>
      </w:r>
      <w:r w:rsidR="00512393" w:rsidRPr="009D39D5">
        <w:rPr>
          <w:lang w:val="es-ES"/>
        </w:rPr>
        <w:t>el Acuerdo sobre un tribunal unificado de patentes</w:t>
      </w:r>
      <w:r w:rsidR="00647F99" w:rsidRPr="009D39D5">
        <w:rPr>
          <w:lang w:val="es-ES"/>
        </w:rPr>
        <w:t xml:space="preserve"> </w:t>
      </w:r>
      <w:r w:rsidR="00512393" w:rsidRPr="009D39D5">
        <w:rPr>
          <w:lang w:val="es-ES"/>
        </w:rPr>
        <w:t xml:space="preserve">reconoce también que las controversias </w:t>
      </w:r>
      <w:r w:rsidR="008F1FCE" w:rsidRPr="009D39D5">
        <w:rPr>
          <w:lang w:val="es-ES"/>
        </w:rPr>
        <w:t>en materia de</w:t>
      </w:r>
      <w:r w:rsidR="00512393" w:rsidRPr="009D39D5">
        <w:rPr>
          <w:lang w:val="es-ES"/>
        </w:rPr>
        <w:t xml:space="preserve"> patentes pueden someterse a arbitraje </w:t>
      </w:r>
      <w:r w:rsidR="00651723" w:rsidRPr="009D39D5">
        <w:rPr>
          <w:lang w:val="es-ES"/>
        </w:rPr>
        <w:t xml:space="preserve">ya que </w:t>
      </w:r>
      <w:r w:rsidR="00512393" w:rsidRPr="009D39D5">
        <w:rPr>
          <w:lang w:val="es-ES"/>
        </w:rPr>
        <w:t xml:space="preserve">dispone el establecimiento del Centro de Mediación y Arbitraje en materia de Patentes con objeto de </w:t>
      </w:r>
      <w:r w:rsidR="00647F99" w:rsidRPr="009D39D5">
        <w:rPr>
          <w:lang w:val="es-ES"/>
        </w:rPr>
        <w:t>“</w:t>
      </w:r>
      <w:r w:rsidR="00512393" w:rsidRPr="009D39D5">
        <w:rPr>
          <w:lang w:val="es-ES"/>
        </w:rPr>
        <w:t>prestar</w:t>
      </w:r>
      <w:r w:rsidR="008F1FCE" w:rsidRPr="009D39D5">
        <w:rPr>
          <w:lang w:val="es-ES"/>
        </w:rPr>
        <w:t>[...]</w:t>
      </w:r>
      <w:r w:rsidR="00512393" w:rsidRPr="009D39D5">
        <w:rPr>
          <w:lang w:val="es-ES"/>
        </w:rPr>
        <w:t xml:space="preserve"> servicios de mediación y arbitraje en los litigios sobre patentes que pertenezcan al ámbito de aplicación del presente Acuerdo</w:t>
      </w:r>
      <w:r w:rsidR="00647F99" w:rsidRPr="009D39D5">
        <w:rPr>
          <w:lang w:val="es-ES"/>
        </w:rPr>
        <w:t xml:space="preserve">."  </w:t>
      </w:r>
      <w:r w:rsidR="00512393" w:rsidRPr="009D39D5">
        <w:rPr>
          <w:lang w:val="es-ES"/>
        </w:rPr>
        <w:t xml:space="preserve">La legislación de Bélgica </w:t>
      </w:r>
      <w:r w:rsidR="00651723" w:rsidRPr="009D39D5">
        <w:rPr>
          <w:lang w:val="es-ES"/>
        </w:rPr>
        <w:t>va</w:t>
      </w:r>
      <w:r w:rsidR="006C342B" w:rsidRPr="009D39D5">
        <w:rPr>
          <w:lang w:val="es-ES"/>
        </w:rPr>
        <w:t xml:space="preserve"> más lejos</w:t>
      </w:r>
      <w:r w:rsidR="00651723" w:rsidRPr="009D39D5">
        <w:rPr>
          <w:lang w:val="es-ES"/>
        </w:rPr>
        <w:t>,</w:t>
      </w:r>
      <w:r w:rsidR="006C342B" w:rsidRPr="009D39D5">
        <w:rPr>
          <w:lang w:val="es-ES"/>
        </w:rPr>
        <w:t xml:space="preserve"> y no solo estipula expresamente el arbitraje en </w:t>
      </w:r>
      <w:r w:rsidR="00651723" w:rsidRPr="009D39D5">
        <w:rPr>
          <w:lang w:val="es-ES"/>
        </w:rPr>
        <w:t xml:space="preserve">la esfera de las </w:t>
      </w:r>
      <w:r w:rsidR="006C342B" w:rsidRPr="009D39D5">
        <w:rPr>
          <w:lang w:val="es-ES"/>
        </w:rPr>
        <w:t xml:space="preserve">patentes, sino que reconoce también de </w:t>
      </w:r>
      <w:r w:rsidR="006C342B" w:rsidRPr="009D39D5">
        <w:rPr>
          <w:lang w:val="es-ES"/>
        </w:rPr>
        <w:lastRenderedPageBreak/>
        <w:t>forma explícita que puede tener efecto</w:t>
      </w:r>
      <w:r w:rsidR="00647F99" w:rsidRPr="009D39D5">
        <w:rPr>
          <w:lang w:val="es-ES"/>
        </w:rPr>
        <w:t xml:space="preserve"> </w:t>
      </w:r>
      <w:r w:rsidR="00647F99" w:rsidRPr="009D39D5">
        <w:rPr>
          <w:i/>
          <w:lang w:val="es-ES"/>
        </w:rPr>
        <w:t>erga omnes</w:t>
      </w:r>
      <w:r w:rsidR="00647F99" w:rsidRPr="009D39D5">
        <w:rPr>
          <w:lang w:val="es-ES"/>
        </w:rPr>
        <w:t xml:space="preserve">.  </w:t>
      </w:r>
      <w:r w:rsidR="006C342B" w:rsidRPr="009D39D5">
        <w:rPr>
          <w:lang w:val="es-ES"/>
        </w:rPr>
        <w:t xml:space="preserve">La legislación de Suiza </w:t>
      </w:r>
      <w:r w:rsidR="00651723" w:rsidRPr="009D39D5">
        <w:rPr>
          <w:lang w:val="es-ES"/>
        </w:rPr>
        <w:t>abarca</w:t>
      </w:r>
      <w:r w:rsidR="006C342B" w:rsidRPr="009D39D5">
        <w:rPr>
          <w:lang w:val="es-ES"/>
        </w:rPr>
        <w:t xml:space="preserve"> aún más y aplica este enfoque a los derechos de P.I. en </w:t>
      </w:r>
      <w:r w:rsidR="00651723" w:rsidRPr="009D39D5">
        <w:rPr>
          <w:lang w:val="es-ES"/>
        </w:rPr>
        <w:t>general</w:t>
      </w:r>
      <w:r w:rsidR="00647F99" w:rsidRPr="009D39D5">
        <w:rPr>
          <w:lang w:val="es-ES"/>
        </w:rPr>
        <w:t xml:space="preserve">. 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651723" w:rsidRPr="009D39D5">
        <w:rPr>
          <w:lang w:val="es-ES"/>
        </w:rPr>
        <w:t>Una</w:t>
      </w:r>
      <w:r w:rsidR="00596A39" w:rsidRPr="009D39D5">
        <w:rPr>
          <w:lang w:val="es-ES"/>
        </w:rPr>
        <w:t xml:space="preserve"> cuestión debatida por muchos analistas jurídicos en </w:t>
      </w:r>
      <w:r w:rsidR="00AA263F" w:rsidRPr="009D39D5">
        <w:rPr>
          <w:lang w:val="es-ES"/>
        </w:rPr>
        <w:t>cuanto al</w:t>
      </w:r>
      <w:r w:rsidR="00596A39" w:rsidRPr="009D39D5">
        <w:rPr>
          <w:lang w:val="es-ES"/>
        </w:rPr>
        <w:t xml:space="preserve"> arbitraje de </w:t>
      </w:r>
      <w:r w:rsidR="00C32EAC" w:rsidRPr="009D39D5">
        <w:rPr>
          <w:lang w:val="es-ES"/>
        </w:rPr>
        <w:t xml:space="preserve">las controversias </w:t>
      </w:r>
      <w:r w:rsidR="00AA263F" w:rsidRPr="009D39D5">
        <w:rPr>
          <w:lang w:val="es-ES"/>
        </w:rPr>
        <w:t xml:space="preserve">en materia </w:t>
      </w:r>
      <w:r w:rsidR="00C32EAC" w:rsidRPr="009D39D5">
        <w:rPr>
          <w:lang w:val="es-ES"/>
        </w:rPr>
        <w:t>de</w:t>
      </w:r>
      <w:r w:rsidR="00596A39" w:rsidRPr="009D39D5">
        <w:rPr>
          <w:lang w:val="es-ES"/>
        </w:rPr>
        <w:t xml:space="preserve"> P.I. ha sido la posibilidad </w:t>
      </w:r>
      <w:r w:rsidR="00AA263F" w:rsidRPr="009D39D5">
        <w:rPr>
          <w:lang w:val="es-ES"/>
        </w:rPr>
        <w:t xml:space="preserve">real </w:t>
      </w:r>
      <w:r w:rsidR="00596A39" w:rsidRPr="009D39D5">
        <w:rPr>
          <w:lang w:val="es-ES"/>
        </w:rPr>
        <w:t xml:space="preserve">de </w:t>
      </w:r>
      <w:r w:rsidR="00651723" w:rsidRPr="009D39D5">
        <w:rPr>
          <w:lang w:val="es-ES"/>
        </w:rPr>
        <w:t xml:space="preserve">recurrir a </w:t>
      </w:r>
      <w:r w:rsidR="00596A39" w:rsidRPr="009D39D5">
        <w:rPr>
          <w:lang w:val="es-ES"/>
        </w:rPr>
        <w:t xml:space="preserve">dicho arbitraje, y algunos autores han </w:t>
      </w:r>
      <w:r w:rsidR="00651723" w:rsidRPr="009D39D5">
        <w:rPr>
          <w:lang w:val="es-ES"/>
        </w:rPr>
        <w:t>cuestionado la</w:t>
      </w:r>
      <w:r w:rsidR="0001171B" w:rsidRPr="009D39D5">
        <w:rPr>
          <w:lang w:val="es-ES"/>
        </w:rPr>
        <w:t xml:space="preserve"> medida e</w:t>
      </w:r>
      <w:r w:rsidR="00651723" w:rsidRPr="009D39D5">
        <w:rPr>
          <w:lang w:val="es-ES"/>
        </w:rPr>
        <w:t>n que resulta</w:t>
      </w:r>
      <w:r w:rsidR="0001171B" w:rsidRPr="009D39D5">
        <w:rPr>
          <w:lang w:val="es-ES"/>
        </w:rPr>
        <w:t xml:space="preserve"> apropiado someter </w:t>
      </w:r>
      <w:r w:rsidR="0011121A" w:rsidRPr="009D39D5">
        <w:rPr>
          <w:lang w:val="es-ES"/>
        </w:rPr>
        <w:t xml:space="preserve">este tipo de controversias </w:t>
      </w:r>
      <w:r w:rsidR="0001171B" w:rsidRPr="009D39D5">
        <w:rPr>
          <w:lang w:val="es-ES"/>
        </w:rPr>
        <w:t>al procedimiento de arbitraje.</w:t>
      </w:r>
      <w:r w:rsidR="00647F99" w:rsidRPr="009D39D5">
        <w:rPr>
          <w:lang w:val="es-ES"/>
        </w:rPr>
        <w:t xml:space="preserve">  </w:t>
      </w:r>
      <w:r w:rsidR="00C32EAC" w:rsidRPr="009D39D5">
        <w:rPr>
          <w:lang w:val="es-ES"/>
        </w:rPr>
        <w:t>Se trata de un</w:t>
      </w:r>
      <w:r w:rsidR="0001171B" w:rsidRPr="009D39D5">
        <w:rPr>
          <w:lang w:val="es-ES"/>
        </w:rPr>
        <w:t xml:space="preserve"> aspecto fundamental porque si </w:t>
      </w:r>
      <w:r w:rsidR="00651723" w:rsidRPr="009D39D5">
        <w:rPr>
          <w:lang w:val="es-ES"/>
        </w:rPr>
        <w:t xml:space="preserve">no es </w:t>
      </w:r>
      <w:r w:rsidR="00AA263F" w:rsidRPr="009D39D5">
        <w:rPr>
          <w:lang w:val="es-ES"/>
        </w:rPr>
        <w:t>conveniente</w:t>
      </w:r>
      <w:r w:rsidR="00651723" w:rsidRPr="009D39D5">
        <w:rPr>
          <w:lang w:val="es-ES"/>
        </w:rPr>
        <w:t xml:space="preserve"> que </w:t>
      </w:r>
      <w:r w:rsidR="0001171B" w:rsidRPr="009D39D5">
        <w:rPr>
          <w:lang w:val="es-ES"/>
        </w:rPr>
        <w:t>el derecho de P.I.</w:t>
      </w:r>
      <w:r w:rsidR="00850358">
        <w:rPr>
          <w:lang w:val="es-ES"/>
        </w:rPr>
        <w:t>, sometido a arbitraje</w:t>
      </w:r>
      <w:r w:rsidR="00651723" w:rsidRPr="009D39D5">
        <w:rPr>
          <w:lang w:val="es-ES"/>
        </w:rPr>
        <w:t xml:space="preserve"> sea</w:t>
      </w:r>
      <w:r w:rsidR="0001171B" w:rsidRPr="009D39D5">
        <w:rPr>
          <w:lang w:val="es-ES"/>
        </w:rPr>
        <w:t xml:space="preserve"> objeto de un laudo arbitral, </w:t>
      </w:r>
      <w:r w:rsidR="005F3890" w:rsidRPr="009D39D5">
        <w:rPr>
          <w:lang w:val="es-ES"/>
        </w:rPr>
        <w:t>entonces</w:t>
      </w:r>
      <w:r w:rsidR="00651723" w:rsidRPr="009D39D5">
        <w:rPr>
          <w:lang w:val="es-ES"/>
        </w:rPr>
        <w:t xml:space="preserve"> </w:t>
      </w:r>
      <w:r w:rsidR="0001171B" w:rsidRPr="009D39D5">
        <w:rPr>
          <w:lang w:val="es-ES"/>
        </w:rPr>
        <w:t>no será posible ejecutar dicho laudo</w:t>
      </w:r>
      <w:r w:rsidR="00647F99" w:rsidRPr="009D39D5">
        <w:rPr>
          <w:lang w:val="es-ES"/>
        </w:rPr>
        <w:t xml:space="preserve">.  </w:t>
      </w:r>
      <w:r w:rsidR="0001171B" w:rsidRPr="009D39D5">
        <w:rPr>
          <w:lang w:val="es-ES"/>
        </w:rPr>
        <w:t xml:space="preserve">Estos </w:t>
      </w:r>
      <w:r w:rsidR="00850358">
        <w:rPr>
          <w:lang w:val="es-ES"/>
        </w:rPr>
        <w:t xml:space="preserve">autores </w:t>
      </w:r>
      <w:r w:rsidR="0001171B" w:rsidRPr="009D39D5">
        <w:rPr>
          <w:lang w:val="es-ES"/>
        </w:rPr>
        <w:t>consideran que la cuestión plantea un problema en particular cuando esos derechos de P.I., como en el caso de las patentes, están registrados en una oficina nacional de P.I.</w:t>
      </w:r>
      <w:r w:rsidR="00651723" w:rsidRPr="009D39D5">
        <w:rPr>
          <w:lang w:val="es-ES"/>
        </w:rPr>
        <w:t>,</w:t>
      </w:r>
      <w:r w:rsidR="0001171B" w:rsidRPr="009D39D5">
        <w:rPr>
          <w:lang w:val="es-ES"/>
        </w:rPr>
        <w:t xml:space="preserve"> y constituyen</w:t>
      </w:r>
      <w:r w:rsidR="00651723" w:rsidRPr="009D39D5">
        <w:rPr>
          <w:lang w:val="es-ES"/>
        </w:rPr>
        <w:t>,</w:t>
      </w:r>
      <w:r w:rsidR="0001171B" w:rsidRPr="009D39D5">
        <w:rPr>
          <w:lang w:val="es-ES"/>
        </w:rPr>
        <w:t xml:space="preserve"> por tanto, de hecho, un monopolio conferido por el Estado.  Sin embargo, si bien </w:t>
      </w:r>
      <w:r w:rsidR="00651723" w:rsidRPr="009D39D5">
        <w:rPr>
          <w:lang w:val="es-ES"/>
        </w:rPr>
        <w:t xml:space="preserve">se </w:t>
      </w:r>
      <w:r w:rsidR="0001171B" w:rsidRPr="009D39D5">
        <w:rPr>
          <w:lang w:val="es-ES"/>
        </w:rPr>
        <w:t xml:space="preserve">podría </w:t>
      </w:r>
      <w:r w:rsidR="00651723" w:rsidRPr="009D39D5">
        <w:rPr>
          <w:lang w:val="es-ES"/>
        </w:rPr>
        <w:t xml:space="preserve">señalar, de forma inequívoca, </w:t>
      </w:r>
      <w:r w:rsidR="0001171B" w:rsidRPr="009D39D5">
        <w:rPr>
          <w:lang w:val="es-ES"/>
        </w:rPr>
        <w:t>qu</w:t>
      </w:r>
      <w:r w:rsidR="00C32EAC" w:rsidRPr="009D39D5">
        <w:rPr>
          <w:lang w:val="es-ES"/>
        </w:rPr>
        <w:t>e</w:t>
      </w:r>
      <w:r w:rsidR="0001171B" w:rsidRPr="009D39D5">
        <w:rPr>
          <w:lang w:val="es-ES"/>
        </w:rPr>
        <w:t xml:space="preserve"> los laudos arbitrales en relación con los derechos de P.I. no pueden, salvo </w:t>
      </w:r>
      <w:r w:rsidR="00AA263F" w:rsidRPr="009D39D5">
        <w:rPr>
          <w:lang w:val="es-ES"/>
        </w:rPr>
        <w:t>en algunas</w:t>
      </w:r>
      <w:r w:rsidR="0001171B" w:rsidRPr="009D39D5">
        <w:rPr>
          <w:lang w:val="es-ES"/>
        </w:rPr>
        <w:t xml:space="preserve"> excepciones como </w:t>
      </w:r>
      <w:r w:rsidR="00AA263F" w:rsidRPr="009D39D5">
        <w:rPr>
          <w:lang w:val="es-ES"/>
        </w:rPr>
        <w:t xml:space="preserve">en los casos de </w:t>
      </w:r>
      <w:r w:rsidR="0001171B" w:rsidRPr="009D39D5">
        <w:rPr>
          <w:lang w:val="es-ES"/>
        </w:rPr>
        <w:t xml:space="preserve">Bélgica y Suiza, tener efecto </w:t>
      </w:r>
      <w:r w:rsidR="00647F99" w:rsidRPr="009D39D5">
        <w:rPr>
          <w:i/>
          <w:lang w:val="es-ES"/>
        </w:rPr>
        <w:t>erga omnes</w:t>
      </w:r>
      <w:r w:rsidR="00647F99" w:rsidRPr="009D39D5">
        <w:rPr>
          <w:lang w:val="es-ES"/>
        </w:rPr>
        <w:t xml:space="preserve">, </w:t>
      </w:r>
      <w:r w:rsidR="0001171B" w:rsidRPr="009D39D5">
        <w:rPr>
          <w:lang w:val="es-ES"/>
        </w:rPr>
        <w:t>frente al mundo en general</w:t>
      </w:r>
      <w:r w:rsidR="00647F99" w:rsidRPr="009D39D5">
        <w:rPr>
          <w:lang w:val="es-ES"/>
        </w:rPr>
        <w:t xml:space="preserve">, </w:t>
      </w:r>
      <w:r w:rsidR="003D6F49" w:rsidRPr="009D39D5">
        <w:rPr>
          <w:lang w:val="es-ES"/>
        </w:rPr>
        <w:t xml:space="preserve">ello no debería tener ningún tipo de influencia en el </w:t>
      </w:r>
      <w:r w:rsidR="002F0644" w:rsidRPr="009D39D5">
        <w:rPr>
          <w:lang w:val="es-ES"/>
        </w:rPr>
        <w:t xml:space="preserve">efecto </w:t>
      </w:r>
      <w:r w:rsidR="002F0644" w:rsidRPr="009D39D5">
        <w:rPr>
          <w:i/>
          <w:lang w:val="es-ES"/>
        </w:rPr>
        <w:t>inter partes</w:t>
      </w:r>
      <w:r w:rsidR="00AA263F" w:rsidRPr="009D39D5">
        <w:rPr>
          <w:i/>
          <w:lang w:val="es-ES"/>
        </w:rPr>
        <w:t>,</w:t>
      </w:r>
      <w:r w:rsidR="002F0644" w:rsidRPr="009D39D5">
        <w:rPr>
          <w:lang w:val="es-ES"/>
        </w:rPr>
        <w:t xml:space="preserve"> que solo afecta a las partes</w:t>
      </w:r>
      <w:r w:rsidR="00647F99" w:rsidRPr="009D39D5">
        <w:rPr>
          <w:lang w:val="es-ES"/>
        </w:rPr>
        <w:t>.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2F0644" w:rsidRPr="009D39D5">
        <w:rPr>
          <w:lang w:val="es-ES"/>
        </w:rPr>
        <w:t>En la legislación de los Estados Unidos se reconoce</w:t>
      </w:r>
      <w:r w:rsidR="00AA263F" w:rsidRPr="009D39D5">
        <w:rPr>
          <w:lang w:val="es-ES"/>
        </w:rPr>
        <w:t xml:space="preserve"> de forma explícita,</w:t>
      </w:r>
      <w:r w:rsidR="002F0644" w:rsidRPr="009D39D5">
        <w:rPr>
          <w:lang w:val="es-ES"/>
        </w:rPr>
        <w:t xml:space="preserve"> como se señaló más arriba, la distinción entre el efecto</w:t>
      </w:r>
      <w:r w:rsidR="00647F99" w:rsidRPr="009D39D5">
        <w:rPr>
          <w:lang w:val="es-ES"/>
        </w:rPr>
        <w:t xml:space="preserve"> </w:t>
      </w:r>
      <w:r w:rsidR="00647F99" w:rsidRPr="009D39D5">
        <w:rPr>
          <w:i/>
          <w:lang w:val="es-ES"/>
        </w:rPr>
        <w:t>inter partes</w:t>
      </w:r>
      <w:r w:rsidR="00647F99" w:rsidRPr="009D39D5">
        <w:rPr>
          <w:lang w:val="es-ES"/>
        </w:rPr>
        <w:t xml:space="preserve"> </w:t>
      </w:r>
      <w:r w:rsidR="002F0644" w:rsidRPr="009D39D5">
        <w:rPr>
          <w:lang w:val="es-ES"/>
        </w:rPr>
        <w:t xml:space="preserve">de un laudo arbitral en cuanto a la validez y el alcance de un derecho de P.I., y la </w:t>
      </w:r>
      <w:r w:rsidR="004070DC" w:rsidRPr="009D39D5">
        <w:rPr>
          <w:lang w:val="es-ES"/>
        </w:rPr>
        <w:t>carencia</w:t>
      </w:r>
      <w:r w:rsidR="002F0644" w:rsidRPr="009D39D5">
        <w:rPr>
          <w:lang w:val="es-ES"/>
        </w:rPr>
        <w:t xml:space="preserve"> de </w:t>
      </w:r>
      <w:r w:rsidR="004070DC" w:rsidRPr="009D39D5">
        <w:rPr>
          <w:lang w:val="es-ES"/>
        </w:rPr>
        <w:t>todo</w:t>
      </w:r>
      <w:r w:rsidR="002F0644" w:rsidRPr="009D39D5">
        <w:rPr>
          <w:lang w:val="es-ES"/>
        </w:rPr>
        <w:t xml:space="preserve"> efecto </w:t>
      </w:r>
      <w:r w:rsidR="00647F99" w:rsidRPr="009D39D5">
        <w:rPr>
          <w:i/>
          <w:lang w:val="es-ES"/>
        </w:rPr>
        <w:t>erga omnes</w:t>
      </w:r>
      <w:r w:rsidR="00647F99" w:rsidRPr="009D39D5">
        <w:rPr>
          <w:lang w:val="es-ES"/>
        </w:rPr>
        <w:t xml:space="preserve"> </w:t>
      </w:r>
      <w:r w:rsidR="002F0644" w:rsidRPr="009D39D5">
        <w:rPr>
          <w:lang w:val="es-ES"/>
        </w:rPr>
        <w:t>de dicho laudo</w:t>
      </w:r>
      <w:r w:rsidR="00647F99" w:rsidRPr="009D39D5">
        <w:rPr>
          <w:lang w:val="es-ES"/>
        </w:rPr>
        <w:t xml:space="preserve">.  </w:t>
      </w:r>
      <w:r w:rsidR="002F0644" w:rsidRPr="009D39D5">
        <w:rPr>
          <w:lang w:val="es-ES"/>
        </w:rPr>
        <w:t xml:space="preserve">Convendría incorporar esta afirmación explícita en otras </w:t>
      </w:r>
      <w:r w:rsidR="00391C68">
        <w:rPr>
          <w:lang w:val="es-ES"/>
        </w:rPr>
        <w:t>legislaciones</w:t>
      </w:r>
      <w:r w:rsidR="002F0644" w:rsidRPr="009D39D5">
        <w:rPr>
          <w:lang w:val="es-ES"/>
        </w:rPr>
        <w:t xml:space="preserve"> nacionales, en la medida en </w:t>
      </w:r>
      <w:r w:rsidR="004070DC" w:rsidRPr="009D39D5">
        <w:rPr>
          <w:lang w:val="es-ES"/>
        </w:rPr>
        <w:t>que lo</w:t>
      </w:r>
      <w:r w:rsidR="002F0644" w:rsidRPr="009D39D5">
        <w:rPr>
          <w:lang w:val="es-ES"/>
        </w:rPr>
        <w:t>s países no est</w:t>
      </w:r>
      <w:r w:rsidR="004070DC" w:rsidRPr="009D39D5">
        <w:rPr>
          <w:lang w:val="es-ES"/>
        </w:rPr>
        <w:t>é</w:t>
      </w:r>
      <w:r w:rsidR="002F0644" w:rsidRPr="009D39D5">
        <w:rPr>
          <w:lang w:val="es-ES"/>
        </w:rPr>
        <w:t xml:space="preserve">n preparados para llegar tan lejos como </w:t>
      </w:r>
      <w:r w:rsidR="004070DC" w:rsidRPr="009D39D5">
        <w:rPr>
          <w:lang w:val="es-ES"/>
        </w:rPr>
        <w:t>los</w:t>
      </w:r>
      <w:r w:rsidR="002F0644" w:rsidRPr="009D39D5">
        <w:rPr>
          <w:lang w:val="es-ES"/>
        </w:rPr>
        <w:t xml:space="preserve"> pocos países que reconocen el efecto </w:t>
      </w:r>
      <w:r w:rsidR="00647F99" w:rsidRPr="009D39D5">
        <w:rPr>
          <w:i/>
          <w:lang w:val="es-ES"/>
        </w:rPr>
        <w:t>erga omnes</w:t>
      </w:r>
      <w:r w:rsidR="00647F99" w:rsidRPr="009D39D5">
        <w:rPr>
          <w:lang w:val="es-ES"/>
        </w:rPr>
        <w:t xml:space="preserve"> </w:t>
      </w:r>
      <w:r w:rsidR="002F0644" w:rsidRPr="009D39D5">
        <w:rPr>
          <w:lang w:val="es-ES"/>
        </w:rPr>
        <w:t>de los laudos arbitrales</w:t>
      </w:r>
      <w:r w:rsidR="00647F99" w:rsidRPr="009D39D5">
        <w:rPr>
          <w:lang w:val="es-ES"/>
        </w:rPr>
        <w:t xml:space="preserve">.  </w:t>
      </w:r>
      <w:r w:rsidR="006358FB" w:rsidRPr="009D39D5">
        <w:rPr>
          <w:lang w:val="es-ES"/>
        </w:rPr>
        <w:t xml:space="preserve">Si se hiciese, se pondría fin de una vez por todas a cualquier </w:t>
      </w:r>
      <w:r w:rsidR="00AA263F" w:rsidRPr="009D39D5">
        <w:rPr>
          <w:lang w:val="es-ES"/>
        </w:rPr>
        <w:t>duda</w:t>
      </w:r>
      <w:r w:rsidR="006358FB" w:rsidRPr="009D39D5">
        <w:rPr>
          <w:lang w:val="es-ES"/>
        </w:rPr>
        <w:t>, sin importar lo inadecuada que sea, respecto de</w:t>
      </w:r>
      <w:r w:rsidR="004070DC" w:rsidRPr="009D39D5">
        <w:rPr>
          <w:lang w:val="es-ES"/>
        </w:rPr>
        <w:t xml:space="preserve"> la posibilidad </w:t>
      </w:r>
      <w:r w:rsidR="00AA263F" w:rsidRPr="009D39D5">
        <w:rPr>
          <w:lang w:val="es-ES"/>
        </w:rPr>
        <w:t xml:space="preserve">o no </w:t>
      </w:r>
      <w:r w:rsidR="004070DC" w:rsidRPr="009D39D5">
        <w:rPr>
          <w:lang w:val="es-ES"/>
        </w:rPr>
        <w:t>de someter</w:t>
      </w:r>
      <w:r w:rsidR="00A93EDF" w:rsidRPr="009D39D5">
        <w:rPr>
          <w:lang w:val="es-ES"/>
        </w:rPr>
        <w:t xml:space="preserve"> </w:t>
      </w:r>
      <w:r w:rsidR="00391C68" w:rsidRPr="009D39D5">
        <w:rPr>
          <w:lang w:val="es-ES"/>
        </w:rPr>
        <w:t xml:space="preserve">estas cuestiones </w:t>
      </w:r>
      <w:r w:rsidR="00A93EDF" w:rsidRPr="009D39D5">
        <w:rPr>
          <w:lang w:val="es-ES"/>
        </w:rPr>
        <w:t>a arbitraje</w:t>
      </w:r>
      <w:r w:rsidR="00647F99" w:rsidRPr="009D39D5">
        <w:rPr>
          <w:lang w:val="es-ES"/>
        </w:rPr>
        <w:t>.</w:t>
      </w:r>
    </w:p>
    <w:p w:rsidR="007D6EA3" w:rsidRPr="009D39D5" w:rsidRDefault="007D6EA3" w:rsidP="008A3947">
      <w:pPr>
        <w:rPr>
          <w:lang w:val="es-ES"/>
        </w:rPr>
      </w:pPr>
    </w:p>
    <w:p w:rsidR="00647F99" w:rsidRPr="009D39D5" w:rsidRDefault="00347E69" w:rsidP="00B34229">
      <w:pPr>
        <w:pStyle w:val="Heading2"/>
        <w:numPr>
          <w:ilvl w:val="0"/>
          <w:numId w:val="12"/>
        </w:numPr>
        <w:tabs>
          <w:tab w:val="left" w:pos="567"/>
        </w:tabs>
        <w:ind w:left="567" w:hanging="567"/>
        <w:rPr>
          <w:lang w:val="es-ES"/>
        </w:rPr>
      </w:pPr>
      <w:r>
        <w:rPr>
          <w:lang w:val="es-ES"/>
        </w:rPr>
        <w:t>VENTAJAS</w:t>
      </w:r>
      <w:r w:rsidR="009F06AF" w:rsidRPr="009D39D5">
        <w:rPr>
          <w:lang w:val="es-ES"/>
        </w:rPr>
        <w:t xml:space="preserve"> Y LIMITACIONES DE LA</w:t>
      </w:r>
      <w:r w:rsidR="00647F99" w:rsidRPr="009D39D5">
        <w:rPr>
          <w:lang w:val="es-ES"/>
        </w:rPr>
        <w:t xml:space="preserve"> </w:t>
      </w:r>
      <w:r w:rsidR="00707527" w:rsidRPr="009D39D5">
        <w:rPr>
          <w:lang w:val="es-ES"/>
        </w:rPr>
        <w:t>SOLUCIÓN EXTRAJUDICIAL DE CONTROVERSIAS</w:t>
      </w:r>
      <w:r w:rsidR="00647F99" w:rsidRPr="009D39D5">
        <w:rPr>
          <w:lang w:val="es-ES"/>
        </w:rPr>
        <w:t xml:space="preserve"> </w:t>
      </w:r>
      <w:r w:rsidR="009F06AF" w:rsidRPr="009D39D5">
        <w:rPr>
          <w:lang w:val="es-ES"/>
        </w:rPr>
        <w:t>COMO HERRAMIENTA PARA LA OBSERVANCIA DE LOS DERECHOS DE p.i.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647F99" w:rsidP="008A3947">
      <w:pPr>
        <w:numPr>
          <w:ilvl w:val="0"/>
          <w:numId w:val="16"/>
        </w:numPr>
        <w:ind w:left="1134" w:hanging="567"/>
        <w:rPr>
          <w:lang w:val="es-ES"/>
        </w:rPr>
      </w:pPr>
      <w:r w:rsidRPr="009D39D5">
        <w:rPr>
          <w:lang w:val="es-ES"/>
        </w:rPr>
        <w:t>Introduc</w:t>
      </w:r>
      <w:r w:rsidR="00EE517C" w:rsidRPr="009D39D5">
        <w:rPr>
          <w:lang w:val="es-ES"/>
        </w:rPr>
        <w:t>ción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315EED" w:rsidRPr="009D39D5">
        <w:rPr>
          <w:lang w:val="es-ES"/>
        </w:rPr>
        <w:t>E</w:t>
      </w:r>
      <w:r w:rsidR="001562BD" w:rsidRPr="009D39D5">
        <w:rPr>
          <w:lang w:val="es-ES"/>
        </w:rPr>
        <w:t>s</w:t>
      </w:r>
      <w:r w:rsidR="00315EED" w:rsidRPr="009D39D5">
        <w:rPr>
          <w:lang w:val="es-ES"/>
        </w:rPr>
        <w:t xml:space="preserve">ta sección se </w:t>
      </w:r>
      <w:r w:rsidR="00AA263F" w:rsidRPr="009D39D5">
        <w:rPr>
          <w:lang w:val="es-ES"/>
        </w:rPr>
        <w:t>centra en</w:t>
      </w:r>
      <w:r w:rsidR="00315EED" w:rsidRPr="009D39D5">
        <w:rPr>
          <w:lang w:val="es-ES"/>
        </w:rPr>
        <w:t xml:space="preserve"> el arbitraje p</w:t>
      </w:r>
      <w:r w:rsidR="00AA263F" w:rsidRPr="009D39D5">
        <w:rPr>
          <w:lang w:val="es-ES"/>
        </w:rPr>
        <w:t xml:space="preserve">or tratarse del procedimiento más comparable con la vía </w:t>
      </w:r>
      <w:r w:rsidR="00315EED" w:rsidRPr="009D39D5">
        <w:rPr>
          <w:lang w:val="es-ES"/>
        </w:rPr>
        <w:t>judicial y</w:t>
      </w:r>
      <w:r w:rsidR="00AA263F" w:rsidRPr="009D39D5">
        <w:rPr>
          <w:lang w:val="es-ES"/>
        </w:rPr>
        <w:t>, de</w:t>
      </w:r>
      <w:r w:rsidR="00315EED" w:rsidRPr="009D39D5">
        <w:rPr>
          <w:lang w:val="es-ES"/>
        </w:rPr>
        <w:t xml:space="preserve"> las diversas formas de solución extrajudicial de controversias, únicamente es posible realizar esa comparación con el arbitraje</w:t>
      </w:r>
      <w:r w:rsidR="00AA263F" w:rsidRPr="009D39D5">
        <w:rPr>
          <w:lang w:val="es-ES"/>
        </w:rPr>
        <w:t>,</w:t>
      </w:r>
      <w:r w:rsidR="00315EED" w:rsidRPr="009D39D5">
        <w:rPr>
          <w:lang w:val="es-ES"/>
        </w:rPr>
        <w:t xml:space="preserve"> dado que </w:t>
      </w:r>
      <w:r w:rsidR="00AA263F" w:rsidRPr="009D39D5">
        <w:rPr>
          <w:lang w:val="es-ES"/>
        </w:rPr>
        <w:t>de las distintas vías analizadas</w:t>
      </w:r>
      <w:r w:rsidR="00315EED" w:rsidRPr="009D39D5">
        <w:rPr>
          <w:lang w:val="es-ES"/>
        </w:rPr>
        <w:t xml:space="preserve"> en e</w:t>
      </w:r>
      <w:r w:rsidR="00AA263F" w:rsidRPr="009D39D5">
        <w:rPr>
          <w:lang w:val="es-ES"/>
        </w:rPr>
        <w:t>ste</w:t>
      </w:r>
      <w:r w:rsidR="00315EED" w:rsidRPr="009D39D5">
        <w:rPr>
          <w:lang w:val="es-ES"/>
        </w:rPr>
        <w:t xml:space="preserve"> documento solo mediante la utilización del arbitraje puede tomarse una decisión ejecut</w:t>
      </w:r>
      <w:r w:rsidR="00AA263F" w:rsidRPr="009D39D5">
        <w:rPr>
          <w:lang w:val="es-ES"/>
        </w:rPr>
        <w:t>oria</w:t>
      </w:r>
      <w:r w:rsidR="00315EED" w:rsidRPr="009D39D5">
        <w:rPr>
          <w:lang w:val="es-ES"/>
        </w:rPr>
        <w:t xml:space="preserve"> sobre cualquier clase de controversia entre las partes.</w:t>
      </w:r>
    </w:p>
    <w:p w:rsidR="005D526E" w:rsidRPr="009D39D5" w:rsidRDefault="005D526E" w:rsidP="008A3947">
      <w:pPr>
        <w:rPr>
          <w:lang w:val="es-ES"/>
        </w:rPr>
      </w:pPr>
    </w:p>
    <w:p w:rsidR="00647F99" w:rsidRPr="009D39D5" w:rsidRDefault="00CE68B8" w:rsidP="008A3947">
      <w:pPr>
        <w:numPr>
          <w:ilvl w:val="0"/>
          <w:numId w:val="16"/>
        </w:numPr>
        <w:ind w:left="1134" w:hanging="567"/>
        <w:rPr>
          <w:lang w:val="es-ES"/>
        </w:rPr>
      </w:pPr>
      <w:r>
        <w:rPr>
          <w:lang w:val="es-ES"/>
        </w:rPr>
        <w:t xml:space="preserve">Ventajas </w:t>
      </w:r>
      <w:r w:rsidR="005D421A" w:rsidRPr="009D39D5">
        <w:rPr>
          <w:lang w:val="es-ES"/>
        </w:rPr>
        <w:t xml:space="preserve">y limitaciones del arbitraje como herramienta para </w:t>
      </w:r>
      <w:r w:rsidR="001562BD" w:rsidRPr="009D39D5">
        <w:rPr>
          <w:lang w:val="es-ES"/>
        </w:rPr>
        <w:t xml:space="preserve">la </w:t>
      </w:r>
      <w:r w:rsidR="005D421A" w:rsidRPr="009D39D5">
        <w:rPr>
          <w:lang w:val="es-ES"/>
        </w:rPr>
        <w:t>observancia de los derechos de P.I.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AA263F" w:rsidRPr="009D39D5">
        <w:rPr>
          <w:lang w:val="es-ES"/>
        </w:rPr>
        <w:t xml:space="preserve">En general, son reconocidas de forma generalizada </w:t>
      </w:r>
      <w:r w:rsidR="00CE68B8">
        <w:rPr>
          <w:lang w:val="es-ES"/>
        </w:rPr>
        <w:t xml:space="preserve">las ventajas </w:t>
      </w:r>
      <w:r w:rsidR="00225F9E" w:rsidRPr="009D39D5">
        <w:rPr>
          <w:lang w:val="es-ES"/>
        </w:rPr>
        <w:t xml:space="preserve">del </w:t>
      </w:r>
      <w:r w:rsidR="00AA263F" w:rsidRPr="009D39D5">
        <w:rPr>
          <w:lang w:val="es-ES"/>
        </w:rPr>
        <w:t xml:space="preserve">procedimiento de </w:t>
      </w:r>
      <w:r w:rsidR="00225F9E" w:rsidRPr="009D39D5">
        <w:rPr>
          <w:lang w:val="es-ES"/>
        </w:rPr>
        <w:t xml:space="preserve">arbitraje frente al pleito judicial como forma de solucionar controversias comerciales, a saber la autonomía de las partes, la imparcialidad, la irrevocabilidad, la confidencialidad, y la </w:t>
      </w:r>
      <w:r w:rsidR="00A23EF7">
        <w:rPr>
          <w:lang w:val="es-ES"/>
        </w:rPr>
        <w:t xml:space="preserve">fuerza </w:t>
      </w:r>
      <w:r w:rsidR="00225F9E" w:rsidRPr="009D39D5">
        <w:rPr>
          <w:lang w:val="es-ES"/>
        </w:rPr>
        <w:t>ejecu</w:t>
      </w:r>
      <w:r w:rsidR="00A23EF7">
        <w:rPr>
          <w:lang w:val="es-ES"/>
        </w:rPr>
        <w:t>toria</w:t>
      </w:r>
      <w:r w:rsidR="00225F9E" w:rsidRPr="009D39D5">
        <w:rPr>
          <w:lang w:val="es-ES"/>
        </w:rPr>
        <w:t xml:space="preserve"> </w:t>
      </w:r>
      <w:r w:rsidR="00AA263F" w:rsidRPr="009D39D5">
        <w:rPr>
          <w:lang w:val="es-ES"/>
        </w:rPr>
        <w:t>inmediata</w:t>
      </w:r>
      <w:r w:rsidR="00CE68B8" w:rsidRPr="00CE68B8">
        <w:rPr>
          <w:lang w:val="es-ES"/>
        </w:rPr>
        <w:t xml:space="preserve"> </w:t>
      </w:r>
      <w:r w:rsidR="00CE68B8">
        <w:rPr>
          <w:lang w:val="es-ES"/>
        </w:rPr>
        <w:t xml:space="preserve">a nivel </w:t>
      </w:r>
      <w:r w:rsidR="00CE68B8" w:rsidRPr="009D39D5">
        <w:rPr>
          <w:lang w:val="es-ES"/>
        </w:rPr>
        <w:t>internacional</w:t>
      </w:r>
      <w:r w:rsidR="00647F99" w:rsidRPr="009D39D5">
        <w:rPr>
          <w:lang w:val="es-ES"/>
        </w:rPr>
        <w:t xml:space="preserve">.  </w:t>
      </w:r>
      <w:r w:rsidR="00225F9E" w:rsidRPr="009D39D5">
        <w:rPr>
          <w:lang w:val="es-ES"/>
        </w:rPr>
        <w:t>Ahora bien, existen vari</w:t>
      </w:r>
      <w:r w:rsidR="00CE68B8">
        <w:rPr>
          <w:lang w:val="es-ES"/>
        </w:rPr>
        <w:t xml:space="preserve">as ventajas </w:t>
      </w:r>
      <w:r w:rsidR="00225F9E" w:rsidRPr="009D39D5">
        <w:rPr>
          <w:lang w:val="es-ES"/>
        </w:rPr>
        <w:t>vinculad</w:t>
      </w:r>
      <w:r w:rsidR="00CE68B8">
        <w:rPr>
          <w:lang w:val="es-ES"/>
        </w:rPr>
        <w:t>a</w:t>
      </w:r>
      <w:r w:rsidR="00225F9E" w:rsidRPr="009D39D5">
        <w:rPr>
          <w:lang w:val="es-ES"/>
        </w:rPr>
        <w:t xml:space="preserve">s al arbitraje en </w:t>
      </w:r>
      <w:r w:rsidR="00AA263F" w:rsidRPr="009D39D5">
        <w:rPr>
          <w:lang w:val="es-ES"/>
        </w:rPr>
        <w:t>rela</w:t>
      </w:r>
      <w:r w:rsidR="00225F9E" w:rsidRPr="009D39D5">
        <w:rPr>
          <w:lang w:val="es-ES"/>
        </w:rPr>
        <w:t>ción con el pleito judicial que son imputables al concepto de autonomía de las partes y atañen específicamente al campo de la P.I.</w:t>
      </w:r>
      <w:r w:rsidR="00647F99" w:rsidRPr="009D39D5">
        <w:rPr>
          <w:lang w:val="es-ES"/>
        </w:rPr>
        <w:t xml:space="preserve"> 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225F9E" w:rsidRPr="009D39D5">
        <w:rPr>
          <w:lang w:val="es-ES"/>
        </w:rPr>
        <w:t>Un</w:t>
      </w:r>
      <w:r w:rsidR="004F5CD2">
        <w:rPr>
          <w:lang w:val="es-ES"/>
        </w:rPr>
        <w:t>a</w:t>
      </w:r>
      <w:r w:rsidR="00225F9E" w:rsidRPr="009D39D5">
        <w:rPr>
          <w:lang w:val="es-ES"/>
        </w:rPr>
        <w:t xml:space="preserve"> </w:t>
      </w:r>
      <w:r w:rsidR="004F5CD2">
        <w:rPr>
          <w:lang w:val="es-ES"/>
        </w:rPr>
        <w:t xml:space="preserve">ventaja </w:t>
      </w:r>
      <w:r w:rsidR="00225F9E" w:rsidRPr="009D39D5">
        <w:rPr>
          <w:lang w:val="es-ES"/>
        </w:rPr>
        <w:t xml:space="preserve">del arbitraje que tiene valor especial en </w:t>
      </w:r>
      <w:r w:rsidR="007053C2" w:rsidRPr="009D39D5">
        <w:rPr>
          <w:lang w:val="es-ES"/>
        </w:rPr>
        <w:t xml:space="preserve">relación con la P.I. constituye la capacidad que proporciona a las partes de adaptar la composición del tribunal </w:t>
      </w:r>
      <w:r w:rsidR="00647F99" w:rsidRPr="009D39D5">
        <w:rPr>
          <w:lang w:val="es-ES"/>
        </w:rPr>
        <w:t xml:space="preserve">arbitral </w:t>
      </w:r>
      <w:r w:rsidR="007053C2" w:rsidRPr="009D39D5">
        <w:rPr>
          <w:lang w:val="es-ES"/>
        </w:rPr>
        <w:t>a las necesidades específicas de la controversia</w:t>
      </w:r>
      <w:r w:rsidR="00FF32BB" w:rsidRPr="009D39D5">
        <w:rPr>
          <w:lang w:val="es-ES"/>
        </w:rPr>
        <w:t xml:space="preserve">.  </w:t>
      </w:r>
      <w:r w:rsidR="007053C2" w:rsidRPr="009D39D5">
        <w:rPr>
          <w:lang w:val="es-ES"/>
        </w:rPr>
        <w:t xml:space="preserve">En el marco de la P.I., esto significa que se recurre a profesionales especializados en P.I. que conocen a fondo la esfera pertinente de la </w:t>
      </w:r>
      <w:r w:rsidR="007053C2" w:rsidRPr="009D39D5">
        <w:rPr>
          <w:lang w:val="es-ES"/>
        </w:rPr>
        <w:lastRenderedPageBreak/>
        <w:t>legislación relativa a la P.I. y, en el caso de las patentes, la oportunidad de contar con miembros del tribunal que t</w:t>
      </w:r>
      <w:r w:rsidR="0066472D" w:rsidRPr="009D39D5">
        <w:rPr>
          <w:lang w:val="es-ES"/>
        </w:rPr>
        <w:t>ienen</w:t>
      </w:r>
      <w:r w:rsidR="007053C2" w:rsidRPr="009D39D5">
        <w:rPr>
          <w:lang w:val="es-ES"/>
        </w:rPr>
        <w:t xml:space="preserve"> la</w:t>
      </w:r>
      <w:r w:rsidR="0066472D" w:rsidRPr="009D39D5">
        <w:rPr>
          <w:lang w:val="es-ES"/>
        </w:rPr>
        <w:t>s</w:t>
      </w:r>
      <w:r w:rsidR="00CA27A9" w:rsidRPr="009D39D5">
        <w:rPr>
          <w:lang w:val="es-ES"/>
        </w:rPr>
        <w:t xml:space="preserve"> capacidad</w:t>
      </w:r>
      <w:r w:rsidR="0066472D" w:rsidRPr="009D39D5">
        <w:rPr>
          <w:lang w:val="es-ES"/>
        </w:rPr>
        <w:t>es</w:t>
      </w:r>
      <w:r w:rsidR="00CA27A9" w:rsidRPr="009D39D5">
        <w:rPr>
          <w:lang w:val="es-ES"/>
        </w:rPr>
        <w:t xml:space="preserve"> técnica</w:t>
      </w:r>
      <w:r w:rsidR="0066472D" w:rsidRPr="009D39D5">
        <w:rPr>
          <w:lang w:val="es-ES"/>
        </w:rPr>
        <w:t>s</w:t>
      </w:r>
      <w:r w:rsidR="00CA27A9" w:rsidRPr="009D39D5">
        <w:rPr>
          <w:lang w:val="es-ES"/>
        </w:rPr>
        <w:t xml:space="preserve"> o científica</w:t>
      </w:r>
      <w:r w:rsidR="0066472D" w:rsidRPr="009D39D5">
        <w:rPr>
          <w:lang w:val="es-ES"/>
        </w:rPr>
        <w:t>s</w:t>
      </w:r>
      <w:r w:rsidR="00CA27A9" w:rsidRPr="009D39D5">
        <w:rPr>
          <w:lang w:val="es-ES"/>
        </w:rPr>
        <w:t xml:space="preserve"> adecuada</w:t>
      </w:r>
      <w:r w:rsidR="0066472D" w:rsidRPr="009D39D5">
        <w:rPr>
          <w:lang w:val="es-ES"/>
        </w:rPr>
        <w:t>s</w:t>
      </w:r>
      <w:r w:rsidR="00647F99" w:rsidRPr="009D39D5">
        <w:rPr>
          <w:lang w:val="es-ES"/>
        </w:rPr>
        <w:t>.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4F5CD2">
        <w:rPr>
          <w:lang w:val="es-ES"/>
        </w:rPr>
        <w:t xml:space="preserve">Asimismo, otra ventaja </w:t>
      </w:r>
      <w:r w:rsidR="00810173" w:rsidRPr="009D39D5">
        <w:rPr>
          <w:lang w:val="es-ES"/>
        </w:rPr>
        <w:t xml:space="preserve">del arbitraje </w:t>
      </w:r>
      <w:r w:rsidR="001562BD" w:rsidRPr="009D39D5">
        <w:rPr>
          <w:lang w:val="es-ES"/>
        </w:rPr>
        <w:t>de</w:t>
      </w:r>
      <w:r w:rsidR="00810173" w:rsidRPr="009D39D5">
        <w:rPr>
          <w:lang w:val="es-ES"/>
        </w:rPr>
        <w:t xml:space="preserve"> las controversias </w:t>
      </w:r>
      <w:r w:rsidR="00C32EAC" w:rsidRPr="009D39D5">
        <w:rPr>
          <w:lang w:val="es-ES"/>
        </w:rPr>
        <w:t>en materia de</w:t>
      </w:r>
      <w:r w:rsidR="00810173" w:rsidRPr="009D39D5">
        <w:rPr>
          <w:lang w:val="es-ES"/>
        </w:rPr>
        <w:t xml:space="preserve"> P.I. es que permite a las partes adaptar el procedimiento </w:t>
      </w:r>
      <w:r w:rsidR="0066472D" w:rsidRPr="009D39D5">
        <w:rPr>
          <w:lang w:val="es-ES"/>
        </w:rPr>
        <w:t xml:space="preserve">que se </w:t>
      </w:r>
      <w:r w:rsidR="00810173" w:rsidRPr="009D39D5">
        <w:rPr>
          <w:lang w:val="es-ES"/>
        </w:rPr>
        <w:t>adopta</w:t>
      </w:r>
      <w:r w:rsidR="0066472D" w:rsidRPr="009D39D5">
        <w:rPr>
          <w:lang w:val="es-ES"/>
        </w:rPr>
        <w:t>,</w:t>
      </w:r>
      <w:r w:rsidR="00810173" w:rsidRPr="009D39D5">
        <w:rPr>
          <w:lang w:val="es-ES"/>
        </w:rPr>
        <w:t xml:space="preserve"> y la naturaleza de las medidas de subsanación podría</w:t>
      </w:r>
      <w:r w:rsidR="0066472D" w:rsidRPr="009D39D5">
        <w:rPr>
          <w:lang w:val="es-ES"/>
        </w:rPr>
        <w:t xml:space="preserve"> estar en funci</w:t>
      </w:r>
      <w:r w:rsidR="001562BD" w:rsidRPr="009D39D5">
        <w:rPr>
          <w:lang w:val="es-ES"/>
        </w:rPr>
        <w:t>ón</w:t>
      </w:r>
      <w:r w:rsidR="0066472D" w:rsidRPr="009D39D5">
        <w:rPr>
          <w:lang w:val="es-ES"/>
        </w:rPr>
        <w:t xml:space="preserve"> de sus necesidades</w:t>
      </w:r>
      <w:r w:rsidR="00810173" w:rsidRPr="009D39D5">
        <w:rPr>
          <w:lang w:val="es-ES"/>
        </w:rPr>
        <w:t>.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4D5C1C">
        <w:rPr>
          <w:lang w:val="es-ES"/>
        </w:rPr>
        <w:t>Otra</w:t>
      </w:r>
      <w:r w:rsidR="00810173" w:rsidRPr="009D39D5">
        <w:rPr>
          <w:lang w:val="es-ES"/>
        </w:rPr>
        <w:t xml:space="preserve"> </w:t>
      </w:r>
      <w:r w:rsidR="004D5C1C">
        <w:rPr>
          <w:lang w:val="es-ES"/>
        </w:rPr>
        <w:t>ventaja,</w:t>
      </w:r>
      <w:r w:rsidR="001562BD" w:rsidRPr="009D39D5">
        <w:rPr>
          <w:lang w:val="es-ES"/>
        </w:rPr>
        <w:t xml:space="preserve"> </w:t>
      </w:r>
      <w:r w:rsidR="004D5C1C">
        <w:rPr>
          <w:lang w:val="es-ES"/>
        </w:rPr>
        <w:t>que</w:t>
      </w:r>
      <w:r w:rsidR="00810173" w:rsidRPr="009D39D5">
        <w:rPr>
          <w:lang w:val="es-ES"/>
        </w:rPr>
        <w:t xml:space="preserve"> </w:t>
      </w:r>
      <w:r w:rsidR="004E3420" w:rsidRPr="009D39D5">
        <w:rPr>
          <w:lang w:val="es-ES"/>
        </w:rPr>
        <w:t xml:space="preserve">a largo plazo </w:t>
      </w:r>
      <w:r w:rsidR="00810173" w:rsidRPr="009D39D5">
        <w:rPr>
          <w:lang w:val="es-ES"/>
        </w:rPr>
        <w:t xml:space="preserve">quizás </w:t>
      </w:r>
      <w:r w:rsidR="004D5C1C">
        <w:rPr>
          <w:lang w:val="es-ES"/>
        </w:rPr>
        <w:t xml:space="preserve">sea la </w:t>
      </w:r>
      <w:r w:rsidR="004E3420">
        <w:rPr>
          <w:lang w:val="es-ES"/>
        </w:rPr>
        <w:t xml:space="preserve">ventaja </w:t>
      </w:r>
      <w:r w:rsidR="00810173" w:rsidRPr="009D39D5">
        <w:rPr>
          <w:lang w:val="es-ES"/>
        </w:rPr>
        <w:t xml:space="preserve">más importante </w:t>
      </w:r>
      <w:r w:rsidR="0066472D" w:rsidRPr="009D39D5">
        <w:rPr>
          <w:lang w:val="es-ES"/>
        </w:rPr>
        <w:t xml:space="preserve">del arbitraje </w:t>
      </w:r>
      <w:r w:rsidR="00810173" w:rsidRPr="009D39D5">
        <w:rPr>
          <w:lang w:val="es-ES"/>
        </w:rPr>
        <w:t xml:space="preserve">en las controversias </w:t>
      </w:r>
      <w:r w:rsidR="00C32EAC" w:rsidRPr="009D39D5">
        <w:rPr>
          <w:lang w:val="es-ES"/>
        </w:rPr>
        <w:t>en materia de</w:t>
      </w:r>
      <w:r w:rsidR="00810173" w:rsidRPr="009D39D5">
        <w:rPr>
          <w:lang w:val="es-ES"/>
        </w:rPr>
        <w:t xml:space="preserve"> P.I.</w:t>
      </w:r>
      <w:r w:rsidR="004D5C1C">
        <w:rPr>
          <w:lang w:val="es-ES"/>
        </w:rPr>
        <w:t>,</w:t>
      </w:r>
      <w:r w:rsidR="00810173" w:rsidRPr="009D39D5">
        <w:rPr>
          <w:lang w:val="es-ES"/>
        </w:rPr>
        <w:t xml:space="preserve"> constituye la capacidad </w:t>
      </w:r>
      <w:r w:rsidR="0066472D" w:rsidRPr="009D39D5">
        <w:rPr>
          <w:lang w:val="es-ES"/>
        </w:rPr>
        <w:t xml:space="preserve">que </w:t>
      </w:r>
      <w:r w:rsidR="004E3420">
        <w:rPr>
          <w:lang w:val="es-ES"/>
        </w:rPr>
        <w:t xml:space="preserve">este </w:t>
      </w:r>
      <w:r w:rsidR="0066472D" w:rsidRPr="009D39D5">
        <w:rPr>
          <w:lang w:val="es-ES"/>
        </w:rPr>
        <w:t>aporta para</w:t>
      </w:r>
      <w:r w:rsidR="00810173" w:rsidRPr="009D39D5">
        <w:rPr>
          <w:lang w:val="es-ES"/>
        </w:rPr>
        <w:t xml:space="preserve"> solucionar controversias que a</w:t>
      </w:r>
      <w:r w:rsidR="0066472D" w:rsidRPr="009D39D5">
        <w:rPr>
          <w:lang w:val="es-ES"/>
        </w:rPr>
        <w:t>fectan a</w:t>
      </w:r>
      <w:r w:rsidR="00810173" w:rsidRPr="009D39D5">
        <w:rPr>
          <w:lang w:val="es-ES"/>
        </w:rPr>
        <w:t xml:space="preserve"> varias jurisdicciones </w:t>
      </w:r>
      <w:r w:rsidR="008A30CE" w:rsidRPr="009D39D5">
        <w:rPr>
          <w:lang w:val="es-ES"/>
        </w:rPr>
        <w:t>en un único procedimiento</w:t>
      </w:r>
      <w:r w:rsidR="00647F99" w:rsidRPr="009D39D5">
        <w:rPr>
          <w:lang w:val="es-ES"/>
        </w:rPr>
        <w:t xml:space="preserve">.  </w:t>
      </w:r>
      <w:r w:rsidR="000875CC">
        <w:rPr>
          <w:lang w:val="es-ES"/>
        </w:rPr>
        <w:t>E</w:t>
      </w:r>
      <w:r w:rsidR="00C77246" w:rsidRPr="009D39D5">
        <w:rPr>
          <w:lang w:val="es-ES"/>
        </w:rPr>
        <w:t>l carácter nacional o</w:t>
      </w:r>
      <w:r w:rsidR="00647F99" w:rsidRPr="009D39D5">
        <w:rPr>
          <w:lang w:val="es-ES"/>
        </w:rPr>
        <w:t xml:space="preserve"> regional </w:t>
      </w:r>
      <w:r w:rsidR="00C77246" w:rsidRPr="009D39D5">
        <w:rPr>
          <w:lang w:val="es-ES"/>
        </w:rPr>
        <w:t>de los derechos de P.I.</w:t>
      </w:r>
      <w:r w:rsidR="000875CC">
        <w:rPr>
          <w:lang w:val="es-ES"/>
        </w:rPr>
        <w:t>,</w:t>
      </w:r>
      <w:r w:rsidR="00C77246" w:rsidRPr="009D39D5">
        <w:rPr>
          <w:lang w:val="es-ES"/>
        </w:rPr>
        <w:t xml:space="preserve"> </w:t>
      </w:r>
      <w:r w:rsidR="000875CC">
        <w:rPr>
          <w:lang w:val="es-ES"/>
        </w:rPr>
        <w:t xml:space="preserve">unido a </w:t>
      </w:r>
      <w:r w:rsidR="0066472D" w:rsidRPr="009D39D5">
        <w:rPr>
          <w:lang w:val="es-ES"/>
        </w:rPr>
        <w:t>la naturaleza</w:t>
      </w:r>
      <w:r w:rsidR="001562BD" w:rsidRPr="009D39D5">
        <w:rPr>
          <w:lang w:val="es-ES"/>
        </w:rPr>
        <w:t xml:space="preserve"> </w:t>
      </w:r>
      <w:r w:rsidR="000875CC">
        <w:rPr>
          <w:lang w:val="es-ES"/>
        </w:rPr>
        <w:t xml:space="preserve">cada vez más </w:t>
      </w:r>
      <w:r w:rsidR="00C77246" w:rsidRPr="009D39D5">
        <w:rPr>
          <w:lang w:val="es-ES"/>
        </w:rPr>
        <w:t>internacional del comercio</w:t>
      </w:r>
      <w:r w:rsidR="001562BD" w:rsidRPr="009D39D5">
        <w:rPr>
          <w:lang w:val="es-ES"/>
        </w:rPr>
        <w:t xml:space="preserve"> </w:t>
      </w:r>
      <w:r w:rsidR="00C77246" w:rsidRPr="009D39D5">
        <w:rPr>
          <w:lang w:val="es-ES"/>
        </w:rPr>
        <w:t>y la difusión mundial de la tecnología</w:t>
      </w:r>
      <w:r w:rsidR="000875CC">
        <w:rPr>
          <w:lang w:val="es-ES"/>
        </w:rPr>
        <w:t>,</w:t>
      </w:r>
      <w:r w:rsidR="00C77246" w:rsidRPr="009D39D5">
        <w:rPr>
          <w:lang w:val="es-ES"/>
        </w:rPr>
        <w:t xml:space="preserve"> </w:t>
      </w:r>
      <w:r w:rsidR="0066472D" w:rsidRPr="009D39D5">
        <w:rPr>
          <w:lang w:val="es-ES"/>
        </w:rPr>
        <w:t xml:space="preserve">se </w:t>
      </w:r>
      <w:r w:rsidR="00C77246" w:rsidRPr="009D39D5">
        <w:rPr>
          <w:lang w:val="es-ES"/>
        </w:rPr>
        <w:t xml:space="preserve">ha </w:t>
      </w:r>
      <w:r w:rsidR="0066472D" w:rsidRPr="009D39D5">
        <w:rPr>
          <w:lang w:val="es-ES"/>
        </w:rPr>
        <w:t>traducido en</w:t>
      </w:r>
      <w:r w:rsidR="001562BD" w:rsidRPr="009D39D5">
        <w:rPr>
          <w:lang w:val="es-ES"/>
        </w:rPr>
        <w:t xml:space="preserve"> </w:t>
      </w:r>
      <w:r w:rsidR="00C77246" w:rsidRPr="009D39D5">
        <w:rPr>
          <w:lang w:val="es-ES"/>
        </w:rPr>
        <w:t xml:space="preserve">que cada vez </w:t>
      </w:r>
      <w:r w:rsidR="0066472D" w:rsidRPr="009D39D5">
        <w:rPr>
          <w:lang w:val="es-ES"/>
        </w:rPr>
        <w:t xml:space="preserve">en </w:t>
      </w:r>
      <w:r w:rsidR="00C77246" w:rsidRPr="009D39D5">
        <w:rPr>
          <w:lang w:val="es-ES"/>
        </w:rPr>
        <w:t xml:space="preserve">menos </w:t>
      </w:r>
      <w:r w:rsidR="0066472D" w:rsidRPr="009D39D5">
        <w:rPr>
          <w:lang w:val="es-ES"/>
        </w:rPr>
        <w:t xml:space="preserve">ocasiones las </w:t>
      </w:r>
      <w:r w:rsidR="00C77246" w:rsidRPr="009D39D5">
        <w:rPr>
          <w:lang w:val="es-ES"/>
        </w:rPr>
        <w:t xml:space="preserve">controversias </w:t>
      </w:r>
      <w:r w:rsidR="001562BD" w:rsidRPr="009D39D5">
        <w:rPr>
          <w:lang w:val="es-ES"/>
        </w:rPr>
        <w:t>relacionadas con la</w:t>
      </w:r>
      <w:r w:rsidR="00C77246" w:rsidRPr="009D39D5">
        <w:rPr>
          <w:lang w:val="es-ES"/>
        </w:rPr>
        <w:t xml:space="preserve"> P.I. se ven limitadas </w:t>
      </w:r>
      <w:r w:rsidR="0066472D" w:rsidRPr="009D39D5">
        <w:rPr>
          <w:lang w:val="es-ES"/>
        </w:rPr>
        <w:t xml:space="preserve">solo </w:t>
      </w:r>
      <w:r w:rsidR="00C77246" w:rsidRPr="009D39D5">
        <w:rPr>
          <w:lang w:val="es-ES"/>
        </w:rPr>
        <w:t>a un país</w:t>
      </w:r>
      <w:r w:rsidR="00647F99" w:rsidRPr="009D39D5">
        <w:rPr>
          <w:lang w:val="es-ES"/>
        </w:rPr>
        <w:t xml:space="preserve">.  </w:t>
      </w:r>
      <w:r w:rsidR="00C77246" w:rsidRPr="009D39D5">
        <w:rPr>
          <w:lang w:val="es-ES"/>
        </w:rPr>
        <w:t xml:space="preserve">A raíz de ello, ha aumentado la cantidad de esta clase de controversias respecto de la misma materia </w:t>
      </w:r>
      <w:r w:rsidR="00A93EDF" w:rsidRPr="009D39D5">
        <w:rPr>
          <w:lang w:val="es-ES"/>
        </w:rPr>
        <w:t>supuestamente</w:t>
      </w:r>
      <w:r w:rsidR="00C77246" w:rsidRPr="009D39D5">
        <w:rPr>
          <w:lang w:val="es-ES"/>
        </w:rPr>
        <w:t xml:space="preserve"> objeto de infracción, reglamentada por legislaciones </w:t>
      </w:r>
      <w:r w:rsidR="0066472D" w:rsidRPr="009D39D5">
        <w:rPr>
          <w:lang w:val="es-ES"/>
        </w:rPr>
        <w:t>aplicables</w:t>
      </w:r>
      <w:r w:rsidR="00C77246" w:rsidRPr="009D39D5">
        <w:rPr>
          <w:lang w:val="es-ES"/>
        </w:rPr>
        <w:t xml:space="preserve"> cada vez más armonizadas, pero </w:t>
      </w:r>
      <w:r w:rsidR="0066472D" w:rsidRPr="009D39D5">
        <w:rPr>
          <w:lang w:val="es-ES"/>
        </w:rPr>
        <w:t>sutil</w:t>
      </w:r>
      <w:r w:rsidR="00D91272" w:rsidRPr="009D39D5">
        <w:rPr>
          <w:lang w:val="es-ES"/>
        </w:rPr>
        <w:t>mente</w:t>
      </w:r>
      <w:r w:rsidR="00C77246" w:rsidRPr="009D39D5">
        <w:rPr>
          <w:lang w:val="es-ES"/>
        </w:rPr>
        <w:t xml:space="preserve"> diferentes, presentadas ante tribunales distintos y con variaciones considerables del procedimiento </w:t>
      </w:r>
      <w:r w:rsidR="0066472D" w:rsidRPr="009D39D5">
        <w:rPr>
          <w:lang w:val="es-ES"/>
        </w:rPr>
        <w:t xml:space="preserve">entre </w:t>
      </w:r>
      <w:r w:rsidR="00C77246" w:rsidRPr="009D39D5">
        <w:rPr>
          <w:lang w:val="es-ES"/>
        </w:rPr>
        <w:t>esos tribunales</w:t>
      </w:r>
      <w:r w:rsidR="00FF32BB" w:rsidRPr="009D39D5">
        <w:rPr>
          <w:lang w:val="es-ES"/>
        </w:rPr>
        <w:t xml:space="preserve">.  </w:t>
      </w:r>
      <w:r w:rsidR="00C77246" w:rsidRPr="009D39D5">
        <w:rPr>
          <w:lang w:val="es-ES"/>
        </w:rPr>
        <w:t xml:space="preserve">Esas controversias tienen lugar a menudo de forma paralela y, además de la multiplicación evidente de los costos </w:t>
      </w:r>
      <w:r w:rsidR="0066472D" w:rsidRPr="009D39D5">
        <w:rPr>
          <w:lang w:val="es-ES"/>
        </w:rPr>
        <w:t>vinculados a</w:t>
      </w:r>
      <w:r w:rsidR="00C77246" w:rsidRPr="009D39D5">
        <w:rPr>
          <w:lang w:val="es-ES"/>
        </w:rPr>
        <w:t xml:space="preserve"> múltiples procedimientos </w:t>
      </w:r>
      <w:r w:rsidR="00A93EDF" w:rsidRPr="009D39D5">
        <w:rPr>
          <w:lang w:val="es-ES"/>
        </w:rPr>
        <w:t>paralelos</w:t>
      </w:r>
      <w:r w:rsidR="00C77246" w:rsidRPr="009D39D5">
        <w:rPr>
          <w:lang w:val="es-ES"/>
        </w:rPr>
        <w:t xml:space="preserve">, el costo y la </w:t>
      </w:r>
      <w:r w:rsidR="00A93EDF" w:rsidRPr="009D39D5">
        <w:rPr>
          <w:lang w:val="es-ES"/>
        </w:rPr>
        <w:t>dificultad</w:t>
      </w:r>
      <w:r w:rsidR="00C77246" w:rsidRPr="009D39D5">
        <w:rPr>
          <w:lang w:val="es-ES"/>
        </w:rPr>
        <w:t xml:space="preserve"> de gestionar con eficacia pleitos judiciales en relación con la P.I. que </w:t>
      </w:r>
      <w:r w:rsidR="0066472D" w:rsidRPr="009D39D5">
        <w:rPr>
          <w:lang w:val="es-ES"/>
        </w:rPr>
        <w:t>conciernen a</w:t>
      </w:r>
      <w:r w:rsidR="00C77246" w:rsidRPr="009D39D5">
        <w:rPr>
          <w:lang w:val="es-ES"/>
        </w:rPr>
        <w:t xml:space="preserve"> varias jurisdicciones en </w:t>
      </w:r>
      <w:r w:rsidR="0066472D" w:rsidRPr="009D39D5">
        <w:rPr>
          <w:lang w:val="es-ES"/>
        </w:rPr>
        <w:t>esas</w:t>
      </w:r>
      <w:r w:rsidR="00C77246" w:rsidRPr="009D39D5">
        <w:rPr>
          <w:lang w:val="es-ES"/>
        </w:rPr>
        <w:t xml:space="preserve"> circunstancias aumenta </w:t>
      </w:r>
      <w:r w:rsidR="00151A6E" w:rsidRPr="009D39D5">
        <w:rPr>
          <w:lang w:val="es-ES"/>
        </w:rPr>
        <w:t xml:space="preserve">de manera </w:t>
      </w:r>
      <w:r w:rsidR="0066472D" w:rsidRPr="009D39D5">
        <w:rPr>
          <w:lang w:val="es-ES"/>
        </w:rPr>
        <w:t>rápida</w:t>
      </w:r>
      <w:r w:rsidR="00D91272" w:rsidRPr="009D39D5">
        <w:rPr>
          <w:lang w:val="es-ES"/>
        </w:rPr>
        <w:t xml:space="preserve"> </w:t>
      </w:r>
      <w:r w:rsidR="0066472D" w:rsidRPr="009D39D5">
        <w:rPr>
          <w:lang w:val="es-ES"/>
        </w:rPr>
        <w:t>con</w:t>
      </w:r>
      <w:r w:rsidR="00151A6E" w:rsidRPr="009D39D5">
        <w:rPr>
          <w:lang w:val="es-ES"/>
        </w:rPr>
        <w:t xml:space="preserve"> la cantidad de esos pleitos judiciales paralelos porque es necesario velar por que las posturas adoptadas en el pleito judicial en una jurisdicción no estén en contradicción con las </w:t>
      </w:r>
      <w:r w:rsidR="00D91272" w:rsidRPr="009D39D5">
        <w:rPr>
          <w:lang w:val="es-ES"/>
        </w:rPr>
        <w:t xml:space="preserve">que se </w:t>
      </w:r>
      <w:r w:rsidR="00151A6E" w:rsidRPr="009D39D5">
        <w:rPr>
          <w:lang w:val="es-ES"/>
        </w:rPr>
        <w:t>toma</w:t>
      </w:r>
      <w:r w:rsidR="00D91272" w:rsidRPr="009D39D5">
        <w:rPr>
          <w:lang w:val="es-ES"/>
        </w:rPr>
        <w:t xml:space="preserve">n </w:t>
      </w:r>
      <w:r w:rsidR="00151A6E" w:rsidRPr="009D39D5">
        <w:rPr>
          <w:lang w:val="es-ES"/>
        </w:rPr>
        <w:t>en otra.</w:t>
      </w:r>
    </w:p>
    <w:p w:rsidR="00647F99" w:rsidRPr="009D39D5" w:rsidRDefault="00647F99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151A6E" w:rsidRPr="009D39D5">
        <w:rPr>
          <w:lang w:val="es-ES"/>
        </w:rPr>
        <w:t xml:space="preserve">Por lo general, los tribunales nacionales se </w:t>
      </w:r>
      <w:r w:rsidR="00D91272" w:rsidRPr="009D39D5">
        <w:rPr>
          <w:lang w:val="es-ES"/>
        </w:rPr>
        <w:t>han mostrado</w:t>
      </w:r>
      <w:r w:rsidR="00151A6E" w:rsidRPr="009D39D5">
        <w:rPr>
          <w:lang w:val="es-ES"/>
        </w:rPr>
        <w:t xml:space="preserve"> reticentes a manifestar sus opiniones sobre la infracción de derechos de P.I. extranjeros e, incluso, </w:t>
      </w:r>
      <w:r w:rsidR="00D91272" w:rsidRPr="009D39D5">
        <w:rPr>
          <w:lang w:val="es-ES"/>
        </w:rPr>
        <w:t xml:space="preserve">aún </w:t>
      </w:r>
      <w:r w:rsidR="00151A6E" w:rsidRPr="009D39D5">
        <w:rPr>
          <w:lang w:val="es-ES"/>
        </w:rPr>
        <w:t xml:space="preserve">más </w:t>
      </w:r>
      <w:r w:rsidR="00D91272" w:rsidRPr="009D39D5">
        <w:rPr>
          <w:lang w:val="es-ES"/>
        </w:rPr>
        <w:t>reacios</w:t>
      </w:r>
      <w:r w:rsidR="00151A6E" w:rsidRPr="009D39D5">
        <w:rPr>
          <w:lang w:val="es-ES"/>
        </w:rPr>
        <w:t xml:space="preserve"> a opinar en cuanto a la validez de esos derechos.  En cambio, gracias al arbitraje</w:t>
      </w:r>
      <w:r w:rsidR="00C32EAC" w:rsidRPr="009D39D5">
        <w:rPr>
          <w:lang w:val="es-ES"/>
        </w:rPr>
        <w:t>,</w:t>
      </w:r>
      <w:r w:rsidR="00151A6E" w:rsidRPr="009D39D5">
        <w:rPr>
          <w:lang w:val="es-ES"/>
        </w:rPr>
        <w:t xml:space="preserve"> las partes pueden </w:t>
      </w:r>
      <w:r w:rsidR="00D91272" w:rsidRPr="009D39D5">
        <w:rPr>
          <w:lang w:val="es-ES"/>
        </w:rPr>
        <w:t>determinar</w:t>
      </w:r>
      <w:r w:rsidR="00B75D7D" w:rsidRPr="009D39D5">
        <w:rPr>
          <w:lang w:val="es-ES"/>
        </w:rPr>
        <w:t xml:space="preserve"> la infracción y la validez de </w:t>
      </w:r>
      <w:r w:rsidR="004D5C1C">
        <w:rPr>
          <w:lang w:val="es-ES"/>
        </w:rPr>
        <w:t>varios</w:t>
      </w:r>
      <w:r w:rsidR="00B75D7D" w:rsidRPr="009D39D5">
        <w:rPr>
          <w:lang w:val="es-ES"/>
        </w:rPr>
        <w:t xml:space="preserve"> derechos de P.I. paralelos en distintos países mediante un único procedimiento, lo que se traduce en un laudo con efecto </w:t>
      </w:r>
      <w:r w:rsidR="00647F99" w:rsidRPr="009D39D5">
        <w:rPr>
          <w:i/>
          <w:lang w:val="es-ES"/>
        </w:rPr>
        <w:t>inter partes</w:t>
      </w:r>
      <w:r w:rsidR="00D91272" w:rsidRPr="009D39D5">
        <w:rPr>
          <w:i/>
          <w:lang w:val="es-ES"/>
        </w:rPr>
        <w:t>,</w:t>
      </w:r>
      <w:r w:rsidR="00647F99" w:rsidRPr="009D39D5">
        <w:rPr>
          <w:lang w:val="es-ES"/>
        </w:rPr>
        <w:t xml:space="preserve"> </w:t>
      </w:r>
      <w:r w:rsidR="00B75D7D" w:rsidRPr="009D39D5">
        <w:rPr>
          <w:lang w:val="es-ES"/>
        </w:rPr>
        <w:t>y que no pretende tener efecto</w:t>
      </w:r>
      <w:r w:rsidR="00647F99" w:rsidRPr="009D39D5">
        <w:rPr>
          <w:lang w:val="es-ES"/>
        </w:rPr>
        <w:t xml:space="preserve"> </w:t>
      </w:r>
      <w:r w:rsidR="00647F99" w:rsidRPr="009D39D5">
        <w:rPr>
          <w:i/>
          <w:lang w:val="es-ES"/>
        </w:rPr>
        <w:t>erga omnes</w:t>
      </w:r>
      <w:r w:rsidR="00647F99" w:rsidRPr="009D39D5">
        <w:rPr>
          <w:lang w:val="es-ES"/>
        </w:rPr>
        <w:t xml:space="preserve">.  </w:t>
      </w:r>
      <w:r w:rsidR="00B75D7D" w:rsidRPr="009D39D5">
        <w:rPr>
          <w:lang w:val="es-ES"/>
        </w:rPr>
        <w:t xml:space="preserve">No obstante, en el marco de un arbitraje relacionado con derechos de P.I. paralelos en diferentes jurisdicciones, cada uno </w:t>
      </w:r>
      <w:r w:rsidR="00D91272" w:rsidRPr="009D39D5">
        <w:rPr>
          <w:lang w:val="es-ES"/>
        </w:rPr>
        <w:t>sujeto</w:t>
      </w:r>
      <w:r w:rsidR="00B75D7D" w:rsidRPr="009D39D5">
        <w:rPr>
          <w:lang w:val="es-ES"/>
        </w:rPr>
        <w:t xml:space="preserve"> a distintas legislaciones </w:t>
      </w:r>
      <w:r w:rsidR="00D91272" w:rsidRPr="009D39D5">
        <w:rPr>
          <w:lang w:val="es-ES"/>
        </w:rPr>
        <w:t>aplicables</w:t>
      </w:r>
      <w:r w:rsidR="00B75D7D" w:rsidRPr="009D39D5">
        <w:rPr>
          <w:lang w:val="es-ES"/>
        </w:rPr>
        <w:t xml:space="preserve">, las partes en el arbitraje podrán, si lo desean, especificar que </w:t>
      </w:r>
      <w:r w:rsidR="00D91272" w:rsidRPr="009D39D5">
        <w:rPr>
          <w:lang w:val="es-ES"/>
        </w:rPr>
        <w:t>se</w:t>
      </w:r>
      <w:r w:rsidR="00B75D7D" w:rsidRPr="009D39D5">
        <w:rPr>
          <w:lang w:val="es-ES"/>
        </w:rPr>
        <w:t xml:space="preserve"> aplicar</w:t>
      </w:r>
      <w:r w:rsidR="00D91272" w:rsidRPr="009D39D5">
        <w:rPr>
          <w:lang w:val="es-ES"/>
        </w:rPr>
        <w:t>á</w:t>
      </w:r>
      <w:r w:rsidR="00B75D7D" w:rsidRPr="009D39D5">
        <w:rPr>
          <w:lang w:val="es-ES"/>
        </w:rPr>
        <w:t xml:space="preserve"> una sola legislación pertinente a la controversia.</w:t>
      </w:r>
      <w:r w:rsidR="00647F99" w:rsidRPr="009D39D5">
        <w:rPr>
          <w:lang w:val="es-ES"/>
        </w:rPr>
        <w:t xml:space="preserve">  </w:t>
      </w:r>
      <w:r w:rsidR="00B75D7D" w:rsidRPr="009D39D5">
        <w:rPr>
          <w:lang w:val="es-ES"/>
        </w:rPr>
        <w:t xml:space="preserve">Otra posibilidad es que </w:t>
      </w:r>
      <w:r w:rsidR="00D91272" w:rsidRPr="009D39D5">
        <w:rPr>
          <w:lang w:val="es-ES"/>
        </w:rPr>
        <w:t xml:space="preserve">las partes </w:t>
      </w:r>
      <w:r w:rsidR="00655803" w:rsidRPr="009D39D5">
        <w:rPr>
          <w:lang w:val="es-ES"/>
        </w:rPr>
        <w:t xml:space="preserve">dejen que la decisión sobre la controversia </w:t>
      </w:r>
      <w:r w:rsidR="00D91272" w:rsidRPr="009D39D5">
        <w:rPr>
          <w:lang w:val="es-ES"/>
        </w:rPr>
        <w:t xml:space="preserve">se adopte de conformidad </w:t>
      </w:r>
      <w:r w:rsidR="00655803" w:rsidRPr="009D39D5">
        <w:rPr>
          <w:lang w:val="es-ES"/>
        </w:rPr>
        <w:t xml:space="preserve">con las diferentes legislaciones </w:t>
      </w:r>
      <w:r w:rsidR="00D91272" w:rsidRPr="009D39D5">
        <w:rPr>
          <w:lang w:val="es-ES"/>
        </w:rPr>
        <w:t>vigentes en</w:t>
      </w:r>
      <w:r w:rsidR="00655803" w:rsidRPr="009D39D5">
        <w:rPr>
          <w:lang w:val="es-ES"/>
        </w:rPr>
        <w:t xml:space="preserve"> cada país en el que ha tenido lugar la supuesta infracción.</w:t>
      </w:r>
      <w:r w:rsidR="00647F99" w:rsidRPr="009D39D5">
        <w:rPr>
          <w:lang w:val="es-ES"/>
        </w:rPr>
        <w:t xml:space="preserve">  </w:t>
      </w:r>
      <w:r w:rsidR="00655803" w:rsidRPr="009D39D5">
        <w:rPr>
          <w:lang w:val="es-ES"/>
        </w:rPr>
        <w:t>Estos procedimientos, que es muy difícil que un tribunal nacional</w:t>
      </w:r>
      <w:r w:rsidR="00D91272" w:rsidRPr="009D39D5">
        <w:rPr>
          <w:lang w:val="es-ES"/>
        </w:rPr>
        <w:t xml:space="preserve"> pueda llevar a cabo</w:t>
      </w:r>
      <w:r w:rsidR="00655803" w:rsidRPr="009D39D5">
        <w:rPr>
          <w:lang w:val="es-ES"/>
        </w:rPr>
        <w:t>, han tenido lugar en la práctica ante árbitros.</w:t>
      </w:r>
    </w:p>
    <w:p w:rsidR="00647F99" w:rsidRPr="009D39D5" w:rsidRDefault="00647F99" w:rsidP="008A3947">
      <w:pPr>
        <w:rPr>
          <w:lang w:val="es-ES"/>
        </w:rPr>
      </w:pPr>
    </w:p>
    <w:p w:rsidR="00B34229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C32EAC" w:rsidRPr="009D39D5">
        <w:rPr>
          <w:lang w:val="es-ES"/>
        </w:rPr>
        <w:t>Sin embargo, el arbitraje de las controversias en materia de P.I. tiene sus limitaciones, y la más importante se deriva de su carácter consensual que impone</w:t>
      </w:r>
      <w:r w:rsidR="00AC616D" w:rsidRPr="009D39D5">
        <w:rPr>
          <w:lang w:val="es-ES"/>
        </w:rPr>
        <w:t>,</w:t>
      </w:r>
      <w:r w:rsidR="00C32EAC" w:rsidRPr="009D39D5">
        <w:rPr>
          <w:lang w:val="es-ES"/>
        </w:rPr>
        <w:t xml:space="preserve"> inevitablemente</w:t>
      </w:r>
      <w:r w:rsidR="00AC616D" w:rsidRPr="009D39D5">
        <w:rPr>
          <w:lang w:val="es-ES"/>
        </w:rPr>
        <w:t>,</w:t>
      </w:r>
      <w:r w:rsidR="00C32EAC" w:rsidRPr="009D39D5">
        <w:rPr>
          <w:lang w:val="es-ES"/>
        </w:rPr>
        <w:t xml:space="preserve"> algunas restricciones en cuanto a la idoneidad del proceso en relación</w:t>
      </w:r>
      <w:r w:rsidR="00AC616D" w:rsidRPr="009D39D5">
        <w:rPr>
          <w:lang w:val="es-ES"/>
        </w:rPr>
        <w:t>, por ejemplo,</w:t>
      </w:r>
      <w:r w:rsidR="00C32EAC" w:rsidRPr="009D39D5">
        <w:rPr>
          <w:lang w:val="es-ES"/>
        </w:rPr>
        <w:t xml:space="preserve"> con los actos </w:t>
      </w:r>
      <w:r w:rsidR="00AC616D" w:rsidRPr="009D39D5">
        <w:rPr>
          <w:lang w:val="es-ES"/>
        </w:rPr>
        <w:t xml:space="preserve">llevados a cabo de forma deliberada e intencional </w:t>
      </w:r>
      <w:r w:rsidR="009E43F5" w:rsidRPr="009D39D5">
        <w:rPr>
          <w:lang w:val="es-ES"/>
        </w:rPr>
        <w:t xml:space="preserve">que constituyan una </w:t>
      </w:r>
      <w:r w:rsidR="00C32EAC" w:rsidRPr="009D39D5">
        <w:rPr>
          <w:lang w:val="es-ES"/>
        </w:rPr>
        <w:t>infracción</w:t>
      </w:r>
      <w:r w:rsidR="00647F99" w:rsidRPr="009D39D5">
        <w:rPr>
          <w:lang w:val="es-ES"/>
        </w:rPr>
        <w:t xml:space="preserve">, </w:t>
      </w:r>
      <w:r w:rsidR="009E43F5" w:rsidRPr="009D39D5">
        <w:rPr>
          <w:lang w:val="es-ES"/>
        </w:rPr>
        <w:t xml:space="preserve">a diferencia de </w:t>
      </w:r>
      <w:r w:rsidR="00AC616D" w:rsidRPr="009D39D5">
        <w:rPr>
          <w:lang w:val="es-ES"/>
        </w:rPr>
        <w:t xml:space="preserve">una demanda ante </w:t>
      </w:r>
      <w:r w:rsidR="009E43F5" w:rsidRPr="009D39D5">
        <w:rPr>
          <w:lang w:val="es-ES"/>
        </w:rPr>
        <w:t>los tribunales de derecho civil</w:t>
      </w:r>
      <w:r w:rsidR="00AC616D" w:rsidRPr="009D39D5">
        <w:rPr>
          <w:lang w:val="es-ES"/>
        </w:rPr>
        <w:t xml:space="preserve"> o</w:t>
      </w:r>
      <w:r w:rsidR="009E43F5" w:rsidRPr="009D39D5">
        <w:rPr>
          <w:lang w:val="es-ES"/>
        </w:rPr>
        <w:t xml:space="preserve"> los tribunales de derecho penal</w:t>
      </w:r>
      <w:r w:rsidR="00AC616D" w:rsidRPr="009D39D5">
        <w:rPr>
          <w:lang w:val="es-ES"/>
        </w:rPr>
        <w:t>,</w:t>
      </w:r>
      <w:r w:rsidR="009E43F5" w:rsidRPr="009D39D5">
        <w:rPr>
          <w:lang w:val="es-ES"/>
        </w:rPr>
        <w:t xml:space="preserve"> y las medidas en frontera.</w:t>
      </w:r>
      <w:r w:rsidR="00647F99" w:rsidRPr="009D39D5">
        <w:rPr>
          <w:lang w:val="es-ES"/>
        </w:rPr>
        <w:t xml:space="preserve"> </w:t>
      </w:r>
      <w:r w:rsidR="009E43F5" w:rsidRPr="009D39D5">
        <w:rPr>
          <w:lang w:val="es-ES"/>
        </w:rPr>
        <w:t xml:space="preserve"> Asimismo, </w:t>
      </w:r>
      <w:r w:rsidR="00EF1620" w:rsidRPr="009D39D5">
        <w:rPr>
          <w:lang w:val="es-ES"/>
        </w:rPr>
        <w:t>la situación indefinida de los laudos provisionales</w:t>
      </w:r>
      <w:r w:rsidR="00AC616D" w:rsidRPr="009D39D5">
        <w:rPr>
          <w:lang w:val="es-ES"/>
        </w:rPr>
        <w:t>,</w:t>
      </w:r>
      <w:r w:rsidR="00EF1620" w:rsidRPr="009D39D5">
        <w:rPr>
          <w:lang w:val="es-ES"/>
        </w:rPr>
        <w:t xml:space="preserve"> con</w:t>
      </w:r>
      <w:r w:rsidR="00AC616D" w:rsidRPr="009D39D5">
        <w:rPr>
          <w:lang w:val="es-ES"/>
        </w:rPr>
        <w:t>forme</w:t>
      </w:r>
      <w:r w:rsidR="00EF1620" w:rsidRPr="009D39D5">
        <w:rPr>
          <w:lang w:val="es-ES"/>
        </w:rPr>
        <w:t xml:space="preserve"> a la Convención de Nueva</w:t>
      </w:r>
      <w:r w:rsidR="00647F99" w:rsidRPr="009D39D5">
        <w:rPr>
          <w:lang w:val="es-ES"/>
        </w:rPr>
        <w:t xml:space="preserve"> York</w:t>
      </w:r>
      <w:r w:rsidR="00AC616D" w:rsidRPr="009D39D5">
        <w:rPr>
          <w:lang w:val="es-ES"/>
        </w:rPr>
        <w:t>,</w:t>
      </w:r>
      <w:r w:rsidR="00647F99" w:rsidRPr="009D39D5">
        <w:rPr>
          <w:lang w:val="es-ES"/>
        </w:rPr>
        <w:t xml:space="preserve"> </w:t>
      </w:r>
      <w:r w:rsidR="00EF1620" w:rsidRPr="009D39D5">
        <w:rPr>
          <w:lang w:val="es-ES"/>
        </w:rPr>
        <w:t xml:space="preserve">y </w:t>
      </w:r>
      <w:r w:rsidR="00AC616D" w:rsidRPr="009D39D5">
        <w:rPr>
          <w:lang w:val="es-ES"/>
        </w:rPr>
        <w:t xml:space="preserve">el </w:t>
      </w:r>
      <w:r w:rsidR="00EF1620" w:rsidRPr="009D39D5">
        <w:rPr>
          <w:lang w:val="es-ES"/>
        </w:rPr>
        <w:t xml:space="preserve">trato </w:t>
      </w:r>
      <w:r w:rsidR="00AC616D" w:rsidRPr="009D39D5">
        <w:rPr>
          <w:lang w:val="es-ES"/>
        </w:rPr>
        <w:t xml:space="preserve">distinto que </w:t>
      </w:r>
      <w:r w:rsidR="001960CA">
        <w:rPr>
          <w:lang w:val="es-ES"/>
        </w:rPr>
        <w:t xml:space="preserve">se les </w:t>
      </w:r>
      <w:r w:rsidR="00AC616D" w:rsidRPr="009D39D5">
        <w:rPr>
          <w:lang w:val="es-ES"/>
        </w:rPr>
        <w:t xml:space="preserve">dispensa </w:t>
      </w:r>
      <w:r w:rsidR="00EF1620" w:rsidRPr="009D39D5">
        <w:rPr>
          <w:lang w:val="es-ES"/>
        </w:rPr>
        <w:t xml:space="preserve">en los diferentes países puede </w:t>
      </w:r>
      <w:r w:rsidR="00AC616D" w:rsidRPr="009D39D5">
        <w:rPr>
          <w:lang w:val="es-ES"/>
        </w:rPr>
        <w:t>significar</w:t>
      </w:r>
      <w:r w:rsidR="00EF1620" w:rsidRPr="009D39D5">
        <w:rPr>
          <w:lang w:val="es-ES"/>
        </w:rPr>
        <w:t xml:space="preserve"> que el procedimiento de arbitraje se</w:t>
      </w:r>
      <w:r w:rsidR="00AC616D" w:rsidRPr="009D39D5">
        <w:rPr>
          <w:lang w:val="es-ES"/>
        </w:rPr>
        <w:t>a</w:t>
      </w:r>
      <w:r w:rsidR="00EF1620" w:rsidRPr="009D39D5">
        <w:rPr>
          <w:lang w:val="es-ES"/>
        </w:rPr>
        <w:t xml:space="preserve"> menos idóneo que </w:t>
      </w:r>
      <w:r w:rsidR="00AC616D" w:rsidRPr="009D39D5">
        <w:rPr>
          <w:lang w:val="es-ES"/>
        </w:rPr>
        <w:t>el</w:t>
      </w:r>
      <w:r w:rsidR="00EF1620" w:rsidRPr="009D39D5">
        <w:rPr>
          <w:lang w:val="es-ES"/>
        </w:rPr>
        <w:t xml:space="preserve"> pleito judicial para las controversias en materia de P.I. que</w:t>
      </w:r>
      <w:r w:rsidR="00AC616D" w:rsidRPr="009D39D5">
        <w:rPr>
          <w:lang w:val="es-ES"/>
        </w:rPr>
        <w:t>,</w:t>
      </w:r>
      <w:r w:rsidR="00EF1620" w:rsidRPr="009D39D5">
        <w:rPr>
          <w:lang w:val="es-ES"/>
        </w:rPr>
        <w:t xml:space="preserve"> probablemente</w:t>
      </w:r>
      <w:r w:rsidR="00AC616D" w:rsidRPr="009D39D5">
        <w:rPr>
          <w:lang w:val="es-ES"/>
        </w:rPr>
        <w:t>,</w:t>
      </w:r>
      <w:r w:rsidR="00EF1620" w:rsidRPr="009D39D5">
        <w:rPr>
          <w:lang w:val="es-ES"/>
        </w:rPr>
        <w:t xml:space="preserve"> </w:t>
      </w:r>
      <w:r w:rsidR="00AC616D" w:rsidRPr="009D39D5">
        <w:rPr>
          <w:lang w:val="es-ES"/>
        </w:rPr>
        <w:t>conten</w:t>
      </w:r>
      <w:r w:rsidR="00EF1620" w:rsidRPr="009D39D5">
        <w:rPr>
          <w:lang w:val="es-ES"/>
        </w:rPr>
        <w:t xml:space="preserve">gan </w:t>
      </w:r>
      <w:r w:rsidR="00AC616D" w:rsidRPr="009D39D5">
        <w:rPr>
          <w:lang w:val="es-ES"/>
        </w:rPr>
        <w:t>solicitudes de concesión de medidas de subsanación</w:t>
      </w:r>
      <w:r w:rsidR="00EF1620" w:rsidRPr="009D39D5">
        <w:rPr>
          <w:lang w:val="es-ES"/>
        </w:rPr>
        <w:t xml:space="preserve"> provisional</w:t>
      </w:r>
      <w:r w:rsidR="00AC616D" w:rsidRPr="009D39D5">
        <w:rPr>
          <w:lang w:val="es-ES"/>
        </w:rPr>
        <w:t>es</w:t>
      </w:r>
      <w:r w:rsidR="00EF1620" w:rsidRPr="009D39D5">
        <w:rPr>
          <w:lang w:val="es-ES"/>
        </w:rPr>
        <w:t>.  Ahora bien, es</w:t>
      </w:r>
      <w:r w:rsidR="00AC616D" w:rsidRPr="009D39D5">
        <w:rPr>
          <w:lang w:val="es-ES"/>
        </w:rPr>
        <w:t>a</w:t>
      </w:r>
      <w:r w:rsidR="00EF1620" w:rsidRPr="009D39D5">
        <w:rPr>
          <w:lang w:val="es-ES"/>
        </w:rPr>
        <w:t xml:space="preserve"> cuestión no concierne solo a la P.I.</w:t>
      </w:r>
      <w:r w:rsidR="00647F99" w:rsidRPr="009D39D5">
        <w:rPr>
          <w:lang w:val="es-ES"/>
        </w:rPr>
        <w:t xml:space="preserve"> </w:t>
      </w:r>
    </w:p>
    <w:p w:rsidR="00B34229" w:rsidRDefault="00B34229">
      <w:pPr>
        <w:rPr>
          <w:lang w:val="es-ES"/>
        </w:rPr>
      </w:pPr>
      <w:r>
        <w:rPr>
          <w:lang w:val="es-ES"/>
        </w:rPr>
        <w:br w:type="page"/>
      </w:r>
    </w:p>
    <w:p w:rsidR="00647F99" w:rsidRPr="009D39D5" w:rsidRDefault="006151FC" w:rsidP="00B34229">
      <w:pPr>
        <w:pStyle w:val="Heading2"/>
        <w:numPr>
          <w:ilvl w:val="0"/>
          <w:numId w:val="12"/>
        </w:numPr>
        <w:tabs>
          <w:tab w:val="left" w:pos="567"/>
        </w:tabs>
        <w:ind w:left="567" w:hanging="567"/>
        <w:rPr>
          <w:lang w:val="es-ES"/>
        </w:rPr>
      </w:pPr>
      <w:r>
        <w:rPr>
          <w:lang w:val="es-ES"/>
        </w:rPr>
        <w:lastRenderedPageBreak/>
        <w:t xml:space="preserve">EL USO EXISTENTE </w:t>
      </w:r>
      <w:r w:rsidR="00EF1620" w:rsidRPr="009D39D5">
        <w:rPr>
          <w:lang w:val="es-ES"/>
        </w:rPr>
        <w:t>de la</w:t>
      </w:r>
      <w:r w:rsidR="00647F99" w:rsidRPr="009D39D5">
        <w:rPr>
          <w:lang w:val="es-ES"/>
        </w:rPr>
        <w:t xml:space="preserve"> </w:t>
      </w:r>
      <w:r w:rsidR="00707527" w:rsidRPr="009D39D5">
        <w:rPr>
          <w:lang w:val="es-ES"/>
        </w:rPr>
        <w:t>SOLUCIÓN EXTRAJUDICIAL DE CONTROVERSIAS</w:t>
      </w:r>
      <w:r w:rsidR="00647F99" w:rsidRPr="009D39D5">
        <w:rPr>
          <w:lang w:val="es-ES"/>
        </w:rPr>
        <w:t xml:space="preserve"> </w:t>
      </w:r>
      <w:r w:rsidR="00EF1620" w:rsidRPr="009D39D5">
        <w:rPr>
          <w:lang w:val="es-ES"/>
        </w:rPr>
        <w:t>para la observancia de los derechos de P.I.</w:t>
      </w:r>
    </w:p>
    <w:p w:rsidR="00EF1620" w:rsidRPr="009D39D5" w:rsidRDefault="00EF1620" w:rsidP="00B34229">
      <w:pPr>
        <w:keepNext/>
        <w:rPr>
          <w:lang w:val="es-ES"/>
        </w:rPr>
      </w:pPr>
    </w:p>
    <w:p w:rsidR="00647F99" w:rsidRPr="009D39D5" w:rsidRDefault="00B90185" w:rsidP="008A3947">
      <w:pPr>
        <w:numPr>
          <w:ilvl w:val="0"/>
          <w:numId w:val="17"/>
        </w:numPr>
        <w:ind w:left="1134" w:hanging="567"/>
        <w:rPr>
          <w:lang w:val="es-ES"/>
        </w:rPr>
      </w:pPr>
      <w:r w:rsidRPr="009D39D5">
        <w:rPr>
          <w:lang w:val="es-ES"/>
        </w:rPr>
        <w:t xml:space="preserve">Las demandas por infracción en controversias </w:t>
      </w:r>
      <w:r w:rsidR="00647F99" w:rsidRPr="009D39D5">
        <w:rPr>
          <w:lang w:val="es-ES"/>
        </w:rPr>
        <w:t>contractual</w:t>
      </w:r>
      <w:r w:rsidRPr="009D39D5">
        <w:rPr>
          <w:lang w:val="es-ES"/>
        </w:rPr>
        <w:t>es y</w:t>
      </w:r>
      <w:r w:rsidR="00647F99" w:rsidRPr="009D39D5">
        <w:rPr>
          <w:lang w:val="es-ES"/>
        </w:rPr>
        <w:t xml:space="preserve"> </w:t>
      </w:r>
      <w:r w:rsidRPr="009D39D5">
        <w:rPr>
          <w:lang w:val="es-ES"/>
        </w:rPr>
        <w:t>(</w:t>
      </w:r>
      <w:r w:rsidR="003E1343">
        <w:rPr>
          <w:lang w:val="es-ES"/>
        </w:rPr>
        <w:t>en</w:t>
      </w:r>
      <w:r w:rsidRPr="009D39D5">
        <w:rPr>
          <w:lang w:val="es-ES"/>
        </w:rPr>
        <w:t xml:space="preserve"> principio) </w:t>
      </w:r>
      <w:r w:rsidR="00647F99" w:rsidRPr="009D39D5">
        <w:rPr>
          <w:lang w:val="es-ES"/>
        </w:rPr>
        <w:t>no</w:t>
      </w:r>
      <w:r w:rsidRPr="009D39D5">
        <w:rPr>
          <w:lang w:val="es-ES"/>
        </w:rPr>
        <w:t xml:space="preserve"> </w:t>
      </w:r>
      <w:r w:rsidR="00647F99" w:rsidRPr="009D39D5">
        <w:rPr>
          <w:lang w:val="es-ES"/>
        </w:rPr>
        <w:t>contractuales</w:t>
      </w:r>
    </w:p>
    <w:p w:rsidR="007F1AEB" w:rsidRPr="009D39D5" w:rsidRDefault="007F1AEB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B90185" w:rsidRPr="009D39D5">
        <w:rPr>
          <w:lang w:val="es-ES"/>
        </w:rPr>
        <w:t>La solución extrajudicial de controversias y, en particular, el arbitraje, puede utilizarse en el marc</w:t>
      </w:r>
      <w:r w:rsidR="001D4524" w:rsidRPr="009D39D5">
        <w:rPr>
          <w:lang w:val="es-ES"/>
        </w:rPr>
        <w:t>o</w:t>
      </w:r>
      <w:r w:rsidR="00B90185" w:rsidRPr="009D39D5">
        <w:rPr>
          <w:lang w:val="es-ES"/>
        </w:rPr>
        <w:t xml:space="preserve"> de controversias </w:t>
      </w:r>
      <w:r w:rsidR="0066472D" w:rsidRPr="009D39D5">
        <w:rPr>
          <w:lang w:val="es-ES"/>
        </w:rPr>
        <w:t>para determinar</w:t>
      </w:r>
      <w:r w:rsidR="00B90185" w:rsidRPr="009D39D5">
        <w:rPr>
          <w:lang w:val="es-ES"/>
        </w:rPr>
        <w:t xml:space="preserve"> si ha habido infracción </w:t>
      </w:r>
      <w:r w:rsidR="00082AEB" w:rsidRPr="009D39D5">
        <w:rPr>
          <w:lang w:val="es-ES"/>
        </w:rPr>
        <w:t>de</w:t>
      </w:r>
      <w:r w:rsidR="00B90185" w:rsidRPr="009D39D5">
        <w:rPr>
          <w:lang w:val="es-ES"/>
        </w:rPr>
        <w:t xml:space="preserve"> un derecho de P.I</w:t>
      </w:r>
      <w:r w:rsidR="00FF32BB" w:rsidRPr="009D39D5">
        <w:rPr>
          <w:lang w:val="es-ES"/>
        </w:rPr>
        <w:t xml:space="preserve">.  </w:t>
      </w:r>
      <w:r w:rsidR="00647F99" w:rsidRPr="009D39D5">
        <w:rPr>
          <w:lang w:val="es-ES"/>
        </w:rPr>
        <w:t xml:space="preserve"> </w:t>
      </w:r>
      <w:r w:rsidR="001D4524" w:rsidRPr="009D39D5">
        <w:rPr>
          <w:lang w:val="es-ES"/>
        </w:rPr>
        <w:t>Esta solución abarcará</w:t>
      </w:r>
      <w:r w:rsidR="00AC616D" w:rsidRPr="009D39D5">
        <w:rPr>
          <w:lang w:val="es-ES"/>
        </w:rPr>
        <w:t>,</w:t>
      </w:r>
      <w:r w:rsidR="001D4524" w:rsidRPr="009D39D5">
        <w:rPr>
          <w:lang w:val="es-ES"/>
        </w:rPr>
        <w:t xml:space="preserve"> tanto en las controversias </w:t>
      </w:r>
      <w:r w:rsidR="00647F99" w:rsidRPr="009D39D5">
        <w:rPr>
          <w:lang w:val="es-ES"/>
        </w:rPr>
        <w:t>contractual</w:t>
      </w:r>
      <w:r w:rsidR="001D4524" w:rsidRPr="009D39D5">
        <w:rPr>
          <w:lang w:val="es-ES"/>
        </w:rPr>
        <w:t xml:space="preserve">es como no </w:t>
      </w:r>
      <w:r w:rsidR="00647F99" w:rsidRPr="009D39D5">
        <w:rPr>
          <w:lang w:val="es-ES"/>
        </w:rPr>
        <w:t>contractual</w:t>
      </w:r>
      <w:r w:rsidR="001D4524" w:rsidRPr="009D39D5">
        <w:rPr>
          <w:lang w:val="es-ES"/>
        </w:rPr>
        <w:t>es</w:t>
      </w:r>
      <w:r w:rsidR="00AC616D" w:rsidRPr="009D39D5">
        <w:rPr>
          <w:lang w:val="es-ES"/>
        </w:rPr>
        <w:t>,</w:t>
      </w:r>
      <w:r w:rsidR="00647F99" w:rsidRPr="009D39D5">
        <w:rPr>
          <w:lang w:val="es-ES"/>
        </w:rPr>
        <w:t xml:space="preserve"> </w:t>
      </w:r>
      <w:r w:rsidR="001D4524" w:rsidRPr="009D39D5">
        <w:rPr>
          <w:lang w:val="es-ES"/>
        </w:rPr>
        <w:t>una evaluación</w:t>
      </w:r>
      <w:r w:rsidR="00AC616D" w:rsidRPr="009D39D5">
        <w:rPr>
          <w:lang w:val="es-ES"/>
        </w:rPr>
        <w:t>,</w:t>
      </w:r>
      <w:r w:rsidR="001D4524" w:rsidRPr="009D39D5">
        <w:rPr>
          <w:lang w:val="es-ES"/>
        </w:rPr>
        <w:t xml:space="preserve"> conforme a </w:t>
      </w:r>
      <w:r w:rsidR="00AC616D" w:rsidRPr="009D39D5">
        <w:rPr>
          <w:lang w:val="es-ES"/>
        </w:rPr>
        <w:t xml:space="preserve">la </w:t>
      </w:r>
      <w:r w:rsidR="001D4524" w:rsidRPr="009D39D5">
        <w:rPr>
          <w:lang w:val="es-ES"/>
        </w:rPr>
        <w:t>le</w:t>
      </w:r>
      <w:r w:rsidR="00082AEB" w:rsidRPr="009D39D5">
        <w:rPr>
          <w:lang w:val="es-ES"/>
        </w:rPr>
        <w:t>gislación</w:t>
      </w:r>
      <w:r w:rsidR="001D4524" w:rsidRPr="009D39D5">
        <w:rPr>
          <w:lang w:val="es-ES"/>
        </w:rPr>
        <w:t xml:space="preserve"> aplicable</w:t>
      </w:r>
      <w:r w:rsidR="00647F99" w:rsidRPr="009D39D5">
        <w:rPr>
          <w:lang w:val="es-ES"/>
        </w:rPr>
        <w:t>, o</w:t>
      </w:r>
      <w:r w:rsidR="001D4524" w:rsidRPr="009D39D5">
        <w:rPr>
          <w:lang w:val="es-ES"/>
        </w:rPr>
        <w:t xml:space="preserve"> </w:t>
      </w:r>
      <w:r w:rsidR="00AC616D" w:rsidRPr="009D39D5">
        <w:rPr>
          <w:lang w:val="es-ES"/>
        </w:rPr>
        <w:t xml:space="preserve">a </w:t>
      </w:r>
      <w:r w:rsidR="001D4524" w:rsidRPr="009D39D5">
        <w:rPr>
          <w:lang w:val="es-ES"/>
        </w:rPr>
        <w:t>la le</w:t>
      </w:r>
      <w:r w:rsidR="00082AEB" w:rsidRPr="009D39D5">
        <w:rPr>
          <w:lang w:val="es-ES"/>
        </w:rPr>
        <w:t xml:space="preserve">gislación </w:t>
      </w:r>
      <w:r w:rsidR="001D4524" w:rsidRPr="009D39D5">
        <w:rPr>
          <w:lang w:val="es-ES"/>
        </w:rPr>
        <w:t xml:space="preserve">que las partes elijan, </w:t>
      </w:r>
      <w:r w:rsidR="00AC616D" w:rsidRPr="009D39D5">
        <w:rPr>
          <w:lang w:val="es-ES"/>
        </w:rPr>
        <w:t>del</w:t>
      </w:r>
      <w:r w:rsidR="001D4524" w:rsidRPr="009D39D5">
        <w:rPr>
          <w:lang w:val="es-ES"/>
        </w:rPr>
        <w:t xml:space="preserve"> alcance de </w:t>
      </w:r>
      <w:r w:rsidR="00AC616D" w:rsidRPr="009D39D5">
        <w:rPr>
          <w:lang w:val="es-ES"/>
        </w:rPr>
        <w:t xml:space="preserve">la </w:t>
      </w:r>
      <w:r w:rsidR="001D4524" w:rsidRPr="009D39D5">
        <w:rPr>
          <w:lang w:val="es-ES"/>
        </w:rPr>
        <w:t>protección del derecho o de los derechos de P.I. de que se trat</w:t>
      </w:r>
      <w:r w:rsidR="00AC616D" w:rsidRPr="009D39D5">
        <w:rPr>
          <w:lang w:val="es-ES"/>
        </w:rPr>
        <w:t>e</w:t>
      </w:r>
      <w:r w:rsidR="00FF32BB" w:rsidRPr="009D39D5">
        <w:rPr>
          <w:lang w:val="es-ES"/>
        </w:rPr>
        <w:t xml:space="preserve">.  </w:t>
      </w:r>
      <w:r w:rsidR="001D4524" w:rsidRPr="009D39D5">
        <w:rPr>
          <w:lang w:val="es-ES"/>
        </w:rPr>
        <w:t xml:space="preserve"> Podría ampliarse también, en particular en el contexto de las controversias </w:t>
      </w:r>
      <w:r w:rsidR="00647F99" w:rsidRPr="009D39D5">
        <w:rPr>
          <w:lang w:val="es-ES"/>
        </w:rPr>
        <w:t>no</w:t>
      </w:r>
      <w:r w:rsidR="001D4524" w:rsidRPr="009D39D5">
        <w:rPr>
          <w:lang w:val="es-ES"/>
        </w:rPr>
        <w:t xml:space="preserve"> </w:t>
      </w:r>
      <w:r w:rsidR="00647F99" w:rsidRPr="009D39D5">
        <w:rPr>
          <w:lang w:val="es-ES"/>
        </w:rPr>
        <w:t>contractual</w:t>
      </w:r>
      <w:r w:rsidR="001D4524" w:rsidRPr="009D39D5">
        <w:rPr>
          <w:lang w:val="es-ES"/>
        </w:rPr>
        <w:t xml:space="preserve">es que son </w:t>
      </w:r>
      <w:r w:rsidR="00AC616D" w:rsidRPr="009D39D5">
        <w:rPr>
          <w:lang w:val="es-ES"/>
        </w:rPr>
        <w:t xml:space="preserve">objeto </w:t>
      </w:r>
      <w:r w:rsidR="001D4524" w:rsidRPr="009D39D5">
        <w:rPr>
          <w:lang w:val="es-ES"/>
        </w:rPr>
        <w:t xml:space="preserve">de un acuerdo de </w:t>
      </w:r>
      <w:r w:rsidR="001115F7" w:rsidRPr="009D39D5">
        <w:rPr>
          <w:lang w:val="es-ES"/>
        </w:rPr>
        <w:t>sometimiento</w:t>
      </w:r>
      <w:r w:rsidR="00647F99" w:rsidRPr="009D39D5">
        <w:rPr>
          <w:lang w:val="es-ES"/>
        </w:rPr>
        <w:t xml:space="preserve">, </w:t>
      </w:r>
      <w:r w:rsidR="001115F7" w:rsidRPr="009D39D5">
        <w:rPr>
          <w:lang w:val="es-ES"/>
        </w:rPr>
        <w:t xml:space="preserve">a </w:t>
      </w:r>
      <w:r w:rsidR="00AC616D" w:rsidRPr="009D39D5">
        <w:rPr>
          <w:lang w:val="es-ES"/>
        </w:rPr>
        <w:t>c</w:t>
      </w:r>
      <w:r w:rsidR="0077007B">
        <w:rPr>
          <w:lang w:val="es-ES"/>
        </w:rPr>
        <w:t>uestiones como la validez</w:t>
      </w:r>
      <w:r w:rsidR="001115F7" w:rsidRPr="009D39D5">
        <w:rPr>
          <w:lang w:val="es-ES"/>
        </w:rPr>
        <w:t xml:space="preserve"> entre las partes del derecho o de los derechos de P.I. de que se trate, y </w:t>
      </w:r>
      <w:r w:rsidR="00082AEB" w:rsidRPr="009D39D5">
        <w:rPr>
          <w:lang w:val="es-ES"/>
        </w:rPr>
        <w:t xml:space="preserve">las alegaciones específicas basadas </w:t>
      </w:r>
      <w:r w:rsidR="001115F7" w:rsidRPr="009D39D5">
        <w:rPr>
          <w:lang w:val="es-ES"/>
        </w:rPr>
        <w:t xml:space="preserve">en la ley o </w:t>
      </w:r>
      <w:r w:rsidR="00082AEB" w:rsidRPr="009D39D5">
        <w:rPr>
          <w:lang w:val="es-ES"/>
        </w:rPr>
        <w:t xml:space="preserve">en </w:t>
      </w:r>
      <w:r w:rsidR="001115F7" w:rsidRPr="009D39D5">
        <w:rPr>
          <w:lang w:val="es-ES"/>
        </w:rPr>
        <w:t>la</w:t>
      </w:r>
      <w:r w:rsidR="00082AEB" w:rsidRPr="009D39D5">
        <w:rPr>
          <w:lang w:val="es-ES"/>
        </w:rPr>
        <w:t xml:space="preserve"> legislación</w:t>
      </w:r>
      <w:r w:rsidR="001115F7" w:rsidRPr="009D39D5">
        <w:rPr>
          <w:lang w:val="es-ES"/>
        </w:rPr>
        <w:t xml:space="preserve"> aplicable pertinente</w:t>
      </w:r>
      <w:r w:rsidR="00647F99" w:rsidRPr="009D39D5">
        <w:rPr>
          <w:lang w:val="es-ES"/>
        </w:rPr>
        <w:t>.</w:t>
      </w:r>
    </w:p>
    <w:p w:rsidR="00F97173" w:rsidRPr="009D39D5" w:rsidRDefault="00F97173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F97173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F97173" w:rsidRPr="009D39D5">
        <w:rPr>
          <w:lang w:val="es-ES"/>
        </w:rPr>
        <w:tab/>
      </w:r>
      <w:r w:rsidR="00017B94" w:rsidRPr="009D39D5">
        <w:rPr>
          <w:lang w:val="es-ES"/>
        </w:rPr>
        <w:t xml:space="preserve">Habida cuenta </w:t>
      </w:r>
      <w:r w:rsidR="00AC616D" w:rsidRPr="009D39D5">
        <w:rPr>
          <w:lang w:val="es-ES"/>
        </w:rPr>
        <w:t xml:space="preserve">de </w:t>
      </w:r>
      <w:r w:rsidR="00017B94" w:rsidRPr="009D39D5">
        <w:rPr>
          <w:lang w:val="es-ES"/>
        </w:rPr>
        <w:t xml:space="preserve">que la mediación es casi siempre confidencial, y el arbitraje lo suele ser también, no es posible, salvo en un sentido </w:t>
      </w:r>
      <w:r w:rsidR="00647F99" w:rsidRPr="009D39D5">
        <w:rPr>
          <w:lang w:val="es-ES"/>
        </w:rPr>
        <w:t>general</w:t>
      </w:r>
      <w:r w:rsidR="00017B94" w:rsidRPr="009D39D5">
        <w:rPr>
          <w:lang w:val="es-ES"/>
        </w:rPr>
        <w:t xml:space="preserve">, proporcionar ejemplos </w:t>
      </w:r>
      <w:r w:rsidR="00AC616D" w:rsidRPr="009D39D5">
        <w:rPr>
          <w:lang w:val="es-ES"/>
        </w:rPr>
        <w:t xml:space="preserve">de estos procedimientos, </w:t>
      </w:r>
      <w:r w:rsidR="00017B94" w:rsidRPr="009D39D5">
        <w:rPr>
          <w:lang w:val="es-ES"/>
        </w:rPr>
        <w:t xml:space="preserve">excepto </w:t>
      </w:r>
      <w:r w:rsidR="001115F7" w:rsidRPr="009D39D5">
        <w:rPr>
          <w:lang w:val="es-ES"/>
        </w:rPr>
        <w:t xml:space="preserve">en </w:t>
      </w:r>
      <w:r w:rsidR="00AC616D" w:rsidRPr="009D39D5">
        <w:rPr>
          <w:lang w:val="es-ES"/>
        </w:rPr>
        <w:t>el supuesto de que</w:t>
      </w:r>
      <w:r w:rsidR="00017B94" w:rsidRPr="009D39D5">
        <w:rPr>
          <w:lang w:val="es-ES"/>
        </w:rPr>
        <w:t xml:space="preserve"> </w:t>
      </w:r>
      <w:r w:rsidR="00082AEB" w:rsidRPr="009D39D5">
        <w:rPr>
          <w:lang w:val="es-ES"/>
        </w:rPr>
        <w:t>se haga referencia al</w:t>
      </w:r>
      <w:r w:rsidR="00017B94" w:rsidRPr="009D39D5">
        <w:rPr>
          <w:lang w:val="es-ES"/>
        </w:rPr>
        <w:t xml:space="preserve"> arbitraje </w:t>
      </w:r>
      <w:r w:rsidR="00082AEB" w:rsidRPr="009D39D5">
        <w:rPr>
          <w:lang w:val="es-ES"/>
        </w:rPr>
        <w:t xml:space="preserve">en </w:t>
      </w:r>
      <w:r w:rsidR="001115F7" w:rsidRPr="009D39D5">
        <w:rPr>
          <w:lang w:val="es-ES"/>
        </w:rPr>
        <w:t>un pleito judicial</w:t>
      </w:r>
      <w:r w:rsidR="00647F99" w:rsidRPr="009D39D5">
        <w:rPr>
          <w:lang w:val="es-ES"/>
        </w:rPr>
        <w:t xml:space="preserve">. 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017B94" w:rsidP="008A3947">
      <w:pPr>
        <w:numPr>
          <w:ilvl w:val="0"/>
          <w:numId w:val="17"/>
        </w:numPr>
        <w:ind w:left="1134" w:hanging="567"/>
        <w:rPr>
          <w:lang w:val="es-ES"/>
        </w:rPr>
      </w:pPr>
      <w:r w:rsidRPr="009D39D5">
        <w:rPr>
          <w:lang w:val="es-ES"/>
        </w:rPr>
        <w:t>La mediación y otras clases de solución extrajudicial de controversias</w:t>
      </w:r>
      <w:r w:rsidR="00647F99" w:rsidRPr="009D39D5">
        <w:rPr>
          <w:lang w:val="es-ES"/>
        </w:rPr>
        <w:t xml:space="preserve"> a</w:t>
      </w:r>
      <w:r w:rsidRPr="009D39D5">
        <w:rPr>
          <w:lang w:val="es-ES"/>
        </w:rPr>
        <w:t>sociadas a las instituciones públicas</w:t>
      </w:r>
      <w:r w:rsidR="00647F99" w:rsidRPr="009D39D5">
        <w:rPr>
          <w:lang w:val="es-ES"/>
        </w:rPr>
        <w:t xml:space="preserve"> (</w:t>
      </w:r>
      <w:r w:rsidRPr="009D39D5">
        <w:rPr>
          <w:lang w:val="es-ES"/>
        </w:rPr>
        <w:t>tribunales, oficinas de P.I.</w:t>
      </w:r>
      <w:r w:rsidR="00647F99" w:rsidRPr="009D39D5">
        <w:rPr>
          <w:lang w:val="es-ES"/>
        </w:rPr>
        <w:t>, etc.)</w:t>
      </w:r>
    </w:p>
    <w:p w:rsidR="007F1AEB" w:rsidRPr="009D39D5" w:rsidRDefault="007F1AEB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B12B30" w:rsidRPr="009D39D5">
        <w:rPr>
          <w:lang w:val="es-ES"/>
        </w:rPr>
        <w:t>A</w:t>
      </w:r>
      <w:r w:rsidR="001115F7" w:rsidRPr="009D39D5">
        <w:rPr>
          <w:lang w:val="es-ES"/>
        </w:rPr>
        <w:t xml:space="preserve">lgunos tribunales </w:t>
      </w:r>
      <w:r w:rsidR="00B12B30" w:rsidRPr="009D39D5">
        <w:rPr>
          <w:lang w:val="es-ES"/>
        </w:rPr>
        <w:t>aplican sanciones</w:t>
      </w:r>
      <w:r w:rsidR="00082AEB" w:rsidRPr="009D39D5">
        <w:rPr>
          <w:lang w:val="es-ES"/>
        </w:rPr>
        <w:t xml:space="preserve"> consistentes en el pago de</w:t>
      </w:r>
      <w:r w:rsidR="00AC616D" w:rsidRPr="009D39D5">
        <w:rPr>
          <w:lang w:val="es-ES"/>
        </w:rPr>
        <w:t xml:space="preserve"> las costas procesales</w:t>
      </w:r>
      <w:r w:rsidR="00B12B30" w:rsidRPr="009D39D5">
        <w:rPr>
          <w:lang w:val="es-ES"/>
        </w:rPr>
        <w:t xml:space="preserve"> </w:t>
      </w:r>
      <w:r w:rsidR="00AC616D" w:rsidRPr="009D39D5">
        <w:rPr>
          <w:lang w:val="es-ES"/>
        </w:rPr>
        <w:t>a</w:t>
      </w:r>
      <w:r w:rsidR="00B12B30" w:rsidRPr="009D39D5">
        <w:rPr>
          <w:lang w:val="es-ES"/>
        </w:rPr>
        <w:t xml:space="preserve"> aquellos que se nieg</w:t>
      </w:r>
      <w:r w:rsidR="00AC616D" w:rsidRPr="009D39D5">
        <w:rPr>
          <w:lang w:val="es-ES"/>
        </w:rPr>
        <w:t>ue</w:t>
      </w:r>
      <w:r w:rsidR="00B12B30" w:rsidRPr="009D39D5">
        <w:rPr>
          <w:lang w:val="es-ES"/>
        </w:rPr>
        <w:t xml:space="preserve">n, de forma injustificada, a participar en la solución extrajudicial de controversias.  Muchos tribunales y oficias de P.I, como la Oficina de Propiedad </w:t>
      </w:r>
      <w:r w:rsidR="00647F99" w:rsidRPr="009D39D5">
        <w:rPr>
          <w:lang w:val="es-ES"/>
        </w:rPr>
        <w:t xml:space="preserve">Intelectual </w:t>
      </w:r>
      <w:r w:rsidR="00B12B30" w:rsidRPr="009D39D5">
        <w:rPr>
          <w:lang w:val="es-ES"/>
        </w:rPr>
        <w:t>del Reino Unido y la Oficina de Armonización del Mercado Interior de la Unión Europea, ofrecen servicios de mediación</w:t>
      </w:r>
      <w:r w:rsidR="00647F99" w:rsidRPr="009D39D5">
        <w:rPr>
          <w:lang w:val="es-ES"/>
        </w:rPr>
        <w:t xml:space="preserve">. 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B12B30" w:rsidP="008A3947">
      <w:pPr>
        <w:numPr>
          <w:ilvl w:val="0"/>
          <w:numId w:val="17"/>
        </w:numPr>
        <w:ind w:left="1134" w:hanging="567"/>
        <w:rPr>
          <w:lang w:val="es-ES"/>
        </w:rPr>
      </w:pPr>
      <w:r w:rsidRPr="009D39D5">
        <w:rPr>
          <w:lang w:val="es-ES"/>
        </w:rPr>
        <w:t>La mediación y l</w:t>
      </w:r>
      <w:r w:rsidR="00BB7B06" w:rsidRPr="009D39D5">
        <w:rPr>
          <w:lang w:val="es-ES"/>
        </w:rPr>
        <w:t>os compromisos de recurrir a la</w:t>
      </w:r>
      <w:r w:rsidRPr="009D39D5">
        <w:rPr>
          <w:lang w:val="es-ES"/>
        </w:rPr>
        <w:t xml:space="preserve"> solución extrajudicial de controversias</w:t>
      </w:r>
    </w:p>
    <w:p w:rsidR="007F1AEB" w:rsidRPr="009D39D5" w:rsidRDefault="007F1AEB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647F99" w:rsidRPr="009D39D5">
        <w:rPr>
          <w:lang w:val="es-ES"/>
        </w:rPr>
        <w:t>A</w:t>
      </w:r>
      <w:r w:rsidR="00BB7B06" w:rsidRPr="009D39D5">
        <w:rPr>
          <w:lang w:val="es-ES"/>
        </w:rPr>
        <w:t xml:space="preserve">unque la mayor parte de las instituciones </w:t>
      </w:r>
      <w:r w:rsidR="00AC616D" w:rsidRPr="009D39D5">
        <w:rPr>
          <w:lang w:val="es-ES"/>
        </w:rPr>
        <w:t>encargadas del</w:t>
      </w:r>
      <w:r w:rsidR="00BB7B06" w:rsidRPr="009D39D5">
        <w:rPr>
          <w:lang w:val="es-ES"/>
        </w:rPr>
        <w:t xml:space="preserve"> arbitraje proporcionan servicios de mediación, existen muchos otros organismos y p</w:t>
      </w:r>
      <w:r w:rsidR="00AC616D" w:rsidRPr="009D39D5">
        <w:rPr>
          <w:lang w:val="es-ES"/>
        </w:rPr>
        <w:t>articulares</w:t>
      </w:r>
      <w:r w:rsidR="00BB7B06" w:rsidRPr="009D39D5">
        <w:rPr>
          <w:lang w:val="es-ES"/>
        </w:rPr>
        <w:t xml:space="preserve"> que también lo </w:t>
      </w:r>
      <w:r w:rsidR="005A61B1" w:rsidRPr="009D39D5">
        <w:rPr>
          <w:lang w:val="es-ES"/>
        </w:rPr>
        <w:t>hacen</w:t>
      </w:r>
      <w:r w:rsidR="00BB7B06" w:rsidRPr="009D39D5">
        <w:rPr>
          <w:lang w:val="es-ES"/>
        </w:rPr>
        <w:t xml:space="preserve">.  </w:t>
      </w:r>
      <w:r w:rsidR="005A61B1" w:rsidRPr="009D39D5">
        <w:rPr>
          <w:lang w:val="es-ES"/>
        </w:rPr>
        <w:t>Si bien e</w:t>
      </w:r>
      <w:r w:rsidR="00BB7B06" w:rsidRPr="009D39D5">
        <w:rPr>
          <w:lang w:val="es-ES"/>
        </w:rPr>
        <w:t xml:space="preserve">sos servicios de mediación no suelen </w:t>
      </w:r>
      <w:r w:rsidR="005A61B1" w:rsidRPr="009D39D5">
        <w:rPr>
          <w:lang w:val="es-ES"/>
        </w:rPr>
        <w:t>dedicarse</w:t>
      </w:r>
      <w:r w:rsidR="00BB7B06" w:rsidRPr="009D39D5">
        <w:rPr>
          <w:lang w:val="es-ES"/>
        </w:rPr>
        <w:t xml:space="preserve"> específicamente </w:t>
      </w:r>
      <w:r w:rsidR="005A61B1" w:rsidRPr="009D39D5">
        <w:rPr>
          <w:lang w:val="es-ES"/>
        </w:rPr>
        <w:t xml:space="preserve">a </w:t>
      </w:r>
      <w:r w:rsidR="00BB7B06" w:rsidRPr="009D39D5">
        <w:rPr>
          <w:lang w:val="es-ES"/>
        </w:rPr>
        <w:t xml:space="preserve">las controversias en materia de P.I., muchos organismos </w:t>
      </w:r>
      <w:r w:rsidR="00B5394C">
        <w:rPr>
          <w:lang w:val="es-ES"/>
        </w:rPr>
        <w:t>corporativos</w:t>
      </w:r>
      <w:r w:rsidR="005F6E65" w:rsidRPr="009D39D5">
        <w:rPr>
          <w:lang w:val="es-ES"/>
        </w:rPr>
        <w:t xml:space="preserve"> ofrecen servicios que pueden aplicarse en especial a </w:t>
      </w:r>
      <w:r w:rsidR="005A61B1" w:rsidRPr="009D39D5">
        <w:rPr>
          <w:lang w:val="es-ES"/>
        </w:rPr>
        <w:t>dichas</w:t>
      </w:r>
      <w:r w:rsidR="005F6E65" w:rsidRPr="009D39D5">
        <w:rPr>
          <w:lang w:val="es-ES"/>
        </w:rPr>
        <w:t xml:space="preserve"> controversias. </w:t>
      </w:r>
      <w:r w:rsidR="00647F99" w:rsidRPr="009D39D5">
        <w:rPr>
          <w:lang w:val="es-ES"/>
        </w:rPr>
        <w:t xml:space="preserve"> </w:t>
      </w:r>
      <w:r w:rsidR="005F6E65" w:rsidRPr="009D39D5">
        <w:rPr>
          <w:lang w:val="es-ES"/>
        </w:rPr>
        <w:t xml:space="preserve">Numerosas empresas importantes firman </w:t>
      </w:r>
      <w:r w:rsidR="005A61B1" w:rsidRPr="009D39D5">
        <w:rPr>
          <w:lang w:val="es-ES"/>
        </w:rPr>
        <w:t xml:space="preserve">el </w:t>
      </w:r>
      <w:r w:rsidR="005F6E65" w:rsidRPr="009D39D5">
        <w:rPr>
          <w:lang w:val="es-ES"/>
        </w:rPr>
        <w:t>compromiso de recurrir a la solución extrajudicial de controversias</w:t>
      </w:r>
      <w:r w:rsidR="00647F99" w:rsidRPr="009D39D5">
        <w:rPr>
          <w:lang w:val="es-ES"/>
        </w:rPr>
        <w:t>.</w:t>
      </w:r>
    </w:p>
    <w:p w:rsidR="007F1AEB" w:rsidRPr="009D39D5" w:rsidRDefault="007F1AEB" w:rsidP="008A3947">
      <w:pPr>
        <w:rPr>
          <w:lang w:val="es-ES"/>
        </w:rPr>
      </w:pPr>
    </w:p>
    <w:p w:rsidR="00647F99" w:rsidRPr="009D39D5" w:rsidRDefault="005F6E65" w:rsidP="008A3947">
      <w:pPr>
        <w:numPr>
          <w:ilvl w:val="0"/>
          <w:numId w:val="17"/>
        </w:numPr>
        <w:ind w:left="1134" w:hanging="567"/>
        <w:rPr>
          <w:lang w:val="es-ES"/>
        </w:rPr>
      </w:pPr>
      <w:r w:rsidRPr="009D39D5">
        <w:rPr>
          <w:lang w:val="es-ES"/>
        </w:rPr>
        <w:t>Mecanismos de autorregulación</w:t>
      </w:r>
      <w:r w:rsidR="00647F99" w:rsidRPr="009D39D5">
        <w:rPr>
          <w:lang w:val="es-ES"/>
        </w:rPr>
        <w:t xml:space="preserve"> (</w:t>
      </w:r>
      <w:r w:rsidR="005A61B1" w:rsidRPr="009D39D5">
        <w:rPr>
          <w:lang w:val="es-ES"/>
        </w:rPr>
        <w:t>incluidas</w:t>
      </w:r>
      <w:r w:rsidRPr="009D39D5">
        <w:rPr>
          <w:lang w:val="es-ES"/>
        </w:rPr>
        <w:t xml:space="preserve"> las herramientas de observancia de Internet</w:t>
      </w:r>
      <w:r w:rsidR="00647F99" w:rsidRPr="009D39D5">
        <w:rPr>
          <w:lang w:val="es-ES"/>
        </w:rPr>
        <w:t>)</w:t>
      </w:r>
    </w:p>
    <w:p w:rsidR="007F1AEB" w:rsidRPr="009D39D5" w:rsidRDefault="007F1AEB" w:rsidP="00B34229">
      <w:pPr>
        <w:rPr>
          <w:lang w:val="es-ES"/>
        </w:rPr>
      </w:pPr>
    </w:p>
    <w:p w:rsidR="00647F99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B42CB4" w:rsidRPr="009D39D5">
        <w:rPr>
          <w:lang w:val="es-ES"/>
        </w:rPr>
        <w:t>En la medida en que determinados actos que puedan llegar a suponer una infracción de los derechos de P.I.</w:t>
      </w:r>
      <w:r w:rsidR="005A61B1" w:rsidRPr="009D39D5">
        <w:rPr>
          <w:lang w:val="es-ES"/>
        </w:rPr>
        <w:t xml:space="preserve"> requieren la utilización de</w:t>
      </w:r>
      <w:r w:rsidR="00B42CB4" w:rsidRPr="009D39D5">
        <w:rPr>
          <w:lang w:val="es-ES"/>
        </w:rPr>
        <w:t xml:space="preserve"> servicios prestados por terceros, como los registradores de nombres de dominio, o </w:t>
      </w:r>
      <w:r w:rsidR="005A61B1" w:rsidRPr="009D39D5">
        <w:rPr>
          <w:lang w:val="es-ES"/>
        </w:rPr>
        <w:t>quienes</w:t>
      </w:r>
      <w:r w:rsidR="00B42CB4" w:rsidRPr="009D39D5">
        <w:rPr>
          <w:lang w:val="es-ES"/>
        </w:rPr>
        <w:t xml:space="preserve"> gestionan los mercados materiales o electrónicos</w:t>
      </w:r>
      <w:r w:rsidR="00647F99" w:rsidRPr="009D39D5">
        <w:rPr>
          <w:lang w:val="es-ES"/>
        </w:rPr>
        <w:t xml:space="preserve">, </w:t>
      </w:r>
      <w:r w:rsidR="00B42CB4" w:rsidRPr="009D39D5">
        <w:rPr>
          <w:lang w:val="es-ES"/>
        </w:rPr>
        <w:t xml:space="preserve">las disposiciones </w:t>
      </w:r>
      <w:r w:rsidR="00647F99" w:rsidRPr="009D39D5">
        <w:rPr>
          <w:lang w:val="es-ES"/>
        </w:rPr>
        <w:t>contractual</w:t>
      </w:r>
      <w:r w:rsidR="00B42CB4" w:rsidRPr="009D39D5">
        <w:rPr>
          <w:lang w:val="es-ES"/>
        </w:rPr>
        <w:t>es podrían imponer el régimen de solución extrajudicial de controversias a los usuarios de esos servicios que sirva</w:t>
      </w:r>
      <w:r w:rsidR="005A61B1" w:rsidRPr="009D39D5">
        <w:rPr>
          <w:lang w:val="es-ES"/>
        </w:rPr>
        <w:t xml:space="preserve"> </w:t>
      </w:r>
      <w:r w:rsidR="00B42CB4" w:rsidRPr="009D39D5">
        <w:rPr>
          <w:lang w:val="es-ES"/>
        </w:rPr>
        <w:t xml:space="preserve">para hacer </w:t>
      </w:r>
      <w:r w:rsidR="005A61B1" w:rsidRPr="009D39D5">
        <w:rPr>
          <w:lang w:val="es-ES"/>
        </w:rPr>
        <w:t>valer</w:t>
      </w:r>
      <w:r w:rsidR="00B42CB4" w:rsidRPr="009D39D5">
        <w:rPr>
          <w:lang w:val="es-ES"/>
        </w:rPr>
        <w:t xml:space="preserve"> </w:t>
      </w:r>
      <w:r w:rsidR="005A61B1" w:rsidRPr="009D39D5">
        <w:rPr>
          <w:lang w:val="es-ES"/>
        </w:rPr>
        <w:t>es</w:t>
      </w:r>
      <w:r w:rsidR="00B42CB4" w:rsidRPr="009D39D5">
        <w:rPr>
          <w:lang w:val="es-ES"/>
        </w:rPr>
        <w:t>os derechos.</w:t>
      </w:r>
    </w:p>
    <w:p w:rsidR="00B34229" w:rsidRPr="009D39D5" w:rsidRDefault="00B34229" w:rsidP="008A3947">
      <w:pPr>
        <w:rPr>
          <w:lang w:val="es-ES"/>
        </w:rPr>
      </w:pPr>
    </w:p>
    <w:p w:rsidR="00B34229" w:rsidRDefault="00B34229">
      <w:pPr>
        <w:rPr>
          <w:lang w:val="es-ES"/>
        </w:rPr>
      </w:pPr>
      <w:r>
        <w:rPr>
          <w:lang w:val="es-ES"/>
        </w:rPr>
        <w:br w:type="page"/>
      </w: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lastRenderedPageBreak/>
        <w:fldChar w:fldCharType="begin"/>
      </w:r>
      <w:r w:rsidR="00123FC7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123FC7" w:rsidRPr="009D39D5">
        <w:rPr>
          <w:lang w:val="es-ES"/>
        </w:rPr>
        <w:tab/>
      </w:r>
      <w:r w:rsidR="00B42CB4" w:rsidRPr="009D39D5">
        <w:rPr>
          <w:lang w:val="es-ES"/>
        </w:rPr>
        <w:t xml:space="preserve">La solución extrajudicial de controversias puede aplicarse a controversias y a plataformas de </w:t>
      </w:r>
      <w:r w:rsidR="00733B03" w:rsidRPr="009D39D5">
        <w:rPr>
          <w:lang w:val="es-ES"/>
        </w:rPr>
        <w:t>I</w:t>
      </w:r>
      <w:r w:rsidR="00647F99" w:rsidRPr="009D39D5">
        <w:rPr>
          <w:lang w:val="es-ES"/>
        </w:rPr>
        <w:t>nternet</w:t>
      </w:r>
      <w:r w:rsidR="00733B03" w:rsidRPr="009D39D5">
        <w:rPr>
          <w:lang w:val="es-ES"/>
        </w:rPr>
        <w:t>, como</w:t>
      </w:r>
      <w:r w:rsidR="00647F99" w:rsidRPr="009D39D5">
        <w:rPr>
          <w:lang w:val="es-ES"/>
        </w:rPr>
        <w:t xml:space="preserve"> </w:t>
      </w:r>
      <w:r w:rsidR="00733B03" w:rsidRPr="009D39D5">
        <w:rPr>
          <w:lang w:val="es-ES"/>
        </w:rPr>
        <w:t xml:space="preserve">los mercados en </w:t>
      </w:r>
      <w:r w:rsidR="005A61B1" w:rsidRPr="009D39D5">
        <w:rPr>
          <w:lang w:val="es-ES"/>
        </w:rPr>
        <w:t xml:space="preserve">la red, sirviendo </w:t>
      </w:r>
      <w:r w:rsidR="00733B03" w:rsidRPr="009D39D5">
        <w:rPr>
          <w:lang w:val="es-ES"/>
        </w:rPr>
        <w:t xml:space="preserve">así </w:t>
      </w:r>
      <w:r w:rsidR="005A61B1" w:rsidRPr="009D39D5">
        <w:rPr>
          <w:lang w:val="es-ES"/>
        </w:rPr>
        <w:t>par</w:t>
      </w:r>
      <w:r w:rsidR="00733B03" w:rsidRPr="009D39D5">
        <w:rPr>
          <w:lang w:val="es-ES"/>
        </w:rPr>
        <w:t>a la solución de controversias en Internet</w:t>
      </w:r>
      <w:r w:rsidR="00AB0312" w:rsidRPr="009D39D5">
        <w:rPr>
          <w:lang w:val="es-ES"/>
        </w:rPr>
        <w:t>,</w:t>
      </w:r>
      <w:r w:rsidR="00647F99" w:rsidRPr="009D39D5">
        <w:rPr>
          <w:lang w:val="es-ES"/>
        </w:rPr>
        <w:t xml:space="preserve"> </w:t>
      </w:r>
      <w:r w:rsidR="00733B03" w:rsidRPr="009D39D5">
        <w:rPr>
          <w:lang w:val="es-ES"/>
        </w:rPr>
        <w:t>y se puede utiliz</w:t>
      </w:r>
      <w:r w:rsidR="00647F99" w:rsidRPr="009D39D5">
        <w:rPr>
          <w:lang w:val="es-ES"/>
        </w:rPr>
        <w:t>a</w:t>
      </w:r>
      <w:r w:rsidR="00733B03" w:rsidRPr="009D39D5">
        <w:rPr>
          <w:lang w:val="es-ES"/>
        </w:rPr>
        <w:t>r en relación con las controversias en materia de P.I. vinculadas a plataformas de Internet, de conformidad con, por ejemplo, los procedimientos de notificación y retirada</w:t>
      </w:r>
      <w:r w:rsidR="00647F99" w:rsidRPr="009D39D5">
        <w:rPr>
          <w:lang w:val="es-ES"/>
        </w:rPr>
        <w:t>.</w:t>
      </w:r>
    </w:p>
    <w:p w:rsidR="007D6EA3" w:rsidRPr="009D39D5" w:rsidRDefault="007D6EA3" w:rsidP="008A3947">
      <w:pPr>
        <w:rPr>
          <w:lang w:val="es-ES"/>
        </w:rPr>
      </w:pPr>
    </w:p>
    <w:p w:rsidR="00647F99" w:rsidRPr="009D39D5" w:rsidRDefault="00647F99" w:rsidP="008A3947">
      <w:pPr>
        <w:numPr>
          <w:ilvl w:val="0"/>
          <w:numId w:val="17"/>
        </w:numPr>
        <w:ind w:left="1134" w:hanging="567"/>
        <w:rPr>
          <w:lang w:val="es-ES"/>
        </w:rPr>
      </w:pPr>
      <w:r w:rsidRPr="009D39D5">
        <w:rPr>
          <w:lang w:val="es-ES"/>
        </w:rPr>
        <w:t>Ot</w:t>
      </w:r>
      <w:r w:rsidR="00733B03" w:rsidRPr="009D39D5">
        <w:rPr>
          <w:lang w:val="es-ES"/>
        </w:rPr>
        <w:t>ros</w:t>
      </w:r>
      <w:r w:rsidR="005A61B1" w:rsidRPr="009D39D5">
        <w:rPr>
          <w:lang w:val="es-ES"/>
        </w:rPr>
        <w:t xml:space="preserve"> ejemplos</w:t>
      </w:r>
    </w:p>
    <w:p w:rsidR="007F1AEB" w:rsidRPr="009D39D5" w:rsidRDefault="007F1AEB" w:rsidP="00B34229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F1AEB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F1AEB" w:rsidRPr="009D39D5">
        <w:rPr>
          <w:lang w:val="es-ES"/>
        </w:rPr>
        <w:tab/>
      </w:r>
      <w:r w:rsidR="00733B03" w:rsidRPr="009D39D5">
        <w:rPr>
          <w:lang w:val="es-ES"/>
        </w:rPr>
        <w:t>Existen muchos ejemplos de</w:t>
      </w:r>
      <w:r w:rsidR="00FB502A">
        <w:rPr>
          <w:lang w:val="es-ES"/>
        </w:rPr>
        <w:t>l uso</w:t>
      </w:r>
      <w:r w:rsidR="00733B03" w:rsidRPr="009D39D5">
        <w:rPr>
          <w:lang w:val="es-ES"/>
        </w:rPr>
        <w:t xml:space="preserve"> de la solución extrajudicial de controversias para la observancia de los derechos de P.I. </w:t>
      </w:r>
      <w:r w:rsidR="00AB0312" w:rsidRPr="009D39D5">
        <w:rPr>
          <w:lang w:val="es-ES"/>
        </w:rPr>
        <w:t>(</w:t>
      </w:r>
      <w:r w:rsidR="00733B03" w:rsidRPr="009D39D5">
        <w:rPr>
          <w:lang w:val="es-ES"/>
        </w:rPr>
        <w:t xml:space="preserve">como la autorregulación de </w:t>
      </w:r>
      <w:r w:rsidR="003C3732" w:rsidRPr="009D39D5">
        <w:rPr>
          <w:lang w:val="es-ES"/>
        </w:rPr>
        <w:t xml:space="preserve">las ferias comerciales, la reglamentación de los nombres comerciales, </w:t>
      </w:r>
      <w:r w:rsidR="00647F99" w:rsidRPr="009D39D5">
        <w:rPr>
          <w:lang w:val="es-ES"/>
        </w:rPr>
        <w:t xml:space="preserve">etc.).  </w:t>
      </w:r>
      <w:r w:rsidR="003C3732" w:rsidRPr="009D39D5">
        <w:rPr>
          <w:lang w:val="es-ES"/>
        </w:rPr>
        <w:t xml:space="preserve">Otra esfera en rápida evolución es la utilización de la decisión de experto y del arbitraje para solucionar controversias en </w:t>
      </w:r>
      <w:r w:rsidR="000E2927" w:rsidRPr="009D39D5">
        <w:rPr>
          <w:lang w:val="es-ES"/>
        </w:rPr>
        <w:t xml:space="preserve">el </w:t>
      </w:r>
      <w:r w:rsidR="003C3732" w:rsidRPr="009D39D5">
        <w:rPr>
          <w:lang w:val="es-ES"/>
        </w:rPr>
        <w:t xml:space="preserve">marco de </w:t>
      </w:r>
      <w:r w:rsidR="000E2927" w:rsidRPr="009D39D5">
        <w:rPr>
          <w:lang w:val="es-ES"/>
        </w:rPr>
        <w:t>l</w:t>
      </w:r>
      <w:r w:rsidR="00056D3F" w:rsidRPr="009D39D5">
        <w:rPr>
          <w:lang w:val="es-ES"/>
        </w:rPr>
        <w:t>os organismos de normalización</w:t>
      </w:r>
      <w:r w:rsidR="000E2927" w:rsidRPr="009D39D5">
        <w:rPr>
          <w:lang w:val="es-ES"/>
        </w:rPr>
        <w:t xml:space="preserve"> y de las patentes esenciales </w:t>
      </w:r>
      <w:r w:rsidR="008770DF" w:rsidRPr="009D39D5">
        <w:rPr>
          <w:lang w:val="es-ES"/>
        </w:rPr>
        <w:t>para cumplir con las normas</w:t>
      </w:r>
      <w:r w:rsidR="00082AEB" w:rsidRPr="009D39D5">
        <w:rPr>
          <w:lang w:val="es-ES"/>
        </w:rPr>
        <w:t xml:space="preserve"> técnicas</w:t>
      </w:r>
      <w:r w:rsidR="000E2927" w:rsidRPr="009D39D5">
        <w:rPr>
          <w:lang w:val="es-ES"/>
        </w:rPr>
        <w:t>.</w:t>
      </w:r>
      <w:r w:rsidR="00647F99" w:rsidRPr="009D39D5">
        <w:rPr>
          <w:lang w:val="es-ES"/>
        </w:rPr>
        <w:t xml:space="preserve"> </w:t>
      </w:r>
    </w:p>
    <w:p w:rsidR="007D6EA3" w:rsidRPr="009D39D5" w:rsidRDefault="007D6EA3" w:rsidP="008A3947">
      <w:pPr>
        <w:rPr>
          <w:lang w:val="es-ES"/>
        </w:rPr>
      </w:pPr>
    </w:p>
    <w:p w:rsidR="00475FF6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7D6EA3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7D6EA3" w:rsidRPr="009D39D5">
        <w:rPr>
          <w:lang w:val="es-ES"/>
        </w:rPr>
        <w:tab/>
      </w:r>
      <w:r w:rsidR="000E2927" w:rsidRPr="009D39D5">
        <w:rPr>
          <w:lang w:val="es-ES"/>
        </w:rPr>
        <w:t xml:space="preserve">La decisión de experto </w:t>
      </w:r>
      <w:r w:rsidR="005A61B1" w:rsidRPr="009D39D5">
        <w:rPr>
          <w:lang w:val="es-ES"/>
        </w:rPr>
        <w:t>se ha</w:t>
      </w:r>
      <w:r w:rsidR="000E2927" w:rsidRPr="009D39D5">
        <w:rPr>
          <w:lang w:val="es-ES"/>
        </w:rPr>
        <w:t xml:space="preserve"> aplica</w:t>
      </w:r>
      <w:r w:rsidR="005A61B1" w:rsidRPr="009D39D5">
        <w:rPr>
          <w:lang w:val="es-ES"/>
        </w:rPr>
        <w:t>do</w:t>
      </w:r>
      <w:r w:rsidR="000E2927" w:rsidRPr="009D39D5">
        <w:rPr>
          <w:lang w:val="es-ES"/>
        </w:rPr>
        <w:t xml:space="preserve"> en el contexto de </w:t>
      </w:r>
      <w:r w:rsidR="008770DF" w:rsidRPr="009D39D5">
        <w:rPr>
          <w:lang w:val="es-ES"/>
        </w:rPr>
        <w:t xml:space="preserve">los consorcios de patentes esenciales </w:t>
      </w:r>
      <w:r w:rsidR="00056D3F" w:rsidRPr="009D39D5">
        <w:rPr>
          <w:lang w:val="es-ES"/>
        </w:rPr>
        <w:t>para cumplir con las normas</w:t>
      </w:r>
      <w:r w:rsidR="00082AEB" w:rsidRPr="009D39D5">
        <w:rPr>
          <w:lang w:val="es-ES"/>
        </w:rPr>
        <w:t xml:space="preserve"> técnicas</w:t>
      </w:r>
      <w:r w:rsidR="008770DF" w:rsidRPr="009D39D5">
        <w:rPr>
          <w:lang w:val="es-ES"/>
        </w:rPr>
        <w:t>, en el que se utiliza co</w:t>
      </w:r>
      <w:r w:rsidR="005A61B1" w:rsidRPr="009D39D5">
        <w:rPr>
          <w:lang w:val="es-ES"/>
        </w:rPr>
        <w:t>mo</w:t>
      </w:r>
      <w:r w:rsidR="008770DF" w:rsidRPr="009D39D5">
        <w:rPr>
          <w:lang w:val="es-ES"/>
        </w:rPr>
        <w:t xml:space="preserve"> mecanismo para decidir si las patentes presentadas al consorcio por sus miembros son</w:t>
      </w:r>
      <w:r w:rsidR="005A61B1" w:rsidRPr="009D39D5">
        <w:rPr>
          <w:lang w:val="es-ES"/>
        </w:rPr>
        <w:t>,</w:t>
      </w:r>
      <w:r w:rsidR="008770DF" w:rsidRPr="009D39D5">
        <w:rPr>
          <w:lang w:val="es-ES"/>
        </w:rPr>
        <w:t xml:space="preserve"> en efecto</w:t>
      </w:r>
      <w:r w:rsidR="005A61B1" w:rsidRPr="009D39D5">
        <w:rPr>
          <w:lang w:val="es-ES"/>
        </w:rPr>
        <w:t>,</w:t>
      </w:r>
      <w:r w:rsidR="008770DF" w:rsidRPr="009D39D5">
        <w:rPr>
          <w:lang w:val="es-ES"/>
        </w:rPr>
        <w:t xml:space="preserve"> esenciales para cumplir con la norma </w:t>
      </w:r>
      <w:r w:rsidR="00082AEB" w:rsidRPr="009D39D5">
        <w:rPr>
          <w:lang w:val="es-ES"/>
        </w:rPr>
        <w:t xml:space="preserve">técnica </w:t>
      </w:r>
      <w:r w:rsidR="008770DF" w:rsidRPr="009D39D5">
        <w:rPr>
          <w:lang w:val="es-ES"/>
        </w:rPr>
        <w:t>pertinente.</w:t>
      </w:r>
      <w:r w:rsidR="00647F99" w:rsidRPr="009D39D5">
        <w:rPr>
          <w:lang w:val="es-ES"/>
        </w:rPr>
        <w:t xml:space="preserve">  </w:t>
      </w:r>
    </w:p>
    <w:p w:rsidR="00475FF6" w:rsidRPr="009D39D5" w:rsidRDefault="00475FF6" w:rsidP="008A3947">
      <w:pPr>
        <w:rPr>
          <w:lang w:val="es-ES"/>
        </w:rPr>
      </w:pPr>
    </w:p>
    <w:p w:rsidR="00647F99" w:rsidRPr="009D39D5" w:rsidRDefault="00FA5840" w:rsidP="008A3947">
      <w:pPr>
        <w:rPr>
          <w:lang w:val="es-ES"/>
        </w:rPr>
      </w:pPr>
      <w:r w:rsidRPr="009D39D5">
        <w:rPr>
          <w:lang w:val="es-ES"/>
        </w:rPr>
        <w:fldChar w:fldCharType="begin"/>
      </w:r>
      <w:r w:rsidR="00475FF6" w:rsidRPr="009D39D5">
        <w:rPr>
          <w:lang w:val="es-ES"/>
        </w:rPr>
        <w:instrText xml:space="preserve"> AUTONUM  </w:instrText>
      </w:r>
      <w:r w:rsidRPr="009D39D5">
        <w:rPr>
          <w:lang w:val="es-ES"/>
        </w:rPr>
        <w:fldChar w:fldCharType="end"/>
      </w:r>
      <w:r w:rsidR="00475FF6" w:rsidRPr="009D39D5">
        <w:rPr>
          <w:lang w:val="es-ES"/>
        </w:rPr>
        <w:tab/>
      </w:r>
      <w:r w:rsidR="008770DF" w:rsidRPr="009D39D5">
        <w:rPr>
          <w:lang w:val="es-ES"/>
        </w:rPr>
        <w:t>El arbitraje se puede aplicar además en el sector de las tecnologías de la información y las comunicaciones</w:t>
      </w:r>
      <w:r w:rsidR="00647F99" w:rsidRPr="009D39D5">
        <w:rPr>
          <w:lang w:val="es-ES"/>
        </w:rPr>
        <w:t xml:space="preserve">, </w:t>
      </w:r>
      <w:r w:rsidR="008770DF" w:rsidRPr="009D39D5">
        <w:rPr>
          <w:lang w:val="es-ES"/>
        </w:rPr>
        <w:t xml:space="preserve">y se propone cada vez más como medio para solucionar controversias </w:t>
      </w:r>
      <w:r w:rsidR="005A61B1" w:rsidRPr="009D39D5">
        <w:rPr>
          <w:lang w:val="es-ES"/>
        </w:rPr>
        <w:t>sobre</w:t>
      </w:r>
      <w:r w:rsidR="008770DF" w:rsidRPr="009D39D5">
        <w:rPr>
          <w:lang w:val="es-ES"/>
        </w:rPr>
        <w:t xml:space="preserve"> la determinación de </w:t>
      </w:r>
      <w:r w:rsidR="00056D3F" w:rsidRPr="009D39D5">
        <w:rPr>
          <w:lang w:val="es-ES"/>
        </w:rPr>
        <w:t xml:space="preserve">tasas de regalías </w:t>
      </w:r>
      <w:r w:rsidR="00647F99" w:rsidRPr="009D39D5">
        <w:rPr>
          <w:lang w:val="es-ES"/>
        </w:rPr>
        <w:t>“[</w:t>
      </w:r>
      <w:r w:rsidR="00056D3F" w:rsidRPr="009D39D5">
        <w:rPr>
          <w:lang w:val="es-ES"/>
        </w:rPr>
        <w:t>justas</w:t>
      </w:r>
      <w:r w:rsidR="00647F99" w:rsidRPr="009D39D5">
        <w:rPr>
          <w:lang w:val="es-ES"/>
        </w:rPr>
        <w:t xml:space="preserve">] </w:t>
      </w:r>
      <w:r w:rsidR="00056D3F" w:rsidRPr="009D39D5">
        <w:rPr>
          <w:lang w:val="es-ES"/>
        </w:rPr>
        <w:t>razonables y no discriminatorias</w:t>
      </w:r>
      <w:r w:rsidR="00647F99" w:rsidRPr="009D39D5">
        <w:rPr>
          <w:lang w:val="es-ES"/>
        </w:rPr>
        <w:t xml:space="preserve">” ([F]RAND) </w:t>
      </w:r>
      <w:r w:rsidR="005A61B1" w:rsidRPr="009D39D5">
        <w:rPr>
          <w:lang w:val="es-ES"/>
        </w:rPr>
        <w:t>aplicables a</w:t>
      </w:r>
      <w:r w:rsidR="00056D3F" w:rsidRPr="009D39D5">
        <w:rPr>
          <w:lang w:val="es-ES"/>
        </w:rPr>
        <w:t xml:space="preserve"> las patentes esenciales para cumplir</w:t>
      </w:r>
      <w:r w:rsidR="005439D1" w:rsidRPr="009D39D5">
        <w:rPr>
          <w:lang w:val="es-ES"/>
        </w:rPr>
        <w:t xml:space="preserve"> con las normas</w:t>
      </w:r>
      <w:r w:rsidR="00082AEB" w:rsidRPr="009D39D5">
        <w:rPr>
          <w:lang w:val="es-ES"/>
        </w:rPr>
        <w:t xml:space="preserve"> técnicas</w:t>
      </w:r>
      <w:r w:rsidR="00647F99" w:rsidRPr="009D39D5">
        <w:rPr>
          <w:lang w:val="es-ES"/>
        </w:rPr>
        <w:t>.</w:t>
      </w:r>
    </w:p>
    <w:p w:rsidR="00647F99" w:rsidRPr="009D39D5" w:rsidRDefault="00647F99" w:rsidP="008A3947">
      <w:pPr>
        <w:rPr>
          <w:lang w:val="es-ES"/>
        </w:rPr>
      </w:pPr>
    </w:p>
    <w:p w:rsidR="007F1AEB" w:rsidRPr="009D39D5" w:rsidRDefault="007F1AEB" w:rsidP="008A3947">
      <w:pPr>
        <w:rPr>
          <w:lang w:val="es-ES"/>
        </w:rPr>
      </w:pPr>
    </w:p>
    <w:p w:rsidR="0022467E" w:rsidRPr="009D39D5" w:rsidRDefault="0022467E" w:rsidP="008A3947">
      <w:pPr>
        <w:rPr>
          <w:lang w:val="es-ES"/>
        </w:rPr>
      </w:pPr>
    </w:p>
    <w:p w:rsidR="005D526E" w:rsidRPr="00A93EDF" w:rsidRDefault="007F1AEB" w:rsidP="008A3947">
      <w:pPr>
        <w:pStyle w:val="Endofdocument-Annex"/>
        <w:rPr>
          <w:lang w:val="es-ES"/>
        </w:rPr>
      </w:pPr>
      <w:r w:rsidRPr="009D39D5">
        <w:rPr>
          <w:lang w:val="es-ES"/>
        </w:rPr>
        <w:t>[</w:t>
      </w:r>
      <w:r w:rsidR="00EE517C" w:rsidRPr="009D39D5">
        <w:rPr>
          <w:lang w:val="es-ES"/>
        </w:rPr>
        <w:t>Fin del documento</w:t>
      </w:r>
      <w:r w:rsidRPr="009D39D5">
        <w:rPr>
          <w:lang w:val="es-ES"/>
        </w:rPr>
        <w:t>]</w:t>
      </w:r>
    </w:p>
    <w:sectPr w:rsidR="005D526E" w:rsidRPr="00A93EDF" w:rsidSect="00B215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15" w:rsidRDefault="00306715">
      <w:r>
        <w:separator/>
      </w:r>
    </w:p>
  </w:endnote>
  <w:endnote w:type="continuationSeparator" w:id="0">
    <w:p w:rsidR="00306715" w:rsidRDefault="00306715" w:rsidP="003B38C1">
      <w:r>
        <w:separator/>
      </w:r>
    </w:p>
    <w:p w:rsidR="00306715" w:rsidRPr="003B38C1" w:rsidRDefault="003067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6715" w:rsidRPr="003B38C1" w:rsidRDefault="003067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15" w:rsidRDefault="00306715">
      <w:r>
        <w:separator/>
      </w:r>
    </w:p>
  </w:footnote>
  <w:footnote w:type="continuationSeparator" w:id="0">
    <w:p w:rsidR="00306715" w:rsidRDefault="00306715" w:rsidP="008B60B2">
      <w:r>
        <w:separator/>
      </w:r>
    </w:p>
    <w:p w:rsidR="00306715" w:rsidRPr="00ED77FB" w:rsidRDefault="003067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6715" w:rsidRPr="00ED77FB" w:rsidRDefault="003067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904F8" w:rsidRPr="0038768A" w:rsidRDefault="00A904F8" w:rsidP="00B34229">
      <w:pPr>
        <w:pStyle w:val="FootnoteText"/>
        <w:tabs>
          <w:tab w:val="left" w:pos="567"/>
        </w:tabs>
        <w:rPr>
          <w:lang w:val="es-ES_tradnl"/>
        </w:rPr>
      </w:pPr>
      <w:r w:rsidRPr="00EC6506">
        <w:rPr>
          <w:rStyle w:val="FootnoteReference"/>
        </w:rPr>
        <w:sym w:font="Symbol" w:char="F02A"/>
      </w:r>
      <w:r w:rsidRPr="0038768A">
        <w:rPr>
          <w:lang w:val="es-ES_tradnl"/>
        </w:rPr>
        <w:t xml:space="preserve"> </w:t>
      </w:r>
      <w:r w:rsidRPr="0038768A">
        <w:rPr>
          <w:lang w:val="es-ES_tradnl"/>
        </w:rPr>
        <w:tab/>
        <w:t xml:space="preserve">El presente trabajo es un resumen del documento </w:t>
      </w:r>
      <w:r w:rsidRPr="0038768A">
        <w:rPr>
          <w:i/>
          <w:lang w:val="es-ES_tradnl"/>
        </w:rPr>
        <w:t>La solución extrajudicial de controversias como</w:t>
      </w:r>
      <w:r w:rsidR="00EF2A30">
        <w:rPr>
          <w:i/>
          <w:lang w:val="es-ES_tradnl"/>
        </w:rPr>
        <w:t xml:space="preserve"> instrumento de</w:t>
      </w:r>
      <w:r w:rsidRPr="0038768A">
        <w:rPr>
          <w:i/>
          <w:lang w:val="es-ES_tradnl"/>
        </w:rPr>
        <w:t xml:space="preserve"> observancia de los derechos de propiedad intelectual</w:t>
      </w:r>
      <w:r w:rsidRPr="0038768A">
        <w:rPr>
          <w:lang w:val="es-ES_tradnl"/>
        </w:rPr>
        <w:t xml:space="preserve"> (WIPO/ACE/9/3).  </w:t>
      </w:r>
    </w:p>
  </w:footnote>
  <w:footnote w:id="3">
    <w:p w:rsidR="00A904F8" w:rsidRPr="0038768A" w:rsidRDefault="00A904F8" w:rsidP="008A3947">
      <w:pPr>
        <w:pStyle w:val="FootnoteText"/>
        <w:rPr>
          <w:lang w:val="es-ES_tradnl"/>
        </w:rPr>
      </w:pPr>
      <w:r w:rsidRPr="00EC6506">
        <w:rPr>
          <w:rStyle w:val="FootnoteReference"/>
        </w:rPr>
        <w:sym w:font="Symbol" w:char="F02A"/>
      </w:r>
      <w:r w:rsidRPr="00EC6506">
        <w:rPr>
          <w:rStyle w:val="FootnoteReference"/>
        </w:rPr>
        <w:sym w:font="Symbol" w:char="F02A"/>
      </w:r>
      <w:r>
        <w:t xml:space="preserve"> </w:t>
      </w:r>
      <w:r>
        <w:tab/>
        <w:t xml:space="preserve">Autor de </w:t>
      </w:r>
      <w:r w:rsidRPr="000A6E40">
        <w:rPr>
          <w:i/>
        </w:rPr>
        <w:t>A User's Guide to Patents</w:t>
      </w:r>
      <w:r w:rsidRPr="000A6E40">
        <w:t xml:space="preserve"> (3</w:t>
      </w:r>
      <w:r>
        <w:t>ª</w:t>
      </w:r>
      <w:r w:rsidRPr="000A6E40">
        <w:t xml:space="preserve"> edi</w:t>
      </w:r>
      <w:r>
        <w:t>ción</w:t>
      </w:r>
      <w:r w:rsidRPr="000A6E40">
        <w:t xml:space="preserve">, Bloomsbury 2011), </w:t>
      </w:r>
      <w:r w:rsidRPr="000A6E40">
        <w:rPr>
          <w:i/>
        </w:rPr>
        <w:t>EU Intellectual Property Law</w:t>
      </w:r>
      <w:r>
        <w:t xml:space="preserve"> (Oxford University Press 2010),</w:t>
      </w:r>
      <w:r w:rsidRPr="000A6E40">
        <w:t xml:space="preserve"> </w:t>
      </w:r>
      <w:r w:rsidRPr="000A6E40">
        <w:rPr>
          <w:i/>
        </w:rPr>
        <w:t>Pharmaceuticals Biotechnology and the Law</w:t>
      </w:r>
      <w:r w:rsidRPr="000A6E40">
        <w:t xml:space="preserve"> (2</w:t>
      </w:r>
      <w:r>
        <w:t>ª edición</w:t>
      </w:r>
      <w:r w:rsidRPr="000A6E40">
        <w:t xml:space="preserve"> 2009</w:t>
      </w:r>
      <w:r>
        <w:t>,</w:t>
      </w:r>
      <w:r w:rsidRPr="000A6E40">
        <w:t xml:space="preserve"> LexisNexis</w:t>
      </w:r>
      <w:r>
        <w:t xml:space="preserve">) y (junto a Alejandro García) de </w:t>
      </w:r>
      <w:r>
        <w:rPr>
          <w:i/>
        </w:rPr>
        <w:t xml:space="preserve">International Intellectual Property Arbitration </w:t>
      </w:r>
      <w:r>
        <w:t xml:space="preserve">(Wolters Kluwer 2010).  </w:t>
      </w:r>
      <w:r w:rsidRPr="0038768A">
        <w:rPr>
          <w:lang w:val="es-ES_tradnl"/>
        </w:rPr>
        <w:t xml:space="preserve">Las opiniones expresadas en el presente documento son las del autor y no </w:t>
      </w:r>
      <w:r w:rsidR="00CA6081">
        <w:rPr>
          <w:lang w:val="es-ES_tradnl"/>
        </w:rPr>
        <w:t>reflejan</w:t>
      </w:r>
      <w:r w:rsidRPr="0038768A">
        <w:rPr>
          <w:lang w:val="es-ES_tradnl"/>
        </w:rPr>
        <w:t xml:space="preserve"> necesariamente </w:t>
      </w:r>
      <w:r w:rsidR="00CA6081">
        <w:rPr>
          <w:lang w:val="es-ES_tradnl"/>
        </w:rPr>
        <w:t xml:space="preserve">las </w:t>
      </w:r>
      <w:r w:rsidRPr="0038768A">
        <w:rPr>
          <w:lang w:val="es-ES_tradnl"/>
        </w:rPr>
        <w:t>de la Secretaría ni las de los Estados miembros de la 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F8" w:rsidRDefault="00A904F8">
    <w:pPr>
      <w:pStyle w:val="Header"/>
      <w:jc w:val="right"/>
    </w:pPr>
    <w:r>
      <w:t>WIPO/ACE/9/3</w:t>
    </w:r>
  </w:p>
  <w:p w:rsidR="00A904F8" w:rsidRDefault="00A904F8">
    <w:pPr>
      <w:pStyle w:val="Header"/>
      <w:jc w:val="right"/>
    </w:pPr>
    <w:r>
      <w:t xml:space="preserve">página </w:t>
    </w:r>
    <w:sdt>
      <w:sdtPr>
        <w:id w:val="15965102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F39CA">
          <w:fldChar w:fldCharType="begin"/>
        </w:r>
        <w:r w:rsidR="005F39CA">
          <w:instrText xml:space="preserve"> PAGE   \* MERGEFORMAT </w:instrText>
        </w:r>
        <w:r w:rsidR="005F39CA">
          <w:fldChar w:fldCharType="separate"/>
        </w:r>
        <w:r w:rsidR="00037B31">
          <w:rPr>
            <w:noProof/>
          </w:rPr>
          <w:t>7</w:t>
        </w:r>
        <w:r w:rsidR="005F39CA">
          <w:rPr>
            <w:noProof/>
          </w:rPr>
          <w:fldChar w:fldCharType="end"/>
        </w:r>
      </w:sdtContent>
    </w:sdt>
  </w:p>
  <w:p w:rsidR="00A904F8" w:rsidRDefault="00A904F8" w:rsidP="00477D6B">
    <w:pPr>
      <w:jc w:val="right"/>
    </w:pPr>
  </w:p>
  <w:p w:rsidR="00A904F8" w:rsidRDefault="00A904F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0348E"/>
    <w:multiLevelType w:val="hybridMultilevel"/>
    <w:tmpl w:val="4E1049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B147D"/>
    <w:multiLevelType w:val="hybridMultilevel"/>
    <w:tmpl w:val="4296D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523DA"/>
    <w:multiLevelType w:val="hybridMultilevel"/>
    <w:tmpl w:val="E6B40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3FAA"/>
    <w:multiLevelType w:val="hybridMultilevel"/>
    <w:tmpl w:val="4E1049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564AAE"/>
    <w:multiLevelType w:val="hybridMultilevel"/>
    <w:tmpl w:val="D29AF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592A"/>
    <w:multiLevelType w:val="hybridMultilevel"/>
    <w:tmpl w:val="CE40F6F2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4782"/>
    <w:multiLevelType w:val="hybridMultilevel"/>
    <w:tmpl w:val="5582E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D7CFE"/>
    <w:multiLevelType w:val="hybridMultilevel"/>
    <w:tmpl w:val="4E1049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F21F43"/>
    <w:multiLevelType w:val="hybridMultilevel"/>
    <w:tmpl w:val="5254F860"/>
    <w:lvl w:ilvl="0" w:tplc="1F0C7F1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4D0F"/>
    <w:multiLevelType w:val="hybridMultilevel"/>
    <w:tmpl w:val="40FA3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03F"/>
    <w:multiLevelType w:val="hybridMultilevel"/>
    <w:tmpl w:val="7CC06A12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A48A6"/>
    <w:multiLevelType w:val="hybridMultilevel"/>
    <w:tmpl w:val="A66CE7D4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6119"/>
    <w:multiLevelType w:val="hybridMultilevel"/>
    <w:tmpl w:val="D0108644"/>
    <w:lvl w:ilvl="0" w:tplc="0712A9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1F4273"/>
    <w:multiLevelType w:val="hybridMultilevel"/>
    <w:tmpl w:val="A7D8ADA8"/>
    <w:lvl w:ilvl="0" w:tplc="D658A6A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465FD"/>
    <w:multiLevelType w:val="hybridMultilevel"/>
    <w:tmpl w:val="9A7609D4"/>
    <w:lvl w:ilvl="0" w:tplc="C7524BB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5EE4"/>
    <w:multiLevelType w:val="hybridMultilevel"/>
    <w:tmpl w:val="192C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B1549"/>
    <w:multiLevelType w:val="hybridMultilevel"/>
    <w:tmpl w:val="231439CC"/>
    <w:lvl w:ilvl="0" w:tplc="06B47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84EE2"/>
    <w:multiLevelType w:val="hybridMultilevel"/>
    <w:tmpl w:val="6C044798"/>
    <w:lvl w:ilvl="0" w:tplc="E3BC496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A1B9E"/>
    <w:multiLevelType w:val="hybridMultilevel"/>
    <w:tmpl w:val="8CF4FBC2"/>
    <w:lvl w:ilvl="0" w:tplc="75DAD02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6671"/>
    <w:multiLevelType w:val="hybridMultilevel"/>
    <w:tmpl w:val="E564E628"/>
    <w:lvl w:ilvl="0" w:tplc="05DAFF6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F64E8"/>
    <w:multiLevelType w:val="hybridMultilevel"/>
    <w:tmpl w:val="5628D7A8"/>
    <w:lvl w:ilvl="0" w:tplc="D2B0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61726"/>
    <w:multiLevelType w:val="hybridMultilevel"/>
    <w:tmpl w:val="A672E498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15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6"/>
  </w:num>
  <w:num w:numId="21">
    <w:abstractNumId w:val="2"/>
  </w:num>
  <w:num w:numId="22">
    <w:abstractNumId w:val="18"/>
  </w:num>
  <w:num w:numId="23">
    <w:abstractNumId w:val="25"/>
  </w:num>
  <w:num w:numId="24">
    <w:abstractNumId w:val="19"/>
  </w:num>
  <w:num w:numId="25">
    <w:abstractNumId w:val="12"/>
  </w:num>
  <w:num w:numId="26">
    <w:abstractNumId w:val="23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171B"/>
    <w:rsid w:val="00017B94"/>
    <w:rsid w:val="00037B31"/>
    <w:rsid w:val="00043CAA"/>
    <w:rsid w:val="00054187"/>
    <w:rsid w:val="00056D3F"/>
    <w:rsid w:val="00061D47"/>
    <w:rsid w:val="00065EEB"/>
    <w:rsid w:val="00075432"/>
    <w:rsid w:val="00075A7C"/>
    <w:rsid w:val="00080E05"/>
    <w:rsid w:val="00082AEB"/>
    <w:rsid w:val="000875CC"/>
    <w:rsid w:val="000968ED"/>
    <w:rsid w:val="00096F9C"/>
    <w:rsid w:val="000B3EAC"/>
    <w:rsid w:val="000E2927"/>
    <w:rsid w:val="000F5E56"/>
    <w:rsid w:val="0011121A"/>
    <w:rsid w:val="001115F7"/>
    <w:rsid w:val="00113D32"/>
    <w:rsid w:val="00123FC7"/>
    <w:rsid w:val="001362EE"/>
    <w:rsid w:val="00137519"/>
    <w:rsid w:val="0014431C"/>
    <w:rsid w:val="001450E4"/>
    <w:rsid w:val="00151A6E"/>
    <w:rsid w:val="001562BD"/>
    <w:rsid w:val="001832A6"/>
    <w:rsid w:val="001960CA"/>
    <w:rsid w:val="001D4524"/>
    <w:rsid w:val="001F310B"/>
    <w:rsid w:val="001F66FC"/>
    <w:rsid w:val="0022467E"/>
    <w:rsid w:val="00225F9E"/>
    <w:rsid w:val="002634C4"/>
    <w:rsid w:val="00272EA6"/>
    <w:rsid w:val="00281CDB"/>
    <w:rsid w:val="0028256E"/>
    <w:rsid w:val="00291B9E"/>
    <w:rsid w:val="002928D3"/>
    <w:rsid w:val="0029549C"/>
    <w:rsid w:val="002B7514"/>
    <w:rsid w:val="002C27EF"/>
    <w:rsid w:val="002D0BCA"/>
    <w:rsid w:val="002E7F72"/>
    <w:rsid w:val="002F0644"/>
    <w:rsid w:val="002F1FE6"/>
    <w:rsid w:val="002F4E68"/>
    <w:rsid w:val="00301620"/>
    <w:rsid w:val="00303260"/>
    <w:rsid w:val="00306715"/>
    <w:rsid w:val="00312F7F"/>
    <w:rsid w:val="00315EED"/>
    <w:rsid w:val="003343C6"/>
    <w:rsid w:val="00341F7A"/>
    <w:rsid w:val="00347E69"/>
    <w:rsid w:val="00361450"/>
    <w:rsid w:val="00366849"/>
    <w:rsid w:val="00366C62"/>
    <w:rsid w:val="003673CF"/>
    <w:rsid w:val="00367A9C"/>
    <w:rsid w:val="0037159A"/>
    <w:rsid w:val="003845C1"/>
    <w:rsid w:val="0038768A"/>
    <w:rsid w:val="00391C68"/>
    <w:rsid w:val="003A6F89"/>
    <w:rsid w:val="003B267C"/>
    <w:rsid w:val="003B38C1"/>
    <w:rsid w:val="003B7448"/>
    <w:rsid w:val="003C3732"/>
    <w:rsid w:val="003D28F7"/>
    <w:rsid w:val="003D60A8"/>
    <w:rsid w:val="003D6F49"/>
    <w:rsid w:val="003E1343"/>
    <w:rsid w:val="003F7B2B"/>
    <w:rsid w:val="00404CCB"/>
    <w:rsid w:val="004070DC"/>
    <w:rsid w:val="00423E3E"/>
    <w:rsid w:val="00427AF4"/>
    <w:rsid w:val="00435C1D"/>
    <w:rsid w:val="004647DA"/>
    <w:rsid w:val="00467E5E"/>
    <w:rsid w:val="00472D38"/>
    <w:rsid w:val="00474062"/>
    <w:rsid w:val="00475FF6"/>
    <w:rsid w:val="00477D6B"/>
    <w:rsid w:val="004B4B5E"/>
    <w:rsid w:val="004B72F1"/>
    <w:rsid w:val="004D5C1C"/>
    <w:rsid w:val="004E3420"/>
    <w:rsid w:val="004F5CD2"/>
    <w:rsid w:val="005019FF"/>
    <w:rsid w:val="0050284F"/>
    <w:rsid w:val="00503F1C"/>
    <w:rsid w:val="00512393"/>
    <w:rsid w:val="00523230"/>
    <w:rsid w:val="0053057A"/>
    <w:rsid w:val="00536D2E"/>
    <w:rsid w:val="00536FFA"/>
    <w:rsid w:val="00542A12"/>
    <w:rsid w:val="005439D1"/>
    <w:rsid w:val="00560A29"/>
    <w:rsid w:val="00596A39"/>
    <w:rsid w:val="005A1AB9"/>
    <w:rsid w:val="005A61B1"/>
    <w:rsid w:val="005C552D"/>
    <w:rsid w:val="005C6649"/>
    <w:rsid w:val="005D421A"/>
    <w:rsid w:val="005D526E"/>
    <w:rsid w:val="005F3890"/>
    <w:rsid w:val="005F39CA"/>
    <w:rsid w:val="005F6E65"/>
    <w:rsid w:val="00605827"/>
    <w:rsid w:val="00606ADD"/>
    <w:rsid w:val="006151FC"/>
    <w:rsid w:val="0062634A"/>
    <w:rsid w:val="006358FB"/>
    <w:rsid w:val="00646050"/>
    <w:rsid w:val="00647F99"/>
    <w:rsid w:val="006500D7"/>
    <w:rsid w:val="00651723"/>
    <w:rsid w:val="00655803"/>
    <w:rsid w:val="0066472D"/>
    <w:rsid w:val="006675F4"/>
    <w:rsid w:val="006713CA"/>
    <w:rsid w:val="00676C5C"/>
    <w:rsid w:val="006822B7"/>
    <w:rsid w:val="00694F79"/>
    <w:rsid w:val="0069796B"/>
    <w:rsid w:val="006C01DE"/>
    <w:rsid w:val="006C342B"/>
    <w:rsid w:val="006E0EF6"/>
    <w:rsid w:val="006E2DF3"/>
    <w:rsid w:val="007053C2"/>
    <w:rsid w:val="007067F5"/>
    <w:rsid w:val="00707527"/>
    <w:rsid w:val="00712E9B"/>
    <w:rsid w:val="00733B03"/>
    <w:rsid w:val="00735172"/>
    <w:rsid w:val="0074328A"/>
    <w:rsid w:val="00764C35"/>
    <w:rsid w:val="0077007B"/>
    <w:rsid w:val="0077771B"/>
    <w:rsid w:val="007864AB"/>
    <w:rsid w:val="00787DA2"/>
    <w:rsid w:val="00796A17"/>
    <w:rsid w:val="007C7EA6"/>
    <w:rsid w:val="007D1613"/>
    <w:rsid w:val="007D6EA3"/>
    <w:rsid w:val="007F1AEB"/>
    <w:rsid w:val="007F6FED"/>
    <w:rsid w:val="00801E1B"/>
    <w:rsid w:val="00810173"/>
    <w:rsid w:val="00811088"/>
    <w:rsid w:val="00822D04"/>
    <w:rsid w:val="0082729F"/>
    <w:rsid w:val="00842EDC"/>
    <w:rsid w:val="00850358"/>
    <w:rsid w:val="00861729"/>
    <w:rsid w:val="0086680A"/>
    <w:rsid w:val="008770DF"/>
    <w:rsid w:val="00892319"/>
    <w:rsid w:val="008949F5"/>
    <w:rsid w:val="008A30CE"/>
    <w:rsid w:val="008A3947"/>
    <w:rsid w:val="008B2CC1"/>
    <w:rsid w:val="008B60B2"/>
    <w:rsid w:val="008C5A9A"/>
    <w:rsid w:val="008E1751"/>
    <w:rsid w:val="008F1FCE"/>
    <w:rsid w:val="0090731E"/>
    <w:rsid w:val="009133A9"/>
    <w:rsid w:val="00916EE2"/>
    <w:rsid w:val="009278AF"/>
    <w:rsid w:val="0093337B"/>
    <w:rsid w:val="009506C6"/>
    <w:rsid w:val="00954B3D"/>
    <w:rsid w:val="00962200"/>
    <w:rsid w:val="00966A22"/>
    <w:rsid w:val="0096722F"/>
    <w:rsid w:val="00974BA8"/>
    <w:rsid w:val="0097764F"/>
    <w:rsid w:val="00980843"/>
    <w:rsid w:val="00980E04"/>
    <w:rsid w:val="009830B1"/>
    <w:rsid w:val="009A3C21"/>
    <w:rsid w:val="009A7996"/>
    <w:rsid w:val="009C0E1F"/>
    <w:rsid w:val="009C4DF7"/>
    <w:rsid w:val="009C6951"/>
    <w:rsid w:val="009D39D5"/>
    <w:rsid w:val="009E0239"/>
    <w:rsid w:val="009E2791"/>
    <w:rsid w:val="009E3F6F"/>
    <w:rsid w:val="009E43F5"/>
    <w:rsid w:val="009E4C81"/>
    <w:rsid w:val="009E4D65"/>
    <w:rsid w:val="009F06AF"/>
    <w:rsid w:val="009F499F"/>
    <w:rsid w:val="00A23EF7"/>
    <w:rsid w:val="00A347B1"/>
    <w:rsid w:val="00A41534"/>
    <w:rsid w:val="00A42DAF"/>
    <w:rsid w:val="00A45BD8"/>
    <w:rsid w:val="00A52B59"/>
    <w:rsid w:val="00A6785D"/>
    <w:rsid w:val="00A8391B"/>
    <w:rsid w:val="00A869B7"/>
    <w:rsid w:val="00A904F8"/>
    <w:rsid w:val="00A908AB"/>
    <w:rsid w:val="00A93EDF"/>
    <w:rsid w:val="00AA263F"/>
    <w:rsid w:val="00AB0312"/>
    <w:rsid w:val="00AB4D28"/>
    <w:rsid w:val="00AB7D28"/>
    <w:rsid w:val="00AC205C"/>
    <w:rsid w:val="00AC3137"/>
    <w:rsid w:val="00AC616D"/>
    <w:rsid w:val="00AF0A6B"/>
    <w:rsid w:val="00B05A69"/>
    <w:rsid w:val="00B06023"/>
    <w:rsid w:val="00B12354"/>
    <w:rsid w:val="00B12B30"/>
    <w:rsid w:val="00B21529"/>
    <w:rsid w:val="00B34229"/>
    <w:rsid w:val="00B42CB4"/>
    <w:rsid w:val="00B5394C"/>
    <w:rsid w:val="00B566B5"/>
    <w:rsid w:val="00B64386"/>
    <w:rsid w:val="00B75D7D"/>
    <w:rsid w:val="00B90185"/>
    <w:rsid w:val="00B9734B"/>
    <w:rsid w:val="00BA0418"/>
    <w:rsid w:val="00BB7B06"/>
    <w:rsid w:val="00BD52BA"/>
    <w:rsid w:val="00BF0145"/>
    <w:rsid w:val="00BF2548"/>
    <w:rsid w:val="00C102DA"/>
    <w:rsid w:val="00C11BFE"/>
    <w:rsid w:val="00C200A2"/>
    <w:rsid w:val="00C32EAC"/>
    <w:rsid w:val="00C33752"/>
    <w:rsid w:val="00C36721"/>
    <w:rsid w:val="00C43985"/>
    <w:rsid w:val="00C53A44"/>
    <w:rsid w:val="00C548D0"/>
    <w:rsid w:val="00C72B80"/>
    <w:rsid w:val="00C77246"/>
    <w:rsid w:val="00C77BE9"/>
    <w:rsid w:val="00C87802"/>
    <w:rsid w:val="00CA27A9"/>
    <w:rsid w:val="00CA2FAD"/>
    <w:rsid w:val="00CA6081"/>
    <w:rsid w:val="00CB6DF5"/>
    <w:rsid w:val="00CE68B8"/>
    <w:rsid w:val="00D050F6"/>
    <w:rsid w:val="00D32092"/>
    <w:rsid w:val="00D33379"/>
    <w:rsid w:val="00D45252"/>
    <w:rsid w:val="00D71B4D"/>
    <w:rsid w:val="00D816C5"/>
    <w:rsid w:val="00D91272"/>
    <w:rsid w:val="00D93D55"/>
    <w:rsid w:val="00DA1D7F"/>
    <w:rsid w:val="00DB16D1"/>
    <w:rsid w:val="00DC773F"/>
    <w:rsid w:val="00E2492D"/>
    <w:rsid w:val="00E32ACB"/>
    <w:rsid w:val="00E335FE"/>
    <w:rsid w:val="00E40E52"/>
    <w:rsid w:val="00E72CB1"/>
    <w:rsid w:val="00EA1C2D"/>
    <w:rsid w:val="00EC195D"/>
    <w:rsid w:val="00EC2F28"/>
    <w:rsid w:val="00EC4E49"/>
    <w:rsid w:val="00EC6B5C"/>
    <w:rsid w:val="00ED77FB"/>
    <w:rsid w:val="00EE45FA"/>
    <w:rsid w:val="00EE517C"/>
    <w:rsid w:val="00EF1620"/>
    <w:rsid w:val="00EF2A30"/>
    <w:rsid w:val="00F14495"/>
    <w:rsid w:val="00F40362"/>
    <w:rsid w:val="00F45AAE"/>
    <w:rsid w:val="00F66152"/>
    <w:rsid w:val="00F76E3A"/>
    <w:rsid w:val="00F7791B"/>
    <w:rsid w:val="00F97173"/>
    <w:rsid w:val="00FA120C"/>
    <w:rsid w:val="00FA5840"/>
    <w:rsid w:val="00FB502A"/>
    <w:rsid w:val="00FB7942"/>
    <w:rsid w:val="00FC63C6"/>
    <w:rsid w:val="00FE15D3"/>
    <w:rsid w:val="00FF32BB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uiPriority w:val="99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7F1A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D526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D526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526E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526E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526E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5D526E"/>
    <w:rPr>
      <w:rFonts w:ascii="Arial" w:eastAsia="SimSun" w:hAnsi="Arial" w:cs="Arial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26E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526E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26E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D526E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526E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526E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5D526E"/>
  </w:style>
  <w:style w:type="character" w:styleId="CommentReference">
    <w:name w:val="annotation reference"/>
    <w:basedOn w:val="DefaultParagraphFont"/>
    <w:uiPriority w:val="99"/>
    <w:unhideWhenUsed/>
    <w:rsid w:val="005D52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526E"/>
    <w:pPr>
      <w:spacing w:after="200"/>
      <w:jc w:val="both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52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5D526E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5D526E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D5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D526E"/>
    <w:rPr>
      <w:color w:val="800080" w:themeColor="followedHyperlink"/>
      <w:u w:val="single"/>
    </w:rPr>
  </w:style>
  <w:style w:type="character" w:customStyle="1" w:styleId="A5">
    <w:name w:val="A5"/>
    <w:uiPriority w:val="99"/>
    <w:rsid w:val="005D526E"/>
    <w:rPr>
      <w:rFonts w:cs="Myriad Pro Light"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5D526E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unhideWhenUsed/>
    <w:rsid w:val="005D52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uiPriority w:val="99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7F1A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D526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D526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526E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526E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526E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5D526E"/>
    <w:rPr>
      <w:rFonts w:ascii="Arial" w:eastAsia="SimSun" w:hAnsi="Arial" w:cs="Arial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26E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526E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26E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D526E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526E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526E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5D526E"/>
  </w:style>
  <w:style w:type="character" w:styleId="CommentReference">
    <w:name w:val="annotation reference"/>
    <w:basedOn w:val="DefaultParagraphFont"/>
    <w:uiPriority w:val="99"/>
    <w:unhideWhenUsed/>
    <w:rsid w:val="005D52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526E"/>
    <w:pPr>
      <w:spacing w:after="200"/>
      <w:jc w:val="both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52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5D526E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5D526E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D5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D526E"/>
    <w:rPr>
      <w:color w:val="800080" w:themeColor="followedHyperlink"/>
      <w:u w:val="single"/>
    </w:rPr>
  </w:style>
  <w:style w:type="character" w:customStyle="1" w:styleId="A5">
    <w:name w:val="A5"/>
    <w:uiPriority w:val="99"/>
    <w:rsid w:val="005D526E"/>
    <w:rPr>
      <w:rFonts w:cs="Myriad Pro Light"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5D526E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unhideWhenUsed/>
    <w:rsid w:val="005D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4406</Words>
  <Characters>23814</Characters>
  <Application>Microsoft Office Word</Application>
  <DocSecurity>0</DocSecurity>
  <Lines>198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50</cp:revision>
  <cp:lastPrinted>2014-02-14T12:50:00Z</cp:lastPrinted>
  <dcterms:created xsi:type="dcterms:W3CDTF">2014-02-14T12:50:00Z</dcterms:created>
  <dcterms:modified xsi:type="dcterms:W3CDTF">2014-02-14T15:57:00Z</dcterms:modified>
</cp:coreProperties>
</file>