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3F060D" w:rsidTr="00361450">
        <w:tc>
          <w:tcPr>
            <w:tcW w:w="4513" w:type="dxa"/>
            <w:tcBorders>
              <w:bottom w:val="single" w:sz="4" w:space="0" w:color="auto"/>
            </w:tcBorders>
            <w:tcMar>
              <w:bottom w:w="170" w:type="dxa"/>
            </w:tcMar>
          </w:tcPr>
          <w:p w:rsidR="00EC4E49" w:rsidRPr="003F060D" w:rsidRDefault="00EC4E49" w:rsidP="00916EE2">
            <w:pPr>
              <w:rPr>
                <w:lang w:val="es-ES_tradnl"/>
              </w:rPr>
            </w:pPr>
          </w:p>
        </w:tc>
        <w:tc>
          <w:tcPr>
            <w:tcW w:w="4337" w:type="dxa"/>
            <w:tcBorders>
              <w:bottom w:val="single" w:sz="4" w:space="0" w:color="auto"/>
            </w:tcBorders>
            <w:tcMar>
              <w:left w:w="0" w:type="dxa"/>
              <w:right w:w="0" w:type="dxa"/>
            </w:tcMar>
          </w:tcPr>
          <w:p w:rsidR="00EC4E49" w:rsidRPr="003F060D" w:rsidRDefault="00561029" w:rsidP="00916EE2">
            <w:pPr>
              <w:rPr>
                <w:lang w:val="es-ES_tradnl"/>
              </w:rPr>
            </w:pPr>
            <w:r w:rsidRPr="003F060D">
              <w:rPr>
                <w:noProof/>
                <w:lang w:eastAsia="en-US"/>
              </w:rPr>
              <w:drawing>
                <wp:inline distT="0" distB="0" distL="0" distR="0" wp14:anchorId="06B94C59" wp14:editId="0DB2B6D2">
                  <wp:extent cx="1828800" cy="1323975"/>
                  <wp:effectExtent l="0" t="0" r="0"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3F060D" w:rsidRDefault="00BA5D63" w:rsidP="00BA5D63">
            <w:pPr>
              <w:jc w:val="right"/>
              <w:rPr>
                <w:lang w:val="es-ES_tradnl"/>
              </w:rPr>
            </w:pPr>
            <w:r w:rsidRPr="003F060D">
              <w:rPr>
                <w:b/>
                <w:sz w:val="40"/>
                <w:szCs w:val="40"/>
                <w:lang w:val="es-ES_tradnl"/>
              </w:rPr>
              <w:t>S</w:t>
            </w:r>
          </w:p>
        </w:tc>
      </w:tr>
      <w:tr w:rsidR="00C567A9" w:rsidRPr="003F060D"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3F060D" w:rsidRDefault="00BA5D63" w:rsidP="00797679">
            <w:pPr>
              <w:jc w:val="right"/>
              <w:rPr>
                <w:rFonts w:ascii="Arial Black" w:hAnsi="Arial Black"/>
                <w:caps/>
                <w:sz w:val="15"/>
                <w:lang w:val="es-ES_tradnl"/>
              </w:rPr>
            </w:pPr>
            <w:r w:rsidRPr="003F060D">
              <w:rPr>
                <w:rFonts w:ascii="Arial Black" w:hAnsi="Arial Black"/>
                <w:sz w:val="15"/>
                <w:lang w:val="es-ES_tradnl"/>
              </w:rPr>
              <w:t>WIPO/ACE/9/11</w:t>
            </w:r>
            <w:r w:rsidR="008B2CC1" w:rsidRPr="003F060D">
              <w:rPr>
                <w:rFonts w:ascii="Arial Black" w:hAnsi="Arial Black"/>
                <w:caps/>
                <w:sz w:val="15"/>
                <w:lang w:val="es-ES_tradnl"/>
              </w:rPr>
              <w:t xml:space="preserve"> </w:t>
            </w:r>
          </w:p>
        </w:tc>
      </w:tr>
      <w:tr w:rsidR="00C567A9" w:rsidRPr="003F060D" w:rsidTr="00916EE2">
        <w:trPr>
          <w:trHeight w:hRule="exact" w:val="170"/>
        </w:trPr>
        <w:tc>
          <w:tcPr>
            <w:tcW w:w="9356" w:type="dxa"/>
            <w:gridSpan w:val="3"/>
            <w:noWrap/>
            <w:tcMar>
              <w:left w:w="0" w:type="dxa"/>
              <w:right w:w="0" w:type="dxa"/>
            </w:tcMar>
            <w:vAlign w:val="bottom"/>
          </w:tcPr>
          <w:p w:rsidR="008B2CC1" w:rsidRPr="003F060D" w:rsidRDefault="00BA5D63" w:rsidP="00BA5D63">
            <w:pPr>
              <w:jc w:val="right"/>
              <w:rPr>
                <w:rFonts w:ascii="Arial Black" w:hAnsi="Arial Black"/>
                <w:caps/>
                <w:sz w:val="15"/>
                <w:lang w:val="es-ES_tradnl"/>
              </w:rPr>
            </w:pPr>
            <w:r w:rsidRPr="003F060D">
              <w:rPr>
                <w:rFonts w:ascii="Arial Black" w:hAnsi="Arial Black"/>
                <w:sz w:val="15"/>
                <w:lang w:val="es-ES_tradnl"/>
              </w:rPr>
              <w:t xml:space="preserve">ORIGINAL:  </w:t>
            </w:r>
            <w:r w:rsidR="00561029" w:rsidRPr="003F060D">
              <w:rPr>
                <w:rFonts w:ascii="Arial Black" w:hAnsi="Arial Black"/>
                <w:sz w:val="15"/>
                <w:lang w:val="es-ES_tradnl"/>
              </w:rPr>
              <w:t>INGLÉS</w:t>
            </w:r>
          </w:p>
        </w:tc>
      </w:tr>
      <w:tr w:rsidR="00C567A9" w:rsidRPr="003F060D" w:rsidTr="00916EE2">
        <w:trPr>
          <w:trHeight w:hRule="exact" w:val="198"/>
        </w:trPr>
        <w:tc>
          <w:tcPr>
            <w:tcW w:w="9356" w:type="dxa"/>
            <w:gridSpan w:val="3"/>
            <w:tcMar>
              <w:left w:w="0" w:type="dxa"/>
              <w:right w:w="0" w:type="dxa"/>
            </w:tcMar>
            <w:vAlign w:val="bottom"/>
          </w:tcPr>
          <w:p w:rsidR="008B2CC1" w:rsidRPr="003F060D" w:rsidRDefault="00561029" w:rsidP="00BA5D63">
            <w:pPr>
              <w:jc w:val="right"/>
              <w:rPr>
                <w:rFonts w:ascii="Arial Black" w:hAnsi="Arial Black"/>
                <w:caps/>
                <w:sz w:val="15"/>
                <w:lang w:val="es-ES_tradnl"/>
              </w:rPr>
            </w:pPr>
            <w:r w:rsidRPr="003F060D">
              <w:rPr>
                <w:rFonts w:ascii="Arial Black" w:hAnsi="Arial Black"/>
                <w:sz w:val="15"/>
                <w:lang w:val="es-ES_tradnl"/>
              </w:rPr>
              <w:t>FECHA</w:t>
            </w:r>
            <w:r w:rsidR="00BA5D63" w:rsidRPr="003F060D">
              <w:rPr>
                <w:rFonts w:ascii="Arial Black" w:hAnsi="Arial Black"/>
                <w:sz w:val="15"/>
                <w:lang w:val="es-ES_tradnl"/>
              </w:rPr>
              <w:t>:  7 DE FEBRERO DE 2014</w:t>
            </w:r>
          </w:p>
        </w:tc>
      </w:tr>
    </w:tbl>
    <w:p w:rsidR="00BA5D63" w:rsidRPr="003F060D" w:rsidRDefault="00BA5D63" w:rsidP="008B2CC1">
      <w:pPr>
        <w:rPr>
          <w:lang w:val="es-ES_tradnl"/>
        </w:rPr>
      </w:pPr>
    </w:p>
    <w:p w:rsidR="00BA5D63" w:rsidRPr="003F060D" w:rsidRDefault="00BA5D63" w:rsidP="008B2CC1">
      <w:pPr>
        <w:rPr>
          <w:lang w:val="es-ES_tradnl"/>
        </w:rPr>
      </w:pPr>
      <w:bookmarkStart w:id="0" w:name="_GoBack"/>
      <w:bookmarkEnd w:id="0"/>
    </w:p>
    <w:p w:rsidR="00BA5D63" w:rsidRPr="003F060D" w:rsidRDefault="00BA5D63" w:rsidP="008B2CC1">
      <w:pPr>
        <w:rPr>
          <w:lang w:val="es-ES_tradnl"/>
        </w:rPr>
      </w:pPr>
    </w:p>
    <w:p w:rsidR="00BA5D63" w:rsidRPr="003F060D" w:rsidRDefault="00BA5D63" w:rsidP="008B2CC1">
      <w:pPr>
        <w:rPr>
          <w:lang w:val="es-ES_tradnl"/>
        </w:rPr>
      </w:pPr>
    </w:p>
    <w:p w:rsidR="00BA5D63" w:rsidRPr="003F060D" w:rsidRDefault="00BA5D63" w:rsidP="008B2CC1">
      <w:pPr>
        <w:rPr>
          <w:lang w:val="es-ES_tradnl"/>
        </w:rPr>
      </w:pPr>
    </w:p>
    <w:p w:rsidR="00BA5D63" w:rsidRPr="003F060D" w:rsidRDefault="00BA5D63" w:rsidP="00BA5D63">
      <w:pPr>
        <w:pStyle w:val="Meetingtitle"/>
        <w:ind w:left="0"/>
        <w:rPr>
          <w:lang w:val="es-ES_tradnl"/>
        </w:rPr>
      </w:pPr>
      <w:r w:rsidRPr="003F060D">
        <w:rPr>
          <w:lang w:val="es-ES_tradnl"/>
        </w:rPr>
        <w:t>Comité Asesor sobre Observancia</w:t>
      </w:r>
    </w:p>
    <w:p w:rsidR="00BA5D63" w:rsidRPr="003F060D" w:rsidRDefault="00BA5D63" w:rsidP="00BA5D63">
      <w:pPr>
        <w:pStyle w:val="Sessiontitle"/>
        <w:ind w:left="0"/>
        <w:rPr>
          <w:lang w:val="es-ES_tradnl"/>
        </w:rPr>
      </w:pPr>
      <w:r w:rsidRPr="003F060D">
        <w:rPr>
          <w:lang w:val="es-ES_tradnl" w:eastAsia="ko-KR"/>
        </w:rPr>
        <w:t>Novena sesión</w:t>
      </w:r>
    </w:p>
    <w:p w:rsidR="00BA5D63" w:rsidRPr="003F060D" w:rsidRDefault="00BA5D63" w:rsidP="00BA5D63">
      <w:pPr>
        <w:pStyle w:val="Meetingplacedate"/>
        <w:ind w:left="0"/>
        <w:rPr>
          <w:lang w:val="es-ES_tradnl"/>
        </w:rPr>
      </w:pPr>
      <w:r w:rsidRPr="003F060D">
        <w:rPr>
          <w:lang w:val="es-ES_tradnl"/>
        </w:rPr>
        <w:t>Ginebra, 3 a 5 de marzo de 2014</w:t>
      </w:r>
    </w:p>
    <w:p w:rsidR="00BA5D63" w:rsidRPr="003F060D" w:rsidRDefault="00BA5D63" w:rsidP="008B2CC1">
      <w:pPr>
        <w:rPr>
          <w:lang w:val="es-ES_tradnl"/>
        </w:rPr>
      </w:pPr>
    </w:p>
    <w:p w:rsidR="00BA5D63" w:rsidRPr="003F060D" w:rsidRDefault="00BA5D63" w:rsidP="008B2CC1">
      <w:pPr>
        <w:rPr>
          <w:lang w:val="es-ES_tradnl"/>
        </w:rPr>
      </w:pPr>
    </w:p>
    <w:p w:rsidR="00BA5D63" w:rsidRPr="003F060D" w:rsidRDefault="00561029" w:rsidP="00BA5D63">
      <w:pPr>
        <w:rPr>
          <w:szCs w:val="22"/>
          <w:lang w:val="es-ES_tradnl"/>
        </w:rPr>
      </w:pPr>
      <w:r w:rsidRPr="003F060D">
        <w:rPr>
          <w:szCs w:val="22"/>
          <w:lang w:val="es-ES_tradnl"/>
        </w:rPr>
        <w:t>MEDIDAS PREVENTIVAS O EXPERIENCIAS EFICACES QUE HAN COMPLEMENTADO LAS MEDIDAS DE OBSERVANCIA EN CURSO PARA REDUCIR EL MERCADO DE PRODUCTOS FALSIFICADOS O PIRATEADOS</w:t>
      </w:r>
    </w:p>
    <w:p w:rsidR="00BA5D63" w:rsidRPr="003F060D" w:rsidRDefault="00BA5D63" w:rsidP="008B2CC1">
      <w:pPr>
        <w:rPr>
          <w:i/>
          <w:lang w:val="es-ES_tradnl"/>
        </w:rPr>
      </w:pPr>
      <w:bookmarkStart w:id="1" w:name="TitleOfDoc"/>
      <w:bookmarkStart w:id="2" w:name="Prepared"/>
      <w:bookmarkEnd w:id="1"/>
      <w:bookmarkEnd w:id="2"/>
    </w:p>
    <w:p w:rsidR="00BA5D63" w:rsidRPr="003F060D" w:rsidRDefault="00561029" w:rsidP="00BA5D63">
      <w:pPr>
        <w:rPr>
          <w:i/>
          <w:lang w:val="es-ES_tradnl"/>
        </w:rPr>
      </w:pPr>
      <w:r w:rsidRPr="003F060D">
        <w:rPr>
          <w:i/>
          <w:lang w:val="es-ES_tradnl"/>
        </w:rPr>
        <w:t xml:space="preserve">Documento </w:t>
      </w:r>
      <w:r w:rsidR="00BA5D63" w:rsidRPr="003F060D">
        <w:rPr>
          <w:i/>
          <w:lang w:val="es-ES_tradnl"/>
        </w:rPr>
        <w:t>preparado por la Secretaría</w:t>
      </w:r>
    </w:p>
    <w:p w:rsidR="00BA5D63" w:rsidRPr="003F060D" w:rsidRDefault="00BA5D63">
      <w:pPr>
        <w:rPr>
          <w:lang w:val="es-ES_tradnl"/>
        </w:rPr>
      </w:pPr>
    </w:p>
    <w:p w:rsidR="00BA5D63" w:rsidRPr="003F060D" w:rsidRDefault="00BA5D63">
      <w:pPr>
        <w:rPr>
          <w:lang w:val="es-ES_tradnl"/>
        </w:rPr>
      </w:pPr>
    </w:p>
    <w:p w:rsidR="00BA5D63" w:rsidRPr="003F060D" w:rsidRDefault="00BA5D63" w:rsidP="0054017E">
      <w:pPr>
        <w:rPr>
          <w:lang w:val="es-ES_tradnl"/>
        </w:rPr>
      </w:pPr>
    </w:p>
    <w:p w:rsidR="00BA5D63" w:rsidRPr="003F060D" w:rsidRDefault="00BA5D63" w:rsidP="00A445A9">
      <w:pPr>
        <w:rPr>
          <w:b/>
          <w:szCs w:val="22"/>
          <w:lang w:val="es-ES_tradnl"/>
        </w:rPr>
      </w:pPr>
    </w:p>
    <w:p w:rsidR="00BA5D63" w:rsidRPr="003F060D" w:rsidRDefault="00BA5D63" w:rsidP="00A445A9">
      <w:pPr>
        <w:rPr>
          <w:b/>
          <w:szCs w:val="22"/>
          <w:lang w:val="es-ES_tradnl"/>
        </w:rPr>
      </w:pPr>
    </w:p>
    <w:p w:rsidR="00BA5D63" w:rsidRPr="003F060D" w:rsidRDefault="00BA5D63" w:rsidP="00A445A9">
      <w:pPr>
        <w:rPr>
          <w:b/>
          <w:szCs w:val="22"/>
          <w:lang w:val="es-ES_tradnl"/>
        </w:rPr>
      </w:pPr>
    </w:p>
    <w:p w:rsidR="00BA5D63" w:rsidRPr="003F060D" w:rsidRDefault="00BA5D63" w:rsidP="00BA5D63">
      <w:pPr>
        <w:rPr>
          <w:b/>
          <w:szCs w:val="22"/>
          <w:lang w:val="es-ES_tradnl"/>
        </w:rPr>
      </w:pPr>
      <w:r w:rsidRPr="003F060D">
        <w:rPr>
          <w:b/>
          <w:szCs w:val="22"/>
          <w:lang w:val="es-ES_tradnl"/>
        </w:rPr>
        <w:t>I.</w:t>
      </w:r>
      <w:r w:rsidR="00561029" w:rsidRPr="003F060D">
        <w:rPr>
          <w:szCs w:val="22"/>
          <w:lang w:val="es-ES_tradnl"/>
        </w:rPr>
        <w:tab/>
      </w:r>
      <w:r w:rsidR="00561029" w:rsidRPr="003F060D">
        <w:rPr>
          <w:b/>
          <w:szCs w:val="22"/>
          <w:lang w:val="es-ES_tradnl"/>
        </w:rPr>
        <w:t>INTRODUCCIÓN</w:t>
      </w:r>
    </w:p>
    <w:p w:rsidR="00BA5D63" w:rsidRPr="003F060D" w:rsidRDefault="00BA5D63" w:rsidP="00A445A9">
      <w:pPr>
        <w:rPr>
          <w:szCs w:val="22"/>
          <w:lang w:val="es-ES_tradnl"/>
        </w:rPr>
      </w:pPr>
    </w:p>
    <w:p w:rsidR="00BA5D63" w:rsidRPr="003F060D" w:rsidRDefault="00AA26D5" w:rsidP="00A445A9">
      <w:pPr>
        <w:rPr>
          <w:szCs w:val="22"/>
          <w:lang w:val="es-ES_tradnl"/>
        </w:rPr>
      </w:pPr>
      <w:r w:rsidRPr="003F060D">
        <w:rPr>
          <w:szCs w:val="22"/>
          <w:lang w:val="es-ES_tradnl"/>
        </w:rPr>
        <w:fldChar w:fldCharType="begin"/>
      </w:r>
      <w:r w:rsidR="00A445A9" w:rsidRPr="003F060D">
        <w:rPr>
          <w:szCs w:val="22"/>
          <w:lang w:val="es-ES_tradnl"/>
        </w:rPr>
        <w:instrText xml:space="preserve"> AUTONUM  </w:instrText>
      </w:r>
      <w:r w:rsidRPr="003F060D">
        <w:rPr>
          <w:szCs w:val="22"/>
          <w:lang w:val="es-ES_tradnl"/>
        </w:rPr>
        <w:fldChar w:fldCharType="end"/>
      </w:r>
      <w:r w:rsidR="00A445A9" w:rsidRPr="003F060D">
        <w:rPr>
          <w:szCs w:val="22"/>
          <w:lang w:val="es-ES_tradnl"/>
        </w:rPr>
        <w:tab/>
      </w:r>
      <w:r w:rsidR="00A411E7" w:rsidRPr="003F060D">
        <w:rPr>
          <w:szCs w:val="22"/>
          <w:lang w:val="es-ES_tradnl"/>
        </w:rPr>
        <w:t>Con arreglo a</w:t>
      </w:r>
      <w:r w:rsidR="00C441FE" w:rsidRPr="003F060D">
        <w:rPr>
          <w:szCs w:val="22"/>
          <w:lang w:val="es-ES_tradnl"/>
        </w:rPr>
        <w:t xml:space="preserve"> la </w:t>
      </w:r>
      <w:hyperlink r:id="rId10" w:history="1">
        <w:r w:rsidR="00C441FE" w:rsidRPr="003F060D">
          <w:rPr>
            <w:rStyle w:val="Hyperlink"/>
            <w:szCs w:val="22"/>
            <w:lang w:val="es-ES_tradnl"/>
          </w:rPr>
          <w:t>Meta Estratégica VI</w:t>
        </w:r>
      </w:hyperlink>
      <w:r w:rsidR="00A445A9" w:rsidRPr="003F060D">
        <w:rPr>
          <w:szCs w:val="22"/>
          <w:lang w:val="es-ES_tradnl"/>
        </w:rPr>
        <w:t xml:space="preserve"> “</w:t>
      </w:r>
      <w:r w:rsidR="00561029" w:rsidRPr="003F060D">
        <w:rPr>
          <w:lang w:val="es-ES_tradnl"/>
        </w:rPr>
        <w:t>Cooperación internacional para vigorizar el</w:t>
      </w:r>
      <w:r w:rsidR="002B5AA6" w:rsidRPr="003F060D">
        <w:rPr>
          <w:lang w:val="es-ES_tradnl"/>
        </w:rPr>
        <w:t xml:space="preserve"> respeto por la propiedad intel</w:t>
      </w:r>
      <w:r w:rsidR="00561029" w:rsidRPr="003F060D">
        <w:rPr>
          <w:lang w:val="es-ES_tradnl"/>
        </w:rPr>
        <w:t>ectual (P.I.</w:t>
      </w:r>
      <w:r w:rsidR="00A445A9" w:rsidRPr="003F060D">
        <w:rPr>
          <w:szCs w:val="22"/>
          <w:lang w:val="es-ES_tradnl"/>
        </w:rPr>
        <w:t xml:space="preserve">)” </w:t>
      </w:r>
      <w:r w:rsidR="00C441FE" w:rsidRPr="003F060D">
        <w:rPr>
          <w:szCs w:val="22"/>
          <w:lang w:val="es-ES_tradnl"/>
        </w:rPr>
        <w:t>y la</w:t>
      </w:r>
      <w:r w:rsidR="00A445A9" w:rsidRPr="003F060D">
        <w:rPr>
          <w:szCs w:val="22"/>
          <w:lang w:val="es-ES_tradnl"/>
        </w:rPr>
        <w:t xml:space="preserve"> </w:t>
      </w:r>
      <w:hyperlink r:id="rId11" w:anchor="f" w:history="1">
        <w:r w:rsidR="00A411E7" w:rsidRPr="003F060D">
          <w:rPr>
            <w:rStyle w:val="Hyperlink"/>
            <w:szCs w:val="22"/>
            <w:lang w:val="es-ES_tradnl"/>
          </w:rPr>
          <w:t>recomendación nº 45 de la Agenda para el Desarrollo</w:t>
        </w:r>
      </w:hyperlink>
      <w:r w:rsidR="00A445A9" w:rsidRPr="003F060D">
        <w:rPr>
          <w:szCs w:val="22"/>
          <w:lang w:val="es-ES_tradnl"/>
        </w:rPr>
        <w:t xml:space="preserve">, </w:t>
      </w:r>
      <w:r w:rsidR="00A411E7" w:rsidRPr="003F060D">
        <w:rPr>
          <w:szCs w:val="22"/>
          <w:lang w:val="es-ES_tradnl"/>
        </w:rPr>
        <w:t>la Organización Mundial de la Propiedad Intelectual (OMPI) lleva a cabo actividades encaminadas a promover la cooperación internacional e</w:t>
      </w:r>
      <w:r w:rsidR="00B134D2" w:rsidRPr="003F060D">
        <w:rPr>
          <w:szCs w:val="22"/>
          <w:lang w:val="es-ES_tradnl"/>
        </w:rPr>
        <w:t>ntre los Estados miembros y otro</w:t>
      </w:r>
      <w:r w:rsidR="00A411E7" w:rsidRPr="003F060D">
        <w:rPr>
          <w:szCs w:val="22"/>
          <w:lang w:val="es-ES_tradnl"/>
        </w:rPr>
        <w:t xml:space="preserve">s </w:t>
      </w:r>
      <w:r w:rsidR="00B134D2" w:rsidRPr="003F060D">
        <w:rPr>
          <w:szCs w:val="22"/>
          <w:lang w:val="es-ES_tradnl"/>
        </w:rPr>
        <w:t>sectores interesados</w:t>
      </w:r>
      <w:r w:rsidR="00A411E7" w:rsidRPr="003F060D">
        <w:rPr>
          <w:szCs w:val="22"/>
          <w:lang w:val="es-ES_tradnl"/>
        </w:rPr>
        <w:t xml:space="preserve"> con el fin de fomentar el respeto por los derechos de P.I.</w:t>
      </w:r>
      <w:r w:rsidR="00A445A9" w:rsidRPr="003F060D">
        <w:rPr>
          <w:szCs w:val="22"/>
          <w:lang w:val="es-ES_tradnl"/>
        </w:rPr>
        <w:t xml:space="preserve"> </w:t>
      </w:r>
      <w:r w:rsidR="00A411E7" w:rsidRPr="003F060D">
        <w:rPr>
          <w:szCs w:val="22"/>
          <w:lang w:val="es-ES_tradnl"/>
        </w:rPr>
        <w:t>en el contexto de los intereses generales de la sociedad y de los objetivos orientados a impulsar el desarrollo.</w:t>
      </w:r>
    </w:p>
    <w:p w:rsidR="00BA5D63" w:rsidRPr="003F060D" w:rsidRDefault="00BA5D63" w:rsidP="00A445A9">
      <w:pPr>
        <w:rPr>
          <w:szCs w:val="22"/>
          <w:lang w:val="es-ES_tradnl"/>
        </w:rPr>
      </w:pPr>
    </w:p>
    <w:p w:rsidR="00BA5D63" w:rsidRPr="003F060D" w:rsidRDefault="00AA26D5" w:rsidP="00A445A9">
      <w:pPr>
        <w:rPr>
          <w:szCs w:val="22"/>
          <w:lang w:val="es-ES_tradnl"/>
        </w:rPr>
      </w:pPr>
      <w:r w:rsidRPr="003F060D">
        <w:rPr>
          <w:szCs w:val="22"/>
          <w:lang w:val="es-ES_tradnl"/>
        </w:rPr>
        <w:fldChar w:fldCharType="begin"/>
      </w:r>
      <w:r w:rsidR="00A445A9" w:rsidRPr="003F060D">
        <w:rPr>
          <w:szCs w:val="22"/>
          <w:lang w:val="es-ES_tradnl"/>
        </w:rPr>
        <w:instrText xml:space="preserve"> AUTONUM  </w:instrText>
      </w:r>
      <w:r w:rsidRPr="003F060D">
        <w:rPr>
          <w:szCs w:val="22"/>
          <w:lang w:val="es-ES_tradnl"/>
        </w:rPr>
        <w:fldChar w:fldCharType="end"/>
      </w:r>
      <w:r w:rsidR="00A445A9" w:rsidRPr="003F060D">
        <w:rPr>
          <w:szCs w:val="22"/>
          <w:lang w:val="es-ES_tradnl"/>
        </w:rPr>
        <w:tab/>
      </w:r>
      <w:r w:rsidR="00961ED5" w:rsidRPr="003F060D">
        <w:rPr>
          <w:szCs w:val="22"/>
          <w:lang w:val="es-ES_tradnl"/>
        </w:rPr>
        <w:t>El diálogo mantenido en el Comité Asesor sobre Observancia (ACE o el Comité) apunta a la necesidad imperiosa de alcanzar un equilibrio adecuado en el fomento del respeto por la política de P.I. mediante la combinación de m</w:t>
      </w:r>
      <w:r w:rsidR="00385315" w:rsidRPr="003F060D">
        <w:rPr>
          <w:szCs w:val="22"/>
          <w:lang w:val="es-ES_tradnl"/>
        </w:rPr>
        <w:t>edidas represivas y preventivas</w:t>
      </w:r>
      <w:r w:rsidR="00961ED5" w:rsidRPr="003F060D">
        <w:rPr>
          <w:szCs w:val="22"/>
          <w:lang w:val="es-ES_tradnl"/>
        </w:rPr>
        <w:t xml:space="preserve"> </w:t>
      </w:r>
      <w:r w:rsidR="00385315" w:rsidRPr="003F060D">
        <w:rPr>
          <w:szCs w:val="22"/>
          <w:lang w:val="es-ES_tradnl"/>
        </w:rPr>
        <w:t>a fin de</w:t>
      </w:r>
      <w:r w:rsidR="00961ED5" w:rsidRPr="003F060D">
        <w:rPr>
          <w:szCs w:val="22"/>
          <w:lang w:val="es-ES_tradnl"/>
        </w:rPr>
        <w:t xml:space="preserve"> </w:t>
      </w:r>
      <w:r w:rsidR="00385315" w:rsidRPr="003F060D">
        <w:rPr>
          <w:szCs w:val="22"/>
          <w:lang w:val="es-ES_tradnl"/>
        </w:rPr>
        <w:t>conseguir resultados que respondan a las distintas necesidades y los distintos intere</w:t>
      </w:r>
      <w:r w:rsidR="00B134D2" w:rsidRPr="003F060D">
        <w:rPr>
          <w:szCs w:val="22"/>
          <w:lang w:val="es-ES_tradnl"/>
        </w:rPr>
        <w:t>ses de los Estados miembros y lo</w:t>
      </w:r>
      <w:r w:rsidR="00385315" w:rsidRPr="003F060D">
        <w:rPr>
          <w:szCs w:val="22"/>
          <w:lang w:val="es-ES_tradnl"/>
        </w:rPr>
        <w:t xml:space="preserve">s </w:t>
      </w:r>
      <w:r w:rsidR="00B134D2" w:rsidRPr="003F060D">
        <w:rPr>
          <w:szCs w:val="22"/>
          <w:lang w:val="es-ES_tradnl"/>
        </w:rPr>
        <w:t>sectores interesados</w:t>
      </w:r>
      <w:r w:rsidR="00385315" w:rsidRPr="003F060D">
        <w:rPr>
          <w:szCs w:val="22"/>
          <w:lang w:val="es-ES_tradnl"/>
        </w:rPr>
        <w:t xml:space="preserve">, fortaleciendo así el mercado legítimo en materia de P.I. </w:t>
      </w:r>
      <w:r w:rsidR="00576035" w:rsidRPr="003F060D">
        <w:rPr>
          <w:szCs w:val="22"/>
          <w:lang w:val="es-ES_tradnl"/>
        </w:rPr>
        <w:t>y mejorando la conformidad con los derechos de P.I.  Por todo ello, el Comité, dentro del programa de trabajo de su novena sesión, abordará el tema siguiente</w:t>
      </w:r>
      <w:proofErr w:type="gramStart"/>
      <w:r w:rsidR="00576035" w:rsidRPr="003F060D">
        <w:rPr>
          <w:szCs w:val="22"/>
          <w:lang w:val="es-ES_tradnl"/>
        </w:rPr>
        <w:t xml:space="preserve">: </w:t>
      </w:r>
      <w:r w:rsidR="00FA7930" w:rsidRPr="003F060D">
        <w:rPr>
          <w:szCs w:val="22"/>
          <w:lang w:val="es-ES_tradnl"/>
        </w:rPr>
        <w:t xml:space="preserve"> “</w:t>
      </w:r>
      <w:proofErr w:type="gramEnd"/>
      <w:r w:rsidR="00FA7930" w:rsidRPr="003F060D">
        <w:rPr>
          <w:szCs w:val="22"/>
          <w:lang w:val="es-ES_tradnl"/>
        </w:rPr>
        <w:t>Medidas preventivas o experiencias eficaces que han complementado las medidas de observancia en curso para reducir el mercado de productos falsificados o pirateados”.</w:t>
      </w:r>
    </w:p>
    <w:p w:rsidR="00BA5D63" w:rsidRPr="003F060D" w:rsidRDefault="00BA5D63" w:rsidP="00A445A9">
      <w:pPr>
        <w:rPr>
          <w:szCs w:val="22"/>
          <w:lang w:val="es-ES_tradnl"/>
        </w:rPr>
      </w:pPr>
    </w:p>
    <w:p w:rsidR="00BA5D63" w:rsidRPr="003F060D" w:rsidRDefault="00BA5D63" w:rsidP="00A445A9">
      <w:pPr>
        <w:rPr>
          <w:szCs w:val="22"/>
          <w:lang w:val="es-ES_tradnl"/>
        </w:rPr>
      </w:pPr>
    </w:p>
    <w:p w:rsidR="00BA5D63" w:rsidRPr="003F060D" w:rsidRDefault="00087B32" w:rsidP="003F060D">
      <w:pPr>
        <w:keepNext/>
        <w:ind w:left="567" w:hanging="567"/>
        <w:rPr>
          <w:b/>
          <w:szCs w:val="22"/>
          <w:lang w:val="es-ES_tradnl"/>
        </w:rPr>
      </w:pPr>
      <w:r w:rsidRPr="003F060D">
        <w:rPr>
          <w:b/>
          <w:szCs w:val="22"/>
          <w:lang w:val="es-ES_tradnl"/>
        </w:rPr>
        <w:lastRenderedPageBreak/>
        <w:t>II.</w:t>
      </w:r>
      <w:r w:rsidRPr="003F060D">
        <w:rPr>
          <w:b/>
          <w:szCs w:val="22"/>
          <w:lang w:val="es-ES_tradnl"/>
        </w:rPr>
        <w:tab/>
      </w:r>
      <w:r w:rsidR="00450740" w:rsidRPr="003F060D">
        <w:rPr>
          <w:b/>
          <w:szCs w:val="22"/>
          <w:lang w:val="es-ES_tradnl"/>
        </w:rPr>
        <w:t>MEDIDAS PREVENTIVAS ENCAMINADAS A FOMENTAR EL RESPETO POR LA P.I.</w:t>
      </w:r>
      <w:r w:rsidR="00A445A9" w:rsidRPr="003F060D">
        <w:rPr>
          <w:b/>
          <w:szCs w:val="22"/>
          <w:lang w:val="es-ES_tradnl"/>
        </w:rPr>
        <w:t xml:space="preserve"> – </w:t>
      </w:r>
      <w:r w:rsidR="00450740" w:rsidRPr="003F060D">
        <w:rPr>
          <w:b/>
          <w:szCs w:val="22"/>
          <w:lang w:val="es-ES_tradnl"/>
        </w:rPr>
        <w:t>ELEMENTOS FUNDAMENTALES</w:t>
      </w:r>
    </w:p>
    <w:p w:rsidR="00BA5D63" w:rsidRPr="003F060D" w:rsidRDefault="00BA5D63" w:rsidP="0002456C">
      <w:pPr>
        <w:keepNext/>
        <w:rPr>
          <w:szCs w:val="22"/>
          <w:lang w:val="es-ES_tradnl"/>
        </w:rPr>
      </w:pPr>
    </w:p>
    <w:p w:rsidR="00BA5D63" w:rsidRPr="003F060D" w:rsidRDefault="00AA26D5" w:rsidP="0002456C">
      <w:pPr>
        <w:keepNext/>
        <w:rPr>
          <w:szCs w:val="22"/>
          <w:lang w:val="es-ES_tradnl"/>
        </w:rPr>
      </w:pPr>
      <w:r w:rsidRPr="003F060D">
        <w:rPr>
          <w:szCs w:val="22"/>
          <w:lang w:val="es-ES_tradnl"/>
        </w:rPr>
        <w:fldChar w:fldCharType="begin"/>
      </w:r>
      <w:r w:rsidR="002F62F1" w:rsidRPr="003F060D">
        <w:rPr>
          <w:szCs w:val="22"/>
          <w:lang w:val="es-ES_tradnl"/>
        </w:rPr>
        <w:instrText xml:space="preserve"> AUTONUM  </w:instrText>
      </w:r>
      <w:r w:rsidRPr="003F060D">
        <w:rPr>
          <w:szCs w:val="22"/>
          <w:lang w:val="es-ES_tradnl"/>
        </w:rPr>
        <w:fldChar w:fldCharType="end"/>
      </w:r>
      <w:r w:rsidR="002F62F1" w:rsidRPr="003F060D">
        <w:rPr>
          <w:szCs w:val="22"/>
          <w:lang w:val="es-ES_tradnl"/>
        </w:rPr>
        <w:tab/>
      </w:r>
      <w:r w:rsidR="00DB185E" w:rsidRPr="003F060D">
        <w:rPr>
          <w:szCs w:val="22"/>
          <w:lang w:val="es-ES_tradnl"/>
        </w:rPr>
        <w:t xml:space="preserve">La gran variedad de medidas que </w:t>
      </w:r>
      <w:r w:rsidR="009D3EF2" w:rsidRPr="003F060D">
        <w:rPr>
          <w:szCs w:val="22"/>
          <w:lang w:val="es-ES_tradnl"/>
        </w:rPr>
        <w:t>se enuncian en los documentos preparatorios</w:t>
      </w:r>
      <w:r w:rsidR="009D3EF2" w:rsidRPr="003F060D">
        <w:rPr>
          <w:rStyle w:val="FootnoteReference"/>
          <w:szCs w:val="22"/>
          <w:lang w:val="es-ES_tradnl"/>
        </w:rPr>
        <w:footnoteReference w:id="2"/>
      </w:r>
      <w:r w:rsidR="009D3EF2" w:rsidRPr="003F060D">
        <w:rPr>
          <w:szCs w:val="22"/>
          <w:lang w:val="es-ES_tradnl"/>
        </w:rPr>
        <w:t xml:space="preserve"> del ACE, más concretamente los de su novena sesión, son un reflejo del enfoque integrado y multidimensional</w:t>
      </w:r>
      <w:r w:rsidR="00022996" w:rsidRPr="003F060D">
        <w:rPr>
          <w:szCs w:val="22"/>
          <w:lang w:val="es-ES_tradnl"/>
        </w:rPr>
        <w:t xml:space="preserve"> </w:t>
      </w:r>
      <w:r w:rsidR="009D3EF2" w:rsidRPr="003F060D">
        <w:rPr>
          <w:szCs w:val="22"/>
          <w:lang w:val="es-ES_tradnl"/>
        </w:rPr>
        <w:t xml:space="preserve">adoptado por los Estados miembros y demás </w:t>
      </w:r>
      <w:r w:rsidR="00B134D2" w:rsidRPr="003F060D">
        <w:rPr>
          <w:szCs w:val="22"/>
          <w:lang w:val="es-ES_tradnl"/>
        </w:rPr>
        <w:t>sectores interesados</w:t>
      </w:r>
      <w:r w:rsidR="009D3EF2" w:rsidRPr="003F060D">
        <w:rPr>
          <w:szCs w:val="22"/>
          <w:lang w:val="es-ES_tradnl"/>
        </w:rPr>
        <w:t xml:space="preserve">, que acogen con agrado los avances registrados en materia </w:t>
      </w:r>
      <w:r w:rsidR="00BF6E32" w:rsidRPr="003F060D">
        <w:rPr>
          <w:szCs w:val="22"/>
          <w:lang w:val="es-ES_tradnl"/>
        </w:rPr>
        <w:t>de legislación, sensibilización</w:t>
      </w:r>
      <w:r w:rsidR="009D3EF2" w:rsidRPr="003F060D">
        <w:rPr>
          <w:szCs w:val="22"/>
          <w:lang w:val="es-ES_tradnl"/>
        </w:rPr>
        <w:t xml:space="preserve"> y cambio</w:t>
      </w:r>
      <w:r w:rsidR="00D73D3C" w:rsidRPr="003F060D">
        <w:rPr>
          <w:szCs w:val="22"/>
          <w:lang w:val="es-ES_tradnl"/>
        </w:rPr>
        <w:t>s</w:t>
      </w:r>
      <w:r w:rsidR="009D3EF2" w:rsidRPr="003F060D">
        <w:rPr>
          <w:szCs w:val="22"/>
          <w:lang w:val="es-ES_tradnl"/>
        </w:rPr>
        <w:t xml:space="preserve"> cultural</w:t>
      </w:r>
      <w:r w:rsidR="00D73D3C" w:rsidRPr="003F060D">
        <w:rPr>
          <w:szCs w:val="22"/>
          <w:lang w:val="es-ES_tradnl"/>
        </w:rPr>
        <w:t>es</w:t>
      </w:r>
      <w:r w:rsidR="009D3EF2" w:rsidRPr="003F060D">
        <w:rPr>
          <w:szCs w:val="22"/>
          <w:lang w:val="es-ES_tradnl"/>
        </w:rPr>
        <w:t xml:space="preserve">, soluciones </w:t>
      </w:r>
      <w:r w:rsidR="00D73D3C" w:rsidRPr="003F060D">
        <w:rPr>
          <w:szCs w:val="22"/>
          <w:lang w:val="es-ES_tradnl"/>
        </w:rPr>
        <w:t xml:space="preserve">tecnológicas y </w:t>
      </w:r>
      <w:r w:rsidR="00926BC3" w:rsidRPr="003F060D">
        <w:rPr>
          <w:szCs w:val="22"/>
          <w:lang w:val="es-ES_tradnl"/>
        </w:rPr>
        <w:t>operativas</w:t>
      </w:r>
      <w:r w:rsidR="00D73D3C" w:rsidRPr="003F060D">
        <w:rPr>
          <w:szCs w:val="22"/>
          <w:lang w:val="es-ES_tradnl"/>
        </w:rPr>
        <w:t xml:space="preserve">, y colaboración institucional.  </w:t>
      </w:r>
      <w:r w:rsidR="00954D71" w:rsidRPr="003F060D">
        <w:rPr>
          <w:szCs w:val="22"/>
          <w:lang w:val="es-ES_tradnl"/>
        </w:rPr>
        <w:t xml:space="preserve">Estas respuestas </w:t>
      </w:r>
      <w:r w:rsidR="0082025E" w:rsidRPr="003F060D">
        <w:rPr>
          <w:szCs w:val="22"/>
          <w:lang w:val="es-ES_tradnl"/>
        </w:rPr>
        <w:t xml:space="preserve">que </w:t>
      </w:r>
      <w:r w:rsidR="00954D71" w:rsidRPr="003F060D">
        <w:rPr>
          <w:szCs w:val="22"/>
          <w:lang w:val="es-ES_tradnl"/>
        </w:rPr>
        <w:t>se fundamentan en la inve</w:t>
      </w:r>
      <w:r w:rsidR="00BF6E32" w:rsidRPr="003F060D">
        <w:rPr>
          <w:szCs w:val="22"/>
          <w:lang w:val="es-ES_tradnl"/>
        </w:rPr>
        <w:t>stigación empírica y en pruebas</w:t>
      </w:r>
      <w:r w:rsidR="00954D71" w:rsidRPr="003F060D">
        <w:rPr>
          <w:szCs w:val="22"/>
          <w:lang w:val="es-ES_tradnl"/>
        </w:rPr>
        <w:t xml:space="preserve"> a fin de entender mejor los motivos socioeconómicos por los que se cometen las infracciones de la P.I. y la</w:t>
      </w:r>
      <w:r w:rsidR="004A663F" w:rsidRPr="003F060D">
        <w:rPr>
          <w:szCs w:val="22"/>
          <w:lang w:val="es-ES_tradnl"/>
        </w:rPr>
        <w:t xml:space="preserve"> </w:t>
      </w:r>
      <w:r w:rsidR="00BC425C" w:rsidRPr="003F060D">
        <w:rPr>
          <w:szCs w:val="22"/>
          <w:lang w:val="es-ES_tradnl"/>
        </w:rPr>
        <w:t>incidencia</w:t>
      </w:r>
      <w:r w:rsidR="00954D71" w:rsidRPr="003F060D">
        <w:rPr>
          <w:szCs w:val="22"/>
          <w:lang w:val="es-ES_tradnl"/>
        </w:rPr>
        <w:t xml:space="preserve"> económica y comercial que dichas infracciones tienen en la sociedad,</w:t>
      </w:r>
      <w:r w:rsidR="00827EF6" w:rsidRPr="003F060D">
        <w:rPr>
          <w:rStyle w:val="FootnoteReference"/>
          <w:szCs w:val="22"/>
          <w:lang w:val="es-ES_tradnl"/>
        </w:rPr>
        <w:t xml:space="preserve"> </w:t>
      </w:r>
      <w:r w:rsidR="00827EF6" w:rsidRPr="003F060D">
        <w:rPr>
          <w:rStyle w:val="FootnoteReference"/>
          <w:szCs w:val="22"/>
          <w:lang w:val="es-ES_tradnl"/>
        </w:rPr>
        <w:footnoteReference w:id="3"/>
      </w:r>
      <w:r w:rsidR="00827EF6" w:rsidRPr="003F060D">
        <w:rPr>
          <w:rStyle w:val="FootnoteReference"/>
          <w:szCs w:val="22"/>
          <w:lang w:val="es-ES_tradnl"/>
        </w:rPr>
        <w:t xml:space="preserve"> </w:t>
      </w:r>
      <w:r w:rsidR="0082025E" w:rsidRPr="003F060D">
        <w:rPr>
          <w:szCs w:val="22"/>
          <w:lang w:val="es-ES_tradnl"/>
        </w:rPr>
        <w:t xml:space="preserve"> </w:t>
      </w:r>
      <w:r w:rsidR="00954D71" w:rsidRPr="003F060D">
        <w:rPr>
          <w:szCs w:val="22"/>
          <w:lang w:val="es-ES_tradnl"/>
        </w:rPr>
        <w:t xml:space="preserve">se adoptan a la luz de las necesidades estratégicas de los países en materia de P.I. y evolucionan en función de los cambios que se producen en el entorno. </w:t>
      </w:r>
      <w:r w:rsidR="00827EF6" w:rsidRPr="003F060D">
        <w:rPr>
          <w:szCs w:val="22"/>
          <w:lang w:val="es-ES_tradnl"/>
        </w:rPr>
        <w:t>Entre dich</w:t>
      </w:r>
      <w:r w:rsidR="00954D71" w:rsidRPr="003F060D">
        <w:rPr>
          <w:szCs w:val="22"/>
          <w:lang w:val="es-ES_tradnl"/>
        </w:rPr>
        <w:t xml:space="preserve">as respuestas, que se basan </w:t>
      </w:r>
      <w:r w:rsidR="00827EF6" w:rsidRPr="003F060D">
        <w:rPr>
          <w:szCs w:val="22"/>
          <w:lang w:val="es-ES_tradnl"/>
        </w:rPr>
        <w:t>en las medidas de observancia vigentes, se incluyen las siguientes.</w:t>
      </w:r>
    </w:p>
    <w:p w:rsidR="00BA5D63" w:rsidRPr="003F060D" w:rsidRDefault="00BA5D63" w:rsidP="0052087F">
      <w:pPr>
        <w:pStyle w:val="ListParagraph"/>
        <w:ind w:left="540"/>
        <w:rPr>
          <w:szCs w:val="22"/>
          <w:lang w:val="es-ES_tradnl"/>
        </w:rPr>
      </w:pPr>
    </w:p>
    <w:p w:rsidR="00BA5D63" w:rsidRPr="003F060D" w:rsidRDefault="00AA26D5" w:rsidP="0052087F">
      <w:pPr>
        <w:rPr>
          <w:szCs w:val="22"/>
          <w:lang w:val="es-ES_tradnl"/>
        </w:rPr>
      </w:pPr>
      <w:r w:rsidRPr="003F060D">
        <w:rPr>
          <w:szCs w:val="22"/>
          <w:lang w:val="es-ES_tradnl"/>
        </w:rPr>
        <w:fldChar w:fldCharType="begin"/>
      </w:r>
      <w:r w:rsidR="0052087F" w:rsidRPr="003F060D">
        <w:rPr>
          <w:szCs w:val="22"/>
          <w:lang w:val="es-ES_tradnl"/>
        </w:rPr>
        <w:instrText xml:space="preserve"> AUTONUM  </w:instrText>
      </w:r>
      <w:r w:rsidRPr="003F060D">
        <w:rPr>
          <w:szCs w:val="22"/>
          <w:lang w:val="es-ES_tradnl"/>
        </w:rPr>
        <w:fldChar w:fldCharType="end"/>
      </w:r>
      <w:r w:rsidR="0052087F" w:rsidRPr="003F060D">
        <w:rPr>
          <w:szCs w:val="22"/>
          <w:lang w:val="es-ES_tradnl"/>
        </w:rPr>
        <w:tab/>
      </w:r>
      <w:r w:rsidR="00FD21F2" w:rsidRPr="003F060D">
        <w:rPr>
          <w:szCs w:val="22"/>
          <w:lang w:val="es-ES_tradnl"/>
        </w:rPr>
        <w:t>S</w:t>
      </w:r>
      <w:r w:rsidR="00FD21F2" w:rsidRPr="003F060D">
        <w:rPr>
          <w:i/>
          <w:szCs w:val="22"/>
          <w:lang w:val="es-ES_tradnl"/>
        </w:rPr>
        <w:t>ensibilización y educación públicas</w:t>
      </w:r>
      <w:r w:rsidR="00A35170" w:rsidRPr="003F060D">
        <w:rPr>
          <w:i/>
          <w:szCs w:val="22"/>
          <w:lang w:val="es-ES_tradnl"/>
        </w:rPr>
        <w:t xml:space="preserve">      </w:t>
      </w:r>
      <w:r w:rsidR="00FD21F2" w:rsidRPr="003F060D">
        <w:rPr>
          <w:szCs w:val="22"/>
          <w:lang w:val="es-ES_tradnl"/>
        </w:rPr>
        <w:t>La protección y la observancia de la P.I. debe analizarse desde la perspectiva de los usuarios del sistema de P.I., los consumidores y la sociedad.  El Comité, en cuyo mandato se incluye de forma explícita “la educación pública,” le ha otorgado mucha importancia a la educación y la sensibilización</w:t>
      </w:r>
      <w:r w:rsidR="00FD21F2" w:rsidRPr="003F060D">
        <w:rPr>
          <w:rStyle w:val="FootnoteReference"/>
          <w:szCs w:val="22"/>
          <w:lang w:val="es-ES_tradnl"/>
        </w:rPr>
        <w:footnoteReference w:id="4"/>
      </w:r>
      <w:r w:rsidR="00FD21F2" w:rsidRPr="003F060D">
        <w:rPr>
          <w:szCs w:val="22"/>
          <w:lang w:val="es-ES_tradnl"/>
        </w:rPr>
        <w:t xml:space="preserve"> en materia de P.I. para el público en general, incluidos los jóvenes, a fin de fomentar una cultura de respeto por la P.I., y los Estados miembros están participado de forma activa en este sentido.</w:t>
      </w:r>
      <w:r w:rsidR="00FD21F2" w:rsidRPr="003F060D">
        <w:rPr>
          <w:rStyle w:val="FootnoteReference"/>
          <w:szCs w:val="22"/>
          <w:lang w:val="es-ES_tradnl"/>
        </w:rPr>
        <w:footnoteReference w:id="5"/>
      </w:r>
      <w:r w:rsidR="00FD21F2" w:rsidRPr="003F060D">
        <w:rPr>
          <w:szCs w:val="22"/>
          <w:lang w:val="es-ES_tradnl"/>
        </w:rPr>
        <w:t xml:space="preserve">  En la sección III </w:t>
      </w:r>
      <w:r w:rsidR="00FD21F2" w:rsidRPr="003F060D">
        <w:rPr>
          <w:i/>
          <w:szCs w:val="22"/>
          <w:lang w:val="es-ES_tradnl"/>
        </w:rPr>
        <w:t xml:space="preserve">infra </w:t>
      </w:r>
      <w:r w:rsidR="00FD21F2" w:rsidRPr="003F060D">
        <w:rPr>
          <w:szCs w:val="22"/>
          <w:lang w:val="es-ES_tradnl"/>
        </w:rPr>
        <w:t xml:space="preserve">se ofrece información acerca de las </w:t>
      </w:r>
      <w:r w:rsidR="00507126" w:rsidRPr="003F060D">
        <w:rPr>
          <w:szCs w:val="22"/>
          <w:lang w:val="es-ES_tradnl"/>
        </w:rPr>
        <w:t>act</w:t>
      </w:r>
      <w:r w:rsidR="00214B5C" w:rsidRPr="003F060D">
        <w:rPr>
          <w:szCs w:val="22"/>
          <w:lang w:val="es-ES_tradnl"/>
        </w:rPr>
        <w:t xml:space="preserve">ividades de sensibilización </w:t>
      </w:r>
      <w:r w:rsidR="00507126" w:rsidRPr="003F060D">
        <w:rPr>
          <w:szCs w:val="22"/>
          <w:lang w:val="es-ES_tradnl"/>
        </w:rPr>
        <w:t>lleva</w:t>
      </w:r>
      <w:r w:rsidR="00214B5C" w:rsidRPr="003F060D">
        <w:rPr>
          <w:szCs w:val="22"/>
          <w:lang w:val="es-ES_tradnl"/>
        </w:rPr>
        <w:t>das</w:t>
      </w:r>
      <w:r w:rsidR="00507126" w:rsidRPr="003F060D">
        <w:rPr>
          <w:szCs w:val="22"/>
          <w:lang w:val="es-ES_tradnl"/>
        </w:rPr>
        <w:t xml:space="preserve"> a cabo </w:t>
      </w:r>
      <w:r w:rsidR="00214B5C" w:rsidRPr="003F060D">
        <w:rPr>
          <w:szCs w:val="22"/>
          <w:lang w:val="es-ES_tradnl"/>
        </w:rPr>
        <w:t xml:space="preserve">por </w:t>
      </w:r>
      <w:r w:rsidR="00507126" w:rsidRPr="003F060D">
        <w:rPr>
          <w:szCs w:val="22"/>
          <w:lang w:val="es-ES_tradnl"/>
        </w:rPr>
        <w:t xml:space="preserve">la OMPI para fomentar el respeto por la P.I., </w:t>
      </w:r>
      <w:r w:rsidR="004B65B0" w:rsidRPr="003F060D">
        <w:rPr>
          <w:szCs w:val="22"/>
          <w:lang w:val="es-ES_tradnl"/>
        </w:rPr>
        <w:t>realizadas a petición de los Estados miembros.</w:t>
      </w:r>
    </w:p>
    <w:p w:rsidR="00BA5D63" w:rsidRPr="003F060D" w:rsidRDefault="00BA5D63" w:rsidP="0052087F">
      <w:pPr>
        <w:rPr>
          <w:szCs w:val="22"/>
          <w:lang w:val="es-ES_tradnl"/>
        </w:rPr>
      </w:pPr>
    </w:p>
    <w:p w:rsidR="00BA5D63" w:rsidRPr="003F060D" w:rsidRDefault="00AA26D5" w:rsidP="00FE57D2">
      <w:pPr>
        <w:rPr>
          <w:i/>
          <w:szCs w:val="22"/>
          <w:lang w:val="es-ES_tradnl"/>
        </w:rPr>
      </w:pPr>
      <w:r w:rsidRPr="003F060D">
        <w:rPr>
          <w:szCs w:val="22"/>
          <w:lang w:val="es-ES_tradnl"/>
        </w:rPr>
        <w:fldChar w:fldCharType="begin"/>
      </w:r>
      <w:r w:rsidR="00257052" w:rsidRPr="003F060D">
        <w:rPr>
          <w:szCs w:val="22"/>
          <w:lang w:val="es-ES_tradnl"/>
        </w:rPr>
        <w:instrText xml:space="preserve"> AUTONUM  </w:instrText>
      </w:r>
      <w:r w:rsidRPr="003F060D">
        <w:rPr>
          <w:szCs w:val="22"/>
          <w:lang w:val="es-ES_tradnl"/>
        </w:rPr>
        <w:fldChar w:fldCharType="end"/>
      </w:r>
      <w:r w:rsidR="00257052" w:rsidRPr="003F060D">
        <w:rPr>
          <w:szCs w:val="22"/>
          <w:lang w:val="es-ES_tradnl"/>
        </w:rPr>
        <w:tab/>
      </w:r>
      <w:r w:rsidR="00926BC3" w:rsidRPr="003F060D">
        <w:rPr>
          <w:i/>
          <w:szCs w:val="22"/>
          <w:lang w:val="es-ES_tradnl"/>
        </w:rPr>
        <w:t>Soluc</w:t>
      </w:r>
      <w:r w:rsidR="00EC6AE5" w:rsidRPr="003F060D">
        <w:rPr>
          <w:i/>
          <w:szCs w:val="22"/>
          <w:lang w:val="es-ES_tradnl"/>
        </w:rPr>
        <w:t>ion</w:t>
      </w:r>
      <w:r w:rsidR="00926BC3" w:rsidRPr="003F060D">
        <w:rPr>
          <w:i/>
          <w:szCs w:val="22"/>
          <w:lang w:val="es-ES_tradnl"/>
        </w:rPr>
        <w:t>e</w:t>
      </w:r>
      <w:r w:rsidR="00EC6AE5" w:rsidRPr="003F060D">
        <w:rPr>
          <w:i/>
          <w:szCs w:val="22"/>
          <w:lang w:val="es-ES_tradnl"/>
        </w:rPr>
        <w:t>s</w:t>
      </w:r>
      <w:r w:rsidR="00926BC3" w:rsidRPr="003F060D">
        <w:rPr>
          <w:i/>
          <w:szCs w:val="22"/>
          <w:lang w:val="es-ES_tradnl"/>
        </w:rPr>
        <w:t xml:space="preserve"> operativas</w:t>
      </w:r>
      <w:r w:rsidR="00EC6AE5" w:rsidRPr="003F060D">
        <w:rPr>
          <w:i/>
          <w:szCs w:val="22"/>
          <w:lang w:val="es-ES_tradnl"/>
        </w:rPr>
        <w:t xml:space="preserve">     </w:t>
      </w:r>
      <w:r w:rsidR="00926BC3" w:rsidRPr="003F060D">
        <w:rPr>
          <w:szCs w:val="22"/>
          <w:lang w:val="es-ES_tradnl"/>
        </w:rPr>
        <w:t>Las empresas están respo</w:t>
      </w:r>
      <w:r w:rsidR="000B126D" w:rsidRPr="003F060D">
        <w:rPr>
          <w:szCs w:val="22"/>
          <w:lang w:val="es-ES_tradnl"/>
        </w:rPr>
        <w:t>n</w:t>
      </w:r>
      <w:r w:rsidR="001C0755" w:rsidRPr="003F060D">
        <w:rPr>
          <w:szCs w:val="22"/>
          <w:lang w:val="es-ES_tradnl"/>
        </w:rPr>
        <w:t>diendo a los productos</w:t>
      </w:r>
      <w:r w:rsidR="00926BC3" w:rsidRPr="003F060D">
        <w:rPr>
          <w:szCs w:val="22"/>
          <w:lang w:val="es-ES_tradnl"/>
        </w:rPr>
        <w:t xml:space="preserve"> y servicios que infringen </w:t>
      </w:r>
      <w:r w:rsidR="00041EAA" w:rsidRPr="003F060D">
        <w:rPr>
          <w:szCs w:val="22"/>
          <w:lang w:val="es-ES_tradnl"/>
        </w:rPr>
        <w:t xml:space="preserve">los </w:t>
      </w:r>
      <w:r w:rsidR="00926BC3" w:rsidRPr="003F060D">
        <w:rPr>
          <w:szCs w:val="22"/>
          <w:lang w:val="es-ES_tradnl"/>
        </w:rPr>
        <w:t xml:space="preserve">derechos de P.I. mediante el empleo de nuevos modelos </w:t>
      </w:r>
      <w:r w:rsidR="009D446A" w:rsidRPr="003F060D">
        <w:rPr>
          <w:szCs w:val="22"/>
          <w:lang w:val="es-ES_tradnl"/>
        </w:rPr>
        <w:t>empresariales</w:t>
      </w:r>
      <w:r w:rsidR="000B126D" w:rsidRPr="003F060D">
        <w:rPr>
          <w:szCs w:val="22"/>
          <w:lang w:val="es-ES_tradnl"/>
        </w:rPr>
        <w:t xml:space="preserve"> y modalidades de </w:t>
      </w:r>
      <w:r w:rsidR="009D446A" w:rsidRPr="003F060D">
        <w:rPr>
          <w:szCs w:val="22"/>
          <w:lang w:val="es-ES_tradnl"/>
        </w:rPr>
        <w:t xml:space="preserve">concesión de </w:t>
      </w:r>
      <w:r w:rsidR="000B126D" w:rsidRPr="003F060D">
        <w:rPr>
          <w:szCs w:val="22"/>
          <w:lang w:val="es-ES_tradnl"/>
        </w:rPr>
        <w:t>licencias más adaptadas a las necesidades de los consumidores.  En el sector de la cultura, los consumidores se están inclinando cada vez más hacia la oferta legal, siempre que dicha oferta esté siempre disponible a un precio adecuado.</w:t>
      </w:r>
      <w:r w:rsidR="000B126D" w:rsidRPr="003F060D">
        <w:rPr>
          <w:rStyle w:val="FootnoteReference"/>
          <w:szCs w:val="22"/>
          <w:lang w:val="es-ES_tradnl"/>
        </w:rPr>
        <w:footnoteReference w:id="6"/>
      </w:r>
      <w:r w:rsidR="000B126D" w:rsidRPr="003F060D">
        <w:rPr>
          <w:szCs w:val="22"/>
          <w:lang w:val="es-ES_tradnl"/>
        </w:rPr>
        <w:t xml:space="preserve">  </w:t>
      </w:r>
      <w:r w:rsidR="00A97EB2" w:rsidRPr="003F060D">
        <w:rPr>
          <w:szCs w:val="22"/>
          <w:lang w:val="es-ES_tradnl"/>
        </w:rPr>
        <w:t>Los esfuerzos gubernamentales suelen estar encaminados a comunicar y promover el acceso a la oferta legal, por ejemplo mediante un sitio web específico en el que se agrupen vínculos a sitios en los que se ofrezcan productos y servicios legítimos.</w:t>
      </w:r>
      <w:r w:rsidR="00A97EB2" w:rsidRPr="003F060D">
        <w:rPr>
          <w:rStyle w:val="FootnoteReference"/>
          <w:szCs w:val="22"/>
          <w:lang w:val="es-ES_tradnl"/>
        </w:rPr>
        <w:footnoteReference w:id="7"/>
      </w:r>
    </w:p>
    <w:p w:rsidR="00BA5D63" w:rsidRPr="003F060D" w:rsidRDefault="00BA5D63" w:rsidP="00AC1FF6">
      <w:pPr>
        <w:rPr>
          <w:szCs w:val="22"/>
          <w:u w:val="single"/>
          <w:lang w:val="es-ES_tradnl"/>
        </w:rPr>
      </w:pPr>
    </w:p>
    <w:p w:rsidR="00BA5D63" w:rsidRPr="003F060D" w:rsidRDefault="00AA26D5" w:rsidP="00A35170">
      <w:pPr>
        <w:rPr>
          <w:szCs w:val="22"/>
          <w:lang w:val="es-ES_tradnl"/>
        </w:rPr>
      </w:pPr>
      <w:r w:rsidRPr="003F060D">
        <w:rPr>
          <w:szCs w:val="22"/>
          <w:lang w:val="es-ES_tradnl"/>
        </w:rPr>
        <w:fldChar w:fldCharType="begin"/>
      </w:r>
      <w:r w:rsidR="00AC1FF6" w:rsidRPr="003F060D">
        <w:rPr>
          <w:szCs w:val="22"/>
          <w:lang w:val="es-ES_tradnl"/>
        </w:rPr>
        <w:instrText xml:space="preserve"> AUTONUM  </w:instrText>
      </w:r>
      <w:r w:rsidRPr="003F060D">
        <w:rPr>
          <w:szCs w:val="22"/>
          <w:lang w:val="es-ES_tradnl"/>
        </w:rPr>
        <w:fldChar w:fldCharType="end"/>
      </w:r>
      <w:r w:rsidR="00AC1FF6" w:rsidRPr="003F060D">
        <w:rPr>
          <w:szCs w:val="22"/>
          <w:lang w:val="es-ES_tradnl"/>
        </w:rPr>
        <w:tab/>
      </w:r>
      <w:r w:rsidR="009F078B" w:rsidRPr="003F060D">
        <w:rPr>
          <w:i/>
          <w:szCs w:val="22"/>
          <w:lang w:val="es-ES_tradnl"/>
        </w:rPr>
        <w:t>Soluciones tecnológicas</w:t>
      </w:r>
      <w:r w:rsidR="00A35170" w:rsidRPr="003F060D">
        <w:rPr>
          <w:szCs w:val="22"/>
          <w:lang w:val="es-ES_tradnl"/>
        </w:rPr>
        <w:t xml:space="preserve">     </w:t>
      </w:r>
      <w:r w:rsidR="007D0D4A" w:rsidRPr="003F060D">
        <w:rPr>
          <w:szCs w:val="22"/>
          <w:lang w:val="es-ES_tradnl"/>
        </w:rPr>
        <w:t>El avance continuo de la tecnología hace que cada vez haya herramientas más eficaces en el mercado para comprobar la legitimidad de lo</w:t>
      </w:r>
      <w:r w:rsidR="001C0755" w:rsidRPr="003F060D">
        <w:rPr>
          <w:szCs w:val="22"/>
          <w:lang w:val="es-ES_tradnl"/>
        </w:rPr>
        <w:t>s productos</w:t>
      </w:r>
      <w:r w:rsidR="007D0D4A" w:rsidRPr="003F060D">
        <w:rPr>
          <w:szCs w:val="22"/>
          <w:lang w:val="es-ES_tradnl"/>
        </w:rPr>
        <w:t xml:space="preserve"> o servicios sujetos a derechos de P.I.</w:t>
      </w:r>
      <w:r w:rsidR="00777BE0" w:rsidRPr="003F060D">
        <w:rPr>
          <w:szCs w:val="22"/>
          <w:lang w:val="es-ES_tradnl"/>
        </w:rPr>
        <w:t xml:space="preserve"> </w:t>
      </w:r>
      <w:r w:rsidR="007D0D4A" w:rsidRPr="003F060D">
        <w:rPr>
          <w:szCs w:val="22"/>
          <w:lang w:val="es-ES_tradnl"/>
        </w:rPr>
        <w:t xml:space="preserve"> Las empresas son las principales encargadas de desarrollar dichas soluciones y los gobiernos por su parte han de facilitar el diálogo en relación con los distintos intereses empresariales y mantener a los consumidores informados acerca de las herramientas disponibles.</w:t>
      </w:r>
    </w:p>
    <w:p w:rsidR="00BA5D63" w:rsidRPr="003F060D" w:rsidRDefault="00BA5D63" w:rsidP="00A35170">
      <w:pPr>
        <w:rPr>
          <w:szCs w:val="22"/>
          <w:lang w:val="es-ES_tradnl"/>
        </w:rPr>
      </w:pPr>
    </w:p>
    <w:p w:rsidR="00BA5D63" w:rsidRPr="003F060D" w:rsidRDefault="00AA26D5" w:rsidP="009B5BA4">
      <w:pPr>
        <w:rPr>
          <w:szCs w:val="22"/>
          <w:lang w:val="es-ES_tradnl"/>
        </w:rPr>
      </w:pPr>
      <w:r w:rsidRPr="003F060D">
        <w:rPr>
          <w:szCs w:val="22"/>
          <w:lang w:val="es-ES_tradnl"/>
        </w:rPr>
        <w:lastRenderedPageBreak/>
        <w:fldChar w:fldCharType="begin"/>
      </w:r>
      <w:r w:rsidR="00B5764F" w:rsidRPr="003F060D">
        <w:rPr>
          <w:szCs w:val="22"/>
          <w:lang w:val="es-ES_tradnl"/>
        </w:rPr>
        <w:instrText xml:space="preserve"> AUTONUM  </w:instrText>
      </w:r>
      <w:r w:rsidRPr="003F060D">
        <w:rPr>
          <w:szCs w:val="22"/>
          <w:lang w:val="es-ES_tradnl"/>
        </w:rPr>
        <w:fldChar w:fldCharType="end"/>
      </w:r>
      <w:r w:rsidR="00B5764F" w:rsidRPr="003F060D">
        <w:rPr>
          <w:szCs w:val="22"/>
          <w:lang w:val="es-ES_tradnl"/>
        </w:rPr>
        <w:tab/>
      </w:r>
      <w:r w:rsidR="009A2DE4" w:rsidRPr="003F060D">
        <w:rPr>
          <w:i/>
          <w:szCs w:val="22"/>
          <w:lang w:val="es-ES_tradnl"/>
        </w:rPr>
        <w:t>S</w:t>
      </w:r>
      <w:r w:rsidR="00E957AC" w:rsidRPr="003F060D">
        <w:rPr>
          <w:i/>
          <w:szCs w:val="22"/>
          <w:lang w:val="es-ES_tradnl"/>
        </w:rPr>
        <w:t>eguridad en la cadena de suministro</w:t>
      </w:r>
      <w:r w:rsidR="00616209" w:rsidRPr="003F060D">
        <w:rPr>
          <w:i/>
          <w:szCs w:val="22"/>
          <w:lang w:val="es-ES_tradnl"/>
        </w:rPr>
        <w:t xml:space="preserve">     </w:t>
      </w:r>
      <w:r w:rsidR="00A0223A" w:rsidRPr="003F060D">
        <w:rPr>
          <w:szCs w:val="22"/>
          <w:lang w:val="es-ES_tradnl"/>
        </w:rPr>
        <w:t>Las cadenas mundiales de suministro de productos</w:t>
      </w:r>
      <w:r w:rsidR="000F19D7" w:rsidRPr="003F060D">
        <w:rPr>
          <w:szCs w:val="22"/>
          <w:lang w:val="es-ES_tradnl"/>
        </w:rPr>
        <w:t xml:space="preserve"> de P.I.</w:t>
      </w:r>
      <w:r w:rsidR="00A0223A" w:rsidRPr="003F060D">
        <w:rPr>
          <w:szCs w:val="22"/>
          <w:lang w:val="es-ES_tradnl"/>
        </w:rPr>
        <w:t xml:space="preserve">, en las que intervienen empresas, organizaciones, individuos, tecnología, actividades, información y otros recursos a fin de </w:t>
      </w:r>
      <w:r w:rsidR="00B30477" w:rsidRPr="003F060D">
        <w:rPr>
          <w:szCs w:val="22"/>
          <w:lang w:val="es-ES_tradnl"/>
        </w:rPr>
        <w:t>convertir una materia prima en</w:t>
      </w:r>
      <w:r w:rsidR="00A0223A" w:rsidRPr="003F060D">
        <w:rPr>
          <w:szCs w:val="22"/>
          <w:lang w:val="es-ES_tradnl"/>
        </w:rPr>
        <w:t xml:space="preserve"> </w:t>
      </w:r>
      <w:r w:rsidR="000F19D7" w:rsidRPr="003F060D">
        <w:rPr>
          <w:szCs w:val="22"/>
          <w:lang w:val="es-ES_tradnl"/>
        </w:rPr>
        <w:t xml:space="preserve">el producto de </w:t>
      </w:r>
      <w:r w:rsidR="006C79AE" w:rsidRPr="003F060D">
        <w:rPr>
          <w:szCs w:val="22"/>
          <w:lang w:val="es-ES_tradnl"/>
        </w:rPr>
        <w:t>P.I. final que des</w:t>
      </w:r>
      <w:r w:rsidR="000F19D7" w:rsidRPr="003F060D">
        <w:rPr>
          <w:szCs w:val="22"/>
          <w:lang w:val="es-ES_tradnl"/>
        </w:rPr>
        <w:t>ea el co</w:t>
      </w:r>
      <w:r w:rsidR="006C79AE" w:rsidRPr="003F060D">
        <w:rPr>
          <w:szCs w:val="22"/>
          <w:lang w:val="es-ES_tradnl"/>
        </w:rPr>
        <w:t>nsumidor</w:t>
      </w:r>
      <w:r w:rsidR="000F19D7" w:rsidRPr="003F060D">
        <w:rPr>
          <w:szCs w:val="22"/>
          <w:lang w:val="es-ES_tradnl"/>
        </w:rPr>
        <w:t xml:space="preserve"> </w:t>
      </w:r>
      <w:r w:rsidR="006C79AE" w:rsidRPr="003F060D">
        <w:rPr>
          <w:szCs w:val="22"/>
          <w:lang w:val="es-ES_tradnl"/>
        </w:rPr>
        <w:t xml:space="preserve">suponen un riesgo creciente en cuanto a los productos falsificados y pirateados, pero representan también una oportunidad para fortalecer la gobernanza y desarrollar redes de confianza a fin de mejorar la protección de la P.I.  Las empresas, con el apoyo de los gobiernos, están respondiendo mediante el desarrollo de </w:t>
      </w:r>
      <w:r w:rsidR="002925E0" w:rsidRPr="003F060D">
        <w:rPr>
          <w:szCs w:val="22"/>
          <w:lang w:val="es-ES_tradnl"/>
        </w:rPr>
        <w:t xml:space="preserve">prácticas óptimas con el fin de gestionar y hacer un seguimiento </w:t>
      </w:r>
      <w:r w:rsidR="0031515D" w:rsidRPr="003F060D">
        <w:rPr>
          <w:szCs w:val="22"/>
          <w:lang w:val="es-ES_tradnl"/>
        </w:rPr>
        <w:t xml:space="preserve">más eficaz </w:t>
      </w:r>
      <w:r w:rsidR="002925E0" w:rsidRPr="003F060D">
        <w:rPr>
          <w:szCs w:val="22"/>
          <w:lang w:val="es-ES_tradnl"/>
        </w:rPr>
        <w:t>de sus tr</w:t>
      </w:r>
      <w:r w:rsidR="0031515D" w:rsidRPr="003F060D">
        <w:rPr>
          <w:szCs w:val="22"/>
          <w:lang w:val="es-ES_tradnl"/>
        </w:rPr>
        <w:t xml:space="preserve">ansacciones ascendentes y descendentes, respetando al mismo tiempo los diferentes </w:t>
      </w:r>
      <w:r w:rsidR="00062F34" w:rsidRPr="003F060D">
        <w:rPr>
          <w:szCs w:val="22"/>
          <w:lang w:val="es-ES_tradnl"/>
        </w:rPr>
        <w:t>desafí</w:t>
      </w:r>
      <w:r w:rsidR="0031515D" w:rsidRPr="003F060D">
        <w:rPr>
          <w:szCs w:val="22"/>
          <w:lang w:val="es-ES_tradnl"/>
        </w:rPr>
        <w:t>os a lo que se enfrentan las entidades situadas en distintos puntos de la cadena de suministro.</w:t>
      </w:r>
      <w:r w:rsidR="00616209" w:rsidRPr="003F060D">
        <w:rPr>
          <w:rStyle w:val="FootnoteReference"/>
          <w:szCs w:val="22"/>
          <w:lang w:val="es-ES_tradnl"/>
        </w:rPr>
        <w:footnoteReference w:id="8"/>
      </w:r>
    </w:p>
    <w:p w:rsidR="00BA5D63" w:rsidRPr="003F060D" w:rsidRDefault="00BA5D63" w:rsidP="009B5BA4">
      <w:pPr>
        <w:rPr>
          <w:szCs w:val="22"/>
          <w:lang w:val="es-ES_tradnl"/>
        </w:rPr>
      </w:pPr>
    </w:p>
    <w:p w:rsidR="00BA5D63" w:rsidRPr="003F060D" w:rsidRDefault="00AA26D5" w:rsidP="009B5BA4">
      <w:pPr>
        <w:rPr>
          <w:szCs w:val="22"/>
          <w:lang w:val="es-ES_tradnl"/>
        </w:rPr>
      </w:pPr>
      <w:r w:rsidRPr="003F060D">
        <w:rPr>
          <w:szCs w:val="22"/>
          <w:lang w:val="es-ES_tradnl"/>
        </w:rPr>
        <w:fldChar w:fldCharType="begin"/>
      </w:r>
      <w:r w:rsidR="00616209" w:rsidRPr="003F060D">
        <w:rPr>
          <w:szCs w:val="22"/>
          <w:lang w:val="es-ES_tradnl"/>
        </w:rPr>
        <w:instrText xml:space="preserve"> AUTONUM  </w:instrText>
      </w:r>
      <w:r w:rsidRPr="003F060D">
        <w:rPr>
          <w:szCs w:val="22"/>
          <w:lang w:val="es-ES_tradnl"/>
        </w:rPr>
        <w:fldChar w:fldCharType="end"/>
      </w:r>
      <w:r w:rsidR="00616209" w:rsidRPr="003F060D">
        <w:rPr>
          <w:i/>
          <w:szCs w:val="22"/>
          <w:lang w:val="es-ES_tradnl"/>
        </w:rPr>
        <w:tab/>
      </w:r>
      <w:r w:rsidR="009A2DE4" w:rsidRPr="003F060D">
        <w:rPr>
          <w:i/>
          <w:szCs w:val="22"/>
          <w:lang w:val="es-ES_tradnl"/>
        </w:rPr>
        <w:t>Mecanismos voluntarios de autorregulación</w:t>
      </w:r>
      <w:r w:rsidR="00A35170" w:rsidRPr="003F060D">
        <w:rPr>
          <w:szCs w:val="22"/>
          <w:lang w:val="es-ES_tradnl"/>
        </w:rPr>
        <w:t xml:space="preserve"> </w:t>
      </w:r>
      <w:r w:rsidR="00731603" w:rsidRPr="003F060D">
        <w:rPr>
          <w:szCs w:val="22"/>
          <w:lang w:val="es-ES_tradnl"/>
        </w:rPr>
        <w:t xml:space="preserve">    L</w:t>
      </w:r>
      <w:r w:rsidR="00565DB2" w:rsidRPr="003F060D">
        <w:rPr>
          <w:szCs w:val="22"/>
          <w:lang w:val="es-ES_tradnl"/>
        </w:rPr>
        <w:t>as empresas legítimas se est</w:t>
      </w:r>
      <w:r w:rsidR="00BC1CE0" w:rsidRPr="003F060D">
        <w:rPr>
          <w:szCs w:val="22"/>
          <w:lang w:val="es-ES_tradnl"/>
        </w:rPr>
        <w:t>á</w:t>
      </w:r>
      <w:r w:rsidR="00565DB2" w:rsidRPr="003F060D">
        <w:rPr>
          <w:szCs w:val="22"/>
          <w:lang w:val="es-ES_tradnl"/>
        </w:rPr>
        <w:t xml:space="preserve">n asociando con el objetivo de </w:t>
      </w:r>
      <w:r w:rsidR="00BC1CE0" w:rsidRPr="003F060D">
        <w:rPr>
          <w:szCs w:val="22"/>
          <w:lang w:val="es-ES_tradnl"/>
        </w:rPr>
        <w:t xml:space="preserve">poner freno a </w:t>
      </w:r>
      <w:r w:rsidR="00EF77C6" w:rsidRPr="003F060D">
        <w:rPr>
          <w:szCs w:val="22"/>
          <w:lang w:val="es-ES_tradnl"/>
        </w:rPr>
        <w:t>los acto</w:t>
      </w:r>
      <w:r w:rsidR="00565DB2" w:rsidRPr="003F060D">
        <w:rPr>
          <w:szCs w:val="22"/>
          <w:lang w:val="es-ES_tradnl"/>
        </w:rPr>
        <w:t>s ileg</w:t>
      </w:r>
      <w:r w:rsidR="00EF77C6" w:rsidRPr="003F060D">
        <w:rPr>
          <w:szCs w:val="22"/>
          <w:lang w:val="es-ES_tradnl"/>
        </w:rPr>
        <w:t>ítimo</w:t>
      </w:r>
      <w:r w:rsidR="00565DB2" w:rsidRPr="003F060D">
        <w:rPr>
          <w:szCs w:val="22"/>
          <w:lang w:val="es-ES_tradnl"/>
        </w:rPr>
        <w:t xml:space="preserve">s. </w:t>
      </w:r>
      <w:r w:rsidR="002739B1" w:rsidRPr="003F060D">
        <w:rPr>
          <w:szCs w:val="22"/>
          <w:lang w:val="es-ES_tradnl"/>
        </w:rPr>
        <w:t>En el ámbito</w:t>
      </w:r>
      <w:r w:rsidR="00BC1CE0" w:rsidRPr="003F060D">
        <w:rPr>
          <w:szCs w:val="22"/>
          <w:lang w:val="es-ES_tradnl"/>
        </w:rPr>
        <w:t xml:space="preserve"> de Internet concretamente, con apoyo gubernamenta</w:t>
      </w:r>
      <w:r w:rsidR="00A97C53" w:rsidRPr="003F060D">
        <w:rPr>
          <w:szCs w:val="22"/>
          <w:lang w:val="es-ES_tradnl"/>
        </w:rPr>
        <w:t>l o sin él, los titulares de</w:t>
      </w:r>
      <w:r w:rsidR="00BC1CE0" w:rsidRPr="003F060D">
        <w:rPr>
          <w:szCs w:val="22"/>
          <w:lang w:val="es-ES_tradnl"/>
        </w:rPr>
        <w:t xml:space="preserve"> derechos y las plataformas de servicios están estableciendo conjuntamente códigos de </w:t>
      </w:r>
      <w:r w:rsidR="00F248D1" w:rsidRPr="003F060D">
        <w:rPr>
          <w:szCs w:val="22"/>
          <w:lang w:val="es-ES_tradnl"/>
        </w:rPr>
        <w:t>práctica a fin de sensibilizar acerca de</w:t>
      </w:r>
      <w:r w:rsidR="00CB66C8" w:rsidRPr="003F060D">
        <w:rPr>
          <w:szCs w:val="22"/>
          <w:lang w:val="es-ES_tradnl"/>
        </w:rPr>
        <w:t xml:space="preserve"> </w:t>
      </w:r>
      <w:r w:rsidR="00F248D1" w:rsidRPr="003F060D">
        <w:rPr>
          <w:szCs w:val="22"/>
          <w:lang w:val="es-ES_tradnl"/>
        </w:rPr>
        <w:t>l</w:t>
      </w:r>
      <w:r w:rsidR="00CB66C8" w:rsidRPr="003F060D">
        <w:rPr>
          <w:szCs w:val="22"/>
          <w:lang w:val="es-ES_tradnl"/>
        </w:rPr>
        <w:t>os</w:t>
      </w:r>
      <w:r w:rsidR="00F248D1" w:rsidRPr="003F060D">
        <w:rPr>
          <w:szCs w:val="22"/>
          <w:lang w:val="es-ES_tradnl"/>
        </w:rPr>
        <w:t xml:space="preserve"> daño</w:t>
      </w:r>
      <w:r w:rsidR="00CB66C8" w:rsidRPr="003F060D">
        <w:rPr>
          <w:szCs w:val="22"/>
          <w:lang w:val="es-ES_tradnl"/>
        </w:rPr>
        <w:t>s</w:t>
      </w:r>
      <w:r w:rsidR="001C0F92" w:rsidRPr="003F060D">
        <w:rPr>
          <w:szCs w:val="22"/>
          <w:lang w:val="es-ES_tradnl"/>
        </w:rPr>
        <w:t xml:space="preserve"> que ocasiona</w:t>
      </w:r>
      <w:r w:rsidR="00F248D1" w:rsidRPr="003F060D">
        <w:rPr>
          <w:szCs w:val="22"/>
          <w:lang w:val="es-ES_tradnl"/>
        </w:rPr>
        <w:t xml:space="preserve"> la infracción de los derechos de P.I. y desarrollar medidas que impidan la realiz</w:t>
      </w:r>
      <w:r w:rsidR="00EF77C6" w:rsidRPr="003F060D">
        <w:rPr>
          <w:szCs w:val="22"/>
          <w:lang w:val="es-ES_tradnl"/>
        </w:rPr>
        <w:t>ación de este tipo de acto</w:t>
      </w:r>
      <w:r w:rsidR="00F248D1" w:rsidRPr="003F060D">
        <w:rPr>
          <w:szCs w:val="22"/>
          <w:lang w:val="es-ES_tradnl"/>
        </w:rPr>
        <w:t>s en los ámbitos en cuestión.</w:t>
      </w:r>
      <w:r w:rsidR="00F75587" w:rsidRPr="003F060D">
        <w:rPr>
          <w:rStyle w:val="FootnoteReference"/>
          <w:szCs w:val="22"/>
          <w:lang w:val="es-ES_tradnl"/>
        </w:rPr>
        <w:footnoteReference w:id="9"/>
      </w:r>
    </w:p>
    <w:p w:rsidR="00BA5D63" w:rsidRPr="003F060D" w:rsidRDefault="00BA5D63" w:rsidP="009B5BA4">
      <w:pPr>
        <w:rPr>
          <w:szCs w:val="22"/>
          <w:u w:val="single"/>
          <w:lang w:val="es-ES_tradnl"/>
        </w:rPr>
      </w:pPr>
    </w:p>
    <w:p w:rsidR="00BA5D63" w:rsidRPr="003F060D" w:rsidRDefault="00AA26D5" w:rsidP="00D75DAC">
      <w:pPr>
        <w:rPr>
          <w:szCs w:val="22"/>
          <w:lang w:val="es-ES_tradnl"/>
        </w:rPr>
      </w:pPr>
      <w:r w:rsidRPr="003F060D">
        <w:rPr>
          <w:szCs w:val="22"/>
          <w:lang w:val="es-ES_tradnl"/>
        </w:rPr>
        <w:fldChar w:fldCharType="begin"/>
      </w:r>
      <w:r w:rsidR="00063297" w:rsidRPr="003F060D">
        <w:rPr>
          <w:szCs w:val="22"/>
          <w:lang w:val="es-ES_tradnl"/>
        </w:rPr>
        <w:instrText xml:space="preserve"> AUTONUM  </w:instrText>
      </w:r>
      <w:r w:rsidRPr="003F060D">
        <w:rPr>
          <w:szCs w:val="22"/>
          <w:lang w:val="es-ES_tradnl"/>
        </w:rPr>
        <w:fldChar w:fldCharType="end"/>
      </w:r>
      <w:r w:rsidR="00063297" w:rsidRPr="003F060D">
        <w:rPr>
          <w:szCs w:val="22"/>
          <w:lang w:val="es-ES_tradnl"/>
        </w:rPr>
        <w:tab/>
      </w:r>
      <w:r w:rsidR="00FF7026" w:rsidRPr="003F060D">
        <w:rPr>
          <w:i/>
          <w:szCs w:val="22"/>
          <w:lang w:val="es-ES_tradnl"/>
        </w:rPr>
        <w:t>Cooperació</w:t>
      </w:r>
      <w:r w:rsidR="004E2BAA" w:rsidRPr="003F060D">
        <w:rPr>
          <w:i/>
          <w:szCs w:val="22"/>
          <w:lang w:val="es-ES_tradnl"/>
        </w:rPr>
        <w:t>n y</w:t>
      </w:r>
      <w:r w:rsidR="000619D4" w:rsidRPr="003F060D">
        <w:rPr>
          <w:i/>
          <w:szCs w:val="22"/>
          <w:lang w:val="es-ES_tradnl"/>
        </w:rPr>
        <w:t xml:space="preserve"> </w:t>
      </w:r>
      <w:r w:rsidR="004E2BAA" w:rsidRPr="003F060D">
        <w:rPr>
          <w:i/>
          <w:szCs w:val="22"/>
          <w:lang w:val="es-ES_tradnl"/>
        </w:rPr>
        <w:t>coordinació</w:t>
      </w:r>
      <w:r w:rsidR="000619D4" w:rsidRPr="003F060D">
        <w:rPr>
          <w:i/>
          <w:szCs w:val="22"/>
          <w:lang w:val="es-ES_tradnl"/>
        </w:rPr>
        <w:t>n</w:t>
      </w:r>
      <w:r w:rsidR="000619D4" w:rsidRPr="003F060D">
        <w:rPr>
          <w:szCs w:val="22"/>
          <w:lang w:val="es-ES_tradnl"/>
        </w:rPr>
        <w:t xml:space="preserve">     </w:t>
      </w:r>
      <w:r w:rsidR="00B937DF" w:rsidRPr="003F060D">
        <w:rPr>
          <w:szCs w:val="22"/>
          <w:lang w:val="es-ES_tradnl"/>
        </w:rPr>
        <w:t>Tal como queda reflejado en todas las medidas mencionadas con anterioridad, no se puede subestimar l</w:t>
      </w:r>
      <w:r w:rsidR="005B1283" w:rsidRPr="003F060D">
        <w:rPr>
          <w:szCs w:val="22"/>
          <w:lang w:val="es-ES_tradnl"/>
        </w:rPr>
        <w:t>a importancia que tiene colaborar y cooperar de manera abierta, transparente y eficaz en el ámbito del fomento del res</w:t>
      </w:r>
      <w:r w:rsidR="00B937DF" w:rsidRPr="003F060D">
        <w:rPr>
          <w:szCs w:val="22"/>
          <w:lang w:val="es-ES_tradnl"/>
        </w:rPr>
        <w:t>p</w:t>
      </w:r>
      <w:r w:rsidR="005B1283" w:rsidRPr="003F060D">
        <w:rPr>
          <w:szCs w:val="22"/>
          <w:lang w:val="es-ES_tradnl"/>
        </w:rPr>
        <w:t xml:space="preserve">eto por la P.I. </w:t>
      </w:r>
      <w:r w:rsidR="00784253" w:rsidRPr="003F060D">
        <w:rPr>
          <w:szCs w:val="22"/>
          <w:lang w:val="es-ES_tradnl"/>
        </w:rPr>
        <w:t xml:space="preserve"> </w:t>
      </w:r>
      <w:r w:rsidR="00B937DF" w:rsidRPr="003F060D">
        <w:rPr>
          <w:szCs w:val="22"/>
          <w:lang w:val="es-ES_tradnl"/>
        </w:rPr>
        <w:t>Todos los actores involucrados, inclui</w:t>
      </w:r>
      <w:r w:rsidR="00E66341" w:rsidRPr="003F060D">
        <w:rPr>
          <w:szCs w:val="22"/>
          <w:lang w:val="es-ES_tradnl"/>
        </w:rPr>
        <w:t>dos los gobiernos, las empresas</w:t>
      </w:r>
      <w:r w:rsidR="00B937DF" w:rsidRPr="003F060D">
        <w:rPr>
          <w:szCs w:val="22"/>
          <w:lang w:val="es-ES_tradnl"/>
        </w:rPr>
        <w:t xml:space="preserve"> y los consumidores, </w:t>
      </w:r>
      <w:r w:rsidR="00FF7026" w:rsidRPr="003F060D">
        <w:rPr>
          <w:szCs w:val="22"/>
          <w:lang w:val="es-ES_tradnl"/>
        </w:rPr>
        <w:t>unen esfuerzos e</w:t>
      </w:r>
      <w:r w:rsidR="009305D7" w:rsidRPr="003F060D">
        <w:rPr>
          <w:szCs w:val="22"/>
          <w:lang w:val="es-ES_tradnl"/>
        </w:rPr>
        <w:t>n pro de unos intereses comunes,</w:t>
      </w:r>
      <w:r w:rsidR="00FF7026" w:rsidRPr="003F060D">
        <w:rPr>
          <w:szCs w:val="22"/>
          <w:lang w:val="es-ES_tradnl"/>
        </w:rPr>
        <w:t xml:space="preserve"> a nivel nacional e internacional.  El Comité ha puesto de relieve la importancia que tiene esta colaboración estrecha entre todos los beneficiarios del sistema de P.I.</w:t>
      </w:r>
      <w:r w:rsidR="00983376" w:rsidRPr="003F060D">
        <w:rPr>
          <w:rStyle w:val="FootnoteReference"/>
          <w:szCs w:val="22"/>
          <w:lang w:val="es-ES_tradnl"/>
        </w:rPr>
        <w:footnoteReference w:id="10"/>
      </w:r>
    </w:p>
    <w:p w:rsidR="00BA5D63" w:rsidRPr="003F060D" w:rsidRDefault="00BA5D63" w:rsidP="00D75DAC">
      <w:pPr>
        <w:rPr>
          <w:szCs w:val="22"/>
          <w:lang w:val="es-ES_tradnl"/>
        </w:rPr>
      </w:pPr>
    </w:p>
    <w:p w:rsidR="00BA5D63" w:rsidRPr="003F060D" w:rsidRDefault="00AA26D5" w:rsidP="00D75DAC">
      <w:pPr>
        <w:rPr>
          <w:szCs w:val="22"/>
          <w:u w:val="single"/>
          <w:lang w:val="es-ES_tradnl"/>
        </w:rPr>
      </w:pPr>
      <w:r w:rsidRPr="003F060D">
        <w:rPr>
          <w:szCs w:val="22"/>
          <w:lang w:val="es-ES_tradnl"/>
        </w:rPr>
        <w:fldChar w:fldCharType="begin"/>
      </w:r>
      <w:r w:rsidR="00705BA1" w:rsidRPr="003F060D">
        <w:rPr>
          <w:szCs w:val="22"/>
          <w:lang w:val="es-ES_tradnl"/>
        </w:rPr>
        <w:instrText xml:space="preserve"> AUTONUM  </w:instrText>
      </w:r>
      <w:r w:rsidRPr="003F060D">
        <w:rPr>
          <w:szCs w:val="22"/>
          <w:lang w:val="es-ES_tradnl"/>
        </w:rPr>
        <w:fldChar w:fldCharType="end"/>
      </w:r>
      <w:r w:rsidR="00705BA1" w:rsidRPr="003F060D">
        <w:rPr>
          <w:szCs w:val="22"/>
          <w:lang w:val="es-ES_tradnl"/>
        </w:rPr>
        <w:tab/>
      </w:r>
      <w:r w:rsidR="004E2BAA" w:rsidRPr="003F060D">
        <w:rPr>
          <w:szCs w:val="22"/>
          <w:lang w:val="es-ES_tradnl"/>
        </w:rPr>
        <w:t>El alcance de las medidas adoptadas por los Estados miembros</w:t>
      </w:r>
      <w:r w:rsidR="00705BA1" w:rsidRPr="003F060D">
        <w:rPr>
          <w:szCs w:val="22"/>
          <w:lang w:val="es-ES_tradnl"/>
        </w:rPr>
        <w:t xml:space="preserve">, </w:t>
      </w:r>
      <w:r w:rsidR="004E2BAA" w:rsidRPr="003F060D">
        <w:rPr>
          <w:szCs w:val="22"/>
          <w:lang w:val="es-ES_tradnl"/>
        </w:rPr>
        <w:t>las empresas y la sociedad civil, que van desde la aplicación de nuevas iniciativas en materia de legislaci</w:t>
      </w:r>
      <w:r w:rsidR="00955416" w:rsidRPr="003F060D">
        <w:rPr>
          <w:szCs w:val="22"/>
          <w:lang w:val="es-ES_tradnl"/>
        </w:rPr>
        <w:t xml:space="preserve">ón y </w:t>
      </w:r>
      <w:r w:rsidR="002F52E2" w:rsidRPr="003F060D">
        <w:rPr>
          <w:szCs w:val="22"/>
          <w:lang w:val="es-ES_tradnl"/>
        </w:rPr>
        <w:t xml:space="preserve">enjuiciamiento hasta </w:t>
      </w:r>
      <w:r w:rsidR="00955416" w:rsidRPr="003F060D">
        <w:rPr>
          <w:szCs w:val="22"/>
          <w:lang w:val="es-ES_tradnl"/>
        </w:rPr>
        <w:t xml:space="preserve">el empleo de todas las acciones </w:t>
      </w:r>
      <w:r w:rsidR="000174FD" w:rsidRPr="003F060D">
        <w:rPr>
          <w:szCs w:val="22"/>
          <w:lang w:val="es-ES_tradnl"/>
        </w:rPr>
        <w:t xml:space="preserve">complementarias </w:t>
      </w:r>
      <w:r w:rsidR="00955416" w:rsidRPr="003F060D">
        <w:rPr>
          <w:szCs w:val="22"/>
          <w:lang w:val="es-ES_tradnl"/>
        </w:rPr>
        <w:t xml:space="preserve">descritas con anterioridad, se ve reflejado de manera especial en Internet, que es donde se están evidenciando desafíos notables en lo que respecta al cumplimiento y la observancia de la P.I. </w:t>
      </w:r>
      <w:r w:rsidR="00705BA1" w:rsidRPr="003F060D">
        <w:rPr>
          <w:szCs w:val="22"/>
          <w:lang w:val="es-ES_tradnl"/>
        </w:rPr>
        <w:t xml:space="preserve"> </w:t>
      </w:r>
      <w:r w:rsidR="002739B1" w:rsidRPr="003F060D">
        <w:rPr>
          <w:szCs w:val="22"/>
          <w:lang w:val="es-ES_tradnl"/>
        </w:rPr>
        <w:t xml:space="preserve">Es en dicho ámbito </w:t>
      </w:r>
      <w:r w:rsidR="000174FD" w:rsidRPr="003F060D">
        <w:rPr>
          <w:szCs w:val="22"/>
          <w:lang w:val="es-ES_tradnl"/>
        </w:rPr>
        <w:t xml:space="preserve">de Internet en el que las medidas complementarias y preventivas </w:t>
      </w:r>
      <w:r w:rsidR="00B937DF" w:rsidRPr="003F060D">
        <w:rPr>
          <w:szCs w:val="22"/>
          <w:lang w:val="es-ES_tradnl"/>
        </w:rPr>
        <w:t>expuest</w:t>
      </w:r>
      <w:r w:rsidR="000328E2" w:rsidRPr="003F060D">
        <w:rPr>
          <w:szCs w:val="22"/>
          <w:lang w:val="es-ES_tradnl"/>
        </w:rPr>
        <w:t>as con anterioridad están tomando forma con rapidez.</w:t>
      </w:r>
      <w:r w:rsidR="00731603" w:rsidRPr="003F060D">
        <w:rPr>
          <w:rStyle w:val="FootnoteReference"/>
          <w:szCs w:val="22"/>
          <w:lang w:val="es-ES_tradnl"/>
        </w:rPr>
        <w:footnoteReference w:id="11"/>
      </w:r>
    </w:p>
    <w:p w:rsidR="00BA5D63" w:rsidRPr="003F060D" w:rsidRDefault="00BA5D63" w:rsidP="00A445A9">
      <w:pPr>
        <w:rPr>
          <w:szCs w:val="22"/>
          <w:lang w:val="es-ES_tradnl"/>
        </w:rPr>
      </w:pPr>
    </w:p>
    <w:p w:rsidR="00BA5D63" w:rsidRPr="003F060D" w:rsidRDefault="00BA5D63" w:rsidP="00A445A9">
      <w:pPr>
        <w:rPr>
          <w:szCs w:val="22"/>
          <w:lang w:val="es-ES_tradnl"/>
        </w:rPr>
      </w:pPr>
    </w:p>
    <w:p w:rsidR="00BA5D63" w:rsidRPr="003F060D" w:rsidRDefault="00063297" w:rsidP="003F060D">
      <w:pPr>
        <w:ind w:left="567" w:hanging="567"/>
        <w:rPr>
          <w:b/>
          <w:szCs w:val="22"/>
          <w:lang w:val="es-ES_tradnl"/>
        </w:rPr>
      </w:pPr>
      <w:r w:rsidRPr="003F060D">
        <w:rPr>
          <w:b/>
          <w:szCs w:val="22"/>
          <w:lang w:val="es-ES_tradnl"/>
        </w:rPr>
        <w:t>III.</w:t>
      </w:r>
      <w:r w:rsidRPr="003F060D">
        <w:rPr>
          <w:b/>
          <w:szCs w:val="22"/>
          <w:lang w:val="es-ES_tradnl"/>
        </w:rPr>
        <w:tab/>
      </w:r>
      <w:r w:rsidR="00507126" w:rsidRPr="003F060D">
        <w:rPr>
          <w:b/>
          <w:szCs w:val="22"/>
          <w:lang w:val="es-ES_tradnl"/>
        </w:rPr>
        <w:t>ACTIVIDADES DE SENSIBILIZACI</w:t>
      </w:r>
      <w:r w:rsidR="00214B5C" w:rsidRPr="003F060D">
        <w:rPr>
          <w:b/>
          <w:szCs w:val="22"/>
          <w:lang w:val="es-ES_tradnl"/>
        </w:rPr>
        <w:t xml:space="preserve">ÓN </w:t>
      </w:r>
      <w:r w:rsidR="00507126" w:rsidRPr="003F060D">
        <w:rPr>
          <w:b/>
          <w:szCs w:val="22"/>
          <w:lang w:val="es-ES_tradnl"/>
        </w:rPr>
        <w:t>LLEVA</w:t>
      </w:r>
      <w:r w:rsidR="00214B5C" w:rsidRPr="003F060D">
        <w:rPr>
          <w:b/>
          <w:szCs w:val="22"/>
          <w:lang w:val="es-ES_tradnl"/>
        </w:rPr>
        <w:t>DAS</w:t>
      </w:r>
      <w:r w:rsidR="00507126" w:rsidRPr="003F060D">
        <w:rPr>
          <w:b/>
          <w:szCs w:val="22"/>
          <w:lang w:val="es-ES_tradnl"/>
        </w:rPr>
        <w:t xml:space="preserve"> A CABO </w:t>
      </w:r>
      <w:r w:rsidR="00214B5C" w:rsidRPr="003F060D">
        <w:rPr>
          <w:b/>
          <w:szCs w:val="22"/>
          <w:lang w:val="es-ES_tradnl"/>
        </w:rPr>
        <w:t xml:space="preserve">POR </w:t>
      </w:r>
      <w:r w:rsidR="00507126" w:rsidRPr="003F060D">
        <w:rPr>
          <w:b/>
          <w:szCs w:val="22"/>
          <w:lang w:val="es-ES_tradnl"/>
        </w:rPr>
        <w:t>LA OMPI PARA FOMENTAR EL RESPETO POR LA P.I.</w:t>
      </w:r>
    </w:p>
    <w:p w:rsidR="00BA5D63" w:rsidRPr="003F060D" w:rsidRDefault="00BA5D63" w:rsidP="00A445A9">
      <w:pPr>
        <w:rPr>
          <w:szCs w:val="22"/>
          <w:lang w:val="es-ES_tradnl"/>
        </w:rPr>
      </w:pPr>
    </w:p>
    <w:p w:rsidR="00BA5D63" w:rsidRPr="003F060D" w:rsidRDefault="00AA26D5" w:rsidP="00996F7B">
      <w:pPr>
        <w:rPr>
          <w:szCs w:val="22"/>
          <w:lang w:val="es-ES_tradnl"/>
        </w:rPr>
      </w:pPr>
      <w:r w:rsidRPr="003F060D">
        <w:rPr>
          <w:szCs w:val="22"/>
          <w:lang w:val="es-ES_tradnl"/>
        </w:rPr>
        <w:fldChar w:fldCharType="begin"/>
      </w:r>
      <w:r w:rsidR="00A22A81" w:rsidRPr="003F060D">
        <w:rPr>
          <w:szCs w:val="22"/>
          <w:lang w:val="es-ES_tradnl"/>
        </w:rPr>
        <w:instrText xml:space="preserve"> AUTONUM  </w:instrText>
      </w:r>
      <w:r w:rsidRPr="003F060D">
        <w:rPr>
          <w:szCs w:val="22"/>
          <w:lang w:val="es-ES_tradnl"/>
        </w:rPr>
        <w:fldChar w:fldCharType="end"/>
      </w:r>
      <w:r w:rsidR="00A22A81" w:rsidRPr="003F060D">
        <w:rPr>
          <w:szCs w:val="22"/>
          <w:lang w:val="es-ES_tradnl"/>
        </w:rPr>
        <w:tab/>
      </w:r>
      <w:r w:rsidR="00214B5C" w:rsidRPr="003F060D">
        <w:rPr>
          <w:szCs w:val="22"/>
          <w:lang w:val="es-ES_tradnl"/>
        </w:rPr>
        <w:t xml:space="preserve">Con el fin de promover la participación de los consumidores y adquirir unos conocimientos compartidos acerca de los beneficios sociales que conlleva la observancia de la </w:t>
      </w:r>
      <w:r w:rsidR="00214B5C" w:rsidRPr="003F060D">
        <w:rPr>
          <w:szCs w:val="22"/>
          <w:lang w:val="es-ES_tradnl"/>
        </w:rPr>
        <w:lastRenderedPageBreak/>
        <w:t xml:space="preserve">P.I., así como para crear un clima de respeto hacia la P.I., la OMPI, a solicitud de los Estados miembros, lleva a cabo actividades destinadas al público en general y en especial a los jóvenes, y encaminadas entre otras cosas a aumentar el grado de sensibilización </w:t>
      </w:r>
      <w:r w:rsidR="00E94C85" w:rsidRPr="003F060D">
        <w:rPr>
          <w:szCs w:val="22"/>
          <w:lang w:val="es-ES_tradnl"/>
        </w:rPr>
        <w:t>y la educación en relación con</w:t>
      </w:r>
      <w:r w:rsidR="00214B5C" w:rsidRPr="003F060D">
        <w:rPr>
          <w:szCs w:val="22"/>
          <w:lang w:val="es-ES_tradnl"/>
        </w:rPr>
        <w:t xml:space="preserve"> la P.I.</w:t>
      </w:r>
      <w:r w:rsidR="00E94C85" w:rsidRPr="003F060D">
        <w:rPr>
          <w:szCs w:val="22"/>
          <w:lang w:val="es-ES_tradnl"/>
        </w:rPr>
        <w:t xml:space="preserve">  Se realizan, entre otras, actividades de fortalecimiento de las capacidades con el fin de considerar la sensibilización pública como una medida preventiva complementaria de las actividades de observancia y ofrecer a las </w:t>
      </w:r>
      <w:r w:rsidR="00B134D2" w:rsidRPr="003F060D">
        <w:rPr>
          <w:szCs w:val="22"/>
          <w:lang w:val="es-ES_tradnl"/>
        </w:rPr>
        <w:t>autoridades nacionales y a lo</w:t>
      </w:r>
      <w:r w:rsidR="00E94C85" w:rsidRPr="003F060D">
        <w:rPr>
          <w:szCs w:val="22"/>
          <w:lang w:val="es-ES_tradnl"/>
        </w:rPr>
        <w:t xml:space="preserve">s </w:t>
      </w:r>
      <w:r w:rsidR="00B134D2" w:rsidRPr="003F060D">
        <w:rPr>
          <w:szCs w:val="22"/>
          <w:lang w:val="es-ES_tradnl"/>
        </w:rPr>
        <w:t>sectores interesados</w:t>
      </w:r>
      <w:r w:rsidR="00E94C85" w:rsidRPr="003F060D">
        <w:rPr>
          <w:szCs w:val="22"/>
          <w:lang w:val="es-ES_tradnl"/>
        </w:rPr>
        <w:t xml:space="preserve"> información sobre la forma de elaborar y aplicar estrategias nacionales de sensibilización</w:t>
      </w:r>
      <w:r w:rsidR="0023408E" w:rsidRPr="003F060D">
        <w:rPr>
          <w:szCs w:val="22"/>
          <w:lang w:val="es-ES_tradnl"/>
        </w:rPr>
        <w:t>.</w:t>
      </w:r>
      <w:r w:rsidR="0023408E" w:rsidRPr="003F060D">
        <w:rPr>
          <w:rStyle w:val="FootnoteReference"/>
          <w:szCs w:val="22"/>
          <w:lang w:val="es-ES_tradnl"/>
        </w:rPr>
        <w:footnoteReference w:id="12"/>
      </w:r>
    </w:p>
    <w:p w:rsidR="00BA5D63" w:rsidRPr="003F060D" w:rsidRDefault="00BA5D63" w:rsidP="00A445A9">
      <w:pPr>
        <w:rPr>
          <w:szCs w:val="22"/>
          <w:lang w:val="es-ES_tradnl"/>
        </w:rPr>
      </w:pPr>
    </w:p>
    <w:p w:rsidR="00BA5D63" w:rsidRPr="003F060D" w:rsidRDefault="00AA26D5" w:rsidP="0092687A">
      <w:pPr>
        <w:rPr>
          <w:rFonts w:eastAsia="Times New Roman"/>
          <w:szCs w:val="22"/>
          <w:lang w:val="es-ES_tradnl" w:eastAsia="ko-KR"/>
        </w:rPr>
      </w:pPr>
      <w:r w:rsidRPr="003F060D">
        <w:rPr>
          <w:szCs w:val="22"/>
          <w:lang w:val="es-ES_tradnl"/>
        </w:rPr>
        <w:fldChar w:fldCharType="begin"/>
      </w:r>
      <w:r w:rsidR="00D75DAC" w:rsidRPr="003F060D">
        <w:rPr>
          <w:szCs w:val="22"/>
          <w:lang w:val="es-ES_tradnl"/>
        </w:rPr>
        <w:instrText xml:space="preserve"> AUTONUM  </w:instrText>
      </w:r>
      <w:r w:rsidRPr="003F060D">
        <w:rPr>
          <w:szCs w:val="22"/>
          <w:lang w:val="es-ES_tradnl"/>
        </w:rPr>
        <w:fldChar w:fldCharType="end"/>
      </w:r>
      <w:r w:rsidR="00D75DAC" w:rsidRPr="003F060D">
        <w:rPr>
          <w:szCs w:val="22"/>
          <w:lang w:val="es-ES_tradnl"/>
        </w:rPr>
        <w:tab/>
      </w:r>
      <w:r w:rsidR="001A17E2" w:rsidRPr="003F060D">
        <w:rPr>
          <w:szCs w:val="22"/>
          <w:lang w:val="es-ES_tradnl"/>
        </w:rPr>
        <w:t xml:space="preserve">En este sentido, la OMPI ha elaborado una Estrategia de sensibilización para fomentar el respeto por la P.I. </w:t>
      </w:r>
      <w:r w:rsidR="00902361" w:rsidRPr="003F060D">
        <w:rPr>
          <w:szCs w:val="22"/>
          <w:lang w:val="es-ES_tradnl"/>
        </w:rPr>
        <w:t xml:space="preserve">(Estrategia), estructurada por módulos y paso a paso.  </w:t>
      </w:r>
      <w:r w:rsidR="006E77FD" w:rsidRPr="003F060D">
        <w:rPr>
          <w:szCs w:val="22"/>
          <w:lang w:val="es-ES_tradnl"/>
        </w:rPr>
        <w:t>La E</w:t>
      </w:r>
      <w:r w:rsidR="00902361" w:rsidRPr="003F060D">
        <w:rPr>
          <w:szCs w:val="22"/>
          <w:lang w:val="es-ES_tradnl"/>
        </w:rPr>
        <w:t>strategia abarca la educación, la colaboración y la comunicación</w:t>
      </w:r>
      <w:r w:rsidR="003B04F9" w:rsidRPr="003F060D">
        <w:rPr>
          <w:szCs w:val="22"/>
          <w:lang w:val="es-ES_tradnl"/>
        </w:rPr>
        <w:t>,</w:t>
      </w:r>
      <w:r w:rsidR="00902361" w:rsidRPr="003F060D">
        <w:rPr>
          <w:szCs w:val="22"/>
          <w:lang w:val="es-ES_tradnl"/>
        </w:rPr>
        <w:t xml:space="preserve"> y se puede aplicar parcialmente o en su totalidad en función de las necesidades del Estado miembro solicitante.  Esta Estrategia se puede incluir dentro de una estrategia nacional de P.I.</w:t>
      </w:r>
      <w:r w:rsidR="00F60A22" w:rsidRPr="003F060D">
        <w:rPr>
          <w:rStyle w:val="FootnoteReference"/>
          <w:rFonts w:eastAsia="Times New Roman"/>
          <w:szCs w:val="22"/>
          <w:lang w:val="es-ES_tradnl" w:eastAsia="ko-KR"/>
        </w:rPr>
        <w:footnoteReference w:id="13"/>
      </w:r>
      <w:r w:rsidR="00902361" w:rsidRPr="003F060D">
        <w:rPr>
          <w:szCs w:val="22"/>
          <w:lang w:val="es-ES_tradnl"/>
        </w:rPr>
        <w:t xml:space="preserve"> más amplia en la que se incluirían estrategias para estimular la innovación y la creatividad a fin de proteger los resultados de dicha actividad mediante </w:t>
      </w:r>
      <w:r w:rsidR="00773E60" w:rsidRPr="003F060D">
        <w:rPr>
          <w:szCs w:val="22"/>
          <w:lang w:val="es-ES_tradnl"/>
        </w:rPr>
        <w:t xml:space="preserve">la </w:t>
      </w:r>
      <w:r w:rsidR="00902361" w:rsidRPr="003F060D">
        <w:rPr>
          <w:szCs w:val="22"/>
          <w:lang w:val="es-ES_tradnl"/>
        </w:rPr>
        <w:t xml:space="preserve">P.I. y desarrollar una cultura de respeto por la P.I. </w:t>
      </w:r>
      <w:r w:rsidR="00F60A22" w:rsidRPr="003F060D">
        <w:rPr>
          <w:rFonts w:eastAsia="Times New Roman"/>
          <w:szCs w:val="22"/>
          <w:lang w:val="es-ES_tradnl" w:eastAsia="ko-KR"/>
        </w:rPr>
        <w:t xml:space="preserve"> La responsabilidad de ejecutar la Estrategia recae en las autoridades gubernamentales correspo</w:t>
      </w:r>
      <w:r w:rsidR="00B45B6D" w:rsidRPr="003F060D">
        <w:rPr>
          <w:rFonts w:eastAsia="Times New Roman"/>
          <w:szCs w:val="22"/>
          <w:lang w:val="es-ES_tradnl" w:eastAsia="ko-KR"/>
        </w:rPr>
        <w:t>n</w:t>
      </w:r>
      <w:r w:rsidR="00F60A22" w:rsidRPr="003F060D">
        <w:rPr>
          <w:rFonts w:eastAsia="Times New Roman"/>
          <w:szCs w:val="22"/>
          <w:lang w:val="es-ES_tradnl" w:eastAsia="ko-KR"/>
        </w:rPr>
        <w:t xml:space="preserve">dientes encargadas de </w:t>
      </w:r>
      <w:r w:rsidR="00B45B6D" w:rsidRPr="003F060D">
        <w:rPr>
          <w:rFonts w:eastAsia="Times New Roman"/>
          <w:szCs w:val="22"/>
          <w:lang w:val="es-ES_tradnl" w:eastAsia="ko-KR"/>
        </w:rPr>
        <w:t>supervisar los asuntos relacionados con la P.I. en el país en cuestión.</w:t>
      </w:r>
      <w:r w:rsidR="0092687A" w:rsidRPr="003F060D">
        <w:rPr>
          <w:szCs w:val="22"/>
          <w:lang w:val="es-ES_tradnl"/>
        </w:rPr>
        <w:t xml:space="preserve"> </w:t>
      </w:r>
    </w:p>
    <w:p w:rsidR="00BA5D63" w:rsidRPr="003F060D" w:rsidRDefault="00BA5D63" w:rsidP="00A445A9">
      <w:pPr>
        <w:rPr>
          <w:szCs w:val="22"/>
          <w:lang w:val="es-ES_tradnl"/>
        </w:rPr>
      </w:pPr>
    </w:p>
    <w:p w:rsidR="00BA5D63" w:rsidRPr="003F060D" w:rsidRDefault="00D75DAC" w:rsidP="0002456C">
      <w:pPr>
        <w:keepNext/>
        <w:rPr>
          <w:szCs w:val="22"/>
          <w:u w:val="single"/>
          <w:lang w:val="es-ES_tradnl"/>
        </w:rPr>
      </w:pPr>
      <w:r w:rsidRPr="003F060D">
        <w:rPr>
          <w:szCs w:val="22"/>
          <w:lang w:val="es-ES_tradnl"/>
        </w:rPr>
        <w:t>A.</w:t>
      </w:r>
      <w:r w:rsidRPr="003F060D">
        <w:rPr>
          <w:szCs w:val="22"/>
          <w:lang w:val="es-ES_tradnl"/>
        </w:rPr>
        <w:tab/>
      </w:r>
      <w:r w:rsidR="00F106BF" w:rsidRPr="003F060D">
        <w:rPr>
          <w:szCs w:val="22"/>
          <w:u w:val="single"/>
          <w:lang w:val="es-ES_tradnl"/>
        </w:rPr>
        <w:t>Objetivo</w:t>
      </w:r>
      <w:r w:rsidR="00A445A9" w:rsidRPr="003F060D">
        <w:rPr>
          <w:szCs w:val="22"/>
          <w:u w:val="single"/>
          <w:lang w:val="es-ES_tradnl"/>
        </w:rPr>
        <w:t xml:space="preserve">s </w:t>
      </w:r>
      <w:r w:rsidR="00F106BF" w:rsidRPr="003F060D">
        <w:rPr>
          <w:szCs w:val="22"/>
          <w:u w:val="single"/>
          <w:lang w:val="es-ES_tradnl"/>
        </w:rPr>
        <w:t>de la Estrategia de sensibilización para fomentar el respeto por la P.I.</w:t>
      </w:r>
    </w:p>
    <w:p w:rsidR="00BA5D63" w:rsidRPr="003F060D" w:rsidRDefault="00BA5D63" w:rsidP="0002456C">
      <w:pPr>
        <w:keepNext/>
        <w:rPr>
          <w:szCs w:val="22"/>
          <w:lang w:val="es-ES_tradnl"/>
        </w:rPr>
      </w:pPr>
    </w:p>
    <w:p w:rsidR="00BA5D63" w:rsidRPr="003F060D" w:rsidRDefault="00AA26D5" w:rsidP="0002456C">
      <w:pPr>
        <w:keepNext/>
        <w:rPr>
          <w:szCs w:val="22"/>
          <w:lang w:val="es-ES_tradnl"/>
        </w:rPr>
      </w:pPr>
      <w:r w:rsidRPr="003F060D">
        <w:rPr>
          <w:szCs w:val="22"/>
          <w:lang w:val="es-ES_tradnl"/>
        </w:rPr>
        <w:fldChar w:fldCharType="begin"/>
      </w:r>
      <w:r w:rsidR="00D75DAC" w:rsidRPr="003F060D">
        <w:rPr>
          <w:szCs w:val="22"/>
          <w:lang w:val="es-ES_tradnl"/>
        </w:rPr>
        <w:instrText xml:space="preserve"> AUTONUM  </w:instrText>
      </w:r>
      <w:r w:rsidRPr="003F060D">
        <w:rPr>
          <w:szCs w:val="22"/>
          <w:lang w:val="es-ES_tradnl"/>
        </w:rPr>
        <w:fldChar w:fldCharType="end"/>
      </w:r>
      <w:r w:rsidR="00D75DAC" w:rsidRPr="003F060D">
        <w:rPr>
          <w:szCs w:val="22"/>
          <w:lang w:val="es-ES_tradnl"/>
        </w:rPr>
        <w:tab/>
      </w:r>
      <w:r w:rsidR="00C928BC" w:rsidRPr="003F060D">
        <w:rPr>
          <w:szCs w:val="22"/>
          <w:lang w:val="es-ES_tradnl"/>
        </w:rPr>
        <w:t xml:space="preserve">La Estrategia está encaminada a fomentar el respeto por la P.I. </w:t>
      </w:r>
      <w:r w:rsidR="007008F5" w:rsidRPr="003F060D">
        <w:rPr>
          <w:szCs w:val="22"/>
          <w:lang w:val="es-ES_tradnl"/>
        </w:rPr>
        <w:t>promoviendo una mayor noción de</w:t>
      </w:r>
      <w:r w:rsidR="00C928BC" w:rsidRPr="003F060D">
        <w:rPr>
          <w:szCs w:val="22"/>
          <w:lang w:val="es-ES_tradnl"/>
        </w:rPr>
        <w:t xml:space="preserve"> </w:t>
      </w:r>
      <w:r w:rsidR="000939A4" w:rsidRPr="003F060D">
        <w:rPr>
          <w:szCs w:val="22"/>
          <w:lang w:val="es-ES_tradnl"/>
        </w:rPr>
        <w:t>los beneficios que aporta el sistema de P.I.</w:t>
      </w:r>
      <w:r w:rsidR="00CD5910" w:rsidRPr="003F060D">
        <w:rPr>
          <w:szCs w:val="22"/>
          <w:lang w:val="es-ES_tradnl"/>
        </w:rPr>
        <w:t xml:space="preserve"> y estimulando un cambio de comportamiento para poner freno a la demanda </w:t>
      </w:r>
      <w:r w:rsidR="00232FEC" w:rsidRPr="003F060D">
        <w:rPr>
          <w:szCs w:val="22"/>
          <w:lang w:val="es-ES_tradnl"/>
        </w:rPr>
        <w:t xml:space="preserve">de </w:t>
      </w:r>
      <w:r w:rsidR="00CD5910" w:rsidRPr="003F060D">
        <w:rPr>
          <w:szCs w:val="22"/>
          <w:lang w:val="es-ES_tradnl"/>
        </w:rPr>
        <w:t>productos infractores.</w:t>
      </w:r>
    </w:p>
    <w:p w:rsidR="00BA5D63" w:rsidRPr="003F060D" w:rsidRDefault="00BA5D63" w:rsidP="00A445A9">
      <w:pPr>
        <w:rPr>
          <w:szCs w:val="22"/>
          <w:lang w:val="es-ES_tradnl"/>
        </w:rPr>
      </w:pPr>
    </w:p>
    <w:p w:rsidR="00BA5D63" w:rsidRPr="003F060D" w:rsidRDefault="00A53727" w:rsidP="00A445A9">
      <w:pPr>
        <w:rPr>
          <w:szCs w:val="22"/>
          <w:lang w:val="es-ES_tradnl"/>
        </w:rPr>
      </w:pPr>
      <w:r w:rsidRPr="003F060D">
        <w:rPr>
          <w:szCs w:val="22"/>
          <w:lang w:val="es-ES_tradnl"/>
        </w:rPr>
        <w:t>B.</w:t>
      </w:r>
      <w:r w:rsidRPr="003F060D">
        <w:rPr>
          <w:szCs w:val="22"/>
          <w:lang w:val="es-ES_tradnl"/>
        </w:rPr>
        <w:tab/>
      </w:r>
      <w:r w:rsidR="004340BC" w:rsidRPr="003F060D">
        <w:rPr>
          <w:szCs w:val="22"/>
          <w:u w:val="single"/>
          <w:lang w:val="es-ES_tradnl"/>
        </w:rPr>
        <w:t>Agentes clave</w:t>
      </w:r>
    </w:p>
    <w:p w:rsidR="00BA5D63" w:rsidRPr="003F060D" w:rsidRDefault="00BA5D63" w:rsidP="00A445A9">
      <w:pPr>
        <w:rPr>
          <w:szCs w:val="22"/>
          <w:lang w:val="es-ES_tradnl"/>
        </w:rPr>
      </w:pPr>
    </w:p>
    <w:p w:rsidR="00BA5D63" w:rsidRPr="003F060D" w:rsidRDefault="00AA26D5" w:rsidP="00A445A9">
      <w:pPr>
        <w:rPr>
          <w:szCs w:val="22"/>
          <w:lang w:val="es-ES_tradnl"/>
        </w:rPr>
      </w:pPr>
      <w:r w:rsidRPr="003F060D">
        <w:rPr>
          <w:szCs w:val="22"/>
          <w:lang w:val="es-ES_tradnl"/>
        </w:rPr>
        <w:fldChar w:fldCharType="begin"/>
      </w:r>
      <w:r w:rsidR="00A15245" w:rsidRPr="003F060D">
        <w:rPr>
          <w:szCs w:val="22"/>
          <w:lang w:val="es-ES_tradnl"/>
        </w:rPr>
        <w:instrText xml:space="preserve"> AUTONUM  </w:instrText>
      </w:r>
      <w:r w:rsidRPr="003F060D">
        <w:rPr>
          <w:szCs w:val="22"/>
          <w:lang w:val="es-ES_tradnl"/>
        </w:rPr>
        <w:fldChar w:fldCharType="end"/>
      </w:r>
      <w:r w:rsidR="00D90C6B" w:rsidRPr="003F060D">
        <w:rPr>
          <w:szCs w:val="22"/>
          <w:lang w:val="es-ES_tradnl"/>
        </w:rPr>
        <w:tab/>
      </w:r>
      <w:r w:rsidR="004340BC" w:rsidRPr="003F060D">
        <w:rPr>
          <w:szCs w:val="22"/>
          <w:lang w:val="es-ES_tradnl"/>
        </w:rPr>
        <w:t xml:space="preserve">Los agentes clave que desempeñan una función en la ejecución de la Estrategia </w:t>
      </w:r>
      <w:r w:rsidR="00556F10" w:rsidRPr="003F060D">
        <w:rPr>
          <w:szCs w:val="22"/>
          <w:lang w:val="es-ES_tradnl"/>
        </w:rPr>
        <w:t>pueden clasificarse por lo general en cuatro categorías</w:t>
      </w:r>
      <w:proofErr w:type="gramStart"/>
      <w:r w:rsidR="00556F10" w:rsidRPr="003F060D">
        <w:rPr>
          <w:szCs w:val="22"/>
          <w:lang w:val="es-ES_tradnl"/>
        </w:rPr>
        <w:t>:  el</w:t>
      </w:r>
      <w:proofErr w:type="gramEnd"/>
      <w:r w:rsidR="00556F10" w:rsidRPr="003F060D">
        <w:rPr>
          <w:szCs w:val="22"/>
          <w:lang w:val="es-ES_tradnl"/>
        </w:rPr>
        <w:t xml:space="preserve"> sector público, el sector privado, la sociedad civil y los medios de comunicación.</w:t>
      </w:r>
    </w:p>
    <w:p w:rsidR="00BA5D63" w:rsidRPr="003F060D" w:rsidRDefault="00BA5D63" w:rsidP="00A445A9">
      <w:pPr>
        <w:rPr>
          <w:szCs w:val="22"/>
          <w:lang w:val="es-ES_tradnl"/>
        </w:rPr>
      </w:pPr>
    </w:p>
    <w:p w:rsidR="00BA5D63" w:rsidRPr="003F060D" w:rsidRDefault="00AA26D5" w:rsidP="00750AFD">
      <w:pPr>
        <w:rPr>
          <w:szCs w:val="22"/>
          <w:lang w:val="es-ES_tradnl"/>
        </w:rPr>
      </w:pPr>
      <w:r w:rsidRPr="003F060D">
        <w:rPr>
          <w:szCs w:val="22"/>
          <w:lang w:val="es-ES_tradnl"/>
        </w:rPr>
        <w:fldChar w:fldCharType="begin"/>
      </w:r>
      <w:r w:rsidR="00750AFD" w:rsidRPr="003F060D">
        <w:rPr>
          <w:szCs w:val="22"/>
          <w:lang w:val="es-ES_tradnl"/>
        </w:rPr>
        <w:instrText xml:space="preserve"> AUTONUM  </w:instrText>
      </w:r>
      <w:r w:rsidRPr="003F060D">
        <w:rPr>
          <w:szCs w:val="22"/>
          <w:lang w:val="es-ES_tradnl"/>
        </w:rPr>
        <w:fldChar w:fldCharType="end"/>
      </w:r>
      <w:r w:rsidR="00750AFD" w:rsidRPr="003F060D">
        <w:rPr>
          <w:szCs w:val="22"/>
          <w:lang w:val="es-ES_tradnl"/>
        </w:rPr>
        <w:tab/>
      </w:r>
      <w:r w:rsidR="00556F10" w:rsidRPr="003F060D">
        <w:rPr>
          <w:i/>
          <w:szCs w:val="22"/>
          <w:lang w:val="es-ES_tradnl"/>
        </w:rPr>
        <w:t>Sector pú</w:t>
      </w:r>
      <w:r w:rsidR="00A445A9" w:rsidRPr="003F060D">
        <w:rPr>
          <w:i/>
          <w:szCs w:val="22"/>
          <w:lang w:val="es-ES_tradnl"/>
        </w:rPr>
        <w:t>blic</w:t>
      </w:r>
      <w:r w:rsidR="00556F10" w:rsidRPr="003F060D">
        <w:rPr>
          <w:i/>
          <w:szCs w:val="22"/>
          <w:lang w:val="es-ES_tradnl"/>
        </w:rPr>
        <w:t>o</w:t>
      </w:r>
      <w:r w:rsidR="00750AFD" w:rsidRPr="003F060D">
        <w:rPr>
          <w:szCs w:val="22"/>
          <w:lang w:val="es-ES_tradnl"/>
        </w:rPr>
        <w:t xml:space="preserve"> </w:t>
      </w:r>
      <w:r w:rsidR="00DC434A" w:rsidRPr="003F060D">
        <w:rPr>
          <w:szCs w:val="22"/>
          <w:lang w:val="es-ES_tradnl"/>
        </w:rPr>
        <w:t xml:space="preserve">    </w:t>
      </w:r>
      <w:r w:rsidR="00556F10" w:rsidRPr="003F060D">
        <w:rPr>
          <w:szCs w:val="22"/>
          <w:lang w:val="es-ES_tradnl"/>
        </w:rPr>
        <w:t>El éxito de la Estrategia depende del compromiso político firme de los agentes gubernamentales pertinentes, entre los que se incluyen:</w:t>
      </w:r>
    </w:p>
    <w:p w:rsidR="00BA5D63" w:rsidRPr="003F060D" w:rsidRDefault="00BA5D63" w:rsidP="00A445A9">
      <w:pPr>
        <w:pStyle w:val="ListParagraph"/>
        <w:ind w:left="567"/>
        <w:rPr>
          <w:szCs w:val="22"/>
          <w:lang w:val="es-ES_tradnl"/>
        </w:rPr>
      </w:pPr>
    </w:p>
    <w:p w:rsidR="00BA5D63" w:rsidRPr="003F060D" w:rsidRDefault="004D53CD" w:rsidP="001D1619">
      <w:pPr>
        <w:pStyle w:val="ListParagraph"/>
        <w:numPr>
          <w:ilvl w:val="0"/>
          <w:numId w:val="35"/>
        </w:numPr>
        <w:ind w:left="1080" w:hanging="540"/>
        <w:rPr>
          <w:szCs w:val="22"/>
          <w:lang w:val="es-ES_tradnl"/>
        </w:rPr>
      </w:pPr>
      <w:r w:rsidRPr="003F060D">
        <w:rPr>
          <w:szCs w:val="22"/>
          <w:lang w:val="es-ES_tradnl"/>
        </w:rPr>
        <w:t>O</w:t>
      </w:r>
      <w:r w:rsidR="0068292E" w:rsidRPr="003F060D">
        <w:rPr>
          <w:szCs w:val="22"/>
          <w:lang w:val="es-ES_tradnl"/>
        </w:rPr>
        <w:t>ficinas de P.I. y otros órgan</w:t>
      </w:r>
      <w:r w:rsidR="00A50627" w:rsidRPr="003F060D">
        <w:rPr>
          <w:szCs w:val="22"/>
          <w:lang w:val="es-ES_tradnl"/>
        </w:rPr>
        <w:t xml:space="preserve">os </w:t>
      </w:r>
      <w:r w:rsidRPr="003F060D">
        <w:rPr>
          <w:szCs w:val="22"/>
          <w:lang w:val="es-ES_tradnl"/>
        </w:rPr>
        <w:t>encargados específicamente de la P.I.</w:t>
      </w:r>
      <w:proofErr w:type="gramStart"/>
      <w:r w:rsidR="00A445A9" w:rsidRPr="003F060D">
        <w:rPr>
          <w:szCs w:val="22"/>
          <w:lang w:val="es-ES_tradnl"/>
        </w:rPr>
        <w:t xml:space="preserve">:  </w:t>
      </w:r>
      <w:r w:rsidRPr="003F060D">
        <w:rPr>
          <w:szCs w:val="22"/>
          <w:lang w:val="es-ES_tradnl"/>
        </w:rPr>
        <w:t>Las</w:t>
      </w:r>
      <w:proofErr w:type="gramEnd"/>
      <w:r w:rsidRPr="003F060D">
        <w:rPr>
          <w:szCs w:val="22"/>
          <w:lang w:val="es-ES_tradnl"/>
        </w:rPr>
        <w:t xml:space="preserve"> autoridades nacionales encargadas de asuntos relacionados con la P.I. son las mejor colocadas para llevar la voz cantante en </w:t>
      </w:r>
      <w:r w:rsidR="00CE2EBC" w:rsidRPr="003F060D">
        <w:rPr>
          <w:szCs w:val="22"/>
          <w:lang w:val="es-ES_tradnl"/>
        </w:rPr>
        <w:t>la elaboración</w:t>
      </w:r>
      <w:r w:rsidRPr="003F060D">
        <w:rPr>
          <w:szCs w:val="22"/>
          <w:lang w:val="es-ES_tradnl"/>
        </w:rPr>
        <w:t xml:space="preserve"> y la ejecución de la Estrategia.  Entre ellas se encuentran por ejemplo las oficinas de P.I., los comités nacionales de coordinación de la P.I., los consejos nacionales sobre P.I., etcétera.</w:t>
      </w:r>
    </w:p>
    <w:p w:rsidR="00BA5D63" w:rsidRPr="003F060D" w:rsidRDefault="00BA5D63" w:rsidP="001D1619">
      <w:pPr>
        <w:pStyle w:val="ListParagraph"/>
        <w:ind w:left="1080"/>
        <w:rPr>
          <w:szCs w:val="22"/>
          <w:lang w:val="es-ES_tradnl"/>
        </w:rPr>
      </w:pPr>
    </w:p>
    <w:p w:rsidR="00BA5D63" w:rsidRPr="003F060D" w:rsidRDefault="00B11E10" w:rsidP="004C0E13">
      <w:pPr>
        <w:pStyle w:val="ListParagraph"/>
        <w:numPr>
          <w:ilvl w:val="0"/>
          <w:numId w:val="35"/>
        </w:numPr>
        <w:ind w:left="1080" w:hanging="540"/>
        <w:rPr>
          <w:szCs w:val="22"/>
          <w:lang w:val="es-ES_tradnl"/>
        </w:rPr>
      </w:pPr>
      <w:r w:rsidRPr="003F060D">
        <w:rPr>
          <w:szCs w:val="22"/>
          <w:lang w:val="es-ES_tradnl"/>
        </w:rPr>
        <w:t>Otros encargados de la formulación de políticas</w:t>
      </w:r>
      <w:r w:rsidR="00A445A9" w:rsidRPr="003F060D">
        <w:rPr>
          <w:szCs w:val="22"/>
          <w:lang w:val="es-ES_tradnl"/>
        </w:rPr>
        <w:t xml:space="preserve">:  </w:t>
      </w:r>
      <w:r w:rsidR="00904E94" w:rsidRPr="003F060D">
        <w:rPr>
          <w:szCs w:val="22"/>
          <w:lang w:val="es-ES_tradnl"/>
        </w:rPr>
        <w:t xml:space="preserve">Resulta fundamental que los </w:t>
      </w:r>
      <w:r w:rsidRPr="003F060D">
        <w:rPr>
          <w:szCs w:val="22"/>
          <w:lang w:val="es-ES_tradnl"/>
        </w:rPr>
        <w:t>encargados de la formulación de políticas</w:t>
      </w:r>
      <w:r w:rsidR="00904E94" w:rsidRPr="003F060D">
        <w:rPr>
          <w:szCs w:val="22"/>
          <w:lang w:val="es-ES_tradnl"/>
        </w:rPr>
        <w:t xml:space="preserve"> </w:t>
      </w:r>
      <w:r w:rsidR="008A0570" w:rsidRPr="003F060D">
        <w:rPr>
          <w:szCs w:val="22"/>
          <w:lang w:val="es-ES_tradnl"/>
        </w:rPr>
        <w:t>dentro del gobierno, concretamente los ministerios de educación, comercio e industria, interior, planificación económica, ciencia y tecnología, justicia, cultura, salud, e información sean conscientes de la importancia que tiene la P.I. como herramienta para el desarrollo económico, social y cultural y apliquen con eficacia las consideraciones en materia de P.I. pertinentes en sus ámbitos respectivos.</w:t>
      </w:r>
    </w:p>
    <w:p w:rsidR="00BA5D63" w:rsidRPr="003F060D" w:rsidRDefault="00BA5D63" w:rsidP="004C0E13">
      <w:pPr>
        <w:rPr>
          <w:szCs w:val="22"/>
          <w:lang w:val="es-ES_tradnl"/>
        </w:rPr>
      </w:pPr>
    </w:p>
    <w:p w:rsidR="00BA5D63" w:rsidRPr="003F060D" w:rsidRDefault="00077C70" w:rsidP="00A445A9">
      <w:pPr>
        <w:pStyle w:val="ListParagraph"/>
        <w:numPr>
          <w:ilvl w:val="0"/>
          <w:numId w:val="35"/>
        </w:numPr>
        <w:ind w:left="1080" w:hanging="540"/>
        <w:rPr>
          <w:szCs w:val="22"/>
          <w:lang w:val="es-ES_tradnl"/>
        </w:rPr>
      </w:pPr>
      <w:r w:rsidRPr="003F060D">
        <w:rPr>
          <w:szCs w:val="22"/>
          <w:lang w:val="es-ES_tradnl"/>
        </w:rPr>
        <w:lastRenderedPageBreak/>
        <w:t>Escuelas y universidades</w:t>
      </w:r>
      <w:proofErr w:type="gramStart"/>
      <w:r w:rsidR="00A445A9" w:rsidRPr="003F060D">
        <w:rPr>
          <w:szCs w:val="22"/>
          <w:lang w:val="es-ES_tradnl"/>
        </w:rPr>
        <w:t xml:space="preserve">:  </w:t>
      </w:r>
      <w:r w:rsidRPr="003F060D">
        <w:rPr>
          <w:szCs w:val="22"/>
          <w:lang w:val="es-ES_tradnl"/>
        </w:rPr>
        <w:t>Los</w:t>
      </w:r>
      <w:proofErr w:type="gramEnd"/>
      <w:r w:rsidRPr="003F060D">
        <w:rPr>
          <w:szCs w:val="22"/>
          <w:lang w:val="es-ES_tradnl"/>
        </w:rPr>
        <w:t xml:space="preserve"> docentes y los profesores han de participar a fin de que los conceptos de P.I. y </w:t>
      </w:r>
      <w:r w:rsidR="009463AE" w:rsidRPr="003F060D">
        <w:rPr>
          <w:szCs w:val="22"/>
          <w:lang w:val="es-ES_tradnl"/>
        </w:rPr>
        <w:t>valor de la P.I. se introduzcan desde el principio y los jóvenes aprendan a respetar la P.I. dur</w:t>
      </w:r>
      <w:r w:rsidR="00182434" w:rsidRPr="003F060D">
        <w:rPr>
          <w:szCs w:val="22"/>
          <w:lang w:val="es-ES_tradnl"/>
        </w:rPr>
        <w:t>ante su</w:t>
      </w:r>
      <w:r w:rsidR="009463AE" w:rsidRPr="003F060D">
        <w:rPr>
          <w:szCs w:val="22"/>
          <w:lang w:val="es-ES_tradnl"/>
        </w:rPr>
        <w:t xml:space="preserve"> etapa educativa.</w:t>
      </w:r>
    </w:p>
    <w:p w:rsidR="00BA5D63" w:rsidRPr="003F060D" w:rsidRDefault="00BA5D63" w:rsidP="00680817">
      <w:pPr>
        <w:pStyle w:val="ListParagraph"/>
        <w:ind w:left="1080"/>
        <w:rPr>
          <w:szCs w:val="22"/>
          <w:lang w:val="es-ES_tradnl"/>
        </w:rPr>
      </w:pPr>
    </w:p>
    <w:p w:rsidR="00BA5D63" w:rsidRPr="003F060D" w:rsidRDefault="00AA26D5" w:rsidP="00A445A9">
      <w:pPr>
        <w:rPr>
          <w:szCs w:val="22"/>
          <w:lang w:val="es-ES_tradnl"/>
        </w:rPr>
      </w:pPr>
      <w:r w:rsidRPr="003F060D">
        <w:rPr>
          <w:szCs w:val="22"/>
          <w:lang w:val="es-ES_tradnl"/>
        </w:rPr>
        <w:fldChar w:fldCharType="begin"/>
      </w:r>
      <w:r w:rsidR="00310386" w:rsidRPr="003F060D">
        <w:rPr>
          <w:szCs w:val="22"/>
          <w:lang w:val="es-ES_tradnl"/>
        </w:rPr>
        <w:instrText xml:space="preserve"> AUTONUM  </w:instrText>
      </w:r>
      <w:r w:rsidRPr="003F060D">
        <w:rPr>
          <w:szCs w:val="22"/>
          <w:lang w:val="es-ES_tradnl"/>
        </w:rPr>
        <w:fldChar w:fldCharType="end"/>
      </w:r>
      <w:r w:rsidR="00310386" w:rsidRPr="003F060D">
        <w:rPr>
          <w:szCs w:val="22"/>
          <w:lang w:val="es-ES_tradnl"/>
        </w:rPr>
        <w:tab/>
      </w:r>
      <w:r w:rsidR="00B134D2" w:rsidRPr="003F060D">
        <w:rPr>
          <w:i/>
          <w:szCs w:val="22"/>
          <w:lang w:val="es-ES_tradnl"/>
        </w:rPr>
        <w:t>Sector privado</w:t>
      </w:r>
      <w:r w:rsidR="004C0E13" w:rsidRPr="003F060D">
        <w:rPr>
          <w:szCs w:val="22"/>
          <w:lang w:val="es-ES_tradnl"/>
        </w:rPr>
        <w:t xml:space="preserve">     </w:t>
      </w:r>
      <w:r w:rsidR="00F41426" w:rsidRPr="003F060D">
        <w:rPr>
          <w:szCs w:val="22"/>
          <w:lang w:val="es-ES_tradnl"/>
        </w:rPr>
        <w:t>El sector privado, representado por</w:t>
      </w:r>
      <w:r w:rsidR="00B134D2" w:rsidRPr="003F060D">
        <w:rPr>
          <w:szCs w:val="22"/>
          <w:lang w:val="es-ES_tradnl"/>
        </w:rPr>
        <w:t xml:space="preserve"> los titulares de derechos de P.I. </w:t>
      </w:r>
      <w:r w:rsidR="00D17E9E" w:rsidRPr="003F060D">
        <w:rPr>
          <w:szCs w:val="22"/>
          <w:lang w:val="es-ES_tradnl"/>
        </w:rPr>
        <w:t>y por</w:t>
      </w:r>
      <w:r w:rsidR="00F41426" w:rsidRPr="003F060D">
        <w:rPr>
          <w:szCs w:val="22"/>
          <w:lang w:val="es-ES_tradnl"/>
        </w:rPr>
        <w:t xml:space="preserve"> los usuarios activos de la P.</w:t>
      </w:r>
      <w:r w:rsidR="00E53ED0" w:rsidRPr="003F060D">
        <w:rPr>
          <w:szCs w:val="22"/>
          <w:lang w:val="es-ES_tradnl"/>
        </w:rPr>
        <w:t>I. como herramienta empresarial</w:t>
      </w:r>
      <w:r w:rsidR="00F41426" w:rsidRPr="003F060D">
        <w:rPr>
          <w:szCs w:val="22"/>
          <w:lang w:val="es-ES_tradnl"/>
        </w:rPr>
        <w:t xml:space="preserve"> y en contacto directo con los consumidores, </w:t>
      </w:r>
      <w:r w:rsidR="00D17E9E" w:rsidRPr="003F060D">
        <w:rPr>
          <w:szCs w:val="22"/>
          <w:lang w:val="es-ES_tradnl"/>
        </w:rPr>
        <w:t>desempeña una función importante</w:t>
      </w:r>
      <w:r w:rsidR="004C0E13" w:rsidRPr="003F060D">
        <w:rPr>
          <w:szCs w:val="22"/>
          <w:lang w:val="es-ES_tradnl"/>
        </w:rPr>
        <w:t>.</w:t>
      </w:r>
    </w:p>
    <w:p w:rsidR="00BA5D63" w:rsidRPr="003F060D" w:rsidRDefault="00BA5D63" w:rsidP="00A445A9">
      <w:pPr>
        <w:rPr>
          <w:szCs w:val="22"/>
          <w:lang w:val="es-ES_tradnl"/>
        </w:rPr>
      </w:pPr>
    </w:p>
    <w:p w:rsidR="00BA5D63" w:rsidRPr="003F060D" w:rsidRDefault="005B2CF9" w:rsidP="00397F9F">
      <w:pPr>
        <w:pStyle w:val="ListParagraph"/>
        <w:numPr>
          <w:ilvl w:val="0"/>
          <w:numId w:val="36"/>
        </w:numPr>
        <w:ind w:left="1080" w:hanging="540"/>
        <w:rPr>
          <w:rFonts w:eastAsia="Times New Roman"/>
          <w:szCs w:val="22"/>
          <w:lang w:val="es-ES_tradnl" w:eastAsia="ko-KR"/>
        </w:rPr>
      </w:pPr>
      <w:r w:rsidRPr="003F060D">
        <w:rPr>
          <w:rFonts w:eastAsia="Times New Roman"/>
          <w:szCs w:val="22"/>
          <w:lang w:val="es-ES_tradnl" w:eastAsia="ko-KR"/>
        </w:rPr>
        <w:t>Asociaciones empresariales</w:t>
      </w:r>
      <w:proofErr w:type="gramStart"/>
      <w:r w:rsidR="004C0E13" w:rsidRPr="003F060D">
        <w:rPr>
          <w:rFonts w:eastAsia="Times New Roman"/>
          <w:szCs w:val="22"/>
          <w:lang w:val="es-ES_tradnl" w:eastAsia="ko-KR"/>
        </w:rPr>
        <w:t xml:space="preserve">:  </w:t>
      </w:r>
      <w:r w:rsidRPr="003F060D">
        <w:rPr>
          <w:rFonts w:eastAsia="Times New Roman"/>
          <w:szCs w:val="22"/>
          <w:lang w:val="es-ES_tradnl" w:eastAsia="ko-KR"/>
        </w:rPr>
        <w:t>Las</w:t>
      </w:r>
      <w:proofErr w:type="gramEnd"/>
      <w:r w:rsidRPr="003F060D">
        <w:rPr>
          <w:rFonts w:eastAsia="Times New Roman"/>
          <w:szCs w:val="22"/>
          <w:lang w:val="es-ES_tradnl" w:eastAsia="ko-KR"/>
        </w:rPr>
        <w:t xml:space="preserve"> asociaciones empresariales, como por ejemplo las cámaras de comercio y otras asociaciones sectoriales, pueden constituir un buen punto de partida para la colaboración en materia de sensibilización.  Los grupos de interés especial, como las </w:t>
      </w:r>
      <w:r w:rsidR="00A445A9" w:rsidRPr="003F060D">
        <w:rPr>
          <w:rFonts w:eastAsia="Times New Roman"/>
          <w:szCs w:val="22"/>
          <w:lang w:val="es-ES_tradnl" w:eastAsia="ko-KR"/>
        </w:rPr>
        <w:t>a</w:t>
      </w:r>
      <w:r w:rsidRPr="003F060D">
        <w:rPr>
          <w:rFonts w:eastAsia="Times New Roman"/>
          <w:szCs w:val="22"/>
          <w:lang w:val="es-ES_tradnl" w:eastAsia="ko-KR"/>
        </w:rPr>
        <w:t>sociaciones de fabr</w:t>
      </w:r>
      <w:r w:rsidR="00790DC5" w:rsidRPr="003F060D">
        <w:rPr>
          <w:rFonts w:eastAsia="Times New Roman"/>
          <w:szCs w:val="22"/>
          <w:lang w:val="es-ES_tradnl" w:eastAsia="ko-KR"/>
        </w:rPr>
        <w:t>icantes de productos de consumo</w:t>
      </w:r>
      <w:r w:rsidRPr="003F060D">
        <w:rPr>
          <w:rFonts w:eastAsia="Times New Roman"/>
          <w:szCs w:val="22"/>
          <w:lang w:val="es-ES_tradnl" w:eastAsia="ko-KR"/>
        </w:rPr>
        <w:t xml:space="preserve"> y farmacéuticos </w:t>
      </w:r>
      <w:r w:rsidR="00F73CC3" w:rsidRPr="003F060D">
        <w:rPr>
          <w:rFonts w:eastAsia="Times New Roman"/>
          <w:szCs w:val="22"/>
          <w:lang w:val="es-ES_tradnl" w:eastAsia="ko-KR"/>
        </w:rPr>
        <w:t xml:space="preserve">o las asociaciones que agrupan a representantes de la industria fonográfica, cinematográfica o </w:t>
      </w:r>
      <w:r w:rsidR="00EA7FAB" w:rsidRPr="003F060D">
        <w:rPr>
          <w:rFonts w:eastAsia="Times New Roman"/>
          <w:szCs w:val="22"/>
          <w:lang w:val="es-ES_tradnl" w:eastAsia="ko-KR"/>
        </w:rPr>
        <w:t>de los programas informáticos</w:t>
      </w:r>
      <w:r w:rsidR="00F73CC3" w:rsidRPr="003F060D">
        <w:rPr>
          <w:rFonts w:eastAsia="Times New Roman"/>
          <w:szCs w:val="22"/>
          <w:lang w:val="es-ES_tradnl" w:eastAsia="ko-KR"/>
        </w:rPr>
        <w:t xml:space="preserve">, pueden aportar conocimientos especializados a la hora de </w:t>
      </w:r>
      <w:r w:rsidR="00EA7FAB" w:rsidRPr="003F060D">
        <w:rPr>
          <w:rFonts w:eastAsia="Times New Roman"/>
          <w:szCs w:val="22"/>
          <w:lang w:val="es-ES_tradnl" w:eastAsia="ko-KR"/>
        </w:rPr>
        <w:t>enfrentarse</w:t>
      </w:r>
      <w:r w:rsidR="00F73CC3" w:rsidRPr="003F060D">
        <w:rPr>
          <w:rFonts w:eastAsia="Times New Roman"/>
          <w:szCs w:val="22"/>
          <w:lang w:val="es-ES_tradnl" w:eastAsia="ko-KR"/>
        </w:rPr>
        <w:t xml:space="preserve"> a aspectos específicos de la P.I. y de cada sector.</w:t>
      </w:r>
    </w:p>
    <w:p w:rsidR="00BA5D63" w:rsidRPr="003F060D" w:rsidRDefault="00BA5D63" w:rsidP="00397F9F">
      <w:pPr>
        <w:pStyle w:val="ListParagraph"/>
        <w:ind w:left="1080"/>
        <w:rPr>
          <w:rFonts w:eastAsia="Times New Roman"/>
          <w:szCs w:val="22"/>
          <w:lang w:val="es-ES_tradnl" w:eastAsia="ko-KR"/>
        </w:rPr>
      </w:pPr>
    </w:p>
    <w:p w:rsidR="00BA5D63" w:rsidRPr="003F060D" w:rsidRDefault="003E3D0F" w:rsidP="00397F9F">
      <w:pPr>
        <w:pStyle w:val="ListParagraph"/>
        <w:numPr>
          <w:ilvl w:val="0"/>
          <w:numId w:val="36"/>
        </w:numPr>
        <w:ind w:left="1080" w:hanging="540"/>
        <w:rPr>
          <w:rFonts w:eastAsia="Times New Roman"/>
          <w:szCs w:val="22"/>
          <w:lang w:val="es-ES_tradnl" w:eastAsia="ko-KR"/>
        </w:rPr>
      </w:pPr>
      <w:r w:rsidRPr="003F060D">
        <w:rPr>
          <w:rFonts w:eastAsia="Times New Roman"/>
          <w:szCs w:val="22"/>
          <w:lang w:val="es-ES_tradnl" w:eastAsia="ko-KR"/>
        </w:rPr>
        <w:t>Empresa</w:t>
      </w:r>
      <w:r w:rsidR="00A445A9" w:rsidRPr="003F060D">
        <w:rPr>
          <w:rFonts w:eastAsia="Times New Roman"/>
          <w:szCs w:val="22"/>
          <w:lang w:val="es-ES_tradnl" w:eastAsia="ko-KR"/>
        </w:rPr>
        <w:t>s</w:t>
      </w:r>
      <w:proofErr w:type="gramStart"/>
      <w:r w:rsidR="00A445A9" w:rsidRPr="003F060D">
        <w:rPr>
          <w:rFonts w:eastAsia="Times New Roman"/>
          <w:szCs w:val="22"/>
          <w:lang w:val="es-ES_tradnl" w:eastAsia="ko-KR"/>
        </w:rPr>
        <w:t>:</w:t>
      </w:r>
      <w:r w:rsidR="004C0E13" w:rsidRPr="003F060D">
        <w:rPr>
          <w:rFonts w:eastAsia="Times New Roman"/>
          <w:szCs w:val="22"/>
          <w:lang w:val="es-ES_tradnl" w:eastAsia="ko-KR"/>
        </w:rPr>
        <w:t xml:space="preserve">  </w:t>
      </w:r>
      <w:r w:rsidR="00790DC5" w:rsidRPr="003F060D">
        <w:rPr>
          <w:rFonts w:eastAsia="Times New Roman"/>
          <w:szCs w:val="22"/>
          <w:lang w:val="es-ES_tradnl" w:eastAsia="ko-KR"/>
        </w:rPr>
        <w:t>Se</w:t>
      </w:r>
      <w:proofErr w:type="gramEnd"/>
      <w:r w:rsidR="00790DC5" w:rsidRPr="003F060D">
        <w:rPr>
          <w:rFonts w:eastAsia="Times New Roman"/>
          <w:szCs w:val="22"/>
          <w:lang w:val="es-ES_tradnl" w:eastAsia="ko-KR"/>
        </w:rPr>
        <w:t xml:space="preserve"> puede</w:t>
      </w:r>
      <w:r w:rsidR="003B4CB3" w:rsidRPr="003F060D">
        <w:rPr>
          <w:rFonts w:eastAsia="Times New Roman"/>
          <w:szCs w:val="22"/>
          <w:lang w:val="es-ES_tradnl" w:eastAsia="ko-KR"/>
        </w:rPr>
        <w:t xml:space="preserve"> identificar</w:t>
      </w:r>
      <w:r w:rsidR="00EA4F8C" w:rsidRPr="003F060D">
        <w:rPr>
          <w:rFonts w:eastAsia="Times New Roman"/>
          <w:szCs w:val="22"/>
          <w:lang w:val="es-ES_tradnl" w:eastAsia="ko-KR"/>
        </w:rPr>
        <w:t xml:space="preserve"> </w:t>
      </w:r>
      <w:r w:rsidR="00790DC5" w:rsidRPr="003F060D">
        <w:rPr>
          <w:rFonts w:eastAsia="Times New Roman"/>
          <w:szCs w:val="22"/>
          <w:lang w:val="es-ES_tradnl" w:eastAsia="ko-KR"/>
        </w:rPr>
        <w:t xml:space="preserve">a </w:t>
      </w:r>
      <w:r w:rsidR="00EA4F8C" w:rsidRPr="003F060D">
        <w:rPr>
          <w:rFonts w:eastAsia="Times New Roman"/>
          <w:szCs w:val="22"/>
          <w:lang w:val="es-ES_tradnl" w:eastAsia="ko-KR"/>
        </w:rPr>
        <w:t xml:space="preserve">empresas </w:t>
      </w:r>
      <w:r w:rsidR="003B4CB3" w:rsidRPr="003F060D">
        <w:rPr>
          <w:rFonts w:eastAsia="Times New Roman"/>
          <w:szCs w:val="22"/>
          <w:lang w:val="es-ES_tradnl" w:eastAsia="ko-KR"/>
        </w:rPr>
        <w:t xml:space="preserve">individuales, sobre todo aquellas que mantengan una relación cercana con los consumidores, e incorporarlas como asociados clave para sensibilizar al público en general.  </w:t>
      </w:r>
      <w:r w:rsidR="00C47F0F" w:rsidRPr="003F060D">
        <w:rPr>
          <w:rFonts w:eastAsia="Times New Roman"/>
          <w:szCs w:val="22"/>
          <w:lang w:val="es-ES_tradnl" w:eastAsia="ko-KR"/>
        </w:rPr>
        <w:t>En este grupo puede</w:t>
      </w:r>
      <w:r w:rsidR="003B4CB3" w:rsidRPr="003F060D">
        <w:rPr>
          <w:rFonts w:eastAsia="Times New Roman"/>
          <w:szCs w:val="22"/>
          <w:lang w:val="es-ES_tradnl" w:eastAsia="ko-KR"/>
        </w:rPr>
        <w:t xml:space="preserve"> incluirse tanto </w:t>
      </w:r>
      <w:r w:rsidR="00C47F0F" w:rsidRPr="003F060D">
        <w:rPr>
          <w:rFonts w:eastAsia="Times New Roman"/>
          <w:szCs w:val="22"/>
          <w:lang w:val="es-ES_tradnl" w:eastAsia="ko-KR"/>
        </w:rPr>
        <w:t xml:space="preserve">a </w:t>
      </w:r>
      <w:r w:rsidR="003B4CB3" w:rsidRPr="003F060D">
        <w:rPr>
          <w:rFonts w:eastAsia="Times New Roman"/>
          <w:szCs w:val="22"/>
          <w:lang w:val="es-ES_tradnl" w:eastAsia="ko-KR"/>
        </w:rPr>
        <w:t xml:space="preserve">empresas tradicionales como </w:t>
      </w:r>
      <w:r w:rsidR="00C47F0F" w:rsidRPr="003F060D">
        <w:rPr>
          <w:rFonts w:eastAsia="Times New Roman"/>
          <w:szCs w:val="22"/>
          <w:lang w:val="es-ES_tradnl" w:eastAsia="ko-KR"/>
        </w:rPr>
        <w:t xml:space="preserve">a </w:t>
      </w:r>
      <w:r w:rsidR="003B4CB3" w:rsidRPr="003F060D">
        <w:rPr>
          <w:rFonts w:eastAsia="Times New Roman"/>
          <w:szCs w:val="22"/>
          <w:lang w:val="es-ES_tradnl" w:eastAsia="ko-KR"/>
        </w:rPr>
        <w:t xml:space="preserve">empresas nuevas </w:t>
      </w:r>
      <w:r w:rsidR="002739B1" w:rsidRPr="003F060D">
        <w:rPr>
          <w:rFonts w:eastAsia="Times New Roman"/>
          <w:szCs w:val="22"/>
          <w:lang w:val="es-ES_tradnl" w:eastAsia="ko-KR"/>
        </w:rPr>
        <w:t xml:space="preserve">de </w:t>
      </w:r>
      <w:r w:rsidR="003B4CB3" w:rsidRPr="003F060D">
        <w:rPr>
          <w:rFonts w:eastAsia="Times New Roman"/>
          <w:szCs w:val="22"/>
          <w:lang w:val="es-ES_tradnl" w:eastAsia="ko-KR"/>
        </w:rPr>
        <w:t>“tecnología digital”</w:t>
      </w:r>
      <w:r w:rsidR="003D24F6" w:rsidRPr="003F060D">
        <w:rPr>
          <w:rFonts w:eastAsia="Times New Roman"/>
          <w:szCs w:val="22"/>
          <w:lang w:val="es-ES_tradnl" w:eastAsia="ko-KR"/>
        </w:rPr>
        <w:t>,</w:t>
      </w:r>
      <w:r w:rsidR="00E01520" w:rsidRPr="003F060D">
        <w:rPr>
          <w:rFonts w:eastAsia="Times New Roman"/>
          <w:szCs w:val="22"/>
          <w:lang w:val="es-ES_tradnl" w:eastAsia="ko-KR"/>
        </w:rPr>
        <w:t xml:space="preserve"> que desempeña</w:t>
      </w:r>
      <w:r w:rsidR="003B4CB3" w:rsidRPr="003F060D">
        <w:rPr>
          <w:rFonts w:eastAsia="Times New Roman"/>
          <w:szCs w:val="22"/>
          <w:lang w:val="es-ES_tradnl" w:eastAsia="ko-KR"/>
        </w:rPr>
        <w:t xml:space="preserve">n una función </w:t>
      </w:r>
      <w:r w:rsidR="00E01520" w:rsidRPr="003F060D">
        <w:rPr>
          <w:rFonts w:eastAsia="Times New Roman"/>
          <w:szCs w:val="22"/>
          <w:lang w:val="es-ES_tradnl" w:eastAsia="ko-KR"/>
        </w:rPr>
        <w:t>muy importante para hacer frente a asunt</w:t>
      </w:r>
      <w:r w:rsidR="002739B1" w:rsidRPr="003F060D">
        <w:rPr>
          <w:rFonts w:eastAsia="Times New Roman"/>
          <w:szCs w:val="22"/>
          <w:lang w:val="es-ES_tradnl" w:eastAsia="ko-KR"/>
        </w:rPr>
        <w:t>os emergentes en el ámbito</w:t>
      </w:r>
      <w:r w:rsidR="00E01520" w:rsidRPr="003F060D">
        <w:rPr>
          <w:rFonts w:eastAsia="Times New Roman"/>
          <w:szCs w:val="22"/>
          <w:lang w:val="es-ES_tradnl" w:eastAsia="ko-KR"/>
        </w:rPr>
        <w:t xml:space="preserve"> de Internet.</w:t>
      </w:r>
    </w:p>
    <w:p w:rsidR="00BA5D63" w:rsidRPr="003F060D" w:rsidRDefault="00BA5D63" w:rsidP="00397F9F">
      <w:pPr>
        <w:pStyle w:val="ListParagraph"/>
        <w:rPr>
          <w:rFonts w:eastAsia="Times New Roman"/>
          <w:szCs w:val="22"/>
          <w:lang w:val="es-ES_tradnl" w:eastAsia="ko-KR"/>
        </w:rPr>
      </w:pPr>
    </w:p>
    <w:p w:rsidR="00BA5D63" w:rsidRPr="003F060D" w:rsidRDefault="00AA26D5" w:rsidP="00397F9F">
      <w:pPr>
        <w:rPr>
          <w:rFonts w:eastAsia="Times New Roman"/>
          <w:szCs w:val="22"/>
          <w:lang w:val="es-ES_tradnl" w:eastAsia="ko-KR"/>
        </w:rPr>
      </w:pPr>
      <w:r w:rsidRPr="003F060D">
        <w:rPr>
          <w:rFonts w:eastAsia="Times New Roman"/>
          <w:szCs w:val="22"/>
          <w:lang w:val="es-ES_tradnl" w:eastAsia="ko-KR"/>
        </w:rPr>
        <w:fldChar w:fldCharType="begin"/>
      </w:r>
      <w:r w:rsidR="00397F9F" w:rsidRPr="003F060D">
        <w:rPr>
          <w:rFonts w:eastAsia="Times New Roman"/>
          <w:szCs w:val="22"/>
          <w:lang w:val="es-ES_tradnl" w:eastAsia="ko-KR"/>
        </w:rPr>
        <w:instrText xml:space="preserve"> AUTONUM  </w:instrText>
      </w:r>
      <w:r w:rsidRPr="003F060D">
        <w:rPr>
          <w:rFonts w:eastAsia="Times New Roman"/>
          <w:szCs w:val="22"/>
          <w:lang w:val="es-ES_tradnl" w:eastAsia="ko-KR"/>
        </w:rPr>
        <w:fldChar w:fldCharType="end"/>
      </w:r>
      <w:r w:rsidR="00397F9F" w:rsidRPr="003F060D">
        <w:rPr>
          <w:rFonts w:eastAsia="Times New Roman"/>
          <w:szCs w:val="22"/>
          <w:lang w:val="es-ES_tradnl" w:eastAsia="ko-KR"/>
        </w:rPr>
        <w:tab/>
      </w:r>
      <w:r w:rsidR="00634A41" w:rsidRPr="003F060D">
        <w:rPr>
          <w:rFonts w:eastAsia="Times New Roman"/>
          <w:i/>
          <w:szCs w:val="22"/>
          <w:lang w:val="es-ES_tradnl" w:eastAsia="ko-KR"/>
        </w:rPr>
        <w:t>Sociedad c</w:t>
      </w:r>
      <w:r w:rsidR="00397F9F" w:rsidRPr="003F060D">
        <w:rPr>
          <w:rFonts w:eastAsia="Times New Roman"/>
          <w:i/>
          <w:szCs w:val="22"/>
          <w:lang w:val="es-ES_tradnl" w:eastAsia="ko-KR"/>
        </w:rPr>
        <w:t>ivil</w:t>
      </w:r>
      <w:r w:rsidR="00397F9F" w:rsidRPr="003F060D">
        <w:rPr>
          <w:rFonts w:eastAsia="Times New Roman"/>
          <w:szCs w:val="22"/>
          <w:lang w:val="es-ES_tradnl" w:eastAsia="ko-KR"/>
        </w:rPr>
        <w:t xml:space="preserve">     </w:t>
      </w:r>
    </w:p>
    <w:p w:rsidR="00BA5D63" w:rsidRPr="003F060D" w:rsidRDefault="00BA5D63" w:rsidP="00397F9F">
      <w:pPr>
        <w:rPr>
          <w:rFonts w:eastAsia="Times New Roman"/>
          <w:szCs w:val="22"/>
          <w:lang w:val="es-ES_tradnl" w:eastAsia="ko-KR"/>
        </w:rPr>
      </w:pPr>
    </w:p>
    <w:p w:rsidR="00BA5D63" w:rsidRPr="003F060D" w:rsidRDefault="00842E15" w:rsidP="00397F9F">
      <w:pPr>
        <w:pStyle w:val="ListParagraph"/>
        <w:numPr>
          <w:ilvl w:val="0"/>
          <w:numId w:val="37"/>
        </w:numPr>
        <w:ind w:left="1080" w:hanging="540"/>
        <w:rPr>
          <w:rFonts w:eastAsia="Times New Roman"/>
          <w:szCs w:val="22"/>
          <w:lang w:val="es-ES_tradnl" w:eastAsia="ko-KR"/>
        </w:rPr>
      </w:pPr>
      <w:r w:rsidRPr="003F060D">
        <w:rPr>
          <w:rFonts w:eastAsia="Times New Roman"/>
          <w:szCs w:val="22"/>
          <w:lang w:val="es-ES_tradnl" w:eastAsia="ko-KR"/>
        </w:rPr>
        <w:t>Organizaciones no gubernamentale</w:t>
      </w:r>
      <w:r w:rsidR="00D03059" w:rsidRPr="003F060D">
        <w:rPr>
          <w:rFonts w:eastAsia="Times New Roman"/>
          <w:szCs w:val="22"/>
          <w:lang w:val="es-ES_tradnl" w:eastAsia="ko-KR"/>
        </w:rPr>
        <w:t>s</w:t>
      </w:r>
      <w:r w:rsidR="00DF3641" w:rsidRPr="003F060D">
        <w:rPr>
          <w:rFonts w:eastAsia="Times New Roman"/>
          <w:szCs w:val="22"/>
          <w:lang w:val="es-ES_tradnl" w:eastAsia="ko-KR"/>
        </w:rPr>
        <w:t xml:space="preserve"> (</w:t>
      </w:r>
      <w:r w:rsidRPr="003F060D">
        <w:rPr>
          <w:rFonts w:eastAsia="Times New Roman"/>
          <w:szCs w:val="22"/>
          <w:lang w:val="es-ES_tradnl" w:eastAsia="ko-KR"/>
        </w:rPr>
        <w:t>O</w:t>
      </w:r>
      <w:r w:rsidR="00DF3641" w:rsidRPr="003F060D">
        <w:rPr>
          <w:rFonts w:eastAsia="Times New Roman"/>
          <w:szCs w:val="22"/>
          <w:lang w:val="es-ES_tradnl" w:eastAsia="ko-KR"/>
        </w:rPr>
        <w:t>N</w:t>
      </w:r>
      <w:r w:rsidRPr="003F060D">
        <w:rPr>
          <w:rFonts w:eastAsia="Times New Roman"/>
          <w:szCs w:val="22"/>
          <w:lang w:val="es-ES_tradnl" w:eastAsia="ko-KR"/>
        </w:rPr>
        <w:t>G</w:t>
      </w:r>
      <w:r w:rsidR="00DF3641" w:rsidRPr="003F060D">
        <w:rPr>
          <w:rFonts w:eastAsia="Times New Roman"/>
          <w:szCs w:val="22"/>
          <w:lang w:val="es-ES_tradnl" w:eastAsia="ko-KR"/>
        </w:rPr>
        <w:t>)</w:t>
      </w:r>
      <w:proofErr w:type="gramStart"/>
      <w:r w:rsidR="00DF3641" w:rsidRPr="003F060D">
        <w:rPr>
          <w:rFonts w:eastAsia="Times New Roman"/>
          <w:szCs w:val="22"/>
          <w:lang w:val="es-ES_tradnl" w:eastAsia="ko-KR"/>
        </w:rPr>
        <w:t xml:space="preserve">:  </w:t>
      </w:r>
      <w:r w:rsidR="002739B1" w:rsidRPr="003F060D">
        <w:rPr>
          <w:rFonts w:eastAsia="Times New Roman"/>
          <w:szCs w:val="22"/>
          <w:lang w:val="es-ES_tradnl" w:eastAsia="ko-KR"/>
        </w:rPr>
        <w:t>Algunos</w:t>
      </w:r>
      <w:proofErr w:type="gramEnd"/>
      <w:r w:rsidR="002739B1" w:rsidRPr="003F060D">
        <w:rPr>
          <w:rFonts w:eastAsia="Times New Roman"/>
          <w:szCs w:val="22"/>
          <w:lang w:val="es-ES_tradnl" w:eastAsia="ko-KR"/>
        </w:rPr>
        <w:t xml:space="preserve"> tipos de ONG, como por ejemplo las asociaciones de autores, </w:t>
      </w:r>
      <w:r w:rsidR="00D03059" w:rsidRPr="003F060D">
        <w:rPr>
          <w:rFonts w:eastAsia="Times New Roman"/>
          <w:szCs w:val="22"/>
          <w:lang w:val="es-ES_tradnl" w:eastAsia="ko-KR"/>
        </w:rPr>
        <w:t>artistas intérpretes o ejecutantes</w:t>
      </w:r>
      <w:r w:rsidR="00D03059" w:rsidRPr="003F060D">
        <w:rPr>
          <w:rFonts w:eastAsia="Times New Roman"/>
          <w:color w:val="7030A0"/>
          <w:szCs w:val="22"/>
          <w:lang w:val="es-ES_tradnl" w:eastAsia="ko-KR"/>
        </w:rPr>
        <w:t>,</w:t>
      </w:r>
      <w:r w:rsidR="002739B1" w:rsidRPr="003F060D">
        <w:rPr>
          <w:rFonts w:eastAsia="Times New Roman"/>
          <w:szCs w:val="22"/>
          <w:lang w:val="es-ES_tradnl" w:eastAsia="ko-KR"/>
        </w:rPr>
        <w:t xml:space="preserve"> inventores, cient</w:t>
      </w:r>
      <w:r w:rsidR="00D03059" w:rsidRPr="003F060D">
        <w:rPr>
          <w:rFonts w:eastAsia="Times New Roman"/>
          <w:szCs w:val="22"/>
          <w:lang w:val="es-ES_tradnl" w:eastAsia="ko-KR"/>
        </w:rPr>
        <w:t>íficos o</w:t>
      </w:r>
      <w:r w:rsidR="002739B1" w:rsidRPr="003F060D">
        <w:rPr>
          <w:rFonts w:eastAsia="Times New Roman"/>
          <w:szCs w:val="22"/>
          <w:lang w:val="es-ES_tradnl" w:eastAsia="ko-KR"/>
        </w:rPr>
        <w:t xml:space="preserve"> </w:t>
      </w:r>
      <w:r w:rsidR="00D03059" w:rsidRPr="003F060D">
        <w:rPr>
          <w:rFonts w:eastAsia="Times New Roman"/>
          <w:szCs w:val="22"/>
          <w:lang w:val="es-ES_tradnl" w:eastAsia="ko-KR"/>
        </w:rPr>
        <w:t xml:space="preserve">agrupaciones de médicos pueden involucrarse en la transmisión de </w:t>
      </w:r>
      <w:r w:rsidR="007F449C" w:rsidRPr="003F060D">
        <w:rPr>
          <w:rFonts w:eastAsia="Times New Roman"/>
          <w:szCs w:val="22"/>
          <w:lang w:val="es-ES_tradnl" w:eastAsia="ko-KR"/>
        </w:rPr>
        <w:t xml:space="preserve">determinados </w:t>
      </w:r>
      <w:r w:rsidR="00D03059" w:rsidRPr="003F060D">
        <w:rPr>
          <w:rFonts w:eastAsia="Times New Roman"/>
          <w:szCs w:val="22"/>
          <w:lang w:val="es-ES_tradnl" w:eastAsia="ko-KR"/>
        </w:rPr>
        <w:t>mensajes.</w:t>
      </w:r>
    </w:p>
    <w:p w:rsidR="00BA5D63" w:rsidRPr="003F060D" w:rsidRDefault="00BA5D63" w:rsidP="00397F9F">
      <w:pPr>
        <w:pStyle w:val="ListParagraph"/>
        <w:ind w:left="1080"/>
        <w:rPr>
          <w:rFonts w:eastAsia="Times New Roman"/>
          <w:szCs w:val="22"/>
          <w:lang w:val="es-ES_tradnl" w:eastAsia="ko-KR"/>
        </w:rPr>
      </w:pPr>
    </w:p>
    <w:p w:rsidR="00BA5D63" w:rsidRPr="003F060D" w:rsidRDefault="0017000D" w:rsidP="00397F9F">
      <w:pPr>
        <w:pStyle w:val="ListParagraph"/>
        <w:numPr>
          <w:ilvl w:val="0"/>
          <w:numId w:val="37"/>
        </w:numPr>
        <w:ind w:left="1080" w:hanging="540"/>
        <w:rPr>
          <w:rFonts w:eastAsia="Times New Roman"/>
          <w:szCs w:val="22"/>
          <w:lang w:val="es-ES_tradnl" w:eastAsia="ko-KR"/>
        </w:rPr>
      </w:pPr>
      <w:r w:rsidRPr="003F060D">
        <w:rPr>
          <w:rFonts w:eastAsia="Times New Roman"/>
          <w:szCs w:val="22"/>
          <w:lang w:val="es-ES_tradnl" w:eastAsia="ko-KR"/>
        </w:rPr>
        <w:t>Profe</w:t>
      </w:r>
      <w:r w:rsidR="00A445A9" w:rsidRPr="003F060D">
        <w:rPr>
          <w:rFonts w:eastAsia="Times New Roman"/>
          <w:szCs w:val="22"/>
          <w:lang w:val="es-ES_tradnl" w:eastAsia="ko-KR"/>
        </w:rPr>
        <w:t>sional</w:t>
      </w:r>
      <w:r w:rsidRPr="003F060D">
        <w:rPr>
          <w:rFonts w:eastAsia="Times New Roman"/>
          <w:szCs w:val="22"/>
          <w:lang w:val="es-ES_tradnl" w:eastAsia="ko-KR"/>
        </w:rPr>
        <w:t>e</w:t>
      </w:r>
      <w:r w:rsidR="00A445A9" w:rsidRPr="003F060D">
        <w:rPr>
          <w:rFonts w:eastAsia="Times New Roman"/>
          <w:szCs w:val="22"/>
          <w:lang w:val="es-ES_tradnl" w:eastAsia="ko-KR"/>
        </w:rPr>
        <w:t>s</w:t>
      </w:r>
      <w:r w:rsidRPr="003F060D">
        <w:rPr>
          <w:rFonts w:eastAsia="Times New Roman"/>
          <w:szCs w:val="22"/>
          <w:lang w:val="es-ES_tradnl" w:eastAsia="ko-KR"/>
        </w:rPr>
        <w:t xml:space="preserve"> jurídicos</w:t>
      </w:r>
      <w:proofErr w:type="gramStart"/>
      <w:r w:rsidR="00A445A9" w:rsidRPr="003F060D">
        <w:rPr>
          <w:rFonts w:eastAsia="Times New Roman"/>
          <w:szCs w:val="22"/>
          <w:lang w:val="es-ES_tradnl" w:eastAsia="ko-KR"/>
        </w:rPr>
        <w:t xml:space="preserve">:  </w:t>
      </w:r>
      <w:r w:rsidRPr="003F060D">
        <w:rPr>
          <w:rFonts w:eastAsia="Times New Roman"/>
          <w:szCs w:val="22"/>
          <w:lang w:val="es-ES_tradnl" w:eastAsia="ko-KR"/>
        </w:rPr>
        <w:t>Los</w:t>
      </w:r>
      <w:proofErr w:type="gramEnd"/>
      <w:r w:rsidRPr="003F060D">
        <w:rPr>
          <w:rFonts w:eastAsia="Times New Roman"/>
          <w:szCs w:val="22"/>
          <w:lang w:val="es-ES_tradnl" w:eastAsia="ko-KR"/>
        </w:rPr>
        <w:t xml:space="preserve"> colegios de abogados y </w:t>
      </w:r>
      <w:r w:rsidR="009D5782" w:rsidRPr="003F060D">
        <w:rPr>
          <w:rFonts w:eastAsia="Times New Roman"/>
          <w:szCs w:val="22"/>
          <w:lang w:val="es-ES_tradnl" w:eastAsia="ko-KR"/>
        </w:rPr>
        <w:t>las agrupaciones</w:t>
      </w:r>
      <w:r w:rsidRPr="003F060D">
        <w:rPr>
          <w:rFonts w:eastAsia="Times New Roman"/>
          <w:szCs w:val="22"/>
          <w:lang w:val="es-ES_tradnl" w:eastAsia="ko-KR"/>
        </w:rPr>
        <w:t xml:space="preserve"> jurídicas especializados en Derecho de la P.I. pueden desempeñar un papel destacado en la prestación de asesoramiento jurídico y asistencia jurídica</w:t>
      </w:r>
      <w:r w:rsidR="00A445A9" w:rsidRPr="003F060D">
        <w:rPr>
          <w:rFonts w:eastAsia="Times New Roman"/>
          <w:szCs w:val="22"/>
          <w:lang w:val="es-ES_tradnl" w:eastAsia="ko-KR"/>
        </w:rPr>
        <w:t>.</w:t>
      </w:r>
    </w:p>
    <w:p w:rsidR="00BA5D63" w:rsidRPr="003F060D" w:rsidRDefault="00BA5D63" w:rsidP="00574422">
      <w:pPr>
        <w:pStyle w:val="ListParagraph"/>
        <w:rPr>
          <w:rFonts w:eastAsia="Times New Roman"/>
          <w:szCs w:val="22"/>
          <w:lang w:val="es-ES_tradnl" w:eastAsia="ko-KR"/>
        </w:rPr>
      </w:pPr>
    </w:p>
    <w:p w:rsidR="00BA5D63" w:rsidRPr="003F060D" w:rsidRDefault="009D5782" w:rsidP="00397F9F">
      <w:pPr>
        <w:pStyle w:val="ListParagraph"/>
        <w:numPr>
          <w:ilvl w:val="0"/>
          <w:numId w:val="37"/>
        </w:numPr>
        <w:ind w:left="1080" w:hanging="540"/>
        <w:rPr>
          <w:rFonts w:eastAsia="Times New Roman"/>
          <w:szCs w:val="22"/>
          <w:lang w:val="es-ES_tradnl" w:eastAsia="ko-KR"/>
        </w:rPr>
      </w:pPr>
      <w:r w:rsidRPr="003F060D">
        <w:rPr>
          <w:rFonts w:eastAsia="Times New Roman"/>
          <w:szCs w:val="22"/>
          <w:lang w:val="es-ES_tradnl" w:eastAsia="ko-KR"/>
        </w:rPr>
        <w:t>Asociaciones de consumidores</w:t>
      </w:r>
      <w:proofErr w:type="gramStart"/>
      <w:r w:rsidR="00574422" w:rsidRPr="003F060D">
        <w:rPr>
          <w:rFonts w:eastAsia="Times New Roman"/>
          <w:szCs w:val="22"/>
          <w:lang w:val="es-ES_tradnl" w:eastAsia="ko-KR"/>
        </w:rPr>
        <w:t xml:space="preserve">:  </w:t>
      </w:r>
      <w:r w:rsidRPr="003F060D">
        <w:rPr>
          <w:rFonts w:eastAsia="Times New Roman"/>
          <w:szCs w:val="22"/>
          <w:lang w:val="es-ES_tradnl" w:eastAsia="ko-KR"/>
        </w:rPr>
        <w:t>Los</w:t>
      </w:r>
      <w:proofErr w:type="gramEnd"/>
      <w:r w:rsidRPr="003F060D">
        <w:rPr>
          <w:rFonts w:eastAsia="Times New Roman"/>
          <w:szCs w:val="22"/>
          <w:lang w:val="es-ES_tradnl" w:eastAsia="ko-KR"/>
        </w:rPr>
        <w:t xml:space="preserve"> consumidores son los que tienen la última palabra a la hora de elegir entre productos legítimos o ilegítimos, por lo que la implicación y la participación activas de las asociaciones de consu</w:t>
      </w:r>
      <w:r w:rsidR="00905771" w:rsidRPr="003F060D">
        <w:rPr>
          <w:rFonts w:eastAsia="Times New Roman"/>
          <w:szCs w:val="22"/>
          <w:lang w:val="es-ES_tradnl" w:eastAsia="ko-KR"/>
        </w:rPr>
        <w:t>midores en la Estrategia podría</w:t>
      </w:r>
      <w:r w:rsidRPr="003F060D">
        <w:rPr>
          <w:rFonts w:eastAsia="Times New Roman"/>
          <w:szCs w:val="22"/>
          <w:lang w:val="es-ES_tradnl" w:eastAsia="ko-KR"/>
        </w:rPr>
        <w:t xml:space="preserve"> aportar información muy valiosa acerca de las necesidades, las preocupaciones y los desafíos de los consumidores; su participación, por otra parte, aumentará la credibilidad de las campañas de sensibilización que pu</w:t>
      </w:r>
      <w:r w:rsidR="00E10A82" w:rsidRPr="003F060D">
        <w:rPr>
          <w:rFonts w:eastAsia="Times New Roman"/>
          <w:szCs w:val="22"/>
          <w:lang w:val="es-ES_tradnl" w:eastAsia="ko-KR"/>
        </w:rPr>
        <w:t>dier</w:t>
      </w:r>
      <w:r w:rsidRPr="003F060D">
        <w:rPr>
          <w:rFonts w:eastAsia="Times New Roman"/>
          <w:szCs w:val="22"/>
          <w:lang w:val="es-ES_tradnl" w:eastAsia="ko-KR"/>
        </w:rPr>
        <w:t>an realizarse</w:t>
      </w:r>
      <w:r w:rsidR="00E10A82" w:rsidRPr="003F060D">
        <w:rPr>
          <w:rFonts w:eastAsia="Times New Roman"/>
          <w:szCs w:val="22"/>
          <w:lang w:val="es-ES_tradnl" w:eastAsia="ko-KR"/>
        </w:rPr>
        <w:t>.</w:t>
      </w:r>
    </w:p>
    <w:p w:rsidR="00BA5D63" w:rsidRPr="003F060D" w:rsidRDefault="00BA5D63" w:rsidP="00A445A9">
      <w:pPr>
        <w:rPr>
          <w:szCs w:val="22"/>
          <w:lang w:val="es-ES_tradnl"/>
        </w:rPr>
      </w:pPr>
    </w:p>
    <w:p w:rsidR="00BA5D63" w:rsidRPr="003F060D" w:rsidRDefault="00AA26D5" w:rsidP="00A445A9">
      <w:pPr>
        <w:rPr>
          <w:rFonts w:eastAsia="Times New Roman"/>
          <w:szCs w:val="22"/>
          <w:lang w:val="es-ES_tradnl" w:eastAsia="ko-KR"/>
        </w:rPr>
      </w:pPr>
      <w:r w:rsidRPr="003F060D">
        <w:rPr>
          <w:rFonts w:eastAsia="Times New Roman"/>
          <w:szCs w:val="22"/>
          <w:lang w:val="es-ES_tradnl" w:eastAsia="ko-KR"/>
        </w:rPr>
        <w:fldChar w:fldCharType="begin"/>
      </w:r>
      <w:r w:rsidR="00397F9F" w:rsidRPr="003F060D">
        <w:rPr>
          <w:rFonts w:eastAsia="Times New Roman"/>
          <w:szCs w:val="22"/>
          <w:lang w:val="es-ES_tradnl" w:eastAsia="ko-KR"/>
        </w:rPr>
        <w:instrText xml:space="preserve"> AUTONUM  </w:instrText>
      </w:r>
      <w:r w:rsidRPr="003F060D">
        <w:rPr>
          <w:rFonts w:eastAsia="Times New Roman"/>
          <w:szCs w:val="22"/>
          <w:lang w:val="es-ES_tradnl" w:eastAsia="ko-KR"/>
        </w:rPr>
        <w:fldChar w:fldCharType="end"/>
      </w:r>
      <w:r w:rsidR="00397F9F" w:rsidRPr="003F060D">
        <w:rPr>
          <w:rFonts w:eastAsia="Times New Roman"/>
          <w:szCs w:val="22"/>
          <w:lang w:val="es-ES_tradnl" w:eastAsia="ko-KR"/>
        </w:rPr>
        <w:tab/>
      </w:r>
      <w:r w:rsidR="00A445A9" w:rsidRPr="003F060D">
        <w:rPr>
          <w:rFonts w:eastAsia="Times New Roman"/>
          <w:i/>
          <w:szCs w:val="22"/>
          <w:lang w:val="es-ES_tradnl" w:eastAsia="ko-KR"/>
        </w:rPr>
        <w:t>Medi</w:t>
      </w:r>
      <w:r w:rsidR="00B63048" w:rsidRPr="003F060D">
        <w:rPr>
          <w:rFonts w:eastAsia="Times New Roman"/>
          <w:i/>
          <w:szCs w:val="22"/>
          <w:lang w:val="es-ES_tradnl" w:eastAsia="ko-KR"/>
        </w:rPr>
        <w:t>os de comunicación</w:t>
      </w:r>
      <w:r w:rsidR="00397F9F" w:rsidRPr="003F060D">
        <w:rPr>
          <w:rFonts w:eastAsia="Times New Roman"/>
          <w:szCs w:val="22"/>
          <w:lang w:val="es-ES_tradnl" w:eastAsia="ko-KR"/>
        </w:rPr>
        <w:t xml:space="preserve">     </w:t>
      </w:r>
      <w:r w:rsidR="00B63048" w:rsidRPr="003F060D">
        <w:rPr>
          <w:rFonts w:eastAsia="Times New Roman"/>
          <w:szCs w:val="22"/>
          <w:lang w:val="es-ES_tradnl" w:eastAsia="ko-KR"/>
        </w:rPr>
        <w:t>Los medios de comunicación representan un vehículo excelente para llegar a grupos de personas de todos los niveles de la sociedad.  Resulta fundamental involucrar a la prensa (escrita, radio y televisión), ya que aumenta la credibilidad y ofrece una herramienta muy útil para la comunicación en masa de la Estrategia.</w:t>
      </w:r>
      <w:r w:rsidR="00102F54" w:rsidRPr="003F060D">
        <w:rPr>
          <w:rFonts w:eastAsia="Times New Roman"/>
          <w:szCs w:val="22"/>
          <w:lang w:val="es-ES_tradnl" w:eastAsia="ko-KR"/>
        </w:rPr>
        <w:t xml:space="preserve"> </w:t>
      </w:r>
    </w:p>
    <w:p w:rsidR="00BA5D63" w:rsidRPr="003F060D" w:rsidRDefault="00BA5D63" w:rsidP="00A445A9">
      <w:pPr>
        <w:rPr>
          <w:rFonts w:eastAsia="Times New Roman"/>
          <w:szCs w:val="22"/>
          <w:lang w:val="es-ES_tradnl" w:eastAsia="ko-KR"/>
        </w:rPr>
      </w:pPr>
    </w:p>
    <w:p w:rsidR="00BA5D63" w:rsidRPr="003F060D" w:rsidRDefault="00FA3DEF" w:rsidP="00A445A9">
      <w:pPr>
        <w:rPr>
          <w:rFonts w:eastAsia="Times New Roman"/>
          <w:szCs w:val="22"/>
          <w:lang w:val="es-ES_tradnl" w:eastAsia="ko-KR"/>
        </w:rPr>
      </w:pPr>
      <w:r w:rsidRPr="003F060D">
        <w:rPr>
          <w:rFonts w:eastAsia="Times New Roman"/>
          <w:szCs w:val="22"/>
          <w:lang w:val="es-ES_tradnl" w:eastAsia="ko-KR"/>
        </w:rPr>
        <w:t>C.</w:t>
      </w:r>
      <w:r w:rsidRPr="003F060D">
        <w:rPr>
          <w:rFonts w:eastAsia="Times New Roman"/>
          <w:szCs w:val="22"/>
          <w:lang w:val="es-ES_tradnl" w:eastAsia="ko-KR"/>
        </w:rPr>
        <w:tab/>
      </w:r>
      <w:r w:rsidRPr="003F060D">
        <w:rPr>
          <w:rFonts w:eastAsia="Times New Roman"/>
          <w:szCs w:val="22"/>
          <w:u w:val="single"/>
          <w:lang w:val="es-ES_tradnl" w:eastAsia="ko-KR"/>
        </w:rPr>
        <w:t>Plan</w:t>
      </w:r>
      <w:r w:rsidR="006E77FD" w:rsidRPr="003F060D">
        <w:rPr>
          <w:rFonts w:eastAsia="Times New Roman"/>
          <w:szCs w:val="22"/>
          <w:u w:val="single"/>
          <w:lang w:val="es-ES_tradnl" w:eastAsia="ko-KR"/>
        </w:rPr>
        <w:t xml:space="preserve"> de ejecución</w:t>
      </w:r>
    </w:p>
    <w:p w:rsidR="00BA5D63" w:rsidRPr="003F060D" w:rsidRDefault="00BA5D63" w:rsidP="00A445A9">
      <w:pPr>
        <w:rPr>
          <w:rFonts w:eastAsia="Times New Roman"/>
          <w:szCs w:val="22"/>
          <w:lang w:val="es-ES_tradnl" w:eastAsia="ko-KR"/>
        </w:rPr>
      </w:pPr>
    </w:p>
    <w:p w:rsidR="00BA5D63" w:rsidRPr="003F060D" w:rsidRDefault="00AA26D5" w:rsidP="00A445A9">
      <w:pPr>
        <w:rPr>
          <w:rFonts w:eastAsia="Times New Roman"/>
          <w:szCs w:val="22"/>
          <w:lang w:val="es-ES_tradnl" w:eastAsia="ko-KR"/>
        </w:rPr>
      </w:pPr>
      <w:r w:rsidRPr="003F060D">
        <w:rPr>
          <w:rFonts w:eastAsia="Times New Roman"/>
          <w:szCs w:val="22"/>
          <w:lang w:val="es-ES_tradnl" w:eastAsia="ko-KR"/>
        </w:rPr>
        <w:fldChar w:fldCharType="begin"/>
      </w:r>
      <w:r w:rsidR="00C4508F" w:rsidRPr="003F060D">
        <w:rPr>
          <w:rFonts w:eastAsia="Times New Roman"/>
          <w:szCs w:val="22"/>
          <w:lang w:val="es-ES_tradnl" w:eastAsia="ko-KR"/>
        </w:rPr>
        <w:instrText xml:space="preserve"> AUTONUM  </w:instrText>
      </w:r>
      <w:r w:rsidRPr="003F060D">
        <w:rPr>
          <w:rFonts w:eastAsia="Times New Roman"/>
          <w:szCs w:val="22"/>
          <w:lang w:val="es-ES_tradnl" w:eastAsia="ko-KR"/>
        </w:rPr>
        <w:fldChar w:fldCharType="end"/>
      </w:r>
      <w:r w:rsidR="00E04977" w:rsidRPr="003F060D">
        <w:rPr>
          <w:rFonts w:eastAsia="Times New Roman"/>
          <w:szCs w:val="22"/>
          <w:lang w:val="es-ES_tradnl" w:eastAsia="ko-KR"/>
        </w:rPr>
        <w:t xml:space="preserve"> </w:t>
      </w:r>
      <w:r w:rsidR="002B5815" w:rsidRPr="003F060D">
        <w:rPr>
          <w:rFonts w:eastAsia="Times New Roman"/>
          <w:szCs w:val="22"/>
          <w:lang w:val="es-ES_tradnl" w:eastAsia="ko-KR"/>
        </w:rPr>
        <w:tab/>
      </w:r>
      <w:r w:rsidR="00405687" w:rsidRPr="003F060D">
        <w:rPr>
          <w:rFonts w:eastAsia="Times New Roman"/>
          <w:i/>
          <w:szCs w:val="22"/>
          <w:lang w:val="es-ES_tradnl" w:eastAsia="ko-KR"/>
        </w:rPr>
        <w:t>Valoración y evaluació</w:t>
      </w:r>
      <w:r w:rsidR="00E04977" w:rsidRPr="003F060D">
        <w:rPr>
          <w:rFonts w:eastAsia="Times New Roman"/>
          <w:i/>
          <w:szCs w:val="22"/>
          <w:lang w:val="es-ES_tradnl" w:eastAsia="ko-KR"/>
        </w:rPr>
        <w:t xml:space="preserve">n  </w:t>
      </w:r>
      <w:r w:rsidR="002B5815" w:rsidRPr="003F060D">
        <w:rPr>
          <w:rFonts w:eastAsia="Times New Roman"/>
          <w:i/>
          <w:szCs w:val="22"/>
          <w:lang w:val="es-ES_tradnl" w:eastAsia="ko-KR"/>
        </w:rPr>
        <w:t xml:space="preserve">   </w:t>
      </w:r>
      <w:r w:rsidR="00405687" w:rsidRPr="003F060D">
        <w:rPr>
          <w:rFonts w:eastAsia="Times New Roman"/>
          <w:szCs w:val="22"/>
          <w:lang w:val="es-ES_tradnl" w:eastAsia="ko-KR"/>
        </w:rPr>
        <w:t xml:space="preserve">La primera </w:t>
      </w:r>
      <w:r w:rsidR="0067733E" w:rsidRPr="003F060D">
        <w:rPr>
          <w:rFonts w:eastAsia="Times New Roman"/>
          <w:szCs w:val="22"/>
          <w:lang w:val="es-ES_tradnl" w:eastAsia="ko-KR"/>
        </w:rPr>
        <w:t>etapa</w:t>
      </w:r>
      <w:r w:rsidR="00405687" w:rsidRPr="003F060D">
        <w:rPr>
          <w:rFonts w:eastAsia="Times New Roman"/>
          <w:szCs w:val="22"/>
          <w:lang w:val="es-ES_tradnl" w:eastAsia="ko-KR"/>
        </w:rPr>
        <w:t xml:space="preserve"> de</w:t>
      </w:r>
      <w:r w:rsidR="00480BAC" w:rsidRPr="003F060D">
        <w:rPr>
          <w:rFonts w:eastAsia="Times New Roman"/>
          <w:szCs w:val="22"/>
          <w:lang w:val="es-ES_tradnl" w:eastAsia="ko-KR"/>
        </w:rPr>
        <w:t xml:space="preserve"> </w:t>
      </w:r>
      <w:r w:rsidR="00405687" w:rsidRPr="003F060D">
        <w:rPr>
          <w:rFonts w:eastAsia="Times New Roman"/>
          <w:szCs w:val="22"/>
          <w:lang w:val="es-ES_tradnl" w:eastAsia="ko-KR"/>
        </w:rPr>
        <w:t>l</w:t>
      </w:r>
      <w:r w:rsidR="00480BAC" w:rsidRPr="003F060D">
        <w:rPr>
          <w:rFonts w:eastAsia="Times New Roman"/>
          <w:szCs w:val="22"/>
          <w:lang w:val="es-ES_tradnl" w:eastAsia="ko-KR"/>
        </w:rPr>
        <w:t>a</w:t>
      </w:r>
      <w:r w:rsidR="00405687" w:rsidRPr="003F060D">
        <w:rPr>
          <w:rFonts w:eastAsia="Times New Roman"/>
          <w:szCs w:val="22"/>
          <w:lang w:val="es-ES_tradnl" w:eastAsia="ko-KR"/>
        </w:rPr>
        <w:t xml:space="preserve"> </w:t>
      </w:r>
      <w:r w:rsidR="00480BAC" w:rsidRPr="003F060D">
        <w:rPr>
          <w:rFonts w:eastAsia="Times New Roman"/>
          <w:szCs w:val="22"/>
          <w:lang w:val="es-ES_tradnl" w:eastAsia="ko-KR"/>
        </w:rPr>
        <w:t>elaboración</w:t>
      </w:r>
      <w:r w:rsidR="00405687" w:rsidRPr="003F060D">
        <w:rPr>
          <w:rFonts w:eastAsia="Times New Roman"/>
          <w:szCs w:val="22"/>
          <w:lang w:val="es-ES_tradnl" w:eastAsia="ko-KR"/>
        </w:rPr>
        <w:t xml:space="preserve"> de la Estrategia consiste en evaluar el entorno actual de la P.I. en el país en cuestión, analizando en particular el grado de percepción que tienen los consumidores respecto d</w:t>
      </w:r>
      <w:r w:rsidR="00186FAA" w:rsidRPr="003F060D">
        <w:rPr>
          <w:rFonts w:eastAsia="Times New Roman"/>
          <w:szCs w:val="22"/>
          <w:lang w:val="es-ES_tradnl" w:eastAsia="ko-KR"/>
        </w:rPr>
        <w:t>e la P.I. y de las repercusiones</w:t>
      </w:r>
      <w:r w:rsidR="00405687" w:rsidRPr="003F060D">
        <w:rPr>
          <w:rFonts w:eastAsia="Times New Roman"/>
          <w:szCs w:val="22"/>
          <w:lang w:val="es-ES_tradnl" w:eastAsia="ko-KR"/>
        </w:rPr>
        <w:t xml:space="preserve"> jurídicas y sociales que se derivan de las infracciones de la P.I.  En esta </w:t>
      </w:r>
      <w:r w:rsidR="0067733E" w:rsidRPr="003F060D">
        <w:rPr>
          <w:rFonts w:eastAsia="Times New Roman"/>
          <w:szCs w:val="22"/>
          <w:lang w:val="es-ES_tradnl" w:eastAsia="ko-KR"/>
        </w:rPr>
        <w:t>etapa</w:t>
      </w:r>
      <w:r w:rsidR="00405687" w:rsidRPr="003F060D">
        <w:rPr>
          <w:rFonts w:eastAsia="Times New Roman"/>
          <w:szCs w:val="22"/>
          <w:lang w:val="es-ES_tradnl" w:eastAsia="ko-KR"/>
        </w:rPr>
        <w:t xml:space="preserve"> se incluiría una evaluación de las distintas actividades de sensibilización realizadas a nivel nacional, analizando </w:t>
      </w:r>
      <w:r w:rsidR="00405687" w:rsidRPr="003F060D">
        <w:rPr>
          <w:rFonts w:eastAsia="Times New Roman"/>
          <w:szCs w:val="22"/>
          <w:lang w:val="es-ES_tradnl" w:eastAsia="ko-KR"/>
        </w:rPr>
        <w:lastRenderedPageBreak/>
        <w:t xml:space="preserve">los logros obtenidos y los desafíos conexos.  Esta </w:t>
      </w:r>
      <w:r w:rsidR="0067733E" w:rsidRPr="003F060D">
        <w:rPr>
          <w:rFonts w:eastAsia="Times New Roman"/>
          <w:szCs w:val="22"/>
          <w:lang w:val="es-ES_tradnl" w:eastAsia="ko-KR"/>
        </w:rPr>
        <w:t>etapa</w:t>
      </w:r>
      <w:r w:rsidR="00405687" w:rsidRPr="003F060D">
        <w:rPr>
          <w:rFonts w:eastAsia="Times New Roman"/>
          <w:szCs w:val="22"/>
          <w:lang w:val="es-ES_tradnl" w:eastAsia="ko-KR"/>
        </w:rPr>
        <w:t xml:space="preserve"> se puede llevar a cabo mediante encuestas a los consumidores, reuniones de </w:t>
      </w:r>
      <w:r w:rsidR="00BF0A7F" w:rsidRPr="003F060D">
        <w:rPr>
          <w:rFonts w:eastAsia="Times New Roman"/>
          <w:szCs w:val="22"/>
          <w:lang w:val="es-ES_tradnl" w:eastAsia="ko-KR"/>
        </w:rPr>
        <w:t>grupos de debate y cuestionarios a los agentes clave.</w:t>
      </w:r>
    </w:p>
    <w:p w:rsidR="00BA5D63" w:rsidRPr="003F060D" w:rsidRDefault="00BA5D63" w:rsidP="00A445A9">
      <w:pPr>
        <w:rPr>
          <w:rFonts w:eastAsia="Times New Roman"/>
          <w:szCs w:val="22"/>
          <w:lang w:val="es-ES_tradnl" w:eastAsia="ko-KR"/>
        </w:rPr>
      </w:pPr>
    </w:p>
    <w:p w:rsidR="00BA5D63" w:rsidRPr="003F060D" w:rsidRDefault="00AA26D5" w:rsidP="00A363D8">
      <w:pPr>
        <w:rPr>
          <w:rFonts w:eastAsia="Times New Roman"/>
          <w:szCs w:val="22"/>
          <w:lang w:val="es-ES_tradnl" w:eastAsia="ko-KR"/>
        </w:rPr>
      </w:pPr>
      <w:r w:rsidRPr="003F060D">
        <w:rPr>
          <w:rFonts w:eastAsia="Times New Roman"/>
          <w:szCs w:val="22"/>
          <w:lang w:val="es-ES_tradnl" w:eastAsia="ko-KR"/>
        </w:rPr>
        <w:fldChar w:fldCharType="begin"/>
      </w:r>
      <w:r w:rsidR="00A363D8" w:rsidRPr="003F060D">
        <w:rPr>
          <w:rFonts w:eastAsia="Times New Roman"/>
          <w:szCs w:val="22"/>
          <w:lang w:val="es-ES_tradnl" w:eastAsia="ko-KR"/>
        </w:rPr>
        <w:instrText xml:space="preserve"> AUTONUM  </w:instrText>
      </w:r>
      <w:r w:rsidRPr="003F060D">
        <w:rPr>
          <w:rFonts w:eastAsia="Times New Roman"/>
          <w:szCs w:val="22"/>
          <w:lang w:val="es-ES_tradnl" w:eastAsia="ko-KR"/>
        </w:rPr>
        <w:fldChar w:fldCharType="end"/>
      </w:r>
      <w:r w:rsidR="00A363D8" w:rsidRPr="003F060D">
        <w:rPr>
          <w:rFonts w:eastAsia="Times New Roman"/>
          <w:szCs w:val="22"/>
          <w:lang w:val="es-ES_tradnl" w:eastAsia="ko-KR"/>
        </w:rPr>
        <w:tab/>
      </w:r>
      <w:r w:rsidR="00741FA3" w:rsidRPr="003F060D">
        <w:rPr>
          <w:rFonts w:eastAsia="Times New Roman"/>
          <w:i/>
          <w:szCs w:val="22"/>
          <w:lang w:val="es-ES_tradnl" w:eastAsia="ko-KR"/>
        </w:rPr>
        <w:t>Establecimiento de objetivos</w:t>
      </w:r>
      <w:r w:rsidR="00A363D8" w:rsidRPr="003F060D">
        <w:rPr>
          <w:rFonts w:eastAsia="Times New Roman"/>
          <w:szCs w:val="22"/>
          <w:lang w:val="es-ES_tradnl" w:eastAsia="ko-KR"/>
        </w:rPr>
        <w:t xml:space="preserve">     </w:t>
      </w:r>
      <w:r w:rsidR="00741FA3" w:rsidRPr="003F060D">
        <w:rPr>
          <w:rFonts w:eastAsia="Times New Roman"/>
          <w:szCs w:val="22"/>
          <w:lang w:val="es-ES_tradnl" w:eastAsia="ko-KR"/>
        </w:rPr>
        <w:t>Una vez valorado y evaluado el entorno en el context</w:t>
      </w:r>
      <w:r w:rsidR="00CE2EBC" w:rsidRPr="003F060D">
        <w:rPr>
          <w:rFonts w:eastAsia="Times New Roman"/>
          <w:szCs w:val="22"/>
          <w:lang w:val="es-ES_tradnl" w:eastAsia="ko-KR"/>
        </w:rPr>
        <w:t>o</w:t>
      </w:r>
      <w:r w:rsidR="00741FA3" w:rsidRPr="003F060D">
        <w:rPr>
          <w:rFonts w:eastAsia="Times New Roman"/>
          <w:szCs w:val="22"/>
          <w:lang w:val="es-ES_tradnl" w:eastAsia="ko-KR"/>
        </w:rPr>
        <w:t xml:space="preserve"> del respeto por la P.I., se debe establecer cuáles son los objetivos de la Estrategia.  En este sentido, es importante identificar los comportamientos específicos que se desean modificar mediante la Estrategia (por ejemplo, reducir las descargas ilegales de películas).  Aun cuando la educación puede llegar a desempeñar una función importante en cuanto a modificar el comportamiento del público destinatario</w:t>
      </w:r>
      <w:r w:rsidR="0063087F" w:rsidRPr="003F060D">
        <w:rPr>
          <w:rFonts w:eastAsia="Times New Roman"/>
          <w:szCs w:val="22"/>
          <w:lang w:val="es-ES_tradnl" w:eastAsia="ko-KR"/>
        </w:rPr>
        <w:t xml:space="preserve">, </w:t>
      </w:r>
      <w:r w:rsidR="00013E1E" w:rsidRPr="003F060D">
        <w:rPr>
          <w:rFonts w:eastAsia="Times New Roman"/>
          <w:szCs w:val="22"/>
          <w:lang w:val="es-ES_tradnl" w:eastAsia="ko-KR"/>
        </w:rPr>
        <w:t>la educación en s</w:t>
      </w:r>
      <w:r w:rsidR="0063087F" w:rsidRPr="003F060D">
        <w:rPr>
          <w:rFonts w:eastAsia="Times New Roman"/>
          <w:szCs w:val="22"/>
          <w:lang w:val="es-ES_tradnl" w:eastAsia="ko-KR"/>
        </w:rPr>
        <w:t xml:space="preserve">í no puede ser el objetivo </w:t>
      </w:r>
      <w:r w:rsidR="00013E1E" w:rsidRPr="003F060D">
        <w:rPr>
          <w:rFonts w:eastAsia="Times New Roman"/>
          <w:szCs w:val="22"/>
          <w:lang w:val="es-ES_tradnl" w:eastAsia="ko-KR"/>
        </w:rPr>
        <w:t>final de la Estrategia.</w:t>
      </w:r>
    </w:p>
    <w:p w:rsidR="00BA5D63" w:rsidRPr="003F060D" w:rsidRDefault="00BA5D63" w:rsidP="00A445A9">
      <w:pPr>
        <w:rPr>
          <w:rFonts w:eastAsia="Times New Roman"/>
          <w:szCs w:val="22"/>
          <w:lang w:val="es-ES_tradnl" w:eastAsia="ko-KR"/>
        </w:rPr>
      </w:pPr>
    </w:p>
    <w:p w:rsidR="00BA5D63" w:rsidRPr="003F060D" w:rsidRDefault="00AA26D5" w:rsidP="002B72AA">
      <w:pPr>
        <w:tabs>
          <w:tab w:val="left" w:pos="426"/>
        </w:tabs>
        <w:rPr>
          <w:rFonts w:eastAsia="Times New Roman"/>
          <w:szCs w:val="22"/>
          <w:lang w:val="es-ES_tradnl" w:eastAsia="ko-KR"/>
        </w:rPr>
      </w:pPr>
      <w:r w:rsidRPr="003F060D">
        <w:rPr>
          <w:rFonts w:eastAsia="Times New Roman"/>
          <w:szCs w:val="22"/>
          <w:lang w:val="es-ES_tradnl" w:eastAsia="ko-KR"/>
        </w:rPr>
        <w:fldChar w:fldCharType="begin"/>
      </w:r>
      <w:r w:rsidR="0023408E" w:rsidRPr="003F060D">
        <w:rPr>
          <w:rFonts w:eastAsia="Times New Roman"/>
          <w:szCs w:val="22"/>
          <w:lang w:val="es-ES_tradnl" w:eastAsia="ko-KR"/>
        </w:rPr>
        <w:instrText xml:space="preserve"> AUTONUM  </w:instrText>
      </w:r>
      <w:r w:rsidRPr="003F060D">
        <w:rPr>
          <w:rFonts w:eastAsia="Times New Roman"/>
          <w:szCs w:val="22"/>
          <w:lang w:val="es-ES_tradnl" w:eastAsia="ko-KR"/>
        </w:rPr>
        <w:fldChar w:fldCharType="end"/>
      </w:r>
      <w:r w:rsidR="0023408E" w:rsidRPr="003F060D">
        <w:rPr>
          <w:rFonts w:eastAsia="Times New Roman"/>
          <w:szCs w:val="22"/>
          <w:lang w:val="es-ES_tradnl" w:eastAsia="ko-KR"/>
        </w:rPr>
        <w:tab/>
      </w:r>
      <w:r w:rsidR="008B5608" w:rsidRPr="003F060D">
        <w:rPr>
          <w:rFonts w:eastAsia="Times New Roman"/>
          <w:szCs w:val="22"/>
          <w:lang w:val="es-ES_tradnl" w:eastAsia="ko-KR"/>
        </w:rPr>
        <w:tab/>
      </w:r>
      <w:r w:rsidR="0063087F" w:rsidRPr="003F060D">
        <w:rPr>
          <w:rFonts w:eastAsia="Times New Roman"/>
          <w:i/>
          <w:szCs w:val="22"/>
          <w:lang w:val="es-ES_tradnl" w:eastAsia="ko-KR"/>
        </w:rPr>
        <w:t>E</w:t>
      </w:r>
      <w:r w:rsidR="0067733E" w:rsidRPr="003F060D">
        <w:rPr>
          <w:rFonts w:eastAsia="Times New Roman"/>
          <w:i/>
          <w:szCs w:val="22"/>
          <w:lang w:val="es-ES_tradnl" w:eastAsia="ko-KR"/>
        </w:rPr>
        <w:t>stablecimiento</w:t>
      </w:r>
      <w:r w:rsidR="0063087F" w:rsidRPr="003F060D">
        <w:rPr>
          <w:rFonts w:eastAsia="Times New Roman"/>
          <w:i/>
          <w:szCs w:val="22"/>
          <w:lang w:val="es-ES_tradnl" w:eastAsia="ko-KR"/>
        </w:rPr>
        <w:t xml:space="preserve"> </w:t>
      </w:r>
      <w:r w:rsidR="0067733E" w:rsidRPr="003F060D">
        <w:rPr>
          <w:rFonts w:eastAsia="Times New Roman"/>
          <w:i/>
          <w:szCs w:val="22"/>
          <w:lang w:val="es-ES_tradnl" w:eastAsia="ko-KR"/>
        </w:rPr>
        <w:t xml:space="preserve">de </w:t>
      </w:r>
      <w:r w:rsidR="0063087F" w:rsidRPr="003F060D">
        <w:rPr>
          <w:rFonts w:eastAsia="Times New Roman"/>
          <w:i/>
          <w:szCs w:val="22"/>
          <w:lang w:val="es-ES_tradnl" w:eastAsia="ko-KR"/>
        </w:rPr>
        <w:t>los grupos objetivos</w:t>
      </w:r>
      <w:r w:rsidR="0023408E" w:rsidRPr="003F060D">
        <w:rPr>
          <w:rFonts w:eastAsia="Times New Roman"/>
          <w:szCs w:val="22"/>
          <w:lang w:val="es-ES_tradnl" w:eastAsia="ko-KR"/>
        </w:rPr>
        <w:t xml:space="preserve">     </w:t>
      </w:r>
      <w:r w:rsidR="00B16E42" w:rsidRPr="003F060D">
        <w:rPr>
          <w:rFonts w:eastAsia="Times New Roman"/>
          <w:szCs w:val="22"/>
          <w:lang w:val="es-ES_tradnl" w:eastAsia="ko-KR"/>
        </w:rPr>
        <w:t xml:space="preserve">Entre los grupos objetivos clave identificados por varios Estados miembros de la OMPI que han llevado a cabo estrategias </w:t>
      </w:r>
      <w:r w:rsidR="00B16E42" w:rsidRPr="003F060D">
        <w:rPr>
          <w:szCs w:val="22"/>
          <w:lang w:val="es-ES_tradnl"/>
        </w:rPr>
        <w:t xml:space="preserve">de sensibilización para fomentar el respeto por la P.I. se incluyen los </w:t>
      </w:r>
      <w:r w:rsidR="00B11E10" w:rsidRPr="003F060D">
        <w:rPr>
          <w:szCs w:val="22"/>
          <w:lang w:val="es-ES_tradnl"/>
        </w:rPr>
        <w:t>encargados de la formulación de políticas</w:t>
      </w:r>
      <w:r w:rsidR="00B16E42" w:rsidRPr="003F060D">
        <w:rPr>
          <w:szCs w:val="22"/>
          <w:lang w:val="es-ES_tradnl"/>
        </w:rPr>
        <w:t xml:space="preserve">, el público en general, </w:t>
      </w:r>
      <w:r w:rsidR="008D3545" w:rsidRPr="003F060D">
        <w:rPr>
          <w:szCs w:val="22"/>
          <w:lang w:val="es-ES_tradnl"/>
        </w:rPr>
        <w:t xml:space="preserve">los </w:t>
      </w:r>
      <w:r w:rsidR="00B16E42" w:rsidRPr="003F060D">
        <w:rPr>
          <w:szCs w:val="22"/>
          <w:lang w:val="es-ES_tradnl"/>
        </w:rPr>
        <w:t>grupos de jóvenes, los funcionarios enc</w:t>
      </w:r>
      <w:r w:rsidR="00B11E10" w:rsidRPr="003F060D">
        <w:rPr>
          <w:szCs w:val="22"/>
          <w:lang w:val="es-ES_tradnl"/>
        </w:rPr>
        <w:t>argados de</w:t>
      </w:r>
      <w:r w:rsidR="00B16E42" w:rsidRPr="003F060D">
        <w:rPr>
          <w:szCs w:val="22"/>
          <w:lang w:val="es-ES_tradnl"/>
        </w:rPr>
        <w:t xml:space="preserve"> </w:t>
      </w:r>
      <w:r w:rsidR="00B11E10" w:rsidRPr="003F060D">
        <w:rPr>
          <w:szCs w:val="22"/>
          <w:lang w:val="es-ES_tradnl"/>
        </w:rPr>
        <w:t xml:space="preserve">hacer </w:t>
      </w:r>
      <w:r w:rsidR="00B16E42" w:rsidRPr="003F060D">
        <w:rPr>
          <w:szCs w:val="22"/>
          <w:lang w:val="es-ES_tradnl"/>
        </w:rPr>
        <w:t>cum</w:t>
      </w:r>
      <w:r w:rsidR="00B11E10" w:rsidRPr="003F060D">
        <w:rPr>
          <w:szCs w:val="22"/>
          <w:lang w:val="es-ES_tradnl"/>
        </w:rPr>
        <w:t>plir</w:t>
      </w:r>
      <w:r w:rsidR="00B16E42" w:rsidRPr="003F060D">
        <w:rPr>
          <w:szCs w:val="22"/>
          <w:lang w:val="es-ES_tradnl"/>
        </w:rPr>
        <w:t xml:space="preserve"> la </w:t>
      </w:r>
      <w:r w:rsidR="00B11E10" w:rsidRPr="003F060D">
        <w:rPr>
          <w:szCs w:val="22"/>
          <w:lang w:val="es-ES_tradnl"/>
        </w:rPr>
        <w:t>L</w:t>
      </w:r>
      <w:r w:rsidR="00B16E42" w:rsidRPr="003F060D">
        <w:rPr>
          <w:szCs w:val="22"/>
          <w:lang w:val="es-ES_tradnl"/>
        </w:rPr>
        <w:t xml:space="preserve">ey, </w:t>
      </w:r>
      <w:r w:rsidR="00DC380A" w:rsidRPr="003F060D">
        <w:rPr>
          <w:szCs w:val="22"/>
          <w:lang w:val="es-ES_tradnl"/>
        </w:rPr>
        <w:t xml:space="preserve">las instituciones académicas y los centros de </w:t>
      </w:r>
      <w:r w:rsidR="00583559" w:rsidRPr="003F060D">
        <w:rPr>
          <w:szCs w:val="22"/>
          <w:lang w:val="es-ES_tradnl"/>
        </w:rPr>
        <w:t>I+D</w:t>
      </w:r>
      <w:r w:rsidR="00DC380A" w:rsidRPr="003F060D">
        <w:rPr>
          <w:szCs w:val="22"/>
          <w:lang w:val="es-ES_tradnl"/>
        </w:rPr>
        <w:t xml:space="preserve">, el sector privado y los medios de comunicación.  </w:t>
      </w:r>
      <w:r w:rsidR="00B11E10" w:rsidRPr="003F060D">
        <w:rPr>
          <w:szCs w:val="22"/>
          <w:lang w:val="es-ES_tradnl"/>
        </w:rPr>
        <w:t>Los grupos objetivos y los agentes clave tienen a menudo funciones comunes y que dependen la</w:t>
      </w:r>
      <w:r w:rsidR="009D6517" w:rsidRPr="003F060D">
        <w:rPr>
          <w:szCs w:val="22"/>
          <w:lang w:val="es-ES_tradnl"/>
        </w:rPr>
        <w:t>s</w:t>
      </w:r>
      <w:r w:rsidR="00B11E10" w:rsidRPr="003F060D">
        <w:rPr>
          <w:szCs w:val="22"/>
          <w:lang w:val="es-ES_tradnl"/>
        </w:rPr>
        <w:t xml:space="preserve"> una</w:t>
      </w:r>
      <w:r w:rsidR="009D6517" w:rsidRPr="003F060D">
        <w:rPr>
          <w:szCs w:val="22"/>
          <w:lang w:val="es-ES_tradnl"/>
        </w:rPr>
        <w:t>s</w:t>
      </w:r>
      <w:r w:rsidR="00B11E10" w:rsidRPr="003F060D">
        <w:rPr>
          <w:szCs w:val="22"/>
          <w:lang w:val="es-ES_tradnl"/>
        </w:rPr>
        <w:t xml:space="preserve"> de la</w:t>
      </w:r>
      <w:r w:rsidR="009D6517" w:rsidRPr="003F060D">
        <w:rPr>
          <w:szCs w:val="22"/>
          <w:lang w:val="es-ES_tradnl"/>
        </w:rPr>
        <w:t>s</w:t>
      </w:r>
      <w:r w:rsidR="00B11E10" w:rsidRPr="003F060D">
        <w:rPr>
          <w:szCs w:val="22"/>
          <w:lang w:val="es-ES_tradnl"/>
        </w:rPr>
        <w:t xml:space="preserve"> otra</w:t>
      </w:r>
      <w:r w:rsidR="009D6517" w:rsidRPr="003F060D">
        <w:rPr>
          <w:szCs w:val="22"/>
          <w:lang w:val="es-ES_tradnl"/>
        </w:rPr>
        <w:t>s</w:t>
      </w:r>
      <w:r w:rsidR="00B11E10" w:rsidRPr="003F060D">
        <w:rPr>
          <w:szCs w:val="22"/>
          <w:lang w:val="es-ES_tradnl"/>
        </w:rPr>
        <w:t xml:space="preserve">, puesto que la participación activa de </w:t>
      </w:r>
      <w:r w:rsidR="009D6517" w:rsidRPr="003F060D">
        <w:rPr>
          <w:szCs w:val="22"/>
          <w:lang w:val="es-ES_tradnl"/>
        </w:rPr>
        <w:t>los sectores interesados individuales y colectivos resulta fundamental para el éxito de toda iniciativa de sensibilización.</w:t>
      </w:r>
    </w:p>
    <w:p w:rsidR="00BA5D63" w:rsidRPr="003F060D" w:rsidRDefault="00BA5D63" w:rsidP="00A445A9">
      <w:pPr>
        <w:rPr>
          <w:rFonts w:eastAsia="Times New Roman"/>
          <w:szCs w:val="22"/>
          <w:lang w:val="es-ES_tradnl" w:eastAsia="ko-KR"/>
        </w:rPr>
      </w:pPr>
    </w:p>
    <w:p w:rsidR="00BA5D63" w:rsidRPr="003F060D" w:rsidRDefault="00AA26D5" w:rsidP="00A445A9">
      <w:pPr>
        <w:rPr>
          <w:rFonts w:eastAsia="Times New Roman"/>
          <w:i/>
          <w:szCs w:val="22"/>
          <w:lang w:val="es-ES_tradnl" w:eastAsia="ko-KR"/>
        </w:rPr>
      </w:pPr>
      <w:r w:rsidRPr="003F060D">
        <w:rPr>
          <w:rFonts w:eastAsia="Times New Roman"/>
          <w:szCs w:val="22"/>
          <w:lang w:val="es-ES_tradnl" w:eastAsia="ko-KR"/>
        </w:rPr>
        <w:fldChar w:fldCharType="begin"/>
      </w:r>
      <w:r w:rsidR="00014CE4" w:rsidRPr="003F060D">
        <w:rPr>
          <w:rFonts w:eastAsia="Times New Roman"/>
          <w:szCs w:val="22"/>
          <w:lang w:val="es-ES_tradnl" w:eastAsia="ko-KR"/>
        </w:rPr>
        <w:instrText xml:space="preserve"> AUTONUM  </w:instrText>
      </w:r>
      <w:r w:rsidRPr="003F060D">
        <w:rPr>
          <w:rFonts w:eastAsia="Times New Roman"/>
          <w:szCs w:val="22"/>
          <w:lang w:val="es-ES_tradnl" w:eastAsia="ko-KR"/>
        </w:rPr>
        <w:fldChar w:fldCharType="end"/>
      </w:r>
      <w:r w:rsidR="00014CE4" w:rsidRPr="003F060D">
        <w:rPr>
          <w:rFonts w:eastAsia="Times New Roman"/>
          <w:szCs w:val="22"/>
          <w:lang w:val="es-ES_tradnl" w:eastAsia="ko-KR"/>
        </w:rPr>
        <w:tab/>
      </w:r>
      <w:r w:rsidR="0067733E" w:rsidRPr="003F060D">
        <w:rPr>
          <w:rFonts w:eastAsia="Times New Roman"/>
          <w:i/>
          <w:szCs w:val="22"/>
          <w:lang w:val="es-ES_tradnl" w:eastAsia="ko-KR"/>
        </w:rPr>
        <w:t>Establecimiento de la duració</w:t>
      </w:r>
      <w:r w:rsidR="00423E9E" w:rsidRPr="003F060D">
        <w:rPr>
          <w:rFonts w:eastAsia="Times New Roman"/>
          <w:i/>
          <w:szCs w:val="22"/>
          <w:lang w:val="es-ES_tradnl" w:eastAsia="ko-KR"/>
        </w:rPr>
        <w:t xml:space="preserve">n     </w:t>
      </w:r>
      <w:r w:rsidR="0067733E" w:rsidRPr="003F060D">
        <w:rPr>
          <w:rFonts w:eastAsia="Times New Roman"/>
          <w:szCs w:val="22"/>
          <w:lang w:val="es-ES_tradnl" w:eastAsia="ko-KR"/>
        </w:rPr>
        <w:t>Debe establecerse una duración de la Estrategia dividida por etapas y estableciendo con claridad cuáles son los objetivos, los grupos objetivos y las actividades.</w:t>
      </w:r>
    </w:p>
    <w:p w:rsidR="00BA5D63" w:rsidRPr="003F060D" w:rsidRDefault="00BA5D63" w:rsidP="00A445A9">
      <w:pPr>
        <w:rPr>
          <w:rFonts w:eastAsia="Times New Roman"/>
          <w:szCs w:val="22"/>
          <w:lang w:val="es-ES_tradnl" w:eastAsia="ko-KR"/>
        </w:rPr>
      </w:pPr>
    </w:p>
    <w:p w:rsidR="00BA5D63" w:rsidRPr="003F060D" w:rsidRDefault="00AA26D5" w:rsidP="00A445A9">
      <w:pPr>
        <w:rPr>
          <w:rFonts w:eastAsia="Times New Roman"/>
          <w:szCs w:val="22"/>
          <w:lang w:val="es-ES_tradnl" w:eastAsia="ko-KR"/>
        </w:rPr>
      </w:pPr>
      <w:r w:rsidRPr="003F060D">
        <w:rPr>
          <w:rFonts w:eastAsia="Times New Roman"/>
          <w:szCs w:val="22"/>
          <w:lang w:val="es-ES_tradnl" w:eastAsia="ko-KR"/>
        </w:rPr>
        <w:fldChar w:fldCharType="begin"/>
      </w:r>
      <w:r w:rsidR="00D728A6" w:rsidRPr="003F060D">
        <w:rPr>
          <w:rFonts w:eastAsia="Times New Roman"/>
          <w:szCs w:val="22"/>
          <w:lang w:val="es-ES_tradnl" w:eastAsia="ko-KR"/>
        </w:rPr>
        <w:instrText xml:space="preserve"> AUTONUM  </w:instrText>
      </w:r>
      <w:r w:rsidRPr="003F060D">
        <w:rPr>
          <w:rFonts w:eastAsia="Times New Roman"/>
          <w:szCs w:val="22"/>
          <w:lang w:val="es-ES_tradnl" w:eastAsia="ko-KR"/>
        </w:rPr>
        <w:fldChar w:fldCharType="end"/>
      </w:r>
      <w:r w:rsidR="00D728A6" w:rsidRPr="003F060D">
        <w:rPr>
          <w:rFonts w:eastAsia="Times New Roman"/>
          <w:szCs w:val="22"/>
          <w:lang w:val="es-ES_tradnl" w:eastAsia="ko-KR"/>
        </w:rPr>
        <w:tab/>
      </w:r>
      <w:r w:rsidR="00166EB1" w:rsidRPr="003F060D">
        <w:rPr>
          <w:rFonts w:eastAsia="Times New Roman"/>
          <w:i/>
          <w:szCs w:val="22"/>
          <w:lang w:val="es-ES_tradnl" w:eastAsia="ko-KR"/>
        </w:rPr>
        <w:t>Objetivo</w:t>
      </w:r>
      <w:r w:rsidR="00423E9E" w:rsidRPr="003F060D">
        <w:rPr>
          <w:rFonts w:eastAsia="Times New Roman"/>
          <w:i/>
          <w:szCs w:val="22"/>
          <w:lang w:val="es-ES_tradnl" w:eastAsia="ko-KR"/>
        </w:rPr>
        <w:t xml:space="preserve">s </w:t>
      </w:r>
      <w:r w:rsidR="00166EB1" w:rsidRPr="003F060D">
        <w:rPr>
          <w:rFonts w:eastAsia="Times New Roman"/>
          <w:i/>
          <w:szCs w:val="22"/>
          <w:lang w:val="es-ES_tradnl" w:eastAsia="ko-KR"/>
        </w:rPr>
        <w:t>y actividad</w:t>
      </w:r>
      <w:r w:rsidR="00423E9E" w:rsidRPr="003F060D">
        <w:rPr>
          <w:rFonts w:eastAsia="Times New Roman"/>
          <w:i/>
          <w:szCs w:val="22"/>
          <w:lang w:val="es-ES_tradnl" w:eastAsia="ko-KR"/>
        </w:rPr>
        <w:t>es</w:t>
      </w:r>
      <w:r w:rsidR="00166EB1" w:rsidRPr="003F060D">
        <w:rPr>
          <w:rFonts w:eastAsia="Times New Roman"/>
          <w:i/>
          <w:szCs w:val="22"/>
          <w:lang w:val="es-ES_tradnl" w:eastAsia="ko-KR"/>
        </w:rPr>
        <w:t xml:space="preserve"> propuestas</w:t>
      </w:r>
      <w:r w:rsidR="00423E9E" w:rsidRPr="003F060D">
        <w:rPr>
          <w:rFonts w:eastAsia="Times New Roman"/>
          <w:szCs w:val="22"/>
          <w:lang w:val="es-ES_tradnl" w:eastAsia="ko-KR"/>
        </w:rPr>
        <w:t xml:space="preserve">     </w:t>
      </w:r>
      <w:r w:rsidR="00166EB1" w:rsidRPr="003F060D">
        <w:rPr>
          <w:rFonts w:eastAsia="Times New Roman"/>
          <w:szCs w:val="22"/>
          <w:lang w:val="es-ES_tradnl" w:eastAsia="ko-KR"/>
        </w:rPr>
        <w:t>Existen diversas actividades de sensibilización</w:t>
      </w:r>
      <w:r w:rsidR="006F1D8A" w:rsidRPr="003F060D">
        <w:rPr>
          <w:rFonts w:eastAsia="Times New Roman"/>
          <w:szCs w:val="22"/>
          <w:lang w:val="es-ES_tradnl" w:eastAsia="ko-KR"/>
        </w:rPr>
        <w:t xml:space="preserve"> relativas al fomento</w:t>
      </w:r>
      <w:r w:rsidR="00166EB1" w:rsidRPr="003F060D">
        <w:rPr>
          <w:rFonts w:eastAsia="Times New Roman"/>
          <w:szCs w:val="22"/>
          <w:lang w:val="es-ES_tradnl" w:eastAsia="ko-KR"/>
        </w:rPr>
        <w:t xml:space="preserve"> </w:t>
      </w:r>
      <w:r w:rsidR="006F1D8A" w:rsidRPr="003F060D">
        <w:rPr>
          <w:rFonts w:eastAsia="Times New Roman"/>
          <w:szCs w:val="22"/>
          <w:lang w:val="es-ES_tradnl" w:eastAsia="ko-KR"/>
        </w:rPr>
        <w:t>d</w:t>
      </w:r>
      <w:r w:rsidR="00166EB1" w:rsidRPr="003F060D">
        <w:rPr>
          <w:rFonts w:eastAsia="Times New Roman"/>
          <w:szCs w:val="22"/>
          <w:lang w:val="es-ES_tradnl" w:eastAsia="ko-KR"/>
        </w:rPr>
        <w:t xml:space="preserve">el respeto </w:t>
      </w:r>
      <w:r w:rsidR="006F1D8A" w:rsidRPr="003F060D">
        <w:rPr>
          <w:rFonts w:eastAsia="Times New Roman"/>
          <w:szCs w:val="22"/>
          <w:lang w:val="es-ES_tradnl" w:eastAsia="ko-KR"/>
        </w:rPr>
        <w:t>por la P.I. que se pueden llevar a cabo y adaptar en función de los objetivos que se persigan</w:t>
      </w:r>
      <w:r w:rsidR="00BA7889" w:rsidRPr="003F060D">
        <w:rPr>
          <w:rFonts w:eastAsia="Times New Roman"/>
          <w:szCs w:val="22"/>
          <w:lang w:val="es-ES_tradnl" w:eastAsia="ko-KR"/>
        </w:rPr>
        <w:t>.</w:t>
      </w:r>
      <w:r w:rsidR="00BC787C" w:rsidRPr="003F060D">
        <w:rPr>
          <w:rStyle w:val="FootnoteReference"/>
          <w:rFonts w:eastAsia="Times New Roman"/>
          <w:szCs w:val="22"/>
          <w:lang w:val="es-ES_tradnl" w:eastAsia="ko-KR"/>
        </w:rPr>
        <w:footnoteReference w:id="14"/>
      </w:r>
      <w:r w:rsidR="00575C32" w:rsidRPr="003F060D">
        <w:rPr>
          <w:rFonts w:eastAsia="Times New Roman"/>
          <w:szCs w:val="22"/>
          <w:lang w:val="es-ES_tradnl" w:eastAsia="ko-KR"/>
        </w:rPr>
        <w:t xml:space="preserve">  </w:t>
      </w:r>
      <w:r w:rsidR="00DD37BD" w:rsidRPr="003F060D">
        <w:rPr>
          <w:rFonts w:eastAsia="Times New Roman"/>
          <w:szCs w:val="22"/>
          <w:lang w:val="es-ES_tradnl" w:eastAsia="ko-KR"/>
        </w:rPr>
        <w:t>El mensaje de cada actividad puede variar, y puede tratar sobre</w:t>
      </w:r>
      <w:proofErr w:type="gramStart"/>
      <w:r w:rsidR="00575C32" w:rsidRPr="003F060D">
        <w:rPr>
          <w:rFonts w:eastAsia="Times New Roman"/>
          <w:szCs w:val="22"/>
          <w:lang w:val="es-ES_tradnl" w:eastAsia="ko-KR"/>
        </w:rPr>
        <w:t xml:space="preserve">:  </w:t>
      </w:r>
      <w:r w:rsidR="00A664BC" w:rsidRPr="003F060D">
        <w:rPr>
          <w:rFonts w:eastAsia="Times New Roman"/>
          <w:szCs w:val="22"/>
          <w:lang w:val="es-ES_tradnl" w:eastAsia="ko-KR"/>
        </w:rPr>
        <w:t>la</w:t>
      </w:r>
      <w:proofErr w:type="gramEnd"/>
      <w:r w:rsidR="00A664BC" w:rsidRPr="003F060D">
        <w:rPr>
          <w:rFonts w:eastAsia="Times New Roman"/>
          <w:szCs w:val="22"/>
          <w:lang w:val="es-ES_tradnl" w:eastAsia="ko-KR"/>
        </w:rPr>
        <w:t xml:space="preserve"> </w:t>
      </w:r>
      <w:r w:rsidR="00DD37BD" w:rsidRPr="003F060D">
        <w:rPr>
          <w:rFonts w:eastAsia="Times New Roman"/>
          <w:szCs w:val="22"/>
          <w:lang w:val="es-ES_tradnl" w:eastAsia="ko-KR"/>
        </w:rPr>
        <w:t>contribución de la P.I. a la sociedad,</w:t>
      </w:r>
      <w:r w:rsidR="003D1FD4" w:rsidRPr="003F060D">
        <w:rPr>
          <w:rFonts w:eastAsia="Times New Roman"/>
          <w:szCs w:val="22"/>
          <w:lang w:val="es-ES_tradnl" w:eastAsia="ko-KR"/>
        </w:rPr>
        <w:t xml:space="preserve"> </w:t>
      </w:r>
      <w:r w:rsidR="00A664BC" w:rsidRPr="003F060D">
        <w:rPr>
          <w:rFonts w:eastAsia="Times New Roman"/>
          <w:szCs w:val="22"/>
          <w:lang w:val="es-ES_tradnl" w:eastAsia="ko-KR"/>
        </w:rPr>
        <w:t xml:space="preserve">la </w:t>
      </w:r>
      <w:r w:rsidR="00DD37BD" w:rsidRPr="003F060D">
        <w:rPr>
          <w:rFonts w:eastAsia="Times New Roman"/>
          <w:szCs w:val="22"/>
          <w:lang w:val="es-ES_tradnl" w:eastAsia="ko-KR"/>
        </w:rPr>
        <w:t xml:space="preserve">trascendencia de la cultura de la P.I. en nuestra vida diaria, </w:t>
      </w:r>
      <w:r w:rsidR="00A664BC" w:rsidRPr="003F060D">
        <w:rPr>
          <w:rFonts w:eastAsia="Times New Roman"/>
          <w:szCs w:val="22"/>
          <w:lang w:val="es-ES_tradnl" w:eastAsia="ko-KR"/>
        </w:rPr>
        <w:t xml:space="preserve">la importancia que tiene </w:t>
      </w:r>
      <w:r w:rsidR="00DD37BD" w:rsidRPr="003F060D">
        <w:rPr>
          <w:rFonts w:eastAsia="Times New Roman"/>
          <w:szCs w:val="22"/>
          <w:lang w:val="es-ES_tradnl" w:eastAsia="ko-KR"/>
        </w:rPr>
        <w:t>el merc</w:t>
      </w:r>
      <w:r w:rsidR="00A664BC" w:rsidRPr="003F060D">
        <w:rPr>
          <w:rFonts w:eastAsia="Times New Roman"/>
          <w:szCs w:val="22"/>
          <w:lang w:val="es-ES_tradnl" w:eastAsia="ko-KR"/>
        </w:rPr>
        <w:t>ado legítimo en materia de P.I.</w:t>
      </w:r>
      <w:r w:rsidR="003D1A29" w:rsidRPr="003F060D">
        <w:rPr>
          <w:rFonts w:eastAsia="Times New Roman"/>
          <w:szCs w:val="22"/>
          <w:lang w:val="es-ES_tradnl" w:eastAsia="ko-KR"/>
        </w:rPr>
        <w:t>,</w:t>
      </w:r>
      <w:r w:rsidR="00A664BC" w:rsidRPr="003F060D">
        <w:rPr>
          <w:rFonts w:eastAsia="Times New Roman"/>
          <w:szCs w:val="22"/>
          <w:lang w:val="es-ES_tradnl" w:eastAsia="ko-KR"/>
        </w:rPr>
        <w:t xml:space="preserve"> incluyendo información acerca de la oferta legal, los daños que ocasionan los productos que infringen la P.I. a determinadas personas (creadores, innovadores y consumidores locales) y a la sociedad en</w:t>
      </w:r>
      <w:r w:rsidR="007F449C" w:rsidRPr="003F060D">
        <w:rPr>
          <w:rFonts w:eastAsia="Times New Roman"/>
          <w:szCs w:val="22"/>
          <w:lang w:val="es-ES_tradnl" w:eastAsia="ko-KR"/>
        </w:rPr>
        <w:t xml:space="preserve"> general.</w:t>
      </w:r>
    </w:p>
    <w:p w:rsidR="00BA5D63" w:rsidRPr="003F060D" w:rsidRDefault="00BA5D63" w:rsidP="00A445A9">
      <w:pPr>
        <w:rPr>
          <w:rFonts w:eastAsia="Times New Roman"/>
          <w:szCs w:val="22"/>
          <w:lang w:val="es-ES_tradnl" w:eastAsia="ko-KR"/>
        </w:rPr>
      </w:pPr>
    </w:p>
    <w:p w:rsidR="00BA5D63" w:rsidRPr="003F060D" w:rsidRDefault="00AA26D5" w:rsidP="00A445A9">
      <w:pPr>
        <w:rPr>
          <w:rFonts w:eastAsia="Times New Roman"/>
          <w:szCs w:val="22"/>
          <w:lang w:val="es-ES_tradnl" w:eastAsia="ko-KR"/>
        </w:rPr>
      </w:pPr>
      <w:r w:rsidRPr="003F060D">
        <w:rPr>
          <w:rFonts w:eastAsia="Times New Roman"/>
          <w:szCs w:val="22"/>
          <w:lang w:val="es-ES_tradnl" w:eastAsia="ko-KR"/>
        </w:rPr>
        <w:fldChar w:fldCharType="begin"/>
      </w:r>
      <w:r w:rsidR="00575C32" w:rsidRPr="003F060D">
        <w:rPr>
          <w:rFonts w:eastAsia="Times New Roman"/>
          <w:szCs w:val="22"/>
          <w:lang w:val="es-ES_tradnl" w:eastAsia="ko-KR"/>
        </w:rPr>
        <w:instrText xml:space="preserve"> AUTONUM  </w:instrText>
      </w:r>
      <w:r w:rsidRPr="003F060D">
        <w:rPr>
          <w:rFonts w:eastAsia="Times New Roman"/>
          <w:szCs w:val="22"/>
          <w:lang w:val="es-ES_tradnl" w:eastAsia="ko-KR"/>
        </w:rPr>
        <w:fldChar w:fldCharType="end"/>
      </w:r>
      <w:r w:rsidR="00575C32" w:rsidRPr="003F060D">
        <w:rPr>
          <w:rFonts w:eastAsia="Times New Roman"/>
          <w:szCs w:val="22"/>
          <w:lang w:val="es-ES_tradnl" w:eastAsia="ko-KR"/>
        </w:rPr>
        <w:tab/>
      </w:r>
      <w:r w:rsidR="00C476E0" w:rsidRPr="003F060D">
        <w:rPr>
          <w:rFonts w:eastAsia="Times New Roman"/>
          <w:szCs w:val="22"/>
          <w:lang w:val="es-ES_tradnl" w:eastAsia="ko-KR"/>
        </w:rPr>
        <w:t>Entre las actividades se pueden incluir las siguientes:</w:t>
      </w:r>
    </w:p>
    <w:p w:rsidR="00BA5D63" w:rsidRPr="003F060D" w:rsidRDefault="00BA5D63" w:rsidP="00A445A9">
      <w:pPr>
        <w:rPr>
          <w:rFonts w:eastAsia="Times New Roman"/>
          <w:szCs w:val="22"/>
          <w:lang w:val="es-ES_tradnl" w:eastAsia="ko-KR"/>
        </w:rPr>
      </w:pPr>
    </w:p>
    <w:p w:rsidR="00BA5D63" w:rsidRPr="003F060D" w:rsidRDefault="00F80AE7" w:rsidP="00002997">
      <w:pPr>
        <w:pStyle w:val="ListParagraph"/>
        <w:numPr>
          <w:ilvl w:val="0"/>
          <w:numId w:val="31"/>
        </w:numPr>
        <w:tabs>
          <w:tab w:val="left" w:pos="1080"/>
        </w:tabs>
        <w:ind w:left="1080" w:hanging="540"/>
        <w:rPr>
          <w:rFonts w:eastAsia="Times New Roman"/>
          <w:szCs w:val="22"/>
          <w:lang w:val="es-ES_tradnl" w:eastAsia="ko-KR"/>
        </w:rPr>
      </w:pPr>
      <w:r w:rsidRPr="003F060D">
        <w:rPr>
          <w:rFonts w:eastAsia="Times New Roman"/>
          <w:szCs w:val="22"/>
          <w:lang w:val="es-ES_tradnl" w:eastAsia="ko-KR"/>
        </w:rPr>
        <w:t>Exposiciones y puestos de información en centros comerciales, ferias comerciales y otro tipo de espacios públicos;</w:t>
      </w:r>
    </w:p>
    <w:p w:rsidR="00BA5D63" w:rsidRPr="003F060D" w:rsidRDefault="00C3766F" w:rsidP="00002997">
      <w:pPr>
        <w:pStyle w:val="ListParagraph"/>
        <w:numPr>
          <w:ilvl w:val="0"/>
          <w:numId w:val="31"/>
        </w:numPr>
        <w:tabs>
          <w:tab w:val="left" w:pos="1080"/>
        </w:tabs>
        <w:ind w:left="1080" w:hanging="540"/>
        <w:rPr>
          <w:rFonts w:eastAsia="Times New Roman"/>
          <w:szCs w:val="22"/>
          <w:lang w:val="es-ES_tradnl" w:eastAsia="ko-KR"/>
        </w:rPr>
      </w:pPr>
      <w:r w:rsidRPr="003F060D">
        <w:rPr>
          <w:rFonts w:eastAsia="Times New Roman"/>
          <w:szCs w:val="22"/>
          <w:lang w:val="es-ES_tradnl" w:eastAsia="ko-KR"/>
        </w:rPr>
        <w:t xml:space="preserve">Campañas </w:t>
      </w:r>
      <w:r w:rsidR="00A442C4" w:rsidRPr="003F060D">
        <w:rPr>
          <w:rFonts w:eastAsia="Times New Roman"/>
          <w:szCs w:val="22"/>
          <w:lang w:val="es-ES_tradnl" w:eastAsia="ko-KR"/>
        </w:rPr>
        <w:t>de publicidad</w:t>
      </w:r>
      <w:r w:rsidRPr="003F060D">
        <w:rPr>
          <w:rFonts w:eastAsia="Times New Roman"/>
          <w:szCs w:val="22"/>
          <w:lang w:val="es-ES_tradnl" w:eastAsia="ko-KR"/>
        </w:rPr>
        <w:t xml:space="preserve"> mediante paneles de información en el transporte público y </w:t>
      </w:r>
      <w:r w:rsidR="00A442C4" w:rsidRPr="003F060D">
        <w:rPr>
          <w:rFonts w:eastAsia="Times New Roman"/>
          <w:szCs w:val="22"/>
          <w:lang w:val="es-ES_tradnl" w:eastAsia="ko-KR"/>
        </w:rPr>
        <w:t>en carteles publicitarios;</w:t>
      </w:r>
    </w:p>
    <w:p w:rsidR="00BA5D63" w:rsidRPr="003F060D" w:rsidRDefault="00483EF5" w:rsidP="00002997">
      <w:pPr>
        <w:pStyle w:val="ListParagraph"/>
        <w:numPr>
          <w:ilvl w:val="0"/>
          <w:numId w:val="31"/>
        </w:numPr>
        <w:tabs>
          <w:tab w:val="left" w:pos="1080"/>
        </w:tabs>
        <w:ind w:left="1080" w:hanging="540"/>
        <w:rPr>
          <w:rFonts w:eastAsia="Times New Roman"/>
          <w:szCs w:val="22"/>
          <w:lang w:val="es-ES_tradnl" w:eastAsia="ko-KR"/>
        </w:rPr>
      </w:pPr>
      <w:r w:rsidRPr="003F060D">
        <w:rPr>
          <w:rFonts w:eastAsia="Times New Roman"/>
          <w:szCs w:val="22"/>
          <w:lang w:val="es-ES_tradnl" w:eastAsia="ko-KR"/>
        </w:rPr>
        <w:t>Programas de radio y televisión;</w:t>
      </w:r>
    </w:p>
    <w:p w:rsidR="00BA5D63" w:rsidRPr="003F060D" w:rsidRDefault="00375AE2" w:rsidP="00002997">
      <w:pPr>
        <w:pStyle w:val="ListParagraph"/>
        <w:numPr>
          <w:ilvl w:val="0"/>
          <w:numId w:val="31"/>
        </w:numPr>
        <w:tabs>
          <w:tab w:val="left" w:pos="1080"/>
        </w:tabs>
        <w:ind w:left="1080" w:hanging="540"/>
        <w:rPr>
          <w:rFonts w:eastAsia="Times New Roman"/>
          <w:szCs w:val="22"/>
          <w:lang w:val="es-ES_tradnl" w:eastAsia="ko-KR"/>
        </w:rPr>
      </w:pPr>
      <w:r w:rsidRPr="003F060D">
        <w:rPr>
          <w:rFonts w:eastAsia="Times New Roman"/>
          <w:szCs w:val="22"/>
          <w:lang w:val="es-ES_tradnl" w:eastAsia="ko-KR"/>
        </w:rPr>
        <w:t>Embajadores de buena voluntad, que podrían ser cantantes, artistas intérpretes o ejecutantes, o científicos conocidos que se prestasen a participar como portavoces de la P.I. a nivel nacional;</w:t>
      </w:r>
    </w:p>
    <w:p w:rsidR="00BA5D63" w:rsidRPr="003F060D" w:rsidRDefault="00A87BC4" w:rsidP="00002997">
      <w:pPr>
        <w:pStyle w:val="ListParagraph"/>
        <w:numPr>
          <w:ilvl w:val="0"/>
          <w:numId w:val="31"/>
        </w:numPr>
        <w:tabs>
          <w:tab w:val="left" w:pos="1080"/>
        </w:tabs>
        <w:ind w:left="1080" w:hanging="540"/>
        <w:rPr>
          <w:rFonts w:eastAsia="Times New Roman"/>
          <w:szCs w:val="22"/>
          <w:lang w:val="es-ES_tradnl" w:eastAsia="ko-KR"/>
        </w:rPr>
      </w:pPr>
      <w:r w:rsidRPr="003F060D">
        <w:rPr>
          <w:rFonts w:eastAsia="Times New Roman"/>
          <w:szCs w:val="22"/>
          <w:lang w:val="es-ES_tradnl" w:eastAsia="ko-KR"/>
        </w:rPr>
        <w:t>Artículos en peri</w:t>
      </w:r>
      <w:r w:rsidR="005A73B5" w:rsidRPr="003F060D">
        <w:rPr>
          <w:rFonts w:eastAsia="Times New Roman"/>
          <w:szCs w:val="22"/>
          <w:lang w:val="es-ES_tradnl" w:eastAsia="ko-KR"/>
        </w:rPr>
        <w:t>ódicos</w:t>
      </w:r>
      <w:r w:rsidRPr="003F060D">
        <w:rPr>
          <w:rFonts w:eastAsia="Times New Roman"/>
          <w:szCs w:val="22"/>
          <w:lang w:val="es-ES_tradnl" w:eastAsia="ko-KR"/>
        </w:rPr>
        <w:t xml:space="preserve"> </w:t>
      </w:r>
      <w:r w:rsidR="005A73B5" w:rsidRPr="003F060D">
        <w:rPr>
          <w:rFonts w:eastAsia="Times New Roman"/>
          <w:szCs w:val="22"/>
          <w:lang w:val="es-ES_tradnl" w:eastAsia="ko-KR"/>
        </w:rPr>
        <w:t xml:space="preserve">y </w:t>
      </w:r>
      <w:r w:rsidRPr="003F060D">
        <w:rPr>
          <w:rFonts w:eastAsia="Times New Roman"/>
          <w:szCs w:val="22"/>
          <w:lang w:val="es-ES_tradnl" w:eastAsia="ko-KR"/>
        </w:rPr>
        <w:t xml:space="preserve">anuncios cortos en las cadenas nacionales de televisión y </w:t>
      </w:r>
      <w:r w:rsidR="006E76AF" w:rsidRPr="003F060D">
        <w:rPr>
          <w:rFonts w:eastAsia="Times New Roman"/>
          <w:szCs w:val="22"/>
          <w:lang w:val="es-ES_tradnl" w:eastAsia="ko-KR"/>
        </w:rPr>
        <w:t>en las redes sociales, en los que se divulguen</w:t>
      </w:r>
      <w:r w:rsidRPr="003F060D">
        <w:rPr>
          <w:rFonts w:eastAsia="Times New Roman"/>
          <w:szCs w:val="22"/>
          <w:lang w:val="es-ES_tradnl" w:eastAsia="ko-KR"/>
        </w:rPr>
        <w:t xml:space="preserve"> </w:t>
      </w:r>
      <w:r w:rsidR="005A73B5" w:rsidRPr="003F060D">
        <w:rPr>
          <w:rFonts w:eastAsia="Times New Roman"/>
          <w:szCs w:val="22"/>
          <w:lang w:val="es-ES_tradnl" w:eastAsia="ko-KR"/>
        </w:rPr>
        <w:t xml:space="preserve">con regularidad </w:t>
      </w:r>
      <w:r w:rsidRPr="003F060D">
        <w:rPr>
          <w:rFonts w:eastAsia="Times New Roman"/>
          <w:szCs w:val="22"/>
          <w:lang w:val="es-ES_tradnl" w:eastAsia="ko-KR"/>
        </w:rPr>
        <w:t xml:space="preserve">los </w:t>
      </w:r>
      <w:r w:rsidR="005A73B5" w:rsidRPr="003F060D">
        <w:rPr>
          <w:rFonts w:eastAsia="Times New Roman"/>
          <w:szCs w:val="22"/>
          <w:lang w:val="es-ES_tradnl" w:eastAsia="ko-KR"/>
        </w:rPr>
        <w:t>éxitos cosechados</w:t>
      </w:r>
      <w:r w:rsidRPr="003F060D">
        <w:rPr>
          <w:rFonts w:eastAsia="Times New Roman"/>
          <w:szCs w:val="22"/>
          <w:lang w:val="es-ES_tradnl" w:eastAsia="ko-KR"/>
        </w:rPr>
        <w:t xml:space="preserve"> </w:t>
      </w:r>
      <w:r w:rsidR="005A73B5" w:rsidRPr="003F060D">
        <w:rPr>
          <w:rFonts w:eastAsia="Times New Roman"/>
          <w:szCs w:val="22"/>
          <w:lang w:val="es-ES_tradnl" w:eastAsia="ko-KR"/>
        </w:rPr>
        <w:t>por los creadores locales;</w:t>
      </w:r>
    </w:p>
    <w:p w:rsidR="00BA5D63" w:rsidRPr="003F060D" w:rsidRDefault="008B53AA" w:rsidP="00FE36ED">
      <w:pPr>
        <w:pStyle w:val="ListParagraph"/>
        <w:numPr>
          <w:ilvl w:val="0"/>
          <w:numId w:val="31"/>
        </w:numPr>
        <w:tabs>
          <w:tab w:val="left" w:pos="1080"/>
        </w:tabs>
        <w:ind w:left="1080" w:hanging="540"/>
        <w:rPr>
          <w:rFonts w:eastAsia="Times New Roman"/>
          <w:szCs w:val="22"/>
          <w:lang w:val="es-ES_tradnl" w:eastAsia="ko-KR"/>
        </w:rPr>
      </w:pPr>
      <w:r w:rsidRPr="003F060D">
        <w:rPr>
          <w:rFonts w:eastAsia="Times New Roman"/>
          <w:szCs w:val="22"/>
          <w:lang w:val="es-ES_tradnl" w:eastAsia="ko-KR"/>
        </w:rPr>
        <w:t xml:space="preserve">Sensibilización específica con </w:t>
      </w:r>
      <w:r w:rsidR="00BE12D7" w:rsidRPr="003F060D">
        <w:rPr>
          <w:rFonts w:eastAsia="Times New Roman"/>
          <w:szCs w:val="22"/>
          <w:lang w:val="es-ES_tradnl" w:eastAsia="ko-KR"/>
        </w:rPr>
        <w:t>motivo</w:t>
      </w:r>
      <w:r w:rsidRPr="003F060D">
        <w:rPr>
          <w:rFonts w:eastAsia="Times New Roman"/>
          <w:szCs w:val="22"/>
          <w:lang w:val="es-ES_tradnl" w:eastAsia="ko-KR"/>
        </w:rPr>
        <w:t xml:space="preserve"> de los “días nacionales”, fiestas y celebraciones</w:t>
      </w:r>
      <w:r w:rsidR="00FE36ED" w:rsidRPr="003F060D">
        <w:rPr>
          <w:rFonts w:eastAsia="Times New Roman"/>
          <w:szCs w:val="22"/>
          <w:lang w:val="es-ES_tradnl" w:eastAsia="ko-KR"/>
        </w:rPr>
        <w:t>;</w:t>
      </w:r>
    </w:p>
    <w:p w:rsidR="00BA5D63" w:rsidRPr="003F060D" w:rsidRDefault="00D06351" w:rsidP="00002997">
      <w:pPr>
        <w:pStyle w:val="ListParagraph"/>
        <w:numPr>
          <w:ilvl w:val="0"/>
          <w:numId w:val="31"/>
        </w:numPr>
        <w:tabs>
          <w:tab w:val="left" w:pos="1080"/>
        </w:tabs>
        <w:ind w:left="1080" w:hanging="540"/>
        <w:rPr>
          <w:rFonts w:eastAsia="Times New Roman"/>
          <w:szCs w:val="22"/>
          <w:lang w:val="es-ES_tradnl" w:eastAsia="ko-KR"/>
        </w:rPr>
      </w:pPr>
      <w:r w:rsidRPr="003F060D">
        <w:rPr>
          <w:rFonts w:eastAsia="Times New Roman"/>
          <w:szCs w:val="22"/>
          <w:lang w:val="es-ES_tradnl" w:eastAsia="ko-KR"/>
        </w:rPr>
        <w:lastRenderedPageBreak/>
        <w:t>Página</w:t>
      </w:r>
      <w:r w:rsidR="00B8155A" w:rsidRPr="003F060D">
        <w:rPr>
          <w:rFonts w:eastAsia="Times New Roman"/>
          <w:szCs w:val="22"/>
          <w:lang w:val="es-ES_tradnl" w:eastAsia="ko-KR"/>
        </w:rPr>
        <w:t xml:space="preserve"> espec</w:t>
      </w:r>
      <w:r w:rsidRPr="003F060D">
        <w:rPr>
          <w:rFonts w:eastAsia="Times New Roman"/>
          <w:szCs w:val="22"/>
          <w:lang w:val="es-ES_tradnl" w:eastAsia="ko-KR"/>
        </w:rPr>
        <w:t>ífica</w:t>
      </w:r>
      <w:r w:rsidR="00B8155A" w:rsidRPr="003F060D">
        <w:rPr>
          <w:rFonts w:eastAsia="Times New Roman"/>
          <w:szCs w:val="22"/>
          <w:lang w:val="es-ES_tradnl" w:eastAsia="ko-KR"/>
        </w:rPr>
        <w:t xml:space="preserve"> </w:t>
      </w:r>
      <w:r w:rsidRPr="003F060D">
        <w:rPr>
          <w:rFonts w:eastAsia="Times New Roman"/>
          <w:szCs w:val="22"/>
          <w:lang w:val="es-ES_tradnl" w:eastAsia="ko-KR"/>
        </w:rPr>
        <w:t>dentro del sitio web de las oficinas de P</w:t>
      </w:r>
      <w:r w:rsidR="00053C38" w:rsidRPr="003F060D">
        <w:rPr>
          <w:rFonts w:eastAsia="Times New Roman"/>
          <w:szCs w:val="22"/>
          <w:lang w:val="es-ES_tradnl" w:eastAsia="ko-KR"/>
        </w:rPr>
        <w:t>.I. y demás órganos pertinentes</w:t>
      </w:r>
      <w:r w:rsidRPr="003F060D">
        <w:rPr>
          <w:rFonts w:eastAsia="Times New Roman"/>
          <w:szCs w:val="22"/>
          <w:lang w:val="es-ES_tradnl" w:eastAsia="ko-KR"/>
        </w:rPr>
        <w:t xml:space="preserve"> </w:t>
      </w:r>
      <w:r w:rsidR="00B8155A" w:rsidRPr="003F060D">
        <w:rPr>
          <w:rFonts w:eastAsia="Times New Roman"/>
          <w:szCs w:val="22"/>
          <w:lang w:val="es-ES_tradnl" w:eastAsia="ko-KR"/>
        </w:rPr>
        <w:t xml:space="preserve">con información y preguntas frecuentes en relación con el fomento del respeto </w:t>
      </w:r>
      <w:r w:rsidRPr="003F060D">
        <w:rPr>
          <w:rFonts w:eastAsia="Times New Roman"/>
          <w:szCs w:val="22"/>
          <w:lang w:val="es-ES_tradnl" w:eastAsia="ko-KR"/>
        </w:rPr>
        <w:t>por la P.I.;</w:t>
      </w:r>
    </w:p>
    <w:p w:rsidR="00BA5D63" w:rsidRPr="003F060D" w:rsidRDefault="00681FC5" w:rsidP="00AF006B">
      <w:pPr>
        <w:pStyle w:val="ListParagraph"/>
        <w:numPr>
          <w:ilvl w:val="0"/>
          <w:numId w:val="31"/>
        </w:numPr>
        <w:tabs>
          <w:tab w:val="left" w:pos="1080"/>
        </w:tabs>
        <w:ind w:left="1080" w:hanging="540"/>
        <w:rPr>
          <w:rFonts w:eastAsia="Times New Roman"/>
          <w:szCs w:val="22"/>
          <w:lang w:val="es-ES_tradnl" w:eastAsia="ko-KR"/>
        </w:rPr>
      </w:pPr>
      <w:r w:rsidRPr="003F060D">
        <w:rPr>
          <w:rFonts w:eastAsia="Times New Roman"/>
          <w:szCs w:val="22"/>
          <w:lang w:val="es-ES_tradnl" w:eastAsia="ko-KR"/>
        </w:rPr>
        <w:t>Cuentas en las redes sociales creadas por las oficinas de P.I. con el fin de interactuar acerca de aspectos relacionados con el respeto por la P.I. con el público en general y en particular con grupos de jóvenes;</w:t>
      </w:r>
    </w:p>
    <w:p w:rsidR="00BA5D63" w:rsidRPr="003F060D" w:rsidRDefault="00AF006B" w:rsidP="00AF006B">
      <w:pPr>
        <w:pStyle w:val="ListParagraph"/>
        <w:numPr>
          <w:ilvl w:val="0"/>
          <w:numId w:val="31"/>
        </w:numPr>
        <w:tabs>
          <w:tab w:val="left" w:pos="1080"/>
        </w:tabs>
        <w:ind w:left="1080" w:hanging="540"/>
        <w:rPr>
          <w:rFonts w:eastAsia="Times New Roman"/>
          <w:szCs w:val="22"/>
          <w:lang w:val="es-ES_tradnl" w:eastAsia="ko-KR"/>
        </w:rPr>
      </w:pPr>
      <w:r w:rsidRPr="003F060D">
        <w:rPr>
          <w:rFonts w:eastAsia="Times New Roman"/>
          <w:szCs w:val="22"/>
          <w:lang w:val="es-ES_tradnl" w:eastAsia="ko-KR"/>
        </w:rPr>
        <w:t>De</w:t>
      </w:r>
      <w:r w:rsidR="00513FD6" w:rsidRPr="003F060D">
        <w:rPr>
          <w:rFonts w:eastAsia="Times New Roman"/>
          <w:szCs w:val="22"/>
          <w:lang w:val="es-ES_tradnl" w:eastAsia="ko-KR"/>
        </w:rPr>
        <w:t>sarrollo de aplicaciones interactivas para teléfonos móviles (“</w:t>
      </w:r>
      <w:proofErr w:type="spellStart"/>
      <w:r w:rsidR="00513FD6" w:rsidRPr="003F060D">
        <w:rPr>
          <w:rFonts w:eastAsia="Times New Roman"/>
          <w:i/>
          <w:szCs w:val="22"/>
          <w:lang w:val="es-ES_tradnl" w:eastAsia="ko-KR"/>
        </w:rPr>
        <w:t>apps</w:t>
      </w:r>
      <w:proofErr w:type="spellEnd"/>
      <w:r w:rsidR="00513FD6" w:rsidRPr="003F060D">
        <w:rPr>
          <w:rFonts w:eastAsia="Times New Roman"/>
          <w:szCs w:val="22"/>
          <w:lang w:val="es-ES_tradnl" w:eastAsia="ko-KR"/>
        </w:rPr>
        <w:t>”);</w:t>
      </w:r>
    </w:p>
    <w:p w:rsidR="00BA5D63" w:rsidRPr="003F060D" w:rsidRDefault="00513FD6" w:rsidP="00AF006B">
      <w:pPr>
        <w:pStyle w:val="ListParagraph"/>
        <w:numPr>
          <w:ilvl w:val="0"/>
          <w:numId w:val="31"/>
        </w:numPr>
        <w:tabs>
          <w:tab w:val="left" w:pos="1080"/>
        </w:tabs>
        <w:ind w:left="1080" w:hanging="540"/>
        <w:rPr>
          <w:rFonts w:eastAsia="Times New Roman"/>
          <w:szCs w:val="22"/>
          <w:lang w:val="es-ES_tradnl" w:eastAsia="ko-KR"/>
        </w:rPr>
      </w:pPr>
      <w:r w:rsidRPr="003F060D">
        <w:rPr>
          <w:rFonts w:eastAsia="Times New Roman"/>
          <w:szCs w:val="22"/>
          <w:lang w:val="es-ES_tradnl" w:eastAsia="ko-KR"/>
        </w:rPr>
        <w:t xml:space="preserve">Materiales promocionales en los que figuren los mensajes de la Estrategia </w:t>
      </w:r>
      <w:r w:rsidR="002428FA" w:rsidRPr="003F060D">
        <w:rPr>
          <w:rFonts w:eastAsia="Times New Roman"/>
          <w:szCs w:val="22"/>
          <w:lang w:val="es-ES_tradnl" w:eastAsia="ko-KR"/>
        </w:rPr>
        <w:t>(</w:t>
      </w:r>
      <w:r w:rsidR="00B27436" w:rsidRPr="003F060D">
        <w:rPr>
          <w:rFonts w:eastAsia="Times New Roman"/>
          <w:szCs w:val="22"/>
          <w:lang w:val="es-ES_tradnl" w:eastAsia="ko-KR"/>
        </w:rPr>
        <w:t xml:space="preserve">por ejemplo </w:t>
      </w:r>
      <w:r w:rsidR="00706B37" w:rsidRPr="003F060D">
        <w:rPr>
          <w:rFonts w:eastAsia="Times New Roman"/>
          <w:szCs w:val="22"/>
          <w:lang w:val="es-ES_tradnl" w:eastAsia="ko-KR"/>
        </w:rPr>
        <w:t>folletos, octavillas</w:t>
      </w:r>
      <w:r w:rsidR="00FE36ED" w:rsidRPr="003F060D">
        <w:rPr>
          <w:rFonts w:eastAsia="Times New Roman"/>
          <w:szCs w:val="22"/>
          <w:lang w:val="es-ES_tradnl" w:eastAsia="ko-KR"/>
        </w:rPr>
        <w:t xml:space="preserve">, </w:t>
      </w:r>
      <w:r w:rsidR="00987099" w:rsidRPr="003F060D">
        <w:rPr>
          <w:rFonts w:eastAsia="Times New Roman"/>
          <w:szCs w:val="22"/>
          <w:lang w:val="es-ES_tradnl" w:eastAsia="ko-KR"/>
        </w:rPr>
        <w:t>pulseras de goma</w:t>
      </w:r>
      <w:r w:rsidR="002428FA" w:rsidRPr="003F060D">
        <w:rPr>
          <w:rFonts w:eastAsia="Times New Roman"/>
          <w:szCs w:val="22"/>
          <w:lang w:val="es-ES_tradnl" w:eastAsia="ko-KR"/>
        </w:rPr>
        <w:t xml:space="preserve">, </w:t>
      </w:r>
      <w:r w:rsidR="00987099" w:rsidRPr="003F060D">
        <w:rPr>
          <w:rFonts w:eastAsia="Times New Roman"/>
          <w:szCs w:val="22"/>
          <w:lang w:val="es-ES_tradnl" w:eastAsia="ko-KR"/>
        </w:rPr>
        <w:t>camisetas</w:t>
      </w:r>
      <w:r w:rsidR="007B69A4" w:rsidRPr="003F060D">
        <w:rPr>
          <w:rFonts w:eastAsia="Times New Roman"/>
          <w:szCs w:val="22"/>
          <w:lang w:val="es-ES_tradnl" w:eastAsia="ko-KR"/>
        </w:rPr>
        <w:t>, calendar</w:t>
      </w:r>
      <w:r w:rsidR="00987099" w:rsidRPr="003F060D">
        <w:rPr>
          <w:rFonts w:eastAsia="Times New Roman"/>
          <w:szCs w:val="22"/>
          <w:lang w:val="es-ES_tradnl" w:eastAsia="ko-KR"/>
        </w:rPr>
        <w:t>io</w:t>
      </w:r>
      <w:r w:rsidR="007B69A4" w:rsidRPr="003F060D">
        <w:rPr>
          <w:rFonts w:eastAsia="Times New Roman"/>
          <w:szCs w:val="22"/>
          <w:lang w:val="es-ES_tradnl" w:eastAsia="ko-KR"/>
        </w:rPr>
        <w:t>s, etc</w:t>
      </w:r>
      <w:r w:rsidR="00987099" w:rsidRPr="003F060D">
        <w:rPr>
          <w:rFonts w:eastAsia="Times New Roman"/>
          <w:szCs w:val="22"/>
          <w:lang w:val="es-ES_tradnl" w:eastAsia="ko-KR"/>
        </w:rPr>
        <w:t>étera</w:t>
      </w:r>
      <w:r w:rsidR="002428FA" w:rsidRPr="003F060D">
        <w:rPr>
          <w:rFonts w:eastAsia="Times New Roman"/>
          <w:szCs w:val="22"/>
          <w:lang w:val="es-ES_tradnl" w:eastAsia="ko-KR"/>
        </w:rPr>
        <w:t>)</w:t>
      </w:r>
      <w:r w:rsidR="00785950" w:rsidRPr="003F060D">
        <w:rPr>
          <w:rFonts w:eastAsia="Times New Roman"/>
          <w:szCs w:val="22"/>
          <w:lang w:val="es-ES_tradnl" w:eastAsia="ko-KR"/>
        </w:rPr>
        <w:t xml:space="preserve">, </w:t>
      </w:r>
    </w:p>
    <w:p w:rsidR="00BA5D63" w:rsidRPr="003F060D" w:rsidRDefault="00706B37" w:rsidP="00AF006B">
      <w:pPr>
        <w:pStyle w:val="ListParagraph"/>
        <w:numPr>
          <w:ilvl w:val="0"/>
          <w:numId w:val="31"/>
        </w:numPr>
        <w:tabs>
          <w:tab w:val="left" w:pos="1080"/>
        </w:tabs>
        <w:ind w:left="1080" w:hanging="540"/>
        <w:rPr>
          <w:rFonts w:eastAsia="Times New Roman"/>
          <w:szCs w:val="22"/>
          <w:lang w:val="es-ES_tradnl" w:eastAsia="ko-KR"/>
        </w:rPr>
      </w:pPr>
      <w:r w:rsidRPr="003F060D">
        <w:rPr>
          <w:rFonts w:eastAsia="Times New Roman"/>
          <w:szCs w:val="22"/>
          <w:lang w:val="es-ES_tradnl" w:eastAsia="ko-KR"/>
        </w:rPr>
        <w:t>Actos en el marco de las celebraciones anuales con motivo del Día Mundial de la P.I.</w:t>
      </w:r>
      <w:r w:rsidR="00FE36ED" w:rsidRPr="003F060D">
        <w:rPr>
          <w:rFonts w:eastAsia="Times New Roman"/>
          <w:szCs w:val="22"/>
          <w:lang w:val="es-ES_tradnl" w:eastAsia="ko-KR"/>
        </w:rPr>
        <w:t>;</w:t>
      </w:r>
    </w:p>
    <w:p w:rsidR="00BA5D63" w:rsidRPr="003F060D" w:rsidRDefault="00CE2EBC" w:rsidP="00AF006B">
      <w:pPr>
        <w:pStyle w:val="ListParagraph"/>
        <w:numPr>
          <w:ilvl w:val="0"/>
          <w:numId w:val="31"/>
        </w:numPr>
        <w:tabs>
          <w:tab w:val="left" w:pos="1080"/>
        </w:tabs>
        <w:ind w:left="1080" w:hanging="540"/>
        <w:rPr>
          <w:rFonts w:eastAsia="Times New Roman"/>
          <w:szCs w:val="22"/>
          <w:lang w:val="es-ES_tradnl" w:eastAsia="ko-KR"/>
        </w:rPr>
      </w:pPr>
      <w:r w:rsidRPr="003F060D">
        <w:rPr>
          <w:rFonts w:eastAsia="Times New Roman"/>
          <w:szCs w:val="22"/>
          <w:lang w:val="es-ES_tradnl" w:eastAsia="ko-KR"/>
        </w:rPr>
        <w:t>Competiciones en las que</w:t>
      </w:r>
      <w:r w:rsidR="00F63E9E" w:rsidRPr="003F060D">
        <w:rPr>
          <w:rFonts w:eastAsia="Times New Roman"/>
          <w:szCs w:val="22"/>
          <w:lang w:val="es-ES_tradnl" w:eastAsia="ko-KR"/>
        </w:rPr>
        <w:t xml:space="preserve"> se otorguen premios en materia</w:t>
      </w:r>
      <w:r w:rsidRPr="003F060D">
        <w:rPr>
          <w:rFonts w:eastAsia="Times New Roman"/>
          <w:szCs w:val="22"/>
          <w:lang w:val="es-ES_tradnl" w:eastAsia="ko-KR"/>
        </w:rPr>
        <w:t xml:space="preserve"> de P.I</w:t>
      </w:r>
      <w:r w:rsidR="00785950" w:rsidRPr="003F060D">
        <w:rPr>
          <w:rFonts w:eastAsia="Times New Roman"/>
          <w:szCs w:val="22"/>
          <w:lang w:val="es-ES_tradnl" w:eastAsia="ko-KR"/>
        </w:rPr>
        <w:t>.</w:t>
      </w:r>
    </w:p>
    <w:p w:rsidR="00BA5D63" w:rsidRPr="003F060D" w:rsidRDefault="00BA5D63" w:rsidP="00A445A9">
      <w:pPr>
        <w:rPr>
          <w:rFonts w:eastAsia="Times New Roman"/>
          <w:szCs w:val="22"/>
          <w:lang w:val="es-ES_tradnl" w:eastAsia="ko-KR"/>
        </w:rPr>
      </w:pPr>
    </w:p>
    <w:p w:rsidR="00BA5D63" w:rsidRPr="003F060D" w:rsidRDefault="00AA26D5" w:rsidP="00A445A9">
      <w:pPr>
        <w:rPr>
          <w:szCs w:val="22"/>
          <w:lang w:val="es-ES_tradnl"/>
        </w:rPr>
      </w:pPr>
      <w:r w:rsidRPr="003F060D">
        <w:rPr>
          <w:rFonts w:eastAsia="Times New Roman"/>
          <w:szCs w:val="22"/>
          <w:lang w:val="es-ES_tradnl" w:eastAsia="ko-KR"/>
        </w:rPr>
        <w:fldChar w:fldCharType="begin"/>
      </w:r>
      <w:r w:rsidR="00EA4A5E" w:rsidRPr="003F060D">
        <w:rPr>
          <w:rFonts w:eastAsia="Times New Roman"/>
          <w:szCs w:val="22"/>
          <w:lang w:val="es-ES_tradnl" w:eastAsia="ko-KR"/>
        </w:rPr>
        <w:instrText xml:space="preserve"> AUTONUM  </w:instrText>
      </w:r>
      <w:r w:rsidRPr="003F060D">
        <w:rPr>
          <w:rFonts w:eastAsia="Times New Roman"/>
          <w:szCs w:val="22"/>
          <w:lang w:val="es-ES_tradnl" w:eastAsia="ko-KR"/>
        </w:rPr>
        <w:fldChar w:fldCharType="end"/>
      </w:r>
      <w:r w:rsidR="00CE2EBC" w:rsidRPr="003F060D">
        <w:rPr>
          <w:rFonts w:eastAsia="Times New Roman"/>
          <w:i/>
          <w:szCs w:val="22"/>
          <w:lang w:val="es-ES_tradnl" w:eastAsia="ko-KR"/>
        </w:rPr>
        <w:tab/>
        <w:t>Adaptac</w:t>
      </w:r>
      <w:r w:rsidR="00EA4A5E" w:rsidRPr="003F060D">
        <w:rPr>
          <w:rFonts w:eastAsia="Times New Roman"/>
          <w:i/>
          <w:szCs w:val="22"/>
          <w:lang w:val="es-ES_tradnl" w:eastAsia="ko-KR"/>
        </w:rPr>
        <w:t>ion</w:t>
      </w:r>
      <w:r w:rsidR="00CE2EBC" w:rsidRPr="003F060D">
        <w:rPr>
          <w:rFonts w:eastAsia="Times New Roman"/>
          <w:i/>
          <w:szCs w:val="22"/>
          <w:lang w:val="es-ES_tradnl" w:eastAsia="ko-KR"/>
        </w:rPr>
        <w:t>e</w:t>
      </w:r>
      <w:r w:rsidR="00EA4A5E" w:rsidRPr="003F060D">
        <w:rPr>
          <w:rFonts w:eastAsia="Times New Roman"/>
          <w:i/>
          <w:szCs w:val="22"/>
          <w:lang w:val="es-ES_tradnl" w:eastAsia="ko-KR"/>
        </w:rPr>
        <w:t xml:space="preserve">s </w:t>
      </w:r>
      <w:r w:rsidR="00CE2EBC" w:rsidRPr="003F060D">
        <w:rPr>
          <w:rFonts w:eastAsia="Times New Roman"/>
          <w:i/>
          <w:szCs w:val="22"/>
          <w:lang w:val="es-ES_tradnl" w:eastAsia="ko-KR"/>
        </w:rPr>
        <w:t>en función del grupo objetivo</w:t>
      </w:r>
      <w:r w:rsidR="00EB26A3" w:rsidRPr="003F060D">
        <w:rPr>
          <w:rFonts w:eastAsia="Times New Roman"/>
          <w:szCs w:val="22"/>
          <w:lang w:val="es-ES_tradnl" w:eastAsia="ko-KR"/>
        </w:rPr>
        <w:t xml:space="preserve">     </w:t>
      </w:r>
      <w:r w:rsidR="00CE2EBC" w:rsidRPr="003F060D">
        <w:rPr>
          <w:rFonts w:eastAsia="Times New Roman"/>
          <w:szCs w:val="22"/>
          <w:lang w:val="es-ES_tradnl" w:eastAsia="ko-KR"/>
        </w:rPr>
        <w:t xml:space="preserve">Las actividades podrían solaparse en muchos aspectos con las llevadas a cabo por otros grupos objetivos, lo cual es inevitable ante la diversidad de intereses, a menudo compartidos, de los agentes que participan en las actividades de P.I.  Esto podría verse como una ventaja a la hora de </w:t>
      </w:r>
      <w:r w:rsidR="00480BAC" w:rsidRPr="003F060D">
        <w:rPr>
          <w:rFonts w:eastAsia="Times New Roman"/>
          <w:szCs w:val="22"/>
          <w:lang w:val="es-ES_tradnl" w:eastAsia="ko-KR"/>
        </w:rPr>
        <w:t>elaborar una estrategia amplia de sensibilización para fomentar el respeto por la P.I., ya que la fortaleza de este tipo de programas radica en identificar y aprovechar las sinergias entre los distintos grupos.</w:t>
      </w:r>
    </w:p>
    <w:p w:rsidR="00BA5D63" w:rsidRPr="003F060D" w:rsidRDefault="00BA5D63" w:rsidP="00A445A9">
      <w:pPr>
        <w:rPr>
          <w:szCs w:val="22"/>
          <w:lang w:val="es-ES_tradnl"/>
        </w:rPr>
      </w:pPr>
    </w:p>
    <w:p w:rsidR="00BA5D63" w:rsidRPr="003F060D" w:rsidRDefault="00AA26D5" w:rsidP="00BA5D63">
      <w:pPr>
        <w:rPr>
          <w:rFonts w:eastAsia="Times New Roman"/>
          <w:szCs w:val="22"/>
          <w:lang w:val="es-ES_tradnl" w:eastAsia="ko-KR"/>
        </w:rPr>
      </w:pPr>
      <w:r w:rsidRPr="003F060D">
        <w:rPr>
          <w:rFonts w:eastAsia="Times New Roman"/>
          <w:szCs w:val="22"/>
          <w:lang w:val="es-ES_tradnl" w:eastAsia="ko-KR"/>
        </w:rPr>
        <w:fldChar w:fldCharType="begin"/>
      </w:r>
      <w:r w:rsidR="00EB26A3" w:rsidRPr="003F060D">
        <w:rPr>
          <w:rFonts w:eastAsia="Times New Roman"/>
          <w:szCs w:val="22"/>
          <w:lang w:val="es-ES_tradnl" w:eastAsia="ko-KR"/>
        </w:rPr>
        <w:instrText xml:space="preserve"> AUTONUM  </w:instrText>
      </w:r>
      <w:r w:rsidRPr="003F060D">
        <w:rPr>
          <w:rFonts w:eastAsia="Times New Roman"/>
          <w:szCs w:val="22"/>
          <w:lang w:val="es-ES_tradnl" w:eastAsia="ko-KR"/>
        </w:rPr>
        <w:fldChar w:fldCharType="end"/>
      </w:r>
      <w:r w:rsidR="00EB26A3" w:rsidRPr="003F060D">
        <w:rPr>
          <w:rFonts w:eastAsia="Times New Roman"/>
          <w:i/>
          <w:szCs w:val="22"/>
          <w:lang w:val="es-ES_tradnl" w:eastAsia="ko-KR"/>
        </w:rPr>
        <w:tab/>
      </w:r>
      <w:r w:rsidR="00354570" w:rsidRPr="003F060D">
        <w:rPr>
          <w:szCs w:val="22"/>
          <w:lang w:val="es-ES_tradnl"/>
        </w:rPr>
        <w:t>Las actividades descritas con anterioridad pueden asimismo adaptarse a grupos objetivos específicos.  Por ejemplo</w:t>
      </w:r>
      <w:r w:rsidR="00354570" w:rsidRPr="003F060D">
        <w:rPr>
          <w:rFonts w:eastAsia="Times New Roman"/>
          <w:szCs w:val="22"/>
          <w:lang w:val="es-ES_tradnl" w:eastAsia="ko-KR"/>
        </w:rPr>
        <w:t>,</w:t>
      </w:r>
    </w:p>
    <w:p w:rsidR="00BA5D63" w:rsidRPr="003F060D" w:rsidRDefault="00BA5D63" w:rsidP="00A445A9">
      <w:pPr>
        <w:rPr>
          <w:rFonts w:eastAsia="Times New Roman"/>
          <w:szCs w:val="22"/>
          <w:lang w:val="es-ES_tradnl" w:eastAsia="ko-KR"/>
        </w:rPr>
      </w:pPr>
    </w:p>
    <w:p w:rsidR="00BA5D63" w:rsidRPr="003F060D" w:rsidRDefault="00354570" w:rsidP="00354570">
      <w:pPr>
        <w:pStyle w:val="ListParagraph"/>
        <w:tabs>
          <w:tab w:val="left" w:pos="1080"/>
        </w:tabs>
        <w:ind w:left="540"/>
        <w:rPr>
          <w:rFonts w:eastAsia="Times New Roman"/>
          <w:szCs w:val="22"/>
          <w:lang w:val="es-ES_tradnl" w:eastAsia="ko-KR"/>
        </w:rPr>
      </w:pPr>
      <w:r w:rsidRPr="003F060D">
        <w:rPr>
          <w:rFonts w:eastAsia="Times New Roman"/>
          <w:szCs w:val="22"/>
          <w:lang w:val="es-ES_tradnl" w:eastAsia="ko-KR"/>
        </w:rPr>
        <w:t>a)</w:t>
      </w:r>
      <w:r w:rsidRPr="003F060D">
        <w:rPr>
          <w:rFonts w:eastAsia="Times New Roman"/>
          <w:szCs w:val="22"/>
          <w:lang w:val="es-ES_tradnl" w:eastAsia="ko-KR"/>
        </w:rPr>
        <w:tab/>
      </w:r>
      <w:r w:rsidR="00CA1CDC" w:rsidRPr="003F060D">
        <w:rPr>
          <w:rFonts w:eastAsia="Times New Roman"/>
          <w:szCs w:val="22"/>
          <w:lang w:val="es-ES_tradnl" w:eastAsia="ko-KR"/>
        </w:rPr>
        <w:t>Los encargados de la formulación de pol</w:t>
      </w:r>
      <w:r w:rsidR="0076488F" w:rsidRPr="003F060D">
        <w:rPr>
          <w:rFonts w:eastAsia="Times New Roman"/>
          <w:szCs w:val="22"/>
          <w:lang w:val="es-ES_tradnl" w:eastAsia="ko-KR"/>
        </w:rPr>
        <w:t>íticas, como por ejemplo</w:t>
      </w:r>
      <w:r w:rsidR="00CA1CDC" w:rsidRPr="003F060D">
        <w:rPr>
          <w:rFonts w:eastAsia="Times New Roman"/>
          <w:szCs w:val="22"/>
          <w:lang w:val="es-ES_tradnl" w:eastAsia="ko-KR"/>
        </w:rPr>
        <w:t xml:space="preserve"> ministros, </w:t>
      </w:r>
      <w:r w:rsidR="0076488F" w:rsidRPr="003F060D">
        <w:rPr>
          <w:rFonts w:eastAsia="Times New Roman"/>
          <w:szCs w:val="22"/>
          <w:lang w:val="es-ES_tradnl" w:eastAsia="ko-KR"/>
        </w:rPr>
        <w:t xml:space="preserve">secretarios permanentes y representantes determinan con frecuencia el respaldo político y financiero de la Estrategia.  Su grado de entendimiento </w:t>
      </w:r>
      <w:r w:rsidR="00002224" w:rsidRPr="003F060D">
        <w:rPr>
          <w:rFonts w:eastAsia="Times New Roman"/>
          <w:szCs w:val="22"/>
          <w:lang w:val="es-ES_tradnl" w:eastAsia="ko-KR"/>
        </w:rPr>
        <w:t xml:space="preserve">y su </w:t>
      </w:r>
      <w:r w:rsidR="00595EA6" w:rsidRPr="003F060D">
        <w:rPr>
          <w:rFonts w:eastAsia="Times New Roman"/>
          <w:szCs w:val="22"/>
          <w:lang w:val="es-ES_tradnl" w:eastAsia="ko-KR"/>
        </w:rPr>
        <w:t>noción</w:t>
      </w:r>
      <w:r w:rsidR="00002224" w:rsidRPr="003F060D">
        <w:rPr>
          <w:rFonts w:eastAsia="Times New Roman"/>
          <w:szCs w:val="22"/>
          <w:lang w:val="es-ES_tradnl" w:eastAsia="ko-KR"/>
        </w:rPr>
        <w:t xml:space="preserve"> del valor de la Estrategia pueden incidir de manera importante y positiva en la adopción y ejecución de esta.  Entre las actividades adaptadas a este grupo podrían incluirse sesiones informativas y consultas monográficas de alto nivel, tanto en el plano nacional como en el internacional, con vistas a </w:t>
      </w:r>
      <w:r w:rsidR="009F6070" w:rsidRPr="003F060D">
        <w:rPr>
          <w:rFonts w:eastAsia="Times New Roman"/>
          <w:szCs w:val="22"/>
          <w:lang w:val="es-ES_tradnl" w:eastAsia="ko-KR"/>
        </w:rPr>
        <w:t>aumentar</w:t>
      </w:r>
      <w:r w:rsidR="00002224" w:rsidRPr="003F060D">
        <w:rPr>
          <w:rFonts w:eastAsia="Times New Roman"/>
          <w:szCs w:val="22"/>
          <w:lang w:val="es-ES_tradnl" w:eastAsia="ko-KR"/>
        </w:rPr>
        <w:t xml:space="preserve"> el entendimiento de los asuntos relacionados con la P.I., obtener un</w:t>
      </w:r>
      <w:r w:rsidR="00595EA6" w:rsidRPr="003F060D">
        <w:rPr>
          <w:rFonts w:eastAsia="Times New Roman"/>
          <w:szCs w:val="22"/>
          <w:lang w:val="es-ES_tradnl" w:eastAsia="ko-KR"/>
        </w:rPr>
        <w:t>a mayor noción</w:t>
      </w:r>
      <w:r w:rsidR="00002224" w:rsidRPr="003F060D">
        <w:rPr>
          <w:rFonts w:eastAsia="Times New Roman"/>
          <w:szCs w:val="22"/>
          <w:lang w:val="es-ES_tradnl" w:eastAsia="ko-KR"/>
        </w:rPr>
        <w:t xml:space="preserve"> de la contribución de la protección y la observancia de la P.I. en el contexto de las políticas nacionales de desarrollo</w:t>
      </w:r>
      <w:r w:rsidR="009F6070" w:rsidRPr="003F060D">
        <w:rPr>
          <w:rFonts w:eastAsia="Times New Roman"/>
          <w:szCs w:val="22"/>
          <w:lang w:val="es-ES_tradnl" w:eastAsia="ko-KR"/>
        </w:rPr>
        <w:t xml:space="preserve"> y mejorar la coordinación y la cooperación estratégicas, incluso mediante alianzas entre los sectores público y privado.</w:t>
      </w:r>
      <w:r w:rsidR="00002224" w:rsidRPr="003F060D">
        <w:rPr>
          <w:rFonts w:eastAsia="Times New Roman"/>
          <w:szCs w:val="22"/>
          <w:lang w:val="es-ES_tradnl" w:eastAsia="ko-KR"/>
        </w:rPr>
        <w:t xml:space="preserve"> </w:t>
      </w:r>
      <w:r w:rsidR="00150C67" w:rsidRPr="003F060D">
        <w:rPr>
          <w:rFonts w:eastAsia="Times New Roman"/>
          <w:szCs w:val="22"/>
          <w:lang w:val="es-ES_tradnl" w:eastAsia="ko-KR"/>
        </w:rPr>
        <w:t xml:space="preserve"> </w:t>
      </w:r>
      <w:r w:rsidR="009F6070" w:rsidRPr="003F060D">
        <w:rPr>
          <w:rFonts w:eastAsia="Times New Roman"/>
          <w:szCs w:val="22"/>
          <w:lang w:val="es-ES_tradnl" w:eastAsia="ko-KR"/>
        </w:rPr>
        <w:t>Estas actividades tendrán a menudo como resultado el respaldo político firme para los objetivos a largo plazo de la Estrategia.</w:t>
      </w:r>
    </w:p>
    <w:p w:rsidR="00BA5D63" w:rsidRPr="003F060D" w:rsidRDefault="00BA5D63" w:rsidP="00367095">
      <w:pPr>
        <w:pStyle w:val="ListParagraph"/>
        <w:tabs>
          <w:tab w:val="left" w:pos="1080"/>
        </w:tabs>
        <w:ind w:left="540"/>
        <w:rPr>
          <w:rFonts w:eastAsia="Times New Roman"/>
          <w:szCs w:val="22"/>
          <w:lang w:val="es-ES_tradnl" w:eastAsia="ko-KR"/>
        </w:rPr>
      </w:pPr>
    </w:p>
    <w:p w:rsidR="00BA5D63" w:rsidRPr="003F060D" w:rsidRDefault="00CA1CDC" w:rsidP="00CA1CDC">
      <w:pPr>
        <w:pStyle w:val="ListParagraph"/>
        <w:tabs>
          <w:tab w:val="left" w:pos="1080"/>
        </w:tabs>
        <w:ind w:left="540"/>
        <w:rPr>
          <w:rFonts w:eastAsia="Times New Roman"/>
          <w:szCs w:val="22"/>
          <w:lang w:val="es-ES_tradnl" w:eastAsia="ko-KR"/>
        </w:rPr>
      </w:pPr>
      <w:r w:rsidRPr="003F060D">
        <w:rPr>
          <w:rFonts w:eastAsia="Times New Roman"/>
          <w:szCs w:val="22"/>
          <w:lang w:val="es-ES_tradnl" w:eastAsia="ko-KR"/>
        </w:rPr>
        <w:t>b)</w:t>
      </w:r>
      <w:r w:rsidRPr="003F060D">
        <w:rPr>
          <w:rFonts w:eastAsia="Times New Roman"/>
          <w:szCs w:val="22"/>
          <w:lang w:val="es-ES_tradnl" w:eastAsia="ko-KR"/>
        </w:rPr>
        <w:tab/>
      </w:r>
      <w:r w:rsidR="00005B3A" w:rsidRPr="003F060D">
        <w:rPr>
          <w:rFonts w:eastAsia="Times New Roman"/>
          <w:szCs w:val="22"/>
          <w:lang w:val="es-ES_tradnl" w:eastAsia="ko-KR"/>
        </w:rPr>
        <w:t xml:space="preserve">Los grupos de jóvenes (niños de educación primaria y secundaria) son el germen de las generaciones futuras de innovadores, creadores, consumidores y encargados de la formulación de políticas.  Además, los grupos de jóvenes inciden de manera decisiva en las decisiones de consumo que se adoptan en las familias.  </w:t>
      </w:r>
      <w:r w:rsidR="00C00882" w:rsidRPr="003F060D">
        <w:rPr>
          <w:rFonts w:eastAsia="Times New Roman"/>
          <w:szCs w:val="22"/>
          <w:lang w:val="es-ES_tradnl" w:eastAsia="ko-KR"/>
        </w:rPr>
        <w:t>Sensibilizar a este sector de la población en relación con la P.I. a una edad temprana podría ayudar a fomentar un clima de respeto por la P.I. para todas las generaciones.  Entre las adaptaciones que se pueden realizar para este grupo se incluyen:  elaboración de material educativo sobre la P.I.</w:t>
      </w:r>
      <w:r w:rsidR="00A35EB5" w:rsidRPr="003F060D">
        <w:rPr>
          <w:rFonts w:eastAsia="Times New Roman"/>
          <w:szCs w:val="22"/>
          <w:lang w:val="es-ES_tradnl" w:eastAsia="ko-KR"/>
        </w:rPr>
        <w:t>,</w:t>
      </w:r>
      <w:r w:rsidR="00C00882" w:rsidRPr="003F060D">
        <w:rPr>
          <w:rFonts w:eastAsia="Times New Roman"/>
          <w:szCs w:val="22"/>
          <w:lang w:val="es-ES_tradnl" w:eastAsia="ko-KR"/>
        </w:rPr>
        <w:t xml:space="preserve"> como por ejemplo cómics, dibujos animados y juegos interactivos;  colaboración con los ministerios de educación a fin de introducir, si procede, el fomento del respeto por la P.I. en los planes de estudio o poner en marcha competiciones escolares sobre el fomento del respeto por la P.I.;  inclusión de actividades en el marco de ferias cient</w:t>
      </w:r>
      <w:r w:rsidR="00EE5CC4" w:rsidRPr="003F060D">
        <w:rPr>
          <w:rFonts w:eastAsia="Times New Roman"/>
          <w:szCs w:val="22"/>
          <w:lang w:val="es-ES_tradnl" w:eastAsia="ko-KR"/>
        </w:rPr>
        <w:t>íficas o</w:t>
      </w:r>
      <w:r w:rsidR="00C00882" w:rsidRPr="003F060D">
        <w:rPr>
          <w:rFonts w:eastAsia="Times New Roman"/>
          <w:szCs w:val="22"/>
          <w:lang w:val="es-ES_tradnl" w:eastAsia="ko-KR"/>
        </w:rPr>
        <w:t xml:space="preserve"> campamentos de verano destinados a jóvenes; </w:t>
      </w:r>
      <w:r w:rsidR="00EE5CC4" w:rsidRPr="003F060D">
        <w:rPr>
          <w:rFonts w:eastAsia="Times New Roman"/>
          <w:szCs w:val="22"/>
          <w:lang w:val="es-ES_tradnl" w:eastAsia="ko-KR"/>
        </w:rPr>
        <w:t>charlas en las escuelas a cargo de creadores e innovadores locales o funcionarios de las oficinas de P.I.</w:t>
      </w:r>
      <w:r w:rsidR="00934B5B" w:rsidRPr="003F060D">
        <w:rPr>
          <w:rFonts w:eastAsia="Times New Roman"/>
          <w:szCs w:val="22"/>
          <w:lang w:val="es-ES_tradnl" w:eastAsia="ko-KR"/>
        </w:rPr>
        <w:t>;  y elaboración de reportajes sobre jóvenes innovadores o creadores.  Para este grupo en concreto, la utilización</w:t>
      </w:r>
      <w:r w:rsidR="009B6B20" w:rsidRPr="003F060D">
        <w:rPr>
          <w:rFonts w:eastAsia="Times New Roman"/>
          <w:szCs w:val="22"/>
          <w:lang w:val="es-ES_tradnl" w:eastAsia="ko-KR"/>
        </w:rPr>
        <w:t xml:space="preserve"> </w:t>
      </w:r>
      <w:r w:rsidR="00184793" w:rsidRPr="003F060D">
        <w:rPr>
          <w:rFonts w:eastAsia="Times New Roman"/>
          <w:szCs w:val="22"/>
          <w:lang w:val="es-ES_tradnl" w:eastAsia="ko-KR"/>
        </w:rPr>
        <w:t>de las redes social</w:t>
      </w:r>
      <w:r w:rsidR="009B6B20" w:rsidRPr="003F060D">
        <w:rPr>
          <w:rFonts w:eastAsia="Times New Roman"/>
          <w:szCs w:val="22"/>
          <w:lang w:val="es-ES_tradnl" w:eastAsia="ko-KR"/>
        </w:rPr>
        <w:t>es</w:t>
      </w:r>
      <w:r w:rsidR="00934B5B" w:rsidRPr="003F060D">
        <w:rPr>
          <w:rFonts w:eastAsia="Times New Roman"/>
          <w:szCs w:val="22"/>
          <w:lang w:val="es-ES_tradnl" w:eastAsia="ko-KR"/>
        </w:rPr>
        <w:t>, gestionada por la oficina de P.I., puede resultar útil a fin de proporcionar información sobre la P.I. y poder interactuar de manera estrecha con los jóvenes en relación con la capacidad inventiva y la creatividad de sus coetáneos de todo el mundo y la importancia que tiene adquirir una cultura de respeto por la P.I.</w:t>
      </w:r>
    </w:p>
    <w:p w:rsidR="00BA5D63" w:rsidRPr="003F060D" w:rsidRDefault="00BA5D63" w:rsidP="00A66FE9">
      <w:pPr>
        <w:pStyle w:val="ListParagraph"/>
        <w:tabs>
          <w:tab w:val="left" w:pos="1080"/>
        </w:tabs>
        <w:ind w:left="540"/>
        <w:rPr>
          <w:rFonts w:eastAsia="Times New Roman"/>
          <w:szCs w:val="22"/>
          <w:lang w:val="es-ES_tradnl" w:eastAsia="ko-KR"/>
        </w:rPr>
      </w:pPr>
    </w:p>
    <w:p w:rsidR="00BA5D63" w:rsidRPr="003F060D" w:rsidRDefault="00CA1CDC" w:rsidP="00CA1CDC">
      <w:pPr>
        <w:pStyle w:val="ListParagraph"/>
        <w:tabs>
          <w:tab w:val="left" w:pos="1080"/>
        </w:tabs>
        <w:ind w:left="540"/>
        <w:rPr>
          <w:rFonts w:eastAsia="Times New Roman"/>
          <w:szCs w:val="22"/>
          <w:lang w:val="es-ES_tradnl" w:eastAsia="ko-KR"/>
        </w:rPr>
      </w:pPr>
      <w:r w:rsidRPr="003F060D">
        <w:rPr>
          <w:rFonts w:eastAsia="Times New Roman"/>
          <w:szCs w:val="22"/>
          <w:lang w:val="es-ES_tradnl" w:eastAsia="ko-KR"/>
        </w:rPr>
        <w:lastRenderedPageBreak/>
        <w:t>c)</w:t>
      </w:r>
      <w:r w:rsidRPr="003F060D">
        <w:rPr>
          <w:rFonts w:eastAsia="Times New Roman"/>
          <w:szCs w:val="22"/>
          <w:lang w:val="es-ES_tradnl" w:eastAsia="ko-KR"/>
        </w:rPr>
        <w:tab/>
      </w:r>
      <w:r w:rsidR="000C5150" w:rsidRPr="003F060D">
        <w:rPr>
          <w:szCs w:val="22"/>
          <w:lang w:val="es-ES_tradnl"/>
        </w:rPr>
        <w:t>Los funcionarios encargados de hacer cumplir la Ley</w:t>
      </w:r>
      <w:r w:rsidR="00A66FE9" w:rsidRPr="003F060D">
        <w:rPr>
          <w:rFonts w:eastAsia="Times New Roman"/>
          <w:szCs w:val="22"/>
          <w:lang w:val="es-ES_tradnl" w:eastAsia="ko-KR"/>
        </w:rPr>
        <w:t xml:space="preserve">, </w:t>
      </w:r>
      <w:r w:rsidR="000C5150" w:rsidRPr="003F060D">
        <w:rPr>
          <w:rFonts w:eastAsia="Times New Roman"/>
          <w:szCs w:val="22"/>
          <w:lang w:val="es-ES_tradnl" w:eastAsia="ko-KR"/>
        </w:rPr>
        <w:t xml:space="preserve">como por ejemplo los funcionarios de aduanas, la policía, los fiscales y los magistrados, son actores importantes dentro de toda Estrategia encaminada a fomentar el respeto por la P.I.  La oficina de aduanas participa de forma activa en la sensibilización mediante la exposición en las fronteras de carteles contra la falsificación, y en los países en desarrollo y los menos adelantados la policía y los inspectores de vigilancia del mercado </w:t>
      </w:r>
      <w:r w:rsidR="00C236C3" w:rsidRPr="003F060D">
        <w:rPr>
          <w:rFonts w:eastAsia="Times New Roman"/>
          <w:szCs w:val="22"/>
          <w:lang w:val="es-ES_tradnl" w:eastAsia="ko-KR"/>
        </w:rPr>
        <w:t xml:space="preserve">actúan con frecuencia como educadores en las economías informales y en los pequeños comercios antes de iniciar un procedimiento judicial.  Entre las actividades adaptadas a este grupo objetivo se incluyen principalmente el fortalecimiento de las capacidades mediante talleres y manuales de </w:t>
      </w:r>
      <w:r w:rsidR="00E35E99" w:rsidRPr="003F060D">
        <w:rPr>
          <w:rFonts w:eastAsia="Times New Roman"/>
          <w:szCs w:val="22"/>
          <w:lang w:val="es-ES_tradnl" w:eastAsia="ko-KR"/>
        </w:rPr>
        <w:t>formación</w:t>
      </w:r>
      <w:r w:rsidR="00C236C3" w:rsidRPr="003F060D">
        <w:rPr>
          <w:rFonts w:eastAsia="Times New Roman"/>
          <w:szCs w:val="22"/>
          <w:lang w:val="es-ES_tradnl" w:eastAsia="ko-KR"/>
        </w:rPr>
        <w:t xml:space="preserve"> sobre temas como: </w:t>
      </w:r>
      <w:r w:rsidR="008F4637" w:rsidRPr="003F060D">
        <w:rPr>
          <w:rFonts w:eastAsia="Times New Roman"/>
          <w:szCs w:val="22"/>
          <w:lang w:val="es-ES_tradnl" w:eastAsia="ko-KR"/>
        </w:rPr>
        <w:t xml:space="preserve"> repercusiones</w:t>
      </w:r>
      <w:r w:rsidR="00C236C3" w:rsidRPr="003F060D">
        <w:rPr>
          <w:rFonts w:eastAsia="Times New Roman"/>
          <w:szCs w:val="22"/>
          <w:lang w:val="es-ES_tradnl" w:eastAsia="ko-KR"/>
        </w:rPr>
        <w:t xml:space="preserve"> de la protección y la observancia de la P.I. en el contexto del desarrollo económico y social;  normas mínimas y flexibilidades contenidas en la Parte III del Acuerdo sobre los ADPIC</w:t>
      </w:r>
      <w:r w:rsidR="008F4637" w:rsidRPr="003F060D">
        <w:rPr>
          <w:rFonts w:eastAsia="Times New Roman"/>
          <w:szCs w:val="22"/>
          <w:lang w:val="es-ES_tradnl" w:eastAsia="ko-KR"/>
        </w:rPr>
        <w:t xml:space="preserve"> y en las legislaciones nacionales de P.I.</w:t>
      </w:r>
      <w:r w:rsidR="00C236C3" w:rsidRPr="003F060D">
        <w:rPr>
          <w:rFonts w:eastAsia="Times New Roman"/>
          <w:szCs w:val="22"/>
          <w:lang w:val="es-ES_tradnl" w:eastAsia="ko-KR"/>
        </w:rPr>
        <w:t xml:space="preserve">;  </w:t>
      </w:r>
      <w:r w:rsidR="008F4637" w:rsidRPr="003F060D">
        <w:rPr>
          <w:rFonts w:eastAsia="Times New Roman"/>
          <w:szCs w:val="22"/>
          <w:lang w:val="es-ES_tradnl" w:eastAsia="ko-KR"/>
        </w:rPr>
        <w:t xml:space="preserve">interés público por hacerle frente a los delitos contra la P.I.;  aumento y mejora de la detección y condena de </w:t>
      </w:r>
      <w:r w:rsidR="00BA2ACD" w:rsidRPr="003F060D">
        <w:rPr>
          <w:rFonts w:eastAsia="Times New Roman"/>
          <w:szCs w:val="22"/>
          <w:lang w:val="es-ES_tradnl" w:eastAsia="ko-KR"/>
        </w:rPr>
        <w:t xml:space="preserve">los delitos de P.I.;  beneficios de </w:t>
      </w:r>
      <w:r w:rsidR="00E35E99" w:rsidRPr="003F060D">
        <w:rPr>
          <w:rFonts w:eastAsia="Times New Roman"/>
          <w:szCs w:val="22"/>
          <w:lang w:val="es-ES_tradnl" w:eastAsia="ko-KR"/>
        </w:rPr>
        <w:t xml:space="preserve">mejorar la eficacia en función de los costos y del tiempo de </w:t>
      </w:r>
      <w:r w:rsidR="00BA2ACD" w:rsidRPr="003F060D">
        <w:rPr>
          <w:rFonts w:eastAsia="Times New Roman"/>
          <w:szCs w:val="22"/>
          <w:lang w:val="es-ES_tradnl" w:eastAsia="ko-KR"/>
        </w:rPr>
        <w:t>los procedimientos judiciales</w:t>
      </w:r>
      <w:r w:rsidR="00E35E99" w:rsidRPr="003F060D">
        <w:rPr>
          <w:rFonts w:eastAsia="Times New Roman"/>
          <w:szCs w:val="22"/>
          <w:lang w:val="es-ES_tradnl" w:eastAsia="ko-KR"/>
        </w:rPr>
        <w:t xml:space="preserve">; </w:t>
      </w:r>
      <w:r w:rsidR="00BA2ACD" w:rsidRPr="003F060D">
        <w:rPr>
          <w:rFonts w:eastAsia="Times New Roman"/>
          <w:szCs w:val="22"/>
          <w:lang w:val="es-ES_tradnl" w:eastAsia="ko-KR"/>
        </w:rPr>
        <w:t xml:space="preserve"> </w:t>
      </w:r>
      <w:r w:rsidR="00B67E02" w:rsidRPr="003F060D">
        <w:rPr>
          <w:rFonts w:eastAsia="Times New Roman"/>
          <w:szCs w:val="22"/>
          <w:lang w:val="es-ES_tradnl" w:eastAsia="ko-KR"/>
        </w:rPr>
        <w:t xml:space="preserve">y </w:t>
      </w:r>
      <w:r w:rsidR="00E35E99" w:rsidRPr="003F060D">
        <w:rPr>
          <w:rFonts w:eastAsia="Times New Roman"/>
          <w:szCs w:val="22"/>
          <w:lang w:val="es-ES_tradnl" w:eastAsia="ko-KR"/>
        </w:rPr>
        <w:t>eliminación de forma equitativa de los productos que infringen la P.I.  En esta formación podrían participar los titulares de derechos y las asociaciones de consumidores cuando sea pertinente.</w:t>
      </w:r>
    </w:p>
    <w:p w:rsidR="00BA5D63" w:rsidRPr="003F060D" w:rsidRDefault="00BA5D63" w:rsidP="00C0789C">
      <w:pPr>
        <w:tabs>
          <w:tab w:val="left" w:pos="1080"/>
        </w:tabs>
        <w:rPr>
          <w:rFonts w:eastAsia="Times New Roman"/>
          <w:szCs w:val="22"/>
          <w:lang w:val="es-ES_tradnl" w:eastAsia="ko-KR"/>
        </w:rPr>
      </w:pPr>
    </w:p>
    <w:p w:rsidR="00BA5D63" w:rsidRPr="003F060D" w:rsidRDefault="00CA1CDC" w:rsidP="00CA1CDC">
      <w:pPr>
        <w:pStyle w:val="ListParagraph"/>
        <w:tabs>
          <w:tab w:val="left" w:pos="1080"/>
        </w:tabs>
        <w:ind w:left="540"/>
        <w:rPr>
          <w:rFonts w:eastAsia="Times New Roman"/>
          <w:szCs w:val="22"/>
          <w:lang w:val="es-ES_tradnl" w:eastAsia="ko-KR"/>
        </w:rPr>
      </w:pPr>
      <w:r w:rsidRPr="003F060D">
        <w:rPr>
          <w:rFonts w:eastAsia="Times New Roman"/>
          <w:szCs w:val="22"/>
          <w:lang w:val="es-ES_tradnl" w:eastAsia="ko-KR"/>
        </w:rPr>
        <w:t>d)</w:t>
      </w:r>
      <w:r w:rsidRPr="003F060D">
        <w:rPr>
          <w:rFonts w:eastAsia="Times New Roman"/>
          <w:szCs w:val="22"/>
          <w:lang w:val="es-ES_tradnl" w:eastAsia="ko-KR"/>
        </w:rPr>
        <w:tab/>
      </w:r>
      <w:r w:rsidR="00672920" w:rsidRPr="003F060D">
        <w:rPr>
          <w:rFonts w:eastAsia="Times New Roman"/>
          <w:szCs w:val="22"/>
          <w:lang w:val="es-ES_tradnl" w:eastAsia="ko-KR"/>
        </w:rPr>
        <w:t xml:space="preserve">Las universidades y los centros de </w:t>
      </w:r>
      <w:r w:rsidR="00583559" w:rsidRPr="003F060D">
        <w:rPr>
          <w:rFonts w:eastAsia="Times New Roman"/>
          <w:szCs w:val="22"/>
          <w:lang w:val="es-ES_tradnl" w:eastAsia="ko-KR"/>
        </w:rPr>
        <w:t>I+D</w:t>
      </w:r>
      <w:r w:rsidR="00672920" w:rsidRPr="003F060D">
        <w:rPr>
          <w:rFonts w:eastAsia="Times New Roman"/>
          <w:szCs w:val="22"/>
          <w:lang w:val="es-ES_tradnl" w:eastAsia="ko-KR"/>
        </w:rPr>
        <w:t xml:space="preserve"> son titulares y usuarios potencial</w:t>
      </w:r>
      <w:r w:rsidR="00583559" w:rsidRPr="003F060D">
        <w:rPr>
          <w:rFonts w:eastAsia="Times New Roman"/>
          <w:szCs w:val="22"/>
          <w:lang w:val="es-ES_tradnl" w:eastAsia="ko-KR"/>
        </w:rPr>
        <w:t>es de los derechos de P.I.  Entre l</w:t>
      </w:r>
      <w:r w:rsidR="00672920" w:rsidRPr="003F060D">
        <w:rPr>
          <w:rFonts w:eastAsia="Times New Roman"/>
          <w:szCs w:val="22"/>
          <w:lang w:val="es-ES_tradnl" w:eastAsia="ko-KR"/>
        </w:rPr>
        <w:t>as actividades propuestas a fin de sensibilizar a</w:t>
      </w:r>
      <w:r w:rsidR="00583559" w:rsidRPr="003F060D">
        <w:rPr>
          <w:rFonts w:eastAsia="Times New Roman"/>
          <w:szCs w:val="22"/>
          <w:lang w:val="es-ES_tradnl" w:eastAsia="ko-KR"/>
        </w:rPr>
        <w:t xml:space="preserve"> los estudiantes, los investigadores y los profesores se encuentran las siguientes</w:t>
      </w:r>
      <w:proofErr w:type="gramStart"/>
      <w:r w:rsidR="00583559" w:rsidRPr="003F060D">
        <w:rPr>
          <w:rFonts w:eastAsia="Times New Roman"/>
          <w:szCs w:val="22"/>
          <w:lang w:val="es-ES_tradnl" w:eastAsia="ko-KR"/>
        </w:rPr>
        <w:t>:  desarrollo</w:t>
      </w:r>
      <w:proofErr w:type="gramEnd"/>
      <w:r w:rsidR="00583559" w:rsidRPr="003F060D">
        <w:rPr>
          <w:rFonts w:eastAsia="Times New Roman"/>
          <w:szCs w:val="22"/>
          <w:lang w:val="es-ES_tradnl" w:eastAsia="ko-KR"/>
        </w:rPr>
        <w:t xml:space="preserve"> de políticas internas de P.I. para las universidades y los centros de I+D;  introducción de conceptos básicos en materia de P.I. en el plan general de estudios;  proponer acuerdos con los titulares de derechos </w:t>
      </w:r>
      <w:r w:rsidR="00A97C53" w:rsidRPr="003F060D">
        <w:rPr>
          <w:rFonts w:eastAsia="Times New Roman"/>
          <w:szCs w:val="22"/>
          <w:lang w:val="es-ES_tradnl" w:eastAsia="ko-KR"/>
        </w:rPr>
        <w:t>con el fin de poner freno al uso indebido de los derechos reprográficos.</w:t>
      </w:r>
    </w:p>
    <w:p w:rsidR="00BA5D63" w:rsidRPr="003F060D" w:rsidRDefault="00BA5D63" w:rsidP="00A214D0">
      <w:pPr>
        <w:tabs>
          <w:tab w:val="left" w:pos="1080"/>
        </w:tabs>
        <w:rPr>
          <w:rFonts w:eastAsia="Times New Roman"/>
          <w:szCs w:val="22"/>
          <w:lang w:val="es-ES_tradnl" w:eastAsia="ko-KR"/>
        </w:rPr>
      </w:pPr>
    </w:p>
    <w:p w:rsidR="00BA5D63" w:rsidRPr="003F060D" w:rsidRDefault="00CA1CDC" w:rsidP="00CA1CDC">
      <w:pPr>
        <w:pStyle w:val="ListParagraph"/>
        <w:tabs>
          <w:tab w:val="left" w:pos="1080"/>
        </w:tabs>
        <w:ind w:left="540"/>
        <w:rPr>
          <w:rFonts w:eastAsia="Times New Roman"/>
          <w:szCs w:val="22"/>
          <w:lang w:val="es-ES_tradnl" w:eastAsia="ko-KR"/>
        </w:rPr>
      </w:pPr>
      <w:r w:rsidRPr="003F060D">
        <w:rPr>
          <w:rFonts w:eastAsia="Times New Roman"/>
          <w:szCs w:val="22"/>
          <w:lang w:val="es-ES_tradnl" w:eastAsia="ko-KR"/>
        </w:rPr>
        <w:t>e)</w:t>
      </w:r>
      <w:r w:rsidRPr="003F060D">
        <w:rPr>
          <w:rFonts w:eastAsia="Times New Roman"/>
          <w:szCs w:val="22"/>
          <w:lang w:val="es-ES_tradnl" w:eastAsia="ko-KR"/>
        </w:rPr>
        <w:tab/>
      </w:r>
      <w:r w:rsidR="00E54A2D" w:rsidRPr="003F060D">
        <w:rPr>
          <w:rFonts w:eastAsia="Times New Roman"/>
          <w:szCs w:val="22"/>
          <w:lang w:val="es-ES_tradnl" w:eastAsia="ko-KR"/>
        </w:rPr>
        <w:t xml:space="preserve">Las pequeñas y medianas empresas (pymes) y los creadores e innovadores individuales son </w:t>
      </w:r>
      <w:r w:rsidR="008D2989" w:rsidRPr="003F060D">
        <w:rPr>
          <w:rFonts w:eastAsia="Times New Roman"/>
          <w:szCs w:val="22"/>
          <w:lang w:val="es-ES_tradnl" w:eastAsia="ko-KR"/>
        </w:rPr>
        <w:t>el motor</w:t>
      </w:r>
      <w:r w:rsidR="00E54A2D" w:rsidRPr="003F060D">
        <w:rPr>
          <w:rFonts w:eastAsia="Times New Roman"/>
          <w:szCs w:val="22"/>
          <w:lang w:val="es-ES_tradnl" w:eastAsia="ko-KR"/>
        </w:rPr>
        <w:t xml:space="preserve"> de muchas economías.  Entre las actividades adaptadas a este grupo se podrían incluir:  </w:t>
      </w:r>
      <w:r w:rsidR="008D2989" w:rsidRPr="003F060D">
        <w:rPr>
          <w:rFonts w:eastAsia="Times New Roman"/>
          <w:szCs w:val="22"/>
          <w:lang w:val="es-ES_tradnl" w:eastAsia="ko-KR"/>
        </w:rPr>
        <w:t xml:space="preserve">colaboración con las cámaras de comercio, </w:t>
      </w:r>
      <w:r w:rsidR="007E1681" w:rsidRPr="003F060D">
        <w:rPr>
          <w:rFonts w:eastAsia="Times New Roman"/>
          <w:szCs w:val="22"/>
          <w:lang w:val="es-ES_tradnl" w:eastAsia="ko-KR"/>
        </w:rPr>
        <w:t xml:space="preserve">asociaciones manufactureras, agrupaciones empresariales y demás sectores interesados y asociaciones con el fin de ofrecer un enfoque coordinado </w:t>
      </w:r>
      <w:r w:rsidR="00FB4FD0" w:rsidRPr="003F060D">
        <w:rPr>
          <w:rFonts w:eastAsia="Times New Roman"/>
          <w:szCs w:val="22"/>
          <w:lang w:val="es-ES_tradnl" w:eastAsia="ko-KR"/>
        </w:rPr>
        <w:t xml:space="preserve">que tenga en cuenta las necesidades de las pymes, los creadores y los innovadores en cuanto al fomento del respeto por la P.I.;  sensibilización de los innovadores y los creadores acerca del valor que tiene su labor en el ámbito de la P.I., no solo como fuente de financiación, sino también para la sociedad en general;  elaboración de estadísticas y estudios de caso sobre la </w:t>
      </w:r>
      <w:r w:rsidR="008307C7" w:rsidRPr="003F060D">
        <w:rPr>
          <w:rFonts w:eastAsia="Times New Roman"/>
          <w:szCs w:val="22"/>
          <w:lang w:val="es-ES_tradnl" w:eastAsia="ko-KR"/>
        </w:rPr>
        <w:t>observancia de la P.I. que interesen en especial a las pymes.</w:t>
      </w:r>
    </w:p>
    <w:p w:rsidR="00BA5D63" w:rsidRPr="003F060D" w:rsidRDefault="00BA5D63" w:rsidP="00A214D0">
      <w:pPr>
        <w:tabs>
          <w:tab w:val="left" w:pos="1080"/>
        </w:tabs>
        <w:rPr>
          <w:rFonts w:eastAsia="Times New Roman"/>
          <w:szCs w:val="22"/>
          <w:lang w:val="es-ES_tradnl" w:eastAsia="ko-KR"/>
        </w:rPr>
      </w:pPr>
    </w:p>
    <w:p w:rsidR="00BA5D63" w:rsidRPr="003F060D" w:rsidRDefault="00CA1CDC" w:rsidP="00CA1CDC">
      <w:pPr>
        <w:pStyle w:val="ListParagraph"/>
        <w:tabs>
          <w:tab w:val="left" w:pos="1080"/>
        </w:tabs>
        <w:ind w:left="540"/>
        <w:rPr>
          <w:rFonts w:eastAsia="Times New Roman"/>
          <w:szCs w:val="22"/>
          <w:lang w:val="es-ES_tradnl" w:eastAsia="ko-KR"/>
        </w:rPr>
      </w:pPr>
      <w:r w:rsidRPr="003F060D">
        <w:rPr>
          <w:rFonts w:eastAsia="Times New Roman"/>
          <w:szCs w:val="22"/>
          <w:lang w:val="es-ES_tradnl" w:eastAsia="ko-KR"/>
        </w:rPr>
        <w:t>f)</w:t>
      </w:r>
      <w:r w:rsidRPr="003F060D">
        <w:rPr>
          <w:rFonts w:eastAsia="Times New Roman"/>
          <w:szCs w:val="22"/>
          <w:lang w:val="es-ES_tradnl" w:eastAsia="ko-KR"/>
        </w:rPr>
        <w:tab/>
      </w:r>
      <w:r w:rsidR="00ED2DF7" w:rsidRPr="003F060D">
        <w:rPr>
          <w:rFonts w:eastAsia="Times New Roman"/>
          <w:szCs w:val="22"/>
          <w:lang w:val="es-ES_tradnl" w:eastAsia="ko-KR"/>
        </w:rPr>
        <w:t>Los medios de comunicación son unos asociados de gran valor para transmitir el</w:t>
      </w:r>
      <w:r w:rsidR="003A775A" w:rsidRPr="003F060D">
        <w:rPr>
          <w:rFonts w:eastAsia="Times New Roman"/>
          <w:szCs w:val="22"/>
          <w:lang w:val="es-ES_tradnl" w:eastAsia="ko-KR"/>
        </w:rPr>
        <w:t xml:space="preserve"> respeto por la P.I. al público</w:t>
      </w:r>
      <w:r w:rsidR="00ED2DF7" w:rsidRPr="003F060D">
        <w:rPr>
          <w:rFonts w:eastAsia="Times New Roman"/>
          <w:szCs w:val="22"/>
          <w:lang w:val="es-ES_tradnl" w:eastAsia="ko-KR"/>
        </w:rPr>
        <w:t xml:space="preserve"> y el establecimiento de alianzas sólidas con contactos clave en el ámbito de los medios de comunicación puede resultar esencial para el éxito de la Estrategia.  Entre las actividades adaptadas a fin de asegurarse de que los asociados en este sector sean conscientes de la importancia que tiene la Estrategia para el interés público se podrían incluir las siguientes:  formación específica para periodistas;  organización de conferencias de prensa de manera habitual por parte de la oficina de P.I. con el fin de mantener a los periodistas informados acerca de asuntos relacionados con la P.I.</w:t>
      </w:r>
      <w:r w:rsidR="00B33D7B" w:rsidRPr="003F060D">
        <w:rPr>
          <w:rFonts w:eastAsia="Times New Roman"/>
          <w:szCs w:val="22"/>
          <w:lang w:val="es-ES_tradnl" w:eastAsia="ko-KR"/>
        </w:rPr>
        <w:t>,</w:t>
      </w:r>
      <w:r w:rsidR="00AE085A" w:rsidRPr="003F060D">
        <w:rPr>
          <w:rFonts w:eastAsia="Times New Roman"/>
          <w:szCs w:val="22"/>
          <w:lang w:val="es-ES_tradnl" w:eastAsia="ko-KR"/>
        </w:rPr>
        <w:t xml:space="preserve"> en las que se distribuyan además kits de prensa con información</w:t>
      </w:r>
      <w:r w:rsidR="00CC295C" w:rsidRPr="003F060D">
        <w:rPr>
          <w:rFonts w:eastAsia="Times New Roman"/>
          <w:szCs w:val="22"/>
          <w:lang w:val="es-ES_tradnl" w:eastAsia="ko-KR"/>
        </w:rPr>
        <w:t xml:space="preserve"> en materia de P.I.</w:t>
      </w:r>
      <w:r w:rsidR="00AE085A" w:rsidRPr="003F060D">
        <w:rPr>
          <w:rFonts w:eastAsia="Times New Roman"/>
          <w:szCs w:val="22"/>
          <w:lang w:val="es-ES_tradnl" w:eastAsia="ko-KR"/>
        </w:rPr>
        <w:t xml:space="preserve"> pertinente y lista para usar</w:t>
      </w:r>
      <w:r w:rsidR="00ED2DF7" w:rsidRPr="003F060D">
        <w:rPr>
          <w:rFonts w:eastAsia="Times New Roman"/>
          <w:szCs w:val="22"/>
          <w:lang w:val="es-ES_tradnl" w:eastAsia="ko-KR"/>
        </w:rPr>
        <w:t xml:space="preserve">;  </w:t>
      </w:r>
      <w:r w:rsidR="005A0939" w:rsidRPr="003F060D">
        <w:rPr>
          <w:rFonts w:eastAsia="Times New Roman"/>
          <w:szCs w:val="22"/>
          <w:lang w:val="es-ES_tradnl" w:eastAsia="ko-KR"/>
        </w:rPr>
        <w:t>cel</w:t>
      </w:r>
      <w:r w:rsidR="00AE085A" w:rsidRPr="003F060D">
        <w:rPr>
          <w:rFonts w:eastAsia="Times New Roman"/>
          <w:szCs w:val="22"/>
          <w:lang w:val="es-ES_tradnl" w:eastAsia="ko-KR"/>
        </w:rPr>
        <w:t>ebración de forma regular de sesiones informativas en las que se informe acerca de las nuevas campañas que se pongan en marcha en el marco de la Estrategia;  instauración de un premio anual a la mejor cobertura de temas relacionados con la P.I., que será entregado por un alto cargo gubernamental.</w:t>
      </w:r>
    </w:p>
    <w:p w:rsidR="00BA5D63" w:rsidRPr="003F060D" w:rsidRDefault="00BA5D63" w:rsidP="006F221B">
      <w:pPr>
        <w:tabs>
          <w:tab w:val="left" w:pos="1134"/>
        </w:tabs>
        <w:rPr>
          <w:rFonts w:eastAsia="Times New Roman"/>
          <w:szCs w:val="22"/>
          <w:lang w:val="es-ES_tradnl" w:eastAsia="ko-KR"/>
        </w:rPr>
      </w:pPr>
    </w:p>
    <w:p w:rsidR="00BA5D63" w:rsidRPr="003F060D" w:rsidRDefault="00AA26D5" w:rsidP="00A445A9">
      <w:pPr>
        <w:rPr>
          <w:rFonts w:eastAsia="Times New Roman"/>
          <w:szCs w:val="22"/>
          <w:lang w:val="es-ES_tradnl" w:eastAsia="ko-KR"/>
        </w:rPr>
      </w:pPr>
      <w:r w:rsidRPr="003F060D">
        <w:rPr>
          <w:rFonts w:eastAsia="Times New Roman"/>
          <w:szCs w:val="22"/>
          <w:lang w:val="es-ES_tradnl" w:eastAsia="ko-KR"/>
        </w:rPr>
        <w:fldChar w:fldCharType="begin"/>
      </w:r>
      <w:r w:rsidR="00100EC3" w:rsidRPr="003F060D">
        <w:rPr>
          <w:rFonts w:eastAsia="Times New Roman"/>
          <w:szCs w:val="22"/>
          <w:lang w:val="es-ES_tradnl" w:eastAsia="ko-KR"/>
        </w:rPr>
        <w:instrText xml:space="preserve"> AUTONUM  </w:instrText>
      </w:r>
      <w:r w:rsidRPr="003F060D">
        <w:rPr>
          <w:rFonts w:eastAsia="Times New Roman"/>
          <w:szCs w:val="22"/>
          <w:lang w:val="es-ES_tradnl" w:eastAsia="ko-KR"/>
        </w:rPr>
        <w:fldChar w:fldCharType="end"/>
      </w:r>
      <w:r w:rsidR="00100EC3" w:rsidRPr="003F060D">
        <w:rPr>
          <w:rFonts w:eastAsia="Times New Roman"/>
          <w:szCs w:val="22"/>
          <w:lang w:val="es-ES_tradnl" w:eastAsia="ko-KR"/>
        </w:rPr>
        <w:tab/>
      </w:r>
      <w:r w:rsidR="00B33D7B" w:rsidRPr="003F060D">
        <w:rPr>
          <w:rFonts w:eastAsia="Times New Roman"/>
          <w:i/>
          <w:szCs w:val="22"/>
          <w:lang w:val="es-ES_tradnl" w:eastAsia="ko-KR"/>
        </w:rPr>
        <w:t>Valoración y evaluación</w:t>
      </w:r>
      <w:r w:rsidR="00B90C06" w:rsidRPr="003F060D">
        <w:rPr>
          <w:rFonts w:eastAsia="Times New Roman"/>
          <w:szCs w:val="22"/>
          <w:lang w:val="es-ES_tradnl" w:eastAsia="ko-KR"/>
        </w:rPr>
        <w:t xml:space="preserve">     </w:t>
      </w:r>
      <w:r w:rsidR="00B33D7B" w:rsidRPr="003F060D">
        <w:rPr>
          <w:rFonts w:eastAsia="Times New Roman"/>
          <w:szCs w:val="22"/>
          <w:lang w:val="es-ES_tradnl" w:eastAsia="ko-KR"/>
        </w:rPr>
        <w:t xml:space="preserve">Será necesario supervisar todas las actividades y, cuando se hayan completado, valorar la acogida del grupo objetivo (teniendo en cuenta entre otros aspectos los conocimientos y la sensibilización adquiridos por medio de la actividad y la </w:t>
      </w:r>
      <w:r w:rsidR="00B33D7B" w:rsidRPr="003F060D">
        <w:rPr>
          <w:rFonts w:eastAsia="Times New Roman"/>
          <w:szCs w:val="22"/>
          <w:lang w:val="es-ES_tradnl" w:eastAsia="ko-KR"/>
        </w:rPr>
        <w:lastRenderedPageBreak/>
        <w:t xml:space="preserve">incidencia de esta en cuanto a cambio de comportamiento), los resultados obtenidos y las conclusiones extraídas, y evaluar la consecución del objetivo inicial y la finalidad específica de la actividad.  Este examen resulta fundamental, ya que la Estrategia </w:t>
      </w:r>
      <w:r w:rsidR="000D4E08" w:rsidRPr="003F060D">
        <w:rPr>
          <w:rFonts w:eastAsia="Times New Roman"/>
          <w:szCs w:val="22"/>
          <w:lang w:val="es-ES_tradnl" w:eastAsia="ko-KR"/>
        </w:rPr>
        <w:t>se traduce en proyectos plurianuales que van nutriendo las estrategias nacionales de P.I. así como en estrategias más amplias en materia de desarrollo.  La Estrategia propuesta depende en gran medida de la función que desempeñen las oficinas de P.I. en su elaboración, adopción y ejecución.  Será necesario contar con el esfuerzo coordinado de todos los ministerios, instituciones privadas y asociaciones implicadas.</w:t>
      </w:r>
      <w:r w:rsidR="00100EC3" w:rsidRPr="003F060D">
        <w:rPr>
          <w:rFonts w:eastAsia="Times New Roman"/>
          <w:szCs w:val="22"/>
          <w:lang w:val="es-ES_tradnl" w:eastAsia="ko-KR"/>
        </w:rPr>
        <w:t xml:space="preserve"> </w:t>
      </w:r>
    </w:p>
    <w:p w:rsidR="00BA5D63" w:rsidRPr="003F060D" w:rsidRDefault="00BA5D63" w:rsidP="00A445A9">
      <w:pPr>
        <w:rPr>
          <w:rFonts w:eastAsia="Times New Roman"/>
          <w:szCs w:val="22"/>
          <w:lang w:val="es-ES_tradnl" w:eastAsia="ko-KR"/>
        </w:rPr>
      </w:pPr>
    </w:p>
    <w:p w:rsidR="00BA5D63" w:rsidRPr="003F060D" w:rsidRDefault="00AA26D5" w:rsidP="00A445A9">
      <w:pPr>
        <w:rPr>
          <w:rFonts w:eastAsia="Times New Roman"/>
          <w:szCs w:val="22"/>
          <w:lang w:val="es-ES_tradnl" w:eastAsia="ko-KR"/>
        </w:rPr>
      </w:pPr>
      <w:r w:rsidRPr="003F060D">
        <w:rPr>
          <w:rFonts w:eastAsia="Times New Roman"/>
          <w:szCs w:val="22"/>
          <w:lang w:val="es-ES_tradnl" w:eastAsia="ko-KR"/>
        </w:rPr>
        <w:fldChar w:fldCharType="begin"/>
      </w:r>
      <w:r w:rsidR="00100EC3" w:rsidRPr="003F060D">
        <w:rPr>
          <w:rFonts w:eastAsia="Times New Roman"/>
          <w:szCs w:val="22"/>
          <w:lang w:val="es-ES_tradnl" w:eastAsia="ko-KR"/>
        </w:rPr>
        <w:instrText xml:space="preserve"> AUTONUM  </w:instrText>
      </w:r>
      <w:r w:rsidRPr="003F060D">
        <w:rPr>
          <w:rFonts w:eastAsia="Times New Roman"/>
          <w:szCs w:val="22"/>
          <w:lang w:val="es-ES_tradnl" w:eastAsia="ko-KR"/>
        </w:rPr>
        <w:fldChar w:fldCharType="end"/>
      </w:r>
      <w:r w:rsidR="00100EC3" w:rsidRPr="003F060D">
        <w:rPr>
          <w:rFonts w:eastAsia="Times New Roman"/>
          <w:szCs w:val="22"/>
          <w:lang w:val="es-ES_tradnl" w:eastAsia="ko-KR"/>
        </w:rPr>
        <w:tab/>
      </w:r>
      <w:r w:rsidR="0029345D" w:rsidRPr="003F060D">
        <w:rPr>
          <w:rFonts w:eastAsia="Times New Roman"/>
          <w:szCs w:val="22"/>
          <w:lang w:val="es-ES_tradnl" w:eastAsia="ko-KR"/>
        </w:rPr>
        <w:t xml:space="preserve">La experiencia nos muestra que la observancia por sí sola no ha bastado para resolver el problema de la falsificación y la piratería.  </w:t>
      </w:r>
      <w:r w:rsidR="001C0755" w:rsidRPr="003F060D">
        <w:rPr>
          <w:rFonts w:eastAsia="Times New Roman"/>
          <w:szCs w:val="22"/>
          <w:lang w:val="es-ES_tradnl" w:eastAsia="ko-KR"/>
        </w:rPr>
        <w:t xml:space="preserve">Por esta razón, la sensibilización podría ser un factor decisivo en la matriz de medidas preventivas encaminadas a hacerle frente al problema, aumentando la noción del público respecto de los beneficios del sistema de P.I. y </w:t>
      </w:r>
      <w:r w:rsidR="00BD46C1" w:rsidRPr="003F060D">
        <w:rPr>
          <w:rFonts w:eastAsia="Times New Roman"/>
          <w:szCs w:val="22"/>
          <w:lang w:val="es-ES_tradnl" w:eastAsia="ko-KR"/>
        </w:rPr>
        <w:t xml:space="preserve">de </w:t>
      </w:r>
      <w:r w:rsidR="001C0755" w:rsidRPr="003F060D">
        <w:rPr>
          <w:rFonts w:eastAsia="Times New Roman"/>
          <w:szCs w:val="22"/>
          <w:lang w:val="es-ES_tradnl" w:eastAsia="ko-KR"/>
        </w:rPr>
        <w:t xml:space="preserve">las múltiples repercusiones que tiene el comercio ilegal de productos falsificados o pirateados.  A tal efecto, la </w:t>
      </w:r>
      <w:r w:rsidR="001C0755" w:rsidRPr="003F060D">
        <w:rPr>
          <w:szCs w:val="22"/>
          <w:lang w:val="es-ES_tradnl"/>
        </w:rPr>
        <w:t>Estrategia de sensibilización para fomentar el respeto por la P.I. tendrá como finalidad informar</w:t>
      </w:r>
      <w:r w:rsidR="00D723C1" w:rsidRPr="003F060D">
        <w:rPr>
          <w:szCs w:val="22"/>
          <w:lang w:val="es-ES_tradnl"/>
        </w:rPr>
        <w:t>,</w:t>
      </w:r>
      <w:r w:rsidR="001C0755" w:rsidRPr="003F060D">
        <w:rPr>
          <w:rFonts w:eastAsia="Times New Roman"/>
          <w:szCs w:val="22"/>
          <w:lang w:val="es-ES_tradnl" w:eastAsia="ko-KR"/>
        </w:rPr>
        <w:t xml:space="preserve"> </w:t>
      </w:r>
      <w:r w:rsidR="00D723C1" w:rsidRPr="003F060D">
        <w:rPr>
          <w:rFonts w:eastAsia="Times New Roman"/>
          <w:szCs w:val="22"/>
          <w:lang w:val="es-ES_tradnl" w:eastAsia="ko-KR"/>
        </w:rPr>
        <w:t xml:space="preserve">educar y, en su caso, ofrecer alternativas con el respaldo del sector privado y de la sociedad civil, tal como se señala en la Sección II </w:t>
      </w:r>
      <w:r w:rsidR="00D723C1" w:rsidRPr="003F060D">
        <w:rPr>
          <w:rFonts w:eastAsia="Times New Roman"/>
          <w:i/>
          <w:szCs w:val="22"/>
          <w:lang w:val="es-ES_tradnl" w:eastAsia="ko-KR"/>
        </w:rPr>
        <w:t>supra</w:t>
      </w:r>
      <w:r w:rsidR="00D723C1" w:rsidRPr="003F060D">
        <w:rPr>
          <w:rFonts w:eastAsia="Times New Roman"/>
          <w:szCs w:val="22"/>
          <w:lang w:val="es-ES_tradnl" w:eastAsia="ko-KR"/>
        </w:rPr>
        <w:t>.  Esta Estrategia está pensada como marco inicial que permita a los Estados miembros reflexionar acerca del desarrollo de estrategias de P.I. conexas adaptadas a las necesidades de cada Estado miembro y acordes con las políticas vigentes y los objetivos de los países en materia de desarrollo.</w:t>
      </w:r>
    </w:p>
    <w:p w:rsidR="00BA5D63" w:rsidRPr="003F060D" w:rsidRDefault="00BA5D63" w:rsidP="00A445A9">
      <w:pPr>
        <w:rPr>
          <w:rFonts w:eastAsia="Times New Roman"/>
          <w:szCs w:val="22"/>
          <w:lang w:val="es-ES_tradnl" w:eastAsia="ko-KR"/>
        </w:rPr>
      </w:pPr>
    </w:p>
    <w:p w:rsidR="00BA5D63" w:rsidRPr="003F060D" w:rsidRDefault="00BA5D63" w:rsidP="00A445A9">
      <w:pPr>
        <w:rPr>
          <w:rFonts w:eastAsia="Times New Roman"/>
          <w:szCs w:val="22"/>
          <w:lang w:val="es-ES_tradnl" w:eastAsia="ko-KR"/>
        </w:rPr>
      </w:pPr>
    </w:p>
    <w:p w:rsidR="00BA5D63" w:rsidRPr="003F060D" w:rsidRDefault="00BA5D63" w:rsidP="00A445A9">
      <w:pPr>
        <w:rPr>
          <w:rFonts w:eastAsia="Times New Roman"/>
          <w:szCs w:val="22"/>
          <w:lang w:val="es-ES_tradnl" w:eastAsia="ko-KR"/>
        </w:rPr>
      </w:pPr>
    </w:p>
    <w:p w:rsidR="00BA5D63" w:rsidRPr="003F060D" w:rsidRDefault="00BA5D63" w:rsidP="00A445A9">
      <w:pPr>
        <w:rPr>
          <w:rFonts w:eastAsia="Times New Roman"/>
          <w:szCs w:val="22"/>
          <w:lang w:val="es-ES_tradnl" w:eastAsia="ko-KR"/>
        </w:rPr>
      </w:pPr>
    </w:p>
    <w:p w:rsidR="00BA5D63" w:rsidRPr="003F060D" w:rsidRDefault="00BA5D63" w:rsidP="00A445A9">
      <w:pPr>
        <w:rPr>
          <w:rFonts w:eastAsia="Times New Roman"/>
          <w:szCs w:val="22"/>
          <w:lang w:val="es-ES_tradnl" w:eastAsia="ko-KR"/>
        </w:rPr>
      </w:pPr>
    </w:p>
    <w:p w:rsidR="00BA5D63" w:rsidRPr="003F060D" w:rsidRDefault="00BA5D63" w:rsidP="00BA5D63">
      <w:pPr>
        <w:pStyle w:val="Endofdocument-Annex"/>
        <w:rPr>
          <w:lang w:val="es-ES_tradnl" w:eastAsia="ko-KR"/>
        </w:rPr>
      </w:pPr>
      <w:r w:rsidRPr="003F060D">
        <w:rPr>
          <w:lang w:val="es-ES_tradnl" w:eastAsia="ko-KR"/>
        </w:rPr>
        <w:t>[Fin del documento]</w:t>
      </w:r>
    </w:p>
    <w:p w:rsidR="001512C5" w:rsidRPr="003F060D" w:rsidRDefault="001512C5" w:rsidP="001512C5">
      <w:pPr>
        <w:pStyle w:val="Endofdocument-Annex"/>
        <w:rPr>
          <w:lang w:val="es-ES_tradnl" w:eastAsia="ko-KR"/>
        </w:rPr>
      </w:pPr>
    </w:p>
    <w:sectPr w:rsidR="001512C5" w:rsidRPr="003F060D" w:rsidSect="00217CF7">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19E" w:rsidRDefault="00AC419E">
      <w:r>
        <w:separator/>
      </w:r>
    </w:p>
  </w:endnote>
  <w:endnote w:type="continuationSeparator" w:id="0">
    <w:p w:rsidR="00AC419E" w:rsidRDefault="00AC419E" w:rsidP="003B38C1">
      <w:r>
        <w:separator/>
      </w:r>
    </w:p>
    <w:p w:rsidR="00AC419E" w:rsidRPr="003B38C1" w:rsidRDefault="00AC419E" w:rsidP="003B38C1">
      <w:pPr>
        <w:spacing w:after="60"/>
        <w:rPr>
          <w:sz w:val="17"/>
        </w:rPr>
      </w:pPr>
      <w:r>
        <w:rPr>
          <w:sz w:val="17"/>
        </w:rPr>
        <w:t>[Endnote continued from previous page]</w:t>
      </w:r>
    </w:p>
  </w:endnote>
  <w:endnote w:type="continuationNotice" w:id="1">
    <w:p w:rsidR="00AC419E" w:rsidRPr="003B38C1" w:rsidRDefault="00AC419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19E" w:rsidRDefault="00AC419E">
      <w:r>
        <w:separator/>
      </w:r>
    </w:p>
  </w:footnote>
  <w:footnote w:type="continuationSeparator" w:id="0">
    <w:p w:rsidR="00AC419E" w:rsidRDefault="00AC419E" w:rsidP="008B60B2">
      <w:r>
        <w:separator/>
      </w:r>
    </w:p>
    <w:p w:rsidR="00AC419E" w:rsidRPr="00ED77FB" w:rsidRDefault="00AC419E" w:rsidP="008B60B2">
      <w:pPr>
        <w:spacing w:after="60"/>
        <w:rPr>
          <w:sz w:val="17"/>
          <w:szCs w:val="17"/>
        </w:rPr>
      </w:pPr>
      <w:r w:rsidRPr="00ED77FB">
        <w:rPr>
          <w:sz w:val="17"/>
          <w:szCs w:val="17"/>
        </w:rPr>
        <w:t>[Footnote continued from previous page]</w:t>
      </w:r>
    </w:p>
  </w:footnote>
  <w:footnote w:type="continuationNotice" w:id="1">
    <w:p w:rsidR="00AC419E" w:rsidRPr="00ED77FB" w:rsidRDefault="00AC419E" w:rsidP="008B60B2">
      <w:pPr>
        <w:spacing w:before="60"/>
        <w:jc w:val="right"/>
        <w:rPr>
          <w:sz w:val="17"/>
          <w:szCs w:val="17"/>
        </w:rPr>
      </w:pPr>
      <w:r w:rsidRPr="00ED77FB">
        <w:rPr>
          <w:sz w:val="17"/>
          <w:szCs w:val="17"/>
        </w:rPr>
        <w:t>[Footnote continued on next page]</w:t>
      </w:r>
    </w:p>
  </w:footnote>
  <w:footnote w:id="2">
    <w:p w:rsidR="00672920" w:rsidRPr="00C614CD" w:rsidRDefault="00672920" w:rsidP="009D3EF2">
      <w:pPr>
        <w:pStyle w:val="FootnoteText"/>
        <w:rPr>
          <w:lang w:val="es-ES"/>
        </w:rPr>
      </w:pPr>
      <w:r w:rsidRPr="00C51CF8">
        <w:rPr>
          <w:rStyle w:val="FootnoteReference"/>
        </w:rPr>
        <w:footnoteRef/>
      </w:r>
      <w:r w:rsidRPr="00C614CD">
        <w:rPr>
          <w:lang w:val="es-ES"/>
        </w:rPr>
        <w:t xml:space="preserve"> </w:t>
      </w:r>
      <w:r w:rsidRPr="00C614CD">
        <w:rPr>
          <w:lang w:val="es-ES"/>
        </w:rPr>
        <w:tab/>
        <w:t xml:space="preserve">Véanse los </w:t>
      </w:r>
      <w:hyperlink r:id="rId1" w:history="1">
        <w:r w:rsidRPr="00C614CD">
          <w:rPr>
            <w:rStyle w:val="Hyperlink"/>
            <w:lang w:val="es-ES"/>
          </w:rPr>
          <w:t>documentos preparatorios</w:t>
        </w:r>
      </w:hyperlink>
      <w:r w:rsidRPr="00C614CD">
        <w:rPr>
          <w:lang w:val="es-ES"/>
        </w:rPr>
        <w:t xml:space="preserve"> de la novena </w:t>
      </w:r>
      <w:r>
        <w:rPr>
          <w:lang w:val="es-ES"/>
        </w:rPr>
        <w:t>sesió</w:t>
      </w:r>
      <w:r w:rsidRPr="00C614CD">
        <w:rPr>
          <w:lang w:val="es-ES"/>
        </w:rPr>
        <w:t>n del ACE, en particular del</w:t>
      </w:r>
      <w:r>
        <w:rPr>
          <w:lang w:val="es-ES"/>
        </w:rPr>
        <w:t xml:space="preserve"> WIPO/ACE/9/12 al</w:t>
      </w:r>
      <w:r w:rsidRPr="00C614CD">
        <w:rPr>
          <w:lang w:val="es-ES"/>
        </w:rPr>
        <w:t xml:space="preserve"> WIPO/ACE/9/26.  </w:t>
      </w:r>
    </w:p>
  </w:footnote>
  <w:footnote w:id="3">
    <w:p w:rsidR="00672920" w:rsidRPr="00D221C4" w:rsidRDefault="00672920" w:rsidP="00827EF6">
      <w:pPr>
        <w:pStyle w:val="FootnoteText"/>
        <w:rPr>
          <w:lang w:val="es-ES"/>
        </w:rPr>
      </w:pPr>
      <w:r w:rsidRPr="00C51CF8">
        <w:rPr>
          <w:rStyle w:val="FootnoteReference"/>
        </w:rPr>
        <w:footnoteRef/>
      </w:r>
      <w:r w:rsidRPr="00D221C4">
        <w:rPr>
          <w:lang w:val="es-ES"/>
        </w:rPr>
        <w:t xml:space="preserve"> </w:t>
      </w:r>
      <w:r w:rsidRPr="00D221C4">
        <w:rPr>
          <w:lang w:val="es-ES"/>
        </w:rPr>
        <w:tab/>
        <w:t>En el programa de trabajo de la</w:t>
      </w:r>
      <w:r w:rsidRPr="00D221C4">
        <w:rPr>
          <w:szCs w:val="18"/>
          <w:lang w:val="es-ES"/>
        </w:rPr>
        <w:t xml:space="preserve"> </w:t>
      </w:r>
      <w:hyperlink r:id="rId2" w:history="1">
        <w:r w:rsidRPr="00D221C4">
          <w:rPr>
            <w:rStyle w:val="Hyperlink"/>
            <w:szCs w:val="18"/>
            <w:lang w:val="es-ES"/>
          </w:rPr>
          <w:t>sexta</w:t>
        </w:r>
      </w:hyperlink>
      <w:r w:rsidRPr="00D221C4">
        <w:rPr>
          <w:szCs w:val="18"/>
          <w:lang w:val="es-ES"/>
        </w:rPr>
        <w:t xml:space="preserve">, </w:t>
      </w:r>
      <w:hyperlink r:id="rId3" w:history="1">
        <w:r w:rsidRPr="00D221C4">
          <w:rPr>
            <w:rStyle w:val="Hyperlink"/>
            <w:szCs w:val="18"/>
            <w:lang w:val="es-ES"/>
          </w:rPr>
          <w:t>séptima</w:t>
        </w:r>
      </w:hyperlink>
      <w:r w:rsidRPr="00D221C4">
        <w:rPr>
          <w:szCs w:val="18"/>
          <w:lang w:val="es-ES"/>
        </w:rPr>
        <w:t xml:space="preserve"> y </w:t>
      </w:r>
      <w:hyperlink r:id="rId4" w:history="1">
        <w:r w:rsidRPr="00D221C4">
          <w:rPr>
            <w:rStyle w:val="Hyperlink"/>
            <w:szCs w:val="18"/>
            <w:lang w:val="es-ES"/>
          </w:rPr>
          <w:t>octava</w:t>
        </w:r>
      </w:hyperlink>
      <w:r w:rsidRPr="00D221C4">
        <w:rPr>
          <w:szCs w:val="18"/>
          <w:lang w:val="es-ES"/>
        </w:rPr>
        <w:t xml:space="preserve"> sesiones del ACE se incluía</w:t>
      </w:r>
      <w:r>
        <w:rPr>
          <w:szCs w:val="18"/>
          <w:lang w:val="es-ES"/>
        </w:rPr>
        <w:t xml:space="preserve"> “</w:t>
      </w:r>
      <w:r w:rsidRPr="00D221C4">
        <w:rPr>
          <w:szCs w:val="18"/>
          <w:lang w:val="es-ES"/>
        </w:rPr>
        <w:t>un examen de los diferentes tipos de infracciones y de los motivos que inducen a infringir los derechos de P.I., teniendo en cuenta las variables sociales, económicas y tecnológicas, así como los diferentes grados de desarrollo</w:t>
      </w:r>
      <w:r>
        <w:rPr>
          <w:szCs w:val="18"/>
          <w:lang w:val="es-ES"/>
        </w:rPr>
        <w:t>” y</w:t>
      </w:r>
      <w:r w:rsidRPr="00D221C4">
        <w:rPr>
          <w:szCs w:val="18"/>
          <w:lang w:val="es-ES"/>
        </w:rPr>
        <w:t xml:space="preserve"> “estudios específicos encaminados a concebir métodos analíticos que evalúen la incidencia social, económica y comercial de la falsificación y la piratería en la sociedad, teniendo en cuenta toda la diversidad y las realidades económicas y sociales, así como los diferentes grados de desarrollo”.</w:t>
      </w:r>
    </w:p>
  </w:footnote>
  <w:footnote w:id="4">
    <w:p w:rsidR="00672920" w:rsidRPr="006A6612" w:rsidRDefault="00672920" w:rsidP="00FD21F2">
      <w:pPr>
        <w:pStyle w:val="FootnoteText"/>
        <w:rPr>
          <w:szCs w:val="18"/>
          <w:lang w:val="es-ES"/>
        </w:rPr>
      </w:pPr>
      <w:r w:rsidRPr="00C51CF8">
        <w:rPr>
          <w:rStyle w:val="FootnoteReference"/>
          <w:szCs w:val="18"/>
        </w:rPr>
        <w:footnoteRef/>
      </w:r>
      <w:r w:rsidRPr="006A6612">
        <w:rPr>
          <w:szCs w:val="18"/>
          <w:lang w:val="es-ES"/>
        </w:rPr>
        <w:t xml:space="preserve"> </w:t>
      </w:r>
      <w:r w:rsidRPr="006A6612">
        <w:rPr>
          <w:szCs w:val="18"/>
          <w:lang w:val="es-ES"/>
        </w:rPr>
        <w:tab/>
        <w:t xml:space="preserve">La </w:t>
      </w:r>
      <w:hyperlink r:id="rId5" w:history="1">
        <w:r w:rsidRPr="006A6612">
          <w:rPr>
            <w:rStyle w:val="Hyperlink"/>
            <w:szCs w:val="18"/>
            <w:lang w:val="es-ES"/>
          </w:rPr>
          <w:t>tercera</w:t>
        </w:r>
      </w:hyperlink>
      <w:r w:rsidRPr="006A6612">
        <w:rPr>
          <w:szCs w:val="18"/>
          <w:lang w:val="es-ES"/>
        </w:rPr>
        <w:t xml:space="preserve"> sesión del ACE se dedicó a</w:t>
      </w:r>
      <w:r>
        <w:rPr>
          <w:szCs w:val="18"/>
          <w:lang w:val="es-ES"/>
        </w:rPr>
        <w:t xml:space="preserve"> “Educació</w:t>
      </w:r>
      <w:r w:rsidRPr="006A6612">
        <w:rPr>
          <w:szCs w:val="18"/>
          <w:lang w:val="es-ES"/>
        </w:rPr>
        <w:t xml:space="preserve">n </w:t>
      </w:r>
      <w:r>
        <w:rPr>
          <w:szCs w:val="18"/>
          <w:lang w:val="es-ES"/>
        </w:rPr>
        <w:t>y sensibilización</w:t>
      </w:r>
      <w:r w:rsidRPr="006A6612">
        <w:rPr>
          <w:szCs w:val="18"/>
          <w:lang w:val="es-ES"/>
        </w:rPr>
        <w:t>”</w:t>
      </w:r>
      <w:r>
        <w:rPr>
          <w:szCs w:val="18"/>
          <w:lang w:val="es-ES"/>
        </w:rPr>
        <w:t>.</w:t>
      </w:r>
    </w:p>
  </w:footnote>
  <w:footnote w:id="5">
    <w:p w:rsidR="00672920" w:rsidRPr="00912655" w:rsidRDefault="00672920" w:rsidP="00FD21F2">
      <w:pPr>
        <w:pStyle w:val="FootnoteText"/>
        <w:rPr>
          <w:lang w:val="es-ES"/>
        </w:rPr>
      </w:pPr>
      <w:r w:rsidRPr="00C51CF8">
        <w:rPr>
          <w:rStyle w:val="FootnoteReference"/>
        </w:rPr>
        <w:footnoteRef/>
      </w:r>
      <w:r w:rsidRPr="00912655">
        <w:rPr>
          <w:lang w:val="es-ES"/>
        </w:rPr>
        <w:t xml:space="preserve"> </w:t>
      </w:r>
      <w:r w:rsidRPr="00912655">
        <w:rPr>
          <w:lang w:val="es-ES"/>
        </w:rPr>
        <w:tab/>
        <w:t xml:space="preserve">Véanse en particular los documentos comprendidos entre el </w:t>
      </w:r>
      <w:hyperlink r:id="rId6" w:history="1">
        <w:r w:rsidRPr="00912655">
          <w:rPr>
            <w:rStyle w:val="Hyperlink"/>
            <w:lang w:val="es-ES"/>
          </w:rPr>
          <w:t>WIPO/ACE/9/12</w:t>
        </w:r>
      </w:hyperlink>
      <w:r w:rsidRPr="00912655">
        <w:rPr>
          <w:lang w:val="es-ES"/>
        </w:rPr>
        <w:t xml:space="preserve"> y el </w:t>
      </w:r>
      <w:hyperlink r:id="rId7" w:history="1">
        <w:r w:rsidRPr="00912655">
          <w:rPr>
            <w:rStyle w:val="Hyperlink"/>
            <w:lang w:val="es-ES"/>
          </w:rPr>
          <w:t>WIPO/ACE/9/18</w:t>
        </w:r>
      </w:hyperlink>
      <w:r w:rsidRPr="00242966">
        <w:rPr>
          <w:lang w:val="es-ES"/>
        </w:rPr>
        <w:t xml:space="preserve"> </w:t>
      </w:r>
      <w:r>
        <w:rPr>
          <w:lang w:val="es-ES"/>
        </w:rPr>
        <w:t>y la exposición conexa organizada durante la novena sesión del ACE.</w:t>
      </w:r>
    </w:p>
  </w:footnote>
  <w:footnote w:id="6">
    <w:p w:rsidR="00672920" w:rsidRPr="000B126D" w:rsidRDefault="00672920" w:rsidP="000B126D">
      <w:pPr>
        <w:pStyle w:val="FootnoteText"/>
        <w:rPr>
          <w:lang w:val="es-ES"/>
        </w:rPr>
      </w:pPr>
      <w:r w:rsidRPr="00C51CF8">
        <w:rPr>
          <w:rStyle w:val="FootnoteReference"/>
        </w:rPr>
        <w:footnoteRef/>
      </w:r>
      <w:r w:rsidRPr="000B126D">
        <w:rPr>
          <w:lang w:val="es-ES"/>
        </w:rPr>
        <w:t xml:space="preserve"> </w:t>
      </w:r>
      <w:r w:rsidRPr="000B126D">
        <w:rPr>
          <w:lang w:val="es-ES"/>
        </w:rPr>
        <w:tab/>
      </w:r>
      <w:r w:rsidRPr="00912655">
        <w:rPr>
          <w:lang w:val="es-ES"/>
        </w:rPr>
        <w:t xml:space="preserve">Véase en particular </w:t>
      </w:r>
      <w:r>
        <w:rPr>
          <w:lang w:val="es-ES"/>
        </w:rPr>
        <w:t>el documento</w:t>
      </w:r>
      <w:r w:rsidRPr="000B126D">
        <w:rPr>
          <w:lang w:val="es-ES"/>
        </w:rPr>
        <w:t xml:space="preserve"> </w:t>
      </w:r>
      <w:hyperlink r:id="rId8" w:history="1">
        <w:r w:rsidRPr="000B126D">
          <w:rPr>
            <w:rStyle w:val="Hyperlink"/>
            <w:lang w:val="es-ES"/>
          </w:rPr>
          <w:t>WIPO/ACE/9/19</w:t>
        </w:r>
      </w:hyperlink>
      <w:r w:rsidRPr="000B126D">
        <w:rPr>
          <w:lang w:val="es-ES"/>
        </w:rPr>
        <w:t>.  El programa de trabajo de la quinta sesión del ACE era</w:t>
      </w:r>
      <w:r>
        <w:rPr>
          <w:lang w:val="es-ES"/>
        </w:rPr>
        <w:t xml:space="preserve"> </w:t>
      </w:r>
      <w:r w:rsidRPr="000B126D">
        <w:rPr>
          <w:lang w:val="es-ES"/>
        </w:rPr>
        <w:t xml:space="preserve">"La Contribución de los titulares de derechos a las actividades de observancia y los costos que ello les supone, teniendo en cuenta la </w:t>
      </w:r>
      <w:hyperlink r:id="rId9" w:history="1">
        <w:r w:rsidRPr="000B126D">
          <w:rPr>
            <w:rStyle w:val="Hyperlink"/>
            <w:lang w:val="es-ES"/>
          </w:rPr>
          <w:t>recomendación nº 45</w:t>
        </w:r>
      </w:hyperlink>
      <w:r w:rsidRPr="000B126D">
        <w:rPr>
          <w:lang w:val="es-ES"/>
        </w:rPr>
        <w:t>de la Agenda de la OMPI para el Desarrollo"</w:t>
      </w:r>
      <w:r>
        <w:rPr>
          <w:lang w:val="es-ES"/>
        </w:rPr>
        <w:t>.</w:t>
      </w:r>
    </w:p>
  </w:footnote>
  <w:footnote w:id="7">
    <w:p w:rsidR="00672920" w:rsidRPr="00A97EB2" w:rsidRDefault="00672920" w:rsidP="00A97EB2">
      <w:pPr>
        <w:pStyle w:val="FootnoteText"/>
        <w:rPr>
          <w:lang w:val="es-ES"/>
        </w:rPr>
      </w:pPr>
      <w:r w:rsidRPr="00C51CF8">
        <w:rPr>
          <w:rStyle w:val="FootnoteReference"/>
        </w:rPr>
        <w:footnoteRef/>
      </w:r>
      <w:r w:rsidRPr="00A97EB2">
        <w:rPr>
          <w:lang w:val="es-ES"/>
        </w:rPr>
        <w:t xml:space="preserve"> </w:t>
      </w:r>
      <w:r w:rsidRPr="00A97EB2">
        <w:rPr>
          <w:lang w:val="es-ES"/>
        </w:rPr>
        <w:tab/>
        <w:t>Véa</w:t>
      </w:r>
      <w:r>
        <w:rPr>
          <w:lang w:val="es-ES"/>
        </w:rPr>
        <w:t>n</w:t>
      </w:r>
      <w:r w:rsidRPr="00A97EB2">
        <w:rPr>
          <w:lang w:val="es-ES"/>
        </w:rPr>
        <w:t xml:space="preserve">se en particular </w:t>
      </w:r>
      <w:r>
        <w:rPr>
          <w:lang w:val="es-ES"/>
        </w:rPr>
        <w:t xml:space="preserve">los documentos </w:t>
      </w:r>
      <w:hyperlink r:id="rId10" w:history="1">
        <w:r w:rsidRPr="00A97EB2">
          <w:rPr>
            <w:rStyle w:val="Hyperlink"/>
            <w:lang w:val="es-ES"/>
          </w:rPr>
          <w:t>WIPO/ACE/9/13</w:t>
        </w:r>
      </w:hyperlink>
      <w:r w:rsidRPr="00A97EB2">
        <w:rPr>
          <w:lang w:val="es-ES"/>
        </w:rPr>
        <w:t xml:space="preserve">, </w:t>
      </w:r>
      <w:hyperlink r:id="rId11" w:history="1">
        <w:r w:rsidRPr="00A97EB2">
          <w:rPr>
            <w:rStyle w:val="Hyperlink"/>
            <w:lang w:val="es-ES"/>
          </w:rPr>
          <w:t>WIPO/ACE/9/14</w:t>
        </w:r>
      </w:hyperlink>
      <w:r w:rsidRPr="00A97EB2">
        <w:rPr>
          <w:lang w:val="es-ES"/>
        </w:rPr>
        <w:t xml:space="preserve">, </w:t>
      </w:r>
      <w:hyperlink r:id="rId12" w:history="1">
        <w:r w:rsidRPr="00A97EB2">
          <w:rPr>
            <w:rStyle w:val="Hyperlink"/>
            <w:lang w:val="es-ES"/>
          </w:rPr>
          <w:t>WIPO/ACE/9/17</w:t>
        </w:r>
      </w:hyperlink>
      <w:r>
        <w:rPr>
          <w:lang w:val="es-ES"/>
        </w:rPr>
        <w:t xml:space="preserve"> y</w:t>
      </w:r>
      <w:r w:rsidRPr="00A97EB2">
        <w:rPr>
          <w:lang w:val="es-ES"/>
        </w:rPr>
        <w:t xml:space="preserve"> </w:t>
      </w:r>
      <w:hyperlink r:id="rId13" w:history="1">
        <w:r w:rsidRPr="00A97EB2">
          <w:rPr>
            <w:rStyle w:val="Hyperlink"/>
            <w:lang w:val="es-ES"/>
          </w:rPr>
          <w:t>WIPO/ACE/9/19</w:t>
        </w:r>
      </w:hyperlink>
      <w:r w:rsidRPr="00A97EB2">
        <w:rPr>
          <w:lang w:val="es-ES"/>
        </w:rPr>
        <w:t>.</w:t>
      </w:r>
    </w:p>
  </w:footnote>
  <w:footnote w:id="8">
    <w:p w:rsidR="00672920" w:rsidRPr="009A2DE4" w:rsidRDefault="00672920" w:rsidP="00616209">
      <w:pPr>
        <w:pStyle w:val="FootnoteText"/>
        <w:rPr>
          <w:lang w:val="es-ES"/>
        </w:rPr>
      </w:pPr>
      <w:r w:rsidRPr="00C51CF8">
        <w:rPr>
          <w:rStyle w:val="FootnoteReference"/>
        </w:rPr>
        <w:footnoteRef/>
      </w:r>
      <w:r>
        <w:rPr>
          <w:lang w:val="es-ES"/>
        </w:rPr>
        <w:tab/>
        <w:t>Véas</w:t>
      </w:r>
      <w:r w:rsidRPr="009A2DE4">
        <w:rPr>
          <w:lang w:val="es-ES"/>
        </w:rPr>
        <w:t xml:space="preserve">e en particular </w:t>
      </w:r>
      <w:r>
        <w:rPr>
          <w:lang w:val="es-ES"/>
        </w:rPr>
        <w:t xml:space="preserve">el documento </w:t>
      </w:r>
      <w:hyperlink r:id="rId14" w:history="1">
        <w:r w:rsidRPr="009A2DE4">
          <w:rPr>
            <w:rStyle w:val="Hyperlink"/>
            <w:lang w:val="es-ES"/>
          </w:rPr>
          <w:t>WIPO/ACE/9/20</w:t>
        </w:r>
      </w:hyperlink>
      <w:r w:rsidRPr="009A2DE4">
        <w:rPr>
          <w:lang w:val="es-ES"/>
        </w:rPr>
        <w:t xml:space="preserve">. </w:t>
      </w:r>
    </w:p>
  </w:footnote>
  <w:footnote w:id="9">
    <w:p w:rsidR="00672920" w:rsidRPr="00B3212F" w:rsidRDefault="00672920">
      <w:pPr>
        <w:pStyle w:val="FootnoteText"/>
        <w:rPr>
          <w:lang w:val="es-ES"/>
        </w:rPr>
      </w:pPr>
      <w:r w:rsidRPr="00C51CF8">
        <w:rPr>
          <w:rStyle w:val="FootnoteReference"/>
        </w:rPr>
        <w:footnoteRef/>
      </w:r>
      <w:r w:rsidRPr="00B3212F">
        <w:rPr>
          <w:lang w:val="es-ES"/>
        </w:rPr>
        <w:tab/>
        <w:t>Ejemplos de este tipo de colaboración son el memorando de entendimiento sobre la venta en Internet de productos falsificados (véase el document</w:t>
      </w:r>
      <w:r>
        <w:rPr>
          <w:lang w:val="es-ES"/>
        </w:rPr>
        <w:t>o</w:t>
      </w:r>
      <w:r w:rsidRPr="00B3212F">
        <w:rPr>
          <w:lang w:val="es-ES"/>
        </w:rPr>
        <w:t xml:space="preserve"> </w:t>
      </w:r>
      <w:hyperlink r:id="rId15" w:history="1">
        <w:r w:rsidRPr="00B3212F">
          <w:rPr>
            <w:rStyle w:val="Hyperlink"/>
            <w:lang w:val="es-ES"/>
          </w:rPr>
          <w:t>WIPO/ACE/9/20</w:t>
        </w:r>
      </w:hyperlink>
      <w:r>
        <w:rPr>
          <w:lang w:val="es-ES"/>
        </w:rPr>
        <w:t xml:space="preserve">), el </w:t>
      </w:r>
      <w:r w:rsidRPr="00B3212F">
        <w:rPr>
          <w:lang w:val="es-ES"/>
        </w:rPr>
        <w:t xml:space="preserve">Centro de Información </w:t>
      </w:r>
      <w:r>
        <w:rPr>
          <w:lang w:val="es-ES"/>
        </w:rPr>
        <w:t xml:space="preserve">sobre Derecho de Autor de los Estados </w:t>
      </w:r>
      <w:r w:rsidRPr="00B3212F">
        <w:rPr>
          <w:lang w:val="es-ES"/>
        </w:rPr>
        <w:t>U</w:t>
      </w:r>
      <w:r>
        <w:rPr>
          <w:lang w:val="es-ES"/>
        </w:rPr>
        <w:t>nidos de América</w:t>
      </w:r>
      <w:r w:rsidRPr="00B3212F">
        <w:rPr>
          <w:lang w:val="es-ES"/>
        </w:rPr>
        <w:t xml:space="preserve"> (</w:t>
      </w:r>
      <w:r>
        <w:rPr>
          <w:lang w:val="es-ES"/>
        </w:rPr>
        <w:t>véase el documento</w:t>
      </w:r>
      <w:r w:rsidRPr="00B3212F">
        <w:rPr>
          <w:lang w:val="es-ES"/>
        </w:rPr>
        <w:t xml:space="preserve"> </w:t>
      </w:r>
      <w:hyperlink r:id="rId16" w:history="1">
        <w:r w:rsidRPr="00B3212F">
          <w:rPr>
            <w:rStyle w:val="Hyperlink"/>
            <w:lang w:val="es-ES"/>
          </w:rPr>
          <w:t>WIPO/ACE/9/2</w:t>
        </w:r>
      </w:hyperlink>
      <w:r w:rsidR="00296974">
        <w:rPr>
          <w:rStyle w:val="Hyperlink"/>
          <w:lang w:val="es-ES"/>
        </w:rPr>
        <w:t>7</w:t>
      </w:r>
      <w:r>
        <w:rPr>
          <w:lang w:val="es-ES"/>
        </w:rPr>
        <w:t>)</w:t>
      </w:r>
      <w:r w:rsidRPr="00B3212F">
        <w:rPr>
          <w:lang w:val="es-ES"/>
        </w:rPr>
        <w:t xml:space="preserve"> </w:t>
      </w:r>
      <w:r>
        <w:rPr>
          <w:lang w:val="es-ES"/>
        </w:rPr>
        <w:t>y las directrices y prácticas óptimas para redes publicitarias a fin de hacer frente a la piratería y la falsificación, adoptadas por las empresas estadounidenses que ofrecen redes publicitarias.</w:t>
      </w:r>
    </w:p>
  </w:footnote>
  <w:footnote w:id="10">
    <w:p w:rsidR="00672920" w:rsidRPr="00EF77C6" w:rsidRDefault="00672920" w:rsidP="00983376">
      <w:pPr>
        <w:pStyle w:val="FootnoteText"/>
        <w:rPr>
          <w:szCs w:val="18"/>
          <w:lang w:val="es-ES"/>
        </w:rPr>
      </w:pPr>
      <w:r w:rsidRPr="00C51CF8">
        <w:rPr>
          <w:rStyle w:val="FootnoteReference"/>
          <w:szCs w:val="18"/>
        </w:rPr>
        <w:footnoteRef/>
      </w:r>
      <w:r w:rsidRPr="00EF77C6">
        <w:rPr>
          <w:szCs w:val="18"/>
          <w:lang w:val="es-ES"/>
        </w:rPr>
        <w:tab/>
        <w:t>En el mandato de la ACE se incluyen a este respecto concretamente “la coordinación, junto con determinadas organizaciones y con el sector privado, de la lucha contra los actos de falsificación y la piratería</w:t>
      </w:r>
      <w:r>
        <w:rPr>
          <w:szCs w:val="18"/>
          <w:lang w:val="es-ES"/>
        </w:rPr>
        <w:t>” y</w:t>
      </w:r>
      <w:r w:rsidRPr="00EF77C6">
        <w:rPr>
          <w:szCs w:val="18"/>
          <w:lang w:val="es-ES"/>
        </w:rPr>
        <w:t xml:space="preserve"> “la coordinación de programas de formación nacionales y regionales destinados a todos los interesados vinculados a la actividad”</w:t>
      </w:r>
      <w:r>
        <w:rPr>
          <w:szCs w:val="18"/>
          <w:lang w:val="es-ES"/>
        </w:rPr>
        <w:t>.</w:t>
      </w:r>
      <w:r w:rsidRPr="00EF77C6">
        <w:rPr>
          <w:szCs w:val="18"/>
          <w:lang w:val="es-ES"/>
        </w:rPr>
        <w:t xml:space="preserve">  El programa d</w:t>
      </w:r>
      <w:r>
        <w:rPr>
          <w:szCs w:val="18"/>
          <w:lang w:val="es-ES"/>
        </w:rPr>
        <w:t>e</w:t>
      </w:r>
      <w:r w:rsidRPr="00EF77C6">
        <w:rPr>
          <w:szCs w:val="18"/>
          <w:lang w:val="es-ES"/>
        </w:rPr>
        <w:t xml:space="preserve"> trabajo de la cuarta sesión del ACE estuvo dedicado a “La coordinación y cooperación en los planos internacional, regional y nacional en la esfera de la observancia”, y el de la quinta a “La Contribución de los titulares de derechos a las actividades de observancia y los costos que ello les supone, teniendo en cuenta la recomendación nº 45 de la Agenda de la OMPI para el Desarrollo”</w:t>
      </w:r>
      <w:r>
        <w:rPr>
          <w:szCs w:val="18"/>
          <w:lang w:val="es-ES"/>
        </w:rPr>
        <w:t>.</w:t>
      </w:r>
    </w:p>
  </w:footnote>
  <w:footnote w:id="11">
    <w:p w:rsidR="00672920" w:rsidRPr="008F1978" w:rsidRDefault="00672920" w:rsidP="00731603">
      <w:pPr>
        <w:pStyle w:val="FootnoteText"/>
        <w:rPr>
          <w:lang w:val="es-ES"/>
        </w:rPr>
      </w:pPr>
      <w:r w:rsidRPr="00C51CF8">
        <w:rPr>
          <w:rStyle w:val="FootnoteReference"/>
        </w:rPr>
        <w:footnoteRef/>
      </w:r>
      <w:r w:rsidRPr="008F1978">
        <w:rPr>
          <w:lang w:val="es-ES"/>
        </w:rPr>
        <w:t xml:space="preserve"> </w:t>
      </w:r>
      <w:r w:rsidRPr="008F1978">
        <w:rPr>
          <w:lang w:val="es-ES"/>
        </w:rPr>
        <w:tab/>
      </w:r>
      <w:r w:rsidR="00393FB7">
        <w:rPr>
          <w:lang w:val="es-ES"/>
        </w:rPr>
        <w:t>Véa</w:t>
      </w:r>
      <w:r>
        <w:rPr>
          <w:lang w:val="es-ES"/>
        </w:rPr>
        <w:t>se e</w:t>
      </w:r>
      <w:r w:rsidRPr="008F1978">
        <w:rPr>
          <w:lang w:val="es-ES"/>
        </w:rPr>
        <w:t xml:space="preserve">n particular </w:t>
      </w:r>
      <w:r w:rsidR="00296974">
        <w:rPr>
          <w:lang w:val="es-ES"/>
        </w:rPr>
        <w:t>el documento</w:t>
      </w:r>
      <w:r>
        <w:rPr>
          <w:lang w:val="es-ES"/>
        </w:rPr>
        <w:t xml:space="preserve"> </w:t>
      </w:r>
      <w:hyperlink r:id="rId17" w:history="1">
        <w:r w:rsidRPr="008F1978">
          <w:rPr>
            <w:rStyle w:val="Hyperlink"/>
            <w:lang w:val="es-ES"/>
          </w:rPr>
          <w:t>WIPO/ACE/9/20</w:t>
        </w:r>
      </w:hyperlink>
      <w:r w:rsidR="00296974">
        <w:rPr>
          <w:lang w:val="es-ES"/>
        </w:rPr>
        <w:t xml:space="preserve"> teniendo en cuenta los documentos</w:t>
      </w:r>
      <w:r w:rsidRPr="008F1978">
        <w:rPr>
          <w:lang w:val="es-ES"/>
        </w:rPr>
        <w:t xml:space="preserve"> </w:t>
      </w:r>
      <w:hyperlink r:id="rId18" w:history="1">
        <w:r w:rsidRPr="008F1978">
          <w:rPr>
            <w:rStyle w:val="Hyperlink"/>
            <w:lang w:val="es-ES"/>
          </w:rPr>
          <w:t>WIPO/ACE/9/24</w:t>
        </w:r>
      </w:hyperlink>
      <w:r w:rsidR="00296974">
        <w:rPr>
          <w:rStyle w:val="Hyperlink"/>
          <w:lang w:val="es-ES"/>
        </w:rPr>
        <w:t xml:space="preserve"> </w:t>
      </w:r>
      <w:r w:rsidR="00296974" w:rsidRPr="00296974">
        <w:rPr>
          <w:rStyle w:val="Hyperlink"/>
          <w:color w:val="auto"/>
          <w:lang w:val="es-ES"/>
        </w:rPr>
        <w:t>y</w:t>
      </w:r>
      <w:r w:rsidRPr="008F1978">
        <w:rPr>
          <w:lang w:val="es-ES"/>
        </w:rPr>
        <w:t xml:space="preserve"> </w:t>
      </w:r>
      <w:hyperlink r:id="rId19" w:history="1">
        <w:r w:rsidRPr="008F1978">
          <w:rPr>
            <w:rStyle w:val="Hyperlink"/>
            <w:lang w:val="es-ES"/>
          </w:rPr>
          <w:t>WIPO/ACE/9/2</w:t>
        </w:r>
      </w:hyperlink>
      <w:r w:rsidR="00296974">
        <w:rPr>
          <w:rStyle w:val="Hyperlink"/>
          <w:lang w:val="es-ES"/>
        </w:rPr>
        <w:t>7</w:t>
      </w:r>
      <w:r w:rsidRPr="008F1978">
        <w:rPr>
          <w:lang w:val="es-ES"/>
        </w:rPr>
        <w:t>.</w:t>
      </w:r>
    </w:p>
  </w:footnote>
  <w:footnote w:id="12">
    <w:p w:rsidR="00672920" w:rsidRPr="000077DC" w:rsidRDefault="00672920">
      <w:pPr>
        <w:pStyle w:val="FootnoteText"/>
        <w:rPr>
          <w:lang w:val="es-ES"/>
        </w:rPr>
      </w:pPr>
      <w:r w:rsidRPr="00C51CF8">
        <w:rPr>
          <w:rStyle w:val="FootnoteReference"/>
        </w:rPr>
        <w:footnoteRef/>
      </w:r>
      <w:r w:rsidRPr="000077DC">
        <w:rPr>
          <w:lang w:val="es-ES"/>
        </w:rPr>
        <w:t xml:space="preserve"> </w:t>
      </w:r>
      <w:r w:rsidRPr="000077DC">
        <w:rPr>
          <w:lang w:val="es-ES"/>
        </w:rPr>
        <w:tab/>
        <w:t>En el document</w:t>
      </w:r>
      <w:r>
        <w:rPr>
          <w:lang w:val="es-ES"/>
        </w:rPr>
        <w:t>o</w:t>
      </w:r>
      <w:r w:rsidRPr="000077DC">
        <w:rPr>
          <w:lang w:val="es-ES"/>
        </w:rPr>
        <w:t xml:space="preserve"> </w:t>
      </w:r>
      <w:hyperlink r:id="rId20" w:history="1">
        <w:r w:rsidRPr="000077DC">
          <w:rPr>
            <w:rStyle w:val="Hyperlink"/>
            <w:lang w:val="es-ES"/>
          </w:rPr>
          <w:t>WIPO/ACE/9/2</w:t>
        </w:r>
      </w:hyperlink>
      <w:r w:rsidRPr="000077DC">
        <w:rPr>
          <w:rStyle w:val="Hyperlink"/>
          <w:lang w:val="es-ES"/>
        </w:rPr>
        <w:t xml:space="preserve"> </w:t>
      </w:r>
      <w:r w:rsidRPr="000077DC">
        <w:rPr>
          <w:rStyle w:val="Hyperlink"/>
          <w:color w:val="auto"/>
          <w:u w:val="none"/>
          <w:lang w:val="es-ES"/>
        </w:rPr>
        <w:t xml:space="preserve">se ofrece información detallada </w:t>
      </w:r>
      <w:r>
        <w:rPr>
          <w:rStyle w:val="Hyperlink"/>
          <w:color w:val="auto"/>
          <w:u w:val="none"/>
          <w:lang w:val="es-ES"/>
        </w:rPr>
        <w:t xml:space="preserve">(con inclusión de los programas, los objetivos y los países participantes) </w:t>
      </w:r>
      <w:r w:rsidRPr="000077DC">
        <w:rPr>
          <w:rStyle w:val="Hyperlink"/>
          <w:color w:val="auto"/>
          <w:u w:val="none"/>
          <w:lang w:val="es-ES"/>
        </w:rPr>
        <w:t>acerca de las actividades llev</w:t>
      </w:r>
      <w:r>
        <w:rPr>
          <w:rStyle w:val="Hyperlink"/>
          <w:color w:val="auto"/>
          <w:u w:val="none"/>
          <w:lang w:val="es-ES"/>
        </w:rPr>
        <w:t>a</w:t>
      </w:r>
      <w:r w:rsidRPr="000077DC">
        <w:rPr>
          <w:rStyle w:val="Hyperlink"/>
          <w:color w:val="auto"/>
          <w:u w:val="none"/>
          <w:lang w:val="es-ES"/>
        </w:rPr>
        <w:t xml:space="preserve">das a cabo por la OMPI en 2013 en el </w:t>
      </w:r>
      <w:r>
        <w:rPr>
          <w:rStyle w:val="Hyperlink"/>
          <w:color w:val="auto"/>
          <w:u w:val="none"/>
          <w:lang w:val="es-ES"/>
        </w:rPr>
        <w:t>ámbito del fomento del respeto por la P.I.</w:t>
      </w:r>
    </w:p>
  </w:footnote>
  <w:footnote w:id="13">
    <w:p w:rsidR="00672920" w:rsidRPr="00FE1EBA" w:rsidRDefault="00672920" w:rsidP="00F60A22">
      <w:pPr>
        <w:pStyle w:val="FootnoteText"/>
        <w:rPr>
          <w:lang w:val="es-ES"/>
        </w:rPr>
      </w:pPr>
      <w:r w:rsidRPr="00C51CF8">
        <w:rPr>
          <w:rStyle w:val="FootnoteReference"/>
        </w:rPr>
        <w:footnoteRef/>
      </w:r>
      <w:r w:rsidRPr="00FE1EBA">
        <w:rPr>
          <w:lang w:val="es-ES"/>
        </w:rPr>
        <w:t xml:space="preserve"> </w:t>
      </w:r>
      <w:r w:rsidRPr="00FE1EBA">
        <w:rPr>
          <w:lang w:val="es-ES"/>
        </w:rPr>
        <w:tab/>
        <w:t xml:space="preserve">Véanse por ejemplo los </w:t>
      </w:r>
      <w:hyperlink r:id="rId21" w:history="1">
        <w:r w:rsidR="0066564D">
          <w:rPr>
            <w:rStyle w:val="Hyperlink"/>
            <w:lang w:val="es-ES"/>
          </w:rPr>
          <w:t>recursos de la OMPI en relación con las estrategias nacionales de P.I.</w:t>
        </w:r>
      </w:hyperlink>
      <w:r w:rsidRPr="00FE1EBA">
        <w:rPr>
          <w:lang w:val="es-ES"/>
        </w:rPr>
        <w:t xml:space="preserve"> </w:t>
      </w:r>
      <w:r>
        <w:rPr>
          <w:lang w:val="es-ES"/>
        </w:rPr>
        <w:t xml:space="preserve">y </w:t>
      </w:r>
      <w:r w:rsidRPr="00FE1EBA">
        <w:rPr>
          <w:lang w:val="es-ES"/>
        </w:rPr>
        <w:t>l</w:t>
      </w:r>
      <w:r>
        <w:rPr>
          <w:lang w:val="es-ES"/>
        </w:rPr>
        <w:t>os</w:t>
      </w:r>
      <w:r w:rsidRPr="00FE1EBA">
        <w:rPr>
          <w:lang w:val="es-ES"/>
        </w:rPr>
        <w:t xml:space="preserve"> trabajo</w:t>
      </w:r>
      <w:r>
        <w:rPr>
          <w:lang w:val="es-ES"/>
        </w:rPr>
        <w:t>s</w:t>
      </w:r>
      <w:r w:rsidR="0066564D">
        <w:rPr>
          <w:lang w:val="es-ES"/>
        </w:rPr>
        <w:t xml:space="preserve"> conexos</w:t>
      </w:r>
      <w:r w:rsidRPr="00FE1EBA">
        <w:rPr>
          <w:lang w:val="es-ES"/>
        </w:rPr>
        <w:t xml:space="preserve"> realizado</w:t>
      </w:r>
      <w:r>
        <w:rPr>
          <w:lang w:val="es-ES"/>
        </w:rPr>
        <w:t>s por las</w:t>
      </w:r>
      <w:r w:rsidRPr="00FE1EBA">
        <w:rPr>
          <w:lang w:val="es-ES"/>
        </w:rPr>
        <w:t xml:space="preserve"> </w:t>
      </w:r>
      <w:hyperlink r:id="rId22" w:history="1">
        <w:r>
          <w:rPr>
            <w:rStyle w:val="Hyperlink"/>
            <w:lang w:val="es-ES"/>
          </w:rPr>
          <w:t>oficinas regionales</w:t>
        </w:r>
      </w:hyperlink>
      <w:r w:rsidRPr="00FE1EBA">
        <w:rPr>
          <w:lang w:val="es-ES"/>
        </w:rPr>
        <w:t xml:space="preserve"> </w:t>
      </w:r>
      <w:r>
        <w:rPr>
          <w:lang w:val="es-ES"/>
        </w:rPr>
        <w:t>de la OMPI.</w:t>
      </w:r>
    </w:p>
  </w:footnote>
  <w:footnote w:id="14">
    <w:p w:rsidR="00672920" w:rsidRPr="00D63639" w:rsidRDefault="00672920">
      <w:pPr>
        <w:pStyle w:val="FootnoteText"/>
        <w:rPr>
          <w:lang w:val="es-ES"/>
        </w:rPr>
      </w:pPr>
      <w:r w:rsidRPr="00C51CF8">
        <w:rPr>
          <w:rStyle w:val="FootnoteReference"/>
        </w:rPr>
        <w:footnoteRef/>
      </w:r>
      <w:r w:rsidRPr="00D63639">
        <w:rPr>
          <w:lang w:val="es-ES"/>
        </w:rPr>
        <w:t xml:space="preserve"> </w:t>
      </w:r>
      <w:r w:rsidRPr="00D63639">
        <w:rPr>
          <w:lang w:val="es-ES"/>
        </w:rPr>
        <w:tab/>
        <w:t xml:space="preserve">Véanse por ejemplo las </w:t>
      </w:r>
      <w:hyperlink r:id="rId23" w:history="1">
        <w:r w:rsidRPr="00D63639">
          <w:rPr>
            <w:rStyle w:val="Hyperlink"/>
            <w:lang w:val="es-ES"/>
          </w:rPr>
          <w:t>herramientas de la OMPI de sensibilización</w:t>
        </w:r>
      </w:hyperlink>
      <w:r w:rsidRPr="00D63639">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920" w:rsidRPr="00C567A9" w:rsidRDefault="00672920" w:rsidP="00BA5D63">
    <w:pPr>
      <w:jc w:val="right"/>
    </w:pPr>
    <w:r w:rsidRPr="00C567A9">
      <w:rPr>
        <w:lang w:val="es-ES_tradnl"/>
      </w:rPr>
      <w:t>WIPO/ACE/9/11</w:t>
    </w:r>
  </w:p>
  <w:p w:rsidR="00672920" w:rsidRPr="00C567A9" w:rsidRDefault="00672920" w:rsidP="00BA5D63">
    <w:pPr>
      <w:jc w:val="right"/>
    </w:pPr>
    <w:proofErr w:type="gramStart"/>
    <w:r w:rsidRPr="00C567A9">
      <w:rPr>
        <w:lang w:val="es-ES_tradnl"/>
      </w:rPr>
      <w:t>página</w:t>
    </w:r>
    <w:proofErr w:type="gramEnd"/>
    <w:r w:rsidRPr="00C567A9">
      <w:t xml:space="preserve"> </w:t>
    </w:r>
    <w:r w:rsidRPr="00C567A9">
      <w:fldChar w:fldCharType="begin"/>
    </w:r>
    <w:r w:rsidRPr="00C567A9">
      <w:instrText xml:space="preserve"> PAGE  \* MERGEFORMAT </w:instrText>
    </w:r>
    <w:r w:rsidRPr="00C567A9">
      <w:fldChar w:fldCharType="separate"/>
    </w:r>
    <w:r w:rsidR="00797679">
      <w:rPr>
        <w:noProof/>
      </w:rPr>
      <w:t>2</w:t>
    </w:r>
    <w:r w:rsidRPr="00C567A9">
      <w:rPr>
        <w:noProof/>
      </w:rPr>
      <w:fldChar w:fldCharType="end"/>
    </w:r>
  </w:p>
  <w:p w:rsidR="00672920" w:rsidRDefault="006729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351029"/>
    <w:multiLevelType w:val="hybridMultilevel"/>
    <w:tmpl w:val="2F74C494"/>
    <w:lvl w:ilvl="0" w:tplc="3D124D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D7DA8"/>
    <w:multiLevelType w:val="hybridMultilevel"/>
    <w:tmpl w:val="E2321410"/>
    <w:lvl w:ilvl="0" w:tplc="8C9EF7C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C9A1360"/>
    <w:multiLevelType w:val="hybridMultilevel"/>
    <w:tmpl w:val="F9C24F58"/>
    <w:lvl w:ilvl="0" w:tplc="FAC2782C">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402C31"/>
    <w:multiLevelType w:val="hybridMultilevel"/>
    <w:tmpl w:val="028032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FBF4C34"/>
    <w:multiLevelType w:val="hybridMultilevel"/>
    <w:tmpl w:val="60E0040E"/>
    <w:lvl w:ilvl="0" w:tplc="0409000F">
      <w:start w:val="1"/>
      <w:numFmt w:val="decimal"/>
      <w:lvlText w:val="%1."/>
      <w:lvlJc w:val="left"/>
      <w:pPr>
        <w:tabs>
          <w:tab w:val="num" w:pos="928"/>
        </w:tabs>
        <w:ind w:left="928" w:hanging="360"/>
      </w:pPr>
      <w:rPr>
        <w:rFonts w:cs="Times New Roman"/>
      </w:rPr>
    </w:lvl>
    <w:lvl w:ilvl="1" w:tplc="04090019" w:tentative="1">
      <w:start w:val="1"/>
      <w:numFmt w:val="lowerLetter"/>
      <w:lvlText w:val="%2."/>
      <w:lvlJc w:val="left"/>
      <w:pPr>
        <w:tabs>
          <w:tab w:val="num" w:pos="1648"/>
        </w:tabs>
        <w:ind w:left="1648" w:hanging="360"/>
      </w:pPr>
      <w:rPr>
        <w:rFonts w:cs="Times New Roman"/>
      </w:rPr>
    </w:lvl>
    <w:lvl w:ilvl="2" w:tplc="0409001B" w:tentative="1">
      <w:start w:val="1"/>
      <w:numFmt w:val="lowerRoman"/>
      <w:lvlText w:val="%3."/>
      <w:lvlJc w:val="right"/>
      <w:pPr>
        <w:tabs>
          <w:tab w:val="num" w:pos="2368"/>
        </w:tabs>
        <w:ind w:left="2368" w:hanging="180"/>
      </w:pPr>
      <w:rPr>
        <w:rFonts w:cs="Times New Roman"/>
      </w:rPr>
    </w:lvl>
    <w:lvl w:ilvl="3" w:tplc="0409000F" w:tentative="1">
      <w:start w:val="1"/>
      <w:numFmt w:val="decimal"/>
      <w:lvlText w:val="%4."/>
      <w:lvlJc w:val="left"/>
      <w:pPr>
        <w:tabs>
          <w:tab w:val="num" w:pos="3088"/>
        </w:tabs>
        <w:ind w:left="3088" w:hanging="360"/>
      </w:pPr>
      <w:rPr>
        <w:rFonts w:cs="Times New Roman"/>
      </w:rPr>
    </w:lvl>
    <w:lvl w:ilvl="4" w:tplc="04090019" w:tentative="1">
      <w:start w:val="1"/>
      <w:numFmt w:val="lowerLetter"/>
      <w:lvlText w:val="%5."/>
      <w:lvlJc w:val="left"/>
      <w:pPr>
        <w:tabs>
          <w:tab w:val="num" w:pos="3808"/>
        </w:tabs>
        <w:ind w:left="3808" w:hanging="360"/>
      </w:pPr>
      <w:rPr>
        <w:rFonts w:cs="Times New Roman"/>
      </w:rPr>
    </w:lvl>
    <w:lvl w:ilvl="5" w:tplc="0409001B" w:tentative="1">
      <w:start w:val="1"/>
      <w:numFmt w:val="lowerRoman"/>
      <w:lvlText w:val="%6."/>
      <w:lvlJc w:val="right"/>
      <w:pPr>
        <w:tabs>
          <w:tab w:val="num" w:pos="4528"/>
        </w:tabs>
        <w:ind w:left="4528" w:hanging="180"/>
      </w:pPr>
      <w:rPr>
        <w:rFonts w:cs="Times New Roman"/>
      </w:rPr>
    </w:lvl>
    <w:lvl w:ilvl="6" w:tplc="0409000F" w:tentative="1">
      <w:start w:val="1"/>
      <w:numFmt w:val="decimal"/>
      <w:lvlText w:val="%7."/>
      <w:lvlJc w:val="left"/>
      <w:pPr>
        <w:tabs>
          <w:tab w:val="num" w:pos="5248"/>
        </w:tabs>
        <w:ind w:left="5248" w:hanging="360"/>
      </w:pPr>
      <w:rPr>
        <w:rFonts w:cs="Times New Roman"/>
      </w:rPr>
    </w:lvl>
    <w:lvl w:ilvl="7" w:tplc="04090019" w:tentative="1">
      <w:start w:val="1"/>
      <w:numFmt w:val="lowerLetter"/>
      <w:lvlText w:val="%8."/>
      <w:lvlJc w:val="left"/>
      <w:pPr>
        <w:tabs>
          <w:tab w:val="num" w:pos="5968"/>
        </w:tabs>
        <w:ind w:left="5968" w:hanging="360"/>
      </w:pPr>
      <w:rPr>
        <w:rFonts w:cs="Times New Roman"/>
      </w:rPr>
    </w:lvl>
    <w:lvl w:ilvl="8" w:tplc="0409001B" w:tentative="1">
      <w:start w:val="1"/>
      <w:numFmt w:val="lowerRoman"/>
      <w:lvlText w:val="%9."/>
      <w:lvlJc w:val="right"/>
      <w:pPr>
        <w:tabs>
          <w:tab w:val="num" w:pos="6688"/>
        </w:tabs>
        <w:ind w:left="6688" w:hanging="180"/>
      </w:pPr>
      <w:rPr>
        <w:rFonts w:cs="Times New Roman"/>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A34748F"/>
    <w:multiLevelType w:val="hybridMultilevel"/>
    <w:tmpl w:val="901AAC8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2012964"/>
    <w:multiLevelType w:val="hybridMultilevel"/>
    <w:tmpl w:val="1E786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3E139B"/>
    <w:multiLevelType w:val="hybridMultilevel"/>
    <w:tmpl w:val="A6CA2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1F03C4"/>
    <w:multiLevelType w:val="hybridMultilevel"/>
    <w:tmpl w:val="704EC6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9142042"/>
    <w:multiLevelType w:val="hybridMultilevel"/>
    <w:tmpl w:val="CA9A17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98B696E"/>
    <w:multiLevelType w:val="hybridMultilevel"/>
    <w:tmpl w:val="D2AED88A"/>
    <w:lvl w:ilvl="0" w:tplc="8C9EF7C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29B373CE"/>
    <w:multiLevelType w:val="hybridMultilevel"/>
    <w:tmpl w:val="7BD8A394"/>
    <w:lvl w:ilvl="0" w:tplc="FAC2782C">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562B70"/>
    <w:multiLevelType w:val="hybridMultilevel"/>
    <w:tmpl w:val="E074807A"/>
    <w:lvl w:ilvl="0" w:tplc="2032933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152D8B"/>
    <w:multiLevelType w:val="hybridMultilevel"/>
    <w:tmpl w:val="CF4E9A5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3E421ED3"/>
    <w:multiLevelType w:val="hybridMultilevel"/>
    <w:tmpl w:val="549E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55F1FF5"/>
    <w:multiLevelType w:val="hybridMultilevel"/>
    <w:tmpl w:val="4AB6B794"/>
    <w:lvl w:ilvl="0" w:tplc="8C9EF7C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456C03D9"/>
    <w:multiLevelType w:val="hybridMultilevel"/>
    <w:tmpl w:val="1AF0F1F2"/>
    <w:lvl w:ilvl="0" w:tplc="9DFA0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892DE8"/>
    <w:multiLevelType w:val="hybridMultilevel"/>
    <w:tmpl w:val="CB24A1D0"/>
    <w:lvl w:ilvl="0" w:tplc="FAC2782C">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AB49F8"/>
    <w:multiLevelType w:val="hybridMultilevel"/>
    <w:tmpl w:val="447CD55A"/>
    <w:lvl w:ilvl="0" w:tplc="044AE290">
      <w:start w:val="1"/>
      <w:numFmt w:val="upperRoman"/>
      <w:lvlText w:val="%1."/>
      <w:lvlJc w:val="lef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241BFD"/>
    <w:multiLevelType w:val="hybridMultilevel"/>
    <w:tmpl w:val="01985B38"/>
    <w:lvl w:ilvl="0" w:tplc="8B22299E">
      <w:start w:val="1"/>
      <w:numFmt w:val="upperRoman"/>
      <w:lvlText w:val="%1."/>
      <w:lvlJc w:val="lef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9B7F64"/>
    <w:multiLevelType w:val="hybridMultilevel"/>
    <w:tmpl w:val="C4D2571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578419D8"/>
    <w:multiLevelType w:val="hybridMultilevel"/>
    <w:tmpl w:val="613236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F23598"/>
    <w:multiLevelType w:val="hybridMultilevel"/>
    <w:tmpl w:val="B8EA9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B455D7"/>
    <w:multiLevelType w:val="hybridMultilevel"/>
    <w:tmpl w:val="48B8524E"/>
    <w:lvl w:ilvl="0" w:tplc="2A9897BA">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3C358F"/>
    <w:multiLevelType w:val="hybridMultilevel"/>
    <w:tmpl w:val="160621C0"/>
    <w:lvl w:ilvl="0" w:tplc="08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611D6F44"/>
    <w:multiLevelType w:val="hybridMultilevel"/>
    <w:tmpl w:val="A64889C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2D77B8"/>
    <w:multiLevelType w:val="hybridMultilevel"/>
    <w:tmpl w:val="5BF8B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F60BD8"/>
    <w:multiLevelType w:val="hybridMultilevel"/>
    <w:tmpl w:val="FA0094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D272D00"/>
    <w:multiLevelType w:val="hybridMultilevel"/>
    <w:tmpl w:val="2B303A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D24ED0"/>
    <w:multiLevelType w:val="hybridMultilevel"/>
    <w:tmpl w:val="D31C7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E226A8C"/>
    <w:multiLevelType w:val="hybridMultilevel"/>
    <w:tmpl w:val="26CEF95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2190053"/>
    <w:multiLevelType w:val="hybridMultilevel"/>
    <w:tmpl w:val="376E03FE"/>
    <w:lvl w:ilvl="0" w:tplc="8C9EF7C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nsid w:val="74CC122B"/>
    <w:multiLevelType w:val="hybridMultilevel"/>
    <w:tmpl w:val="412A3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9E214E9"/>
    <w:multiLevelType w:val="hybridMultilevel"/>
    <w:tmpl w:val="18FA8DB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9"/>
  </w:num>
  <w:num w:numId="3">
    <w:abstractNumId w:val="0"/>
  </w:num>
  <w:num w:numId="4">
    <w:abstractNumId w:val="23"/>
  </w:num>
  <w:num w:numId="5">
    <w:abstractNumId w:val="3"/>
  </w:num>
  <w:num w:numId="6">
    <w:abstractNumId w:val="9"/>
  </w:num>
  <w:num w:numId="7">
    <w:abstractNumId w:val="13"/>
  </w:num>
  <w:num w:numId="8">
    <w:abstractNumId w:val="39"/>
  </w:num>
  <w:num w:numId="9">
    <w:abstractNumId w:val="30"/>
  </w:num>
  <w:num w:numId="10">
    <w:abstractNumId w:val="26"/>
  </w:num>
  <w:num w:numId="11">
    <w:abstractNumId w:val="5"/>
  </w:num>
  <w:num w:numId="12">
    <w:abstractNumId w:val="6"/>
  </w:num>
  <w:num w:numId="13">
    <w:abstractNumId w:val="17"/>
  </w:num>
  <w:num w:numId="14">
    <w:abstractNumId w:val="25"/>
  </w:num>
  <w:num w:numId="15">
    <w:abstractNumId w:val="16"/>
  </w:num>
  <w:num w:numId="16">
    <w:abstractNumId w:val="24"/>
  </w:num>
  <w:num w:numId="17">
    <w:abstractNumId w:val="8"/>
  </w:num>
  <w:num w:numId="18">
    <w:abstractNumId w:val="35"/>
  </w:num>
  <w:num w:numId="19">
    <w:abstractNumId w:val="33"/>
  </w:num>
  <w:num w:numId="20">
    <w:abstractNumId w:val="38"/>
  </w:num>
  <w:num w:numId="21">
    <w:abstractNumId w:val="12"/>
  </w:num>
  <w:num w:numId="22">
    <w:abstractNumId w:val="11"/>
  </w:num>
  <w:num w:numId="23">
    <w:abstractNumId w:val="28"/>
  </w:num>
  <w:num w:numId="24">
    <w:abstractNumId w:val="15"/>
  </w:num>
  <w:num w:numId="25">
    <w:abstractNumId w:val="4"/>
  </w:num>
  <w:num w:numId="26">
    <w:abstractNumId w:val="10"/>
  </w:num>
  <w:num w:numId="27">
    <w:abstractNumId w:val="22"/>
  </w:num>
  <w:num w:numId="28">
    <w:abstractNumId w:val="18"/>
  </w:num>
  <w:num w:numId="29">
    <w:abstractNumId w:val="27"/>
  </w:num>
  <w:num w:numId="30">
    <w:abstractNumId w:val="31"/>
  </w:num>
  <w:num w:numId="31">
    <w:abstractNumId w:val="21"/>
  </w:num>
  <w:num w:numId="32">
    <w:abstractNumId w:val="32"/>
  </w:num>
  <w:num w:numId="33">
    <w:abstractNumId w:val="34"/>
  </w:num>
  <w:num w:numId="34">
    <w:abstractNumId w:val="29"/>
  </w:num>
  <w:num w:numId="35">
    <w:abstractNumId w:val="37"/>
  </w:num>
  <w:num w:numId="36">
    <w:abstractNumId w:val="14"/>
  </w:num>
  <w:num w:numId="37">
    <w:abstractNumId w:val="2"/>
  </w:num>
  <w:num w:numId="38">
    <w:abstractNumId w:val="20"/>
  </w:num>
  <w:num w:numId="39">
    <w:abstractNumId w:val="1"/>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IP in General\Meetings|WorkspaceSTS\EN-ES\IP in General\Meetings"/>
    <w:docVar w:name="TextBaseURL" w:val="empty"/>
    <w:docVar w:name="UILng" w:val="en"/>
  </w:docVars>
  <w:rsids>
    <w:rsidRoot w:val="00217CF7"/>
    <w:rsid w:val="00000D5E"/>
    <w:rsid w:val="00002224"/>
    <w:rsid w:val="00002997"/>
    <w:rsid w:val="00005B3A"/>
    <w:rsid w:val="000077DC"/>
    <w:rsid w:val="00012A3D"/>
    <w:rsid w:val="00013E1E"/>
    <w:rsid w:val="00014CE4"/>
    <w:rsid w:val="000174FD"/>
    <w:rsid w:val="00022907"/>
    <w:rsid w:val="00022996"/>
    <w:rsid w:val="0002456C"/>
    <w:rsid w:val="00025D3F"/>
    <w:rsid w:val="000328E2"/>
    <w:rsid w:val="000355EA"/>
    <w:rsid w:val="000358EE"/>
    <w:rsid w:val="00041EAA"/>
    <w:rsid w:val="000428AF"/>
    <w:rsid w:val="00043CAA"/>
    <w:rsid w:val="00044AFA"/>
    <w:rsid w:val="0004545C"/>
    <w:rsid w:val="000528F1"/>
    <w:rsid w:val="00053C38"/>
    <w:rsid w:val="000619D4"/>
    <w:rsid w:val="00061D47"/>
    <w:rsid w:val="00062F34"/>
    <w:rsid w:val="00063297"/>
    <w:rsid w:val="00064705"/>
    <w:rsid w:val="00070892"/>
    <w:rsid w:val="00075432"/>
    <w:rsid w:val="000769AC"/>
    <w:rsid w:val="00077C70"/>
    <w:rsid w:val="00087B32"/>
    <w:rsid w:val="000939A4"/>
    <w:rsid w:val="000968B6"/>
    <w:rsid w:val="000968ED"/>
    <w:rsid w:val="00097F84"/>
    <w:rsid w:val="000A0E51"/>
    <w:rsid w:val="000B126D"/>
    <w:rsid w:val="000B2662"/>
    <w:rsid w:val="000B3F4C"/>
    <w:rsid w:val="000B7CA0"/>
    <w:rsid w:val="000C0956"/>
    <w:rsid w:val="000C4E45"/>
    <w:rsid w:val="000C5150"/>
    <w:rsid w:val="000D45E1"/>
    <w:rsid w:val="000D4E08"/>
    <w:rsid w:val="000E52DF"/>
    <w:rsid w:val="000F19D7"/>
    <w:rsid w:val="000F5C5F"/>
    <w:rsid w:val="000F5E56"/>
    <w:rsid w:val="00100EC3"/>
    <w:rsid w:val="00102B97"/>
    <w:rsid w:val="00102F54"/>
    <w:rsid w:val="001067B0"/>
    <w:rsid w:val="00121BBB"/>
    <w:rsid w:val="00134C34"/>
    <w:rsid w:val="001362EE"/>
    <w:rsid w:val="00140C50"/>
    <w:rsid w:val="00141E43"/>
    <w:rsid w:val="00145818"/>
    <w:rsid w:val="00147450"/>
    <w:rsid w:val="00150C67"/>
    <w:rsid w:val="001512C5"/>
    <w:rsid w:val="00154686"/>
    <w:rsid w:val="00165271"/>
    <w:rsid w:val="00166EB1"/>
    <w:rsid w:val="0017000D"/>
    <w:rsid w:val="001738A0"/>
    <w:rsid w:val="00182434"/>
    <w:rsid w:val="001832A6"/>
    <w:rsid w:val="00184793"/>
    <w:rsid w:val="00186FAA"/>
    <w:rsid w:val="001A17E2"/>
    <w:rsid w:val="001B28EB"/>
    <w:rsid w:val="001B489E"/>
    <w:rsid w:val="001C0755"/>
    <w:rsid w:val="001C0F92"/>
    <w:rsid w:val="001C332E"/>
    <w:rsid w:val="001C4789"/>
    <w:rsid w:val="001D1619"/>
    <w:rsid w:val="001D4AD1"/>
    <w:rsid w:val="001D4ED2"/>
    <w:rsid w:val="001E3BA9"/>
    <w:rsid w:val="001E4D9C"/>
    <w:rsid w:val="001F0F7B"/>
    <w:rsid w:val="001F51C7"/>
    <w:rsid w:val="00200022"/>
    <w:rsid w:val="002008D4"/>
    <w:rsid w:val="002047B4"/>
    <w:rsid w:val="00214B5C"/>
    <w:rsid w:val="00217CF7"/>
    <w:rsid w:val="00223817"/>
    <w:rsid w:val="00226306"/>
    <w:rsid w:val="002305C4"/>
    <w:rsid w:val="00232DB6"/>
    <w:rsid w:val="00232FEC"/>
    <w:rsid w:val="0023408E"/>
    <w:rsid w:val="0024281F"/>
    <w:rsid w:val="002428FA"/>
    <w:rsid w:val="00242966"/>
    <w:rsid w:val="002500B9"/>
    <w:rsid w:val="00251E0D"/>
    <w:rsid w:val="00257052"/>
    <w:rsid w:val="002634C4"/>
    <w:rsid w:val="00266246"/>
    <w:rsid w:val="00266AAE"/>
    <w:rsid w:val="002739B1"/>
    <w:rsid w:val="00280B40"/>
    <w:rsid w:val="002925E0"/>
    <w:rsid w:val="002928D3"/>
    <w:rsid w:val="0029345D"/>
    <w:rsid w:val="002948BA"/>
    <w:rsid w:val="00296974"/>
    <w:rsid w:val="002B3DD9"/>
    <w:rsid w:val="002B5815"/>
    <w:rsid w:val="002B5AA6"/>
    <w:rsid w:val="002B72AA"/>
    <w:rsid w:val="002F1FE6"/>
    <w:rsid w:val="002F2295"/>
    <w:rsid w:val="002F4E68"/>
    <w:rsid w:val="002F52E2"/>
    <w:rsid w:val="002F62F1"/>
    <w:rsid w:val="00310386"/>
    <w:rsid w:val="00312F7F"/>
    <w:rsid w:val="0031515D"/>
    <w:rsid w:val="003206EA"/>
    <w:rsid w:val="0032111C"/>
    <w:rsid w:val="00323108"/>
    <w:rsid w:val="00323CEE"/>
    <w:rsid w:val="00344F3B"/>
    <w:rsid w:val="00353C91"/>
    <w:rsid w:val="00354570"/>
    <w:rsid w:val="0035652B"/>
    <w:rsid w:val="00361450"/>
    <w:rsid w:val="0036530C"/>
    <w:rsid w:val="0036549C"/>
    <w:rsid w:val="00367095"/>
    <w:rsid w:val="003673CF"/>
    <w:rsid w:val="00370CE7"/>
    <w:rsid w:val="003748C2"/>
    <w:rsid w:val="00375AE2"/>
    <w:rsid w:val="00377B39"/>
    <w:rsid w:val="003845C1"/>
    <w:rsid w:val="00385315"/>
    <w:rsid w:val="0039057D"/>
    <w:rsid w:val="00393FB7"/>
    <w:rsid w:val="00397F9F"/>
    <w:rsid w:val="003A3893"/>
    <w:rsid w:val="003A477B"/>
    <w:rsid w:val="003A56D4"/>
    <w:rsid w:val="003A6F89"/>
    <w:rsid w:val="003A775A"/>
    <w:rsid w:val="003A78D9"/>
    <w:rsid w:val="003B04F9"/>
    <w:rsid w:val="003B2AEF"/>
    <w:rsid w:val="003B30E7"/>
    <w:rsid w:val="003B38C1"/>
    <w:rsid w:val="003B4CB3"/>
    <w:rsid w:val="003B5F5E"/>
    <w:rsid w:val="003C0AA9"/>
    <w:rsid w:val="003C1F43"/>
    <w:rsid w:val="003C1F7B"/>
    <w:rsid w:val="003C73CC"/>
    <w:rsid w:val="003D1A29"/>
    <w:rsid w:val="003D1FD4"/>
    <w:rsid w:val="003D24F6"/>
    <w:rsid w:val="003D5C8C"/>
    <w:rsid w:val="003E197F"/>
    <w:rsid w:val="003E3D0F"/>
    <w:rsid w:val="003F060D"/>
    <w:rsid w:val="00405687"/>
    <w:rsid w:val="00411C0B"/>
    <w:rsid w:val="0041259F"/>
    <w:rsid w:val="00422591"/>
    <w:rsid w:val="00423E3E"/>
    <w:rsid w:val="00423E9E"/>
    <w:rsid w:val="00425E5B"/>
    <w:rsid w:val="00427AF4"/>
    <w:rsid w:val="0043103F"/>
    <w:rsid w:val="004340BC"/>
    <w:rsid w:val="004438A5"/>
    <w:rsid w:val="00444CF1"/>
    <w:rsid w:val="00446FEA"/>
    <w:rsid w:val="00450740"/>
    <w:rsid w:val="00451B94"/>
    <w:rsid w:val="004647DA"/>
    <w:rsid w:val="00474062"/>
    <w:rsid w:val="00477D6B"/>
    <w:rsid w:val="00480BAC"/>
    <w:rsid w:val="00483EF5"/>
    <w:rsid w:val="00492A81"/>
    <w:rsid w:val="00492BD9"/>
    <w:rsid w:val="00494B8C"/>
    <w:rsid w:val="004A0CBB"/>
    <w:rsid w:val="004A3746"/>
    <w:rsid w:val="004A663F"/>
    <w:rsid w:val="004B65B0"/>
    <w:rsid w:val="004B773F"/>
    <w:rsid w:val="004C0E13"/>
    <w:rsid w:val="004C2FEF"/>
    <w:rsid w:val="004C55BA"/>
    <w:rsid w:val="004C5F23"/>
    <w:rsid w:val="004D53CD"/>
    <w:rsid w:val="004D6F4B"/>
    <w:rsid w:val="004E25F5"/>
    <w:rsid w:val="004E2BAA"/>
    <w:rsid w:val="004E48AC"/>
    <w:rsid w:val="004E6922"/>
    <w:rsid w:val="004E72F5"/>
    <w:rsid w:val="004F3AC0"/>
    <w:rsid w:val="005019FF"/>
    <w:rsid w:val="00507126"/>
    <w:rsid w:val="00512E00"/>
    <w:rsid w:val="00513FD6"/>
    <w:rsid w:val="0051518D"/>
    <w:rsid w:val="0052087F"/>
    <w:rsid w:val="00521ED0"/>
    <w:rsid w:val="005274E6"/>
    <w:rsid w:val="0053057A"/>
    <w:rsid w:val="005337CF"/>
    <w:rsid w:val="0054017E"/>
    <w:rsid w:val="00556F10"/>
    <w:rsid w:val="00560A29"/>
    <w:rsid w:val="00560C3F"/>
    <w:rsid w:val="00561029"/>
    <w:rsid w:val="00565DB2"/>
    <w:rsid w:val="00571300"/>
    <w:rsid w:val="00574422"/>
    <w:rsid w:val="00575C32"/>
    <w:rsid w:val="00576035"/>
    <w:rsid w:val="00583559"/>
    <w:rsid w:val="0059070B"/>
    <w:rsid w:val="00595EA6"/>
    <w:rsid w:val="005A0939"/>
    <w:rsid w:val="005A5672"/>
    <w:rsid w:val="005A73B5"/>
    <w:rsid w:val="005A7C05"/>
    <w:rsid w:val="005B1283"/>
    <w:rsid w:val="005B2CF9"/>
    <w:rsid w:val="005B6233"/>
    <w:rsid w:val="005C1BC6"/>
    <w:rsid w:val="005C6649"/>
    <w:rsid w:val="005E04A1"/>
    <w:rsid w:val="005F21E7"/>
    <w:rsid w:val="00602C03"/>
    <w:rsid w:val="00605827"/>
    <w:rsid w:val="00605C50"/>
    <w:rsid w:val="0060747D"/>
    <w:rsid w:val="00616209"/>
    <w:rsid w:val="0063087F"/>
    <w:rsid w:val="00634152"/>
    <w:rsid w:val="00634A41"/>
    <w:rsid w:val="00646050"/>
    <w:rsid w:val="00657978"/>
    <w:rsid w:val="00661002"/>
    <w:rsid w:val="0066564D"/>
    <w:rsid w:val="006713CA"/>
    <w:rsid w:val="00672920"/>
    <w:rsid w:val="00673618"/>
    <w:rsid w:val="00676C5C"/>
    <w:rsid w:val="00676DF3"/>
    <w:rsid w:val="0067733E"/>
    <w:rsid w:val="00680817"/>
    <w:rsid w:val="00681924"/>
    <w:rsid w:val="00681FC5"/>
    <w:rsid w:val="0068292E"/>
    <w:rsid w:val="00684617"/>
    <w:rsid w:val="00694F79"/>
    <w:rsid w:val="006A22B4"/>
    <w:rsid w:val="006A5579"/>
    <w:rsid w:val="006A6612"/>
    <w:rsid w:val="006C71A1"/>
    <w:rsid w:val="006C79AE"/>
    <w:rsid w:val="006D2B85"/>
    <w:rsid w:val="006E0886"/>
    <w:rsid w:val="006E2F4B"/>
    <w:rsid w:val="006E47E1"/>
    <w:rsid w:val="006E76AF"/>
    <w:rsid w:val="006E77FD"/>
    <w:rsid w:val="006F1D8A"/>
    <w:rsid w:val="006F221B"/>
    <w:rsid w:val="006F5B69"/>
    <w:rsid w:val="007007AC"/>
    <w:rsid w:val="007008F5"/>
    <w:rsid w:val="00703377"/>
    <w:rsid w:val="00705BA1"/>
    <w:rsid w:val="00706B37"/>
    <w:rsid w:val="007113D2"/>
    <w:rsid w:val="00715517"/>
    <w:rsid w:val="00731603"/>
    <w:rsid w:val="00741FA3"/>
    <w:rsid w:val="007455B1"/>
    <w:rsid w:val="00750AFD"/>
    <w:rsid w:val="00751D82"/>
    <w:rsid w:val="00761C3D"/>
    <w:rsid w:val="0076488F"/>
    <w:rsid w:val="00773E60"/>
    <w:rsid w:val="00777BE0"/>
    <w:rsid w:val="007836E1"/>
    <w:rsid w:val="00784253"/>
    <w:rsid w:val="00785950"/>
    <w:rsid w:val="00790DC5"/>
    <w:rsid w:val="007951D8"/>
    <w:rsid w:val="00797679"/>
    <w:rsid w:val="007A0994"/>
    <w:rsid w:val="007B1DE7"/>
    <w:rsid w:val="007B27CE"/>
    <w:rsid w:val="007B69A4"/>
    <w:rsid w:val="007C2C8C"/>
    <w:rsid w:val="007D0D4A"/>
    <w:rsid w:val="007D1613"/>
    <w:rsid w:val="007E1681"/>
    <w:rsid w:val="007E32F2"/>
    <w:rsid w:val="007E45BB"/>
    <w:rsid w:val="007F2CDF"/>
    <w:rsid w:val="007F449C"/>
    <w:rsid w:val="007F6FED"/>
    <w:rsid w:val="00801E1B"/>
    <w:rsid w:val="00803A92"/>
    <w:rsid w:val="00804767"/>
    <w:rsid w:val="008069A0"/>
    <w:rsid w:val="0081370C"/>
    <w:rsid w:val="00815F1C"/>
    <w:rsid w:val="0082025E"/>
    <w:rsid w:val="008243FD"/>
    <w:rsid w:val="00826298"/>
    <w:rsid w:val="00826DD9"/>
    <w:rsid w:val="00827EF6"/>
    <w:rsid w:val="008307C7"/>
    <w:rsid w:val="008338A9"/>
    <w:rsid w:val="0084046A"/>
    <w:rsid w:val="00842E15"/>
    <w:rsid w:val="00845208"/>
    <w:rsid w:val="008461AE"/>
    <w:rsid w:val="00846487"/>
    <w:rsid w:val="00851655"/>
    <w:rsid w:val="00852335"/>
    <w:rsid w:val="00861729"/>
    <w:rsid w:val="008649E0"/>
    <w:rsid w:val="00873723"/>
    <w:rsid w:val="0089671E"/>
    <w:rsid w:val="00897B21"/>
    <w:rsid w:val="008A0570"/>
    <w:rsid w:val="008B0426"/>
    <w:rsid w:val="008B2CC1"/>
    <w:rsid w:val="008B3F5F"/>
    <w:rsid w:val="008B53AA"/>
    <w:rsid w:val="008B5608"/>
    <w:rsid w:val="008B5AFA"/>
    <w:rsid w:val="008B60B2"/>
    <w:rsid w:val="008B784C"/>
    <w:rsid w:val="008B78BD"/>
    <w:rsid w:val="008C5FAE"/>
    <w:rsid w:val="008D2989"/>
    <w:rsid w:val="008D3545"/>
    <w:rsid w:val="008F0006"/>
    <w:rsid w:val="008F1978"/>
    <w:rsid w:val="008F2B7D"/>
    <w:rsid w:val="008F4637"/>
    <w:rsid w:val="009011B7"/>
    <w:rsid w:val="00902361"/>
    <w:rsid w:val="00902606"/>
    <w:rsid w:val="009037DF"/>
    <w:rsid w:val="00904E94"/>
    <w:rsid w:val="00905771"/>
    <w:rsid w:val="00905988"/>
    <w:rsid w:val="009064D0"/>
    <w:rsid w:val="0090731E"/>
    <w:rsid w:val="00912655"/>
    <w:rsid w:val="00912A3D"/>
    <w:rsid w:val="00914C5D"/>
    <w:rsid w:val="00916EE2"/>
    <w:rsid w:val="00924E61"/>
    <w:rsid w:val="0092687A"/>
    <w:rsid w:val="00926BC3"/>
    <w:rsid w:val="009305D7"/>
    <w:rsid w:val="00932F9D"/>
    <w:rsid w:val="00934B5B"/>
    <w:rsid w:val="009409F0"/>
    <w:rsid w:val="0094194B"/>
    <w:rsid w:val="00944D75"/>
    <w:rsid w:val="00944F8E"/>
    <w:rsid w:val="009463AE"/>
    <w:rsid w:val="00954D71"/>
    <w:rsid w:val="00955416"/>
    <w:rsid w:val="00961ED5"/>
    <w:rsid w:val="00962200"/>
    <w:rsid w:val="00964482"/>
    <w:rsid w:val="009662F4"/>
    <w:rsid w:val="00966A22"/>
    <w:rsid w:val="0096722F"/>
    <w:rsid w:val="00971FDE"/>
    <w:rsid w:val="00980843"/>
    <w:rsid w:val="00980E04"/>
    <w:rsid w:val="009829DB"/>
    <w:rsid w:val="00983376"/>
    <w:rsid w:val="00987099"/>
    <w:rsid w:val="0099314D"/>
    <w:rsid w:val="00996F7B"/>
    <w:rsid w:val="009A2DE4"/>
    <w:rsid w:val="009B357B"/>
    <w:rsid w:val="009B4D1A"/>
    <w:rsid w:val="009B5BA4"/>
    <w:rsid w:val="009B6B20"/>
    <w:rsid w:val="009C6E64"/>
    <w:rsid w:val="009C7FE7"/>
    <w:rsid w:val="009D0045"/>
    <w:rsid w:val="009D3EF2"/>
    <w:rsid w:val="009D446A"/>
    <w:rsid w:val="009D5782"/>
    <w:rsid w:val="009D6517"/>
    <w:rsid w:val="009E2791"/>
    <w:rsid w:val="009E3F6F"/>
    <w:rsid w:val="009E4BE7"/>
    <w:rsid w:val="009F028D"/>
    <w:rsid w:val="009F078B"/>
    <w:rsid w:val="009F191C"/>
    <w:rsid w:val="009F499F"/>
    <w:rsid w:val="009F6070"/>
    <w:rsid w:val="00A0223A"/>
    <w:rsid w:val="00A04644"/>
    <w:rsid w:val="00A06038"/>
    <w:rsid w:val="00A131B1"/>
    <w:rsid w:val="00A150E3"/>
    <w:rsid w:val="00A15245"/>
    <w:rsid w:val="00A16C6A"/>
    <w:rsid w:val="00A214D0"/>
    <w:rsid w:val="00A22A81"/>
    <w:rsid w:val="00A30E1C"/>
    <w:rsid w:val="00A35170"/>
    <w:rsid w:val="00A35EB5"/>
    <w:rsid w:val="00A363D8"/>
    <w:rsid w:val="00A411E7"/>
    <w:rsid w:val="00A42DAF"/>
    <w:rsid w:val="00A442C4"/>
    <w:rsid w:val="00A445A9"/>
    <w:rsid w:val="00A45BD8"/>
    <w:rsid w:val="00A50627"/>
    <w:rsid w:val="00A5187B"/>
    <w:rsid w:val="00A51DD5"/>
    <w:rsid w:val="00A53727"/>
    <w:rsid w:val="00A5544A"/>
    <w:rsid w:val="00A61851"/>
    <w:rsid w:val="00A664BC"/>
    <w:rsid w:val="00A66FE9"/>
    <w:rsid w:val="00A7144D"/>
    <w:rsid w:val="00A869B7"/>
    <w:rsid w:val="00A87BC4"/>
    <w:rsid w:val="00A909A7"/>
    <w:rsid w:val="00A93651"/>
    <w:rsid w:val="00A93A3D"/>
    <w:rsid w:val="00A93D9E"/>
    <w:rsid w:val="00A96D42"/>
    <w:rsid w:val="00A97C53"/>
    <w:rsid w:val="00A97EB2"/>
    <w:rsid w:val="00AA26D5"/>
    <w:rsid w:val="00AB29A7"/>
    <w:rsid w:val="00AB3713"/>
    <w:rsid w:val="00AC0F40"/>
    <w:rsid w:val="00AC1FF6"/>
    <w:rsid w:val="00AC205C"/>
    <w:rsid w:val="00AC419E"/>
    <w:rsid w:val="00AE085A"/>
    <w:rsid w:val="00AF006B"/>
    <w:rsid w:val="00AF0A6B"/>
    <w:rsid w:val="00AF1B7A"/>
    <w:rsid w:val="00AF226F"/>
    <w:rsid w:val="00AF529F"/>
    <w:rsid w:val="00B01C19"/>
    <w:rsid w:val="00B02EC1"/>
    <w:rsid w:val="00B04C98"/>
    <w:rsid w:val="00B05A69"/>
    <w:rsid w:val="00B078DC"/>
    <w:rsid w:val="00B11E10"/>
    <w:rsid w:val="00B134D2"/>
    <w:rsid w:val="00B16E42"/>
    <w:rsid w:val="00B21744"/>
    <w:rsid w:val="00B27436"/>
    <w:rsid w:val="00B30477"/>
    <w:rsid w:val="00B3212F"/>
    <w:rsid w:val="00B33D7B"/>
    <w:rsid w:val="00B33E36"/>
    <w:rsid w:val="00B3448D"/>
    <w:rsid w:val="00B45B6D"/>
    <w:rsid w:val="00B5351E"/>
    <w:rsid w:val="00B54796"/>
    <w:rsid w:val="00B5764F"/>
    <w:rsid w:val="00B63048"/>
    <w:rsid w:val="00B63238"/>
    <w:rsid w:val="00B66F22"/>
    <w:rsid w:val="00B67E02"/>
    <w:rsid w:val="00B805C1"/>
    <w:rsid w:val="00B8155A"/>
    <w:rsid w:val="00B90C06"/>
    <w:rsid w:val="00B92DBB"/>
    <w:rsid w:val="00B937DF"/>
    <w:rsid w:val="00B944FD"/>
    <w:rsid w:val="00B9634B"/>
    <w:rsid w:val="00B9734B"/>
    <w:rsid w:val="00BA1368"/>
    <w:rsid w:val="00BA2ACD"/>
    <w:rsid w:val="00BA42E9"/>
    <w:rsid w:val="00BA5D63"/>
    <w:rsid w:val="00BA6F20"/>
    <w:rsid w:val="00BA7889"/>
    <w:rsid w:val="00BB7875"/>
    <w:rsid w:val="00BC1CE0"/>
    <w:rsid w:val="00BC425C"/>
    <w:rsid w:val="00BC787C"/>
    <w:rsid w:val="00BD3EB8"/>
    <w:rsid w:val="00BD46C1"/>
    <w:rsid w:val="00BE0C70"/>
    <w:rsid w:val="00BE12D7"/>
    <w:rsid w:val="00BF0A7F"/>
    <w:rsid w:val="00BF1645"/>
    <w:rsid w:val="00BF1667"/>
    <w:rsid w:val="00BF6E32"/>
    <w:rsid w:val="00BF7799"/>
    <w:rsid w:val="00C00882"/>
    <w:rsid w:val="00C0672C"/>
    <w:rsid w:val="00C0789C"/>
    <w:rsid w:val="00C11BFE"/>
    <w:rsid w:val="00C137F1"/>
    <w:rsid w:val="00C236C3"/>
    <w:rsid w:val="00C24D23"/>
    <w:rsid w:val="00C3089C"/>
    <w:rsid w:val="00C3163E"/>
    <w:rsid w:val="00C36F93"/>
    <w:rsid w:val="00C3766F"/>
    <w:rsid w:val="00C376D4"/>
    <w:rsid w:val="00C441FE"/>
    <w:rsid w:val="00C4508F"/>
    <w:rsid w:val="00C476E0"/>
    <w:rsid w:val="00C47F0F"/>
    <w:rsid w:val="00C51CF8"/>
    <w:rsid w:val="00C52124"/>
    <w:rsid w:val="00C567A9"/>
    <w:rsid w:val="00C614CD"/>
    <w:rsid w:val="00C77468"/>
    <w:rsid w:val="00C81C1F"/>
    <w:rsid w:val="00C86F0B"/>
    <w:rsid w:val="00C928BC"/>
    <w:rsid w:val="00C94857"/>
    <w:rsid w:val="00CA1CDC"/>
    <w:rsid w:val="00CB3220"/>
    <w:rsid w:val="00CB39F5"/>
    <w:rsid w:val="00CB66C8"/>
    <w:rsid w:val="00CB7A34"/>
    <w:rsid w:val="00CC295C"/>
    <w:rsid w:val="00CC3838"/>
    <w:rsid w:val="00CD00E3"/>
    <w:rsid w:val="00CD11AC"/>
    <w:rsid w:val="00CD5910"/>
    <w:rsid w:val="00CE2EBC"/>
    <w:rsid w:val="00CE7427"/>
    <w:rsid w:val="00CF228C"/>
    <w:rsid w:val="00CF7E1E"/>
    <w:rsid w:val="00D03059"/>
    <w:rsid w:val="00D06351"/>
    <w:rsid w:val="00D1350F"/>
    <w:rsid w:val="00D13F2F"/>
    <w:rsid w:val="00D17E9E"/>
    <w:rsid w:val="00D221C4"/>
    <w:rsid w:val="00D31F4A"/>
    <w:rsid w:val="00D363D1"/>
    <w:rsid w:val="00D37670"/>
    <w:rsid w:val="00D43F69"/>
    <w:rsid w:val="00D45252"/>
    <w:rsid w:val="00D5000E"/>
    <w:rsid w:val="00D63639"/>
    <w:rsid w:val="00D65AD9"/>
    <w:rsid w:val="00D71B4D"/>
    <w:rsid w:val="00D723C1"/>
    <w:rsid w:val="00D728A6"/>
    <w:rsid w:val="00D73D3C"/>
    <w:rsid w:val="00D75DAC"/>
    <w:rsid w:val="00D90C6B"/>
    <w:rsid w:val="00D93D55"/>
    <w:rsid w:val="00DA0F07"/>
    <w:rsid w:val="00DA6589"/>
    <w:rsid w:val="00DB16D1"/>
    <w:rsid w:val="00DB185E"/>
    <w:rsid w:val="00DC2F46"/>
    <w:rsid w:val="00DC380A"/>
    <w:rsid w:val="00DC434A"/>
    <w:rsid w:val="00DD3578"/>
    <w:rsid w:val="00DD37BD"/>
    <w:rsid w:val="00DF3641"/>
    <w:rsid w:val="00E01520"/>
    <w:rsid w:val="00E01E73"/>
    <w:rsid w:val="00E04977"/>
    <w:rsid w:val="00E10A82"/>
    <w:rsid w:val="00E263A5"/>
    <w:rsid w:val="00E26AB4"/>
    <w:rsid w:val="00E273D7"/>
    <w:rsid w:val="00E335FE"/>
    <w:rsid w:val="00E35E99"/>
    <w:rsid w:val="00E37A0B"/>
    <w:rsid w:val="00E413BA"/>
    <w:rsid w:val="00E445B5"/>
    <w:rsid w:val="00E45510"/>
    <w:rsid w:val="00E45661"/>
    <w:rsid w:val="00E53ED0"/>
    <w:rsid w:val="00E54A2D"/>
    <w:rsid w:val="00E56FEE"/>
    <w:rsid w:val="00E578AE"/>
    <w:rsid w:val="00E66341"/>
    <w:rsid w:val="00E66429"/>
    <w:rsid w:val="00E66B6F"/>
    <w:rsid w:val="00E72CB1"/>
    <w:rsid w:val="00E755CA"/>
    <w:rsid w:val="00E80CDC"/>
    <w:rsid w:val="00E819BF"/>
    <w:rsid w:val="00E86325"/>
    <w:rsid w:val="00E8637E"/>
    <w:rsid w:val="00E87FF4"/>
    <w:rsid w:val="00E902BC"/>
    <w:rsid w:val="00E90728"/>
    <w:rsid w:val="00E937F9"/>
    <w:rsid w:val="00E94C85"/>
    <w:rsid w:val="00E957AC"/>
    <w:rsid w:val="00EA02BA"/>
    <w:rsid w:val="00EA23AF"/>
    <w:rsid w:val="00EA4A5E"/>
    <w:rsid w:val="00EA4F8C"/>
    <w:rsid w:val="00EA7FAB"/>
    <w:rsid w:val="00EB130D"/>
    <w:rsid w:val="00EB26A3"/>
    <w:rsid w:val="00EC2533"/>
    <w:rsid w:val="00EC281A"/>
    <w:rsid w:val="00EC4E49"/>
    <w:rsid w:val="00EC52FB"/>
    <w:rsid w:val="00EC6AE5"/>
    <w:rsid w:val="00EC6B5C"/>
    <w:rsid w:val="00ED2DF7"/>
    <w:rsid w:val="00ED77FB"/>
    <w:rsid w:val="00EE409F"/>
    <w:rsid w:val="00EE45FA"/>
    <w:rsid w:val="00EE5CC4"/>
    <w:rsid w:val="00EF77C6"/>
    <w:rsid w:val="00F106BF"/>
    <w:rsid w:val="00F13DBE"/>
    <w:rsid w:val="00F20078"/>
    <w:rsid w:val="00F248D1"/>
    <w:rsid w:val="00F31E84"/>
    <w:rsid w:val="00F32595"/>
    <w:rsid w:val="00F3268A"/>
    <w:rsid w:val="00F41426"/>
    <w:rsid w:val="00F51A11"/>
    <w:rsid w:val="00F60A22"/>
    <w:rsid w:val="00F63E9E"/>
    <w:rsid w:val="00F66152"/>
    <w:rsid w:val="00F661C2"/>
    <w:rsid w:val="00F66E31"/>
    <w:rsid w:val="00F73CC3"/>
    <w:rsid w:val="00F75587"/>
    <w:rsid w:val="00F80AE7"/>
    <w:rsid w:val="00F81987"/>
    <w:rsid w:val="00F823E3"/>
    <w:rsid w:val="00F837FC"/>
    <w:rsid w:val="00F93A1F"/>
    <w:rsid w:val="00F965D7"/>
    <w:rsid w:val="00F9669A"/>
    <w:rsid w:val="00FA120C"/>
    <w:rsid w:val="00FA144F"/>
    <w:rsid w:val="00FA2916"/>
    <w:rsid w:val="00FA3DEF"/>
    <w:rsid w:val="00FA7572"/>
    <w:rsid w:val="00FA7930"/>
    <w:rsid w:val="00FB4FD0"/>
    <w:rsid w:val="00FD21F2"/>
    <w:rsid w:val="00FD3423"/>
    <w:rsid w:val="00FD44DF"/>
    <w:rsid w:val="00FD4FF6"/>
    <w:rsid w:val="00FE1EBA"/>
    <w:rsid w:val="00FE36ED"/>
    <w:rsid w:val="00FE57D2"/>
    <w:rsid w:val="00FF415D"/>
    <w:rsid w:val="00FF660A"/>
    <w:rsid w:val="00FF70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rsid w:val="0054017E"/>
    <w:rPr>
      <w:rFonts w:ascii="Tahoma" w:hAnsi="Tahoma" w:cs="Tahoma"/>
      <w:sz w:val="16"/>
      <w:szCs w:val="16"/>
    </w:rPr>
  </w:style>
  <w:style w:type="character" w:customStyle="1" w:styleId="BalloonTextChar">
    <w:name w:val="Balloon Text Char"/>
    <w:basedOn w:val="DefaultParagraphFont"/>
    <w:link w:val="BalloonText"/>
    <w:rsid w:val="0054017E"/>
    <w:rPr>
      <w:rFonts w:ascii="Tahoma" w:eastAsia="SimSun" w:hAnsi="Tahoma" w:cs="Tahoma"/>
      <w:sz w:val="16"/>
      <w:szCs w:val="16"/>
      <w:lang w:eastAsia="zh-CN"/>
    </w:rPr>
  </w:style>
  <w:style w:type="paragraph" w:styleId="ListParagraph">
    <w:name w:val="List Paragraph"/>
    <w:basedOn w:val="Normal"/>
    <w:uiPriority w:val="34"/>
    <w:qFormat/>
    <w:rsid w:val="003B2AEF"/>
    <w:pPr>
      <w:ind w:left="720"/>
      <w:contextualSpacing/>
    </w:pPr>
  </w:style>
  <w:style w:type="character" w:customStyle="1" w:styleId="FootnoteTextChar">
    <w:name w:val="Footnote Text Char"/>
    <w:basedOn w:val="DefaultParagraphFont"/>
    <w:link w:val="FootnoteText"/>
    <w:uiPriority w:val="99"/>
    <w:semiHidden/>
    <w:rsid w:val="00A445A9"/>
    <w:rPr>
      <w:rFonts w:ascii="Arial" w:eastAsia="SimSun" w:hAnsi="Arial" w:cs="Arial"/>
      <w:sz w:val="18"/>
      <w:lang w:eastAsia="zh-CN"/>
    </w:rPr>
  </w:style>
  <w:style w:type="character" w:styleId="FootnoteReference">
    <w:name w:val="footnote reference"/>
    <w:basedOn w:val="DefaultParagraphFont"/>
    <w:uiPriority w:val="99"/>
    <w:unhideWhenUsed/>
    <w:rsid w:val="00A445A9"/>
    <w:rPr>
      <w:vertAlign w:val="superscript"/>
    </w:rPr>
  </w:style>
  <w:style w:type="character" w:styleId="Hyperlink">
    <w:name w:val="Hyperlink"/>
    <w:basedOn w:val="DefaultParagraphFont"/>
    <w:uiPriority w:val="99"/>
    <w:unhideWhenUsed/>
    <w:rsid w:val="00A445A9"/>
    <w:rPr>
      <w:color w:val="0000FF" w:themeColor="hyperlink"/>
      <w:u w:val="single"/>
    </w:rPr>
  </w:style>
  <w:style w:type="paragraph" w:customStyle="1" w:styleId="Pa6">
    <w:name w:val="Pa6"/>
    <w:basedOn w:val="Normal"/>
    <w:next w:val="Normal"/>
    <w:uiPriority w:val="99"/>
    <w:rsid w:val="00A445A9"/>
    <w:pPr>
      <w:autoSpaceDE w:val="0"/>
      <w:autoSpaceDN w:val="0"/>
      <w:adjustRightInd w:val="0"/>
      <w:spacing w:line="201" w:lineRule="atLeast"/>
    </w:pPr>
    <w:rPr>
      <w:rFonts w:eastAsiaTheme="minorEastAsia"/>
      <w:sz w:val="24"/>
      <w:szCs w:val="24"/>
      <w:lang w:eastAsia="en-US"/>
    </w:rPr>
  </w:style>
  <w:style w:type="character" w:styleId="EndnoteReference">
    <w:name w:val="endnote reference"/>
    <w:basedOn w:val="DefaultParagraphFont"/>
    <w:rsid w:val="00165271"/>
    <w:rPr>
      <w:vertAlign w:val="superscript"/>
    </w:rPr>
  </w:style>
  <w:style w:type="character" w:styleId="FollowedHyperlink">
    <w:name w:val="FollowedHyperlink"/>
    <w:basedOn w:val="DefaultParagraphFont"/>
    <w:rsid w:val="008137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rsid w:val="0054017E"/>
    <w:rPr>
      <w:rFonts w:ascii="Tahoma" w:hAnsi="Tahoma" w:cs="Tahoma"/>
      <w:sz w:val="16"/>
      <w:szCs w:val="16"/>
    </w:rPr>
  </w:style>
  <w:style w:type="character" w:customStyle="1" w:styleId="BalloonTextChar">
    <w:name w:val="Balloon Text Char"/>
    <w:basedOn w:val="DefaultParagraphFont"/>
    <w:link w:val="BalloonText"/>
    <w:rsid w:val="0054017E"/>
    <w:rPr>
      <w:rFonts w:ascii="Tahoma" w:eastAsia="SimSun" w:hAnsi="Tahoma" w:cs="Tahoma"/>
      <w:sz w:val="16"/>
      <w:szCs w:val="16"/>
      <w:lang w:eastAsia="zh-CN"/>
    </w:rPr>
  </w:style>
  <w:style w:type="paragraph" w:styleId="ListParagraph">
    <w:name w:val="List Paragraph"/>
    <w:basedOn w:val="Normal"/>
    <w:uiPriority w:val="34"/>
    <w:qFormat/>
    <w:rsid w:val="003B2AEF"/>
    <w:pPr>
      <w:ind w:left="720"/>
      <w:contextualSpacing/>
    </w:pPr>
  </w:style>
  <w:style w:type="character" w:customStyle="1" w:styleId="FootnoteTextChar">
    <w:name w:val="Footnote Text Char"/>
    <w:basedOn w:val="DefaultParagraphFont"/>
    <w:link w:val="FootnoteText"/>
    <w:uiPriority w:val="99"/>
    <w:semiHidden/>
    <w:rsid w:val="00A445A9"/>
    <w:rPr>
      <w:rFonts w:ascii="Arial" w:eastAsia="SimSun" w:hAnsi="Arial" w:cs="Arial"/>
      <w:sz w:val="18"/>
      <w:lang w:eastAsia="zh-CN"/>
    </w:rPr>
  </w:style>
  <w:style w:type="character" w:styleId="FootnoteReference">
    <w:name w:val="footnote reference"/>
    <w:basedOn w:val="DefaultParagraphFont"/>
    <w:uiPriority w:val="99"/>
    <w:unhideWhenUsed/>
    <w:rsid w:val="00A445A9"/>
    <w:rPr>
      <w:vertAlign w:val="superscript"/>
    </w:rPr>
  </w:style>
  <w:style w:type="character" w:styleId="Hyperlink">
    <w:name w:val="Hyperlink"/>
    <w:basedOn w:val="DefaultParagraphFont"/>
    <w:uiPriority w:val="99"/>
    <w:unhideWhenUsed/>
    <w:rsid w:val="00A445A9"/>
    <w:rPr>
      <w:color w:val="0000FF" w:themeColor="hyperlink"/>
      <w:u w:val="single"/>
    </w:rPr>
  </w:style>
  <w:style w:type="paragraph" w:customStyle="1" w:styleId="Pa6">
    <w:name w:val="Pa6"/>
    <w:basedOn w:val="Normal"/>
    <w:next w:val="Normal"/>
    <w:uiPriority w:val="99"/>
    <w:rsid w:val="00A445A9"/>
    <w:pPr>
      <w:autoSpaceDE w:val="0"/>
      <w:autoSpaceDN w:val="0"/>
      <w:adjustRightInd w:val="0"/>
      <w:spacing w:line="201" w:lineRule="atLeast"/>
    </w:pPr>
    <w:rPr>
      <w:rFonts w:eastAsiaTheme="minorEastAsia"/>
      <w:sz w:val="24"/>
      <w:szCs w:val="24"/>
      <w:lang w:eastAsia="en-US"/>
    </w:rPr>
  </w:style>
  <w:style w:type="character" w:styleId="EndnoteReference">
    <w:name w:val="endnote reference"/>
    <w:basedOn w:val="DefaultParagraphFont"/>
    <w:rsid w:val="00165271"/>
    <w:rPr>
      <w:vertAlign w:val="superscript"/>
    </w:rPr>
  </w:style>
  <w:style w:type="character" w:styleId="FollowedHyperlink">
    <w:name w:val="FollowedHyperlink"/>
    <w:basedOn w:val="DefaultParagraphFont"/>
    <w:rsid w:val="008137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597">
      <w:bodyDiv w:val="1"/>
      <w:marLeft w:val="0"/>
      <w:marRight w:val="0"/>
      <w:marTop w:val="0"/>
      <w:marBottom w:val="0"/>
      <w:divBdr>
        <w:top w:val="none" w:sz="0" w:space="0" w:color="auto"/>
        <w:left w:val="none" w:sz="0" w:space="0" w:color="auto"/>
        <w:bottom w:val="none" w:sz="0" w:space="0" w:color="auto"/>
        <w:right w:val="none" w:sz="0" w:space="0" w:color="auto"/>
      </w:divBdr>
    </w:div>
    <w:div w:id="54533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ip-development/es/agenda/recommendations.html" TargetMode="External"/><Relationship Id="rId5" Type="http://schemas.openxmlformats.org/officeDocument/2006/relationships/settings" Target="settings.xml"/><Relationship Id="rId10" Type="http://schemas.openxmlformats.org/officeDocument/2006/relationships/hyperlink" Target="http://www.wipo.int/about-wipo/es/goal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es/doc_details.jsp?doc_id=261799" TargetMode="External"/><Relationship Id="rId13" Type="http://schemas.openxmlformats.org/officeDocument/2006/relationships/hyperlink" Target="http://www.wipo.int/meetings/es/doc_details.jsp?doc_id=261799" TargetMode="External"/><Relationship Id="rId18" Type="http://schemas.openxmlformats.org/officeDocument/2006/relationships/hyperlink" Target="http://www-ocms.wipo.int/meetings/en/details.jsp?meeting_id=30137" TargetMode="External"/><Relationship Id="rId3" Type="http://schemas.openxmlformats.org/officeDocument/2006/relationships/hyperlink" Target="http://www.wipo.int/meetings/es/details.jsp?meeting_id=22170" TargetMode="External"/><Relationship Id="rId21" Type="http://schemas.openxmlformats.org/officeDocument/2006/relationships/hyperlink" Target="http://www.wipo.int/ipstrategies/es/" TargetMode="External"/><Relationship Id="rId7" Type="http://schemas.openxmlformats.org/officeDocument/2006/relationships/hyperlink" Target="http://www.wipo.int/meetings/es/doc_details.jsp?doc_id=261496" TargetMode="External"/><Relationship Id="rId12" Type="http://schemas.openxmlformats.org/officeDocument/2006/relationships/hyperlink" Target="http://www-ocms.wipo.int/meetings/en/doc_details.jsp?doc_id=266656" TargetMode="External"/><Relationship Id="rId17" Type="http://schemas.openxmlformats.org/officeDocument/2006/relationships/hyperlink" Target="http://www.wipo.int/meetings/es/doc_details.jsp?doc_id=261436" TargetMode="External"/><Relationship Id="rId2" Type="http://schemas.openxmlformats.org/officeDocument/2006/relationships/hyperlink" Target="http://www.wipo.int/meetings/es/details.jsp?meeting_id=20199" TargetMode="External"/><Relationship Id="rId16" Type="http://schemas.openxmlformats.org/officeDocument/2006/relationships/hyperlink" Target="http://www-ocms.wipo.int/meetings/en/details.jsp?meeting_id=30137" TargetMode="External"/><Relationship Id="rId20" Type="http://schemas.openxmlformats.org/officeDocument/2006/relationships/hyperlink" Target="http://www.wipo.int/meetings/es/doc_details.jsp?doc_id=262358" TargetMode="External"/><Relationship Id="rId1" Type="http://schemas.openxmlformats.org/officeDocument/2006/relationships/hyperlink" Target="http://www.wipo.int/meetings/es/details.jsp?meeting_id=30137" TargetMode="External"/><Relationship Id="rId6" Type="http://schemas.openxmlformats.org/officeDocument/2006/relationships/hyperlink" Target="http://www-ocms.wipo.int/meetings/en/details.jsp?meeting_id=30137" TargetMode="External"/><Relationship Id="rId11" Type="http://schemas.openxmlformats.org/officeDocument/2006/relationships/hyperlink" Target="http://www.wipo.int/meetings/es/doc_details.jsp?doc_id=261897" TargetMode="External"/><Relationship Id="rId5" Type="http://schemas.openxmlformats.org/officeDocument/2006/relationships/hyperlink" Target="http://www.wipo.int/meetings/es/details.jsp?meeting_id=9964" TargetMode="External"/><Relationship Id="rId15" Type="http://schemas.openxmlformats.org/officeDocument/2006/relationships/hyperlink" Target="http://www.wipo.int/meetings/es/doc_details.jsp?doc_id=261436" TargetMode="External"/><Relationship Id="rId23" Type="http://schemas.openxmlformats.org/officeDocument/2006/relationships/hyperlink" Target="http://www.wipo.int/ip-outreach/es/tools/" TargetMode="External"/><Relationship Id="rId10" Type="http://schemas.openxmlformats.org/officeDocument/2006/relationships/hyperlink" Target="http://www.wipo.int/meetings/es/doc_details.jsp?doc_id=266346" TargetMode="External"/><Relationship Id="rId19" Type="http://schemas.openxmlformats.org/officeDocument/2006/relationships/hyperlink" Target="http://www-ocms.wipo.int/meetings/en/details.jsp?meeting_id=30137" TargetMode="External"/><Relationship Id="rId4" Type="http://schemas.openxmlformats.org/officeDocument/2006/relationships/hyperlink" Target="http://www.wipo.int/meetings/es/details.jsp?meeting_id=25015" TargetMode="External"/><Relationship Id="rId9" Type="http://schemas.openxmlformats.org/officeDocument/2006/relationships/hyperlink" Target="http://www.wipo.int/ip-development/es/agenda/recommendations.html" TargetMode="External"/><Relationship Id="rId14" Type="http://schemas.openxmlformats.org/officeDocument/2006/relationships/hyperlink" Target="http://www.wipo.int/meetings/es/doc_details.jsp?doc_id=261436" TargetMode="External"/><Relationship Id="rId22" Type="http://schemas.openxmlformats.org/officeDocument/2006/relationships/hyperlink" Target="http://www.wipo.int/ed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57F3A-F60C-4363-86FD-7EAA5D7D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4232</Words>
  <Characters>23452</Characters>
  <Application>Microsoft Office Word</Application>
  <DocSecurity>0</DocSecurity>
  <Lines>195</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WIPO/ACE/9/</vt:lpstr>
      <vt:lpstr>WIPO/ACE/9/</vt:lpstr>
    </vt:vector>
  </TitlesOfParts>
  <Company>WIPO</Company>
  <LinksUpToDate>false</LinksUpToDate>
  <CharactersWithSpaces>27629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WIPO/ACE/9/</dc:title>
  <dc:creator>COLIN Isabelle</dc:creator>
  <dc:description>IS_x000d_
13.02.14</dc:description>
  <cp:lastModifiedBy>COLIN Isabelle</cp:lastModifiedBy>
  <cp:revision>3</cp:revision>
  <cp:lastPrinted>2014-02-27T08:00:00Z</cp:lastPrinted>
  <dcterms:created xsi:type="dcterms:W3CDTF">2014-02-27T08:00:00Z</dcterms:created>
  <dcterms:modified xsi:type="dcterms:W3CDTF">2014-02-27T08:00:00Z</dcterms:modified>
</cp:coreProperties>
</file>