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38A6" w14:textId="77777777" w:rsidR="008B2CC1" w:rsidRPr="00FF2DF3" w:rsidRDefault="00472A6E" w:rsidP="00762AC6">
      <w:pPr>
        <w:pBdr>
          <w:bottom w:val="single" w:sz="4" w:space="11" w:color="auto"/>
        </w:pBdr>
        <w:spacing w:after="120"/>
        <w:ind w:right="-57"/>
        <w:jc w:val="right"/>
      </w:pPr>
      <w:r w:rsidRPr="00FF2DF3">
        <w:rPr>
          <w:noProof/>
          <w:lang w:eastAsia="es-ES"/>
        </w:rPr>
        <w:drawing>
          <wp:inline distT="0" distB="0" distL="0" distR="0" wp14:anchorId="23EB811A" wp14:editId="1CC486E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03DF7FF" w14:textId="77777777" w:rsidR="00472A6E" w:rsidRPr="00FF2DF3" w:rsidRDefault="009C0927" w:rsidP="00472A6E">
      <w:pPr>
        <w:jc w:val="right"/>
        <w:rPr>
          <w:rFonts w:ascii="Arial Black" w:hAnsi="Arial Black"/>
          <w:caps/>
          <w:sz w:val="15"/>
        </w:rPr>
      </w:pPr>
      <w:r w:rsidRPr="00FF2DF3">
        <w:rPr>
          <w:rFonts w:ascii="Arial Black" w:hAnsi="Arial Black"/>
          <w:caps/>
          <w:sz w:val="15"/>
        </w:rPr>
        <w:t>CDIP/31/</w:t>
      </w:r>
      <w:bookmarkStart w:id="0" w:name="Code"/>
      <w:bookmarkEnd w:id="0"/>
      <w:r w:rsidRPr="00FF2DF3">
        <w:rPr>
          <w:rFonts w:ascii="Arial Black" w:hAnsi="Arial Black"/>
          <w:caps/>
          <w:sz w:val="15"/>
        </w:rPr>
        <w:t>8</w:t>
      </w:r>
    </w:p>
    <w:p w14:paraId="545FB43F" w14:textId="77777777" w:rsidR="008B2CC1" w:rsidRPr="00FF2DF3" w:rsidRDefault="00472A6E" w:rsidP="00472A6E">
      <w:pPr>
        <w:jc w:val="right"/>
      </w:pPr>
      <w:r w:rsidRPr="00FF2DF3">
        <w:rPr>
          <w:rFonts w:ascii="Arial Black" w:hAnsi="Arial Black"/>
          <w:caps/>
          <w:sz w:val="15"/>
        </w:rPr>
        <w:t xml:space="preserve">ORIGINAL: </w:t>
      </w:r>
      <w:bookmarkStart w:id="1" w:name="Original"/>
      <w:r w:rsidRPr="00FF2DF3">
        <w:rPr>
          <w:rFonts w:ascii="Arial Black" w:hAnsi="Arial Black"/>
          <w:caps/>
          <w:sz w:val="15"/>
        </w:rPr>
        <w:t>INGLÉS</w:t>
      </w:r>
    </w:p>
    <w:bookmarkEnd w:id="1"/>
    <w:p w14:paraId="7692C115" w14:textId="77777777" w:rsidR="008B2CC1" w:rsidRPr="00FF2DF3" w:rsidRDefault="00472A6E" w:rsidP="00472A6E">
      <w:pPr>
        <w:spacing w:after="1200"/>
        <w:jc w:val="right"/>
      </w:pPr>
      <w:r w:rsidRPr="00FF2DF3">
        <w:rPr>
          <w:rFonts w:ascii="Arial Black" w:hAnsi="Arial Black"/>
          <w:caps/>
          <w:sz w:val="15"/>
        </w:rPr>
        <w:t xml:space="preserve">fecha: </w:t>
      </w:r>
      <w:bookmarkStart w:id="2" w:name="Date"/>
      <w:r w:rsidRPr="00FF2DF3">
        <w:rPr>
          <w:rFonts w:ascii="Arial Black" w:hAnsi="Arial Black"/>
          <w:caps/>
          <w:sz w:val="15"/>
        </w:rPr>
        <w:t>11 DE SEPTIEMBRE DE 2023</w:t>
      </w:r>
    </w:p>
    <w:p w14:paraId="7706278E" w14:textId="77777777" w:rsidR="00B67CDC" w:rsidRPr="00FF2DF3" w:rsidRDefault="00762AC6" w:rsidP="00830789">
      <w:pPr>
        <w:pStyle w:val="Heading1"/>
        <w:spacing w:after="240"/>
        <w:rPr>
          <w:sz w:val="28"/>
        </w:rPr>
      </w:pPr>
      <w:bookmarkStart w:id="3" w:name="_Toc145431937"/>
      <w:bookmarkStart w:id="4" w:name="_Toc145432090"/>
      <w:bookmarkStart w:id="5" w:name="_Toc145972448"/>
      <w:bookmarkStart w:id="6" w:name="_Toc146102836"/>
      <w:bookmarkEnd w:id="2"/>
      <w:r w:rsidRPr="00FF2DF3">
        <w:rPr>
          <w:caps w:val="0"/>
          <w:sz w:val="28"/>
        </w:rPr>
        <w:t>Comité de Desarrollo y Propiedad Intelectual (CDIP)</w:t>
      </w:r>
      <w:bookmarkEnd w:id="3"/>
      <w:bookmarkEnd w:id="4"/>
      <w:bookmarkEnd w:id="5"/>
      <w:bookmarkEnd w:id="6"/>
    </w:p>
    <w:p w14:paraId="42286633" w14:textId="77777777" w:rsidR="005B2EAE" w:rsidRPr="00FF2DF3" w:rsidRDefault="00DF13F9" w:rsidP="005B2EAE">
      <w:pPr>
        <w:outlineLvl w:val="1"/>
        <w:rPr>
          <w:b/>
          <w:sz w:val="24"/>
          <w:szCs w:val="24"/>
        </w:rPr>
      </w:pPr>
      <w:bookmarkStart w:id="7" w:name="_Toc145431938"/>
      <w:bookmarkStart w:id="8" w:name="_Toc145432091"/>
      <w:bookmarkStart w:id="9" w:name="_Toc145972449"/>
      <w:bookmarkStart w:id="10" w:name="_Toc146102837"/>
      <w:r w:rsidRPr="00FF2DF3">
        <w:rPr>
          <w:b/>
          <w:sz w:val="24"/>
        </w:rPr>
        <w:t>Trigésima primera sesión</w:t>
      </w:r>
      <w:bookmarkEnd w:id="7"/>
      <w:bookmarkEnd w:id="8"/>
      <w:bookmarkEnd w:id="9"/>
      <w:bookmarkEnd w:id="10"/>
    </w:p>
    <w:p w14:paraId="22E596DC" w14:textId="77777777" w:rsidR="00B67CDC" w:rsidRPr="00FF2DF3" w:rsidRDefault="00DF13F9" w:rsidP="00472A6E">
      <w:pPr>
        <w:spacing w:after="720"/>
        <w:outlineLvl w:val="1"/>
        <w:rPr>
          <w:b/>
          <w:sz w:val="24"/>
          <w:szCs w:val="24"/>
        </w:rPr>
      </w:pPr>
      <w:bookmarkStart w:id="11" w:name="_Toc145431939"/>
      <w:bookmarkStart w:id="12" w:name="_Toc145432092"/>
      <w:bookmarkStart w:id="13" w:name="_Toc145972450"/>
      <w:bookmarkStart w:id="14" w:name="_Toc146102838"/>
      <w:r w:rsidRPr="00FF2DF3">
        <w:rPr>
          <w:b/>
          <w:sz w:val="24"/>
        </w:rPr>
        <w:t>Ginebra, 27 de noviembre a 1 de diciembre de 2023</w:t>
      </w:r>
      <w:bookmarkEnd w:id="11"/>
      <w:bookmarkEnd w:id="12"/>
      <w:bookmarkEnd w:id="13"/>
      <w:bookmarkEnd w:id="14"/>
    </w:p>
    <w:p w14:paraId="5CD931B7" w14:textId="7B94408E" w:rsidR="008B2CC1" w:rsidRPr="00FF2DF3" w:rsidRDefault="007545CB" w:rsidP="00472A6E">
      <w:pPr>
        <w:spacing w:after="360"/>
        <w:rPr>
          <w:caps/>
          <w:sz w:val="24"/>
        </w:rPr>
      </w:pPr>
      <w:bookmarkStart w:id="15" w:name="TitleOfDoc"/>
      <w:r w:rsidRPr="00FF2DF3">
        <w:rPr>
          <w:sz w:val="24"/>
        </w:rPr>
        <w:t xml:space="preserve">INFORME DE EVALUACIÓN </w:t>
      </w:r>
      <w:r w:rsidR="00375DCE" w:rsidRPr="00FF2DF3">
        <w:rPr>
          <w:sz w:val="24"/>
        </w:rPr>
        <w:t xml:space="preserve">DE </w:t>
      </w:r>
      <w:r w:rsidRPr="00FF2DF3">
        <w:rPr>
          <w:sz w:val="24"/>
        </w:rPr>
        <w:t>IMPACTO DEL PROYECTO SOBRE PROPIEDAD INTELECTUAL Y DESARROLLO SOCIOECONÓMICO</w:t>
      </w:r>
    </w:p>
    <w:p w14:paraId="13551160" w14:textId="54CD93EE" w:rsidR="008B2CC1" w:rsidRPr="00FF2DF3" w:rsidRDefault="007545CB" w:rsidP="00FB31F5">
      <w:pPr>
        <w:spacing w:after="960"/>
        <w:rPr>
          <w:i/>
        </w:rPr>
      </w:pPr>
      <w:bookmarkStart w:id="16" w:name="Prepared"/>
      <w:bookmarkEnd w:id="15"/>
      <w:bookmarkEnd w:id="16"/>
      <w:r w:rsidRPr="00FF2DF3">
        <w:rPr>
          <w:i/>
        </w:rPr>
        <w:t>preparado por el Sr. Keith Child, especialista en evaluación de impacto y seguimiento</w:t>
      </w:r>
    </w:p>
    <w:p w14:paraId="6E2CA648" w14:textId="40EA94D6" w:rsidR="007545CB" w:rsidRPr="00FF2DF3" w:rsidRDefault="007545CB" w:rsidP="007545CB">
      <w:pPr>
        <w:pStyle w:val="ListParagraph"/>
        <w:numPr>
          <w:ilvl w:val="0"/>
          <w:numId w:val="7"/>
        </w:numPr>
        <w:ind w:left="0" w:firstLine="0"/>
        <w:contextualSpacing w:val="0"/>
      </w:pPr>
      <w:r w:rsidRPr="00FF2DF3">
        <w:t xml:space="preserve">En la vigesimonovena sesión del CDIP, al examinar las </w:t>
      </w:r>
      <w:r w:rsidR="003A38E7" w:rsidRPr="00FF2DF3">
        <w:t>r</w:t>
      </w:r>
      <w:r w:rsidRPr="00FF2DF3">
        <w:t xml:space="preserve">ecomendaciones adoptadas en el marco del </w:t>
      </w:r>
      <w:r w:rsidR="003A38E7" w:rsidRPr="00FF2DF3">
        <w:t>e</w:t>
      </w:r>
      <w:r w:rsidRPr="00FF2DF3">
        <w:t xml:space="preserve">xamen independiente – </w:t>
      </w:r>
      <w:r w:rsidR="003A38E7" w:rsidRPr="00FF2DF3">
        <w:t>p</w:t>
      </w:r>
      <w:r w:rsidRPr="00FF2DF3">
        <w:t xml:space="preserve">ropuesta actualizada de la Secretaría y contribuciones de los Estados miembros (documento CDIP/29/6), el Comité </w:t>
      </w:r>
      <w:r w:rsidR="00A51A4E" w:rsidRPr="00FF2DF3">
        <w:t>aprobó</w:t>
      </w:r>
      <w:r w:rsidRPr="00FF2DF3">
        <w:t xml:space="preserve"> una serie de estrategias de aplicación de dichas recomendaciones (párrafo 6.2 del resumen de la presidencia), en las que se solicitaba a la Secretaría, entre otras cosas, que realice cada año una evaluación </w:t>
      </w:r>
      <w:r w:rsidR="001D5AEF" w:rsidRPr="00FF2DF3">
        <w:t xml:space="preserve">de impacto </w:t>
      </w:r>
      <w:r w:rsidRPr="00FF2DF3">
        <w:t>de un proyecto de la Agenda para el Desarrollo (AD) finalizado.</w:t>
      </w:r>
    </w:p>
    <w:p w14:paraId="41F406E7" w14:textId="77777777" w:rsidR="007545CB" w:rsidRPr="00FF2DF3" w:rsidRDefault="007545CB" w:rsidP="007545CB">
      <w:pPr>
        <w:pStyle w:val="ListParagraph"/>
        <w:ind w:left="0"/>
        <w:contextualSpacing w:val="0"/>
      </w:pPr>
    </w:p>
    <w:p w14:paraId="49B99160" w14:textId="787F705B" w:rsidR="007545CB" w:rsidRPr="00FF2DF3" w:rsidRDefault="007545CB" w:rsidP="007545CB">
      <w:pPr>
        <w:pStyle w:val="ListParagraph"/>
        <w:numPr>
          <w:ilvl w:val="0"/>
          <w:numId w:val="7"/>
        </w:numPr>
        <w:ind w:left="0" w:firstLine="0"/>
        <w:contextualSpacing w:val="0"/>
      </w:pPr>
      <w:r w:rsidRPr="00FF2DF3">
        <w:rPr>
          <w:color w:val="000000"/>
        </w:rPr>
        <w:t xml:space="preserve">El anexo del presente documento contiene </w:t>
      </w:r>
      <w:r w:rsidR="000612AB" w:rsidRPr="00FF2DF3">
        <w:rPr>
          <w:color w:val="000000"/>
        </w:rPr>
        <w:t>el</w:t>
      </w:r>
      <w:r w:rsidRPr="00FF2DF3">
        <w:rPr>
          <w:color w:val="000000"/>
        </w:rPr>
        <w:t xml:space="preserve"> informe de evaluación de impacto independiente y externa del proyecto de la AD sobre </w:t>
      </w:r>
      <w:r w:rsidR="000612AB" w:rsidRPr="00FF2DF3">
        <w:rPr>
          <w:color w:val="000000"/>
        </w:rPr>
        <w:t>“</w:t>
      </w:r>
      <w:r w:rsidRPr="00FF2DF3">
        <w:rPr>
          <w:i/>
          <w:color w:val="000000"/>
        </w:rPr>
        <w:t>Propiedad intelectual y desarrollo socioeconómico</w:t>
      </w:r>
      <w:r w:rsidR="000612AB" w:rsidRPr="00FF2DF3">
        <w:rPr>
          <w:color w:val="000000"/>
        </w:rPr>
        <w:t>”</w:t>
      </w:r>
      <w:r w:rsidRPr="00FF2DF3">
        <w:rPr>
          <w:color w:val="000000"/>
        </w:rPr>
        <w:t xml:space="preserve"> (fases I y II), </w:t>
      </w:r>
      <w:r w:rsidR="005A309B" w:rsidRPr="00FF2DF3">
        <w:rPr>
          <w:color w:val="000000"/>
        </w:rPr>
        <w:t>preparado</w:t>
      </w:r>
      <w:r w:rsidRPr="00FF2DF3">
        <w:rPr>
          <w:color w:val="000000"/>
        </w:rPr>
        <w:t xml:space="preserve"> por el Sr. Keith Child, especialista en evaluación de impacto y seguimiento, de Quebec (Canadá). </w:t>
      </w:r>
    </w:p>
    <w:p w14:paraId="6F0AF853" w14:textId="77777777" w:rsidR="007545CB" w:rsidRPr="00FF2DF3" w:rsidRDefault="007545CB" w:rsidP="007545CB">
      <w:pPr>
        <w:pStyle w:val="ListParagraph"/>
        <w:ind w:left="0"/>
        <w:contextualSpacing w:val="0"/>
      </w:pPr>
    </w:p>
    <w:p w14:paraId="12E569F0" w14:textId="77777777" w:rsidR="007545CB" w:rsidRPr="00FF2DF3" w:rsidRDefault="007545CB" w:rsidP="007545CB">
      <w:pPr>
        <w:pStyle w:val="ListParagraph"/>
        <w:numPr>
          <w:ilvl w:val="0"/>
          <w:numId w:val="7"/>
        </w:numPr>
        <w:spacing w:after="720"/>
        <w:ind w:left="5533" w:firstLine="0"/>
        <w:contextualSpacing w:val="0"/>
        <w:rPr>
          <w:i/>
        </w:rPr>
      </w:pPr>
      <w:r w:rsidRPr="00FF2DF3">
        <w:rPr>
          <w:i/>
        </w:rPr>
        <w:t>Se invita al Comité a examinar la información contenida en el Anexo del presente documento.</w:t>
      </w:r>
    </w:p>
    <w:p w14:paraId="484DF40F" w14:textId="77777777" w:rsidR="007545CB" w:rsidRPr="00FF2DF3" w:rsidRDefault="007545CB" w:rsidP="007545CB">
      <w:pPr>
        <w:pStyle w:val="Endofdocument-Annex"/>
      </w:pPr>
      <w:r w:rsidRPr="00FF2DF3">
        <w:t>[Sigue el Anexo]</w:t>
      </w:r>
    </w:p>
    <w:p w14:paraId="68F08DA7" w14:textId="6F772186" w:rsidR="007545CB" w:rsidRPr="00FF2DF3" w:rsidRDefault="007545CB" w:rsidP="007545CB">
      <w:pPr>
        <w:pStyle w:val="Endofdocument-Annex"/>
        <w:rPr>
          <w:lang w:val="es-ES_tradnl" w:eastAsia="en-US"/>
        </w:rPr>
        <w:sectPr w:rsidR="007545CB" w:rsidRPr="00FF2DF3" w:rsidSect="007545C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23251E05" w14:textId="1F344DD2" w:rsidR="007572C7" w:rsidRPr="00FF2DF3" w:rsidRDefault="007545CB" w:rsidP="007572C7">
      <w:pPr>
        <w:pStyle w:val="TOC1"/>
        <w:rPr>
          <w:noProof/>
        </w:rPr>
      </w:pPr>
      <w:r w:rsidRPr="00FF2DF3">
        <w:lastRenderedPageBreak/>
        <w:fldChar w:fldCharType="begin"/>
      </w:r>
      <w:r w:rsidRPr="00FF2DF3">
        <w:instrText xml:space="preserve"> TOC \o "1-3" \h \z \u </w:instrText>
      </w:r>
      <w:r w:rsidRPr="00FF2DF3">
        <w:fldChar w:fldCharType="separate"/>
      </w:r>
      <w:hyperlink w:anchor="_Toc146102839" w:history="1">
        <w:r w:rsidR="007572C7" w:rsidRPr="00FF2DF3">
          <w:rPr>
            <w:rStyle w:val="Hyperlink"/>
            <w:noProof/>
          </w:rPr>
          <w:t>SIGLAS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_Toc146102839 \h </w:instrText>
        </w:r>
        <w:r w:rsidR="007572C7" w:rsidRPr="00FF2DF3">
          <w:rPr>
            <w:noProof/>
            <w:webHidden/>
          </w:rPr>
        </w:r>
        <w:r w:rsidR="007572C7" w:rsidRPr="00FF2DF3">
          <w:rPr>
            <w:noProof/>
            <w:webHidden/>
          </w:rPr>
          <w:fldChar w:fldCharType="separate"/>
        </w:r>
        <w:r w:rsidR="007572C7" w:rsidRPr="00FF2DF3">
          <w:rPr>
            <w:noProof/>
            <w:webHidden/>
          </w:rPr>
          <w:t>2</w:t>
        </w:r>
        <w:r w:rsidR="007572C7" w:rsidRPr="00FF2DF3">
          <w:rPr>
            <w:noProof/>
            <w:webHidden/>
          </w:rPr>
          <w:fldChar w:fldCharType="end"/>
        </w:r>
      </w:hyperlink>
    </w:p>
    <w:p w14:paraId="61FD7696" w14:textId="61BE234E" w:rsidR="007572C7" w:rsidRPr="00FF2DF3" w:rsidRDefault="00744B70" w:rsidP="007572C7">
      <w:pPr>
        <w:pStyle w:val="TOC1"/>
        <w:rPr>
          <w:rFonts w:asciiTheme="minorHAnsi" w:eastAsiaTheme="minorEastAsia" w:hAnsiTheme="minorHAnsi" w:cstheme="minorBidi"/>
          <w:noProof/>
          <w:szCs w:val="22"/>
          <w:lang w:eastAsia="es-ES"/>
        </w:rPr>
      </w:pPr>
      <w:hyperlink w:anchor="_Toc146102840" w:history="1">
        <w:r w:rsidR="007572C7" w:rsidRPr="00FF2DF3">
          <w:rPr>
            <w:rStyle w:val="Hyperlink"/>
            <w:noProof/>
          </w:rPr>
          <w:t>1.</w:t>
        </w:r>
        <w:r w:rsidR="007572C7" w:rsidRPr="00FF2DF3">
          <w:rPr>
            <w:rFonts w:asciiTheme="minorHAnsi" w:eastAsiaTheme="minorEastAsia" w:hAnsiTheme="minorHAnsi" w:cstheme="minorBidi"/>
            <w:noProof/>
            <w:szCs w:val="22"/>
            <w:lang w:eastAsia="es-ES"/>
          </w:rPr>
          <w:tab/>
        </w:r>
        <w:r w:rsidR="007572C7" w:rsidRPr="00FF2DF3">
          <w:rPr>
            <w:rStyle w:val="Hyperlink"/>
            <w:noProof/>
          </w:rPr>
          <w:t>RESUMEN</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_Toc146102840 \h </w:instrText>
        </w:r>
        <w:r w:rsidR="007572C7" w:rsidRPr="00FF2DF3">
          <w:rPr>
            <w:noProof/>
            <w:webHidden/>
          </w:rPr>
        </w:r>
        <w:r w:rsidR="007572C7" w:rsidRPr="00FF2DF3">
          <w:rPr>
            <w:noProof/>
            <w:webHidden/>
          </w:rPr>
          <w:fldChar w:fldCharType="separate"/>
        </w:r>
        <w:r w:rsidR="007572C7" w:rsidRPr="00FF2DF3">
          <w:rPr>
            <w:noProof/>
            <w:webHidden/>
          </w:rPr>
          <w:t>3</w:t>
        </w:r>
        <w:r w:rsidR="007572C7" w:rsidRPr="00FF2DF3">
          <w:rPr>
            <w:noProof/>
            <w:webHidden/>
          </w:rPr>
          <w:fldChar w:fldCharType="end"/>
        </w:r>
      </w:hyperlink>
    </w:p>
    <w:p w14:paraId="53BB515A" w14:textId="4B3B0ED8" w:rsidR="007572C7" w:rsidRPr="00FF2DF3" w:rsidRDefault="00744B70">
      <w:pPr>
        <w:pStyle w:val="TOC2"/>
        <w:rPr>
          <w:rFonts w:asciiTheme="minorHAnsi" w:eastAsiaTheme="minorEastAsia" w:hAnsiTheme="minorHAnsi" w:cstheme="minorBidi"/>
          <w:caps w:val="0"/>
          <w:noProof/>
          <w:szCs w:val="22"/>
          <w:lang w:eastAsia="es-ES"/>
        </w:rPr>
      </w:pPr>
      <w:hyperlink w:anchor="_Toc146102841" w:history="1">
        <w:r w:rsidR="007572C7" w:rsidRPr="00FF2DF3">
          <w:rPr>
            <w:rStyle w:val="Hyperlink"/>
            <w:noProof/>
          </w:rPr>
          <w:t>A)</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Conclusiones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_Toc146102841 \h </w:instrText>
        </w:r>
        <w:r w:rsidR="007572C7" w:rsidRPr="00FF2DF3">
          <w:rPr>
            <w:noProof/>
            <w:webHidden/>
          </w:rPr>
        </w:r>
        <w:r w:rsidR="007572C7" w:rsidRPr="00FF2DF3">
          <w:rPr>
            <w:noProof/>
            <w:webHidden/>
          </w:rPr>
          <w:fldChar w:fldCharType="separate"/>
        </w:r>
        <w:r w:rsidR="007572C7" w:rsidRPr="00FF2DF3">
          <w:rPr>
            <w:noProof/>
            <w:webHidden/>
          </w:rPr>
          <w:t>3</w:t>
        </w:r>
        <w:r w:rsidR="007572C7" w:rsidRPr="00FF2DF3">
          <w:rPr>
            <w:noProof/>
            <w:webHidden/>
          </w:rPr>
          <w:fldChar w:fldCharType="end"/>
        </w:r>
      </w:hyperlink>
    </w:p>
    <w:p w14:paraId="542CC302" w14:textId="6EF1ED06" w:rsidR="007572C7" w:rsidRPr="00FF2DF3" w:rsidRDefault="00744B70">
      <w:pPr>
        <w:pStyle w:val="TOC2"/>
        <w:rPr>
          <w:rFonts w:asciiTheme="minorHAnsi" w:eastAsiaTheme="minorEastAsia" w:hAnsiTheme="minorHAnsi" w:cstheme="minorBidi"/>
          <w:caps w:val="0"/>
          <w:noProof/>
          <w:szCs w:val="22"/>
          <w:lang w:eastAsia="es-ES"/>
        </w:rPr>
      </w:pPr>
      <w:hyperlink w:anchor="_Toc146102842" w:history="1">
        <w:r w:rsidR="007572C7" w:rsidRPr="00FF2DF3">
          <w:rPr>
            <w:rStyle w:val="Hyperlink"/>
            <w:noProof/>
          </w:rPr>
          <w:t>B)</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Recomendaciones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_Toc146102842 \h </w:instrText>
        </w:r>
        <w:r w:rsidR="007572C7" w:rsidRPr="00FF2DF3">
          <w:rPr>
            <w:noProof/>
            <w:webHidden/>
          </w:rPr>
        </w:r>
        <w:r w:rsidR="007572C7" w:rsidRPr="00FF2DF3">
          <w:rPr>
            <w:noProof/>
            <w:webHidden/>
          </w:rPr>
          <w:fldChar w:fldCharType="separate"/>
        </w:r>
        <w:r w:rsidR="007572C7" w:rsidRPr="00FF2DF3">
          <w:rPr>
            <w:noProof/>
            <w:webHidden/>
          </w:rPr>
          <w:t>4</w:t>
        </w:r>
        <w:r w:rsidR="007572C7" w:rsidRPr="00FF2DF3">
          <w:rPr>
            <w:noProof/>
            <w:webHidden/>
          </w:rPr>
          <w:fldChar w:fldCharType="end"/>
        </w:r>
      </w:hyperlink>
    </w:p>
    <w:p w14:paraId="54421159" w14:textId="1F823DE6" w:rsidR="007572C7" w:rsidRPr="00FF2DF3" w:rsidRDefault="00744B70" w:rsidP="007572C7">
      <w:pPr>
        <w:pStyle w:val="TOC1"/>
        <w:rPr>
          <w:rFonts w:asciiTheme="minorHAnsi" w:eastAsiaTheme="minorEastAsia" w:hAnsiTheme="minorHAnsi" w:cstheme="minorBidi"/>
          <w:noProof/>
          <w:szCs w:val="22"/>
          <w:lang w:eastAsia="es-ES"/>
        </w:rPr>
      </w:pPr>
      <w:hyperlink w:anchor="_Toc146102843" w:history="1">
        <w:r w:rsidR="007572C7" w:rsidRPr="00FF2DF3">
          <w:rPr>
            <w:rStyle w:val="Hyperlink"/>
            <w:noProof/>
          </w:rPr>
          <w:t>2.</w:t>
        </w:r>
        <w:r w:rsidR="007572C7" w:rsidRPr="00FF2DF3">
          <w:rPr>
            <w:rFonts w:asciiTheme="minorHAnsi" w:eastAsiaTheme="minorEastAsia" w:hAnsiTheme="minorHAnsi" w:cstheme="minorBidi"/>
            <w:noProof/>
            <w:szCs w:val="22"/>
            <w:lang w:eastAsia="es-ES"/>
          </w:rPr>
          <w:tab/>
        </w:r>
        <w:r w:rsidR="007572C7" w:rsidRPr="00FF2DF3">
          <w:rPr>
            <w:rStyle w:val="Hyperlink"/>
            <w:noProof/>
          </w:rPr>
          <w:t>INTRODUCCIÓN</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_Toc146102843 \h </w:instrText>
        </w:r>
        <w:r w:rsidR="007572C7" w:rsidRPr="00FF2DF3">
          <w:rPr>
            <w:noProof/>
            <w:webHidden/>
          </w:rPr>
        </w:r>
        <w:r w:rsidR="007572C7" w:rsidRPr="00FF2DF3">
          <w:rPr>
            <w:noProof/>
            <w:webHidden/>
          </w:rPr>
          <w:fldChar w:fldCharType="separate"/>
        </w:r>
        <w:r w:rsidR="007572C7" w:rsidRPr="00FF2DF3">
          <w:rPr>
            <w:noProof/>
            <w:webHidden/>
          </w:rPr>
          <w:t>6</w:t>
        </w:r>
        <w:r w:rsidR="007572C7" w:rsidRPr="00FF2DF3">
          <w:rPr>
            <w:noProof/>
            <w:webHidden/>
          </w:rPr>
          <w:fldChar w:fldCharType="end"/>
        </w:r>
      </w:hyperlink>
    </w:p>
    <w:p w14:paraId="05A05336" w14:textId="41179364" w:rsidR="007572C7" w:rsidRPr="00FF2DF3" w:rsidRDefault="00744B70">
      <w:pPr>
        <w:pStyle w:val="TOC2"/>
        <w:rPr>
          <w:rFonts w:asciiTheme="minorHAnsi" w:eastAsiaTheme="minorEastAsia" w:hAnsiTheme="minorHAnsi" w:cstheme="minorBidi"/>
          <w:caps w:val="0"/>
          <w:noProof/>
          <w:szCs w:val="22"/>
          <w:lang w:eastAsia="es-ES"/>
        </w:rPr>
      </w:pPr>
      <w:hyperlink w:anchor="_Toc146102844" w:history="1">
        <w:r w:rsidR="007572C7" w:rsidRPr="00FF2DF3">
          <w:rPr>
            <w:rStyle w:val="Hyperlink"/>
            <w:noProof/>
          </w:rPr>
          <w:t>A)</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ANTECEDENTES Y DESCRIPCIÓN DEL PROYECTO</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_Toc146102844 \h </w:instrText>
        </w:r>
        <w:r w:rsidR="007572C7" w:rsidRPr="00FF2DF3">
          <w:rPr>
            <w:noProof/>
            <w:webHidden/>
          </w:rPr>
        </w:r>
        <w:r w:rsidR="007572C7" w:rsidRPr="00FF2DF3">
          <w:rPr>
            <w:noProof/>
            <w:webHidden/>
          </w:rPr>
          <w:fldChar w:fldCharType="separate"/>
        </w:r>
        <w:r w:rsidR="007572C7" w:rsidRPr="00FF2DF3">
          <w:rPr>
            <w:noProof/>
            <w:webHidden/>
          </w:rPr>
          <w:t>6</w:t>
        </w:r>
        <w:r w:rsidR="007572C7" w:rsidRPr="00FF2DF3">
          <w:rPr>
            <w:noProof/>
            <w:webHidden/>
          </w:rPr>
          <w:fldChar w:fldCharType="end"/>
        </w:r>
      </w:hyperlink>
    </w:p>
    <w:p w14:paraId="72A4E3DB" w14:textId="5B81632C" w:rsidR="007572C7" w:rsidRPr="00FF2DF3" w:rsidRDefault="00744B70">
      <w:pPr>
        <w:pStyle w:val="TOC2"/>
        <w:rPr>
          <w:rFonts w:asciiTheme="minorHAnsi" w:eastAsiaTheme="minorEastAsia" w:hAnsiTheme="minorHAnsi" w:cstheme="minorBidi"/>
          <w:caps w:val="0"/>
          <w:noProof/>
          <w:szCs w:val="22"/>
          <w:lang w:eastAsia="es-ES"/>
        </w:rPr>
      </w:pPr>
      <w:hyperlink w:anchor="_Toc146102845" w:history="1">
        <w:r w:rsidR="007572C7" w:rsidRPr="00FF2DF3">
          <w:rPr>
            <w:rStyle w:val="Hyperlink"/>
            <w:noProof/>
          </w:rPr>
          <w:t>B)</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PROPÓSITO, METODOLOGÍA Y LIMITACIÓN DE LA PRESENTE EVALUACIÓN</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_Toc146102845 \h </w:instrText>
        </w:r>
        <w:r w:rsidR="007572C7" w:rsidRPr="00FF2DF3">
          <w:rPr>
            <w:noProof/>
            <w:webHidden/>
          </w:rPr>
        </w:r>
        <w:r w:rsidR="007572C7" w:rsidRPr="00FF2DF3">
          <w:rPr>
            <w:noProof/>
            <w:webHidden/>
          </w:rPr>
          <w:fldChar w:fldCharType="separate"/>
        </w:r>
        <w:r w:rsidR="007572C7" w:rsidRPr="00FF2DF3">
          <w:rPr>
            <w:noProof/>
            <w:webHidden/>
          </w:rPr>
          <w:t>8</w:t>
        </w:r>
        <w:r w:rsidR="007572C7" w:rsidRPr="00FF2DF3">
          <w:rPr>
            <w:noProof/>
            <w:webHidden/>
          </w:rPr>
          <w:fldChar w:fldCharType="end"/>
        </w:r>
      </w:hyperlink>
    </w:p>
    <w:p w14:paraId="3AC62CF7" w14:textId="58088725" w:rsidR="007572C7" w:rsidRPr="00FF2DF3" w:rsidRDefault="00744B70">
      <w:pPr>
        <w:pStyle w:val="TOC2"/>
        <w:rPr>
          <w:rFonts w:asciiTheme="minorHAnsi" w:eastAsiaTheme="minorEastAsia" w:hAnsiTheme="minorHAnsi" w:cstheme="minorBidi"/>
          <w:caps w:val="0"/>
          <w:noProof/>
          <w:szCs w:val="22"/>
          <w:lang w:eastAsia="es-ES"/>
        </w:rPr>
      </w:pPr>
      <w:hyperlink w:anchor="_Toc146102846" w:history="1">
        <w:r w:rsidR="007572C7" w:rsidRPr="00FF2DF3">
          <w:rPr>
            <w:rStyle w:val="Hyperlink"/>
            <w:noProof/>
          </w:rPr>
          <w:t>C)</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PROPÓSITO PRINCIPAL DE LA METODOLOGÍA</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_Toc146102846 \h </w:instrText>
        </w:r>
        <w:r w:rsidR="007572C7" w:rsidRPr="00FF2DF3">
          <w:rPr>
            <w:noProof/>
            <w:webHidden/>
          </w:rPr>
        </w:r>
        <w:r w:rsidR="007572C7" w:rsidRPr="00FF2DF3">
          <w:rPr>
            <w:noProof/>
            <w:webHidden/>
          </w:rPr>
          <w:fldChar w:fldCharType="separate"/>
        </w:r>
        <w:r w:rsidR="007572C7" w:rsidRPr="00FF2DF3">
          <w:rPr>
            <w:noProof/>
            <w:webHidden/>
          </w:rPr>
          <w:t>10</w:t>
        </w:r>
        <w:r w:rsidR="007572C7" w:rsidRPr="00FF2DF3">
          <w:rPr>
            <w:noProof/>
            <w:webHidden/>
          </w:rPr>
          <w:fldChar w:fldCharType="end"/>
        </w:r>
      </w:hyperlink>
    </w:p>
    <w:p w14:paraId="5FB7C27D" w14:textId="1933546D" w:rsidR="007572C7" w:rsidRPr="00FF2DF3" w:rsidRDefault="00744B70" w:rsidP="007572C7">
      <w:pPr>
        <w:pStyle w:val="TOC1"/>
        <w:rPr>
          <w:rFonts w:asciiTheme="minorHAnsi" w:eastAsiaTheme="minorEastAsia" w:hAnsiTheme="minorHAnsi" w:cstheme="minorBidi"/>
          <w:noProof/>
          <w:szCs w:val="22"/>
          <w:lang w:eastAsia="es-ES"/>
        </w:rPr>
      </w:pPr>
      <w:hyperlink w:anchor="_Toc146102847" w:history="1">
        <w:r w:rsidR="007572C7" w:rsidRPr="00FF2DF3">
          <w:rPr>
            <w:rStyle w:val="Hyperlink"/>
            <w:noProof/>
          </w:rPr>
          <w:t>3.</w:t>
        </w:r>
        <w:r w:rsidR="007572C7" w:rsidRPr="00FF2DF3">
          <w:rPr>
            <w:rFonts w:asciiTheme="minorHAnsi" w:eastAsiaTheme="minorEastAsia" w:hAnsiTheme="minorHAnsi" w:cstheme="minorBidi"/>
            <w:noProof/>
            <w:szCs w:val="22"/>
            <w:lang w:eastAsia="es-ES"/>
          </w:rPr>
          <w:tab/>
        </w:r>
        <w:r w:rsidR="007572C7" w:rsidRPr="00FF2DF3">
          <w:rPr>
            <w:rStyle w:val="Hyperlink"/>
            <w:noProof/>
          </w:rPr>
          <w:t>PRINCIPAL LIMITACIÓN DE LA PRESENTE EVALUACIÓN</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_Toc146102847 \h </w:instrText>
        </w:r>
        <w:r w:rsidR="007572C7" w:rsidRPr="00FF2DF3">
          <w:rPr>
            <w:noProof/>
            <w:webHidden/>
          </w:rPr>
        </w:r>
        <w:r w:rsidR="007572C7" w:rsidRPr="00FF2DF3">
          <w:rPr>
            <w:noProof/>
            <w:webHidden/>
          </w:rPr>
          <w:fldChar w:fldCharType="separate"/>
        </w:r>
        <w:r w:rsidR="007572C7" w:rsidRPr="00FF2DF3">
          <w:rPr>
            <w:noProof/>
            <w:webHidden/>
          </w:rPr>
          <w:t>11</w:t>
        </w:r>
        <w:r w:rsidR="007572C7" w:rsidRPr="00FF2DF3">
          <w:rPr>
            <w:noProof/>
            <w:webHidden/>
          </w:rPr>
          <w:fldChar w:fldCharType="end"/>
        </w:r>
      </w:hyperlink>
    </w:p>
    <w:p w14:paraId="27AD2F8C" w14:textId="6BE58724" w:rsidR="007572C7" w:rsidRPr="00FF2DF3" w:rsidRDefault="00744B70" w:rsidP="007572C7">
      <w:pPr>
        <w:pStyle w:val="TOC1"/>
        <w:rPr>
          <w:rFonts w:asciiTheme="minorHAnsi" w:eastAsiaTheme="minorEastAsia" w:hAnsiTheme="minorHAnsi" w:cstheme="minorBidi"/>
          <w:noProof/>
          <w:szCs w:val="22"/>
          <w:lang w:eastAsia="es-ES"/>
        </w:rPr>
      </w:pPr>
      <w:hyperlink w:anchor="_Toc146102848" w:history="1">
        <w:r w:rsidR="007572C7" w:rsidRPr="00FF2DF3">
          <w:rPr>
            <w:rStyle w:val="Hyperlink"/>
            <w:noProof/>
          </w:rPr>
          <w:t>4.</w:t>
        </w:r>
        <w:r w:rsidR="007572C7" w:rsidRPr="00FF2DF3">
          <w:rPr>
            <w:rFonts w:asciiTheme="minorHAnsi" w:eastAsiaTheme="minorEastAsia" w:hAnsiTheme="minorHAnsi" w:cstheme="minorBidi"/>
            <w:noProof/>
            <w:szCs w:val="22"/>
            <w:lang w:eastAsia="es-ES"/>
          </w:rPr>
          <w:tab/>
        </w:r>
        <w:r w:rsidR="007572C7" w:rsidRPr="00FF2DF3">
          <w:rPr>
            <w:rStyle w:val="Hyperlink"/>
            <w:noProof/>
          </w:rPr>
          <w:t>CONSTATACIONES Y EVALUACIÓN</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_Toc146102848 \h </w:instrText>
        </w:r>
        <w:r w:rsidR="007572C7" w:rsidRPr="00FF2DF3">
          <w:rPr>
            <w:noProof/>
            <w:webHidden/>
          </w:rPr>
        </w:r>
        <w:r w:rsidR="007572C7" w:rsidRPr="00FF2DF3">
          <w:rPr>
            <w:noProof/>
            <w:webHidden/>
          </w:rPr>
          <w:fldChar w:fldCharType="separate"/>
        </w:r>
        <w:r w:rsidR="007572C7" w:rsidRPr="00FF2DF3">
          <w:rPr>
            <w:noProof/>
            <w:webHidden/>
          </w:rPr>
          <w:t>11</w:t>
        </w:r>
        <w:r w:rsidR="007572C7" w:rsidRPr="00FF2DF3">
          <w:rPr>
            <w:noProof/>
            <w:webHidden/>
          </w:rPr>
          <w:fldChar w:fldCharType="end"/>
        </w:r>
      </w:hyperlink>
    </w:p>
    <w:p w14:paraId="3A05C42F" w14:textId="3A7CE2E7" w:rsidR="007572C7" w:rsidRPr="00FF2DF3" w:rsidRDefault="00744B70">
      <w:pPr>
        <w:pStyle w:val="TOC2"/>
        <w:rPr>
          <w:rFonts w:asciiTheme="minorHAnsi" w:eastAsiaTheme="minorEastAsia" w:hAnsiTheme="minorHAnsi" w:cstheme="minorBidi"/>
          <w:caps w:val="0"/>
          <w:noProof/>
          <w:szCs w:val="22"/>
          <w:lang w:eastAsia="es-ES"/>
        </w:rPr>
      </w:pPr>
      <w:hyperlink w:anchor="_Toc146102849" w:history="1">
        <w:r w:rsidR="007572C7" w:rsidRPr="00FF2DF3">
          <w:rPr>
            <w:rStyle w:val="Hyperlink"/>
            <w:noProof/>
          </w:rPr>
          <w:t>A)</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¿Siguen siendo pertinentes el enfoque y los aportes concretos del proyecto?</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_Toc146102849 \h </w:instrText>
        </w:r>
        <w:r w:rsidR="007572C7" w:rsidRPr="00FF2DF3">
          <w:rPr>
            <w:noProof/>
            <w:webHidden/>
          </w:rPr>
        </w:r>
        <w:r w:rsidR="007572C7" w:rsidRPr="00FF2DF3">
          <w:rPr>
            <w:noProof/>
            <w:webHidden/>
          </w:rPr>
          <w:fldChar w:fldCharType="separate"/>
        </w:r>
        <w:r w:rsidR="007572C7" w:rsidRPr="00FF2DF3">
          <w:rPr>
            <w:noProof/>
            <w:webHidden/>
          </w:rPr>
          <w:t>12</w:t>
        </w:r>
        <w:r w:rsidR="007572C7" w:rsidRPr="00FF2DF3">
          <w:rPr>
            <w:noProof/>
            <w:webHidden/>
          </w:rPr>
          <w:fldChar w:fldCharType="end"/>
        </w:r>
      </w:hyperlink>
    </w:p>
    <w:p w14:paraId="0A440D01" w14:textId="0888C888" w:rsidR="007572C7" w:rsidRPr="00FF2DF3" w:rsidRDefault="00744B70">
      <w:pPr>
        <w:pStyle w:val="TOC2"/>
        <w:rPr>
          <w:rFonts w:asciiTheme="minorHAnsi" w:eastAsiaTheme="minorEastAsia" w:hAnsiTheme="minorHAnsi" w:cstheme="minorBidi"/>
          <w:caps w:val="0"/>
          <w:noProof/>
          <w:szCs w:val="22"/>
          <w:lang w:eastAsia="es-ES"/>
        </w:rPr>
      </w:pPr>
      <w:hyperlink w:anchor="_Toc146102850" w:history="1">
        <w:r w:rsidR="007572C7" w:rsidRPr="00FF2DF3">
          <w:rPr>
            <w:rStyle w:val="Hyperlink"/>
            <w:noProof/>
          </w:rPr>
          <w:t>B)</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¿Cuáles son los efectos previstos y no previstos del proyecto en los países beneficiarios?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_Toc146102850 \h </w:instrText>
        </w:r>
        <w:r w:rsidR="007572C7" w:rsidRPr="00FF2DF3">
          <w:rPr>
            <w:noProof/>
            <w:webHidden/>
          </w:rPr>
        </w:r>
        <w:r w:rsidR="007572C7" w:rsidRPr="00FF2DF3">
          <w:rPr>
            <w:noProof/>
            <w:webHidden/>
          </w:rPr>
          <w:fldChar w:fldCharType="separate"/>
        </w:r>
        <w:r w:rsidR="007572C7" w:rsidRPr="00FF2DF3">
          <w:rPr>
            <w:noProof/>
            <w:webHidden/>
          </w:rPr>
          <w:t>15</w:t>
        </w:r>
        <w:r w:rsidR="007572C7" w:rsidRPr="00FF2DF3">
          <w:rPr>
            <w:noProof/>
            <w:webHidden/>
          </w:rPr>
          <w:fldChar w:fldCharType="end"/>
        </w:r>
      </w:hyperlink>
    </w:p>
    <w:p w14:paraId="6FB38F3D" w14:textId="253F5EAB" w:rsidR="007572C7" w:rsidRPr="00FF2DF3" w:rsidRDefault="00744B70">
      <w:pPr>
        <w:pStyle w:val="TOC2"/>
        <w:rPr>
          <w:rFonts w:asciiTheme="minorHAnsi" w:eastAsiaTheme="minorEastAsia" w:hAnsiTheme="minorHAnsi" w:cstheme="minorBidi"/>
          <w:caps w:val="0"/>
          <w:noProof/>
          <w:szCs w:val="22"/>
          <w:lang w:eastAsia="es-ES"/>
        </w:rPr>
      </w:pPr>
      <w:hyperlink w:anchor="_Toc146102851" w:history="1">
        <w:r w:rsidR="007572C7" w:rsidRPr="00FF2DF3">
          <w:rPr>
            <w:rStyle w:val="Hyperlink"/>
            <w:noProof/>
          </w:rPr>
          <w:t>C)</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¿Cuáles son los efectos previstos y no previstos del proyecto en la OMPI?</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_Toc146102851 \h </w:instrText>
        </w:r>
        <w:r w:rsidR="007572C7" w:rsidRPr="00FF2DF3">
          <w:rPr>
            <w:noProof/>
            <w:webHidden/>
          </w:rPr>
        </w:r>
        <w:r w:rsidR="007572C7" w:rsidRPr="00FF2DF3">
          <w:rPr>
            <w:noProof/>
            <w:webHidden/>
          </w:rPr>
          <w:fldChar w:fldCharType="separate"/>
        </w:r>
        <w:r w:rsidR="007572C7" w:rsidRPr="00FF2DF3">
          <w:rPr>
            <w:noProof/>
            <w:webHidden/>
          </w:rPr>
          <w:t>17</w:t>
        </w:r>
        <w:r w:rsidR="007572C7" w:rsidRPr="00FF2DF3">
          <w:rPr>
            <w:noProof/>
            <w:webHidden/>
          </w:rPr>
          <w:fldChar w:fldCharType="end"/>
        </w:r>
      </w:hyperlink>
    </w:p>
    <w:p w14:paraId="568B19FC" w14:textId="672D0046" w:rsidR="007572C7" w:rsidRPr="00FF2DF3" w:rsidRDefault="00744B70">
      <w:pPr>
        <w:pStyle w:val="TOC2"/>
        <w:rPr>
          <w:rFonts w:asciiTheme="minorHAnsi" w:eastAsiaTheme="minorEastAsia" w:hAnsiTheme="minorHAnsi" w:cstheme="minorBidi"/>
          <w:caps w:val="0"/>
          <w:noProof/>
          <w:szCs w:val="22"/>
          <w:lang w:eastAsia="es-ES"/>
        </w:rPr>
      </w:pPr>
      <w:hyperlink w:anchor="_Toc146102852" w:history="1">
        <w:r w:rsidR="007572C7" w:rsidRPr="00FF2DF3">
          <w:rPr>
            <w:rStyle w:val="Hyperlink"/>
            <w:noProof/>
          </w:rPr>
          <w:t>D)</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¿Son sostenibles los resultados del proyecto?</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_Toc146102852 \h </w:instrText>
        </w:r>
        <w:r w:rsidR="007572C7" w:rsidRPr="00FF2DF3">
          <w:rPr>
            <w:noProof/>
            <w:webHidden/>
          </w:rPr>
        </w:r>
        <w:r w:rsidR="007572C7" w:rsidRPr="00FF2DF3">
          <w:rPr>
            <w:noProof/>
            <w:webHidden/>
          </w:rPr>
          <w:fldChar w:fldCharType="separate"/>
        </w:r>
        <w:r w:rsidR="007572C7" w:rsidRPr="00FF2DF3">
          <w:rPr>
            <w:noProof/>
            <w:webHidden/>
          </w:rPr>
          <w:t>17</w:t>
        </w:r>
        <w:r w:rsidR="007572C7" w:rsidRPr="00FF2DF3">
          <w:rPr>
            <w:noProof/>
            <w:webHidden/>
          </w:rPr>
          <w:fldChar w:fldCharType="end"/>
        </w:r>
      </w:hyperlink>
    </w:p>
    <w:p w14:paraId="3170B815" w14:textId="2C69087D" w:rsidR="007572C7" w:rsidRPr="00FF2DF3" w:rsidRDefault="00744B70">
      <w:pPr>
        <w:pStyle w:val="TOC2"/>
        <w:rPr>
          <w:rFonts w:asciiTheme="minorHAnsi" w:eastAsiaTheme="minorEastAsia" w:hAnsiTheme="minorHAnsi" w:cstheme="minorBidi"/>
          <w:caps w:val="0"/>
          <w:noProof/>
          <w:szCs w:val="22"/>
          <w:lang w:eastAsia="es-ES"/>
        </w:rPr>
      </w:pPr>
      <w:hyperlink w:anchor="_Toc146102853" w:history="1">
        <w:r w:rsidR="007572C7" w:rsidRPr="00FF2DF3">
          <w:rPr>
            <w:rStyle w:val="Hyperlink"/>
            <w:noProof/>
          </w:rPr>
          <w:t>E)</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¿Qué condiciones han facilitado u obstaculizado el logro de los efectos previstos?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_Toc146102853 \h </w:instrText>
        </w:r>
        <w:r w:rsidR="007572C7" w:rsidRPr="00FF2DF3">
          <w:rPr>
            <w:noProof/>
            <w:webHidden/>
          </w:rPr>
        </w:r>
        <w:r w:rsidR="007572C7" w:rsidRPr="00FF2DF3">
          <w:rPr>
            <w:noProof/>
            <w:webHidden/>
          </w:rPr>
          <w:fldChar w:fldCharType="separate"/>
        </w:r>
        <w:r w:rsidR="007572C7" w:rsidRPr="00FF2DF3">
          <w:rPr>
            <w:noProof/>
            <w:webHidden/>
          </w:rPr>
          <w:t>17</w:t>
        </w:r>
        <w:r w:rsidR="007572C7" w:rsidRPr="00FF2DF3">
          <w:rPr>
            <w:noProof/>
            <w:webHidden/>
          </w:rPr>
          <w:fldChar w:fldCharType="end"/>
        </w:r>
      </w:hyperlink>
    </w:p>
    <w:p w14:paraId="4C52C7CF" w14:textId="4BDE1E1B" w:rsidR="007572C7" w:rsidRPr="00FF2DF3" w:rsidRDefault="00744B70">
      <w:pPr>
        <w:pStyle w:val="TOC2"/>
        <w:rPr>
          <w:rFonts w:asciiTheme="minorHAnsi" w:eastAsiaTheme="minorEastAsia" w:hAnsiTheme="minorHAnsi" w:cstheme="minorBidi"/>
          <w:caps w:val="0"/>
          <w:noProof/>
          <w:szCs w:val="22"/>
          <w:lang w:eastAsia="es-ES"/>
        </w:rPr>
      </w:pPr>
      <w:hyperlink w:anchor="_Toc146102854" w:history="1">
        <w:r w:rsidR="007572C7" w:rsidRPr="00FF2DF3">
          <w:rPr>
            <w:rStyle w:val="Hyperlink"/>
            <w:noProof/>
          </w:rPr>
          <w:t>F)</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¿Qué enseñanzas pueden extraerse para futuros proyectos de la OMPI sobre la manera de realizar progresos para lograr el impacto deseado?</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_Toc146102854 \h </w:instrText>
        </w:r>
        <w:r w:rsidR="007572C7" w:rsidRPr="00FF2DF3">
          <w:rPr>
            <w:noProof/>
            <w:webHidden/>
          </w:rPr>
        </w:r>
        <w:r w:rsidR="007572C7" w:rsidRPr="00FF2DF3">
          <w:rPr>
            <w:noProof/>
            <w:webHidden/>
          </w:rPr>
          <w:fldChar w:fldCharType="separate"/>
        </w:r>
        <w:r w:rsidR="007572C7" w:rsidRPr="00FF2DF3">
          <w:rPr>
            <w:noProof/>
            <w:webHidden/>
          </w:rPr>
          <w:t>19</w:t>
        </w:r>
        <w:r w:rsidR="007572C7" w:rsidRPr="00FF2DF3">
          <w:rPr>
            <w:noProof/>
            <w:webHidden/>
          </w:rPr>
          <w:fldChar w:fldCharType="end"/>
        </w:r>
      </w:hyperlink>
    </w:p>
    <w:p w14:paraId="1EC8234C" w14:textId="479C09B6" w:rsidR="007572C7" w:rsidRPr="00FF2DF3" w:rsidRDefault="00744B70" w:rsidP="007572C7">
      <w:pPr>
        <w:pStyle w:val="TOC1"/>
        <w:rPr>
          <w:rFonts w:asciiTheme="minorHAnsi" w:eastAsiaTheme="minorEastAsia" w:hAnsiTheme="minorHAnsi" w:cstheme="minorBidi"/>
          <w:noProof/>
          <w:szCs w:val="22"/>
          <w:lang w:eastAsia="es-ES"/>
        </w:rPr>
      </w:pPr>
      <w:hyperlink w:anchor="_Toc146102855" w:history="1">
        <w:r w:rsidR="007572C7" w:rsidRPr="00FF2DF3">
          <w:rPr>
            <w:rStyle w:val="Hyperlink"/>
            <w:noProof/>
          </w:rPr>
          <w:t>5.</w:t>
        </w:r>
        <w:r w:rsidR="007572C7" w:rsidRPr="00FF2DF3">
          <w:rPr>
            <w:rFonts w:asciiTheme="minorHAnsi" w:eastAsiaTheme="minorEastAsia" w:hAnsiTheme="minorHAnsi" w:cstheme="minorBidi"/>
            <w:noProof/>
            <w:szCs w:val="22"/>
            <w:lang w:eastAsia="es-ES"/>
          </w:rPr>
          <w:tab/>
        </w:r>
        <w:r w:rsidR="007572C7" w:rsidRPr="00FF2DF3">
          <w:rPr>
            <w:rStyle w:val="Hyperlink"/>
            <w:noProof/>
          </w:rPr>
          <w:t>ESTUDIOS DE CASO SOBRE EL BRASIL E INDONESIA</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_Toc146102855 \h </w:instrText>
        </w:r>
        <w:r w:rsidR="007572C7" w:rsidRPr="00FF2DF3">
          <w:rPr>
            <w:noProof/>
            <w:webHidden/>
          </w:rPr>
        </w:r>
        <w:r w:rsidR="007572C7" w:rsidRPr="00FF2DF3">
          <w:rPr>
            <w:noProof/>
            <w:webHidden/>
          </w:rPr>
          <w:fldChar w:fldCharType="separate"/>
        </w:r>
        <w:r w:rsidR="007572C7" w:rsidRPr="00FF2DF3">
          <w:rPr>
            <w:noProof/>
            <w:webHidden/>
          </w:rPr>
          <w:t>20</w:t>
        </w:r>
        <w:r w:rsidR="007572C7" w:rsidRPr="00FF2DF3">
          <w:rPr>
            <w:noProof/>
            <w:webHidden/>
          </w:rPr>
          <w:fldChar w:fldCharType="end"/>
        </w:r>
      </w:hyperlink>
    </w:p>
    <w:p w14:paraId="7EFEDEF1" w14:textId="378F9BBB" w:rsidR="007572C7" w:rsidRPr="00FF2DF3" w:rsidRDefault="00744B70">
      <w:pPr>
        <w:pStyle w:val="TOC2"/>
        <w:rPr>
          <w:rFonts w:asciiTheme="minorHAnsi" w:eastAsiaTheme="minorEastAsia" w:hAnsiTheme="minorHAnsi" w:cstheme="minorBidi"/>
          <w:caps w:val="0"/>
          <w:noProof/>
          <w:szCs w:val="22"/>
          <w:lang w:eastAsia="es-ES"/>
        </w:rPr>
      </w:pPr>
      <w:hyperlink w:anchor="_Toc146102856" w:history="1">
        <w:r w:rsidR="007572C7" w:rsidRPr="00FF2DF3">
          <w:rPr>
            <w:rStyle w:val="Hyperlink"/>
            <w:noProof/>
          </w:rPr>
          <w:t>A)</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RESEÑA de la situación de la PI en el Brasil (2012 hasta la actualidad):</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_Toc146102856 \h </w:instrText>
        </w:r>
        <w:r w:rsidR="007572C7" w:rsidRPr="00FF2DF3">
          <w:rPr>
            <w:noProof/>
            <w:webHidden/>
          </w:rPr>
        </w:r>
        <w:r w:rsidR="007572C7" w:rsidRPr="00FF2DF3">
          <w:rPr>
            <w:noProof/>
            <w:webHidden/>
          </w:rPr>
          <w:fldChar w:fldCharType="separate"/>
        </w:r>
        <w:r w:rsidR="007572C7" w:rsidRPr="00FF2DF3">
          <w:rPr>
            <w:noProof/>
            <w:webHidden/>
          </w:rPr>
          <w:t>21</w:t>
        </w:r>
        <w:r w:rsidR="007572C7" w:rsidRPr="00FF2DF3">
          <w:rPr>
            <w:noProof/>
            <w:webHidden/>
          </w:rPr>
          <w:fldChar w:fldCharType="end"/>
        </w:r>
      </w:hyperlink>
    </w:p>
    <w:p w14:paraId="12BBB692" w14:textId="565FA23D" w:rsidR="007572C7" w:rsidRPr="00FF2DF3" w:rsidRDefault="00744B70">
      <w:pPr>
        <w:pStyle w:val="TOC2"/>
        <w:rPr>
          <w:rFonts w:asciiTheme="minorHAnsi" w:eastAsiaTheme="minorEastAsia" w:hAnsiTheme="minorHAnsi" w:cstheme="minorBidi"/>
          <w:caps w:val="0"/>
          <w:noProof/>
          <w:szCs w:val="22"/>
          <w:lang w:eastAsia="es-ES"/>
        </w:rPr>
      </w:pPr>
      <w:hyperlink w:anchor="_Toc146102857" w:history="1">
        <w:r w:rsidR="007572C7" w:rsidRPr="00FF2DF3">
          <w:rPr>
            <w:rStyle w:val="Hyperlink"/>
            <w:noProof/>
          </w:rPr>
          <w:t>B)</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RESEÑA de la situación de la PI en Indonesia (2012 hasta la actualidad)</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_Toc146102857 \h </w:instrText>
        </w:r>
        <w:r w:rsidR="007572C7" w:rsidRPr="00FF2DF3">
          <w:rPr>
            <w:noProof/>
            <w:webHidden/>
          </w:rPr>
        </w:r>
        <w:r w:rsidR="007572C7" w:rsidRPr="00FF2DF3">
          <w:rPr>
            <w:noProof/>
            <w:webHidden/>
          </w:rPr>
          <w:fldChar w:fldCharType="separate"/>
        </w:r>
        <w:r w:rsidR="007572C7" w:rsidRPr="00FF2DF3">
          <w:rPr>
            <w:noProof/>
            <w:webHidden/>
          </w:rPr>
          <w:t>22</w:t>
        </w:r>
        <w:r w:rsidR="007572C7" w:rsidRPr="00FF2DF3">
          <w:rPr>
            <w:noProof/>
            <w:webHidden/>
          </w:rPr>
          <w:fldChar w:fldCharType="end"/>
        </w:r>
      </w:hyperlink>
    </w:p>
    <w:p w14:paraId="4657AB9F" w14:textId="74676164" w:rsidR="007572C7" w:rsidRPr="00FF2DF3" w:rsidRDefault="00744B70">
      <w:pPr>
        <w:pStyle w:val="TOC2"/>
        <w:rPr>
          <w:rFonts w:asciiTheme="minorHAnsi" w:eastAsiaTheme="minorEastAsia" w:hAnsiTheme="minorHAnsi" w:cstheme="minorBidi"/>
          <w:caps w:val="0"/>
          <w:noProof/>
          <w:szCs w:val="22"/>
          <w:lang w:eastAsia="es-ES"/>
        </w:rPr>
      </w:pPr>
      <w:hyperlink w:anchor="_Toc146102858" w:history="1">
        <w:r w:rsidR="007572C7" w:rsidRPr="00FF2DF3">
          <w:rPr>
            <w:rStyle w:val="Hyperlink"/>
            <w:noProof/>
          </w:rPr>
          <w:t>C)</w:t>
        </w:r>
        <w:r w:rsidR="007572C7" w:rsidRPr="00FF2DF3">
          <w:rPr>
            <w:rFonts w:asciiTheme="minorHAnsi" w:eastAsiaTheme="minorEastAsia" w:hAnsiTheme="minorHAnsi" w:cstheme="minorBidi"/>
            <w:caps w:val="0"/>
            <w:noProof/>
            <w:szCs w:val="22"/>
            <w:lang w:eastAsia="es-ES"/>
          </w:rPr>
          <w:tab/>
        </w:r>
        <w:r w:rsidR="007572C7" w:rsidRPr="00FF2DF3">
          <w:rPr>
            <w:rStyle w:val="Hyperlink"/>
            <w:noProof/>
          </w:rPr>
          <w:t>Enseñanzas extraídas de los estudios de caso</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_Toc146102858 \h </w:instrText>
        </w:r>
        <w:r w:rsidR="007572C7" w:rsidRPr="00FF2DF3">
          <w:rPr>
            <w:noProof/>
            <w:webHidden/>
          </w:rPr>
        </w:r>
        <w:r w:rsidR="007572C7" w:rsidRPr="00FF2DF3">
          <w:rPr>
            <w:noProof/>
            <w:webHidden/>
          </w:rPr>
          <w:fldChar w:fldCharType="separate"/>
        </w:r>
        <w:r w:rsidR="007572C7" w:rsidRPr="00FF2DF3">
          <w:rPr>
            <w:noProof/>
            <w:webHidden/>
          </w:rPr>
          <w:t>23</w:t>
        </w:r>
        <w:r w:rsidR="007572C7" w:rsidRPr="00FF2DF3">
          <w:rPr>
            <w:noProof/>
            <w:webHidden/>
          </w:rPr>
          <w:fldChar w:fldCharType="end"/>
        </w:r>
      </w:hyperlink>
    </w:p>
    <w:p w14:paraId="2C5FCF86" w14:textId="7AFB566A" w:rsidR="007572C7" w:rsidRPr="00FF2DF3" w:rsidRDefault="00744B70" w:rsidP="007572C7">
      <w:pPr>
        <w:pStyle w:val="TOC1"/>
        <w:rPr>
          <w:rFonts w:asciiTheme="minorHAnsi" w:eastAsiaTheme="minorEastAsia" w:hAnsiTheme="minorHAnsi" w:cstheme="minorBidi"/>
          <w:noProof/>
          <w:szCs w:val="22"/>
          <w:lang w:eastAsia="es-ES"/>
        </w:rPr>
      </w:pPr>
      <w:hyperlink w:anchor="_Toc146102859" w:history="1">
        <w:r w:rsidR="007572C7" w:rsidRPr="00FF2DF3">
          <w:rPr>
            <w:rStyle w:val="Hyperlink"/>
            <w:noProof/>
          </w:rPr>
          <w:t>6.</w:t>
        </w:r>
        <w:r w:rsidR="007572C7" w:rsidRPr="00FF2DF3">
          <w:rPr>
            <w:rFonts w:asciiTheme="minorHAnsi" w:eastAsiaTheme="minorEastAsia" w:hAnsiTheme="minorHAnsi" w:cstheme="minorBidi"/>
            <w:noProof/>
            <w:szCs w:val="22"/>
            <w:lang w:eastAsia="es-ES"/>
          </w:rPr>
          <w:tab/>
        </w:r>
        <w:r w:rsidR="007572C7" w:rsidRPr="00FF2DF3">
          <w:rPr>
            <w:rStyle w:val="Hyperlink"/>
            <w:noProof/>
          </w:rPr>
          <w:t>CONCLUSIONES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_Toc146102859 \h </w:instrText>
        </w:r>
        <w:r w:rsidR="007572C7" w:rsidRPr="00FF2DF3">
          <w:rPr>
            <w:noProof/>
            <w:webHidden/>
          </w:rPr>
        </w:r>
        <w:r w:rsidR="007572C7" w:rsidRPr="00FF2DF3">
          <w:rPr>
            <w:noProof/>
            <w:webHidden/>
          </w:rPr>
          <w:fldChar w:fldCharType="separate"/>
        </w:r>
        <w:r w:rsidR="007572C7" w:rsidRPr="00FF2DF3">
          <w:rPr>
            <w:noProof/>
            <w:webHidden/>
          </w:rPr>
          <w:t>24</w:t>
        </w:r>
        <w:r w:rsidR="007572C7" w:rsidRPr="00FF2DF3">
          <w:rPr>
            <w:noProof/>
            <w:webHidden/>
          </w:rPr>
          <w:fldChar w:fldCharType="end"/>
        </w:r>
      </w:hyperlink>
    </w:p>
    <w:p w14:paraId="72A91C92" w14:textId="2AE5641E" w:rsidR="007572C7" w:rsidRPr="00FF2DF3" w:rsidRDefault="00744B70" w:rsidP="007572C7">
      <w:pPr>
        <w:pStyle w:val="TOC1"/>
        <w:rPr>
          <w:rFonts w:asciiTheme="minorHAnsi" w:eastAsiaTheme="minorEastAsia" w:hAnsiTheme="minorHAnsi" w:cstheme="minorBidi"/>
          <w:noProof/>
          <w:szCs w:val="22"/>
          <w:lang w:eastAsia="es-ES"/>
        </w:rPr>
      </w:pPr>
      <w:hyperlink w:anchor="_Toc146102860" w:history="1">
        <w:r w:rsidR="007572C7" w:rsidRPr="00FF2DF3">
          <w:rPr>
            <w:rStyle w:val="Hyperlink"/>
            <w:noProof/>
          </w:rPr>
          <w:t>7.</w:t>
        </w:r>
        <w:r w:rsidR="007572C7" w:rsidRPr="00FF2DF3">
          <w:rPr>
            <w:rFonts w:asciiTheme="minorHAnsi" w:eastAsiaTheme="minorEastAsia" w:hAnsiTheme="minorHAnsi" w:cstheme="minorBidi"/>
            <w:noProof/>
            <w:szCs w:val="22"/>
            <w:lang w:eastAsia="es-ES"/>
          </w:rPr>
          <w:tab/>
        </w:r>
        <w:r w:rsidR="007572C7" w:rsidRPr="00FF2DF3">
          <w:rPr>
            <w:rStyle w:val="Hyperlink"/>
            <w:noProof/>
          </w:rPr>
          <w:t>RECOMENDACIONES</w:t>
        </w:r>
        <w:r w:rsidR="007572C7" w:rsidRPr="00FF2DF3">
          <w:rPr>
            <w:noProof/>
            <w:webHidden/>
          </w:rPr>
          <w:tab/>
        </w:r>
        <w:r w:rsidR="007572C7" w:rsidRPr="00FF2DF3">
          <w:rPr>
            <w:noProof/>
            <w:webHidden/>
          </w:rPr>
          <w:fldChar w:fldCharType="begin"/>
        </w:r>
        <w:r w:rsidR="007572C7" w:rsidRPr="00FF2DF3">
          <w:rPr>
            <w:noProof/>
            <w:webHidden/>
          </w:rPr>
          <w:instrText xml:space="preserve"> PAGEREF _Toc146102860 \h </w:instrText>
        </w:r>
        <w:r w:rsidR="007572C7" w:rsidRPr="00FF2DF3">
          <w:rPr>
            <w:noProof/>
            <w:webHidden/>
          </w:rPr>
        </w:r>
        <w:r w:rsidR="007572C7" w:rsidRPr="00FF2DF3">
          <w:rPr>
            <w:noProof/>
            <w:webHidden/>
          </w:rPr>
          <w:fldChar w:fldCharType="separate"/>
        </w:r>
        <w:r w:rsidR="007572C7" w:rsidRPr="00FF2DF3">
          <w:rPr>
            <w:noProof/>
            <w:webHidden/>
          </w:rPr>
          <w:t>25</w:t>
        </w:r>
        <w:r w:rsidR="007572C7" w:rsidRPr="00FF2DF3">
          <w:rPr>
            <w:noProof/>
            <w:webHidden/>
          </w:rPr>
          <w:fldChar w:fldCharType="end"/>
        </w:r>
      </w:hyperlink>
    </w:p>
    <w:p w14:paraId="5CC3A692" w14:textId="0A8F8481" w:rsidR="007545CB" w:rsidRPr="00FF2DF3" w:rsidRDefault="007545CB" w:rsidP="00830789">
      <w:pPr>
        <w:pStyle w:val="Heading1"/>
        <w:spacing w:after="240"/>
      </w:pPr>
      <w:r w:rsidRPr="00FF2DF3">
        <w:fldChar w:fldCharType="end"/>
      </w:r>
      <w:r w:rsidRPr="00FF2DF3">
        <w:br w:type="page"/>
      </w:r>
      <w:bookmarkStart w:id="18" w:name="_Toc140224966"/>
      <w:bookmarkStart w:id="19" w:name="_Toc146102839"/>
      <w:r w:rsidRPr="00FF2DF3">
        <w:lastRenderedPageBreak/>
        <w:t>SIGLAS</w:t>
      </w:r>
      <w:bookmarkEnd w:id="18"/>
      <w:bookmarkEnd w:id="19"/>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LIST OF ACRONYMS"/>
      </w:tblPr>
      <w:tblGrid>
        <w:gridCol w:w="1560"/>
        <w:gridCol w:w="6934"/>
      </w:tblGrid>
      <w:tr w:rsidR="007545CB" w:rsidRPr="00FF2DF3" w14:paraId="003095A9" w14:textId="77777777" w:rsidTr="00C84882">
        <w:trPr>
          <w:tblHeader/>
        </w:trPr>
        <w:tc>
          <w:tcPr>
            <w:tcW w:w="1560" w:type="dxa"/>
          </w:tcPr>
          <w:p w14:paraId="58DA20C7" w14:textId="77777777" w:rsidR="007545CB" w:rsidRPr="00FF2DF3" w:rsidRDefault="007545CB" w:rsidP="00C84882">
            <w:pPr>
              <w:rPr>
                <w:lang w:val="en-US"/>
              </w:rPr>
            </w:pPr>
          </w:p>
        </w:tc>
        <w:tc>
          <w:tcPr>
            <w:tcW w:w="6934" w:type="dxa"/>
          </w:tcPr>
          <w:p w14:paraId="43286828" w14:textId="77777777" w:rsidR="007545CB" w:rsidRPr="00FF2DF3" w:rsidRDefault="007545CB" w:rsidP="00C84882">
            <w:pPr>
              <w:rPr>
                <w:lang w:val="en-US"/>
              </w:rPr>
            </w:pPr>
          </w:p>
        </w:tc>
      </w:tr>
      <w:tr w:rsidR="0076058F" w:rsidRPr="00FF2DF3" w14:paraId="701D9E22" w14:textId="77777777" w:rsidTr="00C84882">
        <w:trPr>
          <w:trHeight w:val="300"/>
        </w:trPr>
        <w:tc>
          <w:tcPr>
            <w:tcW w:w="1560" w:type="dxa"/>
          </w:tcPr>
          <w:p w14:paraId="2F969D3F" w14:textId="77777777" w:rsidR="0076058F" w:rsidRPr="00FF2DF3" w:rsidRDefault="0076058F" w:rsidP="00C84882">
            <w:r w:rsidRPr="00FF2DF3">
              <w:t>AD</w:t>
            </w:r>
          </w:p>
        </w:tc>
        <w:tc>
          <w:tcPr>
            <w:tcW w:w="6934" w:type="dxa"/>
          </w:tcPr>
          <w:p w14:paraId="401B3DC6" w14:textId="77777777" w:rsidR="0076058F" w:rsidRPr="00FF2DF3" w:rsidRDefault="0076058F" w:rsidP="00C84882">
            <w:r w:rsidRPr="00FF2DF3">
              <w:t>Agenda para el Desarrollo</w:t>
            </w:r>
          </w:p>
        </w:tc>
      </w:tr>
      <w:tr w:rsidR="0076058F" w:rsidRPr="00FF2DF3" w14:paraId="237D0070" w14:textId="77777777" w:rsidTr="00C84882">
        <w:tc>
          <w:tcPr>
            <w:tcW w:w="1560" w:type="dxa"/>
          </w:tcPr>
          <w:p w14:paraId="3B4869F3" w14:textId="77777777" w:rsidR="0076058F" w:rsidRPr="00FF2DF3" w:rsidRDefault="0076058F" w:rsidP="00C84882">
            <w:r w:rsidRPr="00FF2DF3">
              <w:t>ASEAN</w:t>
            </w:r>
          </w:p>
        </w:tc>
        <w:tc>
          <w:tcPr>
            <w:tcW w:w="6934" w:type="dxa"/>
          </w:tcPr>
          <w:p w14:paraId="641562D2" w14:textId="77777777" w:rsidR="0076058F" w:rsidRPr="00FF2DF3" w:rsidRDefault="0076058F" w:rsidP="00C84882">
            <w:r w:rsidRPr="00FF2DF3">
              <w:t>Asociación de Naciones del Asia Sudoriental</w:t>
            </w:r>
          </w:p>
        </w:tc>
      </w:tr>
      <w:tr w:rsidR="0076058F" w:rsidRPr="00FF2DF3" w14:paraId="49138732" w14:textId="77777777" w:rsidTr="00C84882">
        <w:tc>
          <w:tcPr>
            <w:tcW w:w="1560" w:type="dxa"/>
          </w:tcPr>
          <w:p w14:paraId="0D867C9E" w14:textId="77777777" w:rsidR="0076058F" w:rsidRPr="00FF2DF3" w:rsidRDefault="0076058F" w:rsidP="00C84882">
            <w:r w:rsidRPr="00FF2DF3">
              <w:t>CDIP</w:t>
            </w:r>
          </w:p>
        </w:tc>
        <w:tc>
          <w:tcPr>
            <w:tcW w:w="6934" w:type="dxa"/>
          </w:tcPr>
          <w:p w14:paraId="7B676827" w14:textId="77777777" w:rsidR="0076058F" w:rsidRPr="00FF2DF3" w:rsidRDefault="0076058F" w:rsidP="00C84882">
            <w:r w:rsidRPr="00FF2DF3">
              <w:t>Comité de Desarrollo y Propiedad Intelectual</w:t>
            </w:r>
          </w:p>
        </w:tc>
      </w:tr>
      <w:tr w:rsidR="0076058F" w:rsidRPr="00FF2DF3" w14:paraId="5543BB37" w14:textId="77777777" w:rsidTr="00C84882">
        <w:trPr>
          <w:trHeight w:val="300"/>
        </w:trPr>
        <w:tc>
          <w:tcPr>
            <w:tcW w:w="1560" w:type="dxa"/>
          </w:tcPr>
          <w:p w14:paraId="0D3659B7" w14:textId="77777777" w:rsidR="0076058F" w:rsidRPr="00FF2DF3" w:rsidRDefault="0076058F" w:rsidP="00C84882">
            <w:r w:rsidRPr="00FF2DF3">
              <w:t>CHF</w:t>
            </w:r>
          </w:p>
        </w:tc>
        <w:tc>
          <w:tcPr>
            <w:tcW w:w="6934" w:type="dxa"/>
          </w:tcPr>
          <w:p w14:paraId="791C7F12" w14:textId="77777777" w:rsidR="0076058F" w:rsidRPr="00FF2DF3" w:rsidRDefault="0076058F" w:rsidP="00C84882">
            <w:r w:rsidRPr="00FF2DF3">
              <w:t>francos suizos</w:t>
            </w:r>
          </w:p>
        </w:tc>
      </w:tr>
      <w:tr w:rsidR="0076058F" w:rsidRPr="00FF2DF3" w14:paraId="71D65A6B" w14:textId="77777777" w:rsidTr="00C84882">
        <w:trPr>
          <w:trHeight w:val="300"/>
        </w:trPr>
        <w:tc>
          <w:tcPr>
            <w:tcW w:w="1560" w:type="dxa"/>
          </w:tcPr>
          <w:p w14:paraId="2272198E" w14:textId="77777777" w:rsidR="0076058F" w:rsidRPr="00FF2DF3" w:rsidRDefault="0076058F" w:rsidP="00C84882">
            <w:r w:rsidRPr="00FF2DF3">
              <w:t>DACD</w:t>
            </w:r>
          </w:p>
        </w:tc>
        <w:tc>
          <w:tcPr>
            <w:tcW w:w="6934" w:type="dxa"/>
          </w:tcPr>
          <w:p w14:paraId="0E4B17A2" w14:textId="77777777" w:rsidR="0076058F" w:rsidRPr="00FF2DF3" w:rsidRDefault="0076058F" w:rsidP="00C84882">
            <w:r w:rsidRPr="00FF2DF3">
              <w:t>División de Coordinación de la Agenda para el Desarrollo</w:t>
            </w:r>
          </w:p>
        </w:tc>
      </w:tr>
      <w:tr w:rsidR="0076058F" w:rsidRPr="00FF2DF3" w14:paraId="268D93C6" w14:textId="77777777" w:rsidTr="00C84882">
        <w:trPr>
          <w:trHeight w:val="300"/>
        </w:trPr>
        <w:tc>
          <w:tcPr>
            <w:tcW w:w="1560" w:type="dxa"/>
          </w:tcPr>
          <w:p w14:paraId="4757C065" w14:textId="77777777" w:rsidR="0076058F" w:rsidRPr="00FF2DF3" w:rsidRDefault="0076058F" w:rsidP="00C84882">
            <w:r w:rsidRPr="00FF2DF3">
              <w:t>DGIP</w:t>
            </w:r>
          </w:p>
        </w:tc>
        <w:tc>
          <w:tcPr>
            <w:tcW w:w="6934" w:type="dxa"/>
          </w:tcPr>
          <w:p w14:paraId="0C7CB08C" w14:textId="77777777" w:rsidR="0076058F" w:rsidRPr="00FF2DF3" w:rsidRDefault="0076058F" w:rsidP="00C84882">
            <w:r w:rsidRPr="00FF2DF3">
              <w:t>Dirección General de Derechos de Propiedad Intelectual (Indonesia)</w:t>
            </w:r>
          </w:p>
        </w:tc>
      </w:tr>
      <w:tr w:rsidR="0076058F" w:rsidRPr="00FF2DF3" w14:paraId="727E56B0" w14:textId="77777777" w:rsidTr="00C84882">
        <w:trPr>
          <w:trHeight w:val="300"/>
        </w:trPr>
        <w:tc>
          <w:tcPr>
            <w:tcW w:w="1560" w:type="dxa"/>
          </w:tcPr>
          <w:p w14:paraId="206ACD27" w14:textId="77777777" w:rsidR="0076058F" w:rsidRPr="00FF2DF3" w:rsidRDefault="0076058F" w:rsidP="00C84882">
            <w:r w:rsidRPr="00FF2DF3">
              <w:t>DSI</w:t>
            </w:r>
          </w:p>
        </w:tc>
        <w:tc>
          <w:tcPr>
            <w:tcW w:w="6934" w:type="dxa"/>
          </w:tcPr>
          <w:p w14:paraId="3C4D09D0" w14:textId="77777777" w:rsidR="0076058F" w:rsidRPr="00FF2DF3" w:rsidRDefault="0076058F" w:rsidP="00C84882">
            <w:r w:rsidRPr="00FF2DF3">
              <w:t>División de Supervisión Interna</w:t>
            </w:r>
          </w:p>
        </w:tc>
      </w:tr>
      <w:tr w:rsidR="0076058F" w:rsidRPr="00FF2DF3" w14:paraId="009348B0" w14:textId="77777777" w:rsidTr="00C84882">
        <w:trPr>
          <w:trHeight w:val="300"/>
        </w:trPr>
        <w:tc>
          <w:tcPr>
            <w:tcW w:w="1560" w:type="dxa"/>
          </w:tcPr>
          <w:p w14:paraId="73D08DE1" w14:textId="77777777" w:rsidR="0076058F" w:rsidRPr="00FF2DF3" w:rsidRDefault="0076058F" w:rsidP="00C84882">
            <w:r w:rsidRPr="00FF2DF3">
              <w:t>ENPI</w:t>
            </w:r>
          </w:p>
        </w:tc>
        <w:tc>
          <w:tcPr>
            <w:tcW w:w="6934" w:type="dxa"/>
          </w:tcPr>
          <w:p w14:paraId="22DFD8F7" w14:textId="77777777" w:rsidR="0076058F" w:rsidRPr="00FF2DF3" w:rsidRDefault="0076058F" w:rsidP="00C84882">
            <w:pPr>
              <w:rPr>
                <w:lang w:val="pt-BR"/>
              </w:rPr>
            </w:pPr>
            <w:r w:rsidRPr="00FF2DF3">
              <w:rPr>
                <w:lang w:val="pt-BR"/>
              </w:rPr>
              <w:t xml:space="preserve">Estrategia nacional de PI </w:t>
            </w:r>
            <w:r w:rsidRPr="00FF2DF3">
              <w:rPr>
                <w:i/>
                <w:iCs/>
                <w:lang w:val="pt-BR"/>
              </w:rPr>
              <w:t>(</w:t>
            </w:r>
            <w:r w:rsidRPr="00FF2DF3">
              <w:rPr>
                <w:rFonts w:ascii="Helvetica" w:hAnsi="Helvetica"/>
                <w:i/>
                <w:iCs/>
                <w:shd w:val="clear" w:color="auto" w:fill="FFFFFF"/>
                <w:lang w:val="pt-BR"/>
              </w:rPr>
              <w:t>Estratégia Nacional de Propriedade Intelectual)</w:t>
            </w:r>
          </w:p>
        </w:tc>
      </w:tr>
      <w:tr w:rsidR="0076058F" w:rsidRPr="00FF2DF3" w14:paraId="1BF82014" w14:textId="77777777" w:rsidTr="00C84882">
        <w:trPr>
          <w:trHeight w:val="300"/>
        </w:trPr>
        <w:tc>
          <w:tcPr>
            <w:tcW w:w="1560" w:type="dxa"/>
          </w:tcPr>
          <w:p w14:paraId="2D5829F5" w14:textId="77777777" w:rsidR="0076058F" w:rsidRPr="00FF2DF3" w:rsidRDefault="0076058F" w:rsidP="00C84882">
            <w:r w:rsidRPr="00FF2DF3">
              <w:t>GIPI</w:t>
            </w:r>
          </w:p>
        </w:tc>
        <w:tc>
          <w:tcPr>
            <w:tcW w:w="6934" w:type="dxa"/>
          </w:tcPr>
          <w:p w14:paraId="2A4E6151" w14:textId="77777777" w:rsidR="0076058F" w:rsidRPr="00FF2DF3" w:rsidRDefault="0076058F" w:rsidP="00C84882">
            <w:r w:rsidRPr="00FF2DF3">
              <w:t>Grupo Interministerial de Propiedad Intelectual</w:t>
            </w:r>
          </w:p>
        </w:tc>
      </w:tr>
      <w:tr w:rsidR="0076058F" w:rsidRPr="00FF2DF3" w14:paraId="44E80010" w14:textId="77777777" w:rsidTr="00C84882">
        <w:trPr>
          <w:trHeight w:val="300"/>
        </w:trPr>
        <w:tc>
          <w:tcPr>
            <w:tcW w:w="1560" w:type="dxa"/>
          </w:tcPr>
          <w:p w14:paraId="18F37194" w14:textId="77777777" w:rsidR="0076058F" w:rsidRPr="00FF2DF3" w:rsidRDefault="0076058F" w:rsidP="00C84882">
            <w:r w:rsidRPr="00FF2DF3">
              <w:t>INPI</w:t>
            </w:r>
          </w:p>
        </w:tc>
        <w:tc>
          <w:tcPr>
            <w:tcW w:w="6934" w:type="dxa"/>
          </w:tcPr>
          <w:p w14:paraId="4E58EF7A" w14:textId="77777777" w:rsidR="0076058F" w:rsidRPr="00FF2DF3" w:rsidRDefault="0076058F" w:rsidP="00C84882">
            <w:r w:rsidRPr="00FF2DF3">
              <w:t>Instituto Nacional de la Propiedad Industrial (INPI) del Brasil</w:t>
            </w:r>
          </w:p>
        </w:tc>
      </w:tr>
      <w:tr w:rsidR="0076058F" w:rsidRPr="00FF2DF3" w14:paraId="3A0AD7D9" w14:textId="77777777" w:rsidTr="00C84882">
        <w:trPr>
          <w:trHeight w:val="300"/>
        </w:trPr>
        <w:tc>
          <w:tcPr>
            <w:tcW w:w="1560" w:type="dxa"/>
          </w:tcPr>
          <w:p w14:paraId="135734CA" w14:textId="77777777" w:rsidR="0076058F" w:rsidRPr="00FF2DF3" w:rsidRDefault="0076058F" w:rsidP="00C84882">
            <w:r w:rsidRPr="00FF2DF3">
              <w:t>IPEA</w:t>
            </w:r>
          </w:p>
        </w:tc>
        <w:tc>
          <w:tcPr>
            <w:tcW w:w="6934" w:type="dxa"/>
          </w:tcPr>
          <w:p w14:paraId="1390EE18" w14:textId="77777777" w:rsidR="0076058F" w:rsidRPr="00FF2DF3" w:rsidRDefault="0076058F" w:rsidP="00C84882">
            <w:r w:rsidRPr="00FF2DF3">
              <w:t xml:space="preserve">Instituto de Investigación Económica Aplicada del Brasil </w:t>
            </w:r>
            <w:r w:rsidRPr="00FF2DF3">
              <w:rPr>
                <w:i/>
                <w:iCs/>
                <w:lang w:val="pt-BR"/>
              </w:rPr>
              <w:t>(Instituto de Pesquisa Economica Aplicada)</w:t>
            </w:r>
          </w:p>
        </w:tc>
      </w:tr>
      <w:tr w:rsidR="0076058F" w:rsidRPr="00FF2DF3" w14:paraId="0076A12E" w14:textId="77777777" w:rsidTr="00C84882">
        <w:trPr>
          <w:trHeight w:val="300"/>
        </w:trPr>
        <w:tc>
          <w:tcPr>
            <w:tcW w:w="1560" w:type="dxa"/>
          </w:tcPr>
          <w:p w14:paraId="4D078476" w14:textId="77777777" w:rsidR="0076058F" w:rsidRPr="00FF2DF3" w:rsidRDefault="0076058F" w:rsidP="00C84882">
            <w:r w:rsidRPr="00FF2DF3">
              <w:t>OMPI</w:t>
            </w:r>
          </w:p>
        </w:tc>
        <w:tc>
          <w:tcPr>
            <w:tcW w:w="6934" w:type="dxa"/>
          </w:tcPr>
          <w:p w14:paraId="34717A89" w14:textId="77777777" w:rsidR="0076058F" w:rsidRPr="00FF2DF3" w:rsidRDefault="0076058F" w:rsidP="00C84882">
            <w:r w:rsidRPr="00FF2DF3">
              <w:t>Organización para la Cooperación y el Desarrollo Económicos</w:t>
            </w:r>
          </w:p>
        </w:tc>
      </w:tr>
      <w:tr w:rsidR="0076058F" w:rsidRPr="00FF2DF3" w14:paraId="430F973B" w14:textId="77777777" w:rsidTr="00C84882">
        <w:trPr>
          <w:trHeight w:val="300"/>
        </w:trPr>
        <w:tc>
          <w:tcPr>
            <w:tcW w:w="1560" w:type="dxa"/>
          </w:tcPr>
          <w:p w14:paraId="62121928" w14:textId="77777777" w:rsidR="0076058F" w:rsidRPr="00FF2DF3" w:rsidRDefault="0076058F" w:rsidP="00C84882">
            <w:r w:rsidRPr="00FF2DF3">
              <w:t>OMPI</w:t>
            </w:r>
          </w:p>
        </w:tc>
        <w:tc>
          <w:tcPr>
            <w:tcW w:w="6934" w:type="dxa"/>
          </w:tcPr>
          <w:p w14:paraId="6B5BFD41" w14:textId="77777777" w:rsidR="0076058F" w:rsidRPr="00FF2DF3" w:rsidRDefault="0076058F" w:rsidP="00C84882">
            <w:r w:rsidRPr="00FF2DF3">
              <w:t xml:space="preserve">Organización Mundial de la Propiedad Intelectual </w:t>
            </w:r>
          </w:p>
        </w:tc>
      </w:tr>
      <w:tr w:rsidR="0076058F" w:rsidRPr="00FF2DF3" w14:paraId="6A570565" w14:textId="77777777" w:rsidTr="00C84882">
        <w:trPr>
          <w:trHeight w:val="300"/>
        </w:trPr>
        <w:tc>
          <w:tcPr>
            <w:tcW w:w="1560" w:type="dxa"/>
          </w:tcPr>
          <w:p w14:paraId="48298C92" w14:textId="77777777" w:rsidR="0076058F" w:rsidRPr="00FF2DF3" w:rsidRDefault="0076058F" w:rsidP="00C84882">
            <w:r w:rsidRPr="00FF2DF3">
              <w:t>PE</w:t>
            </w:r>
          </w:p>
        </w:tc>
        <w:tc>
          <w:tcPr>
            <w:tcW w:w="6934" w:type="dxa"/>
          </w:tcPr>
          <w:p w14:paraId="7D02AA95" w14:textId="77777777" w:rsidR="0076058F" w:rsidRPr="00FF2DF3" w:rsidRDefault="0076058F" w:rsidP="00C84882">
            <w:pPr>
              <w:rPr>
                <w:rFonts w:cstheme="minorHAnsi"/>
              </w:rPr>
            </w:pPr>
            <w:r w:rsidRPr="00FF2DF3">
              <w:t>Pregunta de evaluación</w:t>
            </w:r>
          </w:p>
        </w:tc>
      </w:tr>
      <w:tr w:rsidR="0076058F" w:rsidRPr="00FF2DF3" w14:paraId="5C49AF53" w14:textId="77777777" w:rsidTr="00C84882">
        <w:trPr>
          <w:trHeight w:val="300"/>
        </w:trPr>
        <w:tc>
          <w:tcPr>
            <w:tcW w:w="1560" w:type="dxa"/>
          </w:tcPr>
          <w:p w14:paraId="2776E9DB" w14:textId="77777777" w:rsidR="0076058F" w:rsidRPr="00FF2DF3" w:rsidRDefault="0076058F" w:rsidP="00C84882">
            <w:r w:rsidRPr="00FF2DF3">
              <w:t>PEMP</w:t>
            </w:r>
          </w:p>
        </w:tc>
        <w:tc>
          <w:tcPr>
            <w:tcW w:w="6934" w:type="dxa"/>
          </w:tcPr>
          <w:p w14:paraId="17F63B32" w14:textId="77777777" w:rsidR="0076058F" w:rsidRPr="00FF2DF3" w:rsidRDefault="0076058F" w:rsidP="00C84882">
            <w:r w:rsidRPr="00FF2DF3">
              <w:t>Plan Estratégico a Mediano Plazo</w:t>
            </w:r>
          </w:p>
        </w:tc>
      </w:tr>
      <w:tr w:rsidR="0076058F" w:rsidRPr="00FF2DF3" w14:paraId="46B6E68C" w14:textId="77777777" w:rsidTr="00C84882">
        <w:trPr>
          <w:trHeight w:val="300"/>
        </w:trPr>
        <w:tc>
          <w:tcPr>
            <w:tcW w:w="1560" w:type="dxa"/>
          </w:tcPr>
          <w:p w14:paraId="11D7EBE8" w14:textId="77777777" w:rsidR="0076058F" w:rsidRPr="00FF2DF3" w:rsidRDefault="0076058F" w:rsidP="00C84882">
            <w:r w:rsidRPr="00FF2DF3">
              <w:t>PI</w:t>
            </w:r>
          </w:p>
        </w:tc>
        <w:tc>
          <w:tcPr>
            <w:tcW w:w="6934" w:type="dxa"/>
          </w:tcPr>
          <w:p w14:paraId="2381D436" w14:textId="77777777" w:rsidR="0076058F" w:rsidRPr="00FF2DF3" w:rsidRDefault="0076058F" w:rsidP="00C84882">
            <w:r w:rsidRPr="00FF2DF3">
              <w:t>Propiedad intelectual</w:t>
            </w:r>
          </w:p>
        </w:tc>
      </w:tr>
      <w:tr w:rsidR="0076058F" w:rsidRPr="00FF2DF3" w14:paraId="62A016AF" w14:textId="77777777" w:rsidTr="00C84882">
        <w:tc>
          <w:tcPr>
            <w:tcW w:w="1560" w:type="dxa"/>
          </w:tcPr>
          <w:p w14:paraId="71B754E9" w14:textId="77777777" w:rsidR="0076058F" w:rsidRPr="00FF2DF3" w:rsidRDefault="0076058F" w:rsidP="00C84882">
            <w:r w:rsidRPr="00FF2DF3">
              <w:t>UNEG</w:t>
            </w:r>
          </w:p>
        </w:tc>
        <w:tc>
          <w:tcPr>
            <w:tcW w:w="6934" w:type="dxa"/>
          </w:tcPr>
          <w:p w14:paraId="2141567F" w14:textId="77777777" w:rsidR="0076058F" w:rsidRPr="00FF2DF3" w:rsidRDefault="0076058F" w:rsidP="00C84882">
            <w:r w:rsidRPr="00FF2DF3">
              <w:t>Grupo de Evaluación de las Naciones Unidas</w:t>
            </w:r>
          </w:p>
        </w:tc>
      </w:tr>
    </w:tbl>
    <w:p w14:paraId="4B34D6A8" w14:textId="77777777" w:rsidR="007545CB" w:rsidRPr="00FF2DF3" w:rsidRDefault="007545CB" w:rsidP="007545CB">
      <w:pPr>
        <w:rPr>
          <w:lang w:val="es-ES_tradnl"/>
        </w:rPr>
      </w:pPr>
    </w:p>
    <w:p w14:paraId="451BC4F2" w14:textId="1852A93C" w:rsidR="007545CB" w:rsidRPr="00FF2DF3" w:rsidRDefault="007545CB" w:rsidP="00830789">
      <w:pPr>
        <w:pStyle w:val="Heading1"/>
        <w:spacing w:after="240"/>
      </w:pPr>
      <w:r w:rsidRPr="00FF2DF3">
        <w:br w:type="page"/>
      </w:r>
      <w:bookmarkStart w:id="20" w:name="_Toc146102840"/>
      <w:r w:rsidR="00830789" w:rsidRPr="00FF2DF3">
        <w:t>1.</w:t>
      </w:r>
      <w:r w:rsidR="00830789" w:rsidRPr="00FF2DF3">
        <w:tab/>
      </w:r>
      <w:r w:rsidRPr="00FF2DF3">
        <w:t>RESUMEN</w:t>
      </w:r>
      <w:bookmarkEnd w:id="20"/>
    </w:p>
    <w:p w14:paraId="555F508E" w14:textId="15E6F00E" w:rsidR="007545CB" w:rsidRPr="00FF2DF3" w:rsidRDefault="00A51A4E" w:rsidP="007545CB">
      <w:pPr>
        <w:pStyle w:val="ONUMFS"/>
      </w:pPr>
      <w:r w:rsidRPr="00FF2DF3">
        <w:t>El presente</w:t>
      </w:r>
      <w:r w:rsidR="007545CB" w:rsidRPr="00FF2DF3">
        <w:t xml:space="preserve"> informe de evaluación independiente abarca dos fases del proyecto de la Agenda para el Desarrollo (AD) sobre </w:t>
      </w:r>
      <w:r w:rsidR="007545CB" w:rsidRPr="00FF2DF3">
        <w:rPr>
          <w:i/>
        </w:rPr>
        <w:t xml:space="preserve">Propiedad intelectual y desarrollo socioeconómico </w:t>
      </w:r>
      <w:r w:rsidR="007545CB" w:rsidRPr="00FF2DF3">
        <w:t xml:space="preserve">(en adelante, el “proyecto”), ejecutadas entre 2012 y 2018 (DA_35_37_01 y DA_35_37_02). Adoptadas respectivamente en las sesiones quinta y decimocuarta del Comité de Desarrollo y Propiedad Intelectual (CDIP), ambas fases del proyecto pretendían paliar el déficit de conocimientos de los encargados de formular políticas </w:t>
      </w:r>
      <w:r w:rsidR="00CE728F" w:rsidRPr="00FF2DF3">
        <w:t xml:space="preserve">para </w:t>
      </w:r>
      <w:r w:rsidR="00F7720D" w:rsidRPr="00FF2DF3">
        <w:t>diseñ</w:t>
      </w:r>
      <w:r w:rsidR="00CE728F" w:rsidRPr="00FF2DF3">
        <w:t>ar</w:t>
      </w:r>
      <w:r w:rsidR="00F7720D" w:rsidRPr="00FF2DF3">
        <w:t xml:space="preserve"> y aplica</w:t>
      </w:r>
      <w:r w:rsidR="00CE728F" w:rsidRPr="00FF2DF3">
        <w:t>r</w:t>
      </w:r>
      <w:r w:rsidR="00F7720D" w:rsidRPr="00FF2DF3">
        <w:t xml:space="preserve"> </w:t>
      </w:r>
      <w:r w:rsidR="007545CB" w:rsidRPr="00FF2DF3">
        <w:t xml:space="preserve">un régimen de </w:t>
      </w:r>
      <w:r w:rsidR="00F7720D" w:rsidRPr="00FF2DF3">
        <w:t xml:space="preserve">propiedad </w:t>
      </w:r>
      <w:r w:rsidR="00CA110A" w:rsidRPr="00FF2DF3">
        <w:t>intelectual (</w:t>
      </w:r>
      <w:r w:rsidR="00F7720D" w:rsidRPr="00FF2DF3">
        <w:t>PI</w:t>
      </w:r>
      <w:r w:rsidR="00CA110A" w:rsidRPr="00FF2DF3">
        <w:t>)</w:t>
      </w:r>
      <w:r w:rsidR="007545CB" w:rsidRPr="00FF2DF3">
        <w:t xml:space="preserve"> que fomente el desarrollo. Esta evaluación se centra en los efectos del proyecto a largo plazo y complementa dos evaluaciones </w:t>
      </w:r>
      <w:r w:rsidR="00D35DCB" w:rsidRPr="00FF2DF3">
        <w:t>anteriores realizadas en 2014 y </w:t>
      </w:r>
      <w:r w:rsidR="007545CB" w:rsidRPr="00FF2DF3">
        <w:t xml:space="preserve">2018 (documentos </w:t>
      </w:r>
      <w:hyperlink r:id="rId15" w:history="1">
        <w:r w:rsidR="007545CB" w:rsidRPr="00FF2DF3">
          <w:rPr>
            <w:rStyle w:val="Hyperlink"/>
          </w:rPr>
          <w:t>CDIP/14/3</w:t>
        </w:r>
      </w:hyperlink>
      <w:r w:rsidR="007545CB" w:rsidRPr="00FF2DF3">
        <w:t xml:space="preserve"> y </w:t>
      </w:r>
      <w:hyperlink r:id="rId16" w:history="1">
        <w:r w:rsidR="007545CB" w:rsidRPr="00FF2DF3">
          <w:rPr>
            <w:rStyle w:val="Hyperlink"/>
          </w:rPr>
          <w:t>CDIP/22/9 Rev.</w:t>
        </w:r>
      </w:hyperlink>
      <w:r w:rsidR="007545CB" w:rsidRPr="00FF2DF3">
        <w:t>).</w:t>
      </w:r>
    </w:p>
    <w:p w14:paraId="44A22CDB" w14:textId="0C50E2FD" w:rsidR="007545CB" w:rsidRPr="00FF2DF3" w:rsidRDefault="007545CB" w:rsidP="007545CB">
      <w:pPr>
        <w:pStyle w:val="ONUMFS"/>
        <w:spacing w:after="0"/>
      </w:pPr>
      <w:r w:rsidRPr="00FF2DF3">
        <w:t xml:space="preserve">La evaluación se llevó a cabo conforme al mandato establecido el 15 de febrero de 2023 y en coordinación estrecha con la División de Coordinación de la Agenda para el Desarrollo (DACD) y la Sección de Evaluación de la División de Supervisión Interna (DSI). La recopilación de datos se </w:t>
      </w:r>
      <w:r w:rsidR="005F3082" w:rsidRPr="00FF2DF3">
        <w:t>realizó</w:t>
      </w:r>
      <w:r w:rsidRPr="00FF2DF3">
        <w:t xml:space="preserve"> durante los meses de junio y julio de 2023.</w:t>
      </w:r>
    </w:p>
    <w:p w14:paraId="1C9F9C29" w14:textId="77777777" w:rsidR="007545CB" w:rsidRPr="00FF2DF3" w:rsidRDefault="007545CB" w:rsidP="007545CB">
      <w:pPr>
        <w:pStyle w:val="Heading2"/>
        <w:numPr>
          <w:ilvl w:val="0"/>
          <w:numId w:val="8"/>
        </w:numPr>
        <w:tabs>
          <w:tab w:val="clear" w:pos="567"/>
        </w:tabs>
        <w:spacing w:after="240"/>
        <w:ind w:left="562"/>
      </w:pPr>
      <w:bookmarkStart w:id="21" w:name="_Toc140224968"/>
      <w:bookmarkStart w:id="22" w:name="_Toc146102841"/>
      <w:r w:rsidRPr="00FF2DF3">
        <w:t>Conclusiones</w:t>
      </w:r>
      <w:bookmarkEnd w:id="21"/>
      <w:bookmarkEnd w:id="22"/>
    </w:p>
    <w:p w14:paraId="32369920" w14:textId="77777777" w:rsidR="007545CB" w:rsidRPr="00FF2DF3" w:rsidRDefault="007545CB" w:rsidP="007545CB">
      <w:pPr>
        <w:pStyle w:val="ONUMFS"/>
      </w:pPr>
      <w:r w:rsidRPr="00FF2DF3">
        <w:t>A continuación figuran las conclusiones de la evaluación:</w:t>
      </w:r>
    </w:p>
    <w:p w14:paraId="739D3E5C" w14:textId="12A6151A" w:rsidR="007545CB" w:rsidRPr="00FF2DF3" w:rsidRDefault="007545CB" w:rsidP="007545CB">
      <w:pPr>
        <w:pStyle w:val="ONUMFS"/>
        <w:numPr>
          <w:ilvl w:val="0"/>
          <w:numId w:val="0"/>
        </w:numPr>
        <w:rPr>
          <w:b/>
          <w:bCs/>
        </w:rPr>
      </w:pPr>
      <w:r w:rsidRPr="00FF2DF3">
        <w:rPr>
          <w:b/>
        </w:rPr>
        <w:t xml:space="preserve">Conclusión </w:t>
      </w:r>
      <w:r w:rsidRPr="00FF2DF3">
        <w:rPr>
          <w:b/>
        </w:rPr>
        <w:fldChar w:fldCharType="begin"/>
      </w:r>
      <w:r w:rsidRPr="00FF2DF3">
        <w:rPr>
          <w:b/>
        </w:rPr>
        <w:instrText xml:space="preserve"> SEQ Conclusion \* ARABIC </w:instrText>
      </w:r>
      <w:r w:rsidRPr="00FF2DF3">
        <w:rPr>
          <w:b/>
        </w:rPr>
        <w:fldChar w:fldCharType="separate"/>
      </w:r>
      <w:r w:rsidRPr="00FF2DF3">
        <w:rPr>
          <w:b/>
        </w:rPr>
        <w:t>1</w:t>
      </w:r>
      <w:r w:rsidRPr="00FF2DF3">
        <w:rPr>
          <w:b/>
        </w:rPr>
        <w:fldChar w:fldCharType="end"/>
      </w:r>
      <w:r w:rsidRPr="00FF2DF3">
        <w:rPr>
          <w:b/>
        </w:rPr>
        <w:t xml:space="preserve">: El proyecto tuvo efectos positivos a largo plazo en los países beneficiarios. </w:t>
      </w:r>
    </w:p>
    <w:p w14:paraId="726E322D" w14:textId="33AA8046" w:rsidR="007545CB" w:rsidRPr="00FF2DF3" w:rsidRDefault="007545CB" w:rsidP="007545CB">
      <w:pPr>
        <w:pStyle w:val="ONUMFS"/>
        <w:rPr>
          <w:b/>
          <w:bCs/>
        </w:rPr>
      </w:pPr>
      <w:r w:rsidRPr="00FF2DF3">
        <w:t>Los datos de la evaluac</w:t>
      </w:r>
      <w:r w:rsidR="004A74E3" w:rsidRPr="00FF2DF3">
        <w:t>ión</w:t>
      </w:r>
      <w:r w:rsidRPr="00FF2DF3">
        <w:t xml:space="preserve"> muestran que en algunos países se lograron los resultados previstos pertinentes de la OMPI</w:t>
      </w:r>
      <w:r w:rsidRPr="00FF2DF3">
        <w:rPr>
          <w:rStyle w:val="FootnoteReference"/>
          <w:lang w:val="es-ES_tradnl"/>
        </w:rPr>
        <w:footnoteReference w:id="2"/>
      </w:r>
      <w:r w:rsidRPr="00FF2DF3">
        <w:t xml:space="preserve">. Debido a las limitaciones de la evaluación, no se </w:t>
      </w:r>
      <w:r w:rsidR="00B9007C" w:rsidRPr="00FF2DF3">
        <w:t xml:space="preserve">pudieron </w:t>
      </w:r>
      <w:r w:rsidRPr="00FF2DF3">
        <w:t>confirmar los efectos en todos los países; sin embargo, los informantes clave, los debates de grupos de discusión, las encuestas y los exámenes documentales proyectan globalmente una imagen convincente de un proyecto de alto impacto. A lo largo de todo el informe de evaluación, se indican los factores que contribuyeron a lograr efectos significativos. Entre los efectos primarios figuran los siguientes:</w:t>
      </w:r>
    </w:p>
    <w:p w14:paraId="0887D1C7" w14:textId="77777777" w:rsidR="007545CB" w:rsidRPr="00FF2DF3" w:rsidRDefault="007545CB" w:rsidP="007545CB">
      <w:pPr>
        <w:pStyle w:val="ONUMFS"/>
        <w:numPr>
          <w:ilvl w:val="0"/>
          <w:numId w:val="29"/>
        </w:numPr>
      </w:pPr>
      <w:r w:rsidRPr="00FF2DF3">
        <w:t>La promoción de las recomendaciones 35</w:t>
      </w:r>
      <w:r w:rsidRPr="00FF2DF3">
        <w:rPr>
          <w:rStyle w:val="FootnoteReference"/>
          <w:lang w:val="es-ES_tradnl"/>
        </w:rPr>
        <w:footnoteReference w:id="3"/>
      </w:r>
      <w:r w:rsidRPr="00FF2DF3">
        <w:t xml:space="preserve"> y 37</w:t>
      </w:r>
      <w:r w:rsidRPr="00FF2DF3">
        <w:rPr>
          <w:rStyle w:val="FootnoteReference"/>
          <w:lang w:val="es-ES_tradnl"/>
        </w:rPr>
        <w:footnoteReference w:id="4"/>
      </w:r>
      <w:r w:rsidRPr="00FF2DF3">
        <w:t xml:space="preserve"> de la DA aumentó en los países beneficiarios;</w:t>
      </w:r>
    </w:p>
    <w:p w14:paraId="5D876248" w14:textId="2DB7B785" w:rsidR="007545CB" w:rsidRPr="00FF2DF3" w:rsidRDefault="00320BE7" w:rsidP="007545CB">
      <w:pPr>
        <w:pStyle w:val="ONUMFS"/>
        <w:numPr>
          <w:ilvl w:val="0"/>
          <w:numId w:val="29"/>
        </w:numPr>
      </w:pPr>
      <w:r w:rsidRPr="00FF2DF3">
        <w:t>El</w:t>
      </w:r>
      <w:r w:rsidR="007545CB" w:rsidRPr="00FF2DF3">
        <w:t xml:space="preserve"> fortalecimiento de capacidades </w:t>
      </w:r>
      <w:r w:rsidRPr="00FF2DF3">
        <w:t>individuales</w:t>
      </w:r>
      <w:r w:rsidR="007545CB" w:rsidRPr="00FF2DF3">
        <w:t xml:space="preserve"> </w:t>
      </w:r>
      <w:r w:rsidR="00CA641B" w:rsidRPr="00FF2DF3">
        <w:t>continu</w:t>
      </w:r>
      <w:r w:rsidRPr="00FF2DF3">
        <w:t xml:space="preserve">ó </w:t>
      </w:r>
      <w:r w:rsidR="007545CB" w:rsidRPr="00FF2DF3">
        <w:t xml:space="preserve">y </w:t>
      </w:r>
      <w:r w:rsidR="00CA641B" w:rsidRPr="00FF2DF3">
        <w:t xml:space="preserve">se </w:t>
      </w:r>
      <w:r w:rsidR="007545CB" w:rsidRPr="00FF2DF3">
        <w:t>ampli</w:t>
      </w:r>
      <w:r w:rsidRPr="00FF2DF3">
        <w:t xml:space="preserve">ó </w:t>
      </w:r>
      <w:r w:rsidR="007545CB" w:rsidRPr="00FF2DF3">
        <w:t>a lo largo del tiempo, lo que contribuyó a logr</w:t>
      </w:r>
      <w:r w:rsidR="00C47A31" w:rsidRPr="00FF2DF3">
        <w:t>ar</w:t>
      </w:r>
      <w:r w:rsidR="007545CB" w:rsidRPr="00FF2DF3">
        <w:t xml:space="preserve"> </w:t>
      </w:r>
      <w:r w:rsidR="00BB0D70" w:rsidRPr="00FF2DF3">
        <w:t>efectos significativos</w:t>
      </w:r>
      <w:r w:rsidR="007545CB" w:rsidRPr="00FF2DF3">
        <w:t xml:space="preserve"> una vez finalizado el ciclo de ejecución del proyecto;</w:t>
      </w:r>
    </w:p>
    <w:p w14:paraId="2DD25DB1" w14:textId="120D08ED" w:rsidR="007545CB" w:rsidRPr="00FF2DF3" w:rsidRDefault="00FB7569" w:rsidP="007545CB">
      <w:pPr>
        <w:pStyle w:val="ONUMFS"/>
        <w:numPr>
          <w:ilvl w:val="0"/>
          <w:numId w:val="29"/>
        </w:numPr>
      </w:pPr>
      <w:r w:rsidRPr="00FF2DF3">
        <w:t>La</w:t>
      </w:r>
      <w:r w:rsidR="007545CB" w:rsidRPr="00FF2DF3">
        <w:t xml:space="preserve"> investigación sobre cuestiones de PI </w:t>
      </w:r>
      <w:r w:rsidR="00D9020A" w:rsidRPr="00FF2DF3">
        <w:t xml:space="preserve">cobró un carácter </w:t>
      </w:r>
      <w:r w:rsidR="007545CB" w:rsidRPr="00FF2DF3">
        <w:t>más multidisciplinario, en particular con la participación de economistas;</w:t>
      </w:r>
    </w:p>
    <w:p w14:paraId="7A611A9A" w14:textId="77777777" w:rsidR="007545CB" w:rsidRPr="00FF2DF3" w:rsidRDefault="007545CB" w:rsidP="007545CB">
      <w:pPr>
        <w:pStyle w:val="ONUMFS"/>
        <w:numPr>
          <w:ilvl w:val="0"/>
          <w:numId w:val="29"/>
        </w:numPr>
      </w:pPr>
      <w:r w:rsidRPr="00FF2DF3">
        <w:t>Las oficinas de PI y otras instituciones beneficiarias establecieron redes duraderas y concedieron mayor prioridad a las cuestiones de PI;</w:t>
      </w:r>
    </w:p>
    <w:p w14:paraId="7A4674D6" w14:textId="2696088E" w:rsidR="007545CB" w:rsidRPr="00FF2DF3" w:rsidRDefault="007545CB" w:rsidP="007545CB">
      <w:pPr>
        <w:pStyle w:val="ONUMFS"/>
        <w:numPr>
          <w:ilvl w:val="0"/>
          <w:numId w:val="29"/>
        </w:numPr>
      </w:pPr>
      <w:r w:rsidRPr="00FF2DF3">
        <w:t xml:space="preserve">Las bases de datos a nivel nacional </w:t>
      </w:r>
      <w:r w:rsidR="000A75A4" w:rsidRPr="00FF2DF3">
        <w:t xml:space="preserve">mejoraron </w:t>
      </w:r>
      <w:r w:rsidRPr="00FF2DF3">
        <w:t xml:space="preserve">en cuanto a calidad y disponibilidad de datos, lo que fomentó el uso de datos económicos para la </w:t>
      </w:r>
      <w:r w:rsidR="00C42F1B" w:rsidRPr="00FF2DF3">
        <w:t>formulación</w:t>
      </w:r>
      <w:r w:rsidRPr="00FF2DF3">
        <w:t xml:space="preserve"> de políticas;</w:t>
      </w:r>
    </w:p>
    <w:p w14:paraId="7BFD2F59" w14:textId="1461CAD3" w:rsidR="007545CB" w:rsidRPr="00FF2DF3" w:rsidRDefault="0071777D" w:rsidP="007545CB">
      <w:pPr>
        <w:pStyle w:val="ONUMFS"/>
        <w:numPr>
          <w:ilvl w:val="0"/>
          <w:numId w:val="29"/>
        </w:numPr>
      </w:pPr>
      <w:r w:rsidRPr="00FF2DF3">
        <w:t>L</w:t>
      </w:r>
      <w:r w:rsidR="00BA7FEE" w:rsidRPr="00FF2DF3">
        <w:t>os investigadores y encargados de formular políticas</w:t>
      </w:r>
      <w:r w:rsidR="007545CB" w:rsidRPr="00FF2DF3">
        <w:t xml:space="preserve"> </w:t>
      </w:r>
      <w:r w:rsidRPr="00FF2DF3">
        <w:t xml:space="preserve">experimentaron </w:t>
      </w:r>
      <w:r w:rsidR="00EF633F" w:rsidRPr="00FF2DF3">
        <w:t xml:space="preserve">un cambio conceptual </w:t>
      </w:r>
      <w:r w:rsidR="0021465D" w:rsidRPr="00FF2DF3">
        <w:t xml:space="preserve">en </w:t>
      </w:r>
      <w:r w:rsidRPr="00FF2DF3">
        <w:t xml:space="preserve">conocimientos, comprensión y actitudes </w:t>
      </w:r>
      <w:r w:rsidR="0021465D" w:rsidRPr="00FF2DF3">
        <w:t xml:space="preserve">respecto de </w:t>
      </w:r>
      <w:r w:rsidR="007545CB" w:rsidRPr="00FF2DF3">
        <w:t>los beneficios económicos y la importancia de la innovación para el desarrollo socioeconómico;</w:t>
      </w:r>
    </w:p>
    <w:p w14:paraId="3B0E620B" w14:textId="77777777" w:rsidR="007545CB" w:rsidRPr="00FF2DF3" w:rsidRDefault="007545CB" w:rsidP="007545CB">
      <w:pPr>
        <w:pStyle w:val="ONUMFS"/>
        <w:numPr>
          <w:ilvl w:val="0"/>
          <w:numId w:val="29"/>
        </w:numPr>
      </w:pPr>
      <w:r w:rsidRPr="00FF2DF3">
        <w:t>La capacidad analítica creada a nivel nacional sirvió para fundamentar la toma de decisiones y la formulación de políticas;</w:t>
      </w:r>
    </w:p>
    <w:p w14:paraId="31D40B73" w14:textId="11168CE6" w:rsidR="007545CB" w:rsidRPr="00FF2DF3" w:rsidRDefault="007545CB" w:rsidP="007545CB">
      <w:pPr>
        <w:pStyle w:val="ONUMFS"/>
        <w:numPr>
          <w:ilvl w:val="0"/>
          <w:numId w:val="29"/>
        </w:numPr>
      </w:pPr>
      <w:r w:rsidRPr="00FF2DF3">
        <w:t xml:space="preserve">Las autoridades gubernamentales y el sector privado aumentaron sus inversiones en materia de </w:t>
      </w:r>
      <w:r w:rsidR="00700197" w:rsidRPr="00FF2DF3">
        <w:t>reglamentación</w:t>
      </w:r>
      <w:r w:rsidRPr="00FF2DF3">
        <w:t xml:space="preserve"> y </w:t>
      </w:r>
      <w:r w:rsidR="00B2393B" w:rsidRPr="00FF2DF3">
        <w:t xml:space="preserve">uso </w:t>
      </w:r>
      <w:r w:rsidRPr="00FF2DF3">
        <w:t xml:space="preserve">de la PI. </w:t>
      </w:r>
    </w:p>
    <w:p w14:paraId="2EC8113F" w14:textId="00F71DA9" w:rsidR="007545CB" w:rsidRPr="00FF2DF3" w:rsidRDefault="007545CB" w:rsidP="007545CB">
      <w:pPr>
        <w:pStyle w:val="ONUMFS"/>
        <w:numPr>
          <w:ilvl w:val="0"/>
          <w:numId w:val="0"/>
        </w:numPr>
        <w:rPr>
          <w:b/>
          <w:bCs/>
        </w:rPr>
      </w:pPr>
      <w:r w:rsidRPr="00FF2DF3">
        <w:rPr>
          <w:b/>
        </w:rPr>
        <w:t xml:space="preserve">Conclusión 2: El contexto de ejecución del proyecto fue complejo. </w:t>
      </w:r>
    </w:p>
    <w:p w14:paraId="4C4A68E4" w14:textId="6EFA711E" w:rsidR="007545CB" w:rsidRPr="00FF2DF3" w:rsidRDefault="007545CB" w:rsidP="007545CB">
      <w:pPr>
        <w:pStyle w:val="ONUMFS"/>
      </w:pPr>
      <w:r w:rsidRPr="00FF2DF3">
        <w:t xml:space="preserve">El proyecto se llevó a cabo en un gran número de países </w:t>
      </w:r>
      <w:r w:rsidR="005B0739" w:rsidRPr="00FF2DF3">
        <w:t xml:space="preserve">con diferentes </w:t>
      </w:r>
      <w:r w:rsidRPr="00FF2DF3">
        <w:t xml:space="preserve">necesidades y entornos de aplicación. </w:t>
      </w:r>
      <w:r w:rsidR="0014529A" w:rsidRPr="00FF2DF3">
        <w:t xml:space="preserve">Aunque </w:t>
      </w:r>
      <w:r w:rsidRPr="00FF2DF3">
        <w:t xml:space="preserve">los países beneficiarios hicieron suyo el proyecto en un alto grado, la realización de evaluaciones de </w:t>
      </w:r>
      <w:r w:rsidR="005C43FB" w:rsidRPr="00FF2DF3">
        <w:t xml:space="preserve">la </w:t>
      </w:r>
      <w:r w:rsidRPr="00FF2DF3">
        <w:t>viabilidad</w:t>
      </w:r>
      <w:r w:rsidR="005C43FB" w:rsidRPr="00FF2DF3">
        <w:t xml:space="preserve"> o de las </w:t>
      </w:r>
      <w:r w:rsidRPr="00FF2DF3">
        <w:t xml:space="preserve">necesidades </w:t>
      </w:r>
      <w:r w:rsidR="00CD0CFA" w:rsidRPr="00FF2DF3">
        <w:t xml:space="preserve">que sirvieran </w:t>
      </w:r>
      <w:r w:rsidR="00CF6162" w:rsidRPr="00FF2DF3">
        <w:t xml:space="preserve">para fundamentar las </w:t>
      </w:r>
      <w:r w:rsidRPr="00FF2DF3">
        <w:t>teorías del cambio anidadas de</w:t>
      </w:r>
      <w:r w:rsidR="00A069A3" w:rsidRPr="00FF2DF3">
        <w:t xml:space="preserve"> </w:t>
      </w:r>
      <w:r w:rsidR="00DF342C" w:rsidRPr="00FF2DF3">
        <w:t xml:space="preserve">los </w:t>
      </w:r>
      <w:r w:rsidRPr="00FF2DF3">
        <w:t>país</w:t>
      </w:r>
      <w:r w:rsidR="00DF342C" w:rsidRPr="00FF2DF3">
        <w:t>es</w:t>
      </w:r>
      <w:r w:rsidRPr="00FF2DF3">
        <w:t xml:space="preserve"> podrían haber contribuido a </w:t>
      </w:r>
      <w:r w:rsidR="00CF6CD3" w:rsidRPr="00FF2DF3">
        <w:t xml:space="preserve">adoptar </w:t>
      </w:r>
      <w:r w:rsidRPr="00FF2DF3">
        <w:t xml:space="preserve">un enfoque más estratégico respecto del fortalecimiento de capacidades, la gestión y el establecimiento de objetivos en materia de impacto. Además, si bien el proyecto tuvo efectos significativos, estos podrían haber sido ser mucho mayores si la Administración hubiera proporcionado una respuesta formal a las recomendaciones de las evaluaciones anteriores (documentos CDIP/14/3 y CDIP/22/9 Rev.). </w:t>
      </w:r>
    </w:p>
    <w:p w14:paraId="5DA6C5D9" w14:textId="7C53CBDC" w:rsidR="007545CB" w:rsidRPr="00FF2DF3" w:rsidRDefault="007545CB" w:rsidP="007545CB">
      <w:pPr>
        <w:pStyle w:val="ONUMFS"/>
        <w:keepNext/>
        <w:keepLines/>
        <w:numPr>
          <w:ilvl w:val="0"/>
          <w:numId w:val="0"/>
        </w:numPr>
      </w:pPr>
      <w:r w:rsidRPr="00FF2DF3">
        <w:rPr>
          <w:b/>
        </w:rPr>
        <w:t xml:space="preserve">Conclusión 3: </w:t>
      </w:r>
      <w:r w:rsidR="007D3AEE" w:rsidRPr="00FF2DF3">
        <w:rPr>
          <w:b/>
        </w:rPr>
        <w:t xml:space="preserve">Se </w:t>
      </w:r>
      <w:r w:rsidR="00647400" w:rsidRPr="00FF2DF3">
        <w:rPr>
          <w:b/>
        </w:rPr>
        <w:t>produjeron</w:t>
      </w:r>
      <w:r w:rsidRPr="00FF2DF3">
        <w:rPr>
          <w:b/>
        </w:rPr>
        <w:t xml:space="preserve"> efectos una vez finalizado el ciclo de ejecución del proyecto, a menudo </w:t>
      </w:r>
      <w:r w:rsidR="005B38C2" w:rsidRPr="00FF2DF3">
        <w:rPr>
          <w:b/>
        </w:rPr>
        <w:t xml:space="preserve">en el marco de </w:t>
      </w:r>
      <w:r w:rsidRPr="00FF2DF3">
        <w:rPr>
          <w:b/>
        </w:rPr>
        <w:t xml:space="preserve">un proceso </w:t>
      </w:r>
      <w:r w:rsidR="00CD452D" w:rsidRPr="00FF2DF3">
        <w:rPr>
          <w:b/>
        </w:rPr>
        <w:t xml:space="preserve">de </w:t>
      </w:r>
      <w:r w:rsidRPr="00FF2DF3">
        <w:rPr>
          <w:b/>
        </w:rPr>
        <w:t>seguimiento del impacto.</w:t>
      </w:r>
      <w:r w:rsidRPr="00FF2DF3">
        <w:t xml:space="preserve"> </w:t>
      </w:r>
    </w:p>
    <w:p w14:paraId="6200F98F" w14:textId="6712BC4C" w:rsidR="007545CB" w:rsidRPr="00FF2DF3" w:rsidRDefault="007545CB" w:rsidP="007545CB">
      <w:pPr>
        <w:pStyle w:val="ONUMFS"/>
      </w:pPr>
      <w:r w:rsidRPr="00FF2DF3">
        <w:t xml:space="preserve">El seguimiento del impacto es un proceso </w:t>
      </w:r>
      <w:r w:rsidR="001F5204" w:rsidRPr="00FF2DF3">
        <w:t xml:space="preserve">de </w:t>
      </w:r>
      <w:r w:rsidR="00DA6664" w:rsidRPr="00FF2DF3">
        <w:t>ampliación d</w:t>
      </w:r>
      <w:r w:rsidR="004D05DD" w:rsidRPr="00FF2DF3">
        <w:t xml:space="preserve">el uso de </w:t>
      </w:r>
      <w:r w:rsidRPr="00FF2DF3">
        <w:t>la</w:t>
      </w:r>
      <w:r w:rsidR="00DA6664" w:rsidRPr="00FF2DF3">
        <w:t>s</w:t>
      </w:r>
      <w:r w:rsidRPr="00FF2DF3">
        <w:t xml:space="preserve"> </w:t>
      </w:r>
      <w:r w:rsidR="002D3949" w:rsidRPr="00FF2DF3">
        <w:t>innovaci</w:t>
      </w:r>
      <w:r w:rsidR="00DA6664" w:rsidRPr="00FF2DF3">
        <w:t>ones</w:t>
      </w:r>
      <w:r w:rsidR="002D3949" w:rsidRPr="00FF2DF3">
        <w:t xml:space="preserve"> </w:t>
      </w:r>
      <w:r w:rsidRPr="00FF2DF3">
        <w:t xml:space="preserve">en contextos complejos a lo largo de un periodo prolongado, durante el cual los investigadores de alto nivel y las partes interesadas </w:t>
      </w:r>
      <w:r w:rsidR="00FB48C3" w:rsidRPr="00FF2DF3">
        <w:t>bien informadas</w:t>
      </w:r>
      <w:r w:rsidRPr="00FF2DF3">
        <w:t xml:space="preserve"> </w:t>
      </w:r>
      <w:r w:rsidR="00F57E59" w:rsidRPr="00FF2DF3">
        <w:t xml:space="preserve">se comportan en sus redes profesionales </w:t>
      </w:r>
      <w:r w:rsidR="008D2BC7" w:rsidRPr="00FF2DF3">
        <w:t xml:space="preserve">de </w:t>
      </w:r>
      <w:r w:rsidR="007E2DD5" w:rsidRPr="00FF2DF3">
        <w:t xml:space="preserve">manera </w:t>
      </w:r>
      <w:r w:rsidR="00E668E7" w:rsidRPr="00FF2DF3">
        <w:t xml:space="preserve">similar </w:t>
      </w:r>
      <w:r w:rsidR="00C70C51" w:rsidRPr="00FF2DF3">
        <w:t>a los</w:t>
      </w:r>
      <w:r w:rsidR="008D2BC7" w:rsidRPr="00FF2DF3">
        <w:t xml:space="preserve"> </w:t>
      </w:r>
      <w:r w:rsidR="00EE2FCD" w:rsidRPr="00FF2DF3">
        <w:t>“promo</w:t>
      </w:r>
      <w:r w:rsidR="0058720D" w:rsidRPr="00FF2DF3">
        <w:t xml:space="preserve">tores </w:t>
      </w:r>
      <w:r w:rsidR="00EE2FCD" w:rsidRPr="00FF2DF3">
        <w:t>de productos”</w:t>
      </w:r>
      <w:r w:rsidR="00E01DF5" w:rsidRPr="00FF2DF3">
        <w:t>,</w:t>
      </w:r>
      <w:r w:rsidR="001F0E85" w:rsidRPr="00FF2DF3">
        <w:t xml:space="preserve"> </w:t>
      </w:r>
      <w:r w:rsidR="00C71600" w:rsidRPr="00FF2DF3">
        <w:t xml:space="preserve">con el fin de </w:t>
      </w:r>
      <w:r w:rsidR="00F43296" w:rsidRPr="00FF2DF3">
        <w:t>aprovechar</w:t>
      </w:r>
      <w:r w:rsidR="00EE2FCD" w:rsidRPr="00FF2DF3">
        <w:t xml:space="preserve"> las ventanas de oportunidad </w:t>
      </w:r>
      <w:r w:rsidR="00F43296" w:rsidRPr="00FF2DF3">
        <w:t xml:space="preserve">y </w:t>
      </w:r>
      <w:r w:rsidR="00321AB4" w:rsidRPr="00FF2DF3">
        <w:t xml:space="preserve">ampliar </w:t>
      </w:r>
      <w:r w:rsidR="00F43296" w:rsidRPr="00FF2DF3">
        <w:t xml:space="preserve">así </w:t>
      </w:r>
      <w:r w:rsidR="00321AB4" w:rsidRPr="00FF2DF3">
        <w:t xml:space="preserve">el alcance de la </w:t>
      </w:r>
      <w:r w:rsidR="00FF0B58" w:rsidRPr="00FF2DF3">
        <w:t>innovación</w:t>
      </w:r>
      <w:r w:rsidRPr="00FF2DF3">
        <w:t xml:space="preserve">. En este caso, </w:t>
      </w:r>
      <w:r w:rsidR="001A69C7" w:rsidRPr="00FF2DF3">
        <w:t>el propio proyecto</w:t>
      </w:r>
      <w:r w:rsidR="00287043" w:rsidRPr="00FF2DF3">
        <w:t xml:space="preserve"> no es el camino para lograr el impacto</w:t>
      </w:r>
      <w:r w:rsidR="009B4224" w:rsidRPr="00FF2DF3">
        <w:t xml:space="preserve">, </w:t>
      </w:r>
      <w:r w:rsidRPr="00FF2DF3">
        <w:t xml:space="preserve">sino </w:t>
      </w:r>
      <w:r w:rsidR="007A1152" w:rsidRPr="00FF2DF3">
        <w:t xml:space="preserve">el hecho de </w:t>
      </w:r>
      <w:r w:rsidRPr="00FF2DF3">
        <w:t>amplia</w:t>
      </w:r>
      <w:r w:rsidR="00F24C3D" w:rsidRPr="00FF2DF3">
        <w:t>r</w:t>
      </w:r>
      <w:r w:rsidRPr="00FF2DF3">
        <w:t xml:space="preserve"> </w:t>
      </w:r>
      <w:r w:rsidR="00427CBD" w:rsidRPr="00FF2DF3">
        <w:t xml:space="preserve">el alcance </w:t>
      </w:r>
      <w:r w:rsidR="001C0870" w:rsidRPr="00FF2DF3">
        <w:t xml:space="preserve">y </w:t>
      </w:r>
      <w:r w:rsidR="00E50CC1" w:rsidRPr="00FF2DF3">
        <w:t>ejerce</w:t>
      </w:r>
      <w:r w:rsidR="00F24C3D" w:rsidRPr="00FF2DF3">
        <w:t>r</w:t>
      </w:r>
      <w:r w:rsidR="00E50CC1" w:rsidRPr="00FF2DF3">
        <w:t xml:space="preserve"> </w:t>
      </w:r>
      <w:r w:rsidRPr="00FF2DF3">
        <w:t xml:space="preserve">influencia </w:t>
      </w:r>
      <w:r w:rsidR="00E945B4" w:rsidRPr="00FF2DF3">
        <w:t xml:space="preserve">con miras a </w:t>
      </w:r>
      <w:r w:rsidRPr="00FF2DF3">
        <w:t>lograr el impacto deseado cuando y donde se presente la oportunidad</w:t>
      </w:r>
      <w:r w:rsidR="00C059C2" w:rsidRPr="00FF2DF3">
        <w:t>,</w:t>
      </w:r>
      <w:r w:rsidR="00B87FC6" w:rsidRPr="00FF2DF3">
        <w:t xml:space="preserve"> </w:t>
      </w:r>
      <w:r w:rsidR="00CC1A08" w:rsidRPr="00FF2DF3">
        <w:t>adaptando las</w:t>
      </w:r>
      <w:r w:rsidR="00302A23" w:rsidRPr="00FF2DF3">
        <w:t xml:space="preserve"> </w:t>
      </w:r>
      <w:r w:rsidRPr="00FF2DF3">
        <w:t>actividades</w:t>
      </w:r>
      <w:r w:rsidR="00E945B4" w:rsidRPr="00FF2DF3">
        <w:t xml:space="preserve"> de investigación avanzada</w:t>
      </w:r>
      <w:r w:rsidRPr="00FF2DF3">
        <w:t xml:space="preserve">, </w:t>
      </w:r>
      <w:r w:rsidR="00CC1A08" w:rsidRPr="00FF2DF3">
        <w:t xml:space="preserve">el </w:t>
      </w:r>
      <w:r w:rsidR="00E945B4" w:rsidRPr="00FF2DF3">
        <w:t xml:space="preserve">fortalecimiento de </w:t>
      </w:r>
      <w:r w:rsidRPr="00FF2DF3">
        <w:t xml:space="preserve">capacidades y </w:t>
      </w:r>
      <w:r w:rsidR="00CC1A08" w:rsidRPr="00FF2DF3">
        <w:t xml:space="preserve">el uso de las </w:t>
      </w:r>
      <w:r w:rsidRPr="00FF2DF3">
        <w:t xml:space="preserve">redes profesionales </w:t>
      </w:r>
      <w:r w:rsidR="00435DF8" w:rsidRPr="00FF2DF3">
        <w:t>a</w:t>
      </w:r>
      <w:r w:rsidRPr="00FF2DF3">
        <w:t xml:space="preserve"> una demanda concreta </w:t>
      </w:r>
      <w:r w:rsidR="00435DF8" w:rsidRPr="00FF2DF3">
        <w:t xml:space="preserve">de </w:t>
      </w:r>
      <w:r w:rsidRPr="00FF2DF3">
        <w:t>los próximos usuarios (por ejemplo, los gobiernos, el sector privado, las organizaciones no gubernamentales internacionales, etc.).</w:t>
      </w:r>
    </w:p>
    <w:p w14:paraId="5A72DA15" w14:textId="4C51436F" w:rsidR="007545CB" w:rsidRPr="00FF2DF3" w:rsidRDefault="007545CB" w:rsidP="007545CB">
      <w:pPr>
        <w:pStyle w:val="ONUMFS"/>
        <w:numPr>
          <w:ilvl w:val="0"/>
          <w:numId w:val="0"/>
        </w:numPr>
      </w:pPr>
      <w:r w:rsidRPr="00FF2DF3">
        <w:rPr>
          <w:b/>
        </w:rPr>
        <w:t xml:space="preserve">Conclusión 4: El fortalecimiento de capacidades </w:t>
      </w:r>
      <w:r w:rsidR="00D477C6" w:rsidRPr="00FF2DF3">
        <w:rPr>
          <w:b/>
        </w:rPr>
        <w:t>fue más eficaz</w:t>
      </w:r>
      <w:r w:rsidR="005925F2" w:rsidRPr="00FF2DF3">
        <w:rPr>
          <w:b/>
        </w:rPr>
        <w:t xml:space="preserve"> a nivel </w:t>
      </w:r>
      <w:r w:rsidR="008709B6" w:rsidRPr="00FF2DF3">
        <w:rPr>
          <w:b/>
        </w:rPr>
        <w:t>individual</w:t>
      </w:r>
      <w:r w:rsidRPr="00FF2DF3">
        <w:rPr>
          <w:b/>
        </w:rPr>
        <w:t>.</w:t>
      </w:r>
      <w:r w:rsidRPr="00FF2DF3">
        <w:t xml:space="preserve"> </w:t>
      </w:r>
    </w:p>
    <w:p w14:paraId="0325507E" w14:textId="53208625" w:rsidR="007545CB" w:rsidRPr="00FF2DF3" w:rsidRDefault="007545CB" w:rsidP="007545CB">
      <w:pPr>
        <w:pStyle w:val="ONUMFS"/>
        <w:spacing w:after="0"/>
      </w:pPr>
      <w:r w:rsidRPr="00FF2DF3">
        <w:t xml:space="preserve">Si bien las oficinas de PI y las instituciones asociadas se beneficiaron de los productos obtenidos a partir de la investigación (conjuntos de datos, análisis de políticas, reconocimiento de la importancia de las cuestiones de PI, etc.), solo unas pocas personas de cada país destinatario se beneficiaron de un modo sustantivo (por ejemplo, </w:t>
      </w:r>
      <w:r w:rsidR="00EC2FE8" w:rsidRPr="00FF2DF3">
        <w:t>mediante los</w:t>
      </w:r>
      <w:r w:rsidRPr="00FF2DF3">
        <w:t xml:space="preserve"> datos de investigación </w:t>
      </w:r>
      <w:r w:rsidR="005D675A" w:rsidRPr="00FF2DF3">
        <w:t>necesarios</w:t>
      </w:r>
      <w:r w:rsidR="00CB70B6" w:rsidRPr="00FF2DF3">
        <w:t xml:space="preserve"> </w:t>
      </w:r>
      <w:r w:rsidRPr="00FF2DF3">
        <w:t xml:space="preserve">para </w:t>
      </w:r>
      <w:r w:rsidR="005D675A" w:rsidRPr="00FF2DF3">
        <w:t>obtener</w:t>
      </w:r>
      <w:r w:rsidRPr="00FF2DF3">
        <w:t xml:space="preserve"> un doctorado). Una estrategia de fortalecimiento de capacidades acorde con el mandato del proyecto ayudaría a garantizar que las actividades en ese ámbito sean adecuadas para lograr los efectos deseados (por ejemplo, brindar un apoyo complementario durante un periodo prolongado es más probable que </w:t>
      </w:r>
      <w:r w:rsidR="003B03B9" w:rsidRPr="00FF2DF3">
        <w:t xml:space="preserve">promueva el cambio de </w:t>
      </w:r>
      <w:r w:rsidRPr="00FF2DF3">
        <w:t xml:space="preserve">prácticas y </w:t>
      </w:r>
      <w:r w:rsidR="003B03B9" w:rsidRPr="00FF2DF3">
        <w:t xml:space="preserve">el uso de las </w:t>
      </w:r>
      <w:r w:rsidRPr="00FF2DF3">
        <w:t xml:space="preserve">nuevas competencias a más largo plazo). </w:t>
      </w:r>
    </w:p>
    <w:p w14:paraId="498DA4B9" w14:textId="77777777" w:rsidR="007545CB" w:rsidRPr="00FF2DF3" w:rsidRDefault="007545CB" w:rsidP="007545CB">
      <w:pPr>
        <w:pStyle w:val="Heading2"/>
        <w:numPr>
          <w:ilvl w:val="0"/>
          <w:numId w:val="8"/>
        </w:numPr>
        <w:tabs>
          <w:tab w:val="clear" w:pos="567"/>
        </w:tabs>
        <w:spacing w:after="240"/>
        <w:ind w:left="562"/>
      </w:pPr>
      <w:bookmarkStart w:id="23" w:name="_Toc140224969"/>
      <w:bookmarkStart w:id="24" w:name="_Toc146102842"/>
      <w:r w:rsidRPr="00FF2DF3">
        <w:t>Recomendaciones</w:t>
      </w:r>
      <w:bookmarkEnd w:id="23"/>
      <w:bookmarkEnd w:id="24"/>
    </w:p>
    <w:p w14:paraId="59F53AD4" w14:textId="27F0EB4C" w:rsidR="007545CB" w:rsidRPr="00FF2DF3" w:rsidRDefault="007545CB" w:rsidP="007545CB">
      <w:pPr>
        <w:pStyle w:val="ONUMFS"/>
      </w:pPr>
      <w:r w:rsidRPr="00FF2DF3">
        <w:t xml:space="preserve">El proyecto </w:t>
      </w:r>
      <w:r w:rsidR="00877161" w:rsidRPr="00FF2DF3">
        <w:t>finalizó</w:t>
      </w:r>
      <w:r w:rsidRPr="00FF2DF3">
        <w:t xml:space="preserve"> en 2018, y durante los años transcurridos</w:t>
      </w:r>
      <w:r w:rsidR="00A51A4E" w:rsidRPr="00FF2DF3">
        <w:t>,</w:t>
      </w:r>
      <w:r w:rsidRPr="00FF2DF3">
        <w:t xml:space="preserve"> la OMPI ha crecido como institución y ha experimentado muchos cambios. </w:t>
      </w:r>
      <w:r w:rsidR="00BC71E5" w:rsidRPr="00FF2DF3">
        <w:t>De acuerdo con</w:t>
      </w:r>
      <w:r w:rsidR="00B05FB1" w:rsidRPr="00FF2DF3">
        <w:t xml:space="preserve"> la</w:t>
      </w:r>
      <w:r w:rsidRPr="00FF2DF3">
        <w:t xml:space="preserve"> información recabada de los informantes clave</w:t>
      </w:r>
      <w:r w:rsidR="00BC71E5" w:rsidRPr="00FF2DF3">
        <w:t>,</w:t>
      </w:r>
      <w:r w:rsidR="00E30B2C" w:rsidRPr="00FF2DF3">
        <w:t xml:space="preserve"> </w:t>
      </w:r>
      <w:r w:rsidRPr="00FF2DF3">
        <w:t>algunas de las recomendaciones que figuran a continuación ya se han aplicado en su totalidad o en parte. No obstante, sobre la base de las conclusiones anteriores, se formulan las siguientes recomendaciones</w:t>
      </w:r>
      <w:r w:rsidRPr="00FF2DF3">
        <w:rPr>
          <w:rStyle w:val="CommentReference"/>
        </w:rPr>
        <w:t xml:space="preserve"> </w:t>
      </w:r>
      <w:r w:rsidRPr="00FF2DF3">
        <w:t xml:space="preserve">a la OMPI y, en concreto, a la Oficina del Economista Jefe para su aplicación en futuros proyectos </w:t>
      </w:r>
      <w:r w:rsidR="00463F2D" w:rsidRPr="00FF2DF3">
        <w:t>con</w:t>
      </w:r>
      <w:r w:rsidRPr="00FF2DF3">
        <w:t xml:space="preserve"> objetivos de alto nivel similares. </w:t>
      </w:r>
    </w:p>
    <w:p w14:paraId="2FDEBDE5" w14:textId="77777777" w:rsidR="007545CB" w:rsidRPr="00FF2DF3" w:rsidRDefault="007545CB" w:rsidP="007545CB">
      <w:pPr>
        <w:widowControl w:val="0"/>
        <w:numPr>
          <w:ilvl w:val="0"/>
          <w:numId w:val="9"/>
        </w:numPr>
        <w:tabs>
          <w:tab w:val="left" w:pos="567"/>
        </w:tabs>
        <w:spacing w:after="220" w:line="260" w:lineRule="atLeast"/>
        <w:ind w:left="576" w:hanging="288"/>
        <w:rPr>
          <w:b/>
          <w:bCs/>
          <w:szCs w:val="22"/>
        </w:rPr>
      </w:pPr>
      <w:r w:rsidRPr="00FF2DF3">
        <w:rPr>
          <w:b/>
        </w:rPr>
        <w:t>Planificar para lograr efectos específicos en cada contexto.</w:t>
      </w:r>
    </w:p>
    <w:p w14:paraId="0F27BCBB" w14:textId="77777777" w:rsidR="007545CB" w:rsidRPr="00FF2DF3" w:rsidRDefault="007545CB" w:rsidP="00830789">
      <w:pPr>
        <w:widowControl w:val="0"/>
        <w:numPr>
          <w:ilvl w:val="0"/>
          <w:numId w:val="10"/>
        </w:numPr>
        <w:tabs>
          <w:tab w:val="clear" w:pos="600"/>
        </w:tabs>
        <w:spacing w:after="120"/>
        <w:ind w:left="605"/>
      </w:pPr>
      <w:r w:rsidRPr="00FF2DF3">
        <w:t>Durante la fase inicial del proyecto, llevar a cabo un estudio de viabilidad en cada país para determinar los riesgos y las medidas de mitigación;</w:t>
      </w:r>
    </w:p>
    <w:p w14:paraId="028010CD" w14:textId="78216BBA" w:rsidR="007545CB" w:rsidRPr="00FF2DF3" w:rsidRDefault="007545CB" w:rsidP="00830789">
      <w:pPr>
        <w:widowControl w:val="0"/>
        <w:numPr>
          <w:ilvl w:val="0"/>
          <w:numId w:val="10"/>
        </w:numPr>
        <w:tabs>
          <w:tab w:val="clear" w:pos="600"/>
        </w:tabs>
        <w:spacing w:after="120" w:line="260" w:lineRule="atLeast"/>
        <w:ind w:left="605"/>
      </w:pPr>
      <w:r w:rsidRPr="00FF2DF3">
        <w:t xml:space="preserve">Sobre la base del estudio de viabilidad y de las aportaciones de las partes interesadas, elaborar teorías del cambio anidadas para cada país con objetivos específicos en materia de </w:t>
      </w:r>
      <w:r w:rsidR="00AA002B" w:rsidRPr="00FF2DF3">
        <w:t>impacto</w:t>
      </w:r>
      <w:r w:rsidRPr="00FF2DF3">
        <w:t xml:space="preserve"> para cada contexto;</w:t>
      </w:r>
    </w:p>
    <w:p w14:paraId="06114B2A" w14:textId="2A82EEA1" w:rsidR="007545CB" w:rsidRPr="00FF2DF3" w:rsidRDefault="007545CB" w:rsidP="00830789">
      <w:pPr>
        <w:widowControl w:val="0"/>
        <w:numPr>
          <w:ilvl w:val="0"/>
          <w:numId w:val="10"/>
        </w:numPr>
        <w:tabs>
          <w:tab w:val="clear" w:pos="600"/>
        </w:tabs>
        <w:spacing w:after="120" w:line="260" w:lineRule="atLeast"/>
        <w:ind w:left="605"/>
      </w:pPr>
      <w:r w:rsidRPr="00FF2DF3">
        <w:t>En consonancia con las teorías del cambio de</w:t>
      </w:r>
      <w:r w:rsidR="00AA002B" w:rsidRPr="00FF2DF3">
        <w:t xml:space="preserve"> cada</w:t>
      </w:r>
      <w:r w:rsidRPr="00FF2DF3">
        <w:t xml:space="preserve"> país, elaborar una estrategia de fortalecimiento de capacidades que garantice que las actividades en ese ámbito logren efectos directos y el impacto deseado.</w:t>
      </w:r>
    </w:p>
    <w:p w14:paraId="607D30B2" w14:textId="527DF54B" w:rsidR="007545CB" w:rsidRPr="00FF2DF3" w:rsidRDefault="007545CB" w:rsidP="00830789">
      <w:pPr>
        <w:widowControl w:val="0"/>
        <w:numPr>
          <w:ilvl w:val="0"/>
          <w:numId w:val="10"/>
        </w:numPr>
        <w:tabs>
          <w:tab w:val="clear" w:pos="600"/>
        </w:tabs>
        <w:spacing w:after="220"/>
        <w:ind w:left="605"/>
      </w:pPr>
      <w:r w:rsidRPr="00FF2DF3">
        <w:t xml:space="preserve">Reconociendo que pueden producirse efectos mucho después del ciclo de ejecución del proyecto, invertir en la sostenibilidad de los resultados (por ejemplo, en promotores de productos, fortalecimiento </w:t>
      </w:r>
      <w:r w:rsidR="00AD1726" w:rsidRPr="00FF2DF3">
        <w:t>de las capacidades institucionales</w:t>
      </w:r>
      <w:r w:rsidRPr="00FF2DF3">
        <w:t>, financiación sostenible de las actividades de investigación).</w:t>
      </w:r>
    </w:p>
    <w:p w14:paraId="3DC21477" w14:textId="77777777" w:rsidR="007545CB" w:rsidRPr="00FF2DF3" w:rsidRDefault="007545CB" w:rsidP="007545CB">
      <w:pPr>
        <w:widowControl w:val="0"/>
        <w:numPr>
          <w:ilvl w:val="0"/>
          <w:numId w:val="9"/>
        </w:numPr>
        <w:tabs>
          <w:tab w:val="left" w:pos="567"/>
        </w:tabs>
        <w:spacing w:after="220" w:line="260" w:lineRule="atLeast"/>
        <w:ind w:left="576" w:hanging="288"/>
        <w:rPr>
          <w:b/>
          <w:bCs/>
          <w:szCs w:val="22"/>
        </w:rPr>
      </w:pPr>
      <w:r w:rsidRPr="00FF2DF3">
        <w:rPr>
          <w:b/>
        </w:rPr>
        <w:t>Concebir un enfoque más estratégico para difundir los resultados.</w:t>
      </w:r>
    </w:p>
    <w:p w14:paraId="5997F4CB" w14:textId="40EE0F90" w:rsidR="007545CB" w:rsidRPr="00FF2DF3" w:rsidRDefault="000A5E94" w:rsidP="007545CB">
      <w:pPr>
        <w:widowControl w:val="0"/>
        <w:numPr>
          <w:ilvl w:val="0"/>
          <w:numId w:val="20"/>
        </w:numPr>
        <w:tabs>
          <w:tab w:val="left" w:pos="743"/>
        </w:tabs>
        <w:spacing w:after="220" w:line="260" w:lineRule="atLeast"/>
        <w:ind w:left="605"/>
        <w:rPr>
          <w:szCs w:val="22"/>
        </w:rPr>
      </w:pPr>
      <w:r w:rsidRPr="00FF2DF3">
        <w:t xml:space="preserve">Para </w:t>
      </w:r>
      <w:r w:rsidR="00BB429A" w:rsidRPr="00FF2DF3">
        <w:t>lo</w:t>
      </w:r>
      <w:r w:rsidR="008E322F" w:rsidRPr="00FF2DF3">
        <w:t xml:space="preserve">s </w:t>
      </w:r>
      <w:r w:rsidR="007545CB" w:rsidRPr="00FF2DF3">
        <w:t>proyecto</w:t>
      </w:r>
      <w:r w:rsidR="008E322F" w:rsidRPr="00FF2DF3">
        <w:t>s futuros</w:t>
      </w:r>
      <w:r w:rsidRPr="00FF2DF3">
        <w:t xml:space="preserve">, </w:t>
      </w:r>
      <w:r w:rsidR="007545CB" w:rsidRPr="00FF2DF3">
        <w:t xml:space="preserve">tomar medidas </w:t>
      </w:r>
      <w:r w:rsidR="00BB429A" w:rsidRPr="00FF2DF3">
        <w:t xml:space="preserve">que garanticen </w:t>
      </w:r>
      <w:r w:rsidR="007545CB" w:rsidRPr="00FF2DF3">
        <w:t>una mayor difusión (en los planos nacional y mundial) de los resultados a través de las redes sociales, seminarios web, blogs, artículos periodísticos y revistas académicas</w:t>
      </w:r>
      <w:r w:rsidR="007545CB" w:rsidRPr="00FF2DF3">
        <w:rPr>
          <w:rStyle w:val="FootnoteReference"/>
          <w:szCs w:val="22"/>
          <w:lang w:val="es-ES_tradnl"/>
        </w:rPr>
        <w:footnoteReference w:id="5"/>
      </w:r>
      <w:r w:rsidR="00A752F4" w:rsidRPr="00FF2DF3">
        <w:t>.</w:t>
      </w:r>
    </w:p>
    <w:p w14:paraId="3596E83D" w14:textId="52B13461" w:rsidR="007545CB" w:rsidRPr="00FF2DF3" w:rsidRDefault="007545CB" w:rsidP="007545CB">
      <w:pPr>
        <w:widowControl w:val="0"/>
        <w:numPr>
          <w:ilvl w:val="0"/>
          <w:numId w:val="9"/>
        </w:numPr>
        <w:tabs>
          <w:tab w:val="left" w:pos="567"/>
        </w:tabs>
        <w:spacing w:after="220"/>
        <w:ind w:left="576" w:hanging="288"/>
        <w:rPr>
          <w:b/>
          <w:bCs/>
          <w:szCs w:val="22"/>
        </w:rPr>
      </w:pPr>
      <w:r w:rsidRPr="00FF2DF3">
        <w:rPr>
          <w:b/>
        </w:rPr>
        <w:t xml:space="preserve">Exigir una respuesta formal de la Administración a todas las recomendaciones de </w:t>
      </w:r>
      <w:r w:rsidR="00DB2F51" w:rsidRPr="00FF2DF3">
        <w:rPr>
          <w:b/>
        </w:rPr>
        <w:t xml:space="preserve">las </w:t>
      </w:r>
      <w:r w:rsidRPr="00FF2DF3">
        <w:rPr>
          <w:b/>
        </w:rPr>
        <w:t>evaluaci</w:t>
      </w:r>
      <w:r w:rsidR="00DB2F51" w:rsidRPr="00FF2DF3">
        <w:rPr>
          <w:b/>
        </w:rPr>
        <w:t>ones</w:t>
      </w:r>
      <w:r w:rsidRPr="00FF2DF3">
        <w:rPr>
          <w:b/>
        </w:rPr>
        <w:t xml:space="preserve">. </w:t>
      </w:r>
    </w:p>
    <w:p w14:paraId="7958337D" w14:textId="7E59486C" w:rsidR="007545CB" w:rsidRPr="00FF2DF3" w:rsidRDefault="007E6ADE" w:rsidP="007545CB">
      <w:pPr>
        <w:widowControl w:val="0"/>
        <w:numPr>
          <w:ilvl w:val="0"/>
          <w:numId w:val="24"/>
        </w:numPr>
        <w:tabs>
          <w:tab w:val="left" w:pos="743"/>
        </w:tabs>
        <w:spacing w:after="120" w:line="260" w:lineRule="atLeast"/>
        <w:rPr>
          <w:szCs w:val="22"/>
        </w:rPr>
      </w:pPr>
      <w:r w:rsidRPr="00FF2DF3">
        <w:t>En la medida de lo posible, se</w:t>
      </w:r>
      <w:r w:rsidR="007545CB" w:rsidRPr="00FF2DF3">
        <w:t xml:space="preserve"> debería exigir una respuesta formal de la Administración a todas las recomendaciones de </w:t>
      </w:r>
      <w:r w:rsidR="00DB2F51" w:rsidRPr="00FF2DF3">
        <w:t xml:space="preserve">las </w:t>
      </w:r>
      <w:r w:rsidR="007545CB" w:rsidRPr="00FF2DF3">
        <w:t>evaluaci</w:t>
      </w:r>
      <w:r w:rsidR="00DB2F51" w:rsidRPr="00FF2DF3">
        <w:t>ones</w:t>
      </w:r>
      <w:r w:rsidR="007545CB" w:rsidRPr="00FF2DF3">
        <w:t xml:space="preserve">. Si </w:t>
      </w:r>
      <w:r w:rsidR="00795165" w:rsidRPr="00FF2DF3">
        <w:t xml:space="preserve">no es viable obtener </w:t>
      </w:r>
      <w:r w:rsidR="007545CB" w:rsidRPr="00FF2DF3">
        <w:t>una respuesta formal</w:t>
      </w:r>
      <w:r w:rsidR="00181FE3" w:rsidRPr="00FF2DF3">
        <w:t xml:space="preserve"> </w:t>
      </w:r>
      <w:r w:rsidR="00795165" w:rsidRPr="00FF2DF3">
        <w:t>de la Administración</w:t>
      </w:r>
      <w:r w:rsidR="007545CB" w:rsidRPr="00FF2DF3">
        <w:t xml:space="preserve">, </w:t>
      </w:r>
      <w:r w:rsidR="00BB0586" w:rsidRPr="00FF2DF3">
        <w:t>dichas</w:t>
      </w:r>
      <w:r w:rsidR="007545CB" w:rsidRPr="00FF2DF3">
        <w:t xml:space="preserve"> recomendaciones deben </w:t>
      </w:r>
      <w:r w:rsidR="00795165" w:rsidRPr="00FF2DF3">
        <w:t>tenerse en cuenta</w:t>
      </w:r>
      <w:r w:rsidR="007545CB" w:rsidRPr="00FF2DF3">
        <w:t xml:space="preserve"> </w:t>
      </w:r>
      <w:r w:rsidR="00C379B5" w:rsidRPr="00FF2DF3">
        <w:t xml:space="preserve">en el marco de un </w:t>
      </w:r>
      <w:r w:rsidR="007545CB" w:rsidRPr="00FF2DF3">
        <w:t>proceso formal de aprendizaje y reflexión durante la fase de diseño de proyecto</w:t>
      </w:r>
      <w:r w:rsidR="007F4542" w:rsidRPr="00FF2DF3">
        <w:t>s di</w:t>
      </w:r>
      <w:r w:rsidR="00A34EF8" w:rsidRPr="00FF2DF3">
        <w:t>feridos</w:t>
      </w:r>
      <w:r w:rsidR="007545CB" w:rsidRPr="00FF2DF3">
        <w:t xml:space="preserve">. Los informes del proyecto deben incluir los </w:t>
      </w:r>
      <w:r w:rsidR="00C903CF" w:rsidRPr="00FF2DF3">
        <w:t>progresos</w:t>
      </w:r>
      <w:r w:rsidR="007545CB" w:rsidRPr="00FF2DF3">
        <w:t xml:space="preserve"> en la aplicación de las recomendaciones. </w:t>
      </w:r>
      <w:r w:rsidR="00C903CF" w:rsidRPr="00FF2DF3">
        <w:t xml:space="preserve">El aprendizaje </w:t>
      </w:r>
      <w:r w:rsidR="00C379B5" w:rsidRPr="00FF2DF3">
        <w:t>a partir de</w:t>
      </w:r>
      <w:r w:rsidR="007545CB" w:rsidRPr="00FF2DF3">
        <w:t xml:space="preserve"> las evaluaciones es un paso importante </w:t>
      </w:r>
      <w:r w:rsidR="00641730" w:rsidRPr="00FF2DF3">
        <w:t>hacia el logro del</w:t>
      </w:r>
      <w:r w:rsidR="007545CB" w:rsidRPr="00FF2DF3">
        <w:t xml:space="preserve"> impacto.</w:t>
      </w:r>
    </w:p>
    <w:p w14:paraId="47BC3F9D" w14:textId="77777777" w:rsidR="007545CB" w:rsidRPr="00FF2DF3" w:rsidRDefault="007545CB" w:rsidP="007545CB">
      <w:pPr>
        <w:widowControl w:val="0"/>
        <w:tabs>
          <w:tab w:val="left" w:pos="567"/>
        </w:tabs>
        <w:spacing w:after="120" w:line="260" w:lineRule="atLeast"/>
        <w:ind w:left="567"/>
        <w:rPr>
          <w:szCs w:val="22"/>
        </w:rPr>
      </w:pPr>
    </w:p>
    <w:p w14:paraId="1BE157F5" w14:textId="3F1A2969" w:rsidR="007545CB" w:rsidRPr="00FF2DF3" w:rsidRDefault="007545CB" w:rsidP="00830789">
      <w:pPr>
        <w:pStyle w:val="Heading1"/>
        <w:spacing w:after="240"/>
      </w:pPr>
      <w:r w:rsidRPr="00FF2DF3">
        <w:br w:type="page"/>
      </w:r>
      <w:bookmarkStart w:id="25" w:name="_Toc140224970"/>
      <w:bookmarkStart w:id="26" w:name="_Toc146102843"/>
      <w:r w:rsidR="00830789" w:rsidRPr="00FF2DF3">
        <w:t>2.</w:t>
      </w:r>
      <w:r w:rsidR="00830789" w:rsidRPr="00FF2DF3">
        <w:tab/>
      </w:r>
      <w:r w:rsidRPr="00FF2DF3">
        <w:rPr>
          <w:caps w:val="0"/>
        </w:rPr>
        <w:t>INTRODUCCIÓN</w:t>
      </w:r>
      <w:bookmarkEnd w:id="25"/>
      <w:bookmarkEnd w:id="26"/>
    </w:p>
    <w:p w14:paraId="2EF81764" w14:textId="2103F357" w:rsidR="007545CB" w:rsidRPr="00FF2DF3" w:rsidRDefault="007545CB" w:rsidP="007545CB">
      <w:pPr>
        <w:pStyle w:val="ONUMFS"/>
      </w:pPr>
      <w:r w:rsidRPr="00FF2DF3">
        <w:t>E</w:t>
      </w:r>
      <w:r w:rsidR="00581E1A" w:rsidRPr="00FF2DF3">
        <w:t>n e</w:t>
      </w:r>
      <w:r w:rsidRPr="00FF2DF3">
        <w:t xml:space="preserve">ste informe de evaluación de impacto </w:t>
      </w:r>
      <w:r w:rsidR="00581E1A" w:rsidRPr="00FF2DF3">
        <w:t xml:space="preserve">se </w:t>
      </w:r>
      <w:r w:rsidR="00B54B7C" w:rsidRPr="00FF2DF3">
        <w:t>exponen</w:t>
      </w:r>
      <w:r w:rsidRPr="00FF2DF3">
        <w:t xml:space="preserve"> las constataciones de la evaluación del proyecto sobre </w:t>
      </w:r>
      <w:r w:rsidRPr="00FF2DF3">
        <w:rPr>
          <w:i/>
        </w:rPr>
        <w:t>“Propiedad intelectual y desarrollo socioeconómico”</w:t>
      </w:r>
      <w:r w:rsidRPr="00FF2DF3">
        <w:t xml:space="preserve">. </w:t>
      </w:r>
    </w:p>
    <w:p w14:paraId="7EA61271" w14:textId="4BDE48C6" w:rsidR="007545CB" w:rsidRPr="00FF2DF3" w:rsidRDefault="007545CB" w:rsidP="007545CB">
      <w:pPr>
        <w:pStyle w:val="ONUMFS"/>
      </w:pPr>
      <w:r w:rsidRPr="00FF2DF3">
        <w:t>E</w:t>
      </w:r>
      <w:r w:rsidR="005D3B89" w:rsidRPr="00FF2DF3">
        <w:t xml:space="preserve">ste </w:t>
      </w:r>
      <w:r w:rsidRPr="00FF2DF3">
        <w:t xml:space="preserve">informe </w:t>
      </w:r>
      <w:r w:rsidR="002A2A06" w:rsidRPr="00FF2DF3">
        <w:t>fue elaborado por encargo de la OMPI</w:t>
      </w:r>
      <w:r w:rsidR="00F07171" w:rsidRPr="00FF2DF3">
        <w:t>,</w:t>
      </w:r>
      <w:r w:rsidR="005D3B89" w:rsidRPr="00FF2DF3">
        <w:t xml:space="preserve"> </w:t>
      </w:r>
      <w:r w:rsidR="00241D29" w:rsidRPr="00FF2DF3">
        <w:t xml:space="preserve">en atención </w:t>
      </w:r>
      <w:r w:rsidR="005D3B89" w:rsidRPr="00FF2DF3">
        <w:t>a una solicitud</w:t>
      </w:r>
      <w:r w:rsidRPr="00FF2DF3">
        <w:t xml:space="preserve"> del Comité de Desarrollo y Propiedad Intelectual (CDIP) y con arreglo al mandato de evaluación establecido el 15 de febrero de 2023. </w:t>
      </w:r>
      <w:r w:rsidR="0067493F" w:rsidRPr="00FF2DF3">
        <w:t xml:space="preserve">La recopilación de datos se llevó a cabo </w:t>
      </w:r>
      <w:r w:rsidRPr="00FF2DF3">
        <w:t xml:space="preserve">entre el 6 de junio y el 7 de julio de 2023 </w:t>
      </w:r>
      <w:r w:rsidR="0067493F" w:rsidRPr="00FF2DF3">
        <w:t>y estuvo a cargo</w:t>
      </w:r>
      <w:r w:rsidRPr="00FF2DF3">
        <w:t xml:space="preserve"> </w:t>
      </w:r>
      <w:r w:rsidR="0067493F" w:rsidRPr="00FF2DF3">
        <w:t xml:space="preserve">de </w:t>
      </w:r>
      <w:r w:rsidRPr="00FF2DF3">
        <w:t>un evaluador externo</w:t>
      </w:r>
      <w:r w:rsidR="00774226" w:rsidRPr="00FF2DF3">
        <w:t>,</w:t>
      </w:r>
      <w:r w:rsidRPr="00FF2DF3">
        <w:t xml:space="preserve"> que trabajó en estrecha colaboración con la División de Coordinación de la Agenda para el Desarrollo (DACD) de la OMPI y la Sección de Evaluación de la División de Supervisión Interna (DSI). </w:t>
      </w:r>
    </w:p>
    <w:p w14:paraId="441E8551" w14:textId="31082F71" w:rsidR="007545CB" w:rsidRPr="00FF2DF3" w:rsidRDefault="004A40EB" w:rsidP="007545CB">
      <w:pPr>
        <w:pStyle w:val="ONUMFS"/>
        <w:spacing w:after="0"/>
      </w:pPr>
      <w:r w:rsidRPr="00FF2DF3">
        <w:t>E</w:t>
      </w:r>
      <w:r w:rsidR="007545CB" w:rsidRPr="00FF2DF3">
        <w:t xml:space="preserve">sta evaluación de impacto </w:t>
      </w:r>
      <w:r w:rsidRPr="00FF2DF3">
        <w:t xml:space="preserve">tiene por finalidad </w:t>
      </w:r>
      <w:r w:rsidR="007545CB" w:rsidRPr="00FF2DF3">
        <w:t xml:space="preserve">examinar la evolución a largo plazo de los aportes concretos del proyecto y proporcionar información </w:t>
      </w:r>
      <w:r w:rsidR="00524EA5" w:rsidRPr="00FF2DF3">
        <w:t>valorativa y empírica</w:t>
      </w:r>
      <w:r w:rsidR="003C5901" w:rsidRPr="00FF2DF3">
        <w:t>,</w:t>
      </w:r>
      <w:r w:rsidR="007545CB" w:rsidRPr="00FF2DF3">
        <w:t xml:space="preserve"> con el objetivo de fundamentar los procesos de toma de decisiones del Comité para proyectos en curso y futuros </w:t>
      </w:r>
      <w:r w:rsidR="003C5901" w:rsidRPr="00FF2DF3">
        <w:t xml:space="preserve">que tengan </w:t>
      </w:r>
      <w:r w:rsidR="007545CB" w:rsidRPr="00FF2DF3">
        <w:t>objetivos de alto nivel similares.</w:t>
      </w:r>
    </w:p>
    <w:p w14:paraId="61ED4F76" w14:textId="77777777" w:rsidR="007545CB" w:rsidRPr="00FF2DF3" w:rsidRDefault="007545CB" w:rsidP="009E76FE">
      <w:pPr>
        <w:pStyle w:val="Heading2"/>
        <w:numPr>
          <w:ilvl w:val="0"/>
          <w:numId w:val="35"/>
        </w:numPr>
        <w:tabs>
          <w:tab w:val="clear" w:pos="567"/>
        </w:tabs>
        <w:spacing w:after="240"/>
        <w:ind w:left="567"/>
      </w:pPr>
      <w:bookmarkStart w:id="27" w:name="_Toc140224971"/>
      <w:bookmarkStart w:id="28" w:name="_Toc146102844"/>
      <w:r w:rsidRPr="00FF2DF3">
        <w:t>ANTECEDENTES Y DESCRIPCIÓN DEL PROYECTO</w:t>
      </w:r>
      <w:bookmarkEnd w:id="27"/>
      <w:bookmarkEnd w:id="28"/>
    </w:p>
    <w:p w14:paraId="680E564E" w14:textId="6D66D7AA" w:rsidR="007545CB" w:rsidRPr="00FF2DF3" w:rsidRDefault="007545CB" w:rsidP="007545CB">
      <w:pPr>
        <w:pStyle w:val="ONUMFS"/>
      </w:pPr>
      <w:r w:rsidRPr="00FF2DF3">
        <w:t>El proyecto sobre "</w:t>
      </w:r>
      <w:r w:rsidRPr="00FF2DF3">
        <w:rPr>
          <w:i/>
        </w:rPr>
        <w:t>Propiedad intelectual y desarrollo socioeconómico</w:t>
      </w:r>
      <w:r w:rsidRPr="00FF2DF3">
        <w:t xml:space="preserve">" (en adelante, el “proyecto”) tenía por objeto subsanar el déficit de conocimientos del que adolecen los </w:t>
      </w:r>
      <w:r w:rsidR="003D437A" w:rsidRPr="00FF2DF3">
        <w:t xml:space="preserve">encargados de formular </w:t>
      </w:r>
      <w:r w:rsidRPr="00FF2DF3">
        <w:t xml:space="preserve">políticas </w:t>
      </w:r>
      <w:r w:rsidR="00E0051F" w:rsidRPr="00FF2DF3">
        <w:t xml:space="preserve">para </w:t>
      </w:r>
      <w:r w:rsidRPr="00FF2DF3">
        <w:t>diseñ</w:t>
      </w:r>
      <w:r w:rsidR="00E0051F" w:rsidRPr="00FF2DF3">
        <w:t>a</w:t>
      </w:r>
      <w:r w:rsidRPr="00FF2DF3">
        <w:t xml:space="preserve">r y aplicar un régimen de PI y contribuir a que la toma de decisiones en materia de políticas de PI se realice de manera más fundamentada </w:t>
      </w:r>
      <w:r w:rsidR="006C0379" w:rsidRPr="00FF2DF3">
        <w:t xml:space="preserve">en </w:t>
      </w:r>
      <w:r w:rsidR="00A44BC4" w:rsidRPr="00FF2DF3">
        <w:t>los</w:t>
      </w:r>
      <w:r w:rsidR="006C0379" w:rsidRPr="00FF2DF3">
        <w:t xml:space="preserve"> plano</w:t>
      </w:r>
      <w:r w:rsidR="00A44BC4" w:rsidRPr="00FF2DF3">
        <w:t>s</w:t>
      </w:r>
      <w:r w:rsidR="006C0379" w:rsidRPr="00FF2DF3">
        <w:t xml:space="preserve"> </w:t>
      </w:r>
      <w:r w:rsidRPr="00FF2DF3">
        <w:t xml:space="preserve">nacional e internacional. El proyecto, aprobado en la quinta sesión del CDIP en abril de 2010, </w:t>
      </w:r>
      <w:r w:rsidR="0029021E" w:rsidRPr="00FF2DF3">
        <w:t>constó de</w:t>
      </w:r>
      <w:r w:rsidRPr="00FF2DF3">
        <w:t xml:space="preserve"> dos fases de ejecución </w:t>
      </w:r>
      <w:r w:rsidR="0029021E" w:rsidRPr="00FF2DF3">
        <w:t xml:space="preserve">completadas </w:t>
      </w:r>
      <w:r w:rsidRPr="00FF2DF3">
        <w:t>entre 2012 y 2018, conforme a las pautas de dos planes estratégicos de la OMPI a media</w:t>
      </w:r>
      <w:r w:rsidR="00830789" w:rsidRPr="00FF2DF3">
        <w:t>no plazo (PEMP 2010-2015 y PEMP </w:t>
      </w:r>
      <w:r w:rsidRPr="00FF2DF3">
        <w:t>2016-2021). En concreto, el proyecto tenía por objeto aplicar las recomenda</w:t>
      </w:r>
      <w:r w:rsidR="00830789" w:rsidRPr="00FF2DF3">
        <w:t>ciones 35 y </w:t>
      </w:r>
      <w:r w:rsidRPr="00FF2DF3">
        <w:t xml:space="preserve">37 de la Agenda de la OMPI para el Desarrollo (AD) y contribuir a los resultados previstos V.1 y V.2 de la OMPI, como se refleja en el </w:t>
      </w:r>
      <w:r w:rsidR="00830789" w:rsidRPr="00FF2DF3">
        <w:t xml:space="preserve">recuadro </w:t>
      </w:r>
      <w:r w:rsidRPr="00FF2DF3">
        <w:t xml:space="preserve">1. La segunda fase (DA_35_37_02) del proyecto (2016-2018) continuó </w:t>
      </w:r>
      <w:r w:rsidR="00CA29E6" w:rsidRPr="00FF2DF3">
        <w:t xml:space="preserve">como </w:t>
      </w:r>
      <w:r w:rsidRPr="00FF2DF3">
        <w:t xml:space="preserve">un proyecto global, que respaldó la investigación iniciada en la fase I (DA_35_37_01) y </w:t>
      </w:r>
      <w:r w:rsidR="00376D52" w:rsidRPr="00FF2DF3">
        <w:t xml:space="preserve">amplió el </w:t>
      </w:r>
      <w:r w:rsidRPr="00FF2DF3">
        <w:t xml:space="preserve">número de países beneficiarios y temas. </w:t>
      </w:r>
    </w:p>
    <w:p w14:paraId="0911D285" w14:textId="3ACC622E" w:rsidR="007545CB" w:rsidRPr="00FF2DF3" w:rsidRDefault="007545CB" w:rsidP="007545CB">
      <w:pPr>
        <w:pStyle w:val="Caption"/>
        <w:spacing w:after="120"/>
        <w:rPr>
          <w:rStyle w:val="Strong"/>
        </w:rPr>
      </w:pPr>
      <w:bookmarkStart w:id="29" w:name="_Ref140137860"/>
      <w:r w:rsidRPr="00FF2DF3">
        <w:rPr>
          <w:rStyle w:val="Strong"/>
        </w:rPr>
        <w:t xml:space="preserve">Recuadro </w:t>
      </w:r>
      <w:r w:rsidRPr="00FF2DF3">
        <w:rPr>
          <w:rStyle w:val="Strong"/>
        </w:rPr>
        <w:fldChar w:fldCharType="begin"/>
      </w:r>
      <w:r w:rsidRPr="00FF2DF3">
        <w:rPr>
          <w:rStyle w:val="Strong"/>
        </w:rPr>
        <w:instrText xml:space="preserve"> SEQ Text_Box \* ARABIC </w:instrText>
      </w:r>
      <w:r w:rsidRPr="00FF2DF3">
        <w:rPr>
          <w:rStyle w:val="Strong"/>
        </w:rPr>
        <w:fldChar w:fldCharType="separate"/>
      </w:r>
      <w:r w:rsidRPr="00FF2DF3">
        <w:rPr>
          <w:rStyle w:val="Strong"/>
        </w:rPr>
        <w:t>1</w:t>
      </w:r>
      <w:r w:rsidRPr="00FF2DF3">
        <w:rPr>
          <w:rStyle w:val="Strong"/>
        </w:rPr>
        <w:fldChar w:fldCharType="end"/>
      </w:r>
      <w:bookmarkEnd w:id="29"/>
      <w:r w:rsidRPr="00FF2DF3">
        <w:rPr>
          <w:rStyle w:val="Strong"/>
        </w:rPr>
        <w:t>: Vínculos del proyecto con las recomendaciones de la AD y los resultados previstos de la OMPI</w:t>
      </w:r>
    </w:p>
    <w:tbl>
      <w:tblPr>
        <w:tblStyle w:val="TableGrid"/>
        <w:tblW w:w="0" w:type="auto"/>
        <w:tblLook w:val="04A0" w:firstRow="1" w:lastRow="0" w:firstColumn="1" w:lastColumn="0" w:noHBand="0" w:noVBand="1"/>
        <w:tblCaption w:val="Text Box 1:  Project’s Link to the Development Agenda Recommendations and WIPO’s Expected Results"/>
        <w:tblDescription w:val="Development Agenda Recommendations&#10;35 -To request WIPO to undertake, upon request of Member States, new studies to assess the economic, social and cultural impact of the use of intellectual property systems in these States.&#10;37-Upon request and as directed by Member States, WIPO may conduct studies on the protection of intellectual property to identify the possible links and impacts between IP and development.&#10;WIPO’s Expected Results &#10;V.1 -wider and better use of WIPO IP statistical information.&#10;V.2 -wider and better use of WIPO economic analysis in policy formulation.&#10;"/>
      </w:tblPr>
      <w:tblGrid>
        <w:gridCol w:w="9345"/>
      </w:tblGrid>
      <w:tr w:rsidR="007545CB" w:rsidRPr="00FF2DF3" w14:paraId="571EB37C" w14:textId="77777777" w:rsidTr="00C84882">
        <w:trPr>
          <w:tblHeader/>
        </w:trPr>
        <w:tc>
          <w:tcPr>
            <w:tcW w:w="9345" w:type="dxa"/>
            <w:shd w:val="clear" w:color="auto" w:fill="DAEEF3" w:themeFill="accent5" w:themeFillTint="33"/>
          </w:tcPr>
          <w:p w14:paraId="0BC5E62D" w14:textId="77777777" w:rsidR="007545CB" w:rsidRPr="00FF2DF3" w:rsidRDefault="007545CB" w:rsidP="00C84882">
            <w:pPr>
              <w:pStyle w:val="ONUMFS"/>
              <w:numPr>
                <w:ilvl w:val="0"/>
                <w:numId w:val="0"/>
              </w:numPr>
              <w:spacing w:before="120"/>
              <w:rPr>
                <w:b/>
                <w:bCs/>
              </w:rPr>
            </w:pPr>
            <w:r w:rsidRPr="00FF2DF3">
              <w:rPr>
                <w:b/>
              </w:rPr>
              <w:t>Recomendaciones de la Agenda para el Desarrollo</w:t>
            </w:r>
          </w:p>
          <w:p w14:paraId="421C061E" w14:textId="77777777" w:rsidR="007545CB" w:rsidRPr="00FF2DF3" w:rsidRDefault="007545CB" w:rsidP="00C84882">
            <w:pPr>
              <w:pStyle w:val="ONUMFS"/>
              <w:numPr>
                <w:ilvl w:val="0"/>
                <w:numId w:val="0"/>
              </w:numPr>
            </w:pPr>
            <w:r w:rsidRPr="00FF2DF3">
              <w:t>35. Solicitar a la OMPI que emprenda, a petición de los Estados miembros, nuevos estudios destinados a evaluar las consecuencias económicas, sociales y culturales de la utilización de sistemas de PI en dichos Estados.</w:t>
            </w:r>
          </w:p>
          <w:p w14:paraId="48238876" w14:textId="77777777" w:rsidR="007545CB" w:rsidRPr="00FF2DF3" w:rsidRDefault="007545CB" w:rsidP="00C84882">
            <w:pPr>
              <w:pStyle w:val="ONUMFS"/>
              <w:numPr>
                <w:ilvl w:val="0"/>
                <w:numId w:val="0"/>
              </w:numPr>
            </w:pPr>
            <w:r w:rsidRPr="00FF2DF3">
              <w:t>37. La OMPI podrá efectuar estudios, a petición de los interesados y conforme a lo dispuesto por los Estados miembros, sobre la protección de la propiedad intelectual, a fin de determinar las posibles relaciones y la mutua incidencia entre la PI y el desarrollo.</w:t>
            </w:r>
          </w:p>
          <w:p w14:paraId="1636EF5C" w14:textId="77777777" w:rsidR="007545CB" w:rsidRPr="00FF2DF3" w:rsidRDefault="007545CB" w:rsidP="00C84882">
            <w:pPr>
              <w:pStyle w:val="ONUMFS"/>
              <w:numPr>
                <w:ilvl w:val="0"/>
                <w:numId w:val="0"/>
              </w:numPr>
              <w:rPr>
                <w:b/>
                <w:bCs/>
              </w:rPr>
            </w:pPr>
            <w:r w:rsidRPr="00FF2DF3">
              <w:rPr>
                <w:b/>
              </w:rPr>
              <w:t>Resultados previstos de la OMPI</w:t>
            </w:r>
            <w:r w:rsidRPr="00FF2DF3">
              <w:rPr>
                <w:rStyle w:val="FootnoteReference"/>
                <w:b/>
                <w:bCs/>
                <w:lang w:val="es-ES_tradnl"/>
              </w:rPr>
              <w:footnoteReference w:id="6"/>
            </w:r>
          </w:p>
          <w:p w14:paraId="548963C1" w14:textId="77777777" w:rsidR="007545CB" w:rsidRPr="00FF2DF3" w:rsidRDefault="007545CB" w:rsidP="00C84882">
            <w:pPr>
              <w:pStyle w:val="ONUMFS"/>
              <w:numPr>
                <w:ilvl w:val="0"/>
                <w:numId w:val="0"/>
              </w:numPr>
            </w:pPr>
            <w:r w:rsidRPr="00FF2DF3">
              <w:t>V.1 Mayor y mejor utilización de la información estadística de la OMPI en materia de PI.</w:t>
            </w:r>
          </w:p>
          <w:p w14:paraId="35C4B9F5" w14:textId="77777777" w:rsidR="007545CB" w:rsidRPr="00FF2DF3" w:rsidRDefault="007545CB" w:rsidP="00C84882">
            <w:pPr>
              <w:pStyle w:val="ONUMFS"/>
              <w:numPr>
                <w:ilvl w:val="0"/>
                <w:numId w:val="0"/>
              </w:numPr>
            </w:pPr>
            <w:r w:rsidRPr="00FF2DF3">
              <w:t>V.2 Uso más amplio y mejor de los análisis económicos de la OMPI en la formulación de políticas.</w:t>
            </w:r>
          </w:p>
        </w:tc>
      </w:tr>
    </w:tbl>
    <w:p w14:paraId="4FD880D3" w14:textId="5E860DFD" w:rsidR="007545CB" w:rsidRPr="00FF2DF3" w:rsidRDefault="007545CB" w:rsidP="00830789">
      <w:pPr>
        <w:pStyle w:val="ONUMFS"/>
        <w:keepNext/>
        <w:keepLines/>
        <w:spacing w:before="220"/>
      </w:pPr>
      <w:r w:rsidRPr="00FF2DF3">
        <w:t xml:space="preserve">En el marco del proyecto se llevaron a cabo estudios económicos </w:t>
      </w:r>
      <w:r w:rsidR="00CE728F" w:rsidRPr="00FF2DF3">
        <w:t>sobre el vínculo</w:t>
      </w:r>
      <w:r w:rsidRPr="00FF2DF3">
        <w:t xml:space="preserve"> entre la protección de la PI y el rendimiento económico para mejorar la interfaz entre conocimientos y políticas en los países en desarrollo y contribuir a una toma de decisiones más fundamentada </w:t>
      </w:r>
      <w:r w:rsidR="002A120E" w:rsidRPr="00FF2DF3">
        <w:t xml:space="preserve">sobre </w:t>
      </w:r>
      <w:r w:rsidRPr="00FF2DF3">
        <w:t xml:space="preserve">las políticas de PI. Asimismo, se </w:t>
      </w:r>
      <w:r w:rsidR="00D454B5" w:rsidRPr="00FF2DF3">
        <w:t xml:space="preserve">llevaron a cabo </w:t>
      </w:r>
      <w:r w:rsidRPr="00FF2DF3">
        <w:t>investigaciones originales sobre múltiples temas a petición de los países beneficiarios</w:t>
      </w:r>
      <w:r w:rsidR="009F7F50" w:rsidRPr="00FF2DF3">
        <w:t>,</w:t>
      </w:r>
      <w:r w:rsidRPr="00FF2DF3">
        <w:t xml:space="preserve"> </w:t>
      </w:r>
      <w:r w:rsidR="00BC1059" w:rsidRPr="00FF2DF3">
        <w:t>se fortalecieron</w:t>
      </w:r>
      <w:r w:rsidRPr="00FF2DF3">
        <w:t xml:space="preserve"> las capacidades analíticas </w:t>
      </w:r>
      <w:r w:rsidR="00842E54" w:rsidRPr="00FF2DF3">
        <w:t xml:space="preserve">de esos países </w:t>
      </w:r>
      <w:r w:rsidRPr="00FF2DF3">
        <w:t xml:space="preserve">y </w:t>
      </w:r>
      <w:r w:rsidR="000E328E" w:rsidRPr="00FF2DF3">
        <w:t xml:space="preserve">se mejoraron </w:t>
      </w:r>
      <w:r w:rsidR="00842E54" w:rsidRPr="00FF2DF3">
        <w:t>sus</w:t>
      </w:r>
      <w:r w:rsidRPr="00FF2DF3">
        <w:t xml:space="preserve"> fuentes de datos. Las actividades del proyecto comprendieron sesiones informativas de alto nivel, reuniones, talleres y seminarios con las partes interesadas para difundir los resultados y fortalecer las capacidades. En el </w:t>
      </w:r>
      <w:r w:rsidRPr="00FF2DF3">
        <w:fldChar w:fldCharType="begin"/>
      </w:r>
      <w:r w:rsidRPr="00FF2DF3">
        <w:instrText xml:space="preserve"> REF _Ref137025549 \h  \* MERGEFORMAT </w:instrText>
      </w:r>
      <w:r w:rsidRPr="00FF2DF3">
        <w:fldChar w:fldCharType="separate"/>
      </w:r>
      <w:r w:rsidRPr="00FF2DF3">
        <w:rPr>
          <w:rFonts w:eastAsia="Times New Roman"/>
        </w:rPr>
        <w:t>A</w:t>
      </w:r>
      <w:r w:rsidRPr="00FF2DF3">
        <w:fldChar w:fldCharType="end"/>
      </w:r>
      <w:r w:rsidRPr="00FF2DF3">
        <w:t>péndice I figura una reseña de los aportes concretos del proyecto por fase de ejecución y país.</w:t>
      </w:r>
    </w:p>
    <w:p w14:paraId="3FD30441" w14:textId="239491CB" w:rsidR="007545CB" w:rsidRPr="00FF2DF3" w:rsidRDefault="007545CB" w:rsidP="007545CB">
      <w:pPr>
        <w:pStyle w:val="ONUMFS"/>
      </w:pPr>
      <w:r w:rsidRPr="00FF2DF3">
        <w:t xml:space="preserve">Los productos del proyecto estaban destinados principalmente a los encargados de formular políticas y sus asesores, aunque otros beneficiarios potenciales </w:t>
      </w:r>
      <w:r w:rsidR="006614E5" w:rsidRPr="00FF2DF3">
        <w:t>fueron</w:t>
      </w:r>
      <w:r w:rsidRPr="00FF2DF3">
        <w:t xml:space="preserve"> las organizaciones no gubernamentales, los economistas académicos y el público en general. La dirección del proyecto estuvo a cargo de la Oficina del Economista Jefe de la OMPI y su ejecución se llevó a cabo en colaboración con expertos e investigadores internacionales y locales. El proyecto </w:t>
      </w:r>
      <w:r w:rsidR="00A25F56" w:rsidRPr="00FF2DF3">
        <w:t xml:space="preserve">ayudó a </w:t>
      </w:r>
      <w:r w:rsidR="009E3DE4" w:rsidRPr="00FF2DF3">
        <w:t>ampliar</w:t>
      </w:r>
      <w:r w:rsidR="006614E5" w:rsidRPr="00FF2DF3">
        <w:t xml:space="preserve"> </w:t>
      </w:r>
      <w:r w:rsidRPr="00FF2DF3">
        <w:t>la Oficina del Economista Jefe</w:t>
      </w:r>
      <w:r w:rsidR="006614E5" w:rsidRPr="00FF2DF3">
        <w:t xml:space="preserve"> </w:t>
      </w:r>
      <w:r w:rsidR="009E3DE4" w:rsidRPr="00FF2DF3">
        <w:t>y a fortalecer sus capacidades internas</w:t>
      </w:r>
      <w:r w:rsidRPr="00FF2DF3">
        <w:t>.</w:t>
      </w:r>
    </w:p>
    <w:p w14:paraId="1D571725" w14:textId="13C3BFB0" w:rsidR="007545CB" w:rsidRPr="00FF2DF3" w:rsidRDefault="007545CB" w:rsidP="007545CB">
      <w:pPr>
        <w:pStyle w:val="ONUMFS"/>
      </w:pPr>
      <w:r w:rsidRPr="00FF2DF3">
        <w:t xml:space="preserve">Todas las actividades del proyecto fueron diseñadas para países en desarrollo y países con economías en transición. Los efectos positivos previstos se </w:t>
      </w:r>
      <w:r w:rsidR="001E29A2" w:rsidRPr="00FF2DF3">
        <w:t xml:space="preserve">inscribieron </w:t>
      </w:r>
      <w:r w:rsidRPr="00FF2DF3">
        <w:t xml:space="preserve">en su totalidad en una trayectoria causal de políticas o </w:t>
      </w:r>
      <w:r w:rsidR="00BF575F" w:rsidRPr="00FF2DF3">
        <w:t xml:space="preserve">de </w:t>
      </w:r>
      <w:r w:rsidRPr="00FF2DF3">
        <w:t xml:space="preserve">fortalecimiento de capacidades. En ambos casos, el contexto de aplicación </w:t>
      </w:r>
      <w:r w:rsidR="0079020B" w:rsidRPr="00FF2DF3">
        <w:t xml:space="preserve">fue </w:t>
      </w:r>
      <w:r w:rsidRPr="00FF2DF3">
        <w:t xml:space="preserve">complejo, y las trayectorias causales </w:t>
      </w:r>
      <w:r w:rsidR="00F566FC" w:rsidRPr="00FF2DF3">
        <w:t>de</w:t>
      </w:r>
      <w:r w:rsidRPr="00FF2DF3">
        <w:t xml:space="preserve"> las actividades </w:t>
      </w:r>
      <w:r w:rsidR="00F566FC" w:rsidRPr="00FF2DF3">
        <w:t>a</w:t>
      </w:r>
      <w:r w:rsidRPr="00FF2DF3">
        <w:t xml:space="preserve">l impacto </w:t>
      </w:r>
      <w:r w:rsidR="00C76D73" w:rsidRPr="00FF2DF3">
        <w:t xml:space="preserve">fueron </w:t>
      </w:r>
      <w:r w:rsidRPr="00FF2DF3">
        <w:t>de largo plazo. En el documento del proyecto (</w:t>
      </w:r>
      <w:hyperlink r:id="rId17" w:history="1">
        <w:r w:rsidRPr="00FF2DF3">
          <w:rPr>
            <w:rStyle w:val="Hyperlink"/>
          </w:rPr>
          <w:t>CDIP14/7</w:t>
        </w:r>
      </w:hyperlink>
      <w:r w:rsidRPr="00FF2DF3">
        <w:t xml:space="preserve">) se esbozan los objetivos, la estrategia de ejecución y los vínculos con los programas de la OMPI y los proyectos de la AD conexos. En el </w:t>
      </w:r>
      <w:r w:rsidRPr="00FF2DF3">
        <w:fldChar w:fldCharType="begin"/>
      </w:r>
      <w:r w:rsidRPr="00FF2DF3">
        <w:instrText xml:space="preserve"> REF _Ref137457905 \h  \* MERGEFORMAT </w:instrText>
      </w:r>
      <w:r w:rsidRPr="00FF2DF3">
        <w:fldChar w:fldCharType="separate"/>
      </w:r>
      <w:r w:rsidRPr="00FF2DF3">
        <w:rPr>
          <w:rFonts w:eastAsia="Times New Roman"/>
        </w:rPr>
        <w:t>A</w:t>
      </w:r>
      <w:r w:rsidRPr="00FF2DF3">
        <w:fldChar w:fldCharType="end"/>
      </w:r>
      <w:r w:rsidRPr="00FF2DF3">
        <w:t>péndi</w:t>
      </w:r>
      <w:r w:rsidR="00C25F65" w:rsidRPr="00FF2DF3">
        <w:t>c</w:t>
      </w:r>
      <w:r w:rsidRPr="00FF2DF3">
        <w:t xml:space="preserve">e II </w:t>
      </w:r>
      <w:r w:rsidR="009C0834" w:rsidRPr="00FF2DF3">
        <w:t xml:space="preserve">figura </w:t>
      </w:r>
      <w:r w:rsidRPr="00FF2DF3">
        <w:t>la teoría del cambio</w:t>
      </w:r>
      <w:r w:rsidR="00F046A9" w:rsidRPr="00FF2DF3">
        <w:t xml:space="preserve"> reconstruida</w:t>
      </w:r>
      <w:r w:rsidRPr="00FF2DF3">
        <w:t xml:space="preserve"> </w:t>
      </w:r>
      <w:r w:rsidR="00F046A9" w:rsidRPr="00FF2DF3">
        <w:t>relativa a</w:t>
      </w:r>
      <w:r w:rsidRPr="00FF2DF3">
        <w:t xml:space="preserve">l proyecto, que </w:t>
      </w:r>
      <w:r w:rsidR="003B3F8F" w:rsidRPr="00FF2DF3">
        <w:t xml:space="preserve">describe </w:t>
      </w:r>
      <w:r w:rsidRPr="00FF2DF3">
        <w:t>la lógica de ejecución, las trayectorias de impacto y los efectos directos previstos</w:t>
      </w:r>
      <w:r w:rsidRPr="00FF2DF3">
        <w:rPr>
          <w:rStyle w:val="FootnoteReference"/>
          <w:lang w:val="es-ES_tradnl"/>
        </w:rPr>
        <w:footnoteReference w:id="7"/>
      </w:r>
      <w:r w:rsidR="00A752F4" w:rsidRPr="00FF2DF3">
        <w:t>.</w:t>
      </w:r>
      <w:r w:rsidRPr="00FF2DF3">
        <w:t xml:space="preserve"> El </w:t>
      </w:r>
      <w:r w:rsidRPr="00FF2DF3">
        <w:fldChar w:fldCharType="begin"/>
      </w:r>
      <w:r w:rsidRPr="00FF2DF3">
        <w:instrText xml:space="preserve"> REF _Ref137457978 \h </w:instrText>
      </w:r>
      <w:r w:rsidR="00072913" w:rsidRPr="00FF2DF3">
        <w:instrText xml:space="preserve"> \* MERGEFORMAT </w:instrText>
      </w:r>
      <w:r w:rsidRPr="00FF2DF3">
        <w:fldChar w:fldCharType="separate"/>
      </w:r>
      <w:r w:rsidR="009B418F" w:rsidRPr="00FF2DF3">
        <w:rPr>
          <w:rStyle w:val="Strong"/>
        </w:rPr>
        <w:t>recuadro 2</w:t>
      </w:r>
      <w:r w:rsidRPr="00FF2DF3">
        <w:fldChar w:fldCharType="end"/>
      </w:r>
      <w:r w:rsidRPr="00FF2DF3">
        <w:t xml:space="preserve"> ofrece una breve reseña </w:t>
      </w:r>
      <w:r w:rsidR="00133090" w:rsidRPr="00FF2DF3">
        <w:t>sobre</w:t>
      </w:r>
      <w:r w:rsidRPr="00FF2DF3">
        <w:t xml:space="preserve"> la teoría del cambio del proyecto. </w:t>
      </w:r>
    </w:p>
    <w:p w14:paraId="311F9EA4" w14:textId="671E052A" w:rsidR="007545CB" w:rsidRPr="00FF2DF3" w:rsidRDefault="007545CB" w:rsidP="007545CB">
      <w:pPr>
        <w:pStyle w:val="Caption"/>
        <w:spacing w:after="120"/>
        <w:rPr>
          <w:rStyle w:val="Strong"/>
          <w:b w:val="0"/>
          <w:bCs w:val="0"/>
          <w:sz w:val="22"/>
        </w:rPr>
      </w:pPr>
      <w:bookmarkStart w:id="30" w:name="_Ref137457978"/>
      <w:r w:rsidRPr="00FF2DF3">
        <w:rPr>
          <w:rStyle w:val="Strong"/>
        </w:rPr>
        <w:t xml:space="preserve">Recuadro </w:t>
      </w:r>
      <w:r w:rsidRPr="00FF2DF3">
        <w:rPr>
          <w:rStyle w:val="Strong"/>
        </w:rPr>
        <w:fldChar w:fldCharType="begin"/>
      </w:r>
      <w:r w:rsidRPr="00FF2DF3">
        <w:rPr>
          <w:rStyle w:val="Strong"/>
        </w:rPr>
        <w:instrText xml:space="preserve"> SEQ Text_Box \* ARABIC </w:instrText>
      </w:r>
      <w:r w:rsidRPr="00FF2DF3">
        <w:rPr>
          <w:rStyle w:val="Strong"/>
        </w:rPr>
        <w:fldChar w:fldCharType="separate"/>
      </w:r>
      <w:r w:rsidRPr="00FF2DF3">
        <w:rPr>
          <w:rStyle w:val="Strong"/>
        </w:rPr>
        <w:t>2</w:t>
      </w:r>
      <w:r w:rsidRPr="00FF2DF3">
        <w:rPr>
          <w:rStyle w:val="Strong"/>
        </w:rPr>
        <w:fldChar w:fldCharType="end"/>
      </w:r>
      <w:bookmarkEnd w:id="30"/>
      <w:r w:rsidRPr="00FF2DF3">
        <w:rPr>
          <w:rStyle w:val="Strong"/>
        </w:rPr>
        <w:t>: Breve reseña sobre la teoría del cambio del proyecto y el impacto previsto</w:t>
      </w:r>
    </w:p>
    <w:tbl>
      <w:tblPr>
        <w:tblStyle w:val="TableGrid"/>
        <w:tblW w:w="0" w:type="auto"/>
        <w:tblLook w:val="04A0" w:firstRow="1" w:lastRow="0" w:firstColumn="1" w:lastColumn="0" w:noHBand="0" w:noVBand="1"/>
        <w:tblCaption w:val="Text Box 2:  Concise Summary of Project Theory of Change and Expected Impact"/>
        <w:tblDescription w:val="Developing the capacity and knowledge of decision-makers to use research evidence will lead to evidence-based policy decisions that improve the socio-economic development of the beneficiary countries."/>
      </w:tblPr>
      <w:tblGrid>
        <w:gridCol w:w="9345"/>
      </w:tblGrid>
      <w:tr w:rsidR="000860D0" w:rsidRPr="00FF2DF3" w14:paraId="4CEFF47F" w14:textId="77777777" w:rsidTr="00C84882">
        <w:trPr>
          <w:tblHeader/>
        </w:trPr>
        <w:tc>
          <w:tcPr>
            <w:tcW w:w="9345" w:type="dxa"/>
            <w:shd w:val="clear" w:color="auto" w:fill="DAEEF3" w:themeFill="accent5" w:themeFillTint="33"/>
          </w:tcPr>
          <w:p w14:paraId="2515B5E6" w14:textId="1D9375AB" w:rsidR="007545CB" w:rsidRPr="00FF2DF3" w:rsidRDefault="007545CB" w:rsidP="00C84882">
            <w:pPr>
              <w:pStyle w:val="ONUMFS"/>
              <w:numPr>
                <w:ilvl w:val="0"/>
                <w:numId w:val="0"/>
              </w:numPr>
              <w:spacing w:before="120" w:after="120"/>
            </w:pPr>
            <w:r w:rsidRPr="00FF2DF3">
              <w:t xml:space="preserve">El fortalecimiento de </w:t>
            </w:r>
            <w:r w:rsidR="00EA6FEC" w:rsidRPr="00FF2DF3">
              <w:t xml:space="preserve">las </w:t>
            </w:r>
            <w:r w:rsidRPr="00FF2DF3">
              <w:t xml:space="preserve">capacidades y </w:t>
            </w:r>
            <w:r w:rsidR="00EA6FEC" w:rsidRPr="00FF2DF3">
              <w:t xml:space="preserve">los </w:t>
            </w:r>
            <w:r w:rsidRPr="00FF2DF3">
              <w:t xml:space="preserve">conocimientos </w:t>
            </w:r>
            <w:r w:rsidR="00EA6FEC" w:rsidRPr="00FF2DF3">
              <w:t xml:space="preserve">de </w:t>
            </w:r>
            <w:r w:rsidR="00E649DA" w:rsidRPr="00FF2DF3">
              <w:t>l</w:t>
            </w:r>
            <w:r w:rsidRPr="00FF2DF3">
              <w:t xml:space="preserve">os responsables de la toma de decisiones </w:t>
            </w:r>
            <w:r w:rsidR="00894A98" w:rsidRPr="00FF2DF3">
              <w:t xml:space="preserve">sobre el uso de los datos de la investigación </w:t>
            </w:r>
            <w:r w:rsidRPr="00FF2DF3">
              <w:t xml:space="preserve">conducirá a decisiones </w:t>
            </w:r>
            <w:r w:rsidR="00DA6CD1" w:rsidRPr="00FF2DF3">
              <w:t xml:space="preserve">en materia de </w:t>
            </w:r>
            <w:r w:rsidRPr="00FF2DF3">
              <w:t xml:space="preserve">políticas </w:t>
            </w:r>
            <w:r w:rsidR="005E0406" w:rsidRPr="00FF2DF3">
              <w:t xml:space="preserve">fundamentadas </w:t>
            </w:r>
            <w:r w:rsidRPr="00FF2DF3">
              <w:t>en datos que mejoren el desarrollo socioeconómico de los países beneficiarios.</w:t>
            </w:r>
          </w:p>
        </w:tc>
      </w:tr>
    </w:tbl>
    <w:p w14:paraId="2C8391F7" w14:textId="78EFC195" w:rsidR="007545CB" w:rsidRPr="00FF2DF3" w:rsidRDefault="007545CB" w:rsidP="007545CB">
      <w:pPr>
        <w:pStyle w:val="ONUMFS"/>
        <w:spacing w:before="220"/>
      </w:pPr>
      <w:r w:rsidRPr="00FF2DF3">
        <w:t xml:space="preserve">El presupuesto total de ambas fases del proyecto ascendió a 2 292 700 francos suizos. El presupuesto y el número de países aumentaron considerablemente en la fase II del proyecto. El </w:t>
      </w:r>
      <w:r w:rsidR="0043517F" w:rsidRPr="00FF2DF3">
        <w:fldChar w:fldCharType="begin"/>
      </w:r>
      <w:r w:rsidR="0043517F" w:rsidRPr="00FF2DF3">
        <w:instrText xml:space="preserve"> REF  _Ref137022528 \h </w:instrText>
      </w:r>
      <w:r w:rsidR="00E1118F" w:rsidRPr="00FF2DF3">
        <w:instrText xml:space="preserve"> \* MERGEFORMAT </w:instrText>
      </w:r>
      <w:r w:rsidR="0043517F" w:rsidRPr="00FF2DF3">
        <w:fldChar w:fldCharType="separate"/>
      </w:r>
      <w:r w:rsidR="00E73065" w:rsidRPr="00FF2DF3">
        <w:t>cuadro 1</w:t>
      </w:r>
      <w:r w:rsidR="0043517F" w:rsidRPr="00FF2DF3">
        <w:fldChar w:fldCharType="end"/>
      </w:r>
      <w:r w:rsidRPr="00FF2DF3">
        <w:t xml:space="preserve"> resume los objetivos, el presupuesto, la duración y los países beneficiarios de cada fase del proyecto. </w:t>
      </w:r>
    </w:p>
    <w:p w14:paraId="4E8384CD" w14:textId="4769488F" w:rsidR="007545CB" w:rsidRPr="00FF2DF3" w:rsidRDefault="007545CB" w:rsidP="007545CB">
      <w:pPr>
        <w:pStyle w:val="Caption"/>
        <w:keepNext/>
        <w:keepLines/>
        <w:spacing w:after="120"/>
      </w:pPr>
      <w:bookmarkStart w:id="31" w:name="_Ref137022528"/>
      <w:r w:rsidRPr="00FF2DF3">
        <w:t xml:space="preserve">Cuadro </w:t>
      </w:r>
      <w:fldSimple w:instr=" SEQ Table \* ARABIC ">
        <w:r w:rsidRPr="00FF2DF3">
          <w:t>1</w:t>
        </w:r>
      </w:fldSimple>
      <w:bookmarkEnd w:id="31"/>
      <w:r w:rsidRPr="00FF2DF3">
        <w:t>: Resumen de las fases de ejecución del proyecto</w:t>
      </w:r>
    </w:p>
    <w:tbl>
      <w:tblPr>
        <w:tblStyle w:val="GridTable1Light-Accent1"/>
        <w:tblW w:w="0" w:type="auto"/>
        <w:tblLayout w:type="fixed"/>
        <w:tblLook w:val="04A0" w:firstRow="1" w:lastRow="0" w:firstColumn="1" w:lastColumn="0" w:noHBand="0" w:noVBand="1"/>
        <w:tblCaption w:val="Table 1:  Summary of the Implementation Phases of the Project"/>
        <w:tblDescription w:val="Table 1:  Summary of the Implementation Phases of the Project"/>
      </w:tblPr>
      <w:tblGrid>
        <w:gridCol w:w="988"/>
        <w:gridCol w:w="3543"/>
        <w:gridCol w:w="1701"/>
        <w:gridCol w:w="1560"/>
        <w:gridCol w:w="1276"/>
      </w:tblGrid>
      <w:tr w:rsidR="00512644" w:rsidRPr="00FF2DF3" w14:paraId="07DE64B0" w14:textId="77777777" w:rsidTr="00D00E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68A7EAC" w14:textId="77777777" w:rsidR="007545CB" w:rsidRPr="00FF2DF3" w:rsidRDefault="007545CB" w:rsidP="00C84882">
            <w:pPr>
              <w:pStyle w:val="ONUMFS"/>
              <w:keepNext/>
              <w:keepLines/>
              <w:numPr>
                <w:ilvl w:val="0"/>
                <w:numId w:val="0"/>
              </w:numPr>
              <w:spacing w:before="120" w:after="120"/>
              <w:jc w:val="center"/>
              <w:rPr>
                <w:sz w:val="20"/>
                <w:szCs w:val="18"/>
              </w:rPr>
            </w:pPr>
            <w:r w:rsidRPr="00FF2DF3">
              <w:rPr>
                <w:sz w:val="20"/>
              </w:rPr>
              <w:t>Fase</w:t>
            </w:r>
          </w:p>
        </w:tc>
        <w:tc>
          <w:tcPr>
            <w:tcW w:w="3543" w:type="dxa"/>
          </w:tcPr>
          <w:p w14:paraId="2A2A49ED" w14:textId="77777777" w:rsidR="007545CB" w:rsidRPr="00FF2DF3" w:rsidRDefault="007545CB" w:rsidP="00C84882">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Objetivo</w:t>
            </w:r>
          </w:p>
        </w:tc>
        <w:tc>
          <w:tcPr>
            <w:tcW w:w="1701" w:type="dxa"/>
          </w:tcPr>
          <w:p w14:paraId="3362E0D7" w14:textId="77777777" w:rsidR="007545CB" w:rsidRPr="00FF2DF3" w:rsidRDefault="007545CB" w:rsidP="00C84882">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Ejecución</w:t>
            </w:r>
          </w:p>
        </w:tc>
        <w:tc>
          <w:tcPr>
            <w:tcW w:w="1560" w:type="dxa"/>
          </w:tcPr>
          <w:p w14:paraId="7358667A" w14:textId="77777777" w:rsidR="007545CB" w:rsidRPr="00FF2DF3" w:rsidRDefault="007545CB" w:rsidP="00C84882">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Presupuesto (CHF)</w:t>
            </w:r>
          </w:p>
        </w:tc>
        <w:tc>
          <w:tcPr>
            <w:tcW w:w="1276" w:type="dxa"/>
          </w:tcPr>
          <w:p w14:paraId="21605660" w14:textId="77777777" w:rsidR="007545CB" w:rsidRPr="00FF2DF3" w:rsidRDefault="007545CB" w:rsidP="00C84882">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Duración</w:t>
            </w:r>
          </w:p>
        </w:tc>
      </w:tr>
      <w:tr w:rsidR="00512644" w:rsidRPr="00FF2DF3" w14:paraId="242EF765" w14:textId="77777777" w:rsidTr="00D00ED3">
        <w:tc>
          <w:tcPr>
            <w:cnfStyle w:val="001000000000" w:firstRow="0" w:lastRow="0" w:firstColumn="1" w:lastColumn="0" w:oddVBand="0" w:evenVBand="0" w:oddHBand="0" w:evenHBand="0" w:firstRowFirstColumn="0" w:firstRowLastColumn="0" w:lastRowFirstColumn="0" w:lastRowLastColumn="0"/>
            <w:tcW w:w="988" w:type="dxa"/>
          </w:tcPr>
          <w:p w14:paraId="79C9762C" w14:textId="77777777" w:rsidR="007545CB" w:rsidRPr="00FF2DF3" w:rsidRDefault="007545CB" w:rsidP="00C84882">
            <w:pPr>
              <w:pStyle w:val="ONUMFS"/>
              <w:keepNext/>
              <w:keepLines/>
              <w:numPr>
                <w:ilvl w:val="0"/>
                <w:numId w:val="0"/>
              </w:numPr>
              <w:spacing w:before="120" w:after="120"/>
              <w:jc w:val="center"/>
              <w:rPr>
                <w:sz w:val="20"/>
                <w:szCs w:val="18"/>
              </w:rPr>
            </w:pPr>
            <w:r w:rsidRPr="00FF2DF3">
              <w:rPr>
                <w:sz w:val="20"/>
              </w:rPr>
              <w:t>1</w:t>
            </w:r>
          </w:p>
        </w:tc>
        <w:tc>
          <w:tcPr>
            <w:tcW w:w="3543" w:type="dxa"/>
          </w:tcPr>
          <w:p w14:paraId="40C765B4" w14:textId="723592C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 xml:space="preserve">Contribuir a subsanar el déficit de conocimientos del que adolecen los encargados de formular políticas de los países en desarrollo mediante estudios económicos sobre la relación entre la protección de la PI y los diversos aspectos del </w:t>
            </w:r>
            <w:r w:rsidR="00FB6235" w:rsidRPr="00FF2DF3">
              <w:rPr>
                <w:sz w:val="20"/>
              </w:rPr>
              <w:t xml:space="preserve">rendimiento </w:t>
            </w:r>
            <w:r w:rsidRPr="00FF2DF3">
              <w:rPr>
                <w:sz w:val="20"/>
              </w:rPr>
              <w:t>económico; estos estudios dieron prioridad a tres temas generales: la innovación nacional, la difusión de conocimientos en los planos internacional y nacional y las características institucionales del sistema de PI y sus implicaciones económicas.</w:t>
            </w:r>
          </w:p>
        </w:tc>
        <w:tc>
          <w:tcPr>
            <w:tcW w:w="1701" w:type="dxa"/>
          </w:tcPr>
          <w:p w14:paraId="3C957DA3"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Brasil, Chile, China, Egipto, Tailandia y Uruguay</w:t>
            </w:r>
          </w:p>
        </w:tc>
        <w:tc>
          <w:tcPr>
            <w:tcW w:w="1560" w:type="dxa"/>
          </w:tcPr>
          <w:p w14:paraId="4E01A87C"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 xml:space="preserve">1 491 700 </w:t>
            </w:r>
          </w:p>
          <w:p w14:paraId="30A987D2"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s-ES_tradnl"/>
              </w:rPr>
            </w:pPr>
          </w:p>
        </w:tc>
        <w:tc>
          <w:tcPr>
            <w:tcW w:w="1276" w:type="dxa"/>
          </w:tcPr>
          <w:p w14:paraId="72CC56E8" w14:textId="2E09CE89" w:rsidR="007545CB" w:rsidRPr="00FF2DF3" w:rsidRDefault="003C18AA"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j</w:t>
            </w:r>
            <w:r w:rsidR="007545CB" w:rsidRPr="00FF2DF3">
              <w:rPr>
                <w:sz w:val="20"/>
              </w:rPr>
              <w:t>ul.</w:t>
            </w:r>
            <w:r w:rsidRPr="00FF2DF3">
              <w:rPr>
                <w:sz w:val="20"/>
              </w:rPr>
              <w:t>20</w:t>
            </w:r>
            <w:r w:rsidR="007545CB" w:rsidRPr="00FF2DF3">
              <w:rPr>
                <w:sz w:val="20"/>
              </w:rPr>
              <w:t xml:space="preserve">12 </w:t>
            </w:r>
            <w:r w:rsidRPr="00FF2DF3">
              <w:rPr>
                <w:sz w:val="20"/>
              </w:rPr>
              <w:t>a</w:t>
            </w:r>
            <w:r w:rsidR="007545CB" w:rsidRPr="00FF2DF3">
              <w:rPr>
                <w:sz w:val="20"/>
              </w:rPr>
              <w:t xml:space="preserve"> </w:t>
            </w:r>
            <w:r w:rsidRPr="00FF2DF3">
              <w:rPr>
                <w:sz w:val="20"/>
              </w:rPr>
              <w:t>d</w:t>
            </w:r>
            <w:r w:rsidR="007545CB" w:rsidRPr="00FF2DF3">
              <w:rPr>
                <w:sz w:val="20"/>
              </w:rPr>
              <w:t>ic.</w:t>
            </w:r>
            <w:r w:rsidRPr="00FF2DF3">
              <w:rPr>
                <w:sz w:val="20"/>
              </w:rPr>
              <w:t>20</w:t>
            </w:r>
            <w:r w:rsidR="007545CB" w:rsidRPr="00FF2DF3">
              <w:rPr>
                <w:sz w:val="20"/>
              </w:rPr>
              <w:t>13</w:t>
            </w:r>
          </w:p>
        </w:tc>
      </w:tr>
      <w:tr w:rsidR="00512644" w:rsidRPr="00FF2DF3" w14:paraId="0F889C4C" w14:textId="77777777" w:rsidTr="00D00ED3">
        <w:tc>
          <w:tcPr>
            <w:cnfStyle w:val="001000000000" w:firstRow="0" w:lastRow="0" w:firstColumn="1" w:lastColumn="0" w:oddVBand="0" w:evenVBand="0" w:oddHBand="0" w:evenHBand="0" w:firstRowFirstColumn="0" w:firstRowLastColumn="0" w:lastRowFirstColumn="0" w:lastRowLastColumn="0"/>
            <w:tcW w:w="988" w:type="dxa"/>
          </w:tcPr>
          <w:p w14:paraId="38D5B3EF" w14:textId="77777777" w:rsidR="007545CB" w:rsidRPr="00FF2DF3" w:rsidRDefault="007545CB" w:rsidP="00C84882">
            <w:pPr>
              <w:pStyle w:val="ONUMFS"/>
              <w:keepNext/>
              <w:keepLines/>
              <w:numPr>
                <w:ilvl w:val="0"/>
                <w:numId w:val="0"/>
              </w:numPr>
              <w:spacing w:before="120" w:after="120"/>
              <w:jc w:val="center"/>
              <w:rPr>
                <w:sz w:val="20"/>
                <w:szCs w:val="18"/>
              </w:rPr>
            </w:pPr>
            <w:r w:rsidRPr="00FF2DF3">
              <w:rPr>
                <w:sz w:val="20"/>
              </w:rPr>
              <w:t>2</w:t>
            </w:r>
          </w:p>
        </w:tc>
        <w:tc>
          <w:tcPr>
            <w:tcW w:w="3543" w:type="dxa"/>
          </w:tcPr>
          <w:p w14:paraId="7964B448" w14:textId="57CA8042"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Promover la sostenibilidad de la investigación iniciada en la primera fase del proyecto y ampliar la labor de estudio a nuevos países y regiones, así como a nuevos temas que no se abordaron en la fase I. Creación y mantenimiento de capacidad analítica en países en los que se habían realizado pocos estudios económicos sobre PI.</w:t>
            </w:r>
          </w:p>
        </w:tc>
        <w:tc>
          <w:tcPr>
            <w:tcW w:w="1701" w:type="dxa"/>
          </w:tcPr>
          <w:p w14:paraId="276533E8"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Colombia, Chile, Costa Rica, El Salvador, Filipinas, Guatemala, Honduras, Indonesia, Nicaragua, Panamá, Polonia, República Dominicana, Tailandia y Uganda</w:t>
            </w:r>
          </w:p>
        </w:tc>
        <w:tc>
          <w:tcPr>
            <w:tcW w:w="1560" w:type="dxa"/>
          </w:tcPr>
          <w:p w14:paraId="70850799"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801 000</w:t>
            </w:r>
          </w:p>
        </w:tc>
        <w:tc>
          <w:tcPr>
            <w:tcW w:w="1276" w:type="dxa"/>
          </w:tcPr>
          <w:p w14:paraId="3A815AE3" w14:textId="4FB1ACD1" w:rsidR="007545CB" w:rsidRPr="00FF2DF3" w:rsidRDefault="003C18AA"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e</w:t>
            </w:r>
            <w:r w:rsidR="007545CB" w:rsidRPr="00FF2DF3">
              <w:rPr>
                <w:sz w:val="20"/>
              </w:rPr>
              <w:t>ne.</w:t>
            </w:r>
            <w:r w:rsidRPr="00FF2DF3">
              <w:rPr>
                <w:sz w:val="20"/>
              </w:rPr>
              <w:t xml:space="preserve"> 20</w:t>
            </w:r>
            <w:r w:rsidR="007545CB" w:rsidRPr="00FF2DF3">
              <w:rPr>
                <w:sz w:val="20"/>
              </w:rPr>
              <w:t xml:space="preserve">15 </w:t>
            </w:r>
            <w:r w:rsidRPr="00FF2DF3">
              <w:rPr>
                <w:sz w:val="20"/>
              </w:rPr>
              <w:t>a d</w:t>
            </w:r>
            <w:r w:rsidR="007545CB" w:rsidRPr="00FF2DF3">
              <w:rPr>
                <w:sz w:val="20"/>
              </w:rPr>
              <w:t>ic.</w:t>
            </w:r>
            <w:r w:rsidRPr="00FF2DF3">
              <w:rPr>
                <w:sz w:val="20"/>
              </w:rPr>
              <w:t xml:space="preserve"> 20</w:t>
            </w:r>
            <w:r w:rsidR="007545CB" w:rsidRPr="00FF2DF3">
              <w:rPr>
                <w:sz w:val="20"/>
              </w:rPr>
              <w:t>1</w:t>
            </w:r>
            <w:r w:rsidR="00D00ED3" w:rsidRPr="00FF2DF3">
              <w:rPr>
                <w:sz w:val="20"/>
              </w:rPr>
              <w:t>8</w:t>
            </w:r>
          </w:p>
        </w:tc>
      </w:tr>
      <w:tr w:rsidR="00512644" w:rsidRPr="00FF2DF3" w14:paraId="32E97873" w14:textId="77777777" w:rsidTr="00512644">
        <w:trPr>
          <w:trHeight w:val="60"/>
        </w:trPr>
        <w:tc>
          <w:tcPr>
            <w:cnfStyle w:val="001000000000" w:firstRow="0" w:lastRow="0" w:firstColumn="1" w:lastColumn="0" w:oddVBand="0" w:evenVBand="0" w:oddHBand="0" w:evenHBand="0" w:firstRowFirstColumn="0" w:firstRowLastColumn="0" w:lastRowFirstColumn="0" w:lastRowLastColumn="0"/>
            <w:tcW w:w="988" w:type="dxa"/>
          </w:tcPr>
          <w:p w14:paraId="06E0BD52" w14:textId="77777777" w:rsidR="007545CB" w:rsidRPr="00FF2DF3" w:rsidRDefault="007545CB" w:rsidP="00C84882">
            <w:pPr>
              <w:pStyle w:val="ONUMFS"/>
              <w:keepNext/>
              <w:keepLines/>
              <w:numPr>
                <w:ilvl w:val="0"/>
                <w:numId w:val="0"/>
              </w:numPr>
              <w:spacing w:before="120" w:after="120"/>
              <w:jc w:val="center"/>
              <w:rPr>
                <w:sz w:val="20"/>
                <w:szCs w:val="18"/>
              </w:rPr>
            </w:pPr>
            <w:r w:rsidRPr="00FF2DF3">
              <w:rPr>
                <w:sz w:val="20"/>
              </w:rPr>
              <w:t>Total</w:t>
            </w:r>
          </w:p>
        </w:tc>
        <w:tc>
          <w:tcPr>
            <w:tcW w:w="3543" w:type="dxa"/>
          </w:tcPr>
          <w:p w14:paraId="76CB9E9E"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s-ES_tradnl"/>
              </w:rPr>
            </w:pPr>
          </w:p>
        </w:tc>
        <w:tc>
          <w:tcPr>
            <w:tcW w:w="1701" w:type="dxa"/>
          </w:tcPr>
          <w:p w14:paraId="7C911D90"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rPr>
            </w:pPr>
            <w:r w:rsidRPr="00FF2DF3">
              <w:rPr>
                <w:b/>
                <w:sz w:val="20"/>
              </w:rPr>
              <w:t>20 países</w:t>
            </w:r>
          </w:p>
        </w:tc>
        <w:tc>
          <w:tcPr>
            <w:tcW w:w="1560" w:type="dxa"/>
          </w:tcPr>
          <w:p w14:paraId="66281B6A"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rPr>
            </w:pPr>
            <w:r w:rsidRPr="00FF2DF3">
              <w:rPr>
                <w:b/>
                <w:sz w:val="20"/>
              </w:rPr>
              <w:t>CHF 2 292 700</w:t>
            </w:r>
          </w:p>
        </w:tc>
        <w:tc>
          <w:tcPr>
            <w:tcW w:w="1276" w:type="dxa"/>
          </w:tcPr>
          <w:p w14:paraId="2BB0A653" w14:textId="77777777" w:rsidR="007545CB" w:rsidRPr="00FF2DF3" w:rsidRDefault="007545CB" w:rsidP="00C84882">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rPr>
            </w:pPr>
            <w:r w:rsidRPr="00FF2DF3">
              <w:rPr>
                <w:b/>
                <w:sz w:val="20"/>
              </w:rPr>
              <w:t>6 años</w:t>
            </w:r>
          </w:p>
        </w:tc>
      </w:tr>
    </w:tbl>
    <w:p w14:paraId="41BE9364" w14:textId="77777777" w:rsidR="007545CB" w:rsidRPr="00FF2DF3" w:rsidRDefault="007545CB" w:rsidP="009E76FE">
      <w:pPr>
        <w:pStyle w:val="Heading2"/>
        <w:numPr>
          <w:ilvl w:val="0"/>
          <w:numId w:val="35"/>
        </w:numPr>
        <w:tabs>
          <w:tab w:val="clear" w:pos="567"/>
        </w:tabs>
        <w:spacing w:after="240"/>
        <w:ind w:left="562"/>
      </w:pPr>
      <w:bookmarkStart w:id="32" w:name="_Toc140224972"/>
      <w:bookmarkStart w:id="33" w:name="_Toc146102845"/>
      <w:r w:rsidRPr="00FF2DF3">
        <w:t>PROPÓSITO, METODOLOGÍA Y LIMITACIÓN DE LA PRESENTE EVALUACIÓN</w:t>
      </w:r>
      <w:bookmarkEnd w:id="32"/>
      <w:bookmarkEnd w:id="33"/>
    </w:p>
    <w:p w14:paraId="47294556" w14:textId="5F350EA2" w:rsidR="007545CB" w:rsidRPr="00FF2DF3" w:rsidRDefault="007545CB" w:rsidP="007545CB">
      <w:pPr>
        <w:pStyle w:val="ONUMFS"/>
      </w:pPr>
      <w:r w:rsidRPr="00FF2DF3">
        <w:t xml:space="preserve">El objeto de esta evaluación de impacto es el proyecto, que </w:t>
      </w:r>
      <w:r w:rsidR="003645DB" w:rsidRPr="00FF2DF3">
        <w:t>consta</w:t>
      </w:r>
      <w:r w:rsidRPr="00FF2DF3">
        <w:t xml:space="preserve"> dos fases de ejecución complementarias entre 2012 y 2018, </w:t>
      </w:r>
      <w:r w:rsidR="0075592A" w:rsidRPr="00FF2DF3">
        <w:t xml:space="preserve">y tiene </w:t>
      </w:r>
      <w:r w:rsidRPr="00FF2DF3">
        <w:t xml:space="preserve">debidamente en cuenta la fecha de finalización efectiva del proyecto y el contexto de cada país beneficiario. </w:t>
      </w:r>
    </w:p>
    <w:p w14:paraId="1555BE33" w14:textId="35A30B8B" w:rsidR="007545CB" w:rsidRPr="00FF2DF3" w:rsidRDefault="007A2F66" w:rsidP="007545CB">
      <w:pPr>
        <w:pStyle w:val="ONUMFS"/>
      </w:pPr>
      <w:r w:rsidRPr="00FF2DF3">
        <w:t xml:space="preserve">El mandato </w:t>
      </w:r>
      <w:r w:rsidR="004D3B9D" w:rsidRPr="00FF2DF3">
        <w:t xml:space="preserve">establece </w:t>
      </w:r>
      <w:r w:rsidR="007545CB" w:rsidRPr="00FF2DF3">
        <w:t xml:space="preserve">cuatro ámbitos de interés </w:t>
      </w:r>
      <w:r w:rsidR="003376D5" w:rsidRPr="00FF2DF3">
        <w:t>para</w:t>
      </w:r>
      <w:r w:rsidR="007545CB" w:rsidRPr="00FF2DF3">
        <w:t xml:space="preserve"> la evaluación. Tras consultar con el </w:t>
      </w:r>
      <w:r w:rsidR="007911B9" w:rsidRPr="00FF2DF3">
        <w:t>jefe</w:t>
      </w:r>
      <w:r w:rsidR="007545CB" w:rsidRPr="00FF2DF3">
        <w:t xml:space="preserve"> de </w:t>
      </w:r>
      <w:r w:rsidR="007911B9" w:rsidRPr="00FF2DF3">
        <w:t>la Sección de E</w:t>
      </w:r>
      <w:r w:rsidR="007545CB" w:rsidRPr="00FF2DF3">
        <w:t>valuación y con arreglo a la Política de evaluación de la OMPI, a partir de la presente evaluación se redefinieron los ámbitos de interés en seis preguntas de evaluación</w:t>
      </w:r>
      <w:r w:rsidR="00752FF6" w:rsidRPr="00FF2DF3">
        <w:t xml:space="preserve"> </w:t>
      </w:r>
      <w:r w:rsidR="00744E51" w:rsidRPr="00FF2DF3">
        <w:t>—que corresponde</w:t>
      </w:r>
      <w:r w:rsidR="00C0667E" w:rsidRPr="00FF2DF3">
        <w:t>n</w:t>
      </w:r>
      <w:r w:rsidR="00744E51" w:rsidRPr="00FF2DF3">
        <w:t xml:space="preserve"> </w:t>
      </w:r>
      <w:r w:rsidR="007545CB" w:rsidRPr="00FF2DF3">
        <w:t xml:space="preserve">a los criterios de evaluación adoptados por </w:t>
      </w:r>
      <w:r w:rsidR="00C17724" w:rsidRPr="00FF2DF3">
        <w:t xml:space="preserve">el Comité de Ayuda al Desarrollo (CAD) de la </w:t>
      </w:r>
      <w:r w:rsidR="007545CB" w:rsidRPr="00FF2DF3">
        <w:t>Organización para la Cooperación y el Desarrollo Económicos (OCDE</w:t>
      </w:r>
      <w:r w:rsidR="00752FF6" w:rsidRPr="00FF2DF3">
        <w:t>)</w:t>
      </w:r>
      <w:r w:rsidR="00744E51" w:rsidRPr="00FF2DF3">
        <w:t>—</w:t>
      </w:r>
      <w:r w:rsidR="00752FF6" w:rsidRPr="00FF2DF3">
        <w:t>,</w:t>
      </w:r>
      <w:r w:rsidR="007545CB" w:rsidRPr="00FF2DF3">
        <w:t xml:space="preserve"> la mayoría </w:t>
      </w:r>
      <w:r w:rsidR="00752FF6" w:rsidRPr="00FF2DF3">
        <w:t xml:space="preserve">de las </w:t>
      </w:r>
      <w:r w:rsidR="00012C64" w:rsidRPr="00FF2DF3">
        <w:t xml:space="preserve">cuales están </w:t>
      </w:r>
      <w:r w:rsidR="007545CB" w:rsidRPr="00FF2DF3">
        <w:t xml:space="preserve">relacionadas con el </w:t>
      </w:r>
      <w:r w:rsidR="00B14CF9" w:rsidRPr="00FF2DF3">
        <w:t xml:space="preserve">criterio de </w:t>
      </w:r>
      <w:r w:rsidR="007545CB" w:rsidRPr="00FF2DF3">
        <w:t>impacto, tal y como se refleja en</w:t>
      </w:r>
      <w:r w:rsidR="004D3B9D" w:rsidRPr="00FF2DF3">
        <w:t xml:space="preserve"> el</w:t>
      </w:r>
      <w:r w:rsidR="007545CB" w:rsidRPr="00FF2DF3">
        <w:t xml:space="preserve"> </w:t>
      </w:r>
      <w:r w:rsidR="007545CB" w:rsidRPr="00FF2DF3">
        <w:fldChar w:fldCharType="begin"/>
      </w:r>
      <w:r w:rsidR="007545CB" w:rsidRPr="00FF2DF3">
        <w:instrText xml:space="preserve"> REF _Ref137113259 \h  \* MERGEFORMAT </w:instrText>
      </w:r>
      <w:r w:rsidR="007545CB" w:rsidRPr="00FF2DF3">
        <w:fldChar w:fldCharType="separate"/>
      </w:r>
      <w:r w:rsidR="00E73065" w:rsidRPr="00FF2DF3">
        <w:t>cuadro 2</w:t>
      </w:r>
      <w:r w:rsidR="007545CB" w:rsidRPr="00FF2DF3">
        <w:fldChar w:fldCharType="end"/>
      </w:r>
      <w:r w:rsidR="007545CB" w:rsidRPr="00FF2DF3">
        <w:t xml:space="preserve">. </w:t>
      </w:r>
    </w:p>
    <w:p w14:paraId="156E68B9" w14:textId="36E26ABC" w:rsidR="007545CB" w:rsidRPr="00FF2DF3" w:rsidRDefault="007545CB" w:rsidP="007545CB">
      <w:pPr>
        <w:pStyle w:val="ONUMFS"/>
        <w:keepNext/>
        <w:keepLines/>
        <w:numPr>
          <w:ilvl w:val="0"/>
          <w:numId w:val="0"/>
        </w:numPr>
        <w:spacing w:after="120"/>
        <w:rPr>
          <w:b/>
          <w:sz w:val="18"/>
          <w:szCs w:val="18"/>
        </w:rPr>
      </w:pPr>
      <w:bookmarkStart w:id="34" w:name="_Ref137113259"/>
      <w:r w:rsidRPr="00FF2DF3">
        <w:rPr>
          <w:b/>
          <w:sz w:val="18"/>
        </w:rPr>
        <w:t xml:space="preserve">Cuadro </w:t>
      </w:r>
      <w:r w:rsidRPr="00FF2DF3">
        <w:rPr>
          <w:b/>
          <w:sz w:val="18"/>
        </w:rPr>
        <w:fldChar w:fldCharType="begin"/>
      </w:r>
      <w:r w:rsidRPr="00FF2DF3">
        <w:rPr>
          <w:b/>
          <w:sz w:val="18"/>
        </w:rPr>
        <w:instrText xml:space="preserve"> SEQ Table \* ARABIC </w:instrText>
      </w:r>
      <w:r w:rsidRPr="00FF2DF3">
        <w:rPr>
          <w:b/>
          <w:sz w:val="18"/>
        </w:rPr>
        <w:fldChar w:fldCharType="separate"/>
      </w:r>
      <w:r w:rsidRPr="00FF2DF3">
        <w:rPr>
          <w:b/>
          <w:sz w:val="18"/>
        </w:rPr>
        <w:t>2</w:t>
      </w:r>
      <w:r w:rsidRPr="00FF2DF3">
        <w:rPr>
          <w:b/>
          <w:sz w:val="18"/>
        </w:rPr>
        <w:fldChar w:fldCharType="end"/>
      </w:r>
      <w:bookmarkEnd w:id="34"/>
      <w:r w:rsidRPr="00FF2DF3">
        <w:rPr>
          <w:b/>
          <w:sz w:val="18"/>
        </w:rPr>
        <w:t>: Preguntas y criterios de evaluación</w:t>
      </w:r>
    </w:p>
    <w:tbl>
      <w:tblPr>
        <w:tblStyle w:val="GridTable1Light-Accent1"/>
        <w:tblW w:w="9350" w:type="dxa"/>
        <w:tblLook w:val="04A0" w:firstRow="1" w:lastRow="0" w:firstColumn="1" w:lastColumn="0" w:noHBand="0" w:noVBand="1"/>
        <w:tblCaption w:val="Table 2:  Evaluation Questions and Criteria"/>
        <w:tblDescription w:val="Table 2:  Evaluation Questions and Criteria"/>
      </w:tblPr>
      <w:tblGrid>
        <w:gridCol w:w="593"/>
        <w:gridCol w:w="6915"/>
        <w:gridCol w:w="1842"/>
      </w:tblGrid>
      <w:tr w:rsidR="00C0667E" w:rsidRPr="00FF2DF3" w14:paraId="13B9C249" w14:textId="77777777" w:rsidTr="00C848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3" w:type="dxa"/>
          </w:tcPr>
          <w:p w14:paraId="47B42B8B" w14:textId="77777777" w:rsidR="007545CB" w:rsidRPr="00FF2DF3" w:rsidRDefault="007545CB" w:rsidP="00C84882">
            <w:pPr>
              <w:pStyle w:val="ONUMFS"/>
              <w:keepNext/>
              <w:keepLines/>
              <w:numPr>
                <w:ilvl w:val="0"/>
                <w:numId w:val="0"/>
              </w:numPr>
              <w:jc w:val="center"/>
              <w:rPr>
                <w:sz w:val="20"/>
                <w:szCs w:val="18"/>
              </w:rPr>
            </w:pPr>
            <w:r w:rsidRPr="00FF2DF3">
              <w:rPr>
                <w:sz w:val="20"/>
              </w:rPr>
              <w:t xml:space="preserve">PE </w:t>
            </w:r>
          </w:p>
        </w:tc>
        <w:tc>
          <w:tcPr>
            <w:tcW w:w="6915" w:type="dxa"/>
          </w:tcPr>
          <w:p w14:paraId="65F73F06" w14:textId="77777777" w:rsidR="007545CB" w:rsidRPr="00FF2DF3" w:rsidRDefault="007545CB" w:rsidP="00C84882">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Líneas de investigación</w:t>
            </w:r>
          </w:p>
        </w:tc>
        <w:tc>
          <w:tcPr>
            <w:tcW w:w="1842" w:type="dxa"/>
          </w:tcPr>
          <w:p w14:paraId="5939A69D" w14:textId="77777777" w:rsidR="007545CB" w:rsidRPr="00FF2DF3" w:rsidRDefault="007545CB" w:rsidP="00C84882">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Criterios</w:t>
            </w:r>
          </w:p>
        </w:tc>
      </w:tr>
      <w:tr w:rsidR="00C0667E" w:rsidRPr="00FF2DF3" w14:paraId="71021824" w14:textId="77777777" w:rsidTr="00C84882">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585F178D" w14:textId="77777777" w:rsidR="007545CB" w:rsidRPr="00FF2DF3" w:rsidRDefault="007545CB" w:rsidP="00C84882">
            <w:pPr>
              <w:pStyle w:val="ONUMFS"/>
              <w:keepNext/>
              <w:keepLines/>
              <w:numPr>
                <w:ilvl w:val="0"/>
                <w:numId w:val="0"/>
              </w:numPr>
              <w:jc w:val="center"/>
              <w:rPr>
                <w:sz w:val="20"/>
                <w:szCs w:val="18"/>
              </w:rPr>
            </w:pPr>
            <w:r w:rsidRPr="00FF2DF3">
              <w:rPr>
                <w:sz w:val="20"/>
              </w:rPr>
              <w:t>1</w:t>
            </w:r>
          </w:p>
        </w:tc>
        <w:tc>
          <w:tcPr>
            <w:tcW w:w="6915" w:type="dxa"/>
          </w:tcPr>
          <w:p w14:paraId="53175C6E" w14:textId="228E3792"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w:t>
            </w:r>
            <w:r w:rsidR="00ED2141" w:rsidRPr="00FF2DF3">
              <w:rPr>
                <w:sz w:val="20"/>
              </w:rPr>
              <w:t xml:space="preserve">Siguen siendo </w:t>
            </w:r>
            <w:r w:rsidR="00C17543" w:rsidRPr="00FF2DF3">
              <w:rPr>
                <w:sz w:val="20"/>
              </w:rPr>
              <w:t>pertinen</w:t>
            </w:r>
            <w:r w:rsidR="00ED2141" w:rsidRPr="00FF2DF3">
              <w:rPr>
                <w:sz w:val="20"/>
              </w:rPr>
              <w:t>tes</w:t>
            </w:r>
            <w:r w:rsidR="00C17543" w:rsidRPr="00FF2DF3">
              <w:rPr>
                <w:sz w:val="20"/>
              </w:rPr>
              <w:t xml:space="preserve"> </w:t>
            </w:r>
            <w:r w:rsidRPr="00FF2DF3">
              <w:rPr>
                <w:sz w:val="20"/>
              </w:rPr>
              <w:t>el enfoque y los aportes concretos del proyecto?</w:t>
            </w:r>
          </w:p>
        </w:tc>
        <w:tc>
          <w:tcPr>
            <w:tcW w:w="1842" w:type="dxa"/>
          </w:tcPr>
          <w:p w14:paraId="4241CA7E"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Pertinencia</w:t>
            </w:r>
          </w:p>
        </w:tc>
      </w:tr>
      <w:tr w:rsidR="00C0667E" w:rsidRPr="00FF2DF3" w14:paraId="018486B4" w14:textId="77777777" w:rsidTr="00C84882">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78650B25" w14:textId="77777777" w:rsidR="007545CB" w:rsidRPr="00FF2DF3" w:rsidRDefault="007545CB" w:rsidP="00C84882">
            <w:pPr>
              <w:pStyle w:val="ONUMFS"/>
              <w:keepNext/>
              <w:keepLines/>
              <w:numPr>
                <w:ilvl w:val="0"/>
                <w:numId w:val="0"/>
              </w:numPr>
              <w:jc w:val="center"/>
              <w:rPr>
                <w:sz w:val="20"/>
                <w:szCs w:val="18"/>
              </w:rPr>
            </w:pPr>
            <w:r w:rsidRPr="00FF2DF3">
              <w:rPr>
                <w:sz w:val="20"/>
              </w:rPr>
              <w:t>2</w:t>
            </w:r>
          </w:p>
        </w:tc>
        <w:tc>
          <w:tcPr>
            <w:tcW w:w="6915" w:type="dxa"/>
          </w:tcPr>
          <w:p w14:paraId="57698433"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¿Son sostenibles los resultados del proyecto?</w:t>
            </w:r>
          </w:p>
        </w:tc>
        <w:tc>
          <w:tcPr>
            <w:tcW w:w="1842" w:type="dxa"/>
          </w:tcPr>
          <w:p w14:paraId="060178D0"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Sostenibilidad</w:t>
            </w:r>
          </w:p>
        </w:tc>
      </w:tr>
      <w:tr w:rsidR="00C0667E" w:rsidRPr="00FF2DF3" w14:paraId="6AA62431" w14:textId="77777777" w:rsidTr="00C84882">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54305146" w14:textId="77777777" w:rsidR="007545CB" w:rsidRPr="00FF2DF3" w:rsidRDefault="007545CB" w:rsidP="00C84882">
            <w:pPr>
              <w:pStyle w:val="ONUMFS"/>
              <w:keepNext/>
              <w:keepLines/>
              <w:numPr>
                <w:ilvl w:val="0"/>
                <w:numId w:val="0"/>
              </w:numPr>
              <w:jc w:val="center"/>
              <w:rPr>
                <w:sz w:val="20"/>
                <w:szCs w:val="18"/>
              </w:rPr>
            </w:pPr>
            <w:r w:rsidRPr="00FF2DF3">
              <w:rPr>
                <w:sz w:val="20"/>
              </w:rPr>
              <w:t>3</w:t>
            </w:r>
          </w:p>
        </w:tc>
        <w:tc>
          <w:tcPr>
            <w:tcW w:w="6915" w:type="dxa"/>
          </w:tcPr>
          <w:p w14:paraId="5CAAD8E0"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¿Cuáles son los efectos previstos y no previstos del proyecto en los países beneficiarios?</w:t>
            </w:r>
          </w:p>
        </w:tc>
        <w:tc>
          <w:tcPr>
            <w:tcW w:w="1842" w:type="dxa"/>
          </w:tcPr>
          <w:p w14:paraId="214EE4A4"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Impacto</w:t>
            </w:r>
          </w:p>
        </w:tc>
      </w:tr>
      <w:tr w:rsidR="00C0667E" w:rsidRPr="00FF2DF3" w14:paraId="6839C125" w14:textId="77777777" w:rsidTr="00C84882">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02C769FC" w14:textId="77777777" w:rsidR="007545CB" w:rsidRPr="00FF2DF3" w:rsidRDefault="007545CB" w:rsidP="00C84882">
            <w:pPr>
              <w:pStyle w:val="ONUMFS"/>
              <w:keepNext/>
              <w:keepLines/>
              <w:numPr>
                <w:ilvl w:val="0"/>
                <w:numId w:val="0"/>
              </w:numPr>
              <w:jc w:val="center"/>
              <w:rPr>
                <w:sz w:val="20"/>
                <w:szCs w:val="18"/>
              </w:rPr>
            </w:pPr>
            <w:r w:rsidRPr="00FF2DF3">
              <w:rPr>
                <w:sz w:val="20"/>
              </w:rPr>
              <w:t>4</w:t>
            </w:r>
          </w:p>
        </w:tc>
        <w:tc>
          <w:tcPr>
            <w:tcW w:w="6915" w:type="dxa"/>
          </w:tcPr>
          <w:p w14:paraId="37399787"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¿Cuáles con los efectos previstos y no previstos del proyecto en la OMPI?</w:t>
            </w:r>
          </w:p>
        </w:tc>
        <w:tc>
          <w:tcPr>
            <w:tcW w:w="1842" w:type="dxa"/>
          </w:tcPr>
          <w:p w14:paraId="3776EB9D"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Impacto</w:t>
            </w:r>
          </w:p>
        </w:tc>
      </w:tr>
      <w:tr w:rsidR="00C0667E" w:rsidRPr="00FF2DF3" w14:paraId="505B61D8" w14:textId="77777777" w:rsidTr="00C84882">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0AB3A3DA" w14:textId="1F5FCBA9" w:rsidR="007545CB" w:rsidRPr="00FF2DF3" w:rsidRDefault="007545CB" w:rsidP="00C84882">
            <w:pPr>
              <w:pStyle w:val="ONUMFS"/>
              <w:keepNext/>
              <w:keepLines/>
              <w:numPr>
                <w:ilvl w:val="0"/>
                <w:numId w:val="0"/>
              </w:numPr>
              <w:jc w:val="center"/>
              <w:rPr>
                <w:sz w:val="20"/>
                <w:szCs w:val="18"/>
              </w:rPr>
            </w:pPr>
            <w:r w:rsidRPr="00FF2DF3">
              <w:rPr>
                <w:sz w:val="20"/>
              </w:rPr>
              <w:t>5</w:t>
            </w:r>
          </w:p>
        </w:tc>
        <w:tc>
          <w:tcPr>
            <w:tcW w:w="6915" w:type="dxa"/>
          </w:tcPr>
          <w:p w14:paraId="28A19BE4" w14:textId="5AE56C2C"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 xml:space="preserve">¿Qué condiciones han </w:t>
            </w:r>
            <w:r w:rsidR="00996E78" w:rsidRPr="00FF2DF3">
              <w:rPr>
                <w:sz w:val="20"/>
              </w:rPr>
              <w:t>facilitado</w:t>
            </w:r>
            <w:r w:rsidRPr="00FF2DF3">
              <w:rPr>
                <w:sz w:val="20"/>
              </w:rPr>
              <w:t xml:space="preserve"> u obstaculizado el logro de los efectos previstos?</w:t>
            </w:r>
          </w:p>
        </w:tc>
        <w:tc>
          <w:tcPr>
            <w:tcW w:w="1842" w:type="dxa"/>
          </w:tcPr>
          <w:p w14:paraId="5AE64E6C"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Impacto</w:t>
            </w:r>
          </w:p>
        </w:tc>
      </w:tr>
      <w:tr w:rsidR="00C0667E" w:rsidRPr="00FF2DF3" w14:paraId="274CB2DD" w14:textId="77777777" w:rsidTr="00C84882">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5CC588CA" w14:textId="77777777" w:rsidR="007545CB" w:rsidRPr="00FF2DF3" w:rsidRDefault="007545CB" w:rsidP="00C84882">
            <w:pPr>
              <w:pStyle w:val="ONUMFS"/>
              <w:keepNext/>
              <w:keepLines/>
              <w:numPr>
                <w:ilvl w:val="0"/>
                <w:numId w:val="0"/>
              </w:numPr>
              <w:jc w:val="center"/>
              <w:rPr>
                <w:sz w:val="20"/>
                <w:szCs w:val="18"/>
              </w:rPr>
            </w:pPr>
            <w:r w:rsidRPr="00FF2DF3">
              <w:rPr>
                <w:sz w:val="20"/>
              </w:rPr>
              <w:t>6</w:t>
            </w:r>
          </w:p>
        </w:tc>
        <w:tc>
          <w:tcPr>
            <w:tcW w:w="6915" w:type="dxa"/>
          </w:tcPr>
          <w:p w14:paraId="211D87C0"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¿Qué enseñanzas pueden extraerse para futuros proyectos de la OMPI sobre la manera de realizar progresos para lograr el impacto deseado?</w:t>
            </w:r>
          </w:p>
        </w:tc>
        <w:tc>
          <w:tcPr>
            <w:tcW w:w="1842" w:type="dxa"/>
          </w:tcPr>
          <w:p w14:paraId="04ED867A" w14:textId="77777777" w:rsidR="007545CB" w:rsidRPr="00FF2DF3" w:rsidRDefault="007545CB" w:rsidP="00C84882">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Impacto</w:t>
            </w:r>
          </w:p>
        </w:tc>
      </w:tr>
    </w:tbl>
    <w:p w14:paraId="44769922" w14:textId="7B9CFD3E" w:rsidR="007545CB" w:rsidRPr="00FF2DF3" w:rsidRDefault="007545CB" w:rsidP="007545CB">
      <w:pPr>
        <w:pStyle w:val="ONUMFS"/>
        <w:spacing w:before="220"/>
      </w:pPr>
      <w:r w:rsidRPr="00FF2DF3">
        <w:t xml:space="preserve">En general, la evaluación se llevó a cabo conforme a la matriz de evaluación que figura en el Apéndice IV. En la evaluación se utilizaron los criterios de evaluación, las fuentes de información y las técnicas analíticas descritas en la matriz de evaluación para llegar a las </w:t>
      </w:r>
      <w:r w:rsidR="008461CE" w:rsidRPr="00FF2DF3">
        <w:t>con</w:t>
      </w:r>
      <w:r w:rsidR="00D76844" w:rsidRPr="00FF2DF3">
        <w:t>clusiones</w:t>
      </w:r>
      <w:r w:rsidR="00876D65" w:rsidRPr="00FF2DF3">
        <w:t xml:space="preserve"> expresadas</w:t>
      </w:r>
      <w:r w:rsidRPr="00FF2DF3">
        <w:t xml:space="preserve">. </w:t>
      </w:r>
    </w:p>
    <w:p w14:paraId="14DD86D2" w14:textId="51E067DE" w:rsidR="007545CB" w:rsidRPr="00FF2DF3" w:rsidRDefault="007545CB" w:rsidP="007545CB">
      <w:pPr>
        <w:pStyle w:val="ONUMFS"/>
      </w:pPr>
      <w:r w:rsidRPr="00FF2DF3">
        <w:t xml:space="preserve">La evaluación se basó en fuentes de datos y métodos de análisis cualitativos y cuantitativos para obtener respuestas a las preguntas de evaluación. Los datos se recopilaron a partir de una combinación de fuentes primarias y secundarias </w:t>
      </w:r>
      <w:r w:rsidR="00E07DF3" w:rsidRPr="00FF2DF3">
        <w:t>aplicando</w:t>
      </w:r>
      <w:r w:rsidRPr="00FF2DF3">
        <w:t xml:space="preserve"> los siguientes métodos: análisis de estudios de caso, análisis estructurado de documentos, una encuesta a los beneficiarios, entrevistas a informantes clave y debates de grupos de discusión</w:t>
      </w:r>
      <w:r w:rsidRPr="00FF2DF3">
        <w:rPr>
          <w:rStyle w:val="FootnoteReference"/>
          <w:lang w:val="es-ES_tradnl"/>
        </w:rPr>
        <w:footnoteReference w:id="8"/>
      </w:r>
      <w:r w:rsidR="00A752F4" w:rsidRPr="00FF2DF3">
        <w:t>.</w:t>
      </w:r>
      <w:r w:rsidRPr="00FF2DF3">
        <w:t xml:space="preserve"> La recopilación de datos se adaptó </w:t>
      </w:r>
      <w:r w:rsidR="007D6848" w:rsidRPr="00FF2DF3">
        <w:t xml:space="preserve">de modo </w:t>
      </w:r>
      <w:r w:rsidR="003242F0" w:rsidRPr="00FF2DF3">
        <w:t>que fuera conveniente para</w:t>
      </w:r>
      <w:r w:rsidRPr="00FF2DF3">
        <w:t xml:space="preserve"> </w:t>
      </w:r>
      <w:r w:rsidR="007D6848" w:rsidRPr="00FF2DF3">
        <w:t xml:space="preserve">los </w:t>
      </w:r>
      <w:r w:rsidRPr="00FF2DF3">
        <w:t>grupos específicos (</w:t>
      </w:r>
      <w:r w:rsidRPr="00FF2DF3">
        <w:fldChar w:fldCharType="begin"/>
      </w:r>
      <w:r w:rsidRPr="00FF2DF3">
        <w:instrText xml:space="preserve"> REF _Ref137040491 \h  \* MERGEFORMAT </w:instrText>
      </w:r>
      <w:r w:rsidRPr="00FF2DF3">
        <w:fldChar w:fldCharType="separate"/>
      </w:r>
      <w:r w:rsidR="00F03444" w:rsidRPr="00FF2DF3">
        <w:t>cuadro 3</w:t>
      </w:r>
      <w:r w:rsidRPr="00FF2DF3">
        <w:fldChar w:fldCharType="end"/>
      </w:r>
      <w:r w:rsidRPr="00FF2DF3">
        <w:t xml:space="preserve">). </w:t>
      </w:r>
      <w:r w:rsidR="00866B22" w:rsidRPr="00FF2DF3">
        <w:t>Las</w:t>
      </w:r>
      <w:r w:rsidRPr="00FF2DF3">
        <w:t xml:space="preserve"> fuentes cualitativas y cuantitativas se </w:t>
      </w:r>
      <w:r w:rsidR="00866B22" w:rsidRPr="00FF2DF3">
        <w:t>seleccionaron</w:t>
      </w:r>
      <w:r w:rsidR="00D006AA" w:rsidRPr="00FF2DF3">
        <w:t xml:space="preserve"> de forma deliberada</w:t>
      </w:r>
      <w:r w:rsidR="00866B22" w:rsidRPr="00FF2DF3">
        <w:t xml:space="preserve"> </w:t>
      </w:r>
      <w:r w:rsidRPr="00FF2DF3">
        <w:t>en función de sus fortalezas</w:t>
      </w:r>
      <w:r w:rsidR="00691252" w:rsidRPr="00FF2DF3">
        <w:t>,</w:t>
      </w:r>
      <w:r w:rsidRPr="00FF2DF3">
        <w:t xml:space="preserve"> y se utilizaron para triangular las constataciones y mitigar los sesgos. </w:t>
      </w:r>
    </w:p>
    <w:p w14:paraId="1189D51F" w14:textId="52C7B5C9" w:rsidR="007545CB" w:rsidRPr="00FF2DF3" w:rsidRDefault="007545CB" w:rsidP="007545CB">
      <w:pPr>
        <w:pStyle w:val="Caption"/>
        <w:spacing w:after="120"/>
      </w:pPr>
      <w:bookmarkStart w:id="35" w:name="_Ref137040491"/>
      <w:r w:rsidRPr="00FF2DF3">
        <w:t xml:space="preserve">Cuadro </w:t>
      </w:r>
      <w:fldSimple w:instr=" SEQ Table \* ARABIC ">
        <w:r w:rsidRPr="00FF2DF3">
          <w:t>3</w:t>
        </w:r>
      </w:fldSimple>
      <w:bookmarkEnd w:id="35"/>
      <w:r w:rsidRPr="00FF2DF3">
        <w:t>: Resumen de la recopilación de datos de las partes interesadas</w:t>
      </w:r>
    </w:p>
    <w:tbl>
      <w:tblPr>
        <w:tblStyle w:val="GridTable1Light-Accent1"/>
        <w:tblW w:w="9070" w:type="dxa"/>
        <w:tblLook w:val="04A0" w:firstRow="1" w:lastRow="0" w:firstColumn="1" w:lastColumn="0" w:noHBand="0" w:noVBand="1"/>
        <w:tblCaption w:val="Table 3:  Summary of Stakeholder Data Collection"/>
        <w:tblDescription w:val="Table 3:  Summary of Stakeholder Data Collection"/>
      </w:tblPr>
      <w:tblGrid>
        <w:gridCol w:w="4309"/>
        <w:gridCol w:w="1587"/>
        <w:gridCol w:w="1587"/>
        <w:gridCol w:w="1587"/>
      </w:tblGrid>
      <w:tr w:rsidR="00623EF5" w:rsidRPr="00FF2DF3" w14:paraId="02A39506" w14:textId="77777777" w:rsidTr="00C848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FC1CDE4" w14:textId="77777777" w:rsidR="007545CB" w:rsidRPr="00FF2DF3" w:rsidRDefault="007545CB" w:rsidP="00C84882">
            <w:pPr>
              <w:pStyle w:val="ONUMFS"/>
              <w:numPr>
                <w:ilvl w:val="0"/>
                <w:numId w:val="0"/>
              </w:numPr>
              <w:spacing w:before="120" w:after="120"/>
              <w:rPr>
                <w:sz w:val="20"/>
                <w:szCs w:val="18"/>
              </w:rPr>
            </w:pPr>
          </w:p>
        </w:tc>
        <w:tc>
          <w:tcPr>
            <w:tcW w:w="1587" w:type="dxa"/>
          </w:tcPr>
          <w:p w14:paraId="7904968A" w14:textId="77777777" w:rsidR="007545CB" w:rsidRPr="00FF2DF3" w:rsidRDefault="007545CB" w:rsidP="00C84882">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Entrevista a informantes clave</w:t>
            </w:r>
          </w:p>
        </w:tc>
        <w:tc>
          <w:tcPr>
            <w:tcW w:w="1587" w:type="dxa"/>
          </w:tcPr>
          <w:p w14:paraId="40102FEF" w14:textId="77777777" w:rsidR="007545CB" w:rsidRPr="00FF2DF3" w:rsidRDefault="007545CB" w:rsidP="00C84882">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Debate de grupos de discusión</w:t>
            </w:r>
          </w:p>
        </w:tc>
        <w:tc>
          <w:tcPr>
            <w:tcW w:w="1587" w:type="dxa"/>
          </w:tcPr>
          <w:p w14:paraId="480BAAC8" w14:textId="77777777" w:rsidR="007545CB" w:rsidRPr="00FF2DF3" w:rsidRDefault="007545CB" w:rsidP="00C84882">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rPr>
            </w:pPr>
            <w:r w:rsidRPr="00FF2DF3">
              <w:rPr>
                <w:sz w:val="20"/>
              </w:rPr>
              <w:t>Encuesta en línea</w:t>
            </w:r>
          </w:p>
        </w:tc>
      </w:tr>
      <w:tr w:rsidR="00623EF5" w:rsidRPr="00FF2DF3" w14:paraId="566E4319" w14:textId="77777777" w:rsidTr="00C84882">
        <w:tc>
          <w:tcPr>
            <w:cnfStyle w:val="001000000000" w:firstRow="0" w:lastRow="0" w:firstColumn="1" w:lastColumn="0" w:oddVBand="0" w:evenVBand="0" w:oddHBand="0" w:evenHBand="0" w:firstRowFirstColumn="0" w:firstRowLastColumn="0" w:lastRowFirstColumn="0" w:lastRowLastColumn="0"/>
            <w:tcW w:w="4309" w:type="dxa"/>
            <w:vAlign w:val="center"/>
          </w:tcPr>
          <w:p w14:paraId="5898BCE7" w14:textId="77777777" w:rsidR="007545CB" w:rsidRPr="00FF2DF3" w:rsidRDefault="007545CB" w:rsidP="00C84882">
            <w:pPr>
              <w:pStyle w:val="ONUMFS"/>
              <w:numPr>
                <w:ilvl w:val="0"/>
                <w:numId w:val="0"/>
              </w:numPr>
              <w:spacing w:before="120" w:after="120"/>
              <w:rPr>
                <w:sz w:val="20"/>
                <w:szCs w:val="18"/>
              </w:rPr>
            </w:pPr>
            <w:r w:rsidRPr="00FF2DF3">
              <w:rPr>
                <w:sz w:val="20"/>
              </w:rPr>
              <w:t>Secretaría de la OMPI</w:t>
            </w:r>
          </w:p>
        </w:tc>
        <w:tc>
          <w:tcPr>
            <w:tcW w:w="1587" w:type="dxa"/>
            <w:vAlign w:val="center"/>
          </w:tcPr>
          <w:p w14:paraId="7693CCD3" w14:textId="77777777" w:rsidR="007545CB" w:rsidRPr="00FF2DF3" w:rsidRDefault="007545CB" w:rsidP="00C84882">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X</w:t>
            </w:r>
          </w:p>
        </w:tc>
        <w:tc>
          <w:tcPr>
            <w:tcW w:w="1587" w:type="dxa"/>
            <w:vAlign w:val="center"/>
          </w:tcPr>
          <w:p w14:paraId="1F25A281" w14:textId="77777777" w:rsidR="007545CB" w:rsidRPr="00FF2DF3" w:rsidRDefault="007545CB" w:rsidP="00C84882">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s-ES_tradnl"/>
              </w:rPr>
            </w:pPr>
          </w:p>
        </w:tc>
        <w:tc>
          <w:tcPr>
            <w:tcW w:w="1587" w:type="dxa"/>
            <w:vAlign w:val="center"/>
          </w:tcPr>
          <w:p w14:paraId="01D7FF6A" w14:textId="77777777" w:rsidR="007545CB" w:rsidRPr="00FF2DF3" w:rsidRDefault="007545CB" w:rsidP="00C84882">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X</w:t>
            </w:r>
          </w:p>
        </w:tc>
      </w:tr>
      <w:tr w:rsidR="00623EF5" w:rsidRPr="00FF2DF3" w14:paraId="2CF93CEC" w14:textId="77777777" w:rsidTr="00C84882">
        <w:tc>
          <w:tcPr>
            <w:cnfStyle w:val="001000000000" w:firstRow="0" w:lastRow="0" w:firstColumn="1" w:lastColumn="0" w:oddVBand="0" w:evenVBand="0" w:oddHBand="0" w:evenHBand="0" w:firstRowFirstColumn="0" w:firstRowLastColumn="0" w:lastRowFirstColumn="0" w:lastRowLastColumn="0"/>
            <w:tcW w:w="4309" w:type="dxa"/>
            <w:vAlign w:val="center"/>
          </w:tcPr>
          <w:p w14:paraId="5F10FBC3" w14:textId="77777777" w:rsidR="007545CB" w:rsidRPr="00FF2DF3" w:rsidRDefault="007545CB" w:rsidP="00C84882">
            <w:pPr>
              <w:pStyle w:val="ONUMFS"/>
              <w:numPr>
                <w:ilvl w:val="0"/>
                <w:numId w:val="0"/>
              </w:numPr>
              <w:spacing w:before="120" w:after="120"/>
              <w:rPr>
                <w:sz w:val="20"/>
                <w:szCs w:val="18"/>
              </w:rPr>
            </w:pPr>
            <w:r w:rsidRPr="00FF2DF3">
              <w:rPr>
                <w:sz w:val="20"/>
              </w:rPr>
              <w:t>Oficinas nacionales de PI, expertos nacionales e internacionales y otras partes interesadas</w:t>
            </w:r>
          </w:p>
        </w:tc>
        <w:tc>
          <w:tcPr>
            <w:tcW w:w="1587" w:type="dxa"/>
            <w:vAlign w:val="center"/>
          </w:tcPr>
          <w:p w14:paraId="299744FA" w14:textId="77777777" w:rsidR="007545CB" w:rsidRPr="00FF2DF3" w:rsidRDefault="007545CB" w:rsidP="00C84882">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p>
        </w:tc>
        <w:tc>
          <w:tcPr>
            <w:tcW w:w="1587" w:type="dxa"/>
            <w:vAlign w:val="center"/>
          </w:tcPr>
          <w:p w14:paraId="2B3DFC32" w14:textId="77777777" w:rsidR="007545CB" w:rsidRPr="00FF2DF3" w:rsidRDefault="007545CB" w:rsidP="00C84882">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X</w:t>
            </w:r>
          </w:p>
        </w:tc>
        <w:tc>
          <w:tcPr>
            <w:tcW w:w="1587" w:type="dxa"/>
            <w:vAlign w:val="center"/>
          </w:tcPr>
          <w:p w14:paraId="0400C7AF" w14:textId="77777777" w:rsidR="007545CB" w:rsidRPr="00FF2DF3" w:rsidRDefault="007545CB" w:rsidP="00C84882">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rPr>
            </w:pPr>
            <w:r w:rsidRPr="00FF2DF3">
              <w:rPr>
                <w:sz w:val="20"/>
              </w:rPr>
              <w:t>X</w:t>
            </w:r>
          </w:p>
        </w:tc>
      </w:tr>
    </w:tbl>
    <w:p w14:paraId="70A2F3FC" w14:textId="7175F498" w:rsidR="007545CB" w:rsidRPr="00FF2DF3" w:rsidRDefault="007545CB" w:rsidP="007545CB">
      <w:pPr>
        <w:pStyle w:val="ONUMFS"/>
        <w:spacing w:before="220"/>
      </w:pPr>
      <w:r w:rsidRPr="00FF2DF3">
        <w:t xml:space="preserve">Dos estudios de caso aportaron un nivel adicional </w:t>
      </w:r>
      <w:r w:rsidR="00353744" w:rsidRPr="00FF2DF3">
        <w:t>de</w:t>
      </w:r>
      <w:r w:rsidRPr="00FF2DF3">
        <w:t xml:space="preserve"> ilustración y explicación (por ejemplo, preguntas sobre </w:t>
      </w:r>
      <w:r w:rsidRPr="00FF2DF3">
        <w:rPr>
          <w:i/>
        </w:rPr>
        <w:t xml:space="preserve">cómo, por qué </w:t>
      </w:r>
      <w:r w:rsidRPr="00FF2DF3">
        <w:t>y</w:t>
      </w:r>
      <w:r w:rsidRPr="00FF2DF3">
        <w:rPr>
          <w:i/>
        </w:rPr>
        <w:t xml:space="preserve"> para quién</w:t>
      </w:r>
      <w:r w:rsidRPr="00FF2DF3">
        <w:t>)</w:t>
      </w:r>
      <w:r w:rsidR="00D006AA" w:rsidRPr="00FF2DF3">
        <w:t>,</w:t>
      </w:r>
      <w:r w:rsidRPr="00FF2DF3">
        <w:t xml:space="preserve"> </w:t>
      </w:r>
      <w:r w:rsidR="00353744" w:rsidRPr="00FF2DF3">
        <w:t xml:space="preserve">con el fin de </w:t>
      </w:r>
      <w:r w:rsidRPr="00FF2DF3">
        <w:t xml:space="preserve">ayudar a comprender las constataciones </w:t>
      </w:r>
      <w:r w:rsidR="009012CE" w:rsidRPr="00FF2DF3">
        <w:t>hec</w:t>
      </w:r>
      <w:r w:rsidR="00210986" w:rsidRPr="00FF2DF3">
        <w:t>h</w:t>
      </w:r>
      <w:r w:rsidR="009012CE" w:rsidRPr="00FF2DF3">
        <w:t>as</w:t>
      </w:r>
      <w:r w:rsidRPr="00FF2DF3">
        <w:t xml:space="preserve">. </w:t>
      </w:r>
      <w:r w:rsidR="00672E17" w:rsidRPr="00FF2DF3">
        <w:t>La elaboración de lo</w:t>
      </w:r>
      <w:r w:rsidRPr="00FF2DF3">
        <w:t xml:space="preserve">s estudios de caso se </w:t>
      </w:r>
      <w:r w:rsidR="00672E17" w:rsidRPr="00FF2DF3">
        <w:t>basó en</w:t>
      </w:r>
      <w:r w:rsidR="00D04EB8" w:rsidRPr="00FF2DF3">
        <w:t xml:space="preserve"> la</w:t>
      </w:r>
      <w:r w:rsidR="00210986" w:rsidRPr="00FF2DF3">
        <w:t xml:space="preserve"> </w:t>
      </w:r>
      <w:r w:rsidRPr="00FF2DF3">
        <w:t xml:space="preserve">evaluación de la trayectoria de los efectos directos (Douthwaite et al., 2023). </w:t>
      </w:r>
      <w:r w:rsidR="00D04EB8" w:rsidRPr="00FF2DF3">
        <w:t xml:space="preserve">Este </w:t>
      </w:r>
      <w:r w:rsidRPr="00FF2DF3">
        <w:t xml:space="preserve">enfoque consiste en seleccionar un impacto significativo del proyecto y, </w:t>
      </w:r>
      <w:r w:rsidR="00F51128" w:rsidRPr="00FF2DF3">
        <w:t>seguidamente</w:t>
      </w:r>
      <w:r w:rsidRPr="00FF2DF3">
        <w:t xml:space="preserve">, hacer una retrospectiva para describir el conjunto de interacciones entre </w:t>
      </w:r>
      <w:r w:rsidR="00C848C6" w:rsidRPr="00FF2DF3">
        <w:t xml:space="preserve">los </w:t>
      </w:r>
      <w:r w:rsidRPr="00FF2DF3">
        <w:t xml:space="preserve">agentes, </w:t>
      </w:r>
      <w:r w:rsidR="00C848C6" w:rsidRPr="00FF2DF3">
        <w:t xml:space="preserve">los </w:t>
      </w:r>
      <w:r w:rsidRPr="00FF2DF3">
        <w:t xml:space="preserve">conocimientos, </w:t>
      </w:r>
      <w:r w:rsidR="00C848C6" w:rsidRPr="00FF2DF3">
        <w:t xml:space="preserve">la </w:t>
      </w:r>
      <w:r w:rsidRPr="00FF2DF3">
        <w:t xml:space="preserve">tecnología </w:t>
      </w:r>
      <w:r w:rsidR="00C848C6" w:rsidRPr="00FF2DF3">
        <w:t xml:space="preserve">y las </w:t>
      </w:r>
      <w:r w:rsidRPr="00FF2DF3">
        <w:t>instituciones que generaron el impacto</w:t>
      </w:r>
      <w:r w:rsidR="00AA28C2" w:rsidRPr="00FF2DF3">
        <w:t xml:space="preserve">, así como </w:t>
      </w:r>
      <w:r w:rsidRPr="00FF2DF3">
        <w:t xml:space="preserve">la contribución del proyecto al mismo. </w:t>
      </w:r>
      <w:r w:rsidR="00631A84" w:rsidRPr="00FF2DF3">
        <w:t>L</w:t>
      </w:r>
      <w:r w:rsidR="00D10C24" w:rsidRPr="00FF2DF3">
        <w:t>a</w:t>
      </w:r>
      <w:r w:rsidRPr="00FF2DF3">
        <w:t xml:space="preserve"> evaluación </w:t>
      </w:r>
      <w:r w:rsidR="00D10C24" w:rsidRPr="00FF2DF3">
        <w:t xml:space="preserve">trayectoria de los efectos directos </w:t>
      </w:r>
      <w:r w:rsidR="00A822FB" w:rsidRPr="00FF2DF3">
        <w:t xml:space="preserve">se basa en </w:t>
      </w:r>
      <w:r w:rsidRPr="00FF2DF3">
        <w:t>el análisis de contr</w:t>
      </w:r>
      <w:r w:rsidR="00500DEB" w:rsidRPr="00FF2DF3">
        <w:t>ibución (Mayne, </w:t>
      </w:r>
      <w:r w:rsidRPr="00FF2DF3">
        <w:t>2012), la recolección de efectos directos y el rastreo de procesos. El supuesto clave</w:t>
      </w:r>
      <w:r w:rsidR="00B80738" w:rsidRPr="00FF2DF3">
        <w:t xml:space="preserve"> </w:t>
      </w:r>
      <w:r w:rsidR="00F6343C" w:rsidRPr="00FF2DF3">
        <w:t xml:space="preserve">de este </w:t>
      </w:r>
      <w:r w:rsidR="00B80738" w:rsidRPr="00FF2DF3">
        <w:t>enfoque</w:t>
      </w:r>
      <w:r w:rsidRPr="00FF2DF3">
        <w:t xml:space="preserve"> es que el objeto de evaluación ha contribuido a un cambio significativo en materia de políticas. </w:t>
      </w:r>
      <w:r w:rsidR="00892D8C" w:rsidRPr="00FF2DF3">
        <w:t xml:space="preserve">Se trata de un </w:t>
      </w:r>
      <w:r w:rsidRPr="00FF2DF3">
        <w:t xml:space="preserve">enfoque especialmente adecuado para analizar el impacto de la investigación </w:t>
      </w:r>
      <w:r w:rsidR="0065102E" w:rsidRPr="00FF2DF3">
        <w:t>en el caso de</w:t>
      </w:r>
      <w:r w:rsidRPr="00FF2DF3">
        <w:t xml:space="preserve"> proyectos de desarrollo con largas </w:t>
      </w:r>
      <w:r w:rsidR="00223197" w:rsidRPr="00FF2DF3">
        <w:t>cadenas causales (Child et al., </w:t>
      </w:r>
      <w:r w:rsidRPr="00FF2DF3">
        <w:t xml:space="preserve">2021), lo cual es pertinente para el objeto de evaluación en cuestión. </w:t>
      </w:r>
    </w:p>
    <w:p w14:paraId="36770AFA" w14:textId="486071D1" w:rsidR="007545CB" w:rsidRPr="00FF2DF3" w:rsidRDefault="007545CB" w:rsidP="007545CB">
      <w:pPr>
        <w:pStyle w:val="ONUMFS"/>
      </w:pPr>
      <w:r w:rsidRPr="00FF2DF3">
        <w:t>En consulta con el</w:t>
      </w:r>
      <w:r w:rsidR="00567A11" w:rsidRPr="00FF2DF3">
        <w:t xml:space="preserve"> jefe de la Sección de Evaluación </w:t>
      </w:r>
      <w:r w:rsidRPr="00FF2DF3">
        <w:t xml:space="preserve">y con arreglo a los criterios de selección descritos en el mandato de la evaluación, </w:t>
      </w:r>
      <w:r w:rsidR="00B94C96" w:rsidRPr="00FF2DF3">
        <w:t xml:space="preserve">se procedió a la selección </w:t>
      </w:r>
      <w:r w:rsidR="0008164B" w:rsidRPr="00FF2DF3">
        <w:t>deliberada de</w:t>
      </w:r>
      <w:r w:rsidRPr="00FF2DF3">
        <w:t xml:space="preserve"> estudios de caso que fueran representativos de los efectos positivos del proyecto en ambas fases de ejecución (Brasil e Indonesia). </w:t>
      </w:r>
    </w:p>
    <w:p w14:paraId="0FECD930" w14:textId="77777777" w:rsidR="007545CB" w:rsidRPr="00FF2DF3" w:rsidRDefault="007545CB" w:rsidP="007545CB">
      <w:pPr>
        <w:pStyle w:val="ONUMFS"/>
      </w:pPr>
      <w:r w:rsidRPr="00FF2DF3">
        <w:t xml:space="preserve">En esta evaluación, la atención se centró en los efectos relacionados con las políticas, entre los que figuran (Renkow, 2018): </w:t>
      </w:r>
    </w:p>
    <w:p w14:paraId="0C54BB0A" w14:textId="77777777" w:rsidR="007545CB" w:rsidRPr="00FF2DF3" w:rsidRDefault="007545CB" w:rsidP="007545CB">
      <w:pPr>
        <w:pStyle w:val="ONUMFS"/>
        <w:numPr>
          <w:ilvl w:val="0"/>
          <w:numId w:val="34"/>
        </w:numPr>
        <w:spacing w:after="0"/>
      </w:pPr>
      <w:r w:rsidRPr="00FF2DF3">
        <w:t xml:space="preserve">Cambios en la legislación que rige los incentivos económicos; </w:t>
      </w:r>
    </w:p>
    <w:p w14:paraId="299835BE" w14:textId="77777777" w:rsidR="007545CB" w:rsidRPr="00FF2DF3" w:rsidRDefault="007545CB" w:rsidP="007545CB">
      <w:pPr>
        <w:pStyle w:val="ONUMFS"/>
        <w:numPr>
          <w:ilvl w:val="0"/>
          <w:numId w:val="34"/>
        </w:numPr>
        <w:spacing w:after="0"/>
      </w:pPr>
      <w:r w:rsidRPr="00FF2DF3">
        <w:t xml:space="preserve">Creación y fortalecimiento de instituciones; </w:t>
      </w:r>
    </w:p>
    <w:p w14:paraId="4F527BF6" w14:textId="77777777" w:rsidR="007545CB" w:rsidRPr="00FF2DF3" w:rsidRDefault="007545CB" w:rsidP="007545CB">
      <w:pPr>
        <w:pStyle w:val="ONUMFS"/>
        <w:numPr>
          <w:ilvl w:val="0"/>
          <w:numId w:val="34"/>
        </w:numPr>
        <w:spacing w:after="0"/>
      </w:pPr>
      <w:r w:rsidRPr="00FF2DF3">
        <w:t>Cambios en las prioridades de inversión y las asignaciones presupuestarias de los sectores público y privado;</w:t>
      </w:r>
    </w:p>
    <w:p w14:paraId="2A6A6037" w14:textId="77777777" w:rsidR="007545CB" w:rsidRPr="00FF2DF3" w:rsidRDefault="007545CB" w:rsidP="007545CB">
      <w:pPr>
        <w:pStyle w:val="ONUMFS"/>
        <w:numPr>
          <w:ilvl w:val="0"/>
          <w:numId w:val="33"/>
        </w:numPr>
        <w:spacing w:after="0"/>
      </w:pPr>
      <w:r w:rsidRPr="00FF2DF3">
        <w:t xml:space="preserve">Innovaciones en el funcionamiento y la gestión de organismos y programas gubernamentales y del sector privado; </w:t>
      </w:r>
    </w:p>
    <w:p w14:paraId="4DF9DB45" w14:textId="696E4209" w:rsidR="007545CB" w:rsidRPr="00FF2DF3" w:rsidRDefault="007545CB" w:rsidP="007545CB">
      <w:pPr>
        <w:pStyle w:val="ONUMFS"/>
        <w:numPr>
          <w:ilvl w:val="0"/>
          <w:numId w:val="33"/>
        </w:numPr>
      </w:pPr>
      <w:r w:rsidRPr="00FF2DF3">
        <w:t xml:space="preserve">Tratados internacionales, declaraciones o acuerdos entre las partes </w:t>
      </w:r>
      <w:r w:rsidR="00641DA5" w:rsidRPr="00FF2DF3">
        <w:t>suscrito</w:t>
      </w:r>
      <w:r w:rsidR="0042692B" w:rsidRPr="00FF2DF3">
        <w:t>s</w:t>
      </w:r>
      <w:r w:rsidRPr="00FF2DF3">
        <w:t xml:space="preserve"> en </w:t>
      </w:r>
      <w:r w:rsidR="00641DA5" w:rsidRPr="00FF2DF3">
        <w:t xml:space="preserve">el marco de </w:t>
      </w:r>
      <w:r w:rsidRPr="00FF2DF3">
        <w:t xml:space="preserve">grandes conferencias </w:t>
      </w:r>
      <w:r w:rsidR="00750F53" w:rsidRPr="00FF2DF3">
        <w:t xml:space="preserve">sobre </w:t>
      </w:r>
      <w:r w:rsidRPr="00FF2DF3">
        <w:t>políticas.</w:t>
      </w:r>
    </w:p>
    <w:p w14:paraId="055DD63D" w14:textId="43C69154" w:rsidR="007545CB" w:rsidRPr="00FF2DF3" w:rsidRDefault="007545CB" w:rsidP="007545CB">
      <w:pPr>
        <w:pStyle w:val="ONUMFS"/>
        <w:spacing w:after="0"/>
      </w:pPr>
      <w:r w:rsidRPr="00FF2DF3">
        <w:t xml:space="preserve">Los estudios de caso se centran principalmente en los efectos relacionados con las políticas, ya que en general aparecen primero y pueden aportar beneficios considerables a gran escala, aunque a menudo </w:t>
      </w:r>
      <w:r w:rsidR="00AD09BE" w:rsidRPr="00FF2DF3">
        <w:t xml:space="preserve">tienen largas </w:t>
      </w:r>
      <w:r w:rsidRPr="00FF2DF3">
        <w:t>trayectoria</w:t>
      </w:r>
      <w:r w:rsidR="00AD09BE" w:rsidRPr="00FF2DF3">
        <w:t>s</w:t>
      </w:r>
      <w:r w:rsidRPr="00FF2DF3">
        <w:t xml:space="preserve"> causal</w:t>
      </w:r>
      <w:r w:rsidR="00AD09BE" w:rsidRPr="00FF2DF3">
        <w:t>es</w:t>
      </w:r>
      <w:r w:rsidRPr="00FF2DF3">
        <w:t xml:space="preserve">. Además, dados los objetivos y la estrategia de ejecución del proyecto, se trata de efectos </w:t>
      </w:r>
      <w:r w:rsidR="0078364F" w:rsidRPr="00FF2DF3">
        <w:t>que</w:t>
      </w:r>
      <w:r w:rsidR="002C1386" w:rsidRPr="00FF2DF3">
        <w:t xml:space="preserve"> el proyecto</w:t>
      </w:r>
      <w:r w:rsidR="0078364F" w:rsidRPr="00FF2DF3">
        <w:t xml:space="preserve"> tiene muchas probabilidades de lograr</w:t>
      </w:r>
      <w:r w:rsidRPr="00FF2DF3">
        <w:t>.</w:t>
      </w:r>
    </w:p>
    <w:p w14:paraId="7BF09269" w14:textId="77777777" w:rsidR="007545CB" w:rsidRPr="00FF2DF3" w:rsidRDefault="007545CB" w:rsidP="009E76FE">
      <w:pPr>
        <w:pStyle w:val="Heading2"/>
        <w:numPr>
          <w:ilvl w:val="0"/>
          <w:numId w:val="35"/>
        </w:numPr>
        <w:tabs>
          <w:tab w:val="clear" w:pos="567"/>
        </w:tabs>
        <w:spacing w:after="240"/>
        <w:ind w:left="562"/>
      </w:pPr>
      <w:bookmarkStart w:id="36" w:name="_Toc140224973"/>
      <w:bookmarkStart w:id="37" w:name="_Toc146102846"/>
      <w:r w:rsidRPr="00FF2DF3">
        <w:t>PROPÓSITO PRINCIPAL DE LA METODOLOGÍA</w:t>
      </w:r>
      <w:bookmarkEnd w:id="36"/>
      <w:bookmarkEnd w:id="37"/>
    </w:p>
    <w:p w14:paraId="572DC572" w14:textId="06A6A908" w:rsidR="007545CB" w:rsidRPr="00FF2DF3" w:rsidRDefault="007545CB" w:rsidP="007545CB">
      <w:pPr>
        <w:pStyle w:val="ONUMFS"/>
      </w:pPr>
      <w:r w:rsidRPr="00FF2DF3">
        <w:t>La evaluación de impacto se basa en las evaluaciones exi</w:t>
      </w:r>
      <w:r w:rsidR="00223197" w:rsidRPr="00FF2DF3">
        <w:t>stentes realizadas entre 2014 y </w:t>
      </w:r>
      <w:r w:rsidRPr="00FF2DF3">
        <w:t xml:space="preserve">2018, </w:t>
      </w:r>
      <w:r w:rsidR="00C0685B" w:rsidRPr="00FF2DF3">
        <w:t xml:space="preserve">y las </w:t>
      </w:r>
      <w:r w:rsidR="00CB4C45" w:rsidRPr="00FF2DF3">
        <w:t>completa</w:t>
      </w:r>
      <w:r w:rsidRPr="00FF2DF3">
        <w:t xml:space="preserve">. Lo más interesante </w:t>
      </w:r>
      <w:r w:rsidR="0055013A" w:rsidRPr="00FF2DF3">
        <w:t>en este sentido</w:t>
      </w:r>
      <w:r w:rsidRPr="00FF2DF3">
        <w:t xml:space="preserve"> es la evaluación de </w:t>
      </w:r>
      <w:r w:rsidR="00C0685B" w:rsidRPr="00FF2DF3">
        <w:t xml:space="preserve">la </w:t>
      </w:r>
      <w:r w:rsidRPr="00FF2DF3">
        <w:t>fase II (CDIP22/9):</w:t>
      </w:r>
    </w:p>
    <w:p w14:paraId="11FC97A2" w14:textId="374D4A5F" w:rsidR="007545CB" w:rsidRPr="00FF2DF3" w:rsidRDefault="007545CB" w:rsidP="007545CB">
      <w:pPr>
        <w:pStyle w:val="ONUMFS"/>
        <w:numPr>
          <w:ilvl w:val="0"/>
          <w:numId w:val="0"/>
        </w:numPr>
        <w:ind w:left="567" w:right="850"/>
        <w:rPr>
          <w:i/>
          <w:iCs/>
        </w:rPr>
      </w:pPr>
      <w:r w:rsidRPr="00FF2DF3">
        <w:rPr>
          <w:i/>
        </w:rPr>
        <w:t>En general, si bien es pronto para evaluar el impacto de la labor realizada en el marco de la fase II del proyecto, existen claros indicios de que la labor emprendida en el contexto del proyecto global está ayudando a comprender mejor la función de la PI</w:t>
      </w:r>
      <w:r w:rsidR="00A87C10" w:rsidRPr="00FF2DF3">
        <w:rPr>
          <w:i/>
        </w:rPr>
        <w:t>,</w:t>
      </w:r>
      <w:r w:rsidRPr="00FF2DF3">
        <w:rPr>
          <w:i/>
        </w:rPr>
        <w:t xml:space="preserve"> y de que la labor pionera consistente en “limpiar” los datos existentes y crear nuevos conjuntos de datos que vinculen las estadísticas tradicionales de PI a la información económica general es un gran paso adelante.</w:t>
      </w:r>
    </w:p>
    <w:p w14:paraId="2251E6F0" w14:textId="4731BCE1" w:rsidR="007545CB" w:rsidRPr="00FF2DF3" w:rsidRDefault="007545CB" w:rsidP="007545CB">
      <w:pPr>
        <w:pStyle w:val="ONUMFS"/>
      </w:pPr>
      <w:r w:rsidRPr="00FF2DF3">
        <w:t>La evaluación debía ir más allá de la eficacia de la ejecución y tener en cuenta los efectos a largo plazo en múltiples contextos nacionales (</w:t>
      </w:r>
      <w:bookmarkStart w:id="38" w:name="_Hlk145792575"/>
      <w:r w:rsidRPr="00FF2DF3">
        <w:fldChar w:fldCharType="begin"/>
      </w:r>
      <w:r w:rsidRPr="00FF2DF3">
        <w:instrText xml:space="preserve"> REF _Ref138068837 \h </w:instrText>
      </w:r>
      <w:r w:rsidR="00467EFC" w:rsidRPr="00FF2DF3">
        <w:instrText xml:space="preserve"> \* MERGEFORMAT </w:instrText>
      </w:r>
      <w:r w:rsidRPr="00FF2DF3">
        <w:fldChar w:fldCharType="separate"/>
      </w:r>
      <w:r w:rsidR="00223197" w:rsidRPr="00FF2DF3">
        <w:t xml:space="preserve">recuadro </w:t>
      </w:r>
      <w:r w:rsidRPr="00FF2DF3">
        <w:fldChar w:fldCharType="end"/>
      </w:r>
      <w:bookmarkEnd w:id="38"/>
      <w:r w:rsidR="009B0833" w:rsidRPr="00FF2DF3">
        <w:t>3)</w:t>
      </w:r>
      <w:r w:rsidRPr="00FF2DF3">
        <w:t xml:space="preserve">. </w:t>
      </w:r>
    </w:p>
    <w:p w14:paraId="3B154ACC" w14:textId="305EAD25" w:rsidR="007545CB" w:rsidRPr="00FF2DF3" w:rsidRDefault="007545CB" w:rsidP="009F2A6D">
      <w:pPr>
        <w:pStyle w:val="Caption"/>
        <w:keepNext/>
        <w:spacing w:after="120"/>
      </w:pPr>
      <w:bookmarkStart w:id="39" w:name="_Ref138068837"/>
      <w:r w:rsidRPr="00FF2DF3">
        <w:t xml:space="preserve">Recuadro </w:t>
      </w:r>
      <w:bookmarkEnd w:id="39"/>
      <w:r w:rsidRPr="00FF2DF3">
        <w:fldChar w:fldCharType="begin"/>
      </w:r>
      <w:r w:rsidRPr="00FF2DF3">
        <w:instrText xml:space="preserve"> SEQ Text_Box \* ARABIC </w:instrText>
      </w:r>
      <w:r w:rsidRPr="00FF2DF3">
        <w:fldChar w:fldCharType="separate"/>
      </w:r>
      <w:r w:rsidRPr="00FF2DF3">
        <w:t>3</w:t>
      </w:r>
      <w:r w:rsidRPr="00FF2DF3">
        <w:fldChar w:fldCharType="end"/>
      </w:r>
      <w:r w:rsidRPr="00FF2DF3">
        <w:t>: Aclaración terminológica</w:t>
      </w:r>
    </w:p>
    <w:tbl>
      <w:tblPr>
        <w:tblStyle w:val="TableGrid"/>
        <w:tblW w:w="0" w:type="auto"/>
        <w:tblLook w:val="04A0" w:firstRow="1" w:lastRow="0" w:firstColumn="1" w:lastColumn="0" w:noHBand="0" w:noVBand="1"/>
        <w:tblCaption w:val="Text Box 3:  Terminology Clarification"/>
        <w:tblDescription w:val="In accordance with the ToR, the evaluation employs the following definitions of impact:&#10;Secondary Impacts:  the high-level aspirations of the project's implementers and stakeholders (i.e., the project's &quot;North Star&quot;).  &#10;Primary Impacts:  the project's accountability ceiling takes into account that its activities and deliverables are research focused.  Primary impacts are those that the project can plausibly contribute to but cannot directly bring about by itself. &#10;"/>
      </w:tblPr>
      <w:tblGrid>
        <w:gridCol w:w="9345"/>
      </w:tblGrid>
      <w:tr w:rsidR="0055013A" w:rsidRPr="00FF2DF3" w14:paraId="04BF8ECA" w14:textId="77777777" w:rsidTr="00C84882">
        <w:trPr>
          <w:tblHeader/>
        </w:trPr>
        <w:tc>
          <w:tcPr>
            <w:tcW w:w="9345" w:type="dxa"/>
            <w:shd w:val="clear" w:color="auto" w:fill="DAEEF3" w:themeFill="accent5" w:themeFillTint="33"/>
          </w:tcPr>
          <w:p w14:paraId="3AE34422" w14:textId="1AC8B1EA" w:rsidR="007545CB" w:rsidRPr="00FF2DF3" w:rsidRDefault="007545CB" w:rsidP="009F2A6D">
            <w:pPr>
              <w:pStyle w:val="ONUMFS"/>
              <w:keepNext/>
              <w:numPr>
                <w:ilvl w:val="0"/>
                <w:numId w:val="0"/>
              </w:numPr>
              <w:spacing w:before="240"/>
            </w:pPr>
            <w:r w:rsidRPr="00FF2DF3">
              <w:t xml:space="preserve">Conforme al mandato, en la evaluación se emplean las siguientes definiciones </w:t>
            </w:r>
            <w:r w:rsidR="00470991" w:rsidRPr="00FF2DF3">
              <w:t xml:space="preserve">sobre el </w:t>
            </w:r>
            <w:r w:rsidRPr="00FF2DF3">
              <w:t>impacto:</w:t>
            </w:r>
          </w:p>
          <w:p w14:paraId="3BB9A5E4" w14:textId="5149465E" w:rsidR="007545CB" w:rsidRPr="00FF2DF3" w:rsidRDefault="007545CB" w:rsidP="009F2A6D">
            <w:pPr>
              <w:pStyle w:val="ONUMFS"/>
              <w:keepNext/>
              <w:numPr>
                <w:ilvl w:val="0"/>
                <w:numId w:val="0"/>
              </w:numPr>
            </w:pPr>
            <w:r w:rsidRPr="00FF2DF3">
              <w:rPr>
                <w:b/>
                <w:i/>
              </w:rPr>
              <w:t>Efectos secundarios:</w:t>
            </w:r>
            <w:r w:rsidRPr="00FF2DF3">
              <w:t xml:space="preserve"> las aspiraciones de alto nivel de los ejecutores y las partes interesadas del proyecto</w:t>
            </w:r>
            <w:r w:rsidR="009647A7" w:rsidRPr="00FF2DF3">
              <w:t xml:space="preserve"> </w:t>
            </w:r>
            <w:r w:rsidRPr="00FF2DF3">
              <w:rPr>
                <w:iCs/>
              </w:rPr>
              <w:t>(</w:t>
            </w:r>
            <w:r w:rsidRPr="00FF2DF3">
              <w:t xml:space="preserve">es decir, </w:t>
            </w:r>
            <w:r w:rsidR="0015173C" w:rsidRPr="00FF2DF3">
              <w:t xml:space="preserve">todo </w:t>
            </w:r>
            <w:r w:rsidRPr="00FF2DF3">
              <w:t xml:space="preserve">aquello que define el norte del proyecto). </w:t>
            </w:r>
          </w:p>
          <w:p w14:paraId="5C1DF7FD" w14:textId="5F161A8B" w:rsidR="007545CB" w:rsidRPr="00FF2DF3" w:rsidRDefault="007545CB" w:rsidP="009F2A6D">
            <w:pPr>
              <w:pStyle w:val="ONUMFS"/>
              <w:keepNext/>
              <w:numPr>
                <w:ilvl w:val="0"/>
                <w:numId w:val="0"/>
              </w:numPr>
            </w:pPr>
            <w:r w:rsidRPr="00FF2DF3">
              <w:rPr>
                <w:b/>
                <w:i/>
              </w:rPr>
              <w:t>Efectos primarios:</w:t>
            </w:r>
            <w:r w:rsidRPr="00FF2DF3">
              <w:t xml:space="preserve"> el </w:t>
            </w:r>
            <w:r w:rsidR="001A1A66" w:rsidRPr="00FF2DF3">
              <w:t>alcance</w:t>
            </w:r>
            <w:r w:rsidR="00A75BA3" w:rsidRPr="00FF2DF3">
              <w:t xml:space="preserve"> </w:t>
            </w:r>
            <w:r w:rsidR="0016601E" w:rsidRPr="00FF2DF3">
              <w:t xml:space="preserve">de responsabilidad </w:t>
            </w:r>
            <w:r w:rsidR="00A75BA3" w:rsidRPr="00FF2DF3">
              <w:t>del proyecto</w:t>
            </w:r>
            <w:r w:rsidR="008B2D40" w:rsidRPr="00FF2DF3">
              <w:t xml:space="preserve"> </w:t>
            </w:r>
            <w:r w:rsidR="00102619" w:rsidRPr="00FF2DF3">
              <w:t>tiene en cuenta que</w:t>
            </w:r>
            <w:r w:rsidR="00B77A67" w:rsidRPr="00FF2DF3">
              <w:t xml:space="preserve"> </w:t>
            </w:r>
            <w:r w:rsidRPr="00FF2DF3">
              <w:t xml:space="preserve">sus actividades y aportes concretos </w:t>
            </w:r>
            <w:r w:rsidR="00102619" w:rsidRPr="00FF2DF3">
              <w:t xml:space="preserve">están centrados en la </w:t>
            </w:r>
            <w:r w:rsidRPr="00FF2DF3">
              <w:t xml:space="preserve">investigación. Los efectos primarios son aquellos a los que el proyecto puede contribuir </w:t>
            </w:r>
            <w:r w:rsidR="00870E26" w:rsidRPr="00FF2DF3">
              <w:t>de forma plausible</w:t>
            </w:r>
            <w:r w:rsidRPr="00FF2DF3">
              <w:t xml:space="preserve">, pero que por sí mismo no puede producir </w:t>
            </w:r>
            <w:r w:rsidR="007A16DA" w:rsidRPr="00FF2DF3">
              <w:t xml:space="preserve">de forma </w:t>
            </w:r>
            <w:r w:rsidRPr="00FF2DF3">
              <w:t>d</w:t>
            </w:r>
            <w:r w:rsidR="00F104CB" w:rsidRPr="00FF2DF3">
              <w:t>i</w:t>
            </w:r>
            <w:r w:rsidRPr="00FF2DF3">
              <w:t xml:space="preserve">recta. </w:t>
            </w:r>
          </w:p>
        </w:tc>
      </w:tr>
    </w:tbl>
    <w:p w14:paraId="43D581BF" w14:textId="2000F88F" w:rsidR="007545CB" w:rsidRPr="00FF2DF3" w:rsidRDefault="00F104CB" w:rsidP="007545CB">
      <w:pPr>
        <w:pStyle w:val="ONUMFS"/>
        <w:spacing w:before="220"/>
      </w:pPr>
      <w:r w:rsidRPr="00FF2DF3">
        <w:t xml:space="preserve">La evaluación tuvo tres </w:t>
      </w:r>
      <w:r w:rsidR="007545CB" w:rsidRPr="00FF2DF3">
        <w:t>objetivos específicos:</w:t>
      </w:r>
    </w:p>
    <w:p w14:paraId="70DF5639" w14:textId="234A1093" w:rsidR="007545CB" w:rsidRPr="00FF2DF3" w:rsidRDefault="007545CB" w:rsidP="007545CB">
      <w:pPr>
        <w:pStyle w:val="ONUMFS"/>
        <w:numPr>
          <w:ilvl w:val="0"/>
          <w:numId w:val="13"/>
        </w:numPr>
        <w:spacing w:after="0"/>
      </w:pPr>
      <w:r w:rsidRPr="00FF2DF3">
        <w:t xml:space="preserve">Aportar datos sobre el impacto a lo largo de </w:t>
      </w:r>
      <w:r w:rsidR="00F104CB" w:rsidRPr="00FF2DF3">
        <w:t xml:space="preserve">las </w:t>
      </w:r>
      <w:r w:rsidRPr="00FF2DF3">
        <w:t>dos fases de ejecución del proyecto.</w:t>
      </w:r>
    </w:p>
    <w:p w14:paraId="42FBC0BE" w14:textId="77777777" w:rsidR="007545CB" w:rsidRPr="00FF2DF3" w:rsidRDefault="007545CB" w:rsidP="007545CB">
      <w:pPr>
        <w:pStyle w:val="ONUMFS"/>
        <w:numPr>
          <w:ilvl w:val="0"/>
          <w:numId w:val="13"/>
        </w:numPr>
        <w:spacing w:after="0"/>
      </w:pPr>
      <w:r w:rsidRPr="00FF2DF3">
        <w:t>Aportar datos de evaluación y un aprendizaje general que sirvan de base para los proyectos en curso y futuros que tengan objetivos de alto nivel similares dentro y fuera de la OMPI.</w:t>
      </w:r>
    </w:p>
    <w:p w14:paraId="4F1E1290" w14:textId="77777777" w:rsidR="007545CB" w:rsidRPr="00FF2DF3" w:rsidRDefault="007545CB" w:rsidP="007545CB">
      <w:pPr>
        <w:pStyle w:val="ONUMFS"/>
        <w:numPr>
          <w:ilvl w:val="0"/>
          <w:numId w:val="13"/>
        </w:numPr>
        <w:spacing w:after="0"/>
      </w:pPr>
      <w:r w:rsidRPr="00FF2DF3">
        <w:t>Rendir cuentas del proyecto a los Estados miembros en el marco del CDIP sobre el impacto a largo plazo del proyecto.</w:t>
      </w:r>
    </w:p>
    <w:p w14:paraId="4FBAFA79" w14:textId="722EE009" w:rsidR="007545CB" w:rsidRPr="00FF2DF3" w:rsidRDefault="00830789" w:rsidP="00830789">
      <w:pPr>
        <w:pStyle w:val="Heading1"/>
        <w:spacing w:after="240"/>
      </w:pPr>
      <w:bookmarkStart w:id="40" w:name="_Toc140224974"/>
      <w:bookmarkStart w:id="41" w:name="_Toc146102847"/>
      <w:r w:rsidRPr="00FF2DF3">
        <w:t>3.</w:t>
      </w:r>
      <w:r w:rsidRPr="00FF2DF3">
        <w:tab/>
      </w:r>
      <w:r w:rsidR="007545CB" w:rsidRPr="00FF2DF3">
        <w:t>PRINCIPAL LIMITACIÓN DE LA PRESENTE EVALUACIÓN</w:t>
      </w:r>
      <w:bookmarkEnd w:id="40"/>
      <w:bookmarkEnd w:id="41"/>
    </w:p>
    <w:p w14:paraId="5327DDD4" w14:textId="3422C0CE" w:rsidR="007545CB" w:rsidRPr="00FF2DF3" w:rsidRDefault="007545CB" w:rsidP="007545CB">
      <w:pPr>
        <w:pStyle w:val="ONUMFS"/>
      </w:pPr>
      <w:r w:rsidRPr="00FF2DF3">
        <w:t>La evaluación tuvo lugar aproximadamente cinco años después de que finalizara la fase II del proyecto (</w:t>
      </w:r>
      <w:r w:rsidR="005A45E7" w:rsidRPr="00FF2DF3">
        <w:t xml:space="preserve">y </w:t>
      </w:r>
      <w:r w:rsidRPr="00FF2DF3">
        <w:t xml:space="preserve">ocho años después de la finalización de la fase I). El contexto de ejecución del proyecto </w:t>
      </w:r>
      <w:r w:rsidR="006B1E04" w:rsidRPr="00FF2DF3">
        <w:t>fue</w:t>
      </w:r>
      <w:r w:rsidRPr="00FF2DF3">
        <w:t xml:space="preserve"> complejo (</w:t>
      </w:r>
      <w:r w:rsidRPr="00FF2DF3">
        <w:fldChar w:fldCharType="begin"/>
      </w:r>
      <w:r w:rsidRPr="00FF2DF3">
        <w:instrText xml:space="preserve"> REF _Ref139965333 \h </w:instrText>
      </w:r>
      <w:r w:rsidR="006B1E04" w:rsidRPr="00FF2DF3">
        <w:instrText xml:space="preserve"> \* MERGEFORMAT </w:instrText>
      </w:r>
      <w:r w:rsidRPr="00FF2DF3">
        <w:fldChar w:fldCharType="separate"/>
      </w:r>
      <w:r w:rsidR="001432CC" w:rsidRPr="00FF2DF3">
        <w:t xml:space="preserve">recuadro </w:t>
      </w:r>
      <w:r w:rsidRPr="00FF2DF3">
        <w:fldChar w:fldCharType="end"/>
      </w:r>
      <w:r w:rsidR="00F62ED9" w:rsidRPr="00FF2DF3">
        <w:t>4</w:t>
      </w:r>
      <w:r w:rsidRPr="00FF2DF3">
        <w:t xml:space="preserve">), y la recopilación de datos fue limitada por falta de tiempo y presupuesto. </w:t>
      </w:r>
      <w:r w:rsidR="00A7633F" w:rsidRPr="00FF2DF3">
        <w:t>La combinación de todos estos factores planteó</w:t>
      </w:r>
      <w:r w:rsidRPr="00FF2DF3">
        <w:t xml:space="preserve"> </w:t>
      </w:r>
      <w:r w:rsidR="005F6064" w:rsidRPr="00FF2DF3">
        <w:t xml:space="preserve">las </w:t>
      </w:r>
      <w:r w:rsidRPr="00FF2DF3">
        <w:t>dificultades</w:t>
      </w:r>
      <w:r w:rsidR="005F6064" w:rsidRPr="00FF2DF3">
        <w:t xml:space="preserve"> siguientes</w:t>
      </w:r>
      <w:r w:rsidRPr="00FF2DF3">
        <w:t>:</w:t>
      </w:r>
    </w:p>
    <w:p w14:paraId="3B76011B" w14:textId="3E02756F" w:rsidR="007545CB" w:rsidRPr="00FF2DF3" w:rsidRDefault="007545CB" w:rsidP="007545CB">
      <w:pPr>
        <w:pStyle w:val="ONUMFS"/>
        <w:numPr>
          <w:ilvl w:val="0"/>
          <w:numId w:val="15"/>
        </w:numPr>
      </w:pPr>
      <w:r w:rsidRPr="00FF2DF3">
        <w:t>La rotación de personal, las jubilaciones y la reticencia de las personas que ya no forma</w:t>
      </w:r>
      <w:r w:rsidR="00A05A23" w:rsidRPr="00FF2DF3">
        <w:t>ban</w:t>
      </w:r>
      <w:r w:rsidRPr="00FF2DF3">
        <w:t xml:space="preserve"> parte de la plantilla del proyecto para responder a las preguntas de evaluación </w:t>
      </w:r>
      <w:r w:rsidR="00610DF2" w:rsidRPr="00FF2DF3">
        <w:t>limitaron</w:t>
      </w:r>
      <w:r w:rsidRPr="00FF2DF3">
        <w:t xml:space="preserve"> el número potencial de partes interesadas a aquellas que estaban disponibles y dispuestas a ser entrevistadas. </w:t>
      </w:r>
    </w:p>
    <w:p w14:paraId="391542A6" w14:textId="34AD42E8" w:rsidR="007545CB" w:rsidRPr="00FF2DF3" w:rsidRDefault="007545CB" w:rsidP="007545CB">
      <w:pPr>
        <w:pStyle w:val="ONUMFS"/>
        <w:numPr>
          <w:ilvl w:val="0"/>
          <w:numId w:val="15"/>
        </w:numPr>
      </w:pPr>
      <w:r w:rsidRPr="00FF2DF3">
        <w:t xml:space="preserve">Debido a </w:t>
      </w:r>
      <w:r w:rsidR="00065FBC" w:rsidRPr="00FF2DF3">
        <w:t xml:space="preserve">las </w:t>
      </w:r>
      <w:r w:rsidRPr="00FF2DF3">
        <w:t xml:space="preserve">limitaciones de tiempo y presupuesto, la evaluación se centró únicamente en dos estudios de caso. </w:t>
      </w:r>
      <w:r w:rsidR="00102B81" w:rsidRPr="00FF2DF3">
        <w:t xml:space="preserve">Se seleccionó de forma deliberada aquellos </w:t>
      </w:r>
      <w:r w:rsidRPr="00FF2DF3">
        <w:t xml:space="preserve">estudios de caso </w:t>
      </w:r>
      <w:r w:rsidR="005538FC" w:rsidRPr="00FF2DF3">
        <w:t>que tuvieran</w:t>
      </w:r>
      <w:r w:rsidRPr="00FF2DF3">
        <w:t xml:space="preserve"> </w:t>
      </w:r>
      <w:r w:rsidR="00674851" w:rsidRPr="00FF2DF3">
        <w:t xml:space="preserve">más </w:t>
      </w:r>
      <w:r w:rsidRPr="00FF2DF3">
        <w:t xml:space="preserve">probabilidades de demostrar un cambio positivo. Por consiguiente, es posible que los estudios de caso no fueran representativos de los países beneficiarios en general. </w:t>
      </w:r>
    </w:p>
    <w:p w14:paraId="7FAAABF9" w14:textId="45D8685F" w:rsidR="007545CB" w:rsidRPr="00FF2DF3" w:rsidRDefault="007545CB" w:rsidP="007545CB">
      <w:pPr>
        <w:pStyle w:val="ONUMFS"/>
        <w:numPr>
          <w:ilvl w:val="0"/>
          <w:numId w:val="15"/>
        </w:numPr>
      </w:pPr>
      <w:r w:rsidRPr="00FF2DF3">
        <w:t xml:space="preserve">No se realizaron visitas de campo. La recopilación de datos se limitó a las partes interesadas </w:t>
      </w:r>
      <w:r w:rsidR="004C0547" w:rsidRPr="00FF2DF3">
        <w:t xml:space="preserve">que se conocían </w:t>
      </w:r>
      <w:r w:rsidRPr="00FF2DF3">
        <w:t xml:space="preserve">y </w:t>
      </w:r>
      <w:r w:rsidR="004C0547" w:rsidRPr="00FF2DF3">
        <w:t>no se amplió el espectro para incluir a</w:t>
      </w:r>
      <w:r w:rsidRPr="00FF2DF3">
        <w:t xml:space="preserve"> partes interesadas </w:t>
      </w:r>
      <w:r w:rsidR="0053257D" w:rsidRPr="00FF2DF3">
        <w:t>que</w:t>
      </w:r>
      <w:r w:rsidR="00700F2F" w:rsidRPr="00FF2DF3">
        <w:t xml:space="preserve"> hubieran podido</w:t>
      </w:r>
      <w:r w:rsidR="0064517F" w:rsidRPr="00FF2DF3">
        <w:t xml:space="preserve"> determinar </w:t>
      </w:r>
      <w:r w:rsidR="00CF71E6" w:rsidRPr="00FF2DF3">
        <w:t xml:space="preserve">o ampliar los </w:t>
      </w:r>
      <w:r w:rsidR="0064517F" w:rsidRPr="00FF2DF3">
        <w:t>efe</w:t>
      </w:r>
      <w:r w:rsidR="003664F5" w:rsidRPr="00FF2DF3">
        <w:t>c</w:t>
      </w:r>
      <w:r w:rsidR="0064517F" w:rsidRPr="00FF2DF3">
        <w:t xml:space="preserve">tos </w:t>
      </w:r>
      <w:r w:rsidR="000E329F" w:rsidRPr="00FF2DF3">
        <w:t>del proyecto</w:t>
      </w:r>
      <w:r w:rsidRPr="00FF2DF3">
        <w:t xml:space="preserve">. </w:t>
      </w:r>
    </w:p>
    <w:p w14:paraId="51946F36" w14:textId="6EE535B7" w:rsidR="007545CB" w:rsidRPr="00FF2DF3" w:rsidRDefault="007545CB" w:rsidP="007545CB">
      <w:pPr>
        <w:pStyle w:val="ONUMFS"/>
        <w:numPr>
          <w:ilvl w:val="0"/>
          <w:numId w:val="15"/>
        </w:numPr>
        <w:spacing w:after="0"/>
      </w:pPr>
      <w:r w:rsidRPr="00FF2DF3">
        <w:t xml:space="preserve">Se </w:t>
      </w:r>
      <w:r w:rsidR="00CB3A2A" w:rsidRPr="00FF2DF3">
        <w:t xml:space="preserve">administró </w:t>
      </w:r>
      <w:r w:rsidRPr="00FF2DF3">
        <w:t>a las partes interesadas una encuesta en línea en tres idiomas (</w:t>
      </w:r>
      <w:r w:rsidR="000E329F" w:rsidRPr="00FF2DF3">
        <w:t xml:space="preserve">español, </w:t>
      </w:r>
      <w:r w:rsidRPr="00FF2DF3">
        <w:t>inglés</w:t>
      </w:r>
      <w:r w:rsidR="000E329F" w:rsidRPr="00FF2DF3">
        <w:t xml:space="preserve"> y</w:t>
      </w:r>
      <w:r w:rsidRPr="00FF2DF3">
        <w:t xml:space="preserve"> francés). Durante dos semanas (del 21 de junio al 7 de julio), se enviaron dos recordatorios a las partes interesadas para que respondieran a la encuesta. En total, 23 partes interesadas respondieron a la encuesta, como se refleja en el Apéndice V.</w:t>
      </w:r>
    </w:p>
    <w:p w14:paraId="467B38EB" w14:textId="3B0F54F9" w:rsidR="007545CB" w:rsidRPr="00FF2DF3" w:rsidRDefault="00830789" w:rsidP="00830789">
      <w:pPr>
        <w:pStyle w:val="Heading1"/>
        <w:spacing w:after="240"/>
      </w:pPr>
      <w:bookmarkStart w:id="42" w:name="_Toc140224975"/>
      <w:bookmarkStart w:id="43" w:name="_Toc146102848"/>
      <w:r w:rsidRPr="00FF2DF3">
        <w:t>4.</w:t>
      </w:r>
      <w:r w:rsidRPr="00FF2DF3">
        <w:tab/>
      </w:r>
      <w:r w:rsidR="007545CB" w:rsidRPr="00FF2DF3">
        <w:t>CONSTATACIONES Y EVALUACIÓN</w:t>
      </w:r>
      <w:bookmarkEnd w:id="42"/>
      <w:bookmarkEnd w:id="43"/>
    </w:p>
    <w:p w14:paraId="00436219" w14:textId="2AA73216" w:rsidR="007545CB" w:rsidRPr="00FF2DF3" w:rsidRDefault="005C546E" w:rsidP="007545CB">
      <w:pPr>
        <w:pStyle w:val="ONUMFS"/>
        <w:spacing w:after="0"/>
      </w:pPr>
      <w:r w:rsidRPr="00FF2DF3">
        <w:t>A continuación se presentan l</w:t>
      </w:r>
      <w:r w:rsidR="007545CB" w:rsidRPr="00FF2DF3">
        <w:t>as constataciones de la evaluación organizadas en función a las seis preguntas de evaluación que figuran en</w:t>
      </w:r>
      <w:r w:rsidR="00CB3A2A" w:rsidRPr="00FF2DF3">
        <w:t xml:space="preserve"> el</w:t>
      </w:r>
      <w:r w:rsidR="007545CB" w:rsidRPr="00FF2DF3">
        <w:t xml:space="preserve"> </w:t>
      </w:r>
      <w:r w:rsidR="007545CB" w:rsidRPr="00FF2DF3">
        <w:fldChar w:fldCharType="begin"/>
      </w:r>
      <w:r w:rsidR="007545CB" w:rsidRPr="00FF2DF3">
        <w:instrText xml:space="preserve"> REF _Ref137113259 \h  \* MERGEFORMAT </w:instrText>
      </w:r>
      <w:r w:rsidR="007545CB" w:rsidRPr="00FF2DF3">
        <w:fldChar w:fldCharType="separate"/>
      </w:r>
      <w:r w:rsidR="001432CC" w:rsidRPr="00FF2DF3">
        <w:t>cuadro 2</w:t>
      </w:r>
      <w:r w:rsidR="007545CB" w:rsidRPr="00FF2DF3">
        <w:fldChar w:fldCharType="end"/>
      </w:r>
      <w:r w:rsidR="007545CB" w:rsidRPr="00FF2DF3">
        <w:t>.</w:t>
      </w:r>
    </w:p>
    <w:p w14:paraId="3416FA93" w14:textId="77777777" w:rsidR="007545CB" w:rsidRPr="00FF2DF3" w:rsidRDefault="007545CB" w:rsidP="009E76FE">
      <w:pPr>
        <w:pStyle w:val="Heading2"/>
        <w:numPr>
          <w:ilvl w:val="0"/>
          <w:numId w:val="36"/>
        </w:numPr>
        <w:tabs>
          <w:tab w:val="clear" w:pos="567"/>
        </w:tabs>
        <w:spacing w:after="240"/>
        <w:ind w:left="567"/>
      </w:pPr>
      <w:bookmarkStart w:id="44" w:name="_Toc140224976"/>
      <w:bookmarkStart w:id="45" w:name="_Toc146102849"/>
      <w:r w:rsidRPr="00FF2DF3">
        <w:t>¿Siguen siendo pertinentes el enfoque y los aportes concretos del proyecto?</w:t>
      </w:r>
      <w:bookmarkEnd w:id="44"/>
      <w:bookmarkEnd w:id="45"/>
    </w:p>
    <w:p w14:paraId="7097BAA8" w14:textId="1842C7EE" w:rsidR="007545CB" w:rsidRPr="00FF2DF3" w:rsidRDefault="007545CB" w:rsidP="007545CB">
      <w:pPr>
        <w:pStyle w:val="ONUMFS"/>
      </w:pPr>
      <w:r w:rsidRPr="00FF2DF3">
        <w:t xml:space="preserve">El proyecto tenía por objeto apoyar el desarrollo y la modernización de las oficinas de PI de los países beneficiarios en función de sus prioridades y estrategias nacionales. Según </w:t>
      </w:r>
      <w:r w:rsidR="00614DED" w:rsidRPr="00FF2DF3">
        <w:t xml:space="preserve">los </w:t>
      </w:r>
      <w:r w:rsidRPr="00FF2DF3">
        <w:t>informes de evaluación anteriores, las oficinas de PI beneficiarias</w:t>
      </w:r>
      <w:r w:rsidR="00C159F9" w:rsidRPr="00FF2DF3">
        <w:t xml:space="preserve"> </w:t>
      </w:r>
      <w:r w:rsidR="00391C7E" w:rsidRPr="00FF2DF3">
        <w:t>valoraron mucho e</w:t>
      </w:r>
      <w:r w:rsidR="00C159F9" w:rsidRPr="00FF2DF3">
        <w:t>l proyecto</w:t>
      </w:r>
      <w:r w:rsidRPr="00FF2DF3">
        <w:t xml:space="preserve">, </w:t>
      </w:r>
      <w:r w:rsidR="00260077" w:rsidRPr="00FF2DF3">
        <w:t xml:space="preserve">que </w:t>
      </w:r>
      <w:r w:rsidRPr="00FF2DF3">
        <w:t xml:space="preserve">hicieron suyo </w:t>
      </w:r>
      <w:r w:rsidR="00D96BF9" w:rsidRPr="00FF2DF3">
        <w:t xml:space="preserve">en </w:t>
      </w:r>
      <w:r w:rsidRPr="00FF2DF3">
        <w:t>un alto grado</w:t>
      </w:r>
      <w:r w:rsidR="00D30774" w:rsidRPr="00FF2DF3">
        <w:t>,</w:t>
      </w:r>
      <w:r w:rsidRPr="00FF2DF3">
        <w:t xml:space="preserve"> y demostraron un fuerte compromiso a lo largo de todo el proceso de ejecución. Esto sugiere que el proyecto respondió eficazmente a las necesidades y objetivos de los países beneficiarios y se ajustó a sus políticas y planes en materia de PI. Las personas encuestadas y las entrevistas a informantes clave confirmaron la pertinencia e importancia del proyecto (</w:t>
      </w:r>
      <w:r w:rsidRPr="00FF2DF3">
        <w:fldChar w:fldCharType="begin"/>
      </w:r>
      <w:r w:rsidRPr="00FF2DF3">
        <w:instrText xml:space="preserve"> REF _Ref138842898 \h </w:instrText>
      </w:r>
      <w:r w:rsidR="00575EC3" w:rsidRPr="00FF2DF3">
        <w:instrText xml:space="preserve"> \* MERGEFORMAT </w:instrText>
      </w:r>
      <w:r w:rsidRPr="00FF2DF3">
        <w:fldChar w:fldCharType="separate"/>
      </w:r>
      <w:r w:rsidR="00E5640B" w:rsidRPr="00FF2DF3">
        <w:t>gráfico 1</w:t>
      </w:r>
      <w:r w:rsidRPr="00FF2DF3">
        <w:fldChar w:fldCharType="end"/>
      </w:r>
      <w:r w:rsidRPr="00FF2DF3">
        <w:t xml:space="preserve">). Lo más </w:t>
      </w:r>
      <w:r w:rsidR="00C8372B" w:rsidRPr="00FF2DF3">
        <w:t xml:space="preserve">importante </w:t>
      </w:r>
      <w:r w:rsidRPr="00FF2DF3">
        <w:t xml:space="preserve">es que las partes interesadas consideraron que </w:t>
      </w:r>
      <w:r w:rsidR="00CD5EFB" w:rsidRPr="00FF2DF3">
        <w:t>el proyecto consolid</w:t>
      </w:r>
      <w:r w:rsidR="00F474D9" w:rsidRPr="00FF2DF3">
        <w:t xml:space="preserve">ó </w:t>
      </w:r>
      <w:r w:rsidR="00925288" w:rsidRPr="00FF2DF3">
        <w:t xml:space="preserve">su organización </w:t>
      </w:r>
      <w:r w:rsidRPr="00FF2DF3">
        <w:t>(</w:t>
      </w:r>
      <w:r w:rsidR="00E5640B" w:rsidRPr="00FF2DF3">
        <w:t xml:space="preserve">gráfico </w:t>
      </w:r>
      <w:r w:rsidRPr="00FF2DF3">
        <w:t>2);</w:t>
      </w:r>
      <w:r w:rsidR="00FE27A6" w:rsidRPr="00FF2DF3">
        <w:t xml:space="preserve"> </w:t>
      </w:r>
      <w:r w:rsidR="00F474D9" w:rsidRPr="00FF2DF3">
        <w:t>entre otros efectos,</w:t>
      </w:r>
      <w:r w:rsidRPr="00FF2DF3">
        <w:t xml:space="preserve"> </w:t>
      </w:r>
      <w:r w:rsidR="00FE27A6" w:rsidRPr="00FF2DF3">
        <w:t xml:space="preserve">señalaron </w:t>
      </w:r>
      <w:r w:rsidRPr="00FF2DF3">
        <w:t xml:space="preserve">una mayor </w:t>
      </w:r>
      <w:r w:rsidR="00C179E6" w:rsidRPr="00FF2DF3">
        <w:t>capacidad de respuesta</w:t>
      </w:r>
      <w:r w:rsidR="00236CF2" w:rsidRPr="00FF2DF3">
        <w:t xml:space="preserve"> </w:t>
      </w:r>
      <w:r w:rsidR="00AA7392" w:rsidRPr="00FF2DF3">
        <w:t>frente</w:t>
      </w:r>
      <w:r w:rsidRPr="00FF2DF3">
        <w:t xml:space="preserve"> </w:t>
      </w:r>
      <w:r w:rsidR="00236CF2" w:rsidRPr="00FF2DF3">
        <w:t xml:space="preserve">a </w:t>
      </w:r>
      <w:r w:rsidRPr="00FF2DF3">
        <w:t xml:space="preserve">las </w:t>
      </w:r>
      <w:r w:rsidR="00544E73" w:rsidRPr="00FF2DF3">
        <w:t xml:space="preserve">necesidades de las </w:t>
      </w:r>
      <w:r w:rsidRPr="00FF2DF3">
        <w:t xml:space="preserve">partes interesadas, </w:t>
      </w:r>
      <w:r w:rsidR="00276D6A" w:rsidRPr="00FF2DF3">
        <w:t xml:space="preserve">un aumento </w:t>
      </w:r>
      <w:r w:rsidRPr="00FF2DF3">
        <w:t xml:space="preserve">de las capacidades de investigación, objetivos más orientados al desarrollo y </w:t>
      </w:r>
      <w:r w:rsidR="006A4EC8" w:rsidRPr="00FF2DF3">
        <w:t xml:space="preserve">la asignación de </w:t>
      </w:r>
      <w:r w:rsidRPr="00FF2DF3">
        <w:t xml:space="preserve">mayor prioridad a las cuestiones de PI </w:t>
      </w:r>
      <w:r w:rsidR="00C31D00" w:rsidRPr="00FF2DF3">
        <w:t xml:space="preserve">en </w:t>
      </w:r>
      <w:r w:rsidR="00403877" w:rsidRPr="00FF2DF3">
        <w:t xml:space="preserve">la </w:t>
      </w:r>
      <w:r w:rsidR="00925EB3" w:rsidRPr="00FF2DF3">
        <w:t>organización</w:t>
      </w:r>
      <w:r w:rsidRPr="00FF2DF3">
        <w:rPr>
          <w:rStyle w:val="FootnoteReference"/>
          <w:lang w:val="es-ES_tradnl"/>
        </w:rPr>
        <w:footnoteReference w:id="9"/>
      </w:r>
      <w:r w:rsidR="00A752F4" w:rsidRPr="00FF2DF3">
        <w:t>.</w:t>
      </w:r>
      <w:r w:rsidRPr="00FF2DF3">
        <w:t xml:space="preserve"> Si bien </w:t>
      </w:r>
      <w:r w:rsidR="00EC74DE" w:rsidRPr="00FF2DF3">
        <w:t xml:space="preserve">estos resultados </w:t>
      </w:r>
      <w:r w:rsidR="003A1FB0" w:rsidRPr="00FF2DF3">
        <w:t xml:space="preserve">en sí </w:t>
      </w:r>
      <w:r w:rsidR="00806C7B" w:rsidRPr="00FF2DF3">
        <w:t xml:space="preserve">mismos </w:t>
      </w:r>
      <w:r w:rsidR="00EC74DE" w:rsidRPr="00FF2DF3">
        <w:t xml:space="preserve">son </w:t>
      </w:r>
      <w:r w:rsidRPr="00FF2DF3">
        <w:t>positiv</w:t>
      </w:r>
      <w:r w:rsidR="00EC74DE" w:rsidRPr="00FF2DF3">
        <w:t>os</w:t>
      </w:r>
      <w:r w:rsidRPr="00FF2DF3">
        <w:t xml:space="preserve">, cabe señalar que los informantes clave también expresaron </w:t>
      </w:r>
      <w:r w:rsidR="00806C7B" w:rsidRPr="00FF2DF3">
        <w:t xml:space="preserve">una </w:t>
      </w:r>
      <w:r w:rsidRPr="00FF2DF3">
        <w:t xml:space="preserve">necesidad continua de investigación y fortalecimiento de capacidades sobre la manera en que la PI puede fomentar el desarrollo socioeconómico a través de políticas </w:t>
      </w:r>
      <w:r w:rsidR="005E0406" w:rsidRPr="00FF2DF3">
        <w:t>fundamentadas</w:t>
      </w:r>
      <w:r w:rsidRPr="00FF2DF3">
        <w:t xml:space="preserve"> en datos, la necesidad continua de mejorar los datos estadísticos y la necesidad de renovar y fortalecer las capacidades de los recursos humanos. </w:t>
      </w:r>
    </w:p>
    <w:p w14:paraId="54E9E8F9" w14:textId="77777777" w:rsidR="007545CB" w:rsidRPr="00FF2DF3" w:rsidRDefault="007545CB" w:rsidP="007545CB">
      <w:pPr>
        <w:pStyle w:val="ONUMFS"/>
        <w:numPr>
          <w:ilvl w:val="0"/>
          <w:numId w:val="0"/>
        </w:numPr>
      </w:pPr>
    </w:p>
    <w:p w14:paraId="2C9B7AC4" w14:textId="7ED368CD" w:rsidR="007545CB" w:rsidRDefault="007545CB" w:rsidP="007545CB">
      <w:pPr>
        <w:pStyle w:val="Caption"/>
        <w:keepNext/>
        <w:keepLines/>
        <w:spacing w:after="120"/>
        <w:jc w:val="center"/>
      </w:pPr>
      <w:bookmarkStart w:id="46" w:name="_Ref138842898"/>
      <w:r w:rsidRPr="00FF2DF3">
        <w:t xml:space="preserve">Gráfico </w:t>
      </w:r>
      <w:fldSimple w:instr=" SEQ Figure \* ARABIC ">
        <w:r w:rsidRPr="00FF2DF3">
          <w:t>1</w:t>
        </w:r>
      </w:fldSimple>
      <w:bookmarkEnd w:id="46"/>
      <w:r w:rsidRPr="00FF2DF3">
        <w:t xml:space="preserve">: La mayoría de los participantes coinciden en que los objetivos del proyecto se ajustan a </w:t>
      </w:r>
      <w:r w:rsidR="00F52618" w:rsidRPr="00FF2DF3">
        <w:t>los objetivos</w:t>
      </w:r>
      <w:r w:rsidR="000A5E0C" w:rsidRPr="00FF2DF3">
        <w:t xml:space="preserve"> </w:t>
      </w:r>
      <w:r w:rsidRPr="00FF2DF3">
        <w:t>de las organizaciones beneficiarias</w:t>
      </w:r>
    </w:p>
    <w:p w14:paraId="0F687A3C" w14:textId="5061FFED" w:rsidR="00893B24" w:rsidRPr="00893B24" w:rsidRDefault="00893B24" w:rsidP="00893B24">
      <w:pPr>
        <w:jc w:val="center"/>
      </w:pPr>
      <w:r w:rsidRPr="00893B24">
        <w:rPr>
          <w:noProof/>
          <w:lang w:eastAsia="es-ES"/>
        </w:rPr>
        <w:drawing>
          <wp:inline distT="0" distB="0" distL="0" distR="0" wp14:anchorId="3C24CCE1" wp14:editId="58F88061">
            <wp:extent cx="4949190" cy="331851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9190" cy="3318510"/>
                    </a:xfrm>
                    <a:prstGeom prst="rect">
                      <a:avLst/>
                    </a:prstGeom>
                    <a:noFill/>
                    <a:ln>
                      <a:noFill/>
                    </a:ln>
                  </pic:spPr>
                </pic:pic>
              </a:graphicData>
            </a:graphic>
          </wp:inline>
        </w:drawing>
      </w:r>
    </w:p>
    <w:p w14:paraId="63C170AA" w14:textId="63A9F6BD" w:rsidR="007545CB" w:rsidRPr="00FF2DF3" w:rsidRDefault="007545CB" w:rsidP="007545CB">
      <w:pPr>
        <w:jc w:val="center"/>
      </w:pPr>
    </w:p>
    <w:p w14:paraId="4E7F580B" w14:textId="77777777" w:rsidR="00806C7B" w:rsidRPr="00FF2DF3" w:rsidRDefault="00806C7B" w:rsidP="007545CB">
      <w:pPr>
        <w:pStyle w:val="ONUMFS"/>
        <w:numPr>
          <w:ilvl w:val="0"/>
          <w:numId w:val="0"/>
        </w:numPr>
        <w:spacing w:before="220" w:after="120"/>
        <w:jc w:val="center"/>
        <w:rPr>
          <w:b/>
          <w:sz w:val="18"/>
        </w:rPr>
      </w:pPr>
      <w:bookmarkStart w:id="47" w:name="_Ref138843542"/>
    </w:p>
    <w:p w14:paraId="6630680A" w14:textId="77777777" w:rsidR="00806C7B" w:rsidRPr="00FF2DF3" w:rsidRDefault="00806C7B">
      <w:pPr>
        <w:rPr>
          <w:b/>
          <w:sz w:val="18"/>
        </w:rPr>
      </w:pPr>
      <w:r w:rsidRPr="00FF2DF3">
        <w:rPr>
          <w:b/>
          <w:sz w:val="18"/>
        </w:rPr>
        <w:br w:type="page"/>
      </w:r>
    </w:p>
    <w:p w14:paraId="0F0C2432" w14:textId="2AA4FDDB" w:rsidR="007545CB" w:rsidRPr="00FF2DF3" w:rsidRDefault="007545CB" w:rsidP="007545CB">
      <w:pPr>
        <w:pStyle w:val="ONUMFS"/>
        <w:numPr>
          <w:ilvl w:val="0"/>
          <w:numId w:val="0"/>
        </w:numPr>
        <w:spacing w:before="220" w:after="120"/>
        <w:jc w:val="center"/>
        <w:rPr>
          <w:szCs w:val="18"/>
        </w:rPr>
      </w:pPr>
      <w:r w:rsidRPr="00FF2DF3">
        <w:rPr>
          <w:b/>
          <w:sz w:val="18"/>
        </w:rPr>
        <w:t xml:space="preserve">Gráfico </w:t>
      </w:r>
      <w:r w:rsidRPr="00FF2DF3">
        <w:rPr>
          <w:b/>
          <w:sz w:val="18"/>
        </w:rPr>
        <w:fldChar w:fldCharType="begin"/>
      </w:r>
      <w:r w:rsidRPr="00FF2DF3">
        <w:rPr>
          <w:b/>
          <w:sz w:val="18"/>
        </w:rPr>
        <w:instrText xml:space="preserve"> SEQ Figure \* ARABIC </w:instrText>
      </w:r>
      <w:r w:rsidRPr="00FF2DF3">
        <w:rPr>
          <w:b/>
          <w:sz w:val="18"/>
        </w:rPr>
        <w:fldChar w:fldCharType="separate"/>
      </w:r>
      <w:r w:rsidRPr="00FF2DF3">
        <w:rPr>
          <w:b/>
          <w:sz w:val="18"/>
        </w:rPr>
        <w:t>2</w:t>
      </w:r>
      <w:r w:rsidRPr="00FF2DF3">
        <w:rPr>
          <w:b/>
          <w:sz w:val="18"/>
        </w:rPr>
        <w:fldChar w:fldCharType="end"/>
      </w:r>
      <w:bookmarkEnd w:id="47"/>
      <w:r w:rsidRPr="00FF2DF3">
        <w:rPr>
          <w:b/>
          <w:sz w:val="18"/>
        </w:rPr>
        <w:t xml:space="preserve">: La mayoría de los participantes </w:t>
      </w:r>
      <w:r w:rsidR="00591AF6" w:rsidRPr="00FF2DF3">
        <w:rPr>
          <w:b/>
          <w:sz w:val="18"/>
        </w:rPr>
        <w:t>coinciden</w:t>
      </w:r>
      <w:r w:rsidRPr="00FF2DF3">
        <w:rPr>
          <w:b/>
          <w:sz w:val="18"/>
        </w:rPr>
        <w:t xml:space="preserve"> en que el proyecto consolidó la capacidad </w:t>
      </w:r>
      <w:r w:rsidR="00591AF6" w:rsidRPr="00FF2DF3">
        <w:rPr>
          <w:b/>
          <w:sz w:val="18"/>
        </w:rPr>
        <w:t>de la organización</w:t>
      </w:r>
    </w:p>
    <w:p w14:paraId="5FD53DFF" w14:textId="7BCD8482" w:rsidR="007545CB" w:rsidRPr="00FF2DF3" w:rsidRDefault="00893B24" w:rsidP="007545CB">
      <w:pPr>
        <w:pStyle w:val="ONUMFS"/>
        <w:numPr>
          <w:ilvl w:val="0"/>
          <w:numId w:val="0"/>
        </w:numPr>
        <w:spacing w:before="220"/>
        <w:jc w:val="center"/>
        <w:rPr>
          <w:noProof/>
        </w:rPr>
      </w:pPr>
      <w:r w:rsidRPr="00893B24">
        <w:rPr>
          <w:noProof/>
          <w:lang w:eastAsia="es-ES"/>
        </w:rPr>
        <w:drawing>
          <wp:inline distT="0" distB="0" distL="0" distR="0" wp14:anchorId="3A671096" wp14:editId="53E10D71">
            <wp:extent cx="4854575" cy="275272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4575" cy="2752725"/>
                    </a:xfrm>
                    <a:prstGeom prst="rect">
                      <a:avLst/>
                    </a:prstGeom>
                    <a:noFill/>
                    <a:ln>
                      <a:noFill/>
                    </a:ln>
                  </pic:spPr>
                </pic:pic>
              </a:graphicData>
            </a:graphic>
          </wp:inline>
        </w:drawing>
      </w:r>
    </w:p>
    <w:p w14:paraId="12B84372" w14:textId="093F7EB5" w:rsidR="007545CB" w:rsidRPr="00FF2DF3" w:rsidRDefault="007545CB" w:rsidP="007545CB">
      <w:pPr>
        <w:pStyle w:val="ONUMFS"/>
        <w:spacing w:before="220"/>
      </w:pPr>
      <w:r w:rsidRPr="00FF2DF3">
        <w:t xml:space="preserve">El proyecto ayudó a los Estados miembros </w:t>
      </w:r>
      <w:r w:rsidR="005F4B74" w:rsidRPr="00FF2DF3">
        <w:t>a proporcionar</w:t>
      </w:r>
      <w:r w:rsidRPr="00FF2DF3">
        <w:t xml:space="preserve"> datos precisos y </w:t>
      </w:r>
      <w:r w:rsidR="00DC38CD" w:rsidRPr="00FF2DF3">
        <w:t>actualizados</w:t>
      </w:r>
      <w:r w:rsidRPr="00FF2DF3">
        <w:t xml:space="preserve"> sobre sus actividades en materia de PI, lo cual es esencial para que la Secretaría de la OMPI </w:t>
      </w:r>
      <w:r w:rsidR="00DC38CD" w:rsidRPr="00FF2DF3">
        <w:t xml:space="preserve">pueda </w:t>
      </w:r>
      <w:r w:rsidRPr="00FF2DF3">
        <w:t>elabor</w:t>
      </w:r>
      <w:r w:rsidR="00DC38CD" w:rsidRPr="00FF2DF3">
        <w:t>ar</w:t>
      </w:r>
      <w:r w:rsidRPr="00FF2DF3">
        <w:t xml:space="preserve"> estadísticas fiables y </w:t>
      </w:r>
      <w:r w:rsidR="00806C7B" w:rsidRPr="00FF2DF3">
        <w:t>exhaustivas</w:t>
      </w:r>
      <w:r w:rsidRPr="00FF2DF3">
        <w:t xml:space="preserve"> (por ejemplo, los indicadores mundiales de </w:t>
      </w:r>
      <w:r w:rsidR="004B1064" w:rsidRPr="00FF2DF3">
        <w:t>PI</w:t>
      </w:r>
      <w:r w:rsidR="001A2766" w:rsidRPr="00FF2DF3">
        <w:t>)</w:t>
      </w:r>
      <w:r w:rsidRPr="00FF2DF3">
        <w:t xml:space="preserve">. El proyecto </w:t>
      </w:r>
      <w:r w:rsidR="00902780" w:rsidRPr="00FF2DF3">
        <w:t xml:space="preserve">se ajustó así </w:t>
      </w:r>
      <w:r w:rsidRPr="00FF2DF3">
        <w:t xml:space="preserve">al objetivo de la Secretaría de proporcionar datos de alta calidad </w:t>
      </w:r>
      <w:r w:rsidR="001B003F" w:rsidRPr="00FF2DF3">
        <w:t xml:space="preserve">que sirvan de base </w:t>
      </w:r>
      <w:r w:rsidR="00902780" w:rsidRPr="00FF2DF3">
        <w:t xml:space="preserve">para </w:t>
      </w:r>
      <w:r w:rsidRPr="00FF2DF3">
        <w:t xml:space="preserve">la formulación de políticas y las actividades de sensibilización. Dado que los indicadores mundiales de PI siguen siendo un recurso </w:t>
      </w:r>
      <w:r w:rsidR="00E15C45" w:rsidRPr="00FF2DF3">
        <w:t>esencial</w:t>
      </w:r>
      <w:r w:rsidRPr="00FF2DF3">
        <w:t xml:space="preserve"> para la </w:t>
      </w:r>
      <w:r w:rsidR="000A5D7C" w:rsidRPr="00FF2DF3">
        <w:t>formulación</w:t>
      </w:r>
      <w:r w:rsidRPr="00FF2DF3">
        <w:t xml:space="preserve"> de políticas, puede decirse que el proyecto contribuye a los efectos derivados de estas</w:t>
      </w:r>
      <w:r w:rsidRPr="00FF2DF3">
        <w:rPr>
          <w:rStyle w:val="FootnoteReference"/>
          <w:lang w:val="es-ES_tradnl"/>
        </w:rPr>
        <w:footnoteReference w:id="10"/>
      </w:r>
      <w:r w:rsidR="00A752F4" w:rsidRPr="00FF2DF3">
        <w:t>.</w:t>
      </w:r>
    </w:p>
    <w:p w14:paraId="42001DCB" w14:textId="77777777" w:rsidR="007545CB" w:rsidRPr="00FF2DF3" w:rsidRDefault="007545CB" w:rsidP="007545CB">
      <w:pPr>
        <w:pStyle w:val="Subtitle"/>
        <w:rPr>
          <w:rStyle w:val="Strong"/>
          <w:rFonts w:ascii="Arial" w:hAnsi="Arial" w:cs="Arial"/>
          <w:color w:val="auto"/>
          <w:u w:val="single"/>
        </w:rPr>
      </w:pPr>
      <w:r w:rsidRPr="00FF2DF3">
        <w:rPr>
          <w:rStyle w:val="Strong"/>
          <w:rFonts w:ascii="Arial" w:hAnsi="Arial"/>
          <w:color w:val="auto"/>
          <w:u w:val="single"/>
        </w:rPr>
        <w:t>En el plano individual</w:t>
      </w:r>
    </w:p>
    <w:p w14:paraId="1983C320" w14:textId="31DF4DEA" w:rsidR="007545CB" w:rsidRPr="00FF2DF3" w:rsidRDefault="007545CB" w:rsidP="00C37B97">
      <w:pPr>
        <w:pStyle w:val="ONUMFS"/>
      </w:pPr>
      <w:r w:rsidRPr="00FF2DF3">
        <w:t xml:space="preserve">La inmensa mayoría de las personas encuestadas </w:t>
      </w:r>
      <w:r w:rsidR="0061681A" w:rsidRPr="00FF2DF3">
        <w:t>coincidió en</w:t>
      </w:r>
      <w:r w:rsidRPr="00FF2DF3">
        <w:t xml:space="preserve"> que el proyecto había </w:t>
      </w:r>
      <w:r w:rsidR="00B96E75" w:rsidRPr="00FF2DF3">
        <w:t xml:space="preserve">contribuido </w:t>
      </w:r>
      <w:r w:rsidR="00B33495" w:rsidRPr="00FF2DF3">
        <w:t>a fortalecer</w:t>
      </w:r>
      <w:r w:rsidR="00B96E75" w:rsidRPr="00FF2DF3">
        <w:t xml:space="preserve"> </w:t>
      </w:r>
      <w:r w:rsidRPr="00FF2DF3">
        <w:t>sus capacidades (el 92% consideró valiosas las actividades de fortalecimiento de capacidades),</w:t>
      </w:r>
      <w:r w:rsidR="00C37B97" w:rsidRPr="00FF2DF3">
        <w:t xml:space="preserve"> </w:t>
      </w:r>
      <w:r w:rsidR="00497CC8" w:rsidRPr="00FF2DF3">
        <w:t xml:space="preserve">que </w:t>
      </w:r>
      <w:r w:rsidR="00211537" w:rsidRPr="00FF2DF3">
        <w:t xml:space="preserve">resultaron </w:t>
      </w:r>
      <w:r w:rsidR="00497CC8" w:rsidRPr="00FF2DF3">
        <w:t xml:space="preserve">útiles </w:t>
      </w:r>
      <w:r w:rsidR="0042503C" w:rsidRPr="00FF2DF3">
        <w:t xml:space="preserve">a lo largo de </w:t>
      </w:r>
      <w:r w:rsidRPr="00FF2DF3">
        <w:t>su carrera profesional (</w:t>
      </w:r>
      <w:r w:rsidRPr="00FF2DF3">
        <w:fldChar w:fldCharType="begin"/>
      </w:r>
      <w:r w:rsidRPr="00FF2DF3">
        <w:instrText xml:space="preserve"> REF _Ref139279552 \h </w:instrText>
      </w:r>
      <w:r w:rsidR="00B23FE0" w:rsidRPr="00FF2DF3">
        <w:instrText xml:space="preserve"> \* MERGEFORMAT </w:instrText>
      </w:r>
      <w:r w:rsidRPr="00FF2DF3">
        <w:fldChar w:fldCharType="separate"/>
      </w:r>
      <w:r w:rsidR="00C84882" w:rsidRPr="00FF2DF3">
        <w:t>gráfico 3</w:t>
      </w:r>
      <w:r w:rsidRPr="00FF2DF3">
        <w:fldChar w:fldCharType="end"/>
      </w:r>
      <w:r w:rsidRPr="00FF2DF3">
        <w:t xml:space="preserve">). Al triangular esta información con </w:t>
      </w:r>
      <w:r w:rsidR="008C764F" w:rsidRPr="00FF2DF3">
        <w:t xml:space="preserve">los </w:t>
      </w:r>
      <w:r w:rsidRPr="00FF2DF3">
        <w:t xml:space="preserve">informantes clave, varios </w:t>
      </w:r>
      <w:r w:rsidR="008C764F" w:rsidRPr="00FF2DF3">
        <w:t xml:space="preserve">de estos </w:t>
      </w:r>
      <w:r w:rsidRPr="00FF2DF3">
        <w:t xml:space="preserve">señalaron que el proyecto </w:t>
      </w:r>
      <w:r w:rsidR="00494729" w:rsidRPr="00FF2DF3">
        <w:t xml:space="preserve">sirvió de </w:t>
      </w:r>
      <w:r w:rsidRPr="00FF2DF3">
        <w:t xml:space="preserve">“plataforma de lanzamiento” </w:t>
      </w:r>
      <w:r w:rsidR="00494729" w:rsidRPr="00FF2DF3">
        <w:t xml:space="preserve">para </w:t>
      </w:r>
      <w:r w:rsidRPr="00FF2DF3">
        <w:t xml:space="preserve">sus carreras de investigación en PI, </w:t>
      </w:r>
      <w:r w:rsidR="002C43F0" w:rsidRPr="00FF2DF3">
        <w:t xml:space="preserve">lo que </w:t>
      </w:r>
      <w:r w:rsidR="00EC257A" w:rsidRPr="00FF2DF3">
        <w:t xml:space="preserve">quizá no hubiera </w:t>
      </w:r>
      <w:r w:rsidR="002C43F0" w:rsidRPr="00FF2DF3">
        <w:t xml:space="preserve">ocurrido </w:t>
      </w:r>
      <w:r w:rsidRPr="00FF2DF3">
        <w:t xml:space="preserve">debido </w:t>
      </w:r>
      <w:r w:rsidR="00B45652" w:rsidRPr="00FF2DF3">
        <w:t xml:space="preserve">a </w:t>
      </w:r>
      <w:r w:rsidRPr="00FF2DF3">
        <w:t xml:space="preserve">la </w:t>
      </w:r>
      <w:r w:rsidR="00275A3E" w:rsidRPr="00FF2DF3">
        <w:t xml:space="preserve">escasa visibilidad de la </w:t>
      </w:r>
      <w:r w:rsidRPr="00FF2DF3">
        <w:t xml:space="preserve">PI en sus países antes del proyecto. </w:t>
      </w:r>
      <w:r w:rsidR="002E739D" w:rsidRPr="00FF2DF3">
        <w:t xml:space="preserve">Puesto que </w:t>
      </w:r>
      <w:r w:rsidR="009531B9" w:rsidRPr="00FF2DF3">
        <w:t xml:space="preserve">el fortalecimiento de </w:t>
      </w:r>
      <w:r w:rsidR="002E739D" w:rsidRPr="00FF2DF3">
        <w:t xml:space="preserve">las </w:t>
      </w:r>
      <w:r w:rsidRPr="00FF2DF3">
        <w:t>capacidades individual</w:t>
      </w:r>
      <w:r w:rsidR="009531B9" w:rsidRPr="00FF2DF3">
        <w:t>es</w:t>
      </w:r>
      <w:r w:rsidRPr="00FF2DF3">
        <w:t xml:space="preserve"> </w:t>
      </w:r>
      <w:r w:rsidR="00837E85" w:rsidRPr="00FF2DF3">
        <w:t xml:space="preserve">continuó </w:t>
      </w:r>
      <w:r w:rsidR="00497CC8" w:rsidRPr="00FF2DF3">
        <w:t xml:space="preserve">y </w:t>
      </w:r>
      <w:r w:rsidR="0016374B" w:rsidRPr="00FF2DF3">
        <w:t>se ampli</w:t>
      </w:r>
      <w:r w:rsidR="00837E85" w:rsidRPr="00FF2DF3">
        <w:t xml:space="preserve">ó </w:t>
      </w:r>
      <w:r w:rsidRPr="00FF2DF3">
        <w:t xml:space="preserve">a lo largo del tiempo, puede </w:t>
      </w:r>
      <w:r w:rsidR="007E0623" w:rsidRPr="00FF2DF3">
        <w:t>afirmarse que e</w:t>
      </w:r>
      <w:r w:rsidRPr="00FF2DF3">
        <w:t xml:space="preserve">l proyecto </w:t>
      </w:r>
      <w:r w:rsidR="00A62EC6" w:rsidRPr="00FF2DF3">
        <w:t xml:space="preserve">tuvo efectos significativos </w:t>
      </w:r>
      <w:r w:rsidRPr="00FF2DF3">
        <w:t xml:space="preserve">al </w:t>
      </w:r>
      <w:r w:rsidR="0016374B" w:rsidRPr="00FF2DF3">
        <w:t>contribuir a</w:t>
      </w:r>
      <w:r w:rsidR="00D609D1" w:rsidRPr="00FF2DF3">
        <w:t xml:space="preserve"> la adquisición de</w:t>
      </w:r>
      <w:r w:rsidR="0016374B" w:rsidRPr="00FF2DF3">
        <w:t xml:space="preserve"> </w:t>
      </w:r>
      <w:r w:rsidR="00D609D1" w:rsidRPr="00FF2DF3">
        <w:t xml:space="preserve">las </w:t>
      </w:r>
      <w:r w:rsidRPr="00FF2DF3">
        <w:t xml:space="preserve">competencias y </w:t>
      </w:r>
      <w:r w:rsidR="00D609D1" w:rsidRPr="00FF2DF3">
        <w:t xml:space="preserve">los </w:t>
      </w:r>
      <w:r w:rsidRPr="00FF2DF3">
        <w:t xml:space="preserve">conocimientos necesarios para llevar a cabo </w:t>
      </w:r>
      <w:r w:rsidR="00B33495" w:rsidRPr="00FF2DF3">
        <w:t>estudios</w:t>
      </w:r>
      <w:r w:rsidRPr="00FF2DF3">
        <w:t xml:space="preserve"> de alta calidad en materia de PI. </w:t>
      </w:r>
    </w:p>
    <w:p w14:paraId="6EE155F3" w14:textId="75CC84A9" w:rsidR="007545CB" w:rsidRPr="00FF2DF3" w:rsidRDefault="007545CB" w:rsidP="007545CB">
      <w:pPr>
        <w:pStyle w:val="Caption"/>
        <w:keepNext/>
        <w:keepLines/>
        <w:spacing w:after="120"/>
        <w:jc w:val="center"/>
      </w:pPr>
      <w:bookmarkStart w:id="48" w:name="_Ref139279552"/>
      <w:r w:rsidRPr="00FF2DF3">
        <w:t xml:space="preserve">Gráfico </w:t>
      </w:r>
      <w:fldSimple w:instr=" SEQ Figure \* ARABIC ">
        <w:r w:rsidRPr="00FF2DF3">
          <w:t>3</w:t>
        </w:r>
      </w:fldSimple>
      <w:bookmarkEnd w:id="48"/>
      <w:r w:rsidRPr="00FF2DF3">
        <w:t>: La mayoría de los participantes valoran las actividades de fortalecimiento de capacidades</w:t>
      </w:r>
    </w:p>
    <w:p w14:paraId="55AB3560" w14:textId="7E7AE9CA" w:rsidR="007545CB" w:rsidRPr="00FF2DF3" w:rsidRDefault="00893B24" w:rsidP="007545CB">
      <w:pPr>
        <w:jc w:val="center"/>
      </w:pPr>
      <w:r w:rsidRPr="00893B24">
        <w:rPr>
          <w:noProof/>
          <w:lang w:eastAsia="es-ES"/>
        </w:rPr>
        <w:drawing>
          <wp:inline distT="0" distB="0" distL="0" distR="0" wp14:anchorId="747229B1" wp14:editId="39F170A3">
            <wp:extent cx="4581525" cy="2752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242B8582" w14:textId="670A37B1" w:rsidR="007545CB" w:rsidRPr="00FF2DF3" w:rsidRDefault="007545CB" w:rsidP="007545CB">
      <w:pPr>
        <w:pStyle w:val="Subtitle"/>
        <w:spacing w:before="220" w:after="220"/>
        <w:rPr>
          <w:rStyle w:val="Strong"/>
          <w:rFonts w:ascii="Arial" w:hAnsi="Arial" w:cs="Arial"/>
          <w:color w:val="auto"/>
          <w:u w:val="single"/>
        </w:rPr>
      </w:pPr>
      <w:r w:rsidRPr="00FF2DF3">
        <w:rPr>
          <w:rStyle w:val="Strong"/>
          <w:rFonts w:ascii="Arial" w:hAnsi="Arial"/>
          <w:color w:val="auto"/>
          <w:u w:val="single"/>
        </w:rPr>
        <w:t xml:space="preserve">En el plano </w:t>
      </w:r>
      <w:r w:rsidR="006E5E94" w:rsidRPr="00FF2DF3">
        <w:rPr>
          <w:rStyle w:val="Strong"/>
          <w:rFonts w:ascii="Arial" w:hAnsi="Arial"/>
          <w:color w:val="auto"/>
          <w:u w:val="single"/>
        </w:rPr>
        <w:t>institucional</w:t>
      </w:r>
    </w:p>
    <w:p w14:paraId="34AD99B4" w14:textId="54EB37BF" w:rsidR="007545CB" w:rsidRPr="00FF2DF3" w:rsidRDefault="007545CB" w:rsidP="007545CB">
      <w:pPr>
        <w:pStyle w:val="ONUMFS"/>
      </w:pPr>
      <w:r w:rsidRPr="00FF2DF3">
        <w:t xml:space="preserve">Las actividades del proyecto tuvieron un efecto positivo en las organizaciones a las que pertenecían las personas encuestadas y los informantes clave, como se muestra en el </w:t>
      </w:r>
      <w:r w:rsidR="005C3D07" w:rsidRPr="00FF2DF3">
        <w:t>g</w:t>
      </w:r>
      <w:r w:rsidRPr="00FF2DF3">
        <w:t xml:space="preserve">ráfico 4. La mayoría de las partes interesadas señalaron que el proyecto había </w:t>
      </w:r>
      <w:r w:rsidR="00D22E7B" w:rsidRPr="00FF2DF3">
        <w:t xml:space="preserve">contribuido a </w:t>
      </w:r>
      <w:r w:rsidRPr="00FF2DF3">
        <w:t>incrementa</w:t>
      </w:r>
      <w:r w:rsidR="00D22E7B" w:rsidRPr="00FF2DF3">
        <w:t>r</w:t>
      </w:r>
      <w:r w:rsidRPr="00FF2DF3">
        <w:t xml:space="preserve"> </w:t>
      </w:r>
      <w:r w:rsidR="00BE1156" w:rsidRPr="00FF2DF3">
        <w:t>la sensibilización</w:t>
      </w:r>
      <w:r w:rsidRPr="00FF2DF3">
        <w:t xml:space="preserve"> respecto de la PI y </w:t>
      </w:r>
      <w:r w:rsidR="00BE1156" w:rsidRPr="00FF2DF3">
        <w:t xml:space="preserve">a </w:t>
      </w:r>
      <w:r w:rsidRPr="00FF2DF3">
        <w:t>mejora</w:t>
      </w:r>
      <w:r w:rsidR="00BE2032" w:rsidRPr="00FF2DF3">
        <w:t>r</w:t>
      </w:r>
      <w:r w:rsidR="00BE1156" w:rsidRPr="00FF2DF3">
        <w:t xml:space="preserve"> la</w:t>
      </w:r>
      <w:r w:rsidRPr="00FF2DF3">
        <w:t xml:space="preserve"> eficacia y capacidad de respuesta</w:t>
      </w:r>
      <w:r w:rsidR="00BE1156" w:rsidRPr="00FF2DF3">
        <w:t xml:space="preserve"> de sus organizaciones</w:t>
      </w:r>
      <w:r w:rsidRPr="00FF2DF3">
        <w:t>. Los informantes clave también mencionaron que el proyecto ayud</w:t>
      </w:r>
      <w:r w:rsidR="00F84393" w:rsidRPr="00FF2DF3">
        <w:t>ó</w:t>
      </w:r>
      <w:r w:rsidRPr="00FF2DF3">
        <w:t xml:space="preserve"> a sensibilizar a los encargados de formular políticas sobre </w:t>
      </w:r>
      <w:r w:rsidR="00F84393" w:rsidRPr="00FF2DF3">
        <w:t>la utilización de</w:t>
      </w:r>
      <w:r w:rsidRPr="00FF2DF3">
        <w:t xml:space="preserve"> datos económicos para la formulación de políticas. Los participantes en el proyecto que señalaron un reducido beneficio o ninguno para sus organizaciones pertenecían a grandes universidades en las que la publicación de investigaciones es una actividad </w:t>
      </w:r>
      <w:r w:rsidR="00E70652" w:rsidRPr="00FF2DF3">
        <w:t>ordinaria</w:t>
      </w:r>
      <w:r w:rsidRPr="00FF2DF3">
        <w:t xml:space="preserve"> que </w:t>
      </w:r>
      <w:r w:rsidR="00D75703" w:rsidRPr="00FF2DF3">
        <w:t xml:space="preserve">no está vinculada </w:t>
      </w:r>
      <w:r w:rsidR="00B5269B" w:rsidRPr="00FF2DF3">
        <w:t>a u</w:t>
      </w:r>
      <w:r w:rsidRPr="00FF2DF3">
        <w:t xml:space="preserve">n </w:t>
      </w:r>
      <w:r w:rsidR="00B5269B" w:rsidRPr="00FF2DF3">
        <w:t>efecto previsto</w:t>
      </w:r>
      <w:r w:rsidRPr="00FF2DF3">
        <w:t xml:space="preserve">. </w:t>
      </w:r>
    </w:p>
    <w:p w14:paraId="02EE6131" w14:textId="35F57DB8" w:rsidR="007545CB" w:rsidRPr="00FF2DF3" w:rsidRDefault="007545CB" w:rsidP="007545CB">
      <w:pPr>
        <w:pStyle w:val="Caption"/>
        <w:spacing w:after="120"/>
        <w:jc w:val="center"/>
      </w:pPr>
      <w:bookmarkStart w:id="49" w:name="_Ref139280216"/>
      <w:r w:rsidRPr="00FF2DF3">
        <w:t xml:space="preserve">Gráfico </w:t>
      </w:r>
      <w:fldSimple w:instr=" SEQ Figure \* ARABIC ">
        <w:r w:rsidRPr="00FF2DF3">
          <w:t>4</w:t>
        </w:r>
      </w:fldSimple>
      <w:bookmarkEnd w:id="49"/>
      <w:r w:rsidRPr="00FF2DF3">
        <w:t>: Los productos obtenidos a partir de la investigación fueron valiosos para la mayoría de las organizaciones</w:t>
      </w:r>
    </w:p>
    <w:p w14:paraId="0E133D44" w14:textId="69CDFAD8" w:rsidR="007545CB" w:rsidRPr="00FF2DF3" w:rsidRDefault="00893B24" w:rsidP="007545CB">
      <w:pPr>
        <w:jc w:val="center"/>
      </w:pPr>
      <w:r w:rsidRPr="00893B24">
        <w:rPr>
          <w:noProof/>
          <w:lang w:eastAsia="es-ES"/>
        </w:rPr>
        <w:drawing>
          <wp:inline distT="0" distB="0" distL="0" distR="0" wp14:anchorId="1C0583A2" wp14:editId="780B6FD3">
            <wp:extent cx="4581525" cy="2752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322107B" w14:textId="0C579851" w:rsidR="007545CB" w:rsidRPr="00FF2DF3" w:rsidRDefault="007545CB" w:rsidP="007545CB">
      <w:pPr>
        <w:pStyle w:val="ONUMFS"/>
        <w:spacing w:before="220" w:after="0"/>
      </w:pPr>
      <w:r w:rsidRPr="00FF2DF3">
        <w:t>Un</w:t>
      </w:r>
      <w:r w:rsidR="007860C9" w:rsidRPr="00FF2DF3">
        <w:t>a</w:t>
      </w:r>
      <w:r w:rsidRPr="00FF2DF3">
        <w:t xml:space="preserve"> de </w:t>
      </w:r>
      <w:r w:rsidR="009C1372" w:rsidRPr="00FF2DF3">
        <w:t xml:space="preserve">las dificultades </w:t>
      </w:r>
      <w:r w:rsidR="007860C9" w:rsidRPr="00FF2DF3">
        <w:t xml:space="preserve">que encontró </w:t>
      </w:r>
      <w:r w:rsidRPr="00FF2DF3">
        <w:t xml:space="preserve">el proyecto fue </w:t>
      </w:r>
      <w:r w:rsidR="000D1344" w:rsidRPr="00FF2DF3">
        <w:t xml:space="preserve">la necesidad de contratar a </w:t>
      </w:r>
      <w:r w:rsidRPr="00FF2DF3">
        <w:t xml:space="preserve">consultores externos para </w:t>
      </w:r>
      <w:r w:rsidR="0033588A" w:rsidRPr="00FF2DF3">
        <w:t>llevar a</w:t>
      </w:r>
      <w:r w:rsidR="008A31C9" w:rsidRPr="00FF2DF3">
        <w:t xml:space="preserve"> </w:t>
      </w:r>
      <w:r w:rsidR="0033588A" w:rsidRPr="00FF2DF3">
        <w:t xml:space="preserve">cabo </w:t>
      </w:r>
      <w:r w:rsidR="000D1344" w:rsidRPr="00FF2DF3">
        <w:t xml:space="preserve">las </w:t>
      </w:r>
      <w:r w:rsidRPr="00FF2DF3">
        <w:t>investigaci</w:t>
      </w:r>
      <w:r w:rsidR="0033588A" w:rsidRPr="00FF2DF3">
        <w:t>ones</w:t>
      </w:r>
      <w:r w:rsidRPr="00FF2DF3">
        <w:t xml:space="preserve"> y </w:t>
      </w:r>
      <w:r w:rsidR="000D1344" w:rsidRPr="00FF2DF3">
        <w:t xml:space="preserve">los </w:t>
      </w:r>
      <w:r w:rsidRPr="00FF2DF3">
        <w:t xml:space="preserve">análisis. Un informante clave </w:t>
      </w:r>
      <w:r w:rsidR="0070633B" w:rsidRPr="00FF2DF3">
        <w:t>explicó</w:t>
      </w:r>
      <w:r w:rsidR="00276F19" w:rsidRPr="00FF2DF3">
        <w:t xml:space="preserve"> </w:t>
      </w:r>
      <w:r w:rsidR="00A92660" w:rsidRPr="00FF2DF3">
        <w:t xml:space="preserve">que </w:t>
      </w:r>
      <w:r w:rsidRPr="00FF2DF3">
        <w:t>“nuestra oficina necesita cierto apoyo extern</w:t>
      </w:r>
      <w:r w:rsidR="000D1344" w:rsidRPr="00FF2DF3">
        <w:t>o</w:t>
      </w:r>
      <w:r w:rsidRPr="00FF2DF3">
        <w:t xml:space="preserve"> para poder producir este tipo de trabajo... realmente no tenemos capacidad para hacerlo”. </w:t>
      </w:r>
      <w:r w:rsidR="00516FE1" w:rsidRPr="00FF2DF3">
        <w:t xml:space="preserve">El enfoque </w:t>
      </w:r>
      <w:r w:rsidR="00017BEF" w:rsidRPr="00FF2DF3">
        <w:t>aplicad</w:t>
      </w:r>
      <w:r w:rsidR="00516FE1" w:rsidRPr="00FF2DF3">
        <w:t>o</w:t>
      </w:r>
      <w:r w:rsidRPr="00FF2DF3">
        <w:t xml:space="preserve"> puede </w:t>
      </w:r>
      <w:r w:rsidR="00516FE1" w:rsidRPr="00FF2DF3">
        <w:t xml:space="preserve">que haya </w:t>
      </w:r>
      <w:r w:rsidRPr="00FF2DF3">
        <w:t xml:space="preserve">mejorado la producción </w:t>
      </w:r>
      <w:r w:rsidR="002973A6" w:rsidRPr="00FF2DF3">
        <w:t xml:space="preserve">a corto plazo </w:t>
      </w:r>
      <w:r w:rsidR="003935BF" w:rsidRPr="00FF2DF3">
        <w:t xml:space="preserve">en materia de investigación </w:t>
      </w:r>
      <w:r w:rsidRPr="00FF2DF3">
        <w:t>de las organizaciones beneficiarias, pero también minimiz</w:t>
      </w:r>
      <w:r w:rsidR="003935BF" w:rsidRPr="00FF2DF3">
        <w:t xml:space="preserve">ó </w:t>
      </w:r>
      <w:r w:rsidRPr="00FF2DF3">
        <w:t>el impacto a largo plazo d</w:t>
      </w:r>
      <w:r w:rsidR="00773C21" w:rsidRPr="00FF2DF3">
        <w:t>e las actividades de</w:t>
      </w:r>
      <w:r w:rsidRPr="00FF2DF3">
        <w:t xml:space="preserve"> fortalecimiento de capacidades</w:t>
      </w:r>
      <w:r w:rsidR="008F189B" w:rsidRPr="00FF2DF3">
        <w:t xml:space="preserve"> debido a la </w:t>
      </w:r>
      <w:r w:rsidRPr="00FF2DF3">
        <w:t xml:space="preserve">alta rotación </w:t>
      </w:r>
      <w:r w:rsidR="008F189B" w:rsidRPr="00FF2DF3">
        <w:t>de los</w:t>
      </w:r>
      <w:r w:rsidRPr="00FF2DF3">
        <w:t xml:space="preserve"> consultores, quienes </w:t>
      </w:r>
      <w:r w:rsidR="00195CA2" w:rsidRPr="00FF2DF3">
        <w:t xml:space="preserve">parten </w:t>
      </w:r>
      <w:r w:rsidRPr="00FF2DF3">
        <w:t xml:space="preserve">con </w:t>
      </w:r>
      <w:r w:rsidR="00DE431B" w:rsidRPr="00FF2DF3">
        <w:t xml:space="preserve">los </w:t>
      </w:r>
      <w:r w:rsidRPr="00FF2DF3">
        <w:t xml:space="preserve">valiosos conocimientos institucionales </w:t>
      </w:r>
      <w:r w:rsidR="00CB65B5" w:rsidRPr="00FF2DF3">
        <w:t xml:space="preserve">que han </w:t>
      </w:r>
      <w:r w:rsidRPr="00FF2DF3">
        <w:t>adquirido durante la ejecución del proyecto (</w:t>
      </w:r>
      <w:r w:rsidR="0070633B" w:rsidRPr="00FF2DF3">
        <w:t xml:space="preserve">salvo en el caso de </w:t>
      </w:r>
      <w:r w:rsidRPr="00FF2DF3">
        <w:t>las consultorías a largo plazo).</w:t>
      </w:r>
    </w:p>
    <w:p w14:paraId="1CDF00B3" w14:textId="77777777" w:rsidR="007545CB" w:rsidRPr="00FF2DF3" w:rsidRDefault="007545CB" w:rsidP="009E76FE">
      <w:pPr>
        <w:pStyle w:val="Heading2"/>
        <w:numPr>
          <w:ilvl w:val="0"/>
          <w:numId w:val="36"/>
        </w:numPr>
        <w:tabs>
          <w:tab w:val="clear" w:pos="567"/>
        </w:tabs>
        <w:spacing w:after="240"/>
        <w:ind w:left="1134" w:hanging="572"/>
      </w:pPr>
      <w:bookmarkStart w:id="50" w:name="_Toc140224977"/>
      <w:bookmarkStart w:id="51" w:name="_Toc146102850"/>
      <w:bookmarkEnd w:id="50"/>
      <w:r w:rsidRPr="00FF2DF3">
        <w:t>¿Cuáles son los efectos previstos y no previstos del proyecto en los países beneficiarios?</w:t>
      </w:r>
      <w:bookmarkEnd w:id="51"/>
    </w:p>
    <w:p w14:paraId="322A877A" w14:textId="3CFF5957" w:rsidR="007545CB" w:rsidRPr="00FF2DF3" w:rsidRDefault="007545CB" w:rsidP="007545CB">
      <w:pPr>
        <w:pStyle w:val="ONUMFS"/>
      </w:pPr>
      <w:r w:rsidRPr="00FF2DF3">
        <w:t xml:space="preserve">A nivel nacional, el proyecto contribuyó a una serie de efectos. Sin embargo, en la mayoría de los casos, el grado de contribución no </w:t>
      </w:r>
      <w:r w:rsidR="000D341F" w:rsidRPr="00FF2DF3">
        <w:t>pudo</w:t>
      </w:r>
      <w:r w:rsidRPr="00FF2DF3">
        <w:t xml:space="preserve"> comprobarse rigurosamente debido a las limitaciones de la evaluación. </w:t>
      </w:r>
    </w:p>
    <w:p w14:paraId="249C32DB" w14:textId="45E19E8F" w:rsidR="007545CB" w:rsidRPr="00FF2DF3" w:rsidRDefault="007545CB" w:rsidP="007545CB">
      <w:pPr>
        <w:pStyle w:val="ONUMFS"/>
      </w:pPr>
      <w:r w:rsidRPr="00FF2DF3">
        <w:t xml:space="preserve">Un efecto directo de la investigación sobre PI, según las personas encuestadas y los informantes clave, es </w:t>
      </w:r>
      <w:r w:rsidR="003B4A58" w:rsidRPr="00FF2DF3">
        <w:t>el</w:t>
      </w:r>
      <w:r w:rsidRPr="00FF2DF3">
        <w:t xml:space="preserve"> </w:t>
      </w:r>
      <w:r w:rsidR="00BF1623" w:rsidRPr="00FF2DF3">
        <w:t>cambio</w:t>
      </w:r>
      <w:r w:rsidRPr="00FF2DF3">
        <w:t xml:space="preserve"> conceptual </w:t>
      </w:r>
      <w:r w:rsidR="00966BC4" w:rsidRPr="00FF2DF3">
        <w:t xml:space="preserve">que experimentaron </w:t>
      </w:r>
      <w:r w:rsidRPr="00FF2DF3">
        <w:t xml:space="preserve">los investigadores y las partes interesadas </w:t>
      </w:r>
      <w:r w:rsidR="00CE137E" w:rsidRPr="00FF2DF3">
        <w:t xml:space="preserve">en </w:t>
      </w:r>
      <w:r w:rsidR="00966BC4" w:rsidRPr="00FF2DF3">
        <w:t xml:space="preserve">conocimientos, comprensión y actitudes </w:t>
      </w:r>
      <w:r w:rsidRPr="00FF2DF3">
        <w:t xml:space="preserve">respecto de los beneficios económicos de la innovación. Este impacto </w:t>
      </w:r>
      <w:r w:rsidR="00E50696" w:rsidRPr="00FF2DF3">
        <w:t xml:space="preserve">se </w:t>
      </w:r>
      <w:r w:rsidRPr="00FF2DF3">
        <w:t xml:space="preserve">refleja </w:t>
      </w:r>
      <w:r w:rsidR="00E50696" w:rsidRPr="00FF2DF3">
        <w:t xml:space="preserve">en </w:t>
      </w:r>
      <w:r w:rsidRPr="00FF2DF3">
        <w:t xml:space="preserve">el incremento de la investigación </w:t>
      </w:r>
      <w:r w:rsidR="00D70FB7" w:rsidRPr="00FF2DF3">
        <w:t xml:space="preserve">multidisciplinaria </w:t>
      </w:r>
      <w:r w:rsidRPr="00FF2DF3">
        <w:t xml:space="preserve">sobre PI, que implica </w:t>
      </w:r>
      <w:r w:rsidR="006A1A26" w:rsidRPr="00FF2DF3">
        <w:t>la colaboración</w:t>
      </w:r>
      <w:r w:rsidR="00143B67" w:rsidRPr="00FF2DF3">
        <w:t xml:space="preserve"> </w:t>
      </w:r>
      <w:r w:rsidRPr="00FF2DF3">
        <w:t>a gran escala</w:t>
      </w:r>
      <w:r w:rsidR="00B15843" w:rsidRPr="00FF2DF3">
        <w:t xml:space="preserve"> en el uso de</w:t>
      </w:r>
      <w:r w:rsidR="00143B67" w:rsidRPr="00FF2DF3">
        <w:t xml:space="preserve"> </w:t>
      </w:r>
      <w:r w:rsidRPr="00FF2DF3">
        <w:t xml:space="preserve">diferentes marcos, métodos y perspectivas de investigación, así como entre diferentes personas, instituciones y fuentes de financiación. Aunque este impacto no puede ser atribuido directamente al proyecto, </w:t>
      </w:r>
      <w:r w:rsidR="003E6AEB" w:rsidRPr="00FF2DF3">
        <w:t xml:space="preserve">según </w:t>
      </w:r>
      <w:r w:rsidRPr="00FF2DF3">
        <w:t xml:space="preserve">las partes interesadas </w:t>
      </w:r>
      <w:r w:rsidR="003E6AEB" w:rsidRPr="00FF2DF3">
        <w:t xml:space="preserve">es claro que </w:t>
      </w:r>
      <w:r w:rsidR="00D44F7C" w:rsidRPr="00FF2DF3">
        <w:t xml:space="preserve">el proyecto </w:t>
      </w:r>
      <w:r w:rsidRPr="00FF2DF3">
        <w:t xml:space="preserve">ha contribuido mucho a este cambio. </w:t>
      </w:r>
    </w:p>
    <w:p w14:paraId="1757C5BE" w14:textId="240B1EE4" w:rsidR="007545CB" w:rsidRPr="00FF2DF3" w:rsidRDefault="007545CB" w:rsidP="007545CB">
      <w:pPr>
        <w:pStyle w:val="ONUMFS"/>
      </w:pPr>
      <w:r w:rsidRPr="00FF2DF3">
        <w:t>Un gran número de personas encuestad</w:t>
      </w:r>
      <w:r w:rsidR="00125305" w:rsidRPr="00FF2DF3">
        <w:t>a</w:t>
      </w:r>
      <w:r w:rsidRPr="00FF2DF3">
        <w:t xml:space="preserve">s (45%) señaló que el proyecto </w:t>
      </w:r>
      <w:r w:rsidR="00373865" w:rsidRPr="00FF2DF3">
        <w:t>contribuyó</w:t>
      </w:r>
      <w:r w:rsidRPr="00FF2DF3">
        <w:t xml:space="preserve"> a las prioridades de inversión del gobierno o del sector privado (</w:t>
      </w:r>
      <w:r w:rsidRPr="00FF2DF3">
        <w:fldChar w:fldCharType="begin"/>
      </w:r>
      <w:r w:rsidRPr="00FF2DF3">
        <w:instrText xml:space="preserve"> REF _Ref139883412 \h  \* MERGEFORMAT </w:instrText>
      </w:r>
      <w:r w:rsidRPr="00FF2DF3">
        <w:fldChar w:fldCharType="separate"/>
      </w:r>
      <w:r w:rsidR="00C84882" w:rsidRPr="00FF2DF3">
        <w:t>gráfico 5</w:t>
      </w:r>
      <w:r w:rsidRPr="00FF2DF3">
        <w:fldChar w:fldCharType="end"/>
      </w:r>
      <w:r w:rsidRPr="00FF2DF3">
        <w:t xml:space="preserve">). En concreto, los productos obtenidos a partir de la investigación y la mayor capacidad de los países beneficiarios para presentar informes sobre cuestiones de PI contribuyeron a convencer a los agentes del sector privado sobe la importancia económica que reviste la </w:t>
      </w:r>
      <w:r w:rsidR="0084161E" w:rsidRPr="00FF2DF3">
        <w:t>reglamentación</w:t>
      </w:r>
      <w:r w:rsidRPr="00FF2DF3">
        <w:t xml:space="preserve"> de la PI. Por </w:t>
      </w:r>
      <w:r w:rsidR="0084161E" w:rsidRPr="00FF2DF3">
        <w:t xml:space="preserve">lo </w:t>
      </w:r>
      <w:r w:rsidRPr="00FF2DF3">
        <w:t xml:space="preserve">tanto, puede decirse que el proyecto </w:t>
      </w:r>
      <w:r w:rsidR="00AD451B" w:rsidRPr="00FF2DF3">
        <w:t xml:space="preserve">contribuyó </w:t>
      </w:r>
      <w:r w:rsidRPr="00FF2DF3">
        <w:t xml:space="preserve">a crear un círculo virtuoso en el que una mayor sensibilización sobre las cuestiones de PI </w:t>
      </w:r>
      <w:r w:rsidR="000B4B15" w:rsidRPr="00FF2DF3">
        <w:t>contribuyó</w:t>
      </w:r>
      <w:r w:rsidRPr="00FF2DF3">
        <w:t xml:space="preserve"> a aumentar la inversión en </w:t>
      </w:r>
      <w:r w:rsidR="00742D50" w:rsidRPr="00FF2DF3">
        <w:t xml:space="preserve">la </w:t>
      </w:r>
      <w:r w:rsidRPr="00FF2DF3">
        <w:t xml:space="preserve">innovación y el registro de la PI, </w:t>
      </w:r>
      <w:r w:rsidR="00772E46" w:rsidRPr="00FF2DF3">
        <w:t xml:space="preserve">lo </w:t>
      </w:r>
      <w:r w:rsidR="009F11EB" w:rsidRPr="00FF2DF3">
        <w:t xml:space="preserve">que a su vez </w:t>
      </w:r>
      <w:r w:rsidR="00B11311" w:rsidRPr="00FF2DF3">
        <w:t xml:space="preserve">incrementó mucho más la </w:t>
      </w:r>
      <w:r w:rsidRPr="00FF2DF3">
        <w:t xml:space="preserve">sensibilización </w:t>
      </w:r>
      <w:r w:rsidR="00796AB2" w:rsidRPr="00FF2DF3">
        <w:t xml:space="preserve">y </w:t>
      </w:r>
      <w:r w:rsidR="00B11311" w:rsidRPr="00FF2DF3">
        <w:t xml:space="preserve">la </w:t>
      </w:r>
      <w:r w:rsidRPr="00FF2DF3">
        <w:t xml:space="preserve">inversión. </w:t>
      </w:r>
      <w:r w:rsidR="007C3FB6" w:rsidRPr="00FF2DF3">
        <w:t>O</w:t>
      </w:r>
      <w:r w:rsidRPr="00FF2DF3">
        <w:t xml:space="preserve">tro de los efectos que se observaron durante la evaluación </w:t>
      </w:r>
      <w:r w:rsidR="00B11311" w:rsidRPr="00FF2DF3">
        <w:t>fue</w:t>
      </w:r>
      <w:r w:rsidR="007C3FB6" w:rsidRPr="00FF2DF3">
        <w:t xml:space="preserve"> que el proyecto </w:t>
      </w:r>
      <w:r w:rsidR="00B11311" w:rsidRPr="00FF2DF3">
        <w:t xml:space="preserve">contribuyó </w:t>
      </w:r>
      <w:r w:rsidRPr="00FF2DF3">
        <w:t xml:space="preserve">al aumento del uso de modelos de utilidad por parte de las autoridades nacionales. </w:t>
      </w:r>
    </w:p>
    <w:p w14:paraId="1D49B6C2" w14:textId="6CC1566B" w:rsidR="007545CB" w:rsidRPr="00FF2DF3" w:rsidRDefault="007545CB" w:rsidP="007545CB">
      <w:pPr>
        <w:pStyle w:val="Caption"/>
        <w:spacing w:after="120"/>
        <w:jc w:val="center"/>
      </w:pPr>
      <w:bookmarkStart w:id="52" w:name="_Ref139883412"/>
      <w:r w:rsidRPr="00FF2DF3">
        <w:t xml:space="preserve">Gráfico </w:t>
      </w:r>
      <w:fldSimple w:instr=" SEQ Figure \* ARABIC ">
        <w:r w:rsidRPr="00FF2DF3">
          <w:t>5</w:t>
        </w:r>
      </w:fldSimple>
      <w:bookmarkEnd w:id="52"/>
      <w:r w:rsidRPr="00FF2DF3">
        <w:t xml:space="preserve">: La mayoría de los participantes </w:t>
      </w:r>
      <w:r w:rsidR="00FE1467" w:rsidRPr="00FF2DF3">
        <w:t>coinciden</w:t>
      </w:r>
      <w:r w:rsidRPr="00FF2DF3">
        <w:t xml:space="preserve"> en que el proyecto contribuyó a aumentar la inversión pública o privada</w:t>
      </w:r>
    </w:p>
    <w:p w14:paraId="2FF4F4D0" w14:textId="3E503901" w:rsidR="007545CB" w:rsidRPr="00FF2DF3" w:rsidRDefault="00893B24" w:rsidP="007545CB">
      <w:pPr>
        <w:jc w:val="center"/>
      </w:pPr>
      <w:r w:rsidRPr="00893B24">
        <w:rPr>
          <w:noProof/>
          <w:lang w:eastAsia="es-ES"/>
        </w:rPr>
        <w:drawing>
          <wp:inline distT="0" distB="0" distL="0" distR="0" wp14:anchorId="3F0E81DA" wp14:editId="4D9DEB14">
            <wp:extent cx="4581525" cy="2752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3609C36" w14:textId="21B8A39B" w:rsidR="007545CB" w:rsidRPr="00FF2DF3" w:rsidRDefault="00935570" w:rsidP="007545CB">
      <w:pPr>
        <w:pStyle w:val="ONUMFS"/>
        <w:spacing w:before="220"/>
      </w:pPr>
      <w:r w:rsidRPr="00FF2DF3">
        <w:t xml:space="preserve">Pocos </w:t>
      </w:r>
      <w:r w:rsidR="007545CB" w:rsidRPr="00FF2DF3">
        <w:t xml:space="preserve">datos apuntan a que el proyecto </w:t>
      </w:r>
      <w:r w:rsidR="00ED5BA7" w:rsidRPr="00FF2DF3">
        <w:t>contribuyó</w:t>
      </w:r>
      <w:r w:rsidR="007545CB" w:rsidRPr="00FF2DF3">
        <w:t xml:space="preserve"> a un cambio en la gestión de las oficinas de PI </w:t>
      </w:r>
      <w:r w:rsidR="007C3FB6" w:rsidRPr="00FF2DF3">
        <w:t>o de</w:t>
      </w:r>
      <w:r w:rsidR="007545CB" w:rsidRPr="00FF2DF3">
        <w:t xml:space="preserve"> otras organizaciones. Sin embargo, el estudio de caso del Brasil demuestra que la disponibilidad de los datos producidos por el proyecto contribuyó a </w:t>
      </w:r>
      <w:r w:rsidR="00A45683" w:rsidRPr="00FF2DF3">
        <w:t>que la</w:t>
      </w:r>
      <w:r w:rsidR="007545CB" w:rsidRPr="00FF2DF3">
        <w:t xml:space="preserve"> toma de decisiones </w:t>
      </w:r>
      <w:r w:rsidR="00A45683" w:rsidRPr="00FF2DF3">
        <w:t xml:space="preserve">se basara más </w:t>
      </w:r>
      <w:r w:rsidR="007545CB" w:rsidRPr="00FF2DF3">
        <w:t xml:space="preserve">en </w:t>
      </w:r>
      <w:r w:rsidR="00600596" w:rsidRPr="00FF2DF3">
        <w:t xml:space="preserve">los </w:t>
      </w:r>
      <w:r w:rsidR="007545CB" w:rsidRPr="00FF2DF3">
        <w:t>datos</w:t>
      </w:r>
      <w:r w:rsidR="007545CB" w:rsidRPr="00FF2DF3">
        <w:rPr>
          <w:rStyle w:val="FootnoteReference"/>
          <w:lang w:val="es-ES_tradnl"/>
        </w:rPr>
        <w:footnoteReference w:id="11"/>
      </w:r>
      <w:r w:rsidR="00A752F4" w:rsidRPr="00FF2DF3">
        <w:rPr>
          <w:lang w:val="es-ES_tradnl"/>
        </w:rPr>
        <w:t>.</w:t>
      </w:r>
    </w:p>
    <w:p w14:paraId="0C55BCDB" w14:textId="7A47C172" w:rsidR="007545CB" w:rsidRPr="00FF2DF3" w:rsidRDefault="007545CB" w:rsidP="007545CB">
      <w:pPr>
        <w:pStyle w:val="Caption"/>
        <w:spacing w:after="120"/>
        <w:jc w:val="center"/>
      </w:pPr>
      <w:r w:rsidRPr="00FF2DF3">
        <w:t xml:space="preserve">Gráfico </w:t>
      </w:r>
      <w:fldSimple w:instr=" SEQ Figure \* ARABIC ">
        <w:r w:rsidRPr="00FF2DF3">
          <w:t>6</w:t>
        </w:r>
      </w:fldSimple>
      <w:r w:rsidRPr="00FF2DF3">
        <w:t>: La mayoría de los participantes señalan que el proyecto no tuvo ningún impacto en las prácticas de gestión de su organización</w:t>
      </w:r>
    </w:p>
    <w:p w14:paraId="503ACCFD" w14:textId="4ADF427D" w:rsidR="007545CB" w:rsidRPr="00FF2DF3" w:rsidRDefault="00893B24" w:rsidP="007545CB">
      <w:pPr>
        <w:jc w:val="center"/>
      </w:pPr>
      <w:r w:rsidRPr="00893B24">
        <w:rPr>
          <w:noProof/>
          <w:lang w:eastAsia="es-ES"/>
        </w:rPr>
        <w:drawing>
          <wp:inline distT="0" distB="0" distL="0" distR="0" wp14:anchorId="163D00BB" wp14:editId="50B8569A">
            <wp:extent cx="4581525" cy="2752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AD6DEEC" w14:textId="604C3CE0" w:rsidR="007545CB" w:rsidRPr="00FF2DF3" w:rsidRDefault="007545CB" w:rsidP="007545CB">
      <w:pPr>
        <w:pStyle w:val="ONUMFS"/>
        <w:spacing w:before="220"/>
      </w:pPr>
      <w:r w:rsidRPr="00FF2DF3">
        <w:t xml:space="preserve">El proyecto no produjo ningún efecto directo mensurable </w:t>
      </w:r>
      <w:r w:rsidR="000D3348" w:rsidRPr="00FF2DF3">
        <w:t>vinculado a</w:t>
      </w:r>
      <w:r w:rsidRPr="00FF2DF3">
        <w:t xml:space="preserve"> un acuerdo, </w:t>
      </w:r>
      <w:r w:rsidR="005C789D" w:rsidRPr="00FF2DF3">
        <w:t xml:space="preserve">un </w:t>
      </w:r>
      <w:r w:rsidRPr="00FF2DF3">
        <w:t xml:space="preserve">tratado o </w:t>
      </w:r>
      <w:r w:rsidR="005C789D" w:rsidRPr="00FF2DF3">
        <w:t xml:space="preserve">una </w:t>
      </w:r>
      <w:r w:rsidRPr="00FF2DF3">
        <w:t>declaración internacional (</w:t>
      </w:r>
      <w:r w:rsidRPr="00FF2DF3">
        <w:fldChar w:fldCharType="begin"/>
      </w:r>
      <w:r w:rsidRPr="00FF2DF3">
        <w:instrText xml:space="preserve"> REF _Ref139894046 \h </w:instrText>
      </w:r>
      <w:r w:rsidR="00802F58" w:rsidRPr="00FF2DF3">
        <w:instrText xml:space="preserve"> \* MERGEFORMAT </w:instrText>
      </w:r>
      <w:r w:rsidRPr="00FF2DF3">
        <w:fldChar w:fldCharType="separate"/>
      </w:r>
      <w:r w:rsidR="00C84882" w:rsidRPr="00FF2DF3">
        <w:t>gráfico 7</w:t>
      </w:r>
      <w:r w:rsidRPr="00FF2DF3">
        <w:fldChar w:fldCharType="end"/>
      </w:r>
      <w:r w:rsidRPr="00FF2DF3">
        <w:t xml:space="preserve">). </w:t>
      </w:r>
      <w:r w:rsidR="003D1533" w:rsidRPr="00FF2DF3">
        <w:t xml:space="preserve">Esto </w:t>
      </w:r>
      <w:r w:rsidR="008A0695" w:rsidRPr="00FF2DF3">
        <w:t xml:space="preserve">es </w:t>
      </w:r>
      <w:r w:rsidR="00F00680" w:rsidRPr="00FF2DF3">
        <w:t>consecuente</w:t>
      </w:r>
      <w:r w:rsidR="003D1533" w:rsidRPr="00FF2DF3">
        <w:t xml:space="preserve"> con </w:t>
      </w:r>
      <w:r w:rsidR="00556B4E" w:rsidRPr="00FF2DF3">
        <w:t>los objetivos principales d</w:t>
      </w:r>
      <w:r w:rsidR="007F64FE" w:rsidRPr="00FF2DF3">
        <w:t xml:space="preserve">el proyecto </w:t>
      </w:r>
      <w:r w:rsidR="003D1533" w:rsidRPr="00FF2DF3">
        <w:t xml:space="preserve">de </w:t>
      </w:r>
      <w:r w:rsidRPr="00FF2DF3">
        <w:t xml:space="preserve">llevar a cabo investigaciones sobre PI y fortalecer las capacidades en este ámbito. </w:t>
      </w:r>
    </w:p>
    <w:p w14:paraId="2032FBD9" w14:textId="67052779" w:rsidR="007545CB" w:rsidRPr="00FF2DF3" w:rsidRDefault="007545CB" w:rsidP="007545CB">
      <w:pPr>
        <w:pStyle w:val="Caption"/>
        <w:keepNext/>
        <w:keepLines/>
        <w:spacing w:after="120"/>
        <w:jc w:val="center"/>
      </w:pPr>
      <w:bookmarkStart w:id="53" w:name="_Ref139894046"/>
      <w:r w:rsidRPr="00FF2DF3">
        <w:t xml:space="preserve">Gráfico </w:t>
      </w:r>
      <w:fldSimple w:instr=" SEQ Figure \* ARABIC ">
        <w:r w:rsidRPr="00FF2DF3">
          <w:t>7</w:t>
        </w:r>
      </w:fldSimple>
      <w:bookmarkEnd w:id="53"/>
      <w:r w:rsidRPr="00FF2DF3">
        <w:t>: La mayoría de los participantes señala</w:t>
      </w:r>
      <w:r w:rsidR="00F00680" w:rsidRPr="00FF2DF3">
        <w:t>n</w:t>
      </w:r>
      <w:r w:rsidRPr="00FF2DF3">
        <w:t xml:space="preserve"> que el proyecto no contribuyó a la decisión de firmar un tratado, una declaración o un acuerdo</w:t>
      </w:r>
    </w:p>
    <w:p w14:paraId="5EF46DE6" w14:textId="7840A9CF" w:rsidR="007545CB" w:rsidRPr="00FF2DF3" w:rsidRDefault="00893B24" w:rsidP="007545CB">
      <w:pPr>
        <w:jc w:val="center"/>
      </w:pPr>
      <w:r w:rsidRPr="00893B24">
        <w:rPr>
          <w:noProof/>
          <w:lang w:eastAsia="es-ES"/>
        </w:rPr>
        <w:drawing>
          <wp:inline distT="0" distB="0" distL="0" distR="0" wp14:anchorId="0376F309" wp14:editId="7A8FC334">
            <wp:extent cx="4581525" cy="2752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22907FD" w14:textId="197FD45E" w:rsidR="007545CB" w:rsidRPr="00FF2DF3" w:rsidRDefault="007545CB" w:rsidP="009E76FE">
      <w:pPr>
        <w:pStyle w:val="Heading2"/>
        <w:numPr>
          <w:ilvl w:val="0"/>
          <w:numId w:val="36"/>
        </w:numPr>
        <w:tabs>
          <w:tab w:val="clear" w:pos="567"/>
        </w:tabs>
        <w:spacing w:after="240"/>
        <w:ind w:left="1134" w:hanging="572"/>
      </w:pPr>
      <w:bookmarkStart w:id="54" w:name="_Toc140224978"/>
      <w:bookmarkStart w:id="55" w:name="_Toc146102851"/>
      <w:r w:rsidRPr="00FF2DF3">
        <w:t xml:space="preserve">¿Cuáles </w:t>
      </w:r>
      <w:r w:rsidR="002E568C" w:rsidRPr="00FF2DF3">
        <w:t>s</w:t>
      </w:r>
      <w:r w:rsidRPr="00FF2DF3">
        <w:t>on los efectos previstos y no previstos del proyecto en la OMPI?</w:t>
      </w:r>
      <w:bookmarkEnd w:id="54"/>
      <w:bookmarkEnd w:id="55"/>
    </w:p>
    <w:p w14:paraId="5B246347" w14:textId="1D9B1C43" w:rsidR="007545CB" w:rsidRPr="00FF2DF3" w:rsidRDefault="007545CB" w:rsidP="007545CB">
      <w:pPr>
        <w:pStyle w:val="ONUMFS"/>
        <w:spacing w:after="0"/>
      </w:pPr>
      <w:r w:rsidRPr="00FF2DF3">
        <w:t xml:space="preserve">El proyecto contribuyó a ampliar la Oficina del Economista Jefe y a fortalecer </w:t>
      </w:r>
      <w:r w:rsidR="00BD7E3D" w:rsidRPr="00FF2DF3">
        <w:t>sus</w:t>
      </w:r>
      <w:r w:rsidRPr="00FF2DF3">
        <w:t xml:space="preserve"> capacidades internas para realizar análisis económicos empíricos en materia de PI y desarrollo destinados </w:t>
      </w:r>
      <w:r w:rsidR="00F15CCD" w:rsidRPr="00FF2DF3">
        <w:t xml:space="preserve">a </w:t>
      </w:r>
      <w:r w:rsidRPr="00FF2DF3">
        <w:t xml:space="preserve">los encargados de formular políticas. </w:t>
      </w:r>
      <w:r w:rsidR="00FC0535" w:rsidRPr="00FF2DF3">
        <w:t>Si bien e</w:t>
      </w:r>
      <w:r w:rsidR="00032AA7" w:rsidRPr="00FF2DF3">
        <w:t>l</w:t>
      </w:r>
      <w:r w:rsidRPr="00FF2DF3">
        <w:t xml:space="preserve"> proyecto </w:t>
      </w:r>
      <w:r w:rsidR="00032AA7" w:rsidRPr="00FF2DF3">
        <w:t xml:space="preserve">aportó esta contribución, </w:t>
      </w:r>
      <w:r w:rsidRPr="00FF2DF3">
        <w:t xml:space="preserve">no </w:t>
      </w:r>
      <w:r w:rsidR="00681C82" w:rsidRPr="00FF2DF3">
        <w:t xml:space="preserve">había </w:t>
      </w:r>
      <w:r w:rsidRPr="00FF2DF3">
        <w:t xml:space="preserve">previsto </w:t>
      </w:r>
      <w:r w:rsidR="00681C82" w:rsidRPr="00FF2DF3">
        <w:t xml:space="preserve">desempeñar </w:t>
      </w:r>
      <w:r w:rsidRPr="00FF2DF3">
        <w:t xml:space="preserve">este papel </w:t>
      </w:r>
      <w:r w:rsidR="009744CB" w:rsidRPr="00FF2DF3">
        <w:t>ni ejercer influencia</w:t>
      </w:r>
      <w:r w:rsidRPr="00FF2DF3">
        <w:t xml:space="preserve"> en dichos procesos. Además, la OMPI </w:t>
      </w:r>
      <w:r w:rsidR="00BD7E3D" w:rsidRPr="00FF2DF3">
        <w:t xml:space="preserve">realizó </w:t>
      </w:r>
      <w:r w:rsidRPr="00FF2DF3">
        <w:t xml:space="preserve">otros ajustes </w:t>
      </w:r>
      <w:r w:rsidR="00365260" w:rsidRPr="00FF2DF3">
        <w:t>respecto a</w:t>
      </w:r>
      <w:r w:rsidR="00E63E48" w:rsidRPr="00FF2DF3">
        <w:t>l</w:t>
      </w:r>
      <w:r w:rsidRPr="00FF2DF3">
        <w:t xml:space="preserve"> liderazgo y gobernanza durante este periodo.</w:t>
      </w:r>
    </w:p>
    <w:p w14:paraId="1E0189FD" w14:textId="77777777" w:rsidR="007545CB" w:rsidRPr="00FF2DF3" w:rsidRDefault="007545CB" w:rsidP="009E76FE">
      <w:pPr>
        <w:pStyle w:val="Heading2"/>
        <w:numPr>
          <w:ilvl w:val="0"/>
          <w:numId w:val="36"/>
        </w:numPr>
        <w:tabs>
          <w:tab w:val="clear" w:pos="567"/>
        </w:tabs>
        <w:spacing w:after="240"/>
        <w:ind w:left="562"/>
      </w:pPr>
      <w:bookmarkStart w:id="56" w:name="_Toc140224979"/>
      <w:bookmarkStart w:id="57" w:name="_Toc146102852"/>
      <w:r w:rsidRPr="00FF2DF3">
        <w:t>¿Son sostenibles los resultados del proyecto?</w:t>
      </w:r>
      <w:bookmarkEnd w:id="56"/>
      <w:bookmarkEnd w:id="57"/>
    </w:p>
    <w:p w14:paraId="3C1777AB" w14:textId="75F482A6" w:rsidR="007545CB" w:rsidRPr="00FF2DF3" w:rsidRDefault="007545CB" w:rsidP="007545CB">
      <w:pPr>
        <w:pStyle w:val="ONUMFS"/>
      </w:pPr>
      <w:r w:rsidRPr="00FF2DF3">
        <w:t xml:space="preserve">El proyecto logró efectos sostenibles mediante la formación y orientación que se proporcionó a las oficinas de PI sobre la manera de realizar análisis económicos utilizando datos de PI. Este notable impacto se produjo paralelamente a un cambio de enfoque disciplinario, </w:t>
      </w:r>
      <w:r w:rsidR="00EF69C3" w:rsidRPr="00FF2DF3">
        <w:t xml:space="preserve">que </w:t>
      </w:r>
      <w:r w:rsidR="002F436A" w:rsidRPr="00FF2DF3">
        <w:t xml:space="preserve">no limitó </w:t>
      </w:r>
      <w:r w:rsidR="00EF69C3" w:rsidRPr="00FF2DF3">
        <w:t>la participación</w:t>
      </w:r>
      <w:r w:rsidRPr="00FF2DF3">
        <w:t xml:space="preserve"> </w:t>
      </w:r>
      <w:r w:rsidR="0011501E" w:rsidRPr="00FF2DF3">
        <w:t xml:space="preserve">en el proyecto </w:t>
      </w:r>
      <w:r w:rsidR="002F436A" w:rsidRPr="00FF2DF3">
        <w:t>a</w:t>
      </w:r>
      <w:r w:rsidRPr="00FF2DF3">
        <w:t xml:space="preserve"> juristas y abogados como en la fase I, sino </w:t>
      </w:r>
      <w:r w:rsidR="002F436A" w:rsidRPr="00FF2DF3">
        <w:t xml:space="preserve">que la amplió </w:t>
      </w:r>
      <w:r w:rsidRPr="00FF2DF3">
        <w:t xml:space="preserve">a un grupo más diverso de investigadores, incluidos aquellos del ámbito económico. No se puede atribuir por completo este cambio al proyecto, pero sí se puede afirmar razonablemente que </w:t>
      </w:r>
      <w:r w:rsidR="00A145B2" w:rsidRPr="00FF2DF3">
        <w:t>contribuyó</w:t>
      </w:r>
      <w:r w:rsidRPr="00FF2DF3">
        <w:t xml:space="preserve"> a que la investigación sobre PI adopt</w:t>
      </w:r>
      <w:r w:rsidR="00A145B2" w:rsidRPr="00FF2DF3">
        <w:t>ara</w:t>
      </w:r>
      <w:r w:rsidRPr="00FF2DF3">
        <w:t xml:space="preserve"> un enfoque más multidisciplinario en los países beneficiarios.</w:t>
      </w:r>
    </w:p>
    <w:p w14:paraId="6B569CE8" w14:textId="5F6BF92A" w:rsidR="007545CB" w:rsidRPr="00FF2DF3" w:rsidRDefault="007545CB" w:rsidP="007545CB">
      <w:pPr>
        <w:pStyle w:val="ONUMFS"/>
        <w:spacing w:after="0"/>
      </w:pPr>
      <w:r w:rsidRPr="00FF2DF3">
        <w:t xml:space="preserve">En cuanto a la producción de conocimientos, el proyecto logró dos efectos directos principales: i) una documentación exhaustiva de las fuentes de datos, métodos e indicadores utilizados para analizar </w:t>
      </w:r>
      <w:r w:rsidR="00CA75B4" w:rsidRPr="00FF2DF3">
        <w:t>los</w:t>
      </w:r>
      <w:r w:rsidR="004179F4" w:rsidRPr="00FF2DF3">
        <w:t xml:space="preserve"> patrones</w:t>
      </w:r>
      <w:r w:rsidRPr="00FF2DF3">
        <w:t xml:space="preserve"> y características del uso de la PI en diferentes contextos; y ii) un conjunto de datos fiables y pertinentes para evaluar el impacto de la PI en diversos aspectos de la sociedad y la economía en los países beneficiarios. La documentación del proyecto puede servir de referencia y utiliza</w:t>
      </w:r>
      <w:r w:rsidR="00FD1C01" w:rsidRPr="00FF2DF3">
        <w:t>r</w:t>
      </w:r>
      <w:r w:rsidRPr="00FF2DF3">
        <w:t xml:space="preserve">se como </w:t>
      </w:r>
      <w:r w:rsidR="00727024" w:rsidRPr="00FF2DF3">
        <w:t>modelo</w:t>
      </w:r>
      <w:r w:rsidRPr="00FF2DF3">
        <w:t xml:space="preserve"> para futuros estudios basados </w:t>
      </w:r>
      <w:r w:rsidR="00071461" w:rsidRPr="00FF2DF3">
        <w:t xml:space="preserve">en </w:t>
      </w:r>
      <w:r w:rsidRPr="00FF2DF3">
        <w:t xml:space="preserve">datos y </w:t>
      </w:r>
      <w:r w:rsidR="00071461" w:rsidRPr="00FF2DF3">
        <w:t xml:space="preserve">con </w:t>
      </w:r>
      <w:r w:rsidRPr="00FF2DF3">
        <w:t xml:space="preserve">enfoques similares, por lo cual cabe afirmar que es altamente reproducible. El conjunto de datos puede </w:t>
      </w:r>
      <w:r w:rsidR="004354B5" w:rsidRPr="00FF2DF3">
        <w:t>ayudar a</w:t>
      </w:r>
      <w:r w:rsidRPr="00FF2DF3">
        <w:t xml:space="preserve"> </w:t>
      </w:r>
      <w:r w:rsidR="004354B5" w:rsidRPr="00FF2DF3">
        <w:t xml:space="preserve">comprender mejor </w:t>
      </w:r>
      <w:r w:rsidRPr="00FF2DF3">
        <w:t>las implicaciones socioeconómicas de la PI y de su uso por las partes interesadas. El estudio de caso de Indonesia ilustra este último impacto</w:t>
      </w:r>
      <w:r w:rsidRPr="00FF2DF3">
        <w:rPr>
          <w:rStyle w:val="FootnoteReference"/>
          <w:lang w:val="es-ES_tradnl"/>
        </w:rPr>
        <w:footnoteReference w:id="12"/>
      </w:r>
      <w:r w:rsidR="00A752F4" w:rsidRPr="00FF2DF3">
        <w:t>.</w:t>
      </w:r>
    </w:p>
    <w:p w14:paraId="74CE5C8D" w14:textId="3CDD3D75" w:rsidR="007545CB" w:rsidRPr="00FF2DF3" w:rsidRDefault="007545CB" w:rsidP="009E76FE">
      <w:pPr>
        <w:pStyle w:val="Heading2"/>
        <w:numPr>
          <w:ilvl w:val="0"/>
          <w:numId w:val="36"/>
        </w:numPr>
        <w:tabs>
          <w:tab w:val="clear" w:pos="567"/>
        </w:tabs>
        <w:spacing w:after="240"/>
        <w:ind w:left="1134" w:hanging="572"/>
      </w:pPr>
      <w:bookmarkStart w:id="58" w:name="_Toc140224980"/>
      <w:bookmarkStart w:id="59" w:name="_Toc146102853"/>
      <w:r w:rsidRPr="00FF2DF3">
        <w:t xml:space="preserve">¿Qué condiciones han </w:t>
      </w:r>
      <w:r w:rsidR="00544EC9" w:rsidRPr="00FF2DF3">
        <w:t>facilitado</w:t>
      </w:r>
      <w:r w:rsidRPr="00FF2DF3">
        <w:t xml:space="preserve"> u obstaculizado el logro de los efectos previstos?</w:t>
      </w:r>
      <w:bookmarkEnd w:id="58"/>
      <w:bookmarkEnd w:id="59"/>
    </w:p>
    <w:p w14:paraId="2BC17932" w14:textId="66192487" w:rsidR="007545CB" w:rsidRPr="00FF2DF3" w:rsidRDefault="007545CB" w:rsidP="007545CB">
      <w:pPr>
        <w:pStyle w:val="ONUMFS"/>
      </w:pPr>
      <w:r w:rsidRPr="00FF2DF3">
        <w:t xml:space="preserve">Las personas encuestadas destacaron tres condiciones </w:t>
      </w:r>
      <w:r w:rsidR="00F1104D" w:rsidRPr="00FF2DF3">
        <w:t>esenciales</w:t>
      </w:r>
      <w:r w:rsidRPr="00FF2DF3">
        <w:t xml:space="preserve"> que permitieron el logro de los efectos: 1) la provisión de recursos adecuados (incluidas las dotaciones presupuestarias) para permitir una investigación de alta calidad; 2) asociaciones apropiadas y eficaces; y 3) la aceptación del proyecto por parte de los Estados miembros participantes y el hacerlo suyo. Los informantes clave y las respuestas a la encuesta cualitativa también pusieron de relieve la importancia de contratar investigadores de alta calidad </w:t>
      </w:r>
      <w:r w:rsidR="00DE32FE" w:rsidRPr="00FF2DF3">
        <w:t xml:space="preserve">que ya hayan publicado </w:t>
      </w:r>
      <w:r w:rsidR="00251176" w:rsidRPr="00FF2DF3">
        <w:t xml:space="preserve">artículos </w:t>
      </w:r>
      <w:r w:rsidRPr="00FF2DF3">
        <w:t xml:space="preserve">y </w:t>
      </w:r>
      <w:r w:rsidR="00C45557" w:rsidRPr="00FF2DF3">
        <w:t xml:space="preserve">que posean </w:t>
      </w:r>
      <w:r w:rsidRPr="00FF2DF3">
        <w:t xml:space="preserve">conocimientos amplios y </w:t>
      </w:r>
      <w:r w:rsidR="00C45557" w:rsidRPr="00FF2DF3">
        <w:t>específicos</w:t>
      </w:r>
      <w:r w:rsidRPr="00FF2DF3">
        <w:t xml:space="preserve"> sobre las cuestiones de PI de cada país (</w:t>
      </w:r>
      <w:r w:rsidRPr="00FF2DF3">
        <w:fldChar w:fldCharType="begin"/>
      </w:r>
      <w:r w:rsidRPr="00FF2DF3">
        <w:instrText xml:space="preserve"> REF _Ref138929774 \h  \* MERGEFORMAT </w:instrText>
      </w:r>
      <w:r w:rsidRPr="00FF2DF3">
        <w:fldChar w:fldCharType="separate"/>
      </w:r>
      <w:r w:rsidR="00C84882" w:rsidRPr="00FF2DF3">
        <w:t>gráfico 8</w:t>
      </w:r>
      <w:r w:rsidRPr="00FF2DF3">
        <w:fldChar w:fldCharType="end"/>
      </w:r>
      <w:r w:rsidRPr="00FF2DF3">
        <w:t xml:space="preserve">). </w:t>
      </w:r>
    </w:p>
    <w:p w14:paraId="38534343" w14:textId="77777777" w:rsidR="007545CB" w:rsidRPr="00FF2DF3" w:rsidRDefault="007545CB" w:rsidP="007545CB">
      <w:pPr>
        <w:pStyle w:val="Caption"/>
        <w:keepNext/>
        <w:keepLines/>
        <w:spacing w:after="120"/>
        <w:jc w:val="center"/>
      </w:pPr>
      <w:bookmarkStart w:id="60" w:name="_Ref138929774"/>
      <w:r w:rsidRPr="00FF2DF3">
        <w:t xml:space="preserve">Gráfico </w:t>
      </w:r>
      <w:fldSimple w:instr=" SEQ Figure \* ARABIC ">
        <w:r w:rsidRPr="00FF2DF3">
          <w:t>8</w:t>
        </w:r>
      </w:fldSimple>
      <w:bookmarkEnd w:id="60"/>
      <w:r w:rsidRPr="00FF2DF3">
        <w:t>: La adecuación de los recursos es la condición más importante para lograr un impacto</w:t>
      </w:r>
    </w:p>
    <w:p w14:paraId="6D4841D8" w14:textId="6EE4446B" w:rsidR="007545CB" w:rsidRPr="00FF2DF3" w:rsidRDefault="00893B24" w:rsidP="007545CB">
      <w:pPr>
        <w:jc w:val="center"/>
      </w:pPr>
      <w:r w:rsidRPr="00893B24">
        <w:rPr>
          <w:noProof/>
          <w:lang w:eastAsia="es-ES"/>
        </w:rPr>
        <w:drawing>
          <wp:inline distT="0" distB="0" distL="0" distR="0" wp14:anchorId="27CE3008" wp14:editId="31C1B25C">
            <wp:extent cx="4864100" cy="2969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64100" cy="2969260"/>
                    </a:xfrm>
                    <a:prstGeom prst="rect">
                      <a:avLst/>
                    </a:prstGeom>
                    <a:noFill/>
                    <a:ln>
                      <a:noFill/>
                    </a:ln>
                  </pic:spPr>
                </pic:pic>
              </a:graphicData>
            </a:graphic>
          </wp:inline>
        </w:drawing>
      </w:r>
    </w:p>
    <w:p w14:paraId="0812F9E0" w14:textId="3A36C507" w:rsidR="007545CB" w:rsidRPr="00FF2DF3" w:rsidRDefault="002F507A" w:rsidP="007545CB">
      <w:pPr>
        <w:pStyle w:val="ONUMFS"/>
        <w:spacing w:before="220"/>
      </w:pPr>
      <w:r w:rsidRPr="00FF2DF3">
        <w:t>L</w:t>
      </w:r>
      <w:r w:rsidR="007545CB" w:rsidRPr="00FF2DF3">
        <w:t xml:space="preserve">a teoría del cambio </w:t>
      </w:r>
      <w:r w:rsidRPr="00FF2DF3">
        <w:t xml:space="preserve">reconstruida </w:t>
      </w:r>
      <w:r w:rsidR="00CA6410" w:rsidRPr="00FF2DF3">
        <w:t xml:space="preserve">relativa al </w:t>
      </w:r>
      <w:r w:rsidR="007545CB" w:rsidRPr="00FF2DF3">
        <w:t>proyecto</w:t>
      </w:r>
      <w:r w:rsidRPr="00FF2DF3">
        <w:t xml:space="preserve"> describe </w:t>
      </w:r>
      <w:r w:rsidR="00484F62" w:rsidRPr="00FF2DF3">
        <w:t>5</w:t>
      </w:r>
      <w:r w:rsidR="007545CB" w:rsidRPr="00FF2DF3">
        <w:t xml:space="preserve"> condiciones propicias que los beneficiarios del proyecto consideran necesarias para lograr un impacto. Aunque los datos de la evaluación son insuficientes para validar cada </w:t>
      </w:r>
      <w:r w:rsidR="002E469B" w:rsidRPr="00FF2DF3">
        <w:t>una</w:t>
      </w:r>
      <w:r w:rsidR="007545CB" w:rsidRPr="00FF2DF3">
        <w:t xml:space="preserve"> de las hipótesis, los resultados de la encuesta (tanto cuantitativos como cualitativos) </w:t>
      </w:r>
      <w:r w:rsidR="00084E35" w:rsidRPr="00FF2DF3">
        <w:t>confirman</w:t>
      </w:r>
      <w:r w:rsidR="007545CB" w:rsidRPr="00FF2DF3">
        <w:t xml:space="preserve"> lo siguiente:</w:t>
      </w:r>
    </w:p>
    <w:p w14:paraId="5B08CA55" w14:textId="77777777" w:rsidR="007545CB" w:rsidRPr="00FF2DF3" w:rsidRDefault="007545CB" w:rsidP="007545CB">
      <w:pPr>
        <w:pStyle w:val="ONUMFS"/>
        <w:numPr>
          <w:ilvl w:val="0"/>
          <w:numId w:val="19"/>
        </w:numPr>
      </w:pPr>
      <w:r w:rsidRPr="00FF2DF3">
        <w:t>El equipo del proyecto disponía de suficientes recursos y autonomía para ejecutar el proyecto con eficacia y eficiencia en los países seleccionados.</w:t>
      </w:r>
    </w:p>
    <w:p w14:paraId="7B47156A" w14:textId="77777777" w:rsidR="007545CB" w:rsidRPr="00FF2DF3" w:rsidRDefault="007545CB" w:rsidP="007545CB">
      <w:pPr>
        <w:pStyle w:val="ONUMFS"/>
        <w:numPr>
          <w:ilvl w:val="0"/>
          <w:numId w:val="19"/>
        </w:numPr>
      </w:pPr>
      <w:r w:rsidRPr="00FF2DF3">
        <w:t>La propuesta de proyecto adoptada contó con la adhesión de todos los Estados miembros, en particular de aquellos en los que se llevó a cabo el proyecto.</w:t>
      </w:r>
    </w:p>
    <w:p w14:paraId="710D6AFB" w14:textId="77777777" w:rsidR="007545CB" w:rsidRPr="00FF2DF3" w:rsidRDefault="007545CB" w:rsidP="007545CB">
      <w:pPr>
        <w:pStyle w:val="ONUMFS"/>
        <w:numPr>
          <w:ilvl w:val="0"/>
          <w:numId w:val="19"/>
        </w:numPr>
      </w:pPr>
      <w:r w:rsidRPr="00FF2DF3">
        <w:t>El objetivo y las actividades del proyecto se ajustaron a las prioridades de desarrollo socioeconómico de los países beneficiarios y contribuyeron a ellas.</w:t>
      </w:r>
    </w:p>
    <w:p w14:paraId="2ACE198B" w14:textId="1D600E37" w:rsidR="007545CB" w:rsidRPr="00FF2DF3" w:rsidRDefault="007545CB" w:rsidP="007545CB">
      <w:pPr>
        <w:pStyle w:val="ONUMFS"/>
      </w:pPr>
      <w:r w:rsidRPr="00FF2DF3">
        <w:t xml:space="preserve">Los informantes clave también destacaron un quinto enfoque propicio o estratégico, a saber, la capacidad de los investigadores para “sacar provecho del interés político y de las ventanas de oportunidad” para trabajar en el logro de los efectos. Estas “ventanas de oportunidad” resultaron patentes tanto en el estudio de caso del Brasil como en el de Indonesia, en los que la investigación sobre PI se adoptó rápidamente como tema de estudio en todas las disciplinas </w:t>
      </w:r>
      <w:r w:rsidR="00D74D3A" w:rsidRPr="00FF2DF3">
        <w:t>universitarias</w:t>
      </w:r>
      <w:r w:rsidRPr="00FF2DF3">
        <w:t xml:space="preserve"> (por ejemplo, en economía, derecho, estudios empresariales, etc.). </w:t>
      </w:r>
    </w:p>
    <w:p w14:paraId="3FB6B4CD" w14:textId="56F49052" w:rsidR="007545CB" w:rsidRPr="00FF2DF3" w:rsidRDefault="007545CB" w:rsidP="007545CB">
      <w:pPr>
        <w:pStyle w:val="ONUMFS"/>
      </w:pPr>
      <w:r w:rsidRPr="00FF2DF3">
        <w:t xml:space="preserve">Los informantes clave mencionaron con mucha frecuencia dos factores que obstaculizaban el logro de </w:t>
      </w:r>
      <w:r w:rsidR="00114A5E" w:rsidRPr="00FF2DF3">
        <w:t>impacto</w:t>
      </w:r>
      <w:r w:rsidRPr="00FF2DF3">
        <w:t xml:space="preserve"> </w:t>
      </w:r>
      <w:r w:rsidR="00114A5E" w:rsidRPr="00FF2DF3">
        <w:t>en el plano</w:t>
      </w:r>
      <w:r w:rsidRPr="00FF2DF3">
        <w:t xml:space="preserve"> nacional: 1) la falta de evaluaciones rigurosas a nivel de país que anticipen los riesgos </w:t>
      </w:r>
      <w:r w:rsidR="00CB243C" w:rsidRPr="00FF2DF3">
        <w:t>vinculados</w:t>
      </w:r>
      <w:r w:rsidRPr="00FF2DF3">
        <w:t xml:space="preserve"> a los cuellos de botella estructurales, </w:t>
      </w:r>
      <w:r w:rsidR="00CB243C" w:rsidRPr="00FF2DF3">
        <w:t xml:space="preserve">a </w:t>
      </w:r>
      <w:r w:rsidRPr="00FF2DF3">
        <w:t xml:space="preserve">la capacidad de ejecución y </w:t>
      </w:r>
      <w:r w:rsidR="00CB243C" w:rsidRPr="00FF2DF3">
        <w:t xml:space="preserve">a </w:t>
      </w:r>
      <w:r w:rsidRPr="00FF2DF3">
        <w:t xml:space="preserve">la preparación; 2) la falta de estrategias de ejecución y objetivos de impacto específicos </w:t>
      </w:r>
      <w:r w:rsidR="000A4CC3" w:rsidRPr="00FF2DF3">
        <w:t>a</w:t>
      </w:r>
      <w:r w:rsidRPr="00FF2DF3">
        <w:t xml:space="preserve"> cada país. Fundamentalmente, ambos factores se derivan de los contextos de ejecución</w:t>
      </w:r>
      <w:r w:rsidR="001B3EF8" w:rsidRPr="00FF2DF3">
        <w:t xml:space="preserve"> </w:t>
      </w:r>
      <w:r w:rsidRPr="00FF2DF3">
        <w:t>complejos y diversos</w:t>
      </w:r>
      <w:r w:rsidR="001B3EF8" w:rsidRPr="00FF2DF3">
        <w:t xml:space="preserve"> </w:t>
      </w:r>
      <w:r w:rsidRPr="00FF2DF3">
        <w:t xml:space="preserve">en los que se llevó a cabo el proyecto. En este sentido, </w:t>
      </w:r>
      <w:r w:rsidR="008F0D76" w:rsidRPr="00FF2DF3">
        <w:t>la necesidad de</w:t>
      </w:r>
      <w:r w:rsidRPr="00FF2DF3">
        <w:t xml:space="preserve"> reconocimiento y la planificación </w:t>
      </w:r>
      <w:r w:rsidR="00FF2677" w:rsidRPr="00FF2DF3">
        <w:t>para</w:t>
      </w:r>
      <w:r w:rsidR="008F0D76" w:rsidRPr="00FF2DF3">
        <w:t xml:space="preserve"> </w:t>
      </w:r>
      <w:r w:rsidRPr="00FF2DF3">
        <w:t xml:space="preserve">la ejecución de proyectos en entornos complejos </w:t>
      </w:r>
      <w:r w:rsidR="00FF2677" w:rsidRPr="00FF2DF3">
        <w:t>fue</w:t>
      </w:r>
      <w:r w:rsidRPr="00FF2DF3">
        <w:t xml:space="preserve"> un aspecto</w:t>
      </w:r>
      <w:r w:rsidR="001B3EF8" w:rsidRPr="00FF2DF3">
        <w:t xml:space="preserve"> </w:t>
      </w:r>
      <w:r w:rsidR="003F5DB2" w:rsidRPr="00FF2DF3">
        <w:t xml:space="preserve">en el que coincidieron </w:t>
      </w:r>
      <w:r w:rsidRPr="00FF2DF3">
        <w:t xml:space="preserve">los informantes clave. </w:t>
      </w:r>
    </w:p>
    <w:p w14:paraId="5F42E500" w14:textId="3AFD0A41" w:rsidR="007545CB" w:rsidRPr="00FF2DF3" w:rsidRDefault="007545CB" w:rsidP="007545CB">
      <w:pPr>
        <w:pStyle w:val="ONUMFS"/>
      </w:pPr>
      <w:r w:rsidRPr="00FF2DF3">
        <w:t xml:space="preserve">Por último, el proyecto fue objeto de dos evaluaciones previas que dieron lugar a recomendaciones. Aunque es posible que las recomendaciones se hayan aplicado en cierta medida, el proyecto no exigía una “respuesta formal de la Administración” para documentar las medidas de seguimiento. Para ayudar a garantizar que los directores de proyectos de la OMPI extraigan enseñanzas de las recomendaciones de las evaluaciones externas independientes y las utilicen, una respuesta de la Administración a la evaluación podría </w:t>
      </w:r>
      <w:r w:rsidR="008A2795" w:rsidRPr="00FF2DF3">
        <w:t>convertirse, en la medida de lo posible</w:t>
      </w:r>
      <w:r w:rsidR="00A03723" w:rsidRPr="00FF2DF3">
        <w:t xml:space="preserve">, en </w:t>
      </w:r>
      <w:r w:rsidRPr="00FF2DF3">
        <w:t xml:space="preserve">una práctica </w:t>
      </w:r>
      <w:r w:rsidR="00A03723" w:rsidRPr="00FF2DF3">
        <w:t>común</w:t>
      </w:r>
      <w:r w:rsidRPr="00FF2DF3">
        <w:t xml:space="preserve">. Si </w:t>
      </w:r>
      <w:r w:rsidR="00B66A86" w:rsidRPr="00FF2DF3">
        <w:t xml:space="preserve">no es viable obtener </w:t>
      </w:r>
      <w:r w:rsidRPr="00FF2DF3">
        <w:t xml:space="preserve">una respuesta formal de la Administración, </w:t>
      </w:r>
      <w:r w:rsidR="005F15CF" w:rsidRPr="00FF2DF3">
        <w:t xml:space="preserve">otra posibilidad </w:t>
      </w:r>
      <w:r w:rsidR="00906C30" w:rsidRPr="00FF2DF3">
        <w:t>sería</w:t>
      </w:r>
      <w:r w:rsidRPr="00FF2DF3">
        <w:t xml:space="preserve"> crear un procedimiento formal de aprendizaje y reflexión a partir de las evaluaciones durante la fase de diseño de l</w:t>
      </w:r>
      <w:r w:rsidR="00A34EF8" w:rsidRPr="00FF2DF3">
        <w:t>o</w:t>
      </w:r>
      <w:r w:rsidRPr="00FF2DF3">
        <w:t>s proyecto</w:t>
      </w:r>
      <w:r w:rsidR="00A34EF8" w:rsidRPr="00FF2DF3">
        <w:t>s</w:t>
      </w:r>
      <w:r w:rsidRPr="00FF2DF3">
        <w:t xml:space="preserve"> </w:t>
      </w:r>
      <w:r w:rsidR="00336844" w:rsidRPr="00FF2DF3">
        <w:t xml:space="preserve">diferidos </w:t>
      </w:r>
      <w:r w:rsidRPr="00FF2DF3">
        <w:t xml:space="preserve">(por ejemplo, durante el diseño de la </w:t>
      </w:r>
      <w:r w:rsidR="003959D1" w:rsidRPr="00FF2DF3">
        <w:t>f</w:t>
      </w:r>
      <w:r w:rsidRPr="00FF2DF3">
        <w:t xml:space="preserve">ase II del proyecto). </w:t>
      </w:r>
    </w:p>
    <w:p w14:paraId="24582A9C" w14:textId="77777777" w:rsidR="007545CB" w:rsidRPr="00FF2DF3" w:rsidRDefault="007545CB" w:rsidP="009E76FE">
      <w:pPr>
        <w:pStyle w:val="Heading2"/>
        <w:numPr>
          <w:ilvl w:val="0"/>
          <w:numId w:val="36"/>
        </w:numPr>
        <w:tabs>
          <w:tab w:val="clear" w:pos="567"/>
        </w:tabs>
        <w:spacing w:after="240"/>
        <w:ind w:left="1134" w:hanging="572"/>
      </w:pPr>
      <w:bookmarkStart w:id="61" w:name="_Toc140224981"/>
      <w:bookmarkStart w:id="62" w:name="_Toc146102854"/>
      <w:r w:rsidRPr="00FF2DF3">
        <w:t>¿Qué enseñanzas pueden extraerse para futuros proyectos de la OMPI sobre la manera de realizar progresos para lograr el impacto deseado?</w:t>
      </w:r>
      <w:bookmarkEnd w:id="61"/>
      <w:bookmarkEnd w:id="62"/>
      <w:r w:rsidRPr="00FF2DF3">
        <w:t xml:space="preserve"> </w:t>
      </w:r>
    </w:p>
    <w:p w14:paraId="656774F1" w14:textId="6684BD09" w:rsidR="007545CB" w:rsidRPr="00FF2DF3" w:rsidRDefault="007545CB" w:rsidP="007545CB">
      <w:pPr>
        <w:pStyle w:val="ONUMFS"/>
      </w:pPr>
      <w:r w:rsidRPr="00FF2DF3">
        <w:t>Las siguientes cuatro enseñanzas clave pueden orientar el diseño y la ejecución de proyectos similares en el futuro. Estas enseñanzas son especialmente importantes para garantizar que los proyectos tengan un impacto positivo y duradero.</w:t>
      </w:r>
    </w:p>
    <w:p w14:paraId="4CFE2C53" w14:textId="7E6F14E2" w:rsidR="007545CB" w:rsidRPr="00FF2DF3" w:rsidRDefault="007545CB" w:rsidP="007545CB">
      <w:pPr>
        <w:pStyle w:val="ListParagraph"/>
        <w:numPr>
          <w:ilvl w:val="0"/>
          <w:numId w:val="23"/>
        </w:numPr>
        <w:spacing w:after="220"/>
        <w:contextualSpacing w:val="0"/>
      </w:pPr>
      <w:r w:rsidRPr="00FF2DF3">
        <w:t xml:space="preserve">Planificación del impacto: Deben elaborarse teorías del cambio específicas a cada país, que estén en consonancia con los objetivos generales del proyecto y que estén anidadas en una teoría del cambio de alto nivel que permita establecer efectos directos y objetivos de impacto y facilitar intervenciones más estratégicas. Las teorías del cambio de cada país deben describir los efectos directos tangibles y los objetivos de impacto, </w:t>
      </w:r>
      <w:r w:rsidR="00F03776" w:rsidRPr="00FF2DF3">
        <w:t xml:space="preserve">los </w:t>
      </w:r>
      <w:r w:rsidRPr="00FF2DF3">
        <w:t>supuestos comprobables</w:t>
      </w:r>
      <w:r w:rsidR="00F678BE" w:rsidRPr="00FF2DF3">
        <w:t xml:space="preserve"> de la teoría del cambio</w:t>
      </w:r>
      <w:r w:rsidRPr="00FF2DF3">
        <w:t xml:space="preserve">, </w:t>
      </w:r>
      <w:r w:rsidR="00F03776" w:rsidRPr="00FF2DF3">
        <w:t xml:space="preserve">los </w:t>
      </w:r>
      <w:r w:rsidRPr="00FF2DF3">
        <w:t xml:space="preserve">agentes/actores clave y </w:t>
      </w:r>
      <w:r w:rsidR="00F03776" w:rsidRPr="00FF2DF3">
        <w:t xml:space="preserve">los </w:t>
      </w:r>
      <w:r w:rsidRPr="00FF2DF3">
        <w:t xml:space="preserve">círculos virtuosos potenciales/reales que </w:t>
      </w:r>
      <w:r w:rsidR="00E275C3" w:rsidRPr="00FF2DF3">
        <w:t>indiquen</w:t>
      </w:r>
      <w:r w:rsidRPr="00FF2DF3">
        <w:t xml:space="preserve"> los sistemas adaptativos complejos (</w:t>
      </w:r>
      <w:r w:rsidR="000458D5" w:rsidRPr="00FF2DF3">
        <w:fldChar w:fldCharType="begin"/>
      </w:r>
      <w:r w:rsidR="000458D5" w:rsidRPr="00FF2DF3">
        <w:instrText xml:space="preserve"> REF  _Ref139965333 \h </w:instrText>
      </w:r>
      <w:r w:rsidR="00C261F2" w:rsidRPr="00FF2DF3">
        <w:instrText xml:space="preserve"> \* MERGEFORMAT </w:instrText>
      </w:r>
      <w:r w:rsidR="000458D5" w:rsidRPr="00FF2DF3">
        <w:fldChar w:fldCharType="separate"/>
      </w:r>
      <w:r w:rsidR="00C84882" w:rsidRPr="00FF2DF3">
        <w:t xml:space="preserve">recuadro 4 </w:t>
      </w:r>
      <w:r w:rsidR="000458D5" w:rsidRPr="00FF2DF3">
        <w:fldChar w:fldCharType="end"/>
      </w:r>
      <w:r w:rsidRPr="00FF2DF3">
        <w:t>) en los que se ejecuta el proyecto.</w:t>
      </w:r>
    </w:p>
    <w:p w14:paraId="4DF73FC6" w14:textId="1E29F995" w:rsidR="007545CB" w:rsidRPr="00FF2DF3" w:rsidRDefault="007545CB" w:rsidP="007545CB">
      <w:pPr>
        <w:pStyle w:val="ListParagraph"/>
        <w:numPr>
          <w:ilvl w:val="0"/>
          <w:numId w:val="23"/>
        </w:numPr>
        <w:spacing w:after="220"/>
        <w:contextualSpacing w:val="0"/>
      </w:pPr>
      <w:r w:rsidRPr="00FF2DF3">
        <w:t>Plazos de los efectos: Los efectos del proyecto (primarios y secundarios) se produjeron una vez finalizado el ciclo de ejecución del proyecto. Esto implica que debe prestarse más atención a mejorar la sostenibilidad de los efectos directos del proyecto</w:t>
      </w:r>
      <w:r w:rsidR="00734F86" w:rsidRPr="00FF2DF3">
        <w:t xml:space="preserve"> </w:t>
      </w:r>
      <w:r w:rsidRPr="00FF2DF3">
        <w:rPr>
          <w:i/>
        </w:rPr>
        <w:t>(</w:t>
      </w:r>
      <w:r w:rsidRPr="00FF2DF3">
        <w:t>por ejemplo, centrándose en el fortalecimiento de capacidades a nivel institucional para capacitar a promotores de</w:t>
      </w:r>
      <w:r w:rsidR="003C53D6" w:rsidRPr="00FF2DF3">
        <w:t>l</w:t>
      </w:r>
      <w:r w:rsidRPr="00FF2DF3">
        <w:t xml:space="preserve"> proyecto en el seno de estas instituciones, crear redes profesionales duraderas, etc.). Debe incorporarse un objetivo explícito de “sostenibilidad” en el logro de los efectos directos de</w:t>
      </w:r>
      <w:r w:rsidR="003C53D6" w:rsidRPr="00FF2DF3">
        <w:t>l</w:t>
      </w:r>
      <w:r w:rsidRPr="00FF2DF3">
        <w:t xml:space="preserve"> proyecto. </w:t>
      </w:r>
    </w:p>
    <w:p w14:paraId="21565DAE" w14:textId="3BA4A546" w:rsidR="007545CB" w:rsidRPr="00FF2DF3" w:rsidRDefault="007545CB" w:rsidP="007545CB">
      <w:pPr>
        <w:pStyle w:val="ListParagraph"/>
        <w:numPr>
          <w:ilvl w:val="0"/>
          <w:numId w:val="23"/>
        </w:numPr>
        <w:spacing w:after="220"/>
        <w:contextualSpacing w:val="0"/>
      </w:pPr>
      <w:r w:rsidRPr="00FF2DF3">
        <w:t xml:space="preserve">Ventanas de oportunidad: Los efectos son más probables cuando: 1) los responsables de la toma de decisiones se ponen de acuerdo respecto de un problema claramente definido; 2) </w:t>
      </w:r>
      <w:r w:rsidR="00CB7B98" w:rsidRPr="00FF2DF3">
        <w:t xml:space="preserve">se cuenta con </w:t>
      </w:r>
      <w:r w:rsidRPr="00FF2DF3">
        <w:t xml:space="preserve">una innovación para abordar el problema; y 3) existe </w:t>
      </w:r>
      <w:r w:rsidR="006521BE" w:rsidRPr="00FF2DF3">
        <w:t xml:space="preserve">la </w:t>
      </w:r>
      <w:r w:rsidRPr="00FF2DF3">
        <w:t>voluntad política de emplear la solución propuesta (</w:t>
      </w:r>
      <w:r w:rsidRPr="00FF2DF3">
        <w:fldChar w:fldCharType="begin"/>
      </w:r>
      <w:r w:rsidRPr="00FF2DF3">
        <w:instrText xml:space="preserve"> REF _Ref139019846 \h </w:instrText>
      </w:r>
      <w:r w:rsidR="00CA281C" w:rsidRPr="00FF2DF3">
        <w:instrText xml:space="preserve"> \* MERGEFORMAT </w:instrText>
      </w:r>
      <w:r w:rsidRPr="00FF2DF3">
        <w:fldChar w:fldCharType="separate"/>
      </w:r>
      <w:r w:rsidR="00C84882" w:rsidRPr="00FF2DF3">
        <w:t>gráfico 9</w:t>
      </w:r>
      <w:r w:rsidRPr="00FF2DF3">
        <w:fldChar w:fldCharType="end"/>
      </w:r>
      <w:r w:rsidRPr="00FF2DF3">
        <w:t xml:space="preserve">). Esta hipótesis sugiere tres supuestos fundamentales que deben </w:t>
      </w:r>
      <w:r w:rsidR="00DD51E8" w:rsidRPr="00FF2DF3">
        <w:t>describirse claramente</w:t>
      </w:r>
      <w:r w:rsidRPr="00FF2DF3">
        <w:t xml:space="preserve"> en la teoría del cambio de un proyecto.</w:t>
      </w:r>
    </w:p>
    <w:p w14:paraId="0954B262" w14:textId="3080F94D" w:rsidR="007545CB" w:rsidRPr="00FF2DF3" w:rsidRDefault="007545CB" w:rsidP="007545CB">
      <w:pPr>
        <w:pStyle w:val="ListParagraph"/>
        <w:numPr>
          <w:ilvl w:val="0"/>
          <w:numId w:val="23"/>
        </w:numPr>
        <w:spacing w:after="220"/>
        <w:contextualSpacing w:val="0"/>
      </w:pPr>
      <w:r w:rsidRPr="00FF2DF3">
        <w:t xml:space="preserve">Difusión de los resultados: El proyecto produjo importantes productos a partir de la investigación, como se refleja en el </w:t>
      </w:r>
      <w:r w:rsidRPr="00FF2DF3">
        <w:fldChar w:fldCharType="begin"/>
      </w:r>
      <w:r w:rsidRPr="00FF2DF3">
        <w:instrText xml:space="preserve"> REF _Ref137025549 \h  \* MERGEFORMAT </w:instrText>
      </w:r>
      <w:r w:rsidRPr="00FF2DF3">
        <w:fldChar w:fldCharType="end"/>
      </w:r>
      <w:r w:rsidRPr="00FF2DF3">
        <w:t>Apéndice I. La OMPI publica los documentos de</w:t>
      </w:r>
      <w:r w:rsidR="00AA78A9" w:rsidRPr="00FF2DF3">
        <w:t xml:space="preserve"> </w:t>
      </w:r>
      <w:r w:rsidRPr="00FF2DF3">
        <w:t>l</w:t>
      </w:r>
      <w:r w:rsidR="00AA78A9" w:rsidRPr="00FF2DF3">
        <w:t>os</w:t>
      </w:r>
      <w:r w:rsidRPr="00FF2DF3">
        <w:t xml:space="preserve"> proyecto</w:t>
      </w:r>
      <w:r w:rsidR="00AA78A9" w:rsidRPr="00FF2DF3">
        <w:t>s</w:t>
      </w:r>
      <w:r w:rsidRPr="00FF2DF3">
        <w:rPr>
          <w:rStyle w:val="FootnoteReference"/>
          <w:lang w:val="es-ES_tradnl"/>
        </w:rPr>
        <w:footnoteReference w:id="13"/>
      </w:r>
      <w:r w:rsidR="00A752F4" w:rsidRPr="00FF2DF3">
        <w:t>.</w:t>
      </w:r>
      <w:r w:rsidRPr="00FF2DF3">
        <w:t xml:space="preserve"> Sin embargo, la necesidad de compartir más ampliamente los resultados fue un comentario frecuente por parte de los informantes clave, que señalaron que debería hacerse un mayor esfuerzo por difundir los resultados de la investigación, incluso mediante </w:t>
      </w:r>
      <w:r w:rsidR="00D472D7" w:rsidRPr="00FF2DF3">
        <w:t xml:space="preserve">las </w:t>
      </w:r>
      <w:r w:rsidRPr="00FF2DF3">
        <w:t xml:space="preserve">redes sociales, conferencias y publicaciones en revistas. </w:t>
      </w:r>
    </w:p>
    <w:p w14:paraId="114C08BC" w14:textId="7B34141D" w:rsidR="007545CB" w:rsidRPr="00FF2DF3" w:rsidRDefault="007545CB" w:rsidP="007545CB">
      <w:pPr>
        <w:pStyle w:val="Caption"/>
        <w:keepNext/>
        <w:spacing w:after="120"/>
      </w:pPr>
      <w:bookmarkStart w:id="63" w:name="_Ref139965333"/>
      <w:r w:rsidRPr="00FF2DF3">
        <w:t xml:space="preserve">Recuadro </w:t>
      </w:r>
      <w:bookmarkEnd w:id="63"/>
      <w:r w:rsidR="00473930" w:rsidRPr="00FF2DF3">
        <w:fldChar w:fldCharType="begin"/>
      </w:r>
      <w:r w:rsidR="00473930" w:rsidRPr="00FF2DF3">
        <w:instrText xml:space="preserve"> SEQ Text_box \* ARABIC </w:instrText>
      </w:r>
      <w:r w:rsidR="00473930" w:rsidRPr="00FF2DF3">
        <w:fldChar w:fldCharType="separate"/>
      </w:r>
      <w:r w:rsidR="00473930" w:rsidRPr="00FF2DF3">
        <w:rPr>
          <w:noProof/>
        </w:rPr>
        <w:t>4</w:t>
      </w:r>
      <w:r w:rsidR="00473930" w:rsidRPr="00FF2DF3">
        <w:fldChar w:fldCharType="end"/>
      </w:r>
      <w:r w:rsidRPr="00FF2DF3">
        <w:t xml:space="preserve">: Características de </w:t>
      </w:r>
      <w:r w:rsidR="00C80287" w:rsidRPr="00FF2DF3">
        <w:t xml:space="preserve">los </w:t>
      </w:r>
      <w:r w:rsidRPr="00FF2DF3">
        <w:t>sistema</w:t>
      </w:r>
      <w:r w:rsidR="00C80287" w:rsidRPr="00FF2DF3">
        <w:t>s</w:t>
      </w:r>
      <w:r w:rsidRPr="00FF2DF3">
        <w:t xml:space="preserve"> adaptativo</w:t>
      </w:r>
      <w:r w:rsidR="00C80287" w:rsidRPr="00FF2DF3">
        <w:t>s</w:t>
      </w:r>
      <w:r w:rsidRPr="00FF2DF3">
        <w:t xml:space="preserve"> complejo</w:t>
      </w:r>
      <w:r w:rsidR="00C80287" w:rsidRPr="00FF2DF3">
        <w:t>s</w:t>
      </w:r>
    </w:p>
    <w:tbl>
      <w:tblPr>
        <w:tblStyle w:val="TableGrid"/>
        <w:tblW w:w="0" w:type="auto"/>
        <w:tblLook w:val="04A0" w:firstRow="1" w:lastRow="0" w:firstColumn="1" w:lastColumn="0" w:noHBand="0" w:noVBand="1"/>
        <w:tblCaption w:val="Text Box 4:  Characteristics of a complex adaptive system"/>
        <w:tblDescription w:val="Text Box 4:  Characteristics of a complex adaptive system"/>
      </w:tblPr>
      <w:tblGrid>
        <w:gridCol w:w="9345"/>
      </w:tblGrid>
      <w:tr w:rsidR="00A234F4" w:rsidRPr="00FF2DF3" w14:paraId="6CCFCDE0" w14:textId="77777777" w:rsidTr="00C84882">
        <w:trPr>
          <w:tblHeader/>
        </w:trPr>
        <w:tc>
          <w:tcPr>
            <w:tcW w:w="9345" w:type="dxa"/>
            <w:shd w:val="clear" w:color="auto" w:fill="DBE5F1" w:themeFill="accent1" w:themeFillTint="33"/>
          </w:tcPr>
          <w:p w14:paraId="2CF7D171" w14:textId="57F88CA3" w:rsidR="007545CB" w:rsidRPr="00FF2DF3" w:rsidRDefault="00C128D6" w:rsidP="005B3DDF">
            <w:pPr>
              <w:pStyle w:val="ONUMFS"/>
              <w:numPr>
                <w:ilvl w:val="0"/>
                <w:numId w:val="0"/>
              </w:numPr>
              <w:spacing w:before="240"/>
            </w:pPr>
            <w:r w:rsidRPr="00FF2DF3">
              <w:rPr>
                <w:i/>
              </w:rPr>
              <w:t>Surgimiento</w:t>
            </w:r>
            <w:r w:rsidR="007545CB" w:rsidRPr="00FF2DF3">
              <w:t xml:space="preserve">: </w:t>
            </w:r>
            <w:r w:rsidR="00641CC5" w:rsidRPr="00FF2DF3">
              <w:t>L</w:t>
            </w:r>
            <w:r w:rsidR="007545CB" w:rsidRPr="00FF2DF3">
              <w:t xml:space="preserve">a autoorganización </w:t>
            </w:r>
            <w:r w:rsidR="003C56D0" w:rsidRPr="00FF2DF3">
              <w:t>de</w:t>
            </w:r>
            <w:r w:rsidR="007545CB" w:rsidRPr="00FF2DF3">
              <w:t xml:space="preserve"> agentes que interactúan </w:t>
            </w:r>
            <w:r w:rsidR="00641CC5" w:rsidRPr="00FF2DF3">
              <w:t xml:space="preserve">da lugar al surgimiento de </w:t>
            </w:r>
            <w:r w:rsidR="007545CB" w:rsidRPr="00FF2DF3">
              <w:t xml:space="preserve">patrones. </w:t>
            </w:r>
            <w:r w:rsidR="00DB54DE" w:rsidRPr="00FF2DF3">
              <w:t xml:space="preserve">Estos </w:t>
            </w:r>
            <w:r w:rsidR="00C9044A" w:rsidRPr="00FF2DF3">
              <w:t xml:space="preserve">van más allá </w:t>
            </w:r>
            <w:r w:rsidR="004522CA" w:rsidRPr="00FF2DF3">
              <w:t>de las partes cons</w:t>
            </w:r>
            <w:r w:rsidR="00DF6455" w:rsidRPr="00FF2DF3">
              <w:t xml:space="preserve">tituyentes y </w:t>
            </w:r>
            <w:r w:rsidR="00DB54DE" w:rsidRPr="00FF2DF3">
              <w:t xml:space="preserve">no </w:t>
            </w:r>
            <w:r w:rsidR="001B6FAA" w:rsidRPr="00FF2DF3">
              <w:t xml:space="preserve">son en absoluto el fruto de una </w:t>
            </w:r>
            <w:r w:rsidR="007545CB" w:rsidRPr="00FF2DF3">
              <w:t xml:space="preserve">intencionalidad </w:t>
            </w:r>
            <w:r w:rsidR="00654CAD" w:rsidRPr="00FF2DF3">
              <w:t>compartida</w:t>
            </w:r>
            <w:r w:rsidR="007545CB" w:rsidRPr="00FF2DF3">
              <w:t xml:space="preserve">. Cada agente o elemento sigue su propia vía, pero a medida que las vías se cruzan y los elementos interactúan surgen patrones de interacción, y el conjunto de interacciones </w:t>
            </w:r>
            <w:r w:rsidR="00DC1759" w:rsidRPr="00FF2DF3">
              <w:t xml:space="preserve">cobra mayor tamaño que </w:t>
            </w:r>
            <w:r w:rsidR="007545CB" w:rsidRPr="00FF2DF3">
              <w:t xml:space="preserve">las partes por separado. </w:t>
            </w:r>
          </w:p>
          <w:p w14:paraId="3A2A97EB" w14:textId="2C82D553" w:rsidR="007545CB" w:rsidRPr="00FF2DF3" w:rsidRDefault="007545CB" w:rsidP="00C84882">
            <w:pPr>
              <w:pStyle w:val="ONUMFS"/>
              <w:numPr>
                <w:ilvl w:val="0"/>
                <w:numId w:val="0"/>
              </w:numPr>
            </w:pPr>
            <w:r w:rsidRPr="00FF2DF3">
              <w:rPr>
                <w:i/>
              </w:rPr>
              <w:t>No linealidad:</w:t>
            </w:r>
            <w:r w:rsidRPr="00FF2DF3">
              <w:t xml:space="preserve"> Sensibilidad a las condiciones iniciales; las pequeñas acciones pueden causar grandes efectos, de allí las metáforas del efecto mariposa (Gleick</w:t>
            </w:r>
            <w:r w:rsidR="005B3DDF" w:rsidRPr="00FF2DF3">
              <w:t>,</w:t>
            </w:r>
            <w:r w:rsidRPr="00FF2DF3">
              <w:t xml:space="preserve"> 1987) y del cisne negro (Taleb</w:t>
            </w:r>
            <w:r w:rsidR="005B3DDF" w:rsidRPr="00FF2DF3">
              <w:t>,</w:t>
            </w:r>
            <w:r w:rsidRPr="00FF2DF3">
              <w:t xml:space="preserve"> 2007), que describen que los sucesos altamente improbables, imprevisibles e inesperados tienen efectos enormes. </w:t>
            </w:r>
          </w:p>
          <w:p w14:paraId="0F12F13C" w14:textId="209FFEF5" w:rsidR="007545CB" w:rsidRPr="00FF2DF3" w:rsidRDefault="007545CB" w:rsidP="00C84882">
            <w:pPr>
              <w:pStyle w:val="ONUMFS"/>
              <w:numPr>
                <w:ilvl w:val="0"/>
                <w:numId w:val="0"/>
              </w:numPr>
            </w:pPr>
            <w:r w:rsidRPr="00FF2DF3">
              <w:rPr>
                <w:i/>
              </w:rPr>
              <w:t>Dinámica</w:t>
            </w:r>
            <w:r w:rsidRPr="00FF2DF3">
              <w:t>: Las interacciones intra- e intersubsistemas y partes de sistemas son volátiles, fortuitas y afectan a otros elementos de forma rápida e impredecible.</w:t>
            </w:r>
          </w:p>
          <w:p w14:paraId="64BD3C9F" w14:textId="11B95BED" w:rsidR="007545CB" w:rsidRPr="00FF2DF3" w:rsidRDefault="007545CB" w:rsidP="00C84882">
            <w:pPr>
              <w:pStyle w:val="ONUMFS"/>
              <w:numPr>
                <w:ilvl w:val="0"/>
                <w:numId w:val="0"/>
              </w:numPr>
            </w:pPr>
            <w:r w:rsidRPr="00FF2DF3">
              <w:rPr>
                <w:i/>
              </w:rPr>
              <w:t>Incertidumbre</w:t>
            </w:r>
            <w:r w:rsidRPr="00FF2DF3">
              <w:t xml:space="preserve">: En condiciones de complejidad, los procesos y los resultados son impredecibles, incontrolables y no se conocen de antemano. </w:t>
            </w:r>
          </w:p>
          <w:p w14:paraId="4ACB97F2" w14:textId="61D757FB" w:rsidR="007545CB" w:rsidRPr="00FF2DF3" w:rsidRDefault="007545CB" w:rsidP="00C84882">
            <w:pPr>
              <w:pStyle w:val="ONUMFS"/>
              <w:numPr>
                <w:ilvl w:val="0"/>
                <w:numId w:val="0"/>
              </w:numPr>
            </w:pPr>
            <w:r w:rsidRPr="00FF2DF3">
              <w:rPr>
                <w:i/>
              </w:rPr>
              <w:t>Coevolución</w:t>
            </w:r>
            <w:r w:rsidRPr="00FF2DF3">
              <w:t xml:space="preserve">: La </w:t>
            </w:r>
            <w:r w:rsidR="005B3DDF" w:rsidRPr="00FF2DF3">
              <w:t>autoorganización</w:t>
            </w:r>
            <w:r w:rsidRPr="00FF2DF3">
              <w:t xml:space="preserve"> de agentes interactivos y adaptativos genera conexiones continuas que se vuelven coevolutivas </w:t>
            </w:r>
            <w:r w:rsidR="00EE3C30" w:rsidRPr="00FF2DF3">
              <w:t>pues</w:t>
            </w:r>
            <w:r w:rsidRPr="00FF2DF3">
              <w:t xml:space="preserve"> los agentes evolucionan juntos (coevolucionan) dentro de todo el sistema y como parte integrante de este a lo largo del tiempo.</w:t>
            </w:r>
          </w:p>
          <w:p w14:paraId="7F91063D" w14:textId="365BCF56" w:rsidR="007545CB" w:rsidRPr="00FF2DF3" w:rsidRDefault="007545CB" w:rsidP="00C84882">
            <w:pPr>
              <w:pStyle w:val="ONUMFS"/>
              <w:numPr>
                <w:ilvl w:val="0"/>
                <w:numId w:val="0"/>
              </w:numPr>
            </w:pPr>
            <w:r w:rsidRPr="00FF2DF3">
              <w:rPr>
                <w:i/>
              </w:rPr>
              <w:t>Adaptativo</w:t>
            </w:r>
            <w:r w:rsidRPr="00FF2DF3">
              <w:t xml:space="preserve">: Los elementos y agentes que interactúan responden y se adaptan unos a otros, de modo que lo que surge y evoluciona depende tanto de la adaptación continua entre los elementos que interactúan como de las relaciones de respuesta </w:t>
            </w:r>
            <w:r w:rsidR="00A234F4" w:rsidRPr="00FF2DF3">
              <w:t xml:space="preserve">de </w:t>
            </w:r>
            <w:r w:rsidRPr="00FF2DF3">
              <w:t>los agentes que interactúan</w:t>
            </w:r>
            <w:r w:rsidR="00A234F4" w:rsidRPr="00FF2DF3">
              <w:t xml:space="preserve"> </w:t>
            </w:r>
            <w:r w:rsidRPr="00FF2DF3">
              <w:t>con su entorno.</w:t>
            </w:r>
          </w:p>
          <w:p w14:paraId="79A93E81" w14:textId="7B2DDCAC" w:rsidR="007545CB" w:rsidRPr="00FF2DF3" w:rsidRDefault="007545CB" w:rsidP="00C84882">
            <w:pPr>
              <w:pStyle w:val="ONUMFS"/>
              <w:numPr>
                <w:ilvl w:val="0"/>
                <w:numId w:val="0"/>
              </w:numPr>
              <w:rPr>
                <w:i/>
                <w:iCs/>
                <w:color w:val="0070C0"/>
              </w:rPr>
            </w:pPr>
            <w:r w:rsidRPr="00FF2DF3">
              <w:rPr>
                <w:i/>
              </w:rPr>
              <w:t>Fuente: Patton</w:t>
            </w:r>
            <w:r w:rsidR="00A234F4" w:rsidRPr="00FF2DF3">
              <w:rPr>
                <w:i/>
              </w:rPr>
              <w:t>,</w:t>
            </w:r>
            <w:r w:rsidRPr="00FF2DF3">
              <w:rPr>
                <w:i/>
              </w:rPr>
              <w:t xml:space="preserve"> 2010.</w:t>
            </w:r>
          </w:p>
        </w:tc>
      </w:tr>
    </w:tbl>
    <w:p w14:paraId="7B1A03AE" w14:textId="5F1AD7B1" w:rsidR="007545CB" w:rsidRPr="00FF2DF3" w:rsidRDefault="007545CB" w:rsidP="007545CB">
      <w:pPr>
        <w:pStyle w:val="ONUMFS"/>
        <w:spacing w:before="220"/>
      </w:pPr>
      <w:r w:rsidRPr="00FF2DF3">
        <w:t xml:space="preserve">Por último, el proyecto se basó, entre otras cosas, en el supuesto de </w:t>
      </w:r>
      <w:r w:rsidR="00CF250D" w:rsidRPr="00FF2DF3">
        <w:t xml:space="preserve">que </w:t>
      </w:r>
      <w:r w:rsidRPr="00FF2DF3">
        <w:t xml:space="preserve">los países beneficiarios </w:t>
      </w:r>
      <w:r w:rsidR="00A234F4" w:rsidRPr="00FF2DF3">
        <w:t>presentaban</w:t>
      </w:r>
      <w:r w:rsidR="00CF250D" w:rsidRPr="00FF2DF3">
        <w:t xml:space="preserve"> un déficit de capacidades </w:t>
      </w:r>
      <w:r w:rsidRPr="00FF2DF3">
        <w:t>en relación con el uso eficaz de los datos para la formulación de políticas. En consecuencia, las actividades de fortalecimiento de capacidades se centraron en gran medida en la</w:t>
      </w:r>
      <w:r w:rsidR="003A5FA4" w:rsidRPr="00FF2DF3">
        <w:t>s</w:t>
      </w:r>
      <w:r w:rsidRPr="00FF2DF3">
        <w:t xml:space="preserve"> política</w:t>
      </w:r>
      <w:r w:rsidR="003A5FA4" w:rsidRPr="00FF2DF3">
        <w:t>s</w:t>
      </w:r>
      <w:r w:rsidRPr="00FF2DF3">
        <w:t xml:space="preserve"> técnica</w:t>
      </w:r>
      <w:r w:rsidR="003A5FA4" w:rsidRPr="00FF2DF3">
        <w:t>s</w:t>
      </w:r>
      <w:r w:rsidRPr="00FF2DF3">
        <w:t>, el personal de investigación y los círculos académicos, a través de reuniones, talleres y seminarios. Aunque estas actividades puede que hayan producido efectos positivos, es poco probable que las formaci</w:t>
      </w:r>
      <w:r w:rsidR="00EB6A42" w:rsidRPr="00FF2DF3">
        <w:t xml:space="preserve">ones </w:t>
      </w:r>
      <w:r w:rsidRPr="00FF2DF3">
        <w:t xml:space="preserve">puntuales </w:t>
      </w:r>
      <w:r w:rsidR="004C1EA0" w:rsidRPr="00FF2DF3">
        <w:t>permitan integrar</w:t>
      </w:r>
      <w:r w:rsidRPr="00FF2DF3">
        <w:t xml:space="preserve"> las nuevas competencias a nivel institucional. Esto fue puesto de manifiesto por varios informantes clave, que señalaron la necesidad </w:t>
      </w:r>
      <w:r w:rsidR="00057FD7" w:rsidRPr="00FF2DF3">
        <w:t xml:space="preserve">permanente </w:t>
      </w:r>
      <w:r w:rsidRPr="00FF2DF3">
        <w:t xml:space="preserve">de fortalecimiento de capacidades en las oficinas de PI. </w:t>
      </w:r>
    </w:p>
    <w:p w14:paraId="300C2D69" w14:textId="03FF9F62" w:rsidR="007545CB" w:rsidRPr="00FF2DF3" w:rsidRDefault="00830789" w:rsidP="00830789">
      <w:pPr>
        <w:pStyle w:val="Heading1"/>
        <w:spacing w:after="240"/>
      </w:pPr>
      <w:bookmarkStart w:id="64" w:name="_Ref139354732"/>
      <w:bookmarkStart w:id="65" w:name="_Toc140224982"/>
      <w:bookmarkStart w:id="66" w:name="_Toc146102855"/>
      <w:r w:rsidRPr="00FF2DF3">
        <w:rPr>
          <w:caps w:val="0"/>
        </w:rPr>
        <w:t>5.</w:t>
      </w:r>
      <w:r w:rsidRPr="00FF2DF3">
        <w:rPr>
          <w:caps w:val="0"/>
        </w:rPr>
        <w:tab/>
      </w:r>
      <w:r w:rsidR="007545CB" w:rsidRPr="00FF2DF3">
        <w:rPr>
          <w:caps w:val="0"/>
        </w:rPr>
        <w:t xml:space="preserve">ESTUDIOS DE CASO </w:t>
      </w:r>
      <w:r w:rsidR="00D8608C" w:rsidRPr="00FF2DF3">
        <w:rPr>
          <w:caps w:val="0"/>
        </w:rPr>
        <w:t xml:space="preserve">SOBRE </w:t>
      </w:r>
      <w:r w:rsidR="007545CB" w:rsidRPr="00FF2DF3">
        <w:rPr>
          <w:caps w:val="0"/>
        </w:rPr>
        <w:t>EL BRASIL E INDONESIA</w:t>
      </w:r>
      <w:bookmarkEnd w:id="64"/>
      <w:bookmarkEnd w:id="65"/>
      <w:bookmarkEnd w:id="66"/>
    </w:p>
    <w:p w14:paraId="5E36F114" w14:textId="076116BD" w:rsidR="007545CB" w:rsidRPr="00FF2DF3" w:rsidRDefault="007545CB" w:rsidP="007545CB">
      <w:pPr>
        <w:pStyle w:val="ONUMFS"/>
      </w:pPr>
      <w:r w:rsidRPr="00FF2DF3">
        <w:t xml:space="preserve">La evaluación se basó en la teoría de ventanas de oportunidad de Kingdon y Stano (1984) como marco común para examinar dos estudios de caso sobre la influencia de la política de PI en el Brasil </w:t>
      </w:r>
      <w:r w:rsidR="008D5C8C" w:rsidRPr="00FF2DF3">
        <w:t>y en</w:t>
      </w:r>
      <w:r w:rsidRPr="00FF2DF3">
        <w:t xml:space="preserve"> Indonesia. </w:t>
      </w:r>
      <w:r w:rsidR="00180003" w:rsidRPr="00FF2DF3">
        <w:t>La utilización</w:t>
      </w:r>
      <w:r w:rsidRPr="00FF2DF3">
        <w:t xml:space="preserve"> de </w:t>
      </w:r>
      <w:r w:rsidR="000968AD" w:rsidRPr="00FF2DF3">
        <w:t xml:space="preserve">una teoría de alcance </w:t>
      </w:r>
      <w:r w:rsidRPr="00FF2DF3">
        <w:t xml:space="preserve">intermedio sobre el cambio en las políticas facilita la comparación y ayuda a aplicar un enfoque analítico. La teoría se basa en </w:t>
      </w:r>
      <w:r w:rsidR="00A70B6F" w:rsidRPr="00FF2DF3">
        <w:t xml:space="preserve">una </w:t>
      </w:r>
      <w:r w:rsidRPr="00FF2DF3">
        <w:t xml:space="preserve">analogía </w:t>
      </w:r>
      <w:r w:rsidR="00A70B6F" w:rsidRPr="00FF2DF3">
        <w:t xml:space="preserve">con </w:t>
      </w:r>
      <w:r w:rsidRPr="00FF2DF3">
        <w:t xml:space="preserve">las </w:t>
      </w:r>
      <w:r w:rsidR="00C16DD2" w:rsidRPr="00FF2DF3">
        <w:t>“</w:t>
      </w:r>
      <w:r w:rsidRPr="00FF2DF3">
        <w:t xml:space="preserve">corrientes </w:t>
      </w:r>
      <w:r w:rsidR="003B1883" w:rsidRPr="00FF2DF3">
        <w:t>d</w:t>
      </w:r>
      <w:r w:rsidR="004B4DC2" w:rsidRPr="00FF2DF3">
        <w:t>e</w:t>
      </w:r>
      <w:r w:rsidR="00C16DD2" w:rsidRPr="00FF2DF3">
        <w:t xml:space="preserve"> </w:t>
      </w:r>
      <w:r w:rsidRPr="00FF2DF3">
        <w:t>política</w:t>
      </w:r>
      <w:r w:rsidR="00C16DD2" w:rsidRPr="00FF2DF3">
        <w:t>s”</w:t>
      </w:r>
      <w:r w:rsidRPr="00FF2DF3">
        <w:t xml:space="preserve"> para describir de qué manera algunas ideas políticas se convierten en realidad</w:t>
      </w:r>
      <w:r w:rsidR="004B4DC2" w:rsidRPr="00FF2DF3">
        <w:t>,</w:t>
      </w:r>
      <w:r w:rsidRPr="00FF2DF3">
        <w:t xml:space="preserve"> mientras que otras son ignoradas u olvidadas. Kingdon y Stano sostienen que tres “corrientes” son cruciales para lograr un cambio en las políticas: 1) la “corriente del problema”, que se refiere a la cuestión social que exige una acción; 2) la “corriente de la solución”, que consiste en </w:t>
      </w:r>
      <w:r w:rsidR="00DA5B73" w:rsidRPr="00FF2DF3">
        <w:t xml:space="preserve">las </w:t>
      </w:r>
      <w:r w:rsidRPr="00FF2DF3">
        <w:t>posibles soluciones planteadas por los encargados de formular políticas y otros agentes; y 3) la “corriente del proceso político”, que se refiere a los cambios en los factores políticos, como las elecciones, la opinión pública o los grupos de interés. Estas corrientes suelen estar separadas, pero a veces convergen y crean una “ventana de oportunidad”, una breve oportunidad para el cambio en las políticas (</w:t>
      </w:r>
      <w:r w:rsidRPr="00FF2DF3">
        <w:fldChar w:fldCharType="begin"/>
      </w:r>
      <w:r w:rsidRPr="00FF2DF3">
        <w:instrText xml:space="preserve"> REF _Ref139019846 \h  \* MERGEFORMAT </w:instrText>
      </w:r>
      <w:r w:rsidRPr="00FF2DF3">
        <w:fldChar w:fldCharType="separate"/>
      </w:r>
      <w:r w:rsidR="00C84882" w:rsidRPr="00FF2DF3">
        <w:t>gráfico 9</w:t>
      </w:r>
      <w:r w:rsidRPr="00FF2DF3">
        <w:fldChar w:fldCharType="end"/>
      </w:r>
      <w:r w:rsidRPr="00FF2DF3">
        <w:t>). Los promotores de políticas pueden propiciar la convergencia de dos o más corrientes, ya sea anticipándose a los acontecimientos o aprovechando los hechos inesperado</w:t>
      </w:r>
      <w:r w:rsidR="001E0571" w:rsidRPr="00FF2DF3">
        <w:t>s</w:t>
      </w:r>
      <w:r w:rsidRPr="00FF2DF3">
        <w:t xml:space="preserve">, y así ejercer influencia para abrir ventanas de oportunidad </w:t>
      </w:r>
      <w:r w:rsidR="00DA5B73" w:rsidRPr="00FF2DF3">
        <w:t>a fin de</w:t>
      </w:r>
      <w:r w:rsidRPr="00FF2DF3">
        <w:t xml:space="preserve"> </w:t>
      </w:r>
      <w:r w:rsidR="00AF49F4" w:rsidRPr="00FF2DF3">
        <w:t>lograr un</w:t>
      </w:r>
      <w:r w:rsidR="001E0571" w:rsidRPr="00FF2DF3">
        <w:t xml:space="preserve"> </w:t>
      </w:r>
      <w:r w:rsidRPr="00FF2DF3">
        <w:t>cambio en las políticas.</w:t>
      </w:r>
    </w:p>
    <w:p w14:paraId="7CCB8798" w14:textId="00904370" w:rsidR="007545CB" w:rsidRPr="00FF2DF3" w:rsidRDefault="007545CB" w:rsidP="007545CB">
      <w:pPr>
        <w:pStyle w:val="Caption"/>
        <w:keepNext/>
        <w:keepLines/>
        <w:spacing w:after="120"/>
      </w:pPr>
      <w:bookmarkStart w:id="67" w:name="_Ref139019846"/>
      <w:r w:rsidRPr="00FF2DF3">
        <w:t xml:space="preserve">Gráfico </w:t>
      </w:r>
      <w:fldSimple w:instr=" SEQ Figure \* ARABIC ">
        <w:r w:rsidRPr="00FF2DF3">
          <w:t>9</w:t>
        </w:r>
      </w:fldSimple>
      <w:bookmarkEnd w:id="67"/>
      <w:r w:rsidRPr="00FF2DF3">
        <w:t>: Teoría de las ventanas de oportunidad aplicada a los estudios de caso</w:t>
      </w:r>
      <w:r w:rsidRPr="00FF2DF3">
        <w:rPr>
          <w:rStyle w:val="FootnoteReference"/>
          <w:lang w:val="es-ES_tradnl"/>
        </w:rPr>
        <w:footnoteReference w:id="14"/>
      </w:r>
    </w:p>
    <w:p w14:paraId="271DD1AC" w14:textId="3B4F69BB" w:rsidR="007545CB" w:rsidRPr="00FF2DF3" w:rsidRDefault="00C84882" w:rsidP="009E76FE">
      <w:pPr>
        <w:spacing w:after="360"/>
      </w:pPr>
      <w:r w:rsidRPr="00FF2DF3">
        <w:rPr>
          <w:noProof/>
          <w:lang w:eastAsia="es-ES"/>
        </w:rPr>
        <w:drawing>
          <wp:inline distT="0" distB="0" distL="0" distR="0" wp14:anchorId="7097F350" wp14:editId="27FE4343">
            <wp:extent cx="5940425" cy="304419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0425" cy="3044190"/>
                    </a:xfrm>
                    <a:prstGeom prst="rect">
                      <a:avLst/>
                    </a:prstGeom>
                  </pic:spPr>
                </pic:pic>
              </a:graphicData>
            </a:graphic>
          </wp:inline>
        </w:drawing>
      </w:r>
    </w:p>
    <w:p w14:paraId="3E018C46" w14:textId="1BEC1C6B" w:rsidR="007545CB" w:rsidRPr="00FF2DF3" w:rsidRDefault="00B3171B" w:rsidP="009E76FE">
      <w:pPr>
        <w:pStyle w:val="Heading2"/>
        <w:numPr>
          <w:ilvl w:val="0"/>
          <w:numId w:val="37"/>
        </w:numPr>
        <w:tabs>
          <w:tab w:val="clear" w:pos="567"/>
        </w:tabs>
        <w:spacing w:after="240"/>
        <w:ind w:left="567"/>
      </w:pPr>
      <w:bookmarkStart w:id="68" w:name="_Toc140224983"/>
      <w:bookmarkStart w:id="69" w:name="_Toc146102856"/>
      <w:r w:rsidRPr="00FF2DF3">
        <w:t>RESEÑA</w:t>
      </w:r>
      <w:r w:rsidR="007545CB" w:rsidRPr="00FF2DF3">
        <w:t xml:space="preserve"> de la situación de la PI en el Brasil (2012 hasta la actualidad):</w:t>
      </w:r>
      <w:bookmarkEnd w:id="68"/>
      <w:bookmarkEnd w:id="69"/>
    </w:p>
    <w:p w14:paraId="5C6F3CA2" w14:textId="31748C18" w:rsidR="007545CB" w:rsidRPr="00FF2DF3" w:rsidRDefault="007545CB" w:rsidP="007545CB">
      <w:pPr>
        <w:pStyle w:val="ONUMFS"/>
      </w:pPr>
      <w:r w:rsidRPr="00FF2DF3">
        <w:t xml:space="preserve">Aunque no es consecuencia directa del proyecto, </w:t>
      </w:r>
      <w:r w:rsidR="00E96B23" w:rsidRPr="00FF2DF3">
        <w:t xml:space="preserve">en la última década se han experimentado cambios en </w:t>
      </w:r>
      <w:r w:rsidRPr="00FF2DF3">
        <w:t>la reglamentación y el uso de la PI en el Brasil, lo que refleja los esfuerzos del país por fomentar una cultura de innovación y competitividad. El Brasil es miembro de los principales tratados internacionales sobre derecho de la PI, como el Convenio de París, el Tratado de Cooperación en materia de Patentes (PCT), el Acuerdo sobre los Aspectos de los Derechos de Propiedad Intelectual relacionados con el Comercio (ADPIC), el Sistema de La Haya, el Protocolo de Madrid, el Convenio de Berna y el Protocolo de Nagoya. Los derechos de PI en el Brasil están garantizados por la Constitución y regulados por la Ley Federal 9.279/1996 (Ley de la Propiedad Industria</w:t>
      </w:r>
      <w:r w:rsidR="00363346" w:rsidRPr="00FF2DF3">
        <w:t>l</w:t>
      </w:r>
      <w:r w:rsidRPr="00FF2DF3">
        <w:t xml:space="preserve">), que abarca la protección de patentes, marcas, </w:t>
      </w:r>
      <w:r w:rsidR="007A0228" w:rsidRPr="00FF2DF3">
        <w:t xml:space="preserve">dibujos o modelos </w:t>
      </w:r>
      <w:r w:rsidRPr="00FF2DF3">
        <w:t>industriales e indicaciones geográficas y la competencia desleal.</w:t>
      </w:r>
    </w:p>
    <w:p w14:paraId="3275FF93" w14:textId="3E9769C5" w:rsidR="007545CB" w:rsidRPr="00FF2DF3" w:rsidRDefault="007545CB" w:rsidP="007545CB">
      <w:pPr>
        <w:pStyle w:val="ONUMFS"/>
      </w:pPr>
      <w:r w:rsidRPr="00FF2DF3">
        <w:t>Uno de los avances más recientes e importante</w:t>
      </w:r>
      <w:r w:rsidR="00007515" w:rsidRPr="00FF2DF3">
        <w:t>s</w:t>
      </w:r>
      <w:r w:rsidRPr="00FF2DF3">
        <w:t xml:space="preserve"> del Brasil </w:t>
      </w:r>
      <w:r w:rsidR="00007515" w:rsidRPr="00FF2DF3">
        <w:t xml:space="preserve">en materia de </w:t>
      </w:r>
      <w:r w:rsidR="00700197" w:rsidRPr="00FF2DF3">
        <w:t>reglamentación</w:t>
      </w:r>
      <w:r w:rsidR="00007515" w:rsidRPr="00FF2DF3">
        <w:t xml:space="preserve"> </w:t>
      </w:r>
      <w:r w:rsidRPr="00FF2DF3">
        <w:t>de la PI fue la puesta en marcha del programa de estrategia nacional de propiedad intelectual (ENPI) en 2020, con la intención de crear un sistema nacional de PI equilibrado y eficaz que promueva la creatividad, la inversión en la innovación y el acceso al conocimiento. El programa ENPI abarca varias acciones y objetivos para mejorar la sensibilización, la educación, la observancia, la gestión y la cooperación internacional en materia de PI en el Brasil. Entre los efectos previstos del programa ENPI figuran: aumentar el número de solicitudes y concesiones de patentes; reducir los retrasos y los plazos de tramitación del Instituto Nacional de la Propiedad Industrial (INPI) del Brasil; mejorar la protección de la PI respecto de los conocimientos tradicionales, la biodiversidad y las expresiones culturales; reforzar los mecanismos de solución de controversias en materia de PI, y fomentar las asociaciones basadas en la PI y la transferencia de tecnología.</w:t>
      </w:r>
    </w:p>
    <w:p w14:paraId="73DA7361" w14:textId="6512DF06" w:rsidR="007545CB" w:rsidRPr="00FF2DF3" w:rsidRDefault="007545CB" w:rsidP="007545CB">
      <w:pPr>
        <w:pStyle w:val="ONUMFS"/>
      </w:pPr>
      <w:r w:rsidRPr="00FF2DF3">
        <w:t xml:space="preserve">El Brasil también ha hecho progresos en cuanto a la simplificación y modernización de sus procedimientos y servicios de PI. Por ejemplo, </w:t>
      </w:r>
      <w:r w:rsidR="003C375C" w:rsidRPr="00FF2DF3">
        <w:t>en</w:t>
      </w:r>
      <w:r w:rsidRPr="00FF2DF3">
        <w:t xml:space="preserve"> 2019, el Brasil se </w:t>
      </w:r>
      <w:r w:rsidR="003C375C" w:rsidRPr="00FF2DF3">
        <w:t>adhirió</w:t>
      </w:r>
      <w:r w:rsidRPr="00FF2DF3">
        <w:t xml:space="preserve"> al Protocolo de Madrid, que permite solicitar la protección de una marca en múltiples países mediante la presentación de una única solicitud. El Brasil también se adhirió </w:t>
      </w:r>
      <w:r w:rsidR="00774223" w:rsidRPr="00FF2DF3">
        <w:t xml:space="preserve">en 2020 </w:t>
      </w:r>
      <w:r w:rsidRPr="00FF2DF3">
        <w:t xml:space="preserve">al Sistema de La Haya, que permite registrar </w:t>
      </w:r>
      <w:r w:rsidR="00C168EA" w:rsidRPr="00FF2DF3">
        <w:t>dibujos y modelos</w:t>
      </w:r>
      <w:r w:rsidRPr="00FF2DF3">
        <w:t xml:space="preserve"> industriales a escala internacional mediante una sola solicitud. Además, el Brasil suscribió varios acuerdos de cooperación y proyectos piloto con otros países y organizaciones para agilizar el examen de patentes y armonizar las normas </w:t>
      </w:r>
      <w:r w:rsidR="00D0455B" w:rsidRPr="00FF2DF3">
        <w:t>en materias de</w:t>
      </w:r>
      <w:r w:rsidRPr="00FF2DF3">
        <w:t xml:space="preserve"> patentes. Por otra parte, desde 2022 el Brasil reconoce el pago de regalías previsto en contratos de derechos de PI no registrados, y permite deducciones fiscales cuando los contratos </w:t>
      </w:r>
      <w:r w:rsidR="003709A6" w:rsidRPr="00FF2DF3">
        <w:t xml:space="preserve">se </w:t>
      </w:r>
      <w:r w:rsidR="00CE4D2A" w:rsidRPr="00FF2DF3">
        <w:t>registran</w:t>
      </w:r>
      <w:r w:rsidRPr="00FF2DF3">
        <w:t xml:space="preserve"> en el INPI.</w:t>
      </w:r>
    </w:p>
    <w:p w14:paraId="1E894D4C" w14:textId="74CC6824" w:rsidR="007545CB" w:rsidRPr="00FF2DF3" w:rsidRDefault="007545CB" w:rsidP="007545CB">
      <w:pPr>
        <w:pStyle w:val="ONUMFS"/>
        <w:spacing w:after="0"/>
      </w:pPr>
      <w:r w:rsidRPr="00FF2DF3">
        <w:t xml:space="preserve">En conclusión, la reglamentación y el uso de la PI en el Brasil han evolucionado mucho desde 2012 hasta la actualidad, lo que refleja el compromiso del país </w:t>
      </w:r>
      <w:r w:rsidR="00151671" w:rsidRPr="00FF2DF3">
        <w:t>de</w:t>
      </w:r>
      <w:r w:rsidRPr="00FF2DF3">
        <w:t xml:space="preserve"> </w:t>
      </w:r>
      <w:r w:rsidR="00774223" w:rsidRPr="00FF2DF3">
        <w:t>adaptar</w:t>
      </w:r>
      <w:r w:rsidRPr="00FF2DF3">
        <w:t xml:space="preserve"> su sistema de PI </w:t>
      </w:r>
      <w:r w:rsidR="00774223" w:rsidRPr="00FF2DF3">
        <w:t>a</w:t>
      </w:r>
      <w:r w:rsidRPr="00FF2DF3">
        <w:t xml:space="preserve"> las normas y las mejores prácticas internacionales. El Brasil adoptó varias medidas para mejorar su marco jurídico, infraestructuras, observancia y cooperación </w:t>
      </w:r>
      <w:r w:rsidR="00151671" w:rsidRPr="00FF2DF3">
        <w:t xml:space="preserve">en materia de PI </w:t>
      </w:r>
      <w:r w:rsidR="00B05841" w:rsidRPr="00FF2DF3">
        <w:t xml:space="preserve">con el fin de </w:t>
      </w:r>
      <w:r w:rsidRPr="00FF2DF3">
        <w:t>estimular la innovación y el desarrollo. En 2021, la Ofici</w:t>
      </w:r>
      <w:r w:rsidR="00000001" w:rsidRPr="00FF2DF3">
        <w:t>na de PI del Brasil concedió un </w:t>
      </w:r>
      <w:r w:rsidRPr="00FF2DF3">
        <w:t xml:space="preserve">31,7% más de patentes que el año anterior (OMPI, 2022). El proyecto debe considerarse como uno de los muchos factores que han contribuido a esta transformación. Sin embargo, aún subsisten desafíos y oportunidades para mejorar la reglamentación y el uso de la PI en el Brasil, como aumentar la sensibilización sobre la PI entre los diferentes sectores de la sociedad; mejorar la protección de la PI </w:t>
      </w:r>
      <w:r w:rsidR="00B3171B" w:rsidRPr="00FF2DF3">
        <w:t xml:space="preserve">en el caso de las </w:t>
      </w:r>
      <w:r w:rsidRPr="00FF2DF3">
        <w:t>tecnologías emergentes; abordar las cuestiones relacionadas con la PI en el comercio electrónico y las plataformas digitales; y fomentar un sistema de PI más equilibrado e inclusivo que respete los derechos humanos y los intereses sociales</w:t>
      </w:r>
      <w:hyperlink r:id="rId27" w:tooltip="Cleiton Rodrigues de Vasconcelos" w:history="1">
        <w:r w:rsidRPr="00FF2DF3">
          <w:t>(Vasconcelos</w:t>
        </w:r>
      </w:hyperlink>
      <w:r w:rsidRPr="00FF2DF3">
        <w:t xml:space="preserve"> y </w:t>
      </w:r>
      <w:hyperlink r:id="rId28" w:tooltip="Daniel Pereira da Silva" w:history="1">
        <w:r w:rsidRPr="00FF2DF3">
          <w:t xml:space="preserve">Silva, </w:t>
        </w:r>
      </w:hyperlink>
      <w:r w:rsidRPr="00FF2DF3">
        <w:t>2019).</w:t>
      </w:r>
    </w:p>
    <w:p w14:paraId="1467163B" w14:textId="19333921" w:rsidR="007545CB" w:rsidRPr="00FF2DF3" w:rsidRDefault="00B3171B" w:rsidP="009E76FE">
      <w:pPr>
        <w:pStyle w:val="Heading2"/>
        <w:numPr>
          <w:ilvl w:val="0"/>
          <w:numId w:val="37"/>
        </w:numPr>
        <w:tabs>
          <w:tab w:val="clear" w:pos="567"/>
        </w:tabs>
        <w:ind w:left="1134" w:hanging="567"/>
      </w:pPr>
      <w:bookmarkStart w:id="70" w:name="_Toc140224984"/>
      <w:bookmarkStart w:id="71" w:name="_Toc146102857"/>
      <w:r w:rsidRPr="00FF2DF3">
        <w:t>RESEÑA</w:t>
      </w:r>
      <w:r w:rsidR="007545CB" w:rsidRPr="00FF2DF3">
        <w:t xml:space="preserve"> de la situación de la PI en Indonesia (2012 hasta la actualidad)</w:t>
      </w:r>
      <w:bookmarkEnd w:id="70"/>
      <w:bookmarkEnd w:id="71"/>
    </w:p>
    <w:p w14:paraId="51CCA30F" w14:textId="15230305" w:rsidR="007545CB" w:rsidRPr="00FF2DF3" w:rsidRDefault="007545CB" w:rsidP="007545CB">
      <w:pPr>
        <w:pStyle w:val="ONUMFS"/>
      </w:pPr>
      <w:r w:rsidRPr="00FF2DF3">
        <w:t xml:space="preserve">La reglamentación y el uso de la PI en Indonesia han cambiado mucho en la última década. </w:t>
      </w:r>
      <w:r w:rsidR="00305358" w:rsidRPr="00FF2DF3">
        <w:t>Al igual que en el</w:t>
      </w:r>
      <w:r w:rsidRPr="00FF2DF3">
        <w:t xml:space="preserve"> Brasil, el proyecto </w:t>
      </w:r>
      <w:r w:rsidR="00CB1933" w:rsidRPr="00FF2DF3">
        <w:t xml:space="preserve">fue, </w:t>
      </w:r>
      <w:r w:rsidRPr="00FF2DF3">
        <w:t>sin duda</w:t>
      </w:r>
      <w:r w:rsidR="00CB1933" w:rsidRPr="00FF2DF3">
        <w:t>,</w:t>
      </w:r>
      <w:r w:rsidRPr="00FF2DF3">
        <w:t xml:space="preserve"> solo un factor entre muchos </w:t>
      </w:r>
      <w:r w:rsidR="006311AD" w:rsidRPr="00FF2DF3">
        <w:t xml:space="preserve">otros </w:t>
      </w:r>
      <w:r w:rsidRPr="00FF2DF3">
        <w:t>que contribuyeron a e</w:t>
      </w:r>
      <w:r w:rsidR="00B83B8A" w:rsidRPr="00FF2DF3">
        <w:t>s</w:t>
      </w:r>
      <w:r w:rsidRPr="00FF2DF3">
        <w:t xml:space="preserve">e cambio. En 2012, Indonesia promulgó una nueva ley de PI </w:t>
      </w:r>
      <w:r w:rsidR="00B83B8A" w:rsidRPr="00FF2DF3">
        <w:t xml:space="preserve">con el fin de </w:t>
      </w:r>
      <w:r w:rsidRPr="00FF2DF3">
        <w:t xml:space="preserve">armonizar su sistema de PI con las normas internacionales y mejorar la protección y aplicación de los derechos de PI. La ley introdujo nuevas disposiciones en materia de patentabilidad, registro de marcas, protección de los derechos de autor, secretos comerciales, indicaciones geográficas y protección de las obtenciones vegetales. La ley también estableció un tribunal especializado en PI y una Oficina de PI </w:t>
      </w:r>
      <w:r w:rsidR="00EB103E" w:rsidRPr="00FF2DF3">
        <w:t xml:space="preserve">que se ocuparan </w:t>
      </w:r>
      <w:r w:rsidRPr="00FF2DF3">
        <w:t>de la solución de controversias y la administración en relación con la PI.</w:t>
      </w:r>
    </w:p>
    <w:p w14:paraId="3298572F" w14:textId="2149749F" w:rsidR="007545CB" w:rsidRPr="00FF2DF3" w:rsidRDefault="007545CB" w:rsidP="007545CB">
      <w:pPr>
        <w:pStyle w:val="ONUMFS"/>
      </w:pPr>
      <w:r w:rsidRPr="00FF2DF3">
        <w:t>Desde entonces, Indonesia ha intentado aplicar y mejorar su régimen de PI mediante la publicación de reglamentos sobre la concesión de licencias de PI</w:t>
      </w:r>
      <w:r w:rsidR="0085110D" w:rsidRPr="00FF2DF3">
        <w:t xml:space="preserve"> </w:t>
      </w:r>
      <w:r w:rsidRPr="00FF2DF3">
        <w:rPr>
          <w:iCs/>
        </w:rPr>
        <w:t>(</w:t>
      </w:r>
      <w:r w:rsidRPr="00FF2DF3">
        <w:t>el reglamento gubernamental n.</w:t>
      </w:r>
      <w:r w:rsidRPr="00FF2DF3">
        <w:rPr>
          <w:vertAlign w:val="superscript"/>
        </w:rPr>
        <w:t>o</w:t>
      </w:r>
      <w:r w:rsidRPr="00FF2DF3">
        <w:t xml:space="preserve"> 36 de 2018 sobre el registro de acuerdos de licencia de PI), el examen de patentes, la oposición a marcas comerciales y la infracción en línea. Indonesia también participó en varias iniciativas regionales y bilaterales de cooperación en materia de </w:t>
      </w:r>
      <w:r w:rsidR="00211270" w:rsidRPr="00FF2DF3">
        <w:t>PI</w:t>
      </w:r>
      <w:r w:rsidRPr="00FF2DF3">
        <w:t>, como la Comunidad Económica de la Asociación de Naciones del Sudeste Asiático (ASEAN), el Acuerdo de Asociación Económica Integral Regional y el Acuerdo de Asociación Económica Integral entre Indonesia y Australia. El objetivo de estas iniciativas es mejorar la cooperación y la armonización en materia de PI entre los países participantes y facilitar el comercio y la inversión.</w:t>
      </w:r>
    </w:p>
    <w:p w14:paraId="19556CA9" w14:textId="1EE0B56B" w:rsidR="007545CB" w:rsidRPr="00FF2DF3" w:rsidRDefault="007545CB" w:rsidP="007545CB">
      <w:pPr>
        <w:pStyle w:val="ONUMFS"/>
        <w:spacing w:after="0"/>
      </w:pPr>
      <w:r w:rsidRPr="00FF2DF3">
        <w:t xml:space="preserve">Sin embargo, Indonesia sigue teniendo dificultades para garantizar una protección y un uso adecuados de la PI, como la escasa sensibilización sobre los derechos de PI, la insuficiencia de recursos humanos y financieros </w:t>
      </w:r>
      <w:r w:rsidR="00910849" w:rsidRPr="00FF2DF3">
        <w:t xml:space="preserve">para la gestión </w:t>
      </w:r>
      <w:r w:rsidRPr="00FF2DF3">
        <w:t xml:space="preserve">y la observancia de la PI, los elevados </w:t>
      </w:r>
      <w:r w:rsidR="00910849" w:rsidRPr="00FF2DF3">
        <w:t>costos</w:t>
      </w:r>
      <w:r w:rsidRPr="00FF2DF3">
        <w:t xml:space="preserve"> y retrasos en el registro y </w:t>
      </w:r>
      <w:r w:rsidR="00910849" w:rsidRPr="00FF2DF3">
        <w:t xml:space="preserve">la </w:t>
      </w:r>
      <w:r w:rsidRPr="00FF2DF3">
        <w:t xml:space="preserve">solución de controversias de PI y los persistentes problemas </w:t>
      </w:r>
      <w:r w:rsidR="00910849" w:rsidRPr="00FF2DF3">
        <w:t>que plantean la</w:t>
      </w:r>
      <w:r w:rsidRPr="00FF2DF3">
        <w:t xml:space="preserve"> piratería y </w:t>
      </w:r>
      <w:r w:rsidR="00910849" w:rsidRPr="00FF2DF3">
        <w:t xml:space="preserve">la </w:t>
      </w:r>
      <w:r w:rsidRPr="00FF2DF3">
        <w:t xml:space="preserve">falsificación (Comisión Europea, 2021). Indonesia necesita abordar estos retos mediante el fortalecimiento de </w:t>
      </w:r>
      <w:r w:rsidR="007D4621" w:rsidRPr="00FF2DF3">
        <w:t xml:space="preserve">su </w:t>
      </w:r>
      <w:r w:rsidRPr="00FF2DF3">
        <w:t xml:space="preserve">infraestructura, </w:t>
      </w:r>
      <w:r w:rsidR="007D4621" w:rsidRPr="00FF2DF3">
        <w:t xml:space="preserve">sus </w:t>
      </w:r>
      <w:r w:rsidRPr="00FF2DF3">
        <w:t xml:space="preserve">capacidades y </w:t>
      </w:r>
      <w:r w:rsidR="00564C24" w:rsidRPr="00FF2DF3">
        <w:t xml:space="preserve">la </w:t>
      </w:r>
      <w:r w:rsidRPr="00FF2DF3">
        <w:t>coordinación en materia de PI</w:t>
      </w:r>
      <w:r w:rsidR="00E743C6" w:rsidRPr="00FF2DF3">
        <w:t>, así como mediante</w:t>
      </w:r>
      <w:r w:rsidRPr="00FF2DF3">
        <w:t xml:space="preserve"> el fomento de una cultura de innovación y creatividad entre su población.</w:t>
      </w:r>
    </w:p>
    <w:p w14:paraId="7D3646EA" w14:textId="77777777" w:rsidR="007545CB" w:rsidRPr="00FF2DF3" w:rsidRDefault="007545CB" w:rsidP="009E76FE">
      <w:pPr>
        <w:pStyle w:val="Heading2"/>
        <w:numPr>
          <w:ilvl w:val="0"/>
          <w:numId w:val="37"/>
        </w:numPr>
        <w:tabs>
          <w:tab w:val="clear" w:pos="567"/>
        </w:tabs>
        <w:spacing w:after="240"/>
        <w:ind w:left="562"/>
      </w:pPr>
      <w:bookmarkStart w:id="72" w:name="_Toc140224985"/>
      <w:bookmarkStart w:id="73" w:name="_Toc146102858"/>
      <w:r w:rsidRPr="00FF2DF3">
        <w:t>Enseñanzas extraídas de los estudios de caso</w:t>
      </w:r>
      <w:bookmarkEnd w:id="72"/>
      <w:bookmarkEnd w:id="73"/>
    </w:p>
    <w:p w14:paraId="264B6FB4" w14:textId="657E6772" w:rsidR="007545CB" w:rsidRPr="00FF2DF3" w:rsidRDefault="007545CB" w:rsidP="007545CB">
      <w:pPr>
        <w:pStyle w:val="ONUMFS"/>
      </w:pPr>
      <w:r w:rsidRPr="00FF2DF3">
        <w:t xml:space="preserve">En el Brasil e Indonesia, el proyecto ayudó a crear un grupo multidisciplinario de expertos en PI que mejoraron la calidad de los datos </w:t>
      </w:r>
      <w:r w:rsidR="00C004DB" w:rsidRPr="00FF2DF3">
        <w:t>en este ámbito</w:t>
      </w:r>
      <w:r w:rsidRPr="00FF2DF3">
        <w:t xml:space="preserve">, </w:t>
      </w:r>
      <w:r w:rsidR="00E84656" w:rsidRPr="00FF2DF3">
        <w:t xml:space="preserve">facilitando así datos </w:t>
      </w:r>
      <w:r w:rsidR="00630BBD" w:rsidRPr="00FF2DF3">
        <w:t xml:space="preserve">empíricos </w:t>
      </w:r>
      <w:r w:rsidR="00E84656" w:rsidRPr="00FF2DF3">
        <w:t xml:space="preserve">a </w:t>
      </w:r>
      <w:r w:rsidR="00A317A3" w:rsidRPr="00FF2DF3">
        <w:t>los encargados de formular políticas</w:t>
      </w:r>
      <w:r w:rsidRPr="00FF2DF3">
        <w:t xml:space="preserve">. En </w:t>
      </w:r>
      <w:r w:rsidR="00CA7346" w:rsidRPr="00FF2DF3">
        <w:t xml:space="preserve">el </w:t>
      </w:r>
      <w:r w:rsidRPr="00FF2DF3">
        <w:t>caso</w:t>
      </w:r>
      <w:r w:rsidR="00CA7346" w:rsidRPr="00FF2DF3">
        <w:t xml:space="preserve"> de ambos países</w:t>
      </w:r>
      <w:r w:rsidRPr="00FF2DF3">
        <w:t xml:space="preserve">, el papel de los expertos en PI fue esencial para lograr </w:t>
      </w:r>
      <w:r w:rsidR="008D08F0" w:rsidRPr="00FF2DF3">
        <w:t>el impacto</w:t>
      </w:r>
      <w:r w:rsidRPr="00FF2DF3">
        <w:t xml:space="preserve">; y </w:t>
      </w:r>
      <w:r w:rsidR="005F6DCC" w:rsidRPr="00FF2DF3">
        <w:t xml:space="preserve">también </w:t>
      </w:r>
      <w:r w:rsidRPr="00FF2DF3">
        <w:t>en</w:t>
      </w:r>
      <w:r w:rsidR="00CA7346" w:rsidRPr="00FF2DF3">
        <w:t xml:space="preserve"> ambos casos</w:t>
      </w:r>
      <w:r w:rsidRPr="00FF2DF3">
        <w:t>, el efecto primario se produjo mucho después del ciclo de ejecución del proyecto, lo que sugiere que el impacto del proyecto fue duradero.</w:t>
      </w:r>
    </w:p>
    <w:p w14:paraId="3709070F" w14:textId="268771E9" w:rsidR="007545CB" w:rsidRPr="00FF2DF3" w:rsidRDefault="007545CB" w:rsidP="007545CB">
      <w:pPr>
        <w:pStyle w:val="ONUMFS"/>
      </w:pPr>
      <w:r w:rsidRPr="00FF2DF3">
        <w:t>En Indonesia, el estudio de la OMPI sobre diseños industriales (realizado también en Filipinas y Tailandia)</w:t>
      </w:r>
      <w:r w:rsidRPr="00FF2DF3">
        <w:rPr>
          <w:rStyle w:val="FootnoteReference"/>
          <w:lang w:val="es-ES_tradnl"/>
        </w:rPr>
        <w:footnoteReference w:id="15"/>
      </w:r>
      <w:r w:rsidRPr="00FF2DF3">
        <w:t xml:space="preserve"> demostró que los derechos sobre </w:t>
      </w:r>
      <w:r w:rsidR="00F30C00" w:rsidRPr="00FF2DF3">
        <w:t xml:space="preserve">los </w:t>
      </w:r>
      <w:r w:rsidRPr="00FF2DF3">
        <w:t xml:space="preserve">dibujos </w:t>
      </w:r>
      <w:r w:rsidR="00F30C00" w:rsidRPr="00FF2DF3">
        <w:t>y</w:t>
      </w:r>
      <w:r w:rsidRPr="00FF2DF3">
        <w:t xml:space="preserve"> modelos industriales ayudaban a los innovadores a recuperar su inversión en el proceso de diseño y servían de apoyo para estimular una forma de innovación en las empresas de países de medianos ingresos. El estudio también reveló que la innovación en materia de diseños es fundamental para aumentar las exportaciones. El estudio utilizó un riguroso método de encuesta que mejoró la calidad de la base de datos para el seguimiento de los solicitantes de registro de dibujos o modelos industriales. </w:t>
      </w:r>
      <w:r w:rsidR="00BD11A9" w:rsidRPr="00FF2DF3">
        <w:t>U</w:t>
      </w:r>
      <w:r w:rsidRPr="00FF2DF3">
        <w:t>n informante</w:t>
      </w:r>
      <w:r w:rsidR="00BD11A9" w:rsidRPr="00FF2DF3">
        <w:t xml:space="preserve"> señaló que</w:t>
      </w:r>
      <w:r w:rsidRPr="00FF2DF3">
        <w:t xml:space="preserve"> “antes de la encuesta, nuestra base de datos no contenía la información básica sobre los solicitantes, en particular los teléfonos y direcciones correctos</w:t>
      </w:r>
      <w:r w:rsidR="00882D29" w:rsidRPr="00FF2DF3">
        <w:t>”</w:t>
      </w:r>
      <w:r w:rsidRPr="00FF2DF3">
        <w:rPr>
          <w:rStyle w:val="FootnoteReference"/>
          <w:lang w:val="es-ES_tradnl"/>
        </w:rPr>
        <w:footnoteReference w:id="16"/>
      </w:r>
      <w:r w:rsidR="00882D29" w:rsidRPr="00FF2DF3">
        <w:t>.</w:t>
      </w:r>
      <w:r w:rsidRPr="00FF2DF3">
        <w:t xml:space="preserve"> La mejora de la base de datos, la toma de decisiones </w:t>
      </w:r>
      <w:r w:rsidR="005E0406" w:rsidRPr="00FF2DF3">
        <w:t>fundamentadas</w:t>
      </w:r>
      <w:r w:rsidRPr="00FF2DF3">
        <w:t xml:space="preserve"> en datos y el aumento de las capacidades ayudaron a consolidar la Dirección General de Propiedad Intelectual (DGIPR) de Indonesia. </w:t>
      </w:r>
    </w:p>
    <w:p w14:paraId="7060ACE7" w14:textId="5831F832" w:rsidR="007545CB" w:rsidRPr="00FF2DF3" w:rsidRDefault="007545CB" w:rsidP="007545CB">
      <w:pPr>
        <w:pStyle w:val="ONUMFS"/>
      </w:pPr>
      <w:r w:rsidRPr="00FF2DF3">
        <w:t xml:space="preserve">Actualmente, Ley de Diseños Industriales de Indonesia es objeto de revisión. </w:t>
      </w:r>
      <w:r w:rsidR="008F5B44" w:rsidRPr="00FF2DF3">
        <w:t>La</w:t>
      </w:r>
      <w:r w:rsidR="00513281" w:rsidRPr="00FF2DF3">
        <w:t xml:space="preserve"> consolidaci</w:t>
      </w:r>
      <w:r w:rsidR="008F39E9" w:rsidRPr="00FF2DF3">
        <w:t>ó</w:t>
      </w:r>
      <w:r w:rsidR="00513281" w:rsidRPr="00FF2DF3">
        <w:t>n de la</w:t>
      </w:r>
      <w:r w:rsidRPr="00FF2DF3">
        <w:t xml:space="preserve"> DGIPR </w:t>
      </w:r>
      <w:r w:rsidR="00513281" w:rsidRPr="00FF2DF3">
        <w:t xml:space="preserve">le ha permitido </w:t>
      </w:r>
      <w:r w:rsidRPr="00FF2DF3">
        <w:t>desempeña</w:t>
      </w:r>
      <w:r w:rsidR="00513281" w:rsidRPr="00FF2DF3">
        <w:t>r u</w:t>
      </w:r>
      <w:r w:rsidRPr="00FF2DF3">
        <w:t xml:space="preserve">n papel importante en el proceso </w:t>
      </w:r>
      <w:r w:rsidR="00BA2C3A" w:rsidRPr="00FF2DF3">
        <w:t xml:space="preserve">mediante una propuesta </w:t>
      </w:r>
      <w:r w:rsidRPr="00FF2DF3">
        <w:t xml:space="preserve">al Parlamento </w:t>
      </w:r>
      <w:r w:rsidR="00F53673" w:rsidRPr="00FF2DF3">
        <w:t xml:space="preserve">sobre la </w:t>
      </w:r>
      <w:r w:rsidRPr="00FF2DF3">
        <w:t xml:space="preserve">introducción de cambios en la Ley 31/2000, que reflejan los resultados de la encuesta y el proceso de registro de los solicitantes. Las modificaciones propuestas a la ley de diseños industriales pretenden mejorar el proceso de registro y ampliar los medios de protección de los derechos sobre los dibujos </w:t>
      </w:r>
      <w:r w:rsidR="00F30C00" w:rsidRPr="00FF2DF3">
        <w:t>y</w:t>
      </w:r>
      <w:r w:rsidRPr="00FF2DF3">
        <w:t xml:space="preserve"> modelos industriales. </w:t>
      </w:r>
    </w:p>
    <w:p w14:paraId="47D60DAF" w14:textId="78E7E854" w:rsidR="007545CB" w:rsidRPr="00FF2DF3" w:rsidRDefault="007545CB" w:rsidP="007545CB">
      <w:pPr>
        <w:pStyle w:val="ONUMFS"/>
      </w:pPr>
      <w:r w:rsidRPr="00FF2DF3">
        <w:t xml:space="preserve">En el Brasil, los productos obtenidos a partir de la investigación realizada en el marco del proyecto desempeñaron una función catalizadora al aumentar la calidad o la </w:t>
      </w:r>
      <w:r w:rsidR="00645999" w:rsidRPr="00FF2DF3">
        <w:t xml:space="preserve">pertinencia de la </w:t>
      </w:r>
      <w:r w:rsidRPr="00FF2DF3">
        <w:t xml:space="preserve">base de datos de PI y afianzar la red más amplia de instituciones, </w:t>
      </w:r>
      <w:r w:rsidR="000163BD" w:rsidRPr="00FF2DF3">
        <w:t xml:space="preserve">círculos </w:t>
      </w:r>
      <w:r w:rsidRPr="00FF2DF3">
        <w:t xml:space="preserve">académicos y encargados de formular políticas interesados en la reglamentación y el uso de la PI. Según un informante clave, "tras la asociación entre la OMPI y el </w:t>
      </w:r>
      <w:r w:rsidRPr="00FF2DF3">
        <w:rPr>
          <w:i/>
          <w:iCs/>
        </w:rPr>
        <w:t>Instituto de Pesquisa Económica</w:t>
      </w:r>
      <w:r w:rsidRPr="00FF2DF3">
        <w:t xml:space="preserve"> Aplicada (IPEA), incluida la participación del Grupo Interministerial de Propiedad Intelectual (GIPI), la PI cobró mayor interés como tema de estudio y análisis</w:t>
      </w:r>
      <w:r w:rsidR="00882D29" w:rsidRPr="00FF2DF3">
        <w:t>”</w:t>
      </w:r>
      <w:r w:rsidRPr="00FF2DF3">
        <w:rPr>
          <w:vertAlign w:val="superscript"/>
          <w:lang w:val="es-ES_tradnl"/>
        </w:rPr>
        <w:footnoteReference w:id="17"/>
      </w:r>
      <w:r w:rsidR="00882D29" w:rsidRPr="00FF2DF3">
        <w:t>.</w:t>
      </w:r>
      <w:r w:rsidRPr="00FF2DF3">
        <w:t xml:space="preserve"> De este modo, el proyecto contribuyó de forma decisiva </w:t>
      </w:r>
      <w:r w:rsidR="00D72CBC" w:rsidRPr="00FF2DF3">
        <w:t>a</w:t>
      </w:r>
      <w:r w:rsidRPr="00FF2DF3">
        <w:t>l fortalecimiento de las capacidades necesarias para realizar investigaciones multidisciplinarias. Un informante clave</w:t>
      </w:r>
      <w:r w:rsidR="00D72CBC" w:rsidRPr="00FF2DF3">
        <w:t>,</w:t>
      </w:r>
      <w:r w:rsidRPr="00FF2DF3">
        <w:t xml:space="preserve"> al referirse a este aspecto</w:t>
      </w:r>
      <w:r w:rsidR="00D72CBC" w:rsidRPr="00FF2DF3">
        <w:t>,</w:t>
      </w:r>
      <w:r w:rsidRPr="00FF2DF3">
        <w:t xml:space="preserve"> dijo que “el principal impacto fue lograr que el tema de la PI suscitara interés entre los economistas. En el Brasil, hace diez años, el tema era analizado principalmente por abogados y </w:t>
      </w:r>
      <w:r w:rsidR="00F44C9C" w:rsidRPr="00FF2DF3">
        <w:t xml:space="preserve">promotores de </w:t>
      </w:r>
      <w:r w:rsidRPr="00FF2DF3">
        <w:t xml:space="preserve">la investigación en el sector sanitario. </w:t>
      </w:r>
      <w:r w:rsidR="00EF0A08" w:rsidRPr="00FF2DF3">
        <w:t>E</w:t>
      </w:r>
      <w:r w:rsidRPr="00FF2DF3">
        <w:t>l proyecto</w:t>
      </w:r>
      <w:r w:rsidR="00EF0A08" w:rsidRPr="00FF2DF3">
        <w:t xml:space="preserve"> dio impulso a </w:t>
      </w:r>
      <w:r w:rsidRPr="00FF2DF3">
        <w:t>otros estudios económicos sobre PI”</w:t>
      </w:r>
      <w:r w:rsidR="00AA5F8D" w:rsidRPr="00FF2DF3">
        <w:t>.</w:t>
      </w:r>
    </w:p>
    <w:p w14:paraId="79D7BE79" w14:textId="05D1830C" w:rsidR="007545CB" w:rsidRPr="00FF2DF3" w:rsidRDefault="007545CB" w:rsidP="009E76FE">
      <w:pPr>
        <w:pStyle w:val="ONUMFS"/>
        <w:spacing w:after="480"/>
      </w:pPr>
      <w:r w:rsidRPr="00FF2DF3">
        <w:t>Al contribuir a ampliar y profundizar la investigación sobre la PI, el proyecto aumentó las capacidades de los investigadores del mundo académico, el INPI y otros organismos. Según los informantes clave, las competencias adquiridas gracias al proyecto contribuyeron a que se llevaran a cabo otros estudios importantes; por ejemplo, un investigador que participó en el proyecto más adelante ayudó en la dirección del proyecto sobre núcleos de innovación de la OMPI</w:t>
      </w:r>
      <w:r w:rsidRPr="00FF2DF3">
        <w:rPr>
          <w:rStyle w:val="FootnoteReference"/>
          <w:lang w:val="es-ES_tradnl"/>
        </w:rPr>
        <w:footnoteReference w:id="18"/>
      </w:r>
      <w:r w:rsidR="00A752F4" w:rsidRPr="00FF2DF3">
        <w:t>.</w:t>
      </w:r>
      <w:r w:rsidRPr="00FF2DF3">
        <w:t xml:space="preserve"> En la actualidad, los investigadores que participaron originalmente en el proyecto colaboran activamente en el desarrollo del programa ENPI del gobierno brasileño</w:t>
      </w:r>
      <w:r w:rsidRPr="00FF2DF3">
        <w:rPr>
          <w:rStyle w:val="FootnoteReference"/>
          <w:lang w:val="es-ES_tradnl"/>
        </w:rPr>
        <w:footnoteReference w:id="19"/>
      </w:r>
      <w:r w:rsidR="00A752F4" w:rsidRPr="00FF2DF3">
        <w:t>.</w:t>
      </w:r>
    </w:p>
    <w:p w14:paraId="64B3283B" w14:textId="4F94195F" w:rsidR="007545CB" w:rsidRPr="00FF2DF3" w:rsidRDefault="00830789" w:rsidP="00830789">
      <w:pPr>
        <w:pStyle w:val="Heading1"/>
        <w:spacing w:after="240"/>
      </w:pPr>
      <w:bookmarkStart w:id="74" w:name="_Toc140224986"/>
      <w:bookmarkStart w:id="75" w:name="_Toc146102859"/>
      <w:r w:rsidRPr="00FF2DF3">
        <w:t>6.</w:t>
      </w:r>
      <w:r w:rsidRPr="00FF2DF3">
        <w:tab/>
      </w:r>
      <w:r w:rsidR="007545CB" w:rsidRPr="00FF2DF3">
        <w:t>CONCLUSIONES</w:t>
      </w:r>
      <w:bookmarkEnd w:id="74"/>
      <w:bookmarkEnd w:id="75"/>
    </w:p>
    <w:p w14:paraId="481B5E70" w14:textId="4FDA7440" w:rsidR="007545CB" w:rsidRPr="00FF2DF3" w:rsidRDefault="007545CB" w:rsidP="007545CB">
      <w:pPr>
        <w:pStyle w:val="ONUMFS"/>
        <w:rPr>
          <w:b/>
          <w:bCs/>
        </w:rPr>
      </w:pPr>
      <w:r w:rsidRPr="00FF2DF3">
        <w:rPr>
          <w:b/>
        </w:rPr>
        <w:t xml:space="preserve">Conclusión 1: El proyecto tuvo efectos positivos a largo plazo en los países beneficiarios. </w:t>
      </w:r>
    </w:p>
    <w:p w14:paraId="5D02C3F4" w14:textId="1CDE514E" w:rsidR="007545CB" w:rsidRPr="00FF2DF3" w:rsidRDefault="007545CB" w:rsidP="007545CB">
      <w:pPr>
        <w:pStyle w:val="ONUMFS"/>
        <w:rPr>
          <w:b/>
          <w:bCs/>
        </w:rPr>
      </w:pPr>
      <w:r w:rsidRPr="00FF2DF3">
        <w:t>Los datos de las evaluaciones muestran que en algunos países se lograron los resultados previstos de la OMPI</w:t>
      </w:r>
      <w:r w:rsidR="00917824" w:rsidRPr="00FF2DF3">
        <w:t xml:space="preserve"> (</w:t>
      </w:r>
      <w:r w:rsidRPr="00FF2DF3">
        <w:fldChar w:fldCharType="begin"/>
      </w:r>
      <w:r w:rsidRPr="00FF2DF3">
        <w:instrText xml:space="preserve"> REF _Ref140137860 \h </w:instrText>
      </w:r>
      <w:r w:rsidR="00FF2DF3">
        <w:instrText xml:space="preserve"> \* MERGEFORMAT </w:instrText>
      </w:r>
      <w:r w:rsidRPr="00FF2DF3">
        <w:fldChar w:fldCharType="separate"/>
      </w:r>
      <w:r w:rsidRPr="00FF2DF3">
        <w:rPr>
          <w:rStyle w:val="Strong"/>
        </w:rPr>
        <w:t>Text Box 1</w:t>
      </w:r>
      <w:r w:rsidRPr="00FF2DF3">
        <w:fldChar w:fldCharType="end"/>
      </w:r>
      <w:r w:rsidR="00917824" w:rsidRPr="00FF2DF3">
        <w:t>)</w:t>
      </w:r>
      <w:r w:rsidRPr="00FF2DF3">
        <w:t xml:space="preserve">. </w:t>
      </w:r>
      <w:r w:rsidR="005C5593" w:rsidRPr="00FF2DF3">
        <w:t>Debido a las limitaciones de la evaluación, no se pudieron confirmar los efectos en todos los países; sin embargo, los informantes clave, los debates de grupos de discusión, las encuestas y los exámenes documentales proyectan globalmente una imagen convincente de un proyecto de alto impacto. A lo largo de todo el informe de evaluación, se indican los factores que contribuyeron a lograr efectos significativos. Entre los efectos primarios figuran los siguientes:</w:t>
      </w:r>
    </w:p>
    <w:p w14:paraId="29889F37" w14:textId="77777777" w:rsidR="004537C5" w:rsidRPr="00FF2DF3" w:rsidRDefault="004537C5" w:rsidP="004537C5">
      <w:pPr>
        <w:pStyle w:val="ONUMFS"/>
        <w:numPr>
          <w:ilvl w:val="0"/>
          <w:numId w:val="29"/>
        </w:numPr>
      </w:pPr>
      <w:r w:rsidRPr="00FF2DF3">
        <w:t>La promoción de las recomendaciones 35 y 37 de la DA aumentó en los países beneficiarios;</w:t>
      </w:r>
    </w:p>
    <w:p w14:paraId="7950C589" w14:textId="0DB0FED0" w:rsidR="004537C5" w:rsidRPr="00FF2DF3" w:rsidRDefault="00BB0D70" w:rsidP="004537C5">
      <w:pPr>
        <w:pStyle w:val="ONUMFS"/>
        <w:numPr>
          <w:ilvl w:val="0"/>
          <w:numId w:val="29"/>
        </w:numPr>
      </w:pPr>
      <w:r w:rsidRPr="00FF2DF3">
        <w:t>El fortalecimiento de capacidades individuales continuó y se amplió a lo largo del tiempo, lo que contribuyó a lograr efectos significativos una vez finalizado el ciclo de ejecución del proyecto</w:t>
      </w:r>
      <w:r w:rsidR="004537C5" w:rsidRPr="00FF2DF3">
        <w:t>;</w:t>
      </w:r>
    </w:p>
    <w:p w14:paraId="2AB720B1" w14:textId="77777777" w:rsidR="004537C5" w:rsidRPr="00FF2DF3" w:rsidRDefault="004537C5" w:rsidP="004537C5">
      <w:pPr>
        <w:pStyle w:val="ONUMFS"/>
        <w:numPr>
          <w:ilvl w:val="0"/>
          <w:numId w:val="29"/>
        </w:numPr>
      </w:pPr>
      <w:r w:rsidRPr="00FF2DF3">
        <w:t>La investigación sobre cuestiones de PI cobró un carácter más multidisciplinario, en particular con la participación de economistas;</w:t>
      </w:r>
    </w:p>
    <w:p w14:paraId="4E6DECF5" w14:textId="77777777" w:rsidR="004537C5" w:rsidRPr="00FF2DF3" w:rsidRDefault="004537C5" w:rsidP="004537C5">
      <w:pPr>
        <w:pStyle w:val="ONUMFS"/>
        <w:numPr>
          <w:ilvl w:val="0"/>
          <w:numId w:val="29"/>
        </w:numPr>
      </w:pPr>
      <w:r w:rsidRPr="00FF2DF3">
        <w:t>Las oficinas de PI y otras instituciones beneficiarias establecieron redes duraderas y concedieron mayor prioridad a las cuestiones de PI;</w:t>
      </w:r>
    </w:p>
    <w:p w14:paraId="6A2857DB" w14:textId="77777777" w:rsidR="004537C5" w:rsidRPr="00FF2DF3" w:rsidRDefault="004537C5" w:rsidP="004537C5">
      <w:pPr>
        <w:pStyle w:val="ONUMFS"/>
        <w:numPr>
          <w:ilvl w:val="0"/>
          <w:numId w:val="29"/>
        </w:numPr>
      </w:pPr>
      <w:r w:rsidRPr="00FF2DF3">
        <w:t>Las bases de datos a nivel nacional mejoraron en cuanto a calidad y disponibilidad de datos, lo que fomentó el uso de datos económicos para la formulación de políticas;</w:t>
      </w:r>
    </w:p>
    <w:p w14:paraId="28BF5922" w14:textId="64958333" w:rsidR="004537C5" w:rsidRPr="00FF2DF3" w:rsidRDefault="00F92946" w:rsidP="004537C5">
      <w:pPr>
        <w:pStyle w:val="ONUMFS"/>
        <w:numPr>
          <w:ilvl w:val="0"/>
          <w:numId w:val="29"/>
        </w:numPr>
      </w:pPr>
      <w:r w:rsidRPr="00FF2DF3">
        <w:t xml:space="preserve">Los investigadores y encargados de formular políticas experimentaron un cambio conceptual en conocimientos, comprensión y actitudes respecto de </w:t>
      </w:r>
      <w:r w:rsidR="004537C5" w:rsidRPr="00FF2DF3">
        <w:t>los beneficios económicos y la importancia de la innovación para el desarrollo socioeconómico;</w:t>
      </w:r>
    </w:p>
    <w:p w14:paraId="4FCB2865" w14:textId="77777777" w:rsidR="004537C5" w:rsidRPr="00FF2DF3" w:rsidRDefault="004537C5" w:rsidP="004537C5">
      <w:pPr>
        <w:pStyle w:val="ONUMFS"/>
        <w:numPr>
          <w:ilvl w:val="0"/>
          <w:numId w:val="29"/>
        </w:numPr>
      </w:pPr>
      <w:r w:rsidRPr="00FF2DF3">
        <w:t>La capacidad analítica creada a nivel nacional sirvió para fundamentar la toma de decisiones y la formulación de políticas;</w:t>
      </w:r>
    </w:p>
    <w:p w14:paraId="07C907BD" w14:textId="58182208" w:rsidR="007545CB" w:rsidRPr="00FF2DF3" w:rsidRDefault="004537C5" w:rsidP="004537C5">
      <w:pPr>
        <w:pStyle w:val="ONUMFS"/>
        <w:numPr>
          <w:ilvl w:val="0"/>
          <w:numId w:val="29"/>
        </w:numPr>
      </w:pPr>
      <w:r w:rsidRPr="00FF2DF3">
        <w:t>Las autoridades gubernamentales y el sector privado aumentaron sus inversiones en materia de reglamentación y uso de la PI.</w:t>
      </w:r>
      <w:r w:rsidR="007545CB" w:rsidRPr="00FF2DF3">
        <w:t xml:space="preserve"> </w:t>
      </w:r>
    </w:p>
    <w:p w14:paraId="463A8D77" w14:textId="46D7A18E" w:rsidR="007545CB" w:rsidRPr="00FF2DF3" w:rsidRDefault="007545CB" w:rsidP="007545CB">
      <w:pPr>
        <w:pStyle w:val="ONUMFS"/>
        <w:rPr>
          <w:b/>
          <w:bCs/>
        </w:rPr>
      </w:pPr>
      <w:r w:rsidRPr="00FF2DF3">
        <w:rPr>
          <w:b/>
        </w:rPr>
        <w:t xml:space="preserve">Conclusión 2: El contexto de ejecución del proyecto fue complejo. </w:t>
      </w:r>
    </w:p>
    <w:p w14:paraId="0471A097" w14:textId="77777777" w:rsidR="00DE472B" w:rsidRPr="00FF2DF3" w:rsidRDefault="00DE472B" w:rsidP="00CB1751">
      <w:pPr>
        <w:pStyle w:val="ONUMFS"/>
        <w:numPr>
          <w:ilvl w:val="0"/>
          <w:numId w:val="0"/>
        </w:numPr>
      </w:pPr>
      <w:r w:rsidRPr="00FF2DF3">
        <w:t xml:space="preserve">El proyecto se llevó a cabo en un gran número de países con diferentes necesidades y entornos de aplicación. Aunque los países beneficiarios hicieron suyo el proyecto en un alto grado, la realización de evaluaciones de la viabilidad o de las necesidades que sirvieran para fundamentar las teorías del cambio anidadas de los países podrían haber contribuido a adoptar un enfoque más estratégico respecto del fortalecimiento de capacidades, la gestión y el establecimiento de objetivos en materia de impacto. </w:t>
      </w:r>
    </w:p>
    <w:p w14:paraId="139A13B7" w14:textId="78CAD483" w:rsidR="007545CB" w:rsidRPr="00FF2DF3" w:rsidRDefault="00DE472B" w:rsidP="007545CB">
      <w:pPr>
        <w:pStyle w:val="ONUMFS"/>
        <w:rPr>
          <w:b/>
          <w:bCs/>
        </w:rPr>
      </w:pPr>
      <w:r w:rsidRPr="00FF2DF3">
        <w:t xml:space="preserve">Además, si bien el proyecto tuvo efectos significativos, estos podrían haber sido ser mucho mayores si la Administración hubiera proporcionado una respuesta formal a las recomendaciones de las evaluaciones anteriores (documentos CDIP/14/3 y CDIP/22/9 Rev.). </w:t>
      </w:r>
    </w:p>
    <w:p w14:paraId="18F30F5A" w14:textId="34795D23" w:rsidR="007545CB" w:rsidRPr="00FF2DF3" w:rsidRDefault="007545CB" w:rsidP="007545CB">
      <w:pPr>
        <w:pStyle w:val="ONUMFS"/>
      </w:pPr>
      <w:r w:rsidRPr="00FF2DF3">
        <w:rPr>
          <w:b/>
        </w:rPr>
        <w:t xml:space="preserve">Conclusión 3: </w:t>
      </w:r>
      <w:r w:rsidR="00F52BEA" w:rsidRPr="00FF2DF3">
        <w:rPr>
          <w:b/>
        </w:rPr>
        <w:t>Se produjeron efectos una vez finalizado el ciclo de ejecución del proyecto, a menudo en el marco de un proceso de seguimiento del impacto.</w:t>
      </w:r>
    </w:p>
    <w:p w14:paraId="10830D66" w14:textId="77777777" w:rsidR="00A5377C" w:rsidRPr="00FF2DF3" w:rsidRDefault="00A5377C" w:rsidP="00A5377C">
      <w:pPr>
        <w:pStyle w:val="ONUMFS"/>
      </w:pPr>
      <w:r w:rsidRPr="00FF2DF3">
        <w:t>El seguimiento del impacto es un proceso de ampliación del uso de las innovaciones en contextos complejos a lo largo de un periodo de tiempo prolongado, durante el cual los investigadores de alto nivel y las partes interesadas bien informadas se comportan en sus redes profesionales de manera similar a los “promotores de productos”, con el fin de aprovechar las ventanas de oportunidad y ampliar así el alcance de la innovación. En este caso, el propio proyecto no es el camino para lograr el impacto, sino el hecho de ampliar el alcance y ejercer influencia con miras a lograr el impacto deseado cuando y donde se presente la oportunidad, adaptando las actividades de investigación avanzada, el fortalecimiento de capacidades y el uso de las redes profesionales a una demanda concreta de los próximos usuarios (por ejemplo, los gobiernos, el sector privado, las organizaciones no gubernamentales internacionales, etc.).</w:t>
      </w:r>
    </w:p>
    <w:p w14:paraId="116137FF" w14:textId="636114B9" w:rsidR="007545CB" w:rsidRPr="00FF2DF3" w:rsidRDefault="00F32E87" w:rsidP="007545CB">
      <w:pPr>
        <w:pStyle w:val="ONUMFS"/>
      </w:pPr>
      <w:r w:rsidRPr="00FF2DF3">
        <w:rPr>
          <w:b/>
        </w:rPr>
        <w:t xml:space="preserve">Conclusión 4: El fortalecimiento de capacidades fue más eficaz a nivel </w:t>
      </w:r>
      <w:r w:rsidR="008709B6" w:rsidRPr="00FF2DF3">
        <w:rPr>
          <w:b/>
        </w:rPr>
        <w:t>individual</w:t>
      </w:r>
      <w:r w:rsidRPr="00FF2DF3">
        <w:rPr>
          <w:b/>
        </w:rPr>
        <w:t xml:space="preserve">. </w:t>
      </w:r>
    </w:p>
    <w:p w14:paraId="59ADDD18" w14:textId="76A93B3E" w:rsidR="007545CB" w:rsidRPr="00FF2DF3" w:rsidRDefault="00536823" w:rsidP="007545CB">
      <w:pPr>
        <w:pStyle w:val="ONUMFS"/>
        <w:spacing w:after="0"/>
      </w:pPr>
      <w:r w:rsidRPr="00FF2DF3">
        <w:t xml:space="preserve">Si bien las oficinas de PI y las instituciones asociadas se beneficiaron de los productos obtenidos a partir de la investigación (conjuntos de datos, análisis de políticas, reconocimiento de la importancia de las cuestiones de PI, etc.), solo unas pocas personas de cada país destinatario se beneficiaron de un modo sustantivo (por ejemplo, mediante los datos de investigación </w:t>
      </w:r>
      <w:r w:rsidR="00644E11" w:rsidRPr="00FF2DF3">
        <w:t xml:space="preserve">necesarios para obtener </w:t>
      </w:r>
      <w:r w:rsidRPr="00FF2DF3">
        <w:t>un doctorado). Una estrategia de fortalecimiento de capacidades acorde con el mandato del proyecto ayudaría a garantizar que las actividades en ese ámbito sean adecuadas para lograr los efectos deseados (por ejemplo, brindar un apoyo complementario durante un periodo prolongado es más probable que promueva el cambio de prácticas y el uso de las nuevas competencias a más largo plazo.</w:t>
      </w:r>
      <w:r w:rsidR="007545CB" w:rsidRPr="00FF2DF3">
        <w:t xml:space="preserve"> </w:t>
      </w:r>
    </w:p>
    <w:p w14:paraId="7E07C90B" w14:textId="57045D09" w:rsidR="007545CB" w:rsidRPr="00FF2DF3" w:rsidRDefault="00830789" w:rsidP="00830789">
      <w:pPr>
        <w:pStyle w:val="Heading1"/>
        <w:spacing w:after="240"/>
      </w:pPr>
      <w:bookmarkStart w:id="76" w:name="_Toc140224987"/>
      <w:bookmarkStart w:id="77" w:name="_Toc145432114"/>
      <w:bookmarkStart w:id="78" w:name="_Toc146102860"/>
      <w:r w:rsidRPr="00FF2DF3">
        <w:t>7.</w:t>
      </w:r>
      <w:r w:rsidRPr="00FF2DF3">
        <w:tab/>
      </w:r>
      <w:r w:rsidR="007545CB" w:rsidRPr="00FF2DF3">
        <w:t>RECOMENDACIONES</w:t>
      </w:r>
      <w:bookmarkEnd w:id="76"/>
      <w:bookmarkEnd w:id="77"/>
      <w:bookmarkEnd w:id="78"/>
    </w:p>
    <w:p w14:paraId="0BB89759" w14:textId="6A5C56D5" w:rsidR="007545CB" w:rsidRPr="00FF2DF3" w:rsidRDefault="00642A4B" w:rsidP="007545CB">
      <w:pPr>
        <w:pStyle w:val="ONUMFS"/>
      </w:pPr>
      <w:r w:rsidRPr="00FF2DF3">
        <w:t>El proyecto finalizó en 2018, y durante los años transcurridos la OMPI ha crecido como institución y ha experimentado muchos cambios. De acuerdo con la información recabada de los informantes clave, algunas de las recomendaciones que figuran a continuación ya se han aplicado en su totalidad o en parte. No obstante, sobre la base de las conclusiones anteriores, se formulan las siguientes recomendaciones a la OMPI y, en concreto, a la Oficina del Economista Jefe teniendo en cuenta que el objeto de evaluación ha finalizado y que sería especulativo considerar la ejecución de un proyecto similar en el futuro.</w:t>
      </w:r>
      <w:r w:rsidR="007545CB" w:rsidRPr="00FF2DF3">
        <w:t xml:space="preserve"> </w:t>
      </w:r>
    </w:p>
    <w:p w14:paraId="4392D79F" w14:textId="77777777" w:rsidR="007545CB" w:rsidRPr="00FF2DF3" w:rsidRDefault="007545CB" w:rsidP="007545CB">
      <w:pPr>
        <w:widowControl w:val="0"/>
        <w:numPr>
          <w:ilvl w:val="0"/>
          <w:numId w:val="25"/>
        </w:numPr>
        <w:tabs>
          <w:tab w:val="left" w:pos="567"/>
        </w:tabs>
        <w:spacing w:after="120" w:line="260" w:lineRule="atLeast"/>
        <w:rPr>
          <w:b/>
          <w:szCs w:val="22"/>
        </w:rPr>
      </w:pPr>
      <w:r w:rsidRPr="00FF2DF3">
        <w:rPr>
          <w:b/>
        </w:rPr>
        <w:t>Planificar para lograr efectos específicos en cada contexto.</w:t>
      </w:r>
    </w:p>
    <w:p w14:paraId="0F54C3CA" w14:textId="77777777" w:rsidR="00636200" w:rsidRPr="00FF2DF3" w:rsidRDefault="00636200" w:rsidP="00636200">
      <w:pPr>
        <w:widowControl w:val="0"/>
        <w:numPr>
          <w:ilvl w:val="0"/>
          <w:numId w:val="26"/>
        </w:numPr>
        <w:tabs>
          <w:tab w:val="left" w:pos="743"/>
        </w:tabs>
        <w:spacing w:after="120" w:line="260" w:lineRule="atLeast"/>
      </w:pPr>
      <w:r w:rsidRPr="00FF2DF3">
        <w:t>Durante la fase inicial del proyecto, llevar a cabo un estudio de viabilidad en cada país para determinar los riesgos y las medidas de mitigación;</w:t>
      </w:r>
    </w:p>
    <w:p w14:paraId="41E7DA47" w14:textId="77777777" w:rsidR="00636200" w:rsidRPr="00FF2DF3" w:rsidRDefault="00636200" w:rsidP="00636200">
      <w:pPr>
        <w:widowControl w:val="0"/>
        <w:numPr>
          <w:ilvl w:val="0"/>
          <w:numId w:val="26"/>
        </w:numPr>
        <w:tabs>
          <w:tab w:val="left" w:pos="743"/>
        </w:tabs>
        <w:spacing w:after="120" w:line="260" w:lineRule="atLeast"/>
      </w:pPr>
      <w:r w:rsidRPr="00FF2DF3">
        <w:t>Sobre la base del estudio de viabilidad y de las aportaciones de las partes interesadas, elaborar teorías del cambio anidadas para cada país con objetivos específicos en materia de impacto para cada contexto;</w:t>
      </w:r>
    </w:p>
    <w:p w14:paraId="76ADA19E" w14:textId="77777777" w:rsidR="00636200" w:rsidRPr="00FF2DF3" w:rsidRDefault="00636200" w:rsidP="00636200">
      <w:pPr>
        <w:widowControl w:val="0"/>
        <w:numPr>
          <w:ilvl w:val="0"/>
          <w:numId w:val="26"/>
        </w:numPr>
        <w:tabs>
          <w:tab w:val="left" w:pos="743"/>
        </w:tabs>
        <w:spacing w:after="120" w:line="260" w:lineRule="atLeast"/>
      </w:pPr>
      <w:r w:rsidRPr="00FF2DF3">
        <w:t>En consonancia con las teorías del cambio de cada país, elaborar una estrategia de fortalecimiento de capacidades que garantice que las actividades en ese ámbito logren efectos directos y el impacto deseado en las personas e instituciones pertinentes.</w:t>
      </w:r>
    </w:p>
    <w:p w14:paraId="401F339F" w14:textId="12FE214E" w:rsidR="007545CB" w:rsidRPr="00FF2DF3" w:rsidRDefault="00636200" w:rsidP="007545CB">
      <w:pPr>
        <w:widowControl w:val="0"/>
        <w:numPr>
          <w:ilvl w:val="0"/>
          <w:numId w:val="26"/>
        </w:numPr>
        <w:tabs>
          <w:tab w:val="left" w:pos="743"/>
        </w:tabs>
        <w:spacing w:after="120" w:line="260" w:lineRule="atLeast"/>
      </w:pPr>
      <w:r w:rsidRPr="00FF2DF3">
        <w:t xml:space="preserve">Reconociendo que pueden producirse efectos mucho después del ciclo de ejecución del proyecto, invertir en la sostenibilidad de los resultados (por ejemplo, en promotores de productos, fortalecimiento </w:t>
      </w:r>
      <w:r w:rsidR="00AD1726" w:rsidRPr="00FF2DF3">
        <w:t>de las capacidades institucionales</w:t>
      </w:r>
      <w:r w:rsidRPr="00FF2DF3">
        <w:t>, financiación sostenible de las actividades de investigación).</w:t>
      </w:r>
    </w:p>
    <w:p w14:paraId="080C3701" w14:textId="77777777" w:rsidR="007545CB" w:rsidRPr="00FF2DF3" w:rsidRDefault="007545CB" w:rsidP="007545CB">
      <w:pPr>
        <w:widowControl w:val="0"/>
        <w:numPr>
          <w:ilvl w:val="0"/>
          <w:numId w:val="25"/>
        </w:numPr>
        <w:tabs>
          <w:tab w:val="left" w:pos="567"/>
        </w:tabs>
        <w:spacing w:after="120" w:line="260" w:lineRule="atLeast"/>
        <w:ind w:left="567" w:hanging="283"/>
        <w:rPr>
          <w:b/>
          <w:szCs w:val="22"/>
        </w:rPr>
      </w:pPr>
      <w:r w:rsidRPr="00FF2DF3">
        <w:rPr>
          <w:b/>
        </w:rPr>
        <w:t>Concebir un enfoque más estratégico para difundir los resultados.</w:t>
      </w:r>
    </w:p>
    <w:p w14:paraId="57A6C57A" w14:textId="70420064" w:rsidR="007545CB" w:rsidRPr="00FF2DF3" w:rsidRDefault="000D638E" w:rsidP="007545CB">
      <w:pPr>
        <w:widowControl w:val="0"/>
        <w:numPr>
          <w:ilvl w:val="0"/>
          <w:numId w:val="27"/>
        </w:numPr>
        <w:tabs>
          <w:tab w:val="left" w:pos="743"/>
        </w:tabs>
        <w:spacing w:after="120" w:line="260" w:lineRule="atLeast"/>
        <w:rPr>
          <w:szCs w:val="22"/>
        </w:rPr>
      </w:pPr>
      <w:r w:rsidRPr="00FF2DF3">
        <w:t>Para proyectos futuros, tomar medidas que garanticen una mayor difusión (en los planos nacional y mundial) de los resultados a través de las redes sociales, seminarios web, blogs, artículos periodísticos y revistas académicas</w:t>
      </w:r>
      <w:r w:rsidR="007545CB" w:rsidRPr="00FF2DF3">
        <w:t>.</w:t>
      </w:r>
    </w:p>
    <w:p w14:paraId="33F2C84A" w14:textId="638F3E1A" w:rsidR="007545CB" w:rsidRPr="00FF2DF3" w:rsidRDefault="007545CB" w:rsidP="007545CB">
      <w:pPr>
        <w:widowControl w:val="0"/>
        <w:numPr>
          <w:ilvl w:val="0"/>
          <w:numId w:val="25"/>
        </w:numPr>
        <w:tabs>
          <w:tab w:val="left" w:pos="567"/>
        </w:tabs>
        <w:spacing w:after="120" w:line="260" w:lineRule="atLeast"/>
        <w:ind w:left="567" w:hanging="283"/>
        <w:rPr>
          <w:b/>
          <w:szCs w:val="22"/>
        </w:rPr>
      </w:pPr>
      <w:r w:rsidRPr="00FF2DF3">
        <w:rPr>
          <w:b/>
        </w:rPr>
        <w:t xml:space="preserve">Exigir una respuesta formal de la Administración a todas las recomendaciones de </w:t>
      </w:r>
      <w:r w:rsidR="00EA24C7" w:rsidRPr="00FF2DF3">
        <w:rPr>
          <w:b/>
        </w:rPr>
        <w:t>las evaluaciones</w:t>
      </w:r>
      <w:r w:rsidRPr="00FF2DF3">
        <w:rPr>
          <w:b/>
        </w:rPr>
        <w:t xml:space="preserve">. </w:t>
      </w:r>
    </w:p>
    <w:p w14:paraId="03FA991A" w14:textId="58F0444B" w:rsidR="007545CB" w:rsidRPr="00FF2DF3" w:rsidRDefault="00B773FE" w:rsidP="009E76FE">
      <w:pPr>
        <w:pStyle w:val="ListParagraph"/>
        <w:numPr>
          <w:ilvl w:val="0"/>
          <w:numId w:val="28"/>
        </w:numPr>
        <w:spacing w:after="600"/>
        <w:ind w:left="601" w:hanging="357"/>
        <w:contextualSpacing w:val="0"/>
      </w:pPr>
      <w:r w:rsidRPr="00FF2DF3">
        <w:t>La OMPI debería exigir una respuesta formal de la Administración a todas las recomendaciones de las evaluaciones siempre que sea posible. Si no es viable obtener una respuesta formal de la Administración, dichas recomendaciones deben tenerse en cuenta en el marco de un proceso formal de aprendizaje y reflexión durante la fase de diseño de l</w:t>
      </w:r>
      <w:r w:rsidR="007726E6" w:rsidRPr="00FF2DF3">
        <w:t xml:space="preserve">os </w:t>
      </w:r>
      <w:r w:rsidRPr="00FF2DF3">
        <w:t>proyecto</w:t>
      </w:r>
      <w:r w:rsidR="007726E6" w:rsidRPr="00FF2DF3">
        <w:t>s diferidos</w:t>
      </w:r>
      <w:r w:rsidRPr="00FF2DF3">
        <w:t>. Los informes del proyecto deben incluir los progresos en la aplicación de las recomendaciones. El aprendizaje a partir de las evaluaciones es un paso importante hacia el logro del impacto</w:t>
      </w:r>
      <w:r w:rsidR="007545CB" w:rsidRPr="00FF2DF3">
        <w:t>.</w:t>
      </w:r>
    </w:p>
    <w:p w14:paraId="418845D3" w14:textId="65D08B4B" w:rsidR="00152CEA" w:rsidRPr="0045271A" w:rsidRDefault="007545CB" w:rsidP="009E76FE">
      <w:pPr>
        <w:pStyle w:val="Endofdocument"/>
        <w:ind w:left="5533"/>
      </w:pPr>
      <w:r w:rsidRPr="00FF2DF3">
        <w:t xml:space="preserve">[Los apéndices se </w:t>
      </w:r>
      <w:r w:rsidRPr="00FF2DF3">
        <w:rPr>
          <w:color w:val="000000" w:themeColor="text1"/>
        </w:rPr>
        <w:t>adjuntan por separado (solo en inglés)]</w:t>
      </w:r>
      <w:r w:rsidRPr="00FF2DF3">
        <w:t>.</w:t>
      </w:r>
    </w:p>
    <w:sectPr w:rsidR="00152CEA" w:rsidRPr="0045271A" w:rsidSect="00C84882">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AC9A" w14:textId="77777777" w:rsidR="00C84882" w:rsidRDefault="00C84882">
      <w:r>
        <w:separator/>
      </w:r>
    </w:p>
  </w:endnote>
  <w:endnote w:type="continuationSeparator" w:id="0">
    <w:p w14:paraId="1D9BF88E" w14:textId="77777777" w:rsidR="00C84882" w:rsidRPr="009D30E6" w:rsidRDefault="00C84882" w:rsidP="007E663E">
      <w:pPr>
        <w:rPr>
          <w:sz w:val="17"/>
          <w:szCs w:val="17"/>
        </w:rPr>
      </w:pPr>
      <w:r w:rsidRPr="009D30E6">
        <w:rPr>
          <w:sz w:val="17"/>
          <w:szCs w:val="17"/>
        </w:rPr>
        <w:separator/>
      </w:r>
    </w:p>
    <w:p w14:paraId="039B274C" w14:textId="77777777" w:rsidR="00C84882" w:rsidRPr="007E663E" w:rsidRDefault="00C84882" w:rsidP="007E663E">
      <w:pPr>
        <w:spacing w:after="60"/>
        <w:rPr>
          <w:sz w:val="17"/>
          <w:szCs w:val="17"/>
        </w:rPr>
      </w:pPr>
      <w:r>
        <w:rPr>
          <w:sz w:val="17"/>
        </w:rPr>
        <w:t>[Continuación de la nota de la página anterior]</w:t>
      </w:r>
    </w:p>
  </w:endnote>
  <w:endnote w:type="continuationNotice" w:id="1">
    <w:p w14:paraId="7EDD02E9" w14:textId="77777777" w:rsidR="00C84882" w:rsidRPr="007E663E" w:rsidRDefault="00C8488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4314" w14:textId="77777777" w:rsidR="00000001" w:rsidRDefault="0000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C09" w14:textId="77777777" w:rsidR="00000001" w:rsidRDefault="00000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592" w14:textId="77777777" w:rsidR="00000001" w:rsidRDefault="0000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7740" w14:textId="77777777" w:rsidR="00C84882" w:rsidRDefault="00C84882">
      <w:r>
        <w:separator/>
      </w:r>
    </w:p>
  </w:footnote>
  <w:footnote w:type="continuationSeparator" w:id="0">
    <w:p w14:paraId="331ECB4C" w14:textId="77777777" w:rsidR="00C84882" w:rsidRPr="009D30E6" w:rsidRDefault="00C84882" w:rsidP="007E663E">
      <w:pPr>
        <w:rPr>
          <w:sz w:val="17"/>
          <w:szCs w:val="17"/>
        </w:rPr>
      </w:pPr>
      <w:r w:rsidRPr="009D30E6">
        <w:rPr>
          <w:sz w:val="17"/>
          <w:szCs w:val="17"/>
        </w:rPr>
        <w:separator/>
      </w:r>
    </w:p>
    <w:p w14:paraId="3F69E991" w14:textId="77777777" w:rsidR="00C84882" w:rsidRPr="007E663E" w:rsidRDefault="00C84882" w:rsidP="007E663E">
      <w:pPr>
        <w:spacing w:after="60"/>
        <w:rPr>
          <w:sz w:val="17"/>
          <w:szCs w:val="17"/>
        </w:rPr>
      </w:pPr>
      <w:r>
        <w:rPr>
          <w:sz w:val="17"/>
        </w:rPr>
        <w:t>[Continuación de la nota de la página anterior]</w:t>
      </w:r>
    </w:p>
  </w:footnote>
  <w:footnote w:type="continuationNotice" w:id="1">
    <w:p w14:paraId="6AE96DB8" w14:textId="77777777" w:rsidR="00C84882" w:rsidRPr="007E663E" w:rsidRDefault="00C84882" w:rsidP="007E663E">
      <w:pPr>
        <w:spacing w:before="60"/>
        <w:jc w:val="right"/>
        <w:rPr>
          <w:sz w:val="17"/>
          <w:szCs w:val="17"/>
        </w:rPr>
      </w:pPr>
      <w:r w:rsidRPr="007E663E">
        <w:rPr>
          <w:sz w:val="17"/>
          <w:szCs w:val="17"/>
        </w:rPr>
        <w:t>[Sigue la nota en la página siguiente]</w:t>
      </w:r>
    </w:p>
  </w:footnote>
  <w:footnote w:id="2">
    <w:p w14:paraId="038ABD22" w14:textId="1230BCFC" w:rsidR="00C84882" w:rsidRPr="0045271A" w:rsidRDefault="00C84882" w:rsidP="007545CB">
      <w:pPr>
        <w:pStyle w:val="FootnoteText"/>
      </w:pPr>
      <w:r>
        <w:rPr>
          <w:rStyle w:val="FootnoteReference"/>
          <w:lang w:val="es-ES_tradnl"/>
        </w:rPr>
        <w:footnoteRef/>
      </w:r>
      <w:r>
        <w:t xml:space="preserve"> Resultados previstos del presupuesto por programas para los bienios 2014/15, 2016/17 y 2018/19, a saber, V.1: Mayor y mejor utilización de la información estadística de la OMPI en materia de PI y V.2: Uso más amplio y mejor de los análisis económicos de la OMPI en la formulación de políticas.</w:t>
      </w:r>
    </w:p>
  </w:footnote>
  <w:footnote w:id="3">
    <w:p w14:paraId="7C868203" w14:textId="3A95E07D" w:rsidR="00C84882" w:rsidRPr="0045271A" w:rsidRDefault="00C84882" w:rsidP="007545CB">
      <w:pPr>
        <w:pStyle w:val="FootnoteText"/>
      </w:pPr>
      <w:r>
        <w:rPr>
          <w:rStyle w:val="FootnoteReference"/>
          <w:lang w:val="es-ES_tradnl"/>
        </w:rPr>
        <w:footnoteRef/>
      </w:r>
      <w:r>
        <w:t xml:space="preserve"> Recomendación 35: Solicitar a la OMPI que emprenda, a petición de los Estados miembros, nuevos estudios destinados a evaluar las consecuencias económicas, sociales y culturales de la utilización de sistemas de PI en dichos Estados.</w:t>
      </w:r>
    </w:p>
  </w:footnote>
  <w:footnote w:id="4">
    <w:p w14:paraId="4F36A3ED" w14:textId="5AD6B817" w:rsidR="00C84882" w:rsidRPr="0045271A" w:rsidRDefault="00C84882" w:rsidP="007545CB">
      <w:pPr>
        <w:pStyle w:val="FootnoteText"/>
      </w:pPr>
      <w:r>
        <w:rPr>
          <w:rStyle w:val="FootnoteReference"/>
          <w:lang w:val="es-ES_tradnl"/>
        </w:rPr>
        <w:footnoteRef/>
      </w:r>
      <w:r>
        <w:t xml:space="preserve"> Recomendación 37: La OMPI podrá efectuar estudios, a petición de los interesados y conforme a lo dispuesto por los Estados miembros, sobre la protección de la propiedad intelectual, a fin de determinar los posibles vínculos y los efectos entre la PI y el desarrollo.</w:t>
      </w:r>
    </w:p>
  </w:footnote>
  <w:footnote w:id="5">
    <w:p w14:paraId="7E3B983B" w14:textId="22249201" w:rsidR="00C84882" w:rsidRPr="0045271A" w:rsidRDefault="00C84882" w:rsidP="007545CB">
      <w:pPr>
        <w:pStyle w:val="FootnoteText"/>
      </w:pPr>
      <w:r>
        <w:rPr>
          <w:rStyle w:val="FootnoteReference"/>
          <w:lang w:val="es-ES_tradnl"/>
        </w:rPr>
        <w:footnoteRef/>
      </w:r>
      <w:r>
        <w:t xml:space="preserve"> Los resultados de todos los proyectos de la AD se recogen en el </w:t>
      </w:r>
      <w:hyperlink r:id="rId1" w:history="1">
        <w:r>
          <w:rPr>
            <w:rStyle w:val="Hyperlink"/>
          </w:rPr>
          <w:t>Catálogo de proyectos y productos de la AD</w:t>
        </w:r>
      </w:hyperlink>
      <w:r>
        <w:t xml:space="preserve">. </w:t>
      </w:r>
    </w:p>
  </w:footnote>
  <w:footnote w:id="6">
    <w:p w14:paraId="4F4C072B" w14:textId="7A308120" w:rsidR="00C84882" w:rsidRPr="0045271A" w:rsidRDefault="00C84882" w:rsidP="007545CB">
      <w:pPr>
        <w:pStyle w:val="FootnoteText"/>
      </w:pPr>
      <w:r>
        <w:rPr>
          <w:rStyle w:val="FootnoteReference"/>
          <w:lang w:val="es-ES_tradnl"/>
        </w:rPr>
        <w:footnoteRef/>
      </w:r>
      <w:r>
        <w:t xml:space="preserve"> Resultados previstos en el presupuesto por programas para los bienios 2014/15, 2016/17 y 2018/19.</w:t>
      </w:r>
    </w:p>
  </w:footnote>
  <w:footnote w:id="7">
    <w:p w14:paraId="32BBE0A7" w14:textId="78744EB9" w:rsidR="00C84882" w:rsidRPr="0045271A" w:rsidRDefault="00C84882" w:rsidP="007545CB">
      <w:pPr>
        <w:pStyle w:val="FootnoteText"/>
      </w:pPr>
      <w:r>
        <w:rPr>
          <w:rStyle w:val="FootnoteReference"/>
          <w:lang w:val="es-ES_tradnl"/>
        </w:rPr>
        <w:footnoteRef/>
      </w:r>
      <w:r>
        <w:t xml:space="preserve"> La Sección de Evaluación de la DSI, en colaboración con la DACD y el Sector de PI y Ecosistemas de Innovación, realizó la reconstrucción de la teoría del cambio del proyecto. </w:t>
      </w:r>
    </w:p>
  </w:footnote>
  <w:footnote w:id="8">
    <w:p w14:paraId="6CA62CF3" w14:textId="77777777" w:rsidR="00C84882" w:rsidRPr="0045271A" w:rsidRDefault="00C84882" w:rsidP="007545CB">
      <w:pPr>
        <w:pStyle w:val="FootnoteText"/>
      </w:pPr>
      <w:r>
        <w:rPr>
          <w:rStyle w:val="FootnoteReference"/>
          <w:lang w:val="es-ES_tradnl"/>
        </w:rPr>
        <w:footnoteRef/>
      </w:r>
      <w:r>
        <w:t xml:space="preserve"> La encuesta en línea dirigida a las partes interesadas estuvo disponible en español, inglés y francés.</w:t>
      </w:r>
    </w:p>
  </w:footnote>
  <w:footnote w:id="9">
    <w:p w14:paraId="3E174EA7" w14:textId="77777777" w:rsidR="00C84882" w:rsidRPr="0045271A" w:rsidRDefault="00C84882" w:rsidP="007545CB">
      <w:pPr>
        <w:pStyle w:val="FootnoteText"/>
      </w:pPr>
      <w:r>
        <w:rPr>
          <w:rStyle w:val="FootnoteReference"/>
          <w:lang w:val="es-ES_tradnl"/>
        </w:rPr>
        <w:footnoteRef/>
      </w:r>
      <w:r>
        <w:t xml:space="preserve"> Constataciones de la encuesta a las partes interesadas.</w:t>
      </w:r>
    </w:p>
  </w:footnote>
  <w:footnote w:id="10">
    <w:p w14:paraId="1F31378F" w14:textId="65D6A8D2" w:rsidR="00C84882" w:rsidRPr="0045271A" w:rsidRDefault="00C84882" w:rsidP="007545CB">
      <w:pPr>
        <w:pStyle w:val="FootnoteText"/>
      </w:pPr>
      <w:r>
        <w:rPr>
          <w:rStyle w:val="FootnoteReference"/>
          <w:lang w:val="es-ES_tradnl"/>
        </w:rPr>
        <w:footnoteRef/>
      </w:r>
      <w:r>
        <w:t xml:space="preserve"> Los </w:t>
      </w:r>
      <w:r>
        <w:rPr>
          <w:i/>
        </w:rPr>
        <w:t>Indicadores mundiales de propiedad intelectual</w:t>
      </w:r>
      <w:r>
        <w:t xml:space="preserve"> se publican anualmente como herramienta útil para los encargados de formular políticas y otras partes interesadas.</w:t>
      </w:r>
    </w:p>
  </w:footnote>
  <w:footnote w:id="11">
    <w:p w14:paraId="3E2D2917" w14:textId="77777777" w:rsidR="00C84882" w:rsidRPr="0045271A" w:rsidRDefault="00C84882" w:rsidP="007545CB">
      <w:pPr>
        <w:pStyle w:val="FootnoteText"/>
      </w:pPr>
      <w:r>
        <w:rPr>
          <w:rStyle w:val="FootnoteReference"/>
          <w:lang w:val="es-ES_tradnl"/>
        </w:rPr>
        <w:footnoteRef/>
      </w:r>
      <w:r>
        <w:t xml:space="preserve"> Los estudios de caso del Brasil e Indonesia figuran en la página 19.</w:t>
      </w:r>
    </w:p>
  </w:footnote>
  <w:footnote w:id="12">
    <w:p w14:paraId="658E1D69" w14:textId="77777777" w:rsidR="00C84882" w:rsidRPr="0045271A" w:rsidRDefault="00C84882" w:rsidP="007545CB">
      <w:pPr>
        <w:pStyle w:val="FootnoteText"/>
      </w:pPr>
      <w:r>
        <w:rPr>
          <w:rStyle w:val="FootnoteReference"/>
          <w:lang w:val="es-ES_tradnl"/>
        </w:rPr>
        <w:footnoteRef/>
      </w:r>
      <w:r>
        <w:t xml:space="preserve"> Los estudios de caso del Brasil e Indonesia figuran en la página 19.</w:t>
      </w:r>
    </w:p>
  </w:footnote>
  <w:footnote w:id="13">
    <w:p w14:paraId="180B3EFB" w14:textId="77777777" w:rsidR="00C84882" w:rsidRPr="0045271A" w:rsidRDefault="00C84882" w:rsidP="007545CB">
      <w:pPr>
        <w:pStyle w:val="pf0"/>
        <w:rPr>
          <w:rFonts w:ascii="Arial" w:hAnsi="Arial" w:cs="Arial"/>
          <w:sz w:val="20"/>
          <w:szCs w:val="20"/>
        </w:rPr>
      </w:pPr>
      <w:r>
        <w:rPr>
          <w:rStyle w:val="FootnoteReference"/>
          <w:rFonts w:ascii="Arial" w:eastAsia="SimSun" w:hAnsi="Arial" w:cs="Arial"/>
          <w:sz w:val="20"/>
          <w:szCs w:val="20"/>
          <w:lang w:val="es-ES_tradnl"/>
        </w:rPr>
        <w:footnoteRef/>
      </w:r>
      <w:r>
        <w:rPr>
          <w:rFonts w:ascii="Arial" w:hAnsi="Arial"/>
          <w:sz w:val="20"/>
        </w:rPr>
        <w:t xml:space="preserve"> </w:t>
      </w:r>
      <w:hyperlink r:id="rId2" w:history="1">
        <w:r>
          <w:rPr>
            <w:rStyle w:val="Hyperlink"/>
            <w:rFonts w:ascii="Arial" w:hAnsi="Arial"/>
            <w:sz w:val="20"/>
          </w:rPr>
          <w:t>https://www.wipo.int/publications/es/</w:t>
        </w:r>
      </w:hyperlink>
      <w:r>
        <w:rPr>
          <w:rFonts w:ascii="Arial" w:hAnsi="Arial"/>
          <w:sz w:val="20"/>
        </w:rPr>
        <w:t xml:space="preserve"> y </w:t>
      </w:r>
      <w:hyperlink r:id="rId3" w:history="1">
        <w:r>
          <w:rPr>
            <w:rStyle w:val="Hyperlink"/>
            <w:rFonts w:ascii="Arial" w:hAnsi="Arial"/>
            <w:sz w:val="20"/>
          </w:rPr>
          <w:t>https://dacatalogue.wipo.int/projects</w:t>
        </w:r>
      </w:hyperlink>
      <w:r>
        <w:rPr>
          <w:rStyle w:val="Hyperlink"/>
          <w:rFonts w:ascii="Arial" w:hAnsi="Arial"/>
          <w:sz w:val="20"/>
        </w:rPr>
        <w:t xml:space="preserve"> </w:t>
      </w:r>
    </w:p>
  </w:footnote>
  <w:footnote w:id="14">
    <w:p w14:paraId="027BE400" w14:textId="77777777" w:rsidR="00C84882" w:rsidRPr="00375DCE" w:rsidRDefault="00C84882" w:rsidP="007545CB">
      <w:pPr>
        <w:pStyle w:val="FootnoteText"/>
        <w:rPr>
          <w:lang w:val="en-US"/>
        </w:rPr>
      </w:pPr>
      <w:r>
        <w:rPr>
          <w:rStyle w:val="FootnoteReference"/>
          <w:lang w:val="es-ES_tradnl"/>
        </w:rPr>
        <w:footnoteRef/>
      </w:r>
      <w:r>
        <w:t xml:space="preserve"> Adaptado del modelo de cambio en las políticas de Kingdon y Stano (1984), adaptado por Douthwaite </w:t>
      </w:r>
      <w:r>
        <w:rPr>
          <w:i/>
        </w:rPr>
        <w:t>et al.</w:t>
      </w:r>
      <w:r>
        <w:t xml:space="preserve"> </w:t>
      </w:r>
      <w:r w:rsidRPr="00375DCE">
        <w:rPr>
          <w:lang w:val="en-US"/>
        </w:rPr>
        <w:t>(2022).</w:t>
      </w:r>
    </w:p>
  </w:footnote>
  <w:footnote w:id="15">
    <w:p w14:paraId="65E68C0B" w14:textId="273C6135" w:rsidR="00C84882" w:rsidRPr="00375DCE" w:rsidRDefault="00C84882" w:rsidP="007545CB">
      <w:pPr>
        <w:pStyle w:val="FootnoteText"/>
        <w:rPr>
          <w:lang w:val="en-US"/>
        </w:rPr>
      </w:pPr>
      <w:r>
        <w:rPr>
          <w:rStyle w:val="FootnoteReference"/>
          <w:lang w:val="es-ES_tradnl"/>
        </w:rPr>
        <w:footnoteRef/>
      </w:r>
      <w:r w:rsidRPr="00375DCE">
        <w:rPr>
          <w:lang w:val="en-US"/>
        </w:rPr>
        <w:t xml:space="preserve"> Understanding the Use of Industrial Designs in ASEAN Countries (2018), disponible en: </w:t>
      </w:r>
      <w:hyperlink r:id="rId4" w:history="1">
        <w:r w:rsidRPr="00375DCE">
          <w:rPr>
            <w:rStyle w:val="Hyperlink"/>
            <w:lang w:val="en-US"/>
          </w:rPr>
          <w:t>https://tind.wipo.int/record/29067</w:t>
        </w:r>
      </w:hyperlink>
      <w:r w:rsidRPr="00375DCE">
        <w:rPr>
          <w:lang w:val="en-US"/>
        </w:rPr>
        <w:t xml:space="preserve"> </w:t>
      </w:r>
    </w:p>
  </w:footnote>
  <w:footnote w:id="16">
    <w:p w14:paraId="58977D1B" w14:textId="77777777" w:rsidR="00C84882" w:rsidRPr="0045271A" w:rsidRDefault="00C84882" w:rsidP="007545CB">
      <w:pPr>
        <w:pStyle w:val="FootnoteText"/>
      </w:pPr>
      <w:r>
        <w:rPr>
          <w:rStyle w:val="FootnoteReference"/>
          <w:lang w:val="es-ES_tradnl"/>
        </w:rPr>
        <w:footnoteRef/>
      </w:r>
      <w:r>
        <w:t xml:space="preserve"> Entrevista a informantes clave realizada el 3 de julio de 2023. </w:t>
      </w:r>
    </w:p>
  </w:footnote>
  <w:footnote w:id="17">
    <w:p w14:paraId="46A74FFF" w14:textId="77777777" w:rsidR="00C84882" w:rsidRPr="0045271A" w:rsidRDefault="00C84882" w:rsidP="007545CB">
      <w:pPr>
        <w:pStyle w:val="FootnoteText"/>
      </w:pPr>
      <w:r>
        <w:rPr>
          <w:rStyle w:val="FootnoteReference"/>
          <w:lang w:val="es-ES_tradnl"/>
        </w:rPr>
        <w:footnoteRef/>
      </w:r>
      <w:r>
        <w:t xml:space="preserve"> Debate de grupo de discusión celebrado el 26 de junio de 2023.</w:t>
      </w:r>
    </w:p>
  </w:footnote>
  <w:footnote w:id="18">
    <w:p w14:paraId="1BB4C5A7" w14:textId="44CEA00B" w:rsidR="00C84882" w:rsidRPr="00375DCE" w:rsidRDefault="00C84882" w:rsidP="007545CB">
      <w:pPr>
        <w:pStyle w:val="FootnoteText"/>
        <w:rPr>
          <w:lang w:val="fr-FR"/>
        </w:rPr>
      </w:pPr>
      <w:r>
        <w:rPr>
          <w:rStyle w:val="FootnoteReference"/>
          <w:lang w:val="es-ES_tradnl"/>
        </w:rPr>
        <w:footnoteRef/>
      </w:r>
      <w:r w:rsidRPr="00375DCE">
        <w:rPr>
          <w:lang w:val="fr-FR"/>
        </w:rPr>
        <w:t xml:space="preserve"> Global Innovation Hotspots, 2022, disponible en: </w:t>
      </w:r>
      <w:hyperlink r:id="rId5" w:history="1">
        <w:r w:rsidRPr="00375DCE">
          <w:rPr>
            <w:rStyle w:val="Hyperlink"/>
            <w:lang w:val="fr-FR"/>
          </w:rPr>
          <w:t>https://www.wipo.int/edocs/pubdocs/en/wipo-pub-gih-brazil-en-global-innovation-hotspots-a-case-study-of-s%C3%A3o-paulo-s-innovation-ecosystem-local-capabilities-and-global-networks.pdf</w:t>
        </w:r>
      </w:hyperlink>
      <w:r w:rsidRPr="00375DCE">
        <w:rPr>
          <w:lang w:val="fr-FR"/>
        </w:rPr>
        <w:t xml:space="preserve"> </w:t>
      </w:r>
    </w:p>
  </w:footnote>
  <w:footnote w:id="19">
    <w:p w14:paraId="010F4D3F" w14:textId="77777777" w:rsidR="00C84882" w:rsidRPr="00D43ABE" w:rsidRDefault="00C84882" w:rsidP="007545CB">
      <w:pPr>
        <w:pStyle w:val="FootnoteText"/>
      </w:pPr>
      <w:r>
        <w:rPr>
          <w:rStyle w:val="FootnoteReference"/>
          <w:lang w:val="es-ES_tradnl"/>
        </w:rPr>
        <w:footnoteRef/>
      </w:r>
      <w:r>
        <w:t xml:space="preserve"> Encuesta a las partes interesadas.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5791" w14:textId="77777777" w:rsidR="00000001" w:rsidRDefault="0000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F373" w14:textId="77777777" w:rsidR="00C84882" w:rsidRPr="00EB0D93" w:rsidRDefault="00C84882" w:rsidP="00477D6B">
    <w:pPr>
      <w:jc w:val="right"/>
      <w:rPr>
        <w:caps/>
      </w:rPr>
    </w:pPr>
    <w:bookmarkStart w:id="17" w:name="Code2"/>
    <w:bookmarkEnd w:id="17"/>
    <w:r>
      <w:rPr>
        <w:caps/>
      </w:rPr>
      <w:t>CDIP/31/8</w:t>
    </w:r>
  </w:p>
  <w:p w14:paraId="586D3128" w14:textId="77777777" w:rsidR="00C84882" w:rsidRDefault="00C84882" w:rsidP="00477D6B">
    <w:pPr>
      <w:jc w:val="right"/>
    </w:pPr>
    <w:r>
      <w:t xml:space="preserve">página </w:t>
    </w:r>
    <w:r>
      <w:fldChar w:fldCharType="begin"/>
    </w:r>
    <w:r>
      <w:instrText xml:space="preserve"> PAGE  \* MERGEFORMAT </w:instrText>
    </w:r>
    <w:r>
      <w:fldChar w:fldCharType="separate"/>
    </w:r>
    <w:r>
      <w:t>2</w:t>
    </w:r>
    <w:r>
      <w:fldChar w:fldCharType="end"/>
    </w:r>
  </w:p>
  <w:p w14:paraId="7003B614" w14:textId="77777777" w:rsidR="00C84882" w:rsidRDefault="00C84882" w:rsidP="00477D6B">
    <w:pPr>
      <w:jc w:val="right"/>
    </w:pPr>
  </w:p>
  <w:p w14:paraId="596D0258" w14:textId="77777777" w:rsidR="00C84882" w:rsidRDefault="00C8488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7B35" w14:textId="77777777" w:rsidR="00000001" w:rsidRDefault="000000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87E" w14:textId="77777777" w:rsidR="00C84882" w:rsidRDefault="00C84882" w:rsidP="007545CB">
    <w:pPr>
      <w:pStyle w:val="Header"/>
      <w:jc w:val="right"/>
    </w:pPr>
    <w:r>
      <w:t>CDIP/31/8</w:t>
    </w:r>
  </w:p>
  <w:p w14:paraId="4E9F72DD" w14:textId="4D021CF6" w:rsidR="00C84882" w:rsidRDefault="00C84882" w:rsidP="007545CB">
    <w:pPr>
      <w:pStyle w:val="Header"/>
      <w:jc w:val="right"/>
    </w:pPr>
    <w:r w:rsidRPr="00D35DCB">
      <w:t>Anexo</w:t>
    </w:r>
    <w:r>
      <w:t xml:space="preserve">, página </w:t>
    </w:r>
    <w:r>
      <w:fldChar w:fldCharType="begin"/>
    </w:r>
    <w:r>
      <w:instrText xml:space="preserve"> PAGE  \* Arabic </w:instrText>
    </w:r>
    <w:r>
      <w:fldChar w:fldCharType="separate"/>
    </w:r>
    <w:r w:rsidR="00893B24">
      <w:rPr>
        <w:noProof/>
      </w:rPr>
      <w:t>16</w:t>
    </w:r>
    <w:r>
      <w:fldChar w:fldCharType="end"/>
    </w:r>
  </w:p>
  <w:p w14:paraId="56066C77" w14:textId="77777777" w:rsidR="00C84882" w:rsidRDefault="00C84882" w:rsidP="007545CB">
    <w:pPr>
      <w:pStyle w:val="Header"/>
      <w:jc w:val="right"/>
    </w:pPr>
  </w:p>
  <w:p w14:paraId="4F7BE573" w14:textId="77777777" w:rsidR="00C84882" w:rsidRDefault="00C84882" w:rsidP="007545C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235" w14:textId="77777777" w:rsidR="00C84882" w:rsidRDefault="00C84882" w:rsidP="007545CB">
    <w:pPr>
      <w:pStyle w:val="Header"/>
      <w:jc w:val="right"/>
    </w:pPr>
    <w:r>
      <w:t>CDIP/31/8</w:t>
    </w:r>
  </w:p>
  <w:p w14:paraId="53B963BE" w14:textId="126215A0" w:rsidR="00C84882" w:rsidRDefault="00C84882" w:rsidP="007545CB">
    <w:pPr>
      <w:pStyle w:val="Header"/>
      <w:jc w:val="right"/>
    </w:pPr>
    <w:r>
      <w:t>ANEXO</w:t>
    </w:r>
  </w:p>
  <w:p w14:paraId="0A345DB9" w14:textId="77777777" w:rsidR="00C84882" w:rsidRDefault="00C84882" w:rsidP="007545CB">
    <w:pPr>
      <w:pStyle w:val="Header"/>
      <w:jc w:val="right"/>
    </w:pPr>
  </w:p>
  <w:p w14:paraId="15FC32B0" w14:textId="77777777" w:rsidR="00C84882" w:rsidRDefault="00C84882" w:rsidP="007545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FE1849"/>
    <w:multiLevelType w:val="hybridMultilevel"/>
    <w:tmpl w:val="1A989032"/>
    <w:lvl w:ilvl="0" w:tplc="04090017">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A6D3181"/>
    <w:multiLevelType w:val="hybridMultilevel"/>
    <w:tmpl w:val="8CCA8ADE"/>
    <w:lvl w:ilvl="0" w:tplc="D92270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C60C1"/>
    <w:multiLevelType w:val="hybridMultilevel"/>
    <w:tmpl w:val="3AC4D0D0"/>
    <w:lvl w:ilvl="0" w:tplc="04090017">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3F3FDA"/>
    <w:multiLevelType w:val="multilevel"/>
    <w:tmpl w:val="872E5628"/>
    <w:lvl w:ilvl="0">
      <w:start w:val="1"/>
      <w:numFmt w:val="upperLetter"/>
      <w:lvlText w:val="%1)"/>
      <w:lvlJc w:val="left"/>
      <w:pPr>
        <w:tabs>
          <w:tab w:val="num" w:pos="567"/>
        </w:tabs>
        <w:ind w:left="0" w:firstLine="0"/>
      </w:pPr>
      <w:rPr>
        <w:rFonts w:hint="default"/>
        <w:b w:val="0"/>
        <w:bCs w:val="0"/>
        <w:i w:val="0"/>
      </w:rPr>
    </w:lvl>
    <w:lvl w:ilvl="1">
      <w:start w:val="1"/>
      <w:numFmt w:val="upperLetter"/>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6DA6E950"/>
    <w:lvl w:ilvl="0">
      <w:start w:val="1"/>
      <w:numFmt w:val="decimal"/>
      <w:lvlRestart w:val="0"/>
      <w:pStyle w:val="ONUMFS"/>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8110D1"/>
    <w:multiLevelType w:val="hybridMultilevel"/>
    <w:tmpl w:val="368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5011C"/>
    <w:multiLevelType w:val="hybridMultilevel"/>
    <w:tmpl w:val="7610ACE4"/>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A7567"/>
    <w:multiLevelType w:val="hybridMultilevel"/>
    <w:tmpl w:val="6F2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5560F"/>
    <w:multiLevelType w:val="hybridMultilevel"/>
    <w:tmpl w:val="9B7C53B2"/>
    <w:lvl w:ilvl="0" w:tplc="B63EE4E8">
      <w:start w:val="1"/>
      <w:numFmt w:val="decimal"/>
      <w:lvlText w:val="%1."/>
      <w:lvlJc w:val="left"/>
      <w:pPr>
        <w:ind w:left="720" w:hanging="360"/>
      </w:pPr>
      <w:rPr>
        <w:rFonts w:ascii="Arial" w:hAnsi="Arial"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D49BF"/>
    <w:multiLevelType w:val="multilevel"/>
    <w:tmpl w:val="8902AAB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A605557"/>
    <w:multiLevelType w:val="hybridMultilevel"/>
    <w:tmpl w:val="45F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B2052"/>
    <w:multiLevelType w:val="multilevel"/>
    <w:tmpl w:val="8654C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B0264C"/>
    <w:multiLevelType w:val="hybridMultilevel"/>
    <w:tmpl w:val="6E066BF4"/>
    <w:lvl w:ilvl="0" w:tplc="FFFFFFFF">
      <w:start w:val="1"/>
      <w:numFmt w:val="decimal"/>
      <w:lvlText w:val="%1."/>
      <w:lvlJc w:val="left"/>
      <w:pPr>
        <w:tabs>
          <w:tab w:val="num" w:pos="-57"/>
        </w:tabs>
        <w:ind w:left="964" w:hanging="680"/>
      </w:pPr>
      <w:rPr>
        <w:rFonts w:ascii="Arial" w:hAnsi="Arial" w:cs="Times New Roman" w:hint="default"/>
        <w:b w:val="0"/>
        <w:i w:val="0"/>
        <w:sz w:val="22"/>
        <w:szCs w:val="22"/>
      </w:rPr>
    </w:lvl>
    <w:lvl w:ilvl="1" w:tplc="FFFFFFFF">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58083E"/>
    <w:multiLevelType w:val="multilevel"/>
    <w:tmpl w:val="D6A4F330"/>
    <w:lvl w:ilvl="0">
      <w:start w:val="1"/>
      <w:numFmt w:val="upperLetter"/>
      <w:lvlText w:val="%1)"/>
      <w:lvlJc w:val="left"/>
      <w:pPr>
        <w:tabs>
          <w:tab w:val="num" w:pos="567"/>
        </w:tabs>
        <w:ind w:left="0" w:firstLine="0"/>
      </w:pPr>
      <w:rPr>
        <w:rFonts w:hint="default"/>
        <w:b w:val="0"/>
        <w:bCs w:val="0"/>
        <w:i w:val="0"/>
      </w:rPr>
    </w:lvl>
    <w:lvl w:ilvl="1">
      <w:start w:val="1"/>
      <w:numFmt w:val="upperLetter"/>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41E5259E"/>
    <w:multiLevelType w:val="hybridMultilevel"/>
    <w:tmpl w:val="A838E69C"/>
    <w:lvl w:ilvl="0" w:tplc="04090017">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F476B6"/>
    <w:multiLevelType w:val="hybridMultilevel"/>
    <w:tmpl w:val="53D6BF5C"/>
    <w:lvl w:ilvl="0" w:tplc="04090017">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15:restartNumberingAfterBreak="0">
    <w:nsid w:val="47E152AD"/>
    <w:multiLevelType w:val="hybridMultilevel"/>
    <w:tmpl w:val="BDF86A76"/>
    <w:lvl w:ilvl="0" w:tplc="04090017">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15:restartNumberingAfterBreak="0">
    <w:nsid w:val="49F326D1"/>
    <w:multiLevelType w:val="multilevel"/>
    <w:tmpl w:val="4032339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2136AB"/>
    <w:multiLevelType w:val="hybridMultilevel"/>
    <w:tmpl w:val="F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B18A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9E6A2F"/>
    <w:multiLevelType w:val="hybridMultilevel"/>
    <w:tmpl w:val="C262D43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B86206"/>
    <w:multiLevelType w:val="hybridMultilevel"/>
    <w:tmpl w:val="A63CFD6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16F19"/>
    <w:multiLevelType w:val="hybridMultilevel"/>
    <w:tmpl w:val="6E066BF4"/>
    <w:lvl w:ilvl="0" w:tplc="B63EE4E8">
      <w:start w:val="1"/>
      <w:numFmt w:val="decimal"/>
      <w:lvlText w:val="%1."/>
      <w:lvlJc w:val="left"/>
      <w:pPr>
        <w:tabs>
          <w:tab w:val="num" w:pos="-57"/>
        </w:tabs>
        <w:ind w:left="964" w:hanging="680"/>
      </w:pPr>
      <w:rPr>
        <w:rFonts w:ascii="Arial" w:hAnsi="Arial" w:cs="Times New Roman" w:hint="default"/>
        <w:b w:val="0"/>
        <w:i w:val="0"/>
        <w:sz w:val="22"/>
        <w:szCs w:val="22"/>
      </w:rPr>
    </w:lvl>
    <w:lvl w:ilvl="1" w:tplc="122217C4">
      <w:start w:val="6"/>
      <w:numFmt w:val="bullet"/>
      <w:lvlText w:val="-"/>
      <w:lvlJc w:val="left"/>
      <w:pPr>
        <w:tabs>
          <w:tab w:val="num" w:pos="1440"/>
        </w:tabs>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915F17"/>
    <w:multiLevelType w:val="hybridMultilevel"/>
    <w:tmpl w:val="7DC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73EFE"/>
    <w:multiLevelType w:val="hybridMultilevel"/>
    <w:tmpl w:val="A18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D7FAD"/>
    <w:multiLevelType w:val="hybridMultilevel"/>
    <w:tmpl w:val="C47A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916A5"/>
    <w:multiLevelType w:val="multilevel"/>
    <w:tmpl w:val="B792F026"/>
    <w:lvl w:ilvl="0">
      <w:start w:val="1"/>
      <w:numFmt w:val="upperLetter"/>
      <w:lvlText w:val="%1)"/>
      <w:lvlJc w:val="left"/>
      <w:pPr>
        <w:tabs>
          <w:tab w:val="num" w:pos="567"/>
        </w:tabs>
        <w:ind w:left="0" w:firstLine="0"/>
      </w:pPr>
      <w:rPr>
        <w:rFonts w:hint="default"/>
        <w:b w:val="0"/>
        <w:bCs w:val="0"/>
        <w:i w:val="0"/>
      </w:rPr>
    </w:lvl>
    <w:lvl w:ilvl="1">
      <w:start w:val="1"/>
      <w:numFmt w:val="upperLetter"/>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15:restartNumberingAfterBreak="0">
    <w:nsid w:val="6D867AD8"/>
    <w:multiLevelType w:val="hybridMultilevel"/>
    <w:tmpl w:val="F2C28B0C"/>
    <w:lvl w:ilvl="0" w:tplc="04090017">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3" w15:restartNumberingAfterBreak="0">
    <w:nsid w:val="6F276A76"/>
    <w:multiLevelType w:val="hybridMultilevel"/>
    <w:tmpl w:val="781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12C2B"/>
    <w:multiLevelType w:val="multilevel"/>
    <w:tmpl w:val="4D46D42E"/>
    <w:lvl w:ilvl="0">
      <w:start w:val="1"/>
      <w:numFmt w:val="upperLetter"/>
      <w:lvlText w:val="%1)"/>
      <w:lvlJc w:val="left"/>
      <w:pPr>
        <w:tabs>
          <w:tab w:val="num" w:pos="567"/>
        </w:tabs>
        <w:ind w:left="0" w:firstLine="0"/>
      </w:pPr>
      <w:rPr>
        <w:rFonts w:hint="default"/>
        <w:b w:val="0"/>
        <w:bCs w:val="0"/>
        <w:i w:val="0"/>
      </w:rPr>
    </w:lvl>
    <w:lvl w:ilvl="1">
      <w:start w:val="1"/>
      <w:numFmt w:val="upperLetter"/>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15:restartNumberingAfterBreak="0">
    <w:nsid w:val="76B976D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6" w15:restartNumberingAfterBreak="0">
    <w:nsid w:val="7D3C3971"/>
    <w:multiLevelType w:val="hybridMultilevel"/>
    <w:tmpl w:val="E0B66806"/>
    <w:lvl w:ilvl="0" w:tplc="323C8E5C">
      <w:start w:val="1"/>
      <w:numFmt w:val="upperRoman"/>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620954">
    <w:abstractNumId w:val="5"/>
  </w:num>
  <w:num w:numId="2" w16cid:durableId="1347098589">
    <w:abstractNumId w:val="18"/>
  </w:num>
  <w:num w:numId="3" w16cid:durableId="46882651">
    <w:abstractNumId w:val="0"/>
  </w:num>
  <w:num w:numId="4" w16cid:durableId="1026246856">
    <w:abstractNumId w:val="22"/>
  </w:num>
  <w:num w:numId="5" w16cid:durableId="1572500637">
    <w:abstractNumId w:val="1"/>
  </w:num>
  <w:num w:numId="6" w16cid:durableId="1291084501">
    <w:abstractNumId w:val="7"/>
  </w:num>
  <w:num w:numId="7" w16cid:durableId="1227257954">
    <w:abstractNumId w:val="3"/>
  </w:num>
  <w:num w:numId="8" w16cid:durableId="1495680200">
    <w:abstractNumId w:val="16"/>
  </w:num>
  <w:num w:numId="9" w16cid:durableId="452289950">
    <w:abstractNumId w:val="27"/>
  </w:num>
  <w:num w:numId="10" w16cid:durableId="1402364672">
    <w:abstractNumId w:val="2"/>
  </w:num>
  <w:num w:numId="11" w16cid:durableId="841239787">
    <w:abstractNumId w:val="36"/>
  </w:num>
  <w:num w:numId="12" w16cid:durableId="748500471">
    <w:abstractNumId w:val="12"/>
  </w:num>
  <w:num w:numId="13" w16cid:durableId="784931483">
    <w:abstractNumId w:val="21"/>
  </w:num>
  <w:num w:numId="14" w16cid:durableId="270402168">
    <w:abstractNumId w:val="25"/>
  </w:num>
  <w:num w:numId="15" w16cid:durableId="1753813063">
    <w:abstractNumId w:val="9"/>
  </w:num>
  <w:num w:numId="16" w16cid:durableId="1044326863">
    <w:abstractNumId w:val="26"/>
  </w:num>
  <w:num w:numId="17" w16cid:durableId="787891183">
    <w:abstractNumId w:val="8"/>
  </w:num>
  <w:num w:numId="18" w16cid:durableId="269751187">
    <w:abstractNumId w:val="33"/>
  </w:num>
  <w:num w:numId="19" w16cid:durableId="181937183">
    <w:abstractNumId w:val="23"/>
  </w:num>
  <w:num w:numId="20" w16cid:durableId="1357653885">
    <w:abstractNumId w:val="20"/>
  </w:num>
  <w:num w:numId="21" w16cid:durableId="1145506587">
    <w:abstractNumId w:val="35"/>
  </w:num>
  <w:num w:numId="22" w16cid:durableId="442237082">
    <w:abstractNumId w:val="24"/>
  </w:num>
  <w:num w:numId="23" w16cid:durableId="1767270508">
    <w:abstractNumId w:val="14"/>
  </w:num>
  <w:num w:numId="24" w16cid:durableId="587269358">
    <w:abstractNumId w:val="32"/>
  </w:num>
  <w:num w:numId="25" w16cid:durableId="263223854">
    <w:abstractNumId w:val="15"/>
  </w:num>
  <w:num w:numId="26" w16cid:durableId="856769034">
    <w:abstractNumId w:val="19"/>
  </w:num>
  <w:num w:numId="27" w16cid:durableId="126628503">
    <w:abstractNumId w:val="17"/>
  </w:num>
  <w:num w:numId="28" w16cid:durableId="1149782286">
    <w:abstractNumId w:val="4"/>
  </w:num>
  <w:num w:numId="29" w16cid:durableId="2118138451">
    <w:abstractNumId w:val="10"/>
  </w:num>
  <w:num w:numId="30" w16cid:durableId="1646541455">
    <w:abstractNumId w:val="28"/>
  </w:num>
  <w:num w:numId="31" w16cid:durableId="1940021563">
    <w:abstractNumId w:val="30"/>
  </w:num>
  <w:num w:numId="32" w16cid:durableId="993336226">
    <w:abstractNumId w:val="11"/>
  </w:num>
  <w:num w:numId="33" w16cid:durableId="874389563">
    <w:abstractNumId w:val="13"/>
  </w:num>
  <w:num w:numId="34" w16cid:durableId="1703675927">
    <w:abstractNumId w:val="29"/>
  </w:num>
  <w:num w:numId="35" w16cid:durableId="171645545">
    <w:abstractNumId w:val="6"/>
  </w:num>
  <w:num w:numId="36" w16cid:durableId="617176835">
    <w:abstractNumId w:val="34"/>
  </w:num>
  <w:num w:numId="37" w16cid:durableId="20434342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CB"/>
    <w:rsid w:val="00000001"/>
    <w:rsid w:val="00007515"/>
    <w:rsid w:val="00010686"/>
    <w:rsid w:val="00012C64"/>
    <w:rsid w:val="000163BD"/>
    <w:rsid w:val="00017BEF"/>
    <w:rsid w:val="00023956"/>
    <w:rsid w:val="00032AA7"/>
    <w:rsid w:val="000458D5"/>
    <w:rsid w:val="000463E5"/>
    <w:rsid w:val="00052915"/>
    <w:rsid w:val="000570E5"/>
    <w:rsid w:val="00057FD7"/>
    <w:rsid w:val="000612AB"/>
    <w:rsid w:val="00062BE6"/>
    <w:rsid w:val="00065FBC"/>
    <w:rsid w:val="00071461"/>
    <w:rsid w:val="00072913"/>
    <w:rsid w:val="0008164B"/>
    <w:rsid w:val="00084E35"/>
    <w:rsid w:val="000860D0"/>
    <w:rsid w:val="000943BB"/>
    <w:rsid w:val="000968AD"/>
    <w:rsid w:val="000A2211"/>
    <w:rsid w:val="000A4CC3"/>
    <w:rsid w:val="000A5D7C"/>
    <w:rsid w:val="000A5E0C"/>
    <w:rsid w:val="000A5E94"/>
    <w:rsid w:val="000A75A4"/>
    <w:rsid w:val="000B0A5F"/>
    <w:rsid w:val="000B4B15"/>
    <w:rsid w:val="000B72AC"/>
    <w:rsid w:val="000C071A"/>
    <w:rsid w:val="000D1344"/>
    <w:rsid w:val="000D3348"/>
    <w:rsid w:val="000D341F"/>
    <w:rsid w:val="000D638E"/>
    <w:rsid w:val="000E328E"/>
    <w:rsid w:val="000E329F"/>
    <w:rsid w:val="000E3BB3"/>
    <w:rsid w:val="000F5E56"/>
    <w:rsid w:val="000F7D24"/>
    <w:rsid w:val="00102619"/>
    <w:rsid w:val="00102B81"/>
    <w:rsid w:val="00114A5E"/>
    <w:rsid w:val="0011501E"/>
    <w:rsid w:val="00122967"/>
    <w:rsid w:val="00125305"/>
    <w:rsid w:val="00127F14"/>
    <w:rsid w:val="00133090"/>
    <w:rsid w:val="00135B09"/>
    <w:rsid w:val="001362EE"/>
    <w:rsid w:val="001432CC"/>
    <w:rsid w:val="00143B67"/>
    <w:rsid w:val="00143DED"/>
    <w:rsid w:val="0014529A"/>
    <w:rsid w:val="00150A98"/>
    <w:rsid w:val="00151671"/>
    <w:rsid w:val="0015173C"/>
    <w:rsid w:val="00152CEA"/>
    <w:rsid w:val="0015381A"/>
    <w:rsid w:val="00155E84"/>
    <w:rsid w:val="00157772"/>
    <w:rsid w:val="00160B30"/>
    <w:rsid w:val="0016374B"/>
    <w:rsid w:val="0016601E"/>
    <w:rsid w:val="00166776"/>
    <w:rsid w:val="00180003"/>
    <w:rsid w:val="00181FE3"/>
    <w:rsid w:val="00182D44"/>
    <w:rsid w:val="001832A6"/>
    <w:rsid w:val="00195CA2"/>
    <w:rsid w:val="001A13E2"/>
    <w:rsid w:val="001A1A66"/>
    <w:rsid w:val="001A2766"/>
    <w:rsid w:val="001A5A25"/>
    <w:rsid w:val="001A69C7"/>
    <w:rsid w:val="001B003F"/>
    <w:rsid w:val="001B12FC"/>
    <w:rsid w:val="001B3EF8"/>
    <w:rsid w:val="001B6FAA"/>
    <w:rsid w:val="001C0870"/>
    <w:rsid w:val="001D5117"/>
    <w:rsid w:val="001D5AEF"/>
    <w:rsid w:val="001D6098"/>
    <w:rsid w:val="001E0571"/>
    <w:rsid w:val="001E29A2"/>
    <w:rsid w:val="001E35DF"/>
    <w:rsid w:val="001E576B"/>
    <w:rsid w:val="001E718E"/>
    <w:rsid w:val="001E7FBC"/>
    <w:rsid w:val="001F0E85"/>
    <w:rsid w:val="001F10A9"/>
    <w:rsid w:val="001F5204"/>
    <w:rsid w:val="001F68EA"/>
    <w:rsid w:val="00210986"/>
    <w:rsid w:val="00211270"/>
    <w:rsid w:val="00211537"/>
    <w:rsid w:val="0021465D"/>
    <w:rsid w:val="002215D6"/>
    <w:rsid w:val="00223197"/>
    <w:rsid w:val="00236CF2"/>
    <w:rsid w:val="00236F5F"/>
    <w:rsid w:val="0024052B"/>
    <w:rsid w:val="00241D29"/>
    <w:rsid w:val="00251176"/>
    <w:rsid w:val="00254D36"/>
    <w:rsid w:val="00260077"/>
    <w:rsid w:val="002634C4"/>
    <w:rsid w:val="00264F26"/>
    <w:rsid w:val="002659A6"/>
    <w:rsid w:val="00265D06"/>
    <w:rsid w:val="00272479"/>
    <w:rsid w:val="00275A3E"/>
    <w:rsid w:val="00276D6A"/>
    <w:rsid w:val="00276F19"/>
    <w:rsid w:val="002844CA"/>
    <w:rsid w:val="00287043"/>
    <w:rsid w:val="0029021E"/>
    <w:rsid w:val="002910D0"/>
    <w:rsid w:val="00292AA4"/>
    <w:rsid w:val="002973A6"/>
    <w:rsid w:val="002A120E"/>
    <w:rsid w:val="002A2A06"/>
    <w:rsid w:val="002B34F7"/>
    <w:rsid w:val="002B51BC"/>
    <w:rsid w:val="002C1386"/>
    <w:rsid w:val="002C2E2F"/>
    <w:rsid w:val="002C43F0"/>
    <w:rsid w:val="002C75A5"/>
    <w:rsid w:val="002D23B5"/>
    <w:rsid w:val="002D3949"/>
    <w:rsid w:val="002D4668"/>
    <w:rsid w:val="002E0F47"/>
    <w:rsid w:val="002E469B"/>
    <w:rsid w:val="002E568C"/>
    <w:rsid w:val="002E739D"/>
    <w:rsid w:val="002F436A"/>
    <w:rsid w:val="002F4E68"/>
    <w:rsid w:val="002F507A"/>
    <w:rsid w:val="00302A23"/>
    <w:rsid w:val="00305358"/>
    <w:rsid w:val="00310826"/>
    <w:rsid w:val="00320BE7"/>
    <w:rsid w:val="00321AB4"/>
    <w:rsid w:val="003242F0"/>
    <w:rsid w:val="00327F6D"/>
    <w:rsid w:val="0033588A"/>
    <w:rsid w:val="00336844"/>
    <w:rsid w:val="003376D5"/>
    <w:rsid w:val="0034122A"/>
    <w:rsid w:val="00346180"/>
    <w:rsid w:val="00350FF9"/>
    <w:rsid w:val="00353744"/>
    <w:rsid w:val="00354647"/>
    <w:rsid w:val="00362FE7"/>
    <w:rsid w:val="00363346"/>
    <w:rsid w:val="003645DB"/>
    <w:rsid w:val="00365260"/>
    <w:rsid w:val="00365480"/>
    <w:rsid w:val="003664F5"/>
    <w:rsid w:val="003709A6"/>
    <w:rsid w:val="00373865"/>
    <w:rsid w:val="00375DCE"/>
    <w:rsid w:val="00376D52"/>
    <w:rsid w:val="00377273"/>
    <w:rsid w:val="00381C68"/>
    <w:rsid w:val="00381E05"/>
    <w:rsid w:val="003845C1"/>
    <w:rsid w:val="00385F52"/>
    <w:rsid w:val="00387287"/>
    <w:rsid w:val="00391C7E"/>
    <w:rsid w:val="003935BF"/>
    <w:rsid w:val="003959D1"/>
    <w:rsid w:val="003A038A"/>
    <w:rsid w:val="003A1FB0"/>
    <w:rsid w:val="003A3773"/>
    <w:rsid w:val="003A38E7"/>
    <w:rsid w:val="003A5FA4"/>
    <w:rsid w:val="003B03B9"/>
    <w:rsid w:val="003B1066"/>
    <w:rsid w:val="003B1883"/>
    <w:rsid w:val="003B3F8F"/>
    <w:rsid w:val="003B4A58"/>
    <w:rsid w:val="003B51BF"/>
    <w:rsid w:val="003B596B"/>
    <w:rsid w:val="003B6294"/>
    <w:rsid w:val="003B67F3"/>
    <w:rsid w:val="003C18AA"/>
    <w:rsid w:val="003C375C"/>
    <w:rsid w:val="003C4596"/>
    <w:rsid w:val="003C53D6"/>
    <w:rsid w:val="003C56D0"/>
    <w:rsid w:val="003C5901"/>
    <w:rsid w:val="003D1533"/>
    <w:rsid w:val="003D183B"/>
    <w:rsid w:val="003D2AD7"/>
    <w:rsid w:val="003D437A"/>
    <w:rsid w:val="003D51FA"/>
    <w:rsid w:val="003E48F1"/>
    <w:rsid w:val="003E6AEB"/>
    <w:rsid w:val="003E7F97"/>
    <w:rsid w:val="003F347A"/>
    <w:rsid w:val="003F5DB2"/>
    <w:rsid w:val="00402B19"/>
    <w:rsid w:val="00403877"/>
    <w:rsid w:val="0041478F"/>
    <w:rsid w:val="0041749A"/>
    <w:rsid w:val="004179F4"/>
    <w:rsid w:val="00423E3E"/>
    <w:rsid w:val="00424C9E"/>
    <w:rsid w:val="0042503C"/>
    <w:rsid w:val="00425A0C"/>
    <w:rsid w:val="0042692B"/>
    <w:rsid w:val="00427AF4"/>
    <w:rsid w:val="00427CBD"/>
    <w:rsid w:val="00430CAD"/>
    <w:rsid w:val="0043517F"/>
    <w:rsid w:val="004354B5"/>
    <w:rsid w:val="00435DF8"/>
    <w:rsid w:val="00437858"/>
    <w:rsid w:val="00450730"/>
    <w:rsid w:val="004522CA"/>
    <w:rsid w:val="004522DE"/>
    <w:rsid w:val="0045231F"/>
    <w:rsid w:val="0045271A"/>
    <w:rsid w:val="004537C5"/>
    <w:rsid w:val="0046398B"/>
    <w:rsid w:val="00463F2D"/>
    <w:rsid w:val="004647DA"/>
    <w:rsid w:val="0046793F"/>
    <w:rsid w:val="00467EFC"/>
    <w:rsid w:val="00470991"/>
    <w:rsid w:val="00472A6E"/>
    <w:rsid w:val="00473930"/>
    <w:rsid w:val="00477808"/>
    <w:rsid w:val="00477D6B"/>
    <w:rsid w:val="00480747"/>
    <w:rsid w:val="0048090C"/>
    <w:rsid w:val="00484F62"/>
    <w:rsid w:val="00486B44"/>
    <w:rsid w:val="004879C7"/>
    <w:rsid w:val="00493369"/>
    <w:rsid w:val="00494729"/>
    <w:rsid w:val="00494BFA"/>
    <w:rsid w:val="00497CC8"/>
    <w:rsid w:val="004A32C3"/>
    <w:rsid w:val="004A40EB"/>
    <w:rsid w:val="004A6C37"/>
    <w:rsid w:val="004A74E3"/>
    <w:rsid w:val="004B1064"/>
    <w:rsid w:val="004B4DC2"/>
    <w:rsid w:val="004C0547"/>
    <w:rsid w:val="004C10EC"/>
    <w:rsid w:val="004C1EA0"/>
    <w:rsid w:val="004C211A"/>
    <w:rsid w:val="004D05DD"/>
    <w:rsid w:val="004D3B9D"/>
    <w:rsid w:val="004E297D"/>
    <w:rsid w:val="004E2EA1"/>
    <w:rsid w:val="004F09D8"/>
    <w:rsid w:val="00500DEB"/>
    <w:rsid w:val="00501992"/>
    <w:rsid w:val="00504EF7"/>
    <w:rsid w:val="00512644"/>
    <w:rsid w:val="00513281"/>
    <w:rsid w:val="0051597C"/>
    <w:rsid w:val="00516FE1"/>
    <w:rsid w:val="00521FDF"/>
    <w:rsid w:val="00522031"/>
    <w:rsid w:val="00524EA5"/>
    <w:rsid w:val="00525E19"/>
    <w:rsid w:val="00531B02"/>
    <w:rsid w:val="0053257D"/>
    <w:rsid w:val="005332F0"/>
    <w:rsid w:val="00536823"/>
    <w:rsid w:val="00542B36"/>
    <w:rsid w:val="00542E60"/>
    <w:rsid w:val="00544E73"/>
    <w:rsid w:val="00544EC9"/>
    <w:rsid w:val="0055013A"/>
    <w:rsid w:val="0055013B"/>
    <w:rsid w:val="005538FC"/>
    <w:rsid w:val="005543E9"/>
    <w:rsid w:val="00554C6B"/>
    <w:rsid w:val="00556824"/>
    <w:rsid w:val="00556B4E"/>
    <w:rsid w:val="00560CA1"/>
    <w:rsid w:val="00564C24"/>
    <w:rsid w:val="0056581D"/>
    <w:rsid w:val="00567A11"/>
    <w:rsid w:val="00571B99"/>
    <w:rsid w:val="00575EC3"/>
    <w:rsid w:val="00580A1A"/>
    <w:rsid w:val="00581E1A"/>
    <w:rsid w:val="0058720D"/>
    <w:rsid w:val="00591AF6"/>
    <w:rsid w:val="005925F2"/>
    <w:rsid w:val="005A19B9"/>
    <w:rsid w:val="005A309B"/>
    <w:rsid w:val="005A36E8"/>
    <w:rsid w:val="005A45E7"/>
    <w:rsid w:val="005A5EB3"/>
    <w:rsid w:val="005B0739"/>
    <w:rsid w:val="005B2441"/>
    <w:rsid w:val="005B2EAE"/>
    <w:rsid w:val="005B38C2"/>
    <w:rsid w:val="005B3DCC"/>
    <w:rsid w:val="005B3DDF"/>
    <w:rsid w:val="005B4E77"/>
    <w:rsid w:val="005B65C7"/>
    <w:rsid w:val="005C0AC3"/>
    <w:rsid w:val="005C3D07"/>
    <w:rsid w:val="005C43FB"/>
    <w:rsid w:val="005C546E"/>
    <w:rsid w:val="005C5593"/>
    <w:rsid w:val="005C789D"/>
    <w:rsid w:val="005C7A3F"/>
    <w:rsid w:val="005D01B7"/>
    <w:rsid w:val="005D03C0"/>
    <w:rsid w:val="005D3B89"/>
    <w:rsid w:val="005D675A"/>
    <w:rsid w:val="005D68FD"/>
    <w:rsid w:val="005E0406"/>
    <w:rsid w:val="005F096F"/>
    <w:rsid w:val="005F15CF"/>
    <w:rsid w:val="005F1F1C"/>
    <w:rsid w:val="005F3082"/>
    <w:rsid w:val="005F4B74"/>
    <w:rsid w:val="005F6064"/>
    <w:rsid w:val="005F6DCC"/>
    <w:rsid w:val="00600596"/>
    <w:rsid w:val="006040FC"/>
    <w:rsid w:val="00605827"/>
    <w:rsid w:val="00610DF2"/>
    <w:rsid w:val="00611B95"/>
    <w:rsid w:val="00614DED"/>
    <w:rsid w:val="0061681A"/>
    <w:rsid w:val="00620674"/>
    <w:rsid w:val="00623C14"/>
    <w:rsid w:val="00623EF5"/>
    <w:rsid w:val="00630BBD"/>
    <w:rsid w:val="006311AD"/>
    <w:rsid w:val="00631A84"/>
    <w:rsid w:val="0063224C"/>
    <w:rsid w:val="00635DFF"/>
    <w:rsid w:val="00636200"/>
    <w:rsid w:val="00641730"/>
    <w:rsid w:val="00641AB0"/>
    <w:rsid w:val="00641CC5"/>
    <w:rsid w:val="00641DA5"/>
    <w:rsid w:val="00642A4B"/>
    <w:rsid w:val="0064370B"/>
    <w:rsid w:val="00644E11"/>
    <w:rsid w:val="0064517F"/>
    <w:rsid w:val="00645999"/>
    <w:rsid w:val="00647400"/>
    <w:rsid w:val="0065102E"/>
    <w:rsid w:val="00651E85"/>
    <w:rsid w:val="006521BE"/>
    <w:rsid w:val="00653B98"/>
    <w:rsid w:val="00654CAD"/>
    <w:rsid w:val="006576AD"/>
    <w:rsid w:val="006614E5"/>
    <w:rsid w:val="006615EE"/>
    <w:rsid w:val="006616BA"/>
    <w:rsid w:val="00666285"/>
    <w:rsid w:val="00672E17"/>
    <w:rsid w:val="00674851"/>
    <w:rsid w:val="0067493F"/>
    <w:rsid w:val="00675021"/>
    <w:rsid w:val="00681213"/>
    <w:rsid w:val="00681C82"/>
    <w:rsid w:val="006876BE"/>
    <w:rsid w:val="00691252"/>
    <w:rsid w:val="0069372E"/>
    <w:rsid w:val="00693B56"/>
    <w:rsid w:val="006A06C6"/>
    <w:rsid w:val="006A1A26"/>
    <w:rsid w:val="006A4EC8"/>
    <w:rsid w:val="006B1E04"/>
    <w:rsid w:val="006B259B"/>
    <w:rsid w:val="006C0379"/>
    <w:rsid w:val="006C7BCE"/>
    <w:rsid w:val="006D15AC"/>
    <w:rsid w:val="006D61DD"/>
    <w:rsid w:val="006E4500"/>
    <w:rsid w:val="006E4D30"/>
    <w:rsid w:val="006E5E94"/>
    <w:rsid w:val="006E7006"/>
    <w:rsid w:val="006E77D5"/>
    <w:rsid w:val="00700197"/>
    <w:rsid w:val="00700F2F"/>
    <w:rsid w:val="0070633B"/>
    <w:rsid w:val="007071B9"/>
    <w:rsid w:val="0071578E"/>
    <w:rsid w:val="007173FF"/>
    <w:rsid w:val="0071777D"/>
    <w:rsid w:val="007224C8"/>
    <w:rsid w:val="00726F61"/>
    <w:rsid w:val="00727024"/>
    <w:rsid w:val="00727DBD"/>
    <w:rsid w:val="0073484A"/>
    <w:rsid w:val="00734F86"/>
    <w:rsid w:val="00735825"/>
    <w:rsid w:val="00742D50"/>
    <w:rsid w:val="00744B70"/>
    <w:rsid w:val="00744E51"/>
    <w:rsid w:val="0074763C"/>
    <w:rsid w:val="00750F53"/>
    <w:rsid w:val="00752FF6"/>
    <w:rsid w:val="007545CB"/>
    <w:rsid w:val="0075592A"/>
    <w:rsid w:val="007572C7"/>
    <w:rsid w:val="0076058F"/>
    <w:rsid w:val="00762AC6"/>
    <w:rsid w:val="007726E6"/>
    <w:rsid w:val="00772E46"/>
    <w:rsid w:val="00773C21"/>
    <w:rsid w:val="00774223"/>
    <w:rsid w:val="00774226"/>
    <w:rsid w:val="007809C6"/>
    <w:rsid w:val="0078364F"/>
    <w:rsid w:val="00784172"/>
    <w:rsid w:val="007860C9"/>
    <w:rsid w:val="0079020B"/>
    <w:rsid w:val="007911B9"/>
    <w:rsid w:val="00794BE2"/>
    <w:rsid w:val="00794E1C"/>
    <w:rsid w:val="00795165"/>
    <w:rsid w:val="00796AB2"/>
    <w:rsid w:val="007A0228"/>
    <w:rsid w:val="007A1152"/>
    <w:rsid w:val="007A16DA"/>
    <w:rsid w:val="007A2F66"/>
    <w:rsid w:val="007A5581"/>
    <w:rsid w:val="007B1E3D"/>
    <w:rsid w:val="007B3818"/>
    <w:rsid w:val="007B4EA5"/>
    <w:rsid w:val="007B71FE"/>
    <w:rsid w:val="007C1604"/>
    <w:rsid w:val="007C3FB6"/>
    <w:rsid w:val="007D0B60"/>
    <w:rsid w:val="007D38B4"/>
    <w:rsid w:val="007D3AEE"/>
    <w:rsid w:val="007D3BC6"/>
    <w:rsid w:val="007D4621"/>
    <w:rsid w:val="007D6848"/>
    <w:rsid w:val="007D781E"/>
    <w:rsid w:val="007E0623"/>
    <w:rsid w:val="007E237A"/>
    <w:rsid w:val="007E2DD5"/>
    <w:rsid w:val="007E663E"/>
    <w:rsid w:val="007E6ADE"/>
    <w:rsid w:val="007F4542"/>
    <w:rsid w:val="007F64FE"/>
    <w:rsid w:val="00802F58"/>
    <w:rsid w:val="00804F37"/>
    <w:rsid w:val="00805295"/>
    <w:rsid w:val="00806C7B"/>
    <w:rsid w:val="00811D26"/>
    <w:rsid w:val="008124C7"/>
    <w:rsid w:val="00814F96"/>
    <w:rsid w:val="00815082"/>
    <w:rsid w:val="008175D7"/>
    <w:rsid w:val="0082207B"/>
    <w:rsid w:val="00823177"/>
    <w:rsid w:val="008241E5"/>
    <w:rsid w:val="00830789"/>
    <w:rsid w:val="00837E85"/>
    <w:rsid w:val="0084161E"/>
    <w:rsid w:val="00842E54"/>
    <w:rsid w:val="008461CE"/>
    <w:rsid w:val="00847498"/>
    <w:rsid w:val="0085110D"/>
    <w:rsid w:val="00866B22"/>
    <w:rsid w:val="008709B6"/>
    <w:rsid w:val="00870E26"/>
    <w:rsid w:val="00876D65"/>
    <w:rsid w:val="00877161"/>
    <w:rsid w:val="00877688"/>
    <w:rsid w:val="00880AEE"/>
    <w:rsid w:val="00882D29"/>
    <w:rsid w:val="0088395E"/>
    <w:rsid w:val="00892D8C"/>
    <w:rsid w:val="00893B24"/>
    <w:rsid w:val="00894A98"/>
    <w:rsid w:val="008957FA"/>
    <w:rsid w:val="008A0695"/>
    <w:rsid w:val="008A0F23"/>
    <w:rsid w:val="008A1FF5"/>
    <w:rsid w:val="008A2795"/>
    <w:rsid w:val="008A31C9"/>
    <w:rsid w:val="008B2CC1"/>
    <w:rsid w:val="008B2D40"/>
    <w:rsid w:val="008B2E67"/>
    <w:rsid w:val="008B7BC0"/>
    <w:rsid w:val="008C6B2A"/>
    <w:rsid w:val="008C764F"/>
    <w:rsid w:val="008D08F0"/>
    <w:rsid w:val="008D2BC7"/>
    <w:rsid w:val="008D5C8C"/>
    <w:rsid w:val="008E322F"/>
    <w:rsid w:val="008E34DE"/>
    <w:rsid w:val="008E6BD6"/>
    <w:rsid w:val="008F0D76"/>
    <w:rsid w:val="008F189B"/>
    <w:rsid w:val="008F39E9"/>
    <w:rsid w:val="008F5B44"/>
    <w:rsid w:val="009002A5"/>
    <w:rsid w:val="009012CE"/>
    <w:rsid w:val="00902780"/>
    <w:rsid w:val="00906C30"/>
    <w:rsid w:val="0090731E"/>
    <w:rsid w:val="009079A2"/>
    <w:rsid w:val="00910849"/>
    <w:rsid w:val="00917824"/>
    <w:rsid w:val="00917EDA"/>
    <w:rsid w:val="00923C8B"/>
    <w:rsid w:val="00924034"/>
    <w:rsid w:val="00924B15"/>
    <w:rsid w:val="00925288"/>
    <w:rsid w:val="00925EB3"/>
    <w:rsid w:val="00927C33"/>
    <w:rsid w:val="00934814"/>
    <w:rsid w:val="00935570"/>
    <w:rsid w:val="009531B9"/>
    <w:rsid w:val="00963D63"/>
    <w:rsid w:val="009647A7"/>
    <w:rsid w:val="00966A22"/>
    <w:rsid w:val="00966BC4"/>
    <w:rsid w:val="00972F03"/>
    <w:rsid w:val="00973193"/>
    <w:rsid w:val="0097362A"/>
    <w:rsid w:val="009744CB"/>
    <w:rsid w:val="00976FD3"/>
    <w:rsid w:val="0098367F"/>
    <w:rsid w:val="00984AF1"/>
    <w:rsid w:val="0099206C"/>
    <w:rsid w:val="00994110"/>
    <w:rsid w:val="00996E78"/>
    <w:rsid w:val="009A0C8B"/>
    <w:rsid w:val="009A20CD"/>
    <w:rsid w:val="009B0308"/>
    <w:rsid w:val="009B0833"/>
    <w:rsid w:val="009B0DD9"/>
    <w:rsid w:val="009B418F"/>
    <w:rsid w:val="009B4224"/>
    <w:rsid w:val="009B6241"/>
    <w:rsid w:val="009B7F73"/>
    <w:rsid w:val="009C0834"/>
    <w:rsid w:val="009C0927"/>
    <w:rsid w:val="009C1372"/>
    <w:rsid w:val="009C243E"/>
    <w:rsid w:val="009C7B45"/>
    <w:rsid w:val="009D1640"/>
    <w:rsid w:val="009D2264"/>
    <w:rsid w:val="009D62D7"/>
    <w:rsid w:val="009E1B72"/>
    <w:rsid w:val="009E3DE4"/>
    <w:rsid w:val="009E74AE"/>
    <w:rsid w:val="009E76FE"/>
    <w:rsid w:val="009F0BD5"/>
    <w:rsid w:val="009F11EB"/>
    <w:rsid w:val="009F2A6D"/>
    <w:rsid w:val="009F5ABC"/>
    <w:rsid w:val="009F7F50"/>
    <w:rsid w:val="00A03723"/>
    <w:rsid w:val="00A03CFC"/>
    <w:rsid w:val="00A05A23"/>
    <w:rsid w:val="00A069A3"/>
    <w:rsid w:val="00A120CF"/>
    <w:rsid w:val="00A145B2"/>
    <w:rsid w:val="00A16FC0"/>
    <w:rsid w:val="00A21F62"/>
    <w:rsid w:val="00A234F4"/>
    <w:rsid w:val="00A25F56"/>
    <w:rsid w:val="00A317A3"/>
    <w:rsid w:val="00A32C9E"/>
    <w:rsid w:val="00A34EF8"/>
    <w:rsid w:val="00A40163"/>
    <w:rsid w:val="00A44BC4"/>
    <w:rsid w:val="00A45683"/>
    <w:rsid w:val="00A51A4E"/>
    <w:rsid w:val="00A5377C"/>
    <w:rsid w:val="00A539B1"/>
    <w:rsid w:val="00A559D9"/>
    <w:rsid w:val="00A57303"/>
    <w:rsid w:val="00A62EC6"/>
    <w:rsid w:val="00A7087E"/>
    <w:rsid w:val="00A70B6F"/>
    <w:rsid w:val="00A720BF"/>
    <w:rsid w:val="00A73D46"/>
    <w:rsid w:val="00A752F4"/>
    <w:rsid w:val="00A75BA3"/>
    <w:rsid w:val="00A7633F"/>
    <w:rsid w:val="00A768EF"/>
    <w:rsid w:val="00A77A7C"/>
    <w:rsid w:val="00A80E25"/>
    <w:rsid w:val="00A822FB"/>
    <w:rsid w:val="00A87C10"/>
    <w:rsid w:val="00A92660"/>
    <w:rsid w:val="00AA002B"/>
    <w:rsid w:val="00AA28C2"/>
    <w:rsid w:val="00AA5F8D"/>
    <w:rsid w:val="00AA6C62"/>
    <w:rsid w:val="00AA7392"/>
    <w:rsid w:val="00AA742D"/>
    <w:rsid w:val="00AA769E"/>
    <w:rsid w:val="00AA78A9"/>
    <w:rsid w:val="00AB0E26"/>
    <w:rsid w:val="00AB2448"/>
    <w:rsid w:val="00AB4E21"/>
    <w:rsid w:val="00AB613D"/>
    <w:rsid w:val="00AC03E3"/>
    <w:rsid w:val="00AC1E2C"/>
    <w:rsid w:val="00AC6DE9"/>
    <w:rsid w:val="00AC7334"/>
    <w:rsid w:val="00AD09BE"/>
    <w:rsid w:val="00AD1018"/>
    <w:rsid w:val="00AD1726"/>
    <w:rsid w:val="00AD451B"/>
    <w:rsid w:val="00AD716B"/>
    <w:rsid w:val="00AE0E4D"/>
    <w:rsid w:val="00AE5493"/>
    <w:rsid w:val="00AE7F20"/>
    <w:rsid w:val="00AF49F4"/>
    <w:rsid w:val="00AF6192"/>
    <w:rsid w:val="00B05841"/>
    <w:rsid w:val="00B05FB1"/>
    <w:rsid w:val="00B0784A"/>
    <w:rsid w:val="00B10E8F"/>
    <w:rsid w:val="00B10ECF"/>
    <w:rsid w:val="00B11311"/>
    <w:rsid w:val="00B12EA8"/>
    <w:rsid w:val="00B14CF9"/>
    <w:rsid w:val="00B15843"/>
    <w:rsid w:val="00B2393B"/>
    <w:rsid w:val="00B23FE0"/>
    <w:rsid w:val="00B264F3"/>
    <w:rsid w:val="00B3171B"/>
    <w:rsid w:val="00B33495"/>
    <w:rsid w:val="00B364C6"/>
    <w:rsid w:val="00B45652"/>
    <w:rsid w:val="00B46BE9"/>
    <w:rsid w:val="00B4778D"/>
    <w:rsid w:val="00B5269B"/>
    <w:rsid w:val="00B534D5"/>
    <w:rsid w:val="00B54B7C"/>
    <w:rsid w:val="00B63C5E"/>
    <w:rsid w:val="00B64108"/>
    <w:rsid w:val="00B65A0A"/>
    <w:rsid w:val="00B66A86"/>
    <w:rsid w:val="00B67CDC"/>
    <w:rsid w:val="00B7244D"/>
    <w:rsid w:val="00B72D36"/>
    <w:rsid w:val="00B773FE"/>
    <w:rsid w:val="00B77A67"/>
    <w:rsid w:val="00B80738"/>
    <w:rsid w:val="00B83B8A"/>
    <w:rsid w:val="00B87FC6"/>
    <w:rsid w:val="00B9007C"/>
    <w:rsid w:val="00B94C96"/>
    <w:rsid w:val="00B96E75"/>
    <w:rsid w:val="00B97262"/>
    <w:rsid w:val="00BA2C3A"/>
    <w:rsid w:val="00BA7FEE"/>
    <w:rsid w:val="00BB0586"/>
    <w:rsid w:val="00BB0D70"/>
    <w:rsid w:val="00BB17F3"/>
    <w:rsid w:val="00BB429A"/>
    <w:rsid w:val="00BB4B04"/>
    <w:rsid w:val="00BC1059"/>
    <w:rsid w:val="00BC122D"/>
    <w:rsid w:val="00BC4164"/>
    <w:rsid w:val="00BC4667"/>
    <w:rsid w:val="00BC4D6E"/>
    <w:rsid w:val="00BC70F6"/>
    <w:rsid w:val="00BC71E5"/>
    <w:rsid w:val="00BD0507"/>
    <w:rsid w:val="00BD11A9"/>
    <w:rsid w:val="00BD2DCC"/>
    <w:rsid w:val="00BD468C"/>
    <w:rsid w:val="00BD4D48"/>
    <w:rsid w:val="00BD66B0"/>
    <w:rsid w:val="00BD7E3D"/>
    <w:rsid w:val="00BE1156"/>
    <w:rsid w:val="00BE1CDF"/>
    <w:rsid w:val="00BE2032"/>
    <w:rsid w:val="00BF1623"/>
    <w:rsid w:val="00BF575F"/>
    <w:rsid w:val="00BF5A8E"/>
    <w:rsid w:val="00C004DB"/>
    <w:rsid w:val="00C00DF7"/>
    <w:rsid w:val="00C059C2"/>
    <w:rsid w:val="00C0667E"/>
    <w:rsid w:val="00C0685B"/>
    <w:rsid w:val="00C10B87"/>
    <w:rsid w:val="00C128D6"/>
    <w:rsid w:val="00C159F9"/>
    <w:rsid w:val="00C168EA"/>
    <w:rsid w:val="00C16DD2"/>
    <w:rsid w:val="00C17543"/>
    <w:rsid w:val="00C17724"/>
    <w:rsid w:val="00C179E6"/>
    <w:rsid w:val="00C25F65"/>
    <w:rsid w:val="00C261F2"/>
    <w:rsid w:val="00C31D00"/>
    <w:rsid w:val="00C330A0"/>
    <w:rsid w:val="00C379B5"/>
    <w:rsid w:val="00C37B97"/>
    <w:rsid w:val="00C40AFF"/>
    <w:rsid w:val="00C42F1B"/>
    <w:rsid w:val="00C45557"/>
    <w:rsid w:val="00C47A31"/>
    <w:rsid w:val="00C62BE6"/>
    <w:rsid w:val="00C64FC9"/>
    <w:rsid w:val="00C67541"/>
    <w:rsid w:val="00C70C51"/>
    <w:rsid w:val="00C71600"/>
    <w:rsid w:val="00C76D73"/>
    <w:rsid w:val="00C76F5F"/>
    <w:rsid w:val="00C80287"/>
    <w:rsid w:val="00C8372B"/>
    <w:rsid w:val="00C84882"/>
    <w:rsid w:val="00C848C6"/>
    <w:rsid w:val="00C903CF"/>
    <w:rsid w:val="00C9044A"/>
    <w:rsid w:val="00C90559"/>
    <w:rsid w:val="00C97E17"/>
    <w:rsid w:val="00CA0500"/>
    <w:rsid w:val="00CA110A"/>
    <w:rsid w:val="00CA2251"/>
    <w:rsid w:val="00CA281C"/>
    <w:rsid w:val="00CA29E6"/>
    <w:rsid w:val="00CA6410"/>
    <w:rsid w:val="00CA641B"/>
    <w:rsid w:val="00CA7346"/>
    <w:rsid w:val="00CA75B4"/>
    <w:rsid w:val="00CB1751"/>
    <w:rsid w:val="00CB1933"/>
    <w:rsid w:val="00CB243C"/>
    <w:rsid w:val="00CB3A2A"/>
    <w:rsid w:val="00CB4C45"/>
    <w:rsid w:val="00CB65B5"/>
    <w:rsid w:val="00CB70B6"/>
    <w:rsid w:val="00CB7B98"/>
    <w:rsid w:val="00CC1A08"/>
    <w:rsid w:val="00CC6C05"/>
    <w:rsid w:val="00CD0CFA"/>
    <w:rsid w:val="00CD35E1"/>
    <w:rsid w:val="00CD452D"/>
    <w:rsid w:val="00CD5EFB"/>
    <w:rsid w:val="00CD7464"/>
    <w:rsid w:val="00CE137E"/>
    <w:rsid w:val="00CE4D2A"/>
    <w:rsid w:val="00CE728F"/>
    <w:rsid w:val="00CF09A0"/>
    <w:rsid w:val="00CF16AB"/>
    <w:rsid w:val="00CF250D"/>
    <w:rsid w:val="00CF493B"/>
    <w:rsid w:val="00CF6162"/>
    <w:rsid w:val="00CF6CD3"/>
    <w:rsid w:val="00CF71E6"/>
    <w:rsid w:val="00D006AA"/>
    <w:rsid w:val="00D0089F"/>
    <w:rsid w:val="00D00ED3"/>
    <w:rsid w:val="00D0455B"/>
    <w:rsid w:val="00D04EB8"/>
    <w:rsid w:val="00D073E7"/>
    <w:rsid w:val="00D07EE1"/>
    <w:rsid w:val="00D10C24"/>
    <w:rsid w:val="00D135C7"/>
    <w:rsid w:val="00D22E7B"/>
    <w:rsid w:val="00D30774"/>
    <w:rsid w:val="00D359C7"/>
    <w:rsid w:val="00D35DCB"/>
    <w:rsid w:val="00D43ABE"/>
    <w:rsid w:val="00D44F7C"/>
    <w:rsid w:val="00D454B5"/>
    <w:rsid w:val="00D472D7"/>
    <w:rsid w:val="00D477C6"/>
    <w:rsid w:val="00D5481E"/>
    <w:rsid w:val="00D56C7C"/>
    <w:rsid w:val="00D609D1"/>
    <w:rsid w:val="00D67964"/>
    <w:rsid w:val="00D70FB7"/>
    <w:rsid w:val="00D71B4D"/>
    <w:rsid w:val="00D72CBC"/>
    <w:rsid w:val="00D74D3A"/>
    <w:rsid w:val="00D75703"/>
    <w:rsid w:val="00D76844"/>
    <w:rsid w:val="00D8453E"/>
    <w:rsid w:val="00D8608C"/>
    <w:rsid w:val="00D9020A"/>
    <w:rsid w:val="00D90289"/>
    <w:rsid w:val="00D93D55"/>
    <w:rsid w:val="00D96089"/>
    <w:rsid w:val="00D96BF9"/>
    <w:rsid w:val="00DA5B73"/>
    <w:rsid w:val="00DA6664"/>
    <w:rsid w:val="00DA6CD1"/>
    <w:rsid w:val="00DB2F51"/>
    <w:rsid w:val="00DB54DE"/>
    <w:rsid w:val="00DC128A"/>
    <w:rsid w:val="00DC1759"/>
    <w:rsid w:val="00DC38CD"/>
    <w:rsid w:val="00DC4C60"/>
    <w:rsid w:val="00DD16D4"/>
    <w:rsid w:val="00DD4D98"/>
    <w:rsid w:val="00DD51E8"/>
    <w:rsid w:val="00DD6CF4"/>
    <w:rsid w:val="00DE32FE"/>
    <w:rsid w:val="00DE431B"/>
    <w:rsid w:val="00DE472B"/>
    <w:rsid w:val="00DF13F9"/>
    <w:rsid w:val="00DF245D"/>
    <w:rsid w:val="00DF342C"/>
    <w:rsid w:val="00DF3E58"/>
    <w:rsid w:val="00DF6455"/>
    <w:rsid w:val="00E0051F"/>
    <w:rsid w:val="00E0079A"/>
    <w:rsid w:val="00E01DF5"/>
    <w:rsid w:val="00E06FDF"/>
    <w:rsid w:val="00E07279"/>
    <w:rsid w:val="00E07DF3"/>
    <w:rsid w:val="00E1118F"/>
    <w:rsid w:val="00E15C45"/>
    <w:rsid w:val="00E23CC8"/>
    <w:rsid w:val="00E275C3"/>
    <w:rsid w:val="00E309AE"/>
    <w:rsid w:val="00E30B2C"/>
    <w:rsid w:val="00E31D97"/>
    <w:rsid w:val="00E43419"/>
    <w:rsid w:val="00E437DD"/>
    <w:rsid w:val="00E444DA"/>
    <w:rsid w:val="00E45C84"/>
    <w:rsid w:val="00E50159"/>
    <w:rsid w:val="00E504E5"/>
    <w:rsid w:val="00E50696"/>
    <w:rsid w:val="00E50CC1"/>
    <w:rsid w:val="00E5640B"/>
    <w:rsid w:val="00E63E48"/>
    <w:rsid w:val="00E649DA"/>
    <w:rsid w:val="00E668E7"/>
    <w:rsid w:val="00E70652"/>
    <w:rsid w:val="00E73065"/>
    <w:rsid w:val="00E743C6"/>
    <w:rsid w:val="00E76920"/>
    <w:rsid w:val="00E84656"/>
    <w:rsid w:val="00E85E2C"/>
    <w:rsid w:val="00E874AA"/>
    <w:rsid w:val="00E945B4"/>
    <w:rsid w:val="00E96B23"/>
    <w:rsid w:val="00EA24C7"/>
    <w:rsid w:val="00EA43AB"/>
    <w:rsid w:val="00EA6FEC"/>
    <w:rsid w:val="00EB0D93"/>
    <w:rsid w:val="00EB103E"/>
    <w:rsid w:val="00EB54AE"/>
    <w:rsid w:val="00EB6A42"/>
    <w:rsid w:val="00EB7A3E"/>
    <w:rsid w:val="00EC1AA7"/>
    <w:rsid w:val="00EC257A"/>
    <w:rsid w:val="00EC2FE8"/>
    <w:rsid w:val="00EC401A"/>
    <w:rsid w:val="00EC74DE"/>
    <w:rsid w:val="00ED05A0"/>
    <w:rsid w:val="00ED16BF"/>
    <w:rsid w:val="00ED1E6B"/>
    <w:rsid w:val="00ED2141"/>
    <w:rsid w:val="00ED5BA7"/>
    <w:rsid w:val="00EE2FCD"/>
    <w:rsid w:val="00EE3727"/>
    <w:rsid w:val="00EE3C30"/>
    <w:rsid w:val="00EF0A08"/>
    <w:rsid w:val="00EF530A"/>
    <w:rsid w:val="00EF633F"/>
    <w:rsid w:val="00EF6622"/>
    <w:rsid w:val="00EF69C3"/>
    <w:rsid w:val="00EF702C"/>
    <w:rsid w:val="00EF78A9"/>
    <w:rsid w:val="00F00680"/>
    <w:rsid w:val="00F01693"/>
    <w:rsid w:val="00F02F2B"/>
    <w:rsid w:val="00F03444"/>
    <w:rsid w:val="00F03776"/>
    <w:rsid w:val="00F046A9"/>
    <w:rsid w:val="00F07171"/>
    <w:rsid w:val="00F104CB"/>
    <w:rsid w:val="00F1104D"/>
    <w:rsid w:val="00F11445"/>
    <w:rsid w:val="00F1481C"/>
    <w:rsid w:val="00F15CCD"/>
    <w:rsid w:val="00F17505"/>
    <w:rsid w:val="00F21F5D"/>
    <w:rsid w:val="00F23FBE"/>
    <w:rsid w:val="00F24C3D"/>
    <w:rsid w:val="00F30C00"/>
    <w:rsid w:val="00F32E87"/>
    <w:rsid w:val="00F36678"/>
    <w:rsid w:val="00F36C46"/>
    <w:rsid w:val="00F42A10"/>
    <w:rsid w:val="00F42EAF"/>
    <w:rsid w:val="00F43296"/>
    <w:rsid w:val="00F44C9C"/>
    <w:rsid w:val="00F474D9"/>
    <w:rsid w:val="00F51128"/>
    <w:rsid w:val="00F52618"/>
    <w:rsid w:val="00F52BEA"/>
    <w:rsid w:val="00F53673"/>
    <w:rsid w:val="00F53BD4"/>
    <w:rsid w:val="00F54C2F"/>
    <w:rsid w:val="00F55408"/>
    <w:rsid w:val="00F566FC"/>
    <w:rsid w:val="00F57E59"/>
    <w:rsid w:val="00F62ED9"/>
    <w:rsid w:val="00F6343C"/>
    <w:rsid w:val="00F66152"/>
    <w:rsid w:val="00F678BE"/>
    <w:rsid w:val="00F7720D"/>
    <w:rsid w:val="00F80845"/>
    <w:rsid w:val="00F84393"/>
    <w:rsid w:val="00F84474"/>
    <w:rsid w:val="00F856E9"/>
    <w:rsid w:val="00F85FEF"/>
    <w:rsid w:val="00F92946"/>
    <w:rsid w:val="00F95281"/>
    <w:rsid w:val="00FA03A7"/>
    <w:rsid w:val="00FA0CF4"/>
    <w:rsid w:val="00FA0F0D"/>
    <w:rsid w:val="00FA7D27"/>
    <w:rsid w:val="00FB134D"/>
    <w:rsid w:val="00FB31F5"/>
    <w:rsid w:val="00FB40BC"/>
    <w:rsid w:val="00FB48C3"/>
    <w:rsid w:val="00FB6235"/>
    <w:rsid w:val="00FB7569"/>
    <w:rsid w:val="00FC0535"/>
    <w:rsid w:val="00FC60DA"/>
    <w:rsid w:val="00FD1C01"/>
    <w:rsid w:val="00FD536B"/>
    <w:rsid w:val="00FD59D1"/>
    <w:rsid w:val="00FE1467"/>
    <w:rsid w:val="00FE27A6"/>
    <w:rsid w:val="00FE7116"/>
    <w:rsid w:val="00FF0B58"/>
    <w:rsid w:val="00FF101E"/>
    <w:rsid w:val="00FF2677"/>
    <w:rsid w:val="00FF2DF3"/>
    <w:rsid w:val="00FF3D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9985D"/>
  <w15:docId w15:val="{C288C1B0-03FD-466C-A123-26432542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unhideWhenUsed/>
    <w:rPr>
      <w:sz w:val="20"/>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7545CB"/>
    <w:pPr>
      <w:ind w:left="720"/>
      <w:contextualSpacing/>
    </w:pPr>
  </w:style>
  <w:style w:type="character" w:styleId="PageNumber">
    <w:name w:val="page number"/>
    <w:basedOn w:val="DefaultParagraphFont"/>
    <w:rsid w:val="007545CB"/>
  </w:style>
  <w:style w:type="character" w:customStyle="1" w:styleId="HeaderChar">
    <w:name w:val="Header Char"/>
    <w:basedOn w:val="DefaultParagraphFont"/>
    <w:link w:val="Header"/>
    <w:uiPriority w:val="99"/>
    <w:locked/>
    <w:rsid w:val="007545CB"/>
    <w:rPr>
      <w:rFonts w:ascii="Arial" w:eastAsia="SimSun" w:hAnsi="Arial" w:cs="Arial"/>
      <w:sz w:val="22"/>
      <w:lang w:val="es-ES" w:eastAsia="zh-CN"/>
    </w:rPr>
  </w:style>
  <w:style w:type="table" w:styleId="TableGrid">
    <w:name w:val="Table Grid"/>
    <w:basedOn w:val="TableNormal"/>
    <w:uiPriority w:val="39"/>
    <w:rsid w:val="007545C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7545CB"/>
    <w:pPr>
      <w:tabs>
        <w:tab w:val="left" w:pos="993"/>
        <w:tab w:val="right" w:leader="dot" w:pos="9345"/>
      </w:tabs>
      <w:ind w:left="440"/>
    </w:pPr>
  </w:style>
  <w:style w:type="paragraph" w:styleId="TOC1">
    <w:name w:val="toc 1"/>
    <w:basedOn w:val="Normal"/>
    <w:next w:val="Normal"/>
    <w:autoRedefine/>
    <w:uiPriority w:val="39"/>
    <w:rsid w:val="007572C7"/>
    <w:pPr>
      <w:tabs>
        <w:tab w:val="left" w:pos="440"/>
        <w:tab w:val="right" w:leader="dot" w:pos="9345"/>
      </w:tabs>
      <w:spacing w:before="240" w:after="240"/>
    </w:pPr>
    <w:rPr>
      <w:rFonts w:ascii="arial bold" w:hAnsi="arial bold"/>
      <w:b/>
      <w:caps/>
    </w:rPr>
  </w:style>
  <w:style w:type="paragraph" w:styleId="TOC2">
    <w:name w:val="toc 2"/>
    <w:basedOn w:val="Normal"/>
    <w:next w:val="Normal"/>
    <w:autoRedefine/>
    <w:uiPriority w:val="39"/>
    <w:rsid w:val="00EB54AE"/>
    <w:pPr>
      <w:tabs>
        <w:tab w:val="right" w:leader="dot" w:pos="9345"/>
      </w:tabs>
      <w:spacing w:after="120"/>
      <w:ind w:left="709" w:hanging="488"/>
    </w:pPr>
    <w:rPr>
      <w:caps/>
    </w:rPr>
  </w:style>
  <w:style w:type="character" w:styleId="Hyperlink">
    <w:name w:val="Hyperlink"/>
    <w:basedOn w:val="DefaultParagraphFont"/>
    <w:uiPriority w:val="99"/>
    <w:rsid w:val="007545CB"/>
    <w:rPr>
      <w:color w:val="0000FF"/>
      <w:u w:val="single"/>
    </w:rPr>
  </w:style>
  <w:style w:type="paragraph" w:customStyle="1" w:styleId="StyleBoldBefore3pt">
    <w:name w:val="Style Bold Before:  3 pt"/>
    <w:basedOn w:val="Normal"/>
    <w:rsid w:val="007545CB"/>
    <w:pPr>
      <w:spacing w:before="60" w:after="240"/>
    </w:pPr>
    <w:rPr>
      <w:rFonts w:eastAsia="Times New Roman" w:cs="Times New Roman"/>
      <w:b/>
      <w:bCs/>
    </w:rPr>
  </w:style>
  <w:style w:type="paragraph" w:styleId="BalloonText">
    <w:name w:val="Balloon Text"/>
    <w:basedOn w:val="Normal"/>
    <w:link w:val="BalloonTextChar"/>
    <w:rsid w:val="007545CB"/>
    <w:rPr>
      <w:rFonts w:ascii="Tahoma" w:hAnsi="Tahoma" w:cs="Tahoma"/>
      <w:sz w:val="16"/>
      <w:szCs w:val="16"/>
    </w:rPr>
  </w:style>
  <w:style w:type="character" w:customStyle="1" w:styleId="BalloonTextChar">
    <w:name w:val="Balloon Text Char"/>
    <w:basedOn w:val="DefaultParagraphFont"/>
    <w:link w:val="BalloonText"/>
    <w:rsid w:val="007545CB"/>
    <w:rPr>
      <w:rFonts w:ascii="Tahoma" w:eastAsia="SimSun" w:hAnsi="Tahoma" w:cs="Tahoma"/>
      <w:sz w:val="16"/>
      <w:szCs w:val="16"/>
      <w:lang w:val="es-ES" w:eastAsia="zh-CN"/>
    </w:rPr>
  </w:style>
  <w:style w:type="table" w:customStyle="1" w:styleId="TableGrid1">
    <w:name w:val="Table Grid1"/>
    <w:basedOn w:val="TableNormal"/>
    <w:next w:val="TableGrid"/>
    <w:uiPriority w:val="39"/>
    <w:rsid w:val="007545CB"/>
    <w:rPr>
      <w:rFonts w:asciiTheme="minorHAnsi" w:eastAsiaTheme="minorEastAsia" w:hAnsiTheme="minorHAnsi" w:cstheme="minorBidi"/>
      <w:sz w:val="21"/>
      <w:szCs w:val="21"/>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545CB"/>
    <w:rPr>
      <w:vertAlign w:val="superscript"/>
    </w:rPr>
  </w:style>
  <w:style w:type="table" w:styleId="GridTable1Light-Accent2">
    <w:name w:val="Grid Table 1 Light Accent 2"/>
    <w:basedOn w:val="TableNormal"/>
    <w:uiPriority w:val="46"/>
    <w:rsid w:val="007545CB"/>
    <w:rPr>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qFormat/>
    <w:rsid w:val="007545CB"/>
  </w:style>
  <w:style w:type="table" w:styleId="GridTable1Light-Accent1">
    <w:name w:val="Grid Table 1 Light Accent 1"/>
    <w:basedOn w:val="TableNormal"/>
    <w:uiPriority w:val="46"/>
    <w:rsid w:val="007545CB"/>
    <w:rPr>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545C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545CB"/>
    <w:rPr>
      <w:rFonts w:ascii="Arial" w:eastAsia="SimSun" w:hAnsi="Arial" w:cs="Arial"/>
      <w:bCs/>
      <w:iCs/>
      <w:caps/>
      <w:sz w:val="22"/>
      <w:szCs w:val="28"/>
      <w:lang w:val="es-ES" w:eastAsia="zh-CN"/>
    </w:rPr>
  </w:style>
  <w:style w:type="paragraph" w:styleId="Subtitle">
    <w:name w:val="Subtitle"/>
    <w:basedOn w:val="Normal"/>
    <w:next w:val="Normal"/>
    <w:link w:val="SubtitleChar"/>
    <w:qFormat/>
    <w:rsid w:val="007545C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545CB"/>
    <w:rPr>
      <w:rFonts w:asciiTheme="minorHAnsi" w:eastAsiaTheme="minorEastAsia" w:hAnsiTheme="minorHAnsi" w:cstheme="minorBidi"/>
      <w:color w:val="5A5A5A" w:themeColor="text1" w:themeTint="A5"/>
      <w:spacing w:val="15"/>
      <w:sz w:val="22"/>
      <w:szCs w:val="22"/>
      <w:lang w:val="es-ES" w:eastAsia="zh-CN"/>
    </w:rPr>
  </w:style>
  <w:style w:type="paragraph" w:styleId="NormalWeb">
    <w:name w:val="Normal (Web)"/>
    <w:basedOn w:val="Normal"/>
    <w:uiPriority w:val="99"/>
    <w:semiHidden/>
    <w:unhideWhenUsed/>
    <w:rsid w:val="007545C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7545CB"/>
    <w:rPr>
      <w:color w:val="800080" w:themeColor="followedHyperlink"/>
      <w:u w:val="single"/>
    </w:rPr>
  </w:style>
  <w:style w:type="character" w:customStyle="1" w:styleId="UnresolvedMention1">
    <w:name w:val="Unresolved Mention1"/>
    <w:basedOn w:val="DefaultParagraphFont"/>
    <w:uiPriority w:val="99"/>
    <w:semiHidden/>
    <w:unhideWhenUsed/>
    <w:rsid w:val="007545CB"/>
    <w:rPr>
      <w:color w:val="605E5C"/>
      <w:shd w:val="clear" w:color="auto" w:fill="E1DFDD"/>
    </w:rPr>
  </w:style>
  <w:style w:type="paragraph" w:customStyle="1" w:styleId="Default">
    <w:name w:val="Default"/>
    <w:rsid w:val="007545CB"/>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7545CB"/>
    <w:rPr>
      <w:b/>
      <w:bCs/>
    </w:rPr>
  </w:style>
  <w:style w:type="character" w:customStyle="1" w:styleId="CommentTextChar">
    <w:name w:val="Comment Text Char"/>
    <w:basedOn w:val="DefaultParagraphFont"/>
    <w:link w:val="CommentText"/>
    <w:rsid w:val="007545CB"/>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545CB"/>
    <w:rPr>
      <w:rFonts w:ascii="Arial" w:eastAsia="SimSun" w:hAnsi="Arial" w:cs="Arial"/>
      <w:b/>
      <w:bCs/>
      <w:sz w:val="18"/>
      <w:lang w:val="es-ES" w:eastAsia="zh-CN"/>
    </w:rPr>
  </w:style>
  <w:style w:type="character" w:customStyle="1" w:styleId="UnresolvedMention2">
    <w:name w:val="Unresolved Mention2"/>
    <w:basedOn w:val="DefaultParagraphFont"/>
    <w:uiPriority w:val="99"/>
    <w:semiHidden/>
    <w:unhideWhenUsed/>
    <w:rsid w:val="007545CB"/>
    <w:rPr>
      <w:color w:val="605E5C"/>
      <w:shd w:val="clear" w:color="auto" w:fill="E1DFDD"/>
    </w:rPr>
  </w:style>
  <w:style w:type="paragraph" w:customStyle="1" w:styleId="pf0">
    <w:name w:val="pf0"/>
    <w:basedOn w:val="Normal"/>
    <w:rsid w:val="007545CB"/>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f01">
    <w:name w:val="cf01"/>
    <w:basedOn w:val="DefaultParagraphFont"/>
    <w:rsid w:val="007545CB"/>
    <w:rPr>
      <w:rFonts w:ascii="Segoe UI" w:hAnsi="Segoe UI" w:cs="Segoe UI" w:hint="default"/>
      <w:sz w:val="18"/>
      <w:szCs w:val="18"/>
    </w:rPr>
  </w:style>
  <w:style w:type="paragraph" w:styleId="Revision">
    <w:name w:val="Revision"/>
    <w:hidden/>
    <w:uiPriority w:val="99"/>
    <w:semiHidden/>
    <w:rsid w:val="007545CB"/>
    <w:rPr>
      <w:rFonts w:ascii="Arial" w:eastAsia="SimSun" w:hAnsi="Arial" w:cs="Arial"/>
      <w:sz w:val="22"/>
      <w:lang w:eastAsia="zh-CN"/>
    </w:rPr>
  </w:style>
  <w:style w:type="paragraph" w:customStyle="1" w:styleId="Endofdocument">
    <w:name w:val="End of document"/>
    <w:basedOn w:val="Normal"/>
    <w:rsid w:val="007545CB"/>
    <w:pPr>
      <w:spacing w:line="260" w:lineRule="atLeast"/>
      <w:ind w:left="5534"/>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docs/mdocs/mdocs/es/cdip_14/cdip_14_7.pdf"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wipo.int/meetings/es/doc_details.jsp?doc_id=421156" TargetMode="External"/><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s/doc_details.jsp?doc_id=284776" TargetMode="External"/><Relationship Id="rId23" Type="http://schemas.openxmlformats.org/officeDocument/2006/relationships/image" Target="media/image7.emf"/><Relationship Id="rId28" Type="http://schemas.openxmlformats.org/officeDocument/2006/relationships/hyperlink" Target="https://www.emerald.com/insight/search?q=Daniel%20Pereira%20da%20Silva" TargetMode="Externa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hyperlink" Target="https://www.emerald.com/insight/search?q=Cleiton%20Rodrigues%20de%20Vasconcelos"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publications/es/" TargetMode="External"/><Relationship Id="rId1" Type="http://schemas.openxmlformats.org/officeDocument/2006/relationships/hyperlink" Target="https://dacatalogue.wipo.int/projects" TargetMode="External"/><Relationship Id="rId5" Type="http://schemas.openxmlformats.org/officeDocument/2006/relationships/hyperlink" Target="https://www.wipo.int/edocs/pubdocs/en/wipo-pub-gih-brazil-en-global-innovation-hotspots-a-case-study-of-s%C3%A3o-paulo-s-innovation-ecosystem-local-capabilities-and-global-networks.pdf" TargetMode="External"/><Relationship Id="rId4" Type="http://schemas.openxmlformats.org/officeDocument/2006/relationships/hyperlink" Target="https://tind.wipo.int/record/29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804A-7417-4FFF-A1A3-53FBAB05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10327</Words>
  <Characters>58868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CDIP/31/8</vt:lpstr>
    </vt:vector>
  </TitlesOfParts>
  <Company>WIPO</Company>
  <LinksUpToDate>false</LinksUpToDate>
  <CharactersWithSpaces>69057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CDIP/31/8</dc:title>
  <dc:creator>KONTA DE PALMA Livia</dc:creator>
  <cp:keywords/>
  <cp:lastModifiedBy>PANAKAL Joseph Lazar</cp:lastModifiedBy>
  <cp:revision>2</cp:revision>
  <dcterms:created xsi:type="dcterms:W3CDTF">2023-09-20T13:38:00Z</dcterms:created>
  <dcterms:modified xsi:type="dcterms:W3CDTF">2023-09-20T13:38:00Z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