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3714F5" w14:paraId="2AD7EDD0" w14:textId="77777777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0795F42" w14:textId="77777777" w:rsidR="00E504E5" w:rsidRPr="003714F5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B48192E" w14:textId="77777777" w:rsidR="00E504E5" w:rsidRPr="003714F5" w:rsidRDefault="00EE230B" w:rsidP="00AB613D">
            <w:r w:rsidRPr="003714F5">
              <w:rPr>
                <w:noProof/>
                <w:lang w:val="en-US" w:eastAsia="en-US"/>
              </w:rPr>
              <w:drawing>
                <wp:inline distT="0" distB="0" distL="0" distR="0" wp14:anchorId="072A67C6" wp14:editId="00DBCF48">
                  <wp:extent cx="1858645" cy="1326515"/>
                  <wp:effectExtent l="0" t="0" r="0" b="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7FAC803" w14:textId="77777777" w:rsidR="00E504E5" w:rsidRPr="003714F5" w:rsidRDefault="00E504E5" w:rsidP="00AB613D">
            <w:pPr>
              <w:jc w:val="right"/>
            </w:pPr>
            <w:r w:rsidRPr="003714F5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3714F5" w14:paraId="60A84620" w14:textId="77777777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38CB0C6B" w14:textId="77777777" w:rsidR="008B2CC1" w:rsidRPr="003714F5" w:rsidRDefault="007B3774" w:rsidP="00CC3A1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714F5">
              <w:rPr>
                <w:rFonts w:ascii="Arial Black" w:hAnsi="Arial Black"/>
                <w:caps/>
                <w:sz w:val="15"/>
              </w:rPr>
              <w:t>CDIP/2</w:t>
            </w:r>
            <w:r w:rsidR="0066508F" w:rsidRPr="003714F5">
              <w:rPr>
                <w:rFonts w:ascii="Arial Black" w:hAnsi="Arial Black"/>
                <w:caps/>
                <w:sz w:val="15"/>
              </w:rPr>
              <w:t>2</w:t>
            </w:r>
            <w:r w:rsidR="0096247A" w:rsidRPr="003714F5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104020" w:rsidRPr="003714F5">
              <w:rPr>
                <w:rFonts w:ascii="Arial Black" w:hAnsi="Arial Black"/>
                <w:caps/>
                <w:sz w:val="15"/>
              </w:rPr>
              <w:t>10</w:t>
            </w:r>
          </w:p>
        </w:tc>
      </w:tr>
      <w:tr w:rsidR="008B2CC1" w:rsidRPr="003714F5" w14:paraId="6D3F1AF2" w14:textId="77777777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329730FD" w14:textId="77777777" w:rsidR="008B2CC1" w:rsidRPr="003714F5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714F5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104020" w:rsidRPr="003714F5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3714F5" w14:paraId="0CDE04E5" w14:textId="77777777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8F9A93B" w14:textId="77777777" w:rsidR="008B2CC1" w:rsidRPr="003714F5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714F5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3714F5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104020" w:rsidRPr="003714F5">
              <w:rPr>
                <w:rFonts w:ascii="Arial Black" w:hAnsi="Arial Black"/>
                <w:caps/>
                <w:sz w:val="15"/>
              </w:rPr>
              <w:t>18 DE SEPTIEMBRE DE 2018</w:t>
            </w:r>
          </w:p>
        </w:tc>
      </w:tr>
    </w:tbl>
    <w:p w14:paraId="3C6E6B1B" w14:textId="77777777" w:rsidR="008B2CC1" w:rsidRPr="003714F5" w:rsidRDefault="008B2CC1" w:rsidP="008B2CC1"/>
    <w:p w14:paraId="730FC133" w14:textId="77777777" w:rsidR="008B2CC1" w:rsidRPr="003714F5" w:rsidRDefault="008B2CC1" w:rsidP="008B2CC1"/>
    <w:p w14:paraId="3E73ABED" w14:textId="77777777" w:rsidR="008B2CC1" w:rsidRPr="003714F5" w:rsidRDefault="008B2CC1" w:rsidP="008B2CC1"/>
    <w:p w14:paraId="76977A3C" w14:textId="77777777" w:rsidR="008B2CC1" w:rsidRPr="003714F5" w:rsidRDefault="008B2CC1" w:rsidP="008B2CC1"/>
    <w:p w14:paraId="2C395984" w14:textId="77777777" w:rsidR="008B2CC1" w:rsidRPr="003714F5" w:rsidRDefault="008B2CC1" w:rsidP="008B2CC1"/>
    <w:p w14:paraId="2F2BF166" w14:textId="77777777" w:rsidR="00B67CDC" w:rsidRPr="003714F5" w:rsidRDefault="0096247A" w:rsidP="00B67CDC">
      <w:pPr>
        <w:rPr>
          <w:b/>
          <w:sz w:val="28"/>
          <w:szCs w:val="28"/>
        </w:rPr>
      </w:pPr>
      <w:r w:rsidRPr="003714F5">
        <w:rPr>
          <w:b/>
          <w:sz w:val="28"/>
          <w:szCs w:val="28"/>
        </w:rPr>
        <w:t xml:space="preserve">Comité </w:t>
      </w:r>
      <w:r w:rsidR="00EE230B" w:rsidRPr="003714F5">
        <w:rPr>
          <w:b/>
          <w:sz w:val="28"/>
          <w:szCs w:val="28"/>
        </w:rPr>
        <w:t>de Desarrollo y Propiedad Intelectual (CDIP)</w:t>
      </w:r>
    </w:p>
    <w:p w14:paraId="43D8A4BB" w14:textId="77777777" w:rsidR="003845C1" w:rsidRPr="003714F5" w:rsidRDefault="003845C1" w:rsidP="003845C1"/>
    <w:p w14:paraId="69346921" w14:textId="77777777" w:rsidR="003845C1" w:rsidRPr="003714F5" w:rsidRDefault="003845C1" w:rsidP="003845C1"/>
    <w:p w14:paraId="1AB216F8" w14:textId="77777777" w:rsidR="00CC3A13" w:rsidRPr="003714F5" w:rsidRDefault="006F2626" w:rsidP="00CC3A13">
      <w:pPr>
        <w:rPr>
          <w:b/>
          <w:sz w:val="24"/>
          <w:szCs w:val="24"/>
        </w:rPr>
      </w:pPr>
      <w:r w:rsidRPr="003714F5">
        <w:rPr>
          <w:b/>
          <w:sz w:val="24"/>
          <w:szCs w:val="24"/>
        </w:rPr>
        <w:t>Vigesimosegunda</w:t>
      </w:r>
      <w:r w:rsidR="00CC3A13" w:rsidRPr="003714F5">
        <w:rPr>
          <w:b/>
          <w:sz w:val="24"/>
          <w:szCs w:val="24"/>
        </w:rPr>
        <w:t xml:space="preserve"> sesión</w:t>
      </w:r>
    </w:p>
    <w:p w14:paraId="3D27E4DC" w14:textId="77777777" w:rsidR="00B67CDC" w:rsidRPr="003714F5" w:rsidRDefault="0066508F" w:rsidP="00CC3A13">
      <w:pPr>
        <w:rPr>
          <w:b/>
          <w:sz w:val="24"/>
          <w:szCs w:val="24"/>
        </w:rPr>
      </w:pPr>
      <w:r w:rsidRPr="003714F5">
        <w:rPr>
          <w:b/>
          <w:sz w:val="24"/>
          <w:szCs w:val="24"/>
        </w:rPr>
        <w:t>Ginebra, 19</w:t>
      </w:r>
      <w:r w:rsidR="00CC3A13" w:rsidRPr="003714F5">
        <w:rPr>
          <w:b/>
          <w:sz w:val="24"/>
          <w:szCs w:val="24"/>
        </w:rPr>
        <w:t xml:space="preserve"> a </w:t>
      </w:r>
      <w:r w:rsidRPr="003714F5">
        <w:rPr>
          <w:b/>
          <w:sz w:val="24"/>
          <w:szCs w:val="24"/>
        </w:rPr>
        <w:t>23</w:t>
      </w:r>
      <w:r w:rsidR="00CC3A13" w:rsidRPr="003714F5">
        <w:rPr>
          <w:b/>
          <w:sz w:val="24"/>
          <w:szCs w:val="24"/>
        </w:rPr>
        <w:t xml:space="preserve"> de </w:t>
      </w:r>
      <w:r w:rsidRPr="003714F5">
        <w:rPr>
          <w:b/>
          <w:sz w:val="24"/>
          <w:szCs w:val="24"/>
        </w:rPr>
        <w:t>noviembre</w:t>
      </w:r>
      <w:r w:rsidR="00CC3A13" w:rsidRPr="003714F5">
        <w:rPr>
          <w:b/>
          <w:sz w:val="24"/>
          <w:szCs w:val="24"/>
        </w:rPr>
        <w:t xml:space="preserve"> de 2018</w:t>
      </w:r>
    </w:p>
    <w:p w14:paraId="3E83B1AD" w14:textId="77777777" w:rsidR="008B2CC1" w:rsidRPr="003714F5" w:rsidRDefault="008B2CC1" w:rsidP="008B2CC1"/>
    <w:p w14:paraId="5D4406F3" w14:textId="77777777" w:rsidR="008B2CC1" w:rsidRPr="003714F5" w:rsidRDefault="008B2CC1" w:rsidP="008B2CC1"/>
    <w:p w14:paraId="15CB6E99" w14:textId="77777777" w:rsidR="008B2CC1" w:rsidRPr="003714F5" w:rsidRDefault="008B2CC1" w:rsidP="008B2CC1"/>
    <w:p w14:paraId="385EA0A6" w14:textId="48691C4E" w:rsidR="00104020" w:rsidRPr="003714F5" w:rsidRDefault="0064123E" w:rsidP="00104020">
      <w:pPr>
        <w:rPr>
          <w:sz w:val="24"/>
          <w:szCs w:val="24"/>
        </w:rPr>
      </w:pPr>
      <w:bookmarkStart w:id="3" w:name="TitleOfDoc"/>
      <w:bookmarkEnd w:id="3"/>
      <w:r w:rsidRPr="003714F5">
        <w:rPr>
          <w:sz w:val="24"/>
          <w:szCs w:val="24"/>
        </w:rPr>
        <w:t xml:space="preserve">EVALUACIÓN </w:t>
      </w:r>
      <w:r w:rsidR="00717683" w:rsidRPr="003714F5">
        <w:rPr>
          <w:sz w:val="24"/>
          <w:szCs w:val="24"/>
        </w:rPr>
        <w:t>DE</w:t>
      </w:r>
      <w:r w:rsidRPr="003714F5">
        <w:rPr>
          <w:sz w:val="24"/>
          <w:szCs w:val="24"/>
        </w:rPr>
        <w:t xml:space="preserve"> LO</w:t>
      </w:r>
      <w:r w:rsidR="00717683" w:rsidRPr="003714F5">
        <w:rPr>
          <w:sz w:val="24"/>
          <w:szCs w:val="24"/>
        </w:rPr>
        <w:t>S INSTRUMENTOS Y METODOLOGÍAS</w:t>
      </w:r>
      <w:r w:rsidR="00E53418" w:rsidRPr="003714F5">
        <w:rPr>
          <w:sz w:val="24"/>
          <w:szCs w:val="24"/>
        </w:rPr>
        <w:t xml:space="preserve"> DE LA OMPI</w:t>
      </w:r>
      <w:r w:rsidR="004D56B7" w:rsidRPr="003714F5">
        <w:rPr>
          <w:sz w:val="24"/>
          <w:szCs w:val="24"/>
        </w:rPr>
        <w:t xml:space="preserve"> PARA MEDIR LA RE</w:t>
      </w:r>
      <w:r w:rsidRPr="003714F5">
        <w:rPr>
          <w:sz w:val="24"/>
          <w:szCs w:val="24"/>
        </w:rPr>
        <w:t>PERCUSIÓN</w:t>
      </w:r>
      <w:r w:rsidR="00104020" w:rsidRPr="003714F5">
        <w:rPr>
          <w:sz w:val="24"/>
          <w:szCs w:val="24"/>
        </w:rPr>
        <w:t xml:space="preserve">, </w:t>
      </w:r>
      <w:r w:rsidRPr="003714F5">
        <w:rPr>
          <w:sz w:val="24"/>
          <w:szCs w:val="24"/>
        </w:rPr>
        <w:t>LA EF</w:t>
      </w:r>
      <w:r w:rsidR="00F30A9A" w:rsidRPr="003714F5">
        <w:rPr>
          <w:sz w:val="24"/>
          <w:szCs w:val="24"/>
        </w:rPr>
        <w:t>ECTIVIDAD</w:t>
      </w:r>
      <w:r w:rsidRPr="003714F5">
        <w:rPr>
          <w:sz w:val="24"/>
          <w:szCs w:val="24"/>
        </w:rPr>
        <w:t xml:space="preserve"> Y LA EFICIENCIA DE SUS ACTIVIDADES DE ASISTENCIA TÉCNICA</w:t>
      </w:r>
    </w:p>
    <w:p w14:paraId="2145DB92" w14:textId="77777777" w:rsidR="00104020" w:rsidRPr="003714F5" w:rsidRDefault="00104020" w:rsidP="00104020"/>
    <w:p w14:paraId="10052CA9" w14:textId="77777777" w:rsidR="00104020" w:rsidRPr="003714F5" w:rsidRDefault="0064123E" w:rsidP="00104020">
      <w:bookmarkStart w:id="4" w:name="Prepared"/>
      <w:bookmarkEnd w:id="4"/>
      <w:r w:rsidRPr="003714F5">
        <w:rPr>
          <w:i/>
        </w:rPr>
        <w:t>Documento preparado por la Secretaría</w:t>
      </w:r>
    </w:p>
    <w:p w14:paraId="318F00D9" w14:textId="77777777" w:rsidR="00104020" w:rsidRPr="003714F5" w:rsidRDefault="00104020" w:rsidP="00104020"/>
    <w:p w14:paraId="56205A2D" w14:textId="77777777" w:rsidR="00104020" w:rsidRPr="003714F5" w:rsidRDefault="00104020" w:rsidP="00104020"/>
    <w:p w14:paraId="323045EB" w14:textId="77777777" w:rsidR="00104020" w:rsidRPr="003714F5" w:rsidRDefault="00104020" w:rsidP="00104020">
      <w:pPr>
        <w:rPr>
          <w:szCs w:val="22"/>
        </w:rPr>
      </w:pPr>
    </w:p>
    <w:p w14:paraId="00F70C7C" w14:textId="35C9C3B6" w:rsidR="00104020" w:rsidRPr="003714F5" w:rsidRDefault="00104020" w:rsidP="00104020">
      <w:pPr>
        <w:rPr>
          <w:szCs w:val="22"/>
        </w:rPr>
      </w:pPr>
      <w:r w:rsidRPr="003714F5">
        <w:rPr>
          <w:szCs w:val="22"/>
        </w:rPr>
        <w:fldChar w:fldCharType="begin"/>
      </w:r>
      <w:r w:rsidRPr="003714F5">
        <w:rPr>
          <w:szCs w:val="22"/>
        </w:rPr>
        <w:instrText xml:space="preserve"> AUTONUM  </w:instrText>
      </w:r>
      <w:r w:rsidRPr="003714F5">
        <w:rPr>
          <w:szCs w:val="22"/>
        </w:rPr>
        <w:fldChar w:fldCharType="end"/>
      </w:r>
      <w:r w:rsidRPr="003714F5">
        <w:rPr>
          <w:szCs w:val="22"/>
        </w:rPr>
        <w:tab/>
      </w:r>
      <w:r w:rsidR="0064123E" w:rsidRPr="003714F5">
        <w:rPr>
          <w:szCs w:val="22"/>
        </w:rPr>
        <w:t>En su decimoctava sesión celebrada del 31 de octubre al 4 de noviembre de 2016, el Comité de Desarrollo y Propiedad Intelectual (CDIP)</w:t>
      </w:r>
      <w:r w:rsidRPr="003714F5">
        <w:rPr>
          <w:szCs w:val="22"/>
        </w:rPr>
        <w:t xml:space="preserve"> </w:t>
      </w:r>
      <w:r w:rsidR="000123DF" w:rsidRPr="003714F5">
        <w:rPr>
          <w:szCs w:val="22"/>
        </w:rPr>
        <w:t xml:space="preserve">aprobó </w:t>
      </w:r>
      <w:r w:rsidR="0064123E" w:rsidRPr="003714F5">
        <w:rPr>
          <w:szCs w:val="22"/>
        </w:rPr>
        <w:t>una propuesta de seis puntos en la que, entre otras cosas, se p</w:t>
      </w:r>
      <w:r w:rsidR="00E53418" w:rsidRPr="003714F5">
        <w:rPr>
          <w:szCs w:val="22"/>
        </w:rPr>
        <w:t>edía</w:t>
      </w:r>
      <w:r w:rsidR="0064123E" w:rsidRPr="003714F5">
        <w:rPr>
          <w:szCs w:val="22"/>
        </w:rPr>
        <w:t xml:space="preserve"> a la Secretaría que</w:t>
      </w:r>
      <w:r w:rsidRPr="003714F5">
        <w:rPr>
          <w:szCs w:val="22"/>
        </w:rPr>
        <w:t xml:space="preserve"> </w:t>
      </w:r>
      <w:r w:rsidR="0064123E" w:rsidRPr="003714F5">
        <w:rPr>
          <w:szCs w:val="22"/>
        </w:rPr>
        <w:t>eval</w:t>
      </w:r>
      <w:r w:rsidR="00E53418" w:rsidRPr="003714F5">
        <w:rPr>
          <w:szCs w:val="22"/>
        </w:rPr>
        <w:t>uas</w:t>
      </w:r>
      <w:r w:rsidR="0064123E" w:rsidRPr="003714F5">
        <w:rPr>
          <w:szCs w:val="22"/>
        </w:rPr>
        <w:t xml:space="preserve">e </w:t>
      </w:r>
      <w:r w:rsidR="000123DF" w:rsidRPr="003714F5">
        <w:rPr>
          <w:szCs w:val="22"/>
        </w:rPr>
        <w:t>“</w:t>
      </w:r>
      <w:r w:rsidR="0064123E" w:rsidRPr="003714F5">
        <w:rPr>
          <w:szCs w:val="22"/>
        </w:rPr>
        <w:t>las herramientas y metodologías existentes para medir la repercusión, la efectividad y la eficiencia de las actividades de asistencia técnica en varios niveles y, en ese proceso, trata</w:t>
      </w:r>
      <w:r w:rsidR="00E53418" w:rsidRPr="003714F5">
        <w:rPr>
          <w:szCs w:val="22"/>
        </w:rPr>
        <w:t>se</w:t>
      </w:r>
      <w:r w:rsidR="0064123E" w:rsidRPr="003714F5">
        <w:rPr>
          <w:szCs w:val="22"/>
        </w:rPr>
        <w:t xml:space="preserve"> de señalar los ámbitos que se p</w:t>
      </w:r>
      <w:r w:rsidR="00E53418" w:rsidRPr="003714F5">
        <w:rPr>
          <w:szCs w:val="22"/>
        </w:rPr>
        <w:t>odía</w:t>
      </w:r>
      <w:r w:rsidR="0064123E" w:rsidRPr="003714F5">
        <w:rPr>
          <w:szCs w:val="22"/>
        </w:rPr>
        <w:t>n mejorar</w:t>
      </w:r>
      <w:r w:rsidRPr="003714F5">
        <w:rPr>
          <w:szCs w:val="22"/>
          <w:vertAlign w:val="superscript"/>
        </w:rPr>
        <w:footnoteReference w:id="2"/>
      </w:r>
      <w:r w:rsidRPr="003714F5">
        <w:rPr>
          <w:szCs w:val="22"/>
        </w:rPr>
        <w:t>”</w:t>
      </w:r>
      <w:r w:rsidR="0064123E" w:rsidRPr="003714F5">
        <w:rPr>
          <w:szCs w:val="22"/>
        </w:rPr>
        <w:t>.</w:t>
      </w:r>
      <w:r w:rsidRPr="003714F5">
        <w:rPr>
          <w:szCs w:val="22"/>
        </w:rPr>
        <w:t xml:space="preserve"> </w:t>
      </w:r>
      <w:r w:rsidR="000123DF" w:rsidRPr="003714F5">
        <w:rPr>
          <w:szCs w:val="22"/>
        </w:rPr>
        <w:t>El presente documento tiene por objetivo responder a esa petición</w:t>
      </w:r>
      <w:r w:rsidRPr="003714F5">
        <w:rPr>
          <w:szCs w:val="22"/>
        </w:rPr>
        <w:t>.</w:t>
      </w:r>
    </w:p>
    <w:p w14:paraId="20A6A8CC" w14:textId="77777777" w:rsidR="00104020" w:rsidRPr="003714F5" w:rsidRDefault="00104020" w:rsidP="00104020">
      <w:pPr>
        <w:rPr>
          <w:szCs w:val="22"/>
        </w:rPr>
      </w:pPr>
    </w:p>
    <w:p w14:paraId="34A652FB" w14:textId="5B7AF065" w:rsidR="00104020" w:rsidRPr="003714F5" w:rsidRDefault="00104020" w:rsidP="00104020">
      <w:pPr>
        <w:rPr>
          <w:szCs w:val="22"/>
        </w:rPr>
      </w:pPr>
      <w:r w:rsidRPr="003714F5">
        <w:rPr>
          <w:szCs w:val="22"/>
        </w:rPr>
        <w:fldChar w:fldCharType="begin"/>
      </w:r>
      <w:r w:rsidRPr="003714F5">
        <w:rPr>
          <w:szCs w:val="22"/>
        </w:rPr>
        <w:instrText xml:space="preserve"> AUTONUM  </w:instrText>
      </w:r>
      <w:r w:rsidRPr="003714F5">
        <w:rPr>
          <w:szCs w:val="22"/>
        </w:rPr>
        <w:fldChar w:fldCharType="end"/>
      </w:r>
      <w:r w:rsidRPr="003714F5">
        <w:rPr>
          <w:szCs w:val="22"/>
        </w:rPr>
        <w:tab/>
      </w:r>
      <w:r w:rsidR="000123DF" w:rsidRPr="003714F5">
        <w:rPr>
          <w:szCs w:val="22"/>
        </w:rPr>
        <w:t>Como se señala en la Compilación de las prácticas, metodologías y herramientas para el suministro de asistencia técnica</w:t>
      </w:r>
      <w:r w:rsidRPr="003714F5">
        <w:rPr>
          <w:szCs w:val="22"/>
        </w:rPr>
        <w:t xml:space="preserve"> </w:t>
      </w:r>
      <w:r w:rsidR="000123DF" w:rsidRPr="003714F5">
        <w:rPr>
          <w:szCs w:val="22"/>
        </w:rPr>
        <w:t xml:space="preserve">de la OMPI </w:t>
      </w:r>
      <w:r w:rsidRPr="003714F5">
        <w:rPr>
          <w:szCs w:val="22"/>
        </w:rPr>
        <w:t>(</w:t>
      </w:r>
      <w:r w:rsidR="000123DF" w:rsidRPr="003714F5">
        <w:rPr>
          <w:szCs w:val="22"/>
        </w:rPr>
        <w:t>documento CDIP/21/4, párrafo</w:t>
      </w:r>
      <w:r w:rsidRPr="003714F5">
        <w:rPr>
          <w:szCs w:val="22"/>
        </w:rPr>
        <w:t xml:space="preserve"> 10), </w:t>
      </w:r>
      <w:r w:rsidR="000123DF" w:rsidRPr="003714F5">
        <w:rPr>
          <w:szCs w:val="22"/>
        </w:rPr>
        <w:t xml:space="preserve">las actividades de asistencia técnica </w:t>
      </w:r>
      <w:r w:rsidR="002363A2" w:rsidRPr="003714F5">
        <w:rPr>
          <w:szCs w:val="22"/>
        </w:rPr>
        <w:t>de la O</w:t>
      </w:r>
      <w:r w:rsidR="00E53418" w:rsidRPr="003714F5">
        <w:rPr>
          <w:szCs w:val="22"/>
        </w:rPr>
        <w:t>MPI</w:t>
      </w:r>
      <w:r w:rsidR="000123DF" w:rsidRPr="003714F5">
        <w:rPr>
          <w:szCs w:val="22"/>
        </w:rPr>
        <w:t xml:space="preserve"> se clasifican en las siguientes categorías:</w:t>
      </w:r>
      <w:r w:rsidR="002363A2" w:rsidRPr="003714F5">
        <w:rPr>
          <w:szCs w:val="22"/>
        </w:rPr>
        <w:t xml:space="preserve"> a) </w:t>
      </w:r>
      <w:r w:rsidR="000123DF" w:rsidRPr="003714F5">
        <w:rPr>
          <w:szCs w:val="22"/>
        </w:rPr>
        <w:t xml:space="preserve">estrategias </w:t>
      </w:r>
      <w:r w:rsidR="006404CA" w:rsidRPr="003714F5">
        <w:rPr>
          <w:szCs w:val="22"/>
        </w:rPr>
        <w:t xml:space="preserve">y </w:t>
      </w:r>
      <w:r w:rsidR="000123DF" w:rsidRPr="003714F5">
        <w:rPr>
          <w:szCs w:val="22"/>
        </w:rPr>
        <w:t>planes de desarrollo</w:t>
      </w:r>
      <w:r w:rsidR="006404CA" w:rsidRPr="003714F5">
        <w:rPr>
          <w:szCs w:val="22"/>
        </w:rPr>
        <w:t xml:space="preserve"> nacionales</w:t>
      </w:r>
      <w:r w:rsidR="00CB5DCE" w:rsidRPr="003714F5">
        <w:rPr>
          <w:szCs w:val="22"/>
        </w:rPr>
        <w:t xml:space="preserve"> </w:t>
      </w:r>
      <w:r w:rsidR="006404CA" w:rsidRPr="003714F5">
        <w:rPr>
          <w:szCs w:val="22"/>
        </w:rPr>
        <w:t>de PI</w:t>
      </w:r>
      <w:r w:rsidR="000123DF" w:rsidRPr="003714F5">
        <w:rPr>
          <w:szCs w:val="22"/>
        </w:rPr>
        <w:t>;</w:t>
      </w:r>
      <w:r w:rsidRPr="003714F5">
        <w:rPr>
          <w:szCs w:val="22"/>
        </w:rPr>
        <w:t xml:space="preserve"> b) </w:t>
      </w:r>
      <w:r w:rsidR="002363A2" w:rsidRPr="003714F5">
        <w:rPr>
          <w:szCs w:val="22"/>
        </w:rPr>
        <w:t>infraestructura técnica y administrativa (soluciones para las oficinas de PI, bases de datos)</w:t>
      </w:r>
      <w:r w:rsidRPr="003714F5">
        <w:rPr>
          <w:szCs w:val="22"/>
        </w:rPr>
        <w:t xml:space="preserve">; c) </w:t>
      </w:r>
      <w:r w:rsidR="002363A2" w:rsidRPr="003714F5">
        <w:rPr>
          <w:szCs w:val="22"/>
        </w:rPr>
        <w:t xml:space="preserve">fortalecimiento de capacidades; </w:t>
      </w:r>
      <w:r w:rsidRPr="003714F5">
        <w:rPr>
          <w:szCs w:val="22"/>
        </w:rPr>
        <w:t xml:space="preserve">d) </w:t>
      </w:r>
      <w:r w:rsidR="002363A2" w:rsidRPr="003714F5">
        <w:rPr>
          <w:szCs w:val="22"/>
        </w:rPr>
        <w:t>asistencia legislativa</w:t>
      </w:r>
      <w:r w:rsidRPr="003714F5">
        <w:rPr>
          <w:szCs w:val="22"/>
        </w:rPr>
        <w:t xml:space="preserve">; e) </w:t>
      </w:r>
      <w:r w:rsidR="002363A2" w:rsidRPr="003714F5">
        <w:rPr>
          <w:szCs w:val="22"/>
        </w:rPr>
        <w:t>proyectos vinculados a la Agenda para el Desarrollo (AD)</w:t>
      </w:r>
      <w:r w:rsidRPr="003714F5">
        <w:rPr>
          <w:szCs w:val="22"/>
        </w:rPr>
        <w:t xml:space="preserve">; </w:t>
      </w:r>
      <w:r w:rsidR="002363A2" w:rsidRPr="003714F5">
        <w:rPr>
          <w:szCs w:val="22"/>
        </w:rPr>
        <w:t xml:space="preserve">y </w:t>
      </w:r>
      <w:r w:rsidRPr="003714F5">
        <w:rPr>
          <w:szCs w:val="22"/>
        </w:rPr>
        <w:t xml:space="preserve">f) </w:t>
      </w:r>
      <w:r w:rsidR="002363A2" w:rsidRPr="003714F5">
        <w:rPr>
          <w:szCs w:val="22"/>
        </w:rPr>
        <w:t>alianzas público-privadas (plataformas de múltiples partes interesadas</w:t>
      </w:r>
      <w:r w:rsidRPr="003714F5">
        <w:rPr>
          <w:szCs w:val="22"/>
        </w:rPr>
        <w:t xml:space="preserve">). </w:t>
      </w:r>
      <w:r w:rsidR="002363A2" w:rsidRPr="003714F5">
        <w:rPr>
          <w:szCs w:val="22"/>
        </w:rPr>
        <w:t>Para evaluar y</w:t>
      </w:r>
      <w:r w:rsidRPr="003714F5">
        <w:rPr>
          <w:szCs w:val="22"/>
        </w:rPr>
        <w:t xml:space="preserve"> </w:t>
      </w:r>
      <w:r w:rsidR="002363A2" w:rsidRPr="003714F5">
        <w:rPr>
          <w:szCs w:val="22"/>
        </w:rPr>
        <w:t>medir la repercusión, la ef</w:t>
      </w:r>
      <w:r w:rsidR="00F30A9A" w:rsidRPr="003714F5">
        <w:rPr>
          <w:szCs w:val="22"/>
        </w:rPr>
        <w:t>ectividad</w:t>
      </w:r>
      <w:r w:rsidR="002363A2" w:rsidRPr="003714F5">
        <w:rPr>
          <w:szCs w:val="22"/>
        </w:rPr>
        <w:t xml:space="preserve"> y la eficiencia de las actividades de asistencia técnica </w:t>
      </w:r>
      <w:r w:rsidR="00843DA1" w:rsidRPr="003714F5">
        <w:rPr>
          <w:szCs w:val="22"/>
        </w:rPr>
        <w:t>a</w:t>
      </w:r>
      <w:r w:rsidR="00F76235" w:rsidRPr="003714F5">
        <w:rPr>
          <w:szCs w:val="22"/>
        </w:rPr>
        <w:t>l</w:t>
      </w:r>
      <w:r w:rsidR="00843DA1" w:rsidRPr="003714F5">
        <w:rPr>
          <w:szCs w:val="22"/>
        </w:rPr>
        <w:t xml:space="preserve"> nivel de</w:t>
      </w:r>
      <w:r w:rsidR="00F76235" w:rsidRPr="003714F5">
        <w:rPr>
          <w:szCs w:val="22"/>
        </w:rPr>
        <w:t xml:space="preserve"> la</w:t>
      </w:r>
      <w:r w:rsidR="00395E6F" w:rsidRPr="003714F5">
        <w:rPr>
          <w:szCs w:val="22"/>
        </w:rPr>
        <w:t xml:space="preserve"> </w:t>
      </w:r>
      <w:r w:rsidR="002363A2" w:rsidRPr="003714F5">
        <w:rPr>
          <w:szCs w:val="22"/>
        </w:rPr>
        <w:t xml:space="preserve">Organización, </w:t>
      </w:r>
      <w:r w:rsidR="00F76235" w:rsidRPr="003714F5">
        <w:rPr>
          <w:szCs w:val="22"/>
        </w:rPr>
        <w:t>los</w:t>
      </w:r>
      <w:r w:rsidR="00843DA1" w:rsidRPr="003714F5">
        <w:rPr>
          <w:szCs w:val="22"/>
        </w:rPr>
        <w:t xml:space="preserve"> programa</w:t>
      </w:r>
      <w:r w:rsidR="00F76235" w:rsidRPr="003714F5">
        <w:rPr>
          <w:szCs w:val="22"/>
        </w:rPr>
        <w:t>s</w:t>
      </w:r>
      <w:r w:rsidR="00843DA1" w:rsidRPr="003714F5">
        <w:rPr>
          <w:szCs w:val="22"/>
        </w:rPr>
        <w:t xml:space="preserve"> y </w:t>
      </w:r>
      <w:r w:rsidR="00F76235" w:rsidRPr="003714F5">
        <w:rPr>
          <w:szCs w:val="22"/>
        </w:rPr>
        <w:t>los</w:t>
      </w:r>
      <w:r w:rsidR="00843DA1" w:rsidRPr="003714F5">
        <w:rPr>
          <w:szCs w:val="22"/>
        </w:rPr>
        <w:t xml:space="preserve"> proyecto</w:t>
      </w:r>
      <w:r w:rsidR="00F76235" w:rsidRPr="003714F5">
        <w:rPr>
          <w:szCs w:val="22"/>
        </w:rPr>
        <w:t>s</w:t>
      </w:r>
      <w:r w:rsidR="002363A2" w:rsidRPr="003714F5">
        <w:rPr>
          <w:szCs w:val="22"/>
        </w:rPr>
        <w:t xml:space="preserve">, así como </w:t>
      </w:r>
      <w:r w:rsidR="00395E6F" w:rsidRPr="003714F5">
        <w:rPr>
          <w:szCs w:val="22"/>
        </w:rPr>
        <w:t>por</w:t>
      </w:r>
      <w:r w:rsidR="002363A2" w:rsidRPr="003714F5">
        <w:rPr>
          <w:szCs w:val="22"/>
        </w:rPr>
        <w:t xml:space="preserve"> zona geográfica y </w:t>
      </w:r>
      <w:r w:rsidR="00395E6F" w:rsidRPr="003714F5">
        <w:rPr>
          <w:szCs w:val="22"/>
        </w:rPr>
        <w:t xml:space="preserve">por </w:t>
      </w:r>
      <w:r w:rsidR="002363A2" w:rsidRPr="003714F5">
        <w:rPr>
          <w:szCs w:val="22"/>
        </w:rPr>
        <w:t xml:space="preserve">categoría de asistencia técnica, la OMPI </w:t>
      </w:r>
      <w:r w:rsidR="00843DA1" w:rsidRPr="003714F5">
        <w:rPr>
          <w:szCs w:val="22"/>
        </w:rPr>
        <w:t>utiliza</w:t>
      </w:r>
      <w:r w:rsidR="002363A2" w:rsidRPr="003714F5">
        <w:rPr>
          <w:szCs w:val="22"/>
        </w:rPr>
        <w:t xml:space="preserve"> un enfoque multifacético, como se indica a continuación</w:t>
      </w:r>
      <w:r w:rsidRPr="003714F5">
        <w:rPr>
          <w:szCs w:val="22"/>
        </w:rPr>
        <w:t>.</w:t>
      </w:r>
    </w:p>
    <w:p w14:paraId="6BCA475A" w14:textId="77777777" w:rsidR="002363A2" w:rsidRPr="003714F5" w:rsidRDefault="002363A2" w:rsidP="00104020">
      <w:pPr>
        <w:rPr>
          <w:szCs w:val="22"/>
        </w:rPr>
      </w:pPr>
    </w:p>
    <w:p w14:paraId="4A2039EC" w14:textId="3FBCDCFB" w:rsidR="00104020" w:rsidRPr="003714F5" w:rsidRDefault="00104020" w:rsidP="00104020">
      <w:pPr>
        <w:rPr>
          <w:sz w:val="16"/>
          <w:szCs w:val="16"/>
        </w:rPr>
      </w:pPr>
      <w:r w:rsidRPr="003714F5">
        <w:rPr>
          <w:szCs w:val="22"/>
        </w:rPr>
        <w:fldChar w:fldCharType="begin"/>
      </w:r>
      <w:r w:rsidRPr="003714F5">
        <w:rPr>
          <w:szCs w:val="22"/>
        </w:rPr>
        <w:instrText xml:space="preserve"> AUTONUM  </w:instrText>
      </w:r>
      <w:r w:rsidRPr="003714F5">
        <w:rPr>
          <w:szCs w:val="22"/>
        </w:rPr>
        <w:fldChar w:fldCharType="end"/>
      </w:r>
      <w:r w:rsidRPr="003714F5">
        <w:rPr>
          <w:szCs w:val="22"/>
        </w:rPr>
        <w:tab/>
      </w:r>
      <w:r w:rsidR="00F76235" w:rsidRPr="003714F5">
        <w:rPr>
          <w:szCs w:val="22"/>
        </w:rPr>
        <w:t>Al</w:t>
      </w:r>
      <w:r w:rsidR="00843DA1" w:rsidRPr="003714F5">
        <w:rPr>
          <w:szCs w:val="22"/>
        </w:rPr>
        <w:t xml:space="preserve"> nivel de </w:t>
      </w:r>
      <w:r w:rsidR="00395E6F" w:rsidRPr="003714F5">
        <w:rPr>
          <w:szCs w:val="22"/>
        </w:rPr>
        <w:t>la Organización</w:t>
      </w:r>
      <w:r w:rsidRPr="003714F5">
        <w:rPr>
          <w:szCs w:val="22"/>
        </w:rPr>
        <w:t>,</w:t>
      </w:r>
      <w:r w:rsidR="00414FE5" w:rsidRPr="003714F5">
        <w:rPr>
          <w:szCs w:val="22"/>
        </w:rPr>
        <w:t xml:space="preserve"> </w:t>
      </w:r>
      <w:r w:rsidR="00557D97" w:rsidRPr="003714F5">
        <w:rPr>
          <w:szCs w:val="22"/>
        </w:rPr>
        <w:t xml:space="preserve">el marco </w:t>
      </w:r>
      <w:r w:rsidR="00826C2E" w:rsidRPr="003714F5">
        <w:rPr>
          <w:szCs w:val="22"/>
        </w:rPr>
        <w:t xml:space="preserve">de la OMPI de </w:t>
      </w:r>
      <w:r w:rsidR="00557D97" w:rsidRPr="003714F5">
        <w:rPr>
          <w:szCs w:val="22"/>
        </w:rPr>
        <w:t>gestión por resultados, definido y aprobado por los Estados miembros en el presupuesto por programas</w:t>
      </w:r>
      <w:r w:rsidRPr="003714F5">
        <w:rPr>
          <w:szCs w:val="22"/>
        </w:rPr>
        <w:t xml:space="preserve">, </w:t>
      </w:r>
      <w:r w:rsidR="00414FE5" w:rsidRPr="003714F5">
        <w:rPr>
          <w:szCs w:val="22"/>
        </w:rPr>
        <w:t>establece</w:t>
      </w:r>
      <w:r w:rsidR="00557D97" w:rsidRPr="003714F5">
        <w:rPr>
          <w:szCs w:val="22"/>
        </w:rPr>
        <w:t xml:space="preserve"> los criterios</w:t>
      </w:r>
      <w:r w:rsidRPr="003714F5">
        <w:rPr>
          <w:szCs w:val="22"/>
        </w:rPr>
        <w:t xml:space="preserve">, </w:t>
      </w:r>
      <w:r w:rsidR="00557D97" w:rsidRPr="003714F5">
        <w:rPr>
          <w:szCs w:val="22"/>
        </w:rPr>
        <w:t>es decir, los</w:t>
      </w:r>
      <w:r w:rsidRPr="003714F5">
        <w:rPr>
          <w:szCs w:val="22"/>
        </w:rPr>
        <w:t xml:space="preserve"> </w:t>
      </w:r>
      <w:r w:rsidR="00557D97" w:rsidRPr="003714F5">
        <w:rPr>
          <w:szCs w:val="22"/>
        </w:rPr>
        <w:t xml:space="preserve">indicadores de rendimiento, </w:t>
      </w:r>
      <w:r w:rsidR="001E1CF8" w:rsidRPr="003714F5">
        <w:rPr>
          <w:szCs w:val="22"/>
        </w:rPr>
        <w:t xml:space="preserve">las </w:t>
      </w:r>
      <w:r w:rsidR="00557D97" w:rsidRPr="003714F5">
        <w:rPr>
          <w:szCs w:val="22"/>
        </w:rPr>
        <w:t xml:space="preserve">referencias de base y </w:t>
      </w:r>
      <w:r w:rsidR="001E1CF8" w:rsidRPr="003714F5">
        <w:rPr>
          <w:szCs w:val="22"/>
        </w:rPr>
        <w:t xml:space="preserve">los </w:t>
      </w:r>
      <w:r w:rsidR="00557D97" w:rsidRPr="003714F5">
        <w:rPr>
          <w:szCs w:val="22"/>
        </w:rPr>
        <w:t>objetivos</w:t>
      </w:r>
      <w:r w:rsidR="001E1CF8" w:rsidRPr="003714F5">
        <w:rPr>
          <w:szCs w:val="22"/>
        </w:rPr>
        <w:t>,</w:t>
      </w:r>
      <w:r w:rsidR="00890CA5" w:rsidRPr="003714F5">
        <w:rPr>
          <w:szCs w:val="22"/>
        </w:rPr>
        <w:t xml:space="preserve"> que se </w:t>
      </w:r>
      <w:r w:rsidR="004B0827" w:rsidRPr="003714F5">
        <w:rPr>
          <w:szCs w:val="22"/>
        </w:rPr>
        <w:lastRenderedPageBreak/>
        <w:t>utilizarán</w:t>
      </w:r>
      <w:r w:rsidR="00890CA5" w:rsidRPr="003714F5">
        <w:rPr>
          <w:szCs w:val="22"/>
        </w:rPr>
        <w:t xml:space="preserve"> para evaluar </w:t>
      </w:r>
      <w:r w:rsidR="00414FE5" w:rsidRPr="003714F5">
        <w:rPr>
          <w:szCs w:val="22"/>
        </w:rPr>
        <w:t xml:space="preserve">el desempeño </w:t>
      </w:r>
      <w:r w:rsidR="001E1CF8" w:rsidRPr="003714F5">
        <w:rPr>
          <w:szCs w:val="22"/>
        </w:rPr>
        <w:t>en el logro</w:t>
      </w:r>
      <w:r w:rsidR="00414FE5" w:rsidRPr="003714F5">
        <w:rPr>
          <w:szCs w:val="22"/>
        </w:rPr>
        <w:t xml:space="preserve"> de los</w:t>
      </w:r>
      <w:r w:rsidR="00557D97" w:rsidRPr="003714F5">
        <w:rPr>
          <w:szCs w:val="22"/>
        </w:rPr>
        <w:t xml:space="preserve"> resultados previstos</w:t>
      </w:r>
      <w:r w:rsidR="00133026" w:rsidRPr="003714F5">
        <w:rPr>
          <w:szCs w:val="22"/>
        </w:rPr>
        <w:t xml:space="preserve"> para</w:t>
      </w:r>
      <w:r w:rsidR="008B5BCA" w:rsidRPr="003714F5">
        <w:rPr>
          <w:szCs w:val="22"/>
        </w:rPr>
        <w:t xml:space="preserve"> </w:t>
      </w:r>
      <w:r w:rsidR="001E1CF8" w:rsidRPr="003714F5">
        <w:rPr>
          <w:szCs w:val="22"/>
        </w:rPr>
        <w:t>un</w:t>
      </w:r>
      <w:r w:rsidR="00414FE5" w:rsidRPr="003714F5">
        <w:rPr>
          <w:szCs w:val="22"/>
        </w:rPr>
        <w:t xml:space="preserve"> </w:t>
      </w:r>
      <w:r w:rsidR="00557D97" w:rsidRPr="003714F5">
        <w:rPr>
          <w:szCs w:val="22"/>
        </w:rPr>
        <w:t>bienio</w:t>
      </w:r>
      <w:r w:rsidRPr="003714F5">
        <w:rPr>
          <w:szCs w:val="22"/>
        </w:rPr>
        <w:t>,</w:t>
      </w:r>
      <w:r w:rsidR="00414FE5" w:rsidRPr="003714F5">
        <w:rPr>
          <w:szCs w:val="22"/>
        </w:rPr>
        <w:t xml:space="preserve"> lo que incluye </w:t>
      </w:r>
      <w:r w:rsidR="00557D97" w:rsidRPr="003714F5">
        <w:rPr>
          <w:szCs w:val="22"/>
        </w:rPr>
        <w:t>las actividades de asistencia técnica de la OMPI</w:t>
      </w:r>
      <w:r w:rsidRPr="003714F5">
        <w:rPr>
          <w:szCs w:val="22"/>
        </w:rPr>
        <w:t xml:space="preserve">. </w:t>
      </w:r>
      <w:r w:rsidR="003173A5" w:rsidRPr="003714F5">
        <w:rPr>
          <w:szCs w:val="22"/>
        </w:rPr>
        <w:t>En</w:t>
      </w:r>
      <w:r w:rsidR="00414FE5" w:rsidRPr="003714F5">
        <w:rPr>
          <w:szCs w:val="22"/>
        </w:rPr>
        <w:t xml:space="preserve"> el presupuesto por programas</w:t>
      </w:r>
      <w:r w:rsidRPr="003714F5">
        <w:rPr>
          <w:szCs w:val="22"/>
        </w:rPr>
        <w:t xml:space="preserve"> </w:t>
      </w:r>
      <w:r w:rsidR="001E1CF8" w:rsidRPr="003714F5">
        <w:rPr>
          <w:szCs w:val="22"/>
        </w:rPr>
        <w:t xml:space="preserve">de la OMPI también </w:t>
      </w:r>
      <w:r w:rsidR="003173A5" w:rsidRPr="003714F5">
        <w:rPr>
          <w:szCs w:val="22"/>
        </w:rPr>
        <w:t>se presentan los criterios del</w:t>
      </w:r>
      <w:r w:rsidR="00414FE5" w:rsidRPr="003714F5">
        <w:rPr>
          <w:szCs w:val="22"/>
        </w:rPr>
        <w:t xml:space="preserve"> marco de gestión por resultados </w:t>
      </w:r>
      <w:r w:rsidR="003173A5" w:rsidRPr="003714F5">
        <w:rPr>
          <w:szCs w:val="22"/>
        </w:rPr>
        <w:t xml:space="preserve">para cada </w:t>
      </w:r>
      <w:r w:rsidR="008B5BCA" w:rsidRPr="003714F5">
        <w:rPr>
          <w:szCs w:val="22"/>
        </w:rPr>
        <w:t>meta estratégica</w:t>
      </w:r>
      <w:r w:rsidR="005329BB" w:rsidRPr="003714F5">
        <w:rPr>
          <w:szCs w:val="22"/>
        </w:rPr>
        <w:t xml:space="preserve"> y resultado previsto</w:t>
      </w:r>
      <w:r w:rsidR="003173A5" w:rsidRPr="003714F5">
        <w:rPr>
          <w:szCs w:val="22"/>
        </w:rPr>
        <w:t>,</w:t>
      </w:r>
      <w:r w:rsidR="00ED165C" w:rsidRPr="003714F5">
        <w:rPr>
          <w:szCs w:val="22"/>
        </w:rPr>
        <w:t xml:space="preserve"> </w:t>
      </w:r>
      <w:r w:rsidR="003173A5" w:rsidRPr="003714F5">
        <w:rPr>
          <w:szCs w:val="22"/>
        </w:rPr>
        <w:t xml:space="preserve">así como para </w:t>
      </w:r>
      <w:r w:rsidR="005329BB" w:rsidRPr="003714F5">
        <w:rPr>
          <w:szCs w:val="22"/>
        </w:rPr>
        <w:t>cada uno de los 31 programas de la OMPI</w:t>
      </w:r>
      <w:r w:rsidRPr="003714F5">
        <w:rPr>
          <w:szCs w:val="22"/>
        </w:rPr>
        <w:t>.</w:t>
      </w:r>
    </w:p>
    <w:p w14:paraId="515AFC75" w14:textId="77777777" w:rsidR="00104020" w:rsidRPr="003714F5" w:rsidRDefault="00104020" w:rsidP="00104020">
      <w:pPr>
        <w:rPr>
          <w:szCs w:val="22"/>
        </w:rPr>
      </w:pPr>
    </w:p>
    <w:p w14:paraId="2A93F9A9" w14:textId="4DB9E262" w:rsidR="00104020" w:rsidRPr="003714F5" w:rsidRDefault="00104020" w:rsidP="00104020">
      <w:pPr>
        <w:rPr>
          <w:szCs w:val="22"/>
        </w:rPr>
      </w:pPr>
      <w:r w:rsidRPr="003714F5">
        <w:rPr>
          <w:szCs w:val="22"/>
        </w:rPr>
        <w:fldChar w:fldCharType="begin"/>
      </w:r>
      <w:r w:rsidRPr="003714F5">
        <w:rPr>
          <w:szCs w:val="22"/>
        </w:rPr>
        <w:instrText xml:space="preserve"> AUTONUM  </w:instrText>
      </w:r>
      <w:r w:rsidRPr="003714F5">
        <w:rPr>
          <w:szCs w:val="22"/>
        </w:rPr>
        <w:fldChar w:fldCharType="end"/>
      </w:r>
      <w:r w:rsidRPr="003714F5">
        <w:rPr>
          <w:szCs w:val="22"/>
        </w:rPr>
        <w:tab/>
      </w:r>
      <w:r w:rsidR="006C0DE0" w:rsidRPr="003714F5">
        <w:rPr>
          <w:szCs w:val="22"/>
        </w:rPr>
        <w:t>El principal me</w:t>
      </w:r>
      <w:r w:rsidR="004D56B7" w:rsidRPr="003714F5">
        <w:rPr>
          <w:szCs w:val="22"/>
        </w:rPr>
        <w:t>canismo de rendición de cuentas</w:t>
      </w:r>
      <w:r w:rsidR="006C0DE0" w:rsidRPr="003714F5">
        <w:rPr>
          <w:szCs w:val="22"/>
        </w:rPr>
        <w:t xml:space="preserve"> para informar a los Estados miembros </w:t>
      </w:r>
      <w:r w:rsidR="00133026" w:rsidRPr="003714F5">
        <w:rPr>
          <w:szCs w:val="22"/>
        </w:rPr>
        <w:t>acerca d</w:t>
      </w:r>
      <w:r w:rsidR="006C0DE0" w:rsidRPr="003714F5">
        <w:rPr>
          <w:szCs w:val="22"/>
        </w:rPr>
        <w:t xml:space="preserve">el rendimiento de la </w:t>
      </w:r>
      <w:r w:rsidR="00133026" w:rsidRPr="003714F5">
        <w:rPr>
          <w:szCs w:val="22"/>
        </w:rPr>
        <w:t>o</w:t>
      </w:r>
      <w:r w:rsidR="00826C2E" w:rsidRPr="003714F5">
        <w:rPr>
          <w:szCs w:val="22"/>
        </w:rPr>
        <w:t>rganización</w:t>
      </w:r>
      <w:r w:rsidR="006C0DE0" w:rsidRPr="003714F5">
        <w:rPr>
          <w:szCs w:val="22"/>
        </w:rPr>
        <w:t xml:space="preserve"> es el Informe sobre el rendimiento de la OMPI</w:t>
      </w:r>
      <w:r w:rsidR="00133026" w:rsidRPr="003714F5">
        <w:rPr>
          <w:szCs w:val="22"/>
        </w:rPr>
        <w:t xml:space="preserve"> </w:t>
      </w:r>
      <w:r w:rsidR="00133026" w:rsidRPr="003714F5">
        <w:t>(WPR, de sus siglas en inglés)</w:t>
      </w:r>
      <w:r w:rsidR="006C0DE0" w:rsidRPr="003714F5">
        <w:rPr>
          <w:szCs w:val="22"/>
        </w:rPr>
        <w:t xml:space="preserve">, que </w:t>
      </w:r>
      <w:r w:rsidR="00133026" w:rsidRPr="003714F5">
        <w:rPr>
          <w:szCs w:val="22"/>
        </w:rPr>
        <w:t xml:space="preserve">es </w:t>
      </w:r>
      <w:r w:rsidR="006C0DE0" w:rsidRPr="003714F5">
        <w:rPr>
          <w:szCs w:val="22"/>
        </w:rPr>
        <w:t>parte del</w:t>
      </w:r>
      <w:r w:rsidRPr="003714F5">
        <w:rPr>
          <w:szCs w:val="22"/>
        </w:rPr>
        <w:t xml:space="preserve"> </w:t>
      </w:r>
      <w:r w:rsidR="006C0DE0" w:rsidRPr="003714F5">
        <w:rPr>
          <w:szCs w:val="22"/>
        </w:rPr>
        <w:t xml:space="preserve">marco </w:t>
      </w:r>
      <w:r w:rsidR="00F76235" w:rsidRPr="003714F5">
        <w:rPr>
          <w:szCs w:val="22"/>
        </w:rPr>
        <w:t>de</w:t>
      </w:r>
      <w:r w:rsidR="006C0DE0" w:rsidRPr="003714F5">
        <w:rPr>
          <w:szCs w:val="22"/>
        </w:rPr>
        <w:t xml:space="preserve"> gestión por resultados de la O</w:t>
      </w:r>
      <w:r w:rsidR="00133026" w:rsidRPr="003714F5">
        <w:rPr>
          <w:szCs w:val="22"/>
        </w:rPr>
        <w:t>MPI</w:t>
      </w:r>
      <w:r w:rsidRPr="003714F5">
        <w:rPr>
          <w:szCs w:val="22"/>
        </w:rPr>
        <w:t xml:space="preserve">. </w:t>
      </w:r>
      <w:r w:rsidR="006C0DE0" w:rsidRPr="003714F5">
        <w:rPr>
          <w:szCs w:val="22"/>
        </w:rPr>
        <w:t xml:space="preserve">El </w:t>
      </w:r>
      <w:r w:rsidRPr="003714F5">
        <w:rPr>
          <w:szCs w:val="22"/>
        </w:rPr>
        <w:t xml:space="preserve">WPR </w:t>
      </w:r>
      <w:r w:rsidR="004003ED" w:rsidRPr="003714F5">
        <w:rPr>
          <w:szCs w:val="22"/>
        </w:rPr>
        <w:t>se elabora conforme a lo dispuesto</w:t>
      </w:r>
      <w:r w:rsidR="006C0DE0" w:rsidRPr="003714F5">
        <w:rPr>
          <w:szCs w:val="22"/>
        </w:rPr>
        <w:t xml:space="preserve"> en los artículos 2.14 y 2.14</w:t>
      </w:r>
      <w:r w:rsidR="006C0DE0" w:rsidRPr="003714F5">
        <w:rPr>
          <w:i/>
          <w:szCs w:val="22"/>
        </w:rPr>
        <w:t>bis</w:t>
      </w:r>
      <w:r w:rsidR="006C0DE0" w:rsidRPr="003714F5">
        <w:rPr>
          <w:szCs w:val="22"/>
        </w:rPr>
        <w:t xml:space="preserve"> del Reglamento Financiero y Reglamentación Financiera</w:t>
      </w:r>
      <w:r w:rsidR="00267F11" w:rsidRPr="003714F5">
        <w:rPr>
          <w:szCs w:val="22"/>
        </w:rPr>
        <w:t>,</w:t>
      </w:r>
      <w:r w:rsidR="006C0DE0" w:rsidRPr="003714F5">
        <w:rPr>
          <w:szCs w:val="22"/>
        </w:rPr>
        <w:t xml:space="preserve"> </w:t>
      </w:r>
      <w:r w:rsidR="00267F11" w:rsidRPr="003714F5">
        <w:rPr>
          <w:szCs w:val="22"/>
        </w:rPr>
        <w:t>aprobados por las</w:t>
      </w:r>
      <w:r w:rsidRPr="003714F5">
        <w:rPr>
          <w:szCs w:val="22"/>
        </w:rPr>
        <w:t xml:space="preserve"> </w:t>
      </w:r>
      <w:r w:rsidR="00133026" w:rsidRPr="003714F5">
        <w:rPr>
          <w:szCs w:val="22"/>
        </w:rPr>
        <w:t>Asambleas en octubre de 2017, y constituye</w:t>
      </w:r>
      <w:r w:rsidR="00267F11" w:rsidRPr="003714F5">
        <w:rPr>
          <w:szCs w:val="22"/>
        </w:rPr>
        <w:t xml:space="preserve"> una evaluación detallada y transparente </w:t>
      </w:r>
      <w:r w:rsidR="004D56B7" w:rsidRPr="003714F5">
        <w:rPr>
          <w:szCs w:val="22"/>
        </w:rPr>
        <w:t>del rendimiento</w:t>
      </w:r>
      <w:r w:rsidR="00267F11" w:rsidRPr="003714F5">
        <w:rPr>
          <w:szCs w:val="22"/>
        </w:rPr>
        <w:t xml:space="preserve"> financiero y </w:t>
      </w:r>
      <w:r w:rsidR="004003ED" w:rsidRPr="003714F5">
        <w:rPr>
          <w:szCs w:val="22"/>
        </w:rPr>
        <w:t>de</w:t>
      </w:r>
      <w:r w:rsidR="004D56B7" w:rsidRPr="003714F5">
        <w:rPr>
          <w:szCs w:val="22"/>
        </w:rPr>
        <w:t>l rendimiento de</w:t>
      </w:r>
      <w:r w:rsidR="004003ED" w:rsidRPr="003714F5">
        <w:rPr>
          <w:szCs w:val="22"/>
        </w:rPr>
        <w:t xml:space="preserve"> </w:t>
      </w:r>
      <w:r w:rsidR="00267F11" w:rsidRPr="003714F5">
        <w:rPr>
          <w:szCs w:val="22"/>
        </w:rPr>
        <w:t>los programas en un determinado bienio.</w:t>
      </w:r>
      <w:r w:rsidRPr="003714F5">
        <w:rPr>
          <w:szCs w:val="22"/>
        </w:rPr>
        <w:t xml:space="preserve"> </w:t>
      </w:r>
      <w:r w:rsidR="009723F9" w:rsidRPr="003714F5">
        <w:rPr>
          <w:szCs w:val="22"/>
        </w:rPr>
        <w:t>Esta evaluación</w:t>
      </w:r>
      <w:r w:rsidR="00267F11" w:rsidRPr="003714F5">
        <w:rPr>
          <w:szCs w:val="22"/>
        </w:rPr>
        <w:t xml:space="preserve"> </w:t>
      </w:r>
      <w:r w:rsidR="00133026" w:rsidRPr="003714F5">
        <w:rPr>
          <w:szCs w:val="22"/>
        </w:rPr>
        <w:t xml:space="preserve">del rendimiento </w:t>
      </w:r>
      <w:r w:rsidR="00267F11" w:rsidRPr="003714F5">
        <w:rPr>
          <w:szCs w:val="22"/>
        </w:rPr>
        <w:t>se basa e</w:t>
      </w:r>
      <w:r w:rsidR="009723F9" w:rsidRPr="003714F5">
        <w:rPr>
          <w:szCs w:val="22"/>
        </w:rPr>
        <w:t xml:space="preserve">n el marco </w:t>
      </w:r>
      <w:r w:rsidR="00F76235" w:rsidRPr="003714F5">
        <w:rPr>
          <w:szCs w:val="22"/>
        </w:rPr>
        <w:t>de</w:t>
      </w:r>
      <w:r w:rsidR="00133026" w:rsidRPr="003714F5">
        <w:rPr>
          <w:szCs w:val="22"/>
        </w:rPr>
        <w:t xml:space="preserve"> </w:t>
      </w:r>
      <w:r w:rsidR="009723F9" w:rsidRPr="003714F5">
        <w:rPr>
          <w:szCs w:val="22"/>
        </w:rPr>
        <w:t>resultados aprobado por los Estados miembros en el presupuesto por programas</w:t>
      </w:r>
      <w:r w:rsidRPr="003714F5">
        <w:rPr>
          <w:szCs w:val="22"/>
        </w:rPr>
        <w:t>.</w:t>
      </w:r>
    </w:p>
    <w:p w14:paraId="09DD841E" w14:textId="77777777" w:rsidR="00104020" w:rsidRPr="003714F5" w:rsidRDefault="00104020" w:rsidP="00104020">
      <w:pPr>
        <w:rPr>
          <w:szCs w:val="22"/>
        </w:rPr>
      </w:pPr>
    </w:p>
    <w:p w14:paraId="12221D76" w14:textId="26694ED9" w:rsidR="00104020" w:rsidRPr="003714F5" w:rsidRDefault="00104020" w:rsidP="00104020">
      <w:pPr>
        <w:rPr>
          <w:szCs w:val="22"/>
        </w:rPr>
      </w:pPr>
      <w:r w:rsidRPr="003714F5">
        <w:rPr>
          <w:szCs w:val="22"/>
        </w:rPr>
        <w:fldChar w:fldCharType="begin"/>
      </w:r>
      <w:r w:rsidRPr="003714F5">
        <w:rPr>
          <w:szCs w:val="22"/>
        </w:rPr>
        <w:instrText xml:space="preserve"> AUTONUM  </w:instrText>
      </w:r>
      <w:r w:rsidRPr="003714F5">
        <w:rPr>
          <w:szCs w:val="22"/>
        </w:rPr>
        <w:fldChar w:fldCharType="end"/>
      </w:r>
      <w:r w:rsidR="004661B6" w:rsidRPr="003714F5">
        <w:rPr>
          <w:szCs w:val="22"/>
        </w:rPr>
        <w:tab/>
        <w:t>La evaluación del rendimiento</w:t>
      </w:r>
      <w:r w:rsidR="004003ED" w:rsidRPr="003714F5">
        <w:rPr>
          <w:szCs w:val="22"/>
        </w:rPr>
        <w:t xml:space="preserve"> realizada para el</w:t>
      </w:r>
      <w:r w:rsidR="004661B6" w:rsidRPr="003714F5">
        <w:rPr>
          <w:szCs w:val="22"/>
        </w:rPr>
        <w:t xml:space="preserve"> </w:t>
      </w:r>
      <w:r w:rsidRPr="003714F5">
        <w:rPr>
          <w:szCs w:val="22"/>
        </w:rPr>
        <w:t xml:space="preserve">WPR </w:t>
      </w:r>
      <w:r w:rsidR="004661B6" w:rsidRPr="003714F5">
        <w:rPr>
          <w:szCs w:val="22"/>
        </w:rPr>
        <w:t xml:space="preserve">también </w:t>
      </w:r>
      <w:r w:rsidR="004003ED" w:rsidRPr="003714F5">
        <w:rPr>
          <w:szCs w:val="22"/>
        </w:rPr>
        <w:t xml:space="preserve">es </w:t>
      </w:r>
      <w:r w:rsidR="004661B6" w:rsidRPr="003714F5">
        <w:rPr>
          <w:szCs w:val="22"/>
        </w:rPr>
        <w:t xml:space="preserve">una importante herramienta de aprendizaje que </w:t>
      </w:r>
      <w:r w:rsidR="004003ED" w:rsidRPr="003714F5">
        <w:rPr>
          <w:szCs w:val="22"/>
        </w:rPr>
        <w:t>permite que</w:t>
      </w:r>
      <w:r w:rsidR="00133026" w:rsidRPr="003714F5">
        <w:rPr>
          <w:szCs w:val="22"/>
        </w:rPr>
        <w:t xml:space="preserve"> </w:t>
      </w:r>
      <w:r w:rsidR="004003ED" w:rsidRPr="003714F5">
        <w:rPr>
          <w:szCs w:val="22"/>
        </w:rPr>
        <w:t xml:space="preserve">las </w:t>
      </w:r>
      <w:r w:rsidR="00B837F7" w:rsidRPr="003714F5">
        <w:rPr>
          <w:szCs w:val="22"/>
        </w:rPr>
        <w:t>lecciones aprendidas</w:t>
      </w:r>
      <w:r w:rsidR="004003ED" w:rsidRPr="003714F5">
        <w:rPr>
          <w:szCs w:val="22"/>
        </w:rPr>
        <w:t xml:space="preserve"> </w:t>
      </w:r>
      <w:r w:rsidR="00F76235" w:rsidRPr="003714F5">
        <w:rPr>
          <w:szCs w:val="22"/>
        </w:rPr>
        <w:t>acerca</w:t>
      </w:r>
      <w:r w:rsidR="004003ED" w:rsidRPr="003714F5">
        <w:rPr>
          <w:szCs w:val="22"/>
        </w:rPr>
        <w:t xml:space="preserve"> </w:t>
      </w:r>
      <w:r w:rsidR="00F76235" w:rsidRPr="003714F5">
        <w:rPr>
          <w:szCs w:val="22"/>
        </w:rPr>
        <w:t>d</w:t>
      </w:r>
      <w:r w:rsidR="004003ED" w:rsidRPr="003714F5">
        <w:rPr>
          <w:szCs w:val="22"/>
        </w:rPr>
        <w:t xml:space="preserve">el </w:t>
      </w:r>
      <w:r w:rsidR="00630D61" w:rsidRPr="003714F5">
        <w:rPr>
          <w:szCs w:val="22"/>
        </w:rPr>
        <w:t>rendimiento</w:t>
      </w:r>
      <w:r w:rsidR="004003ED" w:rsidRPr="003714F5">
        <w:rPr>
          <w:szCs w:val="22"/>
        </w:rPr>
        <w:t xml:space="preserve"> obtenido en </w:t>
      </w:r>
      <w:r w:rsidR="00F76235" w:rsidRPr="003714F5">
        <w:rPr>
          <w:szCs w:val="22"/>
        </w:rPr>
        <w:t>bienios anteriores</w:t>
      </w:r>
      <w:r w:rsidR="00133026" w:rsidRPr="003714F5">
        <w:rPr>
          <w:szCs w:val="22"/>
        </w:rPr>
        <w:t xml:space="preserve"> </w:t>
      </w:r>
      <w:r w:rsidR="004661B6" w:rsidRPr="003714F5">
        <w:rPr>
          <w:szCs w:val="22"/>
        </w:rPr>
        <w:t>se tenga</w:t>
      </w:r>
      <w:r w:rsidR="00133026" w:rsidRPr="003714F5">
        <w:rPr>
          <w:szCs w:val="22"/>
        </w:rPr>
        <w:t>n</w:t>
      </w:r>
      <w:r w:rsidR="004661B6" w:rsidRPr="003714F5">
        <w:rPr>
          <w:szCs w:val="22"/>
        </w:rPr>
        <w:t xml:space="preserve"> debidamente en cuenta </w:t>
      </w:r>
      <w:r w:rsidR="004003ED" w:rsidRPr="003714F5">
        <w:rPr>
          <w:szCs w:val="22"/>
        </w:rPr>
        <w:t xml:space="preserve">en la realización </w:t>
      </w:r>
      <w:r w:rsidR="00C975F7" w:rsidRPr="003714F5">
        <w:rPr>
          <w:szCs w:val="22"/>
        </w:rPr>
        <w:t>de</w:t>
      </w:r>
      <w:r w:rsidR="004661B6" w:rsidRPr="003714F5">
        <w:rPr>
          <w:szCs w:val="22"/>
        </w:rPr>
        <w:t xml:space="preserve"> las </w:t>
      </w:r>
      <w:r w:rsidR="00C975F7" w:rsidRPr="003714F5">
        <w:rPr>
          <w:szCs w:val="22"/>
        </w:rPr>
        <w:t>actividades</w:t>
      </w:r>
      <w:r w:rsidR="004661B6" w:rsidRPr="003714F5">
        <w:rPr>
          <w:szCs w:val="22"/>
        </w:rPr>
        <w:t xml:space="preserve"> </w:t>
      </w:r>
      <w:r w:rsidR="00133026" w:rsidRPr="003714F5">
        <w:rPr>
          <w:szCs w:val="22"/>
        </w:rPr>
        <w:t xml:space="preserve">futuras </w:t>
      </w:r>
      <w:r w:rsidR="004661B6" w:rsidRPr="003714F5">
        <w:rPr>
          <w:szCs w:val="22"/>
        </w:rPr>
        <w:t xml:space="preserve">de la OMPI y </w:t>
      </w:r>
      <w:r w:rsidR="00B837F7" w:rsidRPr="003714F5">
        <w:rPr>
          <w:szCs w:val="22"/>
        </w:rPr>
        <w:t>se utilicen como</w:t>
      </w:r>
      <w:r w:rsidR="004661B6" w:rsidRPr="003714F5">
        <w:rPr>
          <w:szCs w:val="22"/>
        </w:rPr>
        <w:t xml:space="preserve"> base para </w:t>
      </w:r>
      <w:r w:rsidR="004003ED" w:rsidRPr="003714F5">
        <w:rPr>
          <w:szCs w:val="22"/>
        </w:rPr>
        <w:t>definir</w:t>
      </w:r>
      <w:r w:rsidR="004661B6" w:rsidRPr="003714F5">
        <w:rPr>
          <w:szCs w:val="22"/>
        </w:rPr>
        <w:t xml:space="preserve"> </w:t>
      </w:r>
      <w:r w:rsidR="004003ED" w:rsidRPr="003714F5">
        <w:rPr>
          <w:szCs w:val="22"/>
        </w:rPr>
        <w:t xml:space="preserve">posteriores </w:t>
      </w:r>
      <w:r w:rsidR="004661B6" w:rsidRPr="003714F5">
        <w:rPr>
          <w:szCs w:val="22"/>
        </w:rPr>
        <w:t>marcos de resultados</w:t>
      </w:r>
      <w:r w:rsidR="00630D61" w:rsidRPr="003714F5">
        <w:rPr>
          <w:szCs w:val="22"/>
        </w:rPr>
        <w:t>.</w:t>
      </w:r>
      <w:r w:rsidRPr="003714F5">
        <w:rPr>
          <w:szCs w:val="22"/>
        </w:rPr>
        <w:t xml:space="preserve"> </w:t>
      </w:r>
      <w:r w:rsidR="00826C2E" w:rsidRPr="003714F5">
        <w:rPr>
          <w:szCs w:val="22"/>
        </w:rPr>
        <w:t>En este contexto</w:t>
      </w:r>
      <w:r w:rsidRPr="003714F5">
        <w:rPr>
          <w:szCs w:val="22"/>
        </w:rPr>
        <w:t xml:space="preserve">, </w:t>
      </w:r>
      <w:r w:rsidR="00826C2E" w:rsidRPr="003714F5">
        <w:rPr>
          <w:szCs w:val="22"/>
        </w:rPr>
        <w:t xml:space="preserve">el marco de gestión por resultados ha experimentado constantes mejoras desde el bienio </w:t>
      </w:r>
      <w:r w:rsidRPr="003714F5">
        <w:rPr>
          <w:szCs w:val="22"/>
        </w:rPr>
        <w:t xml:space="preserve">2012/13, </w:t>
      </w:r>
      <w:r w:rsidR="00826C2E" w:rsidRPr="003714F5">
        <w:rPr>
          <w:szCs w:val="22"/>
        </w:rPr>
        <w:t xml:space="preserve">como </w:t>
      </w:r>
      <w:r w:rsidR="004003ED" w:rsidRPr="003714F5">
        <w:rPr>
          <w:szCs w:val="22"/>
        </w:rPr>
        <w:t>pone de manifiesto</w:t>
      </w:r>
      <w:r w:rsidR="00826C2E" w:rsidRPr="003714F5">
        <w:rPr>
          <w:szCs w:val="22"/>
        </w:rPr>
        <w:t xml:space="preserve"> el</w:t>
      </w:r>
      <w:r w:rsidRPr="003714F5">
        <w:rPr>
          <w:szCs w:val="22"/>
        </w:rPr>
        <w:t xml:space="preserve"> </w:t>
      </w:r>
      <w:hyperlink r:id="rId9" w:history="1">
        <w:r w:rsidRPr="003714F5">
          <w:rPr>
            <w:rStyle w:val="Hyperlink"/>
          </w:rPr>
          <w:t>In</w:t>
        </w:r>
        <w:r w:rsidR="00826C2E" w:rsidRPr="003714F5">
          <w:rPr>
            <w:rStyle w:val="Hyperlink"/>
          </w:rPr>
          <w:t>forme de la</w:t>
        </w:r>
        <w:r w:rsidRPr="003714F5">
          <w:rPr>
            <w:rStyle w:val="Hyperlink"/>
          </w:rPr>
          <w:t xml:space="preserve"> </w:t>
        </w:r>
        <w:r w:rsidR="00826C2E" w:rsidRPr="003714F5">
          <w:rPr>
            <w:rStyle w:val="Hyperlink"/>
          </w:rPr>
          <w:t>División de Supervisión Interna (DSI</w:t>
        </w:r>
        <w:r w:rsidRPr="003714F5">
          <w:rPr>
            <w:rStyle w:val="Hyperlink"/>
          </w:rPr>
          <w:t xml:space="preserve">) </w:t>
        </w:r>
        <w:r w:rsidR="00826C2E" w:rsidRPr="003714F5">
          <w:rPr>
            <w:rStyle w:val="Hyperlink"/>
          </w:rPr>
          <w:t>de validación del Informe sob</w:t>
        </w:r>
        <w:r w:rsidR="00E86357">
          <w:rPr>
            <w:rStyle w:val="Hyperlink"/>
          </w:rPr>
          <w:t>re el rendimiento de la OMPI en </w:t>
        </w:r>
        <w:r w:rsidR="00826C2E" w:rsidRPr="003714F5">
          <w:rPr>
            <w:rStyle w:val="Hyperlink"/>
          </w:rPr>
          <w:t>2016/17</w:t>
        </w:r>
      </w:hyperlink>
      <w:r w:rsidR="003714F5">
        <w:rPr>
          <w:szCs w:val="22"/>
        </w:rPr>
        <w:t xml:space="preserve"> (d</w:t>
      </w:r>
      <w:r w:rsidRPr="003714F5">
        <w:rPr>
          <w:szCs w:val="22"/>
        </w:rPr>
        <w:t>ocument</w:t>
      </w:r>
      <w:r w:rsidR="00826C2E" w:rsidRPr="003714F5">
        <w:rPr>
          <w:szCs w:val="22"/>
        </w:rPr>
        <w:t>o</w:t>
      </w:r>
      <w:r w:rsidRPr="003714F5">
        <w:rPr>
          <w:szCs w:val="22"/>
        </w:rPr>
        <w:t xml:space="preserve"> WO/PBC/28/8).</w:t>
      </w:r>
    </w:p>
    <w:p w14:paraId="41D0F1F0" w14:textId="77777777" w:rsidR="00104020" w:rsidRPr="003714F5" w:rsidRDefault="00104020" w:rsidP="00104020">
      <w:pPr>
        <w:rPr>
          <w:szCs w:val="22"/>
        </w:rPr>
      </w:pPr>
    </w:p>
    <w:p w14:paraId="07DE5543" w14:textId="708FD744" w:rsidR="00104020" w:rsidRPr="003714F5" w:rsidRDefault="00104020" w:rsidP="00104020">
      <w:pPr>
        <w:rPr>
          <w:szCs w:val="22"/>
        </w:rPr>
      </w:pPr>
      <w:r w:rsidRPr="003714F5">
        <w:rPr>
          <w:szCs w:val="22"/>
        </w:rPr>
        <w:fldChar w:fldCharType="begin"/>
      </w:r>
      <w:r w:rsidRPr="003714F5">
        <w:rPr>
          <w:szCs w:val="22"/>
        </w:rPr>
        <w:instrText xml:space="preserve"> AUTONUM  </w:instrText>
      </w:r>
      <w:r w:rsidRPr="003714F5">
        <w:rPr>
          <w:szCs w:val="22"/>
        </w:rPr>
        <w:fldChar w:fldCharType="end"/>
      </w:r>
      <w:r w:rsidRPr="003714F5">
        <w:rPr>
          <w:szCs w:val="22"/>
        </w:rPr>
        <w:tab/>
      </w:r>
      <w:r w:rsidR="00826C2E" w:rsidRPr="003714F5">
        <w:rPr>
          <w:szCs w:val="22"/>
        </w:rPr>
        <w:t xml:space="preserve">Para </w:t>
      </w:r>
      <w:r w:rsidR="004003ED" w:rsidRPr="003714F5">
        <w:rPr>
          <w:szCs w:val="22"/>
        </w:rPr>
        <w:t>dar más</w:t>
      </w:r>
      <w:r w:rsidR="00826C2E" w:rsidRPr="003714F5">
        <w:rPr>
          <w:szCs w:val="22"/>
        </w:rPr>
        <w:t xml:space="preserve"> validez </w:t>
      </w:r>
      <w:r w:rsidR="004003ED" w:rsidRPr="003714F5">
        <w:rPr>
          <w:szCs w:val="22"/>
        </w:rPr>
        <w:t>a</w:t>
      </w:r>
      <w:r w:rsidR="00826C2E" w:rsidRPr="003714F5">
        <w:rPr>
          <w:szCs w:val="22"/>
        </w:rPr>
        <w:t xml:space="preserve"> la evaluación del rendimiento en el marco del</w:t>
      </w:r>
      <w:r w:rsidRPr="003714F5">
        <w:rPr>
          <w:szCs w:val="22"/>
        </w:rPr>
        <w:t xml:space="preserve"> WPR, </w:t>
      </w:r>
      <w:r w:rsidR="00826C2E" w:rsidRPr="003714F5">
        <w:rPr>
          <w:szCs w:val="22"/>
        </w:rPr>
        <w:t>la División de Supervisión Interna (DSI) de la OMPI realiza cada dos años una validación de los datos sobre rendimiento</w:t>
      </w:r>
      <w:r w:rsidRPr="003714F5">
        <w:rPr>
          <w:szCs w:val="22"/>
        </w:rPr>
        <w:t xml:space="preserve">. </w:t>
      </w:r>
      <w:r w:rsidR="00C975F7" w:rsidRPr="003714F5">
        <w:rPr>
          <w:szCs w:val="22"/>
        </w:rPr>
        <w:t xml:space="preserve">Las constataciones y recomendaciones </w:t>
      </w:r>
      <w:r w:rsidR="00B837F7" w:rsidRPr="003714F5">
        <w:rPr>
          <w:szCs w:val="22"/>
        </w:rPr>
        <w:t>formuladas en el marco de</w:t>
      </w:r>
      <w:r w:rsidR="00C975F7" w:rsidRPr="003714F5">
        <w:rPr>
          <w:szCs w:val="22"/>
        </w:rPr>
        <w:t xml:space="preserve"> la validación constituyen una</w:t>
      </w:r>
      <w:r w:rsidR="00B837F7" w:rsidRPr="003714F5">
        <w:rPr>
          <w:szCs w:val="22"/>
        </w:rPr>
        <w:t xml:space="preserve"> </w:t>
      </w:r>
      <w:r w:rsidR="00C975F7" w:rsidRPr="003714F5">
        <w:rPr>
          <w:szCs w:val="22"/>
        </w:rPr>
        <w:t xml:space="preserve">herramienta </w:t>
      </w:r>
      <w:r w:rsidR="00B837F7" w:rsidRPr="003714F5">
        <w:rPr>
          <w:szCs w:val="22"/>
        </w:rPr>
        <w:t xml:space="preserve">útil </w:t>
      </w:r>
      <w:r w:rsidR="00C975F7" w:rsidRPr="003714F5">
        <w:rPr>
          <w:szCs w:val="22"/>
        </w:rPr>
        <w:t xml:space="preserve">que </w:t>
      </w:r>
      <w:r w:rsidR="00B837F7" w:rsidRPr="003714F5">
        <w:rPr>
          <w:szCs w:val="22"/>
        </w:rPr>
        <w:t>se utiliza como</w:t>
      </w:r>
      <w:r w:rsidR="00C975F7" w:rsidRPr="003714F5">
        <w:rPr>
          <w:szCs w:val="22"/>
        </w:rPr>
        <w:t xml:space="preserve"> base </w:t>
      </w:r>
      <w:r w:rsidR="00B837F7" w:rsidRPr="003714F5">
        <w:rPr>
          <w:szCs w:val="22"/>
        </w:rPr>
        <w:t xml:space="preserve">en </w:t>
      </w:r>
      <w:r w:rsidR="00C975F7" w:rsidRPr="003714F5">
        <w:rPr>
          <w:szCs w:val="22"/>
        </w:rPr>
        <w:t>ciclos de planificación</w:t>
      </w:r>
      <w:r w:rsidR="00B837F7" w:rsidRPr="003714F5">
        <w:rPr>
          <w:szCs w:val="22"/>
        </w:rPr>
        <w:t xml:space="preserve"> posteriores</w:t>
      </w:r>
      <w:r w:rsidR="00F76235" w:rsidRPr="003714F5">
        <w:rPr>
          <w:szCs w:val="22"/>
        </w:rPr>
        <w:t xml:space="preserve"> para</w:t>
      </w:r>
      <w:r w:rsidR="00C975F7" w:rsidRPr="003714F5">
        <w:rPr>
          <w:szCs w:val="22"/>
        </w:rPr>
        <w:t xml:space="preserve">, entre otras cosas, reforzar </w:t>
      </w:r>
      <w:r w:rsidR="00B837F7" w:rsidRPr="003714F5">
        <w:rPr>
          <w:szCs w:val="22"/>
        </w:rPr>
        <w:t xml:space="preserve">la formulación de </w:t>
      </w:r>
      <w:r w:rsidR="00C975F7" w:rsidRPr="003714F5">
        <w:rPr>
          <w:szCs w:val="22"/>
        </w:rPr>
        <w:t xml:space="preserve">los </w:t>
      </w:r>
      <w:r w:rsidR="00B837F7" w:rsidRPr="003714F5">
        <w:rPr>
          <w:szCs w:val="22"/>
        </w:rPr>
        <w:t>indicadores de rendimiento,</w:t>
      </w:r>
      <w:r w:rsidR="00F76235" w:rsidRPr="003714F5">
        <w:rPr>
          <w:szCs w:val="22"/>
        </w:rPr>
        <w:t xml:space="preserve"> </w:t>
      </w:r>
      <w:r w:rsidR="00B837F7" w:rsidRPr="003714F5">
        <w:rPr>
          <w:szCs w:val="22"/>
        </w:rPr>
        <w:t>referencias de base y</w:t>
      </w:r>
      <w:r w:rsidR="00F76235" w:rsidRPr="003714F5">
        <w:rPr>
          <w:szCs w:val="22"/>
        </w:rPr>
        <w:t xml:space="preserve"> </w:t>
      </w:r>
      <w:r w:rsidR="00C975F7" w:rsidRPr="003714F5">
        <w:rPr>
          <w:szCs w:val="22"/>
        </w:rPr>
        <w:t>objetivos,</w:t>
      </w:r>
      <w:r w:rsidR="00327DB5" w:rsidRPr="003714F5">
        <w:rPr>
          <w:szCs w:val="22"/>
        </w:rPr>
        <w:t xml:space="preserve"> </w:t>
      </w:r>
      <w:r w:rsidR="00F76235" w:rsidRPr="003714F5">
        <w:rPr>
          <w:szCs w:val="22"/>
        </w:rPr>
        <w:t>ajustar</w:t>
      </w:r>
      <w:r w:rsidR="00327DB5" w:rsidRPr="003714F5">
        <w:rPr>
          <w:szCs w:val="22"/>
        </w:rPr>
        <w:t xml:space="preserve"> </w:t>
      </w:r>
      <w:r w:rsidR="00D9417B" w:rsidRPr="003714F5">
        <w:rPr>
          <w:szCs w:val="22"/>
        </w:rPr>
        <w:t xml:space="preserve">y simplificar el marco de resultados y mejorar los </w:t>
      </w:r>
      <w:r w:rsidR="00975EDC" w:rsidRPr="003714F5">
        <w:rPr>
          <w:szCs w:val="22"/>
        </w:rPr>
        <w:t xml:space="preserve">mecanismos de </w:t>
      </w:r>
      <w:r w:rsidR="007F591D" w:rsidRPr="003714F5">
        <w:rPr>
          <w:szCs w:val="22"/>
        </w:rPr>
        <w:t>reunión</w:t>
      </w:r>
      <w:r w:rsidR="00975EDC" w:rsidRPr="003714F5">
        <w:rPr>
          <w:szCs w:val="22"/>
        </w:rPr>
        <w:t xml:space="preserve"> de datos para garantizar que los datos sean: </w:t>
      </w:r>
      <w:r w:rsidRPr="003714F5">
        <w:rPr>
          <w:szCs w:val="22"/>
        </w:rPr>
        <w:t xml:space="preserve">i) </w:t>
      </w:r>
      <w:r w:rsidR="00B837F7" w:rsidRPr="003714F5">
        <w:rPr>
          <w:szCs w:val="22"/>
        </w:rPr>
        <w:t>p</w:t>
      </w:r>
      <w:r w:rsidR="00E35EFA" w:rsidRPr="003714F5">
        <w:rPr>
          <w:szCs w:val="22"/>
        </w:rPr>
        <w:t>ertinentes/</w:t>
      </w:r>
      <w:r w:rsidR="00B837F7" w:rsidRPr="003714F5">
        <w:rPr>
          <w:szCs w:val="22"/>
        </w:rPr>
        <w:t>útiles</w:t>
      </w:r>
      <w:r w:rsidRPr="003714F5">
        <w:rPr>
          <w:szCs w:val="22"/>
        </w:rPr>
        <w:t xml:space="preserve">; ii) </w:t>
      </w:r>
      <w:r w:rsidR="00E85E8F" w:rsidRPr="003714F5">
        <w:rPr>
          <w:szCs w:val="22"/>
        </w:rPr>
        <w:t xml:space="preserve">suficientes/exhaustivos; </w:t>
      </w:r>
      <w:r w:rsidRPr="003714F5">
        <w:rPr>
          <w:szCs w:val="22"/>
        </w:rPr>
        <w:t xml:space="preserve">iii) </w:t>
      </w:r>
      <w:r w:rsidR="00E85E8F" w:rsidRPr="003714F5">
        <w:rPr>
          <w:szCs w:val="22"/>
        </w:rPr>
        <w:t>recopilados con eficiencia/de fácil acceso</w:t>
      </w:r>
      <w:r w:rsidRPr="003714F5">
        <w:rPr>
          <w:szCs w:val="22"/>
        </w:rPr>
        <w:t xml:space="preserve">; iv) </w:t>
      </w:r>
      <w:r w:rsidR="00E85E8F" w:rsidRPr="003714F5">
        <w:rPr>
          <w:szCs w:val="22"/>
        </w:rPr>
        <w:t xml:space="preserve">exactos/verificables; </w:t>
      </w:r>
      <w:r w:rsidRPr="003714F5">
        <w:rPr>
          <w:szCs w:val="22"/>
        </w:rPr>
        <w:t xml:space="preserve">v) </w:t>
      </w:r>
      <w:r w:rsidR="00E85E8F" w:rsidRPr="003714F5">
        <w:rPr>
          <w:szCs w:val="22"/>
        </w:rPr>
        <w:t>presentados puntualmente</w:t>
      </w:r>
      <w:r w:rsidRPr="003714F5">
        <w:rPr>
          <w:szCs w:val="22"/>
        </w:rPr>
        <w:t xml:space="preserve">; </w:t>
      </w:r>
      <w:r w:rsidR="00E85E8F" w:rsidRPr="003714F5">
        <w:rPr>
          <w:szCs w:val="22"/>
        </w:rPr>
        <w:t xml:space="preserve">y </w:t>
      </w:r>
      <w:r w:rsidRPr="003714F5">
        <w:rPr>
          <w:szCs w:val="22"/>
        </w:rPr>
        <w:t xml:space="preserve">vi) </w:t>
      </w:r>
      <w:r w:rsidR="00E85E8F" w:rsidRPr="003714F5">
        <w:rPr>
          <w:szCs w:val="22"/>
        </w:rPr>
        <w:t>claros</w:t>
      </w:r>
      <w:r w:rsidRPr="003714F5">
        <w:rPr>
          <w:szCs w:val="22"/>
        </w:rPr>
        <w:t>/transparent</w:t>
      </w:r>
      <w:r w:rsidR="00E85E8F" w:rsidRPr="003714F5">
        <w:rPr>
          <w:szCs w:val="22"/>
        </w:rPr>
        <w:t>es</w:t>
      </w:r>
      <w:r w:rsidRPr="003714F5">
        <w:rPr>
          <w:szCs w:val="22"/>
        </w:rPr>
        <w:t>.</w:t>
      </w:r>
    </w:p>
    <w:p w14:paraId="53C0E1DA" w14:textId="77777777" w:rsidR="004003ED" w:rsidRPr="003714F5" w:rsidRDefault="004003ED" w:rsidP="00104020">
      <w:pPr>
        <w:rPr>
          <w:szCs w:val="22"/>
        </w:rPr>
      </w:pPr>
    </w:p>
    <w:p w14:paraId="12E2262A" w14:textId="4570B1A6" w:rsidR="00104020" w:rsidRPr="003714F5" w:rsidRDefault="00104020" w:rsidP="00104020">
      <w:pPr>
        <w:rPr>
          <w:szCs w:val="22"/>
        </w:rPr>
      </w:pPr>
      <w:r w:rsidRPr="003714F5">
        <w:rPr>
          <w:szCs w:val="22"/>
        </w:rPr>
        <w:fldChar w:fldCharType="begin"/>
      </w:r>
      <w:r w:rsidRPr="003714F5">
        <w:rPr>
          <w:szCs w:val="22"/>
        </w:rPr>
        <w:instrText xml:space="preserve"> AUTONUM  </w:instrText>
      </w:r>
      <w:r w:rsidRPr="003714F5">
        <w:rPr>
          <w:szCs w:val="22"/>
        </w:rPr>
        <w:fldChar w:fldCharType="end"/>
      </w:r>
      <w:r w:rsidRPr="003714F5">
        <w:rPr>
          <w:szCs w:val="22"/>
        </w:rPr>
        <w:tab/>
      </w:r>
      <w:r w:rsidR="00E85E8F" w:rsidRPr="003714F5">
        <w:rPr>
          <w:szCs w:val="22"/>
        </w:rPr>
        <w:t>Para evaluar</w:t>
      </w:r>
      <w:r w:rsidR="00B837F7" w:rsidRPr="003714F5">
        <w:rPr>
          <w:szCs w:val="22"/>
        </w:rPr>
        <w:t xml:space="preserve"> con</w:t>
      </w:r>
      <w:r w:rsidR="00E85E8F" w:rsidRPr="003714F5">
        <w:rPr>
          <w:szCs w:val="22"/>
        </w:rPr>
        <w:t xml:space="preserve"> más en detalle la ef</w:t>
      </w:r>
      <w:r w:rsidR="00EC2D58" w:rsidRPr="003714F5">
        <w:rPr>
          <w:szCs w:val="22"/>
        </w:rPr>
        <w:t>ectividad</w:t>
      </w:r>
      <w:r w:rsidR="00E85E8F" w:rsidRPr="003714F5">
        <w:rPr>
          <w:szCs w:val="22"/>
        </w:rPr>
        <w:t xml:space="preserve">, </w:t>
      </w:r>
      <w:r w:rsidR="00B837F7" w:rsidRPr="003714F5">
        <w:rPr>
          <w:szCs w:val="22"/>
        </w:rPr>
        <w:t xml:space="preserve">la </w:t>
      </w:r>
      <w:r w:rsidR="00E85E8F" w:rsidRPr="003714F5">
        <w:rPr>
          <w:szCs w:val="22"/>
        </w:rPr>
        <w:t xml:space="preserve">eficiencia, </w:t>
      </w:r>
      <w:r w:rsidR="00B837F7" w:rsidRPr="003714F5">
        <w:rPr>
          <w:szCs w:val="22"/>
        </w:rPr>
        <w:t xml:space="preserve">la </w:t>
      </w:r>
      <w:r w:rsidR="00E85E8F" w:rsidRPr="003714F5">
        <w:rPr>
          <w:szCs w:val="22"/>
        </w:rPr>
        <w:t xml:space="preserve">incidencia y </w:t>
      </w:r>
      <w:r w:rsidR="00B837F7" w:rsidRPr="003714F5">
        <w:rPr>
          <w:szCs w:val="22"/>
        </w:rPr>
        <w:t>la</w:t>
      </w:r>
      <w:r w:rsidR="00F30A9A" w:rsidRPr="003714F5">
        <w:rPr>
          <w:szCs w:val="22"/>
        </w:rPr>
        <w:t xml:space="preserve"> </w:t>
      </w:r>
      <w:r w:rsidR="00E85E8F" w:rsidRPr="003714F5">
        <w:rPr>
          <w:szCs w:val="22"/>
        </w:rPr>
        <w:t xml:space="preserve">sostenibilidad </w:t>
      </w:r>
      <w:r w:rsidR="00B837F7" w:rsidRPr="003714F5">
        <w:rPr>
          <w:szCs w:val="22"/>
        </w:rPr>
        <w:t xml:space="preserve">de </w:t>
      </w:r>
      <w:r w:rsidR="0010007B" w:rsidRPr="003714F5">
        <w:rPr>
          <w:szCs w:val="22"/>
        </w:rPr>
        <w:t xml:space="preserve">la labor de la OMPI, la DSI </w:t>
      </w:r>
      <w:r w:rsidR="00B837F7" w:rsidRPr="003714F5">
        <w:rPr>
          <w:szCs w:val="22"/>
        </w:rPr>
        <w:t>realiza</w:t>
      </w:r>
      <w:r w:rsidR="0010007B" w:rsidRPr="003714F5">
        <w:rPr>
          <w:szCs w:val="22"/>
        </w:rPr>
        <w:t xml:space="preserve"> </w:t>
      </w:r>
      <w:r w:rsidR="00F30A9A" w:rsidRPr="003714F5">
        <w:rPr>
          <w:szCs w:val="22"/>
        </w:rPr>
        <w:t>principalmente</w:t>
      </w:r>
      <w:r w:rsidR="0010007B" w:rsidRPr="003714F5">
        <w:rPr>
          <w:szCs w:val="22"/>
        </w:rPr>
        <w:t xml:space="preserve"> cinco tipos</w:t>
      </w:r>
      <w:r w:rsidR="00B837F7" w:rsidRPr="003714F5">
        <w:rPr>
          <w:szCs w:val="22"/>
        </w:rPr>
        <w:t xml:space="preserve"> d</w:t>
      </w:r>
      <w:r w:rsidR="0010007B" w:rsidRPr="003714F5">
        <w:rPr>
          <w:szCs w:val="22"/>
        </w:rPr>
        <w:t>e evaluaciones</w:t>
      </w:r>
      <w:r w:rsidR="00B837F7" w:rsidRPr="003714F5">
        <w:rPr>
          <w:szCs w:val="22"/>
        </w:rPr>
        <w:t xml:space="preserve"> </w:t>
      </w:r>
      <w:r w:rsidR="0010007B" w:rsidRPr="003714F5">
        <w:rPr>
          <w:szCs w:val="22"/>
        </w:rPr>
        <w:t xml:space="preserve">detalladas: </w:t>
      </w:r>
      <w:r w:rsidRPr="003714F5">
        <w:rPr>
          <w:szCs w:val="22"/>
        </w:rPr>
        <w:t xml:space="preserve">i) </w:t>
      </w:r>
      <w:r w:rsidR="0010007B" w:rsidRPr="003714F5">
        <w:rPr>
          <w:szCs w:val="22"/>
        </w:rPr>
        <w:t xml:space="preserve">evaluaciones de programas; </w:t>
      </w:r>
      <w:r w:rsidRPr="003714F5">
        <w:rPr>
          <w:szCs w:val="22"/>
        </w:rPr>
        <w:t xml:space="preserve">ii) </w:t>
      </w:r>
      <w:r w:rsidR="0010007B" w:rsidRPr="003714F5">
        <w:rPr>
          <w:szCs w:val="22"/>
        </w:rPr>
        <w:t xml:space="preserve">evaluaciones estratégicas; </w:t>
      </w:r>
      <w:r w:rsidRPr="003714F5">
        <w:rPr>
          <w:szCs w:val="22"/>
        </w:rPr>
        <w:t xml:space="preserve">iii) </w:t>
      </w:r>
      <w:r w:rsidR="0010007B" w:rsidRPr="003714F5">
        <w:rPr>
          <w:szCs w:val="22"/>
        </w:rPr>
        <w:t xml:space="preserve">evaluaciones temáticas; </w:t>
      </w:r>
      <w:r w:rsidRPr="003714F5">
        <w:rPr>
          <w:szCs w:val="22"/>
        </w:rPr>
        <w:t xml:space="preserve">iv) </w:t>
      </w:r>
      <w:r w:rsidR="0010007B" w:rsidRPr="003714F5">
        <w:rPr>
          <w:szCs w:val="22"/>
        </w:rPr>
        <w:t xml:space="preserve">evaluaciones geográficas </w:t>
      </w:r>
      <w:r w:rsidRPr="003714F5">
        <w:rPr>
          <w:szCs w:val="22"/>
        </w:rPr>
        <w:t>(</w:t>
      </w:r>
      <w:r w:rsidR="0010007B" w:rsidRPr="003714F5">
        <w:rPr>
          <w:szCs w:val="22"/>
        </w:rPr>
        <w:t xml:space="preserve">nacionales/regionales); y </w:t>
      </w:r>
      <w:r w:rsidRPr="003714F5">
        <w:rPr>
          <w:szCs w:val="22"/>
        </w:rPr>
        <w:t xml:space="preserve">v) </w:t>
      </w:r>
      <w:r w:rsidR="0010007B" w:rsidRPr="003714F5">
        <w:rPr>
          <w:szCs w:val="22"/>
        </w:rPr>
        <w:t>evaluaciones de proyectos y procesos</w:t>
      </w:r>
      <w:r w:rsidRPr="003714F5">
        <w:rPr>
          <w:szCs w:val="22"/>
        </w:rPr>
        <w:t xml:space="preserve">. </w:t>
      </w:r>
      <w:r w:rsidR="0010007B" w:rsidRPr="003714F5">
        <w:rPr>
          <w:szCs w:val="22"/>
        </w:rPr>
        <w:t xml:space="preserve">Las recomendaciones y constataciones </w:t>
      </w:r>
      <w:r w:rsidR="00F30A9A" w:rsidRPr="003714F5">
        <w:rPr>
          <w:szCs w:val="22"/>
        </w:rPr>
        <w:t>formuladas en el marco de</w:t>
      </w:r>
      <w:r w:rsidR="0010007B" w:rsidRPr="003714F5">
        <w:rPr>
          <w:szCs w:val="22"/>
        </w:rPr>
        <w:t xml:space="preserve"> estas evaluaciones se tienen debidamente en cuenta</w:t>
      </w:r>
      <w:r w:rsidR="00F30A9A" w:rsidRPr="003714F5">
        <w:rPr>
          <w:szCs w:val="22"/>
        </w:rPr>
        <w:t xml:space="preserve"> en los </w:t>
      </w:r>
      <w:r w:rsidR="0010007B" w:rsidRPr="003714F5">
        <w:rPr>
          <w:szCs w:val="22"/>
        </w:rPr>
        <w:t>ciclos de planificación</w:t>
      </w:r>
      <w:r w:rsidRPr="003714F5">
        <w:rPr>
          <w:szCs w:val="22"/>
        </w:rPr>
        <w:t xml:space="preserve"> </w:t>
      </w:r>
      <w:r w:rsidR="0010007B" w:rsidRPr="003714F5">
        <w:rPr>
          <w:szCs w:val="22"/>
        </w:rPr>
        <w:t>y</w:t>
      </w:r>
      <w:r w:rsidR="00EC2D58" w:rsidRPr="003714F5">
        <w:rPr>
          <w:szCs w:val="22"/>
        </w:rPr>
        <w:t xml:space="preserve"> en</w:t>
      </w:r>
      <w:r w:rsidR="0010007B" w:rsidRPr="003714F5">
        <w:rPr>
          <w:szCs w:val="22"/>
        </w:rPr>
        <w:t xml:space="preserve"> la planificación de proyectos</w:t>
      </w:r>
      <w:r w:rsidR="00391FB9" w:rsidRPr="003714F5">
        <w:rPr>
          <w:szCs w:val="22"/>
        </w:rPr>
        <w:t xml:space="preserve"> </w:t>
      </w:r>
      <w:r w:rsidR="00F30A9A" w:rsidRPr="003714F5">
        <w:rPr>
          <w:szCs w:val="22"/>
        </w:rPr>
        <w:t xml:space="preserve">posteriores, con miras a </w:t>
      </w:r>
      <w:r w:rsidR="0010007B" w:rsidRPr="003714F5">
        <w:rPr>
          <w:szCs w:val="22"/>
        </w:rPr>
        <w:t>mejorar constantemente la asistencia técnica de la OMPI</w:t>
      </w:r>
      <w:r w:rsidRPr="003714F5">
        <w:rPr>
          <w:szCs w:val="22"/>
        </w:rPr>
        <w:t>.</w:t>
      </w:r>
    </w:p>
    <w:p w14:paraId="08DEE204" w14:textId="77777777" w:rsidR="00104020" w:rsidRPr="003714F5" w:rsidRDefault="00104020" w:rsidP="00104020">
      <w:pPr>
        <w:rPr>
          <w:szCs w:val="22"/>
        </w:rPr>
      </w:pPr>
    </w:p>
    <w:p w14:paraId="6991753D" w14:textId="39902D60" w:rsidR="00104020" w:rsidRPr="003714F5" w:rsidRDefault="00104020" w:rsidP="00104020">
      <w:pPr>
        <w:rPr>
          <w:szCs w:val="22"/>
        </w:rPr>
      </w:pPr>
      <w:r w:rsidRPr="003714F5">
        <w:rPr>
          <w:szCs w:val="22"/>
        </w:rPr>
        <w:fldChar w:fldCharType="begin"/>
      </w:r>
      <w:r w:rsidRPr="003714F5">
        <w:rPr>
          <w:szCs w:val="22"/>
        </w:rPr>
        <w:instrText xml:space="preserve"> AUTONUM  </w:instrText>
      </w:r>
      <w:r w:rsidRPr="003714F5">
        <w:rPr>
          <w:szCs w:val="22"/>
        </w:rPr>
        <w:fldChar w:fldCharType="end"/>
      </w:r>
      <w:r w:rsidRPr="003714F5">
        <w:rPr>
          <w:szCs w:val="22"/>
        </w:rPr>
        <w:tab/>
      </w:r>
      <w:r w:rsidR="00391FB9" w:rsidRPr="003714F5">
        <w:rPr>
          <w:szCs w:val="22"/>
        </w:rPr>
        <w:t>Además de las evaluaciones</w:t>
      </w:r>
      <w:r w:rsidRPr="003714F5">
        <w:rPr>
          <w:szCs w:val="22"/>
        </w:rPr>
        <w:t xml:space="preserve"> </w:t>
      </w:r>
      <w:r w:rsidR="00391FB9" w:rsidRPr="003714F5">
        <w:rPr>
          <w:szCs w:val="22"/>
        </w:rPr>
        <w:t>de la DSI</w:t>
      </w:r>
      <w:r w:rsidRPr="003714F5">
        <w:rPr>
          <w:szCs w:val="22"/>
        </w:rPr>
        <w:t>,</w:t>
      </w:r>
      <w:r w:rsidR="00391FB9" w:rsidRPr="003714F5">
        <w:rPr>
          <w:szCs w:val="22"/>
        </w:rPr>
        <w:t xml:space="preserve"> todos los proyectos de la</w:t>
      </w:r>
      <w:r w:rsidRPr="003714F5">
        <w:rPr>
          <w:szCs w:val="22"/>
        </w:rPr>
        <w:t xml:space="preserve"> </w:t>
      </w:r>
      <w:r w:rsidR="00391FB9" w:rsidRPr="003714F5">
        <w:rPr>
          <w:szCs w:val="22"/>
        </w:rPr>
        <w:t>Agenda para el Desarrollo (AD)</w:t>
      </w:r>
      <w:r w:rsidRPr="003714F5">
        <w:rPr>
          <w:szCs w:val="22"/>
        </w:rPr>
        <w:t xml:space="preserve"> </w:t>
      </w:r>
      <w:r w:rsidR="00391FB9" w:rsidRPr="003714F5">
        <w:rPr>
          <w:szCs w:val="22"/>
        </w:rPr>
        <w:t>son evaluados, al concluir, por un experto externo</w:t>
      </w:r>
      <w:r w:rsidR="00F30A9A" w:rsidRPr="003714F5">
        <w:rPr>
          <w:szCs w:val="22"/>
        </w:rPr>
        <w:t xml:space="preserve"> independiente</w:t>
      </w:r>
      <w:r w:rsidR="00391FB9" w:rsidRPr="003714F5">
        <w:rPr>
          <w:szCs w:val="22"/>
        </w:rPr>
        <w:t xml:space="preserve"> seleccionado específicamente para cada proyecto concreto, que se encarga de evaluar el éxito del proyecto, garantizar la sostenibilidad de los resultados y facilitar que se incorporen con eficacia en la labor periódica de la Organización, cuando proceda.</w:t>
      </w:r>
    </w:p>
    <w:p w14:paraId="0C4B916F" w14:textId="77777777" w:rsidR="00104020" w:rsidRPr="003714F5" w:rsidRDefault="00104020" w:rsidP="00104020">
      <w:pPr>
        <w:rPr>
          <w:szCs w:val="22"/>
        </w:rPr>
      </w:pPr>
    </w:p>
    <w:p w14:paraId="4A1714DB" w14:textId="041EB13C" w:rsidR="00104020" w:rsidRPr="003714F5" w:rsidRDefault="00104020" w:rsidP="00104020">
      <w:pPr>
        <w:rPr>
          <w:szCs w:val="22"/>
        </w:rPr>
      </w:pPr>
      <w:r w:rsidRPr="003714F5">
        <w:rPr>
          <w:szCs w:val="22"/>
        </w:rPr>
        <w:fldChar w:fldCharType="begin"/>
      </w:r>
      <w:r w:rsidRPr="003714F5">
        <w:rPr>
          <w:szCs w:val="22"/>
        </w:rPr>
        <w:instrText xml:space="preserve"> AUTONUM  </w:instrText>
      </w:r>
      <w:r w:rsidRPr="003714F5">
        <w:rPr>
          <w:szCs w:val="22"/>
        </w:rPr>
        <w:fldChar w:fldCharType="end"/>
      </w:r>
      <w:r w:rsidRPr="003714F5">
        <w:rPr>
          <w:szCs w:val="22"/>
        </w:rPr>
        <w:tab/>
      </w:r>
      <w:r w:rsidR="00643408" w:rsidRPr="003714F5">
        <w:rPr>
          <w:szCs w:val="22"/>
        </w:rPr>
        <w:t xml:space="preserve">A </w:t>
      </w:r>
      <w:r w:rsidR="00EC2D58" w:rsidRPr="003714F5">
        <w:rPr>
          <w:szCs w:val="22"/>
        </w:rPr>
        <w:t>continuación,</w:t>
      </w:r>
      <w:r w:rsidR="00643408" w:rsidRPr="003714F5">
        <w:rPr>
          <w:szCs w:val="22"/>
        </w:rPr>
        <w:t xml:space="preserve"> </w:t>
      </w:r>
      <w:r w:rsidR="00F30A9A" w:rsidRPr="003714F5">
        <w:rPr>
          <w:szCs w:val="22"/>
        </w:rPr>
        <w:t xml:space="preserve">se </w:t>
      </w:r>
      <w:r w:rsidR="00892A0D" w:rsidRPr="003714F5">
        <w:rPr>
          <w:szCs w:val="22"/>
        </w:rPr>
        <w:t>presenta,</w:t>
      </w:r>
      <w:r w:rsidR="008126E8" w:rsidRPr="003714F5">
        <w:rPr>
          <w:szCs w:val="22"/>
        </w:rPr>
        <w:t xml:space="preserve"> </w:t>
      </w:r>
      <w:r w:rsidR="00892A0D" w:rsidRPr="003714F5">
        <w:rPr>
          <w:szCs w:val="22"/>
        </w:rPr>
        <w:t>a través de</w:t>
      </w:r>
      <w:r w:rsidR="00643408" w:rsidRPr="003714F5">
        <w:rPr>
          <w:szCs w:val="22"/>
        </w:rPr>
        <w:t xml:space="preserve"> </w:t>
      </w:r>
      <w:r w:rsidR="00F30A9A" w:rsidRPr="003714F5">
        <w:rPr>
          <w:szCs w:val="22"/>
        </w:rPr>
        <w:t>ejemplo</w:t>
      </w:r>
      <w:r w:rsidR="00892A0D" w:rsidRPr="003714F5">
        <w:rPr>
          <w:szCs w:val="22"/>
        </w:rPr>
        <w:t>s</w:t>
      </w:r>
      <w:r w:rsidR="008126E8" w:rsidRPr="003714F5">
        <w:rPr>
          <w:szCs w:val="22"/>
        </w:rPr>
        <w:t>,</w:t>
      </w:r>
      <w:r w:rsidR="00643408" w:rsidRPr="003714F5">
        <w:rPr>
          <w:szCs w:val="22"/>
        </w:rPr>
        <w:t xml:space="preserve"> la evolución de las herramientas, metodologías y </w:t>
      </w:r>
      <w:r w:rsidR="008126E8" w:rsidRPr="003714F5">
        <w:rPr>
          <w:szCs w:val="22"/>
        </w:rPr>
        <w:t xml:space="preserve">marcos de indicadores utilizados para medir </w:t>
      </w:r>
      <w:r w:rsidR="00F30A9A" w:rsidRPr="003714F5">
        <w:rPr>
          <w:szCs w:val="22"/>
        </w:rPr>
        <w:t>la</w:t>
      </w:r>
      <w:r w:rsidR="008126E8" w:rsidRPr="003714F5">
        <w:rPr>
          <w:szCs w:val="22"/>
        </w:rPr>
        <w:t xml:space="preserve"> repercusión, la ef</w:t>
      </w:r>
      <w:r w:rsidR="00F30A9A" w:rsidRPr="003714F5">
        <w:rPr>
          <w:szCs w:val="22"/>
        </w:rPr>
        <w:t xml:space="preserve">ectividad </w:t>
      </w:r>
      <w:r w:rsidR="008126E8" w:rsidRPr="003714F5">
        <w:rPr>
          <w:szCs w:val="22"/>
        </w:rPr>
        <w:t>y la eficiencia de las actividades de asistencia técnica relacionadas con</w:t>
      </w:r>
      <w:r w:rsidR="00F30A9A" w:rsidRPr="003714F5">
        <w:rPr>
          <w:szCs w:val="22"/>
        </w:rPr>
        <w:t>:</w:t>
      </w:r>
      <w:r w:rsidR="008126E8" w:rsidRPr="003714F5">
        <w:rPr>
          <w:szCs w:val="22"/>
        </w:rPr>
        <w:t xml:space="preserve"> </w:t>
      </w:r>
      <w:r w:rsidRPr="003714F5">
        <w:rPr>
          <w:szCs w:val="22"/>
        </w:rPr>
        <w:t xml:space="preserve">i) </w:t>
      </w:r>
      <w:r w:rsidR="008126E8" w:rsidRPr="003714F5">
        <w:rPr>
          <w:szCs w:val="22"/>
        </w:rPr>
        <w:t xml:space="preserve">las estrategias </w:t>
      </w:r>
      <w:r w:rsidR="00F76235" w:rsidRPr="003714F5">
        <w:rPr>
          <w:szCs w:val="22"/>
        </w:rPr>
        <w:t>y planes de desarrollo nacionales de PI</w:t>
      </w:r>
      <w:r w:rsidR="008126E8" w:rsidRPr="003714F5">
        <w:rPr>
          <w:szCs w:val="22"/>
        </w:rPr>
        <w:t xml:space="preserve">; </w:t>
      </w:r>
      <w:r w:rsidRPr="003714F5">
        <w:rPr>
          <w:szCs w:val="22"/>
        </w:rPr>
        <w:t>ii)</w:t>
      </w:r>
      <w:r w:rsidR="008126E8" w:rsidRPr="003714F5">
        <w:rPr>
          <w:szCs w:val="22"/>
        </w:rPr>
        <w:t xml:space="preserve"> los</w:t>
      </w:r>
      <w:r w:rsidRPr="003714F5">
        <w:rPr>
          <w:szCs w:val="22"/>
        </w:rPr>
        <w:t xml:space="preserve"> </w:t>
      </w:r>
      <w:r w:rsidR="008126E8" w:rsidRPr="003714F5">
        <w:rPr>
          <w:szCs w:val="22"/>
        </w:rPr>
        <w:t>centros de apoyo a la tecnología y la innovación (CATI</w:t>
      </w:r>
      <w:r w:rsidRPr="003714F5">
        <w:rPr>
          <w:szCs w:val="22"/>
        </w:rPr>
        <w:t xml:space="preserve">); </w:t>
      </w:r>
      <w:r w:rsidR="00E86357">
        <w:rPr>
          <w:szCs w:val="22"/>
        </w:rPr>
        <w:t>y </w:t>
      </w:r>
      <w:r w:rsidRPr="003714F5">
        <w:rPr>
          <w:szCs w:val="22"/>
        </w:rPr>
        <w:t xml:space="preserve">iii) </w:t>
      </w:r>
      <w:r w:rsidR="008126E8" w:rsidRPr="003714F5">
        <w:rPr>
          <w:szCs w:val="22"/>
        </w:rPr>
        <w:t>el fortalecimiento de capacidades</w:t>
      </w:r>
      <w:r w:rsidRPr="003714F5">
        <w:rPr>
          <w:szCs w:val="22"/>
        </w:rPr>
        <w:t>.</w:t>
      </w:r>
    </w:p>
    <w:p w14:paraId="728804F9" w14:textId="77777777" w:rsidR="00104020" w:rsidRPr="003714F5" w:rsidRDefault="00104020" w:rsidP="00104020">
      <w:pPr>
        <w:rPr>
          <w:szCs w:val="22"/>
        </w:rPr>
      </w:pPr>
    </w:p>
    <w:p w14:paraId="6733C87B" w14:textId="2EB214C1" w:rsidR="00104020" w:rsidRPr="003714F5" w:rsidRDefault="00104020" w:rsidP="00104020">
      <w:pPr>
        <w:rPr>
          <w:szCs w:val="22"/>
        </w:rPr>
      </w:pPr>
    </w:p>
    <w:p w14:paraId="14CE92BC" w14:textId="2D055F12" w:rsidR="00104020" w:rsidRPr="003714F5" w:rsidRDefault="008126E8" w:rsidP="006404CA">
      <w:pPr>
        <w:rPr>
          <w:b/>
          <w:szCs w:val="22"/>
        </w:rPr>
      </w:pPr>
      <w:r w:rsidRPr="003714F5">
        <w:rPr>
          <w:b/>
          <w:szCs w:val="22"/>
        </w:rPr>
        <w:t xml:space="preserve">Estrategias </w:t>
      </w:r>
      <w:r w:rsidR="006404CA" w:rsidRPr="003714F5">
        <w:rPr>
          <w:b/>
          <w:szCs w:val="22"/>
        </w:rPr>
        <w:t xml:space="preserve">y </w:t>
      </w:r>
      <w:r w:rsidRPr="003714F5">
        <w:rPr>
          <w:b/>
          <w:szCs w:val="22"/>
        </w:rPr>
        <w:t>planes de desarrollo</w:t>
      </w:r>
      <w:r w:rsidR="006404CA" w:rsidRPr="003714F5">
        <w:rPr>
          <w:b/>
          <w:szCs w:val="22"/>
        </w:rPr>
        <w:t xml:space="preserve"> nacionales de PI</w:t>
      </w:r>
    </w:p>
    <w:p w14:paraId="582FDFE8" w14:textId="77777777" w:rsidR="008126E8" w:rsidRPr="003714F5" w:rsidRDefault="008126E8" w:rsidP="00104020">
      <w:pPr>
        <w:rPr>
          <w:szCs w:val="22"/>
        </w:rPr>
      </w:pPr>
    </w:p>
    <w:p w14:paraId="53DFE906" w14:textId="21B8682F" w:rsidR="00104020" w:rsidRPr="003714F5" w:rsidRDefault="00104020" w:rsidP="00104020">
      <w:pPr>
        <w:rPr>
          <w:szCs w:val="22"/>
        </w:rPr>
      </w:pPr>
      <w:r w:rsidRPr="003714F5">
        <w:rPr>
          <w:szCs w:val="22"/>
        </w:rPr>
        <w:fldChar w:fldCharType="begin"/>
      </w:r>
      <w:r w:rsidRPr="003714F5">
        <w:rPr>
          <w:szCs w:val="22"/>
        </w:rPr>
        <w:instrText xml:space="preserve"> AUTONUM  </w:instrText>
      </w:r>
      <w:r w:rsidRPr="003714F5">
        <w:rPr>
          <w:szCs w:val="22"/>
        </w:rPr>
        <w:fldChar w:fldCharType="end"/>
      </w:r>
      <w:r w:rsidRPr="003714F5">
        <w:rPr>
          <w:szCs w:val="22"/>
        </w:rPr>
        <w:tab/>
      </w:r>
      <w:r w:rsidR="003F18C3" w:rsidRPr="003714F5">
        <w:rPr>
          <w:szCs w:val="22"/>
        </w:rPr>
        <w:t>Desde</w:t>
      </w:r>
      <w:r w:rsidRPr="003714F5">
        <w:rPr>
          <w:szCs w:val="22"/>
        </w:rPr>
        <w:t xml:space="preserve"> 2010/11,</w:t>
      </w:r>
      <w:r w:rsidR="001E1D77" w:rsidRPr="003714F5">
        <w:rPr>
          <w:szCs w:val="22"/>
        </w:rPr>
        <w:t xml:space="preserve"> como parte de su labor,</w:t>
      </w:r>
      <w:r w:rsidR="00892A0D" w:rsidRPr="003714F5">
        <w:rPr>
          <w:szCs w:val="22"/>
        </w:rPr>
        <w:t xml:space="preserve"> </w:t>
      </w:r>
      <w:r w:rsidR="001E1D77" w:rsidRPr="003714F5">
        <w:rPr>
          <w:szCs w:val="22"/>
        </w:rPr>
        <w:t>la OMPI facilita</w:t>
      </w:r>
      <w:r w:rsidR="00193A97" w:rsidRPr="003714F5">
        <w:rPr>
          <w:szCs w:val="22"/>
        </w:rPr>
        <w:t xml:space="preserve"> la </w:t>
      </w:r>
      <w:r w:rsidR="003F18C3" w:rsidRPr="003714F5">
        <w:rPr>
          <w:szCs w:val="22"/>
        </w:rPr>
        <w:t xml:space="preserve">formulación de estrategias </w:t>
      </w:r>
      <w:r w:rsidR="006404CA" w:rsidRPr="003714F5">
        <w:rPr>
          <w:szCs w:val="22"/>
        </w:rPr>
        <w:t>o</w:t>
      </w:r>
      <w:r w:rsidR="003F18C3" w:rsidRPr="003714F5">
        <w:rPr>
          <w:szCs w:val="22"/>
        </w:rPr>
        <w:t xml:space="preserve"> planes de desarrollo</w:t>
      </w:r>
      <w:r w:rsidR="001E1D77" w:rsidRPr="003714F5">
        <w:rPr>
          <w:szCs w:val="22"/>
        </w:rPr>
        <w:t xml:space="preserve"> </w:t>
      </w:r>
      <w:r w:rsidR="006404CA" w:rsidRPr="003714F5">
        <w:rPr>
          <w:szCs w:val="22"/>
        </w:rPr>
        <w:t>nacionales de</w:t>
      </w:r>
      <w:r w:rsidR="00F76235" w:rsidRPr="003714F5">
        <w:rPr>
          <w:szCs w:val="22"/>
        </w:rPr>
        <w:t xml:space="preserve"> PI</w:t>
      </w:r>
      <w:r w:rsidR="006404CA" w:rsidRPr="003714F5">
        <w:rPr>
          <w:szCs w:val="22"/>
        </w:rPr>
        <w:t xml:space="preserve"> </w:t>
      </w:r>
      <w:r w:rsidR="00F76235" w:rsidRPr="003714F5">
        <w:rPr>
          <w:szCs w:val="22"/>
        </w:rPr>
        <w:t xml:space="preserve">mediante </w:t>
      </w:r>
      <w:r w:rsidR="00193A97" w:rsidRPr="003714F5">
        <w:rPr>
          <w:szCs w:val="22"/>
        </w:rPr>
        <w:t>una</w:t>
      </w:r>
      <w:r w:rsidR="003F18C3" w:rsidRPr="003714F5">
        <w:rPr>
          <w:szCs w:val="22"/>
        </w:rPr>
        <w:t xml:space="preserve"> metodología única</w:t>
      </w:r>
      <w:r w:rsidR="001E1D77" w:rsidRPr="003714F5">
        <w:rPr>
          <w:szCs w:val="22"/>
        </w:rPr>
        <w:t xml:space="preserve">, aunque </w:t>
      </w:r>
      <w:r w:rsidR="003F18C3" w:rsidRPr="003714F5">
        <w:rPr>
          <w:szCs w:val="22"/>
        </w:rPr>
        <w:t>flexible</w:t>
      </w:r>
      <w:r w:rsidR="001E1D77" w:rsidRPr="003714F5">
        <w:rPr>
          <w:szCs w:val="22"/>
        </w:rPr>
        <w:t>,</w:t>
      </w:r>
      <w:r w:rsidRPr="003714F5">
        <w:rPr>
          <w:szCs w:val="22"/>
        </w:rPr>
        <w:t xml:space="preserve"> </w:t>
      </w:r>
      <w:r w:rsidR="003F18C3" w:rsidRPr="003714F5">
        <w:rPr>
          <w:szCs w:val="22"/>
        </w:rPr>
        <w:t>y un conjunto de herramientas prácticas</w:t>
      </w:r>
      <w:r w:rsidR="00193A97" w:rsidRPr="003714F5">
        <w:rPr>
          <w:szCs w:val="22"/>
        </w:rPr>
        <w:t xml:space="preserve"> </w:t>
      </w:r>
      <w:r w:rsidR="003F18C3" w:rsidRPr="003714F5">
        <w:rPr>
          <w:szCs w:val="22"/>
        </w:rPr>
        <w:t>de referencia</w:t>
      </w:r>
      <w:r w:rsidRPr="003714F5">
        <w:rPr>
          <w:szCs w:val="22"/>
        </w:rPr>
        <w:t xml:space="preserve">. </w:t>
      </w:r>
      <w:r w:rsidR="00193A97" w:rsidRPr="003714F5">
        <w:rPr>
          <w:szCs w:val="22"/>
        </w:rPr>
        <w:t xml:space="preserve">El objetivo de estas herramientas es ayudar a los funcionarios encargados de elaborar las estrategias nacionales de </w:t>
      </w:r>
      <w:r w:rsidR="001E1D77" w:rsidRPr="003714F5">
        <w:rPr>
          <w:szCs w:val="22"/>
        </w:rPr>
        <w:t xml:space="preserve">PI </w:t>
      </w:r>
      <w:r w:rsidR="007C442B" w:rsidRPr="003714F5">
        <w:rPr>
          <w:szCs w:val="22"/>
        </w:rPr>
        <w:t>a evaluar la situación de sus respectivos sistemas nacionales de PI</w:t>
      </w:r>
      <w:r w:rsidRPr="003714F5">
        <w:rPr>
          <w:szCs w:val="22"/>
        </w:rPr>
        <w:t xml:space="preserve">, </w:t>
      </w:r>
      <w:r w:rsidR="007C442B" w:rsidRPr="003714F5">
        <w:rPr>
          <w:szCs w:val="22"/>
        </w:rPr>
        <w:t>determinar cuáles son las necesidades específicas en materia de PI y definir metas estratégicas</w:t>
      </w:r>
      <w:r w:rsidRPr="003714F5">
        <w:rPr>
          <w:szCs w:val="22"/>
        </w:rPr>
        <w:t>.</w:t>
      </w:r>
    </w:p>
    <w:p w14:paraId="669E8E11" w14:textId="77777777" w:rsidR="001E1D77" w:rsidRPr="003714F5" w:rsidRDefault="001E1D77" w:rsidP="00104020">
      <w:pPr>
        <w:rPr>
          <w:szCs w:val="22"/>
        </w:rPr>
      </w:pPr>
    </w:p>
    <w:p w14:paraId="3D665A71" w14:textId="2C2B5AAD" w:rsidR="00104020" w:rsidRPr="003714F5" w:rsidRDefault="00104020" w:rsidP="00104020">
      <w:pPr>
        <w:rPr>
          <w:szCs w:val="22"/>
        </w:rPr>
      </w:pPr>
      <w:r w:rsidRPr="003714F5">
        <w:rPr>
          <w:szCs w:val="22"/>
        </w:rPr>
        <w:fldChar w:fldCharType="begin"/>
      </w:r>
      <w:r w:rsidRPr="003714F5">
        <w:rPr>
          <w:szCs w:val="22"/>
        </w:rPr>
        <w:instrText xml:space="preserve"> AUTONUM  </w:instrText>
      </w:r>
      <w:r w:rsidRPr="003714F5">
        <w:rPr>
          <w:szCs w:val="22"/>
        </w:rPr>
        <w:fldChar w:fldCharType="end"/>
      </w:r>
      <w:r w:rsidRPr="003714F5">
        <w:rPr>
          <w:szCs w:val="22"/>
        </w:rPr>
        <w:tab/>
      </w:r>
      <w:r w:rsidR="007C442B" w:rsidRPr="003714F5">
        <w:rPr>
          <w:szCs w:val="22"/>
        </w:rPr>
        <w:t>El marc</w:t>
      </w:r>
      <w:r w:rsidR="00D813AF" w:rsidRPr="003714F5">
        <w:rPr>
          <w:szCs w:val="22"/>
        </w:rPr>
        <w:t>o</w:t>
      </w:r>
      <w:r w:rsidR="007C442B" w:rsidRPr="003714F5">
        <w:rPr>
          <w:szCs w:val="22"/>
        </w:rPr>
        <w:t xml:space="preserve"> d</w:t>
      </w:r>
      <w:r w:rsidR="00CB622F" w:rsidRPr="003714F5">
        <w:rPr>
          <w:szCs w:val="22"/>
        </w:rPr>
        <w:t>e indicadores de rendimiento util</w:t>
      </w:r>
      <w:r w:rsidR="001E1D77" w:rsidRPr="003714F5">
        <w:rPr>
          <w:szCs w:val="22"/>
        </w:rPr>
        <w:t>izado</w:t>
      </w:r>
      <w:r w:rsidR="00CB622F" w:rsidRPr="003714F5">
        <w:rPr>
          <w:szCs w:val="22"/>
        </w:rPr>
        <w:t xml:space="preserve"> para</w:t>
      </w:r>
      <w:r w:rsidR="007C442B" w:rsidRPr="003714F5">
        <w:rPr>
          <w:szCs w:val="22"/>
        </w:rPr>
        <w:t xml:space="preserve"> medir </w:t>
      </w:r>
      <w:r w:rsidR="00D813AF" w:rsidRPr="003714F5">
        <w:rPr>
          <w:szCs w:val="22"/>
        </w:rPr>
        <w:t xml:space="preserve">la repercusión </w:t>
      </w:r>
      <w:r w:rsidR="007C442B" w:rsidRPr="003714F5">
        <w:rPr>
          <w:szCs w:val="22"/>
        </w:rPr>
        <w:t>de las actividades de asistencia técnica de la OMPI en esta esfera ha</w:t>
      </w:r>
      <w:r w:rsidR="00CB622F" w:rsidRPr="003714F5">
        <w:rPr>
          <w:szCs w:val="22"/>
        </w:rPr>
        <w:t xml:space="preserve"> </w:t>
      </w:r>
      <w:r w:rsidR="007C442B" w:rsidRPr="003714F5">
        <w:rPr>
          <w:szCs w:val="22"/>
        </w:rPr>
        <w:t xml:space="preserve">evolucionado a lo </w:t>
      </w:r>
      <w:r w:rsidR="00D813AF" w:rsidRPr="003714F5">
        <w:rPr>
          <w:szCs w:val="22"/>
        </w:rPr>
        <w:t>largo de cinco bienios</w:t>
      </w:r>
      <w:r w:rsidR="00CB622F" w:rsidRPr="003714F5">
        <w:rPr>
          <w:szCs w:val="22"/>
        </w:rPr>
        <w:t xml:space="preserve">, </w:t>
      </w:r>
      <w:r w:rsidR="00BC5A77" w:rsidRPr="003714F5">
        <w:rPr>
          <w:szCs w:val="22"/>
        </w:rPr>
        <w:t xml:space="preserve">ya que se han </w:t>
      </w:r>
      <w:r w:rsidR="001E1D77" w:rsidRPr="003714F5">
        <w:rPr>
          <w:szCs w:val="22"/>
        </w:rPr>
        <w:t>ido teniendo</w:t>
      </w:r>
      <w:r w:rsidR="00BC5A77" w:rsidRPr="003714F5">
        <w:rPr>
          <w:szCs w:val="22"/>
        </w:rPr>
        <w:t xml:space="preserve"> en cuenta e incorpora</w:t>
      </w:r>
      <w:r w:rsidR="001E1D77" w:rsidRPr="003714F5">
        <w:rPr>
          <w:szCs w:val="22"/>
        </w:rPr>
        <w:t>n</w:t>
      </w:r>
      <w:r w:rsidR="00BC5A77" w:rsidRPr="003714F5">
        <w:rPr>
          <w:szCs w:val="22"/>
        </w:rPr>
        <w:t xml:space="preserve">do los resultados y enseñanzas obtenidos en los ciclos de rendimiento precedentes </w:t>
      </w:r>
      <w:r w:rsidR="006C459F" w:rsidRPr="003714F5">
        <w:rPr>
          <w:szCs w:val="22"/>
        </w:rPr>
        <w:t>con el objetivo de</w:t>
      </w:r>
      <w:r w:rsidR="00BC5A77" w:rsidRPr="003714F5">
        <w:rPr>
          <w:szCs w:val="22"/>
        </w:rPr>
        <w:t xml:space="preserve"> garantizar la presentación de información clar</w:t>
      </w:r>
      <w:r w:rsidR="001E1D77" w:rsidRPr="003714F5">
        <w:rPr>
          <w:szCs w:val="22"/>
        </w:rPr>
        <w:t>a</w:t>
      </w:r>
      <w:r w:rsidR="00BC5A77" w:rsidRPr="003714F5">
        <w:rPr>
          <w:szCs w:val="22"/>
        </w:rPr>
        <w:t xml:space="preserve"> y </w:t>
      </w:r>
      <w:r w:rsidR="00F70A10" w:rsidRPr="003714F5">
        <w:rPr>
          <w:szCs w:val="22"/>
        </w:rPr>
        <w:t xml:space="preserve">mensurable </w:t>
      </w:r>
      <w:r w:rsidR="00BC5A77" w:rsidRPr="003714F5">
        <w:rPr>
          <w:szCs w:val="22"/>
        </w:rPr>
        <w:t>sobre la repercusión a largo plazo.</w:t>
      </w:r>
    </w:p>
    <w:p w14:paraId="1AA869CF" w14:textId="77777777" w:rsidR="00104020" w:rsidRPr="003714F5" w:rsidRDefault="00104020" w:rsidP="00104020">
      <w:pPr>
        <w:rPr>
          <w:bCs/>
          <w:szCs w:val="22"/>
        </w:rPr>
      </w:pPr>
    </w:p>
    <w:tbl>
      <w:tblPr>
        <w:tblStyle w:val="TableGrid"/>
        <w:tblW w:w="0" w:type="auto"/>
        <w:tblInd w:w="11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16"/>
        <w:gridCol w:w="4393"/>
        <w:gridCol w:w="3849"/>
      </w:tblGrid>
      <w:tr w:rsidR="00CB5DCE" w:rsidRPr="003714F5" w14:paraId="74928EB4" w14:textId="77777777" w:rsidTr="004661B6">
        <w:trPr>
          <w:tblHeader/>
        </w:trPr>
        <w:tc>
          <w:tcPr>
            <w:tcW w:w="1219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49EFEBFC" w14:textId="3BB98034" w:rsidR="00104020" w:rsidRPr="003714F5" w:rsidRDefault="009007FA" w:rsidP="009007FA">
            <w:pPr>
              <w:jc w:val="center"/>
              <w:rPr>
                <w:i/>
                <w:szCs w:val="22"/>
              </w:rPr>
            </w:pPr>
            <w:r w:rsidRPr="003714F5">
              <w:rPr>
                <w:i/>
                <w:color w:val="FFFFFF" w:themeColor="background1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Bienio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143D0ED2" w14:textId="366CD228" w:rsidR="00104020" w:rsidRPr="003714F5" w:rsidRDefault="009007FA" w:rsidP="004661B6">
            <w:pPr>
              <w:jc w:val="center"/>
              <w:rPr>
                <w:i/>
                <w:szCs w:val="22"/>
              </w:rPr>
            </w:pPr>
            <w:r w:rsidRPr="003714F5">
              <w:rPr>
                <w:i/>
                <w:color w:val="FFFFFF" w:themeColor="background1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Indicador de rendimiento</w:t>
            </w:r>
          </w:p>
        </w:tc>
        <w:tc>
          <w:tcPr>
            <w:tcW w:w="3871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056E53D4" w14:textId="0441CFDE" w:rsidR="00104020" w:rsidRPr="003714F5" w:rsidRDefault="00104020" w:rsidP="009007FA">
            <w:pPr>
              <w:jc w:val="center"/>
              <w:rPr>
                <w:i/>
                <w:szCs w:val="22"/>
              </w:rPr>
            </w:pPr>
            <w:r w:rsidRPr="003714F5">
              <w:rPr>
                <w:i/>
                <w:color w:val="FFFFFF" w:themeColor="background1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Com</w:t>
            </w:r>
            <w:r w:rsidR="009007FA" w:rsidRPr="003714F5">
              <w:rPr>
                <w:i/>
                <w:color w:val="FFFFFF" w:themeColor="background1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entarios</w:t>
            </w:r>
          </w:p>
        </w:tc>
      </w:tr>
      <w:tr w:rsidR="00CB5DCE" w:rsidRPr="003714F5" w14:paraId="1E2548CF" w14:textId="77777777" w:rsidTr="004661B6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936A" w14:textId="77777777" w:rsidR="00104020" w:rsidRPr="003714F5" w:rsidRDefault="00104020" w:rsidP="004661B6">
            <w:pPr>
              <w:rPr>
                <w:sz w:val="20"/>
              </w:rPr>
            </w:pPr>
            <w:r w:rsidRPr="003714F5">
              <w:rPr>
                <w:sz w:val="20"/>
              </w:rPr>
              <w:t>2010/11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2573" w14:textId="265BD29B" w:rsidR="00104020" w:rsidRPr="003714F5" w:rsidRDefault="00AF1F7B" w:rsidP="00104020">
            <w:pPr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t xml:space="preserve">Hasta cinco países han iniciado el proceso de </w:t>
            </w:r>
            <w:r w:rsidR="008F65B7" w:rsidRPr="003714F5">
              <w:rPr>
                <w:sz w:val="20"/>
              </w:rPr>
              <w:t xml:space="preserve">formulación </w:t>
            </w:r>
            <w:r w:rsidRPr="003714F5">
              <w:rPr>
                <w:sz w:val="20"/>
              </w:rPr>
              <w:t xml:space="preserve">de políticas y estrategias de PI, cuatro países han adoptado políticas y estrategias de PI y tres países están </w:t>
            </w:r>
            <w:r w:rsidR="00CB5DCE" w:rsidRPr="003714F5">
              <w:rPr>
                <w:sz w:val="20"/>
              </w:rPr>
              <w:t>aplicando</w:t>
            </w:r>
            <w:r w:rsidRPr="003714F5">
              <w:rPr>
                <w:sz w:val="20"/>
              </w:rPr>
              <w:t xml:space="preserve"> planes nacionales de PI</w:t>
            </w:r>
            <w:r w:rsidR="00104020" w:rsidRPr="003714F5">
              <w:rPr>
                <w:sz w:val="20"/>
              </w:rPr>
              <w:t xml:space="preserve"> (</w:t>
            </w:r>
            <w:r w:rsidRPr="003714F5">
              <w:rPr>
                <w:sz w:val="20"/>
              </w:rPr>
              <w:t>Á</w:t>
            </w:r>
            <w:r w:rsidR="00104020" w:rsidRPr="003714F5">
              <w:rPr>
                <w:sz w:val="20"/>
              </w:rPr>
              <w:t>frica)</w:t>
            </w:r>
          </w:p>
          <w:p w14:paraId="23BE5B63" w14:textId="77777777" w:rsidR="00104020" w:rsidRPr="003714F5" w:rsidRDefault="00104020" w:rsidP="004661B6">
            <w:pPr>
              <w:rPr>
                <w:sz w:val="20"/>
              </w:rPr>
            </w:pPr>
          </w:p>
          <w:p w14:paraId="58C497B1" w14:textId="5439AC89" w:rsidR="00104020" w:rsidRPr="003714F5" w:rsidRDefault="00AF1F7B" w:rsidP="00AF1F7B">
            <w:pPr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t>Unas tres estrategias nacionales de PI formuladas y adoptadas sobre la base de coordinación y consultas multisectoriales</w:t>
            </w:r>
            <w:r w:rsidR="00104020" w:rsidRPr="003714F5">
              <w:rPr>
                <w:sz w:val="20"/>
              </w:rPr>
              <w:t xml:space="preserve"> (</w:t>
            </w:r>
            <w:r w:rsidR="00C9693F" w:rsidRPr="003714F5">
              <w:rPr>
                <w:sz w:val="20"/>
              </w:rPr>
              <w:t>región de los países árabes</w:t>
            </w:r>
            <w:r w:rsidR="00104020" w:rsidRPr="003714F5">
              <w:rPr>
                <w:sz w:val="20"/>
              </w:rPr>
              <w:t>)</w:t>
            </w:r>
          </w:p>
          <w:p w14:paraId="08FC3A05" w14:textId="77777777" w:rsidR="00104020" w:rsidRPr="003714F5" w:rsidRDefault="00104020" w:rsidP="004661B6">
            <w:pPr>
              <w:rPr>
                <w:sz w:val="20"/>
              </w:rPr>
            </w:pPr>
          </w:p>
          <w:p w14:paraId="4F4A87B0" w14:textId="6F759BDA" w:rsidR="00104020" w:rsidRPr="003714F5" w:rsidRDefault="00AF1F7B" w:rsidP="00AF1F7B">
            <w:pPr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t xml:space="preserve">Nueve países </w:t>
            </w:r>
            <w:r w:rsidR="00641C08" w:rsidRPr="003714F5">
              <w:rPr>
                <w:sz w:val="20"/>
              </w:rPr>
              <w:t>adicionales</w:t>
            </w:r>
            <w:r w:rsidRPr="003714F5">
              <w:rPr>
                <w:sz w:val="20"/>
              </w:rPr>
              <w:t xml:space="preserve"> han formulado o adoptado políticas/estrategias/planes nacionales de PI </w:t>
            </w:r>
            <w:r w:rsidR="00104020" w:rsidRPr="003714F5">
              <w:rPr>
                <w:sz w:val="20"/>
              </w:rPr>
              <w:t>(</w:t>
            </w:r>
            <w:r w:rsidR="00AF4F81" w:rsidRPr="003714F5">
              <w:rPr>
                <w:sz w:val="20"/>
              </w:rPr>
              <w:t>Asia y el Pacífico</w:t>
            </w:r>
            <w:r w:rsidR="00104020" w:rsidRPr="003714F5">
              <w:rPr>
                <w:sz w:val="20"/>
              </w:rPr>
              <w:t>)</w:t>
            </w:r>
          </w:p>
          <w:p w14:paraId="79445BC7" w14:textId="77777777" w:rsidR="00104020" w:rsidRPr="003714F5" w:rsidRDefault="00104020" w:rsidP="004661B6">
            <w:pPr>
              <w:rPr>
                <w:sz w:val="20"/>
              </w:rPr>
            </w:pPr>
          </w:p>
          <w:p w14:paraId="4E81D043" w14:textId="50B2CDBD" w:rsidR="00104020" w:rsidRPr="003714F5" w:rsidRDefault="00AF4F81" w:rsidP="00AF4F81">
            <w:pPr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t xml:space="preserve">Hasta tres países adicionales que </w:t>
            </w:r>
            <w:r w:rsidR="00C9693F" w:rsidRPr="003714F5">
              <w:rPr>
                <w:sz w:val="20"/>
              </w:rPr>
              <w:t>han formulado o adoptado</w:t>
            </w:r>
            <w:r w:rsidRPr="003714F5">
              <w:rPr>
                <w:sz w:val="20"/>
              </w:rPr>
              <w:t xml:space="preserve"> políticas, estrategias y planes nacionales de PI </w:t>
            </w:r>
            <w:r w:rsidR="00104020" w:rsidRPr="003714F5">
              <w:rPr>
                <w:sz w:val="20"/>
              </w:rPr>
              <w:t>(</w:t>
            </w:r>
            <w:r w:rsidRPr="003714F5">
              <w:rPr>
                <w:sz w:val="20"/>
              </w:rPr>
              <w:t>América Latina y el Caribe</w:t>
            </w:r>
            <w:r w:rsidR="00104020" w:rsidRPr="003714F5">
              <w:rPr>
                <w:sz w:val="20"/>
              </w:rPr>
              <w:t>)</w:t>
            </w:r>
          </w:p>
          <w:p w14:paraId="651F74A0" w14:textId="77777777" w:rsidR="00104020" w:rsidRPr="003714F5" w:rsidRDefault="00104020" w:rsidP="004661B6">
            <w:pPr>
              <w:rPr>
                <w:sz w:val="20"/>
              </w:rPr>
            </w:pPr>
          </w:p>
          <w:p w14:paraId="02CA199C" w14:textId="46DC27CA" w:rsidR="00104020" w:rsidRPr="003714F5" w:rsidRDefault="00AF4F81" w:rsidP="00AF4F81">
            <w:pPr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t xml:space="preserve">Políticas/estrategias de PI elaboradas hasta en cinco PMA durante el bienio </w:t>
            </w:r>
            <w:r w:rsidR="00104020" w:rsidRPr="003714F5">
              <w:rPr>
                <w:sz w:val="20"/>
              </w:rPr>
              <w:t>(</w:t>
            </w:r>
            <w:r w:rsidRPr="003714F5">
              <w:rPr>
                <w:sz w:val="20"/>
              </w:rPr>
              <w:t>PMA</w:t>
            </w:r>
            <w:r w:rsidR="00104020" w:rsidRPr="003714F5">
              <w:rPr>
                <w:sz w:val="20"/>
              </w:rPr>
              <w:t>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3656" w14:textId="421B06AD" w:rsidR="00104020" w:rsidRPr="003714F5" w:rsidRDefault="00556A0D" w:rsidP="00104020">
            <w:pPr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t>F</w:t>
            </w:r>
            <w:r w:rsidR="00F3360D" w:rsidRPr="003714F5">
              <w:rPr>
                <w:sz w:val="20"/>
              </w:rPr>
              <w:t>al</w:t>
            </w:r>
            <w:r w:rsidRPr="003714F5">
              <w:rPr>
                <w:sz w:val="20"/>
              </w:rPr>
              <w:t>ta</w:t>
            </w:r>
            <w:r w:rsidR="00AF4F81" w:rsidRPr="003714F5">
              <w:rPr>
                <w:sz w:val="20"/>
              </w:rPr>
              <w:t xml:space="preserve"> de coherencia en la formulación de </w:t>
            </w:r>
            <w:r w:rsidR="001E1D77" w:rsidRPr="003714F5">
              <w:rPr>
                <w:sz w:val="20"/>
              </w:rPr>
              <w:t xml:space="preserve">los </w:t>
            </w:r>
            <w:r w:rsidR="00F3360D" w:rsidRPr="003714F5">
              <w:rPr>
                <w:sz w:val="20"/>
              </w:rPr>
              <w:t xml:space="preserve">resultados previstos </w:t>
            </w:r>
            <w:r w:rsidR="001E1D77" w:rsidRPr="003714F5">
              <w:rPr>
                <w:sz w:val="20"/>
              </w:rPr>
              <w:t>y los</w:t>
            </w:r>
            <w:r w:rsidR="00F3360D" w:rsidRPr="003714F5">
              <w:rPr>
                <w:sz w:val="20"/>
              </w:rPr>
              <w:t xml:space="preserve"> indicadores de rendimiento</w:t>
            </w:r>
            <w:r w:rsidRPr="003714F5">
              <w:rPr>
                <w:sz w:val="20"/>
              </w:rPr>
              <w:t xml:space="preserve"> </w:t>
            </w:r>
            <w:r w:rsidR="00F3360D" w:rsidRPr="003714F5">
              <w:rPr>
                <w:sz w:val="20"/>
              </w:rPr>
              <w:t>entre las diversas</w:t>
            </w:r>
            <w:r w:rsidRPr="003714F5">
              <w:rPr>
                <w:sz w:val="20"/>
              </w:rPr>
              <w:t xml:space="preserve"> Oficinas, lo </w:t>
            </w:r>
            <w:r w:rsidR="00F3360D" w:rsidRPr="003714F5">
              <w:rPr>
                <w:sz w:val="20"/>
              </w:rPr>
              <w:t xml:space="preserve">que </w:t>
            </w:r>
            <w:r w:rsidR="00F92E89" w:rsidRPr="003714F5">
              <w:rPr>
                <w:sz w:val="20"/>
              </w:rPr>
              <w:t>impide</w:t>
            </w:r>
            <w:r w:rsidRPr="003714F5">
              <w:rPr>
                <w:sz w:val="20"/>
              </w:rPr>
              <w:t xml:space="preserve"> </w:t>
            </w:r>
            <w:r w:rsidR="00F8179A" w:rsidRPr="003714F5">
              <w:rPr>
                <w:sz w:val="20"/>
              </w:rPr>
              <w:t>realizar comparaciones</w:t>
            </w:r>
            <w:r w:rsidRPr="003714F5">
              <w:rPr>
                <w:sz w:val="20"/>
              </w:rPr>
              <w:t xml:space="preserve"> entre</w:t>
            </w:r>
            <w:r w:rsidR="00F8179A" w:rsidRPr="003714F5">
              <w:rPr>
                <w:sz w:val="20"/>
              </w:rPr>
              <w:t xml:space="preserve"> las</w:t>
            </w:r>
            <w:r w:rsidRPr="003714F5">
              <w:rPr>
                <w:sz w:val="20"/>
              </w:rPr>
              <w:t xml:space="preserve"> regiones</w:t>
            </w:r>
          </w:p>
          <w:p w14:paraId="604251B7" w14:textId="77777777" w:rsidR="00104020" w:rsidRPr="003714F5" w:rsidRDefault="00104020" w:rsidP="004661B6">
            <w:pPr>
              <w:rPr>
                <w:sz w:val="20"/>
              </w:rPr>
            </w:pPr>
          </w:p>
          <w:p w14:paraId="6FE85553" w14:textId="2D47FFEE" w:rsidR="00104020" w:rsidRPr="003714F5" w:rsidRDefault="00F3360D" w:rsidP="007910F7">
            <w:pPr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t>Los indicadores de rendimiento no abarcan</w:t>
            </w:r>
            <w:r w:rsidR="00C415B2" w:rsidRPr="003714F5">
              <w:rPr>
                <w:sz w:val="20"/>
              </w:rPr>
              <w:t xml:space="preserve"> todo</w:t>
            </w:r>
            <w:r w:rsidRPr="003714F5">
              <w:rPr>
                <w:sz w:val="20"/>
              </w:rPr>
              <w:t xml:space="preserve"> el proceso de </w:t>
            </w:r>
            <w:r w:rsidR="00641C08" w:rsidRPr="003714F5">
              <w:rPr>
                <w:sz w:val="20"/>
              </w:rPr>
              <w:t xml:space="preserve">desarrollo </w:t>
            </w:r>
            <w:r w:rsidRPr="003714F5">
              <w:rPr>
                <w:sz w:val="20"/>
              </w:rPr>
              <w:t xml:space="preserve">de </w:t>
            </w:r>
            <w:r w:rsidR="001E1D77" w:rsidRPr="003714F5">
              <w:rPr>
                <w:sz w:val="20"/>
              </w:rPr>
              <w:t>l</w:t>
            </w:r>
            <w:r w:rsidRPr="003714F5">
              <w:rPr>
                <w:sz w:val="20"/>
              </w:rPr>
              <w:t xml:space="preserve">a estrategia nacional de PI, es decir, desde </w:t>
            </w:r>
            <w:r w:rsidR="00CB5DCE" w:rsidRPr="003714F5">
              <w:rPr>
                <w:sz w:val="20"/>
              </w:rPr>
              <w:t>la</w:t>
            </w:r>
            <w:r w:rsidR="008F65B7" w:rsidRPr="003714F5">
              <w:rPr>
                <w:sz w:val="20"/>
              </w:rPr>
              <w:t xml:space="preserve"> </w:t>
            </w:r>
            <w:r w:rsidRPr="003714F5">
              <w:rPr>
                <w:sz w:val="20"/>
              </w:rPr>
              <w:t xml:space="preserve">formulación a </w:t>
            </w:r>
            <w:r w:rsidR="00CB5DCE" w:rsidRPr="003714F5">
              <w:rPr>
                <w:sz w:val="20"/>
              </w:rPr>
              <w:t>la</w:t>
            </w:r>
            <w:r w:rsidRPr="003714F5">
              <w:rPr>
                <w:sz w:val="20"/>
              </w:rPr>
              <w:t xml:space="preserve"> adopción, </w:t>
            </w:r>
            <w:r w:rsidR="00CB5DCE" w:rsidRPr="003714F5">
              <w:rPr>
                <w:sz w:val="20"/>
              </w:rPr>
              <w:t xml:space="preserve">la </w:t>
            </w:r>
            <w:r w:rsidRPr="003714F5">
              <w:rPr>
                <w:sz w:val="20"/>
              </w:rPr>
              <w:t xml:space="preserve">aplicación y </w:t>
            </w:r>
            <w:r w:rsidR="00CB5DCE" w:rsidRPr="003714F5">
              <w:rPr>
                <w:sz w:val="20"/>
              </w:rPr>
              <w:t xml:space="preserve">la </w:t>
            </w:r>
            <w:r w:rsidR="008F65B7" w:rsidRPr="003714F5">
              <w:rPr>
                <w:sz w:val="20"/>
              </w:rPr>
              <w:t>posterior revisión</w:t>
            </w:r>
          </w:p>
          <w:p w14:paraId="6F5D3287" w14:textId="0F19C0A4" w:rsidR="00F3360D" w:rsidRPr="003714F5" w:rsidRDefault="00F3360D" w:rsidP="00F3360D">
            <w:pPr>
              <w:rPr>
                <w:sz w:val="20"/>
              </w:rPr>
            </w:pPr>
          </w:p>
          <w:p w14:paraId="3F1E3E2C" w14:textId="1777EFF9" w:rsidR="00104020" w:rsidRPr="003714F5" w:rsidRDefault="00F3360D" w:rsidP="00104020">
            <w:pPr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t xml:space="preserve">Los indicadores de rendimiento miden </w:t>
            </w:r>
            <w:r w:rsidR="00C415B2" w:rsidRPr="003714F5">
              <w:rPr>
                <w:sz w:val="20"/>
              </w:rPr>
              <w:t>varias cosas</w:t>
            </w:r>
            <w:r w:rsidRPr="003714F5">
              <w:rPr>
                <w:sz w:val="20"/>
              </w:rPr>
              <w:t>, es decir, falta claridad</w:t>
            </w:r>
          </w:p>
          <w:p w14:paraId="064402EB" w14:textId="77777777" w:rsidR="00104020" w:rsidRPr="003714F5" w:rsidRDefault="00104020" w:rsidP="004661B6">
            <w:pPr>
              <w:rPr>
                <w:sz w:val="20"/>
              </w:rPr>
            </w:pPr>
          </w:p>
          <w:p w14:paraId="7A30982E" w14:textId="0F25C90F" w:rsidR="00104020" w:rsidRPr="003714F5" w:rsidRDefault="00C415B2" w:rsidP="00104020">
            <w:pPr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t>Los i</w:t>
            </w:r>
            <w:r w:rsidR="00F3360D" w:rsidRPr="003714F5">
              <w:rPr>
                <w:sz w:val="20"/>
              </w:rPr>
              <w:t>ndicadores de rendimien</w:t>
            </w:r>
            <w:r w:rsidR="00641C08" w:rsidRPr="003714F5">
              <w:rPr>
                <w:sz w:val="20"/>
              </w:rPr>
              <w:t>to se centran en los resultados</w:t>
            </w:r>
            <w:r w:rsidR="00F3360D" w:rsidRPr="003714F5">
              <w:rPr>
                <w:sz w:val="20"/>
              </w:rPr>
              <w:t xml:space="preserve"> y </w:t>
            </w:r>
            <w:r w:rsidR="00CB5DCE" w:rsidRPr="003714F5">
              <w:rPr>
                <w:sz w:val="20"/>
              </w:rPr>
              <w:t>son</w:t>
            </w:r>
            <w:r w:rsidR="00641C08" w:rsidRPr="003714F5">
              <w:rPr>
                <w:sz w:val="20"/>
              </w:rPr>
              <w:t xml:space="preserve"> </w:t>
            </w:r>
            <w:r w:rsidR="00F8179A" w:rsidRPr="003714F5">
              <w:rPr>
                <w:sz w:val="20"/>
              </w:rPr>
              <w:t>de escasa utilidad</w:t>
            </w:r>
            <w:r w:rsidR="00F3360D" w:rsidRPr="003714F5">
              <w:rPr>
                <w:sz w:val="20"/>
              </w:rPr>
              <w:t xml:space="preserve"> para medir </w:t>
            </w:r>
            <w:r w:rsidR="00CB5DCE" w:rsidRPr="003714F5">
              <w:rPr>
                <w:sz w:val="20"/>
              </w:rPr>
              <w:t>el resultado</w:t>
            </w:r>
            <w:r w:rsidR="00F3360D" w:rsidRPr="003714F5">
              <w:rPr>
                <w:sz w:val="20"/>
              </w:rPr>
              <w:t xml:space="preserve"> de</w:t>
            </w:r>
            <w:r w:rsidRPr="003714F5">
              <w:rPr>
                <w:sz w:val="20"/>
              </w:rPr>
              <w:t xml:space="preserve"> </w:t>
            </w:r>
            <w:r w:rsidR="00F3360D" w:rsidRPr="003714F5">
              <w:rPr>
                <w:sz w:val="20"/>
              </w:rPr>
              <w:t>la asistencia técnica</w:t>
            </w:r>
          </w:p>
          <w:p w14:paraId="354B205C" w14:textId="77777777" w:rsidR="00104020" w:rsidRPr="003714F5" w:rsidRDefault="00104020" w:rsidP="004661B6">
            <w:pPr>
              <w:rPr>
                <w:sz w:val="20"/>
              </w:rPr>
            </w:pPr>
          </w:p>
        </w:tc>
      </w:tr>
      <w:tr w:rsidR="00CB5DCE" w:rsidRPr="003714F5" w14:paraId="7B238800" w14:textId="77777777" w:rsidTr="004661B6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E972" w14:textId="77777777" w:rsidR="00104020" w:rsidRPr="003714F5" w:rsidRDefault="00104020" w:rsidP="004661B6">
            <w:pPr>
              <w:rPr>
                <w:sz w:val="20"/>
              </w:rPr>
            </w:pPr>
            <w:r w:rsidRPr="003714F5">
              <w:rPr>
                <w:sz w:val="20"/>
              </w:rPr>
              <w:t>2012/13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6F63" w14:textId="09B67A8B" w:rsidR="00104020" w:rsidRPr="003714F5" w:rsidRDefault="00234B60" w:rsidP="00234B60">
            <w:pPr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t xml:space="preserve">Número de países que cada año han formulado </w:t>
            </w:r>
            <w:r w:rsidR="00CB5DCE" w:rsidRPr="003714F5">
              <w:rPr>
                <w:sz w:val="20"/>
              </w:rPr>
              <w:t xml:space="preserve">o empezado a aplicar </w:t>
            </w:r>
            <w:r w:rsidRPr="003714F5">
              <w:rPr>
                <w:sz w:val="20"/>
              </w:rPr>
              <w:t xml:space="preserve">políticas, estrategias o planes de </w:t>
            </w:r>
            <w:r w:rsidR="00CB5DCE" w:rsidRPr="003714F5">
              <w:rPr>
                <w:sz w:val="20"/>
              </w:rPr>
              <w:t xml:space="preserve">PI </w:t>
            </w:r>
            <w:r w:rsidRPr="003714F5">
              <w:rPr>
                <w:sz w:val="20"/>
              </w:rPr>
              <w:t>(África)</w:t>
            </w:r>
          </w:p>
          <w:p w14:paraId="11BC12EB" w14:textId="77777777" w:rsidR="00104020" w:rsidRPr="003714F5" w:rsidRDefault="00104020" w:rsidP="004661B6">
            <w:pPr>
              <w:rPr>
                <w:sz w:val="20"/>
              </w:rPr>
            </w:pPr>
          </w:p>
          <w:p w14:paraId="772E6EB3" w14:textId="508BDD35" w:rsidR="00104020" w:rsidRPr="003714F5" w:rsidRDefault="00C9693F" w:rsidP="00C9693F">
            <w:pPr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t>Número de países con mecanismos adecuados para el desarrollo y la aplicación de estrategias de PI (región de los países árabes)</w:t>
            </w:r>
          </w:p>
          <w:p w14:paraId="4B59C51C" w14:textId="77777777" w:rsidR="00104020" w:rsidRPr="003714F5" w:rsidRDefault="00104020" w:rsidP="004661B6">
            <w:pPr>
              <w:rPr>
                <w:sz w:val="20"/>
              </w:rPr>
            </w:pPr>
          </w:p>
          <w:p w14:paraId="4F2F3994" w14:textId="77777777" w:rsidR="00E86357" w:rsidRDefault="00C9693F" w:rsidP="00C9693F">
            <w:pPr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t>Número de países con iniciativas vinculadas a los planes nacionales de PI (región de los países árabes)</w:t>
            </w:r>
          </w:p>
          <w:p w14:paraId="61C85B36" w14:textId="1F02F2F4" w:rsidR="00104020" w:rsidRPr="003714F5" w:rsidRDefault="00104020" w:rsidP="004661B6">
            <w:pPr>
              <w:rPr>
                <w:sz w:val="20"/>
              </w:rPr>
            </w:pPr>
          </w:p>
          <w:p w14:paraId="24EA0F93" w14:textId="76BC7D9E" w:rsidR="00104020" w:rsidRPr="003714F5" w:rsidRDefault="00C9693F" w:rsidP="00C9693F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t>Número de países con políticas y estrategias de PI en curso de aprobación (Asia y el Pacífico)</w:t>
            </w:r>
          </w:p>
          <w:p w14:paraId="3865A85C" w14:textId="77777777" w:rsidR="00CB5DCE" w:rsidRPr="003714F5" w:rsidRDefault="00CB5DCE" w:rsidP="00CB5DCE">
            <w:pPr>
              <w:pStyle w:val="ListParagraph"/>
              <w:rPr>
                <w:sz w:val="20"/>
              </w:rPr>
            </w:pPr>
          </w:p>
          <w:p w14:paraId="382C05F8" w14:textId="77777777" w:rsidR="00CB5DCE" w:rsidRPr="003714F5" w:rsidRDefault="00CB5DCE" w:rsidP="00CB5DCE">
            <w:pPr>
              <w:pStyle w:val="ListParagraph"/>
              <w:ind w:left="360"/>
              <w:rPr>
                <w:sz w:val="20"/>
              </w:rPr>
            </w:pPr>
          </w:p>
          <w:p w14:paraId="426434C6" w14:textId="23ECB1E6" w:rsidR="00104020" w:rsidRPr="003714F5" w:rsidRDefault="00C9693F" w:rsidP="00C9693F">
            <w:pPr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lastRenderedPageBreak/>
              <w:t>Número de países que han adoptado políticas y estrategias de PI (Asia y el Pacífico)</w:t>
            </w:r>
          </w:p>
          <w:p w14:paraId="19495684" w14:textId="77777777" w:rsidR="00104020" w:rsidRPr="003714F5" w:rsidRDefault="00104020" w:rsidP="004661B6">
            <w:pPr>
              <w:rPr>
                <w:sz w:val="20"/>
              </w:rPr>
            </w:pPr>
          </w:p>
          <w:p w14:paraId="71D9BBA5" w14:textId="0F4EDF26" w:rsidR="00104020" w:rsidRPr="003714F5" w:rsidRDefault="00C9693F" w:rsidP="00C9693F">
            <w:pPr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t>Número de países en los que se han realizado actividades/proyectos que hayan contribuido a la formulación de leyes/políticas de PI (América Latina y el Caribe).</w:t>
            </w:r>
          </w:p>
          <w:p w14:paraId="2E319FCF" w14:textId="4A0DF15E" w:rsidR="00C9693F" w:rsidRPr="003714F5" w:rsidRDefault="00C9693F" w:rsidP="00C9693F">
            <w:pPr>
              <w:rPr>
                <w:sz w:val="20"/>
              </w:rPr>
            </w:pPr>
          </w:p>
          <w:p w14:paraId="4900B056" w14:textId="28A8DEBA" w:rsidR="00104020" w:rsidRPr="003714F5" w:rsidRDefault="00C9693F" w:rsidP="00C9693F">
            <w:pPr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t>Número de países en los que se han realizado actividades/proyectos que hayan contribuido a la aplicación de estrategias/políticas de PI (América Latina y el Caribe).</w:t>
            </w:r>
          </w:p>
          <w:p w14:paraId="3A79B5C6" w14:textId="77777777" w:rsidR="00104020" w:rsidRPr="003714F5" w:rsidRDefault="00104020" w:rsidP="004661B6">
            <w:pPr>
              <w:rPr>
                <w:sz w:val="20"/>
              </w:rPr>
            </w:pPr>
          </w:p>
          <w:p w14:paraId="17B8EEAF" w14:textId="439F0AC6" w:rsidR="00104020" w:rsidRPr="003714F5" w:rsidRDefault="00C415B2" w:rsidP="00CB5DCE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t xml:space="preserve">Número de PMA que han incluido consideraciones de PI </w:t>
            </w:r>
            <w:r w:rsidR="00CB5DCE" w:rsidRPr="003714F5">
              <w:rPr>
                <w:sz w:val="20"/>
              </w:rPr>
              <w:t>específicas relativas a</w:t>
            </w:r>
            <w:r w:rsidRPr="003714F5">
              <w:rPr>
                <w:sz w:val="20"/>
              </w:rPr>
              <w:t xml:space="preserve"> los PMA en sus estrategias o políticas nacionales de PI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5C88" w14:textId="6DC40179" w:rsidR="00104020" w:rsidRPr="003714F5" w:rsidRDefault="00B03F2C" w:rsidP="00104020">
            <w:pPr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lastRenderedPageBreak/>
              <w:t>Resultados</w:t>
            </w:r>
            <w:r w:rsidR="00C415B2" w:rsidRPr="003714F5">
              <w:rPr>
                <w:sz w:val="20"/>
              </w:rPr>
              <w:t xml:space="preserve"> previstos </w:t>
            </w:r>
            <w:r w:rsidR="007910F7" w:rsidRPr="003714F5">
              <w:rPr>
                <w:sz w:val="20"/>
              </w:rPr>
              <w:t xml:space="preserve">armonizados </w:t>
            </w:r>
            <w:r w:rsidR="00C415B2" w:rsidRPr="003714F5">
              <w:rPr>
                <w:sz w:val="20"/>
              </w:rPr>
              <w:t>al nivel de la Organización</w:t>
            </w:r>
          </w:p>
          <w:p w14:paraId="784FA6A5" w14:textId="77777777" w:rsidR="00104020" w:rsidRPr="003714F5" w:rsidRDefault="00104020" w:rsidP="004661B6">
            <w:pPr>
              <w:rPr>
                <w:sz w:val="20"/>
              </w:rPr>
            </w:pPr>
          </w:p>
          <w:p w14:paraId="5AC9FF65" w14:textId="5D0595A9" w:rsidR="00C415B2" w:rsidRPr="003714F5" w:rsidRDefault="00C415B2" w:rsidP="00F8179A">
            <w:pPr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t xml:space="preserve">Falta de coherencia en la formulación de </w:t>
            </w:r>
            <w:r w:rsidR="00641C08" w:rsidRPr="003714F5">
              <w:rPr>
                <w:sz w:val="20"/>
              </w:rPr>
              <w:t xml:space="preserve">los </w:t>
            </w:r>
            <w:r w:rsidRPr="003714F5">
              <w:rPr>
                <w:sz w:val="20"/>
              </w:rPr>
              <w:t xml:space="preserve">indicadores de rendimiento entre las diversas Oficinas, </w:t>
            </w:r>
            <w:r w:rsidR="00CB5DCE" w:rsidRPr="003714F5">
              <w:rPr>
                <w:sz w:val="20"/>
              </w:rPr>
              <w:t xml:space="preserve">lo que impide </w:t>
            </w:r>
            <w:r w:rsidR="00F8179A" w:rsidRPr="003714F5">
              <w:rPr>
                <w:sz w:val="20"/>
              </w:rPr>
              <w:t>realizar comparaciones entre las regiones</w:t>
            </w:r>
          </w:p>
          <w:p w14:paraId="2BA6115D" w14:textId="44285823" w:rsidR="00104020" w:rsidRPr="003714F5" w:rsidRDefault="00104020" w:rsidP="004661B6">
            <w:pPr>
              <w:rPr>
                <w:sz w:val="20"/>
              </w:rPr>
            </w:pPr>
          </w:p>
          <w:p w14:paraId="34A4F30C" w14:textId="79FA93D4" w:rsidR="00C415B2" w:rsidRPr="003714F5" w:rsidRDefault="00C415B2" w:rsidP="00C415B2">
            <w:pPr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t xml:space="preserve">Los indicadores de rendimiento no abarcan todo el proceso de </w:t>
            </w:r>
            <w:r w:rsidR="00641C08" w:rsidRPr="003714F5">
              <w:rPr>
                <w:sz w:val="20"/>
              </w:rPr>
              <w:t>desarrollo de la</w:t>
            </w:r>
            <w:r w:rsidRPr="003714F5">
              <w:rPr>
                <w:sz w:val="20"/>
              </w:rPr>
              <w:t xml:space="preserve"> estrategia nacional de PI, es decir, desde </w:t>
            </w:r>
            <w:r w:rsidR="00CB5DCE" w:rsidRPr="003714F5">
              <w:rPr>
                <w:sz w:val="20"/>
              </w:rPr>
              <w:t xml:space="preserve">la </w:t>
            </w:r>
            <w:r w:rsidR="008F65B7" w:rsidRPr="003714F5">
              <w:rPr>
                <w:sz w:val="20"/>
              </w:rPr>
              <w:t xml:space="preserve">formulación a </w:t>
            </w:r>
            <w:r w:rsidR="00CB5DCE" w:rsidRPr="003714F5">
              <w:rPr>
                <w:sz w:val="20"/>
              </w:rPr>
              <w:t>la</w:t>
            </w:r>
            <w:r w:rsidR="008F65B7" w:rsidRPr="003714F5">
              <w:rPr>
                <w:sz w:val="20"/>
              </w:rPr>
              <w:t xml:space="preserve"> adopción, </w:t>
            </w:r>
            <w:r w:rsidR="00CB5DCE" w:rsidRPr="003714F5">
              <w:rPr>
                <w:sz w:val="20"/>
              </w:rPr>
              <w:t xml:space="preserve">la </w:t>
            </w:r>
            <w:r w:rsidR="008F65B7" w:rsidRPr="003714F5">
              <w:rPr>
                <w:sz w:val="20"/>
              </w:rPr>
              <w:t>aplicación y</w:t>
            </w:r>
            <w:r w:rsidR="00CB5DCE" w:rsidRPr="003714F5">
              <w:rPr>
                <w:sz w:val="20"/>
              </w:rPr>
              <w:t xml:space="preserve"> la</w:t>
            </w:r>
            <w:r w:rsidR="008F65B7" w:rsidRPr="003714F5">
              <w:rPr>
                <w:sz w:val="20"/>
              </w:rPr>
              <w:t xml:space="preserve"> posterior revisión</w:t>
            </w:r>
          </w:p>
          <w:p w14:paraId="7C8C4AF5" w14:textId="77777777" w:rsidR="00104020" w:rsidRPr="003714F5" w:rsidRDefault="00104020" w:rsidP="004661B6">
            <w:pPr>
              <w:rPr>
                <w:sz w:val="20"/>
              </w:rPr>
            </w:pPr>
          </w:p>
          <w:p w14:paraId="5F585AA0" w14:textId="77777777" w:rsidR="00C415B2" w:rsidRPr="003714F5" w:rsidRDefault="00C415B2" w:rsidP="00C415B2">
            <w:pPr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t xml:space="preserve">Los indicadores de rendimiento miden varias cosas, es decir, falta </w:t>
            </w:r>
            <w:r w:rsidRPr="003714F5">
              <w:rPr>
                <w:sz w:val="20"/>
              </w:rPr>
              <w:lastRenderedPageBreak/>
              <w:t>claridad</w:t>
            </w:r>
          </w:p>
          <w:p w14:paraId="6FD43AE6" w14:textId="77777777" w:rsidR="00104020" w:rsidRPr="003714F5" w:rsidRDefault="00104020" w:rsidP="004661B6">
            <w:pPr>
              <w:rPr>
                <w:sz w:val="20"/>
              </w:rPr>
            </w:pPr>
          </w:p>
          <w:p w14:paraId="1D64FE22" w14:textId="2D06F3CE" w:rsidR="00C415B2" w:rsidRPr="003714F5" w:rsidRDefault="00C415B2" w:rsidP="00641C0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t>Los indicadores de rendimiento se centran en los resultados</w:t>
            </w:r>
            <w:r w:rsidR="00641C08" w:rsidRPr="003714F5">
              <w:t xml:space="preserve"> </w:t>
            </w:r>
            <w:r w:rsidR="00F8179A" w:rsidRPr="003714F5">
              <w:rPr>
                <w:sz w:val="20"/>
              </w:rPr>
              <w:t>y son de escasa utilidad para</w:t>
            </w:r>
            <w:r w:rsidR="00641C08" w:rsidRPr="003714F5">
              <w:rPr>
                <w:sz w:val="20"/>
              </w:rPr>
              <w:t xml:space="preserve"> medir los </w:t>
            </w:r>
            <w:r w:rsidRPr="003714F5">
              <w:rPr>
                <w:sz w:val="20"/>
              </w:rPr>
              <w:t>resultados de la asistencia técnica</w:t>
            </w:r>
          </w:p>
          <w:p w14:paraId="46696D1F" w14:textId="77777777" w:rsidR="00104020" w:rsidRPr="003714F5" w:rsidRDefault="00104020" w:rsidP="004661B6">
            <w:pPr>
              <w:rPr>
                <w:sz w:val="20"/>
              </w:rPr>
            </w:pPr>
          </w:p>
          <w:p w14:paraId="558C1C39" w14:textId="77777777" w:rsidR="00104020" w:rsidRPr="003714F5" w:rsidRDefault="00104020" w:rsidP="004661B6">
            <w:pPr>
              <w:rPr>
                <w:sz w:val="20"/>
              </w:rPr>
            </w:pPr>
          </w:p>
        </w:tc>
      </w:tr>
      <w:tr w:rsidR="00CB5DCE" w:rsidRPr="003714F5" w14:paraId="2B9645D3" w14:textId="77777777" w:rsidTr="00466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6B47" w14:textId="77777777" w:rsidR="00104020" w:rsidRPr="003714F5" w:rsidRDefault="00104020" w:rsidP="004661B6">
            <w:pPr>
              <w:rPr>
                <w:sz w:val="20"/>
              </w:rPr>
            </w:pPr>
            <w:r w:rsidRPr="003714F5">
              <w:rPr>
                <w:sz w:val="20"/>
              </w:rPr>
              <w:lastRenderedPageBreak/>
              <w:t>2014/15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B738" w14:textId="4C453C31" w:rsidR="00104020" w:rsidRPr="003714F5" w:rsidRDefault="00C415B2" w:rsidP="00C415B2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t>N</w:t>
            </w:r>
            <w:r w:rsidR="008F65B7" w:rsidRPr="003714F5">
              <w:rPr>
                <w:sz w:val="20"/>
              </w:rPr>
              <w:t xml:space="preserve">úmero de países que están formulando/adoptando </w:t>
            </w:r>
            <w:r w:rsidRPr="003714F5">
              <w:rPr>
                <w:sz w:val="20"/>
              </w:rPr>
              <w:t>estrategias o planes de desarrollo nacionales de PI</w:t>
            </w:r>
          </w:p>
          <w:p w14:paraId="5101F578" w14:textId="77777777" w:rsidR="00C415B2" w:rsidRPr="003714F5" w:rsidRDefault="00C415B2" w:rsidP="00C415B2">
            <w:pPr>
              <w:pStyle w:val="ListParagraph"/>
              <w:ind w:left="360"/>
              <w:rPr>
                <w:sz w:val="20"/>
              </w:rPr>
            </w:pPr>
          </w:p>
          <w:p w14:paraId="7B65BCED" w14:textId="17BB58E4" w:rsidR="00104020" w:rsidRPr="003714F5" w:rsidRDefault="00F92E89" w:rsidP="00F958EC">
            <w:pPr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t xml:space="preserve">Número de países que han adoptado </w:t>
            </w:r>
            <w:r w:rsidR="00F958EC" w:rsidRPr="003714F5">
              <w:rPr>
                <w:sz w:val="20"/>
              </w:rPr>
              <w:t>y están aplicando</w:t>
            </w:r>
            <w:r w:rsidRPr="003714F5">
              <w:rPr>
                <w:sz w:val="20"/>
              </w:rPr>
              <w:t xml:space="preserve"> estrategias o planes de desarrollo nacionales de PI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CB49" w14:textId="1E078EA4" w:rsidR="00104020" w:rsidRPr="003714F5" w:rsidRDefault="007910F7" w:rsidP="00F92E89">
            <w:pPr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t>I</w:t>
            </w:r>
            <w:r w:rsidR="00F92E89" w:rsidRPr="003714F5">
              <w:rPr>
                <w:sz w:val="20"/>
              </w:rPr>
              <w:t xml:space="preserve">ndicadores de rendimiento </w:t>
            </w:r>
            <w:r w:rsidRPr="003714F5">
              <w:rPr>
                <w:sz w:val="20"/>
              </w:rPr>
              <w:t xml:space="preserve">armonizados </w:t>
            </w:r>
            <w:r w:rsidR="00F92E89" w:rsidRPr="003714F5">
              <w:rPr>
                <w:sz w:val="20"/>
              </w:rPr>
              <w:t>entre las diversas Oficinas,</w:t>
            </w:r>
            <w:r w:rsidR="00104020" w:rsidRPr="003714F5">
              <w:rPr>
                <w:sz w:val="20"/>
              </w:rPr>
              <w:t xml:space="preserve"> </w:t>
            </w:r>
            <w:r w:rsidR="00F92E89" w:rsidRPr="003714F5">
              <w:rPr>
                <w:sz w:val="20"/>
              </w:rPr>
              <w:t>lo que</w:t>
            </w:r>
            <w:r w:rsidRPr="003714F5">
              <w:rPr>
                <w:sz w:val="20"/>
              </w:rPr>
              <w:t xml:space="preserve"> permite</w:t>
            </w:r>
            <w:r w:rsidR="00F92E89" w:rsidRPr="003714F5">
              <w:rPr>
                <w:sz w:val="20"/>
              </w:rPr>
              <w:t xml:space="preserve"> </w:t>
            </w:r>
            <w:r w:rsidR="00F8179A" w:rsidRPr="003714F5">
              <w:rPr>
                <w:sz w:val="20"/>
              </w:rPr>
              <w:t xml:space="preserve">realizar comparaciones </w:t>
            </w:r>
            <w:r w:rsidR="00F92E89" w:rsidRPr="003714F5">
              <w:rPr>
                <w:sz w:val="20"/>
              </w:rPr>
              <w:t xml:space="preserve">entre </w:t>
            </w:r>
            <w:r w:rsidR="00F8179A" w:rsidRPr="003714F5">
              <w:rPr>
                <w:sz w:val="20"/>
              </w:rPr>
              <w:t xml:space="preserve">las </w:t>
            </w:r>
            <w:r w:rsidR="00F92E89" w:rsidRPr="003714F5">
              <w:rPr>
                <w:sz w:val="20"/>
              </w:rPr>
              <w:t>regiones</w:t>
            </w:r>
          </w:p>
          <w:p w14:paraId="713C544F" w14:textId="77777777" w:rsidR="00104020" w:rsidRPr="003714F5" w:rsidRDefault="00104020" w:rsidP="004661B6">
            <w:pPr>
              <w:rPr>
                <w:sz w:val="20"/>
              </w:rPr>
            </w:pPr>
          </w:p>
          <w:p w14:paraId="327B3BA8" w14:textId="1610A9B4" w:rsidR="00104020" w:rsidRPr="003714F5" w:rsidRDefault="00F92E89" w:rsidP="00104020">
            <w:pPr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t>Los indicadores de rendimiento abarcan el proces</w:t>
            </w:r>
            <w:r w:rsidR="00B03F2C" w:rsidRPr="003714F5">
              <w:rPr>
                <w:sz w:val="20"/>
              </w:rPr>
              <w:t>o</w:t>
            </w:r>
            <w:r w:rsidRPr="003714F5">
              <w:rPr>
                <w:sz w:val="20"/>
              </w:rPr>
              <w:t xml:space="preserve"> desde la formulación de </w:t>
            </w:r>
            <w:r w:rsidR="008F65B7" w:rsidRPr="003714F5">
              <w:rPr>
                <w:sz w:val="20"/>
              </w:rPr>
              <w:t>l</w:t>
            </w:r>
            <w:r w:rsidRPr="003714F5">
              <w:rPr>
                <w:sz w:val="20"/>
              </w:rPr>
              <w:t xml:space="preserve">a estrategia nacional de PI hasta </w:t>
            </w:r>
            <w:r w:rsidR="00F8179A" w:rsidRPr="003714F5">
              <w:rPr>
                <w:sz w:val="20"/>
              </w:rPr>
              <w:t xml:space="preserve">su </w:t>
            </w:r>
            <w:r w:rsidRPr="003714F5">
              <w:rPr>
                <w:sz w:val="20"/>
              </w:rPr>
              <w:t>aplicación</w:t>
            </w:r>
          </w:p>
          <w:p w14:paraId="3CAC77AB" w14:textId="77777777" w:rsidR="00104020" w:rsidRPr="003714F5" w:rsidRDefault="00104020" w:rsidP="004661B6">
            <w:pPr>
              <w:rPr>
                <w:sz w:val="20"/>
              </w:rPr>
            </w:pPr>
          </w:p>
          <w:p w14:paraId="7487E15A" w14:textId="77777777" w:rsidR="00F92E89" w:rsidRPr="003714F5" w:rsidRDefault="00F92E89" w:rsidP="00F92E89">
            <w:pPr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t>Los indicadores de rendimiento miden varias cosas, es decir, falta claridad</w:t>
            </w:r>
          </w:p>
          <w:p w14:paraId="6F3DA956" w14:textId="77777777" w:rsidR="00104020" w:rsidRPr="003714F5" w:rsidRDefault="00104020" w:rsidP="004661B6">
            <w:pPr>
              <w:rPr>
                <w:sz w:val="20"/>
              </w:rPr>
            </w:pPr>
          </w:p>
        </w:tc>
      </w:tr>
      <w:tr w:rsidR="00CB5DCE" w:rsidRPr="003714F5" w14:paraId="00326BEC" w14:textId="77777777" w:rsidTr="00791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739D" w14:textId="77777777" w:rsidR="00104020" w:rsidRPr="003714F5" w:rsidRDefault="00104020" w:rsidP="004661B6">
            <w:pPr>
              <w:rPr>
                <w:sz w:val="20"/>
              </w:rPr>
            </w:pPr>
            <w:r w:rsidRPr="003714F5">
              <w:rPr>
                <w:sz w:val="20"/>
              </w:rPr>
              <w:t>2016/17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81BF" w14:textId="279AF825" w:rsidR="00F958EC" w:rsidRPr="003714F5" w:rsidRDefault="00F958EC" w:rsidP="00F958EC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t xml:space="preserve">Número de países que están </w:t>
            </w:r>
            <w:r w:rsidR="00F8179A" w:rsidRPr="003714F5">
              <w:rPr>
                <w:sz w:val="20"/>
              </w:rPr>
              <w:t>for</w:t>
            </w:r>
            <w:r w:rsidR="00321C34" w:rsidRPr="003714F5">
              <w:rPr>
                <w:sz w:val="20"/>
              </w:rPr>
              <w:t>m</w:t>
            </w:r>
            <w:r w:rsidR="00F8179A" w:rsidRPr="003714F5">
              <w:rPr>
                <w:sz w:val="20"/>
              </w:rPr>
              <w:t>ulando</w:t>
            </w:r>
            <w:r w:rsidR="008F65B7" w:rsidRPr="003714F5">
              <w:rPr>
                <w:sz w:val="20"/>
              </w:rPr>
              <w:t xml:space="preserve"> </w:t>
            </w:r>
            <w:r w:rsidRPr="003714F5">
              <w:rPr>
                <w:sz w:val="20"/>
              </w:rPr>
              <w:t>estrategias nacionales de PI</w:t>
            </w:r>
          </w:p>
          <w:p w14:paraId="0A3AEEDF" w14:textId="77777777" w:rsidR="004B37EE" w:rsidRPr="003714F5" w:rsidRDefault="004B37EE" w:rsidP="004B37EE">
            <w:pPr>
              <w:pStyle w:val="ListParagraph"/>
              <w:ind w:left="360"/>
              <w:rPr>
                <w:sz w:val="20"/>
              </w:rPr>
            </w:pPr>
          </w:p>
          <w:p w14:paraId="5E3198D1" w14:textId="35815D13" w:rsidR="00104020" w:rsidRPr="003714F5" w:rsidRDefault="004B37EE" w:rsidP="004B37EE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t>N</w:t>
            </w:r>
            <w:r w:rsidR="008F65B7" w:rsidRPr="003714F5">
              <w:rPr>
                <w:sz w:val="20"/>
              </w:rPr>
              <w:t>ú</w:t>
            </w:r>
            <w:r w:rsidRPr="003714F5">
              <w:rPr>
                <w:sz w:val="20"/>
              </w:rPr>
              <w:t>mero de países que han adoptado estrategias nacionales de innovación y de PI</w:t>
            </w:r>
          </w:p>
          <w:p w14:paraId="319264C2" w14:textId="0499BF45" w:rsidR="004B37EE" w:rsidRPr="003714F5" w:rsidRDefault="004B37EE" w:rsidP="004B37EE">
            <w:pPr>
              <w:rPr>
                <w:sz w:val="20"/>
              </w:rPr>
            </w:pPr>
          </w:p>
          <w:p w14:paraId="2FC075F9" w14:textId="6844C87C" w:rsidR="00104020" w:rsidRPr="003714F5" w:rsidRDefault="004B37EE" w:rsidP="004B37EE">
            <w:pPr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t>Número de países que están aplicando estrategias nacionales de innovación y de PI y planes de desarrollo de la PI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0214" w14:textId="77777777" w:rsidR="007910F7" w:rsidRPr="003714F5" w:rsidRDefault="007910F7" w:rsidP="007910F7">
            <w:pPr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t>Indicadores de rendimiento armonizados entre las diversas Oficinas, lo que permite establecer comparaciones entre regiones</w:t>
            </w:r>
          </w:p>
          <w:p w14:paraId="4D9D1932" w14:textId="77777777" w:rsidR="00104020" w:rsidRPr="003714F5" w:rsidRDefault="00104020" w:rsidP="004661B6">
            <w:pPr>
              <w:rPr>
                <w:sz w:val="20"/>
              </w:rPr>
            </w:pPr>
          </w:p>
          <w:p w14:paraId="41D335C0" w14:textId="413990E7" w:rsidR="004B37EE" w:rsidRPr="003714F5" w:rsidRDefault="004B37EE" w:rsidP="004B37EE">
            <w:pPr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t>Los indicadores de rendimiento abarcan el proces</w:t>
            </w:r>
            <w:r w:rsidR="008F65B7" w:rsidRPr="003714F5">
              <w:rPr>
                <w:sz w:val="20"/>
              </w:rPr>
              <w:t>o</w:t>
            </w:r>
            <w:r w:rsidRPr="003714F5">
              <w:rPr>
                <w:sz w:val="20"/>
              </w:rPr>
              <w:t xml:space="preserve"> desde la formulación de </w:t>
            </w:r>
            <w:r w:rsidR="008F65B7" w:rsidRPr="003714F5">
              <w:rPr>
                <w:sz w:val="20"/>
              </w:rPr>
              <w:t>l</w:t>
            </w:r>
            <w:r w:rsidRPr="003714F5">
              <w:rPr>
                <w:sz w:val="20"/>
              </w:rPr>
              <w:t xml:space="preserve">a estrategia nacional de PI hasta su </w:t>
            </w:r>
            <w:r w:rsidR="008F65B7" w:rsidRPr="003714F5">
              <w:rPr>
                <w:sz w:val="20"/>
              </w:rPr>
              <w:t xml:space="preserve">adopción y </w:t>
            </w:r>
            <w:r w:rsidRPr="003714F5">
              <w:rPr>
                <w:sz w:val="20"/>
              </w:rPr>
              <w:t>aplicación</w:t>
            </w:r>
          </w:p>
          <w:p w14:paraId="09B60C62" w14:textId="77777777" w:rsidR="00104020" w:rsidRPr="003714F5" w:rsidRDefault="00104020" w:rsidP="004661B6">
            <w:pPr>
              <w:rPr>
                <w:sz w:val="20"/>
              </w:rPr>
            </w:pPr>
          </w:p>
          <w:p w14:paraId="2805C3BA" w14:textId="5AEFAC11" w:rsidR="00104020" w:rsidRPr="003714F5" w:rsidRDefault="007910F7" w:rsidP="008F65B7">
            <w:pPr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t>Los i</w:t>
            </w:r>
            <w:r w:rsidR="004B37EE" w:rsidRPr="003714F5">
              <w:rPr>
                <w:sz w:val="20"/>
              </w:rPr>
              <w:t xml:space="preserve">ndicadores de rendimiento </w:t>
            </w:r>
            <w:r w:rsidRPr="003714F5">
              <w:rPr>
                <w:sz w:val="20"/>
              </w:rPr>
              <w:t xml:space="preserve">están </w:t>
            </w:r>
            <w:r w:rsidR="008F65B7" w:rsidRPr="003714F5">
              <w:rPr>
                <w:sz w:val="20"/>
              </w:rPr>
              <w:t>claramente</w:t>
            </w:r>
            <w:r w:rsidR="004B37EE" w:rsidRPr="003714F5">
              <w:rPr>
                <w:sz w:val="20"/>
              </w:rPr>
              <w:t xml:space="preserve"> definidos, e</w:t>
            </w:r>
            <w:r w:rsidRPr="003714F5">
              <w:rPr>
                <w:sz w:val="20"/>
              </w:rPr>
              <w:t>s decir, cada indicador mide una etapa del proceso</w:t>
            </w:r>
          </w:p>
        </w:tc>
      </w:tr>
      <w:tr w:rsidR="00CB5DCE" w:rsidRPr="003714F5" w14:paraId="047DC579" w14:textId="77777777" w:rsidTr="004661B6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FCCD" w14:textId="77777777" w:rsidR="00104020" w:rsidRPr="003714F5" w:rsidRDefault="00104020" w:rsidP="004661B6">
            <w:pPr>
              <w:rPr>
                <w:sz w:val="20"/>
              </w:rPr>
            </w:pPr>
            <w:r w:rsidRPr="003714F5">
              <w:rPr>
                <w:sz w:val="20"/>
              </w:rPr>
              <w:t>2018/19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31B3" w14:textId="77777777" w:rsidR="00E86357" w:rsidRDefault="007910F7" w:rsidP="007910F7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t xml:space="preserve">Número de países que están </w:t>
            </w:r>
            <w:r w:rsidR="008F65B7" w:rsidRPr="003714F5">
              <w:rPr>
                <w:sz w:val="20"/>
              </w:rPr>
              <w:t xml:space="preserve">formulando </w:t>
            </w:r>
            <w:r w:rsidRPr="003714F5">
              <w:rPr>
                <w:sz w:val="20"/>
              </w:rPr>
              <w:t>estrategias nacionales de PI</w:t>
            </w:r>
          </w:p>
          <w:p w14:paraId="0367F473" w14:textId="61C0D2C8" w:rsidR="007910F7" w:rsidRPr="003714F5" w:rsidRDefault="007910F7" w:rsidP="007910F7">
            <w:pPr>
              <w:pStyle w:val="ListParagraph"/>
              <w:ind w:left="360"/>
              <w:rPr>
                <w:sz w:val="20"/>
              </w:rPr>
            </w:pPr>
          </w:p>
          <w:p w14:paraId="78DCE5C7" w14:textId="4FD0515C" w:rsidR="00104020" w:rsidRPr="003714F5" w:rsidRDefault="007910F7" w:rsidP="007910F7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t>Número de países que han adoptado estrategias nacionales de PI</w:t>
            </w:r>
          </w:p>
          <w:p w14:paraId="520DB07A" w14:textId="1EA7A00B" w:rsidR="007910F7" w:rsidRPr="003714F5" w:rsidRDefault="007910F7" w:rsidP="007910F7">
            <w:pPr>
              <w:rPr>
                <w:sz w:val="20"/>
              </w:rPr>
            </w:pPr>
          </w:p>
          <w:p w14:paraId="2BF5FE77" w14:textId="60E363A9" w:rsidR="00104020" w:rsidRPr="003714F5" w:rsidRDefault="007910F7" w:rsidP="007910F7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t>Número de países que están aplicando estrategias nacionales de PI y planes de desarrollo de la PI</w:t>
            </w:r>
          </w:p>
          <w:p w14:paraId="6582C0E0" w14:textId="52C436EF" w:rsidR="007910F7" w:rsidRPr="003714F5" w:rsidRDefault="007910F7" w:rsidP="007910F7">
            <w:pPr>
              <w:rPr>
                <w:sz w:val="20"/>
              </w:rPr>
            </w:pPr>
          </w:p>
          <w:p w14:paraId="25CB25DC" w14:textId="2017F2CF" w:rsidR="00104020" w:rsidRPr="003714F5" w:rsidRDefault="007910F7" w:rsidP="007910F7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t>Número de países que están revisando sus estrategias de PI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8674" w14:textId="77777777" w:rsidR="007910F7" w:rsidRPr="003714F5" w:rsidRDefault="007910F7" w:rsidP="007910F7">
            <w:pPr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t>Indicadores de rendimiento armonizados entre las diversas Oficinas, lo que permite establecer comparaciones entre regiones</w:t>
            </w:r>
          </w:p>
          <w:p w14:paraId="06EB83F1" w14:textId="77777777" w:rsidR="00104020" w:rsidRPr="003714F5" w:rsidRDefault="00104020" w:rsidP="004661B6">
            <w:pPr>
              <w:rPr>
                <w:sz w:val="20"/>
              </w:rPr>
            </w:pPr>
          </w:p>
          <w:p w14:paraId="5A6EDE5D" w14:textId="46B48F2A" w:rsidR="007910F7" w:rsidRPr="003714F5" w:rsidRDefault="007910F7" w:rsidP="007910F7">
            <w:pPr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t>Los indicadores d</w:t>
            </w:r>
            <w:r w:rsidR="008F65B7" w:rsidRPr="003714F5">
              <w:rPr>
                <w:sz w:val="20"/>
              </w:rPr>
              <w:t xml:space="preserve">e rendimiento abarcan el proceso </w:t>
            </w:r>
            <w:r w:rsidRPr="003714F5">
              <w:rPr>
                <w:sz w:val="20"/>
              </w:rPr>
              <w:t xml:space="preserve">desde la formulación de </w:t>
            </w:r>
            <w:r w:rsidR="00F8179A" w:rsidRPr="003714F5">
              <w:rPr>
                <w:sz w:val="20"/>
              </w:rPr>
              <w:t>l</w:t>
            </w:r>
            <w:r w:rsidRPr="003714F5">
              <w:rPr>
                <w:sz w:val="20"/>
              </w:rPr>
              <w:t xml:space="preserve">a estrategia nacional de PI hasta su </w:t>
            </w:r>
            <w:r w:rsidR="008F65B7" w:rsidRPr="003714F5">
              <w:rPr>
                <w:sz w:val="20"/>
              </w:rPr>
              <w:t xml:space="preserve">adopción, </w:t>
            </w:r>
            <w:r w:rsidRPr="003714F5">
              <w:rPr>
                <w:sz w:val="20"/>
              </w:rPr>
              <w:t>aplicación</w:t>
            </w:r>
            <w:r w:rsidR="008F65B7" w:rsidRPr="003714F5">
              <w:rPr>
                <w:sz w:val="20"/>
              </w:rPr>
              <w:t xml:space="preserve"> y revisión</w:t>
            </w:r>
          </w:p>
          <w:p w14:paraId="46FAA002" w14:textId="77777777" w:rsidR="00104020" w:rsidRPr="003714F5" w:rsidRDefault="00104020" w:rsidP="004661B6">
            <w:pPr>
              <w:rPr>
                <w:sz w:val="20"/>
              </w:rPr>
            </w:pPr>
          </w:p>
          <w:p w14:paraId="17D94020" w14:textId="7539708F" w:rsidR="00104020" w:rsidRPr="003714F5" w:rsidRDefault="007910F7" w:rsidP="00F8179A">
            <w:pPr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t xml:space="preserve">Los indicadores de rendimiento </w:t>
            </w:r>
            <w:r w:rsidRPr="003714F5">
              <w:rPr>
                <w:sz w:val="20"/>
              </w:rPr>
              <w:lastRenderedPageBreak/>
              <w:t xml:space="preserve">están </w:t>
            </w:r>
            <w:r w:rsidR="00F8179A" w:rsidRPr="003714F5">
              <w:rPr>
                <w:sz w:val="20"/>
              </w:rPr>
              <w:t>claramente</w:t>
            </w:r>
            <w:r w:rsidRPr="003714F5">
              <w:rPr>
                <w:sz w:val="20"/>
              </w:rPr>
              <w:t xml:space="preserve"> definidos, es decir, cada indicador mide una etapa del proceso</w:t>
            </w:r>
          </w:p>
        </w:tc>
      </w:tr>
    </w:tbl>
    <w:p w14:paraId="680D6F1F" w14:textId="77777777" w:rsidR="00104020" w:rsidRPr="003714F5" w:rsidRDefault="00104020" w:rsidP="00104020">
      <w:pPr>
        <w:rPr>
          <w:szCs w:val="22"/>
        </w:rPr>
      </w:pPr>
    </w:p>
    <w:p w14:paraId="666CF2FE" w14:textId="77777777" w:rsidR="00104020" w:rsidRPr="003714F5" w:rsidRDefault="00104020" w:rsidP="00104020">
      <w:pPr>
        <w:rPr>
          <w:szCs w:val="22"/>
        </w:rPr>
      </w:pPr>
    </w:p>
    <w:p w14:paraId="76884B49" w14:textId="0EC541A4" w:rsidR="00104020" w:rsidRPr="003714F5" w:rsidRDefault="00104020" w:rsidP="00104020">
      <w:pPr>
        <w:rPr>
          <w:szCs w:val="22"/>
        </w:rPr>
      </w:pPr>
      <w:r w:rsidRPr="003714F5">
        <w:rPr>
          <w:szCs w:val="22"/>
        </w:rPr>
        <w:fldChar w:fldCharType="begin"/>
      </w:r>
      <w:r w:rsidRPr="003714F5">
        <w:rPr>
          <w:szCs w:val="22"/>
        </w:rPr>
        <w:instrText xml:space="preserve"> AUTONUM  </w:instrText>
      </w:r>
      <w:r w:rsidRPr="003714F5">
        <w:rPr>
          <w:szCs w:val="22"/>
        </w:rPr>
        <w:fldChar w:fldCharType="end"/>
      </w:r>
      <w:r w:rsidRPr="003714F5">
        <w:rPr>
          <w:szCs w:val="22"/>
        </w:rPr>
        <w:tab/>
      </w:r>
      <w:r w:rsidR="007910F7" w:rsidRPr="003714F5">
        <w:rPr>
          <w:szCs w:val="22"/>
        </w:rPr>
        <w:t xml:space="preserve">La mejora del marco </w:t>
      </w:r>
      <w:r w:rsidR="00B15E76" w:rsidRPr="003714F5">
        <w:rPr>
          <w:szCs w:val="22"/>
        </w:rPr>
        <w:t xml:space="preserve">de indicadores de rendimiento ha reforzado la capacidad de la OMPI para medir la evolución de los resultados y la repercusión a largo plazo </w:t>
      </w:r>
      <w:r w:rsidR="00F8179A" w:rsidRPr="003714F5">
        <w:rPr>
          <w:szCs w:val="22"/>
        </w:rPr>
        <w:t>en los diferentes</w:t>
      </w:r>
      <w:r w:rsidR="00B15E76" w:rsidRPr="003714F5">
        <w:rPr>
          <w:szCs w:val="22"/>
        </w:rPr>
        <w:t xml:space="preserve"> bienios</w:t>
      </w:r>
      <w:r w:rsidRPr="003714F5">
        <w:rPr>
          <w:szCs w:val="22"/>
        </w:rPr>
        <w:t xml:space="preserve">, </w:t>
      </w:r>
      <w:r w:rsidR="008E39F5" w:rsidRPr="003714F5">
        <w:rPr>
          <w:szCs w:val="22"/>
        </w:rPr>
        <w:t>como se muestra e</w:t>
      </w:r>
      <w:r w:rsidR="00B15E76" w:rsidRPr="003714F5">
        <w:rPr>
          <w:szCs w:val="22"/>
        </w:rPr>
        <w:t>n el gráfico que figura a continuación.</w:t>
      </w:r>
    </w:p>
    <w:p w14:paraId="65BD2F1F" w14:textId="77777777" w:rsidR="00104020" w:rsidRPr="003714F5" w:rsidRDefault="00104020" w:rsidP="00104020">
      <w:pPr>
        <w:rPr>
          <w:szCs w:val="22"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833"/>
      </w:tblGrid>
      <w:tr w:rsidR="00104020" w:rsidRPr="003714F5" w14:paraId="28B9BF65" w14:textId="77777777" w:rsidTr="004661B6">
        <w:trPr>
          <w:jc w:val="center"/>
        </w:trPr>
        <w:tc>
          <w:tcPr>
            <w:tcW w:w="4690" w:type="dxa"/>
          </w:tcPr>
          <w:p w14:paraId="3CDB7640" w14:textId="77777777" w:rsidR="00E86357" w:rsidRPr="00E86357" w:rsidRDefault="00E86357" w:rsidP="001C3A85">
            <w:pPr>
              <w:rPr>
                <w:szCs w:val="22"/>
              </w:rPr>
            </w:pPr>
          </w:p>
          <w:p w14:paraId="29712AE0" w14:textId="64F97ABE" w:rsidR="00104020" w:rsidRPr="003714F5" w:rsidRDefault="001C3A85" w:rsidP="001C3A85">
            <w:pPr>
              <w:rPr>
                <w:i/>
                <w:szCs w:val="22"/>
              </w:rPr>
            </w:pPr>
            <w:r w:rsidRPr="003714F5">
              <w:rPr>
                <w:i/>
                <w:szCs w:val="22"/>
              </w:rPr>
              <w:t>Número de países que han adoptado estrategias nacionales de PI</w:t>
            </w:r>
          </w:p>
        </w:tc>
        <w:tc>
          <w:tcPr>
            <w:tcW w:w="4716" w:type="dxa"/>
          </w:tcPr>
          <w:p w14:paraId="75869A7B" w14:textId="77777777" w:rsidR="00104020" w:rsidRPr="003714F5" w:rsidRDefault="00104020" w:rsidP="004661B6">
            <w:pPr>
              <w:rPr>
                <w:i/>
                <w:szCs w:val="22"/>
              </w:rPr>
            </w:pPr>
          </w:p>
          <w:p w14:paraId="47E148FC" w14:textId="0BFC67A3" w:rsidR="00104020" w:rsidRPr="003714F5" w:rsidRDefault="001C3A85" w:rsidP="00F8179A">
            <w:pPr>
              <w:rPr>
                <w:szCs w:val="22"/>
              </w:rPr>
            </w:pPr>
            <w:r w:rsidRPr="003714F5">
              <w:rPr>
                <w:i/>
                <w:szCs w:val="22"/>
              </w:rPr>
              <w:t xml:space="preserve">Número de países que </w:t>
            </w:r>
            <w:r w:rsidR="00F8179A" w:rsidRPr="003714F5">
              <w:rPr>
                <w:i/>
                <w:szCs w:val="22"/>
              </w:rPr>
              <w:t>están aplicando</w:t>
            </w:r>
            <w:r w:rsidRPr="003714F5">
              <w:rPr>
                <w:i/>
                <w:szCs w:val="22"/>
              </w:rPr>
              <w:t xml:space="preserve"> estrategias nacionales de PI</w:t>
            </w:r>
          </w:p>
        </w:tc>
      </w:tr>
      <w:tr w:rsidR="00104020" w:rsidRPr="003714F5" w14:paraId="10C35E64" w14:textId="77777777" w:rsidTr="004661B6">
        <w:trPr>
          <w:jc w:val="center"/>
        </w:trPr>
        <w:tc>
          <w:tcPr>
            <w:tcW w:w="4690" w:type="dxa"/>
          </w:tcPr>
          <w:p w14:paraId="78F042FB" w14:textId="4A06BC5A" w:rsidR="00104020" w:rsidRPr="003714F5" w:rsidRDefault="00E86357" w:rsidP="004661B6">
            <w:pPr>
              <w:rPr>
                <w:szCs w:val="22"/>
              </w:rPr>
            </w:pPr>
            <w:r>
              <w:rPr>
                <w:noProof/>
                <w:szCs w:val="22"/>
                <w:lang w:val="en-US" w:eastAsia="en-US"/>
              </w:rPr>
              <w:drawing>
                <wp:inline distT="0" distB="0" distL="0" distR="0" wp14:anchorId="75B204A9" wp14:editId="5A2C88A2">
                  <wp:extent cx="3083152" cy="2294807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24" cy="2296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</w:tcPr>
          <w:p w14:paraId="3446875A" w14:textId="40A9EB4E" w:rsidR="00104020" w:rsidRPr="003714F5" w:rsidRDefault="00E86357" w:rsidP="004661B6">
            <w:pPr>
              <w:rPr>
                <w:szCs w:val="22"/>
              </w:rPr>
            </w:pPr>
            <w:r>
              <w:rPr>
                <w:noProof/>
                <w:szCs w:val="22"/>
                <w:lang w:val="en-US" w:eastAsia="en-US"/>
              </w:rPr>
              <w:drawing>
                <wp:inline distT="0" distB="0" distL="0" distR="0" wp14:anchorId="69451DF4" wp14:editId="2EB8B7F8">
                  <wp:extent cx="3151441" cy="23456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605" cy="235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08DBE0" w14:textId="77777777" w:rsidR="00104020" w:rsidRPr="003714F5" w:rsidRDefault="00104020" w:rsidP="00104020">
      <w:pPr>
        <w:rPr>
          <w:bCs/>
          <w:szCs w:val="22"/>
        </w:rPr>
      </w:pPr>
    </w:p>
    <w:p w14:paraId="18E7E709" w14:textId="77777777" w:rsidR="00104020" w:rsidRPr="003714F5" w:rsidRDefault="00104020" w:rsidP="00104020">
      <w:pPr>
        <w:rPr>
          <w:szCs w:val="22"/>
        </w:rPr>
      </w:pPr>
    </w:p>
    <w:p w14:paraId="2351B90D" w14:textId="00C36120" w:rsidR="00104020" w:rsidRPr="003714F5" w:rsidRDefault="00391CED" w:rsidP="00391CED">
      <w:pPr>
        <w:rPr>
          <w:b/>
          <w:szCs w:val="22"/>
        </w:rPr>
      </w:pPr>
      <w:r w:rsidRPr="003714F5">
        <w:rPr>
          <w:b/>
          <w:szCs w:val="22"/>
        </w:rPr>
        <w:t>Centros de apoyo a la tecnología y la innovación (CATI)</w:t>
      </w:r>
    </w:p>
    <w:p w14:paraId="1FFBBDBB" w14:textId="77777777" w:rsidR="00391CED" w:rsidRPr="003714F5" w:rsidRDefault="00391CED" w:rsidP="00391CED">
      <w:pPr>
        <w:rPr>
          <w:b/>
          <w:szCs w:val="22"/>
        </w:rPr>
      </w:pPr>
    </w:p>
    <w:p w14:paraId="1134E2C5" w14:textId="2943393D" w:rsidR="00104020" w:rsidRPr="003714F5" w:rsidRDefault="00104020" w:rsidP="00104020">
      <w:pPr>
        <w:shd w:val="clear" w:color="auto" w:fill="FFFFFF" w:themeFill="background1"/>
        <w:rPr>
          <w:szCs w:val="22"/>
        </w:rPr>
      </w:pPr>
      <w:r w:rsidRPr="003714F5">
        <w:rPr>
          <w:szCs w:val="22"/>
        </w:rPr>
        <w:fldChar w:fldCharType="begin"/>
      </w:r>
      <w:r w:rsidRPr="003714F5">
        <w:rPr>
          <w:szCs w:val="22"/>
        </w:rPr>
        <w:instrText xml:space="preserve"> AUTONUM  </w:instrText>
      </w:r>
      <w:r w:rsidRPr="003714F5">
        <w:rPr>
          <w:szCs w:val="22"/>
        </w:rPr>
        <w:fldChar w:fldCharType="end"/>
      </w:r>
      <w:r w:rsidRPr="003714F5">
        <w:rPr>
          <w:szCs w:val="22"/>
        </w:rPr>
        <w:tab/>
      </w:r>
      <w:r w:rsidR="00391CED" w:rsidRPr="003714F5">
        <w:rPr>
          <w:szCs w:val="22"/>
        </w:rPr>
        <w:t>El</w:t>
      </w:r>
      <w:r w:rsidRPr="003714F5">
        <w:rPr>
          <w:szCs w:val="22"/>
        </w:rPr>
        <w:t xml:space="preserve"> </w:t>
      </w:r>
      <w:r w:rsidR="00391CED" w:rsidRPr="003714F5">
        <w:rPr>
          <w:szCs w:val="22"/>
        </w:rPr>
        <w:t xml:space="preserve">proyecto de la AD </w:t>
      </w:r>
      <w:r w:rsidR="00F8179A" w:rsidRPr="003714F5">
        <w:rPr>
          <w:szCs w:val="22"/>
        </w:rPr>
        <w:t>de establecer</w:t>
      </w:r>
      <w:r w:rsidR="00391CED" w:rsidRPr="003714F5">
        <w:rPr>
          <w:szCs w:val="22"/>
        </w:rPr>
        <w:t xml:space="preserve"> </w:t>
      </w:r>
      <w:r w:rsidR="00F8179A" w:rsidRPr="003714F5">
        <w:rPr>
          <w:szCs w:val="22"/>
        </w:rPr>
        <w:t>centros de apoyo a la tecnología y la innovación (CATI)</w:t>
      </w:r>
      <w:r w:rsidR="00391CED" w:rsidRPr="003714F5">
        <w:rPr>
          <w:szCs w:val="22"/>
        </w:rPr>
        <w:t xml:space="preserve"> se puso en marcha en 2009 y se in</w:t>
      </w:r>
      <w:r w:rsidR="00F8179A" w:rsidRPr="003714F5">
        <w:rPr>
          <w:szCs w:val="22"/>
        </w:rPr>
        <w:t xml:space="preserve">corporó </w:t>
      </w:r>
      <w:r w:rsidR="00391CED" w:rsidRPr="003714F5">
        <w:rPr>
          <w:szCs w:val="22"/>
        </w:rPr>
        <w:t xml:space="preserve">plenamente </w:t>
      </w:r>
      <w:r w:rsidR="00F8179A" w:rsidRPr="003714F5">
        <w:rPr>
          <w:szCs w:val="22"/>
        </w:rPr>
        <w:t>a</w:t>
      </w:r>
      <w:r w:rsidR="00391CED" w:rsidRPr="003714F5">
        <w:rPr>
          <w:szCs w:val="22"/>
        </w:rPr>
        <w:t xml:space="preserve"> la</w:t>
      </w:r>
      <w:r w:rsidRPr="003714F5">
        <w:rPr>
          <w:szCs w:val="22"/>
        </w:rPr>
        <w:t xml:space="preserve"> </w:t>
      </w:r>
      <w:r w:rsidR="00391CED" w:rsidRPr="003714F5">
        <w:rPr>
          <w:szCs w:val="22"/>
        </w:rPr>
        <w:t>labor corriente de la OMPI en</w:t>
      </w:r>
      <w:r w:rsidRPr="003714F5">
        <w:rPr>
          <w:szCs w:val="22"/>
        </w:rPr>
        <w:t xml:space="preserve"> 2014. </w:t>
      </w:r>
      <w:r w:rsidR="00391CED" w:rsidRPr="003714F5">
        <w:rPr>
          <w:szCs w:val="22"/>
        </w:rPr>
        <w:t>En el presupuesto por programas 2010/2011</w:t>
      </w:r>
      <w:r w:rsidRPr="003714F5">
        <w:rPr>
          <w:szCs w:val="22"/>
        </w:rPr>
        <w:t xml:space="preserve"> </w:t>
      </w:r>
      <w:r w:rsidR="00391CED" w:rsidRPr="003714F5">
        <w:rPr>
          <w:szCs w:val="22"/>
        </w:rPr>
        <w:t>se i</w:t>
      </w:r>
      <w:r w:rsidR="007E0D90" w:rsidRPr="003714F5">
        <w:rPr>
          <w:szCs w:val="22"/>
        </w:rPr>
        <w:t>nc</w:t>
      </w:r>
      <w:r w:rsidR="00EC2D58" w:rsidRPr="003714F5">
        <w:rPr>
          <w:szCs w:val="22"/>
        </w:rPr>
        <w:t>luyó</w:t>
      </w:r>
      <w:r w:rsidR="00391CED" w:rsidRPr="003714F5">
        <w:rPr>
          <w:szCs w:val="22"/>
        </w:rPr>
        <w:t xml:space="preserve"> por primera vez</w:t>
      </w:r>
      <w:r w:rsidR="007E0D90" w:rsidRPr="003714F5">
        <w:rPr>
          <w:szCs w:val="22"/>
        </w:rPr>
        <w:t xml:space="preserve"> </w:t>
      </w:r>
      <w:r w:rsidR="00EC2D58" w:rsidRPr="003714F5">
        <w:rPr>
          <w:szCs w:val="22"/>
        </w:rPr>
        <w:t>en e</w:t>
      </w:r>
      <w:r w:rsidR="007E0D90" w:rsidRPr="003714F5">
        <w:rPr>
          <w:szCs w:val="22"/>
        </w:rPr>
        <w:t xml:space="preserve">l marco de gestión por resultados un indicador de rendimiento específico </w:t>
      </w:r>
      <w:r w:rsidR="00410875" w:rsidRPr="003714F5">
        <w:rPr>
          <w:szCs w:val="22"/>
        </w:rPr>
        <w:t>de</w:t>
      </w:r>
      <w:r w:rsidR="007E0D90" w:rsidRPr="003714F5">
        <w:rPr>
          <w:szCs w:val="22"/>
        </w:rPr>
        <w:t xml:space="preserve"> los CATI </w:t>
      </w:r>
      <w:r w:rsidR="00410875" w:rsidRPr="003714F5">
        <w:rPr>
          <w:szCs w:val="22"/>
        </w:rPr>
        <w:t>para</w:t>
      </w:r>
      <w:r w:rsidR="007E0D90" w:rsidRPr="003714F5">
        <w:rPr>
          <w:szCs w:val="22"/>
        </w:rPr>
        <w:t xml:space="preserve"> medir la repercusión del proyecto</w:t>
      </w:r>
      <w:r w:rsidRPr="003714F5">
        <w:rPr>
          <w:szCs w:val="22"/>
        </w:rPr>
        <w:t xml:space="preserve">. </w:t>
      </w:r>
      <w:r w:rsidR="00CF10B6" w:rsidRPr="003714F5">
        <w:rPr>
          <w:szCs w:val="22"/>
        </w:rPr>
        <w:t>El marco de indic</w:t>
      </w:r>
      <w:r w:rsidR="007E0D90" w:rsidRPr="003714F5">
        <w:rPr>
          <w:szCs w:val="22"/>
        </w:rPr>
        <w:t>adores de rendimiento utilizado</w:t>
      </w:r>
      <w:r w:rsidR="00CF10B6" w:rsidRPr="003714F5">
        <w:rPr>
          <w:szCs w:val="22"/>
        </w:rPr>
        <w:t xml:space="preserve"> para medir la repercusión de las actividades de asistencia técnica de la OMPI en esta esfera ha evolucionado a lo largo de cinco bienios, </w:t>
      </w:r>
      <w:r w:rsidR="00BC5A77" w:rsidRPr="003714F5">
        <w:rPr>
          <w:szCs w:val="22"/>
        </w:rPr>
        <w:t xml:space="preserve">ya que se han tenido en cuenta e incorporado </w:t>
      </w:r>
      <w:r w:rsidR="00C31FEA" w:rsidRPr="003714F5">
        <w:rPr>
          <w:szCs w:val="22"/>
        </w:rPr>
        <w:t>las lecciones</w:t>
      </w:r>
      <w:r w:rsidR="00BC5A77" w:rsidRPr="003714F5">
        <w:rPr>
          <w:szCs w:val="22"/>
        </w:rPr>
        <w:t xml:space="preserve"> </w:t>
      </w:r>
      <w:r w:rsidR="00C31FEA" w:rsidRPr="003714F5">
        <w:rPr>
          <w:szCs w:val="22"/>
        </w:rPr>
        <w:t>aprendidas</w:t>
      </w:r>
      <w:r w:rsidR="00BC5A77" w:rsidRPr="003714F5">
        <w:rPr>
          <w:szCs w:val="22"/>
        </w:rPr>
        <w:t xml:space="preserve"> en los ciclos de rendimiento precedentes</w:t>
      </w:r>
      <w:r w:rsidR="00410875" w:rsidRPr="003714F5">
        <w:rPr>
          <w:szCs w:val="22"/>
        </w:rPr>
        <w:t>, y se ha adoptado</w:t>
      </w:r>
      <w:r w:rsidR="001170BE" w:rsidRPr="003714F5">
        <w:rPr>
          <w:szCs w:val="22"/>
        </w:rPr>
        <w:t xml:space="preserve"> un enfoque centrado en los resultados a más largo plazo </w:t>
      </w:r>
      <w:r w:rsidR="00527F11" w:rsidRPr="003714F5">
        <w:rPr>
          <w:szCs w:val="22"/>
        </w:rPr>
        <w:t>y un</w:t>
      </w:r>
      <w:r w:rsidR="001170BE" w:rsidRPr="003714F5">
        <w:rPr>
          <w:szCs w:val="22"/>
        </w:rPr>
        <w:t>a meto</w:t>
      </w:r>
      <w:r w:rsidR="00410875" w:rsidRPr="003714F5">
        <w:rPr>
          <w:szCs w:val="22"/>
        </w:rPr>
        <w:t>do</w:t>
      </w:r>
      <w:r w:rsidR="001170BE" w:rsidRPr="003714F5">
        <w:rPr>
          <w:szCs w:val="22"/>
        </w:rPr>
        <w:t>logía</w:t>
      </w:r>
      <w:r w:rsidR="00527F11" w:rsidRPr="003714F5">
        <w:rPr>
          <w:szCs w:val="22"/>
        </w:rPr>
        <w:t xml:space="preserve"> de medición</w:t>
      </w:r>
      <w:r w:rsidR="007E0D90" w:rsidRPr="003714F5">
        <w:rPr>
          <w:szCs w:val="22"/>
        </w:rPr>
        <w:t xml:space="preserve"> claramente definid</w:t>
      </w:r>
      <w:r w:rsidR="001170BE" w:rsidRPr="003714F5">
        <w:rPr>
          <w:szCs w:val="22"/>
        </w:rPr>
        <w:t>a</w:t>
      </w:r>
      <w:r w:rsidR="00BC5A77" w:rsidRPr="003714F5">
        <w:rPr>
          <w:szCs w:val="22"/>
        </w:rPr>
        <w:t>.</w:t>
      </w:r>
    </w:p>
    <w:p w14:paraId="34EC5823" w14:textId="77777777" w:rsidR="00104020" w:rsidRPr="003714F5" w:rsidRDefault="00104020" w:rsidP="00104020">
      <w:pPr>
        <w:rPr>
          <w:szCs w:val="22"/>
        </w:rPr>
      </w:pPr>
    </w:p>
    <w:tbl>
      <w:tblPr>
        <w:tblStyle w:val="TableGrid"/>
        <w:tblW w:w="0" w:type="auto"/>
        <w:tblInd w:w="11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4303"/>
        <w:gridCol w:w="3795"/>
      </w:tblGrid>
      <w:tr w:rsidR="00BC5A77" w:rsidRPr="003714F5" w14:paraId="1C46BCC6" w14:textId="77777777" w:rsidTr="00BC5A77">
        <w:trPr>
          <w:tblHeader/>
        </w:trPr>
        <w:tc>
          <w:tcPr>
            <w:tcW w:w="1134" w:type="dxa"/>
            <w:shd w:val="clear" w:color="auto" w:fill="365F91" w:themeFill="accent1" w:themeFillShade="BF"/>
          </w:tcPr>
          <w:p w14:paraId="69FE15DF" w14:textId="44486180" w:rsidR="00BC5A77" w:rsidRPr="003714F5" w:rsidRDefault="00BC5A77" w:rsidP="00BC5A77">
            <w:pPr>
              <w:jc w:val="center"/>
              <w:rPr>
                <w:i/>
                <w:szCs w:val="22"/>
              </w:rPr>
            </w:pPr>
            <w:r w:rsidRPr="003714F5">
              <w:rPr>
                <w:i/>
                <w:color w:val="FFFFFF" w:themeColor="background1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Bienio</w:t>
            </w:r>
          </w:p>
        </w:tc>
        <w:tc>
          <w:tcPr>
            <w:tcW w:w="4303" w:type="dxa"/>
            <w:shd w:val="clear" w:color="auto" w:fill="365F91" w:themeFill="accent1" w:themeFillShade="BF"/>
          </w:tcPr>
          <w:p w14:paraId="539A0013" w14:textId="21A5F48E" w:rsidR="00BC5A77" w:rsidRPr="003714F5" w:rsidRDefault="00BC5A77" w:rsidP="00BC5A77">
            <w:pPr>
              <w:jc w:val="center"/>
              <w:rPr>
                <w:i/>
                <w:szCs w:val="22"/>
              </w:rPr>
            </w:pPr>
            <w:r w:rsidRPr="003714F5">
              <w:rPr>
                <w:i/>
                <w:color w:val="FFFFFF" w:themeColor="background1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Indicador de rendimiento</w:t>
            </w:r>
          </w:p>
        </w:tc>
        <w:tc>
          <w:tcPr>
            <w:tcW w:w="3795" w:type="dxa"/>
            <w:shd w:val="clear" w:color="auto" w:fill="365F91" w:themeFill="accent1" w:themeFillShade="BF"/>
          </w:tcPr>
          <w:p w14:paraId="5601C09A" w14:textId="788DEBB2" w:rsidR="00BC5A77" w:rsidRPr="003714F5" w:rsidRDefault="00BC5A77" w:rsidP="00C31FEA">
            <w:pPr>
              <w:jc w:val="center"/>
              <w:rPr>
                <w:i/>
                <w:color w:val="17365D" w:themeColor="text2" w:themeShade="BF"/>
                <w:szCs w:val="22"/>
              </w:rPr>
            </w:pPr>
            <w:r w:rsidRPr="003714F5">
              <w:rPr>
                <w:i/>
                <w:color w:val="FFFFFF" w:themeColor="background1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="00C31FEA" w:rsidRPr="003714F5">
              <w:rPr>
                <w:i/>
                <w:color w:val="FFFFFF" w:themeColor="background1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riterios</w:t>
            </w:r>
          </w:p>
        </w:tc>
      </w:tr>
      <w:tr w:rsidR="00104020" w:rsidRPr="003714F5" w14:paraId="79906FC3" w14:textId="77777777" w:rsidTr="00BC5A77">
        <w:tc>
          <w:tcPr>
            <w:tcW w:w="1134" w:type="dxa"/>
          </w:tcPr>
          <w:p w14:paraId="60C4AFD3" w14:textId="77777777" w:rsidR="00104020" w:rsidRPr="003714F5" w:rsidRDefault="00104020" w:rsidP="004661B6">
            <w:pPr>
              <w:rPr>
                <w:sz w:val="20"/>
              </w:rPr>
            </w:pPr>
            <w:r w:rsidRPr="003714F5">
              <w:rPr>
                <w:sz w:val="20"/>
              </w:rPr>
              <w:t>2010/11</w:t>
            </w:r>
          </w:p>
        </w:tc>
        <w:tc>
          <w:tcPr>
            <w:tcW w:w="4303" w:type="dxa"/>
          </w:tcPr>
          <w:p w14:paraId="749A1ED2" w14:textId="54AE19DD" w:rsidR="00104020" w:rsidRPr="003714F5" w:rsidRDefault="00BC5A77" w:rsidP="00410875">
            <w:pPr>
              <w:rPr>
                <w:sz w:val="20"/>
              </w:rPr>
            </w:pPr>
            <w:r w:rsidRPr="003714F5">
              <w:rPr>
                <w:sz w:val="20"/>
              </w:rPr>
              <w:t>Número de beneficiarios de CATI que considera</w:t>
            </w:r>
            <w:r w:rsidR="00C31FEA" w:rsidRPr="003714F5">
              <w:rPr>
                <w:sz w:val="20"/>
              </w:rPr>
              <w:t>ba</w:t>
            </w:r>
            <w:r w:rsidRPr="003714F5">
              <w:rPr>
                <w:sz w:val="20"/>
              </w:rPr>
              <w:t>n que los CATI constitu</w:t>
            </w:r>
            <w:r w:rsidR="00C31FEA" w:rsidRPr="003714F5">
              <w:rPr>
                <w:sz w:val="20"/>
              </w:rPr>
              <w:t>ían</w:t>
            </w:r>
            <w:r w:rsidRPr="003714F5">
              <w:rPr>
                <w:sz w:val="20"/>
              </w:rPr>
              <w:t xml:space="preserve"> el punto central de informac</w:t>
            </w:r>
            <w:r w:rsidR="00410875" w:rsidRPr="003714F5">
              <w:rPr>
                <w:sz w:val="20"/>
              </w:rPr>
              <w:t>ión sobre patentes y tecnología</w:t>
            </w:r>
            <w:r w:rsidRPr="003714F5">
              <w:rPr>
                <w:sz w:val="20"/>
              </w:rPr>
              <w:t xml:space="preserve"> </w:t>
            </w:r>
            <w:r w:rsidR="00410875" w:rsidRPr="003714F5">
              <w:rPr>
                <w:sz w:val="20"/>
              </w:rPr>
              <w:t>de cada</w:t>
            </w:r>
            <w:r w:rsidRPr="003714F5">
              <w:rPr>
                <w:sz w:val="20"/>
              </w:rPr>
              <w:t xml:space="preserve"> país</w:t>
            </w:r>
          </w:p>
        </w:tc>
        <w:tc>
          <w:tcPr>
            <w:tcW w:w="3795" w:type="dxa"/>
          </w:tcPr>
          <w:p w14:paraId="493C5098" w14:textId="721B5217" w:rsidR="00104020" w:rsidRPr="003714F5" w:rsidRDefault="009356C2" w:rsidP="00E53418">
            <w:pPr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t xml:space="preserve">En la práctica, los datos </w:t>
            </w:r>
            <w:r w:rsidR="00C31FEA" w:rsidRPr="003714F5">
              <w:rPr>
                <w:sz w:val="20"/>
              </w:rPr>
              <w:t xml:space="preserve">sobre </w:t>
            </w:r>
            <w:r w:rsidR="00124C42" w:rsidRPr="003714F5">
              <w:rPr>
                <w:sz w:val="20"/>
              </w:rPr>
              <w:t xml:space="preserve">el </w:t>
            </w:r>
            <w:r w:rsidR="00C31FEA" w:rsidRPr="003714F5">
              <w:rPr>
                <w:sz w:val="20"/>
              </w:rPr>
              <w:t>rendimiento</w:t>
            </w:r>
            <w:r w:rsidRPr="003714F5">
              <w:rPr>
                <w:sz w:val="20"/>
              </w:rPr>
              <w:t xml:space="preserve"> </w:t>
            </w:r>
            <w:r w:rsidR="00124C42" w:rsidRPr="003714F5">
              <w:rPr>
                <w:sz w:val="20"/>
              </w:rPr>
              <w:t xml:space="preserve">suministrados </w:t>
            </w:r>
            <w:r w:rsidRPr="003714F5">
              <w:rPr>
                <w:sz w:val="20"/>
              </w:rPr>
              <w:t>se referían al número de CATI establecidos y no a la percepción de los CATI</w:t>
            </w:r>
            <w:r w:rsidR="00104020" w:rsidRPr="003714F5">
              <w:rPr>
                <w:sz w:val="20"/>
              </w:rPr>
              <w:t xml:space="preserve"> </w:t>
            </w:r>
            <w:r w:rsidRPr="003714F5">
              <w:rPr>
                <w:sz w:val="20"/>
              </w:rPr>
              <w:t>como punto central de información</w:t>
            </w:r>
          </w:p>
          <w:p w14:paraId="29ECB960" w14:textId="21C0E096" w:rsidR="00104020" w:rsidRPr="003714F5" w:rsidRDefault="009356C2" w:rsidP="00124C42">
            <w:pPr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t>Los criterios de medición</w:t>
            </w:r>
            <w:r w:rsidR="00104020" w:rsidRPr="003714F5">
              <w:rPr>
                <w:sz w:val="20"/>
              </w:rPr>
              <w:t xml:space="preserve"> </w:t>
            </w:r>
            <w:r w:rsidRPr="003714F5">
              <w:rPr>
                <w:sz w:val="20"/>
              </w:rPr>
              <w:t>no est</w:t>
            </w:r>
            <w:r w:rsidR="00124C42" w:rsidRPr="003714F5">
              <w:rPr>
                <w:sz w:val="20"/>
              </w:rPr>
              <w:t>aba</w:t>
            </w:r>
            <w:r w:rsidRPr="003714F5">
              <w:rPr>
                <w:sz w:val="20"/>
              </w:rPr>
              <w:t>n claramente definidos</w:t>
            </w:r>
          </w:p>
        </w:tc>
      </w:tr>
      <w:tr w:rsidR="00104020" w:rsidRPr="003714F5" w14:paraId="4F4A4F1A" w14:textId="77777777" w:rsidTr="00BC5A77">
        <w:tc>
          <w:tcPr>
            <w:tcW w:w="1134" w:type="dxa"/>
          </w:tcPr>
          <w:p w14:paraId="351C8E84" w14:textId="77777777" w:rsidR="00104020" w:rsidRPr="003714F5" w:rsidRDefault="00104020" w:rsidP="004661B6">
            <w:pPr>
              <w:rPr>
                <w:sz w:val="20"/>
              </w:rPr>
            </w:pPr>
            <w:r w:rsidRPr="003714F5">
              <w:rPr>
                <w:sz w:val="20"/>
              </w:rPr>
              <w:t>2012/13</w:t>
            </w:r>
          </w:p>
        </w:tc>
        <w:tc>
          <w:tcPr>
            <w:tcW w:w="4303" w:type="dxa"/>
          </w:tcPr>
          <w:p w14:paraId="23942F67" w14:textId="556AF127" w:rsidR="00104020" w:rsidRPr="003714F5" w:rsidRDefault="009356C2" w:rsidP="004661B6">
            <w:pPr>
              <w:rPr>
                <w:sz w:val="20"/>
              </w:rPr>
            </w:pPr>
            <w:r w:rsidRPr="003714F5">
              <w:rPr>
                <w:sz w:val="20"/>
              </w:rPr>
              <w:t>Número de redes nacionales de CATI puestas en marcha</w:t>
            </w:r>
          </w:p>
        </w:tc>
        <w:tc>
          <w:tcPr>
            <w:tcW w:w="3795" w:type="dxa"/>
          </w:tcPr>
          <w:p w14:paraId="06EB46E8" w14:textId="7CB1BDAE" w:rsidR="00104020" w:rsidRPr="003714F5" w:rsidRDefault="009356C2" w:rsidP="00104020">
            <w:pPr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t>En la práctica, los</w:t>
            </w:r>
            <w:r w:rsidR="001170BE" w:rsidRPr="003714F5">
              <w:rPr>
                <w:sz w:val="20"/>
              </w:rPr>
              <w:t xml:space="preserve"> datos</w:t>
            </w:r>
            <w:r w:rsidRPr="003714F5">
              <w:rPr>
                <w:sz w:val="20"/>
              </w:rPr>
              <w:t xml:space="preserve"> </w:t>
            </w:r>
            <w:r w:rsidR="00124C42" w:rsidRPr="003714F5">
              <w:rPr>
                <w:sz w:val="20"/>
              </w:rPr>
              <w:t>sobre el rendimiento suministrados</w:t>
            </w:r>
            <w:r w:rsidRPr="003714F5">
              <w:rPr>
                <w:sz w:val="20"/>
              </w:rPr>
              <w:t xml:space="preserve"> se referían tanto al número </w:t>
            </w:r>
            <w:r w:rsidR="00124C42" w:rsidRPr="003714F5">
              <w:rPr>
                <w:sz w:val="20"/>
              </w:rPr>
              <w:t>de redes d</w:t>
            </w:r>
            <w:r w:rsidRPr="003714F5">
              <w:rPr>
                <w:sz w:val="20"/>
              </w:rPr>
              <w:t>e CATI puest</w:t>
            </w:r>
            <w:r w:rsidR="009A2D37" w:rsidRPr="003714F5">
              <w:rPr>
                <w:sz w:val="20"/>
              </w:rPr>
              <w:t>a</w:t>
            </w:r>
            <w:r w:rsidRPr="003714F5">
              <w:rPr>
                <w:sz w:val="20"/>
              </w:rPr>
              <w:t>s en marcha como al número de CATI establecidos</w:t>
            </w:r>
          </w:p>
          <w:p w14:paraId="0B0BE683" w14:textId="77777777" w:rsidR="00104020" w:rsidRPr="003714F5" w:rsidRDefault="00104020" w:rsidP="004661B6">
            <w:pPr>
              <w:rPr>
                <w:sz w:val="20"/>
              </w:rPr>
            </w:pPr>
          </w:p>
          <w:p w14:paraId="6296D3DA" w14:textId="627E8C3D" w:rsidR="00104020" w:rsidRPr="003714F5" w:rsidRDefault="009356C2" w:rsidP="00527F11">
            <w:pPr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lastRenderedPageBreak/>
              <w:t>Los criterios de medición no est</w:t>
            </w:r>
            <w:r w:rsidR="00527F11" w:rsidRPr="003714F5">
              <w:rPr>
                <w:sz w:val="20"/>
              </w:rPr>
              <w:t>aba</w:t>
            </w:r>
            <w:r w:rsidRPr="003714F5">
              <w:rPr>
                <w:sz w:val="20"/>
              </w:rPr>
              <w:t>n claramente definidos</w:t>
            </w:r>
          </w:p>
        </w:tc>
      </w:tr>
      <w:tr w:rsidR="00104020" w:rsidRPr="003714F5" w14:paraId="2E07A781" w14:textId="77777777" w:rsidTr="00BC5A77">
        <w:tc>
          <w:tcPr>
            <w:tcW w:w="1134" w:type="dxa"/>
          </w:tcPr>
          <w:p w14:paraId="70C96A6A" w14:textId="77777777" w:rsidR="00104020" w:rsidRPr="003714F5" w:rsidRDefault="00104020" w:rsidP="004661B6">
            <w:pPr>
              <w:rPr>
                <w:sz w:val="20"/>
              </w:rPr>
            </w:pPr>
            <w:r w:rsidRPr="003714F5">
              <w:rPr>
                <w:sz w:val="20"/>
              </w:rPr>
              <w:lastRenderedPageBreak/>
              <w:t>2014/15</w:t>
            </w:r>
          </w:p>
        </w:tc>
        <w:tc>
          <w:tcPr>
            <w:tcW w:w="4303" w:type="dxa"/>
          </w:tcPr>
          <w:p w14:paraId="7A0459C4" w14:textId="1F7F407B" w:rsidR="00104020" w:rsidRPr="003714F5" w:rsidRDefault="00AA2810" w:rsidP="00AA2810">
            <w:pPr>
              <w:rPr>
                <w:sz w:val="20"/>
              </w:rPr>
            </w:pPr>
            <w:r w:rsidRPr="003714F5">
              <w:rPr>
                <w:sz w:val="20"/>
              </w:rPr>
              <w:t>Número de redes nacionales sostenibles de CATI</w:t>
            </w:r>
          </w:p>
        </w:tc>
        <w:tc>
          <w:tcPr>
            <w:tcW w:w="3795" w:type="dxa"/>
          </w:tcPr>
          <w:p w14:paraId="13F4BEC0" w14:textId="44C46D7C" w:rsidR="00104020" w:rsidRPr="003714F5" w:rsidRDefault="00732911" w:rsidP="00104020">
            <w:pPr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t>Se m</w:t>
            </w:r>
            <w:r w:rsidR="00AA2810" w:rsidRPr="003714F5">
              <w:rPr>
                <w:sz w:val="20"/>
              </w:rPr>
              <w:t>edía la sostenibilidad de la red de CATI</w:t>
            </w:r>
          </w:p>
          <w:p w14:paraId="2F4679AF" w14:textId="77777777" w:rsidR="00104020" w:rsidRPr="003714F5" w:rsidRDefault="00104020" w:rsidP="004661B6">
            <w:pPr>
              <w:rPr>
                <w:sz w:val="20"/>
              </w:rPr>
            </w:pPr>
          </w:p>
          <w:p w14:paraId="3DB6EF50" w14:textId="42322946" w:rsidR="00104020" w:rsidRPr="003714F5" w:rsidRDefault="00AA2810" w:rsidP="00104020">
            <w:pPr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t>Los criterios de sostenibilidad no estaban claramente definidos</w:t>
            </w:r>
          </w:p>
        </w:tc>
      </w:tr>
      <w:tr w:rsidR="00104020" w:rsidRPr="003714F5" w14:paraId="5E559B10" w14:textId="77777777" w:rsidTr="00BC5A77">
        <w:tc>
          <w:tcPr>
            <w:tcW w:w="1134" w:type="dxa"/>
          </w:tcPr>
          <w:p w14:paraId="76B1D8BA" w14:textId="77777777" w:rsidR="00104020" w:rsidRPr="003714F5" w:rsidRDefault="00104020" w:rsidP="004661B6">
            <w:pPr>
              <w:rPr>
                <w:sz w:val="20"/>
              </w:rPr>
            </w:pPr>
            <w:r w:rsidRPr="003714F5">
              <w:rPr>
                <w:sz w:val="20"/>
              </w:rPr>
              <w:t>2016/17</w:t>
            </w:r>
          </w:p>
        </w:tc>
        <w:tc>
          <w:tcPr>
            <w:tcW w:w="4303" w:type="dxa"/>
          </w:tcPr>
          <w:p w14:paraId="1FD441BF" w14:textId="63F2FFDC" w:rsidR="00104020" w:rsidRPr="003714F5" w:rsidRDefault="00EF4C83" w:rsidP="00EF4C83">
            <w:pPr>
              <w:rPr>
                <w:sz w:val="20"/>
              </w:rPr>
            </w:pPr>
            <w:r w:rsidRPr="003714F5">
              <w:rPr>
                <w:sz w:val="20"/>
              </w:rPr>
              <w:t>Número total de redes nacionales sostenibles de CATI</w:t>
            </w:r>
          </w:p>
        </w:tc>
        <w:tc>
          <w:tcPr>
            <w:tcW w:w="3795" w:type="dxa"/>
          </w:tcPr>
          <w:p w14:paraId="5A47BEA5" w14:textId="77777777" w:rsidR="00E86357" w:rsidRDefault="00EF4C83" w:rsidP="00EF4C83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t>Criterios de sostenibilidad claramente definidos</w:t>
            </w:r>
          </w:p>
          <w:p w14:paraId="1EB9F0BF" w14:textId="21768136" w:rsidR="00104020" w:rsidRPr="003714F5" w:rsidRDefault="00EF4C83" w:rsidP="00A34448">
            <w:pPr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t xml:space="preserve">Medidos mediante niveles de </w:t>
            </w:r>
            <w:r w:rsidR="00A34448" w:rsidRPr="003714F5">
              <w:rPr>
                <w:sz w:val="20"/>
              </w:rPr>
              <w:t>desarrollo</w:t>
            </w:r>
            <w:r w:rsidRPr="003714F5">
              <w:rPr>
                <w:sz w:val="20"/>
              </w:rPr>
              <w:t xml:space="preserve"> claramente definidos</w:t>
            </w:r>
            <w:r w:rsidR="00104020" w:rsidRPr="003714F5">
              <w:rPr>
                <w:sz w:val="20"/>
              </w:rPr>
              <w:t xml:space="preserve"> </w:t>
            </w:r>
          </w:p>
        </w:tc>
      </w:tr>
      <w:tr w:rsidR="00104020" w:rsidRPr="003714F5" w14:paraId="558DE400" w14:textId="77777777" w:rsidTr="00BC5A77">
        <w:tc>
          <w:tcPr>
            <w:tcW w:w="1134" w:type="dxa"/>
          </w:tcPr>
          <w:p w14:paraId="152AA030" w14:textId="77777777" w:rsidR="00104020" w:rsidRPr="003714F5" w:rsidRDefault="00104020" w:rsidP="004661B6">
            <w:pPr>
              <w:rPr>
                <w:sz w:val="20"/>
              </w:rPr>
            </w:pPr>
            <w:r w:rsidRPr="003714F5">
              <w:rPr>
                <w:sz w:val="20"/>
              </w:rPr>
              <w:t>2018/19</w:t>
            </w:r>
          </w:p>
        </w:tc>
        <w:tc>
          <w:tcPr>
            <w:tcW w:w="4303" w:type="dxa"/>
          </w:tcPr>
          <w:p w14:paraId="1F501014" w14:textId="28470BF5" w:rsidR="00104020" w:rsidRPr="003714F5" w:rsidRDefault="00EF4C83" w:rsidP="004661B6">
            <w:pPr>
              <w:rPr>
                <w:sz w:val="20"/>
              </w:rPr>
            </w:pPr>
            <w:r w:rsidRPr="003714F5">
              <w:rPr>
                <w:sz w:val="20"/>
              </w:rPr>
              <w:t>Número de redes nacionales sostenibles de CATI</w:t>
            </w:r>
          </w:p>
        </w:tc>
        <w:tc>
          <w:tcPr>
            <w:tcW w:w="3795" w:type="dxa"/>
          </w:tcPr>
          <w:p w14:paraId="29E3C0CF" w14:textId="77777777" w:rsidR="00E86357" w:rsidRDefault="00EF4C83" w:rsidP="00EF4C83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t>Criterios de sostenibilidad claramente definidos</w:t>
            </w:r>
          </w:p>
          <w:p w14:paraId="6ADACC4F" w14:textId="0D69AB78" w:rsidR="00104020" w:rsidRPr="003714F5" w:rsidRDefault="00104020" w:rsidP="004661B6">
            <w:pPr>
              <w:rPr>
                <w:sz w:val="20"/>
              </w:rPr>
            </w:pPr>
          </w:p>
          <w:p w14:paraId="72241180" w14:textId="1CEAE716" w:rsidR="00EF4C83" w:rsidRPr="003714F5" w:rsidRDefault="00527F11" w:rsidP="00EF4C83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t>Medidos mediante niveles de desarrollo claramente definidos</w:t>
            </w:r>
          </w:p>
          <w:p w14:paraId="407FD1CB" w14:textId="77777777" w:rsidR="00104020" w:rsidRPr="003714F5" w:rsidRDefault="00104020" w:rsidP="004661B6">
            <w:pPr>
              <w:rPr>
                <w:sz w:val="20"/>
              </w:rPr>
            </w:pPr>
          </w:p>
          <w:p w14:paraId="02A02A92" w14:textId="18C25E12" w:rsidR="00104020" w:rsidRPr="003714F5" w:rsidRDefault="00A34448" w:rsidP="00104020">
            <w:pPr>
              <w:numPr>
                <w:ilvl w:val="0"/>
                <w:numId w:val="7"/>
              </w:numPr>
              <w:rPr>
                <w:sz w:val="20"/>
              </w:rPr>
            </w:pPr>
            <w:r w:rsidRPr="003714F5">
              <w:rPr>
                <w:sz w:val="20"/>
              </w:rPr>
              <w:t>Es viable establecer comparaciones entre los diferentes bienios</w:t>
            </w:r>
          </w:p>
        </w:tc>
      </w:tr>
    </w:tbl>
    <w:p w14:paraId="3F70C059" w14:textId="77777777" w:rsidR="00104020" w:rsidRPr="003714F5" w:rsidRDefault="00104020" w:rsidP="00104020">
      <w:pPr>
        <w:rPr>
          <w:szCs w:val="22"/>
        </w:rPr>
      </w:pPr>
    </w:p>
    <w:p w14:paraId="638FF9D6" w14:textId="5E60E98F" w:rsidR="00104020" w:rsidRPr="003714F5" w:rsidRDefault="00104020" w:rsidP="00104020">
      <w:pPr>
        <w:pStyle w:val="Default"/>
        <w:spacing w:after="160"/>
        <w:rPr>
          <w:rFonts w:eastAsia="SimSun"/>
          <w:color w:val="auto"/>
          <w:sz w:val="22"/>
          <w:szCs w:val="22"/>
          <w:lang w:val="es-ES" w:eastAsia="zh-CN"/>
        </w:rPr>
      </w:pPr>
      <w:r w:rsidRPr="003714F5">
        <w:rPr>
          <w:rFonts w:eastAsia="SimSun"/>
          <w:color w:val="auto"/>
          <w:sz w:val="22"/>
          <w:szCs w:val="22"/>
          <w:lang w:val="es-ES" w:eastAsia="zh-CN"/>
        </w:rPr>
        <w:t>14.</w:t>
      </w:r>
      <w:r w:rsidRPr="003714F5">
        <w:rPr>
          <w:rFonts w:eastAsia="SimSun"/>
          <w:color w:val="auto"/>
          <w:sz w:val="22"/>
          <w:szCs w:val="22"/>
          <w:lang w:val="es-ES" w:eastAsia="zh-CN"/>
        </w:rPr>
        <w:tab/>
      </w:r>
      <w:r w:rsidR="00410875" w:rsidRPr="003714F5">
        <w:rPr>
          <w:rFonts w:eastAsia="SimSun"/>
          <w:color w:val="auto"/>
          <w:sz w:val="22"/>
          <w:szCs w:val="22"/>
          <w:lang w:val="es-ES" w:eastAsia="zh-CN"/>
        </w:rPr>
        <w:t>En el marco de</w:t>
      </w:r>
      <w:r w:rsidR="00A34448" w:rsidRPr="003714F5">
        <w:rPr>
          <w:rFonts w:eastAsia="SimSun"/>
          <w:color w:val="auto"/>
          <w:sz w:val="22"/>
          <w:szCs w:val="22"/>
          <w:lang w:val="es-ES" w:eastAsia="zh-CN"/>
        </w:rPr>
        <w:t xml:space="preserve"> la nueva metodología</w:t>
      </w:r>
      <w:r w:rsidRPr="003714F5">
        <w:rPr>
          <w:rFonts w:eastAsia="SimSun"/>
          <w:color w:val="auto"/>
          <w:sz w:val="22"/>
          <w:szCs w:val="22"/>
          <w:lang w:val="es-ES" w:eastAsia="zh-CN"/>
        </w:rPr>
        <w:t xml:space="preserve">, </w:t>
      </w:r>
      <w:r w:rsidR="00410875" w:rsidRPr="003714F5">
        <w:rPr>
          <w:rFonts w:eastAsia="SimSun"/>
          <w:color w:val="auto"/>
          <w:sz w:val="22"/>
          <w:szCs w:val="22"/>
          <w:lang w:val="es-ES" w:eastAsia="zh-CN"/>
        </w:rPr>
        <w:t xml:space="preserve">los </w:t>
      </w:r>
      <w:r w:rsidR="00A34448" w:rsidRPr="003714F5">
        <w:rPr>
          <w:rFonts w:eastAsia="SimSun"/>
          <w:color w:val="auto"/>
          <w:sz w:val="22"/>
          <w:szCs w:val="22"/>
          <w:lang w:val="es-ES" w:eastAsia="zh-CN"/>
        </w:rPr>
        <w:t>CATI</w:t>
      </w:r>
      <w:r w:rsidRPr="003714F5">
        <w:rPr>
          <w:rFonts w:eastAsia="SimSun"/>
          <w:color w:val="auto"/>
          <w:sz w:val="22"/>
          <w:szCs w:val="22"/>
          <w:lang w:val="es-ES" w:eastAsia="zh-CN"/>
        </w:rPr>
        <w:t xml:space="preserve"> </w:t>
      </w:r>
      <w:r w:rsidR="00A34448" w:rsidRPr="003714F5">
        <w:rPr>
          <w:rFonts w:eastAsia="SimSun"/>
          <w:color w:val="auto"/>
          <w:sz w:val="22"/>
          <w:szCs w:val="22"/>
          <w:lang w:val="es-ES" w:eastAsia="zh-CN"/>
        </w:rPr>
        <w:t xml:space="preserve">sostenibles se </w:t>
      </w:r>
      <w:r w:rsidR="00410875" w:rsidRPr="003714F5">
        <w:rPr>
          <w:rFonts w:eastAsia="SimSun"/>
          <w:color w:val="auto"/>
          <w:sz w:val="22"/>
          <w:szCs w:val="22"/>
          <w:lang w:val="es-ES" w:eastAsia="zh-CN"/>
        </w:rPr>
        <w:t>definen como i</w:t>
      </w:r>
      <w:r w:rsidR="00A34448" w:rsidRPr="003714F5">
        <w:rPr>
          <w:rFonts w:eastAsia="SimSun"/>
          <w:color w:val="auto"/>
          <w:sz w:val="22"/>
          <w:szCs w:val="22"/>
          <w:lang w:val="es-ES" w:eastAsia="zh-CN"/>
        </w:rPr>
        <w:t>nstituciones autónomas desde el punto de vista financiero y técnico a las que la OMPI presta asesoramiento cuando lo solicitan</w:t>
      </w:r>
      <w:r w:rsidRPr="003714F5">
        <w:rPr>
          <w:rFonts w:eastAsia="SimSun"/>
          <w:color w:val="auto"/>
          <w:sz w:val="22"/>
          <w:szCs w:val="22"/>
          <w:lang w:val="es-ES" w:eastAsia="zh-CN"/>
        </w:rPr>
        <w:t xml:space="preserve">. </w:t>
      </w:r>
      <w:r w:rsidR="00410875" w:rsidRPr="003714F5">
        <w:rPr>
          <w:rFonts w:eastAsia="SimSun"/>
          <w:color w:val="auto"/>
          <w:sz w:val="22"/>
          <w:szCs w:val="22"/>
          <w:lang w:val="es-ES" w:eastAsia="zh-CN"/>
        </w:rPr>
        <w:t>La sostenibilidad se mide con arreglo a los siguientes niveles de desarrollo</w:t>
      </w:r>
      <w:r w:rsidRPr="003714F5">
        <w:rPr>
          <w:rFonts w:eastAsia="SimSun"/>
          <w:color w:val="auto"/>
          <w:sz w:val="22"/>
          <w:szCs w:val="22"/>
          <w:lang w:val="es-ES" w:eastAsia="zh-CN"/>
        </w:rPr>
        <w:t>:</w:t>
      </w:r>
    </w:p>
    <w:p w14:paraId="257068FA" w14:textId="58D614F6" w:rsidR="00104020" w:rsidRPr="003714F5" w:rsidRDefault="00A34448" w:rsidP="00A34448">
      <w:pPr>
        <w:pStyle w:val="FootnoteText"/>
        <w:numPr>
          <w:ilvl w:val="0"/>
          <w:numId w:val="8"/>
        </w:numPr>
        <w:spacing w:after="120"/>
        <w:rPr>
          <w:sz w:val="22"/>
          <w:szCs w:val="22"/>
        </w:rPr>
      </w:pPr>
      <w:r w:rsidRPr="003714F5">
        <w:rPr>
          <w:b/>
          <w:sz w:val="22"/>
          <w:szCs w:val="22"/>
        </w:rPr>
        <w:t>Nivel de desarrollo</w:t>
      </w:r>
      <w:r w:rsidR="00104020" w:rsidRPr="003714F5">
        <w:rPr>
          <w:b/>
          <w:sz w:val="22"/>
          <w:szCs w:val="22"/>
        </w:rPr>
        <w:t xml:space="preserve"> 1</w:t>
      </w:r>
      <w:r w:rsidRPr="003714F5">
        <w:rPr>
          <w:sz w:val="22"/>
          <w:szCs w:val="22"/>
        </w:rPr>
        <w:t xml:space="preserve">: </w:t>
      </w:r>
      <w:r w:rsidR="00104020" w:rsidRPr="003714F5">
        <w:rPr>
          <w:sz w:val="22"/>
          <w:szCs w:val="22"/>
        </w:rPr>
        <w:t xml:space="preserve">a) </w:t>
      </w:r>
      <w:r w:rsidRPr="003714F5">
        <w:rPr>
          <w:sz w:val="22"/>
          <w:szCs w:val="22"/>
        </w:rPr>
        <w:t xml:space="preserve">firma de un acuerdo de prestación de servicios entre la OMPI y el coordinador nacional; </w:t>
      </w:r>
      <w:r w:rsidR="00104020" w:rsidRPr="003714F5">
        <w:rPr>
          <w:sz w:val="22"/>
          <w:szCs w:val="22"/>
        </w:rPr>
        <w:t xml:space="preserve">b) </w:t>
      </w:r>
      <w:r w:rsidRPr="003714F5">
        <w:rPr>
          <w:sz w:val="22"/>
          <w:szCs w:val="22"/>
        </w:rPr>
        <w:t>firma de acuerdos institucionales entre el coordinador nacional y las instituciones en que se establezcan los CATI;</w:t>
      </w:r>
      <w:r w:rsidR="00104020" w:rsidRPr="003714F5">
        <w:rPr>
          <w:sz w:val="22"/>
          <w:szCs w:val="22"/>
        </w:rPr>
        <w:t xml:space="preserve"> </w:t>
      </w:r>
      <w:r w:rsidRPr="003714F5">
        <w:rPr>
          <w:sz w:val="22"/>
          <w:szCs w:val="22"/>
        </w:rPr>
        <w:t xml:space="preserve">y </w:t>
      </w:r>
      <w:r w:rsidR="00104020" w:rsidRPr="003714F5">
        <w:rPr>
          <w:sz w:val="22"/>
          <w:szCs w:val="22"/>
        </w:rPr>
        <w:t xml:space="preserve">c) </w:t>
      </w:r>
      <w:r w:rsidRPr="003714F5">
        <w:rPr>
          <w:sz w:val="22"/>
          <w:szCs w:val="22"/>
        </w:rPr>
        <w:t>presentación de al menos un informe anual sobre las actividades nacionales de los CATI; el nivel de desarrollo 1 se habrá alcanzado plenamente cuando se obtenga a + b + c.</w:t>
      </w:r>
    </w:p>
    <w:p w14:paraId="6477F750" w14:textId="134CDCA7" w:rsidR="00104020" w:rsidRPr="003714F5" w:rsidRDefault="00A34448" w:rsidP="00A34448">
      <w:pPr>
        <w:pStyle w:val="FootnoteText"/>
        <w:numPr>
          <w:ilvl w:val="0"/>
          <w:numId w:val="8"/>
        </w:numPr>
        <w:spacing w:after="120"/>
        <w:rPr>
          <w:color w:val="212121"/>
          <w:sz w:val="22"/>
          <w:szCs w:val="22"/>
        </w:rPr>
      </w:pPr>
      <w:r w:rsidRPr="003714F5">
        <w:rPr>
          <w:b/>
          <w:sz w:val="22"/>
          <w:szCs w:val="22"/>
        </w:rPr>
        <w:t>Nivel de desarrollo 2</w:t>
      </w:r>
      <w:r w:rsidR="00673AC7" w:rsidRPr="003714F5">
        <w:rPr>
          <w:sz w:val="22"/>
          <w:szCs w:val="22"/>
        </w:rPr>
        <w:t>:</w:t>
      </w:r>
      <w:r w:rsidRPr="003714F5">
        <w:rPr>
          <w:b/>
          <w:sz w:val="22"/>
          <w:szCs w:val="22"/>
        </w:rPr>
        <w:t xml:space="preserve"> </w:t>
      </w:r>
      <w:r w:rsidRPr="003714F5">
        <w:rPr>
          <w:sz w:val="22"/>
          <w:szCs w:val="22"/>
        </w:rPr>
        <w:t xml:space="preserve">Cuando se hayan cumplido los criterios del nivel 1 </w:t>
      </w:r>
      <w:r w:rsidR="007D6449" w:rsidRPr="003714F5">
        <w:rPr>
          <w:sz w:val="22"/>
          <w:szCs w:val="22"/>
        </w:rPr>
        <w:t>+</w:t>
      </w:r>
      <w:r w:rsidR="00B757BF" w:rsidRPr="003714F5">
        <w:rPr>
          <w:sz w:val="22"/>
          <w:szCs w:val="22"/>
        </w:rPr>
        <w:t xml:space="preserve"> el suministro de</w:t>
      </w:r>
      <w:r w:rsidRPr="003714F5">
        <w:rPr>
          <w:sz w:val="22"/>
          <w:szCs w:val="22"/>
        </w:rPr>
        <w:t xml:space="preserve"> búsquedas de información básica sobre patentes, por ejemplo, búsquedas de patentes en el estado de la técnica;</w:t>
      </w:r>
      <w:r w:rsidRPr="003714F5">
        <w:rPr>
          <w:b/>
          <w:sz w:val="22"/>
          <w:szCs w:val="22"/>
        </w:rPr>
        <w:t xml:space="preserve"> </w:t>
      </w:r>
      <w:r w:rsidR="00B757BF" w:rsidRPr="003714F5">
        <w:rPr>
          <w:sz w:val="22"/>
          <w:szCs w:val="22"/>
        </w:rPr>
        <w:t>y</w:t>
      </w:r>
    </w:p>
    <w:p w14:paraId="6957B69D" w14:textId="422EA9AC" w:rsidR="00104020" w:rsidRPr="003714F5" w:rsidRDefault="002170E2" w:rsidP="002170E2">
      <w:pPr>
        <w:pStyle w:val="FootnoteText"/>
        <w:numPr>
          <w:ilvl w:val="0"/>
          <w:numId w:val="8"/>
        </w:numPr>
        <w:spacing w:after="120"/>
        <w:rPr>
          <w:sz w:val="22"/>
          <w:szCs w:val="22"/>
        </w:rPr>
      </w:pPr>
      <w:r w:rsidRPr="003714F5">
        <w:rPr>
          <w:b/>
          <w:sz w:val="22"/>
          <w:szCs w:val="22"/>
        </w:rPr>
        <w:t xml:space="preserve">Nivel de desarrollo </w:t>
      </w:r>
      <w:r w:rsidR="00104020" w:rsidRPr="003714F5">
        <w:rPr>
          <w:b/>
          <w:color w:val="212121"/>
          <w:sz w:val="22"/>
          <w:szCs w:val="22"/>
        </w:rPr>
        <w:t>3</w:t>
      </w:r>
      <w:r w:rsidR="00104020" w:rsidRPr="003714F5">
        <w:rPr>
          <w:color w:val="212121"/>
          <w:sz w:val="22"/>
          <w:szCs w:val="22"/>
        </w:rPr>
        <w:t xml:space="preserve">: </w:t>
      </w:r>
      <w:r w:rsidRPr="003714F5">
        <w:rPr>
          <w:color w:val="212121"/>
          <w:sz w:val="22"/>
          <w:szCs w:val="22"/>
        </w:rPr>
        <w:t>Cuando se hayan cumplido los criterios del nivel 2 + la prestación de servicios de PI de valor añadido, por ejemplo, la redacción de informes sobre la actividad de patentamiento.</w:t>
      </w:r>
    </w:p>
    <w:p w14:paraId="236D54AC" w14:textId="2F02DAC6" w:rsidR="00104020" w:rsidRPr="003714F5" w:rsidRDefault="002170E2" w:rsidP="00104020">
      <w:pPr>
        <w:rPr>
          <w:szCs w:val="22"/>
        </w:rPr>
      </w:pPr>
      <w:r w:rsidRPr="003714F5">
        <w:rPr>
          <w:szCs w:val="22"/>
        </w:rPr>
        <w:t xml:space="preserve">La mejora del marco de indicadores de rendimiento ha reforzado la capacidad de la OMPI para medir la evolución de los resultados y la repercusión a largo plazo </w:t>
      </w:r>
      <w:r w:rsidR="007D6449" w:rsidRPr="003714F5">
        <w:rPr>
          <w:szCs w:val="22"/>
        </w:rPr>
        <w:t>en los diferentes</w:t>
      </w:r>
      <w:r w:rsidRPr="003714F5">
        <w:rPr>
          <w:szCs w:val="22"/>
        </w:rPr>
        <w:t xml:space="preserve"> bienios, como se muestra en el gráfico que figura a continuación.</w:t>
      </w:r>
    </w:p>
    <w:p w14:paraId="253C1675" w14:textId="77777777" w:rsidR="002170E2" w:rsidRPr="003714F5" w:rsidRDefault="002170E2" w:rsidP="00104020">
      <w:pPr>
        <w:rPr>
          <w:szCs w:val="22"/>
        </w:rPr>
      </w:pPr>
    </w:p>
    <w:p w14:paraId="34561078" w14:textId="0F051AF7" w:rsidR="00104020" w:rsidRPr="003714F5" w:rsidRDefault="007D6449" w:rsidP="00104020">
      <w:pPr>
        <w:pStyle w:val="Caption"/>
        <w:keepNext/>
        <w:jc w:val="center"/>
        <w:rPr>
          <w:b w:val="0"/>
          <w:i/>
          <w:color w:val="1F497D" w:themeColor="text2"/>
          <w:sz w:val="16"/>
          <w:szCs w:val="16"/>
        </w:rPr>
      </w:pPr>
      <w:r w:rsidRPr="003714F5">
        <w:rPr>
          <w:b w:val="0"/>
          <w:i/>
          <w:color w:val="1F497D" w:themeColor="text2"/>
          <w:sz w:val="16"/>
          <w:szCs w:val="16"/>
        </w:rPr>
        <w:t>R</w:t>
      </w:r>
      <w:r w:rsidR="002170E2" w:rsidRPr="003714F5">
        <w:rPr>
          <w:b w:val="0"/>
          <w:i/>
          <w:color w:val="1F497D" w:themeColor="text2"/>
          <w:sz w:val="16"/>
          <w:szCs w:val="16"/>
        </w:rPr>
        <w:t xml:space="preserve">edes sostenibles de CATI </w:t>
      </w:r>
      <w:r w:rsidRPr="003714F5">
        <w:rPr>
          <w:b w:val="0"/>
          <w:i/>
          <w:color w:val="1F497D" w:themeColor="text2"/>
          <w:sz w:val="16"/>
          <w:szCs w:val="16"/>
        </w:rPr>
        <w:t>desglosadas por</w:t>
      </w:r>
      <w:r w:rsidR="002170E2" w:rsidRPr="003714F5">
        <w:rPr>
          <w:b w:val="0"/>
          <w:i/>
          <w:color w:val="1F497D" w:themeColor="text2"/>
          <w:sz w:val="16"/>
          <w:szCs w:val="16"/>
        </w:rPr>
        <w:t xml:space="preserve"> nivel de desarrollo</w:t>
      </w:r>
      <w:r w:rsidR="00104020" w:rsidRPr="003714F5">
        <w:rPr>
          <w:b w:val="0"/>
          <w:i/>
          <w:color w:val="1F497D" w:themeColor="text2"/>
          <w:sz w:val="16"/>
          <w:szCs w:val="16"/>
        </w:rPr>
        <w:t xml:space="preserve"> (</w:t>
      </w:r>
      <w:r w:rsidR="00513133" w:rsidRPr="003714F5">
        <w:rPr>
          <w:b w:val="0"/>
          <w:i/>
          <w:color w:val="1F497D" w:themeColor="text2"/>
          <w:sz w:val="16"/>
          <w:szCs w:val="16"/>
        </w:rPr>
        <w:t>fin</w:t>
      </w:r>
      <w:r w:rsidRPr="003714F5">
        <w:rPr>
          <w:b w:val="0"/>
          <w:i/>
          <w:color w:val="1F497D" w:themeColor="text2"/>
          <w:sz w:val="16"/>
          <w:szCs w:val="16"/>
        </w:rPr>
        <w:t xml:space="preserve">es </w:t>
      </w:r>
      <w:r w:rsidR="00513133" w:rsidRPr="003714F5">
        <w:rPr>
          <w:b w:val="0"/>
          <w:i/>
          <w:color w:val="1F497D" w:themeColor="text2"/>
          <w:sz w:val="16"/>
          <w:szCs w:val="16"/>
        </w:rPr>
        <w:t xml:space="preserve">de </w:t>
      </w:r>
      <w:r w:rsidR="00104020" w:rsidRPr="003714F5">
        <w:rPr>
          <w:b w:val="0"/>
          <w:i/>
          <w:color w:val="1F497D" w:themeColor="text2"/>
          <w:sz w:val="16"/>
          <w:szCs w:val="16"/>
        </w:rPr>
        <w:t>2017)</w:t>
      </w:r>
    </w:p>
    <w:p w14:paraId="1851BC05" w14:textId="3D1D30C1" w:rsidR="00104020" w:rsidRPr="00E86357" w:rsidRDefault="00E86357" w:rsidP="00E86357">
      <w:pPr>
        <w:ind w:right="991"/>
        <w:jc w:val="center"/>
      </w:pPr>
      <w:r w:rsidRPr="00E86357">
        <w:rPr>
          <w:noProof/>
          <w:lang w:val="en-US" w:eastAsia="en-US"/>
        </w:rPr>
        <w:drawing>
          <wp:inline distT="0" distB="0" distL="0" distR="0" wp14:anchorId="039BDFDF" wp14:editId="2508A48E">
            <wp:extent cx="4419266" cy="2926080"/>
            <wp:effectExtent l="0" t="0" r="63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316" cy="292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6C37E" w14:textId="77777777" w:rsidR="00104020" w:rsidRPr="003714F5" w:rsidRDefault="00104020" w:rsidP="00104020">
      <w:pPr>
        <w:rPr>
          <w:szCs w:val="22"/>
        </w:rPr>
      </w:pPr>
    </w:p>
    <w:p w14:paraId="22A66AAE" w14:textId="77777777" w:rsidR="00104020" w:rsidRPr="003714F5" w:rsidRDefault="00104020" w:rsidP="00104020">
      <w:pPr>
        <w:rPr>
          <w:szCs w:val="22"/>
        </w:rPr>
      </w:pPr>
    </w:p>
    <w:p w14:paraId="60641B6B" w14:textId="059E883B" w:rsidR="00104020" w:rsidRPr="003714F5" w:rsidRDefault="007035C1" w:rsidP="00104020">
      <w:pPr>
        <w:rPr>
          <w:b/>
          <w:szCs w:val="22"/>
        </w:rPr>
      </w:pPr>
      <w:r w:rsidRPr="003714F5">
        <w:rPr>
          <w:b/>
          <w:szCs w:val="22"/>
        </w:rPr>
        <w:t>Fortalecimiento de capacidades</w:t>
      </w:r>
    </w:p>
    <w:p w14:paraId="2DDCF888" w14:textId="77777777" w:rsidR="007035C1" w:rsidRPr="003714F5" w:rsidRDefault="007035C1" w:rsidP="00104020">
      <w:pPr>
        <w:rPr>
          <w:szCs w:val="22"/>
        </w:rPr>
      </w:pPr>
    </w:p>
    <w:p w14:paraId="7B7CC497" w14:textId="2420EEDD" w:rsidR="00104020" w:rsidRPr="003714F5" w:rsidRDefault="00104020" w:rsidP="00104020">
      <w:pPr>
        <w:rPr>
          <w:szCs w:val="22"/>
        </w:rPr>
      </w:pPr>
      <w:r w:rsidRPr="003714F5">
        <w:rPr>
          <w:szCs w:val="22"/>
        </w:rPr>
        <w:t>15.</w:t>
      </w:r>
      <w:r w:rsidRPr="003714F5">
        <w:rPr>
          <w:szCs w:val="22"/>
        </w:rPr>
        <w:tab/>
      </w:r>
      <w:r w:rsidR="007035C1" w:rsidRPr="003714F5">
        <w:rPr>
          <w:szCs w:val="22"/>
        </w:rPr>
        <w:t xml:space="preserve">La OMPI </w:t>
      </w:r>
      <w:r w:rsidR="00A850EC" w:rsidRPr="003714F5">
        <w:rPr>
          <w:szCs w:val="22"/>
        </w:rPr>
        <w:t>invierte</w:t>
      </w:r>
      <w:r w:rsidR="007035C1" w:rsidRPr="003714F5">
        <w:rPr>
          <w:szCs w:val="22"/>
        </w:rPr>
        <w:t xml:space="preserve"> una </w:t>
      </w:r>
      <w:r w:rsidR="001B6AA4" w:rsidRPr="003714F5">
        <w:rPr>
          <w:szCs w:val="22"/>
        </w:rPr>
        <w:t>impor</w:t>
      </w:r>
      <w:r w:rsidR="00A850EC" w:rsidRPr="003714F5">
        <w:rPr>
          <w:szCs w:val="22"/>
        </w:rPr>
        <w:t>t</w:t>
      </w:r>
      <w:r w:rsidR="001B6AA4" w:rsidRPr="003714F5">
        <w:rPr>
          <w:szCs w:val="22"/>
        </w:rPr>
        <w:t xml:space="preserve">ante cantidad de recursos </w:t>
      </w:r>
      <w:r w:rsidR="00A850EC" w:rsidRPr="003714F5">
        <w:rPr>
          <w:szCs w:val="22"/>
        </w:rPr>
        <w:t>en</w:t>
      </w:r>
      <w:r w:rsidR="00EF1D46" w:rsidRPr="003714F5">
        <w:rPr>
          <w:szCs w:val="22"/>
        </w:rPr>
        <w:t xml:space="preserve"> mejorar las</w:t>
      </w:r>
      <w:r w:rsidR="001B6AA4" w:rsidRPr="003714F5">
        <w:rPr>
          <w:szCs w:val="22"/>
        </w:rPr>
        <w:t xml:space="preserve"> capa</w:t>
      </w:r>
      <w:r w:rsidR="00EF1D46" w:rsidRPr="003714F5">
        <w:rPr>
          <w:szCs w:val="22"/>
        </w:rPr>
        <w:t xml:space="preserve">cidades en </w:t>
      </w:r>
      <w:r w:rsidR="00A850EC" w:rsidRPr="003714F5">
        <w:rPr>
          <w:szCs w:val="22"/>
        </w:rPr>
        <w:t xml:space="preserve">la esfera </w:t>
      </w:r>
      <w:r w:rsidR="00EF1D46" w:rsidRPr="003714F5">
        <w:rPr>
          <w:szCs w:val="22"/>
        </w:rPr>
        <w:t>de</w:t>
      </w:r>
      <w:r w:rsidR="001B6AA4" w:rsidRPr="003714F5">
        <w:rPr>
          <w:szCs w:val="22"/>
        </w:rPr>
        <w:t xml:space="preserve"> los recursos humanos </w:t>
      </w:r>
      <w:r w:rsidR="00A83F65" w:rsidRPr="003714F5">
        <w:rPr>
          <w:szCs w:val="22"/>
        </w:rPr>
        <w:t>a fin de</w:t>
      </w:r>
      <w:r w:rsidR="00EF1D46" w:rsidRPr="003714F5">
        <w:rPr>
          <w:szCs w:val="22"/>
        </w:rPr>
        <w:t xml:space="preserve"> </w:t>
      </w:r>
      <w:r w:rsidR="00E43ABA" w:rsidRPr="003714F5">
        <w:rPr>
          <w:szCs w:val="22"/>
        </w:rPr>
        <w:t xml:space="preserve">garantizar </w:t>
      </w:r>
      <w:r w:rsidR="00EF1D46" w:rsidRPr="003714F5">
        <w:rPr>
          <w:szCs w:val="22"/>
        </w:rPr>
        <w:t>la utilización eficaz de la PI en los países en desarrollo, los países en transición y los PMA</w:t>
      </w:r>
      <w:r w:rsidRPr="003714F5">
        <w:rPr>
          <w:szCs w:val="22"/>
        </w:rPr>
        <w:t xml:space="preserve">, </w:t>
      </w:r>
      <w:r w:rsidR="00EF1D46" w:rsidRPr="003714F5">
        <w:rPr>
          <w:szCs w:val="22"/>
        </w:rPr>
        <w:t xml:space="preserve">y la medición de </w:t>
      </w:r>
      <w:r w:rsidR="00A83F65" w:rsidRPr="003714F5">
        <w:rPr>
          <w:szCs w:val="22"/>
        </w:rPr>
        <w:t xml:space="preserve">los resultados de </w:t>
      </w:r>
      <w:r w:rsidR="00EF1D46" w:rsidRPr="003714F5">
        <w:rPr>
          <w:szCs w:val="22"/>
        </w:rPr>
        <w:t xml:space="preserve">esta labor </w:t>
      </w:r>
      <w:r w:rsidR="00A83F65" w:rsidRPr="003714F5">
        <w:rPr>
          <w:szCs w:val="22"/>
        </w:rPr>
        <w:t>resulta</w:t>
      </w:r>
      <w:r w:rsidR="00EF1D46" w:rsidRPr="003714F5">
        <w:rPr>
          <w:szCs w:val="22"/>
        </w:rPr>
        <w:t xml:space="preserve"> esencial para lograr los </w:t>
      </w:r>
      <w:r w:rsidR="00A83F65" w:rsidRPr="003714F5">
        <w:rPr>
          <w:szCs w:val="22"/>
        </w:rPr>
        <w:t>objetivos</w:t>
      </w:r>
      <w:r w:rsidR="00EF1D46" w:rsidRPr="003714F5">
        <w:rPr>
          <w:szCs w:val="22"/>
        </w:rPr>
        <w:t xml:space="preserve"> deseados</w:t>
      </w:r>
      <w:r w:rsidRPr="003714F5">
        <w:rPr>
          <w:szCs w:val="22"/>
        </w:rPr>
        <w:t xml:space="preserve">. </w:t>
      </w:r>
      <w:r w:rsidR="00EF1D46" w:rsidRPr="003714F5">
        <w:rPr>
          <w:szCs w:val="22"/>
        </w:rPr>
        <w:t>El cuadro que figura a continuación ilustra los tipos de indicadores de rendimiento utilizados para medir los resultados de las actividades de fortalecimiento de capacidades de la OM</w:t>
      </w:r>
      <w:r w:rsidR="00E43ABA" w:rsidRPr="003714F5">
        <w:rPr>
          <w:szCs w:val="22"/>
        </w:rPr>
        <w:t>P</w:t>
      </w:r>
      <w:r w:rsidR="00EF1D46" w:rsidRPr="003714F5">
        <w:rPr>
          <w:szCs w:val="22"/>
        </w:rPr>
        <w:t xml:space="preserve">I a lo largo de cinco bienios, </w:t>
      </w:r>
      <w:r w:rsidR="00A83F65" w:rsidRPr="003714F5">
        <w:rPr>
          <w:szCs w:val="22"/>
        </w:rPr>
        <w:t xml:space="preserve">en los que se aplicó </w:t>
      </w:r>
      <w:r w:rsidR="00EF1D46" w:rsidRPr="003714F5">
        <w:rPr>
          <w:szCs w:val="22"/>
        </w:rPr>
        <w:t xml:space="preserve">el modelo </w:t>
      </w:r>
      <w:r w:rsidRPr="003714F5">
        <w:rPr>
          <w:szCs w:val="22"/>
        </w:rPr>
        <w:t xml:space="preserve">Kirkpatrick </w:t>
      </w:r>
      <w:r w:rsidR="00EF1D46" w:rsidRPr="003714F5">
        <w:rPr>
          <w:szCs w:val="22"/>
        </w:rPr>
        <w:t xml:space="preserve">para la evaluación del fortalecimiento de las capacidades </w:t>
      </w:r>
      <w:r w:rsidRPr="003714F5">
        <w:rPr>
          <w:szCs w:val="22"/>
        </w:rPr>
        <w:t>(</w:t>
      </w:r>
      <w:r w:rsidR="00EF1D46" w:rsidRPr="003714F5">
        <w:rPr>
          <w:szCs w:val="22"/>
        </w:rPr>
        <w:t>modelo Kirkpatrick</w:t>
      </w:r>
      <w:r w:rsidRPr="003714F5">
        <w:rPr>
          <w:szCs w:val="22"/>
        </w:rPr>
        <w:t>).</w:t>
      </w:r>
    </w:p>
    <w:p w14:paraId="7C8EC432" w14:textId="77777777" w:rsidR="00104020" w:rsidRPr="003714F5" w:rsidRDefault="00104020" w:rsidP="00104020">
      <w:pPr>
        <w:rPr>
          <w:szCs w:val="22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52"/>
        <w:gridCol w:w="1030"/>
        <w:gridCol w:w="1030"/>
        <w:gridCol w:w="1030"/>
        <w:gridCol w:w="1030"/>
        <w:gridCol w:w="1030"/>
      </w:tblGrid>
      <w:tr w:rsidR="00104020" w:rsidRPr="003714F5" w14:paraId="7B8B0936" w14:textId="77777777" w:rsidTr="00BF7142">
        <w:trPr>
          <w:trHeight w:val="346"/>
        </w:trPr>
        <w:tc>
          <w:tcPr>
            <w:tcW w:w="15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C09AF5F" w14:textId="77777777" w:rsidR="00104020" w:rsidRPr="003714F5" w:rsidRDefault="00104020" w:rsidP="004661B6">
            <w:pPr>
              <w:rPr>
                <w:rFonts w:ascii="Arial Narrow" w:eastAsia="Times New Roman" w:hAnsi="Arial Narrow"/>
                <w:b/>
                <w:color w:val="FFFFFF" w:themeColor="background1"/>
                <w:sz w:val="20"/>
                <w:lang w:eastAsia="en-US"/>
              </w:rPr>
            </w:pPr>
          </w:p>
        </w:tc>
        <w:tc>
          <w:tcPr>
            <w:tcW w:w="2252" w:type="dxa"/>
            <w:tcBorders>
              <w:top w:val="nil"/>
              <w:left w:val="nil"/>
            </w:tcBorders>
            <w:shd w:val="clear" w:color="auto" w:fill="auto"/>
          </w:tcPr>
          <w:p w14:paraId="6A999711" w14:textId="77777777" w:rsidR="00104020" w:rsidRPr="003714F5" w:rsidRDefault="00104020" w:rsidP="004661B6">
            <w:pPr>
              <w:rPr>
                <w:rFonts w:ascii="Arial Narrow" w:eastAsia="Times New Roman" w:hAnsi="Arial Narrow"/>
                <w:b/>
                <w:color w:val="FFFFFF" w:themeColor="background1"/>
                <w:sz w:val="20"/>
                <w:lang w:eastAsia="en-US"/>
              </w:rPr>
            </w:pPr>
          </w:p>
        </w:tc>
        <w:tc>
          <w:tcPr>
            <w:tcW w:w="5150" w:type="dxa"/>
            <w:gridSpan w:val="5"/>
            <w:shd w:val="clear" w:color="auto" w:fill="365F91" w:themeFill="accent1" w:themeFillShade="BF"/>
            <w:vAlign w:val="center"/>
          </w:tcPr>
          <w:p w14:paraId="214552ED" w14:textId="4C72A8EC" w:rsidR="00104020" w:rsidRPr="003714F5" w:rsidRDefault="00104020" w:rsidP="00983E98">
            <w:pPr>
              <w:jc w:val="center"/>
              <w:rPr>
                <w:rFonts w:ascii="Arial Narrow" w:eastAsia="Times New Roman" w:hAnsi="Arial Narrow"/>
                <w:b/>
                <w:color w:val="FFFFFF" w:themeColor="background1"/>
                <w:sz w:val="20"/>
                <w:lang w:eastAsia="en-US"/>
              </w:rPr>
            </w:pPr>
            <w:r w:rsidRPr="003714F5">
              <w:rPr>
                <w:rFonts w:ascii="Arial Narrow" w:eastAsia="Times New Roman" w:hAnsi="Arial Narrow"/>
                <w:b/>
                <w:color w:val="FFFFFF" w:themeColor="background1"/>
                <w:sz w:val="20"/>
                <w:lang w:eastAsia="en-US"/>
              </w:rPr>
              <w:t>Bien</w:t>
            </w:r>
            <w:r w:rsidR="00983E98" w:rsidRPr="003714F5">
              <w:rPr>
                <w:rFonts w:ascii="Arial Narrow" w:eastAsia="Times New Roman" w:hAnsi="Arial Narrow"/>
                <w:b/>
                <w:color w:val="FFFFFF" w:themeColor="background1"/>
                <w:sz w:val="20"/>
                <w:lang w:eastAsia="en-US"/>
              </w:rPr>
              <w:t>io</w:t>
            </w:r>
          </w:p>
        </w:tc>
      </w:tr>
      <w:tr w:rsidR="00104020" w:rsidRPr="003714F5" w14:paraId="052B07FE" w14:textId="77777777" w:rsidTr="00BF7142">
        <w:trPr>
          <w:trHeight w:val="253"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14:paraId="1FED68E3" w14:textId="3587B699" w:rsidR="00104020" w:rsidRPr="003714F5" w:rsidRDefault="00983E98" w:rsidP="00983E98">
            <w:pPr>
              <w:jc w:val="center"/>
              <w:rPr>
                <w:rFonts w:ascii="Arial Narrow" w:eastAsia="Times New Roman" w:hAnsi="Arial Narrow"/>
                <w:b/>
                <w:sz w:val="20"/>
                <w:lang w:eastAsia="en-US"/>
              </w:rPr>
            </w:pPr>
            <w:r w:rsidRPr="003714F5">
              <w:rPr>
                <w:rFonts w:ascii="Arial Narrow" w:eastAsia="Times New Roman" w:hAnsi="Arial Narrow"/>
                <w:b/>
                <w:bCs/>
                <w:sz w:val="20"/>
                <w:lang w:eastAsia="en-US"/>
              </w:rPr>
              <w:t xml:space="preserve">Nivel </w:t>
            </w:r>
            <w:r w:rsidR="00104020" w:rsidRPr="003714F5">
              <w:rPr>
                <w:rFonts w:ascii="Arial Narrow" w:eastAsia="Times New Roman" w:hAnsi="Arial Narrow"/>
                <w:b/>
                <w:bCs/>
                <w:sz w:val="20"/>
                <w:lang w:eastAsia="en-US"/>
              </w:rPr>
              <w:t xml:space="preserve">Kirkpatrick </w:t>
            </w:r>
          </w:p>
        </w:tc>
        <w:tc>
          <w:tcPr>
            <w:tcW w:w="2252" w:type="dxa"/>
            <w:shd w:val="clear" w:color="auto" w:fill="DBE5F1" w:themeFill="accent1" w:themeFillTint="33"/>
            <w:vAlign w:val="center"/>
          </w:tcPr>
          <w:p w14:paraId="71DD8123" w14:textId="76730343" w:rsidR="00104020" w:rsidRPr="003714F5" w:rsidRDefault="00983E98" w:rsidP="004661B6">
            <w:pPr>
              <w:jc w:val="center"/>
              <w:rPr>
                <w:rFonts w:ascii="Arial Narrow" w:eastAsia="Times New Roman" w:hAnsi="Arial Narrow"/>
                <w:b/>
                <w:sz w:val="20"/>
                <w:lang w:eastAsia="en-US"/>
              </w:rPr>
            </w:pPr>
            <w:r w:rsidRPr="003714F5">
              <w:rPr>
                <w:rFonts w:ascii="Arial Narrow" w:eastAsia="Times New Roman" w:hAnsi="Arial Narrow"/>
                <w:b/>
                <w:bCs/>
                <w:sz w:val="20"/>
                <w:lang w:eastAsia="en-US"/>
              </w:rPr>
              <w:t>Qué se mide</w:t>
            </w:r>
          </w:p>
        </w:tc>
        <w:tc>
          <w:tcPr>
            <w:tcW w:w="1030" w:type="dxa"/>
            <w:shd w:val="clear" w:color="auto" w:fill="DBE5F1" w:themeFill="accent1" w:themeFillTint="33"/>
            <w:vAlign w:val="center"/>
          </w:tcPr>
          <w:p w14:paraId="59B01027" w14:textId="77777777" w:rsidR="00104020" w:rsidRPr="003714F5" w:rsidRDefault="00104020" w:rsidP="004661B6">
            <w:pPr>
              <w:jc w:val="center"/>
              <w:rPr>
                <w:rFonts w:ascii="Arial Narrow" w:eastAsia="Times New Roman" w:hAnsi="Arial Narrow"/>
                <w:b/>
                <w:sz w:val="20"/>
                <w:lang w:eastAsia="en-US"/>
              </w:rPr>
            </w:pPr>
            <w:r w:rsidRPr="003714F5">
              <w:rPr>
                <w:rFonts w:ascii="Arial Narrow" w:eastAsia="Times New Roman" w:hAnsi="Arial Narrow"/>
                <w:b/>
                <w:sz w:val="20"/>
                <w:lang w:eastAsia="en-US"/>
              </w:rPr>
              <w:t>2020/11</w:t>
            </w:r>
          </w:p>
        </w:tc>
        <w:tc>
          <w:tcPr>
            <w:tcW w:w="1030" w:type="dxa"/>
            <w:shd w:val="clear" w:color="auto" w:fill="DBE5F1" w:themeFill="accent1" w:themeFillTint="33"/>
            <w:vAlign w:val="center"/>
          </w:tcPr>
          <w:p w14:paraId="52688C7F" w14:textId="77777777" w:rsidR="00104020" w:rsidRPr="003714F5" w:rsidRDefault="00104020" w:rsidP="004661B6">
            <w:pPr>
              <w:jc w:val="center"/>
              <w:rPr>
                <w:rFonts w:ascii="Arial Narrow" w:eastAsia="Times New Roman" w:hAnsi="Arial Narrow"/>
                <w:b/>
                <w:sz w:val="20"/>
                <w:lang w:eastAsia="en-US"/>
              </w:rPr>
            </w:pPr>
            <w:r w:rsidRPr="003714F5">
              <w:rPr>
                <w:rFonts w:ascii="Arial Narrow" w:eastAsia="Times New Roman" w:hAnsi="Arial Narrow"/>
                <w:b/>
                <w:sz w:val="20"/>
                <w:lang w:eastAsia="en-US"/>
              </w:rPr>
              <w:t>2012/13</w:t>
            </w:r>
          </w:p>
        </w:tc>
        <w:tc>
          <w:tcPr>
            <w:tcW w:w="1030" w:type="dxa"/>
            <w:shd w:val="clear" w:color="auto" w:fill="DBE5F1" w:themeFill="accent1" w:themeFillTint="33"/>
            <w:vAlign w:val="center"/>
          </w:tcPr>
          <w:p w14:paraId="0FE2C64C" w14:textId="77777777" w:rsidR="00104020" w:rsidRPr="003714F5" w:rsidRDefault="00104020" w:rsidP="004661B6">
            <w:pPr>
              <w:jc w:val="center"/>
              <w:rPr>
                <w:rFonts w:ascii="Arial Narrow" w:eastAsia="Times New Roman" w:hAnsi="Arial Narrow"/>
                <w:b/>
                <w:sz w:val="20"/>
                <w:lang w:eastAsia="en-US"/>
              </w:rPr>
            </w:pPr>
            <w:r w:rsidRPr="003714F5">
              <w:rPr>
                <w:rFonts w:ascii="Arial Narrow" w:eastAsia="Times New Roman" w:hAnsi="Arial Narrow"/>
                <w:b/>
                <w:sz w:val="20"/>
                <w:lang w:eastAsia="en-US"/>
              </w:rPr>
              <w:t>2014/15</w:t>
            </w:r>
          </w:p>
        </w:tc>
        <w:tc>
          <w:tcPr>
            <w:tcW w:w="1030" w:type="dxa"/>
            <w:shd w:val="clear" w:color="auto" w:fill="DBE5F1" w:themeFill="accent1" w:themeFillTint="33"/>
            <w:vAlign w:val="center"/>
          </w:tcPr>
          <w:p w14:paraId="09DE0324" w14:textId="77777777" w:rsidR="00104020" w:rsidRPr="003714F5" w:rsidRDefault="00104020" w:rsidP="004661B6">
            <w:pPr>
              <w:jc w:val="center"/>
              <w:rPr>
                <w:rFonts w:ascii="Arial Narrow" w:eastAsia="Times New Roman" w:hAnsi="Arial Narrow"/>
                <w:b/>
                <w:sz w:val="20"/>
                <w:lang w:eastAsia="en-US"/>
              </w:rPr>
            </w:pPr>
            <w:r w:rsidRPr="003714F5">
              <w:rPr>
                <w:rFonts w:ascii="Arial Narrow" w:eastAsia="Times New Roman" w:hAnsi="Arial Narrow"/>
                <w:b/>
                <w:sz w:val="20"/>
                <w:lang w:eastAsia="en-US"/>
              </w:rPr>
              <w:t>2016/17</w:t>
            </w:r>
          </w:p>
        </w:tc>
        <w:tc>
          <w:tcPr>
            <w:tcW w:w="1030" w:type="dxa"/>
            <w:shd w:val="clear" w:color="auto" w:fill="DBE5F1" w:themeFill="accent1" w:themeFillTint="33"/>
            <w:vAlign w:val="center"/>
          </w:tcPr>
          <w:p w14:paraId="252B3207" w14:textId="77777777" w:rsidR="00104020" w:rsidRPr="003714F5" w:rsidRDefault="00104020" w:rsidP="004661B6">
            <w:pPr>
              <w:jc w:val="center"/>
              <w:rPr>
                <w:rFonts w:ascii="Arial Narrow" w:eastAsia="Times New Roman" w:hAnsi="Arial Narrow"/>
                <w:b/>
                <w:sz w:val="20"/>
                <w:lang w:eastAsia="en-US"/>
              </w:rPr>
            </w:pPr>
            <w:r w:rsidRPr="003714F5">
              <w:rPr>
                <w:rFonts w:ascii="Arial Narrow" w:eastAsia="Times New Roman" w:hAnsi="Arial Narrow"/>
                <w:b/>
                <w:sz w:val="20"/>
                <w:lang w:eastAsia="en-US"/>
              </w:rPr>
              <w:t>2018/19</w:t>
            </w:r>
          </w:p>
        </w:tc>
      </w:tr>
      <w:tr w:rsidR="00104020" w:rsidRPr="003714F5" w14:paraId="6B6038B3" w14:textId="77777777" w:rsidTr="00BF7142">
        <w:trPr>
          <w:trHeight w:val="688"/>
        </w:trPr>
        <w:tc>
          <w:tcPr>
            <w:tcW w:w="1526" w:type="dxa"/>
            <w:vAlign w:val="center"/>
          </w:tcPr>
          <w:p w14:paraId="5EDE5FC2" w14:textId="74BB075C" w:rsidR="00104020" w:rsidRPr="003714F5" w:rsidRDefault="00983E98" w:rsidP="00983E98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20"/>
                <w:lang w:eastAsia="de-DE"/>
              </w:rPr>
            </w:pPr>
            <w:r w:rsidRPr="003714F5">
              <w:rPr>
                <w:rFonts w:ascii="Arial Narrow" w:eastAsia="Times New Roman" w:hAnsi="Arial Narrow"/>
                <w:bCs/>
                <w:sz w:val="20"/>
                <w:lang w:eastAsia="de-DE"/>
              </w:rPr>
              <w:t>1 Reacción</w:t>
            </w:r>
          </w:p>
        </w:tc>
        <w:tc>
          <w:tcPr>
            <w:tcW w:w="2252" w:type="dxa"/>
            <w:vAlign w:val="center"/>
          </w:tcPr>
          <w:p w14:paraId="140C7011" w14:textId="63F317BC" w:rsidR="00104020" w:rsidRPr="003714F5" w:rsidRDefault="00983E98" w:rsidP="004661B6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20"/>
                <w:lang w:eastAsia="de-DE"/>
              </w:rPr>
            </w:pPr>
            <w:r w:rsidRPr="003714F5">
              <w:rPr>
                <w:rFonts w:ascii="Arial Narrow" w:eastAsia="Times New Roman" w:hAnsi="Arial Narrow"/>
                <w:bCs/>
                <w:sz w:val="20"/>
                <w:lang w:eastAsia="de-DE"/>
              </w:rPr>
              <w:t>Mide el nivel de satisfacción del participante</w:t>
            </w:r>
          </w:p>
        </w:tc>
        <w:tc>
          <w:tcPr>
            <w:tcW w:w="1030" w:type="dxa"/>
            <w:vAlign w:val="center"/>
          </w:tcPr>
          <w:p w14:paraId="3C3406CE" w14:textId="77777777" w:rsidR="00104020" w:rsidRPr="003714F5" w:rsidRDefault="00104020" w:rsidP="004661B6">
            <w:pPr>
              <w:jc w:val="center"/>
              <w:rPr>
                <w:rFonts w:ascii="Webdings" w:eastAsia="Times New Roman" w:hAnsi="Webdings"/>
                <w:sz w:val="48"/>
                <w:szCs w:val="48"/>
                <w:lang w:eastAsia="en-US"/>
              </w:rPr>
            </w:pPr>
            <w:r w:rsidRPr="003714F5">
              <w:rPr>
                <w:rFonts w:ascii="Webdings" w:eastAsia="Times New Roman" w:hAnsi="Webdings"/>
                <w:sz w:val="48"/>
                <w:szCs w:val="48"/>
                <w:lang w:eastAsia="en-US"/>
              </w:rPr>
              <w:t></w:t>
            </w:r>
          </w:p>
        </w:tc>
        <w:tc>
          <w:tcPr>
            <w:tcW w:w="1030" w:type="dxa"/>
            <w:vAlign w:val="center"/>
          </w:tcPr>
          <w:p w14:paraId="32F5E361" w14:textId="77777777" w:rsidR="00104020" w:rsidRPr="003714F5" w:rsidRDefault="00104020" w:rsidP="004661B6">
            <w:pPr>
              <w:jc w:val="center"/>
              <w:rPr>
                <w:rFonts w:ascii="Wingdings" w:eastAsia="Times New Roman" w:hAnsi="Wingdings"/>
                <w:sz w:val="20"/>
                <w:lang w:eastAsia="en-US"/>
              </w:rPr>
            </w:pPr>
            <w:r w:rsidRPr="003714F5">
              <w:rPr>
                <w:rFonts w:ascii="Webdings" w:eastAsia="Times New Roman" w:hAnsi="Webdings"/>
                <w:sz w:val="48"/>
                <w:szCs w:val="48"/>
                <w:lang w:eastAsia="en-US"/>
              </w:rPr>
              <w:t></w:t>
            </w:r>
          </w:p>
        </w:tc>
        <w:tc>
          <w:tcPr>
            <w:tcW w:w="1030" w:type="dxa"/>
            <w:vAlign w:val="center"/>
          </w:tcPr>
          <w:p w14:paraId="1E20D236" w14:textId="77777777" w:rsidR="00104020" w:rsidRPr="003714F5" w:rsidRDefault="00104020" w:rsidP="004661B6">
            <w:pPr>
              <w:jc w:val="center"/>
              <w:rPr>
                <w:rFonts w:ascii="Wingdings" w:eastAsia="Times New Roman" w:hAnsi="Wingdings"/>
                <w:sz w:val="20"/>
                <w:lang w:eastAsia="en-US"/>
              </w:rPr>
            </w:pPr>
            <w:r w:rsidRPr="003714F5">
              <w:rPr>
                <w:rFonts w:ascii="Webdings" w:eastAsia="Times New Roman" w:hAnsi="Webdings"/>
                <w:sz w:val="48"/>
                <w:szCs w:val="48"/>
                <w:lang w:eastAsia="en-US"/>
              </w:rPr>
              <w:t></w:t>
            </w:r>
          </w:p>
        </w:tc>
        <w:tc>
          <w:tcPr>
            <w:tcW w:w="1030" w:type="dxa"/>
            <w:vAlign w:val="center"/>
          </w:tcPr>
          <w:p w14:paraId="6C2D3084" w14:textId="77777777" w:rsidR="00104020" w:rsidRPr="003714F5" w:rsidRDefault="00104020" w:rsidP="004661B6">
            <w:pPr>
              <w:jc w:val="center"/>
              <w:rPr>
                <w:rFonts w:ascii="Wingdings" w:eastAsia="Times New Roman" w:hAnsi="Wingdings"/>
                <w:sz w:val="20"/>
                <w:lang w:eastAsia="en-US"/>
              </w:rPr>
            </w:pPr>
            <w:r w:rsidRPr="003714F5">
              <w:rPr>
                <w:rFonts w:ascii="Webdings" w:eastAsia="Times New Roman" w:hAnsi="Webdings"/>
                <w:sz w:val="48"/>
                <w:szCs w:val="48"/>
                <w:lang w:eastAsia="en-US"/>
              </w:rPr>
              <w:t></w:t>
            </w:r>
          </w:p>
        </w:tc>
        <w:tc>
          <w:tcPr>
            <w:tcW w:w="1030" w:type="dxa"/>
            <w:vAlign w:val="center"/>
          </w:tcPr>
          <w:p w14:paraId="1CAB1C0F" w14:textId="77777777" w:rsidR="00104020" w:rsidRPr="003714F5" w:rsidRDefault="00104020" w:rsidP="004661B6">
            <w:pPr>
              <w:jc w:val="center"/>
              <w:rPr>
                <w:rFonts w:ascii="Wingdings" w:eastAsia="Times New Roman" w:hAnsi="Wingdings"/>
                <w:sz w:val="20"/>
                <w:lang w:eastAsia="en-US"/>
              </w:rPr>
            </w:pPr>
            <w:r w:rsidRPr="003714F5">
              <w:rPr>
                <w:rFonts w:ascii="Webdings" w:eastAsia="Times New Roman" w:hAnsi="Webdings"/>
                <w:sz w:val="48"/>
                <w:szCs w:val="48"/>
                <w:lang w:eastAsia="en-US"/>
              </w:rPr>
              <w:t></w:t>
            </w:r>
          </w:p>
        </w:tc>
      </w:tr>
      <w:tr w:rsidR="00104020" w:rsidRPr="003714F5" w14:paraId="4F9FC999" w14:textId="77777777" w:rsidTr="00BF7142">
        <w:trPr>
          <w:trHeight w:val="688"/>
        </w:trPr>
        <w:tc>
          <w:tcPr>
            <w:tcW w:w="1526" w:type="dxa"/>
            <w:vAlign w:val="center"/>
          </w:tcPr>
          <w:p w14:paraId="656C0F48" w14:textId="01E0AFC3" w:rsidR="00104020" w:rsidRPr="003714F5" w:rsidRDefault="00104020" w:rsidP="00983E98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20"/>
                <w:lang w:eastAsia="de-DE"/>
              </w:rPr>
            </w:pPr>
            <w:r w:rsidRPr="003714F5">
              <w:rPr>
                <w:rFonts w:ascii="Arial Narrow" w:eastAsia="Times New Roman" w:hAnsi="Arial Narrow"/>
                <w:bCs/>
                <w:sz w:val="20"/>
                <w:lang w:eastAsia="de-DE"/>
              </w:rPr>
              <w:t>2</w:t>
            </w:r>
            <w:r w:rsidR="00983E98" w:rsidRPr="003714F5">
              <w:rPr>
                <w:rFonts w:ascii="Arial Narrow" w:eastAsia="Times New Roman" w:hAnsi="Arial Narrow"/>
                <w:bCs/>
                <w:sz w:val="20"/>
                <w:lang w:eastAsia="de-DE"/>
              </w:rPr>
              <w:t xml:space="preserve"> Aprendizaje</w:t>
            </w:r>
          </w:p>
        </w:tc>
        <w:tc>
          <w:tcPr>
            <w:tcW w:w="2252" w:type="dxa"/>
            <w:vAlign w:val="center"/>
          </w:tcPr>
          <w:p w14:paraId="7D93187E" w14:textId="653B75A3" w:rsidR="00104020" w:rsidRPr="003714F5" w:rsidRDefault="00983E98" w:rsidP="00983E98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20"/>
                <w:lang w:eastAsia="de-DE"/>
              </w:rPr>
            </w:pPr>
            <w:r w:rsidRPr="003714F5">
              <w:rPr>
                <w:rFonts w:ascii="Arial Narrow" w:eastAsia="Times New Roman" w:hAnsi="Arial Narrow"/>
                <w:bCs/>
                <w:sz w:val="20"/>
                <w:lang w:eastAsia="de-DE"/>
              </w:rPr>
              <w:t xml:space="preserve">Mide el aumento de los conocimientos </w:t>
            </w:r>
            <w:r w:rsidRPr="003714F5">
              <w:rPr>
                <w:rFonts w:ascii="Arial Narrow" w:eastAsia="Times New Roman" w:hAnsi="Arial Narrow"/>
                <w:sz w:val="20"/>
                <w:lang w:eastAsia="de-DE"/>
              </w:rPr>
              <w:t>–</w:t>
            </w:r>
            <w:r w:rsidR="00104020" w:rsidRPr="003714F5">
              <w:rPr>
                <w:rFonts w:ascii="Arial Narrow" w:eastAsia="Times New Roman" w:hAnsi="Arial Narrow"/>
                <w:sz w:val="20"/>
                <w:lang w:eastAsia="de-DE"/>
              </w:rPr>
              <w:t xml:space="preserve"> </w:t>
            </w:r>
            <w:r w:rsidRPr="003714F5">
              <w:rPr>
                <w:rFonts w:ascii="Arial Narrow" w:eastAsia="Times New Roman" w:hAnsi="Arial Narrow"/>
                <w:sz w:val="20"/>
                <w:lang w:eastAsia="de-DE"/>
              </w:rPr>
              <w:t>antes y después de la formación</w:t>
            </w:r>
          </w:p>
        </w:tc>
        <w:tc>
          <w:tcPr>
            <w:tcW w:w="1030" w:type="dxa"/>
            <w:vAlign w:val="center"/>
          </w:tcPr>
          <w:p w14:paraId="0F1F83BA" w14:textId="77777777" w:rsidR="00104020" w:rsidRPr="003714F5" w:rsidRDefault="00104020" w:rsidP="004661B6">
            <w:pPr>
              <w:jc w:val="center"/>
              <w:rPr>
                <w:rFonts w:ascii="Webdings" w:eastAsia="Times New Roman" w:hAnsi="Webdings"/>
                <w:sz w:val="20"/>
                <w:lang w:eastAsia="en-US"/>
              </w:rPr>
            </w:pPr>
          </w:p>
        </w:tc>
        <w:tc>
          <w:tcPr>
            <w:tcW w:w="1030" w:type="dxa"/>
            <w:vAlign w:val="center"/>
          </w:tcPr>
          <w:p w14:paraId="470D240D" w14:textId="77777777" w:rsidR="00104020" w:rsidRPr="003714F5" w:rsidRDefault="00104020" w:rsidP="004661B6">
            <w:pPr>
              <w:jc w:val="center"/>
              <w:rPr>
                <w:rFonts w:ascii="Wingdings" w:eastAsia="Times New Roman" w:hAnsi="Wingdings"/>
                <w:sz w:val="20"/>
                <w:lang w:eastAsia="en-US"/>
              </w:rPr>
            </w:pPr>
          </w:p>
        </w:tc>
        <w:tc>
          <w:tcPr>
            <w:tcW w:w="1030" w:type="dxa"/>
            <w:vAlign w:val="center"/>
          </w:tcPr>
          <w:p w14:paraId="5E2CEA60" w14:textId="77777777" w:rsidR="00104020" w:rsidRPr="003714F5" w:rsidRDefault="00104020" w:rsidP="004661B6">
            <w:pPr>
              <w:jc w:val="center"/>
              <w:rPr>
                <w:rFonts w:ascii="Wingdings" w:eastAsia="Times New Roman" w:hAnsi="Wingdings"/>
                <w:sz w:val="20"/>
                <w:lang w:eastAsia="en-US"/>
              </w:rPr>
            </w:pPr>
          </w:p>
        </w:tc>
        <w:tc>
          <w:tcPr>
            <w:tcW w:w="1030" w:type="dxa"/>
            <w:vAlign w:val="center"/>
          </w:tcPr>
          <w:p w14:paraId="7C28550A" w14:textId="77777777" w:rsidR="00104020" w:rsidRPr="003714F5" w:rsidRDefault="00104020" w:rsidP="004661B6">
            <w:pPr>
              <w:jc w:val="center"/>
              <w:rPr>
                <w:rFonts w:ascii="Wingdings" w:eastAsia="Times New Roman" w:hAnsi="Wingdings"/>
                <w:sz w:val="20"/>
                <w:lang w:eastAsia="en-US"/>
              </w:rPr>
            </w:pPr>
          </w:p>
        </w:tc>
        <w:tc>
          <w:tcPr>
            <w:tcW w:w="1030" w:type="dxa"/>
            <w:vAlign w:val="center"/>
          </w:tcPr>
          <w:p w14:paraId="32535D9D" w14:textId="77777777" w:rsidR="00104020" w:rsidRPr="003714F5" w:rsidRDefault="00104020" w:rsidP="004661B6">
            <w:pPr>
              <w:jc w:val="center"/>
              <w:rPr>
                <w:rFonts w:ascii="Webdings" w:eastAsia="Times New Roman" w:hAnsi="Webdings"/>
                <w:sz w:val="48"/>
                <w:szCs w:val="48"/>
                <w:lang w:eastAsia="en-US"/>
              </w:rPr>
            </w:pPr>
            <w:r w:rsidRPr="003714F5">
              <w:rPr>
                <w:rFonts w:ascii="Webdings" w:eastAsia="Times New Roman" w:hAnsi="Webdings"/>
                <w:sz w:val="48"/>
                <w:szCs w:val="48"/>
                <w:lang w:eastAsia="en-US"/>
              </w:rPr>
              <w:t></w:t>
            </w:r>
          </w:p>
          <w:p w14:paraId="433B28FA" w14:textId="77777777" w:rsidR="00104020" w:rsidRPr="003714F5" w:rsidRDefault="00104020" w:rsidP="004661B6">
            <w:pPr>
              <w:jc w:val="center"/>
              <w:rPr>
                <w:rFonts w:ascii="Wingdings" w:eastAsia="Times New Roman" w:hAnsi="Wingdings"/>
                <w:sz w:val="20"/>
                <w:lang w:eastAsia="en-US"/>
              </w:rPr>
            </w:pPr>
          </w:p>
        </w:tc>
      </w:tr>
      <w:tr w:rsidR="00104020" w:rsidRPr="003714F5" w14:paraId="77779B3C" w14:textId="77777777" w:rsidTr="00BF7142">
        <w:trPr>
          <w:trHeight w:val="688"/>
        </w:trPr>
        <w:tc>
          <w:tcPr>
            <w:tcW w:w="1526" w:type="dxa"/>
            <w:vAlign w:val="center"/>
          </w:tcPr>
          <w:p w14:paraId="4005D710" w14:textId="02BB13EF" w:rsidR="00104020" w:rsidRPr="003714F5" w:rsidRDefault="00104020" w:rsidP="00983E98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20"/>
                <w:lang w:eastAsia="de-DE"/>
              </w:rPr>
            </w:pPr>
            <w:r w:rsidRPr="003714F5">
              <w:rPr>
                <w:rFonts w:ascii="Arial Narrow" w:eastAsia="Times New Roman" w:hAnsi="Arial Narrow"/>
                <w:bCs/>
                <w:sz w:val="20"/>
                <w:lang w:eastAsia="de-DE"/>
              </w:rPr>
              <w:t xml:space="preserve">3 </w:t>
            </w:r>
            <w:r w:rsidR="00A83F65" w:rsidRPr="003714F5">
              <w:rPr>
                <w:rFonts w:ascii="Arial Narrow" w:eastAsia="Times New Roman" w:hAnsi="Arial Narrow"/>
                <w:bCs/>
                <w:sz w:val="20"/>
                <w:lang w:eastAsia="de-DE"/>
              </w:rPr>
              <w:t>Co</w:t>
            </w:r>
            <w:r w:rsidR="00983E98" w:rsidRPr="003714F5">
              <w:rPr>
                <w:rFonts w:ascii="Arial Narrow" w:eastAsia="Times New Roman" w:hAnsi="Arial Narrow"/>
                <w:bCs/>
                <w:sz w:val="20"/>
                <w:lang w:eastAsia="de-DE"/>
              </w:rPr>
              <w:t>mportamiento</w:t>
            </w:r>
          </w:p>
        </w:tc>
        <w:tc>
          <w:tcPr>
            <w:tcW w:w="2252" w:type="dxa"/>
            <w:vAlign w:val="center"/>
          </w:tcPr>
          <w:p w14:paraId="3B184A8B" w14:textId="416AEECC" w:rsidR="00104020" w:rsidRPr="003714F5" w:rsidRDefault="00983E98" w:rsidP="00A83F65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20"/>
                <w:lang w:eastAsia="de-DE"/>
              </w:rPr>
            </w:pPr>
            <w:r w:rsidRPr="003714F5">
              <w:rPr>
                <w:rFonts w:ascii="Arial Narrow" w:eastAsia="Times New Roman" w:hAnsi="Arial Narrow"/>
                <w:bCs/>
                <w:sz w:val="20"/>
                <w:lang w:eastAsia="de-DE"/>
              </w:rPr>
              <w:t xml:space="preserve">Mide el nivel de aplicación del aprendizaje </w:t>
            </w:r>
            <w:r w:rsidR="00A83F65" w:rsidRPr="003714F5">
              <w:rPr>
                <w:rFonts w:ascii="Arial Narrow" w:eastAsia="Times New Roman" w:hAnsi="Arial Narrow"/>
                <w:bCs/>
                <w:sz w:val="20"/>
                <w:lang w:eastAsia="de-DE"/>
              </w:rPr>
              <w:t>en e</w:t>
            </w:r>
            <w:r w:rsidRPr="003714F5">
              <w:rPr>
                <w:rFonts w:ascii="Arial Narrow" w:eastAsia="Times New Roman" w:hAnsi="Arial Narrow"/>
                <w:bCs/>
                <w:sz w:val="20"/>
                <w:lang w:eastAsia="de-DE"/>
              </w:rPr>
              <w:t>l trabajo</w:t>
            </w:r>
          </w:p>
        </w:tc>
        <w:tc>
          <w:tcPr>
            <w:tcW w:w="1030" w:type="dxa"/>
            <w:vAlign w:val="center"/>
          </w:tcPr>
          <w:p w14:paraId="2DF08625" w14:textId="77777777" w:rsidR="00104020" w:rsidRPr="003714F5" w:rsidRDefault="00104020" w:rsidP="004661B6">
            <w:pPr>
              <w:jc w:val="center"/>
              <w:rPr>
                <w:rFonts w:ascii="Wingdings 3" w:eastAsia="Times New Roman" w:hAnsi="Wingdings 3"/>
                <w:szCs w:val="22"/>
                <w:lang w:eastAsia="en-US"/>
              </w:rPr>
            </w:pPr>
            <w:r w:rsidRPr="003714F5">
              <w:rPr>
                <w:rFonts w:ascii="Webdings" w:eastAsia="Times New Roman" w:hAnsi="Webdings"/>
                <w:szCs w:val="22"/>
                <w:lang w:eastAsia="en-US"/>
              </w:rPr>
              <w:t></w:t>
            </w:r>
          </w:p>
        </w:tc>
        <w:tc>
          <w:tcPr>
            <w:tcW w:w="1030" w:type="dxa"/>
            <w:vAlign w:val="center"/>
          </w:tcPr>
          <w:p w14:paraId="7F571680" w14:textId="77777777" w:rsidR="00104020" w:rsidRPr="003714F5" w:rsidRDefault="00104020" w:rsidP="004661B6">
            <w:pPr>
              <w:jc w:val="center"/>
              <w:rPr>
                <w:rFonts w:ascii="Wingdings" w:eastAsia="Times New Roman" w:hAnsi="Wingdings"/>
                <w:szCs w:val="22"/>
                <w:lang w:eastAsia="en-US"/>
              </w:rPr>
            </w:pPr>
            <w:r w:rsidRPr="003714F5">
              <w:rPr>
                <w:rFonts w:ascii="Webdings" w:eastAsia="Times New Roman" w:hAnsi="Webdings"/>
                <w:szCs w:val="22"/>
                <w:lang w:eastAsia="en-US"/>
              </w:rPr>
              <w:t></w:t>
            </w:r>
          </w:p>
        </w:tc>
        <w:tc>
          <w:tcPr>
            <w:tcW w:w="1030" w:type="dxa"/>
            <w:vAlign w:val="center"/>
          </w:tcPr>
          <w:p w14:paraId="4B071D44" w14:textId="77777777" w:rsidR="00104020" w:rsidRPr="003714F5" w:rsidRDefault="00104020" w:rsidP="004661B6">
            <w:pPr>
              <w:jc w:val="center"/>
              <w:rPr>
                <w:rFonts w:ascii="Wingdings" w:eastAsia="Times New Roman" w:hAnsi="Wingdings"/>
                <w:szCs w:val="22"/>
                <w:lang w:eastAsia="en-US"/>
              </w:rPr>
            </w:pPr>
            <w:r w:rsidRPr="003714F5">
              <w:rPr>
                <w:rFonts w:ascii="Webdings" w:eastAsia="Times New Roman" w:hAnsi="Webdings"/>
                <w:szCs w:val="22"/>
                <w:lang w:eastAsia="en-US"/>
              </w:rPr>
              <w:t></w:t>
            </w:r>
          </w:p>
        </w:tc>
        <w:tc>
          <w:tcPr>
            <w:tcW w:w="1030" w:type="dxa"/>
            <w:vAlign w:val="center"/>
          </w:tcPr>
          <w:p w14:paraId="6AFAA1C7" w14:textId="77777777" w:rsidR="00104020" w:rsidRPr="003714F5" w:rsidRDefault="00104020" w:rsidP="004661B6">
            <w:pPr>
              <w:jc w:val="center"/>
              <w:rPr>
                <w:rFonts w:ascii="Wingdings" w:eastAsia="Times New Roman" w:hAnsi="Wingdings"/>
                <w:szCs w:val="22"/>
                <w:lang w:eastAsia="en-US"/>
              </w:rPr>
            </w:pPr>
            <w:r w:rsidRPr="003714F5">
              <w:rPr>
                <w:rFonts w:ascii="Webdings" w:eastAsia="Times New Roman" w:hAnsi="Webdings"/>
                <w:szCs w:val="22"/>
                <w:lang w:eastAsia="en-US"/>
              </w:rPr>
              <w:t></w:t>
            </w:r>
          </w:p>
        </w:tc>
        <w:tc>
          <w:tcPr>
            <w:tcW w:w="1030" w:type="dxa"/>
            <w:vAlign w:val="center"/>
          </w:tcPr>
          <w:p w14:paraId="2C1D3499" w14:textId="77777777" w:rsidR="00104020" w:rsidRPr="003714F5" w:rsidRDefault="00104020" w:rsidP="004661B6">
            <w:pPr>
              <w:jc w:val="center"/>
              <w:rPr>
                <w:rFonts w:ascii="Wingdings" w:eastAsia="Times New Roman" w:hAnsi="Wingdings"/>
                <w:szCs w:val="22"/>
                <w:lang w:eastAsia="en-US"/>
              </w:rPr>
            </w:pPr>
            <w:r w:rsidRPr="003714F5">
              <w:rPr>
                <w:rFonts w:ascii="Webdings" w:eastAsia="Times New Roman" w:hAnsi="Webdings"/>
                <w:sz w:val="48"/>
                <w:szCs w:val="48"/>
                <w:lang w:eastAsia="en-US"/>
              </w:rPr>
              <w:t></w:t>
            </w:r>
          </w:p>
        </w:tc>
      </w:tr>
      <w:tr w:rsidR="00104020" w:rsidRPr="003714F5" w14:paraId="2A85FE10" w14:textId="77777777" w:rsidTr="00BF7142">
        <w:trPr>
          <w:trHeight w:val="689"/>
        </w:trPr>
        <w:tc>
          <w:tcPr>
            <w:tcW w:w="1526" w:type="dxa"/>
            <w:vAlign w:val="center"/>
          </w:tcPr>
          <w:p w14:paraId="428B3BD7" w14:textId="31863B09" w:rsidR="00104020" w:rsidRPr="003714F5" w:rsidRDefault="00104020" w:rsidP="00983E98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20"/>
                <w:lang w:eastAsia="de-DE"/>
              </w:rPr>
            </w:pPr>
            <w:r w:rsidRPr="003714F5">
              <w:rPr>
                <w:rFonts w:ascii="Arial Narrow" w:eastAsia="Times New Roman" w:hAnsi="Arial Narrow"/>
                <w:bCs/>
                <w:sz w:val="20"/>
                <w:lang w:eastAsia="de-DE"/>
              </w:rPr>
              <w:t>4 Result</w:t>
            </w:r>
            <w:r w:rsidR="00983E98" w:rsidRPr="003714F5">
              <w:rPr>
                <w:rFonts w:ascii="Arial Narrow" w:eastAsia="Times New Roman" w:hAnsi="Arial Narrow"/>
                <w:bCs/>
                <w:sz w:val="20"/>
                <w:lang w:eastAsia="de-DE"/>
              </w:rPr>
              <w:t>ados</w:t>
            </w:r>
          </w:p>
        </w:tc>
        <w:tc>
          <w:tcPr>
            <w:tcW w:w="2252" w:type="dxa"/>
            <w:vAlign w:val="center"/>
          </w:tcPr>
          <w:p w14:paraId="7283886F" w14:textId="1F4B7A10" w:rsidR="00104020" w:rsidRPr="003714F5" w:rsidRDefault="00983E98" w:rsidP="00A83F65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20"/>
                <w:lang w:eastAsia="de-DE"/>
              </w:rPr>
            </w:pPr>
            <w:r w:rsidRPr="003714F5">
              <w:rPr>
                <w:rFonts w:ascii="Arial Narrow" w:eastAsia="Times New Roman" w:hAnsi="Arial Narrow"/>
                <w:bCs/>
                <w:sz w:val="20"/>
                <w:lang w:eastAsia="de-DE"/>
              </w:rPr>
              <w:t>Mide la repercusión general de la formación en la</w:t>
            </w:r>
            <w:r w:rsidR="00E43ABA" w:rsidRPr="003714F5">
              <w:rPr>
                <w:rFonts w:ascii="Arial Narrow" w:eastAsia="Times New Roman" w:hAnsi="Arial Narrow"/>
                <w:bCs/>
                <w:sz w:val="20"/>
                <w:lang w:eastAsia="de-DE"/>
              </w:rPr>
              <w:t xml:space="preserve"> institución</w:t>
            </w:r>
            <w:r w:rsidRPr="003714F5">
              <w:rPr>
                <w:rFonts w:ascii="Arial Narrow" w:eastAsia="Times New Roman" w:hAnsi="Arial Narrow"/>
                <w:bCs/>
                <w:sz w:val="20"/>
                <w:lang w:eastAsia="de-DE"/>
              </w:rPr>
              <w:t>, el entorno o el participante</w:t>
            </w:r>
          </w:p>
        </w:tc>
        <w:tc>
          <w:tcPr>
            <w:tcW w:w="1030" w:type="dxa"/>
            <w:vAlign w:val="center"/>
          </w:tcPr>
          <w:p w14:paraId="3B1608A7" w14:textId="77777777" w:rsidR="00104020" w:rsidRPr="003714F5" w:rsidRDefault="00104020" w:rsidP="004661B6">
            <w:pPr>
              <w:jc w:val="center"/>
              <w:rPr>
                <w:rFonts w:ascii="Wingdings" w:eastAsia="Times New Roman" w:hAnsi="Wingdings"/>
                <w:sz w:val="20"/>
                <w:lang w:eastAsia="en-US"/>
              </w:rPr>
            </w:pPr>
          </w:p>
        </w:tc>
        <w:tc>
          <w:tcPr>
            <w:tcW w:w="1030" w:type="dxa"/>
            <w:vAlign w:val="center"/>
          </w:tcPr>
          <w:p w14:paraId="5756D219" w14:textId="77777777" w:rsidR="00104020" w:rsidRPr="003714F5" w:rsidRDefault="00104020" w:rsidP="004661B6">
            <w:pPr>
              <w:jc w:val="center"/>
              <w:rPr>
                <w:rFonts w:ascii="Wingdings" w:eastAsia="Times New Roman" w:hAnsi="Wingdings"/>
                <w:sz w:val="20"/>
                <w:lang w:eastAsia="en-US"/>
              </w:rPr>
            </w:pPr>
          </w:p>
        </w:tc>
        <w:tc>
          <w:tcPr>
            <w:tcW w:w="1030" w:type="dxa"/>
            <w:vAlign w:val="center"/>
          </w:tcPr>
          <w:p w14:paraId="38C6E458" w14:textId="77777777" w:rsidR="00104020" w:rsidRPr="003714F5" w:rsidRDefault="00104020" w:rsidP="004661B6">
            <w:pPr>
              <w:jc w:val="center"/>
              <w:rPr>
                <w:rFonts w:ascii="Wingdings" w:eastAsia="Times New Roman" w:hAnsi="Wingdings"/>
                <w:sz w:val="20"/>
                <w:lang w:eastAsia="en-US"/>
              </w:rPr>
            </w:pPr>
          </w:p>
        </w:tc>
        <w:tc>
          <w:tcPr>
            <w:tcW w:w="1030" w:type="dxa"/>
            <w:vAlign w:val="center"/>
          </w:tcPr>
          <w:p w14:paraId="4132E6F3" w14:textId="77777777" w:rsidR="00104020" w:rsidRPr="003714F5" w:rsidRDefault="00104020" w:rsidP="004661B6">
            <w:pPr>
              <w:jc w:val="center"/>
              <w:rPr>
                <w:rFonts w:ascii="Wingdings" w:eastAsia="Times New Roman" w:hAnsi="Wingdings"/>
                <w:sz w:val="20"/>
                <w:lang w:eastAsia="en-US"/>
              </w:rPr>
            </w:pPr>
          </w:p>
        </w:tc>
        <w:tc>
          <w:tcPr>
            <w:tcW w:w="1030" w:type="dxa"/>
            <w:vAlign w:val="center"/>
          </w:tcPr>
          <w:p w14:paraId="58D2D018" w14:textId="77777777" w:rsidR="00104020" w:rsidRPr="003714F5" w:rsidRDefault="00104020" w:rsidP="004661B6">
            <w:pPr>
              <w:jc w:val="center"/>
              <w:rPr>
                <w:rFonts w:ascii="Wingdings" w:eastAsia="Times New Roman" w:hAnsi="Wingdings"/>
                <w:sz w:val="20"/>
                <w:lang w:eastAsia="en-US"/>
              </w:rPr>
            </w:pPr>
          </w:p>
        </w:tc>
      </w:tr>
    </w:tbl>
    <w:p w14:paraId="71708161" w14:textId="77777777" w:rsidR="00104020" w:rsidRPr="003714F5" w:rsidRDefault="00104020" w:rsidP="00104020">
      <w:pPr>
        <w:rPr>
          <w:szCs w:val="22"/>
        </w:rPr>
      </w:pPr>
    </w:p>
    <w:p w14:paraId="042050B7" w14:textId="34569959" w:rsidR="00104020" w:rsidRPr="003714F5" w:rsidRDefault="00104020" w:rsidP="00104020">
      <w:pPr>
        <w:rPr>
          <w:szCs w:val="22"/>
        </w:rPr>
      </w:pPr>
      <w:r w:rsidRPr="003714F5">
        <w:rPr>
          <w:szCs w:val="22"/>
        </w:rPr>
        <w:t>16.</w:t>
      </w:r>
      <w:r w:rsidRPr="003714F5">
        <w:rPr>
          <w:szCs w:val="22"/>
        </w:rPr>
        <w:tab/>
      </w:r>
      <w:r w:rsidR="00E43ABA" w:rsidRPr="003714F5">
        <w:rPr>
          <w:szCs w:val="22"/>
        </w:rPr>
        <w:t>Tradicionalmente</w:t>
      </w:r>
      <w:r w:rsidRPr="003714F5">
        <w:rPr>
          <w:szCs w:val="22"/>
        </w:rPr>
        <w:t xml:space="preserve">, </w:t>
      </w:r>
      <w:r w:rsidR="00E43ABA" w:rsidRPr="003714F5">
        <w:rPr>
          <w:szCs w:val="22"/>
        </w:rPr>
        <w:t xml:space="preserve">el marco de indicadores de rendimiento para medir la repercusión de las actividades de fortalecimiento de capacidades de la OMPI se centraba principalmente en el nivel de satisfacción generado por </w:t>
      </w:r>
      <w:r w:rsidR="00A83F65" w:rsidRPr="003714F5">
        <w:rPr>
          <w:szCs w:val="22"/>
        </w:rPr>
        <w:t xml:space="preserve">los eventos de </w:t>
      </w:r>
      <w:r w:rsidR="00E43ABA" w:rsidRPr="003714F5">
        <w:rPr>
          <w:szCs w:val="22"/>
        </w:rPr>
        <w:t>la OMPI</w:t>
      </w:r>
      <w:r w:rsidR="00A83F65" w:rsidRPr="003714F5">
        <w:rPr>
          <w:szCs w:val="22"/>
        </w:rPr>
        <w:t xml:space="preserve"> en esta esfera</w:t>
      </w:r>
      <w:r w:rsidRPr="003714F5">
        <w:rPr>
          <w:szCs w:val="22"/>
        </w:rPr>
        <w:t xml:space="preserve">, </w:t>
      </w:r>
      <w:r w:rsidR="00E43ABA" w:rsidRPr="003714F5">
        <w:rPr>
          <w:szCs w:val="22"/>
        </w:rPr>
        <w:t xml:space="preserve">es decir, el nivel </w:t>
      </w:r>
      <w:r w:rsidRPr="003714F5">
        <w:rPr>
          <w:szCs w:val="22"/>
        </w:rPr>
        <w:t>1</w:t>
      </w:r>
      <w:r w:rsidR="007F591D" w:rsidRPr="003714F5">
        <w:rPr>
          <w:szCs w:val="22"/>
        </w:rPr>
        <w:t>,</w:t>
      </w:r>
      <w:r w:rsidR="00E43ABA" w:rsidRPr="003714F5">
        <w:rPr>
          <w:szCs w:val="22"/>
        </w:rPr>
        <w:t xml:space="preserve"> de</w:t>
      </w:r>
      <w:r w:rsidRPr="003714F5">
        <w:rPr>
          <w:szCs w:val="22"/>
        </w:rPr>
        <w:t xml:space="preserve"> “</w:t>
      </w:r>
      <w:r w:rsidR="00E43ABA" w:rsidRPr="003714F5">
        <w:rPr>
          <w:szCs w:val="22"/>
        </w:rPr>
        <w:t>reacción</w:t>
      </w:r>
      <w:r w:rsidRPr="003714F5">
        <w:rPr>
          <w:szCs w:val="22"/>
        </w:rPr>
        <w:t>”</w:t>
      </w:r>
      <w:r w:rsidR="007F591D" w:rsidRPr="003714F5">
        <w:rPr>
          <w:szCs w:val="22"/>
        </w:rPr>
        <w:t>,</w:t>
      </w:r>
      <w:r w:rsidR="00E43ABA" w:rsidRPr="003714F5">
        <w:rPr>
          <w:szCs w:val="22"/>
        </w:rPr>
        <w:t xml:space="preserve"> del modelo Kirkpatrick</w:t>
      </w:r>
      <w:r w:rsidRPr="003714F5">
        <w:rPr>
          <w:szCs w:val="22"/>
        </w:rPr>
        <w:t>.</w:t>
      </w:r>
    </w:p>
    <w:p w14:paraId="66C5344D" w14:textId="77777777" w:rsidR="00104020" w:rsidRPr="003714F5" w:rsidRDefault="00104020" w:rsidP="00104020">
      <w:pPr>
        <w:rPr>
          <w:szCs w:val="22"/>
        </w:rPr>
      </w:pPr>
    </w:p>
    <w:p w14:paraId="3674542D" w14:textId="60BBC860" w:rsidR="00104020" w:rsidRPr="003714F5" w:rsidRDefault="00104020" w:rsidP="00104020">
      <w:pPr>
        <w:rPr>
          <w:szCs w:val="22"/>
        </w:rPr>
      </w:pPr>
      <w:r w:rsidRPr="003714F5">
        <w:rPr>
          <w:szCs w:val="22"/>
        </w:rPr>
        <w:t>17.</w:t>
      </w:r>
      <w:r w:rsidRPr="003714F5">
        <w:rPr>
          <w:szCs w:val="22"/>
        </w:rPr>
        <w:tab/>
      </w:r>
      <w:r w:rsidR="00A15BDB" w:rsidRPr="003714F5">
        <w:rPr>
          <w:szCs w:val="22"/>
        </w:rPr>
        <w:t xml:space="preserve">En el marco </w:t>
      </w:r>
      <w:r w:rsidR="00A83F65" w:rsidRPr="003714F5">
        <w:rPr>
          <w:szCs w:val="22"/>
        </w:rPr>
        <w:t>de los constantes</w:t>
      </w:r>
      <w:r w:rsidR="00A15BDB" w:rsidRPr="003714F5">
        <w:rPr>
          <w:szCs w:val="22"/>
        </w:rPr>
        <w:t xml:space="preserve"> esfuerzos de la OMPI por </w:t>
      </w:r>
      <w:r w:rsidR="00A83F65" w:rsidRPr="003714F5">
        <w:rPr>
          <w:szCs w:val="22"/>
        </w:rPr>
        <w:t>prestar mayor atención a</w:t>
      </w:r>
      <w:r w:rsidR="00A15BDB" w:rsidRPr="003714F5">
        <w:rPr>
          <w:szCs w:val="22"/>
        </w:rPr>
        <w:t xml:space="preserve"> los resultados y</w:t>
      </w:r>
      <w:r w:rsidR="00A83F65" w:rsidRPr="003714F5">
        <w:rPr>
          <w:szCs w:val="22"/>
        </w:rPr>
        <w:t xml:space="preserve"> efectos</w:t>
      </w:r>
      <w:r w:rsidR="00A15BDB" w:rsidRPr="003714F5">
        <w:rPr>
          <w:szCs w:val="22"/>
        </w:rPr>
        <w:t xml:space="preserve"> a largo plazo en la mejora de la capacidad institucional de los beneficiarios, en el bienio 2018/19 se puso en marcha un proyecto piloto para reforzar el marco de indicadores de rendimiento de las actividades de creación de capacidad</w:t>
      </w:r>
      <w:r w:rsidRPr="003714F5">
        <w:rPr>
          <w:szCs w:val="22"/>
        </w:rPr>
        <w:t xml:space="preserve">. </w:t>
      </w:r>
      <w:r w:rsidR="00A15BDB" w:rsidRPr="003714F5">
        <w:rPr>
          <w:szCs w:val="22"/>
        </w:rPr>
        <w:t xml:space="preserve">El proyecto piloto </w:t>
      </w:r>
      <w:r w:rsidR="007F591D" w:rsidRPr="003714F5">
        <w:rPr>
          <w:szCs w:val="22"/>
        </w:rPr>
        <w:t>incluye</w:t>
      </w:r>
      <w:r w:rsidR="00A83F65" w:rsidRPr="003714F5">
        <w:rPr>
          <w:szCs w:val="22"/>
        </w:rPr>
        <w:t xml:space="preserve"> un</w:t>
      </w:r>
      <w:r w:rsidR="00732911" w:rsidRPr="003714F5">
        <w:rPr>
          <w:szCs w:val="22"/>
        </w:rPr>
        <w:t>a</w:t>
      </w:r>
      <w:r w:rsidR="00A15BDB" w:rsidRPr="003714F5">
        <w:rPr>
          <w:szCs w:val="22"/>
        </w:rPr>
        <w:t xml:space="preserve"> selección de programas de toda la OMPI y se centra</w:t>
      </w:r>
      <w:r w:rsidR="00E86357">
        <w:rPr>
          <w:szCs w:val="22"/>
        </w:rPr>
        <w:t xml:space="preserve"> </w:t>
      </w:r>
      <w:r w:rsidR="00A15BDB" w:rsidRPr="003714F5">
        <w:rPr>
          <w:szCs w:val="22"/>
        </w:rPr>
        <w:t xml:space="preserve">en: </w:t>
      </w:r>
      <w:r w:rsidRPr="003714F5">
        <w:rPr>
          <w:szCs w:val="22"/>
        </w:rPr>
        <w:t xml:space="preserve">i) </w:t>
      </w:r>
      <w:r w:rsidR="00A15BDB" w:rsidRPr="003714F5">
        <w:rPr>
          <w:szCs w:val="22"/>
        </w:rPr>
        <w:t xml:space="preserve">clasificar claramente las actividades de fortalecimiento de la capacidad; </w:t>
      </w:r>
      <w:r w:rsidRPr="003714F5">
        <w:rPr>
          <w:szCs w:val="22"/>
        </w:rPr>
        <w:t>ii)</w:t>
      </w:r>
      <w:r w:rsidR="00A15BDB" w:rsidRPr="003714F5">
        <w:rPr>
          <w:szCs w:val="22"/>
        </w:rPr>
        <w:t xml:space="preserve"> mejorar el marco de indicadores del rendimiento para medir el nivel 2, </w:t>
      </w:r>
      <w:r w:rsidR="007F591D" w:rsidRPr="003714F5">
        <w:rPr>
          <w:szCs w:val="22"/>
        </w:rPr>
        <w:t xml:space="preserve">de </w:t>
      </w:r>
      <w:r w:rsidR="00A15BDB" w:rsidRPr="003714F5">
        <w:rPr>
          <w:szCs w:val="22"/>
        </w:rPr>
        <w:t>“aprendizaje”</w:t>
      </w:r>
      <w:r w:rsidR="00A262EF" w:rsidRPr="003714F5">
        <w:rPr>
          <w:szCs w:val="22"/>
        </w:rPr>
        <w:t xml:space="preserve">, y reforzar los </w:t>
      </w:r>
      <w:r w:rsidR="00E86357">
        <w:rPr>
          <w:szCs w:val="22"/>
        </w:rPr>
        <w:t>indicadores para medir el nivel </w:t>
      </w:r>
      <w:r w:rsidR="00A262EF" w:rsidRPr="003714F5">
        <w:rPr>
          <w:szCs w:val="22"/>
        </w:rPr>
        <w:t>3, “comportamiento”, del modelo</w:t>
      </w:r>
      <w:r w:rsidRPr="003714F5">
        <w:rPr>
          <w:szCs w:val="22"/>
        </w:rPr>
        <w:t xml:space="preserve"> Kirkpatrick</w:t>
      </w:r>
      <w:r w:rsidR="00A262EF" w:rsidRPr="003714F5">
        <w:rPr>
          <w:szCs w:val="22"/>
        </w:rPr>
        <w:t xml:space="preserve">; </w:t>
      </w:r>
      <w:r w:rsidRPr="003714F5">
        <w:rPr>
          <w:szCs w:val="22"/>
        </w:rPr>
        <w:t xml:space="preserve">iii) </w:t>
      </w:r>
      <w:r w:rsidR="00A262EF" w:rsidRPr="003714F5">
        <w:rPr>
          <w:szCs w:val="22"/>
        </w:rPr>
        <w:t xml:space="preserve">reforzar y armonizar la formulación de los indicadores de rendimiento, las referencias </w:t>
      </w:r>
      <w:r w:rsidR="00FA6558" w:rsidRPr="003714F5">
        <w:rPr>
          <w:szCs w:val="22"/>
        </w:rPr>
        <w:t xml:space="preserve">de base </w:t>
      </w:r>
      <w:r w:rsidR="00A262EF" w:rsidRPr="003714F5">
        <w:rPr>
          <w:szCs w:val="22"/>
        </w:rPr>
        <w:t xml:space="preserve">y los objetivos en toda la Organización; </w:t>
      </w:r>
      <w:r w:rsidRPr="003714F5">
        <w:rPr>
          <w:szCs w:val="22"/>
        </w:rPr>
        <w:t xml:space="preserve">iv) </w:t>
      </w:r>
      <w:r w:rsidR="00A262EF" w:rsidRPr="003714F5">
        <w:rPr>
          <w:szCs w:val="22"/>
        </w:rPr>
        <w:t xml:space="preserve">desarrollar mecanismos de </w:t>
      </w:r>
      <w:r w:rsidR="00FA6558" w:rsidRPr="003714F5">
        <w:rPr>
          <w:szCs w:val="22"/>
        </w:rPr>
        <w:t xml:space="preserve">reunión </w:t>
      </w:r>
      <w:r w:rsidR="00A262EF" w:rsidRPr="003714F5">
        <w:rPr>
          <w:szCs w:val="22"/>
        </w:rPr>
        <w:t xml:space="preserve">de datos </w:t>
      </w:r>
      <w:r w:rsidR="00FA6558" w:rsidRPr="003714F5">
        <w:rPr>
          <w:szCs w:val="22"/>
        </w:rPr>
        <w:t>más sistemáticos y armonizados</w:t>
      </w:r>
      <w:r w:rsidRPr="003714F5">
        <w:rPr>
          <w:szCs w:val="22"/>
        </w:rPr>
        <w:t>;</w:t>
      </w:r>
      <w:r w:rsidR="00E86357">
        <w:rPr>
          <w:szCs w:val="22"/>
        </w:rPr>
        <w:t xml:space="preserve"> </w:t>
      </w:r>
      <w:r w:rsidR="007F591D" w:rsidRPr="003714F5">
        <w:rPr>
          <w:szCs w:val="22"/>
        </w:rPr>
        <w:t>y v) promover l</w:t>
      </w:r>
      <w:r w:rsidR="00FA6558" w:rsidRPr="003714F5">
        <w:rPr>
          <w:szCs w:val="22"/>
        </w:rPr>
        <w:t>a mejora de la colaboración intersectorial y el intercambio de conocimientos</w:t>
      </w:r>
      <w:r w:rsidRPr="003714F5">
        <w:rPr>
          <w:szCs w:val="22"/>
        </w:rPr>
        <w:t xml:space="preserve">. </w:t>
      </w:r>
      <w:r w:rsidR="00FA6558" w:rsidRPr="003714F5">
        <w:rPr>
          <w:szCs w:val="22"/>
        </w:rPr>
        <w:t>En el cuadro que figura a continuación se presentan ejemplos de indicadores de rendimiento del marco de resultados de la OMPI para 2018/2019</w:t>
      </w:r>
      <w:r w:rsidRPr="003714F5">
        <w:rPr>
          <w:szCs w:val="22"/>
        </w:rPr>
        <w:t>,</w:t>
      </w:r>
      <w:r w:rsidR="00FA6558" w:rsidRPr="003714F5">
        <w:rPr>
          <w:szCs w:val="22"/>
        </w:rPr>
        <w:t xml:space="preserve"> que forma parte del proyecto pil</w:t>
      </w:r>
      <w:r w:rsidR="007F591D" w:rsidRPr="003714F5">
        <w:rPr>
          <w:szCs w:val="22"/>
        </w:rPr>
        <w:t>o</w:t>
      </w:r>
      <w:r w:rsidR="00FA6558" w:rsidRPr="003714F5">
        <w:rPr>
          <w:szCs w:val="22"/>
        </w:rPr>
        <w:t>to</w:t>
      </w:r>
      <w:r w:rsidRPr="003714F5">
        <w:rPr>
          <w:szCs w:val="22"/>
        </w:rPr>
        <w:t>.</w:t>
      </w:r>
    </w:p>
    <w:p w14:paraId="27CE12E6" w14:textId="00D30D07" w:rsidR="00104020" w:rsidRPr="003714F5" w:rsidRDefault="00104020" w:rsidP="00104020">
      <w:pPr>
        <w:rPr>
          <w:szCs w:val="22"/>
        </w:rPr>
      </w:pPr>
    </w:p>
    <w:p w14:paraId="3BA78203" w14:textId="243376F9" w:rsidR="00BF7142" w:rsidRPr="003714F5" w:rsidRDefault="00BF7142">
      <w:pPr>
        <w:rPr>
          <w:szCs w:val="22"/>
        </w:rPr>
      </w:pPr>
      <w:r w:rsidRPr="003714F5">
        <w:rPr>
          <w:szCs w:val="22"/>
        </w:rPr>
        <w:br w:type="page"/>
      </w:r>
    </w:p>
    <w:p w14:paraId="6567F124" w14:textId="77777777" w:rsidR="00BF7142" w:rsidRPr="003714F5" w:rsidRDefault="00BF7142" w:rsidP="00104020">
      <w:pPr>
        <w:rPr>
          <w:szCs w:val="22"/>
        </w:rPr>
      </w:pPr>
    </w:p>
    <w:tbl>
      <w:tblPr>
        <w:tblStyle w:val="TableGrid"/>
        <w:tblW w:w="5193" w:type="pct"/>
        <w:jc w:val="center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80" w:firstRow="0" w:lastRow="0" w:firstColumn="1" w:lastColumn="0" w:noHBand="0" w:noVBand="1"/>
      </w:tblPr>
      <w:tblGrid>
        <w:gridCol w:w="4266"/>
        <w:gridCol w:w="1225"/>
        <w:gridCol w:w="1296"/>
        <w:gridCol w:w="1728"/>
        <w:gridCol w:w="1425"/>
      </w:tblGrid>
      <w:tr w:rsidR="00104020" w:rsidRPr="003714F5" w14:paraId="4F2CD41E" w14:textId="77777777" w:rsidTr="004661B6">
        <w:trPr>
          <w:cantSplit/>
          <w:trHeight w:val="626"/>
          <w:jc w:val="center"/>
        </w:trPr>
        <w:tc>
          <w:tcPr>
            <w:tcW w:w="5000" w:type="pct"/>
            <w:gridSpan w:val="5"/>
            <w:shd w:val="clear" w:color="auto" w:fill="365F91" w:themeFill="accent1" w:themeFillShade="BF"/>
            <w:vAlign w:val="center"/>
          </w:tcPr>
          <w:p w14:paraId="27B7BF26" w14:textId="15B93E59" w:rsidR="00104020" w:rsidRPr="003714F5" w:rsidRDefault="00FA6558" w:rsidP="007F591D">
            <w:pPr>
              <w:spacing w:before="240" w:after="240"/>
              <w:jc w:val="center"/>
              <w:rPr>
                <w:rFonts w:ascii="Arial Narrow" w:eastAsia="Times New Roman" w:hAnsi="Arial Narrow"/>
                <w:b/>
                <w:color w:val="FFFFFF" w:themeColor="background1"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b/>
                <w:color w:val="FFFFFF" w:themeColor="background1"/>
                <w:sz w:val="18"/>
                <w:szCs w:val="18"/>
                <w:lang w:eastAsia="en-US"/>
              </w:rPr>
              <w:t xml:space="preserve">Marco de resultados para </w:t>
            </w:r>
            <w:r w:rsidR="00104020" w:rsidRPr="003714F5">
              <w:rPr>
                <w:rFonts w:ascii="Arial Narrow" w:eastAsia="Times New Roman" w:hAnsi="Arial Narrow"/>
                <w:b/>
                <w:color w:val="FFFFFF" w:themeColor="background1"/>
                <w:sz w:val="18"/>
                <w:szCs w:val="18"/>
                <w:lang w:eastAsia="en-US"/>
              </w:rPr>
              <w:t xml:space="preserve">2018/19: </w:t>
            </w:r>
            <w:r w:rsidRPr="003714F5">
              <w:rPr>
                <w:rFonts w:ascii="Arial Narrow" w:eastAsia="Times New Roman" w:hAnsi="Arial Narrow"/>
                <w:b/>
                <w:color w:val="FFFFFF" w:themeColor="background1"/>
                <w:sz w:val="18"/>
                <w:szCs w:val="18"/>
                <w:lang w:eastAsia="en-US"/>
              </w:rPr>
              <w:t xml:space="preserve">Indicadores de rendimiento en relación con el fortalecimiento de capacidades – </w:t>
            </w:r>
            <w:r w:rsidR="007F591D" w:rsidRPr="003714F5">
              <w:rPr>
                <w:rFonts w:ascii="Arial Narrow" w:eastAsia="Times New Roman" w:hAnsi="Arial Narrow"/>
                <w:b/>
                <w:color w:val="FFFFFF" w:themeColor="background1"/>
                <w:sz w:val="18"/>
                <w:szCs w:val="18"/>
                <w:lang w:eastAsia="en-US"/>
              </w:rPr>
              <w:t>P</w:t>
            </w:r>
            <w:r w:rsidRPr="003714F5">
              <w:rPr>
                <w:rFonts w:ascii="Arial Narrow" w:eastAsia="Times New Roman" w:hAnsi="Arial Narrow"/>
                <w:b/>
                <w:color w:val="FFFFFF" w:themeColor="background1"/>
                <w:sz w:val="18"/>
                <w:szCs w:val="18"/>
                <w:lang w:eastAsia="en-US"/>
              </w:rPr>
              <w:t>royecto piloto</w:t>
            </w:r>
            <w:r w:rsidR="00104020" w:rsidRPr="003714F5">
              <w:rPr>
                <w:rFonts w:ascii="Arial Narrow" w:eastAsia="Times New Roman" w:hAnsi="Arial Narrow"/>
                <w:b/>
                <w:color w:val="FFFFFF" w:themeColor="background1"/>
                <w:sz w:val="18"/>
                <w:szCs w:val="18"/>
                <w:lang w:eastAsia="en-US"/>
              </w:rPr>
              <w:t xml:space="preserve"> (e</w:t>
            </w:r>
            <w:r w:rsidRPr="003714F5">
              <w:rPr>
                <w:rFonts w:ascii="Arial Narrow" w:eastAsia="Times New Roman" w:hAnsi="Arial Narrow"/>
                <w:b/>
                <w:color w:val="FFFFFF" w:themeColor="background1"/>
                <w:sz w:val="18"/>
                <w:szCs w:val="18"/>
                <w:lang w:eastAsia="en-US"/>
              </w:rPr>
              <w:t>jemplo</w:t>
            </w:r>
            <w:r w:rsidR="00104020" w:rsidRPr="003714F5">
              <w:rPr>
                <w:rFonts w:ascii="Arial Narrow" w:eastAsia="Times New Roman" w:hAnsi="Arial Narrow"/>
                <w:b/>
                <w:color w:val="FFFFFF" w:themeColor="background1"/>
                <w:sz w:val="18"/>
                <w:szCs w:val="18"/>
                <w:lang w:eastAsia="en-US"/>
              </w:rPr>
              <w:t>s)</w:t>
            </w:r>
          </w:p>
        </w:tc>
      </w:tr>
      <w:tr w:rsidR="00104020" w:rsidRPr="003714F5" w14:paraId="75085020" w14:textId="77777777" w:rsidTr="004661B6">
        <w:trPr>
          <w:cantSplit/>
          <w:trHeight w:val="626"/>
          <w:jc w:val="center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14:paraId="05D26F66" w14:textId="20515A12" w:rsidR="00104020" w:rsidRPr="003714F5" w:rsidRDefault="00FA6558" w:rsidP="00FA6558">
            <w:pPr>
              <w:spacing w:before="240" w:after="240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  <w:t>Actividades de promoción y sensibilización</w:t>
            </w:r>
          </w:p>
        </w:tc>
      </w:tr>
      <w:tr w:rsidR="00104020" w:rsidRPr="003714F5" w14:paraId="71D0FC7F" w14:textId="77777777" w:rsidTr="00BF7142">
        <w:trPr>
          <w:cantSplit/>
          <w:jc w:val="center"/>
        </w:trPr>
        <w:tc>
          <w:tcPr>
            <w:tcW w:w="2146" w:type="pct"/>
          </w:tcPr>
          <w:p w14:paraId="5AF6E50B" w14:textId="6B70F42C" w:rsidR="00104020" w:rsidRPr="003714F5" w:rsidRDefault="00FA6558" w:rsidP="004661B6">
            <w:pPr>
              <w:spacing w:before="240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  <w:t>Indicador de rendimiento</w:t>
            </w:r>
          </w:p>
        </w:tc>
        <w:tc>
          <w:tcPr>
            <w:tcW w:w="616" w:type="pct"/>
          </w:tcPr>
          <w:p w14:paraId="4CBDB5EE" w14:textId="17802FEB" w:rsidR="00104020" w:rsidRPr="003714F5" w:rsidRDefault="00FA6558" w:rsidP="004661B6">
            <w:pPr>
              <w:spacing w:before="240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  <w:t>Referencia de base</w:t>
            </w:r>
          </w:p>
        </w:tc>
        <w:tc>
          <w:tcPr>
            <w:tcW w:w="652" w:type="pct"/>
          </w:tcPr>
          <w:p w14:paraId="24F94A9F" w14:textId="35CDE7B7" w:rsidR="00104020" w:rsidRPr="003714F5" w:rsidRDefault="00FA6558" w:rsidP="004661B6">
            <w:pPr>
              <w:spacing w:before="240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  <w:t>Objetivo</w:t>
            </w:r>
          </w:p>
        </w:tc>
        <w:tc>
          <w:tcPr>
            <w:tcW w:w="869" w:type="pct"/>
          </w:tcPr>
          <w:p w14:paraId="0AB08377" w14:textId="58F868A1" w:rsidR="00104020" w:rsidRPr="003714F5" w:rsidRDefault="00FA6558" w:rsidP="004661B6">
            <w:pPr>
              <w:spacing w:before="240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  <w:t>Mecanismo de reunión de datos</w:t>
            </w:r>
          </w:p>
        </w:tc>
        <w:tc>
          <w:tcPr>
            <w:tcW w:w="717" w:type="pct"/>
          </w:tcPr>
          <w:p w14:paraId="30B02D92" w14:textId="4F850D6C" w:rsidR="00104020" w:rsidRPr="003714F5" w:rsidRDefault="00FA6558" w:rsidP="00FA6558">
            <w:pPr>
              <w:spacing w:before="240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  <w:t xml:space="preserve">Nivel </w:t>
            </w:r>
            <w:r w:rsidR="00104020" w:rsidRPr="003714F5"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  <w:t xml:space="preserve">Kirkpatrick </w:t>
            </w:r>
          </w:p>
        </w:tc>
      </w:tr>
      <w:tr w:rsidR="00104020" w:rsidRPr="003714F5" w14:paraId="4B0EBAE8" w14:textId="77777777" w:rsidTr="00BF7142">
        <w:trPr>
          <w:cantSplit/>
          <w:jc w:val="center"/>
        </w:trPr>
        <w:tc>
          <w:tcPr>
            <w:tcW w:w="2146" w:type="pct"/>
          </w:tcPr>
          <w:p w14:paraId="62B837CC" w14:textId="782738AA" w:rsidR="00104020" w:rsidRPr="003714F5" w:rsidRDefault="00FA6558" w:rsidP="007F591D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N.º y % de participantes que han formulado comentarios positivos acerca de las actividades generales de sensibilización y </w:t>
            </w:r>
            <w:r w:rsidR="007F591D"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de promoción</w:t>
            </w: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 </w:t>
            </w:r>
            <w:r w:rsidR="007F591D"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en materia de</w:t>
            </w: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 marcas, dibujos y modelos industriales e indicaciones geográficas </w:t>
            </w:r>
            <w:r w:rsidR="00104020"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(Program</w:t>
            </w: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a</w:t>
            </w:r>
            <w:r w:rsidR="00340402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 </w:t>
            </w:r>
            <w:r w:rsidR="00385166"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2)</w:t>
            </w:r>
          </w:p>
        </w:tc>
        <w:tc>
          <w:tcPr>
            <w:tcW w:w="616" w:type="pct"/>
          </w:tcPr>
          <w:p w14:paraId="5041678C" w14:textId="79FF3D61" w:rsidR="00104020" w:rsidRPr="003714F5" w:rsidRDefault="00385166" w:rsidP="004661B6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Por determinar</w:t>
            </w:r>
          </w:p>
        </w:tc>
        <w:tc>
          <w:tcPr>
            <w:tcW w:w="652" w:type="pct"/>
          </w:tcPr>
          <w:p w14:paraId="782E48E9" w14:textId="1C383B00" w:rsidR="00104020" w:rsidRPr="003714F5" w:rsidRDefault="00385166" w:rsidP="004661B6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80% de los encuestados transmitió una opinión positiva</w:t>
            </w:r>
          </w:p>
        </w:tc>
        <w:tc>
          <w:tcPr>
            <w:tcW w:w="869" w:type="pct"/>
          </w:tcPr>
          <w:p w14:paraId="22B017CB" w14:textId="476C140D" w:rsidR="00104020" w:rsidRPr="003714F5" w:rsidRDefault="00385166" w:rsidP="004661B6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Cuestionario</w:t>
            </w:r>
          </w:p>
        </w:tc>
        <w:tc>
          <w:tcPr>
            <w:tcW w:w="717" w:type="pct"/>
          </w:tcPr>
          <w:p w14:paraId="588D980B" w14:textId="45A25051" w:rsidR="00104020" w:rsidRPr="003714F5" w:rsidRDefault="00104020" w:rsidP="00385166">
            <w:pPr>
              <w:spacing w:before="60"/>
              <w:jc w:val="center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Rea</w:t>
            </w:r>
            <w:r w:rsidR="00385166"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cción</w:t>
            </w:r>
          </w:p>
        </w:tc>
      </w:tr>
      <w:tr w:rsidR="00104020" w:rsidRPr="003714F5" w14:paraId="3621A27A" w14:textId="77777777" w:rsidTr="00BF7142">
        <w:trPr>
          <w:cantSplit/>
          <w:jc w:val="center"/>
        </w:trPr>
        <w:tc>
          <w:tcPr>
            <w:tcW w:w="2146" w:type="pct"/>
          </w:tcPr>
          <w:p w14:paraId="0F25391D" w14:textId="503A0A7B" w:rsidR="00104020" w:rsidRPr="003714F5" w:rsidRDefault="00385166" w:rsidP="004661B6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Grado de satisfacción de los participantes con respecto a las actividades generales de sensibilización y de promoción en materia de RR.GG., CC.TT. y ECT </w:t>
            </w:r>
            <w:r w:rsidR="00104020"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(Program</w:t>
            </w: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a</w:t>
            </w:r>
            <w:r w:rsidR="00104020"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 4)</w:t>
            </w:r>
          </w:p>
        </w:tc>
        <w:tc>
          <w:tcPr>
            <w:tcW w:w="616" w:type="pct"/>
          </w:tcPr>
          <w:p w14:paraId="220CD76B" w14:textId="3FFFAC6A" w:rsidR="00104020" w:rsidRPr="003714F5" w:rsidRDefault="00385166" w:rsidP="004661B6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n.d.</w:t>
            </w:r>
          </w:p>
        </w:tc>
        <w:tc>
          <w:tcPr>
            <w:tcW w:w="652" w:type="pct"/>
          </w:tcPr>
          <w:p w14:paraId="61B0DB17" w14:textId="77777777" w:rsidR="00104020" w:rsidRPr="003714F5" w:rsidRDefault="00104020" w:rsidP="004661B6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80% </w:t>
            </w:r>
          </w:p>
        </w:tc>
        <w:tc>
          <w:tcPr>
            <w:tcW w:w="869" w:type="pct"/>
          </w:tcPr>
          <w:p w14:paraId="58D1FC89" w14:textId="5D82B59D" w:rsidR="00104020" w:rsidRPr="003714F5" w:rsidRDefault="00385166" w:rsidP="004661B6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Cuestionario</w:t>
            </w:r>
          </w:p>
        </w:tc>
        <w:tc>
          <w:tcPr>
            <w:tcW w:w="717" w:type="pct"/>
          </w:tcPr>
          <w:p w14:paraId="0AD2054A" w14:textId="35433E26" w:rsidR="00104020" w:rsidRPr="003714F5" w:rsidRDefault="00385166" w:rsidP="004661B6">
            <w:pPr>
              <w:spacing w:before="60"/>
              <w:jc w:val="center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Reacción</w:t>
            </w:r>
          </w:p>
        </w:tc>
      </w:tr>
      <w:tr w:rsidR="00385166" w:rsidRPr="003714F5" w14:paraId="47AFBFB9" w14:textId="77777777" w:rsidTr="004661B6">
        <w:trPr>
          <w:cantSplit/>
          <w:jc w:val="center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14:paraId="4362FDCF" w14:textId="38B650E0" w:rsidR="00385166" w:rsidRPr="003714F5" w:rsidRDefault="00853A8A" w:rsidP="00853A8A">
            <w:pPr>
              <w:spacing w:before="240" w:after="240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  <w:t>Actividades didácticas</w:t>
            </w:r>
          </w:p>
        </w:tc>
      </w:tr>
      <w:tr w:rsidR="009770D9" w:rsidRPr="003714F5" w14:paraId="05B86028" w14:textId="77777777" w:rsidTr="00BF7142">
        <w:trPr>
          <w:cantSplit/>
          <w:jc w:val="center"/>
        </w:trPr>
        <w:tc>
          <w:tcPr>
            <w:tcW w:w="2146" w:type="pct"/>
          </w:tcPr>
          <w:p w14:paraId="3C5AE7A9" w14:textId="43F0150D" w:rsidR="009770D9" w:rsidRPr="003714F5" w:rsidRDefault="009770D9" w:rsidP="009770D9">
            <w:pPr>
              <w:spacing w:before="240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  <w:t>Indicador de rendimiento</w:t>
            </w:r>
          </w:p>
        </w:tc>
        <w:tc>
          <w:tcPr>
            <w:tcW w:w="616" w:type="pct"/>
          </w:tcPr>
          <w:p w14:paraId="067614DE" w14:textId="0F3C9343" w:rsidR="009770D9" w:rsidRPr="003714F5" w:rsidRDefault="009770D9" w:rsidP="009770D9">
            <w:pPr>
              <w:spacing w:before="240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  <w:t>Referencia de base</w:t>
            </w:r>
          </w:p>
        </w:tc>
        <w:tc>
          <w:tcPr>
            <w:tcW w:w="652" w:type="pct"/>
          </w:tcPr>
          <w:p w14:paraId="7B0B2D49" w14:textId="2D17C8AC" w:rsidR="009770D9" w:rsidRPr="003714F5" w:rsidRDefault="009770D9" w:rsidP="009770D9">
            <w:pPr>
              <w:spacing w:before="240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  <w:t>Objetivo</w:t>
            </w:r>
          </w:p>
        </w:tc>
        <w:tc>
          <w:tcPr>
            <w:tcW w:w="869" w:type="pct"/>
          </w:tcPr>
          <w:p w14:paraId="76D542E6" w14:textId="5D6CE0EA" w:rsidR="009770D9" w:rsidRPr="003714F5" w:rsidRDefault="009770D9" w:rsidP="009770D9">
            <w:pPr>
              <w:spacing w:before="240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  <w:t>Mecanismo de reunión de datos</w:t>
            </w:r>
          </w:p>
        </w:tc>
        <w:tc>
          <w:tcPr>
            <w:tcW w:w="717" w:type="pct"/>
          </w:tcPr>
          <w:p w14:paraId="6E747BA5" w14:textId="01E4C08E" w:rsidR="009770D9" w:rsidRPr="003714F5" w:rsidRDefault="009770D9" w:rsidP="009770D9">
            <w:pPr>
              <w:spacing w:before="240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  <w:t>Nivel Kirkpatrick</w:t>
            </w:r>
          </w:p>
        </w:tc>
      </w:tr>
      <w:tr w:rsidR="00104020" w:rsidRPr="003714F5" w14:paraId="316EF71F" w14:textId="77777777" w:rsidTr="00BF7142">
        <w:trPr>
          <w:cantSplit/>
          <w:jc w:val="center"/>
        </w:trPr>
        <w:tc>
          <w:tcPr>
            <w:tcW w:w="2146" w:type="pct"/>
          </w:tcPr>
          <w:p w14:paraId="0D4D91B6" w14:textId="56D14AD6" w:rsidR="00104020" w:rsidRPr="003714F5" w:rsidRDefault="009770D9" w:rsidP="004661B6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Índice de estudiantes que aprueban los exámenes en los cursos de enseñanza a distancia de nivel avanzado </w:t>
            </w:r>
            <w:r w:rsidR="00104020"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(Program</w:t>
            </w: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a</w:t>
            </w:r>
            <w:r w:rsidR="00104020"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 11)</w:t>
            </w:r>
          </w:p>
        </w:tc>
        <w:tc>
          <w:tcPr>
            <w:tcW w:w="616" w:type="pct"/>
          </w:tcPr>
          <w:p w14:paraId="73DBA8EA" w14:textId="77777777" w:rsidR="00104020" w:rsidRPr="003714F5" w:rsidRDefault="00104020" w:rsidP="004661B6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69% (2014/15)</w:t>
            </w:r>
          </w:p>
        </w:tc>
        <w:tc>
          <w:tcPr>
            <w:tcW w:w="652" w:type="pct"/>
          </w:tcPr>
          <w:p w14:paraId="4CEC02E2" w14:textId="77777777" w:rsidR="00104020" w:rsidRPr="003714F5" w:rsidRDefault="00104020" w:rsidP="004661B6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70%</w:t>
            </w:r>
          </w:p>
        </w:tc>
        <w:tc>
          <w:tcPr>
            <w:tcW w:w="869" w:type="pct"/>
          </w:tcPr>
          <w:p w14:paraId="153764E8" w14:textId="59F36C2B" w:rsidR="00104020" w:rsidRPr="003714F5" w:rsidRDefault="00104020" w:rsidP="009770D9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Ex</w:t>
            </w:r>
            <w:r w:rsidR="009770D9"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ámenes</w:t>
            </w:r>
          </w:p>
        </w:tc>
        <w:tc>
          <w:tcPr>
            <w:tcW w:w="717" w:type="pct"/>
          </w:tcPr>
          <w:p w14:paraId="0926D2BB" w14:textId="21269A17" w:rsidR="00104020" w:rsidRPr="003714F5" w:rsidRDefault="009770D9" w:rsidP="004661B6">
            <w:pPr>
              <w:spacing w:before="60"/>
              <w:jc w:val="center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Aprendizaje</w:t>
            </w:r>
          </w:p>
        </w:tc>
      </w:tr>
      <w:tr w:rsidR="00104020" w:rsidRPr="003714F5" w14:paraId="0EBDE940" w14:textId="77777777" w:rsidTr="004661B6">
        <w:trPr>
          <w:cantSplit/>
          <w:trHeight w:val="608"/>
          <w:jc w:val="center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14:paraId="090B3A08" w14:textId="414D8096" w:rsidR="00104020" w:rsidRPr="003714F5" w:rsidRDefault="009770D9" w:rsidP="009770D9">
            <w:pPr>
              <w:spacing w:before="240" w:after="240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  <w:t>Actividades de formación y fortalecimiento de capacidades</w:t>
            </w:r>
          </w:p>
        </w:tc>
      </w:tr>
      <w:tr w:rsidR="009770D9" w:rsidRPr="003714F5" w14:paraId="7ABA4A9D" w14:textId="77777777" w:rsidTr="00BF7142">
        <w:trPr>
          <w:cantSplit/>
          <w:trHeight w:val="644"/>
          <w:jc w:val="center"/>
        </w:trPr>
        <w:tc>
          <w:tcPr>
            <w:tcW w:w="2146" w:type="pct"/>
          </w:tcPr>
          <w:p w14:paraId="26A9F366" w14:textId="58C681A3" w:rsidR="009770D9" w:rsidRPr="003714F5" w:rsidRDefault="009770D9" w:rsidP="009770D9">
            <w:pPr>
              <w:spacing w:before="240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  <w:t>Indicador de rendimiento</w:t>
            </w:r>
          </w:p>
        </w:tc>
        <w:tc>
          <w:tcPr>
            <w:tcW w:w="616" w:type="pct"/>
          </w:tcPr>
          <w:p w14:paraId="60EB5DE7" w14:textId="7FAC4538" w:rsidR="009770D9" w:rsidRPr="003714F5" w:rsidRDefault="009770D9" w:rsidP="009770D9">
            <w:pPr>
              <w:spacing w:before="240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  <w:t>Referencia de base</w:t>
            </w:r>
          </w:p>
        </w:tc>
        <w:tc>
          <w:tcPr>
            <w:tcW w:w="652" w:type="pct"/>
          </w:tcPr>
          <w:p w14:paraId="407E5C8E" w14:textId="090335D0" w:rsidR="009770D9" w:rsidRPr="003714F5" w:rsidRDefault="009770D9" w:rsidP="009770D9">
            <w:pPr>
              <w:spacing w:before="240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  <w:t>Objetivo</w:t>
            </w:r>
          </w:p>
        </w:tc>
        <w:tc>
          <w:tcPr>
            <w:tcW w:w="869" w:type="pct"/>
          </w:tcPr>
          <w:p w14:paraId="4AB1942B" w14:textId="7C10F688" w:rsidR="009770D9" w:rsidRPr="003714F5" w:rsidRDefault="009770D9" w:rsidP="009770D9">
            <w:pPr>
              <w:spacing w:before="240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  <w:t>Mecanismo de reunión de datos</w:t>
            </w:r>
          </w:p>
        </w:tc>
        <w:tc>
          <w:tcPr>
            <w:tcW w:w="717" w:type="pct"/>
          </w:tcPr>
          <w:p w14:paraId="198E14A2" w14:textId="622C85C4" w:rsidR="009770D9" w:rsidRPr="003714F5" w:rsidRDefault="009770D9" w:rsidP="009770D9">
            <w:pPr>
              <w:spacing w:before="240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  <w:t>Nivel Kirkpatrick</w:t>
            </w:r>
          </w:p>
        </w:tc>
      </w:tr>
      <w:tr w:rsidR="00104020" w:rsidRPr="003714F5" w14:paraId="2FE323E8" w14:textId="77777777" w:rsidTr="00BF7142">
        <w:trPr>
          <w:cantSplit/>
          <w:jc w:val="center"/>
        </w:trPr>
        <w:tc>
          <w:tcPr>
            <w:tcW w:w="2146" w:type="pct"/>
          </w:tcPr>
          <w:p w14:paraId="57CD58FA" w14:textId="0B2E6423" w:rsidR="00104020" w:rsidRPr="003714F5" w:rsidRDefault="009770D9" w:rsidP="004661B6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Grado de satisfacción de los participantes en las actividades de formación y fortalecimiento de capacidad en materia de patentes de la OMPI </w:t>
            </w:r>
            <w:r w:rsidR="00104020"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(Program</w:t>
            </w: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a</w:t>
            </w:r>
            <w:r w:rsidR="00104020"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 1)</w:t>
            </w:r>
          </w:p>
          <w:p w14:paraId="7BDB570B" w14:textId="77777777" w:rsidR="00104020" w:rsidRPr="003714F5" w:rsidRDefault="00104020" w:rsidP="004661B6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</w:p>
        </w:tc>
        <w:tc>
          <w:tcPr>
            <w:tcW w:w="616" w:type="pct"/>
          </w:tcPr>
          <w:p w14:paraId="28A7343D" w14:textId="7E68C87D" w:rsidR="00104020" w:rsidRPr="003714F5" w:rsidRDefault="009770D9" w:rsidP="00E86AD1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Por determinar a fin</w:t>
            </w:r>
            <w:r w:rsidR="00E86AD1"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es</w:t>
            </w: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 de</w:t>
            </w:r>
            <w:r w:rsidR="00104020"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 2017</w:t>
            </w:r>
          </w:p>
        </w:tc>
        <w:tc>
          <w:tcPr>
            <w:tcW w:w="652" w:type="pct"/>
          </w:tcPr>
          <w:p w14:paraId="318BC9B9" w14:textId="77777777" w:rsidR="00104020" w:rsidRPr="003714F5" w:rsidRDefault="00104020" w:rsidP="004661B6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color w:val="000000"/>
                <w:sz w:val="18"/>
                <w:szCs w:val="18"/>
                <w:lang w:eastAsia="en-US"/>
              </w:rPr>
              <w:t xml:space="preserve">90% </w:t>
            </w:r>
          </w:p>
        </w:tc>
        <w:tc>
          <w:tcPr>
            <w:tcW w:w="869" w:type="pct"/>
          </w:tcPr>
          <w:p w14:paraId="5AC69592" w14:textId="2E7F374D" w:rsidR="00104020" w:rsidRPr="003714F5" w:rsidRDefault="009770D9" w:rsidP="004661B6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Cuestionario</w:t>
            </w:r>
          </w:p>
        </w:tc>
        <w:tc>
          <w:tcPr>
            <w:tcW w:w="717" w:type="pct"/>
          </w:tcPr>
          <w:p w14:paraId="0F64FA4D" w14:textId="4A62E054" w:rsidR="00104020" w:rsidRPr="003714F5" w:rsidRDefault="00104020" w:rsidP="009770D9">
            <w:pPr>
              <w:spacing w:before="240"/>
              <w:jc w:val="center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Reac</w:t>
            </w:r>
            <w:r w:rsidR="009770D9"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ción</w:t>
            </w: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104020" w:rsidRPr="003714F5" w14:paraId="6E8D69EC" w14:textId="77777777" w:rsidTr="00BF7142">
        <w:trPr>
          <w:cantSplit/>
          <w:jc w:val="center"/>
        </w:trPr>
        <w:tc>
          <w:tcPr>
            <w:tcW w:w="2146" w:type="pct"/>
          </w:tcPr>
          <w:p w14:paraId="37E53D25" w14:textId="452FD48E" w:rsidR="00104020" w:rsidRPr="003714F5" w:rsidRDefault="009770D9" w:rsidP="009770D9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Grado de satisfacción de los participantes en las actividades de formación y de fortalecimiento de capacidades </w:t>
            </w:r>
            <w:r w:rsidR="00853A8A"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de la OMPI </w:t>
            </w:r>
            <w:r w:rsidR="00104020"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(Program</w:t>
            </w: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a</w:t>
            </w:r>
            <w:r w:rsidR="00104020"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 17)</w:t>
            </w:r>
          </w:p>
        </w:tc>
        <w:tc>
          <w:tcPr>
            <w:tcW w:w="616" w:type="pct"/>
          </w:tcPr>
          <w:p w14:paraId="70678151" w14:textId="61F4231F" w:rsidR="00104020" w:rsidRPr="003714F5" w:rsidRDefault="00104020" w:rsidP="004661B6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U</w:t>
            </w:r>
            <w:r w:rsidR="009770D9"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tilidad</w:t>
            </w: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: 92%</w:t>
            </w:r>
          </w:p>
          <w:p w14:paraId="4DD8E833" w14:textId="34B969A0" w:rsidR="00104020" w:rsidRPr="003714F5" w:rsidRDefault="00104020" w:rsidP="009770D9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Satisfac</w:t>
            </w:r>
            <w:r w:rsidR="009770D9"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ción</w:t>
            </w: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: 92%</w:t>
            </w:r>
          </w:p>
        </w:tc>
        <w:tc>
          <w:tcPr>
            <w:tcW w:w="652" w:type="pct"/>
          </w:tcPr>
          <w:p w14:paraId="1550DC66" w14:textId="381E31FF" w:rsidR="00104020" w:rsidRPr="003714F5" w:rsidRDefault="009770D9" w:rsidP="004661B6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Pertinencia</w:t>
            </w:r>
            <w:r w:rsidR="00104020"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: &gt; 85%</w:t>
            </w:r>
          </w:p>
          <w:p w14:paraId="5A23EFCC" w14:textId="5CCE73CF" w:rsidR="00104020" w:rsidRPr="003714F5" w:rsidRDefault="009770D9" w:rsidP="009770D9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Utilidad</w:t>
            </w:r>
            <w:r w:rsidR="00104020"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: &gt; 85%</w:t>
            </w:r>
          </w:p>
        </w:tc>
        <w:tc>
          <w:tcPr>
            <w:tcW w:w="869" w:type="pct"/>
          </w:tcPr>
          <w:p w14:paraId="2FB34E89" w14:textId="700C0665" w:rsidR="00104020" w:rsidRPr="003714F5" w:rsidRDefault="009770D9" w:rsidP="004661B6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Cuestionario</w:t>
            </w:r>
          </w:p>
        </w:tc>
        <w:tc>
          <w:tcPr>
            <w:tcW w:w="717" w:type="pct"/>
          </w:tcPr>
          <w:p w14:paraId="0CD8A70E" w14:textId="00DE44BD" w:rsidR="00104020" w:rsidRPr="003714F5" w:rsidRDefault="009770D9" w:rsidP="004661B6">
            <w:pPr>
              <w:spacing w:before="240"/>
              <w:jc w:val="center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Reacción</w:t>
            </w:r>
          </w:p>
        </w:tc>
      </w:tr>
      <w:tr w:rsidR="00104020" w:rsidRPr="003714F5" w14:paraId="7C91E61A" w14:textId="77777777" w:rsidTr="00BF7142">
        <w:trPr>
          <w:cantSplit/>
          <w:jc w:val="center"/>
        </w:trPr>
        <w:tc>
          <w:tcPr>
            <w:tcW w:w="2146" w:type="pct"/>
          </w:tcPr>
          <w:p w14:paraId="42257886" w14:textId="21D43C7C" w:rsidR="00104020" w:rsidRPr="003714F5" w:rsidRDefault="009770D9" w:rsidP="00E86AD1">
            <w:pPr>
              <w:spacing w:before="60"/>
              <w:rPr>
                <w:rFonts w:ascii="Arial Narrow" w:eastAsia="Times New Roman" w:hAnsi="Arial Narrow"/>
                <w:i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% de participantes en actividades de formación y fortalecimiento de capacidad en materia de patentes</w:t>
            </w:r>
            <w:r w:rsidR="00E86AD1"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 de la OMPI</w:t>
            </w: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 con un incremento comprobado de conocimientos </w:t>
            </w:r>
            <w:r w:rsidR="00104020"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(Program</w:t>
            </w:r>
            <w:r w:rsidR="00E86AD1"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a</w:t>
            </w:r>
            <w:r w:rsidR="00104020"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 1)</w:t>
            </w:r>
          </w:p>
        </w:tc>
        <w:tc>
          <w:tcPr>
            <w:tcW w:w="616" w:type="pct"/>
          </w:tcPr>
          <w:p w14:paraId="328D74D6" w14:textId="0833E847" w:rsidR="00104020" w:rsidRPr="003714F5" w:rsidRDefault="00E86AD1" w:rsidP="004661B6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Por determinar a fines de 2017</w:t>
            </w:r>
          </w:p>
        </w:tc>
        <w:tc>
          <w:tcPr>
            <w:tcW w:w="652" w:type="pct"/>
          </w:tcPr>
          <w:p w14:paraId="77C80C82" w14:textId="77777777" w:rsidR="00104020" w:rsidRPr="003714F5" w:rsidRDefault="00104020" w:rsidP="004661B6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90%</w:t>
            </w:r>
          </w:p>
          <w:p w14:paraId="5094BE1A" w14:textId="77777777" w:rsidR="00104020" w:rsidRPr="003714F5" w:rsidRDefault="00104020" w:rsidP="004661B6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</w:p>
        </w:tc>
        <w:tc>
          <w:tcPr>
            <w:tcW w:w="869" w:type="pct"/>
          </w:tcPr>
          <w:p w14:paraId="754DD46B" w14:textId="75D18F9C" w:rsidR="00104020" w:rsidRPr="003714F5" w:rsidRDefault="00E86AD1" w:rsidP="00E86AD1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Breve</w:t>
            </w:r>
            <w:r w:rsidR="00853A8A"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s</w:t>
            </w: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 cuestionario</w:t>
            </w:r>
            <w:r w:rsidR="00853A8A"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s</w:t>
            </w: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 de opción múltiple sobre la materia </w:t>
            </w:r>
            <w:r w:rsidR="00104020"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(</w:t>
            </w: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previo y posterior a la formación</w:t>
            </w:r>
            <w:r w:rsidR="00104020"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17" w:type="pct"/>
          </w:tcPr>
          <w:p w14:paraId="45DAF911" w14:textId="11473962" w:rsidR="00104020" w:rsidRPr="003714F5" w:rsidRDefault="00E86AD1" w:rsidP="004661B6">
            <w:pPr>
              <w:spacing w:before="240"/>
              <w:jc w:val="center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Aprendizaje</w:t>
            </w:r>
          </w:p>
        </w:tc>
      </w:tr>
      <w:tr w:rsidR="00104020" w:rsidRPr="003714F5" w14:paraId="3059DF2B" w14:textId="77777777" w:rsidTr="00BF7142">
        <w:trPr>
          <w:cantSplit/>
          <w:jc w:val="center"/>
        </w:trPr>
        <w:tc>
          <w:tcPr>
            <w:tcW w:w="2146" w:type="pct"/>
          </w:tcPr>
          <w:p w14:paraId="043566FD" w14:textId="14D7603C" w:rsidR="00104020" w:rsidRPr="003714F5" w:rsidRDefault="00E86AD1" w:rsidP="004661B6">
            <w:pPr>
              <w:spacing w:before="60"/>
              <w:rPr>
                <w:rFonts w:ascii="Arial Narrow" w:eastAsia="Times New Roman" w:hAnsi="Arial Narrow"/>
                <w:i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N.º y % de participantes en actividades de formación y fortalecimiento de capacidades que obtiene una puntuación del 60% o más en un breve cuestionario de opción múltiple sobre la materia </w:t>
            </w:r>
            <w:r w:rsidR="00104020"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(Program</w:t>
            </w: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a</w:t>
            </w:r>
            <w:r w:rsidR="00104020"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 9)</w:t>
            </w:r>
          </w:p>
        </w:tc>
        <w:tc>
          <w:tcPr>
            <w:tcW w:w="616" w:type="pct"/>
          </w:tcPr>
          <w:p w14:paraId="0FBCAEFC" w14:textId="695C75BB" w:rsidR="00104020" w:rsidRPr="003714F5" w:rsidRDefault="00E86AD1" w:rsidP="004661B6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n.d.</w:t>
            </w:r>
          </w:p>
        </w:tc>
        <w:tc>
          <w:tcPr>
            <w:tcW w:w="652" w:type="pct"/>
          </w:tcPr>
          <w:p w14:paraId="5491C06E" w14:textId="2CBB5371" w:rsidR="00104020" w:rsidRPr="003714F5" w:rsidRDefault="00104020" w:rsidP="004661B6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Asia </w:t>
            </w:r>
            <w:r w:rsidR="00E86AD1"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y el Pacífico </w:t>
            </w: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(80%)</w:t>
            </w:r>
          </w:p>
          <w:p w14:paraId="76900F5A" w14:textId="77777777" w:rsidR="00104020" w:rsidRPr="003714F5" w:rsidRDefault="00104020" w:rsidP="004661B6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</w:p>
        </w:tc>
        <w:tc>
          <w:tcPr>
            <w:tcW w:w="869" w:type="pct"/>
          </w:tcPr>
          <w:p w14:paraId="0FA9F645" w14:textId="5F7E0A5D" w:rsidR="00104020" w:rsidRPr="003714F5" w:rsidRDefault="00E86AD1" w:rsidP="004661B6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Breve</w:t>
            </w:r>
            <w:r w:rsidR="00853A8A"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s</w:t>
            </w: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 cuestionario</w:t>
            </w:r>
            <w:r w:rsidR="00853A8A"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s</w:t>
            </w: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 de opción múltiple sobre la materia (previo y posterior a la formación)</w:t>
            </w:r>
          </w:p>
        </w:tc>
        <w:tc>
          <w:tcPr>
            <w:tcW w:w="717" w:type="pct"/>
          </w:tcPr>
          <w:p w14:paraId="0659713D" w14:textId="547EC2ED" w:rsidR="00104020" w:rsidRPr="003714F5" w:rsidRDefault="00E86AD1" w:rsidP="004661B6">
            <w:pPr>
              <w:spacing w:before="240"/>
              <w:jc w:val="center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Aprendizaje</w:t>
            </w:r>
          </w:p>
        </w:tc>
      </w:tr>
      <w:tr w:rsidR="00104020" w:rsidRPr="003714F5" w14:paraId="086A1AA5" w14:textId="77777777" w:rsidTr="00BF7142">
        <w:trPr>
          <w:cantSplit/>
          <w:jc w:val="center"/>
        </w:trPr>
        <w:tc>
          <w:tcPr>
            <w:tcW w:w="2146" w:type="pct"/>
          </w:tcPr>
          <w:p w14:paraId="02D33C55" w14:textId="4CA6FC58" w:rsidR="00104020" w:rsidRPr="003714F5" w:rsidRDefault="00E86AD1" w:rsidP="004661B6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% de participantes en las actividades de formación y fortalecimiento de capacidades de la OMPI que trabajan en oficinas de gestión de tecnología de universidades o instituciones de investigación que aplican en su trabajo las competencias y los conocimientos adquiridos </w:t>
            </w:r>
            <w:r w:rsidR="00104020"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(Program</w:t>
            </w: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a</w:t>
            </w:r>
            <w:r w:rsidR="00104020"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 30)</w:t>
            </w:r>
          </w:p>
          <w:p w14:paraId="7CBE35D5" w14:textId="77777777" w:rsidR="00104020" w:rsidRPr="003714F5" w:rsidRDefault="00104020" w:rsidP="004661B6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</w:p>
        </w:tc>
        <w:tc>
          <w:tcPr>
            <w:tcW w:w="616" w:type="pct"/>
          </w:tcPr>
          <w:p w14:paraId="28242BFC" w14:textId="061F9228" w:rsidR="00104020" w:rsidRPr="003714F5" w:rsidRDefault="00E86AD1" w:rsidP="004661B6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n.d.</w:t>
            </w:r>
          </w:p>
        </w:tc>
        <w:tc>
          <w:tcPr>
            <w:tcW w:w="652" w:type="pct"/>
          </w:tcPr>
          <w:p w14:paraId="0EB839D7" w14:textId="77777777" w:rsidR="00104020" w:rsidRPr="003714F5" w:rsidRDefault="00104020" w:rsidP="004661B6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65%</w:t>
            </w:r>
          </w:p>
        </w:tc>
        <w:tc>
          <w:tcPr>
            <w:tcW w:w="869" w:type="pct"/>
          </w:tcPr>
          <w:p w14:paraId="4C8FB809" w14:textId="69D3E46A" w:rsidR="00104020" w:rsidRPr="003714F5" w:rsidRDefault="00327DB5" w:rsidP="00327DB5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Cuestionarios que se envían </w:t>
            </w:r>
            <w:r w:rsidR="00104020"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6</w:t>
            </w: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 meses después de la formación</w:t>
            </w:r>
            <w:r w:rsidR="00104020"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 </w:t>
            </w: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tanto al participante como a su supervisor</w:t>
            </w:r>
          </w:p>
        </w:tc>
        <w:tc>
          <w:tcPr>
            <w:tcW w:w="717" w:type="pct"/>
          </w:tcPr>
          <w:p w14:paraId="4093FD52" w14:textId="226C7EB6" w:rsidR="00104020" w:rsidRPr="003714F5" w:rsidRDefault="00327DB5" w:rsidP="004661B6">
            <w:pPr>
              <w:spacing w:before="240"/>
              <w:jc w:val="center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Comportamiento</w:t>
            </w:r>
          </w:p>
        </w:tc>
      </w:tr>
      <w:tr w:rsidR="00104020" w:rsidRPr="003714F5" w14:paraId="6C3E70ED" w14:textId="77777777" w:rsidTr="00BF7142">
        <w:trPr>
          <w:cantSplit/>
          <w:jc w:val="center"/>
        </w:trPr>
        <w:tc>
          <w:tcPr>
            <w:tcW w:w="2146" w:type="pct"/>
          </w:tcPr>
          <w:p w14:paraId="698CD5F9" w14:textId="21E5028C" w:rsidR="00104020" w:rsidRPr="003714F5" w:rsidRDefault="00327DB5" w:rsidP="00853A8A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% de profesionales y funcionarios del ámbito de la PI que ha recibido formación y que aplica en su trabajo las nuevas </w:t>
            </w:r>
            <w:r w:rsidR="00853A8A"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competencias</w:t>
            </w: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 adquiridas </w:t>
            </w:r>
            <w:r w:rsidR="00104020"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(Program</w:t>
            </w: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a</w:t>
            </w:r>
            <w:r w:rsidR="00104020"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 10)</w:t>
            </w:r>
          </w:p>
        </w:tc>
        <w:tc>
          <w:tcPr>
            <w:tcW w:w="616" w:type="pct"/>
          </w:tcPr>
          <w:p w14:paraId="5AF9ADD6" w14:textId="77777777" w:rsidR="00104020" w:rsidRPr="003714F5" w:rsidRDefault="00104020" w:rsidP="004661B6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83% </w:t>
            </w:r>
          </w:p>
        </w:tc>
        <w:tc>
          <w:tcPr>
            <w:tcW w:w="652" w:type="pct"/>
          </w:tcPr>
          <w:p w14:paraId="378ED8AA" w14:textId="77777777" w:rsidR="00104020" w:rsidRPr="003714F5" w:rsidRDefault="00104020" w:rsidP="004661B6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80%</w:t>
            </w:r>
          </w:p>
        </w:tc>
        <w:tc>
          <w:tcPr>
            <w:tcW w:w="869" w:type="pct"/>
          </w:tcPr>
          <w:p w14:paraId="7E1AB723" w14:textId="78E734A4" w:rsidR="00104020" w:rsidRPr="003714F5" w:rsidRDefault="00327DB5" w:rsidP="004661B6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Cuestionarios que se envían 6 meses después de la formación tanto al participante como a su supervisor</w:t>
            </w:r>
          </w:p>
        </w:tc>
        <w:tc>
          <w:tcPr>
            <w:tcW w:w="717" w:type="pct"/>
          </w:tcPr>
          <w:p w14:paraId="61F0C18F" w14:textId="2CB094C8" w:rsidR="00104020" w:rsidRPr="003714F5" w:rsidRDefault="00327DB5" w:rsidP="004661B6">
            <w:pPr>
              <w:spacing w:before="240"/>
              <w:jc w:val="center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3714F5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Comportamiento</w:t>
            </w:r>
          </w:p>
        </w:tc>
      </w:tr>
    </w:tbl>
    <w:p w14:paraId="327F161B" w14:textId="77777777" w:rsidR="00104020" w:rsidRPr="003714F5" w:rsidRDefault="00104020" w:rsidP="00104020">
      <w:pPr>
        <w:rPr>
          <w:szCs w:val="22"/>
        </w:rPr>
      </w:pPr>
    </w:p>
    <w:p w14:paraId="507FD3C3" w14:textId="465A69BF" w:rsidR="00104020" w:rsidRPr="003714F5" w:rsidRDefault="00104020" w:rsidP="00104020">
      <w:pPr>
        <w:rPr>
          <w:szCs w:val="22"/>
        </w:rPr>
      </w:pPr>
      <w:r w:rsidRPr="003714F5">
        <w:rPr>
          <w:szCs w:val="22"/>
        </w:rPr>
        <w:t>18.</w:t>
      </w:r>
      <w:r w:rsidRPr="003714F5">
        <w:rPr>
          <w:szCs w:val="22"/>
        </w:rPr>
        <w:tab/>
      </w:r>
      <w:r w:rsidR="00327DB5" w:rsidRPr="003714F5">
        <w:rPr>
          <w:szCs w:val="22"/>
        </w:rPr>
        <w:t xml:space="preserve">La OMPI continuará realizando esfuerzos concertados </w:t>
      </w:r>
      <w:r w:rsidR="000E401E" w:rsidRPr="003714F5">
        <w:rPr>
          <w:szCs w:val="22"/>
        </w:rPr>
        <w:t>por</w:t>
      </w:r>
      <w:r w:rsidR="00327DB5" w:rsidRPr="003714F5">
        <w:rPr>
          <w:szCs w:val="22"/>
        </w:rPr>
        <w:t xml:space="preserve"> evaluar sus herramientas y metodologías </w:t>
      </w:r>
      <w:r w:rsidR="000E401E" w:rsidRPr="003714F5">
        <w:rPr>
          <w:szCs w:val="22"/>
        </w:rPr>
        <w:t>para medir</w:t>
      </w:r>
      <w:r w:rsidR="00327DB5" w:rsidRPr="003714F5">
        <w:rPr>
          <w:szCs w:val="22"/>
        </w:rPr>
        <w:t xml:space="preserve"> la repercusión, la ef</w:t>
      </w:r>
      <w:r w:rsidR="000E401E" w:rsidRPr="003714F5">
        <w:rPr>
          <w:szCs w:val="22"/>
        </w:rPr>
        <w:t xml:space="preserve">ectividad </w:t>
      </w:r>
      <w:r w:rsidR="00327DB5" w:rsidRPr="003714F5">
        <w:rPr>
          <w:szCs w:val="22"/>
        </w:rPr>
        <w:t>y la eficiencia de las actividades de asistencia técnica con miras a introducir mejoras cuando sea posible</w:t>
      </w:r>
      <w:r w:rsidR="006C459F" w:rsidRPr="003714F5">
        <w:rPr>
          <w:szCs w:val="22"/>
        </w:rPr>
        <w:t>, así como</w:t>
      </w:r>
      <w:r w:rsidR="00732911" w:rsidRPr="003714F5">
        <w:rPr>
          <w:szCs w:val="22"/>
        </w:rPr>
        <w:t xml:space="preserve"> a subsanar </w:t>
      </w:r>
      <w:r w:rsidR="00327DB5" w:rsidRPr="003714F5">
        <w:rPr>
          <w:szCs w:val="22"/>
        </w:rPr>
        <w:t xml:space="preserve">deficiencias. Además, la OMPI seguirá </w:t>
      </w:r>
      <w:r w:rsidR="000E401E" w:rsidRPr="003714F5">
        <w:rPr>
          <w:szCs w:val="22"/>
        </w:rPr>
        <w:t>ajustando</w:t>
      </w:r>
      <w:r w:rsidR="00327DB5" w:rsidRPr="003714F5">
        <w:rPr>
          <w:szCs w:val="22"/>
        </w:rPr>
        <w:t xml:space="preserve"> y mejorando su marco de indicadores de rendimiento, incorporando las </w:t>
      </w:r>
      <w:r w:rsidR="000E401E" w:rsidRPr="003714F5">
        <w:rPr>
          <w:szCs w:val="22"/>
        </w:rPr>
        <w:t>lecciones aprendidas</w:t>
      </w:r>
      <w:r w:rsidR="00327DB5" w:rsidRPr="003714F5">
        <w:rPr>
          <w:szCs w:val="22"/>
        </w:rPr>
        <w:t xml:space="preserve"> y teniendo en cuenta las recomendaciones pertinentes formuladas en el marco de las evaluaciones, a fin de reforzar </w:t>
      </w:r>
      <w:r w:rsidR="00F05C7F" w:rsidRPr="003714F5">
        <w:rPr>
          <w:szCs w:val="22"/>
        </w:rPr>
        <w:t>el seguimiento y la evaluación de los resultados a largo plazo de sus actividades de asistencia técnica</w:t>
      </w:r>
      <w:r w:rsidRPr="003714F5">
        <w:rPr>
          <w:szCs w:val="22"/>
        </w:rPr>
        <w:t>.</w:t>
      </w:r>
    </w:p>
    <w:p w14:paraId="52EBC465" w14:textId="77777777" w:rsidR="00104020" w:rsidRPr="003714F5" w:rsidRDefault="00104020" w:rsidP="00104020">
      <w:pPr>
        <w:rPr>
          <w:szCs w:val="22"/>
        </w:rPr>
      </w:pPr>
    </w:p>
    <w:p w14:paraId="27E298FF" w14:textId="5529ECCC" w:rsidR="00104020" w:rsidRPr="003714F5" w:rsidRDefault="00104020" w:rsidP="00BF7142">
      <w:pPr>
        <w:tabs>
          <w:tab w:val="left" w:pos="6096"/>
        </w:tabs>
        <w:ind w:left="5534"/>
      </w:pPr>
      <w:r w:rsidRPr="003714F5">
        <w:rPr>
          <w:i/>
        </w:rPr>
        <w:t>19.</w:t>
      </w:r>
      <w:r w:rsidRPr="003714F5">
        <w:rPr>
          <w:i/>
        </w:rPr>
        <w:tab/>
      </w:r>
      <w:r w:rsidR="00F05C7F" w:rsidRPr="003714F5">
        <w:rPr>
          <w:i/>
        </w:rPr>
        <w:t>Se invita al CDIP a examinar la información contenida en el presente documento.</w:t>
      </w:r>
    </w:p>
    <w:p w14:paraId="3B143585" w14:textId="77777777" w:rsidR="00104020" w:rsidRPr="003714F5" w:rsidRDefault="00104020" w:rsidP="00104020"/>
    <w:p w14:paraId="11560E37" w14:textId="62815691" w:rsidR="00104020" w:rsidRDefault="00104020" w:rsidP="00104020"/>
    <w:p w14:paraId="16E2D105" w14:textId="77777777" w:rsidR="00D203B7" w:rsidRPr="003714F5" w:rsidRDefault="00D203B7" w:rsidP="00104020">
      <w:bookmarkStart w:id="5" w:name="_GoBack"/>
      <w:bookmarkEnd w:id="5"/>
    </w:p>
    <w:p w14:paraId="2D6C1C83" w14:textId="4745AD07" w:rsidR="00152CEA" w:rsidRPr="003714F5" w:rsidRDefault="00F05C7F" w:rsidP="00F05C7F">
      <w:pPr>
        <w:pStyle w:val="Endofdocument-Annex"/>
        <w:rPr>
          <w:i/>
          <w:lang w:val="es-ES"/>
        </w:rPr>
      </w:pPr>
      <w:r w:rsidRPr="003714F5">
        <w:rPr>
          <w:lang w:val="es-ES"/>
        </w:rPr>
        <w:t>[Fin del documento]</w:t>
      </w:r>
    </w:p>
    <w:sectPr w:rsidR="00152CEA" w:rsidRPr="003714F5" w:rsidSect="00104020">
      <w:headerReference w:type="defaul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4E23F" w14:textId="77777777" w:rsidR="00AA28CB" w:rsidRDefault="00AA28CB">
      <w:r>
        <w:separator/>
      </w:r>
    </w:p>
  </w:endnote>
  <w:endnote w:type="continuationSeparator" w:id="0">
    <w:p w14:paraId="281E2FAA" w14:textId="77777777" w:rsidR="00AA28CB" w:rsidRPr="009D30E6" w:rsidRDefault="00AA28C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291748C7" w14:textId="77777777" w:rsidR="00AA28CB" w:rsidRPr="007E663E" w:rsidRDefault="00AA28C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77A16F84" w14:textId="77777777" w:rsidR="00AA28CB" w:rsidRPr="007E663E" w:rsidRDefault="00AA28CB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3F6DB" w14:textId="77777777" w:rsidR="00AA28CB" w:rsidRDefault="00AA28CB">
      <w:r>
        <w:separator/>
      </w:r>
    </w:p>
  </w:footnote>
  <w:footnote w:type="continuationSeparator" w:id="0">
    <w:p w14:paraId="195028BA" w14:textId="77777777" w:rsidR="00AA28CB" w:rsidRPr="009D30E6" w:rsidRDefault="00AA28C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33371C9F" w14:textId="77777777" w:rsidR="00AA28CB" w:rsidRPr="007E663E" w:rsidRDefault="00AA28C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30CB5500" w14:textId="77777777" w:rsidR="00AA28CB" w:rsidRPr="007E663E" w:rsidRDefault="00AA28CB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14:paraId="41AF6A45" w14:textId="313A8FF9" w:rsidR="00E53418" w:rsidRPr="00C8482F" w:rsidRDefault="00E53418" w:rsidP="00104020">
      <w:pPr>
        <w:pStyle w:val="FootnoteText"/>
      </w:pPr>
      <w:r w:rsidRPr="00843DA1">
        <w:rPr>
          <w:rStyle w:val="FootnoteReference"/>
        </w:rPr>
        <w:footnoteRef/>
      </w:r>
      <w:r w:rsidRPr="00843DA1">
        <w:t xml:space="preserve"> El Apéndice I del </w:t>
      </w:r>
      <w:r w:rsidR="00BF7142" w:rsidRPr="00843DA1">
        <w:t xml:space="preserve">resumen de la presidencia </w:t>
      </w:r>
      <w:r w:rsidRPr="00843DA1">
        <w:t>de la decimoséptima sesión del CDIP está disponible en</w:t>
      </w:r>
      <w:r w:rsidRPr="00843DA1">
        <w:rPr>
          <w:rStyle w:val="Hyperlink"/>
          <w:color w:val="auto"/>
          <w:u w:val="none"/>
        </w:rPr>
        <w:t xml:space="preserve"> </w:t>
      </w:r>
      <w:hyperlink r:id="rId1" w:history="1">
        <w:r w:rsidRPr="00843DA1">
          <w:rPr>
            <w:rStyle w:val="Hyperlink"/>
          </w:rPr>
          <w:t>http://www.wipo.int/meetings/es/doc_details.jsp?doc_id=335277</w:t>
        </w:r>
      </w:hyperlink>
      <w:r w:rsidRPr="00843DA1">
        <w:rPr>
          <w:rStyle w:val="Hyperlin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D5A8B" w14:textId="77777777" w:rsidR="00E53418" w:rsidRDefault="00E53418" w:rsidP="00477D6B">
    <w:pPr>
      <w:jc w:val="right"/>
    </w:pPr>
    <w:bookmarkStart w:id="6" w:name="Code2"/>
    <w:bookmarkEnd w:id="6"/>
    <w:r>
      <w:t>CDIP/22/10</w:t>
    </w:r>
  </w:p>
  <w:p w14:paraId="2A477205" w14:textId="3C2EDF3F" w:rsidR="00E53418" w:rsidRDefault="00E53418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D203B7">
      <w:rPr>
        <w:noProof/>
      </w:rPr>
      <w:t>9</w:t>
    </w:r>
    <w:r>
      <w:fldChar w:fldCharType="end"/>
    </w:r>
  </w:p>
  <w:p w14:paraId="11EDF679" w14:textId="77777777" w:rsidR="00E53418" w:rsidRDefault="00E5341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5EC35DA"/>
    <w:multiLevelType w:val="hybridMultilevel"/>
    <w:tmpl w:val="3A5EBC2E"/>
    <w:lvl w:ilvl="0" w:tplc="616AAF6A">
      <w:start w:val="56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A14648"/>
    <w:multiLevelType w:val="hybridMultilevel"/>
    <w:tmpl w:val="E3FCC5BC"/>
    <w:lvl w:ilvl="0" w:tplc="87009630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20"/>
    <w:rsid w:val="00010686"/>
    <w:rsid w:val="000123DF"/>
    <w:rsid w:val="00052915"/>
    <w:rsid w:val="00074313"/>
    <w:rsid w:val="000C5F29"/>
    <w:rsid w:val="000D05A3"/>
    <w:rsid w:val="000D6EF5"/>
    <w:rsid w:val="000E3BB3"/>
    <w:rsid w:val="000E401E"/>
    <w:rsid w:val="000F5E56"/>
    <w:rsid w:val="0010007B"/>
    <w:rsid w:val="00104020"/>
    <w:rsid w:val="00114E38"/>
    <w:rsid w:val="001170BE"/>
    <w:rsid w:val="00124C42"/>
    <w:rsid w:val="00133026"/>
    <w:rsid w:val="001362EE"/>
    <w:rsid w:val="0014706B"/>
    <w:rsid w:val="00152CEA"/>
    <w:rsid w:val="00161484"/>
    <w:rsid w:val="001832A6"/>
    <w:rsid w:val="00193A97"/>
    <w:rsid w:val="001B6AA4"/>
    <w:rsid w:val="001B6D32"/>
    <w:rsid w:val="001C3A85"/>
    <w:rsid w:val="001E1CF8"/>
    <w:rsid w:val="001E1D77"/>
    <w:rsid w:val="002170E2"/>
    <w:rsid w:val="00227DD6"/>
    <w:rsid w:val="00234B60"/>
    <w:rsid w:val="002363A2"/>
    <w:rsid w:val="002634C4"/>
    <w:rsid w:val="00267F11"/>
    <w:rsid w:val="002E0F47"/>
    <w:rsid w:val="002F4E68"/>
    <w:rsid w:val="00314FFF"/>
    <w:rsid w:val="003173A5"/>
    <w:rsid w:val="00321C34"/>
    <w:rsid w:val="00327DB5"/>
    <w:rsid w:val="00340402"/>
    <w:rsid w:val="00345B8C"/>
    <w:rsid w:val="00354647"/>
    <w:rsid w:val="003714F5"/>
    <w:rsid w:val="00377273"/>
    <w:rsid w:val="003845C1"/>
    <w:rsid w:val="00385166"/>
    <w:rsid w:val="00387287"/>
    <w:rsid w:val="00391CED"/>
    <w:rsid w:val="00391FB9"/>
    <w:rsid w:val="00395E6F"/>
    <w:rsid w:val="003E48F1"/>
    <w:rsid w:val="003F18C3"/>
    <w:rsid w:val="003F347A"/>
    <w:rsid w:val="004003ED"/>
    <w:rsid w:val="00410875"/>
    <w:rsid w:val="00414FE5"/>
    <w:rsid w:val="00423E3E"/>
    <w:rsid w:val="00427AF4"/>
    <w:rsid w:val="0045231F"/>
    <w:rsid w:val="00457B83"/>
    <w:rsid w:val="004647DA"/>
    <w:rsid w:val="004661B6"/>
    <w:rsid w:val="0046793F"/>
    <w:rsid w:val="00477808"/>
    <w:rsid w:val="00477D6B"/>
    <w:rsid w:val="004A6C37"/>
    <w:rsid w:val="004B0827"/>
    <w:rsid w:val="004B37EE"/>
    <w:rsid w:val="004B6A9F"/>
    <w:rsid w:val="004D56B7"/>
    <w:rsid w:val="004E297D"/>
    <w:rsid w:val="00513133"/>
    <w:rsid w:val="00527F11"/>
    <w:rsid w:val="00531B02"/>
    <w:rsid w:val="005329BB"/>
    <w:rsid w:val="005332F0"/>
    <w:rsid w:val="0055013B"/>
    <w:rsid w:val="00556A0D"/>
    <w:rsid w:val="00557D97"/>
    <w:rsid w:val="00571B99"/>
    <w:rsid w:val="00590813"/>
    <w:rsid w:val="005D20AF"/>
    <w:rsid w:val="00605827"/>
    <w:rsid w:val="00630D61"/>
    <w:rsid w:val="006404CA"/>
    <w:rsid w:val="0064123E"/>
    <w:rsid w:val="00641C08"/>
    <w:rsid w:val="00643408"/>
    <w:rsid w:val="0066508F"/>
    <w:rsid w:val="00673AC7"/>
    <w:rsid w:val="00675021"/>
    <w:rsid w:val="006A06C6"/>
    <w:rsid w:val="006B3216"/>
    <w:rsid w:val="006C0DE0"/>
    <w:rsid w:val="006C459F"/>
    <w:rsid w:val="006F2626"/>
    <w:rsid w:val="006F4B2C"/>
    <w:rsid w:val="007035C1"/>
    <w:rsid w:val="00717683"/>
    <w:rsid w:val="007224C8"/>
    <w:rsid w:val="00732911"/>
    <w:rsid w:val="00745B86"/>
    <w:rsid w:val="007910F7"/>
    <w:rsid w:val="00794BE2"/>
    <w:rsid w:val="007A5581"/>
    <w:rsid w:val="007B3774"/>
    <w:rsid w:val="007B71FE"/>
    <w:rsid w:val="007C442B"/>
    <w:rsid w:val="007D6449"/>
    <w:rsid w:val="007D781E"/>
    <w:rsid w:val="007E0D90"/>
    <w:rsid w:val="007E663E"/>
    <w:rsid w:val="007F591D"/>
    <w:rsid w:val="008126E8"/>
    <w:rsid w:val="00815082"/>
    <w:rsid w:val="00826C2E"/>
    <w:rsid w:val="00843DA1"/>
    <w:rsid w:val="00853A8A"/>
    <w:rsid w:val="00864BEA"/>
    <w:rsid w:val="0088395E"/>
    <w:rsid w:val="00890CA5"/>
    <w:rsid w:val="00892A0D"/>
    <w:rsid w:val="008B2CC1"/>
    <w:rsid w:val="008B5BCA"/>
    <w:rsid w:val="008E1D3D"/>
    <w:rsid w:val="008E39F5"/>
    <w:rsid w:val="008E6BD6"/>
    <w:rsid w:val="008F65B7"/>
    <w:rsid w:val="009007FA"/>
    <w:rsid w:val="0090731E"/>
    <w:rsid w:val="00916962"/>
    <w:rsid w:val="009356C2"/>
    <w:rsid w:val="0096247A"/>
    <w:rsid w:val="00966A22"/>
    <w:rsid w:val="009723F9"/>
    <w:rsid w:val="00972F03"/>
    <w:rsid w:val="00975EDC"/>
    <w:rsid w:val="009770D9"/>
    <w:rsid w:val="00983E98"/>
    <w:rsid w:val="009A0C8B"/>
    <w:rsid w:val="009A2D37"/>
    <w:rsid w:val="009B6241"/>
    <w:rsid w:val="009D7E62"/>
    <w:rsid w:val="009E2C04"/>
    <w:rsid w:val="00A15BDB"/>
    <w:rsid w:val="00A16FC0"/>
    <w:rsid w:val="00A21B4F"/>
    <w:rsid w:val="00A262EF"/>
    <w:rsid w:val="00A32C9E"/>
    <w:rsid w:val="00A34448"/>
    <w:rsid w:val="00A83F65"/>
    <w:rsid w:val="00A850EC"/>
    <w:rsid w:val="00AA2810"/>
    <w:rsid w:val="00AA28CB"/>
    <w:rsid w:val="00AB613D"/>
    <w:rsid w:val="00AE7F20"/>
    <w:rsid w:val="00AF0633"/>
    <w:rsid w:val="00AF1F7B"/>
    <w:rsid w:val="00AF4F81"/>
    <w:rsid w:val="00B03F2C"/>
    <w:rsid w:val="00B15E76"/>
    <w:rsid w:val="00B65A0A"/>
    <w:rsid w:val="00B67CDC"/>
    <w:rsid w:val="00B72D36"/>
    <w:rsid w:val="00B757BF"/>
    <w:rsid w:val="00B837F7"/>
    <w:rsid w:val="00BC2E14"/>
    <w:rsid w:val="00BC4164"/>
    <w:rsid w:val="00BC5A77"/>
    <w:rsid w:val="00BD2DCC"/>
    <w:rsid w:val="00BF7142"/>
    <w:rsid w:val="00C31FEA"/>
    <w:rsid w:val="00C415B2"/>
    <w:rsid w:val="00C81B21"/>
    <w:rsid w:val="00C8482F"/>
    <w:rsid w:val="00C90559"/>
    <w:rsid w:val="00C950D4"/>
    <w:rsid w:val="00C9693F"/>
    <w:rsid w:val="00C975F7"/>
    <w:rsid w:val="00CA2251"/>
    <w:rsid w:val="00CB5DCE"/>
    <w:rsid w:val="00CB622F"/>
    <w:rsid w:val="00CC3A13"/>
    <w:rsid w:val="00CF10B6"/>
    <w:rsid w:val="00D203B7"/>
    <w:rsid w:val="00D41CAA"/>
    <w:rsid w:val="00D51418"/>
    <w:rsid w:val="00D56C7C"/>
    <w:rsid w:val="00D71B4D"/>
    <w:rsid w:val="00D813AF"/>
    <w:rsid w:val="00D85555"/>
    <w:rsid w:val="00D90289"/>
    <w:rsid w:val="00D93D55"/>
    <w:rsid w:val="00D9417B"/>
    <w:rsid w:val="00DB4D16"/>
    <w:rsid w:val="00DC4C60"/>
    <w:rsid w:val="00E0079A"/>
    <w:rsid w:val="00E35EFA"/>
    <w:rsid w:val="00E43ABA"/>
    <w:rsid w:val="00E444DA"/>
    <w:rsid w:val="00E45C84"/>
    <w:rsid w:val="00E504E5"/>
    <w:rsid w:val="00E53418"/>
    <w:rsid w:val="00E85E8F"/>
    <w:rsid w:val="00E86357"/>
    <w:rsid w:val="00E86AD1"/>
    <w:rsid w:val="00EA500E"/>
    <w:rsid w:val="00EB7A3E"/>
    <w:rsid w:val="00EC2D58"/>
    <w:rsid w:val="00EC401A"/>
    <w:rsid w:val="00ED165C"/>
    <w:rsid w:val="00EE230B"/>
    <w:rsid w:val="00EF1D46"/>
    <w:rsid w:val="00EF3DF3"/>
    <w:rsid w:val="00EF4C83"/>
    <w:rsid w:val="00EF530A"/>
    <w:rsid w:val="00EF6622"/>
    <w:rsid w:val="00EF78A9"/>
    <w:rsid w:val="00F05C7F"/>
    <w:rsid w:val="00F30A9A"/>
    <w:rsid w:val="00F3360D"/>
    <w:rsid w:val="00F55408"/>
    <w:rsid w:val="00F56F46"/>
    <w:rsid w:val="00F66152"/>
    <w:rsid w:val="00F70A10"/>
    <w:rsid w:val="00F76235"/>
    <w:rsid w:val="00F80845"/>
    <w:rsid w:val="00F8179A"/>
    <w:rsid w:val="00F84474"/>
    <w:rsid w:val="00F92E89"/>
    <w:rsid w:val="00F958EC"/>
    <w:rsid w:val="00FA0F0D"/>
    <w:rsid w:val="00FA6558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74B5809"/>
  <w15:docId w15:val="{6BF59FB3-6516-4F18-8C60-9F04FB80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"/>
    <w:basedOn w:val="Normal"/>
    <w:link w:val="FootnoteTextChar"/>
    <w:rsid w:val="00A32C9E"/>
    <w:rPr>
      <w:sz w:val="18"/>
    </w:rPr>
  </w:style>
  <w:style w:type="paragraph" w:customStyle="1" w:styleId="Endofdocument-Annex">
    <w:name w:val="[End of document - Annex]"/>
    <w:basedOn w:val="Normal"/>
    <w:link w:val="Endofdocument-AnnexChar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EE2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E230B"/>
    <w:rPr>
      <w:rFonts w:ascii="Tahoma" w:eastAsia="SimSun" w:hAnsi="Tahoma" w:cs="Tahoma"/>
      <w:sz w:val="16"/>
      <w:szCs w:val="16"/>
      <w:lang w:val="es-ES" w:eastAsia="zh-CN"/>
    </w:rPr>
  </w:style>
  <w:style w:type="character" w:styleId="Hyperlink">
    <w:name w:val="Hyperlink"/>
    <w:basedOn w:val="DefaultParagraphFont"/>
    <w:rsid w:val="00104020"/>
    <w:rPr>
      <w:color w:val="0000FF" w:themeColor="hyperlink"/>
      <w:u w:val="single"/>
    </w:rPr>
  </w:style>
  <w:style w:type="table" w:styleId="TableGrid">
    <w:name w:val="Table Grid"/>
    <w:basedOn w:val="TableNormal"/>
    <w:rsid w:val="00104020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callout"/>
    <w:basedOn w:val="DefaultParagraphFont"/>
    <w:rsid w:val="00104020"/>
    <w:rPr>
      <w:vertAlign w:val="superscript"/>
    </w:rPr>
  </w:style>
  <w:style w:type="character" w:customStyle="1" w:styleId="Endofdocument-AnnexChar">
    <w:name w:val="[End of document - Annex] Char"/>
    <w:link w:val="Endofdocument-Annex"/>
    <w:rsid w:val="00104020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040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FootnoteTextChar">
    <w:name w:val="Footnote Text Char"/>
    <w:aliases w:val="Footnote Char"/>
    <w:basedOn w:val="DefaultParagraphFont"/>
    <w:link w:val="FootnoteText"/>
    <w:rsid w:val="00104020"/>
    <w:rPr>
      <w:rFonts w:ascii="Arial" w:eastAsia="SimSun" w:hAnsi="Arial" w:cs="Arial"/>
      <w:sz w:val="18"/>
      <w:lang w:val="es-ES" w:eastAsia="zh-CN"/>
    </w:rPr>
  </w:style>
  <w:style w:type="character" w:styleId="CommentReference">
    <w:name w:val="annotation reference"/>
    <w:basedOn w:val="DefaultParagraphFont"/>
    <w:semiHidden/>
    <w:unhideWhenUsed/>
    <w:rsid w:val="000123D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23D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23DF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123DF"/>
    <w:rPr>
      <w:rFonts w:ascii="Arial" w:eastAsia="SimSun" w:hAnsi="Arial" w:cs="Arial"/>
      <w:b/>
      <w:bCs/>
      <w:sz w:val="18"/>
      <w:lang w:val="es-ES" w:eastAsia="zh-CN"/>
    </w:rPr>
  </w:style>
  <w:style w:type="paragraph" w:styleId="ListParagraph">
    <w:name w:val="List Paragraph"/>
    <w:basedOn w:val="Normal"/>
    <w:uiPriority w:val="34"/>
    <w:qFormat/>
    <w:rsid w:val="00F3360D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C848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wipo.int/meetings/es/doc_details.jsp?doc_id=410994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meetings/es/doc_details.jsp?doc_id=335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0E028-C3DF-48AA-9526-9811B020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3375</Words>
  <Characters>19240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CDIP/22/</vt:lpstr>
      <vt:lpstr>CDIP/22/</vt:lpstr>
    </vt:vector>
  </TitlesOfParts>
  <Company>WIPO</Company>
  <LinksUpToDate>false</LinksUpToDate>
  <CharactersWithSpaces>22570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CDIP/22/</dc:title>
  <dc:creator>BOU LLORET Amparo</dc:creator>
  <cp:lastModifiedBy>BRACI Biljana</cp:lastModifiedBy>
  <cp:revision>6</cp:revision>
  <dcterms:created xsi:type="dcterms:W3CDTF">2018-10-09T11:49:00Z</dcterms:created>
  <dcterms:modified xsi:type="dcterms:W3CDTF">2018-10-15T08:36:00Z</dcterms:modified>
</cp:coreProperties>
</file>