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08" w:type="dxa"/>
        <w:tblLayout w:type="fixed"/>
        <w:tblLook w:val="01E0" w:firstRow="1" w:lastRow="1" w:firstColumn="1" w:lastColumn="1" w:noHBand="0" w:noVBand="0"/>
      </w:tblPr>
      <w:tblGrid>
        <w:gridCol w:w="4513"/>
        <w:gridCol w:w="4337"/>
        <w:gridCol w:w="506"/>
      </w:tblGrid>
      <w:tr w:rsidR="00E504E5" w:rsidRPr="008B2CC1" w:rsidTr="00760024">
        <w:tc>
          <w:tcPr>
            <w:tcW w:w="4513" w:type="dxa"/>
            <w:tcBorders>
              <w:bottom w:val="single" w:sz="4" w:space="0" w:color="auto"/>
            </w:tcBorders>
            <w:tcMar>
              <w:bottom w:w="170" w:type="dxa"/>
            </w:tcMar>
          </w:tcPr>
          <w:p w:rsidR="00E504E5" w:rsidRPr="008B2CC1" w:rsidRDefault="00E504E5" w:rsidP="00AB613D"/>
        </w:tc>
        <w:tc>
          <w:tcPr>
            <w:tcW w:w="4337" w:type="dxa"/>
            <w:tcBorders>
              <w:bottom w:val="single" w:sz="4" w:space="0" w:color="auto"/>
            </w:tcBorders>
            <w:tcMar>
              <w:left w:w="0" w:type="dxa"/>
              <w:right w:w="0" w:type="dxa"/>
            </w:tcMar>
          </w:tcPr>
          <w:p w:rsidR="00E504E5" w:rsidRPr="008B2CC1" w:rsidRDefault="0071185D" w:rsidP="00AB613D">
            <w:r>
              <w:rPr>
                <w:noProof/>
                <w:lang w:val="en-US" w:eastAsia="en-US"/>
              </w:rPr>
              <w:drawing>
                <wp:inline distT="0" distB="0" distL="0" distR="0" wp14:anchorId="2B7082BB" wp14:editId="1654029F">
                  <wp:extent cx="1857375" cy="1323975"/>
                  <wp:effectExtent l="0" t="0" r="9525" b="9525"/>
                  <wp:docPr id="1" name="Picture 1" descr="WI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E504E5" w:rsidRPr="008B2CC1" w:rsidRDefault="00E504E5" w:rsidP="00AB613D">
            <w:pPr>
              <w:jc w:val="right"/>
            </w:pPr>
            <w:r>
              <w:rPr>
                <w:b/>
                <w:sz w:val="40"/>
                <w:szCs w:val="40"/>
              </w:rPr>
              <w:t>S</w:t>
            </w:r>
          </w:p>
        </w:tc>
      </w:tr>
      <w:tr w:rsidR="008B2CC1" w:rsidRPr="001832A6" w:rsidTr="00760024">
        <w:trPr>
          <w:trHeight w:hRule="exact" w:val="340"/>
        </w:trPr>
        <w:tc>
          <w:tcPr>
            <w:tcW w:w="9356" w:type="dxa"/>
            <w:gridSpan w:val="3"/>
            <w:tcBorders>
              <w:top w:val="single" w:sz="4" w:space="0" w:color="auto"/>
            </w:tcBorders>
            <w:tcMar>
              <w:top w:w="170" w:type="dxa"/>
              <w:left w:w="0" w:type="dxa"/>
              <w:right w:w="0" w:type="dxa"/>
            </w:tcMar>
            <w:vAlign w:val="bottom"/>
          </w:tcPr>
          <w:p w:rsidR="008B2CC1" w:rsidRPr="0090731E" w:rsidRDefault="0045749F" w:rsidP="0045749F">
            <w:pPr>
              <w:jc w:val="right"/>
              <w:rPr>
                <w:rFonts w:ascii="Arial Black" w:hAnsi="Arial Black"/>
                <w:caps/>
                <w:sz w:val="15"/>
              </w:rPr>
            </w:pPr>
            <w:bookmarkStart w:id="0" w:name="_GoBack"/>
            <w:r>
              <w:rPr>
                <w:rFonts w:ascii="Arial Black" w:hAnsi="Arial Black"/>
                <w:caps/>
                <w:sz w:val="15"/>
              </w:rPr>
              <w:t>CDIP/21</w:t>
            </w:r>
            <w:r w:rsidR="00186282">
              <w:rPr>
                <w:rFonts w:ascii="Arial Black" w:hAnsi="Arial Black"/>
                <w:caps/>
                <w:sz w:val="15"/>
              </w:rPr>
              <w:t>/</w:t>
            </w:r>
            <w:bookmarkStart w:id="1" w:name="Code"/>
            <w:bookmarkEnd w:id="1"/>
            <w:r>
              <w:rPr>
                <w:rFonts w:ascii="Arial Black" w:hAnsi="Arial Black"/>
                <w:caps/>
                <w:sz w:val="15"/>
              </w:rPr>
              <w:t>14</w:t>
            </w:r>
          </w:p>
        </w:tc>
      </w:tr>
      <w:bookmarkEnd w:id="0"/>
      <w:tr w:rsidR="008B2CC1" w:rsidRPr="001832A6" w:rsidTr="00760024">
        <w:trPr>
          <w:trHeight w:hRule="exact" w:val="170"/>
        </w:trPr>
        <w:tc>
          <w:tcPr>
            <w:tcW w:w="9356" w:type="dxa"/>
            <w:gridSpan w:val="3"/>
            <w:noWrap/>
            <w:tcMar>
              <w:left w:w="0" w:type="dxa"/>
              <w:right w:w="0" w:type="dxa"/>
            </w:tcMar>
            <w:vAlign w:val="bottom"/>
          </w:tcPr>
          <w:p w:rsidR="008B2CC1" w:rsidRPr="0090731E" w:rsidRDefault="008B2CC1" w:rsidP="00AB613D">
            <w:pPr>
              <w:jc w:val="right"/>
              <w:rPr>
                <w:rFonts w:ascii="Arial Black" w:hAnsi="Arial Black"/>
                <w:caps/>
                <w:sz w:val="15"/>
              </w:rPr>
            </w:pPr>
            <w:r w:rsidRPr="0090731E">
              <w:rPr>
                <w:rFonts w:ascii="Arial Black" w:hAnsi="Arial Black"/>
                <w:caps/>
                <w:sz w:val="15"/>
              </w:rPr>
              <w:t>ORIGINAL:</w:t>
            </w:r>
            <w:r w:rsidR="00F84474">
              <w:rPr>
                <w:rFonts w:ascii="Arial Black" w:hAnsi="Arial Black"/>
                <w:caps/>
                <w:sz w:val="15"/>
              </w:rPr>
              <w:t xml:space="preserve"> </w:t>
            </w:r>
            <w:r w:rsidRPr="0090731E">
              <w:rPr>
                <w:rFonts w:ascii="Arial Black" w:hAnsi="Arial Black"/>
                <w:caps/>
                <w:sz w:val="15"/>
              </w:rPr>
              <w:t xml:space="preserve"> </w:t>
            </w:r>
            <w:bookmarkStart w:id="2" w:name="Original"/>
            <w:bookmarkEnd w:id="2"/>
            <w:r w:rsidR="0071185D">
              <w:rPr>
                <w:rFonts w:ascii="Arial Black" w:hAnsi="Arial Black"/>
                <w:caps/>
                <w:sz w:val="15"/>
              </w:rPr>
              <w:t>Español</w:t>
            </w:r>
          </w:p>
        </w:tc>
      </w:tr>
      <w:tr w:rsidR="008B2CC1" w:rsidRPr="001832A6" w:rsidTr="00760024">
        <w:trPr>
          <w:trHeight w:hRule="exact" w:val="198"/>
        </w:trPr>
        <w:tc>
          <w:tcPr>
            <w:tcW w:w="9356" w:type="dxa"/>
            <w:gridSpan w:val="3"/>
            <w:tcMar>
              <w:left w:w="0" w:type="dxa"/>
              <w:right w:w="0" w:type="dxa"/>
            </w:tcMar>
            <w:vAlign w:val="bottom"/>
          </w:tcPr>
          <w:p w:rsidR="008B2CC1" w:rsidRPr="0090731E" w:rsidRDefault="00675021" w:rsidP="0045749F">
            <w:pPr>
              <w:jc w:val="right"/>
              <w:rPr>
                <w:rFonts w:ascii="Arial Black" w:hAnsi="Arial Black"/>
                <w:caps/>
                <w:sz w:val="15"/>
              </w:rPr>
            </w:pPr>
            <w:r>
              <w:rPr>
                <w:rFonts w:ascii="Arial Black" w:hAnsi="Arial Black"/>
                <w:caps/>
                <w:sz w:val="15"/>
              </w:rPr>
              <w:t>fecha</w:t>
            </w:r>
            <w:r w:rsidR="008B2CC1" w:rsidRPr="0090731E">
              <w:rPr>
                <w:rFonts w:ascii="Arial Black" w:hAnsi="Arial Black"/>
                <w:caps/>
                <w:sz w:val="15"/>
              </w:rPr>
              <w:t>:</w:t>
            </w:r>
            <w:r w:rsidR="00F84474">
              <w:rPr>
                <w:rFonts w:ascii="Arial Black" w:hAnsi="Arial Black"/>
                <w:caps/>
                <w:sz w:val="15"/>
              </w:rPr>
              <w:t xml:space="preserve"> </w:t>
            </w:r>
            <w:r w:rsidR="008B2CC1" w:rsidRPr="0090731E">
              <w:rPr>
                <w:rFonts w:ascii="Arial Black" w:hAnsi="Arial Black"/>
                <w:caps/>
                <w:sz w:val="15"/>
              </w:rPr>
              <w:t xml:space="preserve"> </w:t>
            </w:r>
            <w:bookmarkStart w:id="3" w:name="Date"/>
            <w:bookmarkEnd w:id="3"/>
            <w:r w:rsidR="0045749F">
              <w:rPr>
                <w:rFonts w:ascii="Arial Black" w:hAnsi="Arial Black"/>
                <w:caps/>
                <w:sz w:val="15"/>
              </w:rPr>
              <w:t>30</w:t>
            </w:r>
            <w:r w:rsidR="0071185D">
              <w:rPr>
                <w:rFonts w:ascii="Arial Black" w:hAnsi="Arial Black"/>
                <w:caps/>
                <w:sz w:val="15"/>
              </w:rPr>
              <w:t xml:space="preserve"> de abril de 20</w:t>
            </w:r>
            <w:r w:rsidR="0045749F">
              <w:rPr>
                <w:rFonts w:ascii="Arial Black" w:hAnsi="Arial Black"/>
                <w:caps/>
                <w:sz w:val="15"/>
              </w:rPr>
              <w:t>18</w:t>
            </w:r>
          </w:p>
        </w:tc>
      </w:tr>
    </w:tbl>
    <w:p w:rsidR="008B2CC1" w:rsidRPr="008B2CC1" w:rsidRDefault="008B2CC1" w:rsidP="008B2CC1"/>
    <w:p w:rsidR="008B2CC1" w:rsidRPr="008B2CC1" w:rsidRDefault="008B2CC1" w:rsidP="008B2CC1"/>
    <w:p w:rsidR="008B2CC1" w:rsidRPr="008B2CC1" w:rsidRDefault="008B2CC1" w:rsidP="008B2CC1"/>
    <w:p w:rsidR="008B2CC1" w:rsidRPr="008B2CC1" w:rsidRDefault="008B2CC1" w:rsidP="008B2CC1"/>
    <w:p w:rsidR="008B2CC1" w:rsidRPr="008B2CC1" w:rsidRDefault="008B2CC1" w:rsidP="008B2CC1"/>
    <w:p w:rsidR="0045749F" w:rsidRPr="00CE3D4A" w:rsidRDefault="0045749F" w:rsidP="0045749F">
      <w:pPr>
        <w:rPr>
          <w:b/>
          <w:sz w:val="28"/>
          <w:szCs w:val="28"/>
        </w:rPr>
      </w:pPr>
      <w:r w:rsidRPr="00CE3D4A">
        <w:rPr>
          <w:b/>
          <w:sz w:val="28"/>
          <w:szCs w:val="28"/>
        </w:rPr>
        <w:t>Comité de Desarrollo y Propiedad Intelectual (CDIP)</w:t>
      </w:r>
    </w:p>
    <w:p w:rsidR="0045749F" w:rsidRPr="00CE3D4A" w:rsidRDefault="0045749F" w:rsidP="0045749F"/>
    <w:p w:rsidR="0045749F" w:rsidRPr="00CE3D4A" w:rsidRDefault="0045749F" w:rsidP="0045749F"/>
    <w:p w:rsidR="0045749F" w:rsidRPr="00CE3D4A" w:rsidRDefault="0045749F" w:rsidP="0045749F">
      <w:pPr>
        <w:rPr>
          <w:b/>
          <w:sz w:val="24"/>
          <w:szCs w:val="24"/>
        </w:rPr>
      </w:pPr>
      <w:r w:rsidRPr="00CE3D4A">
        <w:rPr>
          <w:b/>
          <w:sz w:val="24"/>
          <w:szCs w:val="24"/>
        </w:rPr>
        <w:t>Vigesimoprimera sesión</w:t>
      </w:r>
    </w:p>
    <w:p w:rsidR="0045749F" w:rsidRPr="00CE3D4A" w:rsidRDefault="0045749F" w:rsidP="0045749F">
      <w:pPr>
        <w:rPr>
          <w:b/>
          <w:sz w:val="24"/>
          <w:szCs w:val="24"/>
        </w:rPr>
      </w:pPr>
      <w:r w:rsidRPr="00CE3D4A">
        <w:rPr>
          <w:b/>
          <w:sz w:val="24"/>
          <w:szCs w:val="24"/>
        </w:rPr>
        <w:t>Ginebra, 14 a 18 de mayo de 2018</w:t>
      </w:r>
    </w:p>
    <w:p w:rsidR="0045749F" w:rsidRPr="00CE3D4A" w:rsidRDefault="0045749F" w:rsidP="0045749F"/>
    <w:p w:rsidR="0045749F" w:rsidRPr="00CE3D4A" w:rsidRDefault="0045749F" w:rsidP="0045749F"/>
    <w:p w:rsidR="0045749F" w:rsidRPr="00CE3D4A" w:rsidRDefault="0045749F" w:rsidP="0045749F"/>
    <w:p w:rsidR="0045749F" w:rsidRPr="00CE3D4A" w:rsidRDefault="0045749F" w:rsidP="0045749F">
      <w:pPr>
        <w:rPr>
          <w:caps/>
          <w:sz w:val="24"/>
        </w:rPr>
      </w:pPr>
      <w:bookmarkStart w:id="4" w:name="TitleOfDoc"/>
      <w:bookmarkEnd w:id="4"/>
      <w:r>
        <w:rPr>
          <w:sz w:val="24"/>
        </w:rPr>
        <w:t>PROPIEDAD INTELECTUAL, TURISMO Y GASTRONOMÍA EN EL PERÚ</w:t>
      </w:r>
      <w:proofErr w:type="gramStart"/>
      <w:r>
        <w:rPr>
          <w:sz w:val="24"/>
        </w:rPr>
        <w:t>:  FOMENTANDO</w:t>
      </w:r>
      <w:proofErr w:type="gramEnd"/>
      <w:r>
        <w:rPr>
          <w:sz w:val="24"/>
        </w:rPr>
        <w:t xml:space="preserve"> EL DESARROLLO DEL TURISMO Y LA GASTRONOMÍA EN EL PERÚ A TRAVÉS DE LA PROPIEDAD INTELECTUAL</w:t>
      </w:r>
    </w:p>
    <w:p w:rsidR="0045749F" w:rsidRPr="00CE3D4A" w:rsidRDefault="0045749F" w:rsidP="0045749F"/>
    <w:p w:rsidR="0045749F" w:rsidRPr="00CE3D4A" w:rsidRDefault="0045749F" w:rsidP="0045749F">
      <w:pPr>
        <w:rPr>
          <w:i/>
        </w:rPr>
      </w:pPr>
      <w:r w:rsidRPr="00CE3D4A">
        <w:rPr>
          <w:i/>
        </w:rPr>
        <w:t xml:space="preserve">Documento preparado por la Secretaría </w:t>
      </w:r>
    </w:p>
    <w:p w:rsidR="0045749F" w:rsidRPr="00CE3D4A" w:rsidRDefault="0045749F" w:rsidP="0045749F"/>
    <w:p w:rsidR="008321CA" w:rsidRPr="008B2CC1" w:rsidRDefault="008321CA" w:rsidP="008321CA"/>
    <w:p w:rsidR="00F84474" w:rsidRDefault="00F84474">
      <w:bookmarkStart w:id="5" w:name="Prepared"/>
      <w:bookmarkEnd w:id="5"/>
    </w:p>
    <w:p w:rsidR="00F84474" w:rsidRDefault="00F84474"/>
    <w:p w:rsidR="00584DA6" w:rsidRDefault="00584DA6"/>
    <w:p w:rsidR="001D69C8" w:rsidRPr="0045749F" w:rsidRDefault="00DF7E8E" w:rsidP="00DB0878">
      <w:pPr>
        <w:rPr>
          <w:rStyle w:val="ONUMFSChar"/>
          <w:caps/>
          <w:sz w:val="24"/>
        </w:rPr>
      </w:pPr>
      <w:r w:rsidRPr="00A76E9C">
        <w:rPr>
          <w:szCs w:val="22"/>
        </w:rPr>
        <w:fldChar w:fldCharType="begin"/>
      </w:r>
      <w:r w:rsidRPr="00A76E9C">
        <w:rPr>
          <w:szCs w:val="22"/>
        </w:rPr>
        <w:instrText xml:space="preserve"> AUTONUM  </w:instrText>
      </w:r>
      <w:r w:rsidRPr="00A76E9C">
        <w:rPr>
          <w:szCs w:val="22"/>
        </w:rPr>
        <w:fldChar w:fldCharType="end"/>
      </w:r>
      <w:r w:rsidRPr="00A76E9C">
        <w:rPr>
          <w:szCs w:val="22"/>
        </w:rPr>
        <w:tab/>
      </w:r>
      <w:r w:rsidRPr="002B1355">
        <w:rPr>
          <w:rStyle w:val="ONUMFSChar"/>
        </w:rPr>
        <w:t xml:space="preserve">Mediante una comunicación de fecha </w:t>
      </w:r>
      <w:r w:rsidR="0045749F">
        <w:rPr>
          <w:rStyle w:val="ONUMFSChar"/>
        </w:rPr>
        <w:t>27</w:t>
      </w:r>
      <w:r w:rsidR="00DB0878">
        <w:rPr>
          <w:rStyle w:val="ONUMFSChar"/>
        </w:rPr>
        <w:t xml:space="preserve"> </w:t>
      </w:r>
      <w:r>
        <w:rPr>
          <w:rStyle w:val="ONUMFSChar"/>
        </w:rPr>
        <w:t>de abril</w:t>
      </w:r>
      <w:r w:rsidRPr="002B1355">
        <w:rPr>
          <w:rStyle w:val="ONUMFSChar"/>
        </w:rPr>
        <w:t xml:space="preserve"> de 201</w:t>
      </w:r>
      <w:r w:rsidR="0045749F">
        <w:rPr>
          <w:rStyle w:val="ONUMFSChar"/>
        </w:rPr>
        <w:t>8</w:t>
      </w:r>
      <w:r w:rsidRPr="002B1355">
        <w:rPr>
          <w:rStyle w:val="ONUMFSChar"/>
        </w:rPr>
        <w:t xml:space="preserve"> dirigida a la Secretaría, </w:t>
      </w:r>
      <w:r w:rsidR="0045749F">
        <w:rPr>
          <w:rStyle w:val="ONUMFSChar"/>
        </w:rPr>
        <w:t xml:space="preserve">el Instituto Nacional de </w:t>
      </w:r>
      <w:r w:rsidR="005E0980">
        <w:rPr>
          <w:rStyle w:val="ONUMFSChar"/>
        </w:rPr>
        <w:t xml:space="preserve">Defensa de la Competencia y Protección de la </w:t>
      </w:r>
      <w:r w:rsidR="0045749F">
        <w:rPr>
          <w:rStyle w:val="ONUMFSChar"/>
        </w:rPr>
        <w:t xml:space="preserve">Propiedad Intelectual </w:t>
      </w:r>
      <w:r w:rsidR="005E0980">
        <w:rPr>
          <w:rStyle w:val="ONUMFSChar"/>
        </w:rPr>
        <w:t xml:space="preserve">de Perú </w:t>
      </w:r>
      <w:r w:rsidR="0045749F">
        <w:rPr>
          <w:rStyle w:val="ONUMFSChar"/>
        </w:rPr>
        <w:t xml:space="preserve">presentó la propuesta de </w:t>
      </w:r>
      <w:r w:rsidR="0045749F" w:rsidRPr="0045749F">
        <w:rPr>
          <w:rStyle w:val="ONUMFSChar"/>
          <w:szCs w:val="22"/>
        </w:rPr>
        <w:t>proyecto “</w:t>
      </w:r>
      <w:r w:rsidR="0045749F" w:rsidRPr="0045749F">
        <w:rPr>
          <w:szCs w:val="22"/>
        </w:rPr>
        <w:t>Propiedad Intelectual, Turismo y Gastronomía en el Perú:</w:t>
      </w:r>
      <w:r w:rsidR="00584DA6">
        <w:rPr>
          <w:szCs w:val="22"/>
        </w:rPr>
        <w:t xml:space="preserve"> </w:t>
      </w:r>
      <w:r w:rsidR="0045749F" w:rsidRPr="0045749F">
        <w:rPr>
          <w:szCs w:val="22"/>
        </w:rPr>
        <w:t xml:space="preserve">Fomentando </w:t>
      </w:r>
      <w:r w:rsidR="00E548C8" w:rsidRPr="0045749F">
        <w:rPr>
          <w:szCs w:val="22"/>
        </w:rPr>
        <w:t xml:space="preserve">el desarrollo del turismo y la gastronomía </w:t>
      </w:r>
      <w:r w:rsidR="0045749F" w:rsidRPr="0045749F">
        <w:rPr>
          <w:szCs w:val="22"/>
        </w:rPr>
        <w:t>en el Perú a través de la propiedad intelectual”</w:t>
      </w:r>
      <w:r w:rsidR="0045749F">
        <w:rPr>
          <w:caps/>
          <w:sz w:val="24"/>
        </w:rPr>
        <w:t xml:space="preserve">, </w:t>
      </w:r>
      <w:r w:rsidRPr="00DF7E8E">
        <w:rPr>
          <w:rStyle w:val="ONUMFSChar"/>
        </w:rPr>
        <w:t xml:space="preserve">para </w:t>
      </w:r>
      <w:r w:rsidR="0045749F">
        <w:rPr>
          <w:rStyle w:val="ONUMFSChar"/>
        </w:rPr>
        <w:t>ser examinada</w:t>
      </w:r>
      <w:r w:rsidRPr="00DF7E8E">
        <w:rPr>
          <w:rStyle w:val="ONUMFSChar"/>
        </w:rPr>
        <w:t xml:space="preserve"> en la </w:t>
      </w:r>
      <w:r w:rsidR="0045749F">
        <w:rPr>
          <w:rStyle w:val="ONUMFSChar"/>
        </w:rPr>
        <w:t>vigesimoprimera</w:t>
      </w:r>
      <w:r w:rsidRPr="00DF7E8E">
        <w:rPr>
          <w:rStyle w:val="ONUMFSChar"/>
        </w:rPr>
        <w:t xml:space="preserve"> sesión del CDIP.</w:t>
      </w:r>
      <w:r w:rsidR="001D69C8">
        <w:rPr>
          <w:rStyle w:val="ONUMFSChar"/>
        </w:rPr>
        <w:t xml:space="preserve"> </w:t>
      </w:r>
    </w:p>
    <w:p w:rsidR="00DF7E8E" w:rsidRPr="00A76E9C" w:rsidRDefault="00DF7E8E" w:rsidP="00DF7E8E">
      <w:pPr>
        <w:rPr>
          <w:szCs w:val="22"/>
        </w:rPr>
      </w:pPr>
    </w:p>
    <w:p w:rsidR="00DF7E8E" w:rsidRPr="002B1355" w:rsidRDefault="00DF7E8E" w:rsidP="00DF7E8E">
      <w:pPr>
        <w:rPr>
          <w:rStyle w:val="ONUMFSChar"/>
        </w:rPr>
      </w:pPr>
      <w:r w:rsidRPr="002B1355">
        <w:rPr>
          <w:rStyle w:val="ONUMFSChar"/>
        </w:rPr>
        <w:fldChar w:fldCharType="begin"/>
      </w:r>
      <w:r w:rsidRPr="002B1355">
        <w:rPr>
          <w:rStyle w:val="ONUMFSChar"/>
        </w:rPr>
        <w:instrText xml:space="preserve"> AUTONUM  </w:instrText>
      </w:r>
      <w:r w:rsidRPr="002B1355">
        <w:rPr>
          <w:rStyle w:val="ONUMFSChar"/>
        </w:rPr>
        <w:fldChar w:fldCharType="end"/>
      </w:r>
      <w:r w:rsidRPr="002B1355">
        <w:rPr>
          <w:rStyle w:val="ONUMFSChar"/>
        </w:rPr>
        <w:tab/>
        <w:t>Dicha comunicación se recoge, junto con su anexo, en el Anexo del presente documento.</w:t>
      </w:r>
    </w:p>
    <w:p w:rsidR="00DF7E8E" w:rsidRPr="00A76E9C" w:rsidRDefault="00DF7E8E" w:rsidP="00DF7E8E">
      <w:pPr>
        <w:rPr>
          <w:szCs w:val="22"/>
        </w:rPr>
      </w:pPr>
    </w:p>
    <w:p w:rsidR="00DF7E8E" w:rsidRPr="002B1355" w:rsidRDefault="00DF7E8E" w:rsidP="00DF7E8E">
      <w:pPr>
        <w:tabs>
          <w:tab w:val="left" w:pos="567"/>
        </w:tabs>
        <w:ind w:left="5534"/>
        <w:rPr>
          <w:rStyle w:val="ONUMFSChar"/>
          <w:i/>
        </w:rPr>
      </w:pPr>
      <w:r w:rsidRPr="002B1355">
        <w:rPr>
          <w:rStyle w:val="ONUMFSChar"/>
        </w:rPr>
        <w:fldChar w:fldCharType="begin" w:fldLock="1"/>
      </w:r>
      <w:r w:rsidRPr="002B1355">
        <w:rPr>
          <w:rStyle w:val="ONUMFSChar"/>
        </w:rPr>
        <w:instrText xml:space="preserve"> AUTONUM  </w:instrText>
      </w:r>
      <w:r w:rsidRPr="002B1355">
        <w:rPr>
          <w:rStyle w:val="ONUMFSChar"/>
        </w:rPr>
        <w:fldChar w:fldCharType="end"/>
      </w:r>
      <w:r w:rsidRPr="002B1355">
        <w:rPr>
          <w:rStyle w:val="ONUMFSChar"/>
        </w:rPr>
        <w:tab/>
      </w:r>
      <w:r w:rsidRPr="002B1355">
        <w:rPr>
          <w:rStyle w:val="ONUMFSChar"/>
          <w:i/>
        </w:rPr>
        <w:t xml:space="preserve">Se invita al Comité a </w:t>
      </w:r>
      <w:r w:rsidR="00874C48">
        <w:rPr>
          <w:rStyle w:val="ONUMFSChar"/>
          <w:i/>
        </w:rPr>
        <w:t>considerar el</w:t>
      </w:r>
      <w:r w:rsidRPr="002B1355">
        <w:rPr>
          <w:rStyle w:val="ONUMFSChar"/>
          <w:i/>
        </w:rPr>
        <w:t xml:space="preserve"> Anexo del presente documento.</w:t>
      </w:r>
    </w:p>
    <w:p w:rsidR="00DF7E8E" w:rsidRPr="00A76E9C" w:rsidRDefault="00DF7E8E" w:rsidP="00DF7E8E"/>
    <w:p w:rsidR="00DF7E8E" w:rsidRDefault="00DF7E8E" w:rsidP="00DF7E8E"/>
    <w:p w:rsidR="008321CA" w:rsidRPr="00A76E9C" w:rsidRDefault="008321CA" w:rsidP="00DF7E8E"/>
    <w:p w:rsidR="00DF7E8E" w:rsidRPr="005D38FD" w:rsidRDefault="00DF7E8E" w:rsidP="00DF7E8E">
      <w:pPr>
        <w:pStyle w:val="Endofdocument-Annex"/>
        <w:rPr>
          <w:lang w:val="es-ES_tradnl"/>
        </w:rPr>
      </w:pPr>
      <w:r w:rsidRPr="005D38FD">
        <w:rPr>
          <w:lang w:val="es-ES_tradnl"/>
        </w:rPr>
        <w:t>[Sigue el Anexo]</w:t>
      </w:r>
    </w:p>
    <w:p w:rsidR="008321CA" w:rsidRDefault="008321CA"/>
    <w:p w:rsidR="008321CA" w:rsidRDefault="008321CA">
      <w:pPr>
        <w:sectPr w:rsidR="008321CA" w:rsidSect="00584DA6">
          <w:headerReference w:type="default" r:id="rId10"/>
          <w:pgSz w:w="11906" w:h="16838"/>
          <w:pgMar w:top="567" w:right="1134" w:bottom="1418" w:left="1418" w:header="510" w:footer="1021" w:gutter="0"/>
          <w:cols w:space="720"/>
          <w:titlePg/>
          <w:docGrid w:linePitch="299"/>
        </w:sectPr>
      </w:pPr>
    </w:p>
    <w:p w:rsidR="005F7A0C" w:rsidRDefault="0020060A" w:rsidP="000D377B">
      <w:pPr>
        <w:jc w:val="center"/>
        <w:rPr>
          <w:b/>
          <w:color w:val="212121"/>
          <w:shd w:val="clear" w:color="auto" w:fill="FFFFFF"/>
        </w:rPr>
      </w:pPr>
      <w:r>
        <w:rPr>
          <w:noProof/>
          <w:lang w:val="en-US" w:eastAsia="en-US"/>
        </w:rPr>
        <w:lastRenderedPageBreak/>
        <w:drawing>
          <wp:inline distT="0" distB="0" distL="0" distR="0" wp14:anchorId="0B0DD572" wp14:editId="66977C96">
            <wp:extent cx="5399697" cy="825476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00040" cy="8255292"/>
                    </a:xfrm>
                    <a:prstGeom prst="rect">
                      <a:avLst/>
                    </a:prstGeom>
                  </pic:spPr>
                </pic:pic>
              </a:graphicData>
            </a:graphic>
          </wp:inline>
        </w:drawing>
      </w:r>
    </w:p>
    <w:p w:rsidR="0020060A" w:rsidRDefault="0020060A" w:rsidP="000D377B">
      <w:pPr>
        <w:jc w:val="center"/>
        <w:rPr>
          <w:b/>
          <w:color w:val="212121"/>
          <w:shd w:val="clear" w:color="auto" w:fill="FFFFFF"/>
        </w:rPr>
      </w:pPr>
    </w:p>
    <w:p w:rsidR="0020060A" w:rsidRDefault="0020060A" w:rsidP="000D377B">
      <w:pPr>
        <w:jc w:val="center"/>
        <w:rPr>
          <w:b/>
          <w:color w:val="212121"/>
          <w:shd w:val="clear" w:color="auto" w:fill="FFFFFF"/>
        </w:rPr>
      </w:pPr>
    </w:p>
    <w:p w:rsidR="0020060A" w:rsidRDefault="0020060A" w:rsidP="000D377B">
      <w:pPr>
        <w:jc w:val="center"/>
        <w:rPr>
          <w:b/>
          <w:color w:val="212121"/>
          <w:shd w:val="clear" w:color="auto" w:fill="FFFFFF"/>
        </w:rPr>
      </w:pPr>
    </w:p>
    <w:p w:rsidR="005F7A0C" w:rsidRDefault="005F7A0C" w:rsidP="000D377B">
      <w:pPr>
        <w:jc w:val="center"/>
        <w:rPr>
          <w:b/>
          <w:color w:val="212121"/>
          <w:shd w:val="clear" w:color="auto" w:fill="FFFFFF"/>
        </w:rPr>
      </w:pPr>
      <w:r>
        <w:rPr>
          <w:b/>
          <w:color w:val="212121"/>
          <w:shd w:val="clear" w:color="auto" w:fill="FFFFFF"/>
        </w:rPr>
        <w:lastRenderedPageBreak/>
        <w:t>PROYECTO</w:t>
      </w:r>
    </w:p>
    <w:p w:rsidR="005F7A0C" w:rsidRDefault="005F7A0C" w:rsidP="000D377B">
      <w:pPr>
        <w:jc w:val="center"/>
        <w:rPr>
          <w:b/>
          <w:color w:val="212121"/>
          <w:shd w:val="clear" w:color="auto" w:fill="FFFFFF"/>
        </w:rPr>
      </w:pPr>
    </w:p>
    <w:tbl>
      <w:tblPr>
        <w:tblStyle w:val="TableGrid"/>
        <w:tblW w:w="0" w:type="auto"/>
        <w:tblCellMar>
          <w:left w:w="70" w:type="dxa"/>
          <w:right w:w="70" w:type="dxa"/>
        </w:tblCellMar>
        <w:tblLook w:val="0000" w:firstRow="0" w:lastRow="0" w:firstColumn="0" w:lastColumn="0" w:noHBand="0" w:noVBand="0"/>
      </w:tblPr>
      <w:tblGrid>
        <w:gridCol w:w="1962"/>
        <w:gridCol w:w="6682"/>
      </w:tblGrid>
      <w:tr w:rsidR="005F7A0C" w:rsidTr="000D377B">
        <w:trPr>
          <w:trHeight w:val="285"/>
        </w:trPr>
        <w:tc>
          <w:tcPr>
            <w:tcW w:w="8828" w:type="dxa"/>
            <w:gridSpan w:val="2"/>
          </w:tcPr>
          <w:p w:rsidR="005F7A0C" w:rsidRPr="0023623B" w:rsidRDefault="005F7A0C" w:rsidP="005F7A0C">
            <w:pPr>
              <w:pStyle w:val="ListParagraph"/>
              <w:numPr>
                <w:ilvl w:val="0"/>
                <w:numId w:val="19"/>
              </w:numPr>
              <w:tabs>
                <w:tab w:val="clear" w:pos="1560"/>
              </w:tabs>
              <w:suppressAutoHyphens w:val="0"/>
              <w:spacing w:before="0" w:after="0" w:line="240" w:lineRule="auto"/>
              <w:jc w:val="both"/>
            </w:pPr>
            <w:r w:rsidRPr="0023623B">
              <w:t>RESUMEN</w:t>
            </w:r>
          </w:p>
        </w:tc>
      </w:tr>
      <w:tr w:rsidR="005F7A0C" w:rsidTr="000D377B">
        <w:tblPrEx>
          <w:tblCellMar>
            <w:left w:w="108" w:type="dxa"/>
            <w:right w:w="108" w:type="dxa"/>
          </w:tblCellMar>
          <w:tblLook w:val="04A0" w:firstRow="1" w:lastRow="0" w:firstColumn="1" w:lastColumn="0" w:noHBand="0" w:noVBand="1"/>
        </w:tblPrEx>
        <w:tc>
          <w:tcPr>
            <w:tcW w:w="1980" w:type="dxa"/>
          </w:tcPr>
          <w:p w:rsidR="005F7A0C" w:rsidRPr="000D377B" w:rsidRDefault="005F7A0C" w:rsidP="000D377B">
            <w:pPr>
              <w:jc w:val="both"/>
              <w:rPr>
                <w:u w:val="single"/>
              </w:rPr>
            </w:pPr>
            <w:r w:rsidRPr="000D377B">
              <w:rPr>
                <w:u w:val="single"/>
              </w:rPr>
              <w:t>Titulo</w:t>
            </w:r>
          </w:p>
        </w:tc>
        <w:tc>
          <w:tcPr>
            <w:tcW w:w="6848" w:type="dxa"/>
          </w:tcPr>
          <w:p w:rsidR="005F7A0C" w:rsidRDefault="005F7A0C" w:rsidP="000D377B">
            <w:pPr>
              <w:jc w:val="both"/>
            </w:pPr>
            <w:r>
              <w:t xml:space="preserve">Propiedad Intelectual, Turismo y Gastronomía en el Perú: Fomentando el desarrollo del </w:t>
            </w:r>
            <w:r w:rsidRPr="0097031F">
              <w:t>turismo</w:t>
            </w:r>
            <w:r>
              <w:t xml:space="preserve"> y la gastronomía en el Perú a través del sistema de Propiedad Intelectual.</w:t>
            </w:r>
          </w:p>
          <w:p w:rsidR="005F7A0C" w:rsidRDefault="005F7A0C" w:rsidP="000D377B">
            <w:pPr>
              <w:jc w:val="both"/>
            </w:pPr>
          </w:p>
        </w:tc>
      </w:tr>
      <w:tr w:rsidR="005F7A0C" w:rsidTr="000D377B">
        <w:tblPrEx>
          <w:tblCellMar>
            <w:left w:w="108" w:type="dxa"/>
            <w:right w:w="108" w:type="dxa"/>
          </w:tblCellMar>
          <w:tblLook w:val="04A0" w:firstRow="1" w:lastRow="0" w:firstColumn="1" w:lastColumn="0" w:noHBand="0" w:noVBand="1"/>
        </w:tblPrEx>
        <w:tc>
          <w:tcPr>
            <w:tcW w:w="1980" w:type="dxa"/>
          </w:tcPr>
          <w:p w:rsidR="005F7A0C" w:rsidRDefault="005F7A0C" w:rsidP="00AF5868">
            <w:r w:rsidRPr="000D377B">
              <w:rPr>
                <w:u w:val="single"/>
              </w:rPr>
              <w:t>Breve descripción del proyecto</w:t>
            </w:r>
          </w:p>
        </w:tc>
        <w:tc>
          <w:tcPr>
            <w:tcW w:w="6848" w:type="dxa"/>
          </w:tcPr>
          <w:p w:rsidR="005F7A0C" w:rsidRDefault="005F7A0C" w:rsidP="00C924E5">
            <w:pPr>
              <w:jc w:val="both"/>
            </w:pPr>
            <w:r>
              <w:t xml:space="preserve">El proyecto busca crear conciencia y fomentar el uso del sistema de Propiedad Intelectual (PI) en los </w:t>
            </w:r>
            <w:r w:rsidRPr="0097031F">
              <w:t>sectores turismo y gastronomía</w:t>
            </w:r>
            <w:r>
              <w:t>, como forma de acelerar el desarrollo de la gastronomía peruana, y el aprovechamiento sostenible y respetuoso de la larga y amplia tradición y cultura relacionadas, dando valor agregado a los productos y servicios ofrecidos alrededor de ella.</w:t>
            </w:r>
          </w:p>
          <w:p w:rsidR="005F7A0C" w:rsidRDefault="005F7A0C" w:rsidP="00C924E5">
            <w:pPr>
              <w:jc w:val="both"/>
            </w:pPr>
          </w:p>
          <w:p w:rsidR="005F7A0C" w:rsidRDefault="005F7A0C" w:rsidP="00C924E5">
            <w:pPr>
              <w:jc w:val="both"/>
            </w:pPr>
            <w:r>
              <w:t xml:space="preserve">Para ello, se proponen estrategias y acciones que involucran un </w:t>
            </w:r>
            <w:r w:rsidRPr="0097031F">
              <w:t>trabajo conjunto entre los principales actores vinculados con el turismo, la gastronomía y la PI, tanto del sector público como del sector privado; con la intención de elaborar un protocolo práctico que tenga por objetivo el desarrollo del turismo y la gastronomía a través del uso de las herramientas de la PI.</w:t>
            </w:r>
          </w:p>
          <w:p w:rsidR="005F7A0C" w:rsidRDefault="005F7A0C" w:rsidP="00C924E5">
            <w:pPr>
              <w:jc w:val="both"/>
            </w:pPr>
          </w:p>
          <w:p w:rsidR="005F7A0C" w:rsidRDefault="005F7A0C" w:rsidP="00C924E5">
            <w:pPr>
              <w:jc w:val="both"/>
            </w:pPr>
            <w:r>
              <w:t>Asimismo, como parte de una estrategia de sensibilización entre tales actores, se propone organizar un evento que ayude en la difusión de los beneficios del uso de la PI en el turismo y gastronomía.</w:t>
            </w:r>
          </w:p>
          <w:p w:rsidR="005F7A0C" w:rsidRDefault="005F7A0C" w:rsidP="00C924E5">
            <w:pPr>
              <w:jc w:val="both"/>
            </w:pPr>
          </w:p>
          <w:p w:rsidR="005F7A0C" w:rsidRPr="00315800" w:rsidRDefault="005F7A0C" w:rsidP="0026773B">
            <w:pPr>
              <w:jc w:val="both"/>
            </w:pPr>
            <w:r>
              <w:t>De otro lado, y como un medio para conservar las prácticas tradicionales culinarias peruanas, se propone regular la figura de las especialidades tradicionales garantizadas, para lo cual será necesario analizar la regulación existente en materia de PI en el Perú y estudiar el impacto que ha tenido esta figura jurídica a nivel internacional.</w:t>
            </w:r>
          </w:p>
          <w:p w:rsidR="005F7A0C" w:rsidRDefault="005F7A0C" w:rsidP="008250C7">
            <w:pPr>
              <w:jc w:val="both"/>
            </w:pPr>
          </w:p>
        </w:tc>
      </w:tr>
      <w:tr w:rsidR="005F7A0C" w:rsidTr="000D377B">
        <w:tblPrEx>
          <w:tblCellMar>
            <w:left w:w="108" w:type="dxa"/>
            <w:right w:w="108" w:type="dxa"/>
          </w:tblCellMar>
          <w:tblLook w:val="04A0" w:firstRow="1" w:lastRow="0" w:firstColumn="1" w:lastColumn="0" w:noHBand="0" w:noVBand="1"/>
        </w:tblPrEx>
        <w:tc>
          <w:tcPr>
            <w:tcW w:w="1980" w:type="dxa"/>
          </w:tcPr>
          <w:p w:rsidR="005F7A0C" w:rsidRPr="00C5092B" w:rsidRDefault="005F7A0C" w:rsidP="000D377B">
            <w:pPr>
              <w:jc w:val="both"/>
              <w:rPr>
                <w:u w:val="single"/>
              </w:rPr>
            </w:pPr>
            <w:r>
              <w:rPr>
                <w:u w:val="single"/>
              </w:rPr>
              <w:t>R</w:t>
            </w:r>
            <w:r w:rsidRPr="00C5092B">
              <w:rPr>
                <w:u w:val="single"/>
              </w:rPr>
              <w:t>esultados esperados</w:t>
            </w:r>
          </w:p>
          <w:p w:rsidR="005F7A0C" w:rsidRPr="00C5092B" w:rsidRDefault="005F7A0C" w:rsidP="000D377B">
            <w:pPr>
              <w:jc w:val="both"/>
              <w:rPr>
                <w:u w:val="single"/>
              </w:rPr>
            </w:pPr>
          </w:p>
        </w:tc>
        <w:tc>
          <w:tcPr>
            <w:tcW w:w="6848" w:type="dxa"/>
          </w:tcPr>
          <w:p w:rsidR="005F7A0C" w:rsidRDefault="005F7A0C" w:rsidP="003B69BF">
            <w:pPr>
              <w:jc w:val="both"/>
            </w:pPr>
            <w:r>
              <w:t>Conservar la calidad de la gastronomía tradicional peruana y potenciar su innovación.</w:t>
            </w:r>
          </w:p>
          <w:p w:rsidR="005F7A0C" w:rsidRDefault="005F7A0C" w:rsidP="003B69BF">
            <w:pPr>
              <w:jc w:val="both"/>
            </w:pPr>
          </w:p>
          <w:p w:rsidR="005F7A0C" w:rsidRDefault="005F7A0C" w:rsidP="003B69BF">
            <w:pPr>
              <w:jc w:val="both"/>
            </w:pPr>
            <w:r>
              <w:t xml:space="preserve">Asimismo, incrementar la actividad económica en torno a la gastronomía y </w:t>
            </w:r>
            <w:r w:rsidRPr="0097031F">
              <w:t>el turismo en el Perú, y su valor añadido, mediante el uso intensivo de la PI (garantizando</w:t>
            </w:r>
            <w:r>
              <w:t xml:space="preserve">, por ejemplo, formas tradicionales de preparación, origen geográfico y calidad de insumos, correcta manipulación de alimentos, etc.) como un recurso que permita capitalizar la gran diversidad de productos locales y conocimientos tradicionales que sirven de base al desarrollo de estas actividades. </w:t>
            </w:r>
          </w:p>
          <w:p w:rsidR="005F7A0C" w:rsidRDefault="005F7A0C" w:rsidP="003B69BF">
            <w:pPr>
              <w:jc w:val="both"/>
            </w:pPr>
          </w:p>
        </w:tc>
      </w:tr>
      <w:tr w:rsidR="005F7A0C" w:rsidTr="000D377B">
        <w:tblPrEx>
          <w:tblCellMar>
            <w:left w:w="108" w:type="dxa"/>
            <w:right w:w="108" w:type="dxa"/>
          </w:tblCellMar>
          <w:tblLook w:val="04A0" w:firstRow="1" w:lastRow="0" w:firstColumn="1" w:lastColumn="0" w:noHBand="0" w:noVBand="1"/>
        </w:tblPrEx>
        <w:tc>
          <w:tcPr>
            <w:tcW w:w="1980" w:type="dxa"/>
          </w:tcPr>
          <w:p w:rsidR="005F7A0C" w:rsidRPr="00C5092B" w:rsidRDefault="005F7A0C" w:rsidP="00AF5868">
            <w:pPr>
              <w:rPr>
                <w:u w:val="single"/>
              </w:rPr>
            </w:pPr>
            <w:r>
              <w:rPr>
                <w:u w:val="single"/>
              </w:rPr>
              <w:t>Duración del proy</w:t>
            </w:r>
            <w:r w:rsidRPr="00C5092B">
              <w:rPr>
                <w:u w:val="single"/>
              </w:rPr>
              <w:t>ecto</w:t>
            </w:r>
          </w:p>
          <w:p w:rsidR="005F7A0C" w:rsidRDefault="005F7A0C" w:rsidP="000D377B">
            <w:pPr>
              <w:jc w:val="both"/>
            </w:pPr>
          </w:p>
        </w:tc>
        <w:tc>
          <w:tcPr>
            <w:tcW w:w="6848" w:type="dxa"/>
          </w:tcPr>
          <w:p w:rsidR="005F7A0C" w:rsidRDefault="005F7A0C" w:rsidP="000D377B">
            <w:pPr>
              <w:jc w:val="both"/>
            </w:pPr>
            <w:r>
              <w:t>36 meses</w:t>
            </w:r>
          </w:p>
        </w:tc>
      </w:tr>
      <w:tr w:rsidR="005F7A0C" w:rsidTr="000D377B">
        <w:tblPrEx>
          <w:tblCellMar>
            <w:left w:w="108" w:type="dxa"/>
            <w:right w:w="108" w:type="dxa"/>
          </w:tblCellMar>
          <w:tblLook w:val="04A0" w:firstRow="1" w:lastRow="0" w:firstColumn="1" w:lastColumn="0" w:noHBand="0" w:noVBand="1"/>
        </w:tblPrEx>
        <w:tc>
          <w:tcPr>
            <w:tcW w:w="1980" w:type="dxa"/>
          </w:tcPr>
          <w:p w:rsidR="005F7A0C" w:rsidRDefault="005F7A0C" w:rsidP="000D377B">
            <w:pPr>
              <w:jc w:val="both"/>
              <w:rPr>
                <w:u w:val="single"/>
              </w:rPr>
            </w:pPr>
            <w:r>
              <w:rPr>
                <w:u w:val="single"/>
              </w:rPr>
              <w:t>Presupuesto del proyecto</w:t>
            </w:r>
          </w:p>
          <w:p w:rsidR="005F7A0C" w:rsidRPr="00C5092B" w:rsidRDefault="005F7A0C" w:rsidP="000D377B">
            <w:pPr>
              <w:jc w:val="both"/>
              <w:rPr>
                <w:u w:val="single"/>
              </w:rPr>
            </w:pPr>
          </w:p>
        </w:tc>
        <w:tc>
          <w:tcPr>
            <w:tcW w:w="6848" w:type="dxa"/>
          </w:tcPr>
          <w:p w:rsidR="005F7A0C" w:rsidRDefault="005F7A0C" w:rsidP="000D377B">
            <w:pPr>
              <w:jc w:val="both"/>
            </w:pPr>
          </w:p>
          <w:p w:rsidR="005F7A0C" w:rsidRDefault="005F7A0C" w:rsidP="000D377B">
            <w:pPr>
              <w:jc w:val="both"/>
            </w:pPr>
          </w:p>
          <w:p w:rsidR="005770EA" w:rsidRDefault="005770EA" w:rsidP="000D377B">
            <w:pPr>
              <w:jc w:val="both"/>
            </w:pPr>
          </w:p>
          <w:p w:rsidR="005770EA" w:rsidRDefault="005770EA" w:rsidP="000D377B">
            <w:pPr>
              <w:jc w:val="both"/>
            </w:pPr>
          </w:p>
          <w:p w:rsidR="005F7A0C" w:rsidRDefault="005F7A0C" w:rsidP="005A5640">
            <w:pPr>
              <w:jc w:val="both"/>
            </w:pPr>
          </w:p>
        </w:tc>
      </w:tr>
      <w:tr w:rsidR="005F7A0C" w:rsidTr="00671828">
        <w:tblPrEx>
          <w:tblCellMar>
            <w:left w:w="108" w:type="dxa"/>
            <w:right w:w="108" w:type="dxa"/>
          </w:tblCellMar>
          <w:tblLook w:val="04A0" w:firstRow="1" w:lastRow="0" w:firstColumn="1" w:lastColumn="0" w:noHBand="0" w:noVBand="1"/>
        </w:tblPrEx>
        <w:tc>
          <w:tcPr>
            <w:tcW w:w="8828" w:type="dxa"/>
            <w:gridSpan w:val="2"/>
          </w:tcPr>
          <w:p w:rsidR="005F7A0C" w:rsidRPr="00C5092B" w:rsidRDefault="005F7A0C" w:rsidP="005F7A0C">
            <w:pPr>
              <w:pStyle w:val="ListParagraph"/>
              <w:numPr>
                <w:ilvl w:val="0"/>
                <w:numId w:val="19"/>
              </w:numPr>
              <w:tabs>
                <w:tab w:val="clear" w:pos="1560"/>
              </w:tabs>
              <w:suppressAutoHyphens w:val="0"/>
              <w:spacing w:before="0" w:after="0" w:line="240" w:lineRule="auto"/>
              <w:jc w:val="both"/>
            </w:pPr>
            <w:r>
              <w:lastRenderedPageBreak/>
              <w:t>DESCRIPCION DEL PROYECTO</w:t>
            </w:r>
          </w:p>
        </w:tc>
      </w:tr>
      <w:tr w:rsidR="005F7A0C" w:rsidTr="00671828">
        <w:tblPrEx>
          <w:tblCellMar>
            <w:left w:w="108" w:type="dxa"/>
            <w:right w:w="108" w:type="dxa"/>
          </w:tblCellMar>
          <w:tblLook w:val="04A0" w:firstRow="1" w:lastRow="0" w:firstColumn="1" w:lastColumn="0" w:noHBand="0" w:noVBand="1"/>
        </w:tblPrEx>
        <w:tc>
          <w:tcPr>
            <w:tcW w:w="8828" w:type="dxa"/>
            <w:gridSpan w:val="2"/>
          </w:tcPr>
          <w:p w:rsidR="005F7A0C" w:rsidRDefault="005F7A0C" w:rsidP="00DC1EC6">
            <w:pPr>
              <w:ind w:left="-120" w:firstLine="708"/>
              <w:jc w:val="both"/>
            </w:pPr>
          </w:p>
          <w:p w:rsidR="005F7A0C" w:rsidRPr="00250C10" w:rsidRDefault="005F7A0C" w:rsidP="005F7A0C">
            <w:pPr>
              <w:pStyle w:val="ListParagraph"/>
              <w:numPr>
                <w:ilvl w:val="1"/>
                <w:numId w:val="22"/>
              </w:numPr>
              <w:tabs>
                <w:tab w:val="clear" w:pos="1560"/>
              </w:tabs>
              <w:suppressAutoHyphens w:val="0"/>
              <w:spacing w:before="0" w:after="0" w:line="240" w:lineRule="auto"/>
              <w:jc w:val="both"/>
            </w:pPr>
            <w:r w:rsidRPr="00250C10">
              <w:rPr>
                <w:u w:val="single"/>
              </w:rPr>
              <w:t>Introducción a la problemática</w:t>
            </w:r>
          </w:p>
          <w:p w:rsidR="005F7A0C" w:rsidRDefault="005F7A0C" w:rsidP="00DC1EC6">
            <w:pPr>
              <w:ind w:left="-120" w:firstLine="708"/>
              <w:jc w:val="both"/>
            </w:pPr>
          </w:p>
        </w:tc>
      </w:tr>
      <w:tr w:rsidR="005F7A0C" w:rsidTr="00487758">
        <w:tblPrEx>
          <w:tblCellMar>
            <w:left w:w="108" w:type="dxa"/>
            <w:right w:w="108" w:type="dxa"/>
          </w:tblCellMar>
          <w:tblLook w:val="04A0" w:firstRow="1" w:lastRow="0" w:firstColumn="1" w:lastColumn="0" w:noHBand="0" w:noVBand="1"/>
        </w:tblPrEx>
        <w:trPr>
          <w:trHeight w:val="1842"/>
        </w:trPr>
        <w:tc>
          <w:tcPr>
            <w:tcW w:w="8828" w:type="dxa"/>
            <w:gridSpan w:val="2"/>
          </w:tcPr>
          <w:p w:rsidR="005F7A0C" w:rsidRPr="00DC1EC6" w:rsidRDefault="005F7A0C" w:rsidP="00DC1EC6">
            <w:pPr>
              <w:jc w:val="both"/>
            </w:pPr>
          </w:p>
          <w:p w:rsidR="005F7A0C" w:rsidRDefault="005F7A0C" w:rsidP="000B60A2">
            <w:pPr>
              <w:jc w:val="both"/>
            </w:pPr>
            <w:r w:rsidRPr="00C924E5">
              <w:t>E</w:t>
            </w:r>
            <w:r>
              <w:t>n la actualidad, e</w:t>
            </w:r>
            <w:r w:rsidRPr="00C924E5">
              <w:t xml:space="preserve">l turismo </w:t>
            </w:r>
            <w:r>
              <w:t xml:space="preserve">constituye </w:t>
            </w:r>
            <w:r w:rsidRPr="00C924E5">
              <w:t>un</w:t>
            </w:r>
            <w:r>
              <w:t xml:space="preserve">a importante </w:t>
            </w:r>
            <w:r w:rsidRPr="00C924E5">
              <w:t>fuente de ingresos para</w:t>
            </w:r>
            <w:r>
              <w:t xml:space="preserve"> l</w:t>
            </w:r>
            <w:r w:rsidRPr="00C924E5">
              <w:t>os países</w:t>
            </w:r>
            <w:r>
              <w:t>, representando incluso para algunos países en vías de desarrollo, una de sus fuentes más relevantes.</w:t>
            </w:r>
          </w:p>
          <w:p w:rsidR="005F7A0C" w:rsidRDefault="005F7A0C" w:rsidP="000B60A2">
            <w:pPr>
              <w:jc w:val="both"/>
            </w:pPr>
          </w:p>
          <w:p w:rsidR="005F7A0C" w:rsidRDefault="005F7A0C" w:rsidP="00C77953">
            <w:pPr>
              <w:jc w:val="both"/>
            </w:pPr>
            <w:r>
              <w:t>En el Perú, de acuerdo con</w:t>
            </w:r>
            <w:r w:rsidRPr="00C924E5">
              <w:t xml:space="preserve"> «Evaluación de mercado para el análisis del t</w:t>
            </w:r>
            <w:r>
              <w:t>urismo gastronómico en el Perú», presentado por la Comisión de Promoción del Perú para la Exportación y el Turismo – PROMPERÚ en el año 2017, los</w:t>
            </w:r>
            <w:r w:rsidRPr="00C924E5">
              <w:t xml:space="preserve"> principales focos de atracción turístic</w:t>
            </w:r>
            <w:r>
              <w:t>a</w:t>
            </w:r>
            <w:r w:rsidRPr="00C924E5">
              <w:t xml:space="preserve"> </w:t>
            </w:r>
            <w:r>
              <w:t>son</w:t>
            </w:r>
            <w:r w:rsidRPr="00C924E5">
              <w:t xml:space="preserve"> </w:t>
            </w:r>
            <w:r>
              <w:t xml:space="preserve">la </w:t>
            </w:r>
            <w:r w:rsidRPr="00C924E5">
              <w:t>cocina (59%), Machu Picchu (60%) y diversos paisajes naturales (61%)</w:t>
            </w:r>
            <w:r>
              <w:t>. En</w:t>
            </w:r>
            <w:r w:rsidRPr="00C924E5">
              <w:t xml:space="preserve"> dicha evaluación </w:t>
            </w:r>
            <w:r>
              <w:t xml:space="preserve">se destaca </w:t>
            </w:r>
            <w:r w:rsidRPr="00C924E5">
              <w:t>que el 82% de los turistas identifican al Perú como un destino gastronómico.</w:t>
            </w:r>
            <w:r>
              <w:t xml:space="preserve"> En relación con ello, cabe destacar que el </w:t>
            </w:r>
            <w:r w:rsidRPr="00C73327">
              <w:t>Perú ha sido elegido el mejor destino culinario por sexto año consecutivo</w:t>
            </w:r>
            <w:r>
              <w:t>,</w:t>
            </w:r>
            <w:r w:rsidRPr="00C73327">
              <w:t xml:space="preserve"> por los </w:t>
            </w:r>
            <w:proofErr w:type="spellStart"/>
            <w:r w:rsidRPr="00C73327">
              <w:t>World</w:t>
            </w:r>
            <w:proofErr w:type="spellEnd"/>
            <w:r w:rsidRPr="00C73327">
              <w:t xml:space="preserve"> Travel </w:t>
            </w:r>
            <w:proofErr w:type="spellStart"/>
            <w:r w:rsidRPr="00C73327">
              <w:t>Awards</w:t>
            </w:r>
            <w:proofErr w:type="spellEnd"/>
            <w:r w:rsidRPr="00C73327">
              <w:t xml:space="preserve"> 2017</w:t>
            </w:r>
            <w:r>
              <w:t>.</w:t>
            </w:r>
          </w:p>
          <w:p w:rsidR="005F7A0C" w:rsidRDefault="005F7A0C" w:rsidP="000B60A2">
            <w:pPr>
              <w:jc w:val="both"/>
            </w:pPr>
          </w:p>
          <w:p w:rsidR="005F7A0C" w:rsidRDefault="005F7A0C" w:rsidP="000259FA">
            <w:pPr>
              <w:jc w:val="both"/>
            </w:pPr>
            <w:r w:rsidRPr="000259FA">
              <w:t>La variedad de productos peruanos de alta calidad vinculada a la historia, al terruño y a formas tradicionales de cultivo, producción o elaboración, viene siendo reconocida a nivel mundial a través de su gastronomía.</w:t>
            </w:r>
          </w:p>
          <w:p w:rsidR="005F7A0C" w:rsidRDefault="005F7A0C" w:rsidP="000B60A2">
            <w:pPr>
              <w:jc w:val="both"/>
            </w:pPr>
          </w:p>
          <w:p w:rsidR="005F7A0C" w:rsidRDefault="005F7A0C" w:rsidP="000B60A2">
            <w:pPr>
              <w:jc w:val="both"/>
            </w:pPr>
            <w:r>
              <w:t xml:space="preserve">La gastronomía peruana </w:t>
            </w:r>
            <w:r w:rsidRPr="000651D2">
              <w:t xml:space="preserve">no sólo </w:t>
            </w:r>
            <w:r>
              <w:t>abarca</w:t>
            </w:r>
            <w:r w:rsidRPr="000651D2">
              <w:t xml:space="preserve"> a los platos y recetas, sino a los productos agrícolas, ingredientes, técnicas de producción y alimentación (</w:t>
            </w:r>
            <w:r>
              <w:t>l</w:t>
            </w:r>
            <w:r w:rsidRPr="000651D2">
              <w:t>a pachamanca</w:t>
            </w:r>
            <w:r>
              <w:t>, por ejemplo</w:t>
            </w:r>
            <w:r w:rsidRPr="000651D2">
              <w:t xml:space="preserve">), artefactos alimentarios, rituales de alimentación, </w:t>
            </w:r>
            <w:r>
              <w:t>entre otros</w:t>
            </w:r>
            <w:r w:rsidRPr="000651D2">
              <w:t xml:space="preserve">. </w:t>
            </w:r>
            <w:r>
              <w:t xml:space="preserve">Así, </w:t>
            </w:r>
            <w:r w:rsidRPr="0027562D">
              <w:t xml:space="preserve">la gastronomía </w:t>
            </w:r>
            <w:r>
              <w:t xml:space="preserve">peruana no solo </w:t>
            </w:r>
            <w:r w:rsidRPr="0027562D">
              <w:t xml:space="preserve">abre campos para el desarrollo de </w:t>
            </w:r>
            <w:r>
              <w:t>la</w:t>
            </w:r>
            <w:r w:rsidRPr="0027562D">
              <w:t xml:space="preserve"> agricultura, ganadería y pesca al crear demanda para productos</w:t>
            </w:r>
            <w:r>
              <w:t xml:space="preserve"> peruanos</w:t>
            </w:r>
            <w:r w:rsidRPr="0027562D">
              <w:t xml:space="preserve">, </w:t>
            </w:r>
            <w:r>
              <w:t xml:space="preserve">sino que además </w:t>
            </w:r>
            <w:r w:rsidRPr="0027562D">
              <w:t>desencaden</w:t>
            </w:r>
            <w:r>
              <w:t>a</w:t>
            </w:r>
            <w:r w:rsidRPr="0027562D">
              <w:t xml:space="preserve"> nuevos negocios y demanda por mayor calidad en el campo peruano. </w:t>
            </w:r>
          </w:p>
          <w:p w:rsidR="005F7A0C" w:rsidRDefault="005F7A0C" w:rsidP="000B60A2">
            <w:pPr>
              <w:jc w:val="both"/>
            </w:pPr>
          </w:p>
          <w:p w:rsidR="005F7A0C" w:rsidRDefault="005F7A0C" w:rsidP="000B60A2">
            <w:pPr>
              <w:jc w:val="both"/>
            </w:pPr>
            <w:r>
              <w:t xml:space="preserve">Los reconocimientos internacionales de restaurantes peruanos explican la alta demanda de los tours gastronómicos, a través de los cuales se puede descubrir el arte culinario de los antepasados peruanos, el cual perdura gracias a la fusión de alimentos y técnicas vanguardistas. Los referidos tours gastronómicos no solo incluyen visitas a restaurantes de alta cocina, sino también visitas a granjas que producen los ingredientes que componen los platillos, así como a mercados y tiendas donde se comercializan insumos, clases participativas, degustaciones, entre otros. </w:t>
            </w:r>
          </w:p>
          <w:p w:rsidR="005F7A0C" w:rsidRDefault="005F7A0C" w:rsidP="000B60A2">
            <w:pPr>
              <w:jc w:val="both"/>
            </w:pPr>
          </w:p>
          <w:p w:rsidR="005F7A0C" w:rsidRPr="006367F4" w:rsidRDefault="005F7A0C" w:rsidP="000B60A2">
            <w:pPr>
              <w:jc w:val="both"/>
            </w:pPr>
            <w:r w:rsidRPr="006367F4">
              <w:t xml:space="preserve">Esta información </w:t>
            </w:r>
            <w:r>
              <w:t xml:space="preserve">revela </w:t>
            </w:r>
            <w:r w:rsidRPr="006367F4">
              <w:t xml:space="preserve">una invalorable oportunidad para generar las condiciones de desarrollo económico y social en las poblaciones de las zonas potencialmente turísticas, atraer inversiones y generar un espacio para propuestas desde el terreno de la </w:t>
            </w:r>
            <w:r>
              <w:t>PI</w:t>
            </w:r>
            <w:r w:rsidRPr="006367F4">
              <w:t>.</w:t>
            </w:r>
          </w:p>
          <w:p w:rsidR="005F7A0C" w:rsidRPr="006367F4" w:rsidRDefault="005F7A0C" w:rsidP="000B60A2">
            <w:pPr>
              <w:jc w:val="both"/>
            </w:pPr>
          </w:p>
          <w:p w:rsidR="005F7A0C" w:rsidRPr="006367F4" w:rsidRDefault="005F7A0C" w:rsidP="000B60A2">
            <w:pPr>
              <w:pStyle w:val="HTMLPreformatted"/>
              <w:jc w:val="both"/>
              <w:rPr>
                <w:rFonts w:ascii="Arial" w:hAnsi="Arial" w:cs="Arial"/>
                <w:sz w:val="22"/>
              </w:rPr>
            </w:pPr>
            <w:r w:rsidRPr="006367F4">
              <w:rPr>
                <w:rFonts w:ascii="Arial" w:hAnsi="Arial" w:cs="Arial"/>
                <w:sz w:val="22"/>
              </w:rPr>
              <w:t>Es importante destacar que los servicios prestados a través de restaurantes,</w:t>
            </w:r>
            <w:r>
              <w:rPr>
                <w:rFonts w:ascii="Arial" w:hAnsi="Arial" w:cs="Arial"/>
                <w:sz w:val="22"/>
              </w:rPr>
              <w:t xml:space="preserve"> asociaciones de hoteles y operadores de viaje</w:t>
            </w:r>
            <w:r w:rsidRPr="006367F4">
              <w:rPr>
                <w:rFonts w:ascii="Arial" w:hAnsi="Arial" w:cs="Arial"/>
                <w:sz w:val="22"/>
              </w:rPr>
              <w:t xml:space="preserve"> concentran gran cantidad de mano de obra calificada, lo cual trae consigo un número elevado del porcentaje de empleabilidad bien remunerado y la revalorización de los productos tradicionales, en beneficio de las familias productoras del campo y también de los cocineros.</w:t>
            </w:r>
          </w:p>
          <w:p w:rsidR="005F7A0C" w:rsidRDefault="005F7A0C" w:rsidP="000B60A2">
            <w:pPr>
              <w:jc w:val="both"/>
            </w:pPr>
          </w:p>
          <w:p w:rsidR="005F7A0C" w:rsidRDefault="005F7A0C" w:rsidP="000B60A2">
            <w:pPr>
              <w:jc w:val="both"/>
            </w:pPr>
            <w:r>
              <w:t>Los agentes involucrados</w:t>
            </w:r>
            <w:r w:rsidRPr="00C73327">
              <w:t xml:space="preserve"> en </w:t>
            </w:r>
            <w:r>
              <w:t>la industria gastronómica</w:t>
            </w:r>
            <w:r w:rsidRPr="00C73327">
              <w:t xml:space="preserve"> desempeña</w:t>
            </w:r>
            <w:r>
              <w:t>n</w:t>
            </w:r>
            <w:r w:rsidRPr="00C73327">
              <w:t xml:space="preserve"> </w:t>
            </w:r>
            <w:r>
              <w:t xml:space="preserve">pues </w:t>
            </w:r>
            <w:r w:rsidRPr="00C73327">
              <w:t>un papel clave en la prestaci</w:t>
            </w:r>
            <w:r>
              <w:t>ón de servicios de alta calidad</w:t>
            </w:r>
            <w:r w:rsidRPr="00C73327">
              <w:t xml:space="preserve"> a los turistas respondiendo a sus necesidades más específicas</w:t>
            </w:r>
            <w:r>
              <w:t xml:space="preserve">. Para </w:t>
            </w:r>
            <w:r w:rsidRPr="00C73327">
              <w:t>hacerlo, pueden beneficiarse fuertemente del</w:t>
            </w:r>
            <w:r>
              <w:t xml:space="preserve"> uso estratégico del sistema de </w:t>
            </w:r>
            <w:r w:rsidRPr="00C73327">
              <w:t>P</w:t>
            </w:r>
            <w:r>
              <w:t xml:space="preserve">I. Así, los cocineros pueden valerse de marcas, nombres y lemas comerciales en relación con los productos y servicios que ofrecen en sus restaurantes, y eventualmente podrían contar con derechos de autor sobre formas </w:t>
            </w:r>
            <w:r>
              <w:lastRenderedPageBreak/>
              <w:t>originales de expresión de sus cartas o menús; por su parte, quienes están detrás de los insumos utilizados por los chefs, como por ejemplo es el caso de los productores, pueden también utilizar el sistema de PI a través de marcas colectivas, marcas de certificación, denominaciones de origen, variedades vegetales y conocimientos tradicionales, folclor, entre otros.</w:t>
            </w:r>
          </w:p>
          <w:p w:rsidR="005F7A0C" w:rsidRDefault="005F7A0C" w:rsidP="000B60A2">
            <w:pPr>
              <w:jc w:val="both"/>
            </w:pPr>
          </w:p>
          <w:p w:rsidR="005F7A0C" w:rsidRDefault="005F7A0C" w:rsidP="00250C10">
            <w:pPr>
              <w:jc w:val="both"/>
            </w:pPr>
            <w:r>
              <w:t>Otra manera</w:t>
            </w:r>
            <w:r w:rsidRPr="008250C7">
              <w:t xml:space="preserve"> de </w:t>
            </w:r>
            <w:r>
              <w:t>cautelar</w:t>
            </w:r>
            <w:r w:rsidRPr="008250C7">
              <w:t xml:space="preserve"> las expresiones de nuestra gastronomía y los insumos que la componen, están dadas por las Especialidades Tradicionales Garantizadas (ETG), que buscan proteger los productos y las recetas tradicionales.</w:t>
            </w:r>
          </w:p>
          <w:p w:rsidR="005F7A0C" w:rsidRDefault="005F7A0C" w:rsidP="00250C10">
            <w:pPr>
              <w:jc w:val="both"/>
            </w:pPr>
          </w:p>
          <w:p w:rsidR="005F7A0C" w:rsidRDefault="005F7A0C" w:rsidP="00487758">
            <w:pPr>
              <w:jc w:val="both"/>
            </w:pPr>
            <w:r>
              <w:t xml:space="preserve">Pese a lo anterior, no se aprecia un uso intensivo de los elementos de la PI en los sectores </w:t>
            </w:r>
            <w:r w:rsidRPr="0027562D">
              <w:t>turismo</w:t>
            </w:r>
            <w:r>
              <w:t xml:space="preserve"> y gastronomía peruanos. Un reflejo de lo anterior es que, en materia de marcas, de acuerdo a información estadística generada por el INDECOPI, del total de marcas registradas en el año 2017 a residentes peruanos, sólo el 5.6 % correspondió a servicios de restauración y hospedaje. </w:t>
            </w:r>
          </w:p>
          <w:p w:rsidR="005F7A0C" w:rsidRDefault="005F7A0C" w:rsidP="00487758">
            <w:pPr>
              <w:jc w:val="both"/>
            </w:pPr>
          </w:p>
          <w:p w:rsidR="005F7A0C" w:rsidRDefault="005F7A0C" w:rsidP="00487758">
            <w:pPr>
              <w:jc w:val="both"/>
            </w:pPr>
            <w:r>
              <w:t>En adición a lo expuesto, elementos como la ETG, por ejemplo, no se encuentran regulados en la legislación peruana, lo cual limita posibilidades efectivas de protección de productos y recetas tradicionales en el país.</w:t>
            </w:r>
          </w:p>
          <w:p w:rsidR="005F7A0C" w:rsidRPr="006367F4" w:rsidRDefault="005F7A0C" w:rsidP="00487758">
            <w:pPr>
              <w:jc w:val="both"/>
            </w:pPr>
          </w:p>
        </w:tc>
      </w:tr>
      <w:tr w:rsidR="005F7A0C" w:rsidTr="00671828">
        <w:tblPrEx>
          <w:tblCellMar>
            <w:left w:w="108" w:type="dxa"/>
            <w:right w:w="108" w:type="dxa"/>
          </w:tblCellMar>
          <w:tblLook w:val="04A0" w:firstRow="1" w:lastRow="0" w:firstColumn="1" w:lastColumn="0" w:noHBand="0" w:noVBand="1"/>
        </w:tblPrEx>
        <w:tc>
          <w:tcPr>
            <w:tcW w:w="8828" w:type="dxa"/>
            <w:gridSpan w:val="2"/>
          </w:tcPr>
          <w:p w:rsidR="005F7A0C" w:rsidRPr="00972052" w:rsidRDefault="005F7A0C" w:rsidP="005F7A0C">
            <w:pPr>
              <w:pStyle w:val="ListParagraph"/>
              <w:numPr>
                <w:ilvl w:val="1"/>
                <w:numId w:val="22"/>
              </w:numPr>
              <w:tabs>
                <w:tab w:val="clear" w:pos="1560"/>
              </w:tabs>
              <w:suppressAutoHyphens w:val="0"/>
              <w:spacing w:before="0" w:after="0" w:line="240" w:lineRule="auto"/>
              <w:jc w:val="both"/>
            </w:pPr>
            <w:r w:rsidRPr="00972052">
              <w:rPr>
                <w:u w:val="single"/>
              </w:rPr>
              <w:lastRenderedPageBreak/>
              <w:t>Objetivos</w:t>
            </w:r>
          </w:p>
        </w:tc>
      </w:tr>
      <w:tr w:rsidR="005F7A0C" w:rsidTr="00671828">
        <w:tblPrEx>
          <w:tblCellMar>
            <w:left w:w="108" w:type="dxa"/>
            <w:right w:w="108" w:type="dxa"/>
          </w:tblCellMar>
          <w:tblLook w:val="04A0" w:firstRow="1" w:lastRow="0" w:firstColumn="1" w:lastColumn="0" w:noHBand="0" w:noVBand="1"/>
        </w:tblPrEx>
        <w:tc>
          <w:tcPr>
            <w:tcW w:w="8828" w:type="dxa"/>
            <w:gridSpan w:val="2"/>
          </w:tcPr>
          <w:p w:rsidR="005F7A0C" w:rsidRDefault="005F7A0C" w:rsidP="006F7D99">
            <w:pPr>
              <w:pStyle w:val="HTMLPreformatted"/>
              <w:rPr>
                <w:rFonts w:ascii="Arial" w:hAnsi="Arial" w:cs="Arial"/>
                <w:color w:val="222222"/>
                <w:sz w:val="22"/>
                <w:u w:val="single"/>
                <w:lang w:val="es-ES"/>
              </w:rPr>
            </w:pPr>
          </w:p>
          <w:p w:rsidR="005F7A0C" w:rsidRPr="006F7D99" w:rsidRDefault="005F7A0C" w:rsidP="006F7D99">
            <w:pPr>
              <w:pStyle w:val="HTMLPreformatted"/>
              <w:rPr>
                <w:rFonts w:ascii="Arial" w:hAnsi="Arial" w:cs="Arial"/>
                <w:color w:val="222222"/>
                <w:sz w:val="22"/>
                <w:lang w:val="es-ES"/>
              </w:rPr>
            </w:pPr>
            <w:r w:rsidRPr="002C3E52">
              <w:rPr>
                <w:rFonts w:ascii="Arial" w:hAnsi="Arial" w:cs="Arial"/>
                <w:color w:val="222222"/>
                <w:sz w:val="22"/>
                <w:u w:val="single"/>
                <w:lang w:val="es-ES"/>
              </w:rPr>
              <w:t>Objetivo general</w:t>
            </w:r>
            <w:r w:rsidRPr="006F7D99">
              <w:rPr>
                <w:rFonts w:ascii="Arial" w:hAnsi="Arial" w:cs="Arial"/>
                <w:color w:val="222222"/>
                <w:sz w:val="22"/>
                <w:lang w:val="es-ES"/>
              </w:rPr>
              <w:t>:</w:t>
            </w:r>
          </w:p>
          <w:p w:rsidR="005F7A0C" w:rsidRDefault="005F7A0C" w:rsidP="006F7D99">
            <w:pPr>
              <w:pStyle w:val="HTMLPreformatted"/>
              <w:rPr>
                <w:rFonts w:ascii="Arial" w:hAnsi="Arial" w:cs="Arial"/>
                <w:color w:val="222222"/>
                <w:sz w:val="22"/>
                <w:lang w:val="es-ES"/>
              </w:rPr>
            </w:pPr>
          </w:p>
          <w:p w:rsidR="005F7A0C" w:rsidRDefault="005F7A0C" w:rsidP="000B60A2">
            <w:pPr>
              <w:jc w:val="both"/>
            </w:pPr>
            <w:r>
              <w:t xml:space="preserve">Promover el uso del sistema de PI en los sectores </w:t>
            </w:r>
            <w:r w:rsidRPr="0027562D">
              <w:t>turismo</w:t>
            </w:r>
            <w:r>
              <w:t xml:space="preserve"> y gastronomía.</w:t>
            </w:r>
          </w:p>
          <w:p w:rsidR="005F7A0C" w:rsidRDefault="005F7A0C" w:rsidP="006F7D99">
            <w:pPr>
              <w:pStyle w:val="HTMLPreformatted"/>
              <w:rPr>
                <w:rFonts w:ascii="Arial" w:hAnsi="Arial" w:cs="Arial"/>
                <w:color w:val="222222"/>
                <w:sz w:val="22"/>
              </w:rPr>
            </w:pPr>
          </w:p>
          <w:p w:rsidR="005F7A0C" w:rsidRDefault="005F7A0C" w:rsidP="006F7D99">
            <w:pPr>
              <w:pStyle w:val="HTMLPreformatted"/>
              <w:rPr>
                <w:rFonts w:ascii="Arial" w:hAnsi="Arial" w:cs="Arial"/>
                <w:color w:val="222222"/>
                <w:sz w:val="22"/>
                <w:lang w:val="es-ES"/>
              </w:rPr>
            </w:pPr>
            <w:r w:rsidRPr="002C3E52">
              <w:rPr>
                <w:rFonts w:ascii="Arial" w:hAnsi="Arial" w:cs="Arial"/>
                <w:color w:val="222222"/>
                <w:sz w:val="22"/>
                <w:u w:val="single"/>
                <w:lang w:val="es-ES"/>
              </w:rPr>
              <w:t>Objetivos específicos</w:t>
            </w:r>
            <w:r w:rsidRPr="006F7D99">
              <w:rPr>
                <w:rFonts w:ascii="Arial" w:hAnsi="Arial" w:cs="Arial"/>
                <w:color w:val="222222"/>
                <w:sz w:val="22"/>
                <w:lang w:val="es-ES"/>
              </w:rPr>
              <w:t>:</w:t>
            </w:r>
            <w:r>
              <w:rPr>
                <w:rFonts w:ascii="Arial" w:hAnsi="Arial" w:cs="Arial"/>
                <w:color w:val="222222"/>
                <w:sz w:val="22"/>
                <w:lang w:val="es-ES"/>
              </w:rPr>
              <w:t xml:space="preserve"> </w:t>
            </w:r>
          </w:p>
          <w:p w:rsidR="005F7A0C" w:rsidRPr="006F7D99" w:rsidRDefault="005F7A0C" w:rsidP="006F7D99">
            <w:pPr>
              <w:pStyle w:val="HTMLPreformatted"/>
              <w:rPr>
                <w:rFonts w:ascii="Arial" w:hAnsi="Arial" w:cs="Arial"/>
                <w:color w:val="222222"/>
                <w:sz w:val="22"/>
                <w:lang w:val="es-ES"/>
              </w:rPr>
            </w:pPr>
          </w:p>
          <w:p w:rsidR="005F7A0C" w:rsidRDefault="005F7A0C" w:rsidP="005F7A0C">
            <w:pPr>
              <w:pStyle w:val="HTMLPreformatted"/>
              <w:numPr>
                <w:ilvl w:val="0"/>
                <w:numId w:val="21"/>
              </w:numPr>
              <w:ind w:left="447" w:hanging="425"/>
              <w:jc w:val="both"/>
              <w:rPr>
                <w:rFonts w:ascii="Arial" w:hAnsi="Arial" w:cs="Arial"/>
                <w:color w:val="222222"/>
                <w:sz w:val="22"/>
                <w:lang w:val="es-ES"/>
              </w:rPr>
            </w:pPr>
            <w:r w:rsidRPr="006F7D99">
              <w:rPr>
                <w:rFonts w:ascii="Arial" w:hAnsi="Arial" w:cs="Arial"/>
                <w:color w:val="222222"/>
                <w:sz w:val="22"/>
                <w:lang w:val="es-ES"/>
              </w:rPr>
              <w:t xml:space="preserve">Crear capacidades </w:t>
            </w:r>
            <w:r>
              <w:rPr>
                <w:rFonts w:ascii="Arial" w:hAnsi="Arial" w:cs="Arial"/>
                <w:color w:val="222222"/>
                <w:sz w:val="22"/>
                <w:lang w:val="es-ES"/>
              </w:rPr>
              <w:t xml:space="preserve">en favor de </w:t>
            </w:r>
            <w:r w:rsidRPr="006F7D99">
              <w:rPr>
                <w:rFonts w:ascii="Arial" w:hAnsi="Arial" w:cs="Arial"/>
                <w:color w:val="222222"/>
                <w:sz w:val="22"/>
                <w:lang w:val="es-ES"/>
              </w:rPr>
              <w:t>l</w:t>
            </w:r>
            <w:r>
              <w:rPr>
                <w:rFonts w:ascii="Arial" w:hAnsi="Arial" w:cs="Arial"/>
                <w:color w:val="222222"/>
                <w:sz w:val="22"/>
                <w:lang w:val="es-ES"/>
              </w:rPr>
              <w:t xml:space="preserve">os agentes económicos vinculados al </w:t>
            </w:r>
            <w:r w:rsidRPr="0027562D">
              <w:rPr>
                <w:rFonts w:ascii="Arial" w:eastAsiaTheme="minorHAnsi" w:hAnsi="Arial" w:cs="Arial"/>
                <w:color w:val="222222"/>
                <w:sz w:val="22"/>
                <w:lang w:val="es-ES" w:eastAsia="en-US"/>
              </w:rPr>
              <w:t>turismo</w:t>
            </w:r>
            <w:r>
              <w:rPr>
                <w:rFonts w:ascii="Arial" w:hAnsi="Arial" w:cs="Arial"/>
                <w:color w:val="222222"/>
                <w:sz w:val="22"/>
                <w:lang w:val="es-ES"/>
              </w:rPr>
              <w:t xml:space="preserve"> y la gastronomía</w:t>
            </w:r>
            <w:r w:rsidRPr="006F7D99">
              <w:rPr>
                <w:rFonts w:ascii="Arial" w:hAnsi="Arial" w:cs="Arial"/>
                <w:color w:val="222222"/>
                <w:sz w:val="22"/>
                <w:lang w:val="es-ES"/>
              </w:rPr>
              <w:t xml:space="preserve">, así como </w:t>
            </w:r>
            <w:r>
              <w:rPr>
                <w:rFonts w:ascii="Arial" w:hAnsi="Arial" w:cs="Arial"/>
                <w:color w:val="222222"/>
                <w:sz w:val="22"/>
                <w:lang w:val="es-ES"/>
              </w:rPr>
              <w:t xml:space="preserve">en favor de </w:t>
            </w:r>
            <w:r w:rsidRPr="006F7D99">
              <w:rPr>
                <w:rFonts w:ascii="Arial" w:hAnsi="Arial" w:cs="Arial"/>
                <w:color w:val="222222"/>
                <w:sz w:val="22"/>
                <w:lang w:val="es-ES"/>
              </w:rPr>
              <w:t>las autoridades nacionales,</w:t>
            </w:r>
            <w:r>
              <w:rPr>
                <w:rFonts w:ascii="Arial" w:hAnsi="Arial" w:cs="Arial"/>
                <w:color w:val="222222"/>
                <w:sz w:val="22"/>
                <w:lang w:val="es-ES"/>
              </w:rPr>
              <w:t xml:space="preserve"> </w:t>
            </w:r>
            <w:r w:rsidRPr="006F7D99">
              <w:rPr>
                <w:rFonts w:ascii="Arial" w:hAnsi="Arial" w:cs="Arial"/>
                <w:color w:val="222222"/>
                <w:sz w:val="22"/>
                <w:lang w:val="es-ES"/>
              </w:rPr>
              <w:t xml:space="preserve">incluidas las oficinas de PI, sobre cómo usar </w:t>
            </w:r>
            <w:r>
              <w:rPr>
                <w:rFonts w:ascii="Arial" w:hAnsi="Arial" w:cs="Arial"/>
                <w:color w:val="222222"/>
                <w:sz w:val="22"/>
                <w:lang w:val="es-ES"/>
              </w:rPr>
              <w:t xml:space="preserve">y aprovechar </w:t>
            </w:r>
            <w:r w:rsidRPr="006F7D99">
              <w:rPr>
                <w:rFonts w:ascii="Arial" w:hAnsi="Arial" w:cs="Arial"/>
                <w:color w:val="222222"/>
                <w:sz w:val="22"/>
                <w:lang w:val="es-ES"/>
              </w:rPr>
              <w:t>las herramientas y estrategias de P</w:t>
            </w:r>
            <w:r>
              <w:rPr>
                <w:rFonts w:ascii="Arial" w:hAnsi="Arial" w:cs="Arial"/>
                <w:color w:val="222222"/>
                <w:sz w:val="22"/>
                <w:lang w:val="es-ES"/>
              </w:rPr>
              <w:t>I</w:t>
            </w:r>
            <w:r w:rsidRPr="006F7D99">
              <w:rPr>
                <w:rFonts w:ascii="Arial" w:hAnsi="Arial" w:cs="Arial"/>
                <w:color w:val="222222"/>
                <w:sz w:val="22"/>
                <w:lang w:val="es-ES"/>
              </w:rPr>
              <w:t xml:space="preserve"> para agregar valor </w:t>
            </w:r>
            <w:r>
              <w:rPr>
                <w:rFonts w:ascii="Arial" w:hAnsi="Arial" w:cs="Arial"/>
                <w:color w:val="222222"/>
                <w:sz w:val="22"/>
                <w:lang w:val="es-ES"/>
              </w:rPr>
              <w:t xml:space="preserve">que diferencie a sus productos y servicios, </w:t>
            </w:r>
            <w:r w:rsidRPr="006F7D99">
              <w:rPr>
                <w:rFonts w:ascii="Arial" w:hAnsi="Arial" w:cs="Arial"/>
                <w:color w:val="222222"/>
                <w:sz w:val="22"/>
                <w:lang w:val="es-ES"/>
              </w:rPr>
              <w:t>y diversificar</w:t>
            </w:r>
            <w:r>
              <w:rPr>
                <w:rFonts w:ascii="Arial" w:hAnsi="Arial" w:cs="Arial"/>
                <w:color w:val="222222"/>
                <w:sz w:val="22"/>
                <w:lang w:val="es-ES"/>
              </w:rPr>
              <w:t xml:space="preserve"> sus </w:t>
            </w:r>
            <w:r w:rsidRPr="006F7D99">
              <w:rPr>
                <w:rFonts w:ascii="Arial" w:hAnsi="Arial" w:cs="Arial"/>
                <w:color w:val="222222"/>
                <w:sz w:val="22"/>
                <w:lang w:val="es-ES"/>
              </w:rPr>
              <w:t>actividad</w:t>
            </w:r>
            <w:r>
              <w:rPr>
                <w:rFonts w:ascii="Arial" w:hAnsi="Arial" w:cs="Arial"/>
                <w:color w:val="222222"/>
                <w:sz w:val="22"/>
                <w:lang w:val="es-ES"/>
              </w:rPr>
              <w:t>es</w:t>
            </w:r>
            <w:r w:rsidRPr="006F7D99">
              <w:rPr>
                <w:rFonts w:ascii="Arial" w:hAnsi="Arial" w:cs="Arial"/>
                <w:color w:val="222222"/>
                <w:sz w:val="22"/>
                <w:lang w:val="es-ES"/>
              </w:rPr>
              <w:t xml:space="preserve"> económica</w:t>
            </w:r>
            <w:r>
              <w:rPr>
                <w:rFonts w:ascii="Arial" w:hAnsi="Arial" w:cs="Arial"/>
                <w:color w:val="222222"/>
                <w:sz w:val="22"/>
                <w:lang w:val="es-ES"/>
              </w:rPr>
              <w:t xml:space="preserve">s respetando tradiciones y cultura locales. </w:t>
            </w:r>
          </w:p>
          <w:p w:rsidR="005F7A0C" w:rsidRDefault="005F7A0C" w:rsidP="002C3E52">
            <w:pPr>
              <w:pStyle w:val="HTMLPreformatted"/>
              <w:ind w:left="447"/>
              <w:jc w:val="both"/>
              <w:rPr>
                <w:rFonts w:ascii="Arial" w:hAnsi="Arial" w:cs="Arial"/>
                <w:color w:val="222222"/>
                <w:sz w:val="22"/>
                <w:lang w:val="es-ES"/>
              </w:rPr>
            </w:pPr>
          </w:p>
          <w:p w:rsidR="005F7A0C" w:rsidRPr="002C3E52" w:rsidRDefault="005F7A0C" w:rsidP="005F7A0C">
            <w:pPr>
              <w:pStyle w:val="HTMLPreformatted"/>
              <w:numPr>
                <w:ilvl w:val="0"/>
                <w:numId w:val="21"/>
              </w:numPr>
              <w:autoSpaceDE w:val="0"/>
              <w:autoSpaceDN w:val="0"/>
              <w:adjustRightInd w:val="0"/>
              <w:ind w:left="447" w:hanging="425"/>
              <w:jc w:val="both"/>
              <w:rPr>
                <w:rFonts w:ascii="Arial" w:hAnsi="Arial" w:cs="Arial"/>
                <w:sz w:val="22"/>
                <w:lang w:val="uz-Cyrl-UZ"/>
              </w:rPr>
            </w:pPr>
            <w:r>
              <w:rPr>
                <w:rFonts w:ascii="Arial" w:hAnsi="Arial" w:cs="Arial"/>
                <w:color w:val="222222"/>
                <w:sz w:val="22"/>
                <w:lang w:val="es-ES"/>
              </w:rPr>
              <w:t xml:space="preserve">Desarrollar y regular la figura de la </w:t>
            </w:r>
            <w:r w:rsidRPr="002C3E52">
              <w:rPr>
                <w:rFonts w:ascii="Arial" w:hAnsi="Arial" w:cs="Arial"/>
                <w:sz w:val="22"/>
              </w:rPr>
              <w:t>Especialidad Tradicional Garantizada</w:t>
            </w:r>
            <w:r>
              <w:rPr>
                <w:rFonts w:ascii="Arial" w:hAnsi="Arial" w:cs="Arial"/>
                <w:sz w:val="22"/>
              </w:rPr>
              <w:t xml:space="preserve"> (ETG), como forma de preservar y proteger productos y recetas tradicionales peruanas</w:t>
            </w:r>
            <w:r w:rsidRPr="002C3E52">
              <w:rPr>
                <w:rFonts w:ascii="Arial" w:hAnsi="Arial" w:cs="Arial"/>
                <w:sz w:val="22"/>
              </w:rPr>
              <w:t>.</w:t>
            </w:r>
          </w:p>
          <w:p w:rsidR="005F7A0C" w:rsidRPr="006F7D99" w:rsidRDefault="005F7A0C" w:rsidP="002C3E52">
            <w:pPr>
              <w:pStyle w:val="HTMLPreformatted"/>
              <w:autoSpaceDE w:val="0"/>
              <w:autoSpaceDN w:val="0"/>
              <w:adjustRightInd w:val="0"/>
              <w:ind w:left="447"/>
              <w:jc w:val="both"/>
              <w:rPr>
                <w:rFonts w:ascii="Arial" w:hAnsi="Arial" w:cs="Arial"/>
                <w:sz w:val="22"/>
                <w:lang w:val="uz-Cyrl-UZ"/>
              </w:rPr>
            </w:pPr>
          </w:p>
        </w:tc>
      </w:tr>
      <w:tr w:rsidR="005F7A0C" w:rsidTr="00671828">
        <w:tblPrEx>
          <w:tblCellMar>
            <w:left w:w="108" w:type="dxa"/>
            <w:right w:w="108" w:type="dxa"/>
          </w:tblCellMar>
          <w:tblLook w:val="04A0" w:firstRow="1" w:lastRow="0" w:firstColumn="1" w:lastColumn="0" w:noHBand="0" w:noVBand="1"/>
        </w:tblPrEx>
        <w:tc>
          <w:tcPr>
            <w:tcW w:w="8828" w:type="dxa"/>
            <w:gridSpan w:val="2"/>
          </w:tcPr>
          <w:p w:rsidR="005F7A0C" w:rsidRPr="00315800" w:rsidRDefault="005F7A0C" w:rsidP="005F7A0C">
            <w:pPr>
              <w:pStyle w:val="ListParagraph"/>
              <w:numPr>
                <w:ilvl w:val="1"/>
                <w:numId w:val="22"/>
              </w:numPr>
              <w:tabs>
                <w:tab w:val="clear" w:pos="1560"/>
              </w:tabs>
              <w:suppressAutoHyphens w:val="0"/>
              <w:spacing w:before="0" w:after="0" w:line="240" w:lineRule="auto"/>
              <w:jc w:val="both"/>
              <w:rPr>
                <w:u w:val="single"/>
              </w:rPr>
            </w:pPr>
            <w:r w:rsidRPr="00315800">
              <w:rPr>
                <w:u w:val="single"/>
              </w:rPr>
              <w:t>Estrategia</w:t>
            </w:r>
          </w:p>
          <w:p w:rsidR="005F7A0C" w:rsidRPr="00972052" w:rsidRDefault="005F7A0C" w:rsidP="00315800">
            <w:pPr>
              <w:pStyle w:val="ListParagraph"/>
              <w:jc w:val="both"/>
            </w:pPr>
          </w:p>
        </w:tc>
      </w:tr>
      <w:tr w:rsidR="005F7A0C" w:rsidTr="00671828">
        <w:tblPrEx>
          <w:tblCellMar>
            <w:left w:w="108" w:type="dxa"/>
            <w:right w:w="108" w:type="dxa"/>
          </w:tblCellMar>
          <w:tblLook w:val="04A0" w:firstRow="1" w:lastRow="0" w:firstColumn="1" w:lastColumn="0" w:noHBand="0" w:noVBand="1"/>
        </w:tblPrEx>
        <w:tc>
          <w:tcPr>
            <w:tcW w:w="8828" w:type="dxa"/>
            <w:gridSpan w:val="2"/>
          </w:tcPr>
          <w:p w:rsidR="005F7A0C" w:rsidRPr="00972052" w:rsidRDefault="005F7A0C" w:rsidP="00972052">
            <w:pPr>
              <w:jc w:val="both"/>
              <w:rPr>
                <w:color w:val="222222"/>
                <w:lang w:val="uz-Cyrl-UZ"/>
              </w:rPr>
            </w:pPr>
            <w:r>
              <w:t>La estrategia está orientada a desarrollar actividades concretas para lograr los objetivos del proyecto y comprende lo siguiente:</w:t>
            </w:r>
          </w:p>
          <w:p w:rsidR="005F7A0C" w:rsidRDefault="005F7A0C" w:rsidP="00972052">
            <w:pPr>
              <w:jc w:val="both"/>
              <w:rPr>
                <w:lang w:val="uz-Cyrl-UZ"/>
              </w:rPr>
            </w:pPr>
          </w:p>
          <w:p w:rsidR="005F7A0C" w:rsidRDefault="005F7A0C" w:rsidP="005F7A0C">
            <w:pPr>
              <w:pStyle w:val="ListParagraph"/>
              <w:numPr>
                <w:ilvl w:val="0"/>
                <w:numId w:val="20"/>
              </w:numPr>
              <w:tabs>
                <w:tab w:val="clear" w:pos="1560"/>
              </w:tabs>
              <w:suppressAutoHyphens w:val="0"/>
              <w:spacing w:before="0" w:after="0" w:line="240" w:lineRule="auto"/>
              <w:jc w:val="both"/>
            </w:pPr>
            <w:r>
              <w:t>Estrategia 1: Difusión y sensibilización:</w:t>
            </w:r>
          </w:p>
          <w:p w:rsidR="005F7A0C" w:rsidRDefault="005F7A0C" w:rsidP="00E337C9">
            <w:pPr>
              <w:pStyle w:val="ListParagraph"/>
              <w:jc w:val="both"/>
            </w:pPr>
          </w:p>
          <w:p w:rsidR="005F7A0C" w:rsidRPr="005F7A0C" w:rsidRDefault="005F7A0C" w:rsidP="00E337C9">
            <w:pPr>
              <w:pStyle w:val="ListParagraph"/>
              <w:jc w:val="both"/>
              <w:rPr>
                <w:lang w:val="es-ES"/>
              </w:rPr>
            </w:pPr>
            <w:r w:rsidRPr="005F7A0C">
              <w:rPr>
                <w:lang w:val="es-ES"/>
              </w:rPr>
              <w:t xml:space="preserve">Acción 1.1: Instalación de una mesa de trabajo público-privado entre los principales actores vinculados con el turismo, la gastronomía y la PI en el Perú: MINCETUR, PROMPERÚ, APEGA, AHORA, INDECOPI, así como líderes de opinión en el sector (Gastón </w:t>
            </w:r>
            <w:proofErr w:type="spellStart"/>
            <w:r w:rsidRPr="005F7A0C">
              <w:rPr>
                <w:lang w:val="es-ES"/>
              </w:rPr>
              <w:t>Acurio</w:t>
            </w:r>
            <w:proofErr w:type="spellEnd"/>
            <w:r w:rsidRPr="005F7A0C">
              <w:rPr>
                <w:lang w:val="es-ES"/>
              </w:rPr>
              <w:t>, Virgilio Martínez, entre otros).</w:t>
            </w:r>
          </w:p>
          <w:p w:rsidR="005F7A0C" w:rsidRPr="005F7A0C" w:rsidRDefault="005F7A0C" w:rsidP="00E337C9">
            <w:pPr>
              <w:pStyle w:val="ListParagraph"/>
              <w:jc w:val="both"/>
              <w:rPr>
                <w:lang w:val="es-ES"/>
              </w:rPr>
            </w:pPr>
          </w:p>
          <w:p w:rsidR="005F7A0C" w:rsidRPr="005F7A0C" w:rsidRDefault="005F7A0C" w:rsidP="00E337C9">
            <w:pPr>
              <w:pStyle w:val="ListParagraph"/>
              <w:jc w:val="both"/>
              <w:rPr>
                <w:lang w:val="es-ES"/>
              </w:rPr>
            </w:pPr>
            <w:r w:rsidRPr="005F7A0C">
              <w:rPr>
                <w:lang w:val="es-ES"/>
              </w:rPr>
              <w:t>Acción 1.2: Preparación de un reporte, a modo de línea de base, de la situación de la propiedad intelectual en las actividades de turismo y gastronomía, identificando su relacionamiento a lo largo de la cadena de valor.</w:t>
            </w:r>
          </w:p>
          <w:p w:rsidR="005F7A0C" w:rsidRPr="005F7A0C" w:rsidRDefault="005F7A0C" w:rsidP="00E337C9">
            <w:pPr>
              <w:pStyle w:val="ListParagraph"/>
              <w:jc w:val="both"/>
              <w:rPr>
                <w:lang w:val="es-ES"/>
              </w:rPr>
            </w:pPr>
          </w:p>
          <w:p w:rsidR="005F7A0C" w:rsidRPr="005F7A0C" w:rsidRDefault="005F7A0C" w:rsidP="00E337C9">
            <w:pPr>
              <w:pStyle w:val="ListParagraph"/>
              <w:jc w:val="both"/>
              <w:rPr>
                <w:lang w:val="es-ES"/>
              </w:rPr>
            </w:pPr>
            <w:r w:rsidRPr="005F7A0C">
              <w:rPr>
                <w:lang w:val="es-ES"/>
              </w:rPr>
              <w:t xml:space="preserve">Acción 1.3: Organización de un seminario internacional en el Perú sobre PI, gastronomía y turismo, en el cual se pueda evidenciar cómo la PI puede generar desarrollo en los referidos sectores (por ejemplo, fomentar el uso de productos con denominación de origen, marcas colectivas de productos tradicionales, y el desarrollo </w:t>
            </w:r>
            <w:proofErr w:type="spellStart"/>
            <w:r w:rsidRPr="005F7A0C">
              <w:rPr>
                <w:lang w:val="es-ES"/>
              </w:rPr>
              <w:t>reputacional</w:t>
            </w:r>
            <w:proofErr w:type="spellEnd"/>
            <w:r w:rsidRPr="005F7A0C">
              <w:rPr>
                <w:lang w:val="es-ES"/>
              </w:rPr>
              <w:t xml:space="preserve"> a partir del uso de herramientas de PI)</w:t>
            </w:r>
          </w:p>
          <w:p w:rsidR="005F7A0C" w:rsidRPr="005F7A0C" w:rsidRDefault="005F7A0C" w:rsidP="00972052">
            <w:pPr>
              <w:pStyle w:val="ListParagraph"/>
              <w:jc w:val="both"/>
              <w:rPr>
                <w:lang w:val="es-ES"/>
              </w:rPr>
            </w:pPr>
          </w:p>
          <w:p w:rsidR="005F7A0C" w:rsidRDefault="005F7A0C" w:rsidP="005F7A0C">
            <w:pPr>
              <w:pStyle w:val="ListParagraph"/>
              <w:numPr>
                <w:ilvl w:val="0"/>
                <w:numId w:val="20"/>
              </w:numPr>
              <w:tabs>
                <w:tab w:val="clear" w:pos="1560"/>
              </w:tabs>
              <w:suppressAutoHyphens w:val="0"/>
              <w:spacing w:before="0" w:after="0" w:line="240" w:lineRule="auto"/>
              <w:jc w:val="both"/>
            </w:pPr>
            <w:proofErr w:type="spellStart"/>
            <w:r>
              <w:t>Estrategia</w:t>
            </w:r>
            <w:proofErr w:type="spellEnd"/>
            <w:r>
              <w:t xml:space="preserve"> 2: </w:t>
            </w:r>
            <w:proofErr w:type="spellStart"/>
            <w:r>
              <w:t>Conexión</w:t>
            </w:r>
            <w:proofErr w:type="spellEnd"/>
            <w:r>
              <w:t xml:space="preserve"> con el mercado</w:t>
            </w:r>
          </w:p>
          <w:p w:rsidR="005F7A0C" w:rsidRDefault="005F7A0C" w:rsidP="00E337C9">
            <w:pPr>
              <w:pStyle w:val="ListParagraph"/>
              <w:jc w:val="both"/>
            </w:pPr>
          </w:p>
          <w:p w:rsidR="005F7A0C" w:rsidRPr="005F7A0C" w:rsidRDefault="005F7A0C" w:rsidP="00E337C9">
            <w:pPr>
              <w:pStyle w:val="ListParagraph"/>
              <w:jc w:val="both"/>
              <w:rPr>
                <w:lang w:val="es-ES"/>
              </w:rPr>
            </w:pPr>
            <w:r w:rsidRPr="005F7A0C">
              <w:rPr>
                <w:lang w:val="es-ES"/>
              </w:rPr>
              <w:t xml:space="preserve">Acción 2.1: Elaboración de un protocolo para enlazar actividades económicas ligadas al turismo y la gastronomía con los mercados, utilizando las herramientas de la propiedad intelectual, que sirva de guía que facilite a los agentes del mercado el uso de las mismas. </w:t>
            </w:r>
          </w:p>
          <w:p w:rsidR="005F7A0C" w:rsidRPr="005F7A0C" w:rsidRDefault="005F7A0C" w:rsidP="00E337C9">
            <w:pPr>
              <w:pStyle w:val="ListParagraph"/>
              <w:jc w:val="both"/>
              <w:rPr>
                <w:lang w:val="es-ES"/>
              </w:rPr>
            </w:pPr>
          </w:p>
          <w:p w:rsidR="005F7A0C" w:rsidRPr="005F7A0C" w:rsidRDefault="005F7A0C" w:rsidP="00E337C9">
            <w:pPr>
              <w:pStyle w:val="ListParagraph"/>
              <w:jc w:val="both"/>
              <w:rPr>
                <w:lang w:val="es-ES"/>
              </w:rPr>
            </w:pPr>
            <w:r w:rsidRPr="005F7A0C">
              <w:rPr>
                <w:lang w:val="es-ES"/>
              </w:rPr>
              <w:t>Acción 2.2: Medición del resultado de la puesta en práctica del protocolo aludido en la acción 2.1, a fin de tener evidencia para realizar ajustes o cambios para alcanzar un impacto mayor.</w:t>
            </w:r>
          </w:p>
          <w:p w:rsidR="005F7A0C" w:rsidRPr="005F7A0C" w:rsidRDefault="005F7A0C" w:rsidP="00315800">
            <w:pPr>
              <w:pStyle w:val="ListParagraph"/>
              <w:rPr>
                <w:lang w:val="es-ES"/>
              </w:rPr>
            </w:pPr>
          </w:p>
          <w:p w:rsidR="005F7A0C" w:rsidRDefault="005F7A0C" w:rsidP="005F7A0C">
            <w:pPr>
              <w:pStyle w:val="ListParagraph"/>
              <w:numPr>
                <w:ilvl w:val="0"/>
                <w:numId w:val="20"/>
              </w:numPr>
              <w:tabs>
                <w:tab w:val="clear" w:pos="1560"/>
              </w:tabs>
              <w:suppressAutoHyphens w:val="0"/>
              <w:autoSpaceDE w:val="0"/>
              <w:autoSpaceDN w:val="0"/>
              <w:adjustRightInd w:val="0"/>
              <w:spacing w:before="0" w:after="0" w:line="240" w:lineRule="auto"/>
              <w:jc w:val="both"/>
            </w:pPr>
            <w:proofErr w:type="spellStart"/>
            <w:r>
              <w:t>Estrategia</w:t>
            </w:r>
            <w:proofErr w:type="spellEnd"/>
            <w:r>
              <w:t xml:space="preserve"> 3: </w:t>
            </w:r>
            <w:proofErr w:type="spellStart"/>
            <w:r>
              <w:t>Regulación</w:t>
            </w:r>
            <w:proofErr w:type="spellEnd"/>
          </w:p>
          <w:p w:rsidR="005F7A0C" w:rsidRDefault="005F7A0C" w:rsidP="00E337C9">
            <w:pPr>
              <w:pStyle w:val="ListParagraph"/>
              <w:autoSpaceDE w:val="0"/>
              <w:autoSpaceDN w:val="0"/>
              <w:adjustRightInd w:val="0"/>
              <w:jc w:val="both"/>
            </w:pPr>
          </w:p>
          <w:p w:rsidR="005F7A0C" w:rsidRPr="005F7A0C" w:rsidRDefault="005F7A0C" w:rsidP="0026773B">
            <w:pPr>
              <w:pStyle w:val="ListParagraph"/>
              <w:autoSpaceDE w:val="0"/>
              <w:autoSpaceDN w:val="0"/>
              <w:adjustRightInd w:val="0"/>
              <w:jc w:val="both"/>
              <w:rPr>
                <w:lang w:val="es-ES"/>
              </w:rPr>
            </w:pPr>
            <w:r w:rsidRPr="005F7A0C">
              <w:rPr>
                <w:lang w:val="es-ES"/>
              </w:rPr>
              <w:t xml:space="preserve">Acción 3.1: Evaluar el marco institucional peruano y desarrollar e implementar una regulación de la Especialidad Tradicional Garantizada (ETG), a fin de utilizar dicha herramienta como un elemento </w:t>
            </w:r>
            <w:proofErr w:type="spellStart"/>
            <w:r w:rsidRPr="005F7A0C">
              <w:rPr>
                <w:lang w:val="es-ES"/>
              </w:rPr>
              <w:t>reputacional</w:t>
            </w:r>
            <w:proofErr w:type="spellEnd"/>
            <w:r w:rsidRPr="005F7A0C">
              <w:rPr>
                <w:lang w:val="es-ES"/>
              </w:rPr>
              <w:t xml:space="preserve"> que promueva las actividades económicas ligadas a la gastronomía, y facilite su expansión y protección a nivel internacional.</w:t>
            </w:r>
          </w:p>
          <w:p w:rsidR="005F7A0C" w:rsidRDefault="005F7A0C" w:rsidP="00315800">
            <w:pPr>
              <w:jc w:val="both"/>
            </w:pPr>
          </w:p>
        </w:tc>
      </w:tr>
    </w:tbl>
    <w:p w:rsidR="005F7A0C" w:rsidRPr="000D377B" w:rsidRDefault="005F7A0C" w:rsidP="00CC392F">
      <w:pPr>
        <w:jc w:val="both"/>
      </w:pPr>
    </w:p>
    <w:p w:rsidR="005F7A0C" w:rsidRDefault="005F7A0C" w:rsidP="005F7A0C"/>
    <w:p w:rsidR="005F7A0C" w:rsidRDefault="005F7A0C" w:rsidP="0045749F">
      <w:pPr>
        <w:jc w:val="right"/>
      </w:pPr>
    </w:p>
    <w:p w:rsidR="008321CA" w:rsidRPr="00DB0878" w:rsidRDefault="00DB0878" w:rsidP="0045749F">
      <w:pPr>
        <w:jc w:val="right"/>
        <w:rPr>
          <w:caps/>
          <w:sz w:val="24"/>
        </w:rPr>
      </w:pPr>
      <w:r w:rsidRPr="00CB5DF6">
        <w:t>[Fin del Anexo y del documento]</w:t>
      </w:r>
    </w:p>
    <w:sectPr w:rsidR="008321CA" w:rsidRPr="00DB0878" w:rsidSect="005770EA">
      <w:headerReference w:type="default" r:id="rId12"/>
      <w:footerReference w:type="even" r:id="rId13"/>
      <w:footerReference w:type="default" r:id="rId14"/>
      <w:headerReference w:type="first" r:id="rId15"/>
      <w:footerReference w:type="first" r:id="rId16"/>
      <w:pgSz w:w="11906" w:h="16838" w:code="9"/>
      <w:pgMar w:top="567" w:right="1701" w:bottom="1418" w:left="1701" w:header="720" w:footer="709" w:gutter="0"/>
      <w:pgNumType w:start="1"/>
      <w:cols w:space="720"/>
      <w:titlePg/>
      <w:docGrid w:linePitch="24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0EAD" w:rsidRDefault="00620EAD">
      <w:r>
        <w:separator/>
      </w:r>
    </w:p>
  </w:endnote>
  <w:endnote w:type="continuationSeparator" w:id="0">
    <w:p w:rsidR="00620EAD" w:rsidRPr="009D30E6" w:rsidRDefault="00620EAD" w:rsidP="007E663E">
      <w:pPr>
        <w:rPr>
          <w:sz w:val="17"/>
          <w:szCs w:val="17"/>
        </w:rPr>
      </w:pPr>
      <w:r w:rsidRPr="009D30E6">
        <w:rPr>
          <w:sz w:val="17"/>
          <w:szCs w:val="17"/>
        </w:rPr>
        <w:separator/>
      </w:r>
    </w:p>
    <w:p w:rsidR="00620EAD" w:rsidRPr="007E663E" w:rsidRDefault="00620EAD" w:rsidP="007E663E">
      <w:pPr>
        <w:spacing w:after="60"/>
        <w:rPr>
          <w:sz w:val="17"/>
          <w:szCs w:val="17"/>
        </w:rPr>
      </w:pPr>
      <w:r>
        <w:rPr>
          <w:sz w:val="17"/>
        </w:rPr>
        <w:t>[Continuación de la nota de la página anterior]</w:t>
      </w:r>
    </w:p>
  </w:endnote>
  <w:endnote w:type="continuationNotice" w:id="1">
    <w:p w:rsidR="00620EAD" w:rsidRPr="007E663E" w:rsidRDefault="00620EAD" w:rsidP="007E663E">
      <w:pPr>
        <w:spacing w:before="60"/>
        <w:jc w:val="right"/>
        <w:rPr>
          <w:sz w:val="17"/>
          <w:szCs w:val="17"/>
        </w:rPr>
      </w:pPr>
      <w:r w:rsidRPr="0075377A">
        <w:rPr>
          <w:sz w:val="17"/>
          <w:szCs w:val="17"/>
        </w:rPr>
        <w:t>[Sigue la nota en la pá</w:t>
      </w:r>
      <w:r>
        <w:rPr>
          <w:sz w:val="17"/>
          <w:szCs w:val="17"/>
        </w:rPr>
        <w:t>gina siguiente]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1"/>
    <w:family w:val="swiss"/>
    <w:pitch w:val="default"/>
  </w:font>
  <w:font w:name="font333">
    <w:altName w:val="Times New Roman"/>
    <w:charset w:val="00"/>
    <w:family w:val="auto"/>
    <w:pitch w:val="variable"/>
  </w:font>
  <w:font w:name="Calibri">
    <w:panose1 w:val="020F0502020204030204"/>
    <w:charset w:val="00"/>
    <w:family w:val="swiss"/>
    <w:pitch w:val="variable"/>
    <w:sig w:usb0="E00002FF" w:usb1="4000ACFF" w:usb2="00000001" w:usb3="00000000" w:csb0="000001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72E" w:rsidRDefault="00F7334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72E" w:rsidRDefault="00F7334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72E" w:rsidRDefault="00F7334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0EAD" w:rsidRDefault="00620EAD">
      <w:r>
        <w:separator/>
      </w:r>
    </w:p>
  </w:footnote>
  <w:footnote w:type="continuationSeparator" w:id="0">
    <w:p w:rsidR="00620EAD" w:rsidRPr="009D30E6" w:rsidRDefault="00620EAD" w:rsidP="007E663E">
      <w:pPr>
        <w:rPr>
          <w:sz w:val="17"/>
          <w:szCs w:val="17"/>
        </w:rPr>
      </w:pPr>
      <w:r w:rsidRPr="009D30E6">
        <w:rPr>
          <w:sz w:val="17"/>
          <w:szCs w:val="17"/>
        </w:rPr>
        <w:separator/>
      </w:r>
    </w:p>
    <w:p w:rsidR="00620EAD" w:rsidRPr="007E663E" w:rsidRDefault="00620EAD" w:rsidP="007E663E">
      <w:pPr>
        <w:spacing w:after="60"/>
        <w:rPr>
          <w:sz w:val="17"/>
          <w:szCs w:val="17"/>
        </w:rPr>
      </w:pPr>
      <w:r>
        <w:rPr>
          <w:sz w:val="17"/>
        </w:rPr>
        <w:t>[Continuación de la nota de la página anterior]</w:t>
      </w:r>
    </w:p>
  </w:footnote>
  <w:footnote w:type="continuationNotice" w:id="1">
    <w:p w:rsidR="00620EAD" w:rsidRPr="007E663E" w:rsidRDefault="00620EAD" w:rsidP="007E663E">
      <w:pPr>
        <w:spacing w:before="60"/>
        <w:jc w:val="right"/>
        <w:rPr>
          <w:sz w:val="17"/>
          <w:szCs w:val="17"/>
        </w:rPr>
      </w:pPr>
      <w:r w:rsidRPr="007E663E">
        <w:rPr>
          <w:sz w:val="17"/>
          <w:szCs w:val="17"/>
        </w:rPr>
        <w:t>[Sigue la nota en la página siguiente]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F20" w:rsidRDefault="005F7A0C" w:rsidP="005F7A0C">
    <w:pPr>
      <w:tabs>
        <w:tab w:val="left" w:pos="6390"/>
        <w:tab w:val="right" w:pos="14002"/>
      </w:tabs>
    </w:pPr>
    <w:bookmarkStart w:id="6" w:name="Code2"/>
    <w:bookmarkEnd w:id="6"/>
    <w:r>
      <w:tab/>
    </w:r>
    <w:r>
      <w:tab/>
    </w:r>
    <w:r w:rsidR="0071185D">
      <w:t>C</w:t>
    </w:r>
    <w:r w:rsidR="0045749F">
      <w:t>DIP/21</w:t>
    </w:r>
    <w:r w:rsidR="0071185D">
      <w:t>/</w:t>
    </w:r>
    <w:r w:rsidR="0045749F">
      <w:t>14</w:t>
    </w:r>
  </w:p>
  <w:p w:rsidR="00AE7F20" w:rsidRDefault="00AE7F20" w:rsidP="00477D6B">
    <w:pPr>
      <w:jc w:val="right"/>
    </w:pPr>
    <w:proofErr w:type="gramStart"/>
    <w:r>
      <w:t>página</w:t>
    </w:r>
    <w:proofErr w:type="gramEnd"/>
    <w:r>
      <w:t xml:space="preserve"> </w:t>
    </w:r>
    <w:r>
      <w:fldChar w:fldCharType="begin"/>
    </w:r>
    <w:r>
      <w:instrText xml:space="preserve"> PAGE  \* MERGEFORMAT </w:instrText>
    </w:r>
    <w:r>
      <w:fldChar w:fldCharType="separate"/>
    </w:r>
    <w:r w:rsidR="00F7334C">
      <w:rPr>
        <w:noProof/>
      </w:rPr>
      <w:t>5</w:t>
    </w:r>
    <w:r>
      <w:fldChar w:fldCharType="end"/>
    </w:r>
  </w:p>
  <w:p w:rsidR="00AE7F20" w:rsidRDefault="00AE7F20" w:rsidP="00477D6B">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A0C" w:rsidRDefault="005F7A0C" w:rsidP="005F7A0C">
    <w:pPr>
      <w:tabs>
        <w:tab w:val="left" w:pos="6390"/>
        <w:tab w:val="right" w:pos="14002"/>
      </w:tabs>
      <w:jc w:val="right"/>
    </w:pPr>
    <w:r>
      <w:tab/>
      <w:t>CDIP/21/14</w:t>
    </w:r>
  </w:p>
  <w:p w:rsidR="005F7A0C" w:rsidRDefault="0020060A" w:rsidP="009B64CA">
    <w:pPr>
      <w:jc w:val="right"/>
    </w:pPr>
    <w:r>
      <w:t xml:space="preserve">Anexo, </w:t>
    </w:r>
    <w:r w:rsidR="009B64CA">
      <w:t>página</w:t>
    </w:r>
    <w:r>
      <w:t xml:space="preserve"> </w:t>
    </w:r>
    <w:r>
      <w:fldChar w:fldCharType="begin"/>
    </w:r>
    <w:r>
      <w:instrText xml:space="preserve"> PAGE   \* MERGEFORMAT </w:instrText>
    </w:r>
    <w:r>
      <w:fldChar w:fldCharType="separate"/>
    </w:r>
    <w:r w:rsidR="00F7334C">
      <w:rPr>
        <w:noProof/>
      </w:rPr>
      <w:t>5</w:t>
    </w:r>
    <w:r>
      <w:rPr>
        <w:noProof/>
      </w:rPr>
      <w:fldChar w:fldCharType="end"/>
    </w:r>
  </w:p>
  <w:p w:rsidR="005F7A0C" w:rsidRDefault="005F7A0C" w:rsidP="00477D6B">
    <w:pP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60A" w:rsidRDefault="0020060A" w:rsidP="0020060A">
    <w:pPr>
      <w:pStyle w:val="Header"/>
      <w:jc w:val="right"/>
    </w:pPr>
    <w:r>
      <w:t>CDIP/21/14</w:t>
    </w:r>
  </w:p>
  <w:p w:rsidR="0020060A" w:rsidRDefault="00760024" w:rsidP="0020060A">
    <w:pPr>
      <w:pStyle w:val="Header"/>
      <w:jc w:val="right"/>
    </w:pPr>
    <w:r>
      <w:t>AN</w:t>
    </w:r>
    <w:r w:rsidR="0020060A">
      <w:t>EX</w:t>
    </w:r>
    <w:r w:rsidR="00A6016C">
      <w:t>O</w:t>
    </w:r>
  </w:p>
  <w:p w:rsidR="0020060A" w:rsidRDefault="0020060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8DCC6DE4"/>
    <w:lvl w:ilvl="0">
      <w:start w:val="1"/>
      <w:numFmt w:val="decimal"/>
      <w:lvlText w:val="%1."/>
      <w:lvlJc w:val="left"/>
      <w:pPr>
        <w:tabs>
          <w:tab w:val="num" w:pos="360"/>
        </w:tabs>
        <w:ind w:left="360" w:hanging="360"/>
      </w:pPr>
    </w:lvl>
  </w:abstractNum>
  <w:abstractNum w:abstractNumId="1">
    <w:nsid w:val="00000001"/>
    <w:multiLevelType w:val="multilevel"/>
    <w:tmpl w:val="00000001"/>
    <w:name w:val="WWNum1"/>
    <w:lvl w:ilvl="0">
      <w:start w:val="1"/>
      <w:numFmt w:val="bullet"/>
      <w:lvlText w:val=""/>
      <w:lvlJc w:val="left"/>
      <w:pPr>
        <w:tabs>
          <w:tab w:val="num" w:pos="0"/>
        </w:tabs>
        <w:ind w:left="720" w:hanging="360"/>
      </w:pPr>
      <w:rPr>
        <w:rFonts w:ascii="Symbol" w:hAnsi="Symbol" w:cs="Symbol"/>
        <w:sz w:val="18"/>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sz w:val="18"/>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sz w:val="18"/>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000002"/>
    <w:multiLevelType w:val="multilevel"/>
    <w:tmpl w:val="00000002"/>
    <w:name w:val="WWNum2"/>
    <w:lvl w:ilvl="0">
      <w:start w:val="1"/>
      <w:numFmt w:val="bullet"/>
      <w:lvlText w:val=""/>
      <w:lvlJc w:val="left"/>
      <w:pPr>
        <w:tabs>
          <w:tab w:val="num" w:pos="0"/>
        </w:tabs>
        <w:ind w:left="720" w:hanging="360"/>
      </w:pPr>
      <w:rPr>
        <w:rFonts w:ascii="Symbol" w:hAnsi="Symbol" w:cs="Symbol"/>
        <w:sz w:val="18"/>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sz w:val="18"/>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sz w:val="18"/>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03"/>
    <w:multiLevelType w:val="multilevel"/>
    <w:tmpl w:val="00000003"/>
    <w:name w:val="WWNum3"/>
    <w:lvl w:ilvl="0">
      <w:start w:val="1"/>
      <w:numFmt w:val="lowerLetter"/>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sz w:val="18"/>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sz w:val="18"/>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nsid w:val="00000004"/>
    <w:multiLevelType w:val="multilevel"/>
    <w:tmpl w:val="00000004"/>
    <w:name w:val="WWNum4"/>
    <w:lvl w:ilvl="0">
      <w:start w:val="1"/>
      <w:numFmt w:val="bullet"/>
      <w:lvlText w:val=""/>
      <w:lvlJc w:val="left"/>
      <w:pPr>
        <w:tabs>
          <w:tab w:val="num" w:pos="0"/>
        </w:tabs>
        <w:ind w:left="360" w:hanging="360"/>
      </w:pPr>
      <w:rPr>
        <w:rFonts w:ascii="Symbol" w:hAnsi="Symbol" w:cs="Symbol"/>
        <w:sz w:val="18"/>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sz w:val="18"/>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sz w:val="18"/>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cs="Wingdings"/>
      </w:rPr>
    </w:lvl>
  </w:abstractNum>
  <w:abstractNum w:abstractNumId="5">
    <w:nsid w:val="00000005"/>
    <w:multiLevelType w:val="multilevel"/>
    <w:tmpl w:val="00000005"/>
    <w:name w:val="WWNum5"/>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nsid w:val="00000006"/>
    <w:multiLevelType w:val="multilevel"/>
    <w:tmpl w:val="00000006"/>
    <w:name w:val="WWNum6"/>
    <w:lvl w:ilvl="0">
      <w:start w:val="1"/>
      <w:numFmt w:val="bullet"/>
      <w:lvlText w:val=""/>
      <w:lvlJc w:val="left"/>
      <w:pPr>
        <w:tabs>
          <w:tab w:val="num" w:pos="0"/>
        </w:tabs>
        <w:ind w:left="720" w:hanging="360"/>
      </w:pPr>
      <w:rPr>
        <w:rFonts w:ascii="Symbol" w:hAnsi="Symbol" w:cs="Symbol"/>
        <w:sz w:val="18"/>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sz w:val="18"/>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sz w:val="18"/>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
    <w:nsid w:val="00000007"/>
    <w:multiLevelType w:val="multilevel"/>
    <w:tmpl w:val="00000007"/>
    <w:name w:val="WWNum7"/>
    <w:lvl w:ilvl="0">
      <w:start w:val="1"/>
      <w:numFmt w:val="bullet"/>
      <w:lvlText w:val=""/>
      <w:lvlJc w:val="left"/>
      <w:pPr>
        <w:tabs>
          <w:tab w:val="num" w:pos="0"/>
        </w:tabs>
        <w:ind w:left="720" w:hanging="360"/>
      </w:pPr>
      <w:rPr>
        <w:rFonts w:ascii="Symbol" w:hAnsi="Symbol" w:cs="Symbol"/>
        <w:sz w:val="1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nsid w:val="00000008"/>
    <w:multiLevelType w:val="multilevel"/>
    <w:tmpl w:val="00000008"/>
    <w:name w:val="WWNum8"/>
    <w:lvl w:ilvl="0">
      <w:start w:val="1"/>
      <w:numFmt w:val="lowerRoman"/>
      <w:lvlText w:val="%1."/>
      <w:lvlJc w:val="left"/>
      <w:pPr>
        <w:tabs>
          <w:tab w:val="num" w:pos="0"/>
        </w:tabs>
        <w:ind w:left="1800" w:hanging="720"/>
      </w:pPr>
      <w:rPr>
        <w:rFonts w:cs="Times New Roman"/>
      </w:r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9">
    <w:nsid w:val="00000009"/>
    <w:multiLevelType w:val="multilevel"/>
    <w:tmpl w:val="00000009"/>
    <w:name w:val="WWNum9"/>
    <w:lvl w:ilvl="0">
      <w:start w:val="1"/>
      <w:numFmt w:val="bullet"/>
      <w:lvlText w:val=""/>
      <w:lvlJc w:val="left"/>
      <w:pPr>
        <w:tabs>
          <w:tab w:val="num" w:pos="0"/>
        </w:tabs>
        <w:ind w:left="360" w:hanging="360"/>
      </w:pPr>
      <w:rPr>
        <w:rFonts w:ascii="Symbol" w:hAnsi="Symbol" w:cs="Symbol"/>
        <w:sz w:val="18"/>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sz w:val="18"/>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sz w:val="18"/>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cs="Wingdings"/>
      </w:rPr>
    </w:lvl>
  </w:abstractNum>
  <w:abstractNum w:abstractNumId="10">
    <w:nsid w:val="0000000A"/>
    <w:multiLevelType w:val="multilevel"/>
    <w:tmpl w:val="0000000A"/>
    <w:name w:val="WWNum10"/>
    <w:lvl w:ilvl="0">
      <w:start w:val="1"/>
      <w:numFmt w:val="bullet"/>
      <w:lvlText w:val=""/>
      <w:lvlJc w:val="left"/>
      <w:pPr>
        <w:tabs>
          <w:tab w:val="num" w:pos="0"/>
        </w:tabs>
        <w:ind w:left="360" w:hanging="360"/>
      </w:pPr>
      <w:rPr>
        <w:rFonts w:ascii="Symbol" w:hAnsi="Symbol" w:cs="Symbol"/>
        <w:sz w:val="18"/>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sz w:val="18"/>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sz w:val="18"/>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cs="Wingdings"/>
      </w:rPr>
    </w:lvl>
  </w:abstractNum>
  <w:abstractNum w:abstractNumId="11">
    <w:nsid w:val="0000000B"/>
    <w:multiLevelType w:val="multilevel"/>
    <w:tmpl w:val="0000000B"/>
    <w:name w:val="WWNum11"/>
    <w:lvl w:ilvl="0">
      <w:start w:val="1"/>
      <w:numFmt w:val="bullet"/>
      <w:lvlText w:val=""/>
      <w:lvlJc w:val="left"/>
      <w:pPr>
        <w:tabs>
          <w:tab w:val="num" w:pos="0"/>
        </w:tabs>
        <w:ind w:left="360" w:hanging="360"/>
      </w:pPr>
      <w:rPr>
        <w:rFonts w:ascii="Symbol" w:hAnsi="Symbol" w:cs="Symbol"/>
        <w:sz w:val="18"/>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sz w:val="18"/>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sz w:val="18"/>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cs="Wingdings"/>
      </w:rPr>
    </w:lvl>
  </w:abstractNum>
  <w:abstractNum w:abstractNumId="12">
    <w:nsid w:val="0000000C"/>
    <w:multiLevelType w:val="multilevel"/>
    <w:tmpl w:val="0000000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3">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4">
    <w:nsid w:val="177D5000"/>
    <w:multiLevelType w:val="singleLevel"/>
    <w:tmpl w:val="0409000F"/>
    <w:lvl w:ilvl="0">
      <w:start w:val="1"/>
      <w:numFmt w:val="decimal"/>
      <w:lvlText w:val="%1."/>
      <w:lvlJc w:val="left"/>
      <w:pPr>
        <w:tabs>
          <w:tab w:val="num" w:pos="360"/>
        </w:tabs>
        <w:ind w:left="360" w:hanging="360"/>
      </w:pPr>
    </w:lvl>
  </w:abstractNum>
  <w:abstractNum w:abstractNumId="15">
    <w:nsid w:val="1A07306F"/>
    <w:multiLevelType w:val="hybridMultilevel"/>
    <w:tmpl w:val="78527622"/>
    <w:lvl w:ilvl="0" w:tplc="8A9AA34E">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7">
    <w:nsid w:val="4165133A"/>
    <w:multiLevelType w:val="multilevel"/>
    <w:tmpl w:val="E2E274D8"/>
    <w:lvl w:ilvl="0">
      <w:start w:val="2"/>
      <w:numFmt w:val="decimal"/>
      <w:lvlText w:val="%1."/>
      <w:lvlJc w:val="left"/>
      <w:pPr>
        <w:ind w:left="360" w:hanging="360"/>
      </w:pPr>
      <w:rPr>
        <w:rFonts w:hint="default"/>
        <w:u w:val="single"/>
      </w:rPr>
    </w:lvl>
    <w:lvl w:ilvl="1">
      <w:start w:val="1"/>
      <w:numFmt w:val="decimal"/>
      <w:lvlText w:val="%1.%2."/>
      <w:lvlJc w:val="left"/>
      <w:pPr>
        <w:ind w:left="720" w:hanging="720"/>
      </w:pPr>
      <w:rPr>
        <w:rFonts w:hint="default"/>
        <w:u w:val="none"/>
      </w:rPr>
    </w:lvl>
    <w:lvl w:ilvl="2">
      <w:start w:val="1"/>
      <w:numFmt w:val="decimal"/>
      <w:lvlText w:val="%1.%2.%3."/>
      <w:lvlJc w:val="left"/>
      <w:pPr>
        <w:ind w:left="720" w:hanging="720"/>
      </w:pPr>
      <w:rPr>
        <w:rFonts w:hint="default"/>
        <w:u w:val="single"/>
      </w:rPr>
    </w:lvl>
    <w:lvl w:ilvl="3">
      <w:start w:val="1"/>
      <w:numFmt w:val="decimal"/>
      <w:lvlText w:val="%1.%2.%3.%4."/>
      <w:lvlJc w:val="left"/>
      <w:pPr>
        <w:ind w:left="1080" w:hanging="108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440" w:hanging="144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800" w:hanging="1800"/>
      </w:pPr>
      <w:rPr>
        <w:rFonts w:hint="default"/>
        <w:u w:val="single"/>
      </w:rPr>
    </w:lvl>
    <w:lvl w:ilvl="8">
      <w:start w:val="1"/>
      <w:numFmt w:val="decimal"/>
      <w:lvlText w:val="%1.%2.%3.%4.%5.%6.%7.%8.%9."/>
      <w:lvlJc w:val="left"/>
      <w:pPr>
        <w:ind w:left="1800" w:hanging="1800"/>
      </w:pPr>
      <w:rPr>
        <w:rFonts w:hint="default"/>
        <w:u w:val="single"/>
      </w:rPr>
    </w:lvl>
  </w:abstractNum>
  <w:abstractNum w:abstractNumId="18">
    <w:nsid w:val="426B3297"/>
    <w:multiLevelType w:val="multilevel"/>
    <w:tmpl w:val="BBF42A48"/>
    <w:lvl w:ilvl="0">
      <w:start w:val="1"/>
      <w:numFmt w:val="decimal"/>
      <w:lvlText w:val="%1."/>
      <w:lvlJc w:val="left"/>
      <w:pPr>
        <w:ind w:left="285"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95" w:hanging="720"/>
      </w:pPr>
      <w:rPr>
        <w:rFonts w:hint="default"/>
      </w:rPr>
    </w:lvl>
    <w:lvl w:ilvl="3">
      <w:start w:val="1"/>
      <w:numFmt w:val="decimal"/>
      <w:isLgl/>
      <w:lvlText w:val="%1.%2.%3.%4."/>
      <w:lvlJc w:val="left"/>
      <w:pPr>
        <w:ind w:left="1230" w:hanging="1080"/>
      </w:pPr>
      <w:rPr>
        <w:rFonts w:hint="default"/>
      </w:rPr>
    </w:lvl>
    <w:lvl w:ilvl="4">
      <w:start w:val="1"/>
      <w:numFmt w:val="decimal"/>
      <w:isLgl/>
      <w:lvlText w:val="%1.%2.%3.%4.%5."/>
      <w:lvlJc w:val="left"/>
      <w:pPr>
        <w:ind w:left="1305" w:hanging="1080"/>
      </w:pPr>
      <w:rPr>
        <w:rFonts w:hint="default"/>
      </w:rPr>
    </w:lvl>
    <w:lvl w:ilvl="5">
      <w:start w:val="1"/>
      <w:numFmt w:val="decimal"/>
      <w:isLgl/>
      <w:lvlText w:val="%1.%2.%3.%4.%5.%6."/>
      <w:lvlJc w:val="left"/>
      <w:pPr>
        <w:ind w:left="1740" w:hanging="1440"/>
      </w:pPr>
      <w:rPr>
        <w:rFonts w:hint="default"/>
      </w:rPr>
    </w:lvl>
    <w:lvl w:ilvl="6">
      <w:start w:val="1"/>
      <w:numFmt w:val="decimal"/>
      <w:isLgl/>
      <w:lvlText w:val="%1.%2.%3.%4.%5.%6.%7."/>
      <w:lvlJc w:val="left"/>
      <w:pPr>
        <w:ind w:left="1815" w:hanging="1440"/>
      </w:pPr>
      <w:rPr>
        <w:rFonts w:hint="default"/>
      </w:rPr>
    </w:lvl>
    <w:lvl w:ilvl="7">
      <w:start w:val="1"/>
      <w:numFmt w:val="decimal"/>
      <w:isLgl/>
      <w:lvlText w:val="%1.%2.%3.%4.%5.%6.%7.%8."/>
      <w:lvlJc w:val="left"/>
      <w:pPr>
        <w:ind w:left="2250" w:hanging="1800"/>
      </w:pPr>
      <w:rPr>
        <w:rFonts w:hint="default"/>
      </w:rPr>
    </w:lvl>
    <w:lvl w:ilvl="8">
      <w:start w:val="1"/>
      <w:numFmt w:val="decimal"/>
      <w:isLgl/>
      <w:lvlText w:val="%1.%2.%3.%4.%5.%6.%7.%8.%9."/>
      <w:lvlJc w:val="left"/>
      <w:pPr>
        <w:ind w:left="2325" w:hanging="1800"/>
      </w:pPr>
      <w:rPr>
        <w:rFonts w:hint="default"/>
      </w:rPr>
    </w:lvl>
  </w:abstractNum>
  <w:abstractNum w:abstractNumId="19">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CDF4450"/>
    <w:multiLevelType w:val="hybridMultilevel"/>
    <w:tmpl w:val="8DFC7A86"/>
    <w:lvl w:ilvl="0" w:tplc="280A0011">
      <w:start w:val="1"/>
      <w:numFmt w:val="decimal"/>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14"/>
  </w:num>
  <w:num w:numId="2">
    <w:abstractNumId w:val="19"/>
  </w:num>
  <w:num w:numId="3">
    <w:abstractNumId w:val="0"/>
  </w:num>
  <w:num w:numId="4">
    <w:abstractNumId w:val="20"/>
  </w:num>
  <w:num w:numId="5">
    <w:abstractNumId w:val="13"/>
  </w:num>
  <w:num w:numId="6">
    <w:abstractNumId w:val="16"/>
  </w:num>
  <w:num w:numId="7">
    <w:abstractNumId w:val="1"/>
  </w:num>
  <w:num w:numId="8">
    <w:abstractNumId w:val="2"/>
  </w:num>
  <w:num w:numId="9">
    <w:abstractNumId w:val="3"/>
  </w:num>
  <w:num w:numId="10">
    <w:abstractNumId w:val="4"/>
  </w:num>
  <w:num w:numId="11">
    <w:abstractNumId w:val="5"/>
  </w:num>
  <w:num w:numId="12">
    <w:abstractNumId w:val="6"/>
  </w:num>
  <w:num w:numId="13">
    <w:abstractNumId w:val="7"/>
  </w:num>
  <w:num w:numId="14">
    <w:abstractNumId w:val="8"/>
  </w:num>
  <w:num w:numId="15">
    <w:abstractNumId w:val="9"/>
  </w:num>
  <w:num w:numId="16">
    <w:abstractNumId w:val="10"/>
  </w:num>
  <w:num w:numId="17">
    <w:abstractNumId w:val="11"/>
  </w:num>
  <w:num w:numId="18">
    <w:abstractNumId w:val="12"/>
  </w:num>
  <w:num w:numId="19">
    <w:abstractNumId w:val="18"/>
  </w:num>
  <w:num w:numId="20">
    <w:abstractNumId w:val="21"/>
  </w:num>
  <w:num w:numId="21">
    <w:abstractNumId w:val="15"/>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185D"/>
    <w:rsid w:val="00010686"/>
    <w:rsid w:val="00052915"/>
    <w:rsid w:val="00054718"/>
    <w:rsid w:val="000B44F3"/>
    <w:rsid w:val="000D4BF5"/>
    <w:rsid w:val="000E3BB3"/>
    <w:rsid w:val="000F5E56"/>
    <w:rsid w:val="00111407"/>
    <w:rsid w:val="001362EE"/>
    <w:rsid w:val="00152CEA"/>
    <w:rsid w:val="001832A6"/>
    <w:rsid w:val="00186282"/>
    <w:rsid w:val="001A1BE7"/>
    <w:rsid w:val="001D69C8"/>
    <w:rsid w:val="0020060A"/>
    <w:rsid w:val="00247940"/>
    <w:rsid w:val="002634C4"/>
    <w:rsid w:val="002773A3"/>
    <w:rsid w:val="00277D6D"/>
    <w:rsid w:val="002818C7"/>
    <w:rsid w:val="002974BE"/>
    <w:rsid w:val="002C6462"/>
    <w:rsid w:val="002E0F47"/>
    <w:rsid w:val="002F0766"/>
    <w:rsid w:val="002F4E68"/>
    <w:rsid w:val="00321466"/>
    <w:rsid w:val="00354647"/>
    <w:rsid w:val="00377273"/>
    <w:rsid w:val="003845C1"/>
    <w:rsid w:val="00387287"/>
    <w:rsid w:val="003D0D68"/>
    <w:rsid w:val="003E48F1"/>
    <w:rsid w:val="003F347A"/>
    <w:rsid w:val="00423E3E"/>
    <w:rsid w:val="00427AF4"/>
    <w:rsid w:val="0045231F"/>
    <w:rsid w:val="0045749F"/>
    <w:rsid w:val="004647DA"/>
    <w:rsid w:val="00477808"/>
    <w:rsid w:val="00477D6B"/>
    <w:rsid w:val="004A01C4"/>
    <w:rsid w:val="004A6C37"/>
    <w:rsid w:val="004E297D"/>
    <w:rsid w:val="00515B59"/>
    <w:rsid w:val="005248E0"/>
    <w:rsid w:val="005332F0"/>
    <w:rsid w:val="0055013B"/>
    <w:rsid w:val="00554B48"/>
    <w:rsid w:val="00571B99"/>
    <w:rsid w:val="005770EA"/>
    <w:rsid w:val="00584DA6"/>
    <w:rsid w:val="005D7AD3"/>
    <w:rsid w:val="005E0980"/>
    <w:rsid w:val="005F4560"/>
    <w:rsid w:val="005F7A0C"/>
    <w:rsid w:val="00605827"/>
    <w:rsid w:val="00620EAD"/>
    <w:rsid w:val="006576C2"/>
    <w:rsid w:val="00675021"/>
    <w:rsid w:val="006A06C6"/>
    <w:rsid w:val="0071185D"/>
    <w:rsid w:val="00712787"/>
    <w:rsid w:val="007224C8"/>
    <w:rsid w:val="00760024"/>
    <w:rsid w:val="0078025C"/>
    <w:rsid w:val="0079414A"/>
    <w:rsid w:val="00794BE2"/>
    <w:rsid w:val="007B6481"/>
    <w:rsid w:val="007B71FE"/>
    <w:rsid w:val="007D781E"/>
    <w:rsid w:val="007E663E"/>
    <w:rsid w:val="007F098E"/>
    <w:rsid w:val="008035F8"/>
    <w:rsid w:val="00815082"/>
    <w:rsid w:val="00830F51"/>
    <w:rsid w:val="008321CA"/>
    <w:rsid w:val="008504AB"/>
    <w:rsid w:val="0086319C"/>
    <w:rsid w:val="00874C48"/>
    <w:rsid w:val="0088395E"/>
    <w:rsid w:val="008B2CC1"/>
    <w:rsid w:val="008E6BD6"/>
    <w:rsid w:val="0090731E"/>
    <w:rsid w:val="0094028B"/>
    <w:rsid w:val="009626B7"/>
    <w:rsid w:val="00966A22"/>
    <w:rsid w:val="00972F03"/>
    <w:rsid w:val="00995920"/>
    <w:rsid w:val="009A0C8B"/>
    <w:rsid w:val="009B0E31"/>
    <w:rsid w:val="009B6241"/>
    <w:rsid w:val="009B64CA"/>
    <w:rsid w:val="00A16FC0"/>
    <w:rsid w:val="00A32C9E"/>
    <w:rsid w:val="00A42F10"/>
    <w:rsid w:val="00A6016C"/>
    <w:rsid w:val="00AB613D"/>
    <w:rsid w:val="00AE7F20"/>
    <w:rsid w:val="00AF5868"/>
    <w:rsid w:val="00B52934"/>
    <w:rsid w:val="00B65A0A"/>
    <w:rsid w:val="00B67CDC"/>
    <w:rsid w:val="00B72D36"/>
    <w:rsid w:val="00BC4164"/>
    <w:rsid w:val="00BC514B"/>
    <w:rsid w:val="00BD2DCC"/>
    <w:rsid w:val="00C17CBC"/>
    <w:rsid w:val="00C90559"/>
    <w:rsid w:val="00CA2251"/>
    <w:rsid w:val="00CC0C5B"/>
    <w:rsid w:val="00CC6182"/>
    <w:rsid w:val="00D56C7C"/>
    <w:rsid w:val="00D71B4D"/>
    <w:rsid w:val="00D90289"/>
    <w:rsid w:val="00D93D55"/>
    <w:rsid w:val="00DB0878"/>
    <w:rsid w:val="00DC4C60"/>
    <w:rsid w:val="00DE7D6C"/>
    <w:rsid w:val="00DF7E8E"/>
    <w:rsid w:val="00E0079A"/>
    <w:rsid w:val="00E444DA"/>
    <w:rsid w:val="00E45C84"/>
    <w:rsid w:val="00E504E5"/>
    <w:rsid w:val="00E548C8"/>
    <w:rsid w:val="00EB7A3E"/>
    <w:rsid w:val="00EC401A"/>
    <w:rsid w:val="00EE3A6A"/>
    <w:rsid w:val="00EF530A"/>
    <w:rsid w:val="00EF6622"/>
    <w:rsid w:val="00F03C9E"/>
    <w:rsid w:val="00F55408"/>
    <w:rsid w:val="00F602FB"/>
    <w:rsid w:val="00F66152"/>
    <w:rsid w:val="00F7334C"/>
    <w:rsid w:val="00F80845"/>
    <w:rsid w:val="00F84474"/>
    <w:rsid w:val="00F9735D"/>
    <w:rsid w:val="00FA0F0D"/>
    <w:rsid w:val="00FD59D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HTML Preformatted"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2C9E"/>
    <w:rPr>
      <w:rFonts w:ascii="Arial" w:eastAsia="SimSun" w:hAnsi="Arial" w:cs="Arial"/>
      <w:sz w:val="22"/>
      <w:lang w:val="es-ES" w:eastAsia="zh-CN"/>
    </w:rPr>
  </w:style>
  <w:style w:type="paragraph" w:styleId="Heading1">
    <w:name w:val="heading 1"/>
    <w:basedOn w:val="Normal"/>
    <w:next w:val="Normal"/>
    <w:qFormat/>
    <w:rsid w:val="00A32C9E"/>
    <w:pPr>
      <w:keepNext/>
      <w:spacing w:before="240" w:after="60"/>
      <w:outlineLvl w:val="0"/>
    </w:pPr>
    <w:rPr>
      <w:b/>
      <w:bCs/>
      <w:caps/>
      <w:kern w:val="32"/>
      <w:szCs w:val="32"/>
    </w:rPr>
  </w:style>
  <w:style w:type="paragraph" w:styleId="Heading2">
    <w:name w:val="heading 2"/>
    <w:basedOn w:val="Normal"/>
    <w:next w:val="Normal"/>
    <w:qFormat/>
    <w:rsid w:val="00A32C9E"/>
    <w:pPr>
      <w:keepNext/>
      <w:spacing w:before="240" w:after="60"/>
      <w:outlineLvl w:val="1"/>
    </w:pPr>
    <w:rPr>
      <w:bCs/>
      <w:iCs/>
      <w:caps/>
      <w:szCs w:val="28"/>
    </w:rPr>
  </w:style>
  <w:style w:type="paragraph" w:styleId="Heading3">
    <w:name w:val="heading 3"/>
    <w:basedOn w:val="Normal"/>
    <w:next w:val="Normal"/>
    <w:qFormat/>
    <w:rsid w:val="00A32C9E"/>
    <w:pPr>
      <w:keepNext/>
      <w:spacing w:before="240" w:after="60"/>
      <w:outlineLvl w:val="2"/>
    </w:pPr>
    <w:rPr>
      <w:bCs/>
      <w:szCs w:val="26"/>
      <w:u w:val="single"/>
    </w:rPr>
  </w:style>
  <w:style w:type="paragraph" w:styleId="Heading4">
    <w:name w:val="heading 4"/>
    <w:basedOn w:val="Normal"/>
    <w:next w:val="Normal"/>
    <w:qFormat/>
    <w:rsid w:val="00A32C9E"/>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32C9E"/>
    <w:pPr>
      <w:spacing w:after="220"/>
    </w:pPr>
  </w:style>
  <w:style w:type="paragraph" w:styleId="Caption">
    <w:name w:val="caption"/>
    <w:basedOn w:val="Normal"/>
    <w:next w:val="Normal"/>
    <w:qFormat/>
    <w:rsid w:val="00A32C9E"/>
    <w:rPr>
      <w:b/>
      <w:bCs/>
      <w:sz w:val="18"/>
    </w:rPr>
  </w:style>
  <w:style w:type="paragraph" w:styleId="CommentText">
    <w:name w:val="annotation text"/>
    <w:basedOn w:val="Normal"/>
    <w:semiHidden/>
    <w:rsid w:val="00A32C9E"/>
    <w:rPr>
      <w:sz w:val="18"/>
    </w:rPr>
  </w:style>
  <w:style w:type="paragraph" w:styleId="EndnoteText">
    <w:name w:val="endnote text"/>
    <w:basedOn w:val="Normal"/>
    <w:semiHidden/>
    <w:rsid w:val="00A32C9E"/>
    <w:rPr>
      <w:sz w:val="18"/>
    </w:rPr>
  </w:style>
  <w:style w:type="paragraph" w:styleId="Footer">
    <w:name w:val="footer"/>
    <w:basedOn w:val="Normal"/>
    <w:rsid w:val="00A32C9E"/>
    <w:pPr>
      <w:tabs>
        <w:tab w:val="center" w:pos="4320"/>
        <w:tab w:val="right" w:pos="8640"/>
      </w:tabs>
    </w:pPr>
  </w:style>
  <w:style w:type="paragraph" w:styleId="FootnoteText">
    <w:name w:val="footnote text"/>
    <w:basedOn w:val="Normal"/>
    <w:semiHidden/>
    <w:rsid w:val="00A32C9E"/>
    <w:rPr>
      <w:sz w:val="18"/>
    </w:rPr>
  </w:style>
  <w:style w:type="paragraph" w:customStyle="1" w:styleId="Endofdocument-Annex">
    <w:name w:val="[End of document - Annex]"/>
    <w:basedOn w:val="Normal"/>
    <w:link w:val="Endofdocument-AnnexChar"/>
    <w:rsid w:val="00815082"/>
    <w:pPr>
      <w:ind w:left="5534"/>
    </w:pPr>
    <w:rPr>
      <w:lang w:val="en-US"/>
    </w:rPr>
  </w:style>
  <w:style w:type="paragraph" w:styleId="BalloonText">
    <w:name w:val="Balloon Text"/>
    <w:basedOn w:val="Normal"/>
    <w:link w:val="BalloonTextChar"/>
    <w:rsid w:val="0071185D"/>
    <w:rPr>
      <w:rFonts w:ascii="Tahoma" w:hAnsi="Tahoma" w:cs="Tahoma"/>
      <w:sz w:val="16"/>
      <w:szCs w:val="16"/>
    </w:rPr>
  </w:style>
  <w:style w:type="paragraph" w:styleId="Header">
    <w:name w:val="header"/>
    <w:basedOn w:val="Normal"/>
    <w:semiHidden/>
    <w:rsid w:val="00A32C9E"/>
    <w:pPr>
      <w:tabs>
        <w:tab w:val="center" w:pos="4536"/>
        <w:tab w:val="right" w:pos="9072"/>
      </w:tabs>
    </w:pPr>
  </w:style>
  <w:style w:type="paragraph" w:styleId="ListNumber">
    <w:name w:val="List Number"/>
    <w:basedOn w:val="Normal"/>
    <w:semiHidden/>
    <w:rsid w:val="00A32C9E"/>
    <w:pPr>
      <w:numPr>
        <w:numId w:val="4"/>
      </w:numPr>
    </w:pPr>
  </w:style>
  <w:style w:type="paragraph" w:customStyle="1" w:styleId="ONUME">
    <w:name w:val="ONUM E"/>
    <w:basedOn w:val="BodyText"/>
    <w:rsid w:val="00A32C9E"/>
    <w:pPr>
      <w:numPr>
        <w:numId w:val="5"/>
      </w:numPr>
    </w:pPr>
  </w:style>
  <w:style w:type="paragraph" w:customStyle="1" w:styleId="ONUMFS">
    <w:name w:val="ONUM FS"/>
    <w:basedOn w:val="BodyText"/>
    <w:link w:val="ONUMFSChar"/>
    <w:rsid w:val="00A32C9E"/>
    <w:pPr>
      <w:numPr>
        <w:numId w:val="6"/>
      </w:numPr>
    </w:pPr>
  </w:style>
  <w:style w:type="paragraph" w:styleId="Salutation">
    <w:name w:val="Salutation"/>
    <w:basedOn w:val="Normal"/>
    <w:next w:val="Normal"/>
    <w:semiHidden/>
    <w:rsid w:val="00A32C9E"/>
  </w:style>
  <w:style w:type="paragraph" w:styleId="Signature">
    <w:name w:val="Signature"/>
    <w:basedOn w:val="Normal"/>
    <w:semiHidden/>
    <w:rsid w:val="00A32C9E"/>
    <w:pPr>
      <w:ind w:left="5250"/>
    </w:pPr>
  </w:style>
  <w:style w:type="character" w:customStyle="1" w:styleId="BalloonTextChar">
    <w:name w:val="Balloon Text Char"/>
    <w:basedOn w:val="DefaultParagraphFont"/>
    <w:link w:val="BalloonText"/>
    <w:rsid w:val="0071185D"/>
    <w:rPr>
      <w:rFonts w:ascii="Tahoma" w:eastAsia="SimSun" w:hAnsi="Tahoma" w:cs="Tahoma"/>
      <w:sz w:val="16"/>
      <w:szCs w:val="16"/>
      <w:lang w:val="es-ES" w:eastAsia="zh-CN"/>
    </w:rPr>
  </w:style>
  <w:style w:type="character" w:customStyle="1" w:styleId="ONUMFSChar">
    <w:name w:val="ONUM FS Char"/>
    <w:basedOn w:val="DefaultParagraphFont"/>
    <w:link w:val="ONUMFS"/>
    <w:rsid w:val="00DF7E8E"/>
    <w:rPr>
      <w:rFonts w:ascii="Arial" w:eastAsia="SimSun" w:hAnsi="Arial" w:cs="Arial"/>
      <w:sz w:val="22"/>
      <w:lang w:val="es-ES" w:eastAsia="zh-CN"/>
    </w:rPr>
  </w:style>
  <w:style w:type="character" w:customStyle="1" w:styleId="Endofdocument-AnnexChar">
    <w:name w:val="[End of document - Annex] Char"/>
    <w:basedOn w:val="DefaultParagraphFont"/>
    <w:link w:val="Endofdocument-Annex"/>
    <w:rsid w:val="00DF7E8E"/>
    <w:rPr>
      <w:rFonts w:ascii="Arial" w:eastAsia="SimSun" w:hAnsi="Arial" w:cs="Arial"/>
      <w:sz w:val="22"/>
      <w:lang w:eastAsia="zh-CN"/>
    </w:rPr>
  </w:style>
  <w:style w:type="character" w:customStyle="1" w:styleId="DefaultParagraphFont1">
    <w:name w:val="Default Paragraph Font1"/>
    <w:rsid w:val="008321CA"/>
  </w:style>
  <w:style w:type="character" w:customStyle="1" w:styleId="TextodegloboCar">
    <w:name w:val="Texto de globo Car"/>
    <w:rsid w:val="008321CA"/>
    <w:rPr>
      <w:rFonts w:ascii="Lucida Grande" w:hAnsi="Lucida Grande" w:cs="Lucida Grande"/>
      <w:sz w:val="18"/>
      <w:szCs w:val="18"/>
    </w:rPr>
  </w:style>
  <w:style w:type="character" w:customStyle="1" w:styleId="TextodegloboCar1">
    <w:name w:val="Texto de globo Car1"/>
    <w:rsid w:val="008321CA"/>
    <w:rPr>
      <w:rFonts w:ascii="Lucida Grande" w:eastAsia="font333" w:hAnsi="Lucida Grande"/>
      <w:sz w:val="18"/>
      <w:szCs w:val="18"/>
      <w:lang w:eastAsia="en-US"/>
    </w:rPr>
  </w:style>
  <w:style w:type="character" w:customStyle="1" w:styleId="PiedepginaCar">
    <w:name w:val="Pie de página Car"/>
    <w:rsid w:val="008321CA"/>
    <w:rPr>
      <w:rFonts w:eastAsia="font333"/>
      <w:lang w:eastAsia="en-US"/>
    </w:rPr>
  </w:style>
  <w:style w:type="character" w:customStyle="1" w:styleId="PageNumber1">
    <w:name w:val="Page Number1"/>
    <w:basedOn w:val="DefaultParagraphFont1"/>
    <w:rsid w:val="008321CA"/>
  </w:style>
  <w:style w:type="character" w:customStyle="1" w:styleId="ListLabel1">
    <w:name w:val="ListLabel 1"/>
    <w:rsid w:val="008321CA"/>
    <w:rPr>
      <w:rFonts w:cs="Times New Roman"/>
    </w:rPr>
  </w:style>
  <w:style w:type="character" w:customStyle="1" w:styleId="ListLabel2">
    <w:name w:val="ListLabel 2"/>
    <w:rsid w:val="008321CA"/>
    <w:rPr>
      <w:sz w:val="20"/>
    </w:rPr>
  </w:style>
  <w:style w:type="character" w:customStyle="1" w:styleId="ListLabel3">
    <w:name w:val="ListLabel 3"/>
    <w:rsid w:val="008321CA"/>
    <w:rPr>
      <w:rFonts w:cs="Symbol"/>
      <w:sz w:val="18"/>
    </w:rPr>
  </w:style>
  <w:style w:type="character" w:customStyle="1" w:styleId="ListLabel4">
    <w:name w:val="ListLabel 4"/>
    <w:rsid w:val="008321CA"/>
    <w:rPr>
      <w:rFonts w:cs="Courier New"/>
    </w:rPr>
  </w:style>
  <w:style w:type="character" w:customStyle="1" w:styleId="ListLabel5">
    <w:name w:val="ListLabel 5"/>
    <w:rsid w:val="008321CA"/>
    <w:rPr>
      <w:rFonts w:cs="Wingdings"/>
    </w:rPr>
  </w:style>
  <w:style w:type="character" w:customStyle="1" w:styleId="ListLabel6">
    <w:name w:val="ListLabel 6"/>
    <w:rsid w:val="008321CA"/>
    <w:rPr>
      <w:rFonts w:cs="Times New Roman"/>
    </w:rPr>
  </w:style>
  <w:style w:type="paragraph" w:customStyle="1" w:styleId="Encabezado">
    <w:name w:val="Encabezado"/>
    <w:basedOn w:val="Normal"/>
    <w:next w:val="BodyText"/>
    <w:rsid w:val="008321CA"/>
    <w:pPr>
      <w:keepNext/>
      <w:suppressAutoHyphens/>
      <w:spacing w:before="240" w:after="120"/>
    </w:pPr>
    <w:rPr>
      <w:rFonts w:ascii="Calibri" w:eastAsia="Microsoft YaHei" w:hAnsi="Calibri" w:cs="Mangal"/>
      <w:color w:val="00000A"/>
      <w:kern w:val="1"/>
      <w:sz w:val="28"/>
      <w:szCs w:val="28"/>
      <w:lang w:val="en-US" w:eastAsia="en-US"/>
    </w:rPr>
  </w:style>
  <w:style w:type="paragraph" w:styleId="List">
    <w:name w:val="List"/>
    <w:basedOn w:val="BodyText"/>
    <w:rsid w:val="008321CA"/>
    <w:pPr>
      <w:suppressAutoHyphens/>
      <w:spacing w:after="140" w:line="288" w:lineRule="auto"/>
    </w:pPr>
    <w:rPr>
      <w:rFonts w:ascii="Calibri" w:eastAsia="font333" w:hAnsi="Calibri" w:cs="Mangal"/>
      <w:color w:val="00000A"/>
      <w:kern w:val="1"/>
      <w:sz w:val="24"/>
      <w:szCs w:val="24"/>
      <w:lang w:val="en-US" w:eastAsia="en-US"/>
    </w:rPr>
  </w:style>
  <w:style w:type="paragraph" w:customStyle="1" w:styleId="ndice">
    <w:name w:val="Índice"/>
    <w:basedOn w:val="Normal"/>
    <w:rsid w:val="008321CA"/>
    <w:pPr>
      <w:suppressLineNumbers/>
      <w:suppressAutoHyphens/>
    </w:pPr>
    <w:rPr>
      <w:rFonts w:ascii="Calibri" w:eastAsia="font333" w:hAnsi="Calibri" w:cs="Mangal"/>
      <w:color w:val="00000A"/>
      <w:kern w:val="1"/>
      <w:sz w:val="24"/>
      <w:szCs w:val="24"/>
      <w:lang w:val="en-US" w:eastAsia="en-US"/>
    </w:rPr>
  </w:style>
  <w:style w:type="paragraph" w:styleId="NormalWeb">
    <w:name w:val="Normal (Web)"/>
    <w:basedOn w:val="Normal"/>
    <w:rsid w:val="008321CA"/>
    <w:pPr>
      <w:suppressAutoHyphens/>
      <w:spacing w:before="2" w:after="2"/>
    </w:pPr>
    <w:rPr>
      <w:rFonts w:ascii="Times" w:eastAsia="Cambria" w:hAnsi="Times" w:cs="Times New Roman"/>
      <w:color w:val="00000A"/>
      <w:kern w:val="1"/>
      <w:sz w:val="20"/>
      <w:lang w:val="en-US" w:eastAsia="en-US"/>
    </w:rPr>
  </w:style>
  <w:style w:type="paragraph" w:styleId="ListParagraph">
    <w:name w:val="List Paragraph"/>
    <w:basedOn w:val="Normal"/>
    <w:uiPriority w:val="34"/>
    <w:qFormat/>
    <w:rsid w:val="008321CA"/>
    <w:pPr>
      <w:tabs>
        <w:tab w:val="left" w:pos="1560"/>
      </w:tabs>
      <w:suppressAutoHyphens/>
      <w:spacing w:before="120" w:after="100" w:line="276" w:lineRule="auto"/>
      <w:ind w:left="720"/>
      <w:contextualSpacing/>
    </w:pPr>
    <w:rPr>
      <w:rFonts w:eastAsia="Cambria"/>
      <w:color w:val="00000A"/>
      <w:kern w:val="1"/>
      <w:szCs w:val="22"/>
      <w:lang w:val="en-US" w:eastAsia="en-US"/>
    </w:rPr>
  </w:style>
  <w:style w:type="paragraph" w:customStyle="1" w:styleId="Contenidodelmarco">
    <w:name w:val="Contenido del marco"/>
    <w:basedOn w:val="Normal"/>
    <w:rsid w:val="008321CA"/>
    <w:pPr>
      <w:suppressAutoHyphens/>
    </w:pPr>
    <w:rPr>
      <w:rFonts w:ascii="Cambria" w:eastAsia="font333" w:hAnsi="Cambria" w:cs="font333"/>
      <w:color w:val="00000A"/>
      <w:kern w:val="1"/>
      <w:sz w:val="24"/>
      <w:szCs w:val="24"/>
      <w:lang w:val="en-US" w:eastAsia="en-US"/>
    </w:rPr>
  </w:style>
  <w:style w:type="table" w:styleId="TableGrid">
    <w:name w:val="Table Grid"/>
    <w:basedOn w:val="TableNormal"/>
    <w:uiPriority w:val="39"/>
    <w:rsid w:val="005F7A0C"/>
    <w:rPr>
      <w:rFonts w:asciiTheme="minorHAnsi" w:eastAsiaTheme="minorHAnsi" w:hAnsiTheme="minorHAnsi" w:cstheme="minorBidi"/>
      <w:sz w:val="22"/>
      <w:szCs w:val="22"/>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5F7A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lang w:val="es-PE" w:eastAsia="es-PE"/>
    </w:rPr>
  </w:style>
  <w:style w:type="character" w:customStyle="1" w:styleId="HTMLPreformattedChar">
    <w:name w:val="HTML Preformatted Char"/>
    <w:basedOn w:val="DefaultParagraphFont"/>
    <w:link w:val="HTMLPreformatted"/>
    <w:uiPriority w:val="99"/>
    <w:rsid w:val="005F7A0C"/>
    <w:rPr>
      <w:rFonts w:ascii="Courier New" w:hAnsi="Courier New" w:cs="Courier New"/>
      <w:lang w:val="es-PE" w:eastAsia="es-P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HTML Preformatted"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2C9E"/>
    <w:rPr>
      <w:rFonts w:ascii="Arial" w:eastAsia="SimSun" w:hAnsi="Arial" w:cs="Arial"/>
      <w:sz w:val="22"/>
      <w:lang w:val="es-ES" w:eastAsia="zh-CN"/>
    </w:rPr>
  </w:style>
  <w:style w:type="paragraph" w:styleId="Heading1">
    <w:name w:val="heading 1"/>
    <w:basedOn w:val="Normal"/>
    <w:next w:val="Normal"/>
    <w:qFormat/>
    <w:rsid w:val="00A32C9E"/>
    <w:pPr>
      <w:keepNext/>
      <w:spacing w:before="240" w:after="60"/>
      <w:outlineLvl w:val="0"/>
    </w:pPr>
    <w:rPr>
      <w:b/>
      <w:bCs/>
      <w:caps/>
      <w:kern w:val="32"/>
      <w:szCs w:val="32"/>
    </w:rPr>
  </w:style>
  <w:style w:type="paragraph" w:styleId="Heading2">
    <w:name w:val="heading 2"/>
    <w:basedOn w:val="Normal"/>
    <w:next w:val="Normal"/>
    <w:qFormat/>
    <w:rsid w:val="00A32C9E"/>
    <w:pPr>
      <w:keepNext/>
      <w:spacing w:before="240" w:after="60"/>
      <w:outlineLvl w:val="1"/>
    </w:pPr>
    <w:rPr>
      <w:bCs/>
      <w:iCs/>
      <w:caps/>
      <w:szCs w:val="28"/>
    </w:rPr>
  </w:style>
  <w:style w:type="paragraph" w:styleId="Heading3">
    <w:name w:val="heading 3"/>
    <w:basedOn w:val="Normal"/>
    <w:next w:val="Normal"/>
    <w:qFormat/>
    <w:rsid w:val="00A32C9E"/>
    <w:pPr>
      <w:keepNext/>
      <w:spacing w:before="240" w:after="60"/>
      <w:outlineLvl w:val="2"/>
    </w:pPr>
    <w:rPr>
      <w:bCs/>
      <w:szCs w:val="26"/>
      <w:u w:val="single"/>
    </w:rPr>
  </w:style>
  <w:style w:type="paragraph" w:styleId="Heading4">
    <w:name w:val="heading 4"/>
    <w:basedOn w:val="Normal"/>
    <w:next w:val="Normal"/>
    <w:qFormat/>
    <w:rsid w:val="00A32C9E"/>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32C9E"/>
    <w:pPr>
      <w:spacing w:after="220"/>
    </w:pPr>
  </w:style>
  <w:style w:type="paragraph" w:styleId="Caption">
    <w:name w:val="caption"/>
    <w:basedOn w:val="Normal"/>
    <w:next w:val="Normal"/>
    <w:qFormat/>
    <w:rsid w:val="00A32C9E"/>
    <w:rPr>
      <w:b/>
      <w:bCs/>
      <w:sz w:val="18"/>
    </w:rPr>
  </w:style>
  <w:style w:type="paragraph" w:styleId="CommentText">
    <w:name w:val="annotation text"/>
    <w:basedOn w:val="Normal"/>
    <w:semiHidden/>
    <w:rsid w:val="00A32C9E"/>
    <w:rPr>
      <w:sz w:val="18"/>
    </w:rPr>
  </w:style>
  <w:style w:type="paragraph" w:styleId="EndnoteText">
    <w:name w:val="endnote text"/>
    <w:basedOn w:val="Normal"/>
    <w:semiHidden/>
    <w:rsid w:val="00A32C9E"/>
    <w:rPr>
      <w:sz w:val="18"/>
    </w:rPr>
  </w:style>
  <w:style w:type="paragraph" w:styleId="Footer">
    <w:name w:val="footer"/>
    <w:basedOn w:val="Normal"/>
    <w:rsid w:val="00A32C9E"/>
    <w:pPr>
      <w:tabs>
        <w:tab w:val="center" w:pos="4320"/>
        <w:tab w:val="right" w:pos="8640"/>
      </w:tabs>
    </w:pPr>
  </w:style>
  <w:style w:type="paragraph" w:styleId="FootnoteText">
    <w:name w:val="footnote text"/>
    <w:basedOn w:val="Normal"/>
    <w:semiHidden/>
    <w:rsid w:val="00A32C9E"/>
    <w:rPr>
      <w:sz w:val="18"/>
    </w:rPr>
  </w:style>
  <w:style w:type="paragraph" w:customStyle="1" w:styleId="Endofdocument-Annex">
    <w:name w:val="[End of document - Annex]"/>
    <w:basedOn w:val="Normal"/>
    <w:link w:val="Endofdocument-AnnexChar"/>
    <w:rsid w:val="00815082"/>
    <w:pPr>
      <w:ind w:left="5534"/>
    </w:pPr>
    <w:rPr>
      <w:lang w:val="en-US"/>
    </w:rPr>
  </w:style>
  <w:style w:type="paragraph" w:styleId="BalloonText">
    <w:name w:val="Balloon Text"/>
    <w:basedOn w:val="Normal"/>
    <w:link w:val="BalloonTextChar"/>
    <w:rsid w:val="0071185D"/>
    <w:rPr>
      <w:rFonts w:ascii="Tahoma" w:hAnsi="Tahoma" w:cs="Tahoma"/>
      <w:sz w:val="16"/>
      <w:szCs w:val="16"/>
    </w:rPr>
  </w:style>
  <w:style w:type="paragraph" w:styleId="Header">
    <w:name w:val="header"/>
    <w:basedOn w:val="Normal"/>
    <w:semiHidden/>
    <w:rsid w:val="00A32C9E"/>
    <w:pPr>
      <w:tabs>
        <w:tab w:val="center" w:pos="4536"/>
        <w:tab w:val="right" w:pos="9072"/>
      </w:tabs>
    </w:pPr>
  </w:style>
  <w:style w:type="paragraph" w:styleId="ListNumber">
    <w:name w:val="List Number"/>
    <w:basedOn w:val="Normal"/>
    <w:semiHidden/>
    <w:rsid w:val="00A32C9E"/>
    <w:pPr>
      <w:numPr>
        <w:numId w:val="4"/>
      </w:numPr>
    </w:pPr>
  </w:style>
  <w:style w:type="paragraph" w:customStyle="1" w:styleId="ONUME">
    <w:name w:val="ONUM E"/>
    <w:basedOn w:val="BodyText"/>
    <w:rsid w:val="00A32C9E"/>
    <w:pPr>
      <w:numPr>
        <w:numId w:val="5"/>
      </w:numPr>
    </w:pPr>
  </w:style>
  <w:style w:type="paragraph" w:customStyle="1" w:styleId="ONUMFS">
    <w:name w:val="ONUM FS"/>
    <w:basedOn w:val="BodyText"/>
    <w:link w:val="ONUMFSChar"/>
    <w:rsid w:val="00A32C9E"/>
    <w:pPr>
      <w:numPr>
        <w:numId w:val="6"/>
      </w:numPr>
    </w:pPr>
  </w:style>
  <w:style w:type="paragraph" w:styleId="Salutation">
    <w:name w:val="Salutation"/>
    <w:basedOn w:val="Normal"/>
    <w:next w:val="Normal"/>
    <w:semiHidden/>
    <w:rsid w:val="00A32C9E"/>
  </w:style>
  <w:style w:type="paragraph" w:styleId="Signature">
    <w:name w:val="Signature"/>
    <w:basedOn w:val="Normal"/>
    <w:semiHidden/>
    <w:rsid w:val="00A32C9E"/>
    <w:pPr>
      <w:ind w:left="5250"/>
    </w:pPr>
  </w:style>
  <w:style w:type="character" w:customStyle="1" w:styleId="BalloonTextChar">
    <w:name w:val="Balloon Text Char"/>
    <w:basedOn w:val="DefaultParagraphFont"/>
    <w:link w:val="BalloonText"/>
    <w:rsid w:val="0071185D"/>
    <w:rPr>
      <w:rFonts w:ascii="Tahoma" w:eastAsia="SimSun" w:hAnsi="Tahoma" w:cs="Tahoma"/>
      <w:sz w:val="16"/>
      <w:szCs w:val="16"/>
      <w:lang w:val="es-ES" w:eastAsia="zh-CN"/>
    </w:rPr>
  </w:style>
  <w:style w:type="character" w:customStyle="1" w:styleId="ONUMFSChar">
    <w:name w:val="ONUM FS Char"/>
    <w:basedOn w:val="DefaultParagraphFont"/>
    <w:link w:val="ONUMFS"/>
    <w:rsid w:val="00DF7E8E"/>
    <w:rPr>
      <w:rFonts w:ascii="Arial" w:eastAsia="SimSun" w:hAnsi="Arial" w:cs="Arial"/>
      <w:sz w:val="22"/>
      <w:lang w:val="es-ES" w:eastAsia="zh-CN"/>
    </w:rPr>
  </w:style>
  <w:style w:type="character" w:customStyle="1" w:styleId="Endofdocument-AnnexChar">
    <w:name w:val="[End of document - Annex] Char"/>
    <w:basedOn w:val="DefaultParagraphFont"/>
    <w:link w:val="Endofdocument-Annex"/>
    <w:rsid w:val="00DF7E8E"/>
    <w:rPr>
      <w:rFonts w:ascii="Arial" w:eastAsia="SimSun" w:hAnsi="Arial" w:cs="Arial"/>
      <w:sz w:val="22"/>
      <w:lang w:eastAsia="zh-CN"/>
    </w:rPr>
  </w:style>
  <w:style w:type="character" w:customStyle="1" w:styleId="DefaultParagraphFont1">
    <w:name w:val="Default Paragraph Font1"/>
    <w:rsid w:val="008321CA"/>
  </w:style>
  <w:style w:type="character" w:customStyle="1" w:styleId="TextodegloboCar">
    <w:name w:val="Texto de globo Car"/>
    <w:rsid w:val="008321CA"/>
    <w:rPr>
      <w:rFonts w:ascii="Lucida Grande" w:hAnsi="Lucida Grande" w:cs="Lucida Grande"/>
      <w:sz w:val="18"/>
      <w:szCs w:val="18"/>
    </w:rPr>
  </w:style>
  <w:style w:type="character" w:customStyle="1" w:styleId="TextodegloboCar1">
    <w:name w:val="Texto de globo Car1"/>
    <w:rsid w:val="008321CA"/>
    <w:rPr>
      <w:rFonts w:ascii="Lucida Grande" w:eastAsia="font333" w:hAnsi="Lucida Grande"/>
      <w:sz w:val="18"/>
      <w:szCs w:val="18"/>
      <w:lang w:eastAsia="en-US"/>
    </w:rPr>
  </w:style>
  <w:style w:type="character" w:customStyle="1" w:styleId="PiedepginaCar">
    <w:name w:val="Pie de página Car"/>
    <w:rsid w:val="008321CA"/>
    <w:rPr>
      <w:rFonts w:eastAsia="font333"/>
      <w:lang w:eastAsia="en-US"/>
    </w:rPr>
  </w:style>
  <w:style w:type="character" w:customStyle="1" w:styleId="PageNumber1">
    <w:name w:val="Page Number1"/>
    <w:basedOn w:val="DefaultParagraphFont1"/>
    <w:rsid w:val="008321CA"/>
  </w:style>
  <w:style w:type="character" w:customStyle="1" w:styleId="ListLabel1">
    <w:name w:val="ListLabel 1"/>
    <w:rsid w:val="008321CA"/>
    <w:rPr>
      <w:rFonts w:cs="Times New Roman"/>
    </w:rPr>
  </w:style>
  <w:style w:type="character" w:customStyle="1" w:styleId="ListLabel2">
    <w:name w:val="ListLabel 2"/>
    <w:rsid w:val="008321CA"/>
    <w:rPr>
      <w:sz w:val="20"/>
    </w:rPr>
  </w:style>
  <w:style w:type="character" w:customStyle="1" w:styleId="ListLabel3">
    <w:name w:val="ListLabel 3"/>
    <w:rsid w:val="008321CA"/>
    <w:rPr>
      <w:rFonts w:cs="Symbol"/>
      <w:sz w:val="18"/>
    </w:rPr>
  </w:style>
  <w:style w:type="character" w:customStyle="1" w:styleId="ListLabel4">
    <w:name w:val="ListLabel 4"/>
    <w:rsid w:val="008321CA"/>
    <w:rPr>
      <w:rFonts w:cs="Courier New"/>
    </w:rPr>
  </w:style>
  <w:style w:type="character" w:customStyle="1" w:styleId="ListLabel5">
    <w:name w:val="ListLabel 5"/>
    <w:rsid w:val="008321CA"/>
    <w:rPr>
      <w:rFonts w:cs="Wingdings"/>
    </w:rPr>
  </w:style>
  <w:style w:type="character" w:customStyle="1" w:styleId="ListLabel6">
    <w:name w:val="ListLabel 6"/>
    <w:rsid w:val="008321CA"/>
    <w:rPr>
      <w:rFonts w:cs="Times New Roman"/>
    </w:rPr>
  </w:style>
  <w:style w:type="paragraph" w:customStyle="1" w:styleId="Encabezado">
    <w:name w:val="Encabezado"/>
    <w:basedOn w:val="Normal"/>
    <w:next w:val="BodyText"/>
    <w:rsid w:val="008321CA"/>
    <w:pPr>
      <w:keepNext/>
      <w:suppressAutoHyphens/>
      <w:spacing w:before="240" w:after="120"/>
    </w:pPr>
    <w:rPr>
      <w:rFonts w:ascii="Calibri" w:eastAsia="Microsoft YaHei" w:hAnsi="Calibri" w:cs="Mangal"/>
      <w:color w:val="00000A"/>
      <w:kern w:val="1"/>
      <w:sz w:val="28"/>
      <w:szCs w:val="28"/>
      <w:lang w:val="en-US" w:eastAsia="en-US"/>
    </w:rPr>
  </w:style>
  <w:style w:type="paragraph" w:styleId="List">
    <w:name w:val="List"/>
    <w:basedOn w:val="BodyText"/>
    <w:rsid w:val="008321CA"/>
    <w:pPr>
      <w:suppressAutoHyphens/>
      <w:spacing w:after="140" w:line="288" w:lineRule="auto"/>
    </w:pPr>
    <w:rPr>
      <w:rFonts w:ascii="Calibri" w:eastAsia="font333" w:hAnsi="Calibri" w:cs="Mangal"/>
      <w:color w:val="00000A"/>
      <w:kern w:val="1"/>
      <w:sz w:val="24"/>
      <w:szCs w:val="24"/>
      <w:lang w:val="en-US" w:eastAsia="en-US"/>
    </w:rPr>
  </w:style>
  <w:style w:type="paragraph" w:customStyle="1" w:styleId="ndice">
    <w:name w:val="Índice"/>
    <w:basedOn w:val="Normal"/>
    <w:rsid w:val="008321CA"/>
    <w:pPr>
      <w:suppressLineNumbers/>
      <w:suppressAutoHyphens/>
    </w:pPr>
    <w:rPr>
      <w:rFonts w:ascii="Calibri" w:eastAsia="font333" w:hAnsi="Calibri" w:cs="Mangal"/>
      <w:color w:val="00000A"/>
      <w:kern w:val="1"/>
      <w:sz w:val="24"/>
      <w:szCs w:val="24"/>
      <w:lang w:val="en-US" w:eastAsia="en-US"/>
    </w:rPr>
  </w:style>
  <w:style w:type="paragraph" w:styleId="NormalWeb">
    <w:name w:val="Normal (Web)"/>
    <w:basedOn w:val="Normal"/>
    <w:rsid w:val="008321CA"/>
    <w:pPr>
      <w:suppressAutoHyphens/>
      <w:spacing w:before="2" w:after="2"/>
    </w:pPr>
    <w:rPr>
      <w:rFonts w:ascii="Times" w:eastAsia="Cambria" w:hAnsi="Times" w:cs="Times New Roman"/>
      <w:color w:val="00000A"/>
      <w:kern w:val="1"/>
      <w:sz w:val="20"/>
      <w:lang w:val="en-US" w:eastAsia="en-US"/>
    </w:rPr>
  </w:style>
  <w:style w:type="paragraph" w:styleId="ListParagraph">
    <w:name w:val="List Paragraph"/>
    <w:basedOn w:val="Normal"/>
    <w:uiPriority w:val="34"/>
    <w:qFormat/>
    <w:rsid w:val="008321CA"/>
    <w:pPr>
      <w:tabs>
        <w:tab w:val="left" w:pos="1560"/>
      </w:tabs>
      <w:suppressAutoHyphens/>
      <w:spacing w:before="120" w:after="100" w:line="276" w:lineRule="auto"/>
      <w:ind w:left="720"/>
      <w:contextualSpacing/>
    </w:pPr>
    <w:rPr>
      <w:rFonts w:eastAsia="Cambria"/>
      <w:color w:val="00000A"/>
      <w:kern w:val="1"/>
      <w:szCs w:val="22"/>
      <w:lang w:val="en-US" w:eastAsia="en-US"/>
    </w:rPr>
  </w:style>
  <w:style w:type="paragraph" w:customStyle="1" w:styleId="Contenidodelmarco">
    <w:name w:val="Contenido del marco"/>
    <w:basedOn w:val="Normal"/>
    <w:rsid w:val="008321CA"/>
    <w:pPr>
      <w:suppressAutoHyphens/>
    </w:pPr>
    <w:rPr>
      <w:rFonts w:ascii="Cambria" w:eastAsia="font333" w:hAnsi="Cambria" w:cs="font333"/>
      <w:color w:val="00000A"/>
      <w:kern w:val="1"/>
      <w:sz w:val="24"/>
      <w:szCs w:val="24"/>
      <w:lang w:val="en-US" w:eastAsia="en-US"/>
    </w:rPr>
  </w:style>
  <w:style w:type="table" w:styleId="TableGrid">
    <w:name w:val="Table Grid"/>
    <w:basedOn w:val="TableNormal"/>
    <w:uiPriority w:val="39"/>
    <w:rsid w:val="005F7A0C"/>
    <w:rPr>
      <w:rFonts w:asciiTheme="minorHAnsi" w:eastAsiaTheme="minorHAnsi" w:hAnsiTheme="minorHAnsi" w:cstheme="minorBidi"/>
      <w:sz w:val="22"/>
      <w:szCs w:val="22"/>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5F7A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lang w:val="es-PE" w:eastAsia="es-PE"/>
    </w:rPr>
  </w:style>
  <w:style w:type="character" w:customStyle="1" w:styleId="HTMLPreformattedChar">
    <w:name w:val="HTML Preformatted Char"/>
    <w:basedOn w:val="DefaultParagraphFont"/>
    <w:link w:val="HTMLPreformatted"/>
    <w:uiPriority w:val="99"/>
    <w:rsid w:val="005F7A0C"/>
    <w:rPr>
      <w:rFonts w:ascii="Courier New" w:hAnsi="Courier New" w:cs="Courier New"/>
      <w:lang w:val="es-PE"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Meetings\DACD\CDIP%2017%20(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2E74FA-BF4A-43D5-A11D-461C447FA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CDIP 17 (S).dot</Template>
  <TotalTime>170</TotalTime>
  <Pages>6</Pages>
  <Words>1541</Words>
  <Characters>8790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CDIP/17/</vt:lpstr>
    </vt:vector>
  </TitlesOfParts>
  <Company>WIPO</Company>
  <LinksUpToDate>false</LinksUpToDate>
  <CharactersWithSpaces>10311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CDIP/17/</dc:title>
  <dc:creator>BRACI Biljana</dc:creator>
  <cp:lastModifiedBy>BRACI Biljana</cp:lastModifiedBy>
  <cp:revision>19</cp:revision>
  <cp:lastPrinted>2018-05-01T13:32:00Z</cp:lastPrinted>
  <dcterms:created xsi:type="dcterms:W3CDTF">2018-05-01T08:03:00Z</dcterms:created>
  <dcterms:modified xsi:type="dcterms:W3CDTF">2018-05-01T13:33:00Z</dcterms:modified>
</cp:coreProperties>
</file>