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E411AD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019300" cy="647700"/>
                  <wp:effectExtent l="0" t="0" r="0" b="0"/>
                  <wp:docPr id="2" name="Picture 7" descr="D:\Users\coppier\AppData\Local\Microsoft\Windows\Temporary Internet Files\Content.Outlook\RL8XHMPC\GOUV_MECO_EN_Intellectual Property Office_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coppier\AppData\Local\Microsoft\Windows\Temporary Internet Files\Content.Outlook\RL8XHMPC\GOUV_MECO_EN_Intellectual Property Office_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E411AD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190750" cy="857250"/>
                  <wp:effectExtent l="0" t="0" r="0" b="0"/>
                  <wp:docPr id="1" name="Picture 1" descr="N:\ORGDCEA\SHARED\2014 TDC Activities\DEVELOPED COUNTRIES\Countries\Luxembourg\Seminars\Seminar Oct 27\Logos\Logocombi_UK_obpiGÇóbbie_PM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DCEA\SHARED\2014 TDC Activities\DEVELOPED COUNTRIES\Countries\Luxembourg\Seminars\Seminar Oct 27\Logos\Logocombi_UK_obpiGÇóbbie_PM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E411AD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1AD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E411AD" w:rsidRPr="006A4ECC" w:rsidRDefault="00E411AD" w:rsidP="00044634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luxembourg intellectual property office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E411AD" w:rsidRPr="006A4ECC" w:rsidRDefault="00E411AD" w:rsidP="00044634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benelux office for intellectual property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E411AD" w:rsidRDefault="00E411AD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411AD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E23903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411AD" w:rsidRDefault="006A4ECC" w:rsidP="006D5383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E411AD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E411AD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0" w:name="Code"/>
            <w:bookmarkEnd w:id="0"/>
            <w:r w:rsidR="00E411AD" w:rsidRPr="00E411AD">
              <w:rPr>
                <w:rFonts w:ascii="Arial Black" w:hAnsi="Arial Black"/>
                <w:caps/>
                <w:sz w:val="15"/>
                <w:lang w:val="fr-CH"/>
              </w:rPr>
              <w:t>WIPO/RS/ADR/LUX/14/INF1/PROV</w:t>
            </w:r>
            <w:r w:rsidR="008B2CC1" w:rsidRPr="00E411AD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E411A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E411AD">
              <w:rPr>
                <w:rFonts w:ascii="Arial Black" w:hAnsi="Arial Black"/>
                <w:caps/>
                <w:sz w:val="15"/>
              </w:rPr>
              <w:t>October 7,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E411AD" w:rsidRPr="003845C1" w:rsidRDefault="00E411AD" w:rsidP="00E41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E411AD" w:rsidRDefault="00E411AD" w:rsidP="00E411AD"/>
    <w:p w:rsidR="00E411AD" w:rsidRDefault="00E411AD" w:rsidP="00E411AD"/>
    <w:p w:rsidR="00E411AD" w:rsidRPr="003845C1" w:rsidRDefault="00E411AD" w:rsidP="00E411AD">
      <w:proofErr w:type="gramStart"/>
      <w:r>
        <w:t>organized</w:t>
      </w:r>
      <w:proofErr w:type="gramEnd"/>
      <w:r>
        <w:t xml:space="preserve"> by</w:t>
      </w:r>
    </w:p>
    <w:p w:rsidR="00E411AD" w:rsidRPr="007F3094" w:rsidRDefault="00E411AD" w:rsidP="00E411AD">
      <w:proofErr w:type="gramStart"/>
      <w:r w:rsidRPr="007F3094">
        <w:t>the</w:t>
      </w:r>
      <w:proofErr w:type="gramEnd"/>
      <w:r w:rsidRPr="007F3094">
        <w:t xml:space="preserve"> World Intellectual Property Organization (WIPO)</w:t>
      </w:r>
    </w:p>
    <w:p w:rsidR="00E411AD" w:rsidRDefault="00E411AD" w:rsidP="00E411AD"/>
    <w:p w:rsidR="00E411AD" w:rsidRDefault="00E411AD" w:rsidP="00E411AD">
      <w:proofErr w:type="gramStart"/>
      <w:r>
        <w:t>in</w:t>
      </w:r>
      <w:proofErr w:type="gramEnd"/>
      <w:r>
        <w:t xml:space="preserve"> cooperation with</w:t>
      </w:r>
    </w:p>
    <w:p w:rsidR="00E411AD" w:rsidRDefault="00E411AD" w:rsidP="00E411AD">
      <w:proofErr w:type="gramStart"/>
      <w:r w:rsidRPr="007B5D2B">
        <w:t>the</w:t>
      </w:r>
      <w:proofErr w:type="gramEnd"/>
      <w:r w:rsidRPr="007B5D2B">
        <w:t xml:space="preserve"> Intellectual Property Office (OPI), Ministry of the Economy, Luxembourg</w:t>
      </w:r>
      <w:r>
        <w:t>,</w:t>
      </w:r>
      <w:r w:rsidRPr="007B5D2B">
        <w:t xml:space="preserve"> </w:t>
      </w:r>
      <w:r>
        <w:t>and the Benelux Office for Intellectual Property (BOIP)</w:t>
      </w:r>
    </w:p>
    <w:p w:rsidR="00E411AD" w:rsidRPr="003845C1" w:rsidRDefault="00E411AD" w:rsidP="00E411AD"/>
    <w:p w:rsidR="00E411AD" w:rsidRPr="004F4D9B" w:rsidRDefault="00E411AD" w:rsidP="00E411AD">
      <w:pPr>
        <w:rPr>
          <w:b/>
          <w:sz w:val="24"/>
          <w:szCs w:val="24"/>
        </w:rPr>
      </w:pPr>
      <w:r w:rsidRPr="00A466BA">
        <w:rPr>
          <w:b/>
          <w:sz w:val="24"/>
          <w:szCs w:val="24"/>
        </w:rPr>
        <w:t>Luxembourg, October 27</w:t>
      </w:r>
      <w:r>
        <w:rPr>
          <w:b/>
          <w:sz w:val="24"/>
          <w:szCs w:val="24"/>
        </w:rPr>
        <w:t>,</w:t>
      </w:r>
      <w:r w:rsidRPr="00A466BA">
        <w:rPr>
          <w:b/>
          <w:sz w:val="24"/>
          <w:szCs w:val="24"/>
        </w:rPr>
        <w:t xml:space="preserve"> 2014</w:t>
      </w:r>
    </w:p>
    <w:p w:rsidR="00E411AD" w:rsidRDefault="00E411AD" w:rsidP="00E411AD">
      <w:pPr>
        <w:rPr>
          <w:b/>
          <w:sz w:val="24"/>
          <w:szCs w:val="24"/>
        </w:rPr>
      </w:pPr>
    </w:p>
    <w:p w:rsidR="00E411AD" w:rsidRPr="004F4D9B" w:rsidRDefault="00E411AD" w:rsidP="00E411AD">
      <w:pPr>
        <w:rPr>
          <w:b/>
          <w:sz w:val="24"/>
          <w:szCs w:val="24"/>
        </w:rPr>
      </w:pPr>
    </w:p>
    <w:p w:rsidR="00E411AD" w:rsidRPr="008B2CC1" w:rsidRDefault="00E411AD" w:rsidP="00E411AD"/>
    <w:p w:rsidR="00E411AD" w:rsidRPr="008B2CC1" w:rsidRDefault="00E411AD" w:rsidP="00E411AD"/>
    <w:p w:rsidR="00E411AD" w:rsidRPr="008A7CBA" w:rsidRDefault="00E411AD" w:rsidP="00E411AD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E411AD" w:rsidRPr="008B2CC1" w:rsidRDefault="00E411AD" w:rsidP="00E411AD"/>
    <w:p w:rsidR="00E411AD" w:rsidRDefault="00E411AD" w:rsidP="00E411AD">
      <w:pPr>
        <w:rPr>
          <w:i/>
          <w:color w:val="0D0D0D"/>
          <w:szCs w:val="22"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i/>
          <w:color w:val="0D0D0D"/>
          <w:szCs w:val="22"/>
        </w:rPr>
      </w:pPr>
    </w:p>
    <w:p w:rsidR="00E411AD" w:rsidRDefault="00E411AD" w:rsidP="00E411AD">
      <w:pPr>
        <w:rPr>
          <w:color w:val="0D0D0D"/>
          <w:szCs w:val="22"/>
          <w:u w:val="single"/>
          <w:lang w:val="en-GB"/>
        </w:rPr>
      </w:pPr>
      <w:r>
        <w:br w:type="page"/>
      </w:r>
      <w:r>
        <w:rPr>
          <w:color w:val="0D0D0D"/>
          <w:szCs w:val="22"/>
          <w:u w:val="single"/>
          <w:lang w:val="en-GB"/>
        </w:rPr>
        <w:lastRenderedPageBreak/>
        <w:t>Mon</w:t>
      </w:r>
      <w:r w:rsidRPr="00F5066A">
        <w:rPr>
          <w:color w:val="0D0D0D"/>
          <w:szCs w:val="22"/>
          <w:u w:val="single"/>
          <w:lang w:val="en-GB"/>
        </w:rPr>
        <w:t xml:space="preserve">day, </w:t>
      </w:r>
      <w:r>
        <w:rPr>
          <w:color w:val="0D0D0D"/>
          <w:szCs w:val="22"/>
          <w:u w:val="single"/>
          <w:lang w:val="en-GB"/>
        </w:rPr>
        <w:t>October</w:t>
      </w:r>
      <w:r w:rsidRPr="00F5066A">
        <w:rPr>
          <w:color w:val="0D0D0D"/>
          <w:szCs w:val="22"/>
          <w:u w:val="single"/>
          <w:lang w:val="en-GB"/>
        </w:rPr>
        <w:t xml:space="preserve"> </w:t>
      </w:r>
      <w:r>
        <w:rPr>
          <w:color w:val="0D0D0D"/>
          <w:szCs w:val="22"/>
          <w:u w:val="single"/>
          <w:lang w:val="en-GB"/>
        </w:rPr>
        <w:t>27</w:t>
      </w:r>
      <w:r w:rsidRPr="00F5066A">
        <w:rPr>
          <w:color w:val="0D0D0D"/>
          <w:szCs w:val="22"/>
          <w:u w:val="single"/>
          <w:lang w:val="en-GB"/>
        </w:rPr>
        <w:t>, 2014</w:t>
      </w:r>
    </w:p>
    <w:p w:rsidR="00E411AD" w:rsidRDefault="00E411AD" w:rsidP="00E411AD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E411AD" w:rsidRPr="00F5066A" w:rsidRDefault="00E411AD" w:rsidP="00E411AD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E411AD" w:rsidRPr="00F5066A" w:rsidRDefault="00E411AD" w:rsidP="00E411AD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E411AD" w:rsidRPr="00F5066A" w:rsidRDefault="00E411AD" w:rsidP="00E411AD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E411AD" w:rsidRPr="00F5066A" w:rsidRDefault="00E411AD" w:rsidP="00E411AD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Welcome addresses by:</w:t>
      </w:r>
    </w:p>
    <w:p w:rsidR="00E411AD" w:rsidRPr="00E23903" w:rsidRDefault="00E411AD" w:rsidP="00E411AD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 w:rsidRPr="004C6396">
        <w:t xml:space="preserve">Mr. Lex </w:t>
      </w:r>
      <w:proofErr w:type="spellStart"/>
      <w:r w:rsidRPr="004C6396">
        <w:t>Kaufhold</w:t>
      </w:r>
      <w:proofErr w:type="spellEnd"/>
      <w:r w:rsidRPr="004C6396">
        <w:t>, Head, Intellectual Property Office, Ministry of the Economy, Luxembourg</w:t>
      </w:r>
    </w:p>
    <w:p w:rsidR="00E23903" w:rsidRPr="00E23903" w:rsidRDefault="00E23903" w:rsidP="00E23903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bookmarkStart w:id="3" w:name="_GoBack"/>
      <w:r>
        <w:t xml:space="preserve">Mr. </w:t>
      </w:r>
      <w:proofErr w:type="spellStart"/>
      <w:r>
        <w:t>Hugues</w:t>
      </w:r>
      <w:proofErr w:type="spellEnd"/>
      <w:r>
        <w:t xml:space="preserve"> </w:t>
      </w:r>
      <w:proofErr w:type="spellStart"/>
      <w:r w:rsidRPr="00E23903">
        <w:t>Derème</w:t>
      </w:r>
      <w:proofErr w:type="spellEnd"/>
      <w:r w:rsidRPr="00E23903">
        <w:t>, D</w:t>
      </w:r>
      <w:r>
        <w:t xml:space="preserve">eputy Director General, </w:t>
      </w:r>
      <w:r w:rsidR="00E411AD">
        <w:t>Benelux Office for Intellectual Property, the Hague</w:t>
      </w:r>
    </w:p>
    <w:bookmarkEnd w:id="3"/>
    <w:p w:rsidR="00E411AD" w:rsidRPr="00E23903" w:rsidRDefault="00E411AD" w:rsidP="00E411AD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 w:rsidRPr="00E23903">
        <w:rPr>
          <w:szCs w:val="22"/>
        </w:rPr>
        <w:t>Mr. Claus Matthes, Director, PCT, Innovation and Technology Sector (ITS), WIPO</w:t>
      </w:r>
    </w:p>
    <w:p w:rsidR="00E411AD" w:rsidRDefault="00E411AD" w:rsidP="00E411AD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E411AD" w:rsidRPr="00F5066A" w:rsidRDefault="00E411AD" w:rsidP="00E411AD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E411AD" w:rsidRPr="00F5066A" w:rsidRDefault="00E411AD" w:rsidP="00E411AD">
      <w:pPr>
        <w:tabs>
          <w:tab w:val="left" w:pos="2552"/>
          <w:tab w:val="left" w:pos="3690"/>
          <w:tab w:val="left" w:pos="3960"/>
          <w:tab w:val="left" w:pos="5390"/>
        </w:tabs>
        <w:ind w:left="3960" w:hanging="396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>9.45</w:t>
      </w:r>
      <w:r w:rsidRPr="00F5066A">
        <w:rPr>
          <w:color w:val="0D0D0D"/>
          <w:szCs w:val="22"/>
        </w:rPr>
        <w:t xml:space="preserve"> a.m. – 10</w:t>
      </w:r>
      <w:r>
        <w:rPr>
          <w:color w:val="0D0D0D"/>
          <w:szCs w:val="22"/>
        </w:rPr>
        <w:t>.15 a.m.</w:t>
      </w:r>
      <w:r w:rsidRPr="00F5066A">
        <w:rPr>
          <w:color w:val="0D0D0D"/>
          <w:szCs w:val="22"/>
        </w:rPr>
        <w:tab/>
      </w:r>
      <w:r w:rsidRPr="007F3094">
        <w:rPr>
          <w:b/>
          <w:bCs/>
          <w:color w:val="0D0D0D"/>
          <w:szCs w:val="22"/>
        </w:rPr>
        <w:t>Topic 1:</w:t>
      </w:r>
      <w:r>
        <w:rPr>
          <w:bCs/>
          <w:color w:val="0D0D0D"/>
          <w:szCs w:val="22"/>
        </w:rPr>
        <w:tab/>
      </w:r>
      <w:r w:rsidRPr="00F5066A">
        <w:rPr>
          <w:bCs/>
          <w:color w:val="0D0D0D"/>
          <w:szCs w:val="22"/>
          <w:lang w:val="en-GB"/>
        </w:rPr>
        <w:t xml:space="preserve">Introduction to WIPO </w:t>
      </w:r>
    </w:p>
    <w:p w:rsidR="00E411AD" w:rsidRPr="00F5066A" w:rsidRDefault="00E411AD" w:rsidP="00E411AD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F5066A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E411AD" w:rsidRPr="00F5066A" w:rsidRDefault="00E411AD" w:rsidP="00E411AD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F5066A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E411AD" w:rsidRDefault="00E411AD" w:rsidP="00E411AD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</w:p>
    <w:p w:rsidR="00E411AD" w:rsidRPr="00F5066A" w:rsidRDefault="00E411AD" w:rsidP="00E411AD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Mrs. Heike Wollgast, </w:t>
      </w:r>
      <w:r w:rsidRPr="00485745">
        <w:rPr>
          <w:color w:val="0D0D0D"/>
          <w:szCs w:val="22"/>
        </w:rPr>
        <w:t>Senior Legal Officer Arbitration and Mediation Center, Global Issues Sector (GIS), WIPO</w:t>
      </w:r>
    </w:p>
    <w:p w:rsidR="00E411AD" w:rsidRPr="00F5066A" w:rsidRDefault="00E411AD" w:rsidP="00E411AD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E411AD" w:rsidRPr="00F5066A" w:rsidRDefault="00E411AD" w:rsidP="00E411AD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E411AD" w:rsidRDefault="00E411AD" w:rsidP="00E411AD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10.15 a.m. – 10.45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7F3094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F5066A">
        <w:rPr>
          <w:color w:val="0D0D0D"/>
          <w:szCs w:val="22"/>
          <w:lang w:val="en-GB"/>
        </w:rPr>
        <w:t>The P</w:t>
      </w:r>
      <w:r>
        <w:rPr>
          <w:color w:val="0D0D0D"/>
          <w:szCs w:val="22"/>
          <w:lang w:val="en-GB"/>
        </w:rPr>
        <w:t>atent Cooperation Treaty (PCT)</w:t>
      </w:r>
    </w:p>
    <w:p w:rsidR="00E411AD" w:rsidRPr="003F0338" w:rsidRDefault="00E411AD" w:rsidP="00E411AD">
      <w:pPr>
        <w:tabs>
          <w:tab w:val="left" w:pos="3686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 xml:space="preserve">Introduction and Future Developments </w:t>
      </w:r>
    </w:p>
    <w:p w:rsidR="00E411AD" w:rsidRPr="00F5066A" w:rsidRDefault="00E411AD" w:rsidP="00E411AD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E411AD" w:rsidRPr="004C6396" w:rsidRDefault="00E411AD" w:rsidP="00E411AD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F5066A">
        <w:rPr>
          <w:szCs w:val="22"/>
        </w:rPr>
        <w:t xml:space="preserve">Mr. </w:t>
      </w:r>
      <w:r w:rsidRPr="00733712">
        <w:rPr>
          <w:szCs w:val="22"/>
        </w:rPr>
        <w:t>Claus Matthes, Director, PCT</w:t>
      </w:r>
      <w:r w:rsidRPr="0040000C">
        <w:rPr>
          <w:szCs w:val="22"/>
        </w:rPr>
        <w:t>, Innovation and Technology Sector (ITS)</w:t>
      </w:r>
      <w:r>
        <w:rPr>
          <w:szCs w:val="22"/>
        </w:rPr>
        <w:t>, WIPO</w:t>
      </w:r>
    </w:p>
    <w:p w:rsidR="00E411AD" w:rsidRPr="00F5066A" w:rsidRDefault="00E411AD" w:rsidP="00E411AD"/>
    <w:p w:rsidR="00E411AD" w:rsidRPr="00F5066A" w:rsidRDefault="00E411AD" w:rsidP="00E411AD"/>
    <w:p w:rsidR="00E411AD" w:rsidRPr="00F5066A" w:rsidRDefault="00E411AD" w:rsidP="00E411AD">
      <w:pPr>
        <w:tabs>
          <w:tab w:val="left" w:pos="2552"/>
        </w:tabs>
      </w:pPr>
      <w:r>
        <w:t>10.45 a.m. – 11.00 a.m.</w:t>
      </w:r>
      <w:r>
        <w:tab/>
      </w:r>
      <w:r w:rsidRPr="005D466A">
        <w:rPr>
          <w:b/>
        </w:rPr>
        <w:t>Coffee break</w:t>
      </w:r>
    </w:p>
    <w:p w:rsidR="00E411AD" w:rsidRDefault="00E411AD" w:rsidP="00E411AD">
      <w:pPr>
        <w:rPr>
          <w:color w:val="0D0D0D"/>
          <w:szCs w:val="22"/>
        </w:rPr>
      </w:pPr>
    </w:p>
    <w:p w:rsidR="00E411AD" w:rsidRPr="00F5066A" w:rsidRDefault="00E411AD" w:rsidP="00E411AD">
      <w:pPr>
        <w:rPr>
          <w:color w:val="0D0D0D"/>
          <w:szCs w:val="22"/>
        </w:rPr>
      </w:pPr>
    </w:p>
    <w:p w:rsidR="00E411AD" w:rsidRDefault="00E411AD" w:rsidP="00E411AD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t>11.00 a.m. – 11.30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7F3094">
        <w:rPr>
          <w:b/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  <w:t>Global Intellectual Property Systems:</w:t>
      </w:r>
    </w:p>
    <w:p w:rsidR="00E411AD" w:rsidRPr="00016412" w:rsidRDefault="00E411AD" w:rsidP="00E411AD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Madrid System for the International </w:t>
      </w:r>
      <w:r w:rsidRPr="00016412">
        <w:rPr>
          <w:bCs/>
          <w:color w:val="0D0D0D"/>
          <w:szCs w:val="22"/>
        </w:rPr>
        <w:tab/>
        <w:t xml:space="preserve">Registration of Marks </w:t>
      </w:r>
    </w:p>
    <w:p w:rsidR="00E411AD" w:rsidRPr="00016412" w:rsidRDefault="00E411AD" w:rsidP="00E411AD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Hague System for the International </w:t>
      </w:r>
      <w:r w:rsidRPr="00016412">
        <w:rPr>
          <w:bCs/>
          <w:color w:val="0D0D0D"/>
          <w:szCs w:val="22"/>
        </w:rPr>
        <w:tab/>
        <w:t xml:space="preserve">Registration of Industrial Designs </w:t>
      </w:r>
    </w:p>
    <w:p w:rsidR="00E411AD" w:rsidRPr="00F5066A" w:rsidRDefault="00E411AD" w:rsidP="00E411AD">
      <w:pPr>
        <w:tabs>
          <w:tab w:val="left" w:pos="1701"/>
          <w:tab w:val="left" w:pos="4536"/>
          <w:tab w:val="left" w:pos="5390"/>
        </w:tabs>
        <w:rPr>
          <w:color w:val="0D0D0D"/>
          <w:szCs w:val="22"/>
        </w:rPr>
      </w:pPr>
    </w:p>
    <w:p w:rsidR="00E411AD" w:rsidRPr="00016412" w:rsidRDefault="00E411AD" w:rsidP="00E411AD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tab/>
      </w:r>
      <w:r w:rsidRPr="00403425">
        <w:t>M</w:t>
      </w:r>
      <w:r>
        <w:t>r</w:t>
      </w:r>
      <w:r w:rsidRPr="00403425">
        <w:t>s. Debbie Roenning, Director, Legal Division, Madrid Registry, Brands and Designs Sector (BDS), WIPO</w:t>
      </w:r>
    </w:p>
    <w:p w:rsidR="00E411AD" w:rsidRPr="00F5066A" w:rsidRDefault="00E411AD" w:rsidP="00E411AD">
      <w:pPr>
        <w:tabs>
          <w:tab w:val="left" w:pos="1701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E411AD" w:rsidRPr="00F5066A" w:rsidRDefault="00E411AD" w:rsidP="00E411AD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E411AD" w:rsidRPr="00CD5F18" w:rsidRDefault="00E411AD" w:rsidP="00E411AD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11.30 a.m. – 12.00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7F3094">
        <w:rPr>
          <w:b/>
          <w:bCs/>
          <w:color w:val="0D0D0D"/>
          <w:szCs w:val="22"/>
        </w:rPr>
        <w:t>Topic 4: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Global Databases for Intellectual Property Platforms and Tools for the Connected Knowledge Economy</w:t>
      </w:r>
    </w:p>
    <w:p w:rsidR="00E411AD" w:rsidRPr="00F5066A" w:rsidRDefault="00E411AD" w:rsidP="00E411AD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E411AD" w:rsidRPr="00F5066A" w:rsidRDefault="00E411AD" w:rsidP="00E411AD">
      <w:pPr>
        <w:tabs>
          <w:tab w:val="left" w:pos="3686"/>
          <w:tab w:val="left" w:pos="5390"/>
          <w:tab w:val="left" w:pos="6465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 xml:space="preserve">Mr. </w:t>
      </w:r>
      <w:r w:rsidRPr="00B51A67">
        <w:rPr>
          <w:color w:val="0D0D0D"/>
          <w:szCs w:val="22"/>
        </w:rPr>
        <w:t>Christophe Mazenc</w:t>
      </w:r>
      <w:r>
        <w:rPr>
          <w:color w:val="0D0D0D"/>
          <w:szCs w:val="22"/>
        </w:rPr>
        <w:t xml:space="preserve">, </w:t>
      </w:r>
      <w:r w:rsidRPr="00485745">
        <w:rPr>
          <w:color w:val="0D0D0D"/>
          <w:szCs w:val="22"/>
        </w:rPr>
        <w:t>Head, Global Databases Service, Glo</w:t>
      </w:r>
      <w:r>
        <w:rPr>
          <w:color w:val="0D0D0D"/>
          <w:szCs w:val="22"/>
        </w:rPr>
        <w:t>bal Infrastructure Sector (GIS), WIPO</w:t>
      </w:r>
    </w:p>
    <w:p w:rsidR="00E411AD" w:rsidRDefault="00E411AD" w:rsidP="00E411AD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E411AD" w:rsidRDefault="00E411AD" w:rsidP="00E411AD">
      <w:pPr>
        <w:rPr>
          <w:color w:val="0D0D0D"/>
          <w:szCs w:val="22"/>
          <w:lang w:val="en-GB"/>
        </w:rPr>
      </w:pPr>
    </w:p>
    <w:p w:rsidR="00E411AD" w:rsidRDefault="00E411AD" w:rsidP="00E411AD">
      <w:pPr>
        <w:tabs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12.00 p.m. – 12.30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8C2CD1">
        <w:rPr>
          <w:b/>
          <w:color w:val="0D0D0D"/>
          <w:szCs w:val="22"/>
          <w:lang w:val="en-GB"/>
        </w:rPr>
        <w:t>CLOSING SESSION</w:t>
      </w:r>
    </w:p>
    <w:p w:rsidR="00E411AD" w:rsidRDefault="00E411AD" w:rsidP="00E411AD">
      <w:pPr>
        <w:tabs>
          <w:tab w:val="left" w:pos="2552"/>
        </w:tabs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</w:p>
    <w:p w:rsidR="00E411AD" w:rsidRPr="00F5066A" w:rsidRDefault="00E411AD" w:rsidP="00E411AD">
      <w:pPr>
        <w:tabs>
          <w:tab w:val="left" w:pos="2552"/>
        </w:tabs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>Questions and Answers</w:t>
      </w:r>
    </w:p>
    <w:p w:rsidR="00E411AD" w:rsidRDefault="00E411AD" w:rsidP="00E411AD">
      <w:pPr>
        <w:tabs>
          <w:tab w:val="left" w:pos="2552"/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E411AD" w:rsidRPr="00E411AD" w:rsidRDefault="00E411AD" w:rsidP="00E411AD">
      <w:pPr>
        <w:rPr>
          <w:b/>
          <w:color w:val="0D0D0D"/>
          <w:szCs w:val="22"/>
        </w:rPr>
      </w:pPr>
      <w:r>
        <w:rPr>
          <w:b/>
          <w:color w:val="0D0D0D"/>
          <w:szCs w:val="22"/>
        </w:rPr>
        <w:br w:type="page"/>
      </w:r>
    </w:p>
    <w:p w:rsidR="00E411AD" w:rsidRPr="008C2CD1" w:rsidRDefault="00E411AD" w:rsidP="00E411AD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lastRenderedPageBreak/>
        <w:t>12.30 p.m. – 1.45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5D466A">
        <w:rPr>
          <w:b/>
          <w:color w:val="0D0D0D"/>
          <w:szCs w:val="22"/>
          <w:lang w:val="en-GB"/>
        </w:rPr>
        <w:t>Lunch break</w:t>
      </w:r>
      <w:r>
        <w:rPr>
          <w:color w:val="0D0D0D"/>
          <w:szCs w:val="22"/>
          <w:lang w:val="en-GB"/>
        </w:rPr>
        <w:t xml:space="preserve"> with specific Sessions (Patents, Trademarks and Databases)</w:t>
      </w:r>
    </w:p>
    <w:p w:rsidR="00E411AD" w:rsidRDefault="00E411AD" w:rsidP="00E411AD">
      <w:pPr>
        <w:tabs>
          <w:tab w:val="left" w:pos="5245"/>
        </w:tabs>
        <w:ind w:left="5533"/>
        <w:rPr>
          <w:color w:val="0D0D0D"/>
          <w:szCs w:val="22"/>
        </w:rPr>
      </w:pPr>
    </w:p>
    <w:p w:rsidR="00E411AD" w:rsidRDefault="00E411AD" w:rsidP="00E411AD">
      <w:pPr>
        <w:tabs>
          <w:tab w:val="left" w:pos="5245"/>
        </w:tabs>
        <w:ind w:left="5533"/>
        <w:rPr>
          <w:color w:val="0D0D0D"/>
          <w:szCs w:val="22"/>
        </w:rPr>
      </w:pPr>
    </w:p>
    <w:p w:rsidR="00E411AD" w:rsidRDefault="00E411AD" w:rsidP="00E411AD">
      <w:pPr>
        <w:tabs>
          <w:tab w:val="left" w:pos="5245"/>
        </w:tabs>
        <w:ind w:left="5533"/>
        <w:rPr>
          <w:color w:val="0D0D0D"/>
          <w:szCs w:val="22"/>
        </w:rPr>
      </w:pPr>
    </w:p>
    <w:p w:rsidR="00E411AD" w:rsidRDefault="00E411AD" w:rsidP="00E411AD">
      <w:pPr>
        <w:tabs>
          <w:tab w:val="left" w:pos="5245"/>
        </w:tabs>
        <w:ind w:left="5533"/>
        <w:rPr>
          <w:color w:val="0D0D0D"/>
          <w:szCs w:val="22"/>
        </w:rPr>
      </w:pPr>
    </w:p>
    <w:p w:rsidR="00E411AD" w:rsidRPr="00217BA2" w:rsidRDefault="00E411AD" w:rsidP="00E411AD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p w:rsidR="00E411AD" w:rsidRDefault="00E411AD" w:rsidP="00E411AD"/>
    <w:p w:rsidR="00E411AD" w:rsidRDefault="00E411AD" w:rsidP="00E411AD"/>
    <w:p w:rsidR="006A4ECC" w:rsidRDefault="006A4ECC"/>
    <w:sectPr w:rsidR="006A4ECC" w:rsidSect="00E411AD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AD" w:rsidRDefault="00E411AD">
      <w:r>
        <w:separator/>
      </w:r>
    </w:p>
  </w:endnote>
  <w:endnote w:type="continuationSeparator" w:id="0">
    <w:p w:rsidR="00E411AD" w:rsidRDefault="00E411AD" w:rsidP="008B2CC0">
      <w:r>
        <w:separator/>
      </w:r>
    </w:p>
    <w:p w:rsidR="00E411AD" w:rsidRPr="008B2CC0" w:rsidRDefault="00E411AD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11AD" w:rsidRPr="008B2CC0" w:rsidRDefault="00E411AD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AD" w:rsidRDefault="00E411AD">
      <w:r>
        <w:separator/>
      </w:r>
    </w:p>
  </w:footnote>
  <w:footnote w:type="continuationSeparator" w:id="0">
    <w:p w:rsidR="00E411AD" w:rsidRDefault="00E411AD" w:rsidP="008B2CC0">
      <w:r>
        <w:separator/>
      </w:r>
    </w:p>
    <w:p w:rsidR="00E411AD" w:rsidRPr="008B2CC0" w:rsidRDefault="00E411AD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E411AD" w:rsidRPr="008B2CC0" w:rsidRDefault="00E411AD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E411AD" w:rsidRDefault="00E411AD" w:rsidP="00477D6B">
    <w:pPr>
      <w:jc w:val="right"/>
      <w:rPr>
        <w:lang w:val="fr-CH"/>
      </w:rPr>
    </w:pPr>
    <w:bookmarkStart w:id="6" w:name="Code2"/>
    <w:bookmarkEnd w:id="6"/>
    <w:r w:rsidRPr="00E411AD">
      <w:rPr>
        <w:lang w:val="fr-CH"/>
      </w:rPr>
      <w:t>WIPO/RS/ADR/LUX/14/INF1/PROV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E4A90">
      <w:rPr>
        <w:noProof/>
      </w:rPr>
      <w:t>2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AD"/>
    <w:rsid w:val="000A46A9"/>
    <w:rsid w:val="000F5E56"/>
    <w:rsid w:val="001362EE"/>
    <w:rsid w:val="001832A6"/>
    <w:rsid w:val="00187461"/>
    <w:rsid w:val="001D7119"/>
    <w:rsid w:val="001F26A6"/>
    <w:rsid w:val="002634C4"/>
    <w:rsid w:val="002B2B95"/>
    <w:rsid w:val="002F47B5"/>
    <w:rsid w:val="002F4E68"/>
    <w:rsid w:val="00345E99"/>
    <w:rsid w:val="003845C1"/>
    <w:rsid w:val="003E4A90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5E589E"/>
    <w:rsid w:val="00605827"/>
    <w:rsid w:val="006724C7"/>
    <w:rsid w:val="0069558D"/>
    <w:rsid w:val="006A4ECC"/>
    <w:rsid w:val="006D5383"/>
    <w:rsid w:val="007270FD"/>
    <w:rsid w:val="007805E1"/>
    <w:rsid w:val="007A1352"/>
    <w:rsid w:val="008124BF"/>
    <w:rsid w:val="0089487E"/>
    <w:rsid w:val="008A3809"/>
    <w:rsid w:val="008B2CC0"/>
    <w:rsid w:val="008B2CC1"/>
    <w:rsid w:val="0090731E"/>
    <w:rsid w:val="00917A91"/>
    <w:rsid w:val="00966A22"/>
    <w:rsid w:val="00A91391"/>
    <w:rsid w:val="00BE7D44"/>
    <w:rsid w:val="00C321A1"/>
    <w:rsid w:val="00CD0979"/>
    <w:rsid w:val="00CE3156"/>
    <w:rsid w:val="00D634EE"/>
    <w:rsid w:val="00D71B4D"/>
    <w:rsid w:val="00D93D55"/>
    <w:rsid w:val="00E23903"/>
    <w:rsid w:val="00E270CF"/>
    <w:rsid w:val="00E411AD"/>
    <w:rsid w:val="00E476FC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E411AD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5E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89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34"/>
    <w:qFormat/>
    <w:rsid w:val="00E411AD"/>
    <w:pPr>
      <w:ind w:left="720"/>
      <w:contextualSpacing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5E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8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5</TotalTime>
  <Pages>3</Pages>
  <Words>282</Words>
  <Characters>1870</Characters>
  <Application>Microsoft Office Word</Application>
  <DocSecurity>0</DocSecurity>
  <Lines>935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4</cp:revision>
  <cp:lastPrinted>2014-10-09T10:33:00Z</cp:lastPrinted>
  <dcterms:created xsi:type="dcterms:W3CDTF">2014-10-09T08:31:00Z</dcterms:created>
  <dcterms:modified xsi:type="dcterms:W3CDTF">2014-10-09T10:34:00Z</dcterms:modified>
</cp:coreProperties>
</file>