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8" w:type="dxa"/>
        <w:tblLayout w:type="fixed"/>
        <w:tblLook w:val="01E0" w:firstRow="1" w:lastRow="1" w:firstColumn="1" w:lastColumn="1" w:noHBand="0" w:noVBand="0"/>
      </w:tblPr>
      <w:tblGrid>
        <w:gridCol w:w="4513"/>
        <w:gridCol w:w="4337"/>
        <w:gridCol w:w="506"/>
      </w:tblGrid>
      <w:tr w:rsidR="00785514" w:rsidRPr="009B58F1" w:rsidTr="00785514">
        <w:tc>
          <w:tcPr>
            <w:tcW w:w="4513" w:type="dxa"/>
            <w:tcBorders>
              <w:top w:val="nil"/>
              <w:left w:val="nil"/>
              <w:bottom w:val="single" w:sz="4" w:space="0" w:color="auto"/>
              <w:right w:val="nil"/>
            </w:tcBorders>
            <w:tcMar>
              <w:top w:w="0" w:type="dxa"/>
              <w:left w:w="108" w:type="dxa"/>
              <w:bottom w:w="170" w:type="dxa"/>
              <w:right w:w="108" w:type="dxa"/>
            </w:tcMar>
          </w:tcPr>
          <w:p w:rsidR="00785514" w:rsidRDefault="00785514"/>
        </w:tc>
        <w:tc>
          <w:tcPr>
            <w:tcW w:w="4337" w:type="dxa"/>
            <w:tcBorders>
              <w:top w:val="nil"/>
              <w:left w:val="nil"/>
              <w:bottom w:val="single" w:sz="4" w:space="0" w:color="auto"/>
              <w:right w:val="nil"/>
            </w:tcBorders>
            <w:tcMar>
              <w:top w:w="0" w:type="dxa"/>
              <w:left w:w="0" w:type="dxa"/>
              <w:bottom w:w="0" w:type="dxa"/>
              <w:right w:w="0" w:type="dxa"/>
            </w:tcMar>
            <w:hideMark/>
          </w:tcPr>
          <w:p w:rsidR="00785514" w:rsidRPr="009B58F1" w:rsidRDefault="00785514">
            <w:r w:rsidRPr="009B58F1">
              <w:rPr>
                <w:noProof/>
                <w:lang w:eastAsia="en-US"/>
              </w:rPr>
              <w:drawing>
                <wp:inline distT="0" distB="0" distL="0" distR="0" wp14:anchorId="5D56557B" wp14:editId="541A3FDA">
                  <wp:extent cx="1863725" cy="1329690"/>
                  <wp:effectExtent l="0" t="0" r="3175" b="381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1329690"/>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785514" w:rsidRPr="009B58F1" w:rsidRDefault="00785514">
            <w:pPr>
              <w:jc w:val="right"/>
            </w:pPr>
            <w:r w:rsidRPr="009B58F1">
              <w:rPr>
                <w:b/>
                <w:sz w:val="40"/>
                <w:szCs w:val="40"/>
              </w:rPr>
              <w:t>E</w:t>
            </w:r>
          </w:p>
        </w:tc>
      </w:tr>
      <w:tr w:rsidR="00785514" w:rsidRPr="009B58F1" w:rsidTr="00785514">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85514" w:rsidRPr="009B58F1" w:rsidRDefault="00785514" w:rsidP="00144057">
            <w:pPr>
              <w:jc w:val="right"/>
              <w:rPr>
                <w:rFonts w:ascii="Arial Black" w:hAnsi="Arial Black"/>
                <w:caps/>
                <w:sz w:val="15"/>
              </w:rPr>
            </w:pPr>
            <w:r w:rsidRPr="009B58F1">
              <w:rPr>
                <w:rFonts w:ascii="Arial Black" w:hAnsi="Arial Black"/>
                <w:caps/>
                <w:sz w:val="15"/>
              </w:rPr>
              <w:t>CDIP/2</w:t>
            </w:r>
            <w:r w:rsidR="008A6EB4">
              <w:rPr>
                <w:rFonts w:ascii="Arial Black" w:hAnsi="Arial Black"/>
                <w:caps/>
                <w:sz w:val="15"/>
              </w:rPr>
              <w:t>7</w:t>
            </w:r>
            <w:r w:rsidRPr="009B58F1">
              <w:rPr>
                <w:rFonts w:ascii="Arial Black" w:hAnsi="Arial Black"/>
                <w:caps/>
                <w:sz w:val="15"/>
              </w:rPr>
              <w:t>/</w:t>
            </w:r>
            <w:bookmarkStart w:id="0" w:name="Code"/>
            <w:bookmarkEnd w:id="0"/>
            <w:r w:rsidR="00144057">
              <w:rPr>
                <w:rFonts w:ascii="Arial Black" w:hAnsi="Arial Black"/>
                <w:caps/>
                <w:sz w:val="15"/>
              </w:rPr>
              <w:t>6</w:t>
            </w:r>
            <w:r w:rsidR="00AE21B0">
              <w:rPr>
                <w:rFonts w:ascii="Arial Black" w:hAnsi="Arial Black"/>
                <w:caps/>
                <w:sz w:val="15"/>
              </w:rPr>
              <w:t xml:space="preserve">  </w:t>
            </w:r>
            <w:r w:rsidRPr="009B58F1">
              <w:rPr>
                <w:rFonts w:ascii="Arial Black" w:hAnsi="Arial Black"/>
                <w:caps/>
                <w:sz w:val="15"/>
              </w:rPr>
              <w:t xml:space="preserve">    </w:t>
            </w:r>
          </w:p>
        </w:tc>
      </w:tr>
      <w:tr w:rsidR="00785514" w:rsidRPr="009B58F1" w:rsidTr="00785514">
        <w:trPr>
          <w:trHeight w:val="170"/>
        </w:trPr>
        <w:tc>
          <w:tcPr>
            <w:tcW w:w="9356" w:type="dxa"/>
            <w:gridSpan w:val="3"/>
            <w:noWrap/>
            <w:tcMar>
              <w:top w:w="0" w:type="dxa"/>
              <w:left w:w="0" w:type="dxa"/>
              <w:bottom w:w="0" w:type="dxa"/>
              <w:right w:w="0" w:type="dxa"/>
            </w:tcMar>
            <w:vAlign w:val="bottom"/>
            <w:hideMark/>
          </w:tcPr>
          <w:p w:rsidR="00785514" w:rsidRPr="009B58F1" w:rsidRDefault="00AE21B0" w:rsidP="00940BD3">
            <w:pPr>
              <w:jc w:val="right"/>
              <w:rPr>
                <w:rFonts w:ascii="Arial Black" w:hAnsi="Arial Black"/>
                <w:caps/>
                <w:sz w:val="15"/>
              </w:rPr>
            </w:pPr>
            <w:r>
              <w:rPr>
                <w:rFonts w:ascii="Arial Black" w:hAnsi="Arial Black"/>
                <w:caps/>
                <w:sz w:val="15"/>
              </w:rPr>
              <w:t xml:space="preserve"> </w:t>
            </w:r>
            <w:r w:rsidR="00785514" w:rsidRPr="009B58F1">
              <w:rPr>
                <w:rFonts w:ascii="Arial Black" w:hAnsi="Arial Black"/>
                <w:caps/>
                <w:sz w:val="15"/>
              </w:rPr>
              <w:t xml:space="preserve">ORIGINAL: </w:t>
            </w:r>
            <w:bookmarkStart w:id="1" w:name="Original"/>
            <w:bookmarkEnd w:id="1"/>
            <w:r w:rsidR="00785514" w:rsidRPr="009B58F1">
              <w:rPr>
                <w:rFonts w:ascii="Arial Black" w:hAnsi="Arial Black"/>
                <w:caps/>
                <w:sz w:val="15"/>
              </w:rPr>
              <w:t>English</w:t>
            </w:r>
          </w:p>
        </w:tc>
      </w:tr>
      <w:tr w:rsidR="00785514" w:rsidRPr="009B58F1" w:rsidTr="00785514">
        <w:trPr>
          <w:trHeight w:val="198"/>
        </w:trPr>
        <w:tc>
          <w:tcPr>
            <w:tcW w:w="9356" w:type="dxa"/>
            <w:gridSpan w:val="3"/>
            <w:tcMar>
              <w:top w:w="0" w:type="dxa"/>
              <w:left w:w="0" w:type="dxa"/>
              <w:bottom w:w="0" w:type="dxa"/>
              <w:right w:w="0" w:type="dxa"/>
            </w:tcMar>
            <w:vAlign w:val="bottom"/>
            <w:hideMark/>
          </w:tcPr>
          <w:p w:rsidR="00785514" w:rsidRPr="009B58F1" w:rsidRDefault="00785514" w:rsidP="00AE21B0">
            <w:pPr>
              <w:jc w:val="right"/>
              <w:rPr>
                <w:rFonts w:ascii="Arial Black" w:hAnsi="Arial Black"/>
                <w:caps/>
                <w:sz w:val="15"/>
              </w:rPr>
            </w:pPr>
            <w:r w:rsidRPr="009B58F1">
              <w:rPr>
                <w:rFonts w:ascii="Arial Black" w:hAnsi="Arial Black"/>
                <w:caps/>
                <w:sz w:val="15"/>
              </w:rPr>
              <w:t xml:space="preserve">DATE: </w:t>
            </w:r>
            <w:bookmarkStart w:id="2" w:name="Date"/>
            <w:bookmarkEnd w:id="2"/>
            <w:r w:rsidR="00C233BF">
              <w:rPr>
                <w:rFonts w:ascii="Arial Black" w:hAnsi="Arial Black"/>
                <w:caps/>
                <w:sz w:val="15"/>
              </w:rPr>
              <w:t>September 27</w:t>
            </w:r>
            <w:bookmarkStart w:id="3" w:name="_GoBack"/>
            <w:bookmarkEnd w:id="3"/>
            <w:r w:rsidR="001F3F21" w:rsidRPr="009B58F1">
              <w:rPr>
                <w:rFonts w:ascii="Arial Black" w:hAnsi="Arial Black"/>
                <w:caps/>
                <w:sz w:val="15"/>
              </w:rPr>
              <w:t>, 20</w:t>
            </w:r>
            <w:r w:rsidR="00AE21B0">
              <w:rPr>
                <w:rFonts w:ascii="Arial Black" w:hAnsi="Arial Black"/>
                <w:caps/>
                <w:sz w:val="15"/>
              </w:rPr>
              <w:t>21</w:t>
            </w:r>
          </w:p>
        </w:tc>
      </w:tr>
    </w:tbl>
    <w:p w:rsidR="00785514" w:rsidRPr="009B58F1" w:rsidRDefault="00785514" w:rsidP="00785514"/>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b/>
          <w:sz w:val="28"/>
          <w:szCs w:val="28"/>
        </w:rPr>
      </w:pPr>
      <w:r w:rsidRPr="009B58F1">
        <w:rPr>
          <w:b/>
          <w:sz w:val="28"/>
          <w:szCs w:val="28"/>
        </w:rPr>
        <w:t>Committee on Development and Intellectual Property (CDIP)</w:t>
      </w:r>
    </w:p>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b/>
          <w:sz w:val="24"/>
          <w:szCs w:val="24"/>
        </w:rPr>
      </w:pPr>
      <w:r w:rsidRPr="009B58F1">
        <w:rPr>
          <w:b/>
          <w:sz w:val="24"/>
          <w:szCs w:val="24"/>
        </w:rPr>
        <w:t>Twent</w:t>
      </w:r>
      <w:r w:rsidR="004147EB" w:rsidRPr="009B58F1">
        <w:rPr>
          <w:b/>
          <w:sz w:val="24"/>
          <w:szCs w:val="24"/>
        </w:rPr>
        <w:t>y-</w:t>
      </w:r>
      <w:r w:rsidR="00AE21B0">
        <w:rPr>
          <w:b/>
          <w:sz w:val="24"/>
          <w:szCs w:val="24"/>
        </w:rPr>
        <w:t>Seventh</w:t>
      </w:r>
      <w:r w:rsidRPr="009B58F1">
        <w:rPr>
          <w:b/>
          <w:sz w:val="24"/>
          <w:szCs w:val="24"/>
        </w:rPr>
        <w:t xml:space="preserve"> Session</w:t>
      </w:r>
    </w:p>
    <w:p w:rsidR="009D123C" w:rsidRPr="009B58F1" w:rsidRDefault="004147EB" w:rsidP="009D123C">
      <w:pPr>
        <w:rPr>
          <w:b/>
          <w:sz w:val="24"/>
          <w:szCs w:val="24"/>
        </w:rPr>
      </w:pPr>
      <w:r w:rsidRPr="009B58F1">
        <w:rPr>
          <w:b/>
          <w:sz w:val="24"/>
          <w:szCs w:val="24"/>
        </w:rPr>
        <w:t>Geneva, November</w:t>
      </w:r>
      <w:r w:rsidR="009D123C" w:rsidRPr="009B58F1">
        <w:rPr>
          <w:b/>
          <w:sz w:val="24"/>
          <w:szCs w:val="24"/>
        </w:rPr>
        <w:t xml:space="preserve"> </w:t>
      </w:r>
      <w:r w:rsidR="00AE21B0">
        <w:rPr>
          <w:b/>
          <w:sz w:val="24"/>
          <w:szCs w:val="24"/>
        </w:rPr>
        <w:t>22</w:t>
      </w:r>
      <w:r w:rsidRPr="009B58F1">
        <w:rPr>
          <w:b/>
          <w:sz w:val="24"/>
          <w:szCs w:val="24"/>
        </w:rPr>
        <w:t xml:space="preserve"> to 2</w:t>
      </w:r>
      <w:r w:rsidR="00AE21B0">
        <w:rPr>
          <w:b/>
          <w:sz w:val="24"/>
          <w:szCs w:val="24"/>
        </w:rPr>
        <w:t>6</w:t>
      </w:r>
      <w:r w:rsidR="009D123C" w:rsidRPr="009B58F1">
        <w:rPr>
          <w:b/>
          <w:sz w:val="24"/>
          <w:szCs w:val="24"/>
        </w:rPr>
        <w:t xml:space="preserve">, </w:t>
      </w:r>
      <w:r w:rsidR="001F3F21" w:rsidRPr="009B58F1">
        <w:rPr>
          <w:b/>
          <w:sz w:val="24"/>
          <w:szCs w:val="24"/>
        </w:rPr>
        <w:t>20</w:t>
      </w:r>
      <w:r w:rsidR="00AE21B0">
        <w:rPr>
          <w:b/>
          <w:sz w:val="24"/>
          <w:szCs w:val="24"/>
        </w:rPr>
        <w:t>21</w:t>
      </w:r>
    </w:p>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szCs w:val="22"/>
        </w:rPr>
      </w:pPr>
    </w:p>
    <w:p w:rsidR="00C653A6" w:rsidRPr="009B58F1" w:rsidRDefault="008A6EB4" w:rsidP="00BD33E9">
      <w:pPr>
        <w:rPr>
          <w:caps/>
          <w:sz w:val="24"/>
        </w:rPr>
      </w:pPr>
      <w:bookmarkStart w:id="4" w:name="TitleOfDoc"/>
      <w:bookmarkEnd w:id="4"/>
      <w:r>
        <w:rPr>
          <w:sz w:val="24"/>
          <w:szCs w:val="24"/>
        </w:rPr>
        <w:t xml:space="preserve">REVISED </w:t>
      </w:r>
      <w:r w:rsidR="00B32A46" w:rsidRPr="009B58F1">
        <w:rPr>
          <w:sz w:val="24"/>
          <w:szCs w:val="24"/>
        </w:rPr>
        <w:t xml:space="preserve">PROJECT PROPOSAL </w:t>
      </w:r>
      <w:r w:rsidR="003E7A7B" w:rsidRPr="009B58F1">
        <w:rPr>
          <w:sz w:val="24"/>
        </w:rPr>
        <w:t xml:space="preserve">ON </w:t>
      </w:r>
      <w:r w:rsidR="00DA3B3B">
        <w:rPr>
          <w:sz w:val="24"/>
        </w:rPr>
        <w:t xml:space="preserve">IDENTIFYING AND </w:t>
      </w:r>
      <w:r w:rsidR="003E7A7B" w:rsidRPr="009B58F1">
        <w:rPr>
          <w:sz w:val="24"/>
        </w:rPr>
        <w:t>USING INVENTIONS IN THE PUBLIC DOMAIN</w:t>
      </w:r>
    </w:p>
    <w:p w:rsidR="009D123C" w:rsidRPr="009B58F1" w:rsidRDefault="009D123C" w:rsidP="00BD33E9">
      <w:pPr>
        <w:rPr>
          <w:szCs w:val="22"/>
        </w:rPr>
      </w:pPr>
    </w:p>
    <w:p w:rsidR="009D123C" w:rsidRPr="009B58F1" w:rsidRDefault="0017367B" w:rsidP="00BD33E9">
      <w:pPr>
        <w:rPr>
          <w:i/>
          <w:szCs w:val="22"/>
        </w:rPr>
      </w:pPr>
      <w:bookmarkStart w:id="5" w:name="Prepared"/>
      <w:bookmarkEnd w:id="5"/>
      <w:proofErr w:type="gramStart"/>
      <w:r w:rsidRPr="009B58F1">
        <w:rPr>
          <w:i/>
          <w:szCs w:val="22"/>
        </w:rPr>
        <w:t>prepared</w:t>
      </w:r>
      <w:proofErr w:type="gramEnd"/>
      <w:r w:rsidRPr="009B58F1">
        <w:rPr>
          <w:i/>
          <w:szCs w:val="22"/>
        </w:rPr>
        <w:t xml:space="preserve"> by the Secretariat</w:t>
      </w:r>
    </w:p>
    <w:p w:rsidR="009D123C" w:rsidRPr="009B58F1" w:rsidRDefault="009D123C" w:rsidP="00BD33E9">
      <w:pPr>
        <w:rPr>
          <w:szCs w:val="22"/>
        </w:rPr>
      </w:pPr>
    </w:p>
    <w:p w:rsidR="009D123C" w:rsidRPr="009B58F1" w:rsidRDefault="009D123C" w:rsidP="00BD33E9">
      <w:pPr>
        <w:rPr>
          <w:szCs w:val="22"/>
        </w:rPr>
      </w:pPr>
    </w:p>
    <w:p w:rsidR="009D123C" w:rsidRPr="009B58F1" w:rsidRDefault="009D123C" w:rsidP="00BD33E9">
      <w:pPr>
        <w:rPr>
          <w:szCs w:val="22"/>
        </w:rPr>
      </w:pPr>
    </w:p>
    <w:p w:rsidR="009D123C" w:rsidRPr="009B58F1" w:rsidRDefault="009D123C" w:rsidP="00BD33E9">
      <w:pPr>
        <w:rPr>
          <w:szCs w:val="22"/>
        </w:rPr>
      </w:pPr>
    </w:p>
    <w:p w:rsidR="00991316" w:rsidRDefault="00991316" w:rsidP="00991316">
      <w:pPr>
        <w:pStyle w:val="ListParagraph"/>
        <w:numPr>
          <w:ilvl w:val="0"/>
          <w:numId w:val="34"/>
        </w:numPr>
        <w:spacing w:after="0" w:line="240" w:lineRule="auto"/>
        <w:ind w:left="0" w:firstLine="0"/>
        <w:rPr>
          <w:rFonts w:ascii="Arial" w:hAnsi="Arial" w:cs="Arial"/>
        </w:rPr>
      </w:pPr>
      <w:r>
        <w:rPr>
          <w:rFonts w:ascii="Arial" w:hAnsi="Arial" w:cs="Arial"/>
        </w:rPr>
        <w:t xml:space="preserve">During the twenty-sixth session of the Committee on Development and Intellectual Property (CDIP), the Committee considered the project proposal on Using Inventions in the Public Domain (contained in document CDIP/24/16).  To inform the discussion, the Secretariat circulated a supplementary note providing additional information to that contained in the project proposal.  The CDIP decided </w:t>
      </w:r>
      <w:r w:rsidRPr="00D753E9">
        <w:rPr>
          <w:rFonts w:ascii="Arial" w:hAnsi="Arial" w:cs="Arial"/>
        </w:rPr>
        <w:t xml:space="preserve">that </w:t>
      </w:r>
      <w:r>
        <w:rPr>
          <w:rFonts w:ascii="Arial" w:hAnsi="Arial" w:cs="Arial"/>
        </w:rPr>
        <w:t>“</w:t>
      </w:r>
      <w:r w:rsidRPr="00D753E9">
        <w:rPr>
          <w:rFonts w:ascii="Arial" w:hAnsi="Arial" w:cs="Arial"/>
        </w:rPr>
        <w:t>the Secretariat should revise the project proposal, incorporating the information contained in the supplementary note circulated by the Secretariat and comments made by Member States, and present it to the next session of the CDIP</w:t>
      </w:r>
      <w:r>
        <w:rPr>
          <w:rFonts w:ascii="Arial" w:hAnsi="Arial" w:cs="Arial"/>
        </w:rPr>
        <w:t>”</w:t>
      </w:r>
      <w:r w:rsidRPr="00D753E9">
        <w:rPr>
          <w:rFonts w:ascii="Arial" w:hAnsi="Arial" w:cs="Arial"/>
        </w:rPr>
        <w:t>.</w:t>
      </w:r>
      <w:r>
        <w:rPr>
          <w:rFonts w:ascii="Arial" w:hAnsi="Arial" w:cs="Arial"/>
        </w:rPr>
        <w:t xml:space="preserve">  </w:t>
      </w:r>
    </w:p>
    <w:p w:rsidR="00991316" w:rsidRDefault="00991316" w:rsidP="00991316">
      <w:pPr>
        <w:pStyle w:val="ListParagraph"/>
        <w:spacing w:after="0" w:line="240" w:lineRule="auto"/>
        <w:ind w:left="0"/>
        <w:rPr>
          <w:rFonts w:ascii="Arial" w:hAnsi="Arial" w:cs="Arial"/>
        </w:rPr>
      </w:pPr>
    </w:p>
    <w:p w:rsidR="00991316" w:rsidRDefault="00991316" w:rsidP="00991316">
      <w:pPr>
        <w:pStyle w:val="ListParagraph"/>
        <w:numPr>
          <w:ilvl w:val="0"/>
          <w:numId w:val="34"/>
        </w:numPr>
        <w:spacing w:after="0" w:line="240" w:lineRule="auto"/>
        <w:ind w:left="0" w:firstLine="0"/>
        <w:rPr>
          <w:rFonts w:ascii="Arial" w:hAnsi="Arial" w:cs="Arial"/>
        </w:rPr>
      </w:pPr>
      <w:r>
        <w:rPr>
          <w:rFonts w:ascii="Arial" w:hAnsi="Arial" w:cs="Arial"/>
        </w:rPr>
        <w:t xml:space="preserve">The Annex to this document contains the above-mentioned revised project proposal. </w:t>
      </w:r>
    </w:p>
    <w:p w:rsidR="00991316" w:rsidRDefault="00991316" w:rsidP="00991316">
      <w:pPr>
        <w:pStyle w:val="ListParagraph"/>
        <w:spacing w:after="0" w:line="240" w:lineRule="auto"/>
        <w:ind w:left="0"/>
        <w:rPr>
          <w:rFonts w:ascii="Arial" w:hAnsi="Arial" w:cs="Arial"/>
        </w:rPr>
      </w:pPr>
    </w:p>
    <w:p w:rsidR="00991316" w:rsidRDefault="00991316" w:rsidP="00963992">
      <w:pPr>
        <w:pStyle w:val="ListParagraph"/>
        <w:numPr>
          <w:ilvl w:val="0"/>
          <w:numId w:val="34"/>
        </w:numPr>
        <w:spacing w:after="0" w:line="240" w:lineRule="auto"/>
        <w:ind w:left="0" w:firstLine="0"/>
        <w:rPr>
          <w:rFonts w:ascii="Arial" w:hAnsi="Arial" w:cs="Arial"/>
        </w:rPr>
      </w:pPr>
      <w:r>
        <w:rPr>
          <w:rFonts w:ascii="Arial" w:hAnsi="Arial" w:cs="Arial"/>
        </w:rPr>
        <w:t>By way of b</w:t>
      </w:r>
      <w:r w:rsidR="00963992">
        <w:rPr>
          <w:rFonts w:ascii="Arial" w:hAnsi="Arial" w:cs="Arial"/>
        </w:rPr>
        <w:t>ackground, it is recalled that the</w:t>
      </w:r>
      <w:r>
        <w:rPr>
          <w:rFonts w:ascii="Arial" w:hAnsi="Arial" w:cs="Arial"/>
        </w:rPr>
        <w:t xml:space="preserve"> possibility to implement a follow-up project </w:t>
      </w:r>
      <w:proofErr w:type="gramStart"/>
      <w:r>
        <w:rPr>
          <w:rFonts w:ascii="Arial" w:hAnsi="Arial" w:cs="Arial"/>
        </w:rPr>
        <w:t>ha</w:t>
      </w:r>
      <w:r w:rsidR="00963992">
        <w:rPr>
          <w:rFonts w:ascii="Arial" w:hAnsi="Arial" w:cs="Arial"/>
        </w:rPr>
        <w:t>d</w:t>
      </w:r>
      <w:proofErr w:type="gramEnd"/>
      <w:r>
        <w:rPr>
          <w:rFonts w:ascii="Arial" w:hAnsi="Arial" w:cs="Arial"/>
        </w:rPr>
        <w:t xml:space="preserve"> emerged </w:t>
      </w:r>
      <w:r w:rsidR="00963992">
        <w:rPr>
          <w:rFonts w:ascii="Arial" w:hAnsi="Arial" w:cs="Arial"/>
        </w:rPr>
        <w:t>during</w:t>
      </w:r>
      <w:r>
        <w:rPr>
          <w:rFonts w:ascii="Arial" w:hAnsi="Arial" w:cs="Arial"/>
        </w:rPr>
        <w:t xml:space="preserve"> </w:t>
      </w:r>
      <w:r w:rsidR="00196671">
        <w:rPr>
          <w:rFonts w:ascii="Arial" w:hAnsi="Arial" w:cs="Arial"/>
        </w:rPr>
        <w:t xml:space="preserve">the </w:t>
      </w:r>
      <w:r>
        <w:rPr>
          <w:rFonts w:ascii="Arial" w:hAnsi="Arial" w:cs="Arial"/>
        </w:rPr>
        <w:t>discussi</w:t>
      </w:r>
      <w:r w:rsidR="00963992">
        <w:rPr>
          <w:rFonts w:ascii="Arial" w:hAnsi="Arial" w:cs="Arial"/>
        </w:rPr>
        <w:t>o</w:t>
      </w:r>
      <w:r>
        <w:rPr>
          <w:rFonts w:ascii="Arial" w:hAnsi="Arial" w:cs="Arial"/>
        </w:rPr>
        <w:t>n</w:t>
      </w:r>
      <w:r w:rsidR="00963992">
        <w:rPr>
          <w:rFonts w:ascii="Arial" w:hAnsi="Arial" w:cs="Arial"/>
        </w:rPr>
        <w:t>s on</w:t>
      </w:r>
      <w:r>
        <w:rPr>
          <w:rFonts w:ascii="Arial" w:hAnsi="Arial" w:cs="Arial"/>
        </w:rPr>
        <w:t xml:space="preserve"> the </w:t>
      </w:r>
      <w:r w:rsidRPr="009B58F1">
        <w:rPr>
          <w:rFonts w:ascii="Arial" w:hAnsi="Arial" w:cs="Arial"/>
        </w:rPr>
        <w:t>Completion Report of the Project on the Use of Information in the Public Domain for Economic Development (</w:t>
      </w:r>
      <w:r>
        <w:rPr>
          <w:rFonts w:ascii="Arial" w:hAnsi="Arial" w:cs="Arial"/>
        </w:rPr>
        <w:t xml:space="preserve">contained in document </w:t>
      </w:r>
      <w:r w:rsidRPr="009B58F1">
        <w:rPr>
          <w:rFonts w:ascii="Arial" w:hAnsi="Arial" w:cs="Arial"/>
        </w:rPr>
        <w:t>CDIP/24/3)</w:t>
      </w:r>
      <w:r>
        <w:rPr>
          <w:rFonts w:ascii="Arial" w:hAnsi="Arial" w:cs="Arial"/>
        </w:rPr>
        <w:t xml:space="preserve"> during the twenty-fourth session of the CDIP</w:t>
      </w:r>
      <w:r w:rsidR="00963992">
        <w:rPr>
          <w:rFonts w:ascii="Arial" w:hAnsi="Arial" w:cs="Arial"/>
        </w:rPr>
        <w:t xml:space="preserve">.  The present document </w:t>
      </w:r>
      <w:r>
        <w:rPr>
          <w:rFonts w:ascii="Arial" w:hAnsi="Arial" w:cs="Arial"/>
        </w:rPr>
        <w:t>build</w:t>
      </w:r>
      <w:r w:rsidR="00963992">
        <w:rPr>
          <w:rFonts w:ascii="Arial" w:hAnsi="Arial" w:cs="Arial"/>
        </w:rPr>
        <w:t xml:space="preserve">s upon </w:t>
      </w:r>
      <w:r>
        <w:rPr>
          <w:rFonts w:ascii="Arial" w:hAnsi="Arial" w:cs="Arial"/>
        </w:rPr>
        <w:t xml:space="preserve">the results of the said project.  </w:t>
      </w:r>
    </w:p>
    <w:p w:rsidR="00C26B8F" w:rsidRDefault="00C26B8F" w:rsidP="00C620AE">
      <w:pPr>
        <w:pStyle w:val="ListParagraph"/>
        <w:spacing w:after="0" w:line="240" w:lineRule="auto"/>
        <w:ind w:left="0"/>
        <w:rPr>
          <w:rFonts w:ascii="Arial" w:hAnsi="Arial" w:cs="Arial"/>
        </w:rPr>
      </w:pPr>
    </w:p>
    <w:p w:rsidR="0017367B" w:rsidRPr="009B58F1" w:rsidRDefault="0017367B" w:rsidP="000A6249">
      <w:pPr>
        <w:pStyle w:val="ListParagraph"/>
        <w:numPr>
          <w:ilvl w:val="0"/>
          <w:numId w:val="34"/>
        </w:numPr>
        <w:spacing w:after="0" w:line="240" w:lineRule="auto"/>
        <w:ind w:left="5580" w:firstLine="0"/>
        <w:rPr>
          <w:rStyle w:val="ONUMFSChar"/>
          <w:i/>
        </w:rPr>
      </w:pPr>
      <w:r w:rsidRPr="009B58F1">
        <w:rPr>
          <w:rStyle w:val="ONUMFSChar"/>
          <w:i/>
        </w:rPr>
        <w:t>The CDIP is invited to consider the Annex to the present document.</w:t>
      </w:r>
    </w:p>
    <w:p w:rsidR="0017367B" w:rsidRPr="009B58F1" w:rsidRDefault="0017367B" w:rsidP="0017367B">
      <w:pPr>
        <w:rPr>
          <w:szCs w:val="22"/>
        </w:rPr>
      </w:pPr>
    </w:p>
    <w:p w:rsidR="00C653A6" w:rsidRPr="009B58F1" w:rsidRDefault="00C653A6" w:rsidP="006050B4">
      <w:pPr>
        <w:pStyle w:val="Endofdocument-Annex"/>
        <w:rPr>
          <w:szCs w:val="22"/>
        </w:rPr>
      </w:pPr>
    </w:p>
    <w:p w:rsidR="00835D79" w:rsidRDefault="0017367B" w:rsidP="006039E8">
      <w:pPr>
        <w:pStyle w:val="Endofdocument-Annex"/>
        <w:rPr>
          <w:szCs w:val="22"/>
        </w:rPr>
      </w:pPr>
      <w:r w:rsidRPr="009B58F1">
        <w:rPr>
          <w:szCs w:val="22"/>
        </w:rPr>
        <w:t>[Annex follows]</w:t>
      </w:r>
    </w:p>
    <w:p w:rsidR="00827384" w:rsidRDefault="00827384" w:rsidP="00827384">
      <w:pPr>
        <w:rPr>
          <w:b/>
          <w:szCs w:val="22"/>
        </w:rPr>
        <w:sectPr w:rsidR="00827384" w:rsidSect="00827384">
          <w:headerReference w:type="even" r:id="rId9"/>
          <w:headerReference w:type="default" r:id="rId10"/>
          <w:headerReference w:type="first" r:id="rId11"/>
          <w:endnotePr>
            <w:numFmt w:val="decimal"/>
          </w:endnotePr>
          <w:pgSz w:w="11907" w:h="16840" w:code="9"/>
          <w:pgMar w:top="634" w:right="1138" w:bottom="1411" w:left="1411" w:header="504" w:footer="1022" w:gutter="0"/>
          <w:pgNumType w:start="1"/>
          <w:cols w:space="720"/>
          <w:titlePg/>
          <w:docGrid w:linePitch="299"/>
        </w:sectPr>
      </w:pPr>
    </w:p>
    <w:p w:rsidR="00350DC1" w:rsidRPr="009B58F1" w:rsidRDefault="00350DC1" w:rsidP="00827384">
      <w:pPr>
        <w:rPr>
          <w:b/>
          <w:szCs w:val="22"/>
        </w:rPr>
      </w:pPr>
      <w:r w:rsidRPr="009B58F1">
        <w:rPr>
          <w:b/>
          <w:szCs w:val="22"/>
        </w:rPr>
        <w:lastRenderedPageBreak/>
        <w:t>DEVELOPM</w:t>
      </w:r>
      <w:r w:rsidR="00D22EA9" w:rsidRPr="009B58F1">
        <w:rPr>
          <w:b/>
          <w:szCs w:val="22"/>
        </w:rPr>
        <w:t>ENT AGENDA RECOMMENDATIONS 16 and 20</w:t>
      </w:r>
    </w:p>
    <w:p w:rsidR="00350DC1" w:rsidRPr="009B58F1" w:rsidRDefault="00350DC1" w:rsidP="00C645F1">
      <w:pPr>
        <w:pStyle w:val="Endofdocument-Annex"/>
        <w:ind w:left="0"/>
        <w:rPr>
          <w:b/>
          <w:szCs w:val="22"/>
        </w:rPr>
      </w:pPr>
    </w:p>
    <w:p w:rsidR="00350DC1" w:rsidRPr="009B58F1" w:rsidRDefault="00350DC1" w:rsidP="00C645F1">
      <w:pPr>
        <w:pStyle w:val="Endofdocument-Annex"/>
        <w:ind w:left="0"/>
        <w:rPr>
          <w:b/>
          <w:szCs w:val="22"/>
        </w:rPr>
      </w:pPr>
      <w:r w:rsidRPr="009B58F1">
        <w:rPr>
          <w:b/>
          <w:szCs w:val="22"/>
        </w:rPr>
        <w:t>PROJECT DOCUMENT</w:t>
      </w:r>
    </w:p>
    <w:p w:rsidR="004F0C92" w:rsidRPr="009B58F1" w:rsidRDefault="004F0C92" w:rsidP="00C645F1">
      <w:pPr>
        <w:rPr>
          <w:b/>
          <w:color w:val="212121"/>
          <w:szCs w:val="22"/>
          <w:shd w:val="clear" w:color="auto" w:fill="FFFFFF"/>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F0C92" w:rsidRPr="009B58F1" w:rsidTr="00E92B34">
        <w:trPr>
          <w:trHeight w:val="285"/>
        </w:trPr>
        <w:tc>
          <w:tcPr>
            <w:tcW w:w="9445" w:type="dxa"/>
            <w:gridSpan w:val="2"/>
          </w:tcPr>
          <w:p w:rsidR="00A93AB1" w:rsidRPr="009B58F1" w:rsidRDefault="00A93AB1" w:rsidP="00C645F1">
            <w:pPr>
              <w:pStyle w:val="ListParagraph"/>
              <w:spacing w:after="0" w:line="240" w:lineRule="auto"/>
              <w:ind w:left="285"/>
              <w:jc w:val="both"/>
              <w:rPr>
                <w:rFonts w:ascii="Arial" w:hAnsi="Arial" w:cs="Arial"/>
              </w:rPr>
            </w:pPr>
          </w:p>
          <w:p w:rsidR="004F0C92" w:rsidRPr="009B58F1" w:rsidRDefault="004F0C92" w:rsidP="00C645F1">
            <w:pPr>
              <w:pStyle w:val="ListParagraph"/>
              <w:numPr>
                <w:ilvl w:val="0"/>
                <w:numId w:val="17"/>
              </w:numPr>
              <w:spacing w:after="0" w:line="240" w:lineRule="auto"/>
              <w:jc w:val="both"/>
              <w:rPr>
                <w:rFonts w:ascii="Arial" w:hAnsi="Arial" w:cs="Arial"/>
              </w:rPr>
            </w:pPr>
            <w:r w:rsidRPr="009B58F1">
              <w:rPr>
                <w:rFonts w:ascii="Arial" w:hAnsi="Arial" w:cs="Arial"/>
              </w:rPr>
              <w:t>SUMMARY</w:t>
            </w:r>
          </w:p>
          <w:p w:rsidR="00A93AB1" w:rsidRPr="009B58F1" w:rsidRDefault="00A93AB1" w:rsidP="00C645F1">
            <w:pPr>
              <w:pStyle w:val="ListParagraph"/>
              <w:spacing w:after="0" w:line="240" w:lineRule="auto"/>
              <w:ind w:left="285"/>
              <w:jc w:val="both"/>
              <w:rPr>
                <w:rFonts w:ascii="Arial" w:hAnsi="Arial" w:cs="Arial"/>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AF4497">
            <w:pPr>
              <w:jc w:val="both"/>
              <w:rPr>
                <w:u w:val="single"/>
              </w:rPr>
            </w:pPr>
            <w:r w:rsidRPr="009B58F1">
              <w:rPr>
                <w:u w:val="single"/>
              </w:rPr>
              <w:t xml:space="preserve">Project </w:t>
            </w:r>
            <w:r w:rsidR="00AF4497" w:rsidRPr="009B58F1">
              <w:rPr>
                <w:u w:val="single"/>
              </w:rPr>
              <w:t>c</w:t>
            </w:r>
            <w:r w:rsidRPr="009B58F1">
              <w:rPr>
                <w:u w:val="single"/>
              </w:rPr>
              <w:t>ode</w:t>
            </w:r>
          </w:p>
        </w:tc>
        <w:tc>
          <w:tcPr>
            <w:tcW w:w="7394" w:type="dxa"/>
          </w:tcPr>
          <w:p w:rsidR="004F0C92" w:rsidRPr="009B58F1" w:rsidRDefault="004F0C92" w:rsidP="00C645F1">
            <w:pPr>
              <w:jc w:val="both"/>
              <w:rPr>
                <w:i/>
              </w:rPr>
            </w:pPr>
            <w:proofErr w:type="spellStart"/>
            <w:r w:rsidRPr="009B58F1">
              <w:rPr>
                <w:i/>
              </w:rPr>
              <w:t>DA_</w:t>
            </w:r>
            <w:r w:rsidR="00263566" w:rsidRPr="009B58F1">
              <w:rPr>
                <w:i/>
              </w:rPr>
              <w:t>16_20_04</w:t>
            </w:r>
            <w:proofErr w:type="spellEnd"/>
          </w:p>
          <w:p w:rsidR="00A93AB1" w:rsidRPr="009B58F1" w:rsidRDefault="00A93AB1" w:rsidP="00C645F1">
            <w:pPr>
              <w:jc w:val="both"/>
              <w:rPr>
                <w:i/>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jc w:val="both"/>
              <w:rPr>
                <w:u w:val="single"/>
              </w:rPr>
            </w:pPr>
            <w:r w:rsidRPr="009B58F1">
              <w:rPr>
                <w:u w:val="single"/>
              </w:rPr>
              <w:t>Title</w:t>
            </w:r>
          </w:p>
        </w:tc>
        <w:tc>
          <w:tcPr>
            <w:tcW w:w="7394" w:type="dxa"/>
          </w:tcPr>
          <w:p w:rsidR="004C032A" w:rsidRPr="009B58F1" w:rsidRDefault="00DA3B3B" w:rsidP="00C645F1">
            <w:pPr>
              <w:jc w:val="both"/>
              <w:rPr>
                <w:rStyle w:val="ONUMFSChar"/>
              </w:rPr>
            </w:pPr>
            <w:r>
              <w:t xml:space="preserve">Identifying and </w:t>
            </w:r>
            <w:r w:rsidR="00263566" w:rsidRPr="009B58F1">
              <w:t>Using Inventions in the Public Domain</w:t>
            </w:r>
            <w:r w:rsidR="00263566" w:rsidRPr="009B58F1">
              <w:rPr>
                <w:rStyle w:val="ONUMFSChar"/>
              </w:rPr>
              <w:t xml:space="preserve"> </w:t>
            </w:r>
          </w:p>
          <w:p w:rsidR="00263566" w:rsidRPr="009B58F1" w:rsidRDefault="00263566" w:rsidP="00C645F1">
            <w:pPr>
              <w:jc w:val="both"/>
              <w:rPr>
                <w:rStyle w:val="ONUMFSChar"/>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jc w:val="both"/>
              <w:rPr>
                <w:u w:val="single"/>
              </w:rPr>
            </w:pPr>
            <w:r w:rsidRPr="009B58F1">
              <w:rPr>
                <w:u w:val="single"/>
              </w:rPr>
              <w:t>Development Agenda Recommendations</w:t>
            </w:r>
          </w:p>
        </w:tc>
        <w:tc>
          <w:tcPr>
            <w:tcW w:w="7394" w:type="dxa"/>
          </w:tcPr>
          <w:p w:rsidR="004F0C92" w:rsidRDefault="00263566" w:rsidP="00C645F1">
            <w:pPr>
              <w:rPr>
                <w:szCs w:val="22"/>
              </w:rPr>
            </w:pPr>
            <w:r w:rsidRPr="009B58F1">
              <w:rPr>
                <w:i/>
              </w:rPr>
              <w:t>Recommendation 16</w:t>
            </w:r>
            <w:r w:rsidR="001933CB" w:rsidRPr="009B58F1">
              <w:t xml:space="preserve">: </w:t>
            </w:r>
            <w:r w:rsidR="001933CB" w:rsidRPr="009B58F1">
              <w:rPr>
                <w:szCs w:val="22"/>
              </w:rPr>
              <w:t>Consider the preservation of the public domain within WIPO’s normative processes and deepen the analysis of the implications and benefits of a rich and accessible public domain.</w:t>
            </w:r>
          </w:p>
          <w:p w:rsidR="00DE75E2" w:rsidRPr="009B58F1" w:rsidRDefault="00263566" w:rsidP="00E60938">
            <w:pPr>
              <w:rPr>
                <w:szCs w:val="22"/>
              </w:rPr>
            </w:pPr>
            <w:r w:rsidRPr="009B58F1">
              <w:rPr>
                <w:i/>
                <w:szCs w:val="22"/>
              </w:rPr>
              <w:t>Recommendation 20</w:t>
            </w:r>
            <w:r w:rsidR="00DE75E2" w:rsidRPr="009B58F1">
              <w:rPr>
                <w:szCs w:val="22"/>
              </w:rPr>
              <w:t>:</w:t>
            </w:r>
            <w:r w:rsidR="001933CB" w:rsidRPr="009B58F1">
              <w:rPr>
                <w:szCs w:val="22"/>
              </w:rPr>
              <w:t xml:space="preserve"> </w:t>
            </w:r>
            <w:r w:rsidR="00E60938" w:rsidRPr="00E60938">
              <w:rPr>
                <w:szCs w:val="22"/>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4F0C92" w:rsidRPr="009B58F1" w:rsidRDefault="004F0C92" w:rsidP="00263566"/>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r w:rsidRPr="009B58F1">
              <w:rPr>
                <w:u w:val="single"/>
              </w:rPr>
              <w:t xml:space="preserve">Brief description of the </w:t>
            </w:r>
            <w:r w:rsidR="00A93AB1" w:rsidRPr="009B58F1">
              <w:rPr>
                <w:u w:val="single"/>
              </w:rPr>
              <w:t>P</w:t>
            </w:r>
            <w:r w:rsidRPr="009B58F1">
              <w:rPr>
                <w:u w:val="single"/>
              </w:rPr>
              <w:t>roject</w:t>
            </w:r>
          </w:p>
        </w:tc>
        <w:tc>
          <w:tcPr>
            <w:tcW w:w="7394" w:type="dxa"/>
          </w:tcPr>
          <w:p w:rsidR="002F5770" w:rsidRPr="009B58F1" w:rsidRDefault="002F5770" w:rsidP="00733A66">
            <w:r w:rsidRPr="009B58F1">
              <w:t xml:space="preserve">The </w:t>
            </w:r>
            <w:r w:rsidR="00AF4497" w:rsidRPr="009B58F1">
              <w:t>p</w:t>
            </w:r>
            <w:r w:rsidRPr="009B58F1">
              <w:t xml:space="preserve">roposed </w:t>
            </w:r>
            <w:r w:rsidR="00D36F93" w:rsidRPr="009B58F1">
              <w:t>project</w:t>
            </w:r>
            <w:r w:rsidRPr="009B58F1">
              <w:t xml:space="preserve"> build</w:t>
            </w:r>
            <w:r w:rsidR="00D36F93" w:rsidRPr="009B58F1">
              <w:t>s</w:t>
            </w:r>
            <w:r w:rsidRPr="009B58F1">
              <w:t xml:space="preserve"> on the results of the De</w:t>
            </w:r>
            <w:r w:rsidR="00DA3B3B">
              <w:t>velopment Agenda Project on</w:t>
            </w:r>
            <w:r w:rsidR="003C618D">
              <w:t xml:space="preserve"> the</w:t>
            </w:r>
            <w:r w:rsidR="00DA3B3B">
              <w:t xml:space="preserve"> </w:t>
            </w:r>
            <w:hyperlink r:id="rId12" w:history="1">
              <w:r w:rsidRPr="00733A66">
                <w:rPr>
                  <w:rStyle w:val="Hyperlink"/>
                </w:rPr>
                <w:t>Us</w:t>
              </w:r>
              <w:r w:rsidR="00733A66" w:rsidRPr="00733A66">
                <w:rPr>
                  <w:rStyle w:val="Hyperlink"/>
                </w:rPr>
                <w:t>e of</w:t>
              </w:r>
              <w:r w:rsidRPr="00733A66">
                <w:rPr>
                  <w:rStyle w:val="Hyperlink"/>
                </w:rPr>
                <w:t xml:space="preserve"> Information in the Public Domain for Economic Development</w:t>
              </w:r>
            </w:hyperlink>
            <w:r w:rsidRPr="009B58F1">
              <w:t xml:space="preserve"> and ongoing program activities to establish and develop Technology and Innovation Support Centers (</w:t>
            </w:r>
            <w:proofErr w:type="spellStart"/>
            <w:r w:rsidRPr="009B58F1">
              <w:t>TISCs</w:t>
            </w:r>
            <w:proofErr w:type="spellEnd"/>
            <w:r w:rsidRPr="009B58F1">
              <w:t>).</w:t>
            </w:r>
          </w:p>
          <w:p w:rsidR="002F5770" w:rsidRPr="009B58F1" w:rsidRDefault="002F5770" w:rsidP="00B97040"/>
          <w:p w:rsidR="002F5770" w:rsidRDefault="002F5770" w:rsidP="00B97040">
            <w:r w:rsidRPr="009B58F1">
              <w:t xml:space="preserve">The </w:t>
            </w:r>
            <w:r w:rsidR="00A1014E" w:rsidRPr="009B58F1">
              <w:t>project</w:t>
            </w:r>
            <w:r w:rsidR="00D36F93" w:rsidRPr="009B58F1">
              <w:t xml:space="preserve"> </w:t>
            </w:r>
            <w:r w:rsidRPr="009B58F1">
              <w:t>aim</w:t>
            </w:r>
            <w:r w:rsidR="00A1014E" w:rsidRPr="009B58F1">
              <w:t>s</w:t>
            </w:r>
            <w:r w:rsidRPr="009B58F1">
              <w:t xml:space="preserve"> to</w:t>
            </w:r>
            <w:r w:rsidR="00A1014E" w:rsidRPr="009B58F1">
              <w:t xml:space="preserve"> </w:t>
            </w:r>
            <w:r w:rsidR="00987305" w:rsidRPr="009B58F1">
              <w:t>contribute to the capacity of</w:t>
            </w:r>
            <w:r w:rsidR="00A1014E" w:rsidRPr="009B58F1">
              <w:t xml:space="preserve"> </w:t>
            </w:r>
            <w:proofErr w:type="spellStart"/>
            <w:r w:rsidR="00A1014E" w:rsidRPr="009B58F1">
              <w:t>TISCs</w:t>
            </w:r>
            <w:proofErr w:type="spellEnd"/>
            <w:r w:rsidR="00A1014E" w:rsidRPr="009B58F1">
              <w:t xml:space="preserve"> to offer services related to </w:t>
            </w:r>
            <w:r w:rsidR="00DA3B3B">
              <w:t xml:space="preserve">identifying and </w:t>
            </w:r>
            <w:r w:rsidR="00A1014E" w:rsidRPr="009B58F1">
              <w:t>using inventions in the public domain</w:t>
            </w:r>
            <w:r w:rsidR="00987305" w:rsidRPr="009B58F1">
              <w:t xml:space="preserve">. </w:t>
            </w:r>
            <w:r w:rsidR="00E25E24">
              <w:t xml:space="preserve"> </w:t>
            </w:r>
            <w:r w:rsidR="00987305" w:rsidRPr="009B58F1">
              <w:t xml:space="preserve">The objective will be achieved </w:t>
            </w:r>
            <w:r w:rsidR="00A1014E" w:rsidRPr="009B58F1">
              <w:t xml:space="preserve">by </w:t>
            </w:r>
            <w:r w:rsidRPr="009B58F1">
              <w:t>equip</w:t>
            </w:r>
            <w:r w:rsidR="00A1014E" w:rsidRPr="009B58F1">
              <w:t>ping</w:t>
            </w:r>
            <w:r w:rsidRPr="009B58F1">
              <w:t xml:space="preserve"> </w:t>
            </w:r>
            <w:proofErr w:type="spellStart"/>
            <w:r w:rsidRPr="009B58F1">
              <w:t>TISC</w:t>
            </w:r>
            <w:proofErr w:type="spellEnd"/>
            <w:r w:rsidRPr="009B58F1">
              <w:t xml:space="preserve"> staff, researchers, and entrepreneurs with additional tools</w:t>
            </w:r>
            <w:r w:rsidR="00987305" w:rsidRPr="009B58F1">
              <w:t xml:space="preserve"> and knowledge</w:t>
            </w:r>
            <w:r w:rsidRPr="009B58F1">
              <w:t xml:space="preserve"> relevant to the steps involved in</w:t>
            </w:r>
            <w:r w:rsidR="00DA3B3B">
              <w:t xml:space="preserve"> identifying and</w:t>
            </w:r>
            <w:r w:rsidRPr="009B58F1">
              <w:t xml:space="preserve"> using inventions in the public domain, taking into account the specific needs and context of developing countries.</w:t>
            </w:r>
          </w:p>
          <w:p w:rsidR="001B3A7C" w:rsidRDefault="001B3A7C" w:rsidP="00B97040"/>
          <w:p w:rsidR="001B3A7C" w:rsidRPr="009B58F1" w:rsidRDefault="001B3A7C" w:rsidP="004172F6">
            <w:r>
              <w:t xml:space="preserve">The project includes the development of </w:t>
            </w:r>
            <w:r w:rsidR="00376758">
              <w:t xml:space="preserve">a toolkit </w:t>
            </w:r>
            <w:r w:rsidR="004172F6">
              <w:t>comprising practical tools to support the concepts and processes</w:t>
            </w:r>
            <w:r w:rsidR="00376758">
              <w:t xml:space="preserve"> </w:t>
            </w:r>
            <w:r w:rsidR="004172F6">
              <w:t>introduced in</w:t>
            </w:r>
            <w:r w:rsidR="003C618D">
              <w:t xml:space="preserve"> the two guides,</w:t>
            </w:r>
            <w:r w:rsidR="004172F6">
              <w:t xml:space="preserve"> </w:t>
            </w:r>
            <w:r w:rsidR="003C618D">
              <w:t>“</w:t>
            </w:r>
            <w:r w:rsidR="004172F6">
              <w:t>Identifying Inventions in the Public Domain: A Guide for Inventors and Entrepreneurs</w:t>
            </w:r>
            <w:r w:rsidR="003C618D">
              <w:t>”,</w:t>
            </w:r>
            <w:r w:rsidR="004172F6">
              <w:t xml:space="preserve"> and </w:t>
            </w:r>
            <w:r w:rsidR="003C618D">
              <w:t>“</w:t>
            </w:r>
            <w:r w:rsidR="004172F6">
              <w:t>Using Inventions in the Public Domain: A Guide for Inventors and Entrepreneurs</w:t>
            </w:r>
            <w:r w:rsidR="003C618D">
              <w:t>”</w:t>
            </w:r>
            <w:r w:rsidR="004172F6">
              <w:t>. It will include</w:t>
            </w:r>
            <w:r w:rsidR="003C618D">
              <w:t>,</w:t>
            </w:r>
            <w:r w:rsidR="004172F6">
              <w:t xml:space="preserve"> among other things</w:t>
            </w:r>
            <w:r w:rsidR="003C618D">
              <w:t>,</w:t>
            </w:r>
            <w:r w:rsidR="004172F6">
              <w:t xml:space="preserve"> a tool to support </w:t>
            </w:r>
            <w:r w:rsidR="003C618D">
              <w:t>decision-making</w:t>
            </w:r>
            <w:r w:rsidR="004172F6">
              <w:t xml:space="preserve"> on whether to proceed with a new product development initiative based on assessed freedom to operate. The project will also develop n</w:t>
            </w:r>
            <w:r w:rsidR="0064073D">
              <w:t xml:space="preserve">ew training materials on the effective use of the toolkit and </w:t>
            </w:r>
            <w:r w:rsidR="004172F6">
              <w:t>carry out</w:t>
            </w:r>
            <w:r w:rsidR="0064073D">
              <w:t xml:space="preserve"> pilot training seminars to fine-tune the toolkit and training materials.</w:t>
            </w:r>
          </w:p>
          <w:p w:rsidR="009F24C8" w:rsidRPr="009B58F1" w:rsidRDefault="009F24C8" w:rsidP="00D36F93">
            <w:pPr>
              <w:jc w:val="both"/>
            </w:pPr>
          </w:p>
        </w:tc>
      </w:tr>
      <w:tr w:rsidR="004F0C92" w:rsidRPr="009B58F1" w:rsidTr="00D22EA9">
        <w:tblPrEx>
          <w:tblCellMar>
            <w:left w:w="108" w:type="dxa"/>
            <w:right w:w="108" w:type="dxa"/>
          </w:tblCellMar>
          <w:tblLook w:val="04A0" w:firstRow="1" w:lastRow="0" w:firstColumn="1" w:lastColumn="0" w:noHBand="0" w:noVBand="1"/>
        </w:tblPrEx>
        <w:trPr>
          <w:trHeight w:val="824"/>
        </w:trPr>
        <w:tc>
          <w:tcPr>
            <w:tcW w:w="2051" w:type="dxa"/>
          </w:tcPr>
          <w:p w:rsidR="00B1789B" w:rsidRPr="009B58F1" w:rsidRDefault="004F0C92" w:rsidP="002C6783">
            <w:pPr>
              <w:rPr>
                <w:u w:val="single"/>
              </w:rPr>
            </w:pPr>
            <w:r w:rsidRPr="009B58F1">
              <w:rPr>
                <w:u w:val="single"/>
              </w:rPr>
              <w:t xml:space="preserve">Implementing </w:t>
            </w:r>
            <w:r w:rsidR="002C6783">
              <w:rPr>
                <w:u w:val="single"/>
              </w:rPr>
              <w:t>Sector</w:t>
            </w:r>
          </w:p>
        </w:tc>
        <w:tc>
          <w:tcPr>
            <w:tcW w:w="7394" w:type="dxa"/>
          </w:tcPr>
          <w:p w:rsidR="004F0C92" w:rsidRPr="009B58F1" w:rsidRDefault="002C6783" w:rsidP="00C645F1">
            <w:pPr>
              <w:jc w:val="both"/>
            </w:pPr>
            <w:r>
              <w:t>IP and Innovation Ecosystems Sector</w:t>
            </w:r>
          </w:p>
        </w:tc>
      </w:tr>
      <w:tr w:rsidR="004F0C92" w:rsidRPr="007F4B41" w:rsidTr="00AF4497">
        <w:tblPrEx>
          <w:tblCellMar>
            <w:left w:w="108" w:type="dxa"/>
            <w:right w:w="108" w:type="dxa"/>
          </w:tblCellMar>
          <w:tblLook w:val="04A0" w:firstRow="1" w:lastRow="0" w:firstColumn="1" w:lastColumn="0" w:noHBand="0" w:noVBand="1"/>
        </w:tblPrEx>
        <w:trPr>
          <w:trHeight w:val="1399"/>
        </w:trPr>
        <w:tc>
          <w:tcPr>
            <w:tcW w:w="2051" w:type="dxa"/>
          </w:tcPr>
          <w:p w:rsidR="004F0C92" w:rsidRPr="009B58F1" w:rsidRDefault="00BD7C33" w:rsidP="00C645F1">
            <w:pPr>
              <w:rPr>
                <w:u w:val="single"/>
              </w:rPr>
            </w:pPr>
            <w:r>
              <w:rPr>
                <w:u w:val="single"/>
              </w:rPr>
              <w:t>Links to other Sectors</w:t>
            </w:r>
            <w:r w:rsidR="004F0C92" w:rsidRPr="009B58F1">
              <w:rPr>
                <w:u w:val="single"/>
              </w:rPr>
              <w:t>(s)/DA Project(s)</w:t>
            </w:r>
          </w:p>
        </w:tc>
        <w:tc>
          <w:tcPr>
            <w:tcW w:w="7394" w:type="dxa"/>
          </w:tcPr>
          <w:p w:rsidR="002F5770" w:rsidRPr="004172F6" w:rsidRDefault="00BD7C33" w:rsidP="002F5770">
            <w:pPr>
              <w:rPr>
                <w:iCs/>
                <w:szCs w:val="22"/>
              </w:rPr>
            </w:pPr>
            <w:r w:rsidRPr="004172F6">
              <w:rPr>
                <w:iCs/>
                <w:szCs w:val="22"/>
              </w:rPr>
              <w:t xml:space="preserve">Patents and Technology, Regional and National Development and Infrastructure and Platforms Sectors </w:t>
            </w:r>
          </w:p>
          <w:p w:rsidR="002F5770" w:rsidRPr="004172F6" w:rsidRDefault="002F5770" w:rsidP="002F5770">
            <w:pPr>
              <w:rPr>
                <w:iCs/>
                <w:szCs w:val="22"/>
              </w:rPr>
            </w:pPr>
          </w:p>
          <w:p w:rsidR="002F5770" w:rsidRPr="004172F6" w:rsidRDefault="00D22EA9" w:rsidP="002F5770">
            <w:pPr>
              <w:rPr>
                <w:i/>
                <w:iCs/>
                <w:szCs w:val="22"/>
                <w:lang w:val="pt-BR"/>
              </w:rPr>
            </w:pPr>
            <w:r w:rsidRPr="004172F6">
              <w:rPr>
                <w:iCs/>
                <w:szCs w:val="22"/>
                <w:lang w:val="pt-BR"/>
              </w:rPr>
              <w:t xml:space="preserve">Projects: </w:t>
            </w:r>
            <w:proofErr w:type="spellStart"/>
            <w:r w:rsidR="002F5770" w:rsidRPr="004172F6">
              <w:rPr>
                <w:iCs/>
                <w:szCs w:val="22"/>
                <w:lang w:val="pt-BR"/>
              </w:rPr>
              <w:t>DA_8_01</w:t>
            </w:r>
            <w:proofErr w:type="spellEnd"/>
            <w:r w:rsidR="002F5770" w:rsidRPr="004172F6">
              <w:rPr>
                <w:iCs/>
                <w:szCs w:val="22"/>
                <w:lang w:val="pt-BR"/>
              </w:rPr>
              <w:t xml:space="preserve">, </w:t>
            </w:r>
            <w:proofErr w:type="spellStart"/>
            <w:r w:rsidR="002F5770" w:rsidRPr="004172F6">
              <w:rPr>
                <w:iCs/>
                <w:szCs w:val="22"/>
                <w:lang w:val="pt-BR"/>
              </w:rPr>
              <w:t>DA_8_02</w:t>
            </w:r>
            <w:proofErr w:type="spellEnd"/>
            <w:r w:rsidR="002F5770" w:rsidRPr="004172F6">
              <w:rPr>
                <w:iCs/>
                <w:szCs w:val="22"/>
                <w:lang w:val="pt-BR"/>
              </w:rPr>
              <w:t xml:space="preserve">, </w:t>
            </w:r>
            <w:proofErr w:type="spellStart"/>
            <w:r w:rsidR="002F5770" w:rsidRPr="004172F6">
              <w:rPr>
                <w:iCs/>
                <w:szCs w:val="22"/>
                <w:lang w:val="pt-BR"/>
              </w:rPr>
              <w:t>DA_19_30_31</w:t>
            </w:r>
            <w:proofErr w:type="spellEnd"/>
            <w:r w:rsidR="002F5770" w:rsidRPr="004172F6">
              <w:rPr>
                <w:iCs/>
                <w:szCs w:val="22"/>
                <w:lang w:val="pt-BR"/>
              </w:rPr>
              <w:t xml:space="preserve">, </w:t>
            </w:r>
            <w:proofErr w:type="spellStart"/>
            <w:r w:rsidR="002F5770" w:rsidRPr="004172F6">
              <w:rPr>
                <w:iCs/>
                <w:szCs w:val="22"/>
                <w:lang w:val="pt-BR"/>
              </w:rPr>
              <w:t>DA_16_20_01</w:t>
            </w:r>
            <w:proofErr w:type="spellEnd"/>
            <w:r w:rsidR="002F5770" w:rsidRPr="004172F6">
              <w:rPr>
                <w:iCs/>
                <w:szCs w:val="22"/>
                <w:lang w:val="pt-BR"/>
              </w:rPr>
              <w:t xml:space="preserve"> </w:t>
            </w:r>
            <w:proofErr w:type="spellStart"/>
            <w:r w:rsidR="002F5770" w:rsidRPr="004172F6">
              <w:rPr>
                <w:iCs/>
                <w:szCs w:val="22"/>
                <w:lang w:val="pt-BR"/>
              </w:rPr>
              <w:t>and</w:t>
            </w:r>
            <w:proofErr w:type="spellEnd"/>
            <w:r w:rsidR="002F5770" w:rsidRPr="004172F6">
              <w:rPr>
                <w:iCs/>
                <w:szCs w:val="22"/>
                <w:lang w:val="pt-BR"/>
              </w:rPr>
              <w:t xml:space="preserve"> </w:t>
            </w:r>
            <w:proofErr w:type="spellStart"/>
            <w:r w:rsidR="002F5770" w:rsidRPr="004172F6">
              <w:rPr>
                <w:iCs/>
                <w:szCs w:val="22"/>
                <w:lang w:val="pt-BR"/>
              </w:rPr>
              <w:t>DA_16_20_</w:t>
            </w:r>
            <w:proofErr w:type="gramStart"/>
            <w:r w:rsidR="002F5770" w:rsidRPr="004172F6">
              <w:rPr>
                <w:iCs/>
                <w:szCs w:val="22"/>
                <w:lang w:val="pt-BR"/>
              </w:rPr>
              <w:t>02</w:t>
            </w:r>
            <w:proofErr w:type="spellEnd"/>
            <w:r w:rsidR="002F5770" w:rsidRPr="004172F6">
              <w:rPr>
                <w:iCs/>
                <w:szCs w:val="22"/>
                <w:lang w:val="pt-BR"/>
              </w:rPr>
              <w:t xml:space="preserve">;  </w:t>
            </w:r>
            <w:proofErr w:type="spellStart"/>
            <w:r w:rsidR="002F5770" w:rsidRPr="004172F6">
              <w:rPr>
                <w:iCs/>
                <w:szCs w:val="22"/>
                <w:lang w:val="pt-BR"/>
              </w:rPr>
              <w:t>DA</w:t>
            </w:r>
            <w:proofErr w:type="gramEnd"/>
            <w:r w:rsidR="002F5770" w:rsidRPr="004172F6">
              <w:rPr>
                <w:iCs/>
                <w:szCs w:val="22"/>
                <w:lang w:val="pt-BR"/>
              </w:rPr>
              <w:t>_16_20_03</w:t>
            </w:r>
            <w:proofErr w:type="spellEnd"/>
          </w:p>
          <w:p w:rsidR="004F0C92" w:rsidRPr="004172F6" w:rsidRDefault="004F0C92" w:rsidP="00C645F1">
            <w:pPr>
              <w:jc w:val="both"/>
              <w:rPr>
                <w:lang w:val="pt-BR"/>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rPr>
                <w:u w:val="single"/>
              </w:rPr>
            </w:pPr>
            <w:r w:rsidRPr="009B58F1">
              <w:rPr>
                <w:u w:val="single"/>
              </w:rPr>
              <w:lastRenderedPageBreak/>
              <w:t>Links to Expected Results in the Program and Budget</w:t>
            </w:r>
            <w:r w:rsidR="00733A66">
              <w:rPr>
                <w:u w:val="single"/>
              </w:rPr>
              <w:t xml:space="preserve"> (2022/23)</w:t>
            </w:r>
          </w:p>
        </w:tc>
        <w:tc>
          <w:tcPr>
            <w:tcW w:w="7394" w:type="dxa"/>
          </w:tcPr>
          <w:p w:rsidR="00D22EA9" w:rsidRPr="00BD7C33" w:rsidRDefault="00BD7C33" w:rsidP="00D22EA9">
            <w:pPr>
              <w:rPr>
                <w:iCs/>
                <w:szCs w:val="22"/>
              </w:rPr>
            </w:pPr>
            <w:r>
              <w:rPr>
                <w:i/>
              </w:rPr>
              <w:t>Strategic Pillar 3.3:</w:t>
            </w:r>
            <w:r w:rsidRPr="00BD7C33">
              <w:t xml:space="preserve">  Knowledge transfer and technology adaptation is facilitated through WIPO’s IP-based platforms and tools to address global challenges</w:t>
            </w:r>
            <w:r w:rsidR="00D22EA9" w:rsidRPr="00BD7C33">
              <w:rPr>
                <w:iCs/>
                <w:szCs w:val="22"/>
              </w:rPr>
              <w:t>.</w:t>
            </w:r>
          </w:p>
          <w:p w:rsidR="00D22EA9" w:rsidRPr="00BD7C33" w:rsidRDefault="00D22EA9" w:rsidP="00D22EA9">
            <w:pPr>
              <w:rPr>
                <w:iCs/>
                <w:szCs w:val="22"/>
              </w:rPr>
            </w:pPr>
          </w:p>
          <w:p w:rsidR="00DA3B3B" w:rsidRPr="00DA3B3B" w:rsidRDefault="00BD7C33" w:rsidP="00AA6C3D">
            <w:pPr>
              <w:pStyle w:val="ListParagraph"/>
              <w:spacing w:after="0" w:line="240" w:lineRule="auto"/>
              <w:ind w:left="0"/>
              <w:rPr>
                <w:rFonts w:ascii="Arial" w:hAnsi="Arial" w:cs="Arial"/>
                <w:iCs/>
              </w:rPr>
            </w:pPr>
            <w:r>
              <w:rPr>
                <w:rFonts w:ascii="Arial" w:hAnsi="Arial" w:cs="Arial"/>
                <w:i/>
              </w:rPr>
              <w:t>Strategic Pillar 4.4:</w:t>
            </w:r>
            <w:r w:rsidR="00D22EA9" w:rsidRPr="00BD7C33">
              <w:rPr>
                <w:rFonts w:ascii="Arial" w:hAnsi="Arial" w:cs="Arial"/>
                <w:iCs/>
              </w:rPr>
              <w:t xml:space="preserve"> </w:t>
            </w:r>
            <w:r>
              <w:t xml:space="preserve"> </w:t>
            </w:r>
            <w:r w:rsidRPr="00BD7C33">
              <w:rPr>
                <w:rFonts w:ascii="Arial" w:hAnsi="Arial" w:cs="Arial"/>
                <w:iCs/>
              </w:rPr>
              <w:t>More innovators, creators, SMEs, universities, research institutions and communities leverage IP successfully</w:t>
            </w:r>
            <w:r>
              <w:rPr>
                <w:rFonts w:ascii="Arial" w:hAnsi="Arial" w:cs="Arial"/>
                <w:iCs/>
              </w:rPr>
              <w:t>.</w:t>
            </w: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jc w:val="both"/>
            </w:pPr>
            <w:r w:rsidRPr="009B58F1">
              <w:rPr>
                <w:u w:val="single"/>
              </w:rPr>
              <w:t>Project duration</w:t>
            </w:r>
          </w:p>
        </w:tc>
        <w:tc>
          <w:tcPr>
            <w:tcW w:w="7394" w:type="dxa"/>
          </w:tcPr>
          <w:p w:rsidR="00D22EA9" w:rsidRPr="009B58F1" w:rsidRDefault="00B21D0F" w:rsidP="00AF4497">
            <w:pPr>
              <w:jc w:val="both"/>
            </w:pPr>
            <w:r w:rsidRPr="009B58F1">
              <w:t>24</w:t>
            </w:r>
            <w:r w:rsidR="004F0C92" w:rsidRPr="009B58F1">
              <w:t xml:space="preserve"> months</w:t>
            </w:r>
          </w:p>
          <w:p w:rsidR="00F83859" w:rsidRPr="009B58F1" w:rsidRDefault="00F83859" w:rsidP="00AF4497">
            <w:pPr>
              <w:jc w:val="both"/>
            </w:pPr>
          </w:p>
        </w:tc>
      </w:tr>
      <w:tr w:rsidR="004F0C92" w:rsidRPr="007F4B41" w:rsidTr="00E92B34">
        <w:tblPrEx>
          <w:tblCellMar>
            <w:left w:w="108" w:type="dxa"/>
            <w:right w:w="108" w:type="dxa"/>
          </w:tblCellMar>
          <w:tblLook w:val="04A0" w:firstRow="1" w:lastRow="0" w:firstColumn="1" w:lastColumn="0" w:noHBand="0" w:noVBand="1"/>
        </w:tblPrEx>
        <w:tc>
          <w:tcPr>
            <w:tcW w:w="2051" w:type="dxa"/>
          </w:tcPr>
          <w:p w:rsidR="006E759F" w:rsidRPr="009B58F1" w:rsidRDefault="006E759F" w:rsidP="00C645F1">
            <w:pPr>
              <w:jc w:val="both"/>
              <w:rPr>
                <w:u w:val="single"/>
              </w:rPr>
            </w:pPr>
          </w:p>
          <w:p w:rsidR="004F0C92" w:rsidRPr="009B58F1" w:rsidRDefault="004F0C92" w:rsidP="00C645F1">
            <w:pPr>
              <w:jc w:val="both"/>
              <w:rPr>
                <w:u w:val="single"/>
              </w:rPr>
            </w:pPr>
            <w:r w:rsidRPr="009B58F1">
              <w:rPr>
                <w:u w:val="single"/>
              </w:rPr>
              <w:t>Project budget</w:t>
            </w:r>
          </w:p>
        </w:tc>
        <w:tc>
          <w:tcPr>
            <w:tcW w:w="7394" w:type="dxa"/>
          </w:tcPr>
          <w:p w:rsidR="006E759F" w:rsidRPr="009B58F1" w:rsidRDefault="006E759F" w:rsidP="00C645F1">
            <w:pPr>
              <w:jc w:val="both"/>
              <w:rPr>
                <w:lang w:val="fr-FR"/>
              </w:rPr>
            </w:pPr>
          </w:p>
          <w:p w:rsidR="006E759F" w:rsidRPr="009B58F1" w:rsidRDefault="00982FF0" w:rsidP="00D17841">
            <w:pPr>
              <w:jc w:val="both"/>
              <w:rPr>
                <w:lang w:val="fr-FR"/>
              </w:rPr>
            </w:pPr>
            <w:r w:rsidRPr="009B58F1">
              <w:rPr>
                <w:lang w:val="fr-FR"/>
              </w:rPr>
              <w:t xml:space="preserve">Total budget: </w:t>
            </w:r>
            <w:r w:rsidR="001933CB" w:rsidRPr="009B58F1">
              <w:rPr>
                <w:lang w:val="fr-FR"/>
              </w:rPr>
              <w:t>80</w:t>
            </w:r>
            <w:r w:rsidR="00DB4E08" w:rsidRPr="009B58F1">
              <w:rPr>
                <w:lang w:val="fr-FR"/>
              </w:rPr>
              <w:t>,000</w:t>
            </w:r>
            <w:r w:rsidRPr="009B58F1">
              <w:rPr>
                <w:lang w:val="fr-FR"/>
              </w:rPr>
              <w:t xml:space="preserve"> </w:t>
            </w:r>
            <w:proofErr w:type="spellStart"/>
            <w:r w:rsidRPr="009B58F1">
              <w:rPr>
                <w:lang w:val="fr-FR"/>
              </w:rPr>
              <w:t>Swiss</w:t>
            </w:r>
            <w:proofErr w:type="spellEnd"/>
            <w:r w:rsidRPr="009B58F1">
              <w:rPr>
                <w:lang w:val="fr-FR"/>
              </w:rPr>
              <w:t xml:space="preserve"> francs</w:t>
            </w:r>
            <w:r w:rsidR="001933CB" w:rsidRPr="009B58F1">
              <w:rPr>
                <w:lang w:val="fr-FR"/>
              </w:rPr>
              <w:t xml:space="preserve"> (non-personnel </w:t>
            </w:r>
            <w:proofErr w:type="spellStart"/>
            <w:r w:rsidR="0092744D" w:rsidRPr="009B58F1">
              <w:rPr>
                <w:lang w:val="fr-FR"/>
              </w:rPr>
              <w:t>resources</w:t>
            </w:r>
            <w:proofErr w:type="spellEnd"/>
            <w:r w:rsidR="001933CB" w:rsidRPr="009B58F1">
              <w:rPr>
                <w:lang w:val="fr-FR"/>
              </w:rPr>
              <w:t>)</w:t>
            </w:r>
          </w:p>
          <w:p w:rsidR="001933CB" w:rsidRPr="009B58F1" w:rsidRDefault="001933CB" w:rsidP="00D17841">
            <w:pPr>
              <w:jc w:val="both"/>
              <w:rPr>
                <w:lang w:val="fr-FR"/>
              </w:rPr>
            </w:pPr>
          </w:p>
        </w:tc>
      </w:tr>
    </w:tbl>
    <w:p w:rsidR="00AF4497" w:rsidRPr="009B58F1" w:rsidRDefault="00AF4497" w:rsidP="00C645F1">
      <w:pPr>
        <w:rPr>
          <w:lang w:val="fr-FR"/>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4F0C92" w:rsidRPr="009B58F1" w:rsidTr="00E92B34">
        <w:tc>
          <w:tcPr>
            <w:tcW w:w="9445" w:type="dxa"/>
          </w:tcPr>
          <w:p w:rsidR="00A93AB1" w:rsidRPr="009B58F1" w:rsidRDefault="00A93AB1" w:rsidP="00C645F1">
            <w:pPr>
              <w:pStyle w:val="ListParagraph"/>
              <w:spacing w:after="0" w:line="240" w:lineRule="auto"/>
              <w:jc w:val="both"/>
              <w:rPr>
                <w:rFonts w:ascii="Arial" w:hAnsi="Arial" w:cs="Arial"/>
                <w:lang w:val="fr-FR"/>
              </w:rPr>
            </w:pPr>
          </w:p>
          <w:p w:rsidR="00110671" w:rsidRPr="009B58F1" w:rsidRDefault="00110671" w:rsidP="00110671">
            <w:pPr>
              <w:pStyle w:val="ListParagraph"/>
              <w:numPr>
                <w:ilvl w:val="0"/>
                <w:numId w:val="20"/>
              </w:numPr>
              <w:spacing w:after="0" w:line="240" w:lineRule="auto"/>
              <w:jc w:val="both"/>
              <w:rPr>
                <w:rFonts w:ascii="Arial" w:hAnsi="Arial" w:cs="Arial"/>
              </w:rPr>
            </w:pPr>
            <w:r w:rsidRPr="009B58F1">
              <w:rPr>
                <w:rFonts w:ascii="Arial" w:hAnsi="Arial" w:cs="Arial"/>
              </w:rPr>
              <w:t>PROJECT DESCRIPTION</w:t>
            </w:r>
          </w:p>
          <w:p w:rsidR="006E759F" w:rsidRPr="009B58F1" w:rsidRDefault="006E759F" w:rsidP="00110671">
            <w:pPr>
              <w:pStyle w:val="ListParagraph"/>
              <w:spacing w:after="0" w:line="240" w:lineRule="auto"/>
              <w:jc w:val="both"/>
              <w:rPr>
                <w:rFonts w:ascii="Arial" w:hAnsi="Arial" w:cs="Arial"/>
              </w:rPr>
            </w:pPr>
          </w:p>
        </w:tc>
      </w:tr>
      <w:tr w:rsidR="00110671" w:rsidRPr="009B58F1" w:rsidTr="00E92B34">
        <w:tc>
          <w:tcPr>
            <w:tcW w:w="9445" w:type="dxa"/>
          </w:tcPr>
          <w:p w:rsidR="00110671" w:rsidRPr="009B58F1" w:rsidRDefault="00110671" w:rsidP="00110671">
            <w:pPr>
              <w:pStyle w:val="ListParagraph"/>
              <w:spacing w:after="0" w:line="240" w:lineRule="auto"/>
              <w:jc w:val="both"/>
              <w:rPr>
                <w:rFonts w:ascii="Arial" w:hAnsi="Arial" w:cs="Arial"/>
              </w:rPr>
            </w:pPr>
          </w:p>
          <w:p w:rsidR="00110671" w:rsidRPr="009B58F1" w:rsidRDefault="00110671" w:rsidP="00110671">
            <w:pPr>
              <w:pStyle w:val="ListParagraph"/>
              <w:numPr>
                <w:ilvl w:val="1"/>
                <w:numId w:val="38"/>
              </w:numPr>
              <w:spacing w:after="0" w:line="240" w:lineRule="auto"/>
              <w:jc w:val="both"/>
              <w:rPr>
                <w:rFonts w:ascii="Arial" w:hAnsi="Arial" w:cs="Arial"/>
              </w:rPr>
            </w:pPr>
            <w:r w:rsidRPr="009B58F1">
              <w:rPr>
                <w:rFonts w:ascii="Arial" w:hAnsi="Arial" w:cs="Arial"/>
                <w:u w:val="single"/>
              </w:rPr>
              <w:t>Objective</w:t>
            </w:r>
          </w:p>
          <w:p w:rsidR="00110671" w:rsidRPr="009B58F1" w:rsidRDefault="00110671" w:rsidP="00C645F1">
            <w:pPr>
              <w:pStyle w:val="ListParagraph"/>
              <w:spacing w:after="0" w:line="240" w:lineRule="auto"/>
              <w:jc w:val="both"/>
              <w:rPr>
                <w:rFonts w:ascii="Arial" w:hAnsi="Arial" w:cs="Arial"/>
              </w:rPr>
            </w:pPr>
          </w:p>
        </w:tc>
      </w:tr>
      <w:tr w:rsidR="004F0C92" w:rsidRPr="009B58F1" w:rsidTr="00E92B34">
        <w:tc>
          <w:tcPr>
            <w:tcW w:w="9445" w:type="dxa"/>
          </w:tcPr>
          <w:p w:rsidR="004F0C92" w:rsidRPr="009B58F1" w:rsidRDefault="004F0C92" w:rsidP="00C645F1">
            <w:pPr>
              <w:pStyle w:val="HTMLPreformatted"/>
              <w:rPr>
                <w:rFonts w:ascii="Arial" w:hAnsi="Arial" w:cs="Arial"/>
                <w:color w:val="222222"/>
                <w:sz w:val="22"/>
                <w:szCs w:val="22"/>
                <w:u w:val="single"/>
                <w:lang w:val="en-US"/>
              </w:rPr>
            </w:pPr>
          </w:p>
          <w:p w:rsidR="000E50C0" w:rsidRPr="009B58F1" w:rsidRDefault="00987305" w:rsidP="002E6708">
            <w:r w:rsidRPr="009B58F1">
              <w:t xml:space="preserve">The project aims to contribute to the capacity of </w:t>
            </w:r>
            <w:proofErr w:type="spellStart"/>
            <w:r w:rsidRPr="009B58F1">
              <w:t>TISCs</w:t>
            </w:r>
            <w:proofErr w:type="spellEnd"/>
            <w:r w:rsidRPr="009B58F1">
              <w:t xml:space="preserve"> to offer services related to </w:t>
            </w:r>
            <w:r w:rsidR="006B3B40">
              <w:t xml:space="preserve">identifying and </w:t>
            </w:r>
            <w:r w:rsidR="00AA6C3D">
              <w:t>u</w:t>
            </w:r>
            <w:r w:rsidRPr="009B58F1">
              <w:t>sing inventions</w:t>
            </w:r>
            <w:r w:rsidR="002E6708">
              <w:t xml:space="preserve"> </w:t>
            </w:r>
            <w:r w:rsidRPr="009B58F1">
              <w:t>in the public domain.</w:t>
            </w:r>
          </w:p>
          <w:p w:rsidR="00987305" w:rsidRPr="009B58F1" w:rsidRDefault="00987305" w:rsidP="00ED1029">
            <w:pPr>
              <w:jc w:val="both"/>
            </w:pPr>
          </w:p>
        </w:tc>
      </w:tr>
      <w:tr w:rsidR="004F0C92" w:rsidRPr="009B58F1" w:rsidTr="00E92B34">
        <w:tc>
          <w:tcPr>
            <w:tcW w:w="9445" w:type="dxa"/>
          </w:tcPr>
          <w:p w:rsidR="00A93AB1" w:rsidRPr="009B58F1" w:rsidRDefault="00A93AB1" w:rsidP="00C645F1">
            <w:pPr>
              <w:pStyle w:val="ListParagraph"/>
              <w:spacing w:after="0" w:line="240" w:lineRule="auto"/>
              <w:jc w:val="both"/>
              <w:rPr>
                <w:rFonts w:ascii="Arial" w:hAnsi="Arial" w:cs="Arial"/>
                <w:u w:val="single"/>
              </w:rPr>
            </w:pPr>
          </w:p>
          <w:p w:rsidR="004F0C92" w:rsidRPr="009B58F1" w:rsidRDefault="00110671" w:rsidP="00110671">
            <w:pPr>
              <w:pStyle w:val="ListParagraph"/>
              <w:numPr>
                <w:ilvl w:val="1"/>
                <w:numId w:val="38"/>
              </w:numPr>
              <w:spacing w:after="0" w:line="240" w:lineRule="auto"/>
              <w:jc w:val="both"/>
              <w:rPr>
                <w:rFonts w:ascii="Arial" w:hAnsi="Arial" w:cs="Arial"/>
                <w:u w:val="single"/>
              </w:rPr>
            </w:pPr>
            <w:r w:rsidRPr="009B58F1">
              <w:rPr>
                <w:rFonts w:ascii="Arial" w:hAnsi="Arial" w:cs="Arial"/>
                <w:u w:val="single"/>
              </w:rPr>
              <w:t xml:space="preserve">Delivery </w:t>
            </w:r>
            <w:r w:rsidR="004F0C92" w:rsidRPr="009B58F1">
              <w:rPr>
                <w:rFonts w:ascii="Arial" w:hAnsi="Arial" w:cs="Arial"/>
                <w:u w:val="single"/>
              </w:rPr>
              <w:t>Strategy</w:t>
            </w:r>
          </w:p>
          <w:p w:rsidR="004F0C92" w:rsidRPr="009B58F1" w:rsidRDefault="004F0C92" w:rsidP="00C645F1">
            <w:pPr>
              <w:jc w:val="both"/>
              <w:rPr>
                <w:szCs w:val="22"/>
              </w:rPr>
            </w:pPr>
          </w:p>
        </w:tc>
      </w:tr>
      <w:tr w:rsidR="004F0C92" w:rsidRPr="009B58F1" w:rsidTr="00E92B34">
        <w:tc>
          <w:tcPr>
            <w:tcW w:w="9445" w:type="dxa"/>
          </w:tcPr>
          <w:p w:rsidR="00A93AB1" w:rsidRPr="009B58F1" w:rsidRDefault="00A93AB1" w:rsidP="00C645F1">
            <w:pPr>
              <w:rPr>
                <w:szCs w:val="22"/>
              </w:rPr>
            </w:pPr>
          </w:p>
          <w:p w:rsidR="004F0C92" w:rsidRPr="009B58F1" w:rsidRDefault="00ED1029" w:rsidP="00ED1029">
            <w:pPr>
              <w:rPr>
                <w:szCs w:val="22"/>
              </w:rPr>
            </w:pPr>
            <w:r w:rsidRPr="009B58F1">
              <w:rPr>
                <w:szCs w:val="22"/>
              </w:rPr>
              <w:t xml:space="preserve">The project implementation </w:t>
            </w:r>
            <w:r w:rsidR="00CB5249" w:rsidRPr="009B58F1">
              <w:rPr>
                <w:szCs w:val="22"/>
              </w:rPr>
              <w:t>will consist of the following activities:</w:t>
            </w:r>
          </w:p>
          <w:p w:rsidR="004F0C92" w:rsidRPr="009B58F1" w:rsidRDefault="004F0C92" w:rsidP="00CB5249">
            <w:pPr>
              <w:keepNext/>
              <w:keepLines/>
              <w:jc w:val="both"/>
              <w:rPr>
                <w:szCs w:val="22"/>
              </w:rPr>
            </w:pPr>
          </w:p>
          <w:p w:rsidR="00ED6A17" w:rsidRPr="00ED6A17" w:rsidRDefault="00DA3B3B" w:rsidP="00ED6A17">
            <w:pPr>
              <w:pStyle w:val="ListParagraph"/>
              <w:numPr>
                <w:ilvl w:val="0"/>
                <w:numId w:val="37"/>
              </w:numPr>
              <w:ind w:left="595" w:hanging="425"/>
              <w:rPr>
                <w:rFonts w:ascii="Arial" w:hAnsi="Arial" w:cs="Arial"/>
              </w:rPr>
            </w:pPr>
            <w:r>
              <w:rPr>
                <w:rFonts w:ascii="Arial" w:hAnsi="Arial" w:cs="Arial"/>
              </w:rPr>
              <w:t>An a</w:t>
            </w:r>
            <w:r w:rsidR="00ED6A17" w:rsidRPr="00ED6A17">
              <w:rPr>
                <w:rFonts w:ascii="Arial" w:hAnsi="Arial" w:cs="Arial"/>
              </w:rPr>
              <w:t>ssessment</w:t>
            </w:r>
            <w:r>
              <w:rPr>
                <w:rFonts w:ascii="Arial" w:hAnsi="Arial" w:cs="Arial"/>
              </w:rPr>
              <w:t xml:space="preserve"> </w:t>
            </w:r>
            <w:r w:rsidR="007554D9">
              <w:rPr>
                <w:rFonts w:ascii="Arial" w:hAnsi="Arial" w:cs="Arial"/>
              </w:rPr>
              <w:t>has already been carried</w:t>
            </w:r>
            <w:r>
              <w:rPr>
                <w:rFonts w:ascii="Arial" w:hAnsi="Arial" w:cs="Arial"/>
              </w:rPr>
              <w:t xml:space="preserve"> out </w:t>
            </w:r>
            <w:r w:rsidR="007554D9">
              <w:rPr>
                <w:rFonts w:ascii="Arial" w:hAnsi="Arial" w:cs="Arial"/>
              </w:rPr>
              <w:t>identify</w:t>
            </w:r>
            <w:r>
              <w:rPr>
                <w:rFonts w:ascii="Arial" w:hAnsi="Arial" w:cs="Arial"/>
              </w:rPr>
              <w:t>ing</w:t>
            </w:r>
            <w:r w:rsidR="007554D9">
              <w:rPr>
                <w:rFonts w:ascii="Arial" w:hAnsi="Arial" w:cs="Arial"/>
              </w:rPr>
              <w:t xml:space="preserve"> the most effective </w:t>
            </w:r>
            <w:r w:rsidR="00ED6A17" w:rsidRPr="00ED6A17">
              <w:rPr>
                <w:rFonts w:ascii="Arial" w:hAnsi="Arial" w:cs="Arial"/>
              </w:rPr>
              <w:t xml:space="preserve">approaches for providing training on tools </w:t>
            </w:r>
            <w:r>
              <w:rPr>
                <w:rFonts w:ascii="Arial" w:hAnsi="Arial" w:cs="Arial"/>
              </w:rPr>
              <w:t xml:space="preserve">on </w:t>
            </w:r>
            <w:r w:rsidR="00ED6A17" w:rsidRPr="00ED6A17">
              <w:rPr>
                <w:rFonts w:ascii="Arial" w:hAnsi="Arial" w:cs="Arial"/>
              </w:rPr>
              <w:t xml:space="preserve">inventions in the public domain, in particular using online platforms and taking into consideration the special situation and needs of developing countries. </w:t>
            </w:r>
            <w:r w:rsidR="007554D9">
              <w:rPr>
                <w:rFonts w:ascii="Arial" w:hAnsi="Arial" w:cs="Arial"/>
              </w:rPr>
              <w:t>The assessme</w:t>
            </w:r>
            <w:r w:rsidR="00ED6A17" w:rsidRPr="00ED6A17">
              <w:rPr>
                <w:rFonts w:ascii="Arial" w:hAnsi="Arial" w:cs="Arial"/>
              </w:rPr>
              <w:t>nt identified</w:t>
            </w:r>
            <w:r w:rsidR="001057FD">
              <w:rPr>
                <w:rFonts w:ascii="Arial" w:hAnsi="Arial" w:cs="Arial"/>
              </w:rPr>
              <w:t>,</w:t>
            </w:r>
            <w:r w:rsidR="00ED6A17" w:rsidRPr="00ED6A17">
              <w:rPr>
                <w:rFonts w:ascii="Arial" w:hAnsi="Arial" w:cs="Arial"/>
              </w:rPr>
              <w:t xml:space="preserve"> among other things</w:t>
            </w:r>
            <w:r w:rsidR="001057FD">
              <w:rPr>
                <w:rFonts w:ascii="Arial" w:hAnsi="Arial" w:cs="Arial"/>
              </w:rPr>
              <w:t>,</w:t>
            </w:r>
            <w:r w:rsidR="00ED6A17" w:rsidRPr="00ED6A17">
              <w:rPr>
                <w:rFonts w:ascii="Arial" w:hAnsi="Arial" w:cs="Arial"/>
              </w:rPr>
              <w:t xml:space="preserve"> the need for the training materials </w:t>
            </w:r>
            <w:r w:rsidR="00ED6A17">
              <w:rPr>
                <w:rFonts w:ascii="Arial" w:hAnsi="Arial" w:cs="Arial"/>
              </w:rPr>
              <w:t>t</w:t>
            </w:r>
            <w:r w:rsidR="00ED6A17" w:rsidRPr="00ED6A17">
              <w:rPr>
                <w:rFonts w:ascii="Arial" w:hAnsi="Arial" w:cs="Arial"/>
              </w:rPr>
              <w:t xml:space="preserve">o be prepared in a modular format </w:t>
            </w:r>
            <w:r w:rsidR="006F6FB4">
              <w:rPr>
                <w:rFonts w:ascii="Arial" w:hAnsi="Arial" w:cs="Arial"/>
              </w:rPr>
              <w:t xml:space="preserve">to </w:t>
            </w:r>
            <w:r w:rsidR="00ED6A17" w:rsidRPr="00ED6A17">
              <w:rPr>
                <w:rFonts w:ascii="Arial" w:hAnsi="Arial" w:cs="Arial"/>
              </w:rPr>
              <w:t>includ</w:t>
            </w:r>
            <w:r w:rsidR="006F6FB4">
              <w:rPr>
                <w:rFonts w:ascii="Arial" w:hAnsi="Arial" w:cs="Arial"/>
              </w:rPr>
              <w:t xml:space="preserve">e </w:t>
            </w:r>
            <w:r w:rsidR="00ED6A17" w:rsidRPr="00ED6A17">
              <w:rPr>
                <w:rFonts w:ascii="Arial" w:hAnsi="Arial" w:cs="Arial"/>
              </w:rPr>
              <w:t>the following elements:</w:t>
            </w:r>
          </w:p>
          <w:p w:rsidR="00ED6A17" w:rsidRPr="00ED6A17" w:rsidRDefault="00ED6A17" w:rsidP="00ED6A17">
            <w:pPr>
              <w:pStyle w:val="ListParagraph"/>
              <w:ind w:left="595"/>
              <w:rPr>
                <w:rFonts w:ascii="Arial" w:hAnsi="Arial" w:cs="Arial"/>
              </w:rPr>
            </w:pPr>
          </w:p>
          <w:p w:rsidR="00ED6A17" w:rsidRPr="00ED6A17" w:rsidRDefault="00ED6A17" w:rsidP="00ED6A17">
            <w:pPr>
              <w:pStyle w:val="ListParagraph"/>
              <w:numPr>
                <w:ilvl w:val="0"/>
                <w:numId w:val="40"/>
              </w:numPr>
              <w:rPr>
                <w:rFonts w:ascii="Arial" w:hAnsi="Arial" w:cs="Arial"/>
              </w:rPr>
            </w:pPr>
            <w:r w:rsidRPr="00ED6A17">
              <w:rPr>
                <w:rFonts w:ascii="Arial" w:hAnsi="Arial" w:cs="Arial"/>
              </w:rPr>
              <w:t>Video tutorials, introducing key concepts for each step in the stage-gate process;</w:t>
            </w:r>
          </w:p>
          <w:p w:rsidR="00ED6A17" w:rsidRPr="00ED6A17" w:rsidRDefault="00ED6A17" w:rsidP="00ED6A17">
            <w:pPr>
              <w:pStyle w:val="ListParagraph"/>
              <w:numPr>
                <w:ilvl w:val="0"/>
                <w:numId w:val="40"/>
              </w:numPr>
              <w:rPr>
                <w:rFonts w:ascii="Arial" w:hAnsi="Arial" w:cs="Arial"/>
              </w:rPr>
            </w:pPr>
            <w:r w:rsidRPr="00ED6A17">
              <w:rPr>
                <w:rFonts w:ascii="Arial" w:hAnsi="Arial" w:cs="Arial"/>
              </w:rPr>
              <w:t>Guidance documents, detailing how to effectively use the tools associated with each step in the stage-gate process;</w:t>
            </w:r>
          </w:p>
          <w:p w:rsidR="00ED6A17" w:rsidRPr="00ED6A17" w:rsidRDefault="00ED6A17" w:rsidP="00ED6A17">
            <w:pPr>
              <w:pStyle w:val="ListParagraph"/>
              <w:numPr>
                <w:ilvl w:val="0"/>
                <w:numId w:val="40"/>
              </w:numPr>
              <w:rPr>
                <w:rFonts w:ascii="Arial" w:hAnsi="Arial" w:cs="Arial"/>
              </w:rPr>
            </w:pPr>
            <w:r w:rsidRPr="00ED6A17">
              <w:rPr>
                <w:rFonts w:ascii="Arial" w:hAnsi="Arial" w:cs="Arial"/>
              </w:rPr>
              <w:t>Datasets, providing the basis for practical exercises in instructor-led in-class or online seminars.</w:t>
            </w:r>
          </w:p>
          <w:p w:rsidR="00ED6A17" w:rsidRDefault="00ED6A17" w:rsidP="00ED6A17">
            <w:pPr>
              <w:pStyle w:val="ListParagraph"/>
              <w:ind w:left="595"/>
              <w:rPr>
                <w:rFonts w:ascii="Arial" w:hAnsi="Arial" w:cs="Arial"/>
              </w:rPr>
            </w:pPr>
          </w:p>
          <w:p w:rsidR="005B5545" w:rsidRDefault="005B5545" w:rsidP="001057FD">
            <w:pPr>
              <w:pStyle w:val="ListParagraph"/>
              <w:numPr>
                <w:ilvl w:val="0"/>
                <w:numId w:val="37"/>
              </w:numPr>
              <w:ind w:left="595" w:hanging="425"/>
              <w:rPr>
                <w:rFonts w:ascii="Arial" w:hAnsi="Arial" w:cs="Arial"/>
              </w:rPr>
            </w:pPr>
            <w:r w:rsidRPr="009B58F1">
              <w:rPr>
                <w:rFonts w:ascii="Arial" w:hAnsi="Arial" w:cs="Arial"/>
              </w:rPr>
              <w:t xml:space="preserve">Preparation of a </w:t>
            </w:r>
            <w:r w:rsidR="00ED6A17">
              <w:rPr>
                <w:rFonts w:ascii="Arial" w:hAnsi="Arial" w:cs="Arial"/>
              </w:rPr>
              <w:t>toolkit comprising tools</w:t>
            </w:r>
            <w:r w:rsidRPr="009B58F1">
              <w:rPr>
                <w:rFonts w:ascii="Arial" w:hAnsi="Arial" w:cs="Arial"/>
              </w:rPr>
              <w:t xml:space="preserve"> building on the key concepts and steps involved in </w:t>
            </w:r>
            <w:r w:rsidR="00DA3B3B">
              <w:rPr>
                <w:rFonts w:ascii="Arial" w:hAnsi="Arial" w:cs="Arial"/>
              </w:rPr>
              <w:t xml:space="preserve">identifying and </w:t>
            </w:r>
            <w:r w:rsidRPr="009B58F1">
              <w:rPr>
                <w:rFonts w:ascii="Arial" w:hAnsi="Arial" w:cs="Arial"/>
              </w:rPr>
              <w:t>using inventions in the public domain, as detailed in</w:t>
            </w:r>
            <w:r w:rsidR="001057FD">
              <w:rPr>
                <w:rFonts w:ascii="Arial" w:hAnsi="Arial" w:cs="Arial"/>
              </w:rPr>
              <w:t xml:space="preserve"> the two guides,</w:t>
            </w:r>
            <w:r w:rsidRPr="009B58F1">
              <w:rPr>
                <w:rFonts w:ascii="Arial" w:hAnsi="Arial" w:cs="Arial"/>
              </w:rPr>
              <w:t xml:space="preserve"> </w:t>
            </w:r>
            <w:r w:rsidR="001057FD">
              <w:rPr>
                <w:rFonts w:ascii="Arial" w:hAnsi="Arial" w:cs="Arial"/>
              </w:rPr>
              <w:t>“</w:t>
            </w:r>
            <w:hyperlink r:id="rId13" w:history="1">
              <w:r w:rsidR="00063932" w:rsidRPr="00D76BD9">
                <w:rPr>
                  <w:rStyle w:val="Hyperlink"/>
                  <w:rFonts w:ascii="Arial" w:hAnsi="Arial" w:cs="Arial"/>
                </w:rPr>
                <w:t>Identifying Inventions in the Public Domain: A Guide for Inventors and Entrepreneurs</w:t>
              </w:r>
            </w:hyperlink>
            <w:r w:rsidR="001057FD">
              <w:rPr>
                <w:rFonts w:ascii="Arial" w:hAnsi="Arial" w:cs="Arial"/>
              </w:rPr>
              <w:t>”</w:t>
            </w:r>
            <w:r w:rsidR="00063932">
              <w:rPr>
                <w:rFonts w:ascii="Arial" w:hAnsi="Arial" w:cs="Arial"/>
              </w:rPr>
              <w:t xml:space="preserve"> and </w:t>
            </w:r>
            <w:r w:rsidR="001057FD">
              <w:rPr>
                <w:rFonts w:ascii="Arial" w:hAnsi="Arial" w:cs="Arial"/>
              </w:rPr>
              <w:t>“</w:t>
            </w:r>
            <w:hyperlink r:id="rId14" w:history="1">
              <w:r w:rsidR="00063932" w:rsidRPr="00D76BD9">
                <w:rPr>
                  <w:rStyle w:val="Hyperlink"/>
                  <w:rFonts w:ascii="Arial" w:hAnsi="Arial" w:cs="Arial"/>
                </w:rPr>
                <w:t>Using Inventions in the Public Domain: A Guide for Inventors and Entrepreneurs</w:t>
              </w:r>
            </w:hyperlink>
            <w:r w:rsidR="001057FD">
              <w:rPr>
                <w:rFonts w:ascii="Arial" w:hAnsi="Arial" w:cs="Arial"/>
              </w:rPr>
              <w:t>”</w:t>
            </w:r>
            <w:r w:rsidRPr="009B58F1">
              <w:rPr>
                <w:rFonts w:ascii="Arial" w:hAnsi="Arial" w:cs="Arial"/>
              </w:rPr>
              <w:t xml:space="preserve">. </w:t>
            </w:r>
            <w:r w:rsidR="00ED6A17">
              <w:rPr>
                <w:rFonts w:ascii="Arial" w:hAnsi="Arial" w:cs="Arial"/>
              </w:rPr>
              <w:t>The toolkit</w:t>
            </w:r>
            <w:r w:rsidRPr="009B58F1">
              <w:rPr>
                <w:rFonts w:ascii="Arial" w:hAnsi="Arial" w:cs="Arial"/>
              </w:rPr>
              <w:t xml:space="preserve"> will cover four phases of new product or service development, namely</w:t>
            </w:r>
            <w:r w:rsidR="001057FD">
              <w:rPr>
                <w:rFonts w:ascii="Arial" w:hAnsi="Arial" w:cs="Arial"/>
              </w:rPr>
              <w:t>:</w:t>
            </w:r>
            <w:r w:rsidRPr="009B58F1">
              <w:rPr>
                <w:rFonts w:ascii="Arial" w:hAnsi="Arial" w:cs="Arial"/>
              </w:rPr>
              <w:t xml:space="preserve"> design</w:t>
            </w:r>
            <w:r w:rsidR="001057FD">
              <w:rPr>
                <w:rFonts w:ascii="Arial" w:hAnsi="Arial" w:cs="Arial"/>
              </w:rPr>
              <w:t>;</w:t>
            </w:r>
            <w:r w:rsidRPr="009B58F1">
              <w:rPr>
                <w:rFonts w:ascii="Arial" w:hAnsi="Arial" w:cs="Arial"/>
              </w:rPr>
              <w:t xml:space="preserve"> testing</w:t>
            </w:r>
            <w:r w:rsidR="001057FD">
              <w:rPr>
                <w:rFonts w:ascii="Arial" w:hAnsi="Arial" w:cs="Arial"/>
              </w:rPr>
              <w:t>;</w:t>
            </w:r>
            <w:r w:rsidRPr="009B58F1">
              <w:rPr>
                <w:rFonts w:ascii="Arial" w:hAnsi="Arial" w:cs="Arial"/>
              </w:rPr>
              <w:t xml:space="preserve"> launch</w:t>
            </w:r>
            <w:r w:rsidR="001057FD">
              <w:rPr>
                <w:rFonts w:ascii="Arial" w:hAnsi="Arial" w:cs="Arial"/>
              </w:rPr>
              <w:t>;</w:t>
            </w:r>
            <w:r w:rsidRPr="009B58F1">
              <w:rPr>
                <w:rFonts w:ascii="Arial" w:hAnsi="Arial" w:cs="Arial"/>
              </w:rPr>
              <w:t xml:space="preserve"> and post-launch</w:t>
            </w:r>
            <w:r w:rsidR="001057FD">
              <w:rPr>
                <w:rFonts w:ascii="Arial" w:hAnsi="Arial" w:cs="Arial"/>
              </w:rPr>
              <w:t>;</w:t>
            </w:r>
            <w:r w:rsidRPr="009B58F1">
              <w:rPr>
                <w:rFonts w:ascii="Arial" w:hAnsi="Arial" w:cs="Arial"/>
              </w:rPr>
              <w:t xml:space="preserve"> and </w:t>
            </w:r>
            <w:r w:rsidR="006F6FB4">
              <w:rPr>
                <w:rFonts w:ascii="Arial" w:hAnsi="Arial" w:cs="Arial"/>
              </w:rPr>
              <w:t xml:space="preserve">also </w:t>
            </w:r>
            <w:r w:rsidRPr="009B58F1">
              <w:rPr>
                <w:rFonts w:ascii="Arial" w:hAnsi="Arial" w:cs="Arial"/>
              </w:rPr>
              <w:t>comprise tools such as spreadsheets and templates, with guidance on the effective use of each tool.</w:t>
            </w:r>
          </w:p>
          <w:p w:rsidR="00ED6A17" w:rsidRDefault="00ED6A17" w:rsidP="00ED6A17">
            <w:pPr>
              <w:pStyle w:val="ListParagraph"/>
              <w:ind w:left="595"/>
              <w:rPr>
                <w:rFonts w:ascii="Arial" w:hAnsi="Arial" w:cs="Arial"/>
              </w:rPr>
            </w:pPr>
          </w:p>
          <w:p w:rsidR="00ED6A17" w:rsidRPr="00ED6A17" w:rsidRDefault="00ED6A17" w:rsidP="00ED6A17">
            <w:pPr>
              <w:pStyle w:val="ListParagraph"/>
              <w:ind w:left="595"/>
              <w:rPr>
                <w:rFonts w:ascii="Arial" w:hAnsi="Arial" w:cs="Arial"/>
              </w:rPr>
            </w:pPr>
            <w:r>
              <w:rPr>
                <w:rFonts w:ascii="Arial" w:hAnsi="Arial" w:cs="Arial"/>
              </w:rPr>
              <w:t>The toolkit will</w:t>
            </w:r>
            <w:r w:rsidRPr="00ED6A17">
              <w:rPr>
                <w:rFonts w:ascii="Arial" w:hAnsi="Arial" w:cs="Arial"/>
              </w:rPr>
              <w:t xml:space="preserve"> cover the following steps in a “stage-gate” process for facilitating analysis and decision-making in the use of inventions in the public domain for new product development (NPD):</w:t>
            </w:r>
          </w:p>
          <w:p w:rsidR="00ED6A17" w:rsidRPr="00ED6A17" w:rsidRDefault="00ED6A17" w:rsidP="00ED6A17">
            <w:pPr>
              <w:pStyle w:val="ListParagraph"/>
              <w:ind w:left="595"/>
              <w:rPr>
                <w:rFonts w:ascii="Arial" w:hAnsi="Arial" w:cs="Arial"/>
              </w:rPr>
            </w:pPr>
          </w:p>
          <w:p w:rsidR="0064073D" w:rsidRPr="00ED6A17" w:rsidRDefault="0064073D" w:rsidP="0064073D">
            <w:pPr>
              <w:pStyle w:val="ListParagraph"/>
              <w:numPr>
                <w:ilvl w:val="0"/>
                <w:numId w:val="42"/>
              </w:numPr>
              <w:rPr>
                <w:rFonts w:ascii="Arial" w:hAnsi="Arial" w:cs="Arial"/>
              </w:rPr>
            </w:pPr>
            <w:r w:rsidRPr="00ED6A17">
              <w:rPr>
                <w:rFonts w:ascii="Arial" w:hAnsi="Arial" w:cs="Arial"/>
              </w:rPr>
              <w:t xml:space="preserve">Freedom to Operate </w:t>
            </w:r>
            <w:r w:rsidR="004172F6">
              <w:rPr>
                <w:rFonts w:ascii="Arial" w:hAnsi="Arial" w:cs="Arial"/>
              </w:rPr>
              <w:t>analysis</w:t>
            </w:r>
            <w:r w:rsidRPr="00ED6A17">
              <w:rPr>
                <w:rFonts w:ascii="Arial" w:hAnsi="Arial" w:cs="Arial"/>
              </w:rPr>
              <w:t>;</w:t>
            </w:r>
          </w:p>
          <w:p w:rsidR="00ED6A17" w:rsidRPr="00ED6A17" w:rsidRDefault="00ED6A17" w:rsidP="00ED6A17">
            <w:pPr>
              <w:pStyle w:val="ListParagraph"/>
              <w:numPr>
                <w:ilvl w:val="0"/>
                <w:numId w:val="42"/>
              </w:numPr>
              <w:rPr>
                <w:rFonts w:ascii="Arial" w:hAnsi="Arial" w:cs="Arial"/>
              </w:rPr>
            </w:pPr>
            <w:r w:rsidRPr="00ED6A17">
              <w:rPr>
                <w:rFonts w:ascii="Arial" w:hAnsi="Arial" w:cs="Arial"/>
              </w:rPr>
              <w:t>NPD project charter;</w:t>
            </w:r>
          </w:p>
          <w:p w:rsidR="00ED6A17" w:rsidRPr="00ED6A17" w:rsidRDefault="00ED6A17" w:rsidP="00ED6A17">
            <w:pPr>
              <w:pStyle w:val="ListParagraph"/>
              <w:numPr>
                <w:ilvl w:val="0"/>
                <w:numId w:val="42"/>
              </w:numPr>
              <w:rPr>
                <w:rFonts w:ascii="Arial" w:hAnsi="Arial" w:cs="Arial"/>
              </w:rPr>
            </w:pPr>
            <w:r w:rsidRPr="00ED6A17">
              <w:rPr>
                <w:rFonts w:ascii="Arial" w:hAnsi="Arial" w:cs="Arial"/>
              </w:rPr>
              <w:t>NPD action plan;</w:t>
            </w:r>
          </w:p>
          <w:p w:rsidR="00ED6A17" w:rsidRPr="00ED6A17" w:rsidRDefault="00ED6A17" w:rsidP="00ED6A17">
            <w:pPr>
              <w:pStyle w:val="ListParagraph"/>
              <w:numPr>
                <w:ilvl w:val="0"/>
                <w:numId w:val="42"/>
              </w:numPr>
              <w:rPr>
                <w:rFonts w:ascii="Arial" w:hAnsi="Arial" w:cs="Arial"/>
              </w:rPr>
            </w:pPr>
            <w:r w:rsidRPr="00ED6A17">
              <w:rPr>
                <w:rFonts w:ascii="Arial" w:hAnsi="Arial" w:cs="Arial"/>
              </w:rPr>
              <w:t>Voice of the Customer;</w:t>
            </w:r>
          </w:p>
          <w:p w:rsidR="00ED6A17" w:rsidRPr="00ED6A17" w:rsidRDefault="00ED6A17" w:rsidP="00ED6A17">
            <w:pPr>
              <w:pStyle w:val="ListParagraph"/>
              <w:numPr>
                <w:ilvl w:val="0"/>
                <w:numId w:val="42"/>
              </w:numPr>
              <w:rPr>
                <w:rFonts w:ascii="Arial" w:hAnsi="Arial" w:cs="Arial"/>
              </w:rPr>
            </w:pPr>
            <w:r w:rsidRPr="00ED6A17">
              <w:rPr>
                <w:rFonts w:ascii="Arial" w:hAnsi="Arial" w:cs="Arial"/>
              </w:rPr>
              <w:t>Competitive advantage;</w:t>
            </w:r>
          </w:p>
          <w:p w:rsidR="00ED6A17" w:rsidRPr="00ED6A17" w:rsidRDefault="00ED6A17" w:rsidP="00ED6A17">
            <w:pPr>
              <w:pStyle w:val="ListParagraph"/>
              <w:numPr>
                <w:ilvl w:val="0"/>
                <w:numId w:val="42"/>
              </w:numPr>
              <w:rPr>
                <w:rFonts w:ascii="Arial" w:hAnsi="Arial" w:cs="Arial"/>
              </w:rPr>
            </w:pPr>
            <w:r w:rsidRPr="00ED6A17">
              <w:rPr>
                <w:rFonts w:ascii="Arial" w:hAnsi="Arial" w:cs="Arial"/>
              </w:rPr>
              <w:t>Value chain analysis;</w:t>
            </w:r>
          </w:p>
          <w:p w:rsidR="00ED6A17" w:rsidRPr="00ED6A17" w:rsidRDefault="00ED6A17" w:rsidP="00ED6A17">
            <w:pPr>
              <w:pStyle w:val="ListParagraph"/>
              <w:numPr>
                <w:ilvl w:val="0"/>
                <w:numId w:val="42"/>
              </w:numPr>
              <w:rPr>
                <w:rFonts w:ascii="Arial" w:hAnsi="Arial" w:cs="Arial"/>
              </w:rPr>
            </w:pPr>
            <w:proofErr w:type="spellStart"/>
            <w:r w:rsidRPr="00ED6A17">
              <w:rPr>
                <w:rFonts w:ascii="Arial" w:hAnsi="Arial" w:cs="Arial"/>
              </w:rPr>
              <w:t>SWOT</w:t>
            </w:r>
            <w:proofErr w:type="spellEnd"/>
            <w:r w:rsidRPr="00ED6A17">
              <w:rPr>
                <w:rFonts w:ascii="Arial" w:hAnsi="Arial" w:cs="Arial"/>
              </w:rPr>
              <w:t xml:space="preserve"> analysis.</w:t>
            </w:r>
          </w:p>
          <w:p w:rsidR="006F6FB4" w:rsidRPr="006F6FB4" w:rsidRDefault="006F6FB4" w:rsidP="006F6FB4"/>
          <w:p w:rsidR="00662DEF" w:rsidRPr="006F6FB4" w:rsidRDefault="005B5545" w:rsidP="00142B8F">
            <w:pPr>
              <w:pStyle w:val="ListParagraph"/>
              <w:numPr>
                <w:ilvl w:val="0"/>
                <w:numId w:val="37"/>
              </w:numPr>
              <w:ind w:left="599" w:hanging="425"/>
              <w:rPr>
                <w:rFonts w:ascii="Arial" w:hAnsi="Arial" w:cs="Arial"/>
              </w:rPr>
            </w:pPr>
            <w:r w:rsidRPr="009B58F1">
              <w:rPr>
                <w:rFonts w:ascii="Arial" w:hAnsi="Arial" w:cs="Arial"/>
              </w:rPr>
              <w:t xml:space="preserve">Preparation of new training materials for </w:t>
            </w:r>
            <w:proofErr w:type="spellStart"/>
            <w:r w:rsidRPr="009B58F1">
              <w:rPr>
                <w:rFonts w:ascii="Arial" w:hAnsi="Arial" w:cs="Arial"/>
              </w:rPr>
              <w:t>TISCs</w:t>
            </w:r>
            <w:proofErr w:type="spellEnd"/>
            <w:r w:rsidRPr="009B58F1">
              <w:rPr>
                <w:rFonts w:ascii="Arial" w:hAnsi="Arial" w:cs="Arial"/>
              </w:rPr>
              <w:t xml:space="preserve"> based on the toolkit on </w:t>
            </w:r>
            <w:r w:rsidR="00DA3B3B">
              <w:rPr>
                <w:rFonts w:ascii="Arial" w:hAnsi="Arial" w:cs="Arial"/>
              </w:rPr>
              <w:t>identifying and using</w:t>
            </w:r>
            <w:r w:rsidRPr="009B58F1">
              <w:rPr>
                <w:rFonts w:ascii="Arial" w:hAnsi="Arial" w:cs="Arial"/>
              </w:rPr>
              <w:t xml:space="preserve"> i</w:t>
            </w:r>
            <w:r w:rsidR="00D10764" w:rsidRPr="009B58F1">
              <w:rPr>
                <w:rFonts w:ascii="Arial" w:hAnsi="Arial" w:cs="Arial"/>
              </w:rPr>
              <w:t xml:space="preserve">nventions in the public domain. </w:t>
            </w:r>
            <w:r w:rsidR="00D30CFE" w:rsidRPr="00ED6A17">
              <w:rPr>
                <w:rFonts w:ascii="Arial" w:hAnsi="Arial" w:cs="Arial"/>
              </w:rPr>
              <w:t xml:space="preserve"> The training materials w</w:t>
            </w:r>
            <w:r w:rsidR="006F6FB4">
              <w:rPr>
                <w:rFonts w:ascii="Arial" w:hAnsi="Arial" w:cs="Arial"/>
              </w:rPr>
              <w:t>ill</w:t>
            </w:r>
            <w:r w:rsidR="00D30CFE" w:rsidRPr="00ED6A17">
              <w:rPr>
                <w:rFonts w:ascii="Arial" w:hAnsi="Arial" w:cs="Arial"/>
              </w:rPr>
              <w:t xml:space="preserve"> provide the foundation for a modular blended-learning course, providing learners with the necessary knowledge and skills to make systematic decisions on NPD projects, including</w:t>
            </w:r>
            <w:r w:rsidR="00FC2EB1">
              <w:rPr>
                <w:rFonts w:ascii="Arial" w:hAnsi="Arial" w:cs="Arial"/>
              </w:rPr>
              <w:t xml:space="preserve"> assessing whether they are likely to have freedom to operate with respect to inventions to be incorporated into new or improved products or services, determining how to create value from products or services incorporating these inventions, and identifying and addressing potential risks to obtaining value from these products and services. T</w:t>
            </w:r>
            <w:r w:rsidRPr="006F6FB4">
              <w:rPr>
                <w:rFonts w:ascii="Arial" w:hAnsi="Arial" w:cs="Arial"/>
              </w:rPr>
              <w:t>he training materials will comprise</w:t>
            </w:r>
            <w:r w:rsidR="00FC2EB1">
              <w:rPr>
                <w:rFonts w:ascii="Arial" w:hAnsi="Arial" w:cs="Arial"/>
              </w:rPr>
              <w:t xml:space="preserve"> video tutorials, guidance documents, and data sets identified through the assessment described</w:t>
            </w:r>
            <w:r w:rsidR="00063932">
              <w:rPr>
                <w:rFonts w:ascii="Arial" w:hAnsi="Arial" w:cs="Arial"/>
              </w:rPr>
              <w:t xml:space="preserve"> paragraph </w:t>
            </w:r>
            <w:proofErr w:type="gramStart"/>
            <w:r w:rsidR="00063932">
              <w:rPr>
                <w:rFonts w:ascii="Arial" w:hAnsi="Arial" w:cs="Arial"/>
              </w:rPr>
              <w:t>A</w:t>
            </w:r>
            <w:proofErr w:type="gramEnd"/>
            <w:r w:rsidR="00FC2EB1">
              <w:rPr>
                <w:rFonts w:ascii="Arial" w:hAnsi="Arial" w:cs="Arial"/>
              </w:rPr>
              <w:t xml:space="preserve"> above</w:t>
            </w:r>
            <w:r w:rsidRPr="006F6FB4">
              <w:rPr>
                <w:rFonts w:ascii="Arial" w:hAnsi="Arial" w:cs="Arial"/>
              </w:rPr>
              <w:t>.</w:t>
            </w:r>
          </w:p>
          <w:p w:rsidR="00662DEF" w:rsidRPr="009B58F1" w:rsidRDefault="00662DEF" w:rsidP="00662DEF">
            <w:pPr>
              <w:pStyle w:val="ListParagraph"/>
              <w:ind w:left="595"/>
              <w:rPr>
                <w:rFonts w:ascii="Arial" w:hAnsi="Arial" w:cs="Arial"/>
              </w:rPr>
            </w:pPr>
          </w:p>
          <w:p w:rsidR="00423431" w:rsidRPr="00423431" w:rsidRDefault="005B5545" w:rsidP="00423431">
            <w:pPr>
              <w:pStyle w:val="ListParagraph"/>
              <w:numPr>
                <w:ilvl w:val="0"/>
                <w:numId w:val="37"/>
              </w:numPr>
              <w:ind w:left="595" w:hanging="425"/>
              <w:rPr>
                <w:rFonts w:ascii="Arial" w:hAnsi="Arial" w:cs="Arial"/>
              </w:rPr>
            </w:pPr>
            <w:r w:rsidRPr="009B58F1">
              <w:rPr>
                <w:rFonts w:ascii="Arial" w:hAnsi="Arial" w:cs="Arial"/>
              </w:rPr>
              <w:t>Implementation of training seminars us</w:t>
            </w:r>
            <w:r w:rsidR="00D10764" w:rsidRPr="009B58F1">
              <w:rPr>
                <w:rFonts w:ascii="Arial" w:hAnsi="Arial" w:cs="Arial"/>
              </w:rPr>
              <w:t xml:space="preserve">ing the new training materials.  </w:t>
            </w:r>
            <w:r w:rsidRPr="009B58F1">
              <w:rPr>
                <w:rFonts w:ascii="Arial" w:hAnsi="Arial" w:cs="Arial"/>
              </w:rPr>
              <w:t>The training seminars will serve to pilot the toolkits and training materials, providing insights into the specific needs and context of developing countries</w:t>
            </w:r>
            <w:r w:rsidR="00BF4AB2">
              <w:rPr>
                <w:rFonts w:ascii="Arial" w:hAnsi="Arial" w:cs="Arial"/>
              </w:rPr>
              <w:t xml:space="preserve"> based on the assessment described in para</w:t>
            </w:r>
            <w:r w:rsidR="006B3B40">
              <w:rPr>
                <w:rFonts w:ascii="Arial" w:hAnsi="Arial" w:cs="Arial"/>
              </w:rPr>
              <w:t>graph</w:t>
            </w:r>
            <w:r w:rsidR="00BF4AB2">
              <w:rPr>
                <w:rFonts w:ascii="Arial" w:hAnsi="Arial" w:cs="Arial"/>
              </w:rPr>
              <w:t xml:space="preserve"> </w:t>
            </w:r>
            <w:proofErr w:type="gramStart"/>
            <w:r w:rsidR="00BF4AB2">
              <w:rPr>
                <w:rFonts w:ascii="Arial" w:hAnsi="Arial" w:cs="Arial"/>
              </w:rPr>
              <w:t>A</w:t>
            </w:r>
            <w:proofErr w:type="gramEnd"/>
            <w:r w:rsidR="006B3B40">
              <w:rPr>
                <w:rFonts w:ascii="Arial" w:hAnsi="Arial" w:cs="Arial"/>
              </w:rPr>
              <w:t xml:space="preserve"> above</w:t>
            </w:r>
            <w:r w:rsidRPr="009B58F1">
              <w:rPr>
                <w:rFonts w:ascii="Arial" w:hAnsi="Arial" w:cs="Arial"/>
              </w:rPr>
              <w:t>.</w:t>
            </w:r>
          </w:p>
          <w:p w:rsidR="00C4733C" w:rsidRDefault="00423431" w:rsidP="00BF4AB2">
            <w:pPr>
              <w:rPr>
                <w:szCs w:val="22"/>
              </w:rPr>
            </w:pPr>
            <w:r>
              <w:rPr>
                <w:szCs w:val="22"/>
              </w:rPr>
              <w:t xml:space="preserve">The above-mentioned activities take into consideration the </w:t>
            </w:r>
            <w:r w:rsidR="006A4684">
              <w:rPr>
                <w:szCs w:val="22"/>
              </w:rPr>
              <w:t xml:space="preserve">uncertainties and </w:t>
            </w:r>
            <w:r>
              <w:rPr>
                <w:szCs w:val="22"/>
              </w:rPr>
              <w:t xml:space="preserve">limitations imposed by the </w:t>
            </w:r>
            <w:proofErr w:type="spellStart"/>
            <w:r>
              <w:rPr>
                <w:szCs w:val="22"/>
              </w:rPr>
              <w:t>COVID</w:t>
            </w:r>
            <w:proofErr w:type="spellEnd"/>
            <w:r>
              <w:rPr>
                <w:szCs w:val="22"/>
              </w:rPr>
              <w:t>-19 pandemic.  Hence, the</w:t>
            </w:r>
            <w:r w:rsidR="00C4733C">
              <w:rPr>
                <w:szCs w:val="22"/>
              </w:rPr>
              <w:t xml:space="preserve"> </w:t>
            </w:r>
            <w:r w:rsidR="006B3B40">
              <w:rPr>
                <w:szCs w:val="22"/>
              </w:rPr>
              <w:t xml:space="preserve">proposed </w:t>
            </w:r>
            <w:r w:rsidR="00C4733C">
              <w:rPr>
                <w:szCs w:val="22"/>
              </w:rPr>
              <w:t>project’s</w:t>
            </w:r>
            <w:r>
              <w:rPr>
                <w:szCs w:val="22"/>
              </w:rPr>
              <w:t xml:space="preserve"> delivery strategy</w:t>
            </w:r>
            <w:r w:rsidR="00C4733C">
              <w:rPr>
                <w:szCs w:val="22"/>
              </w:rPr>
              <w:t xml:space="preserve"> c</w:t>
            </w:r>
            <w:r w:rsidR="00BF4AB2">
              <w:rPr>
                <w:szCs w:val="22"/>
              </w:rPr>
              <w:t>an</w:t>
            </w:r>
            <w:r w:rsidR="00C4733C">
              <w:rPr>
                <w:szCs w:val="22"/>
              </w:rPr>
              <w:t xml:space="preserve"> be </w:t>
            </w:r>
            <w:r w:rsidR="00BF4AB2">
              <w:rPr>
                <w:szCs w:val="22"/>
              </w:rPr>
              <w:t>implemented</w:t>
            </w:r>
            <w:r w:rsidR="00C4733C">
              <w:rPr>
                <w:szCs w:val="22"/>
              </w:rPr>
              <w:t xml:space="preserve"> in</w:t>
            </w:r>
            <w:r w:rsidR="00BF4AB2">
              <w:rPr>
                <w:szCs w:val="22"/>
              </w:rPr>
              <w:t xml:space="preserve"> either a hybrid </w:t>
            </w:r>
            <w:r w:rsidR="00C4733C">
              <w:rPr>
                <w:szCs w:val="22"/>
              </w:rPr>
              <w:t xml:space="preserve">or virtual environment. </w:t>
            </w:r>
          </w:p>
          <w:p w:rsidR="00BF4AB2" w:rsidRPr="009B58F1" w:rsidRDefault="00BF4AB2" w:rsidP="00BF4AB2">
            <w:pPr>
              <w:rPr>
                <w:szCs w:val="22"/>
              </w:rPr>
            </w:pPr>
          </w:p>
        </w:tc>
      </w:tr>
      <w:tr w:rsidR="00BC230A" w:rsidRPr="009B58F1" w:rsidTr="00E92B34">
        <w:tc>
          <w:tcPr>
            <w:tcW w:w="9445" w:type="dxa"/>
          </w:tcPr>
          <w:p w:rsidR="00144F75" w:rsidRPr="00144F75" w:rsidRDefault="00144F75" w:rsidP="00144F75">
            <w:pPr>
              <w:pStyle w:val="ListParagraph"/>
              <w:spacing w:after="0" w:line="240" w:lineRule="auto"/>
              <w:jc w:val="both"/>
              <w:rPr>
                <w:rFonts w:ascii="Arial" w:hAnsi="Arial" w:cs="Arial"/>
              </w:rPr>
            </w:pPr>
          </w:p>
          <w:p w:rsidR="00BC230A" w:rsidRPr="009B58F1" w:rsidRDefault="00BC230A" w:rsidP="00BC230A">
            <w:pPr>
              <w:pStyle w:val="ListParagraph"/>
              <w:numPr>
                <w:ilvl w:val="1"/>
                <w:numId w:val="38"/>
              </w:numPr>
              <w:spacing w:after="0" w:line="240" w:lineRule="auto"/>
              <w:jc w:val="both"/>
              <w:rPr>
                <w:rFonts w:ascii="Arial" w:hAnsi="Arial" w:cs="Arial"/>
              </w:rPr>
            </w:pPr>
            <w:r w:rsidRPr="009B58F1">
              <w:rPr>
                <w:rFonts w:ascii="Arial" w:hAnsi="Arial" w:cs="Arial"/>
                <w:u w:val="single"/>
              </w:rPr>
              <w:t xml:space="preserve">Potential risks and mitigating measures </w:t>
            </w:r>
          </w:p>
          <w:p w:rsidR="00BC230A" w:rsidRPr="009B58F1" w:rsidRDefault="00BC230A" w:rsidP="00C645F1">
            <w:pPr>
              <w:rPr>
                <w:szCs w:val="22"/>
              </w:rPr>
            </w:pPr>
          </w:p>
        </w:tc>
      </w:tr>
      <w:tr w:rsidR="004A22BA" w:rsidRPr="009B58F1" w:rsidTr="00E92B34">
        <w:tc>
          <w:tcPr>
            <w:tcW w:w="9445" w:type="dxa"/>
          </w:tcPr>
          <w:p w:rsidR="004A22BA" w:rsidRPr="009B58F1" w:rsidRDefault="004A22BA" w:rsidP="004A22BA">
            <w:pPr>
              <w:rPr>
                <w:i/>
                <w:iCs/>
                <w:szCs w:val="22"/>
              </w:rPr>
            </w:pPr>
          </w:p>
          <w:p w:rsidR="004A22BA" w:rsidRPr="009B58F1" w:rsidRDefault="004A22BA" w:rsidP="004A22BA">
            <w:pPr>
              <w:rPr>
                <w:szCs w:val="22"/>
              </w:rPr>
            </w:pPr>
            <w:r w:rsidRPr="009B58F1">
              <w:rPr>
                <w:i/>
                <w:iCs/>
                <w:szCs w:val="22"/>
              </w:rPr>
              <w:t>Risk</w:t>
            </w:r>
            <w:r w:rsidRPr="009B58F1">
              <w:rPr>
                <w:szCs w:val="22"/>
              </w:rPr>
              <w:t>:</w:t>
            </w:r>
            <w:r w:rsidR="00636581">
              <w:rPr>
                <w:szCs w:val="22"/>
              </w:rPr>
              <w:t xml:space="preserve"> </w:t>
            </w:r>
            <w:proofErr w:type="gramStart"/>
            <w:r w:rsidR="00636581">
              <w:rPr>
                <w:szCs w:val="22"/>
              </w:rPr>
              <w:t>1</w:t>
            </w:r>
            <w:r w:rsidRPr="009B58F1">
              <w:rPr>
                <w:szCs w:val="22"/>
              </w:rPr>
              <w:t xml:space="preserve">  Insufficient</w:t>
            </w:r>
            <w:proofErr w:type="gramEnd"/>
            <w:r w:rsidRPr="009B58F1">
              <w:rPr>
                <w:szCs w:val="22"/>
              </w:rPr>
              <w:t xml:space="preserve"> capacity by </w:t>
            </w:r>
            <w:proofErr w:type="spellStart"/>
            <w:r w:rsidRPr="009B58F1">
              <w:rPr>
                <w:szCs w:val="22"/>
              </w:rPr>
              <w:t>TISC</w:t>
            </w:r>
            <w:proofErr w:type="spellEnd"/>
            <w:r w:rsidRPr="009B58F1">
              <w:rPr>
                <w:szCs w:val="22"/>
              </w:rPr>
              <w:t xml:space="preserve"> staff to understand and effectively use the information contained in the </w:t>
            </w:r>
            <w:r w:rsidR="0080778C" w:rsidRPr="009B58F1">
              <w:rPr>
                <w:szCs w:val="22"/>
              </w:rPr>
              <w:t>toolkits</w:t>
            </w:r>
            <w:r w:rsidR="00151033" w:rsidRPr="009B58F1">
              <w:rPr>
                <w:szCs w:val="22"/>
              </w:rPr>
              <w:t>.</w:t>
            </w:r>
          </w:p>
          <w:p w:rsidR="004A22BA" w:rsidRPr="009B58F1" w:rsidRDefault="004A22BA" w:rsidP="004A22BA">
            <w:pPr>
              <w:rPr>
                <w:szCs w:val="22"/>
              </w:rPr>
            </w:pPr>
          </w:p>
          <w:p w:rsidR="004A22BA" w:rsidRPr="009B58F1" w:rsidRDefault="004A22BA" w:rsidP="004A22BA">
            <w:pPr>
              <w:jc w:val="both"/>
              <w:rPr>
                <w:szCs w:val="22"/>
              </w:rPr>
            </w:pPr>
            <w:r w:rsidRPr="009B58F1">
              <w:rPr>
                <w:i/>
                <w:iCs/>
                <w:szCs w:val="22"/>
              </w:rPr>
              <w:t>Mitigation</w:t>
            </w:r>
            <w:r w:rsidR="00636581">
              <w:rPr>
                <w:i/>
                <w:iCs/>
                <w:szCs w:val="22"/>
              </w:rPr>
              <w:t xml:space="preserve"> 1</w:t>
            </w:r>
            <w:r w:rsidRPr="009B58F1">
              <w:rPr>
                <w:szCs w:val="22"/>
              </w:rPr>
              <w:t xml:space="preserve">:  The </w:t>
            </w:r>
            <w:r w:rsidR="0080778C" w:rsidRPr="009B58F1">
              <w:rPr>
                <w:szCs w:val="22"/>
              </w:rPr>
              <w:t>toolkits</w:t>
            </w:r>
            <w:r w:rsidRPr="009B58F1">
              <w:rPr>
                <w:szCs w:val="22"/>
              </w:rPr>
              <w:t xml:space="preserve"> will be adapted to the asse</w:t>
            </w:r>
            <w:r w:rsidR="007169B0" w:rsidRPr="009B58F1">
              <w:rPr>
                <w:szCs w:val="22"/>
              </w:rPr>
              <w:t xml:space="preserve">ssed capabilities of </w:t>
            </w:r>
            <w:proofErr w:type="spellStart"/>
            <w:r w:rsidR="007169B0" w:rsidRPr="009B58F1">
              <w:rPr>
                <w:szCs w:val="22"/>
              </w:rPr>
              <w:t>TISC</w:t>
            </w:r>
            <w:proofErr w:type="spellEnd"/>
            <w:r w:rsidR="007169B0" w:rsidRPr="009B58F1">
              <w:rPr>
                <w:szCs w:val="22"/>
              </w:rPr>
              <w:t xml:space="preserve"> staff</w:t>
            </w:r>
            <w:r w:rsidRPr="009B58F1">
              <w:rPr>
                <w:szCs w:val="22"/>
              </w:rPr>
              <w:t>.</w:t>
            </w:r>
          </w:p>
          <w:p w:rsidR="0014354B" w:rsidRPr="009B58F1" w:rsidRDefault="0014354B" w:rsidP="004A22BA">
            <w:pPr>
              <w:jc w:val="both"/>
              <w:rPr>
                <w:szCs w:val="22"/>
              </w:rPr>
            </w:pPr>
          </w:p>
          <w:p w:rsidR="0014354B" w:rsidRPr="009B58F1" w:rsidRDefault="0014354B" w:rsidP="0014354B">
            <w:pPr>
              <w:rPr>
                <w:szCs w:val="22"/>
              </w:rPr>
            </w:pPr>
            <w:r w:rsidRPr="009B58F1">
              <w:rPr>
                <w:i/>
                <w:iCs/>
                <w:szCs w:val="22"/>
              </w:rPr>
              <w:t>Risk</w:t>
            </w:r>
            <w:r w:rsidR="00636581">
              <w:rPr>
                <w:i/>
                <w:iCs/>
                <w:szCs w:val="22"/>
              </w:rPr>
              <w:t xml:space="preserve"> 2</w:t>
            </w:r>
            <w:r w:rsidRPr="009B58F1">
              <w:rPr>
                <w:szCs w:val="22"/>
              </w:rPr>
              <w:t xml:space="preserve">:  Insufficient maturity </w:t>
            </w:r>
            <w:r w:rsidR="00643F4F" w:rsidRPr="009B58F1">
              <w:rPr>
                <w:szCs w:val="22"/>
              </w:rPr>
              <w:t xml:space="preserve">level </w:t>
            </w:r>
            <w:r w:rsidRPr="009B58F1">
              <w:rPr>
                <w:szCs w:val="22"/>
              </w:rPr>
              <w:t xml:space="preserve">of </w:t>
            </w:r>
            <w:proofErr w:type="spellStart"/>
            <w:r w:rsidRPr="009B58F1">
              <w:rPr>
                <w:szCs w:val="22"/>
              </w:rPr>
              <w:t>TISC</w:t>
            </w:r>
            <w:r w:rsidR="00643F4F" w:rsidRPr="009B58F1">
              <w:rPr>
                <w:szCs w:val="22"/>
              </w:rPr>
              <w:t>s</w:t>
            </w:r>
            <w:proofErr w:type="spellEnd"/>
            <w:r w:rsidRPr="009B58F1">
              <w:rPr>
                <w:szCs w:val="22"/>
              </w:rPr>
              <w:t xml:space="preserve"> </w:t>
            </w:r>
            <w:r w:rsidR="00643F4F" w:rsidRPr="009B58F1">
              <w:rPr>
                <w:szCs w:val="22"/>
              </w:rPr>
              <w:t xml:space="preserve">to </w:t>
            </w:r>
            <w:r w:rsidR="00D3310B" w:rsidRPr="009B58F1">
              <w:rPr>
                <w:szCs w:val="22"/>
              </w:rPr>
              <w:t xml:space="preserve">develop and offer </w:t>
            </w:r>
            <w:r w:rsidR="00A1014E" w:rsidRPr="009B58F1">
              <w:rPr>
                <w:szCs w:val="22"/>
              </w:rPr>
              <w:t>services</w:t>
            </w:r>
            <w:r w:rsidR="00D3310B" w:rsidRPr="009B58F1">
              <w:rPr>
                <w:szCs w:val="22"/>
              </w:rPr>
              <w:t xml:space="preserve"> </w:t>
            </w:r>
            <w:r w:rsidR="00A1014E" w:rsidRPr="009B58F1">
              <w:rPr>
                <w:szCs w:val="22"/>
              </w:rPr>
              <w:t>related to</w:t>
            </w:r>
            <w:r w:rsidR="00D3310B" w:rsidRPr="009B58F1">
              <w:rPr>
                <w:szCs w:val="22"/>
              </w:rPr>
              <w:t xml:space="preserve"> the </w:t>
            </w:r>
            <w:r w:rsidR="00A1014E" w:rsidRPr="009B58F1">
              <w:rPr>
                <w:szCs w:val="22"/>
              </w:rPr>
              <w:t>use of inventions in the public domain</w:t>
            </w:r>
            <w:r w:rsidR="00D3310B" w:rsidRPr="009B58F1">
              <w:rPr>
                <w:szCs w:val="22"/>
              </w:rPr>
              <w:t>.</w:t>
            </w:r>
          </w:p>
          <w:p w:rsidR="00643F4F" w:rsidRPr="009B58F1" w:rsidRDefault="00643F4F" w:rsidP="0014354B">
            <w:pPr>
              <w:rPr>
                <w:szCs w:val="22"/>
              </w:rPr>
            </w:pPr>
          </w:p>
          <w:p w:rsidR="00643F4F" w:rsidRDefault="0014354B" w:rsidP="00D3310B">
            <w:pPr>
              <w:jc w:val="both"/>
              <w:rPr>
                <w:szCs w:val="22"/>
              </w:rPr>
            </w:pPr>
            <w:r w:rsidRPr="009B58F1">
              <w:rPr>
                <w:i/>
                <w:iCs/>
                <w:szCs w:val="22"/>
              </w:rPr>
              <w:t>Mitigation</w:t>
            </w:r>
            <w:r w:rsidR="00C620AE">
              <w:rPr>
                <w:i/>
                <w:iCs/>
                <w:szCs w:val="22"/>
              </w:rPr>
              <w:t xml:space="preserve"> 2</w:t>
            </w:r>
            <w:r w:rsidRPr="009B58F1">
              <w:rPr>
                <w:szCs w:val="22"/>
              </w:rPr>
              <w:t xml:space="preserve">:  </w:t>
            </w:r>
            <w:proofErr w:type="spellStart"/>
            <w:r w:rsidR="00D3310B" w:rsidRPr="009B58F1">
              <w:rPr>
                <w:szCs w:val="22"/>
              </w:rPr>
              <w:t>TISCs</w:t>
            </w:r>
            <w:proofErr w:type="spellEnd"/>
            <w:r w:rsidR="00D3310B" w:rsidRPr="009B58F1">
              <w:rPr>
                <w:szCs w:val="22"/>
              </w:rPr>
              <w:t xml:space="preserve"> with the sufficient level of maturity will be selected to participate in this project.</w:t>
            </w:r>
          </w:p>
          <w:p w:rsidR="00134308" w:rsidRDefault="00134308" w:rsidP="00D3310B">
            <w:pPr>
              <w:jc w:val="both"/>
              <w:rPr>
                <w:szCs w:val="22"/>
              </w:rPr>
            </w:pPr>
          </w:p>
          <w:p w:rsidR="00134308" w:rsidRPr="009B58F1" w:rsidRDefault="00134308" w:rsidP="00134308">
            <w:pPr>
              <w:rPr>
                <w:szCs w:val="22"/>
              </w:rPr>
            </w:pPr>
            <w:r w:rsidRPr="009B58F1">
              <w:rPr>
                <w:i/>
                <w:iCs/>
                <w:szCs w:val="22"/>
              </w:rPr>
              <w:t>Risk</w:t>
            </w:r>
            <w:r w:rsidR="00636581">
              <w:rPr>
                <w:i/>
                <w:iCs/>
                <w:szCs w:val="22"/>
              </w:rPr>
              <w:t xml:space="preserve"> 3</w:t>
            </w:r>
            <w:r w:rsidRPr="009B58F1">
              <w:rPr>
                <w:szCs w:val="22"/>
              </w:rPr>
              <w:t xml:space="preserve">:  </w:t>
            </w:r>
            <w:r>
              <w:rPr>
                <w:szCs w:val="22"/>
              </w:rPr>
              <w:t xml:space="preserve">Inability to deliver the training seminars in-person, due to </w:t>
            </w:r>
            <w:r w:rsidR="006B2153">
              <w:rPr>
                <w:szCs w:val="22"/>
              </w:rPr>
              <w:t xml:space="preserve">further restrictions related to </w:t>
            </w:r>
            <w:r>
              <w:rPr>
                <w:szCs w:val="22"/>
              </w:rPr>
              <w:t xml:space="preserve">the </w:t>
            </w:r>
            <w:proofErr w:type="spellStart"/>
            <w:r>
              <w:rPr>
                <w:szCs w:val="22"/>
              </w:rPr>
              <w:t>COVID</w:t>
            </w:r>
            <w:proofErr w:type="spellEnd"/>
            <w:r>
              <w:rPr>
                <w:szCs w:val="22"/>
              </w:rPr>
              <w:t xml:space="preserve">-19 pandemic. </w:t>
            </w:r>
          </w:p>
          <w:p w:rsidR="00134308" w:rsidRPr="009B58F1" w:rsidRDefault="00134308" w:rsidP="00134308">
            <w:pPr>
              <w:rPr>
                <w:szCs w:val="22"/>
              </w:rPr>
            </w:pPr>
          </w:p>
          <w:p w:rsidR="00636581" w:rsidRDefault="00134308" w:rsidP="00636581">
            <w:pPr>
              <w:rPr>
                <w:szCs w:val="22"/>
              </w:rPr>
            </w:pPr>
            <w:r w:rsidRPr="009B58F1">
              <w:rPr>
                <w:i/>
                <w:iCs/>
                <w:szCs w:val="22"/>
              </w:rPr>
              <w:t>Mitigation</w:t>
            </w:r>
            <w:r w:rsidR="00636581">
              <w:rPr>
                <w:i/>
                <w:iCs/>
                <w:szCs w:val="22"/>
              </w:rPr>
              <w:t xml:space="preserve"> 3</w:t>
            </w:r>
            <w:r w:rsidRPr="009B58F1">
              <w:rPr>
                <w:szCs w:val="22"/>
              </w:rPr>
              <w:t xml:space="preserve">:  </w:t>
            </w:r>
            <w:r w:rsidR="00636581">
              <w:rPr>
                <w:szCs w:val="22"/>
              </w:rPr>
              <w:t xml:space="preserve">Training seminars will be organized </w:t>
            </w:r>
            <w:r w:rsidR="006B2153">
              <w:rPr>
                <w:szCs w:val="22"/>
              </w:rPr>
              <w:t>virtually.  The expenses foreseen</w:t>
            </w:r>
            <w:r w:rsidR="00636581">
              <w:rPr>
                <w:szCs w:val="22"/>
              </w:rPr>
              <w:t xml:space="preserve"> for staff and third-party travel</w:t>
            </w:r>
            <w:r w:rsidR="006B2153">
              <w:rPr>
                <w:szCs w:val="22"/>
              </w:rPr>
              <w:t xml:space="preserve"> (non-personnel resources)</w:t>
            </w:r>
            <w:r w:rsidR="00636581">
              <w:rPr>
                <w:szCs w:val="22"/>
              </w:rPr>
              <w:t xml:space="preserve"> </w:t>
            </w:r>
            <w:r w:rsidR="006B2153">
              <w:rPr>
                <w:szCs w:val="22"/>
              </w:rPr>
              <w:t xml:space="preserve">will be reallocated accordingly, </w:t>
            </w:r>
            <w:r w:rsidR="00636581">
              <w:rPr>
                <w:szCs w:val="22"/>
              </w:rPr>
              <w:t>to</w:t>
            </w:r>
            <w:r w:rsidR="006B2153">
              <w:rPr>
                <w:szCs w:val="22"/>
              </w:rPr>
              <w:t xml:space="preserve"> ensure additional</w:t>
            </w:r>
            <w:r w:rsidR="00636581">
              <w:rPr>
                <w:szCs w:val="22"/>
              </w:rPr>
              <w:t xml:space="preserve"> o</w:t>
            </w:r>
            <w:r w:rsidR="006B2153">
              <w:rPr>
                <w:szCs w:val="22"/>
              </w:rPr>
              <w:t xml:space="preserve">rganization of </w:t>
            </w:r>
            <w:r w:rsidR="00636581">
              <w:rPr>
                <w:szCs w:val="22"/>
              </w:rPr>
              <w:t xml:space="preserve">seminars. </w:t>
            </w:r>
          </w:p>
          <w:p w:rsidR="00D3310B" w:rsidRPr="009B58F1" w:rsidRDefault="00D3310B" w:rsidP="00D3310B">
            <w:pPr>
              <w:jc w:val="both"/>
              <w:rPr>
                <w:u w:val="single"/>
              </w:rPr>
            </w:pPr>
          </w:p>
        </w:tc>
      </w:tr>
    </w:tbl>
    <w:p w:rsidR="00A1014E" w:rsidRPr="009B58F1" w:rsidRDefault="00A1014E"/>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9B58F1" w:rsidTr="00E92B34">
        <w:tc>
          <w:tcPr>
            <w:tcW w:w="9445" w:type="dxa"/>
            <w:gridSpan w:val="2"/>
          </w:tcPr>
          <w:p w:rsidR="00A93AB1" w:rsidRPr="009B58F1" w:rsidRDefault="00A93AB1" w:rsidP="00C645F1">
            <w:pPr>
              <w:pStyle w:val="ListParagraph"/>
              <w:spacing w:after="0" w:line="240" w:lineRule="auto"/>
              <w:ind w:left="284"/>
              <w:jc w:val="both"/>
              <w:rPr>
                <w:rFonts w:ascii="Arial" w:hAnsi="Arial" w:cs="Arial"/>
              </w:rPr>
            </w:pPr>
          </w:p>
          <w:p w:rsidR="00A93AB1" w:rsidRPr="009B58F1" w:rsidRDefault="004F0C92" w:rsidP="00151033">
            <w:pPr>
              <w:pStyle w:val="ListParagraph"/>
              <w:numPr>
                <w:ilvl w:val="0"/>
                <w:numId w:val="38"/>
              </w:numPr>
              <w:jc w:val="both"/>
              <w:rPr>
                <w:rFonts w:ascii="Arial" w:hAnsi="Arial" w:cs="Arial"/>
              </w:rPr>
            </w:pPr>
            <w:r w:rsidRPr="009B58F1">
              <w:rPr>
                <w:rFonts w:ascii="Arial" w:hAnsi="Arial" w:cs="Arial"/>
              </w:rPr>
              <w:t>REVIEW AND EVALUATION</w:t>
            </w:r>
          </w:p>
        </w:tc>
      </w:tr>
      <w:tr w:rsidR="004F0C92" w:rsidRPr="009B58F1" w:rsidTr="00E92B34">
        <w:tc>
          <w:tcPr>
            <w:tcW w:w="9445" w:type="dxa"/>
            <w:gridSpan w:val="2"/>
          </w:tcPr>
          <w:p w:rsidR="004F0C92" w:rsidRPr="009B58F1" w:rsidRDefault="004F0C92" w:rsidP="00C645F1">
            <w:pPr>
              <w:pStyle w:val="ListParagraph"/>
              <w:spacing w:after="0" w:line="240" w:lineRule="auto"/>
              <w:jc w:val="both"/>
              <w:rPr>
                <w:rFonts w:ascii="Arial" w:hAnsi="Arial" w:cs="Arial"/>
              </w:rPr>
            </w:pPr>
          </w:p>
          <w:p w:rsidR="004F0C92" w:rsidRPr="009B58F1" w:rsidRDefault="004F0C92" w:rsidP="00151033">
            <w:pPr>
              <w:pStyle w:val="ListParagraph"/>
              <w:numPr>
                <w:ilvl w:val="0"/>
                <w:numId w:val="26"/>
              </w:numPr>
              <w:tabs>
                <w:tab w:val="left" w:pos="1560"/>
              </w:tabs>
              <w:suppressAutoHyphens/>
              <w:spacing w:after="0" w:line="240" w:lineRule="auto"/>
              <w:ind w:left="338"/>
              <w:jc w:val="both"/>
              <w:rPr>
                <w:rFonts w:ascii="Arial" w:hAnsi="Arial" w:cs="Arial"/>
              </w:rPr>
            </w:pPr>
            <w:r w:rsidRPr="009B58F1">
              <w:rPr>
                <w:rFonts w:ascii="Arial" w:hAnsi="Arial" w:cs="Arial"/>
                <w:u w:val="single"/>
              </w:rPr>
              <w:t>Project Review Schedule</w:t>
            </w:r>
          </w:p>
          <w:p w:rsidR="00151033" w:rsidRPr="009B58F1" w:rsidRDefault="00151033" w:rsidP="00151033">
            <w:pPr>
              <w:tabs>
                <w:tab w:val="left" w:pos="1560"/>
              </w:tabs>
              <w:suppressAutoHyphens/>
              <w:ind w:left="-22"/>
              <w:jc w:val="both"/>
            </w:pPr>
          </w:p>
          <w:p w:rsidR="00151033" w:rsidRPr="009B58F1" w:rsidRDefault="00151033" w:rsidP="00151033">
            <w:pPr>
              <w:jc w:val="both"/>
              <w:rPr>
                <w:szCs w:val="22"/>
              </w:rPr>
            </w:pPr>
            <w:r w:rsidRPr="009B58F1">
              <w:rPr>
                <w:szCs w:val="22"/>
              </w:rPr>
              <w:t xml:space="preserve">A yearly progress report will be presented for the consideration of the CDIP. </w:t>
            </w:r>
          </w:p>
          <w:p w:rsidR="00151033" w:rsidRPr="009B58F1" w:rsidRDefault="00151033" w:rsidP="00151033">
            <w:pPr>
              <w:jc w:val="both"/>
              <w:rPr>
                <w:szCs w:val="22"/>
              </w:rPr>
            </w:pPr>
          </w:p>
          <w:p w:rsidR="00151033" w:rsidRPr="009B58F1" w:rsidRDefault="00151033" w:rsidP="00151033">
            <w:pPr>
              <w:jc w:val="both"/>
              <w:rPr>
                <w:szCs w:val="22"/>
              </w:rPr>
            </w:pPr>
            <w:r w:rsidRPr="009B58F1">
              <w:rPr>
                <w:szCs w:val="22"/>
              </w:rPr>
              <w:t>A final self-evaluation will be carried out upon project completion and will be submitted to the CDIP.</w:t>
            </w:r>
          </w:p>
          <w:p w:rsidR="00151033" w:rsidRPr="009B58F1" w:rsidRDefault="00151033" w:rsidP="00151033">
            <w:pPr>
              <w:tabs>
                <w:tab w:val="left" w:pos="1560"/>
              </w:tabs>
              <w:suppressAutoHyphens/>
              <w:ind w:left="-22"/>
              <w:jc w:val="both"/>
            </w:pPr>
          </w:p>
        </w:tc>
      </w:tr>
      <w:tr w:rsidR="004F0C92" w:rsidRPr="009B58F1" w:rsidTr="00E92B34">
        <w:tc>
          <w:tcPr>
            <w:tcW w:w="9445" w:type="dxa"/>
            <w:gridSpan w:val="2"/>
          </w:tcPr>
          <w:p w:rsidR="00C60B8F" w:rsidRPr="009B58F1" w:rsidRDefault="00C60B8F" w:rsidP="00A1014E">
            <w:pPr>
              <w:tabs>
                <w:tab w:val="left" w:pos="1560"/>
              </w:tabs>
              <w:suppressAutoHyphens/>
              <w:jc w:val="both"/>
              <w:rPr>
                <w:u w:val="single"/>
              </w:rPr>
            </w:pPr>
          </w:p>
          <w:p w:rsidR="004F0C92" w:rsidRPr="009B58F1" w:rsidRDefault="004F0C92" w:rsidP="00C645F1">
            <w:pPr>
              <w:pStyle w:val="ListParagraph"/>
              <w:numPr>
                <w:ilvl w:val="0"/>
                <w:numId w:val="26"/>
              </w:numPr>
              <w:tabs>
                <w:tab w:val="left" w:pos="1560"/>
              </w:tabs>
              <w:suppressAutoHyphens/>
              <w:spacing w:after="0" w:line="240" w:lineRule="auto"/>
              <w:ind w:left="338"/>
              <w:jc w:val="both"/>
              <w:rPr>
                <w:rFonts w:ascii="Arial" w:hAnsi="Arial" w:cs="Arial"/>
                <w:u w:val="single"/>
              </w:rPr>
            </w:pPr>
            <w:r w:rsidRPr="009B58F1">
              <w:rPr>
                <w:rFonts w:ascii="Arial" w:hAnsi="Arial" w:cs="Arial"/>
                <w:u w:val="single"/>
              </w:rPr>
              <w:t>Project Self-Evaluation</w:t>
            </w:r>
          </w:p>
          <w:p w:rsidR="00170EC7" w:rsidRPr="009B58F1" w:rsidRDefault="00170EC7" w:rsidP="00C645F1">
            <w:pPr>
              <w:pStyle w:val="ListParagraph"/>
              <w:tabs>
                <w:tab w:val="left" w:pos="1560"/>
              </w:tabs>
              <w:suppressAutoHyphens/>
              <w:spacing w:after="0" w:line="240" w:lineRule="auto"/>
              <w:ind w:left="529" w:hanging="529"/>
              <w:jc w:val="both"/>
              <w:rPr>
                <w:rFonts w:ascii="Arial" w:hAnsi="Arial" w:cs="Arial"/>
                <w:u w:val="single"/>
              </w:rPr>
            </w:pPr>
          </w:p>
        </w:tc>
      </w:tr>
      <w:tr w:rsidR="004F0C92" w:rsidRPr="009B58F1" w:rsidTr="00E92B34">
        <w:tc>
          <w:tcPr>
            <w:tcW w:w="3415" w:type="dxa"/>
          </w:tcPr>
          <w:p w:rsidR="004F0C92" w:rsidRPr="009B58F1" w:rsidRDefault="004F0C92" w:rsidP="00C645F1">
            <w:pPr>
              <w:jc w:val="both"/>
              <w:rPr>
                <w:szCs w:val="22"/>
                <w:u w:val="single"/>
                <w:lang w:val="en-GB"/>
              </w:rPr>
            </w:pPr>
            <w:r w:rsidRPr="009B58F1">
              <w:rPr>
                <w:i/>
                <w:szCs w:val="22"/>
                <w:lang w:val="en-GB"/>
              </w:rPr>
              <w:t>Project Outputs</w:t>
            </w:r>
          </w:p>
        </w:tc>
        <w:tc>
          <w:tcPr>
            <w:tcW w:w="6030" w:type="dxa"/>
          </w:tcPr>
          <w:p w:rsidR="004F0C92" w:rsidRPr="009B58F1" w:rsidRDefault="004F0C92" w:rsidP="00EA0824">
            <w:pPr>
              <w:rPr>
                <w:i/>
                <w:szCs w:val="22"/>
                <w:lang w:val="en-GB"/>
              </w:rPr>
            </w:pPr>
            <w:r w:rsidRPr="009B58F1">
              <w:rPr>
                <w:i/>
                <w:szCs w:val="22"/>
                <w:lang w:val="en-GB"/>
              </w:rPr>
              <w:t>Indicators of Successful Completion (Output Indicators)</w:t>
            </w:r>
          </w:p>
          <w:p w:rsidR="009325A5" w:rsidRPr="009B58F1" w:rsidRDefault="009325A5" w:rsidP="00EA0824">
            <w:pPr>
              <w:rPr>
                <w:i/>
                <w:szCs w:val="22"/>
                <w:lang w:val="en-GB"/>
              </w:rPr>
            </w:pPr>
          </w:p>
        </w:tc>
      </w:tr>
      <w:tr w:rsidR="004F0C92" w:rsidRPr="009B58F1" w:rsidTr="00E92B34">
        <w:tc>
          <w:tcPr>
            <w:tcW w:w="3415" w:type="dxa"/>
          </w:tcPr>
          <w:p w:rsidR="00DB4E08" w:rsidRPr="009B58F1" w:rsidRDefault="00DB4E08" w:rsidP="00C645F1">
            <w:pPr>
              <w:jc w:val="both"/>
              <w:rPr>
                <w:szCs w:val="22"/>
                <w:lang w:val="en-GB"/>
              </w:rPr>
            </w:pPr>
          </w:p>
          <w:p w:rsidR="004F0C92" w:rsidRPr="009B58F1" w:rsidRDefault="008026ED" w:rsidP="00EA0824">
            <w:pPr>
              <w:rPr>
                <w:szCs w:val="22"/>
                <w:lang w:val="en-GB"/>
              </w:rPr>
            </w:pPr>
            <w:r w:rsidRPr="009B58F1">
              <w:t>Toolkits covering the four phases of product or service development</w:t>
            </w:r>
            <w:r w:rsidRPr="009B58F1">
              <w:rPr>
                <w:szCs w:val="22"/>
                <w:lang w:val="en-GB"/>
              </w:rPr>
              <w:t xml:space="preserve"> </w:t>
            </w:r>
            <w:r w:rsidR="00DA3B3B">
              <w:rPr>
                <w:szCs w:val="22"/>
                <w:lang w:val="en-GB"/>
              </w:rPr>
              <w:t>and identification of whether the invention is in the public domain</w:t>
            </w:r>
          </w:p>
          <w:p w:rsidR="008026ED" w:rsidRPr="009B58F1" w:rsidRDefault="008026ED" w:rsidP="008026ED">
            <w:pPr>
              <w:jc w:val="both"/>
              <w:rPr>
                <w:szCs w:val="22"/>
                <w:lang w:val="en-GB"/>
              </w:rPr>
            </w:pPr>
          </w:p>
        </w:tc>
        <w:tc>
          <w:tcPr>
            <w:tcW w:w="6030" w:type="dxa"/>
          </w:tcPr>
          <w:p w:rsidR="00CC1E33" w:rsidRPr="009B58F1" w:rsidRDefault="00CC1E33" w:rsidP="00EA0824">
            <w:pPr>
              <w:rPr>
                <w:szCs w:val="22"/>
                <w:lang w:val="en-GB"/>
              </w:rPr>
            </w:pPr>
          </w:p>
          <w:p w:rsidR="004F0C92" w:rsidRPr="009B58F1" w:rsidRDefault="00290A87" w:rsidP="00290A87">
            <w:pPr>
              <w:rPr>
                <w:szCs w:val="22"/>
                <w:lang w:val="en-GB"/>
              </w:rPr>
            </w:pPr>
            <w:r>
              <w:rPr>
                <w:szCs w:val="22"/>
                <w:lang w:val="en-GB"/>
              </w:rPr>
              <w:t xml:space="preserve">Toolkits developed and published. </w:t>
            </w:r>
          </w:p>
        </w:tc>
      </w:tr>
      <w:tr w:rsidR="004F0C92" w:rsidRPr="009B58F1" w:rsidTr="00E92B34">
        <w:tc>
          <w:tcPr>
            <w:tcW w:w="3415" w:type="dxa"/>
          </w:tcPr>
          <w:p w:rsidR="00CC1E33" w:rsidRPr="009B58F1" w:rsidRDefault="00CC1E33" w:rsidP="00C645F1">
            <w:pPr>
              <w:jc w:val="both"/>
              <w:rPr>
                <w:szCs w:val="22"/>
                <w:lang w:val="en-GB"/>
              </w:rPr>
            </w:pPr>
          </w:p>
          <w:p w:rsidR="008E7F99" w:rsidRPr="009B58F1" w:rsidRDefault="008026ED" w:rsidP="00C645F1">
            <w:pPr>
              <w:jc w:val="both"/>
              <w:rPr>
                <w:szCs w:val="22"/>
                <w:lang w:val="en-GB"/>
              </w:rPr>
            </w:pPr>
            <w:r w:rsidRPr="009B58F1">
              <w:t xml:space="preserve">Training materials for </w:t>
            </w:r>
            <w:proofErr w:type="spellStart"/>
            <w:r w:rsidRPr="009B58F1">
              <w:t>TISCs</w:t>
            </w:r>
            <w:proofErr w:type="spellEnd"/>
            <w:r w:rsidRPr="009B58F1">
              <w:t xml:space="preserve"> </w:t>
            </w:r>
          </w:p>
        </w:tc>
        <w:tc>
          <w:tcPr>
            <w:tcW w:w="6030" w:type="dxa"/>
          </w:tcPr>
          <w:p w:rsidR="00CC1E33" w:rsidRPr="009B58F1" w:rsidRDefault="00CC1E33" w:rsidP="00EA0824">
            <w:pPr>
              <w:rPr>
                <w:szCs w:val="22"/>
                <w:lang w:val="en-GB"/>
              </w:rPr>
            </w:pPr>
          </w:p>
          <w:p w:rsidR="004F0C92" w:rsidRPr="009B58F1" w:rsidRDefault="008026ED" w:rsidP="00290A87">
            <w:pPr>
              <w:rPr>
                <w:szCs w:val="22"/>
                <w:lang w:val="en-GB"/>
              </w:rPr>
            </w:pPr>
            <w:r w:rsidRPr="009B58F1">
              <w:rPr>
                <w:szCs w:val="22"/>
                <w:lang w:val="en-GB"/>
              </w:rPr>
              <w:t xml:space="preserve">Training </w:t>
            </w:r>
            <w:r w:rsidR="00E51ED5" w:rsidRPr="009B58F1">
              <w:rPr>
                <w:szCs w:val="22"/>
                <w:lang w:val="en-GB"/>
              </w:rPr>
              <w:t xml:space="preserve">materials </w:t>
            </w:r>
            <w:r w:rsidR="00290A87">
              <w:rPr>
                <w:szCs w:val="22"/>
                <w:lang w:val="en-GB"/>
              </w:rPr>
              <w:t xml:space="preserve">for </w:t>
            </w:r>
            <w:proofErr w:type="spellStart"/>
            <w:r w:rsidR="00290A87">
              <w:rPr>
                <w:szCs w:val="22"/>
                <w:lang w:val="en-GB"/>
              </w:rPr>
              <w:t>TISCs</w:t>
            </w:r>
            <w:proofErr w:type="spellEnd"/>
            <w:r w:rsidR="00290A87">
              <w:rPr>
                <w:szCs w:val="22"/>
                <w:lang w:val="en-GB"/>
              </w:rPr>
              <w:t xml:space="preserve"> </w:t>
            </w:r>
            <w:r w:rsidR="00E51ED5" w:rsidRPr="009B58F1">
              <w:rPr>
                <w:szCs w:val="22"/>
                <w:lang w:val="en-GB"/>
              </w:rPr>
              <w:t>developed</w:t>
            </w:r>
            <w:r w:rsidR="00290A87">
              <w:rPr>
                <w:szCs w:val="22"/>
                <w:lang w:val="en-GB"/>
              </w:rPr>
              <w:t xml:space="preserve">. </w:t>
            </w:r>
          </w:p>
          <w:p w:rsidR="008026ED" w:rsidRPr="009B58F1" w:rsidRDefault="008026ED" w:rsidP="00EA0824">
            <w:pPr>
              <w:rPr>
                <w:szCs w:val="22"/>
                <w:lang w:val="en-GB"/>
              </w:rPr>
            </w:pPr>
          </w:p>
        </w:tc>
      </w:tr>
      <w:tr w:rsidR="004F0C92" w:rsidRPr="009B58F1" w:rsidTr="00E92B34">
        <w:tc>
          <w:tcPr>
            <w:tcW w:w="3415" w:type="dxa"/>
          </w:tcPr>
          <w:p w:rsidR="008E7F99" w:rsidRPr="009B58F1" w:rsidRDefault="008E7F99" w:rsidP="00C645F1">
            <w:pPr>
              <w:rPr>
                <w:szCs w:val="22"/>
                <w:lang w:val="en-GB"/>
              </w:rPr>
            </w:pPr>
          </w:p>
          <w:p w:rsidR="004F0C92" w:rsidRPr="009B58F1" w:rsidRDefault="008026ED" w:rsidP="00D76BD9">
            <w:pPr>
              <w:rPr>
                <w:szCs w:val="22"/>
                <w:lang w:val="en-GB"/>
              </w:rPr>
            </w:pPr>
            <w:r w:rsidRPr="009B58F1">
              <w:rPr>
                <w:szCs w:val="22"/>
                <w:lang w:val="en-GB"/>
              </w:rPr>
              <w:t>Training seminars using the new training materials</w:t>
            </w:r>
          </w:p>
          <w:p w:rsidR="004F0C92" w:rsidRPr="009B58F1" w:rsidRDefault="004F0C92" w:rsidP="00C620AE">
            <w:pPr>
              <w:rPr>
                <w:szCs w:val="22"/>
                <w:lang w:val="en-GB"/>
              </w:rPr>
            </w:pPr>
          </w:p>
        </w:tc>
        <w:tc>
          <w:tcPr>
            <w:tcW w:w="6030" w:type="dxa"/>
          </w:tcPr>
          <w:p w:rsidR="008E7F99" w:rsidRPr="009B58F1" w:rsidRDefault="008E7F99" w:rsidP="00EA0824">
            <w:pPr>
              <w:rPr>
                <w:lang w:val="en-GB"/>
              </w:rPr>
            </w:pPr>
          </w:p>
          <w:p w:rsidR="00DD379B" w:rsidRDefault="00DD379B" w:rsidP="00EA0824">
            <w:pPr>
              <w:rPr>
                <w:szCs w:val="22"/>
              </w:rPr>
            </w:pPr>
            <w:r>
              <w:rPr>
                <w:szCs w:val="22"/>
              </w:rPr>
              <w:t xml:space="preserve">2 seminars delivered.  </w:t>
            </w:r>
          </w:p>
          <w:p w:rsidR="00DD379B" w:rsidRDefault="00DD379B" w:rsidP="00EA0824">
            <w:pPr>
              <w:rPr>
                <w:szCs w:val="22"/>
              </w:rPr>
            </w:pPr>
          </w:p>
          <w:p w:rsidR="004F0C92" w:rsidRPr="009B58F1" w:rsidRDefault="00A1014E" w:rsidP="00EA0824">
            <w:pPr>
              <w:rPr>
                <w:szCs w:val="22"/>
                <w:lang w:val="en-GB"/>
              </w:rPr>
            </w:pPr>
            <w:r w:rsidRPr="009B58F1">
              <w:rPr>
                <w:szCs w:val="22"/>
              </w:rPr>
              <w:t>P</w:t>
            </w:r>
            <w:r w:rsidR="008026ED" w:rsidRPr="009B58F1">
              <w:rPr>
                <w:szCs w:val="22"/>
              </w:rPr>
              <w:t>ercentage of participants</w:t>
            </w:r>
            <w:r w:rsidR="008026ED" w:rsidRPr="009B58F1">
              <w:rPr>
                <w:szCs w:val="22"/>
                <w:lang w:val="en-GB"/>
              </w:rPr>
              <w:t xml:space="preserve"> indicat</w:t>
            </w:r>
            <w:r w:rsidRPr="009B58F1">
              <w:rPr>
                <w:szCs w:val="22"/>
                <w:lang w:val="en-GB"/>
              </w:rPr>
              <w:t>ing</w:t>
            </w:r>
            <w:r w:rsidR="008026ED" w:rsidRPr="009B58F1">
              <w:rPr>
                <w:szCs w:val="22"/>
                <w:lang w:val="en-GB"/>
              </w:rPr>
              <w:t xml:space="preserve"> that the training has improved their knowledge and skills in </w:t>
            </w:r>
            <w:r w:rsidR="00987305" w:rsidRPr="009B58F1">
              <w:rPr>
                <w:szCs w:val="22"/>
                <w:lang w:val="en-GB"/>
              </w:rPr>
              <w:t>using inventions in the public domain</w:t>
            </w:r>
            <w:r w:rsidRPr="009B58F1">
              <w:rPr>
                <w:szCs w:val="22"/>
                <w:lang w:val="en-GB"/>
              </w:rPr>
              <w:t xml:space="preserve"> (target: 70%).</w:t>
            </w:r>
          </w:p>
          <w:p w:rsidR="008026ED" w:rsidRPr="009B58F1" w:rsidRDefault="008026ED" w:rsidP="00EA0824">
            <w:pPr>
              <w:rPr>
                <w:szCs w:val="22"/>
                <w:lang w:val="en-GB"/>
              </w:rPr>
            </w:pPr>
          </w:p>
        </w:tc>
      </w:tr>
      <w:tr w:rsidR="008F6593" w:rsidRPr="009B58F1" w:rsidTr="00E92B34">
        <w:tc>
          <w:tcPr>
            <w:tcW w:w="3415" w:type="dxa"/>
          </w:tcPr>
          <w:p w:rsidR="008F6593" w:rsidRPr="009B58F1" w:rsidRDefault="008F6593" w:rsidP="00C645F1">
            <w:pPr>
              <w:jc w:val="both"/>
              <w:rPr>
                <w:i/>
                <w:szCs w:val="22"/>
              </w:rPr>
            </w:pPr>
            <w:r w:rsidRPr="009B58F1">
              <w:rPr>
                <w:i/>
                <w:szCs w:val="22"/>
              </w:rPr>
              <w:t>Project Objective</w:t>
            </w:r>
          </w:p>
        </w:tc>
        <w:tc>
          <w:tcPr>
            <w:tcW w:w="6030" w:type="dxa"/>
          </w:tcPr>
          <w:p w:rsidR="008F6593" w:rsidRPr="009B58F1" w:rsidRDefault="008F6593" w:rsidP="00EA0824">
            <w:pPr>
              <w:rPr>
                <w:i/>
                <w:szCs w:val="22"/>
                <w:lang w:val="en-GB"/>
              </w:rPr>
            </w:pPr>
            <w:r w:rsidRPr="009B58F1">
              <w:rPr>
                <w:i/>
                <w:szCs w:val="22"/>
                <w:lang w:val="en-GB"/>
              </w:rPr>
              <w:t>Indicators of Success in Achieving the Project Objective (Outcome Indicators)</w:t>
            </w:r>
          </w:p>
          <w:p w:rsidR="009325A5" w:rsidRPr="009B58F1" w:rsidRDefault="009325A5" w:rsidP="00EA0824">
            <w:pPr>
              <w:rPr>
                <w:i/>
                <w:szCs w:val="22"/>
                <w:lang w:val="en-GB"/>
              </w:rPr>
            </w:pPr>
          </w:p>
        </w:tc>
      </w:tr>
      <w:tr w:rsidR="008F6593" w:rsidRPr="009B58F1" w:rsidTr="00E92B34">
        <w:tc>
          <w:tcPr>
            <w:tcW w:w="3415" w:type="dxa"/>
          </w:tcPr>
          <w:p w:rsidR="0060029E" w:rsidRPr="009B58F1" w:rsidRDefault="0060029E" w:rsidP="00C645F1">
            <w:pPr>
              <w:jc w:val="both"/>
            </w:pPr>
          </w:p>
          <w:p w:rsidR="009325A5" w:rsidRPr="009B58F1" w:rsidRDefault="00987305" w:rsidP="00EA0824">
            <w:r w:rsidRPr="009B58F1">
              <w:t xml:space="preserve">Contribute to the capacity of </w:t>
            </w:r>
            <w:proofErr w:type="spellStart"/>
            <w:r w:rsidRPr="009B58F1">
              <w:t>TISCs</w:t>
            </w:r>
            <w:proofErr w:type="spellEnd"/>
            <w:r w:rsidRPr="009B58F1">
              <w:t xml:space="preserve"> to offer services related to </w:t>
            </w:r>
            <w:r w:rsidR="00DA3B3B">
              <w:t xml:space="preserve">identifying and </w:t>
            </w:r>
            <w:r w:rsidRPr="009B58F1">
              <w:t>using inventions in the public domain.</w:t>
            </w:r>
          </w:p>
          <w:p w:rsidR="00987305" w:rsidRPr="009B58F1" w:rsidRDefault="00987305" w:rsidP="00C645F1">
            <w:pPr>
              <w:jc w:val="both"/>
            </w:pPr>
          </w:p>
        </w:tc>
        <w:tc>
          <w:tcPr>
            <w:tcW w:w="6030" w:type="dxa"/>
          </w:tcPr>
          <w:p w:rsidR="008F6593" w:rsidRPr="009B58F1" w:rsidRDefault="008F6593" w:rsidP="00C645F1">
            <w:pPr>
              <w:jc w:val="both"/>
              <w:rPr>
                <w:szCs w:val="22"/>
                <w:lang w:val="en-GB"/>
              </w:rPr>
            </w:pPr>
          </w:p>
          <w:p w:rsidR="001636D1" w:rsidRPr="009B58F1" w:rsidRDefault="00987305" w:rsidP="00EA0824">
            <w:pPr>
              <w:rPr>
                <w:szCs w:val="22"/>
                <w:lang w:val="en-GB"/>
              </w:rPr>
            </w:pPr>
            <w:r w:rsidRPr="009B58F1">
              <w:rPr>
                <w:szCs w:val="22"/>
                <w:lang w:val="en-GB"/>
              </w:rPr>
              <w:t xml:space="preserve">Percentage of </w:t>
            </w:r>
            <w:proofErr w:type="spellStart"/>
            <w:r w:rsidRPr="009B58F1">
              <w:rPr>
                <w:szCs w:val="22"/>
                <w:lang w:val="en-GB"/>
              </w:rPr>
              <w:t>TISCs</w:t>
            </w:r>
            <w:proofErr w:type="spellEnd"/>
            <w:r w:rsidRPr="009B58F1">
              <w:rPr>
                <w:szCs w:val="22"/>
                <w:lang w:val="en-GB"/>
              </w:rPr>
              <w:t xml:space="preserve"> having participated in training seminars using the new training materials</w:t>
            </w:r>
            <w:r w:rsidR="00D76BD9">
              <w:rPr>
                <w:szCs w:val="22"/>
                <w:lang w:val="en-GB"/>
              </w:rPr>
              <w:t xml:space="preserve"> and</w:t>
            </w:r>
            <w:r w:rsidRPr="009B58F1">
              <w:rPr>
                <w:szCs w:val="22"/>
                <w:lang w:val="en-GB"/>
              </w:rPr>
              <w:t xml:space="preserve"> indicating that they have either: (</w:t>
            </w:r>
            <w:proofErr w:type="spellStart"/>
            <w:r w:rsidRPr="009B58F1">
              <w:rPr>
                <w:szCs w:val="22"/>
                <w:lang w:val="en-GB"/>
              </w:rPr>
              <w:t>i</w:t>
            </w:r>
            <w:proofErr w:type="spellEnd"/>
            <w:r w:rsidRPr="009B58F1">
              <w:rPr>
                <w:szCs w:val="22"/>
                <w:lang w:val="en-GB"/>
              </w:rPr>
              <w:t>) launched new services for assistance and advice on IP management – commercialization; or (ii) strengthened existing services for assistance and advice on IP management – commercialization</w:t>
            </w:r>
            <w:r w:rsidR="0053632E">
              <w:rPr>
                <w:szCs w:val="22"/>
                <w:lang w:val="en-GB"/>
              </w:rPr>
              <w:t xml:space="preserve"> (target: 30%)</w:t>
            </w:r>
            <w:r w:rsidRPr="009B58F1">
              <w:rPr>
                <w:szCs w:val="22"/>
                <w:lang w:val="en-GB"/>
              </w:rPr>
              <w:t>.</w:t>
            </w:r>
          </w:p>
          <w:p w:rsidR="00987305" w:rsidRPr="009B58F1" w:rsidRDefault="00987305" w:rsidP="00987305">
            <w:pPr>
              <w:jc w:val="both"/>
              <w:rPr>
                <w:szCs w:val="22"/>
                <w:lang w:val="en-GB"/>
              </w:rPr>
            </w:pPr>
          </w:p>
        </w:tc>
      </w:tr>
    </w:tbl>
    <w:p w:rsidR="00170EC7" w:rsidRPr="009B58F1" w:rsidRDefault="00170EC7" w:rsidP="00C645F1"/>
    <w:p w:rsidR="00170EC7" w:rsidRPr="009B58F1" w:rsidRDefault="00170EC7" w:rsidP="00C645F1"/>
    <w:p w:rsidR="004F0C92" w:rsidRPr="009B58F1" w:rsidRDefault="004F0C92" w:rsidP="00C645F1">
      <w:pPr>
        <w:sectPr w:rsidR="004F0C92" w:rsidRPr="009B58F1" w:rsidSect="002C2755">
          <w:headerReference w:type="default" r:id="rId15"/>
          <w:headerReference w:type="first" r:id="rId16"/>
          <w:endnotePr>
            <w:numFmt w:val="decimal"/>
          </w:endnotePr>
          <w:pgSz w:w="11907" w:h="16840" w:code="9"/>
          <w:pgMar w:top="634" w:right="1138" w:bottom="1411" w:left="1411" w:header="504" w:footer="1022" w:gutter="0"/>
          <w:pgNumType w:start="1"/>
          <w:cols w:space="720"/>
          <w:titlePg/>
          <w:docGrid w:linePitch="299"/>
        </w:sectPr>
      </w:pPr>
    </w:p>
    <w:p w:rsidR="004F0C92" w:rsidRPr="009B58F1" w:rsidRDefault="00550B66" w:rsidP="00C645F1">
      <w:pPr>
        <w:rPr>
          <w:szCs w:val="22"/>
        </w:rPr>
      </w:pPr>
      <w:r w:rsidRPr="009B58F1">
        <w:t>4</w:t>
      </w:r>
      <w:r w:rsidR="004F0C92" w:rsidRPr="009B58F1">
        <w:t>.</w:t>
      </w:r>
      <w:r w:rsidR="004F0C92" w:rsidRPr="009B58F1">
        <w:tab/>
      </w:r>
      <w:r w:rsidR="004F0C92" w:rsidRPr="009B58F1">
        <w:rPr>
          <w:szCs w:val="22"/>
        </w:rPr>
        <w:t>IMPLEMENTATION TIMELINE</w:t>
      </w:r>
    </w:p>
    <w:p w:rsidR="004F0C92" w:rsidRPr="009B58F1" w:rsidRDefault="004F0C92" w:rsidP="00C645F1">
      <w:pPr>
        <w:rPr>
          <w:szCs w:val="22"/>
        </w:rPr>
      </w:pPr>
    </w:p>
    <w:tbl>
      <w:tblPr>
        <w:tblpPr w:leftFromText="180" w:rightFromText="180" w:vertAnchor="text" w:tblpY="1"/>
        <w:tblOverlap w:val="never"/>
        <w:tblW w:w="12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720"/>
        <w:gridCol w:w="720"/>
        <w:gridCol w:w="630"/>
        <w:gridCol w:w="630"/>
        <w:gridCol w:w="720"/>
        <w:gridCol w:w="720"/>
        <w:gridCol w:w="720"/>
        <w:gridCol w:w="630"/>
      </w:tblGrid>
      <w:tr w:rsidR="00987305" w:rsidRPr="009B58F1" w:rsidTr="00987305">
        <w:trPr>
          <w:trHeight w:val="277"/>
        </w:trPr>
        <w:tc>
          <w:tcPr>
            <w:tcW w:w="7455" w:type="dxa"/>
            <w:shd w:val="clear" w:color="auto" w:fill="auto"/>
          </w:tcPr>
          <w:p w:rsidR="00987305" w:rsidRPr="009B58F1" w:rsidRDefault="00987305" w:rsidP="00C645F1">
            <w:pPr>
              <w:rPr>
                <w:szCs w:val="22"/>
                <w:lang w:val="en-GB"/>
              </w:rPr>
            </w:pPr>
            <w:r w:rsidRPr="009B58F1">
              <w:rPr>
                <w:szCs w:val="22"/>
                <w:lang w:val="en-GB"/>
              </w:rPr>
              <w:t>Activity</w:t>
            </w:r>
          </w:p>
        </w:tc>
        <w:tc>
          <w:tcPr>
            <w:tcW w:w="2700" w:type="dxa"/>
            <w:gridSpan w:val="4"/>
          </w:tcPr>
          <w:p w:rsidR="00987305" w:rsidRPr="009B58F1" w:rsidRDefault="002E6708" w:rsidP="00987305">
            <w:pPr>
              <w:jc w:val="center"/>
              <w:rPr>
                <w:szCs w:val="22"/>
                <w:lang w:val="en-GB"/>
              </w:rPr>
            </w:pPr>
            <w:r>
              <w:rPr>
                <w:szCs w:val="22"/>
                <w:lang w:val="en-GB"/>
              </w:rPr>
              <w:t>2022</w:t>
            </w:r>
          </w:p>
        </w:tc>
        <w:tc>
          <w:tcPr>
            <w:tcW w:w="2790" w:type="dxa"/>
            <w:gridSpan w:val="4"/>
          </w:tcPr>
          <w:p w:rsidR="00987305" w:rsidRPr="009B58F1" w:rsidRDefault="002E6708" w:rsidP="00987305">
            <w:pPr>
              <w:jc w:val="center"/>
              <w:rPr>
                <w:szCs w:val="22"/>
                <w:lang w:val="en-GB"/>
              </w:rPr>
            </w:pPr>
            <w:r>
              <w:rPr>
                <w:szCs w:val="22"/>
                <w:lang w:val="en-GB"/>
              </w:rPr>
              <w:t>2023</w:t>
            </w:r>
          </w:p>
        </w:tc>
      </w:tr>
      <w:tr w:rsidR="00981B2C" w:rsidRPr="009B58F1" w:rsidTr="006D2A09">
        <w:trPr>
          <w:trHeight w:val="283"/>
        </w:trPr>
        <w:tc>
          <w:tcPr>
            <w:tcW w:w="7455" w:type="dxa"/>
            <w:shd w:val="clear" w:color="auto" w:fill="auto"/>
          </w:tcPr>
          <w:p w:rsidR="00981B2C" w:rsidRPr="009B58F1" w:rsidRDefault="00981B2C" w:rsidP="00C645F1">
            <w:pP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1st</w:t>
            </w:r>
          </w:p>
        </w:tc>
        <w:tc>
          <w:tcPr>
            <w:tcW w:w="72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2nd</w:t>
            </w:r>
          </w:p>
        </w:tc>
        <w:tc>
          <w:tcPr>
            <w:tcW w:w="63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3rd</w:t>
            </w:r>
          </w:p>
        </w:tc>
        <w:tc>
          <w:tcPr>
            <w:tcW w:w="63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4th</w:t>
            </w:r>
          </w:p>
        </w:tc>
        <w:tc>
          <w:tcPr>
            <w:tcW w:w="720" w:type="dxa"/>
            <w:shd w:val="clear" w:color="auto" w:fill="auto"/>
          </w:tcPr>
          <w:p w:rsidR="00981B2C" w:rsidRPr="009B58F1" w:rsidRDefault="00981B2C" w:rsidP="00C645F1">
            <w:pPr>
              <w:rPr>
                <w:szCs w:val="22"/>
                <w:lang w:val="en-GB"/>
              </w:rPr>
            </w:pPr>
            <w:r w:rsidRPr="009B58F1">
              <w:rPr>
                <w:szCs w:val="22"/>
                <w:lang w:val="en-GB"/>
              </w:rPr>
              <w:t>1</w:t>
            </w:r>
            <w:r w:rsidRPr="002E6708">
              <w:rPr>
                <w:szCs w:val="22"/>
                <w:vertAlign w:val="superscript"/>
                <w:lang w:val="en-GB"/>
              </w:rPr>
              <w:t>st</w:t>
            </w:r>
          </w:p>
        </w:tc>
        <w:tc>
          <w:tcPr>
            <w:tcW w:w="720" w:type="dxa"/>
            <w:shd w:val="clear" w:color="auto" w:fill="auto"/>
          </w:tcPr>
          <w:p w:rsidR="00981B2C" w:rsidRPr="009B58F1" w:rsidRDefault="00981B2C" w:rsidP="00C645F1">
            <w:pPr>
              <w:rPr>
                <w:szCs w:val="22"/>
                <w:lang w:val="en-GB"/>
              </w:rPr>
            </w:pPr>
            <w:r w:rsidRPr="009B58F1">
              <w:rPr>
                <w:szCs w:val="22"/>
                <w:lang w:val="en-GB"/>
              </w:rPr>
              <w:t>2nd</w:t>
            </w:r>
          </w:p>
        </w:tc>
        <w:tc>
          <w:tcPr>
            <w:tcW w:w="720" w:type="dxa"/>
            <w:shd w:val="clear" w:color="auto" w:fill="auto"/>
          </w:tcPr>
          <w:p w:rsidR="00981B2C" w:rsidRPr="009B58F1" w:rsidRDefault="00981B2C" w:rsidP="00C645F1">
            <w:pPr>
              <w:rPr>
                <w:szCs w:val="22"/>
                <w:lang w:val="en-GB"/>
              </w:rPr>
            </w:pPr>
            <w:r w:rsidRPr="009B58F1">
              <w:rPr>
                <w:szCs w:val="22"/>
                <w:lang w:val="en-GB"/>
              </w:rPr>
              <w:t>3rd</w:t>
            </w:r>
          </w:p>
        </w:tc>
        <w:tc>
          <w:tcPr>
            <w:tcW w:w="630" w:type="dxa"/>
            <w:shd w:val="clear" w:color="auto" w:fill="auto"/>
          </w:tcPr>
          <w:p w:rsidR="00981B2C" w:rsidRPr="009B58F1" w:rsidRDefault="00981B2C" w:rsidP="00C645F1">
            <w:pPr>
              <w:rPr>
                <w:szCs w:val="22"/>
                <w:lang w:val="en-GB"/>
              </w:rPr>
            </w:pPr>
            <w:r w:rsidRPr="009B58F1">
              <w:rPr>
                <w:szCs w:val="22"/>
                <w:lang w:val="en-GB"/>
              </w:rPr>
              <w:t>4th</w:t>
            </w:r>
          </w:p>
        </w:tc>
      </w:tr>
      <w:tr w:rsidR="00981B2C" w:rsidRPr="009B58F1" w:rsidTr="006D2A09">
        <w:trPr>
          <w:trHeight w:val="283"/>
        </w:trPr>
        <w:tc>
          <w:tcPr>
            <w:tcW w:w="7455" w:type="dxa"/>
            <w:shd w:val="clear" w:color="auto" w:fill="auto"/>
          </w:tcPr>
          <w:p w:rsidR="00351280" w:rsidRPr="009B58F1" w:rsidRDefault="00313263" w:rsidP="00313263">
            <w:pPr>
              <w:jc w:val="both"/>
              <w:rPr>
                <w:szCs w:val="22"/>
                <w:lang w:val="en-GB"/>
              </w:rPr>
            </w:pPr>
            <w:r>
              <w:t>Development of t</w:t>
            </w:r>
            <w:r w:rsidR="00A1735C" w:rsidRPr="009B58F1">
              <w:t>oolkits</w:t>
            </w:r>
            <w:r w:rsidR="00351280" w:rsidRPr="009B58F1">
              <w:t xml:space="preserve"> </w:t>
            </w:r>
          </w:p>
          <w:p w:rsidR="00981B2C" w:rsidRPr="009B58F1" w:rsidRDefault="00981B2C" w:rsidP="00C645F1">
            <w:pP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7305" w:rsidP="00987305">
            <w:pPr>
              <w:jc w:val="center"/>
              <w:rPr>
                <w:szCs w:val="22"/>
                <w:lang w:val="en-GB"/>
              </w:rPr>
            </w:pPr>
            <w:r w:rsidRPr="009B58F1">
              <w:rPr>
                <w:szCs w:val="22"/>
                <w:lang w:val="en-GB"/>
              </w:rPr>
              <w:t>x</w:t>
            </w:r>
          </w:p>
        </w:tc>
        <w:tc>
          <w:tcPr>
            <w:tcW w:w="720" w:type="dxa"/>
            <w:tcBorders>
              <w:top w:val="single" w:sz="6" w:space="0" w:color="auto"/>
              <w:bottom w:val="single" w:sz="6" w:space="0" w:color="auto"/>
            </w:tcBorders>
            <w:shd w:val="pct15" w:color="auto" w:fill="auto"/>
          </w:tcPr>
          <w:p w:rsidR="00981B2C" w:rsidRPr="009B58F1" w:rsidRDefault="00987305" w:rsidP="00987305">
            <w:pPr>
              <w:jc w:val="center"/>
              <w:rPr>
                <w:szCs w:val="22"/>
                <w:lang w:val="en-GB"/>
              </w:rPr>
            </w:pPr>
            <w:r w:rsidRPr="009B58F1">
              <w:rPr>
                <w:szCs w:val="22"/>
                <w:lang w:val="en-GB"/>
              </w:rPr>
              <w:t>x</w:t>
            </w:r>
          </w:p>
        </w:tc>
        <w:tc>
          <w:tcPr>
            <w:tcW w:w="63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630" w:type="dxa"/>
            <w:shd w:val="clear" w:color="auto" w:fill="auto"/>
          </w:tcPr>
          <w:p w:rsidR="00981B2C" w:rsidRPr="009B58F1" w:rsidRDefault="00981B2C" w:rsidP="00987305">
            <w:pPr>
              <w:jc w:val="center"/>
              <w:rPr>
                <w:szCs w:val="22"/>
                <w:lang w:val="en-GB"/>
              </w:rPr>
            </w:pPr>
          </w:p>
        </w:tc>
      </w:tr>
      <w:tr w:rsidR="00981B2C" w:rsidRPr="009B58F1" w:rsidTr="0053632E">
        <w:trPr>
          <w:trHeight w:val="283"/>
        </w:trPr>
        <w:tc>
          <w:tcPr>
            <w:tcW w:w="7455" w:type="dxa"/>
            <w:shd w:val="clear" w:color="auto" w:fill="auto"/>
          </w:tcPr>
          <w:p w:rsidR="00981B2C" w:rsidRPr="009B58F1" w:rsidRDefault="00313263" w:rsidP="00313263">
            <w:pPr>
              <w:rPr>
                <w:szCs w:val="22"/>
                <w:lang w:val="en-GB"/>
              </w:rPr>
            </w:pPr>
            <w:r>
              <w:rPr>
                <w:szCs w:val="22"/>
                <w:lang w:val="en-GB"/>
              </w:rPr>
              <w:t>Development of t</w:t>
            </w:r>
            <w:r w:rsidR="00A1735C" w:rsidRPr="009B58F1">
              <w:rPr>
                <w:szCs w:val="22"/>
                <w:lang w:val="en-GB"/>
              </w:rPr>
              <w:t>raining materials</w:t>
            </w:r>
          </w:p>
          <w:p w:rsidR="00A1735C" w:rsidRPr="009B58F1" w:rsidRDefault="00A1735C" w:rsidP="00C645F1">
            <w:pP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6" w:space="0" w:color="auto"/>
            </w:tcBorders>
            <w:shd w:val="pct15" w:color="auto" w:fill="auto"/>
          </w:tcPr>
          <w:p w:rsidR="00981B2C" w:rsidRPr="009B58F1" w:rsidRDefault="00FC2EB1" w:rsidP="00987305">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rsidR="00981B2C" w:rsidRPr="009B58F1" w:rsidRDefault="00987305" w:rsidP="00987305">
            <w:pPr>
              <w:jc w:val="center"/>
              <w:rPr>
                <w:szCs w:val="22"/>
                <w:lang w:val="en-GB"/>
              </w:rPr>
            </w:pPr>
            <w:r w:rsidRPr="009B58F1">
              <w:rPr>
                <w:szCs w:val="22"/>
                <w:lang w:val="en-GB"/>
              </w:rPr>
              <w:t>x</w:t>
            </w:r>
          </w:p>
        </w:tc>
        <w:tc>
          <w:tcPr>
            <w:tcW w:w="720" w:type="dxa"/>
            <w:shd w:val="clear" w:color="auto" w:fill="auto"/>
          </w:tcPr>
          <w:p w:rsidR="00981B2C" w:rsidRPr="009B58F1" w:rsidRDefault="002E6708" w:rsidP="00987305">
            <w:pPr>
              <w:jc w:val="center"/>
              <w:rPr>
                <w:szCs w:val="22"/>
                <w:lang w:val="en-GB"/>
              </w:rPr>
            </w:pPr>
            <w:r>
              <w:rPr>
                <w:szCs w:val="22"/>
                <w:lang w:val="en-GB"/>
              </w:rPr>
              <w:t>x</w:t>
            </w:r>
          </w:p>
        </w:tc>
        <w:tc>
          <w:tcPr>
            <w:tcW w:w="720" w:type="dxa"/>
            <w:shd w:val="clear" w:color="auto" w:fill="auto"/>
          </w:tcPr>
          <w:p w:rsidR="00981B2C" w:rsidRPr="009B58F1" w:rsidRDefault="00FC2EB1" w:rsidP="00987305">
            <w:pPr>
              <w:jc w:val="center"/>
              <w:rPr>
                <w:szCs w:val="22"/>
                <w:lang w:val="en-GB"/>
              </w:rPr>
            </w:pPr>
            <w:r>
              <w:rPr>
                <w:szCs w:val="22"/>
                <w:lang w:val="en-GB"/>
              </w:rPr>
              <w:t>x</w:t>
            </w:r>
          </w:p>
        </w:tc>
        <w:tc>
          <w:tcPr>
            <w:tcW w:w="720" w:type="dxa"/>
            <w:shd w:val="clear" w:color="auto" w:fill="auto"/>
          </w:tcPr>
          <w:p w:rsidR="00981B2C" w:rsidRPr="009B58F1" w:rsidRDefault="00981B2C" w:rsidP="00987305">
            <w:pPr>
              <w:jc w:val="center"/>
              <w:rPr>
                <w:szCs w:val="22"/>
                <w:lang w:val="en-GB"/>
              </w:rPr>
            </w:pPr>
          </w:p>
        </w:tc>
        <w:tc>
          <w:tcPr>
            <w:tcW w:w="630" w:type="dxa"/>
            <w:shd w:val="clear" w:color="auto" w:fill="auto"/>
          </w:tcPr>
          <w:p w:rsidR="00981B2C" w:rsidRPr="009B58F1" w:rsidRDefault="00981B2C" w:rsidP="00987305">
            <w:pPr>
              <w:jc w:val="center"/>
              <w:rPr>
                <w:szCs w:val="22"/>
                <w:lang w:val="en-GB"/>
              </w:rPr>
            </w:pPr>
          </w:p>
        </w:tc>
      </w:tr>
      <w:tr w:rsidR="00981B2C" w:rsidRPr="009B58F1" w:rsidTr="0053632E">
        <w:trPr>
          <w:trHeight w:val="259"/>
        </w:trPr>
        <w:tc>
          <w:tcPr>
            <w:tcW w:w="7455" w:type="dxa"/>
            <w:shd w:val="clear" w:color="auto" w:fill="auto"/>
          </w:tcPr>
          <w:p w:rsidR="00A1735C" w:rsidRPr="009B58F1" w:rsidRDefault="00313263" w:rsidP="00C645F1">
            <w:pPr>
              <w:rPr>
                <w:szCs w:val="22"/>
                <w:lang w:val="en-GB"/>
              </w:rPr>
            </w:pPr>
            <w:r>
              <w:rPr>
                <w:szCs w:val="22"/>
                <w:lang w:val="en-GB"/>
              </w:rPr>
              <w:t>Delivery of t</w:t>
            </w:r>
            <w:r w:rsidR="00A1735C" w:rsidRPr="009B58F1">
              <w:rPr>
                <w:szCs w:val="22"/>
                <w:lang w:val="en-GB"/>
              </w:rPr>
              <w:t>raining seminars</w:t>
            </w:r>
          </w:p>
          <w:p w:rsidR="00981B2C" w:rsidRPr="009B58F1" w:rsidRDefault="00981B2C" w:rsidP="00C645F1">
            <w:pPr>
              <w:rPr>
                <w:szCs w:val="22"/>
                <w:lang w:val="en-GB"/>
              </w:rPr>
            </w:pPr>
            <w:r w:rsidRPr="009B58F1">
              <w:rPr>
                <w:szCs w:val="22"/>
                <w:lang w:val="en-GB"/>
              </w:rPr>
              <w:t xml:space="preserve"> </w:t>
            </w:r>
          </w:p>
        </w:tc>
        <w:tc>
          <w:tcPr>
            <w:tcW w:w="72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72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720" w:type="dxa"/>
            <w:tcBorders>
              <w:bottom w:val="single" w:sz="12" w:space="0" w:color="auto"/>
            </w:tcBorders>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7305" w:rsidP="00987305">
            <w:pPr>
              <w:jc w:val="center"/>
              <w:rPr>
                <w:szCs w:val="22"/>
                <w:lang w:val="en-GB"/>
              </w:rPr>
            </w:pPr>
            <w:r w:rsidRPr="009B58F1">
              <w:rPr>
                <w:szCs w:val="22"/>
                <w:lang w:val="en-GB"/>
              </w:rPr>
              <w:t>x</w:t>
            </w:r>
          </w:p>
        </w:tc>
        <w:tc>
          <w:tcPr>
            <w:tcW w:w="630" w:type="dxa"/>
            <w:shd w:val="clear" w:color="auto" w:fill="auto"/>
          </w:tcPr>
          <w:p w:rsidR="00981B2C" w:rsidRPr="009B58F1" w:rsidRDefault="00987305" w:rsidP="00987305">
            <w:pPr>
              <w:jc w:val="center"/>
              <w:rPr>
                <w:szCs w:val="22"/>
                <w:lang w:val="en-GB"/>
              </w:rPr>
            </w:pPr>
            <w:r w:rsidRPr="009B58F1">
              <w:rPr>
                <w:szCs w:val="22"/>
                <w:lang w:val="en-GB"/>
              </w:rPr>
              <w:t>x</w:t>
            </w:r>
          </w:p>
        </w:tc>
      </w:tr>
    </w:tbl>
    <w:p w:rsidR="003B4D58" w:rsidRPr="009B58F1" w:rsidRDefault="005A5D37" w:rsidP="00C645F1">
      <w:pPr>
        <w:rPr>
          <w:lang w:val="fr-CH"/>
        </w:rPr>
      </w:pPr>
      <w:r w:rsidRPr="009B58F1">
        <w:rPr>
          <w:lang w:val="fr-CH"/>
        </w:rPr>
        <w:br w:type="page"/>
      </w:r>
    </w:p>
    <w:p w:rsidR="000738B8" w:rsidRPr="009B58F1" w:rsidRDefault="000738B8" w:rsidP="00C645F1">
      <w:pPr>
        <w:rPr>
          <w:lang w:val="fr-CH"/>
        </w:rPr>
      </w:pPr>
      <w:r w:rsidRPr="009B58F1">
        <w:rPr>
          <w:lang w:val="fr-CH"/>
        </w:rPr>
        <w:t xml:space="preserve">5. </w:t>
      </w:r>
      <w:r w:rsidRPr="009B58F1">
        <w:rPr>
          <w:szCs w:val="22"/>
          <w:lang w:val="fr-FR"/>
        </w:rPr>
        <w:t xml:space="preserve">TOTAL </w:t>
      </w:r>
      <w:proofErr w:type="spellStart"/>
      <w:r w:rsidRPr="009B58F1">
        <w:rPr>
          <w:szCs w:val="22"/>
          <w:lang w:val="fr-FR"/>
        </w:rPr>
        <w:t>RESOURCES</w:t>
      </w:r>
      <w:proofErr w:type="spellEnd"/>
      <w:r w:rsidRPr="009B58F1">
        <w:rPr>
          <w:szCs w:val="22"/>
          <w:lang w:val="fr-FR"/>
        </w:rPr>
        <w:t xml:space="preserve"> BY OUTPUT </w:t>
      </w:r>
    </w:p>
    <w:p w:rsidR="000738B8" w:rsidRDefault="000738B8" w:rsidP="00C645F1">
      <w:pPr>
        <w:rPr>
          <w:szCs w:val="22"/>
          <w:lang w:val="fr-FR"/>
        </w:rPr>
      </w:pPr>
    </w:p>
    <w:p w:rsidR="00261C8F" w:rsidRDefault="00261C8F" w:rsidP="00C645F1">
      <w:pPr>
        <w:rPr>
          <w:rFonts w:ascii="Times New Roman" w:eastAsia="Times New Roman" w:hAnsi="Times New Roman" w:cs="Times New Roman"/>
          <w:sz w:val="20"/>
          <w:lang w:val="fr-CH" w:eastAsia="fr-CH"/>
        </w:rPr>
      </w:pPr>
      <w:r>
        <w:rPr>
          <w:szCs w:val="22"/>
          <w:lang w:val="fr-FR"/>
        </w:rPr>
        <w:fldChar w:fldCharType="begin"/>
      </w:r>
      <w:r>
        <w:rPr>
          <w:szCs w:val="22"/>
          <w:lang w:val="fr-FR"/>
        </w:rPr>
        <w:instrText xml:space="preserve"> LINK Excel.Sheet.12 "\\\\Wipogvafs01\\DAT1\\ORGOIOP\\PPBD shared filing for migration\\21-DA Projects\\1. Projects\\DA Project Proposal_ Identifying and Using Inventions in Public Domain.xlsx" "DA by Output!R7C2:R12C7" \a \f 4 \h  \* MERGEFORMAT </w:instrText>
      </w:r>
      <w:r>
        <w:rPr>
          <w:szCs w:val="22"/>
          <w:lang w:val="fr-FR"/>
        </w:rPr>
        <w:fldChar w:fldCharType="separate"/>
      </w:r>
    </w:p>
    <w:tbl>
      <w:tblPr>
        <w:tblW w:w="10420" w:type="dxa"/>
        <w:tblLook w:val="04A0" w:firstRow="1" w:lastRow="0" w:firstColumn="1" w:lastColumn="0" w:noHBand="0" w:noVBand="1"/>
      </w:tblPr>
      <w:tblGrid>
        <w:gridCol w:w="3360"/>
        <w:gridCol w:w="1440"/>
        <w:gridCol w:w="1440"/>
        <w:gridCol w:w="1440"/>
        <w:gridCol w:w="1440"/>
        <w:gridCol w:w="1300"/>
      </w:tblGrid>
      <w:tr w:rsidR="00261C8F" w:rsidRPr="00261C8F" w:rsidTr="00261C8F">
        <w:trPr>
          <w:trHeight w:val="705"/>
        </w:trPr>
        <w:tc>
          <w:tcPr>
            <w:tcW w:w="3360" w:type="dxa"/>
            <w:tcBorders>
              <w:top w:val="single" w:sz="4" w:space="0" w:color="BFBFBF"/>
              <w:left w:val="single" w:sz="4" w:space="0" w:color="BFBFBF"/>
              <w:bottom w:val="nil"/>
              <w:right w:val="single" w:sz="4" w:space="0" w:color="A6A6A6"/>
            </w:tcBorders>
            <w:shd w:val="clear" w:color="000000" w:fill="C7CFD8"/>
            <w:noWrap/>
            <w:vAlign w:val="bottom"/>
            <w:hideMark/>
          </w:tcPr>
          <w:p w:rsidR="00261C8F" w:rsidRPr="008E44FF" w:rsidRDefault="00261C8F">
            <w:pPr>
              <w:rPr>
                <w:rFonts w:ascii="Arial Narrow" w:eastAsia="Times New Roman" w:hAnsi="Arial Narrow"/>
                <w:i/>
                <w:iCs/>
                <w:color w:val="002839"/>
                <w:sz w:val="20"/>
                <w:lang w:eastAsia="en-US"/>
              </w:rPr>
            </w:pPr>
            <w:r w:rsidRPr="008E44FF">
              <w:rPr>
                <w:rFonts w:ascii="Arial Narrow" w:eastAsia="Times New Roman" w:hAnsi="Arial Narrow"/>
                <w:i/>
                <w:iCs/>
                <w:color w:val="002839"/>
                <w:sz w:val="20"/>
                <w:lang w:eastAsia="en-US"/>
              </w:rPr>
              <w:t>(in Swiss francs)</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2022</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2023</w:t>
            </w:r>
          </w:p>
        </w:tc>
        <w:tc>
          <w:tcPr>
            <w:tcW w:w="1300"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Total</w:t>
            </w:r>
          </w:p>
        </w:tc>
      </w:tr>
      <w:tr w:rsidR="00261C8F" w:rsidRPr="00261C8F" w:rsidTr="00261C8F">
        <w:trPr>
          <w:trHeight w:val="525"/>
        </w:trPr>
        <w:tc>
          <w:tcPr>
            <w:tcW w:w="3360" w:type="dxa"/>
            <w:tcBorders>
              <w:top w:val="nil"/>
              <w:left w:val="single" w:sz="4" w:space="0" w:color="BFBFBF"/>
              <w:bottom w:val="single" w:sz="4" w:space="0" w:color="BFBFBF"/>
              <w:right w:val="nil"/>
            </w:tcBorders>
            <w:shd w:val="clear" w:color="000000" w:fill="C7CFD8"/>
            <w:noWrap/>
            <w:vAlign w:val="bottom"/>
            <w:hideMark/>
          </w:tcPr>
          <w:p w:rsidR="00261C8F" w:rsidRPr="00261C8F" w:rsidRDefault="00261C8F" w:rsidP="00261C8F">
            <w:pP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Project Outputs </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Personnel </w:t>
            </w:r>
          </w:p>
        </w:tc>
        <w:tc>
          <w:tcPr>
            <w:tcW w:w="1440" w:type="dxa"/>
            <w:tcBorders>
              <w:top w:val="nil"/>
              <w:left w:val="nil"/>
              <w:bottom w:val="single" w:sz="4" w:space="0" w:color="BFBFBF"/>
              <w:right w:val="single" w:sz="4" w:space="0" w:color="A6A6A6"/>
            </w:tcBorders>
            <w:shd w:val="clear" w:color="000000" w:fill="C7CFD8"/>
            <w:vAlign w:val="bottom"/>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Non-Personnel </w:t>
            </w:r>
          </w:p>
        </w:tc>
        <w:tc>
          <w:tcPr>
            <w:tcW w:w="1440" w:type="dxa"/>
            <w:tcBorders>
              <w:top w:val="nil"/>
              <w:left w:val="nil"/>
              <w:bottom w:val="single" w:sz="4" w:space="0" w:color="BFBFBF"/>
              <w:right w:val="single" w:sz="4" w:space="0" w:color="A6A6A6"/>
            </w:tcBorders>
            <w:shd w:val="clear" w:color="000000" w:fill="C7CFD8"/>
            <w:vAlign w:val="bottom"/>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Personnel </w:t>
            </w:r>
          </w:p>
        </w:tc>
        <w:tc>
          <w:tcPr>
            <w:tcW w:w="1440" w:type="dxa"/>
            <w:tcBorders>
              <w:top w:val="nil"/>
              <w:left w:val="nil"/>
              <w:bottom w:val="single" w:sz="4" w:space="0" w:color="BFBFBF"/>
              <w:right w:val="single" w:sz="4" w:space="0" w:color="A6A6A6"/>
            </w:tcBorders>
            <w:shd w:val="clear" w:color="000000" w:fill="C7CFD8"/>
            <w:vAlign w:val="bottom"/>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Non-Personnel </w:t>
            </w:r>
          </w:p>
        </w:tc>
        <w:tc>
          <w:tcPr>
            <w:tcW w:w="1300" w:type="dxa"/>
            <w:vMerge/>
            <w:tcBorders>
              <w:top w:val="single" w:sz="4" w:space="0" w:color="BFBFBF"/>
              <w:left w:val="nil"/>
              <w:bottom w:val="single" w:sz="4" w:space="0" w:color="BFBFBF"/>
              <w:right w:val="single" w:sz="4" w:space="0" w:color="BFBFBF"/>
            </w:tcBorders>
            <w:vAlign w:val="center"/>
            <w:hideMark/>
          </w:tcPr>
          <w:p w:rsidR="00261C8F" w:rsidRPr="00261C8F" w:rsidRDefault="00261C8F" w:rsidP="00261C8F">
            <w:pPr>
              <w:rPr>
                <w:rFonts w:ascii="Arial Narrow" w:eastAsia="Times New Roman" w:hAnsi="Arial Narrow"/>
                <w:b/>
                <w:bCs/>
                <w:color w:val="002839"/>
                <w:sz w:val="20"/>
                <w:lang w:eastAsia="en-US"/>
              </w:rPr>
            </w:pPr>
          </w:p>
        </w:tc>
      </w:tr>
      <w:tr w:rsidR="00261C8F" w:rsidRPr="00261C8F" w:rsidTr="00261C8F">
        <w:trPr>
          <w:trHeight w:val="780"/>
        </w:trPr>
        <w:tc>
          <w:tcPr>
            <w:tcW w:w="3360" w:type="dxa"/>
            <w:tcBorders>
              <w:top w:val="nil"/>
              <w:left w:val="single" w:sz="4" w:space="0" w:color="BFBFBF"/>
              <w:bottom w:val="single" w:sz="4" w:space="0" w:color="BFBFBF"/>
              <w:right w:val="single" w:sz="4" w:space="0" w:color="BFBFBF"/>
            </w:tcBorders>
            <w:shd w:val="clear" w:color="auto" w:fill="auto"/>
            <w:noWrap/>
            <w:vAlign w:val="center"/>
            <w:hideMark/>
          </w:tcPr>
          <w:p w:rsidR="00261C8F" w:rsidRPr="00261C8F" w:rsidRDefault="00261C8F" w:rsidP="00261C8F">
            <w:pPr>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Development of toolkits</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261C8F" w:rsidRPr="00261C8F" w:rsidRDefault="00261C8F" w:rsidP="00261C8F">
            <w:pPr>
              <w:jc w:val="right"/>
              <w:rPr>
                <w:rFonts w:ascii="Arial Narrow" w:eastAsia="Times New Roman" w:hAnsi="Arial Narrow"/>
                <w:color w:val="000000"/>
                <w:sz w:val="20"/>
                <w:lang w:eastAsia="en-US"/>
              </w:rPr>
            </w:pPr>
            <w:r w:rsidRPr="00261C8F">
              <w:rPr>
                <w:rFonts w:ascii="Arial Narrow" w:eastAsia="Times New Roman" w:hAnsi="Arial Narrow"/>
                <w:color w:val="000000"/>
                <w:sz w:val="20"/>
                <w:lang w:eastAsia="en-US"/>
              </w:rPr>
              <w:t xml:space="preserve">             20,000 </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20,000 </w:t>
            </w:r>
          </w:p>
        </w:tc>
      </w:tr>
      <w:tr w:rsidR="00261C8F" w:rsidRPr="00261C8F" w:rsidTr="00261C8F">
        <w:trPr>
          <w:trHeight w:val="780"/>
        </w:trPr>
        <w:tc>
          <w:tcPr>
            <w:tcW w:w="3360" w:type="dxa"/>
            <w:tcBorders>
              <w:top w:val="nil"/>
              <w:left w:val="single" w:sz="4" w:space="0" w:color="BFBFBF"/>
              <w:bottom w:val="single" w:sz="4" w:space="0" w:color="BFBFBF"/>
              <w:right w:val="single" w:sz="4" w:space="0" w:color="BFBFBF"/>
            </w:tcBorders>
            <w:shd w:val="clear" w:color="auto" w:fill="auto"/>
            <w:noWrap/>
            <w:vAlign w:val="center"/>
            <w:hideMark/>
          </w:tcPr>
          <w:p w:rsidR="00261C8F" w:rsidRPr="00261C8F" w:rsidRDefault="00261C8F" w:rsidP="00261C8F">
            <w:pPr>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Development of training materials</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261C8F" w:rsidRPr="00261C8F" w:rsidRDefault="00261C8F" w:rsidP="00261C8F">
            <w:pPr>
              <w:jc w:val="right"/>
              <w:rPr>
                <w:rFonts w:ascii="Arial Narrow" w:eastAsia="Times New Roman" w:hAnsi="Arial Narrow"/>
                <w:color w:val="000000"/>
                <w:sz w:val="20"/>
                <w:lang w:eastAsia="en-US"/>
              </w:rPr>
            </w:pPr>
            <w:r w:rsidRPr="00261C8F">
              <w:rPr>
                <w:rFonts w:ascii="Arial Narrow" w:eastAsia="Times New Roman" w:hAnsi="Arial Narrow"/>
                <w:color w:val="000000"/>
                <w:sz w:val="20"/>
                <w:lang w:eastAsia="en-US"/>
              </w:rPr>
              <w:t xml:space="preserve">             20,000 </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261C8F" w:rsidRPr="00261C8F" w:rsidRDefault="00261C8F" w:rsidP="00261C8F">
            <w:pPr>
              <w:jc w:val="right"/>
              <w:rPr>
                <w:rFonts w:ascii="Arial Narrow" w:eastAsia="Times New Roman" w:hAnsi="Arial Narrow"/>
                <w:color w:val="000000"/>
                <w:sz w:val="20"/>
                <w:lang w:eastAsia="en-US"/>
              </w:rPr>
            </w:pPr>
            <w:r w:rsidRPr="00261C8F">
              <w:rPr>
                <w:rFonts w:ascii="Arial Narrow" w:eastAsia="Times New Roman" w:hAnsi="Arial Narrow"/>
                <w:color w:val="000000"/>
                <w:sz w:val="20"/>
                <w:lang w:eastAsia="en-US"/>
              </w:rPr>
              <w:t xml:space="preserve">             20,000 </w:t>
            </w:r>
          </w:p>
        </w:tc>
        <w:tc>
          <w:tcPr>
            <w:tcW w:w="130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40,000 </w:t>
            </w:r>
          </w:p>
        </w:tc>
      </w:tr>
      <w:tr w:rsidR="00261C8F" w:rsidRPr="00261C8F" w:rsidTr="00261C8F">
        <w:trPr>
          <w:trHeight w:val="780"/>
        </w:trPr>
        <w:tc>
          <w:tcPr>
            <w:tcW w:w="3360" w:type="dxa"/>
            <w:tcBorders>
              <w:top w:val="nil"/>
              <w:left w:val="single" w:sz="4" w:space="0" w:color="BFBFBF"/>
              <w:bottom w:val="single" w:sz="4" w:space="0" w:color="BFBFBF"/>
              <w:right w:val="single" w:sz="4" w:space="0" w:color="BFBFBF"/>
            </w:tcBorders>
            <w:shd w:val="clear" w:color="auto" w:fill="auto"/>
            <w:noWrap/>
            <w:vAlign w:val="center"/>
            <w:hideMark/>
          </w:tcPr>
          <w:p w:rsidR="00261C8F" w:rsidRPr="00261C8F" w:rsidRDefault="00261C8F" w:rsidP="00261C8F">
            <w:pPr>
              <w:rPr>
                <w:rFonts w:ascii="Arial Narrow" w:eastAsia="Times New Roman" w:hAnsi="Arial Narrow"/>
                <w:color w:val="002839"/>
                <w:sz w:val="20"/>
                <w:lang w:eastAsia="en-US"/>
              </w:rPr>
            </w:pPr>
            <w:r w:rsidRPr="00261C8F">
              <w:rPr>
                <w:rFonts w:ascii="Arial Narrow" w:eastAsia="Times New Roman" w:hAnsi="Arial Narrow"/>
                <w:color w:val="002839"/>
                <w:sz w:val="20"/>
                <w:lang w:val="en-GB" w:eastAsia="en-US"/>
              </w:rPr>
              <w:t>Delivery of training seminars</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261C8F" w:rsidRPr="00261C8F" w:rsidRDefault="00261C8F" w:rsidP="00261C8F">
            <w:pPr>
              <w:jc w:val="right"/>
              <w:rPr>
                <w:rFonts w:ascii="Arial Narrow" w:eastAsia="Times New Roman" w:hAnsi="Arial Narrow"/>
                <w:color w:val="000000"/>
                <w:sz w:val="20"/>
                <w:lang w:eastAsia="en-US"/>
              </w:rPr>
            </w:pPr>
            <w:r w:rsidRPr="00261C8F">
              <w:rPr>
                <w:rFonts w:ascii="Arial Narrow" w:eastAsia="Times New Roman" w:hAnsi="Arial Narrow"/>
                <w:color w:val="000000"/>
                <w:sz w:val="20"/>
                <w:lang w:eastAsia="en-US"/>
              </w:rPr>
              <w:t xml:space="preserve">             20,000 </w:t>
            </w:r>
          </w:p>
        </w:tc>
        <w:tc>
          <w:tcPr>
            <w:tcW w:w="1300"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20,000 </w:t>
            </w:r>
          </w:p>
        </w:tc>
      </w:tr>
      <w:tr w:rsidR="00261C8F" w:rsidRPr="00261C8F" w:rsidTr="00261C8F">
        <w:trPr>
          <w:trHeight w:val="615"/>
        </w:trPr>
        <w:tc>
          <w:tcPr>
            <w:tcW w:w="3360" w:type="dxa"/>
            <w:tcBorders>
              <w:top w:val="nil"/>
              <w:left w:val="single" w:sz="4" w:space="0" w:color="BFBFBF"/>
              <w:bottom w:val="single" w:sz="4" w:space="0" w:color="BFBFBF"/>
              <w:right w:val="single" w:sz="4" w:space="0" w:color="BFBFBF"/>
            </w:tcBorders>
            <w:shd w:val="clear" w:color="000000" w:fill="EDF0F3"/>
            <w:vAlign w:val="center"/>
            <w:hideMark/>
          </w:tcPr>
          <w:p w:rsidR="00261C8F" w:rsidRPr="00261C8F" w:rsidRDefault="00261C8F" w:rsidP="00261C8F">
            <w:pP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Total </w:t>
            </w:r>
          </w:p>
        </w:tc>
        <w:tc>
          <w:tcPr>
            <w:tcW w:w="1440"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40,000 </w:t>
            </w:r>
          </w:p>
        </w:tc>
        <w:tc>
          <w:tcPr>
            <w:tcW w:w="1440"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40,000 </w:t>
            </w:r>
          </w:p>
        </w:tc>
        <w:tc>
          <w:tcPr>
            <w:tcW w:w="1300"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80,000 </w:t>
            </w:r>
          </w:p>
        </w:tc>
      </w:tr>
    </w:tbl>
    <w:p w:rsidR="00E73BEF" w:rsidRPr="009B58F1" w:rsidRDefault="00261C8F" w:rsidP="00C645F1">
      <w:pPr>
        <w:rPr>
          <w:szCs w:val="22"/>
          <w:lang w:val="fr-FR"/>
        </w:rPr>
      </w:pPr>
      <w:r>
        <w:rPr>
          <w:szCs w:val="22"/>
          <w:lang w:val="fr-FR"/>
        </w:rPr>
        <w:fldChar w:fldCharType="end"/>
      </w:r>
    </w:p>
    <w:p w:rsidR="000738B8" w:rsidRPr="009B58F1" w:rsidRDefault="000738B8" w:rsidP="00C645F1">
      <w:pPr>
        <w:rPr>
          <w:szCs w:val="22"/>
          <w:lang w:val="fr-FR"/>
        </w:rPr>
      </w:pPr>
    </w:p>
    <w:p w:rsidR="000738B8" w:rsidRDefault="000738B8" w:rsidP="00C645F1">
      <w:pPr>
        <w:rPr>
          <w:bCs/>
          <w:iCs/>
          <w:szCs w:val="22"/>
        </w:rPr>
      </w:pPr>
      <w:r w:rsidRPr="009B58F1">
        <w:rPr>
          <w:szCs w:val="22"/>
        </w:rPr>
        <w:br w:type="page"/>
      </w:r>
      <w:r w:rsidRPr="009B58F1">
        <w:rPr>
          <w:bCs/>
          <w:iCs/>
          <w:szCs w:val="22"/>
        </w:rPr>
        <w:t>NON-PERSONNEL RESOURCES BY COST CATEGORY</w:t>
      </w:r>
    </w:p>
    <w:p w:rsidR="00090C0F" w:rsidRDefault="00090C0F" w:rsidP="00C645F1">
      <w:pPr>
        <w:rPr>
          <w:bCs/>
          <w:iCs/>
          <w:szCs w:val="22"/>
        </w:rPr>
      </w:pPr>
    </w:p>
    <w:p w:rsidR="00090C0F" w:rsidRDefault="00090C0F" w:rsidP="00C645F1">
      <w:pPr>
        <w:rPr>
          <w:bCs/>
          <w:iCs/>
          <w:szCs w:val="22"/>
        </w:rPr>
      </w:pPr>
    </w:p>
    <w:p w:rsidR="00261C8F" w:rsidRPr="007F4B41" w:rsidRDefault="00261C8F" w:rsidP="00C645F1">
      <w:pPr>
        <w:rPr>
          <w:rFonts w:ascii="Times New Roman" w:eastAsia="Times New Roman" w:hAnsi="Times New Roman" w:cs="Times New Roman"/>
          <w:sz w:val="20"/>
          <w:lang w:eastAsia="fr-CH"/>
        </w:rPr>
      </w:pPr>
      <w:r>
        <w:fldChar w:fldCharType="begin"/>
      </w:r>
      <w:r>
        <w:instrText xml:space="preserve"> LINK Excel.Sheet.12 "\\\\Wipogvafs01\\DAT1\\ORGOIOP\\PPBD shared filing for migration\\21-DA Projects\\1. Projects\\DA Project Proposal_ Identifying and Using Inventions in Public Domain.xlsx" "DA by Cost Category!R7C2:R15C11" \a \f 4 \h  \* MERGEFORMAT </w:instrText>
      </w:r>
      <w:r>
        <w:fldChar w:fldCharType="separate"/>
      </w:r>
    </w:p>
    <w:tbl>
      <w:tblPr>
        <w:tblW w:w="13492" w:type="dxa"/>
        <w:tblLook w:val="04A0" w:firstRow="1" w:lastRow="0" w:firstColumn="1" w:lastColumn="0" w:noHBand="0" w:noVBand="1"/>
      </w:tblPr>
      <w:tblGrid>
        <w:gridCol w:w="2358"/>
        <w:gridCol w:w="1248"/>
        <w:gridCol w:w="1248"/>
        <w:gridCol w:w="1249"/>
        <w:gridCol w:w="1269"/>
        <w:gridCol w:w="1218"/>
        <w:gridCol w:w="1257"/>
        <w:gridCol w:w="1257"/>
        <w:gridCol w:w="1259"/>
        <w:gridCol w:w="1129"/>
      </w:tblGrid>
      <w:tr w:rsidR="00261C8F" w:rsidRPr="00261C8F" w:rsidTr="00261C8F">
        <w:trPr>
          <w:trHeight w:val="623"/>
        </w:trPr>
        <w:tc>
          <w:tcPr>
            <w:tcW w:w="2358" w:type="dxa"/>
            <w:tcBorders>
              <w:top w:val="single" w:sz="4" w:space="0" w:color="BFBFBF"/>
              <w:left w:val="single" w:sz="4" w:space="0" w:color="BFBFBF"/>
              <w:bottom w:val="nil"/>
              <w:right w:val="single" w:sz="4" w:space="0" w:color="A6A6A6"/>
            </w:tcBorders>
            <w:shd w:val="clear" w:color="000000" w:fill="C7CFD8"/>
            <w:noWrap/>
            <w:vAlign w:val="bottom"/>
            <w:hideMark/>
          </w:tcPr>
          <w:p w:rsidR="00261C8F" w:rsidRPr="00261C8F" w:rsidRDefault="00261C8F" w:rsidP="00261C8F">
            <w:pPr>
              <w:rPr>
                <w:rFonts w:ascii="Arial Narrow" w:eastAsia="Times New Roman" w:hAnsi="Arial Narrow"/>
                <w:i/>
                <w:iCs/>
                <w:color w:val="002839"/>
                <w:sz w:val="20"/>
                <w:lang w:eastAsia="en-US"/>
              </w:rPr>
            </w:pPr>
            <w:r w:rsidRPr="00261C8F">
              <w:rPr>
                <w:rFonts w:ascii="Arial Narrow" w:eastAsia="Times New Roman" w:hAnsi="Arial Narrow"/>
                <w:i/>
                <w:iCs/>
                <w:color w:val="002839"/>
                <w:sz w:val="20"/>
                <w:lang w:eastAsia="en-US"/>
              </w:rPr>
              <w:t>(in Swiss francs)</w:t>
            </w:r>
          </w:p>
        </w:tc>
        <w:tc>
          <w:tcPr>
            <w:tcW w:w="3745" w:type="dxa"/>
            <w:gridSpan w:val="3"/>
            <w:tcBorders>
              <w:top w:val="single" w:sz="4" w:space="0" w:color="BFBFBF"/>
              <w:left w:val="nil"/>
              <w:bottom w:val="single" w:sz="4" w:space="0" w:color="A6A6A6"/>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Travel, Training and Grants </w:t>
            </w:r>
          </w:p>
        </w:tc>
        <w:tc>
          <w:tcPr>
            <w:tcW w:w="626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Contractual Services</w:t>
            </w:r>
          </w:p>
        </w:tc>
        <w:tc>
          <w:tcPr>
            <w:tcW w:w="1127"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Total</w:t>
            </w:r>
          </w:p>
        </w:tc>
      </w:tr>
      <w:tr w:rsidR="00261C8F" w:rsidRPr="00261C8F" w:rsidTr="00261C8F">
        <w:trPr>
          <w:trHeight w:val="875"/>
        </w:trPr>
        <w:tc>
          <w:tcPr>
            <w:tcW w:w="2358" w:type="dxa"/>
            <w:tcBorders>
              <w:top w:val="nil"/>
              <w:left w:val="single" w:sz="4" w:space="0" w:color="BFBFBF"/>
              <w:bottom w:val="single" w:sz="4" w:space="0" w:color="BFBFBF"/>
              <w:right w:val="single" w:sz="4" w:space="0" w:color="A6A6A6"/>
            </w:tcBorders>
            <w:shd w:val="clear" w:color="000000" w:fill="C7CFD8"/>
            <w:noWrap/>
            <w:vAlign w:val="bottom"/>
            <w:hideMark/>
          </w:tcPr>
          <w:p w:rsidR="00261C8F" w:rsidRPr="00261C8F" w:rsidRDefault="00261C8F" w:rsidP="00261C8F">
            <w:pP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Activities</w:t>
            </w:r>
          </w:p>
        </w:tc>
        <w:tc>
          <w:tcPr>
            <w:tcW w:w="1248" w:type="dxa"/>
            <w:tcBorders>
              <w:top w:val="nil"/>
              <w:left w:val="nil"/>
              <w:bottom w:val="single" w:sz="4" w:space="0" w:color="BFBFBF"/>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Staff Missions</w:t>
            </w:r>
          </w:p>
        </w:tc>
        <w:tc>
          <w:tcPr>
            <w:tcW w:w="1248" w:type="dxa"/>
            <w:tcBorders>
              <w:top w:val="nil"/>
              <w:left w:val="nil"/>
              <w:bottom w:val="single" w:sz="4" w:space="0" w:color="BFBFBF"/>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Third-party Travel</w:t>
            </w:r>
          </w:p>
        </w:tc>
        <w:tc>
          <w:tcPr>
            <w:tcW w:w="1248" w:type="dxa"/>
            <w:tcBorders>
              <w:top w:val="nil"/>
              <w:left w:val="nil"/>
              <w:bottom w:val="single" w:sz="4" w:space="0" w:color="BFBFBF"/>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Training and related travel grants</w:t>
            </w:r>
          </w:p>
        </w:tc>
        <w:tc>
          <w:tcPr>
            <w:tcW w:w="1269" w:type="dxa"/>
            <w:tcBorders>
              <w:top w:val="nil"/>
              <w:left w:val="nil"/>
              <w:bottom w:val="single" w:sz="4" w:space="0" w:color="BFBFBF"/>
              <w:right w:val="single" w:sz="4" w:space="0" w:color="A6A6A6"/>
            </w:tcBorders>
            <w:shd w:val="clear" w:color="000000" w:fill="C7CFD8"/>
            <w:noWrap/>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Conferences</w:t>
            </w:r>
          </w:p>
        </w:tc>
        <w:tc>
          <w:tcPr>
            <w:tcW w:w="1218" w:type="dxa"/>
            <w:tcBorders>
              <w:top w:val="nil"/>
              <w:left w:val="nil"/>
              <w:bottom w:val="single" w:sz="4" w:space="0" w:color="BFBFBF"/>
              <w:right w:val="single" w:sz="4" w:space="0" w:color="A6A6A6"/>
            </w:tcBorders>
            <w:shd w:val="clear" w:color="000000" w:fill="C7CFD8"/>
            <w:noWrap/>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Publishing</w:t>
            </w:r>
          </w:p>
        </w:tc>
        <w:tc>
          <w:tcPr>
            <w:tcW w:w="1257" w:type="dxa"/>
            <w:tcBorders>
              <w:top w:val="nil"/>
              <w:left w:val="nil"/>
              <w:bottom w:val="single" w:sz="4" w:space="0" w:color="BFBFBF"/>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Individual Contractual Services</w:t>
            </w:r>
          </w:p>
        </w:tc>
        <w:tc>
          <w:tcPr>
            <w:tcW w:w="1257" w:type="dxa"/>
            <w:tcBorders>
              <w:top w:val="nil"/>
              <w:left w:val="nil"/>
              <w:bottom w:val="single" w:sz="4" w:space="0" w:color="BFBFBF"/>
              <w:right w:val="single" w:sz="4" w:space="0" w:color="A6A6A6"/>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WIPO Fellowships</w:t>
            </w:r>
          </w:p>
        </w:tc>
        <w:tc>
          <w:tcPr>
            <w:tcW w:w="1257" w:type="dxa"/>
            <w:tcBorders>
              <w:top w:val="nil"/>
              <w:left w:val="nil"/>
              <w:bottom w:val="single" w:sz="4" w:space="0" w:color="BFBFBF"/>
              <w:right w:val="nil"/>
            </w:tcBorders>
            <w:shd w:val="clear" w:color="000000" w:fill="C7CFD8"/>
            <w:vAlign w:val="center"/>
            <w:hideMark/>
          </w:tcPr>
          <w:p w:rsidR="00261C8F" w:rsidRPr="00261C8F" w:rsidRDefault="00261C8F" w:rsidP="00261C8F">
            <w:pPr>
              <w:jc w:val="cente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Other Contractual Services</w:t>
            </w:r>
          </w:p>
        </w:tc>
        <w:tc>
          <w:tcPr>
            <w:tcW w:w="1127" w:type="dxa"/>
            <w:vMerge/>
            <w:tcBorders>
              <w:top w:val="single" w:sz="4" w:space="0" w:color="BFBFBF"/>
              <w:left w:val="single" w:sz="4" w:space="0" w:color="A6A6A6"/>
              <w:bottom w:val="single" w:sz="4" w:space="0" w:color="BFBFBF"/>
              <w:right w:val="single" w:sz="4" w:space="0" w:color="BFBFBF"/>
            </w:tcBorders>
            <w:vAlign w:val="center"/>
            <w:hideMark/>
          </w:tcPr>
          <w:p w:rsidR="00261C8F" w:rsidRPr="00261C8F" w:rsidRDefault="00261C8F" w:rsidP="00261C8F">
            <w:pPr>
              <w:rPr>
                <w:rFonts w:ascii="Arial Narrow" w:eastAsia="Times New Roman" w:hAnsi="Arial Narrow"/>
                <w:b/>
                <w:bCs/>
                <w:color w:val="002839"/>
                <w:sz w:val="20"/>
                <w:lang w:eastAsia="en-US"/>
              </w:rPr>
            </w:pPr>
          </w:p>
        </w:tc>
      </w:tr>
      <w:tr w:rsidR="00261C8F" w:rsidRPr="00261C8F" w:rsidTr="00261C8F">
        <w:trPr>
          <w:trHeight w:val="631"/>
        </w:trPr>
        <w:tc>
          <w:tcPr>
            <w:tcW w:w="2358" w:type="dxa"/>
            <w:tcBorders>
              <w:top w:val="nil"/>
              <w:left w:val="single" w:sz="4" w:space="0" w:color="BFBFBF"/>
              <w:bottom w:val="single" w:sz="4" w:space="0" w:color="BFBFBF"/>
              <w:right w:val="single" w:sz="4" w:space="0" w:color="BFBFBF"/>
            </w:tcBorders>
            <w:shd w:val="clear" w:color="auto" w:fill="auto"/>
            <w:noWrap/>
            <w:vAlign w:val="center"/>
            <w:hideMark/>
          </w:tcPr>
          <w:p w:rsidR="00261C8F" w:rsidRPr="00261C8F" w:rsidRDefault="00261C8F" w:rsidP="00261C8F">
            <w:pPr>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Development of toolkits</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69"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1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20,000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12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20,000 </w:t>
            </w:r>
          </w:p>
        </w:tc>
      </w:tr>
      <w:tr w:rsidR="00261C8F" w:rsidRPr="00261C8F" w:rsidTr="00261C8F">
        <w:trPr>
          <w:trHeight w:val="689"/>
        </w:trPr>
        <w:tc>
          <w:tcPr>
            <w:tcW w:w="2358" w:type="dxa"/>
            <w:tcBorders>
              <w:top w:val="nil"/>
              <w:left w:val="single" w:sz="4" w:space="0" w:color="BFBFBF"/>
              <w:bottom w:val="single" w:sz="4" w:space="0" w:color="BFBFBF"/>
              <w:right w:val="single" w:sz="4" w:space="0" w:color="BFBFBF"/>
            </w:tcBorders>
            <w:shd w:val="clear" w:color="auto" w:fill="auto"/>
            <w:noWrap/>
            <w:vAlign w:val="center"/>
            <w:hideMark/>
          </w:tcPr>
          <w:p w:rsidR="00261C8F" w:rsidRPr="00261C8F" w:rsidRDefault="00261C8F" w:rsidP="00261C8F">
            <w:pPr>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Development of training materials</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69"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1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20,000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20,000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12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40,000 </w:t>
            </w:r>
          </w:p>
        </w:tc>
      </w:tr>
      <w:tr w:rsidR="00261C8F" w:rsidRPr="00261C8F" w:rsidTr="00261C8F">
        <w:trPr>
          <w:trHeight w:val="689"/>
        </w:trPr>
        <w:tc>
          <w:tcPr>
            <w:tcW w:w="2358" w:type="dxa"/>
            <w:tcBorders>
              <w:top w:val="nil"/>
              <w:left w:val="single" w:sz="4" w:space="0" w:color="BFBFBF"/>
              <w:bottom w:val="single" w:sz="4" w:space="0" w:color="BFBFBF"/>
              <w:right w:val="single" w:sz="4" w:space="0" w:color="BFBFBF"/>
            </w:tcBorders>
            <w:shd w:val="clear" w:color="auto" w:fill="auto"/>
            <w:noWrap/>
            <w:vAlign w:val="center"/>
            <w:hideMark/>
          </w:tcPr>
          <w:p w:rsidR="00261C8F" w:rsidRPr="00261C8F" w:rsidRDefault="00261C8F" w:rsidP="00261C8F">
            <w:pPr>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Delivery of training </w:t>
            </w:r>
            <w:proofErr w:type="spellStart"/>
            <w:r w:rsidRPr="00261C8F">
              <w:rPr>
                <w:rFonts w:ascii="Arial Narrow" w:eastAsia="Times New Roman" w:hAnsi="Arial Narrow"/>
                <w:color w:val="002839"/>
                <w:sz w:val="20"/>
                <w:lang w:eastAsia="en-US"/>
              </w:rPr>
              <w:t>seminars</w:t>
            </w:r>
            <w:r w:rsidRPr="00261C8F">
              <w:rPr>
                <w:rFonts w:ascii="Arial Narrow" w:eastAsia="Times New Roman" w:hAnsi="Arial Narrow"/>
                <w:color w:val="002839"/>
                <w:sz w:val="20"/>
                <w:vertAlign w:val="superscript"/>
                <w:lang w:eastAsia="en-US"/>
              </w:rPr>
              <w:t>1</w:t>
            </w:r>
            <w:proofErr w:type="spellEnd"/>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4,000 </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10,000 </w:t>
            </w:r>
          </w:p>
        </w:tc>
        <w:tc>
          <w:tcPr>
            <w:tcW w:w="124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69"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6,000 </w:t>
            </w:r>
          </w:p>
        </w:tc>
        <w:tc>
          <w:tcPr>
            <w:tcW w:w="1218"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25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   </w:t>
            </w:r>
          </w:p>
        </w:tc>
        <w:tc>
          <w:tcPr>
            <w:tcW w:w="1127" w:type="dxa"/>
            <w:tcBorders>
              <w:top w:val="nil"/>
              <w:left w:val="nil"/>
              <w:bottom w:val="single" w:sz="4" w:space="0" w:color="BFBFBF"/>
              <w:right w:val="single" w:sz="4" w:space="0" w:color="BFBFBF"/>
            </w:tcBorders>
            <w:shd w:val="clear" w:color="auto" w:fill="auto"/>
            <w:noWrap/>
            <w:vAlign w:val="center"/>
            <w:hideMark/>
          </w:tcPr>
          <w:p w:rsidR="00261C8F" w:rsidRPr="00261C8F" w:rsidRDefault="00261C8F" w:rsidP="00261C8F">
            <w:pPr>
              <w:jc w:val="right"/>
              <w:rPr>
                <w:rFonts w:ascii="Arial Narrow" w:eastAsia="Times New Roman" w:hAnsi="Arial Narrow"/>
                <w:color w:val="002839"/>
                <w:sz w:val="20"/>
                <w:lang w:eastAsia="en-US"/>
              </w:rPr>
            </w:pPr>
            <w:r w:rsidRPr="00261C8F">
              <w:rPr>
                <w:rFonts w:ascii="Arial Narrow" w:eastAsia="Times New Roman" w:hAnsi="Arial Narrow"/>
                <w:color w:val="002839"/>
                <w:sz w:val="20"/>
                <w:lang w:eastAsia="en-US"/>
              </w:rPr>
              <w:t xml:space="preserve">         20,000 </w:t>
            </w:r>
          </w:p>
        </w:tc>
      </w:tr>
      <w:tr w:rsidR="00261C8F" w:rsidRPr="00261C8F" w:rsidTr="00261C8F">
        <w:trPr>
          <w:trHeight w:val="543"/>
        </w:trPr>
        <w:tc>
          <w:tcPr>
            <w:tcW w:w="2358" w:type="dxa"/>
            <w:tcBorders>
              <w:top w:val="nil"/>
              <w:left w:val="single" w:sz="4" w:space="0" w:color="BFBFBF"/>
              <w:bottom w:val="single" w:sz="4" w:space="0" w:color="BFBFBF"/>
              <w:right w:val="single" w:sz="4" w:space="0" w:color="BFBFBF"/>
            </w:tcBorders>
            <w:shd w:val="clear" w:color="000000" w:fill="EDF0F3"/>
            <w:vAlign w:val="center"/>
            <w:hideMark/>
          </w:tcPr>
          <w:p w:rsidR="00261C8F" w:rsidRPr="00261C8F" w:rsidRDefault="00261C8F" w:rsidP="00261C8F">
            <w:pPr>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Total </w:t>
            </w:r>
          </w:p>
        </w:tc>
        <w:tc>
          <w:tcPr>
            <w:tcW w:w="1248"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4,000 </w:t>
            </w:r>
          </w:p>
        </w:tc>
        <w:tc>
          <w:tcPr>
            <w:tcW w:w="1248"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10,000 </w:t>
            </w:r>
          </w:p>
        </w:tc>
        <w:tc>
          <w:tcPr>
            <w:tcW w:w="1248"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   </w:t>
            </w:r>
          </w:p>
        </w:tc>
        <w:tc>
          <w:tcPr>
            <w:tcW w:w="1269"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6,000 </w:t>
            </w:r>
          </w:p>
        </w:tc>
        <w:tc>
          <w:tcPr>
            <w:tcW w:w="1218"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   </w:t>
            </w:r>
          </w:p>
        </w:tc>
        <w:tc>
          <w:tcPr>
            <w:tcW w:w="1257"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40,000 </w:t>
            </w:r>
          </w:p>
        </w:tc>
        <w:tc>
          <w:tcPr>
            <w:tcW w:w="1257"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20,000 </w:t>
            </w:r>
          </w:p>
        </w:tc>
        <w:tc>
          <w:tcPr>
            <w:tcW w:w="1257"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   </w:t>
            </w:r>
          </w:p>
        </w:tc>
        <w:tc>
          <w:tcPr>
            <w:tcW w:w="1127" w:type="dxa"/>
            <w:tcBorders>
              <w:top w:val="nil"/>
              <w:left w:val="nil"/>
              <w:bottom w:val="single" w:sz="4" w:space="0" w:color="BFBFBF"/>
              <w:right w:val="single" w:sz="4" w:space="0" w:color="BFBFBF"/>
            </w:tcBorders>
            <w:shd w:val="clear" w:color="000000" w:fill="EDF0F3"/>
            <w:noWrap/>
            <w:vAlign w:val="center"/>
            <w:hideMark/>
          </w:tcPr>
          <w:p w:rsidR="00261C8F" w:rsidRPr="00261C8F" w:rsidRDefault="00261C8F" w:rsidP="00261C8F">
            <w:pPr>
              <w:jc w:val="right"/>
              <w:rPr>
                <w:rFonts w:ascii="Arial Narrow" w:eastAsia="Times New Roman" w:hAnsi="Arial Narrow"/>
                <w:b/>
                <w:bCs/>
                <w:color w:val="002839"/>
                <w:sz w:val="20"/>
                <w:lang w:eastAsia="en-US"/>
              </w:rPr>
            </w:pPr>
            <w:r w:rsidRPr="00261C8F">
              <w:rPr>
                <w:rFonts w:ascii="Arial Narrow" w:eastAsia="Times New Roman" w:hAnsi="Arial Narrow"/>
                <w:b/>
                <w:bCs/>
                <w:color w:val="002839"/>
                <w:sz w:val="20"/>
                <w:lang w:eastAsia="en-US"/>
              </w:rPr>
              <w:t xml:space="preserve">        80,000 </w:t>
            </w:r>
          </w:p>
        </w:tc>
      </w:tr>
      <w:tr w:rsidR="00261C8F" w:rsidRPr="00261C8F" w:rsidTr="00261C8F">
        <w:trPr>
          <w:trHeight w:val="79"/>
        </w:trPr>
        <w:tc>
          <w:tcPr>
            <w:tcW w:w="2358"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b/>
                <w:bCs/>
                <w:color w:val="002839"/>
                <w:sz w:val="20"/>
                <w:lang w:eastAsia="en-US"/>
              </w:rPr>
            </w:pPr>
          </w:p>
        </w:tc>
        <w:tc>
          <w:tcPr>
            <w:tcW w:w="1248"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248"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248"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269"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218"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257"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257"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257"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c>
          <w:tcPr>
            <w:tcW w:w="1127" w:type="dxa"/>
            <w:tcBorders>
              <w:top w:val="nil"/>
              <w:left w:val="nil"/>
              <w:bottom w:val="nil"/>
              <w:right w:val="nil"/>
            </w:tcBorders>
            <w:shd w:val="clear" w:color="auto" w:fill="auto"/>
            <w:noWrap/>
            <w:vAlign w:val="bottom"/>
            <w:hideMark/>
          </w:tcPr>
          <w:p w:rsidR="00261C8F" w:rsidRPr="00261C8F" w:rsidRDefault="00261C8F" w:rsidP="00261C8F">
            <w:pPr>
              <w:rPr>
                <w:rFonts w:ascii="Arial Narrow" w:eastAsia="Times New Roman" w:hAnsi="Arial Narrow" w:cs="Times New Roman"/>
                <w:sz w:val="20"/>
                <w:lang w:eastAsia="en-US"/>
              </w:rPr>
            </w:pPr>
          </w:p>
        </w:tc>
      </w:tr>
      <w:tr w:rsidR="00261C8F" w:rsidRPr="00261C8F" w:rsidTr="00261C8F">
        <w:trPr>
          <w:trHeight w:val="291"/>
        </w:trPr>
        <w:tc>
          <w:tcPr>
            <w:tcW w:w="13492" w:type="dxa"/>
            <w:gridSpan w:val="10"/>
            <w:vMerge w:val="restart"/>
            <w:tcBorders>
              <w:top w:val="nil"/>
              <w:left w:val="nil"/>
              <w:bottom w:val="nil"/>
              <w:right w:val="nil"/>
            </w:tcBorders>
            <w:shd w:val="clear" w:color="auto" w:fill="auto"/>
            <w:hideMark/>
          </w:tcPr>
          <w:p w:rsidR="00261C8F" w:rsidRPr="00261C8F" w:rsidRDefault="00261C8F" w:rsidP="00261C8F">
            <w:pPr>
              <w:rPr>
                <w:rFonts w:ascii="Arial Narrow" w:eastAsia="Times New Roman" w:hAnsi="Arial Narrow"/>
                <w:color w:val="000000"/>
                <w:sz w:val="20"/>
                <w:lang w:eastAsia="en-US"/>
              </w:rPr>
            </w:pPr>
            <w:r w:rsidRPr="00261C8F">
              <w:rPr>
                <w:rFonts w:ascii="Arial Narrow" w:eastAsia="Times New Roman" w:hAnsi="Arial Narrow"/>
                <w:color w:val="000000"/>
                <w:sz w:val="20"/>
                <w:vertAlign w:val="superscript"/>
                <w:lang w:eastAsia="en-US"/>
              </w:rPr>
              <w:t>1</w:t>
            </w:r>
            <w:r>
              <w:rPr>
                <w:rFonts w:ascii="Arial Narrow" w:eastAsia="Times New Roman" w:hAnsi="Arial Narrow"/>
                <w:color w:val="000000"/>
                <w:sz w:val="20"/>
                <w:vertAlign w:val="superscript"/>
                <w:lang w:eastAsia="en-US"/>
              </w:rPr>
              <w:t xml:space="preserve"> </w:t>
            </w:r>
            <w:r w:rsidRPr="00261C8F">
              <w:rPr>
                <w:rFonts w:ascii="Arial Narrow" w:eastAsia="Times New Roman" w:hAnsi="Arial Narrow"/>
                <w:color w:val="000000"/>
                <w:sz w:val="20"/>
                <w:lang w:eastAsia="en-US"/>
              </w:rPr>
              <w:t xml:space="preserve">Should there be travel restrictions imposed by the </w:t>
            </w:r>
            <w:proofErr w:type="spellStart"/>
            <w:r w:rsidRPr="00261C8F">
              <w:rPr>
                <w:rFonts w:ascii="Arial Narrow" w:eastAsia="Times New Roman" w:hAnsi="Arial Narrow"/>
                <w:color w:val="000000"/>
                <w:sz w:val="20"/>
                <w:lang w:eastAsia="en-US"/>
              </w:rPr>
              <w:t>COVID</w:t>
            </w:r>
            <w:proofErr w:type="spellEnd"/>
            <w:r w:rsidRPr="00261C8F">
              <w:rPr>
                <w:rFonts w:ascii="Arial Narrow" w:eastAsia="Times New Roman" w:hAnsi="Arial Narrow"/>
                <w:color w:val="000000"/>
                <w:sz w:val="20"/>
                <w:lang w:eastAsia="en-US"/>
              </w:rPr>
              <w:t>-19 pandemic, the training seminars will be delivered in a virtual format (see section 2.3, proposed Mitigation 3). In that case, the allocations foreseen for this activity will be revised accordingly.</w:t>
            </w:r>
          </w:p>
        </w:tc>
      </w:tr>
      <w:tr w:rsidR="00261C8F" w:rsidRPr="00261C8F" w:rsidTr="00261C8F">
        <w:trPr>
          <w:trHeight w:val="253"/>
        </w:trPr>
        <w:tc>
          <w:tcPr>
            <w:tcW w:w="13492" w:type="dxa"/>
            <w:gridSpan w:val="10"/>
            <w:vMerge/>
            <w:tcBorders>
              <w:top w:val="nil"/>
              <w:left w:val="nil"/>
              <w:bottom w:val="nil"/>
              <w:right w:val="nil"/>
            </w:tcBorders>
            <w:vAlign w:val="center"/>
            <w:hideMark/>
          </w:tcPr>
          <w:p w:rsidR="00261C8F" w:rsidRPr="00261C8F" w:rsidRDefault="00261C8F" w:rsidP="00261C8F">
            <w:pPr>
              <w:rPr>
                <w:rFonts w:ascii="Arial Narrow" w:eastAsia="Times New Roman" w:hAnsi="Arial Narrow"/>
                <w:color w:val="000000"/>
                <w:sz w:val="20"/>
                <w:lang w:eastAsia="en-US"/>
              </w:rPr>
            </w:pPr>
          </w:p>
        </w:tc>
      </w:tr>
    </w:tbl>
    <w:p w:rsidR="00090C0F" w:rsidRDefault="00261C8F" w:rsidP="00C645F1">
      <w:pPr>
        <w:rPr>
          <w:bCs/>
          <w:iCs/>
          <w:szCs w:val="22"/>
        </w:rPr>
      </w:pPr>
      <w:r>
        <w:rPr>
          <w:bCs/>
          <w:iCs/>
          <w:szCs w:val="22"/>
        </w:rPr>
        <w:fldChar w:fldCharType="end"/>
      </w:r>
    </w:p>
    <w:p w:rsidR="00090C0F" w:rsidRDefault="00090C0F" w:rsidP="00C645F1">
      <w:pPr>
        <w:rPr>
          <w:bCs/>
          <w:iCs/>
          <w:szCs w:val="22"/>
        </w:rPr>
      </w:pPr>
    </w:p>
    <w:p w:rsidR="00090C0F" w:rsidRDefault="00090C0F" w:rsidP="00C645F1">
      <w:pPr>
        <w:rPr>
          <w:bCs/>
          <w:iCs/>
          <w:szCs w:val="22"/>
        </w:rPr>
      </w:pPr>
    </w:p>
    <w:p w:rsidR="00090C0F" w:rsidRDefault="00090C0F" w:rsidP="00C645F1">
      <w:pPr>
        <w:rPr>
          <w:bCs/>
          <w:iCs/>
          <w:szCs w:val="22"/>
        </w:rPr>
      </w:pPr>
    </w:p>
    <w:p w:rsidR="00090C0F" w:rsidRDefault="00090C0F" w:rsidP="00C645F1">
      <w:pPr>
        <w:rPr>
          <w:bCs/>
          <w:iCs/>
          <w:szCs w:val="22"/>
        </w:rPr>
      </w:pPr>
    </w:p>
    <w:p w:rsidR="00090C0F" w:rsidRPr="009B58F1" w:rsidRDefault="00090C0F" w:rsidP="00C645F1">
      <w:pPr>
        <w:rPr>
          <w:bCs/>
          <w:iCs/>
          <w:szCs w:val="22"/>
        </w:rPr>
      </w:pPr>
    </w:p>
    <w:p w:rsidR="00C645F1" w:rsidRPr="009B58F1" w:rsidRDefault="00C645F1" w:rsidP="00C645F1">
      <w:pPr>
        <w:rPr>
          <w:szCs w:val="22"/>
          <w:u w:val="single"/>
        </w:rPr>
      </w:pPr>
    </w:p>
    <w:p w:rsidR="00D17841" w:rsidRDefault="00D17841" w:rsidP="00C645F1">
      <w:pPr>
        <w:ind w:hanging="142"/>
        <w:rPr>
          <w:szCs w:val="22"/>
          <w:u w:val="single"/>
        </w:rPr>
      </w:pPr>
    </w:p>
    <w:p w:rsidR="004C3349" w:rsidRPr="009B58F1" w:rsidRDefault="004C3349" w:rsidP="00C645F1">
      <w:pPr>
        <w:ind w:hanging="142"/>
        <w:rPr>
          <w:szCs w:val="22"/>
          <w:u w:val="single"/>
        </w:rPr>
      </w:pPr>
    </w:p>
    <w:p w:rsidR="004C3349" w:rsidRDefault="004C3349" w:rsidP="00C645F1">
      <w:pPr>
        <w:pStyle w:val="Endofdocument-Annex"/>
        <w:ind w:left="0"/>
        <w:jc w:val="right"/>
      </w:pPr>
    </w:p>
    <w:p w:rsidR="004C3349" w:rsidRDefault="004C3349" w:rsidP="00C645F1">
      <w:pPr>
        <w:pStyle w:val="Endofdocument-Annex"/>
        <w:ind w:left="0"/>
        <w:jc w:val="right"/>
      </w:pPr>
    </w:p>
    <w:p w:rsidR="003B4D58" w:rsidRPr="003B4D58" w:rsidRDefault="000738B8" w:rsidP="00C645F1">
      <w:pPr>
        <w:pStyle w:val="Endofdocument-Annex"/>
        <w:ind w:left="0"/>
        <w:jc w:val="right"/>
      </w:pPr>
      <w:r w:rsidRPr="009B58F1">
        <w:t>[End of Annex and of document]</w:t>
      </w:r>
    </w:p>
    <w:sectPr w:rsidR="003B4D58" w:rsidRPr="003B4D58" w:rsidSect="00F70186">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40" w:rsidRDefault="003D7540">
      <w:r>
        <w:separator/>
      </w:r>
    </w:p>
  </w:endnote>
  <w:endnote w:type="continuationSeparator" w:id="0">
    <w:p w:rsidR="003D7540" w:rsidRDefault="003D7540" w:rsidP="003B38C1">
      <w:r>
        <w:separator/>
      </w:r>
    </w:p>
    <w:p w:rsidR="003D7540" w:rsidRPr="003B38C1" w:rsidRDefault="003D7540" w:rsidP="003B38C1">
      <w:pPr>
        <w:spacing w:after="60"/>
        <w:rPr>
          <w:sz w:val="17"/>
        </w:rPr>
      </w:pPr>
      <w:r>
        <w:rPr>
          <w:sz w:val="17"/>
        </w:rPr>
        <w:t>[Endnote continued from previous page]</w:t>
      </w:r>
    </w:p>
  </w:endnote>
  <w:endnote w:type="continuationNotice" w:id="1">
    <w:p w:rsidR="003D7540" w:rsidRPr="003B38C1" w:rsidRDefault="003D75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Default="00D36F93" w:rsidP="00F7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Default="00D36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Default="00D36F93" w:rsidP="00F7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40" w:rsidRDefault="003D7540">
      <w:r>
        <w:separator/>
      </w:r>
    </w:p>
  </w:footnote>
  <w:footnote w:type="continuationSeparator" w:id="0">
    <w:p w:rsidR="003D7540" w:rsidRDefault="003D7540" w:rsidP="008B60B2">
      <w:r>
        <w:separator/>
      </w:r>
    </w:p>
    <w:p w:rsidR="003D7540" w:rsidRPr="00ED77FB" w:rsidRDefault="003D7540" w:rsidP="008B60B2">
      <w:pPr>
        <w:spacing w:after="60"/>
        <w:rPr>
          <w:sz w:val="17"/>
          <w:szCs w:val="17"/>
        </w:rPr>
      </w:pPr>
      <w:r w:rsidRPr="00ED77FB">
        <w:rPr>
          <w:sz w:val="17"/>
          <w:szCs w:val="17"/>
        </w:rPr>
        <w:t>[Footnote continued from previous page]</w:t>
      </w:r>
    </w:p>
  </w:footnote>
  <w:footnote w:type="continuationNotice" w:id="1">
    <w:p w:rsidR="003D7540" w:rsidRPr="00ED77FB" w:rsidRDefault="003D754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0E" w:rsidRDefault="0090130E" w:rsidP="0090130E">
    <w:pPr>
      <w:jc w:val="right"/>
    </w:pPr>
    <w:r>
      <w:t>CDIP/24/16</w:t>
    </w:r>
  </w:p>
  <w:p w:rsidR="0090130E" w:rsidRDefault="0090130E" w:rsidP="0090130E">
    <w:pPr>
      <w:jc w:val="right"/>
      <w:rPr>
        <w:noProof/>
      </w:rPr>
    </w:pPr>
    <w:r>
      <w:rPr>
        <w:rStyle w:val="PageNumber"/>
      </w:rPr>
      <w:t>Annex, page</w:t>
    </w:r>
    <w:r>
      <w:t xml:space="preserve"> </w:t>
    </w:r>
    <w:sdt>
      <w:sdtPr>
        <w:id w:val="-17578945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91316">
          <w:rPr>
            <w:noProof/>
          </w:rPr>
          <w:t>7</w:t>
        </w:r>
        <w:r>
          <w:rPr>
            <w:noProof/>
          </w:rPr>
          <w:fldChar w:fldCharType="end"/>
        </w:r>
      </w:sdtContent>
    </w:sdt>
  </w:p>
  <w:p w:rsidR="0090130E" w:rsidRDefault="0090130E" w:rsidP="00F70186">
    <w:pPr>
      <w:jc w:val="right"/>
    </w:pPr>
  </w:p>
  <w:p w:rsidR="0090130E" w:rsidRDefault="0090130E" w:rsidP="00F701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55" w:rsidRPr="00F6103C" w:rsidRDefault="002C2755" w:rsidP="002C2755">
    <w:pPr>
      <w:ind w:right="-92"/>
      <w:jc w:val="right"/>
      <w:rPr>
        <w:lang w:val="en-GB"/>
      </w:rPr>
    </w:pPr>
    <w:r>
      <w:rPr>
        <w:lang w:val="en-GB"/>
      </w:rPr>
      <w:t>CDIP/2</w:t>
    </w:r>
    <w:r w:rsidR="00313263">
      <w:rPr>
        <w:lang w:val="en-GB"/>
      </w:rPr>
      <w:t>7</w:t>
    </w:r>
    <w:r>
      <w:rPr>
        <w:lang w:val="en-GB"/>
      </w:rPr>
      <w:t>/</w:t>
    </w:r>
    <w:r w:rsidR="00313263">
      <w:rPr>
        <w:lang w:val="en-GB"/>
      </w:rPr>
      <w:t>5</w:t>
    </w:r>
  </w:p>
  <w:p w:rsidR="002C2755" w:rsidRDefault="002C2755" w:rsidP="002C2755">
    <w:pPr>
      <w:pStyle w:val="Header"/>
      <w:tabs>
        <w:tab w:val="clear" w:pos="4536"/>
        <w:tab w:val="clear" w:pos="9072"/>
      </w:tabs>
      <w:ind w:right="-92"/>
      <w:jc w:val="right"/>
    </w:pPr>
    <w:r w:rsidRPr="00F6103C">
      <w:rPr>
        <w:lang w:val="en-GB"/>
      </w:rPr>
      <w:t>Annex, page</w:t>
    </w:r>
    <w:r>
      <w:t xml:space="preserve">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91316">
          <w:rPr>
            <w:noProof/>
          </w:rPr>
          <w:t>7</w:t>
        </w:r>
        <w:r>
          <w:rPr>
            <w:noProof/>
          </w:rPr>
          <w:fldChar w:fldCharType="end"/>
        </w:r>
      </w:sdtContent>
    </w:sdt>
  </w:p>
  <w:p w:rsidR="0090130E" w:rsidRDefault="0090130E" w:rsidP="0090130E">
    <w:pPr>
      <w:jc w:val="right"/>
      <w:rPr>
        <w:lang w:val="en-GB"/>
      </w:rPr>
    </w:pPr>
  </w:p>
  <w:p w:rsidR="0090130E" w:rsidRPr="0090130E" w:rsidRDefault="0090130E" w:rsidP="0090130E">
    <w:pPr>
      <w:ind w:right="-92"/>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1471"/>
      <w:docPartObj>
        <w:docPartGallery w:val="Page Numbers (Top of Page)"/>
        <w:docPartUnique/>
      </w:docPartObj>
    </w:sdtPr>
    <w:sdtEndPr>
      <w:rPr>
        <w:noProof/>
      </w:rPr>
    </w:sdtEndPr>
    <w:sdtContent>
      <w:p w:rsidR="0090130E" w:rsidRDefault="0090130E" w:rsidP="00835D79">
        <w:pPr>
          <w:ind w:right="-92"/>
          <w:jc w:val="right"/>
        </w:pPr>
      </w:p>
      <w:p w:rsidR="0090130E" w:rsidRDefault="00C233BF" w:rsidP="0090130E">
        <w:pPr>
          <w:ind w:right="-92"/>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55" w:rsidRPr="00F6103C" w:rsidRDefault="002C2755" w:rsidP="00EA0824">
    <w:pPr>
      <w:ind w:right="-92"/>
      <w:jc w:val="right"/>
      <w:rPr>
        <w:lang w:val="en-GB"/>
      </w:rPr>
    </w:pPr>
    <w:r>
      <w:rPr>
        <w:lang w:val="en-GB"/>
      </w:rPr>
      <w:t>CDIP/2</w:t>
    </w:r>
    <w:r w:rsidR="00EA0824">
      <w:rPr>
        <w:lang w:val="en-GB"/>
      </w:rPr>
      <w:t>7</w:t>
    </w:r>
    <w:r>
      <w:rPr>
        <w:lang w:val="en-GB"/>
      </w:rPr>
      <w:t>/</w:t>
    </w:r>
    <w:r w:rsidR="00144057">
      <w:rPr>
        <w:lang w:val="en-GB"/>
      </w:rPr>
      <w:t>6</w:t>
    </w:r>
  </w:p>
  <w:p w:rsidR="002C2755" w:rsidRDefault="002C2755" w:rsidP="002C2755">
    <w:pPr>
      <w:pStyle w:val="Header"/>
      <w:tabs>
        <w:tab w:val="clear" w:pos="4536"/>
        <w:tab w:val="clear" w:pos="9072"/>
      </w:tabs>
      <w:ind w:right="-92"/>
      <w:jc w:val="right"/>
    </w:pPr>
    <w:r w:rsidRPr="00F6103C">
      <w:rPr>
        <w:lang w:val="en-GB"/>
      </w:rPr>
      <w:t>Annex, page</w:t>
    </w:r>
    <w:r>
      <w:t xml:space="preserve"> </w:t>
    </w:r>
    <w:sdt>
      <w:sdtPr>
        <w:id w:val="1421906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33BF">
          <w:rPr>
            <w:noProof/>
          </w:rPr>
          <w:t>4</w:t>
        </w:r>
        <w:r>
          <w:rPr>
            <w:noProof/>
          </w:rPr>
          <w:fldChar w:fldCharType="end"/>
        </w:r>
      </w:sdtContent>
    </w:sdt>
  </w:p>
  <w:p w:rsidR="002C2755" w:rsidRDefault="002C2755" w:rsidP="0090130E">
    <w:pPr>
      <w:jc w:val="right"/>
      <w:rPr>
        <w:lang w:val="en-GB"/>
      </w:rPr>
    </w:pPr>
  </w:p>
  <w:p w:rsidR="002C2755" w:rsidRPr="0090130E" w:rsidRDefault="002C2755" w:rsidP="0090130E">
    <w:pPr>
      <w:ind w:right="-92"/>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21169"/>
      <w:docPartObj>
        <w:docPartGallery w:val="Page Numbers (Top of Page)"/>
        <w:docPartUnique/>
      </w:docPartObj>
    </w:sdtPr>
    <w:sdtEndPr>
      <w:rPr>
        <w:noProof/>
      </w:rPr>
    </w:sdtEndPr>
    <w:sdtContent>
      <w:p w:rsidR="002C2755" w:rsidRPr="00F6103C" w:rsidRDefault="002C2755" w:rsidP="00F511EF">
        <w:pPr>
          <w:ind w:right="-92"/>
          <w:jc w:val="right"/>
          <w:rPr>
            <w:lang w:val="en-GB"/>
          </w:rPr>
        </w:pPr>
        <w:r>
          <w:rPr>
            <w:lang w:val="en-GB"/>
          </w:rPr>
          <w:t>CDIP/2</w:t>
        </w:r>
        <w:r w:rsidR="00F511EF">
          <w:rPr>
            <w:lang w:val="en-GB"/>
          </w:rPr>
          <w:t>7</w:t>
        </w:r>
        <w:r>
          <w:rPr>
            <w:lang w:val="en-GB"/>
          </w:rPr>
          <w:t>/</w:t>
        </w:r>
        <w:r w:rsidR="00144057">
          <w:rPr>
            <w:lang w:val="en-GB"/>
          </w:rPr>
          <w:t>6</w:t>
        </w:r>
      </w:p>
      <w:p w:rsidR="002C2755" w:rsidRDefault="002C2755" w:rsidP="002C2755">
        <w:pPr>
          <w:ind w:right="-92"/>
          <w:jc w:val="right"/>
        </w:pPr>
        <w:r>
          <w:t>ANNEX</w:t>
        </w:r>
      </w:p>
      <w:p w:rsidR="002C2755" w:rsidRDefault="002C2755" w:rsidP="00835D79">
        <w:pPr>
          <w:ind w:right="-92"/>
          <w:jc w:val="right"/>
        </w:pPr>
      </w:p>
      <w:p w:rsidR="002C2755" w:rsidRDefault="00C233BF" w:rsidP="0090130E">
        <w:pPr>
          <w:ind w:right="-92"/>
          <w:jc w:val="right"/>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Pr="00C97C3A" w:rsidRDefault="004340FC" w:rsidP="00F70186">
    <w:pPr>
      <w:ind w:right="-92"/>
      <w:jc w:val="right"/>
      <w:rPr>
        <w:lang w:val="en-GB"/>
      </w:rPr>
    </w:pPr>
    <w:r w:rsidRPr="00C97C3A">
      <w:rPr>
        <w:lang w:val="en-GB"/>
      </w:rPr>
      <w:t>CDIP/24/</w:t>
    </w:r>
    <w:r w:rsidR="00BB0013">
      <w:rPr>
        <w:lang w:val="en-GB"/>
      </w:rPr>
      <w:t>16</w:t>
    </w:r>
  </w:p>
  <w:p w:rsidR="00D36F93" w:rsidRDefault="00D36F93" w:rsidP="00F70186">
    <w:pPr>
      <w:pStyle w:val="Header"/>
      <w:tabs>
        <w:tab w:val="clear" w:pos="4536"/>
        <w:tab w:val="clear" w:pos="9072"/>
      </w:tabs>
      <w:ind w:right="-92"/>
      <w:jc w:val="right"/>
    </w:pPr>
    <w:r w:rsidRPr="00C97C3A">
      <w:rPr>
        <w:lang w:val="en-GB"/>
      </w:rPr>
      <w:t>Annex, page</w:t>
    </w:r>
    <w:r w:rsidRPr="00C97C3A">
      <w:t xml:space="preserve"> </w:t>
    </w:r>
    <w:sdt>
      <w:sdtPr>
        <w:id w:val="407420169"/>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991316">
          <w:rPr>
            <w:noProof/>
          </w:rPr>
          <w:t>7</w:t>
        </w:r>
        <w:r w:rsidRPr="00C97C3A">
          <w:rPr>
            <w:noProof/>
          </w:rPr>
          <w:fldChar w:fldCharType="end"/>
        </w:r>
      </w:sdtContent>
    </w:sdt>
  </w:p>
  <w:p w:rsidR="00D36F93" w:rsidRDefault="00D36F93" w:rsidP="00F70186">
    <w:pPr>
      <w:jc w:val="right"/>
    </w:pPr>
  </w:p>
  <w:p w:rsidR="00D36F93" w:rsidRDefault="00D36F93" w:rsidP="00F70186">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Pr="00C97C3A" w:rsidRDefault="004340FC" w:rsidP="004309E7">
    <w:pPr>
      <w:ind w:right="-92"/>
      <w:jc w:val="right"/>
      <w:rPr>
        <w:lang w:val="en-GB"/>
      </w:rPr>
    </w:pPr>
    <w:r w:rsidRPr="00C97C3A">
      <w:rPr>
        <w:lang w:val="en-GB"/>
      </w:rPr>
      <w:t>CDIP/2</w:t>
    </w:r>
    <w:r w:rsidR="00D76BD9">
      <w:rPr>
        <w:lang w:val="en-GB"/>
      </w:rPr>
      <w:t>7</w:t>
    </w:r>
    <w:r w:rsidRPr="00C97C3A">
      <w:rPr>
        <w:lang w:val="en-GB"/>
      </w:rPr>
      <w:t>/</w:t>
    </w:r>
    <w:r w:rsidR="00144057">
      <w:rPr>
        <w:lang w:val="en-GB"/>
      </w:rPr>
      <w:t>6</w:t>
    </w:r>
  </w:p>
  <w:p w:rsidR="00D36F93" w:rsidRDefault="00D36F93" w:rsidP="004309E7">
    <w:pPr>
      <w:pStyle w:val="Header"/>
      <w:tabs>
        <w:tab w:val="clear" w:pos="4536"/>
        <w:tab w:val="clear" w:pos="9072"/>
      </w:tabs>
      <w:ind w:right="-92"/>
      <w:jc w:val="right"/>
    </w:pPr>
    <w:r w:rsidRPr="00C97C3A">
      <w:rPr>
        <w:lang w:val="en-GB"/>
      </w:rPr>
      <w:t>Annex, page</w:t>
    </w:r>
    <w:r w:rsidRPr="00C97C3A">
      <w:t xml:space="preserve"> </w:t>
    </w:r>
    <w:sdt>
      <w:sdtPr>
        <w:id w:val="617644255"/>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C233BF">
          <w:rPr>
            <w:noProof/>
          </w:rPr>
          <w:t>7</w:t>
        </w:r>
        <w:r w:rsidRPr="00C97C3A">
          <w:rPr>
            <w:noProof/>
          </w:rPr>
          <w:fldChar w:fldCharType="end"/>
        </w:r>
      </w:sdtContent>
    </w:sdt>
  </w:p>
  <w:p w:rsidR="00D36F93" w:rsidRDefault="00D36F93" w:rsidP="00477D6B">
    <w:pPr>
      <w:jc w:val="right"/>
    </w:pPr>
  </w:p>
  <w:p w:rsidR="00D36F93" w:rsidRDefault="00D36F93"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Pr="00C97C3A" w:rsidRDefault="004340FC" w:rsidP="00F70186">
    <w:pPr>
      <w:ind w:right="-92"/>
      <w:jc w:val="right"/>
      <w:rPr>
        <w:lang w:val="en-GB"/>
      </w:rPr>
    </w:pPr>
    <w:r w:rsidRPr="00C97C3A">
      <w:rPr>
        <w:lang w:val="en-GB"/>
      </w:rPr>
      <w:t>CDIP/2</w:t>
    </w:r>
    <w:r w:rsidR="00D76BD9">
      <w:rPr>
        <w:lang w:val="en-GB"/>
      </w:rPr>
      <w:t>7</w:t>
    </w:r>
    <w:r w:rsidR="00BB0013">
      <w:rPr>
        <w:lang w:val="en-GB"/>
      </w:rPr>
      <w:t>/</w:t>
    </w:r>
    <w:r w:rsidR="00144057">
      <w:rPr>
        <w:lang w:val="en-GB"/>
      </w:rPr>
      <w:t>6</w:t>
    </w:r>
  </w:p>
  <w:p w:rsidR="00D36F93" w:rsidRDefault="00D36F93" w:rsidP="00F70186">
    <w:pPr>
      <w:pStyle w:val="Header"/>
      <w:tabs>
        <w:tab w:val="clear" w:pos="4536"/>
        <w:tab w:val="clear" w:pos="9072"/>
      </w:tabs>
      <w:ind w:right="-92"/>
      <w:jc w:val="right"/>
    </w:pPr>
    <w:r w:rsidRPr="00C97C3A">
      <w:rPr>
        <w:lang w:val="en-GB"/>
      </w:rPr>
      <w:t>Annex, page</w:t>
    </w:r>
    <w:r w:rsidRPr="00C97C3A">
      <w:t xml:space="preserve"> </w:t>
    </w:r>
    <w:sdt>
      <w:sdtPr>
        <w:id w:val="585273465"/>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C233BF">
          <w:rPr>
            <w:noProof/>
          </w:rPr>
          <w:t>5</w:t>
        </w:r>
        <w:r w:rsidRPr="00C97C3A">
          <w:rPr>
            <w:noProof/>
          </w:rPr>
          <w:fldChar w:fldCharType="end"/>
        </w:r>
      </w:sdtContent>
    </w:sdt>
  </w:p>
  <w:p w:rsidR="00D36F93" w:rsidRDefault="00D36F93" w:rsidP="00F70186">
    <w:pPr>
      <w:jc w:val="right"/>
    </w:pPr>
  </w:p>
  <w:p w:rsidR="00D36F93" w:rsidRDefault="00D36F93" w:rsidP="00F7018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D6C00"/>
    <w:multiLevelType w:val="hybridMultilevel"/>
    <w:tmpl w:val="32847C2C"/>
    <w:lvl w:ilvl="0" w:tplc="014AB204">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 w15:restartNumberingAfterBreak="0">
    <w:nsid w:val="0D040A92"/>
    <w:multiLevelType w:val="hybridMultilevel"/>
    <w:tmpl w:val="651A012E"/>
    <w:lvl w:ilvl="0" w:tplc="014AB204">
      <w:start w:val="1"/>
      <w:numFmt w:val="bullet"/>
      <w:lvlText w:val=""/>
      <w:lvlJc w:val="left"/>
      <w:pPr>
        <w:ind w:left="1315" w:hanging="360"/>
      </w:pPr>
      <w:rPr>
        <w:rFonts w:ascii="Symbol" w:hAnsi="Symbol" w:hint="default"/>
      </w:rPr>
    </w:lvl>
    <w:lvl w:ilvl="1" w:tplc="04090003">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4" w15:restartNumberingAfterBreak="0">
    <w:nsid w:val="0EEF1993"/>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73770"/>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12411F"/>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65133A"/>
    <w:multiLevelType w:val="multilevel"/>
    <w:tmpl w:val="D7C419CA"/>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42224401"/>
    <w:multiLevelType w:val="hybridMultilevel"/>
    <w:tmpl w:val="6CB27F0A"/>
    <w:lvl w:ilvl="0" w:tplc="88B2BD22">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06CA4"/>
    <w:multiLevelType w:val="multilevel"/>
    <w:tmpl w:val="0BECD56C"/>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F04592C"/>
    <w:multiLevelType w:val="hybridMultilevel"/>
    <w:tmpl w:val="5172DBAC"/>
    <w:lvl w:ilvl="0" w:tplc="014AB204">
      <w:start w:val="1"/>
      <w:numFmt w:val="bullet"/>
      <w:lvlText w:val=""/>
      <w:lvlJc w:val="left"/>
      <w:pPr>
        <w:ind w:left="955" w:hanging="360"/>
      </w:pPr>
      <w:rPr>
        <w:rFonts w:ascii="Symbol" w:hAnsi="Symbol" w:hint="default"/>
      </w:rPr>
    </w:lvl>
    <w:lvl w:ilvl="1" w:tplc="014AB204">
      <w:start w:val="1"/>
      <w:numFmt w:val="bullet"/>
      <w:lvlText w:val=""/>
      <w:lvlJc w:val="left"/>
      <w:pPr>
        <w:ind w:left="1675" w:hanging="360"/>
      </w:pPr>
      <w:rPr>
        <w:rFonts w:ascii="Symbol" w:hAnsi="Symbol"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9" w15:restartNumberingAfterBreak="0">
    <w:nsid w:val="60F27973"/>
    <w:multiLevelType w:val="hybridMultilevel"/>
    <w:tmpl w:val="F8C4316C"/>
    <w:lvl w:ilvl="0" w:tplc="3928323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477A0"/>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20F1E"/>
    <w:multiLevelType w:val="hybridMultilevel"/>
    <w:tmpl w:val="35B49DA0"/>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D69C2"/>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32ADC"/>
    <w:multiLevelType w:val="hybridMultilevel"/>
    <w:tmpl w:val="D59A20CE"/>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36"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F6E6A"/>
    <w:multiLevelType w:val="hybridMultilevel"/>
    <w:tmpl w:val="94225BD4"/>
    <w:lvl w:ilvl="0" w:tplc="04090015">
      <w:start w:val="1"/>
      <w:numFmt w:val="upperLetter"/>
      <w:lvlText w:val="%1."/>
      <w:lvlJc w:val="left"/>
      <w:pPr>
        <w:ind w:left="720" w:hanging="360"/>
      </w:pPr>
      <w:rPr>
        <w:rFonts w:hint="default"/>
      </w:rPr>
    </w:lvl>
    <w:lvl w:ilvl="1" w:tplc="E5A0B982">
      <w:numFmt w:val="bullet"/>
      <w:lvlText w:val="•"/>
      <w:lvlJc w:val="left"/>
      <w:pPr>
        <w:ind w:left="1600" w:hanging="5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21"/>
  </w:num>
  <w:num w:numId="5">
    <w:abstractNumId w:val="1"/>
  </w:num>
  <w:num w:numId="6">
    <w:abstractNumId w:val="11"/>
  </w:num>
  <w:num w:numId="7">
    <w:abstractNumId w:val="39"/>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0"/>
  </w:num>
  <w:num w:numId="13">
    <w:abstractNumId w:val="27"/>
  </w:num>
  <w:num w:numId="14">
    <w:abstractNumId w:val="20"/>
  </w:num>
  <w:num w:numId="15">
    <w:abstractNumId w:val="25"/>
  </w:num>
  <w:num w:numId="16">
    <w:abstractNumId w:val="14"/>
  </w:num>
  <w:num w:numId="17">
    <w:abstractNumId w:val="18"/>
  </w:num>
  <w:num w:numId="18">
    <w:abstractNumId w:val="23"/>
  </w:num>
  <w:num w:numId="19">
    <w:abstractNumId w:val="9"/>
  </w:num>
  <w:num w:numId="20">
    <w:abstractNumId w:val="16"/>
  </w:num>
  <w:num w:numId="21">
    <w:abstractNumId w:val="6"/>
  </w:num>
  <w:num w:numId="22">
    <w:abstractNumId w:val="38"/>
  </w:num>
  <w:num w:numId="23">
    <w:abstractNumId w:val="36"/>
  </w:num>
  <w:num w:numId="24">
    <w:abstractNumId w:val="12"/>
  </w:num>
  <w:num w:numId="25">
    <w:abstractNumId w:val="5"/>
  </w:num>
  <w:num w:numId="26">
    <w:abstractNumId w:val="22"/>
  </w:num>
  <w:num w:numId="27">
    <w:abstractNumId w:val="8"/>
  </w:num>
  <w:num w:numId="28">
    <w:abstractNumId w:val="34"/>
  </w:num>
  <w:num w:numId="29">
    <w:abstractNumId w:val="15"/>
  </w:num>
  <w:num w:numId="30">
    <w:abstractNumId w:val="32"/>
  </w:num>
  <w:num w:numId="31">
    <w:abstractNumId w:val="10"/>
  </w:num>
  <w:num w:numId="32">
    <w:abstractNumId w:val="29"/>
  </w:num>
  <w:num w:numId="33">
    <w:abstractNumId w:val="4"/>
  </w:num>
  <w:num w:numId="34">
    <w:abstractNumId w:val="31"/>
  </w:num>
  <w:num w:numId="35">
    <w:abstractNumId w:val="17"/>
  </w:num>
  <w:num w:numId="36">
    <w:abstractNumId w:val="33"/>
  </w:num>
  <w:num w:numId="37">
    <w:abstractNumId w:val="37"/>
  </w:num>
  <w:num w:numId="38">
    <w:abstractNumId w:val="26"/>
  </w:num>
  <w:num w:numId="39">
    <w:abstractNumId w:val="35"/>
  </w:num>
  <w:num w:numId="40">
    <w:abstractNumId w:val="2"/>
  </w:num>
  <w:num w:numId="41">
    <w:abstractNumId w:val="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pt-B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76A"/>
    <w:rsid w:val="00001E20"/>
    <w:rsid w:val="000040AF"/>
    <w:rsid w:val="00006C47"/>
    <w:rsid w:val="00013C23"/>
    <w:rsid w:val="000239CC"/>
    <w:rsid w:val="0002691B"/>
    <w:rsid w:val="00027802"/>
    <w:rsid w:val="000323E0"/>
    <w:rsid w:val="00042996"/>
    <w:rsid w:val="00043CAA"/>
    <w:rsid w:val="0004415A"/>
    <w:rsid w:val="00044E9A"/>
    <w:rsid w:val="00045441"/>
    <w:rsid w:val="000455A7"/>
    <w:rsid w:val="000534DD"/>
    <w:rsid w:val="00060D1C"/>
    <w:rsid w:val="000627B4"/>
    <w:rsid w:val="00063932"/>
    <w:rsid w:val="00064882"/>
    <w:rsid w:val="000727DE"/>
    <w:rsid w:val="0007307E"/>
    <w:rsid w:val="000734F4"/>
    <w:rsid w:val="000738B8"/>
    <w:rsid w:val="00075432"/>
    <w:rsid w:val="00081A85"/>
    <w:rsid w:val="0008512B"/>
    <w:rsid w:val="00085E9C"/>
    <w:rsid w:val="00090C0F"/>
    <w:rsid w:val="000925ED"/>
    <w:rsid w:val="000929C2"/>
    <w:rsid w:val="000968ED"/>
    <w:rsid w:val="00097775"/>
    <w:rsid w:val="000A1227"/>
    <w:rsid w:val="000A429A"/>
    <w:rsid w:val="000A56FE"/>
    <w:rsid w:val="000A6249"/>
    <w:rsid w:val="000A71E4"/>
    <w:rsid w:val="000A789E"/>
    <w:rsid w:val="000B0EE5"/>
    <w:rsid w:val="000B1400"/>
    <w:rsid w:val="000B3E71"/>
    <w:rsid w:val="000B403E"/>
    <w:rsid w:val="000B5D38"/>
    <w:rsid w:val="000C0962"/>
    <w:rsid w:val="000C363E"/>
    <w:rsid w:val="000C539E"/>
    <w:rsid w:val="000C5496"/>
    <w:rsid w:val="000C69E7"/>
    <w:rsid w:val="000C6FD6"/>
    <w:rsid w:val="000C783B"/>
    <w:rsid w:val="000C7E69"/>
    <w:rsid w:val="000D0CF0"/>
    <w:rsid w:val="000D11FC"/>
    <w:rsid w:val="000D15A2"/>
    <w:rsid w:val="000D2D55"/>
    <w:rsid w:val="000D6A06"/>
    <w:rsid w:val="000D6E1D"/>
    <w:rsid w:val="000E3026"/>
    <w:rsid w:val="000E3F8B"/>
    <w:rsid w:val="000E50C0"/>
    <w:rsid w:val="000E6BCF"/>
    <w:rsid w:val="000E7AE0"/>
    <w:rsid w:val="000F18F8"/>
    <w:rsid w:val="000F47DB"/>
    <w:rsid w:val="000F5E56"/>
    <w:rsid w:val="000F7B7E"/>
    <w:rsid w:val="000F7C99"/>
    <w:rsid w:val="00100F0E"/>
    <w:rsid w:val="00102DB2"/>
    <w:rsid w:val="00103604"/>
    <w:rsid w:val="00103A6E"/>
    <w:rsid w:val="00104484"/>
    <w:rsid w:val="001057FD"/>
    <w:rsid w:val="00110671"/>
    <w:rsid w:val="0011119B"/>
    <w:rsid w:val="001114B1"/>
    <w:rsid w:val="00116906"/>
    <w:rsid w:val="00124CF1"/>
    <w:rsid w:val="00125820"/>
    <w:rsid w:val="00125D7B"/>
    <w:rsid w:val="00130D6D"/>
    <w:rsid w:val="00131044"/>
    <w:rsid w:val="00132359"/>
    <w:rsid w:val="00134308"/>
    <w:rsid w:val="001353C7"/>
    <w:rsid w:val="001355B6"/>
    <w:rsid w:val="00135DEC"/>
    <w:rsid w:val="001362EE"/>
    <w:rsid w:val="00137ED0"/>
    <w:rsid w:val="00142B8F"/>
    <w:rsid w:val="0014354B"/>
    <w:rsid w:val="00144057"/>
    <w:rsid w:val="00144F75"/>
    <w:rsid w:val="00151033"/>
    <w:rsid w:val="00152F01"/>
    <w:rsid w:val="00154754"/>
    <w:rsid w:val="00154D75"/>
    <w:rsid w:val="00160134"/>
    <w:rsid w:val="001636D1"/>
    <w:rsid w:val="00164258"/>
    <w:rsid w:val="00166DE9"/>
    <w:rsid w:val="00166FC4"/>
    <w:rsid w:val="00170EC7"/>
    <w:rsid w:val="00171931"/>
    <w:rsid w:val="00172C44"/>
    <w:rsid w:val="00172E16"/>
    <w:rsid w:val="0017367B"/>
    <w:rsid w:val="00174F70"/>
    <w:rsid w:val="0017546A"/>
    <w:rsid w:val="001765CF"/>
    <w:rsid w:val="0018188A"/>
    <w:rsid w:val="00182469"/>
    <w:rsid w:val="00182AD0"/>
    <w:rsid w:val="0018311E"/>
    <w:rsid w:val="001832A6"/>
    <w:rsid w:val="00184D3B"/>
    <w:rsid w:val="00192764"/>
    <w:rsid w:val="00192AD4"/>
    <w:rsid w:val="00192E46"/>
    <w:rsid w:val="0019323E"/>
    <w:rsid w:val="001933CB"/>
    <w:rsid w:val="00193BE4"/>
    <w:rsid w:val="0019427B"/>
    <w:rsid w:val="00196671"/>
    <w:rsid w:val="001A1DAF"/>
    <w:rsid w:val="001A3353"/>
    <w:rsid w:val="001A6F71"/>
    <w:rsid w:val="001B10ED"/>
    <w:rsid w:val="001B226B"/>
    <w:rsid w:val="001B2515"/>
    <w:rsid w:val="001B38FB"/>
    <w:rsid w:val="001B3A7C"/>
    <w:rsid w:val="001B56C5"/>
    <w:rsid w:val="001C119B"/>
    <w:rsid w:val="001C24F8"/>
    <w:rsid w:val="001C3B60"/>
    <w:rsid w:val="001C46E5"/>
    <w:rsid w:val="001C49F2"/>
    <w:rsid w:val="001C6003"/>
    <w:rsid w:val="001C7095"/>
    <w:rsid w:val="001D353E"/>
    <w:rsid w:val="001D469D"/>
    <w:rsid w:val="001D784D"/>
    <w:rsid w:val="001E29F8"/>
    <w:rsid w:val="001F0CBA"/>
    <w:rsid w:val="001F3F21"/>
    <w:rsid w:val="001F4F85"/>
    <w:rsid w:val="001F74FE"/>
    <w:rsid w:val="00200D47"/>
    <w:rsid w:val="002072D2"/>
    <w:rsid w:val="0021048E"/>
    <w:rsid w:val="0021217E"/>
    <w:rsid w:val="00220246"/>
    <w:rsid w:val="00221677"/>
    <w:rsid w:val="00222E56"/>
    <w:rsid w:val="0022444B"/>
    <w:rsid w:val="00224516"/>
    <w:rsid w:val="002259B3"/>
    <w:rsid w:val="00225AB3"/>
    <w:rsid w:val="00226698"/>
    <w:rsid w:val="00227324"/>
    <w:rsid w:val="00227B3F"/>
    <w:rsid w:val="002311E5"/>
    <w:rsid w:val="0023132E"/>
    <w:rsid w:val="00232811"/>
    <w:rsid w:val="00241437"/>
    <w:rsid w:val="00242C9D"/>
    <w:rsid w:val="002435E4"/>
    <w:rsid w:val="00247694"/>
    <w:rsid w:val="00252446"/>
    <w:rsid w:val="00256C22"/>
    <w:rsid w:val="00261C8F"/>
    <w:rsid w:val="002634C4"/>
    <w:rsid w:val="00263566"/>
    <w:rsid w:val="00264135"/>
    <w:rsid w:val="002660DA"/>
    <w:rsid w:val="002705F7"/>
    <w:rsid w:val="00271A96"/>
    <w:rsid w:val="0027320A"/>
    <w:rsid w:val="0027373F"/>
    <w:rsid w:val="002739FF"/>
    <w:rsid w:val="0027462D"/>
    <w:rsid w:val="00274DD1"/>
    <w:rsid w:val="002755C1"/>
    <w:rsid w:val="00280148"/>
    <w:rsid w:val="00280DE7"/>
    <w:rsid w:val="0028175D"/>
    <w:rsid w:val="00284A12"/>
    <w:rsid w:val="00287239"/>
    <w:rsid w:val="00290A87"/>
    <w:rsid w:val="002928D3"/>
    <w:rsid w:val="00292E9D"/>
    <w:rsid w:val="00293338"/>
    <w:rsid w:val="002937A2"/>
    <w:rsid w:val="00294792"/>
    <w:rsid w:val="002976CA"/>
    <w:rsid w:val="00297780"/>
    <w:rsid w:val="00297CE1"/>
    <w:rsid w:val="002B363E"/>
    <w:rsid w:val="002B3E5B"/>
    <w:rsid w:val="002B7730"/>
    <w:rsid w:val="002C22A2"/>
    <w:rsid w:val="002C2755"/>
    <w:rsid w:val="002C3706"/>
    <w:rsid w:val="002C4F0F"/>
    <w:rsid w:val="002C5183"/>
    <w:rsid w:val="002C5BA3"/>
    <w:rsid w:val="002C6783"/>
    <w:rsid w:val="002C6C0F"/>
    <w:rsid w:val="002C734B"/>
    <w:rsid w:val="002C74E0"/>
    <w:rsid w:val="002D105A"/>
    <w:rsid w:val="002D2225"/>
    <w:rsid w:val="002D54F5"/>
    <w:rsid w:val="002D7B33"/>
    <w:rsid w:val="002E04AD"/>
    <w:rsid w:val="002E2221"/>
    <w:rsid w:val="002E3210"/>
    <w:rsid w:val="002E5171"/>
    <w:rsid w:val="002E6708"/>
    <w:rsid w:val="002F1919"/>
    <w:rsid w:val="002F1AB3"/>
    <w:rsid w:val="002F1FE6"/>
    <w:rsid w:val="002F3D86"/>
    <w:rsid w:val="002F4E68"/>
    <w:rsid w:val="002F5770"/>
    <w:rsid w:val="002F58F6"/>
    <w:rsid w:val="00302227"/>
    <w:rsid w:val="003027BF"/>
    <w:rsid w:val="00302CA8"/>
    <w:rsid w:val="00303E4E"/>
    <w:rsid w:val="00304DB4"/>
    <w:rsid w:val="003053AB"/>
    <w:rsid w:val="00305720"/>
    <w:rsid w:val="00307ADA"/>
    <w:rsid w:val="00312F7F"/>
    <w:rsid w:val="00313263"/>
    <w:rsid w:val="0031420C"/>
    <w:rsid w:val="0031496C"/>
    <w:rsid w:val="00314FA7"/>
    <w:rsid w:val="003329B2"/>
    <w:rsid w:val="00334DB3"/>
    <w:rsid w:val="003414EF"/>
    <w:rsid w:val="00342DD0"/>
    <w:rsid w:val="00345E31"/>
    <w:rsid w:val="003475B1"/>
    <w:rsid w:val="00350DC1"/>
    <w:rsid w:val="00351280"/>
    <w:rsid w:val="00351410"/>
    <w:rsid w:val="00354A19"/>
    <w:rsid w:val="00357D0D"/>
    <w:rsid w:val="0036057D"/>
    <w:rsid w:val="00361450"/>
    <w:rsid w:val="00364F6B"/>
    <w:rsid w:val="003673CF"/>
    <w:rsid w:val="003755D9"/>
    <w:rsid w:val="00376758"/>
    <w:rsid w:val="00380617"/>
    <w:rsid w:val="003817DA"/>
    <w:rsid w:val="00382992"/>
    <w:rsid w:val="003845C1"/>
    <w:rsid w:val="00385FA9"/>
    <w:rsid w:val="003865FF"/>
    <w:rsid w:val="00397310"/>
    <w:rsid w:val="003A32DC"/>
    <w:rsid w:val="003A3DE8"/>
    <w:rsid w:val="003A4A1F"/>
    <w:rsid w:val="003A6165"/>
    <w:rsid w:val="003A6F89"/>
    <w:rsid w:val="003A7DFB"/>
    <w:rsid w:val="003B38C1"/>
    <w:rsid w:val="003B4D58"/>
    <w:rsid w:val="003B5952"/>
    <w:rsid w:val="003B64C8"/>
    <w:rsid w:val="003C2DC6"/>
    <w:rsid w:val="003C3E2C"/>
    <w:rsid w:val="003C420F"/>
    <w:rsid w:val="003C52D4"/>
    <w:rsid w:val="003C618D"/>
    <w:rsid w:val="003D4D6D"/>
    <w:rsid w:val="003D6CCE"/>
    <w:rsid w:val="003D7540"/>
    <w:rsid w:val="003E052E"/>
    <w:rsid w:val="003E0597"/>
    <w:rsid w:val="003E0C19"/>
    <w:rsid w:val="003E2210"/>
    <w:rsid w:val="003E7A7B"/>
    <w:rsid w:val="00401C0E"/>
    <w:rsid w:val="004024F0"/>
    <w:rsid w:val="0040418F"/>
    <w:rsid w:val="00404F64"/>
    <w:rsid w:val="00407BC5"/>
    <w:rsid w:val="004147EB"/>
    <w:rsid w:val="00415CFE"/>
    <w:rsid w:val="00416217"/>
    <w:rsid w:val="004172F6"/>
    <w:rsid w:val="00422907"/>
    <w:rsid w:val="00423431"/>
    <w:rsid w:val="00423E3E"/>
    <w:rsid w:val="00425476"/>
    <w:rsid w:val="00425D54"/>
    <w:rsid w:val="00425F10"/>
    <w:rsid w:val="00427354"/>
    <w:rsid w:val="004275A7"/>
    <w:rsid w:val="00427AF4"/>
    <w:rsid w:val="004309E7"/>
    <w:rsid w:val="004327BA"/>
    <w:rsid w:val="004340FC"/>
    <w:rsid w:val="00434870"/>
    <w:rsid w:val="00441795"/>
    <w:rsid w:val="00443EC1"/>
    <w:rsid w:val="004453BB"/>
    <w:rsid w:val="004461D0"/>
    <w:rsid w:val="004464AF"/>
    <w:rsid w:val="00447E4C"/>
    <w:rsid w:val="00452A2C"/>
    <w:rsid w:val="00453891"/>
    <w:rsid w:val="00455940"/>
    <w:rsid w:val="00462019"/>
    <w:rsid w:val="004622AB"/>
    <w:rsid w:val="00463EFA"/>
    <w:rsid w:val="004647DA"/>
    <w:rsid w:val="00464A5D"/>
    <w:rsid w:val="00466640"/>
    <w:rsid w:val="00471813"/>
    <w:rsid w:val="00474062"/>
    <w:rsid w:val="00476668"/>
    <w:rsid w:val="00477D6B"/>
    <w:rsid w:val="00481B33"/>
    <w:rsid w:val="00481F11"/>
    <w:rsid w:val="00482734"/>
    <w:rsid w:val="00483DB4"/>
    <w:rsid w:val="00485825"/>
    <w:rsid w:val="00485E88"/>
    <w:rsid w:val="00486F83"/>
    <w:rsid w:val="004909BC"/>
    <w:rsid w:val="00492543"/>
    <w:rsid w:val="004A22BA"/>
    <w:rsid w:val="004A5AC6"/>
    <w:rsid w:val="004A7B47"/>
    <w:rsid w:val="004B0164"/>
    <w:rsid w:val="004B0D50"/>
    <w:rsid w:val="004B1F59"/>
    <w:rsid w:val="004B2AEC"/>
    <w:rsid w:val="004C032A"/>
    <w:rsid w:val="004C0CEF"/>
    <w:rsid w:val="004C2B13"/>
    <w:rsid w:val="004C2EDB"/>
    <w:rsid w:val="004C3349"/>
    <w:rsid w:val="004C5127"/>
    <w:rsid w:val="004C6A7B"/>
    <w:rsid w:val="004D1AF4"/>
    <w:rsid w:val="004D4320"/>
    <w:rsid w:val="004D4EA1"/>
    <w:rsid w:val="004D68E2"/>
    <w:rsid w:val="004E091D"/>
    <w:rsid w:val="004E0D1D"/>
    <w:rsid w:val="004E117A"/>
    <w:rsid w:val="004E24C5"/>
    <w:rsid w:val="004E51E2"/>
    <w:rsid w:val="004E6C47"/>
    <w:rsid w:val="004E7975"/>
    <w:rsid w:val="004E7C31"/>
    <w:rsid w:val="004F0C92"/>
    <w:rsid w:val="004F3827"/>
    <w:rsid w:val="004F3EF6"/>
    <w:rsid w:val="004F7FDA"/>
    <w:rsid w:val="00500F4A"/>
    <w:rsid w:val="005019FF"/>
    <w:rsid w:val="0050525D"/>
    <w:rsid w:val="00510746"/>
    <w:rsid w:val="00512FEC"/>
    <w:rsid w:val="005136A5"/>
    <w:rsid w:val="005148F5"/>
    <w:rsid w:val="0051636B"/>
    <w:rsid w:val="00520BA6"/>
    <w:rsid w:val="00524442"/>
    <w:rsid w:val="005251F1"/>
    <w:rsid w:val="0052526B"/>
    <w:rsid w:val="0053057A"/>
    <w:rsid w:val="00531970"/>
    <w:rsid w:val="00535912"/>
    <w:rsid w:val="0053632E"/>
    <w:rsid w:val="00540453"/>
    <w:rsid w:val="00542156"/>
    <w:rsid w:val="0054226A"/>
    <w:rsid w:val="00543155"/>
    <w:rsid w:val="005435DD"/>
    <w:rsid w:val="00545421"/>
    <w:rsid w:val="00545A2D"/>
    <w:rsid w:val="00546AFB"/>
    <w:rsid w:val="00550B66"/>
    <w:rsid w:val="00551688"/>
    <w:rsid w:val="005533E4"/>
    <w:rsid w:val="00557A0C"/>
    <w:rsid w:val="00560A29"/>
    <w:rsid w:val="00561C31"/>
    <w:rsid w:val="00565999"/>
    <w:rsid w:val="00567DC4"/>
    <w:rsid w:val="005706C0"/>
    <w:rsid w:val="00571987"/>
    <w:rsid w:val="00572DA5"/>
    <w:rsid w:val="005734A6"/>
    <w:rsid w:val="00573D3E"/>
    <w:rsid w:val="00574455"/>
    <w:rsid w:val="00577E70"/>
    <w:rsid w:val="00580372"/>
    <w:rsid w:val="0058189B"/>
    <w:rsid w:val="00582635"/>
    <w:rsid w:val="00582996"/>
    <w:rsid w:val="00584ACA"/>
    <w:rsid w:val="00590515"/>
    <w:rsid w:val="00594086"/>
    <w:rsid w:val="005A08A0"/>
    <w:rsid w:val="005A1E37"/>
    <w:rsid w:val="005A2486"/>
    <w:rsid w:val="005A5D37"/>
    <w:rsid w:val="005A605B"/>
    <w:rsid w:val="005B1248"/>
    <w:rsid w:val="005B1AA9"/>
    <w:rsid w:val="005B5545"/>
    <w:rsid w:val="005C6649"/>
    <w:rsid w:val="005C72D5"/>
    <w:rsid w:val="005D0029"/>
    <w:rsid w:val="005D1335"/>
    <w:rsid w:val="005D4211"/>
    <w:rsid w:val="005D70ED"/>
    <w:rsid w:val="005D73D5"/>
    <w:rsid w:val="005D7753"/>
    <w:rsid w:val="005E3F26"/>
    <w:rsid w:val="005E5F7A"/>
    <w:rsid w:val="005E674D"/>
    <w:rsid w:val="005E736E"/>
    <w:rsid w:val="005E7B83"/>
    <w:rsid w:val="005F25E8"/>
    <w:rsid w:val="005F4367"/>
    <w:rsid w:val="005F48D6"/>
    <w:rsid w:val="0060029E"/>
    <w:rsid w:val="006027FD"/>
    <w:rsid w:val="0060327B"/>
    <w:rsid w:val="006039E8"/>
    <w:rsid w:val="006050B4"/>
    <w:rsid w:val="00605827"/>
    <w:rsid w:val="006063B3"/>
    <w:rsid w:val="006075CA"/>
    <w:rsid w:val="00613DEC"/>
    <w:rsid w:val="0061613B"/>
    <w:rsid w:val="00616B82"/>
    <w:rsid w:val="00620AB7"/>
    <w:rsid w:val="00620DFC"/>
    <w:rsid w:val="00620FF0"/>
    <w:rsid w:val="00630968"/>
    <w:rsid w:val="00631542"/>
    <w:rsid w:val="0063453B"/>
    <w:rsid w:val="00636581"/>
    <w:rsid w:val="0064073D"/>
    <w:rsid w:val="00643F4F"/>
    <w:rsid w:val="006447E2"/>
    <w:rsid w:val="00646050"/>
    <w:rsid w:val="006512AE"/>
    <w:rsid w:val="006622D6"/>
    <w:rsid w:val="00662DEF"/>
    <w:rsid w:val="00663396"/>
    <w:rsid w:val="00665905"/>
    <w:rsid w:val="006713CA"/>
    <w:rsid w:val="00675A10"/>
    <w:rsid w:val="006765D1"/>
    <w:rsid w:val="00676C5C"/>
    <w:rsid w:val="00680CC2"/>
    <w:rsid w:val="00681120"/>
    <w:rsid w:val="00683858"/>
    <w:rsid w:val="0068421A"/>
    <w:rsid w:val="00687052"/>
    <w:rsid w:val="00691266"/>
    <w:rsid w:val="00694CC8"/>
    <w:rsid w:val="00696845"/>
    <w:rsid w:val="006A0F7E"/>
    <w:rsid w:val="006A26EB"/>
    <w:rsid w:val="006A3F6E"/>
    <w:rsid w:val="006A3FF9"/>
    <w:rsid w:val="006A450E"/>
    <w:rsid w:val="006A4684"/>
    <w:rsid w:val="006A47A4"/>
    <w:rsid w:val="006A6049"/>
    <w:rsid w:val="006B2153"/>
    <w:rsid w:val="006B2527"/>
    <w:rsid w:val="006B3B40"/>
    <w:rsid w:val="006C048D"/>
    <w:rsid w:val="006C44ED"/>
    <w:rsid w:val="006C57EC"/>
    <w:rsid w:val="006C5CE1"/>
    <w:rsid w:val="006D25E0"/>
    <w:rsid w:val="006D2A09"/>
    <w:rsid w:val="006D4F6E"/>
    <w:rsid w:val="006D5410"/>
    <w:rsid w:val="006D5D1F"/>
    <w:rsid w:val="006D75E7"/>
    <w:rsid w:val="006E5EB6"/>
    <w:rsid w:val="006E6B6D"/>
    <w:rsid w:val="006E759F"/>
    <w:rsid w:val="006F0498"/>
    <w:rsid w:val="006F56BD"/>
    <w:rsid w:val="006F6FB4"/>
    <w:rsid w:val="006F7283"/>
    <w:rsid w:val="00700609"/>
    <w:rsid w:val="00700899"/>
    <w:rsid w:val="00701209"/>
    <w:rsid w:val="007012DC"/>
    <w:rsid w:val="00701B52"/>
    <w:rsid w:val="0070226D"/>
    <w:rsid w:val="00710493"/>
    <w:rsid w:val="00710521"/>
    <w:rsid w:val="00711088"/>
    <w:rsid w:val="00711CEF"/>
    <w:rsid w:val="007169B0"/>
    <w:rsid w:val="00720B90"/>
    <w:rsid w:val="00721413"/>
    <w:rsid w:val="00733A66"/>
    <w:rsid w:val="0073460A"/>
    <w:rsid w:val="00734B95"/>
    <w:rsid w:val="00735329"/>
    <w:rsid w:val="00735861"/>
    <w:rsid w:val="00737561"/>
    <w:rsid w:val="007424D6"/>
    <w:rsid w:val="00745A7D"/>
    <w:rsid w:val="007465B7"/>
    <w:rsid w:val="00746B89"/>
    <w:rsid w:val="00747839"/>
    <w:rsid w:val="007539B4"/>
    <w:rsid w:val="007554D9"/>
    <w:rsid w:val="007575A9"/>
    <w:rsid w:val="007615B1"/>
    <w:rsid w:val="007618B4"/>
    <w:rsid w:val="0076251D"/>
    <w:rsid w:val="00763AD3"/>
    <w:rsid w:val="007670D4"/>
    <w:rsid w:val="00767F11"/>
    <w:rsid w:val="00775CBA"/>
    <w:rsid w:val="00776DC7"/>
    <w:rsid w:val="00785514"/>
    <w:rsid w:val="00786738"/>
    <w:rsid w:val="00787EBC"/>
    <w:rsid w:val="00791DFF"/>
    <w:rsid w:val="00792503"/>
    <w:rsid w:val="007A3BEA"/>
    <w:rsid w:val="007A45C6"/>
    <w:rsid w:val="007A6720"/>
    <w:rsid w:val="007A6758"/>
    <w:rsid w:val="007B23C4"/>
    <w:rsid w:val="007B2B4F"/>
    <w:rsid w:val="007B6FCB"/>
    <w:rsid w:val="007B7DA3"/>
    <w:rsid w:val="007C07FA"/>
    <w:rsid w:val="007C0A65"/>
    <w:rsid w:val="007C19D0"/>
    <w:rsid w:val="007C47D1"/>
    <w:rsid w:val="007C6F27"/>
    <w:rsid w:val="007C72EB"/>
    <w:rsid w:val="007D0496"/>
    <w:rsid w:val="007D060B"/>
    <w:rsid w:val="007D1613"/>
    <w:rsid w:val="007D1BFF"/>
    <w:rsid w:val="007D517B"/>
    <w:rsid w:val="007E03B8"/>
    <w:rsid w:val="007E0BA4"/>
    <w:rsid w:val="007E12DB"/>
    <w:rsid w:val="007E1BD0"/>
    <w:rsid w:val="007E4C0E"/>
    <w:rsid w:val="007E4F13"/>
    <w:rsid w:val="007F2539"/>
    <w:rsid w:val="007F2A85"/>
    <w:rsid w:val="007F3479"/>
    <w:rsid w:val="007F3EF9"/>
    <w:rsid w:val="007F4B41"/>
    <w:rsid w:val="007F62CA"/>
    <w:rsid w:val="008026ED"/>
    <w:rsid w:val="00803F08"/>
    <w:rsid w:val="0080778C"/>
    <w:rsid w:val="00815B9D"/>
    <w:rsid w:val="00815BE4"/>
    <w:rsid w:val="0081625D"/>
    <w:rsid w:val="00820D28"/>
    <w:rsid w:val="008214E7"/>
    <w:rsid w:val="00821A9F"/>
    <w:rsid w:val="00822D13"/>
    <w:rsid w:val="00827384"/>
    <w:rsid w:val="0083070F"/>
    <w:rsid w:val="00832840"/>
    <w:rsid w:val="008357E1"/>
    <w:rsid w:val="0083584C"/>
    <w:rsid w:val="00835D79"/>
    <w:rsid w:val="008424BF"/>
    <w:rsid w:val="008429B9"/>
    <w:rsid w:val="00842CAC"/>
    <w:rsid w:val="00845E14"/>
    <w:rsid w:val="00852AA8"/>
    <w:rsid w:val="008572C3"/>
    <w:rsid w:val="008575E1"/>
    <w:rsid w:val="008605B2"/>
    <w:rsid w:val="008620E7"/>
    <w:rsid w:val="00864ED9"/>
    <w:rsid w:val="00865EC5"/>
    <w:rsid w:val="008771ED"/>
    <w:rsid w:val="008828F2"/>
    <w:rsid w:val="00883CD0"/>
    <w:rsid w:val="00883CED"/>
    <w:rsid w:val="0089175C"/>
    <w:rsid w:val="00892807"/>
    <w:rsid w:val="008A3D2C"/>
    <w:rsid w:val="008A6EB4"/>
    <w:rsid w:val="008B0D20"/>
    <w:rsid w:val="008B2CC1"/>
    <w:rsid w:val="008B40A5"/>
    <w:rsid w:val="008B60B2"/>
    <w:rsid w:val="008B6B51"/>
    <w:rsid w:val="008B78E7"/>
    <w:rsid w:val="008C05E7"/>
    <w:rsid w:val="008C74F7"/>
    <w:rsid w:val="008C7BF9"/>
    <w:rsid w:val="008D5C9B"/>
    <w:rsid w:val="008D60D9"/>
    <w:rsid w:val="008D6398"/>
    <w:rsid w:val="008D776F"/>
    <w:rsid w:val="008E096A"/>
    <w:rsid w:val="008E1BEA"/>
    <w:rsid w:val="008E44FF"/>
    <w:rsid w:val="008E47FE"/>
    <w:rsid w:val="008E7DB2"/>
    <w:rsid w:val="008E7F99"/>
    <w:rsid w:val="008F4461"/>
    <w:rsid w:val="008F6593"/>
    <w:rsid w:val="0090130E"/>
    <w:rsid w:val="00902363"/>
    <w:rsid w:val="009040EA"/>
    <w:rsid w:val="00906069"/>
    <w:rsid w:val="0090731E"/>
    <w:rsid w:val="00907D08"/>
    <w:rsid w:val="00913103"/>
    <w:rsid w:val="00916EE2"/>
    <w:rsid w:val="009235F1"/>
    <w:rsid w:val="009269BC"/>
    <w:rsid w:val="0092744D"/>
    <w:rsid w:val="009325A5"/>
    <w:rsid w:val="00940BD3"/>
    <w:rsid w:val="00945CD1"/>
    <w:rsid w:val="00946100"/>
    <w:rsid w:val="00954A5F"/>
    <w:rsid w:val="009578E9"/>
    <w:rsid w:val="0096128F"/>
    <w:rsid w:val="00962E35"/>
    <w:rsid w:val="009632F3"/>
    <w:rsid w:val="00963992"/>
    <w:rsid w:val="0096405C"/>
    <w:rsid w:val="00966A22"/>
    <w:rsid w:val="0096722F"/>
    <w:rsid w:val="00971F07"/>
    <w:rsid w:val="00972945"/>
    <w:rsid w:val="009730E0"/>
    <w:rsid w:val="0097371A"/>
    <w:rsid w:val="00974B45"/>
    <w:rsid w:val="009757E8"/>
    <w:rsid w:val="00976B7A"/>
    <w:rsid w:val="00980843"/>
    <w:rsid w:val="00981B2C"/>
    <w:rsid w:val="00981D39"/>
    <w:rsid w:val="00982581"/>
    <w:rsid w:val="00982E6D"/>
    <w:rsid w:val="00982FF0"/>
    <w:rsid w:val="00983504"/>
    <w:rsid w:val="00987305"/>
    <w:rsid w:val="009879CF"/>
    <w:rsid w:val="00991316"/>
    <w:rsid w:val="0099311B"/>
    <w:rsid w:val="00993454"/>
    <w:rsid w:val="009961DF"/>
    <w:rsid w:val="00997F70"/>
    <w:rsid w:val="009A193F"/>
    <w:rsid w:val="009A27BE"/>
    <w:rsid w:val="009A3A20"/>
    <w:rsid w:val="009A52F2"/>
    <w:rsid w:val="009A6870"/>
    <w:rsid w:val="009B02B7"/>
    <w:rsid w:val="009B2ECB"/>
    <w:rsid w:val="009B341B"/>
    <w:rsid w:val="009B4B11"/>
    <w:rsid w:val="009B58F1"/>
    <w:rsid w:val="009B7ECF"/>
    <w:rsid w:val="009C06AF"/>
    <w:rsid w:val="009C0886"/>
    <w:rsid w:val="009C2B03"/>
    <w:rsid w:val="009C570F"/>
    <w:rsid w:val="009C7182"/>
    <w:rsid w:val="009D123C"/>
    <w:rsid w:val="009D25CB"/>
    <w:rsid w:val="009D3B1F"/>
    <w:rsid w:val="009D6DA3"/>
    <w:rsid w:val="009D724F"/>
    <w:rsid w:val="009E2791"/>
    <w:rsid w:val="009E2D6D"/>
    <w:rsid w:val="009E3F6F"/>
    <w:rsid w:val="009E63A5"/>
    <w:rsid w:val="009E7FC5"/>
    <w:rsid w:val="009E7FCA"/>
    <w:rsid w:val="009F2372"/>
    <w:rsid w:val="009F24C8"/>
    <w:rsid w:val="009F499F"/>
    <w:rsid w:val="00A02BBE"/>
    <w:rsid w:val="00A04217"/>
    <w:rsid w:val="00A04D0B"/>
    <w:rsid w:val="00A05EC2"/>
    <w:rsid w:val="00A07E1D"/>
    <w:rsid w:val="00A1014E"/>
    <w:rsid w:val="00A12E03"/>
    <w:rsid w:val="00A15027"/>
    <w:rsid w:val="00A1613E"/>
    <w:rsid w:val="00A1735C"/>
    <w:rsid w:val="00A219E9"/>
    <w:rsid w:val="00A22A98"/>
    <w:rsid w:val="00A23456"/>
    <w:rsid w:val="00A264BF"/>
    <w:rsid w:val="00A30AAB"/>
    <w:rsid w:val="00A341F2"/>
    <w:rsid w:val="00A35121"/>
    <w:rsid w:val="00A35EF4"/>
    <w:rsid w:val="00A42DAF"/>
    <w:rsid w:val="00A4472D"/>
    <w:rsid w:val="00A4591C"/>
    <w:rsid w:val="00A45BD8"/>
    <w:rsid w:val="00A4693E"/>
    <w:rsid w:val="00A471FA"/>
    <w:rsid w:val="00A47582"/>
    <w:rsid w:val="00A5189D"/>
    <w:rsid w:val="00A53700"/>
    <w:rsid w:val="00A579BA"/>
    <w:rsid w:val="00A60F0A"/>
    <w:rsid w:val="00A61F1E"/>
    <w:rsid w:val="00A63C82"/>
    <w:rsid w:val="00A644A2"/>
    <w:rsid w:val="00A675D9"/>
    <w:rsid w:val="00A72C6E"/>
    <w:rsid w:val="00A74384"/>
    <w:rsid w:val="00A76F4F"/>
    <w:rsid w:val="00A77459"/>
    <w:rsid w:val="00A81C3B"/>
    <w:rsid w:val="00A830BA"/>
    <w:rsid w:val="00A8684D"/>
    <w:rsid w:val="00A869B7"/>
    <w:rsid w:val="00A87DBC"/>
    <w:rsid w:val="00A90E46"/>
    <w:rsid w:val="00A910B9"/>
    <w:rsid w:val="00A93AB1"/>
    <w:rsid w:val="00A973E2"/>
    <w:rsid w:val="00AA035A"/>
    <w:rsid w:val="00AA3972"/>
    <w:rsid w:val="00AA6688"/>
    <w:rsid w:val="00AA6834"/>
    <w:rsid w:val="00AA6C3D"/>
    <w:rsid w:val="00AA6FBB"/>
    <w:rsid w:val="00AB30AD"/>
    <w:rsid w:val="00AB4868"/>
    <w:rsid w:val="00AC1219"/>
    <w:rsid w:val="00AC205C"/>
    <w:rsid w:val="00AC2F16"/>
    <w:rsid w:val="00AC4445"/>
    <w:rsid w:val="00AC4AD0"/>
    <w:rsid w:val="00AC6824"/>
    <w:rsid w:val="00AD3EDF"/>
    <w:rsid w:val="00AD4AB7"/>
    <w:rsid w:val="00AD5EDA"/>
    <w:rsid w:val="00AD6CC3"/>
    <w:rsid w:val="00AD6E80"/>
    <w:rsid w:val="00AE038E"/>
    <w:rsid w:val="00AE1064"/>
    <w:rsid w:val="00AE21B0"/>
    <w:rsid w:val="00AE6984"/>
    <w:rsid w:val="00AF0A6B"/>
    <w:rsid w:val="00AF0C57"/>
    <w:rsid w:val="00AF2DEE"/>
    <w:rsid w:val="00AF4497"/>
    <w:rsid w:val="00B00DB2"/>
    <w:rsid w:val="00B02BA3"/>
    <w:rsid w:val="00B05A69"/>
    <w:rsid w:val="00B05D09"/>
    <w:rsid w:val="00B0709A"/>
    <w:rsid w:val="00B07A9C"/>
    <w:rsid w:val="00B10191"/>
    <w:rsid w:val="00B15B13"/>
    <w:rsid w:val="00B1789B"/>
    <w:rsid w:val="00B21D0F"/>
    <w:rsid w:val="00B221EA"/>
    <w:rsid w:val="00B22AED"/>
    <w:rsid w:val="00B2319D"/>
    <w:rsid w:val="00B249E2"/>
    <w:rsid w:val="00B24FCA"/>
    <w:rsid w:val="00B2590A"/>
    <w:rsid w:val="00B25E80"/>
    <w:rsid w:val="00B277FD"/>
    <w:rsid w:val="00B30C1E"/>
    <w:rsid w:val="00B325B3"/>
    <w:rsid w:val="00B32A46"/>
    <w:rsid w:val="00B334CD"/>
    <w:rsid w:val="00B41E87"/>
    <w:rsid w:val="00B42656"/>
    <w:rsid w:val="00B43353"/>
    <w:rsid w:val="00B4760F"/>
    <w:rsid w:val="00B47938"/>
    <w:rsid w:val="00B52A18"/>
    <w:rsid w:val="00B5448E"/>
    <w:rsid w:val="00B55C51"/>
    <w:rsid w:val="00B55E99"/>
    <w:rsid w:val="00B5770B"/>
    <w:rsid w:val="00B57C94"/>
    <w:rsid w:val="00B6028F"/>
    <w:rsid w:val="00B62113"/>
    <w:rsid w:val="00B62596"/>
    <w:rsid w:val="00B637C9"/>
    <w:rsid w:val="00B67746"/>
    <w:rsid w:val="00B67934"/>
    <w:rsid w:val="00B7104B"/>
    <w:rsid w:val="00B71590"/>
    <w:rsid w:val="00B72A23"/>
    <w:rsid w:val="00B72ACD"/>
    <w:rsid w:val="00B7423F"/>
    <w:rsid w:val="00B7770E"/>
    <w:rsid w:val="00B915F4"/>
    <w:rsid w:val="00B93DEA"/>
    <w:rsid w:val="00B94FE0"/>
    <w:rsid w:val="00B950B0"/>
    <w:rsid w:val="00B97040"/>
    <w:rsid w:val="00B9734B"/>
    <w:rsid w:val="00B979FC"/>
    <w:rsid w:val="00B97AF5"/>
    <w:rsid w:val="00BA23E6"/>
    <w:rsid w:val="00BA30E2"/>
    <w:rsid w:val="00BA532C"/>
    <w:rsid w:val="00BA5BBD"/>
    <w:rsid w:val="00BA6BE2"/>
    <w:rsid w:val="00BB0013"/>
    <w:rsid w:val="00BC2254"/>
    <w:rsid w:val="00BC230A"/>
    <w:rsid w:val="00BD300D"/>
    <w:rsid w:val="00BD33E9"/>
    <w:rsid w:val="00BD4166"/>
    <w:rsid w:val="00BD5E7F"/>
    <w:rsid w:val="00BD7B9F"/>
    <w:rsid w:val="00BD7C33"/>
    <w:rsid w:val="00BD7D4A"/>
    <w:rsid w:val="00BE0062"/>
    <w:rsid w:val="00BE0900"/>
    <w:rsid w:val="00BE146D"/>
    <w:rsid w:val="00BE5402"/>
    <w:rsid w:val="00BF16EC"/>
    <w:rsid w:val="00BF1876"/>
    <w:rsid w:val="00BF2B76"/>
    <w:rsid w:val="00BF2FE1"/>
    <w:rsid w:val="00BF39D9"/>
    <w:rsid w:val="00BF4221"/>
    <w:rsid w:val="00BF4AB2"/>
    <w:rsid w:val="00BF7572"/>
    <w:rsid w:val="00C0200C"/>
    <w:rsid w:val="00C0338C"/>
    <w:rsid w:val="00C10DD9"/>
    <w:rsid w:val="00C118B9"/>
    <w:rsid w:val="00C11BFE"/>
    <w:rsid w:val="00C12F97"/>
    <w:rsid w:val="00C17362"/>
    <w:rsid w:val="00C21355"/>
    <w:rsid w:val="00C233BF"/>
    <w:rsid w:val="00C24A37"/>
    <w:rsid w:val="00C26B8F"/>
    <w:rsid w:val="00C3125E"/>
    <w:rsid w:val="00C32CAE"/>
    <w:rsid w:val="00C32F8D"/>
    <w:rsid w:val="00C353AF"/>
    <w:rsid w:val="00C353E2"/>
    <w:rsid w:val="00C40E26"/>
    <w:rsid w:val="00C40EE3"/>
    <w:rsid w:val="00C429A0"/>
    <w:rsid w:val="00C4367E"/>
    <w:rsid w:val="00C44445"/>
    <w:rsid w:val="00C46A76"/>
    <w:rsid w:val="00C471AB"/>
    <w:rsid w:val="00C4733C"/>
    <w:rsid w:val="00C47D54"/>
    <w:rsid w:val="00C5068F"/>
    <w:rsid w:val="00C52962"/>
    <w:rsid w:val="00C53026"/>
    <w:rsid w:val="00C568D0"/>
    <w:rsid w:val="00C57421"/>
    <w:rsid w:val="00C579B2"/>
    <w:rsid w:val="00C57D65"/>
    <w:rsid w:val="00C60476"/>
    <w:rsid w:val="00C60AD3"/>
    <w:rsid w:val="00C60B8F"/>
    <w:rsid w:val="00C620AE"/>
    <w:rsid w:val="00C62C7C"/>
    <w:rsid w:val="00C645F1"/>
    <w:rsid w:val="00C653A6"/>
    <w:rsid w:val="00C65883"/>
    <w:rsid w:val="00C66A6C"/>
    <w:rsid w:val="00C711D0"/>
    <w:rsid w:val="00C73985"/>
    <w:rsid w:val="00C73D17"/>
    <w:rsid w:val="00C804E6"/>
    <w:rsid w:val="00C81EDD"/>
    <w:rsid w:val="00C8608D"/>
    <w:rsid w:val="00C87430"/>
    <w:rsid w:val="00C90E8C"/>
    <w:rsid w:val="00C92121"/>
    <w:rsid w:val="00C921BA"/>
    <w:rsid w:val="00C966E2"/>
    <w:rsid w:val="00C97C3A"/>
    <w:rsid w:val="00CA2A10"/>
    <w:rsid w:val="00CA43CB"/>
    <w:rsid w:val="00CA7932"/>
    <w:rsid w:val="00CB0A31"/>
    <w:rsid w:val="00CB1DF6"/>
    <w:rsid w:val="00CB2F1D"/>
    <w:rsid w:val="00CB5249"/>
    <w:rsid w:val="00CC0A97"/>
    <w:rsid w:val="00CC1E33"/>
    <w:rsid w:val="00CC3D36"/>
    <w:rsid w:val="00CC3DB9"/>
    <w:rsid w:val="00CC7085"/>
    <w:rsid w:val="00CD04F1"/>
    <w:rsid w:val="00CD2E43"/>
    <w:rsid w:val="00CD5DC9"/>
    <w:rsid w:val="00CD6C3C"/>
    <w:rsid w:val="00CE01F8"/>
    <w:rsid w:val="00CE569C"/>
    <w:rsid w:val="00CF0392"/>
    <w:rsid w:val="00CF0418"/>
    <w:rsid w:val="00CF04CC"/>
    <w:rsid w:val="00CF1721"/>
    <w:rsid w:val="00CF59EA"/>
    <w:rsid w:val="00CF6699"/>
    <w:rsid w:val="00D05030"/>
    <w:rsid w:val="00D10764"/>
    <w:rsid w:val="00D10B47"/>
    <w:rsid w:val="00D11774"/>
    <w:rsid w:val="00D12EB9"/>
    <w:rsid w:val="00D1697D"/>
    <w:rsid w:val="00D172EB"/>
    <w:rsid w:val="00D17841"/>
    <w:rsid w:val="00D17C83"/>
    <w:rsid w:val="00D222CB"/>
    <w:rsid w:val="00D22EA9"/>
    <w:rsid w:val="00D2548A"/>
    <w:rsid w:val="00D266AC"/>
    <w:rsid w:val="00D30288"/>
    <w:rsid w:val="00D3096E"/>
    <w:rsid w:val="00D30CFE"/>
    <w:rsid w:val="00D3310B"/>
    <w:rsid w:val="00D332CA"/>
    <w:rsid w:val="00D36676"/>
    <w:rsid w:val="00D36F93"/>
    <w:rsid w:val="00D41BAC"/>
    <w:rsid w:val="00D4309A"/>
    <w:rsid w:val="00D45252"/>
    <w:rsid w:val="00D477B8"/>
    <w:rsid w:val="00D50845"/>
    <w:rsid w:val="00D515A7"/>
    <w:rsid w:val="00D54365"/>
    <w:rsid w:val="00D54BF5"/>
    <w:rsid w:val="00D56340"/>
    <w:rsid w:val="00D57270"/>
    <w:rsid w:val="00D67625"/>
    <w:rsid w:val="00D71B4D"/>
    <w:rsid w:val="00D74E77"/>
    <w:rsid w:val="00D753E9"/>
    <w:rsid w:val="00D76983"/>
    <w:rsid w:val="00D76BD9"/>
    <w:rsid w:val="00D77058"/>
    <w:rsid w:val="00D777C3"/>
    <w:rsid w:val="00D8009C"/>
    <w:rsid w:val="00D80C8A"/>
    <w:rsid w:val="00D82B4F"/>
    <w:rsid w:val="00D8510C"/>
    <w:rsid w:val="00D8609C"/>
    <w:rsid w:val="00D86BAD"/>
    <w:rsid w:val="00D92A38"/>
    <w:rsid w:val="00D93D55"/>
    <w:rsid w:val="00D95CB7"/>
    <w:rsid w:val="00D97814"/>
    <w:rsid w:val="00DA21B7"/>
    <w:rsid w:val="00DA3B3B"/>
    <w:rsid w:val="00DB28AD"/>
    <w:rsid w:val="00DB4E08"/>
    <w:rsid w:val="00DB70C8"/>
    <w:rsid w:val="00DC39EC"/>
    <w:rsid w:val="00DC6603"/>
    <w:rsid w:val="00DD20A2"/>
    <w:rsid w:val="00DD379B"/>
    <w:rsid w:val="00DD5DF4"/>
    <w:rsid w:val="00DD7229"/>
    <w:rsid w:val="00DE0EFB"/>
    <w:rsid w:val="00DE1C1E"/>
    <w:rsid w:val="00DE3538"/>
    <w:rsid w:val="00DE5973"/>
    <w:rsid w:val="00DE6F6B"/>
    <w:rsid w:val="00DE71DF"/>
    <w:rsid w:val="00DE75E2"/>
    <w:rsid w:val="00DF2AE4"/>
    <w:rsid w:val="00DF2E76"/>
    <w:rsid w:val="00E01AB3"/>
    <w:rsid w:val="00E01ED7"/>
    <w:rsid w:val="00E02723"/>
    <w:rsid w:val="00E028C8"/>
    <w:rsid w:val="00E032EE"/>
    <w:rsid w:val="00E04D6B"/>
    <w:rsid w:val="00E06BC9"/>
    <w:rsid w:val="00E0754C"/>
    <w:rsid w:val="00E07AD2"/>
    <w:rsid w:val="00E100E3"/>
    <w:rsid w:val="00E15015"/>
    <w:rsid w:val="00E201F8"/>
    <w:rsid w:val="00E208C2"/>
    <w:rsid w:val="00E2189B"/>
    <w:rsid w:val="00E2569E"/>
    <w:rsid w:val="00E25E24"/>
    <w:rsid w:val="00E2696F"/>
    <w:rsid w:val="00E26A4B"/>
    <w:rsid w:val="00E272EB"/>
    <w:rsid w:val="00E325C4"/>
    <w:rsid w:val="00E335FE"/>
    <w:rsid w:val="00E400ED"/>
    <w:rsid w:val="00E408D1"/>
    <w:rsid w:val="00E413D4"/>
    <w:rsid w:val="00E439E1"/>
    <w:rsid w:val="00E45C5B"/>
    <w:rsid w:val="00E502D8"/>
    <w:rsid w:val="00E50C54"/>
    <w:rsid w:val="00E51ED5"/>
    <w:rsid w:val="00E53FA6"/>
    <w:rsid w:val="00E5569A"/>
    <w:rsid w:val="00E57F79"/>
    <w:rsid w:val="00E605C4"/>
    <w:rsid w:val="00E60938"/>
    <w:rsid w:val="00E72768"/>
    <w:rsid w:val="00E72D4D"/>
    <w:rsid w:val="00E73BEF"/>
    <w:rsid w:val="00E74996"/>
    <w:rsid w:val="00E75934"/>
    <w:rsid w:val="00E75B04"/>
    <w:rsid w:val="00E82917"/>
    <w:rsid w:val="00E8410B"/>
    <w:rsid w:val="00E84A51"/>
    <w:rsid w:val="00E84A9E"/>
    <w:rsid w:val="00E86A41"/>
    <w:rsid w:val="00E92B34"/>
    <w:rsid w:val="00E952C7"/>
    <w:rsid w:val="00EA0824"/>
    <w:rsid w:val="00EA12DF"/>
    <w:rsid w:val="00EB56D4"/>
    <w:rsid w:val="00EC0469"/>
    <w:rsid w:val="00EC1AC8"/>
    <w:rsid w:val="00EC4E49"/>
    <w:rsid w:val="00EC6907"/>
    <w:rsid w:val="00ED036A"/>
    <w:rsid w:val="00ED1029"/>
    <w:rsid w:val="00ED14F1"/>
    <w:rsid w:val="00ED35EF"/>
    <w:rsid w:val="00ED3A6F"/>
    <w:rsid w:val="00ED3EB5"/>
    <w:rsid w:val="00ED52D2"/>
    <w:rsid w:val="00ED6A17"/>
    <w:rsid w:val="00ED77FB"/>
    <w:rsid w:val="00EE13D0"/>
    <w:rsid w:val="00EE22E4"/>
    <w:rsid w:val="00EE33B0"/>
    <w:rsid w:val="00EE3847"/>
    <w:rsid w:val="00EE3CF0"/>
    <w:rsid w:val="00EE45FA"/>
    <w:rsid w:val="00EF1E81"/>
    <w:rsid w:val="00EF243F"/>
    <w:rsid w:val="00EF33F3"/>
    <w:rsid w:val="00EF6EF3"/>
    <w:rsid w:val="00F0133A"/>
    <w:rsid w:val="00F02146"/>
    <w:rsid w:val="00F11024"/>
    <w:rsid w:val="00F113DE"/>
    <w:rsid w:val="00F11BFC"/>
    <w:rsid w:val="00F14744"/>
    <w:rsid w:val="00F14BE0"/>
    <w:rsid w:val="00F1718E"/>
    <w:rsid w:val="00F23D5B"/>
    <w:rsid w:val="00F24A83"/>
    <w:rsid w:val="00F251F6"/>
    <w:rsid w:val="00F25771"/>
    <w:rsid w:val="00F3312D"/>
    <w:rsid w:val="00F40584"/>
    <w:rsid w:val="00F40EB8"/>
    <w:rsid w:val="00F473FE"/>
    <w:rsid w:val="00F503F4"/>
    <w:rsid w:val="00F50BD6"/>
    <w:rsid w:val="00F511EF"/>
    <w:rsid w:val="00F51B6A"/>
    <w:rsid w:val="00F545A7"/>
    <w:rsid w:val="00F54AAB"/>
    <w:rsid w:val="00F602A7"/>
    <w:rsid w:val="00F6103C"/>
    <w:rsid w:val="00F64CEE"/>
    <w:rsid w:val="00F66152"/>
    <w:rsid w:val="00F67C31"/>
    <w:rsid w:val="00F70186"/>
    <w:rsid w:val="00F70522"/>
    <w:rsid w:val="00F70D12"/>
    <w:rsid w:val="00F71ECA"/>
    <w:rsid w:val="00F746C2"/>
    <w:rsid w:val="00F75291"/>
    <w:rsid w:val="00F75533"/>
    <w:rsid w:val="00F77195"/>
    <w:rsid w:val="00F83859"/>
    <w:rsid w:val="00F83E3A"/>
    <w:rsid w:val="00F8575F"/>
    <w:rsid w:val="00F868A4"/>
    <w:rsid w:val="00F9549D"/>
    <w:rsid w:val="00F97DE3"/>
    <w:rsid w:val="00FA0620"/>
    <w:rsid w:val="00FA173F"/>
    <w:rsid w:val="00FB1CCB"/>
    <w:rsid w:val="00FB31DB"/>
    <w:rsid w:val="00FB35E3"/>
    <w:rsid w:val="00FB411B"/>
    <w:rsid w:val="00FB56BC"/>
    <w:rsid w:val="00FC0BC6"/>
    <w:rsid w:val="00FC2EB1"/>
    <w:rsid w:val="00FC3B85"/>
    <w:rsid w:val="00FC4CA1"/>
    <w:rsid w:val="00FC5FCC"/>
    <w:rsid w:val="00FC6212"/>
    <w:rsid w:val="00FC7BA7"/>
    <w:rsid w:val="00FD2B01"/>
    <w:rsid w:val="00FD45CD"/>
    <w:rsid w:val="00FD46E5"/>
    <w:rsid w:val="00FD6C8A"/>
    <w:rsid w:val="00FD7113"/>
    <w:rsid w:val="00FD7DC5"/>
    <w:rsid w:val="00FE1C05"/>
    <w:rsid w:val="00FE6C7D"/>
    <w:rsid w:val="00FF28E3"/>
    <w:rsid w:val="00FF2D45"/>
    <w:rsid w:val="00FF70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2CEDE"/>
  <w15:docId w15:val="{FD363DE0-26A4-4A19-96D4-036224D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0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customStyle="1" w:styleId="Heading3Char">
    <w:name w:val="Heading 3 Char"/>
    <w:basedOn w:val="DefaultParagraphFont"/>
    <w:link w:val="Heading3"/>
    <w:rsid w:val="00D22EA9"/>
    <w:rPr>
      <w:rFonts w:ascii="Arial" w:eastAsia="SimSun" w:hAnsi="Arial" w:cs="Arial"/>
      <w:bCs/>
      <w:sz w:val="22"/>
      <w:szCs w:val="26"/>
      <w:u w:val="single"/>
      <w:lang w:val="en-US" w:eastAsia="zh-CN"/>
    </w:rPr>
  </w:style>
  <w:style w:type="character" w:styleId="PageNumber">
    <w:name w:val="page number"/>
    <w:basedOn w:val="DefaultParagraphFont"/>
    <w:rsid w:val="0090130E"/>
  </w:style>
  <w:style w:type="character" w:styleId="Hyperlink">
    <w:name w:val="Hyperlink"/>
    <w:basedOn w:val="DefaultParagraphFont"/>
    <w:unhideWhenUsed/>
    <w:rsid w:val="00733A66"/>
    <w:rPr>
      <w:color w:val="0000FF" w:themeColor="hyperlink"/>
      <w:u w:val="single"/>
    </w:rPr>
  </w:style>
  <w:style w:type="character" w:styleId="FollowedHyperlink">
    <w:name w:val="FollowedHyperlink"/>
    <w:basedOn w:val="DefaultParagraphFont"/>
    <w:semiHidden/>
    <w:unhideWhenUsed/>
    <w:rsid w:val="00A30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92412">
      <w:bodyDiv w:val="1"/>
      <w:marLeft w:val="0"/>
      <w:marRight w:val="0"/>
      <w:marTop w:val="0"/>
      <w:marBottom w:val="0"/>
      <w:divBdr>
        <w:top w:val="none" w:sz="0" w:space="0" w:color="auto"/>
        <w:left w:val="none" w:sz="0" w:space="0" w:color="auto"/>
        <w:bottom w:val="none" w:sz="0" w:space="0" w:color="auto"/>
        <w:right w:val="none" w:sz="0" w:space="0" w:color="auto"/>
      </w:divBdr>
    </w:div>
    <w:div w:id="1062680454">
      <w:bodyDiv w:val="1"/>
      <w:marLeft w:val="0"/>
      <w:marRight w:val="0"/>
      <w:marTop w:val="0"/>
      <w:marBottom w:val="0"/>
      <w:divBdr>
        <w:top w:val="none" w:sz="0" w:space="0" w:color="auto"/>
        <w:left w:val="none" w:sz="0" w:space="0" w:color="auto"/>
        <w:bottom w:val="none" w:sz="0" w:space="0" w:color="auto"/>
        <w:right w:val="none" w:sz="0" w:space="0" w:color="auto"/>
      </w:divBdr>
    </w:div>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 w:id="18232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publications/en/details.jsp?id=4501"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wipo.int/meetings/en/doc_details.jsp?doc_id=329197"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ublications/en/details.jsp?id=450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3A65-2947-4B5F-84AC-5CFFEAAD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1635</Words>
  <Characters>9474</Characters>
  <Application>Microsoft Office Word</Application>
  <DocSecurity>0</DocSecurity>
  <Lines>478</Lines>
  <Paragraphs>199</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subject/>
  <dc:creator>BRACI Biljana</dc:creator>
  <cp:keywords>FOR OFFICIAL USE ONLY</cp:keywords>
  <dc:description/>
  <cp:lastModifiedBy>ESTEVES DOS SANTOS Anabela</cp:lastModifiedBy>
  <cp:revision>3</cp:revision>
  <cp:lastPrinted>2021-09-21T15:03:00Z</cp:lastPrinted>
  <dcterms:created xsi:type="dcterms:W3CDTF">2021-09-27T14:03:00Z</dcterms:created>
  <dcterms:modified xsi:type="dcterms:W3CDTF">2021-09-28T13:29:00Z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eebf07d7-83bb-4833-a648-3edfd70e1ad0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