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14:anchorId="3DBD6F9D" wp14:editId="276F9E4C">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B1DF6" w:rsidP="00531970">
            <w:pPr>
              <w:jc w:val="right"/>
              <w:rPr>
                <w:rFonts w:ascii="Arial Black" w:hAnsi="Arial Black"/>
                <w:caps/>
                <w:sz w:val="15"/>
              </w:rPr>
            </w:pPr>
            <w:r>
              <w:rPr>
                <w:rFonts w:ascii="Arial Black" w:hAnsi="Arial Black"/>
                <w:caps/>
                <w:sz w:val="15"/>
              </w:rPr>
              <w:t>CDIP/2</w:t>
            </w:r>
            <w:r w:rsidR="00531970">
              <w:rPr>
                <w:rFonts w:ascii="Arial Black" w:hAnsi="Arial Black"/>
                <w:caps/>
                <w:sz w:val="15"/>
              </w:rPr>
              <w:t>1</w:t>
            </w:r>
            <w:r w:rsidR="00001E20">
              <w:rPr>
                <w:rFonts w:ascii="Arial Black" w:hAnsi="Arial Black"/>
                <w:caps/>
                <w:sz w:val="15"/>
              </w:rPr>
              <w:t>/</w:t>
            </w:r>
            <w:bookmarkStart w:id="0" w:name="Code"/>
            <w:bookmarkEnd w:id="0"/>
            <w:r w:rsidR="00221B6E">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221B6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221B6E">
              <w:rPr>
                <w:rFonts w:ascii="Arial Black" w:hAnsi="Arial Black"/>
                <w:caps/>
                <w:sz w:val="15"/>
              </w:rPr>
              <w:t>February 26, 2018</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9D123C" w:rsidP="009D123C">
      <w:pPr>
        <w:rPr>
          <w:b/>
          <w:sz w:val="28"/>
          <w:szCs w:val="28"/>
        </w:rPr>
      </w:pPr>
      <w:r>
        <w:rPr>
          <w:b/>
          <w:sz w:val="28"/>
          <w:szCs w:val="28"/>
        </w:rPr>
        <w:t>Committee on Development and Intellectual Property (CDIP)</w:t>
      </w:r>
    </w:p>
    <w:p w:rsidR="009D123C" w:rsidRDefault="009D123C" w:rsidP="009D123C"/>
    <w:p w:rsidR="009D123C" w:rsidRDefault="009D123C" w:rsidP="009D123C"/>
    <w:p w:rsidR="009D123C" w:rsidRPr="003845C1" w:rsidRDefault="009D123C" w:rsidP="009D123C">
      <w:pPr>
        <w:rPr>
          <w:b/>
          <w:sz w:val="24"/>
          <w:szCs w:val="24"/>
        </w:rPr>
      </w:pPr>
      <w:r>
        <w:rPr>
          <w:b/>
          <w:sz w:val="24"/>
          <w:szCs w:val="24"/>
        </w:rPr>
        <w:t>Twent</w:t>
      </w:r>
      <w:r w:rsidR="006027FD">
        <w:rPr>
          <w:b/>
          <w:sz w:val="24"/>
          <w:szCs w:val="24"/>
        </w:rPr>
        <w:t>y-First</w:t>
      </w:r>
      <w:r>
        <w:rPr>
          <w:b/>
          <w:sz w:val="24"/>
          <w:szCs w:val="24"/>
        </w:rPr>
        <w:t xml:space="preserve"> </w:t>
      </w:r>
      <w:proofErr w:type="gramStart"/>
      <w:r w:rsidRPr="003845C1">
        <w:rPr>
          <w:b/>
          <w:sz w:val="24"/>
          <w:szCs w:val="24"/>
        </w:rPr>
        <w:t>Session</w:t>
      </w:r>
      <w:proofErr w:type="gramEnd"/>
    </w:p>
    <w:p w:rsidR="009D123C" w:rsidRDefault="009D123C" w:rsidP="009D123C">
      <w:pPr>
        <w:rPr>
          <w:b/>
          <w:sz w:val="24"/>
          <w:szCs w:val="24"/>
        </w:rPr>
      </w:pPr>
      <w:r>
        <w:rPr>
          <w:b/>
          <w:sz w:val="24"/>
          <w:szCs w:val="24"/>
        </w:rPr>
        <w:t>Geneva, May 14 to 18, 2018</w:t>
      </w:r>
    </w:p>
    <w:p w:rsidR="009D123C" w:rsidRPr="008B2CC1" w:rsidRDefault="009D123C" w:rsidP="009D123C"/>
    <w:p w:rsidR="009D123C" w:rsidRPr="008B2CC1" w:rsidRDefault="009D123C" w:rsidP="009D123C"/>
    <w:p w:rsidR="009D123C" w:rsidRPr="008B2CC1" w:rsidRDefault="009D123C" w:rsidP="009D123C"/>
    <w:p w:rsidR="009D123C" w:rsidRPr="003845C1" w:rsidRDefault="00221B6E" w:rsidP="009D123C">
      <w:pPr>
        <w:rPr>
          <w:caps/>
          <w:sz w:val="24"/>
        </w:rPr>
      </w:pPr>
      <w:bookmarkStart w:id="3" w:name="TitleOfDoc"/>
      <w:bookmarkEnd w:id="3"/>
      <w:r>
        <w:rPr>
          <w:caps/>
          <w:sz w:val="24"/>
        </w:rPr>
        <w:t>GAP ANALYSIS OF WIPO’S EXISTING TECHNOLOGY TRANSFER SERVICES AND ACTIVITIES IN RESPECT OF THE WIPO DEVELOPMENT AGENDA “CLUSTER C” RECOMMENDATIONS</w:t>
      </w:r>
    </w:p>
    <w:p w:rsidR="009D123C" w:rsidRPr="008B2CC1" w:rsidRDefault="009D123C" w:rsidP="009D123C"/>
    <w:p w:rsidR="009D123C" w:rsidRPr="008B2CC1" w:rsidRDefault="00221B6E" w:rsidP="009D123C">
      <w:pPr>
        <w:rPr>
          <w:i/>
        </w:rPr>
      </w:pPr>
      <w:bookmarkStart w:id="4" w:name="Prepared"/>
      <w:bookmarkEnd w:id="4"/>
      <w:r>
        <w:rPr>
          <w:i/>
        </w:rPr>
        <w:t>Document prepared by the Secretariat</w:t>
      </w:r>
    </w:p>
    <w:p w:rsidR="009D123C" w:rsidRDefault="009D123C" w:rsidP="009D123C"/>
    <w:p w:rsidR="009D123C" w:rsidRDefault="009D123C" w:rsidP="009D123C"/>
    <w:p w:rsidR="009D123C" w:rsidRDefault="009D123C" w:rsidP="009D123C"/>
    <w:p w:rsidR="009D123C" w:rsidRDefault="009D123C" w:rsidP="009D123C"/>
    <w:p w:rsidR="009D123C" w:rsidRPr="00703BE7" w:rsidRDefault="009D123C" w:rsidP="009D123C">
      <w:pPr>
        <w:rPr>
          <w:szCs w:val="22"/>
        </w:rPr>
      </w:pPr>
    </w:p>
    <w:p w:rsidR="00D14FDB" w:rsidRPr="00703BE7" w:rsidRDefault="004444D4" w:rsidP="00D45E1B">
      <w:pPr>
        <w:pStyle w:val="ListParagraph"/>
        <w:ind w:left="0"/>
        <w:rPr>
          <w:szCs w:val="22"/>
        </w:rPr>
      </w:pPr>
      <w:r w:rsidRPr="00703BE7">
        <w:rPr>
          <w:szCs w:val="22"/>
        </w:rPr>
        <w:fldChar w:fldCharType="begin"/>
      </w:r>
      <w:r w:rsidRPr="00703BE7">
        <w:rPr>
          <w:szCs w:val="22"/>
        </w:rPr>
        <w:instrText xml:space="preserve"> AUTONUM  </w:instrText>
      </w:r>
      <w:r w:rsidRPr="00703BE7">
        <w:rPr>
          <w:szCs w:val="22"/>
        </w:rPr>
        <w:fldChar w:fldCharType="end"/>
      </w:r>
      <w:r w:rsidRPr="00703BE7">
        <w:rPr>
          <w:szCs w:val="22"/>
        </w:rPr>
        <w:tab/>
        <w:t>During its eighteenth session, held from October 31 to November 4, 2016, the Committee on Development and Intellectual Property</w:t>
      </w:r>
      <w:r w:rsidR="00D14FDB" w:rsidRPr="00703BE7">
        <w:rPr>
          <w:szCs w:val="22"/>
        </w:rPr>
        <w:t xml:space="preserve"> (CDIP) agreed to go forward with items 1, 2, 3, 4 and</w:t>
      </w:r>
      <w:r w:rsidR="00D45E1B">
        <w:rPr>
          <w:szCs w:val="22"/>
        </w:rPr>
        <w:t> </w:t>
      </w:r>
      <w:bookmarkStart w:id="5" w:name="_GoBack"/>
      <w:bookmarkEnd w:id="5"/>
      <w:r w:rsidR="00D14FDB" w:rsidRPr="00703BE7">
        <w:rPr>
          <w:szCs w:val="22"/>
        </w:rPr>
        <w:t xml:space="preserve">6 of the </w:t>
      </w:r>
      <w:r w:rsidR="00D14FDB" w:rsidRPr="00703BE7">
        <w:rPr>
          <w:bCs/>
          <w:szCs w:val="22"/>
        </w:rPr>
        <w:t xml:space="preserve">Joint Proposal of the </w:t>
      </w:r>
      <w:r w:rsidR="00D14FDB" w:rsidRPr="00703BE7">
        <w:rPr>
          <w:szCs w:val="22"/>
        </w:rPr>
        <w:t>Delegations of the United States, Australia, and Canada on activities related to Technology Transfer contained in Annex I of document CDIP/18/6 Rev.</w:t>
      </w:r>
      <w:r w:rsidR="002F7CB3">
        <w:rPr>
          <w:szCs w:val="22"/>
        </w:rPr>
        <w:t>1</w:t>
      </w:r>
      <w:r w:rsidR="00D14FDB" w:rsidRPr="00703BE7">
        <w:rPr>
          <w:szCs w:val="22"/>
        </w:rPr>
        <w:t xml:space="preserve">  Item 6 of the approved proposal states as follows: </w:t>
      </w:r>
    </w:p>
    <w:p w:rsidR="00D14FDB" w:rsidRPr="00703BE7" w:rsidRDefault="00D14FDB" w:rsidP="004444D4">
      <w:pPr>
        <w:pStyle w:val="ListParagraph"/>
        <w:ind w:left="0"/>
        <w:rPr>
          <w:szCs w:val="22"/>
        </w:rPr>
      </w:pPr>
    </w:p>
    <w:p w:rsidR="00D14FDB" w:rsidRPr="00703BE7" w:rsidRDefault="00D14FDB" w:rsidP="00D14FDB">
      <w:pPr>
        <w:pStyle w:val="ListParagraph"/>
        <w:ind w:left="567"/>
        <w:rPr>
          <w:szCs w:val="22"/>
        </w:rPr>
      </w:pPr>
      <w:r w:rsidRPr="00703BE7">
        <w:rPr>
          <w:szCs w:val="22"/>
        </w:rPr>
        <w:t>“In line with the Committee’s decision reflected in the Summary by the Chair of CDIP/16 that invited interested Member States to submit proposals for discussion at the eighteenth session of the Committee, we encourage Member States to submit to the Committee concrete, practical projects that deliver tangible outcomes for Member States with the goal to promote international technology transfer, build capacity in least developed, developing and transitional countries to enable more effective technology transfer and improve collaboration between technology transfer participants. As a first step and in building on the valuable work of the recent mapping exercise in document CDIP/17/9, the Secretariat should undertake a gap analysis of WIPO’s existing Technology transfer-related services and activities in respect of the WIPO Development Agenda “Cluster C” recommendations, in order to assist in the consideration and evaluation of any proposals and priority areas, going forward. The results should not preclude the provision of similar projects for different beneficiaries.”</w:t>
      </w:r>
    </w:p>
    <w:p w:rsidR="00D14FDB" w:rsidRPr="00703BE7" w:rsidRDefault="00D14FDB" w:rsidP="004444D4">
      <w:pPr>
        <w:pStyle w:val="ListParagraph"/>
        <w:ind w:left="0"/>
      </w:pPr>
    </w:p>
    <w:p w:rsidR="004444D4" w:rsidRDefault="004444D4" w:rsidP="004444D4">
      <w:pPr>
        <w:pStyle w:val="ListParagraph"/>
        <w:ind w:left="0"/>
      </w:pPr>
    </w:p>
    <w:p w:rsidR="004444D4" w:rsidRDefault="004444D4" w:rsidP="004444D4">
      <w:pPr>
        <w:rPr>
          <w:szCs w:val="22"/>
        </w:rPr>
      </w:pPr>
      <w:r>
        <w:rPr>
          <w:szCs w:val="22"/>
        </w:rPr>
        <w:lastRenderedPageBreak/>
        <w:fldChar w:fldCharType="begin"/>
      </w:r>
      <w:r>
        <w:rPr>
          <w:szCs w:val="22"/>
        </w:rPr>
        <w:instrText xml:space="preserve"> AUTONUM  </w:instrText>
      </w:r>
      <w:r>
        <w:rPr>
          <w:szCs w:val="22"/>
        </w:rPr>
        <w:fldChar w:fldCharType="end"/>
      </w:r>
      <w:r>
        <w:rPr>
          <w:szCs w:val="22"/>
        </w:rPr>
        <w:tab/>
        <w:t>The A</w:t>
      </w:r>
      <w:r w:rsidR="00D14FDB">
        <w:rPr>
          <w:szCs w:val="22"/>
        </w:rPr>
        <w:t>nnex to this document contains the above requested</w:t>
      </w:r>
      <w:r>
        <w:rPr>
          <w:szCs w:val="22"/>
        </w:rPr>
        <w:t xml:space="preserve"> gap analysis of WIPO’s existing technology transfer-related services and activities in respect of the WIPO Development Agenda “Cluster C” recommendations.</w:t>
      </w:r>
    </w:p>
    <w:p w:rsidR="004444D4" w:rsidRDefault="004444D4" w:rsidP="004444D4"/>
    <w:p w:rsidR="004444D4" w:rsidRPr="002D72BF" w:rsidRDefault="004444D4" w:rsidP="004444D4">
      <w:pPr>
        <w:ind w:left="4536"/>
        <w:rPr>
          <w:i/>
          <w:iCs/>
          <w:szCs w:val="22"/>
        </w:rPr>
      </w:pPr>
      <w:r>
        <w:rPr>
          <w:szCs w:val="22"/>
        </w:rPr>
        <w:fldChar w:fldCharType="begin"/>
      </w:r>
      <w:r>
        <w:rPr>
          <w:szCs w:val="22"/>
        </w:rPr>
        <w:instrText xml:space="preserve"> AUTONUM  </w:instrText>
      </w:r>
      <w:r>
        <w:rPr>
          <w:szCs w:val="22"/>
        </w:rPr>
        <w:fldChar w:fldCharType="end"/>
      </w:r>
      <w:r>
        <w:rPr>
          <w:szCs w:val="22"/>
        </w:rPr>
        <w:tab/>
      </w:r>
      <w:r w:rsidRPr="002D72BF">
        <w:rPr>
          <w:i/>
          <w:iCs/>
          <w:szCs w:val="22"/>
        </w:rPr>
        <w:t xml:space="preserve">The CDIP is invited to </w:t>
      </w:r>
      <w:r>
        <w:rPr>
          <w:i/>
          <w:iCs/>
          <w:szCs w:val="22"/>
        </w:rPr>
        <w:t>consider</w:t>
      </w:r>
      <w:r w:rsidRPr="002D72BF">
        <w:rPr>
          <w:i/>
          <w:iCs/>
          <w:szCs w:val="22"/>
        </w:rPr>
        <w:t xml:space="preserve"> the information containe</w:t>
      </w:r>
      <w:r>
        <w:rPr>
          <w:i/>
          <w:iCs/>
          <w:szCs w:val="22"/>
        </w:rPr>
        <w:t>d in the Annex to this document.</w:t>
      </w:r>
    </w:p>
    <w:p w:rsidR="004444D4" w:rsidRDefault="004444D4" w:rsidP="004444D4">
      <w:pPr>
        <w:ind w:left="4536"/>
        <w:rPr>
          <w:szCs w:val="22"/>
        </w:rPr>
      </w:pPr>
    </w:p>
    <w:p w:rsidR="004444D4" w:rsidRDefault="004444D4" w:rsidP="004444D4">
      <w:pPr>
        <w:ind w:left="4536"/>
        <w:rPr>
          <w:szCs w:val="22"/>
        </w:rPr>
      </w:pPr>
    </w:p>
    <w:p w:rsidR="004444D4" w:rsidRDefault="004444D4" w:rsidP="004444D4">
      <w:pPr>
        <w:ind w:left="4536"/>
        <w:rPr>
          <w:szCs w:val="22"/>
        </w:rPr>
      </w:pPr>
    </w:p>
    <w:p w:rsidR="004444D4" w:rsidRDefault="004444D4" w:rsidP="004444D4">
      <w:pPr>
        <w:ind w:left="4536"/>
        <w:rPr>
          <w:szCs w:val="22"/>
        </w:rPr>
      </w:pPr>
      <w:r>
        <w:rPr>
          <w:szCs w:val="22"/>
        </w:rPr>
        <w:t>[Annex follows]</w:t>
      </w:r>
    </w:p>
    <w:p w:rsidR="004444D4" w:rsidRDefault="004444D4" w:rsidP="004444D4"/>
    <w:p w:rsidR="00F03DDC" w:rsidRDefault="00F03DDC" w:rsidP="004444D4">
      <w:pPr>
        <w:sectPr w:rsidR="00F03DDC" w:rsidSect="009E52D2">
          <w:headerReference w:type="default" r:id="rId9"/>
          <w:endnotePr>
            <w:numFmt w:val="decimal"/>
          </w:endnotePr>
          <w:pgSz w:w="11907" w:h="16840" w:code="9"/>
          <w:pgMar w:top="567" w:right="1134" w:bottom="1418" w:left="1418" w:header="510" w:footer="1021" w:gutter="0"/>
          <w:cols w:space="720"/>
          <w:titlePg/>
          <w:docGrid w:linePitch="299"/>
        </w:sectPr>
      </w:pPr>
    </w:p>
    <w:p w:rsidR="004444D4" w:rsidRDefault="004444D4" w:rsidP="004444D4">
      <w:pPr>
        <w:pStyle w:val="Heading2"/>
      </w:pPr>
      <w:r>
        <w:lastRenderedPageBreak/>
        <w:t>Introduction and methodology</w:t>
      </w:r>
    </w:p>
    <w:p w:rsidR="004444D4" w:rsidRDefault="004444D4" w:rsidP="004444D4"/>
    <w:p w:rsidR="004444D4" w:rsidRDefault="004444D4" w:rsidP="004444D4">
      <w:pPr>
        <w:numPr>
          <w:ilvl w:val="0"/>
          <w:numId w:val="10"/>
        </w:numPr>
        <w:ind w:left="0" w:firstLine="0"/>
      </w:pPr>
      <w:r>
        <w:t>The WIPO Development Agenda “Cluster C” comprises nine recommendations (24 to 32) related to “</w:t>
      </w:r>
      <w:r w:rsidRPr="007250D9">
        <w:t>Technology Transfer, Information and Communication Technologies (ICT) and Access to Knowledge</w:t>
      </w:r>
      <w:r>
        <w:t xml:space="preserve">”.  </w:t>
      </w:r>
    </w:p>
    <w:p w:rsidR="004444D4" w:rsidRDefault="004444D4" w:rsidP="004444D4"/>
    <w:p w:rsidR="004444D4" w:rsidRDefault="004444D4" w:rsidP="004444D4">
      <w:pPr>
        <w:numPr>
          <w:ilvl w:val="0"/>
          <w:numId w:val="10"/>
        </w:numPr>
        <w:ind w:left="0" w:firstLine="0"/>
      </w:pPr>
      <w:r>
        <w:t xml:space="preserve">The current document provides a general analysis rather than a specific gap analysis of activities indicated for each of the Cluster C recommendations, since no indicators or benchmarks have ever been defined so as to allow an objective gap analysis of how and by how much the activities undertaken by WIPO within specific recommendations have contributed to achieving the often broad objectives stated in those recommendations.  </w:t>
      </w:r>
    </w:p>
    <w:p w:rsidR="004444D4" w:rsidRDefault="004444D4" w:rsidP="004444D4">
      <w:pPr>
        <w:pStyle w:val="ListParagraph"/>
      </w:pPr>
    </w:p>
    <w:p w:rsidR="004444D4" w:rsidRDefault="004444D4" w:rsidP="004444D4">
      <w:pPr>
        <w:numPr>
          <w:ilvl w:val="0"/>
          <w:numId w:val="10"/>
        </w:numPr>
        <w:ind w:left="0" w:firstLine="0"/>
      </w:pPr>
      <w:r>
        <w:t xml:space="preserve">Therefore, the analysis provided below refers to the technology transfer-related services and activities carried out by WIPO during the period from 2014 to 2017 with specific reference to the Development Agenda “Cluster C” recommendation to whose fulfillment they contribute.  An indication is also provided for each service or activity of the type of service or activity.  The type of service is given according to the methodology agreed by the Committee on Development and Intellectual Property for document CDIP/20/11.  </w:t>
      </w:r>
    </w:p>
    <w:p w:rsidR="004444D4" w:rsidRDefault="004444D4" w:rsidP="004444D4">
      <w:pPr>
        <w:pStyle w:val="ListParagraph"/>
      </w:pPr>
    </w:p>
    <w:p w:rsidR="004444D4" w:rsidRDefault="004444D4" w:rsidP="004444D4">
      <w:pPr>
        <w:numPr>
          <w:ilvl w:val="0"/>
          <w:numId w:val="10"/>
        </w:numPr>
        <w:ind w:left="0" w:firstLine="0"/>
      </w:pPr>
      <w:r>
        <w:t>An analysis is also provided of WIPO’s projects for implementation of Development Agenda recommendations according to the Development Agenda “Cluster C” recommendation to whose fulfillment they contribute.</w:t>
      </w:r>
    </w:p>
    <w:p w:rsidR="004444D4" w:rsidRDefault="004444D4" w:rsidP="004444D4">
      <w:pPr>
        <w:pStyle w:val="ListParagraph"/>
      </w:pPr>
    </w:p>
    <w:p w:rsidR="004444D4" w:rsidRDefault="004444D4" w:rsidP="004444D4">
      <w:pPr>
        <w:numPr>
          <w:ilvl w:val="0"/>
          <w:numId w:val="10"/>
        </w:numPr>
        <w:ind w:left="0" w:firstLine="0"/>
      </w:pPr>
      <w:r>
        <w:t>The two analyses as discussed below may assist in the consideration and evaluation of proposals and priority areas as they relate to Development Agenda “Cluster C” recommendations.</w:t>
      </w:r>
    </w:p>
    <w:p w:rsidR="004444D4" w:rsidRDefault="004444D4"/>
    <w:p w:rsidR="004444D4" w:rsidRDefault="004444D4" w:rsidP="004444D4">
      <w:pPr>
        <w:pStyle w:val="Heading2"/>
      </w:pPr>
      <w:r>
        <w:t>Discussion</w:t>
      </w:r>
    </w:p>
    <w:p w:rsidR="004444D4" w:rsidRDefault="004444D4" w:rsidP="004444D4"/>
    <w:p w:rsidR="004444D4" w:rsidRDefault="004444D4" w:rsidP="004444D4">
      <w:pPr>
        <w:numPr>
          <w:ilvl w:val="0"/>
          <w:numId w:val="10"/>
        </w:numPr>
        <w:ind w:left="0" w:firstLine="0"/>
      </w:pPr>
      <w:r>
        <w:t>The analysis of WIPO’s technology transfer-related services and activities carried out during the period from 2014 to 2017 comprises a total of 425 such services and activities.  The analysis of WIPO’s projects for the implementation of Development Agenda recommendations comprises a total of 10 such projects.</w:t>
      </w:r>
    </w:p>
    <w:p w:rsidR="004444D4" w:rsidRDefault="004444D4" w:rsidP="004444D4"/>
    <w:p w:rsidR="004444D4" w:rsidRDefault="004444D4" w:rsidP="004444D4">
      <w:pPr>
        <w:numPr>
          <w:ilvl w:val="0"/>
          <w:numId w:val="10"/>
        </w:numPr>
        <w:ind w:left="0" w:firstLine="0"/>
      </w:pPr>
      <w:r>
        <w:t>It should be noted that certain services and activities can be considered to contribute to the fulfillment of more than one Development Agenda “Cluster C” recommendation.  For example, a service or activity might be considered to contribute to both Recommendation 30 and 31 and would consequently be included under both recommendations in the analysis.  As a result, the combined number of activities for all Development Agenda “Cluster C” recommendations exceeds the total number of services and activities indicated above.</w:t>
      </w:r>
    </w:p>
    <w:p w:rsidR="004444D4" w:rsidRDefault="004444D4" w:rsidP="004444D4">
      <w:pPr>
        <w:pStyle w:val="ListParagraph"/>
      </w:pPr>
    </w:p>
    <w:p w:rsidR="004444D4" w:rsidRDefault="004444D4" w:rsidP="004444D4">
      <w:pPr>
        <w:numPr>
          <w:ilvl w:val="0"/>
          <w:numId w:val="10"/>
        </w:numPr>
        <w:ind w:left="0" w:firstLine="0"/>
      </w:pPr>
      <w:r>
        <w:t>It should also be noted that activities may not be identical in scope with respect to other activities.  For example, an awareness-raising and training program may comprise several months of skills development, while an event may comprise several days of such content.  Consequently, the number of activities for a given Development Agenda “Cluster C” recommendation may not be directly comparable, in particular across different types of activities.</w:t>
      </w:r>
    </w:p>
    <w:p w:rsidR="004444D4" w:rsidRDefault="004444D4" w:rsidP="004444D4">
      <w:pPr>
        <w:pStyle w:val="ListParagraph"/>
      </w:pPr>
    </w:p>
    <w:p w:rsidR="004444D4" w:rsidRDefault="004444D4" w:rsidP="004444D4">
      <w:pPr>
        <w:numPr>
          <w:ilvl w:val="0"/>
          <w:numId w:val="10"/>
        </w:numPr>
        <w:ind w:left="0" w:firstLine="0"/>
      </w:pPr>
      <w:r>
        <w:t xml:space="preserve">It should finally be noted that projects specifically may overlap partially or fully with certain other services or activities.  For example, a service or activity might have been launched or carried out within the framework of a project and could be included indirectly within the project and directly as a service or activity.  This approach has been taken to ensure that projects are </w:t>
      </w:r>
      <w:r>
        <w:lastRenderedPageBreak/>
        <w:t>reflected in the analysis in their full scope rather than according to specific services or activities only.</w:t>
      </w:r>
    </w:p>
    <w:p w:rsidR="004444D4" w:rsidRDefault="004444D4" w:rsidP="004444D4">
      <w:pPr>
        <w:pStyle w:val="ListParagraph"/>
      </w:pPr>
    </w:p>
    <w:p w:rsidR="004444D4" w:rsidRDefault="004444D4" w:rsidP="004444D4">
      <w:pPr>
        <w:numPr>
          <w:ilvl w:val="0"/>
          <w:numId w:val="10"/>
        </w:numPr>
        <w:ind w:left="0" w:firstLine="0"/>
      </w:pPr>
      <w:r>
        <w:t>The figure below shows the distribution of services and activities for each Development Agenda “Cluster C” recommendation, categorized by type of activity, which allows the identification of those recommendations where there have been a greater or lesser number of activities contributing towards achieving the recommendations’ corresponding objectives, so as to be able to assist in future considerations of project proposals in possible priority areas.</w:t>
      </w:r>
    </w:p>
    <w:p w:rsidR="004444D4" w:rsidRDefault="004444D4" w:rsidP="004444D4">
      <w:pPr>
        <w:pStyle w:val="ListParagraph"/>
      </w:pPr>
    </w:p>
    <w:p w:rsidR="004444D4" w:rsidRDefault="004444D4" w:rsidP="004444D4"/>
    <w:p w:rsidR="004444D4" w:rsidRDefault="004444D4">
      <w:r>
        <w:rPr>
          <w:noProof/>
          <w:lang w:eastAsia="en-US"/>
        </w:rPr>
        <w:drawing>
          <wp:inline distT="0" distB="0" distL="0" distR="0" wp14:anchorId="246B5D26" wp14:editId="45E1455C">
            <wp:extent cx="6092456" cy="4040372"/>
            <wp:effectExtent l="0" t="0" r="2286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0D13" w:rsidRDefault="00910D13"/>
    <w:p w:rsidR="00910D13" w:rsidRDefault="00910D13"/>
    <w:p w:rsidR="00910D13" w:rsidRDefault="00910D13"/>
    <w:p w:rsidR="00910D13" w:rsidRDefault="00910D13" w:rsidP="00910D13">
      <w:pPr>
        <w:pStyle w:val="Endofdocument-Annex"/>
      </w:pPr>
      <w:r>
        <w:t>[Appendix follows</w:t>
      </w:r>
      <w:r w:rsidR="000A2763">
        <w:t>]</w:t>
      </w:r>
    </w:p>
    <w:p w:rsidR="00910D13" w:rsidRDefault="00910D13" w:rsidP="00910D13">
      <w:pPr>
        <w:pStyle w:val="Endofdocument-Annex"/>
        <w:sectPr w:rsidR="00910D13" w:rsidSect="00F03DDC">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4444D4" w:rsidRDefault="004444D4" w:rsidP="004444D4">
      <w:pPr>
        <w:pStyle w:val="Heading2"/>
        <w:rPr>
          <w:szCs w:val="22"/>
        </w:rPr>
      </w:pPr>
      <w:r>
        <w:rPr>
          <w:szCs w:val="22"/>
        </w:rPr>
        <w:lastRenderedPageBreak/>
        <w:t>Recommendation 24</w:t>
      </w:r>
    </w:p>
    <w:p w:rsidR="004444D4" w:rsidRPr="005B1F25" w:rsidRDefault="004444D4" w:rsidP="004444D4">
      <w:r>
        <w:t>“</w:t>
      </w:r>
      <w:r w:rsidRPr="005B1F25">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r>
        <w:t>”</w:t>
      </w:r>
    </w:p>
    <w:p w:rsidR="004444D4" w:rsidRPr="0079293C" w:rsidRDefault="004444D4" w:rsidP="004444D4">
      <w:pPr>
        <w:pStyle w:val="Heading3"/>
      </w:pPr>
      <w:r w:rsidRPr="0079293C">
        <w:t>Services and Activities</w:t>
      </w:r>
    </w:p>
    <w:tbl>
      <w:tblPr>
        <w:tblStyle w:val="TableGrid"/>
        <w:tblW w:w="0" w:type="auto"/>
        <w:tblLook w:val="04A0" w:firstRow="1" w:lastRow="0" w:firstColumn="1" w:lastColumn="0" w:noHBand="0" w:noVBand="1"/>
      </w:tblPr>
      <w:tblGrid>
        <w:gridCol w:w="7196"/>
        <w:gridCol w:w="2375"/>
      </w:tblGrid>
      <w:tr w:rsidR="004444D4" w:rsidRPr="0079293C" w:rsidTr="004444D4">
        <w:trPr>
          <w:cantSplit/>
        </w:trPr>
        <w:tc>
          <w:tcPr>
            <w:tcW w:w="7196" w:type="dxa"/>
          </w:tcPr>
          <w:p w:rsidR="004444D4" w:rsidRPr="0079293C" w:rsidRDefault="004444D4" w:rsidP="004444D4">
            <w:pPr>
              <w:rPr>
                <w:b/>
                <w:szCs w:val="22"/>
              </w:rPr>
            </w:pPr>
            <w:r w:rsidRPr="0079293C">
              <w:rPr>
                <w:b/>
                <w:szCs w:val="22"/>
              </w:rPr>
              <w:t>Title</w:t>
            </w:r>
          </w:p>
        </w:tc>
        <w:tc>
          <w:tcPr>
            <w:tcW w:w="2375" w:type="dxa"/>
          </w:tcPr>
          <w:p w:rsidR="004444D4" w:rsidRPr="0079293C" w:rsidRDefault="004444D4" w:rsidP="004444D4">
            <w:pPr>
              <w:rPr>
                <w:b/>
                <w:szCs w:val="22"/>
              </w:rPr>
            </w:pPr>
            <w:r w:rsidRPr="0079293C">
              <w:rPr>
                <w:b/>
                <w:szCs w:val="22"/>
              </w:rPr>
              <w:t>Type</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 National Seminar on Patents and their Impact on Innovation, Paraguay (2016)</w:t>
            </w:r>
          </w:p>
        </w:tc>
        <w:tc>
          <w:tcPr>
            <w:tcW w:w="2375" w:type="dxa"/>
          </w:tcPr>
          <w:p w:rsidR="004444D4" w:rsidRPr="0079293C" w:rsidRDefault="004444D4" w:rsidP="004444D4">
            <w:pPr>
              <w:rPr>
                <w:szCs w:val="22"/>
              </w:rPr>
            </w:pPr>
            <w:r w:rsidRPr="0079293C">
              <w:rPr>
                <w:szCs w:val="22"/>
              </w:rPr>
              <w:t>Awareness-raising and training program</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Dominican Republic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Peru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 Sub-regional Workshop on WIPO Pilot Project for Universities and Research Centers in Central American Countries, Panama Knowledge City, Panama (2015)</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WIPO/OEPM in collaboration with MIEM - 2nd Regional Workshop for Training the Trainers on Patent Drafting, Uruguay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4th Regional Workshop on Industrial Property and Technology Transfer, El Salvador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 xml:space="preserve">IP Marketing and Valuation (advanced STL course), Brazil (2015) </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Argentina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Cuba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Guatemala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Nicaragua,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Panama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 xml:space="preserve">National Training Program on IP Marketing and Valuation, Chile (2016) </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Workshop on Innovation and Added Value based on Technological Information, and Competitive Intelligence for TISC Staff, Universities and R&amp;D centers, Colombia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Workshop on Technology Transfer Agreements, Mexico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Workshop on Technology Transfer, Valuation and Dispute Resolution for TISC staff and R&amp;D Centers, Colombia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Regional TTO Meeting (Working Together) on Internet and Research, Croatia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Round Table on Patents and their Impact on Innovation, Uruguay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Seminar on IP and Public Policies for Innovation and Technology Transfer, Peru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Sub-Regional Intellectual Property Workshop for Young Innovators: From Idea to the Market Place, Botswana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 xml:space="preserve">Sub-regional Seminar on IP and Technology Transfer, Costa Rica (2017) </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Sub-Regional Seminar on the Development of IP Policies for Universities and Research Institutions, Colombia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 xml:space="preserve">Sub-regional Workshop on the Use of IP Tools related to Technology Transfer, Costa Rica (2017) </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lastRenderedPageBreak/>
              <w:t>Training Workshop on Patent information, Search Strategies and Tech-Transfer for National TISC network, Guatemala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 National Workshop on Basic Patent Analytics Using the Guidelines for Preparing Patent Landscape Reports and the Manual on Free and Open Source Tools for Patent Analytics, Brazil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 National Workshop on Basic Patent Analytics, Colombia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 Patent Workshop on Practical Aspects of Patent Applications for the Industry, University Researchers and Patent Agents, Paraguay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WIPO/IDB IP Commercialization and Technology Transfer Cohort/Team Induction Program, Trinidad and Tobago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WIPO/OEPM/AECID Regional Workshop for Training of Trainers on Industrial Property: Drafting of Patent Applications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Workshop on IP Strategies, Patent Information and Technological Solutions, Colombia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Workshop on Technology Transfer, Chile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Workshop on the Use of Tools for Technology Transfer, Peru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WIPO/IDB IP Commercialization and Technology Transfer Training Course, Barbados, Jamaica, Trinidad and Tobago (2016-2017)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WIPO/OEPM - Regional Workshop for Training the Trainers on Patent Drafting, Colombia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Establishment and development of Technology and Innovation Support Centers (TISCs)</w:t>
            </w:r>
          </w:p>
        </w:tc>
        <w:tc>
          <w:tcPr>
            <w:tcW w:w="2375" w:type="dxa"/>
          </w:tcPr>
          <w:p w:rsidR="004444D4" w:rsidRPr="0079293C" w:rsidRDefault="004444D4" w:rsidP="004444D4">
            <w:pPr>
              <w:rPr>
                <w:szCs w:val="22"/>
              </w:rPr>
            </w:pPr>
            <w:r w:rsidRPr="0079293C">
              <w:rPr>
                <w:szCs w:val="22"/>
              </w:rPr>
              <w:t>Project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 xml:space="preserve">Project to support Member States to integrate IP and knowledge transfer considerations into their IP Strategies, Trinidad and Tobago </w:t>
            </w:r>
          </w:p>
        </w:tc>
        <w:tc>
          <w:tcPr>
            <w:tcW w:w="2375" w:type="dxa"/>
          </w:tcPr>
          <w:p w:rsidR="004444D4" w:rsidRPr="0079293C" w:rsidRDefault="004444D4" w:rsidP="004444D4">
            <w:pPr>
              <w:rPr>
                <w:szCs w:val="22"/>
              </w:rPr>
            </w:pPr>
            <w:r w:rsidRPr="0079293C">
              <w:rPr>
                <w:szCs w:val="22"/>
              </w:rPr>
              <w:t>Project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Support to the Elaboration of the IP Policy to the Galileo University, Guatemala</w:t>
            </w:r>
          </w:p>
        </w:tc>
        <w:tc>
          <w:tcPr>
            <w:tcW w:w="2375" w:type="dxa"/>
          </w:tcPr>
          <w:p w:rsidR="004444D4" w:rsidRPr="0079293C" w:rsidRDefault="004444D4" w:rsidP="004444D4">
            <w:pPr>
              <w:rPr>
                <w:szCs w:val="22"/>
              </w:rPr>
            </w:pPr>
            <w:r w:rsidRPr="0079293C">
              <w:rPr>
                <w:szCs w:val="22"/>
              </w:rPr>
              <w:t>Technical assistance</w:t>
            </w:r>
          </w:p>
        </w:tc>
      </w:tr>
      <w:tr w:rsidR="004444D4" w:rsidRPr="0079293C" w:rsidTr="004444D4">
        <w:trPr>
          <w:cantSplit/>
        </w:trPr>
        <w:tc>
          <w:tcPr>
            <w:tcW w:w="7196" w:type="dxa"/>
          </w:tcPr>
          <w:p w:rsidR="004444D4" w:rsidRPr="0079293C" w:rsidRDefault="004444D4" w:rsidP="004444D4">
            <w:pPr>
              <w:rPr>
                <w:szCs w:val="22"/>
              </w:rPr>
            </w:pPr>
            <w:r w:rsidRPr="0079293C">
              <w:rPr>
                <w:szCs w:val="22"/>
              </w:rPr>
              <w:t>Review of an IP Curriculum for a Postgraduate Program, Nicaragua (Organized jointly by a national university and the Nicaraguan Council of Science and Technology)</w:t>
            </w:r>
          </w:p>
        </w:tc>
        <w:tc>
          <w:tcPr>
            <w:tcW w:w="2375" w:type="dxa"/>
          </w:tcPr>
          <w:p w:rsidR="004444D4" w:rsidRPr="0079293C" w:rsidRDefault="004444D4" w:rsidP="004444D4">
            <w:pPr>
              <w:rPr>
                <w:szCs w:val="22"/>
              </w:rPr>
            </w:pPr>
            <w:r w:rsidRPr="0079293C">
              <w:rPr>
                <w:szCs w:val="22"/>
              </w:rPr>
              <w:t>Technical assistance</w:t>
            </w:r>
          </w:p>
        </w:tc>
      </w:tr>
    </w:tbl>
    <w:p w:rsidR="004444D4" w:rsidRPr="0079293C" w:rsidRDefault="004444D4" w:rsidP="004444D4">
      <w:pPr>
        <w:rPr>
          <w:szCs w:val="22"/>
        </w:rPr>
      </w:pPr>
    </w:p>
    <w:p w:rsidR="004444D4" w:rsidRPr="0079293C" w:rsidRDefault="004444D4" w:rsidP="004444D4">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IP, Information and Communication Technologies (ICTs), the Digital Divide and Access to Knowledge</w:t>
            </w:r>
          </w:p>
        </w:tc>
      </w:tr>
    </w:tbl>
    <w:p w:rsidR="004444D4" w:rsidRPr="0079293C" w:rsidRDefault="004444D4" w:rsidP="004444D4">
      <w:pPr>
        <w:rPr>
          <w:szCs w:val="22"/>
        </w:rPr>
      </w:pPr>
    </w:p>
    <w:p w:rsidR="004444D4" w:rsidRDefault="004444D4" w:rsidP="004444D4">
      <w:pPr>
        <w:pStyle w:val="Heading2"/>
        <w:rPr>
          <w:szCs w:val="22"/>
        </w:rPr>
      </w:pPr>
      <w:r>
        <w:rPr>
          <w:szCs w:val="22"/>
        </w:rPr>
        <w:t>Recommendation 25</w:t>
      </w:r>
    </w:p>
    <w:p w:rsidR="004444D4" w:rsidRPr="005B1F25" w:rsidRDefault="004444D4" w:rsidP="004444D4">
      <w:r>
        <w:t>“</w:t>
      </w:r>
      <w:r w:rsidRPr="005B1F25">
        <w:t>T</w:t>
      </w:r>
      <w:r>
        <w:t>o explore intellectual property</w:t>
      </w:r>
      <w:r w:rsidRPr="005B1F25">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r>
        <w:t>”</w:t>
      </w:r>
    </w:p>
    <w:p w:rsidR="004444D4" w:rsidRPr="0079293C" w:rsidRDefault="004444D4" w:rsidP="004444D4">
      <w:pPr>
        <w:pStyle w:val="Heading3"/>
      </w:pPr>
      <w:r w:rsidRPr="0079293C">
        <w:t>Services and Activities</w:t>
      </w:r>
    </w:p>
    <w:tbl>
      <w:tblPr>
        <w:tblStyle w:val="TableGrid"/>
        <w:tblW w:w="0" w:type="auto"/>
        <w:tblLook w:val="04A0" w:firstRow="1" w:lastRow="0" w:firstColumn="1" w:lastColumn="0" w:noHBand="0" w:noVBand="1"/>
      </w:tblPr>
      <w:tblGrid>
        <w:gridCol w:w="7196"/>
        <w:gridCol w:w="2375"/>
      </w:tblGrid>
      <w:tr w:rsidR="004444D4" w:rsidRPr="0079293C" w:rsidTr="004444D4">
        <w:trPr>
          <w:cantSplit/>
        </w:trPr>
        <w:tc>
          <w:tcPr>
            <w:tcW w:w="7196" w:type="dxa"/>
          </w:tcPr>
          <w:p w:rsidR="004444D4" w:rsidRPr="0079293C" w:rsidRDefault="004444D4" w:rsidP="004444D4">
            <w:pPr>
              <w:rPr>
                <w:b/>
                <w:szCs w:val="22"/>
              </w:rPr>
            </w:pPr>
            <w:r w:rsidRPr="0079293C">
              <w:rPr>
                <w:b/>
                <w:szCs w:val="22"/>
              </w:rPr>
              <w:t>Title</w:t>
            </w:r>
          </w:p>
        </w:tc>
        <w:tc>
          <w:tcPr>
            <w:tcW w:w="2375" w:type="dxa"/>
          </w:tcPr>
          <w:p w:rsidR="004444D4" w:rsidRPr="0079293C" w:rsidRDefault="004444D4" w:rsidP="004444D4">
            <w:pPr>
              <w:rPr>
                <w:b/>
                <w:szCs w:val="22"/>
              </w:rPr>
            </w:pPr>
            <w:r w:rsidRPr="0079293C">
              <w:rPr>
                <w:b/>
                <w:szCs w:val="22"/>
              </w:rPr>
              <w:t>Type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Studies and programs regarding an importance of IP policies/strategies on the national level </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Distance Learning Course on Patent Information (DL-318) in English, French and Spanish (2014-2017)</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WIPO / WTO Colloquium for Teachers of IP, Switzerland (2014-2017) </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lastRenderedPageBreak/>
              <w:t>WIPO Joint Master's Programs on Intellectual Property (MIP and LLM) (including lectures and exercises relating to technology transfer) (2014-2017)</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National Seminar on Patents and their Impact on Innovation, Paraguay (2016)</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WIPO-CEIPI Advanced Training Course on Intellectual Property, Transfer of Technology and Licensing</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Workshop on “Strengthening national systems of innovation in developing countries, covering the entire technology cycle for climate technology” – UNFCCC TEC Workshop, Bonn, October 13 and 14, 2014</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Distance Learning Course on Basics of Patent Drafting (DL-320) in Arabic, Chinese, English, French, Portuguese, Russian and Spanish (2014-2017)</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 WTO Advanced Trade Policy Course for Policy Makers and Government Officials, Geneva (2014-2017)</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375"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375"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Database of IP Policies for Universities and Research Institutions</w:t>
            </w:r>
          </w:p>
        </w:tc>
        <w:tc>
          <w:tcPr>
            <w:tcW w:w="2375"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Database of National Frameworks concerning Ownership Issues in Academic Research and Commercialization of Innovations Developed at Universities and Research Institutions</w:t>
            </w:r>
          </w:p>
        </w:tc>
        <w:tc>
          <w:tcPr>
            <w:tcW w:w="2375"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Joint Side Event on Climate Change and Technology – Global Environment Facility 5th Assembly, Bonn, May 27, 2014</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WIPO/IRENA Side Event on Renewable Energy Technologies: Technology Trends, Patents and Policy Implications – UNFCCC Bonn Climate Change Conference, June 13, 2014</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COHRED Global Forum on Research and Innovation for Health, Philippines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National Conference on Intellectual Property Policies for Universities and Innovation, Bulgaria, (2015)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Course, Malaysia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Course, Philippines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Course, Sri Lanka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Course, Thailand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Course, Thailand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Workshop, Algeria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National Patent Drafting Workshop, Colombia (2015)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Workshop, Ecuador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National Patent Drafting Workshop, Niger (2017)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Workshop, South Africa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National Patent Drafting Workshop, Tunisia (2017)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Intellectual Property Policies in Universities and Research  Institutions, Kyrgyzstan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in Universities, Belarus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lastRenderedPageBreak/>
              <w:t>Patent Drafting Training for Member and Observer States of the African Regional Intellectual Property Organization (ARIPO)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Patent Drafting Training for Member and Observer States of the African Regional Intellectual Property Organization (ARIPO)(2015)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Regional Patent Drafting Course for GCC Member States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Regional Patent Drafting Course for Member and Observer States of ARIPO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Patent Drafting Course, Jamaica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Patent Drafting Course, Jordan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(AUTM)</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(AUTM); European Industrial Research Management Association (EIRMA); European Liaison Office of the German Research Organizations (KOWI); Licensing Executives Society (LES) (International and Benelux); The Horizon 2020 Model Consortium Agreement (DESCA),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European Association of Research and Technology Organizations (EARTO)</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European Industrial Research Management Association (EIRMA)</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lastRenderedPageBreak/>
              <w:t>WIPO participation in IRENA Side event on IRENA’s Interactive Web Tool on International Standards and Patents in Renewable Energy – UNFCCC Climate Change Conference, Bonn, June 5,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Patent Workshop on Practical Aspects of Patent Applications for the Industry University Researchers and Patent Agents, Paraguay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WIPO/OEPM - 2nd Regional Workshop for Training the Trainers on Patent Drafting, Uruguay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WIPO/PIPRA/UC Davis IP Valuation Course, UC Davis Licensing Academy, UC Davis, California, United States of America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Fact Finding Mission to Assess the Situation regarding Knowledge Transfer and Define an Action Plan for the Establishment of a Model TTO, Algeria (2014)</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Meeting for selected countries on Developing National and Regional approaches to Technology and innovation Support and commercialization of Research and Development, Morocco (June 11 to 13, 2014)</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for Technology and Innovation Support Centers (TISCs), Djibouti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for Technology and Innovation Support Centers (TISCs), Djibouti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for Technology and Innovation Support Centers (TISCs), Mauritania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in Innovative Economy, Kyrgyzstan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for Universities and Research Institutions, Iceland (2016-2017)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for Universities and Research Institutions, Italy (2016-2017)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for Universities and Research Institutions, Morocco (2016-2017)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for Universities and Research Institutions, Mozambique (2016-2017)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for Universities and Research Institutions, Sudan (2016-2017)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for Universities and Research Institutions, UAE (2016-2017)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the development of IP Policies for Universities, Morocco (September 13 and 14,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Presentation on TISC Program, University of </w:t>
            </w:r>
            <w:proofErr w:type="spellStart"/>
            <w:r w:rsidRPr="0079293C">
              <w:rPr>
                <w:color w:val="000000"/>
                <w:szCs w:val="22"/>
              </w:rPr>
              <w:t>Tlemcen</w:t>
            </w:r>
            <w:proofErr w:type="spellEnd"/>
            <w:r w:rsidRPr="0079293C">
              <w:rPr>
                <w:color w:val="000000"/>
                <w:szCs w:val="22"/>
              </w:rPr>
              <w:t>, Algeria, (April 26,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Regional Seminar on IP Policies in Universities and Research Institutions, Azerbaijan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Regional Workshop on the Outcome of WIPO Pilot Technology Transfer Offices (TTO) Project in Tunisia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Seminar on IP Policies for Universities Sudan (May 17 and 18,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Seminar on Technology and Innovation Support Centers (TISCs) and the Use of Patent Information, Algeria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Seminar on the efficiency of TISC National Network, Mauritania (November 21 to 23,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lastRenderedPageBreak/>
              <w:t>Study visit of the Representatives from Armenia and the Russian Federation on the Issues of Innovative Activities, Israel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Study Visit on Best Practices in IP Management for Government officials from Bosnia and Herzegovina, Poland and the Russian Federation, Singapore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IP Policies for Universities and Research Institutions, Bosnia and Herzegovina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IP Policies for Universities and Research Institutions, Czech Republic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IP Policies for Universities and Research Institutions, Georgia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IP Policies for Universities and Research Institutions, Hungary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IP Policies for Universities and Research Institutions, Lebanon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IP Policies for Universities, Ukraine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the Development of IP Policies for Universities and Research Institutions, Colombia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TISC Seminar, Oran, Algeria (December 13 and 14,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Training workshop on TISC, Oman, (March 20 to 22,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TTO Project, Tunisia:  Workshop on IP Marketing and Valuation, WIPO Headquarters, (November 2 to 4,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WIPO Conference on IP Policy for </w:t>
            </w:r>
            <w:proofErr w:type="spellStart"/>
            <w:r w:rsidRPr="0079293C">
              <w:rPr>
                <w:color w:val="000000"/>
                <w:szCs w:val="22"/>
              </w:rPr>
              <w:t>Visegrad</w:t>
            </w:r>
            <w:proofErr w:type="spellEnd"/>
            <w:r w:rsidRPr="0079293C">
              <w:rPr>
                <w:color w:val="000000"/>
                <w:szCs w:val="22"/>
              </w:rPr>
              <w:t xml:space="preserve"> Countries, Switzerland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WIPO Inter-Regional TTO Meeting "Working Together on Academic IP Commercialization in the Region", Czech Republic (2016)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Side Event on Policies and Evidence to Support Climate Change Technology Transfer and Innovation – UNFCCC Climate Change Conference, Bonn, June 8,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WIPO/OEPM/AECID Regional Workshop for Training of Trainers on Patent Drafting, Colombia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Workshop on Access to Technology for Innovation and Establishing a TISC Network, Oman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Workshop on Access to Technology for Innovation and on Establishing a Technology and Innovation Support Centers (TISCs) Network, Jordan (2016)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Workshop on IP policies for Universities, UAE, November 22 and 23,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Workshop on TISCs Network for Selected Arab Countries, Jordan (2017)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Knowledge and Technology Transfer webpage </w:t>
            </w:r>
          </w:p>
        </w:tc>
        <w:tc>
          <w:tcPr>
            <w:tcW w:w="2375"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Alternative Dispute Resolution (ADR) of Research and Development/Technology Transfer Disputes Procedural Guidance and Training.</w:t>
            </w:r>
          </w:p>
        </w:tc>
        <w:tc>
          <w:tcPr>
            <w:tcW w:w="2375"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lastRenderedPageBreak/>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Evaluation and Development of the Technology and Innovation Support Center (TISC) National Project in Egypt (2017)</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IP Commercialization Coaching Session for TTOs in Tunisia, National TTO-Pilot Project, Tunisia (2017)</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Georgia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Latvia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TISCs Clinic Services as Pilot Project in Morocco providing pro bono assistance to eligible inventors, Morocco (2015)</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Workshop on Successful Technology Licensing within the framework of TTOs Project Implementation, Tunisia (2016)</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Country project to provide technical assistance to Botswana government- funded research institutions and universities in support of innovation and IP mainstreaming in institutional strategies, Botswana (2015)</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Enabling IP Environment</w:t>
            </w:r>
          </w:p>
          <w:p w:rsidR="004444D4" w:rsidRPr="0079293C" w:rsidRDefault="004444D4" w:rsidP="004444D4">
            <w:pPr>
              <w:rPr>
                <w:color w:val="000000"/>
                <w:szCs w:val="22"/>
              </w:rPr>
            </w:pPr>
            <w:r w:rsidRPr="0079293C">
              <w:rPr>
                <w:color w:val="000000"/>
                <w:szCs w:val="22"/>
              </w:rPr>
              <w:t>Designed to establish a network of in- country IP support institutions and organizations receiving technical assistance relating to technology development, management, and commercialization from WIPO</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Project on IP Policies for Universities and Research Institutions, Botswana (2016)</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Project on IP Policies for Universities and Research Institutions, Colombia (2016)</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Project on IP Policies for Universities and Research Institutions, Sri Lanka (2016)</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Albania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lastRenderedPageBreak/>
              <w:t>Project to support Member States to integrate IP and knowledge transfer considerations into their IP Strategies, Cameroon</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Jamaica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Rwanda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Slovakia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Sri Lanka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Project to support Member States to integrate IP and knowledge transfer considerations into their IP Strategies, Trinidad and Tobago </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WIPO </w:t>
            </w:r>
            <w:proofErr w:type="spellStart"/>
            <w:r w:rsidRPr="0079293C">
              <w:rPr>
                <w:color w:val="000000"/>
                <w:szCs w:val="22"/>
              </w:rPr>
              <w:t>Re:Search</w:t>
            </w:r>
            <w:proofErr w:type="spellEnd"/>
            <w:r w:rsidRPr="0079293C">
              <w:rPr>
                <w:color w:val="000000"/>
                <w:szCs w:val="22"/>
              </w:rPr>
              <w:t xml:space="preserve"> research collaborations on neglected tropical diseases, malaria and tuberculosis </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Inventor Assistance Program (IAP) </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Global Challenges Brief: Incentivizing the Adoption of Green Technology on a Global Scale</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Global Challenges Brief: WIPO </w:t>
            </w:r>
            <w:proofErr w:type="spellStart"/>
            <w:r w:rsidRPr="0079293C">
              <w:rPr>
                <w:color w:val="000000"/>
                <w:szCs w:val="22"/>
              </w:rPr>
              <w:t>Re:Search</w:t>
            </w:r>
            <w:proofErr w:type="spellEnd"/>
            <w:r w:rsidRPr="0079293C">
              <w:rPr>
                <w:color w:val="000000"/>
                <w:szCs w:val="22"/>
              </w:rPr>
              <w:t>: Sharing Innovation in the Fight Against Neglected Tropical Diseases</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Global Challenges Report: Antimicrobial Resistance (AMR) and Multidrug Resistance (MDR): Overview of current approaches, consortia and intellectual property issues</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Global Challenges Report: Innovation and Diffusion of Green Technologies: The Role of Intellectual Property and Other Enabling Factors</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WIPO Alternative Dispute Resolution (ADR) of R&amp;D/Technology Transfer Disputes: Recommended Contract Clauses and Submission Agreements </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Global Innovation Index </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IP Policy Template for Universities and Research Institutions and Guidelines for Customization of the IP Policy Template</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World IP Report </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GREEN Database</w:t>
            </w:r>
          </w:p>
        </w:tc>
        <w:tc>
          <w:tcPr>
            <w:tcW w:w="2375" w:type="dxa"/>
          </w:tcPr>
          <w:p w:rsidR="004444D4" w:rsidRPr="0079293C" w:rsidRDefault="004444D4" w:rsidP="004444D4">
            <w:pPr>
              <w:rPr>
                <w:color w:val="000000"/>
                <w:szCs w:val="22"/>
              </w:rPr>
            </w:pPr>
            <w:r w:rsidRPr="0079293C">
              <w:rPr>
                <w:color w:val="000000"/>
                <w:szCs w:val="22"/>
              </w:rPr>
              <w:t>Specialized resource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WIPO </w:t>
            </w:r>
            <w:proofErr w:type="spellStart"/>
            <w:r w:rsidRPr="0079293C">
              <w:rPr>
                <w:color w:val="000000"/>
                <w:szCs w:val="22"/>
              </w:rPr>
              <w:t>Re:Search</w:t>
            </w:r>
            <w:proofErr w:type="spellEnd"/>
            <w:r w:rsidRPr="0079293C">
              <w:rPr>
                <w:color w:val="000000"/>
                <w:szCs w:val="22"/>
              </w:rPr>
              <w:t xml:space="preserve"> Database</w:t>
            </w:r>
          </w:p>
        </w:tc>
        <w:tc>
          <w:tcPr>
            <w:tcW w:w="2375" w:type="dxa"/>
          </w:tcPr>
          <w:p w:rsidR="004444D4" w:rsidRPr="0079293C" w:rsidRDefault="004444D4" w:rsidP="004444D4">
            <w:pPr>
              <w:rPr>
                <w:color w:val="000000"/>
                <w:szCs w:val="22"/>
              </w:rPr>
            </w:pPr>
            <w:r w:rsidRPr="0079293C">
              <w:rPr>
                <w:color w:val="000000"/>
                <w:szCs w:val="22"/>
              </w:rPr>
              <w:t>Specialized resource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Studies on International Comparison of Knowledge Transfer Policies and Practices</w:t>
            </w:r>
          </w:p>
        </w:tc>
        <w:tc>
          <w:tcPr>
            <w:tcW w:w="2375" w:type="dxa"/>
          </w:tcPr>
          <w:p w:rsidR="004444D4" w:rsidRPr="0079293C" w:rsidRDefault="004444D4" w:rsidP="004444D4">
            <w:pPr>
              <w:rPr>
                <w:color w:val="000000"/>
                <w:szCs w:val="22"/>
              </w:rPr>
            </w:pPr>
            <w:r w:rsidRPr="0079293C">
              <w:rPr>
                <w:color w:val="000000"/>
                <w:szCs w:val="22"/>
              </w:rPr>
              <w:t>Specialized resource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Development of IP Institutional Policies for Universities</w:t>
            </w:r>
          </w:p>
        </w:tc>
        <w:tc>
          <w:tcPr>
            <w:tcW w:w="2375"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Technical assistance in establishing IP management offices</w:t>
            </w:r>
          </w:p>
        </w:tc>
        <w:tc>
          <w:tcPr>
            <w:tcW w:w="2375"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Expert Mission on TTOs, (January 31 to February 2, Tunisia, 2017)</w:t>
            </w:r>
          </w:p>
        </w:tc>
        <w:tc>
          <w:tcPr>
            <w:tcW w:w="2375"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IP Policies for Universities and Research Institutions in Azerbaijan</w:t>
            </w:r>
          </w:p>
        </w:tc>
        <w:tc>
          <w:tcPr>
            <w:tcW w:w="2375"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IP Policies for Universities and Research Institutions in the Russian Federation</w:t>
            </w:r>
          </w:p>
        </w:tc>
        <w:tc>
          <w:tcPr>
            <w:tcW w:w="2375"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IP Policies for Universities and Research Institutions in the Ukraine</w:t>
            </w:r>
          </w:p>
        </w:tc>
        <w:tc>
          <w:tcPr>
            <w:tcW w:w="2375"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Standing Committee on the Law of Patents (SCP): Items on "Transfer of Technology" have been on the agenda since the 14th session of the Standing Committee</w:t>
            </w:r>
          </w:p>
        </w:tc>
        <w:tc>
          <w:tcPr>
            <w:tcW w:w="2375" w:type="dxa"/>
          </w:tcPr>
          <w:p w:rsidR="004444D4" w:rsidRPr="0079293C" w:rsidRDefault="004444D4" w:rsidP="004444D4">
            <w:pPr>
              <w:rPr>
                <w:color w:val="000000"/>
                <w:szCs w:val="22"/>
              </w:rPr>
            </w:pPr>
            <w:r w:rsidRPr="0079293C">
              <w:rPr>
                <w:color w:val="000000"/>
                <w:szCs w:val="22"/>
              </w:rPr>
              <w:t>WIPO Committee</w:t>
            </w:r>
          </w:p>
        </w:tc>
      </w:tr>
    </w:tbl>
    <w:p w:rsidR="004444D4" w:rsidRPr="0079293C" w:rsidRDefault="004444D4" w:rsidP="004444D4">
      <w:pPr>
        <w:rPr>
          <w:szCs w:val="22"/>
        </w:rPr>
      </w:pPr>
    </w:p>
    <w:p w:rsidR="004444D4" w:rsidRPr="0079293C" w:rsidRDefault="004444D4" w:rsidP="004444D4">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Intellectual Property and Technology Transfer: Common Challenges – Building Solutions</w:t>
            </w:r>
          </w:p>
        </w:tc>
      </w:tr>
      <w:tr w:rsidR="004444D4" w:rsidRPr="0079293C" w:rsidTr="004444D4">
        <w:trPr>
          <w:cantSplit/>
        </w:trPr>
        <w:tc>
          <w:tcPr>
            <w:tcW w:w="9571" w:type="dxa"/>
          </w:tcPr>
          <w:p w:rsidR="004444D4" w:rsidRPr="0079293C" w:rsidRDefault="004444D4" w:rsidP="004444D4">
            <w:pPr>
              <w:rPr>
                <w:szCs w:val="22"/>
              </w:rPr>
            </w:pPr>
            <w:r w:rsidRPr="0079293C">
              <w:rPr>
                <w:szCs w:val="22"/>
              </w:rPr>
              <w:t>Enhancing South-South Cooperation on IP and Development Among Developing Countries and Least Developed Countries</w:t>
            </w:r>
          </w:p>
        </w:tc>
      </w:tr>
    </w:tbl>
    <w:p w:rsidR="004444D4" w:rsidRPr="0079293C" w:rsidRDefault="004444D4" w:rsidP="004444D4">
      <w:pPr>
        <w:rPr>
          <w:szCs w:val="22"/>
        </w:rPr>
      </w:pPr>
    </w:p>
    <w:p w:rsidR="004444D4" w:rsidRDefault="004444D4" w:rsidP="004444D4">
      <w:pPr>
        <w:pStyle w:val="Heading2"/>
        <w:rPr>
          <w:szCs w:val="22"/>
        </w:rPr>
      </w:pPr>
      <w:r>
        <w:rPr>
          <w:szCs w:val="22"/>
        </w:rPr>
        <w:t>Recommendation 26</w:t>
      </w:r>
    </w:p>
    <w:p w:rsidR="004444D4" w:rsidRPr="005B1F25" w:rsidRDefault="004444D4" w:rsidP="004444D4">
      <w:proofErr w:type="gramStart"/>
      <w:r>
        <w:t>“To encourage Member States, especially developed countries, to urge their research and scientific institutions to enhance cooperation and exchange with research and development institutions in developing countries, especially LDCs.”</w:t>
      </w:r>
      <w:proofErr w:type="gramEnd"/>
    </w:p>
    <w:p w:rsidR="004444D4" w:rsidRPr="0079293C" w:rsidRDefault="004444D4" w:rsidP="004444D4">
      <w:pPr>
        <w:pStyle w:val="Heading3"/>
      </w:pPr>
      <w:r w:rsidRPr="0079293C">
        <w:t>Services and Activities</w:t>
      </w:r>
    </w:p>
    <w:tbl>
      <w:tblPr>
        <w:tblStyle w:val="TableGrid"/>
        <w:tblW w:w="0" w:type="auto"/>
        <w:tblLook w:val="04A0" w:firstRow="1" w:lastRow="0" w:firstColumn="1" w:lastColumn="0" w:noHBand="0" w:noVBand="1"/>
      </w:tblPr>
      <w:tblGrid>
        <w:gridCol w:w="7054"/>
        <w:gridCol w:w="2517"/>
      </w:tblGrid>
      <w:tr w:rsidR="004444D4" w:rsidRPr="0079293C" w:rsidTr="004444D4">
        <w:tc>
          <w:tcPr>
            <w:tcW w:w="7054" w:type="dxa"/>
          </w:tcPr>
          <w:p w:rsidR="004444D4" w:rsidRPr="0079293C" w:rsidRDefault="004444D4" w:rsidP="004444D4">
            <w:pPr>
              <w:rPr>
                <w:b/>
                <w:szCs w:val="22"/>
              </w:rPr>
            </w:pPr>
            <w:r w:rsidRPr="0079293C">
              <w:rPr>
                <w:b/>
                <w:szCs w:val="22"/>
              </w:rPr>
              <w:t>Title</w:t>
            </w:r>
          </w:p>
        </w:tc>
        <w:tc>
          <w:tcPr>
            <w:tcW w:w="2517" w:type="dxa"/>
          </w:tcPr>
          <w:p w:rsidR="004444D4" w:rsidRPr="0079293C" w:rsidRDefault="004444D4" w:rsidP="004444D4">
            <w:pPr>
              <w:rPr>
                <w:b/>
                <w:szCs w:val="22"/>
              </w:rPr>
            </w:pPr>
            <w:r w:rsidRPr="0079293C">
              <w:rPr>
                <w:b/>
                <w:szCs w:val="22"/>
              </w:rPr>
              <w:t>Type</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Distance Learning Course on Patent Information (DL-318) in English, French and Spanish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 xml:space="preserve">WIPO / WTO Colloquium for Teachers of IP, Switzerland (2014-2017) </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WIPO-CEIPI Advanced Training Course on Intellectual Property, Transfer of Technology and Licensing</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 WTO Advanced Trade Policy Course for Policy Makers and Government Officials, Geneva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Database of Biodiversity-related Access and Benefit-sharing Agreements</w:t>
            </w:r>
          </w:p>
        </w:tc>
        <w:tc>
          <w:tcPr>
            <w:tcW w:w="2517"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3rd International Conference on Water Resources and Environmental Management (ICWRE-2014), Antalya, May 13 to 15,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985474">
        <w:trPr>
          <w:cantSplit/>
        </w:trPr>
        <w:tc>
          <w:tcPr>
            <w:tcW w:w="7054" w:type="dxa"/>
          </w:tcPr>
          <w:p w:rsidR="004444D4" w:rsidRPr="0079293C" w:rsidRDefault="004444D4" w:rsidP="004444D4">
            <w:pPr>
              <w:rPr>
                <w:color w:val="000000"/>
                <w:szCs w:val="22"/>
              </w:rPr>
            </w:pPr>
            <w:r w:rsidRPr="0079293C">
              <w:rPr>
                <w:color w:val="000000"/>
                <w:szCs w:val="22"/>
              </w:rPr>
              <w:lastRenderedPageBreak/>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Global Challenges Brief: Promoting Medical Innovation and Access, Together</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 xml:space="preserve">Global Challenges Report: Sharing Innovation and Building Capacity to Fight Neglected Tropical Diseases: A Selection of WIPO </w:t>
            </w:r>
            <w:proofErr w:type="spellStart"/>
            <w:r w:rsidRPr="0079293C">
              <w:rPr>
                <w:color w:val="000000"/>
                <w:szCs w:val="22"/>
              </w:rPr>
              <w:t>Re:Search</w:t>
            </w:r>
            <w:proofErr w:type="spellEnd"/>
            <w:r w:rsidRPr="0079293C">
              <w:rPr>
                <w:color w:val="000000"/>
                <w:szCs w:val="22"/>
              </w:rPr>
              <w:t xml:space="preserve"> Fellowship Stories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Guide on Intellectual Property Issues in Access and Benefit-Sharing Agreements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517" w:type="dxa"/>
          </w:tcPr>
          <w:p w:rsidR="004444D4" w:rsidRPr="0079293C" w:rsidRDefault="004444D4" w:rsidP="004444D4">
            <w:pPr>
              <w:rPr>
                <w:color w:val="000000"/>
                <w:szCs w:val="22"/>
              </w:rPr>
            </w:pPr>
            <w:r w:rsidRPr="0079293C">
              <w:rPr>
                <w:color w:val="000000"/>
                <w:szCs w:val="22"/>
              </w:rPr>
              <w:t>Publication</w:t>
            </w:r>
          </w:p>
        </w:tc>
      </w:tr>
    </w:tbl>
    <w:p w:rsidR="004444D4" w:rsidRPr="0079293C" w:rsidRDefault="004444D4" w:rsidP="004444D4">
      <w:pPr>
        <w:rPr>
          <w:szCs w:val="22"/>
        </w:rPr>
      </w:pPr>
    </w:p>
    <w:p w:rsidR="004444D4" w:rsidRPr="0079293C" w:rsidRDefault="004444D4" w:rsidP="004444D4">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Intellectual Property and Technology Transfer: Common Challenges – Building Solutions</w:t>
            </w:r>
          </w:p>
        </w:tc>
      </w:tr>
    </w:tbl>
    <w:p w:rsidR="004444D4" w:rsidRDefault="004444D4" w:rsidP="004444D4">
      <w:pPr>
        <w:rPr>
          <w:szCs w:val="22"/>
        </w:rPr>
      </w:pPr>
    </w:p>
    <w:p w:rsidR="008448DB" w:rsidRPr="0079293C" w:rsidRDefault="008448DB" w:rsidP="004444D4">
      <w:pPr>
        <w:rPr>
          <w:szCs w:val="22"/>
        </w:rPr>
      </w:pPr>
    </w:p>
    <w:p w:rsidR="004444D4" w:rsidRDefault="004444D4" w:rsidP="004444D4">
      <w:pPr>
        <w:pStyle w:val="Heading2"/>
        <w:rPr>
          <w:szCs w:val="22"/>
        </w:rPr>
      </w:pPr>
      <w:r>
        <w:rPr>
          <w:szCs w:val="22"/>
        </w:rPr>
        <w:t>Recommendation 27</w:t>
      </w:r>
    </w:p>
    <w:p w:rsidR="004444D4" w:rsidRDefault="004444D4" w:rsidP="004444D4">
      <w:r>
        <w:t>“</w:t>
      </w:r>
      <w:r w:rsidRPr="005B1F25">
        <w:t>Facilitating intellectual property -related aspects of ICT for growth and development: Provide for, in an appropriate WIPO body, discussions focused on the importance of intellectual property -related aspects of ICT, and its role in economic and cultural development, with specific attention focused on assisting Member States to identify practical intellectual property -related strategies to use ICT for economic, social and cultural development.</w:t>
      </w:r>
      <w:r>
        <w:t>”</w:t>
      </w:r>
    </w:p>
    <w:p w:rsidR="008448DB" w:rsidRPr="005B1F25" w:rsidRDefault="008448DB" w:rsidP="004444D4"/>
    <w:p w:rsidR="004444D4" w:rsidRPr="0079293C" w:rsidRDefault="004444D4" w:rsidP="004444D4">
      <w:pPr>
        <w:pStyle w:val="Heading3"/>
      </w:pPr>
      <w:r w:rsidRPr="0079293C">
        <w:lastRenderedPageBreak/>
        <w:t>Services and Activities</w:t>
      </w:r>
    </w:p>
    <w:tbl>
      <w:tblPr>
        <w:tblStyle w:val="TableGrid"/>
        <w:tblW w:w="0" w:type="auto"/>
        <w:tblLook w:val="04A0" w:firstRow="1" w:lastRow="0" w:firstColumn="1" w:lastColumn="0" w:noHBand="0" w:noVBand="1"/>
      </w:tblPr>
      <w:tblGrid>
        <w:gridCol w:w="7054"/>
        <w:gridCol w:w="2517"/>
      </w:tblGrid>
      <w:tr w:rsidR="004444D4" w:rsidRPr="0079293C" w:rsidTr="004444D4">
        <w:trPr>
          <w:cantSplit/>
        </w:trPr>
        <w:tc>
          <w:tcPr>
            <w:tcW w:w="7054" w:type="dxa"/>
          </w:tcPr>
          <w:p w:rsidR="004444D4" w:rsidRPr="0079293C" w:rsidRDefault="004444D4" w:rsidP="004444D4">
            <w:pPr>
              <w:rPr>
                <w:b/>
                <w:szCs w:val="22"/>
              </w:rPr>
            </w:pPr>
            <w:r w:rsidRPr="0079293C">
              <w:rPr>
                <w:b/>
                <w:szCs w:val="22"/>
              </w:rPr>
              <w:t>Title</w:t>
            </w:r>
          </w:p>
        </w:tc>
        <w:tc>
          <w:tcPr>
            <w:tcW w:w="2517" w:type="dxa"/>
          </w:tcPr>
          <w:p w:rsidR="004444D4" w:rsidRPr="0079293C" w:rsidRDefault="004444D4" w:rsidP="004444D4">
            <w:pPr>
              <w:rPr>
                <w:b/>
                <w:szCs w:val="22"/>
              </w:rPr>
            </w:pPr>
            <w:r w:rsidRPr="0079293C">
              <w:rPr>
                <w:b/>
                <w:szCs w:val="22"/>
              </w:rPr>
              <w:t>Type</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 WTO Advanced Trade Policy Course for Policy Makers and Government Officials, Geneva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Distance Learning Course on Patent Information (DL-318) in English, French and Spanish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 WTO Colloquium for Teachers of IP, Switzerland (2014-2017) </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WIPO-CEIPI Advanced Training Course on Intellectual Property, Transfer of Technology and Licensing</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Dominican Republic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Peru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IP Marketing and Valuation (advanced STL course), Brazil (2015)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Argentina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Cuba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Guatemala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Nicaragua,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Panama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Workshop on Innovation and Added Value based on Technological Information, and Competitive Intelligence for TISC Staff, Universities and R&amp;D centers,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Training Workshop on Patent information, Search Strategies and Tech-Transfer for National TISC network, Guatemala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Brazil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National Workshop on Basic Patent Analytics, Colombia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IP Strategies, Patent Information and Technological Solutions,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lastRenderedPageBreak/>
              <w:t>WIPO Alternative Dispute Resolution (ADR) of Research and Development/Technology Transfer Disputes Procedural Guidance and Training.</w:t>
            </w:r>
          </w:p>
        </w:tc>
        <w:tc>
          <w:tcPr>
            <w:tcW w:w="2517"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Establishment and development of Technology and Innovation Support Centers (TISCs)</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Alternative Dispute Resolution (ADR) of R&amp;D/Technology Transfer Disputes: Recommended Contract Clauses and Submission Agreements </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Technical assistance in establishing IP management offices</w:t>
            </w:r>
          </w:p>
        </w:tc>
        <w:tc>
          <w:tcPr>
            <w:tcW w:w="2517" w:type="dxa"/>
          </w:tcPr>
          <w:p w:rsidR="004444D4" w:rsidRPr="0079293C" w:rsidRDefault="004444D4" w:rsidP="004444D4">
            <w:pPr>
              <w:rPr>
                <w:color w:val="000000"/>
                <w:szCs w:val="22"/>
              </w:rPr>
            </w:pPr>
            <w:r w:rsidRPr="0079293C">
              <w:rPr>
                <w:color w:val="000000"/>
                <w:szCs w:val="22"/>
              </w:rPr>
              <w:t>Technical assistance</w:t>
            </w:r>
          </w:p>
        </w:tc>
      </w:tr>
    </w:tbl>
    <w:p w:rsidR="004444D4" w:rsidRDefault="004444D4" w:rsidP="004444D4">
      <w:pPr>
        <w:rPr>
          <w:szCs w:val="22"/>
        </w:rPr>
      </w:pPr>
    </w:p>
    <w:p w:rsidR="0078346B" w:rsidRPr="0079293C" w:rsidRDefault="0078346B" w:rsidP="004444D4">
      <w:pPr>
        <w:rPr>
          <w:szCs w:val="22"/>
        </w:rPr>
      </w:pPr>
    </w:p>
    <w:p w:rsidR="004444D4" w:rsidRPr="0079293C" w:rsidRDefault="004444D4" w:rsidP="004444D4">
      <w:pPr>
        <w:pStyle w:val="Heading3"/>
      </w:pPr>
      <w:r w:rsidRPr="0079293C">
        <w:lastRenderedPageBreak/>
        <w:t>Development Agenda Projects</w:t>
      </w:r>
    </w:p>
    <w:tbl>
      <w:tblPr>
        <w:tblStyle w:val="TableGrid"/>
        <w:tblW w:w="9606" w:type="dxa"/>
        <w:tblLook w:val="04A0" w:firstRow="1" w:lastRow="0" w:firstColumn="1" w:lastColumn="0" w:noHBand="0" w:noVBand="1"/>
      </w:tblPr>
      <w:tblGrid>
        <w:gridCol w:w="9606"/>
      </w:tblGrid>
      <w:tr w:rsidR="004444D4" w:rsidRPr="0079293C" w:rsidTr="004444D4">
        <w:trPr>
          <w:cantSplit/>
        </w:trPr>
        <w:tc>
          <w:tcPr>
            <w:tcW w:w="9606"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606" w:type="dxa"/>
          </w:tcPr>
          <w:p w:rsidR="004444D4" w:rsidRPr="0079293C" w:rsidRDefault="004444D4" w:rsidP="004444D4">
            <w:pPr>
              <w:rPr>
                <w:szCs w:val="22"/>
              </w:rPr>
            </w:pPr>
            <w:r w:rsidRPr="0079293C">
              <w:rPr>
                <w:szCs w:val="22"/>
              </w:rPr>
              <w:t>IP, Information and Communication Technologies (ICTs), the Digital Divide and Access to Knowledge</w:t>
            </w:r>
          </w:p>
        </w:tc>
      </w:tr>
    </w:tbl>
    <w:p w:rsidR="004444D4" w:rsidRPr="0079293C" w:rsidRDefault="004444D4" w:rsidP="004444D4">
      <w:pPr>
        <w:rPr>
          <w:szCs w:val="22"/>
        </w:rPr>
      </w:pPr>
    </w:p>
    <w:p w:rsidR="004444D4" w:rsidRDefault="004444D4" w:rsidP="004444D4">
      <w:pPr>
        <w:pStyle w:val="Heading2"/>
        <w:rPr>
          <w:szCs w:val="22"/>
        </w:rPr>
      </w:pPr>
      <w:r>
        <w:rPr>
          <w:szCs w:val="22"/>
        </w:rPr>
        <w:t>Recommendation 28</w:t>
      </w:r>
    </w:p>
    <w:p w:rsidR="004444D4" w:rsidRPr="005B1F25" w:rsidRDefault="004444D4" w:rsidP="004444D4">
      <w:r>
        <w:t>“</w:t>
      </w:r>
      <w:r w:rsidRPr="005B1F25">
        <w:t>To explore s</w:t>
      </w:r>
      <w:r>
        <w:t>upportive intellectual property</w:t>
      </w:r>
      <w:r w:rsidRPr="005B1F25">
        <w:t>-related policies and measures Member States, especially developed countries, could adopt for promoting transfer and dissemination of technology to developing countries.</w:t>
      </w:r>
      <w:r>
        <w:t>”</w:t>
      </w:r>
    </w:p>
    <w:p w:rsidR="004444D4" w:rsidRPr="0079293C" w:rsidRDefault="004444D4" w:rsidP="004444D4">
      <w:pPr>
        <w:pStyle w:val="Heading3"/>
      </w:pPr>
      <w:r w:rsidRPr="0079293C">
        <w:t>Services and Activities</w:t>
      </w:r>
    </w:p>
    <w:tbl>
      <w:tblPr>
        <w:tblStyle w:val="TableGrid"/>
        <w:tblW w:w="0" w:type="auto"/>
        <w:tblLook w:val="04A0" w:firstRow="1" w:lastRow="0" w:firstColumn="1" w:lastColumn="0" w:noHBand="0" w:noVBand="1"/>
      </w:tblPr>
      <w:tblGrid>
        <w:gridCol w:w="7054"/>
        <w:gridCol w:w="2517"/>
      </w:tblGrid>
      <w:tr w:rsidR="004444D4" w:rsidRPr="0079293C" w:rsidTr="004444D4">
        <w:trPr>
          <w:cantSplit/>
        </w:trPr>
        <w:tc>
          <w:tcPr>
            <w:tcW w:w="7054" w:type="dxa"/>
          </w:tcPr>
          <w:p w:rsidR="004444D4" w:rsidRPr="0079293C" w:rsidRDefault="004444D4" w:rsidP="004444D4">
            <w:pPr>
              <w:rPr>
                <w:b/>
                <w:szCs w:val="22"/>
              </w:rPr>
            </w:pPr>
            <w:r w:rsidRPr="0079293C">
              <w:rPr>
                <w:b/>
                <w:szCs w:val="22"/>
              </w:rPr>
              <w:t>Title</w:t>
            </w:r>
          </w:p>
        </w:tc>
        <w:tc>
          <w:tcPr>
            <w:tcW w:w="2517" w:type="dxa"/>
          </w:tcPr>
          <w:p w:rsidR="004444D4" w:rsidRPr="0079293C" w:rsidRDefault="004444D4" w:rsidP="004444D4">
            <w:pPr>
              <w:rPr>
                <w:b/>
                <w:szCs w:val="22"/>
              </w:rPr>
            </w:pPr>
            <w:r w:rsidRPr="0079293C">
              <w:rPr>
                <w:b/>
                <w:szCs w:val="22"/>
              </w:rPr>
              <w:t>Type</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Long-term Fellowship in Japan, Philippines (2016)</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Long-term Fellowship in Japan, Thailand (2017)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 WTO Advanced Trade Policy Course for Policy Makers and Government Officials, Geneva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Distance Learning Course on Patent Information (DL-318) in English, French and Spanish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 WTO Colloquium for Teachers of IP, Switzerland (2014-2017) </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National Seminar on Patents and their Impact on Innovation, Paraguay (2016)</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WIPO-CEIPI Advanced Training Course on Intellectual Property, Transfer of Technology and Licensing</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“Strengthening national systems of innovation in developing countries, covering the entire technology cycle for climate technology” – UNFCCC TEC Workshop, Bonn, October 13 and 14, 2014</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w:t>
            </w:r>
            <w:proofErr w:type="spellStart"/>
            <w:r w:rsidRPr="0079293C">
              <w:rPr>
                <w:color w:val="000000"/>
                <w:szCs w:val="22"/>
              </w:rPr>
              <w:t>Subregional</w:t>
            </w:r>
            <w:proofErr w:type="spellEnd"/>
            <w:r w:rsidRPr="0079293C">
              <w:rPr>
                <w:color w:val="000000"/>
                <w:szCs w:val="22"/>
              </w:rPr>
              <w:t xml:space="preserve"> Seminar on International Technology Transfer and Open Innovation,  Katmandu, Nepal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(AUTM)</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lastRenderedPageBreak/>
              <w:t>WIPO Arbitration and Mediation Center Training and Workshops on Alternative Dispute Resolution of R&amp;D/Technology Transfer Disputes with the European Association of Research and Technology Organizations (EARTO)</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European Industrial Research Management Association (EIRMA)</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Workshop, Ecuador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Malaysia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Philippines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Sri Lanka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Thailand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Thailand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Workshop, Algeria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National Patent Drafting Workshop, Colombia (2015)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National Patent Drafting Workshop, Niger (2017)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Workshop, South Africa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National Patent Drafting Workshop, Tunisia (2017)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Drafting Training for Member and Observer States of the African Regional Intellectual Property Organization (ARIPO) 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Drafting Training for Member and Observer States of the African Regional Intellectual Property Organization (ARIPO)(2015)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Regional Patent Drafting Course for GCC Member States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Regional Patent Drafting Course for Member and Observer States of ARIPO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Sub-regional Patent Drafting Course, Jamaica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Sub-regional Patent Drafting Course, Jordan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WHO, WIPO, WTO Joint Symposium on Innovation and Access to Medical Technologies -Challenges and Opportunities for Middle-Income Countries, Switzerland (2015)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WHO, WIPO, WTO Joint Symposium on Public Health, Intellectual Property, and TRIPS at 20: Innovation and Access to Medicines; Learning from the Past, Illuminating the Future, Switzerland (2015)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 FIT Australia IP Valuation Workshop,  Jakarta, Indonesian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lastRenderedPageBreak/>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(AUTM); European Industrial Research Management Association (EIRMA); European Liaison Office of the German Research Organizations (KOWI); Licensing Executives Society (LES) (International and Benelux); The Horizon 2020 Model Consortium Agreement (DESCA), 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IP Management and Training Workshop for senior researchers and scientists from developing countries that are Members of WIPO </w:t>
            </w:r>
            <w:proofErr w:type="spellStart"/>
            <w:r w:rsidRPr="0079293C">
              <w:rPr>
                <w:color w:val="000000"/>
                <w:szCs w:val="22"/>
              </w:rPr>
              <w:t>Re:Search</w:t>
            </w:r>
            <w:proofErr w:type="spellEnd"/>
            <w:r w:rsidRPr="0079293C">
              <w:rPr>
                <w:color w:val="000000"/>
                <w:szCs w:val="22"/>
              </w:rPr>
              <w:t>, New York, United States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Patent Workshop on Practical Aspects of Patent Applications for the Industry University Researchers and Patent Agents, Paraguay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WIPO/OEPM - 2nd Regional Workshop for Training the Trainers on Patent Drafting, Uruguay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Workshop on Access to Technology for Innovation and Establishing a Technology and Innovation Support Center (TISC) Network in Indonesia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Malaysia (2016,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Philippines (2016,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Sri Lanka(2016,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Thailand (2016,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lastRenderedPageBreak/>
              <w:t>Creating an Enabling Intellectual Property Environment to Increase the Capacity for Innovation and Creativity: Inception Phase, Viet Nam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IP Marketing and Valuation (advanced STL course), Philippines (2015)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Malaysia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Philippines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Sri Lanka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Thailand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Thailand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Second Annual Multi-Stakeholder Forum on Science, Technology and Innovation for SDGs, New York, May 15 and 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Seminar on Patent Search, Mongolia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Training Seminar on Patent Search, Myanmar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Training Seminar on Patent Search, Thailand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Training of Trainers Workshop on Patent Database Searches and Development of Technology and Innovation Support Centers (TISCs), Sri Lanka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Regional Technology and Innovation Support Center (TISC) Project Study Visit for SAARC Countries, Philippines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Side Event on Policies and Evidence to Support Climate Change Technology Transfer and Innovation – UNFCCC Climate Change Conference, Bonn, June 8, 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WIPO/OEPM/AECID Regional Workshop for Training of Trainers on Patent Drafting,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Pakistan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the Islamic Republic of Iran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Patent Database Search Exercises, Philippines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Alternative Dispute Resolution (ADR) of Research and Development/Technology Transfer Disputes Procedural Guidance and Training.</w:t>
            </w:r>
          </w:p>
        </w:tc>
        <w:tc>
          <w:tcPr>
            <w:tcW w:w="2517"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Knowledge and Technology Transfer webpage </w:t>
            </w:r>
          </w:p>
        </w:tc>
        <w:tc>
          <w:tcPr>
            <w:tcW w:w="2517"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Establishment and development of Technology and Innovation Support Centers (TISCs)</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Enabling IP Environment</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Sri Lanka</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w:t>
            </w:r>
            <w:proofErr w:type="spellStart"/>
            <w:r w:rsidRPr="0079293C">
              <w:rPr>
                <w:color w:val="000000"/>
                <w:szCs w:val="22"/>
              </w:rPr>
              <w:t>Re:Search</w:t>
            </w:r>
            <w:proofErr w:type="spellEnd"/>
            <w:r w:rsidRPr="0079293C">
              <w:rPr>
                <w:color w:val="000000"/>
                <w:szCs w:val="22"/>
              </w:rPr>
              <w:t xml:space="preserve"> research collaborations on neglected tropical diseases, malaria and tuberculosis </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Inventor Assistance Program (IAP) </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lastRenderedPageBreak/>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Global Challenges Brief: Incentivizing the Adoption of Green Technology on a Global Scale</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Global Challenges Report: Innovation and Diffusion of Green Technologies: The Role of Intellectual Property and Other Enabling Factors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Global Challenges Report: Strategic Review of WIPO </w:t>
            </w:r>
            <w:proofErr w:type="spellStart"/>
            <w:r w:rsidRPr="0079293C">
              <w:rPr>
                <w:color w:val="000000"/>
                <w:szCs w:val="22"/>
              </w:rPr>
              <w:t>Re:Search</w:t>
            </w:r>
            <w:proofErr w:type="spellEnd"/>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Global Challenges Report: The Changing Landscape of Medical Innovation: How Have Business Models Responded?</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Global Challenges Report: Vaccines: Accelerating Innovation and Access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WHO, WIPO, WTO Joint Technical Symposium on Antimicrobial Resistance: How to Foster Innovation, Access and Appropriate Use of Antibiotics? Summary of the Key Issues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Alternative Dispute Resolution (ADR) of R&amp;D/Technology Transfer Disputes: Recommended Contract Clauses and Submission Agreements </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Green Case Study: Green Technology Diffusion: The Case of </w:t>
            </w:r>
            <w:proofErr w:type="spellStart"/>
            <w:r w:rsidRPr="0079293C">
              <w:rPr>
                <w:color w:val="000000"/>
                <w:szCs w:val="22"/>
              </w:rPr>
              <w:t>Arvivi</w:t>
            </w:r>
            <w:proofErr w:type="spellEnd"/>
            <w:r w:rsidRPr="0079293C">
              <w:rPr>
                <w:color w:val="000000"/>
                <w:szCs w:val="22"/>
              </w:rPr>
              <w:t xml:space="preserve"> Paraffin </w:t>
            </w:r>
            <w:proofErr w:type="spellStart"/>
            <w:r w:rsidRPr="0079293C">
              <w:rPr>
                <w:color w:val="000000"/>
                <w:szCs w:val="22"/>
              </w:rPr>
              <w:t>Cookstoves</w:t>
            </w:r>
            <w:proofErr w:type="spellEnd"/>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Green Case Study: Green Technology Diffusion: The Case of </w:t>
            </w:r>
            <w:proofErr w:type="spellStart"/>
            <w:r w:rsidRPr="0079293C">
              <w:rPr>
                <w:color w:val="000000"/>
                <w:szCs w:val="22"/>
              </w:rPr>
              <w:t>Ecosan</w:t>
            </w:r>
            <w:proofErr w:type="spellEnd"/>
            <w:r w:rsidRPr="0079293C">
              <w:rPr>
                <w:color w:val="000000"/>
                <w:szCs w:val="22"/>
              </w:rPr>
              <w:t xml:space="preserve"> Waterless Toilets </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GREEN Database</w:t>
            </w:r>
          </w:p>
        </w:tc>
        <w:tc>
          <w:tcPr>
            <w:tcW w:w="2517" w:type="dxa"/>
          </w:tcPr>
          <w:p w:rsidR="004444D4" w:rsidRPr="0079293C" w:rsidRDefault="004444D4" w:rsidP="004444D4">
            <w:pPr>
              <w:rPr>
                <w:color w:val="000000"/>
                <w:szCs w:val="22"/>
              </w:rPr>
            </w:pPr>
            <w:r w:rsidRPr="0079293C">
              <w:rPr>
                <w:color w:val="000000"/>
                <w:szCs w:val="22"/>
              </w:rPr>
              <w:t>Specialized resource</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Technical assistance in establishing IP management offices</w:t>
            </w:r>
          </w:p>
        </w:tc>
        <w:tc>
          <w:tcPr>
            <w:tcW w:w="2517"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Standing Committee on the Law of Patents (SCP): Items on "Transfer of Technology" have been on the agenda since the 14th session of the Standing Committee</w:t>
            </w:r>
          </w:p>
        </w:tc>
        <w:tc>
          <w:tcPr>
            <w:tcW w:w="2517" w:type="dxa"/>
          </w:tcPr>
          <w:p w:rsidR="004444D4" w:rsidRPr="0079293C" w:rsidRDefault="004444D4" w:rsidP="004444D4">
            <w:pPr>
              <w:rPr>
                <w:color w:val="000000"/>
                <w:szCs w:val="22"/>
              </w:rPr>
            </w:pPr>
            <w:r w:rsidRPr="0079293C">
              <w:rPr>
                <w:color w:val="000000"/>
                <w:szCs w:val="22"/>
              </w:rPr>
              <w:t>WIPO Committee</w:t>
            </w:r>
          </w:p>
        </w:tc>
      </w:tr>
    </w:tbl>
    <w:p w:rsidR="004444D4" w:rsidRDefault="004444D4" w:rsidP="004444D4">
      <w:pPr>
        <w:rPr>
          <w:szCs w:val="22"/>
        </w:rPr>
      </w:pPr>
    </w:p>
    <w:p w:rsidR="004444D4" w:rsidRPr="0079293C" w:rsidRDefault="004444D4" w:rsidP="004444D4">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Intellectual Property and Technology Transfer: Common Challenges – Building Solutions</w:t>
            </w:r>
          </w:p>
        </w:tc>
      </w:tr>
    </w:tbl>
    <w:p w:rsidR="004444D4" w:rsidRPr="0079293C" w:rsidRDefault="004444D4" w:rsidP="004444D4">
      <w:pPr>
        <w:rPr>
          <w:szCs w:val="22"/>
        </w:rPr>
      </w:pPr>
    </w:p>
    <w:p w:rsidR="004444D4" w:rsidRDefault="004444D4" w:rsidP="004444D4">
      <w:pPr>
        <w:pStyle w:val="Heading2"/>
        <w:rPr>
          <w:szCs w:val="22"/>
        </w:rPr>
      </w:pPr>
      <w:r>
        <w:rPr>
          <w:szCs w:val="22"/>
        </w:rPr>
        <w:t>Recommendation 29</w:t>
      </w:r>
    </w:p>
    <w:p w:rsidR="004444D4" w:rsidRPr="005B1F25" w:rsidRDefault="004444D4" w:rsidP="004444D4">
      <w:r>
        <w:t>“</w:t>
      </w:r>
      <w:r w:rsidRPr="005B1F25">
        <w:t>To include discussions on intellectual property -related technology transfer issues within the mandate of an appropriate WIPO body.</w:t>
      </w:r>
      <w:r>
        <w:t>”</w:t>
      </w:r>
    </w:p>
    <w:p w:rsidR="004444D4" w:rsidRPr="0079293C" w:rsidRDefault="004444D4" w:rsidP="004444D4">
      <w:pPr>
        <w:pStyle w:val="Heading3"/>
      </w:pPr>
      <w:r w:rsidRPr="0079293C">
        <w:t>Services and Activities</w:t>
      </w:r>
    </w:p>
    <w:tbl>
      <w:tblPr>
        <w:tblStyle w:val="TableGrid"/>
        <w:tblW w:w="0" w:type="auto"/>
        <w:tblLook w:val="04A0" w:firstRow="1" w:lastRow="0" w:firstColumn="1" w:lastColumn="0" w:noHBand="0" w:noVBand="1"/>
      </w:tblPr>
      <w:tblGrid>
        <w:gridCol w:w="7054"/>
        <w:gridCol w:w="2517"/>
      </w:tblGrid>
      <w:tr w:rsidR="004444D4" w:rsidRPr="0079293C" w:rsidTr="004444D4">
        <w:trPr>
          <w:cantSplit/>
        </w:trPr>
        <w:tc>
          <w:tcPr>
            <w:tcW w:w="7054" w:type="dxa"/>
            <w:vAlign w:val="center"/>
          </w:tcPr>
          <w:p w:rsidR="004444D4" w:rsidRPr="0079293C" w:rsidRDefault="004444D4" w:rsidP="004444D4">
            <w:pPr>
              <w:rPr>
                <w:b/>
                <w:szCs w:val="22"/>
              </w:rPr>
            </w:pPr>
            <w:r w:rsidRPr="0079293C">
              <w:rPr>
                <w:b/>
                <w:szCs w:val="22"/>
              </w:rPr>
              <w:t>Title</w:t>
            </w:r>
          </w:p>
        </w:tc>
        <w:tc>
          <w:tcPr>
            <w:tcW w:w="2517" w:type="dxa"/>
            <w:vAlign w:val="center"/>
          </w:tcPr>
          <w:p w:rsidR="004444D4" w:rsidRPr="0079293C" w:rsidRDefault="004444D4" w:rsidP="004444D4">
            <w:pPr>
              <w:rPr>
                <w:b/>
                <w:szCs w:val="22"/>
              </w:rPr>
            </w:pPr>
            <w:r w:rsidRPr="0079293C">
              <w:rPr>
                <w:b/>
                <w:szCs w:val="22"/>
              </w:rPr>
              <w:t>Type</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 WTO Advanced Trade Policy Course for Policy Makers and Government Officials, Geneva (2014-2017)</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Distance Learning Course on Patent Information (DL-318) in English, French and Spanish (2014-2017)</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Successful Technology Licensing (STL) course, Brazil</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lastRenderedPageBreak/>
              <w:t xml:space="preserve">Successful Technology Licensing (STL) course, Italy </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WIPO / WTO Colloquium for Teachers of IP, Switzerland (2014-2017) </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WIPO-CEIPI Advanced Training Course on Intellectual Property, Transfer of Technology and Licensing</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National Workshop on Technology Management for Universities, Brunei Darussalam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WIPO </w:t>
            </w:r>
            <w:proofErr w:type="spellStart"/>
            <w:r w:rsidRPr="0079293C">
              <w:rPr>
                <w:color w:val="000000"/>
                <w:szCs w:val="22"/>
              </w:rPr>
              <w:t>Subregional</w:t>
            </w:r>
            <w:proofErr w:type="spellEnd"/>
            <w:r w:rsidRPr="0079293C">
              <w:rPr>
                <w:color w:val="000000"/>
                <w:szCs w:val="22"/>
              </w:rPr>
              <w:t xml:space="preserve"> Workshop on IP Commercialization "Working Together" for Technology Transfer Offices in the Region, Belgrade, Serbia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Sub- regional Workshop for Technology Transfer Offices, Skopje, FYR Macedonia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National Workshop on "Working Together for Promoting Knowledge Transfer and IP Commercialization in Georgia",  Tbilisi, Georgia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Advanced Successful Technology Licensing, Vietnam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Bridging the Gap between the Universities and Industry, Joint Training Program for Universities and SMEs, Philippines, Malaysia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IP Valuation Course in the framework of UC Davis Licensing Academy in collaboration with PIPRA and UC Davis for technology managers, including from developing countries, UC Davis, United States of America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Licensing and IP Valuation, Iran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Roving Seminar on IP Valuation and Technology Transfer for Universities, Klaipeda and Kaunas, Lithuania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Sub – Regional IP Valuation Workshop, Sibiu, Romania (2015)</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Sub – regional Workshop on IP Commercialization "Working Together" for Technology Transfer Offices in the Region, Belgrade, Serbia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IP Marketing and Valuation (advanced STL course), Brazil (2015)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IP Marketing and Valuation (advanced STL course), Philippines (2015)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IP Marketing and Valuation (advanced STL course), Serbia (2015)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IP Marketing and Valuation, Training Program, Baltic States Project, Lithuania (2017)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IPR Asset Management Strategy, Baltic States Project, Estonia (2017)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Knowledge Transfer Round-Table for Delegation of Romanian Inventors, Switzerland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National Seminar for Technology and Innovation Support Centers (TISCs), Djibouti (2016)</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National Seminar for Technology and Innovation Support Centers (TISCs), Djibouti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lastRenderedPageBreak/>
              <w:t>National Seminar for Technology and Innovation Support Centers (TISCs), Mauritania (2016)</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National Training Program on IP Marketing and Valuation, Chile (2016)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Presentation on TISC Program, University of </w:t>
            </w:r>
            <w:proofErr w:type="spellStart"/>
            <w:r w:rsidRPr="0079293C">
              <w:rPr>
                <w:color w:val="000000"/>
                <w:szCs w:val="22"/>
              </w:rPr>
              <w:t>Tlemcen</w:t>
            </w:r>
            <w:proofErr w:type="spellEnd"/>
            <w:r w:rsidRPr="0079293C">
              <w:rPr>
                <w:color w:val="000000"/>
                <w:szCs w:val="22"/>
              </w:rPr>
              <w:t>, Algeria, (April 26,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Regional Conference on Results of the National TTO Project in Tunisia, Sharing Knowledge and Lessons Learned, Tunisia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Regional Meeting on the Development of an IP Policy and Strategy in the Universities and Research Institutions to Facilitate the Transfer of Technology to the Industrial Sector, Morocco (2016)</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Regional Workshop on the Outcome of WIPO Pilot Technology Transfer Offices (TTO) Project in Tunisia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Second Annual Multi-Stakeholder Forum on Science, Technology and Innovation for SDGs, New York, May 15 and 16,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Seminar on Technology and Innovation Support Centers (TISCs) and the Use of Patent Information, Algeria (2016)</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Seminar on the efficiency of TISC National Network, Mauritania (November 21 to 23,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Sub-Regional Meeting Creation and Management of Start-Ups, Serbia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TISC Seminar, Oran, Algeria (December 13 and 14,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Training workshop on TISC, Oman, (March 20 to 22,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Inter-Regional TTO Meeting "Working Together on Academic IP Commercialization in the Region", Czech Republic (2016)</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Regional Seminar on Basic Patent Analytics for Member States of the Eurasian Patent Organization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Workshop on Access to Technology for Innovation and Establishing a TISC Network, Oman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Workshop on Access to Technology for Innovation and on Establishing a Technology and Innovation Support Centers (TISCs) Network, Jordan (2016)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Workshop on TISCs Network for Selected Arab Countries, Jordan (2017)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Knowledge and Technology Transfer webpage </w:t>
            </w:r>
          </w:p>
        </w:tc>
        <w:tc>
          <w:tcPr>
            <w:tcW w:w="2517" w:type="dxa"/>
            <w:vAlign w:val="center"/>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Baltic States Pilot Project on Establishment of Regional Pool of Experts on Academic IP Commercialization</w:t>
            </w:r>
          </w:p>
        </w:tc>
        <w:tc>
          <w:tcPr>
            <w:tcW w:w="2517" w:type="dxa"/>
            <w:vAlign w:val="center"/>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Evaluation and Development of the Technology and Innovation Support Center (TISC) National Project in Egypt (2017)</w:t>
            </w:r>
          </w:p>
        </w:tc>
        <w:tc>
          <w:tcPr>
            <w:tcW w:w="2517" w:type="dxa"/>
            <w:vAlign w:val="center"/>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TISCs Clinic Services as Pilot Project in Morocco providing pro bono assistance to eligible inventors, Morocco (2015)</w:t>
            </w:r>
          </w:p>
        </w:tc>
        <w:tc>
          <w:tcPr>
            <w:tcW w:w="2517" w:type="dxa"/>
            <w:vAlign w:val="center"/>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Enabling IP Environment</w:t>
            </w:r>
          </w:p>
        </w:tc>
        <w:tc>
          <w:tcPr>
            <w:tcW w:w="2517" w:type="dxa"/>
            <w:vAlign w:val="center"/>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 FIT Australia Program on the Bridging the Gap between the Academic Institutions and Industry, Philippines (2017)</w:t>
            </w:r>
          </w:p>
        </w:tc>
        <w:tc>
          <w:tcPr>
            <w:tcW w:w="2517" w:type="dxa"/>
            <w:vAlign w:val="center"/>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Standing Committee on the Law of Patents (SCP): Items on "Transfer of Technology" have been on the agenda since the 14th session of the Standing Committee</w:t>
            </w:r>
          </w:p>
        </w:tc>
        <w:tc>
          <w:tcPr>
            <w:tcW w:w="2517" w:type="dxa"/>
            <w:vAlign w:val="center"/>
          </w:tcPr>
          <w:p w:rsidR="004444D4" w:rsidRPr="0079293C" w:rsidRDefault="004444D4" w:rsidP="004444D4">
            <w:pPr>
              <w:rPr>
                <w:color w:val="000000"/>
                <w:szCs w:val="22"/>
              </w:rPr>
            </w:pPr>
            <w:r w:rsidRPr="0079293C">
              <w:rPr>
                <w:color w:val="000000"/>
                <w:szCs w:val="22"/>
              </w:rPr>
              <w:t>WIPO Committee</w:t>
            </w:r>
          </w:p>
        </w:tc>
      </w:tr>
    </w:tbl>
    <w:p w:rsidR="004444D4" w:rsidRDefault="004444D4" w:rsidP="004444D4">
      <w:pPr>
        <w:rPr>
          <w:szCs w:val="22"/>
        </w:rPr>
      </w:pPr>
    </w:p>
    <w:p w:rsidR="00BD7C1B" w:rsidRPr="0079293C" w:rsidRDefault="00BD7C1B" w:rsidP="004444D4">
      <w:pPr>
        <w:rPr>
          <w:szCs w:val="22"/>
        </w:rPr>
      </w:pPr>
    </w:p>
    <w:p w:rsidR="004444D4" w:rsidRDefault="004444D4" w:rsidP="00BD7C1B">
      <w:pPr>
        <w:pStyle w:val="Heading2"/>
        <w:keepLines/>
        <w:rPr>
          <w:szCs w:val="22"/>
        </w:rPr>
      </w:pPr>
      <w:r>
        <w:rPr>
          <w:szCs w:val="22"/>
        </w:rPr>
        <w:lastRenderedPageBreak/>
        <w:t>Recommendation 30</w:t>
      </w:r>
    </w:p>
    <w:p w:rsidR="004444D4" w:rsidRPr="005B1F25" w:rsidRDefault="004444D4" w:rsidP="00BD7C1B">
      <w:pPr>
        <w:keepNext/>
        <w:keepLines/>
      </w:pPr>
      <w:r>
        <w:t>“WIPO should cooperate with other IGOs to provide to developing countries, including LDCs, upon request, advice on how to gain access to and make use of intellectual property-related information on technology, particularly in areas of special interest to the requesting parties.”</w:t>
      </w:r>
    </w:p>
    <w:p w:rsidR="004444D4" w:rsidRPr="0079293C" w:rsidRDefault="004444D4" w:rsidP="00BD7C1B">
      <w:pPr>
        <w:pStyle w:val="Heading3"/>
        <w:keepLines/>
      </w:pPr>
      <w:r w:rsidRPr="0079293C">
        <w:t>Services and Activities</w:t>
      </w:r>
    </w:p>
    <w:tbl>
      <w:tblPr>
        <w:tblStyle w:val="TableGrid"/>
        <w:tblW w:w="0" w:type="auto"/>
        <w:tblLook w:val="04A0" w:firstRow="1" w:lastRow="0" w:firstColumn="1" w:lastColumn="0" w:noHBand="0" w:noVBand="1"/>
      </w:tblPr>
      <w:tblGrid>
        <w:gridCol w:w="7054"/>
        <w:gridCol w:w="2517"/>
      </w:tblGrid>
      <w:tr w:rsidR="004444D4" w:rsidRPr="0079293C" w:rsidTr="004444D4">
        <w:trPr>
          <w:cantSplit/>
        </w:trPr>
        <w:tc>
          <w:tcPr>
            <w:tcW w:w="7054" w:type="dxa"/>
          </w:tcPr>
          <w:p w:rsidR="004444D4" w:rsidRPr="0079293C" w:rsidRDefault="004444D4" w:rsidP="00BD7C1B">
            <w:pPr>
              <w:keepNext/>
              <w:keepLines/>
              <w:rPr>
                <w:b/>
                <w:szCs w:val="22"/>
              </w:rPr>
            </w:pPr>
            <w:r w:rsidRPr="0079293C">
              <w:rPr>
                <w:b/>
                <w:szCs w:val="22"/>
              </w:rPr>
              <w:t>Title</w:t>
            </w:r>
          </w:p>
        </w:tc>
        <w:tc>
          <w:tcPr>
            <w:tcW w:w="2517" w:type="dxa"/>
          </w:tcPr>
          <w:p w:rsidR="004444D4" w:rsidRPr="0079293C" w:rsidRDefault="004444D4" w:rsidP="00BD7C1B">
            <w:pPr>
              <w:keepNext/>
              <w:keepLines/>
              <w:rPr>
                <w:b/>
                <w:szCs w:val="22"/>
              </w:rPr>
            </w:pPr>
            <w:r w:rsidRPr="0079293C">
              <w:rPr>
                <w:b/>
                <w:szCs w:val="22"/>
              </w:rPr>
              <w:t>Type</w:t>
            </w:r>
          </w:p>
        </w:tc>
      </w:tr>
      <w:tr w:rsidR="004444D4" w:rsidRPr="0079293C" w:rsidTr="004444D4">
        <w:trPr>
          <w:cantSplit/>
        </w:trPr>
        <w:tc>
          <w:tcPr>
            <w:tcW w:w="7054" w:type="dxa"/>
          </w:tcPr>
          <w:p w:rsidR="004444D4" w:rsidRPr="0079293C" w:rsidRDefault="004444D4" w:rsidP="00BD7C1B">
            <w:pPr>
              <w:keepNext/>
              <w:keepLines/>
              <w:rPr>
                <w:color w:val="000000"/>
                <w:szCs w:val="22"/>
              </w:rPr>
            </w:pPr>
            <w:r w:rsidRPr="0079293C">
              <w:rPr>
                <w:color w:val="000000"/>
                <w:szCs w:val="22"/>
              </w:rPr>
              <w:t>Long-term Fellowship in Japan, Philippines (2016)</w:t>
            </w:r>
          </w:p>
        </w:tc>
        <w:tc>
          <w:tcPr>
            <w:tcW w:w="2517" w:type="dxa"/>
          </w:tcPr>
          <w:p w:rsidR="004444D4" w:rsidRPr="0079293C" w:rsidRDefault="004444D4" w:rsidP="00BD7C1B">
            <w:pPr>
              <w:keepNext/>
              <w:keepLines/>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Long-term Fellowship in Japan, Thailand (2017)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Joint UNU-ITU-UNIDO-ECLAC-WIPO-UNEP Basel Convention Event on 1st Global E-waste Monitor and the Specific Situation in Latin America, during the Meetings of the Conferences of the Parties to the Basel, Rotterdam and Stockholm Conventions (BC COP12, RC COP7, SC COP7), Geneva, May 11, 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Side Event with IHP UNESCO at the World Water Week, Stockholm, August 31 to September 6,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w:t>
            </w:r>
            <w:proofErr w:type="spellStart"/>
            <w:r w:rsidRPr="0079293C">
              <w:rPr>
                <w:color w:val="000000"/>
                <w:szCs w:val="22"/>
              </w:rPr>
              <w:t>Subregional</w:t>
            </w:r>
            <w:proofErr w:type="spellEnd"/>
            <w:r w:rsidRPr="0079293C">
              <w:rPr>
                <w:color w:val="000000"/>
                <w:szCs w:val="22"/>
              </w:rPr>
              <w:t xml:space="preserve"> Seminar on International Technology Transfer and Open Innovation,  Katmandu, Nepal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Dominican Republic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Peru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Senegal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National Workshop on Technology Transfer, Valuation and Dispute Resolution for TISC Staff and R&amp;D Centers, Colombia (2016)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Drafting Training for Member and Observer States of the African Regional Intellectual Property Organization (ARIPO) 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Drafting Training for Member and Observer States of the African Regional Intellectual Property Organization (ARIPO)(2015)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Regional Patent Drafting Course for GCC Member States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Regional Patent Drafting Course for Member and Observer States of ARIPO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Training of Trainers’ Workshop on the Effective Use of Technical and Scientific Information, Nigeria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TISCs Seminar on the Access to Technical and Scientific Information, Training of Trainers and Official TISCs Launch, Djibouti (2016)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 FIT Australia IP Valuation Workshop,  Jakarta, Indonesian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WIPO/OEPM - 2nd Regional Workshop for Training the Trainers on Patent Drafting, Uruguay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WIPO/OEPM in collaboration with MIEM - 2nd Regional Workshop for Training the Trainers on Patent Drafting, Uruguay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Workshop on Access to Technology for Innovation and Establishing a Technology and Innovation Support Center (TISC) Network in Indonesia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Jamaica</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21st session of the Intergovernmental Council of the International Hydrological Program (IHP), UNESCO, Paris, June 18 to 20,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lastRenderedPageBreak/>
              <w:t>3rd International Conference on Water Resources and Environmental Management (ICWRE-2014), Antalya, May 13 to 15,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Malaysia (2016,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Philippines (2016,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Sri Lanka(2016,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Thailand (2016,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Viet Nam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IP Marketing and Valuation (advanced STL course), Philippines (2015)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Malaysia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Philippines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Sri Lanka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Thailand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Thailand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Argentina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Cameroon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Central African Republic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Cuba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Djibouti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Djibouti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Guatemala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Guinea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lastRenderedPageBreak/>
              <w:t>National Seminar for Technology and Innovation Support Centers (TISCs), Mali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Mauritania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Nicaragua,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Panama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Uzbekistan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Workshop on Innovation and Added Value based on Technological Information, and Competitive Intelligence for TISC Staff, Universities and R&amp;D centers,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Seminar on Technology and Innovation Support Centers (TISCs) and the Use of Patent Information, Algeria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Sub-Regional Intellectual Property Workshop for Young Innovators: From Idea to the Market Place, Botswana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Seminar on Patent Search, Mongolia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Training Seminar on Patent Search, Myanmar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Training Seminar on Patent Search, Thailand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Workshop on the Effective Use of Technical and Scientific Information, Malawi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Training of Trainers’ Workshop on the Effective Use of Technical and Scientific Information, Tanzania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Workshop on the Effectiveness of the National Network, Nigeria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Training of Trainers Workshop on Patent Database Searches and Development of Technology and Innovation Support Centers (TISCs), Sri Lanka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Training Workshop on Patent information, Search Strategies and Tech-Transfer for National TISC network, Guatemala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Brazil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South Africa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National Workshop on Basic Patent Analytics, Colombia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Regional Seminar on Basic Patent Analytics for Member States of the Eurasian Patent Organization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Regional Technology and Innovation Support Center (TISC) Project Study Visit for SAARC Countries, Philippines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WIPO/IDB IP Commercialization and Technology Transfer Cohort/Team Induction Program, Trinidad and Tobago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WIPO/OEPM/AECID Regional Workshop for Training of Trainers on Industrial Property: Drafting of Patent Applications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lastRenderedPageBreak/>
              <w:t>WIPO/OEPM/AECID Regional Workshop for Training of Trainers on Patent Drafting,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Armenia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Pakistan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the Islamic Republic of Iran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Workshop on Access to Technology for Innovation and Establishing a TISC Network, Oman (2017)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on Establishing a Technology and Innovation Support Center (TISC) Network in Belarus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on Establishing a Technology and Innovation Support Center (TISC) Network in the Kyrgyz Republic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on Establishing a Technology and Innovation Support Center (TISC) Network in the Republic of Azerbaijan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Workshop on Access to Technology for Innovation and on Establishing a Technology and Innovation Support Centers (TISCs) Network, Jordan (2016)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IP Strategies, Patent Information and Technological Solutions,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Patent Database Search Exercises, Philippines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Patent Search Strategies and Techniques and on Establishing Technology and Innovation Support Centers (TISCs) in Botswana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TISCs Network for Selected Arab Countries, Jordan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WIPO/IDB IP Commercialization and Technology Transfer Training Course, Barbados, Jamaica, Trinidad and Tobago (2016-2017)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WIPO/OEPM - Regional Workshop for Training the Trainers on Patent Drafting,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proofErr w:type="spellStart"/>
            <w:r w:rsidRPr="0079293C">
              <w:rPr>
                <w:color w:val="000000"/>
                <w:szCs w:val="22"/>
              </w:rPr>
              <w:t>eTISC</w:t>
            </w:r>
            <w:proofErr w:type="spellEnd"/>
            <w:r w:rsidRPr="0079293C">
              <w:rPr>
                <w:color w:val="000000"/>
                <w:szCs w:val="22"/>
              </w:rPr>
              <w:t xml:space="preserve"> knowledge management platform </w:t>
            </w:r>
          </w:p>
        </w:tc>
        <w:tc>
          <w:tcPr>
            <w:tcW w:w="2517"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Access to Research for Development and Innovation program (ARDI)</w:t>
            </w:r>
          </w:p>
          <w:p w:rsidR="004444D4" w:rsidRPr="0079293C" w:rsidRDefault="004444D4" w:rsidP="004444D4">
            <w:pPr>
              <w:rPr>
                <w:color w:val="000000"/>
                <w:szCs w:val="22"/>
              </w:rPr>
            </w:pPr>
            <w:r w:rsidRPr="0079293C">
              <w:rPr>
                <w:color w:val="000000"/>
                <w:szCs w:val="22"/>
              </w:rPr>
              <w:t>Provides free or low cost access to scientific and technical content for organizations in developing countries</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Access to Specialized Patent Information program (ASPI)</w:t>
            </w:r>
            <w:r w:rsidRPr="0079293C">
              <w:rPr>
                <w:color w:val="000000"/>
                <w:szCs w:val="22"/>
              </w:rPr>
              <w:br/>
              <w:t>Provides free or low cost access to commercial patent search and analysis tools for organizations in developing countries</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Establishment and development of Technology and Innovation Support Centers (TISCs)</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lastRenderedPageBreak/>
              <w:t>Enabling IP Environment</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Establishing Technology and Innovation Support Centers (TISCs) in Ugandan Universities, Uganda (2017)</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Sri Lanka</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Inventor Assistance Program (IAP) </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Guidelines for Preparing Patent Landscape Reports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Landscape Report on Animal Genetic Resources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Landscape Report on Assistive Devices and Technologies for Visually and Hearing Impaired Persons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Landscape Report on Microalgae-Related Technologies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Landscape Report on Palm Oil Production and Waste Treatment Technologies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Manual on Open Source Tools for Patent Analytics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Technical assistance in establishing IP management offices</w:t>
            </w:r>
          </w:p>
        </w:tc>
        <w:tc>
          <w:tcPr>
            <w:tcW w:w="2517" w:type="dxa"/>
          </w:tcPr>
          <w:p w:rsidR="004444D4" w:rsidRPr="0079293C" w:rsidRDefault="004444D4" w:rsidP="004444D4">
            <w:pPr>
              <w:rPr>
                <w:color w:val="000000"/>
                <w:szCs w:val="22"/>
              </w:rPr>
            </w:pPr>
            <w:r w:rsidRPr="0079293C">
              <w:rPr>
                <w:color w:val="000000"/>
                <w:szCs w:val="22"/>
              </w:rPr>
              <w:t>Technical assistance</w:t>
            </w:r>
          </w:p>
        </w:tc>
      </w:tr>
    </w:tbl>
    <w:p w:rsidR="004444D4" w:rsidRPr="0079293C" w:rsidRDefault="004444D4" w:rsidP="004444D4">
      <w:pPr>
        <w:rPr>
          <w:szCs w:val="22"/>
        </w:rPr>
      </w:pPr>
    </w:p>
    <w:p w:rsidR="004444D4" w:rsidRPr="0079293C" w:rsidRDefault="004444D4" w:rsidP="004444D4">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Developing Tools for Access to Patent information – Phase I</w:t>
            </w:r>
          </w:p>
        </w:tc>
      </w:tr>
      <w:tr w:rsidR="004444D4" w:rsidRPr="0079293C" w:rsidTr="004444D4">
        <w:trPr>
          <w:cantSplit/>
        </w:trPr>
        <w:tc>
          <w:tcPr>
            <w:tcW w:w="9571" w:type="dxa"/>
          </w:tcPr>
          <w:p w:rsidR="004444D4" w:rsidRPr="0079293C" w:rsidRDefault="004444D4" w:rsidP="004444D4">
            <w:pPr>
              <w:rPr>
                <w:szCs w:val="22"/>
              </w:rPr>
            </w:pPr>
            <w:r w:rsidRPr="0079293C">
              <w:rPr>
                <w:szCs w:val="22"/>
              </w:rPr>
              <w:t>Developing Tools for Access to Patent information – Phase II</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Capacity Building in the Use of Appropriate Technology-Specific Technical and Scientific Information as a Solution for Identified Development Challenges</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Capacity-Building in the Use of Appropriate Technology Specific Technical and Scientific Information as a Solution for Identified Development Challenges - Phase II</w:t>
            </w:r>
          </w:p>
        </w:tc>
      </w:tr>
    </w:tbl>
    <w:p w:rsidR="004444D4" w:rsidRPr="0079293C" w:rsidRDefault="004444D4" w:rsidP="004444D4">
      <w:pPr>
        <w:rPr>
          <w:szCs w:val="22"/>
        </w:rPr>
      </w:pPr>
    </w:p>
    <w:p w:rsidR="004444D4" w:rsidRDefault="004444D4" w:rsidP="004444D4">
      <w:pPr>
        <w:pStyle w:val="Heading2"/>
        <w:rPr>
          <w:szCs w:val="22"/>
        </w:rPr>
      </w:pPr>
      <w:r>
        <w:rPr>
          <w:szCs w:val="22"/>
        </w:rPr>
        <w:t>Recommendation 31</w:t>
      </w:r>
    </w:p>
    <w:p w:rsidR="004444D4" w:rsidRPr="005B1F25" w:rsidRDefault="004444D4" w:rsidP="004444D4">
      <w:r>
        <w:t>“To undertake initiatives agreed by Member States, which contribute to transfer of technology to developing countries, such as requesting WIPO to facilitate better access to publicly available patent information.”</w:t>
      </w:r>
    </w:p>
    <w:p w:rsidR="004444D4" w:rsidRPr="0079293C" w:rsidRDefault="004444D4" w:rsidP="004444D4">
      <w:pPr>
        <w:pStyle w:val="Heading3"/>
      </w:pPr>
      <w:r w:rsidRPr="0079293C">
        <w:t>Services and Activities</w:t>
      </w:r>
    </w:p>
    <w:tbl>
      <w:tblPr>
        <w:tblStyle w:val="TableGrid"/>
        <w:tblW w:w="0" w:type="auto"/>
        <w:tblLook w:val="04A0" w:firstRow="1" w:lastRow="0" w:firstColumn="1" w:lastColumn="0" w:noHBand="0" w:noVBand="1"/>
      </w:tblPr>
      <w:tblGrid>
        <w:gridCol w:w="7051"/>
        <w:gridCol w:w="2520"/>
      </w:tblGrid>
      <w:tr w:rsidR="004444D4" w:rsidRPr="0079293C" w:rsidTr="004444D4">
        <w:trPr>
          <w:cantSplit/>
        </w:trPr>
        <w:tc>
          <w:tcPr>
            <w:tcW w:w="7051" w:type="dxa"/>
          </w:tcPr>
          <w:p w:rsidR="004444D4" w:rsidRPr="0079293C" w:rsidRDefault="004444D4" w:rsidP="004444D4">
            <w:pPr>
              <w:rPr>
                <w:b/>
                <w:szCs w:val="22"/>
              </w:rPr>
            </w:pPr>
            <w:r w:rsidRPr="0079293C">
              <w:rPr>
                <w:b/>
                <w:szCs w:val="22"/>
              </w:rPr>
              <w:t>Title</w:t>
            </w:r>
          </w:p>
        </w:tc>
        <w:tc>
          <w:tcPr>
            <w:tcW w:w="2520" w:type="dxa"/>
          </w:tcPr>
          <w:p w:rsidR="004444D4" w:rsidRPr="0079293C" w:rsidRDefault="004444D4" w:rsidP="004444D4">
            <w:pPr>
              <w:rPr>
                <w:b/>
                <w:szCs w:val="22"/>
              </w:rPr>
            </w:pPr>
            <w:r w:rsidRPr="0079293C">
              <w:rPr>
                <w:b/>
                <w:szCs w:val="22"/>
              </w:rPr>
              <w:t>Type</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Long-term Fellowship in Japan, Philippines (2016)</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Long-term Fellowship in Japan, Thailand (2017)</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 WTO Advanced Trade Policy Course for Policy Makers and Government Officials, Geneva (2014-2017)</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Distance Learning Course on Patent Information (DL-318) in English, French and Spanish (2014-2017)</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WIPO / WTO Colloquium for Teachers of IP, Switzerland (2014-2017) </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National Seminar on Patents and their Impact on Innovation, Paraguay (2016)</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lastRenderedPageBreak/>
              <w:t>WIPO-CEIPI Advanced Training Course on Intellectual Property, Transfer of Technology and Licensing</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Distance Learning Course on Basics of Patent Drafting (DL-320) in Arabic, Chinese, English, French, Portuguese, Russian and Spanish (2014-2017)</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Joint UNU-ITU-UNIDO-ECLAC-WIPO-UNEP Basel Convention Event on 1st Global E-waste Monitor and the Specific Situation in Latin America, during the Meetings of the Conferences of the Parties to the Basel, Rotterdam and Stockholm Conventions (BC COP12, RC COP7, SC COP7), Geneva, May 11, 2015</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Side Event with IHP UNESCO at the World Water Week, Stockholm, August 31 to September 6, 2014</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WIPO/IRENA Side Event on Renewable Energy Technologies: Technology Trends, Patents and Policy Implications – UNFCCC Bonn Climate Change Conference, June 13, 2014</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Dominican Republic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Peru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Senegal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National Workshop on Technology Transfer, Valuation and Dispute Resolution for TISC Staff and R&amp;D Centers, Colombia (2016)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Training of Trainers’ Workshop on the Effective Use of Technical and Scientific Information, Nigeria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TISCs Seminar on the Access to Technical and Scientific Information, Training of Trainers and Official TISCs Launch, Djibouti (2016)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 FIT Australia IP Valuation Workshop,  Jakarta, Indonesian (2014)</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 FIT Australia Program on IP Marketing and Valuation, Jakarta, Indonesia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participation in IRENA Side event on IRENA’s Interactive Web Tool on International Standards and Patents in Renewable Energy – UNFCCC Climate Change Conference, Bonn, June 5, 2015</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WIPO </w:t>
            </w:r>
            <w:proofErr w:type="spellStart"/>
            <w:r w:rsidRPr="0079293C">
              <w:rPr>
                <w:color w:val="000000"/>
                <w:szCs w:val="22"/>
              </w:rPr>
              <w:t>Subregional</w:t>
            </w:r>
            <w:proofErr w:type="spellEnd"/>
            <w:r w:rsidRPr="0079293C">
              <w:rPr>
                <w:color w:val="000000"/>
                <w:szCs w:val="22"/>
              </w:rPr>
              <w:t xml:space="preserve"> Seminar on International Technology Transfer and Open Innovation,  Katmandu, Nepal (2014)</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Sub-regional Workshop on WIPO Pilot Project for Universities and Research Centers in Central American Countries, Panama Knowledge City, Panama (2015)</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Workshop on Access to Technology for Innovation and Establishing a Technology and Innovation Support Center (TISC) Network in Indonesia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Jamaica</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21st session of the Intergovernmental Council of the International Hydrological Program (IHP), UNESCO, Paris, June 18 to 20, 2014</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3rd International Conference on Water Resources and Environmental Management (ICWRE-2014), Antalya, May 13 to 15, 2014</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4th Regional Workshop on Industrial Property and Technology Transfer, El Salvador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lastRenderedPageBreak/>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Malaysia (2016,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Philippines (2016,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Sri Lanka(2016,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Thailand (2016,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Viet Nam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IP Marketing and Valuation (advanced STL course), Brazil (2015)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IP Marketing and Valuation (advanced STL course), Philippines (2015)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IP Marketing and Valuation (advanced STL course), Serbia (2015)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IP Marketing and Valuation, Training Program, Baltic States Project, Lithuania (2017)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IPR Asset Management Strategy, Baltic States Project, Estonia (2017)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Malaysia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Philippines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Sri Lanka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Thailand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Thailand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Argentina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Cameroon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Central African Republic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Cuba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Djibouti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Djibouti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lastRenderedPageBreak/>
              <w:t>National Seminar for Technology and Innovation Support Centers (TISCs), Guatemala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Guinea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Mali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Mauritania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Nicaragua,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Panama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Uzbekistan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on IP and Innovations, Uzbekistan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National Training Program on IP Marketing and Valuation, Chile (2016)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Workshop on Innovation and Added Value based on Technological Information, and Competitive Intelligence for TISC Staff, Universities and R&amp;D centers, Colombia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Workshop on Technology Transfer Agreements, Mexico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Seminar on IP and Public Policies for Innovation and Technology Transfer, Peru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Seminar on Technology and Innovation Support Centers (TISCs) and the Use of Patent Information, Algeria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Sub-Regional Intellectual Property Workshop for Young Innovators: From Idea to the Market Place, Botswana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Sub-regional Seminar on IP and Technology Transfer, Costa Rica (2017)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Sub-regional Workshop on the Use of IP Tools related to Technology Transfer, Costa Rica (2017)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Seminar on Patent Search, Mongolia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Training Seminar on Patent Search, Myanmar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Training Seminar on Patent Search, Thailand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Workshop on the Effective Use of Technical and Scientific Information, Malawi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Training of Trainers’ Workshop on the Effective Use of Technical and Scientific Information, Tanzania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Workshop on the Effectiveness of the National Network, Nigeria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Training of Trainers Workshop on Patent Database Searches and Development of Technology and Innovation Support Centers (TISCs), Sri Lanka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Training Workshop on Patent information, Search Strategies and Tech-Transfer for National TISC network, Guatemala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lastRenderedPageBreak/>
              <w:t>WIPO National Workshop on Basic Patent Analytics Using the Guidelines for Preparing Patent Landscape Reports and the Manual on Free and Open Source Tools for Patent Analytics, Brazil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South Africa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South Africa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National Workshop on Basic Patent Analytics, Colombia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Patent Workshop on Practical Aspects of Patent Applications for the Industry, University Researchers and Patent Agents, Paraguay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Regional Seminar on Basic Patent Analytics for Member States of the Eurasian Patent Organization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Regional Technology and Innovation Support Center (TISC) Project Study Visit for SAARC Countries, Philippines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WIPO/IDB IP Commercialization and Technology Transfer Cohort/Team Induction Program, Trinidad and Tobago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Armenia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Pakistan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the Islamic Republic of Iran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Workshop on Access to Technology for Innovation and Establishing a TISC Network, Oman (2017)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on Establishing a Technology and Innovation Support Center (TISC) Network in Belarus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on Establishing a Technology and Innovation Support Center (TISC) Network in the Kyrgyz Republic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on Establishing a Technology and Innovation Support Center (TISC) Network in the Republic of Azerbaijan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Workshop on Access to Technology for Innovation and on Establishing a Technology and Innovation Support Centers (TISCs) Network, Jordan (2016)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IP Strategies, Patent Information and Technological Solutions, Colombia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Patent Database Search Exercises, Philippines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Patent Search Strategies and Techniques and on Establishing Technology and Innovation Support Centers (TISCs) in Botswana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Technology Transfer, Chile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the Use of Tools for Technology Transfer, Peru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TISCs Network for Selected Arab Countries, Jordan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lastRenderedPageBreak/>
              <w:t>WIPO/IDB IP Commercialization and Technology Transfer Training Course, Barbados, Jamaica, Trinidad and Tobago (2016-2017)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proofErr w:type="spellStart"/>
            <w:r w:rsidRPr="0079293C">
              <w:rPr>
                <w:color w:val="000000"/>
                <w:szCs w:val="22"/>
              </w:rPr>
              <w:t>eTISC</w:t>
            </w:r>
            <w:proofErr w:type="spellEnd"/>
            <w:r w:rsidRPr="0079293C">
              <w:rPr>
                <w:color w:val="000000"/>
                <w:szCs w:val="22"/>
              </w:rPr>
              <w:t xml:space="preserve"> knowledge management platform </w:t>
            </w:r>
          </w:p>
        </w:tc>
        <w:tc>
          <w:tcPr>
            <w:tcW w:w="2520"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Access to Research for Development and Innovation program (ARDI)</w:t>
            </w:r>
          </w:p>
        </w:tc>
        <w:tc>
          <w:tcPr>
            <w:tcW w:w="2520"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Access to Specialized Patent Information program (ASPI)</w:t>
            </w:r>
          </w:p>
        </w:tc>
        <w:tc>
          <w:tcPr>
            <w:tcW w:w="2520"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Baltic States Pilot Project on Establishment of Regional Pool of Experts on Academic IP Commercialization</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Establishment and development of Technology and Innovation Support Centers (TISCs)</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IP Commercialization Coaching Session for TTOs in Tunisia, National TTO-Pilot Project, Tunisia (2017)</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Pilot Project for the "Establishment of TTOs in Tunisia" (2015)</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Enabling IP Environment</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Establishing Technology and Innovation Support Centers (TISCs) in Ugandan Universities, Uganda (2017)</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Cameroon</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Sri Lanka</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Project to support Member States to integrate IP and knowledge transfer considerations into their IP Strategies, Trinidad and Tobago </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GREEN regional matchmaking projects Focus on specific fields of technology</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Inventor Assistance Program (IAP) </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Global Challenges Brief: The Acceleration of Climate Change and Mitigation Technologies: Intellectual Property Trends in the Renewable Energy Landscape</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Renewable Energy Technology: Evolution and Policy Implications - Evidence from Patent Literature</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Guidelines for Preparing Patent Landscape Reports</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Patent Landscape Report on Animal Genetic Resources</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Patent Landscape Report on Assistive Devices and Technologies for Visually and Hearing Impaired Persons</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Patent Landscape Report on Microalgae-Related Technologies</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Patent Landscape Report on Palm Oil Production and Waste Treatment Technologies</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Manual on Open Source Tools for Patent Analytics</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GREEN Database</w:t>
            </w:r>
          </w:p>
        </w:tc>
        <w:tc>
          <w:tcPr>
            <w:tcW w:w="2520" w:type="dxa"/>
          </w:tcPr>
          <w:p w:rsidR="004444D4" w:rsidRPr="0079293C" w:rsidRDefault="004444D4" w:rsidP="004444D4">
            <w:pPr>
              <w:rPr>
                <w:color w:val="000000"/>
                <w:szCs w:val="22"/>
              </w:rPr>
            </w:pPr>
            <w:r w:rsidRPr="0079293C">
              <w:rPr>
                <w:color w:val="000000"/>
                <w:szCs w:val="22"/>
              </w:rPr>
              <w:t>Specialized resource</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Technical assistance in establishing IP management offices</w:t>
            </w:r>
          </w:p>
        </w:tc>
        <w:tc>
          <w:tcPr>
            <w:tcW w:w="2520" w:type="dxa"/>
          </w:tcPr>
          <w:p w:rsidR="004444D4" w:rsidRPr="0079293C" w:rsidRDefault="004444D4" w:rsidP="004444D4">
            <w:pPr>
              <w:rPr>
                <w:color w:val="000000"/>
                <w:szCs w:val="22"/>
              </w:rPr>
            </w:pPr>
            <w:r w:rsidRPr="0079293C">
              <w:rPr>
                <w:color w:val="000000"/>
                <w:szCs w:val="22"/>
              </w:rPr>
              <w:t>Technical assistance</w:t>
            </w:r>
          </w:p>
        </w:tc>
      </w:tr>
    </w:tbl>
    <w:p w:rsidR="004444D4" w:rsidRPr="0079293C" w:rsidRDefault="004444D4" w:rsidP="004444D4">
      <w:pPr>
        <w:rPr>
          <w:szCs w:val="22"/>
        </w:rPr>
      </w:pPr>
    </w:p>
    <w:p w:rsidR="004444D4" w:rsidRPr="0079293C" w:rsidRDefault="004444D4" w:rsidP="004444D4">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Developing Tools for Access to Patent information – Phase I</w:t>
            </w:r>
          </w:p>
        </w:tc>
      </w:tr>
      <w:tr w:rsidR="004444D4" w:rsidRPr="0079293C" w:rsidTr="004444D4">
        <w:trPr>
          <w:cantSplit/>
        </w:trPr>
        <w:tc>
          <w:tcPr>
            <w:tcW w:w="9571" w:type="dxa"/>
          </w:tcPr>
          <w:p w:rsidR="004444D4" w:rsidRPr="0079293C" w:rsidRDefault="004444D4" w:rsidP="004444D4">
            <w:pPr>
              <w:rPr>
                <w:szCs w:val="22"/>
              </w:rPr>
            </w:pPr>
            <w:r w:rsidRPr="0079293C">
              <w:rPr>
                <w:szCs w:val="22"/>
              </w:rPr>
              <w:t>Developing Tools for Access to Patent information – Phase II</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Capacity Building in the Use of Appropriate Technology-Specific Technical and Scientific Information as a Solution for Identified Development Challenges</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Capacity-Building in the Use of Appropriate Technology Specific Technical and Scientific Information as a Solution for Identified Development Challenges - Phase II</w:t>
            </w:r>
          </w:p>
        </w:tc>
      </w:tr>
    </w:tbl>
    <w:p w:rsidR="004444D4" w:rsidRDefault="004444D4" w:rsidP="004444D4">
      <w:pPr>
        <w:rPr>
          <w:szCs w:val="22"/>
        </w:rPr>
      </w:pPr>
    </w:p>
    <w:p w:rsidR="00BD7C1B" w:rsidRPr="0079293C" w:rsidRDefault="00BD7C1B" w:rsidP="004444D4">
      <w:pPr>
        <w:rPr>
          <w:szCs w:val="22"/>
        </w:rPr>
      </w:pPr>
    </w:p>
    <w:p w:rsidR="004444D4" w:rsidRDefault="004444D4" w:rsidP="004444D4">
      <w:pPr>
        <w:pStyle w:val="Heading2"/>
        <w:rPr>
          <w:szCs w:val="22"/>
        </w:rPr>
      </w:pPr>
      <w:r>
        <w:rPr>
          <w:szCs w:val="22"/>
        </w:rPr>
        <w:lastRenderedPageBreak/>
        <w:t>Recommendation 32</w:t>
      </w:r>
    </w:p>
    <w:p w:rsidR="004444D4" w:rsidRPr="005B1F25" w:rsidRDefault="004444D4" w:rsidP="004444D4">
      <w:proofErr w:type="gramStart"/>
      <w:r>
        <w:t>“To have within WIPO opportunity for exchange of national and regional experiences and information on the links between IPRs and competition policies.”</w:t>
      </w:r>
      <w:proofErr w:type="gramEnd"/>
    </w:p>
    <w:p w:rsidR="004444D4" w:rsidRPr="0079293C" w:rsidRDefault="004444D4" w:rsidP="004444D4">
      <w:pPr>
        <w:pStyle w:val="Heading3"/>
      </w:pPr>
      <w:r w:rsidRPr="0079293C">
        <w:t>Services and Activities</w:t>
      </w:r>
    </w:p>
    <w:tbl>
      <w:tblPr>
        <w:tblStyle w:val="TableGrid"/>
        <w:tblW w:w="0" w:type="auto"/>
        <w:tblLook w:val="04A0" w:firstRow="1" w:lastRow="0" w:firstColumn="1" w:lastColumn="0" w:noHBand="0" w:noVBand="1"/>
      </w:tblPr>
      <w:tblGrid>
        <w:gridCol w:w="7051"/>
        <w:gridCol w:w="2520"/>
      </w:tblGrid>
      <w:tr w:rsidR="004444D4" w:rsidRPr="0079293C" w:rsidTr="004444D4">
        <w:trPr>
          <w:cantSplit/>
        </w:trPr>
        <w:tc>
          <w:tcPr>
            <w:tcW w:w="7051" w:type="dxa"/>
          </w:tcPr>
          <w:p w:rsidR="004444D4" w:rsidRPr="0079293C" w:rsidRDefault="004444D4" w:rsidP="004444D4">
            <w:pPr>
              <w:rPr>
                <w:b/>
                <w:szCs w:val="22"/>
              </w:rPr>
            </w:pPr>
            <w:r w:rsidRPr="0079293C">
              <w:rPr>
                <w:b/>
                <w:szCs w:val="22"/>
              </w:rPr>
              <w:t>Title</w:t>
            </w:r>
          </w:p>
        </w:tc>
        <w:tc>
          <w:tcPr>
            <w:tcW w:w="2520" w:type="dxa"/>
          </w:tcPr>
          <w:p w:rsidR="004444D4" w:rsidRPr="0079293C" w:rsidRDefault="004444D4" w:rsidP="004444D4">
            <w:pPr>
              <w:rPr>
                <w:b/>
                <w:szCs w:val="22"/>
              </w:rPr>
            </w:pPr>
            <w:r w:rsidRPr="0079293C">
              <w:rPr>
                <w:b/>
                <w:szCs w:val="22"/>
              </w:rPr>
              <w:t>Type</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Uzbekistan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Successful Technology Transfer (STL) Guide (WIPO publication 903 E -reviewed and new addition issued in 2015 with new Chapter V on Understanding Certain Antitrust Concerns Related to Technology Licensing </w:t>
            </w:r>
          </w:p>
        </w:tc>
        <w:tc>
          <w:tcPr>
            <w:tcW w:w="2520" w:type="dxa"/>
          </w:tcPr>
          <w:p w:rsidR="004444D4" w:rsidRPr="0079293C" w:rsidRDefault="004444D4" w:rsidP="004444D4">
            <w:pPr>
              <w:rPr>
                <w:color w:val="000000"/>
                <w:szCs w:val="22"/>
              </w:rPr>
            </w:pPr>
            <w:r w:rsidRPr="0079293C">
              <w:rPr>
                <w:color w:val="000000"/>
                <w:szCs w:val="22"/>
              </w:rPr>
              <w:t>Publication</w:t>
            </w:r>
          </w:p>
        </w:tc>
      </w:tr>
    </w:tbl>
    <w:p w:rsidR="004444D4" w:rsidRPr="0079293C" w:rsidRDefault="004444D4" w:rsidP="004444D4">
      <w:pPr>
        <w:rPr>
          <w:szCs w:val="22"/>
        </w:rPr>
      </w:pPr>
    </w:p>
    <w:p w:rsidR="004444D4" w:rsidRPr="0079293C" w:rsidRDefault="004444D4" w:rsidP="004444D4">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Enhancing South-South Cooperation on IP and Development Among Developing Countries and Least Developed Countries</w:t>
            </w:r>
          </w:p>
        </w:tc>
      </w:tr>
      <w:tr w:rsidR="004444D4" w:rsidRPr="0079293C" w:rsidTr="004444D4">
        <w:trPr>
          <w:cantSplit/>
        </w:trPr>
        <w:tc>
          <w:tcPr>
            <w:tcW w:w="9571" w:type="dxa"/>
          </w:tcPr>
          <w:p w:rsidR="004444D4" w:rsidRPr="0079293C" w:rsidRDefault="004444D4" w:rsidP="004444D4">
            <w:pPr>
              <w:rPr>
                <w:szCs w:val="22"/>
              </w:rPr>
            </w:pPr>
            <w:r w:rsidRPr="0079293C">
              <w:rPr>
                <w:szCs w:val="22"/>
              </w:rPr>
              <w:t>IP and Competition Policy</w:t>
            </w:r>
          </w:p>
        </w:tc>
      </w:tr>
    </w:tbl>
    <w:p w:rsidR="004444D4" w:rsidRPr="0079293C" w:rsidRDefault="004444D4" w:rsidP="004444D4">
      <w:pPr>
        <w:rPr>
          <w:szCs w:val="22"/>
        </w:rPr>
      </w:pPr>
    </w:p>
    <w:p w:rsidR="002928D3" w:rsidRDefault="002928D3" w:rsidP="009D123C"/>
    <w:p w:rsidR="004265F8" w:rsidRDefault="004265F8" w:rsidP="009D123C"/>
    <w:p w:rsidR="004265F8" w:rsidRDefault="000A2763" w:rsidP="004265F8">
      <w:pPr>
        <w:pStyle w:val="Endofdocument-Annex"/>
      </w:pPr>
      <w:r>
        <w:t>[End of Appendi</w:t>
      </w:r>
      <w:r w:rsidR="004265F8">
        <w:t>x and of document]</w:t>
      </w:r>
    </w:p>
    <w:sectPr w:rsidR="004265F8" w:rsidSect="00F03DDC">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E1" w:rsidRDefault="00EC07E1">
      <w:r>
        <w:separator/>
      </w:r>
    </w:p>
  </w:endnote>
  <w:endnote w:type="continuationSeparator" w:id="0">
    <w:p w:rsidR="00EC07E1" w:rsidRDefault="00EC07E1" w:rsidP="003B38C1">
      <w:r>
        <w:separator/>
      </w:r>
    </w:p>
    <w:p w:rsidR="00EC07E1" w:rsidRPr="003B38C1" w:rsidRDefault="00EC07E1" w:rsidP="003B38C1">
      <w:pPr>
        <w:spacing w:after="60"/>
        <w:rPr>
          <w:sz w:val="17"/>
        </w:rPr>
      </w:pPr>
      <w:r>
        <w:rPr>
          <w:sz w:val="17"/>
        </w:rPr>
        <w:t>[Endnote continued from previous page]</w:t>
      </w:r>
    </w:p>
  </w:endnote>
  <w:endnote w:type="continuationNotice" w:id="1">
    <w:p w:rsidR="00EC07E1" w:rsidRPr="003B38C1" w:rsidRDefault="00EC07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E5" w:rsidRDefault="00DC2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E5" w:rsidRDefault="00DC2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E1" w:rsidRDefault="00EC07E1">
      <w:r>
        <w:separator/>
      </w:r>
    </w:p>
  </w:footnote>
  <w:footnote w:type="continuationSeparator" w:id="0">
    <w:p w:rsidR="00EC07E1" w:rsidRDefault="00EC07E1" w:rsidP="008B60B2">
      <w:r>
        <w:separator/>
      </w:r>
    </w:p>
    <w:p w:rsidR="00EC07E1" w:rsidRPr="00ED77FB" w:rsidRDefault="00EC07E1" w:rsidP="008B60B2">
      <w:pPr>
        <w:spacing w:after="60"/>
        <w:rPr>
          <w:sz w:val="17"/>
          <w:szCs w:val="17"/>
        </w:rPr>
      </w:pPr>
      <w:r w:rsidRPr="00ED77FB">
        <w:rPr>
          <w:sz w:val="17"/>
          <w:szCs w:val="17"/>
        </w:rPr>
        <w:t>[Footnote continued from previous page]</w:t>
      </w:r>
    </w:p>
  </w:footnote>
  <w:footnote w:type="continuationNotice" w:id="1">
    <w:p w:rsidR="00EC07E1" w:rsidRPr="00ED77FB" w:rsidRDefault="00EC07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E5" w:rsidRDefault="00DC2FE5" w:rsidP="00477D6B">
    <w:pPr>
      <w:jc w:val="right"/>
    </w:pPr>
    <w:bookmarkStart w:id="6" w:name="Code2"/>
    <w:bookmarkEnd w:id="6"/>
    <w:r>
      <w:t>CDIP/21/5</w:t>
    </w:r>
  </w:p>
  <w:p w:rsidR="00DC2FE5" w:rsidRDefault="00DC2FE5" w:rsidP="00477D6B">
    <w:pPr>
      <w:jc w:val="right"/>
    </w:pPr>
    <w:proofErr w:type="gramStart"/>
    <w:r>
      <w:t>page</w:t>
    </w:r>
    <w:proofErr w:type="gramEnd"/>
    <w:r>
      <w:t xml:space="preserve"> </w:t>
    </w:r>
    <w:r>
      <w:fldChar w:fldCharType="begin"/>
    </w:r>
    <w:r>
      <w:instrText xml:space="preserve"> PAGE  \* MERGEFORMAT </w:instrText>
    </w:r>
    <w:r>
      <w:fldChar w:fldCharType="separate"/>
    </w:r>
    <w:r w:rsidR="00D45E1B">
      <w:rPr>
        <w:noProof/>
      </w:rPr>
      <w:t>2</w:t>
    </w:r>
    <w:r>
      <w:fldChar w:fldCharType="end"/>
    </w:r>
  </w:p>
  <w:p w:rsidR="00DC2FE5" w:rsidRDefault="00DC2FE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E5" w:rsidRDefault="00DC2FE5" w:rsidP="00477D6B">
    <w:pPr>
      <w:jc w:val="right"/>
    </w:pPr>
    <w:r>
      <w:t>CDIP/21/5</w:t>
    </w:r>
  </w:p>
  <w:p w:rsidR="00DC2FE5" w:rsidRDefault="00DC2FE5" w:rsidP="00477D6B">
    <w:pPr>
      <w:jc w:val="right"/>
    </w:pPr>
    <w:r>
      <w:t xml:space="preserve">Annex, page </w:t>
    </w:r>
    <w:r>
      <w:fldChar w:fldCharType="begin"/>
    </w:r>
    <w:r>
      <w:instrText xml:space="preserve"> PAGE  \* MERGEFORMAT </w:instrText>
    </w:r>
    <w:r>
      <w:fldChar w:fldCharType="separate"/>
    </w:r>
    <w:r w:rsidR="00D45E1B">
      <w:rPr>
        <w:noProof/>
      </w:rPr>
      <w:t>2</w:t>
    </w:r>
    <w:r>
      <w:fldChar w:fldCharType="end"/>
    </w:r>
  </w:p>
  <w:p w:rsidR="00DC2FE5" w:rsidRDefault="00DC2FE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E5" w:rsidRDefault="00DC2FE5" w:rsidP="00F03DDC">
    <w:pPr>
      <w:pStyle w:val="Header"/>
      <w:jc w:val="right"/>
    </w:pPr>
    <w:r>
      <w:t>CDIP/21/5</w:t>
    </w:r>
  </w:p>
  <w:p w:rsidR="00DC2FE5" w:rsidRDefault="00DC2FE5" w:rsidP="00F03DDC">
    <w:pPr>
      <w:pStyle w:val="Header"/>
      <w:jc w:val="right"/>
    </w:pPr>
    <w:r>
      <w:t>ANNEX</w:t>
    </w:r>
  </w:p>
  <w:p w:rsidR="00DC2FE5" w:rsidRDefault="00DC2F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E5" w:rsidRDefault="00DC2FE5" w:rsidP="00477D6B">
    <w:pPr>
      <w:jc w:val="right"/>
    </w:pPr>
    <w:r>
      <w:t>CDIP/21/5</w:t>
    </w:r>
  </w:p>
  <w:p w:rsidR="00DC2FE5" w:rsidRDefault="00DC2FE5" w:rsidP="00477D6B">
    <w:pPr>
      <w:jc w:val="right"/>
    </w:pPr>
    <w:r>
      <w:t xml:space="preserve">Appendix, page </w:t>
    </w:r>
    <w:r>
      <w:fldChar w:fldCharType="begin"/>
    </w:r>
    <w:r>
      <w:instrText xml:space="preserve"> PAGE  \* MERGEFORMAT </w:instrText>
    </w:r>
    <w:r>
      <w:fldChar w:fldCharType="separate"/>
    </w:r>
    <w:r w:rsidR="00D45E1B">
      <w:rPr>
        <w:noProof/>
      </w:rPr>
      <w:t>30</w:t>
    </w:r>
    <w:r>
      <w:fldChar w:fldCharType="end"/>
    </w:r>
  </w:p>
  <w:p w:rsidR="00DC2FE5" w:rsidRDefault="00DC2FE5"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E5" w:rsidRDefault="00DC2FE5" w:rsidP="00F03DDC">
    <w:pPr>
      <w:pStyle w:val="Header"/>
      <w:jc w:val="right"/>
    </w:pPr>
    <w:r>
      <w:t>CDIP/21/5</w:t>
    </w:r>
  </w:p>
  <w:p w:rsidR="00DC2FE5" w:rsidRDefault="00DC2FE5" w:rsidP="00F03DDC">
    <w:pPr>
      <w:pStyle w:val="Header"/>
      <w:jc w:val="right"/>
    </w:pPr>
    <w:r>
      <w:t>APPENDIX</w:t>
    </w:r>
  </w:p>
  <w:p w:rsidR="00DC2FE5" w:rsidRDefault="00DC2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7AA429E4"/>
    <w:multiLevelType w:val="hybridMultilevel"/>
    <w:tmpl w:val="BB36B118"/>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6E"/>
    <w:rsid w:val="00001E20"/>
    <w:rsid w:val="00043CAA"/>
    <w:rsid w:val="00075432"/>
    <w:rsid w:val="000968ED"/>
    <w:rsid w:val="000A2763"/>
    <w:rsid w:val="000F5E56"/>
    <w:rsid w:val="001362EE"/>
    <w:rsid w:val="001832A6"/>
    <w:rsid w:val="001A2B02"/>
    <w:rsid w:val="001C6003"/>
    <w:rsid w:val="0021217E"/>
    <w:rsid w:val="00221B6E"/>
    <w:rsid w:val="002634C4"/>
    <w:rsid w:val="002638E8"/>
    <w:rsid w:val="00275D8B"/>
    <w:rsid w:val="002928D3"/>
    <w:rsid w:val="002A619D"/>
    <w:rsid w:val="002F1FE6"/>
    <w:rsid w:val="002F4E68"/>
    <w:rsid w:val="002F7CB3"/>
    <w:rsid w:val="00312F7F"/>
    <w:rsid w:val="00361450"/>
    <w:rsid w:val="00363531"/>
    <w:rsid w:val="003673CF"/>
    <w:rsid w:val="003845C1"/>
    <w:rsid w:val="003A0CE1"/>
    <w:rsid w:val="003A6F89"/>
    <w:rsid w:val="003B38C1"/>
    <w:rsid w:val="00423E3E"/>
    <w:rsid w:val="004265F8"/>
    <w:rsid w:val="00427AF4"/>
    <w:rsid w:val="004444D4"/>
    <w:rsid w:val="004647DA"/>
    <w:rsid w:val="004717BB"/>
    <w:rsid w:val="00474062"/>
    <w:rsid w:val="00474B15"/>
    <w:rsid w:val="00477D6B"/>
    <w:rsid w:val="00490AF2"/>
    <w:rsid w:val="004C062A"/>
    <w:rsid w:val="005019FF"/>
    <w:rsid w:val="0053057A"/>
    <w:rsid w:val="00531970"/>
    <w:rsid w:val="005376A1"/>
    <w:rsid w:val="0055231F"/>
    <w:rsid w:val="00560A29"/>
    <w:rsid w:val="005C6649"/>
    <w:rsid w:val="005F1B7E"/>
    <w:rsid w:val="006027FD"/>
    <w:rsid w:val="00605827"/>
    <w:rsid w:val="0063403F"/>
    <w:rsid w:val="00646050"/>
    <w:rsid w:val="006713CA"/>
    <w:rsid w:val="00676C5C"/>
    <w:rsid w:val="006A3F6E"/>
    <w:rsid w:val="006D3C7B"/>
    <w:rsid w:val="00703BE7"/>
    <w:rsid w:val="00777108"/>
    <w:rsid w:val="0078346B"/>
    <w:rsid w:val="007D1613"/>
    <w:rsid w:val="007E4C0E"/>
    <w:rsid w:val="008448DB"/>
    <w:rsid w:val="008B2CC1"/>
    <w:rsid w:val="008B60B2"/>
    <w:rsid w:val="008F2FFA"/>
    <w:rsid w:val="0090731E"/>
    <w:rsid w:val="00910D13"/>
    <w:rsid w:val="00916EE2"/>
    <w:rsid w:val="00944D32"/>
    <w:rsid w:val="00966A22"/>
    <w:rsid w:val="0096722F"/>
    <w:rsid w:val="00980843"/>
    <w:rsid w:val="00985474"/>
    <w:rsid w:val="009B5CF8"/>
    <w:rsid w:val="009D123C"/>
    <w:rsid w:val="009E2791"/>
    <w:rsid w:val="009E3F6F"/>
    <w:rsid w:val="009E52D2"/>
    <w:rsid w:val="009F499F"/>
    <w:rsid w:val="00A42DAF"/>
    <w:rsid w:val="00A45BD8"/>
    <w:rsid w:val="00A869B7"/>
    <w:rsid w:val="00AC205C"/>
    <w:rsid w:val="00AE6EB7"/>
    <w:rsid w:val="00AF0A6B"/>
    <w:rsid w:val="00B05A69"/>
    <w:rsid w:val="00B95B2F"/>
    <w:rsid w:val="00B9734B"/>
    <w:rsid w:val="00BA30E2"/>
    <w:rsid w:val="00BD7C1B"/>
    <w:rsid w:val="00BF3B1D"/>
    <w:rsid w:val="00C11BFE"/>
    <w:rsid w:val="00C5068F"/>
    <w:rsid w:val="00C71234"/>
    <w:rsid w:val="00C85937"/>
    <w:rsid w:val="00CA6602"/>
    <w:rsid w:val="00CB12AF"/>
    <w:rsid w:val="00CB1DF6"/>
    <w:rsid w:val="00CB2DC8"/>
    <w:rsid w:val="00CD04F1"/>
    <w:rsid w:val="00D0330E"/>
    <w:rsid w:val="00D05A8B"/>
    <w:rsid w:val="00D14FDB"/>
    <w:rsid w:val="00D45252"/>
    <w:rsid w:val="00D45E1B"/>
    <w:rsid w:val="00D71B4D"/>
    <w:rsid w:val="00D80E87"/>
    <w:rsid w:val="00D93D55"/>
    <w:rsid w:val="00DB28AD"/>
    <w:rsid w:val="00DC2FE5"/>
    <w:rsid w:val="00E14118"/>
    <w:rsid w:val="00E15015"/>
    <w:rsid w:val="00E174B0"/>
    <w:rsid w:val="00E335FE"/>
    <w:rsid w:val="00EC07E1"/>
    <w:rsid w:val="00EC4E49"/>
    <w:rsid w:val="00ED77FB"/>
    <w:rsid w:val="00EE45FA"/>
    <w:rsid w:val="00F03DDC"/>
    <w:rsid w:val="00F47EA9"/>
    <w:rsid w:val="00F66152"/>
    <w:rsid w:val="00F868A4"/>
    <w:rsid w:val="00FA1FCE"/>
    <w:rsid w:val="00FE79D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4444D4"/>
    <w:pPr>
      <w:ind w:left="720"/>
      <w:contextualSpacing/>
    </w:pPr>
  </w:style>
  <w:style w:type="character" w:customStyle="1" w:styleId="Heading2Char">
    <w:name w:val="Heading 2 Char"/>
    <w:basedOn w:val="DefaultParagraphFont"/>
    <w:link w:val="Heading2"/>
    <w:rsid w:val="004444D4"/>
    <w:rPr>
      <w:rFonts w:ascii="Arial" w:eastAsia="SimSun" w:hAnsi="Arial" w:cs="Arial"/>
      <w:bCs/>
      <w:iCs/>
      <w:caps/>
      <w:sz w:val="22"/>
      <w:szCs w:val="28"/>
      <w:lang w:val="en-US" w:eastAsia="zh-CN"/>
    </w:rPr>
  </w:style>
  <w:style w:type="table" w:styleId="TableGrid">
    <w:name w:val="Table Grid"/>
    <w:basedOn w:val="TableNormal"/>
    <w:rsid w:val="004444D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4444D4"/>
    <w:pPr>
      <w:ind w:left="720"/>
      <w:contextualSpacing/>
    </w:pPr>
  </w:style>
  <w:style w:type="character" w:customStyle="1" w:styleId="Heading2Char">
    <w:name w:val="Heading 2 Char"/>
    <w:basedOn w:val="DefaultParagraphFont"/>
    <w:link w:val="Heading2"/>
    <w:rsid w:val="004444D4"/>
    <w:rPr>
      <w:rFonts w:ascii="Arial" w:eastAsia="SimSun" w:hAnsi="Arial" w:cs="Arial"/>
      <w:bCs/>
      <w:iCs/>
      <w:caps/>
      <w:sz w:val="22"/>
      <w:szCs w:val="28"/>
      <w:lang w:val="en-US" w:eastAsia="zh-CN"/>
    </w:rPr>
  </w:style>
  <w:style w:type="table" w:styleId="TableGrid">
    <w:name w:val="Table Grid"/>
    <w:basedOn w:val="TableNormal"/>
    <w:rsid w:val="004444D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Summary!$A$2</c:f>
              <c:strCache>
                <c:ptCount val="1"/>
                <c:pt idx="0">
                  <c:v>Awareness-raising and training program</c:v>
                </c:pt>
              </c:strCache>
            </c:strRef>
          </c:tx>
          <c:invertIfNegative val="0"/>
          <c:cat>
            <c:strRef>
              <c:f>Summary!$B$1:$J$1</c:f>
              <c:strCache>
                <c:ptCount val="9"/>
                <c:pt idx="0">
                  <c:v>Rec. 24</c:v>
                </c:pt>
                <c:pt idx="1">
                  <c:v>Rec. 25</c:v>
                </c:pt>
                <c:pt idx="2">
                  <c:v>Rec. 26</c:v>
                </c:pt>
                <c:pt idx="3">
                  <c:v>Rec. 27</c:v>
                </c:pt>
                <c:pt idx="4">
                  <c:v>Rec. 28</c:v>
                </c:pt>
                <c:pt idx="5">
                  <c:v>Rec. 29</c:v>
                </c:pt>
                <c:pt idx="6">
                  <c:v>Rec. 30</c:v>
                </c:pt>
                <c:pt idx="7">
                  <c:v>Rec. 31</c:v>
                </c:pt>
                <c:pt idx="8">
                  <c:v>Rec. 32</c:v>
                </c:pt>
              </c:strCache>
            </c:strRef>
          </c:cat>
          <c:val>
            <c:numRef>
              <c:f>Summary!$B$2:$J$2</c:f>
              <c:numCache>
                <c:formatCode>General</c:formatCode>
                <c:ptCount val="9"/>
                <c:pt idx="1">
                  <c:v>10</c:v>
                </c:pt>
                <c:pt idx="2">
                  <c:v>7</c:v>
                </c:pt>
                <c:pt idx="3">
                  <c:v>7</c:v>
                </c:pt>
                <c:pt idx="4">
                  <c:v>11</c:v>
                </c:pt>
                <c:pt idx="5">
                  <c:v>9</c:v>
                </c:pt>
                <c:pt idx="6">
                  <c:v>2</c:v>
                </c:pt>
                <c:pt idx="7">
                  <c:v>10</c:v>
                </c:pt>
              </c:numCache>
            </c:numRef>
          </c:val>
        </c:ser>
        <c:ser>
          <c:idx val="1"/>
          <c:order val="1"/>
          <c:tx>
            <c:strRef>
              <c:f>Summary!$A$3</c:f>
              <c:strCache>
                <c:ptCount val="1"/>
                <c:pt idx="0">
                  <c:v>Compilation </c:v>
                </c:pt>
              </c:strCache>
            </c:strRef>
          </c:tx>
          <c:invertIfNegative val="0"/>
          <c:cat>
            <c:strRef>
              <c:f>Summary!$B$1:$J$1</c:f>
              <c:strCache>
                <c:ptCount val="9"/>
                <c:pt idx="0">
                  <c:v>Rec. 24</c:v>
                </c:pt>
                <c:pt idx="1">
                  <c:v>Rec. 25</c:v>
                </c:pt>
                <c:pt idx="2">
                  <c:v>Rec. 26</c:v>
                </c:pt>
                <c:pt idx="3">
                  <c:v>Rec. 27</c:v>
                </c:pt>
                <c:pt idx="4">
                  <c:v>Rec. 28</c:v>
                </c:pt>
                <c:pt idx="5">
                  <c:v>Rec. 29</c:v>
                </c:pt>
                <c:pt idx="6">
                  <c:v>Rec. 30</c:v>
                </c:pt>
                <c:pt idx="7">
                  <c:v>Rec. 31</c:v>
                </c:pt>
                <c:pt idx="8">
                  <c:v>Rec. 32</c:v>
                </c:pt>
              </c:strCache>
            </c:strRef>
          </c:cat>
          <c:val>
            <c:numRef>
              <c:f>Summary!$B$3:$J$3</c:f>
              <c:numCache>
                <c:formatCode>General</c:formatCode>
                <c:ptCount val="9"/>
                <c:pt idx="1">
                  <c:v>4</c:v>
                </c:pt>
                <c:pt idx="2">
                  <c:v>1</c:v>
                </c:pt>
                <c:pt idx="3">
                  <c:v>2</c:v>
                </c:pt>
                <c:pt idx="4">
                  <c:v>2</c:v>
                </c:pt>
              </c:numCache>
            </c:numRef>
          </c:val>
        </c:ser>
        <c:ser>
          <c:idx val="2"/>
          <c:order val="2"/>
          <c:tx>
            <c:strRef>
              <c:f>Summary!$A$4</c:f>
              <c:strCache>
                <c:ptCount val="1"/>
                <c:pt idx="0">
                  <c:v>Event</c:v>
                </c:pt>
              </c:strCache>
            </c:strRef>
          </c:tx>
          <c:invertIfNegative val="0"/>
          <c:cat>
            <c:strRef>
              <c:f>Summary!$B$1:$J$1</c:f>
              <c:strCache>
                <c:ptCount val="9"/>
                <c:pt idx="0">
                  <c:v>Rec. 24</c:v>
                </c:pt>
                <c:pt idx="1">
                  <c:v>Rec. 25</c:v>
                </c:pt>
                <c:pt idx="2">
                  <c:v>Rec. 26</c:v>
                </c:pt>
                <c:pt idx="3">
                  <c:v>Rec. 27</c:v>
                </c:pt>
                <c:pt idx="4">
                  <c:v>Rec. 28</c:v>
                </c:pt>
                <c:pt idx="5">
                  <c:v>Rec. 29</c:v>
                </c:pt>
                <c:pt idx="6">
                  <c:v>Rec. 30</c:v>
                </c:pt>
                <c:pt idx="7">
                  <c:v>Rec. 31</c:v>
                </c:pt>
                <c:pt idx="8">
                  <c:v>Rec. 32</c:v>
                </c:pt>
              </c:strCache>
            </c:strRef>
          </c:cat>
          <c:val>
            <c:numRef>
              <c:f>Summary!$B$4:$J$4</c:f>
              <c:numCache>
                <c:formatCode>General</c:formatCode>
                <c:ptCount val="9"/>
                <c:pt idx="0">
                  <c:v>33</c:v>
                </c:pt>
                <c:pt idx="1">
                  <c:v>77</c:v>
                </c:pt>
                <c:pt idx="2">
                  <c:v>1</c:v>
                </c:pt>
                <c:pt idx="3">
                  <c:v>14</c:v>
                </c:pt>
                <c:pt idx="4">
                  <c:v>60</c:v>
                </c:pt>
                <c:pt idx="5">
                  <c:v>36</c:v>
                </c:pt>
                <c:pt idx="6">
                  <c:v>80</c:v>
                </c:pt>
                <c:pt idx="7">
                  <c:v>90</c:v>
                </c:pt>
                <c:pt idx="8">
                  <c:v>3</c:v>
                </c:pt>
              </c:numCache>
            </c:numRef>
          </c:val>
        </c:ser>
        <c:ser>
          <c:idx val="3"/>
          <c:order val="3"/>
          <c:tx>
            <c:strRef>
              <c:f>Summary!$A$5</c:f>
              <c:strCache>
                <c:ptCount val="1"/>
                <c:pt idx="0">
                  <c:v>Information webpage </c:v>
                </c:pt>
              </c:strCache>
            </c:strRef>
          </c:tx>
          <c:invertIfNegative val="0"/>
          <c:cat>
            <c:strRef>
              <c:f>Summary!$B$1:$J$1</c:f>
              <c:strCache>
                <c:ptCount val="9"/>
                <c:pt idx="0">
                  <c:v>Rec. 24</c:v>
                </c:pt>
                <c:pt idx="1">
                  <c:v>Rec. 25</c:v>
                </c:pt>
                <c:pt idx="2">
                  <c:v>Rec. 26</c:v>
                </c:pt>
                <c:pt idx="3">
                  <c:v>Rec. 27</c:v>
                </c:pt>
                <c:pt idx="4">
                  <c:v>Rec. 28</c:v>
                </c:pt>
                <c:pt idx="5">
                  <c:v>Rec. 29</c:v>
                </c:pt>
                <c:pt idx="6">
                  <c:v>Rec. 30</c:v>
                </c:pt>
                <c:pt idx="7">
                  <c:v>Rec. 31</c:v>
                </c:pt>
                <c:pt idx="8">
                  <c:v>Rec. 32</c:v>
                </c:pt>
              </c:strCache>
            </c:strRef>
          </c:cat>
          <c:val>
            <c:numRef>
              <c:f>Summary!$B$5:$J$5</c:f>
              <c:numCache>
                <c:formatCode>General</c:formatCode>
                <c:ptCount val="9"/>
                <c:pt idx="1">
                  <c:v>2</c:v>
                </c:pt>
                <c:pt idx="3">
                  <c:v>1</c:v>
                </c:pt>
                <c:pt idx="4">
                  <c:v>2</c:v>
                </c:pt>
                <c:pt idx="5">
                  <c:v>1</c:v>
                </c:pt>
                <c:pt idx="6">
                  <c:v>1</c:v>
                </c:pt>
                <c:pt idx="7">
                  <c:v>1</c:v>
                </c:pt>
              </c:numCache>
            </c:numRef>
          </c:val>
        </c:ser>
        <c:ser>
          <c:idx val="4"/>
          <c:order val="4"/>
          <c:tx>
            <c:strRef>
              <c:f>Summary!$A$6</c:f>
              <c:strCache>
                <c:ptCount val="1"/>
                <c:pt idx="0">
                  <c:v>Partnership</c:v>
                </c:pt>
              </c:strCache>
            </c:strRef>
          </c:tx>
          <c:invertIfNegative val="0"/>
          <c:cat>
            <c:strRef>
              <c:f>Summary!$B$1:$J$1</c:f>
              <c:strCache>
                <c:ptCount val="9"/>
                <c:pt idx="0">
                  <c:v>Rec. 24</c:v>
                </c:pt>
                <c:pt idx="1">
                  <c:v>Rec. 25</c:v>
                </c:pt>
                <c:pt idx="2">
                  <c:v>Rec. 26</c:v>
                </c:pt>
                <c:pt idx="3">
                  <c:v>Rec. 27</c:v>
                </c:pt>
                <c:pt idx="4">
                  <c:v>Rec. 28</c:v>
                </c:pt>
                <c:pt idx="5">
                  <c:v>Rec. 29</c:v>
                </c:pt>
                <c:pt idx="6">
                  <c:v>Rec. 30</c:v>
                </c:pt>
                <c:pt idx="7">
                  <c:v>Rec. 31</c:v>
                </c:pt>
                <c:pt idx="8">
                  <c:v>Rec. 32</c:v>
                </c:pt>
              </c:strCache>
            </c:strRef>
          </c:cat>
          <c:val>
            <c:numRef>
              <c:f>Summary!$B$6:$J$6</c:f>
              <c:numCache>
                <c:formatCode>General</c:formatCode>
                <c:ptCount val="9"/>
                <c:pt idx="1">
                  <c:v>8</c:v>
                </c:pt>
                <c:pt idx="2">
                  <c:v>8</c:v>
                </c:pt>
                <c:pt idx="3">
                  <c:v>8</c:v>
                </c:pt>
                <c:pt idx="6">
                  <c:v>2</c:v>
                </c:pt>
                <c:pt idx="7">
                  <c:v>2</c:v>
                </c:pt>
              </c:numCache>
            </c:numRef>
          </c:val>
        </c:ser>
        <c:ser>
          <c:idx val="5"/>
          <c:order val="5"/>
          <c:tx>
            <c:strRef>
              <c:f>Summary!$A$7</c:f>
              <c:strCache>
                <c:ptCount val="1"/>
                <c:pt idx="0">
                  <c:v>Project</c:v>
                </c:pt>
              </c:strCache>
            </c:strRef>
          </c:tx>
          <c:invertIfNegative val="0"/>
          <c:cat>
            <c:strRef>
              <c:f>Summary!$B$1:$J$1</c:f>
              <c:strCache>
                <c:ptCount val="9"/>
                <c:pt idx="0">
                  <c:v>Rec. 24</c:v>
                </c:pt>
                <c:pt idx="1">
                  <c:v>Rec. 25</c:v>
                </c:pt>
                <c:pt idx="2">
                  <c:v>Rec. 26</c:v>
                </c:pt>
                <c:pt idx="3">
                  <c:v>Rec. 27</c:v>
                </c:pt>
                <c:pt idx="4">
                  <c:v>Rec. 28</c:v>
                </c:pt>
                <c:pt idx="5">
                  <c:v>Rec. 29</c:v>
                </c:pt>
                <c:pt idx="6">
                  <c:v>Rec. 30</c:v>
                </c:pt>
                <c:pt idx="7">
                  <c:v>Rec. 31</c:v>
                </c:pt>
                <c:pt idx="8">
                  <c:v>Rec. 32</c:v>
                </c:pt>
              </c:strCache>
            </c:strRef>
          </c:cat>
          <c:val>
            <c:numRef>
              <c:f>Summary!$B$7:$J$7</c:f>
              <c:numCache>
                <c:formatCode>General</c:formatCode>
                <c:ptCount val="9"/>
                <c:pt idx="0">
                  <c:v>2</c:v>
                </c:pt>
                <c:pt idx="1">
                  <c:v>20</c:v>
                </c:pt>
                <c:pt idx="3">
                  <c:v>1</c:v>
                </c:pt>
                <c:pt idx="4">
                  <c:v>5</c:v>
                </c:pt>
                <c:pt idx="5">
                  <c:v>5</c:v>
                </c:pt>
                <c:pt idx="6">
                  <c:v>5</c:v>
                </c:pt>
                <c:pt idx="7">
                  <c:v>11</c:v>
                </c:pt>
              </c:numCache>
            </c:numRef>
          </c:val>
        </c:ser>
        <c:ser>
          <c:idx val="6"/>
          <c:order val="6"/>
          <c:tx>
            <c:strRef>
              <c:f>Summary!$A$8</c:f>
              <c:strCache>
                <c:ptCount val="1"/>
                <c:pt idx="0">
                  <c:v>Publication</c:v>
                </c:pt>
              </c:strCache>
            </c:strRef>
          </c:tx>
          <c:invertIfNegative val="0"/>
          <c:cat>
            <c:strRef>
              <c:f>Summary!$B$1:$J$1</c:f>
              <c:strCache>
                <c:ptCount val="9"/>
                <c:pt idx="0">
                  <c:v>Rec. 24</c:v>
                </c:pt>
                <c:pt idx="1">
                  <c:v>Rec. 25</c:v>
                </c:pt>
                <c:pt idx="2">
                  <c:v>Rec. 26</c:v>
                </c:pt>
                <c:pt idx="3">
                  <c:v>Rec. 27</c:v>
                </c:pt>
                <c:pt idx="4">
                  <c:v>Rec. 28</c:v>
                </c:pt>
                <c:pt idx="5">
                  <c:v>Rec. 29</c:v>
                </c:pt>
                <c:pt idx="6">
                  <c:v>Rec. 30</c:v>
                </c:pt>
                <c:pt idx="7">
                  <c:v>Rec. 31</c:v>
                </c:pt>
                <c:pt idx="8">
                  <c:v>Rec. 32</c:v>
                </c:pt>
              </c:strCache>
            </c:strRef>
          </c:cat>
          <c:val>
            <c:numRef>
              <c:f>Summary!$B$8:$J$8</c:f>
              <c:numCache>
                <c:formatCode>General</c:formatCode>
                <c:ptCount val="9"/>
                <c:pt idx="1">
                  <c:v>10</c:v>
                </c:pt>
                <c:pt idx="2">
                  <c:v>5</c:v>
                </c:pt>
                <c:pt idx="3">
                  <c:v>3</c:v>
                </c:pt>
                <c:pt idx="4">
                  <c:v>11</c:v>
                </c:pt>
                <c:pt idx="6">
                  <c:v>6</c:v>
                </c:pt>
                <c:pt idx="7">
                  <c:v>8</c:v>
                </c:pt>
                <c:pt idx="8">
                  <c:v>1</c:v>
                </c:pt>
              </c:numCache>
            </c:numRef>
          </c:val>
        </c:ser>
        <c:ser>
          <c:idx val="7"/>
          <c:order val="7"/>
          <c:tx>
            <c:strRef>
              <c:f>Summary!$A$9</c:f>
              <c:strCache>
                <c:ptCount val="1"/>
                <c:pt idx="0">
                  <c:v>Specialized resource</c:v>
                </c:pt>
              </c:strCache>
            </c:strRef>
          </c:tx>
          <c:invertIfNegative val="0"/>
          <c:cat>
            <c:strRef>
              <c:f>Summary!$B$1:$J$1</c:f>
              <c:strCache>
                <c:ptCount val="9"/>
                <c:pt idx="0">
                  <c:v>Rec. 24</c:v>
                </c:pt>
                <c:pt idx="1">
                  <c:v>Rec. 25</c:v>
                </c:pt>
                <c:pt idx="2">
                  <c:v>Rec. 26</c:v>
                </c:pt>
                <c:pt idx="3">
                  <c:v>Rec. 27</c:v>
                </c:pt>
                <c:pt idx="4">
                  <c:v>Rec. 28</c:v>
                </c:pt>
                <c:pt idx="5">
                  <c:v>Rec. 29</c:v>
                </c:pt>
                <c:pt idx="6">
                  <c:v>Rec. 30</c:v>
                </c:pt>
                <c:pt idx="7">
                  <c:v>Rec. 31</c:v>
                </c:pt>
                <c:pt idx="8">
                  <c:v>Rec. 32</c:v>
                </c:pt>
              </c:strCache>
            </c:strRef>
          </c:cat>
          <c:val>
            <c:numRef>
              <c:f>Summary!$B$9:$J$9</c:f>
              <c:numCache>
                <c:formatCode>General</c:formatCode>
                <c:ptCount val="9"/>
                <c:pt idx="1">
                  <c:v>3</c:v>
                </c:pt>
                <c:pt idx="4">
                  <c:v>1</c:v>
                </c:pt>
                <c:pt idx="7">
                  <c:v>1</c:v>
                </c:pt>
              </c:numCache>
            </c:numRef>
          </c:val>
        </c:ser>
        <c:ser>
          <c:idx val="8"/>
          <c:order val="8"/>
          <c:tx>
            <c:strRef>
              <c:f>Summary!$A$10</c:f>
              <c:strCache>
                <c:ptCount val="1"/>
                <c:pt idx="0">
                  <c:v>Technical assistance</c:v>
                </c:pt>
              </c:strCache>
            </c:strRef>
          </c:tx>
          <c:invertIfNegative val="0"/>
          <c:cat>
            <c:strRef>
              <c:f>Summary!$B$1:$J$1</c:f>
              <c:strCache>
                <c:ptCount val="9"/>
                <c:pt idx="0">
                  <c:v>Rec. 24</c:v>
                </c:pt>
                <c:pt idx="1">
                  <c:v>Rec. 25</c:v>
                </c:pt>
                <c:pt idx="2">
                  <c:v>Rec. 26</c:v>
                </c:pt>
                <c:pt idx="3">
                  <c:v>Rec. 27</c:v>
                </c:pt>
                <c:pt idx="4">
                  <c:v>Rec. 28</c:v>
                </c:pt>
                <c:pt idx="5">
                  <c:v>Rec. 29</c:v>
                </c:pt>
                <c:pt idx="6">
                  <c:v>Rec. 30</c:v>
                </c:pt>
                <c:pt idx="7">
                  <c:v>Rec. 31</c:v>
                </c:pt>
                <c:pt idx="8">
                  <c:v>Rec. 32</c:v>
                </c:pt>
              </c:strCache>
            </c:strRef>
          </c:cat>
          <c:val>
            <c:numRef>
              <c:f>Summary!$B$10:$J$10</c:f>
              <c:numCache>
                <c:formatCode>General</c:formatCode>
                <c:ptCount val="9"/>
                <c:pt idx="0">
                  <c:v>2</c:v>
                </c:pt>
                <c:pt idx="1">
                  <c:v>6</c:v>
                </c:pt>
                <c:pt idx="3">
                  <c:v>1</c:v>
                </c:pt>
                <c:pt idx="4">
                  <c:v>1</c:v>
                </c:pt>
                <c:pt idx="6">
                  <c:v>1</c:v>
                </c:pt>
                <c:pt idx="7">
                  <c:v>1</c:v>
                </c:pt>
              </c:numCache>
            </c:numRef>
          </c:val>
        </c:ser>
        <c:ser>
          <c:idx val="9"/>
          <c:order val="9"/>
          <c:tx>
            <c:strRef>
              <c:f>Summary!$A$11</c:f>
              <c:strCache>
                <c:ptCount val="1"/>
                <c:pt idx="0">
                  <c:v>WIPO Committee</c:v>
                </c:pt>
              </c:strCache>
            </c:strRef>
          </c:tx>
          <c:invertIfNegative val="0"/>
          <c:cat>
            <c:strRef>
              <c:f>Summary!$B$1:$J$1</c:f>
              <c:strCache>
                <c:ptCount val="9"/>
                <c:pt idx="0">
                  <c:v>Rec. 24</c:v>
                </c:pt>
                <c:pt idx="1">
                  <c:v>Rec. 25</c:v>
                </c:pt>
                <c:pt idx="2">
                  <c:v>Rec. 26</c:v>
                </c:pt>
                <c:pt idx="3">
                  <c:v>Rec. 27</c:v>
                </c:pt>
                <c:pt idx="4">
                  <c:v>Rec. 28</c:v>
                </c:pt>
                <c:pt idx="5">
                  <c:v>Rec. 29</c:v>
                </c:pt>
                <c:pt idx="6">
                  <c:v>Rec. 30</c:v>
                </c:pt>
                <c:pt idx="7">
                  <c:v>Rec. 31</c:v>
                </c:pt>
                <c:pt idx="8">
                  <c:v>Rec. 32</c:v>
                </c:pt>
              </c:strCache>
            </c:strRef>
          </c:cat>
          <c:val>
            <c:numRef>
              <c:f>Summary!$B$11:$J$11</c:f>
              <c:numCache>
                <c:formatCode>General</c:formatCode>
                <c:ptCount val="9"/>
                <c:pt idx="1">
                  <c:v>1</c:v>
                </c:pt>
                <c:pt idx="4">
                  <c:v>1</c:v>
                </c:pt>
                <c:pt idx="5">
                  <c:v>1</c:v>
                </c:pt>
              </c:numCache>
            </c:numRef>
          </c:val>
        </c:ser>
        <c:dLbls>
          <c:showLegendKey val="0"/>
          <c:showVal val="0"/>
          <c:showCatName val="0"/>
          <c:showSerName val="0"/>
          <c:showPercent val="0"/>
          <c:showBubbleSize val="0"/>
        </c:dLbls>
        <c:gapWidth val="150"/>
        <c:overlap val="100"/>
        <c:axId val="25166592"/>
        <c:axId val="25168128"/>
      </c:barChart>
      <c:catAx>
        <c:axId val="25166592"/>
        <c:scaling>
          <c:orientation val="minMax"/>
        </c:scaling>
        <c:delete val="0"/>
        <c:axPos val="b"/>
        <c:numFmt formatCode="General" sourceLinked="1"/>
        <c:majorTickMark val="out"/>
        <c:minorTickMark val="none"/>
        <c:tickLblPos val="nextTo"/>
        <c:crossAx val="25168128"/>
        <c:crosses val="autoZero"/>
        <c:auto val="1"/>
        <c:lblAlgn val="ctr"/>
        <c:lblOffset val="100"/>
        <c:noMultiLvlLbl val="0"/>
      </c:catAx>
      <c:valAx>
        <c:axId val="25168128"/>
        <c:scaling>
          <c:orientation val="minMax"/>
        </c:scaling>
        <c:delete val="0"/>
        <c:axPos val="l"/>
        <c:majorGridlines/>
        <c:numFmt formatCode="General" sourceLinked="1"/>
        <c:majorTickMark val="out"/>
        <c:minorTickMark val="none"/>
        <c:tickLblPos val="nextTo"/>
        <c:crossAx val="25166592"/>
        <c:crosses val="autoZero"/>
        <c:crossBetween val="between"/>
      </c:valAx>
    </c:plotArea>
    <c:legend>
      <c:legendPos val="r"/>
      <c:overlay val="0"/>
    </c:legend>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11950</Words>
  <Characters>79661</Characters>
  <Application>Microsoft Office Word</Application>
  <DocSecurity>0</DocSecurity>
  <Lines>663</Lines>
  <Paragraphs>182</Paragraphs>
  <ScaleCrop>false</ScaleCrop>
  <HeadingPairs>
    <vt:vector size="2" baseType="variant">
      <vt:variant>
        <vt:lpstr>Title</vt:lpstr>
      </vt:variant>
      <vt:variant>
        <vt:i4>1</vt:i4>
      </vt:variant>
    </vt:vector>
  </HeadingPairs>
  <TitlesOfParts>
    <vt:vector size="1" baseType="lpstr">
      <vt:lpstr>CDIP/21/</vt:lpstr>
    </vt:vector>
  </TitlesOfParts>
  <LinksUpToDate>false</LinksUpToDate>
  <CharactersWithSpaces>91429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
  <cp:lastModifiedBy/>
  <cp:revision>1</cp:revision>
  <dcterms:created xsi:type="dcterms:W3CDTF">2018-03-06T13:10:00Z</dcterms:created>
  <dcterms:modified xsi:type="dcterms:W3CDTF">2018-03-06T13:25:00Z</dcterms:modified>
</cp:coreProperties>
</file>