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001E20" w:rsidP="00916EE2">
            <w:r>
              <w:rPr>
                <w:noProof/>
                <w:lang w:eastAsia="en-US"/>
              </w:rPr>
              <w:drawing>
                <wp:inline distT="0" distB="0" distL="0" distR="0">
                  <wp:extent cx="1855470" cy="1326515"/>
                  <wp:effectExtent l="0" t="0" r="0" b="698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470"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CB1DF6" w:rsidP="00001E20">
            <w:pPr>
              <w:jc w:val="right"/>
              <w:rPr>
                <w:rFonts w:ascii="Arial Black" w:hAnsi="Arial Black"/>
                <w:caps/>
                <w:sz w:val="15"/>
              </w:rPr>
            </w:pPr>
            <w:r>
              <w:rPr>
                <w:rFonts w:ascii="Arial Black" w:hAnsi="Arial Black"/>
                <w:caps/>
                <w:sz w:val="15"/>
              </w:rPr>
              <w:t>CDIP/20</w:t>
            </w:r>
            <w:r w:rsidR="00001E20">
              <w:rPr>
                <w:rFonts w:ascii="Arial Black" w:hAnsi="Arial Black"/>
                <w:caps/>
                <w:sz w:val="15"/>
              </w:rPr>
              <w:t>/</w:t>
            </w:r>
            <w:bookmarkStart w:id="0" w:name="Code"/>
            <w:bookmarkEnd w:id="0"/>
            <w:r w:rsidR="00267168">
              <w:rPr>
                <w:rFonts w:ascii="Arial Black" w:hAnsi="Arial Black"/>
                <w:caps/>
                <w:sz w:val="15"/>
              </w:rPr>
              <w:t>6</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ORIGINAL: </w:t>
            </w:r>
            <w:bookmarkStart w:id="1" w:name="Original"/>
            <w:bookmarkEnd w:id="1"/>
            <w:r w:rsidR="00267168">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BC44FD">
            <w:pPr>
              <w:jc w:val="right"/>
              <w:rPr>
                <w:rFonts w:ascii="Arial Black" w:hAnsi="Arial Black"/>
                <w:caps/>
                <w:sz w:val="15"/>
              </w:rPr>
            </w:pPr>
            <w:r w:rsidRPr="0090731E">
              <w:rPr>
                <w:rFonts w:ascii="Arial Black" w:hAnsi="Arial Black"/>
                <w:caps/>
                <w:sz w:val="15"/>
              </w:rPr>
              <w:t xml:space="preserve">DATE: </w:t>
            </w:r>
            <w:bookmarkStart w:id="2" w:name="Date"/>
            <w:bookmarkEnd w:id="2"/>
            <w:r w:rsidR="00267168">
              <w:rPr>
                <w:rFonts w:ascii="Arial Black" w:hAnsi="Arial Black"/>
                <w:caps/>
                <w:sz w:val="15"/>
              </w:rPr>
              <w:t>October 1</w:t>
            </w:r>
            <w:r w:rsidR="00BC44FD">
              <w:rPr>
                <w:rFonts w:ascii="Arial Black" w:hAnsi="Arial Black"/>
                <w:caps/>
                <w:sz w:val="15"/>
              </w:rPr>
              <w:t>2</w:t>
            </w:r>
            <w:r w:rsidR="00267168">
              <w:rPr>
                <w:rFonts w:ascii="Arial Black" w:hAnsi="Arial Black"/>
                <w:caps/>
                <w:sz w:val="15"/>
              </w:rPr>
              <w:t>, 2017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001E20" w:rsidRPr="003845C1" w:rsidRDefault="00001E20" w:rsidP="00001E20">
      <w:pPr>
        <w:rPr>
          <w:b/>
          <w:sz w:val="28"/>
          <w:szCs w:val="28"/>
        </w:rPr>
      </w:pPr>
      <w:r>
        <w:rPr>
          <w:b/>
          <w:sz w:val="28"/>
          <w:szCs w:val="28"/>
        </w:rPr>
        <w:t>Committee on Development and Intellectual Property (CDIP)</w:t>
      </w:r>
    </w:p>
    <w:p w:rsidR="003845C1" w:rsidRDefault="003845C1" w:rsidP="003845C1"/>
    <w:p w:rsidR="003845C1" w:rsidRDefault="003845C1" w:rsidP="003845C1"/>
    <w:p w:rsidR="008B2CC1" w:rsidRPr="003845C1" w:rsidRDefault="00CB1DF6" w:rsidP="008B2CC1">
      <w:pPr>
        <w:rPr>
          <w:b/>
          <w:sz w:val="24"/>
          <w:szCs w:val="24"/>
        </w:rPr>
      </w:pPr>
      <w:r>
        <w:rPr>
          <w:b/>
          <w:sz w:val="24"/>
          <w:szCs w:val="24"/>
        </w:rPr>
        <w:t>Twentieth</w:t>
      </w:r>
      <w:r w:rsidR="00001E20">
        <w:rPr>
          <w:b/>
          <w:sz w:val="24"/>
          <w:szCs w:val="24"/>
        </w:rPr>
        <w:t xml:space="preserve"> </w:t>
      </w:r>
      <w:r w:rsidR="00001E20" w:rsidRPr="003845C1">
        <w:rPr>
          <w:b/>
          <w:sz w:val="24"/>
          <w:szCs w:val="24"/>
        </w:rPr>
        <w:t>Session</w:t>
      </w:r>
    </w:p>
    <w:p w:rsidR="00001E20" w:rsidRPr="003845C1" w:rsidRDefault="00001E20" w:rsidP="00001E20">
      <w:pPr>
        <w:rPr>
          <w:b/>
          <w:sz w:val="24"/>
          <w:szCs w:val="24"/>
        </w:rPr>
      </w:pPr>
      <w:r>
        <w:rPr>
          <w:b/>
          <w:sz w:val="24"/>
          <w:szCs w:val="24"/>
        </w:rPr>
        <w:t xml:space="preserve">Geneva, </w:t>
      </w:r>
      <w:r w:rsidR="00CB1DF6">
        <w:rPr>
          <w:b/>
          <w:sz w:val="24"/>
          <w:szCs w:val="24"/>
        </w:rPr>
        <w:t>November 27</w:t>
      </w:r>
      <w:r>
        <w:rPr>
          <w:b/>
          <w:sz w:val="24"/>
          <w:szCs w:val="24"/>
        </w:rPr>
        <w:t xml:space="preserve"> to</w:t>
      </w:r>
      <w:r w:rsidR="00CB1DF6">
        <w:rPr>
          <w:b/>
          <w:sz w:val="24"/>
          <w:szCs w:val="24"/>
        </w:rPr>
        <w:t xml:space="preserve"> December 1</w:t>
      </w:r>
      <w:r>
        <w:rPr>
          <w:b/>
          <w:sz w:val="24"/>
          <w:szCs w:val="24"/>
        </w:rPr>
        <w:t>, 2017</w:t>
      </w:r>
    </w:p>
    <w:p w:rsidR="008B2CC1" w:rsidRPr="008B2CC1" w:rsidRDefault="008B2CC1" w:rsidP="008B2CC1"/>
    <w:p w:rsidR="008B2CC1" w:rsidRPr="008B2CC1" w:rsidRDefault="008B2CC1" w:rsidP="008B2CC1"/>
    <w:p w:rsidR="008B2CC1" w:rsidRPr="008B2CC1" w:rsidRDefault="008B2CC1" w:rsidP="008B2CC1"/>
    <w:p w:rsidR="008B2CC1" w:rsidRPr="003845C1" w:rsidRDefault="00267168" w:rsidP="008B2CC1">
      <w:pPr>
        <w:rPr>
          <w:caps/>
          <w:sz w:val="24"/>
        </w:rPr>
      </w:pPr>
      <w:bookmarkStart w:id="3" w:name="TitleOfDoc"/>
      <w:bookmarkEnd w:id="3"/>
      <w:r>
        <w:rPr>
          <w:caps/>
          <w:sz w:val="24"/>
        </w:rPr>
        <w:t>REPORT ON THE WIPO ROSTER OF CONSULTANS DATABASE</w:t>
      </w:r>
    </w:p>
    <w:p w:rsidR="008B2CC1" w:rsidRPr="008B2CC1" w:rsidRDefault="008B2CC1" w:rsidP="008B2CC1"/>
    <w:p w:rsidR="008B2CC1" w:rsidRPr="008B2CC1" w:rsidRDefault="002262FF" w:rsidP="008B2CC1">
      <w:pPr>
        <w:rPr>
          <w:i/>
        </w:rPr>
      </w:pPr>
      <w:bookmarkStart w:id="4" w:name="Prepared"/>
      <w:bookmarkEnd w:id="4"/>
      <w:proofErr w:type="gramStart"/>
      <w:r>
        <w:rPr>
          <w:i/>
        </w:rPr>
        <w:t>p</w:t>
      </w:r>
      <w:r w:rsidR="00267168">
        <w:rPr>
          <w:i/>
        </w:rPr>
        <w:t>repared</w:t>
      </w:r>
      <w:proofErr w:type="gramEnd"/>
      <w:r w:rsidR="00267168">
        <w:rPr>
          <w:i/>
        </w:rPr>
        <w:t xml:space="preserve"> by the Secretariat</w:t>
      </w:r>
    </w:p>
    <w:p w:rsidR="00AC205C" w:rsidRDefault="00AC205C"/>
    <w:p w:rsidR="000F5E56" w:rsidRDefault="000F5E56"/>
    <w:p w:rsidR="002928D3" w:rsidRDefault="002928D3"/>
    <w:p w:rsidR="002928D3" w:rsidRDefault="002928D3" w:rsidP="0053057A"/>
    <w:p w:rsidR="002928D3" w:rsidRDefault="002928D3"/>
    <w:p w:rsidR="00267168" w:rsidRDefault="00267168"/>
    <w:p w:rsidR="00267168" w:rsidRDefault="00267168"/>
    <w:p w:rsidR="00267168" w:rsidRDefault="00267168"/>
    <w:p w:rsidR="00783F35" w:rsidRDefault="00783F35"/>
    <w:p w:rsidR="00BC44FD" w:rsidRDefault="00BC44FD" w:rsidP="0028271A">
      <w:r>
        <w:fldChar w:fldCharType="begin"/>
      </w:r>
      <w:r>
        <w:instrText xml:space="preserve"> AUTONUM  </w:instrText>
      </w:r>
      <w:r>
        <w:fldChar w:fldCharType="end"/>
      </w:r>
      <w:r>
        <w:tab/>
        <w:t xml:space="preserve">The Committee on Development and Intellectual Property (CDIP) at its eighteenth session held from October 31 to November 4, 2016 approved a six point proposal which </w:t>
      </w:r>
      <w:r w:rsidRPr="00CC7038">
        <w:rPr>
          <w:i/>
        </w:rPr>
        <w:t>inter alia</w:t>
      </w:r>
      <w:r>
        <w:t xml:space="preserve"> requested the Secretariat “to regularly update and, if possible, upgrade the online roster of experts and consultants for technical assistance.”</w:t>
      </w:r>
      <w:r>
        <w:rPr>
          <w:rStyle w:val="FootnoteReference"/>
        </w:rPr>
        <w:footnoteReference w:id="2"/>
      </w:r>
      <w:r>
        <w:t xml:space="preserve">  This request is contained in paragraph 5 of Appendix I of the Summary by the Chair </w:t>
      </w:r>
      <w:r w:rsidRPr="003111F1">
        <w:t>of the seventeenth session of the CDIP</w:t>
      </w:r>
      <w:r>
        <w:t xml:space="preserve">. </w:t>
      </w:r>
    </w:p>
    <w:p w:rsidR="00BC44FD" w:rsidRDefault="00BC44FD" w:rsidP="0028271A"/>
    <w:p w:rsidR="00BC44FD" w:rsidRDefault="00BC44FD" w:rsidP="0028271A">
      <w:r w:rsidRPr="00C4203A">
        <w:fldChar w:fldCharType="begin"/>
      </w:r>
      <w:r w:rsidRPr="00C4203A">
        <w:instrText xml:space="preserve"> AUTONUM  </w:instrText>
      </w:r>
      <w:r w:rsidRPr="00C4203A">
        <w:fldChar w:fldCharType="end"/>
      </w:r>
      <w:r w:rsidRPr="00C4203A">
        <w:tab/>
        <w:t xml:space="preserve">This document seeks to respond to the above request.  It provides a brief background </w:t>
      </w:r>
      <w:r w:rsidRPr="00C017A4">
        <w:t>on the WIPO Roster of Consultants Database (</w:t>
      </w:r>
      <w:proofErr w:type="spellStart"/>
      <w:r w:rsidRPr="00C017A4">
        <w:t>RoC</w:t>
      </w:r>
      <w:proofErr w:type="spellEnd"/>
      <w:r w:rsidRPr="00C017A4">
        <w:t xml:space="preserve">), description of the current </w:t>
      </w:r>
      <w:proofErr w:type="spellStart"/>
      <w:r w:rsidRPr="00C017A4">
        <w:t>RoC</w:t>
      </w:r>
      <w:proofErr w:type="spellEnd"/>
      <w:r w:rsidRPr="00C017A4">
        <w:t xml:space="preserve">, description </w:t>
      </w:r>
      <w:r>
        <w:t xml:space="preserve">of </w:t>
      </w:r>
      <w:r w:rsidRPr="00C017A4">
        <w:t xml:space="preserve">the use of the </w:t>
      </w:r>
      <w:proofErr w:type="spellStart"/>
      <w:r w:rsidRPr="00C017A4">
        <w:t>RoC</w:t>
      </w:r>
      <w:proofErr w:type="spellEnd"/>
      <w:r w:rsidRPr="00C017A4">
        <w:t xml:space="preserve"> and its upgradation in the future.</w:t>
      </w:r>
      <w:r>
        <w:t xml:space="preserve"> </w:t>
      </w:r>
    </w:p>
    <w:p w:rsidR="00BC44FD" w:rsidRDefault="00BC44FD" w:rsidP="0028271A"/>
    <w:p w:rsidR="0043632C" w:rsidRDefault="0043632C" w:rsidP="0028271A"/>
    <w:p w:rsidR="0043632C" w:rsidRDefault="0043632C" w:rsidP="0028271A"/>
    <w:p w:rsidR="0043632C" w:rsidRDefault="0043632C" w:rsidP="0028271A"/>
    <w:p w:rsidR="0043632C" w:rsidRDefault="0043632C" w:rsidP="0028271A"/>
    <w:p w:rsidR="0043632C" w:rsidRDefault="0043632C" w:rsidP="0028271A"/>
    <w:p w:rsidR="00BC44FD" w:rsidRPr="00087B3F" w:rsidRDefault="00BC44FD" w:rsidP="0043632C">
      <w:pPr>
        <w:pStyle w:val="Heading2"/>
      </w:pPr>
      <w:r w:rsidRPr="00087B3F">
        <w:lastRenderedPageBreak/>
        <w:t>Background</w:t>
      </w:r>
    </w:p>
    <w:p w:rsidR="00BC44FD" w:rsidRDefault="00BC44FD" w:rsidP="0028271A"/>
    <w:p w:rsidR="00BC44FD" w:rsidRPr="00087B3F" w:rsidRDefault="00BC44FD" w:rsidP="0028271A">
      <w:r>
        <w:fldChar w:fldCharType="begin"/>
      </w:r>
      <w:r>
        <w:instrText xml:space="preserve"> AUTONUM  </w:instrText>
      </w:r>
      <w:r>
        <w:fldChar w:fldCharType="end"/>
      </w:r>
      <w:r>
        <w:tab/>
      </w:r>
      <w:r w:rsidRPr="00087B3F">
        <w:t>Recommendation 6 of the WIPO Development Agenda states that “WIPO’s technical assistance staff and consultants shall continue to be neutral and accountable, by paying particular attention to the existing Code of Ethics, and by avoiding potential conflicts of interest.</w:t>
      </w:r>
      <w:r>
        <w:t xml:space="preserve"> </w:t>
      </w:r>
      <w:r w:rsidRPr="00087B3F">
        <w:t xml:space="preserve"> WIPO shall draw up and make widely known to the Member States a roster of consultants for technical assistance available with WIPO.”</w:t>
      </w:r>
      <w:r w:rsidRPr="00087B3F">
        <w:rPr>
          <w:vertAlign w:val="superscript"/>
        </w:rPr>
        <w:footnoteReference w:id="3"/>
      </w:r>
    </w:p>
    <w:p w:rsidR="00BC44FD" w:rsidRDefault="00BC44FD" w:rsidP="0028271A"/>
    <w:p w:rsidR="00BC44FD" w:rsidRDefault="00BC44FD" w:rsidP="0028271A">
      <w:r>
        <w:fldChar w:fldCharType="begin"/>
      </w:r>
      <w:r>
        <w:instrText xml:space="preserve"> AUTONUM  </w:instrText>
      </w:r>
      <w:r>
        <w:fldChar w:fldCharType="end"/>
      </w:r>
      <w:r>
        <w:tab/>
        <w:t>This recommendation was identified by the</w:t>
      </w:r>
      <w:r w:rsidRPr="00580DDD">
        <w:t xml:space="preserve"> </w:t>
      </w:r>
      <w:r>
        <w:t xml:space="preserve">WIPO </w:t>
      </w:r>
      <w:r w:rsidRPr="00580DDD">
        <w:t>General Assembly</w:t>
      </w:r>
      <w:r>
        <w:t xml:space="preserve"> in 2007,</w:t>
      </w:r>
      <w:r w:rsidRPr="00580DDD">
        <w:t xml:space="preserve"> for immediate implementation</w:t>
      </w:r>
      <w:r>
        <w:t xml:space="preserve"> as it did not require </w:t>
      </w:r>
      <w:r w:rsidRPr="004E3658">
        <w:t>any additional</w:t>
      </w:r>
      <w:r>
        <w:t xml:space="preserve"> human or financial resources.  In responding to this Recommendation, the Secretariat prepared the document CDIP/3/2 and presented it to the third session of the CDIP.  </w:t>
      </w:r>
      <w:r w:rsidRPr="000E1572">
        <w:t xml:space="preserve">The document contained the </w:t>
      </w:r>
      <w:proofErr w:type="spellStart"/>
      <w:r>
        <w:t>RoC</w:t>
      </w:r>
      <w:proofErr w:type="spellEnd"/>
      <w:r w:rsidRPr="000E1572">
        <w:t xml:space="preserve"> which </w:t>
      </w:r>
      <w:r>
        <w:t>included</w:t>
      </w:r>
      <w:r w:rsidRPr="000E1572">
        <w:t xml:space="preserve"> a list of all consultants who were under</w:t>
      </w:r>
      <w:r>
        <w:t xml:space="preserve"> </w:t>
      </w:r>
      <w:r w:rsidRPr="004F2F75">
        <w:t xml:space="preserve">a WIPO Special Service Agreement (SSA) contract </w:t>
      </w:r>
      <w:r>
        <w:t>during</w:t>
      </w:r>
      <w:r w:rsidRPr="004F2F75">
        <w:t xml:space="preserve"> January 2005 – December 2008, and were neither based in WIPO Headquarters, nor in a coordination office of WIPO.</w:t>
      </w:r>
      <w:r w:rsidRPr="004F2F75">
        <w:rPr>
          <w:rStyle w:val="FootnoteReference"/>
        </w:rPr>
        <w:footnoteReference w:id="4"/>
      </w:r>
      <w:r w:rsidRPr="004F2F75">
        <w:t xml:space="preserve">  </w:t>
      </w:r>
      <w:r>
        <w:t xml:space="preserve">The Committee took note of the information contained in the document and agreed on a few changes, such as to include consultants who were native speakers of one of the six official UN languages and their nationalities </w:t>
      </w:r>
      <w:r w:rsidRPr="00E25C1A">
        <w:t xml:space="preserve">(see paragraphs </w:t>
      </w:r>
      <w:r>
        <w:t xml:space="preserve">67-87 of the Report of the third session, contained in </w:t>
      </w:r>
      <w:r w:rsidRPr="00E25C1A">
        <w:t>document CDIP/3/9).</w:t>
      </w:r>
    </w:p>
    <w:p w:rsidR="00BC44FD" w:rsidRDefault="00BC44FD" w:rsidP="0028271A"/>
    <w:p w:rsidR="00BC44FD" w:rsidRDefault="00BC44FD" w:rsidP="0028271A">
      <w:r>
        <w:fldChar w:fldCharType="begin"/>
      </w:r>
      <w:r>
        <w:instrText xml:space="preserve"> AUTONUM  </w:instrText>
      </w:r>
      <w:r>
        <w:fldChar w:fldCharType="end"/>
      </w:r>
      <w:r>
        <w:tab/>
      </w:r>
      <w:r w:rsidRPr="00911805">
        <w:t xml:space="preserve">The third session </w:t>
      </w:r>
      <w:r>
        <w:t xml:space="preserve">of the CDIP </w:t>
      </w:r>
      <w:r w:rsidRPr="00911805">
        <w:t>approved the project on Intellectual Property Technical Assistance Database (IP-TAD) contained in document CDIP/3/INF/2</w:t>
      </w:r>
      <w:r>
        <w:rPr>
          <w:rStyle w:val="FootnoteReference"/>
        </w:rPr>
        <w:footnoteReference w:id="5"/>
      </w:r>
      <w:r>
        <w:t xml:space="preserve">.  Taking </w:t>
      </w:r>
      <w:r w:rsidRPr="009C2D15">
        <w:t>advantage of the platform to b</w:t>
      </w:r>
      <w:r>
        <w:t xml:space="preserve">e established for the IP-TAD, </w:t>
      </w:r>
      <w:proofErr w:type="spellStart"/>
      <w:r>
        <w:t>Ro</w:t>
      </w:r>
      <w:r w:rsidRPr="009C2D15">
        <w:t>C</w:t>
      </w:r>
      <w:proofErr w:type="spellEnd"/>
      <w:r w:rsidRPr="009C2D15">
        <w:t xml:space="preserve"> was</w:t>
      </w:r>
      <w:r>
        <w:t xml:space="preserve"> </w:t>
      </w:r>
      <w:r w:rsidRPr="009C2D15">
        <w:t>integrated</w:t>
      </w:r>
      <w:r>
        <w:t xml:space="preserve"> in the project</w:t>
      </w:r>
      <w:r w:rsidRPr="009C2D15">
        <w:t xml:space="preserve"> and improvements were made in accordance with </w:t>
      </w:r>
      <w:r>
        <w:t xml:space="preserve">changes agreed by </w:t>
      </w:r>
      <w:r w:rsidRPr="009C2D15">
        <w:t>Member States</w:t>
      </w:r>
      <w:r>
        <w:t xml:space="preserve">.  The project was completed in July 2010 and an evaluation report was considered by the CDIP at its ninth session in April 2012.  </w:t>
      </w:r>
    </w:p>
    <w:p w:rsidR="00BC44FD" w:rsidRDefault="00BC44FD" w:rsidP="0028271A">
      <w:pPr>
        <w:rPr>
          <w:b/>
        </w:rPr>
      </w:pPr>
    </w:p>
    <w:p w:rsidR="00BC44FD" w:rsidRPr="00C41906" w:rsidRDefault="00BC44FD" w:rsidP="0043632C">
      <w:pPr>
        <w:pStyle w:val="Heading2"/>
      </w:pPr>
      <w:r>
        <w:t>Description of the current RoC database</w:t>
      </w:r>
    </w:p>
    <w:p w:rsidR="00BC44FD" w:rsidRPr="00C41906" w:rsidRDefault="00BC44FD" w:rsidP="0028271A">
      <w:pPr>
        <w:rPr>
          <w:b/>
        </w:rPr>
      </w:pPr>
    </w:p>
    <w:p w:rsidR="00BC44FD" w:rsidRPr="00C41906" w:rsidRDefault="00BC44FD" w:rsidP="0028271A">
      <w:r w:rsidRPr="00C41906">
        <w:fldChar w:fldCharType="begin"/>
      </w:r>
      <w:r w:rsidRPr="00C41906">
        <w:instrText xml:space="preserve"> AUTONUM  </w:instrText>
      </w:r>
      <w:r w:rsidRPr="00C41906">
        <w:fldChar w:fldCharType="end"/>
      </w:r>
      <w:r w:rsidRPr="00C41906">
        <w:tab/>
      </w:r>
      <w:r>
        <w:t xml:space="preserve">The WIPO </w:t>
      </w:r>
      <w:proofErr w:type="spellStart"/>
      <w:r>
        <w:t>Ro</w:t>
      </w:r>
      <w:r w:rsidRPr="00C41906">
        <w:t>C</w:t>
      </w:r>
      <w:proofErr w:type="spellEnd"/>
      <w:r w:rsidRPr="00C41906">
        <w:t xml:space="preserve"> Database integrates information and data on consultants/experts hired by the Organization to undertake specific intellectual property technical assistance activities.  The consultants are hired for a specific task for a defined period of time and are not based at WIPO Headquarters or any of the WIPO external offices.  </w:t>
      </w:r>
    </w:p>
    <w:p w:rsidR="00BC44FD" w:rsidRPr="00C41906" w:rsidRDefault="00BC44FD" w:rsidP="0028271A"/>
    <w:p w:rsidR="00BC44FD" w:rsidRPr="00C41906" w:rsidRDefault="00BC44FD" w:rsidP="0028271A">
      <w:r w:rsidRPr="00C41906">
        <w:fldChar w:fldCharType="begin"/>
      </w:r>
      <w:r w:rsidRPr="00C41906">
        <w:instrText xml:space="preserve"> AUTONUM  </w:instrText>
      </w:r>
      <w:r w:rsidRPr="00C41906">
        <w:fldChar w:fldCharType="end"/>
      </w:r>
      <w:r w:rsidRPr="00C41906">
        <w:tab/>
        <w:t>WIPO publishes personal and professional information of the consultants, pursuant to their consent.</w:t>
      </w:r>
      <w:r>
        <w:t xml:space="preserve"> </w:t>
      </w:r>
      <w:r w:rsidRPr="00C41906">
        <w:t xml:space="preserve"> Not all information is accessible to the public.  Examples of information that </w:t>
      </w:r>
      <w:r>
        <w:t>is</w:t>
      </w:r>
      <w:r w:rsidRPr="00C41906">
        <w:t xml:space="preserve"> not public include, but are not limited to, consultants/experts contact details, financial obligations, documentation related to activitie</w:t>
      </w:r>
      <w:r>
        <w:t xml:space="preserve">s and persons.  Therefore, the </w:t>
      </w:r>
      <w:proofErr w:type="spellStart"/>
      <w:r>
        <w:t>Ro</w:t>
      </w:r>
      <w:r w:rsidRPr="00C41906">
        <w:t>C</w:t>
      </w:r>
      <w:proofErr w:type="spellEnd"/>
      <w:r w:rsidRPr="00C41906">
        <w:t xml:space="preserve"> provides a link to WIPO’s generic contact details for users wishing to contact consultants or </w:t>
      </w:r>
      <w:r>
        <w:t>need</w:t>
      </w:r>
      <w:r w:rsidRPr="00C41906">
        <w:t xml:space="preserve"> more information.</w:t>
      </w:r>
    </w:p>
    <w:p w:rsidR="00BC44FD" w:rsidRPr="00C41906" w:rsidRDefault="00BC44FD" w:rsidP="0028271A"/>
    <w:p w:rsidR="00BC44FD" w:rsidRPr="00C41906" w:rsidRDefault="00BC44FD" w:rsidP="0028271A">
      <w:r w:rsidRPr="00C41906">
        <w:fldChar w:fldCharType="begin"/>
      </w:r>
      <w:r w:rsidRPr="00C41906">
        <w:instrText xml:space="preserve"> AUTONUM  </w:instrText>
      </w:r>
      <w:r w:rsidRPr="00C41906">
        <w:fldChar w:fldCharType="end"/>
      </w:r>
      <w:r>
        <w:tab/>
        <w:t xml:space="preserve">The current </w:t>
      </w:r>
      <w:proofErr w:type="spellStart"/>
      <w:r>
        <w:t>Ro</w:t>
      </w:r>
      <w:r w:rsidRPr="00C41906">
        <w:t>C</w:t>
      </w:r>
      <w:proofErr w:type="spellEnd"/>
      <w:r w:rsidRPr="00C41906">
        <w:t xml:space="preserve"> search results are clustered into five categories: (a) consultant name; (b) nationality(s); (c) language(s); (d) expertise in field of IP; and (e) WIPO assignments, which contain detailed information about the date of the assignment, role of the consultant and host country of the technical assistance activity. </w:t>
      </w:r>
    </w:p>
    <w:p w:rsidR="00BC44FD" w:rsidRPr="00B235EA" w:rsidRDefault="00BC44FD" w:rsidP="0028271A"/>
    <w:p w:rsidR="00BC44FD" w:rsidRPr="00B235EA" w:rsidRDefault="00BC44FD" w:rsidP="0028271A">
      <w:r w:rsidRPr="00B235EA">
        <w:lastRenderedPageBreak/>
        <w:fldChar w:fldCharType="begin"/>
      </w:r>
      <w:r w:rsidRPr="00B235EA">
        <w:instrText xml:space="preserve"> AUTONUM  </w:instrText>
      </w:r>
      <w:r w:rsidRPr="00B235EA">
        <w:fldChar w:fldCharType="end"/>
      </w:r>
      <w:r>
        <w:tab/>
        <w:t xml:space="preserve">The </w:t>
      </w:r>
      <w:proofErr w:type="spellStart"/>
      <w:r>
        <w:t>Ro</w:t>
      </w:r>
      <w:r w:rsidRPr="00B235EA">
        <w:t>C</w:t>
      </w:r>
      <w:proofErr w:type="spellEnd"/>
      <w:r w:rsidRPr="00B235EA">
        <w:t xml:space="preserve"> is made available under the WIPO Development Agenda webpage, </w:t>
      </w:r>
      <w:proofErr w:type="gramStart"/>
      <w:r w:rsidRPr="00B235EA">
        <w:t>section</w:t>
      </w:r>
      <w:proofErr w:type="gramEnd"/>
      <w:r w:rsidRPr="00B235EA">
        <w:t xml:space="preserve"> “Other activities” and could be accessed </w:t>
      </w:r>
      <w:r>
        <w:t xml:space="preserve">in English, French and Spanish </w:t>
      </w:r>
      <w:r w:rsidRPr="00B235EA">
        <w:t xml:space="preserve">at: </w:t>
      </w:r>
      <w:hyperlink r:id="rId9" w:history="1">
        <w:r w:rsidRPr="00B235EA">
          <w:rPr>
            <w:rStyle w:val="Hyperlink"/>
          </w:rPr>
          <w:t>http://www.wipo.int/roc/en/index.jsp</w:t>
        </w:r>
      </w:hyperlink>
      <w:r>
        <w:t xml:space="preserve">.  </w:t>
      </w:r>
    </w:p>
    <w:p w:rsidR="00BC44FD" w:rsidRDefault="00BC44FD" w:rsidP="0028271A"/>
    <w:p w:rsidR="00BC44FD" w:rsidRPr="000260E8" w:rsidRDefault="00BC44FD" w:rsidP="0043632C">
      <w:pPr>
        <w:pStyle w:val="Heading2"/>
      </w:pPr>
      <w:r w:rsidRPr="000260E8">
        <w:t xml:space="preserve">Description </w:t>
      </w:r>
      <w:r>
        <w:t>of the use of the RoC</w:t>
      </w:r>
    </w:p>
    <w:p w:rsidR="00BC44FD" w:rsidRDefault="00BC44FD" w:rsidP="0028271A"/>
    <w:p w:rsidR="00BC44FD" w:rsidRDefault="00BC44FD" w:rsidP="0043632C">
      <w:r>
        <w:fldChar w:fldCharType="begin"/>
      </w:r>
      <w:r>
        <w:instrText xml:space="preserve"> AUTONUM  </w:instrText>
      </w:r>
      <w:r>
        <w:fldChar w:fldCharType="end"/>
      </w:r>
      <w:r>
        <w:tab/>
        <w:t>As it can be seen in the charts below, during 2015- 2016, WIPO hired a total number of 783 consultants representing all geographical regions.  545 consultants contracted in this period (representing 70% of the total number) were male and 238 (representing 30% of the total number) were female.  The most represented fields of consultants’/experts’ IP expertise were: (</w:t>
      </w:r>
      <w:proofErr w:type="spellStart"/>
      <w:r>
        <w:t>i</w:t>
      </w:r>
      <w:proofErr w:type="spellEnd"/>
      <w:r>
        <w:t xml:space="preserve">) all IP fields (272); (ii) industrial property (201); (iii) copyright (126) and </w:t>
      </w:r>
      <w:proofErr w:type="gramStart"/>
      <w:r>
        <w:t>(iv) patents</w:t>
      </w:r>
      <w:proofErr w:type="gramEnd"/>
      <w:r>
        <w:t xml:space="preserve"> (110).  The native language of the consultants/experts varies, and is distributed as follows: 420 English; 143</w:t>
      </w:r>
      <w:r w:rsidR="0043632C">
        <w:t> </w:t>
      </w:r>
      <w:r>
        <w:t>Spanish; 67 French.</w:t>
      </w:r>
    </w:p>
    <w:p w:rsidR="00BC44FD" w:rsidRDefault="00BC44FD" w:rsidP="0028271A"/>
    <w:p w:rsidR="00BC44FD" w:rsidRDefault="00BC44FD" w:rsidP="0028271A">
      <w:r>
        <w:rPr>
          <w:noProof/>
          <w:lang w:eastAsia="en-US"/>
        </w:rPr>
        <w:drawing>
          <wp:inline distT="0" distB="0" distL="0" distR="0" wp14:anchorId="56E6FA83" wp14:editId="7625627B">
            <wp:extent cx="5761355" cy="3490595"/>
            <wp:effectExtent l="0" t="0" r="1079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44FD" w:rsidRPr="00CE2E2C" w:rsidRDefault="00BC44FD" w:rsidP="0028271A">
      <w:pPr>
        <w:jc w:val="center"/>
      </w:pPr>
      <w:r w:rsidRPr="00CE2E2C">
        <w:t>Table representing the number of consultants hired,</w:t>
      </w:r>
    </w:p>
    <w:p w:rsidR="00BC44FD" w:rsidRPr="00094E23" w:rsidRDefault="00BC44FD" w:rsidP="0028271A">
      <w:pPr>
        <w:jc w:val="center"/>
      </w:pPr>
      <w:proofErr w:type="gramStart"/>
      <w:r>
        <w:t>by</w:t>
      </w:r>
      <w:proofErr w:type="gramEnd"/>
      <w:r>
        <w:t xml:space="preserve"> gender in 2015 - 2016</w:t>
      </w:r>
    </w:p>
    <w:p w:rsidR="00BC44FD" w:rsidRDefault="00BC44FD" w:rsidP="0028271A"/>
    <w:p w:rsidR="00BC44FD" w:rsidRDefault="00BC44FD" w:rsidP="0028271A">
      <w:r>
        <w:rPr>
          <w:noProof/>
          <w:lang w:eastAsia="en-US"/>
        </w:rPr>
        <w:lastRenderedPageBreak/>
        <w:drawing>
          <wp:inline distT="0" distB="0" distL="0" distR="0" wp14:anchorId="5DDCA5B2" wp14:editId="74CD831D">
            <wp:extent cx="5761355" cy="3462655"/>
            <wp:effectExtent l="0" t="0" r="10795" b="234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44FD" w:rsidRPr="00472637" w:rsidRDefault="00BC44FD" w:rsidP="00472637">
      <w:pPr>
        <w:jc w:val="center"/>
      </w:pPr>
      <w:r w:rsidRPr="00472637">
        <w:t>Table representing the number of consultants hired,</w:t>
      </w:r>
    </w:p>
    <w:p w:rsidR="00BC44FD" w:rsidRPr="00472637" w:rsidRDefault="00BC44FD" w:rsidP="00472637">
      <w:pPr>
        <w:jc w:val="center"/>
      </w:pPr>
      <w:proofErr w:type="gramStart"/>
      <w:r w:rsidRPr="00472637">
        <w:t>by</w:t>
      </w:r>
      <w:proofErr w:type="gramEnd"/>
      <w:r w:rsidRPr="00472637">
        <w:t xml:space="preserve"> field of IP in which they have expertise</w:t>
      </w:r>
    </w:p>
    <w:p w:rsidR="00BC44FD" w:rsidRDefault="00BC44FD" w:rsidP="0028271A"/>
    <w:p w:rsidR="00BC44FD" w:rsidRDefault="00BC44FD" w:rsidP="0028271A"/>
    <w:p w:rsidR="00BC44FD" w:rsidRDefault="00BC44FD" w:rsidP="0028271A">
      <w:r w:rsidRPr="00472637">
        <w:rPr>
          <w:noProof/>
          <w:color w:val="000000" w:themeColor="text1"/>
          <w:lang w:eastAsia="en-US"/>
        </w:rPr>
        <w:drawing>
          <wp:inline distT="0" distB="0" distL="0" distR="0" wp14:anchorId="04240307" wp14:editId="7494C6D5">
            <wp:extent cx="5761355" cy="3896099"/>
            <wp:effectExtent l="0" t="0" r="1079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44FD" w:rsidRDefault="00BC44FD" w:rsidP="0028271A">
      <w:pPr>
        <w:jc w:val="center"/>
      </w:pPr>
      <w:r w:rsidRPr="00CE2E2C">
        <w:t>Table representing the number of consultants hired</w:t>
      </w:r>
      <w:r>
        <w:t>,</w:t>
      </w:r>
    </w:p>
    <w:p w:rsidR="00BC44FD" w:rsidRDefault="00BC44FD" w:rsidP="0028271A">
      <w:pPr>
        <w:jc w:val="center"/>
      </w:pPr>
      <w:r w:rsidRPr="00CE2E2C">
        <w:t xml:space="preserve"> </w:t>
      </w:r>
      <w:proofErr w:type="gramStart"/>
      <w:r>
        <w:t>by</w:t>
      </w:r>
      <w:proofErr w:type="gramEnd"/>
      <w:r>
        <w:t xml:space="preserve"> native language</w:t>
      </w:r>
    </w:p>
    <w:p w:rsidR="00BC44FD" w:rsidRDefault="00BC44FD" w:rsidP="0028271A"/>
    <w:p w:rsidR="00BC44FD" w:rsidRDefault="00BC44FD" w:rsidP="0028271A">
      <w:r>
        <w:rPr>
          <w:noProof/>
          <w:lang w:eastAsia="en-US"/>
        </w:rPr>
        <w:lastRenderedPageBreak/>
        <w:drawing>
          <wp:inline distT="0" distB="0" distL="0" distR="0" wp14:anchorId="1E83FB49" wp14:editId="484BDB2A">
            <wp:extent cx="5761355" cy="3029768"/>
            <wp:effectExtent l="0" t="0" r="1079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44FD" w:rsidRDefault="00BC44FD" w:rsidP="0028271A">
      <w:pPr>
        <w:jc w:val="center"/>
      </w:pPr>
      <w:r>
        <w:t>Table representing the number of consultants hired,</w:t>
      </w:r>
    </w:p>
    <w:p w:rsidR="00BC44FD" w:rsidRDefault="00BC44FD" w:rsidP="0028271A">
      <w:pPr>
        <w:jc w:val="center"/>
      </w:pPr>
      <w:r>
        <w:t xml:space="preserve"> </w:t>
      </w:r>
      <w:proofErr w:type="gramStart"/>
      <w:r>
        <w:t>by</w:t>
      </w:r>
      <w:proofErr w:type="gramEnd"/>
      <w:r>
        <w:t xml:space="preserve"> regions of origin and gender</w:t>
      </w:r>
    </w:p>
    <w:p w:rsidR="00BC44FD" w:rsidRDefault="00BC44FD" w:rsidP="0028271A"/>
    <w:p w:rsidR="00BC44FD" w:rsidRDefault="00BC44FD" w:rsidP="0043632C">
      <w:pPr>
        <w:pStyle w:val="Heading2"/>
      </w:pPr>
      <w:r>
        <w:t>Future upgradation</w:t>
      </w:r>
      <w:r w:rsidR="00783F35">
        <w:t xml:space="preserve"> of the </w:t>
      </w:r>
      <w:proofErr w:type="spellStart"/>
      <w:r w:rsidR="00783F35">
        <w:t>R</w:t>
      </w:r>
      <w:r w:rsidR="00783F35">
        <w:rPr>
          <w:caps w:val="0"/>
        </w:rPr>
        <w:t>o</w:t>
      </w:r>
      <w:r>
        <w:t>C</w:t>
      </w:r>
      <w:proofErr w:type="spellEnd"/>
      <w:r>
        <w:t xml:space="preserve"> </w:t>
      </w:r>
    </w:p>
    <w:p w:rsidR="00BC44FD" w:rsidRDefault="00BC44FD" w:rsidP="0043632C">
      <w:pPr>
        <w:pStyle w:val="Heading2"/>
      </w:pPr>
    </w:p>
    <w:p w:rsidR="00BC44FD" w:rsidRPr="00C41906" w:rsidRDefault="00BC44FD" w:rsidP="0028271A">
      <w:r w:rsidRPr="00C41906">
        <w:fldChar w:fldCharType="begin"/>
      </w:r>
      <w:r w:rsidRPr="00C41906">
        <w:instrText xml:space="preserve"> AUTONUM  </w:instrText>
      </w:r>
      <w:r w:rsidRPr="00C41906">
        <w:fldChar w:fldCharType="end"/>
      </w:r>
      <w:r>
        <w:tab/>
        <w:t xml:space="preserve">The </w:t>
      </w:r>
      <w:proofErr w:type="spellStart"/>
      <w:r>
        <w:t>Ro</w:t>
      </w:r>
      <w:r w:rsidRPr="00C41906">
        <w:t>C</w:t>
      </w:r>
      <w:proofErr w:type="spellEnd"/>
      <w:r w:rsidRPr="00C41906">
        <w:t xml:space="preserve"> is foreseen to be incorporated into the WIPO ERP (Enterprise Resource Planni</w:t>
      </w:r>
      <w:r>
        <w:t>ng) environment.  The objective</w:t>
      </w:r>
      <w:r w:rsidRPr="00C41906">
        <w:t xml:space="preserve"> of this transition</w:t>
      </w:r>
      <w:r>
        <w:t xml:space="preserve">, </w:t>
      </w:r>
      <w:r w:rsidRPr="009E5D94">
        <w:rPr>
          <w:i/>
        </w:rPr>
        <w:t>inter alia</w:t>
      </w:r>
      <w:r>
        <w:t>,</w:t>
      </w:r>
      <w:r w:rsidRPr="00C41906">
        <w:t xml:space="preserve"> </w:t>
      </w:r>
      <w:r>
        <w:t>is</w:t>
      </w:r>
      <w:r w:rsidRPr="00C41906">
        <w:t xml:space="preserve"> to elec</w:t>
      </w:r>
      <w:r>
        <w:t>tronically capture and record</w:t>
      </w:r>
      <w:r w:rsidRPr="00C41906">
        <w:t xml:space="preserve"> technical assistance activities in which consultants/experts </w:t>
      </w:r>
      <w:r>
        <w:t>are</w:t>
      </w:r>
      <w:r w:rsidRPr="00C41906">
        <w:t xml:space="preserve"> hired by WIPO.   The </w:t>
      </w:r>
      <w:r>
        <w:t xml:space="preserve">ERP transition will help the </w:t>
      </w:r>
      <w:proofErr w:type="spellStart"/>
      <w:r>
        <w:t>Ro</w:t>
      </w:r>
      <w:r w:rsidRPr="00C41906">
        <w:t>C</w:t>
      </w:r>
      <w:proofErr w:type="spellEnd"/>
      <w:r w:rsidRPr="00C41906">
        <w:t xml:space="preserve"> to upload data directly through the Business Intelligence (BI) platform.  The data will be collected from different, already existing WIPO platform</w:t>
      </w:r>
      <w:r>
        <w:t xml:space="preserve">s, such as: AIMS, EPM, FSCM, </w:t>
      </w:r>
      <w:r w:rsidRPr="00C41906">
        <w:t>HCM, and stored within the BI platform.  Thus, the data will be regrouped and elec</w:t>
      </w:r>
      <w:r>
        <w:t xml:space="preserve">tronically uploaded to the </w:t>
      </w:r>
      <w:proofErr w:type="spellStart"/>
      <w:r>
        <w:t>Ro</w:t>
      </w:r>
      <w:r w:rsidRPr="00C41906">
        <w:t>C</w:t>
      </w:r>
      <w:proofErr w:type="spellEnd"/>
      <w:r w:rsidRPr="00C41906">
        <w:t xml:space="preserve">.  </w:t>
      </w:r>
    </w:p>
    <w:p w:rsidR="00BC44FD" w:rsidRPr="00C41906" w:rsidRDefault="00BC44FD" w:rsidP="0028271A"/>
    <w:p w:rsidR="00BC44FD" w:rsidRPr="00C41906" w:rsidRDefault="00BC44FD" w:rsidP="0028271A">
      <w:r>
        <w:fldChar w:fldCharType="begin"/>
      </w:r>
      <w:r>
        <w:instrText xml:space="preserve"> AUTONUM  </w:instrText>
      </w:r>
      <w:r>
        <w:fldChar w:fldCharType="end"/>
      </w:r>
      <w:r>
        <w:tab/>
        <w:t>The above</w:t>
      </w:r>
      <w:r w:rsidRPr="00C41906">
        <w:t xml:space="preserve"> will significantly reduce the time taken to upload activities and data related to th</w:t>
      </w:r>
      <w:r>
        <w:t>e hired consultants/experts and avoid omissions, orthographical</w:t>
      </w:r>
      <w:r w:rsidRPr="00C41906">
        <w:t xml:space="preserve"> errors and inconsistence of data.</w:t>
      </w:r>
      <w:r>
        <w:t xml:space="preserve">  </w:t>
      </w:r>
      <w:r w:rsidRPr="00C41906">
        <w:t xml:space="preserve">It will also reduce the </w:t>
      </w:r>
      <w:r>
        <w:t>costs associated with the current</w:t>
      </w:r>
      <w:r w:rsidRPr="00C41906">
        <w:t xml:space="preserve"> manual processing of data. </w:t>
      </w:r>
    </w:p>
    <w:p w:rsidR="00BC44FD" w:rsidRPr="00C41906" w:rsidRDefault="00BC44FD" w:rsidP="0028271A"/>
    <w:p w:rsidR="00BC44FD" w:rsidRPr="00C41906" w:rsidRDefault="00BC44FD" w:rsidP="0028271A">
      <w:r w:rsidRPr="00C41906">
        <w:fldChar w:fldCharType="begin"/>
      </w:r>
      <w:r w:rsidRPr="00C41906">
        <w:instrText xml:space="preserve"> AUTONUM  </w:instrText>
      </w:r>
      <w:r w:rsidRPr="00C41906">
        <w:fldChar w:fldCharType="end"/>
      </w:r>
      <w:r w:rsidRPr="00C41906">
        <w:tab/>
        <w:t xml:space="preserve">In the first stage of the enhancement process, fields that need to be uploaded through the BI </w:t>
      </w:r>
      <w:r>
        <w:t xml:space="preserve">platform to the existing </w:t>
      </w:r>
      <w:proofErr w:type="spellStart"/>
      <w:r>
        <w:t>RoC</w:t>
      </w:r>
      <w:proofErr w:type="spellEnd"/>
      <w:r w:rsidRPr="00C41906">
        <w:t xml:space="preserve"> will be identified.  A staging environment will be prepared in the p</w:t>
      </w:r>
      <w:r>
        <w:t xml:space="preserve">resent </w:t>
      </w:r>
      <w:proofErr w:type="spellStart"/>
      <w:r>
        <w:t>Ro</w:t>
      </w:r>
      <w:r w:rsidRPr="00C41906">
        <w:t>C</w:t>
      </w:r>
      <w:proofErr w:type="spellEnd"/>
      <w:r w:rsidRPr="00C41906">
        <w:t xml:space="preserve"> to receive the uploaded information from the BI platform.  This part of the transition process is expected to be completed by December 2017.  It </w:t>
      </w:r>
      <w:r>
        <w:t>will</w:t>
      </w:r>
      <w:r w:rsidRPr="00C41906">
        <w:t xml:space="preserve"> ensure that the current reporting capabilities are maintained and that there is no degradation of information flow</w:t>
      </w:r>
      <w:r>
        <w:t>,</w:t>
      </w:r>
      <w:r w:rsidRPr="00C41906">
        <w:t xml:space="preserve"> neither for internal users, nor </w:t>
      </w:r>
      <w:r>
        <w:t xml:space="preserve">for </w:t>
      </w:r>
      <w:r w:rsidRPr="00C41906">
        <w:t xml:space="preserve">Member States.  </w:t>
      </w:r>
    </w:p>
    <w:p w:rsidR="00BC44FD" w:rsidRPr="00C41906" w:rsidRDefault="00BC44FD" w:rsidP="0028271A"/>
    <w:p w:rsidR="00BC44FD" w:rsidRPr="00C41906" w:rsidRDefault="00BC44FD" w:rsidP="0028271A">
      <w:r w:rsidRPr="00C41906">
        <w:fldChar w:fldCharType="begin"/>
      </w:r>
      <w:r w:rsidRPr="00C41906">
        <w:instrText xml:space="preserve"> AUTONUM  </w:instrText>
      </w:r>
      <w:r w:rsidRPr="00C41906">
        <w:fldChar w:fldCharType="end"/>
      </w:r>
      <w:r w:rsidRPr="00C41906">
        <w:tab/>
        <w:t>As mentioned above, not all the information on the</w:t>
      </w:r>
      <w:r>
        <w:t xml:space="preserve"> hired</w:t>
      </w:r>
      <w:r w:rsidRPr="00C41906">
        <w:t xml:space="preserve"> consultants/experts is made pu</w:t>
      </w:r>
      <w:r>
        <w:t xml:space="preserve">blicly available through the </w:t>
      </w:r>
      <w:proofErr w:type="spellStart"/>
      <w:r>
        <w:t>Ro</w:t>
      </w:r>
      <w:r w:rsidRPr="00C41906">
        <w:t>C</w:t>
      </w:r>
      <w:proofErr w:type="spellEnd"/>
      <w:r>
        <w:t xml:space="preserve"> for privacy reasons</w:t>
      </w:r>
      <w:r w:rsidRPr="00C41906">
        <w:t>.  A level of confidentiality will</w:t>
      </w:r>
      <w:r>
        <w:t xml:space="preserve"> continue to be maintained in the new </w:t>
      </w:r>
      <w:proofErr w:type="spellStart"/>
      <w:r>
        <w:t>Ro</w:t>
      </w:r>
      <w:r w:rsidRPr="00C41906">
        <w:t>C</w:t>
      </w:r>
      <w:proofErr w:type="spellEnd"/>
      <w:r w:rsidRPr="00C41906">
        <w:t xml:space="preserve">.  </w:t>
      </w:r>
    </w:p>
    <w:p w:rsidR="00BC44FD" w:rsidRPr="00C41906" w:rsidRDefault="00BC44FD" w:rsidP="0028271A"/>
    <w:p w:rsidR="00BC44FD" w:rsidRDefault="00BC44FD" w:rsidP="0028271A">
      <w:r w:rsidRPr="00C41906">
        <w:fldChar w:fldCharType="begin"/>
      </w:r>
      <w:r w:rsidRPr="00C41906">
        <w:instrText xml:space="preserve"> AUTONUM  </w:instrText>
      </w:r>
      <w:r w:rsidRPr="00C41906">
        <w:fldChar w:fldCharType="end"/>
      </w:r>
      <w:r w:rsidRPr="00C41906">
        <w:tab/>
      </w:r>
      <w:r>
        <w:t xml:space="preserve">Following its migration to the ERP platform, the </w:t>
      </w:r>
      <w:proofErr w:type="spellStart"/>
      <w:r>
        <w:t>Ro</w:t>
      </w:r>
      <w:r w:rsidRPr="00C41906">
        <w:t>C</w:t>
      </w:r>
      <w:proofErr w:type="spellEnd"/>
      <w:r w:rsidRPr="00C41906">
        <w:t xml:space="preserve"> will acquire a different look and format, which</w:t>
      </w:r>
      <w:r>
        <w:t xml:space="preserve"> is expected to provide a more user friendly interface and faster </w:t>
      </w:r>
      <w:r w:rsidRPr="008E15FB">
        <w:t>retrieval of</w:t>
      </w:r>
      <w:r>
        <w:t xml:space="preserve"> information.  </w:t>
      </w:r>
    </w:p>
    <w:p w:rsidR="00BC44FD" w:rsidRDefault="00BC44FD" w:rsidP="0028271A"/>
    <w:p w:rsidR="0079527A" w:rsidRDefault="0079527A" w:rsidP="0028271A"/>
    <w:p w:rsidR="00BC44FD" w:rsidRPr="00C41906" w:rsidRDefault="00BC44FD" w:rsidP="0028271A">
      <w:r>
        <w:lastRenderedPageBreak/>
        <w:fldChar w:fldCharType="begin"/>
      </w:r>
      <w:r>
        <w:instrText xml:space="preserve"> AUTONUM  </w:instrText>
      </w:r>
      <w:r>
        <w:fldChar w:fldCharType="end"/>
      </w:r>
      <w:r>
        <w:tab/>
        <w:t xml:space="preserve">The enhanced </w:t>
      </w:r>
      <w:proofErr w:type="spellStart"/>
      <w:r>
        <w:t>Ro</w:t>
      </w:r>
      <w:r w:rsidRPr="00C41906">
        <w:t>C</w:t>
      </w:r>
      <w:proofErr w:type="spellEnd"/>
      <w:r w:rsidRPr="00C41906">
        <w:t xml:space="preserve"> will also include certain new features, </w:t>
      </w:r>
      <w:r>
        <w:t>such as</w:t>
      </w:r>
      <w:r w:rsidRPr="00C41906">
        <w:t xml:space="preserve">: </w:t>
      </w:r>
    </w:p>
    <w:p w:rsidR="00BC44FD" w:rsidRPr="00C41906" w:rsidRDefault="00BC44FD" w:rsidP="0028271A"/>
    <w:p w:rsidR="00BC44FD" w:rsidRPr="00C41906" w:rsidRDefault="0079527A" w:rsidP="0079527A">
      <w:pPr>
        <w:ind w:left="567"/>
      </w:pPr>
      <w:r>
        <w:t>(a)</w:t>
      </w:r>
      <w:r>
        <w:tab/>
      </w:r>
      <w:r w:rsidR="00BC44FD">
        <w:t xml:space="preserve">The new </w:t>
      </w:r>
      <w:proofErr w:type="spellStart"/>
      <w:r w:rsidR="00BC44FD">
        <w:t>Ro</w:t>
      </w:r>
      <w:r w:rsidR="00BC44FD" w:rsidRPr="00C41906">
        <w:t>C</w:t>
      </w:r>
      <w:proofErr w:type="spellEnd"/>
      <w:r w:rsidR="00BC44FD" w:rsidRPr="00C41906">
        <w:t xml:space="preserve"> will give </w:t>
      </w:r>
      <w:r w:rsidR="00BC44FD">
        <w:t xml:space="preserve">participants </w:t>
      </w:r>
      <w:r w:rsidR="00BC44FD" w:rsidRPr="00C41906">
        <w:t xml:space="preserve">the possibility to evaluate the activities of the </w:t>
      </w:r>
      <w:r w:rsidR="00BC44FD">
        <w:t xml:space="preserve">hired </w:t>
      </w:r>
      <w:r w:rsidR="00BC44FD" w:rsidRPr="00C41906">
        <w:t xml:space="preserve">consultants/experts.  This will allow the improvement of the quality of activities carried out by WIPO.  </w:t>
      </w:r>
    </w:p>
    <w:p w:rsidR="00BC44FD" w:rsidRPr="00C41906" w:rsidRDefault="00BC44FD" w:rsidP="0079527A">
      <w:pPr>
        <w:ind w:left="567"/>
      </w:pPr>
    </w:p>
    <w:p w:rsidR="00BC44FD" w:rsidRPr="00AF55FC" w:rsidRDefault="0079527A" w:rsidP="0079527A">
      <w:pPr>
        <w:ind w:left="567"/>
      </w:pPr>
      <w:r>
        <w:t>(b)</w:t>
      </w:r>
      <w:r>
        <w:tab/>
      </w:r>
      <w:r w:rsidR="00BC44FD" w:rsidRPr="00AF55FC">
        <w:t xml:space="preserve">The </w:t>
      </w:r>
      <w:proofErr w:type="spellStart"/>
      <w:r w:rsidR="00BC44FD" w:rsidRPr="00AF55FC">
        <w:t>RoC</w:t>
      </w:r>
      <w:proofErr w:type="spellEnd"/>
      <w:r w:rsidR="00BC44FD" w:rsidRPr="00AF55FC">
        <w:t xml:space="preserve"> will permit to extract and shar</w:t>
      </w:r>
      <w:r w:rsidR="00F845FE">
        <w:t>e data with external parties.  For example</w:t>
      </w:r>
      <w:r w:rsidR="00BC44FD" w:rsidRPr="00AF55FC">
        <w:t xml:space="preserve">, </w:t>
      </w:r>
      <w:r w:rsidR="00F845FE">
        <w:t xml:space="preserve">the </w:t>
      </w:r>
      <w:r w:rsidR="00BC44FD" w:rsidRPr="00AF55FC">
        <w:t xml:space="preserve">updated data on the </w:t>
      </w:r>
      <w:proofErr w:type="spellStart"/>
      <w:r w:rsidR="00BC44FD" w:rsidRPr="00AF55FC">
        <w:t>RoC</w:t>
      </w:r>
      <w:proofErr w:type="spellEnd"/>
      <w:r w:rsidR="00BC44FD" w:rsidRPr="00AF55FC">
        <w:t xml:space="preserve"> will be automatically sent to the WTO Global Trade-Related Technical Assistance Database (GTAD)</w:t>
      </w:r>
      <w:r w:rsidR="00BC44FD" w:rsidRPr="00AF55FC">
        <w:rPr>
          <w:rStyle w:val="FootnoteReference"/>
        </w:rPr>
        <w:footnoteReference w:id="6"/>
      </w:r>
      <w:r w:rsidR="00F845FE">
        <w:t xml:space="preserve"> as compared to the current manual operation</w:t>
      </w:r>
      <w:bookmarkStart w:id="5" w:name="_GoBack"/>
      <w:bookmarkEnd w:id="5"/>
      <w:r w:rsidR="00BC44FD" w:rsidRPr="00AF55FC">
        <w:t xml:space="preserve">.  </w:t>
      </w:r>
    </w:p>
    <w:p w:rsidR="00BC44FD" w:rsidRPr="00C41906" w:rsidRDefault="00BC44FD" w:rsidP="0079527A">
      <w:pPr>
        <w:ind w:left="567"/>
      </w:pPr>
    </w:p>
    <w:p w:rsidR="00BC44FD" w:rsidRDefault="0079527A" w:rsidP="0079527A">
      <w:pPr>
        <w:ind w:left="567"/>
      </w:pPr>
      <w:r>
        <w:t>(</w:t>
      </w:r>
      <w:proofErr w:type="gramStart"/>
      <w:r>
        <w:t>c )</w:t>
      </w:r>
      <w:proofErr w:type="gramEnd"/>
      <w:r>
        <w:tab/>
      </w:r>
      <w:r w:rsidR="00BC44FD">
        <w:t xml:space="preserve">The </w:t>
      </w:r>
      <w:proofErr w:type="spellStart"/>
      <w:r w:rsidR="00BC44FD">
        <w:t>RoC</w:t>
      </w:r>
      <w:proofErr w:type="spellEnd"/>
      <w:r w:rsidR="00BC44FD">
        <w:t xml:space="preserve"> will make available information related to the assignment of the consultants/experts and their expertise, currently displayed only in English, in two additional languages: </w:t>
      </w:r>
      <w:r>
        <w:t xml:space="preserve"> </w:t>
      </w:r>
      <w:r w:rsidR="00BC44FD">
        <w:t xml:space="preserve">French and Spanish. </w:t>
      </w:r>
    </w:p>
    <w:p w:rsidR="00BC44FD" w:rsidRPr="00C41906" w:rsidRDefault="00BC44FD" w:rsidP="0028271A"/>
    <w:p w:rsidR="00BC44FD" w:rsidRDefault="00BC44FD" w:rsidP="0028271A">
      <w:r>
        <w:fldChar w:fldCharType="begin"/>
      </w:r>
      <w:r>
        <w:instrText xml:space="preserve"> AUTONUM  </w:instrText>
      </w:r>
      <w:r>
        <w:fldChar w:fldCharType="end"/>
      </w:r>
      <w:r>
        <w:tab/>
        <w:t xml:space="preserve">The </w:t>
      </w:r>
      <w:proofErr w:type="spellStart"/>
      <w:r>
        <w:t>RoC</w:t>
      </w:r>
      <w:proofErr w:type="spellEnd"/>
      <w:r>
        <w:t xml:space="preserve"> will allow internal users t</w:t>
      </w:r>
      <w:r w:rsidRPr="00C56606">
        <w:t xml:space="preserve">o </w:t>
      </w:r>
      <w:r>
        <w:t>extract reports</w:t>
      </w:r>
      <w:r w:rsidRPr="00D76A53">
        <w:t xml:space="preserve"> in three formats: PDF, Microsoft RTF (rtf) and, Microsoft Word (</w:t>
      </w:r>
      <w:proofErr w:type="spellStart"/>
      <w:r w:rsidRPr="00D76A53">
        <w:t>docx</w:t>
      </w:r>
      <w:proofErr w:type="spellEnd"/>
      <w:r w:rsidRPr="00D76A53">
        <w:t>)</w:t>
      </w:r>
      <w:r>
        <w:t xml:space="preserve"> and modify and/or delete them</w:t>
      </w:r>
      <w:r w:rsidRPr="00D76A53">
        <w:t xml:space="preserve">.  </w:t>
      </w:r>
      <w:r>
        <w:t>T</w:t>
      </w:r>
      <w:r w:rsidRPr="00C41906">
        <w:t>hrough the BI tool it will</w:t>
      </w:r>
      <w:r>
        <w:t xml:space="preserve"> also</w:t>
      </w:r>
      <w:r w:rsidRPr="00C41906">
        <w:t xml:space="preserve"> be possible to generate das</w:t>
      </w:r>
      <w:r>
        <w:t xml:space="preserve">hboards </w:t>
      </w:r>
      <w:r w:rsidRPr="00C41906">
        <w:t>along with graphic tables</w:t>
      </w:r>
      <w:r>
        <w:t>.  These reports could</w:t>
      </w:r>
      <w:r w:rsidRPr="00D76A53">
        <w:t xml:space="preserve"> be used for internal </w:t>
      </w:r>
      <w:r>
        <w:t>purposes</w:t>
      </w:r>
      <w:r w:rsidRPr="00D76A53">
        <w:t xml:space="preserve"> </w:t>
      </w:r>
      <w:r>
        <w:t>and could be</w:t>
      </w:r>
      <w:r w:rsidRPr="00D76A53">
        <w:t xml:space="preserve"> made availab</w:t>
      </w:r>
      <w:r>
        <w:t>le to external users</w:t>
      </w:r>
      <w:r w:rsidRPr="00D76A53">
        <w:t xml:space="preserve"> on the </w:t>
      </w:r>
      <w:proofErr w:type="spellStart"/>
      <w:r w:rsidRPr="00D76A53">
        <w:t>RoC</w:t>
      </w:r>
      <w:proofErr w:type="spellEnd"/>
      <w:r w:rsidRPr="00D76A53">
        <w:t xml:space="preserve"> webpage.</w:t>
      </w:r>
    </w:p>
    <w:p w:rsidR="00BC44FD" w:rsidRDefault="00BC44FD" w:rsidP="0028271A"/>
    <w:p w:rsidR="00BC44FD" w:rsidRPr="00C41906" w:rsidRDefault="00BC44FD" w:rsidP="0028271A">
      <w:r w:rsidRPr="00C41906">
        <w:fldChar w:fldCharType="begin"/>
      </w:r>
      <w:r w:rsidRPr="00C41906">
        <w:instrText xml:space="preserve"> AUTONUM  </w:instrText>
      </w:r>
      <w:r w:rsidRPr="00C41906">
        <w:fldChar w:fldCharType="end"/>
      </w:r>
      <w:r w:rsidRPr="00C41906">
        <w:tab/>
        <w:t>These changes will considerably improve the quality of the data used and therefore, will improve the overall process and costumer experience.</w:t>
      </w:r>
    </w:p>
    <w:p w:rsidR="00BC44FD" w:rsidRPr="00C41906" w:rsidRDefault="00BC44FD" w:rsidP="0028271A"/>
    <w:p w:rsidR="00BC44FD" w:rsidRPr="00C41906" w:rsidRDefault="00BC44FD" w:rsidP="0028271A">
      <w:r w:rsidRPr="00C41906">
        <w:fldChar w:fldCharType="begin"/>
      </w:r>
      <w:r w:rsidRPr="00C41906">
        <w:instrText xml:space="preserve"> AUTONUM  </w:instrText>
      </w:r>
      <w:r w:rsidRPr="00C41906">
        <w:fldChar w:fldCharType="end"/>
      </w:r>
      <w:r w:rsidRPr="00C41906">
        <w:tab/>
        <w:t>The transition to the ERP is foreseen to be completed by March 2018.  Upon its completion, the ne</w:t>
      </w:r>
      <w:r>
        <w:t xml:space="preserve">wly updated </w:t>
      </w:r>
      <w:proofErr w:type="spellStart"/>
      <w:r w:rsidRPr="00C41906">
        <w:t>R</w:t>
      </w:r>
      <w:r>
        <w:t>o</w:t>
      </w:r>
      <w:r w:rsidRPr="00C41906">
        <w:t>C</w:t>
      </w:r>
      <w:proofErr w:type="spellEnd"/>
      <w:r w:rsidRPr="00C41906">
        <w:t xml:space="preserve"> database will be presented to the CDIP at</w:t>
      </w:r>
      <w:r>
        <w:t xml:space="preserve"> a</w:t>
      </w:r>
      <w:r w:rsidRPr="00C41906">
        <w:t xml:space="preserve"> further session. </w:t>
      </w:r>
    </w:p>
    <w:p w:rsidR="00BC44FD" w:rsidRPr="00491760" w:rsidRDefault="00BC44FD" w:rsidP="0028271A"/>
    <w:p w:rsidR="00BC44FD" w:rsidRPr="0079527A" w:rsidRDefault="00BC44FD" w:rsidP="0079527A">
      <w:pPr>
        <w:ind w:left="5533"/>
        <w:rPr>
          <w:i/>
        </w:rPr>
      </w:pPr>
      <w:r w:rsidRPr="0079527A">
        <w:rPr>
          <w:i/>
        </w:rPr>
        <w:fldChar w:fldCharType="begin"/>
      </w:r>
      <w:r w:rsidRPr="0079527A">
        <w:rPr>
          <w:i/>
        </w:rPr>
        <w:instrText xml:space="preserve"> AUTONUM  </w:instrText>
      </w:r>
      <w:r w:rsidRPr="0079527A">
        <w:rPr>
          <w:i/>
        </w:rPr>
        <w:fldChar w:fldCharType="end"/>
      </w:r>
      <w:r w:rsidRPr="0079527A">
        <w:rPr>
          <w:i/>
        </w:rPr>
        <w:tab/>
        <w:t>The CDIP is invited to take note of the information contained in this document.</w:t>
      </w:r>
    </w:p>
    <w:p w:rsidR="00BC44FD" w:rsidRPr="0079527A" w:rsidRDefault="00BC44FD" w:rsidP="0079527A">
      <w:pPr>
        <w:ind w:left="5533"/>
        <w:rPr>
          <w:i/>
        </w:rPr>
      </w:pPr>
    </w:p>
    <w:p w:rsidR="007472C2" w:rsidRDefault="007472C2" w:rsidP="0079527A">
      <w:pPr>
        <w:ind w:left="5533"/>
        <w:rPr>
          <w:i/>
        </w:rPr>
      </w:pPr>
    </w:p>
    <w:p w:rsidR="0079527A" w:rsidRDefault="0079527A" w:rsidP="0079527A">
      <w:pPr>
        <w:ind w:left="5533"/>
        <w:rPr>
          <w:i/>
        </w:rPr>
      </w:pPr>
    </w:p>
    <w:p w:rsidR="0079527A" w:rsidRPr="0079527A" w:rsidRDefault="0079527A" w:rsidP="0079527A">
      <w:pPr>
        <w:ind w:left="5533"/>
        <w:rPr>
          <w:iCs/>
        </w:rPr>
      </w:pPr>
      <w:r w:rsidRPr="0079527A">
        <w:rPr>
          <w:iCs/>
        </w:rPr>
        <w:t>[End of document]</w:t>
      </w:r>
    </w:p>
    <w:sectPr w:rsidR="0079527A" w:rsidRPr="0079527A" w:rsidSect="00DE5CC0">
      <w:headerReference w:type="default" r:id="rId14"/>
      <w:footerReference w:type="default" r:id="rId15"/>
      <w:footerReference w:type="first" r:id="rId16"/>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168" w:rsidRDefault="00267168">
      <w:r>
        <w:separator/>
      </w:r>
    </w:p>
  </w:endnote>
  <w:endnote w:type="continuationSeparator" w:id="0">
    <w:p w:rsidR="00267168" w:rsidRDefault="00267168" w:rsidP="003B38C1">
      <w:r>
        <w:separator/>
      </w:r>
    </w:p>
    <w:p w:rsidR="00267168" w:rsidRPr="003B38C1" w:rsidRDefault="00267168" w:rsidP="003B38C1">
      <w:pPr>
        <w:spacing w:after="60"/>
        <w:rPr>
          <w:sz w:val="17"/>
        </w:rPr>
      </w:pPr>
      <w:r>
        <w:rPr>
          <w:sz w:val="17"/>
        </w:rPr>
        <w:t>[Endnote continued from previous page]</w:t>
      </w:r>
    </w:p>
  </w:endnote>
  <w:endnote w:type="continuationNotice" w:id="1">
    <w:p w:rsidR="00267168" w:rsidRPr="003B38C1" w:rsidRDefault="0026716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71A" w:rsidRDefault="002B3769" w:rsidP="00783F35">
    <w:pPr>
      <w:pStyle w:val="Footer"/>
      <w:jc w:val="center"/>
    </w:pPr>
  </w:p>
  <w:p w:rsidR="0028271A" w:rsidRDefault="002B37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81" w:rsidRDefault="002B3769" w:rsidP="00BC44FD">
    <w:pPr>
      <w:pStyle w:val="Footer"/>
      <w:jc w:val="center"/>
    </w:pPr>
  </w:p>
  <w:p w:rsidR="0060163A" w:rsidRDefault="002B37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168" w:rsidRDefault="00267168">
      <w:r>
        <w:separator/>
      </w:r>
    </w:p>
  </w:footnote>
  <w:footnote w:type="continuationSeparator" w:id="0">
    <w:p w:rsidR="00267168" w:rsidRDefault="00267168" w:rsidP="008B60B2">
      <w:r>
        <w:separator/>
      </w:r>
    </w:p>
    <w:p w:rsidR="00267168" w:rsidRPr="00ED77FB" w:rsidRDefault="00267168" w:rsidP="008B60B2">
      <w:pPr>
        <w:spacing w:after="60"/>
        <w:rPr>
          <w:sz w:val="17"/>
          <w:szCs w:val="17"/>
        </w:rPr>
      </w:pPr>
      <w:r w:rsidRPr="00ED77FB">
        <w:rPr>
          <w:sz w:val="17"/>
          <w:szCs w:val="17"/>
        </w:rPr>
        <w:t>[Footnote continued from previous page]</w:t>
      </w:r>
    </w:p>
  </w:footnote>
  <w:footnote w:type="continuationNotice" w:id="1">
    <w:p w:rsidR="00267168" w:rsidRPr="00ED77FB" w:rsidRDefault="00267168" w:rsidP="008B60B2">
      <w:pPr>
        <w:spacing w:before="60"/>
        <w:jc w:val="right"/>
        <w:rPr>
          <w:sz w:val="17"/>
          <w:szCs w:val="17"/>
        </w:rPr>
      </w:pPr>
      <w:r w:rsidRPr="00ED77FB">
        <w:rPr>
          <w:sz w:val="17"/>
          <w:szCs w:val="17"/>
        </w:rPr>
        <w:t>[Footnote continued on next page]</w:t>
      </w:r>
    </w:p>
  </w:footnote>
  <w:footnote w:id="2">
    <w:p w:rsidR="00BC44FD" w:rsidRDefault="00BC44FD" w:rsidP="0028271A">
      <w:pPr>
        <w:pStyle w:val="FootnoteText"/>
      </w:pPr>
      <w:r>
        <w:rPr>
          <w:rStyle w:val="FootnoteReference"/>
        </w:rPr>
        <w:footnoteRef/>
      </w:r>
      <w:r>
        <w:t xml:space="preserve"> Summary by the Chair CDIP/17, Appendix I, paragraph 5</w:t>
      </w:r>
    </w:p>
  </w:footnote>
  <w:footnote w:id="3">
    <w:p w:rsidR="00BC44FD" w:rsidRDefault="00BC44FD" w:rsidP="0028271A">
      <w:pPr>
        <w:pStyle w:val="FootnoteText"/>
      </w:pPr>
      <w:r>
        <w:rPr>
          <w:rStyle w:val="FootnoteReference"/>
        </w:rPr>
        <w:footnoteRef/>
      </w:r>
      <w:r>
        <w:t xml:space="preserve"> WIPO DA Recommendations, available at: </w:t>
      </w:r>
      <w:r w:rsidRPr="00580DDD">
        <w:t>http://www.wipo.int/ip-development/en/agenda/recommendations.html</w:t>
      </w:r>
    </w:p>
  </w:footnote>
  <w:footnote w:id="4">
    <w:p w:rsidR="00BC44FD" w:rsidRPr="00087B3F" w:rsidRDefault="00BC44FD" w:rsidP="0028271A">
      <w:pPr>
        <w:pStyle w:val="FootnoteText"/>
      </w:pPr>
      <w:r>
        <w:rPr>
          <w:rStyle w:val="FootnoteReference"/>
        </w:rPr>
        <w:footnoteRef/>
      </w:r>
      <w:r w:rsidRPr="00087B3F">
        <w:t xml:space="preserve"> Document CDIP/3/2,</w:t>
      </w:r>
      <w:r w:rsidRPr="004D4CFD">
        <w:rPr>
          <w:sz w:val="22"/>
        </w:rPr>
        <w:t xml:space="preserve"> </w:t>
      </w:r>
      <w:r w:rsidRPr="004D4CFD">
        <w:t>Roster Of Consultants - Recommendation 6</w:t>
      </w:r>
      <w:r>
        <w:t>,</w:t>
      </w:r>
      <w:r w:rsidRPr="00087B3F">
        <w:t xml:space="preserve"> available at : </w:t>
      </w:r>
      <w:hyperlink r:id="rId1" w:history="1">
        <w:r w:rsidRPr="00087B3F">
          <w:rPr>
            <w:rStyle w:val="Hyperlink"/>
          </w:rPr>
          <w:t>http://www.wipo.int/edocs/mdocs/mdocs/en/cdip_3/cdip_3_2.pdf</w:t>
        </w:r>
      </w:hyperlink>
      <w:r w:rsidRPr="00087B3F">
        <w:t xml:space="preserve"> </w:t>
      </w:r>
    </w:p>
  </w:footnote>
  <w:footnote w:id="5">
    <w:p w:rsidR="00BC44FD" w:rsidRDefault="00BC44FD" w:rsidP="0028271A">
      <w:pPr>
        <w:pStyle w:val="FootnoteText"/>
      </w:pPr>
      <w:r>
        <w:rPr>
          <w:rStyle w:val="FootnoteReference"/>
        </w:rPr>
        <w:footnoteRef/>
      </w:r>
      <w:r>
        <w:t xml:space="preserve"> Project documents for implementation of Recommendations 2, 5, 8, 9 and 10, available at </w:t>
      </w:r>
      <w:hyperlink r:id="rId2" w:history="1">
        <w:r w:rsidRPr="007928DC">
          <w:rPr>
            <w:rStyle w:val="Hyperlink"/>
          </w:rPr>
          <w:t>http://www.wipo.int/edocs/mdocs/mdocs/en/cdip_3/cdip_3_inf_2.pdf</w:t>
        </w:r>
      </w:hyperlink>
      <w:r>
        <w:t xml:space="preserve">  </w:t>
      </w:r>
    </w:p>
  </w:footnote>
  <w:footnote w:id="6">
    <w:p w:rsidR="00BC44FD" w:rsidRDefault="00BC44FD" w:rsidP="0028271A">
      <w:pPr>
        <w:pStyle w:val="FootnoteText"/>
      </w:pPr>
      <w:r>
        <w:rPr>
          <w:rStyle w:val="FootnoteReference"/>
        </w:rPr>
        <w:footnoteRef/>
      </w:r>
      <w:r>
        <w:t xml:space="preserve"> WTO Global Trade-Related Technical Assistance Database, </w:t>
      </w:r>
      <w:hyperlink r:id="rId3" w:history="1">
        <w:r w:rsidRPr="0071618B">
          <w:rPr>
            <w:rStyle w:val="Hyperlink"/>
          </w:rPr>
          <w:t>http://gtad.wto.org/</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CC0" w:rsidRDefault="00DE5CC0" w:rsidP="00477D6B">
    <w:pPr>
      <w:jc w:val="right"/>
    </w:pPr>
    <w:r>
      <w:t>CDIP/20/6</w:t>
    </w:r>
  </w:p>
  <w:p w:rsidR="00DE5CC0" w:rsidRDefault="00DE5CC0" w:rsidP="00477D6B">
    <w:pPr>
      <w:jc w:val="right"/>
    </w:pPr>
    <w:r>
      <w:t xml:space="preserve"> </w:t>
    </w:r>
    <w:proofErr w:type="gramStart"/>
    <w:r>
      <w:t>page</w:t>
    </w:r>
    <w:proofErr w:type="gramEnd"/>
    <w:r>
      <w:t xml:space="preserve"> </w:t>
    </w:r>
    <w:r>
      <w:fldChar w:fldCharType="begin"/>
    </w:r>
    <w:r>
      <w:instrText xml:space="preserve"> PAGE  \* MERGEFORMAT </w:instrText>
    </w:r>
    <w:r>
      <w:fldChar w:fldCharType="separate"/>
    </w:r>
    <w:r w:rsidR="002B3769">
      <w:rPr>
        <w:noProof/>
      </w:rPr>
      <w:t>6</w:t>
    </w:r>
    <w:r>
      <w:fldChar w:fldCharType="end"/>
    </w:r>
  </w:p>
  <w:p w:rsidR="00DE5CC0" w:rsidRDefault="00DE5CC0" w:rsidP="00477D6B">
    <w:pPr>
      <w:jc w:val="right"/>
    </w:pPr>
  </w:p>
  <w:p w:rsidR="00DE5CC0" w:rsidRDefault="00DE5CC0"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2D097314"/>
    <w:multiLevelType w:val="hybridMultilevel"/>
    <w:tmpl w:val="3C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0"/>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168"/>
    <w:rsid w:val="00001E20"/>
    <w:rsid w:val="00043CAA"/>
    <w:rsid w:val="00075432"/>
    <w:rsid w:val="000968ED"/>
    <w:rsid w:val="000F5E56"/>
    <w:rsid w:val="001362EE"/>
    <w:rsid w:val="001832A6"/>
    <w:rsid w:val="001C6003"/>
    <w:rsid w:val="0021217E"/>
    <w:rsid w:val="002262FF"/>
    <w:rsid w:val="002634C4"/>
    <w:rsid w:val="00267168"/>
    <w:rsid w:val="002928D3"/>
    <w:rsid w:val="002B3769"/>
    <w:rsid w:val="002F1FE6"/>
    <w:rsid w:val="002F4E68"/>
    <w:rsid w:val="00312F7F"/>
    <w:rsid w:val="00361450"/>
    <w:rsid w:val="003673CF"/>
    <w:rsid w:val="003845C1"/>
    <w:rsid w:val="003A6F89"/>
    <w:rsid w:val="003B38C1"/>
    <w:rsid w:val="00423E3E"/>
    <w:rsid w:val="00427AF4"/>
    <w:rsid w:val="0043632C"/>
    <w:rsid w:val="004647DA"/>
    <w:rsid w:val="00474062"/>
    <w:rsid w:val="00477D6B"/>
    <w:rsid w:val="005019FF"/>
    <w:rsid w:val="0053057A"/>
    <w:rsid w:val="00560A29"/>
    <w:rsid w:val="005C6649"/>
    <w:rsid w:val="00605827"/>
    <w:rsid w:val="00646050"/>
    <w:rsid w:val="006713CA"/>
    <w:rsid w:val="00676C5C"/>
    <w:rsid w:val="007472C2"/>
    <w:rsid w:val="00783F35"/>
    <w:rsid w:val="0079527A"/>
    <w:rsid w:val="007D1613"/>
    <w:rsid w:val="007E4C0E"/>
    <w:rsid w:val="008B2CC1"/>
    <w:rsid w:val="008B60B2"/>
    <w:rsid w:val="0090731E"/>
    <w:rsid w:val="00916EE2"/>
    <w:rsid w:val="00966A22"/>
    <w:rsid w:val="0096722F"/>
    <w:rsid w:val="00980843"/>
    <w:rsid w:val="009E2791"/>
    <w:rsid w:val="009E3F6F"/>
    <w:rsid w:val="009F499F"/>
    <w:rsid w:val="00A42DAF"/>
    <w:rsid w:val="00A45BD8"/>
    <w:rsid w:val="00A869B7"/>
    <w:rsid w:val="00AC205C"/>
    <w:rsid w:val="00AF0A6B"/>
    <w:rsid w:val="00B05A69"/>
    <w:rsid w:val="00B9734B"/>
    <w:rsid w:val="00BA30E2"/>
    <w:rsid w:val="00BC44FD"/>
    <w:rsid w:val="00BE5719"/>
    <w:rsid w:val="00C11BFE"/>
    <w:rsid w:val="00C5068F"/>
    <w:rsid w:val="00CB1DF6"/>
    <w:rsid w:val="00CD04F1"/>
    <w:rsid w:val="00D162A4"/>
    <w:rsid w:val="00D45252"/>
    <w:rsid w:val="00D71B4D"/>
    <w:rsid w:val="00D93D55"/>
    <w:rsid w:val="00DE5CC0"/>
    <w:rsid w:val="00E15015"/>
    <w:rsid w:val="00E335FE"/>
    <w:rsid w:val="00EC4E49"/>
    <w:rsid w:val="00ED77FB"/>
    <w:rsid w:val="00EE45FA"/>
    <w:rsid w:val="00F437F3"/>
    <w:rsid w:val="00F66152"/>
    <w:rsid w:val="00F845FE"/>
    <w:rsid w:val="00F868A4"/>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B1DF6"/>
    <w:rPr>
      <w:rFonts w:ascii="Tahoma" w:hAnsi="Tahoma" w:cs="Tahoma"/>
      <w:sz w:val="16"/>
      <w:szCs w:val="16"/>
    </w:rPr>
  </w:style>
  <w:style w:type="character" w:customStyle="1" w:styleId="BalloonTextChar">
    <w:name w:val="Balloon Text Char"/>
    <w:basedOn w:val="DefaultParagraphFont"/>
    <w:link w:val="BalloonText"/>
    <w:rsid w:val="00CB1DF6"/>
    <w:rPr>
      <w:rFonts w:ascii="Tahoma" w:eastAsia="SimSun" w:hAnsi="Tahoma" w:cs="Tahoma"/>
      <w:sz w:val="16"/>
      <w:szCs w:val="16"/>
      <w:lang w:val="en-US" w:eastAsia="zh-CN"/>
    </w:rPr>
  </w:style>
  <w:style w:type="character" w:styleId="FootnoteReference">
    <w:name w:val="footnote reference"/>
    <w:basedOn w:val="DefaultParagraphFont"/>
    <w:rsid w:val="007472C2"/>
    <w:rPr>
      <w:vertAlign w:val="superscript"/>
    </w:rPr>
  </w:style>
  <w:style w:type="character" w:styleId="Hyperlink">
    <w:name w:val="Hyperlink"/>
    <w:basedOn w:val="DefaultParagraphFont"/>
    <w:rsid w:val="007472C2"/>
    <w:rPr>
      <w:color w:val="0000FF" w:themeColor="hyperlink"/>
      <w:u w:val="single"/>
    </w:rPr>
  </w:style>
  <w:style w:type="character" w:customStyle="1" w:styleId="FooterChar">
    <w:name w:val="Footer Char"/>
    <w:basedOn w:val="DefaultParagraphFont"/>
    <w:link w:val="Footer"/>
    <w:uiPriority w:val="99"/>
    <w:rsid w:val="007472C2"/>
    <w:rPr>
      <w:rFonts w:ascii="Arial" w:eastAsia="SimSun" w:hAnsi="Arial" w:cs="Arial"/>
      <w:sz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B1DF6"/>
    <w:rPr>
      <w:rFonts w:ascii="Tahoma" w:hAnsi="Tahoma" w:cs="Tahoma"/>
      <w:sz w:val="16"/>
      <w:szCs w:val="16"/>
    </w:rPr>
  </w:style>
  <w:style w:type="character" w:customStyle="1" w:styleId="BalloonTextChar">
    <w:name w:val="Balloon Text Char"/>
    <w:basedOn w:val="DefaultParagraphFont"/>
    <w:link w:val="BalloonText"/>
    <w:rsid w:val="00CB1DF6"/>
    <w:rPr>
      <w:rFonts w:ascii="Tahoma" w:eastAsia="SimSun" w:hAnsi="Tahoma" w:cs="Tahoma"/>
      <w:sz w:val="16"/>
      <w:szCs w:val="16"/>
      <w:lang w:val="en-US" w:eastAsia="zh-CN"/>
    </w:rPr>
  </w:style>
  <w:style w:type="character" w:styleId="FootnoteReference">
    <w:name w:val="footnote reference"/>
    <w:basedOn w:val="DefaultParagraphFont"/>
    <w:rsid w:val="007472C2"/>
    <w:rPr>
      <w:vertAlign w:val="superscript"/>
    </w:rPr>
  </w:style>
  <w:style w:type="character" w:styleId="Hyperlink">
    <w:name w:val="Hyperlink"/>
    <w:basedOn w:val="DefaultParagraphFont"/>
    <w:rsid w:val="007472C2"/>
    <w:rPr>
      <w:color w:val="0000FF" w:themeColor="hyperlink"/>
      <w:u w:val="single"/>
    </w:rPr>
  </w:style>
  <w:style w:type="character" w:customStyle="1" w:styleId="FooterChar">
    <w:name w:val="Footer Char"/>
    <w:basedOn w:val="DefaultParagraphFont"/>
    <w:link w:val="Footer"/>
    <w:uiPriority w:val="99"/>
    <w:rsid w:val="007472C2"/>
    <w:rPr>
      <w:rFonts w:ascii="Arial" w:eastAsia="SimSun" w:hAnsi="Arial" w:cs="Arial"/>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wipo.int/roc/en/index.jsp"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gtad.wto.org/" TargetMode="External"/><Relationship Id="rId2" Type="http://schemas.openxmlformats.org/officeDocument/2006/relationships/hyperlink" Target="http://www.wipo.int/edocs/mdocs/mdocs/en/cdip_3/cdip_3_inf_2.pdf" TargetMode="External"/><Relationship Id="rId1" Type="http://schemas.openxmlformats.org/officeDocument/2006/relationships/hyperlink" Target="http://www.wipo.int/edocs/mdocs/mdocs/en/cdip_3/cdip_3_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20%20(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[Consultants list 2015-16.xlsx]Sheet1!PivotTable1</c:name>
    <c:fmtId val="-1"/>
  </c:pivotSource>
  <c:chart>
    <c:autoTitleDeleted val="1"/>
    <c:pivotFmts>
      <c:pivotFmt>
        <c:idx val="0"/>
        <c:marker>
          <c:symbol val="none"/>
        </c:marker>
        <c:dLbl>
          <c:idx val="0"/>
          <c:spPr/>
          <c:txPr>
            <a:bodyPr/>
            <a:lstStyle/>
            <a:p>
              <a:pPr>
                <a:defRPr b="1">
                  <a:solidFill>
                    <a:schemeClr val="bg1"/>
                  </a:solidFill>
                </a:defRPr>
              </a:pPr>
              <a:endParaRPr lang="en-US"/>
            </a:p>
          </c:txPr>
          <c:showLegendKey val="0"/>
          <c:showVal val="1"/>
          <c:showCatName val="1"/>
          <c:showSerName val="0"/>
          <c:showPercent val="1"/>
          <c:showBubbleSize val="0"/>
        </c:dLbl>
      </c:pivotFmt>
      <c:pivotFmt>
        <c:idx val="1"/>
        <c:dLbl>
          <c:idx val="0"/>
          <c:layout>
            <c:manualLayout>
              <c:x val="0.22196319018404909"/>
              <c:y val="5.0728064055284232E-2"/>
            </c:manualLayout>
          </c:layout>
          <c:tx>
            <c:rich>
              <a:bodyPr/>
              <a:lstStyle/>
              <a:p>
                <a:r>
                  <a:rPr lang="en-US" b="1">
                    <a:solidFill>
                      <a:schemeClr val="bg1"/>
                    </a:solidFill>
                  </a:rPr>
                  <a:t>Male</a:t>
                </a:r>
              </a:p>
              <a:p>
                <a:r>
                  <a:rPr lang="en-US" b="1">
                    <a:solidFill>
                      <a:schemeClr val="bg1"/>
                    </a:solidFill>
                  </a:rPr>
                  <a:t>545; 70%</a:t>
                </a:r>
                <a:endParaRPr lang="en-US"/>
              </a:p>
            </c:rich>
          </c:tx>
          <c:showLegendKey val="0"/>
          <c:showVal val="1"/>
          <c:showCatName val="1"/>
          <c:showSerName val="0"/>
          <c:showPercent val="1"/>
          <c:showBubbleSize val="0"/>
        </c:dLbl>
      </c:pivotFmt>
      <c:pivotFmt>
        <c:idx val="2"/>
        <c:dLbl>
          <c:idx val="0"/>
          <c:tx>
            <c:rich>
              <a:bodyPr/>
              <a:lstStyle/>
              <a:p>
                <a:r>
                  <a:rPr lang="en-US" b="1">
                    <a:solidFill>
                      <a:schemeClr val="bg1"/>
                    </a:solidFill>
                  </a:rPr>
                  <a:t>Female</a:t>
                </a:r>
              </a:p>
              <a:p>
                <a:r>
                  <a:rPr lang="en-US" b="1">
                    <a:solidFill>
                      <a:schemeClr val="bg1"/>
                    </a:solidFill>
                  </a:rPr>
                  <a:t>238; 30%</a:t>
                </a:r>
              </a:p>
            </c:rich>
          </c:tx>
          <c:showLegendKey val="0"/>
          <c:showVal val="1"/>
          <c:showCatName val="1"/>
          <c:showSerName val="0"/>
          <c:showPercent val="1"/>
          <c:showBubbleSize val="0"/>
        </c:dLbl>
      </c:pivotFmt>
      <c:pivotFmt>
        <c:idx val="3"/>
        <c:marker>
          <c:symbol val="none"/>
        </c:marker>
        <c:dLbl>
          <c:idx val="0"/>
          <c:spPr/>
          <c:txPr>
            <a:bodyPr/>
            <a:lstStyle/>
            <a:p>
              <a:pPr>
                <a:defRPr b="1">
                  <a:solidFill>
                    <a:schemeClr val="bg1"/>
                  </a:solidFill>
                </a:defRPr>
              </a:pPr>
              <a:endParaRPr lang="en-US"/>
            </a:p>
          </c:txPr>
          <c:showLegendKey val="0"/>
          <c:showVal val="1"/>
          <c:showCatName val="1"/>
          <c:showSerName val="0"/>
          <c:showPercent val="1"/>
          <c:showBubbleSize val="0"/>
        </c:dLbl>
      </c:pivotFmt>
      <c:pivotFmt>
        <c:idx val="4"/>
        <c:dLbl>
          <c:idx val="0"/>
          <c:tx>
            <c:rich>
              <a:bodyPr/>
              <a:lstStyle/>
              <a:p>
                <a:r>
                  <a:rPr lang="en-US" b="1">
                    <a:solidFill>
                      <a:schemeClr val="bg1"/>
                    </a:solidFill>
                  </a:rPr>
                  <a:t>Female</a:t>
                </a:r>
              </a:p>
              <a:p>
                <a:r>
                  <a:rPr lang="en-US" b="1">
                    <a:solidFill>
                      <a:schemeClr val="bg1"/>
                    </a:solidFill>
                  </a:rPr>
                  <a:t>238; 30%</a:t>
                </a:r>
              </a:p>
            </c:rich>
          </c:tx>
          <c:showLegendKey val="0"/>
          <c:showVal val="1"/>
          <c:showCatName val="1"/>
          <c:showSerName val="0"/>
          <c:showPercent val="1"/>
          <c:showBubbleSize val="0"/>
        </c:dLbl>
      </c:pivotFmt>
      <c:pivotFmt>
        <c:idx val="5"/>
        <c:dLbl>
          <c:idx val="0"/>
          <c:layout>
            <c:manualLayout>
              <c:x val="0.22196319018404909"/>
              <c:y val="5.0728064055284232E-2"/>
            </c:manualLayout>
          </c:layout>
          <c:tx>
            <c:rich>
              <a:bodyPr/>
              <a:lstStyle/>
              <a:p>
                <a:r>
                  <a:rPr lang="en-US" b="1">
                    <a:solidFill>
                      <a:schemeClr val="bg1"/>
                    </a:solidFill>
                  </a:rPr>
                  <a:t>Male</a:t>
                </a:r>
              </a:p>
              <a:p>
                <a:r>
                  <a:rPr lang="en-US" b="1">
                    <a:solidFill>
                      <a:schemeClr val="bg1"/>
                    </a:solidFill>
                  </a:rPr>
                  <a:t>545; 70%</a:t>
                </a:r>
                <a:endParaRPr lang="en-US"/>
              </a:p>
            </c:rich>
          </c:tx>
          <c:showLegendKey val="0"/>
          <c:showVal val="1"/>
          <c:showCatName val="1"/>
          <c:showSerName val="0"/>
          <c:showPercent val="1"/>
          <c:showBubbleSize val="0"/>
        </c:dLbl>
      </c:pivotFmt>
      <c:pivotFmt>
        <c:idx val="6"/>
        <c:marker>
          <c:symbol val="none"/>
        </c:marker>
        <c:dLbl>
          <c:idx val="0"/>
          <c:spPr/>
          <c:txPr>
            <a:bodyPr/>
            <a:lstStyle/>
            <a:p>
              <a:pPr>
                <a:defRPr b="1">
                  <a:solidFill>
                    <a:schemeClr val="bg1"/>
                  </a:solidFill>
                </a:defRPr>
              </a:pPr>
              <a:endParaRPr lang="en-US"/>
            </a:p>
          </c:txPr>
          <c:showLegendKey val="0"/>
          <c:showVal val="1"/>
          <c:showCatName val="1"/>
          <c:showSerName val="0"/>
          <c:showPercent val="1"/>
          <c:showBubbleSize val="0"/>
        </c:dLbl>
      </c:pivotFmt>
      <c:pivotFmt>
        <c:idx val="7"/>
        <c:dLbl>
          <c:idx val="0"/>
          <c:tx>
            <c:rich>
              <a:bodyPr/>
              <a:lstStyle/>
              <a:p>
                <a:r>
                  <a:rPr lang="en-US" b="1">
                    <a:solidFill>
                      <a:schemeClr val="bg1"/>
                    </a:solidFill>
                  </a:rPr>
                  <a:t>Female</a:t>
                </a:r>
              </a:p>
              <a:p>
                <a:r>
                  <a:rPr lang="en-US" b="1">
                    <a:solidFill>
                      <a:schemeClr val="bg1"/>
                    </a:solidFill>
                  </a:rPr>
                  <a:t>238; 30%</a:t>
                </a:r>
              </a:p>
            </c:rich>
          </c:tx>
          <c:showLegendKey val="0"/>
          <c:showVal val="1"/>
          <c:showCatName val="1"/>
          <c:showSerName val="0"/>
          <c:showPercent val="1"/>
          <c:showBubbleSize val="0"/>
        </c:dLbl>
      </c:pivotFmt>
      <c:pivotFmt>
        <c:idx val="8"/>
        <c:dLbl>
          <c:idx val="0"/>
          <c:layout>
            <c:manualLayout>
              <c:x val="0.22196319018404909"/>
              <c:y val="5.0728064055284232E-2"/>
            </c:manualLayout>
          </c:layout>
          <c:tx>
            <c:rich>
              <a:bodyPr/>
              <a:lstStyle/>
              <a:p>
                <a:r>
                  <a:rPr lang="en-US" b="1">
                    <a:solidFill>
                      <a:schemeClr val="bg1"/>
                    </a:solidFill>
                  </a:rPr>
                  <a:t>Male</a:t>
                </a:r>
              </a:p>
              <a:p>
                <a:r>
                  <a:rPr lang="en-US" b="1">
                    <a:solidFill>
                      <a:schemeClr val="bg1"/>
                    </a:solidFill>
                  </a:rPr>
                  <a:t>545; 70%</a:t>
                </a:r>
                <a:endParaRPr lang="en-US"/>
              </a:p>
            </c:rich>
          </c:tx>
          <c:showLegendKey val="0"/>
          <c:showVal val="1"/>
          <c:showCatName val="1"/>
          <c:showSerName val="0"/>
          <c:showPercent val="1"/>
          <c:showBubbleSize val="0"/>
        </c:dLbl>
      </c:pivotFmt>
    </c:pivotFmts>
    <c:view3D>
      <c:rotX val="20"/>
      <c:rotY val="50"/>
      <c:rAngAx val="0"/>
      <c:perspective val="30"/>
    </c:view3D>
    <c:floor>
      <c:thickness val="0"/>
    </c:floor>
    <c:sideWall>
      <c:thickness val="0"/>
    </c:sideWall>
    <c:backWall>
      <c:thickness val="0"/>
    </c:backWall>
    <c:plotArea>
      <c:layout/>
      <c:pie3DChart>
        <c:varyColors val="1"/>
        <c:ser>
          <c:idx val="0"/>
          <c:order val="0"/>
          <c:tx>
            <c:strRef>
              <c:f>Sheet1!$B$1</c:f>
              <c:strCache>
                <c:ptCount val="1"/>
                <c:pt idx="0">
                  <c:v>Total</c:v>
                </c:pt>
              </c:strCache>
            </c:strRef>
          </c:tx>
          <c:explosion val="25"/>
          <c:dPt>
            <c:idx val="0"/>
            <c:bubble3D val="0"/>
            <c:spPr>
              <a:solidFill>
                <a:schemeClr val="bg1">
                  <a:lumMod val="95000"/>
                </a:schemeClr>
              </a:solidFill>
            </c:spPr>
          </c:dPt>
          <c:dPt>
            <c:idx val="1"/>
            <c:bubble3D val="0"/>
            <c:spPr>
              <a:solidFill>
                <a:schemeClr val="tx1">
                  <a:lumMod val="50000"/>
                  <a:lumOff val="50000"/>
                </a:schemeClr>
              </a:solidFill>
            </c:spPr>
          </c:dPt>
          <c:dLbls>
            <c:dLbl>
              <c:idx val="0"/>
              <c:layout/>
              <c:tx>
                <c:rich>
                  <a:bodyPr/>
                  <a:lstStyle/>
                  <a:p>
                    <a:r>
                      <a:rPr lang="en-US" b="1">
                        <a:solidFill>
                          <a:sysClr val="windowText" lastClr="000000"/>
                        </a:solidFill>
                      </a:rPr>
                      <a:t>Female</a:t>
                    </a:r>
                  </a:p>
                  <a:p>
                    <a:r>
                      <a:rPr lang="en-US" b="1">
                        <a:solidFill>
                          <a:sysClr val="windowText" lastClr="000000"/>
                        </a:solidFill>
                      </a:rPr>
                      <a:t>238</a:t>
                    </a:r>
                  </a:p>
                  <a:p>
                    <a:r>
                      <a:rPr lang="en-US" b="1">
                        <a:solidFill>
                          <a:sysClr val="windowText" lastClr="000000"/>
                        </a:solidFill>
                      </a:rPr>
                      <a:t>(30%)</a:t>
                    </a:r>
                    <a:endParaRPr lang="en-US" b="1">
                      <a:solidFill>
                        <a:schemeClr val="bg1"/>
                      </a:solidFill>
                    </a:endParaRPr>
                  </a:p>
                </c:rich>
              </c:tx>
              <c:showLegendKey val="0"/>
              <c:showVal val="1"/>
              <c:showCatName val="1"/>
              <c:showSerName val="0"/>
              <c:showPercent val="1"/>
              <c:showBubbleSize val="0"/>
            </c:dLbl>
            <c:dLbl>
              <c:idx val="1"/>
              <c:layout>
                <c:manualLayout>
                  <c:x val="0.22196319018404909"/>
                  <c:y val="5.0728064055284232E-2"/>
                </c:manualLayout>
              </c:layout>
              <c:tx>
                <c:rich>
                  <a:bodyPr/>
                  <a:lstStyle/>
                  <a:p>
                    <a:r>
                      <a:rPr lang="en-US" b="1">
                        <a:solidFill>
                          <a:sysClr val="windowText" lastClr="000000"/>
                        </a:solidFill>
                      </a:rPr>
                      <a:t>Male</a:t>
                    </a:r>
                  </a:p>
                  <a:p>
                    <a:r>
                      <a:rPr lang="en-US" b="1">
                        <a:solidFill>
                          <a:sysClr val="windowText" lastClr="000000"/>
                        </a:solidFill>
                      </a:rPr>
                      <a:t>545 </a:t>
                    </a:r>
                  </a:p>
                  <a:p>
                    <a:r>
                      <a:rPr lang="en-US" b="1">
                        <a:solidFill>
                          <a:sysClr val="windowText" lastClr="000000"/>
                        </a:solidFill>
                      </a:rPr>
                      <a:t>(70%)</a:t>
                    </a:r>
                    <a:endParaRPr lang="en-US"/>
                  </a:p>
                </c:rich>
              </c:tx>
              <c:showLegendKey val="0"/>
              <c:showVal val="1"/>
              <c:showCatName val="1"/>
              <c:showSerName val="0"/>
              <c:showPercent val="1"/>
              <c:showBubbleSize val="0"/>
            </c:dLbl>
            <c:txPr>
              <a:bodyPr/>
              <a:lstStyle/>
              <a:p>
                <a:pPr>
                  <a:defRPr b="1">
                    <a:solidFill>
                      <a:sysClr val="windowText" lastClr="000000"/>
                    </a:solidFill>
                  </a:defRPr>
                </a:pPr>
                <a:endParaRPr lang="en-US"/>
              </a:p>
            </c:txPr>
            <c:showLegendKey val="0"/>
            <c:showVal val="1"/>
            <c:showCatName val="1"/>
            <c:showSerName val="0"/>
            <c:showPercent val="1"/>
            <c:showBubbleSize val="0"/>
            <c:showLeaderLines val="1"/>
          </c:dLbls>
          <c:cat>
            <c:strRef>
              <c:f>Sheet1!$A$2:$A$4</c:f>
              <c:strCache>
                <c:ptCount val="2"/>
                <c:pt idx="0">
                  <c:v>Female</c:v>
                </c:pt>
                <c:pt idx="1">
                  <c:v>Male</c:v>
                </c:pt>
              </c:strCache>
            </c:strRef>
          </c:cat>
          <c:val>
            <c:numRef>
              <c:f>Sheet1!$B$2:$B$4</c:f>
              <c:numCache>
                <c:formatCode>General</c:formatCode>
                <c:ptCount val="2"/>
                <c:pt idx="0">
                  <c:v>238</c:v>
                </c:pt>
                <c:pt idx="1">
                  <c:v>545</c:v>
                </c:pt>
              </c:numCache>
            </c:numRef>
          </c:val>
        </c:ser>
        <c:dLbls>
          <c:showLegendKey val="0"/>
          <c:showVal val="0"/>
          <c:showCatName val="0"/>
          <c:showSerName val="0"/>
          <c:showPercent val="0"/>
          <c:showBubbleSize val="0"/>
          <c:showLeaderLines val="1"/>
        </c:dLbls>
      </c:pie3DChart>
    </c:plotArea>
    <c:plotVisOnly val="1"/>
    <c:dispBlanksAs val="gap"/>
    <c:showDLblsOverMax val="0"/>
  </c:chart>
  <c:spPr>
    <a:solidFill>
      <a:schemeClr val="bg1">
        <a:lumMod val="95000"/>
      </a:schemeClr>
    </a:solidFill>
  </c:spPr>
  <c:externalData r:id="rId1">
    <c:autoUpdate val="0"/>
  </c:externalData>
  <c:userShapes r:id="rId2"/>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pivotSource>
    <c:name>[Consultants list 2015-16.xlsx]Sheet4!PivotTable2</c:name>
    <c:fmtId val="-1"/>
  </c:pivotSource>
  <c:chart>
    <c:title>
      <c:tx>
        <c:rich>
          <a:bodyPr/>
          <a:lstStyle/>
          <a:p>
            <a:pPr>
              <a:defRPr/>
            </a:pPr>
            <a:r>
              <a:rPr lang="en-US"/>
              <a:t>Consultants hired by IP Fields</a:t>
            </a:r>
          </a:p>
        </c:rich>
      </c:tx>
      <c:layout/>
      <c:overlay val="0"/>
    </c:title>
    <c:autoTitleDeleted val="0"/>
    <c:pivotFmts>
      <c:pivotFmt>
        <c:idx val="0"/>
        <c:dLbl>
          <c:idx val="0"/>
          <c:spPr/>
          <c:txPr>
            <a:bodyPr/>
            <a:lstStyle/>
            <a:p>
              <a:pPr>
                <a:defRPr/>
              </a:pPr>
              <a:endParaRPr lang="en-US"/>
            </a:p>
          </c:txPr>
          <c:showLegendKey val="0"/>
          <c:showVal val="1"/>
          <c:showCatName val="0"/>
          <c:showSerName val="0"/>
          <c:showPercent val="0"/>
          <c:showBubbleSize val="0"/>
        </c:dLbl>
      </c:pivotFmt>
      <c:pivotFmt>
        <c:idx val="1"/>
        <c:dLbl>
          <c:idx val="0"/>
          <c:spPr/>
          <c:txPr>
            <a:bodyPr/>
            <a:lstStyle/>
            <a:p>
              <a:pPr>
                <a:defRPr/>
              </a:pPr>
              <a:endParaRPr lang="en-US"/>
            </a:p>
          </c:txPr>
          <c:showLegendKey val="0"/>
          <c:showVal val="1"/>
          <c:showCatName val="0"/>
          <c:showSerName val="0"/>
          <c:showPercent val="0"/>
          <c:showBubbleSize val="0"/>
        </c:dLbl>
      </c:pivotFmt>
      <c:pivotFmt>
        <c:idx val="2"/>
        <c:dLbl>
          <c:idx val="0"/>
          <c:spPr/>
          <c:txPr>
            <a:bodyPr/>
            <a:lstStyle/>
            <a:p>
              <a:pPr>
                <a:defRPr/>
              </a:pPr>
              <a:endParaRPr lang="en-US"/>
            </a:p>
          </c:txPr>
          <c:showLegendKey val="0"/>
          <c:showVal val="1"/>
          <c:showCatName val="0"/>
          <c:showSerName val="0"/>
          <c:showPercent val="0"/>
          <c:showBubbleSize val="0"/>
        </c:dLbl>
      </c:pivotFmt>
    </c:pivotFmts>
    <c:plotArea>
      <c:layout/>
      <c:lineChart>
        <c:grouping val="standard"/>
        <c:varyColors val="0"/>
        <c:ser>
          <c:idx val="0"/>
          <c:order val="0"/>
          <c:tx>
            <c:strRef>
              <c:f>Sheet4!$B$1</c:f>
              <c:strCache>
                <c:ptCount val="1"/>
                <c:pt idx="0">
                  <c:v>Total</c:v>
                </c:pt>
              </c:strCache>
            </c:strRef>
          </c:tx>
          <c:dLbls>
            <c:showLegendKey val="0"/>
            <c:showVal val="1"/>
            <c:showCatName val="0"/>
            <c:showSerName val="0"/>
            <c:showPercent val="0"/>
            <c:showBubbleSize val="0"/>
            <c:showLeaderLines val="0"/>
          </c:dLbls>
          <c:cat>
            <c:strRef>
              <c:f>Sheet4!$A$2:$A$10</c:f>
              <c:strCache>
                <c:ptCount val="8"/>
                <c:pt idx="0">
                  <c:v>All IP Fields</c:v>
                </c:pt>
                <c:pt idx="1">
                  <c:v>Industrial Property</c:v>
                </c:pt>
                <c:pt idx="2">
                  <c:v>Patents</c:v>
                </c:pt>
                <c:pt idx="3">
                  <c:v>Trademarks, GI's</c:v>
                </c:pt>
                <c:pt idx="4">
                  <c:v>Designs</c:v>
                </c:pt>
                <c:pt idx="5">
                  <c:v>Copyright</c:v>
                </c:pt>
                <c:pt idx="6">
                  <c:v>Collective Management</c:v>
                </c:pt>
                <c:pt idx="7">
                  <c:v>Traditional Knowledge, GR and TCE</c:v>
                </c:pt>
              </c:strCache>
            </c:strRef>
          </c:cat>
          <c:val>
            <c:numRef>
              <c:f>Sheet4!$B$2:$B$10</c:f>
              <c:numCache>
                <c:formatCode>General</c:formatCode>
                <c:ptCount val="8"/>
                <c:pt idx="0">
                  <c:v>272</c:v>
                </c:pt>
                <c:pt idx="1">
                  <c:v>201</c:v>
                </c:pt>
                <c:pt idx="2">
                  <c:v>110</c:v>
                </c:pt>
                <c:pt idx="3">
                  <c:v>51</c:v>
                </c:pt>
                <c:pt idx="4">
                  <c:v>4</c:v>
                </c:pt>
                <c:pt idx="5">
                  <c:v>126</c:v>
                </c:pt>
                <c:pt idx="6">
                  <c:v>1</c:v>
                </c:pt>
                <c:pt idx="7">
                  <c:v>18</c:v>
                </c:pt>
              </c:numCache>
            </c:numRef>
          </c:val>
          <c:smooth val="0"/>
        </c:ser>
        <c:dLbls>
          <c:showLegendKey val="0"/>
          <c:showVal val="0"/>
          <c:showCatName val="0"/>
          <c:showSerName val="0"/>
          <c:showPercent val="0"/>
          <c:showBubbleSize val="0"/>
        </c:dLbls>
        <c:marker val="1"/>
        <c:smooth val="0"/>
        <c:axId val="145844480"/>
        <c:axId val="147415040"/>
      </c:lineChart>
      <c:catAx>
        <c:axId val="145844480"/>
        <c:scaling>
          <c:orientation val="minMax"/>
        </c:scaling>
        <c:delete val="0"/>
        <c:axPos val="b"/>
        <c:majorTickMark val="out"/>
        <c:minorTickMark val="none"/>
        <c:tickLblPos val="nextTo"/>
        <c:crossAx val="147415040"/>
        <c:crosses val="autoZero"/>
        <c:auto val="1"/>
        <c:lblAlgn val="ctr"/>
        <c:lblOffset val="100"/>
        <c:noMultiLvlLbl val="0"/>
      </c:catAx>
      <c:valAx>
        <c:axId val="147415040"/>
        <c:scaling>
          <c:orientation val="minMax"/>
        </c:scaling>
        <c:delete val="0"/>
        <c:axPos val="l"/>
        <c:majorGridlines/>
        <c:numFmt formatCode="General" sourceLinked="1"/>
        <c:majorTickMark val="out"/>
        <c:minorTickMark val="none"/>
        <c:tickLblPos val="nextTo"/>
        <c:crossAx val="145844480"/>
        <c:crosses val="autoZero"/>
        <c:crossBetween val="between"/>
      </c:valAx>
    </c:plotArea>
    <c:plotVisOnly val="1"/>
    <c:dispBlanksAs val="gap"/>
    <c:showDLblsOverMax val="0"/>
  </c:chart>
  <c:externalData r:id="rId1">
    <c:autoUpdate val="0"/>
  </c:externalData>
  <c:userShapes r:id="rId2"/>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[Consultants list 2015-16.xlsx]Sheet5!PivotTable3</c:name>
    <c:fmtId val="-1"/>
  </c:pivotSource>
  <c:chart>
    <c:title>
      <c:tx>
        <c:rich>
          <a:bodyPr/>
          <a:lstStyle/>
          <a:p>
            <a:pPr>
              <a:defRPr sz="1400"/>
            </a:pPr>
            <a:r>
              <a:rPr lang="en-US" sz="1400"/>
              <a:t>Consultants hired</a:t>
            </a:r>
            <a:r>
              <a:rPr lang="en-US" sz="1400" baseline="0"/>
              <a:t> by their native language</a:t>
            </a:r>
            <a:endParaRPr lang="en-US" sz="1400"/>
          </a:p>
        </c:rich>
      </c:tx>
      <c:layout/>
      <c:overlay val="0"/>
    </c:title>
    <c:autoTitleDeleted val="0"/>
    <c:pivotFmts>
      <c:pivotFmt>
        <c:idx val="0"/>
        <c:spPr>
          <a:ln>
            <a:solidFill>
              <a:sysClr val="windowText" lastClr="000000"/>
            </a:solidFill>
          </a:ln>
        </c:spPr>
        <c:marker>
          <c:symbol val="none"/>
        </c:marker>
        <c:dLbl>
          <c:idx val="0"/>
          <c:spPr/>
          <c:txPr>
            <a:bodyPr/>
            <a:lstStyle/>
            <a:p>
              <a:pPr>
                <a:defRPr b="1">
                  <a:solidFill>
                    <a:schemeClr val="tx1"/>
                  </a:solidFill>
                </a:defRPr>
              </a:pPr>
              <a:endParaRPr lang="en-US"/>
            </a:p>
          </c:txPr>
          <c:showLegendKey val="0"/>
          <c:showVal val="1"/>
          <c:showCatName val="1"/>
          <c:showSerName val="0"/>
          <c:showPercent val="0"/>
          <c:showBubbleSize val="0"/>
        </c:dLbl>
      </c:pivotFmt>
      <c:pivotFmt>
        <c:idx val="1"/>
        <c:spPr>
          <a:solidFill>
            <a:srgbClr val="00B0F0"/>
          </a:solidFill>
          <a:ln>
            <a:solidFill>
              <a:sysClr val="windowText" lastClr="000000"/>
            </a:solidFill>
          </a:ln>
        </c:spPr>
      </c:pivotFmt>
      <c:pivotFmt>
        <c:idx val="2"/>
        <c:spPr>
          <a:solidFill>
            <a:schemeClr val="tx2">
              <a:lumMod val="40000"/>
              <a:lumOff val="60000"/>
            </a:schemeClr>
          </a:solidFill>
          <a:ln>
            <a:solidFill>
              <a:sysClr val="windowText" lastClr="000000"/>
            </a:solidFill>
          </a:ln>
        </c:spPr>
        <c:dLbl>
          <c:idx val="0"/>
          <c:layout>
            <c:manualLayout>
              <c:x val="0.15055899262592176"/>
              <c:y val="1.3285931851111203E-2"/>
            </c:manualLayout>
          </c:layout>
          <c:showLegendKey val="0"/>
          <c:showVal val="1"/>
          <c:showCatName val="1"/>
          <c:showSerName val="0"/>
          <c:showPercent val="0"/>
          <c:showBubbleSize val="0"/>
        </c:dLbl>
      </c:pivotFmt>
      <c:pivotFmt>
        <c:idx val="3"/>
        <c:spPr>
          <a:solidFill>
            <a:schemeClr val="accent4">
              <a:lumMod val="60000"/>
              <a:lumOff val="40000"/>
            </a:schemeClr>
          </a:solidFill>
          <a:ln>
            <a:solidFill>
              <a:sysClr val="windowText" lastClr="000000"/>
            </a:solidFill>
          </a:ln>
        </c:spPr>
        <c:dLbl>
          <c:idx val="0"/>
          <c:layout>
            <c:manualLayout>
              <c:x val="-0.17546525434320709"/>
              <c:y val="-0.11424201604429075"/>
            </c:manualLayout>
          </c:layout>
          <c:showLegendKey val="0"/>
          <c:showVal val="1"/>
          <c:showCatName val="1"/>
          <c:showSerName val="0"/>
          <c:showPercent val="0"/>
          <c:showBubbleSize val="0"/>
        </c:dLbl>
      </c:pivotFmt>
      <c:pivotFmt>
        <c:idx val="4"/>
        <c:spPr>
          <a:solidFill>
            <a:srgbClr val="FFFF00"/>
          </a:solidFill>
          <a:ln>
            <a:solidFill>
              <a:sysClr val="windowText" lastClr="000000"/>
            </a:solidFill>
          </a:ln>
        </c:spPr>
      </c:pivotFmt>
      <c:pivotFmt>
        <c:idx val="5"/>
        <c:spPr>
          <a:solidFill>
            <a:srgbClr val="92D050"/>
          </a:solidFill>
          <a:ln>
            <a:solidFill>
              <a:sysClr val="windowText" lastClr="000000"/>
            </a:solidFill>
          </a:ln>
        </c:spPr>
      </c:pivotFmt>
      <c:pivotFmt>
        <c:idx val="6"/>
        <c:spPr>
          <a:solidFill>
            <a:srgbClr val="002060"/>
          </a:solidFill>
          <a:ln>
            <a:solidFill>
              <a:sysClr val="windowText" lastClr="000000"/>
            </a:solidFill>
          </a:ln>
        </c:spPr>
      </c:pivotFmt>
      <c:pivotFmt>
        <c:idx val="7"/>
        <c:spPr>
          <a:solidFill>
            <a:srgbClr val="FF0000"/>
          </a:solidFill>
          <a:ln>
            <a:solidFill>
              <a:sysClr val="windowText" lastClr="000000"/>
            </a:solidFill>
          </a:ln>
        </c:spPr>
      </c:pivotFmt>
      <c:pivotFmt>
        <c:idx val="8"/>
        <c:spPr>
          <a:solidFill>
            <a:schemeClr val="accent6">
              <a:lumMod val="60000"/>
              <a:lumOff val="40000"/>
            </a:schemeClr>
          </a:solidFill>
          <a:ln>
            <a:solidFill>
              <a:sysClr val="windowText" lastClr="000000"/>
            </a:solidFill>
          </a:ln>
        </c:spPr>
      </c:pivotFmt>
      <c:pivotFmt>
        <c:idx val="9"/>
        <c:spPr>
          <a:ln>
            <a:solidFill>
              <a:sysClr val="windowText" lastClr="000000"/>
            </a:solidFill>
          </a:ln>
        </c:spPr>
        <c:marker>
          <c:symbol val="none"/>
        </c:marker>
        <c:dLbl>
          <c:idx val="0"/>
          <c:spPr/>
          <c:txPr>
            <a:bodyPr/>
            <a:lstStyle/>
            <a:p>
              <a:pPr>
                <a:defRPr b="1">
                  <a:solidFill>
                    <a:schemeClr val="tx1"/>
                  </a:solidFill>
                </a:defRPr>
              </a:pPr>
              <a:endParaRPr lang="en-US"/>
            </a:p>
          </c:txPr>
          <c:showLegendKey val="0"/>
          <c:showVal val="1"/>
          <c:showCatName val="1"/>
          <c:showSerName val="0"/>
          <c:showPercent val="0"/>
          <c:showBubbleSize val="0"/>
        </c:dLbl>
      </c:pivotFmt>
      <c:pivotFmt>
        <c:idx val="10"/>
        <c:spPr>
          <a:solidFill>
            <a:srgbClr val="92D050"/>
          </a:solidFill>
          <a:ln>
            <a:solidFill>
              <a:sysClr val="windowText" lastClr="000000"/>
            </a:solidFill>
          </a:ln>
        </c:spPr>
      </c:pivotFmt>
      <c:pivotFmt>
        <c:idx val="11"/>
        <c:spPr>
          <a:solidFill>
            <a:srgbClr val="FFFF00"/>
          </a:solidFill>
          <a:ln>
            <a:solidFill>
              <a:sysClr val="windowText" lastClr="000000"/>
            </a:solidFill>
          </a:ln>
        </c:spPr>
      </c:pivotFmt>
      <c:pivotFmt>
        <c:idx val="12"/>
        <c:spPr>
          <a:solidFill>
            <a:srgbClr val="002060"/>
          </a:solidFill>
          <a:ln>
            <a:solidFill>
              <a:sysClr val="windowText" lastClr="000000"/>
            </a:solidFill>
          </a:ln>
        </c:spPr>
      </c:pivotFmt>
      <c:pivotFmt>
        <c:idx val="13"/>
        <c:spPr>
          <a:solidFill>
            <a:schemeClr val="accent4">
              <a:lumMod val="60000"/>
              <a:lumOff val="40000"/>
            </a:schemeClr>
          </a:solidFill>
          <a:ln>
            <a:solidFill>
              <a:sysClr val="windowText" lastClr="000000"/>
            </a:solidFill>
          </a:ln>
        </c:spPr>
        <c:dLbl>
          <c:idx val="0"/>
          <c:layout>
            <c:manualLayout>
              <c:x val="-0.17546525434320709"/>
              <c:y val="-0.11424201604429075"/>
            </c:manualLayout>
          </c:layout>
          <c:showLegendKey val="0"/>
          <c:showVal val="1"/>
          <c:showCatName val="1"/>
          <c:showSerName val="0"/>
          <c:showPercent val="0"/>
          <c:showBubbleSize val="0"/>
        </c:dLbl>
      </c:pivotFmt>
      <c:pivotFmt>
        <c:idx val="14"/>
        <c:spPr>
          <a:solidFill>
            <a:srgbClr val="00B0F0"/>
          </a:solidFill>
          <a:ln>
            <a:solidFill>
              <a:sysClr val="windowText" lastClr="000000"/>
            </a:solidFill>
          </a:ln>
        </c:spPr>
      </c:pivotFmt>
      <c:pivotFmt>
        <c:idx val="15"/>
        <c:spPr>
          <a:solidFill>
            <a:schemeClr val="tx2">
              <a:lumMod val="40000"/>
              <a:lumOff val="60000"/>
            </a:schemeClr>
          </a:solidFill>
          <a:ln>
            <a:solidFill>
              <a:sysClr val="windowText" lastClr="000000"/>
            </a:solidFill>
          </a:ln>
        </c:spPr>
        <c:dLbl>
          <c:idx val="0"/>
          <c:layout>
            <c:manualLayout>
              <c:x val="0.15055899262592176"/>
              <c:y val="1.3285931851111203E-2"/>
            </c:manualLayout>
          </c:layout>
          <c:showLegendKey val="0"/>
          <c:showVal val="1"/>
          <c:showCatName val="1"/>
          <c:showSerName val="0"/>
          <c:showPercent val="0"/>
          <c:showBubbleSize val="0"/>
        </c:dLbl>
      </c:pivotFmt>
      <c:pivotFmt>
        <c:idx val="16"/>
        <c:spPr>
          <a:solidFill>
            <a:srgbClr val="FF0000"/>
          </a:solidFill>
          <a:ln>
            <a:solidFill>
              <a:sysClr val="windowText" lastClr="000000"/>
            </a:solidFill>
          </a:ln>
        </c:spPr>
      </c:pivotFmt>
      <c:pivotFmt>
        <c:idx val="17"/>
        <c:spPr>
          <a:solidFill>
            <a:schemeClr val="accent6">
              <a:lumMod val="60000"/>
              <a:lumOff val="40000"/>
            </a:schemeClr>
          </a:solidFill>
          <a:ln>
            <a:solidFill>
              <a:sysClr val="windowText" lastClr="000000"/>
            </a:solidFill>
          </a:ln>
        </c:spPr>
      </c:pivotFmt>
      <c:pivotFmt>
        <c:idx val="18"/>
        <c:spPr>
          <a:ln>
            <a:solidFill>
              <a:sysClr val="windowText" lastClr="000000"/>
            </a:solidFill>
          </a:ln>
        </c:spPr>
        <c:marker>
          <c:symbol val="none"/>
        </c:marker>
        <c:dLbl>
          <c:idx val="0"/>
          <c:spPr/>
          <c:txPr>
            <a:bodyPr/>
            <a:lstStyle/>
            <a:p>
              <a:pPr>
                <a:defRPr b="1">
                  <a:solidFill>
                    <a:schemeClr val="tx1"/>
                  </a:solidFill>
                </a:defRPr>
              </a:pPr>
              <a:endParaRPr lang="en-US"/>
            </a:p>
          </c:txPr>
          <c:showLegendKey val="0"/>
          <c:showVal val="1"/>
          <c:showCatName val="1"/>
          <c:showSerName val="0"/>
          <c:showPercent val="0"/>
          <c:showBubbleSize val="0"/>
        </c:dLbl>
      </c:pivotFmt>
      <c:pivotFmt>
        <c:idx val="19"/>
        <c:spPr>
          <a:solidFill>
            <a:srgbClr val="92D050"/>
          </a:solidFill>
          <a:ln>
            <a:solidFill>
              <a:sysClr val="windowText" lastClr="000000"/>
            </a:solidFill>
          </a:ln>
        </c:spPr>
      </c:pivotFmt>
      <c:pivotFmt>
        <c:idx val="20"/>
        <c:spPr>
          <a:solidFill>
            <a:srgbClr val="FFFF00"/>
          </a:solidFill>
          <a:ln>
            <a:solidFill>
              <a:sysClr val="windowText" lastClr="000000"/>
            </a:solidFill>
          </a:ln>
        </c:spPr>
      </c:pivotFmt>
      <c:pivotFmt>
        <c:idx val="21"/>
        <c:spPr>
          <a:solidFill>
            <a:srgbClr val="002060"/>
          </a:solidFill>
          <a:ln>
            <a:solidFill>
              <a:sysClr val="windowText" lastClr="000000"/>
            </a:solidFill>
          </a:ln>
        </c:spPr>
      </c:pivotFmt>
      <c:pivotFmt>
        <c:idx val="22"/>
        <c:spPr>
          <a:solidFill>
            <a:schemeClr val="accent4">
              <a:lumMod val="60000"/>
              <a:lumOff val="40000"/>
            </a:schemeClr>
          </a:solidFill>
          <a:ln>
            <a:solidFill>
              <a:sysClr val="windowText" lastClr="000000"/>
            </a:solidFill>
          </a:ln>
        </c:spPr>
        <c:dLbl>
          <c:idx val="0"/>
          <c:layout>
            <c:manualLayout>
              <c:x val="-0.17546525434320709"/>
              <c:y val="-0.11424201604429075"/>
            </c:manualLayout>
          </c:layout>
          <c:showLegendKey val="0"/>
          <c:showVal val="1"/>
          <c:showCatName val="1"/>
          <c:showSerName val="0"/>
          <c:showPercent val="0"/>
          <c:showBubbleSize val="0"/>
        </c:dLbl>
      </c:pivotFmt>
      <c:pivotFmt>
        <c:idx val="23"/>
        <c:spPr>
          <a:solidFill>
            <a:srgbClr val="00B0F0"/>
          </a:solidFill>
          <a:ln>
            <a:solidFill>
              <a:sysClr val="windowText" lastClr="000000"/>
            </a:solidFill>
          </a:ln>
        </c:spPr>
      </c:pivotFmt>
      <c:pivotFmt>
        <c:idx val="24"/>
        <c:spPr>
          <a:solidFill>
            <a:schemeClr val="tx2">
              <a:lumMod val="40000"/>
              <a:lumOff val="60000"/>
            </a:schemeClr>
          </a:solidFill>
          <a:ln>
            <a:solidFill>
              <a:sysClr val="windowText" lastClr="000000"/>
            </a:solidFill>
          </a:ln>
        </c:spPr>
        <c:dLbl>
          <c:idx val="0"/>
          <c:layout>
            <c:manualLayout>
              <c:x val="0.15055899262592176"/>
              <c:y val="1.3285931851111203E-2"/>
            </c:manualLayout>
          </c:layout>
          <c:showLegendKey val="0"/>
          <c:showVal val="1"/>
          <c:showCatName val="1"/>
          <c:showSerName val="0"/>
          <c:showPercent val="0"/>
          <c:showBubbleSize val="0"/>
        </c:dLbl>
      </c:pivotFmt>
      <c:pivotFmt>
        <c:idx val="25"/>
        <c:spPr>
          <a:solidFill>
            <a:srgbClr val="FF0000"/>
          </a:solidFill>
          <a:ln>
            <a:solidFill>
              <a:sysClr val="windowText" lastClr="000000"/>
            </a:solidFill>
          </a:ln>
        </c:spPr>
      </c:pivotFmt>
      <c:pivotFmt>
        <c:idx val="26"/>
        <c:spPr>
          <a:solidFill>
            <a:schemeClr val="accent6">
              <a:lumMod val="60000"/>
              <a:lumOff val="40000"/>
            </a:schemeClr>
          </a:solidFill>
          <a:ln>
            <a:solidFill>
              <a:sysClr val="windowText" lastClr="000000"/>
            </a:solidFill>
          </a:ln>
        </c:spPr>
      </c:pivotFmt>
    </c:pivotFmts>
    <c:plotArea>
      <c:layout/>
      <c:pieChart>
        <c:varyColors val="1"/>
        <c:ser>
          <c:idx val="0"/>
          <c:order val="0"/>
          <c:tx>
            <c:strRef>
              <c:f>Sheet5!$B$1</c:f>
              <c:strCache>
                <c:ptCount val="1"/>
                <c:pt idx="0">
                  <c:v>Total</c:v>
                </c:pt>
              </c:strCache>
            </c:strRef>
          </c:tx>
          <c:spPr>
            <a:solidFill>
              <a:schemeClr val="bg1">
                <a:lumMod val="65000"/>
              </a:schemeClr>
            </a:solidFill>
            <a:ln>
              <a:solidFill>
                <a:sysClr val="windowText" lastClr="000000"/>
              </a:solidFill>
            </a:ln>
          </c:spPr>
          <c:explosion val="25"/>
          <c:dPt>
            <c:idx val="0"/>
            <c:bubble3D val="0"/>
          </c:dPt>
          <c:dPt>
            <c:idx val="1"/>
            <c:bubble3D val="0"/>
          </c:dPt>
          <c:dPt>
            <c:idx val="2"/>
            <c:bubble3D val="0"/>
          </c:dPt>
          <c:dPt>
            <c:idx val="3"/>
            <c:bubble3D val="0"/>
          </c:dPt>
          <c:dPt>
            <c:idx val="4"/>
            <c:bubble3D val="0"/>
          </c:dPt>
          <c:dPt>
            <c:idx val="9"/>
            <c:bubble3D val="0"/>
          </c:dPt>
          <c:dPt>
            <c:idx val="10"/>
            <c:bubble3D val="0"/>
          </c:dPt>
          <c:dPt>
            <c:idx val="11"/>
            <c:bubble3D val="0"/>
          </c:dPt>
          <c:dLbls>
            <c:dLbl>
              <c:idx val="3"/>
              <c:layout>
                <c:manualLayout>
                  <c:x val="-0.17546525434320709"/>
                  <c:y val="-0.11424201604429075"/>
                </c:manualLayout>
              </c:layout>
              <c:showLegendKey val="0"/>
              <c:showVal val="1"/>
              <c:showCatName val="1"/>
              <c:showSerName val="0"/>
              <c:showPercent val="0"/>
              <c:showBubbleSize val="0"/>
            </c:dLbl>
            <c:dLbl>
              <c:idx val="9"/>
              <c:layout>
                <c:manualLayout>
                  <c:x val="0.15055899262592176"/>
                  <c:y val="1.3285931851111203E-2"/>
                </c:manualLayout>
              </c:layout>
              <c:showLegendKey val="0"/>
              <c:showVal val="1"/>
              <c:showCatName val="1"/>
              <c:showSerName val="0"/>
              <c:showPercent val="0"/>
              <c:showBubbleSize val="0"/>
            </c:dLbl>
            <c:txPr>
              <a:bodyPr/>
              <a:lstStyle/>
              <a:p>
                <a:pPr>
                  <a:defRPr b="1">
                    <a:solidFill>
                      <a:schemeClr val="tx1"/>
                    </a:solidFill>
                  </a:defRPr>
                </a:pPr>
                <a:endParaRPr lang="en-US"/>
              </a:p>
            </c:txPr>
            <c:showLegendKey val="0"/>
            <c:showVal val="1"/>
            <c:showCatName val="1"/>
            <c:showSerName val="0"/>
            <c:showPercent val="0"/>
            <c:showBubbleSize val="0"/>
            <c:showLeaderLines val="1"/>
          </c:dLbls>
          <c:cat>
            <c:strRef>
              <c:f>Sheet5!$A$2:$A$14</c:f>
              <c:strCache>
                <c:ptCount val="12"/>
                <c:pt idx="0">
                  <c:v>Arabic</c:v>
                </c:pt>
                <c:pt idx="1">
                  <c:v>Chinese</c:v>
                </c:pt>
                <c:pt idx="2">
                  <c:v>Dutch</c:v>
                </c:pt>
                <c:pt idx="3">
                  <c:v>English</c:v>
                </c:pt>
                <c:pt idx="4">
                  <c:v>French</c:v>
                </c:pt>
                <c:pt idx="5">
                  <c:v>German</c:v>
                </c:pt>
                <c:pt idx="6">
                  <c:v>Italian</c:v>
                </c:pt>
                <c:pt idx="7">
                  <c:v>Japanese</c:v>
                </c:pt>
                <c:pt idx="8">
                  <c:v>Korean</c:v>
                </c:pt>
                <c:pt idx="9">
                  <c:v>Portuguese</c:v>
                </c:pt>
                <c:pt idx="10">
                  <c:v>Russian</c:v>
                </c:pt>
                <c:pt idx="11">
                  <c:v>Spanish</c:v>
                </c:pt>
              </c:strCache>
            </c:strRef>
          </c:cat>
          <c:val>
            <c:numRef>
              <c:f>Sheet5!$B$2:$B$14</c:f>
              <c:numCache>
                <c:formatCode>General</c:formatCode>
                <c:ptCount val="12"/>
                <c:pt idx="0">
                  <c:v>21</c:v>
                </c:pt>
                <c:pt idx="1">
                  <c:v>18</c:v>
                </c:pt>
                <c:pt idx="2">
                  <c:v>6</c:v>
                </c:pt>
                <c:pt idx="3">
                  <c:v>420</c:v>
                </c:pt>
                <c:pt idx="4">
                  <c:v>67</c:v>
                </c:pt>
                <c:pt idx="5">
                  <c:v>15</c:v>
                </c:pt>
                <c:pt idx="6">
                  <c:v>4</c:v>
                </c:pt>
                <c:pt idx="7">
                  <c:v>25</c:v>
                </c:pt>
                <c:pt idx="8">
                  <c:v>8</c:v>
                </c:pt>
                <c:pt idx="9">
                  <c:v>29</c:v>
                </c:pt>
                <c:pt idx="10">
                  <c:v>27</c:v>
                </c:pt>
                <c:pt idx="11">
                  <c:v>143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solidFill>
  </c:spPr>
  <c:externalData r:id="rId1">
    <c:autoUpdate val="0"/>
  </c:externalData>
  <c:userShapes r:id="rId2"/>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[Consultants list 2015-16.xlsx]Sheet6!PivotTable4</c:name>
    <c:fmtId val="-1"/>
  </c:pivotSource>
  <c:chart>
    <c:autoTitleDeleted val="0"/>
    <c:pivotFmts>
      <c:pivotFmt>
        <c:idx val="0"/>
        <c:spPr>
          <a:ln>
            <a:solidFill>
              <a:sysClr val="windowText" lastClr="000000"/>
            </a:solidFill>
          </a:ln>
        </c:spPr>
        <c:marker>
          <c:symbol val="none"/>
        </c:marker>
      </c:pivotFmt>
      <c:pivotFmt>
        <c:idx val="1"/>
        <c:spPr>
          <a:ln>
            <a:solidFill>
              <a:sysClr val="windowText" lastClr="000000"/>
            </a:solidFill>
          </a:ln>
        </c:spPr>
        <c:marker>
          <c:symbol val="none"/>
        </c:marker>
      </c:pivotFmt>
      <c:pivotFmt>
        <c:idx val="2"/>
        <c:dLbl>
          <c:idx val="0"/>
          <c:spPr/>
          <c:txPr>
            <a:bodyPr/>
            <a:lstStyle/>
            <a:p>
              <a:pPr>
                <a:defRPr/>
              </a:pPr>
              <a:endParaRPr lang="en-US"/>
            </a:p>
          </c:txPr>
          <c:showLegendKey val="0"/>
          <c:showVal val="1"/>
          <c:showCatName val="0"/>
          <c:showSerName val="0"/>
          <c:showPercent val="0"/>
          <c:showBubbleSize val="0"/>
        </c:dLbl>
      </c:pivotFmt>
      <c:pivotFmt>
        <c:idx val="3"/>
        <c:dLbl>
          <c:idx val="0"/>
          <c:spPr/>
          <c:txPr>
            <a:bodyPr/>
            <a:lstStyle/>
            <a:p>
              <a:pPr>
                <a:defRPr/>
              </a:pPr>
              <a:endParaRPr lang="en-US"/>
            </a:p>
          </c:txPr>
          <c:showLegendKey val="0"/>
          <c:showVal val="1"/>
          <c:showCatName val="0"/>
          <c:showSerName val="0"/>
          <c:showPercent val="0"/>
          <c:showBubbleSize val="0"/>
        </c:dLbl>
      </c:pivotFmt>
      <c:pivotFmt>
        <c:idx val="4"/>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
        <c:idx val="5"/>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
        <c:idx val="6"/>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
        <c:idx val="7"/>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s>
    <c:view3D>
      <c:rotX val="0"/>
      <c:rotY val="0"/>
      <c:rAngAx val="0"/>
      <c:perspective val="30"/>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26544032873995294"/>
          <c:y val="3.3212560386473432E-2"/>
          <c:w val="0.58863925912409654"/>
          <c:h val="0.89114838906006311"/>
        </c:manualLayout>
      </c:layout>
      <c:bar3DChart>
        <c:barDir val="bar"/>
        <c:grouping val="clustered"/>
        <c:varyColors val="0"/>
        <c:ser>
          <c:idx val="0"/>
          <c:order val="0"/>
          <c:tx>
            <c:strRef>
              <c:f>Sheet6!$B$1:$B$2</c:f>
              <c:strCache>
                <c:ptCount val="1"/>
                <c:pt idx="0">
                  <c:v>Female</c:v>
                </c:pt>
              </c:strCache>
            </c:strRef>
          </c:tx>
          <c:spPr>
            <a:solidFill>
              <a:schemeClr val="tx1">
                <a:lumMod val="50000"/>
                <a:lumOff val="50000"/>
              </a:schemeClr>
            </a:solidFill>
            <a:ln>
              <a:solidFill>
                <a:sysClr val="windowText" lastClr="000000"/>
              </a:solidFill>
            </a:ln>
          </c:spPr>
          <c:invertIfNegative val="0"/>
          <c:dLbls>
            <c:txPr>
              <a:bodyPr/>
              <a:lstStyle/>
              <a:p>
                <a:pPr>
                  <a:defRPr/>
                </a:pPr>
                <a:endParaRPr lang="en-US"/>
              </a:p>
            </c:txPr>
            <c:showLegendKey val="0"/>
            <c:showVal val="1"/>
            <c:showCatName val="0"/>
            <c:showSerName val="0"/>
            <c:showPercent val="0"/>
            <c:showBubbleSize val="0"/>
            <c:showLeaderLines val="0"/>
          </c:dLbls>
          <c:cat>
            <c:strRef>
              <c:f>Sheet6!$A$3:$A$9</c:f>
              <c:strCache>
                <c:ptCount val="6"/>
                <c:pt idx="0">
                  <c:v>Africa</c:v>
                </c:pt>
                <c:pt idx="1">
                  <c:v>Arab</c:v>
                </c:pt>
                <c:pt idx="2">
                  <c:v>Asia &amp; Pacific</c:v>
                </c:pt>
                <c:pt idx="3">
                  <c:v>Industrialized</c:v>
                </c:pt>
                <c:pt idx="4">
                  <c:v>Latin America &amp; Caribbean</c:v>
                </c:pt>
                <c:pt idx="5">
                  <c:v>Transition</c:v>
                </c:pt>
              </c:strCache>
            </c:strRef>
          </c:cat>
          <c:val>
            <c:numRef>
              <c:f>Sheet6!$B$3:$B$9</c:f>
              <c:numCache>
                <c:formatCode>General</c:formatCode>
                <c:ptCount val="6"/>
                <c:pt idx="0">
                  <c:v>31</c:v>
                </c:pt>
                <c:pt idx="1">
                  <c:v>5</c:v>
                </c:pt>
                <c:pt idx="2">
                  <c:v>28</c:v>
                </c:pt>
                <c:pt idx="3">
                  <c:v>93</c:v>
                </c:pt>
                <c:pt idx="4">
                  <c:v>61</c:v>
                </c:pt>
                <c:pt idx="5">
                  <c:v>20</c:v>
                </c:pt>
              </c:numCache>
            </c:numRef>
          </c:val>
        </c:ser>
        <c:ser>
          <c:idx val="1"/>
          <c:order val="1"/>
          <c:tx>
            <c:strRef>
              <c:f>Sheet6!$C$1:$C$2</c:f>
              <c:strCache>
                <c:ptCount val="1"/>
                <c:pt idx="0">
                  <c:v>Male</c:v>
                </c:pt>
              </c:strCache>
            </c:strRef>
          </c:tx>
          <c:spPr>
            <a:solidFill>
              <a:schemeClr val="bg1">
                <a:lumMod val="85000"/>
              </a:schemeClr>
            </a:solidFill>
            <a:ln>
              <a:solidFill>
                <a:sysClr val="windowText" lastClr="000000"/>
              </a:solidFill>
            </a:ln>
          </c:spPr>
          <c:invertIfNegative val="0"/>
          <c:dLbls>
            <c:txPr>
              <a:bodyPr/>
              <a:lstStyle/>
              <a:p>
                <a:pPr>
                  <a:defRPr/>
                </a:pPr>
                <a:endParaRPr lang="en-US"/>
              </a:p>
            </c:txPr>
            <c:showLegendKey val="0"/>
            <c:showVal val="1"/>
            <c:showCatName val="0"/>
            <c:showSerName val="0"/>
            <c:showPercent val="0"/>
            <c:showBubbleSize val="0"/>
            <c:showLeaderLines val="0"/>
          </c:dLbls>
          <c:cat>
            <c:strRef>
              <c:f>Sheet6!$A$3:$A$9</c:f>
              <c:strCache>
                <c:ptCount val="6"/>
                <c:pt idx="0">
                  <c:v>Africa</c:v>
                </c:pt>
                <c:pt idx="1">
                  <c:v>Arab</c:v>
                </c:pt>
                <c:pt idx="2">
                  <c:v>Asia &amp; Pacific</c:v>
                </c:pt>
                <c:pt idx="3">
                  <c:v>Industrialized</c:v>
                </c:pt>
                <c:pt idx="4">
                  <c:v>Latin America &amp; Caribbean</c:v>
                </c:pt>
                <c:pt idx="5">
                  <c:v>Transition</c:v>
                </c:pt>
              </c:strCache>
            </c:strRef>
          </c:cat>
          <c:val>
            <c:numRef>
              <c:f>Sheet6!$C$3:$C$9</c:f>
              <c:numCache>
                <c:formatCode>General</c:formatCode>
                <c:ptCount val="6"/>
                <c:pt idx="0">
                  <c:v>77</c:v>
                </c:pt>
                <c:pt idx="1">
                  <c:v>22</c:v>
                </c:pt>
                <c:pt idx="2">
                  <c:v>71</c:v>
                </c:pt>
                <c:pt idx="3">
                  <c:v>237</c:v>
                </c:pt>
                <c:pt idx="4">
                  <c:v>105</c:v>
                </c:pt>
                <c:pt idx="5">
                  <c:v>33</c:v>
                </c:pt>
              </c:numCache>
            </c:numRef>
          </c:val>
        </c:ser>
        <c:dLbls>
          <c:showLegendKey val="0"/>
          <c:showVal val="0"/>
          <c:showCatName val="0"/>
          <c:showSerName val="0"/>
          <c:showPercent val="0"/>
          <c:showBubbleSize val="0"/>
        </c:dLbls>
        <c:gapWidth val="150"/>
        <c:shape val="cylinder"/>
        <c:axId val="145697024"/>
        <c:axId val="145747968"/>
        <c:axId val="0"/>
      </c:bar3DChart>
      <c:catAx>
        <c:axId val="145697024"/>
        <c:scaling>
          <c:orientation val="minMax"/>
        </c:scaling>
        <c:delete val="0"/>
        <c:axPos val="l"/>
        <c:majorTickMark val="out"/>
        <c:minorTickMark val="none"/>
        <c:tickLblPos val="nextTo"/>
        <c:txPr>
          <a:bodyPr/>
          <a:lstStyle/>
          <a:p>
            <a:pPr>
              <a:defRPr b="1"/>
            </a:pPr>
            <a:endParaRPr lang="en-US"/>
          </a:p>
        </c:txPr>
        <c:crossAx val="145747968"/>
        <c:crosses val="autoZero"/>
        <c:auto val="1"/>
        <c:lblAlgn val="ctr"/>
        <c:lblOffset val="100"/>
        <c:noMultiLvlLbl val="0"/>
      </c:catAx>
      <c:valAx>
        <c:axId val="145747968"/>
        <c:scaling>
          <c:orientation val="minMax"/>
        </c:scaling>
        <c:delete val="0"/>
        <c:axPos val="b"/>
        <c:majorGridlines/>
        <c:numFmt formatCode="General" sourceLinked="1"/>
        <c:majorTickMark val="out"/>
        <c:minorTickMark val="none"/>
        <c:tickLblPos val="nextTo"/>
        <c:txPr>
          <a:bodyPr/>
          <a:lstStyle/>
          <a:p>
            <a:pPr>
              <a:defRPr b="1"/>
            </a:pPr>
            <a:endParaRPr lang="en-US"/>
          </a:p>
        </c:txPr>
        <c:crossAx val="145697024"/>
        <c:crosses val="autoZero"/>
        <c:crossBetween val="between"/>
      </c:valAx>
    </c:plotArea>
    <c:legend>
      <c:legendPos val="r"/>
      <c:layout>
        <c:manualLayout>
          <c:xMode val="edge"/>
          <c:yMode val="edge"/>
          <c:x val="0.86859360361652826"/>
          <c:y val="0.41435507972767011"/>
          <c:w val="0.10273260370173336"/>
          <c:h val="0.11410577937104761"/>
        </c:manualLayout>
      </c:layout>
      <c:overlay val="0"/>
    </c:legend>
    <c:plotVisOnly val="1"/>
    <c:dispBlanksAs val="gap"/>
    <c:showDLblsOverMax val="0"/>
  </c:chart>
  <c:spPr>
    <a:solidFill>
      <a:schemeClr val="bg1"/>
    </a:solidFill>
    <a:ln>
      <a:solidFill>
        <a:schemeClr val="bg1">
          <a:lumMod val="50000"/>
        </a:schemeClr>
      </a:solid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rawings/drawing1.xml><?xml version="1.0" encoding="utf-8"?>
<c:userShapes xmlns:c="http://schemas.openxmlformats.org/drawingml/2006/chart">
  <cdr:relSizeAnchor xmlns:cdr="http://schemas.openxmlformats.org/drawingml/2006/chartDrawing">
    <cdr:from>
      <cdr:x>0.73466</cdr:x>
      <cdr:y>0.90886</cdr:y>
    </cdr:from>
    <cdr:to>
      <cdr:x>0.96472</cdr:x>
      <cdr:y>0.97722</cdr:y>
    </cdr:to>
    <cdr:sp macro="" textlink="">
      <cdr:nvSpPr>
        <cdr:cNvPr id="2" name="Rectangle 1"/>
        <cdr:cNvSpPr/>
      </cdr:nvSpPr>
      <cdr:spPr>
        <a:xfrm xmlns:a="http://schemas.openxmlformats.org/drawingml/2006/main">
          <a:off x="4562475" y="3419475"/>
          <a:ext cx="1428750" cy="257175"/>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Total Number :</a:t>
          </a:r>
          <a:r>
            <a:rPr lang="en-US" baseline="0"/>
            <a:t> 783</a:t>
          </a: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0.74978</cdr:x>
      <cdr:y>0.92325</cdr:y>
    </cdr:from>
    <cdr:to>
      <cdr:x>0.98372</cdr:x>
      <cdr:y>0.98871</cdr:y>
    </cdr:to>
    <cdr:sp macro="" textlink="">
      <cdr:nvSpPr>
        <cdr:cNvPr id="2" name="Rectangle 1"/>
        <cdr:cNvSpPr/>
      </cdr:nvSpPr>
      <cdr:spPr>
        <a:xfrm xmlns:a="http://schemas.openxmlformats.org/drawingml/2006/main">
          <a:off x="4319751" y="3196896"/>
          <a:ext cx="1347809" cy="226666"/>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Total Number</a:t>
          </a:r>
          <a:r>
            <a:rPr lang="en-US" baseline="0"/>
            <a:t> : 783</a:t>
          </a:r>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0.72768</cdr:x>
      <cdr:y>0.93298</cdr:y>
    </cdr:from>
    <cdr:to>
      <cdr:x>0.97768</cdr:x>
      <cdr:y>0.98236</cdr:y>
    </cdr:to>
    <cdr:sp macro="" textlink="">
      <cdr:nvSpPr>
        <cdr:cNvPr id="2" name="Rectangle 1"/>
        <cdr:cNvSpPr/>
      </cdr:nvSpPr>
      <cdr:spPr>
        <a:xfrm xmlns:a="http://schemas.openxmlformats.org/drawingml/2006/main">
          <a:off x="4657725" y="5038726"/>
          <a:ext cx="1600200" cy="266700"/>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Total Number : 783</a:t>
          </a:r>
        </a:p>
      </cdr:txBody>
    </cdr:sp>
  </cdr:relSizeAnchor>
</c:userShapes>
</file>

<file path=word/drawings/drawing4.xml><?xml version="1.0" encoding="utf-8"?>
<c:userShapes xmlns:c="http://schemas.openxmlformats.org/drawingml/2006/chart">
  <cdr:relSizeAnchor xmlns:cdr="http://schemas.openxmlformats.org/drawingml/2006/chartDrawing">
    <cdr:from>
      <cdr:x>0.00598</cdr:x>
      <cdr:y>0.91475</cdr:y>
    </cdr:from>
    <cdr:to>
      <cdr:x>0.20818</cdr:x>
      <cdr:y>0.98306</cdr:y>
    </cdr:to>
    <cdr:sp macro="" textlink="">
      <cdr:nvSpPr>
        <cdr:cNvPr id="2" name="Rectangle 1"/>
        <cdr:cNvSpPr/>
      </cdr:nvSpPr>
      <cdr:spPr>
        <a:xfrm xmlns:a="http://schemas.openxmlformats.org/drawingml/2006/main">
          <a:off x="37836" y="3045484"/>
          <a:ext cx="1280160" cy="227437"/>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Total Number :783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CDIP 20 (E)</Template>
  <TotalTime>103</TotalTime>
  <Pages>6</Pages>
  <Words>1315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CDIP/20/</vt:lpstr>
    </vt:vector>
  </TitlesOfParts>
  <Company>WIPO</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CDIP/20/</dc:title>
  <dc:creator>BRACI Biljana</dc:creator>
  <cp:lastModifiedBy>CERBARI Mihaela</cp:lastModifiedBy>
  <cp:revision>10</cp:revision>
  <cp:lastPrinted>2017-10-12T14:06:00Z</cp:lastPrinted>
  <dcterms:created xsi:type="dcterms:W3CDTF">2017-10-11T14:54:00Z</dcterms:created>
  <dcterms:modified xsi:type="dcterms:W3CDTF">2017-10-12T14:14:00Z</dcterms:modified>
</cp:coreProperties>
</file>