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F8D31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414C35" w:rsidP="00DA31B9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CDIP/30</w:t>
      </w:r>
      <w:r w:rsidR="00DA31B9" w:rsidRPr="00DA31B9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13</w:t>
      </w:r>
    </w:p>
    <w:p w:rsidR="008B2CC1" w:rsidRPr="003E78BC" w:rsidRDefault="00CC3E2D" w:rsidP="00414C35">
      <w:pPr>
        <w:jc w:val="right"/>
        <w:rPr>
          <w:rFonts w:asciiTheme="minorHAnsi" w:hAnsiTheme="minorHAnsi" w:cstheme="minorHAnsi"/>
          <w:caps/>
          <w:sz w:val="15"/>
          <w:szCs w:val="15"/>
          <w:rtl/>
          <w:lang w:val="fr-CH" w:bidi="ar-SY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3E78BC"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3E78BC">
        <w:rPr>
          <w:rFonts w:asciiTheme="minorHAnsi" w:hAnsiTheme="minorHAnsi" w:cstheme="minorHAnsi" w:hint="cs"/>
          <w:caps/>
          <w:sz w:val="15"/>
          <w:szCs w:val="15"/>
          <w:rtl/>
          <w:lang w:bidi="ar-SY"/>
        </w:rPr>
        <w:t xml:space="preserve"> </w:t>
      </w:r>
      <w:r w:rsidR="003E78BC" w:rsidRPr="003E78BC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بالإنكليزية</w:t>
      </w:r>
    </w:p>
    <w:p w:rsidR="008B2CC1" w:rsidRPr="00CC3E2D" w:rsidRDefault="00CC3E2D" w:rsidP="00414C3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14C3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10</w:t>
      </w:r>
      <w:r w:rsidR="003E78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ما</w:t>
      </w:r>
      <w:r w:rsidR="00414C3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رس 2023</w:t>
      </w:r>
    </w:p>
    <w:bookmarkEnd w:id="3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414C3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414C35">
        <w:rPr>
          <w:rFonts w:asciiTheme="minorHAnsi" w:hAnsiTheme="minorHAnsi" w:cstheme="minorHAnsi" w:hint="cs"/>
          <w:bCs/>
          <w:sz w:val="24"/>
          <w:szCs w:val="24"/>
          <w:rtl/>
        </w:rPr>
        <w:t>ثلاث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</w:p>
    <w:p w:rsidR="008B2CC1" w:rsidRPr="00D67EAE" w:rsidRDefault="00D67EAE" w:rsidP="00414C3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414C35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414C35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414C35">
        <w:rPr>
          <w:rFonts w:asciiTheme="minorHAnsi" w:hAnsiTheme="minorHAnsi" w:cstheme="minorHAnsi" w:hint="cs"/>
          <w:bCs/>
          <w:sz w:val="24"/>
          <w:szCs w:val="24"/>
          <w:rtl/>
        </w:rPr>
        <w:t>أبر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يل</w:t>
      </w:r>
      <w:r w:rsidR="00414C35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2023</w:t>
      </w:r>
    </w:p>
    <w:p w:rsidR="008B2CC1" w:rsidRPr="00D67EAE" w:rsidRDefault="003E78BC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تقرير بشأن المرأة والملكية الفكرية: تجميع البيانات وتبادلها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3E78BC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414C35" w:rsidRPr="00414C35" w:rsidRDefault="003E78BC" w:rsidP="00A37A23">
      <w:pPr>
        <w:pStyle w:val="ONUMA"/>
      </w:pPr>
      <w:r>
        <w:rPr>
          <w:rFonts w:hint="cs"/>
          <w:rtl/>
        </w:rPr>
        <w:t>ا</w:t>
      </w:r>
      <w:r w:rsidR="00414C35">
        <w:rPr>
          <w:rFonts w:hint="cs"/>
          <w:rtl/>
        </w:rPr>
        <w:t>عتمد</w:t>
      </w:r>
      <w:r>
        <w:rPr>
          <w:rFonts w:hint="cs"/>
          <w:rtl/>
        </w:rPr>
        <w:t>ت اللجنة المعنية بالتنمية والملكية الفكر</w:t>
      </w:r>
      <w:r w:rsidR="00414C35">
        <w:rPr>
          <w:rFonts w:hint="cs"/>
          <w:rtl/>
        </w:rPr>
        <w:t>ية (لجنة التنمية)، في دورتها الس</w:t>
      </w:r>
      <w:r>
        <w:rPr>
          <w:rFonts w:hint="cs"/>
          <w:rtl/>
        </w:rPr>
        <w:t>ا</w:t>
      </w:r>
      <w:r w:rsidR="00414C35">
        <w:rPr>
          <w:rFonts w:hint="cs"/>
          <w:rtl/>
        </w:rPr>
        <w:t>دس</w:t>
      </w:r>
      <w:r>
        <w:rPr>
          <w:rFonts w:hint="cs"/>
          <w:rtl/>
        </w:rPr>
        <w:t xml:space="preserve">ة والعشرين التي عُقدت في الفترة من </w:t>
      </w:r>
      <w:r w:rsidR="00414C35">
        <w:rPr>
          <w:rFonts w:hint="cs"/>
          <w:rtl/>
        </w:rPr>
        <w:t>26</w:t>
      </w:r>
      <w:r>
        <w:rPr>
          <w:rFonts w:hint="cs"/>
          <w:rtl/>
        </w:rPr>
        <w:t xml:space="preserve"> إلى </w:t>
      </w:r>
      <w:r w:rsidR="00414C35">
        <w:rPr>
          <w:rFonts w:hint="cs"/>
          <w:rtl/>
        </w:rPr>
        <w:t>30 يوليو 2021</w:t>
      </w:r>
      <w:r>
        <w:rPr>
          <w:rFonts w:hint="cs"/>
          <w:rtl/>
        </w:rPr>
        <w:t xml:space="preserve">، أثناء المناقشات المتعلقة "بالمرأة والملكية الفكرية" في إطار بند جدول الأعمال "الملكية الفكرية والتنمية"، </w:t>
      </w:r>
      <w:r w:rsidR="00414C35" w:rsidRPr="00414C35">
        <w:rPr>
          <w:rtl/>
        </w:rPr>
        <w:t xml:space="preserve">اقتراح متابعة </w:t>
      </w:r>
      <w:r w:rsidRPr="00414C35">
        <w:rPr>
          <w:rFonts w:hint="cs"/>
          <w:rtl/>
          <w:lang w:val="fr-CH" w:bidi="ar-SY"/>
        </w:rPr>
        <w:t>قدم</w:t>
      </w:r>
      <w:r w:rsidR="00704E42" w:rsidRPr="00414C35">
        <w:rPr>
          <w:rFonts w:hint="cs"/>
          <w:rtl/>
          <w:lang w:val="fr-CH" w:bidi="ar-SY"/>
        </w:rPr>
        <w:t>ت</w:t>
      </w:r>
      <w:r w:rsidRPr="00414C35">
        <w:rPr>
          <w:rFonts w:hint="cs"/>
          <w:rtl/>
          <w:lang w:val="fr-CH" w:bidi="ar-SY"/>
        </w:rPr>
        <w:t xml:space="preserve">ه المكسيك </w:t>
      </w:r>
      <w:r w:rsidR="00414C35" w:rsidRPr="00414C35">
        <w:rPr>
          <w:rFonts w:hint="cs"/>
          <w:rtl/>
          <w:lang w:val="fr-CH" w:bidi="ar-SY"/>
        </w:rPr>
        <w:t>(</w:t>
      </w:r>
      <w:r w:rsidR="00414C35" w:rsidRPr="00414C35">
        <w:rPr>
          <w:rtl/>
          <w:lang w:val="fr-CH" w:bidi="ar-SY"/>
        </w:rPr>
        <w:t>الوارد في الوثيقة</w:t>
      </w:r>
      <w:r w:rsidR="00414C35" w:rsidRPr="00414C35">
        <w:rPr>
          <w:rFonts w:hint="cs"/>
          <w:rtl/>
          <w:lang w:val="fr-CH" w:bidi="ar-SY"/>
        </w:rPr>
        <w:t> .</w:t>
      </w:r>
      <w:r w:rsidR="00414C35" w:rsidRPr="00414C35">
        <w:rPr>
          <w:lang w:val="fr-CH" w:bidi="ar-SY"/>
        </w:rPr>
        <w:t xml:space="preserve">CDIP/26/10 </w:t>
      </w:r>
      <w:proofErr w:type="spellStart"/>
      <w:r w:rsidR="00414C35" w:rsidRPr="00414C35">
        <w:rPr>
          <w:lang w:val="fr-CH" w:bidi="ar-SY"/>
        </w:rPr>
        <w:t>Rev</w:t>
      </w:r>
      <w:proofErr w:type="spellEnd"/>
      <w:r w:rsidR="00414C35" w:rsidRPr="00414C35">
        <w:rPr>
          <w:rtl/>
          <w:lang w:val="fr-CH" w:bidi="ar-SY"/>
        </w:rPr>
        <w:t>)،</w:t>
      </w:r>
      <w:r w:rsidR="00414C35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</w:rPr>
        <w:t>و</w:t>
      </w:r>
      <w:r w:rsidR="00414C35">
        <w:rPr>
          <w:rFonts w:hint="cs"/>
          <w:rtl/>
        </w:rPr>
        <w:t xml:space="preserve">الذي </w:t>
      </w:r>
      <w:r>
        <w:rPr>
          <w:rFonts w:hint="cs"/>
          <w:rtl/>
        </w:rPr>
        <w:t xml:space="preserve">طلبت </w:t>
      </w:r>
      <w:r w:rsidR="00414C35">
        <w:rPr>
          <w:rFonts w:hint="cs"/>
          <w:rtl/>
        </w:rPr>
        <w:t xml:space="preserve">فيه </w:t>
      </w:r>
      <w:r>
        <w:rPr>
          <w:rFonts w:hint="cs"/>
          <w:rtl/>
        </w:rPr>
        <w:t>المكسيك أموراً عديدة من الأمانة، من بينها اتخاذ سلسلة من الإجراءات، وقررت "</w:t>
      </w:r>
      <w:r w:rsidRPr="00414C35">
        <w:rPr>
          <w:rFonts w:hint="cs"/>
          <w:i/>
          <w:iCs/>
          <w:rtl/>
        </w:rPr>
        <w:t>إعادة النظر في مسألة "المرأة والملكية الفكرية"</w:t>
      </w:r>
      <w:r w:rsidR="00414C35">
        <w:rPr>
          <w:rFonts w:hint="cs"/>
          <w:i/>
          <w:iCs/>
          <w:rtl/>
        </w:rPr>
        <w:t xml:space="preserve"> </w:t>
      </w:r>
      <w:r w:rsidR="00414C35" w:rsidRPr="00414C35">
        <w:rPr>
          <w:i/>
          <w:iCs/>
          <w:rtl/>
        </w:rPr>
        <w:t xml:space="preserve">بشكل دوري، </w:t>
      </w:r>
      <w:r w:rsidR="00414C35">
        <w:rPr>
          <w:rFonts w:hint="cs"/>
          <w:i/>
          <w:iCs/>
          <w:rtl/>
        </w:rPr>
        <w:t>حين</w:t>
      </w:r>
      <w:r w:rsidR="00414C35" w:rsidRPr="00414C35">
        <w:rPr>
          <w:i/>
          <w:iCs/>
          <w:rtl/>
        </w:rPr>
        <w:t xml:space="preserve">ما </w:t>
      </w:r>
      <w:r w:rsidR="00A37A23">
        <w:rPr>
          <w:i/>
          <w:iCs/>
          <w:rtl/>
        </w:rPr>
        <w:t>ترى أمانة الويبو أن ذلك ضروري</w:t>
      </w:r>
      <w:r w:rsidR="00414C35" w:rsidRPr="00414C35">
        <w:rPr>
          <w:i/>
          <w:iCs/>
          <w:rtl/>
        </w:rPr>
        <w:t xml:space="preserve">، في إطار بند الملكية الفكرية والتنمية من جدول الأعمال، بدءًا من دورة لجنة التنمية </w:t>
      </w:r>
      <w:r w:rsidR="00A37A23">
        <w:rPr>
          <w:i/>
          <w:iCs/>
          <w:rtl/>
        </w:rPr>
        <w:t>في ربيع عام 2023</w:t>
      </w:r>
      <w:r w:rsidR="00414C35" w:rsidRPr="00414C35">
        <w:rPr>
          <w:i/>
          <w:iCs/>
          <w:rtl/>
        </w:rPr>
        <w:t>".</w:t>
      </w:r>
    </w:p>
    <w:p w:rsidR="003E78BC" w:rsidRPr="00C451E1" w:rsidRDefault="003E78BC" w:rsidP="007E21C4">
      <w:pPr>
        <w:pStyle w:val="ONUMA"/>
      </w:pPr>
      <w:r>
        <w:rPr>
          <w:rFonts w:hint="cs"/>
          <w:rtl/>
        </w:rPr>
        <w:t xml:space="preserve">وتسعى هذه الوثيقة، إلى جانب الوثيقة </w:t>
      </w:r>
      <w:r w:rsidRPr="007E21C4">
        <w:rPr>
          <w:lang w:val="fr-CH"/>
        </w:rPr>
        <w:t>CDIP/</w:t>
      </w:r>
      <w:r w:rsidR="00A37A23" w:rsidRPr="007E21C4">
        <w:rPr>
          <w:lang w:val="fr-CH"/>
        </w:rPr>
        <w:t>30</w:t>
      </w:r>
      <w:r w:rsidRPr="007E21C4">
        <w:rPr>
          <w:lang w:val="fr-CH"/>
        </w:rPr>
        <w:t>/</w:t>
      </w:r>
      <w:r w:rsidR="00A37A23" w:rsidRPr="007E21C4">
        <w:rPr>
          <w:lang w:val="fr-CH"/>
        </w:rPr>
        <w:t>12</w:t>
      </w:r>
      <w:r w:rsidRPr="007E21C4">
        <w:rPr>
          <w:rFonts w:hint="cs"/>
          <w:rtl/>
          <w:lang w:val="fr-CH" w:bidi="ar-SY"/>
        </w:rPr>
        <w:t>، إلى تسهيل إعادة نظر اللجنة في مسألة</w:t>
      </w:r>
      <w:r w:rsidR="00704E42" w:rsidRPr="007E21C4">
        <w:rPr>
          <w:rFonts w:hint="cs"/>
          <w:rtl/>
          <w:lang w:val="fr-CH" w:bidi="ar-SY"/>
        </w:rPr>
        <w:t xml:space="preserve"> "المرأة والملكية الفكرية" في دورتها</w:t>
      </w:r>
      <w:r w:rsidRPr="007E21C4">
        <w:rPr>
          <w:rFonts w:hint="cs"/>
          <w:rtl/>
          <w:lang w:val="fr-CH" w:bidi="ar-SY"/>
        </w:rPr>
        <w:t xml:space="preserve"> الحالية. </w:t>
      </w:r>
      <w:r w:rsidR="00C451E1" w:rsidRPr="007E21C4">
        <w:rPr>
          <w:rFonts w:hint="cs"/>
          <w:rtl/>
          <w:lang w:val="fr-CH" w:bidi="ar-SY"/>
        </w:rPr>
        <w:t>وفي حين</w:t>
      </w:r>
      <w:r w:rsidRPr="007E21C4">
        <w:rPr>
          <w:rFonts w:hint="cs"/>
          <w:rtl/>
          <w:lang w:val="fr-CH" w:bidi="ar-SY"/>
        </w:rPr>
        <w:t xml:space="preserve"> </w:t>
      </w:r>
      <w:r w:rsidR="00A37A23" w:rsidRPr="007E21C4">
        <w:rPr>
          <w:rFonts w:hint="cs"/>
          <w:rtl/>
          <w:lang w:val="fr-CH" w:bidi="ar-SY"/>
        </w:rPr>
        <w:t>تقدم ه</w:t>
      </w:r>
      <w:r w:rsidRPr="007E21C4">
        <w:rPr>
          <w:rFonts w:hint="cs"/>
          <w:rtl/>
          <w:lang w:val="fr-CH" w:bidi="ar-SY"/>
        </w:rPr>
        <w:t>ذه</w:t>
      </w:r>
      <w:r w:rsidR="00C451E1" w:rsidRPr="007E21C4">
        <w:rPr>
          <w:rFonts w:hint="cs"/>
          <w:rtl/>
          <w:lang w:val="fr-CH" w:bidi="ar-SY"/>
        </w:rPr>
        <w:t xml:space="preserve"> الوثيقة</w:t>
      </w:r>
      <w:r w:rsidRPr="007E21C4">
        <w:rPr>
          <w:rFonts w:hint="cs"/>
          <w:rtl/>
          <w:lang w:val="fr-CH" w:bidi="ar-SY"/>
        </w:rPr>
        <w:t xml:space="preserve"> </w:t>
      </w:r>
      <w:r w:rsidR="00A37A23" w:rsidRPr="007E21C4">
        <w:rPr>
          <w:rFonts w:hint="cs"/>
          <w:rtl/>
          <w:lang w:val="fr-CH" w:bidi="ar-SY"/>
        </w:rPr>
        <w:t xml:space="preserve">تقريراً عن </w:t>
      </w:r>
      <w:r w:rsidR="00C451E1" w:rsidRPr="007E21C4">
        <w:rPr>
          <w:rFonts w:hint="cs"/>
          <w:rtl/>
          <w:lang w:val="fr-CH" w:bidi="ar-SY"/>
        </w:rPr>
        <w:t xml:space="preserve">جميع وتبادل البيانات حسب نوع الجنس في مجال الملكية الفكرية، فإن </w:t>
      </w:r>
      <w:r w:rsidR="00A37A23">
        <w:rPr>
          <w:rFonts w:hint="cs"/>
          <w:rtl/>
        </w:rPr>
        <w:t xml:space="preserve">الوثيقة </w:t>
      </w:r>
      <w:r w:rsidR="00A37A23" w:rsidRPr="007E21C4">
        <w:rPr>
          <w:lang w:val="fr-CH"/>
        </w:rPr>
        <w:t>CDIP/30/12</w:t>
      </w:r>
      <w:r w:rsidR="00A37A23" w:rsidRPr="007E21C4">
        <w:rPr>
          <w:rFonts w:hint="cs"/>
          <w:rtl/>
          <w:lang w:val="fr-CH" w:bidi="ar-SY"/>
        </w:rPr>
        <w:t>،</w:t>
      </w:r>
      <w:r w:rsidR="00C451E1" w:rsidRPr="007E21C4">
        <w:rPr>
          <w:rFonts w:hint="cs"/>
          <w:rtl/>
          <w:lang w:val="fr-CH" w:bidi="ar-SY"/>
        </w:rPr>
        <w:t xml:space="preserve"> </w:t>
      </w:r>
      <w:r w:rsidR="007E21C4" w:rsidRPr="007E21C4">
        <w:rPr>
          <w:rFonts w:hint="cs"/>
          <w:rtl/>
          <w:lang w:val="fr-CH" w:bidi="ar-SY"/>
        </w:rPr>
        <w:t xml:space="preserve">تقدم تقريراً </w:t>
      </w:r>
      <w:r w:rsidR="00A37A23" w:rsidRPr="007E21C4">
        <w:rPr>
          <w:rtl/>
          <w:lang w:val="fr-CH" w:bidi="ar-SY"/>
        </w:rPr>
        <w:t>عن خطة عمل الويبو الاستراتيجية لدعم وتمكين المرأة في مجال الملكية الفكرية، كما تقدم لمحة عامة عن تكامل أنشطة الويبو الداخلية والخارجية.</w:t>
      </w:r>
      <w:r w:rsidR="007E21C4" w:rsidRPr="007E21C4">
        <w:rPr>
          <w:rFonts w:hint="cs"/>
          <w:rtl/>
          <w:lang w:val="fr-CH" w:bidi="ar-SY"/>
        </w:rPr>
        <w:t xml:space="preserve"> </w:t>
      </w:r>
      <w:r w:rsidR="00C451E1" w:rsidRPr="007E21C4">
        <w:rPr>
          <w:rFonts w:hint="cs"/>
          <w:rtl/>
          <w:lang w:val="fr-CH" w:bidi="ar-SY"/>
        </w:rPr>
        <w:t xml:space="preserve">وتغطي فترة التقرير عامي </w:t>
      </w:r>
      <w:r w:rsidR="007E21C4">
        <w:rPr>
          <w:rFonts w:hint="cs"/>
          <w:rtl/>
          <w:lang w:val="fr-CH" w:bidi="ar-SY"/>
        </w:rPr>
        <w:t>2021</w:t>
      </w:r>
      <w:r w:rsidR="00C451E1" w:rsidRPr="007E21C4">
        <w:rPr>
          <w:rFonts w:hint="cs"/>
          <w:rtl/>
          <w:lang w:val="fr-CH" w:bidi="ar-SY"/>
        </w:rPr>
        <w:t xml:space="preserve"> </w:t>
      </w:r>
      <w:r w:rsidR="007E21C4">
        <w:rPr>
          <w:rFonts w:hint="cs"/>
          <w:rtl/>
          <w:lang w:val="fr-CH" w:bidi="ar-SY"/>
        </w:rPr>
        <w:t>و2022</w:t>
      </w:r>
      <w:r w:rsidR="00C451E1" w:rsidRPr="007E21C4">
        <w:rPr>
          <w:rFonts w:hint="cs"/>
          <w:rtl/>
          <w:lang w:val="fr-CH" w:bidi="ar-SY"/>
        </w:rPr>
        <w:t>.</w:t>
      </w:r>
    </w:p>
    <w:p w:rsidR="007E21C4" w:rsidRDefault="00C451E1" w:rsidP="005B30D9">
      <w:pPr>
        <w:pStyle w:val="Heading2"/>
        <w:rPr>
          <w:b/>
          <w:bCs w:val="0"/>
          <w:i/>
          <w:iCs w:val="0"/>
          <w:rtl/>
        </w:rPr>
      </w:pPr>
      <w:r w:rsidRPr="005B30D9">
        <w:rPr>
          <w:rFonts w:hint="cs"/>
          <w:b/>
          <w:bCs w:val="0"/>
          <w:i/>
          <w:iCs w:val="0"/>
          <w:rtl/>
        </w:rPr>
        <w:t>أولا</w:t>
      </w:r>
      <w:r w:rsidR="003A3440">
        <w:rPr>
          <w:rFonts w:hint="cs"/>
          <w:b/>
          <w:bCs w:val="0"/>
          <w:i/>
          <w:iCs w:val="0"/>
          <w:rtl/>
        </w:rPr>
        <w:t>ً</w:t>
      </w:r>
      <w:r w:rsidRPr="005B30D9">
        <w:rPr>
          <w:rFonts w:hint="cs"/>
          <w:b/>
          <w:bCs w:val="0"/>
          <w:i/>
          <w:iCs w:val="0"/>
          <w:rtl/>
        </w:rPr>
        <w:t>.</w:t>
      </w:r>
      <w:r w:rsidRPr="005B30D9">
        <w:rPr>
          <w:rFonts w:hint="cs"/>
          <w:b/>
          <w:bCs w:val="0"/>
          <w:i/>
          <w:iCs w:val="0"/>
          <w:rtl/>
        </w:rPr>
        <w:tab/>
      </w:r>
      <w:r w:rsidR="007E21C4">
        <w:rPr>
          <w:rFonts w:hint="cs"/>
          <w:b/>
          <w:bCs w:val="0"/>
          <w:i/>
          <w:iCs w:val="0"/>
          <w:rtl/>
        </w:rPr>
        <w:t>ت</w:t>
      </w:r>
      <w:r w:rsidR="007E21C4" w:rsidRPr="007E21C4">
        <w:rPr>
          <w:b/>
          <w:bCs w:val="0"/>
          <w:i/>
          <w:iCs w:val="0"/>
          <w:rtl/>
        </w:rPr>
        <w:t>جميع البيانات الدولية المصنفة والقابلة للمقارنة بشأن جنس أصحاب حقوق الملكية الفكرية والمبدعين</w:t>
      </w:r>
    </w:p>
    <w:p w:rsidR="009B0855" w:rsidRDefault="00C451E1" w:rsidP="00ED2D7E">
      <w:pPr>
        <w:pStyle w:val="ONUMA"/>
      </w:pPr>
      <w:r>
        <w:rPr>
          <w:rFonts w:hint="cs"/>
          <w:rtl/>
        </w:rPr>
        <w:t>لا تتضمن طلبات البراءات الدولية معلوم</w:t>
      </w:r>
      <w:r w:rsidR="00704E42">
        <w:rPr>
          <w:rFonts w:hint="cs"/>
          <w:rtl/>
        </w:rPr>
        <w:t>ات عن نوع جنس مودع الطلب</w:t>
      </w:r>
      <w:r w:rsidR="007E21C4">
        <w:rPr>
          <w:rFonts w:hint="cs"/>
          <w:rtl/>
        </w:rPr>
        <w:t xml:space="preserve"> أو المبدع</w:t>
      </w:r>
      <w:r w:rsidR="00704E42">
        <w:rPr>
          <w:rFonts w:hint="cs"/>
          <w:rtl/>
        </w:rPr>
        <w:t>. ولكنها معلومات</w:t>
      </w:r>
      <w:r>
        <w:rPr>
          <w:rFonts w:hint="cs"/>
          <w:rtl/>
        </w:rPr>
        <w:t xml:space="preserve"> قي</w:t>
      </w:r>
      <w:r w:rsidR="00704E42">
        <w:rPr>
          <w:rFonts w:hint="cs"/>
          <w:rtl/>
        </w:rPr>
        <w:t>ّ</w:t>
      </w:r>
      <w:r>
        <w:rPr>
          <w:rFonts w:hint="cs"/>
          <w:rtl/>
        </w:rPr>
        <w:t xml:space="preserve">مة </w:t>
      </w:r>
      <w:r w:rsidR="00A92D77">
        <w:rPr>
          <w:rFonts w:hint="cs"/>
          <w:rtl/>
        </w:rPr>
        <w:t xml:space="preserve">بالنسبة لمجتمع الملكية الفكرية، على سبيل المثال، لاستكشاف الفجوات المحتملة في مجال الابتكار وفهمها. لذلك، فقد واصلت الأمانة، منذ دورة لجنة التنمية الثانية والعشرين، </w:t>
      </w:r>
      <w:r w:rsidR="00704E42">
        <w:rPr>
          <w:rFonts w:hint="cs"/>
          <w:rtl/>
        </w:rPr>
        <w:t xml:space="preserve">العمل </w:t>
      </w:r>
      <w:r w:rsidR="007E21C4">
        <w:rPr>
          <w:rFonts w:hint="cs"/>
          <w:rtl/>
        </w:rPr>
        <w:t xml:space="preserve">نحو </w:t>
      </w:r>
      <w:r w:rsidR="00A92D77">
        <w:rPr>
          <w:rFonts w:hint="cs"/>
          <w:rtl/>
        </w:rPr>
        <w:t xml:space="preserve">تطوير منهجيات لزيادة فهم التقاطع بين المساواة بين الجنسين والملكية الفكرية، ولتجميع، بناءً على ذلك، بيانات دولية قابلة للمقارنة ومصنفة حسب نوع الجنس. </w:t>
      </w:r>
      <w:r w:rsidR="00F66CA8">
        <w:rPr>
          <w:rFonts w:hint="cs"/>
          <w:rtl/>
          <w:lang w:bidi="ar-SY"/>
        </w:rPr>
        <w:t>و</w:t>
      </w:r>
      <w:r w:rsidR="00ED2D7E">
        <w:rPr>
          <w:rFonts w:hint="cs"/>
          <w:rtl/>
          <w:lang w:bidi="ar-SY"/>
        </w:rPr>
        <w:t>اضطلعت ب</w:t>
      </w:r>
      <w:r w:rsidR="00A92D77">
        <w:rPr>
          <w:rFonts w:hint="cs"/>
          <w:rtl/>
        </w:rPr>
        <w:t>هذا العمل</w:t>
      </w:r>
      <w:r w:rsidR="00F66CA8">
        <w:rPr>
          <w:rFonts w:hint="cs"/>
          <w:rtl/>
        </w:rPr>
        <w:t>، على وجه الخصوص،</w:t>
      </w:r>
      <w:r w:rsidR="00A92D77">
        <w:rPr>
          <w:rFonts w:hint="cs"/>
          <w:rtl/>
        </w:rPr>
        <w:t xml:space="preserve"> إدارة الاقتصاد وتحليل البيانات التابعة لقطاع النظم الإيكولوجية للملكية الفكرية و</w:t>
      </w:r>
      <w:r w:rsidR="000C3002">
        <w:rPr>
          <w:rFonts w:hint="cs"/>
          <w:rtl/>
        </w:rPr>
        <w:t xml:space="preserve">الابتكار. </w:t>
      </w:r>
      <w:r w:rsidR="00F66CA8">
        <w:rPr>
          <w:rFonts w:hint="cs"/>
          <w:rtl/>
        </w:rPr>
        <w:t>وبالخصوص:</w:t>
      </w:r>
    </w:p>
    <w:p w:rsidR="00FB0A6C" w:rsidRPr="00A179DB" w:rsidRDefault="000C3002" w:rsidP="00631248">
      <w:pPr>
        <w:pStyle w:val="ONUMA"/>
        <w:rPr>
          <w:rtl/>
        </w:rPr>
      </w:pPr>
      <w:r>
        <w:rPr>
          <w:rFonts w:hint="cs"/>
          <w:rtl/>
        </w:rPr>
        <w:t>نشرت شعبة الإحصاءات وتحليلات البيانات إحصاءات لمعاهدة التعاون</w:t>
      </w:r>
      <w:r w:rsidR="00FB0A6C">
        <w:rPr>
          <w:rFonts w:hint="cs"/>
          <w:rtl/>
        </w:rPr>
        <w:t xml:space="preserve"> بشأن البراءات </w:t>
      </w:r>
      <w:r>
        <w:rPr>
          <w:rFonts w:hint="cs"/>
          <w:rtl/>
        </w:rPr>
        <w:t>مصنّفة</w:t>
      </w:r>
      <w:r w:rsidR="00FB0A6C">
        <w:rPr>
          <w:rFonts w:hint="cs"/>
          <w:rtl/>
        </w:rPr>
        <w:t xml:space="preserve"> حسب نوع الجنس، </w:t>
      </w:r>
      <w:r>
        <w:rPr>
          <w:rFonts w:hint="cs"/>
          <w:rtl/>
        </w:rPr>
        <w:t>في منشوراتها الرائدة</w:t>
      </w:r>
      <w:r w:rsidR="00FB0A6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F66CA8">
        <w:rPr>
          <w:rFonts w:hint="cs"/>
          <w:rtl/>
          <w:lang w:bidi="ar-SY"/>
        </w:rPr>
        <w:t xml:space="preserve">في </w:t>
      </w:r>
      <w:r>
        <w:rPr>
          <w:rFonts w:hint="cs"/>
          <w:rtl/>
        </w:rPr>
        <w:t xml:space="preserve">مركز البيانات </w:t>
      </w:r>
      <w:r w:rsidR="00FB0A6C">
        <w:rPr>
          <w:rFonts w:hint="cs"/>
          <w:rtl/>
        </w:rPr>
        <w:t>خلال نفس فترة</w:t>
      </w:r>
      <w:r w:rsidR="00ED2D7E">
        <w:rPr>
          <w:rFonts w:hint="cs"/>
          <w:rtl/>
        </w:rPr>
        <w:t xml:space="preserve"> التقرير</w:t>
      </w:r>
      <w:r w:rsidR="00FB0A6C">
        <w:rPr>
          <w:rFonts w:hint="cs"/>
          <w:rtl/>
        </w:rPr>
        <w:t>:</w:t>
      </w:r>
      <w:r w:rsidR="00631248" w:rsidRPr="00631248">
        <w:rPr>
          <w:rFonts w:hint="cs"/>
          <w:rtl/>
          <w:lang w:val="fr-CH" w:bidi="ar-SY"/>
        </w:rPr>
        <w:t xml:space="preserve"> </w:t>
      </w:r>
      <w:r w:rsidR="00A179DB">
        <w:rPr>
          <w:rFonts w:hint="cs"/>
          <w:rtl/>
          <w:lang w:bidi="ar-SY"/>
        </w:rPr>
        <w:t>الاستعراض السنوي لمعاهدة التعاون بشأن البراءات (</w:t>
      </w:r>
      <w:r w:rsidR="00ED2D7E">
        <w:rPr>
          <w:rFonts w:hint="cs"/>
          <w:rtl/>
          <w:lang w:bidi="ar-SY"/>
        </w:rPr>
        <w:t>2021 و2022</w:t>
      </w:r>
      <w:r w:rsidR="00A179DB">
        <w:rPr>
          <w:rFonts w:hint="cs"/>
          <w:rtl/>
          <w:lang w:bidi="ar-SY"/>
        </w:rPr>
        <w:t>)</w:t>
      </w:r>
      <w:r w:rsidR="00ED2D7E">
        <w:rPr>
          <w:rFonts w:hint="cs"/>
          <w:rtl/>
          <w:lang w:bidi="ar-SY"/>
        </w:rPr>
        <w:t>؛</w:t>
      </w:r>
      <w:r w:rsidR="00631248">
        <w:rPr>
          <w:rFonts w:hint="cs"/>
          <w:rtl/>
          <w:lang w:bidi="ar-SY"/>
        </w:rPr>
        <w:t xml:space="preserve"> </w:t>
      </w:r>
      <w:r w:rsidR="00F66CA8" w:rsidRPr="00A179DB">
        <w:rPr>
          <w:rFonts w:hint="cs"/>
          <w:rtl/>
        </w:rPr>
        <w:t>مؤشرات الملكية الفكرية العالمية (</w:t>
      </w:r>
      <w:r w:rsidR="00ED2D7E">
        <w:rPr>
          <w:rFonts w:hint="cs"/>
          <w:rtl/>
        </w:rPr>
        <w:t>2021 و2022</w:t>
      </w:r>
      <w:r w:rsidR="00F66CA8" w:rsidRPr="00A179DB">
        <w:rPr>
          <w:rFonts w:hint="cs"/>
          <w:rtl/>
        </w:rPr>
        <w:t>)</w:t>
      </w:r>
      <w:r w:rsidR="00ED2D7E">
        <w:rPr>
          <w:rFonts w:hint="cs"/>
          <w:rtl/>
        </w:rPr>
        <w:t>؛</w:t>
      </w:r>
      <w:r w:rsidR="00631248">
        <w:rPr>
          <w:rFonts w:hint="cs"/>
          <w:rtl/>
        </w:rPr>
        <w:t xml:space="preserve"> </w:t>
      </w:r>
      <w:r w:rsidR="00FB0A6C" w:rsidRPr="00A179DB">
        <w:rPr>
          <w:rFonts w:hint="cs"/>
          <w:rtl/>
        </w:rPr>
        <w:t xml:space="preserve">مركز </w:t>
      </w:r>
      <w:r w:rsidR="00631248">
        <w:rPr>
          <w:rFonts w:hint="cs"/>
          <w:rtl/>
        </w:rPr>
        <w:t>ال</w:t>
      </w:r>
      <w:r w:rsidR="00FB0A6C" w:rsidRPr="00A179DB">
        <w:rPr>
          <w:rFonts w:hint="cs"/>
          <w:rtl/>
        </w:rPr>
        <w:t xml:space="preserve">بيانات </w:t>
      </w:r>
      <w:r w:rsidR="00631248" w:rsidRPr="00631248">
        <w:rPr>
          <w:rtl/>
        </w:rPr>
        <w:t>الإحصائية الخاصة بالملكية الفكرية</w:t>
      </w:r>
      <w:r w:rsidR="00631248">
        <w:rPr>
          <w:rFonts w:hint="cs"/>
          <w:rtl/>
        </w:rPr>
        <w:t xml:space="preserve"> </w:t>
      </w:r>
      <w:r w:rsidR="00FB0A6C" w:rsidRPr="00A179DB">
        <w:rPr>
          <w:rFonts w:hint="cs"/>
          <w:rtl/>
        </w:rPr>
        <w:t>(تحديثات منتظمة خلال تلك الفترة)</w:t>
      </w:r>
      <w:r w:rsidR="00631248">
        <w:rPr>
          <w:rFonts w:hint="cs"/>
          <w:rtl/>
        </w:rPr>
        <w:t>.</w:t>
      </w:r>
    </w:p>
    <w:p w:rsidR="00FB0A6C" w:rsidRDefault="00631248" w:rsidP="00BC595E">
      <w:pPr>
        <w:pStyle w:val="ONUMA"/>
      </w:pPr>
      <w:r w:rsidRPr="00631248">
        <w:rPr>
          <w:rtl/>
        </w:rPr>
        <w:lastRenderedPageBreak/>
        <w:t>وواصل قسم اقتصاد الابتكار إجراء بحوث منهجية واقتصادية حول المساواة بين الجنسين والملكية الفكرية.</w:t>
      </w:r>
      <w:r>
        <w:rPr>
          <w:rFonts w:hint="cs"/>
          <w:rtl/>
        </w:rPr>
        <w:t xml:space="preserve"> و</w:t>
      </w:r>
      <w:r w:rsidRPr="00631248">
        <w:rPr>
          <w:rtl/>
        </w:rPr>
        <w:t>في عام 2022، قام القسم بتعيين أول زميل باحث في النوع الج</w:t>
      </w:r>
      <w:r>
        <w:rPr>
          <w:rFonts w:hint="cs"/>
          <w:rtl/>
        </w:rPr>
        <w:t>نس</w:t>
      </w:r>
      <w:r w:rsidRPr="00631248">
        <w:rPr>
          <w:rtl/>
        </w:rPr>
        <w:t xml:space="preserve"> لقيادة البحث </w:t>
      </w:r>
      <w:r>
        <w:rPr>
          <w:rFonts w:hint="cs"/>
          <w:rtl/>
        </w:rPr>
        <w:t xml:space="preserve">بشأن </w:t>
      </w:r>
      <w:r w:rsidRPr="00631248">
        <w:rPr>
          <w:rtl/>
        </w:rPr>
        <w:t>فجوات نوع الج</w:t>
      </w:r>
      <w:r>
        <w:rPr>
          <w:rFonts w:hint="cs"/>
          <w:rtl/>
        </w:rPr>
        <w:t xml:space="preserve">نس </w:t>
      </w:r>
      <w:r w:rsidRPr="00631248">
        <w:rPr>
          <w:rtl/>
        </w:rPr>
        <w:t xml:space="preserve">والتنوع في مجالات الابتكار والإبداع. </w:t>
      </w:r>
      <w:r w:rsidR="00BC595E">
        <w:rPr>
          <w:rFonts w:hint="cs"/>
          <w:rtl/>
        </w:rPr>
        <w:t>و</w:t>
      </w:r>
      <w:r w:rsidRPr="00631248">
        <w:rPr>
          <w:rtl/>
        </w:rPr>
        <w:t xml:space="preserve">استمر البحث في </w:t>
      </w:r>
      <w:r w:rsidR="00BC595E" w:rsidRPr="00FB0A6C">
        <w:rPr>
          <w:rtl/>
        </w:rPr>
        <w:t>محورين رئيسيين</w:t>
      </w:r>
      <w:r w:rsidRPr="00631248">
        <w:rPr>
          <w:rtl/>
        </w:rPr>
        <w:t>:</w:t>
      </w:r>
      <w:r w:rsidR="00BC595E">
        <w:rPr>
          <w:rFonts w:hint="cs"/>
          <w:rtl/>
        </w:rPr>
        <w:t xml:space="preserve"> </w:t>
      </w:r>
      <w:r w:rsidR="00F66CA8">
        <w:rPr>
          <w:rFonts w:hint="cs"/>
          <w:rtl/>
        </w:rPr>
        <w:t>"1"</w:t>
      </w:r>
      <w:r w:rsidR="00FB0A6C" w:rsidRPr="00FB0A6C">
        <w:rPr>
          <w:rtl/>
        </w:rPr>
        <w:t xml:space="preserve"> زيادة تحسين منهجيات </w:t>
      </w:r>
      <w:r w:rsidR="00F66CA8">
        <w:rPr>
          <w:rtl/>
        </w:rPr>
        <w:t xml:space="preserve">إزالة </w:t>
      </w:r>
      <w:r w:rsidR="00F66CA8">
        <w:rPr>
          <w:rFonts w:hint="cs"/>
          <w:rtl/>
        </w:rPr>
        <w:t>اللبس فيما يتعلق</w:t>
      </w:r>
      <w:r w:rsidR="00F66CA8">
        <w:rPr>
          <w:rtl/>
        </w:rPr>
        <w:t xml:space="preserve"> </w:t>
      </w:r>
      <w:r w:rsidR="00F66CA8">
        <w:rPr>
          <w:rFonts w:hint="cs"/>
          <w:rtl/>
        </w:rPr>
        <w:t>بنوع</w:t>
      </w:r>
      <w:r w:rsidR="00F66CA8">
        <w:rPr>
          <w:rtl/>
        </w:rPr>
        <w:t xml:space="preserve"> الجنس</w:t>
      </w:r>
      <w:r w:rsidR="00FB0A6C" w:rsidRPr="00FB0A6C">
        <w:rPr>
          <w:rtl/>
        </w:rPr>
        <w:t>؛</w:t>
      </w:r>
      <w:r w:rsidR="00737651">
        <w:rPr>
          <w:rFonts w:hint="cs"/>
          <w:rtl/>
        </w:rPr>
        <w:t xml:space="preserve"> "2" و</w:t>
      </w:r>
      <w:r w:rsidR="00FB0A6C" w:rsidRPr="00FB0A6C">
        <w:rPr>
          <w:rtl/>
        </w:rPr>
        <w:t xml:space="preserve">تحسين مجموعات </w:t>
      </w:r>
      <w:r w:rsidR="00737651">
        <w:rPr>
          <w:rFonts w:hint="cs"/>
          <w:rtl/>
        </w:rPr>
        <w:t xml:space="preserve">بيانات </w:t>
      </w:r>
      <w:r w:rsidR="00FB0A6C" w:rsidRPr="00FB0A6C">
        <w:rPr>
          <w:rtl/>
        </w:rPr>
        <w:t>الملكية الفكرية</w:t>
      </w:r>
      <w:r w:rsidR="00737651" w:rsidRPr="00737651">
        <w:rPr>
          <w:rtl/>
        </w:rPr>
        <w:t xml:space="preserve"> </w:t>
      </w:r>
      <w:r w:rsidR="00737651" w:rsidRPr="00FB0A6C">
        <w:rPr>
          <w:rtl/>
        </w:rPr>
        <w:t>وتوسيع</w:t>
      </w:r>
      <w:r w:rsidR="00737651">
        <w:rPr>
          <w:rFonts w:hint="cs"/>
          <w:rtl/>
          <w:lang w:bidi="ar-SY"/>
        </w:rPr>
        <w:t>ها</w:t>
      </w:r>
      <w:r w:rsidR="00FB0A6C" w:rsidRPr="00FB0A6C">
        <w:rPr>
          <w:rtl/>
        </w:rPr>
        <w:t xml:space="preserve"> مع تصنيف</w:t>
      </w:r>
      <w:r w:rsidR="00737651">
        <w:rPr>
          <w:rFonts w:hint="cs"/>
          <w:rtl/>
        </w:rPr>
        <w:t>ها حسب نوع</w:t>
      </w:r>
      <w:r w:rsidR="00FB0A6C" w:rsidRPr="00FB0A6C">
        <w:rPr>
          <w:rtl/>
        </w:rPr>
        <w:t xml:space="preserve"> الجنس</w:t>
      </w:r>
      <w:r w:rsidR="00BC595E">
        <w:rPr>
          <w:rFonts w:hint="cs"/>
          <w:rtl/>
        </w:rPr>
        <w:t xml:space="preserve">، </w:t>
      </w:r>
      <w:r w:rsidR="00BC595E" w:rsidRPr="00BC595E">
        <w:rPr>
          <w:rtl/>
        </w:rPr>
        <w:t>بما في ذلك تدابير التنوع الأخرى.</w:t>
      </w:r>
    </w:p>
    <w:p w:rsidR="00FB0A6C" w:rsidRDefault="00737651" w:rsidP="00BC595E">
      <w:pPr>
        <w:pStyle w:val="ONUMA"/>
      </w:pPr>
      <w:r>
        <w:rPr>
          <w:rFonts w:hint="cs"/>
          <w:rtl/>
        </w:rPr>
        <w:t>و</w:t>
      </w:r>
      <w:r w:rsidR="00FB0A6C" w:rsidRPr="00FB0A6C">
        <w:rPr>
          <w:rtl/>
        </w:rPr>
        <w:t>خلال الفترة</w:t>
      </w:r>
      <w:r>
        <w:rPr>
          <w:rtl/>
        </w:rPr>
        <w:t xml:space="preserve"> المشمولة بالتقرير، واصل قسم اقتصاد الابتكا</w:t>
      </w:r>
      <w:r>
        <w:rPr>
          <w:rFonts w:hint="cs"/>
          <w:rtl/>
        </w:rPr>
        <w:t>ر</w:t>
      </w:r>
      <w:r w:rsidR="00FB0A6C" w:rsidRPr="00FB0A6C">
        <w:rPr>
          <w:rtl/>
        </w:rPr>
        <w:t xml:space="preserve"> تحسين منهجيات إزالة </w:t>
      </w:r>
      <w:r>
        <w:rPr>
          <w:rFonts w:hint="cs"/>
          <w:rtl/>
        </w:rPr>
        <w:t>اللبس فيما يتعلق</w:t>
      </w:r>
      <w:r w:rsidR="00FB0A6C" w:rsidRPr="00FB0A6C">
        <w:rPr>
          <w:rtl/>
        </w:rPr>
        <w:t xml:space="preserve"> </w:t>
      </w:r>
      <w:r>
        <w:rPr>
          <w:rFonts w:hint="cs"/>
          <w:rtl/>
        </w:rPr>
        <w:t>بنوع الجنس، وذلك من خلال ما يلي:</w:t>
      </w:r>
      <w:r w:rsidR="00FB0A6C" w:rsidRPr="00FB0A6C">
        <w:rPr>
          <w:rtl/>
        </w:rPr>
        <w:t xml:space="preserve"> </w:t>
      </w:r>
    </w:p>
    <w:p w:rsidR="00FB0A6C" w:rsidRDefault="00BC595E" w:rsidP="00BC595E">
      <w:pPr>
        <w:pStyle w:val="BODYINDENT"/>
        <w:rPr>
          <w:rtl/>
        </w:rPr>
      </w:pPr>
      <w:r w:rsidRPr="00BC595E">
        <w:rPr>
          <w:rFonts w:hint="cs"/>
          <w:rtl/>
        </w:rPr>
        <w:t>1.6</w:t>
      </w:r>
      <w:r w:rsidR="00FB0A6C" w:rsidRPr="00BC595E">
        <w:rPr>
          <w:rFonts w:hint="cs"/>
          <w:rtl/>
        </w:rPr>
        <w:tab/>
      </w:r>
      <w:r w:rsidR="00737651" w:rsidRPr="00BC595E">
        <w:rPr>
          <w:rFonts w:hint="cs"/>
          <w:rtl/>
          <w:lang w:bidi="ar-SY"/>
        </w:rPr>
        <w:t xml:space="preserve">إعداد </w:t>
      </w:r>
      <w:r w:rsidRPr="00BC595E">
        <w:rPr>
          <w:rFonts w:hint="cs"/>
          <w:rtl/>
          <w:lang w:bidi="ar-SY"/>
        </w:rPr>
        <w:t xml:space="preserve">وتحسين </w:t>
      </w:r>
      <w:r w:rsidR="00737651" w:rsidRPr="00BC595E">
        <w:rPr>
          <w:rFonts w:hint="cs"/>
          <w:rtl/>
          <w:lang w:bidi="ar-SY"/>
        </w:rPr>
        <w:t>نسخ</w:t>
      </w:r>
      <w:r w:rsidR="00FB0A6C" w:rsidRPr="00BC595E">
        <w:rPr>
          <w:rtl/>
        </w:rPr>
        <w:t xml:space="preserve"> يسهل </w:t>
      </w:r>
      <w:r w:rsidR="00737651" w:rsidRPr="00BC595E">
        <w:rPr>
          <w:rFonts w:hint="cs"/>
          <w:rtl/>
        </w:rPr>
        <w:t>النفاذ</w:t>
      </w:r>
      <w:r w:rsidR="005B08FE" w:rsidRPr="00BC595E">
        <w:rPr>
          <w:rtl/>
        </w:rPr>
        <w:t xml:space="preserve"> إليها من القاموس </w:t>
      </w:r>
      <w:r w:rsidR="005B08FE" w:rsidRPr="00BC595E">
        <w:rPr>
          <w:rFonts w:hint="cs"/>
          <w:rtl/>
          <w:lang w:bidi="ar-SY"/>
        </w:rPr>
        <w:t>العالمي لل</w:t>
      </w:r>
      <w:r w:rsidR="0075315A" w:rsidRPr="00BC595E">
        <w:rPr>
          <w:rFonts w:hint="cs"/>
          <w:rtl/>
          <w:lang w:bidi="ar-SY"/>
        </w:rPr>
        <w:t>أسماء</w:t>
      </w:r>
      <w:r w:rsidR="005B08FE" w:rsidRPr="00BC595E">
        <w:rPr>
          <w:rFonts w:hint="cs"/>
          <w:rtl/>
          <w:lang w:bidi="ar-SY"/>
        </w:rPr>
        <w:t xml:space="preserve"> المصنفة حسب نوع الجنس</w:t>
      </w:r>
      <w:r w:rsidR="0075315A" w:rsidRPr="00BC595E">
        <w:rPr>
          <w:rFonts w:hint="cs"/>
          <w:rtl/>
        </w:rPr>
        <w:t xml:space="preserve"> </w:t>
      </w:r>
      <w:r w:rsidR="0075315A" w:rsidRPr="00BC595E">
        <w:rPr>
          <w:lang w:val="fr-CH"/>
        </w:rPr>
        <w:t>(WGND)</w:t>
      </w:r>
      <w:r w:rsidR="0075315A" w:rsidRPr="00BC595E">
        <w:rPr>
          <w:rFonts w:hint="cs"/>
          <w:rtl/>
          <w:lang w:val="fr-CH" w:bidi="ar-SY"/>
        </w:rPr>
        <w:t xml:space="preserve"> </w:t>
      </w:r>
      <w:r w:rsidRPr="00BC595E">
        <w:rPr>
          <w:rFonts w:hint="cs"/>
          <w:rtl/>
          <w:lang w:val="fr-CH" w:bidi="ar-SY"/>
        </w:rPr>
        <w:t xml:space="preserve">عبر </w:t>
      </w:r>
      <w:r w:rsidR="00FB0A6C" w:rsidRPr="00BC595E">
        <w:rPr>
          <w:rtl/>
        </w:rPr>
        <w:t>نشره</w:t>
      </w:r>
      <w:r w:rsidR="0075315A" w:rsidRPr="00BC595E">
        <w:rPr>
          <w:rFonts w:hint="cs"/>
          <w:rtl/>
        </w:rPr>
        <w:t xml:space="preserve"> </w:t>
      </w:r>
      <w:r w:rsidR="00FB0A6C" w:rsidRPr="00BC595E">
        <w:rPr>
          <w:rtl/>
        </w:rPr>
        <w:t>في</w:t>
      </w:r>
      <w:r w:rsidR="0075315A" w:rsidRPr="00BC595E">
        <w:rPr>
          <w:rFonts w:hint="cs"/>
          <w:rtl/>
        </w:rPr>
        <w:t xml:space="preserve"> قاعدة البيانات</w:t>
      </w:r>
      <w:r w:rsidR="00FB0A6C" w:rsidRPr="00BC595E">
        <w:t xml:space="preserve">Harvard </w:t>
      </w:r>
      <w:proofErr w:type="spellStart"/>
      <w:r w:rsidR="00FB0A6C" w:rsidRPr="00BC595E">
        <w:t>Dataverse</w:t>
      </w:r>
      <w:proofErr w:type="spellEnd"/>
      <w:r w:rsidR="00FB0A6C" w:rsidRPr="00BC595E">
        <w:t xml:space="preserve"> </w:t>
      </w:r>
      <w:r w:rsidRPr="00BC595E">
        <w:rPr>
          <w:rStyle w:val="FootnoteReference"/>
        </w:rPr>
        <w:footnoteReference w:id="2"/>
      </w:r>
      <w:r w:rsidR="0075315A" w:rsidRPr="00BC595E">
        <w:rPr>
          <w:rFonts w:hint="cs"/>
          <w:rtl/>
          <w:lang w:val="fr-CH" w:bidi="ar-SY"/>
        </w:rPr>
        <w:t xml:space="preserve"> </w:t>
      </w:r>
      <w:r w:rsidR="0075315A" w:rsidRPr="00BC595E">
        <w:rPr>
          <w:rFonts w:hint="cs"/>
          <w:rtl/>
        </w:rPr>
        <w:t xml:space="preserve">وعلى موقع </w:t>
      </w:r>
      <w:r w:rsidR="0075315A" w:rsidRPr="00BC595E">
        <w:rPr>
          <w:lang w:val="fr-CH"/>
        </w:rPr>
        <w:t>GitHub</w:t>
      </w:r>
      <w:r w:rsidRPr="00BC595E">
        <w:rPr>
          <w:rStyle w:val="FootnoteReference"/>
          <w:lang w:val="fr-CH"/>
        </w:rPr>
        <w:footnoteReference w:id="3"/>
      </w:r>
      <w:r w:rsidRPr="00BC595E">
        <w:rPr>
          <w:rFonts w:hint="cs"/>
          <w:rtl/>
          <w:lang w:val="fr-CH"/>
        </w:rPr>
        <w:t xml:space="preserve"> و</w:t>
      </w:r>
      <w:r w:rsidRPr="00BC595E">
        <w:rPr>
          <w:rtl/>
          <w:lang w:val="fr-CH"/>
        </w:rPr>
        <w:t xml:space="preserve">خدمة التخزين البسيط </w:t>
      </w:r>
      <w:r w:rsidRPr="00BC595E">
        <w:rPr>
          <w:rFonts w:hint="cs"/>
          <w:rtl/>
          <w:lang w:val="fr-CH"/>
        </w:rPr>
        <w:t>ل</w:t>
      </w:r>
      <w:r w:rsidRPr="00BC595E">
        <w:rPr>
          <w:rtl/>
          <w:lang w:val="fr-CH"/>
        </w:rPr>
        <w:t>خدمات أمازون الشبكية (</w:t>
      </w:r>
      <w:r w:rsidRPr="00BC595E">
        <w:t>AWS S3</w:t>
      </w:r>
      <w:r w:rsidRPr="00BC595E">
        <w:rPr>
          <w:rtl/>
          <w:lang w:val="fr-CH"/>
        </w:rPr>
        <w:t>)</w:t>
      </w:r>
      <w:r w:rsidRPr="00BC595E">
        <w:rPr>
          <w:rStyle w:val="FootnoteReference"/>
          <w:rtl/>
          <w:lang w:val="fr-CH"/>
        </w:rPr>
        <w:footnoteReference w:id="4"/>
      </w:r>
      <w:r w:rsidR="00FB0A6C" w:rsidRPr="00BC595E">
        <w:rPr>
          <w:rtl/>
        </w:rPr>
        <w:t>.</w:t>
      </w:r>
    </w:p>
    <w:p w:rsidR="00BC595E" w:rsidRDefault="00BC595E" w:rsidP="00817F02">
      <w:pPr>
        <w:pStyle w:val="BODYINDENT"/>
        <w:rPr>
          <w:rtl/>
        </w:rPr>
      </w:pPr>
      <w:r>
        <w:rPr>
          <w:rFonts w:hint="cs"/>
          <w:rtl/>
        </w:rPr>
        <w:t>2.6</w:t>
      </w:r>
      <w:r>
        <w:rPr>
          <w:rFonts w:hint="cs"/>
          <w:rtl/>
        </w:rPr>
        <w:tab/>
      </w:r>
      <w:r w:rsidRPr="00BC595E">
        <w:rPr>
          <w:rtl/>
        </w:rPr>
        <w:t xml:space="preserve">إنشاء أمر </w:t>
      </w:r>
      <w:r w:rsidRPr="00BC595E">
        <w:t>STATA</w:t>
      </w:r>
      <w:r w:rsidRPr="00BC595E">
        <w:rPr>
          <w:rtl/>
        </w:rPr>
        <w:t xml:space="preserve"> (</w:t>
      </w:r>
      <w:proofErr w:type="spellStart"/>
      <w:r>
        <w:rPr>
          <w:i/>
        </w:rPr>
        <w:t>genderit</w:t>
      </w:r>
      <w:proofErr w:type="spellEnd"/>
      <w:r w:rsidRPr="00BC595E">
        <w:rPr>
          <w:rtl/>
        </w:rPr>
        <w:t xml:space="preserve">) للسماح للباحثين باستخدام </w:t>
      </w:r>
      <w:r w:rsidRPr="00BC595E">
        <w:t>WGND 2.0</w:t>
      </w:r>
      <w:r w:rsidRPr="00BC595E">
        <w:rPr>
          <w:rtl/>
        </w:rPr>
        <w:t xml:space="preserve"> بطريقة يسهل الوصول إليها. في عام 2022، تم نشر نسخة تجريبية في </w:t>
      </w:r>
      <w:r w:rsidRPr="00BC595E">
        <w:t>GitHub</w:t>
      </w:r>
      <w:r>
        <w:rPr>
          <w:rStyle w:val="FootnoteReference"/>
        </w:rPr>
        <w:footnoteReference w:id="5"/>
      </w:r>
      <w:r w:rsidRPr="00BC595E">
        <w:rPr>
          <w:rtl/>
        </w:rPr>
        <w:t xml:space="preserve"> ويتم اختبارها حاليًا من قبل </w:t>
      </w:r>
      <w:r w:rsidR="00817F02" w:rsidRPr="00817F02">
        <w:rPr>
          <w:rtl/>
        </w:rPr>
        <w:t xml:space="preserve">إدارة الاقتصاد وتحليل البيانات </w:t>
      </w:r>
      <w:r w:rsidRPr="00BC595E">
        <w:rPr>
          <w:rtl/>
        </w:rPr>
        <w:t>والباحثين الأكاديميين</w:t>
      </w:r>
      <w:r w:rsidR="00817F02">
        <w:rPr>
          <w:rStyle w:val="FootnoteReference"/>
          <w:rtl/>
        </w:rPr>
        <w:footnoteReference w:id="6"/>
      </w:r>
      <w:r w:rsidRPr="00BC595E">
        <w:rPr>
          <w:rtl/>
        </w:rPr>
        <w:t>.</w:t>
      </w:r>
    </w:p>
    <w:p w:rsidR="00817F02" w:rsidRDefault="00817F02" w:rsidP="000A1499">
      <w:pPr>
        <w:pStyle w:val="BODYINDENT"/>
        <w:rPr>
          <w:rtl/>
        </w:rPr>
      </w:pPr>
      <w:r>
        <w:rPr>
          <w:rFonts w:hint="cs"/>
          <w:rtl/>
        </w:rPr>
        <w:t>3.6</w:t>
      </w:r>
      <w:r>
        <w:rPr>
          <w:rFonts w:hint="cs"/>
          <w:rtl/>
        </w:rPr>
        <w:tab/>
      </w:r>
      <w:r w:rsidRPr="00817F02">
        <w:rPr>
          <w:rtl/>
        </w:rPr>
        <w:t>استكشاف استخدام المصادر البديلة لبيانات الملكية الفكرية، بالتعاون مع شعبة قواعد البيانات العالمية (</w:t>
      </w:r>
      <w:r w:rsidRPr="00817F02">
        <w:t>GDD</w:t>
      </w:r>
      <w:r w:rsidRPr="00817F02">
        <w:rPr>
          <w:rtl/>
        </w:rPr>
        <w:t xml:space="preserve">) في قطاع البنية التحتية والمنصات في الويبو، لإنتاج مؤشرات جديدة وتحسين المؤشرات الموجودة. </w:t>
      </w:r>
      <w:r w:rsidR="000A1499">
        <w:rPr>
          <w:rFonts w:hint="cs"/>
          <w:rtl/>
        </w:rPr>
        <w:t>و</w:t>
      </w:r>
      <w:r w:rsidRPr="00817F02">
        <w:rPr>
          <w:rtl/>
        </w:rPr>
        <w:t xml:space="preserve">نتيجة لذلك، تم تحسين متانة استخدام </w:t>
      </w:r>
      <w:r w:rsidRPr="00817F02">
        <w:t>WGND</w:t>
      </w:r>
      <w:r w:rsidRPr="00817F02">
        <w:rPr>
          <w:rtl/>
        </w:rPr>
        <w:t xml:space="preserve"> على الأسماء الصينية والكورية المعبر عنها بالحروف الأصلية بشكل كبير.</w:t>
      </w:r>
    </w:p>
    <w:p w:rsidR="000A1499" w:rsidRDefault="000A1499" w:rsidP="007C6278">
      <w:pPr>
        <w:pStyle w:val="BODYINDENT"/>
        <w:rPr>
          <w:rtl/>
        </w:rPr>
      </w:pPr>
      <w:r>
        <w:rPr>
          <w:rFonts w:hint="cs"/>
          <w:rtl/>
        </w:rPr>
        <w:t>4.6</w:t>
      </w:r>
      <w:r>
        <w:rPr>
          <w:rFonts w:hint="cs"/>
          <w:rtl/>
        </w:rPr>
        <w:tab/>
      </w:r>
      <w:r w:rsidRPr="000A1499">
        <w:rPr>
          <w:rtl/>
        </w:rPr>
        <w:t xml:space="preserve">التطوير المستمر لسلسلة </w:t>
      </w:r>
      <w:r>
        <w:rPr>
          <w:rFonts w:hint="cs"/>
          <w:rtl/>
        </w:rPr>
        <w:t>م</w:t>
      </w:r>
      <w:r w:rsidRPr="000A1499">
        <w:rPr>
          <w:rtl/>
        </w:rPr>
        <w:t xml:space="preserve">ن الأساليب للتنبؤ بالتكافؤ بين الجنسين، مما يسمح بمقارنة السيناريوهات المختلفة فيما يتعلق بوقت إمكانية تحقيق التكافؤ بين الجنسين. </w:t>
      </w:r>
      <w:r w:rsidR="007C6278">
        <w:rPr>
          <w:rFonts w:hint="cs"/>
          <w:rtl/>
        </w:rPr>
        <w:t>و</w:t>
      </w:r>
      <w:r w:rsidRPr="000A1499">
        <w:rPr>
          <w:rtl/>
        </w:rPr>
        <w:t xml:space="preserve">واصلت </w:t>
      </w:r>
      <w:r w:rsidR="007C6278" w:rsidRPr="00817F02">
        <w:rPr>
          <w:rtl/>
        </w:rPr>
        <w:t xml:space="preserve">إدارة الاقتصاد وتحليل البيانات </w:t>
      </w:r>
      <w:r w:rsidRPr="000A1499">
        <w:rPr>
          <w:rtl/>
        </w:rPr>
        <w:t xml:space="preserve">تطبيق هذه الأساليب على مخترعي معاهدة البراءات. </w:t>
      </w:r>
      <w:r w:rsidR="007C6278">
        <w:rPr>
          <w:rFonts w:hint="cs"/>
          <w:rtl/>
        </w:rPr>
        <w:t>و</w:t>
      </w:r>
      <w:r w:rsidRPr="000A1499">
        <w:rPr>
          <w:rtl/>
        </w:rPr>
        <w:t xml:space="preserve">يتم نشر الأساليب ومشاركتها داخليًا من خلال مستودع </w:t>
      </w:r>
      <w:r w:rsidRPr="000A1499">
        <w:t>GitHub</w:t>
      </w:r>
      <w:r w:rsidR="007C6278">
        <w:rPr>
          <w:rStyle w:val="FootnoteReference"/>
        </w:rPr>
        <w:footnoteReference w:id="7"/>
      </w:r>
      <w:r w:rsidRPr="000A1499">
        <w:rPr>
          <w:rtl/>
        </w:rPr>
        <w:t xml:space="preserve"> خاص.</w:t>
      </w:r>
    </w:p>
    <w:p w:rsidR="00DB2592" w:rsidRDefault="008F2815" w:rsidP="008F2815">
      <w:pPr>
        <w:pStyle w:val="ONUMA"/>
      </w:pPr>
      <w:r>
        <w:rPr>
          <w:rFonts w:hint="cs"/>
          <w:rtl/>
        </w:rPr>
        <w:t>و</w:t>
      </w:r>
      <w:r>
        <w:rPr>
          <w:rtl/>
        </w:rPr>
        <w:t>في الفترة نفسها، أجرى قسم اقتصاد الابتكار</w:t>
      </w:r>
      <w:r w:rsidR="00DB2592">
        <w:rPr>
          <w:rtl/>
        </w:rPr>
        <w:t xml:space="preserve"> بحثًا عن تحسين وتوسيع وتحليل بيانات الملكية الفكرية المصنفة حسب الجنس </w:t>
      </w:r>
      <w:r>
        <w:rPr>
          <w:rFonts w:hint="cs"/>
          <w:rtl/>
        </w:rPr>
        <w:t>من خلال</w:t>
      </w:r>
      <w:r w:rsidR="00DB2592">
        <w:rPr>
          <w:rtl/>
        </w:rPr>
        <w:t>:</w:t>
      </w:r>
    </w:p>
    <w:p w:rsidR="008E7D94" w:rsidRDefault="008E7D94" w:rsidP="008E7D94">
      <w:pPr>
        <w:pStyle w:val="ONUMA"/>
        <w:numPr>
          <w:ilvl w:val="0"/>
          <w:numId w:val="0"/>
        </w:numPr>
        <w:ind w:left="567"/>
        <w:rPr>
          <w:rtl/>
        </w:rPr>
      </w:pPr>
      <w:r>
        <w:rPr>
          <w:rFonts w:hint="cs"/>
          <w:rtl/>
        </w:rPr>
        <w:t>1.7</w:t>
      </w:r>
      <w:r>
        <w:rPr>
          <w:rFonts w:hint="cs"/>
          <w:rtl/>
        </w:rPr>
        <w:tab/>
      </w:r>
      <w:r w:rsidRPr="008E7D94">
        <w:rPr>
          <w:rtl/>
        </w:rPr>
        <w:t>تحديث الدراسة بعنوان "تحديد جنس المخترعين في نظام معاهدة التعاون بشأن البراءات"</w:t>
      </w:r>
      <w:r>
        <w:rPr>
          <w:rStyle w:val="FootnoteReference"/>
          <w:rtl/>
        </w:rPr>
        <w:footnoteReference w:id="8"/>
      </w:r>
      <w:r w:rsidRPr="008E7D94">
        <w:rPr>
          <w:rtl/>
        </w:rPr>
        <w:t xml:space="preserve">. </w:t>
      </w:r>
      <w:r>
        <w:rPr>
          <w:rFonts w:hint="cs"/>
          <w:rtl/>
        </w:rPr>
        <w:t>و</w:t>
      </w:r>
      <w:r w:rsidRPr="008E7D94">
        <w:rPr>
          <w:rtl/>
        </w:rPr>
        <w:t xml:space="preserve">تتوسع الدراسة المحدثة في مؤشرات الفجوة بين الجنسين المنتجة وتوفر معيارًا لمزيد من التحليلات. </w:t>
      </w:r>
      <w:r>
        <w:rPr>
          <w:rFonts w:hint="cs"/>
          <w:rtl/>
        </w:rPr>
        <w:t xml:space="preserve">وقد </w:t>
      </w:r>
      <w:r w:rsidRPr="008E7D94">
        <w:rPr>
          <w:rtl/>
        </w:rPr>
        <w:t xml:space="preserve">استفادت الدراسة من تضمين بيانات المجموعة الوطنية، مما سمح بإزالة الغموض بشكل أفضل عن الأسماء الصينية والكورية المعبر عنها بالأحرف الأصلية. </w:t>
      </w:r>
      <w:r>
        <w:rPr>
          <w:rFonts w:hint="cs"/>
          <w:rtl/>
        </w:rPr>
        <w:t>و</w:t>
      </w:r>
      <w:r w:rsidRPr="008E7D94">
        <w:rPr>
          <w:rtl/>
        </w:rPr>
        <w:t>ستُنشر هذه الدراسة في سلسلة دراسات التنمية للويبو</w:t>
      </w:r>
      <w:r>
        <w:rPr>
          <w:rStyle w:val="FootnoteReference"/>
          <w:rtl/>
        </w:rPr>
        <w:footnoteReference w:id="9"/>
      </w:r>
      <w:r>
        <w:rPr>
          <w:rFonts w:hint="cs"/>
          <w:rtl/>
        </w:rPr>
        <w:t>.</w:t>
      </w:r>
    </w:p>
    <w:p w:rsidR="008E7D94" w:rsidRDefault="008E7D94" w:rsidP="00B6056A">
      <w:pPr>
        <w:pStyle w:val="ONUMA"/>
        <w:numPr>
          <w:ilvl w:val="0"/>
          <w:numId w:val="0"/>
        </w:numPr>
        <w:ind w:left="567"/>
      </w:pPr>
      <w:r>
        <w:rPr>
          <w:rFonts w:hint="cs"/>
          <w:rtl/>
        </w:rPr>
        <w:t>2.7</w:t>
      </w:r>
      <w:r>
        <w:rPr>
          <w:rFonts w:hint="cs"/>
          <w:rtl/>
        </w:rPr>
        <w:tab/>
      </w:r>
      <w:r w:rsidRPr="008E7D94">
        <w:rPr>
          <w:rtl/>
        </w:rPr>
        <w:t xml:space="preserve">الاستمرار في استكشاف </w:t>
      </w:r>
      <w:r>
        <w:rPr>
          <w:rtl/>
        </w:rPr>
        <w:t xml:space="preserve">إزالة </w:t>
      </w:r>
      <w:r>
        <w:rPr>
          <w:rFonts w:hint="cs"/>
          <w:rtl/>
        </w:rPr>
        <w:t>اللبس فيما يتعلق</w:t>
      </w:r>
      <w:r>
        <w:rPr>
          <w:rtl/>
        </w:rPr>
        <w:t xml:space="preserve"> ب</w:t>
      </w:r>
      <w:r>
        <w:rPr>
          <w:rFonts w:hint="cs"/>
          <w:rtl/>
        </w:rPr>
        <w:t xml:space="preserve">نوع </w:t>
      </w:r>
      <w:r>
        <w:rPr>
          <w:rtl/>
        </w:rPr>
        <w:t xml:space="preserve">الجنس </w:t>
      </w:r>
      <w:r w:rsidRPr="008E7D94">
        <w:rPr>
          <w:rtl/>
        </w:rPr>
        <w:t xml:space="preserve">لمخترعي البراءات ونماذج المنفعة في مجموعات الملكية الفكرية الوطنية. استكشف قسم اقتصاد الابتكار طرقًا لتوسيع هذا البحث ليشمل مصادر أخرى بخلاف </w:t>
      </w:r>
      <w:r w:rsidR="00B6056A" w:rsidRPr="00B6056A">
        <w:rPr>
          <w:rtl/>
        </w:rPr>
        <w:t xml:space="preserve">بيانات سجل وحدة </w:t>
      </w:r>
      <w:r w:rsidRPr="008E7D94">
        <w:t>DOCDB/PATSTAT</w:t>
      </w:r>
      <w:r w:rsidR="002830B7">
        <w:rPr>
          <w:rStyle w:val="FootnoteReference"/>
        </w:rPr>
        <w:footnoteReference w:id="10"/>
      </w:r>
      <w:r w:rsidRPr="008E7D94">
        <w:rPr>
          <w:rtl/>
        </w:rPr>
        <w:t>.</w:t>
      </w:r>
    </w:p>
    <w:p w:rsidR="00A16182" w:rsidRDefault="00A16182" w:rsidP="002830B7">
      <w:pPr>
        <w:pStyle w:val="ONUMA"/>
        <w:numPr>
          <w:ilvl w:val="0"/>
          <w:numId w:val="0"/>
        </w:numPr>
        <w:ind w:left="567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3.7</w:t>
      </w:r>
      <w:r>
        <w:rPr>
          <w:rFonts w:hint="cs"/>
          <w:rtl/>
          <w:lang w:val="fr-CH" w:bidi="ar-SY"/>
        </w:rPr>
        <w:tab/>
      </w:r>
      <w:r w:rsidRPr="00A16182">
        <w:rPr>
          <w:rtl/>
          <w:lang w:val="fr-CH" w:bidi="ar-SY"/>
        </w:rPr>
        <w:t>تحليل إمكانية إزالة اللبس فيما يتعلق بنوع الجنس</w:t>
      </w:r>
      <w:r>
        <w:rPr>
          <w:rFonts w:hint="cs"/>
          <w:rtl/>
          <w:lang w:val="fr-CH" w:bidi="ar-SY"/>
        </w:rPr>
        <w:t xml:space="preserve"> </w:t>
      </w:r>
      <w:r w:rsidRPr="00A16182">
        <w:rPr>
          <w:rtl/>
          <w:lang w:val="fr-CH" w:bidi="ar-SY"/>
        </w:rPr>
        <w:t>في بيانات سجل وحدة التصميم الصناعي. تم جمع بيانات جديدة لنظام لاهاي والمجموعات الوطنية، وذلك بفضل قطاع العلامات التجارية والتص</w:t>
      </w:r>
      <w:r>
        <w:rPr>
          <w:rFonts w:hint="cs"/>
          <w:rtl/>
          <w:lang w:val="fr-CH" w:bidi="ar-SY"/>
        </w:rPr>
        <w:t>ا</w:t>
      </w:r>
      <w:r w:rsidRPr="00A16182">
        <w:rPr>
          <w:rtl/>
          <w:lang w:val="fr-CH" w:bidi="ar-SY"/>
        </w:rPr>
        <w:t>ميم و</w:t>
      </w:r>
      <w:r w:rsidR="002830B7" w:rsidRPr="002830B7">
        <w:rPr>
          <w:rtl/>
          <w:lang w:val="fr-CH" w:bidi="ar-SY"/>
        </w:rPr>
        <w:t xml:space="preserve">قاعدة البيانات العالمية للتصاميم </w:t>
      </w:r>
      <w:r w:rsidR="002830B7">
        <w:rPr>
          <w:rFonts w:hint="cs"/>
          <w:rtl/>
          <w:lang w:val="fr-CH" w:bidi="ar-SY"/>
        </w:rPr>
        <w:t>و</w:t>
      </w:r>
      <w:r w:rsidRPr="00A16182">
        <w:rPr>
          <w:rtl/>
          <w:lang w:val="fr-CH" w:bidi="ar-SY"/>
        </w:rPr>
        <w:t xml:space="preserve">تبدو </w:t>
      </w:r>
      <w:r w:rsidR="002830B7" w:rsidRPr="00A16182">
        <w:rPr>
          <w:rtl/>
          <w:lang w:val="fr-CH" w:bidi="ar-SY"/>
        </w:rPr>
        <w:t xml:space="preserve">النتائج الأولية </w:t>
      </w:r>
      <w:r w:rsidRPr="00A16182">
        <w:rPr>
          <w:rtl/>
          <w:lang w:val="fr-CH" w:bidi="ar-SY"/>
        </w:rPr>
        <w:t>واعدة</w:t>
      </w:r>
      <w:r w:rsidR="002830B7">
        <w:rPr>
          <w:rStyle w:val="FootnoteReference"/>
          <w:rtl/>
          <w:lang w:val="fr-CH" w:bidi="ar-SY"/>
        </w:rPr>
        <w:footnoteReference w:id="11"/>
      </w:r>
      <w:r w:rsidRPr="00A16182">
        <w:rPr>
          <w:rtl/>
          <w:lang w:val="fr-CH" w:bidi="ar-SY"/>
        </w:rPr>
        <w:t>.</w:t>
      </w:r>
    </w:p>
    <w:p w:rsidR="002830B7" w:rsidRDefault="002830B7" w:rsidP="002830B7">
      <w:pPr>
        <w:pStyle w:val="ONUMA"/>
        <w:numPr>
          <w:ilvl w:val="0"/>
          <w:numId w:val="0"/>
        </w:numPr>
        <w:ind w:left="567"/>
        <w:rPr>
          <w:rtl/>
          <w:lang w:val="fr-CH" w:bidi="ar-SY"/>
        </w:rPr>
      </w:pPr>
      <w:r>
        <w:rPr>
          <w:rFonts w:hint="cs"/>
          <w:rtl/>
          <w:lang w:val="fr-CH" w:bidi="ar-SY"/>
        </w:rPr>
        <w:lastRenderedPageBreak/>
        <w:t>4.7</w:t>
      </w:r>
      <w:r>
        <w:rPr>
          <w:rFonts w:hint="cs"/>
          <w:rtl/>
          <w:lang w:val="fr-CH" w:bidi="ar-SY"/>
        </w:rPr>
        <w:tab/>
      </w:r>
      <w:r w:rsidRPr="00A16182">
        <w:rPr>
          <w:rtl/>
          <w:lang w:val="fr-CH" w:bidi="ar-SY"/>
        </w:rPr>
        <w:t>تحليل إمكانية إزالة اللبس فيما يتعلق بنوع الجنس</w:t>
      </w:r>
      <w:r>
        <w:rPr>
          <w:rFonts w:hint="cs"/>
          <w:rtl/>
          <w:lang w:val="fr-CH" w:bidi="ar-SY"/>
        </w:rPr>
        <w:t xml:space="preserve"> </w:t>
      </w:r>
      <w:r w:rsidRPr="002830B7">
        <w:rPr>
          <w:rtl/>
          <w:lang w:val="fr-CH" w:bidi="ar-SY"/>
        </w:rPr>
        <w:t xml:space="preserve">في بيانات سجل وحدة العلامات التجارية. تم جمع بيانات جديدة لنظام مدريد والمجموعات الوطنية، وذلك بفضل </w:t>
      </w:r>
      <w:r w:rsidRPr="00A16182">
        <w:rPr>
          <w:rtl/>
          <w:lang w:val="fr-CH" w:bidi="ar-SY"/>
        </w:rPr>
        <w:t>قطاع العلامات التجارية والتص</w:t>
      </w:r>
      <w:r>
        <w:rPr>
          <w:rFonts w:hint="cs"/>
          <w:rtl/>
          <w:lang w:val="fr-CH" w:bidi="ar-SY"/>
        </w:rPr>
        <w:t>ا</w:t>
      </w:r>
      <w:r w:rsidRPr="00A16182">
        <w:rPr>
          <w:rtl/>
          <w:lang w:val="fr-CH" w:bidi="ar-SY"/>
        </w:rPr>
        <w:t>ميم و</w:t>
      </w:r>
      <w:r w:rsidRPr="002830B7">
        <w:rPr>
          <w:rtl/>
          <w:lang w:val="fr-CH" w:bidi="ar-SY"/>
        </w:rPr>
        <w:t>قاعدة البيانات العالمية للتصاميم</w:t>
      </w:r>
      <w:r>
        <w:rPr>
          <w:rStyle w:val="FootnoteReference"/>
          <w:rtl/>
          <w:lang w:val="fr-CH" w:bidi="ar-SY"/>
        </w:rPr>
        <w:footnoteReference w:id="12"/>
      </w:r>
      <w:r>
        <w:rPr>
          <w:rFonts w:hint="cs"/>
          <w:rtl/>
          <w:lang w:val="fr-CH" w:bidi="ar-SY"/>
        </w:rPr>
        <w:t>.</w:t>
      </w:r>
    </w:p>
    <w:p w:rsidR="00027780" w:rsidRPr="00DB2592" w:rsidRDefault="00027780" w:rsidP="00027780">
      <w:pPr>
        <w:pStyle w:val="Heading2"/>
        <w:rPr>
          <w:i/>
          <w:iCs w:val="0"/>
          <w:rtl/>
        </w:rPr>
      </w:pPr>
      <w:r w:rsidRPr="00027780">
        <w:rPr>
          <w:rFonts w:hint="cs"/>
          <w:b/>
          <w:bCs w:val="0"/>
          <w:i/>
          <w:iCs w:val="0"/>
          <w:rtl/>
        </w:rPr>
        <w:t>ثانياً.</w:t>
      </w:r>
      <w:r w:rsidRPr="00027780">
        <w:rPr>
          <w:rFonts w:hint="cs"/>
          <w:b/>
          <w:bCs w:val="0"/>
          <w:i/>
          <w:iCs w:val="0"/>
          <w:rtl/>
        </w:rPr>
        <w:tab/>
      </w:r>
      <w:r w:rsidRPr="00027780">
        <w:rPr>
          <w:b/>
          <w:bCs w:val="0"/>
          <w:i/>
          <w:iCs w:val="0"/>
          <w:rtl/>
        </w:rPr>
        <w:t>تبادل الأساليب والإجراءات المتبعة لجمع البيانات المصنفة حسب نوع الجنس، واستخدام المؤشرات ومنهجيات الرصد والتقييم وإجراء تحليل اقتصادي للفجوات القائمة بين الجنسين في مجال الملكية الفكرية</w:t>
      </w:r>
    </w:p>
    <w:p w:rsidR="00DB2592" w:rsidRDefault="0082609F" w:rsidP="00027780">
      <w:pPr>
        <w:pStyle w:val="ONUMA"/>
      </w:pPr>
      <w:r>
        <w:rPr>
          <w:rtl/>
        </w:rPr>
        <w:t xml:space="preserve">وخلال </w:t>
      </w:r>
      <w:r w:rsidR="00027780">
        <w:rPr>
          <w:rFonts w:hint="cs"/>
          <w:rtl/>
        </w:rPr>
        <w:t>ال</w:t>
      </w:r>
      <w:r>
        <w:rPr>
          <w:rtl/>
        </w:rPr>
        <w:t>فترة</w:t>
      </w:r>
      <w:r w:rsidR="00027780">
        <w:rPr>
          <w:rFonts w:hint="cs"/>
          <w:rtl/>
        </w:rPr>
        <w:t xml:space="preserve"> المشمولة بالتقرير</w:t>
      </w:r>
      <w:r>
        <w:rPr>
          <w:rFonts w:hint="cs"/>
          <w:rtl/>
        </w:rPr>
        <w:t>،</w:t>
      </w:r>
      <w:r w:rsidR="00DB2592" w:rsidRPr="00DB2592">
        <w:rPr>
          <w:rtl/>
        </w:rPr>
        <w:t xml:space="preserve"> اتخذت الأمانة عدة مبادرات لتبادل التحليلات والمنهجيات </w:t>
      </w:r>
      <w:r>
        <w:rPr>
          <w:rFonts w:hint="cs"/>
          <w:rtl/>
        </w:rPr>
        <w:t>بشأن قضايا</w:t>
      </w:r>
      <w:r>
        <w:rPr>
          <w:rtl/>
        </w:rPr>
        <w:t xml:space="preserve"> </w:t>
      </w:r>
      <w:r w:rsidR="00DB2592" w:rsidRPr="00DB2592">
        <w:rPr>
          <w:rtl/>
        </w:rPr>
        <w:t xml:space="preserve">المرأة </w:t>
      </w:r>
      <w:r>
        <w:rPr>
          <w:rFonts w:hint="cs"/>
          <w:rtl/>
        </w:rPr>
        <w:t>و</w:t>
      </w:r>
      <w:r w:rsidR="00DB2592" w:rsidRPr="00DB2592">
        <w:rPr>
          <w:rtl/>
        </w:rPr>
        <w:t xml:space="preserve">الملكية الفكرية. </w:t>
      </w:r>
      <w:r>
        <w:rPr>
          <w:rFonts w:hint="cs"/>
          <w:rtl/>
        </w:rPr>
        <w:t>و</w:t>
      </w:r>
      <w:r>
        <w:rPr>
          <w:rtl/>
        </w:rPr>
        <w:t>على وجه الخصوص، استكشف قسم اقتصاد الابتكا</w:t>
      </w:r>
      <w:r>
        <w:rPr>
          <w:rFonts w:hint="cs"/>
          <w:rtl/>
        </w:rPr>
        <w:t>ر</w:t>
      </w:r>
      <w:r w:rsidR="00DB2592" w:rsidRPr="00DB2592">
        <w:rPr>
          <w:rtl/>
        </w:rPr>
        <w:t xml:space="preserve"> عدة طرق </w:t>
      </w:r>
      <w:r>
        <w:rPr>
          <w:rFonts w:hint="cs"/>
          <w:rtl/>
        </w:rPr>
        <w:t>لنشر</w:t>
      </w:r>
      <w:r w:rsidR="00DB2592" w:rsidRPr="00DB2592">
        <w:rPr>
          <w:rtl/>
        </w:rPr>
        <w:t xml:space="preserve"> منهجية إزالة </w:t>
      </w:r>
      <w:r>
        <w:rPr>
          <w:rFonts w:hint="cs"/>
          <w:rtl/>
        </w:rPr>
        <w:t>اللبس فيما يتعلق بنوع الجنس</w:t>
      </w:r>
      <w:r w:rsidR="00DB2592" w:rsidRPr="00DB2592">
        <w:rPr>
          <w:rtl/>
        </w:rPr>
        <w:t xml:space="preserve"> </w:t>
      </w:r>
      <w:r>
        <w:rPr>
          <w:rFonts w:hint="cs"/>
          <w:rtl/>
        </w:rPr>
        <w:t>علناً، بما في ذلك من خلال</w:t>
      </w:r>
      <w:r w:rsidR="00DB2592" w:rsidRPr="00DB2592">
        <w:rPr>
          <w:rtl/>
        </w:rPr>
        <w:t>:</w:t>
      </w:r>
    </w:p>
    <w:p w:rsidR="00027780" w:rsidRDefault="00027780" w:rsidP="00027780">
      <w:pPr>
        <w:pStyle w:val="ONUMA"/>
        <w:numPr>
          <w:ilvl w:val="0"/>
          <w:numId w:val="0"/>
        </w:numPr>
        <w:ind w:left="1124" w:hanging="562"/>
        <w:rPr>
          <w:rtl/>
        </w:rPr>
      </w:pPr>
      <w:r>
        <w:rPr>
          <w:rFonts w:hint="cs"/>
          <w:rtl/>
        </w:rPr>
        <w:t>1.8</w:t>
      </w:r>
      <w:r>
        <w:rPr>
          <w:rFonts w:hint="cs"/>
          <w:rtl/>
        </w:rPr>
        <w:tab/>
      </w:r>
      <w:r w:rsidR="0082609F">
        <w:rPr>
          <w:rFonts w:hint="cs"/>
          <w:rtl/>
        </w:rPr>
        <w:t xml:space="preserve">إقامة </w:t>
      </w:r>
      <w:r w:rsidR="0082609F">
        <w:rPr>
          <w:rtl/>
        </w:rPr>
        <w:t xml:space="preserve">اتصال </w:t>
      </w:r>
      <w:r w:rsidR="0082609F">
        <w:rPr>
          <w:rFonts w:hint="cs"/>
          <w:rtl/>
        </w:rPr>
        <w:t>م</w:t>
      </w:r>
      <w:r w:rsidR="0082609F">
        <w:rPr>
          <w:rtl/>
        </w:rPr>
        <w:t xml:space="preserve">باشر مع الشبكات الأكاديمية </w:t>
      </w:r>
      <w:r w:rsidR="0082609F">
        <w:rPr>
          <w:rFonts w:hint="cs"/>
          <w:rtl/>
        </w:rPr>
        <w:t>وهيئات</w:t>
      </w:r>
      <w:r w:rsidR="00DB2592" w:rsidRPr="00DB2592">
        <w:rPr>
          <w:rtl/>
        </w:rPr>
        <w:t xml:space="preserve"> الأمم المتحدة (مثل هيئة الأمم المتحدة</w:t>
      </w:r>
      <w:r w:rsidR="0082609F">
        <w:rPr>
          <w:rFonts w:hint="cs"/>
          <w:rtl/>
        </w:rPr>
        <w:t xml:space="preserve"> </w:t>
      </w:r>
      <w:r w:rsidR="0082609F">
        <w:rPr>
          <w:rtl/>
        </w:rPr>
        <w:t>للمرأة)</w:t>
      </w:r>
      <w:r w:rsidR="00DB2592" w:rsidRPr="00DB2592">
        <w:rPr>
          <w:rtl/>
        </w:rPr>
        <w:t>،</w:t>
      </w:r>
      <w:r>
        <w:rPr>
          <w:rFonts w:hint="cs"/>
          <w:rtl/>
        </w:rPr>
        <w:t xml:space="preserve"> </w:t>
      </w:r>
      <w:r w:rsidRPr="00027780">
        <w:rPr>
          <w:rtl/>
        </w:rPr>
        <w:t>ومكاتب الملكية الفكرية والجمهور المهتم من الشركات الخاصة ومكاتب نقل التكنولوجيا.</w:t>
      </w:r>
    </w:p>
    <w:p w:rsidR="00027780" w:rsidRDefault="00027780" w:rsidP="00027780">
      <w:pPr>
        <w:pStyle w:val="ONUMA"/>
        <w:numPr>
          <w:ilvl w:val="0"/>
          <w:numId w:val="0"/>
        </w:numPr>
        <w:ind w:left="1124" w:hanging="562"/>
        <w:rPr>
          <w:rtl/>
        </w:rPr>
      </w:pPr>
      <w:r>
        <w:rPr>
          <w:rFonts w:hint="cs"/>
          <w:rtl/>
        </w:rPr>
        <w:t>2.8</w:t>
      </w:r>
      <w:r>
        <w:rPr>
          <w:rFonts w:hint="cs"/>
          <w:rtl/>
        </w:rPr>
        <w:tab/>
      </w:r>
      <w:r w:rsidRPr="00027780">
        <w:rPr>
          <w:rtl/>
        </w:rPr>
        <w:t xml:space="preserve">استخدام العديد من مستودعات الويب التي سبق ذكرها، مثل </w:t>
      </w:r>
      <w:r w:rsidRPr="00027780">
        <w:t xml:space="preserve">Harvard </w:t>
      </w:r>
      <w:proofErr w:type="spellStart"/>
      <w:r w:rsidRPr="00027780">
        <w:t>Dataverse</w:t>
      </w:r>
      <w:proofErr w:type="spellEnd"/>
      <w:r w:rsidRPr="00027780">
        <w:t xml:space="preserve"> Repository</w:t>
      </w:r>
      <w:r w:rsidRPr="00027780">
        <w:rPr>
          <w:rtl/>
        </w:rPr>
        <w:t xml:space="preserve"> أو </w:t>
      </w:r>
      <w:r w:rsidRPr="00027780">
        <w:t>GitHub Repository</w:t>
      </w:r>
      <w:r w:rsidRPr="00027780">
        <w:rPr>
          <w:rtl/>
        </w:rPr>
        <w:t xml:space="preserve"> أو </w:t>
      </w:r>
      <w:r w:rsidRPr="00027780">
        <w:t>AWS S3</w:t>
      </w:r>
      <w:r w:rsidRPr="00027780">
        <w:rPr>
          <w:rtl/>
        </w:rPr>
        <w:t xml:space="preserve">. واستمر عدد التنزيلات في الارتفاع، حيث وصل إلى أكثر من </w:t>
      </w:r>
      <w:r>
        <w:t>6,600</w:t>
      </w:r>
      <w:r w:rsidRPr="00027780">
        <w:rPr>
          <w:rtl/>
        </w:rPr>
        <w:t xml:space="preserve"> تنزيل على موقع الويبو على الويب وحوالي </w:t>
      </w:r>
      <w:r>
        <w:t>7,000</w:t>
      </w:r>
      <w:r w:rsidRPr="00027780">
        <w:rPr>
          <w:rtl/>
        </w:rPr>
        <w:t xml:space="preserve"> تنزيل في </w:t>
      </w:r>
      <w:r w:rsidRPr="00027780">
        <w:t xml:space="preserve">Harvard </w:t>
      </w:r>
      <w:proofErr w:type="spellStart"/>
      <w:r w:rsidRPr="00027780">
        <w:t>Dataverse</w:t>
      </w:r>
      <w:proofErr w:type="spellEnd"/>
      <w:r>
        <w:rPr>
          <w:rStyle w:val="FootnoteReference"/>
        </w:rPr>
        <w:footnoteReference w:id="13"/>
      </w:r>
      <w:r w:rsidRPr="00027780">
        <w:rPr>
          <w:rtl/>
        </w:rPr>
        <w:t>.</w:t>
      </w:r>
    </w:p>
    <w:p w:rsidR="00027780" w:rsidRDefault="00027780" w:rsidP="0004790D">
      <w:pPr>
        <w:pStyle w:val="ONUMA"/>
        <w:numPr>
          <w:ilvl w:val="0"/>
          <w:numId w:val="0"/>
        </w:numPr>
        <w:ind w:left="1124" w:hanging="562"/>
        <w:rPr>
          <w:rtl/>
        </w:rPr>
      </w:pPr>
      <w:r>
        <w:rPr>
          <w:rFonts w:hint="cs"/>
          <w:rtl/>
        </w:rPr>
        <w:t>3.8</w:t>
      </w:r>
      <w:r>
        <w:rPr>
          <w:rFonts w:hint="cs"/>
          <w:rtl/>
        </w:rPr>
        <w:tab/>
      </w:r>
      <w:r w:rsidRPr="00027780">
        <w:rPr>
          <w:rtl/>
        </w:rPr>
        <w:t xml:space="preserve">نشر المبادئ التوجيهية </w:t>
      </w:r>
      <w:r w:rsidR="0004790D">
        <w:rPr>
          <w:rFonts w:hint="cs"/>
          <w:rtl/>
        </w:rPr>
        <w:t xml:space="preserve">عن </w:t>
      </w:r>
      <w:r w:rsidRPr="00027780">
        <w:rPr>
          <w:rtl/>
        </w:rPr>
        <w:t xml:space="preserve">كيفية قياس </w:t>
      </w:r>
      <w:r w:rsidR="0004790D">
        <w:rPr>
          <w:rtl/>
        </w:rPr>
        <w:t>نوع ال</w:t>
      </w:r>
      <w:r w:rsidRPr="00027780">
        <w:rPr>
          <w:rtl/>
        </w:rPr>
        <w:t>ج</w:t>
      </w:r>
      <w:r w:rsidR="0004790D">
        <w:rPr>
          <w:rFonts w:hint="cs"/>
          <w:rtl/>
        </w:rPr>
        <w:t xml:space="preserve">نس </w:t>
      </w:r>
      <w:r w:rsidRPr="00027780">
        <w:rPr>
          <w:rtl/>
        </w:rPr>
        <w:t>في الابتكار وبيانات الملكية الفكرية. وتُرجمت هذه المبادئ التوجيهية إلى لغات الويبو الرسمية الست</w:t>
      </w:r>
      <w:r w:rsidR="0004790D">
        <w:rPr>
          <w:rStyle w:val="FootnoteReference"/>
          <w:rtl/>
        </w:rPr>
        <w:footnoteReference w:id="14"/>
      </w:r>
      <w:r w:rsidRPr="00027780">
        <w:rPr>
          <w:rtl/>
        </w:rPr>
        <w:t>.</w:t>
      </w:r>
    </w:p>
    <w:p w:rsidR="0004790D" w:rsidRDefault="0004790D" w:rsidP="0004790D">
      <w:pPr>
        <w:pStyle w:val="ONUMA"/>
      </w:pPr>
      <w:r>
        <w:rPr>
          <w:rFonts w:hint="cs"/>
          <w:rtl/>
        </w:rPr>
        <w:t>و</w:t>
      </w:r>
      <w:r w:rsidRPr="0004790D">
        <w:rPr>
          <w:rtl/>
        </w:rPr>
        <w:t xml:space="preserve">واصل قسم اقتصاد الابتكار إنشاء محتوى ضمن سلسلة </w:t>
      </w:r>
      <w:r>
        <w:rPr>
          <w:rFonts w:hint="cs"/>
          <w:rtl/>
        </w:rPr>
        <w:t>ال</w:t>
      </w:r>
      <w:r w:rsidRPr="0004790D">
        <w:rPr>
          <w:rtl/>
        </w:rPr>
        <w:t>محتو</w:t>
      </w:r>
      <w:r>
        <w:rPr>
          <w:rFonts w:hint="cs"/>
          <w:rtl/>
        </w:rPr>
        <w:t xml:space="preserve">ى الإلكتروني </w:t>
      </w:r>
      <w:r w:rsidRPr="0004790D">
        <w:rPr>
          <w:rtl/>
        </w:rPr>
        <w:t>"الابتكار والإبداع والمسائل الجنسانية"</w:t>
      </w:r>
      <w:r>
        <w:rPr>
          <w:rStyle w:val="FootnoteReference"/>
          <w:rtl/>
        </w:rPr>
        <w:footnoteReference w:id="15"/>
      </w:r>
      <w:r w:rsidRPr="0004790D">
        <w:rPr>
          <w:rtl/>
        </w:rPr>
        <w:t>، والتي تهدف إلى شرح البحوث الاقتصادية والمنهجية للأمانة العامة لجمهور أكثر عموم</w:t>
      </w:r>
      <w:r>
        <w:rPr>
          <w:rFonts w:hint="cs"/>
          <w:rtl/>
        </w:rPr>
        <w:t>ا</w:t>
      </w:r>
      <w:r w:rsidRPr="0004790D">
        <w:rPr>
          <w:rtl/>
        </w:rPr>
        <w:t xml:space="preserve">. </w:t>
      </w:r>
      <w:r>
        <w:rPr>
          <w:rFonts w:hint="cs"/>
          <w:rtl/>
        </w:rPr>
        <w:t>و</w:t>
      </w:r>
      <w:r w:rsidRPr="0004790D">
        <w:rPr>
          <w:rtl/>
        </w:rPr>
        <w:t>استخدم</w:t>
      </w:r>
      <w:r>
        <w:rPr>
          <w:rFonts w:hint="cs"/>
          <w:rtl/>
        </w:rPr>
        <w:t>ت</w:t>
      </w:r>
      <w:r w:rsidRPr="0004790D">
        <w:rPr>
          <w:rtl/>
        </w:rPr>
        <w:t xml:space="preserve"> هذه السلسلة للترويج لعمل الويبو حول هذا الموضوع، وك</w:t>
      </w:r>
      <w:r>
        <w:rPr>
          <w:rFonts w:hint="cs"/>
          <w:rtl/>
        </w:rPr>
        <w:t xml:space="preserve">ذلك </w:t>
      </w:r>
      <w:r w:rsidRPr="0004790D">
        <w:rPr>
          <w:rtl/>
        </w:rPr>
        <w:t>لتسليط الضوء على العمل الذي أنتجته مكاتب الملكية الفكرية الوطنية الأخرى، مثل مكاتب الولايات المتحدة الأمريكية أو المملكة المتحدة أو كندا أو شيلي.</w:t>
      </w:r>
    </w:p>
    <w:p w:rsidR="0004790D" w:rsidRDefault="0004790D" w:rsidP="008956F9">
      <w:pPr>
        <w:pStyle w:val="ONUMA"/>
      </w:pPr>
      <w:r w:rsidRPr="0004790D">
        <w:rPr>
          <w:rtl/>
        </w:rPr>
        <w:t>منذ عام 2021، ينظم قسم اقتصاد الابتكار بالاشتراك مع مبادرة "لنخترع معاً" (</w:t>
      </w:r>
      <w:r w:rsidRPr="0004790D">
        <w:t>Invent Together</w:t>
      </w:r>
      <w:r w:rsidRPr="0004790D">
        <w:rPr>
          <w:rtl/>
        </w:rPr>
        <w:t xml:space="preserve">) </w:t>
      </w:r>
      <w:r>
        <w:rPr>
          <w:rtl/>
        </w:rPr>
        <w:t>سلسلة من الندوات</w:t>
      </w:r>
      <w:r>
        <w:rPr>
          <w:rFonts w:hint="cs"/>
          <w:rtl/>
        </w:rPr>
        <w:t xml:space="preserve"> </w:t>
      </w:r>
      <w:r w:rsidRPr="0004790D">
        <w:rPr>
          <w:rtl/>
        </w:rPr>
        <w:t>الإ</w:t>
      </w:r>
      <w:r>
        <w:rPr>
          <w:rFonts w:hint="cs"/>
          <w:rtl/>
        </w:rPr>
        <w:t>لك</w:t>
      </w:r>
      <w:r w:rsidRPr="0004790D">
        <w:rPr>
          <w:rtl/>
        </w:rPr>
        <w:t>تر</w:t>
      </w:r>
      <w:r>
        <w:rPr>
          <w:rFonts w:hint="cs"/>
          <w:rtl/>
        </w:rPr>
        <w:t>و</w:t>
      </w:r>
      <w:r w:rsidRPr="0004790D">
        <w:rPr>
          <w:rtl/>
        </w:rPr>
        <w:t>ن</w:t>
      </w:r>
      <w:r>
        <w:rPr>
          <w:rFonts w:hint="cs"/>
          <w:rtl/>
        </w:rPr>
        <w:t xml:space="preserve">ية عن </w:t>
      </w:r>
      <w:r w:rsidRPr="0004790D">
        <w:rPr>
          <w:rtl/>
        </w:rPr>
        <w:t xml:space="preserve">الفجوة بين الجنسين في الملكية الفكرية. </w:t>
      </w:r>
      <w:r>
        <w:rPr>
          <w:rFonts w:hint="cs"/>
          <w:rtl/>
        </w:rPr>
        <w:t>و</w:t>
      </w:r>
      <w:r w:rsidRPr="0004790D">
        <w:rPr>
          <w:rtl/>
        </w:rPr>
        <w:t xml:space="preserve">كان الهدف الرئيسي من هذه الندوات هو جمع المعلومات </w:t>
      </w:r>
      <w:r>
        <w:rPr>
          <w:rFonts w:hint="cs"/>
          <w:rtl/>
        </w:rPr>
        <w:t xml:space="preserve">عمّا </w:t>
      </w:r>
      <w:r w:rsidRPr="0004790D">
        <w:rPr>
          <w:rtl/>
        </w:rPr>
        <w:t xml:space="preserve">يتم القيام به لمعالجة الفجوة بين الجنسين في الملكية الفكرية، وما يمكن تكراره وتوسيع نطاقه على الصعيد العالمي، والإجراء العالمي الجديد الذي يمكن تحديده والذي سيكون له </w:t>
      </w:r>
      <w:r>
        <w:rPr>
          <w:rtl/>
        </w:rPr>
        <w:t>أث</w:t>
      </w:r>
      <w:r w:rsidRPr="0004790D">
        <w:rPr>
          <w:rtl/>
        </w:rPr>
        <w:t xml:space="preserve">ر إيجابي ملموس في تمكين المجموعات غير الممثلة تمثيلا كافيا </w:t>
      </w:r>
      <w:r>
        <w:rPr>
          <w:rFonts w:hint="cs"/>
          <w:rtl/>
        </w:rPr>
        <w:t xml:space="preserve">من </w:t>
      </w:r>
      <w:r w:rsidRPr="0004790D">
        <w:rPr>
          <w:rtl/>
        </w:rPr>
        <w:t xml:space="preserve">استخدام </w:t>
      </w:r>
      <w:r>
        <w:rPr>
          <w:rFonts w:hint="cs"/>
          <w:rtl/>
        </w:rPr>
        <w:t>ال</w:t>
      </w:r>
      <w:r w:rsidRPr="0004790D">
        <w:rPr>
          <w:rtl/>
        </w:rPr>
        <w:t xml:space="preserve">براءات وحقوق الملكية الفكرية الأخرى. </w:t>
      </w:r>
      <w:r w:rsidR="008956F9">
        <w:rPr>
          <w:rFonts w:hint="cs"/>
          <w:rtl/>
        </w:rPr>
        <w:t>و</w:t>
      </w:r>
      <w:r w:rsidRPr="0004790D">
        <w:rPr>
          <w:rtl/>
        </w:rPr>
        <w:t>عقد</w:t>
      </w:r>
      <w:r w:rsidR="008956F9">
        <w:rPr>
          <w:rFonts w:hint="cs"/>
          <w:rtl/>
        </w:rPr>
        <w:t>ت</w:t>
      </w:r>
      <w:r w:rsidRPr="0004790D">
        <w:rPr>
          <w:rtl/>
        </w:rPr>
        <w:t xml:space="preserve"> ثلاث نسخ من هذه الندوات، مع التركيز على منطقة الأمريكتين، والمنطقة الأوروبية، وكذلك على منطقتي شرق آسيا وآسيا والمحيط الهادئ، على التوالي</w:t>
      </w:r>
      <w:r w:rsidR="008956F9">
        <w:rPr>
          <w:rStyle w:val="FootnoteReference"/>
          <w:rtl/>
        </w:rPr>
        <w:footnoteReference w:id="16"/>
      </w:r>
      <w:r w:rsidRPr="0004790D">
        <w:rPr>
          <w:rtl/>
        </w:rPr>
        <w:t>.</w:t>
      </w:r>
    </w:p>
    <w:p w:rsidR="008956F9" w:rsidRPr="000F341F" w:rsidRDefault="000F341F" w:rsidP="000F341F">
      <w:pPr>
        <w:pStyle w:val="Heading2"/>
        <w:rPr>
          <w:b/>
          <w:bCs w:val="0"/>
          <w:i/>
          <w:iCs w:val="0"/>
        </w:rPr>
      </w:pPr>
      <w:r>
        <w:rPr>
          <w:rFonts w:hint="cs"/>
          <w:b/>
          <w:bCs w:val="0"/>
          <w:i/>
          <w:iCs w:val="0"/>
          <w:rtl/>
          <w:lang w:val="fr-CH" w:bidi="ar-SY"/>
        </w:rPr>
        <w:t>ثالثاً.</w:t>
      </w:r>
      <w:r>
        <w:rPr>
          <w:rFonts w:hint="cs"/>
          <w:b/>
          <w:bCs w:val="0"/>
          <w:i/>
          <w:iCs w:val="0"/>
          <w:rtl/>
          <w:lang w:val="fr-CH" w:bidi="ar-SY"/>
        </w:rPr>
        <w:tab/>
      </w:r>
      <w:r w:rsidR="008956F9" w:rsidRPr="000F341F">
        <w:rPr>
          <w:b/>
          <w:bCs w:val="0"/>
          <w:i/>
          <w:iCs w:val="0"/>
          <w:rtl/>
        </w:rPr>
        <w:t>سُبُل المُضي قدماً</w:t>
      </w:r>
    </w:p>
    <w:p w:rsidR="005D3011" w:rsidRDefault="0010710A" w:rsidP="00404A0B">
      <w:pPr>
        <w:pStyle w:val="ONUMA"/>
      </w:pPr>
      <w:r>
        <w:rPr>
          <w:rFonts w:hint="cs"/>
          <w:rtl/>
        </w:rPr>
        <w:t>استناداً إلى خبرة</w:t>
      </w:r>
      <w:r w:rsidR="005D3011" w:rsidRPr="005D3011">
        <w:rPr>
          <w:rtl/>
        </w:rPr>
        <w:t xml:space="preserve"> ا</w:t>
      </w:r>
      <w:r w:rsidR="005D3011" w:rsidRPr="005D3011">
        <w:rPr>
          <w:rFonts w:hint="cs"/>
          <w:rtl/>
        </w:rPr>
        <w:t>ﻷمانة</w:t>
      </w:r>
      <w:r w:rsidR="00951C36">
        <w:rPr>
          <w:rtl/>
        </w:rPr>
        <w:t xml:space="preserve"> </w:t>
      </w:r>
      <w:r w:rsidR="00951C36">
        <w:rPr>
          <w:rFonts w:hint="cs"/>
          <w:rtl/>
        </w:rPr>
        <w:t xml:space="preserve">خلال </w:t>
      </w:r>
      <w:r w:rsidR="005D3011" w:rsidRPr="005D3011">
        <w:rPr>
          <w:rtl/>
        </w:rPr>
        <w:t xml:space="preserve">الفترة المشمولة بالتقرير، هناك </w:t>
      </w:r>
      <w:r w:rsidR="00951C36">
        <w:rPr>
          <w:rFonts w:hint="cs"/>
          <w:rtl/>
        </w:rPr>
        <w:t>عدد</w:t>
      </w:r>
      <w:r w:rsidR="005D3011" w:rsidRPr="005D3011">
        <w:rPr>
          <w:rtl/>
        </w:rPr>
        <w:t xml:space="preserve"> من الخطوات الملموسة التي ينبغي </w:t>
      </w:r>
      <w:r w:rsidR="00951C36">
        <w:rPr>
          <w:rFonts w:hint="cs"/>
          <w:rtl/>
        </w:rPr>
        <w:t>مراعاتها</w:t>
      </w:r>
      <w:r w:rsidR="005D3011" w:rsidRPr="005D3011">
        <w:rPr>
          <w:rtl/>
        </w:rPr>
        <w:t>.</w:t>
      </w:r>
    </w:p>
    <w:p w:rsidR="00BA325F" w:rsidRDefault="00BA325F" w:rsidP="00404A0B">
      <w:pPr>
        <w:pStyle w:val="ONUMA"/>
      </w:pPr>
      <w:r w:rsidRPr="00BA325F">
        <w:rPr>
          <w:rtl/>
        </w:rPr>
        <w:t>أولاً، ثبت أن تيس</w:t>
      </w:r>
      <w:r>
        <w:rPr>
          <w:rFonts w:hint="cs"/>
          <w:rtl/>
        </w:rPr>
        <w:t>ي</w:t>
      </w:r>
      <w:r w:rsidRPr="00BA325F">
        <w:rPr>
          <w:rtl/>
        </w:rPr>
        <w:t>ر نفاذ الجمهور غير المتخصص إلى المحتوى المنهجي ذي الصلة بالقضايا الجنسانية هو الاستراتيجية الصحيحة. و</w:t>
      </w:r>
      <w:r>
        <w:rPr>
          <w:rFonts w:hint="cs"/>
          <w:rtl/>
        </w:rPr>
        <w:t xml:space="preserve">قد وصل </w:t>
      </w:r>
      <w:r w:rsidRPr="00BA325F">
        <w:rPr>
          <w:rtl/>
        </w:rPr>
        <w:t>نشر المنهجيات إلى مجموعة أكبر من الدول الأعضاء، مما أد</w:t>
      </w:r>
      <w:r w:rsidR="00404A0B">
        <w:rPr>
          <w:rFonts w:hint="cs"/>
          <w:rtl/>
        </w:rPr>
        <w:t>ى</w:t>
      </w:r>
      <w:r w:rsidRPr="00BA325F">
        <w:rPr>
          <w:rtl/>
        </w:rPr>
        <w:t xml:space="preserve"> </w:t>
      </w:r>
      <w:r w:rsidR="00404A0B">
        <w:rPr>
          <w:rFonts w:hint="cs"/>
          <w:rtl/>
        </w:rPr>
        <w:t xml:space="preserve">إلى </w:t>
      </w:r>
      <w:r w:rsidR="00404A0B" w:rsidRPr="00404A0B">
        <w:rPr>
          <w:rtl/>
        </w:rPr>
        <w:t>بناء قدرات محلية لإعداد تحليلات تراعي الاعتبارات الجنسانية ومصنفة حسب نوع الجنس.</w:t>
      </w:r>
    </w:p>
    <w:p w:rsidR="005B30D9" w:rsidRDefault="00F12C9E" w:rsidP="00404A0B">
      <w:pPr>
        <w:pStyle w:val="ONUMA"/>
        <w:keepNext/>
        <w:keepLines/>
      </w:pPr>
      <w:r>
        <w:rPr>
          <w:rtl/>
        </w:rPr>
        <w:t>ثانياً</w:t>
      </w:r>
      <w:r w:rsidR="003E5A94">
        <w:rPr>
          <w:rtl/>
        </w:rPr>
        <w:t xml:space="preserve">، ستواصل الأمانة إجراء </w:t>
      </w:r>
      <w:r w:rsidR="005D3011" w:rsidRPr="005D3011">
        <w:rPr>
          <w:rtl/>
        </w:rPr>
        <w:t xml:space="preserve">بحوث حول المنهجيات </w:t>
      </w:r>
      <w:r w:rsidR="003E5A94">
        <w:rPr>
          <w:rFonts w:hint="cs"/>
          <w:rtl/>
        </w:rPr>
        <w:t xml:space="preserve">التي تهدف إلى </w:t>
      </w:r>
      <w:r>
        <w:rPr>
          <w:rFonts w:hint="cs"/>
          <w:rtl/>
          <w:lang w:bidi="ar-SY"/>
        </w:rPr>
        <w:t>توسيع</w:t>
      </w:r>
      <w:r w:rsidR="005D3011" w:rsidRPr="005D3011">
        <w:rPr>
          <w:rtl/>
        </w:rPr>
        <w:t xml:space="preserve"> وتحل</w:t>
      </w:r>
      <w:r>
        <w:rPr>
          <w:rFonts w:hint="cs"/>
          <w:rtl/>
        </w:rPr>
        <w:t>ي</w:t>
      </w:r>
      <w:r w:rsidR="005D3011" w:rsidRPr="005D3011">
        <w:rPr>
          <w:rtl/>
        </w:rPr>
        <w:t xml:space="preserve">ل البيانات الدولية القابلة للمقارنة والمصنفة </w:t>
      </w:r>
      <w:r>
        <w:rPr>
          <w:rFonts w:hint="cs"/>
          <w:rtl/>
        </w:rPr>
        <w:t>حسب نوع ال</w:t>
      </w:r>
      <w:r w:rsidR="005D3011" w:rsidRPr="005D3011">
        <w:rPr>
          <w:rtl/>
        </w:rPr>
        <w:t>جنس</w:t>
      </w:r>
      <w:r>
        <w:rPr>
          <w:rFonts w:hint="cs"/>
          <w:rtl/>
        </w:rPr>
        <w:t xml:space="preserve"> والمتعلقة</w:t>
      </w:r>
      <w:r w:rsidR="005D3011" w:rsidRPr="005D3011">
        <w:rPr>
          <w:rtl/>
        </w:rPr>
        <w:t xml:space="preserve"> </w:t>
      </w:r>
      <w:r>
        <w:rPr>
          <w:rFonts w:hint="cs"/>
          <w:rtl/>
        </w:rPr>
        <w:t>ب</w:t>
      </w:r>
      <w:r w:rsidR="005D3011" w:rsidRPr="005D3011">
        <w:rPr>
          <w:rtl/>
        </w:rPr>
        <w:t xml:space="preserve">أصحاب حقوق الملكية الفكرية والمبدعين. </w:t>
      </w:r>
      <w:r>
        <w:rPr>
          <w:rFonts w:hint="cs"/>
          <w:rtl/>
        </w:rPr>
        <w:t>و</w:t>
      </w:r>
      <w:r>
        <w:rPr>
          <w:rtl/>
        </w:rPr>
        <w:t>على وجه الخصوص</w:t>
      </w:r>
      <w:r>
        <w:rPr>
          <w:rFonts w:hint="cs"/>
          <w:rtl/>
        </w:rPr>
        <w:t>،</w:t>
      </w:r>
      <w:r w:rsidR="003E5A94">
        <w:rPr>
          <w:rFonts w:hint="cs"/>
          <w:rtl/>
        </w:rPr>
        <w:t xml:space="preserve"> تجدر الإشارة إلى</w:t>
      </w:r>
      <w:r>
        <w:rPr>
          <w:rFonts w:hint="cs"/>
          <w:rtl/>
        </w:rPr>
        <w:t xml:space="preserve"> المنهجيات</w:t>
      </w:r>
      <w:r w:rsidR="005D3011" w:rsidRPr="005D3011">
        <w:rPr>
          <w:rtl/>
        </w:rPr>
        <w:t xml:space="preserve"> التي تهدف إلى توسيع نطاق التحليل ليشمل أشكال</w:t>
      </w:r>
      <w:r>
        <w:rPr>
          <w:rtl/>
        </w:rPr>
        <w:t>ًا أخرى من الملكية الفكرية</w:t>
      </w:r>
      <w:r>
        <w:rPr>
          <w:rFonts w:hint="cs"/>
          <w:rtl/>
        </w:rPr>
        <w:t>،</w:t>
      </w:r>
      <w:r w:rsidR="005D3011" w:rsidRPr="005D3011">
        <w:rPr>
          <w:rtl/>
        </w:rPr>
        <w:t xml:space="preserve"> مثل نماذج المنفعة أو </w:t>
      </w:r>
      <w:r w:rsidR="00E9096B">
        <w:rPr>
          <w:rFonts w:hint="cs"/>
          <w:rtl/>
        </w:rPr>
        <w:t>التصاميم</w:t>
      </w:r>
      <w:r w:rsidR="005D3011" w:rsidRPr="005D3011">
        <w:rPr>
          <w:rtl/>
        </w:rPr>
        <w:t xml:space="preserve"> الصناعية أو العلامات التجارية</w:t>
      </w:r>
      <w:r w:rsidR="00404A0B">
        <w:rPr>
          <w:rStyle w:val="FootnoteReference"/>
          <w:rtl/>
        </w:rPr>
        <w:footnoteReference w:id="17"/>
      </w:r>
      <w:r w:rsidR="00E9096B">
        <w:rPr>
          <w:rFonts w:hint="cs"/>
          <w:rtl/>
        </w:rPr>
        <w:t>.</w:t>
      </w:r>
    </w:p>
    <w:p w:rsidR="005D3011" w:rsidRPr="005B30D9" w:rsidRDefault="00404A0B" w:rsidP="00C24856">
      <w:pPr>
        <w:pStyle w:val="DECISION"/>
        <w:rPr>
          <w:rtl/>
        </w:rPr>
      </w:pPr>
      <w:r>
        <w:rPr>
          <w:rFonts w:hint="cs"/>
          <w:i/>
          <w:iCs/>
          <w:rtl/>
        </w:rPr>
        <w:t>14.</w:t>
      </w:r>
      <w:r>
        <w:rPr>
          <w:rFonts w:hint="cs"/>
          <w:i/>
          <w:iCs/>
          <w:rtl/>
        </w:rPr>
        <w:tab/>
      </w:r>
      <w:r w:rsidR="005D3011" w:rsidRPr="00C24856">
        <w:rPr>
          <w:rFonts w:hint="cs"/>
          <w:i/>
          <w:iCs/>
          <w:rtl/>
        </w:rPr>
        <w:t>إن اللجنة مدع</w:t>
      </w:r>
      <w:r w:rsidR="005B30D9" w:rsidRPr="00C24856">
        <w:rPr>
          <w:rFonts w:hint="cs"/>
          <w:i/>
          <w:iCs/>
          <w:rtl/>
        </w:rPr>
        <w:t xml:space="preserve">وة إلى الإحاطة علماً بالمعلومات </w:t>
      </w:r>
      <w:r w:rsidR="005D3011" w:rsidRPr="00C24856">
        <w:rPr>
          <w:rFonts w:hint="cs"/>
          <w:i/>
          <w:iCs/>
          <w:rtl/>
        </w:rPr>
        <w:t>الواردة في هذه الوثيقة.</w:t>
      </w:r>
    </w:p>
    <w:p w:rsidR="005B30D9" w:rsidRPr="00F12C9E" w:rsidRDefault="005B30D9" w:rsidP="005B30D9">
      <w:pPr>
        <w:pStyle w:val="ONUMA"/>
        <w:numPr>
          <w:ilvl w:val="0"/>
          <w:numId w:val="0"/>
        </w:numPr>
        <w:ind w:left="5534"/>
      </w:pPr>
    </w:p>
    <w:p w:rsidR="00DA31B9" w:rsidRDefault="005D3011" w:rsidP="00404A0B">
      <w:pPr>
        <w:pStyle w:val="Endofdocument-Annex"/>
      </w:pPr>
      <w:r>
        <w:rPr>
          <w:rFonts w:cs="Arial"/>
          <w:rtl/>
        </w:rPr>
        <w:t>[</w:t>
      </w:r>
      <w:r>
        <w:rPr>
          <w:rFonts w:hint="cs"/>
          <w:rtl/>
        </w:rPr>
        <w:t>نهاية الوثيقة</w:t>
      </w:r>
      <w:r>
        <w:rPr>
          <w:rFonts w:cs="Arial"/>
          <w:rtl/>
        </w:rPr>
        <w:t>]</w:t>
      </w:r>
    </w:p>
    <w:sectPr w:rsidR="00DA31B9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64" w:rsidRDefault="00A41D64">
      <w:r>
        <w:separator/>
      </w:r>
    </w:p>
  </w:endnote>
  <w:endnote w:type="continuationSeparator" w:id="0">
    <w:p w:rsidR="00A41D64" w:rsidRDefault="00A41D64" w:rsidP="003B38C1">
      <w:r>
        <w:separator/>
      </w:r>
    </w:p>
    <w:p w:rsidR="00A41D64" w:rsidRPr="003B38C1" w:rsidRDefault="00A41D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1D64" w:rsidRPr="003B38C1" w:rsidRDefault="00A41D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D1" w:rsidRDefault="000F0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D1" w:rsidRDefault="000F0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D1" w:rsidRDefault="000F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64" w:rsidRDefault="00A41D64">
      <w:r>
        <w:separator/>
      </w:r>
    </w:p>
  </w:footnote>
  <w:footnote w:type="continuationSeparator" w:id="0">
    <w:p w:rsidR="00A41D64" w:rsidRDefault="00A41D64" w:rsidP="008B60B2">
      <w:r>
        <w:separator/>
      </w:r>
    </w:p>
    <w:p w:rsidR="00A41D64" w:rsidRPr="00ED77FB" w:rsidRDefault="00A41D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1D64" w:rsidRPr="00ED77FB" w:rsidRDefault="00A41D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C595E" w:rsidRDefault="00BC595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انظر(ي) </w:t>
      </w:r>
      <w:r w:rsidR="000F05D1">
        <w:fldChar w:fldCharType="begin"/>
      </w:r>
      <w:r w:rsidR="000F05D1">
        <w:instrText xml:space="preserve"> HYPERLINK "https://dataverse.harvard.edu/dataverse/WGND" </w:instrText>
      </w:r>
      <w:r w:rsidR="000F05D1">
        <w:fldChar w:fldCharType="separate"/>
      </w:r>
      <w:r w:rsidRPr="00545B40">
        <w:rPr>
          <w:rStyle w:val="Hyperlink"/>
        </w:rPr>
        <w:t>dataverse.harvard.edu/</w:t>
      </w:r>
      <w:proofErr w:type="spellStart"/>
      <w:r w:rsidRPr="00545B40">
        <w:rPr>
          <w:rStyle w:val="Hyperlink"/>
        </w:rPr>
        <w:t>dataverse</w:t>
      </w:r>
      <w:proofErr w:type="spellEnd"/>
      <w:r w:rsidRPr="00545B40">
        <w:rPr>
          <w:rStyle w:val="Hyperlink"/>
        </w:rPr>
        <w:t>/WGND</w:t>
      </w:r>
      <w:r w:rsidR="000F05D1">
        <w:rPr>
          <w:rStyle w:val="Hyperlink"/>
        </w:rPr>
        <w:fldChar w:fldCharType="end"/>
      </w:r>
      <w:r>
        <w:rPr>
          <w:rStyle w:val="Hyperlink"/>
          <w:rFonts w:hint="cs"/>
          <w:rtl/>
        </w:rPr>
        <w:t>.</w:t>
      </w:r>
    </w:p>
  </w:footnote>
  <w:footnote w:id="3">
    <w:p w:rsidR="00BC595E" w:rsidRDefault="00BC595E" w:rsidP="00BC595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انظر(ي) </w:t>
      </w:r>
      <w:hyperlink r:id="rId1" w:history="1">
        <w:r w:rsidRPr="0031061B">
          <w:rPr>
            <w:rStyle w:val="Hyperlink"/>
          </w:rPr>
          <w:t>github.com/IES-platform/r4r_gender/blob/main/wgnd/README.md</w:t>
        </w:r>
      </w:hyperlink>
      <w:r>
        <w:rPr>
          <w:rStyle w:val="Hyperlink"/>
          <w:rFonts w:hint="cs"/>
          <w:rtl/>
        </w:rPr>
        <w:t>.</w:t>
      </w:r>
    </w:p>
  </w:footnote>
  <w:footnote w:id="4">
    <w:p w:rsidR="00BC595E" w:rsidRDefault="00BC595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انظر(ي) </w:t>
      </w:r>
      <w:hyperlink r:id="rId2" w:history="1">
        <w:r w:rsidRPr="0031061B">
          <w:rPr>
            <w:rStyle w:val="Hyperlink"/>
          </w:rPr>
          <w:t>ies-r4r-public.s3.eu-central-1.amazonaws.com/</w:t>
        </w:r>
        <w:proofErr w:type="spellStart"/>
        <w:r w:rsidRPr="0031061B">
          <w:rPr>
            <w:rStyle w:val="Hyperlink"/>
          </w:rPr>
          <w:t>wgnd</w:t>
        </w:r>
        <w:proofErr w:type="spellEnd"/>
        <w:r w:rsidRPr="0031061B">
          <w:rPr>
            <w:rStyle w:val="Hyperlink"/>
          </w:rPr>
          <w:t>/wgnd_2_0.zip</w:t>
        </w:r>
      </w:hyperlink>
      <w:r>
        <w:rPr>
          <w:rStyle w:val="Hyperlink"/>
          <w:rFonts w:hint="cs"/>
          <w:rtl/>
        </w:rPr>
        <w:t>.</w:t>
      </w:r>
    </w:p>
  </w:footnote>
  <w:footnote w:id="5">
    <w:p w:rsidR="00BC595E" w:rsidRDefault="00BC595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انظر(ي) </w:t>
      </w:r>
      <w:hyperlink r:id="rId3" w:history="1">
        <w:r w:rsidRPr="00E7254D">
          <w:rPr>
            <w:rStyle w:val="Hyperlink"/>
          </w:rPr>
          <w:t>github.com/IES-platform/r4r_gender/blob/main/genderit/readme.md</w:t>
        </w:r>
      </w:hyperlink>
      <w:r>
        <w:rPr>
          <w:rStyle w:val="Hyperlink"/>
          <w:rFonts w:hint="cs"/>
          <w:rtl/>
        </w:rPr>
        <w:t>.</w:t>
      </w:r>
    </w:p>
  </w:footnote>
  <w:footnote w:id="6">
    <w:p w:rsidR="00817F02" w:rsidRDefault="00817F0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17F02">
        <w:rPr>
          <w:rtl/>
        </w:rPr>
        <w:t xml:space="preserve">من المتوقع إصدار نسخة من </w:t>
      </w:r>
      <w:r w:rsidRPr="00817F02">
        <w:t>Python</w:t>
      </w:r>
      <w:r w:rsidRPr="00817F02">
        <w:rPr>
          <w:rtl/>
        </w:rPr>
        <w:t xml:space="preserve"> خلال الفترة 2023-2024</w:t>
      </w:r>
      <w:r>
        <w:rPr>
          <w:rFonts w:hint="cs"/>
          <w:rtl/>
        </w:rPr>
        <w:t>.</w:t>
      </w:r>
    </w:p>
  </w:footnote>
  <w:footnote w:id="7">
    <w:p w:rsidR="007C6278" w:rsidRDefault="007C62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6278">
        <w:rPr>
          <w:rtl/>
        </w:rPr>
        <w:t>متاح للمستخدمين الخارجيين عند الطلب.</w:t>
      </w:r>
    </w:p>
  </w:footnote>
  <w:footnote w:id="8">
    <w:p w:rsidR="008E7D94" w:rsidRDefault="008E7D94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7D94">
        <w:rPr>
          <w:rtl/>
        </w:rPr>
        <w:t>نُشرت الدراسة في عام 2016 وهي متاحة على الرابط التالي:</w:t>
      </w:r>
      <w:r>
        <w:rPr>
          <w:rFonts w:hint="cs"/>
          <w:rtl/>
        </w:rPr>
        <w:t xml:space="preserve"> </w:t>
      </w:r>
      <w:hyperlink r:id="rId4" w:history="1">
        <w:r w:rsidRPr="0031061B">
          <w:rPr>
            <w:rStyle w:val="Hyperlink"/>
          </w:rPr>
          <w:t>www.wipo.int/publications/en/details.jsp?id=4125</w:t>
        </w:r>
      </w:hyperlink>
      <w:r>
        <w:rPr>
          <w:rFonts w:hint="cs"/>
          <w:rtl/>
        </w:rPr>
        <w:t>.</w:t>
      </w:r>
    </w:p>
  </w:footnote>
  <w:footnote w:id="9">
    <w:p w:rsidR="008E7D94" w:rsidRDefault="008E7D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E7D94">
        <w:rPr>
          <w:rtl/>
        </w:rPr>
        <w:t>دراسات التنمية للويبو متاحة على</w:t>
      </w:r>
      <w:r>
        <w:rPr>
          <w:rFonts w:hint="cs"/>
          <w:rtl/>
        </w:rPr>
        <w:t xml:space="preserve"> الرابط: </w:t>
      </w:r>
      <w:hyperlink r:id="rId5" w:history="1">
        <w:r w:rsidRPr="006630BC">
          <w:rPr>
            <w:rStyle w:val="Hyperlink"/>
          </w:rPr>
          <w:t>www.wipo.int/econ_stat/en/economics/studies/</w:t>
        </w:r>
      </w:hyperlink>
      <w:r>
        <w:rPr>
          <w:rFonts w:hint="cs"/>
          <w:rtl/>
        </w:rPr>
        <w:t>.</w:t>
      </w:r>
    </w:p>
  </w:footnote>
  <w:footnote w:id="10">
    <w:p w:rsidR="002830B7" w:rsidRDefault="002830B7" w:rsidP="002830B7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30B7">
        <w:rPr>
          <w:rtl/>
        </w:rPr>
        <w:t>بفضل التعاون مع قاعدة البيانات العالمية للتصاميم، سيزيد البحث من تغطية البيانات من خلال تضمين بيانات</w:t>
      </w:r>
      <w:r>
        <w:rPr>
          <w:rFonts w:hint="cs"/>
          <w:rtl/>
        </w:rPr>
        <w:t xml:space="preserve"> ركن البراءات </w:t>
      </w:r>
      <w:r w:rsidRPr="002830B7">
        <w:rPr>
          <w:rtl/>
        </w:rPr>
        <w:t>خلال عام 2023.</w:t>
      </w:r>
    </w:p>
  </w:footnote>
  <w:footnote w:id="11">
    <w:p w:rsidR="002830B7" w:rsidRDefault="002830B7" w:rsidP="00404A0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830B7">
        <w:rPr>
          <w:rtl/>
        </w:rPr>
        <w:t xml:space="preserve">من المتوقع نشر النتائج الأولى في 2023-2024. وهي تشمل التعاون المستمر مع شعبة </w:t>
      </w:r>
      <w:r w:rsidR="00404A0B" w:rsidRPr="00404A0B">
        <w:rPr>
          <w:rtl/>
        </w:rPr>
        <w:t xml:space="preserve">البلدان المتحولة والبلدان المتقدمة </w:t>
      </w:r>
      <w:r w:rsidRPr="002830B7">
        <w:rPr>
          <w:rtl/>
        </w:rPr>
        <w:t>لقطاع التنمية الإقليمية والوطنية في الويبو</w:t>
      </w:r>
      <w:r>
        <w:rPr>
          <w:rFonts w:hint="cs"/>
          <w:rtl/>
        </w:rPr>
        <w:t>،</w:t>
      </w:r>
      <w:r w:rsidRPr="002830B7">
        <w:rPr>
          <w:rtl/>
        </w:rPr>
        <w:t xml:space="preserve"> لإعداد تقرير عن تحول الاقتصاد عن طريق التصميم - المرأة والابتكار.</w:t>
      </w:r>
    </w:p>
  </w:footnote>
  <w:footnote w:id="12">
    <w:p w:rsidR="002830B7" w:rsidRDefault="002830B7" w:rsidP="000277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27780" w:rsidRPr="00027780">
        <w:rPr>
          <w:rtl/>
        </w:rPr>
        <w:t>إ</w:t>
      </w:r>
      <w:r w:rsidR="00027780">
        <w:rPr>
          <w:rFonts w:hint="cs"/>
          <w:rtl/>
        </w:rPr>
        <w:t xml:space="preserve">ن </w:t>
      </w:r>
      <w:r w:rsidR="00027780" w:rsidRPr="00027780">
        <w:rPr>
          <w:rtl/>
        </w:rPr>
        <w:t xml:space="preserve">سمحت الموارد، يتوقع قسم اقتصاد الابتكار إجراء بحث </w:t>
      </w:r>
      <w:r w:rsidR="00027780">
        <w:rPr>
          <w:rFonts w:hint="cs"/>
          <w:rtl/>
        </w:rPr>
        <w:t xml:space="preserve">عنت </w:t>
      </w:r>
      <w:r w:rsidR="00027780" w:rsidRPr="00027780">
        <w:rPr>
          <w:rtl/>
        </w:rPr>
        <w:t>الفجوة بين الجنسين في العلامات التجارية خلال الفترة 2023-2024.</w:t>
      </w:r>
    </w:p>
  </w:footnote>
  <w:footnote w:id="13">
    <w:p w:rsidR="00027780" w:rsidRDefault="00027780" w:rsidP="0002778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27780">
        <w:t>GitHub</w:t>
      </w:r>
      <w:r w:rsidRPr="00027780">
        <w:rPr>
          <w:rtl/>
        </w:rPr>
        <w:t xml:space="preserve"> و</w:t>
      </w:r>
      <w:r w:rsidRPr="00027780">
        <w:t>AWS S3</w:t>
      </w:r>
      <w:r w:rsidRPr="00027780">
        <w:rPr>
          <w:rtl/>
        </w:rPr>
        <w:t xml:space="preserve"> </w:t>
      </w:r>
      <w:r>
        <w:rPr>
          <w:rFonts w:hint="cs"/>
          <w:rtl/>
        </w:rPr>
        <w:t xml:space="preserve">لا تبلغان </w:t>
      </w:r>
      <w:r w:rsidRPr="00027780">
        <w:rPr>
          <w:rtl/>
        </w:rPr>
        <w:t>عن تاريخ</w:t>
      </w:r>
      <w:r>
        <w:rPr>
          <w:rFonts w:hint="cs"/>
          <w:rtl/>
        </w:rPr>
        <w:t xml:space="preserve"> ال</w:t>
      </w:r>
      <w:r w:rsidRPr="00027780">
        <w:rPr>
          <w:rtl/>
        </w:rPr>
        <w:t xml:space="preserve">زيارات وإحصاءات </w:t>
      </w:r>
      <w:r>
        <w:rPr>
          <w:rFonts w:hint="cs"/>
          <w:rtl/>
        </w:rPr>
        <w:t>ال</w:t>
      </w:r>
      <w:r w:rsidRPr="00027780">
        <w:rPr>
          <w:rtl/>
        </w:rPr>
        <w:t>تنزيل.</w:t>
      </w:r>
    </w:p>
  </w:footnote>
  <w:footnote w:id="14">
    <w:p w:rsidR="0004790D" w:rsidRDefault="0004790D" w:rsidP="0004790D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4790D">
        <w:rPr>
          <w:rtl/>
        </w:rPr>
        <w:t>وهي العربية والصينية والإن</w:t>
      </w:r>
      <w:r>
        <w:rPr>
          <w:rFonts w:hint="cs"/>
          <w:rtl/>
        </w:rPr>
        <w:t>ك</w:t>
      </w:r>
      <w:r w:rsidRPr="0004790D">
        <w:rPr>
          <w:rtl/>
        </w:rPr>
        <w:t>ليزية والفرنسية والروسية والإسبانية.</w:t>
      </w:r>
    </w:p>
  </w:footnote>
  <w:footnote w:id="15">
    <w:p w:rsidR="0004790D" w:rsidRDefault="0004790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انظر(ي) </w:t>
      </w:r>
      <w:hyperlink r:id="rId6" w:history="1">
        <w:r w:rsidRPr="00910428">
          <w:rPr>
            <w:rStyle w:val="Hyperlink"/>
          </w:rPr>
          <w:t>www.wipo.int/econ_stat/en/economics</w:t>
        </w:r>
      </w:hyperlink>
    </w:p>
  </w:footnote>
  <w:footnote w:id="16">
    <w:p w:rsidR="008956F9" w:rsidRDefault="008956F9" w:rsidP="008956F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956F9">
        <w:rPr>
          <w:rtl/>
        </w:rPr>
        <w:t xml:space="preserve">من المقرر </w:t>
      </w:r>
      <w:r>
        <w:rPr>
          <w:rFonts w:hint="cs"/>
          <w:rtl/>
        </w:rPr>
        <w:t xml:space="preserve">عقد </w:t>
      </w:r>
      <w:r w:rsidRPr="008956F9">
        <w:rPr>
          <w:rtl/>
        </w:rPr>
        <w:t>نسخة رابعة للمنطقة الأفريقية والعربية في عام 2023.</w:t>
      </w:r>
    </w:p>
  </w:footnote>
  <w:footnote w:id="17">
    <w:p w:rsidR="00404A0B" w:rsidRDefault="00404A0B" w:rsidP="00404A0B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04A0B">
        <w:rPr>
          <w:rtl/>
        </w:rPr>
        <w:t xml:space="preserve">بما في ذلك التعاون مع شعبة البلدان المتحولة والبلدان المتقدمة </w:t>
      </w:r>
      <w:r>
        <w:rPr>
          <w:rFonts w:hint="cs"/>
          <w:rtl/>
        </w:rPr>
        <w:t xml:space="preserve">في </w:t>
      </w:r>
      <w:r w:rsidRPr="00404A0B">
        <w:rPr>
          <w:rtl/>
        </w:rPr>
        <w:t>قطاع التنمية الإقليمية والوطنية للويبو لاستكشاف ما إذا كان يمكن تقديم نتائج البحوث الاقتصادية بشأن التنوع في صناعة ألعاب الفيديو.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D1" w:rsidRDefault="000F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825" w:rsidRPr="0010710A" w:rsidRDefault="00165825" w:rsidP="00404A0B">
    <w:pPr>
      <w:bidi w:val="0"/>
      <w:rPr>
        <w:rtl/>
        <w:lang w:val="fr-CH" w:bidi="ar-SY"/>
      </w:rPr>
    </w:pPr>
    <w:r w:rsidRPr="00E571B4">
      <w:t>CDIP/</w:t>
    </w:r>
    <w:r w:rsidR="00404A0B">
      <w:t>30</w:t>
    </w:r>
    <w:r>
      <w:t>/</w:t>
    </w:r>
    <w:r w:rsidR="00404A0B">
      <w:rPr>
        <w:lang w:val="fr-CH"/>
      </w:rPr>
      <w:t>13</w:t>
    </w:r>
  </w:p>
  <w:p w:rsidR="00165825" w:rsidRPr="00E571B4" w:rsidRDefault="00165825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0F05D1">
      <w:rPr>
        <w:noProof/>
      </w:rPr>
      <w:t>4</w:t>
    </w:r>
    <w:r w:rsidRPr="00E571B4">
      <w:fldChar w:fldCharType="end"/>
    </w:r>
  </w:p>
  <w:p w:rsidR="00165825" w:rsidRPr="00E571B4" w:rsidRDefault="00165825" w:rsidP="00210D5F">
    <w:pPr>
      <w:bidi w:val="0"/>
    </w:pPr>
  </w:p>
  <w:p w:rsidR="00165825" w:rsidRPr="00E571B4" w:rsidRDefault="00165825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5D1" w:rsidRDefault="000F0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1E30DD"/>
    <w:multiLevelType w:val="multilevel"/>
    <w:tmpl w:val="A64C4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58496B"/>
    <w:multiLevelType w:val="multilevel"/>
    <w:tmpl w:val="A0A0A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504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66273644"/>
    <w:multiLevelType w:val="multilevel"/>
    <w:tmpl w:val="30FED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6C"/>
    <w:rsid w:val="00003991"/>
    <w:rsid w:val="00027780"/>
    <w:rsid w:val="00043CAA"/>
    <w:rsid w:val="0004790D"/>
    <w:rsid w:val="00056816"/>
    <w:rsid w:val="00075432"/>
    <w:rsid w:val="00090D6C"/>
    <w:rsid w:val="000968ED"/>
    <w:rsid w:val="000A1499"/>
    <w:rsid w:val="000A3D97"/>
    <w:rsid w:val="000C3002"/>
    <w:rsid w:val="000D408F"/>
    <w:rsid w:val="000F05D1"/>
    <w:rsid w:val="000F341F"/>
    <w:rsid w:val="000F5E56"/>
    <w:rsid w:val="0010710A"/>
    <w:rsid w:val="001362EE"/>
    <w:rsid w:val="001406E1"/>
    <w:rsid w:val="00155D8A"/>
    <w:rsid w:val="001647D5"/>
    <w:rsid w:val="00165825"/>
    <w:rsid w:val="00173698"/>
    <w:rsid w:val="001832A6"/>
    <w:rsid w:val="0019592A"/>
    <w:rsid w:val="001A6DC9"/>
    <w:rsid w:val="001D4107"/>
    <w:rsid w:val="00203D24"/>
    <w:rsid w:val="002102E1"/>
    <w:rsid w:val="00210D5F"/>
    <w:rsid w:val="0021217E"/>
    <w:rsid w:val="002326AB"/>
    <w:rsid w:val="00243430"/>
    <w:rsid w:val="002634C4"/>
    <w:rsid w:val="002830B7"/>
    <w:rsid w:val="002928D3"/>
    <w:rsid w:val="002E6104"/>
    <w:rsid w:val="002F1FE6"/>
    <w:rsid w:val="002F4E68"/>
    <w:rsid w:val="00312F7F"/>
    <w:rsid w:val="00361450"/>
    <w:rsid w:val="003673CF"/>
    <w:rsid w:val="00373DC3"/>
    <w:rsid w:val="003845C1"/>
    <w:rsid w:val="003A3440"/>
    <w:rsid w:val="003A6F89"/>
    <w:rsid w:val="003B24B1"/>
    <w:rsid w:val="003B355C"/>
    <w:rsid w:val="003B38C1"/>
    <w:rsid w:val="003C34E9"/>
    <w:rsid w:val="003D7667"/>
    <w:rsid w:val="003E0D83"/>
    <w:rsid w:val="003E5A94"/>
    <w:rsid w:val="003E78BC"/>
    <w:rsid w:val="00404A0B"/>
    <w:rsid w:val="00410742"/>
    <w:rsid w:val="00414C35"/>
    <w:rsid w:val="00416DDA"/>
    <w:rsid w:val="00423E3E"/>
    <w:rsid w:val="00427AF4"/>
    <w:rsid w:val="004647DA"/>
    <w:rsid w:val="00474062"/>
    <w:rsid w:val="00477D6B"/>
    <w:rsid w:val="0049182F"/>
    <w:rsid w:val="005019FF"/>
    <w:rsid w:val="0053057A"/>
    <w:rsid w:val="00535C45"/>
    <w:rsid w:val="005515F4"/>
    <w:rsid w:val="00554348"/>
    <w:rsid w:val="00556076"/>
    <w:rsid w:val="00560A29"/>
    <w:rsid w:val="00576E0B"/>
    <w:rsid w:val="00587069"/>
    <w:rsid w:val="005B08FE"/>
    <w:rsid w:val="005B30D9"/>
    <w:rsid w:val="005C6649"/>
    <w:rsid w:val="005D3011"/>
    <w:rsid w:val="005E7B89"/>
    <w:rsid w:val="005F5333"/>
    <w:rsid w:val="00600C9A"/>
    <w:rsid w:val="00605827"/>
    <w:rsid w:val="00631248"/>
    <w:rsid w:val="006344CB"/>
    <w:rsid w:val="00646050"/>
    <w:rsid w:val="006713CA"/>
    <w:rsid w:val="00674393"/>
    <w:rsid w:val="00676C5C"/>
    <w:rsid w:val="006A58C4"/>
    <w:rsid w:val="006B5C12"/>
    <w:rsid w:val="00704E42"/>
    <w:rsid w:val="00720EFD"/>
    <w:rsid w:val="00737651"/>
    <w:rsid w:val="0075315A"/>
    <w:rsid w:val="007854AF"/>
    <w:rsid w:val="00793A7C"/>
    <w:rsid w:val="007A398A"/>
    <w:rsid w:val="007A540F"/>
    <w:rsid w:val="007B289D"/>
    <w:rsid w:val="007C4902"/>
    <w:rsid w:val="007C6278"/>
    <w:rsid w:val="007D1613"/>
    <w:rsid w:val="007D29B7"/>
    <w:rsid w:val="007E21C4"/>
    <w:rsid w:val="007E4C0E"/>
    <w:rsid w:val="00817F02"/>
    <w:rsid w:val="0082609F"/>
    <w:rsid w:val="0083228F"/>
    <w:rsid w:val="00855664"/>
    <w:rsid w:val="008956F9"/>
    <w:rsid w:val="008A134B"/>
    <w:rsid w:val="008B2CC1"/>
    <w:rsid w:val="008B3A4A"/>
    <w:rsid w:val="008B60B2"/>
    <w:rsid w:val="008E7D94"/>
    <w:rsid w:val="008F2815"/>
    <w:rsid w:val="0090731E"/>
    <w:rsid w:val="00916EE2"/>
    <w:rsid w:val="0093652F"/>
    <w:rsid w:val="00951C36"/>
    <w:rsid w:val="00966A22"/>
    <w:rsid w:val="0096722F"/>
    <w:rsid w:val="00980843"/>
    <w:rsid w:val="009B0855"/>
    <w:rsid w:val="009E2791"/>
    <w:rsid w:val="009E3F6F"/>
    <w:rsid w:val="009F499F"/>
    <w:rsid w:val="00A16182"/>
    <w:rsid w:val="00A179DB"/>
    <w:rsid w:val="00A37342"/>
    <w:rsid w:val="00A37A23"/>
    <w:rsid w:val="00A41D64"/>
    <w:rsid w:val="00A42DAF"/>
    <w:rsid w:val="00A45BD8"/>
    <w:rsid w:val="00A869B7"/>
    <w:rsid w:val="00A90F0A"/>
    <w:rsid w:val="00A92D77"/>
    <w:rsid w:val="00AC205C"/>
    <w:rsid w:val="00AD2333"/>
    <w:rsid w:val="00AF0A6B"/>
    <w:rsid w:val="00B05A69"/>
    <w:rsid w:val="00B42CA9"/>
    <w:rsid w:val="00B51FF7"/>
    <w:rsid w:val="00B6056A"/>
    <w:rsid w:val="00B75281"/>
    <w:rsid w:val="00B92F1F"/>
    <w:rsid w:val="00B9734B"/>
    <w:rsid w:val="00BA30E2"/>
    <w:rsid w:val="00BA325F"/>
    <w:rsid w:val="00BC595E"/>
    <w:rsid w:val="00C11BFE"/>
    <w:rsid w:val="00C24856"/>
    <w:rsid w:val="00C451E1"/>
    <w:rsid w:val="00C5068F"/>
    <w:rsid w:val="00C86D74"/>
    <w:rsid w:val="00CB3DBA"/>
    <w:rsid w:val="00CC3E2D"/>
    <w:rsid w:val="00CD04F1"/>
    <w:rsid w:val="00CE19F8"/>
    <w:rsid w:val="00CF681A"/>
    <w:rsid w:val="00D07C78"/>
    <w:rsid w:val="00D27334"/>
    <w:rsid w:val="00D45252"/>
    <w:rsid w:val="00D608BF"/>
    <w:rsid w:val="00D60B2C"/>
    <w:rsid w:val="00D67EAE"/>
    <w:rsid w:val="00D71B4D"/>
    <w:rsid w:val="00D83B5B"/>
    <w:rsid w:val="00D90B96"/>
    <w:rsid w:val="00D93D55"/>
    <w:rsid w:val="00DA31B9"/>
    <w:rsid w:val="00DB2592"/>
    <w:rsid w:val="00DD6AF0"/>
    <w:rsid w:val="00DD7B7F"/>
    <w:rsid w:val="00DF402A"/>
    <w:rsid w:val="00E15015"/>
    <w:rsid w:val="00E319DF"/>
    <w:rsid w:val="00E335FE"/>
    <w:rsid w:val="00E571B4"/>
    <w:rsid w:val="00E63C31"/>
    <w:rsid w:val="00E66CC5"/>
    <w:rsid w:val="00E9096B"/>
    <w:rsid w:val="00EA1E3D"/>
    <w:rsid w:val="00EA7D6E"/>
    <w:rsid w:val="00EB0406"/>
    <w:rsid w:val="00EB2F76"/>
    <w:rsid w:val="00EC4E49"/>
    <w:rsid w:val="00ED2D7E"/>
    <w:rsid w:val="00ED77FB"/>
    <w:rsid w:val="00EE45FA"/>
    <w:rsid w:val="00EF2E87"/>
    <w:rsid w:val="00F043DE"/>
    <w:rsid w:val="00F10E61"/>
    <w:rsid w:val="00F12C9E"/>
    <w:rsid w:val="00F66152"/>
    <w:rsid w:val="00F66CA8"/>
    <w:rsid w:val="00F9165B"/>
    <w:rsid w:val="00FB0A6C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1F52E9C-7E44-4B2C-A993-8DDBF51A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  <w:ind w:left="0"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3E78B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D301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D3011"/>
    <w:rPr>
      <w:color w:val="808080"/>
    </w:rPr>
  </w:style>
  <w:style w:type="paragraph" w:customStyle="1" w:styleId="INDENT">
    <w:name w:val="INDENT"/>
    <w:basedOn w:val="BodyText"/>
    <w:link w:val="INDENTChar"/>
    <w:qFormat/>
    <w:rsid w:val="00C24856"/>
    <w:pPr>
      <w:ind w:left="567"/>
    </w:pPr>
  </w:style>
  <w:style w:type="paragraph" w:customStyle="1" w:styleId="BODYINDENT">
    <w:name w:val="BODY INDENT"/>
    <w:basedOn w:val="INDENT"/>
    <w:link w:val="BODYINDENTChar"/>
    <w:qFormat/>
    <w:rsid w:val="00C24856"/>
    <w:pPr>
      <w:ind w:left="1127" w:hanging="560"/>
    </w:pPr>
  </w:style>
  <w:style w:type="character" w:customStyle="1" w:styleId="BodyTextChar">
    <w:name w:val="Body Text Char"/>
    <w:basedOn w:val="DefaultParagraphFont"/>
    <w:link w:val="BodyText"/>
    <w:rsid w:val="00C24856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INDENTChar">
    <w:name w:val="INDENT Char"/>
    <w:basedOn w:val="BodyTextChar"/>
    <w:link w:val="INDENT"/>
    <w:rsid w:val="00C24856"/>
    <w:rPr>
      <w:rFonts w:ascii="Arial" w:eastAsia="SimSun" w:hAnsi="Arial" w:cs="Calibri"/>
      <w:sz w:val="22"/>
      <w:szCs w:val="22"/>
      <w:lang w:val="en-US" w:eastAsia="zh-CN"/>
    </w:rPr>
  </w:style>
  <w:style w:type="paragraph" w:customStyle="1" w:styleId="DECISION">
    <w:name w:val="DECISION"/>
    <w:basedOn w:val="Endofdocument-Annex"/>
    <w:link w:val="DECISIONChar"/>
    <w:qFormat/>
    <w:rsid w:val="00C24856"/>
    <w:rPr>
      <w:rFonts w:eastAsia="Times New Roman"/>
      <w:lang w:eastAsia="en-US"/>
    </w:rPr>
  </w:style>
  <w:style w:type="character" w:customStyle="1" w:styleId="BODYINDENTChar">
    <w:name w:val="BODY INDENT Char"/>
    <w:basedOn w:val="INDENTChar"/>
    <w:link w:val="BODYINDENT"/>
    <w:rsid w:val="00C24856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C24856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DECISIONChar">
    <w:name w:val="DECISION Char"/>
    <w:basedOn w:val="Endofdocument-AnnexChar"/>
    <w:link w:val="DECISION"/>
    <w:rsid w:val="00C24856"/>
    <w:rPr>
      <w:rFonts w:ascii="Arial" w:eastAsia="SimSun" w:hAnsi="Arial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ithub.com/IES-platform/r4r_gender/blob/main/genderit/readme.md" TargetMode="External"/><Relationship Id="rId2" Type="http://schemas.openxmlformats.org/officeDocument/2006/relationships/hyperlink" Target="https://ies-r4r-public.s3.eu-central-1.amazonaws.com/wgnd/wgnd_2_0.zip" TargetMode="External"/><Relationship Id="rId1" Type="http://schemas.openxmlformats.org/officeDocument/2006/relationships/hyperlink" Target="https://github.com/IES-platform/r4r_gender/blob/main/wgnd/README.md" TargetMode="External"/><Relationship Id="rId6" Type="http://schemas.openxmlformats.org/officeDocument/2006/relationships/hyperlink" Target="http://www.wipo.int/econ_stat/en/economics" TargetMode="External"/><Relationship Id="rId5" Type="http://schemas.openxmlformats.org/officeDocument/2006/relationships/hyperlink" Target="http://www.wipo.int/econ_stat/en/economics/studies/" TargetMode="External"/><Relationship Id="rId4" Type="http://schemas.openxmlformats.org/officeDocument/2006/relationships/hyperlink" Target="http://www.wipo.int/publications/en/details.jsp?id=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04FF-6916-4C08-92FA-A2AA2F62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6767</Characters>
  <Application>Microsoft Office Word</Application>
  <DocSecurity>0</DocSecurity>
  <Lines>97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IHADADENE Soraya</dc:creator>
  <cp:keywords>FOR OFFICIAL USE ONLY</cp:keywords>
  <cp:lastModifiedBy>PANAKAL Joseph Lazar</cp:lastModifiedBy>
  <cp:revision>2</cp:revision>
  <cp:lastPrinted>2023-03-13T13:31:00Z</cp:lastPrinted>
  <dcterms:created xsi:type="dcterms:W3CDTF">2023-03-13T13:56:00Z</dcterms:created>
  <dcterms:modified xsi:type="dcterms:W3CDTF">2023-03-13T13:56:00Z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