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45DDA5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DA31B9" w:rsidP="00DA53F5">
      <w:pPr>
        <w:bidi w:val="0"/>
        <w:rPr>
          <w:rFonts w:ascii="Arial Black" w:hAnsi="Arial Black"/>
          <w:caps/>
          <w:sz w:val="15"/>
          <w:szCs w:val="15"/>
        </w:rPr>
      </w:pPr>
      <w:r w:rsidRPr="00DA31B9">
        <w:rPr>
          <w:rFonts w:ascii="Arial Black" w:hAnsi="Arial Black"/>
          <w:caps/>
          <w:sz w:val="15"/>
          <w:szCs w:val="15"/>
        </w:rPr>
        <w:t>CDIP/</w:t>
      </w:r>
      <w:r w:rsidR="00347527">
        <w:rPr>
          <w:rFonts w:ascii="Arial Black" w:hAnsi="Arial Black"/>
          <w:caps/>
          <w:sz w:val="15"/>
          <w:szCs w:val="15"/>
        </w:rPr>
        <w:t>27</w:t>
      </w:r>
      <w:r w:rsidRPr="00DA31B9">
        <w:rPr>
          <w:rFonts w:ascii="Arial Black" w:hAnsi="Arial Black"/>
          <w:caps/>
          <w:sz w:val="15"/>
          <w:szCs w:val="15"/>
        </w:rPr>
        <w:t>/</w:t>
      </w:r>
      <w:bookmarkStart w:id="0" w:name="Code"/>
      <w:bookmarkEnd w:id="0"/>
      <w:r w:rsidR="00DA53F5">
        <w:rPr>
          <w:rFonts w:ascii="Arial Black" w:hAnsi="Arial Black"/>
          <w:caps/>
          <w:sz w:val="15"/>
          <w:szCs w:val="15"/>
        </w:rPr>
        <w:t>4</w:t>
      </w:r>
    </w:p>
    <w:p w:rsidR="008B2CC1" w:rsidRPr="008D5C3A" w:rsidRDefault="00CC3E2D" w:rsidP="00CC3E2D">
      <w:pPr>
        <w:jc w:val="right"/>
        <w:rPr>
          <w:rFonts w:asciiTheme="minorHAnsi" w:hAnsiTheme="minorHAnsi" w:cstheme="minorHAnsi"/>
          <w:caps/>
          <w:sz w:val="15"/>
          <w:szCs w:val="15"/>
          <w:rtl/>
          <w:lang w:val="fr-CH" w:bidi="ar-SY"/>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8D5C3A" w:rsidRPr="008D5C3A">
        <w:rPr>
          <w:rFonts w:asciiTheme="minorHAnsi" w:hAnsiTheme="minorHAnsi" w:cstheme="minorHAnsi" w:hint="cs"/>
          <w:b/>
          <w:bCs/>
          <w:caps/>
          <w:sz w:val="15"/>
          <w:szCs w:val="15"/>
          <w:rtl/>
          <w:lang w:val="fr-CH" w:bidi="ar-SY"/>
        </w:rPr>
        <w:t>بالإنكليزية</w:t>
      </w:r>
    </w:p>
    <w:p w:rsidR="008B2CC1" w:rsidRPr="00CC3E2D" w:rsidRDefault="00630050" w:rsidP="00347527">
      <w:pPr>
        <w:spacing w:after="1200"/>
        <w:jc w:val="right"/>
        <w:rPr>
          <w:rFonts w:asciiTheme="minorHAnsi" w:hAnsiTheme="minorHAnsi" w:cstheme="minorHAnsi"/>
          <w:b/>
          <w:bCs/>
          <w:caps/>
          <w:sz w:val="15"/>
          <w:szCs w:val="15"/>
        </w:rPr>
      </w:pPr>
      <w:bookmarkStart w:id="2" w:name="Date"/>
      <w:bookmarkStart w:id="3" w:name="_GoBack"/>
      <w:bookmarkEnd w:id="1"/>
      <w:r>
        <w:rPr>
          <w:rFonts w:asciiTheme="minorHAnsi" w:hAnsiTheme="minorHAnsi" w:cstheme="minorHAnsi" w:hint="cs"/>
          <w:b/>
          <w:bCs/>
          <w:caps/>
          <w:sz w:val="15"/>
          <w:szCs w:val="15"/>
          <w:rtl/>
        </w:rPr>
        <w:t xml:space="preserve">التاريخ: </w:t>
      </w:r>
      <w:r>
        <w:rPr>
          <w:rFonts w:asciiTheme="minorHAnsi" w:hAnsiTheme="minorHAnsi" w:cstheme="minorHAnsi"/>
          <w:b/>
          <w:bCs/>
          <w:caps/>
          <w:sz w:val="15"/>
          <w:szCs w:val="15"/>
        </w:rPr>
        <w:t>27</w:t>
      </w:r>
      <w:r>
        <w:rPr>
          <w:rFonts w:asciiTheme="minorHAnsi" w:hAnsiTheme="minorHAnsi" w:cstheme="minorHAnsi" w:hint="cs"/>
          <w:b/>
          <w:bCs/>
          <w:caps/>
          <w:sz w:val="15"/>
          <w:szCs w:val="15"/>
          <w:rtl/>
        </w:rPr>
        <w:t xml:space="preserve"> سبتمبر 2021</w:t>
      </w:r>
      <w:bookmarkEnd w:id="3"/>
    </w:p>
    <w:bookmarkEnd w:id="2"/>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347527" w:rsidRPr="00D67EAE" w:rsidRDefault="00347527" w:rsidP="00347527">
      <w:pPr>
        <w:outlineLvl w:val="1"/>
        <w:rPr>
          <w:rFonts w:asciiTheme="minorHAnsi" w:hAnsiTheme="minorHAnsi" w:cstheme="minorHAnsi"/>
          <w:bCs/>
          <w:sz w:val="24"/>
          <w:szCs w:val="24"/>
        </w:rPr>
      </w:pPr>
      <w:bookmarkStart w:id="4" w:name="TitleOfDoc"/>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السابعة والعشرون</w:t>
      </w:r>
    </w:p>
    <w:p w:rsidR="00347527" w:rsidRPr="00D67EAE" w:rsidRDefault="00347527" w:rsidP="0034752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نوفمبر</w:t>
      </w:r>
      <w:r w:rsidRPr="00D67EAE">
        <w:rPr>
          <w:rFonts w:asciiTheme="minorHAnsi" w:hAnsiTheme="minorHAnsi" w:cstheme="minorHAnsi" w:hint="cs"/>
          <w:bCs/>
          <w:sz w:val="24"/>
          <w:szCs w:val="24"/>
          <w:rtl/>
        </w:rPr>
        <w:t xml:space="preserve"> 2021</w:t>
      </w:r>
    </w:p>
    <w:p w:rsidR="008B2CC1" w:rsidRPr="00D67EAE" w:rsidRDefault="008D5C3A" w:rsidP="00DD7B7F">
      <w:pPr>
        <w:spacing w:after="360"/>
        <w:outlineLvl w:val="0"/>
        <w:rPr>
          <w:rFonts w:asciiTheme="minorHAnsi" w:hAnsiTheme="minorHAnsi" w:cstheme="minorHAnsi"/>
          <w:caps/>
          <w:sz w:val="24"/>
        </w:rPr>
      </w:pPr>
      <w:r w:rsidRPr="008D5C3A">
        <w:rPr>
          <w:rFonts w:asciiTheme="minorHAnsi" w:hAnsiTheme="minorHAnsi"/>
          <w:caps/>
          <w:sz w:val="28"/>
          <w:szCs w:val="24"/>
          <w:rtl/>
        </w:rPr>
        <w:t>تقرير إنجاز المشروع المعني بإدارة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p>
    <w:p w:rsidR="002928D3" w:rsidRDefault="00D67EAE" w:rsidP="008D5C3A">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8D5C3A">
        <w:rPr>
          <w:rFonts w:asciiTheme="minorHAnsi" w:hAnsiTheme="minorHAnsi" w:cstheme="minorHAnsi" w:hint="cs"/>
          <w:iCs/>
          <w:rtl/>
        </w:rPr>
        <w:t xml:space="preserve"> </w:t>
      </w:r>
      <w:r w:rsidR="008D5C3A" w:rsidRPr="008D5C3A">
        <w:rPr>
          <w:rFonts w:asciiTheme="minorHAnsi" w:hAnsiTheme="minorHAnsi" w:cstheme="minorHAnsi"/>
          <w:i/>
          <w:iCs/>
          <w:rtl/>
        </w:rPr>
        <w:t>الأمانة</w:t>
      </w:r>
    </w:p>
    <w:p w:rsidR="009B0855" w:rsidRDefault="008D5C3A" w:rsidP="00347527">
      <w:pPr>
        <w:pStyle w:val="ONUMA"/>
        <w:rPr>
          <w:lang w:bidi="ar-EG"/>
        </w:rPr>
      </w:pPr>
      <w:r w:rsidRPr="008D5C3A">
        <w:rPr>
          <w:rtl/>
          <w:lang w:bidi="ar-EG"/>
        </w:rPr>
        <w:t>يحتوي مرفق هذه الوثيقة على تقرير إنجاز المشروع المعني بإدارة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ويتناول هذا التقرير الفترة الكاملة لتنفيذ هذا المشروع، أي من يناير 2018 إلى أكتوبر 202</w:t>
      </w:r>
      <w:r w:rsidR="00347527">
        <w:rPr>
          <w:rFonts w:hint="cs"/>
          <w:rtl/>
          <w:lang w:bidi="ar-EG"/>
        </w:rPr>
        <w:t>0</w:t>
      </w:r>
      <w:r w:rsidRPr="008D5C3A">
        <w:rPr>
          <w:rtl/>
          <w:lang w:bidi="ar-EG"/>
        </w:rPr>
        <w:t>.</w:t>
      </w:r>
    </w:p>
    <w:p w:rsidR="008D5C3A" w:rsidRDefault="008D5C3A" w:rsidP="00916ADC">
      <w:pPr>
        <w:pStyle w:val="Decision"/>
      </w:pPr>
      <w:r w:rsidRPr="008D5C3A">
        <w:rPr>
          <w:rtl/>
        </w:rPr>
        <w:t>إن لجنة التنمية مدعوة إلى الإحاطة علماً بالمعلومات الواردة في مرفق هذه الوثيقة.</w:t>
      </w:r>
    </w:p>
    <w:p w:rsidR="00916ADC" w:rsidRPr="00916ADC" w:rsidRDefault="00916ADC" w:rsidP="00916ADC">
      <w:pPr>
        <w:pStyle w:val="Endofdocument-Annex"/>
      </w:pPr>
      <w:r w:rsidRPr="00916ADC">
        <w:rPr>
          <w:rFonts w:hint="cs"/>
          <w:rtl/>
        </w:rPr>
        <w:t>[</w:t>
      </w:r>
      <w:r w:rsidRPr="00916ADC">
        <w:rPr>
          <w:rtl/>
          <w:lang w:bidi="ar-SY"/>
        </w:rPr>
        <w:t>يلي ذلك المرفق</w:t>
      </w:r>
      <w:r w:rsidRPr="00916ADC">
        <w:rPr>
          <w:rFonts w:hint="cs"/>
          <w:rtl/>
        </w:rPr>
        <w:t>]</w:t>
      </w:r>
    </w:p>
    <w:p w:rsidR="00916ADC" w:rsidRDefault="00916ADC" w:rsidP="00916ADC">
      <w:pPr>
        <w:pStyle w:val="Endofdocument-Annex"/>
        <w:rPr>
          <w:rtl/>
          <w:lang w:val="fr-CH" w:bidi="ar-SY"/>
        </w:rPr>
        <w:sectPr w:rsidR="00916ADC"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Summary"/>
        <w:tblDescription w:val="Intellectual Property Management and Transfer of Tecnology: Promoting the Effective Use of Intellectual Property in Developing Countries, Least Developed Countries and Countries with Economies in Transition"/>
      </w:tblPr>
      <w:tblGrid>
        <w:gridCol w:w="2376"/>
        <w:gridCol w:w="6912"/>
      </w:tblGrid>
      <w:tr w:rsidR="00916ADC" w:rsidRPr="00916ADC" w:rsidTr="00916ADC">
        <w:trPr>
          <w:trHeight w:val="432"/>
        </w:trPr>
        <w:tc>
          <w:tcPr>
            <w:tcW w:w="9288" w:type="dxa"/>
            <w:gridSpan w:val="2"/>
            <w:shd w:val="clear" w:color="auto" w:fill="auto"/>
            <w:vAlign w:val="center"/>
          </w:tcPr>
          <w:p w:rsidR="00916ADC" w:rsidRPr="0054609D" w:rsidRDefault="00916ADC" w:rsidP="00916ADC">
            <w:pPr>
              <w:pStyle w:val="BodyText"/>
              <w:rPr>
                <w:b/>
                <w:i/>
              </w:rPr>
            </w:pPr>
            <w:r w:rsidRPr="0054609D">
              <w:rPr>
                <w:b/>
                <w:i/>
              </w:rPr>
              <w:lastRenderedPageBreak/>
              <w:br w:type="page"/>
            </w:r>
            <w:r w:rsidRPr="0054609D">
              <w:rPr>
                <w:b/>
                <w:i/>
                <w:rtl/>
              </w:rPr>
              <w:t>ملخص المشروع</w:t>
            </w:r>
          </w:p>
        </w:tc>
      </w:tr>
      <w:tr w:rsidR="00916ADC" w:rsidRPr="00916ADC" w:rsidTr="00916ADC">
        <w:trPr>
          <w:trHeight w:val="496"/>
        </w:trPr>
        <w:tc>
          <w:tcPr>
            <w:tcW w:w="2376" w:type="dxa"/>
            <w:shd w:val="clear" w:color="auto" w:fill="auto"/>
          </w:tcPr>
          <w:p w:rsidR="00916ADC" w:rsidRPr="0054609D" w:rsidRDefault="00916ADC" w:rsidP="00916ADC">
            <w:pPr>
              <w:pStyle w:val="BodyText"/>
              <w:rPr>
                <w:b/>
                <w:u w:val="single"/>
              </w:rPr>
            </w:pPr>
            <w:r w:rsidRPr="0054609D">
              <w:rPr>
                <w:b/>
                <w:u w:val="single"/>
                <w:rtl/>
              </w:rPr>
              <w:t>رمز المشروع</w:t>
            </w:r>
          </w:p>
        </w:tc>
        <w:tc>
          <w:tcPr>
            <w:tcW w:w="6912" w:type="dxa"/>
            <w:shd w:val="clear" w:color="auto" w:fill="auto"/>
            <w:vAlign w:val="center"/>
          </w:tcPr>
          <w:p w:rsidR="00916ADC" w:rsidRPr="00916ADC" w:rsidRDefault="00916ADC" w:rsidP="00916ADC">
            <w:pPr>
              <w:pStyle w:val="BodyText"/>
              <w:rPr>
                <w:iCs/>
              </w:rPr>
            </w:pPr>
            <w:r w:rsidRPr="00916ADC">
              <w:rPr>
                <w:iCs/>
              </w:rPr>
              <w:t>DA_1</w:t>
            </w:r>
            <w:r w:rsidRPr="00916ADC">
              <w:t>_10_12_ 23_ 25_ 31_ 40_01</w:t>
            </w:r>
          </w:p>
        </w:tc>
      </w:tr>
      <w:tr w:rsidR="00916ADC" w:rsidRPr="00916ADC" w:rsidTr="00916ADC">
        <w:trPr>
          <w:trHeight w:val="404"/>
        </w:trPr>
        <w:tc>
          <w:tcPr>
            <w:tcW w:w="2376" w:type="dxa"/>
            <w:shd w:val="clear" w:color="auto" w:fill="auto"/>
          </w:tcPr>
          <w:p w:rsidR="00916ADC" w:rsidRPr="00916ADC" w:rsidRDefault="00916ADC" w:rsidP="0054609D">
            <w:pPr>
              <w:pStyle w:val="BodyText"/>
            </w:pPr>
            <w:r w:rsidRPr="0054609D">
              <w:rPr>
                <w:b/>
                <w:u w:val="single"/>
                <w:rtl/>
              </w:rPr>
              <w:t>العنوان</w:t>
            </w:r>
          </w:p>
        </w:tc>
        <w:tc>
          <w:tcPr>
            <w:tcW w:w="6912" w:type="dxa"/>
            <w:shd w:val="clear" w:color="auto" w:fill="auto"/>
            <w:vAlign w:val="center"/>
          </w:tcPr>
          <w:p w:rsidR="00916ADC" w:rsidRPr="00916ADC" w:rsidRDefault="00916ADC" w:rsidP="00916ADC">
            <w:pPr>
              <w:pStyle w:val="BodyText"/>
            </w:pPr>
            <w:r w:rsidRPr="00916ADC">
              <w:rPr>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p>
        </w:tc>
      </w:tr>
      <w:tr w:rsidR="00916ADC" w:rsidRPr="00916ADC" w:rsidTr="00916ADC">
        <w:tc>
          <w:tcPr>
            <w:tcW w:w="2376" w:type="dxa"/>
            <w:shd w:val="clear" w:color="auto" w:fill="auto"/>
          </w:tcPr>
          <w:p w:rsidR="00916ADC" w:rsidRPr="0054609D" w:rsidRDefault="00916ADC" w:rsidP="00CD789A">
            <w:pPr>
              <w:pStyle w:val="BodyText"/>
              <w:rPr>
                <w:b/>
                <w:u w:val="single"/>
              </w:rPr>
            </w:pPr>
            <w:r w:rsidRPr="0054609D">
              <w:rPr>
                <w:b/>
                <w:u w:val="single"/>
                <w:rtl/>
              </w:rPr>
              <w:t>توصيات أجندة التنمية</w:t>
            </w:r>
          </w:p>
        </w:tc>
        <w:tc>
          <w:tcPr>
            <w:tcW w:w="6912" w:type="dxa"/>
            <w:shd w:val="clear" w:color="auto" w:fill="auto"/>
            <w:vAlign w:val="center"/>
          </w:tcPr>
          <w:p w:rsidR="00916ADC" w:rsidRPr="00916ADC" w:rsidRDefault="00916ADC" w:rsidP="00CD789A">
            <w:pPr>
              <w:pStyle w:val="BodyText"/>
              <w:rPr>
                <w:lang w:val="en"/>
              </w:rPr>
            </w:pPr>
            <w:r w:rsidRPr="0054609D">
              <w:rPr>
                <w:i/>
                <w:iCs/>
                <w:rtl/>
              </w:rPr>
              <w:t>التوصية 1</w:t>
            </w:r>
            <w:r w:rsidRPr="00916ADC">
              <w:rPr>
                <w:rtl/>
              </w:rPr>
              <w:t>: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w:t>
            </w:r>
            <w:r w:rsidR="00CD789A">
              <w:rPr>
                <w:rFonts w:hint="cs"/>
                <w:rtl/>
              </w:rPr>
              <w:t xml:space="preserve">. </w:t>
            </w:r>
            <w:r w:rsidRPr="00916ADC">
              <w:rPr>
                <w:rtl/>
              </w:rPr>
              <w:t>وفي هذا الصدد، ينبغي أن يكون تصميم برامج المساعدة التقنية وآليات تسليمها وعمليات تقييمها خاصة بكل بلد</w:t>
            </w:r>
            <w:r w:rsidRPr="00916ADC">
              <w:rPr>
                <w:lang w:val="en"/>
              </w:rPr>
              <w:t>.</w:t>
            </w:r>
          </w:p>
          <w:p w:rsidR="00916ADC" w:rsidRPr="00916ADC" w:rsidRDefault="00916ADC" w:rsidP="00CD789A">
            <w:pPr>
              <w:pStyle w:val="BodyText"/>
              <w:rPr>
                <w:lang w:val="en"/>
              </w:rPr>
            </w:pPr>
            <w:r w:rsidRPr="0054609D">
              <w:rPr>
                <w:i/>
                <w:iCs/>
                <w:rtl/>
              </w:rPr>
              <w:t>التوصية 10</w:t>
            </w:r>
            <w:r w:rsidRPr="00916ADC">
              <w:rPr>
                <w:rtl/>
              </w:rPr>
              <w:t>: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w:t>
            </w:r>
            <w:r w:rsidRPr="00916ADC">
              <w:rPr>
                <w:lang w:val="en"/>
              </w:rPr>
              <w:t xml:space="preserve"> </w:t>
            </w:r>
            <w:r w:rsidRPr="00916ADC">
              <w:rPr>
                <w:rtl/>
              </w:rPr>
              <w:t>العامة</w:t>
            </w:r>
            <w:r w:rsidR="00CD789A">
              <w:rPr>
                <w:rFonts w:hint="cs"/>
                <w:rtl/>
              </w:rPr>
              <w:t xml:space="preserve">. </w:t>
            </w:r>
            <w:r w:rsidRPr="00916ADC">
              <w:rPr>
                <w:rtl/>
              </w:rPr>
              <w:t>وينبغي أن تنسحب هذه المساعدة التقنية أيضا على المنظمات الإقليمية ودون الإقليمية المعنية بالملكية الفكرية</w:t>
            </w:r>
            <w:r w:rsidRPr="00916ADC">
              <w:rPr>
                <w:lang w:val="en"/>
              </w:rPr>
              <w:t>.</w:t>
            </w:r>
          </w:p>
          <w:p w:rsidR="00916ADC" w:rsidRPr="00916ADC" w:rsidRDefault="00916ADC" w:rsidP="00916ADC">
            <w:pPr>
              <w:pStyle w:val="BodyText"/>
              <w:rPr>
                <w:lang w:val="en"/>
              </w:rPr>
            </w:pPr>
            <w:r w:rsidRPr="0054609D">
              <w:rPr>
                <w:i/>
                <w:iCs/>
                <w:rtl/>
              </w:rPr>
              <w:t>التوصية</w:t>
            </w:r>
            <w:r w:rsidRPr="00916ADC">
              <w:rPr>
                <w:rtl/>
              </w:rPr>
              <w:t xml:space="preserve"> </w:t>
            </w:r>
            <w:r w:rsidRPr="0054609D">
              <w:rPr>
                <w:i/>
                <w:iCs/>
                <w:rtl/>
              </w:rPr>
              <w:t>12</w:t>
            </w:r>
            <w:r w:rsidRPr="00916ADC">
              <w:rPr>
                <w:rtl/>
              </w:rPr>
              <w:t>: المضي في إدماج الاعتبارات الإنمائية في أنشطة الويبو ومناقشاتها الموضوعية والتقنية، وفقاً لاختصاصها.</w:t>
            </w:r>
          </w:p>
          <w:p w:rsidR="00916ADC" w:rsidRPr="00916ADC" w:rsidRDefault="00916ADC" w:rsidP="00916ADC">
            <w:pPr>
              <w:pStyle w:val="BodyText"/>
              <w:rPr>
                <w:lang w:val="en"/>
              </w:rPr>
            </w:pPr>
            <w:r w:rsidRPr="0054609D">
              <w:rPr>
                <w:i/>
                <w:iCs/>
                <w:rtl/>
              </w:rPr>
              <w:t>التوصية</w:t>
            </w:r>
            <w:r w:rsidRPr="00916ADC">
              <w:rPr>
                <w:rtl/>
              </w:rPr>
              <w:t xml:space="preserve"> </w:t>
            </w:r>
            <w:r w:rsidRPr="0054609D">
              <w:rPr>
                <w:i/>
                <w:iCs/>
                <w:rtl/>
              </w:rPr>
              <w:t>23</w:t>
            </w:r>
            <w:r w:rsidRPr="00916ADC">
              <w:rPr>
                <w:rtl/>
              </w:rPr>
              <w:t>: 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p w:rsidR="00916ADC" w:rsidRPr="00916ADC" w:rsidRDefault="00916ADC" w:rsidP="00916ADC">
            <w:pPr>
              <w:pStyle w:val="BodyText"/>
              <w:rPr>
                <w:lang w:val="en"/>
              </w:rPr>
            </w:pPr>
            <w:r w:rsidRPr="0054609D">
              <w:rPr>
                <w:i/>
                <w:iCs/>
                <w:rtl/>
              </w:rPr>
              <w:t>التوصية</w:t>
            </w:r>
            <w:r w:rsidRPr="00916ADC">
              <w:rPr>
                <w:rtl/>
              </w:rPr>
              <w:t xml:space="preserve"> </w:t>
            </w:r>
            <w:r w:rsidRPr="0054609D">
              <w:rPr>
                <w:i/>
                <w:iCs/>
                <w:rtl/>
              </w:rPr>
              <w:t>25</w:t>
            </w:r>
            <w:r w:rsidRPr="00916ADC">
              <w:rPr>
                <w:rtl/>
              </w:rPr>
              <w:t>: 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p>
          <w:p w:rsidR="00916ADC" w:rsidRPr="00916ADC" w:rsidRDefault="00916ADC" w:rsidP="00916ADC">
            <w:pPr>
              <w:pStyle w:val="BodyText"/>
              <w:rPr>
                <w:lang w:val="en"/>
              </w:rPr>
            </w:pPr>
            <w:r w:rsidRPr="0054609D">
              <w:rPr>
                <w:i/>
                <w:iCs/>
                <w:rtl/>
              </w:rPr>
              <w:t>التوصية</w:t>
            </w:r>
            <w:r w:rsidRPr="00916ADC">
              <w:rPr>
                <w:rtl/>
              </w:rPr>
              <w:t xml:space="preserve"> </w:t>
            </w:r>
            <w:r w:rsidRPr="0054609D">
              <w:rPr>
                <w:i/>
                <w:iCs/>
                <w:rtl/>
              </w:rPr>
              <w:t>31</w:t>
            </w:r>
            <w:r w:rsidRPr="00916ADC">
              <w:rPr>
                <w:rtl/>
              </w:rPr>
              <w:t>: 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p w:rsidR="00916ADC" w:rsidRPr="00916ADC" w:rsidRDefault="00916ADC" w:rsidP="00916ADC">
            <w:pPr>
              <w:pStyle w:val="BodyText"/>
              <w:rPr>
                <w:lang w:val="en"/>
              </w:rPr>
            </w:pPr>
            <w:r w:rsidRPr="0054609D">
              <w:rPr>
                <w:i/>
                <w:iCs/>
                <w:rtl/>
              </w:rPr>
              <w:t>التوصية</w:t>
            </w:r>
            <w:r w:rsidRPr="00916ADC">
              <w:rPr>
                <w:rtl/>
              </w:rPr>
              <w:t xml:space="preserve"> </w:t>
            </w:r>
            <w:r w:rsidRPr="0054609D">
              <w:rPr>
                <w:i/>
                <w:iCs/>
                <w:rtl/>
              </w:rPr>
              <w:t>40</w:t>
            </w:r>
            <w:r w:rsidRPr="00916ADC">
              <w:rPr>
                <w:rtl/>
              </w:rPr>
              <w:t>: مطالبة الويبو بتكثيف تعاونها مع وكالات الأمم المتحدة بشأن مسائل الملكية الفكرية وفقا لتوجه الدول الأعضاء، وبالأخص الأونكتاد وبرنامج الأمم المتحدة للبيئة ومنظمة الصحة العالمية واليونيدو واليونسكو وسائر المنظمات الدولية المعنية، لتعزيز التعاون تحقيقا للكفاءة القصوى في تنفيذ برامج التنمية.</w:t>
            </w:r>
          </w:p>
        </w:tc>
      </w:tr>
      <w:tr w:rsidR="00916ADC" w:rsidRPr="00916ADC" w:rsidTr="00916ADC">
        <w:tc>
          <w:tcPr>
            <w:tcW w:w="2376" w:type="dxa"/>
            <w:shd w:val="clear" w:color="auto" w:fill="auto"/>
          </w:tcPr>
          <w:p w:rsidR="00916ADC" w:rsidRPr="0054609D" w:rsidRDefault="00916ADC" w:rsidP="00CD789A">
            <w:pPr>
              <w:pStyle w:val="BodyText"/>
              <w:rPr>
                <w:b/>
                <w:u w:val="single"/>
              </w:rPr>
            </w:pPr>
            <w:r w:rsidRPr="0054609D">
              <w:rPr>
                <w:b/>
                <w:u w:val="single"/>
                <w:rtl/>
              </w:rPr>
              <w:t>ميزانية المشروع</w:t>
            </w:r>
          </w:p>
        </w:tc>
        <w:tc>
          <w:tcPr>
            <w:tcW w:w="6912" w:type="dxa"/>
            <w:shd w:val="clear" w:color="auto" w:fill="auto"/>
          </w:tcPr>
          <w:p w:rsidR="00916ADC" w:rsidRPr="00916ADC" w:rsidRDefault="00916ADC" w:rsidP="00CD789A">
            <w:pPr>
              <w:pStyle w:val="BodyText"/>
            </w:pPr>
            <w:r w:rsidRPr="00916ADC">
              <w:rPr>
                <w:rtl/>
              </w:rPr>
              <w:t>بلغ إجمالي تكاليف الميزانية 000</w:t>
            </w:r>
            <w:r w:rsidR="00CD789A">
              <w:t>,</w:t>
            </w:r>
            <w:r w:rsidRPr="00916ADC">
              <w:rPr>
                <w:rtl/>
              </w:rPr>
              <w:t>584 فرنك سويسري منها:</w:t>
            </w:r>
          </w:p>
          <w:p w:rsidR="00916ADC" w:rsidRPr="00916ADC" w:rsidRDefault="00916ADC" w:rsidP="00916ADC">
            <w:pPr>
              <w:pStyle w:val="BodyText"/>
            </w:pPr>
            <w:r w:rsidRPr="00916ADC">
              <w:rPr>
                <w:rtl/>
              </w:rPr>
              <w:t>تكاليف خلاف الموظفين: 314,000 فرنك سويسري</w:t>
            </w:r>
            <w:r w:rsidRPr="00916ADC">
              <w:t xml:space="preserve"> </w:t>
            </w:r>
          </w:p>
          <w:p w:rsidR="00916ADC" w:rsidRPr="00916ADC" w:rsidRDefault="00916ADC" w:rsidP="00916ADC">
            <w:pPr>
              <w:pStyle w:val="BodyText"/>
              <w:rPr>
                <w:lang w:val="it-IT"/>
              </w:rPr>
            </w:pPr>
            <w:r w:rsidRPr="00916ADC">
              <w:rPr>
                <w:rtl/>
              </w:rPr>
              <w:t>وتكاليف الموظفين: 270,000 فرنك سويسري</w:t>
            </w:r>
            <w:r w:rsidRPr="00916ADC">
              <w:t xml:space="preserve"> </w:t>
            </w:r>
          </w:p>
        </w:tc>
      </w:tr>
      <w:tr w:rsidR="00916ADC" w:rsidRPr="00916ADC" w:rsidTr="00916ADC">
        <w:tc>
          <w:tcPr>
            <w:tcW w:w="2376" w:type="dxa"/>
            <w:shd w:val="clear" w:color="auto" w:fill="auto"/>
          </w:tcPr>
          <w:p w:rsidR="00916ADC" w:rsidRPr="0054609D" w:rsidRDefault="00916ADC" w:rsidP="00811354">
            <w:pPr>
              <w:pStyle w:val="BodyText"/>
              <w:keepNext/>
              <w:rPr>
                <w:b/>
              </w:rPr>
            </w:pPr>
            <w:r w:rsidRPr="0054609D">
              <w:rPr>
                <w:b/>
                <w:u w:val="single"/>
                <w:rtl/>
              </w:rPr>
              <w:lastRenderedPageBreak/>
              <w:t>مدة المشروع</w:t>
            </w:r>
          </w:p>
        </w:tc>
        <w:tc>
          <w:tcPr>
            <w:tcW w:w="6912" w:type="dxa"/>
            <w:shd w:val="clear" w:color="auto" w:fill="auto"/>
          </w:tcPr>
          <w:p w:rsidR="00916ADC" w:rsidRPr="00916ADC" w:rsidRDefault="00916ADC" w:rsidP="00811354">
            <w:pPr>
              <w:pStyle w:val="BodyText"/>
              <w:keepNext/>
            </w:pPr>
            <w:r w:rsidRPr="00916ADC">
              <w:rPr>
                <w:rtl/>
              </w:rPr>
              <w:t>31 شهراً</w:t>
            </w:r>
          </w:p>
        </w:tc>
      </w:tr>
      <w:tr w:rsidR="00916ADC" w:rsidRPr="00916ADC" w:rsidTr="00916ADC">
        <w:tc>
          <w:tcPr>
            <w:tcW w:w="2376" w:type="dxa"/>
            <w:shd w:val="clear" w:color="auto" w:fill="auto"/>
          </w:tcPr>
          <w:p w:rsidR="00916ADC" w:rsidRPr="0054609D" w:rsidRDefault="00916ADC" w:rsidP="00811354">
            <w:pPr>
              <w:pStyle w:val="BodyText"/>
              <w:keepNext/>
              <w:rPr>
                <w:b/>
                <w:u w:val="single"/>
              </w:rPr>
            </w:pPr>
            <w:r w:rsidRPr="0054609D">
              <w:rPr>
                <w:b/>
                <w:u w:val="single"/>
                <w:rtl/>
              </w:rPr>
              <w:t>قطاعات الويبو الرئيسية المعنية والصلة ببرامج الويبو</w:t>
            </w:r>
          </w:p>
        </w:tc>
        <w:tc>
          <w:tcPr>
            <w:tcW w:w="6912" w:type="dxa"/>
            <w:shd w:val="clear" w:color="auto" w:fill="auto"/>
          </w:tcPr>
          <w:p w:rsidR="00916ADC" w:rsidRPr="00916ADC" w:rsidRDefault="00916ADC" w:rsidP="00811354">
            <w:pPr>
              <w:pStyle w:val="BodyText"/>
              <w:keepNext/>
            </w:pPr>
            <w:r w:rsidRPr="00916ADC">
              <w:rPr>
                <w:rtl/>
              </w:rPr>
              <w:t>صلة بالبرامج 14 و9 و30.</w:t>
            </w:r>
          </w:p>
        </w:tc>
      </w:tr>
      <w:tr w:rsidR="00916ADC" w:rsidRPr="00916ADC" w:rsidTr="00916ADC">
        <w:trPr>
          <w:trHeight w:val="2664"/>
        </w:trPr>
        <w:tc>
          <w:tcPr>
            <w:tcW w:w="2376" w:type="dxa"/>
            <w:shd w:val="clear" w:color="auto" w:fill="auto"/>
          </w:tcPr>
          <w:p w:rsidR="00916ADC" w:rsidRPr="0054609D" w:rsidRDefault="00916ADC" w:rsidP="00916ADC">
            <w:pPr>
              <w:pStyle w:val="BodyText"/>
              <w:rPr>
                <w:b/>
                <w:u w:val="single"/>
              </w:rPr>
            </w:pPr>
            <w:r w:rsidRPr="0054609D">
              <w:rPr>
                <w:b/>
                <w:u w:val="single"/>
                <w:rtl/>
              </w:rPr>
              <w:t>وصف موجز للمشروع</w:t>
            </w:r>
          </w:p>
        </w:tc>
        <w:tc>
          <w:tcPr>
            <w:tcW w:w="6912" w:type="dxa"/>
            <w:shd w:val="clear" w:color="auto" w:fill="auto"/>
          </w:tcPr>
          <w:p w:rsidR="00916ADC" w:rsidRPr="00916ADC" w:rsidRDefault="00916ADC" w:rsidP="00CD789A">
            <w:pPr>
              <w:pStyle w:val="BodyText"/>
            </w:pPr>
            <w:r w:rsidRPr="00916ADC">
              <w:rPr>
                <w:rtl/>
              </w:rPr>
              <w:t>لقد سنّت العديد من بلدان العالم تشريعات لضمان زيادة العائدات الاجتماعية والاقتصادية الناشئة عن الاستثمارات العامة في البحث و/أو التطوير</w:t>
            </w:r>
            <w:r w:rsidR="00CD789A">
              <w:t xml:space="preserve">. </w:t>
            </w:r>
            <w:r w:rsidRPr="00916ADC">
              <w:rPr>
                <w:rtl/>
              </w:rPr>
              <w:t>وتستوجب هذه المقاربة التنازلية استجابة تصاعدية على صعيد التوعية والتدريب وتطوير المهارات في مجال إدارة الملكية الفكرية ونقل التكنولوجيا لصالح ممولي الملكية الفكرية ومطوريها ومديريها ومستخدميها</w:t>
            </w:r>
            <w:r w:rsidRPr="00916ADC">
              <w:t>.</w:t>
            </w:r>
          </w:p>
          <w:p w:rsidR="00916ADC" w:rsidRPr="00916ADC" w:rsidRDefault="00916ADC" w:rsidP="00CD789A">
            <w:pPr>
              <w:pStyle w:val="BodyText"/>
            </w:pPr>
            <w:r w:rsidRPr="00916ADC">
              <w:rPr>
                <w:rtl/>
              </w:rPr>
              <w:t>وتُثبط الابتكارَ عوامل عدة (من جميع الأشكال سواء كانت تزايدية أو اجتماعية أو مفتوحة أو جذرية، وما إلى ذلك) منها نقص المهارات المطلوبة في إدارة الملكية الفكرية ونقل التكنولوجيا لدى الممولين والمطورين والمديرين والمستخدمين في سلسة قيمة الابتكار.</w:t>
            </w:r>
          </w:p>
          <w:p w:rsidR="00916ADC" w:rsidRPr="00916ADC" w:rsidRDefault="00916ADC" w:rsidP="00916ADC">
            <w:pPr>
              <w:pStyle w:val="BodyText"/>
            </w:pPr>
            <w:r w:rsidRPr="00916ADC">
              <w:rPr>
                <w:rtl/>
              </w:rPr>
              <w:t>وكان الهدف من المشروع هو تعزيز القدرات الابتكارية للبلدان النامية والبلدان الأقل نموا والبلدان التي تمر اقتصاداتها بمرحلة انتقالية عن طريق نشر فرص التدريب/تكوين الكفاءات، وفرص التعاون، والمواد التعليمية مثل الأدلة التوجيهية ووثائق أفضل الممارسات (الأكاديمية منها والعملية) لتستفيد منها مجموعة من الفاعلين على طول قيمة الابتكار بشكل أكثر استهدافا.</w:t>
            </w:r>
          </w:p>
          <w:p w:rsidR="00916ADC" w:rsidRPr="00916ADC" w:rsidRDefault="00916ADC" w:rsidP="00916ADC">
            <w:pPr>
              <w:pStyle w:val="BodyText"/>
            </w:pPr>
            <w:r w:rsidRPr="00916ADC">
              <w:rPr>
                <w:rtl/>
              </w:rPr>
              <w:t>ونفذ المشروع في أربعة (4) بلدان مختارة: شيلي وإندونيسيا ورواندا وجنوب أفريقيا، بهدف كفاءات أصحاب المصالح الرئيسيين (بدءا من الممولين والمطورين والمديرين والمستخدمين في آخر المطاف) وزيادة التعاون بين الدول الأعضاء لتسهيل نقل المعرفة.</w:t>
            </w:r>
          </w:p>
          <w:p w:rsidR="00916ADC" w:rsidRPr="00916ADC" w:rsidRDefault="00916ADC" w:rsidP="00916ADC">
            <w:pPr>
              <w:pStyle w:val="BodyText"/>
            </w:pPr>
            <w:r w:rsidRPr="00916ADC">
              <w:rPr>
                <w:rtl/>
              </w:rPr>
              <w:t>واتسم المشروع بأهمية خاصة في سياق أجندة التنمية للويبو، إذ سعى إلى توضيح الكيفية التي يمكن بها للبلدان النامية والناشئة والأقل نموا أن تستفيد من تنمية الكفاءات في مجال إدارة الملكية الفكرية ونقل التكنولوجيات، مع تحقيق الهدف النهائي العام المتمثل في تعزيز</w:t>
            </w:r>
            <w:r w:rsidRPr="00916ADC">
              <w:t xml:space="preserve"> </w:t>
            </w:r>
            <w:r w:rsidRPr="00916ADC">
              <w:rPr>
                <w:rtl/>
              </w:rPr>
              <w:t>الابتكار</w:t>
            </w:r>
            <w:r w:rsidRPr="00916ADC">
              <w:t xml:space="preserve">. </w:t>
            </w:r>
            <w:r w:rsidRPr="00916ADC">
              <w:rPr>
                <w:rtl/>
              </w:rPr>
              <w:t>وركز المشروع على خبرات بعض البلدان الرائدة المختارة، وسلط الضوء على سبل إنشاء فرص من أجل التنمية الاجتماعية والاقتصادية بفضل الاستخدام الاستراتيجي لأدوات الملكية الفكرية</w:t>
            </w:r>
            <w:r w:rsidRPr="00916ADC">
              <w:t>.</w:t>
            </w:r>
          </w:p>
        </w:tc>
      </w:tr>
    </w:tbl>
    <w:p w:rsidR="00DA31B9" w:rsidRDefault="00DA31B9" w:rsidP="00916ADC">
      <w:pPr>
        <w:pStyle w:val="BodyText"/>
        <w:rPr>
          <w:rtl/>
        </w:rPr>
      </w:pPr>
    </w:p>
    <w:tbl>
      <w:tblPr>
        <w:bidiVisual/>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89"/>
      </w:tblGrid>
      <w:tr w:rsidR="00916ADC" w:rsidRPr="00916ADC" w:rsidTr="00916ADC">
        <w:trPr>
          <w:trHeight w:val="484"/>
        </w:trPr>
        <w:tc>
          <w:tcPr>
            <w:tcW w:w="2376" w:type="dxa"/>
            <w:shd w:val="clear" w:color="auto" w:fill="auto"/>
          </w:tcPr>
          <w:p w:rsidR="00916ADC" w:rsidRPr="0054609D" w:rsidRDefault="00916ADC" w:rsidP="00916ADC">
            <w:pPr>
              <w:pStyle w:val="BodyText"/>
              <w:rPr>
                <w:b/>
                <w:u w:val="single"/>
              </w:rPr>
            </w:pPr>
            <w:r w:rsidRPr="0054609D">
              <w:rPr>
                <w:b/>
                <w:u w:val="single"/>
                <w:rtl/>
              </w:rPr>
              <w:t>مديرا المشروع</w:t>
            </w:r>
          </w:p>
        </w:tc>
        <w:tc>
          <w:tcPr>
            <w:tcW w:w="6889" w:type="dxa"/>
          </w:tcPr>
          <w:p w:rsidR="00916ADC" w:rsidRPr="0054609D" w:rsidRDefault="00916ADC" w:rsidP="00CD789A">
            <w:pPr>
              <w:pStyle w:val="BodyText"/>
              <w:rPr>
                <w:i/>
              </w:rPr>
            </w:pPr>
            <w:r w:rsidRPr="0054609D">
              <w:rPr>
                <w:i/>
                <w:rtl/>
              </w:rPr>
              <w:t>السيد أليخاندرو روكا كامبانيا، كبير المديرين، إدارة الملكية الفكرية للمبتكرين، والسيد أندرو تشايكوفسكي، مدير شعبة دعم التكنولوجيا والابتكار</w:t>
            </w:r>
          </w:p>
        </w:tc>
      </w:tr>
      <w:tr w:rsidR="00916ADC" w:rsidRPr="00916ADC" w:rsidTr="00916ADC">
        <w:trPr>
          <w:trHeight w:val="1165"/>
        </w:trPr>
        <w:tc>
          <w:tcPr>
            <w:tcW w:w="2376" w:type="dxa"/>
            <w:shd w:val="clear" w:color="auto" w:fill="auto"/>
          </w:tcPr>
          <w:p w:rsidR="00916ADC" w:rsidRPr="0054609D" w:rsidDel="00196374" w:rsidRDefault="00916ADC" w:rsidP="00CD789A">
            <w:pPr>
              <w:pStyle w:val="BodyText"/>
              <w:rPr>
                <w:b/>
              </w:rPr>
            </w:pPr>
            <w:r w:rsidRPr="0054609D">
              <w:rPr>
                <w:b/>
                <w:u w:val="single"/>
                <w:rtl/>
              </w:rPr>
              <w:t>الصلة بالنتائج المرتقبة في البرنامج والميزانية</w:t>
            </w:r>
            <w:r w:rsidRPr="0054609D">
              <w:rPr>
                <w:b/>
                <w:u w:val="single"/>
              </w:rPr>
              <w:t xml:space="preserve"> </w:t>
            </w:r>
          </w:p>
        </w:tc>
        <w:tc>
          <w:tcPr>
            <w:tcW w:w="6889" w:type="dxa"/>
          </w:tcPr>
          <w:p w:rsidR="00916ADC" w:rsidRPr="0054609D" w:rsidDel="00196374" w:rsidRDefault="00916ADC" w:rsidP="00916ADC">
            <w:pPr>
              <w:pStyle w:val="BodyText"/>
              <w:rPr>
                <w:i/>
              </w:rPr>
            </w:pPr>
            <w:r w:rsidRPr="0054609D">
              <w:rPr>
                <w:i/>
                <w:rtl/>
              </w:rPr>
              <w:t>النتيجة المرتقبة ه2.3: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tc>
      </w:tr>
      <w:tr w:rsidR="00916ADC" w:rsidRPr="00916ADC" w:rsidTr="00916ADC">
        <w:trPr>
          <w:trHeight w:val="1440"/>
        </w:trPr>
        <w:tc>
          <w:tcPr>
            <w:tcW w:w="2376" w:type="dxa"/>
            <w:shd w:val="clear" w:color="auto" w:fill="auto"/>
          </w:tcPr>
          <w:p w:rsidR="00916ADC" w:rsidRPr="0054609D" w:rsidRDefault="00916ADC" w:rsidP="00916ADC">
            <w:pPr>
              <w:pStyle w:val="BodyText"/>
              <w:rPr>
                <w:b/>
              </w:rPr>
            </w:pPr>
            <w:r w:rsidRPr="0054609D">
              <w:rPr>
                <w:b/>
                <w:u w:val="single"/>
                <w:rtl/>
              </w:rPr>
              <w:t>لمحة عامة موجزة عن تنفيذ المشروع</w:t>
            </w:r>
            <w:r w:rsidRPr="0054609D">
              <w:rPr>
                <w:b/>
                <w:u w:val="single"/>
              </w:rPr>
              <w:t xml:space="preserve"> </w:t>
            </w:r>
          </w:p>
        </w:tc>
        <w:tc>
          <w:tcPr>
            <w:tcW w:w="6889" w:type="dxa"/>
          </w:tcPr>
          <w:p w:rsidR="00916ADC" w:rsidRPr="0054609D" w:rsidRDefault="00916ADC" w:rsidP="00916ADC">
            <w:pPr>
              <w:pStyle w:val="BodyText"/>
              <w:rPr>
                <w:i/>
              </w:rPr>
            </w:pPr>
            <w:r w:rsidRPr="0054609D">
              <w:rPr>
                <w:i/>
                <w:rtl/>
              </w:rPr>
              <w:t>بدأ تنفيذ المشروع في يناير 2018 باختيار البلدان الأربعة الرائدة، وهي شيلي وإندونيسيا ورواندا وجنوب أفريقيا</w:t>
            </w:r>
            <w:r w:rsidRPr="0054609D">
              <w:rPr>
                <w:i/>
              </w:rPr>
              <w:t xml:space="preserve">. </w:t>
            </w:r>
          </w:p>
          <w:p w:rsidR="00916ADC" w:rsidRPr="0054609D" w:rsidRDefault="00916ADC" w:rsidP="00916ADC">
            <w:pPr>
              <w:pStyle w:val="BodyText"/>
              <w:rPr>
                <w:i/>
              </w:rPr>
            </w:pPr>
            <w:r w:rsidRPr="0054609D">
              <w:rPr>
                <w:i/>
                <w:rtl/>
              </w:rPr>
              <w:t>وكان الهدف الرئيسي للمشروع هو الترويج لاستخدام الملكية الفكرية وجميع الحقوق المرتبطة بها على نحو فعال كأداة للتنمية الاجتماعية والاقتصادية في البلدان النامية والناشئة والأقل نموا، ولاسيما استخدام الملكية الفكرية الناشئة عن الاستثمارات العامة في البحث و/أو التطوير.</w:t>
            </w:r>
          </w:p>
          <w:p w:rsidR="00916ADC" w:rsidRPr="0054609D" w:rsidRDefault="00916ADC" w:rsidP="00916ADC">
            <w:pPr>
              <w:pStyle w:val="BodyText"/>
              <w:rPr>
                <w:i/>
              </w:rPr>
            </w:pPr>
            <w:r w:rsidRPr="0054609D">
              <w:rPr>
                <w:i/>
                <w:rtl/>
              </w:rPr>
              <w:t>وتمثلت أهدافه المحددة فيما يلي:</w:t>
            </w:r>
          </w:p>
          <w:p w:rsidR="00916ADC" w:rsidRPr="0054609D" w:rsidRDefault="00916ADC" w:rsidP="0054609D">
            <w:pPr>
              <w:pStyle w:val="BodyText"/>
              <w:numPr>
                <w:ilvl w:val="0"/>
                <w:numId w:val="9"/>
              </w:numPr>
              <w:ind w:left="720"/>
              <w:rPr>
                <w:i/>
              </w:rPr>
            </w:pPr>
            <w:r w:rsidRPr="0054609D">
              <w:rPr>
                <w:i/>
                <w:rtl/>
              </w:rPr>
              <w:t>وضع إطار لزيادة الفعالية في استهداف أنشطة تكوين الكفاءات في مجال نقل التكنولوجيا؛</w:t>
            </w:r>
          </w:p>
          <w:p w:rsidR="00916ADC" w:rsidRPr="0054609D" w:rsidRDefault="00916ADC" w:rsidP="0054609D">
            <w:pPr>
              <w:pStyle w:val="BodyText"/>
              <w:numPr>
                <w:ilvl w:val="0"/>
                <w:numId w:val="9"/>
              </w:numPr>
              <w:ind w:left="720"/>
              <w:rPr>
                <w:i/>
              </w:rPr>
            </w:pPr>
            <w:r w:rsidRPr="0054609D">
              <w:rPr>
                <w:i/>
                <w:rtl/>
              </w:rPr>
              <w:t>واستحداث الكفاءات اللازمة لإدارة الملكية الفكرية ونقل التكنولوجيا لدى الفاعلين الرئيسيين في فئات ممولي الملكية الفكرية ومطوريها ومديريها ومستخدميها.</w:t>
            </w:r>
          </w:p>
          <w:p w:rsidR="00916ADC" w:rsidRPr="0054609D" w:rsidRDefault="00916ADC" w:rsidP="0054609D">
            <w:pPr>
              <w:pStyle w:val="BodyText"/>
              <w:numPr>
                <w:ilvl w:val="0"/>
                <w:numId w:val="10"/>
              </w:numPr>
              <w:ind w:left="357" w:hanging="357"/>
              <w:rPr>
                <w:i/>
              </w:rPr>
            </w:pPr>
            <w:r w:rsidRPr="0054609D">
              <w:rPr>
                <w:i/>
                <w:rtl/>
              </w:rPr>
              <w:t>إعداد دليل ومجموعة أدوات</w:t>
            </w:r>
            <w:r w:rsidR="00CD789A" w:rsidRPr="0054609D">
              <w:rPr>
                <w:rFonts w:hint="cs"/>
                <w:i/>
                <w:rtl/>
              </w:rPr>
              <w:t>:</w:t>
            </w:r>
          </w:p>
          <w:p w:rsidR="00916ADC" w:rsidRPr="0054609D" w:rsidRDefault="00916ADC" w:rsidP="00CD789A">
            <w:pPr>
              <w:pStyle w:val="BodyText"/>
              <w:rPr>
                <w:i/>
              </w:rPr>
            </w:pPr>
            <w:r w:rsidRPr="0054609D">
              <w:rPr>
                <w:i/>
                <w:rtl/>
              </w:rPr>
              <w:t>استكمل خبير تقييم الاحتياجات التدريبية في الربع الثاني من عام 2018 وضع دليل ومجموعة أدوات لتقييم الاحتياجات التدريبية في المجالات المتصلة بنقل التكنولوجيا</w:t>
            </w:r>
            <w:r w:rsidR="00CD789A" w:rsidRPr="0054609D">
              <w:rPr>
                <w:rFonts w:hint="cs"/>
                <w:i/>
                <w:rtl/>
              </w:rPr>
              <w:t xml:space="preserve">. </w:t>
            </w:r>
            <w:r w:rsidRPr="0054609D">
              <w:rPr>
                <w:i/>
                <w:rtl/>
              </w:rPr>
              <w:t>وكذلك استكمل الخبراء القطريون خريطة مفصلة لسلاسل قيمة الابتكار، بما في ذلك الجهات المعنية (الممولين والمطورين والمديرين ومستخدمي الملكية الفكرية ومؤسسات الدعم المرتبطة بها مثل مراكز دعم التكنولوجيا والابتكار) والعلاقات فيما بينها، بالنسبة للبلدان الرائدة</w:t>
            </w:r>
            <w:r w:rsidRPr="0054609D">
              <w:rPr>
                <w:i/>
              </w:rPr>
              <w:t xml:space="preserve"> </w:t>
            </w:r>
            <w:r w:rsidRPr="0054609D">
              <w:rPr>
                <w:i/>
                <w:rtl/>
              </w:rPr>
              <w:t>في الربع الثاني من عام 2018</w:t>
            </w:r>
            <w:r w:rsidR="00CD789A" w:rsidRPr="0054609D">
              <w:rPr>
                <w:rFonts w:hint="cs"/>
                <w:i/>
                <w:rtl/>
              </w:rPr>
              <w:t>.</w:t>
            </w:r>
          </w:p>
          <w:p w:rsidR="00916ADC" w:rsidRPr="0054609D" w:rsidRDefault="00916ADC" w:rsidP="00CD789A">
            <w:pPr>
              <w:pStyle w:val="BodyText"/>
              <w:rPr>
                <w:i/>
              </w:rPr>
            </w:pPr>
            <w:r w:rsidRPr="0054609D">
              <w:rPr>
                <w:i/>
                <w:rtl/>
              </w:rPr>
              <w:t>وأجرى الخبراء القطريون أيضا تقييما للاحتياجات التدريبية في كل بلد رائد استنادا إلى الدليل ومجموعة الأدوات، واستكمل الخبراء القطريون في الربع الأخير من عام 2018 تقريرا عن نتائج تقييم الاحتياجات التدريبية في كل بلد رائد</w:t>
            </w:r>
            <w:r w:rsidR="00CD789A" w:rsidRPr="0054609D">
              <w:rPr>
                <w:rFonts w:hint="cs"/>
                <w:i/>
                <w:rtl/>
              </w:rPr>
              <w:t xml:space="preserve">. </w:t>
            </w:r>
            <w:r w:rsidRPr="0054609D">
              <w:rPr>
                <w:i/>
                <w:rtl/>
              </w:rPr>
              <w:t>وتقدم التقارير استعراضا لبيانات كل مؤسسة مستهدفة (تمثل مختلف عناصر سلسلة قيمة الابتكار في البلد الرائد) والاتجاهات عبر تلك المؤسسات المستهدفة لكل بلد رائد</w:t>
            </w:r>
            <w:r w:rsidR="00CD789A" w:rsidRPr="0054609D">
              <w:rPr>
                <w:rFonts w:hint="cs"/>
                <w:i/>
                <w:rtl/>
              </w:rPr>
              <w:t xml:space="preserve">. </w:t>
            </w:r>
            <w:r w:rsidRPr="0054609D">
              <w:rPr>
                <w:i/>
                <w:rtl/>
              </w:rPr>
              <w:t>وجُمعت تعليقات إضافية من الخبراء القطريين حول تجربتهم في استخدام الدليل ومجموعة الأدوات، واستخدمت كأساس لتنقيح هذين الصكين الذين استكملا في الربع الأخير من عام 2018</w:t>
            </w:r>
            <w:r w:rsidRPr="0054609D">
              <w:rPr>
                <w:i/>
              </w:rPr>
              <w:t>.</w:t>
            </w:r>
          </w:p>
          <w:p w:rsidR="00916ADC" w:rsidRPr="0054609D" w:rsidRDefault="00916ADC" w:rsidP="00CD789A">
            <w:pPr>
              <w:pStyle w:val="BodyText"/>
              <w:rPr>
                <w:i/>
              </w:rPr>
            </w:pPr>
            <w:r w:rsidRPr="0054609D">
              <w:rPr>
                <w:i/>
                <w:rtl/>
              </w:rPr>
              <w:t>ووضع الخبراء القطريون خططا تدريبية لكل بلد رائد استنادا إلى تقارير تقييم الاحتياجات التدريبية في الربع الأول من عام 2019</w:t>
            </w:r>
            <w:r w:rsidR="00CD789A" w:rsidRPr="0054609D">
              <w:rPr>
                <w:rFonts w:hint="cs"/>
                <w:i/>
                <w:rtl/>
              </w:rPr>
              <w:t xml:space="preserve">. </w:t>
            </w:r>
            <w:r w:rsidRPr="0054609D">
              <w:rPr>
                <w:i/>
                <w:rtl/>
              </w:rPr>
              <w:t>وحددت الخطط نوع وموضوع الأنشطة التدريبية التي تستهدف عناصر محددة من سلسلة قيمة الابتكار، وتختلف الخطط باختلاف البلدان الرائدة وفقا لاحتياجاتها الخاصة الوطنية والمؤسسية والفردية</w:t>
            </w:r>
            <w:r w:rsidR="00CD789A" w:rsidRPr="0054609D">
              <w:rPr>
                <w:rFonts w:hint="cs"/>
                <w:i/>
                <w:rtl/>
              </w:rPr>
              <w:t xml:space="preserve">. </w:t>
            </w:r>
            <w:r w:rsidRPr="0054609D">
              <w:rPr>
                <w:i/>
                <w:rtl/>
              </w:rPr>
              <w:t>وعقدت مشاورات مع جهات الاتصال الوطنية (مكاتب الملكية الفكرية أو الوزارات المعنية بمسائل الملكية الفكرية) خلال الربع الثاني من عام 2019 للحصول على تعليقات ووضع الصيغة النهائية للخطط التدريبية</w:t>
            </w:r>
            <w:r w:rsidRPr="0054609D">
              <w:rPr>
                <w:i/>
              </w:rPr>
              <w:t>.</w:t>
            </w:r>
          </w:p>
          <w:p w:rsidR="00916ADC" w:rsidRPr="0054609D" w:rsidRDefault="00916ADC" w:rsidP="00916ADC">
            <w:pPr>
              <w:pStyle w:val="BodyText"/>
              <w:rPr>
                <w:i/>
              </w:rPr>
            </w:pPr>
            <w:r w:rsidRPr="0054609D">
              <w:rPr>
                <w:i/>
                <w:rtl/>
              </w:rPr>
              <w:t xml:space="preserve">وعقدت </w:t>
            </w:r>
            <w:r w:rsidRPr="0054609D">
              <w:rPr>
                <w:rFonts w:hint="cs"/>
                <w:i/>
                <w:rtl/>
              </w:rPr>
              <w:t>ندو</w:t>
            </w:r>
            <w:r w:rsidRPr="0054609D">
              <w:rPr>
                <w:i/>
                <w:rtl/>
              </w:rPr>
              <w:t>ات تدريبية على أساس خطط التدريب لفائدة إندونيسيا في جاكرتا في ديسمبر 2019 وإلكترونيا في أكتوبر 2020، ولفائدة رواندا في كيغالي في يناير 2020 وإلكترونيا في أغسطس 2020، ولفائدة جنوب أفريقيا في بريتوريا في أكتوبر 2019 وفبراير 2020</w:t>
            </w:r>
            <w:r w:rsidR="00CD789A" w:rsidRPr="0054609D">
              <w:rPr>
                <w:rFonts w:hint="cs"/>
                <w:i/>
                <w:rtl/>
              </w:rPr>
              <w:t xml:space="preserve">. </w:t>
            </w:r>
            <w:r w:rsidRPr="0054609D">
              <w:rPr>
                <w:i/>
                <w:rtl/>
              </w:rPr>
              <w:t>وشملت الحلقات التدريبية مشاركين يمثلون مختلف الجهات الفاعلة على طول سلسلة قيمة الابتكار، مثل ممولي البحوث ومطوري الملكية الفكرية ومديريها ومستخدميها</w:t>
            </w:r>
            <w:r w:rsidRPr="0054609D">
              <w:rPr>
                <w:i/>
              </w:rPr>
              <w:t>.</w:t>
            </w:r>
          </w:p>
          <w:p w:rsidR="00916ADC" w:rsidRPr="0054609D" w:rsidRDefault="00916ADC" w:rsidP="00916ADC">
            <w:pPr>
              <w:pStyle w:val="BodyText"/>
              <w:rPr>
                <w:i/>
              </w:rPr>
            </w:pPr>
            <w:r w:rsidRPr="0054609D">
              <w:rPr>
                <w:i/>
                <w:rtl/>
              </w:rPr>
              <w:t>وجمعت البيانات من المشاركين في الندوات التدريبية ومن مؤسساتهم بغية تحديد الفعالية النسبية لأنشطة تكوين الكفاءات المستهدفة في مجال نقل التكنولوجيا فيما يتعلق برد الفعل والتعلم والسلوك والنتائج.</w:t>
            </w:r>
          </w:p>
          <w:p w:rsidR="00CD789A" w:rsidRPr="0054609D" w:rsidRDefault="00916ADC" w:rsidP="00CD789A">
            <w:pPr>
              <w:pStyle w:val="BodyText"/>
              <w:rPr>
                <w:i/>
                <w:rtl/>
              </w:rPr>
            </w:pPr>
            <w:r w:rsidRPr="0054609D">
              <w:rPr>
                <w:i/>
                <w:rtl/>
              </w:rPr>
              <w:t>وأجري تقييم ثان لاحتياجات التدريب ونقحت خطة التدريب لفائدة شيلي بسبب التغييرات الكبيرة في سلسلة قيمة الابتكار في البلد التي أشار إليها المنسق الوطني للمشروع</w:t>
            </w:r>
            <w:r w:rsidR="00CD789A" w:rsidRPr="0054609D">
              <w:rPr>
                <w:rFonts w:hint="cs"/>
                <w:i/>
                <w:rtl/>
              </w:rPr>
              <w:t xml:space="preserve">. </w:t>
            </w:r>
            <w:r w:rsidRPr="0054609D">
              <w:rPr>
                <w:i/>
                <w:rtl/>
              </w:rPr>
              <w:t>واستعرض تقييم الاحتياجات التدريبية الثاني، على وجه الخصوص، خارطة الطريق القطرية وأثر التغيرات على احتياجات التدريب لمختلف الجهات الفاعلة على طول سلسلة قيمة الابتكار</w:t>
            </w:r>
            <w:r w:rsidR="00CD789A" w:rsidRPr="0054609D">
              <w:rPr>
                <w:rFonts w:hint="cs"/>
                <w:i/>
                <w:rtl/>
              </w:rPr>
              <w:t>.</w:t>
            </w:r>
          </w:p>
          <w:p w:rsidR="00916ADC" w:rsidRPr="0054609D" w:rsidRDefault="00916ADC" w:rsidP="00CD789A">
            <w:pPr>
              <w:pStyle w:val="BodyText"/>
              <w:rPr>
                <w:i/>
              </w:rPr>
            </w:pPr>
            <w:r w:rsidRPr="0054609D">
              <w:rPr>
                <w:i/>
                <w:rtl/>
              </w:rPr>
              <w:t>واستخدمت خطة التدريب المنقحة كأساس لإطلاق عملية تصديق جديدة لنقل التكنولوجيا على الصعيد الوطني لفائدة شيلي بناء على طلب جهة التنسيق الوطنية للمشروع</w:t>
            </w:r>
            <w:r w:rsidR="00CD789A" w:rsidRPr="0054609D">
              <w:rPr>
                <w:rFonts w:hint="cs"/>
                <w:i/>
                <w:rtl/>
              </w:rPr>
              <w:t xml:space="preserve">. </w:t>
            </w:r>
            <w:r w:rsidRPr="0054609D">
              <w:rPr>
                <w:i/>
                <w:rtl/>
              </w:rPr>
              <w:t>وعقد اجتماع تشاوري في يونيو 2020 للشروع في تطوير هذه العملية التي عرضت فيها خطة التدريب المنقحة على أصحاب المصلحة والتجارب والممارسات الجيدة التي حددها أحد الخبراء الدوليين المتخصصين في الموضوع</w:t>
            </w:r>
            <w:r w:rsidRPr="0054609D">
              <w:rPr>
                <w:i/>
              </w:rPr>
              <w:t>.</w:t>
            </w:r>
          </w:p>
          <w:p w:rsidR="00916ADC" w:rsidRPr="0054609D" w:rsidRDefault="00916ADC" w:rsidP="00916ADC">
            <w:pPr>
              <w:pStyle w:val="BodyText"/>
              <w:rPr>
                <w:i/>
              </w:rPr>
            </w:pPr>
            <w:r w:rsidRPr="0054609D">
              <w:rPr>
                <w:i/>
                <w:rtl/>
              </w:rPr>
              <w:t>وأجري تنقيح نهائي للدليل ومجموعة الأدوات لتقييم الاحتياجات التدريبية في المجالات المتعلقة بنقل التكنولوجيا بناء على البيانات التي جمعت من المشاركين في الندوات التدريبية والخبرات المكتسبة من تقييم الاحتياجات التدريبية الثاني وتنقيح خطة التدريب في شيلي، واستكمل التنقيح في ديسمبر 2020.</w:t>
            </w:r>
          </w:p>
        </w:tc>
      </w:tr>
      <w:tr w:rsidR="00916ADC" w:rsidRPr="00916ADC" w:rsidTr="00916ADC">
        <w:trPr>
          <w:trHeight w:val="746"/>
        </w:trPr>
        <w:tc>
          <w:tcPr>
            <w:tcW w:w="2376" w:type="dxa"/>
            <w:shd w:val="clear" w:color="auto" w:fill="auto"/>
          </w:tcPr>
          <w:p w:rsidR="00916ADC" w:rsidRPr="0054609D" w:rsidRDefault="00916ADC" w:rsidP="00811354">
            <w:pPr>
              <w:pStyle w:val="BodyText"/>
              <w:keepNext/>
              <w:rPr>
                <w:b/>
                <w:u w:val="single"/>
              </w:rPr>
            </w:pPr>
            <w:r w:rsidRPr="0054609D">
              <w:rPr>
                <w:b/>
                <w:u w:val="single"/>
                <w:rtl/>
              </w:rPr>
              <w:t>نتائج</w:t>
            </w:r>
            <w:r w:rsidR="00CD789A" w:rsidRPr="0054609D">
              <w:rPr>
                <w:b/>
                <w:u w:val="single"/>
                <w:rtl/>
              </w:rPr>
              <w:t>/</w:t>
            </w:r>
            <w:r w:rsidRPr="0054609D">
              <w:rPr>
                <w:b/>
                <w:u w:val="single"/>
                <w:rtl/>
              </w:rPr>
              <w:t>أثر المشروع والدروس الرئيسية</w:t>
            </w:r>
          </w:p>
        </w:tc>
        <w:tc>
          <w:tcPr>
            <w:tcW w:w="6889" w:type="dxa"/>
            <w:vAlign w:val="center"/>
          </w:tcPr>
          <w:p w:rsidR="00916ADC" w:rsidRPr="0054609D" w:rsidRDefault="00916ADC" w:rsidP="00811354">
            <w:pPr>
              <w:pStyle w:val="BodyText"/>
              <w:keepNext/>
              <w:rPr>
                <w:i/>
                <w:u w:val="single"/>
              </w:rPr>
            </w:pPr>
            <w:r w:rsidRPr="0054609D">
              <w:rPr>
                <w:i/>
                <w:u w:val="single"/>
                <w:rtl/>
              </w:rPr>
              <w:t>أمثلة على النجاح/الأثر:</w:t>
            </w:r>
          </w:p>
          <w:p w:rsidR="00916ADC" w:rsidRPr="0054609D" w:rsidRDefault="00916ADC" w:rsidP="00811354">
            <w:pPr>
              <w:pStyle w:val="BodyText"/>
              <w:keepNext/>
              <w:rPr>
                <w:i/>
              </w:rPr>
            </w:pPr>
            <w:r w:rsidRPr="0054609D">
              <w:rPr>
                <w:i/>
                <w:rtl/>
              </w:rPr>
              <w:t>جرى وضع نهج وأدوات جديدة لتقييم الاحتياجات التدريبية في المجالات المتعلقة بنقل التكنولوجيا، ودمج المنظور الفردي والمؤسسي وكذلك المنظورات الوطنية في تقييم الاحتياجات التدريبية</w:t>
            </w:r>
            <w:r w:rsidRPr="0054609D">
              <w:rPr>
                <w:i/>
              </w:rPr>
              <w:t xml:space="preserve">. </w:t>
            </w:r>
            <w:r w:rsidRPr="0054609D">
              <w:rPr>
                <w:i/>
                <w:rtl/>
              </w:rPr>
              <w:t>وبذلك مكنت أنشطة أكثر استهدافا من أجل تكوين الكفاءات في هذه المجالات</w:t>
            </w:r>
            <w:r w:rsidR="00CD789A" w:rsidRPr="0054609D">
              <w:rPr>
                <w:rFonts w:hint="cs"/>
                <w:i/>
                <w:rtl/>
              </w:rPr>
              <w:t xml:space="preserve">. </w:t>
            </w:r>
            <w:r w:rsidRPr="0054609D">
              <w:rPr>
                <w:i/>
                <w:rtl/>
              </w:rPr>
              <w:t>ويجري تكييف هذا النهج وهذه الأدوات كي يستخدما في مجموعة واسعة من البلدان، مع مراعاة وضع البلدان النامية والبلدان الأقل نموا واحتياجاتها، على وجه الخصوص</w:t>
            </w:r>
            <w:r w:rsidRPr="0054609D">
              <w:rPr>
                <w:i/>
              </w:rPr>
              <w:t>.</w:t>
            </w:r>
          </w:p>
          <w:p w:rsidR="00916ADC" w:rsidRPr="0054609D" w:rsidRDefault="00916ADC" w:rsidP="00811354">
            <w:pPr>
              <w:pStyle w:val="BodyText"/>
              <w:keepNext/>
              <w:rPr>
                <w:i/>
              </w:rPr>
            </w:pPr>
            <w:r w:rsidRPr="0054609D">
              <w:rPr>
                <w:i/>
                <w:rtl/>
              </w:rPr>
              <w:t>وبنيت كفاءات في مجال إدارة الملكية الفكرية ونقل التكنولوجيا في صفوف ممولي الملكية الفكرية ومطوريها ومديريها ومستخدميها في البلدان الأربعة المشاركة</w:t>
            </w:r>
            <w:r w:rsidR="00CD789A" w:rsidRPr="0054609D">
              <w:rPr>
                <w:rFonts w:hint="cs"/>
                <w:i/>
                <w:rtl/>
              </w:rPr>
              <w:t xml:space="preserve">. </w:t>
            </w:r>
            <w:r w:rsidRPr="0054609D">
              <w:rPr>
                <w:i/>
                <w:rtl/>
              </w:rPr>
              <w:t>وأشارت البيانات الواردة من المشاركين في الندوات التدريبية المنظمة في إطار المشروع ومؤسسات المشاركين إلى الفعالية العالية للنهج الجديد لتقييم احتياجات التدريب والأثر الإيجابي الكبير للندوات التدريبية على العمل اليومي للمشاركين ومساهمتهم في مؤسساتهم كأطراف</w:t>
            </w:r>
            <w:r w:rsidRPr="0054609D">
              <w:rPr>
                <w:i/>
              </w:rPr>
              <w:t xml:space="preserve"> </w:t>
            </w:r>
            <w:r w:rsidRPr="0054609D">
              <w:rPr>
                <w:i/>
                <w:rtl/>
              </w:rPr>
              <w:t>فاعلة في سلسلة قيمة الابتكار</w:t>
            </w:r>
            <w:r w:rsidRPr="0054609D">
              <w:rPr>
                <w:i/>
              </w:rPr>
              <w:t>.</w:t>
            </w:r>
          </w:p>
          <w:p w:rsidR="00916ADC" w:rsidRPr="0054609D" w:rsidRDefault="00916ADC" w:rsidP="00811354">
            <w:pPr>
              <w:pStyle w:val="BodyText"/>
              <w:keepNext/>
              <w:rPr>
                <w:i/>
              </w:rPr>
            </w:pPr>
            <w:r w:rsidRPr="0054609D">
              <w:rPr>
                <w:i/>
                <w:rtl/>
              </w:rPr>
              <w:t>وإضافة إلى ذلك، عززت شبكات العلاقات بين ممولي الملكية الفكرية ومطوريها ومديريها ومستخدميها من خلال الأنشطة المشتركة، مما عظّم أثر الكفاءات التي بنيت بين هذه الجهات الفاعلة في سلسلة قيمة الابتكار.</w:t>
            </w:r>
          </w:p>
          <w:p w:rsidR="00916ADC" w:rsidRPr="0054609D" w:rsidRDefault="00916ADC" w:rsidP="00811354">
            <w:pPr>
              <w:pStyle w:val="BodyText"/>
              <w:keepNext/>
              <w:rPr>
                <w:i/>
              </w:rPr>
            </w:pPr>
            <w:r w:rsidRPr="0054609D">
              <w:rPr>
                <w:i/>
                <w:rtl/>
              </w:rPr>
              <w:t>ووضعت نُهجٌ وممارسات جديدة لتنفيذ أنشطة التدريب عبر الإنترنت، ومنها أنساق الدورات الموسعة إضافة إلى الندوات الإلكترونية القصيرة، بغية الاستجابة للقيود المفروضة على أنشطة التدريب الشخصي، وزاد ذلك من مرونة الويبو في توفير التدريب وفعالية أنشطتها التدريبية عبر الإنترنت.</w:t>
            </w:r>
          </w:p>
          <w:p w:rsidR="00916ADC" w:rsidRPr="0054609D" w:rsidRDefault="00916ADC" w:rsidP="00811354">
            <w:pPr>
              <w:pStyle w:val="BodyText"/>
              <w:keepNext/>
              <w:rPr>
                <w:i/>
              </w:rPr>
            </w:pPr>
            <w:r w:rsidRPr="0054609D">
              <w:rPr>
                <w:i/>
                <w:rtl/>
              </w:rPr>
              <w:t>وحُدّدت المشاركة الوثيقة لجهات الاتصال الوطنية للمشروع في كل خطوة من خطوات عملية تقييم الاحتياجات التدريبية، بما في ذلك تحديد سلاسل قيمة الابتكار وتقييم الاحتياجات التدريبية ووضع خطط التدريب، لتكون عاملاً هامًا في نجاح العملية، ولا سيما من أجل الحصول على بيانات شاملة ودقيقة وضمان ملكية النتائج من قبل أصحاب المصلحة.</w:t>
            </w:r>
          </w:p>
          <w:p w:rsidR="00916ADC" w:rsidRPr="0054609D" w:rsidRDefault="00916ADC" w:rsidP="00811354">
            <w:pPr>
              <w:pStyle w:val="BodyText"/>
              <w:keepNext/>
              <w:rPr>
                <w:i/>
              </w:rPr>
            </w:pPr>
            <w:r w:rsidRPr="0054609D">
              <w:rPr>
                <w:i/>
                <w:rtl/>
              </w:rPr>
              <w:t>والمراحل المتعددة لاختبار وصقل نهج وأدوات تقييم احتياجات التدريب، ومنها الحصول على تعقيبات من الخبراء القطريين والمنسقين الوطنيين للمشروع والمشاركين في الندوات التدريبية ومؤسساتهم، أثبتت فعاليتها في ضمان تكييف النهج والموارد لتلائم مجموعة أوسع من البلدان</w:t>
            </w:r>
            <w:r w:rsidRPr="0054609D">
              <w:rPr>
                <w:i/>
              </w:rPr>
              <w:t xml:space="preserve"> </w:t>
            </w:r>
            <w:r w:rsidRPr="0054609D">
              <w:rPr>
                <w:i/>
                <w:rtl/>
              </w:rPr>
              <w:t>والظروف</w:t>
            </w:r>
            <w:r w:rsidR="00CD789A" w:rsidRPr="0054609D">
              <w:rPr>
                <w:rFonts w:hint="cs"/>
                <w:i/>
                <w:rtl/>
              </w:rPr>
              <w:t xml:space="preserve">. </w:t>
            </w:r>
            <w:r w:rsidRPr="0054609D">
              <w:rPr>
                <w:i/>
                <w:rtl/>
              </w:rPr>
              <w:t>وشملت التحسينات المدخلة على النهج والموارد ما يلي: "1" إدراج رد رسمي من الحكومة على خطة تقييم الاحتياجات التدريبية وخطة التدريب في النهج، بما يضمن دقتها وملكيتها من قبل الحكومة؛ "2" وإرساء عملية أكثر مرونة لتقييم احتياجات التدريب مع عناصر مطلوبة وأخرى اختيارية، بما يسهل تكييف النهج والأدوات مع الموارد المتاحة؛ "3" وإدراج التعديلات في النهج والأدوات وتقليل الموارد اللازمة للاستجابة للتغيرات في سلسلة قيمة الابتكار إلى أدنى حد (كما حدث في شيلي، على سبيل المثال)</w:t>
            </w:r>
            <w:r w:rsidRPr="0054609D">
              <w:rPr>
                <w:i/>
              </w:rPr>
              <w:t>.</w:t>
            </w:r>
          </w:p>
        </w:tc>
      </w:tr>
      <w:tr w:rsidR="00916ADC" w:rsidRPr="00916ADC" w:rsidTr="00916ADC">
        <w:trPr>
          <w:trHeight w:val="713"/>
        </w:trPr>
        <w:tc>
          <w:tcPr>
            <w:tcW w:w="2376" w:type="dxa"/>
            <w:shd w:val="clear" w:color="auto" w:fill="auto"/>
          </w:tcPr>
          <w:p w:rsidR="00916ADC" w:rsidRPr="0054609D" w:rsidRDefault="00916ADC" w:rsidP="00916ADC">
            <w:pPr>
              <w:pStyle w:val="BodyText"/>
              <w:rPr>
                <w:b/>
                <w:u w:val="single"/>
              </w:rPr>
            </w:pPr>
            <w:r w:rsidRPr="0054609D">
              <w:rPr>
                <w:b/>
                <w:u w:val="single"/>
                <w:rtl/>
              </w:rPr>
              <w:t>المخاطر والتخفيف من آثارها</w:t>
            </w:r>
          </w:p>
        </w:tc>
        <w:tc>
          <w:tcPr>
            <w:tcW w:w="6889" w:type="dxa"/>
          </w:tcPr>
          <w:p w:rsidR="00916ADC" w:rsidRPr="0054609D" w:rsidRDefault="00916ADC" w:rsidP="00CD789A">
            <w:pPr>
              <w:pStyle w:val="BodyText"/>
              <w:rPr>
                <w:i/>
              </w:rPr>
            </w:pPr>
            <w:r w:rsidRPr="0054609D">
              <w:rPr>
                <w:i/>
                <w:rtl/>
              </w:rPr>
              <w:t>كما هو مبين في وثيقة المشروع</w:t>
            </w:r>
            <w:r w:rsidRPr="0054609D">
              <w:rPr>
                <w:i/>
              </w:rPr>
              <w:t>:</w:t>
            </w:r>
          </w:p>
          <w:p w:rsidR="00916ADC" w:rsidRPr="0054609D" w:rsidRDefault="00916ADC" w:rsidP="00916ADC">
            <w:pPr>
              <w:pStyle w:val="BodyText"/>
              <w:rPr>
                <w:i/>
              </w:rPr>
            </w:pPr>
            <w:r w:rsidRPr="0054609D">
              <w:rPr>
                <w:i/>
                <w:rtl/>
              </w:rPr>
              <w:t>الخطر: دوران الموارد البشرية بين المستفيدين من أنشطة التدريب.</w:t>
            </w:r>
          </w:p>
          <w:p w:rsidR="00916ADC" w:rsidRPr="0054609D" w:rsidRDefault="00916ADC" w:rsidP="00916ADC">
            <w:pPr>
              <w:pStyle w:val="BodyText"/>
              <w:rPr>
                <w:i/>
              </w:rPr>
            </w:pPr>
            <w:r w:rsidRPr="0054609D">
              <w:rPr>
                <w:i/>
                <w:rtl/>
              </w:rPr>
              <w:t>استراتيجية التخفيف من الخطر: التركيز على تدريب المدربين ومؤسسات الدعم مثل مراكز دعم التكنولوجيا والابتكار لتمكين الدعم المحلي والتقليل إلى الحد الأدنى أثر دوران الموظفين.</w:t>
            </w:r>
          </w:p>
          <w:p w:rsidR="00916ADC" w:rsidRPr="0054609D" w:rsidRDefault="00916ADC" w:rsidP="00916ADC">
            <w:pPr>
              <w:pStyle w:val="BodyText"/>
              <w:rPr>
                <w:i/>
              </w:rPr>
            </w:pPr>
            <w:r w:rsidRPr="0054609D">
              <w:rPr>
                <w:i/>
                <w:rtl/>
              </w:rPr>
              <w:t>الخطر: عدم القدرة على تنفيذ أنشطة التدريب الشخصي.</w:t>
            </w:r>
          </w:p>
          <w:p w:rsidR="00916ADC" w:rsidRPr="0054609D" w:rsidRDefault="00916ADC" w:rsidP="00916ADC">
            <w:pPr>
              <w:pStyle w:val="BodyText"/>
              <w:rPr>
                <w:i/>
              </w:rPr>
            </w:pPr>
            <w:r w:rsidRPr="0054609D">
              <w:rPr>
                <w:i/>
                <w:rtl/>
              </w:rPr>
              <w:t>استراتيجية التخفيف من الخطر: تنفيذ أنشطة التدريب عبر الإنترنت.</w:t>
            </w:r>
          </w:p>
        </w:tc>
      </w:tr>
      <w:tr w:rsidR="00916ADC" w:rsidRPr="00916ADC" w:rsidTr="00916ADC">
        <w:trPr>
          <w:trHeight w:val="848"/>
        </w:trPr>
        <w:tc>
          <w:tcPr>
            <w:tcW w:w="2376" w:type="dxa"/>
            <w:shd w:val="clear" w:color="auto" w:fill="auto"/>
          </w:tcPr>
          <w:p w:rsidR="00916ADC" w:rsidRPr="0054609D" w:rsidRDefault="00916ADC" w:rsidP="00811354">
            <w:pPr>
              <w:pStyle w:val="BodyText"/>
              <w:keepNext/>
              <w:rPr>
                <w:b/>
                <w:u w:val="single"/>
              </w:rPr>
            </w:pPr>
            <w:r w:rsidRPr="0054609D">
              <w:rPr>
                <w:b/>
                <w:u w:val="single"/>
                <w:rtl/>
              </w:rPr>
              <w:t>معدل تنفيذ المشروع</w:t>
            </w:r>
            <w:r w:rsidRPr="0054609D">
              <w:rPr>
                <w:b/>
                <w:u w:val="single"/>
              </w:rPr>
              <w:t xml:space="preserve"> </w:t>
            </w:r>
          </w:p>
        </w:tc>
        <w:tc>
          <w:tcPr>
            <w:tcW w:w="6889" w:type="dxa"/>
          </w:tcPr>
          <w:p w:rsidR="00916ADC" w:rsidRPr="0054609D" w:rsidRDefault="00916ADC" w:rsidP="00811354">
            <w:pPr>
              <w:pStyle w:val="BodyText"/>
              <w:keepNext/>
              <w:rPr>
                <w:i/>
              </w:rPr>
            </w:pPr>
            <w:r w:rsidRPr="0054609D">
              <w:rPr>
                <w:i/>
                <w:rtl/>
              </w:rPr>
              <w:t>معدل استخدام الميزانية في نهاية ديسمبر 2020 هو: 98%</w:t>
            </w:r>
          </w:p>
        </w:tc>
      </w:tr>
      <w:tr w:rsidR="00916ADC" w:rsidRPr="00916ADC" w:rsidTr="00916ADC">
        <w:trPr>
          <w:trHeight w:val="848"/>
        </w:trPr>
        <w:tc>
          <w:tcPr>
            <w:tcW w:w="2376" w:type="dxa"/>
            <w:shd w:val="clear" w:color="auto" w:fill="auto"/>
          </w:tcPr>
          <w:p w:rsidR="00916ADC" w:rsidRPr="0054609D" w:rsidRDefault="00916ADC" w:rsidP="00916ADC">
            <w:pPr>
              <w:pStyle w:val="BodyText"/>
              <w:rPr>
                <w:b/>
                <w:u w:val="single"/>
              </w:rPr>
            </w:pPr>
            <w:r w:rsidRPr="0054609D">
              <w:rPr>
                <w:b/>
                <w:u w:val="single"/>
                <w:rtl/>
              </w:rPr>
              <w:t>التقارير/ الوثائق السابقة</w:t>
            </w:r>
          </w:p>
        </w:tc>
        <w:tc>
          <w:tcPr>
            <w:tcW w:w="6889" w:type="dxa"/>
          </w:tcPr>
          <w:p w:rsidR="00916ADC" w:rsidRPr="0054609D" w:rsidRDefault="00916ADC" w:rsidP="00916ADC">
            <w:pPr>
              <w:pStyle w:val="BodyText"/>
              <w:rPr>
                <w:i/>
              </w:rPr>
            </w:pPr>
            <w:r w:rsidRPr="0054609D">
              <w:rPr>
                <w:i/>
                <w:rtl/>
              </w:rPr>
              <w:t>هذا هو التقرير الثالث المقدم إلى لجنة لتنمية. وترد التقارير المرحلية في الوثائق</w:t>
            </w:r>
            <w:r w:rsidRPr="0054609D">
              <w:rPr>
                <w:iCs/>
                <w:rtl/>
              </w:rPr>
              <w:t xml:space="preserve"> </w:t>
            </w:r>
            <w:r w:rsidRPr="0054609D">
              <w:rPr>
                <w:iCs/>
              </w:rPr>
              <w:t>CDIP/22/2</w:t>
            </w:r>
            <w:r w:rsidRPr="0054609D">
              <w:rPr>
                <w:i/>
                <w:rtl/>
              </w:rPr>
              <w:t>، المرفق الأول، و</w:t>
            </w:r>
            <w:r w:rsidRPr="0054609D">
              <w:rPr>
                <w:iCs/>
              </w:rPr>
              <w:t>CDIP/24/2</w:t>
            </w:r>
            <w:r w:rsidRPr="0054609D">
              <w:rPr>
                <w:i/>
                <w:rtl/>
              </w:rPr>
              <w:t>، المرفق الأول.</w:t>
            </w:r>
          </w:p>
        </w:tc>
      </w:tr>
      <w:tr w:rsidR="00916ADC" w:rsidRPr="00916ADC" w:rsidTr="00916ADC">
        <w:trPr>
          <w:trHeight w:val="848"/>
        </w:trPr>
        <w:tc>
          <w:tcPr>
            <w:tcW w:w="2376" w:type="dxa"/>
            <w:shd w:val="clear" w:color="auto" w:fill="auto"/>
          </w:tcPr>
          <w:p w:rsidR="00916ADC" w:rsidRPr="0054609D" w:rsidRDefault="00916ADC" w:rsidP="00916ADC">
            <w:pPr>
              <w:pStyle w:val="BodyText"/>
              <w:rPr>
                <w:b/>
                <w:u w:val="single"/>
              </w:rPr>
            </w:pPr>
            <w:r w:rsidRPr="0054609D">
              <w:rPr>
                <w:b/>
                <w:u w:val="single"/>
                <w:rtl/>
              </w:rPr>
              <w:t>المتابعة</w:t>
            </w:r>
          </w:p>
        </w:tc>
        <w:tc>
          <w:tcPr>
            <w:tcW w:w="6889" w:type="dxa"/>
          </w:tcPr>
          <w:p w:rsidR="00916ADC" w:rsidRPr="0054609D" w:rsidRDefault="00916ADC" w:rsidP="00CD789A">
            <w:pPr>
              <w:pStyle w:val="BodyText"/>
              <w:rPr>
                <w:i/>
              </w:rPr>
            </w:pPr>
            <w:r w:rsidRPr="0054609D">
              <w:rPr>
                <w:i/>
                <w:rtl/>
              </w:rPr>
              <w:t>سيدمج النهج مع الأدوات الجديدة لتقييم الاحتياجات التدريبية ضمن المجالات المتعلقة بنقل التكنولوجيا في دورة تخطيط المشروع لأنشطة برنامج مراكز دعم التكنولوجيا والابتكار، مما يتيح تحسين استهداف أنشطة التدريب المخطط لها لإنشاء وتطوير شبكات مراكز دعم التكنولوجيا والابتكار</w:t>
            </w:r>
            <w:r w:rsidR="00CD789A" w:rsidRPr="0054609D">
              <w:rPr>
                <w:rFonts w:hint="cs"/>
                <w:i/>
                <w:rtl/>
              </w:rPr>
              <w:t xml:space="preserve">. </w:t>
            </w:r>
            <w:r w:rsidRPr="0054609D">
              <w:rPr>
                <w:i/>
                <w:rtl/>
              </w:rPr>
              <w:t>ويمكن للويبو أو البلدان المشاركة في أنشطة برامج مراكز دعم التكنولوجيا والابتكار أن تضطلع بتقييم الاحتياجات التدريبية استنادا إلى النهج والأدوات</w:t>
            </w:r>
            <w:r w:rsidRPr="0054609D">
              <w:rPr>
                <w:i/>
              </w:rPr>
              <w:t>.</w:t>
            </w:r>
          </w:p>
          <w:p w:rsidR="00916ADC" w:rsidRPr="0054609D" w:rsidRDefault="00916ADC" w:rsidP="00916ADC">
            <w:pPr>
              <w:pStyle w:val="BodyText"/>
              <w:rPr>
                <w:i/>
              </w:rPr>
            </w:pPr>
            <w:r w:rsidRPr="0054609D">
              <w:rPr>
                <w:i/>
                <w:rtl/>
              </w:rPr>
              <w:t>ومن المتوقع أن تتوافق الأنشطة التدريبية الأخرى في البلدان الرائدة في المجالات المتعلقة بنقل التكنولوجيا مع نتائج تقييم الاحتياجات التدريبية وخطط التدريب.</w:t>
            </w:r>
          </w:p>
        </w:tc>
      </w:tr>
    </w:tbl>
    <w:p w:rsidR="00916ADC" w:rsidRDefault="00916ADC" w:rsidP="00916ADC">
      <w:pPr>
        <w:pStyle w:val="BodyText"/>
        <w:rPr>
          <w:rtl/>
        </w:rPr>
      </w:pPr>
    </w:p>
    <w:p w:rsidR="00916ADC" w:rsidRDefault="00916ADC" w:rsidP="00916ADC">
      <w:pPr>
        <w:pStyle w:val="BodyText"/>
        <w:rPr>
          <w:rtl/>
        </w:rPr>
        <w:sectPr w:rsidR="00916ADC" w:rsidSect="00502A53">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pPr>
    </w:p>
    <w:tbl>
      <w:tblPr>
        <w:tblW w:w="0" w:type="auto"/>
        <w:tblLook w:val="01E0" w:firstRow="1" w:lastRow="1" w:firstColumn="1" w:lastColumn="1" w:noHBand="0" w:noVBand="0"/>
      </w:tblPr>
      <w:tblGrid>
        <w:gridCol w:w="9287"/>
      </w:tblGrid>
      <w:tr w:rsidR="00916ADC" w:rsidRPr="00ED4C94" w:rsidTr="00074997">
        <w:trPr>
          <w:trHeight w:val="494"/>
        </w:trPr>
        <w:tc>
          <w:tcPr>
            <w:tcW w:w="9287" w:type="dxa"/>
            <w:vAlign w:val="center"/>
          </w:tcPr>
          <w:p w:rsidR="00916ADC" w:rsidRPr="003A5CDD" w:rsidRDefault="00916ADC" w:rsidP="003A5CDD">
            <w:pPr>
              <w:pStyle w:val="Heading4"/>
              <w:rPr>
                <w:highlight w:val="yellow"/>
              </w:rPr>
            </w:pPr>
            <w:r w:rsidRPr="003A5CDD">
              <w:br w:type="page"/>
            </w:r>
            <w:r w:rsidRPr="003A5CDD">
              <w:rPr>
                <w:rtl/>
              </w:rPr>
              <w:t>التقييم الذاتي للمشروع</w:t>
            </w:r>
          </w:p>
        </w:tc>
      </w:tr>
    </w:tbl>
    <w:p w:rsidR="00916ADC" w:rsidRDefault="00916ADC" w:rsidP="00916ADC">
      <w:pPr>
        <w:pStyle w:val="BodyText"/>
        <w:rPr>
          <w:rtl/>
        </w:rPr>
      </w:pPr>
      <w:r w:rsidRPr="00916ADC">
        <w:rPr>
          <w:rtl/>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16ADC" w:rsidRPr="00916ADC" w:rsidTr="00916ADC">
        <w:trPr>
          <w:trHeight w:val="469"/>
        </w:trPr>
        <w:tc>
          <w:tcPr>
            <w:tcW w:w="1416" w:type="dxa"/>
            <w:shd w:val="clear" w:color="auto" w:fill="auto"/>
            <w:vAlign w:val="center"/>
          </w:tcPr>
          <w:p w:rsidR="00916ADC" w:rsidRPr="00916ADC" w:rsidRDefault="00916ADC" w:rsidP="00916ADC">
            <w:pPr>
              <w:pStyle w:val="BodyText"/>
            </w:pPr>
            <w:r w:rsidRPr="00916ADC">
              <w:t>****</w:t>
            </w:r>
          </w:p>
        </w:tc>
        <w:tc>
          <w:tcPr>
            <w:tcW w:w="1677" w:type="dxa"/>
            <w:shd w:val="clear" w:color="auto" w:fill="auto"/>
            <w:vAlign w:val="center"/>
          </w:tcPr>
          <w:p w:rsidR="00916ADC" w:rsidRPr="00916ADC" w:rsidRDefault="00916ADC" w:rsidP="00916ADC">
            <w:pPr>
              <w:pStyle w:val="BodyText"/>
            </w:pPr>
            <w:r w:rsidRPr="00916ADC">
              <w:t>***</w:t>
            </w:r>
          </w:p>
        </w:tc>
        <w:tc>
          <w:tcPr>
            <w:tcW w:w="1797" w:type="dxa"/>
            <w:shd w:val="clear" w:color="auto" w:fill="auto"/>
            <w:vAlign w:val="center"/>
          </w:tcPr>
          <w:p w:rsidR="00916ADC" w:rsidRPr="00916ADC" w:rsidRDefault="00916ADC" w:rsidP="00916ADC">
            <w:pPr>
              <w:pStyle w:val="BodyText"/>
            </w:pPr>
            <w:r w:rsidRPr="00916ADC">
              <w:t>**</w:t>
            </w:r>
          </w:p>
        </w:tc>
        <w:tc>
          <w:tcPr>
            <w:tcW w:w="1895" w:type="dxa"/>
            <w:shd w:val="clear" w:color="auto" w:fill="auto"/>
            <w:vAlign w:val="center"/>
          </w:tcPr>
          <w:p w:rsidR="00916ADC" w:rsidRPr="00916ADC" w:rsidRDefault="00916ADC" w:rsidP="00916ADC">
            <w:pPr>
              <w:pStyle w:val="BodyText"/>
            </w:pPr>
            <w:r w:rsidRPr="00916ADC">
              <w:rPr>
                <w:rtl/>
              </w:rPr>
              <w:t>لا تقدم</w:t>
            </w:r>
          </w:p>
        </w:tc>
        <w:tc>
          <w:tcPr>
            <w:tcW w:w="2563" w:type="dxa"/>
            <w:shd w:val="clear" w:color="auto" w:fill="auto"/>
            <w:vAlign w:val="center"/>
          </w:tcPr>
          <w:p w:rsidR="00916ADC" w:rsidRPr="00916ADC" w:rsidRDefault="00916ADC" w:rsidP="00916ADC">
            <w:pPr>
              <w:pStyle w:val="BodyText"/>
            </w:pPr>
            <w:r w:rsidRPr="00916ADC">
              <w:rPr>
                <w:rtl/>
              </w:rPr>
              <w:t>لا تقييم</w:t>
            </w:r>
          </w:p>
        </w:tc>
      </w:tr>
      <w:tr w:rsidR="00916ADC" w:rsidRPr="00916ADC" w:rsidTr="00916ADC">
        <w:tc>
          <w:tcPr>
            <w:tcW w:w="1416" w:type="dxa"/>
            <w:shd w:val="clear" w:color="auto" w:fill="auto"/>
          </w:tcPr>
          <w:p w:rsidR="00916ADC" w:rsidRPr="00916ADC" w:rsidRDefault="00916ADC" w:rsidP="00916ADC">
            <w:pPr>
              <w:pStyle w:val="BodyText"/>
            </w:pPr>
            <w:r w:rsidRPr="00916ADC">
              <w:rPr>
                <w:rtl/>
              </w:rPr>
              <w:t>مُحقَّق بالكامل</w:t>
            </w:r>
          </w:p>
        </w:tc>
        <w:tc>
          <w:tcPr>
            <w:tcW w:w="1677" w:type="dxa"/>
            <w:shd w:val="clear" w:color="auto" w:fill="auto"/>
          </w:tcPr>
          <w:p w:rsidR="00916ADC" w:rsidRPr="00916ADC" w:rsidRDefault="00916ADC" w:rsidP="00916ADC">
            <w:pPr>
              <w:pStyle w:val="BodyText"/>
            </w:pPr>
            <w:r w:rsidRPr="00916ADC">
              <w:rPr>
                <w:rtl/>
              </w:rPr>
              <w:t>تقدم قوي</w:t>
            </w:r>
          </w:p>
        </w:tc>
        <w:tc>
          <w:tcPr>
            <w:tcW w:w="1797" w:type="dxa"/>
            <w:shd w:val="clear" w:color="auto" w:fill="auto"/>
          </w:tcPr>
          <w:p w:rsidR="00916ADC" w:rsidRPr="00916ADC" w:rsidRDefault="00916ADC" w:rsidP="00916ADC">
            <w:pPr>
              <w:pStyle w:val="BodyText"/>
            </w:pPr>
            <w:r w:rsidRPr="00916ADC">
              <w:rPr>
                <w:rtl/>
              </w:rPr>
              <w:t>بعض التقدم</w:t>
            </w:r>
          </w:p>
        </w:tc>
        <w:tc>
          <w:tcPr>
            <w:tcW w:w="1895" w:type="dxa"/>
            <w:shd w:val="clear" w:color="auto" w:fill="auto"/>
          </w:tcPr>
          <w:p w:rsidR="00916ADC" w:rsidRPr="00916ADC" w:rsidRDefault="00916ADC" w:rsidP="00916ADC">
            <w:pPr>
              <w:pStyle w:val="BodyText"/>
            </w:pPr>
            <w:r w:rsidRPr="00916ADC">
              <w:rPr>
                <w:rtl/>
              </w:rPr>
              <w:t>لا يوجد تقدم</w:t>
            </w:r>
          </w:p>
        </w:tc>
        <w:tc>
          <w:tcPr>
            <w:tcW w:w="2563" w:type="dxa"/>
            <w:shd w:val="clear" w:color="auto" w:fill="auto"/>
          </w:tcPr>
          <w:p w:rsidR="00916ADC" w:rsidRPr="00916ADC" w:rsidRDefault="00916ADC" w:rsidP="00916ADC">
            <w:pPr>
              <w:pStyle w:val="BodyText"/>
            </w:pPr>
            <w:r w:rsidRPr="00916ADC">
              <w:rPr>
                <w:rtl/>
              </w:rPr>
              <w:t>لم يُقيّم بعد/ توقف</w:t>
            </w:r>
          </w:p>
        </w:tc>
      </w:tr>
    </w:tbl>
    <w:p w:rsidR="00916ADC" w:rsidRDefault="00916ADC" w:rsidP="00916ADC">
      <w:pPr>
        <w:pStyle w:val="BodyText"/>
        <w:rPr>
          <w:rtl/>
        </w:rPr>
      </w:pPr>
    </w:p>
    <w:tbl>
      <w:tblPr>
        <w:bidiVisual/>
        <w:tblW w:w="9381" w:type="dxa"/>
        <w:tblInd w:w="-34" w:type="dxa"/>
        <w:tblLayout w:type="fixed"/>
        <w:tblLook w:val="01E0" w:firstRow="1" w:lastRow="1" w:firstColumn="1" w:lastColumn="1" w:noHBand="0" w:noVBand="0"/>
      </w:tblPr>
      <w:tblGrid>
        <w:gridCol w:w="2410"/>
        <w:gridCol w:w="2694"/>
        <w:gridCol w:w="3402"/>
        <w:gridCol w:w="875"/>
      </w:tblGrid>
      <w:tr w:rsidR="00916ADC" w:rsidRPr="00916ADC" w:rsidTr="0054609D">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916ADC" w:rsidRPr="003A5CDD" w:rsidRDefault="00916ADC" w:rsidP="003A5CDD">
            <w:pPr>
              <w:pStyle w:val="BodyText"/>
            </w:pPr>
            <w:r w:rsidRPr="003A5CDD">
              <w:rPr>
                <w:u w:val="single"/>
                <w:rtl/>
              </w:rPr>
              <w:t>نتائج المشروع</w:t>
            </w:r>
            <w:r w:rsidRPr="003A5CDD">
              <w:rPr>
                <w:u w:val="single"/>
                <w:vertAlign w:val="superscript"/>
                <w:rtl/>
              </w:rPr>
              <w:footnoteReference w:id="2"/>
            </w:r>
            <w:r w:rsidR="003A5CDD">
              <w:rPr>
                <w:u w:val="single"/>
                <w:rtl/>
              </w:rPr>
              <w:br/>
            </w:r>
            <w:r w:rsidR="0054609D" w:rsidRPr="003A5CDD">
              <w:rPr>
                <w:rFonts w:hint="cs"/>
                <w:rtl/>
              </w:rPr>
              <w:t>(</w:t>
            </w:r>
            <w:r w:rsidRPr="003A5CDD">
              <w:rPr>
                <w:rtl/>
              </w:rPr>
              <w:t>النتيجة المرتقبة)</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916ADC" w:rsidRPr="003A5CDD" w:rsidRDefault="00916ADC" w:rsidP="003A5CDD">
            <w:pPr>
              <w:pStyle w:val="BodyText"/>
            </w:pPr>
            <w:r w:rsidRPr="003A5CDD">
              <w:rPr>
                <w:u w:val="single"/>
                <w:rtl/>
              </w:rPr>
              <w:t>مؤشرات الإنجاز الناجح</w:t>
            </w:r>
            <w:r w:rsidR="003A5CDD">
              <w:rPr>
                <w:u w:val="single"/>
                <w:rtl/>
              </w:rPr>
              <w:br/>
            </w:r>
            <w:r w:rsidRPr="003A5CDD">
              <w:rPr>
                <w:rtl/>
              </w:rPr>
              <w:t>(مؤشرات النتائج)</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916ADC" w:rsidRPr="003A5CDD" w:rsidRDefault="00916ADC" w:rsidP="0054609D">
            <w:pPr>
              <w:pStyle w:val="BodyText"/>
              <w:rPr>
                <w:b/>
                <w:u w:val="single"/>
              </w:rPr>
            </w:pPr>
            <w:r w:rsidRPr="003A5CDD">
              <w:rPr>
                <w:b/>
                <w:u w:val="single"/>
                <w:rtl/>
              </w:rPr>
              <w:t>بيانات الأداء</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916ADC" w:rsidRPr="003A5CDD" w:rsidRDefault="00916ADC" w:rsidP="0054609D">
            <w:pPr>
              <w:pStyle w:val="BodyText"/>
              <w:rPr>
                <w:b/>
                <w:u w:val="single"/>
              </w:rPr>
            </w:pPr>
            <w:r w:rsidRPr="003A5CDD">
              <w:rPr>
                <w:b/>
                <w:u w:val="single"/>
                <w:rtl/>
              </w:rPr>
              <w:t>نظام إشارات السير</w:t>
            </w:r>
          </w:p>
        </w:tc>
      </w:tr>
      <w:tr w:rsidR="00916ADC" w:rsidRPr="00916ADC" w:rsidTr="00916ADC">
        <w:trPr>
          <w:trHeight w:val="509"/>
        </w:trPr>
        <w:tc>
          <w:tcPr>
            <w:tcW w:w="2410" w:type="dxa"/>
            <w:tcBorders>
              <w:top w:val="single" w:sz="2" w:space="0" w:color="000000"/>
              <w:left w:val="single" w:sz="2" w:space="0" w:color="000000"/>
              <w:right w:val="single" w:sz="6" w:space="0" w:color="000000"/>
            </w:tcBorders>
            <w:shd w:val="clear" w:color="auto" w:fill="auto"/>
          </w:tcPr>
          <w:p w:rsidR="00916ADC" w:rsidRPr="00916ADC" w:rsidRDefault="00916ADC" w:rsidP="0054609D">
            <w:pPr>
              <w:pStyle w:val="BodyText"/>
            </w:pPr>
            <w:r w:rsidRPr="00916ADC">
              <w:rPr>
                <w:rtl/>
              </w:rPr>
              <w:t>1. توفير المنهجية ومجموعة الأدوات اللازمة لتقييم الاحتياجات التدريبية</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916ADC" w:rsidRPr="00916ADC" w:rsidRDefault="00916ADC" w:rsidP="00916ADC">
            <w:pPr>
              <w:pStyle w:val="BodyText"/>
            </w:pPr>
            <w:r w:rsidRPr="00916ADC">
              <w:rPr>
                <w:rtl/>
              </w:rPr>
              <w:t>تسليم أول مشروع نهائي للمنهجية ومجموعة الأدوات بحلول منتصف عام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916ADC" w:rsidRPr="00916ADC" w:rsidRDefault="00916ADC" w:rsidP="00916ADC">
            <w:pPr>
              <w:pStyle w:val="BodyText"/>
            </w:pPr>
            <w:r w:rsidRPr="00916ADC">
              <w:rPr>
                <w:rtl/>
              </w:rPr>
              <w:t>قدمت نسخة من مشروع الدليل ومجموعة الأدوات في يونيو 2018.</w:t>
            </w:r>
          </w:p>
          <w:p w:rsidR="00916ADC" w:rsidRPr="0054609D" w:rsidRDefault="00916ADC" w:rsidP="0054609D">
            <w:pPr>
              <w:pStyle w:val="BodyText"/>
            </w:pPr>
            <w:r w:rsidRPr="00916ADC">
              <w:rPr>
                <w:rtl/>
              </w:rPr>
              <w:t>وسلّمت النسخة النهائية من الدليل ومجموعة الأدوات في ديسمبر 2018.</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916ADC" w:rsidRPr="00916ADC" w:rsidRDefault="00916ADC" w:rsidP="00916ADC">
            <w:pPr>
              <w:pStyle w:val="BodyText"/>
            </w:pPr>
          </w:p>
          <w:p w:rsidR="00916ADC" w:rsidRPr="00916ADC" w:rsidRDefault="00916ADC" w:rsidP="00916ADC">
            <w:pPr>
              <w:pStyle w:val="BodyText"/>
            </w:pPr>
            <w:r w:rsidRPr="00916ADC">
              <w:t>****</w:t>
            </w:r>
          </w:p>
        </w:tc>
      </w:tr>
      <w:tr w:rsidR="00916ADC" w:rsidRPr="00916ADC" w:rsidTr="00916ADC">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916ADC" w:rsidRPr="00916ADC" w:rsidRDefault="00916ADC" w:rsidP="00916ADC">
            <w:pPr>
              <w:pStyle w:val="BodyText"/>
            </w:pPr>
            <w:r w:rsidRPr="00916ADC">
              <w:rPr>
                <w:rtl/>
              </w:rPr>
              <w:t>2. رسم خرائط سلاسل قيمة الابتكار في أربعة بلدان رائدة</w:t>
            </w:r>
          </w:p>
          <w:p w:rsidR="00916ADC" w:rsidRPr="00916ADC" w:rsidRDefault="00916ADC" w:rsidP="00916ADC">
            <w:pPr>
              <w:pStyle w:val="BodyText"/>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916ADC" w:rsidRPr="00916ADC" w:rsidRDefault="00916ADC" w:rsidP="00916ADC">
            <w:pPr>
              <w:pStyle w:val="BodyText"/>
            </w:pPr>
            <w:r w:rsidRPr="00916ADC">
              <w:rPr>
                <w:rtl/>
              </w:rPr>
              <w:t>تسليم الخرائط بحلول منتصف عام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916ADC" w:rsidRPr="00916ADC" w:rsidRDefault="00916ADC" w:rsidP="00916ADC">
            <w:pPr>
              <w:pStyle w:val="BodyText"/>
            </w:pPr>
            <w:r w:rsidRPr="00916ADC">
              <w:rPr>
                <w:rtl/>
              </w:rPr>
              <w:t>قدم تقرير المسح الخاص برواندا في يونيو 2018.</w:t>
            </w:r>
          </w:p>
          <w:p w:rsidR="00916ADC" w:rsidRPr="00916ADC" w:rsidRDefault="00916ADC" w:rsidP="00916ADC">
            <w:pPr>
              <w:pStyle w:val="BodyText"/>
            </w:pPr>
            <w:r w:rsidRPr="00916ADC">
              <w:rPr>
                <w:rtl/>
              </w:rPr>
              <w:t>وقدّم تقرير المسح الخاص بشيلي في يوليو 2018.</w:t>
            </w:r>
          </w:p>
          <w:p w:rsidR="00916ADC" w:rsidRPr="00916ADC" w:rsidRDefault="00916ADC" w:rsidP="00916ADC">
            <w:pPr>
              <w:pStyle w:val="BodyText"/>
            </w:pPr>
            <w:r w:rsidRPr="00916ADC">
              <w:rPr>
                <w:rtl/>
              </w:rPr>
              <w:t>وقدّم تقرير المسح الخاص بإندونيسيا في يونيو 2018.</w:t>
            </w:r>
          </w:p>
          <w:p w:rsidR="00916ADC" w:rsidRPr="0054609D" w:rsidRDefault="00916ADC" w:rsidP="0054609D">
            <w:pPr>
              <w:pStyle w:val="BodyText"/>
            </w:pPr>
            <w:r w:rsidRPr="00916ADC">
              <w:rPr>
                <w:rtl/>
              </w:rPr>
              <w:t>وقدّم تقرير المسح الخاص بجنوب أقريقيا في يوليو 2018.</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916ADC" w:rsidRPr="00916ADC" w:rsidRDefault="00916ADC" w:rsidP="00916ADC">
            <w:pPr>
              <w:pStyle w:val="BodyText"/>
            </w:pPr>
          </w:p>
          <w:p w:rsidR="00916ADC" w:rsidRPr="00916ADC" w:rsidRDefault="00916ADC" w:rsidP="00916ADC">
            <w:pPr>
              <w:pStyle w:val="BodyText"/>
            </w:pPr>
            <w:r w:rsidRPr="00916ADC">
              <w:t>****</w:t>
            </w:r>
          </w:p>
        </w:tc>
      </w:tr>
      <w:tr w:rsidR="00916ADC" w:rsidRPr="00916ADC" w:rsidTr="00916ADC">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916ADC" w:rsidRPr="00916ADC" w:rsidRDefault="00916ADC" w:rsidP="0054609D">
            <w:pPr>
              <w:pStyle w:val="BodyText"/>
            </w:pPr>
            <w:r w:rsidRPr="00916ADC">
              <w:rPr>
                <w:rtl/>
              </w:rPr>
              <w:t>3. وضع خطة تدريبية وفقا لنتائج تقييم الاحتياجات التدريبية</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916ADC" w:rsidRPr="00916ADC" w:rsidRDefault="00916ADC" w:rsidP="00916ADC">
            <w:pPr>
              <w:pStyle w:val="BodyText"/>
            </w:pPr>
            <w:r w:rsidRPr="00916ADC">
              <w:rPr>
                <w:rtl/>
              </w:rPr>
              <w:t>تسليم الخطة التدريبية بحلول نهاية عام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916ADC" w:rsidRPr="00916ADC" w:rsidRDefault="00916ADC" w:rsidP="0054609D">
            <w:pPr>
              <w:pStyle w:val="BodyText"/>
            </w:pPr>
            <w:r w:rsidRPr="00916ADC">
              <w:rPr>
                <w:rtl/>
              </w:rPr>
              <w:t>قدمت تقارير تقييم الاحتياجات التدريبية في ديسمبر 2018</w:t>
            </w:r>
            <w:r w:rsidRPr="00916ADC">
              <w:t xml:space="preserve">. </w:t>
            </w:r>
            <w:r w:rsidRPr="00916ADC">
              <w:rPr>
                <w:rtl/>
              </w:rPr>
              <w:t>كما سُلمت الخطط التدريبية في منتصف عام 2019</w:t>
            </w:r>
            <w:r w:rsidRPr="00916ADC">
              <w:t>.</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916ADC" w:rsidRPr="00916ADC" w:rsidRDefault="00916ADC" w:rsidP="00916ADC">
            <w:pPr>
              <w:pStyle w:val="BodyText"/>
            </w:pPr>
          </w:p>
          <w:p w:rsidR="00916ADC" w:rsidRPr="00916ADC" w:rsidRDefault="00916ADC" w:rsidP="00916ADC">
            <w:pPr>
              <w:pStyle w:val="BodyText"/>
            </w:pPr>
            <w:r w:rsidRPr="00916ADC">
              <w:t>****</w:t>
            </w:r>
          </w:p>
        </w:tc>
      </w:tr>
      <w:tr w:rsidR="00916ADC" w:rsidRPr="00916ADC" w:rsidTr="00916ADC">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916ADC" w:rsidRPr="00916ADC" w:rsidRDefault="0054609D" w:rsidP="0054609D">
            <w:pPr>
              <w:pStyle w:val="BodyText"/>
            </w:pPr>
            <w:r>
              <w:rPr>
                <w:rFonts w:hint="cs"/>
                <w:rtl/>
                <w:lang w:val="fr-CH" w:bidi="ar-SY"/>
              </w:rPr>
              <w:t xml:space="preserve">4. </w:t>
            </w:r>
            <w:r w:rsidR="00916ADC" w:rsidRPr="00916ADC">
              <w:rPr>
                <w:rtl/>
              </w:rPr>
              <w:t>تنفيذ الأنشطة التدريبية وفقا للخطة التدريبية</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916ADC" w:rsidRPr="00916ADC" w:rsidRDefault="00916ADC" w:rsidP="00916ADC">
            <w:pPr>
              <w:pStyle w:val="BodyText"/>
            </w:pPr>
            <w:r w:rsidRPr="00916ADC">
              <w:rPr>
                <w:rtl/>
              </w:rPr>
              <w:t>استكمال التدريب في الموقع وعلى الإنترنت بحلول نهاية عام 2020.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916ADC" w:rsidRPr="00916ADC" w:rsidRDefault="00916ADC" w:rsidP="00916ADC">
            <w:pPr>
              <w:pStyle w:val="BodyText"/>
            </w:pPr>
            <w:r w:rsidRPr="00916ADC">
              <w:rPr>
                <w:rtl/>
              </w:rPr>
              <w:t>استكملت أنشطة التدريب القائمة على خطط التدريب بحلول أكتوبر 2020.</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916ADC" w:rsidRPr="00916ADC" w:rsidRDefault="00916ADC" w:rsidP="00916ADC">
            <w:pPr>
              <w:pStyle w:val="BodyText"/>
            </w:pPr>
          </w:p>
          <w:p w:rsidR="00916ADC" w:rsidRPr="00916ADC" w:rsidRDefault="00916ADC" w:rsidP="00916ADC">
            <w:pPr>
              <w:pStyle w:val="BodyText"/>
            </w:pPr>
            <w:r w:rsidRPr="00916ADC">
              <w:t>****</w:t>
            </w:r>
          </w:p>
        </w:tc>
      </w:tr>
      <w:tr w:rsidR="00916ADC" w:rsidRPr="00916ADC" w:rsidTr="00916ADC">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916ADC" w:rsidRPr="00916ADC" w:rsidRDefault="00916ADC" w:rsidP="00916ADC">
            <w:pPr>
              <w:pStyle w:val="BodyText"/>
            </w:pPr>
            <w:r w:rsidRPr="00916ADC">
              <w:rPr>
                <w:rtl/>
              </w:rPr>
              <w:t>5. تقييم وتنقيح المنهجية ومجموعة الأدوات*</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916ADC" w:rsidRPr="00916ADC" w:rsidRDefault="00916ADC" w:rsidP="00916ADC">
            <w:pPr>
              <w:pStyle w:val="BodyText"/>
            </w:pPr>
            <w:r w:rsidRPr="00916ADC">
              <w:rPr>
                <w:rtl/>
              </w:rPr>
              <w:t>تسليم المنهجية ومجموعة الأدوات المنقحة بحلول نهاية الربع الأول من عام 2021.</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916ADC" w:rsidRPr="00916ADC" w:rsidRDefault="00916ADC" w:rsidP="00916ADC">
            <w:pPr>
              <w:pStyle w:val="BodyText"/>
            </w:pPr>
            <w:r w:rsidRPr="00916ADC">
              <w:rPr>
                <w:rtl/>
              </w:rPr>
              <w:t>قدمت النسخة النهائية في ديسمبر 2020.</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916ADC" w:rsidRPr="00916ADC" w:rsidRDefault="00916ADC" w:rsidP="00916ADC">
            <w:pPr>
              <w:pStyle w:val="BodyText"/>
            </w:pPr>
          </w:p>
          <w:p w:rsidR="00916ADC" w:rsidRPr="00916ADC" w:rsidRDefault="00916ADC" w:rsidP="00916ADC">
            <w:pPr>
              <w:pStyle w:val="BodyText"/>
            </w:pPr>
            <w:r w:rsidRPr="00916ADC">
              <w:t>****</w:t>
            </w:r>
          </w:p>
        </w:tc>
      </w:tr>
      <w:tr w:rsidR="00916ADC" w:rsidRPr="00916ADC" w:rsidTr="00916ADC">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916ADC" w:rsidRPr="00916ADC" w:rsidRDefault="0054609D" w:rsidP="00916ADC">
            <w:pPr>
              <w:pStyle w:val="BodyText"/>
            </w:pPr>
            <w:r>
              <w:rPr>
                <w:rFonts w:hint="cs"/>
                <w:rtl/>
              </w:rPr>
              <w:t xml:space="preserve">6. </w:t>
            </w:r>
            <w:r w:rsidR="00916ADC" w:rsidRPr="00916ADC">
              <w:rPr>
                <w:rtl/>
              </w:rPr>
              <w:t>نشر الدليل ومجموعة الأدوات</w:t>
            </w:r>
            <w:r w:rsidR="00916ADC" w:rsidRPr="00916ADC">
              <w:t xml:space="preserve"> </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916ADC" w:rsidRPr="00916ADC" w:rsidRDefault="00916ADC" w:rsidP="00916ADC">
            <w:pPr>
              <w:pStyle w:val="BodyText"/>
            </w:pPr>
            <w:r w:rsidRPr="00916ADC">
              <w:rPr>
                <w:rtl/>
              </w:rPr>
              <w:t>استكمال النشر بحلول نهاية مارس 2021.</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916ADC" w:rsidRPr="00916ADC" w:rsidRDefault="00916ADC" w:rsidP="00916ADC">
            <w:pPr>
              <w:pStyle w:val="BodyText"/>
            </w:pPr>
            <w:r w:rsidRPr="00916ADC">
              <w:rPr>
                <w:rtl/>
              </w:rPr>
              <w:t>يجري حاليا تحرير وتنضيد الدليل ومجموعة الأدوات بغرض النشر.</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916ADC" w:rsidRPr="00916ADC" w:rsidRDefault="00916ADC" w:rsidP="00916ADC">
            <w:pPr>
              <w:pStyle w:val="BodyText"/>
            </w:pPr>
            <w:r w:rsidRPr="00916ADC">
              <w:t>***</w:t>
            </w:r>
          </w:p>
        </w:tc>
      </w:tr>
    </w:tbl>
    <w:p w:rsidR="0087784B" w:rsidRDefault="0087784B" w:rsidP="0054609D">
      <w:pPr>
        <w:pStyle w:val="Endofdocument-Annex"/>
      </w:pPr>
    </w:p>
    <w:p w:rsidR="00CD789A" w:rsidRPr="0054609D" w:rsidRDefault="00CD789A" w:rsidP="0054609D">
      <w:pPr>
        <w:pStyle w:val="Endofdocument-Annex"/>
        <w:rPr>
          <w:color w:val="000000" w:themeColor="text1"/>
        </w:rPr>
      </w:pPr>
      <w:r w:rsidRPr="00703F16">
        <w:rPr>
          <w:rtl/>
        </w:rPr>
        <w:t>[نهاية المرفق والوثيقة]</w:t>
      </w:r>
    </w:p>
    <w:sectPr w:rsidR="00CD789A" w:rsidRPr="0054609D" w:rsidSect="00CC3E2D">
      <w:headerReference w:type="first" r:id="rId1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63F" w:rsidRDefault="002A663F">
      <w:r>
        <w:separator/>
      </w:r>
    </w:p>
  </w:endnote>
  <w:endnote w:type="continuationSeparator" w:id="0">
    <w:p w:rsidR="002A663F" w:rsidRDefault="002A663F" w:rsidP="003B38C1">
      <w:r>
        <w:separator/>
      </w:r>
    </w:p>
    <w:p w:rsidR="002A663F" w:rsidRPr="003B38C1" w:rsidRDefault="002A663F" w:rsidP="003B38C1">
      <w:pPr>
        <w:spacing w:after="60"/>
        <w:rPr>
          <w:sz w:val="17"/>
        </w:rPr>
      </w:pPr>
      <w:r>
        <w:rPr>
          <w:sz w:val="17"/>
        </w:rPr>
        <w:t>[Endnote continued from previous page]</w:t>
      </w:r>
    </w:p>
  </w:endnote>
  <w:endnote w:type="continuationNotice" w:id="1">
    <w:p w:rsidR="002A663F" w:rsidRPr="003B38C1" w:rsidRDefault="002A66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63F" w:rsidRDefault="002A663F">
      <w:r>
        <w:separator/>
      </w:r>
    </w:p>
  </w:footnote>
  <w:footnote w:type="continuationSeparator" w:id="0">
    <w:p w:rsidR="002A663F" w:rsidRDefault="002A663F" w:rsidP="008B60B2">
      <w:r>
        <w:separator/>
      </w:r>
    </w:p>
    <w:p w:rsidR="002A663F" w:rsidRPr="00ED77FB" w:rsidRDefault="002A663F" w:rsidP="008B60B2">
      <w:pPr>
        <w:spacing w:after="60"/>
        <w:rPr>
          <w:sz w:val="17"/>
          <w:szCs w:val="17"/>
        </w:rPr>
      </w:pPr>
      <w:r w:rsidRPr="00ED77FB">
        <w:rPr>
          <w:sz w:val="17"/>
          <w:szCs w:val="17"/>
        </w:rPr>
        <w:t>[Footnote continued from previous page]</w:t>
      </w:r>
    </w:p>
  </w:footnote>
  <w:footnote w:type="continuationNotice" w:id="1">
    <w:p w:rsidR="002A663F" w:rsidRPr="00ED77FB" w:rsidRDefault="002A663F" w:rsidP="008B60B2">
      <w:pPr>
        <w:spacing w:before="60"/>
        <w:jc w:val="right"/>
        <w:rPr>
          <w:sz w:val="17"/>
          <w:szCs w:val="17"/>
        </w:rPr>
      </w:pPr>
      <w:r w:rsidRPr="00ED77FB">
        <w:rPr>
          <w:sz w:val="17"/>
          <w:szCs w:val="17"/>
        </w:rPr>
        <w:t>[Footnote continued on next page]</w:t>
      </w:r>
    </w:p>
  </w:footnote>
  <w:footnote w:id="2">
    <w:p w:rsidR="00916ADC" w:rsidRPr="0054609D" w:rsidRDefault="00916ADC" w:rsidP="00916ADC">
      <w:pPr>
        <w:pStyle w:val="FootnoteText"/>
        <w:rPr>
          <w:rtl/>
          <w:lang w:bidi="ar-SY"/>
        </w:rPr>
      </w:pPr>
      <w:r w:rsidRPr="0054609D">
        <w:rPr>
          <w:rStyle w:val="FootnoteReference"/>
        </w:rPr>
        <w:footnoteRef/>
      </w:r>
      <w:r w:rsidRPr="0054609D">
        <w:t xml:space="preserve"> </w:t>
      </w:r>
      <w:r w:rsidRPr="0054609D">
        <w:rPr>
          <w:rFonts w:hint="cs"/>
          <w:rtl/>
        </w:rPr>
        <w:t xml:space="preserve"> </w:t>
      </w:r>
      <w:r w:rsidRPr="0054609D">
        <w:rPr>
          <w:rtl/>
        </w:rPr>
        <w:t>وفقا للقسم 2.3 من وثيقة المشروع الأصلية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DA31B9" w:rsidP="00DA31B9">
    <w:pPr>
      <w:bidi w:val="0"/>
    </w:pPr>
    <w:r w:rsidRPr="00E571B4">
      <w:t>CDIP/26</w:t>
    </w:r>
    <w:r w:rsidR="00916ADC">
      <w:t>/3</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B22A3F">
      <w:rPr>
        <w:noProof/>
      </w:rPr>
      <w:t>6</w:t>
    </w:r>
    <w:r w:rsidRPr="00E571B4">
      <w:fldChar w:fldCharType="end"/>
    </w:r>
  </w:p>
  <w:p w:rsidR="00D07C78" w:rsidRPr="00E571B4" w:rsidRDefault="00D07C78" w:rsidP="00210D5F">
    <w:pPr>
      <w:bidi w:val="0"/>
    </w:pPr>
  </w:p>
  <w:p w:rsidR="00D07C78" w:rsidRPr="00E571B4"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9D" w:rsidRDefault="0054609D" w:rsidP="00347527">
    <w:pPr>
      <w:bidi w:val="0"/>
      <w:rPr>
        <w:rtl/>
      </w:rPr>
    </w:pPr>
    <w:r w:rsidRPr="00E571B4">
      <w:t>CDIP/2</w:t>
    </w:r>
    <w:r w:rsidR="00347527">
      <w:t>7</w:t>
    </w:r>
    <w:r>
      <w:t>/</w:t>
    </w:r>
    <w:r w:rsidR="00347527">
      <w:t>4</w:t>
    </w:r>
  </w:p>
  <w:p w:rsidR="0054609D" w:rsidRPr="00E571B4" w:rsidRDefault="0054609D" w:rsidP="0054609D">
    <w:pPr>
      <w:bidi w:val="0"/>
    </w:pPr>
    <w:r>
      <w:t>Annex</w:t>
    </w:r>
  </w:p>
  <w:p w:rsidR="0054609D" w:rsidRPr="00E571B4" w:rsidRDefault="0054609D" w:rsidP="00210D5F">
    <w:pPr>
      <w:bidi w:val="0"/>
    </w:pPr>
    <w:r w:rsidRPr="00E571B4">
      <w:fldChar w:fldCharType="begin"/>
    </w:r>
    <w:r w:rsidRPr="00E571B4">
      <w:instrText xml:space="preserve"> PAGE  \* MERGEFORMAT </w:instrText>
    </w:r>
    <w:r w:rsidRPr="00E571B4">
      <w:fldChar w:fldCharType="separate"/>
    </w:r>
    <w:r w:rsidR="00630050">
      <w:rPr>
        <w:noProof/>
      </w:rPr>
      <w:t>5</w:t>
    </w:r>
    <w:r w:rsidRPr="00E571B4">
      <w:fldChar w:fldCharType="end"/>
    </w:r>
  </w:p>
  <w:p w:rsidR="0054609D" w:rsidRPr="00E571B4" w:rsidRDefault="0054609D"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DC" w:rsidRDefault="00916ADC" w:rsidP="00347527">
    <w:pPr>
      <w:pStyle w:val="Header"/>
      <w:bidi w:val="0"/>
    </w:pPr>
    <w:r>
      <w:t>CDIP/2</w:t>
    </w:r>
    <w:r w:rsidR="00347527">
      <w:t>7</w:t>
    </w:r>
    <w:r>
      <w:t>/</w:t>
    </w:r>
    <w:r w:rsidR="00347527">
      <w:t>4</w:t>
    </w:r>
  </w:p>
  <w:p w:rsidR="00916ADC" w:rsidRDefault="00916ADC" w:rsidP="00347527">
    <w:pPr>
      <w:pStyle w:val="Header"/>
      <w:bidi w:val="0"/>
    </w:pPr>
    <w:r>
      <w:t>ANNEX</w:t>
    </w:r>
  </w:p>
  <w:p w:rsidR="00916ADC" w:rsidRPr="00916ADC" w:rsidRDefault="00916ADC" w:rsidP="00347527">
    <w:pPr>
      <w:pStyle w:val="Header"/>
      <w:bidi w:val="0"/>
      <w:rPr>
        <w:rtl/>
        <w:lang w:val="fr-CH" w:bidi="ar-SY"/>
      </w:rPr>
    </w:pPr>
    <w:r>
      <w:rPr>
        <w:rFonts w:hint="cs"/>
        <w:rtl/>
        <w:lang w:val="fr-CH" w:bidi="ar-SY"/>
      </w:rPr>
      <w:t>المرفق</w:t>
    </w:r>
  </w:p>
  <w:p w:rsidR="00916ADC" w:rsidRDefault="00916ADC" w:rsidP="00347527">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9D" w:rsidRDefault="0054609D" w:rsidP="00811354">
    <w:pPr>
      <w:pStyle w:val="Header"/>
      <w:bidi w:val="0"/>
    </w:pPr>
    <w:r>
      <w:t>CDIP/2</w:t>
    </w:r>
    <w:r w:rsidR="00811354">
      <w:t>7</w:t>
    </w:r>
    <w:r>
      <w:t>/</w:t>
    </w:r>
    <w:r w:rsidR="00811354">
      <w:t>4</w:t>
    </w:r>
  </w:p>
  <w:p w:rsidR="0054609D" w:rsidRDefault="0054609D" w:rsidP="00811354">
    <w:pPr>
      <w:pStyle w:val="Header"/>
      <w:bidi w:val="0"/>
    </w:pPr>
    <w:r>
      <w:t>Annex</w:t>
    </w:r>
  </w:p>
  <w:p w:rsidR="0054609D" w:rsidRDefault="0054609D" w:rsidP="00811354">
    <w:pPr>
      <w:pStyle w:val="Header"/>
      <w:bidi w:val="0"/>
    </w:pPr>
    <w:r>
      <w:fldChar w:fldCharType="begin"/>
    </w:r>
    <w:r>
      <w:instrText xml:space="preserve"> PAGE   \* MERGEFORMAT </w:instrText>
    </w:r>
    <w:r>
      <w:fldChar w:fldCharType="separate"/>
    </w:r>
    <w:r w:rsidR="00630050">
      <w:rPr>
        <w:noProof/>
      </w:rPr>
      <w:t>6</w:t>
    </w:r>
    <w:r>
      <w:rPr>
        <w:noProof/>
      </w:rPr>
      <w:fldChar w:fldCharType="end"/>
    </w:r>
  </w:p>
  <w:p w:rsidR="0054609D" w:rsidRDefault="0054609D" w:rsidP="0081135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730B36"/>
    <w:multiLevelType w:val="hybridMultilevel"/>
    <w:tmpl w:val="FE26A26A"/>
    <w:lvl w:ilvl="0" w:tplc="7A9E7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03D92"/>
    <w:multiLevelType w:val="hybridMultilevel"/>
    <w:tmpl w:val="2792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7F03471"/>
    <w:multiLevelType w:val="hybridMultilevel"/>
    <w:tmpl w:val="77102AD4"/>
    <w:lvl w:ilvl="0" w:tplc="D03C402E">
      <w:start w:val="2"/>
      <w:numFmt w:val="decimal"/>
      <w:pStyle w:val="Decision"/>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4"/>
  </w:num>
  <w:num w:numId="2">
    <w:abstractNumId w:val="8"/>
  </w:num>
  <w:num w:numId="3">
    <w:abstractNumId w:val="1"/>
  </w:num>
  <w:num w:numId="4">
    <w:abstractNumId w:val="9"/>
  </w:num>
  <w:num w:numId="5">
    <w:abstractNumId w:val="3"/>
  </w:num>
  <w:num w:numId="6">
    <w:abstractNumId w:val="6"/>
  </w:num>
  <w:num w:numId="7">
    <w:abstractNumId w:val="10"/>
  </w:num>
  <w:num w:numId="8">
    <w:abstractNumId w:val="7"/>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3A"/>
    <w:rsid w:val="00043CAA"/>
    <w:rsid w:val="00056816"/>
    <w:rsid w:val="000650D6"/>
    <w:rsid w:val="00075432"/>
    <w:rsid w:val="000968ED"/>
    <w:rsid w:val="000A3D97"/>
    <w:rsid w:val="000F5E56"/>
    <w:rsid w:val="001362EE"/>
    <w:rsid w:val="001406E1"/>
    <w:rsid w:val="00155D8A"/>
    <w:rsid w:val="001647D5"/>
    <w:rsid w:val="001832A6"/>
    <w:rsid w:val="0019592A"/>
    <w:rsid w:val="001D4107"/>
    <w:rsid w:val="00203D24"/>
    <w:rsid w:val="00210D5F"/>
    <w:rsid w:val="0021217E"/>
    <w:rsid w:val="002326AB"/>
    <w:rsid w:val="00243430"/>
    <w:rsid w:val="00251EF1"/>
    <w:rsid w:val="002634C4"/>
    <w:rsid w:val="002928D3"/>
    <w:rsid w:val="002A663F"/>
    <w:rsid w:val="002F1FE6"/>
    <w:rsid w:val="002F4E68"/>
    <w:rsid w:val="00312F7F"/>
    <w:rsid w:val="00347527"/>
    <w:rsid w:val="00361450"/>
    <w:rsid w:val="003673CF"/>
    <w:rsid w:val="003845C1"/>
    <w:rsid w:val="003A5CDD"/>
    <w:rsid w:val="003A6F89"/>
    <w:rsid w:val="003B355C"/>
    <w:rsid w:val="003B38C1"/>
    <w:rsid w:val="003C34E9"/>
    <w:rsid w:val="00423E3E"/>
    <w:rsid w:val="00427AF4"/>
    <w:rsid w:val="004647DA"/>
    <w:rsid w:val="00474062"/>
    <w:rsid w:val="00477D6B"/>
    <w:rsid w:val="005019FF"/>
    <w:rsid w:val="00502A53"/>
    <w:rsid w:val="0053057A"/>
    <w:rsid w:val="0054609D"/>
    <w:rsid w:val="00556076"/>
    <w:rsid w:val="00560A29"/>
    <w:rsid w:val="00585472"/>
    <w:rsid w:val="005C271A"/>
    <w:rsid w:val="005C6649"/>
    <w:rsid w:val="005E7B89"/>
    <w:rsid w:val="00605827"/>
    <w:rsid w:val="00630050"/>
    <w:rsid w:val="00646050"/>
    <w:rsid w:val="006713CA"/>
    <w:rsid w:val="00676C5C"/>
    <w:rsid w:val="006B5C12"/>
    <w:rsid w:val="00720EFD"/>
    <w:rsid w:val="007854AF"/>
    <w:rsid w:val="00793A7C"/>
    <w:rsid w:val="007A398A"/>
    <w:rsid w:val="007C4902"/>
    <w:rsid w:val="007D1613"/>
    <w:rsid w:val="007E4C0E"/>
    <w:rsid w:val="00811354"/>
    <w:rsid w:val="0087784B"/>
    <w:rsid w:val="008A134B"/>
    <w:rsid w:val="008B2CC1"/>
    <w:rsid w:val="008B60B2"/>
    <w:rsid w:val="008D5C3A"/>
    <w:rsid w:val="00904424"/>
    <w:rsid w:val="0090731E"/>
    <w:rsid w:val="00916ADC"/>
    <w:rsid w:val="00916EE2"/>
    <w:rsid w:val="00966A22"/>
    <w:rsid w:val="0096722F"/>
    <w:rsid w:val="00980843"/>
    <w:rsid w:val="009B0855"/>
    <w:rsid w:val="009E2791"/>
    <w:rsid w:val="009E3F6F"/>
    <w:rsid w:val="009F499F"/>
    <w:rsid w:val="00A37342"/>
    <w:rsid w:val="00A42DAF"/>
    <w:rsid w:val="00A45BD8"/>
    <w:rsid w:val="00A869B7"/>
    <w:rsid w:val="00A90F0A"/>
    <w:rsid w:val="00AC205C"/>
    <w:rsid w:val="00AF0A6B"/>
    <w:rsid w:val="00B05A69"/>
    <w:rsid w:val="00B22A3F"/>
    <w:rsid w:val="00B42CA9"/>
    <w:rsid w:val="00B51FF7"/>
    <w:rsid w:val="00B75281"/>
    <w:rsid w:val="00B92F1F"/>
    <w:rsid w:val="00B9734B"/>
    <w:rsid w:val="00BA30E2"/>
    <w:rsid w:val="00C11BFE"/>
    <w:rsid w:val="00C5068F"/>
    <w:rsid w:val="00C86D74"/>
    <w:rsid w:val="00CB3DBA"/>
    <w:rsid w:val="00CC3E2D"/>
    <w:rsid w:val="00CD04F1"/>
    <w:rsid w:val="00CD789A"/>
    <w:rsid w:val="00CE19F8"/>
    <w:rsid w:val="00CF681A"/>
    <w:rsid w:val="00D07C78"/>
    <w:rsid w:val="00D27334"/>
    <w:rsid w:val="00D45252"/>
    <w:rsid w:val="00D60B2C"/>
    <w:rsid w:val="00D67EAE"/>
    <w:rsid w:val="00D71B4D"/>
    <w:rsid w:val="00D90B96"/>
    <w:rsid w:val="00D93D55"/>
    <w:rsid w:val="00DA31B9"/>
    <w:rsid w:val="00DA53F5"/>
    <w:rsid w:val="00DD7B7F"/>
    <w:rsid w:val="00E15015"/>
    <w:rsid w:val="00E319DF"/>
    <w:rsid w:val="00E335FE"/>
    <w:rsid w:val="00E571B4"/>
    <w:rsid w:val="00E66CC5"/>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C8AAC18-C585-4BD0-9818-D05DD5E6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paragraph" w:customStyle="1" w:styleId="Decision">
    <w:name w:val="Decision"/>
    <w:basedOn w:val="ONUMA"/>
    <w:link w:val="DecisionChar"/>
    <w:qFormat/>
    <w:rsid w:val="00D27334"/>
    <w:pPr>
      <w:numPr>
        <w:numId w:val="8"/>
      </w:numPr>
    </w:pPr>
    <w:rPr>
      <w:i/>
      <w:iCs/>
      <w:lang w:bidi="ar-EG"/>
    </w:rPr>
  </w:style>
  <w:style w:type="paragraph" w:styleId="ListParagraph">
    <w:name w:val="List Paragraph"/>
    <w:basedOn w:val="Normal"/>
    <w:uiPriority w:val="34"/>
    <w:qFormat/>
    <w:rsid w:val="008D5C3A"/>
    <w:pPr>
      <w:ind w:left="720"/>
      <w:contextualSpacing/>
    </w:pPr>
  </w:style>
  <w:style w:type="character" w:customStyle="1" w:styleId="BodyTextChar">
    <w:name w:val="Body Text Char"/>
    <w:basedOn w:val="DefaultParagraphFont"/>
    <w:link w:val="BodyText"/>
    <w:rsid w:val="008D5C3A"/>
    <w:rPr>
      <w:rFonts w:ascii="Arial" w:eastAsia="SimSun" w:hAnsi="Arial" w:cs="Calibri"/>
      <w:sz w:val="22"/>
      <w:szCs w:val="22"/>
      <w:lang w:val="en-US" w:eastAsia="zh-CN"/>
    </w:rPr>
  </w:style>
  <w:style w:type="character" w:customStyle="1" w:styleId="ONUMAChar">
    <w:name w:val="ONUM A Char"/>
    <w:basedOn w:val="BodyTextChar"/>
    <w:link w:val="ONUMA"/>
    <w:rsid w:val="008D5C3A"/>
    <w:rPr>
      <w:rFonts w:ascii="Arial" w:eastAsia="SimSun" w:hAnsi="Arial" w:cs="Calibri"/>
      <w:sz w:val="22"/>
      <w:szCs w:val="22"/>
      <w:lang w:val="en-US" w:eastAsia="en-US"/>
    </w:rPr>
  </w:style>
  <w:style w:type="character" w:customStyle="1" w:styleId="DecisionChar">
    <w:name w:val="Decision Char"/>
    <w:basedOn w:val="ONUMAChar"/>
    <w:link w:val="Decision"/>
    <w:rsid w:val="008D5C3A"/>
    <w:rPr>
      <w:rFonts w:ascii="Arial" w:eastAsia="SimSun" w:hAnsi="Arial" w:cs="Calibri"/>
      <w:i/>
      <w:iCs/>
      <w:sz w:val="22"/>
      <w:szCs w:val="22"/>
      <w:lang w:val="en-US" w:eastAsia="en-US" w:bidi="ar-EG"/>
    </w:rPr>
  </w:style>
  <w:style w:type="character" w:styleId="FootnoteReference">
    <w:name w:val="footnote reference"/>
    <w:rsid w:val="00916ADC"/>
    <w:rPr>
      <w:rFonts w:cs="Times New Roman"/>
      <w:vertAlign w:val="superscript"/>
    </w:rPr>
  </w:style>
  <w:style w:type="paragraph" w:styleId="ListNumber2">
    <w:name w:val="List Number 2"/>
    <w:basedOn w:val="Normal"/>
    <w:semiHidden/>
    <w:rsid w:val="00916ADC"/>
    <w:pPr>
      <w:numPr>
        <w:numId w:val="11"/>
      </w:numPr>
      <w:bidi w:val="0"/>
      <w:spacing w:line="260" w:lineRule="atLeast"/>
    </w:pPr>
    <w:rPr>
      <w:rFonts w:eastAsia="Times New Roman" w:cs="Times New Roman"/>
      <w:szCs w:val="20"/>
      <w:lang w:eastAsia="en-US"/>
    </w:rPr>
  </w:style>
  <w:style w:type="paragraph" w:customStyle="1" w:styleId="Endofdocument">
    <w:name w:val="End of document"/>
    <w:basedOn w:val="Normal"/>
    <w:rsid w:val="00CD789A"/>
    <w:pPr>
      <w:bidi w:val="0"/>
      <w:spacing w:line="260" w:lineRule="atLeast"/>
      <w:ind w:left="5534"/>
    </w:pPr>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0F6B-E610-4335-9FB6-BB4EFDA8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2126</Words>
  <Characters>11988</Characters>
  <Application>Microsoft Office Word</Application>
  <DocSecurity>0</DocSecurity>
  <Lines>280</Lines>
  <Paragraphs>123</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ALAKHRAS Basel</dc:creator>
  <cp:keywords>FOR OFFICIAL USE ONLY</cp:keywords>
  <cp:lastModifiedBy>ESTEVES DOS SANTOS Anabela</cp:lastModifiedBy>
  <cp:revision>7</cp:revision>
  <cp:lastPrinted>2021-09-23T15:03:00Z</cp:lastPrinted>
  <dcterms:created xsi:type="dcterms:W3CDTF">2021-04-09T07:24:00Z</dcterms:created>
  <dcterms:modified xsi:type="dcterms:W3CDTF">2021-09-28T09:40:00Z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17012833-83b6-4988-9d77-ed670f9ba020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