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C3A49" w:rsidRPr="008B2CC1" w:rsidTr="00FA515E">
        <w:tc>
          <w:tcPr>
            <w:tcW w:w="4513" w:type="dxa"/>
            <w:tcBorders>
              <w:bottom w:val="single" w:sz="4" w:space="0" w:color="auto"/>
            </w:tcBorders>
            <w:tcMar>
              <w:bottom w:w="170" w:type="dxa"/>
            </w:tcMar>
          </w:tcPr>
          <w:p w:rsidR="009C3A49" w:rsidRPr="008B2CC1" w:rsidRDefault="009C3A49" w:rsidP="00FA515E">
            <w:bookmarkStart w:id="0" w:name="TitleOfDoc"/>
            <w:bookmarkEnd w:id="0"/>
          </w:p>
        </w:tc>
        <w:tc>
          <w:tcPr>
            <w:tcW w:w="4337" w:type="dxa"/>
            <w:tcBorders>
              <w:bottom w:val="single" w:sz="4" w:space="0" w:color="auto"/>
            </w:tcBorders>
            <w:tcMar>
              <w:left w:w="0" w:type="dxa"/>
              <w:right w:w="0" w:type="dxa"/>
            </w:tcMar>
          </w:tcPr>
          <w:p w:rsidR="009C3A49" w:rsidRPr="008B2CC1" w:rsidRDefault="009C3A49" w:rsidP="00FA515E">
            <w:r>
              <w:rPr>
                <w:noProof/>
                <w:lang w:val="en-US" w:eastAsia="en-US"/>
              </w:rPr>
              <w:drawing>
                <wp:inline distT="0" distB="0" distL="0" distR="0" wp14:anchorId="6C885580" wp14:editId="4545013E">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C3A49" w:rsidRPr="008B2CC1" w:rsidRDefault="009C3A49" w:rsidP="00FA515E">
            <w:pPr>
              <w:jc w:val="right"/>
            </w:pPr>
            <w:r>
              <w:rPr>
                <w:b/>
                <w:sz w:val="40"/>
                <w:szCs w:val="40"/>
              </w:rPr>
              <w:t>F</w:t>
            </w:r>
          </w:p>
        </w:tc>
      </w:tr>
      <w:tr w:rsidR="009C3A49" w:rsidRPr="001832A6" w:rsidTr="00FA515E">
        <w:trPr>
          <w:trHeight w:hRule="exact" w:val="357"/>
        </w:trPr>
        <w:tc>
          <w:tcPr>
            <w:tcW w:w="9356" w:type="dxa"/>
            <w:gridSpan w:val="3"/>
            <w:tcBorders>
              <w:top w:val="single" w:sz="4" w:space="0" w:color="auto"/>
            </w:tcBorders>
            <w:tcMar>
              <w:top w:w="170" w:type="dxa"/>
              <w:left w:w="0" w:type="dxa"/>
              <w:right w:w="0" w:type="dxa"/>
            </w:tcMar>
            <w:vAlign w:val="bottom"/>
          </w:tcPr>
          <w:p w:rsidR="009C3A49" w:rsidRPr="0090731E" w:rsidRDefault="009C3A49" w:rsidP="00FA515E">
            <w:pPr>
              <w:jc w:val="right"/>
              <w:rPr>
                <w:rFonts w:ascii="Arial Black" w:hAnsi="Arial Black"/>
                <w:caps/>
                <w:sz w:val="15"/>
              </w:rPr>
            </w:pPr>
            <w:r>
              <w:rPr>
                <w:rFonts w:ascii="Arial Black" w:hAnsi="Arial Black"/>
                <w:caps/>
                <w:sz w:val="15"/>
              </w:rPr>
              <w:t>mm/Ld/wg/17/</w:t>
            </w:r>
            <w:bookmarkStart w:id="1" w:name="Code"/>
            <w:bookmarkEnd w:id="1"/>
            <w:r>
              <w:rPr>
                <w:rFonts w:ascii="Arial Black" w:hAnsi="Arial Black"/>
                <w:caps/>
                <w:sz w:val="15"/>
              </w:rPr>
              <w:t>8</w:t>
            </w:r>
          </w:p>
        </w:tc>
      </w:tr>
      <w:tr w:rsidR="009C3A49" w:rsidRPr="001832A6" w:rsidTr="00FA515E">
        <w:trPr>
          <w:trHeight w:hRule="exact" w:val="170"/>
        </w:trPr>
        <w:tc>
          <w:tcPr>
            <w:tcW w:w="9356" w:type="dxa"/>
            <w:gridSpan w:val="3"/>
            <w:noWrap/>
            <w:tcMar>
              <w:left w:w="0" w:type="dxa"/>
              <w:right w:w="0" w:type="dxa"/>
            </w:tcMar>
            <w:vAlign w:val="bottom"/>
          </w:tcPr>
          <w:p w:rsidR="009C3A49" w:rsidRPr="0090731E" w:rsidRDefault="009C3A49" w:rsidP="00FA515E">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bookmarkStart w:id="2" w:name="Original"/>
            <w:bookmarkEnd w:id="2"/>
            <w:r>
              <w:rPr>
                <w:rFonts w:ascii="Arial Black" w:hAnsi="Arial Black"/>
                <w:caps/>
                <w:sz w:val="15"/>
              </w:rPr>
              <w:t xml:space="preserve"> anglais </w:t>
            </w:r>
          </w:p>
        </w:tc>
      </w:tr>
      <w:tr w:rsidR="009C3A49" w:rsidRPr="001832A6" w:rsidTr="00FA515E">
        <w:trPr>
          <w:trHeight w:hRule="exact" w:val="198"/>
        </w:trPr>
        <w:tc>
          <w:tcPr>
            <w:tcW w:w="9356" w:type="dxa"/>
            <w:gridSpan w:val="3"/>
            <w:tcMar>
              <w:left w:w="0" w:type="dxa"/>
              <w:right w:w="0" w:type="dxa"/>
            </w:tcMar>
            <w:vAlign w:val="bottom"/>
          </w:tcPr>
          <w:p w:rsidR="009C3A49" w:rsidRPr="0090731E" w:rsidRDefault="009C3A49" w:rsidP="009C3A49">
            <w:pPr>
              <w:jc w:val="right"/>
              <w:rPr>
                <w:rFonts w:ascii="Arial Black" w:hAnsi="Arial Black"/>
                <w:caps/>
                <w:sz w:val="15"/>
              </w:rPr>
            </w:pPr>
            <w:r w:rsidRPr="0090731E">
              <w:rPr>
                <w:rFonts w:ascii="Arial Black" w:hAnsi="Arial Black"/>
                <w:caps/>
                <w:sz w:val="15"/>
              </w:rPr>
              <w:t>DATE</w:t>
            </w:r>
            <w:r>
              <w:rPr>
                <w:rFonts w:ascii="Arial Black" w:hAnsi="Arial Black"/>
                <w:caps/>
                <w:sz w:val="15"/>
              </w:rPr>
              <w:t> :</w:t>
            </w:r>
            <w:bookmarkStart w:id="3" w:name="Date"/>
            <w:bookmarkEnd w:id="3"/>
            <w:r>
              <w:rPr>
                <w:rFonts w:ascii="Arial Black" w:hAnsi="Arial Black"/>
                <w:caps/>
                <w:sz w:val="15"/>
              </w:rPr>
              <w:t xml:space="preserve"> 21 mai 2019 </w:t>
            </w:r>
          </w:p>
        </w:tc>
      </w:tr>
    </w:tbl>
    <w:p w:rsidR="009C3A49" w:rsidRPr="008B2CC1" w:rsidRDefault="009C3A49" w:rsidP="009C3A49"/>
    <w:p w:rsidR="009C3A49" w:rsidRPr="008B2CC1" w:rsidRDefault="009C3A49" w:rsidP="009C3A49"/>
    <w:p w:rsidR="009C3A49" w:rsidRPr="008B2CC1" w:rsidRDefault="009C3A49" w:rsidP="009C3A49"/>
    <w:p w:rsidR="009C3A49" w:rsidRPr="008B2CC1" w:rsidRDefault="009C3A49" w:rsidP="009C3A49"/>
    <w:p w:rsidR="009C3A49" w:rsidRPr="008B2CC1" w:rsidRDefault="009C3A49" w:rsidP="009C3A49"/>
    <w:p w:rsidR="009C3A49" w:rsidRPr="003845C1" w:rsidRDefault="009C3A49" w:rsidP="009C3A49">
      <w:pPr>
        <w:rPr>
          <w:b/>
          <w:sz w:val="28"/>
          <w:szCs w:val="28"/>
        </w:rPr>
      </w:pPr>
      <w:r>
        <w:rPr>
          <w:b/>
          <w:sz w:val="28"/>
          <w:szCs w:val="28"/>
        </w:rPr>
        <w:t>Groupe de travail sur le développement juridique du système de Madrid concernant l’enregistrement international des marques</w:t>
      </w:r>
    </w:p>
    <w:p w:rsidR="009C3A49" w:rsidRDefault="009C3A49" w:rsidP="009C3A49"/>
    <w:p w:rsidR="009C3A49" w:rsidRDefault="009C3A49" w:rsidP="009C3A49"/>
    <w:p w:rsidR="009C3A49" w:rsidRPr="003845C1" w:rsidRDefault="009C3A49" w:rsidP="009C3A49">
      <w:pPr>
        <w:rPr>
          <w:b/>
          <w:sz w:val="24"/>
          <w:szCs w:val="24"/>
        </w:rPr>
      </w:pPr>
      <w:r w:rsidRPr="005A2D9F">
        <w:rPr>
          <w:b/>
          <w:sz w:val="24"/>
          <w:szCs w:val="24"/>
          <w:lang w:val="fr-FR"/>
        </w:rPr>
        <w:t>Dix</w:t>
      </w:r>
      <w:r w:rsidR="005B2F35">
        <w:rPr>
          <w:b/>
          <w:sz w:val="24"/>
          <w:szCs w:val="24"/>
          <w:lang w:val="fr-FR"/>
        </w:rPr>
        <w:noBreakHyphen/>
      </w:r>
      <w:r w:rsidRPr="005A2D9F">
        <w:rPr>
          <w:b/>
          <w:sz w:val="24"/>
          <w:szCs w:val="24"/>
          <w:lang w:val="fr-FR"/>
        </w:rPr>
        <w:t>sept</w:t>
      </w:r>
      <w:r>
        <w:rPr>
          <w:b/>
          <w:sz w:val="24"/>
          <w:szCs w:val="24"/>
          <w:lang w:val="fr-FR"/>
        </w:rPr>
        <w:t>ième session</w:t>
      </w:r>
    </w:p>
    <w:p w:rsidR="009C3A49" w:rsidRPr="003845C1" w:rsidRDefault="009C3A49" w:rsidP="009C3A49">
      <w:pPr>
        <w:rPr>
          <w:b/>
          <w:sz w:val="24"/>
          <w:szCs w:val="24"/>
        </w:rPr>
      </w:pPr>
      <w:r>
        <w:rPr>
          <w:b/>
          <w:sz w:val="24"/>
          <w:szCs w:val="24"/>
        </w:rPr>
        <w:t>Genève, 22 – 26 juillet 2019</w:t>
      </w:r>
    </w:p>
    <w:p w:rsidR="009C3A49" w:rsidRPr="008B2CC1" w:rsidRDefault="009C3A49" w:rsidP="009C3A49"/>
    <w:p w:rsidR="009C3A49" w:rsidRPr="008B2CC1" w:rsidRDefault="009C3A49" w:rsidP="009C3A49"/>
    <w:p w:rsidR="009C3A49" w:rsidRPr="008B2CC1" w:rsidRDefault="009C3A49" w:rsidP="009C3A49"/>
    <w:p w:rsidR="0007738F" w:rsidRPr="00CC2C8F" w:rsidRDefault="00504DE0" w:rsidP="009C3A49">
      <w:r w:rsidRPr="009C3A49">
        <w:rPr>
          <w:caps/>
          <w:sz w:val="24"/>
          <w:lang w:val="fr-FR"/>
        </w:rPr>
        <w:t>Modifications éventuelles de la règle</w:t>
      </w:r>
      <w:r w:rsidR="000729D9" w:rsidRPr="009C3A49">
        <w:rPr>
          <w:caps/>
          <w:sz w:val="24"/>
          <w:lang w:val="fr-FR"/>
        </w:rPr>
        <w:t> </w:t>
      </w:r>
      <w:r w:rsidRPr="009C3A49">
        <w:rPr>
          <w:caps/>
          <w:sz w:val="24"/>
          <w:lang w:val="fr-FR"/>
        </w:rPr>
        <w:t>9 du règlement d</w:t>
      </w:r>
      <w:r w:rsidR="009C3A49">
        <w:rPr>
          <w:caps/>
          <w:sz w:val="24"/>
          <w:lang w:val="fr-FR"/>
        </w:rPr>
        <w:t>’</w:t>
      </w:r>
      <w:r w:rsidRPr="009C3A49">
        <w:rPr>
          <w:caps/>
          <w:sz w:val="24"/>
          <w:lang w:val="fr-FR"/>
        </w:rPr>
        <w:t>exécution commun à l</w:t>
      </w:r>
      <w:r w:rsidR="009C3A49">
        <w:rPr>
          <w:caps/>
          <w:sz w:val="24"/>
          <w:lang w:val="fr-FR"/>
        </w:rPr>
        <w:t>’</w:t>
      </w:r>
      <w:r w:rsidRPr="009C3A49">
        <w:rPr>
          <w:caps/>
          <w:sz w:val="24"/>
          <w:lang w:val="fr-FR"/>
        </w:rPr>
        <w:t>Arrangement de Madrid concernant l</w:t>
      </w:r>
      <w:r w:rsidR="009C3A49">
        <w:rPr>
          <w:caps/>
          <w:sz w:val="24"/>
          <w:lang w:val="fr-FR"/>
        </w:rPr>
        <w:t>’</w:t>
      </w:r>
      <w:r w:rsidRPr="009C3A49">
        <w:rPr>
          <w:caps/>
          <w:sz w:val="24"/>
          <w:lang w:val="fr-FR"/>
        </w:rPr>
        <w:t>enregistrement international des marques et au Protocole relatif à</w:t>
      </w:r>
      <w:r w:rsidR="00CC2C8F">
        <w:t xml:space="preserve"> </w:t>
      </w:r>
      <w:r w:rsidRPr="009C3A49">
        <w:rPr>
          <w:caps/>
          <w:sz w:val="24"/>
          <w:lang w:val="fr-FR"/>
        </w:rPr>
        <w:t>cet Arrangement</w:t>
      </w:r>
    </w:p>
    <w:p w:rsidR="0007738F" w:rsidRDefault="0007738F" w:rsidP="008B2CC1">
      <w:pPr>
        <w:rPr>
          <w:i/>
          <w:lang w:val="fr-FR"/>
        </w:rPr>
      </w:pPr>
      <w:bookmarkStart w:id="4" w:name="Prepared"/>
      <w:bookmarkEnd w:id="4"/>
    </w:p>
    <w:p w:rsidR="009C3A49" w:rsidRDefault="00504DE0" w:rsidP="00504DE0">
      <w:pPr>
        <w:rPr>
          <w:i/>
          <w:lang w:val="fr-FR"/>
        </w:rPr>
      </w:pPr>
      <w:r w:rsidRPr="003E5DCB">
        <w:rPr>
          <w:i/>
          <w:lang w:val="fr-FR"/>
        </w:rPr>
        <w:t>Document établi par le Bureau international</w:t>
      </w:r>
    </w:p>
    <w:p w:rsidR="0007738F" w:rsidRDefault="0007738F">
      <w:pPr>
        <w:rPr>
          <w:lang w:val="fr-FR"/>
        </w:rPr>
      </w:pPr>
    </w:p>
    <w:p w:rsidR="0007738F" w:rsidRDefault="0007738F">
      <w:pPr>
        <w:rPr>
          <w:lang w:val="fr-FR"/>
        </w:rPr>
      </w:pPr>
    </w:p>
    <w:p w:rsidR="0007738F" w:rsidRDefault="0007738F" w:rsidP="0053057A">
      <w:pPr>
        <w:rPr>
          <w:lang w:val="fr-FR"/>
        </w:rPr>
      </w:pPr>
    </w:p>
    <w:p w:rsidR="009C3A49" w:rsidRDefault="009C3A49" w:rsidP="0053057A">
      <w:pPr>
        <w:rPr>
          <w:lang w:val="fr-FR"/>
        </w:rPr>
      </w:pPr>
    </w:p>
    <w:p w:rsidR="0007738F" w:rsidRDefault="009C3A49" w:rsidP="009C3A49">
      <w:pPr>
        <w:pStyle w:val="Heading1"/>
      </w:pPr>
      <w:r w:rsidRPr="003E5DCB">
        <w:t>Introduction</w:t>
      </w:r>
    </w:p>
    <w:p w:rsidR="0007738F" w:rsidRDefault="0007738F" w:rsidP="0053057A"/>
    <w:p w:rsidR="009C3A49" w:rsidRDefault="00504DE0" w:rsidP="009C3A49">
      <w:pPr>
        <w:pStyle w:val="ONUMFS"/>
        <w:rPr>
          <w:lang w:val="fr-FR"/>
        </w:rPr>
      </w:pPr>
      <w:r w:rsidRPr="003E5DCB">
        <w:rPr>
          <w:lang w:val="fr-FR"/>
        </w:rPr>
        <w:t>À sa seiz</w:t>
      </w:r>
      <w:r w:rsidR="009C3A49">
        <w:rPr>
          <w:lang w:val="fr-FR"/>
        </w:rPr>
        <w:t>ième session</w:t>
      </w:r>
      <w:r w:rsidRPr="003E5DCB">
        <w:rPr>
          <w:lang w:val="fr-FR"/>
        </w:rPr>
        <w:t>, tenue à Genève du 2 au 6</w:t>
      </w:r>
      <w:r w:rsidR="000729D9">
        <w:rPr>
          <w:lang w:val="fr-FR"/>
        </w:rPr>
        <w:t> </w:t>
      </w:r>
      <w:r w:rsidRPr="003E5DCB">
        <w:rPr>
          <w:lang w:val="fr-FR"/>
        </w:rPr>
        <w:t>juillet</w:t>
      </w:r>
      <w:r w:rsidR="000729D9">
        <w:rPr>
          <w:lang w:val="fr-FR"/>
        </w:rPr>
        <w:t> </w:t>
      </w:r>
      <w:r w:rsidRPr="003E5DCB">
        <w:rPr>
          <w:lang w:val="fr-FR"/>
        </w:rPr>
        <w:t>2018, le Groupe de travail sur le développement juridique du système de Madrid concernant l</w:t>
      </w:r>
      <w:r w:rsidR="009C3A49">
        <w:rPr>
          <w:lang w:val="fr-FR"/>
        </w:rPr>
        <w:t>’</w:t>
      </w:r>
      <w:r w:rsidRPr="003E5DCB">
        <w:rPr>
          <w:lang w:val="fr-FR"/>
        </w:rPr>
        <w:t>enregistrement international des marques (ci</w:t>
      </w:r>
      <w:r w:rsidR="005B2F35">
        <w:rPr>
          <w:lang w:val="fr-FR"/>
        </w:rPr>
        <w:noBreakHyphen/>
      </w:r>
      <w:r w:rsidRPr="003E5DCB">
        <w:rPr>
          <w:lang w:val="fr-FR"/>
        </w:rPr>
        <w:t xml:space="preserve">après dénommé </w:t>
      </w:r>
      <w:r w:rsidR="000729D9">
        <w:rPr>
          <w:lang w:val="fr-FR"/>
        </w:rPr>
        <w:t>“</w:t>
      </w:r>
      <w:r w:rsidRPr="003E5DCB">
        <w:rPr>
          <w:lang w:val="fr-FR"/>
        </w:rPr>
        <w:t>groupe de travail</w:t>
      </w:r>
      <w:r w:rsidR="000729D9">
        <w:rPr>
          <w:lang w:val="fr-FR"/>
        </w:rPr>
        <w:t>”</w:t>
      </w:r>
      <w:r w:rsidRPr="003E5DCB">
        <w:rPr>
          <w:lang w:val="fr-FR"/>
        </w:rPr>
        <w:t xml:space="preserve">) </w:t>
      </w:r>
      <w:r w:rsidRPr="00504DE0">
        <w:rPr>
          <w:color w:val="000000"/>
          <w:lang w:val="fr-FR"/>
        </w:rPr>
        <w:t>s</w:t>
      </w:r>
      <w:r w:rsidR="009C3A49">
        <w:rPr>
          <w:color w:val="000000"/>
          <w:lang w:val="fr-FR"/>
        </w:rPr>
        <w:t>’</w:t>
      </w:r>
      <w:r w:rsidRPr="00504DE0">
        <w:rPr>
          <w:color w:val="000000"/>
          <w:lang w:val="fr-FR"/>
        </w:rPr>
        <w:t>est penché sur</w:t>
      </w:r>
      <w:r w:rsidRPr="003E5DCB">
        <w:rPr>
          <w:lang w:val="fr-FR"/>
        </w:rPr>
        <w:t xml:space="preserve"> les types de marques autres que celles expressément mentionnées dans le </w:t>
      </w:r>
      <w:r w:rsidR="006A36D2">
        <w:rPr>
          <w:lang w:val="fr-FR"/>
        </w:rPr>
        <w:t>règle</w:t>
      </w:r>
      <w:r w:rsidRPr="003E5DCB">
        <w:rPr>
          <w:lang w:val="fr-FR"/>
        </w:rPr>
        <w:t>ment d</w:t>
      </w:r>
      <w:r w:rsidR="009C3A49">
        <w:rPr>
          <w:lang w:val="fr-FR"/>
        </w:rPr>
        <w:t>’</w:t>
      </w:r>
      <w:r w:rsidRPr="003E5DCB">
        <w:rPr>
          <w:lang w:val="fr-FR"/>
        </w:rPr>
        <w:t>exécution commun à l</w:t>
      </w:r>
      <w:r w:rsidR="009C3A49">
        <w:rPr>
          <w:lang w:val="fr-FR"/>
        </w:rPr>
        <w:t>’</w:t>
      </w:r>
      <w:r w:rsidRPr="003E5DCB">
        <w:rPr>
          <w:lang w:val="fr-FR"/>
        </w:rPr>
        <w:t>Arrangement de Madrid concernant l</w:t>
      </w:r>
      <w:r w:rsidR="009C3A49">
        <w:rPr>
          <w:lang w:val="fr-FR"/>
        </w:rPr>
        <w:t>’</w:t>
      </w:r>
      <w:r w:rsidRPr="003E5DCB">
        <w:rPr>
          <w:lang w:val="fr-FR"/>
        </w:rPr>
        <w:t>enregistrement international des marques et au Protocole relatif à cet Arrangement (ci</w:t>
      </w:r>
      <w:r w:rsidR="005B2F35">
        <w:rPr>
          <w:lang w:val="fr-FR"/>
        </w:rPr>
        <w:noBreakHyphen/>
      </w:r>
      <w:r w:rsidRPr="003E5DCB">
        <w:rPr>
          <w:lang w:val="fr-FR"/>
        </w:rPr>
        <w:t>après dénommés respectivement “règlement d</w:t>
      </w:r>
      <w:r w:rsidR="009C3A49">
        <w:rPr>
          <w:lang w:val="fr-FR"/>
        </w:rPr>
        <w:t>’</w:t>
      </w:r>
      <w:r w:rsidRPr="003E5DCB">
        <w:rPr>
          <w:lang w:val="fr-FR"/>
        </w:rPr>
        <w:t>exécution commun” et “Protocole”)</w:t>
      </w:r>
      <w:r w:rsidRPr="003E5DCB">
        <w:rPr>
          <w:rStyle w:val="FootnoteReference"/>
        </w:rPr>
        <w:footnoteReference w:id="2"/>
      </w:r>
      <w:r w:rsidRPr="003E5DCB">
        <w:rPr>
          <w:lang w:val="fr-FR"/>
        </w:rPr>
        <w:t>.</w:t>
      </w:r>
    </w:p>
    <w:p w:rsidR="009C3A49" w:rsidRDefault="00504DE0" w:rsidP="00620060">
      <w:pPr>
        <w:pStyle w:val="ONUMFS"/>
        <w:spacing w:after="0"/>
        <w:rPr>
          <w:lang w:val="fr-FR"/>
        </w:rPr>
      </w:pPr>
      <w:r w:rsidRPr="003E5DCB">
        <w:rPr>
          <w:lang w:val="fr-FR"/>
        </w:rPr>
        <w:t xml:space="preserve">Le groupe de travail a demandé au Bureau </w:t>
      </w:r>
      <w:r w:rsidRPr="00504DE0">
        <w:rPr>
          <w:color w:val="000000"/>
          <w:lang w:val="fr-FR"/>
        </w:rPr>
        <w:t>i</w:t>
      </w:r>
      <w:r w:rsidRPr="003E5DCB">
        <w:rPr>
          <w:lang w:val="fr-FR"/>
        </w:rPr>
        <w:t>nternational d</w:t>
      </w:r>
      <w:r w:rsidR="009C3A49">
        <w:rPr>
          <w:lang w:val="fr-FR"/>
        </w:rPr>
        <w:t>’</w:t>
      </w:r>
      <w:r w:rsidRPr="003E5DCB">
        <w:rPr>
          <w:lang w:val="fr-FR"/>
        </w:rPr>
        <w:t>établir un document décrivant les éventuel</w:t>
      </w:r>
      <w:r w:rsidR="000729D9">
        <w:rPr>
          <w:lang w:val="fr-FR"/>
        </w:rPr>
        <w:t>les</w:t>
      </w:r>
      <w:r w:rsidRPr="003E5DCB">
        <w:rPr>
          <w:lang w:val="fr-FR"/>
        </w:rPr>
        <w:t xml:space="preserve"> </w:t>
      </w:r>
      <w:r w:rsidR="0007738F" w:rsidRPr="003E5DCB">
        <w:rPr>
          <w:lang w:val="fr-FR"/>
        </w:rPr>
        <w:t>modifications</w:t>
      </w:r>
      <w:r w:rsidRPr="003E5DCB">
        <w:rPr>
          <w:lang w:val="fr-FR"/>
        </w:rPr>
        <w:t xml:space="preserve"> à apporter à la règle</w:t>
      </w:r>
      <w:r w:rsidR="000729D9">
        <w:rPr>
          <w:lang w:val="fr-FR"/>
        </w:rPr>
        <w:t> </w:t>
      </w:r>
      <w:r w:rsidRPr="003E5DCB">
        <w:rPr>
          <w:lang w:val="fr-FR"/>
        </w:rPr>
        <w:t>9 du règlement d</w:t>
      </w:r>
      <w:r w:rsidR="009C3A49">
        <w:rPr>
          <w:lang w:val="fr-FR"/>
        </w:rPr>
        <w:t>’</w:t>
      </w:r>
      <w:r w:rsidRPr="003E5DCB">
        <w:rPr>
          <w:lang w:val="fr-FR"/>
        </w:rPr>
        <w:t xml:space="preserve">exécution commun en vue de tenir compte de nouveaux </w:t>
      </w:r>
      <w:r w:rsidR="002D7C41">
        <w:rPr>
          <w:lang w:val="fr-FR"/>
        </w:rPr>
        <w:t>modes</w:t>
      </w:r>
      <w:r w:rsidRPr="003E5DCB">
        <w:rPr>
          <w:lang w:val="fr-FR"/>
        </w:rPr>
        <w:t xml:space="preserve"> de représentation.</w:t>
      </w:r>
    </w:p>
    <w:p w:rsidR="0007738F" w:rsidRDefault="009C3A49" w:rsidP="003617BD">
      <w:pPr>
        <w:pStyle w:val="Heading1"/>
        <w:keepLines/>
        <w:rPr>
          <w:lang w:val="fr-FR"/>
        </w:rPr>
      </w:pPr>
      <w:r>
        <w:rPr>
          <w:color w:val="000000"/>
          <w:lang w:val="fr-FR"/>
        </w:rPr>
        <w:lastRenderedPageBreak/>
        <w:t>I.</w:t>
      </w:r>
      <w:r>
        <w:rPr>
          <w:color w:val="000000"/>
          <w:lang w:val="fr-FR"/>
        </w:rPr>
        <w:tab/>
      </w:r>
      <w:r w:rsidR="00B662BD">
        <w:rPr>
          <w:lang w:val="fr-FR"/>
        </w:rPr>
        <w:t xml:space="preserve">Éventuelles modifications </w:t>
      </w:r>
      <w:r w:rsidR="00B662BD" w:rsidRPr="00B662BD">
        <w:rPr>
          <w:lang w:val="fr-FR"/>
        </w:rPr>
        <w:t>À</w:t>
      </w:r>
      <w:r w:rsidR="00B662BD">
        <w:rPr>
          <w:lang w:val="fr-FR"/>
        </w:rPr>
        <w:t xml:space="preserve"> apporter </w:t>
      </w:r>
      <w:r w:rsidR="00B662BD" w:rsidRPr="00B662BD">
        <w:rPr>
          <w:lang w:val="fr-FR"/>
        </w:rPr>
        <w:t>À</w:t>
      </w:r>
      <w:r w:rsidR="00504DE0" w:rsidRPr="003E5DCB">
        <w:rPr>
          <w:lang w:val="fr-FR"/>
        </w:rPr>
        <w:t xml:space="preserve"> la règle</w:t>
      </w:r>
      <w:r w:rsidR="000729D9">
        <w:rPr>
          <w:lang w:val="fr-FR"/>
        </w:rPr>
        <w:t> </w:t>
      </w:r>
      <w:r w:rsidR="00504DE0" w:rsidRPr="003E5DCB">
        <w:rPr>
          <w:lang w:val="fr-FR"/>
        </w:rPr>
        <w:t>9 du règlement d</w:t>
      </w:r>
      <w:r>
        <w:rPr>
          <w:lang w:val="fr-FR"/>
        </w:rPr>
        <w:t>’</w:t>
      </w:r>
      <w:r w:rsidR="00504DE0" w:rsidRPr="003E5DCB">
        <w:rPr>
          <w:lang w:val="fr-FR"/>
        </w:rPr>
        <w:t>exécution commun</w:t>
      </w:r>
    </w:p>
    <w:p w:rsidR="0007738F" w:rsidRDefault="0007738F" w:rsidP="003617BD">
      <w:pPr>
        <w:keepNext/>
        <w:keepLines/>
        <w:rPr>
          <w:lang w:val="fr-FR"/>
        </w:rPr>
      </w:pPr>
    </w:p>
    <w:p w:rsidR="009C3A49" w:rsidRDefault="0088371D" w:rsidP="003617BD">
      <w:pPr>
        <w:pStyle w:val="ONUMFS"/>
        <w:keepNext/>
        <w:keepLines/>
        <w:rPr>
          <w:lang w:val="fr-FR"/>
        </w:rPr>
      </w:pPr>
      <w:bookmarkStart w:id="5" w:name="_Ref7623308"/>
      <w:r w:rsidRPr="003E5DCB">
        <w:rPr>
          <w:lang w:val="fr-FR"/>
        </w:rPr>
        <w:t>La règle</w:t>
      </w:r>
      <w:r w:rsidR="000729D9">
        <w:rPr>
          <w:lang w:val="fr-FR"/>
        </w:rPr>
        <w:t> </w:t>
      </w:r>
      <w:r w:rsidRPr="003E5DCB">
        <w:rPr>
          <w:lang w:val="fr-FR"/>
        </w:rPr>
        <w:t>9.4)</w:t>
      </w:r>
      <w:r w:rsidR="000729D9">
        <w:rPr>
          <w:lang w:val="fr-FR"/>
        </w:rPr>
        <w:t>a</w:t>
      </w:r>
      <w:r w:rsidRPr="003E5DCB">
        <w:rPr>
          <w:lang w:val="fr-FR"/>
        </w:rPr>
        <w:t>)</w:t>
      </w:r>
      <w:r w:rsidR="000729D9">
        <w:rPr>
          <w:lang w:val="fr-FR"/>
        </w:rPr>
        <w:t>v</w:t>
      </w:r>
      <w:r w:rsidRPr="003E5DCB">
        <w:rPr>
          <w:lang w:val="fr-FR"/>
        </w:rPr>
        <w:t>) du règlement d</w:t>
      </w:r>
      <w:r w:rsidR="009C3A49">
        <w:rPr>
          <w:lang w:val="fr-FR"/>
        </w:rPr>
        <w:t>’</w:t>
      </w:r>
      <w:r w:rsidRPr="003E5DCB">
        <w:rPr>
          <w:lang w:val="fr-FR"/>
        </w:rPr>
        <w:t xml:space="preserve">exécution commun </w:t>
      </w:r>
      <w:r w:rsidR="0007738F">
        <w:rPr>
          <w:color w:val="000000"/>
          <w:lang w:val="fr-FR"/>
        </w:rPr>
        <w:t>exige</w:t>
      </w:r>
      <w:r w:rsidRPr="0088371D">
        <w:rPr>
          <w:color w:val="000000"/>
          <w:lang w:val="fr-FR"/>
        </w:rPr>
        <w:t xml:space="preserve"> </w:t>
      </w:r>
      <w:r w:rsidRPr="003E5DCB">
        <w:rPr>
          <w:lang w:val="fr-FR"/>
        </w:rPr>
        <w:t xml:space="preserve">que la demande internationale </w:t>
      </w:r>
      <w:r w:rsidR="0007738F">
        <w:rPr>
          <w:color w:val="000000"/>
          <w:lang w:val="fr-FR"/>
        </w:rPr>
        <w:t>contienne</w:t>
      </w:r>
      <w:r w:rsidRPr="0088371D">
        <w:rPr>
          <w:color w:val="000000"/>
          <w:lang w:val="fr-FR"/>
        </w:rPr>
        <w:t xml:space="preserve"> ou </w:t>
      </w:r>
      <w:r w:rsidR="0007738F">
        <w:rPr>
          <w:color w:val="000000"/>
          <w:lang w:val="fr-FR"/>
        </w:rPr>
        <w:t>soit</w:t>
      </w:r>
      <w:r w:rsidRPr="0088371D">
        <w:rPr>
          <w:color w:val="000000"/>
          <w:lang w:val="fr-FR"/>
        </w:rPr>
        <w:t xml:space="preserve"> accompagnée </w:t>
      </w:r>
      <w:r w:rsidRPr="003E5DCB">
        <w:rPr>
          <w:lang w:val="fr-FR"/>
        </w:rPr>
        <w:t>d</w:t>
      </w:r>
      <w:r w:rsidR="009C3A49">
        <w:rPr>
          <w:lang w:val="fr-FR"/>
        </w:rPr>
        <w:t>’</w:t>
      </w:r>
      <w:r w:rsidRPr="003E5DCB">
        <w:rPr>
          <w:lang w:val="fr-FR"/>
        </w:rPr>
        <w:t xml:space="preserve">une reproduction de la marque qui doit </w:t>
      </w:r>
      <w:r w:rsidR="00362F4F" w:rsidRPr="003E5DCB">
        <w:rPr>
          <w:lang w:val="fr-FR"/>
        </w:rPr>
        <w:t>s</w:t>
      </w:r>
      <w:r w:rsidR="009C3A49">
        <w:rPr>
          <w:lang w:val="fr-FR"/>
        </w:rPr>
        <w:t>’</w:t>
      </w:r>
      <w:r w:rsidR="00362F4F" w:rsidRPr="003E5DCB">
        <w:rPr>
          <w:lang w:val="fr-FR"/>
        </w:rPr>
        <w:t>insérer</w:t>
      </w:r>
      <w:r w:rsidRPr="003E5DCB">
        <w:rPr>
          <w:lang w:val="fr-FR"/>
        </w:rPr>
        <w:t xml:space="preserve"> dans l</w:t>
      </w:r>
      <w:r w:rsidRPr="0088371D">
        <w:rPr>
          <w:color w:val="000000"/>
          <w:lang w:val="fr-FR"/>
        </w:rPr>
        <w:t>e cadre</w:t>
      </w:r>
      <w:r w:rsidRPr="003E5DCB">
        <w:rPr>
          <w:lang w:val="fr-FR"/>
        </w:rPr>
        <w:t xml:space="preserve"> prévu</w:t>
      </w:r>
      <w:r w:rsidRPr="0088371D">
        <w:rPr>
          <w:color w:val="000000"/>
          <w:lang w:val="fr-FR"/>
        </w:rPr>
        <w:t xml:space="preserve"> </w:t>
      </w:r>
      <w:r w:rsidR="00362F4F">
        <w:rPr>
          <w:color w:val="000000"/>
          <w:lang w:val="fr-FR"/>
        </w:rPr>
        <w:t xml:space="preserve">à cet effet </w:t>
      </w:r>
      <w:r w:rsidRPr="0088371D">
        <w:rPr>
          <w:color w:val="000000"/>
          <w:lang w:val="fr-FR"/>
        </w:rPr>
        <w:t>dans</w:t>
      </w:r>
      <w:r w:rsidRPr="003E5DCB">
        <w:rPr>
          <w:lang w:val="fr-FR"/>
        </w:rPr>
        <w:t xml:space="preserve"> le formulaire offici</w:t>
      </w:r>
      <w:r w:rsidR="004D686C" w:rsidRPr="003E5DCB">
        <w:rPr>
          <w:lang w:val="fr-FR"/>
        </w:rPr>
        <w:t>el</w:t>
      </w:r>
      <w:r w:rsidR="004D686C">
        <w:rPr>
          <w:lang w:val="fr-FR"/>
        </w:rPr>
        <w:t xml:space="preserve">.  </w:t>
      </w:r>
      <w:r w:rsidR="004D686C" w:rsidRPr="003E5DCB">
        <w:rPr>
          <w:lang w:val="fr-FR"/>
        </w:rPr>
        <w:t>Ce</w:t>
      </w:r>
      <w:r w:rsidRPr="003E5DCB">
        <w:rPr>
          <w:lang w:val="fr-FR"/>
        </w:rPr>
        <w:t xml:space="preserve">tte règle pourrait être modifiée </w:t>
      </w:r>
      <w:r w:rsidR="0007738F">
        <w:rPr>
          <w:color w:val="000000"/>
          <w:lang w:val="fr-FR"/>
        </w:rPr>
        <w:t>pour exiger</w:t>
      </w:r>
      <w:r w:rsidRPr="003E5DCB">
        <w:rPr>
          <w:lang w:val="fr-FR"/>
        </w:rPr>
        <w:t xml:space="preserve"> que la demande internationale contienne ou soit accompagnée d</w:t>
      </w:r>
      <w:r w:rsidR="009C3A49">
        <w:rPr>
          <w:lang w:val="fr-FR"/>
        </w:rPr>
        <w:t>’</w:t>
      </w:r>
      <w:r w:rsidRPr="003E5DCB">
        <w:rPr>
          <w:lang w:val="fr-FR"/>
        </w:rPr>
        <w:t xml:space="preserve">une représentation </w:t>
      </w:r>
      <w:r w:rsidR="00362F4F" w:rsidRPr="003E5DCB">
        <w:rPr>
          <w:lang w:val="fr-FR"/>
        </w:rPr>
        <w:t>nette</w:t>
      </w:r>
      <w:r w:rsidRPr="003E5DCB">
        <w:rPr>
          <w:lang w:val="fr-FR"/>
        </w:rPr>
        <w:t xml:space="preserve"> et précise de la marq</w:t>
      </w:r>
      <w:bookmarkEnd w:id="5"/>
      <w:r w:rsidR="004D686C" w:rsidRPr="003E5DCB">
        <w:rPr>
          <w:lang w:val="fr-FR"/>
        </w:rPr>
        <w:t>ue</w:t>
      </w:r>
      <w:r w:rsidR="004D686C">
        <w:rPr>
          <w:lang w:val="fr-FR"/>
        </w:rPr>
        <w:t xml:space="preserve">.  </w:t>
      </w:r>
      <w:r w:rsidR="004D686C" w:rsidRPr="003E5DCB">
        <w:rPr>
          <w:lang w:val="fr-FR"/>
        </w:rPr>
        <w:t>Ce</w:t>
      </w:r>
      <w:r w:rsidR="00741A93" w:rsidRPr="003E5DCB">
        <w:rPr>
          <w:lang w:val="fr-FR"/>
        </w:rPr>
        <w:t>tte modification permettrait de déposer une demande internationale</w:t>
      </w:r>
      <w:r w:rsidR="00023C04" w:rsidRPr="003E5DCB">
        <w:rPr>
          <w:lang w:val="fr-FR"/>
        </w:rPr>
        <w:t xml:space="preserve"> avec </w:t>
      </w:r>
      <w:r w:rsidR="00023C04">
        <w:rPr>
          <w:color w:val="000000"/>
          <w:lang w:val="fr-FR"/>
        </w:rPr>
        <w:t>une</w:t>
      </w:r>
      <w:r w:rsidR="00741A93" w:rsidRPr="00741A93">
        <w:rPr>
          <w:color w:val="000000"/>
          <w:lang w:val="fr-FR"/>
        </w:rPr>
        <w:t xml:space="preserve"> </w:t>
      </w:r>
      <w:r w:rsidR="00741A93" w:rsidRPr="003E5DCB">
        <w:rPr>
          <w:lang w:val="fr-FR"/>
        </w:rPr>
        <w:t>représentation de la marque</w:t>
      </w:r>
      <w:r w:rsidR="00023C04" w:rsidRPr="003E5DCB">
        <w:rPr>
          <w:lang w:val="fr-FR"/>
        </w:rPr>
        <w:t xml:space="preserve"> </w:t>
      </w:r>
      <w:r w:rsidR="00741A93" w:rsidRPr="003E5DCB">
        <w:rPr>
          <w:lang w:val="fr-FR"/>
        </w:rPr>
        <w:t xml:space="preserve">graphique </w:t>
      </w:r>
      <w:r w:rsidR="00023C04" w:rsidRPr="003E5DCB">
        <w:rPr>
          <w:lang w:val="fr-FR"/>
        </w:rPr>
        <w:t>ou</w:t>
      </w:r>
      <w:r w:rsidR="00741A93" w:rsidRPr="003E5DCB">
        <w:rPr>
          <w:lang w:val="fr-FR"/>
        </w:rPr>
        <w:t xml:space="preserve"> </w:t>
      </w:r>
      <w:r w:rsidR="00741A93" w:rsidRPr="00741A93">
        <w:rPr>
          <w:color w:val="000000"/>
          <w:lang w:val="fr-FR"/>
        </w:rPr>
        <w:t>non graphique</w:t>
      </w:r>
      <w:r w:rsidR="00741A93" w:rsidRPr="003E5DCB">
        <w:rPr>
          <w:lang w:val="fr-FR"/>
        </w:rPr>
        <w:t>.</w:t>
      </w:r>
    </w:p>
    <w:p w:rsidR="009C3A49" w:rsidRDefault="00741A93" w:rsidP="009C3A49">
      <w:pPr>
        <w:pStyle w:val="ONUMFS"/>
        <w:rPr>
          <w:lang w:val="fr-FR"/>
        </w:rPr>
      </w:pPr>
      <w:r w:rsidRPr="003E5DCB">
        <w:rPr>
          <w:lang w:val="fr-FR"/>
        </w:rPr>
        <w:t>Pour simplifier encore, la règle</w:t>
      </w:r>
      <w:r w:rsidR="000729D9">
        <w:rPr>
          <w:lang w:val="fr-FR"/>
        </w:rPr>
        <w:t> </w:t>
      </w:r>
      <w:r w:rsidRPr="003E5DCB">
        <w:rPr>
          <w:lang w:val="fr-FR"/>
        </w:rPr>
        <w:t xml:space="preserve">9 </w:t>
      </w:r>
      <w:r w:rsidR="00023C04" w:rsidRPr="003E5DCB">
        <w:rPr>
          <w:lang w:val="fr-FR"/>
        </w:rPr>
        <w:t>pourrait exiger une</w:t>
      </w:r>
      <w:r w:rsidRPr="003E5DCB">
        <w:rPr>
          <w:lang w:val="fr-FR"/>
        </w:rPr>
        <w:t xml:space="preserve"> représentation en couleur lorsque la couleur est revendiquée à titre d</w:t>
      </w:r>
      <w:r w:rsidR="009C3A49">
        <w:rPr>
          <w:lang w:val="fr-FR"/>
        </w:rPr>
        <w:t>’</w:t>
      </w:r>
      <w:r w:rsidRPr="003E5DCB">
        <w:rPr>
          <w:lang w:val="fr-FR"/>
        </w:rPr>
        <w:t>élément distinctif, conformément à l</w:t>
      </w:r>
      <w:r w:rsidR="009C3A49">
        <w:rPr>
          <w:lang w:val="fr-FR"/>
        </w:rPr>
        <w:t>’</w:t>
      </w:r>
      <w:r w:rsidRPr="003E5DCB">
        <w:rPr>
          <w:lang w:val="fr-FR"/>
        </w:rPr>
        <w:t>alinéa</w:t>
      </w:r>
      <w:r w:rsidR="000729D9">
        <w:rPr>
          <w:lang w:val="fr-FR"/>
        </w:rPr>
        <w:t> </w:t>
      </w:r>
      <w:r w:rsidRPr="003E5DCB">
        <w:rPr>
          <w:lang w:val="fr-FR"/>
        </w:rPr>
        <w:t>4)</w:t>
      </w:r>
      <w:r w:rsidR="000729D9">
        <w:rPr>
          <w:lang w:val="fr-FR"/>
        </w:rPr>
        <w:t>a</w:t>
      </w:r>
      <w:r w:rsidRPr="003E5DCB">
        <w:rPr>
          <w:lang w:val="fr-FR"/>
        </w:rPr>
        <w:t>)</w:t>
      </w:r>
      <w:r w:rsidR="000729D9">
        <w:rPr>
          <w:lang w:val="fr-FR"/>
        </w:rPr>
        <w:t>v</w:t>
      </w:r>
      <w:r w:rsidRPr="003E5DCB">
        <w:rPr>
          <w:lang w:val="fr-FR"/>
        </w:rPr>
        <w:t>ii).</w:t>
      </w:r>
      <w:r w:rsidR="00F11138" w:rsidRPr="00741A93">
        <w:rPr>
          <w:lang w:val="fr-FR"/>
        </w:rPr>
        <w:t xml:space="preserve">  </w:t>
      </w:r>
      <w:r w:rsidR="00592372" w:rsidRPr="003E5DCB">
        <w:rPr>
          <w:lang w:val="fr-FR"/>
        </w:rPr>
        <w:t>L</w:t>
      </w:r>
      <w:r w:rsidR="009C3A49">
        <w:rPr>
          <w:lang w:val="fr-FR"/>
        </w:rPr>
        <w:t>’</w:t>
      </w:r>
      <w:r w:rsidR="00592372" w:rsidRPr="003E5DCB">
        <w:rPr>
          <w:lang w:val="fr-FR"/>
        </w:rPr>
        <w:t xml:space="preserve">obligation de fournir une </w:t>
      </w:r>
      <w:r w:rsidR="005D5682">
        <w:rPr>
          <w:lang w:val="fr-FR"/>
        </w:rPr>
        <w:t>seconde</w:t>
      </w:r>
      <w:r w:rsidR="00592372" w:rsidRPr="003E5DCB">
        <w:rPr>
          <w:lang w:val="fr-FR"/>
        </w:rPr>
        <w:t xml:space="preserve"> représentation de la marque pourrait être </w:t>
      </w:r>
      <w:r w:rsidR="00D23B1C">
        <w:rPr>
          <w:lang w:val="fr-FR"/>
        </w:rPr>
        <w:t>supprimée</w:t>
      </w:r>
      <w:r w:rsidR="00592372" w:rsidRPr="003E5DCB">
        <w:rPr>
          <w:lang w:val="fr-FR"/>
        </w:rPr>
        <w:t xml:space="preserve"> de ce</w:t>
      </w:r>
      <w:r w:rsidR="00081D9C">
        <w:rPr>
          <w:lang w:val="fr-FR"/>
        </w:rPr>
        <w:t>t</w:t>
      </w:r>
      <w:r w:rsidR="00592372" w:rsidRPr="003E5DCB">
        <w:rPr>
          <w:lang w:val="fr-FR"/>
        </w:rPr>
        <w:t xml:space="preserve"> </w:t>
      </w:r>
      <w:r w:rsidR="00081D9C">
        <w:rPr>
          <w:lang w:val="fr-FR"/>
        </w:rPr>
        <w:t>alinéa</w:t>
      </w:r>
      <w:r w:rsidR="00592372" w:rsidRPr="003E5DCB">
        <w:rPr>
          <w:rStyle w:val="FootnoteReference"/>
          <w:szCs w:val="22"/>
          <w:lang w:val="fr-FR"/>
        </w:rPr>
        <w:footnoteReference w:id="3"/>
      </w:r>
      <w:r w:rsidR="00592372" w:rsidRPr="003E5DCB">
        <w:rPr>
          <w:lang w:val="fr-FR"/>
        </w:rPr>
        <w:t xml:space="preserve">, </w:t>
      </w:r>
      <w:r w:rsidR="00023C04" w:rsidRPr="003E5DCB">
        <w:rPr>
          <w:lang w:val="fr-FR"/>
        </w:rPr>
        <w:t>ce qui entraînerait</w:t>
      </w:r>
      <w:r w:rsidR="00592372" w:rsidRPr="003E5DCB">
        <w:rPr>
          <w:lang w:val="fr-FR"/>
        </w:rPr>
        <w:t xml:space="preserve"> la suppression de la case figurant </w:t>
      </w:r>
      <w:r w:rsidR="00F93EB6">
        <w:rPr>
          <w:lang w:val="fr-FR"/>
        </w:rPr>
        <w:t>à la rubrique</w:t>
      </w:r>
      <w:r w:rsidR="000729D9">
        <w:rPr>
          <w:lang w:val="fr-FR"/>
        </w:rPr>
        <w:t> </w:t>
      </w:r>
      <w:proofErr w:type="spellStart"/>
      <w:r w:rsidR="00592372" w:rsidRPr="003E5DCB">
        <w:rPr>
          <w:lang w:val="fr-FR"/>
        </w:rPr>
        <w:t>7.b</w:t>
      </w:r>
      <w:proofErr w:type="spellEnd"/>
      <w:r w:rsidR="00592372" w:rsidRPr="003E5DCB">
        <w:rPr>
          <w:lang w:val="fr-FR"/>
        </w:rPr>
        <w:t>) du formulaire officiel</w:t>
      </w:r>
      <w:r w:rsidR="000729D9">
        <w:rPr>
          <w:lang w:val="fr-FR"/>
        </w:rPr>
        <w:t> </w:t>
      </w:r>
      <w:r w:rsidR="00592372" w:rsidRPr="003E5DCB">
        <w:rPr>
          <w:lang w:val="fr-FR"/>
        </w:rPr>
        <w:t>MM2.</w:t>
      </w:r>
    </w:p>
    <w:p w:rsidR="009C3A49" w:rsidRDefault="00056F47" w:rsidP="009C3A49">
      <w:pPr>
        <w:pStyle w:val="ONUMFS"/>
        <w:rPr>
          <w:lang w:val="fr-FR"/>
        </w:rPr>
      </w:pPr>
      <w:r w:rsidRPr="003E5DCB">
        <w:rPr>
          <w:lang w:val="fr-FR"/>
        </w:rPr>
        <w:t>La règle</w:t>
      </w:r>
      <w:r w:rsidR="000729D9">
        <w:rPr>
          <w:lang w:val="fr-FR"/>
        </w:rPr>
        <w:t> </w:t>
      </w:r>
      <w:r w:rsidRPr="003E5DCB">
        <w:rPr>
          <w:lang w:val="fr-FR"/>
        </w:rPr>
        <w:t>9</w:t>
      </w:r>
      <w:r w:rsidRPr="00056F47">
        <w:rPr>
          <w:color w:val="000000"/>
          <w:lang w:val="fr-FR"/>
        </w:rPr>
        <w:t>.</w:t>
      </w:r>
      <w:r w:rsidRPr="003E5DCB">
        <w:rPr>
          <w:lang w:val="fr-FR"/>
        </w:rPr>
        <w:t>5)</w:t>
      </w:r>
      <w:r w:rsidR="000729D9">
        <w:rPr>
          <w:lang w:val="fr-FR"/>
        </w:rPr>
        <w:t>d</w:t>
      </w:r>
      <w:r w:rsidRPr="003E5DCB">
        <w:rPr>
          <w:lang w:val="fr-FR"/>
        </w:rPr>
        <w:t>)</w:t>
      </w:r>
      <w:r w:rsidR="000729D9">
        <w:rPr>
          <w:lang w:val="fr-FR"/>
        </w:rPr>
        <w:t>i</w:t>
      </w:r>
      <w:r w:rsidRPr="003E5DCB">
        <w:rPr>
          <w:lang w:val="fr-FR"/>
        </w:rPr>
        <w:t xml:space="preserve">v) pourrait être modifiée </w:t>
      </w:r>
      <w:r w:rsidR="0073047C">
        <w:rPr>
          <w:color w:val="000000"/>
          <w:lang w:val="fr-FR"/>
        </w:rPr>
        <w:t>de manière à</w:t>
      </w:r>
      <w:r w:rsidR="00023C04">
        <w:rPr>
          <w:color w:val="000000"/>
          <w:lang w:val="fr-FR"/>
        </w:rPr>
        <w:t xml:space="preserve"> exiger</w:t>
      </w:r>
      <w:r w:rsidRPr="003E5DCB">
        <w:rPr>
          <w:lang w:val="fr-FR"/>
        </w:rPr>
        <w:t xml:space="preserve"> que l</w:t>
      </w:r>
      <w:r w:rsidR="009C3A49">
        <w:rPr>
          <w:lang w:val="fr-FR"/>
        </w:rPr>
        <w:t>’</w:t>
      </w:r>
      <w:r w:rsidR="0004394C" w:rsidRPr="003E5DCB">
        <w:rPr>
          <w:lang w:val="fr-FR"/>
        </w:rPr>
        <w:t>office</w:t>
      </w:r>
      <w:r w:rsidRPr="003E5DCB">
        <w:rPr>
          <w:lang w:val="fr-FR"/>
        </w:rPr>
        <w:t xml:space="preserve"> d</w:t>
      </w:r>
      <w:r w:rsidR="009C3A49">
        <w:rPr>
          <w:lang w:val="fr-FR"/>
        </w:rPr>
        <w:t>’</w:t>
      </w:r>
      <w:r w:rsidRPr="003E5DCB">
        <w:rPr>
          <w:lang w:val="fr-FR"/>
        </w:rPr>
        <w:t xml:space="preserve">origine certifie </w:t>
      </w:r>
      <w:r w:rsidR="00023C04" w:rsidRPr="003E5DCB">
        <w:rPr>
          <w:lang w:val="fr-FR"/>
        </w:rPr>
        <w:t xml:space="preserve">que </w:t>
      </w:r>
      <w:r w:rsidRPr="003E5DCB">
        <w:rPr>
          <w:lang w:val="fr-FR"/>
        </w:rPr>
        <w:t>la marque figurant dans la demande internationale correspond</w:t>
      </w:r>
      <w:r w:rsidR="00023C04">
        <w:rPr>
          <w:color w:val="000000"/>
          <w:lang w:val="fr-FR"/>
        </w:rPr>
        <w:t xml:space="preserve"> </w:t>
      </w:r>
      <w:r w:rsidR="00E063C7">
        <w:rPr>
          <w:color w:val="000000"/>
          <w:lang w:val="fr-FR"/>
        </w:rPr>
        <w:t xml:space="preserve">à </w:t>
      </w:r>
      <w:r w:rsidR="00023C04" w:rsidRPr="003E5DCB">
        <w:rPr>
          <w:lang w:val="fr-FR"/>
        </w:rPr>
        <w:t>celle</w:t>
      </w:r>
      <w:r w:rsidRPr="003E5DCB">
        <w:rPr>
          <w:lang w:val="fr-FR"/>
        </w:rPr>
        <w:t xml:space="preserve"> </w:t>
      </w:r>
      <w:r w:rsidRPr="00056F47">
        <w:rPr>
          <w:color w:val="000000"/>
          <w:lang w:val="fr-FR"/>
        </w:rPr>
        <w:t xml:space="preserve">figurant </w:t>
      </w:r>
      <w:r w:rsidRPr="003E5DCB">
        <w:rPr>
          <w:lang w:val="fr-FR"/>
        </w:rPr>
        <w:t xml:space="preserve">dans la demande </w:t>
      </w:r>
      <w:r w:rsidR="005E565E" w:rsidRPr="003E5DCB">
        <w:rPr>
          <w:lang w:val="fr-FR"/>
        </w:rPr>
        <w:t xml:space="preserve">de base </w:t>
      </w:r>
      <w:r w:rsidRPr="003E5DCB">
        <w:rPr>
          <w:lang w:val="fr-FR"/>
        </w:rPr>
        <w:t>ou l</w:t>
      </w:r>
      <w:r w:rsidR="009C3A49">
        <w:rPr>
          <w:lang w:val="fr-FR"/>
        </w:rPr>
        <w:t>’</w:t>
      </w:r>
      <w:r w:rsidRPr="003E5DCB">
        <w:rPr>
          <w:lang w:val="fr-FR"/>
        </w:rPr>
        <w:t>enregistrement de base (ci</w:t>
      </w:r>
      <w:r w:rsidR="005B2F35">
        <w:rPr>
          <w:lang w:val="fr-FR"/>
        </w:rPr>
        <w:noBreakHyphen/>
      </w:r>
      <w:r w:rsidRPr="003E5DCB">
        <w:rPr>
          <w:lang w:val="fr-FR"/>
        </w:rPr>
        <w:t xml:space="preserve">après </w:t>
      </w:r>
      <w:r w:rsidR="000729D9">
        <w:rPr>
          <w:lang w:val="fr-FR"/>
        </w:rPr>
        <w:t>“</w:t>
      </w:r>
      <w:r w:rsidRPr="003E5DCB">
        <w:rPr>
          <w:lang w:val="fr-FR"/>
        </w:rPr>
        <w:t>la marque de base</w:t>
      </w:r>
      <w:r w:rsidR="000729D9">
        <w:rPr>
          <w:lang w:val="fr-FR"/>
        </w:rPr>
        <w:t>”</w:t>
      </w:r>
      <w:r w:rsidRPr="003E5DCB">
        <w:rPr>
          <w:lang w:val="fr-FR"/>
        </w:rPr>
        <w:t>).</w:t>
      </w:r>
      <w:r w:rsidR="00F11138" w:rsidRPr="00056F47">
        <w:rPr>
          <w:lang w:val="fr-FR"/>
        </w:rPr>
        <w:t xml:space="preserve">  </w:t>
      </w:r>
      <w:r w:rsidR="00C5795A" w:rsidRPr="003E5DCB">
        <w:rPr>
          <w:lang w:val="fr-FR"/>
        </w:rPr>
        <w:t xml:space="preserve">Cette modification donnerait plus de souplesse aux </w:t>
      </w:r>
      <w:r w:rsidR="00C5795A" w:rsidRPr="00C5795A">
        <w:rPr>
          <w:color w:val="000000"/>
          <w:lang w:val="fr-FR"/>
        </w:rPr>
        <w:t>o</w:t>
      </w:r>
      <w:r w:rsidR="00C5795A" w:rsidRPr="003E5DCB">
        <w:rPr>
          <w:lang w:val="fr-FR"/>
        </w:rPr>
        <w:t xml:space="preserve">ffices lors de la certification des demandes internationales et permettrait </w:t>
      </w:r>
      <w:r w:rsidR="00023C04" w:rsidRPr="003E5DCB">
        <w:rPr>
          <w:lang w:val="fr-FR"/>
        </w:rPr>
        <w:t>de faire coïncider</w:t>
      </w:r>
      <w:r w:rsidR="00C5795A" w:rsidRPr="003E5DCB">
        <w:rPr>
          <w:lang w:val="fr-FR"/>
        </w:rPr>
        <w:t xml:space="preserve"> la règle avec le libellé </w:t>
      </w:r>
      <w:r w:rsidR="009936A2">
        <w:rPr>
          <w:lang w:val="fr-FR"/>
        </w:rPr>
        <w:t>de l’alinéa</w:t>
      </w:r>
      <w:r w:rsidR="000729D9">
        <w:rPr>
          <w:lang w:val="fr-FR"/>
        </w:rPr>
        <w:t> </w:t>
      </w:r>
      <w:r w:rsidR="00C5795A" w:rsidRPr="003E5DCB">
        <w:rPr>
          <w:lang w:val="fr-FR"/>
        </w:rPr>
        <w:t>1</w:t>
      </w:r>
      <w:r w:rsidR="00D366CF">
        <w:rPr>
          <w:lang w:val="fr-FR"/>
        </w:rPr>
        <w:t>)</w:t>
      </w:r>
      <w:r w:rsidR="00C5795A" w:rsidRPr="003E5DCB">
        <w:rPr>
          <w:lang w:val="fr-FR"/>
        </w:rPr>
        <w:t xml:space="preserve"> de l</w:t>
      </w:r>
      <w:r w:rsidR="009C3A49">
        <w:rPr>
          <w:lang w:val="fr-FR"/>
        </w:rPr>
        <w:t>’</w:t>
      </w:r>
      <w:r w:rsidR="00C5795A" w:rsidRPr="00C5795A">
        <w:rPr>
          <w:color w:val="000000"/>
          <w:lang w:val="fr-FR"/>
        </w:rPr>
        <w:t>a</w:t>
      </w:r>
      <w:r w:rsidR="00C5795A" w:rsidRPr="003E5DCB">
        <w:rPr>
          <w:lang w:val="fr-FR"/>
        </w:rPr>
        <w:t>rticle</w:t>
      </w:r>
      <w:r w:rsidR="000729D9">
        <w:rPr>
          <w:lang w:val="fr-FR"/>
        </w:rPr>
        <w:t> </w:t>
      </w:r>
      <w:r w:rsidR="00C5795A" w:rsidRPr="003E5DCB">
        <w:rPr>
          <w:lang w:val="fr-FR"/>
        </w:rPr>
        <w:t>3 du Protoco</w:t>
      </w:r>
      <w:r w:rsidR="004D686C" w:rsidRPr="003E5DCB">
        <w:rPr>
          <w:lang w:val="fr-FR"/>
        </w:rPr>
        <w:t>le</w:t>
      </w:r>
      <w:r w:rsidR="004D686C">
        <w:rPr>
          <w:lang w:val="fr-FR"/>
        </w:rPr>
        <w:t xml:space="preserve">.  </w:t>
      </w:r>
      <w:r w:rsidR="004D686C" w:rsidRPr="003E5DCB">
        <w:rPr>
          <w:lang w:val="fr-FR"/>
        </w:rPr>
        <w:t>El</w:t>
      </w:r>
      <w:r w:rsidR="00C31A7D" w:rsidRPr="003E5DCB">
        <w:rPr>
          <w:lang w:val="fr-FR"/>
        </w:rPr>
        <w:t xml:space="preserve">le </w:t>
      </w:r>
      <w:r w:rsidR="0004394C" w:rsidRPr="003E5DCB">
        <w:rPr>
          <w:lang w:val="fr-FR"/>
        </w:rPr>
        <w:t>dissiperait</w:t>
      </w:r>
      <w:r w:rsidR="00C31A7D" w:rsidRPr="003E5DCB">
        <w:rPr>
          <w:lang w:val="fr-FR"/>
        </w:rPr>
        <w:t xml:space="preserve"> donc </w:t>
      </w:r>
      <w:r w:rsidR="00023C04" w:rsidRPr="003E5DCB">
        <w:rPr>
          <w:lang w:val="fr-FR"/>
        </w:rPr>
        <w:t>le</w:t>
      </w:r>
      <w:r w:rsidR="00C31A7D" w:rsidRPr="003E5DCB">
        <w:rPr>
          <w:lang w:val="fr-FR"/>
        </w:rPr>
        <w:t xml:space="preserve"> doute quant à </w:t>
      </w:r>
      <w:r w:rsidR="0004394C" w:rsidRPr="003E5DCB">
        <w:rPr>
          <w:lang w:val="fr-FR"/>
        </w:rPr>
        <w:t xml:space="preserve">la question de </w:t>
      </w:r>
      <w:r w:rsidR="00C31A7D" w:rsidRPr="003E5DCB">
        <w:rPr>
          <w:lang w:val="fr-FR"/>
        </w:rPr>
        <w:t>savoir si l</w:t>
      </w:r>
      <w:r w:rsidR="009C3A49">
        <w:rPr>
          <w:lang w:val="fr-FR"/>
        </w:rPr>
        <w:t>’</w:t>
      </w:r>
      <w:r w:rsidR="00C31A7D" w:rsidRPr="003E5DCB">
        <w:rPr>
          <w:lang w:val="fr-FR"/>
        </w:rPr>
        <w:t xml:space="preserve">exigence de </w:t>
      </w:r>
      <w:r w:rsidR="0004394C" w:rsidRPr="003E5DCB">
        <w:rPr>
          <w:lang w:val="fr-FR"/>
        </w:rPr>
        <w:t>similitude</w:t>
      </w:r>
      <w:r w:rsidR="00C31A7D" w:rsidRPr="003E5DCB">
        <w:rPr>
          <w:lang w:val="fr-FR"/>
        </w:rPr>
        <w:t xml:space="preserve"> entre la marque de base et la marque internationale actuellement prévue dans cette règle est plus stricte que celle concernant la correspondance entre les </w:t>
      </w:r>
      <w:r w:rsidR="002B7D00">
        <w:rPr>
          <w:lang w:val="fr-FR"/>
        </w:rPr>
        <w:t>indications figurant dans</w:t>
      </w:r>
      <w:r w:rsidR="0004394C" w:rsidRPr="003E5DCB">
        <w:rPr>
          <w:lang w:val="fr-FR"/>
        </w:rPr>
        <w:t xml:space="preserve"> </w:t>
      </w:r>
      <w:r w:rsidR="00C31A7D" w:rsidRPr="003E5DCB">
        <w:rPr>
          <w:lang w:val="fr-FR"/>
        </w:rPr>
        <w:t xml:space="preserve">la demande internationale et </w:t>
      </w:r>
      <w:r w:rsidR="0004394C" w:rsidRPr="003E5DCB">
        <w:rPr>
          <w:lang w:val="fr-FR"/>
        </w:rPr>
        <w:t>ce</w:t>
      </w:r>
      <w:r w:rsidR="002B7D00">
        <w:rPr>
          <w:lang w:val="fr-FR"/>
        </w:rPr>
        <w:t>lles figurant dans</w:t>
      </w:r>
      <w:r w:rsidR="00C31A7D" w:rsidRPr="003E5DCB">
        <w:rPr>
          <w:lang w:val="fr-FR"/>
        </w:rPr>
        <w:t xml:space="preserve"> la marque de base</w:t>
      </w:r>
      <w:r w:rsidR="0004394C" w:rsidRPr="003E5DCB">
        <w:rPr>
          <w:lang w:val="fr-FR"/>
        </w:rPr>
        <w:t xml:space="preserve"> prévue </w:t>
      </w:r>
      <w:r w:rsidR="003D0EAE">
        <w:rPr>
          <w:lang w:val="fr-FR"/>
        </w:rPr>
        <w:t>à l’alinéa</w:t>
      </w:r>
      <w:r w:rsidR="000729D9">
        <w:rPr>
          <w:lang w:val="fr-FR"/>
        </w:rPr>
        <w:t> </w:t>
      </w:r>
      <w:r w:rsidR="0004394C" w:rsidRPr="003E5DCB">
        <w:rPr>
          <w:lang w:val="fr-FR"/>
        </w:rPr>
        <w:t>1</w:t>
      </w:r>
      <w:r w:rsidR="009B400B">
        <w:rPr>
          <w:lang w:val="fr-FR"/>
        </w:rPr>
        <w:t>)</w:t>
      </w:r>
      <w:r w:rsidR="0004394C" w:rsidRPr="003E5DCB">
        <w:rPr>
          <w:lang w:val="fr-FR"/>
        </w:rPr>
        <w:t xml:space="preserve"> de l</w:t>
      </w:r>
      <w:r w:rsidR="009C3A49">
        <w:rPr>
          <w:lang w:val="fr-FR"/>
        </w:rPr>
        <w:t>’</w:t>
      </w:r>
      <w:r w:rsidR="0004394C" w:rsidRPr="00C5795A">
        <w:rPr>
          <w:color w:val="000000"/>
          <w:lang w:val="fr-FR"/>
        </w:rPr>
        <w:t>a</w:t>
      </w:r>
      <w:r w:rsidR="0004394C" w:rsidRPr="003E5DCB">
        <w:rPr>
          <w:lang w:val="fr-FR"/>
        </w:rPr>
        <w:t>rticle</w:t>
      </w:r>
      <w:r w:rsidR="000729D9">
        <w:rPr>
          <w:lang w:val="fr-FR"/>
        </w:rPr>
        <w:t> </w:t>
      </w:r>
      <w:r w:rsidR="0004394C" w:rsidRPr="003E5DCB">
        <w:rPr>
          <w:lang w:val="fr-FR"/>
        </w:rPr>
        <w:t>3 du Protoco</w:t>
      </w:r>
      <w:r w:rsidR="004D686C" w:rsidRPr="003E5DCB">
        <w:rPr>
          <w:lang w:val="fr-FR"/>
        </w:rPr>
        <w:t>le</w:t>
      </w:r>
      <w:r w:rsidR="004D686C">
        <w:rPr>
          <w:lang w:val="fr-FR"/>
        </w:rPr>
        <w:t xml:space="preserve">.  </w:t>
      </w:r>
      <w:r w:rsidR="004D686C" w:rsidRPr="003E5DCB">
        <w:rPr>
          <w:lang w:val="fr-FR"/>
        </w:rPr>
        <w:t>Né</w:t>
      </w:r>
      <w:r w:rsidR="00CA65B7" w:rsidRPr="003E5DCB">
        <w:rPr>
          <w:lang w:val="fr-FR"/>
        </w:rPr>
        <w:t xml:space="preserve">anmoins, la certification </w:t>
      </w:r>
      <w:r w:rsidR="0004394C" w:rsidRPr="003E5DCB">
        <w:rPr>
          <w:lang w:val="fr-FR"/>
        </w:rPr>
        <w:t>incomberait toujours à</w:t>
      </w:r>
      <w:r w:rsidR="00CA65B7" w:rsidRPr="003E5DCB">
        <w:rPr>
          <w:lang w:val="fr-FR"/>
        </w:rPr>
        <w:t xml:space="preserve"> l</w:t>
      </w:r>
      <w:r w:rsidR="009C3A49">
        <w:rPr>
          <w:lang w:val="fr-FR"/>
        </w:rPr>
        <w:t>’</w:t>
      </w:r>
      <w:r w:rsidR="0004394C" w:rsidRPr="003E5DCB">
        <w:rPr>
          <w:lang w:val="fr-FR"/>
        </w:rPr>
        <w:t>office</w:t>
      </w:r>
      <w:r w:rsidR="00CA65B7" w:rsidRPr="003E5DCB">
        <w:rPr>
          <w:lang w:val="fr-FR"/>
        </w:rPr>
        <w:t xml:space="preserve"> d</w:t>
      </w:r>
      <w:r w:rsidR="009C3A49">
        <w:rPr>
          <w:lang w:val="fr-FR"/>
        </w:rPr>
        <w:t>’</w:t>
      </w:r>
      <w:r w:rsidR="00CA65B7" w:rsidRPr="003E5DCB">
        <w:rPr>
          <w:lang w:val="fr-FR"/>
        </w:rPr>
        <w:t>origine dans le strict respect du Protocole de Madrid et de la règ</w:t>
      </w:r>
      <w:r w:rsidR="004D686C" w:rsidRPr="003E5DCB">
        <w:rPr>
          <w:lang w:val="fr-FR"/>
        </w:rPr>
        <w:t>le</w:t>
      </w:r>
      <w:r w:rsidR="004D686C">
        <w:rPr>
          <w:lang w:val="fr-FR"/>
        </w:rPr>
        <w:t xml:space="preserve">.  </w:t>
      </w:r>
      <w:r w:rsidR="004D686C" w:rsidRPr="003E5DCB">
        <w:rPr>
          <w:lang w:val="fr-FR"/>
        </w:rPr>
        <w:t>Pa</w:t>
      </w:r>
      <w:r w:rsidR="00CA65B7" w:rsidRPr="003E5DCB">
        <w:rPr>
          <w:lang w:val="fr-FR"/>
        </w:rPr>
        <w:t>r exemple, l</w:t>
      </w:r>
      <w:r w:rsidR="009C3A49">
        <w:rPr>
          <w:lang w:val="fr-FR"/>
        </w:rPr>
        <w:t>’</w:t>
      </w:r>
      <w:r w:rsidR="00CA65B7" w:rsidRPr="00CA65B7">
        <w:rPr>
          <w:color w:val="000000"/>
          <w:lang w:val="fr-FR"/>
        </w:rPr>
        <w:t>o</w:t>
      </w:r>
      <w:r w:rsidR="00CA65B7" w:rsidRPr="003E5DCB">
        <w:rPr>
          <w:lang w:val="fr-FR"/>
        </w:rPr>
        <w:t xml:space="preserve">ffice concerné serait </w:t>
      </w:r>
      <w:r w:rsidR="0004394C" w:rsidRPr="003E5DCB">
        <w:rPr>
          <w:lang w:val="fr-FR"/>
        </w:rPr>
        <w:t>encore</w:t>
      </w:r>
      <w:r w:rsidR="00CA65B7" w:rsidRPr="003E5DCB">
        <w:rPr>
          <w:lang w:val="fr-FR"/>
        </w:rPr>
        <w:t xml:space="preserve"> tenu de déterminer si une demande internationale assortie d</w:t>
      </w:r>
      <w:r w:rsidR="009C3A49">
        <w:rPr>
          <w:lang w:val="fr-FR"/>
        </w:rPr>
        <w:t>’</w:t>
      </w:r>
      <w:r w:rsidR="00CA65B7" w:rsidRPr="003E5DCB">
        <w:rPr>
          <w:lang w:val="fr-FR"/>
        </w:rPr>
        <w:t>une représentation plus claire de l</w:t>
      </w:r>
      <w:bookmarkStart w:id="6" w:name="_GoBack"/>
      <w:bookmarkEnd w:id="6"/>
      <w:r w:rsidR="00CA65B7" w:rsidRPr="003E5DCB">
        <w:rPr>
          <w:lang w:val="fr-FR"/>
        </w:rPr>
        <w:t>a marque ou d</w:t>
      </w:r>
      <w:r w:rsidR="009C3A49">
        <w:rPr>
          <w:lang w:val="fr-FR"/>
        </w:rPr>
        <w:t>’</w:t>
      </w:r>
      <w:r w:rsidR="00CA65B7" w:rsidRPr="003E5DCB">
        <w:rPr>
          <w:lang w:val="fr-FR"/>
        </w:rPr>
        <w:t xml:space="preserve">une </w:t>
      </w:r>
      <w:r w:rsidR="0004394C" w:rsidRPr="003E5DCB">
        <w:rPr>
          <w:lang w:val="fr-FR"/>
        </w:rPr>
        <w:t>représentation</w:t>
      </w:r>
      <w:r w:rsidR="00CA65B7" w:rsidRPr="003E5DCB">
        <w:rPr>
          <w:lang w:val="fr-FR"/>
        </w:rPr>
        <w:t xml:space="preserve"> par des </w:t>
      </w:r>
      <w:r w:rsidR="007843EB">
        <w:rPr>
          <w:lang w:val="fr-FR"/>
        </w:rPr>
        <w:t>modes</w:t>
      </w:r>
      <w:r w:rsidR="00CA65B7" w:rsidRPr="003E5DCB">
        <w:rPr>
          <w:lang w:val="fr-FR"/>
        </w:rPr>
        <w:t xml:space="preserve"> différents pou</w:t>
      </w:r>
      <w:r w:rsidR="00CA65B7" w:rsidRPr="00CA65B7">
        <w:rPr>
          <w:color w:val="000000"/>
          <w:lang w:val="fr-FR"/>
        </w:rPr>
        <w:t>rr</w:t>
      </w:r>
      <w:r w:rsidR="00CA65B7" w:rsidRPr="003E5DCB">
        <w:rPr>
          <w:lang w:val="fr-FR"/>
        </w:rPr>
        <w:t xml:space="preserve">ait être </w:t>
      </w:r>
      <w:r w:rsidR="0004394C" w:rsidRPr="003E5DCB">
        <w:rPr>
          <w:lang w:val="fr-FR"/>
        </w:rPr>
        <w:t>jugée</w:t>
      </w:r>
      <w:r w:rsidR="00CA65B7" w:rsidRPr="003E5DCB">
        <w:rPr>
          <w:lang w:val="fr-FR"/>
        </w:rPr>
        <w:t xml:space="preserve"> </w:t>
      </w:r>
      <w:r w:rsidR="00CA65B7" w:rsidRPr="00CA65B7">
        <w:rPr>
          <w:color w:val="000000"/>
          <w:lang w:val="fr-FR"/>
        </w:rPr>
        <w:t>conforme</w:t>
      </w:r>
      <w:r w:rsidR="00CA65B7" w:rsidRPr="003E5DCB">
        <w:rPr>
          <w:lang w:val="fr-FR"/>
        </w:rPr>
        <w:t xml:space="preserve"> aux </w:t>
      </w:r>
      <w:r w:rsidR="00CA65B7" w:rsidRPr="00CA65B7">
        <w:rPr>
          <w:color w:val="000000"/>
          <w:lang w:val="fr-FR"/>
        </w:rPr>
        <w:t xml:space="preserve">exigences </w:t>
      </w:r>
      <w:r w:rsidR="00CA65B7" w:rsidRPr="003E5DCB">
        <w:rPr>
          <w:lang w:val="fr-FR"/>
        </w:rPr>
        <w:t xml:space="preserve">énoncées </w:t>
      </w:r>
      <w:r w:rsidR="00134B55">
        <w:rPr>
          <w:lang w:val="fr-FR"/>
        </w:rPr>
        <w:t>à l’alinéa</w:t>
      </w:r>
      <w:r w:rsidR="000729D9">
        <w:rPr>
          <w:lang w:val="fr-FR"/>
        </w:rPr>
        <w:t> </w:t>
      </w:r>
      <w:r w:rsidR="00CA65B7" w:rsidRPr="003E5DCB">
        <w:rPr>
          <w:lang w:val="fr-FR"/>
        </w:rPr>
        <w:t>1</w:t>
      </w:r>
      <w:r w:rsidR="002B6A3E">
        <w:rPr>
          <w:lang w:val="fr-FR"/>
        </w:rPr>
        <w:t>)</w:t>
      </w:r>
      <w:r w:rsidR="00CA65B7" w:rsidRPr="003E5DCB">
        <w:rPr>
          <w:lang w:val="fr-FR"/>
        </w:rPr>
        <w:t xml:space="preserve"> de l</w:t>
      </w:r>
      <w:r w:rsidR="009C3A49">
        <w:rPr>
          <w:lang w:val="fr-FR"/>
        </w:rPr>
        <w:t>’</w:t>
      </w:r>
      <w:r w:rsidR="00CA65B7" w:rsidRPr="00CA65B7">
        <w:rPr>
          <w:color w:val="000000"/>
          <w:lang w:val="fr-FR"/>
        </w:rPr>
        <w:t>a</w:t>
      </w:r>
      <w:r w:rsidR="00CA65B7" w:rsidRPr="003E5DCB">
        <w:rPr>
          <w:lang w:val="fr-FR"/>
        </w:rPr>
        <w:t>rticle</w:t>
      </w:r>
      <w:r w:rsidR="000729D9">
        <w:rPr>
          <w:lang w:val="fr-FR"/>
        </w:rPr>
        <w:t> </w:t>
      </w:r>
      <w:r w:rsidR="00CA65B7" w:rsidRPr="003E5DCB">
        <w:rPr>
          <w:lang w:val="fr-FR"/>
        </w:rPr>
        <w:t>3 du Protocole.</w:t>
      </w:r>
    </w:p>
    <w:p w:rsidR="0007738F" w:rsidRPr="00362F4F" w:rsidRDefault="00791853" w:rsidP="00620060">
      <w:pPr>
        <w:pStyle w:val="ONUMFS"/>
        <w:spacing w:after="0"/>
        <w:rPr>
          <w:lang w:val="fr-FR"/>
        </w:rPr>
      </w:pPr>
      <w:bookmarkStart w:id="7" w:name="_Ref7623318"/>
      <w:r w:rsidRPr="003E5DCB">
        <w:rPr>
          <w:lang w:val="fr-FR"/>
        </w:rPr>
        <w:t xml:space="preserve">Les </w:t>
      </w:r>
      <w:r w:rsidR="001E328E" w:rsidRPr="003E5DCB">
        <w:rPr>
          <w:lang w:val="fr-FR"/>
        </w:rPr>
        <w:t>Instructions administratives pour l</w:t>
      </w:r>
      <w:r w:rsidR="009C3A49">
        <w:rPr>
          <w:lang w:val="fr-FR"/>
        </w:rPr>
        <w:t>’</w:t>
      </w:r>
      <w:r w:rsidR="001E328E" w:rsidRPr="003E5DCB">
        <w:rPr>
          <w:lang w:val="fr-FR"/>
        </w:rPr>
        <w:t>application de l</w:t>
      </w:r>
      <w:r w:rsidR="009C3A49">
        <w:rPr>
          <w:lang w:val="fr-FR"/>
        </w:rPr>
        <w:t>’</w:t>
      </w:r>
      <w:r w:rsidR="001E328E" w:rsidRPr="003E5DCB">
        <w:rPr>
          <w:lang w:val="fr-FR"/>
        </w:rPr>
        <w:t>Arrangement de Madrid concernant l</w:t>
      </w:r>
      <w:r w:rsidR="009C3A49">
        <w:rPr>
          <w:lang w:val="fr-FR"/>
        </w:rPr>
        <w:t>’</w:t>
      </w:r>
      <w:r w:rsidR="001E328E" w:rsidRPr="003E5DCB">
        <w:rPr>
          <w:lang w:val="fr-FR"/>
        </w:rPr>
        <w:t xml:space="preserve">enregistrement international des marques et du Protocole y relatif </w:t>
      </w:r>
      <w:r w:rsidRPr="003E5DCB">
        <w:rPr>
          <w:lang w:val="fr-FR"/>
        </w:rPr>
        <w:t>(ci</w:t>
      </w:r>
      <w:r w:rsidR="005B2F35">
        <w:rPr>
          <w:lang w:val="fr-FR"/>
        </w:rPr>
        <w:noBreakHyphen/>
      </w:r>
      <w:r w:rsidRPr="003E5DCB">
        <w:rPr>
          <w:lang w:val="fr-FR"/>
        </w:rPr>
        <w:t xml:space="preserve">après dénommées </w:t>
      </w:r>
      <w:r w:rsidR="000729D9">
        <w:rPr>
          <w:lang w:val="fr-FR"/>
        </w:rPr>
        <w:t>“</w:t>
      </w:r>
      <w:r w:rsidRPr="003E5DCB">
        <w:rPr>
          <w:lang w:val="fr-FR"/>
        </w:rPr>
        <w:t>Instructions administratives</w:t>
      </w:r>
      <w:r w:rsidR="000729D9">
        <w:rPr>
          <w:lang w:val="fr-FR"/>
        </w:rPr>
        <w:t>”</w:t>
      </w:r>
      <w:r w:rsidRPr="003E5DCB">
        <w:rPr>
          <w:lang w:val="fr-FR"/>
        </w:rPr>
        <w:t xml:space="preserve">) pourraient être modifiées </w:t>
      </w:r>
      <w:r w:rsidR="001E328E" w:rsidRPr="003E5DCB">
        <w:rPr>
          <w:lang w:val="fr-FR"/>
        </w:rPr>
        <w:t>de manière à</w:t>
      </w:r>
      <w:r w:rsidRPr="003E5DCB">
        <w:rPr>
          <w:lang w:val="fr-FR"/>
        </w:rPr>
        <w:t xml:space="preserve"> indiquer comment les marques peuvent être représentées dans la demande internationa</w:t>
      </w:r>
      <w:r w:rsidR="004D686C" w:rsidRPr="003E5DCB">
        <w:rPr>
          <w:lang w:val="fr-FR"/>
        </w:rPr>
        <w:t>le</w:t>
      </w:r>
      <w:r w:rsidR="004D686C">
        <w:rPr>
          <w:lang w:val="fr-FR"/>
        </w:rPr>
        <w:t xml:space="preserve">.  </w:t>
      </w:r>
      <w:r w:rsidR="004D686C" w:rsidRPr="003E5DCB">
        <w:rPr>
          <w:lang w:val="fr-FR"/>
        </w:rPr>
        <w:t>La</w:t>
      </w:r>
      <w:r w:rsidRPr="003E5DCB">
        <w:rPr>
          <w:lang w:val="fr-FR"/>
        </w:rPr>
        <w:t xml:space="preserve"> représentation de la marque </w:t>
      </w:r>
      <w:r w:rsidRPr="00362F4F">
        <w:rPr>
          <w:color w:val="000000"/>
          <w:lang w:val="fr-FR"/>
        </w:rPr>
        <w:t xml:space="preserve">dépendrait </w:t>
      </w:r>
      <w:r w:rsidRPr="003E5DCB">
        <w:rPr>
          <w:lang w:val="fr-FR"/>
        </w:rPr>
        <w:t>du mode de transmission de la demande internationale au Bureau internation</w:t>
      </w:r>
      <w:r w:rsidR="004D686C" w:rsidRPr="003E5DCB">
        <w:rPr>
          <w:lang w:val="fr-FR"/>
        </w:rPr>
        <w:t>al</w:t>
      </w:r>
      <w:r w:rsidR="004D686C">
        <w:rPr>
          <w:lang w:val="fr-FR"/>
        </w:rPr>
        <w:t xml:space="preserve">.  </w:t>
      </w:r>
      <w:r w:rsidR="004D686C" w:rsidRPr="003E5DCB">
        <w:rPr>
          <w:lang w:val="fr-FR"/>
        </w:rPr>
        <w:t>Le</w:t>
      </w:r>
      <w:r w:rsidR="00A851A9" w:rsidRPr="003E5DCB">
        <w:rPr>
          <w:lang w:val="fr-FR"/>
        </w:rPr>
        <w:t xml:space="preserve">s demandes internationales transmises par </w:t>
      </w:r>
      <w:r w:rsidR="001E328E" w:rsidRPr="003E5DCB">
        <w:rPr>
          <w:lang w:val="fr-FR"/>
        </w:rPr>
        <w:t>la poste</w:t>
      </w:r>
      <w:r w:rsidR="00A851A9" w:rsidRPr="003E5DCB">
        <w:rPr>
          <w:lang w:val="fr-FR"/>
        </w:rPr>
        <w:t xml:space="preserve"> ou </w:t>
      </w:r>
      <w:r w:rsidR="001E328E" w:rsidRPr="003E5DCB">
        <w:rPr>
          <w:lang w:val="fr-FR"/>
        </w:rPr>
        <w:t xml:space="preserve">par </w:t>
      </w:r>
      <w:r w:rsidR="00A851A9" w:rsidRPr="003E5DCB">
        <w:rPr>
          <w:lang w:val="fr-FR"/>
        </w:rPr>
        <w:t>une entreprise d</w:t>
      </w:r>
      <w:r w:rsidR="009C3A49">
        <w:rPr>
          <w:lang w:val="fr-FR"/>
        </w:rPr>
        <w:t>’</w:t>
      </w:r>
      <w:r w:rsidR="00A851A9" w:rsidRPr="003E5DCB">
        <w:rPr>
          <w:lang w:val="fr-FR"/>
        </w:rPr>
        <w:t xml:space="preserve">acheminement </w:t>
      </w:r>
      <w:r w:rsidR="001E328E" w:rsidRPr="003E5DCB">
        <w:rPr>
          <w:lang w:val="fr-FR"/>
        </w:rPr>
        <w:t xml:space="preserve">du courrier </w:t>
      </w:r>
      <w:r w:rsidR="00A851A9" w:rsidRPr="003E5DCB">
        <w:rPr>
          <w:lang w:val="fr-FR"/>
        </w:rPr>
        <w:t xml:space="preserve">devraient encore </w:t>
      </w:r>
      <w:r w:rsidR="00362F4F" w:rsidRPr="003E5DCB">
        <w:rPr>
          <w:lang w:val="fr-FR"/>
        </w:rPr>
        <w:t>inclure</w:t>
      </w:r>
      <w:r w:rsidR="00A851A9" w:rsidRPr="003E5DCB">
        <w:rPr>
          <w:lang w:val="fr-FR"/>
        </w:rPr>
        <w:t xml:space="preserve"> une représentation graphique de la marque comprenant, par exemple, une ou plusieurs images de la marque apposées sur du papier</w:t>
      </w:r>
      <w:r w:rsidR="000729D9">
        <w:rPr>
          <w:lang w:val="fr-FR"/>
        </w:rPr>
        <w:t> </w:t>
      </w:r>
      <w:r w:rsidR="00A851A9" w:rsidRPr="003E5DCB">
        <w:rPr>
          <w:lang w:val="fr-FR"/>
        </w:rPr>
        <w:t>A4 (soit 210 x 297</w:t>
      </w:r>
      <w:r w:rsidR="000729D9">
        <w:rPr>
          <w:lang w:val="fr-FR"/>
        </w:rPr>
        <w:t> </w:t>
      </w:r>
      <w:r w:rsidR="004D686C" w:rsidRPr="003E5DCB">
        <w:rPr>
          <w:lang w:val="fr-FR"/>
        </w:rPr>
        <w:t>mm)</w:t>
      </w:r>
      <w:r w:rsidR="004D686C">
        <w:rPr>
          <w:lang w:val="fr-FR"/>
        </w:rPr>
        <w:t xml:space="preserve">.  </w:t>
      </w:r>
      <w:r w:rsidR="004D686C" w:rsidRPr="003E5DCB">
        <w:rPr>
          <w:lang w:val="fr-FR"/>
        </w:rPr>
        <w:t>Le</w:t>
      </w:r>
      <w:r w:rsidR="00A851A9" w:rsidRPr="003E5DCB">
        <w:rPr>
          <w:lang w:val="fr-FR"/>
        </w:rPr>
        <w:t xml:space="preserve">s demandes internationales transmises par voie électronique pourraient être présentées </w:t>
      </w:r>
      <w:r w:rsidR="00A851A9" w:rsidRPr="00362F4F">
        <w:rPr>
          <w:color w:val="000000"/>
          <w:lang w:val="fr-FR"/>
        </w:rPr>
        <w:t xml:space="preserve">avec </w:t>
      </w:r>
      <w:r w:rsidR="00A851A9" w:rsidRPr="003E5DCB">
        <w:rPr>
          <w:lang w:val="fr-FR"/>
        </w:rPr>
        <w:t>une représentation électronique de la marq</w:t>
      </w:r>
      <w:bookmarkEnd w:id="7"/>
      <w:r w:rsidR="004D686C" w:rsidRPr="003E5DCB">
        <w:rPr>
          <w:lang w:val="fr-FR"/>
        </w:rPr>
        <w:t>ue</w:t>
      </w:r>
      <w:r w:rsidR="004D686C">
        <w:rPr>
          <w:lang w:val="fr-FR"/>
        </w:rPr>
        <w:t xml:space="preserve">.  </w:t>
      </w:r>
      <w:r w:rsidR="004D686C" w:rsidRPr="003E5DCB">
        <w:rPr>
          <w:lang w:val="fr-FR"/>
        </w:rPr>
        <w:t>Le</w:t>
      </w:r>
      <w:r w:rsidR="00563D8D" w:rsidRPr="003E5DCB">
        <w:rPr>
          <w:lang w:val="fr-FR"/>
        </w:rPr>
        <w:t xml:space="preserve">s Instructions administratives pourraient indiquer les formats acceptables et les exigences techniques pour chaque forme de représentation électronique, </w:t>
      </w:r>
      <w:r w:rsidR="009C3A49">
        <w:rPr>
          <w:lang w:val="fr-FR"/>
        </w:rPr>
        <w:t>à savoir</w:t>
      </w:r>
      <w:r w:rsidR="00563D8D" w:rsidRPr="003E5DCB">
        <w:rPr>
          <w:lang w:val="fr-FR"/>
        </w:rPr>
        <w:t xml:space="preserve"> les images fixes, les images </w:t>
      </w:r>
      <w:r w:rsidR="00563D8D" w:rsidRPr="00362F4F">
        <w:rPr>
          <w:color w:val="000000"/>
          <w:lang w:val="fr-FR"/>
        </w:rPr>
        <w:t>animées</w:t>
      </w:r>
      <w:r w:rsidR="00563D8D" w:rsidRPr="003E5DCB">
        <w:rPr>
          <w:lang w:val="fr-FR"/>
        </w:rPr>
        <w:t xml:space="preserve">, les sons et les images animées </w:t>
      </w:r>
      <w:r w:rsidR="00563D8D" w:rsidRPr="00362F4F">
        <w:rPr>
          <w:color w:val="000000"/>
          <w:lang w:val="fr-FR"/>
        </w:rPr>
        <w:t>avec</w:t>
      </w:r>
      <w:r w:rsidR="00563D8D" w:rsidRPr="003E5DCB">
        <w:rPr>
          <w:lang w:val="fr-FR"/>
        </w:rPr>
        <w:t xml:space="preserve"> son.</w:t>
      </w:r>
    </w:p>
    <w:p w:rsidR="009C3A49" w:rsidRDefault="009C3A49" w:rsidP="009C3A49">
      <w:pPr>
        <w:pStyle w:val="Heading1"/>
        <w:rPr>
          <w:lang w:val="fr-FR"/>
        </w:rPr>
      </w:pPr>
      <w:r>
        <w:rPr>
          <w:lang w:val="fr-FR"/>
        </w:rPr>
        <w:lastRenderedPageBreak/>
        <w:t>II.</w:t>
      </w:r>
      <w:r>
        <w:rPr>
          <w:lang w:val="fr-FR"/>
        </w:rPr>
        <w:tab/>
      </w:r>
      <w:r w:rsidR="003D0603">
        <w:rPr>
          <w:lang w:val="fr-FR"/>
        </w:rPr>
        <w:t>autres considÉrations</w:t>
      </w:r>
      <w:r w:rsidR="00CA65B7" w:rsidRPr="003E5DCB">
        <w:rPr>
          <w:lang w:val="fr-FR"/>
        </w:rPr>
        <w:t xml:space="preserve"> </w:t>
      </w:r>
      <w:r w:rsidR="007706E9">
        <w:rPr>
          <w:lang w:val="fr-FR"/>
        </w:rPr>
        <w:t>relatives aux</w:t>
      </w:r>
      <w:r w:rsidR="00CA65B7" w:rsidRPr="003E5DCB">
        <w:rPr>
          <w:lang w:val="fr-FR"/>
        </w:rPr>
        <w:t xml:space="preserve"> modifications proposées</w:t>
      </w:r>
    </w:p>
    <w:p w:rsidR="0007738F" w:rsidRDefault="0007738F" w:rsidP="006232B4">
      <w:pPr>
        <w:rPr>
          <w:lang w:val="fr-FR"/>
        </w:rPr>
      </w:pPr>
    </w:p>
    <w:p w:rsidR="009C3A49" w:rsidRDefault="006E3B24" w:rsidP="00620060">
      <w:pPr>
        <w:pStyle w:val="ONUMFS"/>
        <w:spacing w:after="0"/>
        <w:rPr>
          <w:lang w:val="fr-FR"/>
        </w:rPr>
      </w:pPr>
      <w:r w:rsidRPr="003E5DCB">
        <w:rPr>
          <w:lang w:val="fr-FR"/>
        </w:rPr>
        <w:t>On peut raisonnablement s</w:t>
      </w:r>
      <w:r w:rsidR="009C3A49">
        <w:rPr>
          <w:lang w:val="fr-FR"/>
        </w:rPr>
        <w:t>’</w:t>
      </w:r>
      <w:r w:rsidRPr="003E5DCB">
        <w:rPr>
          <w:lang w:val="fr-FR"/>
        </w:rPr>
        <w:t xml:space="preserve">attendre à ce que, dans un avenir proche, toutes les </w:t>
      </w:r>
      <w:r w:rsidRPr="006E3B24">
        <w:rPr>
          <w:color w:val="000000"/>
          <w:lang w:val="fr-FR"/>
        </w:rPr>
        <w:t>p</w:t>
      </w:r>
      <w:r w:rsidRPr="003E5DCB">
        <w:rPr>
          <w:lang w:val="fr-FR"/>
        </w:rPr>
        <w:t xml:space="preserve">arties contractantes du système de Madrid acceptent les différents modes de représentation, </w:t>
      </w:r>
      <w:r w:rsidR="00362F4F" w:rsidRPr="003E5DCB">
        <w:rPr>
          <w:lang w:val="fr-FR"/>
        </w:rPr>
        <w:t>transmis</w:t>
      </w:r>
      <w:r w:rsidRPr="003E5DCB">
        <w:rPr>
          <w:lang w:val="fr-FR"/>
        </w:rPr>
        <w:t xml:space="preserve"> par voie électronique et sous forme numériq</w:t>
      </w:r>
      <w:r w:rsidR="004D686C" w:rsidRPr="003E5DCB">
        <w:rPr>
          <w:lang w:val="fr-FR"/>
        </w:rPr>
        <w:t>ue</w:t>
      </w:r>
      <w:r w:rsidR="004D686C">
        <w:rPr>
          <w:lang w:val="fr-FR"/>
        </w:rPr>
        <w:t xml:space="preserve">.  </w:t>
      </w:r>
      <w:r w:rsidR="004D686C" w:rsidRPr="003E5DCB">
        <w:rPr>
          <w:lang w:val="fr-FR"/>
        </w:rPr>
        <w:t>Le</w:t>
      </w:r>
      <w:r w:rsidRPr="003E5DCB">
        <w:rPr>
          <w:lang w:val="fr-FR"/>
        </w:rPr>
        <w:t xml:space="preserve"> système de Madrid doit être prêt à servir ses utilisateurs dans </w:t>
      </w:r>
      <w:r w:rsidR="00362F4F" w:rsidRPr="003E5DCB">
        <w:rPr>
          <w:lang w:val="fr-FR"/>
        </w:rPr>
        <w:t>un</w:t>
      </w:r>
      <w:r w:rsidRPr="003E5DCB">
        <w:rPr>
          <w:lang w:val="fr-FR"/>
        </w:rPr>
        <w:t xml:space="preserve"> </w:t>
      </w:r>
      <w:r w:rsidR="00362F4F" w:rsidRPr="003E5DCB">
        <w:rPr>
          <w:lang w:val="fr-FR"/>
        </w:rPr>
        <w:t>contexte qui évolue constamment</w:t>
      </w:r>
      <w:r w:rsidRPr="003E5DCB">
        <w:rPr>
          <w:lang w:val="fr-FR"/>
        </w:rPr>
        <w:t xml:space="preserve"> en actualisant son cadre juridique et en </w:t>
      </w:r>
      <w:r w:rsidRPr="006E3B24">
        <w:rPr>
          <w:color w:val="000000"/>
          <w:lang w:val="fr-FR"/>
        </w:rPr>
        <w:t xml:space="preserve">adaptant </w:t>
      </w:r>
      <w:r w:rsidRPr="003E5DCB">
        <w:rPr>
          <w:lang w:val="fr-FR"/>
        </w:rPr>
        <w:t>ses processus, ses pratiques, son organisation et son infrastructu</w:t>
      </w:r>
      <w:r w:rsidR="004D686C" w:rsidRPr="003E5DCB">
        <w:rPr>
          <w:lang w:val="fr-FR"/>
        </w:rPr>
        <w:t>re</w:t>
      </w:r>
      <w:r w:rsidR="004D686C">
        <w:rPr>
          <w:lang w:val="fr-FR"/>
        </w:rPr>
        <w:t xml:space="preserve">.  </w:t>
      </w:r>
      <w:r w:rsidR="004D686C" w:rsidRPr="003E5DCB">
        <w:rPr>
          <w:lang w:val="fr-FR"/>
        </w:rPr>
        <w:t>En</w:t>
      </w:r>
      <w:r w:rsidRPr="003E5DCB">
        <w:rPr>
          <w:lang w:val="fr-FR"/>
        </w:rPr>
        <w:t xml:space="preserve"> outre, le</w:t>
      </w:r>
      <w:r w:rsidR="003617BD">
        <w:rPr>
          <w:lang w:val="fr-FR"/>
        </w:rPr>
        <w:t> </w:t>
      </w:r>
      <w:r w:rsidRPr="003E5DCB">
        <w:rPr>
          <w:lang w:val="fr-FR"/>
        </w:rPr>
        <w:t xml:space="preserve">groupe de travail </w:t>
      </w:r>
      <w:r w:rsidRPr="006E3B24">
        <w:rPr>
          <w:color w:val="000000"/>
          <w:lang w:val="fr-FR"/>
        </w:rPr>
        <w:t xml:space="preserve">voudra </w:t>
      </w:r>
      <w:r w:rsidRPr="003E5DCB">
        <w:rPr>
          <w:lang w:val="fr-FR"/>
        </w:rPr>
        <w:t>peut</w:t>
      </w:r>
      <w:r w:rsidR="005B2F35">
        <w:rPr>
          <w:lang w:val="fr-FR"/>
        </w:rPr>
        <w:noBreakHyphen/>
      </w:r>
      <w:r w:rsidRPr="003E5DCB">
        <w:rPr>
          <w:lang w:val="fr-FR"/>
        </w:rPr>
        <w:t xml:space="preserve">être </w:t>
      </w:r>
      <w:r w:rsidR="00362F4F" w:rsidRPr="003E5DCB">
        <w:rPr>
          <w:lang w:val="fr-FR"/>
        </w:rPr>
        <w:t>réfléchir à</w:t>
      </w:r>
      <w:r w:rsidRPr="003E5DCB">
        <w:rPr>
          <w:lang w:val="fr-FR"/>
        </w:rPr>
        <w:t xml:space="preserve"> d</w:t>
      </w:r>
      <w:r w:rsidR="009C3A49">
        <w:rPr>
          <w:lang w:val="fr-FR"/>
        </w:rPr>
        <w:t>’</w:t>
      </w:r>
      <w:r w:rsidRPr="003E5DCB">
        <w:rPr>
          <w:lang w:val="fr-FR"/>
        </w:rPr>
        <w:t xml:space="preserve">autres moyens </w:t>
      </w:r>
      <w:r w:rsidR="00362F4F" w:rsidRPr="003E5DCB">
        <w:rPr>
          <w:lang w:val="fr-FR"/>
        </w:rPr>
        <w:t>pour a</w:t>
      </w:r>
      <w:r w:rsidRPr="003E5DCB">
        <w:rPr>
          <w:lang w:val="fr-FR"/>
        </w:rPr>
        <w:t>ider au mieux les ut</w:t>
      </w:r>
      <w:r w:rsidR="00362F4F" w:rsidRPr="003E5DCB">
        <w:rPr>
          <w:lang w:val="fr-FR"/>
        </w:rPr>
        <w:t>ilisateurs du système de Madrid</w:t>
      </w:r>
      <w:r w:rsidRPr="003E5DCB">
        <w:rPr>
          <w:lang w:val="fr-FR"/>
        </w:rPr>
        <w:t xml:space="preserve"> </w:t>
      </w:r>
      <w:r w:rsidR="00362F4F">
        <w:rPr>
          <w:color w:val="000000"/>
          <w:lang w:val="fr-FR"/>
        </w:rPr>
        <w:t>pendant</w:t>
      </w:r>
      <w:r w:rsidRPr="006E3B24">
        <w:rPr>
          <w:color w:val="000000"/>
          <w:lang w:val="fr-FR"/>
        </w:rPr>
        <w:t xml:space="preserve"> </w:t>
      </w:r>
      <w:r w:rsidRPr="003E5DCB">
        <w:rPr>
          <w:lang w:val="fr-FR"/>
        </w:rPr>
        <w:t xml:space="preserve">que les </w:t>
      </w:r>
      <w:r w:rsidRPr="006E3B24">
        <w:rPr>
          <w:color w:val="000000"/>
          <w:lang w:val="fr-FR"/>
        </w:rPr>
        <w:t>p</w:t>
      </w:r>
      <w:r w:rsidRPr="003E5DCB">
        <w:rPr>
          <w:lang w:val="fr-FR"/>
        </w:rPr>
        <w:t>arties contractantes procèdent à cette transition.</w:t>
      </w:r>
    </w:p>
    <w:p w:rsidR="0007738F" w:rsidRDefault="006E3B24" w:rsidP="009C3A49">
      <w:pPr>
        <w:pStyle w:val="Heading2"/>
        <w:rPr>
          <w:lang w:val="fr-FR"/>
        </w:rPr>
      </w:pPr>
      <w:r w:rsidRPr="003E5DCB">
        <w:rPr>
          <w:lang w:val="fr-FR"/>
        </w:rPr>
        <w:t>A</w:t>
      </w:r>
      <w:r w:rsidRPr="0037054A">
        <w:rPr>
          <w:color w:val="000000"/>
          <w:lang w:val="fr-FR"/>
        </w:rPr>
        <w:t>.</w:t>
      </w:r>
      <w:r w:rsidR="009C3A49">
        <w:rPr>
          <w:color w:val="000000"/>
          <w:lang w:val="fr-FR"/>
        </w:rPr>
        <w:tab/>
      </w:r>
      <w:r w:rsidR="009C3A49" w:rsidRPr="003E5DCB">
        <w:rPr>
          <w:lang w:val="fr-FR"/>
        </w:rPr>
        <w:t>Considérations pratique</w:t>
      </w:r>
      <w:r w:rsidR="009C3A49" w:rsidRPr="0037054A">
        <w:rPr>
          <w:color w:val="000000"/>
          <w:lang w:val="fr-FR"/>
        </w:rPr>
        <w:t>s</w:t>
      </w:r>
    </w:p>
    <w:p w:rsidR="0007738F" w:rsidRPr="009C3A49" w:rsidRDefault="009C3A49" w:rsidP="009C3A49">
      <w:pPr>
        <w:pStyle w:val="Heading4"/>
      </w:pPr>
      <w:r w:rsidRPr="009C3A49">
        <w:t>i)</w:t>
      </w:r>
      <w:r w:rsidRPr="009C3A49">
        <w:tab/>
      </w:r>
      <w:r w:rsidR="0037054A" w:rsidRPr="009C3A49">
        <w:t>Signes ne pouvant constituer une marque</w:t>
      </w:r>
    </w:p>
    <w:p w:rsidR="0007738F" w:rsidRDefault="0007738F" w:rsidP="00F11138">
      <w:pPr>
        <w:rPr>
          <w:lang w:val="fr-FR"/>
        </w:rPr>
      </w:pPr>
    </w:p>
    <w:p w:rsidR="009C3A49" w:rsidRDefault="0037054A" w:rsidP="003E5DCB">
      <w:pPr>
        <w:pStyle w:val="ONUMFS"/>
        <w:rPr>
          <w:lang w:val="fr-FR"/>
        </w:rPr>
      </w:pPr>
      <w:bookmarkStart w:id="8" w:name="_Ref9848233"/>
      <w:r w:rsidRPr="003E5DCB">
        <w:rPr>
          <w:lang w:val="fr-FR"/>
        </w:rPr>
        <w:t>Lors de l</w:t>
      </w:r>
      <w:r w:rsidR="009C3A49">
        <w:rPr>
          <w:lang w:val="fr-FR"/>
        </w:rPr>
        <w:t>’</w:t>
      </w:r>
      <w:r w:rsidRPr="003E5DCB">
        <w:rPr>
          <w:lang w:val="fr-FR"/>
        </w:rPr>
        <w:t xml:space="preserve">examen de la suite à donner aux modifications </w:t>
      </w:r>
      <w:r w:rsidRPr="0037054A">
        <w:rPr>
          <w:color w:val="000000"/>
          <w:lang w:val="fr-FR"/>
        </w:rPr>
        <w:t xml:space="preserve">présentées </w:t>
      </w:r>
      <w:r w:rsidRPr="003E5DCB">
        <w:rPr>
          <w:lang w:val="fr-FR"/>
        </w:rPr>
        <w:t>aux paragraphes</w:t>
      </w:r>
      <w:r w:rsidR="000729D9">
        <w:rPr>
          <w:lang w:val="fr-FR"/>
        </w:rPr>
        <w:t> </w:t>
      </w:r>
      <w:r w:rsidRPr="003E5DCB">
        <w:rPr>
          <w:lang w:val="fr-FR"/>
        </w:rPr>
        <w:t>3 à</w:t>
      </w:r>
      <w:r w:rsidR="003617BD">
        <w:rPr>
          <w:lang w:val="fr-FR"/>
        </w:rPr>
        <w:t> </w:t>
      </w:r>
      <w:r w:rsidRPr="003E5DCB">
        <w:rPr>
          <w:lang w:val="fr-FR"/>
        </w:rPr>
        <w:t>6 ci</w:t>
      </w:r>
      <w:r w:rsidR="005B2F35">
        <w:rPr>
          <w:lang w:val="fr-FR"/>
        </w:rPr>
        <w:noBreakHyphen/>
      </w:r>
      <w:r w:rsidRPr="003E5DCB">
        <w:rPr>
          <w:lang w:val="fr-FR"/>
        </w:rPr>
        <w:t xml:space="preserve">dessus, </w:t>
      </w:r>
      <w:r w:rsidR="000E7656">
        <w:rPr>
          <w:color w:val="000000"/>
          <w:lang w:val="fr-FR"/>
        </w:rPr>
        <w:t>le</w:t>
      </w:r>
      <w:r w:rsidRPr="003E5DCB">
        <w:rPr>
          <w:lang w:val="fr-FR"/>
        </w:rPr>
        <w:t xml:space="preserve"> groupe de travail </w:t>
      </w:r>
      <w:r w:rsidR="000E7656">
        <w:rPr>
          <w:color w:val="000000"/>
          <w:lang w:val="fr-FR"/>
        </w:rPr>
        <w:t>souhaitera</w:t>
      </w:r>
      <w:r w:rsidR="000E7656" w:rsidRPr="006E3B24">
        <w:rPr>
          <w:color w:val="000000"/>
          <w:lang w:val="fr-FR"/>
        </w:rPr>
        <w:t xml:space="preserve"> </w:t>
      </w:r>
      <w:r w:rsidR="000E7656" w:rsidRPr="003E5DCB">
        <w:rPr>
          <w:lang w:val="fr-FR"/>
        </w:rPr>
        <w:t>peut</w:t>
      </w:r>
      <w:r w:rsidR="000E7656">
        <w:rPr>
          <w:lang w:val="fr-FR"/>
        </w:rPr>
        <w:noBreakHyphen/>
        <w:t>être</w:t>
      </w:r>
      <w:r w:rsidRPr="003E5DCB">
        <w:rPr>
          <w:lang w:val="fr-FR"/>
        </w:rPr>
        <w:t xml:space="preserve"> prendre en considération les conclusions de l</w:t>
      </w:r>
      <w:r w:rsidR="009C3A49">
        <w:rPr>
          <w:lang w:val="fr-FR"/>
        </w:rPr>
        <w:t>’</w:t>
      </w:r>
      <w:r w:rsidRPr="003E5DCB">
        <w:rPr>
          <w:lang w:val="fr-FR"/>
        </w:rPr>
        <w:t xml:space="preserve">enquête sur les types de marques et les </w:t>
      </w:r>
      <w:r w:rsidR="000E7656">
        <w:rPr>
          <w:lang w:val="fr-FR"/>
        </w:rPr>
        <w:t>modes</w:t>
      </w:r>
      <w:r w:rsidR="00362F4F" w:rsidRPr="003E5DCB">
        <w:rPr>
          <w:lang w:val="fr-FR"/>
        </w:rPr>
        <w:t xml:space="preserve"> de représentation acceptables</w:t>
      </w:r>
      <w:r w:rsidRPr="003E5DCB">
        <w:rPr>
          <w:lang w:val="fr-FR"/>
        </w:rPr>
        <w:t xml:space="preserve"> figur</w:t>
      </w:r>
      <w:r w:rsidR="00362F4F">
        <w:rPr>
          <w:color w:val="000000"/>
          <w:lang w:val="fr-FR"/>
        </w:rPr>
        <w:t>a</w:t>
      </w:r>
      <w:r w:rsidRPr="003E5DCB">
        <w:rPr>
          <w:lang w:val="fr-FR"/>
        </w:rPr>
        <w:t>nt dans l</w:t>
      </w:r>
      <w:r w:rsidR="009C3A49">
        <w:rPr>
          <w:lang w:val="fr-FR"/>
        </w:rPr>
        <w:t>’</w:t>
      </w:r>
      <w:r w:rsidRPr="003E5DCB">
        <w:rPr>
          <w:lang w:val="fr-FR"/>
        </w:rPr>
        <w:t xml:space="preserve">annexe du </w:t>
      </w:r>
      <w:r w:rsidR="009C3A49" w:rsidRPr="003E5DCB">
        <w:rPr>
          <w:lang w:val="fr-FR"/>
        </w:rPr>
        <w:t>document</w:t>
      </w:r>
      <w:r w:rsidR="009C3A49">
        <w:rPr>
          <w:lang w:val="fr-FR"/>
        </w:rPr>
        <w:t xml:space="preserve"> </w:t>
      </w:r>
      <w:r w:rsidR="009C3A49" w:rsidRPr="003E5DCB">
        <w:rPr>
          <w:lang w:val="fr-FR"/>
        </w:rPr>
        <w:t>MM</w:t>
      </w:r>
      <w:r w:rsidRPr="003E5DCB">
        <w:rPr>
          <w:lang w:val="fr-FR"/>
        </w:rPr>
        <w:t xml:space="preserve">/LD/WG/17/4. </w:t>
      </w:r>
      <w:r w:rsidR="000729D9">
        <w:rPr>
          <w:lang w:val="fr-FR"/>
        </w:rPr>
        <w:t xml:space="preserve"> E</w:t>
      </w:r>
      <w:r w:rsidRPr="003E5DCB">
        <w:rPr>
          <w:lang w:val="fr-FR"/>
        </w:rPr>
        <w:t xml:space="preserve">n particulier, il </w:t>
      </w:r>
      <w:r w:rsidRPr="0037054A">
        <w:rPr>
          <w:color w:val="000000"/>
          <w:lang w:val="fr-FR"/>
        </w:rPr>
        <w:t xml:space="preserve">est </w:t>
      </w:r>
      <w:r w:rsidRPr="003E5DCB">
        <w:rPr>
          <w:lang w:val="fr-FR"/>
        </w:rPr>
        <w:t xml:space="preserve">utile </w:t>
      </w:r>
      <w:r w:rsidRPr="0037054A">
        <w:rPr>
          <w:color w:val="000000"/>
          <w:lang w:val="fr-FR"/>
        </w:rPr>
        <w:t>de relever</w:t>
      </w:r>
      <w:r w:rsidRPr="003E5DCB">
        <w:rPr>
          <w:lang w:val="fr-FR"/>
        </w:rPr>
        <w:t xml:space="preserve"> q</w:t>
      </w:r>
      <w:r w:rsidRPr="0037054A">
        <w:rPr>
          <w:color w:val="000000"/>
          <w:lang w:val="fr-FR"/>
        </w:rPr>
        <w:t xml:space="preserve">ue </w:t>
      </w:r>
      <w:r w:rsidRPr="003E5DCB">
        <w:rPr>
          <w:lang w:val="fr-FR"/>
        </w:rPr>
        <w:t>pour 47 des 82</w:t>
      </w:r>
      <w:r w:rsidR="000729D9">
        <w:rPr>
          <w:lang w:val="fr-FR"/>
        </w:rPr>
        <w:t> </w:t>
      </w:r>
      <w:r w:rsidRPr="0037054A">
        <w:rPr>
          <w:color w:val="000000"/>
          <w:lang w:val="fr-FR"/>
        </w:rPr>
        <w:t>o</w:t>
      </w:r>
      <w:r w:rsidRPr="003E5DCB">
        <w:rPr>
          <w:lang w:val="fr-FR"/>
        </w:rPr>
        <w:t>ffices ayant participé à l</w:t>
      </w:r>
      <w:r w:rsidR="009C3A49">
        <w:rPr>
          <w:lang w:val="fr-FR"/>
        </w:rPr>
        <w:t>’</w:t>
      </w:r>
      <w:r w:rsidRPr="003E5DCB">
        <w:rPr>
          <w:lang w:val="fr-FR"/>
        </w:rPr>
        <w:t xml:space="preserve">enquête, les marques sont définies, conformément </w:t>
      </w:r>
      <w:r w:rsidR="00362F4F" w:rsidRPr="003E5DCB">
        <w:rPr>
          <w:lang w:val="fr-FR"/>
        </w:rPr>
        <w:t>à la législation et aux pratiques applicables chez eux</w:t>
      </w:r>
      <w:r w:rsidRPr="003E5DCB">
        <w:rPr>
          <w:lang w:val="fr-FR"/>
        </w:rPr>
        <w:t xml:space="preserve">, </w:t>
      </w:r>
      <w:r w:rsidRPr="0037054A">
        <w:rPr>
          <w:color w:val="000000"/>
          <w:lang w:val="fr-FR"/>
        </w:rPr>
        <w:t>comme des</w:t>
      </w:r>
      <w:r w:rsidRPr="003E5DCB">
        <w:rPr>
          <w:lang w:val="fr-FR"/>
        </w:rPr>
        <w:t xml:space="preserve"> signes pouvant être représentés graphiquement; </w:t>
      </w:r>
      <w:r w:rsidR="006A36D2">
        <w:rPr>
          <w:lang w:val="fr-FR"/>
        </w:rPr>
        <w:t xml:space="preserve"> </w:t>
      </w:r>
      <w:r w:rsidRPr="003E5DCB">
        <w:rPr>
          <w:lang w:val="fr-FR"/>
        </w:rPr>
        <w:t xml:space="preserve">et que, pour 35 de ces </w:t>
      </w:r>
      <w:r w:rsidRPr="0037054A">
        <w:rPr>
          <w:color w:val="000000"/>
          <w:lang w:val="fr-FR"/>
        </w:rPr>
        <w:t>o</w:t>
      </w:r>
      <w:r w:rsidRPr="003E5DCB">
        <w:rPr>
          <w:lang w:val="fr-FR"/>
        </w:rPr>
        <w:t>ffices, les marques sont définies comme des signes</w:t>
      </w:r>
      <w:r w:rsidR="007F7826">
        <w:rPr>
          <w:lang w:val="fr-FR"/>
        </w:rPr>
        <w:t xml:space="preserve"> visibles</w:t>
      </w:r>
      <w:r w:rsidRPr="003E5DCB">
        <w:rPr>
          <w:lang w:val="fr-FR"/>
        </w:rPr>
        <w:t>.</w:t>
      </w:r>
      <w:bookmarkEnd w:id="8"/>
    </w:p>
    <w:p w:rsidR="009C3A49" w:rsidRDefault="0037054A" w:rsidP="003E5DCB">
      <w:pPr>
        <w:pStyle w:val="ONUMFS"/>
        <w:rPr>
          <w:lang w:val="fr-FR"/>
        </w:rPr>
      </w:pPr>
      <w:r w:rsidRPr="003E5DCB">
        <w:rPr>
          <w:lang w:val="fr-FR"/>
        </w:rPr>
        <w:t xml:space="preserve">Les modifications susmentionnées ne permettraient pas de limiter le droit des </w:t>
      </w:r>
      <w:r w:rsidRPr="0037054A">
        <w:rPr>
          <w:color w:val="000000"/>
          <w:lang w:val="fr-FR"/>
        </w:rPr>
        <w:t>p</w:t>
      </w:r>
      <w:r w:rsidRPr="003E5DCB">
        <w:rPr>
          <w:lang w:val="fr-FR"/>
        </w:rPr>
        <w:t>arties contractantes désignées de refuser la protection lorsque le signe faisant l</w:t>
      </w:r>
      <w:r w:rsidR="009C3A49">
        <w:rPr>
          <w:lang w:val="fr-FR"/>
        </w:rPr>
        <w:t>’</w:t>
      </w:r>
      <w:r w:rsidRPr="003E5DCB">
        <w:rPr>
          <w:lang w:val="fr-FR"/>
        </w:rPr>
        <w:t>objet d</w:t>
      </w:r>
      <w:r w:rsidR="009C3A49">
        <w:rPr>
          <w:lang w:val="fr-FR"/>
        </w:rPr>
        <w:t>’</w:t>
      </w:r>
      <w:r w:rsidRPr="003E5DCB">
        <w:rPr>
          <w:lang w:val="fr-FR"/>
        </w:rPr>
        <w:t>un enregistrement international ne peut constituer une marque en vertu de l</w:t>
      </w:r>
      <w:r w:rsidR="00C959F7">
        <w:rPr>
          <w:lang w:val="fr-FR"/>
        </w:rPr>
        <w:t>eur</w:t>
      </w:r>
      <w:r w:rsidRPr="003E5DCB">
        <w:rPr>
          <w:lang w:val="fr-FR"/>
        </w:rPr>
        <w:t xml:space="preserve"> législation et de </w:t>
      </w:r>
      <w:r w:rsidR="00C959F7">
        <w:rPr>
          <w:lang w:val="fr-FR"/>
        </w:rPr>
        <w:t xml:space="preserve">leurs </w:t>
      </w:r>
      <w:r w:rsidRPr="003E5DCB">
        <w:rPr>
          <w:lang w:val="fr-FR"/>
        </w:rPr>
        <w:t>pratiques applicabl</w:t>
      </w:r>
      <w:r w:rsidR="004D686C" w:rsidRPr="003E5DCB">
        <w:rPr>
          <w:lang w:val="fr-FR"/>
        </w:rPr>
        <w:t>es</w:t>
      </w:r>
      <w:r w:rsidR="004D686C">
        <w:rPr>
          <w:lang w:val="fr-FR"/>
        </w:rPr>
        <w:t xml:space="preserve">.  </w:t>
      </w:r>
      <w:r w:rsidR="004D686C" w:rsidRPr="003E5DCB">
        <w:rPr>
          <w:lang w:val="fr-FR"/>
        </w:rPr>
        <w:t>Pa</w:t>
      </w:r>
      <w:r w:rsidR="00ED3D98" w:rsidRPr="003E5DCB">
        <w:rPr>
          <w:lang w:val="fr-FR"/>
        </w:rPr>
        <w:t xml:space="preserve">r exemple, si la plupart des </w:t>
      </w:r>
      <w:r w:rsidR="00ED3D98" w:rsidRPr="00ED3D98">
        <w:rPr>
          <w:color w:val="000000"/>
          <w:lang w:val="fr-FR"/>
        </w:rPr>
        <w:t>o</w:t>
      </w:r>
      <w:r w:rsidR="00ED3D98" w:rsidRPr="003E5DCB">
        <w:rPr>
          <w:lang w:val="fr-FR"/>
        </w:rPr>
        <w:t>ffices ayant répondu au questionnaire protègent le</w:t>
      </w:r>
      <w:r w:rsidR="00ED3D98" w:rsidRPr="00ED3D98">
        <w:rPr>
          <w:color w:val="000000"/>
          <w:lang w:val="fr-FR"/>
        </w:rPr>
        <w:t>s</w:t>
      </w:r>
      <w:r w:rsidR="00ED3D98" w:rsidRPr="003E5DCB">
        <w:rPr>
          <w:lang w:val="fr-FR"/>
        </w:rPr>
        <w:t xml:space="preserve"> </w:t>
      </w:r>
      <w:r w:rsidR="00ED3D98" w:rsidRPr="00ED3D98">
        <w:rPr>
          <w:color w:val="000000"/>
          <w:lang w:val="fr-FR"/>
        </w:rPr>
        <w:t xml:space="preserve">marques verbales, figuratives, </w:t>
      </w:r>
      <w:r w:rsidR="00ED3D98" w:rsidRPr="003E5DCB">
        <w:rPr>
          <w:lang w:val="fr-FR"/>
        </w:rPr>
        <w:t>tridimensionnelles</w:t>
      </w:r>
      <w:r w:rsidR="00ED3D98" w:rsidRPr="00ED3D98">
        <w:rPr>
          <w:color w:val="000000"/>
          <w:lang w:val="fr-FR"/>
        </w:rPr>
        <w:t xml:space="preserve"> et</w:t>
      </w:r>
      <w:r w:rsidR="00ED3D98" w:rsidRPr="003E5DCB">
        <w:rPr>
          <w:lang w:val="fr-FR"/>
        </w:rPr>
        <w:t xml:space="preserve"> de couleur, </w:t>
      </w:r>
      <w:r w:rsidR="00ED3D98" w:rsidRPr="00ED3D98">
        <w:rPr>
          <w:color w:val="000000"/>
          <w:lang w:val="fr-FR"/>
        </w:rPr>
        <w:t xml:space="preserve">certains offices </w:t>
      </w:r>
      <w:r w:rsidR="00ED3D98" w:rsidRPr="003E5DCB">
        <w:rPr>
          <w:lang w:val="fr-FR"/>
        </w:rPr>
        <w:t xml:space="preserve">ne protègent pas, </w:t>
      </w:r>
      <w:r w:rsidR="007F5F3D">
        <w:rPr>
          <w:color w:val="000000"/>
          <w:lang w:val="fr-FR"/>
        </w:rPr>
        <w:t>par exemple</w:t>
      </w:r>
      <w:r w:rsidR="00ED3D98" w:rsidRPr="003E5DCB">
        <w:rPr>
          <w:lang w:val="fr-FR"/>
        </w:rPr>
        <w:t>, les marques sonores, hologrammes, de mouvement ou multimédia.</w:t>
      </w:r>
    </w:p>
    <w:p w:rsidR="009C3A49" w:rsidRDefault="00ED3D98" w:rsidP="003E5DCB">
      <w:pPr>
        <w:pStyle w:val="ONUMFS"/>
        <w:rPr>
          <w:lang w:val="fr-FR"/>
        </w:rPr>
      </w:pPr>
      <w:bookmarkStart w:id="9" w:name="_Ref9843025"/>
      <w:r w:rsidRPr="003E5DCB">
        <w:rPr>
          <w:lang w:val="fr-FR"/>
        </w:rPr>
        <w:t>Par conséquent, les titulaires d</w:t>
      </w:r>
      <w:r w:rsidR="009C3A49">
        <w:rPr>
          <w:lang w:val="fr-FR"/>
        </w:rPr>
        <w:t>’</w:t>
      </w:r>
      <w:r w:rsidRPr="003E5DCB">
        <w:rPr>
          <w:lang w:val="fr-FR"/>
        </w:rPr>
        <w:t xml:space="preserve">enregistrements internationaux pour ce </w:t>
      </w:r>
      <w:r w:rsidRPr="00ED3D98">
        <w:rPr>
          <w:color w:val="000000"/>
          <w:lang w:val="fr-FR"/>
        </w:rPr>
        <w:t>que l</w:t>
      </w:r>
      <w:r w:rsidR="009C3A49">
        <w:rPr>
          <w:color w:val="000000"/>
          <w:lang w:val="fr-FR"/>
        </w:rPr>
        <w:t>’</w:t>
      </w:r>
      <w:r w:rsidRPr="00ED3D98">
        <w:rPr>
          <w:color w:val="000000"/>
          <w:lang w:val="fr-FR"/>
        </w:rPr>
        <w:t>on appelle</w:t>
      </w:r>
      <w:r w:rsidRPr="003E5DCB">
        <w:rPr>
          <w:lang w:val="fr-FR"/>
        </w:rPr>
        <w:t xml:space="preserve"> les nouveaux types de marques se heurteraient encore à un refus provisoire lorsque le signe faisant l</w:t>
      </w:r>
      <w:r w:rsidR="009C3A49">
        <w:rPr>
          <w:lang w:val="fr-FR"/>
        </w:rPr>
        <w:t>’</w:t>
      </w:r>
      <w:r w:rsidRPr="003E5DCB">
        <w:rPr>
          <w:lang w:val="fr-FR"/>
        </w:rPr>
        <w:t>objet de l</w:t>
      </w:r>
      <w:r w:rsidR="009C3A49">
        <w:rPr>
          <w:lang w:val="fr-FR"/>
        </w:rPr>
        <w:t>’</w:t>
      </w:r>
      <w:r w:rsidRPr="003E5DCB">
        <w:rPr>
          <w:lang w:val="fr-FR"/>
        </w:rPr>
        <w:t xml:space="preserve">enregistrement international ne peut constituer une marque en vertu </w:t>
      </w:r>
      <w:r w:rsidRPr="00ED3D98">
        <w:rPr>
          <w:color w:val="000000"/>
          <w:lang w:val="fr-FR"/>
        </w:rPr>
        <w:t>de la législation</w:t>
      </w:r>
      <w:r w:rsidRPr="003E5DCB">
        <w:rPr>
          <w:lang w:val="fr-FR"/>
        </w:rPr>
        <w:t xml:space="preserve"> et des pratiques des </w:t>
      </w:r>
      <w:r w:rsidRPr="00ED3D98">
        <w:rPr>
          <w:color w:val="000000"/>
          <w:lang w:val="fr-FR"/>
        </w:rPr>
        <w:t>p</w:t>
      </w:r>
      <w:r w:rsidRPr="003E5DCB">
        <w:rPr>
          <w:lang w:val="fr-FR"/>
        </w:rPr>
        <w:t>arties contractantes désignées, indépendamment de la manière dont ces marques sont représentées.</w:t>
      </w:r>
      <w:bookmarkEnd w:id="9"/>
    </w:p>
    <w:p w:rsidR="009C3A49" w:rsidRDefault="00ED3D98" w:rsidP="00620060">
      <w:pPr>
        <w:pStyle w:val="ONUMFS"/>
        <w:spacing w:after="0"/>
        <w:rPr>
          <w:lang w:val="fr-FR"/>
        </w:rPr>
      </w:pPr>
      <w:r w:rsidRPr="003E5DCB">
        <w:rPr>
          <w:lang w:val="fr-FR"/>
        </w:rPr>
        <w:t>La situation décrite au paragraphe</w:t>
      </w:r>
      <w:r w:rsidR="000729D9">
        <w:rPr>
          <w:lang w:val="fr-FR"/>
        </w:rPr>
        <w:t> </w:t>
      </w:r>
      <w:r w:rsidR="003E5DCB">
        <w:rPr>
          <w:lang w:val="fr-FR"/>
        </w:rPr>
        <w:fldChar w:fldCharType="begin"/>
      </w:r>
      <w:r w:rsidR="003E5DCB">
        <w:rPr>
          <w:lang w:val="fr-FR"/>
        </w:rPr>
        <w:instrText xml:space="preserve"> REF _Ref9843025 \r \h </w:instrText>
      </w:r>
      <w:r w:rsidR="003E5DCB">
        <w:rPr>
          <w:lang w:val="fr-FR"/>
        </w:rPr>
      </w:r>
      <w:r w:rsidR="003E5DCB">
        <w:rPr>
          <w:lang w:val="fr-FR"/>
        </w:rPr>
        <w:fldChar w:fldCharType="separate"/>
      </w:r>
      <w:r w:rsidR="003E5DCB">
        <w:rPr>
          <w:lang w:val="fr-FR"/>
        </w:rPr>
        <w:t>10</w:t>
      </w:r>
      <w:r w:rsidR="003E5DCB">
        <w:rPr>
          <w:lang w:val="fr-FR"/>
        </w:rPr>
        <w:fldChar w:fldCharType="end"/>
      </w:r>
      <w:r w:rsidRPr="003E5DCB">
        <w:rPr>
          <w:lang w:val="fr-FR"/>
        </w:rPr>
        <w:t xml:space="preserve"> ci</w:t>
      </w:r>
      <w:r w:rsidR="005B2F35">
        <w:rPr>
          <w:lang w:val="fr-FR"/>
        </w:rPr>
        <w:noBreakHyphen/>
      </w:r>
      <w:r w:rsidRPr="003E5DCB">
        <w:rPr>
          <w:lang w:val="fr-FR"/>
        </w:rPr>
        <w:t xml:space="preserve">dessus </w:t>
      </w:r>
      <w:r w:rsidRPr="00ED3D98">
        <w:rPr>
          <w:color w:val="000000"/>
          <w:lang w:val="fr-FR"/>
        </w:rPr>
        <w:t>devrait s</w:t>
      </w:r>
      <w:r w:rsidR="009C3A49">
        <w:rPr>
          <w:color w:val="000000"/>
          <w:lang w:val="fr-FR"/>
        </w:rPr>
        <w:t>’</w:t>
      </w:r>
      <w:r w:rsidRPr="00ED3D98">
        <w:rPr>
          <w:color w:val="000000"/>
          <w:lang w:val="fr-FR"/>
        </w:rPr>
        <w:t>améliorer</w:t>
      </w:r>
      <w:r w:rsidRPr="003E5DCB">
        <w:rPr>
          <w:lang w:val="fr-FR"/>
        </w:rPr>
        <w:t xml:space="preserve"> </w:t>
      </w:r>
      <w:r w:rsidRPr="00ED3D98">
        <w:rPr>
          <w:color w:val="000000"/>
          <w:lang w:val="fr-FR"/>
        </w:rPr>
        <w:t xml:space="preserve">à mesure que </w:t>
      </w:r>
      <w:r w:rsidRPr="003E5DCB">
        <w:rPr>
          <w:lang w:val="fr-FR"/>
        </w:rPr>
        <w:t xml:space="preserve">les </w:t>
      </w:r>
      <w:r w:rsidRPr="00ED3D98">
        <w:rPr>
          <w:color w:val="000000"/>
          <w:lang w:val="fr-FR"/>
        </w:rPr>
        <w:t>p</w:t>
      </w:r>
      <w:r w:rsidRPr="003E5DCB">
        <w:rPr>
          <w:lang w:val="fr-FR"/>
        </w:rPr>
        <w:t xml:space="preserve">arties contractantes procéderont à un examen de leurs cadres et </w:t>
      </w:r>
      <w:r w:rsidRPr="00ED3D98">
        <w:rPr>
          <w:color w:val="000000"/>
          <w:lang w:val="fr-FR"/>
        </w:rPr>
        <w:t xml:space="preserve">de leurs </w:t>
      </w:r>
      <w:r w:rsidRPr="003E5DCB">
        <w:rPr>
          <w:lang w:val="fr-FR"/>
        </w:rPr>
        <w:t xml:space="preserve">pratiques </w:t>
      </w:r>
      <w:r w:rsidR="00174ECF" w:rsidRPr="00ED3D98">
        <w:rPr>
          <w:color w:val="000000"/>
          <w:lang w:val="fr-FR"/>
        </w:rPr>
        <w:t xml:space="preserve">juridiques </w:t>
      </w:r>
      <w:r w:rsidRPr="00ED3D98">
        <w:rPr>
          <w:color w:val="000000"/>
          <w:lang w:val="fr-FR"/>
        </w:rPr>
        <w:t xml:space="preserve">aux niveaux national </w:t>
      </w:r>
      <w:r w:rsidR="0021560B">
        <w:rPr>
          <w:color w:val="000000"/>
          <w:lang w:val="fr-FR"/>
        </w:rPr>
        <w:t>ou</w:t>
      </w:r>
      <w:r w:rsidRPr="00ED3D98">
        <w:rPr>
          <w:color w:val="000000"/>
          <w:lang w:val="fr-FR"/>
        </w:rPr>
        <w:t xml:space="preserve"> région</w:t>
      </w:r>
      <w:r w:rsidR="004D686C" w:rsidRPr="00ED3D98">
        <w:rPr>
          <w:color w:val="000000"/>
          <w:lang w:val="fr-FR"/>
        </w:rPr>
        <w:t>al</w:t>
      </w:r>
      <w:r w:rsidR="004D686C">
        <w:rPr>
          <w:color w:val="000000"/>
          <w:lang w:val="fr-FR"/>
        </w:rPr>
        <w:t xml:space="preserve">.  </w:t>
      </w:r>
      <w:r w:rsidR="004D686C" w:rsidRPr="003E5DCB">
        <w:rPr>
          <w:lang w:val="fr-FR"/>
        </w:rPr>
        <w:t>Le</w:t>
      </w:r>
      <w:r w:rsidR="009565D5" w:rsidRPr="003E5DCB">
        <w:rPr>
          <w:lang w:val="fr-FR"/>
        </w:rPr>
        <w:t xml:space="preserve"> groupe de travail </w:t>
      </w:r>
      <w:r w:rsidR="00B24010">
        <w:rPr>
          <w:color w:val="000000"/>
          <w:lang w:val="fr-FR"/>
        </w:rPr>
        <w:t>voudra</w:t>
      </w:r>
      <w:r w:rsidR="009565D5" w:rsidRPr="003E5DCB">
        <w:rPr>
          <w:lang w:val="fr-FR"/>
        </w:rPr>
        <w:t xml:space="preserve"> peut</w:t>
      </w:r>
      <w:r w:rsidR="005B2F35">
        <w:rPr>
          <w:lang w:val="fr-FR"/>
        </w:rPr>
        <w:noBreakHyphen/>
      </w:r>
      <w:r w:rsidR="009565D5" w:rsidRPr="003E5DCB">
        <w:rPr>
          <w:lang w:val="fr-FR"/>
        </w:rPr>
        <w:t xml:space="preserve">être </w:t>
      </w:r>
      <w:r w:rsidR="009565D5" w:rsidRPr="009565D5">
        <w:rPr>
          <w:color w:val="000000"/>
          <w:lang w:val="fr-FR"/>
        </w:rPr>
        <w:t xml:space="preserve">déterminer si un examen régulier </w:t>
      </w:r>
      <w:r w:rsidR="009565D5" w:rsidRPr="003E5DCB">
        <w:rPr>
          <w:lang w:val="fr-FR"/>
        </w:rPr>
        <w:t>de l</w:t>
      </w:r>
      <w:r w:rsidR="009C3A49">
        <w:rPr>
          <w:lang w:val="fr-FR"/>
        </w:rPr>
        <w:t>’</w:t>
      </w:r>
      <w:r w:rsidR="009565D5" w:rsidRPr="003E5DCB">
        <w:rPr>
          <w:lang w:val="fr-FR"/>
        </w:rPr>
        <w:t>évolution de la situation évoquée ci</w:t>
      </w:r>
      <w:r w:rsidR="005B2F35">
        <w:rPr>
          <w:lang w:val="fr-FR"/>
        </w:rPr>
        <w:noBreakHyphen/>
      </w:r>
      <w:r w:rsidR="009565D5" w:rsidRPr="003E5DCB">
        <w:rPr>
          <w:lang w:val="fr-FR"/>
        </w:rPr>
        <w:t xml:space="preserve">dessus </w:t>
      </w:r>
      <w:r w:rsidR="009565D5" w:rsidRPr="009565D5">
        <w:rPr>
          <w:color w:val="000000"/>
          <w:lang w:val="fr-FR"/>
        </w:rPr>
        <w:t xml:space="preserve">pourrait être utile, </w:t>
      </w:r>
      <w:r w:rsidR="009565D5" w:rsidRPr="003E5DCB">
        <w:rPr>
          <w:lang w:val="fr-FR"/>
        </w:rPr>
        <w:t>vraisemblablement</w:t>
      </w:r>
      <w:r w:rsidR="009565D5" w:rsidRPr="009565D5">
        <w:rPr>
          <w:color w:val="000000"/>
          <w:lang w:val="fr-FR"/>
        </w:rPr>
        <w:t xml:space="preserve"> lors</w:t>
      </w:r>
      <w:r w:rsidR="009565D5" w:rsidRPr="003E5DCB">
        <w:rPr>
          <w:lang w:val="fr-FR"/>
        </w:rPr>
        <w:t xml:space="preserve"> de sa table ronde.</w:t>
      </w:r>
    </w:p>
    <w:p w:rsidR="0007738F" w:rsidRDefault="009C3A49" w:rsidP="009C3A49">
      <w:pPr>
        <w:pStyle w:val="Heading4"/>
      </w:pPr>
      <w:r>
        <w:t>ii)</w:t>
      </w:r>
      <w:r>
        <w:tab/>
      </w:r>
      <w:r w:rsidR="009565D5" w:rsidRPr="009565D5">
        <w:t>Des exigences différentes en matière de représentation</w:t>
      </w:r>
    </w:p>
    <w:p w:rsidR="0007738F" w:rsidRDefault="0007738F" w:rsidP="00F11138">
      <w:pPr>
        <w:rPr>
          <w:lang w:val="fr-FR"/>
        </w:rPr>
      </w:pPr>
    </w:p>
    <w:p w:rsidR="009C3A49" w:rsidRDefault="009565D5" w:rsidP="009C3A49">
      <w:pPr>
        <w:pStyle w:val="ONUMFS"/>
        <w:rPr>
          <w:szCs w:val="22"/>
          <w:lang w:val="fr-FR"/>
        </w:rPr>
      </w:pPr>
      <w:r w:rsidRPr="003E5DCB">
        <w:rPr>
          <w:lang w:val="fr-FR"/>
        </w:rPr>
        <w:t xml:space="preserve">Les modifications </w:t>
      </w:r>
      <w:r w:rsidRPr="009565D5">
        <w:rPr>
          <w:color w:val="000000"/>
          <w:lang w:val="fr-FR"/>
        </w:rPr>
        <w:t xml:space="preserve">présentées </w:t>
      </w:r>
      <w:r w:rsidRPr="003E5DCB">
        <w:rPr>
          <w:lang w:val="fr-FR"/>
        </w:rPr>
        <w:t>aux paragraphes</w:t>
      </w:r>
      <w:r w:rsidR="000729D9">
        <w:rPr>
          <w:lang w:val="fr-FR"/>
        </w:rPr>
        <w:t> </w:t>
      </w:r>
      <w:r>
        <w:fldChar w:fldCharType="begin"/>
      </w:r>
      <w:r w:rsidRPr="009565D5">
        <w:rPr>
          <w:lang w:val="fr-FR"/>
        </w:rPr>
        <w:instrText xml:space="preserve"> REF _Ref7623308 \r \h  \* MERGEFORMAT  \* MERGEFORMAT </w:instrText>
      </w:r>
      <w:r>
        <w:fldChar w:fldCharType="separate"/>
      </w:r>
      <w:r w:rsidRPr="009565D5">
        <w:rPr>
          <w:lang w:val="fr-FR"/>
        </w:rPr>
        <w:t>3</w:t>
      </w:r>
      <w:r>
        <w:fldChar w:fldCharType="end"/>
      </w:r>
      <w:r w:rsidRPr="003E5DCB">
        <w:rPr>
          <w:lang w:val="fr-FR"/>
        </w:rPr>
        <w:t xml:space="preserve"> à </w:t>
      </w:r>
      <w:r>
        <w:fldChar w:fldCharType="begin"/>
      </w:r>
      <w:r w:rsidRPr="009565D5">
        <w:rPr>
          <w:lang w:val="fr-FR"/>
        </w:rPr>
        <w:instrText xml:space="preserve"> REF _Ref7623318 \r \h  \* MERGEFORMAT  \* MERGEFORMAT </w:instrText>
      </w:r>
      <w:r>
        <w:fldChar w:fldCharType="separate"/>
      </w:r>
      <w:r w:rsidRPr="009565D5">
        <w:rPr>
          <w:lang w:val="fr-FR"/>
        </w:rPr>
        <w:t>6</w:t>
      </w:r>
      <w:r>
        <w:fldChar w:fldCharType="end"/>
      </w:r>
      <w:r w:rsidRPr="003E5DCB">
        <w:rPr>
          <w:lang w:val="fr-FR"/>
        </w:rPr>
        <w:t xml:space="preserve"> ci</w:t>
      </w:r>
      <w:r w:rsidR="005B2F35">
        <w:rPr>
          <w:lang w:val="fr-FR"/>
        </w:rPr>
        <w:noBreakHyphen/>
      </w:r>
      <w:r w:rsidRPr="003E5DCB">
        <w:rPr>
          <w:lang w:val="fr-FR"/>
        </w:rPr>
        <w:t>dessus n</w:t>
      </w:r>
      <w:r w:rsidR="009C3A49">
        <w:rPr>
          <w:lang w:val="fr-FR"/>
        </w:rPr>
        <w:t>’</w:t>
      </w:r>
      <w:r w:rsidRPr="003E5DCB">
        <w:rPr>
          <w:lang w:val="fr-FR"/>
        </w:rPr>
        <w:t xml:space="preserve">élimineraient pas les inconvénients que les titulaires </w:t>
      </w:r>
      <w:r w:rsidR="00AE7467">
        <w:rPr>
          <w:lang w:val="fr-FR"/>
        </w:rPr>
        <w:t>rencontreraient</w:t>
      </w:r>
      <w:r w:rsidRPr="003E5DCB">
        <w:rPr>
          <w:lang w:val="fr-FR"/>
        </w:rPr>
        <w:t xml:space="preserve"> encore </w:t>
      </w:r>
      <w:r w:rsidR="00AE7467">
        <w:rPr>
          <w:lang w:val="fr-FR"/>
        </w:rPr>
        <w:t>de</w:t>
      </w:r>
      <w:r w:rsidRPr="003E5DCB">
        <w:rPr>
          <w:lang w:val="fr-FR"/>
        </w:rPr>
        <w:t xml:space="preserve"> devoir satisfaire </w:t>
      </w:r>
      <w:r w:rsidR="00AE7467">
        <w:rPr>
          <w:lang w:val="fr-FR"/>
        </w:rPr>
        <w:t>les</w:t>
      </w:r>
      <w:r w:rsidRPr="003E5DCB">
        <w:rPr>
          <w:lang w:val="fr-FR"/>
        </w:rPr>
        <w:t xml:space="preserve"> différentes exigences en matière de représentation </w:t>
      </w:r>
      <w:r w:rsidRPr="009565D5">
        <w:rPr>
          <w:color w:val="000000"/>
          <w:lang w:val="fr-FR"/>
        </w:rPr>
        <w:t>dans l</w:t>
      </w:r>
      <w:r w:rsidRPr="003E5DCB">
        <w:rPr>
          <w:lang w:val="fr-FR"/>
        </w:rPr>
        <w:t xml:space="preserve">es </w:t>
      </w:r>
      <w:r w:rsidRPr="009565D5">
        <w:rPr>
          <w:color w:val="000000"/>
          <w:lang w:val="fr-FR"/>
        </w:rPr>
        <w:t>p</w:t>
      </w:r>
      <w:r w:rsidRPr="003E5DCB">
        <w:rPr>
          <w:lang w:val="fr-FR"/>
        </w:rPr>
        <w:t xml:space="preserve">arties contractantes désignées pour un type de marque donné, pour autant </w:t>
      </w:r>
      <w:r w:rsidRPr="009565D5">
        <w:rPr>
          <w:color w:val="000000"/>
          <w:lang w:val="fr-FR"/>
        </w:rPr>
        <w:t>que l</w:t>
      </w:r>
      <w:r w:rsidR="009C3A49">
        <w:rPr>
          <w:color w:val="000000"/>
          <w:lang w:val="fr-FR"/>
        </w:rPr>
        <w:t>’</w:t>
      </w:r>
      <w:r w:rsidRPr="009565D5">
        <w:rPr>
          <w:color w:val="000000"/>
          <w:lang w:val="fr-FR"/>
        </w:rPr>
        <w:t>objet de la protection</w:t>
      </w:r>
      <w:r w:rsidRPr="003E5DCB">
        <w:rPr>
          <w:lang w:val="fr-FR"/>
        </w:rPr>
        <w:t xml:space="preserve"> puisse constituer une marque dans </w:t>
      </w:r>
      <w:r w:rsidR="004522B3">
        <w:rPr>
          <w:lang w:val="fr-FR"/>
        </w:rPr>
        <w:t>c</w:t>
      </w:r>
      <w:r w:rsidRPr="003E5DCB">
        <w:rPr>
          <w:lang w:val="fr-FR"/>
        </w:rPr>
        <w:t xml:space="preserve">es </w:t>
      </w:r>
      <w:r w:rsidRPr="009565D5">
        <w:rPr>
          <w:color w:val="000000"/>
          <w:lang w:val="fr-FR"/>
        </w:rPr>
        <w:t>p</w:t>
      </w:r>
      <w:r w:rsidRPr="003E5DCB">
        <w:rPr>
          <w:lang w:val="fr-FR"/>
        </w:rPr>
        <w:t>arties contractantes désigné</w:t>
      </w:r>
      <w:r w:rsidR="004D686C" w:rsidRPr="003E5DCB">
        <w:rPr>
          <w:lang w:val="fr-FR"/>
        </w:rPr>
        <w:t>es</w:t>
      </w:r>
      <w:r w:rsidR="004D686C">
        <w:rPr>
          <w:lang w:val="fr-FR"/>
        </w:rPr>
        <w:t xml:space="preserve">.  </w:t>
      </w:r>
      <w:r w:rsidR="004D686C" w:rsidRPr="003E5DCB">
        <w:rPr>
          <w:lang w:val="fr-FR"/>
        </w:rPr>
        <w:t>Ce</w:t>
      </w:r>
      <w:r w:rsidR="00B27FFC" w:rsidRPr="003E5DCB">
        <w:rPr>
          <w:lang w:val="fr-FR"/>
        </w:rPr>
        <w:t xml:space="preserve">rtaines </w:t>
      </w:r>
      <w:r w:rsidR="00B27FFC" w:rsidRPr="00B27FFC">
        <w:rPr>
          <w:color w:val="000000"/>
          <w:lang w:val="fr-FR"/>
        </w:rPr>
        <w:t>p</w:t>
      </w:r>
      <w:r w:rsidR="00B27FFC" w:rsidRPr="003E5DCB">
        <w:rPr>
          <w:lang w:val="fr-FR"/>
        </w:rPr>
        <w:t>arties contractantes s</w:t>
      </w:r>
      <w:r w:rsidR="009C3A49">
        <w:rPr>
          <w:lang w:val="fr-FR"/>
        </w:rPr>
        <w:t>’</w:t>
      </w:r>
      <w:r w:rsidR="00B27FFC" w:rsidRPr="003E5DCB">
        <w:rPr>
          <w:lang w:val="fr-FR"/>
        </w:rPr>
        <w:t xml:space="preserve">apprêtent à accepter des demandes nationales </w:t>
      </w:r>
      <w:r w:rsidR="009B7E08">
        <w:rPr>
          <w:lang w:val="fr-FR"/>
        </w:rPr>
        <w:t xml:space="preserve">ou régionales </w:t>
      </w:r>
      <w:r w:rsidR="00AE7467">
        <w:rPr>
          <w:color w:val="000000"/>
          <w:lang w:val="fr-FR"/>
        </w:rPr>
        <w:t>incluant</w:t>
      </w:r>
      <w:r w:rsidR="00B27FFC" w:rsidRPr="00B27FFC">
        <w:rPr>
          <w:color w:val="000000"/>
          <w:lang w:val="fr-FR"/>
        </w:rPr>
        <w:t xml:space="preserve"> </w:t>
      </w:r>
      <w:r w:rsidR="00B27FFC" w:rsidRPr="003E5DCB">
        <w:rPr>
          <w:lang w:val="fr-FR"/>
        </w:rPr>
        <w:t xml:space="preserve">une représentation </w:t>
      </w:r>
      <w:r w:rsidR="00B27FFC" w:rsidRPr="00B27FFC">
        <w:rPr>
          <w:color w:val="000000"/>
          <w:lang w:val="fr-FR"/>
        </w:rPr>
        <w:t xml:space="preserve">non </w:t>
      </w:r>
      <w:r w:rsidR="00B27FFC" w:rsidRPr="003E5DCB">
        <w:rPr>
          <w:lang w:val="fr-FR"/>
        </w:rPr>
        <w:t xml:space="preserve">graphique de la marque, </w:t>
      </w:r>
      <w:r w:rsidR="00AE7467">
        <w:rPr>
          <w:lang w:val="fr-FR"/>
        </w:rPr>
        <w:t>tandis que</w:t>
      </w:r>
      <w:r w:rsidR="00B27FFC" w:rsidRPr="003E5DCB">
        <w:rPr>
          <w:lang w:val="fr-FR"/>
        </w:rPr>
        <w:t xml:space="preserve"> d</w:t>
      </w:r>
      <w:r w:rsidR="009C3A49">
        <w:rPr>
          <w:lang w:val="fr-FR"/>
        </w:rPr>
        <w:t>’</w:t>
      </w:r>
      <w:r w:rsidR="00B27FFC" w:rsidRPr="003E5DCB">
        <w:rPr>
          <w:lang w:val="fr-FR"/>
        </w:rPr>
        <w:t xml:space="preserve">autres </w:t>
      </w:r>
      <w:r w:rsidR="00B27FFC" w:rsidRPr="00B27FFC">
        <w:rPr>
          <w:color w:val="000000"/>
          <w:lang w:val="fr-FR"/>
        </w:rPr>
        <w:t>p</w:t>
      </w:r>
      <w:r w:rsidR="00B27FFC" w:rsidRPr="003E5DCB">
        <w:rPr>
          <w:lang w:val="fr-FR"/>
        </w:rPr>
        <w:t>arties contractantes exigent encore une représentation graphique.</w:t>
      </w:r>
    </w:p>
    <w:p w:rsidR="009C3A49" w:rsidRDefault="00C61FFC" w:rsidP="003617BD">
      <w:pPr>
        <w:pStyle w:val="ONUMFS"/>
        <w:keepNext/>
        <w:keepLines/>
        <w:rPr>
          <w:szCs w:val="22"/>
          <w:lang w:val="fr-FR"/>
        </w:rPr>
      </w:pPr>
      <w:r w:rsidRPr="003E5DCB">
        <w:rPr>
          <w:szCs w:val="22"/>
          <w:lang w:val="fr-FR"/>
        </w:rPr>
        <w:t xml:space="preserve">Il semblerait que la représentation graphique reste le mode de représentation le plus communément accepté pour la plupart des types de marques dans la plupart des </w:t>
      </w:r>
      <w:r w:rsidRPr="00C61FFC">
        <w:rPr>
          <w:color w:val="000000"/>
          <w:szCs w:val="22"/>
          <w:lang w:val="fr-FR"/>
        </w:rPr>
        <w:t>p</w:t>
      </w:r>
      <w:r w:rsidRPr="003E5DCB">
        <w:rPr>
          <w:szCs w:val="22"/>
          <w:lang w:val="fr-FR"/>
        </w:rPr>
        <w:t>arties contractantes du système de Madr</w:t>
      </w:r>
      <w:r w:rsidR="004D686C" w:rsidRPr="003E5DCB">
        <w:rPr>
          <w:szCs w:val="22"/>
          <w:lang w:val="fr-FR"/>
        </w:rPr>
        <w:t>id</w:t>
      </w:r>
      <w:r w:rsidR="004D686C">
        <w:rPr>
          <w:szCs w:val="22"/>
          <w:lang w:val="fr-FR"/>
        </w:rPr>
        <w:t xml:space="preserve">.  </w:t>
      </w:r>
      <w:r w:rsidR="004D686C" w:rsidRPr="003E5DCB">
        <w:rPr>
          <w:szCs w:val="22"/>
          <w:lang w:val="fr-FR"/>
        </w:rPr>
        <w:t>Co</w:t>
      </w:r>
      <w:r w:rsidRPr="003E5DCB">
        <w:rPr>
          <w:szCs w:val="22"/>
          <w:lang w:val="fr-FR"/>
        </w:rPr>
        <w:t xml:space="preserve">mpte tenu de ce qui précède, le groupe de travail </w:t>
      </w:r>
      <w:r w:rsidR="00B00728">
        <w:rPr>
          <w:color w:val="000000"/>
          <w:szCs w:val="22"/>
          <w:lang w:val="fr-FR"/>
        </w:rPr>
        <w:t>souhaitera</w:t>
      </w:r>
      <w:r w:rsidRPr="003E5DCB">
        <w:rPr>
          <w:szCs w:val="22"/>
          <w:lang w:val="fr-FR"/>
        </w:rPr>
        <w:t xml:space="preserve"> peut</w:t>
      </w:r>
      <w:r w:rsidR="005B2F35">
        <w:rPr>
          <w:szCs w:val="22"/>
          <w:lang w:val="fr-FR"/>
        </w:rPr>
        <w:noBreakHyphen/>
      </w:r>
      <w:r w:rsidRPr="003E5DCB">
        <w:rPr>
          <w:szCs w:val="22"/>
          <w:lang w:val="fr-FR"/>
        </w:rPr>
        <w:t xml:space="preserve">être examiner si les modifications </w:t>
      </w:r>
      <w:r w:rsidRPr="00C61FFC">
        <w:rPr>
          <w:color w:val="000000"/>
          <w:szCs w:val="22"/>
          <w:lang w:val="fr-FR"/>
        </w:rPr>
        <w:t xml:space="preserve">présentées </w:t>
      </w:r>
      <w:r w:rsidRPr="003E5DCB">
        <w:rPr>
          <w:szCs w:val="22"/>
          <w:lang w:val="fr-FR"/>
        </w:rPr>
        <w:t>aux paragraphes</w:t>
      </w:r>
      <w:r w:rsidR="000729D9">
        <w:rPr>
          <w:szCs w:val="22"/>
          <w:lang w:val="fr-FR"/>
        </w:rPr>
        <w:t> </w:t>
      </w:r>
      <w:r>
        <w:rPr>
          <w:szCs w:val="22"/>
          <w:lang w:val="fr-FR"/>
        </w:rPr>
        <w:fldChar w:fldCharType="begin"/>
      </w:r>
      <w:r>
        <w:rPr>
          <w:szCs w:val="22"/>
          <w:lang w:val="fr-FR"/>
        </w:rPr>
        <w:instrText xml:space="preserve"> REF _Ref7623308 \r \h  \* MERGEFORMAT  \* MERGEFORMAT </w:instrText>
      </w:r>
      <w:r>
        <w:rPr>
          <w:szCs w:val="22"/>
          <w:lang w:val="fr-FR"/>
        </w:rPr>
      </w:r>
      <w:r>
        <w:rPr>
          <w:szCs w:val="22"/>
          <w:lang w:val="fr-FR"/>
        </w:rPr>
        <w:fldChar w:fldCharType="separate"/>
      </w:r>
      <w:r w:rsidRPr="00C61FFC">
        <w:rPr>
          <w:szCs w:val="22"/>
          <w:lang w:val="fr-FR"/>
        </w:rPr>
        <w:t>3</w:t>
      </w:r>
      <w:r>
        <w:rPr>
          <w:szCs w:val="22"/>
          <w:lang w:val="fr-FR"/>
        </w:rPr>
        <w:fldChar w:fldCharType="end"/>
      </w:r>
      <w:r w:rsidRPr="003E5DCB">
        <w:rPr>
          <w:szCs w:val="22"/>
          <w:lang w:val="fr-FR"/>
        </w:rPr>
        <w:t xml:space="preserve"> à </w:t>
      </w:r>
      <w:r>
        <w:rPr>
          <w:szCs w:val="22"/>
          <w:lang w:val="fr-FR"/>
        </w:rPr>
        <w:fldChar w:fldCharType="begin"/>
      </w:r>
      <w:r>
        <w:rPr>
          <w:szCs w:val="22"/>
          <w:lang w:val="fr-FR"/>
        </w:rPr>
        <w:instrText xml:space="preserve"> REF _Ref7623318 \r \h  \* MERGEFORMAT  \* MERGEFORMAT </w:instrText>
      </w:r>
      <w:r>
        <w:rPr>
          <w:szCs w:val="22"/>
          <w:lang w:val="fr-FR"/>
        </w:rPr>
      </w:r>
      <w:r>
        <w:rPr>
          <w:szCs w:val="22"/>
          <w:lang w:val="fr-FR"/>
        </w:rPr>
        <w:fldChar w:fldCharType="separate"/>
      </w:r>
      <w:r w:rsidRPr="00C61FFC">
        <w:rPr>
          <w:szCs w:val="22"/>
          <w:lang w:val="fr-FR"/>
        </w:rPr>
        <w:t>6</w:t>
      </w:r>
      <w:r>
        <w:rPr>
          <w:szCs w:val="22"/>
          <w:lang w:val="fr-FR"/>
        </w:rPr>
        <w:fldChar w:fldCharType="end"/>
      </w:r>
      <w:r w:rsidRPr="003E5DCB">
        <w:rPr>
          <w:szCs w:val="22"/>
          <w:lang w:val="fr-FR"/>
        </w:rPr>
        <w:t xml:space="preserve"> ci</w:t>
      </w:r>
      <w:r w:rsidR="005B2F35">
        <w:rPr>
          <w:szCs w:val="22"/>
          <w:lang w:val="fr-FR"/>
        </w:rPr>
        <w:noBreakHyphen/>
      </w:r>
      <w:r w:rsidRPr="003E5DCB">
        <w:rPr>
          <w:szCs w:val="22"/>
          <w:lang w:val="fr-FR"/>
        </w:rPr>
        <w:t xml:space="preserve">dessus, en introduisant la possibilité de déposer une demande internationale </w:t>
      </w:r>
      <w:r w:rsidR="00AE7467">
        <w:rPr>
          <w:szCs w:val="22"/>
          <w:lang w:val="fr-FR"/>
        </w:rPr>
        <w:t>incluant</w:t>
      </w:r>
      <w:r w:rsidRPr="003E5DCB">
        <w:rPr>
          <w:szCs w:val="22"/>
          <w:lang w:val="fr-FR"/>
        </w:rPr>
        <w:t xml:space="preserve"> une représentation non graphique de la marque, compliquerai</w:t>
      </w:r>
      <w:r w:rsidR="00AE7467">
        <w:rPr>
          <w:szCs w:val="22"/>
          <w:lang w:val="fr-FR"/>
        </w:rPr>
        <w:t>en</w:t>
      </w:r>
      <w:r w:rsidRPr="003E5DCB">
        <w:rPr>
          <w:szCs w:val="22"/>
          <w:lang w:val="fr-FR"/>
        </w:rPr>
        <w:t>t l</w:t>
      </w:r>
      <w:r w:rsidRPr="00C61FFC">
        <w:rPr>
          <w:color w:val="000000"/>
          <w:szCs w:val="22"/>
          <w:lang w:val="fr-FR"/>
        </w:rPr>
        <w:t>a vie des</w:t>
      </w:r>
      <w:r w:rsidRPr="003E5DCB">
        <w:rPr>
          <w:szCs w:val="22"/>
          <w:lang w:val="fr-FR"/>
        </w:rPr>
        <w:t xml:space="preserve"> utilisateurs.</w:t>
      </w:r>
    </w:p>
    <w:p w:rsidR="009C3A49" w:rsidRDefault="00C61FFC" w:rsidP="003E5DCB">
      <w:pPr>
        <w:pStyle w:val="ONUMFS"/>
        <w:rPr>
          <w:szCs w:val="22"/>
          <w:lang w:val="fr-FR"/>
        </w:rPr>
      </w:pPr>
      <w:bookmarkStart w:id="10" w:name="_Ref8060363"/>
      <w:bookmarkStart w:id="11" w:name="_Ref9846857"/>
      <w:r w:rsidRPr="003E5DCB">
        <w:rPr>
          <w:szCs w:val="22"/>
          <w:lang w:val="fr-FR"/>
        </w:rPr>
        <w:t>Les titulaires dépos</w:t>
      </w:r>
      <w:r w:rsidRPr="00C61FFC">
        <w:rPr>
          <w:color w:val="000000"/>
          <w:szCs w:val="22"/>
          <w:lang w:val="fr-FR"/>
        </w:rPr>
        <w:t>a</w:t>
      </w:r>
      <w:r w:rsidRPr="003E5DCB">
        <w:rPr>
          <w:szCs w:val="22"/>
          <w:lang w:val="fr-FR"/>
        </w:rPr>
        <w:t xml:space="preserve">nt des demandes internationales </w:t>
      </w:r>
      <w:r w:rsidR="007464BC">
        <w:rPr>
          <w:szCs w:val="22"/>
          <w:lang w:val="fr-FR"/>
        </w:rPr>
        <w:t xml:space="preserve">qui </w:t>
      </w:r>
      <w:r w:rsidRPr="00C61FFC">
        <w:rPr>
          <w:color w:val="000000"/>
          <w:szCs w:val="22"/>
          <w:lang w:val="fr-FR"/>
        </w:rPr>
        <w:t>inclu</w:t>
      </w:r>
      <w:r w:rsidR="007464BC">
        <w:rPr>
          <w:color w:val="000000"/>
          <w:szCs w:val="22"/>
          <w:lang w:val="fr-FR"/>
        </w:rPr>
        <w:t>e</w:t>
      </w:r>
      <w:r w:rsidRPr="00C61FFC">
        <w:rPr>
          <w:color w:val="000000"/>
          <w:szCs w:val="22"/>
          <w:lang w:val="fr-FR"/>
        </w:rPr>
        <w:t xml:space="preserve">nt </w:t>
      </w:r>
      <w:r w:rsidRPr="003E5DCB">
        <w:rPr>
          <w:szCs w:val="22"/>
          <w:lang w:val="fr-FR"/>
        </w:rPr>
        <w:t>une représentation non</w:t>
      </w:r>
      <w:r w:rsidR="003617BD">
        <w:rPr>
          <w:szCs w:val="22"/>
          <w:lang w:val="fr-FR"/>
        </w:rPr>
        <w:t> </w:t>
      </w:r>
      <w:r w:rsidRPr="003E5DCB">
        <w:rPr>
          <w:szCs w:val="22"/>
          <w:lang w:val="fr-FR"/>
        </w:rPr>
        <w:t>graphique de la marque recevront, selon toute vraisemblance, un refus provisoire dans les</w:t>
      </w:r>
      <w:r w:rsidR="003617BD">
        <w:rPr>
          <w:szCs w:val="22"/>
          <w:lang w:val="fr-FR"/>
        </w:rPr>
        <w:t> </w:t>
      </w:r>
      <w:r w:rsidRPr="00C61FFC">
        <w:rPr>
          <w:color w:val="000000"/>
          <w:szCs w:val="22"/>
          <w:lang w:val="fr-FR"/>
        </w:rPr>
        <w:t>p</w:t>
      </w:r>
      <w:r w:rsidRPr="003E5DCB">
        <w:rPr>
          <w:szCs w:val="22"/>
          <w:lang w:val="fr-FR"/>
        </w:rPr>
        <w:t xml:space="preserve">arties contractantes désignées qui exigent encore </w:t>
      </w:r>
      <w:r w:rsidRPr="00C61FFC">
        <w:rPr>
          <w:color w:val="000000"/>
          <w:szCs w:val="22"/>
          <w:lang w:val="fr-FR"/>
        </w:rPr>
        <w:t>une représentation graphiq</w:t>
      </w:r>
      <w:r w:rsidR="004D686C" w:rsidRPr="00C61FFC">
        <w:rPr>
          <w:color w:val="000000"/>
          <w:szCs w:val="22"/>
          <w:lang w:val="fr-FR"/>
        </w:rPr>
        <w:t>ue</w:t>
      </w:r>
      <w:r w:rsidR="004D686C">
        <w:rPr>
          <w:color w:val="000000"/>
          <w:szCs w:val="22"/>
          <w:lang w:val="fr-FR"/>
        </w:rPr>
        <w:t xml:space="preserve">.  </w:t>
      </w:r>
      <w:r w:rsidR="004D686C" w:rsidRPr="003E5DCB">
        <w:rPr>
          <w:szCs w:val="22"/>
          <w:lang w:val="fr-FR"/>
        </w:rPr>
        <w:t>Pa</w:t>
      </w:r>
      <w:r w:rsidRPr="003E5DCB">
        <w:rPr>
          <w:szCs w:val="22"/>
          <w:lang w:val="fr-FR"/>
        </w:rPr>
        <w:t>r</w:t>
      </w:r>
      <w:r w:rsidR="003617BD">
        <w:rPr>
          <w:szCs w:val="22"/>
          <w:lang w:val="fr-FR"/>
        </w:rPr>
        <w:t> </w:t>
      </w:r>
      <w:r w:rsidRPr="003E5DCB">
        <w:rPr>
          <w:szCs w:val="22"/>
          <w:lang w:val="fr-FR"/>
        </w:rPr>
        <w:t xml:space="preserve">conséquent, les titulaires </w:t>
      </w:r>
      <w:r w:rsidRPr="00C61FFC">
        <w:rPr>
          <w:color w:val="000000"/>
          <w:szCs w:val="22"/>
          <w:lang w:val="fr-FR"/>
        </w:rPr>
        <w:t>d</w:t>
      </w:r>
      <w:r w:rsidR="009C3A49">
        <w:rPr>
          <w:color w:val="000000"/>
          <w:szCs w:val="22"/>
          <w:lang w:val="fr-FR"/>
        </w:rPr>
        <w:t>’</w:t>
      </w:r>
      <w:r w:rsidRPr="00C61FFC">
        <w:rPr>
          <w:color w:val="000000"/>
          <w:szCs w:val="22"/>
          <w:lang w:val="fr-FR"/>
        </w:rPr>
        <w:t>une marque de base</w:t>
      </w:r>
      <w:r w:rsidR="007464BC">
        <w:rPr>
          <w:color w:val="000000"/>
          <w:szCs w:val="22"/>
          <w:lang w:val="fr-FR"/>
        </w:rPr>
        <w:t xml:space="preserve"> </w:t>
      </w:r>
      <w:r w:rsidR="00AE7467">
        <w:rPr>
          <w:color w:val="000000"/>
          <w:szCs w:val="22"/>
          <w:lang w:val="fr-FR"/>
        </w:rPr>
        <w:t>inclu</w:t>
      </w:r>
      <w:r w:rsidR="00F94A48">
        <w:rPr>
          <w:color w:val="000000"/>
          <w:szCs w:val="22"/>
          <w:lang w:val="fr-FR"/>
        </w:rPr>
        <w:t>an</w:t>
      </w:r>
      <w:r w:rsidR="000729D9">
        <w:rPr>
          <w:color w:val="000000"/>
          <w:szCs w:val="22"/>
          <w:lang w:val="fr-FR"/>
        </w:rPr>
        <w:t>t</w:t>
      </w:r>
      <w:r w:rsidRPr="00C61FFC">
        <w:rPr>
          <w:color w:val="000000"/>
          <w:szCs w:val="22"/>
          <w:lang w:val="fr-FR"/>
        </w:rPr>
        <w:t xml:space="preserve"> </w:t>
      </w:r>
      <w:r w:rsidRPr="003E5DCB">
        <w:rPr>
          <w:szCs w:val="22"/>
          <w:lang w:val="fr-FR"/>
        </w:rPr>
        <w:t>une représentation non graphique s</w:t>
      </w:r>
      <w:r w:rsidRPr="00C61FFC">
        <w:rPr>
          <w:color w:val="000000"/>
          <w:szCs w:val="22"/>
          <w:lang w:val="fr-FR"/>
        </w:rPr>
        <w:t>e limit</w:t>
      </w:r>
      <w:r w:rsidR="005B1056">
        <w:rPr>
          <w:color w:val="000000"/>
          <w:szCs w:val="22"/>
          <w:lang w:val="fr-FR"/>
        </w:rPr>
        <w:t>eraient</w:t>
      </w:r>
      <w:r w:rsidRPr="00C61FFC">
        <w:rPr>
          <w:color w:val="000000"/>
          <w:szCs w:val="22"/>
          <w:lang w:val="fr-FR"/>
        </w:rPr>
        <w:t xml:space="preserve"> </w:t>
      </w:r>
      <w:r w:rsidR="00BE77AB">
        <w:rPr>
          <w:color w:val="000000"/>
          <w:szCs w:val="22"/>
          <w:lang w:val="fr-FR"/>
        </w:rPr>
        <w:t xml:space="preserve">à désigner les </w:t>
      </w:r>
      <w:r w:rsidRPr="00C61FFC">
        <w:rPr>
          <w:color w:val="000000"/>
          <w:szCs w:val="22"/>
          <w:lang w:val="fr-FR"/>
        </w:rPr>
        <w:t>p</w:t>
      </w:r>
      <w:r w:rsidRPr="003E5DCB">
        <w:rPr>
          <w:szCs w:val="22"/>
          <w:lang w:val="fr-FR"/>
        </w:rPr>
        <w:t>arties contractantes accept</w:t>
      </w:r>
      <w:r w:rsidRPr="00C61FFC">
        <w:rPr>
          <w:color w:val="000000"/>
          <w:szCs w:val="22"/>
          <w:lang w:val="fr-FR"/>
        </w:rPr>
        <w:t>a</w:t>
      </w:r>
      <w:r w:rsidRPr="003E5DCB">
        <w:rPr>
          <w:szCs w:val="22"/>
          <w:lang w:val="fr-FR"/>
        </w:rPr>
        <w:t xml:space="preserve">nt </w:t>
      </w:r>
      <w:r w:rsidR="00AE7467">
        <w:rPr>
          <w:color w:val="000000"/>
          <w:szCs w:val="22"/>
          <w:lang w:val="fr-FR"/>
        </w:rPr>
        <w:t>ce type de</w:t>
      </w:r>
      <w:r w:rsidRPr="00C61FFC">
        <w:rPr>
          <w:color w:val="000000"/>
          <w:szCs w:val="22"/>
          <w:lang w:val="fr-FR"/>
        </w:rPr>
        <w:t xml:space="preserve"> </w:t>
      </w:r>
      <w:r w:rsidRPr="003E5DCB">
        <w:rPr>
          <w:szCs w:val="22"/>
          <w:lang w:val="fr-FR"/>
        </w:rPr>
        <w:t>représentati</w:t>
      </w:r>
      <w:bookmarkEnd w:id="10"/>
      <w:r w:rsidR="004D686C" w:rsidRPr="003E5DCB">
        <w:rPr>
          <w:szCs w:val="22"/>
          <w:lang w:val="fr-FR"/>
        </w:rPr>
        <w:t>on</w:t>
      </w:r>
      <w:r w:rsidR="004D686C">
        <w:rPr>
          <w:szCs w:val="22"/>
          <w:lang w:val="fr-FR"/>
        </w:rPr>
        <w:t xml:space="preserve">.  </w:t>
      </w:r>
      <w:r w:rsidR="004D686C" w:rsidRPr="003E5DCB">
        <w:rPr>
          <w:szCs w:val="22"/>
          <w:lang w:val="fr-FR"/>
        </w:rPr>
        <w:t>Le</w:t>
      </w:r>
      <w:r w:rsidR="003617BD">
        <w:rPr>
          <w:szCs w:val="22"/>
          <w:lang w:val="fr-FR"/>
        </w:rPr>
        <w:t> </w:t>
      </w:r>
      <w:r w:rsidRPr="003E5DCB">
        <w:rPr>
          <w:szCs w:val="22"/>
          <w:lang w:val="fr-FR"/>
        </w:rPr>
        <w:t xml:space="preserve">groupe de travail </w:t>
      </w:r>
      <w:r w:rsidR="00BE77AB">
        <w:rPr>
          <w:color w:val="000000"/>
          <w:szCs w:val="22"/>
          <w:lang w:val="fr-FR"/>
        </w:rPr>
        <w:t>souhaitera</w:t>
      </w:r>
      <w:r w:rsidRPr="00C61FFC">
        <w:rPr>
          <w:color w:val="000000"/>
          <w:szCs w:val="22"/>
          <w:lang w:val="fr-FR"/>
        </w:rPr>
        <w:t xml:space="preserve"> </w:t>
      </w:r>
      <w:r w:rsidRPr="003E5DCB">
        <w:rPr>
          <w:szCs w:val="22"/>
          <w:lang w:val="fr-FR"/>
        </w:rPr>
        <w:t>peut</w:t>
      </w:r>
      <w:r w:rsidR="005B2F35">
        <w:rPr>
          <w:szCs w:val="22"/>
          <w:lang w:val="fr-FR"/>
        </w:rPr>
        <w:noBreakHyphen/>
      </w:r>
      <w:r w:rsidRPr="003E5DCB">
        <w:rPr>
          <w:szCs w:val="22"/>
          <w:lang w:val="fr-FR"/>
        </w:rPr>
        <w:t>être examiner les moyens de remédier à cette situation.</w:t>
      </w:r>
      <w:bookmarkEnd w:id="11"/>
    </w:p>
    <w:p w:rsidR="009C3A49" w:rsidRDefault="007464BC" w:rsidP="003E5DCB">
      <w:pPr>
        <w:pStyle w:val="ONUMFS"/>
        <w:rPr>
          <w:szCs w:val="22"/>
          <w:lang w:val="fr-FR"/>
        </w:rPr>
      </w:pPr>
      <w:r>
        <w:rPr>
          <w:color w:val="000000"/>
          <w:szCs w:val="22"/>
          <w:lang w:val="fr-FR"/>
        </w:rPr>
        <w:t>C</w:t>
      </w:r>
      <w:r w:rsidRPr="00C61FFC">
        <w:rPr>
          <w:color w:val="000000"/>
          <w:szCs w:val="22"/>
          <w:lang w:val="fr-FR"/>
        </w:rPr>
        <w:t>omme solution</w:t>
      </w:r>
      <w:r>
        <w:rPr>
          <w:color w:val="000000"/>
          <w:szCs w:val="22"/>
          <w:lang w:val="fr-FR"/>
        </w:rPr>
        <w:t>, l</w:t>
      </w:r>
      <w:r w:rsidR="00C61FFC" w:rsidRPr="003E5DCB">
        <w:rPr>
          <w:szCs w:val="22"/>
          <w:lang w:val="fr-FR"/>
        </w:rPr>
        <w:t xml:space="preserve">e groupe de travail </w:t>
      </w:r>
      <w:r w:rsidR="00C61FFC" w:rsidRPr="00C61FFC">
        <w:rPr>
          <w:color w:val="000000"/>
          <w:szCs w:val="22"/>
          <w:lang w:val="fr-FR"/>
        </w:rPr>
        <w:t xml:space="preserve">pourrait envisager </w:t>
      </w:r>
      <w:r w:rsidR="00C61FFC" w:rsidRPr="003E5DCB">
        <w:rPr>
          <w:szCs w:val="22"/>
          <w:lang w:val="fr-FR"/>
        </w:rPr>
        <w:t xml:space="preserve">de permettre aux déposants de présenter une demande internationale </w:t>
      </w:r>
      <w:r w:rsidR="00BE26FD">
        <w:rPr>
          <w:szCs w:val="22"/>
          <w:lang w:val="fr-FR"/>
        </w:rPr>
        <w:t>incluant</w:t>
      </w:r>
      <w:r w:rsidR="00C61FFC" w:rsidRPr="003E5DCB">
        <w:rPr>
          <w:szCs w:val="22"/>
          <w:lang w:val="fr-FR"/>
        </w:rPr>
        <w:t xml:space="preserve"> </w:t>
      </w:r>
      <w:r w:rsidR="00BE26FD">
        <w:rPr>
          <w:szCs w:val="22"/>
          <w:lang w:val="fr-FR"/>
        </w:rPr>
        <w:t>une</w:t>
      </w:r>
      <w:r w:rsidR="00C61FFC" w:rsidRPr="003E5DCB">
        <w:rPr>
          <w:szCs w:val="22"/>
          <w:lang w:val="fr-FR"/>
        </w:rPr>
        <w:t xml:space="preserve"> représentation </w:t>
      </w:r>
      <w:r w:rsidR="00194880">
        <w:rPr>
          <w:szCs w:val="22"/>
          <w:lang w:val="fr-FR"/>
        </w:rPr>
        <w:t xml:space="preserve">qui </w:t>
      </w:r>
      <w:r>
        <w:rPr>
          <w:szCs w:val="22"/>
          <w:lang w:val="fr-FR"/>
        </w:rPr>
        <w:t>diffère</w:t>
      </w:r>
      <w:r w:rsidR="00C61FFC" w:rsidRPr="003E5DCB">
        <w:rPr>
          <w:szCs w:val="22"/>
          <w:lang w:val="fr-FR"/>
        </w:rPr>
        <w:t xml:space="preserve"> de celle figur</w:t>
      </w:r>
      <w:r>
        <w:rPr>
          <w:szCs w:val="22"/>
          <w:lang w:val="fr-FR"/>
        </w:rPr>
        <w:t>ant</w:t>
      </w:r>
      <w:r w:rsidR="00C61FFC" w:rsidRPr="003E5DCB">
        <w:rPr>
          <w:szCs w:val="22"/>
          <w:lang w:val="fr-FR"/>
        </w:rPr>
        <w:t xml:space="preserve"> dans la marque de base ou </w:t>
      </w:r>
      <w:r>
        <w:rPr>
          <w:szCs w:val="22"/>
          <w:lang w:val="fr-FR"/>
        </w:rPr>
        <w:t>qui inclu</w:t>
      </w:r>
      <w:r w:rsidR="000729D9">
        <w:rPr>
          <w:szCs w:val="22"/>
          <w:lang w:val="fr-FR"/>
        </w:rPr>
        <w:t>t</w:t>
      </w:r>
      <w:r w:rsidR="00C61FFC" w:rsidRPr="003E5DCB">
        <w:rPr>
          <w:szCs w:val="22"/>
          <w:lang w:val="fr-FR"/>
        </w:rPr>
        <w:t xml:space="preserve"> une représentation supplémentaire, </w:t>
      </w:r>
      <w:r w:rsidR="00C61FFC" w:rsidRPr="00C61FFC">
        <w:rPr>
          <w:color w:val="000000"/>
          <w:szCs w:val="22"/>
          <w:lang w:val="fr-FR"/>
        </w:rPr>
        <w:t xml:space="preserve">solution </w:t>
      </w:r>
      <w:r>
        <w:rPr>
          <w:szCs w:val="22"/>
          <w:lang w:val="fr-FR"/>
        </w:rPr>
        <w:t>analogue</w:t>
      </w:r>
      <w:r w:rsidR="00C61FFC" w:rsidRPr="003E5DCB">
        <w:rPr>
          <w:szCs w:val="22"/>
          <w:lang w:val="fr-FR"/>
        </w:rPr>
        <w:t xml:space="preserve"> à </w:t>
      </w:r>
      <w:r w:rsidR="00C61FFC" w:rsidRPr="00C61FFC">
        <w:rPr>
          <w:color w:val="000000"/>
          <w:szCs w:val="22"/>
          <w:lang w:val="fr-FR"/>
        </w:rPr>
        <w:t xml:space="preserve">celle </w:t>
      </w:r>
      <w:r w:rsidR="00C61FFC" w:rsidRPr="003E5DCB">
        <w:rPr>
          <w:szCs w:val="22"/>
          <w:lang w:val="fr-FR"/>
        </w:rPr>
        <w:t xml:space="preserve">actuellement prévue </w:t>
      </w:r>
      <w:r w:rsidR="00C61FFC" w:rsidRPr="00C61FFC">
        <w:rPr>
          <w:color w:val="000000"/>
          <w:szCs w:val="22"/>
          <w:lang w:val="fr-FR"/>
        </w:rPr>
        <w:t>par</w:t>
      </w:r>
      <w:r w:rsidR="00C61FFC" w:rsidRPr="003E5DCB">
        <w:rPr>
          <w:szCs w:val="22"/>
          <w:lang w:val="fr-FR"/>
        </w:rPr>
        <w:t xml:space="preserve"> la règle</w:t>
      </w:r>
      <w:r w:rsidR="000729D9">
        <w:rPr>
          <w:szCs w:val="22"/>
          <w:lang w:val="fr-FR"/>
        </w:rPr>
        <w:t> </w:t>
      </w:r>
      <w:r w:rsidR="00C61FFC" w:rsidRPr="003E5DCB">
        <w:rPr>
          <w:szCs w:val="22"/>
          <w:lang w:val="fr-FR"/>
        </w:rPr>
        <w:t>9</w:t>
      </w:r>
      <w:r w:rsidR="00C61FFC" w:rsidRPr="00C61FFC">
        <w:rPr>
          <w:color w:val="000000"/>
          <w:szCs w:val="22"/>
          <w:lang w:val="fr-FR"/>
        </w:rPr>
        <w:t>.</w:t>
      </w:r>
      <w:r w:rsidR="00C61FFC" w:rsidRPr="003E5DCB">
        <w:rPr>
          <w:szCs w:val="22"/>
          <w:lang w:val="fr-FR"/>
        </w:rPr>
        <w:t>4)</w:t>
      </w:r>
      <w:r w:rsidR="000729D9">
        <w:rPr>
          <w:szCs w:val="22"/>
          <w:lang w:val="fr-FR"/>
        </w:rPr>
        <w:t>a</w:t>
      </w:r>
      <w:r w:rsidR="00C61FFC" w:rsidRPr="003E5DCB">
        <w:rPr>
          <w:szCs w:val="22"/>
          <w:lang w:val="fr-FR"/>
        </w:rPr>
        <w:t>)</w:t>
      </w:r>
      <w:r w:rsidR="000729D9">
        <w:rPr>
          <w:szCs w:val="22"/>
          <w:lang w:val="fr-FR"/>
        </w:rPr>
        <w:t>v</w:t>
      </w:r>
      <w:r w:rsidR="00C61FFC" w:rsidRPr="003E5DCB">
        <w:rPr>
          <w:szCs w:val="22"/>
          <w:lang w:val="fr-FR"/>
        </w:rPr>
        <w:t xml:space="preserve">ii) </w:t>
      </w:r>
      <w:r>
        <w:rPr>
          <w:color w:val="000000"/>
          <w:szCs w:val="22"/>
          <w:lang w:val="fr-FR"/>
        </w:rPr>
        <w:t>relative aux</w:t>
      </w:r>
      <w:r w:rsidR="00C61FFC" w:rsidRPr="003E5DCB">
        <w:rPr>
          <w:szCs w:val="22"/>
          <w:lang w:val="fr-FR"/>
        </w:rPr>
        <w:t xml:space="preserve"> marques </w:t>
      </w:r>
      <w:r w:rsidR="00F6410C">
        <w:rPr>
          <w:color w:val="000000"/>
          <w:szCs w:val="22"/>
          <w:lang w:val="fr-FR"/>
        </w:rPr>
        <w:t>en</w:t>
      </w:r>
      <w:r w:rsidR="00C61FFC" w:rsidRPr="00C61FFC">
        <w:rPr>
          <w:color w:val="000000"/>
          <w:szCs w:val="22"/>
          <w:lang w:val="fr-FR"/>
        </w:rPr>
        <w:t xml:space="preserve"> </w:t>
      </w:r>
      <w:r w:rsidR="00C61FFC" w:rsidRPr="003E5DCB">
        <w:rPr>
          <w:szCs w:val="22"/>
          <w:lang w:val="fr-FR"/>
        </w:rPr>
        <w:t>coule</w:t>
      </w:r>
      <w:r w:rsidR="004D686C" w:rsidRPr="003E5DCB">
        <w:rPr>
          <w:szCs w:val="22"/>
          <w:lang w:val="fr-FR"/>
        </w:rPr>
        <w:t>ur</w:t>
      </w:r>
      <w:r w:rsidR="004D686C">
        <w:rPr>
          <w:szCs w:val="22"/>
          <w:lang w:val="fr-FR"/>
        </w:rPr>
        <w:t xml:space="preserve">.  </w:t>
      </w:r>
      <w:r w:rsidR="004D686C" w:rsidRPr="003E5DCB">
        <w:rPr>
          <w:szCs w:val="22"/>
          <w:lang w:val="fr-FR"/>
        </w:rPr>
        <w:t>Co</w:t>
      </w:r>
      <w:r w:rsidR="00C61FFC" w:rsidRPr="003E5DCB">
        <w:rPr>
          <w:szCs w:val="22"/>
          <w:lang w:val="fr-FR"/>
        </w:rPr>
        <w:t xml:space="preserve">mme indiqué lors de précédentes sessions du groupe de travail, certaines </w:t>
      </w:r>
      <w:r w:rsidR="00C61FFC" w:rsidRPr="00C61FFC">
        <w:rPr>
          <w:color w:val="000000"/>
          <w:szCs w:val="22"/>
          <w:lang w:val="fr-FR"/>
        </w:rPr>
        <w:t>p</w:t>
      </w:r>
      <w:r w:rsidR="00C61FFC" w:rsidRPr="003E5DCB">
        <w:rPr>
          <w:szCs w:val="22"/>
          <w:lang w:val="fr-FR"/>
        </w:rPr>
        <w:t xml:space="preserve">arties contractantes exigent que la reproduction </w:t>
      </w:r>
      <w:r>
        <w:rPr>
          <w:szCs w:val="22"/>
          <w:lang w:val="fr-FR"/>
        </w:rPr>
        <w:t>qui figure</w:t>
      </w:r>
      <w:r w:rsidR="00C61FFC" w:rsidRPr="003E5DCB">
        <w:rPr>
          <w:szCs w:val="22"/>
          <w:lang w:val="fr-FR"/>
        </w:rPr>
        <w:t xml:space="preserve"> dans la demande internationale soit identique à celle qui figure dans la marque de base</w:t>
      </w:r>
      <w:r w:rsidR="00C61FFC" w:rsidRPr="003E5DCB">
        <w:rPr>
          <w:rStyle w:val="FootnoteReference"/>
          <w:szCs w:val="22"/>
          <w:lang w:val="fr-FR"/>
        </w:rPr>
        <w:footnoteReference w:id="4"/>
      </w:r>
      <w:r w:rsidR="00C61FFC" w:rsidRPr="003E5DCB">
        <w:rPr>
          <w:szCs w:val="22"/>
          <w:lang w:val="fr-FR"/>
        </w:rPr>
        <w:t>.</w:t>
      </w:r>
      <w:r w:rsidR="00F11138" w:rsidRPr="00C61FFC">
        <w:rPr>
          <w:szCs w:val="22"/>
          <w:lang w:val="fr-FR"/>
        </w:rPr>
        <w:t xml:space="preserve">  </w:t>
      </w:r>
      <w:r w:rsidR="00C61FFC" w:rsidRPr="003E5DCB">
        <w:rPr>
          <w:szCs w:val="22"/>
          <w:lang w:val="fr-FR"/>
        </w:rPr>
        <w:t xml:space="preserve">Dans ces </w:t>
      </w:r>
      <w:r>
        <w:rPr>
          <w:szCs w:val="22"/>
          <w:lang w:val="fr-FR"/>
        </w:rPr>
        <w:t>p</w:t>
      </w:r>
      <w:r w:rsidR="00C61FFC" w:rsidRPr="003E5DCB">
        <w:rPr>
          <w:szCs w:val="22"/>
          <w:lang w:val="fr-FR"/>
        </w:rPr>
        <w:t xml:space="preserve">arties contractantes, le titulaire ne serait pas autorisé à déposer une demande internationale </w:t>
      </w:r>
      <w:r w:rsidR="001869FE">
        <w:rPr>
          <w:szCs w:val="22"/>
          <w:lang w:val="fr-FR"/>
        </w:rPr>
        <w:t>contenant</w:t>
      </w:r>
      <w:r w:rsidR="00C61FFC" w:rsidRPr="003E5DCB">
        <w:rPr>
          <w:szCs w:val="22"/>
          <w:lang w:val="fr-FR"/>
        </w:rPr>
        <w:t xml:space="preserve"> une représentation différente de la marque, à moins que ces </w:t>
      </w:r>
      <w:r>
        <w:rPr>
          <w:szCs w:val="22"/>
          <w:lang w:val="fr-FR"/>
        </w:rPr>
        <w:t>p</w:t>
      </w:r>
      <w:r w:rsidR="00C61FFC" w:rsidRPr="003E5DCB">
        <w:rPr>
          <w:szCs w:val="22"/>
          <w:lang w:val="fr-FR"/>
        </w:rPr>
        <w:t xml:space="preserve">arties contractantes introduisent </w:t>
      </w:r>
      <w:r>
        <w:rPr>
          <w:szCs w:val="22"/>
          <w:lang w:val="fr-FR"/>
        </w:rPr>
        <w:t>une certaine</w:t>
      </w:r>
      <w:r w:rsidR="00C61FFC" w:rsidRPr="003E5DCB">
        <w:rPr>
          <w:szCs w:val="22"/>
          <w:lang w:val="fr-FR"/>
        </w:rPr>
        <w:t xml:space="preserve"> </w:t>
      </w:r>
      <w:r>
        <w:rPr>
          <w:szCs w:val="22"/>
          <w:lang w:val="fr-FR"/>
        </w:rPr>
        <w:t>souplesse</w:t>
      </w:r>
      <w:r w:rsidR="00C61FFC" w:rsidRPr="003E5DCB">
        <w:rPr>
          <w:szCs w:val="22"/>
          <w:lang w:val="fr-FR"/>
        </w:rPr>
        <w:t xml:space="preserve"> dans leurs pratiques de certification.</w:t>
      </w:r>
    </w:p>
    <w:p w:rsidR="009C3A49" w:rsidRDefault="00BA61B4" w:rsidP="003E5DCB">
      <w:pPr>
        <w:pStyle w:val="ONUMFS"/>
        <w:rPr>
          <w:szCs w:val="22"/>
          <w:lang w:val="fr-FR"/>
        </w:rPr>
      </w:pPr>
      <w:r w:rsidRPr="003E5DCB">
        <w:rPr>
          <w:szCs w:val="22"/>
          <w:lang w:val="fr-FR"/>
        </w:rPr>
        <w:t xml:space="preserve">Une autre solution </w:t>
      </w:r>
      <w:r w:rsidR="007464BC">
        <w:rPr>
          <w:szCs w:val="22"/>
          <w:lang w:val="fr-FR"/>
        </w:rPr>
        <w:t xml:space="preserve">pour remédier </w:t>
      </w:r>
      <w:r w:rsidRPr="003E5DCB">
        <w:rPr>
          <w:szCs w:val="22"/>
          <w:lang w:val="fr-FR"/>
        </w:rPr>
        <w:t>à la situation décrite au paragraphe</w:t>
      </w:r>
      <w:r w:rsidR="000729D9">
        <w:rPr>
          <w:szCs w:val="22"/>
          <w:lang w:val="fr-FR"/>
        </w:rPr>
        <w:t> </w:t>
      </w:r>
      <w:r w:rsidR="007464BC">
        <w:rPr>
          <w:szCs w:val="22"/>
          <w:lang w:val="fr-FR"/>
        </w:rPr>
        <w:fldChar w:fldCharType="begin"/>
      </w:r>
      <w:r w:rsidR="007464BC">
        <w:rPr>
          <w:szCs w:val="22"/>
          <w:lang w:val="fr-FR"/>
        </w:rPr>
        <w:instrText xml:space="preserve"> REF _Ref9846857 \r \h </w:instrText>
      </w:r>
      <w:r w:rsidR="007464BC">
        <w:rPr>
          <w:szCs w:val="22"/>
          <w:lang w:val="fr-FR"/>
        </w:rPr>
      </w:r>
      <w:r w:rsidR="007464BC">
        <w:rPr>
          <w:szCs w:val="22"/>
          <w:lang w:val="fr-FR"/>
        </w:rPr>
        <w:fldChar w:fldCharType="separate"/>
      </w:r>
      <w:r w:rsidR="007464BC">
        <w:rPr>
          <w:szCs w:val="22"/>
          <w:lang w:val="fr-FR"/>
        </w:rPr>
        <w:t>14</w:t>
      </w:r>
      <w:r w:rsidR="007464BC">
        <w:rPr>
          <w:szCs w:val="22"/>
          <w:lang w:val="fr-FR"/>
        </w:rPr>
        <w:fldChar w:fldCharType="end"/>
      </w:r>
      <w:r w:rsidRPr="003E5DCB">
        <w:rPr>
          <w:szCs w:val="22"/>
          <w:lang w:val="fr-FR"/>
        </w:rPr>
        <w:t xml:space="preserve"> </w:t>
      </w:r>
      <w:r w:rsidRPr="00BA61B4">
        <w:rPr>
          <w:color w:val="000000"/>
          <w:szCs w:val="22"/>
          <w:lang w:val="fr-FR"/>
        </w:rPr>
        <w:t xml:space="preserve">serait que </w:t>
      </w:r>
      <w:r w:rsidRPr="003E5DCB">
        <w:rPr>
          <w:szCs w:val="22"/>
          <w:lang w:val="fr-FR"/>
        </w:rPr>
        <w:t xml:space="preserve">les </w:t>
      </w:r>
      <w:r w:rsidRPr="00BA61B4">
        <w:rPr>
          <w:color w:val="000000"/>
          <w:szCs w:val="22"/>
          <w:lang w:val="fr-FR"/>
        </w:rPr>
        <w:t>p</w:t>
      </w:r>
      <w:r w:rsidRPr="003E5DCB">
        <w:rPr>
          <w:szCs w:val="22"/>
          <w:lang w:val="fr-FR"/>
        </w:rPr>
        <w:t xml:space="preserve">arties contractantes désignées </w:t>
      </w:r>
      <w:r w:rsidRPr="00BA61B4">
        <w:rPr>
          <w:color w:val="000000"/>
          <w:szCs w:val="22"/>
          <w:lang w:val="fr-FR"/>
        </w:rPr>
        <w:t>exigent</w:t>
      </w:r>
      <w:r w:rsidRPr="003E5DCB">
        <w:rPr>
          <w:szCs w:val="22"/>
          <w:lang w:val="fr-FR"/>
        </w:rPr>
        <w:t xml:space="preserve">, dans un refus provisoire, que les titulaires fournissent une représentation de la marque conformément à </w:t>
      </w:r>
      <w:r w:rsidR="007464BC">
        <w:rPr>
          <w:color w:val="000000"/>
          <w:szCs w:val="22"/>
          <w:lang w:val="fr-FR"/>
        </w:rPr>
        <w:t>l</w:t>
      </w:r>
      <w:r w:rsidR="0086454C">
        <w:rPr>
          <w:color w:val="000000"/>
          <w:szCs w:val="22"/>
          <w:lang w:val="fr-FR"/>
        </w:rPr>
        <w:t>eur</w:t>
      </w:r>
      <w:r w:rsidR="007464BC">
        <w:rPr>
          <w:color w:val="000000"/>
          <w:szCs w:val="22"/>
          <w:lang w:val="fr-FR"/>
        </w:rPr>
        <w:t xml:space="preserve"> législation</w:t>
      </w:r>
      <w:r w:rsidRPr="00BA61B4">
        <w:rPr>
          <w:color w:val="000000"/>
          <w:szCs w:val="22"/>
          <w:lang w:val="fr-FR"/>
        </w:rPr>
        <w:t xml:space="preserve"> </w:t>
      </w:r>
      <w:r w:rsidRPr="003E5DCB">
        <w:rPr>
          <w:szCs w:val="22"/>
          <w:lang w:val="fr-FR"/>
        </w:rPr>
        <w:t xml:space="preserve">et </w:t>
      </w:r>
      <w:r w:rsidR="0086454C">
        <w:rPr>
          <w:szCs w:val="22"/>
          <w:lang w:val="fr-FR"/>
        </w:rPr>
        <w:t>à leurs</w:t>
      </w:r>
      <w:r w:rsidR="007464BC">
        <w:rPr>
          <w:szCs w:val="22"/>
          <w:lang w:val="fr-FR"/>
        </w:rPr>
        <w:t xml:space="preserve"> </w:t>
      </w:r>
      <w:r w:rsidRPr="003E5DCB">
        <w:rPr>
          <w:szCs w:val="22"/>
          <w:lang w:val="fr-FR"/>
        </w:rPr>
        <w:t>pratiques</w:t>
      </w:r>
      <w:r w:rsidRPr="00BA61B4">
        <w:rPr>
          <w:color w:val="000000"/>
          <w:szCs w:val="22"/>
          <w:lang w:val="fr-FR"/>
        </w:rPr>
        <w:t xml:space="preserve"> applicables</w:t>
      </w:r>
      <w:r w:rsidR="004D686C">
        <w:rPr>
          <w:color w:val="000000"/>
          <w:szCs w:val="22"/>
          <w:lang w:val="fr-FR"/>
        </w:rPr>
        <w:t xml:space="preserve">.  </w:t>
      </w:r>
      <w:r w:rsidR="004D686C">
        <w:rPr>
          <w:szCs w:val="22"/>
          <w:lang w:val="fr-FR"/>
        </w:rPr>
        <w:t>Il</w:t>
      </w:r>
      <w:r w:rsidR="00486C2F">
        <w:rPr>
          <w:szCs w:val="22"/>
          <w:lang w:val="fr-FR"/>
        </w:rPr>
        <w:t xml:space="preserve"> se peut que c</w:t>
      </w:r>
      <w:r w:rsidR="006D1289" w:rsidRPr="003E5DCB">
        <w:rPr>
          <w:szCs w:val="22"/>
          <w:lang w:val="fr-FR"/>
        </w:rPr>
        <w:t xml:space="preserve">ette solution </w:t>
      </w:r>
      <w:r w:rsidR="00486C2F">
        <w:rPr>
          <w:szCs w:val="22"/>
          <w:lang w:val="fr-FR"/>
        </w:rPr>
        <w:t>ne soit pas possible</w:t>
      </w:r>
      <w:r w:rsidR="006D1289" w:rsidRPr="003E5DCB">
        <w:rPr>
          <w:szCs w:val="22"/>
          <w:lang w:val="fr-FR"/>
        </w:rPr>
        <w:t xml:space="preserve"> lorsque la partie contractante désignée </w:t>
      </w:r>
      <w:r w:rsidR="006D1289" w:rsidRPr="006D1289">
        <w:rPr>
          <w:color w:val="000000"/>
          <w:szCs w:val="22"/>
          <w:lang w:val="fr-FR"/>
        </w:rPr>
        <w:t xml:space="preserve">estime </w:t>
      </w:r>
      <w:r w:rsidR="006D1289" w:rsidRPr="003E5DCB">
        <w:rPr>
          <w:szCs w:val="22"/>
          <w:lang w:val="fr-FR"/>
        </w:rPr>
        <w:t>que la reproduction telle qu</w:t>
      </w:r>
      <w:r w:rsidR="009C3A49">
        <w:rPr>
          <w:szCs w:val="22"/>
          <w:lang w:val="fr-FR"/>
        </w:rPr>
        <w:t>’</w:t>
      </w:r>
      <w:r w:rsidR="006D1289" w:rsidRPr="003E5DCB">
        <w:rPr>
          <w:szCs w:val="22"/>
          <w:lang w:val="fr-FR"/>
        </w:rPr>
        <w:t xml:space="preserve">elle apparaît dans le registre </w:t>
      </w:r>
      <w:r w:rsidR="006D1289" w:rsidRPr="006D1289">
        <w:rPr>
          <w:color w:val="000000"/>
          <w:szCs w:val="22"/>
          <w:lang w:val="fr-FR"/>
        </w:rPr>
        <w:t>i</w:t>
      </w:r>
      <w:r w:rsidR="006D1289" w:rsidRPr="003E5DCB">
        <w:rPr>
          <w:szCs w:val="22"/>
          <w:lang w:val="fr-FR"/>
        </w:rPr>
        <w:t xml:space="preserve">nternational ne suffit pas à définir </w:t>
      </w:r>
      <w:r w:rsidR="006D1289" w:rsidRPr="006D1289">
        <w:rPr>
          <w:color w:val="000000"/>
          <w:szCs w:val="22"/>
          <w:lang w:val="fr-FR"/>
        </w:rPr>
        <w:t xml:space="preserve">de manière </w:t>
      </w:r>
      <w:r w:rsidR="006D1289" w:rsidRPr="003E5DCB">
        <w:rPr>
          <w:szCs w:val="22"/>
          <w:lang w:val="fr-FR"/>
        </w:rPr>
        <w:t>claire et précis</w:t>
      </w:r>
      <w:r w:rsidR="006D1289" w:rsidRPr="006D1289">
        <w:rPr>
          <w:color w:val="000000"/>
          <w:szCs w:val="22"/>
          <w:lang w:val="fr-FR"/>
        </w:rPr>
        <w:t>e</w:t>
      </w:r>
      <w:r w:rsidR="006D1289" w:rsidRPr="003E5DCB">
        <w:rPr>
          <w:szCs w:val="22"/>
          <w:lang w:val="fr-FR"/>
        </w:rPr>
        <w:t xml:space="preserve"> l</w:t>
      </w:r>
      <w:r w:rsidR="009C3A49">
        <w:rPr>
          <w:szCs w:val="22"/>
          <w:lang w:val="fr-FR"/>
        </w:rPr>
        <w:t>’</w:t>
      </w:r>
      <w:r w:rsidR="006D1289" w:rsidRPr="003E5DCB">
        <w:rPr>
          <w:szCs w:val="22"/>
          <w:lang w:val="fr-FR"/>
        </w:rPr>
        <w:t>objet de la protection.</w:t>
      </w:r>
    </w:p>
    <w:p w:rsidR="009C3A49" w:rsidRDefault="00DA6C7B" w:rsidP="003E5DCB">
      <w:pPr>
        <w:pStyle w:val="ONUMFS"/>
        <w:rPr>
          <w:szCs w:val="22"/>
          <w:lang w:val="fr-FR"/>
        </w:rPr>
      </w:pPr>
      <w:r w:rsidRPr="003E5DCB">
        <w:rPr>
          <w:szCs w:val="22"/>
          <w:lang w:val="fr-FR"/>
        </w:rPr>
        <w:t>Par exemple, la plupart des demandes internationales indiquant que la marque est tridimensionnelle sont présentées avec une reproduction graphique ou photographique de la marque</w:t>
      </w:r>
      <w:r w:rsidRPr="00DA6C7B">
        <w:rPr>
          <w:color w:val="000000"/>
          <w:szCs w:val="22"/>
          <w:lang w:val="fr-FR"/>
        </w:rPr>
        <w:t xml:space="preserve"> </w:t>
      </w:r>
      <w:r w:rsidRPr="003E5DCB">
        <w:rPr>
          <w:szCs w:val="22"/>
          <w:lang w:val="fr-FR"/>
        </w:rPr>
        <w:t>en deux</w:t>
      </w:r>
      <w:r w:rsidR="006A36D2">
        <w:rPr>
          <w:szCs w:val="22"/>
          <w:lang w:val="fr-FR"/>
        </w:rPr>
        <w:t> </w:t>
      </w:r>
      <w:r w:rsidRPr="003E5DCB">
        <w:rPr>
          <w:szCs w:val="22"/>
          <w:lang w:val="fr-FR"/>
        </w:rPr>
        <w:t>dimensions, telle que, par exemple, l</w:t>
      </w:r>
      <w:r w:rsidR="009C3A49">
        <w:rPr>
          <w:szCs w:val="22"/>
          <w:lang w:val="fr-FR"/>
        </w:rPr>
        <w:t>’</w:t>
      </w:r>
      <w:r w:rsidRPr="003E5DCB">
        <w:rPr>
          <w:szCs w:val="22"/>
          <w:lang w:val="fr-FR"/>
        </w:rPr>
        <w:t>image d</w:t>
      </w:r>
      <w:r w:rsidR="009C3A49">
        <w:rPr>
          <w:szCs w:val="22"/>
          <w:lang w:val="fr-FR"/>
        </w:rPr>
        <w:t>’</w:t>
      </w:r>
      <w:r w:rsidRPr="003E5DCB">
        <w:rPr>
          <w:szCs w:val="22"/>
          <w:lang w:val="fr-FR"/>
        </w:rPr>
        <w:t>une bouteil</w:t>
      </w:r>
      <w:r w:rsidR="004D686C" w:rsidRPr="003E5DCB">
        <w:rPr>
          <w:szCs w:val="22"/>
          <w:lang w:val="fr-FR"/>
        </w:rPr>
        <w:t>le</w:t>
      </w:r>
      <w:r w:rsidR="004D686C">
        <w:rPr>
          <w:szCs w:val="22"/>
          <w:lang w:val="fr-FR"/>
        </w:rPr>
        <w:t xml:space="preserve">.  </w:t>
      </w:r>
      <w:r w:rsidR="004D686C" w:rsidRPr="003E5DCB">
        <w:rPr>
          <w:szCs w:val="22"/>
          <w:lang w:val="fr-FR"/>
        </w:rPr>
        <w:t>Ce</w:t>
      </w:r>
      <w:r w:rsidRPr="003E5DCB">
        <w:rPr>
          <w:szCs w:val="22"/>
          <w:lang w:val="fr-FR"/>
        </w:rPr>
        <w:t xml:space="preserve">rtaines </w:t>
      </w:r>
      <w:r w:rsidRPr="00DA6C7B">
        <w:rPr>
          <w:color w:val="000000"/>
          <w:szCs w:val="22"/>
          <w:lang w:val="fr-FR"/>
        </w:rPr>
        <w:t>p</w:t>
      </w:r>
      <w:r w:rsidRPr="003E5DCB">
        <w:rPr>
          <w:szCs w:val="22"/>
          <w:lang w:val="fr-FR"/>
        </w:rPr>
        <w:t xml:space="preserve">arties contractantes </w:t>
      </w:r>
      <w:r w:rsidRPr="00DA6C7B">
        <w:rPr>
          <w:color w:val="000000"/>
          <w:szCs w:val="22"/>
          <w:lang w:val="fr-FR"/>
        </w:rPr>
        <w:t xml:space="preserve">pourraient </w:t>
      </w:r>
      <w:r w:rsidRPr="003E5DCB">
        <w:rPr>
          <w:szCs w:val="22"/>
          <w:lang w:val="fr-FR"/>
        </w:rPr>
        <w:t xml:space="preserve">exiger que les demandes </w:t>
      </w:r>
      <w:r w:rsidRPr="00DA6C7B">
        <w:rPr>
          <w:color w:val="000000"/>
          <w:szCs w:val="22"/>
          <w:lang w:val="fr-FR"/>
        </w:rPr>
        <w:t>concernant</w:t>
      </w:r>
      <w:r w:rsidRPr="003E5DCB">
        <w:rPr>
          <w:szCs w:val="22"/>
          <w:lang w:val="fr-FR"/>
        </w:rPr>
        <w:t xml:space="preserve"> </w:t>
      </w:r>
      <w:r w:rsidRPr="00DA6C7B">
        <w:rPr>
          <w:color w:val="000000"/>
          <w:szCs w:val="22"/>
          <w:lang w:val="fr-FR"/>
        </w:rPr>
        <w:t xml:space="preserve">des </w:t>
      </w:r>
      <w:r w:rsidRPr="003E5DCB">
        <w:rPr>
          <w:szCs w:val="22"/>
          <w:lang w:val="fr-FR"/>
        </w:rPr>
        <w:t xml:space="preserve">marques tridimensionnelles soient représentées </w:t>
      </w:r>
      <w:r w:rsidRPr="00DA6C7B">
        <w:rPr>
          <w:color w:val="000000"/>
          <w:szCs w:val="22"/>
          <w:lang w:val="fr-FR"/>
        </w:rPr>
        <w:t>à l</w:t>
      </w:r>
      <w:r w:rsidR="009C3A49">
        <w:rPr>
          <w:color w:val="000000"/>
          <w:szCs w:val="22"/>
          <w:lang w:val="fr-FR"/>
        </w:rPr>
        <w:t>’</w:t>
      </w:r>
      <w:r w:rsidRPr="00DA6C7B">
        <w:rPr>
          <w:color w:val="000000"/>
          <w:szCs w:val="22"/>
          <w:lang w:val="fr-FR"/>
        </w:rPr>
        <w:t xml:space="preserve">aide de </w:t>
      </w:r>
      <w:r w:rsidRPr="003E5DCB">
        <w:rPr>
          <w:szCs w:val="22"/>
          <w:lang w:val="fr-FR"/>
        </w:rPr>
        <w:t>plusieurs vues de la marque aux fins de l</w:t>
      </w:r>
      <w:r w:rsidR="009C3A49">
        <w:rPr>
          <w:szCs w:val="22"/>
          <w:lang w:val="fr-FR"/>
        </w:rPr>
        <w:t>’</w:t>
      </w:r>
      <w:r w:rsidRPr="003E5DCB">
        <w:rPr>
          <w:szCs w:val="22"/>
          <w:lang w:val="fr-FR"/>
        </w:rPr>
        <w:t>attribution d</w:t>
      </w:r>
      <w:r w:rsidR="009C3A49">
        <w:rPr>
          <w:szCs w:val="22"/>
          <w:lang w:val="fr-FR"/>
        </w:rPr>
        <w:t>’</w:t>
      </w:r>
      <w:r w:rsidRPr="003E5DCB">
        <w:rPr>
          <w:szCs w:val="22"/>
          <w:lang w:val="fr-FR"/>
        </w:rPr>
        <w:t>une date de dép</w:t>
      </w:r>
      <w:r w:rsidR="004D686C" w:rsidRPr="003E5DCB">
        <w:rPr>
          <w:szCs w:val="22"/>
          <w:lang w:val="fr-FR"/>
        </w:rPr>
        <w:t>ôt</w:t>
      </w:r>
      <w:r w:rsidR="004D686C">
        <w:rPr>
          <w:szCs w:val="22"/>
          <w:lang w:val="fr-FR"/>
        </w:rPr>
        <w:t xml:space="preserve">.  </w:t>
      </w:r>
      <w:r w:rsidR="004D686C" w:rsidRPr="003E5DCB">
        <w:rPr>
          <w:szCs w:val="22"/>
          <w:lang w:val="fr-FR"/>
        </w:rPr>
        <w:t>Da</w:t>
      </w:r>
      <w:r w:rsidRPr="003E5DCB">
        <w:rPr>
          <w:szCs w:val="22"/>
          <w:lang w:val="fr-FR"/>
        </w:rPr>
        <w:t xml:space="preserve">ns ces </w:t>
      </w:r>
      <w:r w:rsidRPr="00DA6C7B">
        <w:rPr>
          <w:color w:val="000000"/>
          <w:szCs w:val="22"/>
          <w:lang w:val="fr-FR"/>
        </w:rPr>
        <w:t>p</w:t>
      </w:r>
      <w:r w:rsidRPr="003E5DCB">
        <w:rPr>
          <w:szCs w:val="22"/>
          <w:lang w:val="fr-FR"/>
        </w:rPr>
        <w:t xml:space="preserve">arties contractantes, </w:t>
      </w:r>
      <w:r w:rsidR="00486C2F">
        <w:rPr>
          <w:szCs w:val="22"/>
          <w:lang w:val="fr-FR"/>
        </w:rPr>
        <w:t xml:space="preserve">il se peut que </w:t>
      </w:r>
      <w:r w:rsidRPr="00DA6C7B">
        <w:rPr>
          <w:color w:val="000000"/>
          <w:szCs w:val="22"/>
          <w:lang w:val="fr-FR"/>
        </w:rPr>
        <w:t xml:space="preserve">la fourniture </w:t>
      </w:r>
      <w:r w:rsidRPr="003E5DCB">
        <w:rPr>
          <w:szCs w:val="22"/>
          <w:lang w:val="fr-FR"/>
        </w:rPr>
        <w:t xml:space="preserve">de vues supplémentaires </w:t>
      </w:r>
      <w:r w:rsidR="00486C2F">
        <w:rPr>
          <w:szCs w:val="22"/>
          <w:lang w:val="fr-FR"/>
        </w:rPr>
        <w:t xml:space="preserve">ne suffise pas à </w:t>
      </w:r>
      <w:r w:rsidR="00B64B2E">
        <w:rPr>
          <w:szCs w:val="22"/>
          <w:lang w:val="fr-FR"/>
        </w:rPr>
        <w:t>surmonter</w:t>
      </w:r>
      <w:r w:rsidRPr="003E5DCB">
        <w:rPr>
          <w:szCs w:val="22"/>
          <w:lang w:val="fr-FR"/>
        </w:rPr>
        <w:t xml:space="preserve"> un refus de protection </w:t>
      </w:r>
      <w:r w:rsidR="00486C2F">
        <w:rPr>
          <w:color w:val="000000"/>
          <w:szCs w:val="22"/>
          <w:lang w:val="fr-FR"/>
        </w:rPr>
        <w:t>prononcé à l</w:t>
      </w:r>
      <w:r w:rsidR="009C3A49">
        <w:rPr>
          <w:color w:val="000000"/>
          <w:szCs w:val="22"/>
          <w:lang w:val="fr-FR"/>
        </w:rPr>
        <w:t>’</w:t>
      </w:r>
      <w:r w:rsidR="00486C2F">
        <w:rPr>
          <w:color w:val="000000"/>
          <w:szCs w:val="22"/>
          <w:lang w:val="fr-FR"/>
        </w:rPr>
        <w:t>encontre d</w:t>
      </w:r>
      <w:r w:rsidR="009C3A49">
        <w:rPr>
          <w:color w:val="000000"/>
          <w:szCs w:val="22"/>
          <w:lang w:val="fr-FR"/>
        </w:rPr>
        <w:t>’</w:t>
      </w:r>
      <w:r w:rsidRPr="003E5DCB">
        <w:rPr>
          <w:szCs w:val="22"/>
          <w:lang w:val="fr-FR"/>
        </w:rPr>
        <w:t xml:space="preserve">une demande internationale déposée </w:t>
      </w:r>
      <w:r w:rsidRPr="00DA6C7B">
        <w:rPr>
          <w:color w:val="000000"/>
          <w:szCs w:val="22"/>
          <w:lang w:val="fr-FR"/>
        </w:rPr>
        <w:t xml:space="preserve">avec </w:t>
      </w:r>
      <w:r w:rsidRPr="003E5DCB">
        <w:rPr>
          <w:szCs w:val="22"/>
          <w:lang w:val="fr-FR"/>
        </w:rPr>
        <w:t>une reproduction graphique ou phot</w:t>
      </w:r>
      <w:r w:rsidR="00B64B2E">
        <w:rPr>
          <w:szCs w:val="22"/>
          <w:lang w:val="fr-FR"/>
        </w:rPr>
        <w:t>ographique en deux</w:t>
      </w:r>
      <w:r w:rsidR="006A36D2">
        <w:rPr>
          <w:szCs w:val="22"/>
          <w:lang w:val="fr-FR"/>
        </w:rPr>
        <w:t> </w:t>
      </w:r>
      <w:r w:rsidR="00B64B2E">
        <w:rPr>
          <w:szCs w:val="22"/>
          <w:lang w:val="fr-FR"/>
        </w:rPr>
        <w:t xml:space="preserve">dimensions pour </w:t>
      </w:r>
      <w:r w:rsidRPr="003E5DCB">
        <w:rPr>
          <w:szCs w:val="22"/>
          <w:lang w:val="fr-FR"/>
        </w:rPr>
        <w:t>une marque tridimensionnelle.</w:t>
      </w:r>
    </w:p>
    <w:p w:rsidR="009C3A49" w:rsidRDefault="00DA6C7B" w:rsidP="00620060">
      <w:pPr>
        <w:pStyle w:val="ONUMFS"/>
        <w:spacing w:after="0"/>
        <w:rPr>
          <w:szCs w:val="22"/>
          <w:lang w:val="fr-FR"/>
        </w:rPr>
      </w:pPr>
      <w:r w:rsidRPr="003E5DCB">
        <w:rPr>
          <w:szCs w:val="22"/>
          <w:lang w:val="fr-FR"/>
        </w:rPr>
        <w:t xml:space="preserve">Compte tenu de ce qui précède, le </w:t>
      </w:r>
      <w:r w:rsidR="00B64B2E">
        <w:rPr>
          <w:szCs w:val="22"/>
          <w:lang w:val="fr-FR"/>
        </w:rPr>
        <w:t>g</w:t>
      </w:r>
      <w:r w:rsidRPr="003E5DCB">
        <w:rPr>
          <w:szCs w:val="22"/>
          <w:lang w:val="fr-FR"/>
        </w:rPr>
        <w:t>roupe de travail voudra peut</w:t>
      </w:r>
      <w:r w:rsidR="005B2F35">
        <w:rPr>
          <w:szCs w:val="22"/>
          <w:lang w:val="fr-FR"/>
        </w:rPr>
        <w:noBreakHyphen/>
      </w:r>
      <w:r w:rsidRPr="003E5DCB">
        <w:rPr>
          <w:szCs w:val="22"/>
          <w:lang w:val="fr-FR"/>
        </w:rPr>
        <w:t>être déterminer s</w:t>
      </w:r>
      <w:r w:rsidR="009C3A49">
        <w:rPr>
          <w:szCs w:val="22"/>
          <w:lang w:val="fr-FR"/>
        </w:rPr>
        <w:t>’</w:t>
      </w:r>
      <w:r w:rsidRPr="003E5DCB">
        <w:rPr>
          <w:szCs w:val="22"/>
          <w:lang w:val="fr-FR"/>
        </w:rPr>
        <w:t>il serait également nécessaire d</w:t>
      </w:r>
      <w:r w:rsidR="009C3A49">
        <w:rPr>
          <w:szCs w:val="22"/>
          <w:lang w:val="fr-FR"/>
        </w:rPr>
        <w:t>’</w:t>
      </w:r>
      <w:r w:rsidRPr="003E5DCB">
        <w:rPr>
          <w:szCs w:val="22"/>
          <w:lang w:val="fr-FR"/>
        </w:rPr>
        <w:t>établir pour chaque type de marque des exigences minimales en matière de représentation acceptables pour toutes les parties contractant</w:t>
      </w:r>
      <w:r w:rsidR="004D686C" w:rsidRPr="003E5DCB">
        <w:rPr>
          <w:szCs w:val="22"/>
          <w:lang w:val="fr-FR"/>
        </w:rPr>
        <w:t>es</w:t>
      </w:r>
      <w:r w:rsidR="004D686C">
        <w:rPr>
          <w:szCs w:val="22"/>
          <w:lang w:val="fr-FR"/>
        </w:rPr>
        <w:t xml:space="preserve">.  </w:t>
      </w:r>
      <w:r w:rsidR="00795E5A">
        <w:rPr>
          <w:szCs w:val="22"/>
          <w:lang w:val="fr-FR"/>
        </w:rPr>
        <w:t>Ceci</w:t>
      </w:r>
      <w:r w:rsidR="00A548B3" w:rsidRPr="003E5DCB">
        <w:rPr>
          <w:szCs w:val="22"/>
          <w:lang w:val="fr-FR"/>
        </w:rPr>
        <w:t xml:space="preserve"> procurerait aux titulaires la sécurité souhaitée lorsqu</w:t>
      </w:r>
      <w:r w:rsidR="009C3A49">
        <w:rPr>
          <w:szCs w:val="22"/>
          <w:lang w:val="fr-FR"/>
        </w:rPr>
        <w:t>’</w:t>
      </w:r>
      <w:r w:rsidR="00A548B3" w:rsidRPr="003E5DCB">
        <w:rPr>
          <w:szCs w:val="22"/>
          <w:lang w:val="fr-FR"/>
        </w:rPr>
        <w:t>ils utilisent le système de Madrid.</w:t>
      </w:r>
    </w:p>
    <w:p w:rsidR="00E84F65" w:rsidRDefault="00E84F65" w:rsidP="009C3A49">
      <w:pPr>
        <w:pStyle w:val="Heading2"/>
        <w:rPr>
          <w:lang w:val="fr-FR"/>
        </w:rPr>
      </w:pPr>
      <w:r>
        <w:rPr>
          <w:lang w:val="fr-FR"/>
        </w:rPr>
        <w:br w:type="page"/>
      </w:r>
    </w:p>
    <w:p w:rsidR="0007738F" w:rsidRDefault="009C3A49" w:rsidP="009C3A49">
      <w:pPr>
        <w:pStyle w:val="Heading2"/>
        <w:rPr>
          <w:lang w:val="fr-FR"/>
        </w:rPr>
      </w:pPr>
      <w:r>
        <w:rPr>
          <w:lang w:val="fr-FR"/>
        </w:rPr>
        <w:t>B.</w:t>
      </w:r>
      <w:r>
        <w:rPr>
          <w:lang w:val="fr-FR"/>
        </w:rPr>
        <w:tab/>
      </w:r>
      <w:r w:rsidRPr="00A548B3">
        <w:rPr>
          <w:lang w:val="fr-FR"/>
        </w:rPr>
        <w:t>Considérations techniques</w:t>
      </w:r>
    </w:p>
    <w:p w:rsidR="0007738F" w:rsidRDefault="00A548B3" w:rsidP="009C3A49">
      <w:pPr>
        <w:pStyle w:val="Heading4"/>
      </w:pPr>
      <w:r w:rsidRPr="003E5DCB">
        <w:t>i)</w:t>
      </w:r>
      <w:r w:rsidR="009C3A49">
        <w:tab/>
      </w:r>
      <w:r w:rsidRPr="003E5DCB">
        <w:t xml:space="preserve">Considérations techniques concernant les </w:t>
      </w:r>
      <w:r w:rsidRPr="00A548B3">
        <w:rPr>
          <w:color w:val="000000"/>
        </w:rPr>
        <w:t>p</w:t>
      </w:r>
      <w:r w:rsidRPr="003E5DCB">
        <w:t>arties contractantes</w:t>
      </w:r>
    </w:p>
    <w:p w:rsidR="0007738F" w:rsidRDefault="0007738F" w:rsidP="00F11138">
      <w:pPr>
        <w:rPr>
          <w:lang w:val="fr-FR"/>
        </w:rPr>
      </w:pPr>
    </w:p>
    <w:p w:rsidR="009C3A49" w:rsidRDefault="00A548B3" w:rsidP="003E5DCB">
      <w:pPr>
        <w:pStyle w:val="ONUMFS"/>
        <w:rPr>
          <w:lang w:val="fr-FR"/>
        </w:rPr>
      </w:pPr>
      <w:bookmarkStart w:id="12" w:name="_Ref8059919"/>
      <w:r w:rsidRPr="003E5DCB">
        <w:rPr>
          <w:lang w:val="fr-FR"/>
        </w:rPr>
        <w:t xml:space="preserve">Lors de la précédente session du groupe de travail, le Bureau </w:t>
      </w:r>
      <w:r w:rsidRPr="00A548B3">
        <w:rPr>
          <w:color w:val="000000"/>
          <w:lang w:val="fr-FR"/>
        </w:rPr>
        <w:t>i</w:t>
      </w:r>
      <w:r w:rsidRPr="003E5DCB">
        <w:rPr>
          <w:lang w:val="fr-FR"/>
        </w:rPr>
        <w:t>nternational a indiqué que l</w:t>
      </w:r>
      <w:r w:rsidR="009C3A49">
        <w:rPr>
          <w:lang w:val="fr-FR"/>
        </w:rPr>
        <w:t>’</w:t>
      </w:r>
      <w:r w:rsidRPr="003E5DCB">
        <w:rPr>
          <w:lang w:val="fr-FR"/>
        </w:rPr>
        <w:t>introduction d</w:t>
      </w:r>
      <w:r w:rsidR="009C3A49">
        <w:rPr>
          <w:lang w:val="fr-FR"/>
        </w:rPr>
        <w:t>’</w:t>
      </w:r>
      <w:r w:rsidRPr="003E5DCB">
        <w:rPr>
          <w:lang w:val="fr-FR"/>
        </w:rPr>
        <w:t xml:space="preserve">une représentation non graphique dans le système de Madrid nécessiterait que les </w:t>
      </w:r>
      <w:r w:rsidRPr="00A548B3">
        <w:rPr>
          <w:color w:val="000000"/>
          <w:lang w:val="fr-FR"/>
        </w:rPr>
        <w:t>p</w:t>
      </w:r>
      <w:r w:rsidRPr="003E5DCB">
        <w:rPr>
          <w:lang w:val="fr-FR"/>
        </w:rPr>
        <w:t xml:space="preserve">arties contractantes </w:t>
      </w:r>
      <w:r w:rsidR="00B64B2E">
        <w:rPr>
          <w:color w:val="000000"/>
          <w:lang w:val="fr-FR"/>
        </w:rPr>
        <w:t>se transmettent</w:t>
      </w:r>
      <w:r w:rsidRPr="003E5DCB">
        <w:rPr>
          <w:lang w:val="fr-FR"/>
        </w:rPr>
        <w:t xml:space="preserve"> cette représentation </w:t>
      </w:r>
      <w:r w:rsidRPr="00A548B3">
        <w:rPr>
          <w:color w:val="000000"/>
          <w:lang w:val="fr-FR"/>
        </w:rPr>
        <w:t xml:space="preserve">par voie </w:t>
      </w:r>
      <w:r w:rsidRPr="003E5DCB">
        <w:rPr>
          <w:lang w:val="fr-FR"/>
        </w:rPr>
        <w:t xml:space="preserve">électronique </w:t>
      </w:r>
      <w:r w:rsidRPr="00A548B3">
        <w:rPr>
          <w:color w:val="000000"/>
          <w:lang w:val="fr-FR"/>
        </w:rPr>
        <w:t>et sous forme numérique</w:t>
      </w:r>
      <w:r w:rsidRPr="003E5DCB">
        <w:rPr>
          <w:rStyle w:val="FootnoteReference"/>
          <w:szCs w:val="22"/>
        </w:rPr>
        <w:footnoteReference w:id="5"/>
      </w:r>
      <w:r w:rsidRPr="003E5DCB">
        <w:rPr>
          <w:lang w:val="fr-FR"/>
        </w:rPr>
        <w:t>.</w:t>
      </w:r>
    </w:p>
    <w:p w:rsidR="009C3A49" w:rsidRDefault="00A548B3" w:rsidP="003E5DCB">
      <w:pPr>
        <w:pStyle w:val="ONUMFS"/>
        <w:rPr>
          <w:lang w:val="fr-FR"/>
        </w:rPr>
      </w:pPr>
      <w:r w:rsidRPr="003E5DCB">
        <w:rPr>
          <w:lang w:val="fr-FR"/>
        </w:rPr>
        <w:t>L</w:t>
      </w:r>
      <w:r w:rsidR="009C3A49">
        <w:rPr>
          <w:lang w:val="fr-FR"/>
        </w:rPr>
        <w:t>’</w:t>
      </w:r>
      <w:r w:rsidRPr="00A548B3">
        <w:rPr>
          <w:color w:val="000000"/>
          <w:lang w:val="fr-FR"/>
        </w:rPr>
        <w:t>o</w:t>
      </w:r>
      <w:r w:rsidRPr="003E5DCB">
        <w:rPr>
          <w:lang w:val="fr-FR"/>
        </w:rPr>
        <w:t>ffice d</w:t>
      </w:r>
      <w:r w:rsidR="009C3A49">
        <w:rPr>
          <w:lang w:val="fr-FR"/>
        </w:rPr>
        <w:t>’</w:t>
      </w:r>
      <w:r w:rsidRPr="003E5DCB">
        <w:rPr>
          <w:lang w:val="fr-FR"/>
        </w:rPr>
        <w:t xml:space="preserve">origine peut transmettre une représentation graphique de la marque au Bureau </w:t>
      </w:r>
      <w:r w:rsidRPr="00A548B3">
        <w:rPr>
          <w:color w:val="000000"/>
          <w:lang w:val="fr-FR"/>
        </w:rPr>
        <w:t>i</w:t>
      </w:r>
      <w:r w:rsidRPr="003E5DCB">
        <w:rPr>
          <w:lang w:val="fr-FR"/>
        </w:rPr>
        <w:t xml:space="preserve">nternational par </w:t>
      </w:r>
      <w:r w:rsidRPr="00A548B3">
        <w:rPr>
          <w:color w:val="000000"/>
          <w:lang w:val="fr-FR"/>
        </w:rPr>
        <w:t>voie électronique</w:t>
      </w:r>
      <w:r w:rsidRPr="003E5DCB">
        <w:rPr>
          <w:lang w:val="fr-FR"/>
        </w:rPr>
        <w:t xml:space="preserve"> ou l</w:t>
      </w:r>
      <w:r w:rsidR="009C3A49">
        <w:rPr>
          <w:lang w:val="fr-FR"/>
        </w:rPr>
        <w:t>’</w:t>
      </w:r>
      <w:r w:rsidRPr="003E5DCB">
        <w:rPr>
          <w:lang w:val="fr-FR"/>
        </w:rPr>
        <w:t xml:space="preserve">envoyer </w:t>
      </w:r>
      <w:r w:rsidR="001E328E">
        <w:rPr>
          <w:color w:val="000000"/>
          <w:lang w:val="fr-FR"/>
        </w:rPr>
        <w:t>par la poste</w:t>
      </w:r>
      <w:r w:rsidRPr="003E5DCB">
        <w:rPr>
          <w:lang w:val="fr-FR"/>
        </w:rPr>
        <w:t xml:space="preserve"> ou </w:t>
      </w:r>
      <w:r w:rsidR="001972E2">
        <w:rPr>
          <w:lang w:val="fr-FR"/>
        </w:rPr>
        <w:t xml:space="preserve">par </w:t>
      </w:r>
      <w:r w:rsidRPr="00A548B3">
        <w:rPr>
          <w:color w:val="000000"/>
          <w:lang w:val="fr-FR"/>
        </w:rPr>
        <w:t>une entreprise d</w:t>
      </w:r>
      <w:r w:rsidR="009C3A49">
        <w:rPr>
          <w:color w:val="000000"/>
          <w:lang w:val="fr-FR"/>
        </w:rPr>
        <w:t>’</w:t>
      </w:r>
      <w:r w:rsidRPr="003E5DCB">
        <w:rPr>
          <w:lang w:val="fr-FR"/>
        </w:rPr>
        <w:t>acheminement du courri</w:t>
      </w:r>
      <w:r w:rsidR="004D686C" w:rsidRPr="003E5DCB">
        <w:rPr>
          <w:lang w:val="fr-FR"/>
        </w:rPr>
        <w:t>er</w:t>
      </w:r>
      <w:r w:rsidR="004D686C">
        <w:rPr>
          <w:lang w:val="fr-FR"/>
        </w:rPr>
        <w:t xml:space="preserve">.  </w:t>
      </w:r>
      <w:r w:rsidR="004D686C" w:rsidRPr="003E5DCB">
        <w:rPr>
          <w:lang w:val="fr-FR"/>
        </w:rPr>
        <w:t>Le</w:t>
      </w:r>
      <w:r w:rsidR="004D141F" w:rsidRPr="003E5DCB">
        <w:rPr>
          <w:lang w:val="fr-FR"/>
        </w:rPr>
        <w:t xml:space="preserve"> Bureau </w:t>
      </w:r>
      <w:r w:rsidR="004D141F" w:rsidRPr="004D141F">
        <w:rPr>
          <w:color w:val="000000"/>
          <w:lang w:val="fr-FR"/>
        </w:rPr>
        <w:t>i</w:t>
      </w:r>
      <w:r w:rsidR="004D141F" w:rsidRPr="003E5DCB">
        <w:rPr>
          <w:lang w:val="fr-FR"/>
        </w:rPr>
        <w:t xml:space="preserve">nternational peut à son tour </w:t>
      </w:r>
      <w:r w:rsidR="00F334B0">
        <w:rPr>
          <w:color w:val="000000"/>
          <w:lang w:val="fr-FR"/>
        </w:rPr>
        <w:t>notifier</w:t>
      </w:r>
      <w:r w:rsidR="004D141F" w:rsidRPr="004D141F">
        <w:rPr>
          <w:color w:val="000000"/>
          <w:lang w:val="fr-FR"/>
        </w:rPr>
        <w:t xml:space="preserve"> </w:t>
      </w:r>
      <w:r w:rsidR="004D141F" w:rsidRPr="003E5DCB">
        <w:rPr>
          <w:lang w:val="fr-FR"/>
        </w:rPr>
        <w:t xml:space="preserve">aux </w:t>
      </w:r>
      <w:r w:rsidR="004D141F" w:rsidRPr="004D141F">
        <w:rPr>
          <w:color w:val="000000"/>
          <w:lang w:val="fr-FR"/>
        </w:rPr>
        <w:t>o</w:t>
      </w:r>
      <w:r w:rsidR="004D141F" w:rsidRPr="003E5DCB">
        <w:rPr>
          <w:lang w:val="fr-FR"/>
        </w:rPr>
        <w:t>ffices de</w:t>
      </w:r>
      <w:r w:rsidR="00F334B0">
        <w:rPr>
          <w:lang w:val="fr-FR"/>
        </w:rPr>
        <w:t>s</w:t>
      </w:r>
      <w:r w:rsidR="004D141F" w:rsidRPr="003E5DCB">
        <w:rPr>
          <w:lang w:val="fr-FR"/>
        </w:rPr>
        <w:t xml:space="preserve"> </w:t>
      </w:r>
      <w:r w:rsidR="004D141F" w:rsidRPr="004D141F">
        <w:rPr>
          <w:color w:val="000000"/>
          <w:lang w:val="fr-FR"/>
        </w:rPr>
        <w:t>p</w:t>
      </w:r>
      <w:r w:rsidR="004D141F" w:rsidRPr="003E5DCB">
        <w:rPr>
          <w:lang w:val="fr-FR"/>
        </w:rPr>
        <w:t>artie</w:t>
      </w:r>
      <w:r w:rsidR="00F334B0">
        <w:rPr>
          <w:lang w:val="fr-FR"/>
        </w:rPr>
        <w:t>s</w:t>
      </w:r>
      <w:r w:rsidR="004D141F" w:rsidRPr="003E5DCB">
        <w:rPr>
          <w:lang w:val="fr-FR"/>
        </w:rPr>
        <w:t xml:space="preserve"> contractante</w:t>
      </w:r>
      <w:r w:rsidR="00F334B0">
        <w:rPr>
          <w:lang w:val="fr-FR"/>
        </w:rPr>
        <w:t>s</w:t>
      </w:r>
      <w:r w:rsidR="004D141F" w:rsidRPr="003E5DCB">
        <w:rPr>
          <w:lang w:val="fr-FR"/>
        </w:rPr>
        <w:t xml:space="preserve"> désignée</w:t>
      </w:r>
      <w:r w:rsidR="00F334B0">
        <w:rPr>
          <w:lang w:val="fr-FR"/>
        </w:rPr>
        <w:t>s</w:t>
      </w:r>
      <w:r w:rsidR="004D141F" w:rsidRPr="003E5DCB">
        <w:rPr>
          <w:lang w:val="fr-FR"/>
        </w:rPr>
        <w:t xml:space="preserve"> cette représentation graphique par </w:t>
      </w:r>
      <w:r w:rsidR="004D141F" w:rsidRPr="004D141F">
        <w:rPr>
          <w:color w:val="000000"/>
          <w:lang w:val="fr-FR"/>
        </w:rPr>
        <w:t>voie électronique</w:t>
      </w:r>
      <w:r w:rsidR="004D141F" w:rsidRPr="003E5DCB">
        <w:rPr>
          <w:lang w:val="fr-FR"/>
        </w:rPr>
        <w:t xml:space="preserve"> (c</w:t>
      </w:r>
      <w:r w:rsidR="009C3A49">
        <w:rPr>
          <w:lang w:val="fr-FR"/>
        </w:rPr>
        <w:t>’</w:t>
      </w:r>
      <w:r w:rsidR="004D141F" w:rsidRPr="003E5DCB">
        <w:rPr>
          <w:lang w:val="fr-FR"/>
        </w:rPr>
        <w:t>est</w:t>
      </w:r>
      <w:r w:rsidR="005B2F35">
        <w:rPr>
          <w:lang w:val="fr-FR"/>
        </w:rPr>
        <w:noBreakHyphen/>
      </w:r>
      <w:r w:rsidR="004D141F" w:rsidRPr="003E5DCB">
        <w:rPr>
          <w:lang w:val="fr-FR"/>
        </w:rPr>
        <w:t>à</w:t>
      </w:r>
      <w:r w:rsidR="005B2F35">
        <w:rPr>
          <w:lang w:val="fr-FR"/>
        </w:rPr>
        <w:noBreakHyphen/>
      </w:r>
      <w:r w:rsidR="004D141F" w:rsidRPr="003E5DCB">
        <w:rPr>
          <w:lang w:val="fr-FR"/>
        </w:rPr>
        <w:t xml:space="preserve">dire en transmettant un fichier numérique </w:t>
      </w:r>
      <w:r w:rsidR="001972E2">
        <w:rPr>
          <w:color w:val="000000"/>
          <w:lang w:val="fr-FR"/>
        </w:rPr>
        <w:t>qui contient</w:t>
      </w:r>
      <w:r w:rsidR="004D141F" w:rsidRPr="003E5DCB">
        <w:rPr>
          <w:lang w:val="fr-FR"/>
        </w:rPr>
        <w:t xml:space="preserve"> cette représentation)</w:t>
      </w:r>
      <w:r w:rsidR="004D141F" w:rsidRPr="004D141F">
        <w:rPr>
          <w:color w:val="000000"/>
          <w:lang w:val="fr-FR"/>
        </w:rPr>
        <w:t xml:space="preserve"> ou </w:t>
      </w:r>
      <w:r w:rsidR="001E328E">
        <w:rPr>
          <w:color w:val="000000"/>
          <w:lang w:val="fr-FR"/>
        </w:rPr>
        <w:t xml:space="preserve">par la poste ou </w:t>
      </w:r>
      <w:r w:rsidR="001972E2">
        <w:rPr>
          <w:color w:val="000000"/>
          <w:lang w:val="fr-FR"/>
        </w:rPr>
        <w:t xml:space="preserve">par </w:t>
      </w:r>
      <w:r w:rsidR="004D141F" w:rsidRPr="004D141F">
        <w:rPr>
          <w:color w:val="000000"/>
          <w:lang w:val="fr-FR"/>
        </w:rPr>
        <w:t>une entreprise d</w:t>
      </w:r>
      <w:r w:rsidR="009C3A49">
        <w:rPr>
          <w:color w:val="000000"/>
          <w:lang w:val="fr-FR"/>
        </w:rPr>
        <w:t>’</w:t>
      </w:r>
      <w:r w:rsidR="004D141F" w:rsidRPr="004D141F">
        <w:rPr>
          <w:color w:val="000000"/>
          <w:lang w:val="fr-FR"/>
        </w:rPr>
        <w:t>acheminement du courrier</w:t>
      </w:r>
      <w:r w:rsidR="004D141F" w:rsidRPr="003E5DCB">
        <w:rPr>
          <w:lang w:val="fr-FR"/>
        </w:rPr>
        <w:t xml:space="preserve"> (c</w:t>
      </w:r>
      <w:r w:rsidR="009C3A49">
        <w:rPr>
          <w:lang w:val="fr-FR"/>
        </w:rPr>
        <w:t>’</w:t>
      </w:r>
      <w:r w:rsidR="004D141F" w:rsidRPr="003E5DCB">
        <w:rPr>
          <w:lang w:val="fr-FR"/>
        </w:rPr>
        <w:t>est</w:t>
      </w:r>
      <w:r w:rsidR="005B2F35">
        <w:rPr>
          <w:lang w:val="fr-FR"/>
        </w:rPr>
        <w:noBreakHyphen/>
      </w:r>
      <w:r w:rsidR="004D141F" w:rsidRPr="003E5DCB">
        <w:rPr>
          <w:lang w:val="fr-FR"/>
        </w:rPr>
        <w:t>à</w:t>
      </w:r>
      <w:r w:rsidR="005B2F35">
        <w:rPr>
          <w:lang w:val="fr-FR"/>
        </w:rPr>
        <w:noBreakHyphen/>
      </w:r>
      <w:r w:rsidR="004D141F" w:rsidRPr="003E5DCB">
        <w:rPr>
          <w:lang w:val="fr-FR"/>
        </w:rPr>
        <w:t xml:space="preserve">dire en envoyant </w:t>
      </w:r>
      <w:r w:rsidR="004D141F" w:rsidRPr="004D141F">
        <w:rPr>
          <w:color w:val="000000"/>
          <w:lang w:val="fr-FR"/>
        </w:rPr>
        <w:t>un</w:t>
      </w:r>
      <w:r w:rsidR="008B783C">
        <w:rPr>
          <w:color w:val="000000"/>
          <w:lang w:val="fr-FR"/>
        </w:rPr>
        <w:t>e</w:t>
      </w:r>
      <w:r w:rsidR="004D141F" w:rsidRPr="004D141F">
        <w:rPr>
          <w:color w:val="000000"/>
          <w:lang w:val="fr-FR"/>
        </w:rPr>
        <w:t xml:space="preserve"> </w:t>
      </w:r>
      <w:r w:rsidR="008B783C">
        <w:rPr>
          <w:lang w:val="fr-FR"/>
        </w:rPr>
        <w:t xml:space="preserve">notification faite sur un support papier qui </w:t>
      </w:r>
      <w:r w:rsidR="001972E2">
        <w:rPr>
          <w:lang w:val="fr-FR"/>
        </w:rPr>
        <w:t>inclut</w:t>
      </w:r>
      <w:r w:rsidR="004D141F" w:rsidRPr="003E5DCB">
        <w:rPr>
          <w:lang w:val="fr-FR"/>
        </w:rPr>
        <w:t xml:space="preserve"> la représentation de la marque</w:t>
      </w:r>
      <w:r w:rsidR="004D686C" w:rsidRPr="003E5DCB">
        <w:rPr>
          <w:lang w:val="fr-FR"/>
        </w:rPr>
        <w:t>)</w:t>
      </w:r>
      <w:r w:rsidR="004D686C">
        <w:rPr>
          <w:lang w:val="fr-FR"/>
        </w:rPr>
        <w:t xml:space="preserve">.  </w:t>
      </w:r>
      <w:r w:rsidR="004D686C" w:rsidRPr="004D141F">
        <w:rPr>
          <w:color w:val="000000"/>
          <w:lang w:val="fr-FR"/>
        </w:rPr>
        <w:t>Po</w:t>
      </w:r>
      <w:r w:rsidR="004D141F" w:rsidRPr="004D141F">
        <w:rPr>
          <w:color w:val="000000"/>
          <w:lang w:val="fr-FR"/>
        </w:rPr>
        <w:t xml:space="preserve">ur </w:t>
      </w:r>
      <w:r w:rsidR="001972E2">
        <w:rPr>
          <w:color w:val="000000"/>
          <w:lang w:val="fr-FR"/>
        </w:rPr>
        <w:t>se transmettre</w:t>
      </w:r>
      <w:r w:rsidR="004D141F" w:rsidRPr="004D141F">
        <w:rPr>
          <w:color w:val="000000"/>
          <w:lang w:val="fr-FR"/>
        </w:rPr>
        <w:t xml:space="preserve"> efficacement les représentations non graphiques, il faudrait que toutes les parties contractantes utilisent le format numérique et procèdent par voie électronique, c</w:t>
      </w:r>
      <w:r w:rsidR="009C3A49">
        <w:rPr>
          <w:color w:val="000000"/>
          <w:lang w:val="fr-FR"/>
        </w:rPr>
        <w:t>’</w:t>
      </w:r>
      <w:r w:rsidR="004D141F" w:rsidRPr="004D141F">
        <w:rPr>
          <w:color w:val="000000"/>
          <w:lang w:val="fr-FR"/>
        </w:rPr>
        <w:t>est</w:t>
      </w:r>
      <w:r w:rsidR="005B2F35">
        <w:rPr>
          <w:color w:val="000000"/>
          <w:lang w:val="fr-FR"/>
        </w:rPr>
        <w:noBreakHyphen/>
      </w:r>
      <w:r w:rsidR="004D141F" w:rsidRPr="004D141F">
        <w:rPr>
          <w:color w:val="000000"/>
          <w:lang w:val="fr-FR"/>
        </w:rPr>
        <w:t>à</w:t>
      </w:r>
      <w:r w:rsidR="005B2F35">
        <w:rPr>
          <w:color w:val="000000"/>
          <w:lang w:val="fr-FR"/>
        </w:rPr>
        <w:noBreakHyphen/>
      </w:r>
      <w:r w:rsidR="004D141F" w:rsidRPr="004D141F">
        <w:rPr>
          <w:color w:val="000000"/>
          <w:lang w:val="fr-FR"/>
        </w:rPr>
        <w:t>dire sans avoir à fournir des fichiers numériques sur un support physique tel qu</w:t>
      </w:r>
      <w:r w:rsidR="009C3A49">
        <w:rPr>
          <w:color w:val="000000"/>
          <w:lang w:val="fr-FR"/>
        </w:rPr>
        <w:t>’</w:t>
      </w:r>
      <w:r w:rsidR="004D141F" w:rsidRPr="004D141F">
        <w:rPr>
          <w:color w:val="000000"/>
          <w:lang w:val="fr-FR"/>
        </w:rPr>
        <w:t>une clé USB (</w:t>
      </w:r>
      <w:r w:rsidR="004D141F" w:rsidRPr="00620060">
        <w:rPr>
          <w:i/>
          <w:color w:val="000000"/>
          <w:lang w:val="fr-FR"/>
        </w:rPr>
        <w:t>Universal Serial Bus</w:t>
      </w:r>
      <w:r w:rsidR="004D141F" w:rsidRPr="004D141F">
        <w:rPr>
          <w:color w:val="000000"/>
          <w:lang w:val="fr-FR"/>
        </w:rPr>
        <w:t>)</w:t>
      </w:r>
      <w:r w:rsidR="001972E2">
        <w:rPr>
          <w:color w:val="000000"/>
          <w:lang w:val="fr-FR"/>
        </w:rPr>
        <w:t>,</w:t>
      </w:r>
      <w:r w:rsidR="004D141F" w:rsidRPr="004D141F">
        <w:rPr>
          <w:color w:val="000000"/>
          <w:lang w:val="fr-FR"/>
        </w:rPr>
        <w:t xml:space="preserve"> par exemple.</w:t>
      </w:r>
    </w:p>
    <w:p w:rsidR="009C3A49" w:rsidRDefault="004D141F" w:rsidP="00620060">
      <w:pPr>
        <w:pStyle w:val="ONUMFS"/>
        <w:spacing w:after="0"/>
        <w:rPr>
          <w:lang w:val="fr-FR"/>
        </w:rPr>
      </w:pPr>
      <w:r w:rsidRPr="003E5DCB">
        <w:rPr>
          <w:lang w:val="fr-FR"/>
        </w:rPr>
        <w:t>Plusieurs offices ayant participé à l</w:t>
      </w:r>
      <w:r w:rsidR="009C3A49">
        <w:rPr>
          <w:lang w:val="fr-FR"/>
        </w:rPr>
        <w:t>’</w:t>
      </w:r>
      <w:r w:rsidRPr="003E5DCB">
        <w:rPr>
          <w:lang w:val="fr-FR"/>
        </w:rPr>
        <w:t>enquête mentionnée au paragraphe</w:t>
      </w:r>
      <w:r w:rsidR="000729D9">
        <w:rPr>
          <w:lang w:val="fr-FR"/>
        </w:rPr>
        <w:t> </w:t>
      </w:r>
      <w:r w:rsidR="001972E2">
        <w:rPr>
          <w:lang w:val="fr-FR"/>
        </w:rPr>
        <w:fldChar w:fldCharType="begin"/>
      </w:r>
      <w:r w:rsidR="001972E2">
        <w:rPr>
          <w:lang w:val="fr-FR"/>
        </w:rPr>
        <w:instrText xml:space="preserve"> REF _Ref9848233 \r \h </w:instrText>
      </w:r>
      <w:r w:rsidR="001972E2">
        <w:rPr>
          <w:lang w:val="fr-FR"/>
        </w:rPr>
      </w:r>
      <w:r w:rsidR="001972E2">
        <w:rPr>
          <w:lang w:val="fr-FR"/>
        </w:rPr>
        <w:fldChar w:fldCharType="separate"/>
      </w:r>
      <w:r w:rsidR="001972E2">
        <w:rPr>
          <w:lang w:val="fr-FR"/>
        </w:rPr>
        <w:t>8</w:t>
      </w:r>
      <w:r w:rsidR="001972E2">
        <w:rPr>
          <w:lang w:val="fr-FR"/>
        </w:rPr>
        <w:fldChar w:fldCharType="end"/>
      </w:r>
      <w:r w:rsidRPr="003E5DCB">
        <w:rPr>
          <w:lang w:val="fr-FR"/>
        </w:rPr>
        <w:t xml:space="preserve"> ci</w:t>
      </w:r>
      <w:r w:rsidR="005B2F35">
        <w:rPr>
          <w:lang w:val="fr-FR"/>
        </w:rPr>
        <w:noBreakHyphen/>
      </w:r>
      <w:r w:rsidRPr="003E5DCB">
        <w:rPr>
          <w:lang w:val="fr-FR"/>
        </w:rPr>
        <w:t>dessus ont indiqué qu</w:t>
      </w:r>
      <w:r w:rsidR="009C3A49">
        <w:rPr>
          <w:lang w:val="fr-FR"/>
        </w:rPr>
        <w:t>’</w:t>
      </w:r>
      <w:r w:rsidRPr="003E5DCB">
        <w:rPr>
          <w:lang w:val="fr-FR"/>
        </w:rPr>
        <w:t xml:space="preserve">ils ne recevaient pas les demandes nationales </w:t>
      </w:r>
      <w:r w:rsidR="005729FC">
        <w:rPr>
          <w:lang w:val="fr-FR"/>
        </w:rPr>
        <w:t xml:space="preserve">ou régionales </w:t>
      </w:r>
      <w:r w:rsidRPr="004D141F">
        <w:rPr>
          <w:color w:val="000000"/>
          <w:lang w:val="fr-FR"/>
        </w:rPr>
        <w:t>sous forme de</w:t>
      </w:r>
      <w:r w:rsidRPr="003E5DCB">
        <w:rPr>
          <w:lang w:val="fr-FR"/>
        </w:rPr>
        <w:t xml:space="preserve"> données ou par </w:t>
      </w:r>
      <w:r w:rsidRPr="004D141F">
        <w:rPr>
          <w:color w:val="000000"/>
          <w:lang w:val="fr-FR"/>
        </w:rPr>
        <w:t xml:space="preserve">voie </w:t>
      </w:r>
      <w:r w:rsidRPr="003E5DCB">
        <w:rPr>
          <w:lang w:val="fr-FR"/>
        </w:rPr>
        <w:t xml:space="preserve">électronique; </w:t>
      </w:r>
      <w:r w:rsidR="006A36D2">
        <w:rPr>
          <w:lang w:val="fr-FR"/>
        </w:rPr>
        <w:t xml:space="preserve"> </w:t>
      </w:r>
      <w:r w:rsidR="001972E2">
        <w:rPr>
          <w:lang w:val="fr-FR"/>
        </w:rPr>
        <w:t>qu</w:t>
      </w:r>
      <w:r w:rsidR="009C3A49">
        <w:rPr>
          <w:lang w:val="fr-FR"/>
        </w:rPr>
        <w:t>’</w:t>
      </w:r>
      <w:r w:rsidR="001972E2">
        <w:rPr>
          <w:lang w:val="fr-FR"/>
        </w:rPr>
        <w:t xml:space="preserve">ils </w:t>
      </w:r>
      <w:r w:rsidRPr="004D141F">
        <w:rPr>
          <w:color w:val="000000"/>
          <w:lang w:val="fr-FR"/>
        </w:rPr>
        <w:t xml:space="preserve">ne demandaient </w:t>
      </w:r>
      <w:r w:rsidRPr="003E5DCB">
        <w:rPr>
          <w:lang w:val="fr-FR"/>
        </w:rPr>
        <w:t xml:space="preserve">pas au déposant de </w:t>
      </w:r>
      <w:r w:rsidR="000729D9">
        <w:rPr>
          <w:lang w:val="fr-FR"/>
        </w:rPr>
        <w:t>transmettre</w:t>
      </w:r>
      <w:r w:rsidRPr="003E5DCB">
        <w:rPr>
          <w:lang w:val="fr-FR"/>
        </w:rPr>
        <w:t xml:space="preserve"> une représentation électronique </w:t>
      </w:r>
      <w:r w:rsidRPr="004D141F">
        <w:rPr>
          <w:color w:val="000000"/>
          <w:lang w:val="fr-FR"/>
        </w:rPr>
        <w:t xml:space="preserve">de </w:t>
      </w:r>
      <w:r w:rsidRPr="003E5DCB">
        <w:rPr>
          <w:lang w:val="fr-FR"/>
        </w:rPr>
        <w:t>la marque</w:t>
      </w:r>
      <w:r w:rsidRPr="004D141F">
        <w:rPr>
          <w:color w:val="000000"/>
          <w:lang w:val="fr-FR"/>
        </w:rPr>
        <w:t xml:space="preserve"> </w:t>
      </w:r>
      <w:r w:rsidR="000729D9">
        <w:rPr>
          <w:lang w:val="fr-FR"/>
        </w:rPr>
        <w:t xml:space="preserve">ni </w:t>
      </w:r>
      <w:r w:rsidRPr="004D141F">
        <w:rPr>
          <w:color w:val="000000"/>
          <w:lang w:val="fr-FR"/>
        </w:rPr>
        <w:t xml:space="preserve">ne </w:t>
      </w:r>
      <w:r w:rsidR="001972E2">
        <w:rPr>
          <w:color w:val="000000"/>
          <w:lang w:val="fr-FR"/>
        </w:rPr>
        <w:t>l</w:t>
      </w:r>
      <w:r w:rsidR="009C3A49">
        <w:rPr>
          <w:color w:val="000000"/>
          <w:lang w:val="fr-FR"/>
        </w:rPr>
        <w:t>’</w:t>
      </w:r>
      <w:r w:rsidR="001972E2">
        <w:rPr>
          <w:color w:val="000000"/>
          <w:lang w:val="fr-FR"/>
        </w:rPr>
        <w:t>autorisaient</w:t>
      </w:r>
      <w:r w:rsidRPr="003E5DCB">
        <w:rPr>
          <w:lang w:val="fr-FR"/>
        </w:rPr>
        <w:t xml:space="preserve">; </w:t>
      </w:r>
      <w:r w:rsidR="006A36D2">
        <w:rPr>
          <w:lang w:val="fr-FR"/>
        </w:rPr>
        <w:t xml:space="preserve"> </w:t>
      </w:r>
      <w:r w:rsidRPr="003E5DCB">
        <w:rPr>
          <w:lang w:val="fr-FR"/>
        </w:rPr>
        <w:t xml:space="preserve">et </w:t>
      </w:r>
      <w:r w:rsidR="000729D9">
        <w:rPr>
          <w:lang w:val="fr-FR"/>
        </w:rPr>
        <w:t>qu</w:t>
      </w:r>
      <w:r w:rsidR="009C3A49">
        <w:rPr>
          <w:lang w:val="fr-FR"/>
        </w:rPr>
        <w:t>’</w:t>
      </w:r>
      <w:r w:rsidR="000729D9">
        <w:rPr>
          <w:lang w:val="fr-FR"/>
        </w:rPr>
        <w:t xml:space="preserve">ils </w:t>
      </w:r>
      <w:r w:rsidRPr="003E5DCB">
        <w:rPr>
          <w:lang w:val="fr-FR"/>
        </w:rPr>
        <w:t>ne stock</w:t>
      </w:r>
      <w:r w:rsidRPr="004D141F">
        <w:rPr>
          <w:color w:val="000000"/>
          <w:lang w:val="fr-FR"/>
        </w:rPr>
        <w:t>ai</w:t>
      </w:r>
      <w:r w:rsidRPr="003E5DCB">
        <w:rPr>
          <w:lang w:val="fr-FR"/>
        </w:rPr>
        <w:t xml:space="preserve">ent pas </w:t>
      </w:r>
      <w:r w:rsidRPr="004D141F">
        <w:rPr>
          <w:color w:val="000000"/>
          <w:lang w:val="fr-FR"/>
        </w:rPr>
        <w:t xml:space="preserve">une </w:t>
      </w:r>
      <w:r w:rsidRPr="003E5DCB">
        <w:rPr>
          <w:lang w:val="fr-FR"/>
        </w:rPr>
        <w:t>représentation électronique de la marque dans une base de données nationa</w:t>
      </w:r>
      <w:bookmarkEnd w:id="12"/>
      <w:r w:rsidR="004D686C" w:rsidRPr="003E5DCB">
        <w:rPr>
          <w:lang w:val="fr-FR"/>
        </w:rPr>
        <w:t>le</w:t>
      </w:r>
      <w:r w:rsidR="00B169CE">
        <w:rPr>
          <w:lang w:val="fr-FR"/>
        </w:rPr>
        <w:t xml:space="preserve"> ou régionale</w:t>
      </w:r>
      <w:r w:rsidR="004D686C">
        <w:rPr>
          <w:lang w:val="fr-FR"/>
        </w:rPr>
        <w:t xml:space="preserve">.  </w:t>
      </w:r>
      <w:r w:rsidR="005B364E">
        <w:rPr>
          <w:color w:val="000000"/>
          <w:lang w:val="fr-FR"/>
        </w:rPr>
        <w:t>Au vu d</w:t>
      </w:r>
      <w:r w:rsidR="007C068B">
        <w:rPr>
          <w:color w:val="000000"/>
          <w:lang w:val="fr-FR"/>
        </w:rPr>
        <w:t>es conclusions</w:t>
      </w:r>
      <w:r w:rsidR="005B364E">
        <w:rPr>
          <w:color w:val="000000"/>
          <w:lang w:val="fr-FR"/>
        </w:rPr>
        <w:t xml:space="preserve"> de ladite enquête</w:t>
      </w:r>
      <w:r w:rsidR="00254F50" w:rsidRPr="003E5DCB">
        <w:rPr>
          <w:lang w:val="fr-FR"/>
        </w:rPr>
        <w:t xml:space="preserve">, le groupe de travail </w:t>
      </w:r>
      <w:r w:rsidR="000729D9">
        <w:rPr>
          <w:color w:val="000000"/>
          <w:lang w:val="fr-FR"/>
        </w:rPr>
        <w:t>voudra</w:t>
      </w:r>
      <w:r w:rsidR="00254F50" w:rsidRPr="00254F50">
        <w:rPr>
          <w:color w:val="000000"/>
          <w:lang w:val="fr-FR"/>
        </w:rPr>
        <w:t xml:space="preserve"> </w:t>
      </w:r>
      <w:r w:rsidR="00254F50" w:rsidRPr="003E5DCB">
        <w:rPr>
          <w:lang w:val="fr-FR"/>
        </w:rPr>
        <w:t>peut</w:t>
      </w:r>
      <w:r w:rsidR="005B2F35">
        <w:rPr>
          <w:lang w:val="fr-FR"/>
        </w:rPr>
        <w:noBreakHyphen/>
      </w:r>
      <w:r w:rsidR="00254F50" w:rsidRPr="003E5DCB">
        <w:rPr>
          <w:lang w:val="fr-FR"/>
        </w:rPr>
        <w:t xml:space="preserve">être examiner </w:t>
      </w:r>
      <w:r w:rsidR="00254F50" w:rsidRPr="00254F50">
        <w:rPr>
          <w:color w:val="000000"/>
          <w:lang w:val="fr-FR"/>
        </w:rPr>
        <w:t>s</w:t>
      </w:r>
      <w:r w:rsidR="009C3A49">
        <w:rPr>
          <w:color w:val="000000"/>
          <w:lang w:val="fr-FR"/>
        </w:rPr>
        <w:t>’</w:t>
      </w:r>
      <w:r w:rsidR="00254F50" w:rsidRPr="00254F50">
        <w:rPr>
          <w:color w:val="000000"/>
          <w:lang w:val="fr-FR"/>
        </w:rPr>
        <w:t>il serait souhaitable d</w:t>
      </w:r>
      <w:r w:rsidR="009C3A49">
        <w:rPr>
          <w:color w:val="000000"/>
          <w:lang w:val="fr-FR"/>
        </w:rPr>
        <w:t>’</w:t>
      </w:r>
      <w:r w:rsidR="00254F50" w:rsidRPr="00254F50">
        <w:rPr>
          <w:color w:val="000000"/>
          <w:lang w:val="fr-FR"/>
        </w:rPr>
        <w:t>établir un calendrier</w:t>
      </w:r>
      <w:r w:rsidR="00254F50" w:rsidRPr="003E5DCB">
        <w:rPr>
          <w:lang w:val="fr-FR"/>
        </w:rPr>
        <w:t xml:space="preserve"> pour </w:t>
      </w:r>
      <w:r w:rsidR="00254F50" w:rsidRPr="00254F50">
        <w:rPr>
          <w:color w:val="000000"/>
          <w:lang w:val="fr-FR"/>
        </w:rPr>
        <w:t xml:space="preserve">que </w:t>
      </w:r>
      <w:r w:rsidR="00254F50" w:rsidRPr="003E5DCB">
        <w:rPr>
          <w:lang w:val="fr-FR"/>
        </w:rPr>
        <w:t xml:space="preserve">toutes les </w:t>
      </w:r>
      <w:r w:rsidR="00254F50" w:rsidRPr="00254F50">
        <w:rPr>
          <w:color w:val="000000"/>
          <w:lang w:val="fr-FR"/>
        </w:rPr>
        <w:t>p</w:t>
      </w:r>
      <w:r w:rsidR="00254F50" w:rsidRPr="003E5DCB">
        <w:rPr>
          <w:lang w:val="fr-FR"/>
        </w:rPr>
        <w:t>arties contractantes échange</w:t>
      </w:r>
      <w:r w:rsidR="00254F50" w:rsidRPr="00254F50">
        <w:rPr>
          <w:color w:val="000000"/>
          <w:lang w:val="fr-FR"/>
        </w:rPr>
        <w:t>nt</w:t>
      </w:r>
      <w:r w:rsidR="00254F50" w:rsidRPr="003E5DCB">
        <w:rPr>
          <w:lang w:val="fr-FR"/>
        </w:rPr>
        <w:t xml:space="preserve"> des données </w:t>
      </w:r>
      <w:r w:rsidR="00254F50" w:rsidRPr="00254F50">
        <w:rPr>
          <w:color w:val="000000"/>
          <w:lang w:val="fr-FR"/>
        </w:rPr>
        <w:t xml:space="preserve">par voie électronique </w:t>
      </w:r>
      <w:r w:rsidR="00254F50" w:rsidRPr="003E5DCB">
        <w:rPr>
          <w:lang w:val="fr-FR"/>
        </w:rPr>
        <w:t>dans le cadre du système de Madrid.</w:t>
      </w:r>
    </w:p>
    <w:p w:rsidR="009C3A49" w:rsidRDefault="009C3A49" w:rsidP="009C3A49">
      <w:pPr>
        <w:pStyle w:val="Heading4"/>
      </w:pPr>
      <w:r>
        <w:t>ii)</w:t>
      </w:r>
      <w:r>
        <w:tab/>
      </w:r>
      <w:r w:rsidR="00254F50" w:rsidRPr="003E5DCB">
        <w:t xml:space="preserve">Considérations techniques concernant le Bureau </w:t>
      </w:r>
      <w:r w:rsidR="00254F50" w:rsidRPr="00254F50">
        <w:rPr>
          <w:color w:val="000000"/>
        </w:rPr>
        <w:t>i</w:t>
      </w:r>
      <w:r w:rsidR="00254F50" w:rsidRPr="003E5DCB">
        <w:t>nternational</w:t>
      </w:r>
    </w:p>
    <w:p w:rsidR="0007738F" w:rsidRDefault="0007738F" w:rsidP="00F11138">
      <w:pPr>
        <w:rPr>
          <w:lang w:val="fr-FR"/>
        </w:rPr>
      </w:pPr>
    </w:p>
    <w:p w:rsidR="009C3A49" w:rsidRDefault="00C73035" w:rsidP="003E5DCB">
      <w:pPr>
        <w:pStyle w:val="ONUMFS"/>
        <w:rPr>
          <w:lang w:val="fr-FR"/>
        </w:rPr>
      </w:pPr>
      <w:bookmarkStart w:id="13" w:name="_Ref8122165"/>
      <w:r w:rsidRPr="003E5DCB">
        <w:rPr>
          <w:lang w:val="fr-FR"/>
        </w:rPr>
        <w:t>Outre les sujets exposés ci</w:t>
      </w:r>
      <w:r w:rsidR="005B2F35">
        <w:rPr>
          <w:lang w:val="fr-FR"/>
        </w:rPr>
        <w:noBreakHyphen/>
      </w:r>
      <w:r w:rsidRPr="003E5DCB">
        <w:rPr>
          <w:lang w:val="fr-FR"/>
        </w:rPr>
        <w:t xml:space="preserve">dessus, </w:t>
      </w:r>
      <w:r w:rsidRPr="00C73035">
        <w:rPr>
          <w:color w:val="000000"/>
          <w:lang w:val="fr-FR"/>
        </w:rPr>
        <w:t>certaines</w:t>
      </w:r>
      <w:r w:rsidRPr="003E5DCB">
        <w:rPr>
          <w:lang w:val="fr-FR"/>
        </w:rPr>
        <w:t xml:space="preserve"> considérations techniques </w:t>
      </w:r>
      <w:r w:rsidRPr="00C73035">
        <w:rPr>
          <w:color w:val="000000"/>
          <w:lang w:val="fr-FR"/>
        </w:rPr>
        <w:t xml:space="preserve">sont </w:t>
      </w:r>
      <w:r w:rsidRPr="003E5DCB">
        <w:rPr>
          <w:lang w:val="fr-FR"/>
        </w:rPr>
        <w:t xml:space="preserve">à prendre en </w:t>
      </w:r>
      <w:r w:rsidR="000729D9">
        <w:rPr>
          <w:lang w:val="fr-FR"/>
        </w:rPr>
        <w:t>compte</w:t>
      </w:r>
      <w:r w:rsidRPr="003E5DCB">
        <w:rPr>
          <w:lang w:val="fr-FR"/>
        </w:rPr>
        <w:t xml:space="preserve"> concernant le Bureau </w:t>
      </w:r>
      <w:r w:rsidRPr="00C73035">
        <w:rPr>
          <w:color w:val="000000"/>
          <w:lang w:val="fr-FR"/>
        </w:rPr>
        <w:t>i</w:t>
      </w:r>
      <w:r w:rsidRPr="003E5DCB">
        <w:rPr>
          <w:lang w:val="fr-FR"/>
        </w:rPr>
        <w:t xml:space="preserve">nternational </w:t>
      </w:r>
      <w:r w:rsidRPr="00C73035">
        <w:rPr>
          <w:color w:val="000000"/>
          <w:lang w:val="fr-FR"/>
        </w:rPr>
        <w:t xml:space="preserve">pour la mise </w:t>
      </w:r>
      <w:r w:rsidRPr="003E5DCB">
        <w:rPr>
          <w:lang w:val="fr-FR"/>
        </w:rPr>
        <w:t xml:space="preserve">en </w:t>
      </w:r>
      <w:r w:rsidR="000729D9" w:rsidRPr="003E5DCB">
        <w:rPr>
          <w:lang w:val="fr-FR"/>
        </w:rPr>
        <w:t>œuvre</w:t>
      </w:r>
      <w:r w:rsidRPr="003E5DCB">
        <w:rPr>
          <w:lang w:val="fr-FR"/>
        </w:rPr>
        <w:t xml:space="preserve"> </w:t>
      </w:r>
      <w:r w:rsidRPr="00C73035">
        <w:rPr>
          <w:color w:val="000000"/>
          <w:lang w:val="fr-FR"/>
        </w:rPr>
        <w:t>d</w:t>
      </w:r>
      <w:r w:rsidRPr="003E5DCB">
        <w:rPr>
          <w:lang w:val="fr-FR"/>
        </w:rPr>
        <w:t xml:space="preserve">es modifications </w:t>
      </w:r>
      <w:r w:rsidRPr="00C73035">
        <w:rPr>
          <w:color w:val="000000"/>
          <w:lang w:val="fr-FR"/>
        </w:rPr>
        <w:t xml:space="preserve">présentées </w:t>
      </w:r>
      <w:r w:rsidRPr="003E5DCB">
        <w:rPr>
          <w:lang w:val="fr-FR"/>
        </w:rPr>
        <w:t>aux paragraphes</w:t>
      </w:r>
      <w:r w:rsidR="000729D9">
        <w:rPr>
          <w:lang w:val="fr-FR"/>
        </w:rPr>
        <w:t> </w:t>
      </w:r>
      <w:r>
        <w:fldChar w:fldCharType="begin"/>
      </w:r>
      <w:r w:rsidRPr="00C73035">
        <w:rPr>
          <w:lang w:val="fr-FR"/>
        </w:rPr>
        <w:instrText xml:space="preserve"> REF _Ref7623308 \r \h  \* MERGEFORMAT  \* MERGEFORMAT </w:instrText>
      </w:r>
      <w:r>
        <w:fldChar w:fldCharType="separate"/>
      </w:r>
      <w:r w:rsidRPr="00C73035">
        <w:rPr>
          <w:lang w:val="fr-FR"/>
        </w:rPr>
        <w:t>3</w:t>
      </w:r>
      <w:r>
        <w:fldChar w:fldCharType="end"/>
      </w:r>
      <w:r w:rsidRPr="003E5DCB">
        <w:rPr>
          <w:lang w:val="fr-FR"/>
        </w:rPr>
        <w:t xml:space="preserve"> à </w:t>
      </w:r>
      <w:r>
        <w:fldChar w:fldCharType="begin"/>
      </w:r>
      <w:r w:rsidRPr="00C73035">
        <w:rPr>
          <w:lang w:val="fr-FR"/>
        </w:rPr>
        <w:instrText xml:space="preserve"> REF _Ref7623318 \r \h  \* MERGEFORMAT  \* MERGEFORMAT </w:instrText>
      </w:r>
      <w:r>
        <w:fldChar w:fldCharType="separate"/>
      </w:r>
      <w:r w:rsidRPr="00C73035">
        <w:rPr>
          <w:lang w:val="fr-FR"/>
        </w:rPr>
        <w:t>6</w:t>
      </w:r>
      <w:r>
        <w:fldChar w:fldCharType="end"/>
      </w:r>
      <w:r w:rsidRPr="003E5DCB">
        <w:rPr>
          <w:lang w:val="fr-FR"/>
        </w:rPr>
        <w:t xml:space="preserve"> ci</w:t>
      </w:r>
      <w:r w:rsidR="005B2F35">
        <w:rPr>
          <w:lang w:val="fr-FR"/>
        </w:rPr>
        <w:noBreakHyphen/>
      </w:r>
      <w:r w:rsidRPr="003E5DCB">
        <w:rPr>
          <w:lang w:val="fr-FR"/>
        </w:rPr>
        <w:t>dessus.</w:t>
      </w:r>
    </w:p>
    <w:bookmarkEnd w:id="13"/>
    <w:p w:rsidR="009C3A49" w:rsidRDefault="005F6CB8" w:rsidP="003E5DCB">
      <w:pPr>
        <w:pStyle w:val="ONUMFS"/>
        <w:rPr>
          <w:lang w:val="fr-FR"/>
        </w:rPr>
      </w:pPr>
      <w:r w:rsidRPr="003E5DCB">
        <w:rPr>
          <w:lang w:val="fr-FR"/>
        </w:rPr>
        <w:t xml:space="preserve">Bien que le Bureau </w:t>
      </w:r>
      <w:r w:rsidRPr="005F6CB8">
        <w:rPr>
          <w:color w:val="000000"/>
          <w:lang w:val="fr-FR"/>
        </w:rPr>
        <w:t>i</w:t>
      </w:r>
      <w:r w:rsidRPr="003E5DCB">
        <w:rPr>
          <w:lang w:val="fr-FR"/>
        </w:rPr>
        <w:t xml:space="preserve">nternational </w:t>
      </w:r>
      <w:r w:rsidRPr="005F6CB8">
        <w:rPr>
          <w:color w:val="000000"/>
          <w:lang w:val="fr-FR"/>
        </w:rPr>
        <w:t xml:space="preserve">dispose des </w:t>
      </w:r>
      <w:r w:rsidRPr="003E5DCB">
        <w:rPr>
          <w:lang w:val="fr-FR"/>
        </w:rPr>
        <w:t>infrastructure</w:t>
      </w:r>
      <w:r w:rsidRPr="005F6CB8">
        <w:rPr>
          <w:color w:val="000000"/>
          <w:lang w:val="fr-FR"/>
        </w:rPr>
        <w:t>s</w:t>
      </w:r>
      <w:r w:rsidRPr="003E5DCB">
        <w:rPr>
          <w:lang w:val="fr-FR"/>
        </w:rPr>
        <w:t xml:space="preserve"> technique</w:t>
      </w:r>
      <w:r w:rsidRPr="005F6CB8">
        <w:rPr>
          <w:color w:val="000000"/>
          <w:lang w:val="fr-FR"/>
        </w:rPr>
        <w:t>s</w:t>
      </w:r>
      <w:r w:rsidRPr="003E5DCB">
        <w:rPr>
          <w:lang w:val="fr-FR"/>
        </w:rPr>
        <w:t xml:space="preserve"> nécessaire</w:t>
      </w:r>
      <w:r w:rsidRPr="005F6CB8">
        <w:rPr>
          <w:color w:val="000000"/>
          <w:lang w:val="fr-FR"/>
        </w:rPr>
        <w:t>s</w:t>
      </w:r>
      <w:r w:rsidRPr="003E5DCB">
        <w:rPr>
          <w:lang w:val="fr-FR"/>
        </w:rPr>
        <w:t xml:space="preserve"> pour traiter les représentations électroniques de la marque, il devra modifier ses procédures et ses </w:t>
      </w:r>
      <w:r w:rsidRPr="005F6CB8">
        <w:rPr>
          <w:color w:val="000000"/>
          <w:lang w:val="fr-FR"/>
        </w:rPr>
        <w:t>systèmes informatiques</w:t>
      </w:r>
      <w:r w:rsidRPr="003E5DCB">
        <w:rPr>
          <w:lang w:val="fr-FR"/>
        </w:rPr>
        <w:t xml:space="preserve"> </w:t>
      </w:r>
      <w:r w:rsidR="000729D9">
        <w:rPr>
          <w:color w:val="000000"/>
          <w:lang w:val="fr-FR"/>
        </w:rPr>
        <w:t>afin de</w:t>
      </w:r>
      <w:r w:rsidRPr="005F6CB8">
        <w:rPr>
          <w:color w:val="000000"/>
          <w:lang w:val="fr-FR"/>
        </w:rPr>
        <w:t xml:space="preserve"> pouvoir</w:t>
      </w:r>
      <w:r w:rsidRPr="003E5DCB">
        <w:rPr>
          <w:lang w:val="fr-FR"/>
        </w:rPr>
        <w:t xml:space="preserve"> recevoir, examiner, publier, mettre à la disposition du public et </w:t>
      </w:r>
      <w:r w:rsidR="00096F15">
        <w:rPr>
          <w:color w:val="000000"/>
          <w:lang w:val="fr-FR"/>
        </w:rPr>
        <w:t>notifier</w:t>
      </w:r>
      <w:r w:rsidRPr="005F6CB8">
        <w:rPr>
          <w:color w:val="000000"/>
          <w:lang w:val="fr-FR"/>
        </w:rPr>
        <w:t xml:space="preserve"> </w:t>
      </w:r>
      <w:r w:rsidRPr="003E5DCB">
        <w:rPr>
          <w:lang w:val="fr-FR"/>
        </w:rPr>
        <w:t xml:space="preserve">certaines représentations </w:t>
      </w:r>
      <w:r w:rsidRPr="005F6CB8">
        <w:rPr>
          <w:color w:val="000000"/>
          <w:lang w:val="fr-FR"/>
        </w:rPr>
        <w:t>telles que</w:t>
      </w:r>
      <w:r w:rsidRPr="003E5DCB">
        <w:rPr>
          <w:lang w:val="fr-FR"/>
        </w:rPr>
        <w:t xml:space="preserve">, par exemple, celles qui consistent en </w:t>
      </w:r>
      <w:r w:rsidR="000729D9">
        <w:rPr>
          <w:lang w:val="fr-FR"/>
        </w:rPr>
        <w:t xml:space="preserve">des </w:t>
      </w:r>
      <w:r w:rsidRPr="003E5DCB">
        <w:rPr>
          <w:lang w:val="fr-FR"/>
        </w:rPr>
        <w:t>fichiers n</w:t>
      </w:r>
      <w:r w:rsidR="007464BC">
        <w:rPr>
          <w:lang w:val="fr-FR"/>
        </w:rPr>
        <w:t>umériques so</w:t>
      </w:r>
      <w:r w:rsidR="000729D9">
        <w:rPr>
          <w:lang w:val="fr-FR"/>
        </w:rPr>
        <w:t>nor</w:t>
      </w:r>
      <w:r w:rsidR="007464BC">
        <w:rPr>
          <w:lang w:val="fr-FR"/>
        </w:rPr>
        <w:t>es ou multimédia</w:t>
      </w:r>
      <w:r w:rsidRPr="003E5DCB">
        <w:rPr>
          <w:lang w:val="fr-FR"/>
        </w:rPr>
        <w:t>.</w:t>
      </w:r>
    </w:p>
    <w:p w:rsidR="009C3A49" w:rsidRDefault="00C05644" w:rsidP="003E5DCB">
      <w:pPr>
        <w:pStyle w:val="ONUMFS"/>
        <w:rPr>
          <w:lang w:val="fr-FR"/>
        </w:rPr>
      </w:pPr>
      <w:bookmarkStart w:id="14" w:name="_Ref8059927"/>
      <w:r w:rsidRPr="003E5DCB">
        <w:rPr>
          <w:lang w:val="fr-FR"/>
        </w:rPr>
        <w:t xml:space="preserve">En conséquence, le Bureau </w:t>
      </w:r>
      <w:r w:rsidRPr="00C05644">
        <w:rPr>
          <w:color w:val="000000"/>
          <w:lang w:val="fr-FR"/>
        </w:rPr>
        <w:t>i</w:t>
      </w:r>
      <w:r w:rsidRPr="003E5DCB">
        <w:rPr>
          <w:lang w:val="fr-FR"/>
        </w:rPr>
        <w:t xml:space="preserve">nternational serait </w:t>
      </w:r>
      <w:r w:rsidR="000729D9">
        <w:rPr>
          <w:color w:val="000000"/>
          <w:lang w:val="fr-FR"/>
        </w:rPr>
        <w:t>invité</w:t>
      </w:r>
      <w:r w:rsidRPr="00C05644">
        <w:rPr>
          <w:color w:val="000000"/>
          <w:lang w:val="fr-FR"/>
        </w:rPr>
        <w:t xml:space="preserve"> à </w:t>
      </w:r>
      <w:r w:rsidRPr="003E5DCB">
        <w:rPr>
          <w:lang w:val="fr-FR"/>
        </w:rPr>
        <w:t xml:space="preserve">évaluer ces </w:t>
      </w:r>
      <w:r w:rsidR="000729D9">
        <w:rPr>
          <w:lang w:val="fr-FR"/>
        </w:rPr>
        <w:t>modifications</w:t>
      </w:r>
      <w:r w:rsidRPr="003E5DCB">
        <w:rPr>
          <w:lang w:val="fr-FR"/>
        </w:rPr>
        <w:t xml:space="preserve"> et le temps nécessaire à leur mise en </w:t>
      </w:r>
      <w:r w:rsidR="003E5DCB" w:rsidRPr="003E5DCB">
        <w:rPr>
          <w:lang w:val="fr-FR"/>
        </w:rPr>
        <w:t>œuv</w:t>
      </w:r>
      <w:r w:rsidR="004D686C" w:rsidRPr="003E5DCB">
        <w:rPr>
          <w:lang w:val="fr-FR"/>
        </w:rPr>
        <w:t>re</w:t>
      </w:r>
      <w:r w:rsidR="004D686C">
        <w:rPr>
          <w:lang w:val="fr-FR"/>
        </w:rPr>
        <w:t xml:space="preserve">.  </w:t>
      </w:r>
      <w:r w:rsidR="004D686C" w:rsidRPr="003E5DCB">
        <w:rPr>
          <w:lang w:val="fr-FR"/>
        </w:rPr>
        <w:t>Le</w:t>
      </w:r>
      <w:r w:rsidRPr="003E5DCB">
        <w:rPr>
          <w:lang w:val="fr-FR"/>
        </w:rPr>
        <w:t xml:space="preserve"> Bureau international devra peut</w:t>
      </w:r>
      <w:r w:rsidR="005B2F35">
        <w:rPr>
          <w:lang w:val="fr-FR"/>
        </w:rPr>
        <w:noBreakHyphen/>
      </w:r>
      <w:r w:rsidRPr="003E5DCB">
        <w:rPr>
          <w:lang w:val="fr-FR"/>
        </w:rPr>
        <w:t xml:space="preserve">être aussi mettre à jour ses normes techniques </w:t>
      </w:r>
      <w:r w:rsidRPr="00C05644">
        <w:rPr>
          <w:color w:val="000000"/>
          <w:lang w:val="fr-FR"/>
        </w:rPr>
        <w:t xml:space="preserve">en matière de </w:t>
      </w:r>
      <w:r w:rsidRPr="003E5DCB">
        <w:rPr>
          <w:lang w:val="fr-FR"/>
        </w:rPr>
        <w:t>communication électroniq</w:t>
      </w:r>
      <w:bookmarkEnd w:id="14"/>
      <w:r w:rsidR="004D686C" w:rsidRPr="003E5DCB">
        <w:rPr>
          <w:lang w:val="fr-FR"/>
        </w:rPr>
        <w:t>ue</w:t>
      </w:r>
      <w:r w:rsidR="004D686C">
        <w:rPr>
          <w:lang w:val="fr-FR"/>
        </w:rPr>
        <w:t xml:space="preserve">.  </w:t>
      </w:r>
      <w:r w:rsidR="004D686C" w:rsidRPr="003E5DCB">
        <w:rPr>
          <w:lang w:val="fr-FR"/>
        </w:rPr>
        <w:t>Ce</w:t>
      </w:r>
      <w:r w:rsidR="0007738F" w:rsidRPr="003E5DCB">
        <w:rPr>
          <w:lang w:val="fr-FR"/>
        </w:rPr>
        <w:t xml:space="preserve"> qui précède pourrait également inciter les offices des parties contractantes à </w:t>
      </w:r>
      <w:r w:rsidR="000729D9">
        <w:rPr>
          <w:lang w:val="fr-FR"/>
        </w:rPr>
        <w:t>procéder</w:t>
      </w:r>
      <w:r w:rsidR="0007738F" w:rsidRPr="003E5DCB">
        <w:rPr>
          <w:lang w:val="fr-FR"/>
        </w:rPr>
        <w:t xml:space="preserve"> à des exercices similaires.</w:t>
      </w:r>
    </w:p>
    <w:p w:rsidR="009C3A49" w:rsidRDefault="0007738F" w:rsidP="00E84F65">
      <w:pPr>
        <w:pStyle w:val="ONUMFS"/>
        <w:keepNext/>
        <w:keepLines/>
        <w:rPr>
          <w:lang w:val="fr-FR"/>
        </w:rPr>
      </w:pPr>
      <w:r w:rsidRPr="003E5DCB">
        <w:rPr>
          <w:lang w:val="fr-FR"/>
        </w:rPr>
        <w:t xml:space="preserve">Le </w:t>
      </w:r>
      <w:r w:rsidR="000729D9">
        <w:rPr>
          <w:lang w:val="fr-FR"/>
        </w:rPr>
        <w:t>g</w:t>
      </w:r>
      <w:r w:rsidRPr="003E5DCB">
        <w:rPr>
          <w:lang w:val="fr-FR"/>
        </w:rPr>
        <w:t xml:space="preserve">roupe de travail </w:t>
      </w:r>
      <w:r w:rsidR="000729D9">
        <w:rPr>
          <w:lang w:val="fr-FR"/>
        </w:rPr>
        <w:t>voudra</w:t>
      </w:r>
      <w:r w:rsidRPr="003E5DCB">
        <w:rPr>
          <w:lang w:val="fr-FR"/>
        </w:rPr>
        <w:t xml:space="preserve"> peut</w:t>
      </w:r>
      <w:r w:rsidR="005B2F35">
        <w:rPr>
          <w:lang w:val="fr-FR"/>
        </w:rPr>
        <w:noBreakHyphen/>
      </w:r>
      <w:r w:rsidRPr="003E5DCB">
        <w:rPr>
          <w:lang w:val="fr-FR"/>
        </w:rPr>
        <w:t xml:space="preserve">être tenir compte des considérations </w:t>
      </w:r>
      <w:r w:rsidRPr="0007738F">
        <w:rPr>
          <w:color w:val="000000"/>
          <w:lang w:val="fr-FR"/>
        </w:rPr>
        <w:t xml:space="preserve">énoncées </w:t>
      </w:r>
      <w:r w:rsidRPr="003E5DCB">
        <w:rPr>
          <w:lang w:val="fr-FR"/>
        </w:rPr>
        <w:t>aux paragraphes</w:t>
      </w:r>
      <w:r w:rsidR="000729D9">
        <w:rPr>
          <w:lang w:val="fr-FR"/>
        </w:rPr>
        <w:t> </w:t>
      </w:r>
      <w:r>
        <w:fldChar w:fldCharType="begin"/>
      </w:r>
      <w:r w:rsidRPr="0007738F">
        <w:rPr>
          <w:lang w:val="fr-FR"/>
        </w:rPr>
        <w:instrText xml:space="preserve"> REF _Ref8122165 \r \h  \* MERGEFORMAT  \* MERGEFORMAT </w:instrText>
      </w:r>
      <w:r>
        <w:fldChar w:fldCharType="separate"/>
      </w:r>
      <w:r w:rsidRPr="0007738F">
        <w:rPr>
          <w:lang w:val="fr-FR"/>
        </w:rPr>
        <w:t>22</w:t>
      </w:r>
      <w:r>
        <w:fldChar w:fldCharType="end"/>
      </w:r>
      <w:r w:rsidRPr="003E5DCB">
        <w:rPr>
          <w:lang w:val="fr-FR"/>
        </w:rPr>
        <w:t xml:space="preserve"> à </w:t>
      </w:r>
      <w:r>
        <w:fldChar w:fldCharType="begin"/>
      </w:r>
      <w:r w:rsidRPr="0007738F">
        <w:rPr>
          <w:lang w:val="fr-FR"/>
        </w:rPr>
        <w:instrText xml:space="preserve"> REF _Ref8059927 \r \h  \* MERGEFORMAT  \* MERGEFORMAT </w:instrText>
      </w:r>
      <w:r>
        <w:fldChar w:fldCharType="separate"/>
      </w:r>
      <w:r w:rsidRPr="0007738F">
        <w:rPr>
          <w:lang w:val="fr-FR"/>
        </w:rPr>
        <w:t>24</w:t>
      </w:r>
      <w:r>
        <w:fldChar w:fldCharType="end"/>
      </w:r>
      <w:r w:rsidRPr="003E5DCB">
        <w:rPr>
          <w:lang w:val="fr-FR"/>
        </w:rPr>
        <w:t xml:space="preserve"> ci</w:t>
      </w:r>
      <w:r w:rsidR="005B2F35">
        <w:rPr>
          <w:lang w:val="fr-FR"/>
        </w:rPr>
        <w:noBreakHyphen/>
      </w:r>
      <w:r w:rsidRPr="003E5DCB">
        <w:rPr>
          <w:lang w:val="fr-FR"/>
        </w:rPr>
        <w:t>dessus lors</w:t>
      </w:r>
      <w:r w:rsidR="000729D9">
        <w:rPr>
          <w:lang w:val="fr-FR"/>
        </w:rPr>
        <w:t>qu</w:t>
      </w:r>
      <w:r w:rsidR="009C3A49">
        <w:rPr>
          <w:lang w:val="fr-FR"/>
        </w:rPr>
        <w:t>’</w:t>
      </w:r>
      <w:r w:rsidR="000729D9">
        <w:rPr>
          <w:lang w:val="fr-FR"/>
        </w:rPr>
        <w:t xml:space="preserve">il examinera </w:t>
      </w:r>
      <w:r w:rsidRPr="003E5DCB">
        <w:rPr>
          <w:lang w:val="fr-FR"/>
        </w:rPr>
        <w:t xml:space="preserve">un calendrier </w:t>
      </w:r>
      <w:r w:rsidR="000729D9">
        <w:rPr>
          <w:lang w:val="fr-FR"/>
        </w:rPr>
        <w:t xml:space="preserve">possible </w:t>
      </w:r>
      <w:r w:rsidRPr="003E5DCB">
        <w:rPr>
          <w:lang w:val="fr-FR"/>
        </w:rPr>
        <w:t>pour l</w:t>
      </w:r>
      <w:r w:rsidR="009C3A49">
        <w:rPr>
          <w:lang w:val="fr-FR"/>
        </w:rPr>
        <w:t>’</w:t>
      </w:r>
      <w:r w:rsidRPr="003E5DCB">
        <w:rPr>
          <w:lang w:val="fr-FR"/>
        </w:rPr>
        <w:t xml:space="preserve">introduction des modifications </w:t>
      </w:r>
      <w:r w:rsidR="000729D9">
        <w:rPr>
          <w:color w:val="000000"/>
          <w:lang w:val="fr-FR"/>
        </w:rPr>
        <w:t>présentées</w:t>
      </w:r>
      <w:r w:rsidRPr="0007738F">
        <w:rPr>
          <w:color w:val="000000"/>
          <w:lang w:val="fr-FR"/>
        </w:rPr>
        <w:t xml:space="preserve"> </w:t>
      </w:r>
      <w:r w:rsidRPr="003E5DCB">
        <w:rPr>
          <w:lang w:val="fr-FR"/>
        </w:rPr>
        <w:t>aux paragraphes</w:t>
      </w:r>
      <w:r w:rsidR="000729D9">
        <w:rPr>
          <w:lang w:val="fr-FR"/>
        </w:rPr>
        <w:t> </w:t>
      </w:r>
      <w:r>
        <w:fldChar w:fldCharType="begin"/>
      </w:r>
      <w:r w:rsidRPr="0007738F">
        <w:rPr>
          <w:lang w:val="fr-FR"/>
        </w:rPr>
        <w:instrText xml:space="preserve"> REF _Ref7623308 \r \h  \* MERGEFORMAT  \* MERGEFORMAT </w:instrText>
      </w:r>
      <w:r>
        <w:fldChar w:fldCharType="separate"/>
      </w:r>
      <w:r w:rsidRPr="0007738F">
        <w:rPr>
          <w:lang w:val="fr-FR"/>
        </w:rPr>
        <w:t>3</w:t>
      </w:r>
      <w:r>
        <w:fldChar w:fldCharType="end"/>
      </w:r>
      <w:r w:rsidRPr="003E5DCB">
        <w:rPr>
          <w:lang w:val="fr-FR"/>
        </w:rPr>
        <w:t xml:space="preserve"> à </w:t>
      </w:r>
      <w:r>
        <w:fldChar w:fldCharType="begin"/>
      </w:r>
      <w:r w:rsidRPr="0007738F">
        <w:rPr>
          <w:lang w:val="fr-FR"/>
        </w:rPr>
        <w:instrText xml:space="preserve"> REF _Ref7623318 \r \h  \* MERGEFORMAT  \* MERGEFORMAT </w:instrText>
      </w:r>
      <w:r>
        <w:fldChar w:fldCharType="separate"/>
      </w:r>
      <w:r w:rsidRPr="0007738F">
        <w:rPr>
          <w:lang w:val="fr-FR"/>
        </w:rPr>
        <w:t>6</w:t>
      </w:r>
      <w:r>
        <w:fldChar w:fldCharType="end"/>
      </w:r>
      <w:r w:rsidRPr="003E5DCB">
        <w:rPr>
          <w:lang w:val="fr-FR"/>
        </w:rPr>
        <w:t xml:space="preserve"> ci</w:t>
      </w:r>
      <w:r w:rsidR="005B2F35">
        <w:rPr>
          <w:lang w:val="fr-FR"/>
        </w:rPr>
        <w:noBreakHyphen/>
      </w:r>
      <w:r w:rsidRPr="003E5DCB">
        <w:rPr>
          <w:lang w:val="fr-FR"/>
        </w:rPr>
        <w:t>dessus.</w:t>
      </w:r>
    </w:p>
    <w:p w:rsidR="009C3A49" w:rsidRDefault="0007738F" w:rsidP="00E84F65">
      <w:pPr>
        <w:pStyle w:val="ONUMFS"/>
        <w:keepNext/>
        <w:keepLines/>
        <w:ind w:left="5533"/>
        <w:rPr>
          <w:i/>
          <w:lang w:val="fr-FR"/>
        </w:rPr>
      </w:pPr>
      <w:r w:rsidRPr="009C3A49">
        <w:rPr>
          <w:i/>
          <w:lang w:val="fr-FR"/>
        </w:rPr>
        <w:t>Le groupe de travail est invité à examiner le présent document et à donner des orientations au Bureau international sur les mesures qui pourraient être prises.</w:t>
      </w:r>
    </w:p>
    <w:p w:rsidR="0007738F" w:rsidRPr="0007738F" w:rsidRDefault="0007738F" w:rsidP="009C3A49">
      <w:pPr>
        <w:rPr>
          <w:lang w:val="fr-FR"/>
        </w:rPr>
      </w:pPr>
    </w:p>
    <w:p w:rsidR="0007738F" w:rsidRPr="0007738F" w:rsidRDefault="0007738F" w:rsidP="009C3A49">
      <w:pPr>
        <w:rPr>
          <w:lang w:val="fr-FR"/>
        </w:rPr>
      </w:pPr>
    </w:p>
    <w:p w:rsidR="0007738F" w:rsidRDefault="0007738F" w:rsidP="009C3A49">
      <w:pPr>
        <w:pStyle w:val="Endofdocument-Annex"/>
      </w:pPr>
      <w:r w:rsidRPr="003E5DCB">
        <w:t>[Fin du document]</w:t>
      </w:r>
    </w:p>
    <w:sectPr w:rsidR="0007738F" w:rsidSect="003617BD">
      <w:headerReference w:type="default" r:id="rId9"/>
      <w:endnotePr>
        <w:numFmt w:val="decimal"/>
      </w:endnotePr>
      <w:pgSz w:w="11907" w:h="16840" w:code="9"/>
      <w:pgMar w:top="567" w:right="1134" w:bottom="1276"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2E2" w:rsidRDefault="001972E2">
      <w:r>
        <w:separator/>
      </w:r>
    </w:p>
  </w:endnote>
  <w:endnote w:type="continuationSeparator" w:id="0">
    <w:p w:rsidR="001972E2" w:rsidRDefault="001972E2" w:rsidP="003B38C1">
      <w:r>
        <w:separator/>
      </w:r>
    </w:p>
    <w:p w:rsidR="001972E2" w:rsidRPr="00CC2C8F" w:rsidRDefault="001972E2" w:rsidP="003B38C1">
      <w:pPr>
        <w:spacing w:after="60"/>
        <w:rPr>
          <w:sz w:val="17"/>
          <w:lang w:val="en-US"/>
        </w:rPr>
      </w:pPr>
      <w:r w:rsidRPr="00CC2C8F">
        <w:rPr>
          <w:sz w:val="17"/>
          <w:lang w:val="en-US"/>
        </w:rPr>
        <w:t>[Endnote continued from previous page]</w:t>
      </w:r>
    </w:p>
  </w:endnote>
  <w:endnote w:type="continuationNotice" w:id="1">
    <w:p w:rsidR="001972E2" w:rsidRPr="00CC2C8F" w:rsidRDefault="001972E2" w:rsidP="003B38C1">
      <w:pPr>
        <w:spacing w:before="60"/>
        <w:jc w:val="right"/>
        <w:rPr>
          <w:sz w:val="17"/>
          <w:szCs w:val="17"/>
          <w:lang w:val="en-US"/>
        </w:rPr>
      </w:pPr>
      <w:r w:rsidRPr="00CC2C8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2E2" w:rsidRDefault="001972E2">
      <w:r>
        <w:separator/>
      </w:r>
    </w:p>
  </w:footnote>
  <w:footnote w:type="continuationSeparator" w:id="0">
    <w:p w:rsidR="001972E2" w:rsidRDefault="001972E2" w:rsidP="008B60B2">
      <w:r>
        <w:separator/>
      </w:r>
    </w:p>
    <w:p w:rsidR="001972E2" w:rsidRPr="00CC2C8F" w:rsidRDefault="001972E2" w:rsidP="008B60B2">
      <w:pPr>
        <w:spacing w:after="60"/>
        <w:rPr>
          <w:sz w:val="17"/>
          <w:szCs w:val="17"/>
          <w:lang w:val="en-US"/>
        </w:rPr>
      </w:pPr>
      <w:r w:rsidRPr="00CC2C8F">
        <w:rPr>
          <w:sz w:val="17"/>
          <w:szCs w:val="17"/>
          <w:lang w:val="en-US"/>
        </w:rPr>
        <w:t>[Footnote continued from previous page]</w:t>
      </w:r>
    </w:p>
  </w:footnote>
  <w:footnote w:type="continuationNotice" w:id="1">
    <w:p w:rsidR="001972E2" w:rsidRPr="00CC2C8F" w:rsidRDefault="001972E2" w:rsidP="008B60B2">
      <w:pPr>
        <w:spacing w:before="60"/>
        <w:jc w:val="right"/>
        <w:rPr>
          <w:sz w:val="17"/>
          <w:szCs w:val="17"/>
          <w:lang w:val="en-US"/>
        </w:rPr>
      </w:pPr>
      <w:r w:rsidRPr="00CC2C8F">
        <w:rPr>
          <w:sz w:val="17"/>
          <w:szCs w:val="17"/>
          <w:lang w:val="en-US"/>
        </w:rPr>
        <w:t>[Footnote continued on next page]</w:t>
      </w:r>
    </w:p>
  </w:footnote>
  <w:footnote w:id="2">
    <w:p w:rsidR="001972E2" w:rsidRPr="00504DE0" w:rsidRDefault="001972E2" w:rsidP="00504DE0">
      <w:pPr>
        <w:pStyle w:val="FootnoteText"/>
        <w:rPr>
          <w:lang w:val="fr-FR"/>
        </w:rPr>
      </w:pPr>
      <w:r>
        <w:rPr>
          <w:rStyle w:val="FootnoteReference"/>
        </w:rPr>
        <w:footnoteRef/>
      </w:r>
      <w:r w:rsidRPr="00504DE0">
        <w:rPr>
          <w:lang w:val="fr-FR"/>
        </w:rPr>
        <w:t xml:space="preserve"> </w:t>
      </w:r>
      <w:r w:rsidRPr="00504DE0">
        <w:rPr>
          <w:lang w:val="fr-FR"/>
        </w:rPr>
        <w:tab/>
      </w:r>
      <w:r w:rsidRPr="003E5DCB">
        <w:rPr>
          <w:lang w:val="fr-FR"/>
        </w:rPr>
        <w:t xml:space="preserve">Voir le </w:t>
      </w:r>
      <w:r w:rsidR="001920C0" w:rsidRPr="003E5DCB">
        <w:rPr>
          <w:lang w:val="fr-FR"/>
        </w:rPr>
        <w:t>document</w:t>
      </w:r>
      <w:r w:rsidR="001920C0">
        <w:rPr>
          <w:lang w:val="fr-FR"/>
        </w:rPr>
        <w:t xml:space="preserve"> </w:t>
      </w:r>
      <w:r w:rsidR="001920C0" w:rsidRPr="003E5DCB">
        <w:rPr>
          <w:lang w:val="fr-FR"/>
        </w:rPr>
        <w:t>MM</w:t>
      </w:r>
      <w:r w:rsidRPr="003E5DCB">
        <w:rPr>
          <w:lang w:val="fr-FR"/>
        </w:rPr>
        <w:t>/LD/WG/16/4.</w:t>
      </w:r>
      <w:r w:rsidRPr="00504DE0">
        <w:rPr>
          <w:lang w:val="fr-FR"/>
        </w:rPr>
        <w:t xml:space="preserve">  </w:t>
      </w:r>
    </w:p>
  </w:footnote>
  <w:footnote w:id="3">
    <w:p w:rsidR="001972E2" w:rsidRPr="001626B3" w:rsidRDefault="001972E2" w:rsidP="001626B3">
      <w:pPr>
        <w:pStyle w:val="FootnoteText"/>
        <w:rPr>
          <w:lang w:val="fr-FR"/>
        </w:rPr>
      </w:pPr>
      <w:r>
        <w:rPr>
          <w:rStyle w:val="FootnoteReference"/>
        </w:rPr>
        <w:footnoteRef/>
      </w:r>
      <w:r w:rsidRPr="001626B3">
        <w:rPr>
          <w:lang w:val="fr-FR"/>
        </w:rPr>
        <w:t xml:space="preserve"> </w:t>
      </w:r>
      <w:r w:rsidRPr="001626B3">
        <w:rPr>
          <w:lang w:val="fr-FR"/>
        </w:rPr>
        <w:tab/>
      </w:r>
      <w:r w:rsidRPr="003E5DCB">
        <w:rPr>
          <w:lang w:val="fr-FR"/>
        </w:rPr>
        <w:t>La règle</w:t>
      </w:r>
      <w:r w:rsidR="000729D9">
        <w:rPr>
          <w:lang w:val="fr-FR"/>
        </w:rPr>
        <w:t> </w:t>
      </w:r>
      <w:r w:rsidRPr="003E5DCB">
        <w:rPr>
          <w:lang w:val="fr-FR"/>
        </w:rPr>
        <w:t>9.4)</w:t>
      </w:r>
      <w:r w:rsidR="000729D9">
        <w:rPr>
          <w:lang w:val="fr-FR"/>
        </w:rPr>
        <w:t>a</w:t>
      </w:r>
      <w:r w:rsidRPr="003E5DCB">
        <w:rPr>
          <w:lang w:val="fr-FR"/>
        </w:rPr>
        <w:t>)</w:t>
      </w:r>
      <w:r w:rsidR="000729D9">
        <w:rPr>
          <w:lang w:val="fr-FR"/>
        </w:rPr>
        <w:t>v</w:t>
      </w:r>
      <w:r w:rsidRPr="003E5DCB">
        <w:rPr>
          <w:lang w:val="fr-FR"/>
        </w:rPr>
        <w:t xml:space="preserve">) </w:t>
      </w:r>
      <w:r w:rsidRPr="001626B3">
        <w:rPr>
          <w:color w:val="000000"/>
          <w:lang w:val="fr-FR"/>
        </w:rPr>
        <w:t>et</w:t>
      </w:r>
      <w:r w:rsidRPr="003E5DCB">
        <w:rPr>
          <w:lang w:val="fr-FR"/>
        </w:rPr>
        <w:t xml:space="preserve"> </w:t>
      </w:r>
      <w:r w:rsidRPr="001626B3">
        <w:rPr>
          <w:color w:val="000000"/>
          <w:lang w:val="fr-FR"/>
        </w:rPr>
        <w:t>vii</w:t>
      </w:r>
      <w:r w:rsidRPr="003E5DCB">
        <w:rPr>
          <w:lang w:val="fr-FR"/>
        </w:rPr>
        <w:t>) du règlement d</w:t>
      </w:r>
      <w:r w:rsidR="001920C0">
        <w:rPr>
          <w:lang w:val="fr-FR"/>
        </w:rPr>
        <w:t>’</w:t>
      </w:r>
      <w:r w:rsidRPr="003E5DCB">
        <w:rPr>
          <w:lang w:val="fr-FR"/>
        </w:rPr>
        <w:t>exécution commun est ainsi libellée</w:t>
      </w:r>
      <w:r w:rsidR="001920C0">
        <w:rPr>
          <w:lang w:val="fr-FR"/>
        </w:rPr>
        <w:t> :</w:t>
      </w:r>
      <w:r w:rsidRPr="001626B3">
        <w:rPr>
          <w:lang w:val="fr-FR"/>
        </w:rPr>
        <w:t xml:space="preserve"> </w:t>
      </w:r>
    </w:p>
    <w:p w:rsidR="001972E2" w:rsidRPr="001626B3" w:rsidRDefault="001972E2">
      <w:pPr>
        <w:pStyle w:val="FootnoteText"/>
        <w:rPr>
          <w:lang w:val="fr-FR"/>
        </w:rPr>
      </w:pPr>
    </w:p>
    <w:p w:rsidR="001972E2" w:rsidRPr="001626B3" w:rsidRDefault="000729D9" w:rsidP="003617BD">
      <w:pPr>
        <w:pStyle w:val="FootnoteText"/>
        <w:ind w:left="567" w:firstLine="567"/>
        <w:rPr>
          <w:lang w:val="fr-FR"/>
        </w:rPr>
      </w:pPr>
      <w:r>
        <w:rPr>
          <w:color w:val="000000"/>
          <w:lang w:val="fr-FR"/>
        </w:rPr>
        <w:t>“</w:t>
      </w:r>
      <w:r w:rsidR="001972E2" w:rsidRPr="003E5DCB">
        <w:rPr>
          <w:lang w:val="fr-FR"/>
        </w:rPr>
        <w:t>4)</w:t>
      </w:r>
      <w:r w:rsidR="001972E2" w:rsidRPr="001626B3">
        <w:rPr>
          <w:color w:val="000000"/>
          <w:lang w:val="fr-FR"/>
        </w:rPr>
        <w:t xml:space="preserve"> </w:t>
      </w:r>
      <w:r w:rsidR="004D686C">
        <w:rPr>
          <w:color w:val="000000"/>
          <w:lang w:val="fr-FR"/>
        </w:rPr>
        <w:t xml:space="preserve"> </w:t>
      </w:r>
      <w:r w:rsidR="003617BD">
        <w:rPr>
          <w:color w:val="000000"/>
          <w:lang w:val="fr-FR"/>
        </w:rPr>
        <w:tab/>
      </w:r>
      <w:r w:rsidR="001972E2" w:rsidRPr="003617BD">
        <w:rPr>
          <w:i/>
          <w:lang w:val="fr-FR"/>
        </w:rPr>
        <w:t>[Contenu de la demande internationale]</w:t>
      </w:r>
      <w:r w:rsidR="003617BD">
        <w:rPr>
          <w:i/>
          <w:lang w:val="fr-FR"/>
        </w:rPr>
        <w:t>  </w:t>
      </w:r>
      <w:r w:rsidR="001972E2" w:rsidRPr="003E5DCB">
        <w:rPr>
          <w:lang w:val="fr-FR"/>
        </w:rPr>
        <w:t>a)</w:t>
      </w:r>
      <w:r w:rsidR="003617BD">
        <w:rPr>
          <w:lang w:val="fr-FR"/>
        </w:rPr>
        <w:t>  </w:t>
      </w:r>
      <w:r w:rsidR="001972E2" w:rsidRPr="003E5DCB">
        <w:rPr>
          <w:lang w:val="fr-FR"/>
        </w:rPr>
        <w:t>La demande internationale doit contenir ou indiquer</w:t>
      </w:r>
      <w:r w:rsidR="001972E2" w:rsidRPr="001626B3">
        <w:rPr>
          <w:lang w:val="fr-FR"/>
        </w:rPr>
        <w:t xml:space="preserve"> </w:t>
      </w:r>
    </w:p>
    <w:p w:rsidR="001972E2" w:rsidRPr="000729D9" w:rsidRDefault="001972E2" w:rsidP="003617BD">
      <w:pPr>
        <w:pStyle w:val="FootnoteText"/>
        <w:ind w:left="567" w:firstLine="1701"/>
        <w:rPr>
          <w:lang w:val="fr-FR"/>
        </w:rPr>
      </w:pPr>
      <w:r w:rsidRPr="000729D9">
        <w:rPr>
          <w:lang w:val="fr-FR"/>
        </w:rPr>
        <w:t>“[…]</w:t>
      </w:r>
    </w:p>
    <w:p w:rsidR="001972E2" w:rsidRPr="00056F47" w:rsidRDefault="00F84C8D" w:rsidP="003617BD">
      <w:pPr>
        <w:pStyle w:val="FootnoteText"/>
        <w:ind w:left="567" w:firstLine="1701"/>
        <w:rPr>
          <w:lang w:val="fr-FR"/>
        </w:rPr>
      </w:pPr>
      <w:r>
        <w:rPr>
          <w:lang w:val="fr-FR"/>
        </w:rPr>
        <w:t>“</w:t>
      </w:r>
      <w:r w:rsidR="001972E2" w:rsidRPr="003E5DCB">
        <w:rPr>
          <w:lang w:val="fr-FR"/>
        </w:rPr>
        <w:t>v)</w:t>
      </w:r>
      <w:r w:rsidR="001972E2" w:rsidRPr="003E5DCB">
        <w:rPr>
          <w:lang w:val="fr-FR"/>
        </w:rPr>
        <w:tab/>
        <w:t>une reproduction de la marque qui doit s</w:t>
      </w:r>
      <w:r w:rsidR="001920C0">
        <w:rPr>
          <w:lang w:val="fr-FR"/>
        </w:rPr>
        <w:t>’</w:t>
      </w:r>
      <w:r w:rsidR="001972E2" w:rsidRPr="003E5DCB">
        <w:rPr>
          <w:lang w:val="fr-FR"/>
        </w:rPr>
        <w:t xml:space="preserve">insérer dans le cadre prévu à cet effet dans le formulaire officiel; </w:t>
      </w:r>
      <w:r w:rsidR="006A36D2">
        <w:rPr>
          <w:lang w:val="fr-FR"/>
        </w:rPr>
        <w:t xml:space="preserve"> </w:t>
      </w:r>
      <w:r w:rsidR="001972E2" w:rsidRPr="003E5DCB">
        <w:rPr>
          <w:lang w:val="fr-FR"/>
        </w:rPr>
        <w:t>cette reproduction doit être nette et elle doit être en noir et blanc ou en couleur selon que la reproduction dans la demande de base ou l</w:t>
      </w:r>
      <w:r w:rsidR="001920C0">
        <w:rPr>
          <w:lang w:val="fr-FR"/>
        </w:rPr>
        <w:t>’</w:t>
      </w:r>
      <w:r w:rsidR="001972E2" w:rsidRPr="003E5DCB">
        <w:rPr>
          <w:lang w:val="fr-FR"/>
        </w:rPr>
        <w:t>enregistrement de base est en noir et blanc ou en couleur,</w:t>
      </w:r>
    </w:p>
    <w:p w:rsidR="001972E2" w:rsidRPr="00791853" w:rsidRDefault="001972E2" w:rsidP="003617BD">
      <w:pPr>
        <w:pStyle w:val="FootnoteText"/>
        <w:ind w:left="567" w:firstLine="1701"/>
        <w:rPr>
          <w:lang w:val="fr-FR"/>
        </w:rPr>
      </w:pPr>
      <w:r w:rsidRPr="00791853">
        <w:rPr>
          <w:lang w:val="fr-FR"/>
        </w:rPr>
        <w:t>“[…]</w:t>
      </w:r>
    </w:p>
    <w:p w:rsidR="001972E2" w:rsidRPr="00056F47" w:rsidRDefault="00F84C8D" w:rsidP="003617BD">
      <w:pPr>
        <w:pStyle w:val="FootnoteText"/>
        <w:ind w:left="567" w:firstLine="1701"/>
        <w:rPr>
          <w:lang w:val="fr-FR"/>
        </w:rPr>
      </w:pPr>
      <w:r>
        <w:rPr>
          <w:lang w:val="fr-FR"/>
        </w:rPr>
        <w:t>“</w:t>
      </w:r>
      <w:r w:rsidR="001972E2" w:rsidRPr="003E5DCB">
        <w:rPr>
          <w:lang w:val="fr-FR"/>
        </w:rPr>
        <w:t>vii)</w:t>
      </w:r>
      <w:r w:rsidR="001972E2" w:rsidRPr="003E5DCB">
        <w:rPr>
          <w:lang w:val="fr-FR"/>
        </w:rPr>
        <w:tab/>
        <w:t xml:space="preserve">lorsque la couleur est revendiquée dans la demande </w:t>
      </w:r>
      <w:r w:rsidR="00957ECF">
        <w:rPr>
          <w:lang w:val="fr-FR"/>
        </w:rPr>
        <w:t xml:space="preserve">de base </w:t>
      </w:r>
      <w:r w:rsidR="001972E2" w:rsidRPr="003E5DCB">
        <w:rPr>
          <w:lang w:val="fr-FR"/>
        </w:rPr>
        <w:t>ou l</w:t>
      </w:r>
      <w:r w:rsidR="001920C0">
        <w:rPr>
          <w:lang w:val="fr-FR"/>
        </w:rPr>
        <w:t>’</w:t>
      </w:r>
      <w:r w:rsidR="001972E2" w:rsidRPr="003E5DCB">
        <w:rPr>
          <w:lang w:val="fr-FR"/>
        </w:rPr>
        <w:t>enregistrement de base, ou lorsque le déposant souhaite revendiquer la couleur à titre d</w:t>
      </w:r>
      <w:r w:rsidR="001920C0">
        <w:rPr>
          <w:lang w:val="fr-FR"/>
        </w:rPr>
        <w:t>’</w:t>
      </w:r>
      <w:r w:rsidR="001972E2" w:rsidRPr="003E5DCB">
        <w:rPr>
          <w:lang w:val="fr-FR"/>
        </w:rPr>
        <w:t>élément distinctif de la marque et que la marque contenue dans la demande de base ou l</w:t>
      </w:r>
      <w:r w:rsidR="001920C0">
        <w:rPr>
          <w:lang w:val="fr-FR"/>
        </w:rPr>
        <w:t>’</w:t>
      </w:r>
      <w:r w:rsidR="001972E2" w:rsidRPr="003E5DCB">
        <w:rPr>
          <w:lang w:val="fr-FR"/>
        </w:rPr>
        <w:t xml:space="preserve">enregistrement de base est en couleur, une indication que la couleur est revendiquée et une indication, exprimée par des mots, de la couleur ou de la combinaison de couleurs revendiquée et, lorsque la reproduction fournie en application du </w:t>
      </w:r>
      <w:r w:rsidR="001920C0" w:rsidRPr="003E5DCB">
        <w:rPr>
          <w:lang w:val="fr-FR"/>
        </w:rPr>
        <w:t>point</w:t>
      </w:r>
      <w:r w:rsidR="001920C0">
        <w:rPr>
          <w:lang w:val="fr-FR"/>
        </w:rPr>
        <w:t> </w:t>
      </w:r>
      <w:r w:rsidR="001920C0" w:rsidRPr="003E5DCB">
        <w:rPr>
          <w:lang w:val="fr-FR"/>
        </w:rPr>
        <w:t>v)</w:t>
      </w:r>
      <w:r w:rsidR="001972E2" w:rsidRPr="003E5DCB">
        <w:rPr>
          <w:lang w:val="fr-FR"/>
        </w:rPr>
        <w:t xml:space="preserve"> est en noir et blanc, une reproduction de la marque en couleur</w:t>
      </w:r>
      <w:r>
        <w:rPr>
          <w:lang w:val="fr-FR"/>
        </w:rPr>
        <w:t>,”</w:t>
      </w:r>
    </w:p>
  </w:footnote>
  <w:footnote w:id="4">
    <w:p w:rsidR="001972E2" w:rsidRPr="00C61FFC" w:rsidRDefault="001972E2" w:rsidP="00C61FFC">
      <w:pPr>
        <w:pStyle w:val="FootnoteText"/>
        <w:rPr>
          <w:lang w:val="fr-FR"/>
        </w:rPr>
      </w:pPr>
      <w:r>
        <w:rPr>
          <w:rStyle w:val="FootnoteReference"/>
        </w:rPr>
        <w:footnoteRef/>
      </w:r>
      <w:r w:rsidRPr="00C61FFC">
        <w:rPr>
          <w:lang w:val="fr-FR"/>
        </w:rPr>
        <w:t xml:space="preserve"> </w:t>
      </w:r>
      <w:r w:rsidRPr="00C61FFC">
        <w:rPr>
          <w:lang w:val="fr-FR"/>
        </w:rPr>
        <w:tab/>
      </w:r>
      <w:r w:rsidRPr="003E5DCB">
        <w:rPr>
          <w:lang w:val="fr-FR"/>
        </w:rPr>
        <w:t xml:space="preserve">Voir le </w:t>
      </w:r>
      <w:r w:rsidR="001920C0" w:rsidRPr="003E5DCB">
        <w:rPr>
          <w:lang w:val="fr-FR"/>
        </w:rPr>
        <w:t>document</w:t>
      </w:r>
      <w:r w:rsidR="001920C0">
        <w:rPr>
          <w:lang w:val="fr-FR"/>
        </w:rPr>
        <w:t xml:space="preserve"> </w:t>
      </w:r>
      <w:r w:rsidR="001920C0" w:rsidRPr="003E5DCB">
        <w:rPr>
          <w:lang w:val="fr-FR"/>
        </w:rPr>
        <w:t>MM</w:t>
      </w:r>
      <w:r w:rsidRPr="003E5DCB">
        <w:rPr>
          <w:lang w:val="fr-FR"/>
        </w:rPr>
        <w:t>/</w:t>
      </w:r>
      <w:proofErr w:type="spellStart"/>
      <w:r w:rsidRPr="003E5DCB">
        <w:rPr>
          <w:lang w:val="fr-FR"/>
        </w:rPr>
        <w:t>LD</w:t>
      </w:r>
      <w:proofErr w:type="spellEnd"/>
      <w:r w:rsidRPr="003E5DCB">
        <w:rPr>
          <w:lang w:val="fr-FR"/>
        </w:rPr>
        <w:t>/</w:t>
      </w:r>
      <w:proofErr w:type="spellStart"/>
      <w:r w:rsidRPr="003E5DCB">
        <w:rPr>
          <w:lang w:val="fr-FR"/>
        </w:rPr>
        <w:t>WG</w:t>
      </w:r>
      <w:proofErr w:type="spellEnd"/>
      <w:r w:rsidRPr="003E5DCB">
        <w:rPr>
          <w:lang w:val="fr-FR"/>
        </w:rPr>
        <w:t>/15/</w:t>
      </w:r>
      <w:proofErr w:type="spellStart"/>
      <w:r w:rsidRPr="003E5DCB">
        <w:rPr>
          <w:lang w:val="fr-FR"/>
        </w:rPr>
        <w:t>RT</w:t>
      </w:r>
      <w:proofErr w:type="spellEnd"/>
      <w:r w:rsidRPr="003E5DCB">
        <w:rPr>
          <w:lang w:val="fr-FR"/>
        </w:rPr>
        <w:t>/</w:t>
      </w:r>
      <w:proofErr w:type="spellStart"/>
      <w:r w:rsidRPr="003E5DCB">
        <w:rPr>
          <w:lang w:val="fr-FR"/>
        </w:rPr>
        <w:t>Presentation</w:t>
      </w:r>
      <w:proofErr w:type="spellEnd"/>
      <w:r w:rsidRPr="003E5DCB">
        <w:rPr>
          <w:lang w:val="fr-FR"/>
        </w:rPr>
        <w:t>/2.</w:t>
      </w:r>
      <w:r w:rsidRPr="00C61FFC">
        <w:rPr>
          <w:lang w:val="fr-FR"/>
        </w:rPr>
        <w:t xml:space="preserve">  </w:t>
      </w:r>
    </w:p>
  </w:footnote>
  <w:footnote w:id="5">
    <w:p w:rsidR="001972E2" w:rsidRPr="00A548B3" w:rsidRDefault="001972E2" w:rsidP="00A548B3">
      <w:pPr>
        <w:pStyle w:val="FootnoteText"/>
        <w:rPr>
          <w:lang w:val="fr-FR"/>
        </w:rPr>
      </w:pPr>
      <w:r>
        <w:rPr>
          <w:rStyle w:val="FootnoteReference"/>
        </w:rPr>
        <w:footnoteRef/>
      </w:r>
      <w:r w:rsidRPr="00A548B3">
        <w:rPr>
          <w:lang w:val="fr-FR"/>
        </w:rPr>
        <w:t xml:space="preserve"> </w:t>
      </w:r>
      <w:r w:rsidRPr="00A548B3">
        <w:rPr>
          <w:lang w:val="fr-FR"/>
        </w:rPr>
        <w:tab/>
      </w:r>
      <w:r w:rsidRPr="003E5DCB">
        <w:rPr>
          <w:lang w:val="fr-FR"/>
        </w:rPr>
        <w:t xml:space="preserve">Voir le </w:t>
      </w:r>
      <w:r w:rsidR="001920C0" w:rsidRPr="003E5DCB">
        <w:rPr>
          <w:lang w:val="fr-FR"/>
        </w:rPr>
        <w:t>document</w:t>
      </w:r>
      <w:r w:rsidR="001920C0">
        <w:rPr>
          <w:lang w:val="fr-FR"/>
        </w:rPr>
        <w:t xml:space="preserve"> </w:t>
      </w:r>
      <w:r w:rsidR="001920C0" w:rsidRPr="003E5DCB">
        <w:rPr>
          <w:lang w:val="fr-FR"/>
        </w:rPr>
        <w:t>MM</w:t>
      </w:r>
      <w:r w:rsidRPr="003E5DCB">
        <w:rPr>
          <w:lang w:val="fr-FR"/>
        </w:rPr>
        <w:t>/LD/WG/16/4.</w:t>
      </w:r>
      <w:r w:rsidRPr="00A548B3">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E2" w:rsidRDefault="001972E2" w:rsidP="00477D6B">
    <w:pPr>
      <w:jc w:val="right"/>
    </w:pPr>
    <w:bookmarkStart w:id="15" w:name="Code2"/>
    <w:bookmarkEnd w:id="15"/>
    <w:r>
      <w:t>MM/</w:t>
    </w:r>
    <w:proofErr w:type="spellStart"/>
    <w:r>
      <w:t>LD</w:t>
    </w:r>
    <w:proofErr w:type="spellEnd"/>
    <w:r>
      <w:t>/</w:t>
    </w:r>
    <w:proofErr w:type="spellStart"/>
    <w:r>
      <w:t>WG</w:t>
    </w:r>
    <w:proofErr w:type="spellEnd"/>
    <w:r>
      <w:t>/17/8</w:t>
    </w:r>
  </w:p>
  <w:p w:rsidR="001972E2" w:rsidRDefault="001972E2" w:rsidP="00477D6B">
    <w:pPr>
      <w:jc w:val="right"/>
    </w:pPr>
    <w:r>
      <w:t>page</w:t>
    </w:r>
    <w:r w:rsidR="000729D9">
      <w:t> </w:t>
    </w:r>
    <w:r>
      <w:fldChar w:fldCharType="begin"/>
    </w:r>
    <w:r>
      <w:instrText xml:space="preserve"> PAGE  \* MERGEFORMAT </w:instrText>
    </w:r>
    <w:r>
      <w:fldChar w:fldCharType="separate"/>
    </w:r>
    <w:r w:rsidR="00620060">
      <w:rPr>
        <w:noProof/>
      </w:rPr>
      <w:t>6</w:t>
    </w:r>
    <w:r>
      <w:fldChar w:fldCharType="end"/>
    </w:r>
    <w:bookmarkStart w:id="16" w:name="_Ref8128760"/>
  </w:p>
  <w:bookmarkEnd w:id="16"/>
  <w:p w:rsidR="009C3A49" w:rsidRDefault="009C3A4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7C39E3"/>
    <w:multiLevelType w:val="hybridMultilevel"/>
    <w:tmpl w:val="5C64D162"/>
    <w:lvl w:ilvl="0" w:tplc="853A715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95FF0"/>
    <w:multiLevelType w:val="hybridMultilevel"/>
    <w:tmpl w:val="32BA5BB4"/>
    <w:lvl w:ilvl="0" w:tplc="DED43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41148"/>
    <w:multiLevelType w:val="hybridMultilevel"/>
    <w:tmpl w:val="A714292A"/>
    <w:lvl w:ilvl="0" w:tplc="8DD6E7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9E24D3E"/>
    <w:multiLevelType w:val="hybridMultilevel"/>
    <w:tmpl w:val="ACF82F7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B613F8"/>
    <w:multiLevelType w:val="hybridMultilevel"/>
    <w:tmpl w:val="A99093AA"/>
    <w:lvl w:ilvl="0" w:tplc="020AA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1"/>
  </w:num>
  <w:num w:numId="6">
    <w:abstractNumId w:val="6"/>
  </w:num>
  <w:num w:numId="7">
    <w:abstractNumId w:val="3"/>
  </w:num>
  <w:num w:numId="8">
    <w:abstractNumId w:val="10"/>
  </w:num>
  <w:num w:numId="9">
    <w:abstractNumId w:val="2"/>
  </w:num>
  <w:num w:numId="10">
    <w:abstractNumId w:val="7"/>
  </w:num>
  <w:num w:numId="11">
    <w:abstractNumId w:val="4"/>
  </w:num>
  <w:num w:numId="12">
    <w:abstractNumId w:val="1"/>
  </w:num>
  <w:num w:numId="13">
    <w:abstractNumId w:val="9"/>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types of marks|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0C3895"/>
    <w:rsid w:val="00023C04"/>
    <w:rsid w:val="0003221A"/>
    <w:rsid w:val="0004394C"/>
    <w:rsid w:val="00043CAA"/>
    <w:rsid w:val="00046F15"/>
    <w:rsid w:val="000538D0"/>
    <w:rsid w:val="00054C08"/>
    <w:rsid w:val="00056F47"/>
    <w:rsid w:val="000729D9"/>
    <w:rsid w:val="00075432"/>
    <w:rsid w:val="0007738F"/>
    <w:rsid w:val="00081D9C"/>
    <w:rsid w:val="000968ED"/>
    <w:rsid w:val="00096F15"/>
    <w:rsid w:val="000C3895"/>
    <w:rsid w:val="000D2E97"/>
    <w:rsid w:val="000D5BAE"/>
    <w:rsid w:val="000E7656"/>
    <w:rsid w:val="000F1EBB"/>
    <w:rsid w:val="000F5E56"/>
    <w:rsid w:val="000F7ABE"/>
    <w:rsid w:val="00110067"/>
    <w:rsid w:val="00117964"/>
    <w:rsid w:val="00134B55"/>
    <w:rsid w:val="001362EE"/>
    <w:rsid w:val="00145C7B"/>
    <w:rsid w:val="0015155C"/>
    <w:rsid w:val="00154209"/>
    <w:rsid w:val="00161E7D"/>
    <w:rsid w:val="001626B3"/>
    <w:rsid w:val="001651F4"/>
    <w:rsid w:val="00174ECF"/>
    <w:rsid w:val="00180B57"/>
    <w:rsid w:val="001832A6"/>
    <w:rsid w:val="001869FE"/>
    <w:rsid w:val="001920C0"/>
    <w:rsid w:val="00194880"/>
    <w:rsid w:val="001972E2"/>
    <w:rsid w:val="001A0369"/>
    <w:rsid w:val="001D5374"/>
    <w:rsid w:val="001D5C94"/>
    <w:rsid w:val="001E328E"/>
    <w:rsid w:val="001E53E3"/>
    <w:rsid w:val="001F603E"/>
    <w:rsid w:val="00207850"/>
    <w:rsid w:val="0021560B"/>
    <w:rsid w:val="00215BAC"/>
    <w:rsid w:val="0022296C"/>
    <w:rsid w:val="00222D72"/>
    <w:rsid w:val="00232E14"/>
    <w:rsid w:val="00233B49"/>
    <w:rsid w:val="00243B94"/>
    <w:rsid w:val="0024626D"/>
    <w:rsid w:val="0025164C"/>
    <w:rsid w:val="00254F50"/>
    <w:rsid w:val="00255FB0"/>
    <w:rsid w:val="002602E3"/>
    <w:rsid w:val="002634C4"/>
    <w:rsid w:val="00270C47"/>
    <w:rsid w:val="0027218F"/>
    <w:rsid w:val="0028752D"/>
    <w:rsid w:val="002928D3"/>
    <w:rsid w:val="002945BA"/>
    <w:rsid w:val="002B6A3E"/>
    <w:rsid w:val="002B7D00"/>
    <w:rsid w:val="002D7C41"/>
    <w:rsid w:val="002F1FE6"/>
    <w:rsid w:val="002F4E68"/>
    <w:rsid w:val="00303140"/>
    <w:rsid w:val="003067C8"/>
    <w:rsid w:val="00312F7F"/>
    <w:rsid w:val="0032307E"/>
    <w:rsid w:val="00335EA3"/>
    <w:rsid w:val="003463E5"/>
    <w:rsid w:val="00354E43"/>
    <w:rsid w:val="00356463"/>
    <w:rsid w:val="00361450"/>
    <w:rsid w:val="003617BD"/>
    <w:rsid w:val="00362F4F"/>
    <w:rsid w:val="003673CF"/>
    <w:rsid w:val="0037054A"/>
    <w:rsid w:val="003705FB"/>
    <w:rsid w:val="003736C0"/>
    <w:rsid w:val="003815AD"/>
    <w:rsid w:val="003845C1"/>
    <w:rsid w:val="00386DEF"/>
    <w:rsid w:val="00387AE2"/>
    <w:rsid w:val="00397196"/>
    <w:rsid w:val="00397DED"/>
    <w:rsid w:val="003A6F89"/>
    <w:rsid w:val="003B38C1"/>
    <w:rsid w:val="003C5432"/>
    <w:rsid w:val="003D0603"/>
    <w:rsid w:val="003D0EAE"/>
    <w:rsid w:val="003D1198"/>
    <w:rsid w:val="003E2CED"/>
    <w:rsid w:val="003E5DCB"/>
    <w:rsid w:val="003F7739"/>
    <w:rsid w:val="00414DE5"/>
    <w:rsid w:val="00423E3E"/>
    <w:rsid w:val="0042458E"/>
    <w:rsid w:val="00427AF4"/>
    <w:rsid w:val="0043753B"/>
    <w:rsid w:val="00442BC1"/>
    <w:rsid w:val="004522B3"/>
    <w:rsid w:val="004647DA"/>
    <w:rsid w:val="00474062"/>
    <w:rsid w:val="00474786"/>
    <w:rsid w:val="00477D6B"/>
    <w:rsid w:val="00486C2F"/>
    <w:rsid w:val="004924EC"/>
    <w:rsid w:val="00496685"/>
    <w:rsid w:val="004A750B"/>
    <w:rsid w:val="004B3A8C"/>
    <w:rsid w:val="004C5D68"/>
    <w:rsid w:val="004D0E6F"/>
    <w:rsid w:val="004D141F"/>
    <w:rsid w:val="004D686C"/>
    <w:rsid w:val="004E061F"/>
    <w:rsid w:val="004E6B5D"/>
    <w:rsid w:val="004F07A7"/>
    <w:rsid w:val="005019FF"/>
    <w:rsid w:val="00504DE0"/>
    <w:rsid w:val="0053057A"/>
    <w:rsid w:val="00536882"/>
    <w:rsid w:val="0054150D"/>
    <w:rsid w:val="00560A29"/>
    <w:rsid w:val="00563D8D"/>
    <w:rsid w:val="005729FC"/>
    <w:rsid w:val="00574923"/>
    <w:rsid w:val="00592372"/>
    <w:rsid w:val="005969CD"/>
    <w:rsid w:val="00597066"/>
    <w:rsid w:val="005A142B"/>
    <w:rsid w:val="005A15CB"/>
    <w:rsid w:val="005B05D8"/>
    <w:rsid w:val="005B1056"/>
    <w:rsid w:val="005B2F35"/>
    <w:rsid w:val="005B364E"/>
    <w:rsid w:val="005B6B85"/>
    <w:rsid w:val="005C2E38"/>
    <w:rsid w:val="005C306B"/>
    <w:rsid w:val="005C363B"/>
    <w:rsid w:val="005C479F"/>
    <w:rsid w:val="005C6649"/>
    <w:rsid w:val="005D09FB"/>
    <w:rsid w:val="005D5682"/>
    <w:rsid w:val="005E1C03"/>
    <w:rsid w:val="005E565E"/>
    <w:rsid w:val="005E633F"/>
    <w:rsid w:val="005F1C7E"/>
    <w:rsid w:val="005F2005"/>
    <w:rsid w:val="005F6CB8"/>
    <w:rsid w:val="006041E7"/>
    <w:rsid w:val="00605827"/>
    <w:rsid w:val="00620060"/>
    <w:rsid w:val="006232B4"/>
    <w:rsid w:val="00623EFA"/>
    <w:rsid w:val="00646050"/>
    <w:rsid w:val="00647763"/>
    <w:rsid w:val="00653500"/>
    <w:rsid w:val="00653590"/>
    <w:rsid w:val="00664396"/>
    <w:rsid w:val="006713CA"/>
    <w:rsid w:val="006754B9"/>
    <w:rsid w:val="00676C5C"/>
    <w:rsid w:val="00681884"/>
    <w:rsid w:val="00682871"/>
    <w:rsid w:val="006A36D2"/>
    <w:rsid w:val="006A6546"/>
    <w:rsid w:val="006D1289"/>
    <w:rsid w:val="006D3E9A"/>
    <w:rsid w:val="006D7213"/>
    <w:rsid w:val="006E3B24"/>
    <w:rsid w:val="006F06C5"/>
    <w:rsid w:val="0073047C"/>
    <w:rsid w:val="0073461D"/>
    <w:rsid w:val="00735D69"/>
    <w:rsid w:val="00741A93"/>
    <w:rsid w:val="00743D2F"/>
    <w:rsid w:val="007464BC"/>
    <w:rsid w:val="007706E9"/>
    <w:rsid w:val="007843EB"/>
    <w:rsid w:val="00791853"/>
    <w:rsid w:val="00795E5A"/>
    <w:rsid w:val="007A0AE4"/>
    <w:rsid w:val="007B5D69"/>
    <w:rsid w:val="007C068B"/>
    <w:rsid w:val="007C5E90"/>
    <w:rsid w:val="007D1613"/>
    <w:rsid w:val="007F5F3D"/>
    <w:rsid w:val="007F7826"/>
    <w:rsid w:val="00814104"/>
    <w:rsid w:val="00816D05"/>
    <w:rsid w:val="008256E7"/>
    <w:rsid w:val="00840CDD"/>
    <w:rsid w:val="00842850"/>
    <w:rsid w:val="00852236"/>
    <w:rsid w:val="0086299D"/>
    <w:rsid w:val="0086454C"/>
    <w:rsid w:val="008767A9"/>
    <w:rsid w:val="0088371D"/>
    <w:rsid w:val="008875C6"/>
    <w:rsid w:val="008A2629"/>
    <w:rsid w:val="008A2901"/>
    <w:rsid w:val="008A3878"/>
    <w:rsid w:val="008B20E3"/>
    <w:rsid w:val="008B2CC1"/>
    <w:rsid w:val="008B60B2"/>
    <w:rsid w:val="008B783C"/>
    <w:rsid w:val="008D356F"/>
    <w:rsid w:val="008F3415"/>
    <w:rsid w:val="0090731E"/>
    <w:rsid w:val="009130D0"/>
    <w:rsid w:val="00916EE2"/>
    <w:rsid w:val="009174A3"/>
    <w:rsid w:val="00923A92"/>
    <w:rsid w:val="009248C8"/>
    <w:rsid w:val="00932C36"/>
    <w:rsid w:val="009337EB"/>
    <w:rsid w:val="009565D5"/>
    <w:rsid w:val="00957ECF"/>
    <w:rsid w:val="00966A22"/>
    <w:rsid w:val="0096722F"/>
    <w:rsid w:val="0098080A"/>
    <w:rsid w:val="00980843"/>
    <w:rsid w:val="009936A2"/>
    <w:rsid w:val="0099674C"/>
    <w:rsid w:val="009A6E26"/>
    <w:rsid w:val="009B400B"/>
    <w:rsid w:val="009B6AAB"/>
    <w:rsid w:val="009B7E08"/>
    <w:rsid w:val="009C3A49"/>
    <w:rsid w:val="009E2791"/>
    <w:rsid w:val="009E3F6F"/>
    <w:rsid w:val="009F499F"/>
    <w:rsid w:val="00A42DAF"/>
    <w:rsid w:val="00A45BD8"/>
    <w:rsid w:val="00A548B3"/>
    <w:rsid w:val="00A6558D"/>
    <w:rsid w:val="00A6673C"/>
    <w:rsid w:val="00A851A9"/>
    <w:rsid w:val="00A869B7"/>
    <w:rsid w:val="00A9139E"/>
    <w:rsid w:val="00AA2476"/>
    <w:rsid w:val="00AA4731"/>
    <w:rsid w:val="00AB0247"/>
    <w:rsid w:val="00AC205C"/>
    <w:rsid w:val="00AC54CE"/>
    <w:rsid w:val="00AD5F99"/>
    <w:rsid w:val="00AE7467"/>
    <w:rsid w:val="00AF09B7"/>
    <w:rsid w:val="00AF0A6B"/>
    <w:rsid w:val="00AF394F"/>
    <w:rsid w:val="00AF7662"/>
    <w:rsid w:val="00B004E1"/>
    <w:rsid w:val="00B00728"/>
    <w:rsid w:val="00B00E3F"/>
    <w:rsid w:val="00B05A69"/>
    <w:rsid w:val="00B169CE"/>
    <w:rsid w:val="00B24010"/>
    <w:rsid w:val="00B27FFC"/>
    <w:rsid w:val="00B455CF"/>
    <w:rsid w:val="00B64B2E"/>
    <w:rsid w:val="00B662BD"/>
    <w:rsid w:val="00B70B9F"/>
    <w:rsid w:val="00B7115A"/>
    <w:rsid w:val="00B71C4B"/>
    <w:rsid w:val="00B8384B"/>
    <w:rsid w:val="00B865B8"/>
    <w:rsid w:val="00B9734B"/>
    <w:rsid w:val="00BA61B4"/>
    <w:rsid w:val="00BD3EEA"/>
    <w:rsid w:val="00BE26FD"/>
    <w:rsid w:val="00BE685E"/>
    <w:rsid w:val="00BE77AB"/>
    <w:rsid w:val="00C03030"/>
    <w:rsid w:val="00C045C4"/>
    <w:rsid w:val="00C05644"/>
    <w:rsid w:val="00C11BFE"/>
    <w:rsid w:val="00C13DF7"/>
    <w:rsid w:val="00C31A7D"/>
    <w:rsid w:val="00C51317"/>
    <w:rsid w:val="00C55161"/>
    <w:rsid w:val="00C5795A"/>
    <w:rsid w:val="00C6022B"/>
    <w:rsid w:val="00C61FFC"/>
    <w:rsid w:val="00C70A99"/>
    <w:rsid w:val="00C73035"/>
    <w:rsid w:val="00C90A9B"/>
    <w:rsid w:val="00C959F7"/>
    <w:rsid w:val="00C96F77"/>
    <w:rsid w:val="00CA65B7"/>
    <w:rsid w:val="00CC0472"/>
    <w:rsid w:val="00CC2C8F"/>
    <w:rsid w:val="00CE2680"/>
    <w:rsid w:val="00CE4D7B"/>
    <w:rsid w:val="00CF0D3B"/>
    <w:rsid w:val="00CF6C30"/>
    <w:rsid w:val="00D03DD8"/>
    <w:rsid w:val="00D05818"/>
    <w:rsid w:val="00D177A6"/>
    <w:rsid w:val="00D1792B"/>
    <w:rsid w:val="00D23B1C"/>
    <w:rsid w:val="00D25439"/>
    <w:rsid w:val="00D366CF"/>
    <w:rsid w:val="00D37132"/>
    <w:rsid w:val="00D437F2"/>
    <w:rsid w:val="00D45252"/>
    <w:rsid w:val="00D62433"/>
    <w:rsid w:val="00D64DC8"/>
    <w:rsid w:val="00D71B4D"/>
    <w:rsid w:val="00D84540"/>
    <w:rsid w:val="00D85A93"/>
    <w:rsid w:val="00D85DB6"/>
    <w:rsid w:val="00D93D55"/>
    <w:rsid w:val="00DA6C7B"/>
    <w:rsid w:val="00DB5D57"/>
    <w:rsid w:val="00DC0174"/>
    <w:rsid w:val="00DC2080"/>
    <w:rsid w:val="00DC4268"/>
    <w:rsid w:val="00DE21FD"/>
    <w:rsid w:val="00E034DE"/>
    <w:rsid w:val="00E063C7"/>
    <w:rsid w:val="00E245CF"/>
    <w:rsid w:val="00E335FE"/>
    <w:rsid w:val="00E5238C"/>
    <w:rsid w:val="00E72E5D"/>
    <w:rsid w:val="00E80B06"/>
    <w:rsid w:val="00E83108"/>
    <w:rsid w:val="00E84E33"/>
    <w:rsid w:val="00E84F65"/>
    <w:rsid w:val="00E86FA5"/>
    <w:rsid w:val="00EB117B"/>
    <w:rsid w:val="00EB2D9E"/>
    <w:rsid w:val="00EC4E49"/>
    <w:rsid w:val="00ED3D98"/>
    <w:rsid w:val="00ED6723"/>
    <w:rsid w:val="00ED77FB"/>
    <w:rsid w:val="00ED7ED8"/>
    <w:rsid w:val="00EE1CE7"/>
    <w:rsid w:val="00EE23D9"/>
    <w:rsid w:val="00EE45FA"/>
    <w:rsid w:val="00F00BAF"/>
    <w:rsid w:val="00F11138"/>
    <w:rsid w:val="00F13744"/>
    <w:rsid w:val="00F23F46"/>
    <w:rsid w:val="00F25FAD"/>
    <w:rsid w:val="00F314B6"/>
    <w:rsid w:val="00F334B0"/>
    <w:rsid w:val="00F6410C"/>
    <w:rsid w:val="00F64F97"/>
    <w:rsid w:val="00F66152"/>
    <w:rsid w:val="00F7372C"/>
    <w:rsid w:val="00F81130"/>
    <w:rsid w:val="00F8157E"/>
    <w:rsid w:val="00F84C8D"/>
    <w:rsid w:val="00F91841"/>
    <w:rsid w:val="00F93EB6"/>
    <w:rsid w:val="00F94A48"/>
    <w:rsid w:val="00FE0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A49"/>
    <w:rPr>
      <w:rFonts w:ascii="Arial" w:eastAsia="SimSun" w:hAnsi="Arial" w:cs="Arial"/>
      <w:sz w:val="22"/>
      <w:lang w:val="fr-CH" w:eastAsia="zh-CN"/>
    </w:rPr>
  </w:style>
  <w:style w:type="paragraph" w:styleId="Heading1">
    <w:name w:val="heading 1"/>
    <w:basedOn w:val="Normal"/>
    <w:next w:val="Normal"/>
    <w:qFormat/>
    <w:rsid w:val="009C3A49"/>
    <w:pPr>
      <w:keepNext/>
      <w:spacing w:before="240" w:after="60"/>
      <w:outlineLvl w:val="0"/>
    </w:pPr>
    <w:rPr>
      <w:b/>
      <w:bCs/>
      <w:caps/>
      <w:kern w:val="32"/>
      <w:szCs w:val="32"/>
    </w:rPr>
  </w:style>
  <w:style w:type="paragraph" w:styleId="Heading2">
    <w:name w:val="heading 2"/>
    <w:basedOn w:val="Normal"/>
    <w:next w:val="Normal"/>
    <w:qFormat/>
    <w:rsid w:val="009C3A49"/>
    <w:pPr>
      <w:keepNext/>
      <w:spacing w:before="240" w:after="60"/>
      <w:outlineLvl w:val="1"/>
    </w:pPr>
    <w:rPr>
      <w:bCs/>
      <w:iCs/>
      <w:caps/>
      <w:szCs w:val="28"/>
    </w:rPr>
  </w:style>
  <w:style w:type="paragraph" w:styleId="Heading3">
    <w:name w:val="heading 3"/>
    <w:basedOn w:val="Normal"/>
    <w:next w:val="Normal"/>
    <w:qFormat/>
    <w:rsid w:val="009C3A49"/>
    <w:pPr>
      <w:keepNext/>
      <w:spacing w:before="240" w:after="60"/>
      <w:outlineLvl w:val="2"/>
    </w:pPr>
    <w:rPr>
      <w:bCs/>
      <w:szCs w:val="26"/>
      <w:u w:val="single"/>
    </w:rPr>
  </w:style>
  <w:style w:type="paragraph" w:styleId="Heading4">
    <w:name w:val="heading 4"/>
    <w:basedOn w:val="Normal"/>
    <w:next w:val="Normal"/>
    <w:qFormat/>
    <w:rsid w:val="009C3A49"/>
    <w:pPr>
      <w:keepNext/>
      <w:spacing w:before="240" w:after="60"/>
      <w:ind w:left="1134" w:hanging="567"/>
      <w:outlineLvl w:val="3"/>
    </w:pPr>
    <w:rPr>
      <w:bCs/>
      <w:i/>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9C3A49"/>
    <w:pPr>
      <w:ind w:left="5534"/>
    </w:pPr>
    <w:rPr>
      <w:lang w:val="en-US"/>
    </w:rPr>
  </w:style>
  <w:style w:type="paragraph" w:styleId="BodyText">
    <w:name w:val="Body Text"/>
    <w:basedOn w:val="Normal"/>
    <w:rsid w:val="009C3A49"/>
    <w:pPr>
      <w:spacing w:after="220"/>
    </w:pPr>
  </w:style>
  <w:style w:type="paragraph" w:styleId="Caption">
    <w:name w:val="caption"/>
    <w:basedOn w:val="Normal"/>
    <w:next w:val="Normal"/>
    <w:qFormat/>
    <w:rsid w:val="009C3A49"/>
    <w:rPr>
      <w:b/>
      <w:bCs/>
      <w:sz w:val="18"/>
    </w:rPr>
  </w:style>
  <w:style w:type="paragraph" w:styleId="CommentText">
    <w:name w:val="annotation text"/>
    <w:basedOn w:val="Normal"/>
    <w:semiHidden/>
    <w:rsid w:val="009C3A49"/>
    <w:rPr>
      <w:sz w:val="18"/>
    </w:rPr>
  </w:style>
  <w:style w:type="paragraph" w:styleId="EndnoteText">
    <w:name w:val="endnote text"/>
    <w:basedOn w:val="Normal"/>
    <w:semiHidden/>
    <w:rsid w:val="009C3A49"/>
    <w:rPr>
      <w:sz w:val="18"/>
    </w:rPr>
  </w:style>
  <w:style w:type="paragraph" w:styleId="Footer">
    <w:name w:val="footer"/>
    <w:basedOn w:val="Normal"/>
    <w:semiHidden/>
    <w:rsid w:val="009C3A49"/>
    <w:pPr>
      <w:tabs>
        <w:tab w:val="center" w:pos="4320"/>
        <w:tab w:val="right" w:pos="8640"/>
      </w:tabs>
    </w:pPr>
  </w:style>
  <w:style w:type="paragraph" w:styleId="FootnoteText">
    <w:name w:val="footnote text"/>
    <w:basedOn w:val="Normal"/>
    <w:link w:val="FootnoteTextChar"/>
    <w:semiHidden/>
    <w:rsid w:val="009C3A49"/>
    <w:rPr>
      <w:sz w:val="18"/>
    </w:rPr>
  </w:style>
  <w:style w:type="paragraph" w:styleId="Header">
    <w:name w:val="header"/>
    <w:basedOn w:val="Normal"/>
    <w:semiHidden/>
    <w:rsid w:val="009C3A49"/>
    <w:pPr>
      <w:tabs>
        <w:tab w:val="center" w:pos="4536"/>
        <w:tab w:val="right" w:pos="9072"/>
      </w:tabs>
    </w:pPr>
  </w:style>
  <w:style w:type="paragraph" w:styleId="ListNumber">
    <w:name w:val="List Number"/>
    <w:basedOn w:val="Normal"/>
    <w:semiHidden/>
    <w:rsid w:val="009C3A49"/>
    <w:pPr>
      <w:numPr>
        <w:numId w:val="13"/>
      </w:numPr>
    </w:pPr>
  </w:style>
  <w:style w:type="paragraph" w:customStyle="1" w:styleId="ONUME">
    <w:name w:val="ONUM E"/>
    <w:basedOn w:val="BodyText"/>
    <w:rsid w:val="009C3A49"/>
    <w:pPr>
      <w:numPr>
        <w:numId w:val="14"/>
      </w:numPr>
    </w:pPr>
  </w:style>
  <w:style w:type="paragraph" w:customStyle="1" w:styleId="ONUMFS">
    <w:name w:val="ONUM FS"/>
    <w:basedOn w:val="BodyText"/>
    <w:rsid w:val="009C3A49"/>
    <w:pPr>
      <w:numPr>
        <w:numId w:val="15"/>
      </w:numPr>
    </w:pPr>
  </w:style>
  <w:style w:type="paragraph" w:styleId="Salutation">
    <w:name w:val="Salutation"/>
    <w:basedOn w:val="Normal"/>
    <w:next w:val="Normal"/>
    <w:semiHidden/>
    <w:rsid w:val="009C3A49"/>
  </w:style>
  <w:style w:type="paragraph" w:styleId="Signature">
    <w:name w:val="Signature"/>
    <w:basedOn w:val="Normal"/>
    <w:semiHidden/>
    <w:rsid w:val="009C3A49"/>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1D5C94"/>
    <w:rPr>
      <w:rFonts w:ascii="Arial" w:eastAsia="SimSun" w:hAnsi="Arial" w:cs="Arial"/>
      <w:sz w:val="18"/>
      <w:lang w:val="fr-CH" w:eastAsia="zh-CN"/>
    </w:rPr>
  </w:style>
  <w:style w:type="character" w:styleId="EndnoteReference">
    <w:name w:val="endnote reference"/>
    <w:basedOn w:val="DefaultParagraphFont"/>
    <w:semiHidden/>
    <w:unhideWhenUsed/>
    <w:rsid w:val="003E5DCB"/>
    <w:rPr>
      <w:vertAlign w:val="superscript"/>
    </w:rPr>
  </w:style>
  <w:style w:type="paragraph" w:styleId="ListParagraph">
    <w:name w:val="List Paragraph"/>
    <w:basedOn w:val="Normal"/>
    <w:uiPriority w:val="34"/>
    <w:qFormat/>
    <w:rsid w:val="009C3A49"/>
    <w:pPr>
      <w:ind w:left="720"/>
      <w:contextualSpacing/>
    </w:pPr>
  </w:style>
  <w:style w:type="paragraph" w:customStyle="1" w:styleId="Meetingplacedate">
    <w:name w:val="Meeting place &amp; date"/>
    <w:basedOn w:val="Normal"/>
    <w:next w:val="Normal"/>
    <w:rsid w:val="009C3A49"/>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C3A49"/>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4D68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DDB2-F932-45C5-8594-60F70194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2383</Words>
  <Characters>13589</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6</cp:revision>
  <cp:lastPrinted>2019-05-23T14:30:00Z</cp:lastPrinted>
  <dcterms:created xsi:type="dcterms:W3CDTF">2019-06-06T13:00:00Z</dcterms:created>
  <dcterms:modified xsi:type="dcterms:W3CDTF">2019-06-07T14:00:00Z</dcterms:modified>
</cp:coreProperties>
</file>