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7C4598" w:rsidTr="0088395E">
        <w:tc>
          <w:tcPr>
            <w:tcW w:w="4513" w:type="dxa"/>
            <w:tcBorders>
              <w:bottom w:val="single" w:sz="4" w:space="0" w:color="auto"/>
            </w:tcBorders>
            <w:tcMar>
              <w:bottom w:w="170" w:type="dxa"/>
            </w:tcMar>
          </w:tcPr>
          <w:p w:rsidR="00C54E9A" w:rsidRPr="00083754" w:rsidRDefault="00C54E9A" w:rsidP="00C54E9A">
            <w:pPr>
              <w:jc w:val="center"/>
              <w:rPr>
                <w:lang w:val="en-US"/>
              </w:rPr>
            </w:pPr>
          </w:p>
          <w:p w:rsidR="00E504E5" w:rsidRPr="00083754" w:rsidRDefault="00E504E5" w:rsidP="00AB613D">
            <w:pPr>
              <w:rPr>
                <w:lang w:val="en-US"/>
              </w:rPr>
            </w:pPr>
          </w:p>
        </w:tc>
        <w:tc>
          <w:tcPr>
            <w:tcW w:w="4337" w:type="dxa"/>
            <w:tcBorders>
              <w:bottom w:val="single" w:sz="4" w:space="0" w:color="auto"/>
            </w:tcBorders>
            <w:tcMar>
              <w:left w:w="0" w:type="dxa"/>
              <w:right w:w="0" w:type="dxa"/>
            </w:tcMar>
          </w:tcPr>
          <w:p w:rsidR="00E504E5" w:rsidRPr="007C4598" w:rsidRDefault="002C2E2F" w:rsidP="00AB613D">
            <w:pPr>
              <w:rPr>
                <w:lang w:val="es-419"/>
              </w:rPr>
            </w:pPr>
            <w:r w:rsidRPr="007C4598">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C4598" w:rsidRDefault="00E504E5" w:rsidP="00AB613D">
            <w:pPr>
              <w:jc w:val="right"/>
              <w:rPr>
                <w:lang w:val="es-419"/>
              </w:rPr>
            </w:pPr>
            <w:r w:rsidRPr="007C4598">
              <w:rPr>
                <w:b/>
                <w:sz w:val="40"/>
                <w:szCs w:val="40"/>
                <w:lang w:val="es-419"/>
              </w:rPr>
              <w:t>S</w:t>
            </w:r>
          </w:p>
        </w:tc>
      </w:tr>
      <w:tr w:rsidR="008B2CC1" w:rsidRPr="007C4598"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7C4598" w:rsidRDefault="00426002" w:rsidP="00AB613D">
            <w:pPr>
              <w:jc w:val="right"/>
              <w:rPr>
                <w:rFonts w:ascii="Arial Black" w:hAnsi="Arial Black"/>
                <w:caps/>
                <w:sz w:val="15"/>
                <w:lang w:val="es-419"/>
              </w:rPr>
            </w:pPr>
            <w:r w:rsidRPr="007C4598">
              <w:rPr>
                <w:rFonts w:ascii="Arial Black" w:hAnsi="Arial Black"/>
                <w:caps/>
                <w:sz w:val="15"/>
                <w:lang w:val="es-419"/>
              </w:rPr>
              <w:t>h/ld/wg/8/</w:t>
            </w:r>
            <w:bookmarkStart w:id="0" w:name="Code"/>
            <w:bookmarkEnd w:id="0"/>
            <w:r w:rsidR="005D5D88" w:rsidRPr="007C4598">
              <w:rPr>
                <w:rFonts w:ascii="Arial Black" w:hAnsi="Arial Black"/>
                <w:caps/>
                <w:sz w:val="15"/>
                <w:lang w:val="es-419"/>
              </w:rPr>
              <w:t>3</w:t>
            </w:r>
          </w:p>
        </w:tc>
      </w:tr>
      <w:tr w:rsidR="008B2CC1" w:rsidRPr="007C4598" w:rsidTr="00AB613D">
        <w:trPr>
          <w:trHeight w:hRule="exact" w:val="170"/>
        </w:trPr>
        <w:tc>
          <w:tcPr>
            <w:tcW w:w="9356" w:type="dxa"/>
            <w:gridSpan w:val="3"/>
            <w:noWrap/>
            <w:tcMar>
              <w:left w:w="0" w:type="dxa"/>
              <w:right w:w="0" w:type="dxa"/>
            </w:tcMar>
            <w:vAlign w:val="bottom"/>
          </w:tcPr>
          <w:p w:rsidR="008B2CC1" w:rsidRPr="007C4598" w:rsidRDefault="008B2CC1" w:rsidP="005D5D88">
            <w:pPr>
              <w:jc w:val="right"/>
              <w:rPr>
                <w:rFonts w:ascii="Arial Black" w:hAnsi="Arial Black"/>
                <w:caps/>
                <w:sz w:val="15"/>
                <w:lang w:val="es-419"/>
              </w:rPr>
            </w:pPr>
            <w:r w:rsidRPr="007C4598">
              <w:rPr>
                <w:rFonts w:ascii="Arial Black" w:hAnsi="Arial Black"/>
                <w:caps/>
                <w:sz w:val="15"/>
                <w:lang w:val="es-419"/>
              </w:rPr>
              <w:t>ORIGINAL:</w:t>
            </w:r>
            <w:r w:rsidR="009A20CD" w:rsidRPr="007C4598">
              <w:rPr>
                <w:rFonts w:ascii="Arial Black" w:hAnsi="Arial Black"/>
                <w:caps/>
                <w:sz w:val="15"/>
                <w:lang w:val="es-419"/>
              </w:rPr>
              <w:t xml:space="preserve"> </w:t>
            </w:r>
            <w:bookmarkStart w:id="1" w:name="Original"/>
            <w:bookmarkEnd w:id="1"/>
            <w:r w:rsidR="005D5D88" w:rsidRPr="007C4598">
              <w:rPr>
                <w:rFonts w:ascii="Arial Black" w:hAnsi="Arial Black"/>
                <w:caps/>
                <w:sz w:val="15"/>
                <w:lang w:val="es-419"/>
              </w:rPr>
              <w:t>INGLÉS</w:t>
            </w:r>
            <w:r w:rsidRPr="007C4598">
              <w:rPr>
                <w:rFonts w:ascii="Arial Black" w:hAnsi="Arial Black"/>
                <w:caps/>
                <w:sz w:val="15"/>
                <w:lang w:val="es-419"/>
              </w:rPr>
              <w:t xml:space="preserve"> </w:t>
            </w:r>
          </w:p>
        </w:tc>
      </w:tr>
      <w:tr w:rsidR="008B2CC1" w:rsidRPr="007C4598" w:rsidTr="00AB613D">
        <w:trPr>
          <w:trHeight w:hRule="exact" w:val="198"/>
        </w:trPr>
        <w:tc>
          <w:tcPr>
            <w:tcW w:w="9356" w:type="dxa"/>
            <w:gridSpan w:val="3"/>
            <w:tcMar>
              <w:left w:w="0" w:type="dxa"/>
              <w:right w:w="0" w:type="dxa"/>
            </w:tcMar>
            <w:vAlign w:val="bottom"/>
          </w:tcPr>
          <w:p w:rsidR="008B2CC1" w:rsidRPr="007C4598" w:rsidRDefault="00675021" w:rsidP="005D5D88">
            <w:pPr>
              <w:jc w:val="right"/>
              <w:rPr>
                <w:rFonts w:ascii="Arial Black" w:hAnsi="Arial Black"/>
                <w:caps/>
                <w:sz w:val="15"/>
                <w:lang w:val="es-419"/>
              </w:rPr>
            </w:pPr>
            <w:r w:rsidRPr="007C4598">
              <w:rPr>
                <w:rFonts w:ascii="Arial Black" w:hAnsi="Arial Black"/>
                <w:caps/>
                <w:sz w:val="15"/>
                <w:lang w:val="es-419"/>
              </w:rPr>
              <w:t>fecha</w:t>
            </w:r>
            <w:r w:rsidR="008B2CC1" w:rsidRPr="007C4598">
              <w:rPr>
                <w:rFonts w:ascii="Arial Black" w:hAnsi="Arial Black"/>
                <w:caps/>
                <w:sz w:val="15"/>
                <w:lang w:val="es-419"/>
              </w:rPr>
              <w:t>:</w:t>
            </w:r>
            <w:r w:rsidR="009A20CD" w:rsidRPr="007C4598">
              <w:rPr>
                <w:rFonts w:ascii="Arial Black" w:hAnsi="Arial Black"/>
                <w:caps/>
                <w:sz w:val="15"/>
                <w:lang w:val="es-419"/>
              </w:rPr>
              <w:t xml:space="preserve"> </w:t>
            </w:r>
            <w:bookmarkStart w:id="2" w:name="Date"/>
            <w:bookmarkEnd w:id="2"/>
            <w:r w:rsidR="005D5D88" w:rsidRPr="007C4598">
              <w:rPr>
                <w:rFonts w:ascii="Arial Black" w:hAnsi="Arial Black"/>
                <w:caps/>
                <w:sz w:val="15"/>
                <w:lang w:val="es-419"/>
              </w:rPr>
              <w:t>29 DE AGOSTO DE 2019</w:t>
            </w:r>
            <w:r w:rsidR="008B2CC1" w:rsidRPr="007C4598">
              <w:rPr>
                <w:rFonts w:ascii="Arial Black" w:hAnsi="Arial Black"/>
                <w:caps/>
                <w:sz w:val="15"/>
                <w:lang w:val="es-419"/>
              </w:rPr>
              <w:t xml:space="preserve"> </w:t>
            </w:r>
          </w:p>
        </w:tc>
      </w:tr>
    </w:tbl>
    <w:p w:rsidR="008B2CC1" w:rsidRPr="007C4598" w:rsidRDefault="008B2CC1" w:rsidP="008B2CC1">
      <w:pPr>
        <w:rPr>
          <w:lang w:val="es-419"/>
        </w:rPr>
      </w:pPr>
    </w:p>
    <w:p w:rsidR="008B2CC1" w:rsidRPr="007C4598" w:rsidRDefault="008B2CC1" w:rsidP="008B2CC1">
      <w:pPr>
        <w:rPr>
          <w:lang w:val="es-419"/>
        </w:rPr>
      </w:pPr>
    </w:p>
    <w:p w:rsidR="008B2CC1" w:rsidRPr="007C4598" w:rsidRDefault="008B2CC1" w:rsidP="008B2CC1">
      <w:pPr>
        <w:rPr>
          <w:lang w:val="es-419"/>
        </w:rPr>
      </w:pPr>
    </w:p>
    <w:p w:rsidR="008B2CC1" w:rsidRPr="007C4598" w:rsidRDefault="008B2CC1" w:rsidP="008B2CC1">
      <w:pPr>
        <w:rPr>
          <w:lang w:val="es-419"/>
        </w:rPr>
      </w:pPr>
    </w:p>
    <w:p w:rsidR="008B2CC1" w:rsidRPr="007C4598" w:rsidRDefault="008B2CC1" w:rsidP="008B2CC1">
      <w:pPr>
        <w:rPr>
          <w:lang w:val="es-419"/>
        </w:rPr>
      </w:pPr>
    </w:p>
    <w:p w:rsidR="00B67CDC" w:rsidRPr="007C4598" w:rsidRDefault="00426002" w:rsidP="00B67CDC">
      <w:pPr>
        <w:rPr>
          <w:b/>
          <w:sz w:val="28"/>
          <w:szCs w:val="28"/>
          <w:lang w:val="es-419"/>
        </w:rPr>
      </w:pPr>
      <w:r w:rsidRPr="007C4598">
        <w:rPr>
          <w:b/>
          <w:sz w:val="28"/>
          <w:szCs w:val="28"/>
          <w:lang w:val="es-419"/>
        </w:rPr>
        <w:t>Grupo de Trabajo sobre el Desarrollo Jurídico del Sistema de La Haya para el Registro Internacional de Dibujos y Modelos Industriales</w:t>
      </w:r>
    </w:p>
    <w:p w:rsidR="003845C1" w:rsidRPr="007C4598" w:rsidRDefault="003845C1" w:rsidP="003845C1">
      <w:pPr>
        <w:rPr>
          <w:lang w:val="es-419"/>
        </w:rPr>
      </w:pPr>
    </w:p>
    <w:p w:rsidR="003845C1" w:rsidRPr="007C4598" w:rsidRDefault="003845C1" w:rsidP="003845C1">
      <w:pPr>
        <w:rPr>
          <w:lang w:val="es-419"/>
        </w:rPr>
      </w:pPr>
    </w:p>
    <w:p w:rsidR="00B67CDC" w:rsidRPr="007C4598" w:rsidRDefault="00426002" w:rsidP="00B67CDC">
      <w:pPr>
        <w:rPr>
          <w:b/>
          <w:sz w:val="24"/>
          <w:szCs w:val="24"/>
          <w:lang w:val="es-419"/>
        </w:rPr>
      </w:pPr>
      <w:r w:rsidRPr="007C4598">
        <w:rPr>
          <w:b/>
          <w:sz w:val="24"/>
          <w:szCs w:val="24"/>
          <w:lang w:val="es-419"/>
        </w:rPr>
        <w:t>Octava reunión</w:t>
      </w:r>
    </w:p>
    <w:p w:rsidR="00B67CDC" w:rsidRPr="007C4598" w:rsidRDefault="00426002" w:rsidP="00B67CDC">
      <w:pPr>
        <w:rPr>
          <w:b/>
          <w:sz w:val="24"/>
          <w:szCs w:val="24"/>
          <w:lang w:val="es-419"/>
        </w:rPr>
      </w:pPr>
      <w:r w:rsidRPr="007C4598">
        <w:rPr>
          <w:b/>
          <w:sz w:val="24"/>
          <w:szCs w:val="24"/>
          <w:lang w:val="es-419"/>
        </w:rPr>
        <w:t>Ginebra, 30 de octubre a 1 de noviembre de 2019</w:t>
      </w:r>
    </w:p>
    <w:p w:rsidR="005D5D88" w:rsidRPr="007C4598" w:rsidRDefault="005D5D88" w:rsidP="005D5D88">
      <w:pPr>
        <w:spacing w:before="720"/>
        <w:rPr>
          <w:caps/>
          <w:sz w:val="24"/>
          <w:lang w:val="es-419"/>
        </w:rPr>
      </w:pPr>
      <w:bookmarkStart w:id="3" w:name="TitleOfDoc"/>
      <w:bookmarkEnd w:id="3"/>
      <w:r w:rsidRPr="007C4598">
        <w:rPr>
          <w:caps/>
          <w:sz w:val="24"/>
          <w:lang w:val="es-419"/>
        </w:rPr>
        <w:t>SITUACIÓN DEL ACTA DE 1960</w:t>
      </w:r>
    </w:p>
    <w:p w:rsidR="005D5D88" w:rsidRPr="007C4598" w:rsidRDefault="005D5D88" w:rsidP="005D5D88">
      <w:pPr>
        <w:spacing w:before="240" w:after="960"/>
        <w:rPr>
          <w:i/>
          <w:lang w:val="es-419"/>
        </w:rPr>
      </w:pPr>
      <w:bookmarkStart w:id="4" w:name="Prepared"/>
      <w:bookmarkEnd w:id="4"/>
      <w:r w:rsidRPr="007C4598">
        <w:rPr>
          <w:i/>
          <w:lang w:val="es-419"/>
        </w:rPr>
        <w:t>Documento preparado por la Oficina Internacional</w:t>
      </w:r>
    </w:p>
    <w:p w:rsidR="005D5D88" w:rsidRPr="007C4598" w:rsidRDefault="005D5D88" w:rsidP="005D5D88">
      <w:pPr>
        <w:pStyle w:val="Heading1"/>
        <w:spacing w:after="240"/>
        <w:rPr>
          <w:lang w:val="es-419"/>
        </w:rPr>
      </w:pPr>
      <w:r w:rsidRPr="007C4598">
        <w:rPr>
          <w:lang w:val="es-419"/>
        </w:rPr>
        <w:t>I.</w:t>
      </w:r>
      <w:r w:rsidRPr="007C4598">
        <w:rPr>
          <w:lang w:val="es-419"/>
        </w:rPr>
        <w:tab/>
        <w:t>INTRODUCCIÓN</w:t>
      </w:r>
    </w:p>
    <w:p w:rsidR="005D5D88" w:rsidRPr="007C4598" w:rsidRDefault="005D5D88" w:rsidP="00946E57">
      <w:pPr>
        <w:pStyle w:val="ONUMFS"/>
        <w:rPr>
          <w:lang w:val="es-419" w:eastAsia="en-US"/>
        </w:rPr>
      </w:pPr>
      <w:r w:rsidRPr="007C4598">
        <w:rPr>
          <w:lang w:val="es-419" w:eastAsia="en-US"/>
        </w:rPr>
        <w:t>El Arreglo de La Haya relativo al Registro Internacional de Dibujos y Modelos Industriales (en adelante denominado “Arreglo de La Haya”) comprende actualmente dos actas distintas, a saber, el Acta de La Haya (1960), que fue aprobada el 28 de noviembre de 1960 (en adelante denominada “Acta de 1960”</w:t>
      </w:r>
      <w:proofErr w:type="gramStart"/>
      <w:r w:rsidRPr="007C4598">
        <w:rPr>
          <w:lang w:val="es-419" w:eastAsia="en-US"/>
        </w:rPr>
        <w:t xml:space="preserve">); </w:t>
      </w:r>
      <w:r w:rsidR="009761ED">
        <w:rPr>
          <w:lang w:val="es-419" w:eastAsia="en-US"/>
        </w:rPr>
        <w:t xml:space="preserve"> </w:t>
      </w:r>
      <w:r w:rsidRPr="007C4598">
        <w:rPr>
          <w:lang w:val="es-419" w:eastAsia="en-US"/>
        </w:rPr>
        <w:t>y</w:t>
      </w:r>
      <w:proofErr w:type="gramEnd"/>
      <w:r w:rsidRPr="007C4598">
        <w:rPr>
          <w:lang w:val="es-419" w:eastAsia="en-US"/>
        </w:rPr>
        <w:t xml:space="preserve"> el Acta de Ginebra (1999), que fue aprobada el</w:t>
      </w:r>
      <w:r w:rsidR="00F11CFC">
        <w:rPr>
          <w:lang w:val="es-419" w:eastAsia="en-US"/>
        </w:rPr>
        <w:t> </w:t>
      </w:r>
      <w:r w:rsidRPr="007C4598">
        <w:rPr>
          <w:lang w:val="es-419" w:eastAsia="en-US"/>
        </w:rPr>
        <w:t>2</w:t>
      </w:r>
      <w:r w:rsidR="00F11CFC">
        <w:rPr>
          <w:lang w:val="es-419" w:eastAsia="en-US"/>
        </w:rPr>
        <w:t> </w:t>
      </w:r>
      <w:r w:rsidRPr="007C4598">
        <w:rPr>
          <w:lang w:val="es-419" w:eastAsia="en-US"/>
        </w:rPr>
        <w:t>de</w:t>
      </w:r>
      <w:r w:rsidR="00F11CFC">
        <w:rPr>
          <w:lang w:val="es-419" w:eastAsia="en-US"/>
        </w:rPr>
        <w:t> </w:t>
      </w:r>
      <w:r w:rsidRPr="007C4598">
        <w:rPr>
          <w:lang w:val="es-419" w:eastAsia="en-US"/>
        </w:rPr>
        <w:t>julio</w:t>
      </w:r>
      <w:r w:rsidR="00F11CFC">
        <w:rPr>
          <w:lang w:val="es-419" w:eastAsia="en-US"/>
        </w:rPr>
        <w:t> </w:t>
      </w:r>
      <w:r w:rsidRPr="007C4598">
        <w:rPr>
          <w:lang w:val="es-419" w:eastAsia="en-US"/>
        </w:rPr>
        <w:t>de</w:t>
      </w:r>
      <w:r w:rsidR="00F11CFC">
        <w:rPr>
          <w:lang w:val="es-419" w:eastAsia="en-US"/>
        </w:rPr>
        <w:t> </w:t>
      </w:r>
      <w:r w:rsidRPr="007C4598">
        <w:rPr>
          <w:lang w:val="es-419" w:eastAsia="en-US"/>
        </w:rPr>
        <w:t>1999 (en adelante denominada “Acta de 1999”).</w:t>
      </w:r>
    </w:p>
    <w:p w:rsidR="005D5D88" w:rsidRPr="007C4598" w:rsidRDefault="005D5D88" w:rsidP="00946E57">
      <w:pPr>
        <w:pStyle w:val="ONUMFS"/>
        <w:rPr>
          <w:lang w:val="es-419" w:eastAsia="en-US"/>
        </w:rPr>
      </w:pPr>
      <w:r w:rsidRPr="007C4598">
        <w:rPr>
          <w:lang w:val="es-419" w:eastAsia="en-US"/>
        </w:rPr>
        <w:t>La finalidad del presente documento es poner al día al Grupo de Trabajo sobre el Desarrollo Jurídico del Sistema de La Haya para el Registro Internacional de Dibujos y Modelos Industriales (en adelante denominado “Grupo de Trabajo”) sobre la situación del Acta de 1960 a título informativo y para su posible consideración en relación con la evolución a largo plazo del marco jurídico del Sistema de La Haya.</w:t>
      </w:r>
    </w:p>
    <w:p w:rsidR="005D5D88" w:rsidRPr="007C4598" w:rsidRDefault="005D5D88" w:rsidP="005D5D88">
      <w:pPr>
        <w:pStyle w:val="Heading1"/>
        <w:spacing w:before="480" w:after="240"/>
        <w:rPr>
          <w:lang w:val="es-419"/>
        </w:rPr>
      </w:pPr>
      <w:r w:rsidRPr="007C4598">
        <w:rPr>
          <w:caps w:val="0"/>
          <w:lang w:val="es-419"/>
        </w:rPr>
        <w:t>II.</w:t>
      </w:r>
      <w:r w:rsidRPr="007C4598">
        <w:rPr>
          <w:caps w:val="0"/>
          <w:lang w:val="es-419"/>
        </w:rPr>
        <w:tab/>
        <w:t>MIEMBROS ACTUALES DEL ARREGLO DE LA HAYA</w:t>
      </w:r>
    </w:p>
    <w:p w:rsidR="005D5D88" w:rsidRPr="007C4598" w:rsidRDefault="005D5D88" w:rsidP="00946E57">
      <w:pPr>
        <w:pStyle w:val="ONUMFS"/>
        <w:rPr>
          <w:lang w:val="es-419" w:eastAsia="en-US"/>
        </w:rPr>
      </w:pPr>
      <w:r w:rsidRPr="007C4598">
        <w:rPr>
          <w:lang w:val="es-419"/>
        </w:rPr>
        <w:t xml:space="preserve">Desde su entrada en funcionamiento el 1 de abril de 2004, el número de miembros del Acta de 1999 ha superado rápidamente </w:t>
      </w:r>
      <w:r w:rsidR="00E47BA9" w:rsidRPr="007C4598">
        <w:rPr>
          <w:lang w:val="es-419"/>
        </w:rPr>
        <w:t>a</w:t>
      </w:r>
      <w:r w:rsidRPr="007C4598">
        <w:rPr>
          <w:lang w:val="es-419"/>
        </w:rPr>
        <w:t xml:space="preserve">l </w:t>
      </w:r>
      <w:r w:rsidR="00F522EC" w:rsidRPr="007C4598">
        <w:rPr>
          <w:lang w:val="es-419"/>
        </w:rPr>
        <w:t xml:space="preserve">número de miembros </w:t>
      </w:r>
      <w:r w:rsidRPr="007C4598">
        <w:rPr>
          <w:lang w:val="es-419"/>
        </w:rPr>
        <w:t xml:space="preserve">del Acta de 1960, </w:t>
      </w:r>
      <w:r w:rsidR="00F522EC" w:rsidRPr="007C4598">
        <w:rPr>
          <w:lang w:val="es-419"/>
        </w:rPr>
        <w:t xml:space="preserve">cuyos </w:t>
      </w:r>
      <w:r w:rsidRPr="007C4598">
        <w:rPr>
          <w:lang w:val="es-419"/>
        </w:rPr>
        <w:t xml:space="preserve">miembros </w:t>
      </w:r>
      <w:r w:rsidR="00E47BA9" w:rsidRPr="007C4598">
        <w:rPr>
          <w:lang w:val="es-419"/>
        </w:rPr>
        <w:t xml:space="preserve">coinciden </w:t>
      </w:r>
      <w:r w:rsidRPr="007C4598">
        <w:rPr>
          <w:lang w:val="es-419"/>
        </w:rPr>
        <w:t>en gran medida</w:t>
      </w:r>
      <w:r w:rsidR="00F522EC" w:rsidRPr="007C4598">
        <w:rPr>
          <w:lang w:val="es-419"/>
        </w:rPr>
        <w:t xml:space="preserve"> con los del Acta de 1999</w:t>
      </w:r>
      <w:r w:rsidRPr="007C4598">
        <w:rPr>
          <w:lang w:val="es-419"/>
        </w:rPr>
        <w:t xml:space="preserve">. </w:t>
      </w:r>
      <w:r w:rsidR="009761ED">
        <w:rPr>
          <w:lang w:val="es-419"/>
        </w:rPr>
        <w:t xml:space="preserve"> </w:t>
      </w:r>
      <w:r w:rsidRPr="007C4598">
        <w:rPr>
          <w:lang w:val="es-419"/>
        </w:rPr>
        <w:t>Además de los 11 Estados iniciales cuya ratificación o adhesión permitió que el Acta de 1999 entrara en vigor</w:t>
      </w:r>
      <w:r w:rsidRPr="007C4598">
        <w:rPr>
          <w:rStyle w:val="FootnoteReference"/>
          <w:lang w:val="es-419"/>
        </w:rPr>
        <w:footnoteReference w:id="2"/>
      </w:r>
      <w:r w:rsidR="00083754">
        <w:rPr>
          <w:lang w:val="es-419"/>
        </w:rPr>
        <w:t>,</w:t>
      </w:r>
      <w:r w:rsidRPr="007C4598">
        <w:rPr>
          <w:lang w:val="es-419"/>
        </w:rPr>
        <w:t xml:space="preserve"> 47 otros Estados se han sumado a ella (algunos de los cuales ya eran parte en el Acta de 1960). </w:t>
      </w:r>
      <w:r w:rsidRPr="007C4598">
        <w:rPr>
          <w:lang w:val="es-419"/>
        </w:rPr>
        <w:lastRenderedPageBreak/>
        <w:t>Por</w:t>
      </w:r>
      <w:r w:rsidR="00083754">
        <w:rPr>
          <w:lang w:val="es-419"/>
        </w:rPr>
        <w:t> </w:t>
      </w:r>
      <w:r w:rsidRPr="007C4598">
        <w:rPr>
          <w:lang w:val="es-419"/>
        </w:rPr>
        <w:t>otro lado, dos organizaciones intergubernamentales, la Organización Africana de la Propiedad Intelectual (OAPI) y la Unión Europea</w:t>
      </w:r>
      <w:r w:rsidR="00B875B3">
        <w:rPr>
          <w:lang w:val="es-419"/>
        </w:rPr>
        <w:t xml:space="preserve"> que al día de hoy abarcan conjuntamente</w:t>
      </w:r>
      <w:r w:rsidRPr="007C4598">
        <w:rPr>
          <w:lang w:val="es-419"/>
        </w:rPr>
        <w:t xml:space="preserve"> los territorios de 45 Estados, son parte en el Acta de 1999.</w:t>
      </w:r>
    </w:p>
    <w:p w:rsidR="005D5D88" w:rsidRPr="007C4598" w:rsidRDefault="00B875B3" w:rsidP="00946E57">
      <w:pPr>
        <w:pStyle w:val="ONUMFS"/>
        <w:rPr>
          <w:lang w:val="es-419"/>
        </w:rPr>
      </w:pPr>
      <w:r>
        <w:rPr>
          <w:lang w:val="es-419"/>
        </w:rPr>
        <w:t>En cambio</w:t>
      </w:r>
      <w:r w:rsidR="005D5D88" w:rsidRPr="007C4598">
        <w:rPr>
          <w:lang w:val="es-419"/>
        </w:rPr>
        <w:t>, si bien el Acta de 1960 sigue abierta a los Estados parte en el Convenio de París para la Protección de la Propiedad Industrial, desde 2007 no ha habido ninguna ratificación o adhesión</w:t>
      </w:r>
      <w:r w:rsidR="005D5D88" w:rsidRPr="007C4598">
        <w:rPr>
          <w:rStyle w:val="FootnoteReference"/>
          <w:lang w:val="es-419"/>
        </w:rPr>
        <w:footnoteReference w:id="3"/>
      </w:r>
      <w:r w:rsidR="00083754">
        <w:rPr>
          <w:lang w:val="es-419"/>
        </w:rPr>
        <w:t>.</w:t>
      </w:r>
    </w:p>
    <w:p w:rsidR="005D5D88" w:rsidRPr="007C4598" w:rsidRDefault="005D5D88" w:rsidP="00946E57">
      <w:pPr>
        <w:pStyle w:val="ONUMFS"/>
        <w:rPr>
          <w:lang w:val="es-419"/>
        </w:rPr>
      </w:pPr>
      <w:r w:rsidRPr="007C4598">
        <w:rPr>
          <w:lang w:val="es-419"/>
        </w:rPr>
        <w:t xml:space="preserve">A la fecha del presente documento, el número total de Partes Contratantes del Arreglo de La Haya es de </w:t>
      </w:r>
      <w:r w:rsidR="00F522EC" w:rsidRPr="007C4598">
        <w:rPr>
          <w:lang w:val="es-419"/>
        </w:rPr>
        <w:t xml:space="preserve">70. </w:t>
      </w:r>
      <w:r w:rsidR="009761ED">
        <w:rPr>
          <w:lang w:val="es-419"/>
        </w:rPr>
        <w:t xml:space="preserve"> </w:t>
      </w:r>
      <w:r w:rsidR="00F522EC" w:rsidRPr="007C4598">
        <w:rPr>
          <w:lang w:val="es-419"/>
        </w:rPr>
        <w:t>En los Anexos I y II figuran</w:t>
      </w:r>
      <w:r w:rsidRPr="007C4598">
        <w:rPr>
          <w:lang w:val="es-419"/>
        </w:rPr>
        <w:t xml:space="preserve"> una lista de los miembros de la Unión de La Haya y un gráfico con el número de Partes Contratantes de conformidad con el acta más reciente. </w:t>
      </w:r>
      <w:r w:rsidR="009761ED">
        <w:rPr>
          <w:lang w:val="es-419"/>
        </w:rPr>
        <w:t xml:space="preserve"> </w:t>
      </w:r>
      <w:r w:rsidRPr="007C4598">
        <w:rPr>
          <w:lang w:val="es-419"/>
        </w:rPr>
        <w:t>El total de miembros puede clasificarse de la siguiente manera:</w:t>
      </w:r>
    </w:p>
    <w:p w:rsidR="005D5D88" w:rsidRPr="007C4598" w:rsidRDefault="005D5D88" w:rsidP="00946E57">
      <w:pPr>
        <w:pStyle w:val="ONUMFS"/>
        <w:numPr>
          <w:ilvl w:val="0"/>
          <w:numId w:val="8"/>
        </w:numPr>
        <w:ind w:left="567"/>
        <w:rPr>
          <w:lang w:val="es-419"/>
        </w:rPr>
      </w:pPr>
      <w:r w:rsidRPr="007C4598">
        <w:rPr>
          <w:lang w:val="es-419"/>
        </w:rPr>
        <w:t>60 Estados u organizaciones intergubernamentales son parte en el Acta de 1999.</w:t>
      </w:r>
    </w:p>
    <w:p w:rsidR="005D5D88" w:rsidRPr="007C4598" w:rsidRDefault="005D5D88" w:rsidP="00946E57">
      <w:pPr>
        <w:pStyle w:val="ONUMFS"/>
        <w:numPr>
          <w:ilvl w:val="0"/>
          <w:numId w:val="8"/>
        </w:numPr>
        <w:ind w:left="567"/>
        <w:rPr>
          <w:lang w:val="es-419"/>
        </w:rPr>
      </w:pPr>
      <w:r w:rsidRPr="007C4598">
        <w:rPr>
          <w:lang w:val="es-419"/>
        </w:rPr>
        <w:t>34 Estados son parte en el Acta de 1960, de los cuales</w:t>
      </w:r>
    </w:p>
    <w:p w:rsidR="005D5D88" w:rsidRPr="007C4598" w:rsidRDefault="005D5D88" w:rsidP="00946E57">
      <w:pPr>
        <w:pStyle w:val="ONUMFS"/>
        <w:numPr>
          <w:ilvl w:val="0"/>
          <w:numId w:val="8"/>
        </w:numPr>
        <w:tabs>
          <w:tab w:val="clear" w:pos="567"/>
        </w:tabs>
        <w:ind w:left="1134"/>
        <w:rPr>
          <w:szCs w:val="24"/>
          <w:lang w:val="es-419"/>
        </w:rPr>
      </w:pPr>
      <w:r w:rsidRPr="007C4598">
        <w:rPr>
          <w:szCs w:val="24"/>
          <w:lang w:val="es-419"/>
        </w:rPr>
        <w:t>24 también son parte en el Acta de 1999, y</w:t>
      </w:r>
    </w:p>
    <w:p w:rsidR="005D5D88" w:rsidRPr="007C4598" w:rsidRDefault="005D5D88" w:rsidP="00946E57">
      <w:pPr>
        <w:pStyle w:val="ONUMFS"/>
        <w:numPr>
          <w:ilvl w:val="0"/>
          <w:numId w:val="8"/>
        </w:numPr>
        <w:tabs>
          <w:tab w:val="clear" w:pos="567"/>
        </w:tabs>
        <w:ind w:left="1134"/>
        <w:rPr>
          <w:lang w:val="es-419"/>
        </w:rPr>
      </w:pPr>
      <w:r w:rsidRPr="007C4598">
        <w:rPr>
          <w:lang w:val="es-419"/>
        </w:rPr>
        <w:t>10 solo son parte en el Acta de 1960. De estos 10 Estados,</w:t>
      </w:r>
    </w:p>
    <w:p w:rsidR="005D5D88" w:rsidRPr="007C4598" w:rsidRDefault="005D5D88" w:rsidP="00946E57">
      <w:pPr>
        <w:pStyle w:val="ONUMFS"/>
        <w:numPr>
          <w:ilvl w:val="0"/>
          <w:numId w:val="8"/>
        </w:numPr>
        <w:tabs>
          <w:tab w:val="clear" w:pos="567"/>
        </w:tabs>
        <w:ind w:left="1701"/>
        <w:rPr>
          <w:szCs w:val="24"/>
          <w:lang w:val="es-419"/>
        </w:rPr>
      </w:pPr>
      <w:r w:rsidRPr="007C4598">
        <w:rPr>
          <w:szCs w:val="24"/>
          <w:lang w:val="es-419"/>
        </w:rPr>
        <w:t>6 (</w:t>
      </w:r>
      <w:proofErr w:type="spellStart"/>
      <w:r w:rsidRPr="007C4598">
        <w:rPr>
          <w:szCs w:val="24"/>
          <w:lang w:val="es-419"/>
        </w:rPr>
        <w:t>Benin</w:t>
      </w:r>
      <w:proofErr w:type="spellEnd"/>
      <w:r w:rsidRPr="007C4598">
        <w:rPr>
          <w:szCs w:val="24"/>
          <w:lang w:val="es-419"/>
        </w:rPr>
        <w:t xml:space="preserve">, </w:t>
      </w:r>
      <w:proofErr w:type="spellStart"/>
      <w:r w:rsidRPr="007C4598">
        <w:rPr>
          <w:szCs w:val="24"/>
          <w:lang w:val="es-419"/>
        </w:rPr>
        <w:t>Côte</w:t>
      </w:r>
      <w:proofErr w:type="spellEnd"/>
      <w:r w:rsidRPr="007C4598">
        <w:rPr>
          <w:szCs w:val="24"/>
          <w:lang w:val="es-419"/>
        </w:rPr>
        <w:t xml:space="preserve"> </w:t>
      </w:r>
      <w:proofErr w:type="spellStart"/>
      <w:r w:rsidRPr="007C4598">
        <w:rPr>
          <w:szCs w:val="24"/>
          <w:lang w:val="es-419"/>
        </w:rPr>
        <w:t>d'Ivoire</w:t>
      </w:r>
      <w:proofErr w:type="spellEnd"/>
      <w:r w:rsidRPr="007C4598">
        <w:rPr>
          <w:szCs w:val="24"/>
          <w:lang w:val="es-419"/>
        </w:rPr>
        <w:t>, Gabón, Malí, Níger y Senegal) son Estados miembros de la OAPI, que es parte en el Acta de 1999; y</w:t>
      </w:r>
    </w:p>
    <w:p w:rsidR="005D5D88" w:rsidRPr="007C4598" w:rsidRDefault="005D5D88" w:rsidP="00946E57">
      <w:pPr>
        <w:pStyle w:val="ONUMFS"/>
        <w:numPr>
          <w:ilvl w:val="0"/>
          <w:numId w:val="8"/>
        </w:numPr>
        <w:tabs>
          <w:tab w:val="clear" w:pos="567"/>
        </w:tabs>
        <w:ind w:left="1701"/>
        <w:rPr>
          <w:lang w:val="es-419"/>
        </w:rPr>
      </w:pPr>
      <w:r w:rsidRPr="007C4598">
        <w:rPr>
          <w:lang w:val="es-419"/>
        </w:rPr>
        <w:t>2 (Grecia e Italia) son Estados miembros de la Unión Europea, que es parte en el Acta de 1999.</w:t>
      </w:r>
    </w:p>
    <w:p w:rsidR="005D5D88" w:rsidRPr="007C4598" w:rsidRDefault="005D5D88" w:rsidP="00946E57">
      <w:pPr>
        <w:pStyle w:val="ONUMFS"/>
        <w:rPr>
          <w:lang w:val="es-419"/>
        </w:rPr>
      </w:pPr>
      <w:r w:rsidRPr="007C4598">
        <w:rPr>
          <w:szCs w:val="24"/>
          <w:lang w:val="es-419"/>
        </w:rPr>
        <w:t xml:space="preserve">En lo que respecta a los ocho Estados parte en el Acta de 1960 que no están sujetos al Acta de 1999, pero que son miembros de la OAPI o de la Unión Europea, su pertenencia a una organización intergubernamental entraña una doble consecuencia en cuanto a la aplicación del Acta de 1999. </w:t>
      </w:r>
      <w:r w:rsidR="009761ED">
        <w:rPr>
          <w:szCs w:val="24"/>
          <w:lang w:val="es-419"/>
        </w:rPr>
        <w:t xml:space="preserve"> </w:t>
      </w:r>
      <w:r w:rsidRPr="007C4598">
        <w:rPr>
          <w:szCs w:val="24"/>
          <w:lang w:val="es-419"/>
        </w:rPr>
        <w:t xml:space="preserve">En primer lugar, los solicitantes de cualquiera de esos Estados también pueden designar a Partes Contratantes del Acta de 1999. </w:t>
      </w:r>
      <w:r w:rsidR="009761ED">
        <w:rPr>
          <w:szCs w:val="24"/>
          <w:lang w:val="es-419"/>
        </w:rPr>
        <w:t xml:space="preserve"> </w:t>
      </w:r>
      <w:r w:rsidRPr="007C4598">
        <w:rPr>
          <w:szCs w:val="24"/>
          <w:lang w:val="es-419"/>
        </w:rPr>
        <w:t>En segundo lugar, la protección de los diseños industriales en los territorios de esos Estados puede obtenerse designando a la organización intergubernamental a la que pertenecen.</w:t>
      </w:r>
    </w:p>
    <w:p w:rsidR="005D5D88" w:rsidRPr="007C4598" w:rsidRDefault="005D5D88" w:rsidP="00946E57">
      <w:pPr>
        <w:pStyle w:val="ONUMFS"/>
        <w:rPr>
          <w:lang w:val="es-419"/>
        </w:rPr>
      </w:pPr>
      <w:r w:rsidRPr="007C4598">
        <w:rPr>
          <w:lang w:val="es-419"/>
        </w:rPr>
        <w:t>Los dos miembros restantes de la Unión de La Haya –</w:t>
      </w:r>
      <w:r w:rsidR="00F11CFC">
        <w:rPr>
          <w:lang w:val="es-419"/>
        </w:rPr>
        <w:t xml:space="preserve"> </w:t>
      </w:r>
      <w:r w:rsidRPr="007C4598">
        <w:rPr>
          <w:lang w:val="es-419"/>
        </w:rPr>
        <w:t xml:space="preserve">Marruecos y </w:t>
      </w:r>
      <w:proofErr w:type="spellStart"/>
      <w:r w:rsidRPr="007C4598">
        <w:rPr>
          <w:lang w:val="es-419"/>
        </w:rPr>
        <w:t>Suriname</w:t>
      </w:r>
      <w:proofErr w:type="spellEnd"/>
      <w:r w:rsidR="00F11CFC">
        <w:rPr>
          <w:lang w:val="es-419"/>
        </w:rPr>
        <w:t xml:space="preserve"> </w:t>
      </w:r>
      <w:r w:rsidRPr="007C4598">
        <w:rPr>
          <w:lang w:val="es-419"/>
        </w:rPr>
        <w:t>– se encuentran totalmente fuera del ámbito del Acta de 1999.</w:t>
      </w:r>
    </w:p>
    <w:p w:rsidR="005D5D88" w:rsidRPr="007C4598" w:rsidRDefault="005D5D88" w:rsidP="005D5D88">
      <w:pPr>
        <w:pStyle w:val="Heading1"/>
        <w:spacing w:before="480" w:after="240"/>
        <w:ind w:left="567" w:hanging="567"/>
        <w:rPr>
          <w:lang w:val="es-419"/>
        </w:rPr>
      </w:pPr>
      <w:r w:rsidRPr="007C4598">
        <w:rPr>
          <w:lang w:val="es-419"/>
        </w:rPr>
        <w:t>III.</w:t>
      </w:r>
      <w:r w:rsidRPr="007C4598">
        <w:rPr>
          <w:lang w:val="es-419"/>
        </w:rPr>
        <w:tab/>
        <w:t>DISMINUCIÓN DEL USO DEL ACTA DE 1960 FRENTE A LA EXPANSIÓN DEL ACTA DE 1999</w:t>
      </w:r>
    </w:p>
    <w:p w:rsidR="005D5D88" w:rsidRPr="007C4598" w:rsidRDefault="005D5D88" w:rsidP="00946E57">
      <w:pPr>
        <w:pStyle w:val="ONUMFS"/>
        <w:rPr>
          <w:lang w:val="es-419"/>
        </w:rPr>
      </w:pPr>
      <w:r w:rsidRPr="007C4598">
        <w:rPr>
          <w:szCs w:val="22"/>
          <w:lang w:val="es-419"/>
        </w:rPr>
        <w:t xml:space="preserve">El número de registros efectuados en virtud del Acta de 1960 ha disminuido considerablemente desde la entrada en vigor del Acta de 1999. </w:t>
      </w:r>
      <w:r w:rsidR="009761ED">
        <w:rPr>
          <w:szCs w:val="22"/>
          <w:lang w:val="es-419"/>
        </w:rPr>
        <w:t xml:space="preserve"> </w:t>
      </w:r>
      <w:r w:rsidR="00FD0768">
        <w:rPr>
          <w:szCs w:val="22"/>
          <w:lang w:val="es-419"/>
        </w:rPr>
        <w:t>Así</w:t>
      </w:r>
      <w:r w:rsidRPr="007C4598">
        <w:rPr>
          <w:szCs w:val="22"/>
          <w:lang w:val="es-419"/>
        </w:rPr>
        <w:t xml:space="preserve">, solo uno de los 4.767 registros internacionales </w:t>
      </w:r>
      <w:r w:rsidR="00B875B3">
        <w:rPr>
          <w:szCs w:val="22"/>
          <w:lang w:val="es-419"/>
        </w:rPr>
        <w:t>inscritos</w:t>
      </w:r>
      <w:r w:rsidR="00AF24C3">
        <w:rPr>
          <w:szCs w:val="22"/>
          <w:lang w:val="es-419"/>
        </w:rPr>
        <w:t xml:space="preserve"> en el Registro Internacional</w:t>
      </w:r>
      <w:r w:rsidRPr="007C4598">
        <w:rPr>
          <w:szCs w:val="22"/>
          <w:lang w:val="es-419"/>
        </w:rPr>
        <w:t xml:space="preserve"> en 2018 se regí</w:t>
      </w:r>
      <w:r w:rsidR="001D30DA" w:rsidRPr="007C4598">
        <w:rPr>
          <w:szCs w:val="22"/>
          <w:lang w:val="es-419"/>
        </w:rPr>
        <w:t>a exclusivamente por el Acta de </w:t>
      </w:r>
      <w:r w:rsidRPr="007C4598">
        <w:rPr>
          <w:szCs w:val="22"/>
          <w:lang w:val="es-419"/>
        </w:rPr>
        <w:t>1960</w:t>
      </w:r>
      <w:r w:rsidRPr="007C4598">
        <w:rPr>
          <w:rStyle w:val="FootnoteReference"/>
          <w:szCs w:val="22"/>
          <w:lang w:val="es-419"/>
        </w:rPr>
        <w:footnoteReference w:id="4"/>
      </w:r>
      <w:r w:rsidR="00083754">
        <w:rPr>
          <w:szCs w:val="22"/>
          <w:lang w:val="es-419"/>
        </w:rPr>
        <w:t xml:space="preserve">. </w:t>
      </w:r>
      <w:r w:rsidRPr="007C4598">
        <w:rPr>
          <w:szCs w:val="22"/>
          <w:lang w:val="es-419"/>
        </w:rPr>
        <w:t xml:space="preserve"> En el mismo año, 605 del total de 16.873 designaciones </w:t>
      </w:r>
      <w:r w:rsidR="00AF24C3">
        <w:rPr>
          <w:szCs w:val="22"/>
          <w:lang w:val="es-419"/>
        </w:rPr>
        <w:t>inscritas</w:t>
      </w:r>
      <w:r w:rsidR="00AF24C3" w:rsidRPr="007C4598">
        <w:rPr>
          <w:szCs w:val="22"/>
          <w:lang w:val="es-419"/>
        </w:rPr>
        <w:t xml:space="preserve"> </w:t>
      </w:r>
      <w:r w:rsidRPr="007C4598">
        <w:rPr>
          <w:szCs w:val="22"/>
          <w:lang w:val="es-419"/>
        </w:rPr>
        <w:t>correspondían al Acta de 1960, lo que representa solo un 3,6%.</w:t>
      </w:r>
    </w:p>
    <w:p w:rsidR="005D5D88" w:rsidRPr="007C4598" w:rsidRDefault="005D5D88" w:rsidP="001D7F2F">
      <w:pPr>
        <w:pStyle w:val="ONUMFS"/>
        <w:keepNext/>
        <w:keepLines/>
        <w:rPr>
          <w:lang w:val="es-419"/>
        </w:rPr>
      </w:pPr>
      <w:r w:rsidRPr="007C4598">
        <w:rPr>
          <w:lang w:val="es-419"/>
        </w:rPr>
        <w:lastRenderedPageBreak/>
        <w:t xml:space="preserve">Resulta evidente que esta situación se debe en gran medida a la rápida expansión del Acta de 1999. </w:t>
      </w:r>
      <w:r w:rsidR="009761ED">
        <w:rPr>
          <w:lang w:val="es-419"/>
        </w:rPr>
        <w:t xml:space="preserve"> </w:t>
      </w:r>
      <w:r w:rsidRPr="007C4598">
        <w:rPr>
          <w:lang w:val="es-419"/>
        </w:rPr>
        <w:t>No obstante, incluso si se deja de lado la parte de la Unión de La Haya que está sujeta exclusivamente al Acta de 1999, se pone de manifiesto que, entre sus miembros, el</w:t>
      </w:r>
      <w:r w:rsidR="00F11CFC">
        <w:rPr>
          <w:lang w:val="es-419"/>
        </w:rPr>
        <w:t> </w:t>
      </w:r>
      <w:r w:rsidRPr="007C4598">
        <w:rPr>
          <w:lang w:val="es-419"/>
        </w:rPr>
        <w:t>Acta</w:t>
      </w:r>
      <w:r w:rsidR="00F11CFC">
        <w:rPr>
          <w:lang w:val="es-419"/>
        </w:rPr>
        <w:t> </w:t>
      </w:r>
      <w:r w:rsidRPr="007C4598">
        <w:rPr>
          <w:lang w:val="es-419"/>
        </w:rPr>
        <w:t>de 1960 se aplica cada vez menos.</w:t>
      </w:r>
    </w:p>
    <w:p w:rsidR="005D5D88" w:rsidRPr="007C4598" w:rsidRDefault="005D5D88" w:rsidP="00946E57">
      <w:pPr>
        <w:pStyle w:val="ONUMFS"/>
        <w:rPr>
          <w:lang w:val="es-419"/>
        </w:rPr>
      </w:pPr>
      <w:r w:rsidRPr="007C4598">
        <w:rPr>
          <w:lang w:val="es-419"/>
        </w:rPr>
        <w:t>Este fenómeno tiene un fundamento jurídico claro. En primer lugar, el Artículo 31.1 del</w:t>
      </w:r>
      <w:r w:rsidR="00F11CFC">
        <w:rPr>
          <w:lang w:val="es-419"/>
        </w:rPr>
        <w:t> </w:t>
      </w:r>
      <w:r w:rsidRPr="007C4598">
        <w:rPr>
          <w:lang w:val="es-419"/>
        </w:rPr>
        <w:t xml:space="preserve">Acta de 1999 da precedencia a esa acta en las relaciones entre los Estados parte tanto en el Acta de 1960 como en la de 1999. </w:t>
      </w:r>
      <w:r w:rsidR="009761ED">
        <w:rPr>
          <w:lang w:val="es-419"/>
        </w:rPr>
        <w:t xml:space="preserve"> </w:t>
      </w:r>
      <w:r w:rsidRPr="007C4598">
        <w:rPr>
          <w:lang w:val="es-419"/>
        </w:rPr>
        <w:t xml:space="preserve">Por consiguiente, si el solicitante procede de una Parte Contratante sujeta a ambas actas y designa a una Parte Contratante también sujeta a ambas actas, la designación se regirá </w:t>
      </w:r>
      <w:r w:rsidR="00F522EC" w:rsidRPr="007C4598">
        <w:rPr>
          <w:lang w:val="es-419"/>
        </w:rPr>
        <w:t xml:space="preserve">por </w:t>
      </w:r>
      <w:r w:rsidRPr="007C4598">
        <w:rPr>
          <w:lang w:val="es-419"/>
        </w:rPr>
        <w:t>el Acta de 1999.</w:t>
      </w:r>
    </w:p>
    <w:p w:rsidR="005D5D88" w:rsidRPr="007C4598" w:rsidRDefault="005D5D88" w:rsidP="00946E57">
      <w:pPr>
        <w:pStyle w:val="ONUMFS"/>
        <w:rPr>
          <w:lang w:val="es-419"/>
        </w:rPr>
      </w:pPr>
      <w:r w:rsidRPr="007C4598">
        <w:rPr>
          <w:lang w:val="es-419"/>
        </w:rPr>
        <w:t xml:space="preserve">Además, la designación de una Parte Contratante sujeta a ambas actas también se rige por el Acta de 1999 si el solicitante goza de vínculos jurídicos acumulativos pero </w:t>
      </w:r>
      <w:r w:rsidRPr="00083754">
        <w:rPr>
          <w:i/>
          <w:lang w:val="es-419"/>
        </w:rPr>
        <w:t>independientes</w:t>
      </w:r>
      <w:r w:rsidRPr="007C4598">
        <w:rPr>
          <w:lang w:val="es-419"/>
        </w:rPr>
        <w:t xml:space="preserve"> en virtud de cada una de esas actas. </w:t>
      </w:r>
      <w:r w:rsidR="009761ED">
        <w:rPr>
          <w:lang w:val="es-419"/>
        </w:rPr>
        <w:t xml:space="preserve"> </w:t>
      </w:r>
      <w:r w:rsidRPr="007C4598">
        <w:rPr>
          <w:lang w:val="es-419"/>
        </w:rPr>
        <w:t>Por ejemplo, si un solicitante alega dos vínculos jurídicos independientes –</w:t>
      </w:r>
      <w:r w:rsidR="009761ED">
        <w:rPr>
          <w:lang w:val="es-419"/>
        </w:rPr>
        <w:t xml:space="preserve"> </w:t>
      </w:r>
      <w:r w:rsidRPr="007C4598">
        <w:rPr>
          <w:lang w:val="es-419"/>
        </w:rPr>
        <w:t>por medio de una Parte Contratante A, sujeta exclusivamente al Acta de 1960, y una Parte Contratante B, s</w:t>
      </w:r>
      <w:r w:rsidR="001D7F2F" w:rsidRPr="007C4598">
        <w:rPr>
          <w:lang w:val="es-419"/>
        </w:rPr>
        <w:t>ujeta exclusivamente al Acta de </w:t>
      </w:r>
      <w:r w:rsidRPr="007C4598">
        <w:rPr>
          <w:lang w:val="es-419"/>
        </w:rPr>
        <w:t>1999</w:t>
      </w:r>
      <w:r w:rsidR="009761ED">
        <w:rPr>
          <w:lang w:val="es-419"/>
        </w:rPr>
        <w:t xml:space="preserve"> </w:t>
      </w:r>
      <w:r w:rsidRPr="007C4598">
        <w:rPr>
          <w:lang w:val="es-419"/>
        </w:rPr>
        <w:t xml:space="preserve">–, la designación de una Parte Contratante C que esté sujeta a ambas actas se regirá por el Acta de 1999. </w:t>
      </w:r>
      <w:r w:rsidR="009761ED">
        <w:rPr>
          <w:lang w:val="es-419"/>
        </w:rPr>
        <w:t xml:space="preserve"> </w:t>
      </w:r>
      <w:r w:rsidRPr="007C4598">
        <w:rPr>
          <w:lang w:val="es-419"/>
        </w:rPr>
        <w:t>Del mismo modo, si un solicitante procede de una Parte Contratante D, sujeta exclusivamente al Acta de 1960, pero esa parte también es un Estado miembro de una organización intergubernamental sujeta al Acta de 1999 (Parte Contratante E), la designación de una Parte Contratante C que esté sujeta a ambas actas se regirá por el Acta de 1999.</w:t>
      </w:r>
    </w:p>
    <w:p w:rsidR="005D5D88" w:rsidRPr="007C4598" w:rsidRDefault="005D5D88" w:rsidP="00946E57">
      <w:pPr>
        <w:pStyle w:val="ONUMFS"/>
        <w:rPr>
          <w:lang w:val="es-419"/>
        </w:rPr>
      </w:pPr>
      <w:r w:rsidRPr="007C4598">
        <w:rPr>
          <w:lang w:val="es-419"/>
        </w:rPr>
        <w:t xml:space="preserve">En el Anexo III figura el número de designaciones </w:t>
      </w:r>
      <w:r w:rsidR="00446599">
        <w:rPr>
          <w:lang w:val="es-419"/>
        </w:rPr>
        <w:t>inscritas</w:t>
      </w:r>
      <w:r w:rsidR="00446599" w:rsidRPr="007C4598">
        <w:rPr>
          <w:lang w:val="es-419"/>
        </w:rPr>
        <w:t xml:space="preserve"> </w:t>
      </w:r>
      <w:r w:rsidRPr="007C4598">
        <w:rPr>
          <w:lang w:val="es-419"/>
        </w:rPr>
        <w:t xml:space="preserve">en 2004, 2010 y 2018 correspondientes a todos los Estados sujetos, de manera exclusiva o no, al Acta de 1960. </w:t>
      </w:r>
      <w:r w:rsidR="009761ED">
        <w:rPr>
          <w:lang w:val="es-419"/>
        </w:rPr>
        <w:t xml:space="preserve"> </w:t>
      </w:r>
      <w:r w:rsidRPr="007C4598">
        <w:rPr>
          <w:lang w:val="es-419"/>
        </w:rPr>
        <w:t>Se observa que</w:t>
      </w:r>
      <w:r w:rsidR="00B3397B">
        <w:rPr>
          <w:lang w:val="es-419"/>
        </w:rPr>
        <w:t>,</w:t>
      </w:r>
      <w:r w:rsidRPr="007C4598">
        <w:rPr>
          <w:lang w:val="es-419"/>
        </w:rPr>
        <w:t xml:space="preserve"> en 2004, el primer año de aplicación del Acta de 1999, la mayoría de las designaciones seguían rigiéndose por el Acta de 1960. </w:t>
      </w:r>
      <w:r w:rsidR="009761ED">
        <w:rPr>
          <w:lang w:val="es-419"/>
        </w:rPr>
        <w:t xml:space="preserve"> </w:t>
      </w:r>
      <w:r w:rsidRPr="007C4598">
        <w:rPr>
          <w:lang w:val="es-419"/>
        </w:rPr>
        <w:t xml:space="preserve">No obstante, en los años sucesivos, la situación se invirtió progresivamente. </w:t>
      </w:r>
      <w:r w:rsidR="009761ED">
        <w:rPr>
          <w:lang w:val="es-419"/>
        </w:rPr>
        <w:t xml:space="preserve"> </w:t>
      </w:r>
      <w:r w:rsidR="00B875B3">
        <w:rPr>
          <w:lang w:val="es-419"/>
        </w:rPr>
        <w:t>Así pues</w:t>
      </w:r>
      <w:r w:rsidR="00C06DC7">
        <w:rPr>
          <w:lang w:val="es-419"/>
        </w:rPr>
        <w:t>, en</w:t>
      </w:r>
      <w:r w:rsidRPr="007C4598">
        <w:rPr>
          <w:lang w:val="es-419"/>
        </w:rPr>
        <w:t xml:space="preserve"> 2010, el Acta de 1960</w:t>
      </w:r>
      <w:r w:rsidR="002B6CDC" w:rsidRPr="007C4598">
        <w:rPr>
          <w:lang w:val="es-419"/>
        </w:rPr>
        <w:t xml:space="preserve"> solo se aplicó con respecto al </w:t>
      </w:r>
      <w:r w:rsidRPr="007C4598">
        <w:rPr>
          <w:lang w:val="es-419"/>
        </w:rPr>
        <w:t xml:space="preserve">23,9% de las designaciones de todos los Estados parte en el Acta de 1960, proporción que en 2018 se redujo al 13,4%. </w:t>
      </w:r>
      <w:r w:rsidR="009761ED">
        <w:rPr>
          <w:lang w:val="es-419"/>
        </w:rPr>
        <w:t xml:space="preserve"> </w:t>
      </w:r>
      <w:r w:rsidRPr="007C4598">
        <w:rPr>
          <w:lang w:val="es-419"/>
        </w:rPr>
        <w:t xml:space="preserve">El hecho de que actualmente rara vez se aplica el Acta de 1960 se refleja claramente en el gráfico del Anexo IV. </w:t>
      </w:r>
      <w:r w:rsidR="009761ED">
        <w:rPr>
          <w:lang w:val="es-419"/>
        </w:rPr>
        <w:t xml:space="preserve"> </w:t>
      </w:r>
      <w:r w:rsidRPr="007C4598">
        <w:rPr>
          <w:lang w:val="es-419"/>
        </w:rPr>
        <w:t>En él se observa que, en lo que respecta a las designaciones de los Estados parte en el Acta de 1960</w:t>
      </w:r>
      <w:r w:rsidR="00B875B3">
        <w:rPr>
          <w:lang w:val="es-419"/>
        </w:rPr>
        <w:t xml:space="preserve"> inscritas</w:t>
      </w:r>
      <w:r w:rsidRPr="007C4598">
        <w:rPr>
          <w:lang w:val="es-419"/>
        </w:rPr>
        <w:t xml:space="preserve"> en el primer semestre de 2019, esa acta casi nunca se aplicó si el Estado también era Parte Contratante en el Acta de 1999.</w:t>
      </w:r>
    </w:p>
    <w:p w:rsidR="005D5D88" w:rsidRPr="007C4598" w:rsidRDefault="005D5D88" w:rsidP="00946E57">
      <w:pPr>
        <w:pStyle w:val="ONUMFS"/>
        <w:rPr>
          <w:lang w:val="es-419"/>
        </w:rPr>
      </w:pPr>
      <w:r w:rsidRPr="007C4598">
        <w:rPr>
          <w:lang w:val="es-419"/>
        </w:rPr>
        <w:t>Además, como se menciona en el párrafo 6, la protección en los territorios de los Estados parte en el Acta de 1960 que también son Estados miembros de una organización intergubernamental que es parte en el Acta de 1999 puede obtenerse designando la organización a la que pertenecen, en lugar de designar individualmente cada uno de esos Estados parte en el Acta de 1960.</w:t>
      </w:r>
    </w:p>
    <w:p w:rsidR="005D5D88" w:rsidRPr="007C4598" w:rsidRDefault="005D5D88" w:rsidP="00946E57">
      <w:pPr>
        <w:pStyle w:val="ONUMFS"/>
        <w:rPr>
          <w:lang w:val="es-419"/>
        </w:rPr>
      </w:pPr>
      <w:r w:rsidRPr="007C4598">
        <w:rPr>
          <w:lang w:val="es-419"/>
        </w:rPr>
        <w:t xml:space="preserve">Por ejemplo, en 2007, el año anterior a la adhesión de la Unión Europea al Acta de 1999, Italia fue designada en el 42% de los registros internacionales. </w:t>
      </w:r>
      <w:r w:rsidR="00A041C6">
        <w:rPr>
          <w:lang w:val="es-419"/>
        </w:rPr>
        <w:t xml:space="preserve"> </w:t>
      </w:r>
      <w:r w:rsidRPr="007C4598">
        <w:rPr>
          <w:lang w:val="es-419"/>
        </w:rPr>
        <w:t xml:space="preserve">En 2018, a pesar de que la designación en virtud del Acta de 1960 seguía siendo la única vía para que los solicitantes que no pudieran acogerse al Acta de 1999 obtuvieran protección en Italia, ese porcentaje disminuyó hasta el 1,1% de todos los registros internacionales, lo que significa que el país fue designado únicamente 54 veces. </w:t>
      </w:r>
      <w:r w:rsidR="003573AD">
        <w:rPr>
          <w:lang w:val="es-419"/>
        </w:rPr>
        <w:t>En cambio</w:t>
      </w:r>
      <w:r w:rsidRPr="007C4598">
        <w:rPr>
          <w:lang w:val="es-419"/>
        </w:rPr>
        <w:t>, la Unión Europea, con 3.307 designaciones (un 69,4% del total), fue la Parte Contratante designada con mayor frecuencia en 2018.</w:t>
      </w:r>
    </w:p>
    <w:p w:rsidR="005D5D88" w:rsidRPr="007C4598" w:rsidRDefault="005D5D88" w:rsidP="005D5D88">
      <w:pPr>
        <w:pStyle w:val="Heading1"/>
        <w:tabs>
          <w:tab w:val="left" w:pos="567"/>
        </w:tabs>
        <w:spacing w:before="480" w:after="240"/>
        <w:rPr>
          <w:lang w:val="es-419"/>
        </w:rPr>
      </w:pPr>
      <w:r w:rsidRPr="007C4598">
        <w:rPr>
          <w:lang w:val="es-419"/>
        </w:rPr>
        <w:t>IV.</w:t>
      </w:r>
      <w:r w:rsidRPr="007C4598">
        <w:rPr>
          <w:lang w:val="es-419"/>
        </w:rPr>
        <w:tab/>
        <w:t>COMPLEJIDAD DEBIDA A LA PERSISTENCIA DEL ACTA DE 1960</w:t>
      </w:r>
    </w:p>
    <w:p w:rsidR="005D5D88" w:rsidRPr="007C4598" w:rsidRDefault="005D5D88" w:rsidP="00946E57">
      <w:pPr>
        <w:pStyle w:val="ONUMFS"/>
        <w:rPr>
          <w:lang w:val="es-419" w:eastAsia="en-US"/>
        </w:rPr>
      </w:pPr>
      <w:r w:rsidRPr="007C4598">
        <w:rPr>
          <w:szCs w:val="22"/>
          <w:lang w:val="es-419" w:eastAsia="en-US"/>
        </w:rPr>
        <w:t>Las solicitudes internacionales deben cumplir una serie de requisitos, si bien esos requisitos pueden variar en función del acta que rija cada una de las designaciones que figuran en las solicitudes.</w:t>
      </w:r>
    </w:p>
    <w:p w:rsidR="005D5D88" w:rsidRPr="007C4598" w:rsidRDefault="005D5D88" w:rsidP="00946E57">
      <w:pPr>
        <w:pStyle w:val="ONUMFS"/>
        <w:rPr>
          <w:lang w:val="es-419" w:eastAsia="en-US"/>
        </w:rPr>
      </w:pPr>
      <w:r w:rsidRPr="007C4598">
        <w:rPr>
          <w:lang w:val="es-419" w:eastAsia="en-US"/>
        </w:rPr>
        <w:lastRenderedPageBreak/>
        <w:t>Por ejemplo, el contenido obligatorio adicional de las solicitudes internacionales previsto en la Regla 7.4) del Reglamento Común del Acta de 1999 y del</w:t>
      </w:r>
      <w:r w:rsidR="002B6CDC" w:rsidRPr="007C4598">
        <w:rPr>
          <w:lang w:val="es-419" w:eastAsia="en-US"/>
        </w:rPr>
        <w:t xml:space="preserve"> Acta de 1960 del Arreglo de La </w:t>
      </w:r>
      <w:r w:rsidRPr="007C4598">
        <w:rPr>
          <w:lang w:val="es-419" w:eastAsia="en-US"/>
        </w:rPr>
        <w:t>Haya (en adelante denominado “Reglamento Común”) solo se aplica cuando las designaciones se rigen por el Acta de 1999.</w:t>
      </w:r>
    </w:p>
    <w:p w:rsidR="005D5D88" w:rsidRPr="007C4598" w:rsidRDefault="005D5D88" w:rsidP="00946E57">
      <w:pPr>
        <w:pStyle w:val="ONUMFS"/>
        <w:rPr>
          <w:lang w:val="es-419" w:eastAsia="en-US"/>
        </w:rPr>
      </w:pPr>
      <w:r w:rsidRPr="007C4598">
        <w:rPr>
          <w:lang w:val="es-419" w:eastAsia="en-US"/>
        </w:rPr>
        <w:t xml:space="preserve">A título ilustrativo, cuando se designe a Rumania en virtud del Acta de 1999, la Oficina Internacional examinará los elementos indicados en el Artículo </w:t>
      </w:r>
      <w:proofErr w:type="gramStart"/>
      <w:r w:rsidRPr="007C4598">
        <w:rPr>
          <w:lang w:val="es-419" w:eastAsia="en-US"/>
        </w:rPr>
        <w:t>5.2)b</w:t>
      </w:r>
      <w:proofErr w:type="gramEnd"/>
      <w:r w:rsidRPr="007C4598">
        <w:rPr>
          <w:lang w:val="es-419" w:eastAsia="en-US"/>
        </w:rPr>
        <w:t xml:space="preserve">)i) y ii) del Acta de 1999, de conformidad con la Regla 7.4)b). </w:t>
      </w:r>
      <w:r w:rsidR="00A041C6">
        <w:rPr>
          <w:lang w:val="es-419" w:eastAsia="en-US"/>
        </w:rPr>
        <w:t xml:space="preserve"> </w:t>
      </w:r>
      <w:r w:rsidRPr="007C4598">
        <w:rPr>
          <w:lang w:val="es-419" w:eastAsia="en-US"/>
        </w:rPr>
        <w:t xml:space="preserve">No obstante, esta norma no se aplica si se designa a Rumania en virtud del Acta de 1960. </w:t>
      </w:r>
      <w:r w:rsidR="00A041C6">
        <w:rPr>
          <w:lang w:val="es-419" w:eastAsia="en-US"/>
        </w:rPr>
        <w:t xml:space="preserve"> </w:t>
      </w:r>
      <w:r w:rsidRPr="007C4598">
        <w:rPr>
          <w:lang w:val="es-419" w:eastAsia="en-US"/>
        </w:rPr>
        <w:t>Además, si se da el caso y esos elementos no figuran en el registro internacional, la Oficina de Rumania no puede emitir una denegación a fin de requerirlos (Artículo 8.1) del Acta de 1960 y Artículo 12.1) del Acta de 1999).</w:t>
      </w:r>
    </w:p>
    <w:p w:rsidR="005D5D88" w:rsidRPr="007C4598" w:rsidRDefault="005D5D88" w:rsidP="00946E57">
      <w:pPr>
        <w:pStyle w:val="ONUMFS"/>
        <w:rPr>
          <w:lang w:val="es-419" w:eastAsia="en-US"/>
        </w:rPr>
      </w:pPr>
      <w:r w:rsidRPr="007C4598">
        <w:rPr>
          <w:lang w:val="es-419" w:eastAsia="en-US"/>
        </w:rPr>
        <w:t xml:space="preserve">También existen diferencias respecto del período máximo de aplazamiento de la publicación (Regla 16.1)). </w:t>
      </w:r>
      <w:r w:rsidR="00A041C6">
        <w:rPr>
          <w:lang w:val="es-419" w:eastAsia="en-US"/>
        </w:rPr>
        <w:t xml:space="preserve"> </w:t>
      </w:r>
      <w:r w:rsidRPr="007C4598">
        <w:rPr>
          <w:lang w:val="es-419" w:eastAsia="en-US"/>
        </w:rPr>
        <w:t>Por ejemplo, si la solicitud internacional se rige exclusivamente por el Acta de 1999 y se designa a Suiza (únicamente</w:t>
      </w:r>
      <w:r w:rsidR="00CF4AEF" w:rsidRPr="007C4598">
        <w:rPr>
          <w:lang w:val="es-419" w:eastAsia="en-US"/>
        </w:rPr>
        <w:t>)</w:t>
      </w:r>
      <w:r w:rsidRPr="007C4598">
        <w:rPr>
          <w:rStyle w:val="FootnoteReference"/>
          <w:szCs w:val="22"/>
          <w:lang w:val="es-419" w:eastAsia="en-US"/>
        </w:rPr>
        <w:footnoteReference w:id="5"/>
      </w:r>
      <w:r w:rsidR="00A041C6">
        <w:rPr>
          <w:lang w:val="es-419" w:eastAsia="en-US"/>
        </w:rPr>
        <w:t>,</w:t>
      </w:r>
      <w:r w:rsidRPr="007C4598">
        <w:rPr>
          <w:lang w:val="es-419" w:eastAsia="en-US"/>
        </w:rPr>
        <w:t xml:space="preserve"> el solicitante podrá aplazar la publicación hasta 30 meses contados a partir de la fecha de presentación o, si procede, a partir de la fecha de prioridad. </w:t>
      </w:r>
      <w:r w:rsidR="00140A28">
        <w:rPr>
          <w:lang w:val="es-419" w:eastAsia="en-US"/>
        </w:rPr>
        <w:t xml:space="preserve"> </w:t>
      </w:r>
      <w:r w:rsidRPr="007C4598">
        <w:rPr>
          <w:lang w:val="es-419" w:eastAsia="en-US"/>
        </w:rPr>
        <w:t>Sin embargo, el período máximo de aplazamiento se limitará a 12 meses si Suiza es designada en virtud del Acta de 1960.</w:t>
      </w:r>
    </w:p>
    <w:p w:rsidR="005D5D88" w:rsidRPr="007C4598" w:rsidRDefault="005D5D88" w:rsidP="00946E57">
      <w:pPr>
        <w:pStyle w:val="ONUMFS"/>
        <w:rPr>
          <w:lang w:val="es-419" w:eastAsia="en-US"/>
        </w:rPr>
      </w:pPr>
      <w:r w:rsidRPr="007C4598">
        <w:rPr>
          <w:lang w:val="es-419" w:eastAsia="en-US"/>
        </w:rPr>
        <w:t xml:space="preserve">Del mismo modo, el plazo de denegación variará en función del acta que rija una determinada designación. </w:t>
      </w:r>
      <w:r w:rsidR="00B668D6">
        <w:rPr>
          <w:lang w:val="es-419" w:eastAsia="en-US"/>
        </w:rPr>
        <w:t xml:space="preserve"> </w:t>
      </w:r>
      <w:r w:rsidRPr="007C4598">
        <w:rPr>
          <w:lang w:val="es-419" w:eastAsia="en-US"/>
        </w:rPr>
        <w:t xml:space="preserve">Por ejemplo, si se designa la República de </w:t>
      </w:r>
      <w:proofErr w:type="spellStart"/>
      <w:r w:rsidRPr="007C4598">
        <w:rPr>
          <w:lang w:val="es-419" w:eastAsia="en-US"/>
        </w:rPr>
        <w:t>Moldova</w:t>
      </w:r>
      <w:proofErr w:type="spellEnd"/>
      <w:r w:rsidRPr="007C4598">
        <w:rPr>
          <w:lang w:val="es-419" w:eastAsia="en-US"/>
        </w:rPr>
        <w:t xml:space="preserve"> en virtud del Acta de 1960, se aplicará el plazo de denegación por defecto de </w:t>
      </w:r>
      <w:r w:rsidR="00140A28">
        <w:rPr>
          <w:lang w:val="es-419" w:eastAsia="en-US"/>
        </w:rPr>
        <w:t>seis</w:t>
      </w:r>
      <w:r w:rsidRPr="007C4598">
        <w:rPr>
          <w:lang w:val="es-419" w:eastAsia="en-US"/>
        </w:rPr>
        <w:t xml:space="preserve"> </w:t>
      </w:r>
      <w:proofErr w:type="gramStart"/>
      <w:r w:rsidRPr="007C4598">
        <w:rPr>
          <w:lang w:val="es-419" w:eastAsia="en-US"/>
        </w:rPr>
        <w:t xml:space="preserve">meses; </w:t>
      </w:r>
      <w:r w:rsidR="00140A28">
        <w:rPr>
          <w:lang w:val="es-419" w:eastAsia="en-US"/>
        </w:rPr>
        <w:t xml:space="preserve"> </w:t>
      </w:r>
      <w:r w:rsidR="00DA05D8">
        <w:rPr>
          <w:lang w:val="es-419" w:eastAsia="en-US"/>
        </w:rPr>
        <w:t>mientras</w:t>
      </w:r>
      <w:proofErr w:type="gramEnd"/>
      <w:r w:rsidR="00DA05D8">
        <w:rPr>
          <w:lang w:val="es-419" w:eastAsia="en-US"/>
        </w:rPr>
        <w:t xml:space="preserve"> que</w:t>
      </w:r>
      <w:r w:rsidRPr="007C4598">
        <w:rPr>
          <w:lang w:val="es-419" w:eastAsia="en-US"/>
        </w:rPr>
        <w:t>, se aplicará un plazo de 12 meses si se designa a la misma Parte Co</w:t>
      </w:r>
      <w:r w:rsidR="002D33DC" w:rsidRPr="007C4598">
        <w:rPr>
          <w:lang w:val="es-419" w:eastAsia="en-US"/>
        </w:rPr>
        <w:t>ntratante en virtud del Acta</w:t>
      </w:r>
      <w:r w:rsidR="00F11CFC">
        <w:rPr>
          <w:lang w:val="es-419" w:eastAsia="en-US"/>
        </w:rPr>
        <w:t> </w:t>
      </w:r>
      <w:r w:rsidR="002D33DC" w:rsidRPr="007C4598">
        <w:rPr>
          <w:lang w:val="es-419" w:eastAsia="en-US"/>
        </w:rPr>
        <w:t>de </w:t>
      </w:r>
      <w:r w:rsidRPr="007C4598">
        <w:rPr>
          <w:lang w:val="es-419" w:eastAsia="en-US"/>
        </w:rPr>
        <w:t>1999, de conformidad con su declaración formulada en virtud de la Regla 18.1)b).</w:t>
      </w:r>
    </w:p>
    <w:p w:rsidR="005D5D88" w:rsidRPr="007C4598" w:rsidRDefault="005D5D88" w:rsidP="00946E57">
      <w:pPr>
        <w:pStyle w:val="ONUMFS"/>
        <w:rPr>
          <w:rFonts w:eastAsia="Times New Roman"/>
          <w:lang w:val="es-419" w:eastAsia="en-US"/>
        </w:rPr>
      </w:pPr>
      <w:r w:rsidRPr="007C4598">
        <w:rPr>
          <w:lang w:val="es-419" w:eastAsia="en-US"/>
        </w:rPr>
        <w:t xml:space="preserve">También existen diferencias en las tasas de designación aplicables a la renovación de un registro internacional. </w:t>
      </w:r>
      <w:r w:rsidR="00140A28">
        <w:rPr>
          <w:lang w:val="es-419" w:eastAsia="en-US"/>
        </w:rPr>
        <w:t xml:space="preserve"> </w:t>
      </w:r>
      <w:r w:rsidRPr="007C4598">
        <w:rPr>
          <w:lang w:val="es-419" w:eastAsia="en-US"/>
        </w:rPr>
        <w:t xml:space="preserve">Tanto en virtud del Acta de 1999 como del Acta de 1960, las Partes Contratantes cuya Oficina sea una Oficina de examen podrán formular una declaración para recibir una tasa de designación individual en lugar de una tasa de designación estándar (Artículo 7.2) del Acta de 1999 y Regla 36.1) del Reglamento Común). </w:t>
      </w:r>
      <w:r w:rsidR="00140A28">
        <w:rPr>
          <w:lang w:val="es-419" w:eastAsia="en-US"/>
        </w:rPr>
        <w:t xml:space="preserve"> </w:t>
      </w:r>
      <w:r w:rsidR="00DA05D8">
        <w:rPr>
          <w:lang w:val="es-419" w:eastAsia="en-US"/>
        </w:rPr>
        <w:t xml:space="preserve">A este respecto y </w:t>
      </w:r>
      <w:r w:rsidR="00EA7182">
        <w:rPr>
          <w:lang w:val="es-419" w:eastAsia="en-US"/>
        </w:rPr>
        <w:t>conforme al Artículo 7.2) del Acta de 1999</w:t>
      </w:r>
      <w:r w:rsidRPr="007C4598">
        <w:rPr>
          <w:lang w:val="es-419" w:eastAsia="en-US"/>
        </w:rPr>
        <w:t xml:space="preserve">, la Parte Contratante podrá recibir una tasa de designación individual </w:t>
      </w:r>
      <w:r w:rsidR="00EA7182">
        <w:rPr>
          <w:lang w:val="es-419" w:eastAsia="en-US"/>
        </w:rPr>
        <w:t>con respecto a</w:t>
      </w:r>
      <w:r w:rsidRPr="007C4598">
        <w:rPr>
          <w:lang w:val="es-419" w:eastAsia="en-US"/>
        </w:rPr>
        <w:t xml:space="preserve"> </w:t>
      </w:r>
      <w:r w:rsidR="00EA7182">
        <w:rPr>
          <w:lang w:val="es-419" w:eastAsia="en-US"/>
        </w:rPr>
        <w:t>cualquier</w:t>
      </w:r>
      <w:r w:rsidRPr="007C4598">
        <w:rPr>
          <w:lang w:val="es-419" w:eastAsia="en-US"/>
        </w:rPr>
        <w:t xml:space="preserve"> solicitud internacional en la que se designe a </w:t>
      </w:r>
      <w:r w:rsidR="000F7541">
        <w:rPr>
          <w:lang w:val="es-419" w:eastAsia="en-US"/>
        </w:rPr>
        <w:t>esa</w:t>
      </w:r>
      <w:r w:rsidRPr="007C4598">
        <w:rPr>
          <w:lang w:val="es-419" w:eastAsia="en-US"/>
        </w:rPr>
        <w:t xml:space="preserve"> Parte Contratante, así como por la renovación de </w:t>
      </w:r>
      <w:r w:rsidR="00EA7182">
        <w:rPr>
          <w:lang w:val="es-419" w:eastAsia="en-US"/>
        </w:rPr>
        <w:t>cualquier</w:t>
      </w:r>
      <w:r w:rsidRPr="007C4598">
        <w:rPr>
          <w:lang w:val="es-419" w:eastAsia="en-US"/>
        </w:rPr>
        <w:t xml:space="preserve"> registro internacional </w:t>
      </w:r>
      <w:r w:rsidR="00EA7182">
        <w:rPr>
          <w:lang w:val="es-419" w:eastAsia="en-US"/>
        </w:rPr>
        <w:t>resultante de dicha solicitud internacional</w:t>
      </w:r>
      <w:r w:rsidRPr="007C4598">
        <w:rPr>
          <w:lang w:val="es-419" w:eastAsia="en-US"/>
        </w:rPr>
        <w:t xml:space="preserve">. </w:t>
      </w:r>
      <w:r w:rsidR="00140A28">
        <w:rPr>
          <w:lang w:val="es-419" w:eastAsia="en-US"/>
        </w:rPr>
        <w:t xml:space="preserve"> </w:t>
      </w:r>
      <w:r w:rsidR="002D33DC" w:rsidRPr="007C4598">
        <w:rPr>
          <w:lang w:val="es-419" w:eastAsia="en-US"/>
        </w:rPr>
        <w:t>Por el contrario, el Artículo </w:t>
      </w:r>
      <w:r w:rsidRPr="007C4598">
        <w:rPr>
          <w:lang w:val="es-419" w:eastAsia="en-US"/>
        </w:rPr>
        <w:t>15.1)</w:t>
      </w:r>
      <w:proofErr w:type="gramStart"/>
      <w:r w:rsidRPr="007C4598">
        <w:rPr>
          <w:lang w:val="es-419" w:eastAsia="en-US"/>
        </w:rPr>
        <w:t>2.b</w:t>
      </w:r>
      <w:proofErr w:type="gramEnd"/>
      <w:r w:rsidRPr="007C4598">
        <w:rPr>
          <w:lang w:val="es-419" w:eastAsia="en-US"/>
        </w:rPr>
        <w:t xml:space="preserve">) del Acta de 1960 permite que la Parte Contratante reciba una tasa de designación individual solo por el examen de novedad de un registro internacional (y no por la renovación de un registro internacional), mediante una declaración </w:t>
      </w:r>
      <w:r w:rsidR="00B875B3">
        <w:rPr>
          <w:lang w:val="es-419" w:eastAsia="en-US"/>
        </w:rPr>
        <w:t>formulada</w:t>
      </w:r>
      <w:r w:rsidR="00B875B3" w:rsidRPr="007C4598">
        <w:rPr>
          <w:lang w:val="es-419" w:eastAsia="en-US"/>
        </w:rPr>
        <w:t xml:space="preserve"> </w:t>
      </w:r>
      <w:r w:rsidRPr="007C4598">
        <w:rPr>
          <w:lang w:val="es-419" w:eastAsia="en-US"/>
        </w:rPr>
        <w:t xml:space="preserve">en virtud de la Regla 36.1). </w:t>
      </w:r>
      <w:r w:rsidR="00140A28">
        <w:rPr>
          <w:lang w:val="es-419" w:eastAsia="en-US"/>
        </w:rPr>
        <w:t xml:space="preserve"> </w:t>
      </w:r>
      <w:r w:rsidRPr="007C4598">
        <w:rPr>
          <w:lang w:val="es-419" w:eastAsia="en-US"/>
        </w:rPr>
        <w:t xml:space="preserve">Algunas Partes Contratantes en las Actas de 1999 y de 1960, como Hungría, Kirguistán y la República de </w:t>
      </w:r>
      <w:proofErr w:type="spellStart"/>
      <w:r w:rsidRPr="007C4598">
        <w:rPr>
          <w:lang w:val="es-419" w:eastAsia="en-US"/>
        </w:rPr>
        <w:t>Moldova</w:t>
      </w:r>
      <w:proofErr w:type="spellEnd"/>
      <w:r w:rsidRPr="007C4598">
        <w:rPr>
          <w:lang w:val="es-419" w:eastAsia="en-US"/>
        </w:rPr>
        <w:t xml:space="preserve">, han formulado esas dos declaraciones. </w:t>
      </w:r>
      <w:r w:rsidR="00140A28">
        <w:rPr>
          <w:lang w:val="es-419" w:eastAsia="en-US"/>
        </w:rPr>
        <w:t xml:space="preserve"> </w:t>
      </w:r>
      <w:r w:rsidRPr="007C4598">
        <w:rPr>
          <w:lang w:val="es-419" w:eastAsia="en-US"/>
        </w:rPr>
        <w:t xml:space="preserve">En consecuencia, la tasa de designación (estándar o individual) variará, si el registro internacional ha de renovarse con respecto a las designaciones de esas Partes Contratantes, en función del acta que rija </w:t>
      </w:r>
      <w:r w:rsidR="000F7541">
        <w:rPr>
          <w:lang w:val="es-419" w:eastAsia="en-US"/>
        </w:rPr>
        <w:t>sus</w:t>
      </w:r>
      <w:r w:rsidR="000F7541" w:rsidRPr="007C4598">
        <w:rPr>
          <w:lang w:val="es-419" w:eastAsia="en-US"/>
        </w:rPr>
        <w:t xml:space="preserve"> </w:t>
      </w:r>
      <w:r w:rsidRPr="007C4598">
        <w:rPr>
          <w:lang w:val="es-419" w:eastAsia="en-US"/>
        </w:rPr>
        <w:t>designaciones (Regla</w:t>
      </w:r>
      <w:r w:rsidR="00140A28">
        <w:rPr>
          <w:lang w:val="es-419" w:eastAsia="en-US"/>
        </w:rPr>
        <w:t> </w:t>
      </w:r>
      <w:proofErr w:type="gramStart"/>
      <w:r w:rsidRPr="007C4598">
        <w:rPr>
          <w:lang w:val="es-419" w:eastAsia="en-US"/>
        </w:rPr>
        <w:t>24.1)a</w:t>
      </w:r>
      <w:proofErr w:type="gramEnd"/>
      <w:r w:rsidRPr="007C4598">
        <w:rPr>
          <w:lang w:val="es-419" w:eastAsia="en-US"/>
        </w:rPr>
        <w:t>)ii)</w:t>
      </w:r>
      <w:r w:rsidR="00140A28">
        <w:rPr>
          <w:lang w:val="es-419" w:eastAsia="en-US"/>
        </w:rPr>
        <w:t> </w:t>
      </w:r>
      <w:r w:rsidRPr="007C4598">
        <w:rPr>
          <w:lang w:val="es-419" w:eastAsia="en-US"/>
        </w:rPr>
        <w:t>y</w:t>
      </w:r>
      <w:r w:rsidR="00140A28">
        <w:rPr>
          <w:lang w:val="es-419" w:eastAsia="en-US"/>
        </w:rPr>
        <w:t> </w:t>
      </w:r>
      <w:r w:rsidRPr="007C4598">
        <w:rPr>
          <w:lang w:val="es-419" w:eastAsia="en-US"/>
        </w:rPr>
        <w:t>iii)).</w:t>
      </w:r>
    </w:p>
    <w:p w:rsidR="005D5D88" w:rsidRPr="007C4598" w:rsidRDefault="005D5D88" w:rsidP="00946E57">
      <w:pPr>
        <w:pStyle w:val="ONUMFS"/>
        <w:rPr>
          <w:rFonts w:eastAsia="Times New Roman"/>
          <w:lang w:val="es-419" w:eastAsia="en-US"/>
        </w:rPr>
      </w:pPr>
      <w:r w:rsidRPr="007C4598">
        <w:rPr>
          <w:lang w:val="es-419" w:eastAsia="en-US"/>
        </w:rPr>
        <w:t xml:space="preserve">Por último, cuando la solicitud internacional se rija exclusivamente por el Acta de 1999 y se presente por conducto de una Oficina, la fecha de recepción en la Oficina será la fecha de presentación, siempre que la Oficina Internacional la reciba en el plazo de un mes a partir de esa fecha (Regla </w:t>
      </w:r>
      <w:proofErr w:type="gramStart"/>
      <w:r w:rsidRPr="007C4598">
        <w:rPr>
          <w:lang w:val="es-419" w:eastAsia="en-US"/>
        </w:rPr>
        <w:t>13.3)i</w:t>
      </w:r>
      <w:proofErr w:type="gramEnd"/>
      <w:r w:rsidRPr="007C4598">
        <w:rPr>
          <w:lang w:val="es-419" w:eastAsia="en-US"/>
        </w:rPr>
        <w:t xml:space="preserve">)). </w:t>
      </w:r>
      <w:r w:rsidR="00140A28">
        <w:rPr>
          <w:lang w:val="es-419" w:eastAsia="en-US"/>
        </w:rPr>
        <w:t xml:space="preserve"> </w:t>
      </w:r>
      <w:r w:rsidRPr="007C4598">
        <w:rPr>
          <w:lang w:val="es-419" w:eastAsia="en-US"/>
        </w:rPr>
        <w:t>No obstante, si alguna de las Partes Contratantes</w:t>
      </w:r>
      <w:r w:rsidR="00B875B3">
        <w:rPr>
          <w:lang w:val="es-419" w:eastAsia="en-US"/>
        </w:rPr>
        <w:t xml:space="preserve"> designadas</w:t>
      </w:r>
      <w:r w:rsidRPr="007C4598">
        <w:rPr>
          <w:lang w:val="es-419" w:eastAsia="en-US"/>
        </w:rPr>
        <w:t xml:space="preserve"> es designada en virtud del Acta de 1960 –</w:t>
      </w:r>
      <w:r w:rsidR="00140A28">
        <w:rPr>
          <w:lang w:val="es-419" w:eastAsia="en-US"/>
        </w:rPr>
        <w:t xml:space="preserve"> </w:t>
      </w:r>
      <w:r w:rsidRPr="007C4598">
        <w:rPr>
          <w:lang w:val="es-419" w:eastAsia="en-US"/>
        </w:rPr>
        <w:t>de modo que la solicitud internacional se rija exclusiva o parcialmente por el Acta de 1960</w:t>
      </w:r>
      <w:r w:rsidR="00140A28">
        <w:rPr>
          <w:lang w:val="es-419" w:eastAsia="en-US"/>
        </w:rPr>
        <w:t xml:space="preserve"> </w:t>
      </w:r>
      <w:r w:rsidRPr="007C4598">
        <w:rPr>
          <w:lang w:val="es-419" w:eastAsia="en-US"/>
        </w:rPr>
        <w:t xml:space="preserve">–, la fecha de presentación deberá ser la fecha en que la Oficina Internacional reciba la solicitud (Regla </w:t>
      </w:r>
      <w:proofErr w:type="gramStart"/>
      <w:r w:rsidRPr="007C4598">
        <w:rPr>
          <w:lang w:val="es-419" w:eastAsia="en-US"/>
        </w:rPr>
        <w:t>13.3)ii</w:t>
      </w:r>
      <w:proofErr w:type="gramEnd"/>
      <w:r w:rsidRPr="007C4598">
        <w:rPr>
          <w:lang w:val="es-419" w:eastAsia="en-US"/>
        </w:rPr>
        <w:t>)).</w:t>
      </w:r>
    </w:p>
    <w:p w:rsidR="005D5D88" w:rsidRPr="007C4598" w:rsidRDefault="005D5D88" w:rsidP="005D5D88">
      <w:pPr>
        <w:pStyle w:val="Heading1"/>
        <w:spacing w:before="480" w:after="240"/>
        <w:rPr>
          <w:lang w:val="es-419"/>
        </w:rPr>
      </w:pPr>
      <w:r w:rsidRPr="007C4598">
        <w:rPr>
          <w:lang w:val="es-419"/>
        </w:rPr>
        <w:lastRenderedPageBreak/>
        <w:t>V.</w:t>
      </w:r>
      <w:r w:rsidRPr="007C4598">
        <w:rPr>
          <w:b w:val="0"/>
          <w:lang w:val="es-419"/>
        </w:rPr>
        <w:tab/>
      </w:r>
      <w:r w:rsidRPr="007C4598">
        <w:rPr>
          <w:lang w:val="es-419"/>
        </w:rPr>
        <w:t>CONCLUSIONES</w:t>
      </w:r>
    </w:p>
    <w:p w:rsidR="005D5D88" w:rsidRPr="007C4598" w:rsidRDefault="005D5D88" w:rsidP="00214D64">
      <w:pPr>
        <w:pStyle w:val="ONUMFS"/>
        <w:rPr>
          <w:lang w:val="es-419" w:eastAsia="en-US"/>
        </w:rPr>
      </w:pPr>
      <w:r w:rsidRPr="007C4598">
        <w:rPr>
          <w:lang w:val="es-419"/>
        </w:rPr>
        <w:t xml:space="preserve">Si bien ha disminuido el uso del Acta de 1960, esta sigue </w:t>
      </w:r>
      <w:r w:rsidR="00140A28">
        <w:rPr>
          <w:lang w:val="es-419"/>
        </w:rPr>
        <w:t>teniéndose</w:t>
      </w:r>
      <w:r w:rsidR="00B875B3">
        <w:rPr>
          <w:lang w:val="es-419"/>
        </w:rPr>
        <w:t xml:space="preserve"> </w:t>
      </w:r>
      <w:r w:rsidRPr="007C4598">
        <w:rPr>
          <w:lang w:val="es-419"/>
        </w:rPr>
        <w:t xml:space="preserve">plenamente en </w:t>
      </w:r>
      <w:r w:rsidR="00B875B3">
        <w:rPr>
          <w:lang w:val="es-419"/>
        </w:rPr>
        <w:t>cuenta</w:t>
      </w:r>
      <w:r w:rsidRPr="007C4598">
        <w:rPr>
          <w:lang w:val="es-419"/>
        </w:rPr>
        <w:t xml:space="preserve">. </w:t>
      </w:r>
      <w:r w:rsidR="00140A28">
        <w:rPr>
          <w:lang w:val="es-419"/>
        </w:rPr>
        <w:t xml:space="preserve"> </w:t>
      </w:r>
      <w:r w:rsidRPr="007C4598">
        <w:rPr>
          <w:lang w:val="es-419"/>
        </w:rPr>
        <w:t>La coexistencia de ambas actas, con sus procedimientos paralelos, no solo crea cier</w:t>
      </w:r>
      <w:r w:rsidR="002A2962" w:rsidRPr="007C4598">
        <w:rPr>
          <w:lang w:val="es-419"/>
        </w:rPr>
        <w:t>ta complejidad jurídica y procediment</w:t>
      </w:r>
      <w:r w:rsidRPr="007C4598">
        <w:rPr>
          <w:lang w:val="es-419"/>
        </w:rPr>
        <w:t xml:space="preserve">al, como se describe en los párrafos precedentes, sino que también aumenta los costos de gestión. </w:t>
      </w:r>
      <w:r w:rsidR="00140A28">
        <w:rPr>
          <w:lang w:val="es-419"/>
        </w:rPr>
        <w:t xml:space="preserve"> </w:t>
      </w:r>
      <w:r w:rsidRPr="007C4598">
        <w:rPr>
          <w:lang w:val="es-419"/>
        </w:rPr>
        <w:t>Así pues, en la propuesta de presupuesto por programas para el bienio 2020/21, “Predominio del Acta de 1999 en el Sistema” sigue siendo un indicador de rendimiento vinculado al resultado previsto de “Mejora de la productividad y de la calidad de los servicios en las operaciones del Sistema de La Haya”</w:t>
      </w:r>
      <w:r w:rsidRPr="007C4598">
        <w:rPr>
          <w:rStyle w:val="FootnoteReference"/>
          <w:lang w:val="es-419"/>
        </w:rPr>
        <w:footnoteReference w:id="6"/>
      </w:r>
      <w:r w:rsidR="00140A28">
        <w:rPr>
          <w:lang w:val="es-419"/>
        </w:rPr>
        <w:t xml:space="preserve">. </w:t>
      </w:r>
      <w:r w:rsidRPr="007C4598">
        <w:rPr>
          <w:lang w:val="es-419"/>
        </w:rPr>
        <w:t xml:space="preserve"> A medida que más Partes Contratantes del Acta de 1960 se adhieran al Acta de 1999, cabe esperar que en la práctica la pertinencia del Acta de 1960 disminuya hasta el punto de que se considere la posibilidad de adoptar medidas para que el sistema se base </w:t>
      </w:r>
      <w:r w:rsidR="00C54E9A">
        <w:rPr>
          <w:lang w:val="es-419"/>
        </w:rPr>
        <w:t>solamente</w:t>
      </w:r>
      <w:r w:rsidR="00C54E9A" w:rsidRPr="00C54E9A">
        <w:rPr>
          <w:color w:val="000000"/>
          <w:sz w:val="17"/>
        </w:rPr>
        <w:t xml:space="preserve"> </w:t>
      </w:r>
      <w:r w:rsidRPr="007C4598">
        <w:rPr>
          <w:lang w:val="es-419"/>
        </w:rPr>
        <w:t>en el Acta de 1999</w:t>
      </w:r>
      <w:r w:rsidRPr="007C4598">
        <w:rPr>
          <w:rStyle w:val="FootnoteReference"/>
          <w:lang w:val="es-419"/>
        </w:rPr>
        <w:footnoteReference w:id="7"/>
      </w:r>
      <w:r w:rsidR="00140A28">
        <w:rPr>
          <w:lang w:val="es-419"/>
        </w:rPr>
        <w:t xml:space="preserve">. </w:t>
      </w:r>
      <w:r w:rsidRPr="007C4598">
        <w:rPr>
          <w:lang w:val="es-419"/>
        </w:rPr>
        <w:t xml:space="preserve"> La Oficina Internacional seguirá atentamente la evolución de la situación e informará al Grupo de Trabajo al respecto.</w:t>
      </w:r>
    </w:p>
    <w:p w:rsidR="005D5D88" w:rsidRPr="007C4598" w:rsidRDefault="005D5D88" w:rsidP="001C10C1">
      <w:pPr>
        <w:pStyle w:val="ONUMFS"/>
        <w:ind w:left="5534"/>
        <w:rPr>
          <w:lang w:val="es-419"/>
        </w:rPr>
      </w:pPr>
      <w:r w:rsidRPr="007C4598">
        <w:rPr>
          <w:i/>
          <w:lang w:val="es-419"/>
        </w:rPr>
        <w:t>Se invita al Grupo de Trabajo a tomar nota del contenido del presente documento.</w:t>
      </w:r>
    </w:p>
    <w:p w:rsidR="005D5D88" w:rsidRPr="007C4598" w:rsidRDefault="005D5D88" w:rsidP="005D5D88">
      <w:pPr>
        <w:pStyle w:val="Endofdocument-Annex"/>
        <w:spacing w:before="720"/>
        <w:rPr>
          <w:lang w:val="es-419"/>
        </w:rPr>
      </w:pPr>
      <w:r w:rsidRPr="007C4598">
        <w:rPr>
          <w:lang w:val="es-419"/>
        </w:rPr>
        <w:t>[Siguen los Anexos]</w:t>
      </w:r>
    </w:p>
    <w:p w:rsidR="005D5D88" w:rsidRPr="007C4598" w:rsidRDefault="005D5D88" w:rsidP="005D5D88">
      <w:pPr>
        <w:rPr>
          <w:lang w:val="es-419"/>
        </w:rPr>
      </w:pPr>
    </w:p>
    <w:p w:rsidR="005D5D88" w:rsidRPr="007C4598" w:rsidRDefault="005D5D88" w:rsidP="005D5D88">
      <w:pPr>
        <w:rPr>
          <w:lang w:val="es-419"/>
        </w:rPr>
        <w:sectPr w:rsidR="005D5D88" w:rsidRPr="007C4598" w:rsidSect="002D1BB9">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5D5D88" w:rsidRPr="007C4598" w:rsidRDefault="005D5D88" w:rsidP="005D5D88">
      <w:pPr>
        <w:outlineLvl w:val="0"/>
        <w:rPr>
          <w:b/>
          <w:lang w:val="es-419"/>
        </w:rPr>
      </w:pPr>
      <w:bookmarkStart w:id="5" w:name="RANGE!A1:E27"/>
      <w:bookmarkEnd w:id="5"/>
      <w:r w:rsidRPr="007C4598">
        <w:rPr>
          <w:b/>
          <w:lang w:val="es-419"/>
        </w:rPr>
        <w:lastRenderedPageBreak/>
        <w:t>MIEMBROS DE LA UNIÓN DE LA HAYA</w:t>
      </w:r>
      <w:r w:rsidRPr="007C4598">
        <w:rPr>
          <w:rStyle w:val="FootnoteReference"/>
          <w:b/>
          <w:lang w:val="es-419"/>
        </w:rPr>
        <w:footnoteReference w:id="8"/>
      </w:r>
    </w:p>
    <w:p w:rsidR="005D5D88" w:rsidRPr="007C4598" w:rsidRDefault="006D1DAD" w:rsidP="005D5D88">
      <w:pPr>
        <w:spacing w:before="240"/>
        <w:outlineLvl w:val="0"/>
        <w:rPr>
          <w:b/>
          <w:lang w:val="es-419"/>
        </w:rPr>
      </w:pPr>
      <w:r w:rsidRPr="007C4598">
        <w:rPr>
          <w:b/>
          <w:lang w:val="es-419"/>
        </w:rPr>
        <w:t>Obligados</w:t>
      </w:r>
      <w:r w:rsidR="005D5D88" w:rsidRPr="007C4598">
        <w:rPr>
          <w:b/>
          <w:lang w:val="es-419"/>
        </w:rPr>
        <w:t xml:space="preserve"> únicamente </w:t>
      </w:r>
      <w:r w:rsidRPr="007C4598">
        <w:rPr>
          <w:b/>
          <w:lang w:val="es-419"/>
        </w:rPr>
        <w:t>por e</w:t>
      </w:r>
      <w:r w:rsidR="005D5D88" w:rsidRPr="007C4598">
        <w:rPr>
          <w:b/>
          <w:lang w:val="es-419"/>
        </w:rPr>
        <w:t>l Acta de 1999</w:t>
      </w:r>
    </w:p>
    <w:p w:rsidR="005D5D88" w:rsidRPr="007C4598" w:rsidRDefault="005D5D88" w:rsidP="005D5D88">
      <w:pPr>
        <w:spacing w:before="240"/>
        <w:rPr>
          <w:lang w:val="es-419"/>
        </w:rPr>
      </w:pPr>
      <w:r w:rsidRPr="007C4598">
        <w:rPr>
          <w:lang w:val="es-419"/>
        </w:rPr>
        <w:t xml:space="preserve">Armenia, Azerbaiyán, Bosnia y Herzegovina, </w:t>
      </w:r>
      <w:proofErr w:type="spellStart"/>
      <w:r w:rsidRPr="007C4598">
        <w:rPr>
          <w:lang w:val="es-419"/>
        </w:rPr>
        <w:t>Botswana</w:t>
      </w:r>
      <w:proofErr w:type="spellEnd"/>
      <w:r w:rsidRPr="007C4598">
        <w:rPr>
          <w:lang w:val="es-419"/>
        </w:rPr>
        <w:t xml:space="preserve">, Brunei Darussalam, Camboya, Canadá, Dinamarca, Egipto, España, Estados Unidos de América, Estonia, Federación de Rusia, Finlandia, Ghana, Islandia, Japón, Letonia, Lituania, Namibia, Noruega, Omán, Organización Africana de la Propiedad Intelectual (OAPI), Polonia, Reino Unido, República Árabe Siria, República de Corea, </w:t>
      </w:r>
      <w:proofErr w:type="spellStart"/>
      <w:r w:rsidRPr="007C4598">
        <w:rPr>
          <w:lang w:val="es-419"/>
        </w:rPr>
        <w:t>Rwanda</w:t>
      </w:r>
      <w:proofErr w:type="spellEnd"/>
      <w:r w:rsidRPr="007C4598">
        <w:rPr>
          <w:lang w:val="es-419"/>
        </w:rPr>
        <w:t>, San Marino, Santo Tomé y Príncipe, Singapur, Tayikistán, Túnez, Turkmenistán, Turquía y la Unión Europea (36)</w:t>
      </w:r>
    </w:p>
    <w:p w:rsidR="005D5D88" w:rsidRPr="007C4598" w:rsidRDefault="006D1DAD" w:rsidP="005D5D88">
      <w:pPr>
        <w:spacing w:before="240"/>
        <w:outlineLvl w:val="0"/>
        <w:rPr>
          <w:b/>
          <w:lang w:val="es-419"/>
        </w:rPr>
      </w:pPr>
      <w:r w:rsidRPr="007C4598">
        <w:rPr>
          <w:b/>
          <w:lang w:val="es-419"/>
        </w:rPr>
        <w:t xml:space="preserve">Obligados por el </w:t>
      </w:r>
      <w:r w:rsidR="005D5D88" w:rsidRPr="007C4598">
        <w:rPr>
          <w:b/>
          <w:lang w:val="es-419"/>
        </w:rPr>
        <w:t xml:space="preserve">Acta de 1999 y </w:t>
      </w:r>
      <w:r w:rsidRPr="007C4598">
        <w:rPr>
          <w:b/>
          <w:lang w:val="es-419"/>
        </w:rPr>
        <w:t>e</w:t>
      </w:r>
      <w:r w:rsidR="005D5D88" w:rsidRPr="007C4598">
        <w:rPr>
          <w:b/>
          <w:lang w:val="es-419"/>
        </w:rPr>
        <w:t>l Acta de 1960</w:t>
      </w:r>
    </w:p>
    <w:p w:rsidR="005D5D88" w:rsidRPr="007C4598" w:rsidRDefault="005D5D88" w:rsidP="005D5D88">
      <w:pPr>
        <w:spacing w:before="240"/>
        <w:rPr>
          <w:lang w:val="es-419"/>
        </w:rPr>
      </w:pPr>
      <w:r w:rsidRPr="007C4598">
        <w:rPr>
          <w:lang w:val="es-419"/>
        </w:rPr>
        <w:t>Albania, Alemania, Bélgica, Belice, Bulgaria, Croacia, Eslovenia, Francia</w:t>
      </w:r>
      <w:r w:rsidR="00883787" w:rsidRPr="007C4598">
        <w:rPr>
          <w:lang w:val="es-419"/>
        </w:rPr>
        <w:t>,</w:t>
      </w:r>
      <w:r w:rsidRPr="007C4598">
        <w:rPr>
          <w:lang w:val="es-419"/>
        </w:rPr>
        <w:t xml:space="preserve"> Georgia, Hungría, Kirguistán, Liechtenstein, Luxemburgo, Macedonia del Norte, Mónaco, Mongolia, Montenegro, Países Bajos, República de </w:t>
      </w:r>
      <w:proofErr w:type="spellStart"/>
      <w:r w:rsidRPr="007C4598">
        <w:rPr>
          <w:lang w:val="es-419"/>
        </w:rPr>
        <w:t>Moldova</w:t>
      </w:r>
      <w:proofErr w:type="spellEnd"/>
      <w:r w:rsidRPr="007C4598">
        <w:rPr>
          <w:lang w:val="es-419"/>
        </w:rPr>
        <w:t>, República Popular Democrática de Corea, Rumania, Serbia, Suiza y Ucrania (</w:t>
      </w:r>
      <w:r w:rsidR="00883787" w:rsidRPr="007C4598">
        <w:rPr>
          <w:lang w:val="es-419"/>
        </w:rPr>
        <w:t>24</w:t>
      </w:r>
      <w:r w:rsidRPr="007C4598">
        <w:rPr>
          <w:lang w:val="es-419"/>
        </w:rPr>
        <w:t>)</w:t>
      </w:r>
    </w:p>
    <w:p w:rsidR="005D5D88" w:rsidRPr="007C4598" w:rsidRDefault="00D81D9D" w:rsidP="005D5D88">
      <w:pPr>
        <w:spacing w:before="240"/>
        <w:outlineLvl w:val="0"/>
        <w:rPr>
          <w:b/>
          <w:lang w:val="es-419"/>
        </w:rPr>
      </w:pPr>
      <w:r w:rsidRPr="007C4598">
        <w:rPr>
          <w:b/>
          <w:lang w:val="es-419"/>
        </w:rPr>
        <w:t>Obligados</w:t>
      </w:r>
      <w:r w:rsidR="005D5D88" w:rsidRPr="007C4598">
        <w:rPr>
          <w:b/>
          <w:lang w:val="es-419"/>
        </w:rPr>
        <w:t xml:space="preserve"> únicamente </w:t>
      </w:r>
      <w:r w:rsidRPr="007C4598">
        <w:rPr>
          <w:b/>
          <w:lang w:val="es-419"/>
        </w:rPr>
        <w:t>por e</w:t>
      </w:r>
      <w:r w:rsidR="005D5D88" w:rsidRPr="007C4598">
        <w:rPr>
          <w:b/>
          <w:lang w:val="es-419"/>
        </w:rPr>
        <w:t>l Acta de 1960</w:t>
      </w:r>
    </w:p>
    <w:p w:rsidR="005D5D88" w:rsidRPr="007C4598" w:rsidRDefault="005D5D88" w:rsidP="005D5D88">
      <w:pPr>
        <w:spacing w:before="240" w:after="720"/>
        <w:rPr>
          <w:lang w:val="es-419"/>
        </w:rPr>
      </w:pPr>
      <w:proofErr w:type="spellStart"/>
      <w:r w:rsidRPr="007C4598">
        <w:rPr>
          <w:lang w:val="es-419"/>
        </w:rPr>
        <w:t>Benin</w:t>
      </w:r>
      <w:proofErr w:type="spellEnd"/>
      <w:r w:rsidRPr="007C4598">
        <w:rPr>
          <w:rStyle w:val="FootnoteReference"/>
          <w:lang w:val="es-419"/>
        </w:rPr>
        <w:footnoteReference w:id="9"/>
      </w:r>
      <w:r w:rsidR="00F11CFC">
        <w:rPr>
          <w:lang w:val="es-419"/>
        </w:rPr>
        <w:t>,</w:t>
      </w:r>
      <w:r w:rsidRPr="007C4598">
        <w:rPr>
          <w:lang w:val="es-419"/>
        </w:rPr>
        <w:t xml:space="preserve"> </w:t>
      </w:r>
      <w:proofErr w:type="spellStart"/>
      <w:r w:rsidRPr="007C4598">
        <w:rPr>
          <w:lang w:val="es-419"/>
        </w:rPr>
        <w:t>Côte</w:t>
      </w:r>
      <w:proofErr w:type="spellEnd"/>
      <w:r w:rsidRPr="007C4598">
        <w:rPr>
          <w:lang w:val="es-419"/>
        </w:rPr>
        <w:t xml:space="preserve"> </w:t>
      </w:r>
      <w:proofErr w:type="spellStart"/>
      <w:r w:rsidRPr="007C4598">
        <w:rPr>
          <w:lang w:val="es-419"/>
        </w:rPr>
        <w:t>d’Ivoire</w:t>
      </w:r>
      <w:proofErr w:type="spellEnd"/>
      <w:r w:rsidRPr="007C4598">
        <w:rPr>
          <w:rStyle w:val="FootnoteReference"/>
          <w:lang w:val="es-419"/>
        </w:rPr>
        <w:footnoteReference w:id="10"/>
      </w:r>
      <w:r w:rsidR="00F11CFC">
        <w:rPr>
          <w:lang w:val="es-419"/>
        </w:rPr>
        <w:t>,</w:t>
      </w:r>
      <w:r w:rsidRPr="007C4598">
        <w:rPr>
          <w:lang w:val="es-419"/>
        </w:rPr>
        <w:t xml:space="preserve"> Gabón</w:t>
      </w:r>
      <w:r w:rsidRPr="007C4598">
        <w:rPr>
          <w:rStyle w:val="FootnoteReference"/>
          <w:lang w:val="es-419"/>
        </w:rPr>
        <w:footnoteReference w:id="11"/>
      </w:r>
      <w:r w:rsidR="00F11CFC">
        <w:rPr>
          <w:lang w:val="es-419"/>
        </w:rPr>
        <w:t>,</w:t>
      </w:r>
      <w:r w:rsidRPr="007C4598">
        <w:rPr>
          <w:lang w:val="es-419"/>
        </w:rPr>
        <w:t xml:space="preserve"> Grecia</w:t>
      </w:r>
      <w:r w:rsidRPr="007C4598">
        <w:rPr>
          <w:rStyle w:val="FootnoteReference"/>
          <w:lang w:val="es-419"/>
        </w:rPr>
        <w:footnoteReference w:id="12"/>
      </w:r>
      <w:r w:rsidR="00F11CFC">
        <w:rPr>
          <w:lang w:val="es-419"/>
        </w:rPr>
        <w:t>,</w:t>
      </w:r>
      <w:r w:rsidRPr="007C4598">
        <w:rPr>
          <w:lang w:val="es-419"/>
        </w:rPr>
        <w:t xml:space="preserve"> Italia</w:t>
      </w:r>
      <w:r w:rsidRPr="007C4598">
        <w:rPr>
          <w:rStyle w:val="FootnoteReference"/>
          <w:lang w:val="es-419"/>
        </w:rPr>
        <w:footnoteReference w:id="13"/>
      </w:r>
      <w:r w:rsidR="00F11CFC">
        <w:rPr>
          <w:lang w:val="es-419"/>
        </w:rPr>
        <w:t>,</w:t>
      </w:r>
      <w:r w:rsidRPr="007C4598">
        <w:rPr>
          <w:lang w:val="es-419"/>
        </w:rPr>
        <w:t xml:space="preserve"> Malí</w:t>
      </w:r>
      <w:r w:rsidRPr="007C4598">
        <w:rPr>
          <w:rStyle w:val="FootnoteReference"/>
          <w:lang w:val="es-419"/>
        </w:rPr>
        <w:footnoteReference w:id="14"/>
      </w:r>
      <w:r w:rsidR="00F11CFC">
        <w:rPr>
          <w:lang w:val="es-419"/>
        </w:rPr>
        <w:t>,</w:t>
      </w:r>
      <w:r w:rsidRPr="007C4598">
        <w:rPr>
          <w:lang w:val="es-419"/>
        </w:rPr>
        <w:t xml:space="preserve"> Marruecos, Níger</w:t>
      </w:r>
      <w:r w:rsidRPr="007C4598">
        <w:rPr>
          <w:rStyle w:val="FootnoteReference"/>
          <w:lang w:val="es-419"/>
        </w:rPr>
        <w:footnoteReference w:id="15"/>
      </w:r>
      <w:r w:rsidR="00F11CFC">
        <w:rPr>
          <w:lang w:val="es-419"/>
        </w:rPr>
        <w:t>,</w:t>
      </w:r>
      <w:r w:rsidRPr="007C4598">
        <w:rPr>
          <w:lang w:val="es-419"/>
        </w:rPr>
        <w:t xml:space="preserve"> Senegal</w:t>
      </w:r>
      <w:r w:rsidRPr="007C4598">
        <w:rPr>
          <w:rStyle w:val="FootnoteReference"/>
          <w:lang w:val="es-419"/>
        </w:rPr>
        <w:footnoteReference w:id="16"/>
      </w:r>
      <w:r w:rsidRPr="007C4598">
        <w:rPr>
          <w:lang w:val="es-419"/>
        </w:rPr>
        <w:t xml:space="preserve"> y </w:t>
      </w:r>
      <w:proofErr w:type="spellStart"/>
      <w:r w:rsidRPr="007C4598">
        <w:rPr>
          <w:lang w:val="es-419"/>
        </w:rPr>
        <w:t>Suriname</w:t>
      </w:r>
      <w:proofErr w:type="spellEnd"/>
      <w:r w:rsidRPr="007C4598">
        <w:rPr>
          <w:lang w:val="es-419"/>
        </w:rPr>
        <w:t> (10)</w:t>
      </w:r>
    </w:p>
    <w:p w:rsidR="005D5D88" w:rsidRPr="007C4598" w:rsidRDefault="005D5D88" w:rsidP="005D5D88">
      <w:pPr>
        <w:pStyle w:val="Endofdocument-Annex"/>
        <w:rPr>
          <w:lang w:val="es-419"/>
        </w:rPr>
        <w:sectPr w:rsidR="005D5D88" w:rsidRPr="007C4598" w:rsidSect="00AF24C3">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type w:val="nextColumn"/>
          <w:pgSz w:w="11907" w:h="16840" w:code="9"/>
          <w:pgMar w:top="567" w:right="1134" w:bottom="1418" w:left="1418" w:header="510" w:footer="1021" w:gutter="0"/>
          <w:pgNumType w:start="1"/>
          <w:cols w:space="720"/>
          <w:titlePg/>
          <w:docGrid w:linePitch="299"/>
        </w:sectPr>
      </w:pPr>
      <w:r w:rsidRPr="007C4598">
        <w:rPr>
          <w:lang w:val="es-419"/>
        </w:rPr>
        <w:t>[Sigue el Anexo II]</w:t>
      </w:r>
    </w:p>
    <w:p w:rsidR="005D5D88" w:rsidRPr="007C4598" w:rsidRDefault="005D5D88" w:rsidP="005D5D88">
      <w:pPr>
        <w:outlineLvl w:val="0"/>
        <w:rPr>
          <w:b/>
          <w:lang w:val="es-419"/>
        </w:rPr>
      </w:pPr>
      <w:r w:rsidRPr="007C4598">
        <w:rPr>
          <w:b/>
          <w:lang w:val="es-419"/>
        </w:rPr>
        <w:lastRenderedPageBreak/>
        <w:t xml:space="preserve">MIEMBROS DE LA UNIÓN DE LA HAYA </w:t>
      </w:r>
      <w:r w:rsidR="0082514A">
        <w:rPr>
          <w:b/>
          <w:lang w:val="es-419"/>
        </w:rPr>
        <w:t xml:space="preserve">DE CONFORMIDAD </w:t>
      </w:r>
      <w:r w:rsidRPr="007C4598">
        <w:rPr>
          <w:b/>
          <w:lang w:val="es-419"/>
        </w:rPr>
        <w:t xml:space="preserve">CON </w:t>
      </w:r>
      <w:r w:rsidR="0082514A">
        <w:rPr>
          <w:b/>
          <w:lang w:val="es-419"/>
        </w:rPr>
        <w:t>EL</w:t>
      </w:r>
      <w:r w:rsidRPr="007C4598">
        <w:rPr>
          <w:b/>
          <w:lang w:val="es-419"/>
        </w:rPr>
        <w:t xml:space="preserve"> ACTA MÁS RECIENTE</w:t>
      </w:r>
      <w:r w:rsidRPr="007C4598">
        <w:rPr>
          <w:rStyle w:val="FootnoteReference"/>
          <w:b/>
          <w:lang w:val="es-419"/>
        </w:rPr>
        <w:footnoteReference w:id="17"/>
      </w:r>
    </w:p>
    <w:p w:rsidR="005D5D88" w:rsidRPr="007C4598" w:rsidRDefault="005D5D88" w:rsidP="005D5D88">
      <w:pPr>
        <w:outlineLvl w:val="0"/>
        <w:rPr>
          <w:b/>
          <w:lang w:val="es-419"/>
        </w:rPr>
      </w:pPr>
    </w:p>
    <w:p w:rsidR="005D5D88" w:rsidRPr="007C4598" w:rsidRDefault="005D5D88" w:rsidP="005D5D88">
      <w:pPr>
        <w:ind w:left="993"/>
        <w:rPr>
          <w:lang w:val="es-419"/>
        </w:rPr>
      </w:pPr>
      <w:r w:rsidRPr="007C4598">
        <w:rPr>
          <w:noProof/>
          <w:lang w:val="en-US" w:eastAsia="en-US"/>
        </w:rPr>
        <w:drawing>
          <wp:inline distT="0" distB="0" distL="0" distR="0" wp14:anchorId="4E19B2CA" wp14:editId="4AECC028">
            <wp:extent cx="8065770" cy="433197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65770" cy="4331970"/>
                    </a:xfrm>
                    <a:prstGeom prst="rect">
                      <a:avLst/>
                    </a:prstGeom>
                    <a:noFill/>
                    <a:ln>
                      <a:noFill/>
                    </a:ln>
                  </pic:spPr>
                </pic:pic>
              </a:graphicData>
            </a:graphic>
          </wp:inline>
        </w:drawing>
      </w:r>
    </w:p>
    <w:p w:rsidR="005D5D88" w:rsidRPr="007C4598" w:rsidRDefault="005D5D88" w:rsidP="005D5D88">
      <w:pPr>
        <w:ind w:left="993"/>
        <w:rPr>
          <w:lang w:val="es-419"/>
        </w:rPr>
      </w:pPr>
    </w:p>
    <w:p w:rsidR="005D5D88" w:rsidRPr="007C4598" w:rsidRDefault="005D5D88" w:rsidP="005D5D88">
      <w:pPr>
        <w:rPr>
          <w:lang w:val="es-419"/>
        </w:rPr>
      </w:pPr>
    </w:p>
    <w:p w:rsidR="005D5D88" w:rsidRPr="007C4598" w:rsidRDefault="005D5D88" w:rsidP="005D5D88">
      <w:pPr>
        <w:rPr>
          <w:lang w:val="es-419"/>
        </w:rPr>
      </w:pPr>
    </w:p>
    <w:p w:rsidR="005D5D88" w:rsidRPr="007C4598" w:rsidRDefault="005D5D88" w:rsidP="005D5D88">
      <w:pPr>
        <w:pStyle w:val="Endofdocument-Annex"/>
        <w:ind w:left="8789"/>
        <w:rPr>
          <w:lang w:val="es-419"/>
        </w:rPr>
      </w:pPr>
      <w:r w:rsidRPr="007C4598">
        <w:rPr>
          <w:lang w:val="es-419"/>
        </w:rPr>
        <w:t>[Sigue el Anexo III]</w:t>
      </w:r>
    </w:p>
    <w:p w:rsidR="005D5D88" w:rsidRPr="007C4598" w:rsidRDefault="005D5D88" w:rsidP="005D5D88">
      <w:pPr>
        <w:rPr>
          <w:lang w:val="es-419"/>
        </w:rPr>
      </w:pPr>
    </w:p>
    <w:p w:rsidR="005D5D88" w:rsidRPr="007C4598" w:rsidRDefault="005D5D88" w:rsidP="005D5D88">
      <w:pPr>
        <w:rPr>
          <w:lang w:val="es-419"/>
        </w:rPr>
        <w:sectPr w:rsidR="005D5D88" w:rsidRPr="007C4598" w:rsidSect="00AF24C3">
          <w:headerReference w:type="even" r:id="rId21"/>
          <w:headerReference w:type="default" r:id="rId22"/>
          <w:footerReference w:type="even" r:id="rId23"/>
          <w:footerReference w:type="default" r:id="rId24"/>
          <w:headerReference w:type="first" r:id="rId25"/>
          <w:footerReference w:type="first" r:id="rId26"/>
          <w:footnotePr>
            <w:numFmt w:val="chicago"/>
            <w:numRestart w:val="eachSect"/>
          </w:footnotePr>
          <w:endnotePr>
            <w:numFmt w:val="decimal"/>
          </w:endnotePr>
          <w:type w:val="nextColumn"/>
          <w:pgSz w:w="16840" w:h="11907" w:orient="landscape" w:code="9"/>
          <w:pgMar w:top="1418" w:right="567" w:bottom="1134" w:left="1418" w:header="510" w:footer="1021" w:gutter="0"/>
          <w:pgNumType w:start="1"/>
          <w:cols w:space="720"/>
          <w:titlePg/>
          <w:docGrid w:linePitch="299"/>
        </w:sectPr>
      </w:pPr>
    </w:p>
    <w:p w:rsidR="005D5D88" w:rsidRPr="007C4598" w:rsidRDefault="005D5D88" w:rsidP="005D5D88">
      <w:pPr>
        <w:spacing w:after="60"/>
        <w:outlineLvl w:val="0"/>
        <w:rPr>
          <w:lang w:val="es-419"/>
        </w:rPr>
      </w:pPr>
      <w:r w:rsidRPr="007C4598">
        <w:rPr>
          <w:lang w:val="es-419"/>
        </w:rPr>
        <w:lastRenderedPageBreak/>
        <w:t xml:space="preserve">DESIGNACIONES DE PARTES CONTRATANTES EN EL ACTA DE 1960: DESIGNACIONES </w:t>
      </w:r>
      <w:r w:rsidR="000E4B95">
        <w:rPr>
          <w:lang w:val="es-419"/>
        </w:rPr>
        <w:t>INSCRITAS</w:t>
      </w:r>
      <w:r w:rsidRPr="007C4598">
        <w:rPr>
          <w:lang w:val="es-419"/>
        </w:rPr>
        <w:t xml:space="preserve"> EN 2004, 2010 Y 2018</w:t>
      </w:r>
    </w:p>
    <w:p w:rsidR="001C10C1" w:rsidRPr="007C4598" w:rsidRDefault="001C10C1" w:rsidP="005D5D88">
      <w:pPr>
        <w:spacing w:after="60"/>
        <w:outlineLvl w:val="0"/>
        <w:rPr>
          <w:lang w:val="es-419"/>
        </w:rPr>
      </w:pPr>
    </w:p>
    <w:tbl>
      <w:tblPr>
        <w:tblW w:w="7965" w:type="dxa"/>
        <w:tblInd w:w="-23" w:type="dxa"/>
        <w:tblLook w:val="0000" w:firstRow="0" w:lastRow="0" w:firstColumn="0" w:lastColumn="0" w:noHBand="0" w:noVBand="0"/>
      </w:tblPr>
      <w:tblGrid>
        <w:gridCol w:w="3119"/>
        <w:gridCol w:w="767"/>
        <w:gridCol w:w="849"/>
        <w:gridCol w:w="846"/>
        <w:gridCol w:w="844"/>
        <w:gridCol w:w="842"/>
        <w:gridCol w:w="840"/>
      </w:tblGrid>
      <w:tr w:rsidR="005D5D88" w:rsidRPr="007C4598" w:rsidTr="001C10C1">
        <w:trPr>
          <w:trHeight w:val="270"/>
        </w:trPr>
        <w:tc>
          <w:tcPr>
            <w:tcW w:w="7965" w:type="dxa"/>
            <w:gridSpan w:val="7"/>
            <w:tcBorders>
              <w:top w:val="single" w:sz="18" w:space="0" w:color="auto"/>
              <w:left w:val="single" w:sz="18" w:space="0" w:color="auto"/>
              <w:bottom w:val="single" w:sz="18" w:space="0" w:color="auto"/>
              <w:right w:val="single" w:sz="18" w:space="0" w:color="auto"/>
            </w:tcBorders>
            <w:shd w:val="clear" w:color="auto" w:fill="C0C0C0"/>
            <w:noWrap/>
            <w:vAlign w:val="center"/>
          </w:tcPr>
          <w:p w:rsidR="005D5D88" w:rsidRPr="007C4598" w:rsidRDefault="005D5D88">
            <w:pPr>
              <w:jc w:val="center"/>
              <w:rPr>
                <w:bCs/>
                <w:sz w:val="21"/>
                <w:szCs w:val="21"/>
                <w:lang w:val="es-419"/>
              </w:rPr>
            </w:pPr>
            <w:r w:rsidRPr="007C4598">
              <w:rPr>
                <w:bCs/>
                <w:sz w:val="21"/>
                <w:szCs w:val="21"/>
                <w:lang w:val="es-419"/>
              </w:rPr>
              <w:t xml:space="preserve">Número de designaciones en virtud de cada </w:t>
            </w:r>
            <w:r w:rsidR="00203174">
              <w:rPr>
                <w:bCs/>
                <w:sz w:val="21"/>
                <w:szCs w:val="21"/>
                <w:lang w:val="es-419"/>
              </w:rPr>
              <w:t>A</w:t>
            </w:r>
            <w:r w:rsidRPr="007C4598">
              <w:rPr>
                <w:bCs/>
                <w:sz w:val="21"/>
                <w:szCs w:val="21"/>
                <w:lang w:val="es-419"/>
              </w:rPr>
              <w:t xml:space="preserve">cta por </w:t>
            </w:r>
            <w:r w:rsidR="00203174">
              <w:rPr>
                <w:bCs/>
                <w:sz w:val="21"/>
                <w:szCs w:val="21"/>
                <w:lang w:val="es-419"/>
              </w:rPr>
              <w:t xml:space="preserve">las </w:t>
            </w:r>
            <w:r w:rsidRPr="007C4598">
              <w:rPr>
                <w:bCs/>
                <w:sz w:val="21"/>
                <w:szCs w:val="21"/>
                <w:lang w:val="es-419"/>
              </w:rPr>
              <w:t>Partes Contratantes en el Acta de 1960</w:t>
            </w:r>
          </w:p>
        </w:tc>
      </w:tr>
      <w:tr w:rsidR="005D5D88" w:rsidRPr="007C4598" w:rsidTr="001C10C1">
        <w:trPr>
          <w:trHeight w:val="270"/>
        </w:trPr>
        <w:tc>
          <w:tcPr>
            <w:tcW w:w="3119" w:type="dxa"/>
            <w:vMerge w:val="restart"/>
            <w:tcBorders>
              <w:top w:val="single" w:sz="18" w:space="0" w:color="auto"/>
              <w:left w:val="single" w:sz="18" w:space="0" w:color="auto"/>
              <w:bottom w:val="single" w:sz="8" w:space="0" w:color="000000"/>
              <w:right w:val="single" w:sz="18" w:space="0" w:color="auto"/>
            </w:tcBorders>
            <w:shd w:val="clear" w:color="auto" w:fill="auto"/>
            <w:noWrap/>
            <w:vAlign w:val="center"/>
          </w:tcPr>
          <w:p w:rsidR="005D5D88" w:rsidRPr="007C4598" w:rsidRDefault="005D5D88" w:rsidP="00AF24C3">
            <w:pPr>
              <w:rPr>
                <w:bCs/>
                <w:sz w:val="20"/>
                <w:szCs w:val="21"/>
                <w:lang w:val="es-419"/>
              </w:rPr>
            </w:pPr>
            <w:r w:rsidRPr="007C4598">
              <w:rPr>
                <w:bCs/>
                <w:sz w:val="20"/>
                <w:szCs w:val="21"/>
                <w:lang w:val="es-419"/>
              </w:rPr>
              <w:t>Parte Contratante designada (que por lo menos es Parte Contratante en el Acta de 1960)</w:t>
            </w:r>
          </w:p>
        </w:tc>
        <w:tc>
          <w:tcPr>
            <w:tcW w:w="1474" w:type="dxa"/>
            <w:gridSpan w:val="2"/>
            <w:tcBorders>
              <w:top w:val="single" w:sz="18" w:space="0" w:color="auto"/>
              <w:left w:val="single" w:sz="18" w:space="0" w:color="auto"/>
              <w:bottom w:val="double" w:sz="6" w:space="0" w:color="auto"/>
              <w:right w:val="double" w:sz="4" w:space="0" w:color="auto"/>
            </w:tcBorders>
            <w:shd w:val="clear" w:color="auto" w:fill="auto"/>
            <w:noWrap/>
            <w:vAlign w:val="center"/>
          </w:tcPr>
          <w:p w:rsidR="005D5D88" w:rsidRPr="007C4598" w:rsidRDefault="005D5D88" w:rsidP="00AF24C3">
            <w:pPr>
              <w:jc w:val="center"/>
              <w:rPr>
                <w:bCs/>
                <w:sz w:val="20"/>
                <w:szCs w:val="21"/>
                <w:lang w:val="es-419"/>
              </w:rPr>
            </w:pPr>
            <w:r w:rsidRPr="007C4598">
              <w:rPr>
                <w:bCs/>
                <w:sz w:val="20"/>
                <w:szCs w:val="21"/>
                <w:lang w:val="es-419"/>
              </w:rPr>
              <w:t>2004</w:t>
            </w:r>
          </w:p>
        </w:tc>
        <w:tc>
          <w:tcPr>
            <w:tcW w:w="1690" w:type="dxa"/>
            <w:gridSpan w:val="2"/>
            <w:tcBorders>
              <w:top w:val="single" w:sz="18" w:space="0" w:color="auto"/>
              <w:left w:val="double" w:sz="4" w:space="0" w:color="auto"/>
              <w:bottom w:val="double" w:sz="6" w:space="0" w:color="auto"/>
              <w:right w:val="double" w:sz="4" w:space="0" w:color="auto"/>
            </w:tcBorders>
            <w:shd w:val="clear" w:color="auto" w:fill="auto"/>
            <w:noWrap/>
            <w:vAlign w:val="center"/>
          </w:tcPr>
          <w:p w:rsidR="005D5D88" w:rsidRPr="007C4598" w:rsidRDefault="005D5D88" w:rsidP="00AF24C3">
            <w:pPr>
              <w:jc w:val="center"/>
              <w:rPr>
                <w:bCs/>
                <w:sz w:val="20"/>
                <w:szCs w:val="21"/>
                <w:lang w:val="es-419"/>
              </w:rPr>
            </w:pPr>
            <w:r w:rsidRPr="007C4598">
              <w:rPr>
                <w:bCs/>
                <w:sz w:val="20"/>
                <w:szCs w:val="21"/>
                <w:lang w:val="es-419"/>
              </w:rPr>
              <w:t>2010</w:t>
            </w:r>
          </w:p>
        </w:tc>
        <w:tc>
          <w:tcPr>
            <w:tcW w:w="1682" w:type="dxa"/>
            <w:gridSpan w:val="2"/>
            <w:tcBorders>
              <w:top w:val="single" w:sz="18" w:space="0" w:color="auto"/>
              <w:left w:val="double" w:sz="4" w:space="0" w:color="auto"/>
              <w:bottom w:val="double" w:sz="6" w:space="0" w:color="auto"/>
              <w:right w:val="single" w:sz="18" w:space="0" w:color="auto"/>
            </w:tcBorders>
            <w:shd w:val="clear" w:color="auto" w:fill="auto"/>
            <w:noWrap/>
            <w:vAlign w:val="center"/>
          </w:tcPr>
          <w:p w:rsidR="005D5D88" w:rsidRPr="007C4598" w:rsidRDefault="005D5D88" w:rsidP="00AF24C3">
            <w:pPr>
              <w:jc w:val="center"/>
              <w:rPr>
                <w:bCs/>
                <w:sz w:val="20"/>
                <w:szCs w:val="21"/>
                <w:lang w:val="es-419"/>
              </w:rPr>
            </w:pPr>
            <w:r w:rsidRPr="007C4598">
              <w:rPr>
                <w:bCs/>
                <w:sz w:val="20"/>
                <w:szCs w:val="21"/>
                <w:lang w:val="es-419"/>
              </w:rPr>
              <w:t>2018</w:t>
            </w:r>
          </w:p>
        </w:tc>
      </w:tr>
      <w:tr w:rsidR="005D5D88" w:rsidRPr="007C4598" w:rsidTr="001C10C1">
        <w:trPr>
          <w:trHeight w:val="270"/>
        </w:trPr>
        <w:tc>
          <w:tcPr>
            <w:tcW w:w="3119" w:type="dxa"/>
            <w:vMerge/>
            <w:tcBorders>
              <w:top w:val="nil"/>
              <w:left w:val="single" w:sz="18" w:space="0" w:color="auto"/>
              <w:bottom w:val="single" w:sz="18" w:space="0" w:color="auto"/>
              <w:right w:val="single" w:sz="18" w:space="0" w:color="auto"/>
            </w:tcBorders>
            <w:vAlign w:val="center"/>
          </w:tcPr>
          <w:p w:rsidR="005D5D88" w:rsidRPr="007C4598" w:rsidRDefault="005D5D88" w:rsidP="00AF24C3">
            <w:pPr>
              <w:rPr>
                <w:bCs/>
                <w:sz w:val="20"/>
                <w:szCs w:val="21"/>
                <w:lang w:val="es-419"/>
              </w:rPr>
            </w:pPr>
          </w:p>
        </w:tc>
        <w:tc>
          <w:tcPr>
            <w:tcW w:w="625" w:type="dxa"/>
            <w:tcBorders>
              <w:top w:val="nil"/>
              <w:left w:val="single" w:sz="18" w:space="0" w:color="auto"/>
              <w:bottom w:val="single" w:sz="18" w:space="0" w:color="auto"/>
              <w:right w:val="single" w:sz="4" w:space="0" w:color="auto"/>
            </w:tcBorders>
            <w:shd w:val="clear" w:color="auto" w:fill="auto"/>
            <w:noWrap/>
            <w:vAlign w:val="center"/>
          </w:tcPr>
          <w:p w:rsidR="005D5D88" w:rsidRPr="007C4598" w:rsidRDefault="005D5D88" w:rsidP="00AF24C3">
            <w:pPr>
              <w:jc w:val="center"/>
              <w:rPr>
                <w:bCs/>
                <w:sz w:val="20"/>
                <w:szCs w:val="21"/>
                <w:lang w:val="es-419"/>
              </w:rPr>
            </w:pPr>
            <w:r w:rsidRPr="007C4598">
              <w:rPr>
                <w:bCs/>
                <w:sz w:val="20"/>
                <w:szCs w:val="21"/>
                <w:lang w:val="es-419"/>
              </w:rPr>
              <w:t>60</w:t>
            </w:r>
          </w:p>
        </w:tc>
        <w:tc>
          <w:tcPr>
            <w:tcW w:w="849" w:type="dxa"/>
            <w:tcBorders>
              <w:top w:val="nil"/>
              <w:left w:val="nil"/>
              <w:bottom w:val="single" w:sz="18" w:space="0" w:color="auto"/>
              <w:right w:val="double" w:sz="4" w:space="0" w:color="auto"/>
            </w:tcBorders>
            <w:shd w:val="clear" w:color="auto" w:fill="auto"/>
            <w:vAlign w:val="center"/>
          </w:tcPr>
          <w:p w:rsidR="005D5D88" w:rsidRPr="007C4598" w:rsidRDefault="005D5D88" w:rsidP="00AF24C3">
            <w:pPr>
              <w:jc w:val="center"/>
              <w:rPr>
                <w:bCs/>
                <w:sz w:val="20"/>
                <w:szCs w:val="21"/>
                <w:lang w:val="es-419"/>
              </w:rPr>
            </w:pPr>
            <w:r w:rsidRPr="007C4598">
              <w:rPr>
                <w:bCs/>
                <w:sz w:val="20"/>
                <w:szCs w:val="21"/>
                <w:lang w:val="es-419"/>
              </w:rPr>
              <w:t>99</w:t>
            </w:r>
          </w:p>
        </w:tc>
        <w:tc>
          <w:tcPr>
            <w:tcW w:w="846" w:type="dxa"/>
            <w:tcBorders>
              <w:top w:val="nil"/>
              <w:left w:val="double" w:sz="4" w:space="0" w:color="auto"/>
              <w:bottom w:val="single" w:sz="18" w:space="0" w:color="auto"/>
              <w:right w:val="single" w:sz="4" w:space="0" w:color="auto"/>
            </w:tcBorders>
            <w:shd w:val="clear" w:color="auto" w:fill="auto"/>
            <w:vAlign w:val="center"/>
          </w:tcPr>
          <w:p w:rsidR="005D5D88" w:rsidRPr="007C4598" w:rsidRDefault="005D5D88" w:rsidP="00AF24C3">
            <w:pPr>
              <w:jc w:val="center"/>
              <w:rPr>
                <w:bCs/>
                <w:sz w:val="20"/>
                <w:szCs w:val="21"/>
                <w:lang w:val="es-419"/>
              </w:rPr>
            </w:pPr>
            <w:r w:rsidRPr="007C4598">
              <w:rPr>
                <w:bCs/>
                <w:sz w:val="20"/>
                <w:szCs w:val="21"/>
                <w:lang w:val="es-419"/>
              </w:rPr>
              <w:t>60</w:t>
            </w:r>
          </w:p>
        </w:tc>
        <w:tc>
          <w:tcPr>
            <w:tcW w:w="844" w:type="dxa"/>
            <w:tcBorders>
              <w:top w:val="nil"/>
              <w:left w:val="nil"/>
              <w:bottom w:val="single" w:sz="18" w:space="0" w:color="auto"/>
              <w:right w:val="double" w:sz="4" w:space="0" w:color="auto"/>
            </w:tcBorders>
            <w:shd w:val="clear" w:color="auto" w:fill="auto"/>
            <w:vAlign w:val="center"/>
          </w:tcPr>
          <w:p w:rsidR="005D5D88" w:rsidRPr="007C4598" w:rsidRDefault="005D5D88" w:rsidP="00AF24C3">
            <w:pPr>
              <w:jc w:val="center"/>
              <w:rPr>
                <w:bCs/>
                <w:sz w:val="20"/>
                <w:szCs w:val="21"/>
                <w:lang w:val="es-419"/>
              </w:rPr>
            </w:pPr>
            <w:r w:rsidRPr="007C4598">
              <w:rPr>
                <w:bCs/>
                <w:sz w:val="20"/>
                <w:szCs w:val="21"/>
                <w:lang w:val="es-419"/>
              </w:rPr>
              <w:t>99</w:t>
            </w:r>
          </w:p>
        </w:tc>
        <w:tc>
          <w:tcPr>
            <w:tcW w:w="842" w:type="dxa"/>
            <w:tcBorders>
              <w:top w:val="nil"/>
              <w:left w:val="double" w:sz="4" w:space="0" w:color="auto"/>
              <w:bottom w:val="single" w:sz="18" w:space="0" w:color="auto"/>
              <w:right w:val="single" w:sz="4" w:space="0" w:color="auto"/>
            </w:tcBorders>
            <w:shd w:val="clear" w:color="auto" w:fill="auto"/>
            <w:vAlign w:val="center"/>
          </w:tcPr>
          <w:p w:rsidR="005D5D88" w:rsidRPr="007C4598" w:rsidRDefault="005D5D88" w:rsidP="00AF24C3">
            <w:pPr>
              <w:jc w:val="center"/>
              <w:rPr>
                <w:bCs/>
                <w:sz w:val="20"/>
                <w:szCs w:val="21"/>
                <w:lang w:val="es-419"/>
              </w:rPr>
            </w:pPr>
            <w:r w:rsidRPr="007C4598">
              <w:rPr>
                <w:bCs/>
                <w:sz w:val="20"/>
                <w:szCs w:val="21"/>
                <w:lang w:val="es-419"/>
              </w:rPr>
              <w:t>60</w:t>
            </w:r>
          </w:p>
        </w:tc>
        <w:tc>
          <w:tcPr>
            <w:tcW w:w="840" w:type="dxa"/>
            <w:tcBorders>
              <w:top w:val="nil"/>
              <w:left w:val="nil"/>
              <w:bottom w:val="single" w:sz="18" w:space="0" w:color="auto"/>
              <w:right w:val="single" w:sz="18" w:space="0" w:color="auto"/>
            </w:tcBorders>
            <w:shd w:val="clear" w:color="auto" w:fill="auto"/>
            <w:vAlign w:val="center"/>
          </w:tcPr>
          <w:p w:rsidR="005D5D88" w:rsidRPr="007C4598" w:rsidRDefault="005D5D88" w:rsidP="00AF24C3">
            <w:pPr>
              <w:jc w:val="center"/>
              <w:rPr>
                <w:bCs/>
                <w:sz w:val="20"/>
                <w:szCs w:val="21"/>
                <w:lang w:val="es-419"/>
              </w:rPr>
            </w:pPr>
            <w:r w:rsidRPr="007C4598">
              <w:rPr>
                <w:bCs/>
                <w:sz w:val="20"/>
                <w:szCs w:val="21"/>
                <w:lang w:val="es-419"/>
              </w:rPr>
              <w:t>99</w:t>
            </w:r>
          </w:p>
        </w:tc>
      </w:tr>
      <w:tr w:rsidR="005D5D88" w:rsidRPr="007C4598" w:rsidTr="001C10C1">
        <w:trPr>
          <w:trHeight w:val="270"/>
        </w:trPr>
        <w:tc>
          <w:tcPr>
            <w:tcW w:w="3119" w:type="dxa"/>
            <w:tcBorders>
              <w:top w:val="single" w:sz="18" w:space="0" w:color="auto"/>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AL</w:t>
            </w:r>
          </w:p>
        </w:tc>
        <w:tc>
          <w:tcPr>
            <w:tcW w:w="625" w:type="dxa"/>
            <w:tcBorders>
              <w:top w:val="single" w:sz="18" w:space="0" w:color="auto"/>
              <w:left w:val="single" w:sz="18" w:space="0" w:color="auto"/>
              <w:bottom w:val="single" w:sz="4" w:space="0" w:color="auto"/>
              <w:right w:val="single" w:sz="4" w:space="0" w:color="auto"/>
            </w:tcBorders>
            <w:shd w:val="pct12" w:color="auto" w:fill="FFFFFF"/>
            <w:vAlign w:val="center"/>
          </w:tcPr>
          <w:p w:rsidR="005D5D88" w:rsidRPr="007C4598" w:rsidRDefault="005D5D88" w:rsidP="00AF24C3">
            <w:pPr>
              <w:jc w:val="right"/>
              <w:rPr>
                <w:sz w:val="18"/>
                <w:szCs w:val="18"/>
                <w:lang w:val="es-419"/>
              </w:rPr>
            </w:pPr>
            <w:r w:rsidRPr="007C4598">
              <w:rPr>
                <w:sz w:val="18"/>
                <w:szCs w:val="18"/>
                <w:lang w:val="es-419"/>
              </w:rPr>
              <w:t> </w:t>
            </w:r>
          </w:p>
        </w:tc>
        <w:tc>
          <w:tcPr>
            <w:tcW w:w="849" w:type="dxa"/>
            <w:tcBorders>
              <w:top w:val="single" w:sz="18" w:space="0" w:color="auto"/>
              <w:left w:val="nil"/>
              <w:bottom w:val="single" w:sz="4" w:space="0" w:color="auto"/>
              <w:right w:val="double" w:sz="4" w:space="0" w:color="auto"/>
            </w:tcBorders>
            <w:shd w:val="pct12" w:color="auto" w:fill="FFFFFF"/>
            <w:vAlign w:val="center"/>
          </w:tcPr>
          <w:p w:rsidR="005D5D88" w:rsidRPr="007C4598" w:rsidRDefault="005D5D88" w:rsidP="00AF24C3">
            <w:pPr>
              <w:jc w:val="right"/>
              <w:rPr>
                <w:sz w:val="18"/>
                <w:szCs w:val="18"/>
                <w:lang w:val="es-419"/>
              </w:rPr>
            </w:pPr>
            <w:r w:rsidRPr="007C4598">
              <w:rPr>
                <w:sz w:val="18"/>
                <w:szCs w:val="18"/>
                <w:lang w:val="es-419"/>
              </w:rPr>
              <w:t> </w:t>
            </w:r>
          </w:p>
        </w:tc>
        <w:tc>
          <w:tcPr>
            <w:tcW w:w="846" w:type="dxa"/>
            <w:tcBorders>
              <w:top w:val="single" w:sz="18" w:space="0" w:color="auto"/>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4" w:type="dxa"/>
            <w:tcBorders>
              <w:top w:val="single" w:sz="18" w:space="0" w:color="auto"/>
              <w:left w:val="nil"/>
              <w:bottom w:val="single" w:sz="4"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176</w:t>
            </w:r>
          </w:p>
        </w:tc>
        <w:tc>
          <w:tcPr>
            <w:tcW w:w="842" w:type="dxa"/>
            <w:tcBorders>
              <w:top w:val="single" w:sz="18" w:space="0" w:color="auto"/>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0" w:type="dxa"/>
            <w:tcBorders>
              <w:top w:val="single" w:sz="18" w:space="0" w:color="auto"/>
              <w:left w:val="nil"/>
              <w:bottom w:val="single" w:sz="4" w:space="0" w:color="auto"/>
              <w:right w:val="single" w:sz="18"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133</w:t>
            </w: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BG</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472</w:t>
            </w:r>
          </w:p>
        </w:tc>
        <w:tc>
          <w:tcPr>
            <w:tcW w:w="849" w:type="dxa"/>
            <w:tcBorders>
              <w:top w:val="nil"/>
              <w:left w:val="nil"/>
              <w:bottom w:val="single" w:sz="4" w:space="0" w:color="auto"/>
              <w:right w:val="double" w:sz="4" w:space="0" w:color="auto"/>
            </w:tcBorders>
            <w:shd w:val="pct12" w:color="auto" w:fill="FFFFFF"/>
            <w:vAlign w:val="center"/>
          </w:tcPr>
          <w:p w:rsidR="005D5D88" w:rsidRPr="007C4598" w:rsidRDefault="005D5D88" w:rsidP="00AF24C3">
            <w:pPr>
              <w:jc w:val="right"/>
              <w:rPr>
                <w:sz w:val="18"/>
                <w:szCs w:val="18"/>
                <w:lang w:val="es-419"/>
              </w:rPr>
            </w:pPr>
            <w:r w:rsidRPr="007C4598">
              <w:rPr>
                <w:sz w:val="18"/>
                <w:szCs w:val="18"/>
                <w:lang w:val="es-419"/>
              </w:rPr>
              <w:t> </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4" w:type="dxa"/>
            <w:tcBorders>
              <w:top w:val="nil"/>
              <w:left w:val="nil"/>
              <w:bottom w:val="single" w:sz="4"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23</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0" w:type="dxa"/>
            <w:tcBorders>
              <w:top w:val="nil"/>
              <w:left w:val="nil"/>
              <w:bottom w:val="single" w:sz="4" w:space="0" w:color="auto"/>
              <w:right w:val="single" w:sz="18"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63</w:t>
            </w: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BJ</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39</w:t>
            </w:r>
          </w:p>
        </w:tc>
        <w:tc>
          <w:tcPr>
            <w:tcW w:w="849" w:type="dxa"/>
            <w:tcBorders>
              <w:top w:val="nil"/>
              <w:left w:val="nil"/>
              <w:bottom w:val="single" w:sz="4" w:space="0" w:color="auto"/>
              <w:right w:val="double" w:sz="4" w:space="0" w:color="auto"/>
            </w:tcBorders>
            <w:shd w:val="pct12" w:color="auto" w:fill="FFFFFF"/>
            <w:vAlign w:val="center"/>
          </w:tcPr>
          <w:p w:rsidR="005D5D88" w:rsidRPr="007C4598" w:rsidRDefault="005D5D88" w:rsidP="00AF24C3">
            <w:pPr>
              <w:jc w:val="right"/>
              <w:rPr>
                <w:sz w:val="18"/>
                <w:szCs w:val="18"/>
                <w:lang w:val="es-419"/>
              </w:rPr>
            </w:pPr>
            <w:r w:rsidRPr="007C4598">
              <w:rPr>
                <w:sz w:val="18"/>
                <w:szCs w:val="18"/>
                <w:lang w:val="es-419"/>
              </w:rPr>
              <w:t> </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8</w:t>
            </w:r>
          </w:p>
        </w:tc>
        <w:tc>
          <w:tcPr>
            <w:tcW w:w="844" w:type="dxa"/>
            <w:tcBorders>
              <w:top w:val="nil"/>
              <w:left w:val="nil"/>
              <w:bottom w:val="single" w:sz="4" w:space="0" w:color="auto"/>
              <w:right w:val="double" w:sz="4" w:space="0" w:color="auto"/>
            </w:tcBorders>
            <w:shd w:val="pct12" w:color="auto" w:fill="auto"/>
            <w:vAlign w:val="center"/>
          </w:tcPr>
          <w:p w:rsidR="005D5D88" w:rsidRPr="007C4598" w:rsidRDefault="005D5D88" w:rsidP="00AF24C3">
            <w:pPr>
              <w:jc w:val="right"/>
              <w:rPr>
                <w:sz w:val="18"/>
                <w:szCs w:val="18"/>
                <w:lang w:val="es-419"/>
              </w:rPr>
            </w:pPr>
            <w:r w:rsidRPr="007C4598">
              <w:rPr>
                <w:sz w:val="18"/>
                <w:szCs w:val="18"/>
                <w:lang w:val="es-419"/>
              </w:rPr>
              <w:t> </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13</w:t>
            </w:r>
          </w:p>
        </w:tc>
        <w:tc>
          <w:tcPr>
            <w:tcW w:w="840" w:type="dxa"/>
            <w:tcBorders>
              <w:top w:val="nil"/>
              <w:left w:val="nil"/>
              <w:bottom w:val="single" w:sz="4" w:space="0" w:color="auto"/>
              <w:right w:val="single" w:sz="18" w:space="0" w:color="auto"/>
            </w:tcBorders>
            <w:shd w:val="pct12" w:color="auto" w:fill="auto"/>
            <w:vAlign w:val="center"/>
          </w:tcPr>
          <w:p w:rsidR="005D5D88" w:rsidRPr="007C4598" w:rsidRDefault="005D5D88" w:rsidP="00AF24C3">
            <w:pPr>
              <w:jc w:val="right"/>
              <w:rPr>
                <w:sz w:val="18"/>
                <w:szCs w:val="18"/>
                <w:lang w:val="es-419"/>
              </w:rPr>
            </w:pP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BX</w:t>
            </w:r>
            <w:r w:rsidRPr="007C4598">
              <w:rPr>
                <w:rStyle w:val="FootnoteReference"/>
                <w:bCs/>
                <w:sz w:val="18"/>
                <w:szCs w:val="18"/>
                <w:lang w:val="es-419"/>
              </w:rPr>
              <w:footnoteReference w:id="18"/>
            </w:r>
          </w:p>
        </w:tc>
        <w:tc>
          <w:tcPr>
            <w:tcW w:w="625" w:type="dxa"/>
            <w:tcBorders>
              <w:top w:val="nil"/>
              <w:left w:val="single" w:sz="18" w:space="0" w:color="auto"/>
              <w:bottom w:val="single" w:sz="4" w:space="0" w:color="auto"/>
              <w:right w:val="single" w:sz="4" w:space="0" w:color="auto"/>
            </w:tcBorders>
            <w:shd w:val="clear" w:color="auto" w:fill="FFFFFF"/>
            <w:vAlign w:val="center"/>
          </w:tcPr>
          <w:p w:rsidR="005D5D88" w:rsidRPr="007C4598" w:rsidRDefault="005D5D88" w:rsidP="00AF24C3">
            <w:pPr>
              <w:jc w:val="right"/>
              <w:rPr>
                <w:sz w:val="18"/>
                <w:szCs w:val="18"/>
                <w:lang w:val="es-419"/>
              </w:rPr>
            </w:pPr>
            <w:r w:rsidRPr="007C4598">
              <w:rPr>
                <w:sz w:val="18"/>
                <w:szCs w:val="18"/>
                <w:lang w:val="es-419"/>
              </w:rPr>
              <w:t>919</w:t>
            </w:r>
          </w:p>
        </w:tc>
        <w:tc>
          <w:tcPr>
            <w:tcW w:w="849" w:type="dxa"/>
            <w:tcBorders>
              <w:top w:val="nil"/>
              <w:left w:val="nil"/>
              <w:bottom w:val="single" w:sz="4" w:space="0" w:color="auto"/>
              <w:right w:val="double" w:sz="4" w:space="0" w:color="auto"/>
            </w:tcBorders>
            <w:shd w:val="pct12" w:color="auto" w:fill="auto"/>
            <w:vAlign w:val="center"/>
          </w:tcPr>
          <w:p w:rsidR="005D5D88" w:rsidRPr="007C4598" w:rsidRDefault="005D5D88" w:rsidP="00AF24C3">
            <w:pPr>
              <w:jc w:val="right"/>
              <w:rPr>
                <w:sz w:val="18"/>
                <w:szCs w:val="18"/>
                <w:lang w:val="es-419"/>
              </w:rPr>
            </w:pPr>
            <w:r w:rsidRPr="007C4598">
              <w:rPr>
                <w:sz w:val="18"/>
                <w:szCs w:val="18"/>
                <w:lang w:val="es-419"/>
              </w:rPr>
              <w:t> </w:t>
            </w:r>
          </w:p>
        </w:tc>
        <w:tc>
          <w:tcPr>
            <w:tcW w:w="846" w:type="dxa"/>
            <w:tcBorders>
              <w:top w:val="nil"/>
              <w:left w:val="double" w:sz="4" w:space="0" w:color="auto"/>
              <w:bottom w:val="single" w:sz="4" w:space="0" w:color="auto"/>
              <w:right w:val="single" w:sz="4" w:space="0" w:color="auto"/>
            </w:tcBorders>
            <w:shd w:val="clear" w:color="auto" w:fill="FFFFFF"/>
            <w:vAlign w:val="center"/>
          </w:tcPr>
          <w:p w:rsidR="005D5D88" w:rsidRPr="007C4598" w:rsidRDefault="005D5D88" w:rsidP="00AF24C3">
            <w:pPr>
              <w:jc w:val="right"/>
              <w:rPr>
                <w:sz w:val="18"/>
                <w:szCs w:val="18"/>
                <w:lang w:val="es-419"/>
              </w:rPr>
            </w:pPr>
            <w:r w:rsidRPr="007C4598">
              <w:rPr>
                <w:sz w:val="18"/>
                <w:szCs w:val="18"/>
                <w:lang w:val="es-419"/>
              </w:rPr>
              <w:t>111</w:t>
            </w:r>
          </w:p>
        </w:tc>
        <w:tc>
          <w:tcPr>
            <w:tcW w:w="844" w:type="dxa"/>
            <w:tcBorders>
              <w:top w:val="nil"/>
              <w:left w:val="nil"/>
              <w:bottom w:val="single" w:sz="4" w:space="0" w:color="auto"/>
              <w:right w:val="double" w:sz="4" w:space="0" w:color="auto"/>
            </w:tcBorders>
            <w:shd w:val="pct12" w:color="auto" w:fill="auto"/>
            <w:vAlign w:val="center"/>
          </w:tcPr>
          <w:p w:rsidR="005D5D88" w:rsidRPr="007C4598" w:rsidRDefault="005D5D88" w:rsidP="00AF24C3">
            <w:pPr>
              <w:jc w:val="right"/>
              <w:rPr>
                <w:sz w:val="18"/>
                <w:szCs w:val="18"/>
                <w:lang w:val="es-419"/>
              </w:rPr>
            </w:pPr>
            <w:r w:rsidRPr="007C4598">
              <w:rPr>
                <w:sz w:val="18"/>
                <w:szCs w:val="18"/>
                <w:lang w:val="es-419"/>
              </w:rPr>
              <w:t> </w:t>
            </w:r>
          </w:p>
        </w:tc>
        <w:tc>
          <w:tcPr>
            <w:tcW w:w="842" w:type="dxa"/>
            <w:tcBorders>
              <w:top w:val="nil"/>
              <w:left w:val="double" w:sz="4" w:space="0" w:color="auto"/>
              <w:bottom w:val="single" w:sz="4" w:space="0" w:color="auto"/>
              <w:right w:val="single" w:sz="4" w:space="0" w:color="auto"/>
            </w:tcBorders>
            <w:shd w:val="clear" w:color="auto" w:fill="FFFFFF"/>
            <w:vAlign w:val="center"/>
          </w:tcPr>
          <w:p w:rsidR="005D5D88" w:rsidRPr="007C4598" w:rsidRDefault="005D5D88" w:rsidP="00AF24C3">
            <w:pPr>
              <w:jc w:val="right"/>
              <w:rPr>
                <w:sz w:val="18"/>
                <w:szCs w:val="18"/>
                <w:lang w:val="es-419"/>
              </w:rPr>
            </w:pPr>
            <w:r w:rsidRPr="007C4598">
              <w:rPr>
                <w:sz w:val="18"/>
                <w:szCs w:val="18"/>
                <w:lang w:val="es-419"/>
              </w:rPr>
              <w:t>55</w:t>
            </w:r>
          </w:p>
        </w:tc>
        <w:tc>
          <w:tcPr>
            <w:tcW w:w="840" w:type="dxa"/>
            <w:tcBorders>
              <w:top w:val="nil"/>
              <w:left w:val="nil"/>
              <w:bottom w:val="single" w:sz="4" w:space="0" w:color="auto"/>
              <w:right w:val="single" w:sz="18"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BZ</w:t>
            </w:r>
            <w:r w:rsidRPr="007C4598">
              <w:rPr>
                <w:rStyle w:val="FootnoteReference"/>
                <w:bCs/>
                <w:sz w:val="18"/>
                <w:szCs w:val="18"/>
                <w:lang w:val="es-419"/>
              </w:rPr>
              <w:footnoteReference w:id="19"/>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222</w:t>
            </w:r>
          </w:p>
        </w:tc>
        <w:tc>
          <w:tcPr>
            <w:tcW w:w="849" w:type="dxa"/>
            <w:tcBorders>
              <w:top w:val="nil"/>
              <w:left w:val="nil"/>
              <w:bottom w:val="single" w:sz="4" w:space="0" w:color="auto"/>
              <w:right w:val="double" w:sz="4" w:space="0" w:color="auto"/>
            </w:tcBorders>
            <w:shd w:val="pct12" w:color="auto" w:fill="FFFFFF"/>
            <w:vAlign w:val="center"/>
          </w:tcPr>
          <w:p w:rsidR="005D5D88" w:rsidRPr="007C4598" w:rsidRDefault="005D5D88" w:rsidP="00AF24C3">
            <w:pPr>
              <w:jc w:val="right"/>
              <w:rPr>
                <w:sz w:val="18"/>
                <w:szCs w:val="18"/>
                <w:lang w:val="es-419"/>
              </w:rPr>
            </w:pPr>
            <w:r w:rsidRPr="007C4598">
              <w:rPr>
                <w:sz w:val="18"/>
                <w:szCs w:val="18"/>
                <w:lang w:val="es-419"/>
              </w:rPr>
              <w:t> </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98</w:t>
            </w:r>
          </w:p>
        </w:tc>
        <w:tc>
          <w:tcPr>
            <w:tcW w:w="844" w:type="dxa"/>
            <w:tcBorders>
              <w:top w:val="nil"/>
              <w:left w:val="nil"/>
              <w:bottom w:val="single" w:sz="4" w:space="0" w:color="auto"/>
              <w:right w:val="double" w:sz="4" w:space="0" w:color="auto"/>
            </w:tcBorders>
            <w:shd w:val="pct12" w:color="auto" w:fill="auto"/>
            <w:vAlign w:val="center"/>
          </w:tcPr>
          <w:p w:rsidR="005D5D88" w:rsidRPr="007C4598" w:rsidRDefault="005D5D88" w:rsidP="00AF24C3">
            <w:pPr>
              <w:jc w:val="right"/>
              <w:rPr>
                <w:sz w:val="18"/>
                <w:szCs w:val="18"/>
                <w:lang w:val="es-419"/>
              </w:rPr>
            </w:pPr>
            <w:r w:rsidRPr="007C4598">
              <w:rPr>
                <w:sz w:val="18"/>
                <w:szCs w:val="18"/>
                <w:lang w:val="es-419"/>
              </w:rPr>
              <w:t> </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42</w:t>
            </w:r>
          </w:p>
        </w:tc>
        <w:tc>
          <w:tcPr>
            <w:tcW w:w="840" w:type="dxa"/>
            <w:tcBorders>
              <w:top w:val="nil"/>
              <w:left w:val="nil"/>
              <w:bottom w:val="single" w:sz="4" w:space="0" w:color="auto"/>
              <w:right w:val="single" w:sz="18" w:space="0" w:color="auto"/>
            </w:tcBorders>
            <w:shd w:val="pct12" w:color="auto" w:fill="auto"/>
            <w:vAlign w:val="center"/>
          </w:tcPr>
          <w:p w:rsidR="005D5D88" w:rsidRPr="007C4598" w:rsidRDefault="005D5D88" w:rsidP="00AF24C3">
            <w:pPr>
              <w:jc w:val="right"/>
              <w:rPr>
                <w:sz w:val="18"/>
                <w:szCs w:val="18"/>
                <w:lang w:val="es-419"/>
              </w:rPr>
            </w:pP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CH</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785</w:t>
            </w:r>
          </w:p>
        </w:tc>
        <w:tc>
          <w:tcPr>
            <w:tcW w:w="849" w:type="dxa"/>
            <w:tcBorders>
              <w:top w:val="nil"/>
              <w:left w:val="nil"/>
              <w:bottom w:val="single" w:sz="4"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416</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3</w:t>
            </w:r>
          </w:p>
        </w:tc>
        <w:tc>
          <w:tcPr>
            <w:tcW w:w="844" w:type="dxa"/>
            <w:tcBorders>
              <w:top w:val="nil"/>
              <w:left w:val="nil"/>
              <w:bottom w:val="single" w:sz="4"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1.508</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2</w:t>
            </w:r>
          </w:p>
        </w:tc>
        <w:tc>
          <w:tcPr>
            <w:tcW w:w="840" w:type="dxa"/>
            <w:tcBorders>
              <w:top w:val="nil"/>
              <w:left w:val="nil"/>
              <w:bottom w:val="single" w:sz="4" w:space="0" w:color="auto"/>
              <w:right w:val="single" w:sz="18"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1.705</w:t>
            </w: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CI</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65</w:t>
            </w:r>
          </w:p>
        </w:tc>
        <w:tc>
          <w:tcPr>
            <w:tcW w:w="849" w:type="dxa"/>
            <w:tcBorders>
              <w:top w:val="nil"/>
              <w:left w:val="nil"/>
              <w:bottom w:val="single" w:sz="4" w:space="0" w:color="auto"/>
              <w:right w:val="double" w:sz="4" w:space="0" w:color="auto"/>
            </w:tcBorders>
            <w:shd w:val="pct12" w:color="auto" w:fill="FFFFFF"/>
            <w:vAlign w:val="center"/>
          </w:tcPr>
          <w:p w:rsidR="005D5D88" w:rsidRPr="007C4598" w:rsidRDefault="005D5D88" w:rsidP="00AF24C3">
            <w:pPr>
              <w:jc w:val="right"/>
              <w:rPr>
                <w:sz w:val="18"/>
                <w:szCs w:val="18"/>
                <w:lang w:val="es-419"/>
              </w:rPr>
            </w:pPr>
            <w:r w:rsidRPr="007C4598">
              <w:rPr>
                <w:sz w:val="18"/>
                <w:szCs w:val="18"/>
                <w:lang w:val="es-419"/>
              </w:rPr>
              <w:t> </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13</w:t>
            </w:r>
          </w:p>
        </w:tc>
        <w:tc>
          <w:tcPr>
            <w:tcW w:w="844" w:type="dxa"/>
            <w:tcBorders>
              <w:top w:val="nil"/>
              <w:left w:val="nil"/>
              <w:bottom w:val="single" w:sz="4" w:space="0" w:color="auto"/>
              <w:right w:val="double" w:sz="4" w:space="0" w:color="auto"/>
            </w:tcBorders>
            <w:shd w:val="pct12" w:color="auto" w:fill="auto"/>
            <w:noWrap/>
            <w:vAlign w:val="center"/>
          </w:tcPr>
          <w:p w:rsidR="005D5D88" w:rsidRPr="007C4598" w:rsidRDefault="005D5D88" w:rsidP="00AF24C3">
            <w:pPr>
              <w:jc w:val="right"/>
              <w:rPr>
                <w:sz w:val="18"/>
                <w:szCs w:val="18"/>
                <w:lang w:val="es-419"/>
              </w:rPr>
            </w:pPr>
            <w:r w:rsidRPr="007C4598">
              <w:rPr>
                <w:sz w:val="18"/>
                <w:szCs w:val="18"/>
                <w:lang w:val="es-419"/>
              </w:rPr>
              <w:t> </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16</w:t>
            </w:r>
          </w:p>
        </w:tc>
        <w:tc>
          <w:tcPr>
            <w:tcW w:w="840" w:type="dxa"/>
            <w:tcBorders>
              <w:top w:val="nil"/>
              <w:left w:val="nil"/>
              <w:bottom w:val="single" w:sz="4" w:space="0" w:color="auto"/>
              <w:right w:val="single" w:sz="18" w:space="0" w:color="auto"/>
            </w:tcBorders>
            <w:shd w:val="pct12" w:color="auto" w:fill="auto"/>
            <w:vAlign w:val="center"/>
          </w:tcPr>
          <w:p w:rsidR="005D5D88" w:rsidRPr="007C4598" w:rsidRDefault="005D5D88" w:rsidP="00AF24C3">
            <w:pPr>
              <w:jc w:val="right"/>
              <w:rPr>
                <w:sz w:val="18"/>
                <w:szCs w:val="18"/>
                <w:lang w:val="es-419"/>
              </w:rPr>
            </w:pP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DE</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956</w:t>
            </w:r>
          </w:p>
        </w:tc>
        <w:tc>
          <w:tcPr>
            <w:tcW w:w="849" w:type="dxa"/>
            <w:tcBorders>
              <w:top w:val="nil"/>
              <w:left w:val="nil"/>
              <w:bottom w:val="single" w:sz="4" w:space="0" w:color="auto"/>
              <w:right w:val="double" w:sz="4" w:space="0" w:color="auto"/>
            </w:tcBorders>
            <w:shd w:val="pct12" w:color="auto" w:fill="FFFFFF"/>
            <w:vAlign w:val="center"/>
          </w:tcPr>
          <w:p w:rsidR="005D5D88" w:rsidRPr="007C4598" w:rsidRDefault="005D5D88" w:rsidP="00AF24C3">
            <w:pPr>
              <w:jc w:val="right"/>
              <w:rPr>
                <w:sz w:val="18"/>
                <w:szCs w:val="18"/>
                <w:lang w:val="es-419"/>
              </w:rPr>
            </w:pPr>
            <w:r w:rsidRPr="007C4598">
              <w:rPr>
                <w:sz w:val="18"/>
                <w:szCs w:val="18"/>
                <w:lang w:val="es-419"/>
              </w:rPr>
              <w:t> </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28</w:t>
            </w:r>
          </w:p>
        </w:tc>
        <w:tc>
          <w:tcPr>
            <w:tcW w:w="844" w:type="dxa"/>
            <w:tcBorders>
              <w:top w:val="nil"/>
              <w:left w:val="nil"/>
              <w:bottom w:val="single" w:sz="4" w:space="0" w:color="auto"/>
              <w:right w:val="double" w:sz="4" w:space="0" w:color="auto"/>
            </w:tcBorders>
            <w:shd w:val="pct12" w:color="auto" w:fill="auto"/>
            <w:vAlign w:val="center"/>
          </w:tcPr>
          <w:p w:rsidR="005D5D88" w:rsidRPr="007C4598" w:rsidRDefault="005D5D88" w:rsidP="00AF24C3">
            <w:pPr>
              <w:jc w:val="right"/>
              <w:rPr>
                <w:sz w:val="18"/>
                <w:szCs w:val="18"/>
                <w:lang w:val="es-419"/>
              </w:rPr>
            </w:pPr>
            <w:r w:rsidRPr="007C4598">
              <w:rPr>
                <w:sz w:val="18"/>
                <w:szCs w:val="18"/>
                <w:lang w:val="es-419"/>
              </w:rPr>
              <w:t>116</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w:t>
            </w:r>
          </w:p>
        </w:tc>
        <w:tc>
          <w:tcPr>
            <w:tcW w:w="840" w:type="dxa"/>
            <w:tcBorders>
              <w:top w:val="nil"/>
              <w:left w:val="nil"/>
              <w:bottom w:val="single" w:sz="4" w:space="0" w:color="auto"/>
              <w:right w:val="single" w:sz="18"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163</w:t>
            </w: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FR</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931</w:t>
            </w:r>
          </w:p>
        </w:tc>
        <w:tc>
          <w:tcPr>
            <w:tcW w:w="849" w:type="dxa"/>
            <w:tcBorders>
              <w:top w:val="nil"/>
              <w:left w:val="nil"/>
              <w:bottom w:val="single" w:sz="4" w:space="0" w:color="auto"/>
              <w:right w:val="double" w:sz="4" w:space="0" w:color="auto"/>
            </w:tcBorders>
            <w:shd w:val="pct12" w:color="auto" w:fill="FFFFFF"/>
            <w:vAlign w:val="center"/>
          </w:tcPr>
          <w:p w:rsidR="005D5D88" w:rsidRPr="007C4598" w:rsidRDefault="005D5D88" w:rsidP="00AF24C3">
            <w:pPr>
              <w:jc w:val="right"/>
              <w:rPr>
                <w:sz w:val="18"/>
                <w:szCs w:val="18"/>
                <w:lang w:val="es-419"/>
              </w:rPr>
            </w:pPr>
            <w:r w:rsidRPr="007C4598">
              <w:rPr>
                <w:sz w:val="18"/>
                <w:szCs w:val="18"/>
                <w:lang w:val="es-419"/>
              </w:rPr>
              <w:t> </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7</w:t>
            </w:r>
          </w:p>
        </w:tc>
        <w:tc>
          <w:tcPr>
            <w:tcW w:w="844" w:type="dxa"/>
            <w:tcBorders>
              <w:top w:val="nil"/>
              <w:left w:val="nil"/>
              <w:bottom w:val="single" w:sz="4"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145</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w:t>
            </w:r>
          </w:p>
        </w:tc>
        <w:tc>
          <w:tcPr>
            <w:tcW w:w="840" w:type="dxa"/>
            <w:tcBorders>
              <w:top w:val="nil"/>
              <w:left w:val="nil"/>
              <w:bottom w:val="single" w:sz="4" w:space="0" w:color="auto"/>
              <w:right w:val="single" w:sz="18"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173</w:t>
            </w: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GA</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112</w:t>
            </w:r>
          </w:p>
        </w:tc>
        <w:tc>
          <w:tcPr>
            <w:tcW w:w="849" w:type="dxa"/>
            <w:tcBorders>
              <w:top w:val="nil"/>
              <w:left w:val="nil"/>
              <w:bottom w:val="single" w:sz="4" w:space="0" w:color="auto"/>
              <w:right w:val="double" w:sz="4" w:space="0" w:color="auto"/>
            </w:tcBorders>
            <w:shd w:val="pct12" w:color="auto" w:fill="FFFFFF"/>
            <w:vAlign w:val="center"/>
          </w:tcPr>
          <w:p w:rsidR="005D5D88" w:rsidRPr="007C4598" w:rsidRDefault="005D5D88" w:rsidP="00AF24C3">
            <w:pPr>
              <w:jc w:val="right"/>
              <w:rPr>
                <w:sz w:val="18"/>
                <w:szCs w:val="18"/>
                <w:lang w:val="es-419"/>
              </w:rPr>
            </w:pPr>
            <w:r w:rsidRPr="007C4598">
              <w:rPr>
                <w:sz w:val="18"/>
                <w:szCs w:val="18"/>
                <w:lang w:val="es-419"/>
              </w:rPr>
              <w:t> </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11</w:t>
            </w:r>
          </w:p>
        </w:tc>
        <w:tc>
          <w:tcPr>
            <w:tcW w:w="844" w:type="dxa"/>
            <w:tcBorders>
              <w:top w:val="nil"/>
              <w:left w:val="nil"/>
              <w:bottom w:val="single" w:sz="4" w:space="0" w:color="auto"/>
              <w:right w:val="double" w:sz="4" w:space="0" w:color="auto"/>
            </w:tcBorders>
            <w:shd w:val="pct12" w:color="auto" w:fill="auto"/>
            <w:vAlign w:val="center"/>
          </w:tcPr>
          <w:p w:rsidR="005D5D88" w:rsidRPr="007C4598" w:rsidRDefault="005D5D88" w:rsidP="00AF24C3">
            <w:pPr>
              <w:jc w:val="right"/>
              <w:rPr>
                <w:sz w:val="18"/>
                <w:szCs w:val="18"/>
                <w:lang w:val="es-419"/>
              </w:rPr>
            </w:pPr>
            <w:r w:rsidRPr="007C4598">
              <w:rPr>
                <w:sz w:val="18"/>
                <w:szCs w:val="18"/>
                <w:lang w:val="es-419"/>
              </w:rPr>
              <w:t> </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14</w:t>
            </w:r>
          </w:p>
        </w:tc>
        <w:tc>
          <w:tcPr>
            <w:tcW w:w="840" w:type="dxa"/>
            <w:tcBorders>
              <w:top w:val="nil"/>
              <w:left w:val="nil"/>
              <w:bottom w:val="single" w:sz="4" w:space="0" w:color="auto"/>
              <w:right w:val="single" w:sz="18" w:space="0" w:color="auto"/>
            </w:tcBorders>
            <w:shd w:val="pct12" w:color="auto" w:fill="auto"/>
            <w:vAlign w:val="center"/>
          </w:tcPr>
          <w:p w:rsidR="005D5D88" w:rsidRPr="007C4598" w:rsidRDefault="005D5D88" w:rsidP="00AF24C3">
            <w:pPr>
              <w:jc w:val="right"/>
              <w:rPr>
                <w:sz w:val="18"/>
                <w:szCs w:val="18"/>
                <w:lang w:val="es-419"/>
              </w:rPr>
            </w:pP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GE</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57</w:t>
            </w:r>
          </w:p>
        </w:tc>
        <w:tc>
          <w:tcPr>
            <w:tcW w:w="849" w:type="dxa"/>
            <w:tcBorders>
              <w:top w:val="nil"/>
              <w:left w:val="nil"/>
              <w:bottom w:val="single" w:sz="4"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223</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4" w:type="dxa"/>
            <w:tcBorders>
              <w:top w:val="nil"/>
              <w:left w:val="nil"/>
              <w:bottom w:val="single" w:sz="4"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203</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0" w:type="dxa"/>
            <w:tcBorders>
              <w:top w:val="nil"/>
              <w:left w:val="nil"/>
              <w:bottom w:val="single" w:sz="4" w:space="0" w:color="auto"/>
              <w:right w:val="single" w:sz="18"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111</w:t>
            </w: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GR</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582</w:t>
            </w:r>
          </w:p>
        </w:tc>
        <w:tc>
          <w:tcPr>
            <w:tcW w:w="849" w:type="dxa"/>
            <w:tcBorders>
              <w:top w:val="nil"/>
              <w:left w:val="nil"/>
              <w:bottom w:val="single" w:sz="4" w:space="0" w:color="auto"/>
              <w:right w:val="double" w:sz="4" w:space="0" w:color="auto"/>
            </w:tcBorders>
            <w:shd w:val="pct12" w:color="auto" w:fill="FFFFFF"/>
            <w:vAlign w:val="center"/>
          </w:tcPr>
          <w:p w:rsidR="005D5D88" w:rsidRPr="007C4598" w:rsidRDefault="005D5D88" w:rsidP="00AF24C3">
            <w:pPr>
              <w:jc w:val="right"/>
              <w:rPr>
                <w:sz w:val="18"/>
                <w:szCs w:val="18"/>
                <w:lang w:val="es-419"/>
              </w:rPr>
            </w:pPr>
            <w:r w:rsidRPr="007C4598">
              <w:rPr>
                <w:sz w:val="18"/>
                <w:szCs w:val="18"/>
                <w:lang w:val="es-419"/>
              </w:rPr>
              <w:t> </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55</w:t>
            </w:r>
          </w:p>
        </w:tc>
        <w:tc>
          <w:tcPr>
            <w:tcW w:w="844" w:type="dxa"/>
            <w:tcBorders>
              <w:top w:val="nil"/>
              <w:left w:val="nil"/>
              <w:bottom w:val="single" w:sz="4" w:space="0" w:color="auto"/>
              <w:right w:val="double" w:sz="4" w:space="0" w:color="auto"/>
            </w:tcBorders>
            <w:shd w:val="pct12" w:color="auto" w:fill="auto"/>
            <w:vAlign w:val="center"/>
          </w:tcPr>
          <w:p w:rsidR="005D5D88" w:rsidRPr="007C4598" w:rsidRDefault="005D5D88" w:rsidP="00AF24C3">
            <w:pPr>
              <w:jc w:val="right"/>
              <w:rPr>
                <w:sz w:val="18"/>
                <w:szCs w:val="18"/>
                <w:lang w:val="es-419"/>
              </w:rPr>
            </w:pPr>
            <w:r w:rsidRPr="007C4598">
              <w:rPr>
                <w:sz w:val="18"/>
                <w:szCs w:val="18"/>
                <w:lang w:val="es-419"/>
              </w:rPr>
              <w:t> </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51</w:t>
            </w:r>
          </w:p>
        </w:tc>
        <w:tc>
          <w:tcPr>
            <w:tcW w:w="840" w:type="dxa"/>
            <w:tcBorders>
              <w:top w:val="nil"/>
              <w:left w:val="nil"/>
              <w:bottom w:val="single" w:sz="4" w:space="0" w:color="auto"/>
              <w:right w:val="single" w:sz="18" w:space="0" w:color="auto"/>
            </w:tcBorders>
            <w:shd w:val="pct12" w:color="auto" w:fill="auto"/>
            <w:vAlign w:val="center"/>
          </w:tcPr>
          <w:p w:rsidR="005D5D88" w:rsidRPr="007C4598" w:rsidRDefault="005D5D88" w:rsidP="00AF24C3">
            <w:pPr>
              <w:jc w:val="right"/>
              <w:rPr>
                <w:sz w:val="18"/>
                <w:szCs w:val="18"/>
                <w:lang w:val="es-419"/>
              </w:rPr>
            </w:pP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HR</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111</w:t>
            </w:r>
          </w:p>
        </w:tc>
        <w:tc>
          <w:tcPr>
            <w:tcW w:w="849" w:type="dxa"/>
            <w:tcBorders>
              <w:top w:val="nil"/>
              <w:left w:val="nil"/>
              <w:bottom w:val="single" w:sz="4"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142</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w:t>
            </w:r>
          </w:p>
        </w:tc>
        <w:tc>
          <w:tcPr>
            <w:tcW w:w="844" w:type="dxa"/>
            <w:tcBorders>
              <w:top w:val="nil"/>
              <w:left w:val="nil"/>
              <w:bottom w:val="single" w:sz="4"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463</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0" w:type="dxa"/>
            <w:tcBorders>
              <w:top w:val="nil"/>
              <w:left w:val="nil"/>
              <w:bottom w:val="single" w:sz="4" w:space="0" w:color="auto"/>
              <w:right w:val="single" w:sz="18"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57</w:t>
            </w: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HU</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301</w:t>
            </w:r>
          </w:p>
        </w:tc>
        <w:tc>
          <w:tcPr>
            <w:tcW w:w="849" w:type="dxa"/>
            <w:tcBorders>
              <w:top w:val="nil"/>
              <w:left w:val="nil"/>
              <w:bottom w:val="single" w:sz="4" w:space="0" w:color="auto"/>
              <w:right w:val="double" w:sz="4" w:space="0" w:color="auto"/>
            </w:tcBorders>
            <w:shd w:val="pct12" w:color="auto" w:fill="FFFFFF"/>
            <w:vAlign w:val="center"/>
          </w:tcPr>
          <w:p w:rsidR="005D5D88" w:rsidRPr="007C4598" w:rsidRDefault="005D5D88" w:rsidP="00AF24C3">
            <w:pPr>
              <w:jc w:val="right"/>
              <w:rPr>
                <w:sz w:val="18"/>
                <w:szCs w:val="18"/>
                <w:lang w:val="es-419"/>
              </w:rPr>
            </w:pPr>
            <w:r w:rsidRPr="007C4598">
              <w:rPr>
                <w:sz w:val="18"/>
                <w:szCs w:val="18"/>
                <w:lang w:val="es-419"/>
              </w:rPr>
              <w:t> </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4" w:type="dxa"/>
            <w:tcBorders>
              <w:top w:val="nil"/>
              <w:left w:val="nil"/>
              <w:bottom w:val="single" w:sz="4"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39</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0" w:type="dxa"/>
            <w:tcBorders>
              <w:top w:val="nil"/>
              <w:left w:val="nil"/>
              <w:bottom w:val="single" w:sz="4" w:space="0" w:color="auto"/>
              <w:right w:val="single" w:sz="18"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23</w:t>
            </w: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IT</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963</w:t>
            </w:r>
          </w:p>
        </w:tc>
        <w:tc>
          <w:tcPr>
            <w:tcW w:w="849" w:type="dxa"/>
            <w:tcBorders>
              <w:top w:val="nil"/>
              <w:left w:val="nil"/>
              <w:bottom w:val="single" w:sz="4" w:space="0" w:color="auto"/>
              <w:right w:val="double" w:sz="4" w:space="0" w:color="auto"/>
            </w:tcBorders>
            <w:shd w:val="pct12" w:color="auto" w:fill="FFFFFF"/>
            <w:vAlign w:val="center"/>
          </w:tcPr>
          <w:p w:rsidR="005D5D88" w:rsidRPr="007C4598" w:rsidRDefault="005D5D88" w:rsidP="00AF24C3">
            <w:pPr>
              <w:jc w:val="right"/>
              <w:rPr>
                <w:sz w:val="18"/>
                <w:szCs w:val="18"/>
                <w:lang w:val="es-419"/>
              </w:rPr>
            </w:pPr>
            <w:r w:rsidRPr="007C4598">
              <w:rPr>
                <w:sz w:val="18"/>
                <w:szCs w:val="18"/>
                <w:lang w:val="es-419"/>
              </w:rPr>
              <w:t> </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115</w:t>
            </w:r>
          </w:p>
        </w:tc>
        <w:tc>
          <w:tcPr>
            <w:tcW w:w="844" w:type="dxa"/>
            <w:tcBorders>
              <w:top w:val="nil"/>
              <w:left w:val="nil"/>
              <w:bottom w:val="single" w:sz="4" w:space="0" w:color="auto"/>
              <w:right w:val="double" w:sz="4" w:space="0" w:color="auto"/>
            </w:tcBorders>
            <w:shd w:val="pct12" w:color="auto" w:fill="auto"/>
            <w:vAlign w:val="center"/>
          </w:tcPr>
          <w:p w:rsidR="005D5D88" w:rsidRPr="007C4598" w:rsidRDefault="005D5D88" w:rsidP="00AF24C3">
            <w:pPr>
              <w:jc w:val="right"/>
              <w:rPr>
                <w:sz w:val="18"/>
                <w:szCs w:val="18"/>
                <w:lang w:val="es-419"/>
              </w:rPr>
            </w:pPr>
            <w:r w:rsidRPr="007C4598">
              <w:rPr>
                <w:sz w:val="18"/>
                <w:szCs w:val="18"/>
                <w:lang w:val="es-419"/>
              </w:rPr>
              <w:t> </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54</w:t>
            </w:r>
          </w:p>
        </w:tc>
        <w:tc>
          <w:tcPr>
            <w:tcW w:w="840" w:type="dxa"/>
            <w:tcBorders>
              <w:top w:val="nil"/>
              <w:left w:val="nil"/>
              <w:bottom w:val="single" w:sz="4" w:space="0" w:color="auto"/>
              <w:right w:val="single" w:sz="18" w:space="0" w:color="auto"/>
            </w:tcBorders>
            <w:shd w:val="pct12" w:color="auto" w:fill="FFFFFF"/>
            <w:vAlign w:val="center"/>
          </w:tcPr>
          <w:p w:rsidR="005D5D88" w:rsidRPr="007C4598" w:rsidRDefault="005D5D88" w:rsidP="00AF24C3">
            <w:pPr>
              <w:jc w:val="right"/>
              <w:rPr>
                <w:sz w:val="18"/>
                <w:szCs w:val="18"/>
                <w:lang w:val="es-419"/>
              </w:rPr>
            </w:pP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KG</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23</w:t>
            </w:r>
          </w:p>
        </w:tc>
        <w:tc>
          <w:tcPr>
            <w:tcW w:w="849" w:type="dxa"/>
            <w:tcBorders>
              <w:top w:val="nil"/>
              <w:left w:val="nil"/>
              <w:bottom w:val="single" w:sz="4"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214</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4" w:type="dxa"/>
            <w:tcBorders>
              <w:top w:val="nil"/>
              <w:left w:val="nil"/>
              <w:bottom w:val="single" w:sz="4"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132</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0" w:type="dxa"/>
            <w:tcBorders>
              <w:top w:val="nil"/>
              <w:left w:val="nil"/>
              <w:bottom w:val="single" w:sz="4" w:space="0" w:color="auto"/>
              <w:right w:val="single" w:sz="18"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77</w:t>
            </w: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KP</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385</w:t>
            </w:r>
          </w:p>
        </w:tc>
        <w:tc>
          <w:tcPr>
            <w:tcW w:w="849" w:type="dxa"/>
            <w:tcBorders>
              <w:top w:val="nil"/>
              <w:left w:val="nil"/>
              <w:bottom w:val="single" w:sz="4" w:space="0" w:color="auto"/>
              <w:right w:val="double" w:sz="4" w:space="0" w:color="auto"/>
            </w:tcBorders>
            <w:shd w:val="pct12" w:color="auto" w:fill="FFFFFF"/>
            <w:vAlign w:val="center"/>
          </w:tcPr>
          <w:p w:rsidR="005D5D88" w:rsidRPr="007C4598" w:rsidRDefault="005D5D88" w:rsidP="00AF24C3">
            <w:pPr>
              <w:jc w:val="right"/>
              <w:rPr>
                <w:sz w:val="18"/>
                <w:szCs w:val="18"/>
                <w:lang w:val="es-419"/>
              </w:rPr>
            </w:pPr>
            <w:r w:rsidRPr="007C4598">
              <w:rPr>
                <w:sz w:val="18"/>
                <w:szCs w:val="18"/>
                <w:lang w:val="es-419"/>
              </w:rPr>
              <w:t> </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69</w:t>
            </w:r>
          </w:p>
        </w:tc>
        <w:tc>
          <w:tcPr>
            <w:tcW w:w="844" w:type="dxa"/>
            <w:tcBorders>
              <w:top w:val="nil"/>
              <w:left w:val="nil"/>
              <w:bottom w:val="single" w:sz="4" w:space="0" w:color="auto"/>
              <w:right w:val="double" w:sz="4" w:space="0" w:color="auto"/>
            </w:tcBorders>
            <w:shd w:val="pct12" w:color="auto" w:fill="auto"/>
            <w:vAlign w:val="center"/>
          </w:tcPr>
          <w:p w:rsidR="005D5D88" w:rsidRPr="007C4598" w:rsidRDefault="005D5D88" w:rsidP="00AF24C3">
            <w:pPr>
              <w:jc w:val="right"/>
              <w:rPr>
                <w:sz w:val="18"/>
                <w:szCs w:val="18"/>
                <w:lang w:val="es-419"/>
              </w:rPr>
            </w:pPr>
            <w:r w:rsidRPr="007C4598">
              <w:rPr>
                <w:sz w:val="18"/>
                <w:szCs w:val="18"/>
                <w:lang w:val="es-419"/>
              </w:rPr>
              <w:t> </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0" w:type="dxa"/>
            <w:tcBorders>
              <w:top w:val="nil"/>
              <w:left w:val="nil"/>
              <w:bottom w:val="single" w:sz="4" w:space="0" w:color="auto"/>
              <w:right w:val="single" w:sz="18"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43</w:t>
            </w: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LI</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131</w:t>
            </w:r>
          </w:p>
        </w:tc>
        <w:tc>
          <w:tcPr>
            <w:tcW w:w="849" w:type="dxa"/>
            <w:tcBorders>
              <w:top w:val="nil"/>
              <w:left w:val="nil"/>
              <w:bottom w:val="single" w:sz="4"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330</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w:t>
            </w:r>
          </w:p>
        </w:tc>
        <w:tc>
          <w:tcPr>
            <w:tcW w:w="844" w:type="dxa"/>
            <w:tcBorders>
              <w:top w:val="nil"/>
              <w:left w:val="nil"/>
              <w:bottom w:val="single" w:sz="4"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303</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0" w:type="dxa"/>
            <w:tcBorders>
              <w:top w:val="nil"/>
              <w:left w:val="nil"/>
              <w:bottom w:val="single" w:sz="4" w:space="0" w:color="auto"/>
              <w:right w:val="single" w:sz="18"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194</w:t>
            </w: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MA</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443</w:t>
            </w:r>
          </w:p>
        </w:tc>
        <w:tc>
          <w:tcPr>
            <w:tcW w:w="849" w:type="dxa"/>
            <w:tcBorders>
              <w:top w:val="nil"/>
              <w:left w:val="nil"/>
              <w:bottom w:val="single" w:sz="4" w:space="0" w:color="auto"/>
              <w:right w:val="double" w:sz="4" w:space="0" w:color="auto"/>
            </w:tcBorders>
            <w:shd w:val="pct12" w:color="auto" w:fill="FFFFFF"/>
            <w:vAlign w:val="center"/>
          </w:tcPr>
          <w:p w:rsidR="005D5D88" w:rsidRPr="007C4598" w:rsidRDefault="005D5D88" w:rsidP="00AF24C3">
            <w:pPr>
              <w:jc w:val="right"/>
              <w:rPr>
                <w:sz w:val="18"/>
                <w:szCs w:val="18"/>
                <w:lang w:val="es-419"/>
              </w:rPr>
            </w:pPr>
            <w:r w:rsidRPr="007C4598">
              <w:rPr>
                <w:sz w:val="18"/>
                <w:szCs w:val="18"/>
                <w:lang w:val="es-419"/>
              </w:rPr>
              <w:t> </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323</w:t>
            </w:r>
          </w:p>
        </w:tc>
        <w:tc>
          <w:tcPr>
            <w:tcW w:w="844" w:type="dxa"/>
            <w:tcBorders>
              <w:top w:val="nil"/>
              <w:left w:val="nil"/>
              <w:bottom w:val="single" w:sz="4" w:space="0" w:color="auto"/>
              <w:right w:val="double" w:sz="4" w:space="0" w:color="auto"/>
            </w:tcBorders>
            <w:shd w:val="pct12" w:color="auto" w:fill="auto"/>
            <w:vAlign w:val="center"/>
          </w:tcPr>
          <w:p w:rsidR="005D5D88" w:rsidRPr="007C4598" w:rsidRDefault="005D5D88" w:rsidP="00AF24C3">
            <w:pPr>
              <w:jc w:val="right"/>
              <w:rPr>
                <w:sz w:val="18"/>
                <w:szCs w:val="18"/>
                <w:lang w:val="es-419"/>
              </w:rPr>
            </w:pPr>
            <w:r w:rsidRPr="007C4598">
              <w:rPr>
                <w:sz w:val="18"/>
                <w:szCs w:val="18"/>
                <w:lang w:val="es-419"/>
              </w:rPr>
              <w:t> </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318</w:t>
            </w:r>
          </w:p>
        </w:tc>
        <w:tc>
          <w:tcPr>
            <w:tcW w:w="840" w:type="dxa"/>
            <w:tcBorders>
              <w:top w:val="nil"/>
              <w:left w:val="nil"/>
              <w:bottom w:val="single" w:sz="4" w:space="0" w:color="auto"/>
              <w:right w:val="single" w:sz="18" w:space="0" w:color="auto"/>
            </w:tcBorders>
            <w:shd w:val="pct12" w:color="auto" w:fill="auto"/>
            <w:vAlign w:val="center"/>
          </w:tcPr>
          <w:p w:rsidR="005D5D88" w:rsidRPr="007C4598" w:rsidRDefault="005D5D88" w:rsidP="00AF24C3">
            <w:pPr>
              <w:jc w:val="right"/>
              <w:rPr>
                <w:sz w:val="18"/>
                <w:szCs w:val="18"/>
                <w:lang w:val="es-419"/>
              </w:rPr>
            </w:pP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MC</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476</w:t>
            </w:r>
          </w:p>
        </w:tc>
        <w:tc>
          <w:tcPr>
            <w:tcW w:w="849" w:type="dxa"/>
            <w:tcBorders>
              <w:top w:val="nil"/>
              <w:left w:val="nil"/>
              <w:bottom w:val="single" w:sz="4" w:space="0" w:color="auto"/>
              <w:right w:val="double" w:sz="4" w:space="0" w:color="auto"/>
            </w:tcBorders>
            <w:shd w:val="pct12" w:color="auto" w:fill="FFFFFF"/>
            <w:vAlign w:val="center"/>
          </w:tcPr>
          <w:p w:rsidR="005D5D88" w:rsidRPr="007C4598" w:rsidRDefault="005D5D88" w:rsidP="00AF24C3">
            <w:pPr>
              <w:jc w:val="right"/>
              <w:rPr>
                <w:sz w:val="18"/>
                <w:szCs w:val="18"/>
                <w:lang w:val="es-419"/>
              </w:rPr>
            </w:pPr>
            <w:r w:rsidRPr="007C4598">
              <w:rPr>
                <w:sz w:val="18"/>
                <w:szCs w:val="18"/>
                <w:lang w:val="es-419"/>
              </w:rPr>
              <w:t> </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317</w:t>
            </w:r>
          </w:p>
        </w:tc>
        <w:tc>
          <w:tcPr>
            <w:tcW w:w="844" w:type="dxa"/>
            <w:tcBorders>
              <w:top w:val="nil"/>
              <w:left w:val="nil"/>
              <w:bottom w:val="single" w:sz="4" w:space="0" w:color="auto"/>
              <w:right w:val="double" w:sz="4" w:space="0" w:color="auto"/>
            </w:tcBorders>
            <w:shd w:val="pct12" w:color="auto" w:fill="auto"/>
            <w:vAlign w:val="center"/>
          </w:tcPr>
          <w:p w:rsidR="005D5D88" w:rsidRPr="007C4598" w:rsidRDefault="005D5D88" w:rsidP="00AF24C3">
            <w:pPr>
              <w:jc w:val="right"/>
              <w:rPr>
                <w:sz w:val="18"/>
                <w:szCs w:val="18"/>
                <w:lang w:val="es-419"/>
              </w:rPr>
            </w:pPr>
            <w:r w:rsidRPr="007C4598">
              <w:rPr>
                <w:sz w:val="18"/>
                <w:szCs w:val="18"/>
                <w:lang w:val="es-419"/>
              </w:rPr>
              <w:t> </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0" w:type="dxa"/>
            <w:tcBorders>
              <w:top w:val="nil"/>
              <w:left w:val="nil"/>
              <w:bottom w:val="single" w:sz="4" w:space="0" w:color="auto"/>
              <w:right w:val="single" w:sz="18"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227</w:t>
            </w: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MD</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143</w:t>
            </w:r>
          </w:p>
        </w:tc>
        <w:tc>
          <w:tcPr>
            <w:tcW w:w="849" w:type="dxa"/>
            <w:tcBorders>
              <w:top w:val="nil"/>
              <w:left w:val="nil"/>
              <w:bottom w:val="single" w:sz="4"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231</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4" w:type="dxa"/>
            <w:tcBorders>
              <w:top w:val="nil"/>
              <w:left w:val="nil"/>
              <w:bottom w:val="single" w:sz="4"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184</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0" w:type="dxa"/>
            <w:tcBorders>
              <w:top w:val="nil"/>
              <w:left w:val="nil"/>
              <w:bottom w:val="single" w:sz="4" w:space="0" w:color="auto"/>
              <w:right w:val="single" w:sz="18"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102</w:t>
            </w: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ME</w:t>
            </w:r>
          </w:p>
        </w:tc>
        <w:tc>
          <w:tcPr>
            <w:tcW w:w="625" w:type="dxa"/>
            <w:tcBorders>
              <w:top w:val="nil"/>
              <w:left w:val="single" w:sz="18" w:space="0" w:color="auto"/>
              <w:bottom w:val="single" w:sz="4" w:space="0" w:color="auto"/>
              <w:right w:val="single" w:sz="4" w:space="0" w:color="auto"/>
            </w:tcBorders>
            <w:shd w:val="pct12" w:color="auto" w:fill="FFFFFF"/>
            <w:vAlign w:val="center"/>
          </w:tcPr>
          <w:p w:rsidR="005D5D88" w:rsidRPr="007C4598" w:rsidRDefault="005D5D88" w:rsidP="00AF24C3">
            <w:pPr>
              <w:jc w:val="right"/>
              <w:rPr>
                <w:sz w:val="16"/>
                <w:szCs w:val="16"/>
                <w:lang w:val="es-419"/>
              </w:rPr>
            </w:pPr>
            <w:r w:rsidRPr="007C4598">
              <w:rPr>
                <w:sz w:val="16"/>
                <w:szCs w:val="16"/>
                <w:lang w:val="es-419"/>
              </w:rPr>
              <w:t> </w:t>
            </w:r>
          </w:p>
        </w:tc>
        <w:tc>
          <w:tcPr>
            <w:tcW w:w="849" w:type="dxa"/>
            <w:tcBorders>
              <w:top w:val="nil"/>
              <w:left w:val="nil"/>
              <w:bottom w:val="single" w:sz="4" w:space="0" w:color="auto"/>
              <w:right w:val="double" w:sz="4" w:space="0" w:color="auto"/>
            </w:tcBorders>
            <w:shd w:val="pct12" w:color="auto" w:fill="FFFFFF"/>
            <w:vAlign w:val="center"/>
          </w:tcPr>
          <w:p w:rsidR="005D5D88" w:rsidRPr="007C4598" w:rsidRDefault="005D5D88" w:rsidP="00AF24C3">
            <w:pPr>
              <w:jc w:val="right"/>
              <w:rPr>
                <w:sz w:val="18"/>
                <w:szCs w:val="18"/>
                <w:lang w:val="es-419"/>
              </w:rPr>
            </w:pPr>
            <w:r w:rsidRPr="007C4598">
              <w:rPr>
                <w:sz w:val="18"/>
                <w:szCs w:val="18"/>
                <w:lang w:val="es-419"/>
              </w:rPr>
              <w:t> </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251</w:t>
            </w:r>
          </w:p>
        </w:tc>
        <w:tc>
          <w:tcPr>
            <w:tcW w:w="844" w:type="dxa"/>
            <w:tcBorders>
              <w:top w:val="nil"/>
              <w:left w:val="nil"/>
              <w:bottom w:val="single" w:sz="4" w:space="0" w:color="auto"/>
              <w:right w:val="double" w:sz="4" w:space="0" w:color="auto"/>
            </w:tcBorders>
            <w:shd w:val="pct12" w:color="auto" w:fill="auto"/>
            <w:vAlign w:val="center"/>
          </w:tcPr>
          <w:p w:rsidR="005D5D88" w:rsidRPr="007C4598" w:rsidRDefault="005D5D88" w:rsidP="00AF24C3">
            <w:pPr>
              <w:jc w:val="right"/>
              <w:rPr>
                <w:sz w:val="18"/>
                <w:szCs w:val="18"/>
                <w:lang w:val="es-419"/>
              </w:rPr>
            </w:pPr>
            <w:r w:rsidRPr="007C4598">
              <w:rPr>
                <w:sz w:val="18"/>
                <w:szCs w:val="18"/>
                <w:lang w:val="es-419"/>
              </w:rPr>
              <w:t> </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0" w:type="dxa"/>
            <w:tcBorders>
              <w:top w:val="nil"/>
              <w:left w:val="nil"/>
              <w:bottom w:val="single" w:sz="4" w:space="0" w:color="auto"/>
              <w:right w:val="single" w:sz="18"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168</w:t>
            </w: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MK</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440</w:t>
            </w:r>
          </w:p>
        </w:tc>
        <w:tc>
          <w:tcPr>
            <w:tcW w:w="849" w:type="dxa"/>
            <w:tcBorders>
              <w:top w:val="nil"/>
              <w:left w:val="nil"/>
              <w:bottom w:val="single" w:sz="4" w:space="0" w:color="auto"/>
              <w:right w:val="double" w:sz="4" w:space="0" w:color="auto"/>
            </w:tcBorders>
            <w:shd w:val="pct12" w:color="auto" w:fill="FFFFFF"/>
            <w:vAlign w:val="center"/>
          </w:tcPr>
          <w:p w:rsidR="005D5D88" w:rsidRPr="007C4598" w:rsidRDefault="005D5D88" w:rsidP="00AF24C3">
            <w:pPr>
              <w:jc w:val="right"/>
              <w:rPr>
                <w:sz w:val="18"/>
                <w:szCs w:val="18"/>
                <w:lang w:val="es-419"/>
              </w:rPr>
            </w:pPr>
            <w:r w:rsidRPr="007C4598">
              <w:rPr>
                <w:sz w:val="18"/>
                <w:szCs w:val="18"/>
                <w:lang w:val="es-419"/>
              </w:rPr>
              <w:t> </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4" w:type="dxa"/>
            <w:tcBorders>
              <w:top w:val="nil"/>
              <w:left w:val="nil"/>
              <w:bottom w:val="single" w:sz="4"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325</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0" w:type="dxa"/>
            <w:tcBorders>
              <w:top w:val="nil"/>
              <w:left w:val="nil"/>
              <w:bottom w:val="single" w:sz="4" w:space="0" w:color="auto"/>
              <w:right w:val="single" w:sz="18"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161</w:t>
            </w: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ML</w:t>
            </w:r>
          </w:p>
        </w:tc>
        <w:tc>
          <w:tcPr>
            <w:tcW w:w="625" w:type="dxa"/>
            <w:tcBorders>
              <w:top w:val="nil"/>
              <w:left w:val="single" w:sz="18" w:space="0" w:color="auto"/>
              <w:bottom w:val="single" w:sz="4" w:space="0" w:color="auto"/>
              <w:right w:val="single" w:sz="4" w:space="0" w:color="auto"/>
            </w:tcBorders>
            <w:shd w:val="pct12" w:color="auto" w:fill="FFFFFF"/>
            <w:vAlign w:val="center"/>
          </w:tcPr>
          <w:p w:rsidR="005D5D88" w:rsidRPr="007C4598" w:rsidRDefault="005D5D88" w:rsidP="00AF24C3">
            <w:pPr>
              <w:jc w:val="right"/>
              <w:rPr>
                <w:sz w:val="18"/>
                <w:szCs w:val="18"/>
                <w:lang w:val="es-419"/>
              </w:rPr>
            </w:pPr>
            <w:r w:rsidRPr="007C4598">
              <w:rPr>
                <w:sz w:val="18"/>
                <w:szCs w:val="18"/>
                <w:lang w:val="es-419"/>
              </w:rPr>
              <w:t> </w:t>
            </w:r>
          </w:p>
        </w:tc>
        <w:tc>
          <w:tcPr>
            <w:tcW w:w="849" w:type="dxa"/>
            <w:tcBorders>
              <w:top w:val="nil"/>
              <w:left w:val="nil"/>
              <w:bottom w:val="single" w:sz="4" w:space="0" w:color="auto"/>
              <w:right w:val="double" w:sz="4" w:space="0" w:color="auto"/>
            </w:tcBorders>
            <w:shd w:val="pct12" w:color="auto" w:fill="FFFFFF"/>
            <w:vAlign w:val="center"/>
          </w:tcPr>
          <w:p w:rsidR="005D5D88" w:rsidRPr="007C4598" w:rsidRDefault="005D5D88" w:rsidP="00AF24C3">
            <w:pPr>
              <w:jc w:val="right"/>
              <w:rPr>
                <w:sz w:val="18"/>
                <w:szCs w:val="18"/>
                <w:lang w:val="es-419"/>
              </w:rPr>
            </w:pPr>
            <w:r w:rsidRPr="007C4598">
              <w:rPr>
                <w:sz w:val="18"/>
                <w:szCs w:val="18"/>
                <w:lang w:val="es-419"/>
              </w:rPr>
              <w:t> </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8</w:t>
            </w:r>
          </w:p>
        </w:tc>
        <w:tc>
          <w:tcPr>
            <w:tcW w:w="844" w:type="dxa"/>
            <w:tcBorders>
              <w:top w:val="nil"/>
              <w:left w:val="nil"/>
              <w:bottom w:val="single" w:sz="4" w:space="0" w:color="auto"/>
              <w:right w:val="double" w:sz="4" w:space="0" w:color="auto"/>
            </w:tcBorders>
            <w:shd w:val="pct12" w:color="auto" w:fill="auto"/>
            <w:vAlign w:val="center"/>
          </w:tcPr>
          <w:p w:rsidR="005D5D88" w:rsidRPr="007C4598" w:rsidRDefault="005D5D88" w:rsidP="00AF24C3">
            <w:pPr>
              <w:jc w:val="right"/>
              <w:rPr>
                <w:sz w:val="18"/>
                <w:szCs w:val="18"/>
                <w:lang w:val="es-419"/>
              </w:rPr>
            </w:pPr>
            <w:r w:rsidRPr="007C4598">
              <w:rPr>
                <w:sz w:val="18"/>
                <w:szCs w:val="18"/>
                <w:lang w:val="es-419"/>
              </w:rPr>
              <w:t> </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4</w:t>
            </w:r>
          </w:p>
        </w:tc>
        <w:tc>
          <w:tcPr>
            <w:tcW w:w="840" w:type="dxa"/>
            <w:tcBorders>
              <w:top w:val="nil"/>
              <w:left w:val="nil"/>
              <w:bottom w:val="single" w:sz="4" w:space="0" w:color="auto"/>
              <w:right w:val="single" w:sz="18" w:space="0" w:color="auto"/>
            </w:tcBorders>
            <w:shd w:val="pct12" w:color="auto" w:fill="auto"/>
            <w:vAlign w:val="center"/>
          </w:tcPr>
          <w:p w:rsidR="005D5D88" w:rsidRPr="007C4598" w:rsidRDefault="005D5D88" w:rsidP="00AF24C3">
            <w:pPr>
              <w:jc w:val="right"/>
              <w:rPr>
                <w:sz w:val="18"/>
                <w:szCs w:val="18"/>
                <w:lang w:val="es-419"/>
              </w:rPr>
            </w:pP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MN</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240</w:t>
            </w:r>
          </w:p>
        </w:tc>
        <w:tc>
          <w:tcPr>
            <w:tcW w:w="849" w:type="dxa"/>
            <w:tcBorders>
              <w:top w:val="nil"/>
              <w:left w:val="nil"/>
              <w:bottom w:val="single" w:sz="4" w:space="0" w:color="auto"/>
              <w:right w:val="double" w:sz="4" w:space="0" w:color="auto"/>
            </w:tcBorders>
            <w:shd w:val="pct12" w:color="auto" w:fill="FFFFFF"/>
            <w:vAlign w:val="center"/>
          </w:tcPr>
          <w:p w:rsidR="005D5D88" w:rsidRPr="007C4598" w:rsidRDefault="005D5D88" w:rsidP="00AF24C3">
            <w:pPr>
              <w:jc w:val="right"/>
              <w:rPr>
                <w:sz w:val="18"/>
                <w:szCs w:val="18"/>
                <w:lang w:val="es-419"/>
              </w:rPr>
            </w:pPr>
            <w:r w:rsidRPr="007C4598">
              <w:rPr>
                <w:sz w:val="18"/>
                <w:szCs w:val="18"/>
                <w:lang w:val="es-419"/>
              </w:rPr>
              <w:t> </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w:t>
            </w:r>
          </w:p>
        </w:tc>
        <w:tc>
          <w:tcPr>
            <w:tcW w:w="844" w:type="dxa"/>
            <w:tcBorders>
              <w:top w:val="nil"/>
              <w:left w:val="nil"/>
              <w:bottom w:val="single" w:sz="4"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165</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0" w:type="dxa"/>
            <w:tcBorders>
              <w:top w:val="nil"/>
              <w:left w:val="nil"/>
              <w:bottom w:val="single" w:sz="4" w:space="0" w:color="auto"/>
              <w:right w:val="single" w:sz="18"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82</w:t>
            </w: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NE</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w:t>
            </w:r>
          </w:p>
        </w:tc>
        <w:tc>
          <w:tcPr>
            <w:tcW w:w="849" w:type="dxa"/>
            <w:tcBorders>
              <w:top w:val="nil"/>
              <w:left w:val="nil"/>
              <w:bottom w:val="single" w:sz="4" w:space="0" w:color="auto"/>
              <w:right w:val="double" w:sz="4" w:space="0" w:color="auto"/>
            </w:tcBorders>
            <w:shd w:val="pct12" w:color="auto" w:fill="FFFFFF"/>
            <w:vAlign w:val="center"/>
          </w:tcPr>
          <w:p w:rsidR="005D5D88" w:rsidRPr="007C4598" w:rsidRDefault="005D5D88" w:rsidP="00AF24C3">
            <w:pPr>
              <w:jc w:val="right"/>
              <w:rPr>
                <w:sz w:val="18"/>
                <w:szCs w:val="18"/>
                <w:lang w:val="es-419"/>
              </w:rPr>
            </w:pPr>
            <w:r w:rsidRPr="007C4598">
              <w:rPr>
                <w:sz w:val="18"/>
                <w:szCs w:val="18"/>
                <w:lang w:val="es-419"/>
              </w:rPr>
              <w:t> </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5</w:t>
            </w:r>
          </w:p>
        </w:tc>
        <w:tc>
          <w:tcPr>
            <w:tcW w:w="844" w:type="dxa"/>
            <w:tcBorders>
              <w:top w:val="nil"/>
              <w:left w:val="nil"/>
              <w:bottom w:val="single" w:sz="4" w:space="0" w:color="auto"/>
              <w:right w:val="double" w:sz="4" w:space="0" w:color="auto"/>
            </w:tcBorders>
            <w:shd w:val="pct12" w:color="auto" w:fill="auto"/>
            <w:vAlign w:val="center"/>
          </w:tcPr>
          <w:p w:rsidR="005D5D88" w:rsidRPr="007C4598" w:rsidRDefault="005D5D88" w:rsidP="00AF24C3">
            <w:pPr>
              <w:jc w:val="right"/>
              <w:rPr>
                <w:sz w:val="18"/>
                <w:szCs w:val="18"/>
                <w:lang w:val="es-419"/>
              </w:rPr>
            </w:pPr>
            <w:r w:rsidRPr="007C4598">
              <w:rPr>
                <w:sz w:val="18"/>
                <w:szCs w:val="18"/>
                <w:lang w:val="es-419"/>
              </w:rPr>
              <w:t> </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3</w:t>
            </w:r>
          </w:p>
        </w:tc>
        <w:tc>
          <w:tcPr>
            <w:tcW w:w="840" w:type="dxa"/>
            <w:tcBorders>
              <w:top w:val="nil"/>
              <w:left w:val="nil"/>
              <w:bottom w:val="single" w:sz="4" w:space="0" w:color="auto"/>
              <w:right w:val="single" w:sz="18" w:space="0" w:color="auto"/>
            </w:tcBorders>
            <w:shd w:val="pct12" w:color="auto" w:fill="auto"/>
            <w:vAlign w:val="center"/>
          </w:tcPr>
          <w:p w:rsidR="005D5D88" w:rsidRPr="007C4598" w:rsidRDefault="005D5D88" w:rsidP="00AF24C3">
            <w:pPr>
              <w:jc w:val="right"/>
              <w:rPr>
                <w:sz w:val="18"/>
                <w:szCs w:val="18"/>
                <w:lang w:val="es-419"/>
              </w:rPr>
            </w:pP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RO</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302</w:t>
            </w:r>
          </w:p>
        </w:tc>
        <w:tc>
          <w:tcPr>
            <w:tcW w:w="849" w:type="dxa"/>
            <w:tcBorders>
              <w:top w:val="nil"/>
              <w:left w:val="nil"/>
              <w:bottom w:val="single" w:sz="4"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243</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4" w:type="dxa"/>
            <w:tcBorders>
              <w:top w:val="nil"/>
              <w:left w:val="nil"/>
              <w:bottom w:val="single" w:sz="4"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25</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w:t>
            </w:r>
          </w:p>
        </w:tc>
        <w:tc>
          <w:tcPr>
            <w:tcW w:w="840" w:type="dxa"/>
            <w:tcBorders>
              <w:top w:val="nil"/>
              <w:left w:val="nil"/>
              <w:bottom w:val="single" w:sz="4" w:space="0" w:color="auto"/>
              <w:right w:val="single" w:sz="18"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92</w:t>
            </w: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RS</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510</w:t>
            </w:r>
          </w:p>
        </w:tc>
        <w:tc>
          <w:tcPr>
            <w:tcW w:w="849" w:type="dxa"/>
            <w:tcBorders>
              <w:top w:val="nil"/>
              <w:left w:val="nil"/>
              <w:bottom w:val="single" w:sz="4" w:space="0" w:color="auto"/>
              <w:right w:val="double" w:sz="4" w:space="0" w:color="auto"/>
            </w:tcBorders>
            <w:shd w:val="pct12" w:color="auto" w:fill="FFFFFF"/>
            <w:vAlign w:val="center"/>
          </w:tcPr>
          <w:p w:rsidR="005D5D88" w:rsidRPr="007C4598" w:rsidRDefault="005D5D88" w:rsidP="00AF24C3">
            <w:pPr>
              <w:jc w:val="right"/>
              <w:rPr>
                <w:sz w:val="18"/>
                <w:szCs w:val="18"/>
                <w:lang w:val="es-419"/>
              </w:rPr>
            </w:pPr>
            <w:r w:rsidRPr="007C4598">
              <w:rPr>
                <w:sz w:val="18"/>
                <w:szCs w:val="18"/>
                <w:lang w:val="es-419"/>
              </w:rPr>
              <w:t> </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4" w:type="dxa"/>
            <w:tcBorders>
              <w:top w:val="nil"/>
              <w:left w:val="nil"/>
              <w:bottom w:val="single" w:sz="4"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225</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0" w:type="dxa"/>
            <w:tcBorders>
              <w:top w:val="nil"/>
              <w:left w:val="nil"/>
              <w:bottom w:val="single" w:sz="4" w:space="0" w:color="auto"/>
              <w:right w:val="single" w:sz="18"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192</w:t>
            </w: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 xml:space="preserve">SI </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225</w:t>
            </w:r>
          </w:p>
        </w:tc>
        <w:tc>
          <w:tcPr>
            <w:tcW w:w="849" w:type="dxa"/>
            <w:tcBorders>
              <w:top w:val="nil"/>
              <w:left w:val="nil"/>
              <w:bottom w:val="single" w:sz="4"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253</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4" w:type="dxa"/>
            <w:tcBorders>
              <w:top w:val="nil"/>
              <w:left w:val="nil"/>
              <w:bottom w:val="single" w:sz="4"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69</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0" w:type="dxa"/>
            <w:tcBorders>
              <w:top w:val="nil"/>
              <w:left w:val="nil"/>
              <w:bottom w:val="single" w:sz="4" w:space="0" w:color="auto"/>
              <w:right w:val="single" w:sz="18"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60</w:t>
            </w: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SN</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59</w:t>
            </w:r>
          </w:p>
        </w:tc>
        <w:tc>
          <w:tcPr>
            <w:tcW w:w="849" w:type="dxa"/>
            <w:tcBorders>
              <w:top w:val="nil"/>
              <w:left w:val="nil"/>
              <w:bottom w:val="single" w:sz="4" w:space="0" w:color="auto"/>
              <w:right w:val="double" w:sz="4" w:space="0" w:color="auto"/>
            </w:tcBorders>
            <w:shd w:val="pct12" w:color="auto" w:fill="FFFFFF"/>
            <w:vAlign w:val="center"/>
          </w:tcPr>
          <w:p w:rsidR="005D5D88" w:rsidRPr="007C4598" w:rsidRDefault="005D5D88" w:rsidP="00AF24C3">
            <w:pPr>
              <w:jc w:val="right"/>
              <w:rPr>
                <w:sz w:val="18"/>
                <w:szCs w:val="18"/>
                <w:lang w:val="es-419"/>
              </w:rPr>
            </w:pPr>
            <w:r w:rsidRPr="007C4598">
              <w:rPr>
                <w:sz w:val="18"/>
                <w:szCs w:val="18"/>
                <w:lang w:val="es-419"/>
              </w:rPr>
              <w:t> </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11</w:t>
            </w:r>
          </w:p>
        </w:tc>
        <w:tc>
          <w:tcPr>
            <w:tcW w:w="844" w:type="dxa"/>
            <w:tcBorders>
              <w:top w:val="nil"/>
              <w:left w:val="nil"/>
              <w:bottom w:val="single" w:sz="4" w:space="0" w:color="auto"/>
              <w:right w:val="double" w:sz="4" w:space="0" w:color="auto"/>
            </w:tcBorders>
            <w:shd w:val="pct12" w:color="auto" w:fill="auto"/>
            <w:vAlign w:val="center"/>
          </w:tcPr>
          <w:p w:rsidR="005D5D88" w:rsidRPr="007C4598" w:rsidRDefault="005D5D88" w:rsidP="00AF24C3">
            <w:pPr>
              <w:jc w:val="right"/>
              <w:rPr>
                <w:sz w:val="18"/>
                <w:szCs w:val="18"/>
                <w:lang w:val="es-419"/>
              </w:rPr>
            </w:pPr>
            <w:r w:rsidRPr="007C4598">
              <w:rPr>
                <w:sz w:val="18"/>
                <w:szCs w:val="18"/>
                <w:lang w:val="es-419"/>
              </w:rPr>
              <w:t> </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14</w:t>
            </w:r>
          </w:p>
        </w:tc>
        <w:tc>
          <w:tcPr>
            <w:tcW w:w="840" w:type="dxa"/>
            <w:tcBorders>
              <w:top w:val="nil"/>
              <w:left w:val="nil"/>
              <w:bottom w:val="single" w:sz="4" w:space="0" w:color="auto"/>
              <w:right w:val="single" w:sz="18" w:space="0" w:color="auto"/>
            </w:tcBorders>
            <w:shd w:val="pct12" w:color="auto" w:fill="auto"/>
            <w:vAlign w:val="center"/>
          </w:tcPr>
          <w:p w:rsidR="005D5D88" w:rsidRPr="007C4598" w:rsidRDefault="005D5D88" w:rsidP="00AF24C3">
            <w:pPr>
              <w:jc w:val="right"/>
              <w:rPr>
                <w:sz w:val="18"/>
                <w:szCs w:val="18"/>
                <w:lang w:val="es-419"/>
              </w:rPr>
            </w:pPr>
          </w:p>
        </w:tc>
      </w:tr>
      <w:tr w:rsidR="005D5D88" w:rsidRPr="007C4598" w:rsidTr="001C10C1">
        <w:trPr>
          <w:trHeight w:val="270"/>
        </w:trPr>
        <w:tc>
          <w:tcPr>
            <w:tcW w:w="3119" w:type="dxa"/>
            <w:tcBorders>
              <w:top w:val="nil"/>
              <w:left w:val="single" w:sz="18" w:space="0" w:color="auto"/>
              <w:bottom w:val="single" w:sz="4"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SR</w:t>
            </w:r>
          </w:p>
        </w:tc>
        <w:tc>
          <w:tcPr>
            <w:tcW w:w="625" w:type="dxa"/>
            <w:tcBorders>
              <w:top w:val="nil"/>
              <w:left w:val="single" w:sz="18"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50</w:t>
            </w:r>
          </w:p>
        </w:tc>
        <w:tc>
          <w:tcPr>
            <w:tcW w:w="849" w:type="dxa"/>
            <w:tcBorders>
              <w:top w:val="nil"/>
              <w:left w:val="nil"/>
              <w:bottom w:val="single" w:sz="4" w:space="0" w:color="auto"/>
              <w:right w:val="double" w:sz="4" w:space="0" w:color="auto"/>
            </w:tcBorders>
            <w:shd w:val="pct12" w:color="auto" w:fill="FFFFFF"/>
            <w:vAlign w:val="center"/>
          </w:tcPr>
          <w:p w:rsidR="005D5D88" w:rsidRPr="007C4598" w:rsidRDefault="005D5D88" w:rsidP="00AF24C3">
            <w:pPr>
              <w:jc w:val="right"/>
              <w:rPr>
                <w:sz w:val="18"/>
                <w:szCs w:val="18"/>
                <w:lang w:val="es-419"/>
              </w:rPr>
            </w:pPr>
            <w:r w:rsidRPr="007C4598">
              <w:rPr>
                <w:sz w:val="18"/>
                <w:szCs w:val="18"/>
                <w:lang w:val="es-419"/>
              </w:rPr>
              <w:t> </w:t>
            </w:r>
          </w:p>
        </w:tc>
        <w:tc>
          <w:tcPr>
            <w:tcW w:w="846"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14</w:t>
            </w:r>
          </w:p>
        </w:tc>
        <w:tc>
          <w:tcPr>
            <w:tcW w:w="844" w:type="dxa"/>
            <w:tcBorders>
              <w:top w:val="nil"/>
              <w:left w:val="nil"/>
              <w:bottom w:val="single" w:sz="4" w:space="0" w:color="auto"/>
              <w:right w:val="double" w:sz="4" w:space="0" w:color="auto"/>
            </w:tcBorders>
            <w:shd w:val="pct12" w:color="auto" w:fill="auto"/>
            <w:vAlign w:val="center"/>
          </w:tcPr>
          <w:p w:rsidR="005D5D88" w:rsidRPr="007C4598" w:rsidRDefault="005D5D88" w:rsidP="00AF24C3">
            <w:pPr>
              <w:jc w:val="right"/>
              <w:rPr>
                <w:sz w:val="18"/>
                <w:szCs w:val="18"/>
                <w:lang w:val="es-419"/>
              </w:rPr>
            </w:pPr>
            <w:r w:rsidRPr="007C4598">
              <w:rPr>
                <w:sz w:val="18"/>
                <w:szCs w:val="18"/>
                <w:lang w:val="es-419"/>
              </w:rPr>
              <w:t> </w:t>
            </w:r>
          </w:p>
        </w:tc>
        <w:tc>
          <w:tcPr>
            <w:tcW w:w="842" w:type="dxa"/>
            <w:tcBorders>
              <w:top w:val="nil"/>
              <w:left w:val="double" w:sz="4" w:space="0" w:color="auto"/>
              <w:bottom w:val="single" w:sz="4"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16</w:t>
            </w:r>
          </w:p>
        </w:tc>
        <w:tc>
          <w:tcPr>
            <w:tcW w:w="840" w:type="dxa"/>
            <w:tcBorders>
              <w:top w:val="nil"/>
              <w:left w:val="nil"/>
              <w:bottom w:val="single" w:sz="4" w:space="0" w:color="auto"/>
              <w:right w:val="single" w:sz="18" w:space="0" w:color="auto"/>
            </w:tcBorders>
            <w:shd w:val="pct12" w:color="auto" w:fill="auto"/>
            <w:vAlign w:val="center"/>
          </w:tcPr>
          <w:p w:rsidR="005D5D88" w:rsidRPr="007C4598" w:rsidRDefault="005D5D88" w:rsidP="00AF24C3">
            <w:pPr>
              <w:jc w:val="right"/>
              <w:rPr>
                <w:sz w:val="18"/>
                <w:szCs w:val="18"/>
                <w:lang w:val="es-419"/>
              </w:rPr>
            </w:pPr>
          </w:p>
        </w:tc>
      </w:tr>
      <w:tr w:rsidR="005D5D88" w:rsidRPr="007C4598" w:rsidTr="001C10C1">
        <w:trPr>
          <w:trHeight w:val="270"/>
        </w:trPr>
        <w:tc>
          <w:tcPr>
            <w:tcW w:w="3119" w:type="dxa"/>
            <w:tcBorders>
              <w:top w:val="nil"/>
              <w:left w:val="single" w:sz="18" w:space="0" w:color="auto"/>
              <w:bottom w:val="single" w:sz="18"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UA</w:t>
            </w:r>
          </w:p>
        </w:tc>
        <w:tc>
          <w:tcPr>
            <w:tcW w:w="625" w:type="dxa"/>
            <w:tcBorders>
              <w:top w:val="nil"/>
              <w:left w:val="single" w:sz="18" w:space="0" w:color="auto"/>
              <w:bottom w:val="single" w:sz="18"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208</w:t>
            </w:r>
          </w:p>
        </w:tc>
        <w:tc>
          <w:tcPr>
            <w:tcW w:w="849" w:type="dxa"/>
            <w:tcBorders>
              <w:top w:val="nil"/>
              <w:left w:val="nil"/>
              <w:bottom w:val="single" w:sz="18"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258</w:t>
            </w:r>
          </w:p>
        </w:tc>
        <w:tc>
          <w:tcPr>
            <w:tcW w:w="846" w:type="dxa"/>
            <w:tcBorders>
              <w:top w:val="nil"/>
              <w:left w:val="double" w:sz="4" w:space="0" w:color="auto"/>
              <w:bottom w:val="single" w:sz="18"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4" w:type="dxa"/>
            <w:tcBorders>
              <w:top w:val="nil"/>
              <w:left w:val="nil"/>
              <w:bottom w:val="single" w:sz="18" w:space="0" w:color="auto"/>
              <w:right w:val="doub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509</w:t>
            </w:r>
          </w:p>
        </w:tc>
        <w:tc>
          <w:tcPr>
            <w:tcW w:w="842" w:type="dxa"/>
            <w:tcBorders>
              <w:top w:val="nil"/>
              <w:left w:val="double" w:sz="4" w:space="0" w:color="auto"/>
              <w:bottom w:val="single" w:sz="18" w:space="0" w:color="auto"/>
              <w:right w:val="single" w:sz="4"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0</w:t>
            </w:r>
          </w:p>
        </w:tc>
        <w:tc>
          <w:tcPr>
            <w:tcW w:w="840" w:type="dxa"/>
            <w:tcBorders>
              <w:top w:val="nil"/>
              <w:left w:val="nil"/>
              <w:bottom w:val="single" w:sz="18" w:space="0" w:color="auto"/>
              <w:right w:val="single" w:sz="18" w:space="0" w:color="auto"/>
            </w:tcBorders>
            <w:shd w:val="clear" w:color="auto" w:fill="auto"/>
            <w:vAlign w:val="center"/>
          </w:tcPr>
          <w:p w:rsidR="005D5D88" w:rsidRPr="007C4598" w:rsidRDefault="005D5D88" w:rsidP="00AF24C3">
            <w:pPr>
              <w:jc w:val="right"/>
              <w:rPr>
                <w:sz w:val="18"/>
                <w:szCs w:val="18"/>
                <w:lang w:val="es-419"/>
              </w:rPr>
            </w:pPr>
            <w:r w:rsidRPr="007C4598">
              <w:rPr>
                <w:sz w:val="18"/>
                <w:szCs w:val="18"/>
                <w:lang w:val="es-419"/>
              </w:rPr>
              <w:t>521</w:t>
            </w:r>
          </w:p>
        </w:tc>
      </w:tr>
      <w:tr w:rsidR="005D5D88" w:rsidRPr="007C4598" w:rsidTr="001C10C1">
        <w:trPr>
          <w:trHeight w:val="270"/>
        </w:trPr>
        <w:tc>
          <w:tcPr>
            <w:tcW w:w="3119" w:type="dxa"/>
            <w:tcBorders>
              <w:top w:val="single" w:sz="18" w:space="0" w:color="auto"/>
              <w:left w:val="single" w:sz="18" w:space="0" w:color="auto"/>
              <w:bottom w:val="single" w:sz="18"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Total</w:t>
            </w:r>
          </w:p>
        </w:tc>
        <w:tc>
          <w:tcPr>
            <w:tcW w:w="625" w:type="dxa"/>
            <w:tcBorders>
              <w:top w:val="single" w:sz="18" w:space="0" w:color="auto"/>
              <w:left w:val="single" w:sz="18" w:space="0" w:color="auto"/>
              <w:bottom w:val="single" w:sz="18" w:space="0" w:color="auto"/>
              <w:right w:val="single" w:sz="8" w:space="0" w:color="auto"/>
            </w:tcBorders>
            <w:shd w:val="clear" w:color="auto" w:fill="auto"/>
            <w:vAlign w:val="center"/>
          </w:tcPr>
          <w:p w:rsidR="005D5D88" w:rsidRPr="007C4598" w:rsidRDefault="005D5D88" w:rsidP="00AF24C3">
            <w:pPr>
              <w:jc w:val="right"/>
              <w:rPr>
                <w:bCs/>
                <w:sz w:val="18"/>
                <w:szCs w:val="18"/>
                <w:lang w:val="es-419"/>
              </w:rPr>
            </w:pPr>
            <w:r w:rsidRPr="007C4598">
              <w:rPr>
                <w:bCs/>
                <w:sz w:val="18"/>
                <w:szCs w:val="18"/>
                <w:lang w:val="es-419"/>
              </w:rPr>
              <w:t>10.151</w:t>
            </w:r>
          </w:p>
        </w:tc>
        <w:tc>
          <w:tcPr>
            <w:tcW w:w="849" w:type="dxa"/>
            <w:tcBorders>
              <w:top w:val="single" w:sz="18" w:space="0" w:color="auto"/>
              <w:left w:val="nil"/>
              <w:bottom w:val="single" w:sz="18" w:space="0" w:color="auto"/>
              <w:right w:val="double" w:sz="4" w:space="0" w:color="auto"/>
            </w:tcBorders>
            <w:shd w:val="clear" w:color="auto" w:fill="auto"/>
            <w:vAlign w:val="center"/>
          </w:tcPr>
          <w:p w:rsidR="005D5D88" w:rsidRPr="007C4598" w:rsidRDefault="005D5D88" w:rsidP="00AF24C3">
            <w:pPr>
              <w:jc w:val="right"/>
              <w:rPr>
                <w:bCs/>
                <w:sz w:val="18"/>
                <w:szCs w:val="18"/>
                <w:lang w:val="es-419"/>
              </w:rPr>
            </w:pPr>
            <w:r w:rsidRPr="007C4598">
              <w:rPr>
                <w:bCs/>
                <w:sz w:val="18"/>
                <w:szCs w:val="18"/>
                <w:lang w:val="es-419"/>
              </w:rPr>
              <w:t>2.310</w:t>
            </w:r>
          </w:p>
        </w:tc>
        <w:tc>
          <w:tcPr>
            <w:tcW w:w="846" w:type="dxa"/>
            <w:tcBorders>
              <w:top w:val="single" w:sz="18" w:space="0" w:color="auto"/>
              <w:left w:val="double" w:sz="4" w:space="0" w:color="auto"/>
              <w:bottom w:val="single" w:sz="18" w:space="0" w:color="auto"/>
              <w:right w:val="single" w:sz="8" w:space="0" w:color="auto"/>
            </w:tcBorders>
            <w:shd w:val="clear" w:color="auto" w:fill="auto"/>
            <w:vAlign w:val="center"/>
          </w:tcPr>
          <w:p w:rsidR="005D5D88" w:rsidRPr="007C4598" w:rsidRDefault="005D5D88" w:rsidP="00AF24C3">
            <w:pPr>
              <w:jc w:val="right"/>
              <w:rPr>
                <w:bCs/>
                <w:sz w:val="18"/>
                <w:szCs w:val="18"/>
                <w:lang w:val="es-419"/>
              </w:rPr>
            </w:pPr>
            <w:r w:rsidRPr="007C4598">
              <w:rPr>
                <w:bCs/>
                <w:sz w:val="18"/>
                <w:szCs w:val="18"/>
                <w:lang w:val="es-419"/>
              </w:rPr>
              <w:t>1.450</w:t>
            </w:r>
          </w:p>
        </w:tc>
        <w:tc>
          <w:tcPr>
            <w:tcW w:w="844" w:type="dxa"/>
            <w:tcBorders>
              <w:top w:val="single" w:sz="18" w:space="0" w:color="auto"/>
              <w:left w:val="nil"/>
              <w:bottom w:val="single" w:sz="18" w:space="0" w:color="auto"/>
              <w:right w:val="double" w:sz="4" w:space="0" w:color="auto"/>
            </w:tcBorders>
            <w:shd w:val="clear" w:color="auto" w:fill="auto"/>
            <w:vAlign w:val="center"/>
          </w:tcPr>
          <w:p w:rsidR="005D5D88" w:rsidRPr="007C4598" w:rsidRDefault="005D5D88" w:rsidP="00AF24C3">
            <w:pPr>
              <w:jc w:val="right"/>
              <w:rPr>
                <w:bCs/>
                <w:sz w:val="18"/>
                <w:szCs w:val="18"/>
                <w:lang w:val="es-419"/>
              </w:rPr>
            </w:pPr>
            <w:r w:rsidRPr="007C4598">
              <w:rPr>
                <w:bCs/>
                <w:sz w:val="18"/>
                <w:szCs w:val="18"/>
                <w:lang w:val="es-419"/>
              </w:rPr>
              <w:t>4.610</w:t>
            </w:r>
          </w:p>
        </w:tc>
        <w:tc>
          <w:tcPr>
            <w:tcW w:w="842" w:type="dxa"/>
            <w:tcBorders>
              <w:top w:val="single" w:sz="18" w:space="0" w:color="auto"/>
              <w:left w:val="double" w:sz="4" w:space="0" w:color="auto"/>
              <w:bottom w:val="single" w:sz="18" w:space="0" w:color="auto"/>
              <w:right w:val="single" w:sz="8" w:space="0" w:color="auto"/>
            </w:tcBorders>
            <w:shd w:val="clear" w:color="auto" w:fill="auto"/>
            <w:vAlign w:val="center"/>
          </w:tcPr>
          <w:p w:rsidR="005D5D88" w:rsidRPr="007C4598" w:rsidRDefault="005D5D88" w:rsidP="00AF24C3">
            <w:pPr>
              <w:jc w:val="right"/>
              <w:rPr>
                <w:bCs/>
                <w:sz w:val="18"/>
                <w:szCs w:val="18"/>
                <w:lang w:val="es-419"/>
              </w:rPr>
            </w:pPr>
            <w:r w:rsidRPr="007C4598">
              <w:rPr>
                <w:bCs/>
                <w:sz w:val="18"/>
                <w:szCs w:val="18"/>
                <w:lang w:val="es-419"/>
              </w:rPr>
              <w:t>605</w:t>
            </w:r>
          </w:p>
        </w:tc>
        <w:tc>
          <w:tcPr>
            <w:tcW w:w="840" w:type="dxa"/>
            <w:tcBorders>
              <w:top w:val="single" w:sz="18" w:space="0" w:color="auto"/>
              <w:left w:val="nil"/>
              <w:bottom w:val="single" w:sz="18" w:space="0" w:color="auto"/>
              <w:right w:val="single" w:sz="18" w:space="0" w:color="auto"/>
            </w:tcBorders>
            <w:shd w:val="clear" w:color="auto" w:fill="auto"/>
            <w:vAlign w:val="center"/>
          </w:tcPr>
          <w:p w:rsidR="005D5D88" w:rsidRPr="007C4598" w:rsidRDefault="005D5D88" w:rsidP="00AF24C3">
            <w:pPr>
              <w:jc w:val="right"/>
              <w:rPr>
                <w:bCs/>
                <w:sz w:val="18"/>
                <w:szCs w:val="18"/>
                <w:lang w:val="es-419"/>
              </w:rPr>
            </w:pPr>
            <w:r w:rsidRPr="007C4598">
              <w:rPr>
                <w:bCs/>
                <w:sz w:val="18"/>
                <w:szCs w:val="18"/>
                <w:lang w:val="es-419"/>
              </w:rPr>
              <w:t>4.347</w:t>
            </w:r>
          </w:p>
        </w:tc>
      </w:tr>
      <w:tr w:rsidR="005D5D88" w:rsidRPr="007C4598" w:rsidTr="001C10C1">
        <w:trPr>
          <w:trHeight w:val="270"/>
        </w:trPr>
        <w:tc>
          <w:tcPr>
            <w:tcW w:w="3119" w:type="dxa"/>
            <w:tcBorders>
              <w:top w:val="single" w:sz="18" w:space="0" w:color="auto"/>
              <w:left w:val="single" w:sz="18" w:space="0" w:color="auto"/>
              <w:bottom w:val="single" w:sz="18" w:space="0" w:color="auto"/>
              <w:right w:val="single" w:sz="18" w:space="0" w:color="auto"/>
            </w:tcBorders>
            <w:shd w:val="clear" w:color="auto" w:fill="auto"/>
          </w:tcPr>
          <w:p w:rsidR="005D5D88" w:rsidRPr="007C4598" w:rsidRDefault="005D5D88" w:rsidP="00203174">
            <w:pPr>
              <w:rPr>
                <w:bCs/>
                <w:sz w:val="18"/>
                <w:szCs w:val="18"/>
                <w:lang w:val="es-419"/>
              </w:rPr>
            </w:pPr>
            <w:r w:rsidRPr="007C4598">
              <w:rPr>
                <w:bCs/>
                <w:sz w:val="18"/>
                <w:szCs w:val="18"/>
                <w:lang w:val="es-419"/>
              </w:rPr>
              <w:t>Número de designaciones (con independencia del acta)</w:t>
            </w:r>
          </w:p>
        </w:tc>
        <w:tc>
          <w:tcPr>
            <w:tcW w:w="1474" w:type="dxa"/>
            <w:gridSpan w:val="2"/>
            <w:tcBorders>
              <w:top w:val="single" w:sz="18" w:space="0" w:color="auto"/>
              <w:left w:val="single" w:sz="18" w:space="0" w:color="auto"/>
              <w:bottom w:val="single" w:sz="18" w:space="0" w:color="auto"/>
              <w:right w:val="double" w:sz="4" w:space="0" w:color="auto"/>
            </w:tcBorders>
            <w:shd w:val="clear" w:color="auto" w:fill="auto"/>
            <w:vAlign w:val="center"/>
          </w:tcPr>
          <w:p w:rsidR="005D5D88" w:rsidRPr="007C4598" w:rsidRDefault="005D5D88" w:rsidP="00AF24C3">
            <w:pPr>
              <w:jc w:val="center"/>
              <w:rPr>
                <w:bCs/>
                <w:sz w:val="18"/>
                <w:szCs w:val="18"/>
                <w:lang w:val="es-419"/>
              </w:rPr>
            </w:pPr>
            <w:r w:rsidRPr="007C4598">
              <w:rPr>
                <w:bCs/>
                <w:sz w:val="18"/>
                <w:szCs w:val="18"/>
                <w:lang w:val="es-419"/>
              </w:rPr>
              <w:t>12.461</w:t>
            </w:r>
          </w:p>
        </w:tc>
        <w:tc>
          <w:tcPr>
            <w:tcW w:w="1690" w:type="dxa"/>
            <w:gridSpan w:val="2"/>
            <w:tcBorders>
              <w:top w:val="single" w:sz="18" w:space="0" w:color="auto"/>
              <w:left w:val="double" w:sz="4" w:space="0" w:color="auto"/>
              <w:bottom w:val="single" w:sz="18" w:space="0" w:color="auto"/>
              <w:right w:val="double" w:sz="4" w:space="0" w:color="auto"/>
            </w:tcBorders>
            <w:shd w:val="clear" w:color="auto" w:fill="auto"/>
            <w:vAlign w:val="center"/>
          </w:tcPr>
          <w:p w:rsidR="005D5D88" w:rsidRPr="007C4598" w:rsidRDefault="005D5D88" w:rsidP="00AF24C3">
            <w:pPr>
              <w:jc w:val="center"/>
              <w:rPr>
                <w:bCs/>
                <w:sz w:val="18"/>
                <w:szCs w:val="18"/>
                <w:lang w:val="es-419"/>
              </w:rPr>
            </w:pPr>
            <w:r w:rsidRPr="007C4598">
              <w:rPr>
                <w:bCs/>
                <w:sz w:val="18"/>
                <w:szCs w:val="18"/>
                <w:lang w:val="es-419"/>
              </w:rPr>
              <w:t>6.060</w:t>
            </w:r>
          </w:p>
        </w:tc>
        <w:tc>
          <w:tcPr>
            <w:tcW w:w="1682" w:type="dxa"/>
            <w:gridSpan w:val="2"/>
            <w:tcBorders>
              <w:top w:val="single" w:sz="18" w:space="0" w:color="auto"/>
              <w:left w:val="double" w:sz="4" w:space="0" w:color="auto"/>
              <w:bottom w:val="single" w:sz="18" w:space="0" w:color="auto"/>
              <w:right w:val="single" w:sz="18" w:space="0" w:color="auto"/>
            </w:tcBorders>
            <w:shd w:val="clear" w:color="auto" w:fill="auto"/>
            <w:vAlign w:val="center"/>
          </w:tcPr>
          <w:p w:rsidR="005D5D88" w:rsidRPr="007C4598" w:rsidRDefault="005D5D88" w:rsidP="00AF24C3">
            <w:pPr>
              <w:jc w:val="center"/>
              <w:rPr>
                <w:bCs/>
                <w:sz w:val="18"/>
                <w:szCs w:val="18"/>
                <w:lang w:val="es-419"/>
              </w:rPr>
            </w:pPr>
            <w:r w:rsidRPr="007C4598">
              <w:rPr>
                <w:bCs/>
                <w:sz w:val="18"/>
                <w:szCs w:val="18"/>
                <w:lang w:val="es-419"/>
              </w:rPr>
              <w:t>4.952</w:t>
            </w:r>
          </w:p>
        </w:tc>
      </w:tr>
      <w:tr w:rsidR="005D5D88" w:rsidRPr="007C4598" w:rsidTr="001C10C1">
        <w:trPr>
          <w:trHeight w:val="270"/>
        </w:trPr>
        <w:tc>
          <w:tcPr>
            <w:tcW w:w="3119" w:type="dxa"/>
            <w:tcBorders>
              <w:top w:val="single" w:sz="18" w:space="0" w:color="auto"/>
              <w:left w:val="single" w:sz="18" w:space="0" w:color="auto"/>
              <w:bottom w:val="single" w:sz="18" w:space="0" w:color="auto"/>
              <w:right w:val="single" w:sz="18" w:space="0" w:color="auto"/>
            </w:tcBorders>
            <w:shd w:val="clear" w:color="auto" w:fill="auto"/>
          </w:tcPr>
          <w:p w:rsidR="005D5D88" w:rsidRPr="007C4598" w:rsidRDefault="005D5D88" w:rsidP="00AF24C3">
            <w:pPr>
              <w:rPr>
                <w:bCs/>
                <w:sz w:val="18"/>
                <w:szCs w:val="18"/>
                <w:lang w:val="es-419"/>
              </w:rPr>
            </w:pPr>
            <w:r w:rsidRPr="007C4598">
              <w:rPr>
                <w:bCs/>
                <w:sz w:val="18"/>
                <w:szCs w:val="18"/>
                <w:lang w:val="es-419"/>
              </w:rPr>
              <w:t>Distribución por acta</w:t>
            </w:r>
          </w:p>
        </w:tc>
        <w:tc>
          <w:tcPr>
            <w:tcW w:w="625" w:type="dxa"/>
            <w:tcBorders>
              <w:top w:val="single" w:sz="18" w:space="0" w:color="auto"/>
              <w:left w:val="single" w:sz="18" w:space="0" w:color="auto"/>
              <w:bottom w:val="single" w:sz="18" w:space="0" w:color="auto"/>
              <w:right w:val="single" w:sz="8" w:space="0" w:color="auto"/>
            </w:tcBorders>
            <w:shd w:val="clear" w:color="auto" w:fill="auto"/>
            <w:noWrap/>
            <w:vAlign w:val="center"/>
          </w:tcPr>
          <w:p w:rsidR="005D5D88" w:rsidRPr="007C4598" w:rsidRDefault="005D5D88" w:rsidP="00AF24C3">
            <w:pPr>
              <w:jc w:val="center"/>
              <w:rPr>
                <w:bCs/>
                <w:sz w:val="18"/>
                <w:szCs w:val="18"/>
                <w:lang w:val="es-419"/>
              </w:rPr>
            </w:pPr>
            <w:r w:rsidRPr="007C4598">
              <w:rPr>
                <w:bCs/>
                <w:sz w:val="18"/>
                <w:szCs w:val="18"/>
                <w:lang w:val="es-419"/>
              </w:rPr>
              <w:t>81,5%</w:t>
            </w:r>
          </w:p>
        </w:tc>
        <w:tc>
          <w:tcPr>
            <w:tcW w:w="849" w:type="dxa"/>
            <w:tcBorders>
              <w:top w:val="single" w:sz="18" w:space="0" w:color="auto"/>
              <w:left w:val="nil"/>
              <w:bottom w:val="single" w:sz="18" w:space="0" w:color="auto"/>
              <w:right w:val="double" w:sz="4" w:space="0" w:color="auto"/>
            </w:tcBorders>
            <w:shd w:val="clear" w:color="auto" w:fill="auto"/>
            <w:noWrap/>
            <w:vAlign w:val="center"/>
          </w:tcPr>
          <w:p w:rsidR="005D5D88" w:rsidRPr="007C4598" w:rsidRDefault="005D5D88" w:rsidP="00AF24C3">
            <w:pPr>
              <w:jc w:val="center"/>
              <w:rPr>
                <w:bCs/>
                <w:sz w:val="18"/>
                <w:szCs w:val="18"/>
                <w:lang w:val="es-419"/>
              </w:rPr>
            </w:pPr>
            <w:r w:rsidRPr="007C4598">
              <w:rPr>
                <w:bCs/>
                <w:sz w:val="18"/>
                <w:szCs w:val="18"/>
                <w:lang w:val="es-419"/>
              </w:rPr>
              <w:t>18,5%</w:t>
            </w:r>
          </w:p>
        </w:tc>
        <w:tc>
          <w:tcPr>
            <w:tcW w:w="846" w:type="dxa"/>
            <w:tcBorders>
              <w:top w:val="single" w:sz="18" w:space="0" w:color="auto"/>
              <w:left w:val="double" w:sz="4" w:space="0" w:color="auto"/>
              <w:bottom w:val="single" w:sz="18" w:space="0" w:color="auto"/>
              <w:right w:val="single" w:sz="8" w:space="0" w:color="auto"/>
            </w:tcBorders>
            <w:shd w:val="clear" w:color="auto" w:fill="auto"/>
            <w:noWrap/>
            <w:vAlign w:val="center"/>
          </w:tcPr>
          <w:p w:rsidR="005D5D88" w:rsidRPr="007C4598" w:rsidRDefault="005D5D88" w:rsidP="00AF24C3">
            <w:pPr>
              <w:jc w:val="center"/>
              <w:rPr>
                <w:bCs/>
                <w:sz w:val="18"/>
                <w:szCs w:val="18"/>
                <w:lang w:val="es-419"/>
              </w:rPr>
            </w:pPr>
            <w:r w:rsidRPr="007C4598">
              <w:rPr>
                <w:bCs/>
                <w:sz w:val="18"/>
                <w:szCs w:val="18"/>
                <w:lang w:val="es-419"/>
              </w:rPr>
              <w:t>23,9%</w:t>
            </w:r>
          </w:p>
        </w:tc>
        <w:tc>
          <w:tcPr>
            <w:tcW w:w="844" w:type="dxa"/>
            <w:tcBorders>
              <w:top w:val="single" w:sz="18" w:space="0" w:color="auto"/>
              <w:left w:val="nil"/>
              <w:bottom w:val="single" w:sz="18" w:space="0" w:color="auto"/>
              <w:right w:val="double" w:sz="4" w:space="0" w:color="auto"/>
            </w:tcBorders>
            <w:shd w:val="clear" w:color="auto" w:fill="auto"/>
            <w:noWrap/>
            <w:vAlign w:val="center"/>
          </w:tcPr>
          <w:p w:rsidR="005D5D88" w:rsidRPr="007C4598" w:rsidRDefault="005D5D88" w:rsidP="00AF24C3">
            <w:pPr>
              <w:jc w:val="center"/>
              <w:rPr>
                <w:bCs/>
                <w:sz w:val="18"/>
                <w:szCs w:val="18"/>
                <w:lang w:val="es-419"/>
              </w:rPr>
            </w:pPr>
            <w:r w:rsidRPr="007C4598">
              <w:rPr>
                <w:bCs/>
                <w:sz w:val="18"/>
                <w:szCs w:val="18"/>
                <w:lang w:val="es-419"/>
              </w:rPr>
              <w:t>76,1%</w:t>
            </w:r>
          </w:p>
        </w:tc>
        <w:tc>
          <w:tcPr>
            <w:tcW w:w="842" w:type="dxa"/>
            <w:tcBorders>
              <w:top w:val="single" w:sz="18" w:space="0" w:color="auto"/>
              <w:left w:val="double" w:sz="4" w:space="0" w:color="auto"/>
              <w:bottom w:val="single" w:sz="18" w:space="0" w:color="auto"/>
              <w:right w:val="single" w:sz="8" w:space="0" w:color="auto"/>
            </w:tcBorders>
            <w:shd w:val="clear" w:color="auto" w:fill="auto"/>
            <w:noWrap/>
            <w:vAlign w:val="center"/>
          </w:tcPr>
          <w:p w:rsidR="005D5D88" w:rsidRPr="007C4598" w:rsidRDefault="005D5D88" w:rsidP="00AF24C3">
            <w:pPr>
              <w:jc w:val="center"/>
              <w:rPr>
                <w:bCs/>
                <w:sz w:val="18"/>
                <w:szCs w:val="18"/>
                <w:lang w:val="es-419"/>
              </w:rPr>
            </w:pPr>
            <w:r w:rsidRPr="007C4598">
              <w:rPr>
                <w:bCs/>
                <w:sz w:val="18"/>
                <w:szCs w:val="18"/>
                <w:lang w:val="es-419"/>
              </w:rPr>
              <w:t>12,2%</w:t>
            </w:r>
          </w:p>
        </w:tc>
        <w:tc>
          <w:tcPr>
            <w:tcW w:w="840" w:type="dxa"/>
            <w:tcBorders>
              <w:top w:val="single" w:sz="18" w:space="0" w:color="auto"/>
              <w:left w:val="nil"/>
              <w:bottom w:val="single" w:sz="18" w:space="0" w:color="auto"/>
              <w:right w:val="single" w:sz="18" w:space="0" w:color="auto"/>
            </w:tcBorders>
            <w:shd w:val="clear" w:color="auto" w:fill="auto"/>
            <w:noWrap/>
            <w:vAlign w:val="center"/>
          </w:tcPr>
          <w:p w:rsidR="005D5D88" w:rsidRPr="007C4598" w:rsidRDefault="005D5D88" w:rsidP="00AF24C3">
            <w:pPr>
              <w:jc w:val="center"/>
              <w:rPr>
                <w:bCs/>
                <w:sz w:val="18"/>
                <w:szCs w:val="18"/>
                <w:lang w:val="es-419"/>
              </w:rPr>
            </w:pPr>
            <w:r w:rsidRPr="007C4598">
              <w:rPr>
                <w:bCs/>
                <w:sz w:val="18"/>
                <w:szCs w:val="18"/>
                <w:lang w:val="es-419"/>
              </w:rPr>
              <w:t>87,8%</w:t>
            </w:r>
          </w:p>
        </w:tc>
      </w:tr>
    </w:tbl>
    <w:p w:rsidR="005D5D88" w:rsidRPr="007C4598" w:rsidRDefault="005D5D88" w:rsidP="005D5D88">
      <w:pPr>
        <w:pStyle w:val="Endofdocument-Annex"/>
        <w:spacing w:before="400"/>
        <w:ind w:left="5530"/>
        <w:rPr>
          <w:lang w:val="es-419"/>
        </w:rPr>
      </w:pPr>
      <w:r w:rsidRPr="007C4598">
        <w:rPr>
          <w:lang w:val="es-419"/>
        </w:rPr>
        <w:t>[Sigue el Anexo IV]</w:t>
      </w:r>
    </w:p>
    <w:p w:rsidR="005D5D88" w:rsidRPr="007C4598" w:rsidRDefault="005D5D88" w:rsidP="005D5D88">
      <w:pPr>
        <w:rPr>
          <w:lang w:val="es-419"/>
        </w:rPr>
        <w:sectPr w:rsidR="005D5D88" w:rsidRPr="007C4598" w:rsidSect="00AF24C3">
          <w:headerReference w:type="even" r:id="rId27"/>
          <w:headerReference w:type="default" r:id="rId28"/>
          <w:footerReference w:type="even" r:id="rId29"/>
          <w:footerReference w:type="default" r:id="rId30"/>
          <w:headerReference w:type="first" r:id="rId31"/>
          <w:footerReference w:type="first" r:id="rId32"/>
          <w:footnotePr>
            <w:numRestart w:val="eachSect"/>
          </w:footnotePr>
          <w:endnotePr>
            <w:numFmt w:val="decimal"/>
          </w:endnotePr>
          <w:type w:val="nextColumn"/>
          <w:pgSz w:w="11907" w:h="16840" w:code="9"/>
          <w:pgMar w:top="567" w:right="1134" w:bottom="1418" w:left="1418" w:header="510" w:footer="1021" w:gutter="0"/>
          <w:pgNumType w:start="1"/>
          <w:cols w:space="720"/>
          <w:titlePg/>
          <w:docGrid w:linePitch="299"/>
        </w:sectPr>
      </w:pPr>
    </w:p>
    <w:p w:rsidR="005D5D88" w:rsidRPr="007C4598" w:rsidRDefault="005D5D88" w:rsidP="005D5D88">
      <w:pPr>
        <w:rPr>
          <w:lang w:val="es-419"/>
        </w:rPr>
      </w:pPr>
      <w:r w:rsidRPr="007C4598">
        <w:rPr>
          <w:rFonts w:eastAsia="Yu Mincho" w:cs="Times New Roman"/>
          <w:noProof/>
          <w:sz w:val="20"/>
          <w:lang w:val="en-US" w:eastAsia="en-US"/>
        </w:rPr>
        <w:lastRenderedPageBreak/>
        <w:drawing>
          <wp:inline distT="0" distB="0" distL="0" distR="0" wp14:anchorId="77949106" wp14:editId="198C92DC">
            <wp:extent cx="9432925" cy="4848083"/>
            <wp:effectExtent l="0" t="0" r="15875" b="1016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52CEA" w:rsidRPr="007C4598" w:rsidRDefault="005D5D88" w:rsidP="001C10C1">
      <w:pPr>
        <w:pStyle w:val="Endofdocument-Annex"/>
        <w:spacing w:before="720"/>
        <w:ind w:left="8789"/>
        <w:rPr>
          <w:lang w:val="es-419"/>
        </w:rPr>
      </w:pPr>
      <w:r w:rsidRPr="007C4598">
        <w:rPr>
          <w:szCs w:val="22"/>
          <w:lang w:val="es-419"/>
        </w:rPr>
        <w:t>[Fin del Anexo IV y del documento]</w:t>
      </w:r>
    </w:p>
    <w:sectPr w:rsidR="00152CEA" w:rsidRPr="007C4598" w:rsidSect="001C10C1">
      <w:headerReference w:type="even" r:id="rId34"/>
      <w:headerReference w:type="default" r:id="rId35"/>
      <w:footerReference w:type="even" r:id="rId36"/>
      <w:footerReference w:type="default" r:id="rId37"/>
      <w:headerReference w:type="first" r:id="rId38"/>
      <w:footerReference w:type="first" r:id="rId39"/>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97B" w:rsidRDefault="00B3397B">
      <w:r>
        <w:separator/>
      </w:r>
    </w:p>
  </w:endnote>
  <w:endnote w:type="continuationSeparator" w:id="0">
    <w:p w:rsidR="00B3397B" w:rsidRPr="009D30E6" w:rsidRDefault="00B3397B" w:rsidP="007E663E">
      <w:pPr>
        <w:rPr>
          <w:sz w:val="17"/>
          <w:szCs w:val="17"/>
        </w:rPr>
      </w:pPr>
      <w:r w:rsidRPr="009D30E6">
        <w:rPr>
          <w:sz w:val="17"/>
          <w:szCs w:val="17"/>
        </w:rPr>
        <w:separator/>
      </w:r>
    </w:p>
    <w:p w:rsidR="00B3397B" w:rsidRPr="007E663E" w:rsidRDefault="00B3397B" w:rsidP="007E663E">
      <w:pPr>
        <w:spacing w:after="60"/>
        <w:rPr>
          <w:sz w:val="17"/>
          <w:szCs w:val="17"/>
        </w:rPr>
      </w:pPr>
      <w:r>
        <w:rPr>
          <w:sz w:val="17"/>
        </w:rPr>
        <w:t>[Continuación de la nota de la página anterior]</w:t>
      </w:r>
    </w:p>
  </w:endnote>
  <w:endnote w:type="continuationNotice" w:id="1">
    <w:p w:rsidR="00B3397B" w:rsidRPr="007E663E" w:rsidRDefault="00B3397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DE"/>
    <w:family w:val="roman"/>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Default="00B3397B" w:rsidP="002D1BB9">
    <w:pPr>
      <w:pStyle w:val="Footer"/>
    </w:pPr>
    <w:r>
      <w:rPr>
        <w:noProof/>
        <w:lang w:val="en-US"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397B" w:rsidRDefault="00B3397B" w:rsidP="002D1BB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7"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Tm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SS/0BopX1NkA0oyKWM0XFd69ZNbdM4OzgZs47+4OP6UE5BY6i5ItmO9/2vd4pAS9&#10;lOxx1nJqv+2YEZTIG4XNPE3SFMO6sEhHkyEuzLFnc+xRu/oKkIUkZBdMj3eyN0sD9SM+C3N/K7qY&#10;4nh3Tl1vXrn2BcBnhYv5PIBwHDVzS7XSvG9vz/m6eWRGd23nkM1b6KeSZR+6r8V6tRTMdw7KKrSm&#10;57lltZsTHOWgSffs+Lfie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acDTmqgIAAGQFAAAOAAAAAAAAAAAAAAAA&#10;AC4CAABkcnMvZTJvRG9jLnhtbFBLAQItABQABgAIAAAAIQDN8vMo2gAAAAgBAAAPAAAAAAAAAAAA&#10;AAAAAAQFAABkcnMvZG93bnJldi54bWxQSwUGAAAAAAQABADzAAAACwYAAAAA&#10;" o:allowincell="f" filled="f" stroked="f" strokeweight=".5pt">
              <v:path arrowok="t"/>
              <v:textbox>
                <w:txbxContent>
                  <w:p w:rsidR="00B3397B" w:rsidRDefault="00B3397B" w:rsidP="002D1BB9">
                    <w:pPr>
                      <w:jc w:val="center"/>
                    </w:pP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Default="00B3397B" w:rsidP="002D1BB9">
    <w:pPr>
      <w:pStyle w:val="Footer"/>
    </w:pPr>
    <w:r>
      <w:rPr>
        <w:noProof/>
        <w:lang w:val="en-US" w:eastAsia="en-US"/>
      </w:rPr>
      <mc:AlternateContent>
        <mc:Choice Requires="wps">
          <w:drawing>
            <wp:anchor distT="558800" distB="0" distL="114300" distR="114300" simplePos="0" relativeHeight="25167052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5"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397B" w:rsidRDefault="00B3397B" w:rsidP="002D1BB9">
                          <w:pPr>
                            <w:jc w:val="center"/>
                          </w:pPr>
                          <w:r w:rsidRPr="002D1BB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4footer" o:spid="_x0000_s1035" type="#_x0000_t202" style="position:absolute;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IAqg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dsdIAqgIAAGUFAAAOAAAAAAAAAAAAAAAA&#10;AC4CAABkcnMvZTJvRG9jLnhtbFBLAQItABQABgAIAAAAIQDN8vMo2gAAAAgBAAAPAAAAAAAAAAAA&#10;AAAAAAQFAABkcnMvZG93bnJldi54bWxQSwUGAAAAAAQABADzAAAACwYAAAAA&#10;" o:allowincell="f" filled="f" stroked="f" strokeweight=".5pt">
              <v:path arrowok="t"/>
              <v:textbox>
                <w:txbxContent>
                  <w:p w:rsidR="00B3397B" w:rsidRDefault="00B3397B" w:rsidP="002D1BB9">
                    <w:pPr>
                      <w:jc w:val="center"/>
                    </w:pPr>
                    <w:r w:rsidRPr="002D1BB9">
                      <w:rPr>
                        <w:color w:val="000000"/>
                        <w:sz w:val="17"/>
                      </w:rPr>
                      <w:t>WIPO FOR OFFICIAL USE ONLY</w:t>
                    </w:r>
                  </w:p>
                </w:txbxContent>
              </v:textbox>
              <w10:wrap anchorx="margin"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Default="00B3397B">
    <w:pPr>
      <w:pStyle w:val="Footer"/>
    </w:pPr>
    <w:r>
      <w:rPr>
        <w:noProof/>
        <w:lang w:val="en-US" w:eastAsia="en-US"/>
      </w:rPr>
      <mc:AlternateContent>
        <mc:Choice Requires="wps">
          <w:drawing>
            <wp:anchor distT="558800" distB="0" distL="114300" distR="114300" simplePos="0" relativeHeight="25166950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4"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397B" w:rsidRDefault="00B3397B" w:rsidP="002D1BB9">
                          <w:pPr>
                            <w:jc w:val="center"/>
                          </w:pPr>
                          <w:r w:rsidRPr="002D1BB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4footer" o:spid="_x0000_s1036" type="#_x0000_t202" style="position:absolute;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OL9qQIAAGY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A3Y4v2pAgAAZgUAAA4AAAAAAAAAAAAAAAAA&#10;LgIAAGRycy9lMm9Eb2MueG1sUEsBAi0AFAAGAAgAAAAhAM3y8yjaAAAACAEAAA8AAAAAAAAAAAAA&#10;AAAAAwUAAGRycy9kb3ducmV2LnhtbFBLBQYAAAAABAAEAPMAAAAKBgAAAAA=&#10;" o:allowincell="f" filled="f" stroked="f" strokeweight=".5pt">
              <v:path arrowok="t"/>
              <v:textbox>
                <w:txbxContent>
                  <w:p w:rsidR="00B3397B" w:rsidRDefault="00B3397B" w:rsidP="002D1BB9">
                    <w:pPr>
                      <w:jc w:val="center"/>
                    </w:pPr>
                    <w:r w:rsidRPr="002D1BB9">
                      <w:rPr>
                        <w:color w:val="000000"/>
                        <w:sz w:val="17"/>
                      </w:rPr>
                      <w:t>WIPO FOR OFFICIAL USE ONLY</w:t>
                    </w: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Default="00B3397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Default="00B3397B" w:rsidP="002D1BB9">
    <w:pPr>
      <w:pStyle w:val="Footer"/>
    </w:pPr>
    <w:r>
      <w:rPr>
        <w:noProof/>
        <w:lang w:val="en-US" w:eastAsia="en-US"/>
      </w:rPr>
      <mc:AlternateContent>
        <mc:Choice Requires="wps">
          <w:drawing>
            <wp:anchor distT="558800" distB="0" distL="114300" distR="114300" simplePos="0" relativeHeight="25167360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8"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397B" w:rsidRDefault="00B3397B" w:rsidP="002D1BB9">
                          <w:pPr>
                            <w:jc w:val="center"/>
                          </w:pPr>
                          <w:r w:rsidRPr="002D1BB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5footer" o:spid="_x0000_s1038" type="#_x0000_t202" style="position:absolute;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N1qgIAAGY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ydxN1qgIAAGYFAAAOAAAAAAAAAAAAAAAA&#10;AC4CAABkcnMvZTJvRG9jLnhtbFBLAQItABQABgAIAAAAIQDN8vMo2gAAAAgBAAAPAAAAAAAAAAAA&#10;AAAAAAQFAABkcnMvZG93bnJldi54bWxQSwUGAAAAAAQABADzAAAACwYAAAAA&#10;" o:allowincell="f" filled="f" stroked="f" strokeweight=".5pt">
              <v:path arrowok="t"/>
              <v:textbox>
                <w:txbxContent>
                  <w:p w:rsidR="00AF24C3" w:rsidRDefault="00AF24C3" w:rsidP="002D1BB9">
                    <w:pPr>
                      <w:jc w:val="center"/>
                    </w:pPr>
                    <w:r w:rsidRPr="002D1BB9">
                      <w:rPr>
                        <w:color w:val="000000"/>
                        <w:sz w:val="17"/>
                      </w:rPr>
                      <w:t>WIPO FOR OFFICIAL USE ONLY</w:t>
                    </w:r>
                  </w:p>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Default="00B3397B">
    <w:pPr>
      <w:pStyle w:val="Footer"/>
    </w:pPr>
    <w:r>
      <w:rPr>
        <w:noProof/>
        <w:lang w:val="en-US" w:eastAsia="en-US"/>
      </w:rPr>
      <mc:AlternateContent>
        <mc:Choice Requires="wps">
          <w:drawing>
            <wp:anchor distT="558800" distB="0" distL="114300" distR="114300" simplePos="0" relativeHeight="25167257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7"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397B" w:rsidRDefault="00B3397B" w:rsidP="002D1BB9">
                          <w:pPr>
                            <w:jc w:val="center"/>
                          </w:pPr>
                          <w:r w:rsidRPr="002D1BB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5footer" o:spid="_x0000_s1039" type="#_x0000_t202" style="position:absolute;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y3qg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JJYrVqNH6bv24uh+V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Vr5z3ulN1C8otAGkGeUxGq+qPDyJbPugRmcDtzEiXf3+CklILnQWZRswXz/077HIyfo&#10;peSA05ZT+23HjKBE3ils52mSphjWhUU6mgxxYU49m1OP2tU3gDQkIbtgeryTvVkaqJ/wYZj7W9HF&#10;FMe7c+p688a1bwA+LFzM5wGEA6mZW6qV5n1/e9LXzRMzuus7h3R+hX4uWfah/Vqsl0vBfOegrEJv&#10;eqJbVrtBwWEOonQPj38tTtcB9fY8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UyWy3qgIAAGYFAAAOAAAAAAAAAAAAAAAA&#10;AC4CAABkcnMvZTJvRG9jLnhtbFBLAQItABQABgAIAAAAIQDN8vMo2gAAAAgBAAAPAAAAAAAAAAAA&#10;AAAAAAQFAABkcnMvZG93bnJldi54bWxQSwUGAAAAAAQABADzAAAACwYAAAAA&#10;" o:allowincell="f" filled="f" stroked="f" strokeweight=".5pt">
              <v:path arrowok="t"/>
              <v:textbox>
                <w:txbxContent>
                  <w:p w:rsidR="00AF24C3" w:rsidRDefault="00AF24C3" w:rsidP="002D1BB9">
                    <w:pPr>
                      <w:jc w:val="center"/>
                    </w:pPr>
                    <w:r w:rsidRPr="002D1BB9">
                      <w:rPr>
                        <w:color w:val="000000"/>
                        <w:sz w:val="17"/>
                      </w:rPr>
                      <w:t>WIPO FOR OFFICIAL USE ONLY</w:t>
                    </w:r>
                  </w:p>
                </w:txbxContent>
              </v:textbox>
              <w10:wrap anchorx="margin" anchory="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Default="00B33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0AD" w:rsidRDefault="00780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0AD" w:rsidRDefault="007800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Default="00B3397B" w:rsidP="002D1BB9">
    <w:pPr>
      <w:pStyle w:val="Footer"/>
    </w:pPr>
    <w:r>
      <w:rPr>
        <w:noProof/>
        <w:lang w:val="en-US" w:eastAsia="en-US"/>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397B" w:rsidRDefault="00B3397B" w:rsidP="002D1BB9">
                          <w:pPr>
                            <w:jc w:val="center"/>
                          </w:pPr>
                          <w:r w:rsidRPr="002D1BB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L7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n/ZCb6B4RZ0NIM2oiNV8UeHdS2bdPTM4G7iJ8+7u8FNKQG6hsyjZgvn+p32PR0rQ&#10;S8keZy2n9tuOGUGJvFHYzNMkTTGsC4t0NBniwhx7NscetauvAFlIQnbB9Hgne7M0UD/iszD3t6KL&#10;KY5359T15pVrXwB8VriYzwMIx1Ezt1Qrzfv29pyvm0dmdNd2Dtm8hX4qWfah+1qsV0vBfOegrEJr&#10;ep5bVrs5wVEOmnTPjn8rjtcB9fY4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UVL7qgIAAGQFAAAOAAAAAAAAAAAAAAAA&#10;AC4CAABkcnMvZTJvRG9jLnhtbFBLAQItABQABgAIAAAAIQDN8vMo2gAAAAgBAAAPAAAAAAAAAAAA&#10;AAAAAAQFAABkcnMvZG93bnJldi54bWxQSwUGAAAAAAQABADzAAAACwYAAAAA&#10;" o:allowincell="f" filled="f" stroked="f" strokeweight=".5pt">
              <v:path arrowok="t"/>
              <v:textbox>
                <w:txbxContent>
                  <w:p w:rsidR="00B3397B" w:rsidRDefault="00B3397B" w:rsidP="002D1BB9">
                    <w:pPr>
                      <w:jc w:val="center"/>
                    </w:pPr>
                    <w:r w:rsidRPr="002D1BB9">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Default="00B3397B">
    <w:pPr>
      <w:pStyle w:val="Footer"/>
    </w:pPr>
    <w:r>
      <w:rPr>
        <w:noProof/>
        <w:lang w:val="en-US" w:eastAsia="en-US"/>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397B" w:rsidRDefault="00B3397B" w:rsidP="002D1BB9">
                          <w:pPr>
                            <w:jc w:val="center"/>
                          </w:pPr>
                          <w:r w:rsidRPr="002D1BB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0"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3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3vcKpAgAAZAUAAA4AAAAAAAAAAAAAAAAA&#10;LgIAAGRycy9lMm9Eb2MueG1sUEsBAi0AFAAGAAgAAAAhAM3y8yjaAAAACAEAAA8AAAAAAAAAAAAA&#10;AAAAAwUAAGRycy9kb3ducmV2LnhtbFBLBQYAAAAABAAEAPMAAAAKBgAAAAA=&#10;" o:allowincell="f" filled="f" stroked="f" strokeweight=".5pt">
              <v:path arrowok="t"/>
              <v:textbox>
                <w:txbxContent>
                  <w:p w:rsidR="00B3397B" w:rsidRDefault="00B3397B" w:rsidP="002D1BB9">
                    <w:pPr>
                      <w:jc w:val="center"/>
                    </w:pPr>
                    <w:r w:rsidRPr="002D1BB9">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Default="00B3397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Default="00B3397B" w:rsidP="002D1BB9">
    <w:pPr>
      <w:pStyle w:val="Footer"/>
    </w:pPr>
    <w:r>
      <w:rPr>
        <w:noProof/>
        <w:lang w:val="en-US" w:eastAsia="en-US"/>
      </w:rPr>
      <mc:AlternateContent>
        <mc:Choice Requires="wps">
          <w:drawing>
            <wp:anchor distT="558800" distB="0" distL="114300" distR="114300" simplePos="0" relativeHeight="25166745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2"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397B" w:rsidRDefault="00B3397B" w:rsidP="002D1BB9">
                          <w:pPr>
                            <w:jc w:val="center"/>
                          </w:pPr>
                          <w:r w:rsidRPr="002D1BB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3footer" o:spid="_x0000_s1032" type="#_x0000_t202" style="position:absolute;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m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jkA+mqgIAAGUFAAAOAAAAAAAAAAAAAAAA&#10;AC4CAABkcnMvZTJvRG9jLnhtbFBLAQItABQABgAIAAAAIQDN8vMo2gAAAAgBAAAPAAAAAAAAAAAA&#10;AAAAAAQFAABkcnMvZG93bnJldi54bWxQSwUGAAAAAAQABADzAAAACwYAAAAA&#10;" o:allowincell="f" filled="f" stroked="f" strokeweight=".5pt">
              <v:path arrowok="t"/>
              <v:textbox>
                <w:txbxContent>
                  <w:p w:rsidR="00B3397B" w:rsidRDefault="00B3397B" w:rsidP="002D1BB9">
                    <w:pPr>
                      <w:jc w:val="center"/>
                    </w:pPr>
                    <w:r w:rsidRPr="002D1BB9">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Default="00B3397B">
    <w:pPr>
      <w:pStyle w:val="Footer"/>
    </w:pPr>
    <w:r>
      <w:rPr>
        <w:noProof/>
        <w:lang w:val="en-US" w:eastAsia="en-US"/>
      </w:rPr>
      <mc:AlternateContent>
        <mc:Choice Requires="wps">
          <w:drawing>
            <wp:anchor distT="558800" distB="0" distL="114300" distR="114300" simplePos="0" relativeHeight="25166643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1"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397B" w:rsidRDefault="00B3397B" w:rsidP="002D1BB9">
                          <w:pPr>
                            <w:jc w:val="center"/>
                          </w:pPr>
                          <w:r w:rsidRPr="002D1BB9">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3footer" o:spid="_x0000_s1033" type="#_x0000_t202" style="position:absolute;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oIqw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EEsVq1Gh9t35c3Z+X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k17oDRSvqLMBpBkVsZovKrx7yax7YAaHAzdx4N09fkoJyC10FiVbMN//tO/xSAl6&#10;KTngsOXUftsxIyiRdwq7eZqkKYZ1YZGOJkNcmFPP5tSjdvUNIAvYsJhdMD3eyd4sDdRP+C7M/a3o&#10;Yorj3Tl1vXnj2icA3xUu5vMAwnnUzC3VSvO+vT3n6+aJGd21nUM2v0I/liz70H0t1qulYL5zUFah&#10;NT3PLavdnOAsB026d8c/FqfrgHp7HW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gFoKCKsCAABlBQAADgAAAAAAAAAAAAAA&#10;AAAuAgAAZHJzL2Uyb0RvYy54bWxQSwECLQAUAAYACAAAACEAzfLzKNoAAAAIAQAADwAAAAAAAAAA&#10;AAAAAAAFBQAAZHJzL2Rvd25yZXYueG1sUEsFBgAAAAAEAAQA8wAAAAwGAAAAAA==&#10;" o:allowincell="f" filled="f" stroked="f" strokeweight=".5pt">
              <v:path arrowok="t"/>
              <v:textbox>
                <w:txbxContent>
                  <w:p w:rsidR="00B3397B" w:rsidRDefault="00B3397B" w:rsidP="002D1BB9">
                    <w:pPr>
                      <w:jc w:val="center"/>
                    </w:pPr>
                    <w:r w:rsidRPr="002D1BB9">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Default="00B33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97B" w:rsidRDefault="00B3397B">
      <w:r>
        <w:separator/>
      </w:r>
    </w:p>
  </w:footnote>
  <w:footnote w:type="continuationSeparator" w:id="0">
    <w:p w:rsidR="00B3397B" w:rsidRPr="009D30E6" w:rsidRDefault="00B3397B" w:rsidP="007E663E">
      <w:pPr>
        <w:rPr>
          <w:sz w:val="17"/>
          <w:szCs w:val="17"/>
        </w:rPr>
      </w:pPr>
      <w:r w:rsidRPr="009D30E6">
        <w:rPr>
          <w:sz w:val="17"/>
          <w:szCs w:val="17"/>
        </w:rPr>
        <w:separator/>
      </w:r>
    </w:p>
    <w:p w:rsidR="00B3397B" w:rsidRPr="007E663E" w:rsidRDefault="00B3397B" w:rsidP="007E663E">
      <w:pPr>
        <w:spacing w:after="60"/>
        <w:rPr>
          <w:sz w:val="17"/>
          <w:szCs w:val="17"/>
        </w:rPr>
      </w:pPr>
      <w:r>
        <w:rPr>
          <w:sz w:val="17"/>
        </w:rPr>
        <w:t>[Continuación de la nota de la página anterior]</w:t>
      </w:r>
    </w:p>
  </w:footnote>
  <w:footnote w:type="continuationNotice" w:id="1">
    <w:p w:rsidR="00B3397B" w:rsidRPr="007E663E" w:rsidRDefault="00B3397B" w:rsidP="007E663E">
      <w:pPr>
        <w:spacing w:before="60"/>
        <w:jc w:val="right"/>
        <w:rPr>
          <w:sz w:val="17"/>
          <w:szCs w:val="17"/>
        </w:rPr>
      </w:pPr>
      <w:r w:rsidRPr="007E663E">
        <w:rPr>
          <w:sz w:val="17"/>
          <w:szCs w:val="17"/>
        </w:rPr>
        <w:t>[Sigue la nota en la página siguiente]</w:t>
      </w:r>
    </w:p>
  </w:footnote>
  <w:footnote w:id="2">
    <w:p w:rsidR="00B3397B" w:rsidRPr="00417613" w:rsidRDefault="00B3397B" w:rsidP="005D5D88">
      <w:pPr>
        <w:pStyle w:val="FootnoteText"/>
      </w:pPr>
      <w:r>
        <w:rPr>
          <w:rStyle w:val="FootnoteReference"/>
        </w:rPr>
        <w:footnoteRef/>
      </w:r>
      <w:r w:rsidRPr="00417613">
        <w:tab/>
      </w:r>
      <w:r w:rsidRPr="008D06FA">
        <w:rPr>
          <w:lang w:val="es-ES_tradnl"/>
        </w:rPr>
        <w:t>Tras la ratificación de España, el 23 de septiembre de 2003, se cumplieron las condiciones previstas en los párrafos 1 y 2 del Artículo 28 del Acta de 1999 para su entrada en vigor.</w:t>
      </w:r>
    </w:p>
  </w:footnote>
  <w:footnote w:id="3">
    <w:p w:rsidR="00B3397B" w:rsidRPr="00417613" w:rsidRDefault="00B3397B" w:rsidP="005D5D88">
      <w:pPr>
        <w:pStyle w:val="FootnoteText"/>
      </w:pPr>
      <w:r>
        <w:rPr>
          <w:rStyle w:val="FootnoteReference"/>
        </w:rPr>
        <w:footnoteRef/>
      </w:r>
      <w:r w:rsidRPr="00417613">
        <w:tab/>
      </w:r>
      <w:r w:rsidRPr="001838DB">
        <w:rPr>
          <w:lang w:val="es-ES_tradnl"/>
        </w:rPr>
        <w:t>La última adhesión al Acta de 1960 fue</w:t>
      </w:r>
      <w:r>
        <w:rPr>
          <w:lang w:val="es-ES_tradnl"/>
        </w:rPr>
        <w:t xml:space="preserve"> la</w:t>
      </w:r>
      <w:r w:rsidRPr="001838DB">
        <w:rPr>
          <w:lang w:val="es-ES_tradnl"/>
        </w:rPr>
        <w:t xml:space="preserve"> de Albania,</w:t>
      </w:r>
      <w:r w:rsidR="00B875B3">
        <w:rPr>
          <w:lang w:val="es-ES_tradnl"/>
        </w:rPr>
        <w:t xml:space="preserve"> país</w:t>
      </w:r>
      <w:r w:rsidRPr="001838DB">
        <w:rPr>
          <w:lang w:val="es-ES_tradnl"/>
        </w:rPr>
        <w:t xml:space="preserve"> </w:t>
      </w:r>
      <w:r>
        <w:rPr>
          <w:lang w:val="es-ES_tradnl"/>
        </w:rPr>
        <w:t xml:space="preserve">respecto al </w:t>
      </w:r>
      <w:r w:rsidR="00B875B3">
        <w:rPr>
          <w:lang w:val="es-ES_tradnl"/>
        </w:rPr>
        <w:t>cual dicha Acta</w:t>
      </w:r>
      <w:r w:rsidR="00B875B3" w:rsidRPr="001838DB">
        <w:rPr>
          <w:lang w:val="es-ES_tradnl"/>
        </w:rPr>
        <w:t xml:space="preserve"> </w:t>
      </w:r>
      <w:r w:rsidRPr="001838DB">
        <w:rPr>
          <w:lang w:val="es-ES_tradnl"/>
        </w:rPr>
        <w:t>entró en vigor el</w:t>
      </w:r>
      <w:r w:rsidR="00F11CFC">
        <w:rPr>
          <w:lang w:val="es-ES_tradnl"/>
        </w:rPr>
        <w:t> </w:t>
      </w:r>
      <w:r w:rsidRPr="001838DB">
        <w:rPr>
          <w:lang w:val="es-ES_tradnl"/>
        </w:rPr>
        <w:t>19</w:t>
      </w:r>
      <w:r w:rsidR="00F11CFC">
        <w:rPr>
          <w:lang w:val="es-ES_tradnl"/>
        </w:rPr>
        <w:t> </w:t>
      </w:r>
      <w:r w:rsidRPr="001838DB">
        <w:rPr>
          <w:lang w:val="es-ES_tradnl"/>
        </w:rPr>
        <w:t>de</w:t>
      </w:r>
      <w:r w:rsidR="00F11CFC">
        <w:rPr>
          <w:lang w:val="es-ES_tradnl"/>
        </w:rPr>
        <w:t> </w:t>
      </w:r>
      <w:r w:rsidRPr="001838DB">
        <w:rPr>
          <w:lang w:val="es-ES_tradnl"/>
        </w:rPr>
        <w:t>marzo de 2007.</w:t>
      </w:r>
      <w:r w:rsidRPr="00417613">
        <w:t xml:space="preserve"> </w:t>
      </w:r>
      <w:r w:rsidR="009761ED">
        <w:t xml:space="preserve"> </w:t>
      </w:r>
      <w:r w:rsidRPr="001838DB">
        <w:rPr>
          <w:lang w:val="es-ES_tradnl"/>
        </w:rPr>
        <w:t xml:space="preserve">Albania también se adhirió al Acta de 1999, </w:t>
      </w:r>
      <w:r>
        <w:rPr>
          <w:lang w:val="es-ES_tradnl"/>
        </w:rPr>
        <w:t>que entró en</w:t>
      </w:r>
      <w:r w:rsidRPr="001838DB">
        <w:rPr>
          <w:lang w:val="es-ES_tradnl"/>
        </w:rPr>
        <w:t xml:space="preserve"> vigor el 19 de mayo de 2007.</w:t>
      </w:r>
    </w:p>
  </w:footnote>
  <w:footnote w:id="4">
    <w:p w:rsidR="00B3397B" w:rsidRPr="00417613" w:rsidRDefault="00B3397B" w:rsidP="005D5D88">
      <w:pPr>
        <w:pStyle w:val="FootnoteText"/>
      </w:pPr>
      <w:r>
        <w:rPr>
          <w:rStyle w:val="FootnoteReference"/>
        </w:rPr>
        <w:footnoteRef/>
      </w:r>
      <w:r w:rsidRPr="00417613">
        <w:tab/>
      </w:r>
      <w:r w:rsidRPr="00046CB4">
        <w:rPr>
          <w:lang w:val="es-ES_tradnl"/>
        </w:rPr>
        <w:t>Se entiende que un registro internacional se rige exclusivamente por el Acta de 1960 si todas las Partes Contratantes están designadas en virtud del Acta de 1960.</w:t>
      </w:r>
      <w:r w:rsidRPr="00417613">
        <w:t xml:space="preserve"> </w:t>
      </w:r>
      <w:r w:rsidR="009761ED">
        <w:t xml:space="preserve"> </w:t>
      </w:r>
      <w:r w:rsidRPr="00417613">
        <w:t>Se trata del registro internacional N.º DM/102 573, en el que solo se designa a Italia (Acta de 1960).</w:t>
      </w:r>
    </w:p>
  </w:footnote>
  <w:footnote w:id="5">
    <w:p w:rsidR="00B3397B" w:rsidRPr="00417613" w:rsidRDefault="00B3397B" w:rsidP="005D5D88">
      <w:pPr>
        <w:pStyle w:val="FootnoteText"/>
      </w:pPr>
      <w:r>
        <w:rPr>
          <w:rStyle w:val="FootnoteReference"/>
        </w:rPr>
        <w:footnoteRef/>
      </w:r>
      <w:r w:rsidRPr="00417613">
        <w:tab/>
      </w:r>
      <w:r w:rsidRPr="00DE53B7">
        <w:rPr>
          <w:lang w:val="es-ES_tradnl"/>
        </w:rPr>
        <w:t xml:space="preserve">O bien cuando ninguna otra Parte Contratante designada haya </w:t>
      </w:r>
      <w:r w:rsidR="00B875B3">
        <w:rPr>
          <w:lang w:val="es-ES_tradnl"/>
        </w:rPr>
        <w:t>formulado</w:t>
      </w:r>
      <w:r w:rsidRPr="00DE53B7">
        <w:rPr>
          <w:lang w:val="es-ES_tradnl"/>
        </w:rPr>
        <w:t xml:space="preserve"> una declaración en virtud del Artículo 11.1) del Acta de 1999.</w:t>
      </w:r>
    </w:p>
  </w:footnote>
  <w:footnote w:id="6">
    <w:p w:rsidR="00B3397B" w:rsidRPr="00417613" w:rsidRDefault="00B3397B" w:rsidP="005D5D88">
      <w:pPr>
        <w:pStyle w:val="FootnoteText"/>
      </w:pPr>
      <w:r>
        <w:rPr>
          <w:rStyle w:val="FootnoteReference"/>
        </w:rPr>
        <w:footnoteRef/>
      </w:r>
      <w:r w:rsidRPr="00417613">
        <w:tab/>
      </w:r>
      <w:r w:rsidRPr="0022564B">
        <w:rPr>
          <w:lang w:val="es-ES_tradnl"/>
        </w:rPr>
        <w:t>Véase el documento WO/PBC/30/10, página 59.</w:t>
      </w:r>
    </w:p>
  </w:footnote>
  <w:footnote w:id="7">
    <w:p w:rsidR="00140A28" w:rsidRDefault="00B3397B" w:rsidP="005D5D88">
      <w:pPr>
        <w:pStyle w:val="FootnoteText"/>
        <w:rPr>
          <w:lang w:val="es-ES_tradnl"/>
        </w:rPr>
      </w:pPr>
      <w:r>
        <w:rPr>
          <w:rStyle w:val="FootnoteReference"/>
        </w:rPr>
        <w:footnoteRef/>
      </w:r>
      <w:r w:rsidRPr="00417613">
        <w:tab/>
      </w:r>
      <w:r w:rsidRPr="00B37FA5">
        <w:rPr>
          <w:lang w:val="es-ES_tradnl"/>
        </w:rPr>
        <w:t>En este contexto, se recuerda que la aplicación del Acta de Londres (1934), aprobada el 2 de junio de 1934, fue suspendida a partir del 1 de enero de 2010,</w:t>
      </w:r>
      <w:r w:rsidRPr="00417613">
        <w:t xml:space="preserve"> </w:t>
      </w:r>
      <w:r w:rsidRPr="00B37FA5">
        <w:rPr>
          <w:lang w:val="es-ES_tradnl"/>
        </w:rPr>
        <w:t>y cesó completamente a partir del 18 de octubre de 2016.</w:t>
      </w:r>
      <w:r w:rsidRPr="00417613">
        <w:t xml:space="preserve"> </w:t>
      </w:r>
      <w:r w:rsidRPr="00300B27">
        <w:rPr>
          <w:lang w:val="es-ES_tradnl"/>
        </w:rPr>
        <w:t xml:space="preserve">Véanse los avisos informativos N.º 9/2009 y N.º 10/2016, disponibles en </w:t>
      </w:r>
      <w:hyperlink r:id="rId1" w:history="1">
        <w:r w:rsidR="00BB2431" w:rsidRPr="00BB2431">
          <w:rPr>
            <w:rStyle w:val="Hyperlink"/>
            <w:color w:val="auto"/>
            <w:u w:val="none"/>
            <w:lang w:val="es-ES_tradnl"/>
          </w:rPr>
          <w:t>https://www.wipo.int/hague/es/notices/</w:t>
        </w:r>
      </w:hyperlink>
      <w:r w:rsidR="00140A28" w:rsidRPr="00BB2431">
        <w:rPr>
          <w:lang w:val="es-ES_tradnl"/>
        </w:rPr>
        <w:t>.</w:t>
      </w:r>
    </w:p>
    <w:p w:rsidR="00140A28" w:rsidRDefault="00140A28" w:rsidP="005D5D88">
      <w:pPr>
        <w:pStyle w:val="FootnoteText"/>
        <w:rPr>
          <w:lang w:val="es-ES_tradnl"/>
        </w:rPr>
      </w:pPr>
    </w:p>
    <w:p w:rsidR="00B3397B" w:rsidRPr="00417613" w:rsidRDefault="00B3397B" w:rsidP="005D5D88">
      <w:pPr>
        <w:pStyle w:val="FootnoteText"/>
      </w:pPr>
    </w:p>
  </w:footnote>
  <w:footnote w:id="8">
    <w:p w:rsidR="00B3397B" w:rsidRPr="00417613" w:rsidRDefault="00B3397B" w:rsidP="005D5D88">
      <w:pPr>
        <w:pStyle w:val="FootnoteText"/>
      </w:pPr>
      <w:r>
        <w:rPr>
          <w:rStyle w:val="FootnoteReference"/>
        </w:rPr>
        <w:footnoteRef/>
      </w:r>
      <w:r w:rsidRPr="00417613">
        <w:tab/>
      </w:r>
      <w:r w:rsidRPr="00300B27">
        <w:rPr>
          <w:lang w:val="es-ES_tradnl"/>
        </w:rPr>
        <w:t>Lista de miembros al 29 de agosto de 2019, agrupados con arreglo al acta o actas a que están sujetos.</w:t>
      </w:r>
    </w:p>
  </w:footnote>
  <w:footnote w:id="9">
    <w:p w:rsidR="00B3397B" w:rsidRPr="00417613" w:rsidRDefault="00B3397B" w:rsidP="005D5D88">
      <w:pPr>
        <w:pStyle w:val="FootnoteText"/>
        <w:tabs>
          <w:tab w:val="left" w:pos="567"/>
        </w:tabs>
        <w:rPr>
          <w:szCs w:val="18"/>
        </w:rPr>
      </w:pPr>
      <w:r>
        <w:rPr>
          <w:rStyle w:val="FootnoteReference"/>
        </w:rPr>
        <w:footnoteRef/>
      </w:r>
      <w:r w:rsidRPr="00417613">
        <w:tab/>
        <w:t xml:space="preserve">Estado miembro de la </w:t>
      </w:r>
      <w:r w:rsidRPr="00417613">
        <w:rPr>
          <w:szCs w:val="18"/>
        </w:rPr>
        <w:t>OAPI.</w:t>
      </w:r>
    </w:p>
  </w:footnote>
  <w:footnote w:id="10">
    <w:p w:rsidR="00B3397B" w:rsidRPr="00417613" w:rsidRDefault="00B3397B" w:rsidP="005D5D88">
      <w:pPr>
        <w:pStyle w:val="FootnoteText"/>
        <w:tabs>
          <w:tab w:val="left" w:pos="567"/>
        </w:tabs>
      </w:pPr>
      <w:r w:rsidRPr="00E84FD2">
        <w:rPr>
          <w:rStyle w:val="FootnoteReference"/>
        </w:rPr>
        <w:footnoteRef/>
      </w:r>
      <w:r w:rsidRPr="00417613">
        <w:tab/>
      </w:r>
      <w:r w:rsidRPr="00417613">
        <w:rPr>
          <w:szCs w:val="18"/>
        </w:rPr>
        <w:t>Estado miembro de la OAPI.</w:t>
      </w:r>
    </w:p>
  </w:footnote>
  <w:footnote w:id="11">
    <w:p w:rsidR="00B3397B" w:rsidRPr="00417613" w:rsidRDefault="00B3397B" w:rsidP="005D5D88">
      <w:pPr>
        <w:pStyle w:val="FootnoteText"/>
        <w:tabs>
          <w:tab w:val="left" w:pos="567"/>
        </w:tabs>
      </w:pPr>
      <w:r w:rsidRPr="00E84FD2">
        <w:rPr>
          <w:rStyle w:val="FootnoteReference"/>
        </w:rPr>
        <w:footnoteRef/>
      </w:r>
      <w:r w:rsidRPr="00417613">
        <w:tab/>
        <w:t xml:space="preserve">Estado miembro de la </w:t>
      </w:r>
      <w:r w:rsidRPr="00417613">
        <w:rPr>
          <w:szCs w:val="18"/>
        </w:rPr>
        <w:t>OAPI.</w:t>
      </w:r>
    </w:p>
  </w:footnote>
  <w:footnote w:id="12">
    <w:p w:rsidR="00B3397B" w:rsidRPr="00417613" w:rsidRDefault="00B3397B" w:rsidP="005D5D88">
      <w:pPr>
        <w:pStyle w:val="FootnoteText"/>
        <w:tabs>
          <w:tab w:val="left" w:pos="567"/>
        </w:tabs>
      </w:pPr>
      <w:r w:rsidRPr="00E84FD2">
        <w:rPr>
          <w:rStyle w:val="FootnoteReference"/>
        </w:rPr>
        <w:footnoteRef/>
      </w:r>
      <w:r w:rsidRPr="00417613">
        <w:tab/>
        <w:t>Estado miembro de la Unión Europea</w:t>
      </w:r>
      <w:r w:rsidRPr="00417613">
        <w:rPr>
          <w:szCs w:val="18"/>
        </w:rPr>
        <w:t>.</w:t>
      </w:r>
    </w:p>
  </w:footnote>
  <w:footnote w:id="13">
    <w:p w:rsidR="00B3397B" w:rsidRPr="00417613" w:rsidRDefault="00B3397B" w:rsidP="005D5D88">
      <w:pPr>
        <w:pStyle w:val="FootnoteText"/>
        <w:tabs>
          <w:tab w:val="left" w:pos="567"/>
        </w:tabs>
      </w:pPr>
      <w:r w:rsidRPr="00E84FD2">
        <w:rPr>
          <w:rStyle w:val="FootnoteReference"/>
        </w:rPr>
        <w:footnoteRef/>
      </w:r>
      <w:r w:rsidRPr="00417613">
        <w:tab/>
      </w:r>
      <w:r w:rsidRPr="00417613">
        <w:rPr>
          <w:szCs w:val="18"/>
        </w:rPr>
        <w:t>Estado miembro de la Unión Europea.</w:t>
      </w:r>
    </w:p>
  </w:footnote>
  <w:footnote w:id="14">
    <w:p w:rsidR="00B3397B" w:rsidRPr="00417613" w:rsidRDefault="00B3397B" w:rsidP="005D5D88">
      <w:pPr>
        <w:pStyle w:val="FootnoteText"/>
        <w:tabs>
          <w:tab w:val="left" w:pos="567"/>
        </w:tabs>
      </w:pPr>
      <w:r w:rsidRPr="00E84FD2">
        <w:rPr>
          <w:rStyle w:val="FootnoteReference"/>
        </w:rPr>
        <w:footnoteRef/>
      </w:r>
      <w:r w:rsidRPr="00417613">
        <w:tab/>
      </w:r>
      <w:r w:rsidRPr="00417613">
        <w:rPr>
          <w:szCs w:val="18"/>
        </w:rPr>
        <w:t>Estado miembro de la OAPI.</w:t>
      </w:r>
    </w:p>
  </w:footnote>
  <w:footnote w:id="15">
    <w:p w:rsidR="00B3397B" w:rsidRPr="00417613" w:rsidRDefault="00B3397B" w:rsidP="005D5D88">
      <w:pPr>
        <w:pStyle w:val="FootnoteText"/>
        <w:tabs>
          <w:tab w:val="left" w:pos="567"/>
        </w:tabs>
      </w:pPr>
      <w:r w:rsidRPr="00E84FD2">
        <w:rPr>
          <w:rStyle w:val="FootnoteReference"/>
        </w:rPr>
        <w:footnoteRef/>
      </w:r>
      <w:r w:rsidRPr="00417613">
        <w:tab/>
      </w:r>
      <w:r w:rsidRPr="00417613">
        <w:rPr>
          <w:szCs w:val="18"/>
        </w:rPr>
        <w:t>Estado miembro de la OAPI.</w:t>
      </w:r>
    </w:p>
  </w:footnote>
  <w:footnote w:id="16">
    <w:p w:rsidR="00B3397B" w:rsidRPr="00417613" w:rsidRDefault="00B3397B" w:rsidP="005D5D88">
      <w:pPr>
        <w:pStyle w:val="FootnoteText"/>
        <w:tabs>
          <w:tab w:val="left" w:pos="567"/>
        </w:tabs>
      </w:pPr>
      <w:r w:rsidRPr="00E84FD2">
        <w:rPr>
          <w:rStyle w:val="FootnoteReference"/>
        </w:rPr>
        <w:footnoteRef/>
      </w:r>
      <w:r w:rsidRPr="00417613">
        <w:tab/>
      </w:r>
      <w:r w:rsidRPr="00417613">
        <w:rPr>
          <w:szCs w:val="18"/>
        </w:rPr>
        <w:t>Estado miembro de la OAPI.</w:t>
      </w:r>
    </w:p>
  </w:footnote>
  <w:footnote w:id="17">
    <w:p w:rsidR="00B3397B" w:rsidRPr="00417613" w:rsidRDefault="00B3397B" w:rsidP="005D5D88">
      <w:pPr>
        <w:pStyle w:val="FootnoteText"/>
      </w:pPr>
      <w:r>
        <w:rPr>
          <w:rStyle w:val="FootnoteReference"/>
        </w:rPr>
        <w:footnoteRef/>
      </w:r>
      <w:r w:rsidRPr="00417613">
        <w:tab/>
      </w:r>
      <w:r w:rsidRPr="00840B0B">
        <w:rPr>
          <w:lang w:val="es-ES_tradnl"/>
        </w:rPr>
        <w:t>Lista de miembros al 29 de agosto de 2019.</w:t>
      </w:r>
    </w:p>
  </w:footnote>
  <w:footnote w:id="18">
    <w:p w:rsidR="00B3397B" w:rsidRPr="00417613" w:rsidRDefault="00B3397B" w:rsidP="005D5D88">
      <w:pPr>
        <w:pStyle w:val="FootnoteText"/>
        <w:rPr>
          <w:szCs w:val="18"/>
        </w:rPr>
      </w:pPr>
      <w:r w:rsidRPr="00040014">
        <w:rPr>
          <w:rStyle w:val="FootnoteReference"/>
          <w:szCs w:val="18"/>
        </w:rPr>
        <w:footnoteRef/>
      </w:r>
      <w:r w:rsidRPr="00417613">
        <w:rPr>
          <w:szCs w:val="18"/>
        </w:rPr>
        <w:tab/>
      </w:r>
      <w:r w:rsidRPr="00992ABD">
        <w:rPr>
          <w:szCs w:val="18"/>
          <w:lang w:val="es-ES_tradnl"/>
        </w:rPr>
        <w:t xml:space="preserve">El Acta de 1999 entró en vigor </w:t>
      </w:r>
      <w:r>
        <w:rPr>
          <w:szCs w:val="18"/>
          <w:lang w:val="es-ES_tradnl"/>
        </w:rPr>
        <w:t xml:space="preserve">con </w:t>
      </w:r>
      <w:r w:rsidRPr="00992ABD">
        <w:rPr>
          <w:szCs w:val="18"/>
          <w:lang w:val="es-ES_tradnl"/>
        </w:rPr>
        <w:t xml:space="preserve">respecto </w:t>
      </w:r>
      <w:r>
        <w:rPr>
          <w:szCs w:val="18"/>
          <w:lang w:val="es-ES_tradnl"/>
        </w:rPr>
        <w:t xml:space="preserve">al </w:t>
      </w:r>
      <w:r w:rsidRPr="00992ABD">
        <w:rPr>
          <w:szCs w:val="18"/>
          <w:lang w:val="es-ES_tradnl"/>
        </w:rPr>
        <w:t>Benelux el 18 de diciembre de 2018.</w:t>
      </w:r>
    </w:p>
  </w:footnote>
  <w:footnote w:id="19">
    <w:p w:rsidR="00B3397B" w:rsidRPr="00417613" w:rsidRDefault="00B3397B" w:rsidP="005D5D88">
      <w:pPr>
        <w:pStyle w:val="FootnoteText"/>
        <w:rPr>
          <w:szCs w:val="18"/>
        </w:rPr>
      </w:pPr>
      <w:r w:rsidRPr="00981D1D">
        <w:rPr>
          <w:rStyle w:val="FootnoteReference"/>
          <w:szCs w:val="18"/>
        </w:rPr>
        <w:footnoteRef/>
      </w:r>
      <w:r w:rsidRPr="00417613">
        <w:rPr>
          <w:szCs w:val="18"/>
        </w:rPr>
        <w:tab/>
      </w:r>
      <w:r w:rsidRPr="00992ABD">
        <w:rPr>
          <w:szCs w:val="18"/>
          <w:lang w:val="es-ES_tradnl"/>
        </w:rPr>
        <w:t>El Acta de 1999 entró en vigor con respecto a Belice el 9 de febrero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Pr="0053034B" w:rsidRDefault="00B3397B" w:rsidP="002D1BB9">
    <w:pPr>
      <w:jc w:val="right"/>
      <w:rPr>
        <w:lang w:val="pt-PT"/>
      </w:rPr>
    </w:pPr>
    <w:r w:rsidRPr="0053034B">
      <w:rPr>
        <w:lang w:val="pt-PT"/>
      </w:rPr>
      <w:t>H/LD/WG/</w:t>
    </w:r>
    <w:r>
      <w:rPr>
        <w:lang w:val="pt-PT"/>
      </w:rPr>
      <w:t>8</w:t>
    </w:r>
    <w:r w:rsidRPr="0053034B">
      <w:rPr>
        <w:lang w:val="pt-PT"/>
      </w:rPr>
      <w:t>/</w:t>
    </w:r>
    <w:r>
      <w:rPr>
        <w:lang w:val="pt-PT"/>
      </w:rPr>
      <w:t>3</w:t>
    </w:r>
  </w:p>
  <w:p w:rsidR="00B3397B" w:rsidRPr="0053034B" w:rsidRDefault="00B3397B" w:rsidP="002D1BB9">
    <w:pPr>
      <w:jc w:val="right"/>
      <w:rPr>
        <w:lang w:val="pt-PT"/>
      </w:rPr>
    </w:pPr>
    <w:r w:rsidRPr="0053034B">
      <w:rPr>
        <w:lang w:val="pt-PT"/>
      </w:rPr>
      <w:t>p</w:t>
    </w:r>
    <w:r>
      <w:rPr>
        <w:lang w:val="pt-PT"/>
      </w:rPr>
      <w:t>ágina</w:t>
    </w:r>
    <w:r w:rsidRPr="0053034B">
      <w:rPr>
        <w:lang w:val="pt-PT"/>
      </w:rPr>
      <w:t xml:space="preserve"> </w:t>
    </w:r>
    <w:r>
      <w:fldChar w:fldCharType="begin"/>
    </w:r>
    <w:r w:rsidRPr="0053034B">
      <w:rPr>
        <w:lang w:val="pt-PT"/>
      </w:rPr>
      <w:instrText xml:space="preserve"> PAGE  \* MERGEFORMAT </w:instrText>
    </w:r>
    <w:r>
      <w:fldChar w:fldCharType="separate"/>
    </w:r>
    <w:r w:rsidR="007800AD">
      <w:rPr>
        <w:noProof/>
        <w:lang w:val="pt-PT"/>
      </w:rPr>
      <w:t>4</w:t>
    </w:r>
    <w:r>
      <w:fldChar w:fldCharType="end"/>
    </w:r>
  </w:p>
  <w:p w:rsidR="00B3397B" w:rsidRDefault="00B3397B" w:rsidP="002D1BB9">
    <w:pPr>
      <w:jc w:val="right"/>
      <w:rPr>
        <w:lang w:val="pt-PT"/>
      </w:rPr>
    </w:pPr>
  </w:p>
  <w:p w:rsidR="00B3397B" w:rsidRPr="0053034B" w:rsidRDefault="00B3397B" w:rsidP="002D1BB9">
    <w:pPr>
      <w:jc w:val="right"/>
      <w:rPr>
        <w:lang w:val="pt-PT"/>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Pr="0053034B" w:rsidRDefault="00B3397B" w:rsidP="002D1BB9">
    <w:pPr>
      <w:jc w:val="right"/>
      <w:rPr>
        <w:lang w:val="pt-PT"/>
      </w:rPr>
    </w:pPr>
    <w:r w:rsidRPr="0053034B">
      <w:rPr>
        <w:lang w:val="pt-PT"/>
      </w:rPr>
      <w:t>H/LD/WG/</w:t>
    </w:r>
    <w:r>
      <w:rPr>
        <w:lang w:val="pt-PT"/>
      </w:rPr>
      <w:t>8</w:t>
    </w:r>
    <w:r w:rsidRPr="0053034B">
      <w:rPr>
        <w:lang w:val="pt-PT"/>
      </w:rPr>
      <w:t>/</w:t>
    </w:r>
    <w:r>
      <w:rPr>
        <w:lang w:val="pt-PT"/>
      </w:rPr>
      <w:t>3</w:t>
    </w:r>
  </w:p>
  <w:p w:rsidR="00B3397B" w:rsidRPr="0053034B" w:rsidRDefault="00B3397B" w:rsidP="002D1BB9">
    <w:pPr>
      <w:jc w:val="right"/>
      <w:rPr>
        <w:lang w:val="pt-PT"/>
      </w:rPr>
    </w:pPr>
    <w:r w:rsidRPr="0053034B">
      <w:rPr>
        <w:lang w:val="pt-PT"/>
      </w:rPr>
      <w:t>p</w:t>
    </w:r>
    <w:r>
      <w:rPr>
        <w:lang w:val="pt-PT"/>
      </w:rPr>
      <w:t>ágina</w:t>
    </w:r>
    <w:r w:rsidRPr="0053034B">
      <w:rPr>
        <w:lang w:val="pt-PT"/>
      </w:rPr>
      <w:t xml:space="preserve"> </w:t>
    </w:r>
    <w:r>
      <w:fldChar w:fldCharType="begin"/>
    </w:r>
    <w:r w:rsidRPr="0053034B">
      <w:rPr>
        <w:lang w:val="pt-PT"/>
      </w:rPr>
      <w:instrText xml:space="preserve"> PAGE  \* MERGEFORMAT </w:instrText>
    </w:r>
    <w:r>
      <w:fldChar w:fldCharType="separate"/>
    </w:r>
    <w:r w:rsidR="00B24000">
      <w:rPr>
        <w:noProof/>
        <w:lang w:val="pt-PT"/>
      </w:rPr>
      <w:t>5</w:t>
    </w:r>
    <w:r>
      <w:fldChar w:fldCharType="end"/>
    </w:r>
  </w:p>
  <w:p w:rsidR="00B3397B" w:rsidRDefault="00B3397B" w:rsidP="002D1BB9">
    <w:pPr>
      <w:jc w:val="right"/>
      <w:rPr>
        <w:lang w:val="pt-PT"/>
      </w:rPr>
    </w:pPr>
  </w:p>
  <w:p w:rsidR="00B3397B" w:rsidRPr="0053034B" w:rsidRDefault="00B3397B" w:rsidP="002D1BB9">
    <w:pPr>
      <w:jc w:val="right"/>
      <w:rPr>
        <w:lang w:val="pt-PT"/>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Pr="0053034B" w:rsidRDefault="00B3397B" w:rsidP="00AF24C3">
    <w:pPr>
      <w:jc w:val="right"/>
      <w:rPr>
        <w:lang w:val="pt-PT"/>
      </w:rPr>
    </w:pPr>
    <w:r w:rsidRPr="0053034B">
      <w:rPr>
        <w:lang w:val="pt-PT"/>
      </w:rPr>
      <w:t>H/LD/WG/</w:t>
    </w:r>
    <w:r>
      <w:rPr>
        <w:lang w:val="pt-PT"/>
      </w:rPr>
      <w:t>8</w:t>
    </w:r>
    <w:r w:rsidRPr="0053034B">
      <w:rPr>
        <w:lang w:val="pt-PT"/>
      </w:rPr>
      <w:t>/</w:t>
    </w:r>
    <w:r>
      <w:rPr>
        <w:lang w:val="pt-PT"/>
      </w:rPr>
      <w:t>3</w:t>
    </w:r>
  </w:p>
  <w:p w:rsidR="00B3397B" w:rsidRPr="0053034B" w:rsidRDefault="00B3397B" w:rsidP="00AF24C3">
    <w:pPr>
      <w:jc w:val="right"/>
      <w:rPr>
        <w:lang w:val="pt-PT"/>
      </w:rPr>
    </w:pPr>
    <w:r w:rsidRPr="0053034B">
      <w:rPr>
        <w:lang w:val="pt-PT"/>
      </w:rPr>
      <w:t>p</w:t>
    </w:r>
    <w:r>
      <w:rPr>
        <w:lang w:val="pt-PT"/>
      </w:rPr>
      <w:t>ágina</w:t>
    </w:r>
    <w:r w:rsidRPr="0053034B">
      <w:rPr>
        <w:lang w:val="pt-PT"/>
      </w:rPr>
      <w:t xml:space="preserve"> </w:t>
    </w:r>
    <w:r>
      <w:fldChar w:fldCharType="begin"/>
    </w:r>
    <w:r w:rsidRPr="0053034B">
      <w:rPr>
        <w:lang w:val="pt-PT"/>
      </w:rPr>
      <w:instrText xml:space="preserve"> PAGE  \* MERGEFORMAT </w:instrText>
    </w:r>
    <w:r>
      <w:fldChar w:fldCharType="separate"/>
    </w:r>
    <w:r w:rsidR="00B24000">
      <w:rPr>
        <w:noProof/>
        <w:lang w:val="pt-PT"/>
      </w:rPr>
      <w:t>5</w:t>
    </w:r>
    <w:r>
      <w:fldChar w:fldCharType="end"/>
    </w:r>
  </w:p>
  <w:p w:rsidR="00B3397B" w:rsidRDefault="00B3397B" w:rsidP="00AF24C3">
    <w:pPr>
      <w:jc w:val="right"/>
      <w:rPr>
        <w:lang w:val="pt-PT"/>
      </w:rPr>
    </w:pPr>
  </w:p>
  <w:p w:rsidR="00B3397B" w:rsidRPr="0053034B" w:rsidRDefault="00B3397B" w:rsidP="00477D6B">
    <w:pPr>
      <w:jc w:val="right"/>
      <w:rPr>
        <w:lang w:val="pt-PT"/>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Default="00B3397B" w:rsidP="00AF24C3">
    <w:pPr>
      <w:jc w:val="right"/>
    </w:pPr>
    <w:r>
      <w:rPr>
        <w:noProof/>
        <w:lang w:val="en-US" w:eastAsia="en-US"/>
      </w:rPr>
      <mc:AlternateContent>
        <mc:Choice Requires="wps">
          <w:drawing>
            <wp:anchor distT="558800" distB="0" distL="114300" distR="114300" simplePos="0" relativeHeight="25166848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3" name="TITUSF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397B" w:rsidRDefault="00B3397B" w:rsidP="002D1BB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4footer" o:spid="_x0000_s1037" type="#_x0000_t202" style="position:absolute;left:0;text-align:left;margin-left:0;margin-top:44pt;width:600pt;height:25pt;z-index:2516684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LSBqg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L2LSBqgIAAGYFAAAOAAAAAAAAAAAAAAAA&#10;AC4CAABkcnMvZTJvRG9jLnhtbFBLAQItABQABgAIAAAAIQDN8vMo2gAAAAgBAAAPAAAAAAAAAAAA&#10;AAAAAAQFAABkcnMvZG93bnJldi54bWxQSwUGAAAAAAQABADzAAAACwYAAAAA&#10;" o:allowincell="f" filled="f" stroked="f" strokeweight=".5pt">
              <v:path arrowok="t"/>
              <v:textbox>
                <w:txbxContent>
                  <w:p w:rsidR="00B3397B" w:rsidRDefault="00B3397B" w:rsidP="002D1BB9">
                    <w:pPr>
                      <w:jc w:val="center"/>
                    </w:pPr>
                  </w:p>
                </w:txbxContent>
              </v:textbox>
              <w10:wrap anchorx="margin" anchory="margin"/>
            </v:shape>
          </w:pict>
        </mc:Fallback>
      </mc:AlternateContent>
    </w:r>
    <w:r>
      <w:t>H/LD/WG/8/3</w:t>
    </w:r>
  </w:p>
  <w:p w:rsidR="00B3397B" w:rsidRDefault="00B3397B" w:rsidP="00AF24C3">
    <w:pPr>
      <w:pStyle w:val="Header"/>
      <w:tabs>
        <w:tab w:val="clear" w:pos="9072"/>
      </w:tabs>
      <w:ind w:right="-1"/>
      <w:jc w:val="right"/>
    </w:pPr>
    <w:r w:rsidRPr="00791269">
      <w:t xml:space="preserve">ANEXO </w:t>
    </w:r>
    <w:r>
      <w:t>III</w:t>
    </w:r>
  </w:p>
  <w:p w:rsidR="00B3397B" w:rsidRDefault="00B3397B" w:rsidP="00AF24C3">
    <w:pPr>
      <w:pStyle w:val="Header"/>
      <w:jc w:val="right"/>
    </w:pPr>
  </w:p>
  <w:p w:rsidR="00B3397B" w:rsidRDefault="00B3397B" w:rsidP="00AF24C3">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Default="00B3397B" w:rsidP="002D1BB9">
    <w:pPr>
      <w:jc w:val="right"/>
    </w:pPr>
    <w:r>
      <w:t>H/LD/WG/8/3</w:t>
    </w:r>
  </w:p>
  <w:p w:rsidR="00B3397B" w:rsidRDefault="00B3397B" w:rsidP="002D1BB9">
    <w:pPr>
      <w:jc w:val="right"/>
    </w:pPr>
    <w:r>
      <w:t xml:space="preserve">página </w:t>
    </w:r>
    <w:r>
      <w:fldChar w:fldCharType="begin"/>
    </w:r>
    <w:r>
      <w:instrText xml:space="preserve"> PAGE  \* MERGEFORMAT </w:instrText>
    </w:r>
    <w:r>
      <w:fldChar w:fldCharType="separate"/>
    </w:r>
    <w:r w:rsidR="00B24000">
      <w:rPr>
        <w:noProof/>
      </w:rPr>
      <w:t>5</w:t>
    </w:r>
    <w:r>
      <w:fldChar w:fldCharType="end"/>
    </w:r>
  </w:p>
  <w:p w:rsidR="00B3397B" w:rsidRDefault="00B3397B" w:rsidP="002D1BB9">
    <w:pPr>
      <w:jc w:val="right"/>
    </w:pPr>
  </w:p>
  <w:p w:rsidR="00B3397B" w:rsidRDefault="00B3397B" w:rsidP="002D1BB9">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Default="00B3397B" w:rsidP="00477D6B">
    <w:pPr>
      <w:jc w:val="right"/>
    </w:pPr>
    <w:bookmarkStart w:id="6" w:name="Code2"/>
    <w:bookmarkEnd w:id="6"/>
    <w:r>
      <w:t>H/LD/WG/8/3</w:t>
    </w:r>
  </w:p>
  <w:p w:rsidR="00B3397B" w:rsidRDefault="00B3397B" w:rsidP="00477D6B">
    <w:pPr>
      <w:jc w:val="right"/>
    </w:pPr>
    <w:r>
      <w:t xml:space="preserve">página </w:t>
    </w:r>
    <w:r>
      <w:fldChar w:fldCharType="begin"/>
    </w:r>
    <w:r>
      <w:instrText xml:space="preserve"> PAGE  \* MERGEFORMAT </w:instrText>
    </w:r>
    <w:r>
      <w:fldChar w:fldCharType="separate"/>
    </w:r>
    <w:r w:rsidR="00B24000">
      <w:rPr>
        <w:noProof/>
      </w:rPr>
      <w:t>5</w:t>
    </w:r>
    <w:r>
      <w:fldChar w:fldCharType="end"/>
    </w:r>
  </w:p>
  <w:p w:rsidR="00B3397B" w:rsidRDefault="00B3397B" w:rsidP="00477D6B">
    <w:pPr>
      <w:jc w:val="right"/>
    </w:pPr>
  </w:p>
  <w:p w:rsidR="00B3397B" w:rsidRDefault="00B3397B" w:rsidP="00477D6B">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Pr="001C10C1" w:rsidRDefault="00B3397B" w:rsidP="00AF24C3">
    <w:pPr>
      <w:jc w:val="right"/>
      <w:rPr>
        <w:lang w:val="en-GB"/>
      </w:rPr>
    </w:pPr>
    <w:r>
      <w:rPr>
        <w:noProof/>
        <w:lang w:val="en-US" w:eastAsia="en-US"/>
      </w:rPr>
      <mc:AlternateContent>
        <mc:Choice Requires="wps">
          <w:drawing>
            <wp:anchor distT="558800" distB="0" distL="114300" distR="114300" simplePos="0" relativeHeight="25167155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6" name="TITUSF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397B" w:rsidRDefault="00B3397B" w:rsidP="002D1BB9">
                          <w:pPr>
                            <w:jc w:val="center"/>
                          </w:pPr>
                          <w:bookmarkStart w:id="7" w:name="_GoBack"/>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5footer" o:spid="_x0000_s1040" type="#_x0000_t202" style="position:absolute;left:0;text-align:left;margin-left:0;margin-top:44pt;width:600pt;height:25pt;z-index:25167155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LHqg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sk2LHqgIAAGYFAAAOAAAAAAAAAAAAAAAA&#10;AC4CAABkcnMvZTJvRG9jLnhtbFBLAQItABQABgAIAAAAIQDN8vMo2gAAAAgBAAAPAAAAAAAAAAAA&#10;AAAAAAQFAABkcnMvZG93bnJldi54bWxQSwUGAAAAAAQABADzAAAACwYAAAAA&#10;" o:allowincell="f" filled="f" stroked="f" strokeweight=".5pt">
              <v:path arrowok="t"/>
              <v:textbox>
                <w:txbxContent>
                  <w:p w:rsidR="00B3397B" w:rsidRDefault="00B3397B" w:rsidP="002D1BB9">
                    <w:pPr>
                      <w:jc w:val="center"/>
                    </w:pPr>
                    <w:bookmarkStart w:id="8" w:name="_GoBack"/>
                    <w:bookmarkEnd w:id="8"/>
                  </w:p>
                </w:txbxContent>
              </v:textbox>
              <w10:wrap anchorx="margin" anchory="margin"/>
            </v:shape>
          </w:pict>
        </mc:Fallback>
      </mc:AlternateContent>
    </w:r>
    <w:r w:rsidRPr="001C10C1">
      <w:rPr>
        <w:lang w:val="en-GB"/>
      </w:rPr>
      <w:t>H/LD/WG/8/3</w:t>
    </w:r>
  </w:p>
  <w:p w:rsidR="00B3397B" w:rsidRPr="001C10C1" w:rsidRDefault="00B3397B" w:rsidP="00AF24C3">
    <w:pPr>
      <w:pStyle w:val="Header"/>
      <w:tabs>
        <w:tab w:val="clear" w:pos="9072"/>
      </w:tabs>
      <w:ind w:right="-1"/>
      <w:jc w:val="right"/>
      <w:rPr>
        <w:lang w:val="en-GB"/>
      </w:rPr>
    </w:pPr>
    <w:r w:rsidRPr="001C10C1">
      <w:rPr>
        <w:lang w:val="en-GB"/>
      </w:rPr>
      <w:t xml:space="preserve">ANEXO </w:t>
    </w:r>
    <w:r>
      <w:rPr>
        <w:lang w:val="en-GB"/>
      </w:rPr>
      <w:t>IV</w:t>
    </w:r>
  </w:p>
  <w:p w:rsidR="00B3397B" w:rsidRPr="001C10C1" w:rsidRDefault="00B3397B" w:rsidP="00AF24C3">
    <w:pPr>
      <w:pStyle w:val="Header"/>
      <w:jc w:val="right"/>
      <w:rPr>
        <w:lang w:val="en-GB"/>
      </w:rPr>
    </w:pPr>
  </w:p>
  <w:p w:rsidR="00B3397B" w:rsidRPr="001C10C1" w:rsidRDefault="00B3397B" w:rsidP="00AF24C3">
    <w:pPr>
      <w:pStyle w:val="Header"/>
      <w:jc w:val="righ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Pr="0053034B" w:rsidRDefault="00B3397B" w:rsidP="00AF24C3">
    <w:pPr>
      <w:jc w:val="right"/>
      <w:rPr>
        <w:lang w:val="pt-PT"/>
      </w:rPr>
    </w:pPr>
    <w:r>
      <w:rPr>
        <w:noProof/>
        <w:lang w:val="en-US"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397B" w:rsidRDefault="00B3397B" w:rsidP="002D1BB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rsidR="00B3397B" w:rsidRDefault="00B3397B" w:rsidP="002D1BB9">
                    <w:pPr>
                      <w:jc w:val="center"/>
                    </w:pPr>
                  </w:p>
                </w:txbxContent>
              </v:textbox>
              <w10:wrap anchorx="margin" anchory="margin"/>
            </v:shape>
          </w:pict>
        </mc:Fallback>
      </mc:AlternateContent>
    </w:r>
    <w:r w:rsidRPr="0053034B">
      <w:rPr>
        <w:lang w:val="pt-PT"/>
      </w:rPr>
      <w:t>H/LD/WG/</w:t>
    </w:r>
    <w:r>
      <w:rPr>
        <w:lang w:val="pt-PT"/>
      </w:rPr>
      <w:t>8</w:t>
    </w:r>
    <w:r w:rsidRPr="0053034B">
      <w:rPr>
        <w:lang w:val="pt-PT"/>
      </w:rPr>
      <w:t>/</w:t>
    </w:r>
    <w:r>
      <w:rPr>
        <w:lang w:val="pt-PT"/>
      </w:rPr>
      <w:t>3</w:t>
    </w:r>
  </w:p>
  <w:p w:rsidR="00B3397B" w:rsidRPr="0053034B" w:rsidRDefault="00B3397B" w:rsidP="00AF24C3">
    <w:pPr>
      <w:jc w:val="right"/>
      <w:rPr>
        <w:lang w:val="pt-PT"/>
      </w:rPr>
    </w:pPr>
    <w:r w:rsidRPr="0053034B">
      <w:rPr>
        <w:lang w:val="pt-PT"/>
      </w:rPr>
      <w:t>p</w:t>
    </w:r>
    <w:r>
      <w:rPr>
        <w:lang w:val="pt-PT"/>
      </w:rPr>
      <w:t>ágina</w:t>
    </w:r>
    <w:r w:rsidRPr="0053034B">
      <w:rPr>
        <w:lang w:val="pt-PT"/>
      </w:rPr>
      <w:t xml:space="preserve"> </w:t>
    </w:r>
    <w:r>
      <w:fldChar w:fldCharType="begin"/>
    </w:r>
    <w:r w:rsidRPr="0053034B">
      <w:rPr>
        <w:lang w:val="pt-PT"/>
      </w:rPr>
      <w:instrText xml:space="preserve"> PAGE  \* MERGEFORMAT </w:instrText>
    </w:r>
    <w:r>
      <w:fldChar w:fldCharType="separate"/>
    </w:r>
    <w:r w:rsidR="007800AD">
      <w:rPr>
        <w:noProof/>
        <w:lang w:val="pt-PT"/>
      </w:rPr>
      <w:t>5</w:t>
    </w:r>
    <w:r>
      <w:fldChar w:fldCharType="end"/>
    </w:r>
  </w:p>
  <w:p w:rsidR="00B3397B" w:rsidRDefault="00B3397B" w:rsidP="00AF24C3">
    <w:pPr>
      <w:jc w:val="right"/>
      <w:rPr>
        <w:lang w:val="pt-PT"/>
      </w:rPr>
    </w:pPr>
  </w:p>
  <w:p w:rsidR="00B3397B" w:rsidRPr="0053034B" w:rsidRDefault="00B3397B" w:rsidP="00477D6B">
    <w:pPr>
      <w:jc w:val="right"/>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Default="00B3397B">
    <w:pPr>
      <w:pStyle w:val="Header"/>
    </w:pPr>
    <w:r>
      <w:rPr>
        <w:noProof/>
        <w:lang w:val="en-US"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397B" w:rsidRDefault="00B3397B" w:rsidP="002D1BB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rsidR="00B3397B" w:rsidRDefault="00B3397B" w:rsidP="002D1BB9">
                    <w:pPr>
                      <w:jc w:val="cente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Pr="0053034B" w:rsidRDefault="00B3397B" w:rsidP="002D1BB9">
    <w:pPr>
      <w:jc w:val="right"/>
      <w:rPr>
        <w:lang w:val="pt-PT"/>
      </w:rPr>
    </w:pPr>
    <w:r w:rsidRPr="0053034B">
      <w:rPr>
        <w:lang w:val="pt-PT"/>
      </w:rPr>
      <w:t>H/LD/WG/</w:t>
    </w:r>
    <w:r>
      <w:rPr>
        <w:lang w:val="pt-PT"/>
      </w:rPr>
      <w:t>8</w:t>
    </w:r>
    <w:r w:rsidRPr="0053034B">
      <w:rPr>
        <w:lang w:val="pt-PT"/>
      </w:rPr>
      <w:t>/</w:t>
    </w:r>
    <w:r>
      <w:rPr>
        <w:lang w:val="pt-PT"/>
      </w:rPr>
      <w:t>3</w:t>
    </w:r>
  </w:p>
  <w:p w:rsidR="00B3397B" w:rsidRPr="0053034B" w:rsidRDefault="00B3397B" w:rsidP="002D1BB9">
    <w:pPr>
      <w:jc w:val="right"/>
      <w:rPr>
        <w:lang w:val="pt-PT"/>
      </w:rPr>
    </w:pPr>
    <w:r w:rsidRPr="0053034B">
      <w:rPr>
        <w:lang w:val="pt-PT"/>
      </w:rPr>
      <w:t>p</w:t>
    </w:r>
    <w:r>
      <w:rPr>
        <w:lang w:val="pt-PT"/>
      </w:rPr>
      <w:t>ágina</w:t>
    </w:r>
    <w:r w:rsidRPr="0053034B">
      <w:rPr>
        <w:lang w:val="pt-PT"/>
      </w:rPr>
      <w:t xml:space="preserve"> </w:t>
    </w:r>
    <w:r>
      <w:fldChar w:fldCharType="begin"/>
    </w:r>
    <w:r w:rsidRPr="0053034B">
      <w:rPr>
        <w:lang w:val="pt-PT"/>
      </w:rPr>
      <w:instrText xml:space="preserve"> PAGE  \* MERGEFORMAT </w:instrText>
    </w:r>
    <w:r>
      <w:fldChar w:fldCharType="separate"/>
    </w:r>
    <w:r w:rsidR="00B24000">
      <w:rPr>
        <w:noProof/>
        <w:lang w:val="pt-PT"/>
      </w:rPr>
      <w:t>5</w:t>
    </w:r>
    <w:r>
      <w:fldChar w:fldCharType="end"/>
    </w:r>
  </w:p>
  <w:p w:rsidR="00B3397B" w:rsidRDefault="00B3397B" w:rsidP="002D1BB9">
    <w:pPr>
      <w:jc w:val="right"/>
      <w:rPr>
        <w:lang w:val="pt-PT"/>
      </w:rPr>
    </w:pPr>
  </w:p>
  <w:p w:rsidR="00B3397B" w:rsidRPr="0053034B" w:rsidRDefault="00B3397B" w:rsidP="002D1BB9">
    <w:pPr>
      <w:jc w:val="right"/>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Pr="0053034B" w:rsidRDefault="00B3397B" w:rsidP="00AF24C3">
    <w:pPr>
      <w:jc w:val="right"/>
      <w:rPr>
        <w:lang w:val="pt-PT"/>
      </w:rPr>
    </w:pPr>
    <w:r w:rsidRPr="0053034B">
      <w:rPr>
        <w:lang w:val="pt-PT"/>
      </w:rPr>
      <w:t>H/LD/WG/</w:t>
    </w:r>
    <w:r>
      <w:rPr>
        <w:lang w:val="pt-PT"/>
      </w:rPr>
      <w:t>8</w:t>
    </w:r>
    <w:r w:rsidRPr="0053034B">
      <w:rPr>
        <w:lang w:val="pt-PT"/>
      </w:rPr>
      <w:t>/</w:t>
    </w:r>
    <w:r>
      <w:rPr>
        <w:lang w:val="pt-PT"/>
      </w:rPr>
      <w:t>3</w:t>
    </w:r>
  </w:p>
  <w:p w:rsidR="00B3397B" w:rsidRPr="0053034B" w:rsidRDefault="00B3397B" w:rsidP="00AF24C3">
    <w:pPr>
      <w:jc w:val="right"/>
      <w:rPr>
        <w:lang w:val="pt-PT"/>
      </w:rPr>
    </w:pPr>
    <w:r w:rsidRPr="0053034B">
      <w:rPr>
        <w:lang w:val="pt-PT"/>
      </w:rPr>
      <w:t>p</w:t>
    </w:r>
    <w:r>
      <w:rPr>
        <w:lang w:val="pt-PT"/>
      </w:rPr>
      <w:t>ágina</w:t>
    </w:r>
    <w:r w:rsidRPr="0053034B">
      <w:rPr>
        <w:lang w:val="pt-PT"/>
      </w:rPr>
      <w:t xml:space="preserve"> </w:t>
    </w:r>
    <w:r>
      <w:fldChar w:fldCharType="begin"/>
    </w:r>
    <w:r w:rsidRPr="0053034B">
      <w:rPr>
        <w:lang w:val="pt-PT"/>
      </w:rPr>
      <w:instrText xml:space="preserve"> PAGE  \* MERGEFORMAT </w:instrText>
    </w:r>
    <w:r>
      <w:fldChar w:fldCharType="separate"/>
    </w:r>
    <w:r w:rsidR="00B24000">
      <w:rPr>
        <w:noProof/>
        <w:lang w:val="pt-PT"/>
      </w:rPr>
      <w:t>5</w:t>
    </w:r>
    <w:r>
      <w:fldChar w:fldCharType="end"/>
    </w:r>
  </w:p>
  <w:p w:rsidR="00B3397B" w:rsidRDefault="00B3397B" w:rsidP="00AF24C3">
    <w:pPr>
      <w:jc w:val="right"/>
      <w:rPr>
        <w:lang w:val="pt-PT"/>
      </w:rPr>
    </w:pPr>
  </w:p>
  <w:p w:rsidR="00B3397B" w:rsidRPr="0053034B" w:rsidRDefault="00B3397B" w:rsidP="00477D6B">
    <w:pPr>
      <w:jc w:val="right"/>
      <w:rPr>
        <w:lang w:val="pt-P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Default="00B3397B" w:rsidP="00AF24C3">
    <w:pPr>
      <w:jc w:val="right"/>
    </w:pPr>
    <w:r>
      <w:rPr>
        <w:noProof/>
        <w:lang w:val="en-US" w:eastAsia="en-US"/>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397B" w:rsidRDefault="00B3397B" w:rsidP="002D1BB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1"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65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J36yJbf2UDxijobQJpREav5osK7l8y6B2ZwNnAT593d46eUgNxCZ1GyBfP9T/sej5Sg&#10;l5IDzlpO7bcdM4ISeaewmadJmmJYFxbpaDLEhTn1bE49alffALKQhOyC6fFO9mZpoH7CZ2Hub0UX&#10;UxzvzqnrzRvXvgD4rHAxnwcQjqNmbqlWmvft7TlfN0/M6K7tHLL5FfqpZNmH7muxXi0F852Dsgqt&#10;+cZqNyc4ykGT7tnxb8XpOqDeHsfZL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JL4XrmpAgAAZAUAAA4AAAAAAAAAAAAAAAAA&#10;LgIAAGRycy9lMm9Eb2MueG1sUEsBAi0AFAAGAAgAAAAhAM3y8yjaAAAACAEAAA8AAAAAAAAAAAAA&#10;AAAAAwUAAGRycy9kb3ducmV2LnhtbFBLBQYAAAAABAAEAPMAAAAKBgAAAAA=&#10;" o:allowincell="f" filled="f" stroked="f" strokeweight=".5pt">
              <v:path arrowok="t"/>
              <v:textbox>
                <w:txbxContent>
                  <w:p w:rsidR="00B3397B" w:rsidRDefault="00B3397B" w:rsidP="002D1BB9">
                    <w:pPr>
                      <w:jc w:val="center"/>
                    </w:pPr>
                  </w:p>
                </w:txbxContent>
              </v:textbox>
              <w10:wrap anchorx="margin" anchory="margin"/>
            </v:shape>
          </w:pict>
        </mc:Fallback>
      </mc:AlternateContent>
    </w:r>
    <w:r>
      <w:t>H/LD/WG/8/3</w:t>
    </w:r>
  </w:p>
  <w:p w:rsidR="00B3397B" w:rsidRDefault="00B3397B" w:rsidP="00AF24C3">
    <w:pPr>
      <w:pStyle w:val="Header"/>
      <w:tabs>
        <w:tab w:val="clear" w:pos="9072"/>
      </w:tabs>
      <w:ind w:right="-1"/>
      <w:jc w:val="right"/>
    </w:pPr>
    <w:r>
      <w:t>ANEXO I</w:t>
    </w:r>
  </w:p>
  <w:p w:rsidR="00B3397B" w:rsidRDefault="00B3397B" w:rsidP="00AF24C3">
    <w:pPr>
      <w:pStyle w:val="Header"/>
      <w:jc w:val="right"/>
    </w:pPr>
  </w:p>
  <w:p w:rsidR="00B3397B" w:rsidRDefault="00B3397B" w:rsidP="00AF24C3">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Pr="0053034B" w:rsidRDefault="00B3397B" w:rsidP="002D1BB9">
    <w:pPr>
      <w:jc w:val="right"/>
      <w:rPr>
        <w:lang w:val="pt-PT"/>
      </w:rPr>
    </w:pPr>
    <w:r w:rsidRPr="0053034B">
      <w:rPr>
        <w:lang w:val="pt-PT"/>
      </w:rPr>
      <w:t>H/LD/WG/</w:t>
    </w:r>
    <w:r>
      <w:rPr>
        <w:lang w:val="pt-PT"/>
      </w:rPr>
      <w:t>8</w:t>
    </w:r>
    <w:r w:rsidRPr="0053034B">
      <w:rPr>
        <w:lang w:val="pt-PT"/>
      </w:rPr>
      <w:t>/</w:t>
    </w:r>
    <w:r>
      <w:rPr>
        <w:lang w:val="pt-PT"/>
      </w:rPr>
      <w:t>3</w:t>
    </w:r>
  </w:p>
  <w:p w:rsidR="00B3397B" w:rsidRPr="0053034B" w:rsidRDefault="00B3397B" w:rsidP="002D1BB9">
    <w:pPr>
      <w:jc w:val="right"/>
      <w:rPr>
        <w:lang w:val="pt-PT"/>
      </w:rPr>
    </w:pPr>
    <w:r w:rsidRPr="0053034B">
      <w:rPr>
        <w:lang w:val="pt-PT"/>
      </w:rPr>
      <w:t>p</w:t>
    </w:r>
    <w:r>
      <w:rPr>
        <w:lang w:val="pt-PT"/>
      </w:rPr>
      <w:t>ágina</w:t>
    </w:r>
    <w:r w:rsidRPr="0053034B">
      <w:rPr>
        <w:lang w:val="pt-PT"/>
      </w:rPr>
      <w:t xml:space="preserve"> </w:t>
    </w:r>
    <w:r>
      <w:fldChar w:fldCharType="begin"/>
    </w:r>
    <w:r w:rsidRPr="0053034B">
      <w:rPr>
        <w:lang w:val="pt-PT"/>
      </w:rPr>
      <w:instrText xml:space="preserve"> PAGE  \* MERGEFORMAT </w:instrText>
    </w:r>
    <w:r>
      <w:fldChar w:fldCharType="separate"/>
    </w:r>
    <w:r w:rsidR="00B24000">
      <w:rPr>
        <w:noProof/>
        <w:lang w:val="pt-PT"/>
      </w:rPr>
      <w:t>5</w:t>
    </w:r>
    <w:r>
      <w:fldChar w:fldCharType="end"/>
    </w:r>
  </w:p>
  <w:p w:rsidR="00B3397B" w:rsidRDefault="00B3397B" w:rsidP="002D1BB9">
    <w:pPr>
      <w:jc w:val="right"/>
      <w:rPr>
        <w:lang w:val="pt-PT"/>
      </w:rPr>
    </w:pPr>
  </w:p>
  <w:p w:rsidR="00B3397B" w:rsidRPr="0053034B" w:rsidRDefault="00B3397B" w:rsidP="002D1BB9">
    <w:pPr>
      <w:jc w:val="right"/>
      <w:rPr>
        <w:lang w:val="pt-PT"/>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Pr="0053034B" w:rsidRDefault="00B3397B" w:rsidP="00AF24C3">
    <w:pPr>
      <w:jc w:val="right"/>
      <w:rPr>
        <w:lang w:val="pt-PT"/>
      </w:rPr>
    </w:pPr>
    <w:r w:rsidRPr="0053034B">
      <w:rPr>
        <w:lang w:val="pt-PT"/>
      </w:rPr>
      <w:t>H/LD/WG/</w:t>
    </w:r>
    <w:r>
      <w:rPr>
        <w:lang w:val="pt-PT"/>
      </w:rPr>
      <w:t>8</w:t>
    </w:r>
    <w:r w:rsidRPr="0053034B">
      <w:rPr>
        <w:lang w:val="pt-PT"/>
      </w:rPr>
      <w:t>/</w:t>
    </w:r>
    <w:r>
      <w:rPr>
        <w:lang w:val="pt-PT"/>
      </w:rPr>
      <w:t>3</w:t>
    </w:r>
  </w:p>
  <w:p w:rsidR="00B3397B" w:rsidRPr="0053034B" w:rsidRDefault="00B3397B" w:rsidP="00AF24C3">
    <w:pPr>
      <w:jc w:val="right"/>
      <w:rPr>
        <w:lang w:val="pt-PT"/>
      </w:rPr>
    </w:pPr>
    <w:r w:rsidRPr="0053034B">
      <w:rPr>
        <w:lang w:val="pt-PT"/>
      </w:rPr>
      <w:t>p</w:t>
    </w:r>
    <w:r>
      <w:rPr>
        <w:lang w:val="pt-PT"/>
      </w:rPr>
      <w:t>ágina</w:t>
    </w:r>
    <w:r w:rsidRPr="0053034B">
      <w:rPr>
        <w:lang w:val="pt-PT"/>
      </w:rPr>
      <w:t xml:space="preserve"> </w:t>
    </w:r>
    <w:r>
      <w:fldChar w:fldCharType="begin"/>
    </w:r>
    <w:r w:rsidRPr="0053034B">
      <w:rPr>
        <w:lang w:val="pt-PT"/>
      </w:rPr>
      <w:instrText xml:space="preserve"> PAGE  \* MERGEFORMAT </w:instrText>
    </w:r>
    <w:r>
      <w:fldChar w:fldCharType="separate"/>
    </w:r>
    <w:r w:rsidR="00B24000">
      <w:rPr>
        <w:noProof/>
        <w:lang w:val="pt-PT"/>
      </w:rPr>
      <w:t>5</w:t>
    </w:r>
    <w:r>
      <w:fldChar w:fldCharType="end"/>
    </w:r>
  </w:p>
  <w:p w:rsidR="00B3397B" w:rsidRDefault="00B3397B" w:rsidP="00AF24C3">
    <w:pPr>
      <w:jc w:val="right"/>
      <w:rPr>
        <w:lang w:val="pt-PT"/>
      </w:rPr>
    </w:pPr>
  </w:p>
  <w:p w:rsidR="00B3397B" w:rsidRPr="0053034B" w:rsidRDefault="00B3397B" w:rsidP="00477D6B">
    <w:pPr>
      <w:jc w:val="right"/>
      <w:rPr>
        <w:lang w:val="pt-PT"/>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7B" w:rsidRDefault="00B3397B" w:rsidP="00AF24C3">
    <w:pPr>
      <w:jc w:val="right"/>
    </w:pPr>
    <w:r>
      <w:rPr>
        <w:noProof/>
        <w:lang w:val="en-US" w:eastAsia="en-US"/>
      </w:rPr>
      <mc:AlternateContent>
        <mc:Choice Requires="wps">
          <w:drawing>
            <wp:anchor distT="558800" distB="0" distL="114300" distR="114300" simplePos="0" relativeHeight="25166540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9"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397B" w:rsidRDefault="00B3397B" w:rsidP="002D1BB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3footer" o:spid="_x0000_s1034" type="#_x0000_t202" style="position:absolute;left:0;text-align:left;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BI/hEqgIAAGQFAAAOAAAAAAAAAAAAAAAA&#10;AC4CAABkcnMvZTJvRG9jLnhtbFBLAQItABQABgAIAAAAIQDN8vMo2gAAAAgBAAAPAAAAAAAAAAAA&#10;AAAAAAQFAABkcnMvZG93bnJldi54bWxQSwUGAAAAAAQABADzAAAACwYAAAAA&#10;" o:allowincell="f" filled="f" stroked="f" strokeweight=".5pt">
              <v:path arrowok="t"/>
              <v:textbox>
                <w:txbxContent>
                  <w:p w:rsidR="00B3397B" w:rsidRDefault="00B3397B" w:rsidP="002D1BB9">
                    <w:pPr>
                      <w:jc w:val="center"/>
                    </w:pPr>
                  </w:p>
                </w:txbxContent>
              </v:textbox>
              <w10:wrap anchorx="margin" anchory="margin"/>
            </v:shape>
          </w:pict>
        </mc:Fallback>
      </mc:AlternateContent>
    </w:r>
    <w:r>
      <w:t>H/LD/WG/8/3</w:t>
    </w:r>
  </w:p>
  <w:p w:rsidR="00B3397B" w:rsidRDefault="00B3397B" w:rsidP="00AF24C3">
    <w:pPr>
      <w:pStyle w:val="Header"/>
      <w:tabs>
        <w:tab w:val="clear" w:pos="9072"/>
      </w:tabs>
      <w:ind w:right="-1"/>
      <w:jc w:val="right"/>
    </w:pPr>
    <w:r w:rsidRPr="00791269">
      <w:t xml:space="preserve">ANEXO </w:t>
    </w:r>
    <w:r>
      <w:t>II</w:t>
    </w:r>
  </w:p>
  <w:p w:rsidR="00B3397B" w:rsidRDefault="00B3397B" w:rsidP="00AF24C3">
    <w:pPr>
      <w:pStyle w:val="Header"/>
      <w:jc w:val="right"/>
    </w:pPr>
  </w:p>
  <w:p w:rsidR="00B3397B" w:rsidRDefault="00B3397B" w:rsidP="00AF24C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6D073B"/>
    <w:multiLevelType w:val="multilevel"/>
    <w:tmpl w:val="45A06FD0"/>
    <w:lvl w:ilvl="0">
      <w:start w:val="1"/>
      <w:numFmt w:val="bullet"/>
      <w:lvlText w:val="–"/>
      <w:lvlJc w:val="left"/>
      <w:pPr>
        <w:tabs>
          <w:tab w:val="num" w:pos="567"/>
        </w:tabs>
        <w:ind w:left="0" w:firstLine="0"/>
      </w:pPr>
      <w:rPr>
        <w:rFonts w:ascii="Times New Roman" w:hAnsi="Times New Roma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554F3D"/>
    <w:multiLevelType w:val="hybridMultilevel"/>
    <w:tmpl w:val="52CA8A44"/>
    <w:lvl w:ilvl="0" w:tplc="D06A0F58">
      <w:start w:val="1"/>
      <w:numFmt w:val="upperRoman"/>
      <w:lvlText w:val="%1."/>
      <w:lvlJc w:val="right"/>
      <w:pPr>
        <w:ind w:left="927" w:hanging="360"/>
      </w:p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88"/>
    <w:rsid w:val="00010686"/>
    <w:rsid w:val="000337D3"/>
    <w:rsid w:val="00052915"/>
    <w:rsid w:val="00072059"/>
    <w:rsid w:val="00083754"/>
    <w:rsid w:val="000C3AEC"/>
    <w:rsid w:val="000E3BB3"/>
    <w:rsid w:val="000E4B95"/>
    <w:rsid w:val="000F5E56"/>
    <w:rsid w:val="000F7541"/>
    <w:rsid w:val="00116D88"/>
    <w:rsid w:val="001362EE"/>
    <w:rsid w:val="00140A28"/>
    <w:rsid w:val="00152CEA"/>
    <w:rsid w:val="001832A6"/>
    <w:rsid w:val="001C10C1"/>
    <w:rsid w:val="001D30DA"/>
    <w:rsid w:val="001D7F2F"/>
    <w:rsid w:val="001F3E69"/>
    <w:rsid w:val="00203174"/>
    <w:rsid w:val="00214D64"/>
    <w:rsid w:val="002634C4"/>
    <w:rsid w:val="002A2962"/>
    <w:rsid w:val="002B6CDC"/>
    <w:rsid w:val="002C2E2F"/>
    <w:rsid w:val="002D1BB9"/>
    <w:rsid w:val="002D33DC"/>
    <w:rsid w:val="002E0F47"/>
    <w:rsid w:val="002F4E68"/>
    <w:rsid w:val="00310826"/>
    <w:rsid w:val="00347EC5"/>
    <w:rsid w:val="00354647"/>
    <w:rsid w:val="003573AD"/>
    <w:rsid w:val="00367BB2"/>
    <w:rsid w:val="00377273"/>
    <w:rsid w:val="003845C1"/>
    <w:rsid w:val="00387287"/>
    <w:rsid w:val="003E48F1"/>
    <w:rsid w:val="003F347A"/>
    <w:rsid w:val="00423E3E"/>
    <w:rsid w:val="00426002"/>
    <w:rsid w:val="00427AF4"/>
    <w:rsid w:val="00432852"/>
    <w:rsid w:val="00446599"/>
    <w:rsid w:val="0045231F"/>
    <w:rsid w:val="004533E0"/>
    <w:rsid w:val="004647DA"/>
    <w:rsid w:val="0046793F"/>
    <w:rsid w:val="00477808"/>
    <w:rsid w:val="00477D6B"/>
    <w:rsid w:val="004A6C37"/>
    <w:rsid w:val="004E297D"/>
    <w:rsid w:val="004F3C3B"/>
    <w:rsid w:val="00503E3C"/>
    <w:rsid w:val="00505D9F"/>
    <w:rsid w:val="00531B02"/>
    <w:rsid w:val="005332F0"/>
    <w:rsid w:val="00536C3F"/>
    <w:rsid w:val="0055013B"/>
    <w:rsid w:val="00571B99"/>
    <w:rsid w:val="005930D8"/>
    <w:rsid w:val="005D45E2"/>
    <w:rsid w:val="005D5D88"/>
    <w:rsid w:val="005E7671"/>
    <w:rsid w:val="00601469"/>
    <w:rsid w:val="00604403"/>
    <w:rsid w:val="00605827"/>
    <w:rsid w:val="00675021"/>
    <w:rsid w:val="006A06C6"/>
    <w:rsid w:val="006D1DAD"/>
    <w:rsid w:val="007224C8"/>
    <w:rsid w:val="00747833"/>
    <w:rsid w:val="007800AD"/>
    <w:rsid w:val="00794BE2"/>
    <w:rsid w:val="007952E7"/>
    <w:rsid w:val="007A5581"/>
    <w:rsid w:val="007B71FE"/>
    <w:rsid w:val="007C39F0"/>
    <w:rsid w:val="007C4598"/>
    <w:rsid w:val="007D781E"/>
    <w:rsid w:val="007E04C1"/>
    <w:rsid w:val="007E663E"/>
    <w:rsid w:val="00815082"/>
    <w:rsid w:val="0082514A"/>
    <w:rsid w:val="00883787"/>
    <w:rsid w:val="0088395E"/>
    <w:rsid w:val="00891C60"/>
    <w:rsid w:val="008B2CC1"/>
    <w:rsid w:val="008E6BD6"/>
    <w:rsid w:val="0090731E"/>
    <w:rsid w:val="00946E57"/>
    <w:rsid w:val="00966A22"/>
    <w:rsid w:val="00972F03"/>
    <w:rsid w:val="009755EE"/>
    <w:rsid w:val="009761ED"/>
    <w:rsid w:val="009A0C8B"/>
    <w:rsid w:val="009A20CD"/>
    <w:rsid w:val="009A38E7"/>
    <w:rsid w:val="009B6241"/>
    <w:rsid w:val="00A041C6"/>
    <w:rsid w:val="00A16FC0"/>
    <w:rsid w:val="00A32C9E"/>
    <w:rsid w:val="00A631FF"/>
    <w:rsid w:val="00AB613D"/>
    <w:rsid w:val="00AE7F20"/>
    <w:rsid w:val="00AF0570"/>
    <w:rsid w:val="00AF24C3"/>
    <w:rsid w:val="00B02208"/>
    <w:rsid w:val="00B0367A"/>
    <w:rsid w:val="00B24000"/>
    <w:rsid w:val="00B3397B"/>
    <w:rsid w:val="00B534D5"/>
    <w:rsid w:val="00B65A0A"/>
    <w:rsid w:val="00B668D6"/>
    <w:rsid w:val="00B67CDC"/>
    <w:rsid w:val="00B72D36"/>
    <w:rsid w:val="00B873FE"/>
    <w:rsid w:val="00B875B3"/>
    <w:rsid w:val="00BA3335"/>
    <w:rsid w:val="00BB2431"/>
    <w:rsid w:val="00BC4164"/>
    <w:rsid w:val="00BD2DCC"/>
    <w:rsid w:val="00C06DC7"/>
    <w:rsid w:val="00C365EB"/>
    <w:rsid w:val="00C54E9A"/>
    <w:rsid w:val="00C90559"/>
    <w:rsid w:val="00C92161"/>
    <w:rsid w:val="00CA2251"/>
    <w:rsid w:val="00CF4AEF"/>
    <w:rsid w:val="00D56C7C"/>
    <w:rsid w:val="00D71B4D"/>
    <w:rsid w:val="00D81D9D"/>
    <w:rsid w:val="00D87B9D"/>
    <w:rsid w:val="00D90289"/>
    <w:rsid w:val="00D93D55"/>
    <w:rsid w:val="00DA05D8"/>
    <w:rsid w:val="00DC4C60"/>
    <w:rsid w:val="00E0079A"/>
    <w:rsid w:val="00E259E2"/>
    <w:rsid w:val="00E43E39"/>
    <w:rsid w:val="00E444DA"/>
    <w:rsid w:val="00E45C84"/>
    <w:rsid w:val="00E47BA9"/>
    <w:rsid w:val="00E504E5"/>
    <w:rsid w:val="00E55F38"/>
    <w:rsid w:val="00EA7182"/>
    <w:rsid w:val="00EB7A3E"/>
    <w:rsid w:val="00EC1AA7"/>
    <w:rsid w:val="00EC401A"/>
    <w:rsid w:val="00EE5F89"/>
    <w:rsid w:val="00EF530A"/>
    <w:rsid w:val="00EF6622"/>
    <w:rsid w:val="00EF78A9"/>
    <w:rsid w:val="00F11CFC"/>
    <w:rsid w:val="00F522EC"/>
    <w:rsid w:val="00F55408"/>
    <w:rsid w:val="00F66152"/>
    <w:rsid w:val="00F80845"/>
    <w:rsid w:val="00F84474"/>
    <w:rsid w:val="00FA0F0D"/>
    <w:rsid w:val="00FD0768"/>
    <w:rsid w:val="00FD59D1"/>
    <w:rsid w:val="00FD6CE8"/>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08E3A42E-D936-4B18-AC60-01453A4F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5D5D88"/>
    <w:rPr>
      <w:rFonts w:ascii="Arial" w:eastAsia="SimSun" w:hAnsi="Arial" w:cs="Arial"/>
      <w:sz w:val="18"/>
      <w:lang w:val="es-ES" w:eastAsia="zh-CN"/>
    </w:rPr>
  </w:style>
  <w:style w:type="character" w:styleId="FootnoteReference">
    <w:name w:val="footnote reference"/>
    <w:basedOn w:val="DefaultParagraphFont"/>
    <w:rsid w:val="005D5D88"/>
    <w:rPr>
      <w:vertAlign w:val="superscript"/>
    </w:rPr>
  </w:style>
  <w:style w:type="character" w:styleId="Hyperlink">
    <w:name w:val="Hyperlink"/>
    <w:basedOn w:val="DefaultParagraphFont"/>
    <w:unhideWhenUsed/>
    <w:rsid w:val="00140A28"/>
    <w:rPr>
      <w:color w:val="0000FF" w:themeColor="hyperlink"/>
      <w:u w:val="single"/>
    </w:rPr>
  </w:style>
  <w:style w:type="character" w:styleId="FollowedHyperlink">
    <w:name w:val="FollowedHyperlink"/>
    <w:basedOn w:val="DefaultParagraphFont"/>
    <w:semiHidden/>
    <w:unhideWhenUsed/>
    <w:rsid w:val="00140A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header" Target="header1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4.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chart" Target="charts/chart1.xml"/><Relationship Id="rId38" Type="http://schemas.openxmlformats.org/officeDocument/2006/relationships/header" Target="header15.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hague/es/not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nt.%20Regist\H%20LD%20WG%208%20(S).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[Chart in Microsoft Word]Pivot and Graph!PivotTable9</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DESIGNACIONES DE PARTES CONTRATANTES EN EL ACTA DE 1960:</a:t>
            </a:r>
            <a:r>
              <a:rPr lang="en-US" sz="1400" b="1">
                <a:effectLst/>
              </a:rPr>
              <a:t> DESIGNACIONES REGISTRADAS EN EL PRIMER SEMESTRE DE 2019, SEGÚN EL ACTA CORRESPONDIENTE</a:t>
            </a:r>
            <a:endParaRPr lang="en-US" sz="1400">
              <a:effectLst/>
            </a:endParaRPr>
          </a:p>
        </c:rich>
      </c:tx>
      <c:layout/>
      <c:overlay val="0"/>
      <c:spPr>
        <a:noFill/>
        <a:ln>
          <a:noFill/>
        </a:ln>
        <a:effectLst/>
      </c:spPr>
    </c:title>
    <c:autoTitleDeleted val="0"/>
    <c:pivotFmts>
      <c:pivotFmt>
        <c:idx val="0"/>
        <c:spPr>
          <a:solidFill>
            <a:schemeClr val="accent1"/>
          </a:solidFill>
          <a:ln>
            <a:noFill/>
          </a:ln>
          <a:effectLst/>
        </c:spPr>
        <c:marker>
          <c:symbol val="none"/>
        </c:marker>
      </c:pivotFmt>
      <c:pivotFmt>
        <c:idx val="1"/>
        <c:spPr>
          <a:solidFill>
            <a:schemeClr val="accent2"/>
          </a:solidFill>
          <a:ln>
            <a:noFill/>
          </a:ln>
          <a:effectLst/>
        </c:spPr>
        <c:marker>
          <c:symbol val="none"/>
        </c:marker>
      </c:pivotFmt>
    </c:pivotFmts>
    <c:plotArea>
      <c:layout/>
      <c:barChart>
        <c:barDir val="col"/>
        <c:grouping val="stacked"/>
        <c:varyColors val="0"/>
        <c:ser>
          <c:idx val="0"/>
          <c:order val="0"/>
          <c:tx>
            <c:strRef>
              <c:f>'Pivot and Graph'!$B$3:$B$4</c:f>
              <c:strCache>
                <c:ptCount val="1"/>
                <c:pt idx="0">
                  <c:v>Acta de 1999</c:v>
                </c:pt>
              </c:strCache>
            </c:strRef>
          </c:tx>
          <c:spPr>
            <a:solidFill>
              <a:schemeClr val="accent1"/>
            </a:solidFill>
            <a:ln>
              <a:noFill/>
            </a:ln>
            <a:effectLst/>
          </c:spPr>
          <c:invertIfNegative val="0"/>
          <c:cat>
            <c:strRef>
              <c:f>'Pivot and Graph'!$A$5:$A$35</c:f>
              <c:strCache>
                <c:ptCount val="30"/>
                <c:pt idx="0">
                  <c:v>AL</c:v>
                </c:pt>
                <c:pt idx="1">
                  <c:v>BG</c:v>
                </c:pt>
                <c:pt idx="2">
                  <c:v>BJ</c:v>
                </c:pt>
                <c:pt idx="3">
                  <c:v>BX</c:v>
                </c:pt>
                <c:pt idx="4">
                  <c:v>BZ</c:v>
                </c:pt>
                <c:pt idx="5">
                  <c:v>CH</c:v>
                </c:pt>
                <c:pt idx="6">
                  <c:v>CI</c:v>
                </c:pt>
                <c:pt idx="7">
                  <c:v>DE</c:v>
                </c:pt>
                <c:pt idx="8">
                  <c:v>FR</c:v>
                </c:pt>
                <c:pt idx="9">
                  <c:v>GA</c:v>
                </c:pt>
                <c:pt idx="10">
                  <c:v>GE</c:v>
                </c:pt>
                <c:pt idx="11">
                  <c:v>GR</c:v>
                </c:pt>
                <c:pt idx="12">
                  <c:v>HR</c:v>
                </c:pt>
                <c:pt idx="13">
                  <c:v>HU</c:v>
                </c:pt>
                <c:pt idx="14">
                  <c:v>IT</c:v>
                </c:pt>
                <c:pt idx="15">
                  <c:v>KG</c:v>
                </c:pt>
                <c:pt idx="16">
                  <c:v>KP</c:v>
                </c:pt>
                <c:pt idx="17">
                  <c:v>LI</c:v>
                </c:pt>
                <c:pt idx="18">
                  <c:v>MA</c:v>
                </c:pt>
                <c:pt idx="19">
                  <c:v>MC</c:v>
                </c:pt>
                <c:pt idx="20">
                  <c:v>MD</c:v>
                </c:pt>
                <c:pt idx="21">
                  <c:v>ME</c:v>
                </c:pt>
                <c:pt idx="22">
                  <c:v>MK</c:v>
                </c:pt>
                <c:pt idx="23">
                  <c:v>MN</c:v>
                </c:pt>
                <c:pt idx="24">
                  <c:v>RO</c:v>
                </c:pt>
                <c:pt idx="25">
                  <c:v>RS</c:v>
                </c:pt>
                <c:pt idx="26">
                  <c:v>SI</c:v>
                </c:pt>
                <c:pt idx="27">
                  <c:v>SN</c:v>
                </c:pt>
                <c:pt idx="28">
                  <c:v>SR</c:v>
                </c:pt>
                <c:pt idx="29">
                  <c:v>UA</c:v>
                </c:pt>
              </c:strCache>
            </c:strRef>
          </c:cat>
          <c:val>
            <c:numRef>
              <c:f>'Pivot and Graph'!$B$5:$B$35</c:f>
              <c:numCache>
                <c:formatCode>General</c:formatCode>
                <c:ptCount val="30"/>
                <c:pt idx="0">
                  <c:v>91</c:v>
                </c:pt>
                <c:pt idx="1">
                  <c:v>9</c:v>
                </c:pt>
                <c:pt idx="3">
                  <c:v>13</c:v>
                </c:pt>
                <c:pt idx="4">
                  <c:v>29</c:v>
                </c:pt>
                <c:pt idx="5">
                  <c:v>669</c:v>
                </c:pt>
                <c:pt idx="7">
                  <c:v>47</c:v>
                </c:pt>
                <c:pt idx="8">
                  <c:v>49</c:v>
                </c:pt>
                <c:pt idx="10">
                  <c:v>64</c:v>
                </c:pt>
                <c:pt idx="12">
                  <c:v>27</c:v>
                </c:pt>
                <c:pt idx="13">
                  <c:v>7</c:v>
                </c:pt>
                <c:pt idx="15">
                  <c:v>60</c:v>
                </c:pt>
                <c:pt idx="16">
                  <c:v>15</c:v>
                </c:pt>
                <c:pt idx="17">
                  <c:v>106</c:v>
                </c:pt>
                <c:pt idx="19">
                  <c:v>139</c:v>
                </c:pt>
                <c:pt idx="20">
                  <c:v>74</c:v>
                </c:pt>
                <c:pt idx="21">
                  <c:v>102</c:v>
                </c:pt>
                <c:pt idx="22">
                  <c:v>116</c:v>
                </c:pt>
                <c:pt idx="23">
                  <c:v>67</c:v>
                </c:pt>
                <c:pt idx="24">
                  <c:v>13</c:v>
                </c:pt>
                <c:pt idx="25">
                  <c:v>73</c:v>
                </c:pt>
                <c:pt idx="26">
                  <c:v>27</c:v>
                </c:pt>
                <c:pt idx="29">
                  <c:v>229</c:v>
                </c:pt>
              </c:numCache>
            </c:numRef>
          </c:val>
          <c:extLst>
            <c:ext xmlns:c16="http://schemas.microsoft.com/office/drawing/2014/chart" uri="{C3380CC4-5D6E-409C-BE32-E72D297353CC}">
              <c16:uniqueId val="{00000000-5423-421A-BEED-611A18A1FBB3}"/>
            </c:ext>
          </c:extLst>
        </c:ser>
        <c:ser>
          <c:idx val="1"/>
          <c:order val="1"/>
          <c:tx>
            <c:strRef>
              <c:f>'Pivot and Graph'!$C$3:$C$4</c:f>
              <c:strCache>
                <c:ptCount val="1"/>
                <c:pt idx="0">
                  <c:v>Acta de 1960</c:v>
                </c:pt>
              </c:strCache>
            </c:strRef>
          </c:tx>
          <c:spPr>
            <a:solidFill>
              <a:schemeClr val="accent2"/>
            </a:solidFill>
            <a:ln>
              <a:noFill/>
            </a:ln>
            <a:effectLst/>
          </c:spPr>
          <c:invertIfNegative val="0"/>
          <c:cat>
            <c:strRef>
              <c:f>'Pivot and Graph'!$A$5:$A$35</c:f>
              <c:strCache>
                <c:ptCount val="30"/>
                <c:pt idx="0">
                  <c:v>AL</c:v>
                </c:pt>
                <c:pt idx="1">
                  <c:v>BG</c:v>
                </c:pt>
                <c:pt idx="2">
                  <c:v>BJ</c:v>
                </c:pt>
                <c:pt idx="3">
                  <c:v>BX</c:v>
                </c:pt>
                <c:pt idx="4">
                  <c:v>BZ</c:v>
                </c:pt>
                <c:pt idx="5">
                  <c:v>CH</c:v>
                </c:pt>
                <c:pt idx="6">
                  <c:v>CI</c:v>
                </c:pt>
                <c:pt idx="7">
                  <c:v>DE</c:v>
                </c:pt>
                <c:pt idx="8">
                  <c:v>FR</c:v>
                </c:pt>
                <c:pt idx="9">
                  <c:v>GA</c:v>
                </c:pt>
                <c:pt idx="10">
                  <c:v>GE</c:v>
                </c:pt>
                <c:pt idx="11">
                  <c:v>GR</c:v>
                </c:pt>
                <c:pt idx="12">
                  <c:v>HR</c:v>
                </c:pt>
                <c:pt idx="13">
                  <c:v>HU</c:v>
                </c:pt>
                <c:pt idx="14">
                  <c:v>IT</c:v>
                </c:pt>
                <c:pt idx="15">
                  <c:v>KG</c:v>
                </c:pt>
                <c:pt idx="16">
                  <c:v>KP</c:v>
                </c:pt>
                <c:pt idx="17">
                  <c:v>LI</c:v>
                </c:pt>
                <c:pt idx="18">
                  <c:v>MA</c:v>
                </c:pt>
                <c:pt idx="19">
                  <c:v>MC</c:v>
                </c:pt>
                <c:pt idx="20">
                  <c:v>MD</c:v>
                </c:pt>
                <c:pt idx="21">
                  <c:v>ME</c:v>
                </c:pt>
                <c:pt idx="22">
                  <c:v>MK</c:v>
                </c:pt>
                <c:pt idx="23">
                  <c:v>MN</c:v>
                </c:pt>
                <c:pt idx="24">
                  <c:v>RO</c:v>
                </c:pt>
                <c:pt idx="25">
                  <c:v>RS</c:v>
                </c:pt>
                <c:pt idx="26">
                  <c:v>SI</c:v>
                </c:pt>
                <c:pt idx="27">
                  <c:v>SN</c:v>
                </c:pt>
                <c:pt idx="28">
                  <c:v>SR</c:v>
                </c:pt>
                <c:pt idx="29">
                  <c:v>UA</c:v>
                </c:pt>
              </c:strCache>
            </c:strRef>
          </c:cat>
          <c:val>
            <c:numRef>
              <c:f>'Pivot and Graph'!$C$5:$C$35</c:f>
              <c:numCache>
                <c:formatCode>General</c:formatCode>
                <c:ptCount val="30"/>
                <c:pt idx="2">
                  <c:v>5</c:v>
                </c:pt>
                <c:pt idx="3">
                  <c:v>11</c:v>
                </c:pt>
                <c:pt idx="4">
                  <c:v>22</c:v>
                </c:pt>
                <c:pt idx="6">
                  <c:v>6</c:v>
                </c:pt>
                <c:pt idx="9">
                  <c:v>4</c:v>
                </c:pt>
                <c:pt idx="11">
                  <c:v>25</c:v>
                </c:pt>
                <c:pt idx="14">
                  <c:v>26</c:v>
                </c:pt>
                <c:pt idx="18">
                  <c:v>158</c:v>
                </c:pt>
                <c:pt idx="27">
                  <c:v>6</c:v>
                </c:pt>
                <c:pt idx="28">
                  <c:v>5</c:v>
                </c:pt>
              </c:numCache>
            </c:numRef>
          </c:val>
          <c:extLst>
            <c:ext xmlns:c16="http://schemas.microsoft.com/office/drawing/2014/chart" uri="{C3380CC4-5D6E-409C-BE32-E72D297353CC}">
              <c16:uniqueId val="{00000001-5423-421A-BEED-611A18A1FBB3}"/>
            </c:ext>
          </c:extLst>
        </c:ser>
        <c:dLbls>
          <c:showLegendKey val="0"/>
          <c:showVal val="0"/>
          <c:showCatName val="0"/>
          <c:showSerName val="0"/>
          <c:showPercent val="0"/>
          <c:showBubbleSize val="0"/>
        </c:dLbls>
        <c:gapWidth val="150"/>
        <c:overlap val="100"/>
        <c:axId val="1278785151"/>
        <c:axId val="1"/>
      </c:barChart>
      <c:catAx>
        <c:axId val="1278785151"/>
        <c:scaling>
          <c:orientation val="minMax"/>
        </c:scaling>
        <c:delete val="0"/>
        <c:axPos val="b"/>
        <c:title>
          <c:tx>
            <c:rich>
              <a:bodyPr/>
              <a:lstStyle/>
              <a:p>
                <a:pPr>
                  <a:defRPr sz="1000" b="0" i="0" u="none" strike="noStrike" baseline="0">
                    <a:solidFill>
                      <a:srgbClr val="333333"/>
                    </a:solidFill>
                    <a:latin typeface="Calibri"/>
                    <a:ea typeface="Calibri"/>
                    <a:cs typeface="Calibri"/>
                  </a:defRPr>
                </a:pPr>
                <a:r>
                  <a:rPr lang="es-ES_tradnl" sz="1000" b="0" i="0" u="none" strike="noStrike" baseline="0">
                    <a:effectLst/>
                  </a:rPr>
                  <a:t>Partes Contratantes</a:t>
                </a:r>
                <a:endParaRPr lang="en-US"/>
              </a:p>
            </c:rich>
          </c:tx>
          <c:layout>
            <c:manualLayout>
              <c:xMode val="edge"/>
              <c:yMode val="edge"/>
              <c:x val="0.42052332653975311"/>
              <c:y val="0.9418259382497282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0"/>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Calibri"/>
                    <a:ea typeface="Calibri"/>
                    <a:cs typeface="Calibri"/>
                  </a:defRPr>
                </a:pPr>
                <a:r>
                  <a:rPr lang="es-ES_tradnl" sz="1000" b="0" i="0" u="none" strike="noStrike" baseline="0">
                    <a:effectLst/>
                  </a:rPr>
                  <a:t>Número de designaciones</a:t>
                </a:r>
                <a:endParaRPr lang="en-US"/>
              </a:p>
            </c:rich>
          </c:tx>
          <c:layout>
            <c:manualLayout>
              <c:xMode val="edge"/>
              <c:yMode val="edge"/>
              <c:x val="9.4244362167620332E-3"/>
              <c:y val="0.36699844665081005"/>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8785151"/>
        <c:crosses val="autoZero"/>
        <c:crossBetween val="between"/>
      </c:valAx>
      <c:spPr>
        <a:noFill/>
        <a:ln w="25399">
          <a:noFill/>
        </a:ln>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H LD WG 8 (S)</Template>
  <TotalTime>2</TotalTime>
  <Pages>12</Pages>
  <Words>2682</Words>
  <Characters>12658</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H/LD/WG/8/3</vt:lpstr>
    </vt:vector>
  </TitlesOfParts>
  <Company>WIPO</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H/LD/WG/8/3</dc:title>
  <dc:subject/>
  <dc:creator>CEVALLOS DUQUE Nilo</dc:creator>
  <cp:keywords>FOR OFFICIAL USE ONLY</cp:keywords>
  <dc:description/>
  <cp:lastModifiedBy>FRICOT Karine</cp:lastModifiedBy>
  <cp:revision>3</cp:revision>
  <cp:lastPrinted>2019-09-17T10:02:00Z</cp:lastPrinted>
  <dcterms:created xsi:type="dcterms:W3CDTF">2019-09-17T15:21:00Z</dcterms:created>
  <dcterms:modified xsi:type="dcterms:W3CDTF">2019-09-17T16:17:00Z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f7730c23-5e7f-4c47-8095-93084bad924f</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