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BC00BC" w:rsidRPr="00BC00BC" w:rsidTr="004B423D">
        <w:trPr>
          <w:trHeight w:val="1977"/>
        </w:trPr>
        <w:tc>
          <w:tcPr>
            <w:tcW w:w="4594" w:type="dxa"/>
            <w:tcBorders>
              <w:bottom w:val="single" w:sz="4" w:space="0" w:color="auto"/>
            </w:tcBorders>
            <w:tcMar>
              <w:bottom w:w="170" w:type="dxa"/>
            </w:tcMar>
          </w:tcPr>
          <w:p w:rsidR="00BC00BC" w:rsidRPr="00BC00BC" w:rsidRDefault="00BC00BC" w:rsidP="00BC00BC">
            <w:pPr>
              <w:rPr>
                <w:rFonts w:ascii="Arial" w:hAnsi="Arial" w:cs="Arial"/>
                <w:lang w:val="en-US" w:bidi="ar-SA"/>
              </w:rPr>
            </w:pPr>
            <w:r w:rsidRPr="00BC00BC">
              <w:rPr>
                <w:rFonts w:ascii="Arial" w:hAnsi="Arial" w:cs="Arial"/>
                <w:noProof/>
                <w:lang w:val="en-US" w:bidi="ar-SA"/>
              </w:rPr>
              <w:drawing>
                <wp:anchor distT="0" distB="0" distL="114300" distR="114300" simplePos="0" relativeHeight="251662848" behindDoc="1" locked="0" layoutInCell="0" allowOverlap="1" wp14:anchorId="02D9AFEE" wp14:editId="743EFF18">
                  <wp:simplePos x="0" y="0"/>
                  <wp:positionH relativeFrom="page">
                    <wp:posOffset>3834130</wp:posOffset>
                  </wp:positionH>
                  <wp:positionV relativeFrom="margin">
                    <wp:posOffset>0</wp:posOffset>
                  </wp:positionV>
                  <wp:extent cx="866775" cy="1323975"/>
                  <wp:effectExtent l="0" t="0" r="9525" b="9525"/>
                  <wp:wrapNone/>
                  <wp:docPr id="8" name="图片 8"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C00BC" w:rsidRPr="00BC00BC" w:rsidRDefault="00BC00BC" w:rsidP="00BC00BC">
            <w:pPr>
              <w:jc w:val="left"/>
              <w:rPr>
                <w:rFonts w:ascii="Arial" w:hAnsi="Arial" w:cs="Arial"/>
                <w:lang w:val="en-US" w:bidi="ar-SA"/>
              </w:rPr>
            </w:pPr>
          </w:p>
        </w:tc>
        <w:tc>
          <w:tcPr>
            <w:tcW w:w="425" w:type="dxa"/>
            <w:tcBorders>
              <w:bottom w:val="single" w:sz="4" w:space="0" w:color="auto"/>
            </w:tcBorders>
            <w:tcMar>
              <w:left w:w="0" w:type="dxa"/>
              <w:right w:w="0" w:type="dxa"/>
            </w:tcMar>
          </w:tcPr>
          <w:p w:rsidR="00BC00BC" w:rsidRPr="00BC00BC" w:rsidRDefault="00BC00BC" w:rsidP="00BC00BC">
            <w:pPr>
              <w:jc w:val="right"/>
              <w:rPr>
                <w:rFonts w:ascii="Arial" w:hAnsi="Arial" w:cs="Arial"/>
                <w:lang w:val="en-US" w:bidi="ar-SA"/>
              </w:rPr>
            </w:pPr>
            <w:r w:rsidRPr="00BC00BC">
              <w:rPr>
                <w:rFonts w:ascii="Arial" w:hAnsi="Arial" w:cs="Arial"/>
                <w:b/>
                <w:sz w:val="40"/>
                <w:szCs w:val="40"/>
                <w:lang w:val="en-US" w:bidi="ar-SA"/>
              </w:rPr>
              <w:t>C</w:t>
            </w:r>
          </w:p>
        </w:tc>
      </w:tr>
      <w:tr w:rsidR="00BC00BC" w:rsidRPr="00BC00BC" w:rsidTr="004B423D">
        <w:trPr>
          <w:trHeight w:hRule="exact" w:val="340"/>
        </w:trPr>
        <w:tc>
          <w:tcPr>
            <w:tcW w:w="9356" w:type="dxa"/>
            <w:gridSpan w:val="3"/>
            <w:tcBorders>
              <w:top w:val="single" w:sz="4" w:space="0" w:color="auto"/>
            </w:tcBorders>
            <w:tcMar>
              <w:top w:w="170" w:type="dxa"/>
              <w:left w:w="0" w:type="dxa"/>
              <w:right w:w="0" w:type="dxa"/>
            </w:tcMar>
            <w:vAlign w:val="bottom"/>
          </w:tcPr>
          <w:p w:rsidR="00BC00BC" w:rsidRPr="00BC00BC" w:rsidRDefault="00BC00BC" w:rsidP="00BC00BC">
            <w:pPr>
              <w:jc w:val="right"/>
              <w:rPr>
                <w:rFonts w:ascii="Arial Black" w:hAnsi="Arial Black" w:cs="Arial"/>
                <w:caps/>
                <w:sz w:val="15"/>
                <w:lang w:val="en-US" w:bidi="ar-SA"/>
              </w:rPr>
            </w:pPr>
            <w:r w:rsidRPr="00BC00BC">
              <w:rPr>
                <w:rFonts w:ascii="Arial Black" w:hAnsi="Arial Black" w:cs="Arial"/>
                <w:caps/>
                <w:sz w:val="15"/>
                <w:lang w:val="en-US" w:bidi="ar-SA"/>
              </w:rPr>
              <w:t>A/5</w:t>
            </w:r>
            <w:r w:rsidRPr="00BC00BC">
              <w:rPr>
                <w:rFonts w:ascii="Arial Black" w:hAnsi="Arial Black" w:cs="Arial" w:hint="eastAsia"/>
                <w:caps/>
                <w:sz w:val="15"/>
                <w:lang w:val="en-US" w:bidi="ar-SA"/>
              </w:rPr>
              <w:t>6</w:t>
            </w:r>
            <w:r w:rsidRPr="00BC00BC">
              <w:rPr>
                <w:rFonts w:ascii="Arial Black" w:hAnsi="Arial Black" w:cs="Arial"/>
                <w:caps/>
                <w:sz w:val="15"/>
                <w:lang w:val="en-US" w:bidi="ar-SA"/>
              </w:rPr>
              <w:t>/</w:t>
            </w:r>
            <w:bookmarkStart w:id="0" w:name="Code"/>
            <w:bookmarkEnd w:id="0"/>
            <w:r>
              <w:rPr>
                <w:rFonts w:ascii="Arial Black" w:hAnsi="Arial Black" w:cs="Arial" w:hint="eastAsia"/>
                <w:caps/>
                <w:sz w:val="15"/>
                <w:lang w:val="en-US" w:bidi="ar-SA"/>
              </w:rPr>
              <w:t>7</w:t>
            </w:r>
          </w:p>
        </w:tc>
      </w:tr>
      <w:tr w:rsidR="00BC00BC" w:rsidRPr="00BC00BC" w:rsidTr="004B423D">
        <w:trPr>
          <w:trHeight w:hRule="exact" w:val="170"/>
        </w:trPr>
        <w:tc>
          <w:tcPr>
            <w:tcW w:w="9356" w:type="dxa"/>
            <w:gridSpan w:val="3"/>
            <w:noWrap/>
            <w:tcMar>
              <w:left w:w="0" w:type="dxa"/>
              <w:right w:w="0" w:type="dxa"/>
            </w:tcMar>
            <w:vAlign w:val="bottom"/>
          </w:tcPr>
          <w:p w:rsidR="00BC00BC" w:rsidRPr="00BC00BC" w:rsidRDefault="00BC00BC" w:rsidP="00BC00BC">
            <w:pPr>
              <w:jc w:val="right"/>
              <w:rPr>
                <w:rFonts w:ascii="Arial Black" w:hAnsi="Arial Black" w:cs="Arial"/>
                <w:b/>
                <w:caps/>
                <w:sz w:val="15"/>
                <w:szCs w:val="15"/>
                <w:lang w:val="en-US" w:bidi="ar-SA"/>
              </w:rPr>
            </w:pPr>
            <w:r w:rsidRPr="00BC00BC">
              <w:rPr>
                <w:rFonts w:ascii="Arial" w:eastAsia="SimHei" w:hAnsi="Arial" w:cs="Arial" w:hint="eastAsia"/>
                <w:b/>
                <w:sz w:val="15"/>
                <w:szCs w:val="15"/>
                <w:lang w:val="en-US" w:bidi="ar-SA"/>
              </w:rPr>
              <w:t>原</w:t>
            </w:r>
            <w:r w:rsidRPr="00BC00BC">
              <w:rPr>
                <w:rFonts w:ascii="Arial" w:eastAsia="SimHei" w:hAnsi="Arial" w:cs="Arial"/>
                <w:b/>
                <w:sz w:val="15"/>
                <w:szCs w:val="15"/>
                <w:lang w:val="pt-BR" w:bidi="ar-SA"/>
              </w:rPr>
              <w:t xml:space="preserve"> </w:t>
            </w:r>
            <w:r w:rsidRPr="00BC00BC">
              <w:rPr>
                <w:rFonts w:ascii="Arial" w:eastAsia="SimHei" w:hAnsi="Arial" w:cs="Arial" w:hint="eastAsia"/>
                <w:b/>
                <w:sz w:val="15"/>
                <w:szCs w:val="15"/>
                <w:lang w:val="en-US" w:bidi="ar-SA"/>
              </w:rPr>
              <w:t>文</w:t>
            </w:r>
            <w:r w:rsidRPr="00BC00BC">
              <w:rPr>
                <w:rFonts w:ascii="Arial" w:eastAsia="SimHei" w:hAnsi="Arial" w:cs="Arial" w:hint="eastAsia"/>
                <w:b/>
                <w:sz w:val="15"/>
                <w:szCs w:val="15"/>
                <w:lang w:val="pt-BR" w:bidi="ar-SA"/>
              </w:rPr>
              <w:t>：</w:t>
            </w:r>
            <w:bookmarkStart w:id="1" w:name="Original"/>
            <w:bookmarkEnd w:id="1"/>
            <w:r w:rsidRPr="00BC00BC">
              <w:rPr>
                <w:rFonts w:ascii="Arial" w:eastAsia="SimHei" w:hAnsi="Arial" w:cs="Arial" w:hint="eastAsia"/>
                <w:b/>
                <w:sz w:val="15"/>
                <w:szCs w:val="15"/>
                <w:lang w:val="pt-BR" w:bidi="ar-SA"/>
              </w:rPr>
              <w:t>英</w:t>
            </w:r>
            <w:r w:rsidRPr="00BC00BC">
              <w:rPr>
                <w:rFonts w:ascii="Arial" w:eastAsia="SimHei" w:hAnsi="Arial" w:cs="Arial" w:hint="eastAsia"/>
                <w:b/>
                <w:sz w:val="15"/>
                <w:szCs w:val="15"/>
                <w:lang w:val="en-US" w:bidi="ar-SA"/>
              </w:rPr>
              <w:t>文</w:t>
            </w:r>
          </w:p>
        </w:tc>
      </w:tr>
      <w:tr w:rsidR="00BC00BC" w:rsidRPr="00BC00BC" w:rsidTr="004B423D">
        <w:trPr>
          <w:trHeight w:hRule="exact" w:val="198"/>
        </w:trPr>
        <w:tc>
          <w:tcPr>
            <w:tcW w:w="9356" w:type="dxa"/>
            <w:gridSpan w:val="3"/>
            <w:tcMar>
              <w:left w:w="0" w:type="dxa"/>
              <w:right w:w="0" w:type="dxa"/>
            </w:tcMar>
            <w:vAlign w:val="bottom"/>
          </w:tcPr>
          <w:p w:rsidR="00BC00BC" w:rsidRPr="00BC00BC" w:rsidRDefault="00BC00BC" w:rsidP="00BC00BC">
            <w:pPr>
              <w:jc w:val="right"/>
              <w:rPr>
                <w:rFonts w:ascii="SimHei" w:eastAsia="SimHei" w:hAnsi="Arial Black" w:cs="Arial"/>
                <w:b/>
                <w:caps/>
                <w:sz w:val="15"/>
                <w:szCs w:val="15"/>
                <w:lang w:val="en-US" w:bidi="ar-SA"/>
              </w:rPr>
            </w:pPr>
            <w:r w:rsidRPr="00BC00BC">
              <w:rPr>
                <w:rFonts w:ascii="SimHei" w:eastAsia="SimHei" w:hAnsi="Arial" w:cs="Arial" w:hint="eastAsia"/>
                <w:b/>
                <w:sz w:val="15"/>
                <w:szCs w:val="15"/>
                <w:lang w:val="en-US" w:bidi="ar-SA"/>
              </w:rPr>
              <w:t>日</w:t>
            </w:r>
            <w:r w:rsidRPr="00BC00BC">
              <w:rPr>
                <w:rFonts w:ascii="SimHei" w:eastAsia="SimHei" w:hAnsi="Arial" w:cs="Arial" w:hint="eastAsia"/>
                <w:b/>
                <w:sz w:val="15"/>
                <w:szCs w:val="15"/>
                <w:lang w:val="pt-BR" w:bidi="ar-SA"/>
              </w:rPr>
              <w:t xml:space="preserve"> </w:t>
            </w:r>
            <w:r w:rsidRPr="00BC00BC">
              <w:rPr>
                <w:rFonts w:ascii="SimHei" w:eastAsia="SimHei" w:hAnsi="Arial" w:cs="Arial" w:hint="eastAsia"/>
                <w:b/>
                <w:sz w:val="15"/>
                <w:szCs w:val="15"/>
                <w:lang w:val="en-US" w:bidi="ar-SA"/>
              </w:rPr>
              <w:t>期</w:t>
            </w:r>
            <w:r w:rsidRPr="00BC00BC">
              <w:rPr>
                <w:rFonts w:ascii="SimHei" w:eastAsia="SimHei" w:cs="Arial" w:hint="eastAsia"/>
                <w:b/>
                <w:sz w:val="15"/>
                <w:szCs w:val="15"/>
                <w:lang w:val="pt-BR" w:bidi="ar-SA"/>
              </w:rPr>
              <w:t>：</w:t>
            </w:r>
            <w:bookmarkStart w:id="2" w:name="Date"/>
            <w:bookmarkEnd w:id="2"/>
            <w:r w:rsidRPr="00BC00BC">
              <w:rPr>
                <w:rFonts w:ascii="Arial Black" w:eastAsia="SimHei" w:hAnsi="Arial Black" w:cs="Arial"/>
                <w:b/>
                <w:sz w:val="15"/>
                <w:szCs w:val="15"/>
                <w:lang w:val="pt-BR" w:bidi="ar-SA"/>
              </w:rPr>
              <w:t>201</w:t>
            </w:r>
            <w:r w:rsidRPr="00BC00BC">
              <w:rPr>
                <w:rFonts w:ascii="Arial Black" w:eastAsia="SimHei" w:hAnsi="Arial Black" w:cs="Arial" w:hint="eastAsia"/>
                <w:b/>
                <w:sz w:val="15"/>
                <w:szCs w:val="15"/>
                <w:lang w:val="pt-BR" w:bidi="ar-SA"/>
              </w:rPr>
              <w:t>6</w:t>
            </w:r>
            <w:r w:rsidRPr="00BC00BC">
              <w:rPr>
                <w:rFonts w:ascii="SimHei" w:eastAsia="SimHei" w:hAnsi="Times New Roman" w:cs="Arial" w:hint="eastAsia"/>
                <w:b/>
                <w:sz w:val="15"/>
                <w:szCs w:val="15"/>
                <w:lang w:val="en-US" w:bidi="ar-SA"/>
              </w:rPr>
              <w:t>年</w:t>
            </w:r>
            <w:r w:rsidRPr="00BC00BC">
              <w:rPr>
                <w:rFonts w:ascii="Arial Black" w:eastAsia="SimHei" w:hAnsi="Arial Black" w:cs="Arial" w:hint="eastAsia"/>
                <w:b/>
                <w:sz w:val="15"/>
                <w:szCs w:val="15"/>
                <w:lang w:val="pt-BR" w:bidi="ar-SA"/>
              </w:rPr>
              <w:t>8</w:t>
            </w:r>
            <w:r w:rsidRPr="00BC00BC">
              <w:rPr>
                <w:rFonts w:ascii="SimHei" w:eastAsia="SimHei" w:hAnsi="Times New Roman" w:cs="Arial" w:hint="eastAsia"/>
                <w:b/>
                <w:sz w:val="15"/>
                <w:szCs w:val="15"/>
                <w:lang w:val="en-US" w:bidi="ar-SA"/>
              </w:rPr>
              <w:t>月</w:t>
            </w:r>
            <w:r w:rsidRPr="00BC00BC">
              <w:rPr>
                <w:rFonts w:ascii="Arial Black" w:eastAsia="SimHei" w:hAnsi="Arial Black" w:cs="Arial" w:hint="eastAsia"/>
                <w:b/>
                <w:sz w:val="15"/>
                <w:szCs w:val="15"/>
                <w:lang w:val="pt-BR" w:bidi="ar-SA"/>
              </w:rPr>
              <w:t>2</w:t>
            </w:r>
            <w:r w:rsidRPr="00BC00BC">
              <w:rPr>
                <w:rFonts w:ascii="SimHei" w:eastAsia="SimHei" w:hAnsi="Times New Roman" w:cs="Arial" w:hint="eastAsia"/>
                <w:b/>
                <w:sz w:val="15"/>
                <w:szCs w:val="15"/>
                <w:lang w:val="en-US" w:bidi="ar-SA"/>
              </w:rPr>
              <w:t>日</w:t>
            </w:r>
            <w:r w:rsidRPr="00BC00BC">
              <w:rPr>
                <w:rFonts w:ascii="SimHei" w:eastAsia="SimHei" w:hAnsi="Arial Black" w:cs="Arial" w:hint="eastAsia"/>
                <w:b/>
                <w:caps/>
                <w:sz w:val="15"/>
                <w:szCs w:val="15"/>
                <w:lang w:val="en-US" w:bidi="ar-SA"/>
              </w:rPr>
              <w:t xml:space="preserve">  </w:t>
            </w:r>
          </w:p>
        </w:tc>
      </w:tr>
    </w:tbl>
    <w:p w:rsidR="00BC00BC" w:rsidRPr="00BC00BC" w:rsidRDefault="00BC00BC" w:rsidP="00BC00BC">
      <w:pPr>
        <w:jc w:val="left"/>
        <w:rPr>
          <w:rFonts w:ascii="Arial" w:hAnsi="Arial" w:cs="Arial"/>
          <w:lang w:val="en-US" w:bidi="ar-SA"/>
        </w:rPr>
      </w:pPr>
    </w:p>
    <w:p w:rsidR="00BC00BC" w:rsidRPr="00BC00BC" w:rsidRDefault="00BC00BC" w:rsidP="00BC00BC">
      <w:pPr>
        <w:jc w:val="left"/>
        <w:rPr>
          <w:rFonts w:ascii="Arial" w:hAnsi="Arial" w:cs="Arial"/>
          <w:lang w:val="en-US" w:bidi="ar-SA"/>
        </w:rPr>
      </w:pPr>
    </w:p>
    <w:p w:rsidR="00BC00BC" w:rsidRPr="00BC00BC" w:rsidRDefault="00BC00BC" w:rsidP="00BC00BC">
      <w:pPr>
        <w:jc w:val="left"/>
        <w:rPr>
          <w:rFonts w:ascii="Arial" w:hAnsi="Arial" w:cs="Arial"/>
          <w:lang w:val="en-US" w:bidi="ar-SA"/>
        </w:rPr>
      </w:pPr>
    </w:p>
    <w:p w:rsidR="00BC00BC" w:rsidRPr="00BC00BC" w:rsidRDefault="00BC00BC" w:rsidP="00BC00BC">
      <w:pPr>
        <w:jc w:val="left"/>
        <w:rPr>
          <w:rFonts w:ascii="Arial" w:hAnsi="Arial" w:cs="Arial"/>
          <w:lang w:val="en-US" w:bidi="ar-SA"/>
        </w:rPr>
      </w:pPr>
    </w:p>
    <w:p w:rsidR="00BC00BC" w:rsidRPr="00BC00BC" w:rsidRDefault="00BC00BC" w:rsidP="00BC00BC">
      <w:pPr>
        <w:jc w:val="left"/>
        <w:rPr>
          <w:rFonts w:ascii="Arial" w:hAnsi="Arial" w:cs="Arial"/>
          <w:lang w:val="en-US" w:bidi="ar-SA"/>
        </w:rPr>
      </w:pPr>
    </w:p>
    <w:p w:rsidR="00BC00BC" w:rsidRPr="00BC00BC" w:rsidRDefault="00BC00BC" w:rsidP="00BC00BC">
      <w:pPr>
        <w:jc w:val="left"/>
        <w:rPr>
          <w:rFonts w:ascii="SimHei" w:eastAsia="SimHei" w:hAnsi="Arial" w:cs="Arial"/>
          <w:sz w:val="28"/>
          <w:szCs w:val="28"/>
          <w:lang w:val="en-US" w:bidi="ar-SA"/>
        </w:rPr>
      </w:pPr>
      <w:r w:rsidRPr="00BC00BC">
        <w:rPr>
          <w:rFonts w:ascii="SimHei" w:eastAsia="SimHei" w:hAnsi="Arial" w:cs="Arial" w:hint="eastAsia"/>
          <w:sz w:val="28"/>
          <w:szCs w:val="28"/>
          <w:lang w:val="en-US" w:bidi="ar-SA"/>
        </w:rPr>
        <w:t>世界知识产权组织成员国大会</w:t>
      </w:r>
    </w:p>
    <w:p w:rsidR="00BC00BC" w:rsidRPr="00BC00BC" w:rsidRDefault="00BC00BC" w:rsidP="00BC00BC">
      <w:pPr>
        <w:jc w:val="left"/>
        <w:rPr>
          <w:rFonts w:ascii="Arial" w:hAnsi="Arial" w:cs="Arial"/>
          <w:lang w:val="en-US" w:bidi="ar-SA"/>
        </w:rPr>
      </w:pPr>
    </w:p>
    <w:p w:rsidR="00BC00BC" w:rsidRPr="00BC00BC" w:rsidRDefault="00BC00BC" w:rsidP="00BC00BC">
      <w:pPr>
        <w:jc w:val="left"/>
        <w:rPr>
          <w:rFonts w:ascii="Arial" w:hAnsi="Arial" w:cs="Arial"/>
          <w:lang w:val="en-US" w:bidi="ar-SA"/>
        </w:rPr>
      </w:pPr>
    </w:p>
    <w:p w:rsidR="00BC00BC" w:rsidRPr="00BC00BC" w:rsidRDefault="00BC00BC" w:rsidP="00BC00BC">
      <w:pPr>
        <w:jc w:val="left"/>
        <w:textAlignment w:val="bottom"/>
        <w:rPr>
          <w:rFonts w:ascii="KaiTi" w:eastAsia="KaiTi" w:hAnsi="Arial" w:cs="Arial"/>
          <w:b/>
          <w:sz w:val="24"/>
          <w:szCs w:val="24"/>
          <w:lang w:val="en-US" w:bidi="ar-SA"/>
        </w:rPr>
      </w:pPr>
      <w:r w:rsidRPr="00BC00BC">
        <w:rPr>
          <w:rFonts w:ascii="KaiTi" w:eastAsia="KaiTi" w:hAnsi="Arial" w:cs="Arial" w:hint="eastAsia"/>
          <w:b/>
          <w:sz w:val="24"/>
          <w:szCs w:val="24"/>
          <w:lang w:val="en-US" w:bidi="ar-SA"/>
        </w:rPr>
        <w:t>第五十六届系列会议</w:t>
      </w:r>
    </w:p>
    <w:p w:rsidR="00BC00BC" w:rsidRPr="00BC00BC" w:rsidRDefault="00BC00BC" w:rsidP="00BC00BC">
      <w:pPr>
        <w:jc w:val="left"/>
        <w:textAlignment w:val="bottom"/>
        <w:rPr>
          <w:rFonts w:ascii="KaiTi" w:eastAsia="KaiTi" w:hAnsi="KaiTi" w:cs="Arial"/>
          <w:b/>
          <w:sz w:val="24"/>
          <w:szCs w:val="24"/>
          <w:lang w:val="en-US" w:bidi="ar-SA"/>
        </w:rPr>
      </w:pPr>
      <w:r w:rsidRPr="00BC00BC">
        <w:rPr>
          <w:rFonts w:ascii="KaiTi" w:eastAsia="KaiTi" w:hAnsi="KaiTi" w:cs="Arial" w:hint="eastAsia"/>
          <w:sz w:val="24"/>
          <w:szCs w:val="24"/>
          <w:lang w:val="en-US" w:bidi="ar-SA"/>
        </w:rPr>
        <w:t>2016</w:t>
      </w:r>
      <w:r w:rsidRPr="00BC00BC">
        <w:rPr>
          <w:rFonts w:ascii="KaiTi" w:eastAsia="KaiTi" w:hAnsi="KaiTi" w:cs="Arial" w:hint="eastAsia"/>
          <w:b/>
          <w:sz w:val="24"/>
          <w:szCs w:val="24"/>
          <w:lang w:val="en-US" w:bidi="ar-SA"/>
        </w:rPr>
        <w:t>年</w:t>
      </w:r>
      <w:r w:rsidRPr="00BC00BC">
        <w:rPr>
          <w:rFonts w:ascii="KaiTi" w:eastAsia="KaiTi" w:hAnsi="KaiTi" w:cs="Arial" w:hint="eastAsia"/>
          <w:sz w:val="24"/>
          <w:szCs w:val="24"/>
          <w:lang w:val="en-US" w:bidi="ar-SA"/>
        </w:rPr>
        <w:t>10</w:t>
      </w:r>
      <w:r w:rsidRPr="00BC00BC">
        <w:rPr>
          <w:rFonts w:ascii="KaiTi" w:eastAsia="KaiTi" w:hAnsi="KaiTi" w:cs="Arial" w:hint="eastAsia"/>
          <w:b/>
          <w:sz w:val="24"/>
          <w:szCs w:val="24"/>
          <w:lang w:val="en-US" w:bidi="ar-SA"/>
        </w:rPr>
        <w:t>月</w:t>
      </w:r>
      <w:r w:rsidRPr="00BC00BC">
        <w:rPr>
          <w:rFonts w:ascii="KaiTi" w:eastAsia="KaiTi" w:hAnsi="KaiTi" w:cs="Arial" w:hint="eastAsia"/>
          <w:sz w:val="24"/>
          <w:szCs w:val="24"/>
          <w:lang w:val="en-US" w:bidi="ar-SA"/>
        </w:rPr>
        <w:t>3</w:t>
      </w:r>
      <w:r w:rsidRPr="00BC00BC">
        <w:rPr>
          <w:rFonts w:ascii="KaiTi" w:eastAsia="KaiTi" w:hAnsi="KaiTi" w:cs="Arial" w:hint="eastAsia"/>
          <w:b/>
          <w:sz w:val="24"/>
          <w:szCs w:val="24"/>
          <w:lang w:val="en-US" w:bidi="ar-SA"/>
        </w:rPr>
        <w:t>日至</w:t>
      </w:r>
      <w:r w:rsidRPr="00BC00BC">
        <w:rPr>
          <w:rFonts w:ascii="KaiTi" w:eastAsia="KaiTi" w:hAnsi="KaiTi" w:cs="Arial" w:hint="eastAsia"/>
          <w:sz w:val="24"/>
          <w:szCs w:val="24"/>
          <w:lang w:val="en-US" w:bidi="ar-SA"/>
        </w:rPr>
        <w:t>11</w:t>
      </w:r>
      <w:r w:rsidRPr="00BC00BC">
        <w:rPr>
          <w:rFonts w:ascii="KaiTi" w:eastAsia="KaiTi" w:hAnsi="KaiTi" w:cs="Arial" w:hint="eastAsia"/>
          <w:b/>
          <w:sz w:val="24"/>
          <w:szCs w:val="24"/>
          <w:lang w:val="en-US" w:bidi="ar-SA"/>
        </w:rPr>
        <w:t>日，日内瓦</w:t>
      </w:r>
    </w:p>
    <w:p w:rsidR="00BC00BC" w:rsidRPr="00BC00BC" w:rsidRDefault="00BC00BC" w:rsidP="00BC00BC">
      <w:pPr>
        <w:jc w:val="left"/>
        <w:rPr>
          <w:rFonts w:ascii="Arial" w:hAnsi="Arial" w:cs="Arial"/>
          <w:lang w:val="en-US" w:bidi="ar-SA"/>
        </w:rPr>
      </w:pPr>
    </w:p>
    <w:p w:rsidR="00BC00BC" w:rsidRPr="00BC00BC" w:rsidRDefault="00BC00BC" w:rsidP="00BC00BC">
      <w:pPr>
        <w:jc w:val="left"/>
        <w:rPr>
          <w:rFonts w:ascii="Arial" w:hAnsi="Arial" w:cs="Arial"/>
          <w:lang w:val="en-US" w:bidi="ar-SA"/>
        </w:rPr>
      </w:pPr>
    </w:p>
    <w:p w:rsidR="00BC00BC" w:rsidRPr="00BC00BC" w:rsidRDefault="00BC00BC" w:rsidP="00BC00BC">
      <w:pPr>
        <w:jc w:val="left"/>
        <w:rPr>
          <w:rFonts w:ascii="Arial" w:hAnsi="Arial" w:cs="Arial"/>
          <w:lang w:val="en-US" w:bidi="ar-SA"/>
        </w:rPr>
      </w:pPr>
    </w:p>
    <w:p w:rsidR="00BC00BC" w:rsidRPr="00BC00BC" w:rsidRDefault="00BC00BC" w:rsidP="00BC00BC">
      <w:pPr>
        <w:jc w:val="left"/>
        <w:rPr>
          <w:rFonts w:ascii="KaiTi" w:eastAsia="KaiTi" w:hAnsi="KaiTi" w:cs="Times New Roman"/>
          <w:sz w:val="24"/>
          <w:szCs w:val="32"/>
          <w:lang w:val="en-US" w:bidi="ar-SA"/>
        </w:rPr>
      </w:pPr>
      <w:bookmarkStart w:id="3" w:name="TitleOfDoc"/>
      <w:bookmarkEnd w:id="3"/>
      <w:r w:rsidRPr="00BC00BC">
        <w:rPr>
          <w:rFonts w:ascii="KaiTi" w:eastAsia="KaiTi" w:hAnsi="KaiTi" w:cs="Times New Roman"/>
          <w:sz w:val="24"/>
          <w:szCs w:val="32"/>
          <w:lang w:val="en-US" w:bidi="ar-SA"/>
        </w:rPr>
        <w:t>2015年年度财务报告和财务报表</w:t>
      </w:r>
    </w:p>
    <w:p w:rsidR="00BC00BC" w:rsidRPr="00BC00BC" w:rsidRDefault="00BC00BC" w:rsidP="00BC00BC">
      <w:pPr>
        <w:jc w:val="left"/>
        <w:rPr>
          <w:rFonts w:ascii="Arial" w:hAnsi="Arial" w:cs="Arial"/>
          <w:lang w:val="en-US" w:bidi="ar-SA"/>
        </w:rPr>
      </w:pPr>
    </w:p>
    <w:p w:rsidR="00BC00BC" w:rsidRPr="00BC00BC" w:rsidRDefault="00BC00BC" w:rsidP="00BC00BC">
      <w:pPr>
        <w:jc w:val="left"/>
        <w:rPr>
          <w:rFonts w:ascii="KaiTi" w:eastAsia="KaiTi" w:hAnsi="STKaiti" w:cs="Times New Roman"/>
          <w:sz w:val="21"/>
          <w:szCs w:val="24"/>
          <w:lang w:val="en-US" w:bidi="ar-SA"/>
        </w:rPr>
      </w:pPr>
      <w:bookmarkStart w:id="4" w:name="Prepared"/>
      <w:bookmarkEnd w:id="4"/>
      <w:r w:rsidRPr="00BC00BC">
        <w:rPr>
          <w:rFonts w:ascii="KaiTi" w:eastAsia="KaiTi" w:hAnsi="STKaiti" w:cs="Times New Roman" w:hint="eastAsia"/>
          <w:sz w:val="21"/>
          <w:szCs w:val="24"/>
          <w:lang w:val="en-US" w:bidi="ar-SA"/>
        </w:rPr>
        <w:t>秘书处编拟</w:t>
      </w:r>
    </w:p>
    <w:p w:rsidR="00BC00BC" w:rsidRPr="00BC00BC" w:rsidRDefault="00BC00BC" w:rsidP="00BC00BC">
      <w:pPr>
        <w:jc w:val="left"/>
        <w:rPr>
          <w:rFonts w:ascii="Arial" w:hAnsi="Arial" w:cs="Arial"/>
          <w:lang w:val="en-US" w:bidi="ar-SA"/>
        </w:rPr>
      </w:pPr>
    </w:p>
    <w:p w:rsidR="00BC00BC" w:rsidRPr="00BC00BC" w:rsidRDefault="00BC00BC" w:rsidP="00BC00BC">
      <w:pPr>
        <w:jc w:val="left"/>
        <w:rPr>
          <w:rFonts w:ascii="Arial" w:hAnsi="Arial" w:cs="Arial"/>
          <w:lang w:val="en-US" w:bidi="ar-SA"/>
        </w:rPr>
      </w:pPr>
    </w:p>
    <w:p w:rsidR="00BC00BC" w:rsidRPr="00BC00BC" w:rsidRDefault="00BC00BC" w:rsidP="00BC00BC">
      <w:pPr>
        <w:jc w:val="left"/>
        <w:rPr>
          <w:rFonts w:ascii="Arial" w:hAnsi="Arial" w:cs="Arial"/>
          <w:lang w:val="en-US" w:bidi="ar-SA"/>
        </w:rPr>
      </w:pPr>
    </w:p>
    <w:p w:rsidR="00BC00BC" w:rsidRPr="00BC00BC" w:rsidRDefault="00BC00BC" w:rsidP="00BC00BC">
      <w:pPr>
        <w:jc w:val="left"/>
        <w:rPr>
          <w:rFonts w:ascii="Arial" w:hAnsi="Arial" w:cs="Arial"/>
          <w:lang w:val="en-US" w:bidi="ar-SA"/>
        </w:rPr>
      </w:pPr>
    </w:p>
    <w:p w:rsidR="00BC00BC" w:rsidRPr="00BC00BC" w:rsidRDefault="00BC00BC" w:rsidP="00BC00BC">
      <w:pPr>
        <w:overflowPunct w:val="0"/>
        <w:spacing w:afterLines="50" w:after="120" w:line="340" w:lineRule="atLeast"/>
        <w:rPr>
          <w:rFonts w:cs="Times New Roman"/>
          <w:sz w:val="21"/>
          <w:szCs w:val="24"/>
          <w:lang w:val="en-US" w:bidi="ar-SA"/>
        </w:rPr>
      </w:pPr>
      <w:r w:rsidRPr="00BC00BC">
        <w:rPr>
          <w:rFonts w:cs="Times New Roman"/>
          <w:sz w:val="21"/>
          <w:szCs w:val="24"/>
          <w:lang w:val="en-US" w:bidi="ar-SA"/>
        </w:rPr>
        <w:t>1.</w:t>
      </w:r>
      <w:r w:rsidRPr="00BC00BC">
        <w:rPr>
          <w:rFonts w:cs="Times New Roman"/>
          <w:sz w:val="21"/>
          <w:szCs w:val="24"/>
          <w:lang w:val="en-US" w:bidi="ar-SA"/>
        </w:rPr>
        <w:tab/>
      </w:r>
      <w:r w:rsidRPr="00BC00BC">
        <w:rPr>
          <w:rFonts w:cs="Times New Roman" w:hint="eastAsia"/>
          <w:sz w:val="21"/>
          <w:szCs w:val="24"/>
          <w:lang w:bidi="ar-SA"/>
        </w:rPr>
        <w:t>本文件载有</w:t>
      </w:r>
      <w:r>
        <w:rPr>
          <w:rFonts w:cs="Times New Roman" w:hint="eastAsia"/>
          <w:sz w:val="21"/>
          <w:szCs w:val="24"/>
          <w:lang w:bidi="ar-SA"/>
        </w:rPr>
        <w:t>“</w:t>
      </w:r>
      <w:r w:rsidRPr="00BC00BC">
        <w:rPr>
          <w:rFonts w:cs="Times New Roman"/>
          <w:sz w:val="21"/>
          <w:szCs w:val="24"/>
          <w:lang w:bidi="ar-SA"/>
        </w:rPr>
        <w:t>2015年年度财务报告和财务报表</w:t>
      </w:r>
      <w:r>
        <w:rPr>
          <w:rFonts w:cs="Times New Roman" w:hint="eastAsia"/>
          <w:sz w:val="21"/>
          <w:szCs w:val="24"/>
          <w:lang w:bidi="ar-SA"/>
        </w:rPr>
        <w:t>”</w:t>
      </w:r>
      <w:r w:rsidRPr="00BC00BC">
        <w:rPr>
          <w:rFonts w:cs="Times New Roman"/>
          <w:sz w:val="21"/>
          <w:szCs w:val="24"/>
          <w:lang w:bidi="ar-SA"/>
        </w:rPr>
        <w:t>（</w:t>
      </w:r>
      <w:r w:rsidRPr="00BC00BC">
        <w:rPr>
          <w:rFonts w:cs="Times New Roman" w:hint="eastAsia"/>
          <w:sz w:val="21"/>
          <w:szCs w:val="24"/>
          <w:lang w:bidi="ar-SA"/>
        </w:rPr>
        <w:t>文件</w:t>
      </w:r>
      <w:r w:rsidRPr="00BC00BC">
        <w:rPr>
          <w:rFonts w:cs="Times New Roman"/>
          <w:sz w:val="21"/>
          <w:szCs w:val="24"/>
          <w:lang w:bidi="ar-SA"/>
        </w:rPr>
        <w:t>WO/PBC/25/</w:t>
      </w:r>
      <w:r>
        <w:rPr>
          <w:rFonts w:cs="Times New Roman" w:hint="eastAsia"/>
          <w:sz w:val="21"/>
          <w:szCs w:val="24"/>
          <w:lang w:bidi="ar-SA"/>
        </w:rPr>
        <w:t>9</w:t>
      </w:r>
      <w:r w:rsidRPr="00BC00BC">
        <w:rPr>
          <w:rFonts w:cs="Times New Roman"/>
          <w:sz w:val="21"/>
          <w:szCs w:val="24"/>
          <w:lang w:bidi="ar-SA"/>
        </w:rPr>
        <w:t>）</w:t>
      </w:r>
      <w:r w:rsidRPr="00BC00BC">
        <w:rPr>
          <w:rFonts w:cs="Times New Roman" w:hint="eastAsia"/>
          <w:sz w:val="21"/>
          <w:szCs w:val="24"/>
          <w:lang w:bidi="ar-SA"/>
        </w:rPr>
        <w:t>，将提交给</w:t>
      </w:r>
      <w:r w:rsidRPr="00BC00BC">
        <w:rPr>
          <w:rFonts w:cs="Times New Roman"/>
          <w:sz w:val="21"/>
          <w:szCs w:val="24"/>
          <w:lang w:bidi="ar-SA"/>
        </w:rPr>
        <w:t>WIPO</w:t>
      </w:r>
      <w:r w:rsidRPr="00BC00BC">
        <w:rPr>
          <w:rFonts w:cs="Times New Roman" w:hint="eastAsia"/>
          <w:sz w:val="21"/>
          <w:szCs w:val="24"/>
          <w:lang w:bidi="ar-SA"/>
        </w:rPr>
        <w:t>计划和预算委员会</w:t>
      </w:r>
      <w:r w:rsidRPr="00BC00BC">
        <w:rPr>
          <w:rFonts w:cs="Times New Roman"/>
          <w:sz w:val="21"/>
          <w:szCs w:val="24"/>
          <w:lang w:bidi="ar-SA"/>
        </w:rPr>
        <w:t>（PBC）</w:t>
      </w:r>
      <w:r w:rsidRPr="00BC00BC">
        <w:rPr>
          <w:rFonts w:cs="Times New Roman" w:hint="eastAsia"/>
          <w:sz w:val="21"/>
          <w:szCs w:val="24"/>
          <w:lang w:bidi="ar-SA"/>
        </w:rPr>
        <w:t>的第二十五届会议</w:t>
      </w:r>
      <w:r w:rsidRPr="00BC00BC">
        <w:rPr>
          <w:rFonts w:cs="Times New Roman"/>
          <w:sz w:val="21"/>
          <w:szCs w:val="24"/>
          <w:lang w:bidi="ar-SA"/>
        </w:rPr>
        <w:t>（2016</w:t>
      </w:r>
      <w:r w:rsidRPr="00BC00BC">
        <w:rPr>
          <w:rFonts w:cs="Times New Roman" w:hint="eastAsia"/>
          <w:sz w:val="21"/>
          <w:szCs w:val="24"/>
          <w:lang w:bidi="ar-SA"/>
        </w:rPr>
        <w:t>年</w:t>
      </w:r>
      <w:r w:rsidRPr="00BC00BC">
        <w:rPr>
          <w:rFonts w:cs="Times New Roman"/>
          <w:sz w:val="21"/>
          <w:szCs w:val="24"/>
          <w:lang w:bidi="ar-SA"/>
        </w:rPr>
        <w:t>8</w:t>
      </w:r>
      <w:r w:rsidRPr="00BC00BC">
        <w:rPr>
          <w:rFonts w:cs="Times New Roman" w:hint="eastAsia"/>
          <w:sz w:val="21"/>
          <w:szCs w:val="24"/>
          <w:lang w:bidi="ar-SA"/>
        </w:rPr>
        <w:t>月</w:t>
      </w:r>
      <w:r w:rsidRPr="00BC00BC">
        <w:rPr>
          <w:rFonts w:cs="Times New Roman"/>
          <w:sz w:val="21"/>
          <w:szCs w:val="24"/>
          <w:lang w:bidi="ar-SA"/>
        </w:rPr>
        <w:t>29</w:t>
      </w:r>
      <w:r w:rsidRPr="00BC00BC">
        <w:rPr>
          <w:rFonts w:cs="Times New Roman" w:hint="eastAsia"/>
          <w:sz w:val="21"/>
          <w:szCs w:val="24"/>
          <w:lang w:bidi="ar-SA"/>
        </w:rPr>
        <w:t>日至</w:t>
      </w:r>
      <w:r w:rsidRPr="00BC00BC">
        <w:rPr>
          <w:rFonts w:cs="Times New Roman"/>
          <w:sz w:val="21"/>
          <w:szCs w:val="24"/>
          <w:lang w:bidi="ar-SA"/>
        </w:rPr>
        <w:t>9</w:t>
      </w:r>
      <w:r w:rsidRPr="00BC00BC">
        <w:rPr>
          <w:rFonts w:cs="Times New Roman" w:hint="eastAsia"/>
          <w:sz w:val="21"/>
          <w:szCs w:val="24"/>
          <w:lang w:bidi="ar-SA"/>
        </w:rPr>
        <w:t>月</w:t>
      </w:r>
      <w:r w:rsidRPr="00BC00BC">
        <w:rPr>
          <w:rFonts w:cs="Times New Roman"/>
          <w:sz w:val="21"/>
          <w:szCs w:val="24"/>
          <w:lang w:bidi="ar-SA"/>
        </w:rPr>
        <w:t>2</w:t>
      </w:r>
      <w:r w:rsidRPr="00BC00BC">
        <w:rPr>
          <w:rFonts w:cs="Times New Roman" w:hint="eastAsia"/>
          <w:sz w:val="21"/>
          <w:szCs w:val="24"/>
          <w:lang w:bidi="ar-SA"/>
        </w:rPr>
        <w:t>日</w:t>
      </w:r>
      <w:r w:rsidRPr="00BC00BC">
        <w:rPr>
          <w:rFonts w:cs="Times New Roman"/>
          <w:sz w:val="21"/>
          <w:szCs w:val="24"/>
          <w:lang w:bidi="ar-SA"/>
        </w:rPr>
        <w:t>）</w:t>
      </w:r>
      <w:r w:rsidRPr="00BC00BC">
        <w:rPr>
          <w:rFonts w:cs="Times New Roman" w:hint="eastAsia"/>
          <w:sz w:val="21"/>
          <w:szCs w:val="24"/>
          <w:lang w:bidi="ar-SA"/>
        </w:rPr>
        <w:t>。</w:t>
      </w:r>
    </w:p>
    <w:p w:rsidR="00BC00BC" w:rsidRPr="00BC00BC" w:rsidRDefault="00BC00BC" w:rsidP="00BC00BC">
      <w:pPr>
        <w:overflowPunct w:val="0"/>
        <w:spacing w:afterLines="50" w:after="120" w:line="340" w:lineRule="atLeast"/>
        <w:rPr>
          <w:rFonts w:cs="Times New Roman"/>
          <w:sz w:val="21"/>
          <w:szCs w:val="24"/>
          <w:lang w:val="en-US" w:bidi="ar-SA"/>
        </w:rPr>
      </w:pPr>
      <w:r w:rsidRPr="00BC00BC">
        <w:rPr>
          <w:rFonts w:cs="Times New Roman"/>
          <w:sz w:val="21"/>
          <w:szCs w:val="24"/>
          <w:lang w:val="en-US" w:bidi="ar-SA"/>
        </w:rPr>
        <w:t>2.</w:t>
      </w:r>
      <w:r w:rsidRPr="00BC00BC">
        <w:rPr>
          <w:rFonts w:cs="Times New Roman"/>
          <w:sz w:val="21"/>
          <w:szCs w:val="24"/>
          <w:lang w:val="en-US" w:bidi="ar-SA"/>
        </w:rPr>
        <w:tab/>
      </w:r>
      <w:r w:rsidRPr="00BC00BC">
        <w:rPr>
          <w:rFonts w:cs="Times New Roman"/>
          <w:sz w:val="21"/>
          <w:szCs w:val="24"/>
          <w:lang w:bidi="ar-SA"/>
        </w:rPr>
        <w:t>PBC</w:t>
      </w:r>
      <w:r w:rsidRPr="00BC00BC">
        <w:rPr>
          <w:rFonts w:cs="Times New Roman" w:hint="eastAsia"/>
          <w:sz w:val="21"/>
          <w:szCs w:val="24"/>
          <w:lang w:bidi="ar-SA"/>
        </w:rPr>
        <w:t>关于上述文件的任何决定将写入“计划和预算委员会的决定”</w:t>
      </w:r>
      <w:r w:rsidRPr="00BC00BC">
        <w:rPr>
          <w:rFonts w:cs="Times New Roman"/>
          <w:sz w:val="21"/>
          <w:szCs w:val="24"/>
          <w:lang w:bidi="ar-SA"/>
        </w:rPr>
        <w:t>（</w:t>
      </w:r>
      <w:r w:rsidRPr="00BC00BC">
        <w:rPr>
          <w:rFonts w:cs="Times New Roman" w:hint="eastAsia"/>
          <w:sz w:val="21"/>
          <w:szCs w:val="24"/>
          <w:lang w:bidi="ar-SA"/>
        </w:rPr>
        <w:t>文件</w:t>
      </w:r>
      <w:r w:rsidRPr="00BC00BC">
        <w:rPr>
          <w:rFonts w:cs="Times New Roman"/>
          <w:sz w:val="21"/>
          <w:szCs w:val="24"/>
          <w:lang w:bidi="ar-SA"/>
        </w:rPr>
        <w:t>A/56/</w:t>
      </w:r>
      <w:r>
        <w:rPr>
          <w:rFonts w:cs="Times New Roman" w:hint="eastAsia"/>
          <w:sz w:val="21"/>
          <w:szCs w:val="24"/>
          <w:lang w:bidi="ar-SA"/>
        </w:rPr>
        <w:t>12</w:t>
      </w:r>
      <w:r w:rsidRPr="00BC00BC">
        <w:rPr>
          <w:rFonts w:cs="Times New Roman"/>
          <w:sz w:val="21"/>
          <w:szCs w:val="24"/>
          <w:lang w:bidi="ar-SA"/>
        </w:rPr>
        <w:t>）</w:t>
      </w:r>
      <w:r w:rsidRPr="00BC00BC">
        <w:rPr>
          <w:rFonts w:cs="Times New Roman" w:hint="eastAsia"/>
          <w:sz w:val="21"/>
          <w:szCs w:val="24"/>
          <w:lang w:bidi="ar-SA"/>
        </w:rPr>
        <w:t>。</w:t>
      </w:r>
    </w:p>
    <w:p w:rsidR="00BC00BC" w:rsidRPr="00BC00BC" w:rsidRDefault="00BC00BC" w:rsidP="00BC00BC">
      <w:pPr>
        <w:spacing w:afterLines="50" w:after="120" w:line="340" w:lineRule="atLeast"/>
        <w:ind w:left="5534"/>
        <w:jc w:val="left"/>
        <w:rPr>
          <w:rFonts w:ascii="KaiTi" w:eastAsia="KaiTi" w:hAnsi="KaiTi" w:cs="Times New Roman"/>
          <w:sz w:val="21"/>
          <w:szCs w:val="24"/>
          <w:lang w:bidi="ar-SA"/>
        </w:rPr>
      </w:pPr>
    </w:p>
    <w:p w:rsidR="00BC00BC" w:rsidRDefault="00BC00BC" w:rsidP="00BC00BC">
      <w:pPr>
        <w:spacing w:afterLines="50" w:after="120" w:line="340" w:lineRule="atLeast"/>
        <w:ind w:left="5534"/>
        <w:jc w:val="left"/>
        <w:rPr>
          <w:rFonts w:ascii="KaiTi" w:eastAsia="KaiTi" w:hAnsi="KaiTi" w:cs="Times New Roman"/>
          <w:sz w:val="21"/>
          <w:szCs w:val="24"/>
          <w:lang w:bidi="ar-SA"/>
        </w:rPr>
      </w:pPr>
      <w:r w:rsidRPr="00BC00BC">
        <w:rPr>
          <w:rFonts w:ascii="KaiTi" w:eastAsia="KaiTi" w:hAnsi="KaiTi" w:cs="Times New Roman"/>
          <w:sz w:val="21"/>
          <w:szCs w:val="24"/>
          <w:lang w:eastAsia="en-US" w:bidi="ar-SA"/>
        </w:rPr>
        <w:t>[</w:t>
      </w:r>
      <w:proofErr w:type="spellStart"/>
      <w:r w:rsidRPr="00BC00BC">
        <w:rPr>
          <w:rFonts w:ascii="KaiTi" w:eastAsia="KaiTi" w:hAnsi="KaiTi" w:cs="Times New Roman" w:hint="eastAsia"/>
          <w:sz w:val="21"/>
          <w:szCs w:val="24"/>
          <w:lang w:eastAsia="en-US" w:bidi="ar-SA"/>
        </w:rPr>
        <w:t>后接文件</w:t>
      </w:r>
      <w:proofErr w:type="spellEnd"/>
      <w:r w:rsidRPr="00BC00BC">
        <w:rPr>
          <w:rFonts w:ascii="KaiTi" w:eastAsia="KaiTi" w:hAnsi="KaiTi" w:cs="Times New Roman"/>
          <w:sz w:val="21"/>
          <w:szCs w:val="24"/>
          <w:lang w:eastAsia="en-US" w:bidi="ar-SA"/>
        </w:rPr>
        <w:t>WO/PBC/25/</w:t>
      </w:r>
      <w:r w:rsidR="00874EE0">
        <w:rPr>
          <w:rFonts w:ascii="KaiTi" w:eastAsia="KaiTi" w:hAnsi="KaiTi" w:cs="Times New Roman" w:hint="eastAsia"/>
          <w:sz w:val="21"/>
          <w:szCs w:val="24"/>
          <w:lang w:eastAsia="en-US" w:bidi="ar-SA"/>
        </w:rPr>
        <w:t>9</w:t>
      </w:r>
      <w:r w:rsidRPr="00BC00BC">
        <w:rPr>
          <w:rFonts w:ascii="KaiTi" w:eastAsia="KaiTi" w:hAnsi="KaiTi" w:cs="Times New Roman"/>
          <w:sz w:val="21"/>
          <w:szCs w:val="24"/>
          <w:lang w:eastAsia="en-US" w:bidi="ar-SA"/>
        </w:rPr>
        <w:t>]</w:t>
      </w:r>
    </w:p>
    <w:p w:rsidR="00BC00BC" w:rsidRDefault="00BC00BC" w:rsidP="00BC00BC">
      <w:pPr>
        <w:jc w:val="left"/>
        <w:rPr>
          <w:rFonts w:ascii="KaiTi" w:eastAsia="KaiTi" w:hAnsi="KaiTi" w:cs="Times New Roman"/>
          <w:sz w:val="21"/>
          <w:szCs w:val="24"/>
          <w:lang w:bidi="ar-SA"/>
        </w:rPr>
      </w:pPr>
    </w:p>
    <w:p w:rsidR="00BC00BC" w:rsidRDefault="00BC00BC" w:rsidP="00BC00BC">
      <w:pPr>
        <w:jc w:val="left"/>
        <w:rPr>
          <w:rFonts w:ascii="Arial" w:hAnsi="Arial" w:cs="Arial"/>
          <w:lang w:val="en-US" w:bidi="ar-SA"/>
        </w:rPr>
        <w:sectPr w:rsidR="00BC00BC" w:rsidSect="008B64D0">
          <w:headerReference w:type="default" r:id="rId1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337"/>
        <w:gridCol w:w="425"/>
      </w:tblGrid>
      <w:tr w:rsidR="00312F4B" w:rsidRPr="00312F4B" w:rsidTr="007A5789">
        <w:trPr>
          <w:trHeight w:val="1977"/>
        </w:trPr>
        <w:tc>
          <w:tcPr>
            <w:tcW w:w="4594" w:type="dxa"/>
            <w:tcBorders>
              <w:bottom w:val="single" w:sz="4" w:space="0" w:color="auto"/>
            </w:tcBorders>
            <w:tcMar>
              <w:bottom w:w="170" w:type="dxa"/>
            </w:tcMar>
          </w:tcPr>
          <w:p w:rsidR="00312F4B" w:rsidRPr="00312F4B" w:rsidRDefault="00312F4B" w:rsidP="00312F4B">
            <w:pPr>
              <w:jc w:val="left"/>
              <w:rPr>
                <w:rFonts w:ascii="Arial" w:hAnsi="Arial" w:cs="Arial"/>
                <w:lang w:val="en-US" w:bidi="ar-SA"/>
              </w:rPr>
            </w:pPr>
            <w:r w:rsidRPr="00312F4B">
              <w:rPr>
                <w:rFonts w:ascii="Arial" w:hAnsi="Arial" w:cs="Arial"/>
                <w:noProof/>
                <w:lang w:val="en-US" w:bidi="ar-SA"/>
              </w:rPr>
              <w:lastRenderedPageBreak/>
              <w:drawing>
                <wp:anchor distT="0" distB="0" distL="114300" distR="114300" simplePos="0" relativeHeight="251660800" behindDoc="1" locked="0" layoutInCell="0" allowOverlap="1" wp14:anchorId="3D45553E" wp14:editId="27E3F94D">
                  <wp:simplePos x="0" y="0"/>
                  <wp:positionH relativeFrom="page">
                    <wp:posOffset>3834130</wp:posOffset>
                  </wp:positionH>
                  <wp:positionV relativeFrom="margin">
                    <wp:posOffset>0</wp:posOffset>
                  </wp:positionV>
                  <wp:extent cx="866775" cy="1323975"/>
                  <wp:effectExtent l="0" t="0" r="9525" b="9525"/>
                  <wp:wrapNone/>
                  <wp:docPr id="90" name="图片 90"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12F4B" w:rsidRPr="00312F4B" w:rsidRDefault="00312F4B" w:rsidP="00312F4B">
            <w:pPr>
              <w:jc w:val="left"/>
              <w:rPr>
                <w:rFonts w:ascii="Arial" w:hAnsi="Arial" w:cs="Arial"/>
                <w:lang w:val="en-US" w:bidi="ar-SA"/>
              </w:rPr>
            </w:pPr>
          </w:p>
        </w:tc>
        <w:tc>
          <w:tcPr>
            <w:tcW w:w="425" w:type="dxa"/>
            <w:tcBorders>
              <w:bottom w:val="single" w:sz="4" w:space="0" w:color="auto"/>
            </w:tcBorders>
            <w:tcMar>
              <w:left w:w="0" w:type="dxa"/>
              <w:right w:w="0" w:type="dxa"/>
            </w:tcMar>
          </w:tcPr>
          <w:p w:rsidR="00312F4B" w:rsidRPr="00312F4B" w:rsidRDefault="00312F4B" w:rsidP="00312F4B">
            <w:pPr>
              <w:jc w:val="right"/>
              <w:rPr>
                <w:rFonts w:ascii="Arial" w:hAnsi="Arial" w:cs="Arial"/>
                <w:lang w:val="en-US" w:bidi="ar-SA"/>
              </w:rPr>
            </w:pPr>
            <w:r w:rsidRPr="00312F4B">
              <w:rPr>
                <w:rFonts w:ascii="Arial" w:hAnsi="Arial" w:cs="Arial"/>
                <w:b/>
                <w:sz w:val="40"/>
                <w:szCs w:val="40"/>
                <w:lang w:val="en-US" w:bidi="ar-SA"/>
              </w:rPr>
              <w:t>C</w:t>
            </w:r>
          </w:p>
        </w:tc>
        <w:bookmarkStart w:id="5" w:name="_GoBack"/>
        <w:bookmarkEnd w:id="5"/>
      </w:tr>
      <w:tr w:rsidR="00312F4B" w:rsidRPr="00312F4B" w:rsidTr="007A5789">
        <w:trPr>
          <w:trHeight w:hRule="exact" w:val="340"/>
        </w:trPr>
        <w:tc>
          <w:tcPr>
            <w:tcW w:w="9356" w:type="dxa"/>
            <w:gridSpan w:val="3"/>
            <w:tcBorders>
              <w:top w:val="single" w:sz="4" w:space="0" w:color="auto"/>
            </w:tcBorders>
            <w:tcMar>
              <w:top w:w="170" w:type="dxa"/>
              <w:left w:w="0" w:type="dxa"/>
              <w:right w:w="0" w:type="dxa"/>
            </w:tcMar>
            <w:vAlign w:val="bottom"/>
          </w:tcPr>
          <w:p w:rsidR="00312F4B" w:rsidRPr="00312F4B" w:rsidRDefault="00312F4B" w:rsidP="00F374B8">
            <w:pPr>
              <w:jc w:val="right"/>
              <w:rPr>
                <w:rFonts w:ascii="Arial Black" w:hAnsi="Arial Black" w:cs="Arial"/>
                <w:caps/>
                <w:sz w:val="15"/>
                <w:lang w:val="en-US" w:bidi="ar-SA"/>
              </w:rPr>
            </w:pPr>
            <w:r w:rsidRPr="00312F4B">
              <w:rPr>
                <w:rFonts w:ascii="Arial Black" w:hAnsi="Arial Black" w:cs="Arial"/>
                <w:caps/>
                <w:sz w:val="15"/>
                <w:lang w:val="en-US" w:bidi="ar-SA"/>
              </w:rPr>
              <w:t>wo/pbc/25/</w:t>
            </w:r>
            <w:r w:rsidR="00F374B8">
              <w:rPr>
                <w:rFonts w:ascii="Arial Black" w:hAnsi="Arial Black" w:cs="Arial" w:hint="eastAsia"/>
                <w:caps/>
                <w:sz w:val="15"/>
                <w:lang w:val="en-US" w:bidi="ar-SA"/>
              </w:rPr>
              <w:t>9</w:t>
            </w:r>
          </w:p>
        </w:tc>
      </w:tr>
      <w:tr w:rsidR="00312F4B" w:rsidRPr="00312F4B" w:rsidTr="007A5789">
        <w:trPr>
          <w:trHeight w:hRule="exact" w:val="170"/>
        </w:trPr>
        <w:tc>
          <w:tcPr>
            <w:tcW w:w="9356" w:type="dxa"/>
            <w:gridSpan w:val="3"/>
            <w:noWrap/>
            <w:tcMar>
              <w:left w:w="0" w:type="dxa"/>
              <w:right w:w="0" w:type="dxa"/>
            </w:tcMar>
            <w:vAlign w:val="bottom"/>
          </w:tcPr>
          <w:p w:rsidR="00312F4B" w:rsidRPr="00312F4B" w:rsidRDefault="00312F4B" w:rsidP="00312F4B">
            <w:pPr>
              <w:jc w:val="right"/>
              <w:rPr>
                <w:rFonts w:ascii="Arial Black" w:hAnsi="Arial Black" w:cs="Arial"/>
                <w:b/>
                <w:caps/>
                <w:sz w:val="15"/>
                <w:szCs w:val="15"/>
                <w:lang w:val="en-US" w:bidi="ar-SA"/>
              </w:rPr>
            </w:pPr>
            <w:r w:rsidRPr="00312F4B">
              <w:rPr>
                <w:rFonts w:ascii="Arial" w:eastAsia="SimHei" w:hAnsi="Arial" w:cs="Arial"/>
                <w:b/>
                <w:sz w:val="15"/>
                <w:szCs w:val="15"/>
                <w:lang w:val="en-US" w:bidi="ar-SA"/>
              </w:rPr>
              <w:t>原</w:t>
            </w:r>
            <w:r w:rsidRPr="00312F4B">
              <w:rPr>
                <w:rFonts w:ascii="Arial" w:eastAsia="SimHei" w:hAnsi="Arial" w:cs="Arial"/>
                <w:b/>
                <w:sz w:val="15"/>
                <w:szCs w:val="15"/>
                <w:lang w:val="en-US" w:bidi="ar-SA"/>
              </w:rPr>
              <w:t xml:space="preserve"> </w:t>
            </w:r>
            <w:r w:rsidRPr="00312F4B">
              <w:rPr>
                <w:rFonts w:ascii="Arial" w:eastAsia="SimHei" w:hAnsi="Arial" w:cs="Arial"/>
                <w:b/>
                <w:sz w:val="15"/>
                <w:szCs w:val="15"/>
                <w:lang w:val="en-US" w:bidi="ar-SA"/>
              </w:rPr>
              <w:t>文：英文</w:t>
            </w:r>
          </w:p>
        </w:tc>
      </w:tr>
      <w:tr w:rsidR="00312F4B" w:rsidRPr="00312F4B" w:rsidTr="007A5789">
        <w:trPr>
          <w:trHeight w:hRule="exact" w:val="198"/>
        </w:trPr>
        <w:tc>
          <w:tcPr>
            <w:tcW w:w="9356" w:type="dxa"/>
            <w:gridSpan w:val="3"/>
            <w:tcMar>
              <w:left w:w="0" w:type="dxa"/>
              <w:right w:w="0" w:type="dxa"/>
            </w:tcMar>
            <w:vAlign w:val="bottom"/>
          </w:tcPr>
          <w:p w:rsidR="00312F4B" w:rsidRPr="00312F4B" w:rsidRDefault="00312F4B" w:rsidP="00F374B8">
            <w:pPr>
              <w:jc w:val="right"/>
              <w:rPr>
                <w:rFonts w:ascii="SimHei" w:eastAsia="SimHei" w:hAnsi="Arial Black" w:cs="Arial"/>
                <w:b/>
                <w:caps/>
                <w:sz w:val="15"/>
                <w:szCs w:val="15"/>
                <w:lang w:val="en-US" w:bidi="ar-SA"/>
              </w:rPr>
            </w:pPr>
            <w:r w:rsidRPr="00312F4B">
              <w:rPr>
                <w:rFonts w:ascii="SimHei" w:eastAsia="SimHei" w:hAnsi="Arial" w:cs="Arial"/>
                <w:b/>
                <w:sz w:val="15"/>
                <w:szCs w:val="15"/>
                <w:lang w:val="en-US" w:bidi="ar-SA"/>
              </w:rPr>
              <w:t>日 期</w:t>
            </w:r>
            <w:r w:rsidRPr="00312F4B">
              <w:rPr>
                <w:rFonts w:ascii="SimHei" w:eastAsia="SimHei" w:cs="Arial"/>
                <w:b/>
                <w:sz w:val="15"/>
                <w:szCs w:val="15"/>
                <w:lang w:val="en-US" w:bidi="ar-SA"/>
              </w:rPr>
              <w:t>：</w:t>
            </w:r>
            <w:r w:rsidRPr="00312F4B">
              <w:rPr>
                <w:rFonts w:ascii="Arial Black" w:eastAsia="SimHei" w:hAnsi="Arial Black" w:cs="Arial"/>
                <w:b/>
                <w:sz w:val="15"/>
                <w:szCs w:val="15"/>
                <w:lang w:val="en-US" w:bidi="ar-SA"/>
              </w:rPr>
              <w:t>2016</w:t>
            </w:r>
            <w:r w:rsidRPr="00312F4B">
              <w:rPr>
                <w:rFonts w:ascii="SimHei" w:eastAsia="SimHei" w:hAnsi="Times New Roman" w:cs="Arial"/>
                <w:b/>
                <w:sz w:val="15"/>
                <w:szCs w:val="15"/>
                <w:lang w:val="en-US" w:bidi="ar-SA"/>
              </w:rPr>
              <w:t>年</w:t>
            </w:r>
            <w:r w:rsidRPr="00312F4B">
              <w:rPr>
                <w:rFonts w:ascii="Arial Black" w:eastAsia="SimHei" w:hAnsi="Arial Black" w:cs="Arial" w:hint="eastAsia"/>
                <w:b/>
                <w:sz w:val="15"/>
                <w:szCs w:val="15"/>
                <w:lang w:val="en-US" w:bidi="ar-SA"/>
              </w:rPr>
              <w:t>6</w:t>
            </w:r>
            <w:r w:rsidRPr="00312F4B">
              <w:rPr>
                <w:rFonts w:ascii="SimHei" w:eastAsia="SimHei" w:hAnsi="Times New Roman" w:cs="Arial"/>
                <w:b/>
                <w:sz w:val="15"/>
                <w:szCs w:val="15"/>
                <w:lang w:val="en-US" w:bidi="ar-SA"/>
              </w:rPr>
              <w:t>月</w:t>
            </w:r>
            <w:r w:rsidR="00F374B8">
              <w:rPr>
                <w:rFonts w:ascii="Arial Black" w:eastAsia="SimHei" w:hAnsi="Arial Black" w:cs="Arial" w:hint="eastAsia"/>
                <w:b/>
                <w:sz w:val="15"/>
                <w:szCs w:val="15"/>
                <w:lang w:val="en-US" w:bidi="ar-SA"/>
              </w:rPr>
              <w:t>27</w:t>
            </w:r>
            <w:r w:rsidRPr="00312F4B">
              <w:rPr>
                <w:rFonts w:ascii="SimHei" w:eastAsia="SimHei" w:hAnsi="Times New Roman" w:cs="Arial"/>
                <w:b/>
                <w:sz w:val="15"/>
                <w:szCs w:val="15"/>
                <w:lang w:val="en-US" w:bidi="ar-SA"/>
              </w:rPr>
              <w:t>日</w:t>
            </w:r>
            <w:r w:rsidRPr="00312F4B">
              <w:rPr>
                <w:rFonts w:ascii="SimHei" w:eastAsia="SimHei" w:hAnsi="Arial Black" w:cs="Arial"/>
                <w:b/>
                <w:caps/>
                <w:sz w:val="15"/>
                <w:szCs w:val="15"/>
                <w:lang w:val="en-US" w:bidi="ar-SA"/>
              </w:rPr>
              <w:t xml:space="preserve">  </w:t>
            </w:r>
          </w:p>
        </w:tc>
      </w:tr>
    </w:tbl>
    <w:p w:rsidR="00312F4B" w:rsidRPr="00312F4B" w:rsidRDefault="00312F4B" w:rsidP="00312F4B">
      <w:pPr>
        <w:jc w:val="left"/>
        <w:rPr>
          <w:rFonts w:ascii="Arial" w:hAnsi="Arial" w:cs="Arial"/>
          <w:lang w:val="en-US" w:bidi="ar-SA"/>
        </w:rPr>
      </w:pPr>
    </w:p>
    <w:p w:rsidR="00312F4B" w:rsidRPr="00312F4B" w:rsidRDefault="00312F4B" w:rsidP="00312F4B">
      <w:pPr>
        <w:widowControl w:val="0"/>
        <w:rPr>
          <w:rFonts w:ascii="Arial" w:hAnsi="Arial" w:cs="Times New Roman"/>
          <w:szCs w:val="22"/>
          <w:lang w:val="en-US" w:bidi="ar-SA"/>
        </w:rPr>
      </w:pPr>
    </w:p>
    <w:p w:rsidR="00312F4B" w:rsidRPr="00312F4B" w:rsidRDefault="00312F4B" w:rsidP="00312F4B">
      <w:pPr>
        <w:widowControl w:val="0"/>
        <w:rPr>
          <w:rFonts w:ascii="Arial" w:hAnsi="Arial" w:cs="Times New Roman"/>
          <w:szCs w:val="22"/>
          <w:lang w:val="en-US" w:bidi="ar-SA"/>
        </w:rPr>
      </w:pPr>
    </w:p>
    <w:p w:rsidR="00312F4B" w:rsidRPr="00312F4B" w:rsidRDefault="00312F4B" w:rsidP="00312F4B">
      <w:pPr>
        <w:widowControl w:val="0"/>
        <w:rPr>
          <w:rFonts w:ascii="Arial" w:hAnsi="Arial" w:cs="Times New Roman"/>
          <w:szCs w:val="22"/>
          <w:lang w:val="en-US" w:bidi="ar-SA"/>
        </w:rPr>
      </w:pPr>
    </w:p>
    <w:p w:rsidR="00312F4B" w:rsidRPr="00312F4B" w:rsidRDefault="00312F4B" w:rsidP="00312F4B">
      <w:pPr>
        <w:widowControl w:val="0"/>
        <w:rPr>
          <w:rFonts w:ascii="Arial" w:hAnsi="Arial" w:cs="Times New Roman"/>
          <w:szCs w:val="22"/>
          <w:lang w:val="en-US" w:bidi="ar-SA"/>
        </w:rPr>
      </w:pPr>
    </w:p>
    <w:p w:rsidR="00312F4B" w:rsidRPr="00312F4B" w:rsidRDefault="00312F4B" w:rsidP="00312F4B">
      <w:pPr>
        <w:widowControl w:val="0"/>
        <w:rPr>
          <w:rFonts w:ascii="SimHei" w:eastAsia="SimHei" w:hAnsi="Calibri" w:cs="Times New Roman"/>
          <w:sz w:val="28"/>
          <w:szCs w:val="28"/>
          <w:lang w:val="en-US" w:bidi="ar-SA"/>
        </w:rPr>
      </w:pPr>
      <w:r w:rsidRPr="00312F4B">
        <w:rPr>
          <w:rFonts w:ascii="SimHei" w:eastAsia="SimHei" w:hAnsi="Calibri" w:cs="Times New Roman"/>
          <w:sz w:val="28"/>
          <w:szCs w:val="28"/>
          <w:lang w:val="en-US" w:bidi="ar-SA"/>
        </w:rPr>
        <w:t>计划和预算委员会</w:t>
      </w:r>
    </w:p>
    <w:p w:rsidR="00312F4B" w:rsidRPr="00312F4B" w:rsidRDefault="00312F4B" w:rsidP="00312F4B">
      <w:pPr>
        <w:widowControl w:val="0"/>
        <w:rPr>
          <w:rFonts w:ascii="Arial" w:hAnsi="Arial" w:cs="Times New Roman"/>
          <w:szCs w:val="22"/>
          <w:lang w:val="en-US" w:bidi="ar-SA"/>
        </w:rPr>
      </w:pPr>
    </w:p>
    <w:p w:rsidR="00312F4B" w:rsidRPr="00312F4B" w:rsidRDefault="00312F4B" w:rsidP="00312F4B">
      <w:pPr>
        <w:widowControl w:val="0"/>
        <w:rPr>
          <w:rFonts w:ascii="Arial" w:hAnsi="Arial" w:cs="Times New Roman"/>
          <w:szCs w:val="22"/>
          <w:lang w:val="en-US" w:bidi="ar-SA"/>
        </w:rPr>
      </w:pPr>
    </w:p>
    <w:p w:rsidR="00312F4B" w:rsidRPr="00312F4B" w:rsidRDefault="00312F4B" w:rsidP="00312F4B">
      <w:pPr>
        <w:widowControl w:val="0"/>
        <w:textAlignment w:val="bottom"/>
        <w:rPr>
          <w:rFonts w:ascii="KaiTi" w:eastAsia="KaiTi" w:hAnsi="Calibri" w:cs="Times New Roman"/>
          <w:b/>
          <w:sz w:val="24"/>
          <w:szCs w:val="24"/>
          <w:lang w:val="en-US" w:bidi="ar-SA"/>
        </w:rPr>
      </w:pPr>
      <w:r w:rsidRPr="00312F4B">
        <w:rPr>
          <w:rFonts w:ascii="KaiTi" w:eastAsia="KaiTi" w:hAnsi="Calibri" w:cs="Times New Roman"/>
          <w:b/>
          <w:sz w:val="24"/>
          <w:szCs w:val="24"/>
          <w:lang w:val="en-US" w:bidi="ar-SA"/>
        </w:rPr>
        <w:t>第二十五届会议</w:t>
      </w:r>
    </w:p>
    <w:p w:rsidR="00312F4B" w:rsidRPr="00312F4B" w:rsidRDefault="00312F4B" w:rsidP="00312F4B">
      <w:pPr>
        <w:widowControl w:val="0"/>
        <w:rPr>
          <w:rFonts w:ascii="KaiTi" w:eastAsia="KaiTi" w:hAnsi="KaiTi" w:cs="Times New Roman"/>
          <w:b/>
          <w:sz w:val="24"/>
          <w:szCs w:val="24"/>
          <w:lang w:val="en-US" w:bidi="ar-SA"/>
        </w:rPr>
      </w:pPr>
      <w:r w:rsidRPr="00312F4B">
        <w:rPr>
          <w:rFonts w:ascii="KaiTi" w:eastAsia="KaiTi" w:hAnsi="KaiTi" w:cs="Times New Roman"/>
          <w:sz w:val="24"/>
          <w:szCs w:val="24"/>
          <w:lang w:val="en-US" w:bidi="ar-SA"/>
        </w:rPr>
        <w:t>2016</w:t>
      </w:r>
      <w:r w:rsidRPr="00312F4B">
        <w:rPr>
          <w:rFonts w:ascii="KaiTi" w:eastAsia="KaiTi" w:hAnsi="KaiTi" w:cs="Arial"/>
          <w:b/>
          <w:sz w:val="24"/>
          <w:szCs w:val="24"/>
          <w:lang w:val="en-US" w:bidi="ar-SA"/>
        </w:rPr>
        <w:t>年</w:t>
      </w:r>
      <w:r w:rsidRPr="00312F4B">
        <w:rPr>
          <w:rFonts w:ascii="KaiTi" w:eastAsia="KaiTi" w:hAnsi="KaiTi" w:cs="Times New Roman"/>
          <w:sz w:val="24"/>
          <w:szCs w:val="24"/>
          <w:lang w:val="en-US" w:bidi="ar-SA"/>
        </w:rPr>
        <w:t>8</w:t>
      </w:r>
      <w:r w:rsidRPr="00312F4B">
        <w:rPr>
          <w:rFonts w:ascii="KaiTi" w:eastAsia="KaiTi" w:hAnsi="KaiTi" w:cs="Arial"/>
          <w:b/>
          <w:sz w:val="24"/>
          <w:szCs w:val="24"/>
          <w:lang w:val="en-US" w:bidi="ar-SA"/>
        </w:rPr>
        <w:t>月</w:t>
      </w:r>
      <w:r w:rsidRPr="00312F4B">
        <w:rPr>
          <w:rFonts w:ascii="KaiTi" w:eastAsia="KaiTi" w:hAnsi="KaiTi" w:cs="Arial"/>
          <w:sz w:val="24"/>
          <w:szCs w:val="24"/>
          <w:lang w:val="en-US" w:bidi="ar-SA"/>
        </w:rPr>
        <w:t>29</w:t>
      </w:r>
      <w:r w:rsidRPr="00312F4B">
        <w:rPr>
          <w:rFonts w:ascii="KaiTi" w:eastAsia="KaiTi" w:hAnsi="KaiTi" w:cs="Arial"/>
          <w:b/>
          <w:sz w:val="24"/>
          <w:szCs w:val="24"/>
          <w:lang w:val="en-US" w:bidi="ar-SA"/>
        </w:rPr>
        <w:t>日至</w:t>
      </w:r>
      <w:r w:rsidRPr="00312F4B">
        <w:rPr>
          <w:rFonts w:ascii="KaiTi" w:eastAsia="KaiTi" w:hAnsi="KaiTi" w:cs="Times New Roman"/>
          <w:sz w:val="24"/>
          <w:szCs w:val="24"/>
          <w:lang w:val="en-US" w:bidi="ar-SA"/>
        </w:rPr>
        <w:t>9月2</w:t>
      </w:r>
      <w:r w:rsidRPr="00312F4B">
        <w:rPr>
          <w:rFonts w:ascii="KaiTi" w:eastAsia="KaiTi" w:hAnsi="KaiTi" w:cs="Arial"/>
          <w:b/>
          <w:sz w:val="24"/>
          <w:szCs w:val="24"/>
          <w:lang w:val="en-US" w:bidi="ar-SA"/>
        </w:rPr>
        <w:t>日，日内瓦</w:t>
      </w:r>
    </w:p>
    <w:p w:rsidR="00312F4B" w:rsidRPr="00312F4B" w:rsidRDefault="00312F4B" w:rsidP="00312F4B">
      <w:pPr>
        <w:widowControl w:val="0"/>
        <w:rPr>
          <w:rFonts w:ascii="Arial" w:hAnsi="Arial" w:cs="Times New Roman"/>
          <w:szCs w:val="22"/>
          <w:lang w:val="en-US" w:bidi="ar-SA"/>
        </w:rPr>
      </w:pPr>
    </w:p>
    <w:p w:rsidR="00312F4B" w:rsidRPr="00312F4B" w:rsidRDefault="00312F4B" w:rsidP="00312F4B">
      <w:pPr>
        <w:widowControl w:val="0"/>
        <w:rPr>
          <w:rFonts w:ascii="Arial" w:hAnsi="Arial" w:cs="Times New Roman"/>
          <w:szCs w:val="22"/>
          <w:lang w:val="en-US" w:bidi="ar-SA"/>
        </w:rPr>
      </w:pPr>
    </w:p>
    <w:p w:rsidR="00312F4B" w:rsidRPr="00312F4B" w:rsidRDefault="00312F4B" w:rsidP="00312F4B">
      <w:pPr>
        <w:widowControl w:val="0"/>
        <w:rPr>
          <w:rFonts w:ascii="Arial" w:hAnsi="Arial" w:cs="Times New Roman"/>
          <w:szCs w:val="22"/>
          <w:lang w:val="en-US" w:bidi="ar-SA"/>
        </w:rPr>
      </w:pPr>
    </w:p>
    <w:p w:rsidR="00312F4B" w:rsidRPr="00312F4B" w:rsidRDefault="00312F4B" w:rsidP="00312F4B">
      <w:pPr>
        <w:widowControl w:val="0"/>
        <w:rPr>
          <w:rFonts w:ascii="KaiTi" w:eastAsia="KaiTi" w:hAnsi="KaiTi" w:cs="Arial"/>
          <w:caps/>
          <w:sz w:val="24"/>
          <w:szCs w:val="24"/>
          <w:lang w:val="en-US" w:bidi="ar-SA"/>
        </w:rPr>
      </w:pPr>
      <w:r w:rsidRPr="00312F4B">
        <w:rPr>
          <w:rFonts w:ascii="KaiTi" w:eastAsia="KaiTi" w:hAnsi="KaiTi" w:cs="Arial"/>
          <w:caps/>
          <w:sz w:val="24"/>
          <w:szCs w:val="24"/>
          <w:lang w:val="en-US" w:bidi="ar-SA"/>
        </w:rPr>
        <w:t>2015年年度财务报告和财务报表</w:t>
      </w:r>
    </w:p>
    <w:p w:rsidR="00312F4B" w:rsidRPr="00312F4B" w:rsidRDefault="00312F4B" w:rsidP="00312F4B">
      <w:pPr>
        <w:widowControl w:val="0"/>
        <w:rPr>
          <w:rFonts w:ascii="Arial" w:hAnsi="Arial" w:cs="Times New Roman"/>
          <w:szCs w:val="22"/>
          <w:lang w:val="en-US" w:bidi="ar-SA"/>
        </w:rPr>
      </w:pPr>
    </w:p>
    <w:p w:rsidR="00312F4B" w:rsidRPr="00312F4B" w:rsidRDefault="00312F4B" w:rsidP="00312F4B">
      <w:pPr>
        <w:widowControl w:val="0"/>
        <w:rPr>
          <w:rFonts w:ascii="KaiTi" w:eastAsia="KaiTi" w:hAnsi="KaiTi" w:cs="Arial"/>
          <w:sz w:val="21"/>
          <w:szCs w:val="21"/>
          <w:lang w:val="en-US" w:bidi="ar-SA"/>
        </w:rPr>
      </w:pPr>
      <w:r w:rsidRPr="00312F4B">
        <w:rPr>
          <w:rFonts w:ascii="KaiTi" w:eastAsia="KaiTi" w:hAnsi="KaiTi" w:cs="Arial" w:hint="eastAsia"/>
          <w:sz w:val="21"/>
          <w:szCs w:val="21"/>
          <w:lang w:val="en-US" w:bidi="ar-SA"/>
        </w:rPr>
        <w:t>秘书处编拟</w:t>
      </w:r>
    </w:p>
    <w:p w:rsidR="00312F4B" w:rsidRPr="00312F4B" w:rsidRDefault="00312F4B" w:rsidP="00312F4B">
      <w:pPr>
        <w:jc w:val="left"/>
        <w:rPr>
          <w:rFonts w:ascii="Arial" w:hAnsi="Arial" w:cs="Arial"/>
          <w:lang w:val="en-US" w:bidi="ar-SA"/>
        </w:rPr>
      </w:pPr>
    </w:p>
    <w:p w:rsidR="00312F4B" w:rsidRPr="00312F4B" w:rsidRDefault="00312F4B" w:rsidP="00312F4B">
      <w:pPr>
        <w:jc w:val="left"/>
        <w:rPr>
          <w:rFonts w:ascii="Arial" w:hAnsi="Arial" w:cs="Arial"/>
          <w:lang w:val="en-US" w:bidi="ar-SA"/>
        </w:rPr>
      </w:pPr>
    </w:p>
    <w:p w:rsidR="00312F4B" w:rsidRPr="00312F4B" w:rsidRDefault="00312F4B" w:rsidP="00312F4B">
      <w:pPr>
        <w:jc w:val="left"/>
        <w:rPr>
          <w:rFonts w:ascii="Arial" w:hAnsi="Arial" w:cs="Arial"/>
          <w:lang w:val="en-US" w:bidi="ar-SA"/>
        </w:rPr>
      </w:pPr>
    </w:p>
    <w:p w:rsidR="00312F4B" w:rsidRPr="00312F4B" w:rsidRDefault="00312F4B" w:rsidP="00312F4B">
      <w:pPr>
        <w:jc w:val="left"/>
        <w:rPr>
          <w:rFonts w:ascii="Arial" w:hAnsi="Arial" w:cs="Arial"/>
          <w:lang w:val="en-US" w:bidi="ar-SA"/>
        </w:rPr>
      </w:pPr>
    </w:p>
    <w:p w:rsidR="007A5789" w:rsidRDefault="002F50E3" w:rsidP="00134184">
      <w:pPr>
        <w:numPr>
          <w:ilvl w:val="0"/>
          <w:numId w:val="9"/>
        </w:numPr>
        <w:overflowPunct w:val="0"/>
        <w:spacing w:afterLines="50" w:after="120" w:line="340" w:lineRule="atLeast"/>
        <w:ind w:left="0" w:firstLine="0"/>
        <w:rPr>
          <w:sz w:val="21"/>
        </w:rPr>
      </w:pPr>
      <w:r w:rsidRPr="007A5789">
        <w:rPr>
          <w:sz w:val="21"/>
        </w:rPr>
        <w:t>现根据《财务条例与细则》条例8.11，向计划和预算委员会</w:t>
      </w:r>
      <w:r w:rsidR="00B6014B">
        <w:rPr>
          <w:sz w:val="21"/>
        </w:rPr>
        <w:t>（</w:t>
      </w:r>
      <w:r w:rsidRPr="007A5789">
        <w:rPr>
          <w:sz w:val="21"/>
        </w:rPr>
        <w:t>PBC</w:t>
      </w:r>
      <w:r w:rsidR="00B6014B">
        <w:rPr>
          <w:sz w:val="21"/>
        </w:rPr>
        <w:t>）</w:t>
      </w:r>
      <w:r w:rsidRPr="007A5789">
        <w:rPr>
          <w:sz w:val="21"/>
        </w:rPr>
        <w:t>提交截至2015年12月31日的世界知识产权组织</w:t>
      </w:r>
      <w:r w:rsidR="00B6014B">
        <w:rPr>
          <w:sz w:val="21"/>
        </w:rPr>
        <w:t>（</w:t>
      </w:r>
      <w:r w:rsidRPr="007A5789">
        <w:rPr>
          <w:sz w:val="21"/>
        </w:rPr>
        <w:t>WIPO</w:t>
      </w:r>
      <w:r w:rsidR="00B6014B">
        <w:rPr>
          <w:sz w:val="21"/>
        </w:rPr>
        <w:t>）</w:t>
      </w:r>
      <w:r w:rsidRPr="007A5789">
        <w:rPr>
          <w:sz w:val="21"/>
        </w:rPr>
        <w:t>年度财务报表。条例8.11要求PBC对财务报表及其审计报告进行审查，并酌情附具意见和建议转送大会。</w:t>
      </w:r>
    </w:p>
    <w:p w:rsidR="007A5789" w:rsidRDefault="00F93C2F" w:rsidP="00134184">
      <w:pPr>
        <w:numPr>
          <w:ilvl w:val="0"/>
          <w:numId w:val="9"/>
        </w:numPr>
        <w:overflowPunct w:val="0"/>
        <w:spacing w:afterLines="50" w:after="120" w:line="340" w:lineRule="atLeast"/>
        <w:ind w:left="0" w:firstLine="0"/>
        <w:rPr>
          <w:sz w:val="21"/>
        </w:rPr>
      </w:pPr>
      <w:r w:rsidRPr="007A5789">
        <w:rPr>
          <w:sz w:val="21"/>
        </w:rPr>
        <w:t>2015年财务报表是根据</w:t>
      </w:r>
      <w:r w:rsidR="00AB7CFB" w:rsidRPr="007A5789">
        <w:rPr>
          <w:sz w:val="21"/>
        </w:rPr>
        <w:t>《国际公共部门会计准则》</w:t>
      </w:r>
      <w:r w:rsidR="00B6014B">
        <w:rPr>
          <w:sz w:val="21"/>
        </w:rPr>
        <w:t>（</w:t>
      </w:r>
      <w:r w:rsidRPr="007A5789">
        <w:rPr>
          <w:sz w:val="21"/>
        </w:rPr>
        <w:t>IPSAS</w:t>
      </w:r>
      <w:r w:rsidR="00B6014B">
        <w:rPr>
          <w:sz w:val="21"/>
        </w:rPr>
        <w:t>）</w:t>
      </w:r>
      <w:r w:rsidRPr="007A5789">
        <w:rPr>
          <w:sz w:val="21"/>
        </w:rPr>
        <w:t>编制的。在2007年9月24日至10月3日举行的成员国大会第四十三届会议上，成员国原则同意WIPO在2010年采用IPSAS</w:t>
      </w:r>
      <w:r w:rsidR="00B6014B">
        <w:rPr>
          <w:sz w:val="21"/>
        </w:rPr>
        <w:t>（</w:t>
      </w:r>
      <w:r w:rsidRPr="007A5789">
        <w:rPr>
          <w:sz w:val="21"/>
        </w:rPr>
        <w:t>A/43/5</w:t>
      </w:r>
      <w:r w:rsidR="00B6014B">
        <w:rPr>
          <w:sz w:val="21"/>
        </w:rPr>
        <w:t>）</w:t>
      </w:r>
      <w:r w:rsidRPr="007A5789">
        <w:rPr>
          <w:sz w:val="21"/>
        </w:rPr>
        <w:t>。2015年财务报表是根据IPSAS编制的第六套财务报表。</w:t>
      </w:r>
    </w:p>
    <w:p w:rsidR="007A5789" w:rsidRDefault="002F50E3" w:rsidP="00134184">
      <w:pPr>
        <w:numPr>
          <w:ilvl w:val="0"/>
          <w:numId w:val="9"/>
        </w:numPr>
        <w:overflowPunct w:val="0"/>
        <w:spacing w:afterLines="50" w:after="120" w:line="340" w:lineRule="atLeast"/>
        <w:ind w:left="0" w:firstLine="0"/>
        <w:rPr>
          <w:sz w:val="21"/>
        </w:rPr>
      </w:pPr>
      <w:r w:rsidRPr="007A5789">
        <w:rPr>
          <w:sz w:val="21"/>
        </w:rPr>
        <w:t>外聘审计员对2015年财务报表所作的审计报告及其建议和秘书处的答复一同载于文件WO/PBC/25/4。</w:t>
      </w:r>
    </w:p>
    <w:p w:rsidR="007A5789" w:rsidRDefault="002F50E3" w:rsidP="00134184">
      <w:pPr>
        <w:numPr>
          <w:ilvl w:val="0"/>
          <w:numId w:val="9"/>
        </w:numPr>
        <w:overflowPunct w:val="0"/>
        <w:spacing w:afterLines="50" w:after="120" w:line="340" w:lineRule="atLeast"/>
        <w:ind w:left="0" w:firstLine="0"/>
        <w:rPr>
          <w:sz w:val="21"/>
        </w:rPr>
      </w:pPr>
      <w:r w:rsidRPr="007A5789">
        <w:rPr>
          <w:sz w:val="21"/>
        </w:rPr>
        <w:t>提议决定段落措辞如下。</w:t>
      </w:r>
    </w:p>
    <w:p w:rsidR="007A5789" w:rsidRPr="008B64D0" w:rsidRDefault="002F50E3" w:rsidP="008B64D0">
      <w:pPr>
        <w:overflowPunct w:val="0"/>
        <w:spacing w:afterLines="50" w:after="120" w:line="340" w:lineRule="atLeast"/>
        <w:ind w:left="5534"/>
        <w:rPr>
          <w:rFonts w:ascii="KaiTi" w:eastAsia="KaiTi" w:hAnsi="KaiTi"/>
          <w:sz w:val="21"/>
        </w:rPr>
      </w:pPr>
      <w:r w:rsidRPr="008B64D0">
        <w:rPr>
          <w:rFonts w:ascii="KaiTi" w:eastAsia="KaiTi" w:hAnsi="KaiTi"/>
          <w:sz w:val="21"/>
        </w:rPr>
        <w:t>5.</w:t>
      </w:r>
      <w:r w:rsidR="00624A89" w:rsidRPr="008B64D0">
        <w:rPr>
          <w:rFonts w:ascii="KaiTi" w:eastAsia="KaiTi" w:hAnsi="KaiTi"/>
          <w:sz w:val="21"/>
        </w:rPr>
        <w:tab/>
      </w:r>
      <w:r w:rsidRPr="008B64D0">
        <w:rPr>
          <w:rFonts w:ascii="KaiTi" w:eastAsia="KaiTi" w:hAnsi="KaiTi"/>
          <w:sz w:val="21"/>
        </w:rPr>
        <w:t>计划和预算委员会建议大会和WIPO成员国的其他大会批准2015年年度财务报告和财务报表</w:t>
      </w:r>
      <w:r w:rsidR="00B6014B">
        <w:rPr>
          <w:rFonts w:ascii="KaiTi" w:eastAsia="KaiTi" w:hAnsi="KaiTi"/>
          <w:sz w:val="21"/>
        </w:rPr>
        <w:t>（</w:t>
      </w:r>
      <w:r w:rsidRPr="008B64D0">
        <w:rPr>
          <w:rFonts w:ascii="KaiTi" w:eastAsia="KaiTi" w:hAnsi="KaiTi"/>
          <w:sz w:val="21"/>
        </w:rPr>
        <w:t>文件WO/PBC/25</w:t>
      </w:r>
      <w:r w:rsidR="006F192F">
        <w:rPr>
          <w:rFonts w:ascii="KaiTi" w:eastAsia="KaiTi" w:hAnsi="KaiTi" w:hint="eastAsia"/>
          <w:sz w:val="21"/>
        </w:rPr>
        <w:br/>
      </w:r>
      <w:r w:rsidRPr="008B64D0">
        <w:rPr>
          <w:rFonts w:ascii="KaiTi" w:eastAsia="KaiTi" w:hAnsi="KaiTi"/>
          <w:sz w:val="21"/>
        </w:rPr>
        <w:t>/9</w:t>
      </w:r>
      <w:r w:rsidR="00B6014B">
        <w:rPr>
          <w:rFonts w:ascii="KaiTi" w:eastAsia="KaiTi" w:hAnsi="KaiTi"/>
          <w:sz w:val="21"/>
        </w:rPr>
        <w:t>）</w:t>
      </w:r>
      <w:r w:rsidRPr="008B64D0">
        <w:rPr>
          <w:rFonts w:ascii="KaiTi" w:eastAsia="KaiTi" w:hAnsi="KaiTi"/>
          <w:sz w:val="21"/>
        </w:rPr>
        <w:t>。</w:t>
      </w:r>
    </w:p>
    <w:p w:rsidR="008B64D0" w:rsidRDefault="008B64D0" w:rsidP="008B64D0">
      <w:pPr>
        <w:pStyle w:val="Endofdocument-Annex"/>
        <w:overflowPunct w:val="0"/>
        <w:spacing w:afterLines="50" w:after="120" w:line="340" w:lineRule="atLeast"/>
        <w:rPr>
          <w:rFonts w:ascii="KaiTi" w:eastAsia="KaiTi" w:hAnsi="KaiTi"/>
          <w:sz w:val="21"/>
        </w:rPr>
      </w:pPr>
    </w:p>
    <w:p w:rsidR="00392109" w:rsidRPr="008B64D0" w:rsidRDefault="00F93C2F" w:rsidP="008B64D0">
      <w:pPr>
        <w:pStyle w:val="Endofdocument-Annex"/>
        <w:overflowPunct w:val="0"/>
        <w:spacing w:afterLines="50" w:after="120" w:line="340" w:lineRule="atLeast"/>
        <w:rPr>
          <w:rFonts w:ascii="KaiTi" w:eastAsia="KaiTi" w:hAnsi="KaiTi"/>
          <w:sz w:val="21"/>
        </w:rPr>
      </w:pPr>
      <w:r w:rsidRPr="008B64D0">
        <w:rPr>
          <w:rFonts w:ascii="KaiTi" w:eastAsia="KaiTi" w:hAnsi="KaiTi"/>
          <w:sz w:val="21"/>
        </w:rPr>
        <w:t>[后接2015年财务报表]</w:t>
      </w:r>
    </w:p>
    <w:p w:rsidR="00392109" w:rsidRPr="007A5789" w:rsidRDefault="00392109">
      <w:pPr>
        <w:jc w:val="left"/>
        <w:rPr>
          <w:sz w:val="21"/>
        </w:rPr>
      </w:pPr>
      <w:r w:rsidRPr="007A5789">
        <w:rPr>
          <w:sz w:val="21"/>
        </w:rPr>
        <w:br w:type="page"/>
      </w:r>
    </w:p>
    <w:p w:rsidR="00CB2879" w:rsidRPr="007A5789" w:rsidRDefault="00CB2879">
      <w:pPr>
        <w:jc w:val="left"/>
        <w:rPr>
          <w:sz w:val="21"/>
        </w:rPr>
      </w:pPr>
    </w:p>
    <w:p w:rsidR="00CB2879" w:rsidRPr="007A5789" w:rsidRDefault="00CB2879" w:rsidP="00392109">
      <w:pPr>
        <w:pStyle w:val="Endofdocument-Annex"/>
        <w:rPr>
          <w:sz w:val="21"/>
        </w:rPr>
        <w:sectPr w:rsidR="00CB2879" w:rsidRPr="007A5789" w:rsidSect="00BC00BC">
          <w:endnotePr>
            <w:numFmt w:val="decimal"/>
          </w:endnotePr>
          <w:type w:val="oddPage"/>
          <w:pgSz w:w="11907" w:h="16840" w:code="9"/>
          <w:pgMar w:top="567" w:right="1134" w:bottom="1418" w:left="1418" w:header="510" w:footer="1021" w:gutter="0"/>
          <w:cols w:space="720"/>
          <w:titlePg/>
          <w:docGrid w:linePitch="299"/>
        </w:sectPr>
      </w:pPr>
    </w:p>
    <w:p w:rsidR="00976C19" w:rsidRPr="007A5789" w:rsidRDefault="00976C19" w:rsidP="00392109">
      <w:pPr>
        <w:pStyle w:val="Endofdocument-Annex"/>
        <w:rPr>
          <w:sz w:val="21"/>
        </w:rPr>
      </w:pPr>
    </w:p>
    <w:p w:rsidR="00976C19" w:rsidRPr="007A5789" w:rsidRDefault="00976C19" w:rsidP="00976C19">
      <w:pPr>
        <w:pStyle w:val="StyleHeading1"/>
        <w:rPr>
          <w:b w:val="0"/>
          <w:sz w:val="28"/>
          <w:szCs w:val="28"/>
        </w:rPr>
      </w:pPr>
    </w:p>
    <w:p w:rsidR="00976C19" w:rsidRPr="007A5789" w:rsidRDefault="00976C19" w:rsidP="00976C19">
      <w:pPr>
        <w:pStyle w:val="StyleHeading1"/>
        <w:rPr>
          <w:b w:val="0"/>
          <w:sz w:val="28"/>
          <w:szCs w:val="28"/>
        </w:rPr>
      </w:pPr>
    </w:p>
    <w:p w:rsidR="00976C19" w:rsidRPr="007A5789" w:rsidRDefault="00976C19" w:rsidP="00976C19">
      <w:pPr>
        <w:pStyle w:val="StyleHeading1"/>
        <w:rPr>
          <w:b w:val="0"/>
          <w:sz w:val="28"/>
          <w:szCs w:val="28"/>
        </w:rPr>
      </w:pPr>
    </w:p>
    <w:p w:rsidR="00976C19" w:rsidRPr="00C8425D" w:rsidRDefault="00976C19" w:rsidP="00976C19">
      <w:pPr>
        <w:pStyle w:val="StyleHeading1"/>
        <w:rPr>
          <w:rFonts w:ascii="SimHei" w:eastAsia="SimHei" w:hAnsi="SimHei"/>
          <w:b w:val="0"/>
          <w:spacing w:val="30"/>
          <w:kern w:val="0"/>
          <w:sz w:val="28"/>
          <w:szCs w:val="28"/>
        </w:rPr>
      </w:pPr>
      <w:r w:rsidRPr="00C8425D">
        <w:rPr>
          <w:rFonts w:ascii="SimHei" w:eastAsia="SimHei" w:hAnsi="SimHei"/>
          <w:b w:val="0"/>
          <w:spacing w:val="30"/>
          <w:kern w:val="0"/>
          <w:sz w:val="28"/>
        </w:rPr>
        <w:t>世界知识产权组织</w:t>
      </w:r>
    </w:p>
    <w:p w:rsidR="00976C19" w:rsidRPr="007A5789" w:rsidRDefault="00976C19" w:rsidP="00C8425D">
      <w:pPr>
        <w:jc w:val="center"/>
        <w:rPr>
          <w:sz w:val="21"/>
        </w:rPr>
      </w:pPr>
    </w:p>
    <w:p w:rsidR="00976C19" w:rsidRPr="007A5789" w:rsidRDefault="00976C19" w:rsidP="00C8425D">
      <w:pPr>
        <w:jc w:val="center"/>
        <w:rPr>
          <w:sz w:val="21"/>
        </w:rPr>
      </w:pPr>
    </w:p>
    <w:p w:rsidR="00976C19" w:rsidRPr="007A5789" w:rsidRDefault="00976C19" w:rsidP="00C8425D">
      <w:pPr>
        <w:jc w:val="center"/>
        <w:rPr>
          <w:sz w:val="21"/>
        </w:rPr>
      </w:pPr>
      <w:r w:rsidRPr="007A5789">
        <w:rPr>
          <w:sz w:val="21"/>
        </w:rPr>
        <w:t>年度财务报告和财务报表</w:t>
      </w:r>
    </w:p>
    <w:p w:rsidR="00976C19" w:rsidRPr="007A5789" w:rsidRDefault="00976C19" w:rsidP="00C8425D">
      <w:pPr>
        <w:jc w:val="center"/>
        <w:rPr>
          <w:sz w:val="21"/>
        </w:rPr>
      </w:pPr>
    </w:p>
    <w:p w:rsidR="007A5789" w:rsidRDefault="00976C19" w:rsidP="00976C19">
      <w:pPr>
        <w:jc w:val="center"/>
        <w:rPr>
          <w:sz w:val="21"/>
        </w:rPr>
      </w:pPr>
      <w:r w:rsidRPr="007A5789">
        <w:rPr>
          <w:sz w:val="21"/>
        </w:rPr>
        <w:t>2015年12月31日截止的年度</w:t>
      </w:r>
    </w:p>
    <w:p w:rsidR="00CB2879" w:rsidRPr="007A5789" w:rsidRDefault="00CB2879">
      <w:pPr>
        <w:jc w:val="left"/>
        <w:rPr>
          <w:sz w:val="21"/>
        </w:rPr>
      </w:pPr>
      <w:r w:rsidRPr="007A5789">
        <w:rPr>
          <w:sz w:val="21"/>
        </w:rPr>
        <w:br w:type="page"/>
      </w:r>
    </w:p>
    <w:p w:rsidR="00817B84" w:rsidRPr="00C8425D" w:rsidRDefault="00976C19" w:rsidP="00C53F31">
      <w:pPr>
        <w:spacing w:before="240" w:after="240"/>
        <w:jc w:val="center"/>
        <w:rPr>
          <w:rFonts w:ascii="SimHei" w:eastAsia="SimHei" w:hAnsi="SimHei"/>
          <w:sz w:val="21"/>
        </w:rPr>
      </w:pPr>
      <w:r w:rsidRPr="007A5789">
        <w:rPr>
          <w:sz w:val="21"/>
        </w:rPr>
        <w:lastRenderedPageBreak/>
        <w:br w:type="page"/>
      </w:r>
      <w:bookmarkStart w:id="6" w:name="_Toc455733210"/>
      <w:r w:rsidR="004C08E2" w:rsidRPr="00C8425D">
        <w:rPr>
          <w:rFonts w:ascii="SimHei" w:eastAsia="SimHei" w:hAnsi="SimHei"/>
          <w:sz w:val="21"/>
        </w:rPr>
        <w:lastRenderedPageBreak/>
        <w:t>目</w:t>
      </w:r>
      <w:r w:rsidR="00C8425D">
        <w:rPr>
          <w:rFonts w:ascii="SimHei" w:eastAsia="SimHei" w:hAnsi="SimHei" w:hint="eastAsia"/>
          <w:sz w:val="21"/>
        </w:rPr>
        <w:t xml:space="preserve">　</w:t>
      </w:r>
      <w:r w:rsidR="004C08E2" w:rsidRPr="00C8425D">
        <w:rPr>
          <w:rFonts w:ascii="SimHei" w:eastAsia="SimHei" w:hAnsi="SimHei"/>
          <w:sz w:val="21"/>
        </w:rPr>
        <w:t>录</w:t>
      </w:r>
      <w:bookmarkEnd w:id="6"/>
    </w:p>
    <w:p w:rsidR="002E0387" w:rsidRPr="00CA720C" w:rsidRDefault="002E0387" w:rsidP="00CA720C">
      <w:pPr>
        <w:ind w:right="-1"/>
        <w:jc w:val="right"/>
        <w:rPr>
          <w:b/>
          <w:bCs/>
          <w:caps/>
          <w:kern w:val="32"/>
          <w:sz w:val="21"/>
          <w:szCs w:val="32"/>
        </w:rPr>
      </w:pPr>
      <w:r w:rsidRPr="00CA720C">
        <w:rPr>
          <w:b/>
          <w:sz w:val="21"/>
        </w:rPr>
        <w:t>页</w:t>
      </w:r>
      <w:r w:rsidR="00D10285" w:rsidRPr="00CA720C">
        <w:rPr>
          <w:rFonts w:hint="eastAsia"/>
          <w:b/>
          <w:sz w:val="21"/>
        </w:rPr>
        <w:t>次</w:t>
      </w:r>
    </w:p>
    <w:p w:rsidR="00C22171" w:rsidRPr="007A5789" w:rsidRDefault="00224ACB" w:rsidP="00C22171">
      <w:pPr>
        <w:pStyle w:val="10"/>
        <w:framePr w:wrap="auto" w:vAnchor="margin" w:yAlign="inline"/>
        <w:tabs>
          <w:tab w:val="right" w:pos="9345"/>
        </w:tabs>
        <w:spacing w:after="0"/>
        <w:rPr>
          <w:rFonts w:cs="Times New Roman"/>
          <w:noProof/>
          <w:kern w:val="2"/>
          <w:sz w:val="21"/>
          <w:szCs w:val="22"/>
          <w:lang w:val="en-US" w:bidi="ar-SA"/>
        </w:rPr>
      </w:pPr>
      <w:r w:rsidRPr="00390119">
        <w:rPr>
          <w:rFonts w:ascii="Times New Roman" w:hAnsi="Times New Roman"/>
        </w:rPr>
        <w:fldChar w:fldCharType="begin"/>
      </w:r>
      <w:r w:rsidRPr="00390119">
        <w:rPr>
          <w:rFonts w:ascii="Times New Roman" w:hAnsi="Times New Roman"/>
        </w:rPr>
        <w:instrText xml:space="preserve"> TOC \o "1-3" \h \z \u </w:instrText>
      </w:r>
      <w:r w:rsidRPr="00390119">
        <w:rPr>
          <w:rFonts w:ascii="Times New Roman" w:hAnsi="Times New Roman"/>
        </w:rPr>
        <w:fldChar w:fldCharType="separate"/>
      </w:r>
      <w:hyperlink w:anchor="_Toc456711723" w:history="1">
        <w:r w:rsidR="00C22171" w:rsidRPr="00CA720C">
          <w:rPr>
            <w:rStyle w:val="ae"/>
            <w:rFonts w:ascii="SimHei" w:eastAsia="SimHei" w:hAnsi="SimHei" w:hint="eastAsia"/>
            <w:noProof/>
            <w:sz w:val="21"/>
          </w:rPr>
          <w:t>年度财务报告</w:t>
        </w:r>
        <w:r w:rsidR="00C22171" w:rsidRPr="007A5789">
          <w:rPr>
            <w:noProof/>
            <w:webHidden/>
            <w:sz w:val="21"/>
          </w:rPr>
          <w:tab/>
        </w:r>
        <w:r w:rsidR="00C22171" w:rsidRPr="007A5789">
          <w:rPr>
            <w:noProof/>
            <w:webHidden/>
            <w:sz w:val="21"/>
          </w:rPr>
          <w:fldChar w:fldCharType="begin"/>
        </w:r>
        <w:r w:rsidR="00C22171" w:rsidRPr="007A5789">
          <w:rPr>
            <w:noProof/>
            <w:webHidden/>
            <w:sz w:val="21"/>
          </w:rPr>
          <w:instrText xml:space="preserve"> PAGEREF _Toc456711723 \h </w:instrText>
        </w:r>
        <w:r w:rsidR="00C22171" w:rsidRPr="007A5789">
          <w:rPr>
            <w:noProof/>
            <w:webHidden/>
            <w:sz w:val="21"/>
          </w:rPr>
        </w:r>
        <w:r w:rsidR="00C22171" w:rsidRPr="007A5789">
          <w:rPr>
            <w:noProof/>
            <w:webHidden/>
            <w:sz w:val="21"/>
          </w:rPr>
          <w:fldChar w:fldCharType="separate"/>
        </w:r>
        <w:r w:rsidR="00F75064">
          <w:rPr>
            <w:noProof/>
            <w:webHidden/>
            <w:sz w:val="21"/>
          </w:rPr>
          <w:t>4</w:t>
        </w:r>
        <w:r w:rsidR="00C22171" w:rsidRPr="007A5789">
          <w:rPr>
            <w:noProof/>
            <w:webHidden/>
            <w:sz w:val="21"/>
          </w:rPr>
          <w:fldChar w:fldCharType="end"/>
        </w:r>
      </w:hyperlink>
    </w:p>
    <w:p w:rsidR="00C22171" w:rsidRPr="007A5789" w:rsidRDefault="00874EE0" w:rsidP="00CA720C">
      <w:pPr>
        <w:pStyle w:val="20"/>
        <w:rPr>
          <w:rFonts w:cs="Times New Roman"/>
          <w:color w:val="auto"/>
          <w:kern w:val="2"/>
          <w:szCs w:val="22"/>
          <w:lang w:val="en-US" w:bidi="ar-SA"/>
        </w:rPr>
      </w:pPr>
      <w:hyperlink w:anchor="_Toc456711724" w:history="1">
        <w:r w:rsidR="00C22171" w:rsidRPr="007A5789">
          <w:rPr>
            <w:rStyle w:val="ae"/>
            <w:rFonts w:ascii="SimSun" w:eastAsia="SimSun" w:hAnsi="SimSun" w:hint="eastAsia"/>
          </w:rPr>
          <w:t>引</w:t>
        </w:r>
        <w:r w:rsidR="00B87A4B">
          <w:rPr>
            <w:rStyle w:val="ae"/>
            <w:rFonts w:ascii="SimSun" w:eastAsia="SimSun" w:hAnsi="SimSun" w:hint="eastAsia"/>
          </w:rPr>
          <w:t xml:space="preserve">　</w:t>
        </w:r>
        <w:r w:rsidR="00C22171" w:rsidRPr="007A5789">
          <w:rPr>
            <w:rStyle w:val="ae"/>
            <w:rFonts w:ascii="SimSun" w:eastAsia="SimSun" w:hAnsi="SimSun" w:hint="eastAsia"/>
          </w:rPr>
          <w:t>言</w:t>
        </w:r>
        <w:r w:rsidR="00C22171" w:rsidRPr="007A5789">
          <w:rPr>
            <w:webHidden/>
          </w:rPr>
          <w:tab/>
        </w:r>
        <w:r w:rsidR="00C22171" w:rsidRPr="007A5789">
          <w:rPr>
            <w:webHidden/>
          </w:rPr>
          <w:fldChar w:fldCharType="begin"/>
        </w:r>
        <w:r w:rsidR="00C22171" w:rsidRPr="007A5789">
          <w:rPr>
            <w:webHidden/>
          </w:rPr>
          <w:instrText xml:space="preserve"> PAGEREF _Toc456711724 \h </w:instrText>
        </w:r>
        <w:r w:rsidR="00C22171" w:rsidRPr="007A5789">
          <w:rPr>
            <w:webHidden/>
          </w:rPr>
        </w:r>
        <w:r w:rsidR="00C22171" w:rsidRPr="007A5789">
          <w:rPr>
            <w:webHidden/>
          </w:rPr>
          <w:fldChar w:fldCharType="separate"/>
        </w:r>
        <w:r w:rsidR="00F75064">
          <w:rPr>
            <w:webHidden/>
          </w:rPr>
          <w:t>4</w:t>
        </w:r>
        <w:r w:rsidR="00C22171" w:rsidRPr="007A5789">
          <w:rPr>
            <w:webHidden/>
          </w:rPr>
          <w:fldChar w:fldCharType="end"/>
        </w:r>
      </w:hyperlink>
    </w:p>
    <w:p w:rsidR="00C22171" w:rsidRPr="007A5789" w:rsidRDefault="00874EE0" w:rsidP="00CA720C">
      <w:pPr>
        <w:pStyle w:val="20"/>
        <w:rPr>
          <w:rFonts w:cs="Times New Roman"/>
          <w:color w:val="auto"/>
          <w:kern w:val="2"/>
          <w:szCs w:val="22"/>
          <w:lang w:val="en-US" w:bidi="ar-SA"/>
        </w:rPr>
      </w:pPr>
      <w:hyperlink w:anchor="_Toc456711725" w:history="1">
        <w:r w:rsidR="00C22171" w:rsidRPr="007A5789">
          <w:rPr>
            <w:rStyle w:val="ae"/>
            <w:rFonts w:ascii="SimSun" w:eastAsia="SimSun" w:hAnsi="SimSun" w:hint="eastAsia"/>
          </w:rPr>
          <w:t>财务报表讨论与分析</w:t>
        </w:r>
        <w:r w:rsidR="00C22171" w:rsidRPr="007A5789">
          <w:rPr>
            <w:webHidden/>
          </w:rPr>
          <w:tab/>
        </w:r>
        <w:r w:rsidR="00C22171" w:rsidRPr="007A5789">
          <w:rPr>
            <w:webHidden/>
          </w:rPr>
          <w:fldChar w:fldCharType="begin"/>
        </w:r>
        <w:r w:rsidR="00C22171" w:rsidRPr="007A5789">
          <w:rPr>
            <w:webHidden/>
          </w:rPr>
          <w:instrText xml:space="preserve"> PAGEREF _Toc456711725 \h </w:instrText>
        </w:r>
        <w:r w:rsidR="00C22171" w:rsidRPr="007A5789">
          <w:rPr>
            <w:webHidden/>
          </w:rPr>
        </w:r>
        <w:r w:rsidR="00C22171" w:rsidRPr="007A5789">
          <w:rPr>
            <w:webHidden/>
          </w:rPr>
          <w:fldChar w:fldCharType="separate"/>
        </w:r>
        <w:r w:rsidR="00F75064">
          <w:rPr>
            <w:webHidden/>
          </w:rPr>
          <w:t>4</w:t>
        </w:r>
        <w:r w:rsidR="00C22171" w:rsidRPr="007A5789">
          <w:rPr>
            <w:webHidden/>
          </w:rPr>
          <w:fldChar w:fldCharType="end"/>
        </w:r>
      </w:hyperlink>
    </w:p>
    <w:p w:rsidR="00390119" w:rsidRPr="007A5789" w:rsidRDefault="00390119" w:rsidP="00CA720C">
      <w:pPr>
        <w:pStyle w:val="20"/>
        <w:rPr>
          <w:rStyle w:val="ae"/>
          <w:rFonts w:ascii="SimSun" w:eastAsia="SimSun" w:hAnsi="SimSun"/>
          <w:b/>
          <w:color w:val="000000"/>
          <w:u w:val="none"/>
        </w:rPr>
      </w:pPr>
      <w:r w:rsidRPr="00CA720C">
        <w:rPr>
          <w:rStyle w:val="ae"/>
          <w:rFonts w:hint="eastAsia"/>
          <w:color w:val="000000"/>
          <w:u w:val="none"/>
        </w:rPr>
        <w:t>财务报表</w:t>
      </w:r>
      <w:r w:rsidRPr="007A5789">
        <w:rPr>
          <w:rStyle w:val="ae"/>
          <w:rFonts w:ascii="SimSun" w:eastAsia="SimSun" w:hAnsi="SimSun" w:hint="eastAsia"/>
          <w:color w:val="000000"/>
          <w:u w:val="none"/>
        </w:rPr>
        <w:tab/>
        <w:t>22</w:t>
      </w:r>
    </w:p>
    <w:p w:rsidR="00C22171" w:rsidRPr="007A5789" w:rsidRDefault="00874EE0" w:rsidP="00CA720C">
      <w:pPr>
        <w:pStyle w:val="20"/>
        <w:rPr>
          <w:rFonts w:cs="Times New Roman"/>
          <w:color w:val="auto"/>
          <w:kern w:val="2"/>
          <w:szCs w:val="22"/>
          <w:lang w:val="en-US" w:bidi="ar-SA"/>
        </w:rPr>
      </w:pPr>
      <w:hyperlink w:anchor="_Toc456711726" w:history="1">
        <w:r w:rsidR="00C22171" w:rsidRPr="007A5789">
          <w:rPr>
            <w:rStyle w:val="ae"/>
            <w:rFonts w:ascii="SimSun" w:eastAsia="SimSun" w:hAnsi="SimSun" w:hint="eastAsia"/>
          </w:rPr>
          <w:t>报表一</w:t>
        </w:r>
        <w:r w:rsidR="00C22171" w:rsidRPr="007A5789">
          <w:rPr>
            <w:rStyle w:val="ae"/>
            <w:rFonts w:ascii="SimSun" w:eastAsia="SimSun" w:hAnsi="SimSun"/>
          </w:rPr>
          <w:t>-</w:t>
        </w:r>
        <w:r w:rsidR="00C22171" w:rsidRPr="007A5789">
          <w:rPr>
            <w:rStyle w:val="ae"/>
            <w:rFonts w:ascii="SimSun" w:eastAsia="SimSun" w:hAnsi="SimSun" w:hint="eastAsia"/>
          </w:rPr>
          <w:t>财务状况表</w:t>
        </w:r>
        <w:r w:rsidR="00C22171" w:rsidRPr="007A5789">
          <w:rPr>
            <w:webHidden/>
          </w:rPr>
          <w:tab/>
        </w:r>
        <w:r w:rsidR="00C22171" w:rsidRPr="007A5789">
          <w:rPr>
            <w:webHidden/>
          </w:rPr>
          <w:fldChar w:fldCharType="begin"/>
        </w:r>
        <w:r w:rsidR="00C22171" w:rsidRPr="007A5789">
          <w:rPr>
            <w:webHidden/>
          </w:rPr>
          <w:instrText xml:space="preserve"> PAGEREF _Toc456711726 \h </w:instrText>
        </w:r>
        <w:r w:rsidR="00C22171" w:rsidRPr="007A5789">
          <w:rPr>
            <w:webHidden/>
          </w:rPr>
        </w:r>
        <w:r w:rsidR="00C22171" w:rsidRPr="007A5789">
          <w:rPr>
            <w:webHidden/>
          </w:rPr>
          <w:fldChar w:fldCharType="separate"/>
        </w:r>
        <w:r w:rsidR="00F75064">
          <w:rPr>
            <w:webHidden/>
          </w:rPr>
          <w:t>22</w:t>
        </w:r>
        <w:r w:rsidR="00C22171" w:rsidRPr="007A5789">
          <w:rPr>
            <w:webHidden/>
          </w:rPr>
          <w:fldChar w:fldCharType="end"/>
        </w:r>
      </w:hyperlink>
    </w:p>
    <w:p w:rsidR="00C22171" w:rsidRPr="007A5789" w:rsidRDefault="00874EE0" w:rsidP="00CA720C">
      <w:pPr>
        <w:pStyle w:val="20"/>
        <w:rPr>
          <w:rFonts w:cs="Times New Roman"/>
          <w:color w:val="auto"/>
          <w:kern w:val="2"/>
          <w:szCs w:val="22"/>
          <w:lang w:val="en-US" w:bidi="ar-SA"/>
        </w:rPr>
      </w:pPr>
      <w:hyperlink w:anchor="_Toc456711727" w:history="1">
        <w:r w:rsidR="00C22171" w:rsidRPr="007A5789">
          <w:rPr>
            <w:rStyle w:val="ae"/>
            <w:rFonts w:ascii="SimSun" w:eastAsia="SimSun" w:hAnsi="SimSun" w:hint="eastAsia"/>
          </w:rPr>
          <w:t>报表二</w:t>
        </w:r>
        <w:r w:rsidR="00C22171" w:rsidRPr="007A5789">
          <w:rPr>
            <w:rStyle w:val="ae"/>
            <w:rFonts w:ascii="SimSun" w:eastAsia="SimSun" w:hAnsi="SimSun"/>
          </w:rPr>
          <w:t xml:space="preserve"> - </w:t>
        </w:r>
        <w:r w:rsidR="00C22171" w:rsidRPr="007A5789">
          <w:rPr>
            <w:rStyle w:val="ae"/>
            <w:rFonts w:ascii="SimSun" w:eastAsia="SimSun" w:hAnsi="SimSun" w:hint="eastAsia"/>
          </w:rPr>
          <w:t>财务执行情况表</w:t>
        </w:r>
        <w:r w:rsidR="00C22171" w:rsidRPr="007A5789">
          <w:rPr>
            <w:webHidden/>
          </w:rPr>
          <w:tab/>
        </w:r>
        <w:r w:rsidR="00C22171" w:rsidRPr="007A5789">
          <w:rPr>
            <w:webHidden/>
          </w:rPr>
          <w:fldChar w:fldCharType="begin"/>
        </w:r>
        <w:r w:rsidR="00C22171" w:rsidRPr="007A5789">
          <w:rPr>
            <w:webHidden/>
          </w:rPr>
          <w:instrText xml:space="preserve"> PAGEREF _Toc456711727 \h </w:instrText>
        </w:r>
        <w:r w:rsidR="00C22171" w:rsidRPr="007A5789">
          <w:rPr>
            <w:webHidden/>
          </w:rPr>
        </w:r>
        <w:r w:rsidR="00C22171" w:rsidRPr="007A5789">
          <w:rPr>
            <w:webHidden/>
          </w:rPr>
          <w:fldChar w:fldCharType="separate"/>
        </w:r>
        <w:r w:rsidR="00F75064">
          <w:rPr>
            <w:webHidden/>
          </w:rPr>
          <w:t>23</w:t>
        </w:r>
        <w:r w:rsidR="00C22171" w:rsidRPr="007A5789">
          <w:rPr>
            <w:webHidden/>
          </w:rPr>
          <w:fldChar w:fldCharType="end"/>
        </w:r>
      </w:hyperlink>
    </w:p>
    <w:p w:rsidR="00C22171" w:rsidRPr="007A5789" w:rsidRDefault="00874EE0" w:rsidP="00CA720C">
      <w:pPr>
        <w:pStyle w:val="20"/>
        <w:rPr>
          <w:rFonts w:cs="Times New Roman"/>
          <w:color w:val="auto"/>
          <w:kern w:val="2"/>
          <w:szCs w:val="22"/>
          <w:lang w:val="en-US" w:bidi="ar-SA"/>
        </w:rPr>
      </w:pPr>
      <w:hyperlink w:anchor="_Toc456711728" w:history="1">
        <w:r w:rsidR="00C22171" w:rsidRPr="007A5789">
          <w:rPr>
            <w:rStyle w:val="ae"/>
            <w:rFonts w:ascii="SimSun" w:eastAsia="SimSun" w:hAnsi="SimSun" w:hint="eastAsia"/>
          </w:rPr>
          <w:t>报表三</w:t>
        </w:r>
        <w:r w:rsidR="00C22171" w:rsidRPr="007A5789">
          <w:rPr>
            <w:rStyle w:val="ae"/>
            <w:rFonts w:ascii="SimSun" w:eastAsia="SimSun" w:hAnsi="SimSun"/>
          </w:rPr>
          <w:t xml:space="preserve"> - </w:t>
        </w:r>
        <w:r w:rsidR="00C22171" w:rsidRPr="007A5789">
          <w:rPr>
            <w:rStyle w:val="ae"/>
            <w:rFonts w:ascii="SimSun" w:eastAsia="SimSun" w:hAnsi="SimSun" w:hint="eastAsia"/>
          </w:rPr>
          <w:t>净资产变动表</w:t>
        </w:r>
        <w:r w:rsidR="00C22171" w:rsidRPr="007A5789">
          <w:rPr>
            <w:webHidden/>
          </w:rPr>
          <w:tab/>
        </w:r>
        <w:r w:rsidR="00C22171" w:rsidRPr="007A5789">
          <w:rPr>
            <w:webHidden/>
          </w:rPr>
          <w:fldChar w:fldCharType="begin"/>
        </w:r>
        <w:r w:rsidR="00C22171" w:rsidRPr="007A5789">
          <w:rPr>
            <w:webHidden/>
          </w:rPr>
          <w:instrText xml:space="preserve"> PAGEREF _Toc456711728 \h </w:instrText>
        </w:r>
        <w:r w:rsidR="00C22171" w:rsidRPr="007A5789">
          <w:rPr>
            <w:webHidden/>
          </w:rPr>
        </w:r>
        <w:r w:rsidR="00C22171" w:rsidRPr="007A5789">
          <w:rPr>
            <w:webHidden/>
          </w:rPr>
          <w:fldChar w:fldCharType="separate"/>
        </w:r>
        <w:r w:rsidR="00F75064">
          <w:rPr>
            <w:webHidden/>
          </w:rPr>
          <w:t>24</w:t>
        </w:r>
        <w:r w:rsidR="00C22171" w:rsidRPr="007A5789">
          <w:rPr>
            <w:webHidden/>
          </w:rPr>
          <w:fldChar w:fldCharType="end"/>
        </w:r>
      </w:hyperlink>
    </w:p>
    <w:p w:rsidR="00C22171" w:rsidRPr="007A5789" w:rsidRDefault="00874EE0" w:rsidP="00CA720C">
      <w:pPr>
        <w:pStyle w:val="20"/>
        <w:rPr>
          <w:rFonts w:cs="Times New Roman"/>
          <w:color w:val="auto"/>
          <w:kern w:val="2"/>
          <w:szCs w:val="22"/>
          <w:lang w:val="en-US" w:bidi="ar-SA"/>
        </w:rPr>
      </w:pPr>
      <w:hyperlink w:anchor="_Toc456711729" w:history="1">
        <w:r w:rsidR="00C22171" w:rsidRPr="007A5789">
          <w:rPr>
            <w:rStyle w:val="ae"/>
            <w:rFonts w:ascii="SimSun" w:eastAsia="SimSun" w:hAnsi="SimSun" w:hint="eastAsia"/>
          </w:rPr>
          <w:t>报表四</w:t>
        </w:r>
        <w:r w:rsidR="00C22171" w:rsidRPr="007A5789">
          <w:rPr>
            <w:rStyle w:val="ae"/>
            <w:rFonts w:ascii="SimSun" w:eastAsia="SimSun" w:hAnsi="SimSun"/>
          </w:rPr>
          <w:t xml:space="preserve"> - </w:t>
        </w:r>
        <w:r w:rsidR="00C22171" w:rsidRPr="007A5789">
          <w:rPr>
            <w:rStyle w:val="ae"/>
            <w:rFonts w:ascii="SimSun" w:eastAsia="SimSun" w:hAnsi="SimSun" w:hint="eastAsia"/>
          </w:rPr>
          <w:t>现金流量表</w:t>
        </w:r>
        <w:r w:rsidR="00C22171" w:rsidRPr="007A5789">
          <w:rPr>
            <w:webHidden/>
          </w:rPr>
          <w:tab/>
        </w:r>
        <w:r w:rsidR="00C22171" w:rsidRPr="007A5789">
          <w:rPr>
            <w:webHidden/>
          </w:rPr>
          <w:fldChar w:fldCharType="begin"/>
        </w:r>
        <w:r w:rsidR="00C22171" w:rsidRPr="007A5789">
          <w:rPr>
            <w:webHidden/>
          </w:rPr>
          <w:instrText xml:space="preserve"> PAGEREF _Toc456711729 \h </w:instrText>
        </w:r>
        <w:r w:rsidR="00C22171" w:rsidRPr="007A5789">
          <w:rPr>
            <w:webHidden/>
          </w:rPr>
        </w:r>
        <w:r w:rsidR="00C22171" w:rsidRPr="007A5789">
          <w:rPr>
            <w:webHidden/>
          </w:rPr>
          <w:fldChar w:fldCharType="separate"/>
        </w:r>
        <w:r w:rsidR="00F75064">
          <w:rPr>
            <w:webHidden/>
          </w:rPr>
          <w:t>25</w:t>
        </w:r>
        <w:r w:rsidR="00C22171" w:rsidRPr="007A5789">
          <w:rPr>
            <w:webHidden/>
          </w:rPr>
          <w:fldChar w:fldCharType="end"/>
        </w:r>
      </w:hyperlink>
    </w:p>
    <w:p w:rsidR="00C22171" w:rsidRPr="007A5789" w:rsidRDefault="00874EE0" w:rsidP="00CA720C">
      <w:pPr>
        <w:pStyle w:val="20"/>
        <w:rPr>
          <w:rFonts w:cs="Times New Roman"/>
          <w:color w:val="auto"/>
          <w:kern w:val="2"/>
          <w:szCs w:val="22"/>
          <w:lang w:val="en-US" w:bidi="ar-SA"/>
        </w:rPr>
      </w:pPr>
      <w:hyperlink w:anchor="_Toc456711730" w:history="1">
        <w:r w:rsidR="00C22171" w:rsidRPr="007A5789">
          <w:rPr>
            <w:rStyle w:val="ae"/>
            <w:rFonts w:ascii="SimSun" w:eastAsia="SimSun" w:hAnsi="SimSun" w:hint="eastAsia"/>
          </w:rPr>
          <w:t>报表五</w:t>
        </w:r>
        <w:r w:rsidR="00C22171" w:rsidRPr="007A5789">
          <w:rPr>
            <w:rStyle w:val="ae"/>
            <w:rFonts w:ascii="SimSun" w:eastAsia="SimSun" w:hAnsi="SimSun"/>
          </w:rPr>
          <w:t xml:space="preserve"> </w:t>
        </w:r>
        <w:r w:rsidR="00C22171" w:rsidRPr="007A5789">
          <w:rPr>
            <w:rStyle w:val="ae"/>
            <w:rFonts w:ascii="SimSun" w:eastAsia="SimSun" w:hAnsi="SimSun" w:hint="eastAsia"/>
          </w:rPr>
          <w:t>预算与实际金额对比表</w:t>
        </w:r>
        <w:r w:rsidR="00C22171" w:rsidRPr="007A5789">
          <w:rPr>
            <w:webHidden/>
          </w:rPr>
          <w:tab/>
        </w:r>
        <w:r w:rsidR="00C22171" w:rsidRPr="007A5789">
          <w:rPr>
            <w:webHidden/>
          </w:rPr>
          <w:fldChar w:fldCharType="begin"/>
        </w:r>
        <w:r w:rsidR="00C22171" w:rsidRPr="007A5789">
          <w:rPr>
            <w:webHidden/>
          </w:rPr>
          <w:instrText xml:space="preserve"> PAGEREF _Toc456711730 \h </w:instrText>
        </w:r>
        <w:r w:rsidR="00C22171" w:rsidRPr="007A5789">
          <w:rPr>
            <w:webHidden/>
          </w:rPr>
        </w:r>
        <w:r w:rsidR="00C22171" w:rsidRPr="007A5789">
          <w:rPr>
            <w:webHidden/>
          </w:rPr>
          <w:fldChar w:fldCharType="separate"/>
        </w:r>
        <w:r w:rsidR="00F75064">
          <w:rPr>
            <w:webHidden/>
          </w:rPr>
          <w:t>26</w:t>
        </w:r>
        <w:r w:rsidR="00C22171" w:rsidRPr="007A5789">
          <w:rPr>
            <w:webHidden/>
          </w:rPr>
          <w:fldChar w:fldCharType="end"/>
        </w:r>
      </w:hyperlink>
    </w:p>
    <w:p w:rsidR="00C22171" w:rsidRPr="007A5789" w:rsidRDefault="00874EE0" w:rsidP="00C22171">
      <w:pPr>
        <w:pStyle w:val="30"/>
        <w:tabs>
          <w:tab w:val="clear" w:pos="9344"/>
          <w:tab w:val="right" w:pos="9345"/>
        </w:tabs>
        <w:spacing w:after="0"/>
        <w:rPr>
          <w:rFonts w:cs="Times New Roman"/>
          <w:noProof/>
          <w:kern w:val="2"/>
          <w:sz w:val="21"/>
          <w:szCs w:val="22"/>
          <w:lang w:val="en-US" w:bidi="ar-SA"/>
        </w:rPr>
      </w:pPr>
      <w:hyperlink w:anchor="_Toc456711735" w:history="1">
        <w:r w:rsidR="00C22171" w:rsidRPr="007A5789">
          <w:rPr>
            <w:rStyle w:val="ae"/>
            <w:rFonts w:hint="eastAsia"/>
            <w:noProof/>
            <w:sz w:val="21"/>
          </w:rPr>
          <w:t>附注</w:t>
        </w:r>
        <w:r w:rsidR="00C22171" w:rsidRPr="007A5789">
          <w:rPr>
            <w:rStyle w:val="ae"/>
            <w:noProof/>
            <w:sz w:val="21"/>
          </w:rPr>
          <w:t>1</w:t>
        </w:r>
        <w:r w:rsidR="00C22171" w:rsidRPr="007A5789">
          <w:rPr>
            <w:rStyle w:val="ae"/>
            <w:rFonts w:hint="eastAsia"/>
            <w:noProof/>
            <w:sz w:val="21"/>
          </w:rPr>
          <w:t>：本组织的目标和预算</w:t>
        </w:r>
        <w:r w:rsidR="00C22171" w:rsidRPr="007A5789">
          <w:rPr>
            <w:noProof/>
            <w:webHidden/>
            <w:sz w:val="21"/>
          </w:rPr>
          <w:tab/>
        </w:r>
        <w:r w:rsidR="00C22171" w:rsidRPr="007A5789">
          <w:rPr>
            <w:noProof/>
            <w:webHidden/>
            <w:sz w:val="21"/>
          </w:rPr>
          <w:fldChar w:fldCharType="begin"/>
        </w:r>
        <w:r w:rsidR="00C22171" w:rsidRPr="007A5789">
          <w:rPr>
            <w:noProof/>
            <w:webHidden/>
            <w:sz w:val="21"/>
          </w:rPr>
          <w:instrText xml:space="preserve"> PAGEREF _Toc456711735 \h </w:instrText>
        </w:r>
        <w:r w:rsidR="00C22171" w:rsidRPr="007A5789">
          <w:rPr>
            <w:noProof/>
            <w:webHidden/>
            <w:sz w:val="21"/>
          </w:rPr>
        </w:r>
        <w:r w:rsidR="00C22171" w:rsidRPr="007A5789">
          <w:rPr>
            <w:noProof/>
            <w:webHidden/>
            <w:sz w:val="21"/>
          </w:rPr>
          <w:fldChar w:fldCharType="separate"/>
        </w:r>
        <w:r w:rsidR="00F75064">
          <w:rPr>
            <w:noProof/>
            <w:webHidden/>
            <w:sz w:val="21"/>
          </w:rPr>
          <w:t>30</w:t>
        </w:r>
        <w:r w:rsidR="00C22171" w:rsidRPr="007A5789">
          <w:rPr>
            <w:noProof/>
            <w:webHidden/>
            <w:sz w:val="21"/>
          </w:rPr>
          <w:fldChar w:fldCharType="end"/>
        </w:r>
      </w:hyperlink>
    </w:p>
    <w:p w:rsidR="00C22171" w:rsidRPr="007A5789" w:rsidRDefault="00874EE0" w:rsidP="00C22171">
      <w:pPr>
        <w:pStyle w:val="30"/>
        <w:tabs>
          <w:tab w:val="clear" w:pos="9344"/>
          <w:tab w:val="right" w:pos="9345"/>
        </w:tabs>
        <w:spacing w:after="0"/>
        <w:rPr>
          <w:rFonts w:cs="Times New Roman"/>
          <w:noProof/>
          <w:kern w:val="2"/>
          <w:sz w:val="21"/>
          <w:szCs w:val="22"/>
          <w:lang w:val="en-US" w:bidi="ar-SA"/>
        </w:rPr>
      </w:pPr>
      <w:hyperlink w:anchor="_Toc456711736" w:history="1">
        <w:r w:rsidR="00C22171" w:rsidRPr="007A5789">
          <w:rPr>
            <w:rStyle w:val="ae"/>
            <w:rFonts w:hint="eastAsia"/>
            <w:noProof/>
            <w:sz w:val="21"/>
          </w:rPr>
          <w:t>附注</w:t>
        </w:r>
        <w:r w:rsidR="00C22171" w:rsidRPr="007A5789">
          <w:rPr>
            <w:rStyle w:val="ae"/>
            <w:noProof/>
            <w:sz w:val="21"/>
          </w:rPr>
          <w:t>2</w:t>
        </w:r>
        <w:r w:rsidR="00C22171" w:rsidRPr="007A5789">
          <w:rPr>
            <w:rStyle w:val="ae"/>
            <w:rFonts w:hint="eastAsia"/>
            <w:noProof/>
            <w:sz w:val="21"/>
          </w:rPr>
          <w:t>：重大会计政策</w:t>
        </w:r>
        <w:r w:rsidR="00C22171" w:rsidRPr="007A5789">
          <w:rPr>
            <w:noProof/>
            <w:webHidden/>
            <w:sz w:val="21"/>
          </w:rPr>
          <w:tab/>
        </w:r>
        <w:r w:rsidR="00C22171" w:rsidRPr="007A5789">
          <w:rPr>
            <w:noProof/>
            <w:webHidden/>
            <w:sz w:val="21"/>
          </w:rPr>
          <w:fldChar w:fldCharType="begin"/>
        </w:r>
        <w:r w:rsidR="00C22171" w:rsidRPr="007A5789">
          <w:rPr>
            <w:noProof/>
            <w:webHidden/>
            <w:sz w:val="21"/>
          </w:rPr>
          <w:instrText xml:space="preserve"> PAGEREF _Toc456711736 \h </w:instrText>
        </w:r>
        <w:r w:rsidR="00C22171" w:rsidRPr="007A5789">
          <w:rPr>
            <w:noProof/>
            <w:webHidden/>
            <w:sz w:val="21"/>
          </w:rPr>
        </w:r>
        <w:r w:rsidR="00C22171" w:rsidRPr="007A5789">
          <w:rPr>
            <w:noProof/>
            <w:webHidden/>
            <w:sz w:val="21"/>
          </w:rPr>
          <w:fldChar w:fldCharType="separate"/>
        </w:r>
        <w:r w:rsidR="00F75064">
          <w:rPr>
            <w:noProof/>
            <w:webHidden/>
            <w:sz w:val="21"/>
          </w:rPr>
          <w:t>31</w:t>
        </w:r>
        <w:r w:rsidR="00C22171" w:rsidRPr="007A5789">
          <w:rPr>
            <w:noProof/>
            <w:webHidden/>
            <w:sz w:val="21"/>
          </w:rPr>
          <w:fldChar w:fldCharType="end"/>
        </w:r>
      </w:hyperlink>
    </w:p>
    <w:p w:rsidR="00C22171" w:rsidRPr="007A5789" w:rsidRDefault="00874EE0" w:rsidP="00C22171">
      <w:pPr>
        <w:pStyle w:val="30"/>
        <w:tabs>
          <w:tab w:val="clear" w:pos="9344"/>
          <w:tab w:val="right" w:pos="9345"/>
        </w:tabs>
        <w:spacing w:after="0"/>
        <w:rPr>
          <w:rFonts w:cs="Times New Roman"/>
          <w:noProof/>
          <w:kern w:val="2"/>
          <w:sz w:val="21"/>
          <w:szCs w:val="22"/>
          <w:lang w:val="en-US" w:bidi="ar-SA"/>
        </w:rPr>
      </w:pPr>
      <w:hyperlink w:anchor="_Toc456711737" w:history="1">
        <w:r w:rsidR="00C22171" w:rsidRPr="007A5789">
          <w:rPr>
            <w:rStyle w:val="ae"/>
            <w:rFonts w:hint="eastAsia"/>
            <w:noProof/>
            <w:sz w:val="21"/>
          </w:rPr>
          <w:t>附注</w:t>
        </w:r>
        <w:r w:rsidR="00C22171" w:rsidRPr="007A5789">
          <w:rPr>
            <w:rStyle w:val="ae"/>
            <w:noProof/>
            <w:sz w:val="21"/>
          </w:rPr>
          <w:t>3</w:t>
        </w:r>
        <w:r w:rsidR="00C22171" w:rsidRPr="007A5789">
          <w:rPr>
            <w:rStyle w:val="ae"/>
            <w:rFonts w:hint="eastAsia"/>
            <w:noProof/>
            <w:sz w:val="21"/>
          </w:rPr>
          <w:t>：现金和现金等价物</w:t>
        </w:r>
        <w:r w:rsidR="00C22171" w:rsidRPr="007A5789">
          <w:rPr>
            <w:noProof/>
            <w:webHidden/>
            <w:sz w:val="21"/>
          </w:rPr>
          <w:tab/>
        </w:r>
        <w:r w:rsidR="00C22171" w:rsidRPr="007A5789">
          <w:rPr>
            <w:noProof/>
            <w:webHidden/>
            <w:sz w:val="21"/>
          </w:rPr>
          <w:fldChar w:fldCharType="begin"/>
        </w:r>
        <w:r w:rsidR="00C22171" w:rsidRPr="007A5789">
          <w:rPr>
            <w:noProof/>
            <w:webHidden/>
            <w:sz w:val="21"/>
          </w:rPr>
          <w:instrText xml:space="preserve"> PAGEREF _Toc456711737 \h </w:instrText>
        </w:r>
        <w:r w:rsidR="00C22171" w:rsidRPr="007A5789">
          <w:rPr>
            <w:noProof/>
            <w:webHidden/>
            <w:sz w:val="21"/>
          </w:rPr>
        </w:r>
        <w:r w:rsidR="00C22171" w:rsidRPr="007A5789">
          <w:rPr>
            <w:noProof/>
            <w:webHidden/>
            <w:sz w:val="21"/>
          </w:rPr>
          <w:fldChar w:fldCharType="separate"/>
        </w:r>
        <w:r w:rsidR="00F75064">
          <w:rPr>
            <w:noProof/>
            <w:webHidden/>
            <w:sz w:val="21"/>
          </w:rPr>
          <w:t>37</w:t>
        </w:r>
        <w:r w:rsidR="00C22171" w:rsidRPr="007A5789">
          <w:rPr>
            <w:noProof/>
            <w:webHidden/>
            <w:sz w:val="21"/>
          </w:rPr>
          <w:fldChar w:fldCharType="end"/>
        </w:r>
      </w:hyperlink>
    </w:p>
    <w:p w:rsidR="00C22171" w:rsidRPr="007A5789" w:rsidRDefault="00874EE0" w:rsidP="00C22171">
      <w:pPr>
        <w:pStyle w:val="30"/>
        <w:tabs>
          <w:tab w:val="clear" w:pos="9344"/>
          <w:tab w:val="right" w:pos="9345"/>
        </w:tabs>
        <w:spacing w:after="0"/>
        <w:rPr>
          <w:rFonts w:cs="Times New Roman"/>
          <w:noProof/>
          <w:kern w:val="2"/>
          <w:sz w:val="21"/>
          <w:szCs w:val="22"/>
          <w:lang w:val="en-US" w:bidi="ar-SA"/>
        </w:rPr>
      </w:pPr>
      <w:hyperlink w:anchor="_Toc456711738" w:history="1">
        <w:r w:rsidR="00C22171" w:rsidRPr="007A5789">
          <w:rPr>
            <w:rStyle w:val="ae"/>
            <w:rFonts w:hint="eastAsia"/>
            <w:noProof/>
            <w:sz w:val="21"/>
          </w:rPr>
          <w:t>附注</w:t>
        </w:r>
        <w:r w:rsidR="00C22171" w:rsidRPr="007A5789">
          <w:rPr>
            <w:rStyle w:val="ae"/>
            <w:noProof/>
            <w:sz w:val="21"/>
          </w:rPr>
          <w:t>4</w:t>
        </w:r>
        <w:r w:rsidR="00C22171" w:rsidRPr="007A5789">
          <w:rPr>
            <w:rStyle w:val="ae"/>
            <w:rFonts w:hint="eastAsia"/>
            <w:noProof/>
            <w:sz w:val="21"/>
          </w:rPr>
          <w:t>：应收账款、预付款和预付项目</w:t>
        </w:r>
        <w:r w:rsidR="00C22171" w:rsidRPr="007A5789">
          <w:rPr>
            <w:noProof/>
            <w:webHidden/>
            <w:sz w:val="21"/>
          </w:rPr>
          <w:tab/>
        </w:r>
        <w:r w:rsidR="00C22171" w:rsidRPr="007A5789">
          <w:rPr>
            <w:noProof/>
            <w:webHidden/>
            <w:sz w:val="21"/>
          </w:rPr>
          <w:fldChar w:fldCharType="begin"/>
        </w:r>
        <w:r w:rsidR="00C22171" w:rsidRPr="007A5789">
          <w:rPr>
            <w:noProof/>
            <w:webHidden/>
            <w:sz w:val="21"/>
          </w:rPr>
          <w:instrText xml:space="preserve"> PAGEREF _Toc456711738 \h </w:instrText>
        </w:r>
        <w:r w:rsidR="00C22171" w:rsidRPr="007A5789">
          <w:rPr>
            <w:noProof/>
            <w:webHidden/>
            <w:sz w:val="21"/>
          </w:rPr>
        </w:r>
        <w:r w:rsidR="00C22171" w:rsidRPr="007A5789">
          <w:rPr>
            <w:noProof/>
            <w:webHidden/>
            <w:sz w:val="21"/>
          </w:rPr>
          <w:fldChar w:fldCharType="separate"/>
        </w:r>
        <w:r w:rsidR="00F75064">
          <w:rPr>
            <w:noProof/>
            <w:webHidden/>
            <w:sz w:val="21"/>
          </w:rPr>
          <w:t>38</w:t>
        </w:r>
        <w:r w:rsidR="00C22171" w:rsidRPr="007A5789">
          <w:rPr>
            <w:noProof/>
            <w:webHidden/>
            <w:sz w:val="21"/>
          </w:rPr>
          <w:fldChar w:fldCharType="end"/>
        </w:r>
      </w:hyperlink>
    </w:p>
    <w:p w:rsidR="00C22171" w:rsidRPr="007A5789" w:rsidRDefault="00874EE0" w:rsidP="00C22171">
      <w:pPr>
        <w:pStyle w:val="30"/>
        <w:tabs>
          <w:tab w:val="clear" w:pos="9344"/>
          <w:tab w:val="right" w:pos="9345"/>
        </w:tabs>
        <w:spacing w:after="0"/>
        <w:rPr>
          <w:rFonts w:cs="Times New Roman"/>
          <w:noProof/>
          <w:kern w:val="2"/>
          <w:sz w:val="21"/>
          <w:szCs w:val="22"/>
          <w:lang w:val="en-US" w:bidi="ar-SA"/>
        </w:rPr>
      </w:pPr>
      <w:hyperlink w:anchor="_Toc456711739" w:history="1">
        <w:r w:rsidR="00C22171" w:rsidRPr="007A5789">
          <w:rPr>
            <w:rStyle w:val="ae"/>
            <w:rFonts w:hint="eastAsia"/>
            <w:noProof/>
            <w:sz w:val="21"/>
          </w:rPr>
          <w:t>附注</w:t>
        </w:r>
        <w:r w:rsidR="00C22171" w:rsidRPr="007A5789">
          <w:rPr>
            <w:rStyle w:val="ae"/>
            <w:noProof/>
            <w:sz w:val="21"/>
          </w:rPr>
          <w:t>5</w:t>
        </w:r>
        <w:r w:rsidR="00C22171" w:rsidRPr="007A5789">
          <w:rPr>
            <w:rStyle w:val="ae"/>
            <w:rFonts w:hint="eastAsia"/>
            <w:noProof/>
            <w:sz w:val="21"/>
          </w:rPr>
          <w:t>：库存</w:t>
        </w:r>
        <w:r w:rsidR="00C22171" w:rsidRPr="007A5789">
          <w:rPr>
            <w:noProof/>
            <w:webHidden/>
            <w:sz w:val="21"/>
          </w:rPr>
          <w:tab/>
        </w:r>
        <w:r w:rsidR="00C22171" w:rsidRPr="007A5789">
          <w:rPr>
            <w:noProof/>
            <w:webHidden/>
            <w:sz w:val="21"/>
          </w:rPr>
          <w:fldChar w:fldCharType="begin"/>
        </w:r>
        <w:r w:rsidR="00C22171" w:rsidRPr="007A5789">
          <w:rPr>
            <w:noProof/>
            <w:webHidden/>
            <w:sz w:val="21"/>
          </w:rPr>
          <w:instrText xml:space="preserve"> PAGEREF _Toc456711739 \h </w:instrText>
        </w:r>
        <w:r w:rsidR="00C22171" w:rsidRPr="007A5789">
          <w:rPr>
            <w:noProof/>
            <w:webHidden/>
            <w:sz w:val="21"/>
          </w:rPr>
        </w:r>
        <w:r w:rsidR="00C22171" w:rsidRPr="007A5789">
          <w:rPr>
            <w:noProof/>
            <w:webHidden/>
            <w:sz w:val="21"/>
          </w:rPr>
          <w:fldChar w:fldCharType="separate"/>
        </w:r>
        <w:r w:rsidR="00F75064">
          <w:rPr>
            <w:noProof/>
            <w:webHidden/>
            <w:sz w:val="21"/>
          </w:rPr>
          <w:t>39</w:t>
        </w:r>
        <w:r w:rsidR="00C22171" w:rsidRPr="007A5789">
          <w:rPr>
            <w:noProof/>
            <w:webHidden/>
            <w:sz w:val="21"/>
          </w:rPr>
          <w:fldChar w:fldCharType="end"/>
        </w:r>
      </w:hyperlink>
    </w:p>
    <w:p w:rsidR="00C22171" w:rsidRPr="007A5789" w:rsidRDefault="00874EE0" w:rsidP="00C22171">
      <w:pPr>
        <w:pStyle w:val="30"/>
        <w:tabs>
          <w:tab w:val="clear" w:pos="9344"/>
          <w:tab w:val="right" w:pos="9345"/>
        </w:tabs>
        <w:spacing w:after="0"/>
        <w:rPr>
          <w:rFonts w:cs="Times New Roman"/>
          <w:noProof/>
          <w:kern w:val="2"/>
          <w:sz w:val="21"/>
          <w:szCs w:val="22"/>
          <w:lang w:val="en-US" w:bidi="ar-SA"/>
        </w:rPr>
      </w:pPr>
      <w:hyperlink w:anchor="_Toc456711740" w:history="1">
        <w:r w:rsidR="00C22171" w:rsidRPr="007A5789">
          <w:rPr>
            <w:rStyle w:val="ae"/>
            <w:rFonts w:hint="eastAsia"/>
            <w:noProof/>
            <w:sz w:val="21"/>
          </w:rPr>
          <w:t>附注</w:t>
        </w:r>
        <w:r w:rsidR="00C22171" w:rsidRPr="007A5789">
          <w:rPr>
            <w:rStyle w:val="ae"/>
            <w:noProof/>
            <w:sz w:val="21"/>
          </w:rPr>
          <w:t>6</w:t>
        </w:r>
        <w:r w:rsidR="00C22171" w:rsidRPr="007A5789">
          <w:rPr>
            <w:rStyle w:val="ae"/>
            <w:rFonts w:hint="eastAsia"/>
            <w:noProof/>
            <w:sz w:val="21"/>
          </w:rPr>
          <w:t>：设备</w:t>
        </w:r>
        <w:r w:rsidR="00C22171" w:rsidRPr="007A5789">
          <w:rPr>
            <w:noProof/>
            <w:webHidden/>
            <w:sz w:val="21"/>
          </w:rPr>
          <w:tab/>
        </w:r>
        <w:r w:rsidR="00C22171" w:rsidRPr="007A5789">
          <w:rPr>
            <w:noProof/>
            <w:webHidden/>
            <w:sz w:val="21"/>
          </w:rPr>
          <w:fldChar w:fldCharType="begin"/>
        </w:r>
        <w:r w:rsidR="00C22171" w:rsidRPr="007A5789">
          <w:rPr>
            <w:noProof/>
            <w:webHidden/>
            <w:sz w:val="21"/>
          </w:rPr>
          <w:instrText xml:space="preserve"> PAGEREF _Toc456711740 \h </w:instrText>
        </w:r>
        <w:r w:rsidR="00C22171" w:rsidRPr="007A5789">
          <w:rPr>
            <w:noProof/>
            <w:webHidden/>
            <w:sz w:val="21"/>
          </w:rPr>
        </w:r>
        <w:r w:rsidR="00C22171" w:rsidRPr="007A5789">
          <w:rPr>
            <w:noProof/>
            <w:webHidden/>
            <w:sz w:val="21"/>
          </w:rPr>
          <w:fldChar w:fldCharType="separate"/>
        </w:r>
        <w:r w:rsidR="00F75064">
          <w:rPr>
            <w:noProof/>
            <w:webHidden/>
            <w:sz w:val="21"/>
          </w:rPr>
          <w:t>40</w:t>
        </w:r>
        <w:r w:rsidR="00C22171" w:rsidRPr="007A5789">
          <w:rPr>
            <w:noProof/>
            <w:webHidden/>
            <w:sz w:val="21"/>
          </w:rPr>
          <w:fldChar w:fldCharType="end"/>
        </w:r>
      </w:hyperlink>
    </w:p>
    <w:p w:rsidR="00C22171" w:rsidRPr="007A5789" w:rsidRDefault="00874EE0" w:rsidP="00C22171">
      <w:pPr>
        <w:pStyle w:val="30"/>
        <w:tabs>
          <w:tab w:val="clear" w:pos="9344"/>
          <w:tab w:val="right" w:pos="9345"/>
        </w:tabs>
        <w:spacing w:after="0"/>
        <w:rPr>
          <w:rFonts w:cs="Times New Roman"/>
          <w:noProof/>
          <w:kern w:val="2"/>
          <w:sz w:val="21"/>
          <w:szCs w:val="22"/>
          <w:lang w:val="en-US" w:bidi="ar-SA"/>
        </w:rPr>
      </w:pPr>
      <w:hyperlink w:anchor="_Toc456711741" w:history="1">
        <w:r w:rsidR="00C22171" w:rsidRPr="007A5789">
          <w:rPr>
            <w:rStyle w:val="ae"/>
            <w:rFonts w:hint="eastAsia"/>
            <w:noProof/>
            <w:sz w:val="21"/>
          </w:rPr>
          <w:t>附注</w:t>
        </w:r>
        <w:r w:rsidR="00C22171" w:rsidRPr="007A5789">
          <w:rPr>
            <w:rStyle w:val="ae"/>
            <w:noProof/>
            <w:sz w:val="21"/>
          </w:rPr>
          <w:t>7</w:t>
        </w:r>
        <w:r w:rsidR="00C22171" w:rsidRPr="007A5789">
          <w:rPr>
            <w:rStyle w:val="ae"/>
            <w:rFonts w:hint="eastAsia"/>
            <w:noProof/>
            <w:sz w:val="21"/>
          </w:rPr>
          <w:t>：投资财产</w:t>
        </w:r>
        <w:r w:rsidR="00C22171" w:rsidRPr="007A5789">
          <w:rPr>
            <w:noProof/>
            <w:webHidden/>
            <w:sz w:val="21"/>
          </w:rPr>
          <w:tab/>
        </w:r>
        <w:r w:rsidR="00C22171" w:rsidRPr="007A5789">
          <w:rPr>
            <w:noProof/>
            <w:webHidden/>
            <w:sz w:val="21"/>
          </w:rPr>
          <w:fldChar w:fldCharType="begin"/>
        </w:r>
        <w:r w:rsidR="00C22171" w:rsidRPr="007A5789">
          <w:rPr>
            <w:noProof/>
            <w:webHidden/>
            <w:sz w:val="21"/>
          </w:rPr>
          <w:instrText xml:space="preserve"> PAGEREF _Toc456711741 \h </w:instrText>
        </w:r>
        <w:r w:rsidR="00C22171" w:rsidRPr="007A5789">
          <w:rPr>
            <w:noProof/>
            <w:webHidden/>
            <w:sz w:val="21"/>
          </w:rPr>
        </w:r>
        <w:r w:rsidR="00C22171" w:rsidRPr="007A5789">
          <w:rPr>
            <w:noProof/>
            <w:webHidden/>
            <w:sz w:val="21"/>
          </w:rPr>
          <w:fldChar w:fldCharType="separate"/>
        </w:r>
        <w:r w:rsidR="00F75064">
          <w:rPr>
            <w:noProof/>
            <w:webHidden/>
            <w:sz w:val="21"/>
          </w:rPr>
          <w:t>41</w:t>
        </w:r>
        <w:r w:rsidR="00C22171" w:rsidRPr="007A5789">
          <w:rPr>
            <w:noProof/>
            <w:webHidden/>
            <w:sz w:val="21"/>
          </w:rPr>
          <w:fldChar w:fldCharType="end"/>
        </w:r>
      </w:hyperlink>
    </w:p>
    <w:p w:rsidR="00C22171" w:rsidRPr="007A5789" w:rsidRDefault="00874EE0" w:rsidP="00C22171">
      <w:pPr>
        <w:pStyle w:val="30"/>
        <w:tabs>
          <w:tab w:val="clear" w:pos="9344"/>
          <w:tab w:val="right" w:pos="9345"/>
        </w:tabs>
        <w:spacing w:after="0"/>
        <w:rPr>
          <w:rFonts w:cs="Times New Roman"/>
          <w:noProof/>
          <w:kern w:val="2"/>
          <w:sz w:val="21"/>
          <w:szCs w:val="22"/>
          <w:lang w:val="en-US" w:bidi="ar-SA"/>
        </w:rPr>
      </w:pPr>
      <w:hyperlink w:anchor="_Toc456711742" w:history="1">
        <w:r w:rsidR="00C22171" w:rsidRPr="007A5789">
          <w:rPr>
            <w:rStyle w:val="ae"/>
            <w:rFonts w:hint="eastAsia"/>
            <w:noProof/>
            <w:sz w:val="21"/>
          </w:rPr>
          <w:t>附注</w:t>
        </w:r>
        <w:r w:rsidR="00C22171" w:rsidRPr="007A5789">
          <w:rPr>
            <w:rStyle w:val="ae"/>
            <w:noProof/>
            <w:sz w:val="21"/>
          </w:rPr>
          <w:t>9</w:t>
        </w:r>
        <w:r w:rsidR="00C22171" w:rsidRPr="007A5789">
          <w:rPr>
            <w:rStyle w:val="ae"/>
            <w:rFonts w:hint="eastAsia"/>
            <w:noProof/>
            <w:sz w:val="21"/>
          </w:rPr>
          <w:t>：土地和建筑物</w:t>
        </w:r>
        <w:r w:rsidR="00C22171" w:rsidRPr="007A5789">
          <w:rPr>
            <w:noProof/>
            <w:webHidden/>
            <w:sz w:val="21"/>
          </w:rPr>
          <w:tab/>
        </w:r>
        <w:r w:rsidR="00C22171" w:rsidRPr="007A5789">
          <w:rPr>
            <w:noProof/>
            <w:webHidden/>
            <w:sz w:val="21"/>
          </w:rPr>
          <w:fldChar w:fldCharType="begin"/>
        </w:r>
        <w:r w:rsidR="00C22171" w:rsidRPr="007A5789">
          <w:rPr>
            <w:noProof/>
            <w:webHidden/>
            <w:sz w:val="21"/>
          </w:rPr>
          <w:instrText xml:space="preserve"> PAGEREF _Toc456711742 \h </w:instrText>
        </w:r>
        <w:r w:rsidR="00C22171" w:rsidRPr="007A5789">
          <w:rPr>
            <w:noProof/>
            <w:webHidden/>
            <w:sz w:val="21"/>
          </w:rPr>
        </w:r>
        <w:r w:rsidR="00C22171" w:rsidRPr="007A5789">
          <w:rPr>
            <w:noProof/>
            <w:webHidden/>
            <w:sz w:val="21"/>
          </w:rPr>
          <w:fldChar w:fldCharType="separate"/>
        </w:r>
        <w:r w:rsidR="00F75064">
          <w:rPr>
            <w:noProof/>
            <w:webHidden/>
            <w:sz w:val="21"/>
          </w:rPr>
          <w:t>43</w:t>
        </w:r>
        <w:r w:rsidR="00C22171" w:rsidRPr="007A5789">
          <w:rPr>
            <w:noProof/>
            <w:webHidden/>
            <w:sz w:val="21"/>
          </w:rPr>
          <w:fldChar w:fldCharType="end"/>
        </w:r>
      </w:hyperlink>
    </w:p>
    <w:p w:rsidR="00C22171" w:rsidRPr="007A5789" w:rsidRDefault="00874EE0" w:rsidP="00C22171">
      <w:pPr>
        <w:pStyle w:val="30"/>
        <w:tabs>
          <w:tab w:val="clear" w:pos="9344"/>
          <w:tab w:val="right" w:pos="9345"/>
        </w:tabs>
        <w:spacing w:after="0"/>
        <w:rPr>
          <w:rFonts w:cs="Times New Roman"/>
          <w:noProof/>
          <w:kern w:val="2"/>
          <w:sz w:val="21"/>
          <w:szCs w:val="22"/>
          <w:lang w:val="en-US" w:bidi="ar-SA"/>
        </w:rPr>
      </w:pPr>
      <w:hyperlink w:anchor="_Toc456711743" w:history="1">
        <w:r w:rsidR="00C22171" w:rsidRPr="007A5789">
          <w:rPr>
            <w:rStyle w:val="ae"/>
            <w:rFonts w:hint="eastAsia"/>
            <w:noProof/>
            <w:sz w:val="21"/>
          </w:rPr>
          <w:t>附注</w:t>
        </w:r>
        <w:r w:rsidR="00C22171" w:rsidRPr="007A5789">
          <w:rPr>
            <w:rStyle w:val="ae"/>
            <w:noProof/>
            <w:sz w:val="21"/>
          </w:rPr>
          <w:t>10</w:t>
        </w:r>
        <w:r w:rsidR="00C22171" w:rsidRPr="007A5789">
          <w:rPr>
            <w:rStyle w:val="ae"/>
            <w:rFonts w:hint="eastAsia"/>
            <w:noProof/>
            <w:sz w:val="21"/>
          </w:rPr>
          <w:t>：其他非流动资产</w:t>
        </w:r>
        <w:r w:rsidR="00C22171" w:rsidRPr="007A5789">
          <w:rPr>
            <w:noProof/>
            <w:webHidden/>
            <w:sz w:val="21"/>
          </w:rPr>
          <w:tab/>
        </w:r>
        <w:r w:rsidR="00C22171" w:rsidRPr="007A5789">
          <w:rPr>
            <w:noProof/>
            <w:webHidden/>
            <w:sz w:val="21"/>
          </w:rPr>
          <w:fldChar w:fldCharType="begin"/>
        </w:r>
        <w:r w:rsidR="00C22171" w:rsidRPr="007A5789">
          <w:rPr>
            <w:noProof/>
            <w:webHidden/>
            <w:sz w:val="21"/>
          </w:rPr>
          <w:instrText xml:space="preserve"> PAGEREF _Toc456711743 \h </w:instrText>
        </w:r>
        <w:r w:rsidR="00C22171" w:rsidRPr="007A5789">
          <w:rPr>
            <w:noProof/>
            <w:webHidden/>
            <w:sz w:val="21"/>
          </w:rPr>
        </w:r>
        <w:r w:rsidR="00C22171" w:rsidRPr="007A5789">
          <w:rPr>
            <w:noProof/>
            <w:webHidden/>
            <w:sz w:val="21"/>
          </w:rPr>
          <w:fldChar w:fldCharType="separate"/>
        </w:r>
        <w:r w:rsidR="00F75064">
          <w:rPr>
            <w:noProof/>
            <w:webHidden/>
            <w:sz w:val="21"/>
          </w:rPr>
          <w:t>46</w:t>
        </w:r>
        <w:r w:rsidR="00C22171" w:rsidRPr="007A5789">
          <w:rPr>
            <w:noProof/>
            <w:webHidden/>
            <w:sz w:val="21"/>
          </w:rPr>
          <w:fldChar w:fldCharType="end"/>
        </w:r>
      </w:hyperlink>
    </w:p>
    <w:p w:rsidR="00C22171" w:rsidRPr="007A5789" w:rsidRDefault="00874EE0" w:rsidP="00C22171">
      <w:pPr>
        <w:pStyle w:val="30"/>
        <w:tabs>
          <w:tab w:val="clear" w:pos="9344"/>
          <w:tab w:val="right" w:pos="9345"/>
        </w:tabs>
        <w:spacing w:after="0"/>
        <w:rPr>
          <w:rFonts w:cs="Times New Roman"/>
          <w:noProof/>
          <w:kern w:val="2"/>
          <w:sz w:val="21"/>
          <w:szCs w:val="22"/>
          <w:lang w:val="en-US" w:bidi="ar-SA"/>
        </w:rPr>
      </w:pPr>
      <w:hyperlink w:anchor="_Toc456711744" w:history="1">
        <w:r w:rsidR="00C22171" w:rsidRPr="007A5789">
          <w:rPr>
            <w:rStyle w:val="ae"/>
            <w:rFonts w:hint="eastAsia"/>
            <w:noProof/>
            <w:sz w:val="21"/>
          </w:rPr>
          <w:t>附注</w:t>
        </w:r>
        <w:r w:rsidR="00C22171" w:rsidRPr="007A5789">
          <w:rPr>
            <w:rStyle w:val="ae"/>
            <w:noProof/>
            <w:sz w:val="21"/>
          </w:rPr>
          <w:t>11</w:t>
        </w:r>
        <w:r w:rsidR="00C22171" w:rsidRPr="007A5789">
          <w:rPr>
            <w:rStyle w:val="ae"/>
            <w:rFonts w:hint="eastAsia"/>
            <w:noProof/>
            <w:sz w:val="21"/>
          </w:rPr>
          <w:t>：应付账款</w:t>
        </w:r>
        <w:r w:rsidR="00C22171" w:rsidRPr="007A5789">
          <w:rPr>
            <w:noProof/>
            <w:webHidden/>
            <w:sz w:val="21"/>
          </w:rPr>
          <w:tab/>
        </w:r>
        <w:r w:rsidR="00C22171" w:rsidRPr="007A5789">
          <w:rPr>
            <w:noProof/>
            <w:webHidden/>
            <w:sz w:val="21"/>
          </w:rPr>
          <w:fldChar w:fldCharType="begin"/>
        </w:r>
        <w:r w:rsidR="00C22171" w:rsidRPr="007A5789">
          <w:rPr>
            <w:noProof/>
            <w:webHidden/>
            <w:sz w:val="21"/>
          </w:rPr>
          <w:instrText xml:space="preserve"> PAGEREF _Toc456711744 \h </w:instrText>
        </w:r>
        <w:r w:rsidR="00C22171" w:rsidRPr="007A5789">
          <w:rPr>
            <w:noProof/>
            <w:webHidden/>
            <w:sz w:val="21"/>
          </w:rPr>
        </w:r>
        <w:r w:rsidR="00C22171" w:rsidRPr="007A5789">
          <w:rPr>
            <w:noProof/>
            <w:webHidden/>
            <w:sz w:val="21"/>
          </w:rPr>
          <w:fldChar w:fldCharType="separate"/>
        </w:r>
        <w:r w:rsidR="00F75064">
          <w:rPr>
            <w:noProof/>
            <w:webHidden/>
            <w:sz w:val="21"/>
          </w:rPr>
          <w:t>47</w:t>
        </w:r>
        <w:r w:rsidR="00C22171" w:rsidRPr="007A5789">
          <w:rPr>
            <w:noProof/>
            <w:webHidden/>
            <w:sz w:val="21"/>
          </w:rPr>
          <w:fldChar w:fldCharType="end"/>
        </w:r>
      </w:hyperlink>
    </w:p>
    <w:p w:rsidR="00C22171" w:rsidRPr="007A5789" w:rsidRDefault="00874EE0" w:rsidP="00C22171">
      <w:pPr>
        <w:pStyle w:val="30"/>
        <w:tabs>
          <w:tab w:val="clear" w:pos="9344"/>
          <w:tab w:val="right" w:pos="9345"/>
        </w:tabs>
        <w:spacing w:after="0"/>
        <w:rPr>
          <w:rFonts w:cs="Times New Roman"/>
          <w:noProof/>
          <w:kern w:val="2"/>
          <w:sz w:val="21"/>
          <w:szCs w:val="22"/>
          <w:lang w:val="en-US" w:bidi="ar-SA"/>
        </w:rPr>
      </w:pPr>
      <w:hyperlink w:anchor="_Toc456711745" w:history="1">
        <w:r w:rsidR="00C22171" w:rsidRPr="007A5789">
          <w:rPr>
            <w:rStyle w:val="ae"/>
            <w:rFonts w:hint="eastAsia"/>
            <w:noProof/>
            <w:sz w:val="21"/>
          </w:rPr>
          <w:t>附注</w:t>
        </w:r>
        <w:r w:rsidR="00C22171" w:rsidRPr="007A5789">
          <w:rPr>
            <w:rStyle w:val="ae"/>
            <w:noProof/>
            <w:sz w:val="21"/>
          </w:rPr>
          <w:t>12</w:t>
        </w:r>
        <w:r w:rsidR="00C22171" w:rsidRPr="007A5789">
          <w:rPr>
            <w:rStyle w:val="ae"/>
            <w:rFonts w:hint="eastAsia"/>
            <w:noProof/>
            <w:sz w:val="21"/>
          </w:rPr>
          <w:t>：雇员福利</w:t>
        </w:r>
        <w:r w:rsidR="00C22171" w:rsidRPr="007A5789">
          <w:rPr>
            <w:noProof/>
            <w:webHidden/>
            <w:sz w:val="21"/>
          </w:rPr>
          <w:tab/>
        </w:r>
        <w:r w:rsidR="00C22171" w:rsidRPr="007A5789">
          <w:rPr>
            <w:noProof/>
            <w:webHidden/>
            <w:sz w:val="21"/>
          </w:rPr>
          <w:fldChar w:fldCharType="begin"/>
        </w:r>
        <w:r w:rsidR="00C22171" w:rsidRPr="007A5789">
          <w:rPr>
            <w:noProof/>
            <w:webHidden/>
            <w:sz w:val="21"/>
          </w:rPr>
          <w:instrText xml:space="preserve"> PAGEREF _Toc456711745 \h </w:instrText>
        </w:r>
        <w:r w:rsidR="00C22171" w:rsidRPr="007A5789">
          <w:rPr>
            <w:noProof/>
            <w:webHidden/>
            <w:sz w:val="21"/>
          </w:rPr>
        </w:r>
        <w:r w:rsidR="00C22171" w:rsidRPr="007A5789">
          <w:rPr>
            <w:noProof/>
            <w:webHidden/>
            <w:sz w:val="21"/>
          </w:rPr>
          <w:fldChar w:fldCharType="separate"/>
        </w:r>
        <w:r w:rsidR="00F75064">
          <w:rPr>
            <w:noProof/>
            <w:webHidden/>
            <w:sz w:val="21"/>
          </w:rPr>
          <w:t>47</w:t>
        </w:r>
        <w:r w:rsidR="00C22171" w:rsidRPr="007A5789">
          <w:rPr>
            <w:noProof/>
            <w:webHidden/>
            <w:sz w:val="21"/>
          </w:rPr>
          <w:fldChar w:fldCharType="end"/>
        </w:r>
      </w:hyperlink>
    </w:p>
    <w:p w:rsidR="00C22171" w:rsidRPr="007A5789" w:rsidRDefault="00874EE0" w:rsidP="00C22171">
      <w:pPr>
        <w:pStyle w:val="30"/>
        <w:tabs>
          <w:tab w:val="clear" w:pos="9344"/>
          <w:tab w:val="right" w:pos="9345"/>
        </w:tabs>
        <w:spacing w:after="0"/>
        <w:rPr>
          <w:rFonts w:cs="Times New Roman"/>
          <w:noProof/>
          <w:kern w:val="2"/>
          <w:sz w:val="21"/>
          <w:szCs w:val="22"/>
          <w:lang w:val="en-US" w:bidi="ar-SA"/>
        </w:rPr>
      </w:pPr>
      <w:hyperlink w:anchor="_Toc456711746" w:history="1">
        <w:r w:rsidR="00C22171" w:rsidRPr="007A5789">
          <w:rPr>
            <w:rStyle w:val="ae"/>
            <w:rFonts w:hint="eastAsia"/>
            <w:noProof/>
            <w:sz w:val="21"/>
          </w:rPr>
          <w:t>附注</w:t>
        </w:r>
        <w:r w:rsidR="00C22171" w:rsidRPr="007A5789">
          <w:rPr>
            <w:rStyle w:val="ae"/>
            <w:noProof/>
            <w:sz w:val="21"/>
          </w:rPr>
          <w:t>16</w:t>
        </w:r>
        <w:r w:rsidR="00C22171" w:rsidRPr="007A5789">
          <w:rPr>
            <w:rStyle w:val="ae"/>
            <w:rFonts w:hint="eastAsia"/>
            <w:noProof/>
            <w:sz w:val="21"/>
          </w:rPr>
          <w:t>：准备金</w:t>
        </w:r>
        <w:r w:rsidR="00C22171" w:rsidRPr="007A5789">
          <w:rPr>
            <w:noProof/>
            <w:webHidden/>
            <w:sz w:val="21"/>
          </w:rPr>
          <w:tab/>
        </w:r>
        <w:r w:rsidR="00C22171" w:rsidRPr="007A5789">
          <w:rPr>
            <w:noProof/>
            <w:webHidden/>
            <w:sz w:val="21"/>
          </w:rPr>
          <w:fldChar w:fldCharType="begin"/>
        </w:r>
        <w:r w:rsidR="00C22171" w:rsidRPr="007A5789">
          <w:rPr>
            <w:noProof/>
            <w:webHidden/>
            <w:sz w:val="21"/>
          </w:rPr>
          <w:instrText xml:space="preserve"> PAGEREF _Toc456711746 \h </w:instrText>
        </w:r>
        <w:r w:rsidR="00C22171" w:rsidRPr="007A5789">
          <w:rPr>
            <w:noProof/>
            <w:webHidden/>
            <w:sz w:val="21"/>
          </w:rPr>
        </w:r>
        <w:r w:rsidR="00C22171" w:rsidRPr="007A5789">
          <w:rPr>
            <w:noProof/>
            <w:webHidden/>
            <w:sz w:val="21"/>
          </w:rPr>
          <w:fldChar w:fldCharType="separate"/>
        </w:r>
        <w:r w:rsidR="00F75064">
          <w:rPr>
            <w:noProof/>
            <w:webHidden/>
            <w:sz w:val="21"/>
          </w:rPr>
          <w:t>55</w:t>
        </w:r>
        <w:r w:rsidR="00C22171" w:rsidRPr="007A5789">
          <w:rPr>
            <w:noProof/>
            <w:webHidden/>
            <w:sz w:val="21"/>
          </w:rPr>
          <w:fldChar w:fldCharType="end"/>
        </w:r>
      </w:hyperlink>
    </w:p>
    <w:p w:rsidR="00C22171" w:rsidRPr="007A5789" w:rsidRDefault="00874EE0" w:rsidP="00C22171">
      <w:pPr>
        <w:pStyle w:val="30"/>
        <w:tabs>
          <w:tab w:val="clear" w:pos="9344"/>
          <w:tab w:val="right" w:pos="9345"/>
        </w:tabs>
        <w:spacing w:after="0"/>
        <w:rPr>
          <w:rFonts w:cs="Times New Roman"/>
          <w:noProof/>
          <w:kern w:val="2"/>
          <w:sz w:val="21"/>
          <w:szCs w:val="22"/>
          <w:lang w:val="en-US" w:bidi="ar-SA"/>
        </w:rPr>
      </w:pPr>
      <w:hyperlink w:anchor="_Toc456711747" w:history="1">
        <w:r w:rsidR="00C22171" w:rsidRPr="007A5789">
          <w:rPr>
            <w:rStyle w:val="ae"/>
            <w:rFonts w:hint="eastAsia"/>
            <w:noProof/>
            <w:sz w:val="21"/>
          </w:rPr>
          <w:t>附注</w:t>
        </w:r>
        <w:r w:rsidR="00C22171" w:rsidRPr="007A5789">
          <w:rPr>
            <w:rStyle w:val="ae"/>
            <w:noProof/>
            <w:sz w:val="21"/>
          </w:rPr>
          <w:t>17</w:t>
        </w:r>
        <w:r w:rsidR="00C22171" w:rsidRPr="007A5789">
          <w:rPr>
            <w:rStyle w:val="ae"/>
            <w:rFonts w:hint="eastAsia"/>
            <w:noProof/>
            <w:sz w:val="21"/>
          </w:rPr>
          <w:t>：其他负债</w:t>
        </w:r>
        <w:r w:rsidR="00C22171" w:rsidRPr="007A5789">
          <w:rPr>
            <w:noProof/>
            <w:webHidden/>
            <w:sz w:val="21"/>
          </w:rPr>
          <w:tab/>
        </w:r>
        <w:r w:rsidR="00C22171" w:rsidRPr="007A5789">
          <w:rPr>
            <w:noProof/>
            <w:webHidden/>
            <w:sz w:val="21"/>
          </w:rPr>
          <w:fldChar w:fldCharType="begin"/>
        </w:r>
        <w:r w:rsidR="00C22171" w:rsidRPr="007A5789">
          <w:rPr>
            <w:noProof/>
            <w:webHidden/>
            <w:sz w:val="21"/>
          </w:rPr>
          <w:instrText xml:space="preserve"> PAGEREF _Toc456711747 \h </w:instrText>
        </w:r>
        <w:r w:rsidR="00C22171" w:rsidRPr="007A5789">
          <w:rPr>
            <w:noProof/>
            <w:webHidden/>
            <w:sz w:val="21"/>
          </w:rPr>
        </w:r>
        <w:r w:rsidR="00C22171" w:rsidRPr="007A5789">
          <w:rPr>
            <w:noProof/>
            <w:webHidden/>
            <w:sz w:val="21"/>
          </w:rPr>
          <w:fldChar w:fldCharType="separate"/>
        </w:r>
        <w:r w:rsidR="00F75064">
          <w:rPr>
            <w:noProof/>
            <w:webHidden/>
            <w:sz w:val="21"/>
          </w:rPr>
          <w:t>56</w:t>
        </w:r>
        <w:r w:rsidR="00C22171" w:rsidRPr="007A5789">
          <w:rPr>
            <w:noProof/>
            <w:webHidden/>
            <w:sz w:val="21"/>
          </w:rPr>
          <w:fldChar w:fldCharType="end"/>
        </w:r>
      </w:hyperlink>
    </w:p>
    <w:p w:rsidR="00C22171" w:rsidRPr="007A5789" w:rsidRDefault="00874EE0" w:rsidP="00C22171">
      <w:pPr>
        <w:pStyle w:val="30"/>
        <w:tabs>
          <w:tab w:val="clear" w:pos="9344"/>
          <w:tab w:val="right" w:pos="9345"/>
        </w:tabs>
        <w:spacing w:after="0"/>
        <w:rPr>
          <w:rFonts w:cs="Times New Roman"/>
          <w:noProof/>
          <w:kern w:val="2"/>
          <w:sz w:val="21"/>
          <w:szCs w:val="22"/>
          <w:lang w:val="en-US" w:bidi="ar-SA"/>
        </w:rPr>
      </w:pPr>
      <w:hyperlink w:anchor="_Toc456711748" w:history="1">
        <w:r w:rsidR="00C22171" w:rsidRPr="007A5789">
          <w:rPr>
            <w:rStyle w:val="ae"/>
            <w:rFonts w:hint="eastAsia"/>
            <w:noProof/>
            <w:sz w:val="21"/>
          </w:rPr>
          <w:t>附注</w:t>
        </w:r>
        <w:r w:rsidR="00C22171" w:rsidRPr="007A5789">
          <w:rPr>
            <w:rStyle w:val="ae"/>
            <w:noProof/>
            <w:sz w:val="21"/>
          </w:rPr>
          <w:t>18</w:t>
        </w:r>
        <w:r w:rsidR="00C22171" w:rsidRPr="007A5789">
          <w:rPr>
            <w:rStyle w:val="ae"/>
            <w:rFonts w:hint="eastAsia"/>
            <w:noProof/>
            <w:sz w:val="21"/>
          </w:rPr>
          <w:t>：或有资产和负债</w:t>
        </w:r>
        <w:r w:rsidR="00C22171" w:rsidRPr="007A5789">
          <w:rPr>
            <w:noProof/>
            <w:webHidden/>
            <w:sz w:val="21"/>
          </w:rPr>
          <w:tab/>
        </w:r>
        <w:r w:rsidR="00C22171" w:rsidRPr="007A5789">
          <w:rPr>
            <w:noProof/>
            <w:webHidden/>
            <w:sz w:val="21"/>
          </w:rPr>
          <w:fldChar w:fldCharType="begin"/>
        </w:r>
        <w:r w:rsidR="00C22171" w:rsidRPr="007A5789">
          <w:rPr>
            <w:noProof/>
            <w:webHidden/>
            <w:sz w:val="21"/>
          </w:rPr>
          <w:instrText xml:space="preserve"> PAGEREF _Toc456711748 \h </w:instrText>
        </w:r>
        <w:r w:rsidR="00C22171" w:rsidRPr="007A5789">
          <w:rPr>
            <w:noProof/>
            <w:webHidden/>
            <w:sz w:val="21"/>
          </w:rPr>
        </w:r>
        <w:r w:rsidR="00C22171" w:rsidRPr="007A5789">
          <w:rPr>
            <w:noProof/>
            <w:webHidden/>
            <w:sz w:val="21"/>
          </w:rPr>
          <w:fldChar w:fldCharType="separate"/>
        </w:r>
        <w:r w:rsidR="00F75064">
          <w:rPr>
            <w:noProof/>
            <w:webHidden/>
            <w:sz w:val="21"/>
          </w:rPr>
          <w:t>56</w:t>
        </w:r>
        <w:r w:rsidR="00C22171" w:rsidRPr="007A5789">
          <w:rPr>
            <w:noProof/>
            <w:webHidden/>
            <w:sz w:val="21"/>
          </w:rPr>
          <w:fldChar w:fldCharType="end"/>
        </w:r>
      </w:hyperlink>
    </w:p>
    <w:p w:rsidR="00C22171" w:rsidRPr="007A5789" w:rsidRDefault="00874EE0" w:rsidP="00C22171">
      <w:pPr>
        <w:pStyle w:val="30"/>
        <w:tabs>
          <w:tab w:val="clear" w:pos="9344"/>
          <w:tab w:val="right" w:pos="9345"/>
        </w:tabs>
        <w:spacing w:after="0"/>
        <w:rPr>
          <w:rFonts w:cs="Times New Roman"/>
          <w:noProof/>
          <w:kern w:val="2"/>
          <w:sz w:val="21"/>
          <w:szCs w:val="22"/>
          <w:lang w:val="en-US" w:bidi="ar-SA"/>
        </w:rPr>
      </w:pPr>
      <w:hyperlink w:anchor="_Toc456711749" w:history="1">
        <w:r w:rsidR="00C22171" w:rsidRPr="007A5789">
          <w:rPr>
            <w:rStyle w:val="ae"/>
            <w:rFonts w:hint="eastAsia"/>
            <w:noProof/>
            <w:sz w:val="21"/>
          </w:rPr>
          <w:t>附注</w:t>
        </w:r>
        <w:r w:rsidR="00C22171" w:rsidRPr="007A5789">
          <w:rPr>
            <w:rStyle w:val="ae"/>
            <w:noProof/>
            <w:sz w:val="21"/>
          </w:rPr>
          <w:t>19</w:t>
        </w:r>
        <w:r w:rsidR="00C22171" w:rsidRPr="007A5789">
          <w:rPr>
            <w:rStyle w:val="ae"/>
            <w:rFonts w:hint="eastAsia"/>
            <w:noProof/>
            <w:sz w:val="21"/>
          </w:rPr>
          <w:t>：租赁</w:t>
        </w:r>
        <w:r w:rsidR="00C22171" w:rsidRPr="007A5789">
          <w:rPr>
            <w:noProof/>
            <w:webHidden/>
            <w:sz w:val="21"/>
          </w:rPr>
          <w:tab/>
        </w:r>
        <w:r w:rsidR="00C22171" w:rsidRPr="007A5789">
          <w:rPr>
            <w:noProof/>
            <w:webHidden/>
            <w:sz w:val="21"/>
          </w:rPr>
          <w:fldChar w:fldCharType="begin"/>
        </w:r>
        <w:r w:rsidR="00C22171" w:rsidRPr="007A5789">
          <w:rPr>
            <w:noProof/>
            <w:webHidden/>
            <w:sz w:val="21"/>
          </w:rPr>
          <w:instrText xml:space="preserve"> PAGEREF _Toc456711749 \h </w:instrText>
        </w:r>
        <w:r w:rsidR="00C22171" w:rsidRPr="007A5789">
          <w:rPr>
            <w:noProof/>
            <w:webHidden/>
            <w:sz w:val="21"/>
          </w:rPr>
        </w:r>
        <w:r w:rsidR="00C22171" w:rsidRPr="007A5789">
          <w:rPr>
            <w:noProof/>
            <w:webHidden/>
            <w:sz w:val="21"/>
          </w:rPr>
          <w:fldChar w:fldCharType="separate"/>
        </w:r>
        <w:r w:rsidR="00F75064">
          <w:rPr>
            <w:noProof/>
            <w:webHidden/>
            <w:sz w:val="21"/>
          </w:rPr>
          <w:t>57</w:t>
        </w:r>
        <w:r w:rsidR="00C22171" w:rsidRPr="007A5789">
          <w:rPr>
            <w:noProof/>
            <w:webHidden/>
            <w:sz w:val="21"/>
          </w:rPr>
          <w:fldChar w:fldCharType="end"/>
        </w:r>
      </w:hyperlink>
    </w:p>
    <w:p w:rsidR="00C22171" w:rsidRPr="007A5789" w:rsidRDefault="00874EE0" w:rsidP="00C22171">
      <w:pPr>
        <w:pStyle w:val="30"/>
        <w:tabs>
          <w:tab w:val="clear" w:pos="9344"/>
          <w:tab w:val="right" w:pos="9345"/>
        </w:tabs>
        <w:spacing w:after="0"/>
        <w:rPr>
          <w:rFonts w:cs="Times New Roman"/>
          <w:noProof/>
          <w:kern w:val="2"/>
          <w:sz w:val="21"/>
          <w:szCs w:val="22"/>
          <w:lang w:val="en-US" w:bidi="ar-SA"/>
        </w:rPr>
      </w:pPr>
      <w:hyperlink w:anchor="_Toc456711750" w:history="1">
        <w:r w:rsidR="00C22171" w:rsidRPr="007A5789">
          <w:rPr>
            <w:rStyle w:val="ae"/>
            <w:rFonts w:hint="eastAsia"/>
            <w:noProof/>
            <w:sz w:val="21"/>
          </w:rPr>
          <w:t>附注</w:t>
        </w:r>
        <w:r w:rsidR="00C22171" w:rsidRPr="007A5789">
          <w:rPr>
            <w:rStyle w:val="ae"/>
            <w:noProof/>
            <w:sz w:val="21"/>
          </w:rPr>
          <w:t>20</w:t>
        </w:r>
        <w:r w:rsidR="00C22171" w:rsidRPr="007A5789">
          <w:rPr>
            <w:rStyle w:val="ae"/>
            <w:rFonts w:hint="eastAsia"/>
            <w:noProof/>
            <w:sz w:val="21"/>
          </w:rPr>
          <w:t>：关联方交易</w:t>
        </w:r>
        <w:r w:rsidR="00C22171" w:rsidRPr="007A5789">
          <w:rPr>
            <w:noProof/>
            <w:webHidden/>
            <w:sz w:val="21"/>
          </w:rPr>
          <w:tab/>
        </w:r>
        <w:r w:rsidR="00C22171" w:rsidRPr="007A5789">
          <w:rPr>
            <w:noProof/>
            <w:webHidden/>
            <w:sz w:val="21"/>
          </w:rPr>
          <w:fldChar w:fldCharType="begin"/>
        </w:r>
        <w:r w:rsidR="00C22171" w:rsidRPr="007A5789">
          <w:rPr>
            <w:noProof/>
            <w:webHidden/>
            <w:sz w:val="21"/>
          </w:rPr>
          <w:instrText xml:space="preserve"> PAGEREF _Toc456711750 \h </w:instrText>
        </w:r>
        <w:r w:rsidR="00C22171" w:rsidRPr="007A5789">
          <w:rPr>
            <w:noProof/>
            <w:webHidden/>
            <w:sz w:val="21"/>
          </w:rPr>
        </w:r>
        <w:r w:rsidR="00C22171" w:rsidRPr="007A5789">
          <w:rPr>
            <w:noProof/>
            <w:webHidden/>
            <w:sz w:val="21"/>
          </w:rPr>
          <w:fldChar w:fldCharType="separate"/>
        </w:r>
        <w:r w:rsidR="00F75064">
          <w:rPr>
            <w:noProof/>
            <w:webHidden/>
            <w:sz w:val="21"/>
          </w:rPr>
          <w:t>57</w:t>
        </w:r>
        <w:r w:rsidR="00C22171" w:rsidRPr="007A5789">
          <w:rPr>
            <w:noProof/>
            <w:webHidden/>
            <w:sz w:val="21"/>
          </w:rPr>
          <w:fldChar w:fldCharType="end"/>
        </w:r>
      </w:hyperlink>
    </w:p>
    <w:p w:rsidR="00C22171" w:rsidRPr="007A5789" w:rsidRDefault="00874EE0" w:rsidP="00C22171">
      <w:pPr>
        <w:pStyle w:val="30"/>
        <w:tabs>
          <w:tab w:val="clear" w:pos="9344"/>
          <w:tab w:val="right" w:pos="9345"/>
        </w:tabs>
        <w:spacing w:after="0"/>
        <w:rPr>
          <w:rFonts w:cs="Times New Roman"/>
          <w:noProof/>
          <w:kern w:val="2"/>
          <w:sz w:val="21"/>
          <w:szCs w:val="22"/>
          <w:lang w:val="en-US" w:bidi="ar-SA"/>
        </w:rPr>
      </w:pPr>
      <w:hyperlink w:anchor="_Toc456711751" w:history="1">
        <w:r w:rsidR="00C22171" w:rsidRPr="007A5789">
          <w:rPr>
            <w:rStyle w:val="ae"/>
            <w:rFonts w:hint="eastAsia"/>
            <w:noProof/>
            <w:sz w:val="21"/>
          </w:rPr>
          <w:t>附注</w:t>
        </w:r>
        <w:r w:rsidR="00C22171" w:rsidRPr="007A5789">
          <w:rPr>
            <w:rStyle w:val="ae"/>
            <w:noProof/>
            <w:sz w:val="21"/>
          </w:rPr>
          <w:t>21</w:t>
        </w:r>
        <w:r w:rsidR="00C22171" w:rsidRPr="007A5789">
          <w:rPr>
            <w:rStyle w:val="ae"/>
            <w:rFonts w:hint="eastAsia"/>
            <w:noProof/>
            <w:sz w:val="21"/>
          </w:rPr>
          <w:t>：净资产</w:t>
        </w:r>
        <w:r w:rsidR="00C22171" w:rsidRPr="007A5789">
          <w:rPr>
            <w:noProof/>
            <w:webHidden/>
            <w:sz w:val="21"/>
          </w:rPr>
          <w:tab/>
        </w:r>
        <w:r w:rsidR="00C22171" w:rsidRPr="007A5789">
          <w:rPr>
            <w:noProof/>
            <w:webHidden/>
            <w:sz w:val="21"/>
          </w:rPr>
          <w:fldChar w:fldCharType="begin"/>
        </w:r>
        <w:r w:rsidR="00C22171" w:rsidRPr="007A5789">
          <w:rPr>
            <w:noProof/>
            <w:webHidden/>
            <w:sz w:val="21"/>
          </w:rPr>
          <w:instrText xml:space="preserve"> PAGEREF _Toc456711751 \h </w:instrText>
        </w:r>
        <w:r w:rsidR="00C22171" w:rsidRPr="007A5789">
          <w:rPr>
            <w:noProof/>
            <w:webHidden/>
            <w:sz w:val="21"/>
          </w:rPr>
        </w:r>
        <w:r w:rsidR="00C22171" w:rsidRPr="007A5789">
          <w:rPr>
            <w:noProof/>
            <w:webHidden/>
            <w:sz w:val="21"/>
          </w:rPr>
          <w:fldChar w:fldCharType="separate"/>
        </w:r>
        <w:r w:rsidR="00F75064">
          <w:rPr>
            <w:noProof/>
            <w:webHidden/>
            <w:sz w:val="21"/>
          </w:rPr>
          <w:t>58</w:t>
        </w:r>
        <w:r w:rsidR="00C22171" w:rsidRPr="007A5789">
          <w:rPr>
            <w:noProof/>
            <w:webHidden/>
            <w:sz w:val="21"/>
          </w:rPr>
          <w:fldChar w:fldCharType="end"/>
        </w:r>
      </w:hyperlink>
    </w:p>
    <w:p w:rsidR="00C22171" w:rsidRPr="007A5789" w:rsidRDefault="00874EE0" w:rsidP="00C22171">
      <w:pPr>
        <w:pStyle w:val="30"/>
        <w:tabs>
          <w:tab w:val="clear" w:pos="9344"/>
          <w:tab w:val="right" w:pos="9345"/>
        </w:tabs>
        <w:spacing w:after="0"/>
        <w:rPr>
          <w:rFonts w:cs="Times New Roman"/>
          <w:noProof/>
          <w:kern w:val="2"/>
          <w:sz w:val="21"/>
          <w:szCs w:val="22"/>
          <w:lang w:val="en-US" w:bidi="ar-SA"/>
        </w:rPr>
      </w:pPr>
      <w:hyperlink w:anchor="_Toc456711752" w:history="1">
        <w:r w:rsidR="00C22171" w:rsidRPr="007A5789">
          <w:rPr>
            <w:rStyle w:val="ae"/>
            <w:rFonts w:hint="eastAsia"/>
            <w:noProof/>
            <w:sz w:val="21"/>
          </w:rPr>
          <w:t>附注</w:t>
        </w:r>
        <w:r w:rsidR="00C22171" w:rsidRPr="007A5789">
          <w:rPr>
            <w:rStyle w:val="ae"/>
            <w:noProof/>
            <w:sz w:val="21"/>
          </w:rPr>
          <w:t>22</w:t>
        </w:r>
        <w:r w:rsidR="00C22171" w:rsidRPr="007A5789">
          <w:rPr>
            <w:rStyle w:val="ae"/>
            <w:rFonts w:hint="eastAsia"/>
            <w:noProof/>
            <w:sz w:val="21"/>
          </w:rPr>
          <w:t>：预算比较表和财务执行情况表的对账情况</w:t>
        </w:r>
        <w:r w:rsidR="00C22171" w:rsidRPr="007A5789">
          <w:rPr>
            <w:noProof/>
            <w:webHidden/>
            <w:sz w:val="21"/>
          </w:rPr>
          <w:tab/>
        </w:r>
        <w:r w:rsidR="00C22171" w:rsidRPr="007A5789">
          <w:rPr>
            <w:noProof/>
            <w:webHidden/>
            <w:sz w:val="21"/>
          </w:rPr>
          <w:fldChar w:fldCharType="begin"/>
        </w:r>
        <w:r w:rsidR="00C22171" w:rsidRPr="007A5789">
          <w:rPr>
            <w:noProof/>
            <w:webHidden/>
            <w:sz w:val="21"/>
          </w:rPr>
          <w:instrText xml:space="preserve"> PAGEREF _Toc456711752 \h </w:instrText>
        </w:r>
        <w:r w:rsidR="00C22171" w:rsidRPr="007A5789">
          <w:rPr>
            <w:noProof/>
            <w:webHidden/>
            <w:sz w:val="21"/>
          </w:rPr>
        </w:r>
        <w:r w:rsidR="00C22171" w:rsidRPr="007A5789">
          <w:rPr>
            <w:noProof/>
            <w:webHidden/>
            <w:sz w:val="21"/>
          </w:rPr>
          <w:fldChar w:fldCharType="separate"/>
        </w:r>
        <w:r w:rsidR="00F75064">
          <w:rPr>
            <w:noProof/>
            <w:webHidden/>
            <w:sz w:val="21"/>
          </w:rPr>
          <w:t>59</w:t>
        </w:r>
        <w:r w:rsidR="00C22171" w:rsidRPr="007A5789">
          <w:rPr>
            <w:noProof/>
            <w:webHidden/>
            <w:sz w:val="21"/>
          </w:rPr>
          <w:fldChar w:fldCharType="end"/>
        </w:r>
      </w:hyperlink>
    </w:p>
    <w:p w:rsidR="00C22171" w:rsidRPr="007A5789" w:rsidRDefault="00874EE0" w:rsidP="00C22171">
      <w:pPr>
        <w:pStyle w:val="30"/>
        <w:tabs>
          <w:tab w:val="clear" w:pos="9344"/>
          <w:tab w:val="right" w:pos="9345"/>
        </w:tabs>
        <w:spacing w:after="0"/>
        <w:rPr>
          <w:rFonts w:cs="Times New Roman"/>
          <w:noProof/>
          <w:kern w:val="2"/>
          <w:sz w:val="21"/>
          <w:szCs w:val="22"/>
          <w:lang w:val="en-US" w:bidi="ar-SA"/>
        </w:rPr>
      </w:pPr>
      <w:hyperlink w:anchor="_Toc456711753" w:history="1">
        <w:r w:rsidR="00C22171" w:rsidRPr="007A5789">
          <w:rPr>
            <w:rStyle w:val="ae"/>
            <w:rFonts w:hint="eastAsia"/>
            <w:noProof/>
            <w:sz w:val="21"/>
          </w:rPr>
          <w:t>附注</w:t>
        </w:r>
        <w:r w:rsidR="00C22171" w:rsidRPr="007A5789">
          <w:rPr>
            <w:rStyle w:val="ae"/>
            <w:noProof/>
            <w:sz w:val="21"/>
          </w:rPr>
          <w:t>23</w:t>
        </w:r>
        <w:r w:rsidR="00C22171" w:rsidRPr="007A5789">
          <w:rPr>
            <w:rStyle w:val="ae"/>
            <w:rFonts w:hint="eastAsia"/>
            <w:noProof/>
            <w:sz w:val="21"/>
          </w:rPr>
          <w:t>：收入</w:t>
        </w:r>
        <w:r w:rsidR="00C22171" w:rsidRPr="007A5789">
          <w:rPr>
            <w:noProof/>
            <w:webHidden/>
            <w:sz w:val="21"/>
          </w:rPr>
          <w:tab/>
        </w:r>
        <w:r w:rsidR="00C22171" w:rsidRPr="007A5789">
          <w:rPr>
            <w:noProof/>
            <w:webHidden/>
            <w:sz w:val="21"/>
          </w:rPr>
          <w:fldChar w:fldCharType="begin"/>
        </w:r>
        <w:r w:rsidR="00C22171" w:rsidRPr="007A5789">
          <w:rPr>
            <w:noProof/>
            <w:webHidden/>
            <w:sz w:val="21"/>
          </w:rPr>
          <w:instrText xml:space="preserve"> PAGEREF _Toc456711753 \h </w:instrText>
        </w:r>
        <w:r w:rsidR="00C22171" w:rsidRPr="007A5789">
          <w:rPr>
            <w:noProof/>
            <w:webHidden/>
            <w:sz w:val="21"/>
          </w:rPr>
        </w:r>
        <w:r w:rsidR="00C22171" w:rsidRPr="007A5789">
          <w:rPr>
            <w:noProof/>
            <w:webHidden/>
            <w:sz w:val="21"/>
          </w:rPr>
          <w:fldChar w:fldCharType="separate"/>
        </w:r>
        <w:r w:rsidR="00F75064">
          <w:rPr>
            <w:noProof/>
            <w:webHidden/>
            <w:sz w:val="21"/>
          </w:rPr>
          <w:t>61</w:t>
        </w:r>
        <w:r w:rsidR="00C22171" w:rsidRPr="007A5789">
          <w:rPr>
            <w:noProof/>
            <w:webHidden/>
            <w:sz w:val="21"/>
          </w:rPr>
          <w:fldChar w:fldCharType="end"/>
        </w:r>
      </w:hyperlink>
    </w:p>
    <w:p w:rsidR="00C22171" w:rsidRPr="007A5789" w:rsidRDefault="00874EE0" w:rsidP="00C22171">
      <w:pPr>
        <w:pStyle w:val="30"/>
        <w:tabs>
          <w:tab w:val="clear" w:pos="9344"/>
          <w:tab w:val="right" w:pos="9345"/>
        </w:tabs>
        <w:spacing w:after="0"/>
        <w:rPr>
          <w:rFonts w:cs="Times New Roman"/>
          <w:noProof/>
          <w:kern w:val="2"/>
          <w:sz w:val="21"/>
          <w:szCs w:val="22"/>
          <w:lang w:val="en-US" w:bidi="ar-SA"/>
        </w:rPr>
      </w:pPr>
      <w:hyperlink w:anchor="_Toc456711754" w:history="1">
        <w:r w:rsidR="00C22171" w:rsidRPr="007A5789">
          <w:rPr>
            <w:rStyle w:val="ae"/>
            <w:rFonts w:hint="eastAsia"/>
            <w:noProof/>
            <w:sz w:val="21"/>
          </w:rPr>
          <w:t>附注</w:t>
        </w:r>
        <w:r w:rsidR="00C22171" w:rsidRPr="007A5789">
          <w:rPr>
            <w:rStyle w:val="ae"/>
            <w:noProof/>
            <w:sz w:val="21"/>
          </w:rPr>
          <w:t>24</w:t>
        </w:r>
        <w:r w:rsidR="00C22171" w:rsidRPr="007A5789">
          <w:rPr>
            <w:rStyle w:val="ae"/>
            <w:rFonts w:hint="eastAsia"/>
            <w:noProof/>
            <w:sz w:val="21"/>
          </w:rPr>
          <w:t>：支出</w:t>
        </w:r>
        <w:r w:rsidR="00C22171" w:rsidRPr="007A5789">
          <w:rPr>
            <w:noProof/>
            <w:webHidden/>
            <w:sz w:val="21"/>
          </w:rPr>
          <w:tab/>
        </w:r>
        <w:r w:rsidR="00C22171" w:rsidRPr="007A5789">
          <w:rPr>
            <w:noProof/>
            <w:webHidden/>
            <w:sz w:val="21"/>
          </w:rPr>
          <w:fldChar w:fldCharType="begin"/>
        </w:r>
        <w:r w:rsidR="00C22171" w:rsidRPr="007A5789">
          <w:rPr>
            <w:noProof/>
            <w:webHidden/>
            <w:sz w:val="21"/>
          </w:rPr>
          <w:instrText xml:space="preserve"> PAGEREF _Toc456711754 \h </w:instrText>
        </w:r>
        <w:r w:rsidR="00C22171" w:rsidRPr="007A5789">
          <w:rPr>
            <w:noProof/>
            <w:webHidden/>
            <w:sz w:val="21"/>
          </w:rPr>
        </w:r>
        <w:r w:rsidR="00C22171" w:rsidRPr="007A5789">
          <w:rPr>
            <w:noProof/>
            <w:webHidden/>
            <w:sz w:val="21"/>
          </w:rPr>
          <w:fldChar w:fldCharType="separate"/>
        </w:r>
        <w:r w:rsidR="00F75064">
          <w:rPr>
            <w:noProof/>
            <w:webHidden/>
            <w:sz w:val="21"/>
          </w:rPr>
          <w:t>63</w:t>
        </w:r>
        <w:r w:rsidR="00C22171" w:rsidRPr="007A5789">
          <w:rPr>
            <w:noProof/>
            <w:webHidden/>
            <w:sz w:val="21"/>
          </w:rPr>
          <w:fldChar w:fldCharType="end"/>
        </w:r>
      </w:hyperlink>
    </w:p>
    <w:p w:rsidR="00C22171" w:rsidRPr="007A5789" w:rsidRDefault="00874EE0" w:rsidP="00C22171">
      <w:pPr>
        <w:pStyle w:val="30"/>
        <w:tabs>
          <w:tab w:val="clear" w:pos="9344"/>
          <w:tab w:val="right" w:pos="9345"/>
        </w:tabs>
        <w:spacing w:after="0"/>
        <w:rPr>
          <w:rFonts w:cs="Times New Roman"/>
          <w:noProof/>
          <w:kern w:val="2"/>
          <w:sz w:val="21"/>
          <w:szCs w:val="22"/>
          <w:lang w:val="en-US" w:bidi="ar-SA"/>
        </w:rPr>
      </w:pPr>
      <w:hyperlink w:anchor="_Toc456711755" w:history="1">
        <w:r w:rsidR="00C22171" w:rsidRPr="007A5789">
          <w:rPr>
            <w:rStyle w:val="ae"/>
            <w:rFonts w:hint="eastAsia"/>
            <w:noProof/>
            <w:sz w:val="21"/>
          </w:rPr>
          <w:t>附注</w:t>
        </w:r>
        <w:r w:rsidR="00C22171" w:rsidRPr="007A5789">
          <w:rPr>
            <w:rStyle w:val="ae"/>
            <w:noProof/>
            <w:sz w:val="21"/>
          </w:rPr>
          <w:t>25</w:t>
        </w:r>
        <w:r w:rsidR="00C22171" w:rsidRPr="007A5789">
          <w:rPr>
            <w:rStyle w:val="ae"/>
            <w:rFonts w:hint="eastAsia"/>
            <w:noProof/>
            <w:sz w:val="21"/>
          </w:rPr>
          <w:t>：金融工具</w:t>
        </w:r>
        <w:r w:rsidR="00C22171" w:rsidRPr="007A5789">
          <w:rPr>
            <w:noProof/>
            <w:webHidden/>
            <w:sz w:val="21"/>
          </w:rPr>
          <w:tab/>
        </w:r>
        <w:r w:rsidR="00C22171" w:rsidRPr="007A5789">
          <w:rPr>
            <w:noProof/>
            <w:webHidden/>
            <w:sz w:val="21"/>
          </w:rPr>
          <w:fldChar w:fldCharType="begin"/>
        </w:r>
        <w:r w:rsidR="00C22171" w:rsidRPr="007A5789">
          <w:rPr>
            <w:noProof/>
            <w:webHidden/>
            <w:sz w:val="21"/>
          </w:rPr>
          <w:instrText xml:space="preserve"> PAGEREF _Toc456711755 \h </w:instrText>
        </w:r>
        <w:r w:rsidR="00C22171" w:rsidRPr="007A5789">
          <w:rPr>
            <w:noProof/>
            <w:webHidden/>
            <w:sz w:val="21"/>
          </w:rPr>
        </w:r>
        <w:r w:rsidR="00C22171" w:rsidRPr="007A5789">
          <w:rPr>
            <w:noProof/>
            <w:webHidden/>
            <w:sz w:val="21"/>
          </w:rPr>
          <w:fldChar w:fldCharType="separate"/>
        </w:r>
        <w:r w:rsidR="00F75064">
          <w:rPr>
            <w:noProof/>
            <w:webHidden/>
            <w:sz w:val="21"/>
          </w:rPr>
          <w:t>64</w:t>
        </w:r>
        <w:r w:rsidR="00C22171" w:rsidRPr="007A5789">
          <w:rPr>
            <w:noProof/>
            <w:webHidden/>
            <w:sz w:val="21"/>
          </w:rPr>
          <w:fldChar w:fldCharType="end"/>
        </w:r>
      </w:hyperlink>
    </w:p>
    <w:p w:rsidR="00C22171" w:rsidRPr="007A5789" w:rsidRDefault="00874EE0" w:rsidP="00C22171">
      <w:pPr>
        <w:pStyle w:val="30"/>
        <w:tabs>
          <w:tab w:val="clear" w:pos="9344"/>
          <w:tab w:val="right" w:pos="9345"/>
        </w:tabs>
        <w:spacing w:after="0"/>
        <w:rPr>
          <w:rFonts w:cs="Times New Roman"/>
          <w:noProof/>
          <w:kern w:val="2"/>
          <w:sz w:val="21"/>
          <w:szCs w:val="22"/>
          <w:lang w:val="en-US" w:bidi="ar-SA"/>
        </w:rPr>
      </w:pPr>
      <w:hyperlink w:anchor="_Toc456711756" w:history="1">
        <w:r w:rsidR="00C22171" w:rsidRPr="007A5789">
          <w:rPr>
            <w:rStyle w:val="ae"/>
            <w:rFonts w:hint="eastAsia"/>
            <w:noProof/>
            <w:sz w:val="21"/>
          </w:rPr>
          <w:t>附注</w:t>
        </w:r>
        <w:r w:rsidR="00C22171" w:rsidRPr="007A5789">
          <w:rPr>
            <w:rStyle w:val="ae"/>
            <w:noProof/>
            <w:sz w:val="21"/>
          </w:rPr>
          <w:t>26</w:t>
        </w:r>
        <w:r w:rsidR="00C22171" w:rsidRPr="007A5789">
          <w:rPr>
            <w:rStyle w:val="ae"/>
            <w:rFonts w:hint="eastAsia"/>
            <w:noProof/>
            <w:sz w:val="21"/>
          </w:rPr>
          <w:t>：汇兑损益</w:t>
        </w:r>
        <w:r w:rsidR="00C22171" w:rsidRPr="007A5789">
          <w:rPr>
            <w:noProof/>
            <w:webHidden/>
            <w:sz w:val="21"/>
          </w:rPr>
          <w:tab/>
        </w:r>
        <w:r w:rsidR="00C22171" w:rsidRPr="007A5789">
          <w:rPr>
            <w:noProof/>
            <w:webHidden/>
            <w:sz w:val="21"/>
          </w:rPr>
          <w:fldChar w:fldCharType="begin"/>
        </w:r>
        <w:r w:rsidR="00C22171" w:rsidRPr="007A5789">
          <w:rPr>
            <w:noProof/>
            <w:webHidden/>
            <w:sz w:val="21"/>
          </w:rPr>
          <w:instrText xml:space="preserve"> PAGEREF _Toc456711756 \h </w:instrText>
        </w:r>
        <w:r w:rsidR="00C22171" w:rsidRPr="007A5789">
          <w:rPr>
            <w:noProof/>
            <w:webHidden/>
            <w:sz w:val="21"/>
          </w:rPr>
        </w:r>
        <w:r w:rsidR="00C22171" w:rsidRPr="007A5789">
          <w:rPr>
            <w:noProof/>
            <w:webHidden/>
            <w:sz w:val="21"/>
          </w:rPr>
          <w:fldChar w:fldCharType="separate"/>
        </w:r>
        <w:r w:rsidR="00F75064">
          <w:rPr>
            <w:noProof/>
            <w:webHidden/>
            <w:sz w:val="21"/>
          </w:rPr>
          <w:t>68</w:t>
        </w:r>
        <w:r w:rsidR="00C22171" w:rsidRPr="007A5789">
          <w:rPr>
            <w:noProof/>
            <w:webHidden/>
            <w:sz w:val="21"/>
          </w:rPr>
          <w:fldChar w:fldCharType="end"/>
        </w:r>
      </w:hyperlink>
    </w:p>
    <w:p w:rsidR="00C22171" w:rsidRPr="007A5789" w:rsidRDefault="00874EE0" w:rsidP="00C22171">
      <w:pPr>
        <w:pStyle w:val="30"/>
        <w:tabs>
          <w:tab w:val="clear" w:pos="9344"/>
          <w:tab w:val="right" w:pos="9345"/>
        </w:tabs>
        <w:spacing w:after="0"/>
        <w:rPr>
          <w:rFonts w:cs="Times New Roman"/>
          <w:noProof/>
          <w:kern w:val="2"/>
          <w:sz w:val="21"/>
          <w:szCs w:val="22"/>
          <w:lang w:val="en-US" w:bidi="ar-SA"/>
        </w:rPr>
      </w:pPr>
      <w:hyperlink w:anchor="_Toc456711757" w:history="1">
        <w:r w:rsidR="00C22171" w:rsidRPr="007A5789">
          <w:rPr>
            <w:rStyle w:val="ae"/>
            <w:rFonts w:hint="eastAsia"/>
            <w:noProof/>
            <w:sz w:val="21"/>
          </w:rPr>
          <w:t>附注</w:t>
        </w:r>
        <w:r w:rsidR="00C22171" w:rsidRPr="007A5789">
          <w:rPr>
            <w:rStyle w:val="ae"/>
            <w:noProof/>
            <w:sz w:val="21"/>
          </w:rPr>
          <w:t>27</w:t>
        </w:r>
        <w:r w:rsidR="00C22171" w:rsidRPr="007A5789">
          <w:rPr>
            <w:rStyle w:val="ae"/>
            <w:rFonts w:hint="eastAsia"/>
            <w:noProof/>
            <w:sz w:val="21"/>
          </w:rPr>
          <w:t>：报告日之后的活动</w:t>
        </w:r>
        <w:r w:rsidR="00C22171" w:rsidRPr="007A5789">
          <w:rPr>
            <w:noProof/>
            <w:webHidden/>
            <w:sz w:val="21"/>
          </w:rPr>
          <w:tab/>
        </w:r>
        <w:r w:rsidR="00C22171" w:rsidRPr="007A5789">
          <w:rPr>
            <w:noProof/>
            <w:webHidden/>
            <w:sz w:val="21"/>
          </w:rPr>
          <w:fldChar w:fldCharType="begin"/>
        </w:r>
        <w:r w:rsidR="00C22171" w:rsidRPr="007A5789">
          <w:rPr>
            <w:noProof/>
            <w:webHidden/>
            <w:sz w:val="21"/>
          </w:rPr>
          <w:instrText xml:space="preserve"> PAGEREF _Toc456711757 \h </w:instrText>
        </w:r>
        <w:r w:rsidR="00C22171" w:rsidRPr="007A5789">
          <w:rPr>
            <w:noProof/>
            <w:webHidden/>
            <w:sz w:val="21"/>
          </w:rPr>
        </w:r>
        <w:r w:rsidR="00C22171" w:rsidRPr="007A5789">
          <w:rPr>
            <w:noProof/>
            <w:webHidden/>
            <w:sz w:val="21"/>
          </w:rPr>
          <w:fldChar w:fldCharType="separate"/>
        </w:r>
        <w:r w:rsidR="00F75064">
          <w:rPr>
            <w:noProof/>
            <w:webHidden/>
            <w:sz w:val="21"/>
          </w:rPr>
          <w:t>68</w:t>
        </w:r>
        <w:r w:rsidR="00C22171" w:rsidRPr="007A5789">
          <w:rPr>
            <w:noProof/>
            <w:webHidden/>
            <w:sz w:val="21"/>
          </w:rPr>
          <w:fldChar w:fldCharType="end"/>
        </w:r>
      </w:hyperlink>
    </w:p>
    <w:p w:rsidR="00C22171" w:rsidRPr="007A5789" w:rsidRDefault="00874EE0" w:rsidP="00C22171">
      <w:pPr>
        <w:pStyle w:val="30"/>
        <w:tabs>
          <w:tab w:val="clear" w:pos="9344"/>
          <w:tab w:val="right" w:pos="9345"/>
        </w:tabs>
        <w:spacing w:after="0"/>
        <w:rPr>
          <w:rFonts w:cs="Times New Roman"/>
          <w:noProof/>
          <w:kern w:val="2"/>
          <w:sz w:val="21"/>
          <w:szCs w:val="22"/>
          <w:lang w:val="en-US" w:bidi="ar-SA"/>
        </w:rPr>
      </w:pPr>
      <w:hyperlink w:anchor="_Toc456711758" w:history="1">
        <w:r w:rsidR="00C22171" w:rsidRPr="007A5789">
          <w:rPr>
            <w:rStyle w:val="ae"/>
            <w:rFonts w:hint="eastAsia"/>
            <w:noProof/>
            <w:sz w:val="21"/>
          </w:rPr>
          <w:t>附注</w:t>
        </w:r>
        <w:r w:rsidR="00C22171" w:rsidRPr="007A5789">
          <w:rPr>
            <w:rStyle w:val="ae"/>
            <w:noProof/>
            <w:sz w:val="21"/>
          </w:rPr>
          <w:t>28</w:t>
        </w:r>
        <w:r w:rsidR="00C22171" w:rsidRPr="007A5789">
          <w:rPr>
            <w:rStyle w:val="ae"/>
            <w:rFonts w:hint="eastAsia"/>
            <w:noProof/>
            <w:sz w:val="21"/>
          </w:rPr>
          <w:t>：分部报告</w:t>
        </w:r>
        <w:r w:rsidR="00C22171" w:rsidRPr="007A5789">
          <w:rPr>
            <w:noProof/>
            <w:webHidden/>
            <w:sz w:val="21"/>
          </w:rPr>
          <w:tab/>
        </w:r>
        <w:r w:rsidR="00C22171" w:rsidRPr="007A5789">
          <w:rPr>
            <w:noProof/>
            <w:webHidden/>
            <w:sz w:val="21"/>
          </w:rPr>
          <w:fldChar w:fldCharType="begin"/>
        </w:r>
        <w:r w:rsidR="00C22171" w:rsidRPr="007A5789">
          <w:rPr>
            <w:noProof/>
            <w:webHidden/>
            <w:sz w:val="21"/>
          </w:rPr>
          <w:instrText xml:space="preserve"> PAGEREF _Toc456711758 \h </w:instrText>
        </w:r>
        <w:r w:rsidR="00C22171" w:rsidRPr="007A5789">
          <w:rPr>
            <w:noProof/>
            <w:webHidden/>
            <w:sz w:val="21"/>
          </w:rPr>
        </w:r>
        <w:r w:rsidR="00C22171" w:rsidRPr="007A5789">
          <w:rPr>
            <w:noProof/>
            <w:webHidden/>
            <w:sz w:val="21"/>
          </w:rPr>
          <w:fldChar w:fldCharType="separate"/>
        </w:r>
        <w:r w:rsidR="00F75064">
          <w:rPr>
            <w:noProof/>
            <w:webHidden/>
            <w:sz w:val="21"/>
          </w:rPr>
          <w:t>68</w:t>
        </w:r>
        <w:r w:rsidR="00C22171" w:rsidRPr="007A5789">
          <w:rPr>
            <w:noProof/>
            <w:webHidden/>
            <w:sz w:val="21"/>
          </w:rPr>
          <w:fldChar w:fldCharType="end"/>
        </w:r>
      </w:hyperlink>
    </w:p>
    <w:p w:rsidR="00EE05B9" w:rsidRPr="00CA720C" w:rsidRDefault="00EE05B9" w:rsidP="00CA720C">
      <w:pPr>
        <w:pStyle w:val="20"/>
        <w:rPr>
          <w:rStyle w:val="ae"/>
        </w:rPr>
      </w:pPr>
      <w:r w:rsidRPr="00CA720C">
        <w:rPr>
          <w:rStyle w:val="ae"/>
          <w:rFonts w:hint="eastAsia"/>
          <w:color w:val="000000"/>
          <w:u w:val="none"/>
        </w:rPr>
        <w:t>附</w:t>
      </w:r>
      <w:r w:rsidR="00B87A4B">
        <w:rPr>
          <w:rStyle w:val="ae"/>
          <w:rFonts w:hint="eastAsia"/>
          <w:color w:val="000000"/>
          <w:u w:val="none"/>
        </w:rPr>
        <w:t xml:space="preserve">　</w:t>
      </w:r>
      <w:r w:rsidRPr="00CA720C">
        <w:rPr>
          <w:rStyle w:val="ae"/>
          <w:rFonts w:hint="eastAsia"/>
          <w:color w:val="000000"/>
          <w:u w:val="none"/>
        </w:rPr>
        <w:t>件</w:t>
      </w:r>
    </w:p>
    <w:p w:rsidR="00C22171" w:rsidRPr="007A5789" w:rsidRDefault="00874EE0" w:rsidP="00CA720C">
      <w:pPr>
        <w:pStyle w:val="20"/>
        <w:rPr>
          <w:rFonts w:cs="Times New Roman"/>
          <w:color w:val="auto"/>
          <w:kern w:val="2"/>
          <w:szCs w:val="22"/>
          <w:lang w:val="en-US" w:bidi="ar-SA"/>
        </w:rPr>
      </w:pPr>
      <w:hyperlink w:anchor="_Toc456711759" w:history="1">
        <w:r w:rsidR="00C22171" w:rsidRPr="007A5789">
          <w:rPr>
            <w:rStyle w:val="ae"/>
            <w:rFonts w:ascii="SimSun" w:eastAsia="SimSun" w:hAnsi="SimSun" w:hint="eastAsia"/>
          </w:rPr>
          <w:t>附件一</w:t>
        </w:r>
        <w:r w:rsidR="00C22171" w:rsidRPr="007A5789">
          <w:rPr>
            <w:rStyle w:val="ae"/>
            <w:rFonts w:ascii="SimSun" w:eastAsia="SimSun" w:hAnsi="SimSun"/>
          </w:rPr>
          <w:t xml:space="preserve"> - </w:t>
        </w:r>
        <w:r w:rsidR="00C22171" w:rsidRPr="007A5789">
          <w:rPr>
            <w:rStyle w:val="ae"/>
            <w:rFonts w:ascii="SimSun" w:eastAsia="SimSun" w:hAnsi="SimSun" w:hint="eastAsia"/>
          </w:rPr>
          <w:t>按资金来源开列的财务状况表（未经审计）</w:t>
        </w:r>
        <w:r w:rsidR="00C22171" w:rsidRPr="00B87A4B">
          <w:rPr>
            <w:rFonts w:ascii="SimSun" w:eastAsia="SimSun" w:hAnsi="SimSun"/>
            <w:webHidden/>
          </w:rPr>
          <w:tab/>
        </w:r>
        <w:r w:rsidR="00C22171" w:rsidRPr="00B87A4B">
          <w:rPr>
            <w:rFonts w:ascii="SimSun" w:eastAsia="SimSun" w:hAnsi="SimSun"/>
            <w:webHidden/>
          </w:rPr>
          <w:fldChar w:fldCharType="begin"/>
        </w:r>
        <w:r w:rsidR="00C22171" w:rsidRPr="00B87A4B">
          <w:rPr>
            <w:rFonts w:ascii="SimSun" w:eastAsia="SimSun" w:hAnsi="SimSun"/>
            <w:webHidden/>
          </w:rPr>
          <w:instrText xml:space="preserve"> PAGEREF _Toc456711759 \h </w:instrText>
        </w:r>
        <w:r w:rsidR="00C22171" w:rsidRPr="00B87A4B">
          <w:rPr>
            <w:rFonts w:ascii="SimSun" w:eastAsia="SimSun" w:hAnsi="SimSun"/>
            <w:webHidden/>
          </w:rPr>
        </w:r>
        <w:r w:rsidR="00C22171" w:rsidRPr="00B87A4B">
          <w:rPr>
            <w:rFonts w:ascii="SimSun" w:eastAsia="SimSun" w:hAnsi="SimSun"/>
            <w:webHidden/>
          </w:rPr>
          <w:fldChar w:fldCharType="separate"/>
        </w:r>
        <w:r w:rsidR="00F75064" w:rsidRPr="00B87A4B">
          <w:rPr>
            <w:rFonts w:ascii="SimSun" w:eastAsia="SimSun" w:hAnsi="SimSun"/>
            <w:webHidden/>
          </w:rPr>
          <w:t>71</w:t>
        </w:r>
        <w:r w:rsidR="00C22171" w:rsidRPr="00B87A4B">
          <w:rPr>
            <w:rFonts w:ascii="SimSun" w:eastAsia="SimSun" w:hAnsi="SimSun"/>
            <w:webHidden/>
          </w:rPr>
          <w:fldChar w:fldCharType="end"/>
        </w:r>
      </w:hyperlink>
    </w:p>
    <w:p w:rsidR="00C22171" w:rsidRPr="007A5789" w:rsidRDefault="00874EE0" w:rsidP="00CA720C">
      <w:pPr>
        <w:pStyle w:val="20"/>
        <w:rPr>
          <w:rFonts w:cs="Times New Roman"/>
          <w:color w:val="auto"/>
          <w:kern w:val="2"/>
          <w:szCs w:val="22"/>
          <w:lang w:val="en-US" w:bidi="ar-SA"/>
        </w:rPr>
      </w:pPr>
      <w:hyperlink w:anchor="_Toc456711760" w:history="1">
        <w:r w:rsidR="00C22171" w:rsidRPr="007A5789">
          <w:rPr>
            <w:rStyle w:val="ae"/>
            <w:rFonts w:ascii="SimSun" w:eastAsia="SimSun" w:hAnsi="SimSun" w:hint="eastAsia"/>
            <w:bCs/>
            <w:iCs/>
          </w:rPr>
          <w:t>附件二</w:t>
        </w:r>
        <w:r w:rsidR="00C22171" w:rsidRPr="007A5789">
          <w:rPr>
            <w:rStyle w:val="ae"/>
            <w:rFonts w:ascii="SimSun" w:eastAsia="SimSun" w:hAnsi="SimSun"/>
            <w:bCs/>
            <w:iCs/>
          </w:rPr>
          <w:t xml:space="preserve"> - </w:t>
        </w:r>
        <w:r w:rsidR="00C22171" w:rsidRPr="007A5789">
          <w:rPr>
            <w:rStyle w:val="ae"/>
            <w:rFonts w:ascii="SimSun" w:eastAsia="SimSun" w:hAnsi="SimSun" w:hint="eastAsia"/>
            <w:bCs/>
            <w:iCs/>
          </w:rPr>
          <w:t>按资金来源开列的财务执行情况表（未经审计）</w:t>
        </w:r>
        <w:r w:rsidR="00C22171" w:rsidRPr="00B87A4B">
          <w:rPr>
            <w:rFonts w:ascii="SimSun" w:eastAsia="SimSun" w:hAnsi="SimSun"/>
            <w:webHidden/>
          </w:rPr>
          <w:tab/>
        </w:r>
        <w:r w:rsidR="00C22171" w:rsidRPr="00B87A4B">
          <w:rPr>
            <w:rFonts w:ascii="SimSun" w:eastAsia="SimSun" w:hAnsi="SimSun"/>
            <w:webHidden/>
          </w:rPr>
          <w:fldChar w:fldCharType="begin"/>
        </w:r>
        <w:r w:rsidR="00C22171" w:rsidRPr="00B87A4B">
          <w:rPr>
            <w:rFonts w:ascii="SimSun" w:eastAsia="SimSun" w:hAnsi="SimSun"/>
            <w:webHidden/>
          </w:rPr>
          <w:instrText xml:space="preserve"> PAGEREF _Toc456711760 \h </w:instrText>
        </w:r>
        <w:r w:rsidR="00C22171" w:rsidRPr="00B87A4B">
          <w:rPr>
            <w:rFonts w:ascii="SimSun" w:eastAsia="SimSun" w:hAnsi="SimSun"/>
            <w:webHidden/>
          </w:rPr>
        </w:r>
        <w:r w:rsidR="00C22171" w:rsidRPr="00B87A4B">
          <w:rPr>
            <w:rFonts w:ascii="SimSun" w:eastAsia="SimSun" w:hAnsi="SimSun"/>
            <w:webHidden/>
          </w:rPr>
          <w:fldChar w:fldCharType="separate"/>
        </w:r>
        <w:r w:rsidR="00F75064" w:rsidRPr="00B87A4B">
          <w:rPr>
            <w:rFonts w:ascii="SimSun" w:eastAsia="SimSun" w:hAnsi="SimSun"/>
            <w:webHidden/>
          </w:rPr>
          <w:t>72</w:t>
        </w:r>
        <w:r w:rsidR="00C22171" w:rsidRPr="00B87A4B">
          <w:rPr>
            <w:rFonts w:ascii="SimSun" w:eastAsia="SimSun" w:hAnsi="SimSun"/>
            <w:webHidden/>
          </w:rPr>
          <w:fldChar w:fldCharType="end"/>
        </w:r>
      </w:hyperlink>
    </w:p>
    <w:p w:rsidR="00C22171" w:rsidRPr="007A5789" w:rsidRDefault="00874EE0" w:rsidP="00CA720C">
      <w:pPr>
        <w:pStyle w:val="20"/>
        <w:rPr>
          <w:rFonts w:cs="Times New Roman"/>
          <w:color w:val="auto"/>
          <w:kern w:val="2"/>
          <w:szCs w:val="22"/>
          <w:lang w:val="en-US" w:bidi="ar-SA"/>
        </w:rPr>
      </w:pPr>
      <w:hyperlink w:anchor="_Toc456711761" w:history="1">
        <w:r w:rsidR="00C22171" w:rsidRPr="007A5789">
          <w:rPr>
            <w:rStyle w:val="ae"/>
            <w:rFonts w:ascii="SimSun" w:eastAsia="SimSun" w:hAnsi="SimSun" w:hint="eastAsia"/>
          </w:rPr>
          <w:t>附件三</w:t>
        </w:r>
        <w:r w:rsidR="00C22171" w:rsidRPr="007A5789">
          <w:rPr>
            <w:rStyle w:val="ae"/>
            <w:rFonts w:ascii="SimSun" w:eastAsia="SimSun" w:hAnsi="SimSun"/>
          </w:rPr>
          <w:t xml:space="preserve"> - </w:t>
        </w:r>
        <w:r w:rsidR="00C22171" w:rsidRPr="007A5789">
          <w:rPr>
            <w:rStyle w:val="ae"/>
            <w:rFonts w:ascii="SimSun" w:eastAsia="SimSun" w:hAnsi="SimSun" w:hint="eastAsia"/>
          </w:rPr>
          <w:t>捐助方捐助特别账户</w:t>
        </w:r>
        <w:r w:rsidR="00C22171" w:rsidRPr="00B87A4B">
          <w:rPr>
            <w:rFonts w:ascii="SimSun" w:eastAsia="SimSun" w:hAnsi="SimSun"/>
            <w:webHidden/>
          </w:rPr>
          <w:tab/>
        </w:r>
        <w:r w:rsidR="00C22171" w:rsidRPr="00B87A4B">
          <w:rPr>
            <w:rFonts w:ascii="SimSun" w:eastAsia="SimSun" w:hAnsi="SimSun"/>
            <w:webHidden/>
          </w:rPr>
          <w:fldChar w:fldCharType="begin"/>
        </w:r>
        <w:r w:rsidR="00C22171" w:rsidRPr="00B87A4B">
          <w:rPr>
            <w:rFonts w:ascii="SimSun" w:eastAsia="SimSun" w:hAnsi="SimSun"/>
            <w:webHidden/>
          </w:rPr>
          <w:instrText xml:space="preserve"> PAGEREF _Toc456711761 \h </w:instrText>
        </w:r>
        <w:r w:rsidR="00C22171" w:rsidRPr="00B87A4B">
          <w:rPr>
            <w:rFonts w:ascii="SimSun" w:eastAsia="SimSun" w:hAnsi="SimSun"/>
            <w:webHidden/>
          </w:rPr>
        </w:r>
        <w:r w:rsidR="00C22171" w:rsidRPr="00B87A4B">
          <w:rPr>
            <w:rFonts w:ascii="SimSun" w:eastAsia="SimSun" w:hAnsi="SimSun"/>
            <w:webHidden/>
          </w:rPr>
          <w:fldChar w:fldCharType="separate"/>
        </w:r>
        <w:r w:rsidR="00F75064" w:rsidRPr="00B87A4B">
          <w:rPr>
            <w:rFonts w:ascii="SimSun" w:eastAsia="SimSun" w:hAnsi="SimSun"/>
            <w:webHidden/>
          </w:rPr>
          <w:t>73</w:t>
        </w:r>
        <w:r w:rsidR="00C22171" w:rsidRPr="00B87A4B">
          <w:rPr>
            <w:rFonts w:ascii="SimSun" w:eastAsia="SimSun" w:hAnsi="SimSun"/>
            <w:webHidden/>
          </w:rPr>
          <w:fldChar w:fldCharType="end"/>
        </w:r>
      </w:hyperlink>
    </w:p>
    <w:p w:rsidR="00C22171" w:rsidRPr="007A5789" w:rsidRDefault="00874EE0" w:rsidP="00CA720C">
      <w:pPr>
        <w:pStyle w:val="20"/>
        <w:rPr>
          <w:rFonts w:cs="Times New Roman"/>
          <w:color w:val="auto"/>
          <w:kern w:val="2"/>
          <w:szCs w:val="22"/>
          <w:lang w:val="en-US" w:bidi="ar-SA"/>
        </w:rPr>
      </w:pPr>
      <w:hyperlink w:anchor="_Toc456711762" w:history="1">
        <w:r w:rsidR="00C22171" w:rsidRPr="007A5789">
          <w:rPr>
            <w:rStyle w:val="ae"/>
            <w:rFonts w:ascii="SimSun" w:eastAsia="SimSun" w:hAnsi="SimSun" w:hint="eastAsia"/>
          </w:rPr>
          <w:t>附件四</w:t>
        </w:r>
        <w:r w:rsidR="00C22171" w:rsidRPr="007A5789">
          <w:rPr>
            <w:rStyle w:val="ae"/>
            <w:rFonts w:ascii="SimSun" w:eastAsia="SimSun" w:hAnsi="SimSun"/>
          </w:rPr>
          <w:t xml:space="preserve"> - </w:t>
        </w:r>
        <w:r w:rsidR="00C22171" w:rsidRPr="007A5789">
          <w:rPr>
            <w:rStyle w:val="ae"/>
            <w:rFonts w:ascii="SimSun" w:eastAsia="SimSun" w:hAnsi="SimSun" w:hint="eastAsia"/>
          </w:rPr>
          <w:t>惠给金支付</w:t>
        </w:r>
        <w:r w:rsidR="00C22171" w:rsidRPr="00B87A4B">
          <w:rPr>
            <w:rFonts w:ascii="SimSun" w:eastAsia="SimSun" w:hAnsi="SimSun"/>
            <w:webHidden/>
          </w:rPr>
          <w:tab/>
        </w:r>
        <w:r w:rsidR="00C22171" w:rsidRPr="00B87A4B">
          <w:rPr>
            <w:rFonts w:ascii="SimSun" w:eastAsia="SimSun" w:hAnsi="SimSun"/>
            <w:webHidden/>
          </w:rPr>
          <w:fldChar w:fldCharType="begin"/>
        </w:r>
        <w:r w:rsidR="00C22171" w:rsidRPr="00B87A4B">
          <w:rPr>
            <w:rFonts w:ascii="SimSun" w:eastAsia="SimSun" w:hAnsi="SimSun"/>
            <w:webHidden/>
          </w:rPr>
          <w:instrText xml:space="preserve"> PAGEREF _Toc456711762 \h </w:instrText>
        </w:r>
        <w:r w:rsidR="00C22171" w:rsidRPr="00B87A4B">
          <w:rPr>
            <w:rFonts w:ascii="SimSun" w:eastAsia="SimSun" w:hAnsi="SimSun"/>
            <w:webHidden/>
          </w:rPr>
        </w:r>
        <w:r w:rsidR="00C22171" w:rsidRPr="00B87A4B">
          <w:rPr>
            <w:rFonts w:ascii="SimSun" w:eastAsia="SimSun" w:hAnsi="SimSun"/>
            <w:webHidden/>
          </w:rPr>
          <w:fldChar w:fldCharType="separate"/>
        </w:r>
        <w:r w:rsidR="00F75064" w:rsidRPr="00B87A4B">
          <w:rPr>
            <w:rFonts w:ascii="SimSun" w:eastAsia="SimSun" w:hAnsi="SimSun"/>
            <w:webHidden/>
          </w:rPr>
          <w:t>74</w:t>
        </w:r>
        <w:r w:rsidR="00C22171" w:rsidRPr="00B87A4B">
          <w:rPr>
            <w:rFonts w:ascii="SimSun" w:eastAsia="SimSun" w:hAnsi="SimSun"/>
            <w:webHidden/>
          </w:rPr>
          <w:fldChar w:fldCharType="end"/>
        </w:r>
      </w:hyperlink>
    </w:p>
    <w:p w:rsidR="00274C9E" w:rsidRPr="007A5789" w:rsidRDefault="00224ACB" w:rsidP="00C22171">
      <w:pPr>
        <w:tabs>
          <w:tab w:val="right" w:pos="9345"/>
        </w:tabs>
        <w:rPr>
          <w:sz w:val="21"/>
        </w:rPr>
      </w:pPr>
      <w:r w:rsidRPr="00390119">
        <w:rPr>
          <w:rFonts w:ascii="Times New Roman" w:hAnsi="Times New Roman"/>
        </w:rPr>
        <w:fldChar w:fldCharType="end"/>
      </w:r>
    </w:p>
    <w:p w:rsidR="00B125D6" w:rsidRPr="007A5789" w:rsidRDefault="00B125D6">
      <w:pPr>
        <w:rPr>
          <w:sz w:val="21"/>
        </w:rPr>
      </w:pPr>
    </w:p>
    <w:p w:rsidR="00B125D6" w:rsidRPr="007A5789" w:rsidRDefault="00B125D6">
      <w:pPr>
        <w:rPr>
          <w:sz w:val="21"/>
        </w:rPr>
        <w:sectPr w:rsidR="00B125D6" w:rsidRPr="007A5789" w:rsidSect="008B64D0">
          <w:headerReference w:type="even" r:id="rId11"/>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p>
    <w:p w:rsidR="0071598D" w:rsidRPr="00C8425D" w:rsidRDefault="0071598D" w:rsidP="007C2134">
      <w:pPr>
        <w:pStyle w:val="1"/>
        <w:spacing w:beforeLines="100" w:afterLines="100" w:line="340" w:lineRule="atLeast"/>
        <w:jc w:val="center"/>
        <w:rPr>
          <w:rFonts w:ascii="SimHei" w:eastAsia="SimHei" w:hAnsi="SimHei"/>
          <w:b w:val="0"/>
          <w:sz w:val="21"/>
        </w:rPr>
      </w:pPr>
      <w:bookmarkStart w:id="7" w:name="_Toc441218480"/>
      <w:bookmarkStart w:id="8" w:name="_Toc455733211"/>
      <w:bookmarkStart w:id="9" w:name="_Toc456697860"/>
      <w:bookmarkStart w:id="10" w:name="_Toc456711723"/>
      <w:r w:rsidRPr="00C8425D">
        <w:rPr>
          <w:rFonts w:ascii="SimHei" w:eastAsia="SimHei" w:hAnsi="SimHei"/>
          <w:b w:val="0"/>
          <w:sz w:val="21"/>
        </w:rPr>
        <w:lastRenderedPageBreak/>
        <w:t>年度财务报告</w:t>
      </w:r>
      <w:bookmarkEnd w:id="7"/>
      <w:bookmarkEnd w:id="8"/>
      <w:bookmarkEnd w:id="9"/>
      <w:bookmarkEnd w:id="10"/>
    </w:p>
    <w:p w:rsidR="0071598D" w:rsidRPr="00C8425D" w:rsidRDefault="0071598D" w:rsidP="00C8425D">
      <w:pPr>
        <w:pStyle w:val="2"/>
        <w:overflowPunct w:val="0"/>
        <w:spacing w:beforeLines="100" w:afterLines="50" w:after="120" w:line="340" w:lineRule="atLeast"/>
        <w:rPr>
          <w:rFonts w:ascii="SimHei" w:eastAsia="SimHei" w:hAnsi="SimHei"/>
          <w:b w:val="0"/>
          <w:sz w:val="21"/>
        </w:rPr>
      </w:pPr>
      <w:bookmarkStart w:id="11" w:name="_Toc441218481"/>
      <w:bookmarkStart w:id="12" w:name="_Toc455733212"/>
      <w:bookmarkStart w:id="13" w:name="_Toc456697861"/>
      <w:bookmarkStart w:id="14" w:name="_Toc456711724"/>
      <w:r w:rsidRPr="00C8425D">
        <w:rPr>
          <w:rFonts w:ascii="SimHei" w:eastAsia="SimHei" w:hAnsi="SimHei"/>
          <w:b w:val="0"/>
          <w:sz w:val="21"/>
        </w:rPr>
        <w:t>引</w:t>
      </w:r>
      <w:r w:rsidR="00C8425D">
        <w:rPr>
          <w:rFonts w:ascii="SimHei" w:eastAsia="SimHei" w:hAnsi="SimHei" w:hint="eastAsia"/>
          <w:b w:val="0"/>
          <w:sz w:val="21"/>
        </w:rPr>
        <w:t xml:space="preserve">　</w:t>
      </w:r>
      <w:r w:rsidRPr="00C8425D">
        <w:rPr>
          <w:rFonts w:ascii="SimHei" w:eastAsia="SimHei" w:hAnsi="SimHei"/>
          <w:b w:val="0"/>
          <w:sz w:val="21"/>
        </w:rPr>
        <w:t>言</w:t>
      </w:r>
      <w:bookmarkEnd w:id="11"/>
      <w:bookmarkEnd w:id="12"/>
      <w:bookmarkEnd w:id="13"/>
      <w:bookmarkEnd w:id="14"/>
    </w:p>
    <w:p w:rsidR="0025563A" w:rsidRPr="007A5789" w:rsidRDefault="00DD5C76" w:rsidP="00B6014B">
      <w:pPr>
        <w:pStyle w:val="ONUME"/>
        <w:tabs>
          <w:tab w:val="clear" w:pos="567"/>
        </w:tabs>
        <w:overflowPunct w:val="0"/>
        <w:spacing w:afterLines="50" w:after="120" w:line="340" w:lineRule="atLeast"/>
        <w:rPr>
          <w:sz w:val="21"/>
        </w:rPr>
      </w:pPr>
      <w:r w:rsidRPr="007A5789">
        <w:rPr>
          <w:sz w:val="21"/>
        </w:rPr>
        <w:t>根据《财务条例与细则》</w:t>
      </w:r>
      <w:r w:rsidR="00B6014B">
        <w:rPr>
          <w:rFonts w:hint="eastAsia"/>
          <w:sz w:val="21"/>
        </w:rPr>
        <w:t>（</w:t>
      </w:r>
      <w:r w:rsidR="005C3256" w:rsidRPr="007A5789">
        <w:rPr>
          <w:rFonts w:hint="eastAsia"/>
          <w:sz w:val="21"/>
        </w:rPr>
        <w:t>FRR</w:t>
      </w:r>
      <w:r w:rsidR="00B6014B">
        <w:rPr>
          <w:rFonts w:hint="eastAsia"/>
          <w:sz w:val="21"/>
        </w:rPr>
        <w:t>）</w:t>
      </w:r>
      <w:r w:rsidRPr="007A5789">
        <w:rPr>
          <w:sz w:val="21"/>
        </w:rPr>
        <w:t>条例6.7的规定，现将截至2015年12月31日的世界知识产权组织</w:t>
      </w:r>
      <w:r w:rsidR="00B6014B">
        <w:rPr>
          <w:sz w:val="21"/>
        </w:rPr>
        <w:t>（</w:t>
      </w:r>
      <w:r w:rsidRPr="007A5789">
        <w:rPr>
          <w:sz w:val="21"/>
        </w:rPr>
        <w:t>WIPO</w:t>
      </w:r>
      <w:r w:rsidR="00B6014B">
        <w:rPr>
          <w:sz w:val="21"/>
        </w:rPr>
        <w:t>）</w:t>
      </w:r>
      <w:r w:rsidRPr="007A5789">
        <w:rPr>
          <w:sz w:val="21"/>
        </w:rPr>
        <w:t>财务报表提交给WIPO成员国大会。财务报表根据</w:t>
      </w:r>
      <w:r w:rsidR="00F76195" w:rsidRPr="007A5789">
        <w:rPr>
          <w:sz w:val="21"/>
        </w:rPr>
        <w:t>国际公共部门会计准则委员会</w:t>
      </w:r>
      <w:r w:rsidR="00B6014B">
        <w:rPr>
          <w:sz w:val="21"/>
        </w:rPr>
        <w:t>（</w:t>
      </w:r>
      <w:r w:rsidR="00F76195" w:rsidRPr="007A5789">
        <w:rPr>
          <w:sz w:val="21"/>
        </w:rPr>
        <w:t>IPSASB</w:t>
      </w:r>
      <w:r w:rsidR="00B6014B">
        <w:rPr>
          <w:sz w:val="21"/>
        </w:rPr>
        <w:t>）</w:t>
      </w:r>
      <w:r w:rsidR="00F76195" w:rsidRPr="007A5789">
        <w:rPr>
          <w:sz w:val="21"/>
        </w:rPr>
        <w:t>制定</w:t>
      </w:r>
      <w:r w:rsidR="00F76195" w:rsidRPr="007A5789">
        <w:rPr>
          <w:rFonts w:hint="eastAsia"/>
          <w:sz w:val="21"/>
        </w:rPr>
        <w:t>并核准</w:t>
      </w:r>
      <w:r w:rsidR="00F76195" w:rsidRPr="007A5789">
        <w:rPr>
          <w:sz w:val="21"/>
        </w:rPr>
        <w:t>的</w:t>
      </w:r>
      <w:r w:rsidRPr="007A5789">
        <w:rPr>
          <w:sz w:val="21"/>
        </w:rPr>
        <w:t>《国际公共部门会计准则》</w:t>
      </w:r>
      <w:r w:rsidR="00B6014B">
        <w:rPr>
          <w:sz w:val="21"/>
        </w:rPr>
        <w:t>（</w:t>
      </w:r>
      <w:r w:rsidRPr="007A5789">
        <w:rPr>
          <w:sz w:val="21"/>
        </w:rPr>
        <w:t>IPSAS</w:t>
      </w:r>
      <w:r w:rsidR="00B6014B">
        <w:rPr>
          <w:sz w:val="21"/>
        </w:rPr>
        <w:t>）</w:t>
      </w:r>
      <w:r w:rsidRPr="007A5789">
        <w:rPr>
          <w:sz w:val="21"/>
        </w:rPr>
        <w:t>编制</w:t>
      </w:r>
      <w:r w:rsidR="00F76195" w:rsidRPr="007A5789">
        <w:rPr>
          <w:rFonts w:hint="eastAsia"/>
          <w:sz w:val="21"/>
        </w:rPr>
        <w:t>而成</w:t>
      </w:r>
      <w:r w:rsidRPr="007A5789">
        <w:rPr>
          <w:sz w:val="21"/>
        </w:rPr>
        <w:t>。</w:t>
      </w:r>
    </w:p>
    <w:p w:rsidR="00DD5C76" w:rsidRPr="007A5789" w:rsidRDefault="00DD5C76" w:rsidP="00B6014B">
      <w:pPr>
        <w:pStyle w:val="ONUME"/>
        <w:tabs>
          <w:tab w:val="clear" w:pos="567"/>
        </w:tabs>
        <w:overflowPunct w:val="0"/>
        <w:spacing w:afterLines="50" w:after="120" w:line="340" w:lineRule="atLeast"/>
        <w:rPr>
          <w:sz w:val="21"/>
        </w:rPr>
      </w:pPr>
      <w:r w:rsidRPr="007A5789">
        <w:rPr>
          <w:sz w:val="21"/>
        </w:rPr>
        <w:t>根据</w:t>
      </w:r>
      <w:r w:rsidR="00372FF8" w:rsidRPr="007A5789">
        <w:rPr>
          <w:rFonts w:hint="eastAsia"/>
          <w:sz w:val="21"/>
        </w:rPr>
        <w:t>FRR</w:t>
      </w:r>
      <w:r w:rsidRPr="007A5789">
        <w:rPr>
          <w:sz w:val="21"/>
        </w:rPr>
        <w:t>条例8.11及附件二的规定，外聘审计员的2015年财务报表审计报告以及对财务报表的意见也一并提交给WIPO成员国大会。</w:t>
      </w:r>
    </w:p>
    <w:p w:rsidR="0071598D" w:rsidRPr="007A5789" w:rsidRDefault="00B56D5F" w:rsidP="00B6014B">
      <w:pPr>
        <w:pStyle w:val="ONUME"/>
        <w:tabs>
          <w:tab w:val="clear" w:pos="567"/>
        </w:tabs>
        <w:overflowPunct w:val="0"/>
        <w:spacing w:afterLines="50" w:after="120" w:line="340" w:lineRule="atLeast"/>
        <w:rPr>
          <w:sz w:val="21"/>
        </w:rPr>
      </w:pPr>
      <w:r w:rsidRPr="007A5789">
        <w:rPr>
          <w:sz w:val="21"/>
        </w:rPr>
        <w:t>财务报表以及包含财务报表讨论与分析在内的年度财务报告均在本文件中列报。</w:t>
      </w:r>
    </w:p>
    <w:p w:rsidR="0071598D" w:rsidRPr="00C8425D" w:rsidRDefault="0071598D" w:rsidP="00C8425D">
      <w:pPr>
        <w:pStyle w:val="2"/>
        <w:overflowPunct w:val="0"/>
        <w:spacing w:beforeLines="100" w:afterLines="50" w:after="120" w:line="340" w:lineRule="atLeast"/>
        <w:rPr>
          <w:rFonts w:ascii="SimHei" w:eastAsia="SimHei" w:hAnsi="SimHei"/>
          <w:b w:val="0"/>
          <w:sz w:val="21"/>
        </w:rPr>
      </w:pPr>
      <w:bookmarkStart w:id="15" w:name="_Toc441218482"/>
      <w:bookmarkStart w:id="16" w:name="_Toc455733213"/>
      <w:bookmarkStart w:id="17" w:name="_Toc456697862"/>
      <w:bookmarkStart w:id="18" w:name="_Toc456711725"/>
      <w:r w:rsidRPr="00C8425D">
        <w:rPr>
          <w:rFonts w:ascii="SimHei" w:eastAsia="SimHei" w:hAnsi="SimHei"/>
          <w:b w:val="0"/>
          <w:sz w:val="21"/>
        </w:rPr>
        <w:t>财务报表讨论与分析</w:t>
      </w:r>
      <w:bookmarkEnd w:id="15"/>
      <w:bookmarkEnd w:id="16"/>
      <w:bookmarkEnd w:id="17"/>
      <w:bookmarkEnd w:id="18"/>
    </w:p>
    <w:p w:rsidR="0025563A" w:rsidRPr="007A5789" w:rsidRDefault="00FD1093" w:rsidP="00B6014B">
      <w:pPr>
        <w:pStyle w:val="ONUME"/>
        <w:tabs>
          <w:tab w:val="clear" w:pos="567"/>
        </w:tabs>
        <w:overflowPunct w:val="0"/>
        <w:spacing w:afterLines="50" w:after="120" w:line="340" w:lineRule="atLeast"/>
        <w:rPr>
          <w:sz w:val="21"/>
        </w:rPr>
      </w:pPr>
      <w:r w:rsidRPr="007A5789">
        <w:rPr>
          <w:sz w:val="21"/>
        </w:rPr>
        <w:t>以下财务报表讨论与分析包含对本组织截至2015年12月31日的运营和环境、财务目标和战略、风险管理战略以及财务执行情况和财务状况的</w:t>
      </w:r>
      <w:r w:rsidR="00684AAC" w:rsidRPr="007A5789">
        <w:rPr>
          <w:rFonts w:hint="eastAsia"/>
          <w:sz w:val="21"/>
        </w:rPr>
        <w:t>概览</w:t>
      </w:r>
      <w:r w:rsidRPr="007A5789">
        <w:rPr>
          <w:sz w:val="21"/>
        </w:rPr>
        <w:t>。财务报表讨论与分析根据《IPSASB建议实践指引2》编制，旨在解释财务报表中呈现的重大项目、交易</w:t>
      </w:r>
      <w:r w:rsidR="0063467D" w:rsidRPr="007A5789">
        <w:rPr>
          <w:rFonts w:hint="eastAsia"/>
          <w:sz w:val="21"/>
        </w:rPr>
        <w:t>和</w:t>
      </w:r>
      <w:r w:rsidRPr="007A5789">
        <w:rPr>
          <w:sz w:val="21"/>
        </w:rPr>
        <w:t>事件及其影响因素。这些讨论和分析不是WIPO财务报表的组成部分，但应与WIPO财务报表第24页至第7</w:t>
      </w:r>
      <w:r w:rsidR="00AB6919">
        <w:rPr>
          <w:rFonts w:hint="eastAsia"/>
          <w:sz w:val="21"/>
        </w:rPr>
        <w:t>0</w:t>
      </w:r>
      <w:r w:rsidRPr="007A5789">
        <w:rPr>
          <w:sz w:val="21"/>
        </w:rPr>
        <w:t>页一起阅读。</w:t>
      </w:r>
    </w:p>
    <w:p w:rsidR="007A5789" w:rsidRPr="00C8425D" w:rsidRDefault="00D47896" w:rsidP="00C8425D">
      <w:pPr>
        <w:keepNext/>
        <w:overflowPunct w:val="0"/>
        <w:spacing w:beforeLines="100" w:before="240" w:afterLines="50" w:after="120" w:line="340" w:lineRule="atLeast"/>
        <w:rPr>
          <w:b/>
          <w:sz w:val="21"/>
          <w:szCs w:val="22"/>
        </w:rPr>
      </w:pPr>
      <w:r w:rsidRPr="00C8425D">
        <w:rPr>
          <w:b/>
          <w:sz w:val="21"/>
        </w:rPr>
        <w:t>WIPO的运营和环境概述</w:t>
      </w:r>
    </w:p>
    <w:p w:rsidR="00D47896" w:rsidRPr="007A5789" w:rsidRDefault="00D47896" w:rsidP="00B6014B">
      <w:pPr>
        <w:pStyle w:val="ONUME"/>
        <w:tabs>
          <w:tab w:val="clear" w:pos="567"/>
        </w:tabs>
        <w:overflowPunct w:val="0"/>
        <w:spacing w:afterLines="50" w:after="120" w:line="340" w:lineRule="atLeast"/>
        <w:rPr>
          <w:sz w:val="21"/>
        </w:rPr>
      </w:pPr>
      <w:r w:rsidRPr="007A5789">
        <w:rPr>
          <w:sz w:val="21"/>
        </w:rPr>
        <w:t>WIPO是关于知识产权服务、政策、信息与合作的全球论坛。它是联合国的一个专门机构，拥有188个成员国。本组织的使命是领导发展兼顾各方利益的有效国际知识产权制度，让创新和创造惠及各国的经济、社会和文化发展。本组织的任务、领导机构和程序载于《WIPO公约》。WIPO根据该公约于1967年建立。</w:t>
      </w:r>
    </w:p>
    <w:p w:rsidR="00D47896" w:rsidRPr="007A5789" w:rsidRDefault="00D47896" w:rsidP="00B6014B">
      <w:pPr>
        <w:pStyle w:val="ONUME"/>
        <w:tabs>
          <w:tab w:val="clear" w:pos="567"/>
        </w:tabs>
        <w:overflowPunct w:val="0"/>
        <w:spacing w:afterLines="50" w:after="120" w:line="340" w:lineRule="atLeast"/>
        <w:rPr>
          <w:sz w:val="21"/>
        </w:rPr>
      </w:pPr>
      <w:r w:rsidRPr="007A5789">
        <w:rPr>
          <w:sz w:val="21"/>
        </w:rPr>
        <w:t>WIPO的成员国通过决策机构来决策本组织的方向、预算和活动。WIPO的主要政策和决策机构是大会和协调委员会。大会</w:t>
      </w:r>
      <w:proofErr w:type="gramStart"/>
      <w:r w:rsidRPr="007A5789">
        <w:rPr>
          <w:sz w:val="21"/>
        </w:rPr>
        <w:t>由同时</w:t>
      </w:r>
      <w:proofErr w:type="gramEnd"/>
      <w:r w:rsidRPr="007A5789">
        <w:rPr>
          <w:sz w:val="21"/>
        </w:rPr>
        <w:t>是WIPO管理的各联盟成员的《WIPO公约》成员国组成。协调委员会由巴黎</w:t>
      </w:r>
      <w:r w:rsidR="00AB6919" w:rsidRPr="007A5789">
        <w:rPr>
          <w:sz w:val="21"/>
        </w:rPr>
        <w:t>联盟</w:t>
      </w:r>
      <w:r w:rsidRPr="007A5789">
        <w:rPr>
          <w:sz w:val="21"/>
        </w:rPr>
        <w:t>或伯尔尼联盟的执行委员会的当选委员、非任何联盟成员的《WIPO公约》缔约国的四分之一以及瑞士组成。瑞士是本组织总部的所在地。</w:t>
      </w:r>
    </w:p>
    <w:p w:rsidR="00D47896" w:rsidRPr="007A5789" w:rsidRDefault="00D47896" w:rsidP="00B6014B">
      <w:pPr>
        <w:pStyle w:val="ONUME"/>
        <w:tabs>
          <w:tab w:val="clear" w:pos="567"/>
        </w:tabs>
        <w:overflowPunct w:val="0"/>
        <w:spacing w:afterLines="50" w:after="120" w:line="340" w:lineRule="atLeast"/>
        <w:rPr>
          <w:sz w:val="21"/>
        </w:rPr>
      </w:pPr>
      <w:r w:rsidRPr="007A5789">
        <w:rPr>
          <w:sz w:val="21"/>
        </w:rPr>
        <w:t>WTPO总干事在由协调委员会提名后，由大会任命。总干事是本组织的首席执行官。WIPO的高层管理团队</w:t>
      </w:r>
      <w:r w:rsidR="00B6014B">
        <w:rPr>
          <w:sz w:val="21"/>
        </w:rPr>
        <w:t>（</w:t>
      </w:r>
      <w:r w:rsidRPr="007A5789">
        <w:rPr>
          <w:sz w:val="21"/>
        </w:rPr>
        <w:t>由副总干事和助理总干事，外加法律顾问和人力资源管理部主任组成</w:t>
      </w:r>
      <w:r w:rsidR="00B6014B">
        <w:rPr>
          <w:sz w:val="21"/>
        </w:rPr>
        <w:t>）</w:t>
      </w:r>
      <w:r w:rsidRPr="007A5789">
        <w:rPr>
          <w:sz w:val="21"/>
        </w:rPr>
        <w:t>协助总干事制定WIPO各项计划的战略导向，并管理各自的部门和计划，从而确保交付成果符合计划和预算。</w:t>
      </w:r>
    </w:p>
    <w:p w:rsidR="00D47896" w:rsidRPr="007A5789" w:rsidRDefault="00D47896" w:rsidP="00B6014B">
      <w:pPr>
        <w:pStyle w:val="ONUME"/>
        <w:tabs>
          <w:tab w:val="clear" w:pos="567"/>
        </w:tabs>
        <w:overflowPunct w:val="0"/>
        <w:spacing w:afterLines="50" w:after="120" w:line="340" w:lineRule="atLeast"/>
        <w:rPr>
          <w:sz w:val="21"/>
        </w:rPr>
      </w:pPr>
      <w:r w:rsidRPr="007A5789">
        <w:rPr>
          <w:sz w:val="21"/>
        </w:rPr>
        <w:t>WIPO的大部分收入来自知识产权服务用户为专利、商标及工业</w:t>
      </w:r>
      <w:r w:rsidR="0042689C" w:rsidRPr="007A5789">
        <w:rPr>
          <w:sz w:val="21"/>
        </w:rPr>
        <w:t>品外观</w:t>
      </w:r>
      <w:r w:rsidRPr="007A5789">
        <w:rPr>
          <w:sz w:val="21"/>
        </w:rPr>
        <w:t>设计支付的费用。这些服务通过《专利合作条约》</w:t>
      </w:r>
      <w:r w:rsidR="00B6014B">
        <w:rPr>
          <w:sz w:val="21"/>
        </w:rPr>
        <w:t>（</w:t>
      </w:r>
      <w:r w:rsidRPr="007A5789">
        <w:rPr>
          <w:sz w:val="21"/>
        </w:rPr>
        <w:t>PCT</w:t>
      </w:r>
      <w:r w:rsidR="00B6014B">
        <w:rPr>
          <w:sz w:val="21"/>
        </w:rPr>
        <w:t>）</w:t>
      </w:r>
      <w:r w:rsidRPr="007A5789">
        <w:rPr>
          <w:sz w:val="21"/>
        </w:rPr>
        <w:t>、马德里和海牙体系提供。2015年，这些活动收取的费用占本组织全部收入的90.9%，仅PCT体系费用就占72.1%。</w:t>
      </w:r>
    </w:p>
    <w:p w:rsidR="0025563A" w:rsidRPr="007A5789" w:rsidRDefault="00FF1AF9" w:rsidP="00B6014B">
      <w:pPr>
        <w:pStyle w:val="ONUME"/>
        <w:tabs>
          <w:tab w:val="clear" w:pos="567"/>
        </w:tabs>
        <w:overflowPunct w:val="0"/>
        <w:spacing w:afterLines="50" w:after="120" w:line="340" w:lineRule="atLeast"/>
        <w:rPr>
          <w:sz w:val="21"/>
        </w:rPr>
      </w:pPr>
      <w:r w:rsidRPr="007A5789">
        <w:rPr>
          <w:sz w:val="21"/>
        </w:rPr>
        <w:t>国际上对知识产权的需求是推动</w:t>
      </w:r>
      <w:r w:rsidR="00D47896" w:rsidRPr="007A5789">
        <w:rPr>
          <w:sz w:val="21"/>
        </w:rPr>
        <w:t>这些付费服务收入增长的动力。尽管2008年全球金融危机后经济复苏不均衡，但是自2010年起，全球知识产权</w:t>
      </w:r>
      <w:r w:rsidR="00AB6919">
        <w:rPr>
          <w:rFonts w:hint="eastAsia"/>
          <w:sz w:val="21"/>
        </w:rPr>
        <w:t>申请</w:t>
      </w:r>
      <w:r w:rsidR="00D47896" w:rsidRPr="007A5789">
        <w:rPr>
          <w:sz w:val="21"/>
        </w:rPr>
        <w:t>活动持续增长，然而知识产权需求仍然受到全球经济表现影响。截至2014年底的最新</w:t>
      </w:r>
      <w:r w:rsidR="00280FB9" w:rsidRPr="007A5789">
        <w:rPr>
          <w:sz w:val="21"/>
        </w:rPr>
        <w:t>可用</w:t>
      </w:r>
      <w:r w:rsidR="00D47896" w:rsidRPr="007A5789">
        <w:rPr>
          <w:sz w:val="21"/>
        </w:rPr>
        <w:t>统计数据表明，全球专利及商标申请自2010年以来逐年增加。但全球</w:t>
      </w:r>
      <w:r w:rsidR="00280FB9" w:rsidRPr="007A5789">
        <w:rPr>
          <w:sz w:val="21"/>
        </w:rPr>
        <w:t>工业品外观设计</w:t>
      </w:r>
      <w:r w:rsidR="00D47896" w:rsidRPr="007A5789">
        <w:rPr>
          <w:sz w:val="21"/>
        </w:rPr>
        <w:t>申请在增长20多年后于2014年出现下降。</w:t>
      </w:r>
    </w:p>
    <w:p w:rsidR="00D47896" w:rsidRPr="007A5789" w:rsidRDefault="00D47896" w:rsidP="00B6014B">
      <w:pPr>
        <w:pStyle w:val="ONUME"/>
        <w:tabs>
          <w:tab w:val="clear" w:pos="567"/>
        </w:tabs>
        <w:overflowPunct w:val="0"/>
        <w:spacing w:afterLines="50" w:after="120" w:line="340" w:lineRule="atLeast"/>
        <w:rPr>
          <w:sz w:val="21"/>
        </w:rPr>
      </w:pPr>
      <w:r w:rsidRPr="007A5789">
        <w:rPr>
          <w:sz w:val="21"/>
        </w:rPr>
        <w:t>可能影响本组织服务收入的其他外部因素包括研究和开发投资水平、技术</w:t>
      </w:r>
      <w:r w:rsidR="00AB6919">
        <w:rPr>
          <w:rFonts w:hint="eastAsia"/>
          <w:sz w:val="21"/>
        </w:rPr>
        <w:t>置</w:t>
      </w:r>
      <w:r w:rsidRPr="007A5789">
        <w:rPr>
          <w:sz w:val="21"/>
        </w:rPr>
        <w:t>信水平和汇率波动。尤其是对于PCT体系，其他重要影响因素包括与其他</w:t>
      </w:r>
      <w:r w:rsidR="00AB6919">
        <w:rPr>
          <w:rFonts w:hint="eastAsia"/>
          <w:sz w:val="21"/>
        </w:rPr>
        <w:t>申请</w:t>
      </w:r>
      <w:r w:rsidRPr="007A5789">
        <w:rPr>
          <w:sz w:val="21"/>
        </w:rPr>
        <w:t>路径的服务费用相比PCT</w:t>
      </w:r>
      <w:proofErr w:type="gramStart"/>
      <w:r w:rsidRPr="007A5789">
        <w:rPr>
          <w:sz w:val="21"/>
        </w:rPr>
        <w:t>规</w:t>
      </w:r>
      <w:proofErr w:type="gramEnd"/>
      <w:r w:rsidRPr="007A5789">
        <w:rPr>
          <w:sz w:val="21"/>
        </w:rPr>
        <w:t>费的水平、与其他</w:t>
      </w:r>
      <w:r w:rsidR="00AB6919">
        <w:rPr>
          <w:rFonts w:hint="eastAsia"/>
          <w:sz w:val="21"/>
        </w:rPr>
        <w:t>申请</w:t>
      </w:r>
      <w:r w:rsidRPr="007A5789">
        <w:rPr>
          <w:sz w:val="21"/>
        </w:rPr>
        <w:t>路径相比PCT服务的吸引力和价值、个别企业专利战略。</w:t>
      </w:r>
    </w:p>
    <w:p w:rsidR="007A5789" w:rsidRPr="00C8425D" w:rsidRDefault="00D47896" w:rsidP="00C8425D">
      <w:pPr>
        <w:keepNext/>
        <w:overflowPunct w:val="0"/>
        <w:spacing w:beforeLines="100" w:before="240" w:afterLines="50" w:after="120" w:line="340" w:lineRule="atLeast"/>
        <w:rPr>
          <w:b/>
          <w:sz w:val="21"/>
        </w:rPr>
      </w:pPr>
      <w:r w:rsidRPr="00C8425D">
        <w:rPr>
          <w:b/>
          <w:sz w:val="21"/>
        </w:rPr>
        <w:lastRenderedPageBreak/>
        <w:t>WIPO财务目标和战略概述</w:t>
      </w:r>
    </w:p>
    <w:p w:rsidR="00D47896" w:rsidRPr="007A5789" w:rsidRDefault="00D47896" w:rsidP="00B6014B">
      <w:pPr>
        <w:pStyle w:val="ONUME"/>
        <w:tabs>
          <w:tab w:val="clear" w:pos="567"/>
        </w:tabs>
        <w:overflowPunct w:val="0"/>
        <w:spacing w:afterLines="50" w:after="120" w:line="340" w:lineRule="atLeast"/>
        <w:rPr>
          <w:sz w:val="21"/>
        </w:rPr>
      </w:pPr>
      <w:r w:rsidRPr="007A5789">
        <w:rPr>
          <w:sz w:val="21"/>
        </w:rPr>
        <w:t>WIPO的财务活动受经大会批准的《财务条例》管辖。《财务细则》由总干事根据《财务条例》规定建立。WIPO的计划和预算委员会会获知《财务细则》的所有修改。《财务细则》管辖本组织的所有财务管理活动。总干事向财务主</w:t>
      </w:r>
      <w:r w:rsidR="00AB6919">
        <w:rPr>
          <w:rFonts w:hint="eastAsia"/>
          <w:sz w:val="21"/>
        </w:rPr>
        <w:t>任</w:t>
      </w:r>
      <w:r w:rsidRPr="007A5789">
        <w:rPr>
          <w:sz w:val="21"/>
        </w:rPr>
        <w:t>授予执行《财务条例与细则》的权限和责任。</w:t>
      </w:r>
    </w:p>
    <w:p w:rsidR="0025563A" w:rsidRPr="007A5789" w:rsidRDefault="00D47896" w:rsidP="00B6014B">
      <w:pPr>
        <w:pStyle w:val="ONUME"/>
        <w:tabs>
          <w:tab w:val="clear" w:pos="567"/>
        </w:tabs>
        <w:overflowPunct w:val="0"/>
        <w:spacing w:afterLines="50" w:after="120" w:line="340" w:lineRule="atLeast"/>
        <w:rPr>
          <w:sz w:val="21"/>
        </w:rPr>
      </w:pPr>
      <w:r w:rsidRPr="007A5789">
        <w:rPr>
          <w:sz w:val="21"/>
        </w:rPr>
        <w:t>总干事每两年向成员国呈交一份计划和预算供其审批。计划和预算详细阐述了所有拟议活动的目标、执行措施和预算规划。2013年12月12日召开的WIPO成员国大会核定了2014/15两年</w:t>
      </w:r>
      <w:proofErr w:type="gramStart"/>
      <w:r w:rsidRPr="007A5789">
        <w:rPr>
          <w:sz w:val="21"/>
        </w:rPr>
        <w:t>期计划</w:t>
      </w:r>
      <w:proofErr w:type="gramEnd"/>
      <w:r w:rsidRPr="007A5789">
        <w:rPr>
          <w:sz w:val="21"/>
        </w:rPr>
        <w:t>和预算。计划和预算在中期战略计划的整体战略框架下提供两年期的规划。</w:t>
      </w:r>
    </w:p>
    <w:p w:rsidR="00D47896" w:rsidRPr="007A5789" w:rsidRDefault="005B0337" w:rsidP="00B6014B">
      <w:pPr>
        <w:pStyle w:val="ONUME"/>
        <w:tabs>
          <w:tab w:val="clear" w:pos="567"/>
        </w:tabs>
        <w:overflowPunct w:val="0"/>
        <w:spacing w:afterLines="50" w:after="120" w:line="340" w:lineRule="atLeast"/>
        <w:rPr>
          <w:sz w:val="21"/>
        </w:rPr>
      </w:pPr>
      <w:r w:rsidRPr="007A5789">
        <w:rPr>
          <w:sz w:val="21"/>
        </w:rPr>
        <w:t>本组织采用以结果为导向的管理系统，从而确保按照组织业绩和优先级安排和使用资源。本组织通过绩效指标、目标和基准定期衡量和分析组织绩效。在这种制度下，计划和预算以及中期战略计划都是WIPO规划框架的一部分，框架还包括年度工作计划和单个工作人员的目标。</w:t>
      </w:r>
    </w:p>
    <w:p w:rsidR="00D47896" w:rsidRPr="007A5789" w:rsidRDefault="00D47896" w:rsidP="00B6014B">
      <w:pPr>
        <w:pStyle w:val="ONUME"/>
        <w:tabs>
          <w:tab w:val="clear" w:pos="567"/>
        </w:tabs>
        <w:overflowPunct w:val="0"/>
        <w:spacing w:afterLines="50" w:after="120" w:line="340" w:lineRule="atLeast"/>
        <w:rPr>
          <w:sz w:val="21"/>
        </w:rPr>
      </w:pPr>
      <w:r w:rsidRPr="007A5789">
        <w:rPr>
          <w:sz w:val="21"/>
        </w:rPr>
        <w:t>本组织根据储备</w:t>
      </w:r>
      <w:proofErr w:type="gramStart"/>
      <w:r w:rsidRPr="007A5789">
        <w:rPr>
          <w:sz w:val="21"/>
        </w:rPr>
        <w:t>金政策</w:t>
      </w:r>
      <w:proofErr w:type="gramEnd"/>
      <w:r w:rsidRPr="007A5789">
        <w:rPr>
          <w:sz w:val="21"/>
        </w:rPr>
        <w:t>管理储备金水平。储备</w:t>
      </w:r>
      <w:proofErr w:type="gramStart"/>
      <w:r w:rsidRPr="007A5789">
        <w:rPr>
          <w:sz w:val="21"/>
        </w:rPr>
        <w:t>金政策</w:t>
      </w:r>
      <w:proofErr w:type="gramEnd"/>
      <w:r w:rsidRPr="007A5789">
        <w:rPr>
          <w:sz w:val="21"/>
        </w:rPr>
        <w:t>2015年经过修改。WIPO的储备金被记入本组织的净资产，旨在将收入缺口的影响降至最小以及将本组织短期内偿还债务及维持财务稳定的概率增至最大。该政策的一个核心要素是建立一个机制，将要求的储备金水平作为本组织管理下的联盟两年期开支概算的一个百分比。同时，该政策还建立了资本完善一次性项目和特殊情况使用储备金的原则和批准机制。</w:t>
      </w:r>
    </w:p>
    <w:p w:rsidR="00D47896" w:rsidRPr="007A5789" w:rsidRDefault="00D47896" w:rsidP="00B6014B">
      <w:pPr>
        <w:pStyle w:val="ONUME"/>
        <w:tabs>
          <w:tab w:val="clear" w:pos="567"/>
        </w:tabs>
        <w:overflowPunct w:val="0"/>
        <w:spacing w:afterLines="50" w:after="120" w:line="340" w:lineRule="atLeast"/>
        <w:rPr>
          <w:sz w:val="21"/>
        </w:rPr>
      </w:pPr>
      <w:r w:rsidRPr="007A5789">
        <w:rPr>
          <w:sz w:val="21"/>
        </w:rPr>
        <w:t>本组织根据</w:t>
      </w:r>
      <w:r w:rsidR="00B079E5" w:rsidRPr="007A5789">
        <w:rPr>
          <w:sz w:val="21"/>
        </w:rPr>
        <w:t>自身的</w:t>
      </w:r>
      <w:r w:rsidRPr="007A5789">
        <w:rPr>
          <w:sz w:val="21"/>
        </w:rPr>
        <w:t>投资政策管理投资。投资政策2015年也经过修改。投资政策规定本组织投资管理的主要目标按照重要性顺序应为</w:t>
      </w:r>
      <w:r w:rsidR="00AB6919">
        <w:rPr>
          <w:rFonts w:hint="eastAsia"/>
          <w:sz w:val="21"/>
        </w:rPr>
        <w:t>(</w:t>
      </w:r>
      <w:r w:rsidRPr="007A5789">
        <w:rPr>
          <w:sz w:val="21"/>
        </w:rPr>
        <w:t>i</w:t>
      </w:r>
      <w:r w:rsidR="00880100" w:rsidRPr="007A5789">
        <w:rPr>
          <w:sz w:val="21"/>
        </w:rPr>
        <w:t>)</w:t>
      </w:r>
      <w:r w:rsidRPr="007A5789">
        <w:rPr>
          <w:sz w:val="21"/>
        </w:rPr>
        <w:t>资本保值；</w:t>
      </w:r>
      <w:r w:rsidR="00880100" w:rsidRPr="007A5789">
        <w:rPr>
          <w:sz w:val="21"/>
        </w:rPr>
        <w:t>(</w:t>
      </w:r>
      <w:r w:rsidRPr="007A5789">
        <w:rPr>
          <w:sz w:val="21"/>
        </w:rPr>
        <w:t>ii</w:t>
      </w:r>
      <w:r w:rsidR="00880100" w:rsidRPr="007A5789">
        <w:rPr>
          <w:sz w:val="21"/>
        </w:rPr>
        <w:t>)</w:t>
      </w:r>
      <w:r w:rsidRPr="007A5789">
        <w:rPr>
          <w:sz w:val="21"/>
        </w:rPr>
        <w:t>流动性和</w:t>
      </w:r>
      <w:r w:rsidR="00880100" w:rsidRPr="007A5789">
        <w:rPr>
          <w:sz w:val="21"/>
        </w:rPr>
        <w:t>(</w:t>
      </w:r>
      <w:r w:rsidRPr="007A5789">
        <w:rPr>
          <w:sz w:val="21"/>
        </w:rPr>
        <w:t>iii</w:t>
      </w:r>
      <w:r w:rsidR="00880100" w:rsidRPr="007A5789">
        <w:rPr>
          <w:sz w:val="21"/>
        </w:rPr>
        <w:t>)</w:t>
      </w:r>
      <w:r w:rsidRPr="007A5789">
        <w:rPr>
          <w:sz w:val="21"/>
        </w:rPr>
        <w:t>在</w:t>
      </w:r>
      <w:r w:rsidR="00880100" w:rsidRPr="007A5789">
        <w:rPr>
          <w:sz w:val="21"/>
        </w:rPr>
        <w:t>(</w:t>
      </w:r>
      <w:r w:rsidRPr="007A5789">
        <w:rPr>
          <w:sz w:val="21"/>
        </w:rPr>
        <w:t>i</w:t>
      </w:r>
      <w:r w:rsidR="00880100" w:rsidRPr="007A5789">
        <w:rPr>
          <w:sz w:val="21"/>
        </w:rPr>
        <w:t>)</w:t>
      </w:r>
      <w:r w:rsidRPr="007A5789">
        <w:rPr>
          <w:sz w:val="21"/>
        </w:rPr>
        <w:t>和</w:t>
      </w:r>
      <w:r w:rsidR="00880100" w:rsidRPr="007A5789">
        <w:rPr>
          <w:sz w:val="21"/>
        </w:rPr>
        <w:t>(</w:t>
      </w:r>
      <w:r w:rsidRPr="007A5789">
        <w:rPr>
          <w:sz w:val="21"/>
        </w:rPr>
        <w:t>ii</w:t>
      </w:r>
      <w:r w:rsidR="00880100" w:rsidRPr="007A5789">
        <w:rPr>
          <w:sz w:val="21"/>
        </w:rPr>
        <w:t>)</w:t>
      </w:r>
      <w:r w:rsidRPr="007A5789">
        <w:rPr>
          <w:sz w:val="21"/>
        </w:rPr>
        <w:t>的约束下的回报率。本组织的目标是在适当及可能的情况下实现经营和核心现金的市场回报率。</w:t>
      </w:r>
    </w:p>
    <w:p w:rsidR="004D1B13" w:rsidRPr="00C8425D" w:rsidRDefault="004D1B13" w:rsidP="00C8425D">
      <w:pPr>
        <w:keepNext/>
        <w:overflowPunct w:val="0"/>
        <w:spacing w:beforeLines="100" w:before="240" w:afterLines="50" w:after="120" w:line="340" w:lineRule="atLeast"/>
        <w:rPr>
          <w:b/>
          <w:sz w:val="21"/>
        </w:rPr>
      </w:pPr>
      <w:r w:rsidRPr="00C8425D">
        <w:rPr>
          <w:b/>
          <w:sz w:val="21"/>
        </w:rPr>
        <w:t>WIPO的风险管理战略概述</w:t>
      </w:r>
    </w:p>
    <w:p w:rsidR="004D1B13" w:rsidRPr="007A5789" w:rsidRDefault="004D1B13" w:rsidP="00B6014B">
      <w:pPr>
        <w:pStyle w:val="ONUME"/>
        <w:tabs>
          <w:tab w:val="clear" w:pos="567"/>
        </w:tabs>
        <w:overflowPunct w:val="0"/>
        <w:spacing w:afterLines="50" w:after="120" w:line="340" w:lineRule="atLeast"/>
        <w:rPr>
          <w:sz w:val="21"/>
        </w:rPr>
      </w:pPr>
      <w:r w:rsidRPr="007A5789">
        <w:rPr>
          <w:sz w:val="21"/>
        </w:rPr>
        <w:t>WIPO的风险管理政策规定了本组织以一致且以商业为导向的方式管理风险和内部控制的方法，以支持实现战略目标和预期</w:t>
      </w:r>
      <w:r w:rsidR="004C2129" w:rsidRPr="007A5789">
        <w:rPr>
          <w:rFonts w:hint="eastAsia"/>
          <w:sz w:val="21"/>
        </w:rPr>
        <w:t>成果</w:t>
      </w:r>
      <w:r w:rsidRPr="007A5789">
        <w:rPr>
          <w:sz w:val="21"/>
        </w:rPr>
        <w:t>。</w:t>
      </w:r>
      <w:r w:rsidR="00AA0D2C" w:rsidRPr="007A5789">
        <w:rPr>
          <w:sz w:val="21"/>
        </w:rPr>
        <w:t>该政策</w:t>
      </w:r>
      <w:r w:rsidR="004C2129" w:rsidRPr="007A5789">
        <w:rPr>
          <w:sz w:val="21"/>
        </w:rPr>
        <w:t>以</w:t>
      </w:r>
      <w:r w:rsidRPr="007A5789">
        <w:rPr>
          <w:sz w:val="21"/>
        </w:rPr>
        <w:t>WIPO的</w:t>
      </w:r>
      <w:r w:rsidR="004C2129" w:rsidRPr="007A5789">
        <w:rPr>
          <w:rFonts w:hint="eastAsia"/>
          <w:sz w:val="21"/>
        </w:rPr>
        <w:t>《</w:t>
      </w:r>
      <w:r w:rsidRPr="007A5789">
        <w:rPr>
          <w:sz w:val="21"/>
        </w:rPr>
        <w:t>风险和内部控制管理手册</w:t>
      </w:r>
      <w:r w:rsidR="004C2129" w:rsidRPr="007A5789">
        <w:rPr>
          <w:rFonts w:hint="eastAsia"/>
          <w:sz w:val="21"/>
        </w:rPr>
        <w:t>》</w:t>
      </w:r>
      <w:r w:rsidRPr="007A5789">
        <w:rPr>
          <w:sz w:val="21"/>
        </w:rPr>
        <w:t>作为补充，涵盖风险及内部控制管理的日常操作细节。</w:t>
      </w:r>
      <w:r w:rsidR="00A623F8" w:rsidRPr="007A5789">
        <w:rPr>
          <w:sz w:val="21"/>
        </w:rPr>
        <w:t>WIPO的风险管理框架</w:t>
      </w:r>
      <w:r w:rsidR="00A67E56" w:rsidRPr="007A5789">
        <w:rPr>
          <w:sz w:val="21"/>
        </w:rPr>
        <w:t>由</w:t>
      </w:r>
      <w:r w:rsidRPr="007A5789">
        <w:rPr>
          <w:sz w:val="21"/>
        </w:rPr>
        <w:t>该政策</w:t>
      </w:r>
      <w:r w:rsidR="00A67E56" w:rsidRPr="007A5789">
        <w:rPr>
          <w:rFonts w:hint="eastAsia"/>
          <w:sz w:val="21"/>
        </w:rPr>
        <w:t>、</w:t>
      </w:r>
      <w:r w:rsidR="00A67E56" w:rsidRPr="007A5789">
        <w:rPr>
          <w:sz w:val="21"/>
        </w:rPr>
        <w:t>该</w:t>
      </w:r>
      <w:r w:rsidRPr="007A5789">
        <w:rPr>
          <w:sz w:val="21"/>
        </w:rPr>
        <w:t>手册</w:t>
      </w:r>
      <w:r w:rsidR="00A67E56" w:rsidRPr="007A5789">
        <w:rPr>
          <w:rFonts w:hint="eastAsia"/>
          <w:sz w:val="21"/>
        </w:rPr>
        <w:t>、</w:t>
      </w:r>
      <w:r w:rsidRPr="007A5789">
        <w:rPr>
          <w:sz w:val="21"/>
        </w:rPr>
        <w:t>组织安排、职责确立</w:t>
      </w:r>
      <w:r w:rsidR="00A67E56" w:rsidRPr="007A5789">
        <w:rPr>
          <w:sz w:val="21"/>
        </w:rPr>
        <w:t>以及</w:t>
      </w:r>
      <w:r w:rsidRPr="007A5789">
        <w:rPr>
          <w:sz w:val="21"/>
        </w:rPr>
        <w:t>风险和内部控制</w:t>
      </w:r>
      <w:r w:rsidR="00A623F8" w:rsidRPr="007A5789">
        <w:rPr>
          <w:sz w:val="21"/>
        </w:rPr>
        <w:t>管理</w:t>
      </w:r>
      <w:r w:rsidRPr="007A5789">
        <w:rPr>
          <w:sz w:val="21"/>
        </w:rPr>
        <w:t>流程及活动</w:t>
      </w:r>
      <w:r w:rsidR="00A623F8" w:rsidRPr="007A5789">
        <w:rPr>
          <w:sz w:val="21"/>
        </w:rPr>
        <w:t>共同</w:t>
      </w:r>
      <w:r w:rsidRPr="007A5789">
        <w:rPr>
          <w:sz w:val="21"/>
        </w:rPr>
        <w:t>构成。</w:t>
      </w:r>
    </w:p>
    <w:p w:rsidR="005B0337" w:rsidRPr="007A5789" w:rsidRDefault="00A228C0" w:rsidP="00B6014B">
      <w:pPr>
        <w:pStyle w:val="ONUME"/>
        <w:tabs>
          <w:tab w:val="clear" w:pos="567"/>
        </w:tabs>
        <w:overflowPunct w:val="0"/>
        <w:spacing w:afterLines="50" w:after="120" w:line="340" w:lineRule="atLeast"/>
        <w:rPr>
          <w:sz w:val="21"/>
        </w:rPr>
      </w:pPr>
      <w:r w:rsidRPr="007A5789">
        <w:rPr>
          <w:sz w:val="21"/>
        </w:rPr>
        <w:t>根据WIPO风险管理政策的指导原则，风险管理被视为整个组织的职责。所有工作人员均负责管理风险，风险管理的最终责任由高管团队承担。战略或组织层面的风险由WIPO的风险管理</w:t>
      </w:r>
      <w:r w:rsidR="00AB6919">
        <w:rPr>
          <w:rFonts w:hint="eastAsia"/>
          <w:sz w:val="21"/>
        </w:rPr>
        <w:t>组</w:t>
      </w:r>
      <w:r w:rsidR="00816F5D" w:rsidRPr="007A5789">
        <w:rPr>
          <w:sz w:val="21"/>
        </w:rPr>
        <w:t>进行</w:t>
      </w:r>
      <w:r w:rsidRPr="007A5789">
        <w:rPr>
          <w:sz w:val="21"/>
        </w:rPr>
        <w:t>识别</w:t>
      </w:r>
      <w:r w:rsidR="00816F5D" w:rsidRPr="007A5789">
        <w:rPr>
          <w:rFonts w:hint="eastAsia"/>
          <w:sz w:val="21"/>
        </w:rPr>
        <w:t>和</w:t>
      </w:r>
      <w:r w:rsidRPr="007A5789">
        <w:rPr>
          <w:sz w:val="21"/>
        </w:rPr>
        <w:t>评估。风险管理</w:t>
      </w:r>
      <w:r w:rsidR="00AB6919">
        <w:rPr>
          <w:rFonts w:hint="eastAsia"/>
          <w:sz w:val="21"/>
        </w:rPr>
        <w:t>组</w:t>
      </w:r>
      <w:r w:rsidRPr="007A5789">
        <w:rPr>
          <w:sz w:val="21"/>
        </w:rPr>
        <w:t>由总干事主持。风险管理</w:t>
      </w:r>
      <w:r w:rsidR="008878D1" w:rsidRPr="007A5789">
        <w:rPr>
          <w:rFonts w:hint="eastAsia"/>
          <w:sz w:val="21"/>
        </w:rPr>
        <w:t>是</w:t>
      </w:r>
      <w:r w:rsidR="008878D1" w:rsidRPr="007A5789">
        <w:rPr>
          <w:sz w:val="21"/>
        </w:rPr>
        <w:t>作为</w:t>
      </w:r>
      <w:r w:rsidRPr="007A5789">
        <w:rPr>
          <w:sz w:val="21"/>
        </w:rPr>
        <w:t>本组织</w:t>
      </w:r>
      <w:r w:rsidR="00AB6919">
        <w:rPr>
          <w:rFonts w:hint="eastAsia"/>
          <w:sz w:val="21"/>
        </w:rPr>
        <w:t>成果管理制</w:t>
      </w:r>
      <w:r w:rsidRPr="007A5789">
        <w:rPr>
          <w:sz w:val="21"/>
        </w:rPr>
        <w:t>周期不可分割的一部分</w:t>
      </w:r>
      <w:r w:rsidR="008878D1" w:rsidRPr="007A5789">
        <w:rPr>
          <w:sz w:val="21"/>
        </w:rPr>
        <w:t>来履行的</w:t>
      </w:r>
      <w:r w:rsidRPr="007A5789">
        <w:rPr>
          <w:sz w:val="21"/>
        </w:rPr>
        <w:t>。风险管理战略</w:t>
      </w:r>
      <w:r w:rsidR="00A05103" w:rsidRPr="007A5789">
        <w:rPr>
          <w:rFonts w:hint="eastAsia"/>
          <w:sz w:val="21"/>
        </w:rPr>
        <w:t>以</w:t>
      </w:r>
      <w:r w:rsidRPr="007A5789">
        <w:rPr>
          <w:sz w:val="21"/>
        </w:rPr>
        <w:t>成员国在WIPO</w:t>
      </w:r>
      <w:r w:rsidR="008878D1" w:rsidRPr="007A5789">
        <w:rPr>
          <w:rFonts w:hint="eastAsia"/>
          <w:sz w:val="21"/>
        </w:rPr>
        <w:t>《</w:t>
      </w:r>
      <w:r w:rsidRPr="007A5789">
        <w:rPr>
          <w:sz w:val="21"/>
        </w:rPr>
        <w:t>风险偏好声明</w:t>
      </w:r>
      <w:r w:rsidR="008878D1" w:rsidRPr="007A5789">
        <w:rPr>
          <w:rFonts w:hint="eastAsia"/>
          <w:sz w:val="21"/>
        </w:rPr>
        <w:t>》</w:t>
      </w:r>
      <w:r w:rsidRPr="007A5789">
        <w:rPr>
          <w:sz w:val="21"/>
        </w:rPr>
        <w:t>中规定的风险偏好</w:t>
      </w:r>
      <w:r w:rsidR="00EE7591" w:rsidRPr="007A5789">
        <w:rPr>
          <w:rFonts w:hint="eastAsia"/>
          <w:sz w:val="21"/>
        </w:rPr>
        <w:t>作</w:t>
      </w:r>
      <w:r w:rsidRPr="007A5789">
        <w:rPr>
          <w:sz w:val="21"/>
        </w:rPr>
        <w:t>为指导。</w:t>
      </w:r>
    </w:p>
    <w:p w:rsidR="00D47896" w:rsidRPr="00C8425D" w:rsidRDefault="00D47896" w:rsidP="00C8425D">
      <w:pPr>
        <w:keepNext/>
        <w:overflowPunct w:val="0"/>
        <w:spacing w:beforeLines="100" w:before="240" w:afterLines="50" w:after="120" w:line="340" w:lineRule="atLeast"/>
        <w:rPr>
          <w:b/>
          <w:sz w:val="21"/>
        </w:rPr>
      </w:pPr>
      <w:r w:rsidRPr="00C8425D">
        <w:rPr>
          <w:b/>
          <w:sz w:val="21"/>
        </w:rPr>
        <w:t>财务报表概述</w:t>
      </w:r>
    </w:p>
    <w:p w:rsidR="00D47896" w:rsidRPr="007A5789" w:rsidRDefault="00D47896" w:rsidP="00B6014B">
      <w:pPr>
        <w:pStyle w:val="ONUME"/>
        <w:tabs>
          <w:tab w:val="clear" w:pos="567"/>
        </w:tabs>
        <w:overflowPunct w:val="0"/>
        <w:spacing w:afterLines="50" w:after="120" w:line="340" w:lineRule="atLeast"/>
        <w:rPr>
          <w:sz w:val="21"/>
        </w:rPr>
      </w:pPr>
      <w:r w:rsidRPr="007A5789">
        <w:rPr>
          <w:sz w:val="21"/>
        </w:rPr>
        <w:t>按照IPSAS编制的财务报表包括：</w:t>
      </w:r>
    </w:p>
    <w:p w:rsidR="00D47896" w:rsidRPr="007A5789" w:rsidRDefault="00D47896" w:rsidP="00FF47B9">
      <w:pPr>
        <w:numPr>
          <w:ilvl w:val="0"/>
          <w:numId w:val="4"/>
        </w:numPr>
        <w:tabs>
          <w:tab w:val="clear" w:pos="1021"/>
        </w:tabs>
        <w:overflowPunct w:val="0"/>
        <w:spacing w:afterLines="50" w:after="120" w:line="340" w:lineRule="atLeast"/>
        <w:ind w:left="1134" w:hanging="567"/>
        <w:rPr>
          <w:sz w:val="21"/>
          <w:szCs w:val="22"/>
        </w:rPr>
      </w:pPr>
      <w:r w:rsidRPr="007A5789">
        <w:rPr>
          <w:sz w:val="21"/>
          <w:u w:val="single"/>
        </w:rPr>
        <w:t>财务状况表</w:t>
      </w:r>
      <w:r w:rsidRPr="007A5789">
        <w:rPr>
          <w:sz w:val="21"/>
        </w:rPr>
        <w:t>详细描述本组织的净资产</w:t>
      </w:r>
      <w:r w:rsidR="00B6014B">
        <w:rPr>
          <w:sz w:val="21"/>
        </w:rPr>
        <w:t>（</w:t>
      </w:r>
      <w:r w:rsidRPr="007A5789">
        <w:rPr>
          <w:sz w:val="21"/>
        </w:rPr>
        <w:t>总资产和总负债之差</w:t>
      </w:r>
      <w:r w:rsidR="00B6014B">
        <w:rPr>
          <w:sz w:val="21"/>
        </w:rPr>
        <w:t>）</w:t>
      </w:r>
      <w:r w:rsidRPr="007A5789">
        <w:rPr>
          <w:sz w:val="21"/>
        </w:rPr>
        <w:t>。该报表提供了本组织财务实力以及可用于支持其未来目标的资源的信息；</w:t>
      </w:r>
    </w:p>
    <w:p w:rsidR="00D47896" w:rsidRPr="007A5789" w:rsidRDefault="00D47896" w:rsidP="00FF47B9">
      <w:pPr>
        <w:numPr>
          <w:ilvl w:val="0"/>
          <w:numId w:val="4"/>
        </w:numPr>
        <w:tabs>
          <w:tab w:val="clear" w:pos="1021"/>
        </w:tabs>
        <w:overflowPunct w:val="0"/>
        <w:spacing w:afterLines="50" w:after="120" w:line="340" w:lineRule="atLeast"/>
        <w:ind w:left="1134" w:hanging="567"/>
        <w:rPr>
          <w:sz w:val="21"/>
          <w:szCs w:val="22"/>
        </w:rPr>
      </w:pPr>
      <w:r w:rsidRPr="007A5789">
        <w:rPr>
          <w:sz w:val="21"/>
          <w:u w:val="single"/>
        </w:rPr>
        <w:t>财务执行情况表</w:t>
      </w:r>
      <w:r w:rsidRPr="007A5789">
        <w:rPr>
          <w:sz w:val="21"/>
        </w:rPr>
        <w:t>衡量当年的净盈余或赤字</w:t>
      </w:r>
      <w:r w:rsidR="00B6014B">
        <w:rPr>
          <w:sz w:val="21"/>
        </w:rPr>
        <w:t>（</w:t>
      </w:r>
      <w:r w:rsidRPr="007A5789">
        <w:rPr>
          <w:sz w:val="21"/>
        </w:rPr>
        <w:t>总收入和总支出之差</w:t>
      </w:r>
      <w:r w:rsidR="00B6014B">
        <w:rPr>
          <w:sz w:val="21"/>
        </w:rPr>
        <w:t>）</w:t>
      </w:r>
      <w:r w:rsidRPr="007A5789">
        <w:rPr>
          <w:sz w:val="21"/>
        </w:rPr>
        <w:t>。该报表提供了本组织收入来源及活动开支的信息。年度盈余或赤字按照完全的权责发生制呈报，在本期产生的收入和支出都纳入账目，不管相关的现金</w:t>
      </w:r>
      <w:proofErr w:type="gramStart"/>
      <w:r w:rsidRPr="007A5789">
        <w:rPr>
          <w:sz w:val="21"/>
        </w:rPr>
        <w:t>何时实际</w:t>
      </w:r>
      <w:proofErr w:type="gramEnd"/>
      <w:r w:rsidRPr="007A5789">
        <w:rPr>
          <w:sz w:val="21"/>
        </w:rPr>
        <w:t>收到或支付；</w:t>
      </w:r>
    </w:p>
    <w:p w:rsidR="00D47896" w:rsidRPr="007A5789" w:rsidRDefault="00D47896" w:rsidP="00FF47B9">
      <w:pPr>
        <w:numPr>
          <w:ilvl w:val="0"/>
          <w:numId w:val="4"/>
        </w:numPr>
        <w:tabs>
          <w:tab w:val="clear" w:pos="1021"/>
        </w:tabs>
        <w:overflowPunct w:val="0"/>
        <w:spacing w:afterLines="50" w:after="120" w:line="340" w:lineRule="atLeast"/>
        <w:ind w:left="1134" w:hanging="567"/>
        <w:rPr>
          <w:sz w:val="21"/>
          <w:szCs w:val="22"/>
        </w:rPr>
      </w:pPr>
      <w:r w:rsidRPr="007A5789">
        <w:rPr>
          <w:sz w:val="21"/>
          <w:u w:val="single"/>
        </w:rPr>
        <w:t>净资产变动表</w:t>
      </w:r>
      <w:r w:rsidRPr="007A5789">
        <w:rPr>
          <w:sz w:val="21"/>
        </w:rPr>
        <w:t>明</w:t>
      </w:r>
      <w:proofErr w:type="gramStart"/>
      <w:r w:rsidRPr="007A5789">
        <w:rPr>
          <w:sz w:val="21"/>
        </w:rPr>
        <w:t>确当年</w:t>
      </w:r>
      <w:proofErr w:type="gramEnd"/>
      <w:r w:rsidRPr="007A5789">
        <w:rPr>
          <w:sz w:val="21"/>
        </w:rPr>
        <w:t>的净资产变动情况。该报表显示本组织总体财务状况的变动来源，包括本期盈余或赤字引起的变动；</w:t>
      </w:r>
    </w:p>
    <w:p w:rsidR="00D47896" w:rsidRPr="007A5789" w:rsidRDefault="00D47896" w:rsidP="00FF47B9">
      <w:pPr>
        <w:numPr>
          <w:ilvl w:val="0"/>
          <w:numId w:val="4"/>
        </w:numPr>
        <w:tabs>
          <w:tab w:val="clear" w:pos="1021"/>
        </w:tabs>
        <w:overflowPunct w:val="0"/>
        <w:spacing w:afterLines="50" w:after="120" w:line="340" w:lineRule="atLeast"/>
        <w:ind w:left="1134" w:hanging="567"/>
        <w:rPr>
          <w:sz w:val="21"/>
          <w:szCs w:val="22"/>
        </w:rPr>
      </w:pPr>
      <w:r w:rsidRPr="007A5789">
        <w:rPr>
          <w:sz w:val="21"/>
          <w:u w:val="single"/>
        </w:rPr>
        <w:lastRenderedPageBreak/>
        <w:t>现金流量表</w:t>
      </w:r>
      <w:r w:rsidRPr="007A5789">
        <w:rPr>
          <w:sz w:val="21"/>
        </w:rPr>
        <w:t>呈报当年的运营、投资和融资活动所带来的现金流动情况。该报表提供了当年的现金筹集和使用情况的信息，包括借款和还款以及固定资产的购置和出售。与财务执行情况表不同的是，现金流量表衡量流入本组织的现金和流出现金之差；</w:t>
      </w:r>
    </w:p>
    <w:p w:rsidR="00D47896" w:rsidRPr="007A5789" w:rsidRDefault="00D47896" w:rsidP="00FF47B9">
      <w:pPr>
        <w:numPr>
          <w:ilvl w:val="0"/>
          <w:numId w:val="4"/>
        </w:numPr>
        <w:tabs>
          <w:tab w:val="clear" w:pos="1021"/>
        </w:tabs>
        <w:overflowPunct w:val="0"/>
        <w:spacing w:afterLines="50" w:after="120" w:line="340" w:lineRule="atLeast"/>
        <w:ind w:left="1134" w:hanging="567"/>
        <w:rPr>
          <w:sz w:val="21"/>
          <w:szCs w:val="22"/>
        </w:rPr>
      </w:pPr>
      <w:r w:rsidRPr="007A5789">
        <w:rPr>
          <w:sz w:val="21"/>
          <w:u w:val="single"/>
        </w:rPr>
        <w:t>预算与实际对比表</w:t>
      </w:r>
      <w:r w:rsidRPr="007A5789">
        <w:rPr>
          <w:sz w:val="21"/>
        </w:rPr>
        <w:t>呈报计划和预算下的预算额和当年实际发生额之间的对比。该报表按预算制编制，这是一种修正的权责发生制，反映了资源的获取和使用在多大程度上按照核准的预算进行；</w:t>
      </w:r>
    </w:p>
    <w:p w:rsidR="00D47896" w:rsidRPr="007A5789" w:rsidRDefault="00D47896" w:rsidP="00FF47B9">
      <w:pPr>
        <w:numPr>
          <w:ilvl w:val="0"/>
          <w:numId w:val="4"/>
        </w:numPr>
        <w:tabs>
          <w:tab w:val="clear" w:pos="1021"/>
        </w:tabs>
        <w:overflowPunct w:val="0"/>
        <w:spacing w:afterLines="50" w:after="120" w:line="340" w:lineRule="atLeast"/>
        <w:ind w:left="1134" w:hanging="567"/>
        <w:rPr>
          <w:sz w:val="21"/>
          <w:szCs w:val="22"/>
        </w:rPr>
      </w:pPr>
      <w:r w:rsidRPr="007A5789">
        <w:rPr>
          <w:sz w:val="21"/>
          <w:u w:val="single"/>
        </w:rPr>
        <w:t>财务报表附注</w:t>
      </w:r>
      <w:r w:rsidRPr="007A5789">
        <w:rPr>
          <w:sz w:val="21"/>
        </w:rPr>
        <w:t>帮助理解主要的财务报表。附注包括重大会计政策的概述及其他解释性信息，同时也披露IPSAS要求的、在主要财务报表中未直接载明的信息。</w:t>
      </w:r>
    </w:p>
    <w:p w:rsidR="00D47896" w:rsidRPr="00C8425D" w:rsidRDefault="00D47896" w:rsidP="00C8425D">
      <w:pPr>
        <w:keepNext/>
        <w:overflowPunct w:val="0"/>
        <w:spacing w:beforeLines="100" w:before="240" w:afterLines="50" w:after="120" w:line="340" w:lineRule="atLeast"/>
        <w:rPr>
          <w:b/>
          <w:sz w:val="21"/>
        </w:rPr>
      </w:pPr>
      <w:r w:rsidRPr="00C8425D">
        <w:rPr>
          <w:b/>
          <w:sz w:val="21"/>
        </w:rPr>
        <w:t>财务报表要点</w:t>
      </w:r>
    </w:p>
    <w:p w:rsidR="00D47896" w:rsidRPr="007A5789" w:rsidRDefault="00D47896" w:rsidP="00B6014B">
      <w:pPr>
        <w:pStyle w:val="ONUME"/>
        <w:tabs>
          <w:tab w:val="clear" w:pos="567"/>
        </w:tabs>
        <w:overflowPunct w:val="0"/>
        <w:spacing w:afterLines="50" w:after="120" w:line="340" w:lineRule="atLeast"/>
        <w:rPr>
          <w:sz w:val="21"/>
        </w:rPr>
      </w:pPr>
      <w:r w:rsidRPr="007A5789">
        <w:rPr>
          <w:sz w:val="21"/>
        </w:rPr>
        <w:t>根据IPASA编制的2015年WIPO财务报表显示，当年盈余为3,330</w:t>
      </w:r>
      <w:proofErr w:type="gramStart"/>
      <w:r w:rsidRPr="007A5789">
        <w:rPr>
          <w:sz w:val="21"/>
        </w:rPr>
        <w:t>万瑞</w:t>
      </w:r>
      <w:proofErr w:type="gramEnd"/>
      <w:r w:rsidRPr="007A5789">
        <w:rPr>
          <w:sz w:val="21"/>
        </w:rPr>
        <w:t>郎，相应的净资产从2014年的2.458亿瑞郎增加到截至2015年12月31日的2.791亿瑞郎。</w:t>
      </w:r>
    </w:p>
    <w:p w:rsidR="00D47896" w:rsidRPr="007A5789" w:rsidRDefault="00646AC3" w:rsidP="00B6014B">
      <w:pPr>
        <w:pStyle w:val="ONUME"/>
        <w:tabs>
          <w:tab w:val="clear" w:pos="567"/>
        </w:tabs>
        <w:overflowPunct w:val="0"/>
        <w:spacing w:afterLines="50" w:after="120" w:line="340" w:lineRule="atLeast"/>
        <w:rPr>
          <w:sz w:val="21"/>
        </w:rPr>
      </w:pPr>
      <w:r w:rsidRPr="007A5789">
        <w:rPr>
          <w:sz w:val="21"/>
        </w:rPr>
        <w:t>2015年盈余为3,330</w:t>
      </w:r>
      <w:proofErr w:type="gramStart"/>
      <w:r w:rsidRPr="007A5789">
        <w:rPr>
          <w:sz w:val="21"/>
        </w:rPr>
        <w:t>万瑞</w:t>
      </w:r>
      <w:proofErr w:type="gramEnd"/>
      <w:r w:rsidRPr="007A5789">
        <w:rPr>
          <w:sz w:val="21"/>
        </w:rPr>
        <w:t>郎，与2014年3,700</w:t>
      </w:r>
      <w:proofErr w:type="gramStart"/>
      <w:r w:rsidRPr="007A5789">
        <w:rPr>
          <w:sz w:val="21"/>
        </w:rPr>
        <w:t>万瑞</w:t>
      </w:r>
      <w:proofErr w:type="gramEnd"/>
      <w:r w:rsidRPr="007A5789">
        <w:rPr>
          <w:sz w:val="21"/>
        </w:rPr>
        <w:t>郎的盈余不相上下。与2014年数据相比，2015年的总收入增长了1,170</w:t>
      </w:r>
      <w:proofErr w:type="gramStart"/>
      <w:r w:rsidRPr="007A5789">
        <w:rPr>
          <w:sz w:val="21"/>
        </w:rPr>
        <w:t>万瑞</w:t>
      </w:r>
      <w:proofErr w:type="gramEnd"/>
      <w:r w:rsidRPr="007A5789">
        <w:rPr>
          <w:sz w:val="21"/>
        </w:rPr>
        <w:t>郎，主要因为马德里体系费用收入增加了1,280</w:t>
      </w:r>
      <w:proofErr w:type="gramStart"/>
      <w:r w:rsidRPr="007A5789">
        <w:rPr>
          <w:sz w:val="21"/>
        </w:rPr>
        <w:t>万瑞</w:t>
      </w:r>
      <w:proofErr w:type="gramEnd"/>
      <w:r w:rsidRPr="007A5789">
        <w:rPr>
          <w:sz w:val="21"/>
        </w:rPr>
        <w:t>郎。和2014年相比，总支出增加了1,540</w:t>
      </w:r>
      <w:proofErr w:type="gramStart"/>
      <w:r w:rsidRPr="007A5789">
        <w:rPr>
          <w:sz w:val="21"/>
        </w:rPr>
        <w:t>万瑞</w:t>
      </w:r>
      <w:proofErr w:type="gramEnd"/>
      <w:r w:rsidRPr="007A5789">
        <w:rPr>
          <w:sz w:val="21"/>
        </w:rPr>
        <w:t>郎。虽然人事支出同比保持相对稳定，但几乎所有其他支出类别均增加，最显著的是</w:t>
      </w:r>
      <w:r w:rsidR="00BD2A86" w:rsidRPr="007A5789">
        <w:rPr>
          <w:sz w:val="21"/>
        </w:rPr>
        <w:t>2015年的</w:t>
      </w:r>
      <w:r w:rsidRPr="007A5789">
        <w:rPr>
          <w:sz w:val="21"/>
        </w:rPr>
        <w:t>订约承办事务较2014年增加了850</w:t>
      </w:r>
      <w:proofErr w:type="gramStart"/>
      <w:r w:rsidRPr="007A5789">
        <w:rPr>
          <w:sz w:val="21"/>
        </w:rPr>
        <w:t>万瑞</w:t>
      </w:r>
      <w:proofErr w:type="gramEnd"/>
      <w:r w:rsidRPr="007A5789">
        <w:rPr>
          <w:sz w:val="21"/>
        </w:rPr>
        <w:t>郎。</w:t>
      </w:r>
    </w:p>
    <w:p w:rsidR="00D47896" w:rsidRPr="007A5789" w:rsidRDefault="00D47896" w:rsidP="00B6014B">
      <w:pPr>
        <w:pStyle w:val="ONUME"/>
        <w:tabs>
          <w:tab w:val="clear" w:pos="567"/>
        </w:tabs>
        <w:overflowPunct w:val="0"/>
        <w:spacing w:afterLines="50" w:after="120" w:line="340" w:lineRule="atLeast"/>
        <w:rPr>
          <w:sz w:val="21"/>
        </w:rPr>
      </w:pPr>
      <w:r w:rsidRPr="007A5789">
        <w:rPr>
          <w:sz w:val="21"/>
        </w:rPr>
        <w:t>WIPO的总资产从截至2014年12月31日的9.694亿瑞</w:t>
      </w:r>
      <w:proofErr w:type="gramStart"/>
      <w:r w:rsidRPr="007A5789">
        <w:rPr>
          <w:sz w:val="21"/>
        </w:rPr>
        <w:t>郎增长</w:t>
      </w:r>
      <w:proofErr w:type="gramEnd"/>
      <w:r w:rsidRPr="007A5789">
        <w:rPr>
          <w:sz w:val="21"/>
        </w:rPr>
        <w:t>至截至2015年12月31日的9.77亿瑞郎。截至2015年底，现金及现金等价物共计4.895亿瑞郎</w:t>
      </w:r>
      <w:r w:rsidR="00B6014B">
        <w:rPr>
          <w:sz w:val="21"/>
        </w:rPr>
        <w:t>（</w:t>
      </w:r>
      <w:r w:rsidRPr="007A5789">
        <w:rPr>
          <w:sz w:val="21"/>
        </w:rPr>
        <w:t>占总资产的50.1%</w:t>
      </w:r>
      <w:r w:rsidR="00B6014B">
        <w:rPr>
          <w:sz w:val="21"/>
        </w:rPr>
        <w:t>）</w:t>
      </w:r>
      <w:r w:rsidRPr="007A5789">
        <w:rPr>
          <w:sz w:val="21"/>
        </w:rPr>
        <w:t>。较上年增长1,500</w:t>
      </w:r>
      <w:proofErr w:type="gramStart"/>
      <w:r w:rsidRPr="007A5789">
        <w:rPr>
          <w:sz w:val="21"/>
        </w:rPr>
        <w:t>万瑞</w:t>
      </w:r>
      <w:proofErr w:type="gramEnd"/>
      <w:r w:rsidRPr="007A5789">
        <w:rPr>
          <w:sz w:val="21"/>
        </w:rPr>
        <w:t>郎，尽管本组织于2015年11月一次性偿还了2,400</w:t>
      </w:r>
      <w:proofErr w:type="gramStart"/>
      <w:r w:rsidRPr="007A5789">
        <w:rPr>
          <w:sz w:val="21"/>
        </w:rPr>
        <w:t>万瑞</w:t>
      </w:r>
      <w:proofErr w:type="gramEnd"/>
      <w:r w:rsidRPr="007A5789">
        <w:rPr>
          <w:sz w:val="21"/>
        </w:rPr>
        <w:t>郎的贷款。WIPO保持了相当多的固定资产投资，包括土地、楼宇、投资财产、无形资产和设备，账面净值总额为4.178亿瑞郎</w:t>
      </w:r>
      <w:r w:rsidR="00B6014B">
        <w:rPr>
          <w:sz w:val="21"/>
        </w:rPr>
        <w:t>（</w:t>
      </w:r>
      <w:r w:rsidRPr="007A5789">
        <w:rPr>
          <w:sz w:val="21"/>
        </w:rPr>
        <w:t>占总资产的42.8%</w:t>
      </w:r>
      <w:r w:rsidR="00B6014B">
        <w:rPr>
          <w:sz w:val="21"/>
        </w:rPr>
        <w:t>）</w:t>
      </w:r>
      <w:r w:rsidRPr="007A5789">
        <w:rPr>
          <w:sz w:val="21"/>
        </w:rPr>
        <w:t>。2015年继续投资固定资产，包括增加620</w:t>
      </w:r>
      <w:proofErr w:type="gramStart"/>
      <w:r w:rsidRPr="007A5789">
        <w:rPr>
          <w:sz w:val="21"/>
        </w:rPr>
        <w:t>万瑞</w:t>
      </w:r>
      <w:proofErr w:type="gramEnd"/>
      <w:r w:rsidRPr="007A5789">
        <w:rPr>
          <w:sz w:val="21"/>
        </w:rPr>
        <w:t>郎的楼宇及建筑投资。新会议厅于2014年9月投入使用，内部及周边的一些剩余工程于2015年完工。安保</w:t>
      </w:r>
      <w:r w:rsidR="001723AF" w:rsidRPr="007A5789">
        <w:rPr>
          <w:rFonts w:hint="eastAsia"/>
          <w:sz w:val="21"/>
        </w:rPr>
        <w:t>施工</w:t>
      </w:r>
      <w:r w:rsidRPr="007A5789">
        <w:rPr>
          <w:sz w:val="21"/>
        </w:rPr>
        <w:t>项目也于2015年完工，包括新登记中心、安全运营中心及安全</w:t>
      </w:r>
      <w:r w:rsidR="00667384" w:rsidRPr="007A5789">
        <w:rPr>
          <w:rFonts w:hint="eastAsia"/>
          <w:sz w:val="21"/>
        </w:rPr>
        <w:t>边界</w:t>
      </w:r>
      <w:r w:rsidRPr="007A5789">
        <w:rPr>
          <w:sz w:val="21"/>
        </w:rPr>
        <w:t>。</w:t>
      </w:r>
    </w:p>
    <w:p w:rsidR="00D47896" w:rsidRPr="007A5789" w:rsidRDefault="00D47896" w:rsidP="00B6014B">
      <w:pPr>
        <w:pStyle w:val="ONUME"/>
        <w:tabs>
          <w:tab w:val="clear" w:pos="567"/>
        </w:tabs>
        <w:overflowPunct w:val="0"/>
        <w:spacing w:afterLines="50" w:after="120" w:line="340" w:lineRule="atLeast"/>
        <w:rPr>
          <w:sz w:val="21"/>
        </w:rPr>
      </w:pPr>
      <w:r w:rsidRPr="007A5789">
        <w:rPr>
          <w:sz w:val="21"/>
        </w:rPr>
        <w:t>截至2015年12月31日，本组织的主要负债是3.598亿瑞郎的应付及预收账款</w:t>
      </w:r>
      <w:r w:rsidR="00B6014B">
        <w:rPr>
          <w:sz w:val="21"/>
        </w:rPr>
        <w:t>（</w:t>
      </w:r>
      <w:r w:rsidRPr="007A5789">
        <w:rPr>
          <w:sz w:val="21"/>
        </w:rPr>
        <w:t>占总负债的51.5%</w:t>
      </w:r>
      <w:r w:rsidR="00B6014B">
        <w:rPr>
          <w:sz w:val="21"/>
        </w:rPr>
        <w:t>）</w:t>
      </w:r>
      <w:r w:rsidRPr="007A5789">
        <w:rPr>
          <w:sz w:val="21"/>
        </w:rPr>
        <w:t>以及1.715亿瑞郎的雇员福利负债</w:t>
      </w:r>
      <w:r w:rsidR="00B6014B">
        <w:rPr>
          <w:sz w:val="21"/>
        </w:rPr>
        <w:t>（</w:t>
      </w:r>
      <w:r w:rsidRPr="007A5789">
        <w:rPr>
          <w:sz w:val="21"/>
        </w:rPr>
        <w:t>占总负债的24.6%</w:t>
      </w:r>
      <w:r w:rsidR="00B6014B">
        <w:rPr>
          <w:sz w:val="21"/>
        </w:rPr>
        <w:t>）</w:t>
      </w:r>
      <w:r w:rsidRPr="007A5789">
        <w:rPr>
          <w:sz w:val="21"/>
        </w:rPr>
        <w:t>。截至2015年底，总借款为1.1亿瑞郎，而2014年底为1.392亿瑞郎。除了定期的年度贷款偿还，如上所述，2015年本组织还一次性偿还了2,400</w:t>
      </w:r>
      <w:proofErr w:type="gramStart"/>
      <w:r w:rsidRPr="007A5789">
        <w:rPr>
          <w:sz w:val="21"/>
        </w:rPr>
        <w:t>万瑞</w:t>
      </w:r>
      <w:proofErr w:type="gramEnd"/>
      <w:r w:rsidRPr="007A5789">
        <w:rPr>
          <w:sz w:val="21"/>
        </w:rPr>
        <w:t>郎贷款。</w:t>
      </w:r>
    </w:p>
    <w:p w:rsidR="0016766F" w:rsidRPr="007A5789" w:rsidRDefault="00700881" w:rsidP="00B6014B">
      <w:pPr>
        <w:pStyle w:val="ONUME"/>
        <w:tabs>
          <w:tab w:val="clear" w:pos="567"/>
        </w:tabs>
        <w:overflowPunct w:val="0"/>
        <w:spacing w:afterLines="50" w:after="120" w:line="340" w:lineRule="atLeast"/>
        <w:rPr>
          <w:sz w:val="21"/>
        </w:rPr>
      </w:pPr>
      <w:r w:rsidRPr="007A5789">
        <w:rPr>
          <w:sz w:val="21"/>
        </w:rPr>
        <w:t>截至2015年底，本组织的净资产共计2.791亿瑞郎，包括储备金及周转基金。WIPO的储备</w:t>
      </w:r>
      <w:proofErr w:type="gramStart"/>
      <w:r w:rsidRPr="007A5789">
        <w:rPr>
          <w:sz w:val="21"/>
        </w:rPr>
        <w:t>金政策</w:t>
      </w:r>
      <w:proofErr w:type="gramEnd"/>
      <w:r w:rsidRPr="007A5789">
        <w:rPr>
          <w:sz w:val="21"/>
        </w:rPr>
        <w:t>在2015年经过修改，修改内容包括建立一</w:t>
      </w:r>
      <w:r w:rsidR="009B5B06" w:rsidRPr="007A5789">
        <w:rPr>
          <w:rFonts w:hint="eastAsia"/>
          <w:sz w:val="21"/>
        </w:rPr>
        <w:t>项</w:t>
      </w:r>
      <w:r w:rsidRPr="007A5789">
        <w:rPr>
          <w:sz w:val="21"/>
        </w:rPr>
        <w:t>独立的可动用储备金的</w:t>
      </w:r>
      <w:r w:rsidR="00AB6919">
        <w:rPr>
          <w:sz w:val="21"/>
        </w:rPr>
        <w:t>特别项目</w:t>
      </w:r>
      <w:r w:rsidRPr="007A5789">
        <w:rPr>
          <w:sz w:val="21"/>
        </w:rPr>
        <w:t>储备金。该储备金目前在财务报表中单独呈报。</w:t>
      </w:r>
      <w:r w:rsidR="00AB6919">
        <w:rPr>
          <w:sz w:val="21"/>
        </w:rPr>
        <w:t>特别项目</w:t>
      </w:r>
      <w:r w:rsidRPr="007A5789">
        <w:rPr>
          <w:sz w:val="21"/>
        </w:rPr>
        <w:t>储备金包含储备金对项目的拨款减去累计支出。截至2015年12月31日，余额为2,370</w:t>
      </w:r>
      <w:proofErr w:type="gramStart"/>
      <w:r w:rsidRPr="007A5789">
        <w:rPr>
          <w:sz w:val="21"/>
        </w:rPr>
        <w:t>万瑞</w:t>
      </w:r>
      <w:proofErr w:type="gramEnd"/>
      <w:r w:rsidRPr="007A5789">
        <w:rPr>
          <w:sz w:val="21"/>
        </w:rPr>
        <w:t>郎，代表已经批准的项目资金。</w:t>
      </w:r>
    </w:p>
    <w:p w:rsidR="00D47896" w:rsidRPr="00C8425D" w:rsidRDefault="00D47896" w:rsidP="00C8425D">
      <w:pPr>
        <w:keepNext/>
        <w:overflowPunct w:val="0"/>
        <w:spacing w:beforeLines="100" w:before="240" w:afterLines="50" w:after="120" w:line="340" w:lineRule="atLeast"/>
        <w:rPr>
          <w:b/>
          <w:sz w:val="21"/>
        </w:rPr>
      </w:pPr>
      <w:r w:rsidRPr="00C8425D">
        <w:rPr>
          <w:b/>
          <w:sz w:val="21"/>
        </w:rPr>
        <w:t>财务执行情况</w:t>
      </w:r>
    </w:p>
    <w:p w:rsidR="005F1034" w:rsidRPr="007A5789" w:rsidRDefault="00D47896" w:rsidP="00B6014B">
      <w:pPr>
        <w:pStyle w:val="ONUME"/>
        <w:tabs>
          <w:tab w:val="clear" w:pos="567"/>
        </w:tabs>
        <w:overflowPunct w:val="0"/>
        <w:spacing w:afterLines="50" w:after="120" w:line="340" w:lineRule="atLeast"/>
        <w:rPr>
          <w:sz w:val="21"/>
        </w:rPr>
      </w:pPr>
      <w:r w:rsidRPr="007A5789">
        <w:rPr>
          <w:sz w:val="21"/>
        </w:rPr>
        <w:t>本组织2015年的结果显示，当年盈余3,330</w:t>
      </w:r>
      <w:proofErr w:type="gramStart"/>
      <w:r w:rsidRPr="007A5789">
        <w:rPr>
          <w:sz w:val="21"/>
        </w:rPr>
        <w:t>万瑞</w:t>
      </w:r>
      <w:proofErr w:type="gramEnd"/>
      <w:r w:rsidRPr="007A5789">
        <w:rPr>
          <w:sz w:val="21"/>
        </w:rPr>
        <w:t>郎，总收入为3.819亿瑞郎，总支出为3.486亿瑞郎。相比之下，2014年盈余为3,700</w:t>
      </w:r>
      <w:proofErr w:type="gramStart"/>
      <w:r w:rsidRPr="007A5789">
        <w:rPr>
          <w:sz w:val="21"/>
        </w:rPr>
        <w:t>万瑞</w:t>
      </w:r>
      <w:proofErr w:type="gramEnd"/>
      <w:r w:rsidRPr="007A5789">
        <w:rPr>
          <w:sz w:val="21"/>
        </w:rPr>
        <w:t>郎，总收入为3.702亿瑞郎，总支出为3.332亿瑞郎。</w:t>
      </w:r>
    </w:p>
    <w:p w:rsidR="00FD1093" w:rsidRPr="007A5789" w:rsidRDefault="00D47896" w:rsidP="00B6014B">
      <w:pPr>
        <w:pStyle w:val="ONUME"/>
        <w:tabs>
          <w:tab w:val="clear" w:pos="567"/>
        </w:tabs>
        <w:overflowPunct w:val="0"/>
        <w:spacing w:afterLines="50" w:after="120" w:line="340" w:lineRule="atLeast"/>
        <w:rPr>
          <w:sz w:val="21"/>
        </w:rPr>
      </w:pPr>
      <w:r w:rsidRPr="007A5789">
        <w:rPr>
          <w:sz w:val="21"/>
        </w:rPr>
        <w:t>采用修正的权责发生制</w:t>
      </w:r>
      <w:r w:rsidR="00B6014B">
        <w:rPr>
          <w:sz w:val="21"/>
        </w:rPr>
        <w:t>（</w:t>
      </w:r>
      <w:r w:rsidRPr="007A5789">
        <w:rPr>
          <w:sz w:val="21"/>
        </w:rPr>
        <w:t>即</w:t>
      </w:r>
      <w:proofErr w:type="gramStart"/>
      <w:r w:rsidRPr="007A5789">
        <w:rPr>
          <w:sz w:val="21"/>
        </w:rPr>
        <w:t>未依据</w:t>
      </w:r>
      <w:proofErr w:type="gramEnd"/>
      <w:r w:rsidRPr="007A5789">
        <w:rPr>
          <w:sz w:val="21"/>
        </w:rPr>
        <w:t>IPSAS进行调整</w:t>
      </w:r>
      <w:r w:rsidR="00B6014B">
        <w:rPr>
          <w:sz w:val="21"/>
        </w:rPr>
        <w:t>）</w:t>
      </w:r>
      <w:r w:rsidRPr="007A5789">
        <w:rPr>
          <w:sz w:val="21"/>
        </w:rPr>
        <w:t>编制的2015年计划和预算结果为盈余6,320</w:t>
      </w:r>
      <w:proofErr w:type="gramStart"/>
      <w:r w:rsidRPr="007A5789">
        <w:rPr>
          <w:sz w:val="21"/>
        </w:rPr>
        <w:t>万瑞</w:t>
      </w:r>
      <w:proofErr w:type="gramEnd"/>
      <w:r w:rsidRPr="007A5789">
        <w:rPr>
          <w:sz w:val="21"/>
        </w:rPr>
        <w:t>郎。本组织2015年依据IPSAS进行核算的结果包括特别账户、由储备金资助的项目以及根据IPSAS标准采用完全的权责发生制进行相关调整产生的影响。</w:t>
      </w:r>
    </w:p>
    <w:p w:rsidR="001864CF" w:rsidRPr="007A5789" w:rsidRDefault="001864CF" w:rsidP="006A1075">
      <w:pPr>
        <w:pStyle w:val="ONUME"/>
        <w:keepNext/>
        <w:numPr>
          <w:ilvl w:val="0"/>
          <w:numId w:val="0"/>
        </w:numPr>
        <w:overflowPunct w:val="0"/>
        <w:spacing w:afterLines="50" w:after="120" w:line="340" w:lineRule="atLeast"/>
        <w:jc w:val="center"/>
        <w:rPr>
          <w:sz w:val="21"/>
          <w:u w:val="single"/>
        </w:rPr>
      </w:pPr>
      <w:proofErr w:type="gramStart"/>
      <w:r w:rsidRPr="007A5789">
        <w:rPr>
          <w:sz w:val="21"/>
          <w:u w:val="single"/>
        </w:rPr>
        <w:lastRenderedPageBreak/>
        <w:t>按供资</w:t>
      </w:r>
      <w:proofErr w:type="gramEnd"/>
      <w:r w:rsidRPr="007A5789">
        <w:rPr>
          <w:sz w:val="21"/>
          <w:u w:val="single"/>
        </w:rPr>
        <w:t>来源开列的财务执行情况概览</w:t>
      </w:r>
    </w:p>
    <w:p w:rsidR="001864CF" w:rsidRPr="007A5789" w:rsidRDefault="006A1075" w:rsidP="006A1075">
      <w:pPr>
        <w:pStyle w:val="ONUME"/>
        <w:numPr>
          <w:ilvl w:val="0"/>
          <w:numId w:val="0"/>
        </w:numPr>
        <w:spacing w:afterLines="50" w:after="120" w:line="340" w:lineRule="atLeast"/>
        <w:jc w:val="center"/>
        <w:rPr>
          <w:sz w:val="21"/>
        </w:rPr>
      </w:pPr>
      <w:r w:rsidRPr="00EF7E79">
        <w:rPr>
          <w:noProof/>
          <w:sz w:val="21"/>
          <w:lang w:val="en-US" w:bidi="ar-SA"/>
        </w:rPr>
        <w:drawing>
          <wp:inline distT="0" distB="0" distL="0" distR="0" wp14:anchorId="5699DA45" wp14:editId="675778B5">
            <wp:extent cx="5940425" cy="1716851"/>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1716851"/>
                    </a:xfrm>
                    <a:prstGeom prst="rect">
                      <a:avLst/>
                    </a:prstGeom>
                    <a:noFill/>
                    <a:ln>
                      <a:noFill/>
                    </a:ln>
                  </pic:spPr>
                </pic:pic>
              </a:graphicData>
            </a:graphic>
          </wp:inline>
        </w:drawing>
      </w:r>
    </w:p>
    <w:p w:rsidR="0016766F" w:rsidRPr="007A5789" w:rsidRDefault="001864CF" w:rsidP="00B6014B">
      <w:pPr>
        <w:pStyle w:val="ONUME"/>
        <w:tabs>
          <w:tab w:val="clear" w:pos="567"/>
        </w:tabs>
        <w:overflowPunct w:val="0"/>
        <w:spacing w:afterLines="50" w:after="120" w:line="340" w:lineRule="atLeast"/>
        <w:rPr>
          <w:sz w:val="21"/>
        </w:rPr>
      </w:pPr>
      <w:r w:rsidRPr="007A5789">
        <w:rPr>
          <w:sz w:val="21"/>
        </w:rPr>
        <w:t>下图摘要说明了计划和预算的6,320</w:t>
      </w:r>
      <w:proofErr w:type="gramStart"/>
      <w:r w:rsidRPr="007A5789">
        <w:rPr>
          <w:sz w:val="21"/>
        </w:rPr>
        <w:t>万瑞</w:t>
      </w:r>
      <w:proofErr w:type="gramEnd"/>
      <w:r w:rsidRPr="007A5789">
        <w:rPr>
          <w:sz w:val="21"/>
        </w:rPr>
        <w:t>郎盈余和按照IPSAS编制的整个组织的3,330</w:t>
      </w:r>
      <w:proofErr w:type="gramStart"/>
      <w:r w:rsidRPr="007A5789">
        <w:rPr>
          <w:sz w:val="21"/>
        </w:rPr>
        <w:t>万瑞</w:t>
      </w:r>
      <w:proofErr w:type="gramEnd"/>
      <w:r w:rsidRPr="007A5789">
        <w:rPr>
          <w:sz w:val="21"/>
        </w:rPr>
        <w:t>郎盈余之间的主要差别。</w:t>
      </w:r>
    </w:p>
    <w:p w:rsidR="001864CF" w:rsidRPr="006A1075" w:rsidRDefault="00B125D6" w:rsidP="006A1075">
      <w:pPr>
        <w:pStyle w:val="ONUME"/>
        <w:keepNext/>
        <w:numPr>
          <w:ilvl w:val="0"/>
          <w:numId w:val="0"/>
        </w:numPr>
        <w:overflowPunct w:val="0"/>
        <w:spacing w:afterLines="50" w:after="120" w:line="340" w:lineRule="atLeast"/>
        <w:jc w:val="center"/>
        <w:rPr>
          <w:sz w:val="21"/>
          <w:u w:val="single"/>
        </w:rPr>
      </w:pPr>
      <w:r w:rsidRPr="007A5789">
        <w:rPr>
          <w:sz w:val="21"/>
          <w:u w:val="single"/>
        </w:rPr>
        <w:t>2015年从预算结果转向IPSAS结果</w:t>
      </w:r>
    </w:p>
    <w:p w:rsidR="007A5789" w:rsidRDefault="006A1075" w:rsidP="006A1075">
      <w:pPr>
        <w:spacing w:afterLines="50" w:after="120" w:line="340" w:lineRule="atLeast"/>
        <w:jc w:val="center"/>
        <w:rPr>
          <w:sz w:val="21"/>
        </w:rPr>
      </w:pPr>
      <w:r w:rsidRPr="00EF7E79">
        <w:rPr>
          <w:noProof/>
          <w:sz w:val="21"/>
          <w:lang w:val="en-US" w:bidi="ar-SA"/>
        </w:rPr>
        <w:drawing>
          <wp:inline distT="0" distB="0" distL="0" distR="0" wp14:anchorId="2A98DB37" wp14:editId="451E9523">
            <wp:extent cx="5940425" cy="3060847"/>
            <wp:effectExtent l="0" t="0" r="3175" b="6350"/>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3060847"/>
                    </a:xfrm>
                    <a:prstGeom prst="rect">
                      <a:avLst/>
                    </a:prstGeom>
                    <a:noFill/>
                    <a:ln>
                      <a:noFill/>
                    </a:ln>
                  </pic:spPr>
                </pic:pic>
              </a:graphicData>
            </a:graphic>
          </wp:inline>
        </w:drawing>
      </w:r>
    </w:p>
    <w:p w:rsidR="00B125D6" w:rsidRPr="007A5789" w:rsidRDefault="00B125D6" w:rsidP="00B6014B">
      <w:pPr>
        <w:pStyle w:val="ONUME"/>
        <w:tabs>
          <w:tab w:val="clear" w:pos="567"/>
        </w:tabs>
        <w:overflowPunct w:val="0"/>
        <w:spacing w:afterLines="50" w:after="120" w:line="340" w:lineRule="atLeast"/>
        <w:rPr>
          <w:sz w:val="21"/>
          <w:szCs w:val="22"/>
        </w:rPr>
      </w:pPr>
      <w:r w:rsidRPr="007A5789">
        <w:rPr>
          <w:sz w:val="21"/>
        </w:rPr>
        <w:t>按照IPSAS编制的WIPO财务报表包括整个组织的所有领域和活动。在采用IPSAS进行调整前，纳入结算的有特别账户</w:t>
      </w:r>
      <w:r w:rsidR="00B6014B">
        <w:rPr>
          <w:sz w:val="21"/>
        </w:rPr>
        <w:t>（</w:t>
      </w:r>
      <w:r w:rsidRPr="007A5789">
        <w:rPr>
          <w:sz w:val="21"/>
        </w:rPr>
        <w:t>赤字90</w:t>
      </w:r>
      <w:proofErr w:type="gramStart"/>
      <w:r w:rsidRPr="007A5789">
        <w:rPr>
          <w:sz w:val="21"/>
        </w:rPr>
        <w:t>万瑞</w:t>
      </w:r>
      <w:proofErr w:type="gramEnd"/>
      <w:r w:rsidRPr="007A5789">
        <w:rPr>
          <w:sz w:val="21"/>
        </w:rPr>
        <w:t>郎</w:t>
      </w:r>
      <w:r w:rsidR="00B6014B">
        <w:rPr>
          <w:sz w:val="21"/>
        </w:rPr>
        <w:t>）</w:t>
      </w:r>
      <w:r w:rsidRPr="007A5789">
        <w:rPr>
          <w:sz w:val="21"/>
        </w:rPr>
        <w:t>和储备金供资项目</w:t>
      </w:r>
      <w:r w:rsidR="00B6014B">
        <w:rPr>
          <w:sz w:val="21"/>
        </w:rPr>
        <w:t>（</w:t>
      </w:r>
      <w:r w:rsidRPr="007A5789">
        <w:rPr>
          <w:sz w:val="21"/>
        </w:rPr>
        <w:t>赤字510</w:t>
      </w:r>
      <w:proofErr w:type="gramStart"/>
      <w:r w:rsidRPr="007A5789">
        <w:rPr>
          <w:sz w:val="21"/>
        </w:rPr>
        <w:t>万瑞</w:t>
      </w:r>
      <w:proofErr w:type="gramEnd"/>
      <w:r w:rsidRPr="007A5789">
        <w:rPr>
          <w:sz w:val="21"/>
        </w:rPr>
        <w:t>郎</w:t>
      </w:r>
      <w:r w:rsidR="00B6014B">
        <w:rPr>
          <w:sz w:val="21"/>
        </w:rPr>
        <w:t>）</w:t>
      </w:r>
      <w:r w:rsidRPr="007A5789">
        <w:rPr>
          <w:sz w:val="21"/>
        </w:rPr>
        <w:t>。这构成了预算结算和按照IPSAS编制的财务报表盈余之间的</w:t>
      </w:r>
      <w:r w:rsidRPr="00F374B8">
        <w:rPr>
          <w:sz w:val="21"/>
        </w:rPr>
        <w:t>“</w:t>
      </w:r>
      <w:r w:rsidRPr="007A5789">
        <w:rPr>
          <w:sz w:val="21"/>
        </w:rPr>
        <w:t>实体差异</w:t>
      </w:r>
      <w:r w:rsidRPr="00F374B8">
        <w:rPr>
          <w:sz w:val="21"/>
        </w:rPr>
        <w:t>”</w:t>
      </w:r>
      <w:r w:rsidRPr="007A5789">
        <w:rPr>
          <w:sz w:val="21"/>
        </w:rPr>
        <w:t>。</w:t>
      </w:r>
    </w:p>
    <w:p w:rsidR="00B125D6" w:rsidRPr="007A5789" w:rsidRDefault="00B125D6" w:rsidP="00B6014B">
      <w:pPr>
        <w:pStyle w:val="ONUME"/>
        <w:tabs>
          <w:tab w:val="clear" w:pos="567"/>
        </w:tabs>
        <w:overflowPunct w:val="0"/>
        <w:spacing w:afterLines="50" w:after="120" w:line="340" w:lineRule="atLeast"/>
        <w:rPr>
          <w:sz w:val="21"/>
          <w:szCs w:val="22"/>
        </w:rPr>
      </w:pPr>
      <w:r w:rsidRPr="007A5789">
        <w:rPr>
          <w:sz w:val="21"/>
        </w:rPr>
        <w:t>按照IPSAS采用完全的权责发生制导致若干</w:t>
      </w:r>
      <w:r w:rsidRPr="00F374B8">
        <w:rPr>
          <w:sz w:val="21"/>
        </w:rPr>
        <w:t>“</w:t>
      </w:r>
      <w:r w:rsidRPr="007A5789">
        <w:rPr>
          <w:sz w:val="21"/>
        </w:rPr>
        <w:t>会计基准差异</w:t>
      </w:r>
      <w:r w:rsidRPr="00F374B8">
        <w:rPr>
          <w:sz w:val="21"/>
        </w:rPr>
        <w:t>”</w:t>
      </w:r>
      <w:r w:rsidRPr="007A5789">
        <w:rPr>
          <w:sz w:val="21"/>
        </w:rPr>
        <w:t>，从而影响到当年的结果。这些调整的</w:t>
      </w:r>
      <w:proofErr w:type="gramStart"/>
      <w:r w:rsidRPr="007A5789">
        <w:rPr>
          <w:sz w:val="21"/>
        </w:rPr>
        <w:t>净影响</w:t>
      </w:r>
      <w:proofErr w:type="gramEnd"/>
      <w:r w:rsidRPr="007A5789">
        <w:rPr>
          <w:sz w:val="21"/>
        </w:rPr>
        <w:t>是2,390</w:t>
      </w:r>
      <w:proofErr w:type="gramStart"/>
      <w:r w:rsidRPr="007A5789">
        <w:rPr>
          <w:sz w:val="21"/>
        </w:rPr>
        <w:t>万瑞</w:t>
      </w:r>
      <w:proofErr w:type="gramEnd"/>
      <w:r w:rsidRPr="007A5789">
        <w:rPr>
          <w:sz w:val="21"/>
        </w:rPr>
        <w:t>郎的赤字。</w:t>
      </w:r>
    </w:p>
    <w:p w:rsidR="00B125D6" w:rsidRPr="007A5789" w:rsidRDefault="00B125D6" w:rsidP="00FF47B9">
      <w:pPr>
        <w:numPr>
          <w:ilvl w:val="0"/>
          <w:numId w:val="4"/>
        </w:numPr>
        <w:tabs>
          <w:tab w:val="clear" w:pos="1021"/>
        </w:tabs>
        <w:overflowPunct w:val="0"/>
        <w:spacing w:afterLines="50" w:after="120" w:line="340" w:lineRule="atLeast"/>
        <w:ind w:left="1134" w:hanging="567"/>
        <w:rPr>
          <w:sz w:val="21"/>
          <w:szCs w:val="22"/>
        </w:rPr>
      </w:pPr>
      <w:r w:rsidRPr="007A5789">
        <w:rPr>
          <w:sz w:val="21"/>
        </w:rPr>
        <w:t>根据IPSAS，只要符合捐赠协议的条件且支出按照工作计划发生，特别账户自愿捐款产生的收入</w:t>
      </w:r>
      <w:r w:rsidR="00935F88" w:rsidRPr="007A5789">
        <w:rPr>
          <w:sz w:val="21"/>
        </w:rPr>
        <w:t>即</w:t>
      </w:r>
      <w:r w:rsidRPr="007A5789">
        <w:rPr>
          <w:sz w:val="21"/>
        </w:rPr>
        <w:t>被确认。随之而来的调整导致</w:t>
      </w:r>
      <w:proofErr w:type="gramStart"/>
      <w:r w:rsidRPr="007A5789">
        <w:rPr>
          <w:sz w:val="21"/>
        </w:rPr>
        <w:t>当年业绩</w:t>
      </w:r>
      <w:proofErr w:type="gramEnd"/>
      <w:r w:rsidRPr="007A5789">
        <w:rPr>
          <w:sz w:val="21"/>
        </w:rPr>
        <w:t>增加90</w:t>
      </w:r>
      <w:proofErr w:type="gramStart"/>
      <w:r w:rsidRPr="007A5789">
        <w:rPr>
          <w:sz w:val="21"/>
        </w:rPr>
        <w:t>万瑞</w:t>
      </w:r>
      <w:proofErr w:type="gramEnd"/>
      <w:r w:rsidRPr="007A5789">
        <w:rPr>
          <w:sz w:val="21"/>
        </w:rPr>
        <w:t>郎。</w:t>
      </w:r>
    </w:p>
    <w:p w:rsidR="005E78ED" w:rsidRPr="007A5789" w:rsidRDefault="00B125D6" w:rsidP="00FF47B9">
      <w:pPr>
        <w:numPr>
          <w:ilvl w:val="0"/>
          <w:numId w:val="4"/>
        </w:numPr>
        <w:tabs>
          <w:tab w:val="clear" w:pos="1021"/>
        </w:tabs>
        <w:overflowPunct w:val="0"/>
        <w:spacing w:afterLines="50" w:after="120" w:line="340" w:lineRule="atLeast"/>
        <w:ind w:left="1134" w:hanging="567"/>
        <w:rPr>
          <w:sz w:val="21"/>
          <w:szCs w:val="22"/>
        </w:rPr>
      </w:pPr>
      <w:r w:rsidRPr="007A5789">
        <w:rPr>
          <w:sz w:val="21"/>
        </w:rPr>
        <w:t>在采用IPSAS时，</w:t>
      </w:r>
      <w:proofErr w:type="gramStart"/>
      <w:r w:rsidRPr="007A5789">
        <w:rPr>
          <w:sz w:val="21"/>
        </w:rPr>
        <w:t>规费产生</w:t>
      </w:r>
      <w:proofErr w:type="gramEnd"/>
      <w:r w:rsidRPr="007A5789">
        <w:rPr>
          <w:sz w:val="21"/>
        </w:rPr>
        <w:t>的收入要递延到该笔</w:t>
      </w:r>
      <w:proofErr w:type="gramStart"/>
      <w:r w:rsidRPr="007A5789">
        <w:rPr>
          <w:sz w:val="21"/>
        </w:rPr>
        <w:t>规</w:t>
      </w:r>
      <w:proofErr w:type="gramEnd"/>
      <w:r w:rsidRPr="007A5789">
        <w:rPr>
          <w:sz w:val="21"/>
        </w:rPr>
        <w:t>费被认为已挣到时才入账。就国际申请而言，入账时间为最后公布日。在PCT申请方面，还确认了应收账款，即申请已经提交，但本组织尚未收到</w:t>
      </w:r>
      <w:proofErr w:type="gramStart"/>
      <w:r w:rsidRPr="007A5789">
        <w:rPr>
          <w:sz w:val="21"/>
        </w:rPr>
        <w:t>规</w:t>
      </w:r>
      <w:proofErr w:type="gramEnd"/>
      <w:r w:rsidRPr="007A5789">
        <w:rPr>
          <w:sz w:val="21"/>
        </w:rPr>
        <w:t>费。此外，WIPO还确认了与国际组织不动产基金会</w:t>
      </w:r>
      <w:r w:rsidR="00B6014B">
        <w:rPr>
          <w:sz w:val="21"/>
        </w:rPr>
        <w:t>（</w:t>
      </w:r>
      <w:r w:rsidRPr="007A5789">
        <w:rPr>
          <w:sz w:val="21"/>
        </w:rPr>
        <w:t>FIPOI</w:t>
      </w:r>
      <w:r w:rsidR="00B6014B">
        <w:rPr>
          <w:sz w:val="21"/>
        </w:rPr>
        <w:t>）</w:t>
      </w:r>
      <w:r w:rsidRPr="007A5789">
        <w:rPr>
          <w:sz w:val="21"/>
        </w:rPr>
        <w:t>为安保</w:t>
      </w:r>
      <w:r w:rsidR="004C4B86" w:rsidRPr="007A5789">
        <w:rPr>
          <w:sz w:val="21"/>
        </w:rPr>
        <w:t>施工</w:t>
      </w:r>
      <w:r w:rsidRPr="007A5789">
        <w:rPr>
          <w:sz w:val="21"/>
        </w:rPr>
        <w:t>供</w:t>
      </w:r>
      <w:proofErr w:type="gramStart"/>
      <w:r w:rsidRPr="007A5789">
        <w:rPr>
          <w:sz w:val="21"/>
        </w:rPr>
        <w:t>资相关</w:t>
      </w:r>
      <w:proofErr w:type="gramEnd"/>
      <w:r w:rsidRPr="007A5789">
        <w:rPr>
          <w:sz w:val="21"/>
        </w:rPr>
        <w:t>的递延收入。这些调整的</w:t>
      </w:r>
      <w:proofErr w:type="gramStart"/>
      <w:r w:rsidRPr="007A5789">
        <w:rPr>
          <w:sz w:val="21"/>
        </w:rPr>
        <w:t>净影响</w:t>
      </w:r>
      <w:proofErr w:type="gramEnd"/>
      <w:r w:rsidRPr="007A5789">
        <w:rPr>
          <w:sz w:val="21"/>
        </w:rPr>
        <w:t>是收入减少2,610</w:t>
      </w:r>
      <w:proofErr w:type="gramStart"/>
      <w:r w:rsidRPr="007A5789">
        <w:rPr>
          <w:sz w:val="21"/>
        </w:rPr>
        <w:t>万瑞</w:t>
      </w:r>
      <w:proofErr w:type="gramEnd"/>
      <w:r w:rsidRPr="007A5789">
        <w:rPr>
          <w:sz w:val="21"/>
        </w:rPr>
        <w:t>郎。这主要是因为</w:t>
      </w:r>
      <w:proofErr w:type="gramStart"/>
      <w:r w:rsidRPr="007A5789">
        <w:rPr>
          <w:sz w:val="21"/>
        </w:rPr>
        <w:t>规</w:t>
      </w:r>
      <w:proofErr w:type="gramEnd"/>
      <w:r w:rsidRPr="007A5789">
        <w:rPr>
          <w:sz w:val="21"/>
        </w:rPr>
        <w:t>费</w:t>
      </w:r>
      <w:r w:rsidR="00B6014B">
        <w:rPr>
          <w:sz w:val="21"/>
        </w:rPr>
        <w:t>（</w:t>
      </w:r>
      <w:r w:rsidRPr="007A5789">
        <w:rPr>
          <w:sz w:val="21"/>
        </w:rPr>
        <w:t>PCT、马德里及海牙体系</w:t>
      </w:r>
      <w:r w:rsidR="00B6014B">
        <w:rPr>
          <w:sz w:val="21"/>
        </w:rPr>
        <w:t>）</w:t>
      </w:r>
      <w:r w:rsidRPr="007A5789">
        <w:rPr>
          <w:sz w:val="21"/>
        </w:rPr>
        <w:t>递</w:t>
      </w:r>
      <w:proofErr w:type="gramStart"/>
      <w:r w:rsidRPr="007A5789">
        <w:rPr>
          <w:sz w:val="21"/>
        </w:rPr>
        <w:t>延收入</w:t>
      </w:r>
      <w:proofErr w:type="gramEnd"/>
      <w:r w:rsidRPr="007A5789">
        <w:rPr>
          <w:sz w:val="21"/>
        </w:rPr>
        <w:t>余额从截至2014年12月31日的2.037亿瑞郎增</w:t>
      </w:r>
      <w:r w:rsidRPr="007A5789">
        <w:rPr>
          <w:sz w:val="21"/>
        </w:rPr>
        <w:lastRenderedPageBreak/>
        <w:t>加至截至2015年12月31日的2.192亿瑞郎。在同一时期，PCT</w:t>
      </w:r>
      <w:proofErr w:type="gramStart"/>
      <w:r w:rsidRPr="007A5789">
        <w:rPr>
          <w:sz w:val="21"/>
        </w:rPr>
        <w:t>规</w:t>
      </w:r>
      <w:proofErr w:type="gramEnd"/>
      <w:r w:rsidRPr="007A5789">
        <w:rPr>
          <w:sz w:val="21"/>
        </w:rPr>
        <w:t>费应收账款从4,670</w:t>
      </w:r>
      <w:proofErr w:type="gramStart"/>
      <w:r w:rsidRPr="007A5789">
        <w:rPr>
          <w:sz w:val="21"/>
        </w:rPr>
        <w:t>万瑞</w:t>
      </w:r>
      <w:proofErr w:type="gramEnd"/>
      <w:r w:rsidRPr="007A5789">
        <w:rPr>
          <w:sz w:val="21"/>
        </w:rPr>
        <w:t>郎降低到4,090</w:t>
      </w:r>
      <w:proofErr w:type="gramStart"/>
      <w:r w:rsidRPr="007A5789">
        <w:rPr>
          <w:sz w:val="21"/>
        </w:rPr>
        <w:t>万瑞</w:t>
      </w:r>
      <w:proofErr w:type="gramEnd"/>
      <w:r w:rsidRPr="007A5789">
        <w:rPr>
          <w:sz w:val="21"/>
        </w:rPr>
        <w:t>郎。</w:t>
      </w:r>
    </w:p>
    <w:p w:rsidR="0025563A" w:rsidRPr="007A5789" w:rsidRDefault="005E78ED" w:rsidP="00FF47B9">
      <w:pPr>
        <w:numPr>
          <w:ilvl w:val="0"/>
          <w:numId w:val="4"/>
        </w:numPr>
        <w:tabs>
          <w:tab w:val="clear" w:pos="1021"/>
        </w:tabs>
        <w:overflowPunct w:val="0"/>
        <w:spacing w:afterLines="50" w:after="120" w:line="340" w:lineRule="atLeast"/>
        <w:ind w:left="1134" w:hanging="567"/>
        <w:rPr>
          <w:sz w:val="21"/>
        </w:rPr>
      </w:pPr>
      <w:r w:rsidRPr="007A5789">
        <w:rPr>
          <w:sz w:val="21"/>
        </w:rPr>
        <w:t>依据IPSAS的2015年结算包括办公楼与设备的折旧支出以及无形资产的摊销费，因为这些资产的成本被分摊至其整个使用寿命。当年的折旧和摊销支出为1,110</w:t>
      </w:r>
      <w:proofErr w:type="gramStart"/>
      <w:r w:rsidRPr="007A5789">
        <w:rPr>
          <w:sz w:val="21"/>
        </w:rPr>
        <w:t>万瑞</w:t>
      </w:r>
      <w:proofErr w:type="gramEnd"/>
      <w:r w:rsidRPr="007A5789">
        <w:rPr>
          <w:sz w:val="21"/>
        </w:rPr>
        <w:t>郎。</w:t>
      </w:r>
    </w:p>
    <w:p w:rsidR="0025563A" w:rsidRPr="007A5789" w:rsidRDefault="005E78ED" w:rsidP="00FF47B9">
      <w:pPr>
        <w:numPr>
          <w:ilvl w:val="0"/>
          <w:numId w:val="4"/>
        </w:numPr>
        <w:tabs>
          <w:tab w:val="clear" w:pos="1021"/>
        </w:tabs>
        <w:overflowPunct w:val="0"/>
        <w:spacing w:afterLines="50" w:after="120" w:line="340" w:lineRule="atLeast"/>
        <w:ind w:left="1134" w:hanging="567"/>
        <w:rPr>
          <w:sz w:val="21"/>
        </w:rPr>
      </w:pPr>
      <w:r w:rsidRPr="007A5789">
        <w:rPr>
          <w:sz w:val="21"/>
        </w:rPr>
        <w:t>IPSAS要求，应将工作人员已经赚得、但尚未支付的雇员福利确认为本组织的负债。依据IPSAS进行调整使财务报表中确认的总负债与按照IPSAS进行负债计算的结果一致，包括由外部精算师的计算结果。2015年，根据IPSAS确认的雇员福利负债</w:t>
      </w:r>
      <w:r w:rsidR="00B6014B">
        <w:rPr>
          <w:sz w:val="21"/>
        </w:rPr>
        <w:t>（</w:t>
      </w:r>
      <w:r w:rsidRPr="007A5789">
        <w:rPr>
          <w:sz w:val="21"/>
        </w:rPr>
        <w:t>离职后健康保险-ASHI、回国补助金和差旅费、累计年假、回籍假、加班和关闭的养恤基金</w:t>
      </w:r>
      <w:r w:rsidR="00B6014B">
        <w:rPr>
          <w:sz w:val="21"/>
        </w:rPr>
        <w:t>）</w:t>
      </w:r>
      <w:r w:rsidRPr="007A5789">
        <w:rPr>
          <w:sz w:val="21"/>
        </w:rPr>
        <w:t>增加了1,030</w:t>
      </w:r>
      <w:proofErr w:type="gramStart"/>
      <w:r w:rsidRPr="007A5789">
        <w:rPr>
          <w:sz w:val="21"/>
        </w:rPr>
        <w:t>万瑞</w:t>
      </w:r>
      <w:proofErr w:type="gramEnd"/>
      <w:r w:rsidRPr="007A5789">
        <w:rPr>
          <w:sz w:val="21"/>
        </w:rPr>
        <w:t>郎。依照计划</w:t>
      </w:r>
      <w:r w:rsidR="006521BC" w:rsidRPr="007A5789">
        <w:rPr>
          <w:rFonts w:hint="eastAsia"/>
          <w:sz w:val="21"/>
        </w:rPr>
        <w:t>和</w:t>
      </w:r>
      <w:r w:rsidRPr="007A5789">
        <w:rPr>
          <w:sz w:val="21"/>
        </w:rPr>
        <w:t>预算，6.0%的计提费用用于提供离职后雇员福利的员额成本。2015年期间，扣减当期离职后雇员支出</w:t>
      </w:r>
      <w:r w:rsidR="00B6014B">
        <w:rPr>
          <w:sz w:val="21"/>
        </w:rPr>
        <w:t>（</w:t>
      </w:r>
      <w:r w:rsidRPr="007A5789">
        <w:rPr>
          <w:sz w:val="21"/>
        </w:rPr>
        <w:t>主要是本组织缴纳的退休人员ASHI保费</w:t>
      </w:r>
      <w:r w:rsidR="00B6014B">
        <w:rPr>
          <w:sz w:val="21"/>
        </w:rPr>
        <w:t>）</w:t>
      </w:r>
      <w:r w:rsidRPr="007A5789">
        <w:rPr>
          <w:sz w:val="21"/>
        </w:rPr>
        <w:t>后，该计提费用产生了610</w:t>
      </w:r>
      <w:proofErr w:type="gramStart"/>
      <w:r w:rsidRPr="007A5789">
        <w:rPr>
          <w:sz w:val="21"/>
        </w:rPr>
        <w:t>万瑞</w:t>
      </w:r>
      <w:proofErr w:type="gramEnd"/>
      <w:r w:rsidRPr="007A5789">
        <w:rPr>
          <w:sz w:val="21"/>
        </w:rPr>
        <w:t>郎准备金。截至2015年底，2014/15年员额成本进一步计提2</w:t>
      </w:r>
      <w:r w:rsidR="00E05E40" w:rsidRPr="007A5789">
        <w:rPr>
          <w:rFonts w:hint="eastAsia"/>
          <w:sz w:val="21"/>
        </w:rPr>
        <w:t>.0</w:t>
      </w:r>
      <w:r w:rsidRPr="007A5789">
        <w:rPr>
          <w:sz w:val="21"/>
        </w:rPr>
        <w:t>%，从而再产生710</w:t>
      </w:r>
      <w:proofErr w:type="gramStart"/>
      <w:r w:rsidRPr="007A5789">
        <w:rPr>
          <w:sz w:val="21"/>
        </w:rPr>
        <w:t>万瑞</w:t>
      </w:r>
      <w:proofErr w:type="gramEnd"/>
      <w:r w:rsidRPr="007A5789">
        <w:rPr>
          <w:sz w:val="21"/>
        </w:rPr>
        <w:t>郎计提费用。因此，为使员工福利债务符合IPSAS合</w:t>
      </w:r>
      <w:proofErr w:type="gramStart"/>
      <w:r w:rsidRPr="007A5789">
        <w:rPr>
          <w:sz w:val="21"/>
        </w:rPr>
        <w:t>规</w:t>
      </w:r>
      <w:proofErr w:type="gramEnd"/>
      <w:r w:rsidRPr="007A5789">
        <w:rPr>
          <w:sz w:val="21"/>
        </w:rPr>
        <w:t>计算而需进行的IPSAS调整为290</w:t>
      </w:r>
      <w:proofErr w:type="gramStart"/>
      <w:r w:rsidRPr="007A5789">
        <w:rPr>
          <w:sz w:val="21"/>
        </w:rPr>
        <w:t>万瑞</w:t>
      </w:r>
      <w:proofErr w:type="gramEnd"/>
      <w:r w:rsidRPr="007A5789">
        <w:rPr>
          <w:sz w:val="21"/>
        </w:rPr>
        <w:t>郎，从而导致相应的支出减少。</w:t>
      </w:r>
    </w:p>
    <w:p w:rsidR="005E78ED" w:rsidRPr="007A5789" w:rsidRDefault="005E78ED" w:rsidP="00FF47B9">
      <w:pPr>
        <w:numPr>
          <w:ilvl w:val="0"/>
          <w:numId w:val="4"/>
        </w:numPr>
        <w:tabs>
          <w:tab w:val="clear" w:pos="1021"/>
        </w:tabs>
        <w:overflowPunct w:val="0"/>
        <w:spacing w:afterLines="50" w:after="120" w:line="340" w:lineRule="atLeast"/>
        <w:ind w:left="1134" w:hanging="567"/>
        <w:rPr>
          <w:sz w:val="21"/>
          <w:szCs w:val="22"/>
        </w:rPr>
      </w:pPr>
      <w:r w:rsidRPr="007A5789">
        <w:rPr>
          <w:sz w:val="21"/>
        </w:rPr>
        <w:t>根据IPSAS，与办公楼建设和改善有关的费用已转化为资本，使2015年的支出减少620</w:t>
      </w:r>
      <w:proofErr w:type="gramStart"/>
      <w:r w:rsidRPr="007A5789">
        <w:rPr>
          <w:sz w:val="21"/>
        </w:rPr>
        <w:t>万瑞</w:t>
      </w:r>
      <w:proofErr w:type="gramEnd"/>
      <w:r w:rsidRPr="007A5789">
        <w:rPr>
          <w:sz w:val="21"/>
        </w:rPr>
        <w:t>郎。同样，根据IPSAS，特定设备和软件的购置也转化成资本，使当年支出减少了160</w:t>
      </w:r>
      <w:proofErr w:type="gramStart"/>
      <w:r w:rsidRPr="007A5789">
        <w:rPr>
          <w:sz w:val="21"/>
        </w:rPr>
        <w:t>万瑞</w:t>
      </w:r>
      <w:proofErr w:type="gramEnd"/>
      <w:r w:rsidRPr="007A5789">
        <w:rPr>
          <w:sz w:val="21"/>
        </w:rPr>
        <w:t>郎。</w:t>
      </w:r>
    </w:p>
    <w:p w:rsidR="007A5789" w:rsidRDefault="0074049E" w:rsidP="00FF47B9">
      <w:pPr>
        <w:numPr>
          <w:ilvl w:val="0"/>
          <w:numId w:val="4"/>
        </w:numPr>
        <w:tabs>
          <w:tab w:val="clear" w:pos="1021"/>
        </w:tabs>
        <w:overflowPunct w:val="0"/>
        <w:spacing w:afterLines="50" w:after="120" w:line="340" w:lineRule="atLeast"/>
        <w:ind w:left="1134" w:hanging="567"/>
        <w:rPr>
          <w:sz w:val="21"/>
          <w:szCs w:val="22"/>
        </w:rPr>
      </w:pPr>
      <w:r w:rsidRPr="007A5789">
        <w:rPr>
          <w:sz w:val="21"/>
        </w:rPr>
        <w:t>其他IPSAS调整涉及投资财产公允价值增加</w:t>
      </w:r>
      <w:r w:rsidR="00B6014B">
        <w:rPr>
          <w:sz w:val="21"/>
        </w:rPr>
        <w:t>（</w:t>
      </w:r>
      <w:r w:rsidRPr="007A5789">
        <w:rPr>
          <w:sz w:val="21"/>
        </w:rPr>
        <w:t>带来140</w:t>
      </w:r>
      <w:proofErr w:type="gramStart"/>
      <w:r w:rsidRPr="007A5789">
        <w:rPr>
          <w:sz w:val="21"/>
        </w:rPr>
        <w:t>万瑞</w:t>
      </w:r>
      <w:proofErr w:type="gramEnd"/>
      <w:r w:rsidRPr="007A5789">
        <w:rPr>
          <w:sz w:val="21"/>
        </w:rPr>
        <w:t>郎收入</w:t>
      </w:r>
      <w:r w:rsidR="00B6014B">
        <w:rPr>
          <w:sz w:val="21"/>
        </w:rPr>
        <w:t>）</w:t>
      </w:r>
      <w:r w:rsidRPr="007A5789">
        <w:rPr>
          <w:sz w:val="21"/>
        </w:rPr>
        <w:t>、分摊会费应收账款</w:t>
      </w:r>
      <w:proofErr w:type="gramStart"/>
      <w:r w:rsidRPr="007A5789">
        <w:rPr>
          <w:sz w:val="21"/>
        </w:rPr>
        <w:t>的备抵金</w:t>
      </w:r>
      <w:proofErr w:type="gramEnd"/>
      <w:r w:rsidRPr="007A5789">
        <w:rPr>
          <w:sz w:val="21"/>
        </w:rPr>
        <w:t>下降</w:t>
      </w:r>
      <w:r w:rsidR="00B6014B">
        <w:rPr>
          <w:sz w:val="21"/>
        </w:rPr>
        <w:t>（</w:t>
      </w:r>
      <w:r w:rsidRPr="007A5789">
        <w:rPr>
          <w:sz w:val="21"/>
        </w:rPr>
        <w:t>带来40</w:t>
      </w:r>
      <w:proofErr w:type="gramStart"/>
      <w:r w:rsidRPr="007A5789">
        <w:rPr>
          <w:sz w:val="21"/>
        </w:rPr>
        <w:t>万瑞</w:t>
      </w:r>
      <w:proofErr w:type="gramEnd"/>
      <w:r w:rsidRPr="007A5789">
        <w:rPr>
          <w:sz w:val="21"/>
        </w:rPr>
        <w:t>郎收入</w:t>
      </w:r>
      <w:r w:rsidR="00B6014B">
        <w:rPr>
          <w:sz w:val="21"/>
        </w:rPr>
        <w:t>）</w:t>
      </w:r>
      <w:r w:rsidRPr="007A5789">
        <w:rPr>
          <w:sz w:val="21"/>
        </w:rPr>
        <w:t>以及库存下降</w:t>
      </w:r>
      <w:r w:rsidR="00B6014B">
        <w:rPr>
          <w:sz w:val="21"/>
        </w:rPr>
        <w:t>（</w:t>
      </w:r>
      <w:r w:rsidRPr="007A5789">
        <w:rPr>
          <w:sz w:val="21"/>
        </w:rPr>
        <w:t>带来10</w:t>
      </w:r>
      <w:proofErr w:type="gramStart"/>
      <w:r w:rsidRPr="007A5789">
        <w:rPr>
          <w:sz w:val="21"/>
        </w:rPr>
        <w:t>万瑞</w:t>
      </w:r>
      <w:proofErr w:type="gramEnd"/>
      <w:r w:rsidRPr="007A5789">
        <w:rPr>
          <w:sz w:val="21"/>
        </w:rPr>
        <w:t>郎支出</w:t>
      </w:r>
      <w:r w:rsidR="00B6014B">
        <w:rPr>
          <w:sz w:val="21"/>
        </w:rPr>
        <w:t>）</w:t>
      </w:r>
      <w:r w:rsidRPr="007A5789">
        <w:rPr>
          <w:sz w:val="21"/>
        </w:rPr>
        <w:t>。这些调整的</w:t>
      </w:r>
      <w:proofErr w:type="gramStart"/>
      <w:r w:rsidRPr="007A5789">
        <w:rPr>
          <w:sz w:val="21"/>
        </w:rPr>
        <w:t>净影响</w:t>
      </w:r>
      <w:proofErr w:type="gramEnd"/>
      <w:r w:rsidRPr="007A5789">
        <w:rPr>
          <w:sz w:val="21"/>
        </w:rPr>
        <w:t>是导致</w:t>
      </w:r>
      <w:proofErr w:type="gramStart"/>
      <w:r w:rsidRPr="007A5789">
        <w:rPr>
          <w:sz w:val="21"/>
        </w:rPr>
        <w:t>当年业绩</w:t>
      </w:r>
      <w:proofErr w:type="gramEnd"/>
      <w:r w:rsidRPr="007A5789">
        <w:rPr>
          <w:sz w:val="21"/>
        </w:rPr>
        <w:t>增加170</w:t>
      </w:r>
      <w:proofErr w:type="gramStart"/>
      <w:r w:rsidRPr="007A5789">
        <w:rPr>
          <w:sz w:val="21"/>
        </w:rPr>
        <w:t>万瑞</w:t>
      </w:r>
      <w:proofErr w:type="gramEnd"/>
      <w:r w:rsidRPr="007A5789">
        <w:rPr>
          <w:sz w:val="21"/>
        </w:rPr>
        <w:t>郎。</w:t>
      </w:r>
    </w:p>
    <w:p w:rsidR="0097594F" w:rsidRPr="00FF47B9" w:rsidRDefault="005E78ED" w:rsidP="00FF47B9">
      <w:pPr>
        <w:keepNext/>
        <w:overflowPunct w:val="0"/>
        <w:spacing w:beforeLines="100" w:before="240" w:afterLines="50" w:after="120" w:line="340" w:lineRule="atLeast"/>
        <w:rPr>
          <w:rFonts w:ascii="KaiTi" w:eastAsia="KaiTi" w:hAnsi="KaiTi"/>
          <w:b/>
          <w:sz w:val="21"/>
          <w:szCs w:val="22"/>
        </w:rPr>
      </w:pPr>
      <w:r w:rsidRPr="00FF47B9">
        <w:rPr>
          <w:rFonts w:ascii="KaiTi" w:eastAsia="KaiTi" w:hAnsi="KaiTi"/>
          <w:b/>
          <w:sz w:val="21"/>
        </w:rPr>
        <w:t>收入分析</w:t>
      </w:r>
    </w:p>
    <w:p w:rsidR="006A59EF" w:rsidRPr="007A5789" w:rsidRDefault="006A59EF" w:rsidP="006A1075">
      <w:pPr>
        <w:keepNext/>
        <w:overflowPunct w:val="0"/>
        <w:spacing w:line="340" w:lineRule="atLeast"/>
        <w:jc w:val="center"/>
        <w:rPr>
          <w:sz w:val="21"/>
          <w:u w:val="single"/>
        </w:rPr>
      </w:pPr>
      <w:r w:rsidRPr="007A5789">
        <w:rPr>
          <w:sz w:val="21"/>
          <w:u w:val="single"/>
        </w:rPr>
        <w:t>2015年IPSAS制的收入构成</w:t>
      </w:r>
    </w:p>
    <w:p w:rsidR="006A59EF" w:rsidRPr="006A1075" w:rsidRDefault="00B6014B" w:rsidP="006A1075">
      <w:pPr>
        <w:spacing w:afterLines="50" w:after="120" w:line="340" w:lineRule="atLeast"/>
        <w:jc w:val="center"/>
        <w:rPr>
          <w:rFonts w:ascii="KaiTi" w:eastAsia="KaiTi" w:hAnsi="KaiTi"/>
          <w:sz w:val="21"/>
        </w:rPr>
      </w:pPr>
      <w:r w:rsidRPr="006A1075">
        <w:rPr>
          <w:rFonts w:ascii="KaiTi" w:eastAsia="KaiTi" w:hAnsi="KaiTi"/>
          <w:sz w:val="21"/>
        </w:rPr>
        <w:t>（</w:t>
      </w:r>
      <w:r w:rsidR="006A59EF" w:rsidRPr="006A1075">
        <w:rPr>
          <w:rFonts w:ascii="KaiTi" w:eastAsia="KaiTi" w:hAnsi="KaiTi"/>
          <w:sz w:val="21"/>
        </w:rPr>
        <w:t>单位：百</w:t>
      </w:r>
      <w:proofErr w:type="gramStart"/>
      <w:r w:rsidR="006A59EF" w:rsidRPr="006A1075">
        <w:rPr>
          <w:rFonts w:ascii="KaiTi" w:eastAsia="KaiTi" w:hAnsi="KaiTi"/>
          <w:sz w:val="21"/>
        </w:rPr>
        <w:t>万瑞</w:t>
      </w:r>
      <w:proofErr w:type="gramEnd"/>
      <w:r w:rsidR="006A59EF" w:rsidRPr="006A1075">
        <w:rPr>
          <w:rFonts w:ascii="KaiTi" w:eastAsia="KaiTi" w:hAnsi="KaiTi"/>
          <w:sz w:val="21"/>
        </w:rPr>
        <w:t>郎</w:t>
      </w:r>
      <w:r w:rsidRPr="006A1075">
        <w:rPr>
          <w:rFonts w:ascii="KaiTi" w:eastAsia="KaiTi" w:hAnsi="KaiTi"/>
          <w:sz w:val="21"/>
        </w:rPr>
        <w:t>）</w:t>
      </w:r>
    </w:p>
    <w:p w:rsidR="006A59EF" w:rsidRPr="007A5789" w:rsidRDefault="004E71F1" w:rsidP="00B87A4B">
      <w:pPr>
        <w:spacing w:afterLines="50" w:after="120" w:line="340" w:lineRule="atLeast"/>
        <w:jc w:val="center"/>
        <w:rPr>
          <w:sz w:val="21"/>
          <w:szCs w:val="22"/>
        </w:rPr>
      </w:pPr>
      <w:r>
        <w:rPr>
          <w:rFonts w:ascii="Times New Roman" w:hAnsi="Times New Roman"/>
          <w:noProof/>
          <w:lang w:val="en-US" w:bidi="ar-SA"/>
        </w:rPr>
        <mc:AlternateContent>
          <mc:Choice Requires="wps">
            <w:drawing>
              <wp:anchor distT="0" distB="0" distL="114300" distR="114300" simplePos="0" relativeHeight="251656704" behindDoc="0" locked="0" layoutInCell="1" allowOverlap="1" wp14:anchorId="67A62FCF" wp14:editId="6D84FA81">
                <wp:simplePos x="0" y="0"/>
                <wp:positionH relativeFrom="column">
                  <wp:posOffset>4140587</wp:posOffset>
                </wp:positionH>
                <wp:positionV relativeFrom="paragraph">
                  <wp:posOffset>2477522</wp:posOffset>
                </wp:positionV>
                <wp:extent cx="1609725" cy="445273"/>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45273"/>
                        </a:xfrm>
                        <a:prstGeom prst="rect">
                          <a:avLst/>
                        </a:prstGeom>
                        <a:solidFill>
                          <a:srgbClr val="1F497D">
                            <a:lumMod val="75000"/>
                          </a:srgbClr>
                        </a:solidFill>
                        <a:ln w="9525">
                          <a:noFill/>
                          <a:miter lim="800000"/>
                          <a:headEnd/>
                          <a:tailEnd/>
                        </a:ln>
                      </wps:spPr>
                      <wps:txbx>
                        <w:txbxContent>
                          <w:p w:rsidR="00F75064" w:rsidRPr="00C12629" w:rsidRDefault="00F75064" w:rsidP="00EA07EB">
                            <w:pPr>
                              <w:jc w:val="center"/>
                              <w:rPr>
                                <w:rFonts w:eastAsia="SimHei"/>
                                <w:sz w:val="18"/>
                                <w:szCs w:val="18"/>
                              </w:rPr>
                            </w:pPr>
                            <w:r w:rsidRPr="00C12629">
                              <w:rPr>
                                <w:rFonts w:eastAsia="SimHei"/>
                                <w:sz w:val="18"/>
                              </w:rPr>
                              <w:t>2015</w:t>
                            </w:r>
                            <w:r w:rsidRPr="00C12629">
                              <w:rPr>
                                <w:rFonts w:eastAsia="SimHei"/>
                                <w:sz w:val="18"/>
                              </w:rPr>
                              <w:t>年总收入：</w:t>
                            </w:r>
                          </w:p>
                          <w:p w:rsidR="00F75064" w:rsidRPr="00C12629" w:rsidRDefault="00F75064" w:rsidP="00EA07EB">
                            <w:pPr>
                              <w:jc w:val="center"/>
                              <w:rPr>
                                <w:rFonts w:eastAsia="SimHei"/>
                                <w:sz w:val="18"/>
                                <w:szCs w:val="18"/>
                              </w:rPr>
                            </w:pPr>
                            <w:r w:rsidRPr="00C12629">
                              <w:rPr>
                                <w:rFonts w:eastAsia="SimHei"/>
                                <w:sz w:val="18"/>
                              </w:rPr>
                              <w:t>3.819</w:t>
                            </w:r>
                            <w:r w:rsidRPr="00C12629">
                              <w:rPr>
                                <w:rFonts w:eastAsia="SimHei"/>
                                <w:sz w:val="18"/>
                              </w:rPr>
                              <w:t>亿瑞郎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6.05pt;margin-top:195.1pt;width:126.75pt;height:3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" fillcolor="#17375e" stroked="f">
                <v:textbox>
                  <w:txbxContent>
                    <w:p w:rsidR="00F75064" w:rsidRPr="00C12629" w:rsidRDefault="00F75064" w:rsidP="00EA07EB">
                      <w:pPr>
                        <w:jc w:val="center"/>
                        <w:rPr>
                          <w:rFonts w:eastAsia="SimHei"/>
                          <w:sz w:val="18"/>
                          <w:szCs w:val="18"/>
                        </w:rPr>
                      </w:pPr>
                      <w:r w:rsidRPr="00C12629">
                        <w:rPr>
                          <w:rFonts w:eastAsia="SimHei"/>
                          <w:sz w:val="18"/>
                        </w:rPr>
                        <w:t>2015</w:t>
                      </w:r>
                      <w:r w:rsidRPr="00C12629">
                        <w:rPr>
                          <w:rFonts w:eastAsia="SimHei"/>
                          <w:sz w:val="18"/>
                        </w:rPr>
                        <w:t>年总收入：</w:t>
                      </w:r>
                    </w:p>
                    <w:p w:rsidR="00F75064" w:rsidRPr="00C12629" w:rsidRDefault="00F75064" w:rsidP="00EA07EB">
                      <w:pPr>
                        <w:jc w:val="center"/>
                        <w:rPr>
                          <w:rFonts w:eastAsia="SimHei"/>
                          <w:sz w:val="18"/>
                          <w:szCs w:val="18"/>
                        </w:rPr>
                      </w:pPr>
                      <w:r w:rsidRPr="00C12629">
                        <w:rPr>
                          <w:rFonts w:eastAsia="SimHei"/>
                          <w:sz w:val="18"/>
                        </w:rPr>
                        <w:t>3.819</w:t>
                      </w:r>
                      <w:r w:rsidRPr="00C12629">
                        <w:rPr>
                          <w:rFonts w:eastAsia="SimHei"/>
                          <w:sz w:val="18"/>
                        </w:rPr>
                        <w:t>亿瑞郎</w:t>
                      </w:r>
                    </w:p>
                  </w:txbxContent>
                </v:textbox>
              </v:shape>
            </w:pict>
          </mc:Fallback>
        </mc:AlternateContent>
      </w:r>
      <w:r w:rsidR="006A1075" w:rsidRPr="00EF7E79">
        <w:rPr>
          <w:noProof/>
          <w:sz w:val="21"/>
          <w:lang w:val="en-US" w:bidi="ar-SA"/>
        </w:rPr>
        <w:drawing>
          <wp:inline distT="0" distB="0" distL="0" distR="0" wp14:anchorId="23D2F390" wp14:editId="6ED69DD9">
            <wp:extent cx="4818380" cy="3100705"/>
            <wp:effectExtent l="0" t="0" r="1270" b="4445"/>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18380" cy="3100705"/>
                    </a:xfrm>
                    <a:prstGeom prst="rect">
                      <a:avLst/>
                    </a:prstGeom>
                    <a:noFill/>
                    <a:ln>
                      <a:noFill/>
                    </a:ln>
                  </pic:spPr>
                </pic:pic>
              </a:graphicData>
            </a:graphic>
          </wp:inline>
        </w:drawing>
      </w:r>
    </w:p>
    <w:p w:rsidR="007A5789" w:rsidRDefault="007023EA" w:rsidP="00B6014B">
      <w:pPr>
        <w:pStyle w:val="ONUME"/>
        <w:tabs>
          <w:tab w:val="clear" w:pos="567"/>
        </w:tabs>
        <w:overflowPunct w:val="0"/>
        <w:spacing w:afterLines="50" w:after="120" w:line="340" w:lineRule="atLeast"/>
        <w:rPr>
          <w:sz w:val="21"/>
          <w:szCs w:val="22"/>
        </w:rPr>
      </w:pPr>
      <w:r w:rsidRPr="007A5789">
        <w:rPr>
          <w:sz w:val="21"/>
        </w:rPr>
        <w:t>本组织2015年的总收入为3.819亿瑞郎，与2014年3.702亿瑞郎的总收入相比，增收3.2%。2015年收入的最大来源是PCT体系的</w:t>
      </w:r>
      <w:proofErr w:type="gramStart"/>
      <w:r w:rsidR="00FB3946" w:rsidRPr="007A5789">
        <w:rPr>
          <w:rFonts w:hint="eastAsia"/>
          <w:sz w:val="21"/>
        </w:rPr>
        <w:t>规</w:t>
      </w:r>
      <w:proofErr w:type="gramEnd"/>
      <w:r w:rsidR="00FB3946" w:rsidRPr="007A5789">
        <w:rPr>
          <w:rFonts w:hint="eastAsia"/>
          <w:sz w:val="21"/>
        </w:rPr>
        <w:t>费</w:t>
      </w:r>
      <w:r w:rsidRPr="007A5789">
        <w:rPr>
          <w:sz w:val="21"/>
        </w:rPr>
        <w:t>，占总收入的72.1%，尽管</w:t>
      </w:r>
      <w:r w:rsidR="00FB3946" w:rsidRPr="007A5789">
        <w:rPr>
          <w:sz w:val="21"/>
        </w:rPr>
        <w:t>与</w:t>
      </w:r>
      <w:r w:rsidR="00FB3946" w:rsidRPr="007A5789">
        <w:rPr>
          <w:rFonts w:hint="eastAsia"/>
          <w:sz w:val="21"/>
        </w:rPr>
        <w:t>2014年相比</w:t>
      </w:r>
      <w:r w:rsidRPr="007A5789">
        <w:rPr>
          <w:sz w:val="21"/>
        </w:rPr>
        <w:t>下降1.1%。</w:t>
      </w:r>
    </w:p>
    <w:p w:rsidR="0097594F" w:rsidRPr="007A5789" w:rsidRDefault="005378E9" w:rsidP="00B6014B">
      <w:pPr>
        <w:pStyle w:val="ONUME"/>
        <w:tabs>
          <w:tab w:val="clear" w:pos="567"/>
        </w:tabs>
        <w:overflowPunct w:val="0"/>
        <w:spacing w:afterLines="50" w:after="120" w:line="340" w:lineRule="atLeast"/>
        <w:rPr>
          <w:sz w:val="21"/>
          <w:szCs w:val="22"/>
        </w:rPr>
      </w:pPr>
      <w:r w:rsidRPr="007A5789">
        <w:rPr>
          <w:sz w:val="21"/>
        </w:rPr>
        <w:lastRenderedPageBreak/>
        <w:t>2015年收入的第二大来源是马德里体系</w:t>
      </w:r>
      <w:proofErr w:type="gramStart"/>
      <w:r w:rsidRPr="007A5789">
        <w:rPr>
          <w:sz w:val="21"/>
        </w:rPr>
        <w:t>规</w:t>
      </w:r>
      <w:proofErr w:type="gramEnd"/>
      <w:r w:rsidRPr="007A5789">
        <w:rPr>
          <w:sz w:val="21"/>
        </w:rPr>
        <w:t>费，占总收入的17.8%。马德里体系</w:t>
      </w:r>
      <w:proofErr w:type="gramStart"/>
      <w:r w:rsidRPr="007A5789">
        <w:rPr>
          <w:sz w:val="21"/>
        </w:rPr>
        <w:t>规费较</w:t>
      </w:r>
      <w:proofErr w:type="gramEnd"/>
      <w:r w:rsidRPr="007A5789">
        <w:rPr>
          <w:sz w:val="21"/>
        </w:rPr>
        <w:t>2014年大幅增长23.2%。海牙体系</w:t>
      </w:r>
      <w:proofErr w:type="gramStart"/>
      <w:r w:rsidRPr="007A5789">
        <w:rPr>
          <w:sz w:val="21"/>
        </w:rPr>
        <w:t>规</w:t>
      </w:r>
      <w:proofErr w:type="gramEnd"/>
      <w:r w:rsidRPr="007A5789">
        <w:rPr>
          <w:sz w:val="21"/>
        </w:rPr>
        <w:t>费、里斯本体系</w:t>
      </w:r>
      <w:proofErr w:type="gramStart"/>
      <w:r w:rsidRPr="007A5789">
        <w:rPr>
          <w:sz w:val="21"/>
        </w:rPr>
        <w:t>规</w:t>
      </w:r>
      <w:proofErr w:type="gramEnd"/>
      <w:r w:rsidRPr="007A5789">
        <w:rPr>
          <w:sz w:val="21"/>
        </w:rPr>
        <w:t>费、分摊会费、自愿捐款和其他收入</w:t>
      </w:r>
      <w:r w:rsidR="00B6014B">
        <w:rPr>
          <w:sz w:val="21"/>
        </w:rPr>
        <w:t>（</w:t>
      </w:r>
      <w:r w:rsidRPr="007A5789">
        <w:rPr>
          <w:sz w:val="21"/>
        </w:rPr>
        <w:t>投资、出版物、仲裁与调解及其他/杂项收入</w:t>
      </w:r>
      <w:r w:rsidR="00B6014B">
        <w:rPr>
          <w:sz w:val="21"/>
        </w:rPr>
        <w:t>）</w:t>
      </w:r>
      <w:r w:rsidRPr="007A5789">
        <w:rPr>
          <w:sz w:val="21"/>
        </w:rPr>
        <w:t>占本组织总收入的剩余10.1%。下表为与上一年度相比收入类型变化摘</w:t>
      </w:r>
      <w:r w:rsidR="006F192F">
        <w:rPr>
          <w:sz w:val="21"/>
        </w:rPr>
        <w:t>‍</w:t>
      </w:r>
      <w:r w:rsidRPr="007A5789">
        <w:rPr>
          <w:sz w:val="21"/>
        </w:rPr>
        <w:t>要</w:t>
      </w:r>
      <w:r w:rsidR="00AB6919">
        <w:rPr>
          <w:rFonts w:hint="eastAsia"/>
          <w:sz w:val="21"/>
        </w:rPr>
        <w:t>。</w:t>
      </w:r>
    </w:p>
    <w:p w:rsidR="007A5789" w:rsidRPr="006A1075" w:rsidRDefault="005378E9" w:rsidP="006A1075">
      <w:pPr>
        <w:pStyle w:val="ONUME"/>
        <w:keepNext/>
        <w:numPr>
          <w:ilvl w:val="0"/>
          <w:numId w:val="0"/>
        </w:numPr>
        <w:overflowPunct w:val="0"/>
        <w:spacing w:afterLines="50" w:after="120" w:line="340" w:lineRule="atLeast"/>
        <w:jc w:val="center"/>
        <w:rPr>
          <w:sz w:val="21"/>
          <w:u w:val="single"/>
        </w:rPr>
      </w:pPr>
      <w:r w:rsidRPr="007A5789">
        <w:rPr>
          <w:sz w:val="21"/>
          <w:u w:val="single"/>
        </w:rPr>
        <w:t>2014年和2015相比的</w:t>
      </w:r>
      <w:r w:rsidR="00934959" w:rsidRPr="007A5789">
        <w:rPr>
          <w:rFonts w:hint="eastAsia"/>
          <w:sz w:val="21"/>
          <w:u w:val="single"/>
        </w:rPr>
        <w:t>收入</w:t>
      </w:r>
      <w:r w:rsidRPr="007A5789">
        <w:rPr>
          <w:sz w:val="21"/>
          <w:u w:val="single"/>
        </w:rPr>
        <w:t>变化</w:t>
      </w:r>
    </w:p>
    <w:p w:rsidR="007A5789" w:rsidRDefault="006A1075" w:rsidP="006A1075">
      <w:pPr>
        <w:spacing w:afterLines="50" w:after="120" w:line="340" w:lineRule="atLeast"/>
        <w:jc w:val="center"/>
        <w:rPr>
          <w:sz w:val="21"/>
          <w:szCs w:val="22"/>
        </w:rPr>
      </w:pPr>
      <w:r w:rsidRPr="00EF7E79">
        <w:rPr>
          <w:noProof/>
          <w:sz w:val="21"/>
          <w:lang w:val="en-US" w:bidi="ar-SA"/>
        </w:rPr>
        <w:drawing>
          <wp:inline distT="0" distB="0" distL="0" distR="0" wp14:anchorId="53B4EF93" wp14:editId="5F57AE2C">
            <wp:extent cx="5940425" cy="3199772"/>
            <wp:effectExtent l="0" t="0" r="3175" b="0"/>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3199772"/>
                    </a:xfrm>
                    <a:prstGeom prst="rect">
                      <a:avLst/>
                    </a:prstGeom>
                    <a:noFill/>
                    <a:ln>
                      <a:noFill/>
                    </a:ln>
                  </pic:spPr>
                </pic:pic>
              </a:graphicData>
            </a:graphic>
          </wp:inline>
        </w:drawing>
      </w:r>
    </w:p>
    <w:p w:rsidR="0009149D" w:rsidRPr="007A5789" w:rsidRDefault="0009149D" w:rsidP="00B6014B">
      <w:pPr>
        <w:pStyle w:val="ONUME"/>
        <w:tabs>
          <w:tab w:val="clear" w:pos="567"/>
        </w:tabs>
        <w:overflowPunct w:val="0"/>
        <w:spacing w:afterLines="50" w:after="120" w:line="340" w:lineRule="atLeast"/>
        <w:rPr>
          <w:sz w:val="21"/>
          <w:szCs w:val="22"/>
        </w:rPr>
      </w:pPr>
      <w:r w:rsidRPr="007A5789">
        <w:rPr>
          <w:sz w:val="21"/>
        </w:rPr>
        <w:t>PCT收入主要包括国际申请费用</w:t>
      </w:r>
      <w:r w:rsidR="00B6014B">
        <w:rPr>
          <w:sz w:val="21"/>
        </w:rPr>
        <w:t>（</w:t>
      </w:r>
      <w:r w:rsidRPr="007A5789">
        <w:rPr>
          <w:sz w:val="21"/>
        </w:rPr>
        <w:t>基本费用，加上补充页面费，减去电子申请和最不发达国家优惠</w:t>
      </w:r>
      <w:r w:rsidR="00B6014B">
        <w:rPr>
          <w:sz w:val="21"/>
        </w:rPr>
        <w:t>）</w:t>
      </w:r>
      <w:r w:rsidRPr="007A5789">
        <w:rPr>
          <w:sz w:val="21"/>
        </w:rPr>
        <w:t>。PCT体系</w:t>
      </w:r>
      <w:proofErr w:type="gramStart"/>
      <w:r w:rsidRPr="007A5789">
        <w:rPr>
          <w:sz w:val="21"/>
        </w:rPr>
        <w:t>规</w:t>
      </w:r>
      <w:proofErr w:type="gramEnd"/>
      <w:r w:rsidRPr="007A5789">
        <w:rPr>
          <w:sz w:val="21"/>
        </w:rPr>
        <w:t>费收入总数还包括其他费用</w:t>
      </w:r>
      <w:r w:rsidR="00B6014B">
        <w:rPr>
          <w:sz w:val="21"/>
        </w:rPr>
        <w:t>（</w:t>
      </w:r>
      <w:r w:rsidRPr="007A5789">
        <w:rPr>
          <w:sz w:val="21"/>
        </w:rPr>
        <w:t>包括手续费和转让费</w:t>
      </w:r>
      <w:r w:rsidR="00B6014B">
        <w:rPr>
          <w:sz w:val="21"/>
        </w:rPr>
        <w:t>）</w:t>
      </w:r>
      <w:r w:rsidRPr="007A5789">
        <w:rPr>
          <w:sz w:val="21"/>
        </w:rPr>
        <w:t>和汇兑损益：</w:t>
      </w:r>
    </w:p>
    <w:p w:rsidR="0009149D" w:rsidRPr="006A1075" w:rsidRDefault="0009149D" w:rsidP="006A1075">
      <w:pPr>
        <w:pStyle w:val="ONUME"/>
        <w:keepNext/>
        <w:numPr>
          <w:ilvl w:val="0"/>
          <w:numId w:val="0"/>
        </w:numPr>
        <w:overflowPunct w:val="0"/>
        <w:spacing w:afterLines="50" w:after="120" w:line="340" w:lineRule="atLeast"/>
        <w:jc w:val="center"/>
        <w:rPr>
          <w:sz w:val="21"/>
          <w:u w:val="single"/>
        </w:rPr>
      </w:pPr>
      <w:r w:rsidRPr="007A5789">
        <w:rPr>
          <w:sz w:val="21"/>
          <w:u w:val="single"/>
        </w:rPr>
        <w:t>2012年至2015年PCT体系</w:t>
      </w:r>
      <w:proofErr w:type="gramStart"/>
      <w:r w:rsidRPr="007A5789">
        <w:rPr>
          <w:sz w:val="21"/>
          <w:u w:val="single"/>
        </w:rPr>
        <w:t>规</w:t>
      </w:r>
      <w:proofErr w:type="gramEnd"/>
      <w:r w:rsidRPr="007A5789">
        <w:rPr>
          <w:sz w:val="21"/>
          <w:u w:val="single"/>
        </w:rPr>
        <w:t>费详情</w:t>
      </w:r>
    </w:p>
    <w:p w:rsidR="0009149D" w:rsidRPr="007A5789" w:rsidRDefault="006A1075" w:rsidP="006A1075">
      <w:pPr>
        <w:spacing w:afterLines="50" w:after="120" w:line="340" w:lineRule="atLeast"/>
        <w:jc w:val="center"/>
        <w:rPr>
          <w:sz w:val="21"/>
          <w:szCs w:val="22"/>
        </w:rPr>
      </w:pPr>
      <w:r w:rsidRPr="00EF7E79">
        <w:rPr>
          <w:noProof/>
          <w:sz w:val="21"/>
          <w:lang w:val="en-US" w:bidi="ar-SA"/>
        </w:rPr>
        <w:drawing>
          <wp:inline distT="0" distB="0" distL="0" distR="0" wp14:anchorId="3DBD5669" wp14:editId="23A8D064">
            <wp:extent cx="5940425" cy="1684251"/>
            <wp:effectExtent l="0" t="0" r="3175" b="0"/>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1684251"/>
                    </a:xfrm>
                    <a:prstGeom prst="rect">
                      <a:avLst/>
                    </a:prstGeom>
                    <a:noFill/>
                    <a:ln>
                      <a:noFill/>
                    </a:ln>
                  </pic:spPr>
                </pic:pic>
              </a:graphicData>
            </a:graphic>
          </wp:inline>
        </w:drawing>
      </w:r>
    </w:p>
    <w:p w:rsidR="0025563A" w:rsidRPr="007A5789" w:rsidRDefault="0009149D" w:rsidP="00B6014B">
      <w:pPr>
        <w:pStyle w:val="ONUME"/>
        <w:tabs>
          <w:tab w:val="clear" w:pos="567"/>
        </w:tabs>
        <w:overflowPunct w:val="0"/>
        <w:spacing w:afterLines="50" w:after="120" w:line="340" w:lineRule="atLeast"/>
        <w:rPr>
          <w:sz w:val="21"/>
        </w:rPr>
      </w:pPr>
      <w:r w:rsidRPr="007A5789">
        <w:rPr>
          <w:sz w:val="21"/>
        </w:rPr>
        <w:t>IPSAS制的PCT收入较2014年下降1.1%</w:t>
      </w:r>
      <w:r w:rsidR="00982238" w:rsidRPr="007A5789">
        <w:rPr>
          <w:rFonts w:hint="eastAsia"/>
          <w:sz w:val="21"/>
        </w:rPr>
        <w:t>。</w:t>
      </w:r>
      <w:r w:rsidRPr="007A5789">
        <w:rPr>
          <w:sz w:val="21"/>
        </w:rPr>
        <w:t>在IPSAS财务报表中，PCT国际申请费用的收入仅在申请公布之日入账。虽然2015年PCT申请数量继续增加</w:t>
      </w:r>
      <w:r w:rsidR="00B6014B">
        <w:rPr>
          <w:sz w:val="21"/>
        </w:rPr>
        <w:t>（</w:t>
      </w:r>
      <w:r w:rsidRPr="007A5789">
        <w:rPr>
          <w:sz w:val="21"/>
        </w:rPr>
        <w:t>2015年估计申请数量为218,000</w:t>
      </w:r>
      <w:r w:rsidR="00A93427">
        <w:rPr>
          <w:rFonts w:hint="eastAsia"/>
          <w:sz w:val="21"/>
        </w:rPr>
        <w:t>件</w:t>
      </w:r>
      <w:r w:rsidRPr="007A5789">
        <w:rPr>
          <w:sz w:val="21"/>
        </w:rPr>
        <w:t>，而2014年为214,318</w:t>
      </w:r>
      <w:r w:rsidR="00A93427">
        <w:rPr>
          <w:rFonts w:hint="eastAsia"/>
          <w:sz w:val="21"/>
        </w:rPr>
        <w:t>件</w:t>
      </w:r>
      <w:r w:rsidR="00B6014B">
        <w:rPr>
          <w:sz w:val="21"/>
        </w:rPr>
        <w:t>）</w:t>
      </w:r>
      <w:r w:rsidRPr="007A5789">
        <w:rPr>
          <w:sz w:val="21"/>
        </w:rPr>
        <w:t>，但申请公布数量实际上下降</w:t>
      </w:r>
      <w:r w:rsidR="00982238" w:rsidRPr="007A5789">
        <w:rPr>
          <w:sz w:val="21"/>
        </w:rPr>
        <w:t>了</w:t>
      </w:r>
      <w:r w:rsidRPr="007A5789">
        <w:rPr>
          <w:sz w:val="21"/>
        </w:rPr>
        <w:t>。2015年公布200,928</w:t>
      </w:r>
      <w:r w:rsidR="00A93427">
        <w:rPr>
          <w:rFonts w:hint="eastAsia"/>
          <w:sz w:val="21"/>
        </w:rPr>
        <w:t>件</w:t>
      </w:r>
      <w:r w:rsidRPr="007A5789">
        <w:rPr>
          <w:sz w:val="21"/>
        </w:rPr>
        <w:t>，而2014年公布210,609</w:t>
      </w:r>
      <w:r w:rsidR="00A93427">
        <w:rPr>
          <w:rFonts w:hint="eastAsia"/>
          <w:sz w:val="21"/>
        </w:rPr>
        <w:t>件</w:t>
      </w:r>
      <w:r w:rsidRPr="007A5789">
        <w:rPr>
          <w:sz w:val="21"/>
        </w:rPr>
        <w:t>。2014年公布数量较大有两个原因。第一，2014年的公布时间有53周，而不是通常的52周。第二，由于《Leahy-Smith美国发明法》提前一年生效，2014年3月PCT申请猛增。由于在大部分情况下，公布是在提交PCT国际申请6个月之后进行，因此上半年申请猛增导致2014年公布数量按比例增加。</w:t>
      </w:r>
    </w:p>
    <w:p w:rsidR="00EA07EB" w:rsidRPr="007A5789" w:rsidRDefault="00FD69C6" w:rsidP="00B6014B">
      <w:pPr>
        <w:pStyle w:val="ONUME"/>
        <w:tabs>
          <w:tab w:val="clear" w:pos="567"/>
        </w:tabs>
        <w:overflowPunct w:val="0"/>
        <w:spacing w:afterLines="50" w:after="120" w:line="340" w:lineRule="atLeast"/>
        <w:rPr>
          <w:sz w:val="21"/>
          <w:szCs w:val="22"/>
        </w:rPr>
      </w:pPr>
      <w:r w:rsidRPr="007A5789">
        <w:rPr>
          <w:sz w:val="21"/>
        </w:rPr>
        <w:lastRenderedPageBreak/>
        <w:t>当观察按照IPSAS确认的PCT国际申请费收入时，下图显示年收入如何符合当年已公布申请的数量。2015年，WIPO还确认了470</w:t>
      </w:r>
      <w:proofErr w:type="gramStart"/>
      <w:r w:rsidRPr="007A5789">
        <w:rPr>
          <w:sz w:val="21"/>
        </w:rPr>
        <w:t>万瑞</w:t>
      </w:r>
      <w:proofErr w:type="gramEnd"/>
      <w:r w:rsidRPr="007A5789">
        <w:rPr>
          <w:sz w:val="21"/>
        </w:rPr>
        <w:t>郎的支付调整。由于这涉及最早从2004年开始的申请并且与2015年公布的申请无关，因此从国际申请费中单独列出，并且不包含在以下图表分析中</w:t>
      </w:r>
      <w:r w:rsidR="00DD3735" w:rsidRPr="007A5789">
        <w:rPr>
          <w:rFonts w:hint="eastAsia"/>
          <w:sz w:val="21"/>
        </w:rPr>
        <w:t>，</w:t>
      </w:r>
      <w:r w:rsidR="00DD3735" w:rsidRPr="007A5789">
        <w:rPr>
          <w:sz w:val="21"/>
        </w:rPr>
        <w:t>这样</w:t>
      </w:r>
      <w:r w:rsidRPr="007A5789">
        <w:rPr>
          <w:sz w:val="21"/>
        </w:rPr>
        <w:t>2015年</w:t>
      </w:r>
      <w:r w:rsidR="00DD3735" w:rsidRPr="007A5789">
        <w:rPr>
          <w:sz w:val="21"/>
        </w:rPr>
        <w:t>的</w:t>
      </w:r>
      <w:r w:rsidRPr="007A5789">
        <w:rPr>
          <w:sz w:val="21"/>
        </w:rPr>
        <w:t>收入数据</w:t>
      </w:r>
      <w:r w:rsidR="00DD3735" w:rsidRPr="007A5789">
        <w:rPr>
          <w:sz w:val="21"/>
        </w:rPr>
        <w:t>不至于</w:t>
      </w:r>
      <w:r w:rsidRPr="007A5789">
        <w:rPr>
          <w:sz w:val="21"/>
        </w:rPr>
        <w:t>失真：</w:t>
      </w:r>
    </w:p>
    <w:p w:rsidR="005378E9" w:rsidRPr="006A1075" w:rsidRDefault="00EA07EB" w:rsidP="006A1075">
      <w:pPr>
        <w:pStyle w:val="ONUME"/>
        <w:keepNext/>
        <w:numPr>
          <w:ilvl w:val="0"/>
          <w:numId w:val="0"/>
        </w:numPr>
        <w:overflowPunct w:val="0"/>
        <w:spacing w:afterLines="50" w:after="120" w:line="340" w:lineRule="atLeast"/>
        <w:jc w:val="center"/>
        <w:rPr>
          <w:sz w:val="21"/>
          <w:u w:val="single"/>
        </w:rPr>
      </w:pPr>
      <w:r w:rsidRPr="007A5789">
        <w:rPr>
          <w:sz w:val="21"/>
          <w:u w:val="single"/>
        </w:rPr>
        <w:t>2012年至2015年PCT国际申请费用和出版物</w:t>
      </w:r>
    </w:p>
    <w:p w:rsidR="00FD69C6" w:rsidRPr="007A5789" w:rsidRDefault="00A93427" w:rsidP="006A1075">
      <w:pPr>
        <w:spacing w:afterLines="50" w:after="120" w:line="340" w:lineRule="atLeast"/>
        <w:jc w:val="center"/>
        <w:rPr>
          <w:sz w:val="21"/>
          <w:szCs w:val="22"/>
        </w:rPr>
      </w:pPr>
      <w:r w:rsidRPr="00EF7E79">
        <w:rPr>
          <w:noProof/>
          <w:sz w:val="21"/>
          <w:lang w:val="en-US" w:bidi="ar-SA"/>
        </w:rPr>
        <w:drawing>
          <wp:inline distT="0" distB="0" distL="0" distR="0" wp14:anchorId="61B42EFB" wp14:editId="587B35CA">
            <wp:extent cx="5603240" cy="31527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03240" cy="3152775"/>
                    </a:xfrm>
                    <a:prstGeom prst="rect">
                      <a:avLst/>
                    </a:prstGeom>
                    <a:noFill/>
                    <a:ln>
                      <a:noFill/>
                    </a:ln>
                  </pic:spPr>
                </pic:pic>
              </a:graphicData>
            </a:graphic>
          </wp:inline>
        </w:drawing>
      </w:r>
    </w:p>
    <w:p w:rsidR="007A5789" w:rsidRDefault="00FD69C6" w:rsidP="00B6014B">
      <w:pPr>
        <w:pStyle w:val="ONUME"/>
        <w:tabs>
          <w:tab w:val="clear" w:pos="567"/>
        </w:tabs>
        <w:overflowPunct w:val="0"/>
        <w:spacing w:afterLines="50" w:after="120" w:line="340" w:lineRule="atLeast"/>
        <w:rPr>
          <w:sz w:val="21"/>
          <w:szCs w:val="22"/>
        </w:rPr>
      </w:pPr>
      <w:r w:rsidRPr="007A5789">
        <w:rPr>
          <w:sz w:val="21"/>
        </w:rPr>
        <w:t>当PCT国际申请费用</w:t>
      </w:r>
      <w:proofErr w:type="gramStart"/>
      <w:r w:rsidRPr="007A5789">
        <w:rPr>
          <w:sz w:val="21"/>
        </w:rPr>
        <w:t>以除瑞郎</w:t>
      </w:r>
      <w:proofErr w:type="gramEnd"/>
      <w:r w:rsidRPr="007A5789">
        <w:rPr>
          <w:sz w:val="21"/>
        </w:rPr>
        <w:t>以外的货币收取的时候则产生汇兑损益。WIPO每年设立以各种货币计价的等值费用金额。申请当日适用的等值金额决定以申请人当地货币支付申请费用的金额。WIPO以瑞郎确认的实际金额由其收到付款之日的联合国业务汇率</w:t>
      </w:r>
      <w:r w:rsidR="00B6014B">
        <w:rPr>
          <w:sz w:val="21"/>
        </w:rPr>
        <w:t>（</w:t>
      </w:r>
      <w:r w:rsidRPr="007A5789">
        <w:rPr>
          <w:sz w:val="21"/>
        </w:rPr>
        <w:t>UNORE</w:t>
      </w:r>
      <w:r w:rsidR="00B6014B">
        <w:rPr>
          <w:sz w:val="21"/>
        </w:rPr>
        <w:t>）</w:t>
      </w:r>
      <w:r w:rsidRPr="007A5789">
        <w:rPr>
          <w:sz w:val="21"/>
        </w:rPr>
        <w:t>决定。当等值瑞</w:t>
      </w:r>
      <w:proofErr w:type="gramStart"/>
      <w:r w:rsidRPr="007A5789">
        <w:rPr>
          <w:sz w:val="21"/>
        </w:rPr>
        <w:t>郎费用</w:t>
      </w:r>
      <w:proofErr w:type="gramEnd"/>
      <w:r w:rsidRPr="007A5789">
        <w:rPr>
          <w:sz w:val="21"/>
        </w:rPr>
        <w:t>与付款之日以瑞郎标价的实际金额之间出现差额时即产生费用的汇兑损益。在2015年，本组织已收PCT费用</w:t>
      </w:r>
      <w:r w:rsidR="00B6014B">
        <w:rPr>
          <w:sz w:val="21"/>
        </w:rPr>
        <w:t>（</w:t>
      </w:r>
      <w:r w:rsidRPr="007A5789">
        <w:rPr>
          <w:sz w:val="21"/>
        </w:rPr>
        <w:t>国际申请费和手续费</w:t>
      </w:r>
      <w:r w:rsidR="00B6014B">
        <w:rPr>
          <w:sz w:val="21"/>
        </w:rPr>
        <w:t>）</w:t>
      </w:r>
      <w:r w:rsidRPr="007A5789">
        <w:rPr>
          <w:sz w:val="21"/>
        </w:rPr>
        <w:t>的净汇兑损失70</w:t>
      </w:r>
      <w:proofErr w:type="gramStart"/>
      <w:r w:rsidRPr="007A5789">
        <w:rPr>
          <w:sz w:val="21"/>
        </w:rPr>
        <w:t>万瑞</w:t>
      </w:r>
      <w:proofErr w:type="gramEnd"/>
      <w:r w:rsidRPr="007A5789">
        <w:rPr>
          <w:sz w:val="21"/>
        </w:rPr>
        <w:t>郎。损失主要涉及</w:t>
      </w:r>
      <w:r w:rsidR="00B11B47">
        <w:rPr>
          <w:sz w:val="21"/>
        </w:rPr>
        <w:t>日元</w:t>
      </w:r>
      <w:r w:rsidR="00B6014B">
        <w:rPr>
          <w:sz w:val="21"/>
        </w:rPr>
        <w:t>（</w:t>
      </w:r>
      <w:r w:rsidRPr="007A5789">
        <w:rPr>
          <w:sz w:val="21"/>
        </w:rPr>
        <w:t>损失160</w:t>
      </w:r>
      <w:proofErr w:type="gramStart"/>
      <w:r w:rsidRPr="007A5789">
        <w:rPr>
          <w:sz w:val="21"/>
        </w:rPr>
        <w:t>万瑞</w:t>
      </w:r>
      <w:proofErr w:type="gramEnd"/>
      <w:r w:rsidRPr="007A5789">
        <w:rPr>
          <w:sz w:val="21"/>
        </w:rPr>
        <w:t>郎</w:t>
      </w:r>
      <w:r w:rsidR="00B6014B">
        <w:rPr>
          <w:sz w:val="21"/>
        </w:rPr>
        <w:t>）</w:t>
      </w:r>
      <w:r w:rsidRPr="007A5789">
        <w:rPr>
          <w:sz w:val="21"/>
        </w:rPr>
        <w:t>及欧元</w:t>
      </w:r>
      <w:r w:rsidR="00B6014B">
        <w:rPr>
          <w:sz w:val="21"/>
        </w:rPr>
        <w:t>（</w:t>
      </w:r>
      <w:r w:rsidRPr="007A5789">
        <w:rPr>
          <w:sz w:val="21"/>
        </w:rPr>
        <w:t>损失140</w:t>
      </w:r>
      <w:proofErr w:type="gramStart"/>
      <w:r w:rsidRPr="007A5789">
        <w:rPr>
          <w:sz w:val="21"/>
        </w:rPr>
        <w:t>万瑞</w:t>
      </w:r>
      <w:proofErr w:type="gramEnd"/>
      <w:r w:rsidRPr="007A5789">
        <w:rPr>
          <w:sz w:val="21"/>
        </w:rPr>
        <w:t>郎</w:t>
      </w:r>
      <w:r w:rsidR="00B6014B">
        <w:rPr>
          <w:sz w:val="21"/>
        </w:rPr>
        <w:t>）</w:t>
      </w:r>
      <w:r w:rsidRPr="007A5789">
        <w:rPr>
          <w:sz w:val="21"/>
        </w:rPr>
        <w:t>费用，而美元费用实现260</w:t>
      </w:r>
      <w:proofErr w:type="gramStart"/>
      <w:r w:rsidRPr="007A5789">
        <w:rPr>
          <w:sz w:val="21"/>
        </w:rPr>
        <w:t>万瑞</w:t>
      </w:r>
      <w:proofErr w:type="gramEnd"/>
      <w:r w:rsidRPr="007A5789">
        <w:rPr>
          <w:sz w:val="21"/>
        </w:rPr>
        <w:t>郎的收益。2014年和2013年，WIPO均产生了已收费用的净汇兑损失，而2012年实现净收益750</w:t>
      </w:r>
      <w:proofErr w:type="gramStart"/>
      <w:r w:rsidRPr="007A5789">
        <w:rPr>
          <w:sz w:val="21"/>
        </w:rPr>
        <w:t>万瑞</w:t>
      </w:r>
      <w:proofErr w:type="gramEnd"/>
      <w:r w:rsidRPr="007A5789">
        <w:rPr>
          <w:sz w:val="21"/>
        </w:rPr>
        <w:t>郎。</w:t>
      </w:r>
    </w:p>
    <w:p w:rsidR="007A5789" w:rsidRPr="006A1075" w:rsidRDefault="00B13F12" w:rsidP="006A1075">
      <w:pPr>
        <w:pStyle w:val="ONUME"/>
        <w:keepNext/>
        <w:numPr>
          <w:ilvl w:val="0"/>
          <w:numId w:val="0"/>
        </w:numPr>
        <w:overflowPunct w:val="0"/>
        <w:spacing w:afterLines="50" w:after="120" w:line="340" w:lineRule="atLeast"/>
        <w:jc w:val="center"/>
        <w:rPr>
          <w:sz w:val="21"/>
          <w:u w:val="single"/>
        </w:rPr>
      </w:pPr>
      <w:r w:rsidRPr="007A5789">
        <w:rPr>
          <w:sz w:val="21"/>
          <w:u w:val="single"/>
        </w:rPr>
        <w:t>2012年至2015年已收PCT费用汇兑益/</w:t>
      </w:r>
      <w:r w:rsidR="00B6014B">
        <w:rPr>
          <w:sz w:val="21"/>
          <w:u w:val="single"/>
        </w:rPr>
        <w:t>（</w:t>
      </w:r>
      <w:r w:rsidRPr="007A5789">
        <w:rPr>
          <w:sz w:val="21"/>
          <w:u w:val="single"/>
        </w:rPr>
        <w:t>损</w:t>
      </w:r>
      <w:r w:rsidR="00B6014B">
        <w:rPr>
          <w:sz w:val="21"/>
          <w:u w:val="single"/>
        </w:rPr>
        <w:t>）</w:t>
      </w:r>
      <w:r w:rsidRPr="007A5789">
        <w:rPr>
          <w:sz w:val="21"/>
          <w:u w:val="single"/>
        </w:rPr>
        <w:t>详情</w:t>
      </w:r>
    </w:p>
    <w:p w:rsidR="006245A4" w:rsidRPr="007A5789" w:rsidRDefault="00B11B47" w:rsidP="00B11B47">
      <w:pPr>
        <w:spacing w:afterLines="50" w:after="120" w:line="340" w:lineRule="atLeast"/>
        <w:jc w:val="center"/>
        <w:rPr>
          <w:sz w:val="21"/>
          <w:szCs w:val="22"/>
        </w:rPr>
      </w:pPr>
      <w:r w:rsidRPr="00B11B47">
        <w:rPr>
          <w:noProof/>
          <w:sz w:val="21"/>
          <w:lang w:val="en-US" w:bidi="ar-SA"/>
        </w:rPr>
        <w:drawing>
          <wp:inline distT="0" distB="0" distL="0" distR="0" wp14:anchorId="4E015C12" wp14:editId="2536020C">
            <wp:extent cx="5940425" cy="1334470"/>
            <wp:effectExtent l="0" t="0" r="317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1334470"/>
                    </a:xfrm>
                    <a:prstGeom prst="rect">
                      <a:avLst/>
                    </a:prstGeom>
                    <a:noFill/>
                    <a:ln>
                      <a:noFill/>
                    </a:ln>
                  </pic:spPr>
                </pic:pic>
              </a:graphicData>
            </a:graphic>
          </wp:inline>
        </w:drawing>
      </w:r>
    </w:p>
    <w:p w:rsidR="007A5789" w:rsidRDefault="006245A4" w:rsidP="00B6014B">
      <w:pPr>
        <w:pStyle w:val="ONUME"/>
        <w:tabs>
          <w:tab w:val="clear" w:pos="567"/>
        </w:tabs>
        <w:overflowPunct w:val="0"/>
        <w:spacing w:afterLines="50" w:after="120" w:line="340" w:lineRule="atLeast"/>
        <w:rPr>
          <w:sz w:val="21"/>
        </w:rPr>
      </w:pPr>
      <w:r w:rsidRPr="007A5789">
        <w:rPr>
          <w:sz w:val="21"/>
        </w:rPr>
        <w:t>本组织每年根据前一年十月份的第一个星期一的汇率</w:t>
      </w:r>
      <w:proofErr w:type="gramStart"/>
      <w:r w:rsidRPr="007A5789">
        <w:rPr>
          <w:sz w:val="21"/>
        </w:rPr>
        <w:t>确定除瑞郎</w:t>
      </w:r>
      <w:proofErr w:type="gramEnd"/>
      <w:r w:rsidRPr="007A5789">
        <w:rPr>
          <w:sz w:val="21"/>
        </w:rPr>
        <w:t>以外其他货币计价的等值费用金额。如果本年度其他货币与瑞郎之间的兑换汇率在连续四个以上星期五变动5.0%或以上，则等值金额可以重新设定。</w:t>
      </w:r>
    </w:p>
    <w:p w:rsidR="007A5789" w:rsidRDefault="000673A5" w:rsidP="00B6014B">
      <w:pPr>
        <w:pStyle w:val="ONUME"/>
        <w:tabs>
          <w:tab w:val="clear" w:pos="567"/>
        </w:tabs>
        <w:overflowPunct w:val="0"/>
        <w:spacing w:afterLines="50" w:after="120" w:line="340" w:lineRule="atLeast"/>
        <w:rPr>
          <w:sz w:val="21"/>
          <w:szCs w:val="22"/>
        </w:rPr>
      </w:pPr>
      <w:r w:rsidRPr="007A5789">
        <w:rPr>
          <w:sz w:val="21"/>
        </w:rPr>
        <w:t>继2015年1月15日瑞士央行</w:t>
      </w:r>
      <w:r w:rsidR="00B6014B">
        <w:rPr>
          <w:rFonts w:hint="eastAsia"/>
          <w:sz w:val="21"/>
        </w:rPr>
        <w:t>（</w:t>
      </w:r>
      <w:r w:rsidR="002556AB" w:rsidRPr="007A5789">
        <w:rPr>
          <w:sz w:val="21"/>
        </w:rPr>
        <w:t>SNB</w:t>
      </w:r>
      <w:r w:rsidR="00B6014B">
        <w:rPr>
          <w:rFonts w:hint="eastAsia"/>
          <w:sz w:val="21"/>
        </w:rPr>
        <w:t>）</w:t>
      </w:r>
      <w:r w:rsidRPr="007A5789">
        <w:rPr>
          <w:sz w:val="21"/>
        </w:rPr>
        <w:t>宣布终止维持最小汇率欧元兑1.20瑞郎的政策之后，瑞郎大幅升值，所有其他货币兑瑞郎在外汇市场上平均下跌15%。这导致PCT已收费用最初出现汇兑损</w:t>
      </w:r>
      <w:r w:rsidRPr="007A5789">
        <w:rPr>
          <w:sz w:val="21"/>
        </w:rPr>
        <w:lastRenderedPageBreak/>
        <w:t>失。但由于2015年4月1日多个货币确定了新的等值金额以及下半年美元和欧元兑瑞</w:t>
      </w:r>
      <w:proofErr w:type="gramStart"/>
      <w:r w:rsidRPr="007A5789">
        <w:rPr>
          <w:sz w:val="21"/>
        </w:rPr>
        <w:t>郎逐渐</w:t>
      </w:r>
      <w:proofErr w:type="gramEnd"/>
      <w:r w:rsidRPr="007A5789">
        <w:rPr>
          <w:sz w:val="21"/>
        </w:rPr>
        <w:t>升值，2015年PCT已收费用的净汇兑损失被控制在70</w:t>
      </w:r>
      <w:proofErr w:type="gramStart"/>
      <w:r w:rsidRPr="007A5789">
        <w:rPr>
          <w:sz w:val="21"/>
        </w:rPr>
        <w:t>万瑞</w:t>
      </w:r>
      <w:proofErr w:type="gramEnd"/>
      <w:r w:rsidRPr="007A5789">
        <w:rPr>
          <w:sz w:val="21"/>
        </w:rPr>
        <w:t>郎。下表显示2012年至2015年用于确定等值金额的美元、日元和欧元汇率与这三种货币的UNORE之间的差异：</w:t>
      </w:r>
    </w:p>
    <w:p w:rsidR="006245A4" w:rsidRPr="006A1075" w:rsidRDefault="006245A4" w:rsidP="006A1075">
      <w:pPr>
        <w:pStyle w:val="ONUME"/>
        <w:keepNext/>
        <w:numPr>
          <w:ilvl w:val="0"/>
          <w:numId w:val="0"/>
        </w:numPr>
        <w:overflowPunct w:val="0"/>
        <w:spacing w:afterLines="50" w:after="120" w:line="340" w:lineRule="atLeast"/>
        <w:jc w:val="center"/>
        <w:rPr>
          <w:sz w:val="21"/>
          <w:u w:val="single"/>
        </w:rPr>
      </w:pPr>
      <w:r w:rsidRPr="007A5789">
        <w:rPr>
          <w:sz w:val="21"/>
          <w:u w:val="single"/>
        </w:rPr>
        <w:t>美元</w:t>
      </w:r>
      <w:r w:rsidR="00B11B47">
        <w:rPr>
          <w:rFonts w:hint="eastAsia"/>
          <w:sz w:val="21"/>
          <w:u w:val="single"/>
        </w:rPr>
        <w:t xml:space="preserve"> </w:t>
      </w:r>
      <w:r w:rsidRPr="007A5789">
        <w:rPr>
          <w:sz w:val="21"/>
          <w:u w:val="single"/>
        </w:rPr>
        <w:t>-</w:t>
      </w:r>
      <w:r w:rsidR="00B11B47">
        <w:rPr>
          <w:rFonts w:hint="eastAsia"/>
          <w:sz w:val="21"/>
          <w:u w:val="single"/>
        </w:rPr>
        <w:t xml:space="preserve"> </w:t>
      </w:r>
      <w:r w:rsidRPr="007A5789">
        <w:rPr>
          <w:sz w:val="21"/>
          <w:u w:val="single"/>
        </w:rPr>
        <w:t>2012年至2015年等值</w:t>
      </w:r>
      <w:proofErr w:type="gramStart"/>
      <w:r w:rsidRPr="007A5789">
        <w:rPr>
          <w:sz w:val="21"/>
          <w:u w:val="single"/>
        </w:rPr>
        <w:t>金额汇率</w:t>
      </w:r>
      <w:proofErr w:type="gramEnd"/>
      <w:r w:rsidRPr="007A5789">
        <w:rPr>
          <w:sz w:val="21"/>
          <w:u w:val="single"/>
        </w:rPr>
        <w:t>与UNORE对比情况</w:t>
      </w:r>
    </w:p>
    <w:p w:rsidR="007A5789" w:rsidRDefault="00C52E0D" w:rsidP="00C52E0D">
      <w:pPr>
        <w:spacing w:afterLines="50" w:after="120" w:line="340" w:lineRule="atLeast"/>
        <w:jc w:val="center"/>
        <w:rPr>
          <w:sz w:val="21"/>
          <w:szCs w:val="22"/>
        </w:rPr>
      </w:pPr>
      <w:r w:rsidRPr="00EF7E79">
        <w:rPr>
          <w:noProof/>
          <w:sz w:val="21"/>
          <w:lang w:val="en-US" w:bidi="ar-SA"/>
        </w:rPr>
        <w:drawing>
          <wp:inline distT="0" distB="0" distL="0" distR="0" wp14:anchorId="5A70B9CB" wp14:editId="31947471">
            <wp:extent cx="3841200" cy="3196800"/>
            <wp:effectExtent l="0" t="0" r="6985" b="3810"/>
            <wp:docPr id="288" name="图片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41200" cy="3196800"/>
                    </a:xfrm>
                    <a:prstGeom prst="rect">
                      <a:avLst/>
                    </a:prstGeom>
                    <a:noFill/>
                    <a:ln>
                      <a:noFill/>
                    </a:ln>
                  </pic:spPr>
                </pic:pic>
              </a:graphicData>
            </a:graphic>
          </wp:inline>
        </w:drawing>
      </w:r>
    </w:p>
    <w:p w:rsidR="00C252AA" w:rsidRPr="006A1075" w:rsidRDefault="00C252AA" w:rsidP="006A1075">
      <w:pPr>
        <w:pStyle w:val="ONUME"/>
        <w:keepNext/>
        <w:numPr>
          <w:ilvl w:val="0"/>
          <w:numId w:val="0"/>
        </w:numPr>
        <w:overflowPunct w:val="0"/>
        <w:spacing w:afterLines="50" w:after="120" w:line="340" w:lineRule="atLeast"/>
        <w:jc w:val="center"/>
        <w:rPr>
          <w:sz w:val="21"/>
          <w:u w:val="single"/>
        </w:rPr>
      </w:pPr>
      <w:r w:rsidRPr="007A5789">
        <w:rPr>
          <w:sz w:val="21"/>
          <w:u w:val="single"/>
        </w:rPr>
        <w:t>日元</w:t>
      </w:r>
      <w:r w:rsidR="00B11B47">
        <w:rPr>
          <w:rFonts w:hint="eastAsia"/>
          <w:sz w:val="21"/>
          <w:u w:val="single"/>
        </w:rPr>
        <w:t xml:space="preserve"> </w:t>
      </w:r>
      <w:r w:rsidRPr="007A5789">
        <w:rPr>
          <w:sz w:val="21"/>
          <w:u w:val="single"/>
        </w:rPr>
        <w:t>-</w:t>
      </w:r>
      <w:r w:rsidR="00B11B47">
        <w:rPr>
          <w:rFonts w:hint="eastAsia"/>
          <w:sz w:val="21"/>
          <w:u w:val="single"/>
        </w:rPr>
        <w:t xml:space="preserve"> </w:t>
      </w:r>
      <w:r w:rsidRPr="007A5789">
        <w:rPr>
          <w:sz w:val="21"/>
          <w:u w:val="single"/>
        </w:rPr>
        <w:t>2012年至2015年等值</w:t>
      </w:r>
      <w:proofErr w:type="gramStart"/>
      <w:r w:rsidRPr="007A5789">
        <w:rPr>
          <w:sz w:val="21"/>
          <w:u w:val="single"/>
        </w:rPr>
        <w:t>金额汇率</w:t>
      </w:r>
      <w:proofErr w:type="gramEnd"/>
      <w:r w:rsidRPr="007A5789">
        <w:rPr>
          <w:sz w:val="21"/>
          <w:u w:val="single"/>
        </w:rPr>
        <w:t>与UNORE对比情况</w:t>
      </w:r>
    </w:p>
    <w:p w:rsidR="007A5789" w:rsidRDefault="00C52E0D" w:rsidP="00C52E0D">
      <w:pPr>
        <w:spacing w:afterLines="50" w:after="120" w:line="340" w:lineRule="atLeast"/>
        <w:jc w:val="center"/>
        <w:rPr>
          <w:sz w:val="21"/>
          <w:szCs w:val="22"/>
        </w:rPr>
      </w:pPr>
      <w:r w:rsidRPr="00EF7E79">
        <w:rPr>
          <w:noProof/>
          <w:sz w:val="21"/>
          <w:lang w:val="en-US" w:bidi="ar-SA"/>
        </w:rPr>
        <w:drawing>
          <wp:inline distT="0" distB="0" distL="0" distR="0" wp14:anchorId="73459F9C" wp14:editId="51091FE7">
            <wp:extent cx="3463200" cy="2188800"/>
            <wp:effectExtent l="0" t="0" r="4445" b="2540"/>
            <wp:docPr id="289" name="图片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63200" cy="2188800"/>
                    </a:xfrm>
                    <a:prstGeom prst="rect">
                      <a:avLst/>
                    </a:prstGeom>
                    <a:noFill/>
                    <a:ln>
                      <a:noFill/>
                    </a:ln>
                  </pic:spPr>
                </pic:pic>
              </a:graphicData>
            </a:graphic>
          </wp:inline>
        </w:drawing>
      </w:r>
    </w:p>
    <w:p w:rsidR="00C252AA" w:rsidRPr="006A1075" w:rsidRDefault="002231E4" w:rsidP="006A1075">
      <w:pPr>
        <w:pStyle w:val="ONUME"/>
        <w:keepNext/>
        <w:numPr>
          <w:ilvl w:val="0"/>
          <w:numId w:val="0"/>
        </w:numPr>
        <w:overflowPunct w:val="0"/>
        <w:spacing w:afterLines="50" w:after="120" w:line="340" w:lineRule="atLeast"/>
        <w:jc w:val="center"/>
        <w:rPr>
          <w:sz w:val="21"/>
          <w:u w:val="single"/>
        </w:rPr>
      </w:pPr>
      <w:r w:rsidRPr="007A5789">
        <w:rPr>
          <w:sz w:val="21"/>
          <w:u w:val="single"/>
        </w:rPr>
        <w:lastRenderedPageBreak/>
        <w:t>欧元</w:t>
      </w:r>
      <w:r w:rsidR="00B11B47">
        <w:rPr>
          <w:rFonts w:hint="eastAsia"/>
          <w:sz w:val="21"/>
          <w:u w:val="single"/>
        </w:rPr>
        <w:t xml:space="preserve"> </w:t>
      </w:r>
      <w:r w:rsidRPr="007A5789">
        <w:rPr>
          <w:sz w:val="21"/>
          <w:u w:val="single"/>
        </w:rPr>
        <w:t>-</w:t>
      </w:r>
      <w:r w:rsidR="00B11B47">
        <w:rPr>
          <w:rFonts w:hint="eastAsia"/>
          <w:sz w:val="21"/>
          <w:u w:val="single"/>
        </w:rPr>
        <w:t xml:space="preserve"> </w:t>
      </w:r>
      <w:r w:rsidRPr="007A5789">
        <w:rPr>
          <w:sz w:val="21"/>
          <w:u w:val="single"/>
        </w:rPr>
        <w:t>2012年至2015年等值</w:t>
      </w:r>
      <w:proofErr w:type="gramStart"/>
      <w:r w:rsidRPr="007A5789">
        <w:rPr>
          <w:sz w:val="21"/>
          <w:u w:val="single"/>
        </w:rPr>
        <w:t>金额汇率</w:t>
      </w:r>
      <w:proofErr w:type="gramEnd"/>
      <w:r w:rsidRPr="007A5789">
        <w:rPr>
          <w:sz w:val="21"/>
          <w:u w:val="single"/>
        </w:rPr>
        <w:t>与UNORE对比情况</w:t>
      </w:r>
    </w:p>
    <w:p w:rsidR="007A5789" w:rsidRDefault="00C52E0D" w:rsidP="00B87A4B">
      <w:pPr>
        <w:spacing w:afterLines="50" w:after="120" w:line="340" w:lineRule="atLeast"/>
        <w:jc w:val="center"/>
        <w:rPr>
          <w:sz w:val="21"/>
          <w:szCs w:val="22"/>
        </w:rPr>
      </w:pPr>
      <w:r w:rsidRPr="00EF7E79">
        <w:rPr>
          <w:noProof/>
          <w:sz w:val="21"/>
          <w:lang w:val="en-US" w:bidi="ar-SA"/>
        </w:rPr>
        <w:drawing>
          <wp:inline distT="0" distB="0" distL="0" distR="0" wp14:anchorId="050A2B8C" wp14:editId="7235543A">
            <wp:extent cx="3787200" cy="2379600"/>
            <wp:effectExtent l="0" t="0" r="3810" b="1905"/>
            <wp:docPr id="290" name="图片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87200" cy="2379600"/>
                    </a:xfrm>
                    <a:prstGeom prst="rect">
                      <a:avLst/>
                    </a:prstGeom>
                    <a:noFill/>
                    <a:ln>
                      <a:noFill/>
                    </a:ln>
                  </pic:spPr>
                </pic:pic>
              </a:graphicData>
            </a:graphic>
          </wp:inline>
        </w:drawing>
      </w:r>
    </w:p>
    <w:p w:rsidR="007A5789" w:rsidRDefault="00E2275A" w:rsidP="00B6014B">
      <w:pPr>
        <w:pStyle w:val="ONUME"/>
        <w:tabs>
          <w:tab w:val="clear" w:pos="567"/>
        </w:tabs>
        <w:overflowPunct w:val="0"/>
        <w:spacing w:afterLines="50" w:after="120" w:line="340" w:lineRule="atLeast"/>
        <w:rPr>
          <w:sz w:val="21"/>
          <w:szCs w:val="22"/>
        </w:rPr>
      </w:pPr>
      <w:r w:rsidRPr="007A5789">
        <w:rPr>
          <w:sz w:val="21"/>
        </w:rPr>
        <w:t>马德里体系</w:t>
      </w:r>
      <w:proofErr w:type="gramStart"/>
      <w:r w:rsidRPr="007A5789">
        <w:rPr>
          <w:sz w:val="21"/>
        </w:rPr>
        <w:t>规</w:t>
      </w:r>
      <w:proofErr w:type="gramEnd"/>
      <w:r w:rsidRPr="007A5789">
        <w:rPr>
          <w:sz w:val="21"/>
        </w:rPr>
        <w:t>费主要包括注册或续展申请的基本费用和后续指定的费用</w:t>
      </w:r>
    </w:p>
    <w:p w:rsidR="007A5789" w:rsidRPr="006A1075" w:rsidRDefault="00500698" w:rsidP="006A1075">
      <w:pPr>
        <w:pStyle w:val="ONUME"/>
        <w:keepNext/>
        <w:numPr>
          <w:ilvl w:val="0"/>
          <w:numId w:val="0"/>
        </w:numPr>
        <w:overflowPunct w:val="0"/>
        <w:spacing w:afterLines="50" w:after="120" w:line="340" w:lineRule="atLeast"/>
        <w:jc w:val="center"/>
        <w:rPr>
          <w:sz w:val="21"/>
          <w:u w:val="single"/>
        </w:rPr>
      </w:pPr>
      <w:r w:rsidRPr="007A5789">
        <w:rPr>
          <w:sz w:val="21"/>
          <w:u w:val="single"/>
        </w:rPr>
        <w:t>2012年至2015年马德里体系</w:t>
      </w:r>
      <w:proofErr w:type="gramStart"/>
      <w:r w:rsidRPr="007A5789">
        <w:rPr>
          <w:sz w:val="21"/>
          <w:u w:val="single"/>
        </w:rPr>
        <w:t>规</w:t>
      </w:r>
      <w:proofErr w:type="gramEnd"/>
      <w:r w:rsidRPr="007A5789">
        <w:rPr>
          <w:sz w:val="21"/>
          <w:u w:val="single"/>
        </w:rPr>
        <w:t>费详情</w:t>
      </w:r>
    </w:p>
    <w:p w:rsidR="00500698" w:rsidRPr="007A5789" w:rsidRDefault="00C52E0D" w:rsidP="00C52E0D">
      <w:pPr>
        <w:spacing w:afterLines="50" w:after="120" w:line="340" w:lineRule="atLeast"/>
        <w:jc w:val="center"/>
        <w:rPr>
          <w:sz w:val="21"/>
          <w:szCs w:val="22"/>
        </w:rPr>
      </w:pPr>
      <w:r w:rsidRPr="00EF7E79">
        <w:rPr>
          <w:noProof/>
          <w:sz w:val="21"/>
          <w:lang w:val="en-US" w:bidi="ar-SA"/>
        </w:rPr>
        <w:drawing>
          <wp:inline distT="0" distB="0" distL="0" distR="0" wp14:anchorId="5E3ED156" wp14:editId="2AF1C0F0">
            <wp:extent cx="5940425" cy="1393225"/>
            <wp:effectExtent l="0" t="0" r="3175" b="0"/>
            <wp:docPr id="291" name="图片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1393225"/>
                    </a:xfrm>
                    <a:prstGeom prst="rect">
                      <a:avLst/>
                    </a:prstGeom>
                    <a:noFill/>
                    <a:ln>
                      <a:noFill/>
                    </a:ln>
                  </pic:spPr>
                </pic:pic>
              </a:graphicData>
            </a:graphic>
          </wp:inline>
        </w:drawing>
      </w:r>
    </w:p>
    <w:p w:rsidR="007A5789" w:rsidRDefault="00322320" w:rsidP="00B6014B">
      <w:pPr>
        <w:pStyle w:val="ONUME"/>
        <w:tabs>
          <w:tab w:val="clear" w:pos="567"/>
        </w:tabs>
        <w:overflowPunct w:val="0"/>
        <w:spacing w:afterLines="50" w:after="120" w:line="340" w:lineRule="atLeast"/>
        <w:rPr>
          <w:sz w:val="21"/>
          <w:szCs w:val="22"/>
        </w:rPr>
      </w:pPr>
      <w:r w:rsidRPr="007A5789">
        <w:rPr>
          <w:sz w:val="21"/>
        </w:rPr>
        <w:t>依据IPSAS，马德里的注册、续展和后续指定的费用收入在财务报表中要到公布之日才入账。根据IPSAS确认的注册和续展收入</w:t>
      </w:r>
      <w:r w:rsidR="00B6014B">
        <w:rPr>
          <w:sz w:val="21"/>
        </w:rPr>
        <w:t>（</w:t>
      </w:r>
      <w:r w:rsidRPr="007A5789">
        <w:rPr>
          <w:sz w:val="21"/>
        </w:rPr>
        <w:t>但是不包括其他费用</w:t>
      </w:r>
      <w:r w:rsidR="00B6014B">
        <w:rPr>
          <w:sz w:val="21"/>
        </w:rPr>
        <w:t>）</w:t>
      </w:r>
      <w:r w:rsidRPr="007A5789">
        <w:rPr>
          <w:sz w:val="21"/>
        </w:rPr>
        <w:t>随着注册和续展数目逐年增长而增长。</w:t>
      </w:r>
    </w:p>
    <w:p w:rsidR="00850BA0" w:rsidRPr="007A5789" w:rsidRDefault="00850BA0" w:rsidP="006A1075">
      <w:pPr>
        <w:pStyle w:val="ONUME"/>
        <w:keepNext/>
        <w:numPr>
          <w:ilvl w:val="0"/>
          <w:numId w:val="0"/>
        </w:numPr>
        <w:overflowPunct w:val="0"/>
        <w:spacing w:afterLines="50" w:after="120" w:line="340" w:lineRule="atLeast"/>
        <w:jc w:val="center"/>
        <w:rPr>
          <w:sz w:val="21"/>
          <w:u w:val="single"/>
        </w:rPr>
      </w:pPr>
      <w:r w:rsidRPr="007A5789">
        <w:rPr>
          <w:sz w:val="21"/>
          <w:u w:val="single"/>
        </w:rPr>
        <w:t>马德里-2012年至2015年基本费用和注册/续展</w:t>
      </w:r>
    </w:p>
    <w:p w:rsidR="00322320" w:rsidRPr="007A5789" w:rsidRDefault="009A4369" w:rsidP="00B87A4B">
      <w:pPr>
        <w:spacing w:afterLines="50" w:after="120" w:line="340" w:lineRule="atLeast"/>
        <w:jc w:val="center"/>
        <w:rPr>
          <w:sz w:val="21"/>
          <w:szCs w:val="22"/>
        </w:rPr>
      </w:pPr>
      <w:r w:rsidRPr="00EF7E79">
        <w:rPr>
          <w:noProof/>
          <w:sz w:val="21"/>
          <w:lang w:val="en-US" w:bidi="ar-SA"/>
        </w:rPr>
        <w:drawing>
          <wp:inline distT="0" distB="0" distL="0" distR="0" wp14:anchorId="2C263950" wp14:editId="51718049">
            <wp:extent cx="5940425" cy="3351621"/>
            <wp:effectExtent l="0" t="0" r="3175" b="1270"/>
            <wp:docPr id="292" name="图片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0425" cy="3351621"/>
                    </a:xfrm>
                    <a:prstGeom prst="rect">
                      <a:avLst/>
                    </a:prstGeom>
                    <a:noFill/>
                    <a:ln>
                      <a:noFill/>
                    </a:ln>
                  </pic:spPr>
                </pic:pic>
              </a:graphicData>
            </a:graphic>
          </wp:inline>
        </w:drawing>
      </w:r>
    </w:p>
    <w:p w:rsidR="007A5789" w:rsidRDefault="003C0006" w:rsidP="00B6014B">
      <w:pPr>
        <w:pStyle w:val="ONUME"/>
        <w:tabs>
          <w:tab w:val="clear" w:pos="567"/>
        </w:tabs>
        <w:overflowPunct w:val="0"/>
        <w:spacing w:afterLines="50" w:after="120" w:line="340" w:lineRule="atLeast"/>
        <w:rPr>
          <w:sz w:val="21"/>
        </w:rPr>
      </w:pPr>
      <w:r w:rsidRPr="007A5789">
        <w:rPr>
          <w:sz w:val="21"/>
        </w:rPr>
        <w:lastRenderedPageBreak/>
        <w:t>如上所述，2015年马德里体系</w:t>
      </w:r>
      <w:proofErr w:type="gramStart"/>
      <w:r w:rsidRPr="007A5789">
        <w:rPr>
          <w:sz w:val="21"/>
        </w:rPr>
        <w:t>规</w:t>
      </w:r>
      <w:proofErr w:type="gramEnd"/>
      <w:r w:rsidRPr="007A5789">
        <w:rPr>
          <w:sz w:val="21"/>
        </w:rPr>
        <w:t>费收入较2014年大幅增长23.2%。2015年马德里体系注册增加22.4%，共计51,938</w:t>
      </w:r>
      <w:r w:rsidR="00B11B47">
        <w:rPr>
          <w:rFonts w:hint="eastAsia"/>
          <w:sz w:val="21"/>
        </w:rPr>
        <w:t>件</w:t>
      </w:r>
      <w:r w:rsidRPr="007A5789">
        <w:rPr>
          <w:sz w:val="21"/>
        </w:rPr>
        <w:t>，而2014年为42,430</w:t>
      </w:r>
      <w:r w:rsidR="00B11B47">
        <w:rPr>
          <w:rFonts w:hint="eastAsia"/>
          <w:sz w:val="21"/>
        </w:rPr>
        <w:t>件</w:t>
      </w:r>
      <w:r w:rsidRPr="007A5789">
        <w:rPr>
          <w:sz w:val="21"/>
        </w:rPr>
        <w:t>。虽然2015年马德里申请同比增长2.9%，但注册大幅增加主要是因为清理积压申请。2015年续展也从上年的25,729</w:t>
      </w:r>
      <w:r w:rsidR="00B11B47">
        <w:rPr>
          <w:rFonts w:hint="eastAsia"/>
          <w:sz w:val="21"/>
        </w:rPr>
        <w:t>件</w:t>
      </w:r>
      <w:r w:rsidRPr="007A5789">
        <w:rPr>
          <w:sz w:val="21"/>
        </w:rPr>
        <w:t>增至28,501</w:t>
      </w:r>
      <w:r w:rsidR="00B11B47">
        <w:rPr>
          <w:rFonts w:hint="eastAsia"/>
          <w:sz w:val="21"/>
        </w:rPr>
        <w:t>件</w:t>
      </w:r>
      <w:r w:rsidRPr="007A5789">
        <w:rPr>
          <w:sz w:val="21"/>
        </w:rPr>
        <w:t>。</w:t>
      </w:r>
    </w:p>
    <w:p w:rsidR="007A5789" w:rsidRDefault="00850BA0" w:rsidP="00B6014B">
      <w:pPr>
        <w:pStyle w:val="ONUME"/>
        <w:tabs>
          <w:tab w:val="clear" w:pos="567"/>
        </w:tabs>
        <w:overflowPunct w:val="0"/>
        <w:spacing w:afterLines="50" w:after="120" w:line="340" w:lineRule="atLeast"/>
        <w:rPr>
          <w:sz w:val="21"/>
          <w:szCs w:val="22"/>
        </w:rPr>
      </w:pPr>
      <w:r w:rsidRPr="007A5789">
        <w:rPr>
          <w:sz w:val="21"/>
        </w:rPr>
        <w:t>2015年海牙体系</w:t>
      </w:r>
      <w:proofErr w:type="gramStart"/>
      <w:r w:rsidRPr="007A5789">
        <w:rPr>
          <w:sz w:val="21"/>
        </w:rPr>
        <w:t>规</w:t>
      </w:r>
      <w:proofErr w:type="gramEnd"/>
      <w:r w:rsidRPr="007A5789">
        <w:rPr>
          <w:sz w:val="21"/>
        </w:rPr>
        <w:t>费共计390</w:t>
      </w:r>
      <w:proofErr w:type="gramStart"/>
      <w:r w:rsidRPr="007A5789">
        <w:rPr>
          <w:sz w:val="21"/>
        </w:rPr>
        <w:t>万瑞</w:t>
      </w:r>
      <w:proofErr w:type="gramEnd"/>
      <w:r w:rsidRPr="007A5789">
        <w:rPr>
          <w:sz w:val="21"/>
        </w:rPr>
        <w:t>郎。正如PCT和马德里体系</w:t>
      </w:r>
      <w:proofErr w:type="gramStart"/>
      <w:r w:rsidRPr="007A5789">
        <w:rPr>
          <w:sz w:val="21"/>
        </w:rPr>
        <w:t>规</w:t>
      </w:r>
      <w:proofErr w:type="gramEnd"/>
      <w:r w:rsidRPr="007A5789">
        <w:rPr>
          <w:sz w:val="21"/>
        </w:rPr>
        <w:t>费，处理申请的相关费用产生的收入当申请公布时才入账。海牙体系</w:t>
      </w:r>
      <w:proofErr w:type="gramStart"/>
      <w:r w:rsidRPr="007A5789">
        <w:rPr>
          <w:sz w:val="21"/>
        </w:rPr>
        <w:t>规费较</w:t>
      </w:r>
      <w:proofErr w:type="gramEnd"/>
      <w:r w:rsidRPr="007A5789">
        <w:rPr>
          <w:sz w:val="21"/>
        </w:rPr>
        <w:t>2014年增长21.9%。2015年海牙注册从2014年的2,703</w:t>
      </w:r>
      <w:r w:rsidR="00B11B47">
        <w:rPr>
          <w:rFonts w:hint="eastAsia"/>
          <w:sz w:val="21"/>
        </w:rPr>
        <w:t>件</w:t>
      </w:r>
      <w:r w:rsidRPr="007A5789">
        <w:rPr>
          <w:sz w:val="21"/>
        </w:rPr>
        <w:t>增加至3,581</w:t>
      </w:r>
      <w:r w:rsidR="00B11B47">
        <w:rPr>
          <w:rFonts w:hint="eastAsia"/>
          <w:sz w:val="21"/>
        </w:rPr>
        <w:t>件</w:t>
      </w:r>
      <w:r w:rsidRPr="007A5789">
        <w:rPr>
          <w:sz w:val="21"/>
        </w:rPr>
        <w:t>。海牙体系活动增加是因为2014年韩国的加入以及2015年日本和美国的加</w:t>
      </w:r>
      <w:r w:rsidR="006F192F">
        <w:rPr>
          <w:sz w:val="21"/>
        </w:rPr>
        <w:t>‍</w:t>
      </w:r>
      <w:r w:rsidRPr="007A5789">
        <w:rPr>
          <w:sz w:val="21"/>
        </w:rPr>
        <w:t>入。</w:t>
      </w:r>
    </w:p>
    <w:p w:rsidR="007A5789" w:rsidRDefault="007826F4" w:rsidP="00B6014B">
      <w:pPr>
        <w:pStyle w:val="ONUME"/>
        <w:tabs>
          <w:tab w:val="clear" w:pos="567"/>
        </w:tabs>
        <w:overflowPunct w:val="0"/>
        <w:spacing w:afterLines="50" w:after="120" w:line="340" w:lineRule="atLeast"/>
        <w:rPr>
          <w:sz w:val="21"/>
          <w:szCs w:val="22"/>
        </w:rPr>
      </w:pPr>
      <w:r w:rsidRPr="007A5789">
        <w:rPr>
          <w:sz w:val="21"/>
        </w:rPr>
        <w:t>2015年里斯本体系</w:t>
      </w:r>
      <w:proofErr w:type="gramStart"/>
      <w:r w:rsidRPr="007A5789">
        <w:rPr>
          <w:sz w:val="21"/>
        </w:rPr>
        <w:t>规</w:t>
      </w:r>
      <w:proofErr w:type="gramEnd"/>
      <w:r w:rsidRPr="007A5789">
        <w:rPr>
          <w:sz w:val="21"/>
        </w:rPr>
        <w:t>费共计17,000瑞郎，2014年为40,000瑞郎。在里斯本体系下收到的</w:t>
      </w:r>
      <w:r w:rsidR="00B11B47">
        <w:rPr>
          <w:rFonts w:hint="eastAsia"/>
          <w:sz w:val="21"/>
        </w:rPr>
        <w:t>申</w:t>
      </w:r>
      <w:r w:rsidRPr="007A5789">
        <w:rPr>
          <w:sz w:val="21"/>
        </w:rPr>
        <w:t>请数量从2014年的64</w:t>
      </w:r>
      <w:r w:rsidR="00B11B47">
        <w:rPr>
          <w:rFonts w:hint="eastAsia"/>
          <w:sz w:val="21"/>
        </w:rPr>
        <w:t>件</w:t>
      </w:r>
      <w:r w:rsidRPr="007A5789">
        <w:rPr>
          <w:sz w:val="21"/>
        </w:rPr>
        <w:t>降至2015年的34</w:t>
      </w:r>
      <w:r w:rsidR="00B11B47">
        <w:rPr>
          <w:rFonts w:hint="eastAsia"/>
          <w:sz w:val="21"/>
        </w:rPr>
        <w:t>件</w:t>
      </w:r>
      <w:r w:rsidRPr="007A5789">
        <w:rPr>
          <w:sz w:val="21"/>
        </w:rPr>
        <w:t>。</w:t>
      </w:r>
    </w:p>
    <w:p w:rsidR="00850BA0" w:rsidRPr="007A5789" w:rsidRDefault="00850BA0" w:rsidP="00B11B47">
      <w:pPr>
        <w:pStyle w:val="ONUME"/>
        <w:tabs>
          <w:tab w:val="clear" w:pos="567"/>
        </w:tabs>
        <w:overflowPunct w:val="0"/>
        <w:spacing w:afterLines="50" w:after="120" w:line="340" w:lineRule="atLeast"/>
        <w:rPr>
          <w:sz w:val="21"/>
          <w:szCs w:val="22"/>
        </w:rPr>
      </w:pPr>
      <w:r w:rsidRPr="007A5789">
        <w:rPr>
          <w:sz w:val="21"/>
        </w:rPr>
        <w:t>2015年分摊会费收入为1,780</w:t>
      </w:r>
      <w:proofErr w:type="gramStart"/>
      <w:r w:rsidRPr="007A5789">
        <w:rPr>
          <w:sz w:val="21"/>
        </w:rPr>
        <w:t>万瑞</w:t>
      </w:r>
      <w:proofErr w:type="gramEnd"/>
      <w:r w:rsidRPr="007A5789">
        <w:rPr>
          <w:sz w:val="21"/>
        </w:rPr>
        <w:t>郎，占总收入的4.7%。特别账户自愿捐款收入为1,030</w:t>
      </w:r>
      <w:proofErr w:type="gramStart"/>
      <w:r w:rsidRPr="007A5789">
        <w:rPr>
          <w:sz w:val="21"/>
        </w:rPr>
        <w:t>万瑞</w:t>
      </w:r>
      <w:proofErr w:type="gramEnd"/>
      <w:r w:rsidRPr="007A5789">
        <w:rPr>
          <w:sz w:val="21"/>
        </w:rPr>
        <w:t>郎，占总收入的2.7%。在按相关合同履行工作且发生开支的情况下，自愿捐款的收入纳入财务报表。</w:t>
      </w:r>
    </w:p>
    <w:p w:rsidR="007A5789" w:rsidRDefault="00850BA0" w:rsidP="00B6014B">
      <w:pPr>
        <w:pStyle w:val="ONUME"/>
        <w:tabs>
          <w:tab w:val="clear" w:pos="567"/>
        </w:tabs>
        <w:overflowPunct w:val="0"/>
        <w:spacing w:afterLines="50" w:after="120" w:line="340" w:lineRule="atLeast"/>
        <w:rPr>
          <w:sz w:val="21"/>
          <w:szCs w:val="22"/>
        </w:rPr>
      </w:pPr>
      <w:r w:rsidRPr="007A5789">
        <w:rPr>
          <w:sz w:val="21"/>
        </w:rPr>
        <w:t>2015年投资收入共计150</w:t>
      </w:r>
      <w:proofErr w:type="gramStart"/>
      <w:r w:rsidRPr="007A5789">
        <w:rPr>
          <w:sz w:val="21"/>
        </w:rPr>
        <w:t>万瑞</w:t>
      </w:r>
      <w:proofErr w:type="gramEnd"/>
      <w:r w:rsidRPr="007A5789">
        <w:rPr>
          <w:sz w:val="21"/>
        </w:rPr>
        <w:t>郎。该数字几乎完全由本组织的投资财产马德里</w:t>
      </w:r>
      <w:proofErr w:type="gramStart"/>
      <w:r w:rsidRPr="007A5789">
        <w:rPr>
          <w:sz w:val="21"/>
        </w:rPr>
        <w:t>联盟楼</w:t>
      </w:r>
      <w:proofErr w:type="gramEnd"/>
      <w:r w:rsidRPr="007A5789">
        <w:rPr>
          <w:sz w:val="21"/>
        </w:rPr>
        <w:t>140</w:t>
      </w:r>
      <w:proofErr w:type="gramStart"/>
      <w:r w:rsidRPr="007A5789">
        <w:rPr>
          <w:sz w:val="21"/>
        </w:rPr>
        <w:t>万瑞</w:t>
      </w:r>
      <w:proofErr w:type="gramEnd"/>
      <w:r w:rsidRPr="007A5789">
        <w:rPr>
          <w:sz w:val="21"/>
        </w:rPr>
        <w:t>郎的升值组成。利息收入从2014年的160</w:t>
      </w:r>
      <w:proofErr w:type="gramStart"/>
      <w:r w:rsidRPr="007A5789">
        <w:rPr>
          <w:sz w:val="21"/>
        </w:rPr>
        <w:t>万瑞</w:t>
      </w:r>
      <w:proofErr w:type="gramEnd"/>
      <w:r w:rsidRPr="007A5789">
        <w:rPr>
          <w:sz w:val="21"/>
        </w:rPr>
        <w:t>郎降至2015年的10</w:t>
      </w:r>
      <w:proofErr w:type="gramStart"/>
      <w:r w:rsidRPr="007A5789">
        <w:rPr>
          <w:sz w:val="21"/>
        </w:rPr>
        <w:t>万瑞</w:t>
      </w:r>
      <w:proofErr w:type="gramEnd"/>
      <w:r w:rsidRPr="007A5789">
        <w:rPr>
          <w:sz w:val="21"/>
        </w:rPr>
        <w:t>郎。本组织继续将大部分现金余额存放在瑞士联邦金融管理局</w:t>
      </w:r>
      <w:r w:rsidR="00B6014B">
        <w:rPr>
          <w:sz w:val="21"/>
        </w:rPr>
        <w:t>（</w:t>
      </w:r>
      <w:r w:rsidRPr="007A5789">
        <w:rPr>
          <w:sz w:val="21"/>
        </w:rPr>
        <w:t>AFF</w:t>
      </w:r>
      <w:r w:rsidR="00B6014B">
        <w:rPr>
          <w:sz w:val="21"/>
        </w:rPr>
        <w:t>）</w:t>
      </w:r>
      <w:r w:rsidRPr="007A5789">
        <w:rPr>
          <w:sz w:val="21"/>
        </w:rPr>
        <w:t>，从2015年2月起，AFF对这些存款账户实行零利率。2015年仲裁与调解收入150</w:t>
      </w:r>
      <w:proofErr w:type="gramStart"/>
      <w:r w:rsidRPr="007A5789">
        <w:rPr>
          <w:sz w:val="21"/>
        </w:rPr>
        <w:t>万瑞</w:t>
      </w:r>
      <w:proofErr w:type="gramEnd"/>
      <w:r w:rsidRPr="007A5789">
        <w:rPr>
          <w:sz w:val="21"/>
        </w:rPr>
        <w:t>郎，出版物销售收入50</w:t>
      </w:r>
      <w:proofErr w:type="gramStart"/>
      <w:r w:rsidRPr="007A5789">
        <w:rPr>
          <w:sz w:val="21"/>
        </w:rPr>
        <w:t>万瑞</w:t>
      </w:r>
      <w:proofErr w:type="gramEnd"/>
      <w:r w:rsidRPr="007A5789">
        <w:rPr>
          <w:sz w:val="21"/>
        </w:rPr>
        <w:t>郎，其他/杂项收入310</w:t>
      </w:r>
      <w:proofErr w:type="gramStart"/>
      <w:r w:rsidRPr="007A5789">
        <w:rPr>
          <w:sz w:val="21"/>
        </w:rPr>
        <w:t>万瑞</w:t>
      </w:r>
      <w:proofErr w:type="gramEnd"/>
      <w:r w:rsidRPr="007A5789">
        <w:rPr>
          <w:sz w:val="21"/>
        </w:rPr>
        <w:t>郎，基本与前一年持平。</w:t>
      </w:r>
    </w:p>
    <w:p w:rsidR="00850BA0" w:rsidRPr="00FF47B9" w:rsidRDefault="00850BA0" w:rsidP="00FF47B9">
      <w:pPr>
        <w:keepNext/>
        <w:overflowPunct w:val="0"/>
        <w:spacing w:beforeLines="100" w:before="240" w:afterLines="50" w:after="120" w:line="340" w:lineRule="atLeast"/>
        <w:rPr>
          <w:rFonts w:ascii="KaiTi" w:eastAsia="KaiTi" w:hAnsi="KaiTi"/>
          <w:b/>
          <w:sz w:val="21"/>
        </w:rPr>
      </w:pPr>
      <w:r w:rsidRPr="00FF47B9">
        <w:rPr>
          <w:rFonts w:ascii="KaiTi" w:eastAsia="KaiTi" w:hAnsi="KaiTi"/>
          <w:b/>
          <w:sz w:val="21"/>
        </w:rPr>
        <w:t>支出分析</w:t>
      </w:r>
    </w:p>
    <w:p w:rsidR="00850BA0" w:rsidRPr="007A5789" w:rsidRDefault="00850BA0" w:rsidP="00850BA0">
      <w:pPr>
        <w:jc w:val="center"/>
        <w:rPr>
          <w:sz w:val="21"/>
          <w:szCs w:val="22"/>
          <w:u w:val="single"/>
        </w:rPr>
      </w:pPr>
      <w:r w:rsidRPr="007A5789">
        <w:rPr>
          <w:sz w:val="21"/>
          <w:u w:val="single"/>
        </w:rPr>
        <w:t>2015年IPSAS制的支出构成</w:t>
      </w:r>
    </w:p>
    <w:p w:rsidR="00850BA0" w:rsidRPr="006A1075" w:rsidRDefault="00B6014B" w:rsidP="006A1075">
      <w:pPr>
        <w:spacing w:afterLines="50" w:after="120" w:line="340" w:lineRule="atLeast"/>
        <w:jc w:val="center"/>
        <w:rPr>
          <w:rFonts w:ascii="KaiTi" w:eastAsia="KaiTi" w:hAnsi="KaiTi"/>
          <w:sz w:val="21"/>
        </w:rPr>
      </w:pPr>
      <w:r w:rsidRPr="006A1075">
        <w:rPr>
          <w:rFonts w:ascii="KaiTi" w:eastAsia="KaiTi" w:hAnsi="KaiTi"/>
          <w:sz w:val="21"/>
        </w:rPr>
        <w:t>（</w:t>
      </w:r>
      <w:r w:rsidR="00850BA0" w:rsidRPr="006A1075">
        <w:rPr>
          <w:rFonts w:ascii="KaiTi" w:eastAsia="KaiTi" w:hAnsi="KaiTi"/>
          <w:sz w:val="21"/>
        </w:rPr>
        <w:t>单位：百</w:t>
      </w:r>
      <w:proofErr w:type="gramStart"/>
      <w:r w:rsidR="00850BA0" w:rsidRPr="006A1075">
        <w:rPr>
          <w:rFonts w:ascii="KaiTi" w:eastAsia="KaiTi" w:hAnsi="KaiTi"/>
          <w:sz w:val="21"/>
        </w:rPr>
        <w:t>万瑞</w:t>
      </w:r>
      <w:proofErr w:type="gramEnd"/>
      <w:r w:rsidR="00850BA0" w:rsidRPr="006A1075">
        <w:rPr>
          <w:rFonts w:ascii="KaiTi" w:eastAsia="KaiTi" w:hAnsi="KaiTi"/>
          <w:sz w:val="21"/>
        </w:rPr>
        <w:t>郎</w:t>
      </w:r>
      <w:r w:rsidRPr="006A1075">
        <w:rPr>
          <w:rFonts w:ascii="KaiTi" w:eastAsia="KaiTi" w:hAnsi="KaiTi"/>
          <w:sz w:val="21"/>
        </w:rPr>
        <w:t>）</w:t>
      </w:r>
    </w:p>
    <w:p w:rsidR="00850BA0" w:rsidRPr="007A5789" w:rsidRDefault="004E71F1" w:rsidP="00B11B47">
      <w:pPr>
        <w:spacing w:afterLines="50" w:after="120" w:line="340" w:lineRule="atLeast"/>
        <w:jc w:val="center"/>
        <w:rPr>
          <w:sz w:val="21"/>
          <w:szCs w:val="22"/>
        </w:rPr>
      </w:pPr>
      <w:r>
        <w:rPr>
          <w:rFonts w:ascii="Times New Roman" w:hAnsi="Times New Roman"/>
          <w:noProof/>
          <w:lang w:val="en-US" w:bidi="ar-SA"/>
        </w:rPr>
        <mc:AlternateContent>
          <mc:Choice Requires="wps">
            <w:drawing>
              <wp:anchor distT="0" distB="0" distL="114300" distR="114300" simplePos="0" relativeHeight="251657728" behindDoc="0" locked="0" layoutInCell="1" allowOverlap="1" wp14:anchorId="258FB766" wp14:editId="157B82B3">
                <wp:simplePos x="0" y="0"/>
                <wp:positionH relativeFrom="column">
                  <wp:posOffset>4157345</wp:posOffset>
                </wp:positionH>
                <wp:positionV relativeFrom="paragraph">
                  <wp:posOffset>2442845</wp:posOffset>
                </wp:positionV>
                <wp:extent cx="1495425" cy="381000"/>
                <wp:effectExtent l="0" t="0" r="9525" b="0"/>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81000"/>
                        </a:xfrm>
                        <a:prstGeom prst="rect">
                          <a:avLst/>
                        </a:prstGeom>
                        <a:solidFill>
                          <a:srgbClr val="C0504D">
                            <a:lumMod val="50000"/>
                          </a:srgbClr>
                        </a:solidFill>
                        <a:ln w="9525">
                          <a:noFill/>
                          <a:miter lim="800000"/>
                          <a:headEnd/>
                          <a:tailEnd/>
                        </a:ln>
                      </wps:spPr>
                      <wps:txbx>
                        <w:txbxContent>
                          <w:p w:rsidR="00F75064" w:rsidRPr="00797442" w:rsidRDefault="00F75064" w:rsidP="00752F46">
                            <w:pPr>
                              <w:jc w:val="center"/>
                              <w:rPr>
                                <w:rFonts w:eastAsia="SimHei"/>
                                <w:color w:val="FFFFFF"/>
                                <w:sz w:val="18"/>
                                <w:szCs w:val="18"/>
                              </w:rPr>
                            </w:pPr>
                            <w:r w:rsidRPr="00797442">
                              <w:rPr>
                                <w:rFonts w:eastAsia="SimHei"/>
                                <w:color w:val="FFFFFF"/>
                                <w:sz w:val="18"/>
                              </w:rPr>
                              <w:t>2015</w:t>
                            </w:r>
                            <w:r w:rsidRPr="00797442">
                              <w:rPr>
                                <w:rFonts w:eastAsia="SimHei"/>
                                <w:color w:val="FFFFFF"/>
                                <w:sz w:val="18"/>
                              </w:rPr>
                              <w:t>年总支出：</w:t>
                            </w:r>
                          </w:p>
                          <w:p w:rsidR="00F75064" w:rsidRPr="00797442" w:rsidRDefault="00F75064" w:rsidP="00752F46">
                            <w:pPr>
                              <w:jc w:val="center"/>
                              <w:rPr>
                                <w:rFonts w:eastAsia="SimHei"/>
                                <w:color w:val="FFFFFF"/>
                                <w:sz w:val="18"/>
                                <w:szCs w:val="18"/>
                              </w:rPr>
                            </w:pPr>
                            <w:r w:rsidRPr="00797442">
                              <w:rPr>
                                <w:rFonts w:eastAsia="SimHei"/>
                                <w:color w:val="FFFFFF"/>
                                <w:sz w:val="18"/>
                              </w:rPr>
                              <w:t>3.486</w:t>
                            </w:r>
                            <w:r w:rsidRPr="00797442">
                              <w:rPr>
                                <w:rFonts w:eastAsia="SimHei"/>
                                <w:color w:val="FFFFFF"/>
                                <w:sz w:val="18"/>
                              </w:rPr>
                              <w:t>亿瑞郎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27.35pt;margin-top:192.35pt;width:117.7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" fillcolor="#632523" stroked="f">
                <v:textbox>
                  <w:txbxContent>
                    <w:p w:rsidR="00F75064" w:rsidRPr="00797442" w:rsidRDefault="00F75064" w:rsidP="00752F46">
                      <w:pPr>
                        <w:jc w:val="center"/>
                        <w:rPr>
                          <w:rFonts w:eastAsia="SimHei"/>
                          <w:color w:val="FFFFFF"/>
                          <w:sz w:val="18"/>
                          <w:szCs w:val="18"/>
                        </w:rPr>
                      </w:pPr>
                      <w:r w:rsidRPr="00797442">
                        <w:rPr>
                          <w:rFonts w:eastAsia="SimHei"/>
                          <w:color w:val="FFFFFF"/>
                          <w:sz w:val="18"/>
                        </w:rPr>
                        <w:t>2015</w:t>
                      </w:r>
                      <w:r w:rsidRPr="00797442">
                        <w:rPr>
                          <w:rFonts w:eastAsia="SimHei"/>
                          <w:color w:val="FFFFFF"/>
                          <w:sz w:val="18"/>
                        </w:rPr>
                        <w:t>年总支出：</w:t>
                      </w:r>
                    </w:p>
                    <w:p w:rsidR="00F75064" w:rsidRPr="00797442" w:rsidRDefault="00F75064" w:rsidP="00752F46">
                      <w:pPr>
                        <w:jc w:val="center"/>
                        <w:rPr>
                          <w:rFonts w:eastAsia="SimHei"/>
                          <w:color w:val="FFFFFF"/>
                          <w:sz w:val="18"/>
                          <w:szCs w:val="18"/>
                        </w:rPr>
                      </w:pPr>
                      <w:r w:rsidRPr="00797442">
                        <w:rPr>
                          <w:rFonts w:eastAsia="SimHei"/>
                          <w:color w:val="FFFFFF"/>
                          <w:sz w:val="18"/>
                        </w:rPr>
                        <w:t>3.486</w:t>
                      </w:r>
                      <w:r w:rsidRPr="00797442">
                        <w:rPr>
                          <w:rFonts w:eastAsia="SimHei"/>
                          <w:color w:val="FFFFFF"/>
                          <w:sz w:val="18"/>
                        </w:rPr>
                        <w:t>亿瑞郎</w:t>
                      </w:r>
                    </w:p>
                  </w:txbxContent>
                </v:textbox>
              </v:shape>
            </w:pict>
          </mc:Fallback>
        </mc:AlternateContent>
      </w:r>
      <w:r w:rsidR="00B11B47" w:rsidRPr="00B11B47">
        <w:rPr>
          <w:noProof/>
          <w:sz w:val="21"/>
          <w:lang w:val="en-US" w:bidi="ar-SA"/>
        </w:rPr>
        <w:drawing>
          <wp:inline distT="0" distB="0" distL="0" distR="0" wp14:anchorId="1523971D" wp14:editId="1168ECEF">
            <wp:extent cx="5764530" cy="3167380"/>
            <wp:effectExtent l="0" t="0" r="762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64530" cy="3167380"/>
                    </a:xfrm>
                    <a:prstGeom prst="rect">
                      <a:avLst/>
                    </a:prstGeom>
                    <a:noFill/>
                    <a:ln>
                      <a:noFill/>
                    </a:ln>
                  </pic:spPr>
                </pic:pic>
              </a:graphicData>
            </a:graphic>
          </wp:inline>
        </w:drawing>
      </w:r>
    </w:p>
    <w:p w:rsidR="000A3C01" w:rsidRPr="007A5789" w:rsidRDefault="000A3C01" w:rsidP="00B11B47">
      <w:pPr>
        <w:pStyle w:val="ONUME"/>
        <w:keepNext/>
        <w:tabs>
          <w:tab w:val="clear" w:pos="567"/>
        </w:tabs>
        <w:overflowPunct w:val="0"/>
        <w:spacing w:afterLines="50" w:after="120" w:line="340" w:lineRule="atLeast"/>
        <w:rPr>
          <w:sz w:val="21"/>
          <w:szCs w:val="22"/>
        </w:rPr>
      </w:pPr>
      <w:r w:rsidRPr="007A5789">
        <w:rPr>
          <w:sz w:val="21"/>
        </w:rPr>
        <w:lastRenderedPageBreak/>
        <w:t>本组织2015年的总支出为3.486亿瑞郎，比2014年3.332亿瑞郎的总支出增加了4.6%。本组织的最大支出是2.163亿瑞郎的人事费用，占总支出的62%。本组织第二大支出是花费7,210</w:t>
      </w:r>
      <w:proofErr w:type="gramStart"/>
      <w:r w:rsidRPr="007A5789">
        <w:rPr>
          <w:sz w:val="21"/>
        </w:rPr>
        <w:t>万瑞</w:t>
      </w:r>
      <w:proofErr w:type="gramEnd"/>
      <w:r w:rsidRPr="007A5789">
        <w:rPr>
          <w:sz w:val="21"/>
        </w:rPr>
        <w:t>郎的订约承办事务，其次是2,120</w:t>
      </w:r>
      <w:proofErr w:type="gramStart"/>
      <w:r w:rsidRPr="007A5789">
        <w:rPr>
          <w:sz w:val="21"/>
        </w:rPr>
        <w:t>万瑞</w:t>
      </w:r>
      <w:proofErr w:type="gramEnd"/>
      <w:r w:rsidRPr="007A5789">
        <w:rPr>
          <w:sz w:val="21"/>
        </w:rPr>
        <w:t>郎的业务费用。下表为与上一年度相比支出类型变化摘要：</w:t>
      </w:r>
    </w:p>
    <w:p w:rsidR="000A3C01" w:rsidRPr="007A5789" w:rsidRDefault="00CB63CE" w:rsidP="0059182F">
      <w:pPr>
        <w:pStyle w:val="ONUME"/>
        <w:keepNext/>
        <w:keepLines/>
        <w:numPr>
          <w:ilvl w:val="0"/>
          <w:numId w:val="0"/>
        </w:numPr>
        <w:jc w:val="center"/>
        <w:rPr>
          <w:sz w:val="21"/>
          <w:u w:val="single"/>
        </w:rPr>
      </w:pPr>
      <w:r w:rsidRPr="007A5789">
        <w:rPr>
          <w:sz w:val="21"/>
          <w:u w:val="single"/>
        </w:rPr>
        <w:t>2014年和2015年相比的支出变化</w:t>
      </w:r>
    </w:p>
    <w:p w:rsidR="007A5789" w:rsidRDefault="00B11B47" w:rsidP="009A4369">
      <w:pPr>
        <w:spacing w:afterLines="50" w:after="120" w:line="340" w:lineRule="atLeast"/>
        <w:jc w:val="center"/>
        <w:rPr>
          <w:sz w:val="21"/>
          <w:szCs w:val="22"/>
        </w:rPr>
      </w:pPr>
      <w:r w:rsidRPr="00B11B47">
        <w:rPr>
          <w:noProof/>
          <w:sz w:val="21"/>
          <w:lang w:val="en-US" w:bidi="ar-SA"/>
        </w:rPr>
        <w:drawing>
          <wp:inline distT="0" distB="0" distL="0" distR="0" wp14:anchorId="48AEE9F9" wp14:editId="7952BF8F">
            <wp:extent cx="5940425" cy="2209865"/>
            <wp:effectExtent l="0" t="0" r="317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0425" cy="2209865"/>
                    </a:xfrm>
                    <a:prstGeom prst="rect">
                      <a:avLst/>
                    </a:prstGeom>
                    <a:noFill/>
                    <a:ln>
                      <a:noFill/>
                    </a:ln>
                  </pic:spPr>
                </pic:pic>
              </a:graphicData>
            </a:graphic>
          </wp:inline>
        </w:drawing>
      </w:r>
    </w:p>
    <w:p w:rsidR="007A5789" w:rsidRDefault="000A3C01" w:rsidP="00B6014B">
      <w:pPr>
        <w:pStyle w:val="ONUME"/>
        <w:tabs>
          <w:tab w:val="clear" w:pos="567"/>
        </w:tabs>
        <w:overflowPunct w:val="0"/>
        <w:spacing w:afterLines="50" w:after="120" w:line="340" w:lineRule="atLeast"/>
        <w:rPr>
          <w:sz w:val="21"/>
          <w:szCs w:val="22"/>
        </w:rPr>
      </w:pPr>
      <w:r w:rsidRPr="007A5789">
        <w:rPr>
          <w:sz w:val="21"/>
        </w:rPr>
        <w:t>人事支出主要包括基薪净额和</w:t>
      </w:r>
      <w:r w:rsidR="00B11B47">
        <w:rPr>
          <w:rFonts w:hint="eastAsia"/>
          <w:sz w:val="21"/>
        </w:rPr>
        <w:t>员额</w:t>
      </w:r>
      <w:r w:rsidRPr="007A5789">
        <w:rPr>
          <w:sz w:val="21"/>
        </w:rPr>
        <w:t>或临时职位员工的点差价调整。这些组合在一起为1.443亿瑞郎，占2015年人事总支出的66.7%。人事支出的下一个重要要素是本组织对联合国合办工作人员养恤基金</w:t>
      </w:r>
      <w:r w:rsidR="00B6014B">
        <w:rPr>
          <w:sz w:val="21"/>
        </w:rPr>
        <w:t>（</w:t>
      </w:r>
      <w:r w:rsidRPr="007A5789">
        <w:rPr>
          <w:sz w:val="21"/>
        </w:rPr>
        <w:t>UNJSPF</w:t>
      </w:r>
      <w:r w:rsidR="00B6014B">
        <w:rPr>
          <w:sz w:val="21"/>
        </w:rPr>
        <w:t>）</w:t>
      </w:r>
      <w:r w:rsidRPr="007A5789">
        <w:rPr>
          <w:sz w:val="21"/>
        </w:rPr>
        <w:t>缴纳的退休计划缴费，2015年此项总额为2,670</w:t>
      </w:r>
      <w:proofErr w:type="gramStart"/>
      <w:r w:rsidRPr="007A5789">
        <w:rPr>
          <w:sz w:val="21"/>
        </w:rPr>
        <w:t>万瑞</w:t>
      </w:r>
      <w:proofErr w:type="gramEnd"/>
      <w:r w:rsidRPr="007A5789">
        <w:rPr>
          <w:sz w:val="21"/>
        </w:rPr>
        <w:t>郎。目前，WIPO向UNJSPF应缴款占工作人员</w:t>
      </w:r>
      <w:proofErr w:type="gramStart"/>
      <w:r w:rsidRPr="007A5789">
        <w:rPr>
          <w:sz w:val="21"/>
        </w:rPr>
        <w:t>应计养恤金</w:t>
      </w:r>
      <w:proofErr w:type="gramEnd"/>
      <w:r w:rsidRPr="007A5789">
        <w:rPr>
          <w:sz w:val="21"/>
        </w:rPr>
        <w:t>薪酬15.8%。1,660</w:t>
      </w:r>
      <w:proofErr w:type="gramStart"/>
      <w:r w:rsidRPr="007A5789">
        <w:rPr>
          <w:sz w:val="21"/>
        </w:rPr>
        <w:t>万瑞郎备抵</w:t>
      </w:r>
      <w:proofErr w:type="gramEnd"/>
      <w:r w:rsidRPr="007A5789">
        <w:rPr>
          <w:sz w:val="21"/>
        </w:rPr>
        <w:t>金占工作人员总支出的7.7%。</w:t>
      </w:r>
      <w:proofErr w:type="gramStart"/>
      <w:r w:rsidRPr="007A5789">
        <w:rPr>
          <w:sz w:val="21"/>
        </w:rPr>
        <w:t>备抵金</w:t>
      </w:r>
      <w:proofErr w:type="gramEnd"/>
      <w:r w:rsidRPr="007A5789">
        <w:rPr>
          <w:sz w:val="21"/>
        </w:rPr>
        <w:t>主要包括550</w:t>
      </w:r>
      <w:proofErr w:type="gramStart"/>
      <w:r w:rsidRPr="007A5789">
        <w:rPr>
          <w:sz w:val="21"/>
        </w:rPr>
        <w:t>万瑞郎教育</w:t>
      </w:r>
      <w:proofErr w:type="gramEnd"/>
      <w:r w:rsidRPr="007A5789">
        <w:rPr>
          <w:sz w:val="21"/>
        </w:rPr>
        <w:t>补助金、490</w:t>
      </w:r>
      <w:proofErr w:type="gramStart"/>
      <w:r w:rsidRPr="007A5789">
        <w:rPr>
          <w:sz w:val="21"/>
        </w:rPr>
        <w:t>万瑞</w:t>
      </w:r>
      <w:proofErr w:type="gramEnd"/>
      <w:r w:rsidRPr="007A5789">
        <w:rPr>
          <w:sz w:val="21"/>
        </w:rPr>
        <w:t>郎抚养津贴和240</w:t>
      </w:r>
      <w:proofErr w:type="gramStart"/>
      <w:r w:rsidRPr="007A5789">
        <w:rPr>
          <w:sz w:val="21"/>
        </w:rPr>
        <w:t>万瑞</w:t>
      </w:r>
      <w:proofErr w:type="gramEnd"/>
      <w:r w:rsidRPr="007A5789">
        <w:rPr>
          <w:sz w:val="21"/>
        </w:rPr>
        <w:t>郎回籍假。2015年，本组织为在职工作人员缴纳</w:t>
      </w:r>
      <w:proofErr w:type="gramStart"/>
      <w:r w:rsidRPr="007A5789">
        <w:rPr>
          <w:sz w:val="21"/>
        </w:rPr>
        <w:t>月统一</w:t>
      </w:r>
      <w:proofErr w:type="gramEnd"/>
      <w:r w:rsidRPr="007A5789">
        <w:rPr>
          <w:sz w:val="21"/>
        </w:rPr>
        <w:t>医疗保险费支出总计950</w:t>
      </w:r>
      <w:proofErr w:type="gramStart"/>
      <w:r w:rsidRPr="007A5789">
        <w:rPr>
          <w:sz w:val="21"/>
        </w:rPr>
        <w:t>万瑞</w:t>
      </w:r>
      <w:proofErr w:type="gramEnd"/>
      <w:r w:rsidRPr="007A5789">
        <w:rPr>
          <w:sz w:val="21"/>
        </w:rPr>
        <w:t>郎。其他人事支出为380</w:t>
      </w:r>
      <w:proofErr w:type="gramStart"/>
      <w:r w:rsidRPr="007A5789">
        <w:rPr>
          <w:sz w:val="21"/>
        </w:rPr>
        <w:t>万瑞</w:t>
      </w:r>
      <w:proofErr w:type="gramEnd"/>
      <w:r w:rsidRPr="007A5789">
        <w:rPr>
          <w:sz w:val="21"/>
        </w:rPr>
        <w:t>郎，主要包括终止合同。</w:t>
      </w:r>
    </w:p>
    <w:p w:rsidR="008B0F01" w:rsidRPr="007A5789" w:rsidRDefault="008B0F01" w:rsidP="006A1075">
      <w:pPr>
        <w:jc w:val="center"/>
        <w:rPr>
          <w:sz w:val="21"/>
          <w:u w:val="single"/>
        </w:rPr>
      </w:pPr>
      <w:r w:rsidRPr="007A5789">
        <w:rPr>
          <w:sz w:val="21"/>
          <w:u w:val="single"/>
        </w:rPr>
        <w:t>2015年IPSAS制的人事支出构成</w:t>
      </w:r>
    </w:p>
    <w:p w:rsidR="00D67AB1" w:rsidRPr="006A1075" w:rsidRDefault="00B6014B" w:rsidP="006A1075">
      <w:pPr>
        <w:spacing w:afterLines="50" w:after="120" w:line="340" w:lineRule="atLeast"/>
        <w:jc w:val="center"/>
        <w:rPr>
          <w:rFonts w:ascii="KaiTi" w:eastAsia="KaiTi" w:hAnsi="KaiTi"/>
          <w:sz w:val="21"/>
        </w:rPr>
      </w:pPr>
      <w:r w:rsidRPr="006A1075">
        <w:rPr>
          <w:rFonts w:ascii="KaiTi" w:eastAsia="KaiTi" w:hAnsi="KaiTi"/>
          <w:sz w:val="21"/>
        </w:rPr>
        <w:t>（</w:t>
      </w:r>
      <w:r w:rsidR="008B0F01" w:rsidRPr="006A1075">
        <w:rPr>
          <w:rFonts w:ascii="KaiTi" w:eastAsia="KaiTi" w:hAnsi="KaiTi"/>
          <w:sz w:val="21"/>
        </w:rPr>
        <w:t>单位：百</w:t>
      </w:r>
      <w:proofErr w:type="gramStart"/>
      <w:r w:rsidR="008B0F01" w:rsidRPr="006A1075">
        <w:rPr>
          <w:rFonts w:ascii="KaiTi" w:eastAsia="KaiTi" w:hAnsi="KaiTi"/>
          <w:sz w:val="21"/>
        </w:rPr>
        <w:t>万瑞</w:t>
      </w:r>
      <w:proofErr w:type="gramEnd"/>
      <w:r w:rsidR="008B0F01" w:rsidRPr="006A1075">
        <w:rPr>
          <w:rFonts w:ascii="KaiTi" w:eastAsia="KaiTi" w:hAnsi="KaiTi"/>
          <w:sz w:val="21"/>
        </w:rPr>
        <w:t>郎</w:t>
      </w:r>
      <w:r w:rsidRPr="006A1075">
        <w:rPr>
          <w:rFonts w:ascii="KaiTi" w:eastAsia="KaiTi" w:hAnsi="KaiTi"/>
          <w:sz w:val="21"/>
        </w:rPr>
        <w:t>）</w:t>
      </w:r>
    </w:p>
    <w:p w:rsidR="000A3C01" w:rsidRPr="007A5789" w:rsidRDefault="004E71F1" w:rsidP="006627BD">
      <w:pPr>
        <w:spacing w:afterLines="50" w:after="120" w:line="340" w:lineRule="atLeast"/>
        <w:jc w:val="center"/>
        <w:rPr>
          <w:sz w:val="21"/>
          <w:szCs w:val="22"/>
        </w:rPr>
      </w:pPr>
      <w:r>
        <w:rPr>
          <w:rFonts w:ascii="Times New Roman" w:hAnsi="Times New Roman"/>
          <w:noProof/>
          <w:lang w:val="en-US" w:bidi="ar-SA"/>
        </w:rPr>
        <mc:AlternateContent>
          <mc:Choice Requires="wps">
            <w:drawing>
              <wp:anchor distT="0" distB="0" distL="114300" distR="114300" simplePos="0" relativeHeight="251658752" behindDoc="0" locked="0" layoutInCell="1" allowOverlap="1" wp14:anchorId="56666EF8" wp14:editId="32BC0B8B">
                <wp:simplePos x="0" y="0"/>
                <wp:positionH relativeFrom="column">
                  <wp:posOffset>3846499</wp:posOffset>
                </wp:positionH>
                <wp:positionV relativeFrom="paragraph">
                  <wp:posOffset>2615178</wp:posOffset>
                </wp:positionV>
                <wp:extent cx="2038350" cy="437322"/>
                <wp:effectExtent l="0" t="0" r="0" b="1270"/>
                <wp:wrapNone/>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37322"/>
                        </a:xfrm>
                        <a:prstGeom prst="rect">
                          <a:avLst/>
                        </a:prstGeom>
                        <a:solidFill>
                          <a:srgbClr val="8064A2">
                            <a:lumMod val="50000"/>
                          </a:srgbClr>
                        </a:solidFill>
                        <a:ln w="9525">
                          <a:noFill/>
                          <a:miter lim="800000"/>
                          <a:headEnd/>
                          <a:tailEnd/>
                        </a:ln>
                      </wps:spPr>
                      <wps:txbx>
                        <w:txbxContent>
                          <w:p w:rsidR="00F75064" w:rsidRDefault="00F75064" w:rsidP="008B0F01">
                            <w:pPr>
                              <w:jc w:val="center"/>
                              <w:rPr>
                                <w:rFonts w:eastAsia="SimHei"/>
                                <w:color w:val="FFFFFF"/>
                                <w:sz w:val="18"/>
                              </w:rPr>
                            </w:pPr>
                            <w:r w:rsidRPr="00797442">
                              <w:rPr>
                                <w:rFonts w:eastAsia="SimHei"/>
                                <w:color w:val="FFFFFF"/>
                                <w:sz w:val="18"/>
                              </w:rPr>
                              <w:t>2015</w:t>
                            </w:r>
                            <w:r w:rsidRPr="00797442">
                              <w:rPr>
                                <w:rFonts w:eastAsia="SimHei"/>
                                <w:color w:val="FFFFFF"/>
                                <w:sz w:val="18"/>
                              </w:rPr>
                              <w:t>年人事支出总额：</w:t>
                            </w:r>
                          </w:p>
                          <w:p w:rsidR="00F75064" w:rsidRPr="00797442" w:rsidRDefault="00F75064" w:rsidP="008B0F01">
                            <w:pPr>
                              <w:jc w:val="center"/>
                              <w:rPr>
                                <w:rFonts w:eastAsia="SimHei"/>
                                <w:color w:val="FFFFFF"/>
                                <w:sz w:val="18"/>
                                <w:szCs w:val="18"/>
                              </w:rPr>
                            </w:pPr>
                            <w:r w:rsidRPr="00797442">
                              <w:rPr>
                                <w:rFonts w:eastAsia="SimHei"/>
                                <w:color w:val="FFFFFF"/>
                                <w:sz w:val="18"/>
                              </w:rPr>
                              <w:t>2.163</w:t>
                            </w:r>
                            <w:r w:rsidRPr="00797442">
                              <w:rPr>
                                <w:rFonts w:eastAsia="SimHei"/>
                                <w:color w:val="FFFFFF"/>
                                <w:sz w:val="18"/>
                              </w:rPr>
                              <w:t>亿瑞郎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02.85pt;margin-top:205.9pt;width:160.5pt;height:3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" fillcolor="#403152" stroked="f">
                <v:textbox>
                  <w:txbxContent>
                    <w:p w:rsidR="00F75064" w:rsidRDefault="00F75064" w:rsidP="008B0F01">
                      <w:pPr>
                        <w:jc w:val="center"/>
                        <w:rPr>
                          <w:rFonts w:eastAsia="SimHei"/>
                          <w:color w:val="FFFFFF"/>
                          <w:sz w:val="18"/>
                        </w:rPr>
                      </w:pPr>
                      <w:r w:rsidRPr="00797442">
                        <w:rPr>
                          <w:rFonts w:eastAsia="SimHei"/>
                          <w:color w:val="FFFFFF"/>
                          <w:sz w:val="18"/>
                        </w:rPr>
                        <w:t>2015</w:t>
                      </w:r>
                      <w:r w:rsidRPr="00797442">
                        <w:rPr>
                          <w:rFonts w:eastAsia="SimHei"/>
                          <w:color w:val="FFFFFF"/>
                          <w:sz w:val="18"/>
                        </w:rPr>
                        <w:t>年人事支出总额：</w:t>
                      </w:r>
                    </w:p>
                    <w:p w:rsidR="00F75064" w:rsidRPr="00797442" w:rsidRDefault="00F75064" w:rsidP="008B0F01">
                      <w:pPr>
                        <w:jc w:val="center"/>
                        <w:rPr>
                          <w:rFonts w:eastAsia="SimHei"/>
                          <w:color w:val="FFFFFF"/>
                          <w:sz w:val="18"/>
                          <w:szCs w:val="18"/>
                        </w:rPr>
                      </w:pPr>
                      <w:r w:rsidRPr="00797442">
                        <w:rPr>
                          <w:rFonts w:eastAsia="SimHei"/>
                          <w:color w:val="FFFFFF"/>
                          <w:sz w:val="18"/>
                        </w:rPr>
                        <w:t>2.163</w:t>
                      </w:r>
                      <w:r w:rsidRPr="00797442">
                        <w:rPr>
                          <w:rFonts w:eastAsia="SimHei"/>
                          <w:color w:val="FFFFFF"/>
                          <w:sz w:val="18"/>
                        </w:rPr>
                        <w:t>亿瑞郎</w:t>
                      </w:r>
                    </w:p>
                  </w:txbxContent>
                </v:textbox>
              </v:shape>
            </w:pict>
          </mc:Fallback>
        </mc:AlternateContent>
      </w:r>
      <w:r w:rsidR="006627BD" w:rsidRPr="00EF7E79">
        <w:rPr>
          <w:noProof/>
          <w:sz w:val="21"/>
          <w:lang w:val="en-US" w:bidi="ar-SA"/>
        </w:rPr>
        <w:drawing>
          <wp:inline distT="0" distB="0" distL="0" distR="0" wp14:anchorId="3BFBD331" wp14:editId="46E1DFAF">
            <wp:extent cx="4683125" cy="3164840"/>
            <wp:effectExtent l="0" t="0" r="3175" b="0"/>
            <wp:docPr id="295" name="图片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683125" cy="3164840"/>
                    </a:xfrm>
                    <a:prstGeom prst="rect">
                      <a:avLst/>
                    </a:prstGeom>
                    <a:noFill/>
                    <a:ln>
                      <a:noFill/>
                    </a:ln>
                  </pic:spPr>
                </pic:pic>
              </a:graphicData>
            </a:graphic>
          </wp:inline>
        </w:drawing>
      </w:r>
    </w:p>
    <w:p w:rsidR="007A5789" w:rsidRDefault="00D67AB1" w:rsidP="00B6014B">
      <w:pPr>
        <w:pStyle w:val="ONUME"/>
        <w:tabs>
          <w:tab w:val="clear" w:pos="567"/>
        </w:tabs>
        <w:overflowPunct w:val="0"/>
        <w:spacing w:afterLines="50" w:after="120" w:line="340" w:lineRule="atLeast"/>
        <w:rPr>
          <w:sz w:val="21"/>
          <w:szCs w:val="22"/>
        </w:rPr>
      </w:pPr>
      <w:r w:rsidRPr="007A5789">
        <w:rPr>
          <w:sz w:val="21"/>
        </w:rPr>
        <w:t>离职后雇员福利是本组织缴纳离职后健康保险</w:t>
      </w:r>
      <w:r w:rsidR="00B6014B">
        <w:rPr>
          <w:sz w:val="21"/>
        </w:rPr>
        <w:t>（</w:t>
      </w:r>
      <w:r w:rsidRPr="007A5789">
        <w:rPr>
          <w:sz w:val="21"/>
        </w:rPr>
        <w:t>ASHI</w:t>
      </w:r>
      <w:r w:rsidR="00B6014B">
        <w:rPr>
          <w:sz w:val="21"/>
        </w:rPr>
        <w:t>）</w:t>
      </w:r>
      <w:r w:rsidRPr="007A5789">
        <w:rPr>
          <w:sz w:val="21"/>
        </w:rPr>
        <w:t>、回国补助金和差旅费以及累计年假的费用</w:t>
      </w:r>
      <w:r w:rsidR="00DF7115">
        <w:rPr>
          <w:sz w:val="21"/>
        </w:rPr>
        <w:t>，</w:t>
      </w:r>
      <w:r w:rsidRPr="007A5789">
        <w:rPr>
          <w:sz w:val="21"/>
        </w:rPr>
        <w:t>为1,540</w:t>
      </w:r>
      <w:proofErr w:type="gramStart"/>
      <w:r w:rsidRPr="007A5789">
        <w:rPr>
          <w:sz w:val="21"/>
        </w:rPr>
        <w:t>万瑞</w:t>
      </w:r>
      <w:proofErr w:type="gramEnd"/>
      <w:r w:rsidRPr="007A5789">
        <w:rPr>
          <w:sz w:val="21"/>
        </w:rPr>
        <w:t>郎。2015年支出等于这些福利的实际现金支出，加上当年总负债金额的变动。</w:t>
      </w:r>
    </w:p>
    <w:p w:rsidR="007A5789" w:rsidRDefault="00401FA9" w:rsidP="006627BD">
      <w:pPr>
        <w:pStyle w:val="ONUME"/>
        <w:keepNext/>
        <w:tabs>
          <w:tab w:val="clear" w:pos="567"/>
        </w:tabs>
        <w:overflowPunct w:val="0"/>
        <w:spacing w:afterLines="50" w:after="120" w:line="340" w:lineRule="atLeast"/>
        <w:rPr>
          <w:sz w:val="21"/>
          <w:szCs w:val="22"/>
        </w:rPr>
      </w:pPr>
      <w:r w:rsidRPr="007A5789">
        <w:rPr>
          <w:sz w:val="21"/>
        </w:rPr>
        <w:lastRenderedPageBreak/>
        <w:t>2015年总人事支出为2.163亿瑞郎，与2014年2.164亿</w:t>
      </w:r>
      <w:proofErr w:type="gramStart"/>
      <w:r w:rsidR="002120E2" w:rsidRPr="007A5789">
        <w:rPr>
          <w:sz w:val="21"/>
        </w:rPr>
        <w:t>瑞郎</w:t>
      </w:r>
      <w:r w:rsidRPr="007A5789">
        <w:rPr>
          <w:sz w:val="21"/>
        </w:rPr>
        <w:t>总人事</w:t>
      </w:r>
      <w:proofErr w:type="gramEnd"/>
      <w:r w:rsidRPr="007A5789">
        <w:rPr>
          <w:sz w:val="21"/>
        </w:rPr>
        <w:t>支出相比保持稳定。下表显示了与2014年相比人事支出及变化的详情：</w:t>
      </w:r>
    </w:p>
    <w:p w:rsidR="007A5789" w:rsidRPr="006A1075" w:rsidRDefault="00401FA9" w:rsidP="006A1075">
      <w:pPr>
        <w:pStyle w:val="ONUME"/>
        <w:keepNext/>
        <w:numPr>
          <w:ilvl w:val="0"/>
          <w:numId w:val="0"/>
        </w:numPr>
        <w:overflowPunct w:val="0"/>
        <w:spacing w:afterLines="50" w:after="120" w:line="340" w:lineRule="atLeast"/>
        <w:jc w:val="center"/>
        <w:rPr>
          <w:sz w:val="21"/>
          <w:u w:val="single"/>
        </w:rPr>
      </w:pPr>
      <w:r w:rsidRPr="007A5789">
        <w:rPr>
          <w:sz w:val="21"/>
          <w:u w:val="single"/>
        </w:rPr>
        <w:t>2014年和2015年人事支出详情</w:t>
      </w:r>
    </w:p>
    <w:p w:rsidR="0059182F" w:rsidRPr="007A5789" w:rsidRDefault="006627BD" w:rsidP="006627BD">
      <w:pPr>
        <w:overflowPunct w:val="0"/>
        <w:spacing w:afterLines="50" w:after="120" w:line="340" w:lineRule="atLeast"/>
        <w:jc w:val="center"/>
        <w:rPr>
          <w:sz w:val="21"/>
          <w:szCs w:val="22"/>
        </w:rPr>
      </w:pPr>
      <w:r w:rsidRPr="00EF7E79">
        <w:rPr>
          <w:noProof/>
          <w:sz w:val="21"/>
          <w:lang w:val="en-US" w:bidi="ar-SA"/>
        </w:rPr>
        <w:drawing>
          <wp:inline distT="0" distB="0" distL="0" distR="0" wp14:anchorId="0E4F9B5D" wp14:editId="1F0809DE">
            <wp:extent cx="5940425" cy="3482824"/>
            <wp:effectExtent l="0" t="0" r="3175" b="3810"/>
            <wp:docPr id="296" name="图片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0425" cy="3482824"/>
                    </a:xfrm>
                    <a:prstGeom prst="rect">
                      <a:avLst/>
                    </a:prstGeom>
                    <a:noFill/>
                    <a:ln>
                      <a:noFill/>
                    </a:ln>
                  </pic:spPr>
                </pic:pic>
              </a:graphicData>
            </a:graphic>
          </wp:inline>
        </w:drawing>
      </w:r>
    </w:p>
    <w:p w:rsidR="007A5789" w:rsidRDefault="00FE146B" w:rsidP="00B6014B">
      <w:pPr>
        <w:pStyle w:val="ONUME"/>
        <w:tabs>
          <w:tab w:val="clear" w:pos="567"/>
        </w:tabs>
        <w:overflowPunct w:val="0"/>
        <w:spacing w:afterLines="50" w:after="120" w:line="340" w:lineRule="atLeast"/>
        <w:rPr>
          <w:sz w:val="21"/>
          <w:szCs w:val="22"/>
        </w:rPr>
      </w:pPr>
      <w:r w:rsidRPr="007A5789">
        <w:rPr>
          <w:sz w:val="21"/>
        </w:rPr>
        <w:t>虽然与2014年相比</w:t>
      </w:r>
      <w:r w:rsidR="005F4987" w:rsidRPr="007A5789">
        <w:rPr>
          <w:rFonts w:hint="eastAsia"/>
          <w:sz w:val="21"/>
        </w:rPr>
        <w:t>，</w:t>
      </w:r>
      <w:r w:rsidR="00134184">
        <w:rPr>
          <w:rFonts w:hint="eastAsia"/>
          <w:sz w:val="21"/>
        </w:rPr>
        <w:t>员额工作人员</w:t>
      </w:r>
      <w:r w:rsidRPr="007A5789">
        <w:rPr>
          <w:sz w:val="21"/>
        </w:rPr>
        <w:t>支出上涨了330</w:t>
      </w:r>
      <w:proofErr w:type="gramStart"/>
      <w:r w:rsidRPr="007A5789">
        <w:rPr>
          <w:sz w:val="21"/>
        </w:rPr>
        <w:t>万瑞</w:t>
      </w:r>
      <w:proofErr w:type="gramEnd"/>
      <w:r w:rsidRPr="007A5789">
        <w:rPr>
          <w:sz w:val="21"/>
        </w:rPr>
        <w:t>郎</w:t>
      </w:r>
      <w:r w:rsidR="00497AA0" w:rsidRPr="007A5789">
        <w:rPr>
          <w:rFonts w:hint="eastAsia"/>
          <w:sz w:val="21"/>
        </w:rPr>
        <w:t>，</w:t>
      </w:r>
      <w:r w:rsidRPr="007A5789">
        <w:rPr>
          <w:sz w:val="21"/>
        </w:rPr>
        <w:t>但是临时职位员工支出下降了370</w:t>
      </w:r>
      <w:proofErr w:type="gramStart"/>
      <w:r w:rsidRPr="007A5789">
        <w:rPr>
          <w:sz w:val="21"/>
        </w:rPr>
        <w:t>万瑞</w:t>
      </w:r>
      <w:proofErr w:type="gramEnd"/>
      <w:r w:rsidRPr="007A5789">
        <w:rPr>
          <w:sz w:val="21"/>
        </w:rPr>
        <w:t>郎。主要原因是长期临时职位雇员</w:t>
      </w:r>
      <w:r w:rsidR="00134184">
        <w:rPr>
          <w:rFonts w:hint="eastAsia"/>
          <w:sz w:val="21"/>
        </w:rPr>
        <w:t>的转正，</w:t>
      </w:r>
      <w:r w:rsidRPr="007A5789">
        <w:rPr>
          <w:sz w:val="21"/>
        </w:rPr>
        <w:t>将其从临时雇员调整为</w:t>
      </w:r>
      <w:r w:rsidR="00134184">
        <w:rPr>
          <w:rFonts w:hint="eastAsia"/>
          <w:sz w:val="21"/>
        </w:rPr>
        <w:t>员额</w:t>
      </w:r>
      <w:r w:rsidRPr="007A5789">
        <w:rPr>
          <w:sz w:val="21"/>
        </w:rPr>
        <w:t>。离职后雇员福利成本与2014年相比也增加了170</w:t>
      </w:r>
      <w:proofErr w:type="gramStart"/>
      <w:r w:rsidRPr="007A5789">
        <w:rPr>
          <w:sz w:val="21"/>
        </w:rPr>
        <w:t>万瑞</w:t>
      </w:r>
      <w:proofErr w:type="gramEnd"/>
      <w:r w:rsidRPr="007A5789">
        <w:rPr>
          <w:sz w:val="21"/>
        </w:rPr>
        <w:t>郎，这主要反映出2015年回国补助金和差旅费较2014年增加。上表中单独列报的其他人事费用为</w:t>
      </w:r>
      <w:r w:rsidR="00134184">
        <w:rPr>
          <w:rFonts w:hint="eastAsia"/>
          <w:sz w:val="21"/>
        </w:rPr>
        <w:t>员额</w:t>
      </w:r>
      <w:r w:rsidRPr="007A5789">
        <w:rPr>
          <w:sz w:val="21"/>
        </w:rPr>
        <w:t>和临时职位雇员共有的费用</w:t>
      </w:r>
      <w:r w:rsidR="00B6014B">
        <w:rPr>
          <w:sz w:val="21"/>
        </w:rPr>
        <w:t>（</w:t>
      </w:r>
      <w:r w:rsidRPr="007A5789">
        <w:rPr>
          <w:sz w:val="21"/>
        </w:rPr>
        <w:t>专业的意外险、关闭的养恤基金和诉讼费用</w:t>
      </w:r>
      <w:r w:rsidR="00B6014B">
        <w:rPr>
          <w:sz w:val="21"/>
        </w:rPr>
        <w:t>）</w:t>
      </w:r>
      <w:r w:rsidRPr="007A5789">
        <w:rPr>
          <w:sz w:val="21"/>
        </w:rPr>
        <w:t>。</w:t>
      </w:r>
    </w:p>
    <w:p w:rsidR="007A5789" w:rsidRDefault="004D73F4" w:rsidP="00B6014B">
      <w:pPr>
        <w:pStyle w:val="ONUME"/>
        <w:tabs>
          <w:tab w:val="clear" w:pos="567"/>
        </w:tabs>
        <w:overflowPunct w:val="0"/>
        <w:spacing w:afterLines="50" w:after="120" w:line="340" w:lineRule="atLeast"/>
        <w:rPr>
          <w:sz w:val="21"/>
          <w:szCs w:val="22"/>
        </w:rPr>
      </w:pPr>
      <w:r w:rsidRPr="007A5789">
        <w:rPr>
          <w:sz w:val="21"/>
        </w:rPr>
        <w:t>实习生及WIPO研究金的成本在财务报表中单独列出。由于不受《WIPO工作人员条例</w:t>
      </w:r>
      <w:r w:rsidR="00134184">
        <w:rPr>
          <w:rFonts w:hint="eastAsia"/>
          <w:sz w:val="21"/>
        </w:rPr>
        <w:t>与细则</w:t>
      </w:r>
      <w:r w:rsidRPr="007A5789">
        <w:rPr>
          <w:sz w:val="21"/>
        </w:rPr>
        <w:t>》的约束，实习生及WIPO研究金不属于人事支出。WIPO研究金旨在为个人提供强化知识和专业技能的经历。实习生及WIPO研究金收入从2014年的260</w:t>
      </w:r>
      <w:proofErr w:type="gramStart"/>
      <w:r w:rsidRPr="007A5789">
        <w:rPr>
          <w:sz w:val="21"/>
        </w:rPr>
        <w:t>万瑞</w:t>
      </w:r>
      <w:proofErr w:type="gramEnd"/>
      <w:r w:rsidRPr="007A5789">
        <w:rPr>
          <w:sz w:val="21"/>
        </w:rPr>
        <w:t>郎增加至2015年的310</w:t>
      </w:r>
      <w:proofErr w:type="gramStart"/>
      <w:r w:rsidRPr="007A5789">
        <w:rPr>
          <w:sz w:val="21"/>
        </w:rPr>
        <w:t>万瑞</w:t>
      </w:r>
      <w:proofErr w:type="gramEnd"/>
      <w:r w:rsidRPr="007A5789">
        <w:rPr>
          <w:sz w:val="21"/>
        </w:rPr>
        <w:t>郎。增长完全与WIPO研究金有关，这是因为本组织增加了与各国知识产权局的交换项目的预算以及仲裁与</w:t>
      </w:r>
      <w:r w:rsidR="00134184">
        <w:rPr>
          <w:rFonts w:hint="eastAsia"/>
          <w:sz w:val="21"/>
        </w:rPr>
        <w:t>调解</w:t>
      </w:r>
      <w:r w:rsidRPr="007A5789">
        <w:rPr>
          <w:sz w:val="21"/>
        </w:rPr>
        <w:t>中心的研究金计划。</w:t>
      </w:r>
    </w:p>
    <w:p w:rsidR="007A5789" w:rsidRDefault="00137778" w:rsidP="00B6014B">
      <w:pPr>
        <w:pStyle w:val="ONUME"/>
        <w:tabs>
          <w:tab w:val="clear" w:pos="567"/>
        </w:tabs>
        <w:overflowPunct w:val="0"/>
        <w:spacing w:afterLines="50" w:after="120" w:line="340" w:lineRule="atLeast"/>
        <w:rPr>
          <w:sz w:val="21"/>
          <w:szCs w:val="22"/>
        </w:rPr>
      </w:pPr>
      <w:r w:rsidRPr="007A5789">
        <w:rPr>
          <w:sz w:val="21"/>
        </w:rPr>
        <w:t>2015年的差旅和研究金</w:t>
      </w:r>
      <w:r w:rsidR="00B6014B">
        <w:rPr>
          <w:sz w:val="21"/>
        </w:rPr>
        <w:t>（</w:t>
      </w:r>
      <w:r w:rsidRPr="007A5789">
        <w:rPr>
          <w:sz w:val="21"/>
        </w:rPr>
        <w:t>工作人员</w:t>
      </w:r>
      <w:r w:rsidR="00134184">
        <w:rPr>
          <w:rFonts w:hint="eastAsia"/>
          <w:sz w:val="21"/>
        </w:rPr>
        <w:t>出差</w:t>
      </w:r>
      <w:r w:rsidRPr="007A5789">
        <w:rPr>
          <w:sz w:val="21"/>
        </w:rPr>
        <w:t>、第三方差旅及课程研究金</w:t>
      </w:r>
      <w:r w:rsidR="00B6014B">
        <w:rPr>
          <w:sz w:val="21"/>
        </w:rPr>
        <w:t>）</w:t>
      </w:r>
      <w:r w:rsidRPr="007A5789">
        <w:rPr>
          <w:sz w:val="21"/>
        </w:rPr>
        <w:t>总开支为1,740</w:t>
      </w:r>
      <w:proofErr w:type="gramStart"/>
      <w:r w:rsidRPr="007A5789">
        <w:rPr>
          <w:sz w:val="21"/>
        </w:rPr>
        <w:t>万瑞</w:t>
      </w:r>
      <w:proofErr w:type="gramEnd"/>
      <w:r w:rsidRPr="007A5789">
        <w:rPr>
          <w:sz w:val="21"/>
        </w:rPr>
        <w:t>郎，占总支出的5%。该支出项目中包含的课程研究</w:t>
      </w:r>
      <w:proofErr w:type="gramStart"/>
      <w:r w:rsidRPr="007A5789">
        <w:rPr>
          <w:sz w:val="21"/>
        </w:rPr>
        <w:t>金成本</w:t>
      </w:r>
      <w:proofErr w:type="gramEnd"/>
      <w:r w:rsidRPr="007A5789">
        <w:rPr>
          <w:sz w:val="21"/>
        </w:rPr>
        <w:t>是派遣实习生</w:t>
      </w:r>
      <w:r w:rsidR="00B6014B">
        <w:rPr>
          <w:sz w:val="21"/>
        </w:rPr>
        <w:t>（</w:t>
      </w:r>
      <w:r w:rsidRPr="007A5789">
        <w:rPr>
          <w:sz w:val="21"/>
        </w:rPr>
        <w:t>非员工</w:t>
      </w:r>
      <w:r w:rsidR="00B6014B">
        <w:rPr>
          <w:sz w:val="21"/>
        </w:rPr>
        <w:t>）</w:t>
      </w:r>
      <w:r w:rsidRPr="007A5789">
        <w:rPr>
          <w:sz w:val="21"/>
        </w:rPr>
        <w:t>参加课程和研讨班产生的费用。差旅和课程研究金支出比2014年的1,540</w:t>
      </w:r>
      <w:proofErr w:type="gramStart"/>
      <w:r w:rsidRPr="007A5789">
        <w:rPr>
          <w:sz w:val="21"/>
        </w:rPr>
        <w:t>万瑞</w:t>
      </w:r>
      <w:proofErr w:type="gramEnd"/>
      <w:r w:rsidRPr="007A5789">
        <w:rPr>
          <w:sz w:val="21"/>
        </w:rPr>
        <w:t>郎增加了13%。2015年的差旅费用包括960</w:t>
      </w:r>
      <w:proofErr w:type="gramStart"/>
      <w:r w:rsidRPr="007A5789">
        <w:rPr>
          <w:sz w:val="21"/>
        </w:rPr>
        <w:t>万瑞</w:t>
      </w:r>
      <w:proofErr w:type="gramEnd"/>
      <w:r w:rsidRPr="007A5789">
        <w:rPr>
          <w:sz w:val="21"/>
        </w:rPr>
        <w:t>郎的第三方差旅费用</w:t>
      </w:r>
      <w:r w:rsidR="00B6014B">
        <w:rPr>
          <w:sz w:val="21"/>
        </w:rPr>
        <w:t>（</w:t>
      </w:r>
      <w:r w:rsidRPr="007A5789">
        <w:rPr>
          <w:sz w:val="21"/>
        </w:rPr>
        <w:t>参会人和讲课人开支</w:t>
      </w:r>
      <w:r w:rsidR="00B6014B">
        <w:rPr>
          <w:sz w:val="21"/>
        </w:rPr>
        <w:t>）</w:t>
      </w:r>
      <w:r w:rsidRPr="007A5789">
        <w:rPr>
          <w:sz w:val="21"/>
        </w:rPr>
        <w:t>以及590</w:t>
      </w:r>
      <w:proofErr w:type="gramStart"/>
      <w:r w:rsidRPr="007A5789">
        <w:rPr>
          <w:sz w:val="21"/>
        </w:rPr>
        <w:t>万瑞</w:t>
      </w:r>
      <w:proofErr w:type="gramEnd"/>
      <w:r w:rsidRPr="007A5789">
        <w:rPr>
          <w:sz w:val="21"/>
        </w:rPr>
        <w:t>郎的工作人员</w:t>
      </w:r>
      <w:r w:rsidR="00134184">
        <w:rPr>
          <w:rFonts w:hint="eastAsia"/>
          <w:sz w:val="21"/>
        </w:rPr>
        <w:t>出差</w:t>
      </w:r>
      <w:r w:rsidRPr="007A5789">
        <w:rPr>
          <w:sz w:val="21"/>
        </w:rPr>
        <w:t>费用。虽然工作人员</w:t>
      </w:r>
      <w:r w:rsidR="00134184">
        <w:rPr>
          <w:rFonts w:hint="eastAsia"/>
          <w:sz w:val="21"/>
        </w:rPr>
        <w:t>出差</w:t>
      </w:r>
      <w:r w:rsidRPr="007A5789">
        <w:rPr>
          <w:sz w:val="21"/>
        </w:rPr>
        <w:t>的差旅成本与上年</w:t>
      </w:r>
      <w:r w:rsidR="00B6014B">
        <w:rPr>
          <w:sz w:val="21"/>
        </w:rPr>
        <w:t>（</w:t>
      </w:r>
      <w:r w:rsidRPr="007A5789">
        <w:rPr>
          <w:sz w:val="21"/>
        </w:rPr>
        <w:t>2014年为570</w:t>
      </w:r>
      <w:proofErr w:type="gramStart"/>
      <w:r w:rsidRPr="007A5789">
        <w:rPr>
          <w:sz w:val="21"/>
        </w:rPr>
        <w:t>万瑞</w:t>
      </w:r>
      <w:proofErr w:type="gramEnd"/>
      <w:r w:rsidRPr="007A5789">
        <w:rPr>
          <w:sz w:val="21"/>
        </w:rPr>
        <w:t>郎</w:t>
      </w:r>
      <w:r w:rsidR="00B6014B">
        <w:rPr>
          <w:sz w:val="21"/>
        </w:rPr>
        <w:t>）</w:t>
      </w:r>
      <w:r w:rsidRPr="007A5789">
        <w:rPr>
          <w:sz w:val="21"/>
        </w:rPr>
        <w:t>相比基本稳定，但第三方差旅成本增加了200</w:t>
      </w:r>
      <w:proofErr w:type="gramStart"/>
      <w:r w:rsidRPr="007A5789">
        <w:rPr>
          <w:sz w:val="21"/>
        </w:rPr>
        <w:t>万瑞</w:t>
      </w:r>
      <w:proofErr w:type="gramEnd"/>
      <w:r w:rsidRPr="007A5789">
        <w:rPr>
          <w:sz w:val="21"/>
        </w:rPr>
        <w:t>郎</w:t>
      </w:r>
      <w:r w:rsidR="00B6014B">
        <w:rPr>
          <w:sz w:val="21"/>
        </w:rPr>
        <w:t>（</w:t>
      </w:r>
      <w:r w:rsidRPr="007A5789">
        <w:rPr>
          <w:sz w:val="21"/>
        </w:rPr>
        <w:t>2014年为760</w:t>
      </w:r>
      <w:proofErr w:type="gramStart"/>
      <w:r w:rsidRPr="007A5789">
        <w:rPr>
          <w:sz w:val="21"/>
        </w:rPr>
        <w:t>万瑞</w:t>
      </w:r>
      <w:proofErr w:type="gramEnd"/>
      <w:r w:rsidRPr="007A5789">
        <w:rPr>
          <w:sz w:val="21"/>
        </w:rPr>
        <w:t>郎</w:t>
      </w:r>
      <w:r w:rsidR="00B6014B">
        <w:rPr>
          <w:sz w:val="21"/>
        </w:rPr>
        <w:t>）</w:t>
      </w:r>
      <w:r w:rsidRPr="007A5789">
        <w:rPr>
          <w:sz w:val="21"/>
        </w:rPr>
        <w:t>。与上一年度的190</w:t>
      </w:r>
      <w:proofErr w:type="gramStart"/>
      <w:r w:rsidRPr="007A5789">
        <w:rPr>
          <w:sz w:val="21"/>
        </w:rPr>
        <w:t>万瑞</w:t>
      </w:r>
      <w:proofErr w:type="gramEnd"/>
      <w:r w:rsidRPr="007A5789">
        <w:rPr>
          <w:sz w:val="21"/>
        </w:rPr>
        <w:t>郎相比，2015年课程研究</w:t>
      </w:r>
      <w:proofErr w:type="gramStart"/>
      <w:r w:rsidRPr="007A5789">
        <w:rPr>
          <w:sz w:val="21"/>
        </w:rPr>
        <w:t>金费用</w:t>
      </w:r>
      <w:proofErr w:type="gramEnd"/>
      <w:r w:rsidRPr="007A5789">
        <w:rPr>
          <w:sz w:val="21"/>
        </w:rPr>
        <w:t>总计210</w:t>
      </w:r>
      <w:proofErr w:type="gramStart"/>
      <w:r w:rsidRPr="007A5789">
        <w:rPr>
          <w:sz w:val="21"/>
        </w:rPr>
        <w:t>万瑞</w:t>
      </w:r>
      <w:proofErr w:type="gramEnd"/>
      <w:r w:rsidRPr="007A5789">
        <w:rPr>
          <w:sz w:val="21"/>
        </w:rPr>
        <w:t>郎。</w:t>
      </w:r>
    </w:p>
    <w:p w:rsidR="007A5789" w:rsidRDefault="009E52B3" w:rsidP="00B6014B">
      <w:pPr>
        <w:pStyle w:val="ONUME"/>
        <w:tabs>
          <w:tab w:val="clear" w:pos="567"/>
        </w:tabs>
        <w:overflowPunct w:val="0"/>
        <w:spacing w:afterLines="50" w:after="120" w:line="340" w:lineRule="atLeast"/>
        <w:rPr>
          <w:sz w:val="21"/>
          <w:szCs w:val="22"/>
        </w:rPr>
      </w:pPr>
      <w:r w:rsidRPr="007A5789">
        <w:rPr>
          <w:sz w:val="21"/>
        </w:rPr>
        <w:t>2015年订约承办事务总计7,210</w:t>
      </w:r>
      <w:proofErr w:type="gramStart"/>
      <w:r w:rsidRPr="007A5789">
        <w:rPr>
          <w:sz w:val="21"/>
        </w:rPr>
        <w:t>万瑞</w:t>
      </w:r>
      <w:proofErr w:type="gramEnd"/>
      <w:r w:rsidRPr="007A5789">
        <w:rPr>
          <w:sz w:val="21"/>
        </w:rPr>
        <w:t>郎。这些支出比2014年的6,360</w:t>
      </w:r>
      <w:proofErr w:type="gramStart"/>
      <w:r w:rsidRPr="007A5789">
        <w:rPr>
          <w:sz w:val="21"/>
        </w:rPr>
        <w:t>万瑞</w:t>
      </w:r>
      <w:proofErr w:type="gramEnd"/>
      <w:r w:rsidRPr="007A5789">
        <w:rPr>
          <w:sz w:val="21"/>
        </w:rPr>
        <w:t>郎增加了13.4%。2015年的订约承办事务主要涉及商业翻译服务</w:t>
      </w:r>
      <w:r w:rsidR="00B6014B">
        <w:rPr>
          <w:sz w:val="21"/>
        </w:rPr>
        <w:t>（</w:t>
      </w:r>
      <w:r w:rsidRPr="007A5789">
        <w:rPr>
          <w:sz w:val="21"/>
        </w:rPr>
        <w:t>2,410</w:t>
      </w:r>
      <w:proofErr w:type="gramStart"/>
      <w:r w:rsidRPr="007A5789">
        <w:rPr>
          <w:sz w:val="21"/>
        </w:rPr>
        <w:t>万瑞</w:t>
      </w:r>
      <w:proofErr w:type="gramEnd"/>
      <w:r w:rsidRPr="007A5789">
        <w:rPr>
          <w:sz w:val="21"/>
        </w:rPr>
        <w:t>郎</w:t>
      </w:r>
      <w:r w:rsidR="00B6014B">
        <w:rPr>
          <w:sz w:val="21"/>
        </w:rPr>
        <w:t>）</w:t>
      </w:r>
      <w:r w:rsidRPr="007A5789">
        <w:rPr>
          <w:sz w:val="21"/>
        </w:rPr>
        <w:t>、IT商业服务</w:t>
      </w:r>
      <w:r w:rsidR="00B6014B">
        <w:rPr>
          <w:sz w:val="21"/>
        </w:rPr>
        <w:t>（</w:t>
      </w:r>
      <w:r w:rsidRPr="007A5789">
        <w:rPr>
          <w:sz w:val="21"/>
        </w:rPr>
        <w:t>1,260</w:t>
      </w:r>
      <w:proofErr w:type="gramStart"/>
      <w:r w:rsidRPr="007A5789">
        <w:rPr>
          <w:sz w:val="21"/>
        </w:rPr>
        <w:t>万瑞</w:t>
      </w:r>
      <w:proofErr w:type="gramEnd"/>
      <w:r w:rsidRPr="007A5789">
        <w:rPr>
          <w:sz w:val="21"/>
        </w:rPr>
        <w:t>郎</w:t>
      </w:r>
      <w:r w:rsidR="00B6014B">
        <w:rPr>
          <w:sz w:val="21"/>
        </w:rPr>
        <w:t>）</w:t>
      </w:r>
      <w:r w:rsidRPr="007A5789">
        <w:rPr>
          <w:sz w:val="21"/>
        </w:rPr>
        <w:t>、个人订约承办事务</w:t>
      </w:r>
      <w:r w:rsidR="00B6014B">
        <w:rPr>
          <w:sz w:val="21"/>
        </w:rPr>
        <w:t>（</w:t>
      </w:r>
      <w:r w:rsidRPr="007A5789">
        <w:rPr>
          <w:sz w:val="21"/>
        </w:rPr>
        <w:t>1,170</w:t>
      </w:r>
      <w:proofErr w:type="gramStart"/>
      <w:r w:rsidRPr="007A5789">
        <w:rPr>
          <w:sz w:val="21"/>
        </w:rPr>
        <w:t>万瑞</w:t>
      </w:r>
      <w:proofErr w:type="gramEnd"/>
      <w:r w:rsidRPr="007A5789">
        <w:rPr>
          <w:sz w:val="21"/>
        </w:rPr>
        <w:t>郎</w:t>
      </w:r>
      <w:r w:rsidR="00B6014B">
        <w:rPr>
          <w:sz w:val="21"/>
        </w:rPr>
        <w:t>）</w:t>
      </w:r>
      <w:r w:rsidRPr="007A5789">
        <w:rPr>
          <w:sz w:val="21"/>
        </w:rPr>
        <w:t>以及国际电子计算中心服务</w:t>
      </w:r>
      <w:r w:rsidR="00B6014B">
        <w:rPr>
          <w:sz w:val="21"/>
        </w:rPr>
        <w:t>（</w:t>
      </w:r>
      <w:r w:rsidRPr="007A5789">
        <w:rPr>
          <w:sz w:val="21"/>
        </w:rPr>
        <w:t>1,090</w:t>
      </w:r>
      <w:proofErr w:type="gramStart"/>
      <w:r w:rsidRPr="007A5789">
        <w:rPr>
          <w:sz w:val="21"/>
        </w:rPr>
        <w:t>万瑞</w:t>
      </w:r>
      <w:proofErr w:type="gramEnd"/>
      <w:r w:rsidRPr="007A5789">
        <w:rPr>
          <w:sz w:val="21"/>
        </w:rPr>
        <w:t>郎</w:t>
      </w:r>
      <w:r w:rsidR="00B6014B">
        <w:rPr>
          <w:sz w:val="21"/>
        </w:rPr>
        <w:t>）</w:t>
      </w:r>
      <w:r w:rsidRPr="007A5789">
        <w:rPr>
          <w:sz w:val="21"/>
        </w:rPr>
        <w:t>。商业翻译服务比2014年增长160</w:t>
      </w:r>
      <w:proofErr w:type="gramStart"/>
      <w:r w:rsidRPr="007A5789">
        <w:rPr>
          <w:sz w:val="21"/>
        </w:rPr>
        <w:t>万瑞</w:t>
      </w:r>
      <w:proofErr w:type="gramEnd"/>
      <w:r w:rsidRPr="007A5789">
        <w:rPr>
          <w:sz w:val="21"/>
        </w:rPr>
        <w:t>郎，部分因为外包</w:t>
      </w:r>
      <w:proofErr w:type="gramStart"/>
      <w:r w:rsidRPr="007A5789">
        <w:rPr>
          <w:sz w:val="21"/>
        </w:rPr>
        <w:t>可专利</w:t>
      </w:r>
      <w:proofErr w:type="gramEnd"/>
      <w:r w:rsidRPr="007A5789">
        <w:rPr>
          <w:sz w:val="21"/>
        </w:rPr>
        <w:t>性报告翻译的平均长度增加。IT商业服务较2014年增</w:t>
      </w:r>
      <w:r w:rsidRPr="007A5789">
        <w:rPr>
          <w:sz w:val="21"/>
        </w:rPr>
        <w:lastRenderedPageBreak/>
        <w:t>长250</w:t>
      </w:r>
      <w:proofErr w:type="gramStart"/>
      <w:r w:rsidRPr="007A5789">
        <w:rPr>
          <w:sz w:val="21"/>
        </w:rPr>
        <w:t>万瑞</w:t>
      </w:r>
      <w:proofErr w:type="gramEnd"/>
      <w:r w:rsidRPr="007A5789">
        <w:rPr>
          <w:sz w:val="21"/>
        </w:rPr>
        <w:t>郎，个人订约承办事务的费用也比2014年增加120</w:t>
      </w:r>
      <w:proofErr w:type="gramStart"/>
      <w:r w:rsidRPr="007A5789">
        <w:rPr>
          <w:sz w:val="21"/>
        </w:rPr>
        <w:t>万瑞</w:t>
      </w:r>
      <w:proofErr w:type="gramEnd"/>
      <w:r w:rsidRPr="007A5789">
        <w:rPr>
          <w:sz w:val="21"/>
        </w:rPr>
        <w:t>郎。但国际电子计算中心服务成本较2014年下降60</w:t>
      </w:r>
      <w:proofErr w:type="gramStart"/>
      <w:r w:rsidRPr="007A5789">
        <w:rPr>
          <w:sz w:val="21"/>
        </w:rPr>
        <w:t>万瑞</w:t>
      </w:r>
      <w:proofErr w:type="gramEnd"/>
      <w:r w:rsidRPr="007A5789">
        <w:rPr>
          <w:sz w:val="21"/>
        </w:rPr>
        <w:t>郎。</w:t>
      </w:r>
    </w:p>
    <w:p w:rsidR="00AD1872" w:rsidRPr="007A5789" w:rsidRDefault="00C43E3B" w:rsidP="00B6014B">
      <w:pPr>
        <w:pStyle w:val="ONUME"/>
        <w:tabs>
          <w:tab w:val="clear" w:pos="567"/>
        </w:tabs>
        <w:overflowPunct w:val="0"/>
        <w:spacing w:afterLines="50" w:after="120" w:line="340" w:lineRule="atLeast"/>
        <w:rPr>
          <w:sz w:val="21"/>
        </w:rPr>
      </w:pPr>
      <w:r w:rsidRPr="007A5789">
        <w:rPr>
          <w:sz w:val="21"/>
        </w:rPr>
        <w:t>2015年业务费用总计2,120</w:t>
      </w:r>
      <w:proofErr w:type="gramStart"/>
      <w:r w:rsidRPr="007A5789">
        <w:rPr>
          <w:sz w:val="21"/>
        </w:rPr>
        <w:t>万瑞</w:t>
      </w:r>
      <w:proofErr w:type="gramEnd"/>
      <w:r w:rsidRPr="007A5789">
        <w:rPr>
          <w:sz w:val="21"/>
        </w:rPr>
        <w:t>郎，与2014年2,080</w:t>
      </w:r>
      <w:proofErr w:type="gramStart"/>
      <w:r w:rsidRPr="007A5789">
        <w:rPr>
          <w:sz w:val="21"/>
        </w:rPr>
        <w:t>万瑞</w:t>
      </w:r>
      <w:proofErr w:type="gramEnd"/>
      <w:r w:rsidRPr="007A5789">
        <w:rPr>
          <w:sz w:val="21"/>
        </w:rPr>
        <w:t>郎相比小幅增加了1.9%。2015年业务费用主要包括房舍和维修费用</w:t>
      </w:r>
      <w:r w:rsidR="00B6014B">
        <w:rPr>
          <w:sz w:val="21"/>
        </w:rPr>
        <w:t>（</w:t>
      </w:r>
      <w:r w:rsidRPr="007A5789">
        <w:rPr>
          <w:sz w:val="21"/>
        </w:rPr>
        <w:t>1,740</w:t>
      </w:r>
      <w:proofErr w:type="gramStart"/>
      <w:r w:rsidRPr="007A5789">
        <w:rPr>
          <w:sz w:val="21"/>
        </w:rPr>
        <w:t>万瑞</w:t>
      </w:r>
      <w:proofErr w:type="gramEnd"/>
      <w:r w:rsidRPr="007A5789">
        <w:rPr>
          <w:sz w:val="21"/>
        </w:rPr>
        <w:t>郎</w:t>
      </w:r>
      <w:r w:rsidR="00B6014B">
        <w:rPr>
          <w:sz w:val="21"/>
        </w:rPr>
        <w:t>）</w:t>
      </w:r>
      <w:r w:rsidRPr="007A5789">
        <w:rPr>
          <w:sz w:val="21"/>
        </w:rPr>
        <w:t>、通讯费</w:t>
      </w:r>
      <w:r w:rsidR="00B6014B">
        <w:rPr>
          <w:sz w:val="21"/>
        </w:rPr>
        <w:t>（</w:t>
      </w:r>
      <w:r w:rsidRPr="007A5789">
        <w:rPr>
          <w:sz w:val="21"/>
        </w:rPr>
        <w:t>220</w:t>
      </w:r>
      <w:proofErr w:type="gramStart"/>
      <w:r w:rsidRPr="007A5789">
        <w:rPr>
          <w:sz w:val="21"/>
        </w:rPr>
        <w:t>万瑞</w:t>
      </w:r>
      <w:proofErr w:type="gramEnd"/>
      <w:r w:rsidRPr="007A5789">
        <w:rPr>
          <w:sz w:val="21"/>
        </w:rPr>
        <w:t>郎</w:t>
      </w:r>
      <w:r w:rsidR="00B6014B">
        <w:rPr>
          <w:sz w:val="21"/>
        </w:rPr>
        <w:t>）</w:t>
      </w:r>
      <w:r w:rsidRPr="007A5789">
        <w:rPr>
          <w:sz w:val="21"/>
        </w:rPr>
        <w:t>和管理费</w:t>
      </w:r>
      <w:r w:rsidR="00B6014B">
        <w:rPr>
          <w:sz w:val="21"/>
        </w:rPr>
        <w:t>（</w:t>
      </w:r>
      <w:r w:rsidRPr="007A5789">
        <w:rPr>
          <w:sz w:val="21"/>
        </w:rPr>
        <w:t>50</w:t>
      </w:r>
      <w:proofErr w:type="gramStart"/>
      <w:r w:rsidRPr="007A5789">
        <w:rPr>
          <w:sz w:val="21"/>
        </w:rPr>
        <w:t>万瑞</w:t>
      </w:r>
      <w:proofErr w:type="gramEnd"/>
      <w:r w:rsidRPr="007A5789">
        <w:rPr>
          <w:sz w:val="21"/>
        </w:rPr>
        <w:t>郎</w:t>
      </w:r>
      <w:r w:rsidR="00B6014B">
        <w:rPr>
          <w:sz w:val="21"/>
        </w:rPr>
        <w:t>）</w:t>
      </w:r>
      <w:r w:rsidRPr="007A5789">
        <w:rPr>
          <w:sz w:val="21"/>
        </w:rPr>
        <w:t>。</w:t>
      </w:r>
    </w:p>
    <w:p w:rsidR="0025563A" w:rsidRPr="007A5789" w:rsidRDefault="00C43E3B" w:rsidP="00B6014B">
      <w:pPr>
        <w:pStyle w:val="ONUME"/>
        <w:tabs>
          <w:tab w:val="clear" w:pos="567"/>
        </w:tabs>
        <w:overflowPunct w:val="0"/>
        <w:spacing w:afterLines="50" w:after="120" w:line="340" w:lineRule="atLeast"/>
        <w:rPr>
          <w:sz w:val="21"/>
        </w:rPr>
      </w:pPr>
      <w:r w:rsidRPr="007A5789">
        <w:rPr>
          <w:sz w:val="21"/>
        </w:rPr>
        <w:t>用品和材料开支为350</w:t>
      </w:r>
      <w:proofErr w:type="gramStart"/>
      <w:r w:rsidRPr="007A5789">
        <w:rPr>
          <w:sz w:val="21"/>
        </w:rPr>
        <w:t>万瑞</w:t>
      </w:r>
      <w:proofErr w:type="gramEnd"/>
      <w:r w:rsidRPr="007A5789">
        <w:rPr>
          <w:sz w:val="21"/>
        </w:rPr>
        <w:t>郎，比2014年增加了94.4%。家具和设备费也有所增加，从2014年的20</w:t>
      </w:r>
      <w:proofErr w:type="gramStart"/>
      <w:r w:rsidRPr="007A5789">
        <w:rPr>
          <w:sz w:val="21"/>
        </w:rPr>
        <w:t>万瑞</w:t>
      </w:r>
      <w:proofErr w:type="gramEnd"/>
      <w:r w:rsidRPr="007A5789">
        <w:rPr>
          <w:sz w:val="21"/>
        </w:rPr>
        <w:t>郎增加至2015年的80</w:t>
      </w:r>
      <w:proofErr w:type="gramStart"/>
      <w:r w:rsidRPr="007A5789">
        <w:rPr>
          <w:sz w:val="21"/>
        </w:rPr>
        <w:t>万瑞</w:t>
      </w:r>
      <w:proofErr w:type="gramEnd"/>
      <w:r w:rsidRPr="007A5789">
        <w:rPr>
          <w:sz w:val="21"/>
        </w:rPr>
        <w:t>郎。家具和设备</w:t>
      </w:r>
      <w:proofErr w:type="gramStart"/>
      <w:r w:rsidRPr="007A5789">
        <w:rPr>
          <w:sz w:val="21"/>
        </w:rPr>
        <w:t>费涉及</w:t>
      </w:r>
      <w:proofErr w:type="gramEnd"/>
      <w:r w:rsidRPr="007A5789">
        <w:rPr>
          <w:sz w:val="21"/>
        </w:rPr>
        <w:t>不满足本组织资本化门槛5,000瑞郎的项目，因此立即被确认为支出。</w:t>
      </w:r>
    </w:p>
    <w:p w:rsidR="00C43E3B" w:rsidRPr="007A5789" w:rsidRDefault="00DF4509" w:rsidP="00B6014B">
      <w:pPr>
        <w:pStyle w:val="ONUME"/>
        <w:tabs>
          <w:tab w:val="clear" w:pos="567"/>
        </w:tabs>
        <w:overflowPunct w:val="0"/>
        <w:spacing w:afterLines="50" w:after="120" w:line="340" w:lineRule="atLeast"/>
        <w:rPr>
          <w:sz w:val="21"/>
          <w:szCs w:val="22"/>
        </w:rPr>
      </w:pPr>
      <w:r w:rsidRPr="007A5789">
        <w:rPr>
          <w:sz w:val="21"/>
        </w:rPr>
        <w:t>如上所述，依据IPSAS的支出包括办公楼与设备的折旧支出以及无形资产的摊销费，因为这些资产的成本被分摊至其整个使用寿命。2015年，折旧摊销总计1,110</w:t>
      </w:r>
      <w:proofErr w:type="gramStart"/>
      <w:r w:rsidRPr="007A5789">
        <w:rPr>
          <w:sz w:val="21"/>
        </w:rPr>
        <w:t>万瑞</w:t>
      </w:r>
      <w:proofErr w:type="gramEnd"/>
      <w:r w:rsidRPr="007A5789">
        <w:rPr>
          <w:sz w:val="21"/>
        </w:rPr>
        <w:t>郎，相比之下2014年为910</w:t>
      </w:r>
      <w:proofErr w:type="gramStart"/>
      <w:r w:rsidRPr="007A5789">
        <w:rPr>
          <w:sz w:val="21"/>
        </w:rPr>
        <w:t>万瑞</w:t>
      </w:r>
      <w:proofErr w:type="gramEnd"/>
      <w:r w:rsidRPr="007A5789">
        <w:rPr>
          <w:sz w:val="21"/>
        </w:rPr>
        <w:t>郎。增长与新会议厅有关，全年折旧支出为210</w:t>
      </w:r>
      <w:proofErr w:type="gramStart"/>
      <w:r w:rsidRPr="007A5789">
        <w:rPr>
          <w:sz w:val="21"/>
        </w:rPr>
        <w:t>万瑞</w:t>
      </w:r>
      <w:proofErr w:type="gramEnd"/>
      <w:r w:rsidRPr="007A5789">
        <w:rPr>
          <w:sz w:val="21"/>
        </w:rPr>
        <w:t>郎，2014年9月投入使用后当年最后4个月折旧70</w:t>
      </w:r>
      <w:proofErr w:type="gramStart"/>
      <w:r w:rsidRPr="007A5789">
        <w:rPr>
          <w:sz w:val="21"/>
        </w:rPr>
        <w:t>万瑞</w:t>
      </w:r>
      <w:proofErr w:type="gramEnd"/>
      <w:r w:rsidRPr="007A5789">
        <w:rPr>
          <w:sz w:val="21"/>
        </w:rPr>
        <w:t>郎。此外，在安保建筑项目2015年完工之后，投入使用的各个部分</w:t>
      </w:r>
      <w:r w:rsidR="00B6014B">
        <w:rPr>
          <w:sz w:val="21"/>
        </w:rPr>
        <w:t>（</w:t>
      </w:r>
      <w:r w:rsidRPr="007A5789">
        <w:rPr>
          <w:sz w:val="21"/>
        </w:rPr>
        <w:t>新登记中心、安全运营中心及安全</w:t>
      </w:r>
      <w:r w:rsidR="00667384" w:rsidRPr="007A5789">
        <w:rPr>
          <w:rFonts w:hint="eastAsia"/>
          <w:sz w:val="21"/>
        </w:rPr>
        <w:t>边界</w:t>
      </w:r>
      <w:r w:rsidR="00B6014B">
        <w:rPr>
          <w:sz w:val="21"/>
        </w:rPr>
        <w:t>）</w:t>
      </w:r>
      <w:r w:rsidRPr="007A5789">
        <w:rPr>
          <w:sz w:val="21"/>
        </w:rPr>
        <w:t>目前记入折旧。</w:t>
      </w:r>
    </w:p>
    <w:p w:rsidR="007A5789" w:rsidRDefault="00C43E3B" w:rsidP="00B6014B">
      <w:pPr>
        <w:pStyle w:val="ONUME"/>
        <w:tabs>
          <w:tab w:val="clear" w:pos="567"/>
        </w:tabs>
        <w:overflowPunct w:val="0"/>
        <w:spacing w:afterLines="50" w:after="120" w:line="340" w:lineRule="atLeast"/>
        <w:rPr>
          <w:sz w:val="21"/>
          <w:szCs w:val="22"/>
        </w:rPr>
      </w:pPr>
      <w:r w:rsidRPr="007A5789">
        <w:rPr>
          <w:sz w:val="21"/>
        </w:rPr>
        <w:t>融资成本与前一年度相比相对保持稳定，2015年总计为310</w:t>
      </w:r>
      <w:proofErr w:type="gramStart"/>
      <w:r w:rsidRPr="007A5789">
        <w:rPr>
          <w:sz w:val="21"/>
        </w:rPr>
        <w:t>万瑞</w:t>
      </w:r>
      <w:proofErr w:type="gramEnd"/>
      <w:r w:rsidRPr="007A5789">
        <w:rPr>
          <w:sz w:val="21"/>
        </w:rPr>
        <w:t>郎，2014年为330</w:t>
      </w:r>
      <w:proofErr w:type="gramStart"/>
      <w:r w:rsidRPr="007A5789">
        <w:rPr>
          <w:sz w:val="21"/>
        </w:rPr>
        <w:t>万瑞</w:t>
      </w:r>
      <w:proofErr w:type="gramEnd"/>
      <w:r w:rsidRPr="007A5789">
        <w:rPr>
          <w:sz w:val="21"/>
        </w:rPr>
        <w:t>郎。2015年融资成本总计290</w:t>
      </w:r>
      <w:proofErr w:type="gramStart"/>
      <w:r w:rsidRPr="007A5789">
        <w:rPr>
          <w:sz w:val="21"/>
        </w:rPr>
        <w:t>万瑞</w:t>
      </w:r>
      <w:proofErr w:type="gramEnd"/>
      <w:r w:rsidRPr="007A5789">
        <w:rPr>
          <w:sz w:val="21"/>
        </w:rPr>
        <w:t>郎，主要是偿还BCG/BCV新楼贷款利息。随着贷款余额减少，这些利息偿还正在下降。其他融资成本涉及银行手续费。</w:t>
      </w:r>
    </w:p>
    <w:p w:rsidR="005872F2" w:rsidRPr="00C8425D" w:rsidRDefault="005872F2" w:rsidP="00C8425D">
      <w:pPr>
        <w:keepNext/>
        <w:overflowPunct w:val="0"/>
        <w:spacing w:beforeLines="100" w:before="240" w:afterLines="50" w:after="120" w:line="340" w:lineRule="atLeast"/>
        <w:rPr>
          <w:b/>
          <w:sz w:val="21"/>
        </w:rPr>
      </w:pPr>
      <w:r w:rsidRPr="00C8425D">
        <w:rPr>
          <w:b/>
          <w:sz w:val="21"/>
        </w:rPr>
        <w:t>财务状况</w:t>
      </w:r>
    </w:p>
    <w:p w:rsidR="007A5789" w:rsidRDefault="005872F2" w:rsidP="00B6014B">
      <w:pPr>
        <w:pStyle w:val="ONUME"/>
        <w:tabs>
          <w:tab w:val="clear" w:pos="567"/>
        </w:tabs>
        <w:overflowPunct w:val="0"/>
        <w:spacing w:afterLines="50" w:after="120" w:line="340" w:lineRule="atLeast"/>
        <w:rPr>
          <w:sz w:val="21"/>
          <w:szCs w:val="22"/>
        </w:rPr>
      </w:pPr>
      <w:r w:rsidRPr="007A5789">
        <w:rPr>
          <w:sz w:val="21"/>
        </w:rPr>
        <w:t>截至2015年12月31日，本组织净资产为2.791亿瑞郎，总资产为9.77亿瑞郎，总负债为6.979亿瑞郎。由于2015年出现盈余，净资产较2014年底的2.458亿瑞郎增加3,330</w:t>
      </w:r>
      <w:proofErr w:type="gramStart"/>
      <w:r w:rsidRPr="007A5789">
        <w:rPr>
          <w:sz w:val="21"/>
        </w:rPr>
        <w:t>万瑞</w:t>
      </w:r>
      <w:proofErr w:type="gramEnd"/>
      <w:r w:rsidRPr="007A5789">
        <w:rPr>
          <w:sz w:val="21"/>
        </w:rPr>
        <w:t>郎。2014年，本组织报告的盈余为3,700</w:t>
      </w:r>
      <w:proofErr w:type="gramStart"/>
      <w:r w:rsidRPr="007A5789">
        <w:rPr>
          <w:sz w:val="21"/>
        </w:rPr>
        <w:t>万瑞</w:t>
      </w:r>
      <w:proofErr w:type="gramEnd"/>
      <w:r w:rsidRPr="007A5789">
        <w:rPr>
          <w:sz w:val="21"/>
        </w:rPr>
        <w:t>郎。因此，2014/15年期间，净资产较2013年底的2.088亿瑞郎增加7,030</w:t>
      </w:r>
      <w:proofErr w:type="gramStart"/>
      <w:r w:rsidRPr="007A5789">
        <w:rPr>
          <w:sz w:val="21"/>
        </w:rPr>
        <w:t>万瑞</w:t>
      </w:r>
      <w:proofErr w:type="gramEnd"/>
      <w:r w:rsidRPr="007A5789">
        <w:rPr>
          <w:sz w:val="21"/>
        </w:rPr>
        <w:t>郎：</w:t>
      </w:r>
    </w:p>
    <w:p w:rsidR="007A5789" w:rsidRDefault="001B0B5F" w:rsidP="006A1075">
      <w:pPr>
        <w:pStyle w:val="ONUME"/>
        <w:keepNext/>
        <w:numPr>
          <w:ilvl w:val="0"/>
          <w:numId w:val="0"/>
        </w:numPr>
        <w:overflowPunct w:val="0"/>
        <w:spacing w:afterLines="50" w:after="120" w:line="340" w:lineRule="atLeast"/>
        <w:jc w:val="center"/>
        <w:rPr>
          <w:sz w:val="21"/>
          <w:u w:val="single"/>
        </w:rPr>
      </w:pPr>
      <w:r w:rsidRPr="007A5789">
        <w:rPr>
          <w:sz w:val="21"/>
          <w:u w:val="single"/>
        </w:rPr>
        <w:t>2013年至2015年的净资产变动</w:t>
      </w:r>
    </w:p>
    <w:p w:rsidR="007A5789" w:rsidRDefault="006627BD" w:rsidP="006627BD">
      <w:pPr>
        <w:overflowPunct w:val="0"/>
        <w:spacing w:afterLines="50" w:after="120" w:line="340" w:lineRule="atLeast"/>
        <w:jc w:val="center"/>
        <w:rPr>
          <w:sz w:val="21"/>
          <w:szCs w:val="22"/>
        </w:rPr>
      </w:pPr>
      <w:r w:rsidRPr="00EF7E79">
        <w:rPr>
          <w:noProof/>
          <w:sz w:val="21"/>
          <w:lang w:val="en-US" w:bidi="ar-SA"/>
        </w:rPr>
        <w:drawing>
          <wp:inline distT="0" distB="0" distL="0" distR="0" wp14:anchorId="508E860A" wp14:editId="06B8FEC9">
            <wp:extent cx="5940425" cy="3471872"/>
            <wp:effectExtent l="0" t="0" r="3175" b="0"/>
            <wp:docPr id="298" name="图片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0425" cy="3471872"/>
                    </a:xfrm>
                    <a:prstGeom prst="rect">
                      <a:avLst/>
                    </a:prstGeom>
                    <a:noFill/>
                    <a:ln>
                      <a:noFill/>
                    </a:ln>
                  </pic:spPr>
                </pic:pic>
              </a:graphicData>
            </a:graphic>
          </wp:inline>
        </w:drawing>
      </w:r>
    </w:p>
    <w:p w:rsidR="00741957" w:rsidRPr="007A5789" w:rsidRDefault="00281939" w:rsidP="00B6014B">
      <w:pPr>
        <w:pStyle w:val="ONUME"/>
        <w:tabs>
          <w:tab w:val="clear" w:pos="567"/>
        </w:tabs>
        <w:overflowPunct w:val="0"/>
        <w:spacing w:afterLines="50" w:after="120" w:line="340" w:lineRule="atLeast"/>
        <w:rPr>
          <w:sz w:val="21"/>
          <w:szCs w:val="22"/>
        </w:rPr>
      </w:pPr>
      <w:r w:rsidRPr="007A5789">
        <w:rPr>
          <w:sz w:val="21"/>
        </w:rPr>
        <w:lastRenderedPageBreak/>
        <w:t>下图为截至2015年12月31日的WIPO财务状况报表摘要。9.77亿瑞郎的总资产主要由现金及现金等价物和固定资产组成。6.979亿瑞郎的总负债主要是应付款及预收款、员工福利以及借款：</w:t>
      </w:r>
    </w:p>
    <w:p w:rsidR="005E3154" w:rsidRPr="006A1075" w:rsidRDefault="005E3154" w:rsidP="006A1075">
      <w:pPr>
        <w:pStyle w:val="ONUME"/>
        <w:keepNext/>
        <w:numPr>
          <w:ilvl w:val="0"/>
          <w:numId w:val="0"/>
        </w:numPr>
        <w:overflowPunct w:val="0"/>
        <w:spacing w:afterLines="50" w:after="120" w:line="340" w:lineRule="atLeast"/>
        <w:jc w:val="center"/>
        <w:rPr>
          <w:sz w:val="21"/>
          <w:u w:val="single"/>
        </w:rPr>
      </w:pPr>
      <w:r w:rsidRPr="007A5789">
        <w:rPr>
          <w:sz w:val="21"/>
          <w:u w:val="single"/>
        </w:rPr>
        <w:t>截至2015年12月31日的资产和负债摘要</w:t>
      </w:r>
    </w:p>
    <w:p w:rsidR="007A5789" w:rsidRDefault="006627BD" w:rsidP="006627BD">
      <w:pPr>
        <w:spacing w:afterLines="50" w:after="120" w:line="340" w:lineRule="atLeast"/>
        <w:jc w:val="center"/>
        <w:rPr>
          <w:sz w:val="21"/>
          <w:szCs w:val="22"/>
        </w:rPr>
      </w:pPr>
      <w:r w:rsidRPr="00EF7E79">
        <w:rPr>
          <w:noProof/>
          <w:sz w:val="21"/>
          <w:lang w:val="en-US" w:bidi="ar-SA"/>
        </w:rPr>
        <w:drawing>
          <wp:inline distT="0" distB="0" distL="0" distR="0" wp14:anchorId="2FFEC490" wp14:editId="5BC79172">
            <wp:extent cx="5940425" cy="3380270"/>
            <wp:effectExtent l="0" t="0" r="3175" b="0"/>
            <wp:docPr id="299" name="图片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0425" cy="3380270"/>
                    </a:xfrm>
                    <a:prstGeom prst="rect">
                      <a:avLst/>
                    </a:prstGeom>
                    <a:noFill/>
                    <a:ln>
                      <a:noFill/>
                    </a:ln>
                  </pic:spPr>
                </pic:pic>
              </a:graphicData>
            </a:graphic>
          </wp:inline>
        </w:drawing>
      </w:r>
    </w:p>
    <w:p w:rsidR="005E3154" w:rsidRPr="00FF47B9" w:rsidRDefault="005E3154" w:rsidP="00FF47B9">
      <w:pPr>
        <w:keepNext/>
        <w:overflowPunct w:val="0"/>
        <w:spacing w:beforeLines="100" w:before="240" w:afterLines="50" w:after="120" w:line="340" w:lineRule="atLeast"/>
        <w:rPr>
          <w:rFonts w:ascii="KaiTi" w:eastAsia="KaiTi" w:hAnsi="KaiTi"/>
          <w:b/>
          <w:sz w:val="21"/>
        </w:rPr>
      </w:pPr>
      <w:r w:rsidRPr="00FF47B9">
        <w:rPr>
          <w:rFonts w:ascii="KaiTi" w:eastAsia="KaiTi" w:hAnsi="KaiTi"/>
          <w:b/>
          <w:sz w:val="21"/>
        </w:rPr>
        <w:t>资</w:t>
      </w:r>
      <w:r w:rsidR="006E59E2">
        <w:rPr>
          <w:rFonts w:ascii="KaiTi" w:eastAsia="KaiTi" w:hAnsi="KaiTi" w:hint="eastAsia"/>
          <w:b/>
          <w:sz w:val="21"/>
        </w:rPr>
        <w:t xml:space="preserve">　</w:t>
      </w:r>
      <w:r w:rsidRPr="00FF47B9">
        <w:rPr>
          <w:rFonts w:ascii="KaiTi" w:eastAsia="KaiTi" w:hAnsi="KaiTi"/>
          <w:b/>
          <w:sz w:val="21"/>
        </w:rPr>
        <w:t>产</w:t>
      </w:r>
    </w:p>
    <w:p w:rsidR="005E3154" w:rsidRPr="007A5789" w:rsidRDefault="005E3154" w:rsidP="00B6014B">
      <w:pPr>
        <w:pStyle w:val="ONUME"/>
        <w:tabs>
          <w:tab w:val="clear" w:pos="567"/>
        </w:tabs>
        <w:overflowPunct w:val="0"/>
        <w:spacing w:afterLines="50" w:after="120" w:line="340" w:lineRule="atLeast"/>
        <w:rPr>
          <w:sz w:val="21"/>
          <w:szCs w:val="22"/>
        </w:rPr>
      </w:pPr>
      <w:r w:rsidRPr="007A5789">
        <w:rPr>
          <w:sz w:val="21"/>
        </w:rPr>
        <w:t>本组织拥有4.895亿瑞郎的现金余额，占总资产的50.1%，尽管其中包括按IPSAS被归类为受限制的2.508亿瑞郎。与截止2014年12月31日的4.745亿瑞郎余额相比，现金余额总量增加了1,500</w:t>
      </w:r>
      <w:proofErr w:type="gramStart"/>
      <w:r w:rsidRPr="007A5789">
        <w:rPr>
          <w:sz w:val="21"/>
        </w:rPr>
        <w:t>万瑞</w:t>
      </w:r>
      <w:proofErr w:type="gramEnd"/>
      <w:r w:rsidRPr="007A5789">
        <w:rPr>
          <w:sz w:val="21"/>
        </w:rPr>
        <w:t>郎，且根据WIPO</w:t>
      </w:r>
      <w:r w:rsidR="00B1767E" w:rsidRPr="007A5789">
        <w:rPr>
          <w:rFonts w:hint="eastAsia"/>
          <w:sz w:val="21"/>
        </w:rPr>
        <w:t>《</w:t>
      </w:r>
      <w:r w:rsidRPr="007A5789">
        <w:rPr>
          <w:sz w:val="21"/>
        </w:rPr>
        <w:t>投资政策</w:t>
      </w:r>
      <w:r w:rsidR="00B1767E" w:rsidRPr="007A5789">
        <w:rPr>
          <w:rFonts w:hint="eastAsia"/>
          <w:sz w:val="21"/>
        </w:rPr>
        <w:t>》</w:t>
      </w:r>
      <w:r w:rsidR="00B1767E" w:rsidRPr="007A5789">
        <w:rPr>
          <w:sz w:val="21"/>
        </w:rPr>
        <w:t>规定</w:t>
      </w:r>
      <w:r w:rsidRPr="007A5789">
        <w:rPr>
          <w:sz w:val="21"/>
        </w:rPr>
        <w:t>的使用情况进行了投资。现金及等价物余额增长，尽管本组织2015年11月一次性偿还了2,400</w:t>
      </w:r>
      <w:proofErr w:type="gramStart"/>
      <w:r w:rsidRPr="007A5789">
        <w:rPr>
          <w:sz w:val="21"/>
        </w:rPr>
        <w:t>万瑞</w:t>
      </w:r>
      <w:proofErr w:type="gramEnd"/>
      <w:r w:rsidRPr="007A5789">
        <w:rPr>
          <w:sz w:val="21"/>
        </w:rPr>
        <w:t>郎BCG/BCV新楼贷款。</w:t>
      </w:r>
    </w:p>
    <w:p w:rsidR="001B0B5F" w:rsidRPr="007A5789" w:rsidRDefault="005E3154" w:rsidP="00B6014B">
      <w:pPr>
        <w:pStyle w:val="ONUME"/>
        <w:tabs>
          <w:tab w:val="clear" w:pos="567"/>
        </w:tabs>
        <w:overflowPunct w:val="0"/>
        <w:spacing w:afterLines="50" w:after="120" w:line="340" w:lineRule="atLeast"/>
        <w:rPr>
          <w:sz w:val="21"/>
          <w:szCs w:val="22"/>
        </w:rPr>
      </w:pPr>
      <w:r w:rsidRPr="007A5789">
        <w:rPr>
          <w:sz w:val="21"/>
        </w:rPr>
        <w:t>本组织持有大量固定资产</w:t>
      </w:r>
      <w:r w:rsidR="00B6014B">
        <w:rPr>
          <w:sz w:val="21"/>
        </w:rPr>
        <w:t>（</w:t>
      </w:r>
      <w:r w:rsidRPr="007A5789">
        <w:rPr>
          <w:sz w:val="21"/>
        </w:rPr>
        <w:t>土地、办公楼、投资财产、无形资产及设备</w:t>
      </w:r>
      <w:r w:rsidR="00B6014B">
        <w:rPr>
          <w:sz w:val="21"/>
        </w:rPr>
        <w:t>）</w:t>
      </w:r>
      <w:r w:rsidRPr="007A5789">
        <w:rPr>
          <w:sz w:val="21"/>
        </w:rPr>
        <w:t>，账面净值总计为4.178亿瑞郎。安保建筑项目2015年完工，包括新登记中心、安全运营中心及安全边界。现有办公楼的扩建和改进工程费用也计入资本，包括</w:t>
      </w:r>
      <w:r w:rsidR="000C49C5">
        <w:rPr>
          <w:rFonts w:hint="eastAsia"/>
          <w:sz w:val="21"/>
        </w:rPr>
        <w:t>新会议厅</w:t>
      </w:r>
      <w:r w:rsidRPr="007A5789">
        <w:rPr>
          <w:sz w:val="21"/>
        </w:rPr>
        <w:t>内部及周边的一些剩余工程。2015年，大楼和建设总计投入620</w:t>
      </w:r>
      <w:proofErr w:type="gramStart"/>
      <w:r w:rsidRPr="007A5789">
        <w:rPr>
          <w:sz w:val="21"/>
        </w:rPr>
        <w:t>万瑞</w:t>
      </w:r>
      <w:proofErr w:type="gramEnd"/>
      <w:r w:rsidRPr="007A5789">
        <w:rPr>
          <w:sz w:val="21"/>
        </w:rPr>
        <w:t>郎。2015年，独立专家对本组织的投资财产马德里</w:t>
      </w:r>
      <w:proofErr w:type="gramStart"/>
      <w:r w:rsidRPr="007A5789">
        <w:rPr>
          <w:sz w:val="21"/>
        </w:rPr>
        <w:t>联盟楼</w:t>
      </w:r>
      <w:proofErr w:type="gramEnd"/>
      <w:r w:rsidRPr="007A5789">
        <w:rPr>
          <w:sz w:val="21"/>
        </w:rPr>
        <w:t>进行了重新估值。公允价值因此增加140</w:t>
      </w:r>
      <w:proofErr w:type="gramStart"/>
      <w:r w:rsidRPr="007A5789">
        <w:rPr>
          <w:sz w:val="21"/>
        </w:rPr>
        <w:t>万瑞</w:t>
      </w:r>
      <w:proofErr w:type="gramEnd"/>
      <w:r w:rsidRPr="007A5789">
        <w:rPr>
          <w:sz w:val="21"/>
        </w:rPr>
        <w:t>郎。所有固定资产的折旧及摊销总额为1,110</w:t>
      </w:r>
      <w:proofErr w:type="gramStart"/>
      <w:r w:rsidRPr="007A5789">
        <w:rPr>
          <w:sz w:val="21"/>
        </w:rPr>
        <w:t>万瑞</w:t>
      </w:r>
      <w:proofErr w:type="gramEnd"/>
      <w:r w:rsidRPr="007A5789">
        <w:rPr>
          <w:sz w:val="21"/>
        </w:rPr>
        <w:t>郎。</w:t>
      </w:r>
    </w:p>
    <w:p w:rsidR="004E7E0E" w:rsidRPr="007A5789" w:rsidRDefault="005E3154" w:rsidP="00B6014B">
      <w:pPr>
        <w:pStyle w:val="ONUME"/>
        <w:tabs>
          <w:tab w:val="clear" w:pos="567"/>
        </w:tabs>
        <w:overflowPunct w:val="0"/>
        <w:spacing w:afterLines="50" w:after="120" w:line="340" w:lineRule="atLeast"/>
        <w:rPr>
          <w:sz w:val="21"/>
          <w:szCs w:val="22"/>
        </w:rPr>
      </w:pPr>
      <w:r w:rsidRPr="007A5789">
        <w:rPr>
          <w:sz w:val="21"/>
        </w:rPr>
        <w:t>下表概述了本组织持有的固定资产。依据IPSAS，土地和财产根据使用目的，或持有合同权利或协议的性质进行不同分类。除了下列计入固定资产的土地和财产外，本组织在日内瓦租赁额外的场所、仓储和设施，并且为其部分驻外办事处租赁办公场所</w:t>
      </w:r>
      <w:r w:rsidR="00B6014B">
        <w:rPr>
          <w:sz w:val="21"/>
        </w:rPr>
        <w:t>（</w:t>
      </w:r>
      <w:r w:rsidRPr="007A5789">
        <w:rPr>
          <w:sz w:val="21"/>
        </w:rPr>
        <w:t>见附注19</w:t>
      </w:r>
      <w:r w:rsidR="00B6014B">
        <w:rPr>
          <w:sz w:val="21"/>
        </w:rPr>
        <w:t>）</w:t>
      </w:r>
      <w:r w:rsidRPr="007A5789">
        <w:rPr>
          <w:sz w:val="21"/>
        </w:rPr>
        <w:t>。本组织还拥有某些总部办公楼的地面权。这些权利由于是无偿获得，因此没有在财务报表中予以确认，但是予以披露</w:t>
      </w:r>
      <w:r w:rsidR="00B6014B">
        <w:rPr>
          <w:sz w:val="21"/>
        </w:rPr>
        <w:t>（</w:t>
      </w:r>
      <w:r w:rsidRPr="007A5789">
        <w:rPr>
          <w:sz w:val="21"/>
        </w:rPr>
        <w:t>见附注</w:t>
      </w:r>
      <w:r w:rsidR="006F192F">
        <w:rPr>
          <w:sz w:val="21"/>
        </w:rPr>
        <w:t>‍</w:t>
      </w:r>
      <w:r w:rsidRPr="007A5789">
        <w:rPr>
          <w:sz w:val="21"/>
        </w:rPr>
        <w:t>8</w:t>
      </w:r>
      <w:r w:rsidR="00B6014B">
        <w:rPr>
          <w:sz w:val="21"/>
        </w:rPr>
        <w:t>）</w:t>
      </w:r>
      <w:r w:rsidRPr="007A5789">
        <w:rPr>
          <w:sz w:val="21"/>
        </w:rPr>
        <w:t>。</w:t>
      </w:r>
    </w:p>
    <w:p w:rsidR="004E7E0E" w:rsidRPr="006A1075" w:rsidRDefault="004E7E0E" w:rsidP="006A1075">
      <w:pPr>
        <w:pStyle w:val="ONUME"/>
        <w:keepNext/>
        <w:numPr>
          <w:ilvl w:val="0"/>
          <w:numId w:val="0"/>
        </w:numPr>
        <w:overflowPunct w:val="0"/>
        <w:spacing w:afterLines="50" w:after="120" w:line="340" w:lineRule="atLeast"/>
        <w:jc w:val="center"/>
        <w:rPr>
          <w:sz w:val="21"/>
          <w:u w:val="single"/>
        </w:rPr>
      </w:pPr>
      <w:r w:rsidRPr="007A5789">
        <w:rPr>
          <w:sz w:val="21"/>
          <w:u w:val="single"/>
        </w:rPr>
        <w:lastRenderedPageBreak/>
        <w:t>截至2015年12月31日的固定资产</w:t>
      </w:r>
    </w:p>
    <w:p w:rsidR="000F3F0F" w:rsidRPr="007A5789" w:rsidRDefault="006627BD" w:rsidP="00FB0A33">
      <w:pPr>
        <w:spacing w:after="220"/>
        <w:jc w:val="center"/>
        <w:rPr>
          <w:sz w:val="21"/>
          <w:szCs w:val="22"/>
        </w:rPr>
      </w:pPr>
      <w:r w:rsidRPr="00EF7E79">
        <w:rPr>
          <w:noProof/>
          <w:sz w:val="21"/>
          <w:lang w:val="en-US" w:bidi="ar-SA"/>
        </w:rPr>
        <w:drawing>
          <wp:inline distT="0" distB="0" distL="0" distR="0" wp14:anchorId="7A7EE32C" wp14:editId="70DDFD93">
            <wp:extent cx="5931535" cy="3212465"/>
            <wp:effectExtent l="0" t="0" r="0" b="6985"/>
            <wp:docPr id="300" name="图片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31535" cy="3212465"/>
                    </a:xfrm>
                    <a:prstGeom prst="rect">
                      <a:avLst/>
                    </a:prstGeom>
                    <a:noFill/>
                    <a:ln>
                      <a:noFill/>
                    </a:ln>
                  </pic:spPr>
                </pic:pic>
              </a:graphicData>
            </a:graphic>
          </wp:inline>
        </w:drawing>
      </w:r>
    </w:p>
    <w:p w:rsidR="007A5789" w:rsidRDefault="000F3F0F" w:rsidP="00B6014B">
      <w:pPr>
        <w:pStyle w:val="ONUME"/>
        <w:tabs>
          <w:tab w:val="clear" w:pos="567"/>
        </w:tabs>
        <w:overflowPunct w:val="0"/>
        <w:spacing w:afterLines="50" w:after="120" w:line="340" w:lineRule="atLeast"/>
        <w:rPr>
          <w:sz w:val="21"/>
          <w:szCs w:val="22"/>
        </w:rPr>
      </w:pPr>
      <w:r w:rsidRPr="007A5789">
        <w:rPr>
          <w:sz w:val="21"/>
        </w:rPr>
        <w:t>本组织的其他资产总计6,970</w:t>
      </w:r>
      <w:proofErr w:type="gramStart"/>
      <w:r w:rsidRPr="007A5789">
        <w:rPr>
          <w:sz w:val="21"/>
        </w:rPr>
        <w:t>万瑞</w:t>
      </w:r>
      <w:proofErr w:type="gramEnd"/>
      <w:r w:rsidRPr="007A5789">
        <w:rPr>
          <w:sz w:val="21"/>
        </w:rPr>
        <w:t>郎，包括应收账款、库存和预付款。其中，最主要的是PCT应收账款，共计4,090</w:t>
      </w:r>
      <w:proofErr w:type="gramStart"/>
      <w:r w:rsidRPr="007A5789">
        <w:rPr>
          <w:sz w:val="21"/>
        </w:rPr>
        <w:t>万瑞</w:t>
      </w:r>
      <w:proofErr w:type="gramEnd"/>
      <w:r w:rsidRPr="007A5789">
        <w:rPr>
          <w:sz w:val="21"/>
        </w:rPr>
        <w:t>郎。在任</w:t>
      </w:r>
      <w:proofErr w:type="gramStart"/>
      <w:r w:rsidRPr="007A5789">
        <w:rPr>
          <w:sz w:val="21"/>
        </w:rPr>
        <w:t>一</w:t>
      </w:r>
      <w:proofErr w:type="gramEnd"/>
      <w:r w:rsidRPr="007A5789">
        <w:rPr>
          <w:sz w:val="21"/>
        </w:rPr>
        <w:t>特定时间，受理局乃至WIPO都受理了大量的PCT申请，但本组织却没有收到相应的</w:t>
      </w:r>
      <w:proofErr w:type="gramStart"/>
      <w:r w:rsidRPr="007A5789">
        <w:rPr>
          <w:sz w:val="21"/>
        </w:rPr>
        <w:t>规</w:t>
      </w:r>
      <w:proofErr w:type="gramEnd"/>
      <w:r w:rsidRPr="007A5789">
        <w:rPr>
          <w:sz w:val="21"/>
        </w:rPr>
        <w:t>费。PCT应收账款余额总计为4,670</w:t>
      </w:r>
      <w:proofErr w:type="gramStart"/>
      <w:r w:rsidRPr="007A5789">
        <w:rPr>
          <w:sz w:val="21"/>
        </w:rPr>
        <w:t>万瑞</w:t>
      </w:r>
      <w:proofErr w:type="gramEnd"/>
      <w:r w:rsidRPr="007A5789">
        <w:rPr>
          <w:sz w:val="21"/>
        </w:rPr>
        <w:t>郎，与上一年度相比下降。2014年底，前12个月内提交的申请中约有16%的申请仍未支付。2015年底，这个比例跌至约12.8%。</w:t>
      </w:r>
    </w:p>
    <w:p w:rsidR="00EE3A29" w:rsidRPr="00FF47B9" w:rsidRDefault="00EE3A29" w:rsidP="00FF47B9">
      <w:pPr>
        <w:keepNext/>
        <w:overflowPunct w:val="0"/>
        <w:spacing w:beforeLines="100" w:before="240" w:afterLines="50" w:after="120" w:line="340" w:lineRule="atLeast"/>
        <w:rPr>
          <w:rFonts w:ascii="KaiTi" w:eastAsia="KaiTi" w:hAnsi="KaiTi"/>
          <w:b/>
          <w:sz w:val="21"/>
        </w:rPr>
      </w:pPr>
      <w:r w:rsidRPr="00FF47B9">
        <w:rPr>
          <w:rFonts w:ascii="KaiTi" w:eastAsia="KaiTi" w:hAnsi="KaiTi"/>
          <w:b/>
          <w:sz w:val="21"/>
        </w:rPr>
        <w:t>负</w:t>
      </w:r>
      <w:r w:rsidR="006E59E2">
        <w:rPr>
          <w:rFonts w:ascii="KaiTi" w:eastAsia="KaiTi" w:hAnsi="KaiTi" w:hint="eastAsia"/>
          <w:b/>
          <w:sz w:val="21"/>
        </w:rPr>
        <w:t xml:space="preserve">　</w:t>
      </w:r>
      <w:r w:rsidRPr="00FF47B9">
        <w:rPr>
          <w:rFonts w:ascii="KaiTi" w:eastAsia="KaiTi" w:hAnsi="KaiTi"/>
          <w:b/>
          <w:sz w:val="21"/>
        </w:rPr>
        <w:t>债</w:t>
      </w:r>
    </w:p>
    <w:p w:rsidR="009109B9" w:rsidRPr="007A5789" w:rsidRDefault="00160147" w:rsidP="00B6014B">
      <w:pPr>
        <w:pStyle w:val="ONUME"/>
        <w:tabs>
          <w:tab w:val="clear" w:pos="567"/>
        </w:tabs>
        <w:overflowPunct w:val="0"/>
        <w:spacing w:afterLines="50" w:after="120" w:line="340" w:lineRule="atLeast"/>
        <w:rPr>
          <w:sz w:val="21"/>
          <w:szCs w:val="22"/>
        </w:rPr>
      </w:pPr>
      <w:r w:rsidRPr="007A5789">
        <w:rPr>
          <w:sz w:val="21"/>
        </w:rPr>
        <w:t>截至2015年12月31日，应付及预收账款总计3.598亿瑞郎，主要包括国际申请处理递</w:t>
      </w:r>
      <w:proofErr w:type="gramStart"/>
      <w:r w:rsidRPr="007A5789">
        <w:rPr>
          <w:sz w:val="21"/>
        </w:rPr>
        <w:t>延收入</w:t>
      </w:r>
      <w:proofErr w:type="gramEnd"/>
      <w:r w:rsidRPr="007A5789">
        <w:rPr>
          <w:sz w:val="21"/>
        </w:rPr>
        <w:t>2.192亿瑞郎</w:t>
      </w:r>
      <w:r w:rsidR="00B6014B">
        <w:rPr>
          <w:sz w:val="21"/>
        </w:rPr>
        <w:t>（</w:t>
      </w:r>
      <w:r w:rsidRPr="007A5789">
        <w:rPr>
          <w:sz w:val="21"/>
        </w:rPr>
        <w:t>按照PCT、马德里及海牙体系</w:t>
      </w:r>
      <w:r w:rsidR="00B6014B">
        <w:rPr>
          <w:sz w:val="21"/>
        </w:rPr>
        <w:t>）</w:t>
      </w:r>
      <w:r w:rsidRPr="007A5789">
        <w:rPr>
          <w:sz w:val="21"/>
        </w:rPr>
        <w:t>。这一递</w:t>
      </w:r>
      <w:proofErr w:type="gramStart"/>
      <w:r w:rsidRPr="007A5789">
        <w:rPr>
          <w:sz w:val="21"/>
        </w:rPr>
        <w:t>延收入</w:t>
      </w:r>
      <w:proofErr w:type="gramEnd"/>
      <w:r w:rsidRPr="007A5789">
        <w:rPr>
          <w:sz w:val="21"/>
        </w:rPr>
        <w:t>余额主要涉及2.171亿瑞郎的PCT体系</w:t>
      </w:r>
      <w:proofErr w:type="gramStart"/>
      <w:r w:rsidRPr="007A5789">
        <w:rPr>
          <w:sz w:val="21"/>
        </w:rPr>
        <w:t>规</w:t>
      </w:r>
      <w:proofErr w:type="gramEnd"/>
      <w:r w:rsidRPr="007A5789">
        <w:rPr>
          <w:sz w:val="21"/>
        </w:rPr>
        <w:t>费。与国际申请处理相关的收入递延到相关申请公布为止。在任</w:t>
      </w:r>
      <w:proofErr w:type="gramStart"/>
      <w:r w:rsidRPr="007A5789">
        <w:rPr>
          <w:sz w:val="21"/>
        </w:rPr>
        <w:t>一</w:t>
      </w:r>
      <w:proofErr w:type="gramEnd"/>
      <w:r w:rsidRPr="007A5789">
        <w:rPr>
          <w:sz w:val="21"/>
        </w:rPr>
        <w:t>特定时间，受理局或WIPO都受理了大量有待公布的PCT申请。截至2015年12月31日，就2014年或2015年提交的申请而言，大约还有155,534件申请有待公布。2014年底，大约有145,157件2013年或2014年提交的申请有待公布，PCT体系</w:t>
      </w:r>
      <w:proofErr w:type="gramStart"/>
      <w:r w:rsidRPr="007A5789">
        <w:rPr>
          <w:sz w:val="21"/>
        </w:rPr>
        <w:t>规</w:t>
      </w:r>
      <w:proofErr w:type="gramEnd"/>
      <w:r w:rsidRPr="007A5789">
        <w:rPr>
          <w:sz w:val="21"/>
        </w:rPr>
        <w:t>费的递</w:t>
      </w:r>
      <w:proofErr w:type="gramStart"/>
      <w:r w:rsidRPr="007A5789">
        <w:rPr>
          <w:sz w:val="21"/>
        </w:rPr>
        <w:t>延收入</w:t>
      </w:r>
      <w:proofErr w:type="gramEnd"/>
      <w:r w:rsidRPr="007A5789">
        <w:rPr>
          <w:sz w:val="21"/>
        </w:rPr>
        <w:t>余额为1.997亿瑞郎。</w:t>
      </w:r>
    </w:p>
    <w:p w:rsidR="000F3F0F" w:rsidRPr="007A5789" w:rsidRDefault="002F07DF" w:rsidP="00B6014B">
      <w:pPr>
        <w:pStyle w:val="ONUME"/>
        <w:tabs>
          <w:tab w:val="clear" w:pos="567"/>
        </w:tabs>
        <w:overflowPunct w:val="0"/>
        <w:spacing w:afterLines="50" w:after="120" w:line="340" w:lineRule="atLeast"/>
        <w:rPr>
          <w:sz w:val="21"/>
          <w:szCs w:val="22"/>
        </w:rPr>
      </w:pPr>
      <w:r w:rsidRPr="007A5789">
        <w:rPr>
          <w:sz w:val="21"/>
        </w:rPr>
        <w:t>雇员福利负债为1.715亿瑞郎，主要是1.372亿瑞郎的离职后健康保险</w:t>
      </w:r>
      <w:r w:rsidR="00B6014B">
        <w:rPr>
          <w:sz w:val="21"/>
        </w:rPr>
        <w:t>（</w:t>
      </w:r>
      <w:r w:rsidRPr="007A5789">
        <w:rPr>
          <w:sz w:val="21"/>
        </w:rPr>
        <w:t>ASHI</w:t>
      </w:r>
      <w:r w:rsidR="00B6014B">
        <w:rPr>
          <w:sz w:val="21"/>
        </w:rPr>
        <w:t>）</w:t>
      </w:r>
      <w:r w:rsidRPr="007A5789">
        <w:rPr>
          <w:sz w:val="21"/>
        </w:rPr>
        <w:t>负债，占截至2015年12月31日的雇员福利负债总额的80%。和2014年相比，ASHI负债增加了930</w:t>
      </w:r>
      <w:proofErr w:type="gramStart"/>
      <w:r w:rsidRPr="007A5789">
        <w:rPr>
          <w:sz w:val="21"/>
        </w:rPr>
        <w:t>万瑞</w:t>
      </w:r>
      <w:proofErr w:type="gramEnd"/>
      <w:r w:rsidRPr="007A5789">
        <w:rPr>
          <w:sz w:val="21"/>
        </w:rPr>
        <w:t>郎。该负债由独立的精算师计算，反映了WIPO为其已退休人员以及在职WIPO工作人员将来要退休的预计人数所承担的集体医疗保险费的全部未来成本。</w:t>
      </w:r>
    </w:p>
    <w:p w:rsidR="002F07DF" w:rsidRPr="006A1075" w:rsidRDefault="002F07DF" w:rsidP="006A1075">
      <w:pPr>
        <w:pStyle w:val="ONUME"/>
        <w:keepNext/>
        <w:numPr>
          <w:ilvl w:val="0"/>
          <w:numId w:val="0"/>
        </w:numPr>
        <w:overflowPunct w:val="0"/>
        <w:spacing w:afterLines="50" w:after="120" w:line="340" w:lineRule="atLeast"/>
        <w:jc w:val="center"/>
        <w:rPr>
          <w:sz w:val="21"/>
          <w:u w:val="single"/>
        </w:rPr>
      </w:pPr>
      <w:r w:rsidRPr="007A5789">
        <w:rPr>
          <w:sz w:val="21"/>
          <w:u w:val="single"/>
        </w:rPr>
        <w:lastRenderedPageBreak/>
        <w:t>截至2015年12月31日雇员福利负债构成</w:t>
      </w:r>
    </w:p>
    <w:p w:rsidR="002F07DF" w:rsidRPr="007A5789" w:rsidRDefault="0022533A" w:rsidP="0022533A">
      <w:pPr>
        <w:pStyle w:val="ONUME"/>
        <w:numPr>
          <w:ilvl w:val="0"/>
          <w:numId w:val="0"/>
        </w:numPr>
        <w:spacing w:afterLines="50" w:after="120" w:line="340" w:lineRule="atLeast"/>
        <w:jc w:val="center"/>
        <w:rPr>
          <w:sz w:val="21"/>
          <w:szCs w:val="22"/>
        </w:rPr>
      </w:pPr>
      <w:r w:rsidRPr="00EF7E79">
        <w:rPr>
          <w:noProof/>
          <w:sz w:val="21"/>
          <w:lang w:val="en-US" w:bidi="ar-SA"/>
        </w:rPr>
        <w:drawing>
          <wp:inline distT="0" distB="0" distL="0" distR="0" wp14:anchorId="6F91B554" wp14:editId="43E647C2">
            <wp:extent cx="5931535" cy="2321560"/>
            <wp:effectExtent l="0" t="0" r="0" b="2540"/>
            <wp:docPr id="302" name="图片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31535" cy="2321560"/>
                    </a:xfrm>
                    <a:prstGeom prst="rect">
                      <a:avLst/>
                    </a:prstGeom>
                    <a:noFill/>
                    <a:ln>
                      <a:noFill/>
                    </a:ln>
                  </pic:spPr>
                </pic:pic>
              </a:graphicData>
            </a:graphic>
          </wp:inline>
        </w:drawing>
      </w:r>
    </w:p>
    <w:p w:rsidR="007A5789" w:rsidRDefault="008B7FDA" w:rsidP="00B6014B">
      <w:pPr>
        <w:pStyle w:val="ONUME"/>
        <w:tabs>
          <w:tab w:val="clear" w:pos="567"/>
        </w:tabs>
        <w:overflowPunct w:val="0"/>
        <w:spacing w:afterLines="50" w:after="120" w:line="340" w:lineRule="atLeast"/>
        <w:rPr>
          <w:sz w:val="21"/>
        </w:rPr>
      </w:pPr>
      <w:r w:rsidRPr="007A5789">
        <w:rPr>
          <w:sz w:val="21"/>
        </w:rPr>
        <w:t>ASHI负债在过去七年间稳步增长，同时按照精算预算，接下来预计将继续保持增长的势头。负债每年随着本期服务费用和利息成本而增加，且每年随着本组织支付的福利而减少。本期服务费用是本年度雇员服务产生的净影响。利息成本是每一位在职工作人员每接近ASHI参与资格的年龄一年而产生的影响。本组织每年支付的福利是其每月为退休人员参加ASHI缴纳的款项</w:t>
      </w:r>
      <w:r w:rsidR="00B6014B">
        <w:rPr>
          <w:sz w:val="21"/>
        </w:rPr>
        <w:t>（</w:t>
      </w:r>
      <w:r w:rsidRPr="007A5789">
        <w:rPr>
          <w:sz w:val="21"/>
        </w:rPr>
        <w:t>目前是保费的</w:t>
      </w:r>
      <w:r w:rsidR="00A45FF1" w:rsidRPr="007A5789">
        <w:rPr>
          <w:sz w:val="21"/>
        </w:rPr>
        <w:t>6</w:t>
      </w:r>
      <w:r w:rsidR="00A45FF1" w:rsidRPr="007A5789">
        <w:rPr>
          <w:rFonts w:hint="eastAsia"/>
          <w:sz w:val="21"/>
        </w:rPr>
        <w:t>5</w:t>
      </w:r>
      <w:r w:rsidRPr="007A5789">
        <w:rPr>
          <w:sz w:val="21"/>
        </w:rPr>
        <w:t>%</w:t>
      </w:r>
      <w:r w:rsidR="00B6014B">
        <w:rPr>
          <w:sz w:val="21"/>
        </w:rPr>
        <w:t>）</w:t>
      </w:r>
      <w:r w:rsidRPr="007A5789">
        <w:rPr>
          <w:sz w:val="21"/>
        </w:rPr>
        <w:t>。因此，WIPO工作人员的人口统计概况，以及目前在职工作人员与退休人员的比例对负债变动产生重大影响。</w:t>
      </w:r>
    </w:p>
    <w:p w:rsidR="007A5789" w:rsidRPr="006A1075" w:rsidRDefault="008B7FDA" w:rsidP="006A1075">
      <w:pPr>
        <w:pStyle w:val="ONUME"/>
        <w:keepNext/>
        <w:numPr>
          <w:ilvl w:val="0"/>
          <w:numId w:val="0"/>
        </w:numPr>
        <w:overflowPunct w:val="0"/>
        <w:spacing w:afterLines="50" w:after="120" w:line="340" w:lineRule="atLeast"/>
        <w:jc w:val="center"/>
        <w:rPr>
          <w:sz w:val="21"/>
          <w:u w:val="single"/>
        </w:rPr>
      </w:pPr>
      <w:r w:rsidRPr="007A5789">
        <w:rPr>
          <w:sz w:val="21"/>
          <w:u w:val="single"/>
        </w:rPr>
        <w:t>2009年至2019年ASHI负债变动</w:t>
      </w:r>
    </w:p>
    <w:p w:rsidR="00F97423" w:rsidRPr="007A5789" w:rsidRDefault="0022533A" w:rsidP="0022533A">
      <w:pPr>
        <w:spacing w:afterLines="50" w:after="120" w:line="340" w:lineRule="atLeast"/>
        <w:jc w:val="center"/>
        <w:rPr>
          <w:sz w:val="21"/>
        </w:rPr>
      </w:pPr>
      <w:r w:rsidRPr="00EF7E79">
        <w:rPr>
          <w:noProof/>
          <w:sz w:val="21"/>
          <w:lang w:val="en-US" w:bidi="ar-SA"/>
        </w:rPr>
        <w:drawing>
          <wp:inline distT="0" distB="0" distL="0" distR="0" wp14:anchorId="7E2429A1" wp14:editId="4C5DF701">
            <wp:extent cx="4985385" cy="3021330"/>
            <wp:effectExtent l="0" t="0" r="5715" b="7620"/>
            <wp:docPr id="303" name="图片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985385" cy="3021330"/>
                    </a:xfrm>
                    <a:prstGeom prst="rect">
                      <a:avLst/>
                    </a:prstGeom>
                    <a:noFill/>
                    <a:ln>
                      <a:noFill/>
                    </a:ln>
                  </pic:spPr>
                </pic:pic>
              </a:graphicData>
            </a:graphic>
          </wp:inline>
        </w:drawing>
      </w:r>
    </w:p>
    <w:p w:rsidR="00E14CE0" w:rsidRPr="007A5789" w:rsidRDefault="008B7FDA" w:rsidP="00B6014B">
      <w:pPr>
        <w:pStyle w:val="ONUME"/>
        <w:tabs>
          <w:tab w:val="clear" w:pos="567"/>
        </w:tabs>
        <w:overflowPunct w:val="0"/>
        <w:spacing w:afterLines="50" w:after="120" w:line="340" w:lineRule="atLeast"/>
        <w:rPr>
          <w:sz w:val="21"/>
          <w:szCs w:val="22"/>
        </w:rPr>
      </w:pPr>
      <w:r w:rsidRPr="007A5789">
        <w:rPr>
          <w:sz w:val="21"/>
        </w:rPr>
        <w:t>独立精算师的计算还包括大量精算假设，包括贴现率、医疗费</w:t>
      </w:r>
      <w:proofErr w:type="gramStart"/>
      <w:r w:rsidRPr="007A5789">
        <w:rPr>
          <w:sz w:val="21"/>
        </w:rPr>
        <w:t>用趋势率</w:t>
      </w:r>
      <w:proofErr w:type="gramEnd"/>
      <w:r w:rsidRPr="007A5789">
        <w:rPr>
          <w:sz w:val="21"/>
        </w:rPr>
        <w:t>、员工流动率和死亡率。这些假设的同比变动导致精算损益。根据IPSAS，WIPO采用居间法对这些精算损益进行会计处理，这意味着他们没有立即在财务报表中予以确认。应该注意的是</w:t>
      </w:r>
      <w:r w:rsidR="00A45FF1" w:rsidRPr="007A5789">
        <w:rPr>
          <w:rFonts w:hint="eastAsia"/>
          <w:sz w:val="21"/>
        </w:rPr>
        <w:t>《</w:t>
      </w:r>
      <w:r w:rsidRPr="007A5789">
        <w:rPr>
          <w:sz w:val="21"/>
        </w:rPr>
        <w:t>国际财务报告准则</w:t>
      </w:r>
      <w:r w:rsidR="00A45FF1" w:rsidRPr="007A5789">
        <w:rPr>
          <w:rFonts w:hint="eastAsia"/>
          <w:sz w:val="21"/>
        </w:rPr>
        <w:t>》</w:t>
      </w:r>
      <w:r w:rsidR="00B6014B">
        <w:rPr>
          <w:sz w:val="21"/>
        </w:rPr>
        <w:t>（</w:t>
      </w:r>
      <w:r w:rsidRPr="007A5789">
        <w:rPr>
          <w:sz w:val="21"/>
        </w:rPr>
        <w:t>IFRS</w:t>
      </w:r>
      <w:r w:rsidR="00B6014B">
        <w:rPr>
          <w:sz w:val="21"/>
        </w:rPr>
        <w:t>）</w:t>
      </w:r>
      <w:r w:rsidRPr="007A5789">
        <w:rPr>
          <w:sz w:val="21"/>
        </w:rPr>
        <w:t>如今已经淘汰了用居间法来递延确认精算损益。2016年1月，IPSASB发布了</w:t>
      </w:r>
      <w:r w:rsidR="000D40DA" w:rsidRPr="007A5789">
        <w:rPr>
          <w:rFonts w:hint="eastAsia"/>
          <w:sz w:val="21"/>
        </w:rPr>
        <w:t>《</w:t>
      </w:r>
      <w:r w:rsidRPr="007A5789">
        <w:rPr>
          <w:sz w:val="21"/>
        </w:rPr>
        <w:t>征求意见稿</w:t>
      </w:r>
      <w:r w:rsidR="000D40DA" w:rsidRPr="007A5789">
        <w:rPr>
          <w:rFonts w:hint="eastAsia"/>
          <w:sz w:val="21"/>
        </w:rPr>
        <w:t>》</w:t>
      </w:r>
      <w:r w:rsidRPr="007A5789">
        <w:rPr>
          <w:sz w:val="21"/>
        </w:rPr>
        <w:t>，提出修订IPSAS 25员工福利，包括取消居间法。如果修订被最终批准，这将会引发财务状况表确认的ASHI负债出现更大幅的波动。截至2015年12月31日，WIPO与ASHI相关的累计未确认精算损失总额为7,880</w:t>
      </w:r>
      <w:proofErr w:type="gramStart"/>
      <w:r w:rsidRPr="007A5789">
        <w:rPr>
          <w:sz w:val="21"/>
        </w:rPr>
        <w:t>万瑞</w:t>
      </w:r>
      <w:proofErr w:type="gramEnd"/>
      <w:r w:rsidRPr="007A5789">
        <w:rPr>
          <w:sz w:val="21"/>
        </w:rPr>
        <w:t>郎。</w:t>
      </w:r>
    </w:p>
    <w:p w:rsidR="007A5789" w:rsidRDefault="008B7FDA" w:rsidP="00B6014B">
      <w:pPr>
        <w:pStyle w:val="ONUME"/>
        <w:tabs>
          <w:tab w:val="clear" w:pos="567"/>
        </w:tabs>
        <w:overflowPunct w:val="0"/>
        <w:spacing w:afterLines="50" w:after="120" w:line="340" w:lineRule="atLeast"/>
        <w:rPr>
          <w:sz w:val="21"/>
          <w:szCs w:val="22"/>
        </w:rPr>
      </w:pPr>
      <w:r w:rsidRPr="007A5789">
        <w:rPr>
          <w:sz w:val="21"/>
        </w:rPr>
        <w:lastRenderedPageBreak/>
        <w:t>借款为国际组织不动产基金会</w:t>
      </w:r>
      <w:r w:rsidR="00B6014B">
        <w:rPr>
          <w:sz w:val="21"/>
        </w:rPr>
        <w:t>（</w:t>
      </w:r>
      <w:r w:rsidRPr="007A5789">
        <w:rPr>
          <w:sz w:val="21"/>
        </w:rPr>
        <w:t>FIPOI</w:t>
      </w:r>
      <w:r w:rsidR="00B6014B">
        <w:rPr>
          <w:sz w:val="21"/>
        </w:rPr>
        <w:t>）</w:t>
      </w:r>
      <w:r w:rsidRPr="007A5789">
        <w:rPr>
          <w:sz w:val="21"/>
        </w:rPr>
        <w:t>的贷款</w:t>
      </w:r>
      <w:r w:rsidR="00B6014B">
        <w:rPr>
          <w:sz w:val="21"/>
        </w:rPr>
        <w:t>（</w:t>
      </w:r>
      <w:r w:rsidRPr="007A5789">
        <w:rPr>
          <w:sz w:val="21"/>
        </w:rPr>
        <w:t>1,960</w:t>
      </w:r>
      <w:proofErr w:type="gramStart"/>
      <w:r w:rsidRPr="007A5789">
        <w:rPr>
          <w:sz w:val="21"/>
        </w:rPr>
        <w:t>万瑞</w:t>
      </w:r>
      <w:proofErr w:type="gramEnd"/>
      <w:r w:rsidRPr="007A5789">
        <w:rPr>
          <w:sz w:val="21"/>
        </w:rPr>
        <w:t>郎</w:t>
      </w:r>
      <w:r w:rsidR="00B6014B">
        <w:rPr>
          <w:sz w:val="21"/>
        </w:rPr>
        <w:t>）</w:t>
      </w:r>
      <w:r w:rsidRPr="007A5789">
        <w:rPr>
          <w:sz w:val="21"/>
        </w:rPr>
        <w:t>和BCG/BCV新楼贷款</w:t>
      </w:r>
      <w:r w:rsidR="00B6014B">
        <w:rPr>
          <w:sz w:val="21"/>
        </w:rPr>
        <w:t>（</w:t>
      </w:r>
      <w:r w:rsidRPr="007A5789">
        <w:rPr>
          <w:sz w:val="21"/>
        </w:rPr>
        <w:t>9,040</w:t>
      </w:r>
      <w:proofErr w:type="gramStart"/>
      <w:r w:rsidRPr="007A5789">
        <w:rPr>
          <w:sz w:val="21"/>
        </w:rPr>
        <w:t>万瑞</w:t>
      </w:r>
      <w:proofErr w:type="gramEnd"/>
      <w:r w:rsidRPr="007A5789">
        <w:rPr>
          <w:sz w:val="21"/>
        </w:rPr>
        <w:t>郎</w:t>
      </w:r>
      <w:r w:rsidR="00B6014B">
        <w:rPr>
          <w:sz w:val="21"/>
        </w:rPr>
        <w:t>）</w:t>
      </w:r>
      <w:r w:rsidRPr="007A5789">
        <w:rPr>
          <w:sz w:val="21"/>
        </w:rPr>
        <w:t>。2015年偿还本金2,920</w:t>
      </w:r>
      <w:proofErr w:type="gramStart"/>
      <w:r w:rsidRPr="007A5789">
        <w:rPr>
          <w:sz w:val="21"/>
        </w:rPr>
        <w:t>万瑞</w:t>
      </w:r>
      <w:proofErr w:type="gramEnd"/>
      <w:r w:rsidRPr="007A5789">
        <w:rPr>
          <w:sz w:val="21"/>
        </w:rPr>
        <w:t>郎。本组织于2015年11月进行了第一期一次性偿还BCG/BCV新楼贷款，偿还金额为2,400</w:t>
      </w:r>
      <w:proofErr w:type="gramStart"/>
      <w:r w:rsidRPr="007A5789">
        <w:rPr>
          <w:sz w:val="21"/>
        </w:rPr>
        <w:t>万瑞</w:t>
      </w:r>
      <w:proofErr w:type="gramEnd"/>
      <w:r w:rsidRPr="007A5789">
        <w:rPr>
          <w:sz w:val="21"/>
        </w:rPr>
        <w:t>郎。本组织的其他负债总计为5,660</w:t>
      </w:r>
      <w:proofErr w:type="gramStart"/>
      <w:r w:rsidRPr="007A5789">
        <w:rPr>
          <w:sz w:val="21"/>
        </w:rPr>
        <w:t>万瑞</w:t>
      </w:r>
      <w:proofErr w:type="gramEnd"/>
      <w:r w:rsidRPr="007A5789">
        <w:rPr>
          <w:sz w:val="21"/>
        </w:rPr>
        <w:t>郎，其中包括代表申请人和缔约方持有的5,580</w:t>
      </w:r>
      <w:proofErr w:type="gramStart"/>
      <w:r w:rsidRPr="007A5789">
        <w:rPr>
          <w:sz w:val="21"/>
        </w:rPr>
        <w:t>万瑞</w:t>
      </w:r>
      <w:proofErr w:type="gramEnd"/>
      <w:r w:rsidRPr="007A5789">
        <w:rPr>
          <w:sz w:val="21"/>
        </w:rPr>
        <w:t>郎的</w:t>
      </w:r>
      <w:r w:rsidR="00237C47">
        <w:rPr>
          <w:rFonts w:hint="eastAsia"/>
          <w:sz w:val="21"/>
        </w:rPr>
        <w:t>往来</w:t>
      </w:r>
      <w:r w:rsidRPr="007A5789">
        <w:rPr>
          <w:sz w:val="21"/>
        </w:rPr>
        <w:t>账户存款，以及80</w:t>
      </w:r>
      <w:proofErr w:type="gramStart"/>
      <w:r w:rsidRPr="007A5789">
        <w:rPr>
          <w:sz w:val="21"/>
        </w:rPr>
        <w:t>万瑞</w:t>
      </w:r>
      <w:proofErr w:type="gramEnd"/>
      <w:r w:rsidRPr="007A5789">
        <w:rPr>
          <w:sz w:val="21"/>
        </w:rPr>
        <w:t>郎的法律费用准备金。</w:t>
      </w:r>
    </w:p>
    <w:p w:rsidR="007A5789" w:rsidRPr="00C8425D" w:rsidRDefault="00594A73" w:rsidP="00C8425D">
      <w:pPr>
        <w:keepNext/>
        <w:overflowPunct w:val="0"/>
        <w:spacing w:beforeLines="100" w:before="240" w:afterLines="50" w:after="120" w:line="340" w:lineRule="atLeast"/>
        <w:rPr>
          <w:b/>
          <w:sz w:val="21"/>
        </w:rPr>
      </w:pPr>
      <w:r w:rsidRPr="00C8425D">
        <w:rPr>
          <w:b/>
          <w:sz w:val="21"/>
        </w:rPr>
        <w:t>现金流量</w:t>
      </w:r>
    </w:p>
    <w:p w:rsidR="007A5789" w:rsidRDefault="00594A73" w:rsidP="00B6014B">
      <w:pPr>
        <w:pStyle w:val="ONUME"/>
        <w:tabs>
          <w:tab w:val="clear" w:pos="567"/>
        </w:tabs>
        <w:overflowPunct w:val="0"/>
        <w:spacing w:afterLines="50" w:after="120" w:line="340" w:lineRule="atLeast"/>
        <w:rPr>
          <w:sz w:val="21"/>
          <w:szCs w:val="22"/>
        </w:rPr>
      </w:pPr>
      <w:r w:rsidRPr="007A5789">
        <w:rPr>
          <w:sz w:val="21"/>
        </w:rPr>
        <w:t>截至2015年12月31日</w:t>
      </w:r>
      <w:r w:rsidR="00DF7115">
        <w:rPr>
          <w:sz w:val="21"/>
        </w:rPr>
        <w:t>，</w:t>
      </w:r>
      <w:r w:rsidRPr="007A5789">
        <w:rPr>
          <w:sz w:val="21"/>
        </w:rPr>
        <w:t>本组织现金余额为4.895亿瑞郎</w:t>
      </w:r>
      <w:r w:rsidR="00DF7115">
        <w:rPr>
          <w:sz w:val="21"/>
        </w:rPr>
        <w:t>，</w:t>
      </w:r>
      <w:r w:rsidRPr="007A5789">
        <w:rPr>
          <w:sz w:val="21"/>
        </w:rPr>
        <w:t>相比之下</w:t>
      </w:r>
      <w:r w:rsidR="00DF7115">
        <w:rPr>
          <w:sz w:val="21"/>
        </w:rPr>
        <w:t>，</w:t>
      </w:r>
      <w:r w:rsidRPr="007A5789">
        <w:rPr>
          <w:sz w:val="21"/>
        </w:rPr>
        <w:t>截至2014年12月31日</w:t>
      </w:r>
      <w:r w:rsidR="00DF7115">
        <w:rPr>
          <w:sz w:val="21"/>
        </w:rPr>
        <w:t>，</w:t>
      </w:r>
      <w:r w:rsidRPr="007A5789">
        <w:rPr>
          <w:sz w:val="21"/>
        </w:rPr>
        <w:t>现金余额为4.745亿瑞郎。现金余额总额自2011年起持续增长。尽管2015年11月一次性偿还贷款2,400</w:t>
      </w:r>
      <w:proofErr w:type="gramStart"/>
      <w:r w:rsidRPr="007A5789">
        <w:rPr>
          <w:sz w:val="21"/>
        </w:rPr>
        <w:t>万瑞</w:t>
      </w:r>
      <w:proofErr w:type="gramEnd"/>
      <w:r w:rsidRPr="007A5789">
        <w:rPr>
          <w:sz w:val="21"/>
        </w:rPr>
        <w:t>郎，但2014-2015年仍实现1,500</w:t>
      </w:r>
      <w:proofErr w:type="gramStart"/>
      <w:r w:rsidRPr="007A5789">
        <w:rPr>
          <w:sz w:val="21"/>
        </w:rPr>
        <w:t>万瑞</w:t>
      </w:r>
      <w:proofErr w:type="gramEnd"/>
      <w:r w:rsidRPr="007A5789">
        <w:rPr>
          <w:sz w:val="21"/>
        </w:rPr>
        <w:t>郎的增长。</w:t>
      </w:r>
    </w:p>
    <w:p w:rsidR="007A5789" w:rsidRDefault="00EE23D0" w:rsidP="00B6014B">
      <w:pPr>
        <w:pStyle w:val="ONUME"/>
        <w:tabs>
          <w:tab w:val="clear" w:pos="567"/>
        </w:tabs>
        <w:overflowPunct w:val="0"/>
        <w:spacing w:afterLines="50" w:after="120" w:line="340" w:lineRule="atLeast"/>
        <w:rPr>
          <w:sz w:val="21"/>
          <w:szCs w:val="22"/>
        </w:rPr>
      </w:pPr>
      <w:r w:rsidRPr="007A5789">
        <w:rPr>
          <w:sz w:val="21"/>
        </w:rPr>
        <w:t>本组织的现金存款通常存储在可随时访问的银行账户和记息账户。但2015年，大量现金存款转移至短期投资以避免某些可随时访问的银行账户在实施负利率后产生费用。</w:t>
      </w:r>
    </w:p>
    <w:p w:rsidR="007A5789" w:rsidRDefault="00EE23D0" w:rsidP="00B6014B">
      <w:pPr>
        <w:pStyle w:val="ONUME"/>
        <w:tabs>
          <w:tab w:val="clear" w:pos="567"/>
        </w:tabs>
        <w:overflowPunct w:val="0"/>
        <w:spacing w:afterLines="50" w:after="120" w:line="340" w:lineRule="atLeast"/>
        <w:rPr>
          <w:sz w:val="21"/>
          <w:szCs w:val="22"/>
        </w:rPr>
      </w:pPr>
      <w:r w:rsidRPr="007A5789">
        <w:rPr>
          <w:sz w:val="21"/>
        </w:rPr>
        <w:t>在财务报表中</w:t>
      </w:r>
      <w:r w:rsidR="00B6014B">
        <w:rPr>
          <w:sz w:val="21"/>
        </w:rPr>
        <w:t>（</w:t>
      </w:r>
      <w:r w:rsidRPr="007A5789">
        <w:rPr>
          <w:sz w:val="21"/>
        </w:rPr>
        <w:t>见附注3</w:t>
      </w:r>
      <w:r w:rsidR="00B6014B">
        <w:rPr>
          <w:sz w:val="21"/>
        </w:rPr>
        <w:t>）</w:t>
      </w:r>
      <w:r w:rsidRPr="007A5789">
        <w:rPr>
          <w:sz w:val="21"/>
        </w:rPr>
        <w:t>，现金按照受限和不受限余额分别列示：</w:t>
      </w:r>
    </w:p>
    <w:p w:rsidR="00E17626" w:rsidRPr="006A1075" w:rsidRDefault="00E17626" w:rsidP="006A1075">
      <w:pPr>
        <w:pStyle w:val="ONUME"/>
        <w:keepNext/>
        <w:numPr>
          <w:ilvl w:val="0"/>
          <w:numId w:val="0"/>
        </w:numPr>
        <w:overflowPunct w:val="0"/>
        <w:spacing w:afterLines="50" w:after="120" w:line="340" w:lineRule="atLeast"/>
        <w:jc w:val="center"/>
        <w:rPr>
          <w:sz w:val="21"/>
          <w:u w:val="single"/>
        </w:rPr>
      </w:pPr>
      <w:r w:rsidRPr="007A5789">
        <w:rPr>
          <w:sz w:val="21"/>
          <w:u w:val="single"/>
        </w:rPr>
        <w:t>2010年至2015年非受限和受限现金余额</w:t>
      </w:r>
    </w:p>
    <w:p w:rsidR="00594A73" w:rsidRPr="007A5789" w:rsidRDefault="0022533A" w:rsidP="0022533A">
      <w:pPr>
        <w:pStyle w:val="ONUME"/>
        <w:numPr>
          <w:ilvl w:val="0"/>
          <w:numId w:val="0"/>
        </w:numPr>
        <w:spacing w:afterLines="50" w:after="120" w:line="340" w:lineRule="atLeast"/>
        <w:jc w:val="center"/>
        <w:rPr>
          <w:sz w:val="21"/>
          <w:szCs w:val="22"/>
        </w:rPr>
      </w:pPr>
      <w:r w:rsidRPr="00EF7E79">
        <w:rPr>
          <w:noProof/>
          <w:sz w:val="21"/>
          <w:lang w:val="en-US" w:bidi="ar-SA"/>
        </w:rPr>
        <w:drawing>
          <wp:inline distT="0" distB="0" distL="0" distR="0" wp14:anchorId="7C037F25" wp14:editId="2D31A235">
            <wp:extent cx="5876290" cy="3554095"/>
            <wp:effectExtent l="0" t="0" r="0" b="8255"/>
            <wp:docPr id="305" name="图片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876290" cy="3554095"/>
                    </a:xfrm>
                    <a:prstGeom prst="rect">
                      <a:avLst/>
                    </a:prstGeom>
                    <a:noFill/>
                    <a:ln>
                      <a:noFill/>
                    </a:ln>
                  </pic:spPr>
                </pic:pic>
              </a:graphicData>
            </a:graphic>
          </wp:inline>
        </w:drawing>
      </w:r>
    </w:p>
    <w:p w:rsidR="007A5789" w:rsidRDefault="00EE23D0" w:rsidP="00B6014B">
      <w:pPr>
        <w:pStyle w:val="ONUME"/>
        <w:tabs>
          <w:tab w:val="clear" w:pos="567"/>
        </w:tabs>
        <w:overflowPunct w:val="0"/>
        <w:spacing w:afterLines="50" w:after="120" w:line="340" w:lineRule="atLeast"/>
        <w:rPr>
          <w:sz w:val="21"/>
          <w:szCs w:val="22"/>
        </w:rPr>
      </w:pPr>
      <w:r w:rsidRPr="007A5789">
        <w:rPr>
          <w:sz w:val="21"/>
        </w:rPr>
        <w:t>现金及现金等价物的多个部分被分类为受限。受限现金包括为第三方持有的往来账户</w:t>
      </w:r>
      <w:r w:rsidR="00B6014B">
        <w:rPr>
          <w:sz w:val="21"/>
        </w:rPr>
        <w:t>（</w:t>
      </w:r>
      <w:r w:rsidRPr="007A5789">
        <w:rPr>
          <w:sz w:val="21"/>
        </w:rPr>
        <w:t>PCT、马德里及海牙体系下的</w:t>
      </w:r>
      <w:r w:rsidR="00177F34">
        <w:rPr>
          <w:sz w:val="21"/>
        </w:rPr>
        <w:t>申请人</w:t>
      </w:r>
      <w:r w:rsidRPr="007A5789">
        <w:rPr>
          <w:sz w:val="21"/>
        </w:rPr>
        <w:t>以及某些缔约方</w:t>
      </w:r>
      <w:r w:rsidR="00B6014B">
        <w:rPr>
          <w:sz w:val="21"/>
        </w:rPr>
        <w:t>）</w:t>
      </w:r>
      <w:r w:rsidRPr="007A5789">
        <w:rPr>
          <w:sz w:val="21"/>
        </w:rPr>
        <w:t>、代表缔约方收集的费用、收到的与商标未决程序相关</w:t>
      </w:r>
      <w:r w:rsidR="00237C47">
        <w:rPr>
          <w:rFonts w:hint="eastAsia"/>
          <w:sz w:val="21"/>
        </w:rPr>
        <w:t>预付款</w:t>
      </w:r>
      <w:r w:rsidRPr="007A5789">
        <w:rPr>
          <w:sz w:val="21"/>
        </w:rPr>
        <w:t>、以及代表自愿捐款的捐助人持有的特殊账户。</w:t>
      </w:r>
    </w:p>
    <w:p w:rsidR="007A5789" w:rsidRDefault="00893CF0" w:rsidP="00B6014B">
      <w:pPr>
        <w:pStyle w:val="ONUME"/>
        <w:tabs>
          <w:tab w:val="clear" w:pos="567"/>
        </w:tabs>
        <w:overflowPunct w:val="0"/>
        <w:spacing w:afterLines="50" w:after="120" w:line="340" w:lineRule="atLeast"/>
        <w:rPr>
          <w:sz w:val="21"/>
        </w:rPr>
      </w:pPr>
      <w:r w:rsidRPr="007A5789">
        <w:rPr>
          <w:sz w:val="21"/>
        </w:rPr>
        <w:t>被分类为受限现金的还有本组织持有的用于未来离职后雇员福利负债</w:t>
      </w:r>
      <w:r w:rsidR="00B6014B">
        <w:rPr>
          <w:sz w:val="21"/>
        </w:rPr>
        <w:t>（</w:t>
      </w:r>
      <w:r w:rsidRPr="007A5789">
        <w:rPr>
          <w:sz w:val="21"/>
        </w:rPr>
        <w:t>包括ASHI</w:t>
      </w:r>
      <w:r w:rsidR="00B6014B">
        <w:rPr>
          <w:sz w:val="21"/>
        </w:rPr>
        <w:t>）</w:t>
      </w:r>
      <w:r w:rsidRPr="007A5789">
        <w:rPr>
          <w:sz w:val="21"/>
        </w:rPr>
        <w:t>融资的资金。这些资金持有在独立银行账户中，截至2015年12月31日账户余额为8,890</w:t>
      </w:r>
      <w:proofErr w:type="gramStart"/>
      <w:r w:rsidRPr="007A5789">
        <w:rPr>
          <w:sz w:val="21"/>
        </w:rPr>
        <w:t>万瑞</w:t>
      </w:r>
      <w:proofErr w:type="gramEnd"/>
      <w:r w:rsidRPr="007A5789">
        <w:rPr>
          <w:sz w:val="21"/>
        </w:rPr>
        <w:t>郎。2015年，用于为离职后雇员福利融资的员额成本计提产生1,320</w:t>
      </w:r>
      <w:proofErr w:type="gramStart"/>
      <w:r w:rsidRPr="007A5789">
        <w:rPr>
          <w:sz w:val="21"/>
        </w:rPr>
        <w:t>万瑞</w:t>
      </w:r>
      <w:proofErr w:type="gramEnd"/>
      <w:r w:rsidRPr="007A5789">
        <w:rPr>
          <w:sz w:val="21"/>
        </w:rPr>
        <w:t>郎的额外资金。这些资金将于2016年转入独立的银行账户。</w:t>
      </w:r>
    </w:p>
    <w:p w:rsidR="003D2CFC" w:rsidRPr="007A5789" w:rsidRDefault="003D2CFC" w:rsidP="00B6014B">
      <w:pPr>
        <w:pStyle w:val="ONUME"/>
        <w:tabs>
          <w:tab w:val="clear" w:pos="567"/>
        </w:tabs>
        <w:overflowPunct w:val="0"/>
        <w:spacing w:afterLines="50" w:after="120" w:line="340" w:lineRule="atLeast"/>
        <w:rPr>
          <w:sz w:val="21"/>
        </w:rPr>
      </w:pPr>
      <w:r w:rsidRPr="007A5789">
        <w:rPr>
          <w:sz w:val="21"/>
        </w:rPr>
        <w:lastRenderedPageBreak/>
        <w:t>如上文所述，本组织在2015年开始一次性偿还BCG/BCV新楼贷款。本组织于2015年11月进行了第一期一次性偿还贷款，偿还金额为2,400</w:t>
      </w:r>
      <w:proofErr w:type="gramStart"/>
      <w:r w:rsidRPr="007A5789">
        <w:rPr>
          <w:sz w:val="21"/>
        </w:rPr>
        <w:t>万瑞</w:t>
      </w:r>
      <w:proofErr w:type="gramEnd"/>
      <w:r w:rsidRPr="007A5789">
        <w:rPr>
          <w:sz w:val="21"/>
        </w:rPr>
        <w:t>郎。2016年1月进行了第二期一次性偿还贷款，金额为1,600</w:t>
      </w:r>
      <w:proofErr w:type="gramStart"/>
      <w:r w:rsidRPr="007A5789">
        <w:rPr>
          <w:sz w:val="21"/>
        </w:rPr>
        <w:t>万瑞</w:t>
      </w:r>
      <w:proofErr w:type="gramEnd"/>
      <w:r w:rsidRPr="007A5789">
        <w:rPr>
          <w:sz w:val="21"/>
        </w:rPr>
        <w:t>郎。</w:t>
      </w:r>
    </w:p>
    <w:p w:rsidR="00673422" w:rsidRPr="007A5789" w:rsidRDefault="003D2CFC" w:rsidP="00B6014B">
      <w:pPr>
        <w:pStyle w:val="ONUME"/>
        <w:tabs>
          <w:tab w:val="clear" w:pos="567"/>
        </w:tabs>
        <w:overflowPunct w:val="0"/>
        <w:spacing w:afterLines="50" w:after="120" w:line="340" w:lineRule="atLeast"/>
        <w:rPr>
          <w:sz w:val="21"/>
          <w:szCs w:val="22"/>
        </w:rPr>
      </w:pPr>
      <w:r w:rsidRPr="007A5789">
        <w:rPr>
          <w:sz w:val="21"/>
        </w:rPr>
        <w:t>本组织主要的现金流入是PCT体系</w:t>
      </w:r>
      <w:proofErr w:type="gramStart"/>
      <w:r w:rsidRPr="007A5789">
        <w:rPr>
          <w:sz w:val="21"/>
        </w:rPr>
        <w:t>规</w:t>
      </w:r>
      <w:proofErr w:type="gramEnd"/>
      <w:r w:rsidRPr="007A5789">
        <w:rPr>
          <w:sz w:val="21"/>
        </w:rPr>
        <w:t>费的付款。2015年，PCT体系</w:t>
      </w:r>
      <w:proofErr w:type="gramStart"/>
      <w:r w:rsidRPr="007A5789">
        <w:rPr>
          <w:sz w:val="21"/>
        </w:rPr>
        <w:t>规</w:t>
      </w:r>
      <w:proofErr w:type="gramEnd"/>
      <w:r w:rsidRPr="007A5789">
        <w:rPr>
          <w:sz w:val="21"/>
        </w:rPr>
        <w:t>费的月度现金流入平均为2,520</w:t>
      </w:r>
      <w:proofErr w:type="gramStart"/>
      <w:r w:rsidRPr="007A5789">
        <w:rPr>
          <w:sz w:val="21"/>
        </w:rPr>
        <w:t>万瑞</w:t>
      </w:r>
      <w:proofErr w:type="gramEnd"/>
      <w:r w:rsidRPr="007A5789">
        <w:rPr>
          <w:sz w:val="21"/>
        </w:rPr>
        <w:t>郎，2014年为2,460</w:t>
      </w:r>
      <w:proofErr w:type="gramStart"/>
      <w:r w:rsidRPr="007A5789">
        <w:rPr>
          <w:sz w:val="21"/>
        </w:rPr>
        <w:t>万瑞</w:t>
      </w:r>
      <w:proofErr w:type="gramEnd"/>
      <w:r w:rsidRPr="007A5789">
        <w:rPr>
          <w:sz w:val="21"/>
        </w:rPr>
        <w:t>郎。如下表所示，各月现金流入有着显著差异。由于弥补2013年申请的欠款以及2014年3月申请水平上升，2014年4月和5月来自PCT体系</w:t>
      </w:r>
      <w:proofErr w:type="gramStart"/>
      <w:r w:rsidRPr="007A5789">
        <w:rPr>
          <w:sz w:val="21"/>
        </w:rPr>
        <w:t>规</w:t>
      </w:r>
      <w:proofErr w:type="gramEnd"/>
      <w:r w:rsidRPr="007A5789">
        <w:rPr>
          <w:sz w:val="21"/>
        </w:rPr>
        <w:t>费的现金流量明显较高。2015年各月之间的流入情况更加一致。2015年流入最高的月份是12月，其中包括470</w:t>
      </w:r>
      <w:proofErr w:type="gramStart"/>
      <w:r w:rsidRPr="007A5789">
        <w:rPr>
          <w:sz w:val="21"/>
        </w:rPr>
        <w:t>万瑞</w:t>
      </w:r>
      <w:proofErr w:type="gramEnd"/>
      <w:r w:rsidRPr="007A5789">
        <w:rPr>
          <w:sz w:val="21"/>
        </w:rPr>
        <w:t>郎的支付调整。</w:t>
      </w:r>
    </w:p>
    <w:p w:rsidR="00C83CDF" w:rsidRPr="006A1075" w:rsidRDefault="00C83CDF" w:rsidP="006A1075">
      <w:pPr>
        <w:pStyle w:val="ONUME"/>
        <w:keepNext/>
        <w:numPr>
          <w:ilvl w:val="0"/>
          <w:numId w:val="0"/>
        </w:numPr>
        <w:overflowPunct w:val="0"/>
        <w:spacing w:afterLines="50" w:after="120" w:line="340" w:lineRule="atLeast"/>
        <w:jc w:val="center"/>
        <w:rPr>
          <w:sz w:val="21"/>
          <w:u w:val="single"/>
        </w:rPr>
      </w:pPr>
      <w:r w:rsidRPr="007A5789">
        <w:rPr>
          <w:sz w:val="21"/>
          <w:u w:val="single"/>
        </w:rPr>
        <w:t>2014-2015年月度PCT体系现金流入</w:t>
      </w:r>
    </w:p>
    <w:p w:rsidR="00C83CDF" w:rsidRPr="007A5789" w:rsidRDefault="0022533A" w:rsidP="0022533A">
      <w:pPr>
        <w:pStyle w:val="ONUME"/>
        <w:numPr>
          <w:ilvl w:val="0"/>
          <w:numId w:val="0"/>
        </w:numPr>
        <w:spacing w:afterLines="50" w:after="120" w:line="340" w:lineRule="atLeast"/>
        <w:jc w:val="center"/>
        <w:rPr>
          <w:sz w:val="21"/>
          <w:szCs w:val="22"/>
        </w:rPr>
      </w:pPr>
      <w:r w:rsidRPr="00EF7E79">
        <w:rPr>
          <w:noProof/>
          <w:sz w:val="21"/>
          <w:lang w:val="en-US" w:bidi="ar-SA"/>
        </w:rPr>
        <w:drawing>
          <wp:inline distT="0" distB="0" distL="0" distR="0" wp14:anchorId="043BB373" wp14:editId="015FF50F">
            <wp:extent cx="5780405" cy="3506470"/>
            <wp:effectExtent l="0" t="0" r="0" b="0"/>
            <wp:docPr id="306" name="图片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80405" cy="3506470"/>
                    </a:xfrm>
                    <a:prstGeom prst="rect">
                      <a:avLst/>
                    </a:prstGeom>
                    <a:noFill/>
                    <a:ln>
                      <a:noFill/>
                    </a:ln>
                  </pic:spPr>
                </pic:pic>
              </a:graphicData>
            </a:graphic>
          </wp:inline>
        </w:drawing>
      </w:r>
    </w:p>
    <w:p w:rsidR="0071598D" w:rsidRPr="00021B97" w:rsidRDefault="00D47896" w:rsidP="00CB5537">
      <w:pPr>
        <w:pStyle w:val="2"/>
        <w:keepNext w:val="0"/>
        <w:spacing w:before="0" w:afterLines="100" w:after="240" w:line="340" w:lineRule="atLeast"/>
        <w:jc w:val="center"/>
        <w:rPr>
          <w:rFonts w:ascii="SimHei" w:eastAsia="SimHei" w:hAnsi="SimHei"/>
          <w:bCs w:val="0"/>
          <w:iCs w:val="0"/>
          <w:sz w:val="21"/>
        </w:rPr>
      </w:pPr>
      <w:r w:rsidRPr="007A5789">
        <w:rPr>
          <w:sz w:val="21"/>
        </w:rPr>
        <w:br w:type="page"/>
      </w:r>
      <w:bookmarkStart w:id="19" w:name="_Toc441218483"/>
      <w:bookmarkStart w:id="20" w:name="_Toc455733214"/>
      <w:bookmarkStart w:id="21" w:name="_Toc456697863"/>
      <w:bookmarkStart w:id="22" w:name="_Toc456711726"/>
      <w:r w:rsidR="0071598D" w:rsidRPr="00021B97">
        <w:rPr>
          <w:rFonts w:ascii="SimHei" w:eastAsia="SimHei" w:hAnsi="SimHei"/>
          <w:b w:val="0"/>
          <w:sz w:val="21"/>
        </w:rPr>
        <w:lastRenderedPageBreak/>
        <w:t>报表</w:t>
      </w:r>
      <w:proofErr w:type="gramStart"/>
      <w:r w:rsidR="0071598D" w:rsidRPr="00021B97">
        <w:rPr>
          <w:rFonts w:ascii="SimHei" w:eastAsia="SimHei" w:hAnsi="SimHei"/>
          <w:b w:val="0"/>
          <w:sz w:val="21"/>
        </w:rPr>
        <w:t>一</w:t>
      </w:r>
      <w:proofErr w:type="gramEnd"/>
      <w:r w:rsidR="00021B97">
        <w:rPr>
          <w:rFonts w:ascii="SimHei" w:eastAsia="SimHei" w:hAnsi="SimHei" w:hint="eastAsia"/>
          <w:b w:val="0"/>
          <w:sz w:val="21"/>
        </w:rPr>
        <w:t xml:space="preserve"> </w:t>
      </w:r>
      <w:r w:rsidR="0071598D" w:rsidRPr="00021B97">
        <w:rPr>
          <w:rFonts w:ascii="SimHei" w:eastAsia="SimHei" w:hAnsi="SimHei"/>
          <w:b w:val="0"/>
          <w:sz w:val="21"/>
        </w:rPr>
        <w:t>-</w:t>
      </w:r>
      <w:r w:rsidR="00021B97">
        <w:rPr>
          <w:rFonts w:ascii="SimHei" w:eastAsia="SimHei" w:hAnsi="SimHei" w:hint="eastAsia"/>
          <w:b w:val="0"/>
          <w:sz w:val="21"/>
        </w:rPr>
        <w:t xml:space="preserve"> </w:t>
      </w:r>
      <w:r w:rsidR="0071598D" w:rsidRPr="00021B97">
        <w:rPr>
          <w:rFonts w:ascii="SimHei" w:eastAsia="SimHei" w:hAnsi="SimHei"/>
          <w:b w:val="0"/>
          <w:sz w:val="21"/>
        </w:rPr>
        <w:t>财务状况表</w:t>
      </w:r>
      <w:bookmarkEnd w:id="19"/>
      <w:bookmarkEnd w:id="20"/>
      <w:bookmarkEnd w:id="21"/>
      <w:bookmarkEnd w:id="22"/>
    </w:p>
    <w:p w:rsidR="002F1992" w:rsidRPr="00021B97" w:rsidRDefault="002F1992" w:rsidP="00021B97">
      <w:pPr>
        <w:keepNext/>
        <w:spacing w:line="340" w:lineRule="atLeast"/>
        <w:jc w:val="center"/>
        <w:rPr>
          <w:b/>
          <w:sz w:val="21"/>
          <w:szCs w:val="22"/>
        </w:rPr>
      </w:pPr>
      <w:r w:rsidRPr="00021B97">
        <w:rPr>
          <w:b/>
          <w:sz w:val="21"/>
        </w:rPr>
        <w:t>截至2015年12月31日</w:t>
      </w:r>
    </w:p>
    <w:p w:rsidR="007A5789" w:rsidRPr="00021B97" w:rsidRDefault="00B6014B" w:rsidP="00021B97">
      <w:pPr>
        <w:spacing w:afterLines="50" w:after="120" w:line="340" w:lineRule="atLeast"/>
        <w:jc w:val="center"/>
        <w:rPr>
          <w:rFonts w:ascii="KaiTi" w:eastAsia="KaiTi" w:hAnsi="KaiTi"/>
          <w:sz w:val="21"/>
          <w:szCs w:val="22"/>
        </w:rPr>
      </w:pPr>
      <w:r w:rsidRPr="00021B97">
        <w:rPr>
          <w:rFonts w:ascii="KaiTi" w:eastAsia="KaiTi" w:hAnsi="KaiTi"/>
          <w:sz w:val="21"/>
        </w:rPr>
        <w:t>（</w:t>
      </w:r>
      <w:r w:rsidR="002F1992" w:rsidRPr="00021B97">
        <w:rPr>
          <w:rFonts w:ascii="KaiTi" w:eastAsia="KaiTi" w:hAnsi="KaiTi"/>
          <w:sz w:val="21"/>
        </w:rPr>
        <w:t>单位：</w:t>
      </w:r>
      <w:proofErr w:type="gramStart"/>
      <w:r w:rsidR="002F1992" w:rsidRPr="00021B97">
        <w:rPr>
          <w:rFonts w:ascii="KaiTi" w:eastAsia="KaiTi" w:hAnsi="KaiTi"/>
          <w:sz w:val="21"/>
        </w:rPr>
        <w:t>千瑞郎</w:t>
      </w:r>
      <w:proofErr w:type="gramEnd"/>
      <w:r w:rsidRPr="00021B97">
        <w:rPr>
          <w:rFonts w:ascii="KaiTi" w:eastAsia="KaiTi" w:hAnsi="KaiTi"/>
          <w:sz w:val="21"/>
        </w:rPr>
        <w:t>）</w:t>
      </w:r>
    </w:p>
    <w:p w:rsidR="007A5789" w:rsidRDefault="00CB5537" w:rsidP="00CB5537">
      <w:pPr>
        <w:spacing w:afterLines="50" w:after="120" w:line="340" w:lineRule="atLeast"/>
        <w:jc w:val="center"/>
        <w:rPr>
          <w:sz w:val="21"/>
        </w:rPr>
      </w:pPr>
      <w:r w:rsidRPr="00EF7E79">
        <w:rPr>
          <w:noProof/>
          <w:sz w:val="21"/>
          <w:lang w:val="en-US" w:bidi="ar-SA"/>
        </w:rPr>
        <w:drawing>
          <wp:inline distT="0" distB="0" distL="0" distR="0" wp14:anchorId="5E1344A8" wp14:editId="243DDB17">
            <wp:extent cx="5940425" cy="6491246"/>
            <wp:effectExtent l="0" t="0" r="3175" b="508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0425" cy="6491246"/>
                    </a:xfrm>
                    <a:prstGeom prst="rect">
                      <a:avLst/>
                    </a:prstGeom>
                    <a:noFill/>
                    <a:ln>
                      <a:noFill/>
                    </a:ln>
                  </pic:spPr>
                </pic:pic>
              </a:graphicData>
            </a:graphic>
          </wp:inline>
        </w:drawing>
      </w:r>
    </w:p>
    <w:p w:rsidR="00F97423" w:rsidRPr="007A5789" w:rsidRDefault="00F97423" w:rsidP="00F97423">
      <w:pPr>
        <w:rPr>
          <w:sz w:val="21"/>
        </w:rPr>
        <w:sectPr w:rsidR="00F97423" w:rsidRPr="007A5789" w:rsidSect="008B64D0">
          <w:headerReference w:type="even" r:id="rId38"/>
          <w:headerReference w:type="default" r:id="rId39"/>
          <w:headerReference w:type="first" r:id="rId40"/>
          <w:endnotePr>
            <w:numFmt w:val="decimal"/>
          </w:endnotePr>
          <w:pgSz w:w="11907" w:h="16840" w:code="9"/>
          <w:pgMar w:top="567" w:right="1134" w:bottom="1418" w:left="1418" w:header="510" w:footer="1021" w:gutter="0"/>
          <w:cols w:space="720"/>
          <w:titlePg/>
          <w:docGrid w:linePitch="299"/>
        </w:sectPr>
      </w:pPr>
    </w:p>
    <w:p w:rsidR="0071598D" w:rsidRPr="00021B97" w:rsidRDefault="0071598D" w:rsidP="00021B97">
      <w:pPr>
        <w:pStyle w:val="2"/>
        <w:spacing w:before="0" w:afterLines="100" w:after="240" w:line="340" w:lineRule="atLeast"/>
        <w:jc w:val="center"/>
        <w:rPr>
          <w:rFonts w:ascii="SimHei" w:eastAsia="SimHei" w:hAnsi="SimHei"/>
          <w:b w:val="0"/>
          <w:sz w:val="21"/>
        </w:rPr>
      </w:pPr>
      <w:bookmarkStart w:id="23" w:name="_Toc441218484"/>
      <w:bookmarkStart w:id="24" w:name="_Toc455733215"/>
      <w:bookmarkStart w:id="25" w:name="_Toc456697864"/>
      <w:bookmarkStart w:id="26" w:name="_Toc456711727"/>
      <w:r w:rsidRPr="00021B97">
        <w:rPr>
          <w:rFonts w:ascii="SimHei" w:eastAsia="SimHei" w:hAnsi="SimHei"/>
          <w:b w:val="0"/>
          <w:sz w:val="21"/>
        </w:rPr>
        <w:lastRenderedPageBreak/>
        <w:t>报表二 - 财务执行情况表</w:t>
      </w:r>
      <w:bookmarkEnd w:id="23"/>
      <w:bookmarkEnd w:id="24"/>
      <w:bookmarkEnd w:id="25"/>
      <w:bookmarkEnd w:id="26"/>
    </w:p>
    <w:p w:rsidR="002F1992" w:rsidRPr="00021B97" w:rsidRDefault="002F1992" w:rsidP="00021B97">
      <w:pPr>
        <w:keepNext/>
        <w:spacing w:line="340" w:lineRule="atLeast"/>
        <w:jc w:val="center"/>
        <w:rPr>
          <w:b/>
          <w:sz w:val="21"/>
        </w:rPr>
      </w:pPr>
      <w:r w:rsidRPr="00021B97">
        <w:rPr>
          <w:b/>
          <w:sz w:val="21"/>
        </w:rPr>
        <w:t>2015年12月31日截止的年度</w:t>
      </w:r>
    </w:p>
    <w:p w:rsidR="007A5789" w:rsidRPr="00021B97" w:rsidRDefault="00B6014B" w:rsidP="00021B97">
      <w:pPr>
        <w:spacing w:afterLines="50" w:after="120" w:line="340" w:lineRule="atLeast"/>
        <w:jc w:val="center"/>
        <w:rPr>
          <w:rFonts w:ascii="KaiTi" w:eastAsia="KaiTi" w:hAnsi="KaiTi"/>
          <w:sz w:val="21"/>
        </w:rPr>
      </w:pPr>
      <w:r w:rsidRPr="00021B97">
        <w:rPr>
          <w:rFonts w:ascii="KaiTi" w:eastAsia="KaiTi" w:hAnsi="KaiTi"/>
          <w:sz w:val="21"/>
        </w:rPr>
        <w:t>（</w:t>
      </w:r>
      <w:r w:rsidR="002F1992" w:rsidRPr="00021B97">
        <w:rPr>
          <w:rFonts w:ascii="KaiTi" w:eastAsia="KaiTi" w:hAnsi="KaiTi"/>
          <w:sz w:val="21"/>
        </w:rPr>
        <w:t>单位：</w:t>
      </w:r>
      <w:proofErr w:type="gramStart"/>
      <w:r w:rsidR="002F1992" w:rsidRPr="00021B97">
        <w:rPr>
          <w:rFonts w:ascii="KaiTi" w:eastAsia="KaiTi" w:hAnsi="KaiTi"/>
          <w:sz w:val="21"/>
        </w:rPr>
        <w:t>千瑞郎</w:t>
      </w:r>
      <w:proofErr w:type="gramEnd"/>
      <w:r w:rsidRPr="00021B97">
        <w:rPr>
          <w:rFonts w:ascii="KaiTi" w:eastAsia="KaiTi" w:hAnsi="KaiTi"/>
          <w:sz w:val="21"/>
        </w:rPr>
        <w:t>）</w:t>
      </w:r>
    </w:p>
    <w:p w:rsidR="007A5789" w:rsidRDefault="00CB5537" w:rsidP="00CB5537">
      <w:pPr>
        <w:spacing w:afterLines="50" w:after="120" w:line="340" w:lineRule="atLeast"/>
        <w:jc w:val="center"/>
        <w:rPr>
          <w:sz w:val="21"/>
        </w:rPr>
      </w:pPr>
      <w:r w:rsidRPr="00EF7E79">
        <w:rPr>
          <w:noProof/>
          <w:sz w:val="21"/>
          <w:lang w:val="en-US" w:bidi="ar-SA"/>
        </w:rPr>
        <w:drawing>
          <wp:inline distT="0" distB="0" distL="0" distR="0" wp14:anchorId="5EE9C5F3" wp14:editId="495BD138">
            <wp:extent cx="5836285" cy="5574030"/>
            <wp:effectExtent l="0" t="0" r="0" b="7620"/>
            <wp:docPr id="309" name="图片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836285" cy="5574030"/>
                    </a:xfrm>
                    <a:prstGeom prst="rect">
                      <a:avLst/>
                    </a:prstGeom>
                    <a:noFill/>
                    <a:ln>
                      <a:noFill/>
                    </a:ln>
                  </pic:spPr>
                </pic:pic>
              </a:graphicData>
            </a:graphic>
          </wp:inline>
        </w:drawing>
      </w:r>
    </w:p>
    <w:p w:rsidR="00F97423" w:rsidRPr="007A5789" w:rsidRDefault="00F97423" w:rsidP="00F97423">
      <w:pPr>
        <w:rPr>
          <w:sz w:val="21"/>
        </w:rPr>
        <w:sectPr w:rsidR="00F97423" w:rsidRPr="007A5789" w:rsidSect="00817B84">
          <w:headerReference w:type="first" r:id="rId42"/>
          <w:endnotePr>
            <w:numFmt w:val="decimal"/>
          </w:endnotePr>
          <w:pgSz w:w="11907" w:h="16840" w:code="9"/>
          <w:pgMar w:top="567" w:right="1134" w:bottom="1418" w:left="1418" w:header="510" w:footer="1021" w:gutter="0"/>
          <w:cols w:space="720"/>
          <w:titlePg/>
          <w:docGrid w:linePitch="299"/>
        </w:sectPr>
      </w:pPr>
    </w:p>
    <w:p w:rsidR="0071598D" w:rsidRPr="00021B97" w:rsidRDefault="0071598D" w:rsidP="00021B97">
      <w:pPr>
        <w:pStyle w:val="2"/>
        <w:spacing w:before="0" w:afterLines="100" w:after="240" w:line="340" w:lineRule="atLeast"/>
        <w:jc w:val="center"/>
        <w:rPr>
          <w:rFonts w:ascii="SimHei" w:eastAsia="SimHei" w:hAnsi="SimHei"/>
          <w:b w:val="0"/>
          <w:sz w:val="21"/>
        </w:rPr>
      </w:pPr>
      <w:bookmarkStart w:id="27" w:name="_Toc441218485"/>
      <w:bookmarkStart w:id="28" w:name="_Toc455733216"/>
      <w:bookmarkStart w:id="29" w:name="_Toc456697865"/>
      <w:bookmarkStart w:id="30" w:name="_Toc456711728"/>
      <w:r w:rsidRPr="00021B97">
        <w:rPr>
          <w:rFonts w:ascii="SimHei" w:eastAsia="SimHei" w:hAnsi="SimHei"/>
          <w:b w:val="0"/>
          <w:sz w:val="21"/>
        </w:rPr>
        <w:lastRenderedPageBreak/>
        <w:t>报表三 - 净资产变动表</w:t>
      </w:r>
      <w:bookmarkEnd w:id="27"/>
      <w:bookmarkEnd w:id="28"/>
      <w:bookmarkEnd w:id="29"/>
      <w:bookmarkEnd w:id="30"/>
    </w:p>
    <w:p w:rsidR="00BF7D1E" w:rsidRPr="00021B97" w:rsidRDefault="00BF7D1E" w:rsidP="00021B97">
      <w:pPr>
        <w:keepNext/>
        <w:spacing w:line="340" w:lineRule="atLeast"/>
        <w:jc w:val="center"/>
        <w:rPr>
          <w:b/>
          <w:sz w:val="21"/>
        </w:rPr>
      </w:pPr>
      <w:r w:rsidRPr="00021B97">
        <w:rPr>
          <w:b/>
          <w:sz w:val="21"/>
        </w:rPr>
        <w:t>2015年12月31日截止的年度</w:t>
      </w:r>
    </w:p>
    <w:p w:rsidR="007A5789" w:rsidRPr="00021B97" w:rsidRDefault="00B6014B" w:rsidP="00021B97">
      <w:pPr>
        <w:spacing w:afterLines="50" w:after="120" w:line="340" w:lineRule="atLeast"/>
        <w:jc w:val="center"/>
        <w:rPr>
          <w:rFonts w:ascii="KaiTi" w:eastAsia="KaiTi" w:hAnsi="KaiTi"/>
          <w:sz w:val="21"/>
        </w:rPr>
      </w:pPr>
      <w:r w:rsidRPr="00021B97">
        <w:rPr>
          <w:rFonts w:ascii="KaiTi" w:eastAsia="KaiTi" w:hAnsi="KaiTi"/>
          <w:sz w:val="21"/>
        </w:rPr>
        <w:t>（</w:t>
      </w:r>
      <w:r w:rsidR="00BF7D1E" w:rsidRPr="00021B97">
        <w:rPr>
          <w:rFonts w:ascii="KaiTi" w:eastAsia="KaiTi" w:hAnsi="KaiTi"/>
          <w:sz w:val="21"/>
        </w:rPr>
        <w:t>单位：</w:t>
      </w:r>
      <w:proofErr w:type="gramStart"/>
      <w:r w:rsidR="00BF7D1E" w:rsidRPr="00021B97">
        <w:rPr>
          <w:rFonts w:ascii="KaiTi" w:eastAsia="KaiTi" w:hAnsi="KaiTi"/>
          <w:sz w:val="21"/>
        </w:rPr>
        <w:t>千瑞郎</w:t>
      </w:r>
      <w:proofErr w:type="gramEnd"/>
      <w:r w:rsidRPr="00021B97">
        <w:rPr>
          <w:rFonts w:ascii="KaiTi" w:eastAsia="KaiTi" w:hAnsi="KaiTi"/>
          <w:sz w:val="21"/>
        </w:rPr>
        <w:t>）</w:t>
      </w:r>
    </w:p>
    <w:p w:rsidR="00673422" w:rsidRPr="007A5789" w:rsidRDefault="00237C47" w:rsidP="001933CD">
      <w:pPr>
        <w:jc w:val="center"/>
        <w:rPr>
          <w:sz w:val="21"/>
        </w:rPr>
      </w:pPr>
      <w:r w:rsidRPr="00EF7E79">
        <w:rPr>
          <w:noProof/>
          <w:sz w:val="21"/>
          <w:lang w:val="en-US" w:bidi="ar-SA"/>
        </w:rPr>
        <w:drawing>
          <wp:inline distT="0" distB="0" distL="0" distR="0" wp14:anchorId="6C5A851D" wp14:editId="67B18AA4">
            <wp:extent cx="5940425" cy="4031702"/>
            <wp:effectExtent l="0" t="0" r="3175"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0425" cy="4031702"/>
                    </a:xfrm>
                    <a:prstGeom prst="rect">
                      <a:avLst/>
                    </a:prstGeom>
                    <a:noFill/>
                    <a:ln>
                      <a:noFill/>
                    </a:ln>
                  </pic:spPr>
                </pic:pic>
              </a:graphicData>
            </a:graphic>
          </wp:inline>
        </w:drawing>
      </w:r>
    </w:p>
    <w:p w:rsidR="0071598D" w:rsidRPr="00021B97" w:rsidRDefault="00197D20" w:rsidP="00CB5537">
      <w:pPr>
        <w:pStyle w:val="2"/>
        <w:spacing w:before="0" w:afterLines="100" w:after="240" w:line="340" w:lineRule="atLeast"/>
        <w:jc w:val="center"/>
        <w:rPr>
          <w:rFonts w:ascii="SimHei" w:eastAsia="SimHei" w:hAnsi="SimHei"/>
          <w:b w:val="0"/>
          <w:sz w:val="21"/>
        </w:rPr>
      </w:pPr>
      <w:bookmarkStart w:id="31" w:name="_Toc441218486"/>
      <w:bookmarkStart w:id="32" w:name="_Toc455733217"/>
      <w:bookmarkStart w:id="33" w:name="_Toc456697866"/>
      <w:bookmarkStart w:id="34" w:name="_Toc456711729"/>
      <w:r w:rsidRPr="00021B97">
        <w:rPr>
          <w:rFonts w:ascii="SimHei" w:eastAsia="SimHei" w:hAnsi="SimHei"/>
          <w:b w:val="0"/>
          <w:sz w:val="21"/>
        </w:rPr>
        <w:lastRenderedPageBreak/>
        <w:t>报表四 - 现金流量表</w:t>
      </w:r>
      <w:bookmarkEnd w:id="31"/>
      <w:bookmarkEnd w:id="32"/>
      <w:bookmarkEnd w:id="33"/>
      <w:bookmarkEnd w:id="34"/>
    </w:p>
    <w:p w:rsidR="00D26027" w:rsidRPr="00021B97" w:rsidRDefault="00D26027" w:rsidP="00021B97">
      <w:pPr>
        <w:keepNext/>
        <w:spacing w:line="340" w:lineRule="atLeast"/>
        <w:jc w:val="center"/>
        <w:rPr>
          <w:b/>
          <w:sz w:val="21"/>
        </w:rPr>
      </w:pPr>
      <w:r w:rsidRPr="00021B97">
        <w:rPr>
          <w:b/>
          <w:sz w:val="21"/>
        </w:rPr>
        <w:t>2015年12月31日截止的年度</w:t>
      </w:r>
    </w:p>
    <w:p w:rsidR="007A5789" w:rsidRPr="00021B97" w:rsidRDefault="00B6014B" w:rsidP="00021B97">
      <w:pPr>
        <w:keepNext/>
        <w:spacing w:afterLines="50" w:after="120" w:line="340" w:lineRule="atLeast"/>
        <w:jc w:val="center"/>
        <w:rPr>
          <w:rFonts w:ascii="KaiTi" w:eastAsia="KaiTi" w:hAnsi="KaiTi"/>
          <w:sz w:val="21"/>
        </w:rPr>
      </w:pPr>
      <w:r w:rsidRPr="00021B97">
        <w:rPr>
          <w:rFonts w:ascii="KaiTi" w:eastAsia="KaiTi" w:hAnsi="KaiTi"/>
          <w:sz w:val="21"/>
        </w:rPr>
        <w:t>（</w:t>
      </w:r>
      <w:r w:rsidR="00D26027" w:rsidRPr="00021B97">
        <w:rPr>
          <w:rFonts w:ascii="KaiTi" w:eastAsia="KaiTi" w:hAnsi="KaiTi"/>
          <w:sz w:val="21"/>
        </w:rPr>
        <w:t>单位：</w:t>
      </w:r>
      <w:proofErr w:type="gramStart"/>
      <w:r w:rsidR="00D26027" w:rsidRPr="00021B97">
        <w:rPr>
          <w:rFonts w:ascii="KaiTi" w:eastAsia="KaiTi" w:hAnsi="KaiTi"/>
          <w:sz w:val="21"/>
        </w:rPr>
        <w:t>千瑞郎</w:t>
      </w:r>
      <w:proofErr w:type="gramEnd"/>
      <w:r w:rsidRPr="00021B97">
        <w:rPr>
          <w:rFonts w:ascii="KaiTi" w:eastAsia="KaiTi" w:hAnsi="KaiTi"/>
          <w:sz w:val="21"/>
        </w:rPr>
        <w:t>）</w:t>
      </w:r>
    </w:p>
    <w:p w:rsidR="00274C9E" w:rsidRPr="007A5789" w:rsidRDefault="002050E3" w:rsidP="002050E3">
      <w:pPr>
        <w:spacing w:afterLines="50" w:after="120" w:line="340" w:lineRule="atLeast"/>
        <w:jc w:val="center"/>
        <w:rPr>
          <w:sz w:val="21"/>
        </w:rPr>
      </w:pPr>
      <w:r w:rsidRPr="00EF7E79">
        <w:rPr>
          <w:noProof/>
          <w:sz w:val="21"/>
          <w:lang w:val="en-US" w:bidi="ar-SA"/>
        </w:rPr>
        <w:drawing>
          <wp:inline distT="0" distB="0" distL="0" distR="0" wp14:anchorId="7B80B2A4" wp14:editId="13523026">
            <wp:extent cx="5899785" cy="6249670"/>
            <wp:effectExtent l="0" t="0" r="5715" b="0"/>
            <wp:docPr id="312" name="图片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899785" cy="6249670"/>
                    </a:xfrm>
                    <a:prstGeom prst="rect">
                      <a:avLst/>
                    </a:prstGeom>
                    <a:noFill/>
                    <a:ln>
                      <a:noFill/>
                    </a:ln>
                  </pic:spPr>
                </pic:pic>
              </a:graphicData>
            </a:graphic>
          </wp:inline>
        </w:drawing>
      </w:r>
    </w:p>
    <w:p w:rsidR="00B6141C" w:rsidRPr="007A5789" w:rsidRDefault="00B6141C" w:rsidP="00B6141C">
      <w:pPr>
        <w:rPr>
          <w:sz w:val="16"/>
          <w:szCs w:val="16"/>
        </w:rPr>
      </w:pPr>
      <w:r w:rsidRPr="007A5789">
        <w:rPr>
          <w:sz w:val="16"/>
        </w:rPr>
        <w:t>(1)-不包括利息所得和为借款支付的利息，以及汇率变化对现金及现金等价物产生的影响。利息所得包括在投资收入中，见附注23。为借款支付的利息详见附注15。汇率变化对现金及现金等价物产生的影响见附注26</w:t>
      </w:r>
      <w:r w:rsidR="00223417" w:rsidRPr="007A5789">
        <w:rPr>
          <w:rFonts w:hint="eastAsia"/>
          <w:sz w:val="16"/>
        </w:rPr>
        <w:t>。</w:t>
      </w:r>
    </w:p>
    <w:p w:rsidR="007A5789" w:rsidRPr="00021B97" w:rsidRDefault="008B4A68" w:rsidP="00021B97">
      <w:pPr>
        <w:pStyle w:val="2"/>
        <w:spacing w:before="0" w:afterLines="100" w:after="240" w:line="340" w:lineRule="atLeast"/>
        <w:jc w:val="center"/>
        <w:rPr>
          <w:rFonts w:ascii="SimHei" w:eastAsia="SimHei" w:hAnsi="SimHei"/>
          <w:b w:val="0"/>
          <w:sz w:val="21"/>
        </w:rPr>
      </w:pPr>
      <w:bookmarkStart w:id="35" w:name="_Toc456711730"/>
      <w:r w:rsidRPr="00021B97">
        <w:rPr>
          <w:rFonts w:ascii="SimHei" w:eastAsia="SimHei" w:hAnsi="SimHei"/>
          <w:b w:val="0"/>
          <w:sz w:val="21"/>
        </w:rPr>
        <w:lastRenderedPageBreak/>
        <w:t>报表五</w:t>
      </w:r>
      <w:r w:rsidR="007D26F4" w:rsidRPr="00021B97">
        <w:rPr>
          <w:rFonts w:ascii="SimHei" w:eastAsia="SimHei" w:hAnsi="SimHei" w:hint="eastAsia"/>
          <w:b w:val="0"/>
          <w:sz w:val="21"/>
        </w:rPr>
        <w:br/>
      </w:r>
      <w:r w:rsidRPr="00021B97">
        <w:rPr>
          <w:rFonts w:ascii="SimHei" w:eastAsia="SimHei" w:hAnsi="SimHei"/>
          <w:b w:val="0"/>
          <w:sz w:val="21"/>
        </w:rPr>
        <w:t>预算与实际金额对比表</w:t>
      </w:r>
      <w:r w:rsidR="00021B97">
        <w:rPr>
          <w:rFonts w:ascii="SimHei" w:eastAsia="SimHei" w:hAnsi="SimHei" w:hint="eastAsia"/>
          <w:b w:val="0"/>
          <w:sz w:val="21"/>
        </w:rPr>
        <w:t xml:space="preserve"> </w:t>
      </w:r>
      <w:r w:rsidRPr="00021B97">
        <w:rPr>
          <w:rFonts w:ascii="SimHei" w:eastAsia="SimHei" w:hAnsi="SimHei"/>
          <w:b w:val="0"/>
          <w:sz w:val="21"/>
        </w:rPr>
        <w:t>-</w:t>
      </w:r>
      <w:r w:rsidR="00021B97">
        <w:rPr>
          <w:rFonts w:ascii="SimHei" w:eastAsia="SimHei" w:hAnsi="SimHei" w:hint="eastAsia"/>
          <w:b w:val="0"/>
          <w:sz w:val="21"/>
        </w:rPr>
        <w:t xml:space="preserve"> </w:t>
      </w:r>
      <w:r w:rsidRPr="00021B97">
        <w:rPr>
          <w:rFonts w:ascii="SimHei" w:eastAsia="SimHei" w:hAnsi="SimHei"/>
          <w:b w:val="0"/>
          <w:sz w:val="21"/>
        </w:rPr>
        <w:t>收入</w:t>
      </w:r>
      <w:bookmarkEnd w:id="35"/>
    </w:p>
    <w:p w:rsidR="008B4A68" w:rsidRPr="00021B97" w:rsidRDefault="008B4A68" w:rsidP="00021B97">
      <w:pPr>
        <w:keepNext/>
        <w:spacing w:line="340" w:lineRule="atLeast"/>
        <w:jc w:val="center"/>
        <w:rPr>
          <w:b/>
          <w:sz w:val="21"/>
        </w:rPr>
      </w:pPr>
      <w:r w:rsidRPr="00021B97">
        <w:rPr>
          <w:b/>
          <w:sz w:val="21"/>
        </w:rPr>
        <w:t>2015年12月31日截止的年度</w:t>
      </w:r>
    </w:p>
    <w:p w:rsidR="007A5789" w:rsidRPr="00021B97" w:rsidRDefault="00B6014B" w:rsidP="00021B97">
      <w:pPr>
        <w:keepNext/>
        <w:spacing w:afterLines="50" w:after="120" w:line="340" w:lineRule="atLeast"/>
        <w:jc w:val="center"/>
        <w:rPr>
          <w:rFonts w:ascii="KaiTi" w:eastAsia="KaiTi" w:hAnsi="KaiTi"/>
          <w:sz w:val="21"/>
        </w:rPr>
      </w:pPr>
      <w:r w:rsidRPr="00021B97">
        <w:rPr>
          <w:rFonts w:ascii="KaiTi" w:eastAsia="KaiTi" w:hAnsi="KaiTi"/>
          <w:sz w:val="21"/>
        </w:rPr>
        <w:t>（</w:t>
      </w:r>
      <w:r w:rsidR="00D17207" w:rsidRPr="00021B97">
        <w:rPr>
          <w:rFonts w:ascii="KaiTi" w:eastAsia="KaiTi" w:hAnsi="KaiTi"/>
          <w:sz w:val="21"/>
        </w:rPr>
        <w:t>单位：</w:t>
      </w:r>
      <w:proofErr w:type="gramStart"/>
      <w:r w:rsidR="00D17207" w:rsidRPr="00021B97">
        <w:rPr>
          <w:rFonts w:ascii="KaiTi" w:eastAsia="KaiTi" w:hAnsi="KaiTi"/>
          <w:sz w:val="21"/>
        </w:rPr>
        <w:t>千瑞郎</w:t>
      </w:r>
      <w:proofErr w:type="gramEnd"/>
      <w:r w:rsidRPr="00021B97">
        <w:rPr>
          <w:rFonts w:ascii="KaiTi" w:eastAsia="KaiTi" w:hAnsi="KaiTi"/>
          <w:sz w:val="21"/>
        </w:rPr>
        <w:t>）</w:t>
      </w:r>
    </w:p>
    <w:p w:rsidR="007A5789" w:rsidRDefault="00316F63" w:rsidP="002050E3">
      <w:pPr>
        <w:spacing w:afterLines="50" w:after="120" w:line="340" w:lineRule="atLeast"/>
        <w:jc w:val="center"/>
        <w:rPr>
          <w:sz w:val="21"/>
        </w:rPr>
      </w:pPr>
      <w:r w:rsidRPr="00EF7E79">
        <w:rPr>
          <w:noProof/>
          <w:sz w:val="21"/>
          <w:lang w:val="en-US" w:bidi="ar-SA"/>
        </w:rPr>
        <w:drawing>
          <wp:inline distT="0" distB="0" distL="0" distR="0" wp14:anchorId="532F4EAD" wp14:editId="58EA157E">
            <wp:extent cx="5940425" cy="3168351"/>
            <wp:effectExtent l="0" t="0" r="317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0425" cy="3168351"/>
                    </a:xfrm>
                    <a:prstGeom prst="rect">
                      <a:avLst/>
                    </a:prstGeom>
                    <a:noFill/>
                    <a:ln>
                      <a:noFill/>
                    </a:ln>
                  </pic:spPr>
                </pic:pic>
              </a:graphicData>
            </a:graphic>
          </wp:inline>
        </w:drawing>
      </w:r>
    </w:p>
    <w:p w:rsidR="00316F63" w:rsidRDefault="00316F63" w:rsidP="00F17D98">
      <w:pPr>
        <w:tabs>
          <w:tab w:val="left" w:pos="644"/>
        </w:tabs>
        <w:rPr>
          <w:sz w:val="16"/>
        </w:rPr>
      </w:pPr>
    </w:p>
    <w:p w:rsidR="0025563A" w:rsidRPr="007A5789" w:rsidRDefault="00880100" w:rsidP="00F17D98">
      <w:pPr>
        <w:tabs>
          <w:tab w:val="left" w:pos="644"/>
        </w:tabs>
        <w:rPr>
          <w:sz w:val="16"/>
        </w:rPr>
      </w:pPr>
      <w:r w:rsidRPr="007A5789">
        <w:rPr>
          <w:sz w:val="16"/>
        </w:rPr>
        <w:t>(</w:t>
      </w:r>
      <w:r w:rsidR="00F17D98" w:rsidRPr="007A5789">
        <w:rPr>
          <w:sz w:val="16"/>
        </w:rPr>
        <w:t>1</w:t>
      </w:r>
      <w:r w:rsidRPr="007A5789">
        <w:rPr>
          <w:sz w:val="16"/>
        </w:rPr>
        <w:t>)</w:t>
      </w:r>
      <w:r w:rsidR="00F17D98" w:rsidRPr="007A5789">
        <w:rPr>
          <w:sz w:val="16"/>
        </w:rPr>
        <w:t>-原始预算和</w:t>
      </w:r>
      <w:r w:rsidR="00F17D98" w:rsidRPr="00F94318">
        <w:rPr>
          <w:sz w:val="16"/>
        </w:rPr>
        <w:t>“</w:t>
      </w:r>
      <w:r w:rsidR="00F17D98" w:rsidRPr="007A5789">
        <w:rPr>
          <w:sz w:val="16"/>
        </w:rPr>
        <w:t>最终</w:t>
      </w:r>
      <w:r w:rsidR="007C045C" w:rsidRPr="00F94318">
        <w:rPr>
          <w:sz w:val="16"/>
        </w:rPr>
        <w:t>”</w:t>
      </w:r>
      <w:r w:rsidR="00F17D98" w:rsidRPr="007A5789">
        <w:rPr>
          <w:sz w:val="16"/>
        </w:rPr>
        <w:t>预算两栏表示2014/15两年期核定预算的第二年。</w:t>
      </w:r>
    </w:p>
    <w:p w:rsidR="007A5789" w:rsidRDefault="00880100" w:rsidP="00F17D98">
      <w:pPr>
        <w:tabs>
          <w:tab w:val="left" w:pos="540"/>
        </w:tabs>
        <w:rPr>
          <w:sz w:val="16"/>
          <w:szCs w:val="16"/>
        </w:rPr>
      </w:pPr>
      <w:r w:rsidRPr="007A5789">
        <w:rPr>
          <w:sz w:val="16"/>
        </w:rPr>
        <w:t>(</w:t>
      </w:r>
      <w:r w:rsidR="00F17D98" w:rsidRPr="007A5789">
        <w:rPr>
          <w:sz w:val="16"/>
        </w:rPr>
        <w:t>2</w:t>
      </w:r>
      <w:r w:rsidRPr="007A5789">
        <w:rPr>
          <w:sz w:val="16"/>
        </w:rPr>
        <w:t>)</w:t>
      </w:r>
      <w:r w:rsidR="00F17D98" w:rsidRPr="007A5789">
        <w:rPr>
          <w:sz w:val="16"/>
        </w:rPr>
        <w:t>-表示2015年</w:t>
      </w:r>
      <w:r w:rsidR="00F17D98" w:rsidRPr="00F94318">
        <w:rPr>
          <w:sz w:val="16"/>
        </w:rPr>
        <w:t>“</w:t>
      </w:r>
      <w:r w:rsidR="00F17D98" w:rsidRPr="007A5789">
        <w:rPr>
          <w:sz w:val="16"/>
        </w:rPr>
        <w:t>最终</w:t>
      </w:r>
      <w:r w:rsidR="00F17D98" w:rsidRPr="00F94318">
        <w:rPr>
          <w:sz w:val="16"/>
        </w:rPr>
        <w:t>”</w:t>
      </w:r>
      <w:r w:rsidR="00F17D98" w:rsidRPr="007A5789">
        <w:rPr>
          <w:sz w:val="16"/>
        </w:rPr>
        <w:t>预算与2015年12月31日截止的年度实际可比收入的差额。</w:t>
      </w:r>
    </w:p>
    <w:p w:rsidR="007A5789" w:rsidRPr="00021B97" w:rsidRDefault="008B4A68" w:rsidP="00021B97">
      <w:pPr>
        <w:pStyle w:val="2"/>
        <w:spacing w:before="0" w:afterLines="100" w:after="240" w:line="340" w:lineRule="atLeast"/>
        <w:jc w:val="center"/>
        <w:rPr>
          <w:rFonts w:ascii="SimHei" w:eastAsia="SimHei" w:hAnsi="SimHei"/>
          <w:b w:val="0"/>
          <w:sz w:val="21"/>
        </w:rPr>
      </w:pPr>
      <w:bookmarkStart w:id="36" w:name="_Toc456711731"/>
      <w:r w:rsidRPr="00021B97">
        <w:rPr>
          <w:rFonts w:ascii="SimHei" w:eastAsia="SimHei" w:hAnsi="SimHei"/>
          <w:b w:val="0"/>
          <w:sz w:val="21"/>
        </w:rPr>
        <w:lastRenderedPageBreak/>
        <w:t>报表五</w:t>
      </w:r>
      <w:bookmarkEnd w:id="36"/>
      <w:r w:rsidR="00021B97">
        <w:rPr>
          <w:rFonts w:ascii="SimHei" w:eastAsia="SimHei" w:hAnsi="SimHei" w:hint="eastAsia"/>
          <w:b w:val="0"/>
          <w:sz w:val="21"/>
        </w:rPr>
        <w:br/>
      </w:r>
      <w:bookmarkStart w:id="37" w:name="_Toc456711732"/>
      <w:r w:rsidRPr="00021B97">
        <w:rPr>
          <w:rFonts w:ascii="SimHei" w:eastAsia="SimHei" w:hAnsi="SimHei"/>
          <w:b w:val="0"/>
          <w:sz w:val="21"/>
        </w:rPr>
        <w:t>预算与实际金额对比表</w:t>
      </w:r>
      <w:r w:rsidR="00021B97">
        <w:rPr>
          <w:rFonts w:ascii="SimHei" w:eastAsia="SimHei" w:hAnsi="SimHei" w:hint="eastAsia"/>
          <w:b w:val="0"/>
          <w:sz w:val="21"/>
        </w:rPr>
        <w:t xml:space="preserve"> </w:t>
      </w:r>
      <w:r w:rsidRPr="00021B97">
        <w:rPr>
          <w:rFonts w:ascii="SimHei" w:eastAsia="SimHei" w:hAnsi="SimHei"/>
          <w:b w:val="0"/>
          <w:sz w:val="21"/>
        </w:rPr>
        <w:t>-</w:t>
      </w:r>
      <w:r w:rsidR="00021B97">
        <w:rPr>
          <w:rFonts w:ascii="SimHei" w:eastAsia="SimHei" w:hAnsi="SimHei" w:hint="eastAsia"/>
          <w:b w:val="0"/>
          <w:sz w:val="21"/>
        </w:rPr>
        <w:t xml:space="preserve"> </w:t>
      </w:r>
      <w:r w:rsidRPr="00021B97">
        <w:rPr>
          <w:rFonts w:ascii="SimHei" w:eastAsia="SimHei" w:hAnsi="SimHei"/>
          <w:b w:val="0"/>
          <w:sz w:val="21"/>
        </w:rPr>
        <w:t>支出</w:t>
      </w:r>
      <w:bookmarkEnd w:id="37"/>
    </w:p>
    <w:p w:rsidR="008B4A68" w:rsidRPr="00021B97" w:rsidRDefault="008B4A68" w:rsidP="00021B97">
      <w:pPr>
        <w:keepNext/>
        <w:spacing w:line="340" w:lineRule="atLeast"/>
        <w:jc w:val="center"/>
        <w:rPr>
          <w:b/>
          <w:sz w:val="21"/>
        </w:rPr>
      </w:pPr>
      <w:r w:rsidRPr="00021B97">
        <w:rPr>
          <w:b/>
          <w:sz w:val="21"/>
        </w:rPr>
        <w:t>2015年12月31日截止的年度</w:t>
      </w:r>
    </w:p>
    <w:p w:rsidR="007A5789" w:rsidRPr="00021B97" w:rsidRDefault="00B6014B" w:rsidP="00021B97">
      <w:pPr>
        <w:keepNext/>
        <w:spacing w:afterLines="50" w:after="120" w:line="340" w:lineRule="atLeast"/>
        <w:jc w:val="center"/>
        <w:rPr>
          <w:rFonts w:ascii="KaiTi" w:eastAsia="KaiTi" w:hAnsi="KaiTi"/>
          <w:sz w:val="21"/>
        </w:rPr>
      </w:pPr>
      <w:r w:rsidRPr="00021B97">
        <w:rPr>
          <w:rFonts w:ascii="KaiTi" w:eastAsia="KaiTi" w:hAnsi="KaiTi"/>
          <w:sz w:val="21"/>
        </w:rPr>
        <w:t>（</w:t>
      </w:r>
      <w:r w:rsidR="00F17D98" w:rsidRPr="00021B97">
        <w:rPr>
          <w:rFonts w:ascii="KaiTi" w:eastAsia="KaiTi" w:hAnsi="KaiTi"/>
          <w:sz w:val="21"/>
        </w:rPr>
        <w:t>单位：</w:t>
      </w:r>
      <w:proofErr w:type="gramStart"/>
      <w:r w:rsidR="00F17D98" w:rsidRPr="00021B97">
        <w:rPr>
          <w:rFonts w:ascii="KaiTi" w:eastAsia="KaiTi" w:hAnsi="KaiTi"/>
          <w:sz w:val="21"/>
        </w:rPr>
        <w:t>千瑞郎</w:t>
      </w:r>
      <w:proofErr w:type="gramEnd"/>
      <w:r w:rsidRPr="00021B97">
        <w:rPr>
          <w:rFonts w:ascii="KaiTi" w:eastAsia="KaiTi" w:hAnsi="KaiTi"/>
          <w:sz w:val="21"/>
        </w:rPr>
        <w:t>）</w:t>
      </w:r>
    </w:p>
    <w:p w:rsidR="00F17D98" w:rsidRPr="007A5789" w:rsidRDefault="006D1B5C" w:rsidP="006D1B5C">
      <w:pPr>
        <w:spacing w:afterLines="50" w:after="120" w:line="340" w:lineRule="atLeast"/>
        <w:jc w:val="center"/>
        <w:rPr>
          <w:sz w:val="21"/>
        </w:rPr>
      </w:pPr>
      <w:r w:rsidRPr="00EF7E79">
        <w:rPr>
          <w:noProof/>
          <w:sz w:val="21"/>
          <w:lang w:val="en-US" w:bidi="ar-SA"/>
        </w:rPr>
        <w:drawing>
          <wp:inline distT="0" distB="0" distL="0" distR="0" wp14:anchorId="79BB4D8E" wp14:editId="219B3793">
            <wp:extent cx="5940425" cy="6908539"/>
            <wp:effectExtent l="0" t="0" r="3175" b="0"/>
            <wp:docPr id="314" name="图片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40425" cy="6908539"/>
                    </a:xfrm>
                    <a:prstGeom prst="rect">
                      <a:avLst/>
                    </a:prstGeom>
                    <a:noFill/>
                    <a:ln>
                      <a:noFill/>
                    </a:ln>
                  </pic:spPr>
                </pic:pic>
              </a:graphicData>
            </a:graphic>
          </wp:inline>
        </w:drawing>
      </w:r>
    </w:p>
    <w:p w:rsidR="00F17D98" w:rsidRPr="007A5789" w:rsidRDefault="00880100" w:rsidP="006D1B5C">
      <w:pPr>
        <w:rPr>
          <w:sz w:val="16"/>
          <w:szCs w:val="16"/>
        </w:rPr>
      </w:pPr>
      <w:r w:rsidRPr="007A5789">
        <w:rPr>
          <w:sz w:val="16"/>
        </w:rPr>
        <w:t>(</w:t>
      </w:r>
      <w:r w:rsidR="00F17D98" w:rsidRPr="007A5789">
        <w:rPr>
          <w:sz w:val="16"/>
        </w:rPr>
        <w:t>1</w:t>
      </w:r>
      <w:r w:rsidRPr="007A5789">
        <w:rPr>
          <w:sz w:val="16"/>
        </w:rPr>
        <w:t>)</w:t>
      </w:r>
      <w:r w:rsidR="00F17D98" w:rsidRPr="007A5789">
        <w:rPr>
          <w:sz w:val="16"/>
        </w:rPr>
        <w:t>-原始预算和</w:t>
      </w:r>
      <w:r w:rsidR="00F17D98" w:rsidRPr="00F94318">
        <w:rPr>
          <w:sz w:val="16"/>
        </w:rPr>
        <w:t>“</w:t>
      </w:r>
      <w:r w:rsidR="00F17D98" w:rsidRPr="007A5789">
        <w:rPr>
          <w:sz w:val="16"/>
        </w:rPr>
        <w:t>最终</w:t>
      </w:r>
      <w:r w:rsidR="007C045C" w:rsidRPr="00F94318">
        <w:rPr>
          <w:sz w:val="16"/>
        </w:rPr>
        <w:t>”</w:t>
      </w:r>
      <w:r w:rsidR="00F17D98" w:rsidRPr="007A5789">
        <w:rPr>
          <w:sz w:val="16"/>
        </w:rPr>
        <w:t>预算两栏表示2014/15两年期核定预算的第二年。由于WIPO实行两年预算周期，2014/15年在《财务条例与细则》</w:t>
      </w:r>
      <w:r w:rsidR="00B6014B">
        <w:rPr>
          <w:sz w:val="16"/>
        </w:rPr>
        <w:t>（</w:t>
      </w:r>
      <w:r w:rsidR="00F17D98" w:rsidRPr="007A5789">
        <w:rPr>
          <w:sz w:val="16"/>
        </w:rPr>
        <w:t>条例5.5</w:t>
      </w:r>
      <w:r w:rsidR="000650CA">
        <w:rPr>
          <w:rFonts w:hint="eastAsia"/>
          <w:sz w:val="16"/>
        </w:rPr>
        <w:t>）</w:t>
      </w:r>
      <w:r w:rsidR="00F17D98" w:rsidRPr="007A5789">
        <w:rPr>
          <w:sz w:val="16"/>
        </w:rPr>
        <w:t>规定的限制内发生的各计划之间的预算调剂使用体现在标题为</w:t>
      </w:r>
      <w:r w:rsidR="00F17D98" w:rsidRPr="00F94318">
        <w:rPr>
          <w:sz w:val="16"/>
        </w:rPr>
        <w:t>“</w:t>
      </w:r>
      <w:r w:rsidR="00F17D98" w:rsidRPr="007A5789">
        <w:rPr>
          <w:sz w:val="16"/>
        </w:rPr>
        <w:t>2014/15年调剂使用后的最终预算</w:t>
      </w:r>
      <w:r w:rsidR="00F17D98" w:rsidRPr="00F94318">
        <w:rPr>
          <w:sz w:val="16"/>
        </w:rPr>
        <w:t>”</w:t>
      </w:r>
      <w:r w:rsidR="00F17D98" w:rsidRPr="007A5789">
        <w:rPr>
          <w:sz w:val="16"/>
        </w:rPr>
        <w:t>中的两年预算数字中。2014/15年调剂使用后的最终预算与2014/15年原始批准预算之间的对比请参考2014/15年的报表五。原始预算基于WIPO成员国大会2013年12月12日批准的6.74亿瑞郎的两年期预算</w:t>
      </w:r>
      <w:r w:rsidR="007C045C" w:rsidRPr="007A5789">
        <w:rPr>
          <w:rFonts w:hint="eastAsia"/>
          <w:sz w:val="16"/>
        </w:rPr>
        <w:t>。</w:t>
      </w:r>
    </w:p>
    <w:p w:rsidR="0025563A" w:rsidRPr="007A5789" w:rsidRDefault="00880100" w:rsidP="00F17D98">
      <w:pPr>
        <w:rPr>
          <w:sz w:val="16"/>
        </w:rPr>
      </w:pPr>
      <w:r w:rsidRPr="007A5789">
        <w:rPr>
          <w:sz w:val="16"/>
        </w:rPr>
        <w:t>(</w:t>
      </w:r>
      <w:r w:rsidR="00F17D98" w:rsidRPr="007A5789">
        <w:rPr>
          <w:sz w:val="16"/>
        </w:rPr>
        <w:t>2</w:t>
      </w:r>
      <w:r w:rsidRPr="007A5789">
        <w:rPr>
          <w:sz w:val="16"/>
        </w:rPr>
        <w:t>)</w:t>
      </w:r>
      <w:r w:rsidR="00F17D98" w:rsidRPr="007A5789">
        <w:rPr>
          <w:sz w:val="16"/>
        </w:rPr>
        <w:t>-表示2015年</w:t>
      </w:r>
      <w:r w:rsidR="00F17D98" w:rsidRPr="00F94318">
        <w:rPr>
          <w:sz w:val="16"/>
        </w:rPr>
        <w:t>“</w:t>
      </w:r>
      <w:r w:rsidR="00F17D98" w:rsidRPr="007A5789">
        <w:rPr>
          <w:sz w:val="16"/>
        </w:rPr>
        <w:t>最终</w:t>
      </w:r>
      <w:r w:rsidR="00F17D98" w:rsidRPr="00F94318">
        <w:rPr>
          <w:sz w:val="16"/>
        </w:rPr>
        <w:t>”</w:t>
      </w:r>
      <w:r w:rsidR="00F17D98" w:rsidRPr="007A5789">
        <w:rPr>
          <w:sz w:val="16"/>
        </w:rPr>
        <w:t>预算与2015年12月31日截止的年度实际可比支出的差额。</w:t>
      </w:r>
    </w:p>
    <w:p w:rsidR="00880100" w:rsidRPr="007A5789" w:rsidRDefault="00880100" w:rsidP="00A92B75">
      <w:pPr>
        <w:rPr>
          <w:sz w:val="16"/>
        </w:rPr>
      </w:pPr>
      <w:r w:rsidRPr="007A5789">
        <w:rPr>
          <w:sz w:val="16"/>
        </w:rPr>
        <w:t>(</w:t>
      </w:r>
      <w:r w:rsidR="00F17D98" w:rsidRPr="007A5789">
        <w:rPr>
          <w:sz w:val="16"/>
        </w:rPr>
        <w:t>3</w:t>
      </w:r>
      <w:r w:rsidRPr="007A5789">
        <w:rPr>
          <w:sz w:val="16"/>
        </w:rPr>
        <w:t>)</w:t>
      </w:r>
      <w:r w:rsidR="00F17D98" w:rsidRPr="007A5789">
        <w:rPr>
          <w:sz w:val="16"/>
        </w:rPr>
        <w:t>-依据IPSAS对盈余的调整详见财务报表附注22。</w:t>
      </w:r>
    </w:p>
    <w:p w:rsidR="007A5789" w:rsidRPr="00021B97" w:rsidRDefault="00A92B75" w:rsidP="00021B97">
      <w:pPr>
        <w:pStyle w:val="2"/>
        <w:spacing w:before="0" w:afterLines="100" w:after="240" w:line="340" w:lineRule="atLeast"/>
        <w:jc w:val="center"/>
        <w:rPr>
          <w:rFonts w:ascii="SimHei" w:eastAsia="SimHei" w:hAnsi="SimHei"/>
          <w:b w:val="0"/>
          <w:sz w:val="21"/>
        </w:rPr>
      </w:pPr>
      <w:bookmarkStart w:id="38" w:name="_Toc456711733"/>
      <w:r w:rsidRPr="00021B97">
        <w:rPr>
          <w:rFonts w:ascii="SimHei" w:eastAsia="SimHei" w:hAnsi="SimHei"/>
          <w:b w:val="0"/>
          <w:sz w:val="21"/>
        </w:rPr>
        <w:lastRenderedPageBreak/>
        <w:t>报表五</w:t>
      </w:r>
      <w:r w:rsidR="007D26F4" w:rsidRPr="00021B97">
        <w:rPr>
          <w:rFonts w:ascii="SimHei" w:eastAsia="SimHei" w:hAnsi="SimHei" w:hint="eastAsia"/>
          <w:b w:val="0"/>
          <w:sz w:val="21"/>
        </w:rPr>
        <w:br/>
      </w:r>
      <w:r w:rsidRPr="00021B97">
        <w:rPr>
          <w:rFonts w:ascii="SimHei" w:eastAsia="SimHei" w:hAnsi="SimHei"/>
          <w:b w:val="0"/>
          <w:sz w:val="21"/>
        </w:rPr>
        <w:t>预算与实际金额对比表</w:t>
      </w:r>
      <w:r w:rsidR="00021B97">
        <w:rPr>
          <w:rFonts w:ascii="SimHei" w:eastAsia="SimHei" w:hAnsi="SimHei" w:hint="eastAsia"/>
          <w:b w:val="0"/>
          <w:sz w:val="21"/>
        </w:rPr>
        <w:t xml:space="preserve"> </w:t>
      </w:r>
      <w:r w:rsidRPr="00021B97">
        <w:rPr>
          <w:rFonts w:ascii="SimHei" w:eastAsia="SimHei" w:hAnsi="SimHei"/>
          <w:b w:val="0"/>
          <w:sz w:val="21"/>
        </w:rPr>
        <w:t>-</w:t>
      </w:r>
      <w:r w:rsidR="00021B97">
        <w:rPr>
          <w:rFonts w:ascii="SimHei" w:eastAsia="SimHei" w:hAnsi="SimHei" w:hint="eastAsia"/>
          <w:b w:val="0"/>
          <w:sz w:val="21"/>
        </w:rPr>
        <w:t xml:space="preserve"> </w:t>
      </w:r>
      <w:r w:rsidRPr="00021B97">
        <w:rPr>
          <w:rFonts w:ascii="SimHei" w:eastAsia="SimHei" w:hAnsi="SimHei"/>
          <w:b w:val="0"/>
          <w:sz w:val="21"/>
        </w:rPr>
        <w:t>收入</w:t>
      </w:r>
      <w:bookmarkEnd w:id="38"/>
    </w:p>
    <w:p w:rsidR="00A92B75" w:rsidRPr="00021B97" w:rsidRDefault="00A92B75" w:rsidP="00021B97">
      <w:pPr>
        <w:keepNext/>
        <w:spacing w:line="340" w:lineRule="atLeast"/>
        <w:jc w:val="center"/>
        <w:rPr>
          <w:b/>
          <w:sz w:val="21"/>
        </w:rPr>
      </w:pPr>
      <w:r w:rsidRPr="00021B97">
        <w:rPr>
          <w:b/>
          <w:sz w:val="21"/>
        </w:rPr>
        <w:t>2015年12月31日截止的两年</w:t>
      </w:r>
    </w:p>
    <w:p w:rsidR="007A5789" w:rsidRPr="00021B97" w:rsidRDefault="00B6014B" w:rsidP="00021B97">
      <w:pPr>
        <w:keepNext/>
        <w:spacing w:afterLines="50" w:after="120" w:line="340" w:lineRule="atLeast"/>
        <w:jc w:val="center"/>
        <w:rPr>
          <w:rFonts w:ascii="KaiTi" w:eastAsia="KaiTi" w:hAnsi="KaiTi"/>
          <w:sz w:val="21"/>
        </w:rPr>
      </w:pPr>
      <w:r w:rsidRPr="00021B97">
        <w:rPr>
          <w:rFonts w:ascii="KaiTi" w:eastAsia="KaiTi" w:hAnsi="KaiTi"/>
          <w:sz w:val="21"/>
        </w:rPr>
        <w:t>（</w:t>
      </w:r>
      <w:r w:rsidR="00A92B75" w:rsidRPr="00021B97">
        <w:rPr>
          <w:rFonts w:ascii="KaiTi" w:eastAsia="KaiTi" w:hAnsi="KaiTi"/>
          <w:sz w:val="21"/>
        </w:rPr>
        <w:t>单位：</w:t>
      </w:r>
      <w:proofErr w:type="gramStart"/>
      <w:r w:rsidR="00A92B75" w:rsidRPr="00021B97">
        <w:rPr>
          <w:rFonts w:ascii="KaiTi" w:eastAsia="KaiTi" w:hAnsi="KaiTi"/>
          <w:sz w:val="21"/>
        </w:rPr>
        <w:t>千瑞郎</w:t>
      </w:r>
      <w:proofErr w:type="gramEnd"/>
      <w:r w:rsidRPr="00021B97">
        <w:rPr>
          <w:rFonts w:ascii="KaiTi" w:eastAsia="KaiTi" w:hAnsi="KaiTi"/>
          <w:sz w:val="21"/>
        </w:rPr>
        <w:t>）</w:t>
      </w:r>
    </w:p>
    <w:p w:rsidR="008B4A68" w:rsidRPr="007A5789" w:rsidRDefault="00316F63" w:rsidP="006D1B5C">
      <w:pPr>
        <w:jc w:val="center"/>
        <w:rPr>
          <w:sz w:val="21"/>
        </w:rPr>
      </w:pPr>
      <w:r w:rsidRPr="00EF7E79">
        <w:rPr>
          <w:noProof/>
          <w:sz w:val="21"/>
          <w:lang w:val="en-US" w:bidi="ar-SA"/>
        </w:rPr>
        <w:drawing>
          <wp:inline distT="0" distB="0" distL="0" distR="0" wp14:anchorId="2470ACED" wp14:editId="11A6C69C">
            <wp:extent cx="5940425" cy="3275183"/>
            <wp:effectExtent l="0" t="0" r="3175" b="190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40425" cy="3275183"/>
                    </a:xfrm>
                    <a:prstGeom prst="rect">
                      <a:avLst/>
                    </a:prstGeom>
                    <a:noFill/>
                    <a:ln>
                      <a:noFill/>
                    </a:ln>
                  </pic:spPr>
                </pic:pic>
              </a:graphicData>
            </a:graphic>
          </wp:inline>
        </w:drawing>
      </w:r>
    </w:p>
    <w:p w:rsidR="00316F63" w:rsidRDefault="00316F63" w:rsidP="00DB0039">
      <w:pPr>
        <w:tabs>
          <w:tab w:val="left" w:pos="644"/>
        </w:tabs>
        <w:rPr>
          <w:sz w:val="16"/>
        </w:rPr>
      </w:pPr>
    </w:p>
    <w:p w:rsidR="00DB0039" w:rsidRPr="007A5789" w:rsidRDefault="00DB0039" w:rsidP="00DB0039">
      <w:pPr>
        <w:tabs>
          <w:tab w:val="left" w:pos="644"/>
        </w:tabs>
        <w:rPr>
          <w:sz w:val="16"/>
          <w:szCs w:val="16"/>
        </w:rPr>
      </w:pPr>
      <w:r w:rsidRPr="007A5789">
        <w:rPr>
          <w:sz w:val="16"/>
        </w:rPr>
        <w:t>(1)–表示2014/2015年已批准的两年</w:t>
      </w:r>
      <w:r w:rsidR="006D1B5C">
        <w:rPr>
          <w:rFonts w:hint="eastAsia"/>
          <w:sz w:val="16"/>
        </w:rPr>
        <w:t>期</w:t>
      </w:r>
      <w:r w:rsidRPr="007A5789">
        <w:rPr>
          <w:sz w:val="16"/>
        </w:rPr>
        <w:t>预算。</w:t>
      </w:r>
    </w:p>
    <w:p w:rsidR="0025563A" w:rsidRPr="007A5789" w:rsidRDefault="00DB0039" w:rsidP="00DB0039">
      <w:pPr>
        <w:tabs>
          <w:tab w:val="left" w:pos="644"/>
        </w:tabs>
        <w:rPr>
          <w:sz w:val="16"/>
        </w:rPr>
      </w:pPr>
      <w:r w:rsidRPr="007A5789">
        <w:rPr>
          <w:sz w:val="16"/>
        </w:rPr>
        <w:t>(2)–表示2014/15年调剂使用后的最终预算。</w:t>
      </w:r>
    </w:p>
    <w:p w:rsidR="008B4A68" w:rsidRPr="007A5789" w:rsidRDefault="00880100" w:rsidP="00DB0039">
      <w:pPr>
        <w:rPr>
          <w:sz w:val="21"/>
        </w:rPr>
      </w:pPr>
      <w:r w:rsidRPr="007A5789">
        <w:rPr>
          <w:sz w:val="16"/>
        </w:rPr>
        <w:t>(</w:t>
      </w:r>
      <w:r w:rsidR="00DB0039" w:rsidRPr="007A5789">
        <w:rPr>
          <w:sz w:val="16"/>
        </w:rPr>
        <w:t>3</w:t>
      </w:r>
      <w:r w:rsidRPr="007A5789">
        <w:rPr>
          <w:sz w:val="16"/>
        </w:rPr>
        <w:t>)</w:t>
      </w:r>
      <w:r w:rsidR="000650CA" w:rsidRPr="007A5789">
        <w:rPr>
          <w:sz w:val="16"/>
        </w:rPr>
        <w:t>–</w:t>
      </w:r>
      <w:r w:rsidR="00DB0039" w:rsidRPr="007A5789">
        <w:rPr>
          <w:sz w:val="16"/>
        </w:rPr>
        <w:t>表示2014/15年调剂使用后的最终预算与2015年12月31日截止的两年实际可比收入的差额。</w:t>
      </w:r>
    </w:p>
    <w:p w:rsidR="007A5789" w:rsidRPr="00021B97" w:rsidRDefault="00A92B75" w:rsidP="00021B97">
      <w:pPr>
        <w:pStyle w:val="2"/>
        <w:spacing w:before="0" w:afterLines="100" w:after="240" w:line="340" w:lineRule="atLeast"/>
        <w:jc w:val="center"/>
        <w:rPr>
          <w:rFonts w:ascii="SimHei" w:eastAsia="SimHei" w:hAnsi="SimHei"/>
          <w:b w:val="0"/>
          <w:sz w:val="21"/>
        </w:rPr>
      </w:pPr>
      <w:bookmarkStart w:id="39" w:name="_Toc456711734"/>
      <w:r w:rsidRPr="00021B97">
        <w:rPr>
          <w:rFonts w:ascii="SimHei" w:eastAsia="SimHei" w:hAnsi="SimHei"/>
          <w:b w:val="0"/>
          <w:sz w:val="21"/>
        </w:rPr>
        <w:lastRenderedPageBreak/>
        <w:t>报表五</w:t>
      </w:r>
      <w:r w:rsidR="00DC1190" w:rsidRPr="00021B97">
        <w:rPr>
          <w:rFonts w:ascii="SimHei" w:eastAsia="SimHei" w:hAnsi="SimHei" w:hint="eastAsia"/>
          <w:b w:val="0"/>
          <w:sz w:val="21"/>
        </w:rPr>
        <w:br/>
      </w:r>
      <w:r w:rsidRPr="00021B97">
        <w:rPr>
          <w:rFonts w:ascii="SimHei" w:eastAsia="SimHei" w:hAnsi="SimHei"/>
          <w:b w:val="0"/>
          <w:sz w:val="21"/>
        </w:rPr>
        <w:t>预算与实际金额对比表</w:t>
      </w:r>
      <w:r w:rsidR="00021B97">
        <w:rPr>
          <w:rFonts w:ascii="SimHei" w:eastAsia="SimHei" w:hAnsi="SimHei" w:hint="eastAsia"/>
          <w:b w:val="0"/>
          <w:sz w:val="21"/>
        </w:rPr>
        <w:t xml:space="preserve"> </w:t>
      </w:r>
      <w:r w:rsidRPr="00021B97">
        <w:rPr>
          <w:rFonts w:ascii="SimHei" w:eastAsia="SimHei" w:hAnsi="SimHei"/>
          <w:b w:val="0"/>
          <w:sz w:val="21"/>
        </w:rPr>
        <w:t>-</w:t>
      </w:r>
      <w:r w:rsidR="00021B97">
        <w:rPr>
          <w:rFonts w:ascii="SimHei" w:eastAsia="SimHei" w:hAnsi="SimHei" w:hint="eastAsia"/>
          <w:b w:val="0"/>
          <w:sz w:val="21"/>
        </w:rPr>
        <w:t xml:space="preserve"> </w:t>
      </w:r>
      <w:r w:rsidRPr="00021B97">
        <w:rPr>
          <w:rFonts w:ascii="SimHei" w:eastAsia="SimHei" w:hAnsi="SimHei"/>
          <w:b w:val="0"/>
          <w:sz w:val="21"/>
        </w:rPr>
        <w:t>支出</w:t>
      </w:r>
      <w:bookmarkEnd w:id="39"/>
    </w:p>
    <w:p w:rsidR="00A92B75" w:rsidRPr="00021B97" w:rsidRDefault="00A92B75" w:rsidP="00021B97">
      <w:pPr>
        <w:keepNext/>
        <w:spacing w:line="340" w:lineRule="atLeast"/>
        <w:jc w:val="center"/>
        <w:rPr>
          <w:b/>
          <w:sz w:val="21"/>
        </w:rPr>
      </w:pPr>
      <w:r w:rsidRPr="00021B97">
        <w:rPr>
          <w:b/>
          <w:sz w:val="21"/>
        </w:rPr>
        <w:t>2015年12月31日截止的两年</w:t>
      </w:r>
    </w:p>
    <w:p w:rsidR="007A5789" w:rsidRPr="00021B97" w:rsidRDefault="00B6014B" w:rsidP="00021B97">
      <w:pPr>
        <w:keepNext/>
        <w:spacing w:afterLines="50" w:after="120" w:line="340" w:lineRule="atLeast"/>
        <w:jc w:val="center"/>
        <w:rPr>
          <w:rFonts w:ascii="KaiTi" w:eastAsia="KaiTi" w:hAnsi="KaiTi"/>
          <w:sz w:val="21"/>
        </w:rPr>
      </w:pPr>
      <w:r w:rsidRPr="00021B97">
        <w:rPr>
          <w:rFonts w:ascii="KaiTi" w:eastAsia="KaiTi" w:hAnsi="KaiTi"/>
          <w:sz w:val="21"/>
        </w:rPr>
        <w:t>（</w:t>
      </w:r>
      <w:r w:rsidR="00A92B75" w:rsidRPr="00021B97">
        <w:rPr>
          <w:rFonts w:ascii="KaiTi" w:eastAsia="KaiTi" w:hAnsi="KaiTi"/>
          <w:sz w:val="21"/>
        </w:rPr>
        <w:t>单位：</w:t>
      </w:r>
      <w:proofErr w:type="gramStart"/>
      <w:r w:rsidR="00A92B75" w:rsidRPr="00021B97">
        <w:rPr>
          <w:rFonts w:ascii="KaiTi" w:eastAsia="KaiTi" w:hAnsi="KaiTi"/>
          <w:sz w:val="21"/>
        </w:rPr>
        <w:t>千瑞郎</w:t>
      </w:r>
      <w:proofErr w:type="gramEnd"/>
      <w:r w:rsidRPr="00021B97">
        <w:rPr>
          <w:rFonts w:ascii="KaiTi" w:eastAsia="KaiTi" w:hAnsi="KaiTi"/>
          <w:sz w:val="21"/>
        </w:rPr>
        <w:t>）</w:t>
      </w:r>
    </w:p>
    <w:p w:rsidR="008B4A68" w:rsidRPr="007A5789" w:rsidRDefault="00316F63" w:rsidP="006D1B5C">
      <w:pPr>
        <w:spacing w:afterLines="50" w:after="120" w:line="340" w:lineRule="atLeast"/>
        <w:jc w:val="center"/>
        <w:rPr>
          <w:sz w:val="21"/>
        </w:rPr>
      </w:pPr>
      <w:r w:rsidRPr="00316F63">
        <w:rPr>
          <w:noProof/>
          <w:sz w:val="21"/>
          <w:lang w:val="en-US" w:bidi="ar-SA"/>
        </w:rPr>
        <w:drawing>
          <wp:inline distT="0" distB="0" distL="0" distR="0" wp14:anchorId="7E7462D2" wp14:editId="52000CDF">
            <wp:extent cx="5940425" cy="6901287"/>
            <wp:effectExtent l="0" t="0" r="317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40425" cy="6901287"/>
                    </a:xfrm>
                    <a:prstGeom prst="rect">
                      <a:avLst/>
                    </a:prstGeom>
                    <a:noFill/>
                    <a:ln>
                      <a:noFill/>
                    </a:ln>
                  </pic:spPr>
                </pic:pic>
              </a:graphicData>
            </a:graphic>
          </wp:inline>
        </w:drawing>
      </w:r>
    </w:p>
    <w:p w:rsidR="00316F63" w:rsidRDefault="00316F63" w:rsidP="006D1B5C">
      <w:pPr>
        <w:rPr>
          <w:sz w:val="16"/>
        </w:rPr>
      </w:pPr>
    </w:p>
    <w:p w:rsidR="00DB0039" w:rsidRPr="007A5789" w:rsidRDefault="00DB0039" w:rsidP="006D1B5C">
      <w:pPr>
        <w:rPr>
          <w:sz w:val="16"/>
          <w:szCs w:val="16"/>
        </w:rPr>
      </w:pPr>
      <w:r w:rsidRPr="007A5789">
        <w:rPr>
          <w:sz w:val="16"/>
        </w:rPr>
        <w:t>(1)–表示2014/2015年已批准的两年预算6.74亿瑞郎，由WIPO成员国大会于2013年12月12</w:t>
      </w:r>
      <w:r w:rsidR="000650CA">
        <w:rPr>
          <w:sz w:val="16"/>
        </w:rPr>
        <w:t>日批准</w:t>
      </w:r>
      <w:r w:rsidR="000650CA">
        <w:rPr>
          <w:rFonts w:hint="eastAsia"/>
          <w:sz w:val="16"/>
        </w:rPr>
        <w:t>。</w:t>
      </w:r>
    </w:p>
    <w:p w:rsidR="0025563A" w:rsidRPr="007A5789" w:rsidRDefault="00DB0039" w:rsidP="006D1B5C">
      <w:pPr>
        <w:rPr>
          <w:sz w:val="16"/>
        </w:rPr>
      </w:pPr>
      <w:r w:rsidRPr="007A5789">
        <w:rPr>
          <w:sz w:val="16"/>
        </w:rPr>
        <w:t>(2)–表示2014/15年调剂使用后的最终预算。</w:t>
      </w:r>
    </w:p>
    <w:p w:rsidR="00DB0039" w:rsidRPr="007A5789" w:rsidRDefault="00880100" w:rsidP="006D1B5C">
      <w:pPr>
        <w:rPr>
          <w:sz w:val="16"/>
          <w:szCs w:val="16"/>
        </w:rPr>
      </w:pPr>
      <w:r w:rsidRPr="007A5789">
        <w:rPr>
          <w:sz w:val="16"/>
        </w:rPr>
        <w:t>(</w:t>
      </w:r>
      <w:r w:rsidR="00DB0039" w:rsidRPr="007A5789">
        <w:rPr>
          <w:sz w:val="16"/>
        </w:rPr>
        <w:t>3</w:t>
      </w:r>
      <w:r w:rsidRPr="007A5789">
        <w:rPr>
          <w:sz w:val="16"/>
        </w:rPr>
        <w:t>)</w:t>
      </w:r>
      <w:r w:rsidR="000650CA" w:rsidRPr="007A5789">
        <w:rPr>
          <w:sz w:val="16"/>
        </w:rPr>
        <w:t>–</w:t>
      </w:r>
      <w:r w:rsidR="00DB0039" w:rsidRPr="007A5789">
        <w:rPr>
          <w:sz w:val="16"/>
        </w:rPr>
        <w:t>表示2014/15年调剂使用后的最终预算与2015年12月31日截止的两年实际可比支出的差额。</w:t>
      </w:r>
    </w:p>
    <w:p w:rsidR="00C3539C" w:rsidRPr="007A5789" w:rsidRDefault="00880100" w:rsidP="00DB0039">
      <w:pPr>
        <w:rPr>
          <w:sz w:val="16"/>
        </w:rPr>
      </w:pPr>
      <w:r w:rsidRPr="007A5789">
        <w:rPr>
          <w:sz w:val="16"/>
        </w:rPr>
        <w:t>(</w:t>
      </w:r>
      <w:r w:rsidR="00DB0039" w:rsidRPr="007A5789">
        <w:rPr>
          <w:sz w:val="16"/>
        </w:rPr>
        <w:t>4</w:t>
      </w:r>
      <w:r w:rsidRPr="007A5789">
        <w:rPr>
          <w:sz w:val="16"/>
        </w:rPr>
        <w:t>)</w:t>
      </w:r>
      <w:r w:rsidR="000650CA" w:rsidRPr="007A5789">
        <w:rPr>
          <w:sz w:val="16"/>
        </w:rPr>
        <w:t>–</w:t>
      </w:r>
      <w:r w:rsidR="00DB0039" w:rsidRPr="007A5789">
        <w:rPr>
          <w:sz w:val="16"/>
        </w:rPr>
        <w:t>依据IPSAS对盈余的调整详见财务报表附注22。</w:t>
      </w:r>
    </w:p>
    <w:p w:rsidR="00FC542D" w:rsidRPr="007C2134" w:rsidRDefault="00DB0039" w:rsidP="007C2134">
      <w:pPr>
        <w:spacing w:beforeLines="100" w:before="240" w:afterLines="100" w:after="240" w:line="340" w:lineRule="atLeast"/>
        <w:jc w:val="center"/>
        <w:rPr>
          <w:rFonts w:ascii="SimHei" w:eastAsia="SimHei" w:hAnsi="SimHei"/>
          <w:sz w:val="21"/>
        </w:rPr>
      </w:pPr>
      <w:r w:rsidRPr="007A5789">
        <w:rPr>
          <w:sz w:val="21"/>
        </w:rPr>
        <w:br w:type="page"/>
      </w:r>
      <w:bookmarkStart w:id="40" w:name="_Toc441218488"/>
      <w:bookmarkStart w:id="41" w:name="_Toc455733219"/>
      <w:bookmarkStart w:id="42" w:name="_Toc456697868"/>
      <w:r w:rsidR="00F2215F" w:rsidRPr="007C2134">
        <w:rPr>
          <w:rFonts w:ascii="SimHei" w:eastAsia="SimHei" w:hAnsi="SimHei"/>
          <w:sz w:val="21"/>
        </w:rPr>
        <w:lastRenderedPageBreak/>
        <w:t>财务报表附注</w:t>
      </w:r>
      <w:bookmarkEnd w:id="40"/>
      <w:bookmarkEnd w:id="41"/>
      <w:bookmarkEnd w:id="42"/>
    </w:p>
    <w:p w:rsidR="007A5789" w:rsidRPr="007C2134" w:rsidRDefault="00F2215F" w:rsidP="007C2134">
      <w:pPr>
        <w:pStyle w:val="3"/>
        <w:overflowPunct w:val="0"/>
        <w:spacing w:beforeLines="100" w:afterLines="50" w:after="120" w:line="340" w:lineRule="atLeast"/>
        <w:rPr>
          <w:rFonts w:ascii="SimHei" w:eastAsia="SimHei" w:hAnsi="SimHei"/>
          <w:b w:val="0"/>
          <w:sz w:val="21"/>
        </w:rPr>
      </w:pPr>
      <w:bookmarkStart w:id="43" w:name="_Toc441218489"/>
      <w:bookmarkStart w:id="44" w:name="_Toc455733220"/>
      <w:bookmarkStart w:id="45" w:name="_Toc456697869"/>
      <w:bookmarkStart w:id="46" w:name="_Toc456711735"/>
      <w:r w:rsidRPr="007C2134">
        <w:rPr>
          <w:rFonts w:ascii="SimHei" w:eastAsia="SimHei" w:hAnsi="SimHei"/>
          <w:b w:val="0"/>
          <w:sz w:val="21"/>
        </w:rPr>
        <w:t>附注1：本组织的目标和预算</w:t>
      </w:r>
      <w:bookmarkEnd w:id="43"/>
      <w:bookmarkEnd w:id="44"/>
      <w:bookmarkEnd w:id="45"/>
      <w:bookmarkEnd w:id="46"/>
    </w:p>
    <w:p w:rsidR="007A5789" w:rsidRDefault="0058420A" w:rsidP="00134184">
      <w:pPr>
        <w:pStyle w:val="Style3"/>
        <w:numPr>
          <w:ilvl w:val="0"/>
          <w:numId w:val="10"/>
        </w:numPr>
        <w:tabs>
          <w:tab w:val="left" w:pos="770"/>
        </w:tabs>
        <w:overflowPunct w:val="0"/>
        <w:spacing w:afterLines="50" w:line="340" w:lineRule="atLeast"/>
        <w:ind w:left="0" w:firstLine="0"/>
        <w:rPr>
          <w:sz w:val="21"/>
        </w:rPr>
      </w:pPr>
      <w:r w:rsidRPr="007A5789">
        <w:rPr>
          <w:sz w:val="21"/>
        </w:rPr>
        <w:t>世界知识产权组织</w:t>
      </w:r>
      <w:r w:rsidR="00B6014B">
        <w:rPr>
          <w:sz w:val="21"/>
        </w:rPr>
        <w:t>（</w:t>
      </w:r>
      <w:r w:rsidRPr="007A5789">
        <w:rPr>
          <w:sz w:val="21"/>
        </w:rPr>
        <w:t>WIPO</w:t>
      </w:r>
      <w:r w:rsidR="00B6014B">
        <w:rPr>
          <w:sz w:val="21"/>
        </w:rPr>
        <w:t>）</w:t>
      </w:r>
      <w:r w:rsidRPr="007A5789">
        <w:rPr>
          <w:sz w:val="21"/>
        </w:rPr>
        <w:t>成立于1967年，前身为保护知识产权联合国际局</w:t>
      </w:r>
      <w:r w:rsidR="00B6014B">
        <w:rPr>
          <w:sz w:val="21"/>
        </w:rPr>
        <w:t>（</w:t>
      </w:r>
      <w:r w:rsidRPr="007A5789">
        <w:rPr>
          <w:sz w:val="21"/>
        </w:rPr>
        <w:t>BIRPI</w:t>
      </w:r>
      <w:r w:rsidR="00B6014B">
        <w:rPr>
          <w:sz w:val="21"/>
        </w:rPr>
        <w:t>）</w:t>
      </w:r>
      <w:r w:rsidRPr="007A5789">
        <w:rPr>
          <w:sz w:val="21"/>
        </w:rPr>
        <w:t>。BIRPI是法文缩写，全称为Bureaux Internationaux Réunis pour la Protection de la Propriété Intellectuelle，成立于1893年，目的是管理《保护工业产权巴黎公约》</w:t>
      </w:r>
      <w:r w:rsidR="00B6014B">
        <w:rPr>
          <w:sz w:val="21"/>
        </w:rPr>
        <w:t>（</w:t>
      </w:r>
      <w:r w:rsidRPr="007A5789">
        <w:rPr>
          <w:sz w:val="21"/>
        </w:rPr>
        <w:t>1883年</w:t>
      </w:r>
      <w:r w:rsidR="00B6014B">
        <w:rPr>
          <w:sz w:val="21"/>
        </w:rPr>
        <w:t>）</w:t>
      </w:r>
      <w:r w:rsidRPr="007A5789">
        <w:rPr>
          <w:sz w:val="21"/>
        </w:rPr>
        <w:t>和《保护文学和艺术作品伯尓尼公约》</w:t>
      </w:r>
      <w:r w:rsidR="00B6014B">
        <w:rPr>
          <w:sz w:val="21"/>
        </w:rPr>
        <w:t>（</w:t>
      </w:r>
      <w:r w:rsidRPr="007A5789">
        <w:rPr>
          <w:sz w:val="21"/>
        </w:rPr>
        <w:t>1886年</w:t>
      </w:r>
      <w:r w:rsidR="00B6014B">
        <w:rPr>
          <w:sz w:val="21"/>
        </w:rPr>
        <w:t>）</w:t>
      </w:r>
      <w:r w:rsidRPr="007A5789">
        <w:rPr>
          <w:sz w:val="21"/>
        </w:rPr>
        <w:t>。1974年，WIPO被认可为联合国专门机构。</w:t>
      </w:r>
    </w:p>
    <w:p w:rsidR="007A5789" w:rsidRDefault="0058420A" w:rsidP="00134184">
      <w:pPr>
        <w:pStyle w:val="Style3"/>
        <w:numPr>
          <w:ilvl w:val="0"/>
          <w:numId w:val="10"/>
        </w:numPr>
        <w:tabs>
          <w:tab w:val="left" w:pos="770"/>
        </w:tabs>
        <w:overflowPunct w:val="0"/>
        <w:spacing w:afterLines="50" w:line="340" w:lineRule="atLeast"/>
        <w:ind w:left="0" w:firstLine="0"/>
        <w:rPr>
          <w:sz w:val="21"/>
          <w:szCs w:val="22"/>
        </w:rPr>
      </w:pPr>
      <w:r w:rsidRPr="007A5789">
        <w:rPr>
          <w:sz w:val="21"/>
        </w:rPr>
        <w:t>WIPO开展多种与知识产权保护有关的工作，包括：帮助各国政府和各种组织发展必要的政策、结构和技能以挖掘知识产权促进经济发展的潜力；与成员国一同制定国际知识产权法律；管理条约；管理商标、工业品外观设计和原产地名称的全球注册体系和专利申请体系；提供争议解决服务；为知情辩论和交流专门知识提供论坛。</w:t>
      </w:r>
    </w:p>
    <w:p w:rsidR="007A5789" w:rsidRDefault="0058420A" w:rsidP="00134184">
      <w:pPr>
        <w:pStyle w:val="Style3"/>
        <w:numPr>
          <w:ilvl w:val="0"/>
          <w:numId w:val="10"/>
        </w:numPr>
        <w:tabs>
          <w:tab w:val="left" w:pos="770"/>
        </w:tabs>
        <w:overflowPunct w:val="0"/>
        <w:spacing w:afterLines="50" w:line="340" w:lineRule="atLeast"/>
        <w:ind w:left="0" w:firstLine="0"/>
        <w:rPr>
          <w:sz w:val="21"/>
          <w:szCs w:val="22"/>
        </w:rPr>
      </w:pPr>
      <w:r w:rsidRPr="007A5789">
        <w:rPr>
          <w:sz w:val="21"/>
        </w:rPr>
        <w:t>本组织依照1967年7月14日于斯德哥</w:t>
      </w:r>
      <w:proofErr w:type="gramStart"/>
      <w:r w:rsidRPr="007A5789">
        <w:rPr>
          <w:sz w:val="21"/>
        </w:rPr>
        <w:t>尓摩签署</w:t>
      </w:r>
      <w:proofErr w:type="gramEnd"/>
      <w:r w:rsidRPr="007A5789">
        <w:rPr>
          <w:sz w:val="21"/>
        </w:rPr>
        <w:t>并于1979年9月28日修订的《WIPO公约》开展活动。WIPO现有188个成员国。WIPO总部位于瑞士日内瓦，在北京、莫斯科、里约热内卢、新加坡及东京设有驻外办事处，在纽约设有协调办事处。本组织享有1947年联合国《专门机构特权和豁免公约》和与瑞士联邦委员会签署的1970年总部协定中给予的特权和豁免权，特别是免除支付多种形式的直接税和间接税。</w:t>
      </w:r>
    </w:p>
    <w:p w:rsidR="007A5789" w:rsidRDefault="0058420A" w:rsidP="00134184">
      <w:pPr>
        <w:pStyle w:val="Style3"/>
        <w:numPr>
          <w:ilvl w:val="0"/>
          <w:numId w:val="10"/>
        </w:numPr>
        <w:tabs>
          <w:tab w:val="left" w:pos="770"/>
        </w:tabs>
        <w:overflowPunct w:val="0"/>
        <w:spacing w:afterLines="50" w:line="340" w:lineRule="atLeast"/>
        <w:ind w:left="0" w:firstLine="0"/>
        <w:rPr>
          <w:sz w:val="21"/>
        </w:rPr>
      </w:pPr>
      <w:r w:rsidRPr="007A5789">
        <w:rPr>
          <w:sz w:val="21"/>
        </w:rPr>
        <w:t>根据《建立世界知识产权组织公约》设立的以下组成机关是世界知识产权组织的最高决策机构。这些机构至少每两年举行一次例会，可隔年举行特别会议：</w:t>
      </w:r>
    </w:p>
    <w:p w:rsidR="007A5789" w:rsidRDefault="0058420A" w:rsidP="001E1DEA">
      <w:pPr>
        <w:pStyle w:val="STYLEDUTEXTE"/>
        <w:numPr>
          <w:ilvl w:val="0"/>
          <w:numId w:val="5"/>
        </w:numPr>
        <w:overflowPunct w:val="0"/>
        <w:spacing w:afterLines="50" w:after="120" w:line="340" w:lineRule="atLeast"/>
        <w:ind w:left="1134" w:hanging="567"/>
        <w:rPr>
          <w:sz w:val="21"/>
        </w:rPr>
      </w:pPr>
      <w:r w:rsidRPr="007A5789">
        <w:rPr>
          <w:sz w:val="21"/>
        </w:rPr>
        <w:t>大会</w:t>
      </w:r>
      <w:proofErr w:type="gramStart"/>
      <w:r w:rsidRPr="007A5789">
        <w:rPr>
          <w:sz w:val="21"/>
        </w:rPr>
        <w:t>由同时</w:t>
      </w:r>
      <w:proofErr w:type="gramEnd"/>
      <w:r w:rsidRPr="007A5789">
        <w:rPr>
          <w:sz w:val="21"/>
        </w:rPr>
        <w:t>是各联盟成员的《WIPO公约》成员国组成，负责任命总干事，总干事任期固定，每任不少于六年；通过各联盟共同开支预算；通过财务条例；邀请有关国家成为成员国，以及履行公约所规定的其他所有任务。</w:t>
      </w:r>
    </w:p>
    <w:p w:rsidR="007A5789" w:rsidRDefault="0058420A" w:rsidP="001E1DEA">
      <w:pPr>
        <w:pStyle w:val="STYLEDUTEXTE"/>
        <w:numPr>
          <w:ilvl w:val="0"/>
          <w:numId w:val="5"/>
        </w:numPr>
        <w:overflowPunct w:val="0"/>
        <w:spacing w:afterLines="50" w:after="120" w:line="340" w:lineRule="atLeast"/>
        <w:ind w:left="1134" w:hanging="567"/>
        <w:rPr>
          <w:sz w:val="21"/>
          <w:szCs w:val="22"/>
        </w:rPr>
      </w:pPr>
      <w:r w:rsidRPr="007A5789">
        <w:rPr>
          <w:sz w:val="21"/>
        </w:rPr>
        <w:t>成员国会议由所有成员国组成，不管其是否属于某一联盟。成员国会议通过预算、通过对《公约》的修正并酌情履行其他任务。</w:t>
      </w:r>
    </w:p>
    <w:p w:rsidR="007A5789" w:rsidRDefault="0058420A" w:rsidP="001E1DEA">
      <w:pPr>
        <w:pStyle w:val="Style3"/>
        <w:numPr>
          <w:ilvl w:val="0"/>
          <w:numId w:val="5"/>
        </w:numPr>
        <w:overflowPunct w:val="0"/>
        <w:spacing w:afterLines="50" w:line="340" w:lineRule="atLeast"/>
        <w:ind w:left="1134" w:hanging="567"/>
        <w:rPr>
          <w:sz w:val="21"/>
          <w:szCs w:val="22"/>
        </w:rPr>
      </w:pPr>
      <w:r w:rsidRPr="007A5789">
        <w:rPr>
          <w:sz w:val="21"/>
        </w:rPr>
        <w:t>协调委员会由巴黎或伯尔尼联盟的执行委员会的委员、非各联盟成员的《WIPO公约》成员国的四分之一，以及瑞士组成。瑞士是本组织总部的所在地。协调委员会提名总干事候选人，编拟大会议程和成员国会议的计划和预算，并履行《WIPO公约》分配的其他职责。</w:t>
      </w:r>
    </w:p>
    <w:p w:rsidR="00AD1872" w:rsidRPr="007A5789" w:rsidRDefault="0058420A" w:rsidP="001E1DEA">
      <w:pPr>
        <w:pStyle w:val="Style3"/>
        <w:numPr>
          <w:ilvl w:val="0"/>
          <w:numId w:val="5"/>
        </w:numPr>
        <w:overflowPunct w:val="0"/>
        <w:spacing w:afterLines="50" w:line="340" w:lineRule="atLeast"/>
        <w:ind w:left="1134" w:hanging="567"/>
        <w:rPr>
          <w:sz w:val="21"/>
        </w:rPr>
      </w:pPr>
      <w:r w:rsidRPr="007A5789">
        <w:rPr>
          <w:sz w:val="21"/>
        </w:rPr>
        <w:t>伯</w:t>
      </w:r>
      <w:proofErr w:type="gramStart"/>
      <w:r w:rsidRPr="007A5789">
        <w:rPr>
          <w:sz w:val="21"/>
        </w:rPr>
        <w:t>尓</w:t>
      </w:r>
      <w:proofErr w:type="gramEnd"/>
      <w:r w:rsidRPr="007A5789">
        <w:rPr>
          <w:sz w:val="21"/>
        </w:rPr>
        <w:t>尼、海牙、尼斯、里斯本、</w:t>
      </w:r>
      <w:proofErr w:type="gramStart"/>
      <w:r w:rsidRPr="007A5789">
        <w:rPr>
          <w:sz w:val="21"/>
        </w:rPr>
        <w:t>洛迦</w:t>
      </w:r>
      <w:proofErr w:type="gramEnd"/>
      <w:r w:rsidRPr="007A5789">
        <w:rPr>
          <w:sz w:val="21"/>
        </w:rPr>
        <w:t>诺、维也纳、布达佩斯</w:t>
      </w:r>
      <w:r w:rsidR="00316F63">
        <w:rPr>
          <w:rFonts w:hint="eastAsia"/>
          <w:sz w:val="21"/>
        </w:rPr>
        <w:t>、</w:t>
      </w:r>
      <w:r w:rsidRPr="007A5789">
        <w:rPr>
          <w:sz w:val="21"/>
        </w:rPr>
        <w:t>国际专利分类和巴黎联盟等联盟大会根据WIPO管理的创建各联盟的各个条约的授权举行会议。它们采用WIPO预算中仅与各自收入和费用相关的部分，以及确定为根据各条约所提供服务而需向WIPO支付费用的水平。</w:t>
      </w:r>
    </w:p>
    <w:p w:rsidR="00274C9E" w:rsidRPr="007A5789" w:rsidRDefault="0058420A" w:rsidP="00134184">
      <w:pPr>
        <w:pStyle w:val="Style3"/>
        <w:numPr>
          <w:ilvl w:val="0"/>
          <w:numId w:val="10"/>
        </w:numPr>
        <w:tabs>
          <w:tab w:val="left" w:pos="770"/>
        </w:tabs>
        <w:overflowPunct w:val="0"/>
        <w:spacing w:afterLines="50" w:line="340" w:lineRule="atLeast"/>
        <w:ind w:left="0" w:firstLine="0"/>
        <w:rPr>
          <w:sz w:val="21"/>
        </w:rPr>
      </w:pPr>
      <w:r w:rsidRPr="007A5789">
        <w:rPr>
          <w:sz w:val="21"/>
        </w:rPr>
        <w:t>WIPO的资金来源包括从本组织提供的各项服务中收取的费用、成员国支付的分摊会费以及成员国和其他捐助方的自愿捐款。本组织在提供批款的两年</w:t>
      </w:r>
      <w:proofErr w:type="gramStart"/>
      <w:r w:rsidRPr="007A5789">
        <w:rPr>
          <w:sz w:val="21"/>
        </w:rPr>
        <w:t>期计划</w:t>
      </w:r>
      <w:proofErr w:type="gramEnd"/>
      <w:r w:rsidRPr="007A5789">
        <w:rPr>
          <w:sz w:val="21"/>
        </w:rPr>
        <w:t>和预算的框架内开展工作，</w:t>
      </w:r>
      <w:r w:rsidRPr="00F374B8">
        <w:rPr>
          <w:sz w:val="21"/>
        </w:rPr>
        <w:t>“</w:t>
      </w:r>
      <w:r w:rsidRPr="007A5789">
        <w:rPr>
          <w:sz w:val="21"/>
        </w:rPr>
        <w:t>批款</w:t>
      </w:r>
      <w:r w:rsidRPr="00F374B8">
        <w:rPr>
          <w:sz w:val="21"/>
        </w:rPr>
        <w:t>”</w:t>
      </w:r>
      <w:r w:rsidRPr="007A5789">
        <w:rPr>
          <w:sz w:val="21"/>
        </w:rPr>
        <w:t>系指大会为每一财政期间批准的预算支出授权。批准批款向总干事提供了承付和授权支出以及为批款限度内指定目的而支付款项的权利。</w:t>
      </w:r>
    </w:p>
    <w:p w:rsidR="007A5789" w:rsidRPr="007C2134" w:rsidRDefault="00F2215F" w:rsidP="007C2134">
      <w:pPr>
        <w:pStyle w:val="3"/>
        <w:overflowPunct w:val="0"/>
        <w:spacing w:beforeLines="100" w:afterLines="50" w:after="120" w:line="340" w:lineRule="atLeast"/>
        <w:rPr>
          <w:rFonts w:ascii="SimHei" w:eastAsia="SimHei" w:hAnsi="SimHei"/>
          <w:b w:val="0"/>
          <w:sz w:val="21"/>
        </w:rPr>
      </w:pPr>
      <w:bookmarkStart w:id="47" w:name="_Toc441218490"/>
      <w:bookmarkStart w:id="48" w:name="_Toc455733221"/>
      <w:bookmarkStart w:id="49" w:name="_Toc456697870"/>
      <w:bookmarkStart w:id="50" w:name="_Toc456711736"/>
      <w:r w:rsidRPr="007C2134">
        <w:rPr>
          <w:rFonts w:ascii="SimHei" w:eastAsia="SimHei" w:hAnsi="SimHei"/>
          <w:b w:val="0"/>
          <w:sz w:val="21"/>
        </w:rPr>
        <w:lastRenderedPageBreak/>
        <w:t>附注2：重大会计政策</w:t>
      </w:r>
      <w:bookmarkEnd w:id="47"/>
      <w:bookmarkEnd w:id="48"/>
      <w:bookmarkEnd w:id="49"/>
      <w:bookmarkEnd w:id="50"/>
    </w:p>
    <w:p w:rsidR="007A5789" w:rsidRPr="001E1DEA" w:rsidRDefault="00131284" w:rsidP="001E1DEA">
      <w:pPr>
        <w:pStyle w:val="Style3Bold"/>
        <w:keepNext/>
        <w:spacing w:beforeLines="100" w:before="240" w:afterLines="50" w:line="340" w:lineRule="atLeast"/>
        <w:rPr>
          <w:sz w:val="21"/>
          <w:szCs w:val="22"/>
        </w:rPr>
      </w:pPr>
      <w:r w:rsidRPr="001E1DEA">
        <w:rPr>
          <w:sz w:val="21"/>
        </w:rPr>
        <w:t>编制基准</w:t>
      </w:r>
    </w:p>
    <w:p w:rsidR="007A5789" w:rsidRDefault="00131284" w:rsidP="00134184">
      <w:pPr>
        <w:pStyle w:val="Style3"/>
        <w:numPr>
          <w:ilvl w:val="0"/>
          <w:numId w:val="11"/>
        </w:numPr>
        <w:tabs>
          <w:tab w:val="left" w:pos="770"/>
        </w:tabs>
        <w:overflowPunct w:val="0"/>
        <w:spacing w:afterLines="50" w:line="340" w:lineRule="atLeast"/>
        <w:ind w:left="0" w:firstLine="0"/>
        <w:rPr>
          <w:sz w:val="21"/>
        </w:rPr>
      </w:pPr>
      <w:r w:rsidRPr="007A5789">
        <w:rPr>
          <w:sz w:val="21"/>
        </w:rPr>
        <w:t>财务报表根据</w:t>
      </w:r>
      <w:r w:rsidR="007C045C" w:rsidRPr="007A5789">
        <w:rPr>
          <w:rFonts w:hint="eastAsia"/>
          <w:sz w:val="21"/>
        </w:rPr>
        <w:t>《</w:t>
      </w:r>
      <w:r w:rsidRPr="007A5789">
        <w:rPr>
          <w:sz w:val="21"/>
        </w:rPr>
        <w:t>国际公共部门会计</w:t>
      </w:r>
      <w:r w:rsidR="007C045C" w:rsidRPr="007A5789">
        <w:rPr>
          <w:rFonts w:hint="eastAsia"/>
          <w:sz w:val="21"/>
        </w:rPr>
        <w:t>准则》</w:t>
      </w:r>
      <w:r w:rsidR="00B6014B">
        <w:rPr>
          <w:sz w:val="21"/>
        </w:rPr>
        <w:t>（</w:t>
      </w:r>
      <w:r w:rsidRPr="007A5789">
        <w:rPr>
          <w:sz w:val="21"/>
        </w:rPr>
        <w:t>IPSAS</w:t>
      </w:r>
      <w:r w:rsidR="00B6014B">
        <w:rPr>
          <w:sz w:val="21"/>
        </w:rPr>
        <w:t>）</w:t>
      </w:r>
      <w:r w:rsidRPr="007A5789">
        <w:rPr>
          <w:sz w:val="21"/>
        </w:rPr>
        <w:t>编制，并符合这些</w:t>
      </w:r>
      <w:r w:rsidR="007C045C" w:rsidRPr="007A5789">
        <w:rPr>
          <w:rFonts w:hint="eastAsia"/>
          <w:sz w:val="21"/>
        </w:rPr>
        <w:t>准则</w:t>
      </w:r>
      <w:r w:rsidRPr="007A5789">
        <w:rPr>
          <w:sz w:val="21"/>
        </w:rPr>
        <w:t>。财务报表以WIPO的报告和功能货币瑞郎为单位，所有金额的最小计数单位为千。会计政策连贯应用于呈报的所有年</w:t>
      </w:r>
      <w:r w:rsidR="006F192F">
        <w:rPr>
          <w:sz w:val="21"/>
        </w:rPr>
        <w:t>‍</w:t>
      </w:r>
      <w:r w:rsidRPr="007A5789">
        <w:rPr>
          <w:sz w:val="21"/>
        </w:rPr>
        <w:t>度。</w:t>
      </w:r>
    </w:p>
    <w:p w:rsidR="007A5789" w:rsidRDefault="00432356" w:rsidP="00134184">
      <w:pPr>
        <w:pStyle w:val="Style3"/>
        <w:numPr>
          <w:ilvl w:val="0"/>
          <w:numId w:val="11"/>
        </w:numPr>
        <w:tabs>
          <w:tab w:val="left" w:pos="770"/>
        </w:tabs>
        <w:overflowPunct w:val="0"/>
        <w:spacing w:afterLines="50" w:line="340" w:lineRule="atLeast"/>
        <w:ind w:left="0" w:firstLine="0"/>
        <w:rPr>
          <w:sz w:val="21"/>
        </w:rPr>
      </w:pPr>
      <w:r w:rsidRPr="007A5789">
        <w:rPr>
          <w:sz w:val="21"/>
        </w:rPr>
        <w:t>财务报表在历史成本的基础上编制，除非另有说明。现金流量表采用间接法编制。财务报表根据权责发生制和持续经营编制。</w:t>
      </w:r>
    </w:p>
    <w:p w:rsidR="007A5789" w:rsidRDefault="00456815"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IPSAS</w:t>
      </w:r>
      <w:r w:rsidR="008C6F1F" w:rsidRPr="007A5789">
        <w:rPr>
          <w:rFonts w:hint="eastAsia"/>
          <w:sz w:val="21"/>
        </w:rPr>
        <w:t>准则</w:t>
      </w:r>
      <w:r w:rsidRPr="007A5789">
        <w:rPr>
          <w:sz w:val="21"/>
        </w:rPr>
        <w:t>34、35、36、37及38在2015年采用，</w:t>
      </w:r>
      <w:r w:rsidR="007F2679" w:rsidRPr="007A5789">
        <w:rPr>
          <w:rFonts w:hint="eastAsia"/>
          <w:sz w:val="21"/>
        </w:rPr>
        <w:t>早于</w:t>
      </w:r>
      <w:r w:rsidRPr="007A5789">
        <w:rPr>
          <w:sz w:val="21"/>
        </w:rPr>
        <w:t>规定的实施日期。这些标准没有对本组织的财务报表产生影响。</w:t>
      </w:r>
    </w:p>
    <w:p w:rsidR="007A5789" w:rsidRDefault="007D5376"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2016年1月，IPSAS委员会发布了</w:t>
      </w:r>
      <w:r w:rsidR="007F2679" w:rsidRPr="007A5789">
        <w:rPr>
          <w:rFonts w:hint="eastAsia"/>
          <w:sz w:val="21"/>
        </w:rPr>
        <w:t>《</w:t>
      </w:r>
      <w:r w:rsidRPr="007A5789">
        <w:rPr>
          <w:sz w:val="21"/>
        </w:rPr>
        <w:t>征求意见稿59</w:t>
      </w:r>
      <w:r w:rsidR="00316F63">
        <w:rPr>
          <w:rFonts w:hint="eastAsia"/>
          <w:sz w:val="21"/>
        </w:rPr>
        <w:t>：</w:t>
      </w:r>
      <w:r w:rsidRPr="007A5789">
        <w:rPr>
          <w:sz w:val="21"/>
        </w:rPr>
        <w:t>IPSAS 25</w:t>
      </w:r>
      <w:r w:rsidR="0069659C">
        <w:rPr>
          <w:rFonts w:hint="eastAsia"/>
          <w:sz w:val="21"/>
        </w:rPr>
        <w:t>〈</w:t>
      </w:r>
      <w:r w:rsidR="00316F63" w:rsidRPr="007A5789">
        <w:rPr>
          <w:sz w:val="21"/>
        </w:rPr>
        <w:t>员工福利</w:t>
      </w:r>
      <w:r w:rsidR="0069659C">
        <w:rPr>
          <w:rFonts w:hint="eastAsia"/>
          <w:sz w:val="21"/>
        </w:rPr>
        <w:t>〉</w:t>
      </w:r>
      <w:r w:rsidRPr="007A5789">
        <w:rPr>
          <w:sz w:val="21"/>
        </w:rPr>
        <w:t>修订</w:t>
      </w:r>
      <w:r w:rsidR="00FD644E" w:rsidRPr="007A5789">
        <w:rPr>
          <w:sz w:val="21"/>
        </w:rPr>
        <w:t>稿</w:t>
      </w:r>
      <w:r w:rsidR="00FD644E" w:rsidRPr="007A5789">
        <w:rPr>
          <w:rFonts w:hint="eastAsia"/>
          <w:sz w:val="21"/>
        </w:rPr>
        <w:t>》</w:t>
      </w:r>
      <w:r w:rsidRPr="007A5789">
        <w:rPr>
          <w:sz w:val="21"/>
        </w:rPr>
        <w:t>。征求意见</w:t>
      </w:r>
      <w:proofErr w:type="gramStart"/>
      <w:r w:rsidRPr="007A5789">
        <w:rPr>
          <w:sz w:val="21"/>
        </w:rPr>
        <w:t>稿推出</w:t>
      </w:r>
      <w:proofErr w:type="gramEnd"/>
      <w:r w:rsidRPr="007A5789">
        <w:rPr>
          <w:sz w:val="21"/>
        </w:rPr>
        <w:t>修订IPSAS 25，包括取消确认精算损益的居间法。WIPO目前对</w:t>
      </w:r>
      <w:r w:rsidR="00F829D9" w:rsidRPr="007A5789">
        <w:rPr>
          <w:sz w:val="21"/>
        </w:rPr>
        <w:t>离职后健康保健</w:t>
      </w:r>
      <w:r w:rsidR="00B6014B">
        <w:rPr>
          <w:rFonts w:hint="eastAsia"/>
          <w:sz w:val="21"/>
        </w:rPr>
        <w:t>（</w:t>
      </w:r>
      <w:r w:rsidRPr="007A5789">
        <w:rPr>
          <w:sz w:val="21"/>
        </w:rPr>
        <w:t>ASHI</w:t>
      </w:r>
      <w:r w:rsidR="00B6014B">
        <w:rPr>
          <w:rFonts w:hint="eastAsia"/>
          <w:sz w:val="21"/>
        </w:rPr>
        <w:t>）</w:t>
      </w:r>
      <w:r w:rsidRPr="007A5789">
        <w:rPr>
          <w:sz w:val="21"/>
        </w:rPr>
        <w:t>负债采用居间法。若被批准，取消居间法将可能对WIPO的财务报表造成影响，因为其将要求记入目前不记入的精算损失</w:t>
      </w:r>
      <w:r w:rsidR="00B6014B">
        <w:rPr>
          <w:sz w:val="21"/>
        </w:rPr>
        <w:t>（</w:t>
      </w:r>
      <w:r w:rsidRPr="007A5789">
        <w:rPr>
          <w:sz w:val="21"/>
        </w:rPr>
        <w:t>见附注12</w:t>
      </w:r>
      <w:r w:rsidR="00B6014B">
        <w:rPr>
          <w:sz w:val="21"/>
        </w:rPr>
        <w:t>）</w:t>
      </w:r>
      <w:r w:rsidRPr="007A5789">
        <w:rPr>
          <w:sz w:val="21"/>
        </w:rPr>
        <w:t>。</w:t>
      </w:r>
    </w:p>
    <w:p w:rsidR="007A5789" w:rsidRPr="001E1DEA" w:rsidRDefault="00281939" w:rsidP="001E1DEA">
      <w:pPr>
        <w:pStyle w:val="Style3Bold"/>
        <w:keepNext/>
        <w:spacing w:beforeLines="100" w:before="240" w:afterLines="50" w:line="340" w:lineRule="atLeast"/>
        <w:rPr>
          <w:sz w:val="21"/>
        </w:rPr>
      </w:pPr>
      <w:r w:rsidRPr="001E1DEA">
        <w:rPr>
          <w:sz w:val="21"/>
        </w:rPr>
        <w:t>现金和现金等价物</w:t>
      </w:r>
    </w:p>
    <w:p w:rsidR="007A5789" w:rsidRDefault="00131284"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现金和现金等价物包括库存现金、银行通知存款、不超过90天的存款及其他可随时变现且价值变动风险不大的短期高流动性投资。</w:t>
      </w:r>
    </w:p>
    <w:p w:rsidR="007A5789" w:rsidRPr="001E1DEA" w:rsidRDefault="00915477" w:rsidP="001E1DEA">
      <w:pPr>
        <w:pStyle w:val="Style3Bold"/>
        <w:keepNext/>
        <w:spacing w:beforeLines="100" w:before="240" w:afterLines="50" w:line="340" w:lineRule="atLeast"/>
        <w:rPr>
          <w:sz w:val="21"/>
        </w:rPr>
      </w:pPr>
      <w:r w:rsidRPr="001E1DEA">
        <w:rPr>
          <w:sz w:val="21"/>
        </w:rPr>
        <w:t>借款成本</w:t>
      </w:r>
    </w:p>
    <w:p w:rsidR="007A5789" w:rsidRDefault="00915477"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直接因收购、建设或生产符合条件资产而引起的一般及具体借款成本在资产为预期用途做好充分准备之前被加入到这些资产的成本中。这些资产为预期用途做好准备有必要耗费较长时间。与建设新楼</w:t>
      </w:r>
      <w:r w:rsidR="00B6014B">
        <w:rPr>
          <w:sz w:val="21"/>
        </w:rPr>
        <w:t>（</w:t>
      </w:r>
      <w:r w:rsidRPr="007A5789">
        <w:rPr>
          <w:sz w:val="21"/>
        </w:rPr>
        <w:t>利息和费用</w:t>
      </w:r>
      <w:r w:rsidR="00B6014B">
        <w:rPr>
          <w:sz w:val="21"/>
        </w:rPr>
        <w:t>）</w:t>
      </w:r>
      <w:r w:rsidRPr="007A5789">
        <w:rPr>
          <w:sz w:val="21"/>
        </w:rPr>
        <w:t>及新会议厅</w:t>
      </w:r>
      <w:r w:rsidR="00B6014B">
        <w:rPr>
          <w:sz w:val="21"/>
        </w:rPr>
        <w:t>（</w:t>
      </w:r>
      <w:r w:rsidRPr="007A5789">
        <w:rPr>
          <w:sz w:val="21"/>
        </w:rPr>
        <w:t>未动用贷款金额手续费</w:t>
      </w:r>
      <w:r w:rsidR="00B6014B">
        <w:rPr>
          <w:sz w:val="21"/>
        </w:rPr>
        <w:t>）</w:t>
      </w:r>
      <w:r w:rsidRPr="007A5789">
        <w:rPr>
          <w:sz w:val="21"/>
        </w:rPr>
        <w:t>有关的借款成本已经作为各施工阶段的在建项目转化为资本</w:t>
      </w:r>
      <w:r w:rsidR="00B6014B">
        <w:rPr>
          <w:sz w:val="21"/>
        </w:rPr>
        <w:t>（</w:t>
      </w:r>
      <w:r w:rsidRPr="007A5789">
        <w:rPr>
          <w:sz w:val="21"/>
        </w:rPr>
        <w:t>见附注9</w:t>
      </w:r>
      <w:r w:rsidR="00B6014B">
        <w:rPr>
          <w:sz w:val="21"/>
        </w:rPr>
        <w:t>）</w:t>
      </w:r>
      <w:r w:rsidRPr="007A5789">
        <w:rPr>
          <w:sz w:val="21"/>
        </w:rPr>
        <w:t>。从世界气象组织收购PCT楼所在地土地权</w:t>
      </w:r>
      <w:r w:rsidR="00B6014B">
        <w:rPr>
          <w:sz w:val="21"/>
        </w:rPr>
        <w:t>（</w:t>
      </w:r>
      <w:r w:rsidRPr="007A5789">
        <w:rPr>
          <w:sz w:val="21"/>
        </w:rPr>
        <w:t>droits de superficie</w:t>
      </w:r>
      <w:r w:rsidR="00B6014B">
        <w:rPr>
          <w:sz w:val="21"/>
        </w:rPr>
        <w:t>）</w:t>
      </w:r>
      <w:r w:rsidRPr="007A5789">
        <w:rPr>
          <w:sz w:val="21"/>
        </w:rPr>
        <w:t>有关的借款成本</w:t>
      </w:r>
      <w:r w:rsidR="00B6014B">
        <w:rPr>
          <w:sz w:val="21"/>
        </w:rPr>
        <w:t>（</w:t>
      </w:r>
      <w:r w:rsidRPr="007A5789">
        <w:rPr>
          <w:sz w:val="21"/>
        </w:rPr>
        <w:t>利息和费用</w:t>
      </w:r>
      <w:r w:rsidR="00B6014B">
        <w:rPr>
          <w:sz w:val="21"/>
        </w:rPr>
        <w:t>）</w:t>
      </w:r>
      <w:r w:rsidRPr="007A5789">
        <w:rPr>
          <w:sz w:val="21"/>
        </w:rPr>
        <w:t>作为资产价值的一部分计入了资本</w:t>
      </w:r>
      <w:r w:rsidR="00B6014B">
        <w:rPr>
          <w:sz w:val="21"/>
        </w:rPr>
        <w:t>（</w:t>
      </w:r>
      <w:r w:rsidRPr="007A5789">
        <w:rPr>
          <w:sz w:val="21"/>
        </w:rPr>
        <w:t>见附注8</w:t>
      </w:r>
      <w:r w:rsidR="00B6014B">
        <w:rPr>
          <w:sz w:val="21"/>
        </w:rPr>
        <w:t>）</w:t>
      </w:r>
      <w:r w:rsidRPr="007A5789">
        <w:rPr>
          <w:sz w:val="21"/>
        </w:rPr>
        <w:t>。</w:t>
      </w:r>
    </w:p>
    <w:p w:rsidR="007A5789" w:rsidRDefault="00DD3CD9"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所有其他借款成本在产生时期的财务执行情况表中被确认为支出。</w:t>
      </w:r>
    </w:p>
    <w:p w:rsidR="007A5789" w:rsidRPr="001E1DEA" w:rsidRDefault="0091737F" w:rsidP="001E1DEA">
      <w:pPr>
        <w:pStyle w:val="Style3Bold"/>
        <w:keepNext/>
        <w:spacing w:beforeLines="100" w:before="240" w:afterLines="50" w:line="340" w:lineRule="atLeast"/>
        <w:rPr>
          <w:sz w:val="21"/>
        </w:rPr>
      </w:pPr>
      <w:r w:rsidRPr="001E1DEA">
        <w:rPr>
          <w:sz w:val="21"/>
        </w:rPr>
        <w:t>外汇交易</w:t>
      </w:r>
    </w:p>
    <w:p w:rsidR="007A5789" w:rsidRDefault="0091737F"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WIPO的功能货币是瑞郎。以其他货币进行的所有交易根据交易当天的联合国业务汇率</w:t>
      </w:r>
      <w:r w:rsidR="00B6014B">
        <w:rPr>
          <w:sz w:val="21"/>
        </w:rPr>
        <w:t>（</w:t>
      </w:r>
      <w:r w:rsidRPr="007A5789">
        <w:rPr>
          <w:sz w:val="21"/>
        </w:rPr>
        <w:t>UNORE</w:t>
      </w:r>
      <w:r w:rsidR="00B6014B">
        <w:rPr>
          <w:sz w:val="21"/>
        </w:rPr>
        <w:t>）</w:t>
      </w:r>
      <w:r w:rsidRPr="007A5789">
        <w:rPr>
          <w:sz w:val="21"/>
        </w:rPr>
        <w:t>兑换成瑞士法郎。在报告</w:t>
      </w:r>
      <w:proofErr w:type="gramStart"/>
      <w:r w:rsidRPr="007A5789">
        <w:rPr>
          <w:sz w:val="21"/>
        </w:rPr>
        <w:t>日因此种交易和因重新</w:t>
      </w:r>
      <w:proofErr w:type="gramEnd"/>
      <w:r w:rsidRPr="007A5789">
        <w:rPr>
          <w:sz w:val="21"/>
        </w:rPr>
        <w:t>对以WIPO功能货币之外的货币计价的资产与负债进行换算而产生的已变现及未变现的收益和亏损在财务执行情况表中确认。</w:t>
      </w:r>
    </w:p>
    <w:p w:rsidR="007A5789" w:rsidRPr="001E1DEA" w:rsidRDefault="00915477" w:rsidP="001E1DEA">
      <w:pPr>
        <w:pStyle w:val="Style3Bold"/>
        <w:keepNext/>
        <w:spacing w:beforeLines="100" w:before="240" w:afterLines="50" w:line="340" w:lineRule="atLeast"/>
        <w:rPr>
          <w:sz w:val="21"/>
        </w:rPr>
      </w:pPr>
      <w:r w:rsidRPr="001E1DEA">
        <w:rPr>
          <w:sz w:val="21"/>
        </w:rPr>
        <w:t>收入确认</w:t>
      </w:r>
    </w:p>
    <w:p w:rsidR="007A5789" w:rsidRDefault="00915477"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由在PCT、马德里及海牙体系下申请</w:t>
      </w:r>
      <w:proofErr w:type="gramStart"/>
      <w:r w:rsidRPr="007A5789">
        <w:rPr>
          <w:sz w:val="21"/>
        </w:rPr>
        <w:t>规</w:t>
      </w:r>
      <w:proofErr w:type="gramEnd"/>
      <w:r w:rsidRPr="007A5789">
        <w:rPr>
          <w:sz w:val="21"/>
        </w:rPr>
        <w:t>费构成的外汇交易收入在公布之日入账。在报告日已收到申请</w:t>
      </w:r>
      <w:proofErr w:type="gramStart"/>
      <w:r w:rsidRPr="007A5789">
        <w:rPr>
          <w:sz w:val="21"/>
        </w:rPr>
        <w:t>规</w:t>
      </w:r>
      <w:proofErr w:type="gramEnd"/>
      <w:r w:rsidRPr="007A5789">
        <w:rPr>
          <w:sz w:val="21"/>
        </w:rPr>
        <w:t>费但申请未公布的，该收入要递延到公布完成之时才入账。公布之后收到的用于非英文</w:t>
      </w:r>
      <w:proofErr w:type="gramStart"/>
      <w:r w:rsidRPr="007A5789">
        <w:rPr>
          <w:sz w:val="21"/>
        </w:rPr>
        <w:t>可专利</w:t>
      </w:r>
      <w:proofErr w:type="gramEnd"/>
      <w:r w:rsidRPr="007A5789">
        <w:rPr>
          <w:sz w:val="21"/>
        </w:rPr>
        <w:t>性报告的翻译部分的PCT申请</w:t>
      </w:r>
      <w:proofErr w:type="gramStart"/>
      <w:r w:rsidRPr="007A5789">
        <w:rPr>
          <w:sz w:val="21"/>
        </w:rPr>
        <w:t>规</w:t>
      </w:r>
      <w:proofErr w:type="gramEnd"/>
      <w:r w:rsidRPr="007A5789">
        <w:rPr>
          <w:sz w:val="21"/>
        </w:rPr>
        <w:t>费也推迟到翻译完成之时入账。PCT、马德里及海牙体系下的所有其他</w:t>
      </w:r>
      <w:proofErr w:type="gramStart"/>
      <w:r w:rsidRPr="007A5789">
        <w:rPr>
          <w:sz w:val="21"/>
        </w:rPr>
        <w:t>规</w:t>
      </w:r>
      <w:proofErr w:type="gramEnd"/>
      <w:r w:rsidRPr="007A5789">
        <w:rPr>
          <w:sz w:val="21"/>
        </w:rPr>
        <w:t>费在提供收费服务后入账。出版物和仲裁与调解服务收入在货物或服务完全交付时入账。</w:t>
      </w:r>
    </w:p>
    <w:p w:rsidR="007A5789" w:rsidRDefault="00915477"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lastRenderedPageBreak/>
        <w:t>非外汇交易收入，例如可实施协议支持下的特别账户自愿捐款，在协议产生约束力时作为收入入账，除非协议中包含强制执行或未支余额归还的相关条件。这种协议需要推迟收入确认负债的初步认可，然后收入才能入账，因为负债是通过执行协议内的具体条件来解除的。</w:t>
      </w:r>
    </w:p>
    <w:p w:rsidR="007A5789" w:rsidRDefault="00915477"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分摊会费被作为分摊相关预算期期</w:t>
      </w:r>
      <w:proofErr w:type="gramStart"/>
      <w:r w:rsidRPr="007A5789">
        <w:rPr>
          <w:sz w:val="21"/>
        </w:rPr>
        <w:t>初收入</w:t>
      </w:r>
      <w:proofErr w:type="gramEnd"/>
      <w:r w:rsidRPr="007A5789">
        <w:rPr>
          <w:sz w:val="21"/>
        </w:rPr>
        <w:t>入账。</w:t>
      </w:r>
    </w:p>
    <w:p w:rsidR="007A5789" w:rsidRPr="001E1DEA" w:rsidRDefault="00915477" w:rsidP="001E1DEA">
      <w:pPr>
        <w:pStyle w:val="Style3Bold"/>
        <w:keepNext/>
        <w:spacing w:beforeLines="100" w:before="240" w:afterLines="50" w:line="340" w:lineRule="atLeast"/>
        <w:rPr>
          <w:sz w:val="21"/>
        </w:rPr>
      </w:pPr>
      <w:r w:rsidRPr="001E1DEA">
        <w:rPr>
          <w:sz w:val="21"/>
        </w:rPr>
        <w:t>费用确认</w:t>
      </w:r>
    </w:p>
    <w:p w:rsidR="007A5789" w:rsidRDefault="00915477"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货物收到和服务交付时，即可记为费用已支出。</w:t>
      </w:r>
    </w:p>
    <w:p w:rsidR="007A5789" w:rsidRPr="001E1DEA" w:rsidRDefault="0091737F" w:rsidP="001E1DEA">
      <w:pPr>
        <w:pStyle w:val="Style3Bold"/>
        <w:keepNext/>
        <w:spacing w:beforeLines="100" w:before="240" w:afterLines="50" w:line="340" w:lineRule="atLeast"/>
        <w:rPr>
          <w:sz w:val="21"/>
        </w:rPr>
      </w:pPr>
      <w:r w:rsidRPr="001E1DEA">
        <w:rPr>
          <w:sz w:val="21"/>
        </w:rPr>
        <w:t>应收</w:t>
      </w:r>
      <w:r w:rsidR="00A23161" w:rsidRPr="001E1DEA">
        <w:rPr>
          <w:rFonts w:hint="eastAsia"/>
          <w:sz w:val="21"/>
        </w:rPr>
        <w:t>账</w:t>
      </w:r>
      <w:r w:rsidRPr="001E1DEA">
        <w:rPr>
          <w:sz w:val="21"/>
        </w:rPr>
        <w:t>款</w:t>
      </w:r>
    </w:p>
    <w:p w:rsidR="007A5789" w:rsidRDefault="0091737F"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外汇交易应收账款包括对通过PCT、马德里及海牙体系使用WIPO知识产权服务的用户收取的费用。这些费用以在国际申请提交后应收PCT、马德里及海牙体系</w:t>
      </w:r>
      <w:proofErr w:type="gramStart"/>
      <w:r w:rsidRPr="007A5789">
        <w:rPr>
          <w:sz w:val="21"/>
        </w:rPr>
        <w:t>规</w:t>
      </w:r>
      <w:proofErr w:type="gramEnd"/>
      <w:r w:rsidRPr="007A5789">
        <w:rPr>
          <w:sz w:val="21"/>
        </w:rPr>
        <w:t>费的公允价值进行计量。</w:t>
      </w:r>
    </w:p>
    <w:p w:rsidR="007A5789" w:rsidRDefault="003A11FB"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非外汇交易应收账款包括未收分摊会费。这些费用以应付账款的公允价值计量。大会采取行动冻结的分摊会费加上按照《世界知识产权组织公约》第11条的规定已丧失表决权的成员国的应缴会费总额，设立不可收回应收</w:t>
      </w:r>
      <w:proofErr w:type="gramStart"/>
      <w:r w:rsidRPr="007A5789">
        <w:rPr>
          <w:sz w:val="21"/>
        </w:rPr>
        <w:t>账款备抵金</w:t>
      </w:r>
      <w:proofErr w:type="gramEnd"/>
      <w:r w:rsidRPr="007A5789">
        <w:rPr>
          <w:sz w:val="21"/>
        </w:rPr>
        <w:t>。</w:t>
      </w:r>
    </w:p>
    <w:p w:rsidR="007A5789" w:rsidRPr="001E1DEA" w:rsidRDefault="001F563B" w:rsidP="001E1DEA">
      <w:pPr>
        <w:pStyle w:val="Style3Bold"/>
        <w:keepNext/>
        <w:spacing w:beforeLines="100" w:before="240" w:afterLines="50" w:line="340" w:lineRule="atLeast"/>
        <w:rPr>
          <w:sz w:val="21"/>
        </w:rPr>
      </w:pPr>
      <w:r w:rsidRPr="007A5789">
        <w:rPr>
          <w:sz w:val="21"/>
        </w:rPr>
        <w:t>库</w:t>
      </w:r>
      <w:r w:rsidR="00316F63">
        <w:rPr>
          <w:rFonts w:hint="eastAsia"/>
          <w:sz w:val="21"/>
        </w:rPr>
        <w:t xml:space="preserve">　</w:t>
      </w:r>
      <w:r w:rsidRPr="007A5789">
        <w:rPr>
          <w:sz w:val="21"/>
        </w:rPr>
        <w:t>存</w:t>
      </w:r>
    </w:p>
    <w:p w:rsidR="007A5789" w:rsidRDefault="001F563B"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库存包括用于销售的出版物和免费发行的出版物的价值、用于生产出版物的用品和材料的价值以及零售店商品的价值。出版物的总价值根据每页出版物的平均费用</w:t>
      </w:r>
      <w:r w:rsidR="00B6014B">
        <w:rPr>
          <w:sz w:val="21"/>
        </w:rPr>
        <w:t>（</w:t>
      </w:r>
      <w:r w:rsidRPr="007A5789">
        <w:rPr>
          <w:sz w:val="21"/>
        </w:rPr>
        <w:t>除销售和发行费用以外</w:t>
      </w:r>
      <w:r w:rsidR="00B6014B">
        <w:rPr>
          <w:sz w:val="21"/>
        </w:rPr>
        <w:t>）</w:t>
      </w:r>
      <w:r w:rsidRPr="007A5789">
        <w:rPr>
          <w:sz w:val="21"/>
        </w:rPr>
        <w:t>乘以出版物库存的出版物页数来计算，经调整来反映成本的降低</w:t>
      </w:r>
      <w:proofErr w:type="gramStart"/>
      <w:r w:rsidRPr="007A5789">
        <w:rPr>
          <w:sz w:val="21"/>
        </w:rPr>
        <w:t>或净变现价</w:t>
      </w:r>
      <w:proofErr w:type="gramEnd"/>
      <w:r w:rsidRPr="007A5789">
        <w:rPr>
          <w:sz w:val="21"/>
        </w:rPr>
        <w:t>值。撤出销售或免费发行的出版物的价值在出版物过时</w:t>
      </w:r>
      <w:r w:rsidR="00C558E8" w:rsidRPr="007A5789">
        <w:rPr>
          <w:rFonts w:hint="eastAsia"/>
          <w:sz w:val="21"/>
        </w:rPr>
        <w:t>的</w:t>
      </w:r>
      <w:r w:rsidRPr="007A5789">
        <w:rPr>
          <w:sz w:val="21"/>
        </w:rPr>
        <w:t>当年注销。</w:t>
      </w:r>
    </w:p>
    <w:p w:rsidR="007A5789" w:rsidRDefault="001F563B"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每年的实际库存由所有库存出版物供应存货和零售店待售物品来确定。永续库存由待售出版物来确定，而当年通过抽样实际盘点来核对库存余额。每年年底从待售出版物或免费发行的出版物目录中清除物品，与可以预料不再免费发行或可能销售的物品一道从库存中注销，这些物品的价值计账为零。</w:t>
      </w:r>
    </w:p>
    <w:p w:rsidR="007A5789" w:rsidRDefault="001F563B"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用于生产过程中的纸张和其他用品的成本价值采用先入先出法</w:t>
      </w:r>
      <w:r w:rsidR="00B6014B">
        <w:rPr>
          <w:sz w:val="21"/>
        </w:rPr>
        <w:t>（</w:t>
      </w:r>
      <w:r w:rsidRPr="007A5789">
        <w:rPr>
          <w:sz w:val="21"/>
        </w:rPr>
        <w:t>FIFO</w:t>
      </w:r>
      <w:r w:rsidR="00B6014B">
        <w:rPr>
          <w:sz w:val="21"/>
        </w:rPr>
        <w:t>）</w:t>
      </w:r>
      <w:r w:rsidRPr="007A5789">
        <w:rPr>
          <w:sz w:val="21"/>
        </w:rPr>
        <w:t>计账。零售店持有的物品价值按本组织的成本计算。库存如果有损失或已陈旧则相应调低价值以反映</w:t>
      </w:r>
      <w:proofErr w:type="gramStart"/>
      <w:r w:rsidRPr="007A5789">
        <w:rPr>
          <w:sz w:val="21"/>
        </w:rPr>
        <w:t>其净变现价</w:t>
      </w:r>
      <w:proofErr w:type="gramEnd"/>
      <w:r w:rsidRPr="007A5789">
        <w:rPr>
          <w:sz w:val="21"/>
        </w:rPr>
        <w:t>值。库存没有用作负债抵押。</w:t>
      </w:r>
    </w:p>
    <w:p w:rsidR="007A5789" w:rsidRPr="001E1DEA" w:rsidRDefault="003A11FB" w:rsidP="001E1DEA">
      <w:pPr>
        <w:pStyle w:val="Style3Bold"/>
        <w:keepNext/>
        <w:spacing w:beforeLines="100" w:before="240" w:afterLines="50" w:line="340" w:lineRule="atLeast"/>
        <w:rPr>
          <w:sz w:val="21"/>
        </w:rPr>
      </w:pPr>
      <w:r w:rsidRPr="001E1DEA">
        <w:rPr>
          <w:sz w:val="21"/>
        </w:rPr>
        <w:t>设</w:t>
      </w:r>
      <w:r w:rsidR="00316F63">
        <w:rPr>
          <w:rFonts w:hint="eastAsia"/>
          <w:sz w:val="21"/>
        </w:rPr>
        <w:t xml:space="preserve">　</w:t>
      </w:r>
      <w:r w:rsidRPr="001E1DEA">
        <w:rPr>
          <w:sz w:val="21"/>
        </w:rPr>
        <w:t>备</w:t>
      </w:r>
    </w:p>
    <w:p w:rsidR="007A5789" w:rsidRDefault="003A11FB"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设备按成本减累计折旧和损耗计账。如设备单位价值为5,000瑞郎或以上，则被确认为一项资产。通过实收款项与资产账面金额进行比较来确定出售资产带来的盈余和亏损，并纳入财务执行情况报表。包括捐赠的艺术作品在内的遗产资产不在财务报表中计账。</w:t>
      </w:r>
    </w:p>
    <w:p w:rsidR="00A72FF4" w:rsidRPr="007A5789" w:rsidRDefault="00A72FF4"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为了冲销设备的完全成本，按照估计使用年限，使用直线法来计算折旧。如设备仅用于当年部分时间</w:t>
      </w:r>
      <w:r w:rsidR="00B6014B">
        <w:rPr>
          <w:sz w:val="21"/>
        </w:rPr>
        <w:t>（</w:t>
      </w:r>
      <w:r w:rsidRPr="007A5789">
        <w:rPr>
          <w:sz w:val="21"/>
        </w:rPr>
        <w:t>由于当年的收购、处置或报废</w:t>
      </w:r>
      <w:r w:rsidR="00B6014B">
        <w:rPr>
          <w:sz w:val="21"/>
        </w:rPr>
        <w:t>）</w:t>
      </w:r>
      <w:r w:rsidRPr="007A5789">
        <w:rPr>
          <w:sz w:val="21"/>
        </w:rPr>
        <w:t>，则只针对固定资产所使用的月份来计算折旧。以下使用寿命范围适用于不同类别的设备：</w:t>
      </w:r>
    </w:p>
    <w:tbl>
      <w:tblPr>
        <w:tblW w:w="7596" w:type="dxa"/>
        <w:jc w:val="center"/>
        <w:tblLook w:val="0000" w:firstRow="0" w:lastRow="0" w:firstColumn="0" w:lastColumn="0" w:noHBand="0" w:noVBand="0"/>
      </w:tblPr>
      <w:tblGrid>
        <w:gridCol w:w="4867"/>
        <w:gridCol w:w="2729"/>
      </w:tblGrid>
      <w:tr w:rsidR="00A72FF4" w:rsidRPr="00AC4C1F" w:rsidTr="002767E2">
        <w:trPr>
          <w:trHeight w:val="345"/>
          <w:jc w:val="center"/>
        </w:trPr>
        <w:tc>
          <w:tcPr>
            <w:tcW w:w="4867" w:type="dxa"/>
            <w:tcBorders>
              <w:top w:val="single" w:sz="4" w:space="0" w:color="auto"/>
              <w:left w:val="nil"/>
              <w:bottom w:val="single" w:sz="4" w:space="0" w:color="auto"/>
              <w:right w:val="nil"/>
            </w:tcBorders>
            <w:shd w:val="clear" w:color="auto" w:fill="F2F2F2"/>
            <w:noWrap/>
            <w:vAlign w:val="center"/>
          </w:tcPr>
          <w:p w:rsidR="00A72FF4" w:rsidRPr="00AC4C1F" w:rsidRDefault="00A72FF4" w:rsidP="00111426">
            <w:pPr>
              <w:jc w:val="left"/>
              <w:rPr>
                <w:b/>
                <w:sz w:val="18"/>
                <w:szCs w:val="18"/>
              </w:rPr>
            </w:pPr>
            <w:r w:rsidRPr="00AC4C1F">
              <w:rPr>
                <w:b/>
                <w:sz w:val="18"/>
              </w:rPr>
              <w:t>分类</w:t>
            </w:r>
          </w:p>
        </w:tc>
        <w:tc>
          <w:tcPr>
            <w:tcW w:w="2729" w:type="dxa"/>
            <w:tcBorders>
              <w:top w:val="single" w:sz="4" w:space="0" w:color="auto"/>
              <w:left w:val="nil"/>
              <w:bottom w:val="single" w:sz="4" w:space="0" w:color="auto"/>
              <w:right w:val="nil"/>
            </w:tcBorders>
            <w:shd w:val="clear" w:color="auto" w:fill="F2F2F2"/>
            <w:vAlign w:val="center"/>
          </w:tcPr>
          <w:p w:rsidR="00A72FF4" w:rsidRPr="00AC4C1F" w:rsidRDefault="00A72FF4" w:rsidP="00111426">
            <w:pPr>
              <w:jc w:val="right"/>
              <w:rPr>
                <w:b/>
                <w:sz w:val="18"/>
                <w:szCs w:val="18"/>
              </w:rPr>
            </w:pPr>
            <w:r w:rsidRPr="00AC4C1F">
              <w:rPr>
                <w:b/>
                <w:sz w:val="18"/>
              </w:rPr>
              <w:t>预计使用寿命</w:t>
            </w:r>
          </w:p>
        </w:tc>
      </w:tr>
      <w:tr w:rsidR="00A72FF4" w:rsidRPr="00167CE7" w:rsidTr="002767E2">
        <w:trPr>
          <w:trHeight w:val="285"/>
          <w:jc w:val="center"/>
        </w:trPr>
        <w:tc>
          <w:tcPr>
            <w:tcW w:w="4867" w:type="dxa"/>
            <w:tcBorders>
              <w:top w:val="nil"/>
              <w:left w:val="nil"/>
              <w:bottom w:val="nil"/>
              <w:right w:val="nil"/>
            </w:tcBorders>
            <w:shd w:val="clear" w:color="auto" w:fill="auto"/>
            <w:noWrap/>
            <w:vAlign w:val="center"/>
          </w:tcPr>
          <w:p w:rsidR="00A72FF4" w:rsidRPr="00167CE7" w:rsidRDefault="00A72FF4" w:rsidP="00DD608E">
            <w:pPr>
              <w:rPr>
                <w:sz w:val="18"/>
                <w:szCs w:val="18"/>
              </w:rPr>
            </w:pPr>
            <w:r w:rsidRPr="00167CE7">
              <w:rPr>
                <w:sz w:val="18"/>
              </w:rPr>
              <w:t>通信和IT设备</w:t>
            </w:r>
          </w:p>
        </w:tc>
        <w:tc>
          <w:tcPr>
            <w:tcW w:w="2729" w:type="dxa"/>
            <w:tcBorders>
              <w:top w:val="nil"/>
              <w:left w:val="nil"/>
              <w:bottom w:val="nil"/>
              <w:right w:val="nil"/>
            </w:tcBorders>
            <w:shd w:val="clear" w:color="auto" w:fill="auto"/>
            <w:vAlign w:val="center"/>
          </w:tcPr>
          <w:p w:rsidR="00A72FF4" w:rsidRPr="00167CE7" w:rsidRDefault="00A72FF4" w:rsidP="00DD608E">
            <w:pPr>
              <w:jc w:val="right"/>
              <w:rPr>
                <w:sz w:val="18"/>
                <w:szCs w:val="18"/>
              </w:rPr>
            </w:pPr>
            <w:r w:rsidRPr="00167CE7">
              <w:rPr>
                <w:sz w:val="18"/>
              </w:rPr>
              <w:t>5年</w:t>
            </w:r>
          </w:p>
        </w:tc>
      </w:tr>
      <w:tr w:rsidR="00A72FF4" w:rsidRPr="00167CE7" w:rsidTr="002767E2">
        <w:trPr>
          <w:trHeight w:val="285"/>
          <w:jc w:val="center"/>
        </w:trPr>
        <w:tc>
          <w:tcPr>
            <w:tcW w:w="4867" w:type="dxa"/>
            <w:tcBorders>
              <w:top w:val="nil"/>
              <w:left w:val="nil"/>
              <w:bottom w:val="nil"/>
              <w:right w:val="nil"/>
            </w:tcBorders>
            <w:shd w:val="clear" w:color="auto" w:fill="auto"/>
            <w:noWrap/>
            <w:vAlign w:val="center"/>
          </w:tcPr>
          <w:p w:rsidR="00A72FF4" w:rsidRPr="00167CE7" w:rsidRDefault="00A72FF4" w:rsidP="00DD608E">
            <w:pPr>
              <w:rPr>
                <w:sz w:val="18"/>
                <w:szCs w:val="18"/>
              </w:rPr>
            </w:pPr>
            <w:r w:rsidRPr="00167CE7">
              <w:rPr>
                <w:sz w:val="18"/>
              </w:rPr>
              <w:t>车辆</w:t>
            </w:r>
          </w:p>
        </w:tc>
        <w:tc>
          <w:tcPr>
            <w:tcW w:w="2729" w:type="dxa"/>
            <w:tcBorders>
              <w:top w:val="nil"/>
              <w:left w:val="nil"/>
              <w:bottom w:val="nil"/>
              <w:right w:val="nil"/>
            </w:tcBorders>
            <w:shd w:val="clear" w:color="auto" w:fill="auto"/>
            <w:vAlign w:val="center"/>
          </w:tcPr>
          <w:p w:rsidR="00A72FF4" w:rsidRPr="00167CE7" w:rsidRDefault="00A72FF4" w:rsidP="00DD608E">
            <w:pPr>
              <w:jc w:val="right"/>
              <w:rPr>
                <w:sz w:val="18"/>
                <w:szCs w:val="18"/>
              </w:rPr>
            </w:pPr>
            <w:r w:rsidRPr="00167CE7">
              <w:rPr>
                <w:sz w:val="18"/>
              </w:rPr>
              <w:t>5年</w:t>
            </w:r>
          </w:p>
        </w:tc>
      </w:tr>
      <w:tr w:rsidR="00A72FF4" w:rsidRPr="00167CE7" w:rsidTr="002767E2">
        <w:trPr>
          <w:trHeight w:val="285"/>
          <w:jc w:val="center"/>
        </w:trPr>
        <w:tc>
          <w:tcPr>
            <w:tcW w:w="4867" w:type="dxa"/>
            <w:tcBorders>
              <w:top w:val="nil"/>
              <w:left w:val="nil"/>
              <w:bottom w:val="nil"/>
              <w:right w:val="nil"/>
            </w:tcBorders>
            <w:shd w:val="clear" w:color="auto" w:fill="auto"/>
            <w:noWrap/>
            <w:vAlign w:val="center"/>
          </w:tcPr>
          <w:p w:rsidR="00A72FF4" w:rsidRPr="00167CE7" w:rsidRDefault="00A72FF4" w:rsidP="00DD608E">
            <w:pPr>
              <w:rPr>
                <w:sz w:val="18"/>
                <w:szCs w:val="18"/>
              </w:rPr>
            </w:pPr>
            <w:r w:rsidRPr="00167CE7">
              <w:rPr>
                <w:sz w:val="18"/>
              </w:rPr>
              <w:t>家具和固定装置</w:t>
            </w:r>
          </w:p>
        </w:tc>
        <w:tc>
          <w:tcPr>
            <w:tcW w:w="2729" w:type="dxa"/>
            <w:tcBorders>
              <w:top w:val="nil"/>
              <w:left w:val="nil"/>
              <w:bottom w:val="nil"/>
              <w:right w:val="nil"/>
            </w:tcBorders>
            <w:shd w:val="clear" w:color="auto" w:fill="auto"/>
            <w:vAlign w:val="center"/>
          </w:tcPr>
          <w:p w:rsidR="00A72FF4" w:rsidRPr="00167CE7" w:rsidRDefault="00A72FF4" w:rsidP="00DD608E">
            <w:pPr>
              <w:jc w:val="right"/>
              <w:rPr>
                <w:sz w:val="18"/>
                <w:szCs w:val="18"/>
              </w:rPr>
            </w:pPr>
            <w:r w:rsidRPr="00167CE7">
              <w:rPr>
                <w:sz w:val="18"/>
              </w:rPr>
              <w:t>10年</w:t>
            </w:r>
          </w:p>
        </w:tc>
      </w:tr>
    </w:tbl>
    <w:p w:rsidR="007A5789" w:rsidRDefault="00A72FF4"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lastRenderedPageBreak/>
        <w:t>如果偶尔事件或情况变化表明资产账面价值可能无法恢复，应就损耗对设备的账面价值进行审查。如果存在这种情况，应对资产可恢复数额进行评估，以确定损耗的程度。任何损耗均计入财务执行情况表。</w:t>
      </w:r>
    </w:p>
    <w:p w:rsidR="007A5789" w:rsidRPr="001E1DEA" w:rsidRDefault="00A72FF4" w:rsidP="001E1DEA">
      <w:pPr>
        <w:pStyle w:val="Style3Bold"/>
        <w:keepNext/>
        <w:spacing w:beforeLines="100" w:before="240" w:afterLines="50" w:line="340" w:lineRule="atLeast"/>
        <w:rPr>
          <w:sz w:val="21"/>
        </w:rPr>
      </w:pPr>
      <w:r w:rsidRPr="001E1DEA">
        <w:rPr>
          <w:sz w:val="21"/>
        </w:rPr>
        <w:t>投资财产</w:t>
      </w:r>
    </w:p>
    <w:p w:rsidR="007A5789" w:rsidRDefault="00A72FF4"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投资财产</w:t>
      </w:r>
      <w:r w:rsidR="00C0360F" w:rsidRPr="007A5789">
        <w:rPr>
          <w:rFonts w:hint="eastAsia"/>
          <w:sz w:val="21"/>
        </w:rPr>
        <w:t>以</w:t>
      </w:r>
      <w:r w:rsidRPr="007A5789">
        <w:rPr>
          <w:sz w:val="21"/>
        </w:rPr>
        <w:t>根据国际评估标准经独立评估确定的公允价值</w:t>
      </w:r>
      <w:r w:rsidR="00C0360F" w:rsidRPr="007A5789">
        <w:rPr>
          <w:rFonts w:hint="eastAsia"/>
          <w:sz w:val="21"/>
        </w:rPr>
        <w:t>记账</w:t>
      </w:r>
      <w:r w:rsidRPr="007A5789">
        <w:rPr>
          <w:sz w:val="21"/>
        </w:rPr>
        <w:t>。公允价值变动计入财务执行情况表。</w:t>
      </w:r>
    </w:p>
    <w:p w:rsidR="007A5789" w:rsidRPr="001E1DEA" w:rsidRDefault="00A72FF4" w:rsidP="001E1DEA">
      <w:pPr>
        <w:pStyle w:val="Style3Bold"/>
        <w:keepNext/>
        <w:spacing w:beforeLines="100" w:before="240" w:afterLines="50" w:line="340" w:lineRule="atLeast"/>
        <w:rPr>
          <w:sz w:val="21"/>
        </w:rPr>
      </w:pPr>
      <w:r w:rsidRPr="001E1DEA">
        <w:rPr>
          <w:sz w:val="21"/>
        </w:rPr>
        <w:t>无形资产</w:t>
      </w:r>
    </w:p>
    <w:p w:rsidR="00A72FF4" w:rsidRPr="007A5789" w:rsidRDefault="00A72FF4"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无形资产以成本减</w:t>
      </w:r>
      <w:r w:rsidR="00C0360F" w:rsidRPr="007A5789">
        <w:rPr>
          <w:rFonts w:hint="eastAsia"/>
          <w:sz w:val="21"/>
        </w:rPr>
        <w:t>去</w:t>
      </w:r>
      <w:r w:rsidRPr="007A5789">
        <w:rPr>
          <w:sz w:val="21"/>
        </w:rPr>
        <w:t>累计摊销和损耗记账。针对所有具有有限寿命的无形资产，使用直线法，以能冲销其使用寿命期间资产的成本或价值的比率计算摊销。主要类别的无形资产的预计使用寿命如下：</w:t>
      </w:r>
    </w:p>
    <w:tbl>
      <w:tblPr>
        <w:tblW w:w="7702" w:type="dxa"/>
        <w:jc w:val="center"/>
        <w:tblLook w:val="0000" w:firstRow="0" w:lastRow="0" w:firstColumn="0" w:lastColumn="0" w:noHBand="0" w:noVBand="0"/>
      </w:tblPr>
      <w:tblGrid>
        <w:gridCol w:w="5172"/>
        <w:gridCol w:w="2530"/>
      </w:tblGrid>
      <w:tr w:rsidR="00A72FF4" w:rsidRPr="00AC4C1F" w:rsidTr="002767E2">
        <w:trPr>
          <w:trHeight w:val="345"/>
          <w:jc w:val="center"/>
        </w:trPr>
        <w:tc>
          <w:tcPr>
            <w:tcW w:w="5172" w:type="dxa"/>
            <w:tcBorders>
              <w:top w:val="single" w:sz="4" w:space="0" w:color="auto"/>
              <w:left w:val="nil"/>
              <w:bottom w:val="single" w:sz="4" w:space="0" w:color="auto"/>
              <w:right w:val="nil"/>
            </w:tcBorders>
            <w:shd w:val="clear" w:color="auto" w:fill="F2F2F2"/>
            <w:noWrap/>
            <w:vAlign w:val="center"/>
          </w:tcPr>
          <w:p w:rsidR="00A72FF4" w:rsidRPr="00AC4C1F" w:rsidRDefault="00A72FF4" w:rsidP="00111426">
            <w:pPr>
              <w:jc w:val="left"/>
              <w:rPr>
                <w:b/>
                <w:sz w:val="18"/>
                <w:szCs w:val="18"/>
              </w:rPr>
            </w:pPr>
            <w:r w:rsidRPr="00AC4C1F">
              <w:rPr>
                <w:b/>
                <w:sz w:val="18"/>
              </w:rPr>
              <w:t>分类</w:t>
            </w:r>
          </w:p>
        </w:tc>
        <w:tc>
          <w:tcPr>
            <w:tcW w:w="2530" w:type="dxa"/>
            <w:tcBorders>
              <w:top w:val="single" w:sz="4" w:space="0" w:color="auto"/>
              <w:left w:val="nil"/>
              <w:bottom w:val="single" w:sz="4" w:space="0" w:color="auto"/>
              <w:right w:val="nil"/>
            </w:tcBorders>
            <w:shd w:val="clear" w:color="auto" w:fill="F2F2F2"/>
            <w:vAlign w:val="center"/>
          </w:tcPr>
          <w:p w:rsidR="00A72FF4" w:rsidRPr="00AC4C1F" w:rsidRDefault="00A72FF4" w:rsidP="00111426">
            <w:pPr>
              <w:jc w:val="right"/>
              <w:rPr>
                <w:b/>
                <w:sz w:val="18"/>
                <w:szCs w:val="18"/>
              </w:rPr>
            </w:pPr>
            <w:r w:rsidRPr="00AC4C1F">
              <w:rPr>
                <w:b/>
                <w:sz w:val="18"/>
              </w:rPr>
              <w:t>预计使用寿命</w:t>
            </w:r>
          </w:p>
        </w:tc>
      </w:tr>
      <w:tr w:rsidR="00A72FF4" w:rsidRPr="007A5789" w:rsidTr="002767E2">
        <w:trPr>
          <w:trHeight w:val="285"/>
          <w:jc w:val="center"/>
        </w:trPr>
        <w:tc>
          <w:tcPr>
            <w:tcW w:w="5172" w:type="dxa"/>
            <w:tcBorders>
              <w:top w:val="nil"/>
              <w:left w:val="nil"/>
              <w:bottom w:val="nil"/>
              <w:right w:val="nil"/>
            </w:tcBorders>
            <w:shd w:val="clear" w:color="auto" w:fill="auto"/>
            <w:noWrap/>
            <w:vAlign w:val="center"/>
          </w:tcPr>
          <w:p w:rsidR="00A72FF4" w:rsidRPr="007A5789" w:rsidRDefault="00A72FF4" w:rsidP="00DD608E">
            <w:pPr>
              <w:rPr>
                <w:sz w:val="18"/>
                <w:szCs w:val="18"/>
              </w:rPr>
            </w:pPr>
            <w:r w:rsidRPr="007A5789">
              <w:rPr>
                <w:sz w:val="18"/>
              </w:rPr>
              <w:t>外部购买的软件</w:t>
            </w:r>
          </w:p>
        </w:tc>
        <w:tc>
          <w:tcPr>
            <w:tcW w:w="2530" w:type="dxa"/>
            <w:tcBorders>
              <w:top w:val="nil"/>
              <w:left w:val="nil"/>
              <w:bottom w:val="nil"/>
              <w:right w:val="nil"/>
            </w:tcBorders>
            <w:shd w:val="clear" w:color="auto" w:fill="auto"/>
            <w:vAlign w:val="center"/>
          </w:tcPr>
          <w:p w:rsidR="00A72FF4" w:rsidRPr="007A5789" w:rsidRDefault="00A72FF4" w:rsidP="00111426">
            <w:pPr>
              <w:jc w:val="right"/>
              <w:rPr>
                <w:sz w:val="18"/>
                <w:szCs w:val="18"/>
              </w:rPr>
            </w:pPr>
            <w:r w:rsidRPr="007A5789">
              <w:rPr>
                <w:sz w:val="18"/>
              </w:rPr>
              <w:t>5年</w:t>
            </w:r>
          </w:p>
        </w:tc>
      </w:tr>
      <w:tr w:rsidR="00A72FF4" w:rsidRPr="007A5789" w:rsidTr="002767E2">
        <w:trPr>
          <w:trHeight w:val="285"/>
          <w:jc w:val="center"/>
        </w:trPr>
        <w:tc>
          <w:tcPr>
            <w:tcW w:w="5172" w:type="dxa"/>
            <w:tcBorders>
              <w:top w:val="nil"/>
              <w:left w:val="nil"/>
              <w:bottom w:val="nil"/>
              <w:right w:val="nil"/>
            </w:tcBorders>
            <w:shd w:val="clear" w:color="auto" w:fill="auto"/>
            <w:noWrap/>
            <w:vAlign w:val="center"/>
          </w:tcPr>
          <w:p w:rsidR="00A72FF4" w:rsidRPr="007A5789" w:rsidRDefault="00A72FF4" w:rsidP="00DD608E">
            <w:pPr>
              <w:rPr>
                <w:sz w:val="18"/>
                <w:szCs w:val="18"/>
              </w:rPr>
            </w:pPr>
            <w:r w:rsidRPr="007A5789">
              <w:rPr>
                <w:sz w:val="18"/>
              </w:rPr>
              <w:t>内部开发的软件</w:t>
            </w:r>
          </w:p>
        </w:tc>
        <w:tc>
          <w:tcPr>
            <w:tcW w:w="2530" w:type="dxa"/>
            <w:tcBorders>
              <w:top w:val="nil"/>
              <w:left w:val="nil"/>
              <w:bottom w:val="nil"/>
              <w:right w:val="nil"/>
            </w:tcBorders>
            <w:shd w:val="clear" w:color="auto" w:fill="auto"/>
            <w:vAlign w:val="center"/>
          </w:tcPr>
          <w:p w:rsidR="00A72FF4" w:rsidRPr="007A5789" w:rsidRDefault="00A72FF4" w:rsidP="00111426">
            <w:pPr>
              <w:jc w:val="right"/>
              <w:rPr>
                <w:sz w:val="18"/>
                <w:szCs w:val="18"/>
              </w:rPr>
            </w:pPr>
            <w:r w:rsidRPr="007A5789">
              <w:rPr>
                <w:sz w:val="18"/>
              </w:rPr>
              <w:t>5年</w:t>
            </w:r>
          </w:p>
        </w:tc>
      </w:tr>
      <w:tr w:rsidR="00A72FF4" w:rsidRPr="007A5789" w:rsidTr="002767E2">
        <w:trPr>
          <w:trHeight w:val="285"/>
          <w:jc w:val="center"/>
        </w:trPr>
        <w:tc>
          <w:tcPr>
            <w:tcW w:w="5172" w:type="dxa"/>
            <w:tcBorders>
              <w:top w:val="nil"/>
              <w:left w:val="nil"/>
              <w:bottom w:val="nil"/>
              <w:right w:val="nil"/>
            </w:tcBorders>
            <w:shd w:val="clear" w:color="auto" w:fill="auto"/>
            <w:noWrap/>
            <w:vAlign w:val="center"/>
          </w:tcPr>
          <w:p w:rsidR="00A72FF4" w:rsidRPr="007A5789" w:rsidRDefault="00A72FF4" w:rsidP="00DD608E">
            <w:pPr>
              <w:rPr>
                <w:sz w:val="18"/>
                <w:szCs w:val="18"/>
              </w:rPr>
            </w:pPr>
            <w:r w:rsidRPr="007A5789">
              <w:rPr>
                <w:sz w:val="18"/>
              </w:rPr>
              <w:t>许可证和权利</w:t>
            </w:r>
          </w:p>
        </w:tc>
        <w:tc>
          <w:tcPr>
            <w:tcW w:w="2530" w:type="dxa"/>
            <w:tcBorders>
              <w:top w:val="nil"/>
              <w:left w:val="nil"/>
              <w:bottom w:val="nil"/>
              <w:right w:val="nil"/>
            </w:tcBorders>
            <w:shd w:val="clear" w:color="auto" w:fill="auto"/>
            <w:vAlign w:val="center"/>
          </w:tcPr>
          <w:p w:rsidR="00A72FF4" w:rsidRPr="007A5789" w:rsidRDefault="00A72FF4" w:rsidP="00111426">
            <w:pPr>
              <w:jc w:val="right"/>
              <w:rPr>
                <w:sz w:val="18"/>
                <w:szCs w:val="18"/>
              </w:rPr>
            </w:pPr>
            <w:r w:rsidRPr="007A5789">
              <w:rPr>
                <w:sz w:val="18"/>
              </w:rPr>
              <w:t>许可期/权利期</w:t>
            </w:r>
          </w:p>
        </w:tc>
      </w:tr>
    </w:tbl>
    <w:p w:rsidR="007A5789" w:rsidRDefault="00A72FF4" w:rsidP="00134184">
      <w:pPr>
        <w:pStyle w:val="Style3"/>
        <w:numPr>
          <w:ilvl w:val="0"/>
          <w:numId w:val="11"/>
        </w:numPr>
        <w:tabs>
          <w:tab w:val="left" w:pos="770"/>
        </w:tabs>
        <w:overflowPunct w:val="0"/>
        <w:spacing w:afterLines="50" w:line="340" w:lineRule="atLeast"/>
        <w:ind w:left="0" w:firstLine="0"/>
        <w:rPr>
          <w:sz w:val="21"/>
        </w:rPr>
      </w:pPr>
      <w:r w:rsidRPr="007A5789">
        <w:rPr>
          <w:sz w:val="21"/>
        </w:rPr>
        <w:t>购买的计算机软件许可根据购买或使用特定软件所发生的费用转化为资本。从外部采购的软件或软件许可如每件费用至少5,000瑞郎则记为资产。与WIPO所使用软件的开发直接相关的费用作为无形资产转化为资本。直接费用包括软件程序开发人员费用。内部开发的软件</w:t>
      </w:r>
      <w:proofErr w:type="gramStart"/>
      <w:r w:rsidRPr="007A5789">
        <w:rPr>
          <w:sz w:val="21"/>
        </w:rPr>
        <w:t>如费用</w:t>
      </w:r>
      <w:proofErr w:type="gramEnd"/>
      <w:r w:rsidRPr="007A5789">
        <w:rPr>
          <w:sz w:val="21"/>
        </w:rPr>
        <w:t>至少为100,000瑞郎则记为资产。</w:t>
      </w:r>
    </w:p>
    <w:p w:rsidR="007A5789" w:rsidRDefault="00A72FF4"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本组织通过购买在日内瓦州内所获得的物业使用权已以历史成本入账，并在授予残存期间分期摊销。无偿获得的日内瓦州授予的物业使用权将于授予年限到期时归还，这种物业使用权没有入</w:t>
      </w:r>
      <w:r w:rsidR="006F192F">
        <w:rPr>
          <w:sz w:val="21"/>
        </w:rPr>
        <w:t>‍</w:t>
      </w:r>
      <w:r w:rsidRPr="007A5789">
        <w:rPr>
          <w:sz w:val="21"/>
        </w:rPr>
        <w:t>账。</w:t>
      </w:r>
    </w:p>
    <w:p w:rsidR="007A5789" w:rsidRPr="001E1DEA" w:rsidRDefault="002767E2" w:rsidP="001E1DEA">
      <w:pPr>
        <w:pStyle w:val="Style3Bold"/>
        <w:keepNext/>
        <w:spacing w:beforeLines="100" w:before="240" w:afterLines="50" w:line="340" w:lineRule="atLeast"/>
        <w:rPr>
          <w:sz w:val="21"/>
        </w:rPr>
      </w:pPr>
      <w:r w:rsidRPr="001E1DEA">
        <w:rPr>
          <w:sz w:val="21"/>
        </w:rPr>
        <w:t>土地和建筑物</w:t>
      </w:r>
    </w:p>
    <w:p w:rsidR="007A5789" w:rsidRDefault="002767E2"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土地附带根据国际评估标准经独立评估确定的公允价值。公允价值变动通过重估值盈余储备金直接记入净资产。</w:t>
      </w:r>
    </w:p>
    <w:p w:rsidR="007A5789" w:rsidRDefault="00182B53" w:rsidP="00134184">
      <w:pPr>
        <w:pStyle w:val="Style3"/>
        <w:numPr>
          <w:ilvl w:val="0"/>
          <w:numId w:val="11"/>
        </w:numPr>
        <w:tabs>
          <w:tab w:val="left" w:pos="770"/>
        </w:tabs>
        <w:overflowPunct w:val="0"/>
        <w:spacing w:afterLines="50" w:line="340" w:lineRule="atLeast"/>
        <w:ind w:left="0" w:firstLine="0"/>
        <w:rPr>
          <w:sz w:val="21"/>
        </w:rPr>
      </w:pPr>
      <w:r w:rsidRPr="007A5789">
        <w:rPr>
          <w:sz w:val="21"/>
        </w:rPr>
        <w:t>使用中的大楼和建筑物的估值为落成时的建设成本加上之后的改建，再减去累计折旧。落成时的价值参照外聘顾问计算的估算成本确定，并表明建筑物每一部分的价值加2010年1月1日</w:t>
      </w:r>
      <w:r w:rsidR="00B6014B">
        <w:rPr>
          <w:sz w:val="21"/>
        </w:rPr>
        <w:t>（</w:t>
      </w:r>
      <w:r w:rsidRPr="007A5789">
        <w:rPr>
          <w:sz w:val="21"/>
        </w:rPr>
        <w:t>转换到IPSAS的日期</w:t>
      </w:r>
      <w:r w:rsidR="00B6014B">
        <w:rPr>
          <w:sz w:val="21"/>
        </w:rPr>
        <w:t>）</w:t>
      </w:r>
      <w:r w:rsidRPr="007A5789">
        <w:rPr>
          <w:sz w:val="21"/>
        </w:rPr>
        <w:t>最初认可日期已有的改进，按照每一部分的残存使用年限减累计折旧。对增长或扩大今后经济收益或服务潜力的大楼和建筑物所进行的重大翻修和改善的后期费用按成本计账。</w:t>
      </w:r>
    </w:p>
    <w:p w:rsidR="002767E2" w:rsidRPr="007A5789" w:rsidRDefault="002767E2"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为了冲销大楼和建筑物的完全成本，按照估计使用年限，使用直线法来计算折旧。如大楼和建筑物仅</w:t>
      </w:r>
      <w:r w:rsidR="00E32452" w:rsidRPr="007A5789">
        <w:rPr>
          <w:rFonts w:hint="eastAsia"/>
          <w:sz w:val="21"/>
        </w:rPr>
        <w:t>在</w:t>
      </w:r>
      <w:r w:rsidRPr="007A5789">
        <w:rPr>
          <w:sz w:val="21"/>
        </w:rPr>
        <w:t>当年部分时间</w:t>
      </w:r>
      <w:r w:rsidR="00E32452" w:rsidRPr="007A5789">
        <w:rPr>
          <w:rFonts w:hint="eastAsia"/>
          <w:sz w:val="21"/>
        </w:rPr>
        <w:t>使用</w:t>
      </w:r>
      <w:r w:rsidR="00B6014B">
        <w:rPr>
          <w:sz w:val="21"/>
        </w:rPr>
        <w:t>（</w:t>
      </w:r>
      <w:r w:rsidRPr="007A5789">
        <w:rPr>
          <w:sz w:val="21"/>
        </w:rPr>
        <w:t>由于当年的收购、处置或报废</w:t>
      </w:r>
      <w:r w:rsidR="00B6014B">
        <w:rPr>
          <w:sz w:val="21"/>
        </w:rPr>
        <w:t>）</w:t>
      </w:r>
      <w:r w:rsidRPr="007A5789">
        <w:rPr>
          <w:sz w:val="21"/>
        </w:rPr>
        <w:t>，则只针对固定资产所使用的月份来计算折旧。以下使用寿命范围适用于大楼和建筑物的不同部分：</w:t>
      </w:r>
    </w:p>
    <w:tbl>
      <w:tblPr>
        <w:tblW w:w="7761" w:type="dxa"/>
        <w:jc w:val="center"/>
        <w:tblLook w:val="0000" w:firstRow="0" w:lastRow="0" w:firstColumn="0" w:lastColumn="0" w:noHBand="0" w:noVBand="0"/>
      </w:tblPr>
      <w:tblGrid>
        <w:gridCol w:w="5310"/>
        <w:gridCol w:w="2451"/>
      </w:tblGrid>
      <w:tr w:rsidR="002767E2" w:rsidRPr="007A5789" w:rsidTr="003B35E6">
        <w:trPr>
          <w:trHeight w:val="345"/>
          <w:tblHeader/>
          <w:jc w:val="center"/>
        </w:trPr>
        <w:tc>
          <w:tcPr>
            <w:tcW w:w="5310" w:type="dxa"/>
            <w:tcBorders>
              <w:top w:val="single" w:sz="4" w:space="0" w:color="auto"/>
              <w:left w:val="nil"/>
              <w:bottom w:val="single" w:sz="4" w:space="0" w:color="auto"/>
              <w:right w:val="nil"/>
            </w:tcBorders>
            <w:shd w:val="clear" w:color="auto" w:fill="F2F2F2"/>
            <w:vAlign w:val="center"/>
          </w:tcPr>
          <w:p w:rsidR="002767E2" w:rsidRPr="007A5789" w:rsidRDefault="002767E2" w:rsidP="00111426">
            <w:pPr>
              <w:jc w:val="left"/>
              <w:rPr>
                <w:sz w:val="18"/>
                <w:szCs w:val="18"/>
              </w:rPr>
            </w:pPr>
            <w:r w:rsidRPr="007A5789">
              <w:rPr>
                <w:sz w:val="18"/>
              </w:rPr>
              <w:t>组成部分</w:t>
            </w:r>
          </w:p>
        </w:tc>
        <w:tc>
          <w:tcPr>
            <w:tcW w:w="2451" w:type="dxa"/>
            <w:tcBorders>
              <w:top w:val="single" w:sz="4" w:space="0" w:color="auto"/>
              <w:left w:val="nil"/>
              <w:bottom w:val="single" w:sz="4" w:space="0" w:color="auto"/>
              <w:right w:val="nil"/>
            </w:tcBorders>
            <w:shd w:val="clear" w:color="auto" w:fill="F2F2F2"/>
            <w:vAlign w:val="center"/>
          </w:tcPr>
          <w:p w:rsidR="002767E2" w:rsidRPr="007A5789" w:rsidRDefault="002767E2" w:rsidP="00111426">
            <w:pPr>
              <w:jc w:val="right"/>
              <w:rPr>
                <w:sz w:val="18"/>
                <w:szCs w:val="18"/>
              </w:rPr>
            </w:pPr>
            <w:r w:rsidRPr="007A5789">
              <w:rPr>
                <w:sz w:val="18"/>
              </w:rPr>
              <w:t>预计使用寿命</w:t>
            </w:r>
          </w:p>
        </w:tc>
      </w:tr>
      <w:tr w:rsidR="002767E2" w:rsidRPr="007A5789" w:rsidTr="003B35E6">
        <w:trPr>
          <w:trHeight w:val="285"/>
          <w:jc w:val="center"/>
        </w:trPr>
        <w:tc>
          <w:tcPr>
            <w:tcW w:w="5310" w:type="dxa"/>
            <w:tcBorders>
              <w:top w:val="nil"/>
              <w:left w:val="nil"/>
              <w:bottom w:val="nil"/>
              <w:right w:val="nil"/>
            </w:tcBorders>
            <w:shd w:val="clear" w:color="auto" w:fill="auto"/>
            <w:vAlign w:val="center"/>
          </w:tcPr>
          <w:p w:rsidR="002767E2" w:rsidRPr="007A5789" w:rsidRDefault="005841DF" w:rsidP="00DD608E">
            <w:pPr>
              <w:rPr>
                <w:sz w:val="18"/>
                <w:szCs w:val="18"/>
              </w:rPr>
            </w:pPr>
            <w:r w:rsidRPr="007A5789">
              <w:rPr>
                <w:sz w:val="18"/>
              </w:rPr>
              <w:t>结构 - 混凝土/金属</w:t>
            </w:r>
          </w:p>
        </w:tc>
        <w:tc>
          <w:tcPr>
            <w:tcW w:w="2451" w:type="dxa"/>
            <w:tcBorders>
              <w:top w:val="nil"/>
              <w:left w:val="nil"/>
              <w:bottom w:val="nil"/>
              <w:right w:val="nil"/>
            </w:tcBorders>
            <w:shd w:val="clear" w:color="auto" w:fill="auto"/>
            <w:vAlign w:val="center"/>
          </w:tcPr>
          <w:p w:rsidR="002767E2" w:rsidRPr="007A5789" w:rsidRDefault="002767E2" w:rsidP="00DD608E">
            <w:pPr>
              <w:jc w:val="right"/>
              <w:rPr>
                <w:sz w:val="18"/>
                <w:szCs w:val="18"/>
              </w:rPr>
            </w:pPr>
            <w:r w:rsidRPr="007A5789">
              <w:rPr>
                <w:sz w:val="18"/>
              </w:rPr>
              <w:t>100年</w:t>
            </w:r>
          </w:p>
        </w:tc>
      </w:tr>
      <w:tr w:rsidR="005841DF" w:rsidRPr="007A5789" w:rsidTr="003B35E6">
        <w:trPr>
          <w:trHeight w:val="285"/>
          <w:jc w:val="center"/>
        </w:trPr>
        <w:tc>
          <w:tcPr>
            <w:tcW w:w="5310" w:type="dxa"/>
            <w:tcBorders>
              <w:top w:val="nil"/>
              <w:left w:val="nil"/>
              <w:bottom w:val="nil"/>
              <w:right w:val="nil"/>
            </w:tcBorders>
            <w:shd w:val="clear" w:color="auto" w:fill="auto"/>
            <w:vAlign w:val="center"/>
          </w:tcPr>
          <w:p w:rsidR="005841DF" w:rsidRPr="007A5789" w:rsidRDefault="005841DF" w:rsidP="00DD608E">
            <w:pPr>
              <w:rPr>
                <w:sz w:val="18"/>
                <w:szCs w:val="18"/>
              </w:rPr>
            </w:pPr>
            <w:r w:rsidRPr="007A5789">
              <w:rPr>
                <w:sz w:val="18"/>
              </w:rPr>
              <w:t>结构 - 混凝土/木材</w:t>
            </w:r>
          </w:p>
        </w:tc>
        <w:tc>
          <w:tcPr>
            <w:tcW w:w="2451" w:type="dxa"/>
            <w:tcBorders>
              <w:top w:val="nil"/>
              <w:left w:val="nil"/>
              <w:bottom w:val="nil"/>
              <w:right w:val="nil"/>
            </w:tcBorders>
            <w:shd w:val="clear" w:color="auto" w:fill="auto"/>
            <w:vAlign w:val="center"/>
          </w:tcPr>
          <w:p w:rsidR="005841DF" w:rsidRPr="007A5789" w:rsidRDefault="005841DF" w:rsidP="00DD608E">
            <w:pPr>
              <w:jc w:val="right"/>
              <w:rPr>
                <w:sz w:val="18"/>
                <w:szCs w:val="18"/>
              </w:rPr>
            </w:pPr>
            <w:r w:rsidRPr="007A5789">
              <w:rPr>
                <w:sz w:val="18"/>
              </w:rPr>
              <w:t>80年</w:t>
            </w:r>
          </w:p>
        </w:tc>
      </w:tr>
      <w:tr w:rsidR="005841DF" w:rsidRPr="007A5789" w:rsidTr="003B35E6">
        <w:trPr>
          <w:trHeight w:val="285"/>
          <w:jc w:val="center"/>
        </w:trPr>
        <w:tc>
          <w:tcPr>
            <w:tcW w:w="5310" w:type="dxa"/>
            <w:tcBorders>
              <w:top w:val="nil"/>
              <w:left w:val="nil"/>
              <w:bottom w:val="nil"/>
              <w:right w:val="nil"/>
            </w:tcBorders>
            <w:shd w:val="clear" w:color="auto" w:fill="auto"/>
            <w:vAlign w:val="center"/>
          </w:tcPr>
          <w:p w:rsidR="005841DF" w:rsidRPr="007A5789" w:rsidRDefault="005841DF" w:rsidP="00DD608E">
            <w:pPr>
              <w:rPr>
                <w:sz w:val="18"/>
                <w:szCs w:val="18"/>
              </w:rPr>
            </w:pPr>
            <w:r w:rsidRPr="007A5789">
              <w:rPr>
                <w:sz w:val="18"/>
              </w:rPr>
              <w:t>结构 - 专业通道</w:t>
            </w:r>
          </w:p>
        </w:tc>
        <w:tc>
          <w:tcPr>
            <w:tcW w:w="2451" w:type="dxa"/>
            <w:tcBorders>
              <w:top w:val="nil"/>
              <w:left w:val="nil"/>
              <w:bottom w:val="nil"/>
              <w:right w:val="nil"/>
            </w:tcBorders>
            <w:shd w:val="clear" w:color="auto" w:fill="auto"/>
            <w:vAlign w:val="center"/>
          </w:tcPr>
          <w:p w:rsidR="005841DF" w:rsidRPr="007A5789" w:rsidRDefault="005841DF" w:rsidP="00DD608E">
            <w:pPr>
              <w:jc w:val="right"/>
              <w:rPr>
                <w:sz w:val="18"/>
                <w:szCs w:val="18"/>
              </w:rPr>
            </w:pPr>
            <w:r w:rsidRPr="007A5789">
              <w:rPr>
                <w:sz w:val="18"/>
              </w:rPr>
              <w:t>50年</w:t>
            </w:r>
          </w:p>
        </w:tc>
      </w:tr>
      <w:tr w:rsidR="002767E2" w:rsidRPr="007A5789" w:rsidTr="003B35E6">
        <w:trPr>
          <w:trHeight w:val="285"/>
          <w:jc w:val="center"/>
        </w:trPr>
        <w:tc>
          <w:tcPr>
            <w:tcW w:w="5310" w:type="dxa"/>
            <w:tcBorders>
              <w:top w:val="nil"/>
              <w:left w:val="nil"/>
              <w:bottom w:val="nil"/>
              <w:right w:val="nil"/>
            </w:tcBorders>
            <w:shd w:val="clear" w:color="auto" w:fill="auto"/>
            <w:vAlign w:val="center"/>
          </w:tcPr>
          <w:p w:rsidR="002767E2" w:rsidRPr="007A5789" w:rsidRDefault="002767E2" w:rsidP="00DD608E">
            <w:pPr>
              <w:rPr>
                <w:sz w:val="18"/>
                <w:szCs w:val="18"/>
              </w:rPr>
            </w:pPr>
            <w:r w:rsidRPr="007A5789">
              <w:rPr>
                <w:sz w:val="18"/>
              </w:rPr>
              <w:t>外立面</w:t>
            </w:r>
          </w:p>
        </w:tc>
        <w:tc>
          <w:tcPr>
            <w:tcW w:w="2451" w:type="dxa"/>
            <w:tcBorders>
              <w:top w:val="nil"/>
              <w:left w:val="nil"/>
              <w:bottom w:val="nil"/>
              <w:right w:val="nil"/>
            </w:tcBorders>
            <w:shd w:val="clear" w:color="auto" w:fill="auto"/>
            <w:vAlign w:val="center"/>
          </w:tcPr>
          <w:p w:rsidR="002767E2" w:rsidRPr="007A5789" w:rsidRDefault="002767E2" w:rsidP="00DD608E">
            <w:pPr>
              <w:jc w:val="right"/>
              <w:rPr>
                <w:sz w:val="18"/>
                <w:szCs w:val="18"/>
              </w:rPr>
            </w:pPr>
            <w:r w:rsidRPr="007A5789">
              <w:rPr>
                <w:sz w:val="18"/>
              </w:rPr>
              <w:t>50年</w:t>
            </w:r>
          </w:p>
        </w:tc>
      </w:tr>
      <w:tr w:rsidR="00A5115E" w:rsidRPr="007A5789" w:rsidTr="003B35E6">
        <w:trPr>
          <w:trHeight w:val="285"/>
          <w:jc w:val="center"/>
        </w:trPr>
        <w:tc>
          <w:tcPr>
            <w:tcW w:w="5310" w:type="dxa"/>
            <w:tcBorders>
              <w:top w:val="nil"/>
              <w:left w:val="nil"/>
              <w:bottom w:val="nil"/>
              <w:right w:val="nil"/>
            </w:tcBorders>
            <w:shd w:val="clear" w:color="auto" w:fill="auto"/>
            <w:vAlign w:val="center"/>
          </w:tcPr>
          <w:p w:rsidR="00A5115E" w:rsidRPr="007A5789" w:rsidRDefault="005841DF" w:rsidP="00DD608E">
            <w:pPr>
              <w:rPr>
                <w:sz w:val="18"/>
                <w:szCs w:val="18"/>
              </w:rPr>
            </w:pPr>
            <w:r w:rsidRPr="007A5789">
              <w:rPr>
                <w:sz w:val="18"/>
              </w:rPr>
              <w:t>围墙</w:t>
            </w:r>
          </w:p>
        </w:tc>
        <w:tc>
          <w:tcPr>
            <w:tcW w:w="2451" w:type="dxa"/>
            <w:tcBorders>
              <w:top w:val="nil"/>
              <w:left w:val="nil"/>
              <w:bottom w:val="nil"/>
              <w:right w:val="nil"/>
            </w:tcBorders>
            <w:shd w:val="clear" w:color="auto" w:fill="auto"/>
            <w:vAlign w:val="center"/>
          </w:tcPr>
          <w:p w:rsidR="00A5115E" w:rsidRPr="007A5789" w:rsidRDefault="00A5115E" w:rsidP="00DD608E">
            <w:pPr>
              <w:jc w:val="right"/>
              <w:rPr>
                <w:sz w:val="18"/>
                <w:szCs w:val="18"/>
              </w:rPr>
            </w:pPr>
            <w:r w:rsidRPr="007A5789">
              <w:rPr>
                <w:sz w:val="18"/>
              </w:rPr>
              <w:t>80年</w:t>
            </w:r>
          </w:p>
        </w:tc>
      </w:tr>
      <w:tr w:rsidR="005841DF" w:rsidRPr="007A5789" w:rsidTr="003B35E6">
        <w:trPr>
          <w:trHeight w:val="285"/>
          <w:jc w:val="center"/>
        </w:trPr>
        <w:tc>
          <w:tcPr>
            <w:tcW w:w="5310" w:type="dxa"/>
            <w:tcBorders>
              <w:top w:val="nil"/>
              <w:left w:val="nil"/>
              <w:bottom w:val="nil"/>
              <w:right w:val="nil"/>
            </w:tcBorders>
            <w:shd w:val="clear" w:color="auto" w:fill="auto"/>
            <w:vAlign w:val="center"/>
          </w:tcPr>
          <w:p w:rsidR="005841DF" w:rsidRPr="007A5789" w:rsidRDefault="005841DF" w:rsidP="00DD608E">
            <w:pPr>
              <w:rPr>
                <w:sz w:val="18"/>
                <w:szCs w:val="18"/>
              </w:rPr>
            </w:pPr>
            <w:r w:rsidRPr="007A5789">
              <w:rPr>
                <w:sz w:val="18"/>
              </w:rPr>
              <w:t>周边护柱</w:t>
            </w:r>
          </w:p>
        </w:tc>
        <w:tc>
          <w:tcPr>
            <w:tcW w:w="2451" w:type="dxa"/>
            <w:tcBorders>
              <w:top w:val="nil"/>
              <w:left w:val="nil"/>
              <w:bottom w:val="nil"/>
              <w:right w:val="nil"/>
            </w:tcBorders>
            <w:shd w:val="clear" w:color="auto" w:fill="auto"/>
            <w:vAlign w:val="center"/>
          </w:tcPr>
          <w:p w:rsidR="005841DF" w:rsidRPr="007A5789" w:rsidRDefault="005841DF" w:rsidP="00DD608E">
            <w:pPr>
              <w:jc w:val="right"/>
              <w:rPr>
                <w:sz w:val="18"/>
                <w:szCs w:val="18"/>
              </w:rPr>
            </w:pPr>
            <w:r w:rsidRPr="007A5789">
              <w:rPr>
                <w:sz w:val="18"/>
              </w:rPr>
              <w:t>20年</w:t>
            </w:r>
          </w:p>
        </w:tc>
      </w:tr>
      <w:tr w:rsidR="002767E2" w:rsidRPr="007A5789" w:rsidTr="003B35E6">
        <w:trPr>
          <w:trHeight w:val="285"/>
          <w:jc w:val="center"/>
        </w:trPr>
        <w:tc>
          <w:tcPr>
            <w:tcW w:w="5310" w:type="dxa"/>
            <w:tcBorders>
              <w:top w:val="nil"/>
              <w:left w:val="nil"/>
              <w:bottom w:val="nil"/>
              <w:right w:val="nil"/>
            </w:tcBorders>
            <w:shd w:val="clear" w:color="auto" w:fill="auto"/>
            <w:vAlign w:val="center"/>
          </w:tcPr>
          <w:p w:rsidR="002767E2" w:rsidRPr="007A5789" w:rsidRDefault="002767E2" w:rsidP="00DD608E">
            <w:pPr>
              <w:rPr>
                <w:sz w:val="18"/>
                <w:szCs w:val="18"/>
              </w:rPr>
            </w:pPr>
            <w:r w:rsidRPr="007A5789">
              <w:rPr>
                <w:sz w:val="18"/>
              </w:rPr>
              <w:lastRenderedPageBreak/>
              <w:t>地面改造</w:t>
            </w:r>
          </w:p>
        </w:tc>
        <w:tc>
          <w:tcPr>
            <w:tcW w:w="2451" w:type="dxa"/>
            <w:tcBorders>
              <w:top w:val="nil"/>
              <w:left w:val="nil"/>
              <w:bottom w:val="nil"/>
              <w:right w:val="nil"/>
            </w:tcBorders>
            <w:shd w:val="clear" w:color="auto" w:fill="auto"/>
            <w:vAlign w:val="center"/>
          </w:tcPr>
          <w:p w:rsidR="002767E2" w:rsidRPr="007A5789" w:rsidRDefault="002767E2" w:rsidP="00DD608E">
            <w:pPr>
              <w:jc w:val="right"/>
              <w:rPr>
                <w:sz w:val="18"/>
                <w:szCs w:val="18"/>
              </w:rPr>
            </w:pPr>
            <w:r w:rsidRPr="007A5789">
              <w:rPr>
                <w:sz w:val="18"/>
              </w:rPr>
              <w:t>40-50年</w:t>
            </w:r>
          </w:p>
        </w:tc>
      </w:tr>
      <w:tr w:rsidR="002767E2" w:rsidRPr="007A5789" w:rsidTr="003B35E6">
        <w:trPr>
          <w:trHeight w:val="285"/>
          <w:jc w:val="center"/>
        </w:trPr>
        <w:tc>
          <w:tcPr>
            <w:tcW w:w="5310" w:type="dxa"/>
            <w:tcBorders>
              <w:top w:val="nil"/>
              <w:left w:val="nil"/>
              <w:bottom w:val="nil"/>
              <w:right w:val="nil"/>
            </w:tcBorders>
            <w:shd w:val="clear" w:color="auto" w:fill="auto"/>
            <w:vAlign w:val="center"/>
          </w:tcPr>
          <w:p w:rsidR="002767E2" w:rsidRPr="007A5789" w:rsidRDefault="002767E2" w:rsidP="00DD608E">
            <w:pPr>
              <w:rPr>
                <w:sz w:val="18"/>
                <w:szCs w:val="18"/>
              </w:rPr>
            </w:pPr>
            <w:r w:rsidRPr="007A5789">
              <w:rPr>
                <w:sz w:val="18"/>
              </w:rPr>
              <w:t>屋顶</w:t>
            </w:r>
          </w:p>
        </w:tc>
        <w:tc>
          <w:tcPr>
            <w:tcW w:w="2451" w:type="dxa"/>
            <w:tcBorders>
              <w:top w:val="nil"/>
              <w:left w:val="nil"/>
              <w:bottom w:val="nil"/>
              <w:right w:val="nil"/>
            </w:tcBorders>
            <w:shd w:val="clear" w:color="auto" w:fill="auto"/>
            <w:vAlign w:val="center"/>
          </w:tcPr>
          <w:p w:rsidR="002767E2" w:rsidRPr="007A5789" w:rsidRDefault="002767E2" w:rsidP="00DD608E">
            <w:pPr>
              <w:jc w:val="right"/>
              <w:rPr>
                <w:sz w:val="18"/>
                <w:szCs w:val="18"/>
              </w:rPr>
            </w:pPr>
            <w:r w:rsidRPr="007A5789">
              <w:rPr>
                <w:sz w:val="18"/>
              </w:rPr>
              <w:t>50-60年</w:t>
            </w:r>
          </w:p>
        </w:tc>
      </w:tr>
      <w:tr w:rsidR="002767E2" w:rsidRPr="007A5789" w:rsidTr="003B35E6">
        <w:trPr>
          <w:trHeight w:val="285"/>
          <w:jc w:val="center"/>
        </w:trPr>
        <w:tc>
          <w:tcPr>
            <w:tcW w:w="5310" w:type="dxa"/>
            <w:tcBorders>
              <w:top w:val="nil"/>
              <w:left w:val="nil"/>
              <w:bottom w:val="nil"/>
              <w:right w:val="nil"/>
            </w:tcBorders>
            <w:shd w:val="clear" w:color="auto" w:fill="auto"/>
            <w:vAlign w:val="center"/>
          </w:tcPr>
          <w:p w:rsidR="002767E2" w:rsidRPr="007A5789" w:rsidRDefault="002767E2" w:rsidP="00DD608E">
            <w:pPr>
              <w:rPr>
                <w:sz w:val="18"/>
                <w:szCs w:val="18"/>
              </w:rPr>
            </w:pPr>
            <w:r w:rsidRPr="007A5789">
              <w:rPr>
                <w:sz w:val="18"/>
              </w:rPr>
              <w:t>地板、墙壁、楼梯</w:t>
            </w:r>
          </w:p>
        </w:tc>
        <w:tc>
          <w:tcPr>
            <w:tcW w:w="2451" w:type="dxa"/>
            <w:tcBorders>
              <w:top w:val="nil"/>
              <w:left w:val="nil"/>
              <w:bottom w:val="nil"/>
              <w:right w:val="nil"/>
            </w:tcBorders>
            <w:shd w:val="clear" w:color="auto" w:fill="auto"/>
            <w:vAlign w:val="center"/>
          </w:tcPr>
          <w:p w:rsidR="002767E2" w:rsidRPr="007A5789" w:rsidRDefault="002767E2" w:rsidP="00DD608E">
            <w:pPr>
              <w:jc w:val="right"/>
              <w:rPr>
                <w:sz w:val="18"/>
                <w:szCs w:val="18"/>
              </w:rPr>
            </w:pPr>
            <w:r w:rsidRPr="007A5789">
              <w:rPr>
                <w:sz w:val="18"/>
              </w:rPr>
              <w:t>50年</w:t>
            </w:r>
          </w:p>
        </w:tc>
      </w:tr>
      <w:tr w:rsidR="002767E2" w:rsidRPr="007A5789" w:rsidTr="003B35E6">
        <w:trPr>
          <w:trHeight w:val="285"/>
          <w:jc w:val="center"/>
        </w:trPr>
        <w:tc>
          <w:tcPr>
            <w:tcW w:w="5310" w:type="dxa"/>
            <w:tcBorders>
              <w:top w:val="nil"/>
              <w:left w:val="nil"/>
              <w:bottom w:val="nil"/>
              <w:right w:val="nil"/>
            </w:tcBorders>
            <w:shd w:val="clear" w:color="auto" w:fill="auto"/>
            <w:vAlign w:val="center"/>
          </w:tcPr>
          <w:p w:rsidR="002767E2" w:rsidRPr="007A5789" w:rsidRDefault="002767E2" w:rsidP="00DD608E">
            <w:pPr>
              <w:rPr>
                <w:sz w:val="18"/>
                <w:szCs w:val="18"/>
              </w:rPr>
            </w:pPr>
            <w:r w:rsidRPr="007A5789">
              <w:rPr>
                <w:sz w:val="18"/>
              </w:rPr>
              <w:t>地板铺设、墙面材料</w:t>
            </w:r>
          </w:p>
        </w:tc>
        <w:tc>
          <w:tcPr>
            <w:tcW w:w="2451" w:type="dxa"/>
            <w:tcBorders>
              <w:top w:val="nil"/>
              <w:left w:val="nil"/>
              <w:bottom w:val="nil"/>
              <w:right w:val="nil"/>
            </w:tcBorders>
            <w:shd w:val="clear" w:color="auto" w:fill="auto"/>
            <w:vAlign w:val="center"/>
          </w:tcPr>
          <w:p w:rsidR="002767E2" w:rsidRPr="007A5789" w:rsidRDefault="006E3E75" w:rsidP="00DD608E">
            <w:pPr>
              <w:jc w:val="right"/>
              <w:rPr>
                <w:sz w:val="18"/>
                <w:szCs w:val="18"/>
              </w:rPr>
            </w:pPr>
            <w:r w:rsidRPr="007A5789">
              <w:rPr>
                <w:sz w:val="18"/>
              </w:rPr>
              <w:t>20-40年</w:t>
            </w:r>
          </w:p>
        </w:tc>
      </w:tr>
      <w:tr w:rsidR="002767E2" w:rsidRPr="007A5789" w:rsidTr="003B35E6">
        <w:trPr>
          <w:trHeight w:val="285"/>
          <w:jc w:val="center"/>
        </w:trPr>
        <w:tc>
          <w:tcPr>
            <w:tcW w:w="5310" w:type="dxa"/>
            <w:tcBorders>
              <w:top w:val="nil"/>
              <w:left w:val="nil"/>
              <w:bottom w:val="nil"/>
              <w:right w:val="nil"/>
            </w:tcBorders>
            <w:shd w:val="clear" w:color="auto" w:fill="auto"/>
            <w:vAlign w:val="center"/>
          </w:tcPr>
          <w:p w:rsidR="002767E2" w:rsidRPr="007A5789" w:rsidRDefault="005841DF" w:rsidP="00DD608E">
            <w:pPr>
              <w:rPr>
                <w:sz w:val="18"/>
                <w:szCs w:val="18"/>
              </w:rPr>
            </w:pPr>
            <w:r w:rsidRPr="007A5789">
              <w:rPr>
                <w:sz w:val="18"/>
              </w:rPr>
              <w:t>专业配件 - 固定设备</w:t>
            </w:r>
          </w:p>
        </w:tc>
        <w:tc>
          <w:tcPr>
            <w:tcW w:w="2451" w:type="dxa"/>
            <w:tcBorders>
              <w:top w:val="nil"/>
              <w:left w:val="nil"/>
              <w:bottom w:val="nil"/>
              <w:right w:val="nil"/>
            </w:tcBorders>
            <w:shd w:val="clear" w:color="auto" w:fill="auto"/>
            <w:vAlign w:val="center"/>
          </w:tcPr>
          <w:p w:rsidR="002767E2" w:rsidRPr="007A5789" w:rsidRDefault="002767E2" w:rsidP="00DD608E">
            <w:pPr>
              <w:jc w:val="right"/>
              <w:rPr>
                <w:sz w:val="18"/>
                <w:szCs w:val="18"/>
              </w:rPr>
            </w:pPr>
            <w:r w:rsidRPr="007A5789">
              <w:rPr>
                <w:sz w:val="18"/>
              </w:rPr>
              <w:t>40年</w:t>
            </w:r>
          </w:p>
        </w:tc>
      </w:tr>
      <w:tr w:rsidR="005841DF" w:rsidRPr="007A5789" w:rsidTr="003B35E6">
        <w:trPr>
          <w:trHeight w:val="285"/>
          <w:jc w:val="center"/>
        </w:trPr>
        <w:tc>
          <w:tcPr>
            <w:tcW w:w="5310" w:type="dxa"/>
            <w:tcBorders>
              <w:top w:val="nil"/>
              <w:left w:val="nil"/>
              <w:bottom w:val="nil"/>
              <w:right w:val="nil"/>
            </w:tcBorders>
            <w:shd w:val="clear" w:color="auto" w:fill="auto"/>
            <w:vAlign w:val="center"/>
          </w:tcPr>
          <w:p w:rsidR="005841DF" w:rsidRPr="007A5789" w:rsidRDefault="005841DF" w:rsidP="00DD608E">
            <w:pPr>
              <w:rPr>
                <w:sz w:val="18"/>
                <w:szCs w:val="18"/>
              </w:rPr>
            </w:pPr>
            <w:r w:rsidRPr="007A5789">
              <w:rPr>
                <w:sz w:val="18"/>
              </w:rPr>
              <w:t>专业配件 - 厨房设备</w:t>
            </w:r>
          </w:p>
        </w:tc>
        <w:tc>
          <w:tcPr>
            <w:tcW w:w="2451" w:type="dxa"/>
            <w:tcBorders>
              <w:top w:val="nil"/>
              <w:left w:val="nil"/>
              <w:bottom w:val="nil"/>
              <w:right w:val="nil"/>
            </w:tcBorders>
            <w:shd w:val="clear" w:color="auto" w:fill="auto"/>
            <w:vAlign w:val="center"/>
          </w:tcPr>
          <w:p w:rsidR="005841DF" w:rsidRPr="007A5789" w:rsidRDefault="005841DF" w:rsidP="00DD608E">
            <w:pPr>
              <w:jc w:val="right"/>
              <w:rPr>
                <w:sz w:val="18"/>
                <w:szCs w:val="18"/>
              </w:rPr>
            </w:pPr>
            <w:r w:rsidRPr="007A5789">
              <w:rPr>
                <w:sz w:val="18"/>
              </w:rPr>
              <w:t>20-40年</w:t>
            </w:r>
          </w:p>
        </w:tc>
      </w:tr>
      <w:tr w:rsidR="002767E2" w:rsidRPr="007A5789" w:rsidTr="003B35E6">
        <w:trPr>
          <w:trHeight w:val="285"/>
          <w:jc w:val="center"/>
        </w:trPr>
        <w:tc>
          <w:tcPr>
            <w:tcW w:w="5310" w:type="dxa"/>
            <w:tcBorders>
              <w:top w:val="nil"/>
              <w:left w:val="nil"/>
              <w:bottom w:val="nil"/>
              <w:right w:val="nil"/>
            </w:tcBorders>
            <w:shd w:val="clear" w:color="auto" w:fill="auto"/>
            <w:vAlign w:val="center"/>
          </w:tcPr>
          <w:p w:rsidR="002767E2" w:rsidRPr="007A5789" w:rsidRDefault="006E3E75" w:rsidP="00DD608E">
            <w:pPr>
              <w:rPr>
                <w:sz w:val="18"/>
                <w:szCs w:val="18"/>
              </w:rPr>
            </w:pPr>
            <w:r w:rsidRPr="007A5789">
              <w:rPr>
                <w:sz w:val="18"/>
              </w:rPr>
              <w:t>专业配件 - 固定会议设备</w:t>
            </w:r>
          </w:p>
        </w:tc>
        <w:tc>
          <w:tcPr>
            <w:tcW w:w="2451" w:type="dxa"/>
            <w:tcBorders>
              <w:top w:val="nil"/>
              <w:left w:val="nil"/>
              <w:bottom w:val="nil"/>
              <w:right w:val="nil"/>
            </w:tcBorders>
            <w:shd w:val="clear" w:color="auto" w:fill="auto"/>
            <w:vAlign w:val="center"/>
          </w:tcPr>
          <w:p w:rsidR="002767E2" w:rsidRPr="007A5789" w:rsidRDefault="005841DF" w:rsidP="00DD608E">
            <w:pPr>
              <w:jc w:val="right"/>
              <w:rPr>
                <w:sz w:val="18"/>
                <w:szCs w:val="18"/>
              </w:rPr>
            </w:pPr>
            <w:r w:rsidRPr="007A5789">
              <w:rPr>
                <w:sz w:val="18"/>
              </w:rPr>
              <w:t>15年</w:t>
            </w:r>
          </w:p>
        </w:tc>
      </w:tr>
      <w:tr w:rsidR="005841DF" w:rsidRPr="007A5789" w:rsidTr="003B35E6">
        <w:trPr>
          <w:trHeight w:val="285"/>
          <w:jc w:val="center"/>
        </w:trPr>
        <w:tc>
          <w:tcPr>
            <w:tcW w:w="5310" w:type="dxa"/>
            <w:tcBorders>
              <w:top w:val="nil"/>
              <w:left w:val="nil"/>
              <w:bottom w:val="nil"/>
              <w:right w:val="nil"/>
            </w:tcBorders>
            <w:shd w:val="clear" w:color="auto" w:fill="auto"/>
            <w:vAlign w:val="center"/>
          </w:tcPr>
          <w:p w:rsidR="005841DF" w:rsidRPr="007A5789" w:rsidRDefault="005841DF" w:rsidP="00DD608E">
            <w:pPr>
              <w:rPr>
                <w:sz w:val="18"/>
                <w:szCs w:val="18"/>
              </w:rPr>
            </w:pPr>
            <w:r w:rsidRPr="007A5789">
              <w:rPr>
                <w:sz w:val="18"/>
              </w:rPr>
              <w:t>专业配件 - 多媒体监控设备</w:t>
            </w:r>
          </w:p>
        </w:tc>
        <w:tc>
          <w:tcPr>
            <w:tcW w:w="2451" w:type="dxa"/>
            <w:tcBorders>
              <w:top w:val="nil"/>
              <w:left w:val="nil"/>
              <w:bottom w:val="nil"/>
              <w:right w:val="nil"/>
            </w:tcBorders>
            <w:shd w:val="clear" w:color="auto" w:fill="auto"/>
            <w:vAlign w:val="center"/>
          </w:tcPr>
          <w:p w:rsidR="005841DF" w:rsidRPr="007A5789" w:rsidRDefault="005841DF" w:rsidP="00DD608E">
            <w:pPr>
              <w:jc w:val="right"/>
              <w:rPr>
                <w:sz w:val="18"/>
                <w:szCs w:val="18"/>
              </w:rPr>
            </w:pPr>
            <w:r w:rsidRPr="007A5789">
              <w:rPr>
                <w:sz w:val="18"/>
              </w:rPr>
              <w:t>5年</w:t>
            </w:r>
          </w:p>
        </w:tc>
      </w:tr>
      <w:tr w:rsidR="005841DF" w:rsidRPr="007A5789" w:rsidTr="003B35E6">
        <w:trPr>
          <w:trHeight w:val="285"/>
          <w:jc w:val="center"/>
        </w:trPr>
        <w:tc>
          <w:tcPr>
            <w:tcW w:w="5310" w:type="dxa"/>
            <w:tcBorders>
              <w:top w:val="nil"/>
              <w:left w:val="nil"/>
              <w:bottom w:val="nil"/>
              <w:right w:val="nil"/>
            </w:tcBorders>
            <w:shd w:val="clear" w:color="auto" w:fill="auto"/>
            <w:vAlign w:val="center"/>
          </w:tcPr>
          <w:p w:rsidR="005841DF" w:rsidRPr="007A5789" w:rsidRDefault="005841DF" w:rsidP="00DD608E">
            <w:pPr>
              <w:rPr>
                <w:sz w:val="18"/>
                <w:szCs w:val="18"/>
              </w:rPr>
            </w:pPr>
            <w:r w:rsidRPr="007A5789">
              <w:rPr>
                <w:sz w:val="18"/>
              </w:rPr>
              <w:t>专业配件 - 十字转门</w:t>
            </w:r>
          </w:p>
        </w:tc>
        <w:tc>
          <w:tcPr>
            <w:tcW w:w="2451" w:type="dxa"/>
            <w:tcBorders>
              <w:top w:val="nil"/>
              <w:left w:val="nil"/>
              <w:bottom w:val="nil"/>
              <w:right w:val="nil"/>
            </w:tcBorders>
            <w:shd w:val="clear" w:color="auto" w:fill="auto"/>
            <w:vAlign w:val="center"/>
          </w:tcPr>
          <w:p w:rsidR="005841DF" w:rsidRPr="007A5789" w:rsidRDefault="005841DF" w:rsidP="00DD608E">
            <w:pPr>
              <w:jc w:val="right"/>
              <w:rPr>
                <w:sz w:val="18"/>
                <w:szCs w:val="18"/>
              </w:rPr>
            </w:pPr>
            <w:r w:rsidRPr="007A5789">
              <w:rPr>
                <w:sz w:val="18"/>
              </w:rPr>
              <w:t>20年</w:t>
            </w:r>
          </w:p>
        </w:tc>
      </w:tr>
      <w:tr w:rsidR="002767E2" w:rsidRPr="007A5789" w:rsidTr="003B35E6">
        <w:trPr>
          <w:trHeight w:val="285"/>
          <w:jc w:val="center"/>
        </w:trPr>
        <w:tc>
          <w:tcPr>
            <w:tcW w:w="5310" w:type="dxa"/>
            <w:tcBorders>
              <w:top w:val="nil"/>
              <w:left w:val="nil"/>
              <w:bottom w:val="nil"/>
              <w:right w:val="nil"/>
            </w:tcBorders>
            <w:shd w:val="clear" w:color="auto" w:fill="auto"/>
            <w:vAlign w:val="center"/>
          </w:tcPr>
          <w:p w:rsidR="002767E2" w:rsidRPr="007A5789" w:rsidRDefault="005841DF" w:rsidP="00DD608E">
            <w:pPr>
              <w:rPr>
                <w:sz w:val="18"/>
                <w:szCs w:val="18"/>
              </w:rPr>
            </w:pPr>
            <w:r w:rsidRPr="007A5789">
              <w:rPr>
                <w:sz w:val="18"/>
              </w:rPr>
              <w:t>暖通</w:t>
            </w:r>
          </w:p>
        </w:tc>
        <w:tc>
          <w:tcPr>
            <w:tcW w:w="2451" w:type="dxa"/>
            <w:tcBorders>
              <w:top w:val="nil"/>
              <w:left w:val="nil"/>
              <w:bottom w:val="nil"/>
              <w:right w:val="nil"/>
            </w:tcBorders>
            <w:shd w:val="clear" w:color="auto" w:fill="auto"/>
            <w:vAlign w:val="center"/>
          </w:tcPr>
          <w:p w:rsidR="002767E2" w:rsidRPr="007A5789" w:rsidRDefault="006E3E75" w:rsidP="00DD608E">
            <w:pPr>
              <w:jc w:val="right"/>
              <w:rPr>
                <w:sz w:val="18"/>
                <w:szCs w:val="18"/>
              </w:rPr>
            </w:pPr>
            <w:r w:rsidRPr="007A5789">
              <w:rPr>
                <w:sz w:val="18"/>
              </w:rPr>
              <w:t>25-30年</w:t>
            </w:r>
          </w:p>
        </w:tc>
      </w:tr>
      <w:tr w:rsidR="002767E2" w:rsidRPr="007A5789" w:rsidTr="003B35E6">
        <w:trPr>
          <w:trHeight w:val="285"/>
          <w:jc w:val="center"/>
        </w:trPr>
        <w:tc>
          <w:tcPr>
            <w:tcW w:w="5310" w:type="dxa"/>
            <w:tcBorders>
              <w:top w:val="nil"/>
              <w:left w:val="nil"/>
              <w:bottom w:val="nil"/>
              <w:right w:val="nil"/>
            </w:tcBorders>
            <w:shd w:val="clear" w:color="auto" w:fill="auto"/>
            <w:vAlign w:val="center"/>
          </w:tcPr>
          <w:p w:rsidR="002767E2" w:rsidRPr="007A5789" w:rsidRDefault="002767E2" w:rsidP="00DD608E">
            <w:pPr>
              <w:rPr>
                <w:sz w:val="18"/>
                <w:szCs w:val="18"/>
              </w:rPr>
            </w:pPr>
            <w:r w:rsidRPr="007A5789">
              <w:rPr>
                <w:sz w:val="18"/>
              </w:rPr>
              <w:t>卫生设施</w:t>
            </w:r>
          </w:p>
        </w:tc>
        <w:tc>
          <w:tcPr>
            <w:tcW w:w="2451" w:type="dxa"/>
            <w:tcBorders>
              <w:top w:val="nil"/>
              <w:left w:val="nil"/>
              <w:bottom w:val="nil"/>
              <w:right w:val="nil"/>
            </w:tcBorders>
            <w:shd w:val="clear" w:color="auto" w:fill="auto"/>
            <w:vAlign w:val="center"/>
          </w:tcPr>
          <w:p w:rsidR="002767E2" w:rsidRPr="007A5789" w:rsidRDefault="002767E2" w:rsidP="00DD608E">
            <w:pPr>
              <w:jc w:val="right"/>
              <w:rPr>
                <w:sz w:val="18"/>
                <w:szCs w:val="18"/>
              </w:rPr>
            </w:pPr>
            <w:r w:rsidRPr="007A5789">
              <w:rPr>
                <w:sz w:val="18"/>
              </w:rPr>
              <w:t>40年</w:t>
            </w:r>
          </w:p>
        </w:tc>
      </w:tr>
      <w:tr w:rsidR="002767E2" w:rsidRPr="007A5789" w:rsidTr="003B35E6">
        <w:trPr>
          <w:trHeight w:val="285"/>
          <w:jc w:val="center"/>
        </w:trPr>
        <w:tc>
          <w:tcPr>
            <w:tcW w:w="5310" w:type="dxa"/>
            <w:tcBorders>
              <w:top w:val="nil"/>
              <w:left w:val="nil"/>
              <w:bottom w:val="nil"/>
              <w:right w:val="nil"/>
            </w:tcBorders>
            <w:shd w:val="clear" w:color="auto" w:fill="auto"/>
            <w:vAlign w:val="center"/>
          </w:tcPr>
          <w:p w:rsidR="002767E2" w:rsidRPr="007A5789" w:rsidRDefault="002767E2" w:rsidP="00DD608E">
            <w:pPr>
              <w:rPr>
                <w:sz w:val="18"/>
                <w:szCs w:val="18"/>
              </w:rPr>
            </w:pPr>
            <w:r w:rsidRPr="007A5789">
              <w:rPr>
                <w:sz w:val="18"/>
              </w:rPr>
              <w:t>电气装置</w:t>
            </w:r>
          </w:p>
        </w:tc>
        <w:tc>
          <w:tcPr>
            <w:tcW w:w="2451" w:type="dxa"/>
            <w:tcBorders>
              <w:top w:val="nil"/>
              <w:left w:val="nil"/>
              <w:bottom w:val="nil"/>
              <w:right w:val="nil"/>
            </w:tcBorders>
            <w:shd w:val="clear" w:color="auto" w:fill="auto"/>
            <w:vAlign w:val="center"/>
          </w:tcPr>
          <w:p w:rsidR="002767E2" w:rsidRPr="007A5789" w:rsidRDefault="006E3E75" w:rsidP="00DD608E">
            <w:pPr>
              <w:jc w:val="right"/>
              <w:rPr>
                <w:sz w:val="18"/>
                <w:szCs w:val="18"/>
              </w:rPr>
            </w:pPr>
            <w:r w:rsidRPr="007A5789">
              <w:rPr>
                <w:sz w:val="18"/>
              </w:rPr>
              <w:t>25-50年</w:t>
            </w:r>
          </w:p>
        </w:tc>
      </w:tr>
      <w:tr w:rsidR="002767E2" w:rsidRPr="007A5789" w:rsidTr="003B35E6">
        <w:trPr>
          <w:trHeight w:val="285"/>
          <w:jc w:val="center"/>
        </w:trPr>
        <w:tc>
          <w:tcPr>
            <w:tcW w:w="5310" w:type="dxa"/>
            <w:tcBorders>
              <w:top w:val="nil"/>
              <w:left w:val="nil"/>
              <w:bottom w:val="nil"/>
              <w:right w:val="nil"/>
            </w:tcBorders>
            <w:shd w:val="clear" w:color="auto" w:fill="auto"/>
            <w:vAlign w:val="center"/>
          </w:tcPr>
          <w:p w:rsidR="002767E2" w:rsidRPr="007A5789" w:rsidRDefault="002767E2" w:rsidP="00DD608E">
            <w:pPr>
              <w:rPr>
                <w:sz w:val="18"/>
                <w:szCs w:val="18"/>
              </w:rPr>
            </w:pPr>
            <w:r w:rsidRPr="007A5789">
              <w:rPr>
                <w:sz w:val="18"/>
              </w:rPr>
              <w:t>电梯</w:t>
            </w:r>
          </w:p>
        </w:tc>
        <w:tc>
          <w:tcPr>
            <w:tcW w:w="2451" w:type="dxa"/>
            <w:tcBorders>
              <w:top w:val="nil"/>
              <w:left w:val="nil"/>
              <w:bottom w:val="nil"/>
              <w:right w:val="nil"/>
            </w:tcBorders>
            <w:shd w:val="clear" w:color="auto" w:fill="auto"/>
            <w:vAlign w:val="center"/>
          </w:tcPr>
          <w:p w:rsidR="002767E2" w:rsidRPr="007A5789" w:rsidRDefault="002767E2" w:rsidP="00DD608E">
            <w:pPr>
              <w:jc w:val="right"/>
              <w:rPr>
                <w:sz w:val="18"/>
                <w:szCs w:val="18"/>
              </w:rPr>
            </w:pPr>
            <w:r w:rsidRPr="007A5789">
              <w:rPr>
                <w:sz w:val="18"/>
              </w:rPr>
              <w:t>40年</w:t>
            </w:r>
          </w:p>
        </w:tc>
      </w:tr>
    </w:tbl>
    <w:p w:rsidR="007A5789" w:rsidRDefault="002767E2"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如果偶尔事件或情况变化表明资产账面价值可能无法恢复，应就损耗对大楼和建筑物的账面价值进行审查。如果存在这种情况，应对资产可恢复数额进行评估，以确定损耗的程度。任何损耗均计入财务执行情况表。</w:t>
      </w:r>
    </w:p>
    <w:p w:rsidR="007A5789" w:rsidRPr="001E1DEA" w:rsidRDefault="002767E2" w:rsidP="001E1DEA">
      <w:pPr>
        <w:pStyle w:val="Style3Bold"/>
        <w:keepNext/>
        <w:spacing w:beforeLines="100" w:before="240" w:afterLines="50" w:line="340" w:lineRule="atLeast"/>
        <w:rPr>
          <w:sz w:val="21"/>
        </w:rPr>
      </w:pPr>
      <w:r w:rsidRPr="001E1DEA">
        <w:rPr>
          <w:sz w:val="21"/>
        </w:rPr>
        <w:t>金融工具</w:t>
      </w:r>
    </w:p>
    <w:p w:rsidR="007A5789" w:rsidRPr="00167CE7" w:rsidRDefault="002767E2" w:rsidP="00167CE7">
      <w:pPr>
        <w:pStyle w:val="Style3"/>
        <w:keepNext/>
        <w:spacing w:afterLines="50" w:line="340" w:lineRule="atLeast"/>
        <w:rPr>
          <w:rFonts w:ascii="KaiTi" w:eastAsia="KaiTi" w:hAnsi="KaiTi"/>
          <w:b/>
          <w:sz w:val="21"/>
          <w:szCs w:val="22"/>
        </w:rPr>
      </w:pPr>
      <w:r w:rsidRPr="00167CE7">
        <w:rPr>
          <w:rFonts w:ascii="KaiTi" w:eastAsia="KaiTi" w:hAnsi="KaiTi"/>
          <w:b/>
          <w:sz w:val="21"/>
        </w:rPr>
        <w:t>金融资产</w:t>
      </w:r>
    </w:p>
    <w:p w:rsidR="0025563A" w:rsidRPr="007A5789" w:rsidRDefault="002767E2" w:rsidP="00167CE7">
      <w:pPr>
        <w:keepNext/>
        <w:overflowPunct w:val="0"/>
        <w:adjustRightInd w:val="0"/>
        <w:spacing w:line="340" w:lineRule="atLeast"/>
        <w:rPr>
          <w:sz w:val="21"/>
        </w:rPr>
      </w:pPr>
      <w:r w:rsidRPr="007A5789">
        <w:rPr>
          <w:sz w:val="21"/>
        </w:rPr>
        <w:t>初始确认与计量：</w:t>
      </w:r>
    </w:p>
    <w:p w:rsidR="007A5789" w:rsidRDefault="002767E2"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IPSAS 29《金融工具：确认与计量》范围内的金融资产酌情分为按公允价值列入盈余或赤字之金融资产、贷款和应收账款、持有到期投资或可供出售金融资产。本组织在初始确认时决定其金融资产的分类。本组织的金融资产包括现金和短期存款、短期投资、贷款和应收账款。</w:t>
      </w:r>
    </w:p>
    <w:p w:rsidR="002767E2" w:rsidRPr="007A5789" w:rsidRDefault="002767E2" w:rsidP="00167CE7">
      <w:pPr>
        <w:keepNext/>
        <w:overflowPunct w:val="0"/>
        <w:adjustRightInd w:val="0"/>
        <w:spacing w:line="340" w:lineRule="atLeast"/>
        <w:rPr>
          <w:iCs/>
          <w:sz w:val="21"/>
          <w:szCs w:val="22"/>
        </w:rPr>
      </w:pPr>
      <w:r w:rsidRPr="007A5789">
        <w:rPr>
          <w:sz w:val="21"/>
        </w:rPr>
        <w:t>后续计量：</w:t>
      </w:r>
    </w:p>
    <w:p w:rsidR="007A5789" w:rsidRDefault="002767E2"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金融资产的后续计量取决于其分类。</w:t>
      </w:r>
    </w:p>
    <w:p w:rsidR="002767E2" w:rsidRPr="00167CE7" w:rsidRDefault="002767E2" w:rsidP="00167CE7">
      <w:pPr>
        <w:keepNext/>
        <w:overflowPunct w:val="0"/>
        <w:adjustRightInd w:val="0"/>
        <w:spacing w:line="340" w:lineRule="atLeast"/>
        <w:rPr>
          <w:rFonts w:ascii="KaiTi" w:eastAsia="KaiTi" w:hAnsi="KaiTi"/>
          <w:bCs/>
          <w:sz w:val="21"/>
          <w:szCs w:val="22"/>
        </w:rPr>
      </w:pPr>
      <w:r w:rsidRPr="00167CE7">
        <w:rPr>
          <w:rFonts w:ascii="KaiTi" w:eastAsia="KaiTi" w:hAnsi="KaiTi"/>
          <w:sz w:val="21"/>
        </w:rPr>
        <w:t>按公允价值列入盈余或赤字的金融资产</w:t>
      </w:r>
    </w:p>
    <w:p w:rsidR="007A5789" w:rsidRDefault="002767E2"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按公允价值列入盈余或赤字的金融资产包括交易性金融资产和初始确认时指定按公允价值列入盈余或赤字的金融资产。出于短期内出售或回购目的收购的金融资产归类为交易性金融资产。按公允价值列入盈余或赤字的金融资产按公允价值载于财务状况表，公允价值的变化计入盈余或赤字。</w:t>
      </w:r>
    </w:p>
    <w:p w:rsidR="002767E2" w:rsidRPr="00167CE7" w:rsidRDefault="002767E2" w:rsidP="00167CE7">
      <w:pPr>
        <w:keepNext/>
        <w:overflowPunct w:val="0"/>
        <w:adjustRightInd w:val="0"/>
        <w:spacing w:line="340" w:lineRule="atLeast"/>
        <w:rPr>
          <w:rFonts w:ascii="KaiTi" w:eastAsia="KaiTi" w:hAnsi="KaiTi"/>
          <w:sz w:val="21"/>
        </w:rPr>
      </w:pPr>
      <w:r w:rsidRPr="00167CE7">
        <w:rPr>
          <w:rFonts w:ascii="KaiTi" w:eastAsia="KaiTi" w:hAnsi="KaiTi"/>
          <w:sz w:val="21"/>
        </w:rPr>
        <w:t>贷款与应收账款：</w:t>
      </w:r>
    </w:p>
    <w:p w:rsidR="007A5789" w:rsidRDefault="002767E2" w:rsidP="00134184">
      <w:pPr>
        <w:pStyle w:val="Style3"/>
        <w:numPr>
          <w:ilvl w:val="0"/>
          <w:numId w:val="11"/>
        </w:numPr>
        <w:tabs>
          <w:tab w:val="left" w:pos="770"/>
        </w:tabs>
        <w:overflowPunct w:val="0"/>
        <w:spacing w:afterLines="50" w:line="340" w:lineRule="atLeast"/>
        <w:ind w:left="0" w:firstLine="0"/>
        <w:rPr>
          <w:sz w:val="21"/>
        </w:rPr>
      </w:pPr>
      <w:r w:rsidRPr="007A5789">
        <w:rPr>
          <w:sz w:val="21"/>
        </w:rPr>
        <w:t>贷款与应收账款是要进行固定或可确定支付的非衍生金融资产，不在活跃市场上报价。在初始计量后，此类金融资产随后用实际利率法按摊销成本计量。摊销成本的计算考虑了收购时的任何折价或溢价以及构成实际利率的费用或成本。减值带来的损失计入盈余或赤字。</w:t>
      </w:r>
    </w:p>
    <w:p w:rsidR="002767E2" w:rsidRPr="00167CE7" w:rsidRDefault="002767E2" w:rsidP="00167CE7">
      <w:pPr>
        <w:keepNext/>
        <w:overflowPunct w:val="0"/>
        <w:adjustRightInd w:val="0"/>
        <w:spacing w:line="340" w:lineRule="atLeast"/>
        <w:rPr>
          <w:sz w:val="21"/>
        </w:rPr>
      </w:pPr>
      <w:r w:rsidRPr="007A5789">
        <w:rPr>
          <w:sz w:val="21"/>
        </w:rPr>
        <w:t>终止确认：</w:t>
      </w:r>
    </w:p>
    <w:p w:rsidR="007A5789" w:rsidRDefault="002767E2"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如从某项金融资产，或在适用情况下某项金融资产的一部分或一组类似金融资产的一部分收到现金流的权利已到期或被放弃，本组织终止确认该项资产。</w:t>
      </w:r>
    </w:p>
    <w:p w:rsidR="002767E2" w:rsidRPr="00167CE7" w:rsidRDefault="002767E2" w:rsidP="00167CE7">
      <w:pPr>
        <w:keepNext/>
        <w:overflowPunct w:val="0"/>
        <w:adjustRightInd w:val="0"/>
        <w:spacing w:line="340" w:lineRule="atLeast"/>
        <w:rPr>
          <w:sz w:val="21"/>
        </w:rPr>
      </w:pPr>
      <w:r w:rsidRPr="007A5789">
        <w:rPr>
          <w:sz w:val="21"/>
        </w:rPr>
        <w:t>金融资产减值：</w:t>
      </w:r>
    </w:p>
    <w:p w:rsidR="007A5789" w:rsidRDefault="002767E2" w:rsidP="00134184">
      <w:pPr>
        <w:pStyle w:val="Style3"/>
        <w:numPr>
          <w:ilvl w:val="0"/>
          <w:numId w:val="11"/>
        </w:numPr>
        <w:tabs>
          <w:tab w:val="left" w:pos="770"/>
        </w:tabs>
        <w:overflowPunct w:val="0"/>
        <w:spacing w:afterLines="50" w:line="340" w:lineRule="atLeast"/>
        <w:ind w:left="0" w:firstLine="0"/>
        <w:rPr>
          <w:sz w:val="21"/>
        </w:rPr>
      </w:pPr>
      <w:r w:rsidRPr="007A5789">
        <w:rPr>
          <w:sz w:val="21"/>
        </w:rPr>
        <w:t>本组织在每个报告日评估是否有客观证据表明一项/一组金融资产出现减值。当且仅当有客观证据表明在一项金融资产或一组金融资产初始确认后发生的一起或多起事件导致减值</w:t>
      </w:r>
      <w:r w:rsidR="00B6014B">
        <w:rPr>
          <w:sz w:val="21"/>
        </w:rPr>
        <w:t>（</w:t>
      </w:r>
      <w:r w:rsidRPr="007A5789">
        <w:rPr>
          <w:sz w:val="21"/>
        </w:rPr>
        <w:t>已发生损失事</w:t>
      </w:r>
      <w:r w:rsidRPr="007A5789">
        <w:rPr>
          <w:sz w:val="21"/>
        </w:rPr>
        <w:lastRenderedPageBreak/>
        <w:t>件</w:t>
      </w:r>
      <w:r w:rsidR="00B6014B">
        <w:rPr>
          <w:sz w:val="21"/>
        </w:rPr>
        <w:t>）</w:t>
      </w:r>
      <w:r w:rsidRPr="007A5789">
        <w:rPr>
          <w:sz w:val="21"/>
        </w:rPr>
        <w:t>并且该损失事件对该项/该组金融资产未来的现金流量产生了可以可靠概算的影响时，该项/该组金融资产被认为出现减值。</w:t>
      </w:r>
    </w:p>
    <w:p w:rsidR="007A5789" w:rsidRPr="00167CE7" w:rsidRDefault="002767E2" w:rsidP="00167CE7">
      <w:pPr>
        <w:pStyle w:val="Style3"/>
        <w:keepNext/>
        <w:spacing w:afterLines="50" w:line="340" w:lineRule="atLeast"/>
        <w:rPr>
          <w:rFonts w:ascii="KaiTi" w:eastAsia="KaiTi" w:hAnsi="KaiTi"/>
          <w:b/>
          <w:sz w:val="21"/>
        </w:rPr>
      </w:pPr>
      <w:r w:rsidRPr="00167CE7">
        <w:rPr>
          <w:rFonts w:ascii="KaiTi" w:eastAsia="KaiTi" w:hAnsi="KaiTi"/>
          <w:b/>
          <w:sz w:val="21"/>
        </w:rPr>
        <w:t>金融负债</w:t>
      </w:r>
    </w:p>
    <w:p w:rsidR="002767E2" w:rsidRPr="007A5789" w:rsidRDefault="002767E2" w:rsidP="00134184">
      <w:pPr>
        <w:pStyle w:val="Style3"/>
        <w:numPr>
          <w:ilvl w:val="0"/>
          <w:numId w:val="11"/>
        </w:numPr>
        <w:tabs>
          <w:tab w:val="left" w:pos="770"/>
        </w:tabs>
        <w:overflowPunct w:val="0"/>
        <w:spacing w:after="0" w:line="340" w:lineRule="atLeast"/>
        <w:ind w:left="0" w:firstLine="0"/>
        <w:rPr>
          <w:bCs/>
          <w:sz w:val="21"/>
          <w:szCs w:val="22"/>
        </w:rPr>
      </w:pPr>
      <w:r w:rsidRPr="007A5789">
        <w:rPr>
          <w:sz w:val="21"/>
        </w:rPr>
        <w:t>初始确认与计量：</w:t>
      </w:r>
    </w:p>
    <w:p w:rsidR="007A5789" w:rsidRDefault="002767E2" w:rsidP="00167CE7">
      <w:pPr>
        <w:pStyle w:val="Style3"/>
        <w:tabs>
          <w:tab w:val="left" w:pos="770"/>
        </w:tabs>
        <w:overflowPunct w:val="0"/>
        <w:spacing w:afterLines="50" w:line="340" w:lineRule="atLeast"/>
        <w:rPr>
          <w:sz w:val="21"/>
          <w:szCs w:val="22"/>
        </w:rPr>
      </w:pPr>
      <w:r w:rsidRPr="007A5789">
        <w:rPr>
          <w:sz w:val="21"/>
        </w:rPr>
        <w:t>IPSAS 29范围内的金融负债酌情分为按公允价值列入盈余或赤字的金融负债或贷款和借款。本组织在初始确认时决定其金融负债的分类。所有的金融负债</w:t>
      </w:r>
      <w:proofErr w:type="gramStart"/>
      <w:r w:rsidRPr="007A5789">
        <w:rPr>
          <w:sz w:val="21"/>
        </w:rPr>
        <w:t>初始均</w:t>
      </w:r>
      <w:proofErr w:type="gramEnd"/>
      <w:r w:rsidRPr="007A5789">
        <w:rPr>
          <w:sz w:val="21"/>
        </w:rPr>
        <w:t>按公允价值确认，如涉及贷款和借款，还要加上直</w:t>
      </w:r>
      <w:proofErr w:type="gramStart"/>
      <w:r w:rsidRPr="007A5789">
        <w:rPr>
          <w:sz w:val="21"/>
        </w:rPr>
        <w:t>接应占</w:t>
      </w:r>
      <w:proofErr w:type="gramEnd"/>
      <w:r w:rsidRPr="007A5789">
        <w:rPr>
          <w:sz w:val="21"/>
        </w:rPr>
        <w:t>交易成本。本组织的金融负债包括贸易及其他应付款项、贷款和借款。</w:t>
      </w:r>
    </w:p>
    <w:p w:rsidR="002767E2" w:rsidRPr="007A5789" w:rsidRDefault="002767E2" w:rsidP="00134184">
      <w:pPr>
        <w:pStyle w:val="Style3"/>
        <w:numPr>
          <w:ilvl w:val="0"/>
          <w:numId w:val="11"/>
        </w:numPr>
        <w:tabs>
          <w:tab w:val="left" w:pos="770"/>
        </w:tabs>
        <w:overflowPunct w:val="0"/>
        <w:spacing w:after="0" w:line="340" w:lineRule="atLeast"/>
        <w:ind w:left="0" w:firstLine="0"/>
        <w:rPr>
          <w:bCs/>
          <w:sz w:val="21"/>
          <w:szCs w:val="22"/>
        </w:rPr>
      </w:pPr>
      <w:r w:rsidRPr="007A5789">
        <w:rPr>
          <w:sz w:val="21"/>
        </w:rPr>
        <w:t>后续计量：</w:t>
      </w:r>
    </w:p>
    <w:p w:rsidR="007A5789" w:rsidRDefault="002767E2" w:rsidP="00167CE7">
      <w:pPr>
        <w:pStyle w:val="Style3"/>
        <w:tabs>
          <w:tab w:val="left" w:pos="770"/>
        </w:tabs>
        <w:overflowPunct w:val="0"/>
        <w:spacing w:afterLines="50" w:line="340" w:lineRule="atLeast"/>
        <w:rPr>
          <w:sz w:val="21"/>
          <w:szCs w:val="22"/>
        </w:rPr>
      </w:pPr>
      <w:r w:rsidRPr="007A5789">
        <w:rPr>
          <w:sz w:val="21"/>
        </w:rPr>
        <w:t>金融负债的后续计量取决于其分类。</w:t>
      </w:r>
    </w:p>
    <w:p w:rsidR="002767E2" w:rsidRPr="00167CE7" w:rsidRDefault="002767E2" w:rsidP="00167CE7">
      <w:pPr>
        <w:keepNext/>
        <w:overflowPunct w:val="0"/>
        <w:adjustRightInd w:val="0"/>
        <w:spacing w:line="340" w:lineRule="atLeast"/>
        <w:rPr>
          <w:rFonts w:ascii="KaiTi" w:eastAsia="KaiTi" w:hAnsi="KaiTi"/>
          <w:sz w:val="21"/>
        </w:rPr>
      </w:pPr>
      <w:r w:rsidRPr="00167CE7">
        <w:rPr>
          <w:rFonts w:ascii="KaiTi" w:eastAsia="KaiTi" w:hAnsi="KaiTi"/>
          <w:sz w:val="21"/>
        </w:rPr>
        <w:t>按公允价值列入盈余或赤字的金融负债</w:t>
      </w:r>
    </w:p>
    <w:p w:rsidR="007A5789" w:rsidRDefault="002767E2"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按公允价值列入盈余或赤字的金融负债包括持有交易性金融负债和初始确认时指定按公允价值列入盈余或赤字的金融负债。出于短期内出售目的收购的金融负债归类为交易性金融负债。交易性金融负债出现的收益或损失计入盈余或赤字。</w:t>
      </w:r>
    </w:p>
    <w:p w:rsidR="002767E2" w:rsidRPr="00167CE7" w:rsidRDefault="002767E2" w:rsidP="00167CE7">
      <w:pPr>
        <w:keepNext/>
        <w:overflowPunct w:val="0"/>
        <w:adjustRightInd w:val="0"/>
        <w:spacing w:line="340" w:lineRule="atLeast"/>
        <w:rPr>
          <w:rFonts w:ascii="KaiTi" w:eastAsia="KaiTi" w:hAnsi="KaiTi"/>
          <w:sz w:val="21"/>
        </w:rPr>
      </w:pPr>
      <w:r w:rsidRPr="00167CE7">
        <w:rPr>
          <w:rFonts w:ascii="KaiTi" w:eastAsia="KaiTi" w:hAnsi="KaiTi"/>
          <w:sz w:val="21"/>
        </w:rPr>
        <w:t>贷款与借款：</w:t>
      </w:r>
    </w:p>
    <w:p w:rsidR="007A5789" w:rsidRDefault="002767E2"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在初始计量后，贷款与借款随后用实际利率法按摊销成本计量。在终止确认负债时并通过实际利率法摊销过程，收益和损失计入盈余或赤字。摊销成本的计算考虑了收购时的任何折价或溢价以及构成实际利率的费用或成本。</w:t>
      </w:r>
    </w:p>
    <w:p w:rsidR="002767E2" w:rsidRPr="007A5789" w:rsidRDefault="002767E2" w:rsidP="00134184">
      <w:pPr>
        <w:pStyle w:val="Style3"/>
        <w:numPr>
          <w:ilvl w:val="0"/>
          <w:numId w:val="11"/>
        </w:numPr>
        <w:tabs>
          <w:tab w:val="left" w:pos="770"/>
        </w:tabs>
        <w:overflowPunct w:val="0"/>
        <w:spacing w:after="0" w:line="340" w:lineRule="atLeast"/>
        <w:ind w:left="0" w:firstLine="0"/>
        <w:rPr>
          <w:bCs/>
          <w:sz w:val="21"/>
          <w:szCs w:val="22"/>
        </w:rPr>
      </w:pPr>
      <w:r w:rsidRPr="007A5789">
        <w:rPr>
          <w:sz w:val="21"/>
        </w:rPr>
        <w:t>终止确认：</w:t>
      </w:r>
    </w:p>
    <w:p w:rsidR="007A5789" w:rsidRDefault="002767E2" w:rsidP="00612CF1">
      <w:pPr>
        <w:pStyle w:val="Style3"/>
        <w:tabs>
          <w:tab w:val="left" w:pos="770"/>
        </w:tabs>
        <w:overflowPunct w:val="0"/>
        <w:spacing w:afterLines="50" w:line="340" w:lineRule="atLeast"/>
        <w:rPr>
          <w:sz w:val="21"/>
        </w:rPr>
      </w:pPr>
      <w:r w:rsidRPr="007A5789">
        <w:rPr>
          <w:sz w:val="21"/>
        </w:rPr>
        <w:t>当一项金融负债所涉义务已履行、撤销或到期时，该项金融负债终止确认。如某项现有金融负债由相同借贷方按实质上不同的条款提供的另一项金融负债所取代，或现有负债的条款受到实质性修订，则此种交换或修订被视为终止确认原有负债并确认新负债，彼此账面数额之间的差额计入盈余或赤字。</w:t>
      </w:r>
    </w:p>
    <w:p w:rsidR="007A5789" w:rsidRPr="001E1DEA" w:rsidRDefault="00131284" w:rsidP="001E1DEA">
      <w:pPr>
        <w:pStyle w:val="Style3Bold"/>
        <w:keepNext/>
        <w:spacing w:beforeLines="100" w:before="240" w:afterLines="50" w:line="340" w:lineRule="atLeast"/>
        <w:rPr>
          <w:sz w:val="21"/>
        </w:rPr>
      </w:pPr>
      <w:r w:rsidRPr="001E1DEA">
        <w:rPr>
          <w:sz w:val="21"/>
        </w:rPr>
        <w:t>雇员福利</w:t>
      </w:r>
    </w:p>
    <w:p w:rsidR="007A5789" w:rsidRDefault="00131284"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根据独立精算师利用预计单位福利法在年度基础上确定的结果，把离职后健康保险</w:t>
      </w:r>
      <w:r w:rsidR="00B6014B">
        <w:rPr>
          <w:sz w:val="21"/>
        </w:rPr>
        <w:t>（</w:t>
      </w:r>
      <w:r w:rsidRPr="007A5789">
        <w:rPr>
          <w:sz w:val="21"/>
        </w:rPr>
        <w:t>ASHI</w:t>
      </w:r>
      <w:r w:rsidR="00B6014B">
        <w:rPr>
          <w:sz w:val="21"/>
        </w:rPr>
        <w:t>）</w:t>
      </w:r>
      <w:r w:rsidRPr="007A5789">
        <w:rPr>
          <w:sz w:val="21"/>
        </w:rPr>
        <w:t>和回国补助金以及旅费规定为负债。ASHI负债的精算盈余和亏损用居间法来认定，并按照在职工作人员的未来平均服务年数摊销。此外，在报告日尚未支付的累计假期、未执行</w:t>
      </w:r>
      <w:proofErr w:type="gramStart"/>
      <w:r w:rsidRPr="007A5789">
        <w:rPr>
          <w:sz w:val="21"/>
        </w:rPr>
        <w:t>回籍假和</w:t>
      </w:r>
      <w:proofErr w:type="gramEnd"/>
      <w:r w:rsidRPr="007A5789">
        <w:rPr>
          <w:sz w:val="21"/>
        </w:rPr>
        <w:t>加班费的相应费用、离职福利、绩效奖励以及在报告日没有纳入当期支出的应支付教育补助金也规定为负债。</w:t>
      </w:r>
    </w:p>
    <w:p w:rsidR="007A5789" w:rsidRDefault="00131284"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WIPO为联合国合办工作人员养恤基金</w:t>
      </w:r>
      <w:r w:rsidR="00B6014B">
        <w:rPr>
          <w:sz w:val="21"/>
        </w:rPr>
        <w:t>（</w:t>
      </w:r>
      <w:r w:rsidRPr="007A5789">
        <w:rPr>
          <w:sz w:val="21"/>
        </w:rPr>
        <w:t>UNJSPF</w:t>
      </w:r>
      <w:r w:rsidR="00B6014B">
        <w:rPr>
          <w:sz w:val="21"/>
        </w:rPr>
        <w:t>）</w:t>
      </w:r>
      <w:r w:rsidRPr="007A5789">
        <w:rPr>
          <w:sz w:val="21"/>
        </w:rPr>
        <w:t>的成员组织，该基金由联合国大会成立，旨在为雇员提供退休、死亡、残障和相关福利。养恤基金是一个多雇主资助和有明确规定的福利计划。根据该基金条例第3条</w:t>
      </w:r>
      <w:r w:rsidR="0069659C">
        <w:rPr>
          <w:rFonts w:hint="eastAsia"/>
          <w:sz w:val="21"/>
        </w:rPr>
        <w:t>(</w:t>
      </w:r>
      <w:r w:rsidRPr="007A5789">
        <w:rPr>
          <w:sz w:val="21"/>
        </w:rPr>
        <w:t>b</w:t>
      </w:r>
      <w:r w:rsidR="0069659C">
        <w:rPr>
          <w:rFonts w:hint="eastAsia"/>
          <w:sz w:val="21"/>
        </w:rPr>
        <w:t>)</w:t>
      </w:r>
      <w:r w:rsidRPr="007A5789">
        <w:rPr>
          <w:sz w:val="21"/>
        </w:rPr>
        <w:t>款的规定，该基金的成员资格须向联合国专门机构以及参加联合国薪金、津贴和其他福利统一制度的任何其他国际、政府间组织及专门机构开放。</w:t>
      </w:r>
    </w:p>
    <w:p w:rsidR="007A5789" w:rsidRDefault="00131284"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该计划使成员组织面临着</w:t>
      </w:r>
      <w:r w:rsidR="000A1290" w:rsidRPr="007A5789">
        <w:rPr>
          <w:rFonts w:hint="eastAsia"/>
          <w:sz w:val="21"/>
        </w:rPr>
        <w:t>与参加该</w:t>
      </w:r>
      <w:r w:rsidR="000A1290" w:rsidRPr="007A5789">
        <w:rPr>
          <w:sz w:val="21"/>
        </w:rPr>
        <w:t>基金的</w:t>
      </w:r>
      <w:r w:rsidRPr="007A5789">
        <w:rPr>
          <w:sz w:val="21"/>
        </w:rPr>
        <w:t>其他组织</w:t>
      </w:r>
      <w:r w:rsidR="009C73D3" w:rsidRPr="007A5789">
        <w:rPr>
          <w:rFonts w:hint="eastAsia"/>
          <w:sz w:val="21"/>
        </w:rPr>
        <w:t>的</w:t>
      </w:r>
      <w:r w:rsidRPr="007A5789">
        <w:rPr>
          <w:sz w:val="21"/>
        </w:rPr>
        <w:t>现有和前雇员</w:t>
      </w:r>
      <w:r w:rsidR="009C73D3" w:rsidRPr="007A5789">
        <w:rPr>
          <w:rFonts w:hint="eastAsia"/>
          <w:sz w:val="21"/>
        </w:rPr>
        <w:t>有关</w:t>
      </w:r>
      <w:r w:rsidRPr="007A5789">
        <w:rPr>
          <w:sz w:val="21"/>
        </w:rPr>
        <w:t>的精算风险。其结果是，在将</w:t>
      </w:r>
      <w:r w:rsidR="0069659C">
        <w:rPr>
          <w:rFonts w:hint="eastAsia"/>
          <w:sz w:val="21"/>
        </w:rPr>
        <w:t>债</w:t>
      </w:r>
      <w:r w:rsidRPr="007A5789">
        <w:rPr>
          <w:sz w:val="21"/>
        </w:rPr>
        <w:t>务、计划资产和费用分配</w:t>
      </w:r>
      <w:proofErr w:type="gramStart"/>
      <w:r w:rsidRPr="007A5789">
        <w:rPr>
          <w:sz w:val="21"/>
        </w:rPr>
        <w:t>至参与</w:t>
      </w:r>
      <w:proofErr w:type="gramEnd"/>
      <w:r w:rsidRPr="007A5789">
        <w:rPr>
          <w:sz w:val="21"/>
        </w:rPr>
        <w:t>该计划的各个组织方面没有统一、可靠的基准。WIPO和UNJSPF与其他参与基金的组织一样，无法从财务角度以足够的可靠性来确定其与该计划相关的固定福利</w:t>
      </w:r>
      <w:r w:rsidR="0069659C">
        <w:rPr>
          <w:rFonts w:hint="eastAsia"/>
          <w:sz w:val="21"/>
        </w:rPr>
        <w:t>债</w:t>
      </w:r>
      <w:r w:rsidRPr="007A5789">
        <w:rPr>
          <w:sz w:val="21"/>
        </w:rPr>
        <w:t>务、计划资产和费用的相应份额，因此WIPO将该计划当成是符合IPSAS 25要求的固定缴款计划。WIPO在本财务期内为该计划的缴款在财务执行情况表中被列为支出。</w:t>
      </w:r>
    </w:p>
    <w:p w:rsidR="007A5789" w:rsidRPr="001E1DEA" w:rsidRDefault="00131284" w:rsidP="001E1DEA">
      <w:pPr>
        <w:pStyle w:val="Style3Bold"/>
        <w:keepNext/>
        <w:spacing w:beforeLines="100" w:before="240" w:afterLines="50" w:line="340" w:lineRule="atLeast"/>
        <w:rPr>
          <w:sz w:val="21"/>
        </w:rPr>
      </w:pPr>
      <w:r w:rsidRPr="007A5789">
        <w:rPr>
          <w:sz w:val="21"/>
        </w:rPr>
        <w:lastRenderedPageBreak/>
        <w:t>准备金</w:t>
      </w:r>
    </w:p>
    <w:p w:rsidR="007A5789" w:rsidRDefault="00131284" w:rsidP="00134184">
      <w:pPr>
        <w:pStyle w:val="Style3"/>
        <w:numPr>
          <w:ilvl w:val="0"/>
          <w:numId w:val="11"/>
        </w:numPr>
        <w:tabs>
          <w:tab w:val="left" w:pos="770"/>
        </w:tabs>
        <w:overflowPunct w:val="0"/>
        <w:spacing w:afterLines="50" w:line="340" w:lineRule="atLeast"/>
        <w:ind w:left="0" w:firstLine="0"/>
        <w:rPr>
          <w:sz w:val="21"/>
        </w:rPr>
      </w:pPr>
      <w:r w:rsidRPr="007A5789">
        <w:rPr>
          <w:sz w:val="21"/>
        </w:rPr>
        <w:t>在本组织因某一过去事件而负有法律或推定责任时设立准备金，</w:t>
      </w:r>
      <w:r w:rsidR="00172858" w:rsidRPr="007A5789">
        <w:rPr>
          <w:rFonts w:hint="eastAsia"/>
          <w:sz w:val="21"/>
        </w:rPr>
        <w:t>条件</w:t>
      </w:r>
      <w:r w:rsidRPr="007A5789">
        <w:rPr>
          <w:sz w:val="21"/>
        </w:rPr>
        <w:t>可能需要通过资源外流来履行责任，且该责任所需金额可</w:t>
      </w:r>
      <w:proofErr w:type="gramStart"/>
      <w:r w:rsidRPr="007A5789">
        <w:rPr>
          <w:sz w:val="21"/>
        </w:rPr>
        <w:t>作出</w:t>
      </w:r>
      <w:proofErr w:type="gramEnd"/>
      <w:r w:rsidRPr="007A5789">
        <w:rPr>
          <w:sz w:val="21"/>
        </w:rPr>
        <w:t>可靠估计。</w:t>
      </w:r>
    </w:p>
    <w:p w:rsidR="007A5789" w:rsidRPr="001E1DEA" w:rsidRDefault="00131284" w:rsidP="001E1DEA">
      <w:pPr>
        <w:pStyle w:val="Style3Bold"/>
        <w:keepNext/>
        <w:spacing w:beforeLines="100" w:before="240" w:afterLines="50" w:line="340" w:lineRule="atLeast"/>
        <w:rPr>
          <w:sz w:val="21"/>
        </w:rPr>
      </w:pPr>
      <w:r w:rsidRPr="001E1DEA">
        <w:rPr>
          <w:sz w:val="21"/>
        </w:rPr>
        <w:t>分部报告</w:t>
      </w:r>
    </w:p>
    <w:p w:rsidR="00131284" w:rsidRPr="007A5789" w:rsidRDefault="00131284"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分部报告基于组成WIPO的各</w:t>
      </w:r>
      <w:r w:rsidR="00F67EFB" w:rsidRPr="007A5789">
        <w:rPr>
          <w:rFonts w:hint="eastAsia"/>
          <w:sz w:val="21"/>
        </w:rPr>
        <w:t>个</w:t>
      </w:r>
      <w:r w:rsidRPr="007A5789">
        <w:rPr>
          <w:sz w:val="21"/>
        </w:rPr>
        <w:t>联盟。本组织发生的收入和开支根据经世界知识产权组织大会批准的分配方法[2014/15年计划和预算</w:t>
      </w:r>
      <w:r w:rsidR="006508E4" w:rsidRPr="007A5789">
        <w:rPr>
          <w:rFonts w:hint="eastAsia"/>
          <w:sz w:val="21"/>
        </w:rPr>
        <w:t>，</w:t>
      </w:r>
      <w:r w:rsidRPr="007A5789">
        <w:rPr>
          <w:sz w:val="21"/>
        </w:rPr>
        <w:t>附件三]在联盟之间进行分配。该方法结合直接收入和开支、工作人员数量和各联盟根据当前收入和储备金自身确定的支付能力，对每一计划和每一联盟的收入和开支进行分配。WIPO的资产与负债没有分配给各个部门，因为从整体来说所有权属于整个组织，然而，包括储备金和周转</w:t>
      </w:r>
      <w:r w:rsidR="006508E4" w:rsidRPr="007A5789">
        <w:rPr>
          <w:rFonts w:hint="eastAsia"/>
          <w:sz w:val="21"/>
        </w:rPr>
        <w:t>基金</w:t>
      </w:r>
      <w:r w:rsidRPr="007A5789">
        <w:rPr>
          <w:sz w:val="21"/>
        </w:rPr>
        <w:t>在内的本组织各联盟的净资产份额是以部门为单位确认的</w:t>
      </w:r>
      <w:r w:rsidR="00B6014B">
        <w:rPr>
          <w:sz w:val="21"/>
        </w:rPr>
        <w:t>（</w:t>
      </w:r>
      <w:r w:rsidRPr="007A5789">
        <w:rPr>
          <w:sz w:val="21"/>
        </w:rPr>
        <w:t>参见附注</w:t>
      </w:r>
      <w:r w:rsidR="006F192F">
        <w:rPr>
          <w:sz w:val="21"/>
        </w:rPr>
        <w:t>‍</w:t>
      </w:r>
      <w:r w:rsidRPr="007A5789">
        <w:rPr>
          <w:sz w:val="21"/>
        </w:rPr>
        <w:t>28</w:t>
      </w:r>
      <w:r w:rsidR="00B6014B">
        <w:rPr>
          <w:sz w:val="21"/>
        </w:rPr>
        <w:t>）</w:t>
      </w:r>
      <w:r w:rsidRPr="007A5789">
        <w:rPr>
          <w:sz w:val="21"/>
        </w:rPr>
        <w:t>。</w:t>
      </w:r>
    </w:p>
    <w:p w:rsidR="007A5789" w:rsidRPr="001E1DEA" w:rsidRDefault="00131284" w:rsidP="001E1DEA">
      <w:pPr>
        <w:pStyle w:val="Style3Bold"/>
        <w:keepNext/>
        <w:spacing w:beforeLines="100" w:before="240" w:afterLines="50" w:line="340" w:lineRule="atLeast"/>
        <w:rPr>
          <w:sz w:val="21"/>
        </w:rPr>
      </w:pPr>
      <w:r w:rsidRPr="001E1DEA">
        <w:rPr>
          <w:sz w:val="21"/>
        </w:rPr>
        <w:t>呈报的变化</w:t>
      </w:r>
    </w:p>
    <w:p w:rsidR="007A5789" w:rsidRDefault="00976868" w:rsidP="00134184">
      <w:pPr>
        <w:pStyle w:val="Style3"/>
        <w:numPr>
          <w:ilvl w:val="0"/>
          <w:numId w:val="11"/>
        </w:numPr>
        <w:tabs>
          <w:tab w:val="left" w:pos="770"/>
        </w:tabs>
        <w:overflowPunct w:val="0"/>
        <w:spacing w:afterLines="50" w:line="340" w:lineRule="atLeast"/>
        <w:ind w:left="0" w:firstLine="0"/>
        <w:rPr>
          <w:sz w:val="21"/>
        </w:rPr>
      </w:pPr>
      <w:r w:rsidRPr="007A5789">
        <w:rPr>
          <w:sz w:val="21"/>
        </w:rPr>
        <w:t>2015年，本组织的储备</w:t>
      </w:r>
      <w:proofErr w:type="gramStart"/>
      <w:r w:rsidRPr="007A5789">
        <w:rPr>
          <w:sz w:val="21"/>
        </w:rPr>
        <w:t>金政策</w:t>
      </w:r>
      <w:proofErr w:type="gramEnd"/>
      <w:r w:rsidRPr="007A5789">
        <w:rPr>
          <w:sz w:val="21"/>
        </w:rPr>
        <w:t>被WIPO成员国大会第五十五届系列会议修改并通过。修改后的政策包括建立名为</w:t>
      </w:r>
      <w:r w:rsidR="00AB6919">
        <w:rPr>
          <w:sz w:val="21"/>
        </w:rPr>
        <w:t>特别项目</w:t>
      </w:r>
      <w:r w:rsidRPr="007A5789">
        <w:rPr>
          <w:sz w:val="21"/>
        </w:rPr>
        <w:t>储备金的独立储备金。</w:t>
      </w:r>
      <w:r w:rsidR="00AB6919">
        <w:rPr>
          <w:sz w:val="21"/>
        </w:rPr>
        <w:t>特别项目</w:t>
      </w:r>
      <w:r w:rsidRPr="007A5789">
        <w:rPr>
          <w:sz w:val="21"/>
        </w:rPr>
        <w:t>储备金目前在财务报表中单独列出</w:t>
      </w:r>
      <w:r w:rsidR="00B6014B">
        <w:rPr>
          <w:sz w:val="21"/>
        </w:rPr>
        <w:t>（</w:t>
      </w:r>
      <w:r w:rsidRPr="007A5789">
        <w:rPr>
          <w:sz w:val="21"/>
        </w:rPr>
        <w:t>在财务状况表、净资产变动表及附注21净资产中</w:t>
      </w:r>
      <w:r w:rsidR="00B6014B">
        <w:rPr>
          <w:sz w:val="21"/>
        </w:rPr>
        <w:t>）</w:t>
      </w:r>
      <w:r w:rsidRPr="007A5789">
        <w:rPr>
          <w:sz w:val="21"/>
        </w:rPr>
        <w:t>。2014年可比呈报也被修改以单独披露</w:t>
      </w:r>
      <w:r w:rsidR="00AB6919">
        <w:rPr>
          <w:sz w:val="21"/>
        </w:rPr>
        <w:t>特别项目</w:t>
      </w:r>
      <w:r w:rsidRPr="007A5789">
        <w:rPr>
          <w:sz w:val="21"/>
        </w:rPr>
        <w:t>储备</w:t>
      </w:r>
      <w:r w:rsidR="006F192F">
        <w:rPr>
          <w:sz w:val="21"/>
        </w:rPr>
        <w:t>‍</w:t>
      </w:r>
      <w:r w:rsidRPr="007A5789">
        <w:rPr>
          <w:sz w:val="21"/>
        </w:rPr>
        <w:t>金。</w:t>
      </w:r>
    </w:p>
    <w:p w:rsidR="007A5789" w:rsidRPr="001E1DEA" w:rsidRDefault="00131284" w:rsidP="001E1DEA">
      <w:pPr>
        <w:pStyle w:val="Style3Bold"/>
        <w:keepNext/>
        <w:spacing w:beforeLines="100" w:before="240" w:afterLines="50" w:line="340" w:lineRule="atLeast"/>
        <w:rPr>
          <w:sz w:val="21"/>
        </w:rPr>
      </w:pPr>
      <w:r w:rsidRPr="001E1DEA">
        <w:rPr>
          <w:sz w:val="21"/>
        </w:rPr>
        <w:t>估计的使用</w:t>
      </w:r>
    </w:p>
    <w:p w:rsidR="007A5789" w:rsidRDefault="00131284"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财务报表不可避免地包括了根据管理人员的估计和假设确定的数额。估计包括但不限于：ASHI、回国补助金以及旅费负债</w:t>
      </w:r>
      <w:r w:rsidR="00B6014B">
        <w:rPr>
          <w:sz w:val="21"/>
        </w:rPr>
        <w:t>（</w:t>
      </w:r>
      <w:r w:rsidRPr="007A5789">
        <w:rPr>
          <w:sz w:val="21"/>
        </w:rPr>
        <w:t>金额由独立精算师计算</w:t>
      </w:r>
      <w:r w:rsidR="00B6014B">
        <w:rPr>
          <w:sz w:val="21"/>
        </w:rPr>
        <w:t>）</w:t>
      </w:r>
      <w:r w:rsidRPr="007A5789">
        <w:rPr>
          <w:sz w:val="21"/>
        </w:rPr>
        <w:t>、其他雇员福利负债、诉讼准备金、出版物库存估值、应收账款的财务风险、应计费用和固定资产损耗度。实际数额可能与这些概算有所不同。对概算的修改将反映在已知发生实际数额所涉的时期。</w:t>
      </w:r>
    </w:p>
    <w:p w:rsidR="00131284" w:rsidRPr="007A5789" w:rsidRDefault="00131284"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所有的数额都</w:t>
      </w:r>
      <w:proofErr w:type="gramStart"/>
      <w:r w:rsidRPr="007A5789">
        <w:rPr>
          <w:sz w:val="21"/>
        </w:rPr>
        <w:t>以千瑞郎</w:t>
      </w:r>
      <w:proofErr w:type="gramEnd"/>
      <w:r w:rsidRPr="007A5789">
        <w:rPr>
          <w:sz w:val="21"/>
        </w:rPr>
        <w:t>显示，因而可能会</w:t>
      </w:r>
      <w:proofErr w:type="gramStart"/>
      <w:r w:rsidRPr="007A5789">
        <w:rPr>
          <w:sz w:val="21"/>
        </w:rPr>
        <w:t>产生化整误差</w:t>
      </w:r>
      <w:proofErr w:type="gramEnd"/>
      <w:r w:rsidRPr="007A5789">
        <w:rPr>
          <w:sz w:val="21"/>
        </w:rPr>
        <w:t>。</w:t>
      </w:r>
    </w:p>
    <w:p w:rsidR="007A5789" w:rsidRPr="007C2134" w:rsidRDefault="004C08E2" w:rsidP="007C2134">
      <w:pPr>
        <w:pStyle w:val="3"/>
        <w:overflowPunct w:val="0"/>
        <w:spacing w:beforeLines="100" w:afterLines="50" w:after="120" w:line="340" w:lineRule="atLeast"/>
        <w:rPr>
          <w:rFonts w:ascii="SimHei" w:eastAsia="SimHei" w:hAnsi="SimHei"/>
          <w:b w:val="0"/>
          <w:sz w:val="21"/>
        </w:rPr>
      </w:pPr>
      <w:bookmarkStart w:id="51" w:name="_Toc441218491"/>
      <w:bookmarkStart w:id="52" w:name="_Toc455733222"/>
      <w:bookmarkStart w:id="53" w:name="_Toc456697871"/>
      <w:bookmarkStart w:id="54" w:name="_Toc456711737"/>
      <w:r w:rsidRPr="007C2134">
        <w:rPr>
          <w:rFonts w:ascii="SimHei" w:eastAsia="SimHei" w:hAnsi="SimHei"/>
          <w:b w:val="0"/>
          <w:sz w:val="21"/>
        </w:rPr>
        <w:lastRenderedPageBreak/>
        <w:t>附注3：现金和现金等价物</w:t>
      </w:r>
      <w:bookmarkEnd w:id="51"/>
      <w:bookmarkEnd w:id="52"/>
      <w:bookmarkEnd w:id="53"/>
      <w:bookmarkEnd w:id="54"/>
    </w:p>
    <w:p w:rsidR="00274C9E" w:rsidRPr="007A5789" w:rsidRDefault="00612CF1" w:rsidP="0069659C">
      <w:pPr>
        <w:spacing w:afterLines="50" w:after="120" w:line="340" w:lineRule="atLeast"/>
        <w:jc w:val="center"/>
        <w:rPr>
          <w:sz w:val="21"/>
        </w:rPr>
      </w:pPr>
      <w:r w:rsidRPr="0069659C">
        <w:rPr>
          <w:noProof/>
          <w:sz w:val="21"/>
          <w:lang w:val="en-US" w:bidi="ar-SA"/>
        </w:rPr>
        <w:drawing>
          <wp:inline distT="0" distB="0" distL="0" distR="0" wp14:anchorId="2A2D8AC5" wp14:editId="303167A2">
            <wp:extent cx="5931535" cy="3856355"/>
            <wp:effectExtent l="0" t="0" r="0" b="0"/>
            <wp:docPr id="317" name="图片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31535" cy="3856355"/>
                    </a:xfrm>
                    <a:prstGeom prst="rect">
                      <a:avLst/>
                    </a:prstGeom>
                    <a:noFill/>
                    <a:ln>
                      <a:noFill/>
                    </a:ln>
                  </pic:spPr>
                </pic:pic>
              </a:graphicData>
            </a:graphic>
          </wp:inline>
        </w:drawing>
      </w:r>
    </w:p>
    <w:p w:rsidR="007A5789" w:rsidRDefault="00E05A41" w:rsidP="00134184">
      <w:pPr>
        <w:pStyle w:val="Style3"/>
        <w:numPr>
          <w:ilvl w:val="0"/>
          <w:numId w:val="12"/>
        </w:numPr>
        <w:tabs>
          <w:tab w:val="left" w:pos="770"/>
        </w:tabs>
        <w:overflowPunct w:val="0"/>
        <w:spacing w:afterLines="50" w:line="340" w:lineRule="atLeast"/>
        <w:ind w:left="0" w:firstLine="0"/>
        <w:rPr>
          <w:sz w:val="21"/>
          <w:szCs w:val="22"/>
        </w:rPr>
      </w:pPr>
      <w:r w:rsidRPr="007A5789">
        <w:rPr>
          <w:sz w:val="21"/>
        </w:rPr>
        <w:t>现金存款通常存储在可随时访问的银行账户和记息账户。2015年，本组织将大量现金存款转移至短期投资，通知期为31天或35天。这种调整是为了避免某些可随时访问的银行账户在实施负利率后产生费用。</w:t>
      </w:r>
    </w:p>
    <w:p w:rsidR="007A5789" w:rsidRDefault="00E05A41" w:rsidP="00134184">
      <w:pPr>
        <w:pStyle w:val="Style3"/>
        <w:numPr>
          <w:ilvl w:val="0"/>
          <w:numId w:val="12"/>
        </w:numPr>
        <w:tabs>
          <w:tab w:val="left" w:pos="770"/>
        </w:tabs>
        <w:overflowPunct w:val="0"/>
        <w:spacing w:afterLines="50" w:line="340" w:lineRule="atLeast"/>
        <w:ind w:left="0" w:firstLine="0"/>
        <w:rPr>
          <w:sz w:val="21"/>
          <w:szCs w:val="22"/>
        </w:rPr>
      </w:pPr>
      <w:r w:rsidRPr="007A5789">
        <w:rPr>
          <w:sz w:val="21"/>
        </w:rPr>
        <w:t>本组织继续持有瑞士联邦金融管理局</w:t>
      </w:r>
      <w:r w:rsidR="00B6014B">
        <w:rPr>
          <w:sz w:val="21"/>
        </w:rPr>
        <w:t>（</w:t>
      </w:r>
      <w:r w:rsidRPr="007A5789">
        <w:rPr>
          <w:sz w:val="21"/>
        </w:rPr>
        <w:t>AFF</w:t>
      </w:r>
      <w:r w:rsidR="00B6014B">
        <w:rPr>
          <w:sz w:val="21"/>
        </w:rPr>
        <w:t>）</w:t>
      </w:r>
      <w:r w:rsidRPr="007A5789">
        <w:rPr>
          <w:sz w:val="21"/>
        </w:rPr>
        <w:t>的存款账户。AFF执行关于开立和维持存款账户的新规定后，WIPO接到通知，自2015年年底起，WIPO不能再将存款放在AFF。但经WIPO请求，截止日期延长至2017年12月15日。根据延长的条件，WIPO不能</w:t>
      </w:r>
      <w:r w:rsidR="001A05C1" w:rsidRPr="007A5789">
        <w:rPr>
          <w:rFonts w:hint="eastAsia"/>
          <w:sz w:val="21"/>
        </w:rPr>
        <w:t>超出</w:t>
      </w:r>
      <w:r w:rsidRPr="007A5789">
        <w:rPr>
          <w:sz w:val="21"/>
        </w:rPr>
        <w:t>2015年9月底持有的存款余额。2015年1月，存在AFF的存款的利息为0.15%，</w:t>
      </w:r>
      <w:r w:rsidR="001A05C1" w:rsidRPr="007A5789">
        <w:rPr>
          <w:rFonts w:hint="eastAsia"/>
          <w:sz w:val="21"/>
        </w:rPr>
        <w:t>在当年</w:t>
      </w:r>
      <w:r w:rsidRPr="007A5789">
        <w:rPr>
          <w:sz w:val="21"/>
        </w:rPr>
        <w:t>剩余时间</w:t>
      </w:r>
      <w:r w:rsidR="001A05C1" w:rsidRPr="007A5789">
        <w:rPr>
          <w:rFonts w:hint="eastAsia"/>
          <w:sz w:val="21"/>
        </w:rPr>
        <w:t>则</w:t>
      </w:r>
      <w:r w:rsidRPr="007A5789">
        <w:rPr>
          <w:sz w:val="21"/>
        </w:rPr>
        <w:t>为0%。</w:t>
      </w:r>
    </w:p>
    <w:p w:rsidR="007A5789" w:rsidRDefault="00E05A41" w:rsidP="00134184">
      <w:pPr>
        <w:pStyle w:val="Style3"/>
        <w:numPr>
          <w:ilvl w:val="0"/>
          <w:numId w:val="12"/>
        </w:numPr>
        <w:tabs>
          <w:tab w:val="left" w:pos="770"/>
        </w:tabs>
        <w:overflowPunct w:val="0"/>
        <w:spacing w:afterLines="50" w:line="340" w:lineRule="atLeast"/>
        <w:ind w:left="0" w:firstLine="0"/>
        <w:rPr>
          <w:sz w:val="21"/>
        </w:rPr>
      </w:pPr>
      <w:r w:rsidRPr="007A5789">
        <w:rPr>
          <w:sz w:val="21"/>
        </w:rPr>
        <w:t>受限现金包括为第三方持有的往来账户。本组织为PCT、马德里及海牙体系下的申请</w:t>
      </w:r>
      <w:r w:rsidR="0069659C">
        <w:rPr>
          <w:rFonts w:hint="eastAsia"/>
          <w:sz w:val="21"/>
        </w:rPr>
        <w:t>人</w:t>
      </w:r>
      <w:r w:rsidRPr="007A5789">
        <w:rPr>
          <w:sz w:val="21"/>
        </w:rPr>
        <w:t>提供存放未来申请和续展所用资金的工具，以及为某些缔约方提供转移代表本组织所收集资金的工具。被分类为受限现金的还有由WIPO国际局受理局代表《马德里协定》和《议定书》以及《海牙协定》的缔约方以及代表PCT国际检索单位</w:t>
      </w:r>
      <w:r w:rsidR="00B6014B">
        <w:rPr>
          <w:sz w:val="21"/>
        </w:rPr>
        <w:t>（</w:t>
      </w:r>
      <w:r w:rsidRPr="007A5789">
        <w:rPr>
          <w:sz w:val="21"/>
        </w:rPr>
        <w:t>ISA</w:t>
      </w:r>
      <w:r w:rsidR="00B6014B">
        <w:rPr>
          <w:sz w:val="21"/>
        </w:rPr>
        <w:t>）</w:t>
      </w:r>
      <w:r w:rsidRPr="007A5789">
        <w:rPr>
          <w:sz w:val="21"/>
        </w:rPr>
        <w:t>所收取的</w:t>
      </w:r>
      <w:proofErr w:type="gramStart"/>
      <w:r w:rsidRPr="007A5789">
        <w:rPr>
          <w:sz w:val="21"/>
        </w:rPr>
        <w:t>规</w:t>
      </w:r>
      <w:proofErr w:type="gramEnd"/>
      <w:r w:rsidRPr="007A5789">
        <w:rPr>
          <w:sz w:val="21"/>
        </w:rPr>
        <w:t>费。此外，收到的与商标未决程序相关</w:t>
      </w:r>
      <w:r w:rsidR="0069659C">
        <w:rPr>
          <w:rFonts w:hint="eastAsia"/>
          <w:sz w:val="21"/>
        </w:rPr>
        <w:t>预付款</w:t>
      </w:r>
      <w:r w:rsidR="00B6014B">
        <w:rPr>
          <w:sz w:val="21"/>
        </w:rPr>
        <w:t>（</w:t>
      </w:r>
      <w:r w:rsidRPr="007A5789">
        <w:rPr>
          <w:sz w:val="21"/>
        </w:rPr>
        <w:t>预计向本组织缴纳的预付款</w:t>
      </w:r>
      <w:r w:rsidR="0069659C">
        <w:rPr>
          <w:rFonts w:hint="eastAsia"/>
          <w:sz w:val="21"/>
        </w:rPr>
        <w:t>部分</w:t>
      </w:r>
      <w:r w:rsidRPr="007A5789">
        <w:rPr>
          <w:sz w:val="21"/>
        </w:rPr>
        <w:t>除外</w:t>
      </w:r>
      <w:r w:rsidR="00B6014B">
        <w:rPr>
          <w:sz w:val="21"/>
        </w:rPr>
        <w:t>）</w:t>
      </w:r>
      <w:r w:rsidRPr="007A5789">
        <w:rPr>
          <w:sz w:val="21"/>
        </w:rPr>
        <w:t>，为代表第三方收取的资金，被认为是受限制资金。</w:t>
      </w:r>
    </w:p>
    <w:p w:rsidR="007A5789" w:rsidRDefault="00534DA0" w:rsidP="00134184">
      <w:pPr>
        <w:pStyle w:val="Style3"/>
        <w:numPr>
          <w:ilvl w:val="0"/>
          <w:numId w:val="12"/>
        </w:numPr>
        <w:tabs>
          <w:tab w:val="left" w:pos="770"/>
        </w:tabs>
        <w:overflowPunct w:val="0"/>
        <w:spacing w:afterLines="50" w:line="340" w:lineRule="atLeast"/>
        <w:ind w:left="0" w:firstLine="0"/>
        <w:rPr>
          <w:sz w:val="21"/>
        </w:rPr>
      </w:pPr>
      <w:r w:rsidRPr="007A5789">
        <w:rPr>
          <w:sz w:val="21"/>
        </w:rPr>
        <w:t>本组织持有未来离职后雇员福利负债融资资金，包括ASHI。这些资金存放在独立的银行账户中并被分类为受限现金。截至2015年12月31日，存放在独立银行账户中的这些资金的余额为8,890</w:t>
      </w:r>
      <w:proofErr w:type="gramStart"/>
      <w:r w:rsidRPr="007A5789">
        <w:rPr>
          <w:sz w:val="21"/>
        </w:rPr>
        <w:t>万瑞</w:t>
      </w:r>
      <w:proofErr w:type="gramEnd"/>
      <w:r w:rsidRPr="007A5789">
        <w:rPr>
          <w:sz w:val="21"/>
        </w:rPr>
        <w:t>郎。2015年，用于为离职后雇员福利融资的员额成本计提产生1,320</w:t>
      </w:r>
      <w:proofErr w:type="gramStart"/>
      <w:r w:rsidRPr="007A5789">
        <w:rPr>
          <w:sz w:val="21"/>
        </w:rPr>
        <w:t>万瑞</w:t>
      </w:r>
      <w:proofErr w:type="gramEnd"/>
      <w:r w:rsidRPr="007A5789">
        <w:rPr>
          <w:sz w:val="21"/>
        </w:rPr>
        <w:t>郎的额外资金。这些资金将于2016年转入独立的银行账户。</w:t>
      </w:r>
    </w:p>
    <w:p w:rsidR="00E05A41" w:rsidRPr="007A5789" w:rsidRDefault="00E05A41" w:rsidP="00134184">
      <w:pPr>
        <w:pStyle w:val="Style3"/>
        <w:numPr>
          <w:ilvl w:val="0"/>
          <w:numId w:val="12"/>
        </w:numPr>
        <w:tabs>
          <w:tab w:val="left" w:pos="770"/>
        </w:tabs>
        <w:overflowPunct w:val="0"/>
        <w:spacing w:afterLines="50" w:line="340" w:lineRule="atLeast"/>
        <w:ind w:left="0" w:firstLine="0"/>
        <w:rPr>
          <w:sz w:val="21"/>
          <w:szCs w:val="22"/>
        </w:rPr>
      </w:pPr>
      <w:r w:rsidRPr="007A5789">
        <w:rPr>
          <w:sz w:val="21"/>
        </w:rPr>
        <w:t>根据与信托基金捐助方的约定，代表自愿捐助的捐助人持有的特别账户被分类为受限现金并以报告</w:t>
      </w:r>
      <w:r w:rsidR="00D1421A" w:rsidRPr="007A5789">
        <w:rPr>
          <w:sz w:val="21"/>
        </w:rPr>
        <w:t>支出</w:t>
      </w:r>
      <w:r w:rsidR="00D1421A" w:rsidRPr="007A5789">
        <w:rPr>
          <w:rFonts w:hint="eastAsia"/>
          <w:sz w:val="21"/>
        </w:rPr>
        <w:t>时</w:t>
      </w:r>
      <w:r w:rsidR="00D1421A" w:rsidRPr="007A5789">
        <w:rPr>
          <w:sz w:val="21"/>
        </w:rPr>
        <w:t>使用</w:t>
      </w:r>
      <w:r w:rsidRPr="007A5789">
        <w:rPr>
          <w:sz w:val="21"/>
        </w:rPr>
        <w:t>的币种存储。</w:t>
      </w:r>
      <w:bookmarkStart w:id="55" w:name="_Toc441218492"/>
    </w:p>
    <w:p w:rsidR="004C08E2" w:rsidRPr="007C2134" w:rsidRDefault="004C08E2" w:rsidP="007C2134">
      <w:pPr>
        <w:pStyle w:val="3"/>
        <w:overflowPunct w:val="0"/>
        <w:spacing w:beforeLines="100" w:afterLines="50" w:after="120" w:line="340" w:lineRule="atLeast"/>
        <w:rPr>
          <w:rFonts w:ascii="SimHei" w:eastAsia="SimHei" w:hAnsi="SimHei"/>
          <w:b w:val="0"/>
          <w:sz w:val="21"/>
        </w:rPr>
      </w:pPr>
      <w:bookmarkStart w:id="56" w:name="_Toc455733223"/>
      <w:bookmarkStart w:id="57" w:name="_Toc456697872"/>
      <w:bookmarkStart w:id="58" w:name="_Toc456711738"/>
      <w:r w:rsidRPr="007C2134">
        <w:rPr>
          <w:rFonts w:ascii="SimHei" w:eastAsia="SimHei" w:hAnsi="SimHei"/>
          <w:b w:val="0"/>
          <w:sz w:val="21"/>
        </w:rPr>
        <w:lastRenderedPageBreak/>
        <w:t>附注4：应收账款、预付款和预付项目</w:t>
      </w:r>
      <w:bookmarkEnd w:id="55"/>
      <w:bookmarkEnd w:id="56"/>
      <w:bookmarkEnd w:id="57"/>
      <w:bookmarkEnd w:id="58"/>
    </w:p>
    <w:p w:rsidR="00274C9E" w:rsidRPr="007A5789" w:rsidRDefault="00612CF1" w:rsidP="00B87A4B">
      <w:pPr>
        <w:spacing w:afterLines="50" w:after="120" w:line="340" w:lineRule="atLeast"/>
        <w:jc w:val="center"/>
        <w:rPr>
          <w:sz w:val="21"/>
        </w:rPr>
      </w:pPr>
      <w:r w:rsidRPr="00EF7E79">
        <w:rPr>
          <w:noProof/>
          <w:sz w:val="21"/>
          <w:lang w:val="en-US" w:bidi="ar-SA"/>
        </w:rPr>
        <w:drawing>
          <wp:inline distT="0" distB="0" distL="0" distR="0" wp14:anchorId="78855169" wp14:editId="2D913291">
            <wp:extent cx="5931535" cy="7362825"/>
            <wp:effectExtent l="0" t="0" r="0" b="0"/>
            <wp:docPr id="318" name="图片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31535" cy="7362825"/>
                    </a:xfrm>
                    <a:prstGeom prst="rect">
                      <a:avLst/>
                    </a:prstGeom>
                    <a:noFill/>
                    <a:ln>
                      <a:noFill/>
                    </a:ln>
                  </pic:spPr>
                </pic:pic>
              </a:graphicData>
            </a:graphic>
          </wp:inline>
        </w:drawing>
      </w:r>
    </w:p>
    <w:p w:rsidR="007A5789" w:rsidRDefault="00534DA0" w:rsidP="00134184">
      <w:pPr>
        <w:pStyle w:val="Style3"/>
        <w:numPr>
          <w:ilvl w:val="0"/>
          <w:numId w:val="13"/>
        </w:numPr>
        <w:tabs>
          <w:tab w:val="left" w:pos="770"/>
        </w:tabs>
        <w:overflowPunct w:val="0"/>
        <w:spacing w:afterLines="50" w:line="340" w:lineRule="atLeast"/>
        <w:ind w:left="0" w:firstLine="0"/>
        <w:rPr>
          <w:sz w:val="21"/>
        </w:rPr>
      </w:pPr>
      <w:r w:rsidRPr="007A5789">
        <w:rPr>
          <w:sz w:val="21"/>
        </w:rPr>
        <w:t>分摊会费为WIPO单一会费制度的未收收入，由成员国大会和WIPO管理的各联盟批准。成员国大会设定以瑞士法郎计</w:t>
      </w:r>
      <w:r w:rsidR="00DE47C7" w:rsidRPr="007A5789">
        <w:rPr>
          <w:rFonts w:hint="eastAsia"/>
          <w:sz w:val="21"/>
        </w:rPr>
        <w:t>算</w:t>
      </w:r>
      <w:r w:rsidRPr="007A5789">
        <w:rPr>
          <w:sz w:val="21"/>
        </w:rPr>
        <w:t>的会费单位数值，并确定两年期财政年度预算。每一会费等级要求缴纳具体数量的会费单位。除某些发展中国家自动列入三个特殊等级之一之外，成员国自由选择确定其缴纳会费基准的等级。</w:t>
      </w:r>
    </w:p>
    <w:p w:rsidR="007A5789" w:rsidRDefault="00534DA0" w:rsidP="00134184">
      <w:pPr>
        <w:pStyle w:val="Style3"/>
        <w:numPr>
          <w:ilvl w:val="0"/>
          <w:numId w:val="13"/>
        </w:numPr>
        <w:tabs>
          <w:tab w:val="left" w:pos="770"/>
        </w:tabs>
        <w:overflowPunct w:val="0"/>
        <w:spacing w:afterLines="50" w:line="340" w:lineRule="atLeast"/>
        <w:ind w:left="0" w:firstLine="0"/>
        <w:rPr>
          <w:sz w:val="21"/>
          <w:szCs w:val="22"/>
        </w:rPr>
      </w:pPr>
      <w:r w:rsidRPr="007A5789">
        <w:rPr>
          <w:sz w:val="21"/>
        </w:rPr>
        <w:lastRenderedPageBreak/>
        <w:t>设立了</w:t>
      </w:r>
      <w:proofErr w:type="gramStart"/>
      <w:r w:rsidRPr="007A5789">
        <w:rPr>
          <w:sz w:val="21"/>
        </w:rPr>
        <w:t>一项备抵金</w:t>
      </w:r>
      <w:proofErr w:type="gramEnd"/>
      <w:r w:rsidRPr="007A5789">
        <w:rPr>
          <w:sz w:val="21"/>
        </w:rPr>
        <w:t>，用以抵</w:t>
      </w:r>
      <w:r w:rsidR="00360370" w:rsidRPr="007A5789">
        <w:rPr>
          <w:rFonts w:hint="eastAsia"/>
          <w:sz w:val="21"/>
        </w:rPr>
        <w:t>消</w:t>
      </w:r>
      <w:r w:rsidRPr="007A5789">
        <w:rPr>
          <w:sz w:val="21"/>
        </w:rPr>
        <w:t>分摊会费应收账款和涉及1994年采用单一会费之前各联盟欠付的应收周转基金会费两种数值。</w:t>
      </w:r>
      <w:proofErr w:type="gramStart"/>
      <w:r w:rsidRPr="007A5789">
        <w:rPr>
          <w:sz w:val="21"/>
        </w:rPr>
        <w:t>这项备抵金</w:t>
      </w:r>
      <w:proofErr w:type="gramEnd"/>
      <w:r w:rsidR="00134E5A" w:rsidRPr="007A5789">
        <w:rPr>
          <w:rFonts w:hint="eastAsia"/>
          <w:sz w:val="21"/>
        </w:rPr>
        <w:t>用于</w:t>
      </w:r>
      <w:r w:rsidRPr="007A5789">
        <w:rPr>
          <w:sz w:val="21"/>
        </w:rPr>
        <w:t>支付根据</w:t>
      </w:r>
      <w:r w:rsidR="006118F6" w:rsidRPr="007A5789">
        <w:rPr>
          <w:rFonts w:hint="eastAsia"/>
          <w:sz w:val="21"/>
        </w:rPr>
        <w:t>《</w:t>
      </w:r>
      <w:r w:rsidRPr="007A5789">
        <w:rPr>
          <w:sz w:val="21"/>
        </w:rPr>
        <w:t>WIPO公约</w:t>
      </w:r>
      <w:r w:rsidR="00134E5A" w:rsidRPr="007A5789">
        <w:rPr>
          <w:rFonts w:hint="eastAsia"/>
          <w:sz w:val="21"/>
        </w:rPr>
        <w:t>》</w:t>
      </w:r>
      <w:r w:rsidRPr="007A5789">
        <w:rPr>
          <w:sz w:val="21"/>
        </w:rPr>
        <w:t>第11条第5</w:t>
      </w:r>
      <w:r w:rsidR="00134E5A" w:rsidRPr="007A5789">
        <w:rPr>
          <w:rFonts w:hint="eastAsia"/>
          <w:sz w:val="21"/>
        </w:rPr>
        <w:t>款</w:t>
      </w:r>
      <w:r w:rsidRPr="007A5789">
        <w:rPr>
          <w:sz w:val="21"/>
        </w:rPr>
        <w:t>已丧失选举权的成员国欠交数额和大会决定冻结的最不发达国家的会费。截至2015年12月31日，</w:t>
      </w:r>
      <w:proofErr w:type="gramStart"/>
      <w:r w:rsidRPr="007A5789">
        <w:rPr>
          <w:sz w:val="21"/>
        </w:rPr>
        <w:t>备抵金</w:t>
      </w:r>
      <w:proofErr w:type="gramEnd"/>
      <w:r w:rsidRPr="007A5789">
        <w:rPr>
          <w:sz w:val="21"/>
        </w:rPr>
        <w:t>总计为630</w:t>
      </w:r>
      <w:proofErr w:type="gramStart"/>
      <w:r w:rsidRPr="007A5789">
        <w:rPr>
          <w:sz w:val="21"/>
        </w:rPr>
        <w:t>万瑞</w:t>
      </w:r>
      <w:proofErr w:type="gramEnd"/>
      <w:r w:rsidRPr="007A5789">
        <w:rPr>
          <w:sz w:val="21"/>
        </w:rPr>
        <w:t>郎[截至2014年12月31日为680</w:t>
      </w:r>
      <w:proofErr w:type="gramStart"/>
      <w:r w:rsidRPr="007A5789">
        <w:rPr>
          <w:sz w:val="21"/>
        </w:rPr>
        <w:t>万瑞</w:t>
      </w:r>
      <w:proofErr w:type="gramEnd"/>
      <w:r w:rsidRPr="007A5789">
        <w:rPr>
          <w:sz w:val="21"/>
        </w:rPr>
        <w:t>郎]。</w:t>
      </w:r>
    </w:p>
    <w:p w:rsidR="007A5789" w:rsidRDefault="00534DA0" w:rsidP="00134184">
      <w:pPr>
        <w:pStyle w:val="Style3"/>
        <w:numPr>
          <w:ilvl w:val="0"/>
          <w:numId w:val="13"/>
        </w:numPr>
        <w:tabs>
          <w:tab w:val="left" w:pos="770"/>
        </w:tabs>
        <w:overflowPunct w:val="0"/>
        <w:spacing w:afterLines="50" w:line="340" w:lineRule="atLeast"/>
        <w:ind w:left="0" w:firstLine="0"/>
        <w:rPr>
          <w:sz w:val="21"/>
          <w:szCs w:val="22"/>
        </w:rPr>
      </w:pPr>
      <w:r w:rsidRPr="007A5789">
        <w:rPr>
          <w:sz w:val="21"/>
        </w:rPr>
        <w:t>PCT</w:t>
      </w:r>
      <w:r w:rsidR="00134E5A" w:rsidRPr="007A5789">
        <w:rPr>
          <w:rFonts w:hint="eastAsia"/>
          <w:sz w:val="21"/>
        </w:rPr>
        <w:t>应收</w:t>
      </w:r>
      <w:r w:rsidR="00134E5A" w:rsidRPr="007A5789">
        <w:rPr>
          <w:sz w:val="21"/>
        </w:rPr>
        <w:t>款项</w:t>
      </w:r>
      <w:r w:rsidRPr="007A5789">
        <w:rPr>
          <w:sz w:val="21"/>
        </w:rPr>
        <w:t>指的是在报告日期之前提交的PCT申请的未付国际申请</w:t>
      </w:r>
      <w:proofErr w:type="gramStart"/>
      <w:r w:rsidRPr="007A5789">
        <w:rPr>
          <w:sz w:val="21"/>
        </w:rPr>
        <w:t>规</w:t>
      </w:r>
      <w:proofErr w:type="gramEnd"/>
      <w:r w:rsidRPr="007A5789">
        <w:rPr>
          <w:sz w:val="21"/>
        </w:rPr>
        <w:t>费。包括对国家受理局在报告日之前收到但不是在报告日之前传递给本组织PCT国际局的国际专利申请的估算。</w:t>
      </w:r>
    </w:p>
    <w:p w:rsidR="007A5789" w:rsidRDefault="00534DA0" w:rsidP="00134184">
      <w:pPr>
        <w:pStyle w:val="Style3"/>
        <w:numPr>
          <w:ilvl w:val="0"/>
          <w:numId w:val="13"/>
        </w:numPr>
        <w:tabs>
          <w:tab w:val="left" w:pos="770"/>
        </w:tabs>
        <w:overflowPunct w:val="0"/>
        <w:spacing w:afterLines="50" w:line="340" w:lineRule="atLeast"/>
        <w:ind w:left="0" w:firstLine="0"/>
        <w:rPr>
          <w:sz w:val="21"/>
          <w:szCs w:val="22"/>
        </w:rPr>
      </w:pPr>
      <w:r w:rsidRPr="007A5789">
        <w:rPr>
          <w:sz w:val="21"/>
        </w:rPr>
        <w:t>国际工作人员，居住在其本国的除外，均可领取一笔补助金，这笔补助金可以支付75.0%的受抚养子女教育费，直至高等教育学习的第四年为止，但是不能超过每一子女年满25周岁这一学年</w:t>
      </w:r>
      <w:r w:rsidR="009876C5" w:rsidRPr="007A5789">
        <w:rPr>
          <w:rFonts w:hint="eastAsia"/>
          <w:sz w:val="21"/>
        </w:rPr>
        <w:t>的</w:t>
      </w:r>
      <w:r w:rsidRPr="007A5789">
        <w:rPr>
          <w:sz w:val="21"/>
        </w:rPr>
        <w:t>年底。为每一国家设立了最高补助金限额。国际工作人员可以领取一笔预付金，这笔预付金相当每一子女在入学之初教育补助金的估算金额。工作人员教育补助金预付款为2015-2016学年的补助金总额。</w:t>
      </w:r>
    </w:p>
    <w:p w:rsidR="007A5789" w:rsidRDefault="00534DA0" w:rsidP="00134184">
      <w:pPr>
        <w:pStyle w:val="Style3"/>
        <w:numPr>
          <w:ilvl w:val="0"/>
          <w:numId w:val="13"/>
        </w:numPr>
        <w:tabs>
          <w:tab w:val="left" w:pos="770"/>
        </w:tabs>
        <w:overflowPunct w:val="0"/>
        <w:spacing w:afterLines="50" w:line="340" w:lineRule="atLeast"/>
        <w:ind w:left="0" w:firstLine="0"/>
        <w:rPr>
          <w:sz w:val="21"/>
          <w:szCs w:val="22"/>
        </w:rPr>
      </w:pPr>
      <w:r w:rsidRPr="007A5789">
        <w:rPr>
          <w:sz w:val="21"/>
        </w:rPr>
        <w:t>向联合国开发计划署</w:t>
      </w:r>
      <w:r w:rsidR="00B6014B">
        <w:rPr>
          <w:sz w:val="21"/>
        </w:rPr>
        <w:t>（</w:t>
      </w:r>
      <w:r w:rsidRPr="007A5789">
        <w:rPr>
          <w:sz w:val="21"/>
        </w:rPr>
        <w:t>UNDP</w:t>
      </w:r>
      <w:r w:rsidR="00B6014B">
        <w:rPr>
          <w:sz w:val="21"/>
        </w:rPr>
        <w:t>）</w:t>
      </w:r>
      <w:r w:rsidRPr="007A5789">
        <w:rPr>
          <w:sz w:val="21"/>
        </w:rPr>
        <w:t>预付的资金被用来以本组织名义付款。所显示的债务总额包括因付款尚未收到确认或付款确认正在被验证过程中而向UNDP提出的要求数额。国际植物新品种保护联盟</w:t>
      </w:r>
      <w:r w:rsidR="00B6014B">
        <w:rPr>
          <w:sz w:val="21"/>
        </w:rPr>
        <w:t>（</w:t>
      </w:r>
      <w:r w:rsidRPr="007A5789">
        <w:rPr>
          <w:sz w:val="21"/>
        </w:rPr>
        <w:t>UPOV</w:t>
      </w:r>
      <w:r w:rsidR="00B6014B">
        <w:rPr>
          <w:sz w:val="21"/>
        </w:rPr>
        <w:t>）</w:t>
      </w:r>
      <w:r w:rsidRPr="007A5789">
        <w:rPr>
          <w:sz w:val="21"/>
        </w:rPr>
        <w:t>可补偿支出是本组织代表UPOV支付但尚未收到还款的款项。</w:t>
      </w:r>
    </w:p>
    <w:p w:rsidR="00274C9E" w:rsidRPr="007A5789" w:rsidRDefault="00ED56EC" w:rsidP="00134184">
      <w:pPr>
        <w:pStyle w:val="Style3"/>
        <w:numPr>
          <w:ilvl w:val="0"/>
          <w:numId w:val="13"/>
        </w:numPr>
        <w:tabs>
          <w:tab w:val="left" w:pos="770"/>
        </w:tabs>
        <w:overflowPunct w:val="0"/>
        <w:spacing w:afterLines="50" w:line="340" w:lineRule="atLeast"/>
        <w:ind w:left="0" w:firstLine="0"/>
        <w:rPr>
          <w:sz w:val="21"/>
          <w:szCs w:val="22"/>
        </w:rPr>
      </w:pPr>
      <w:r w:rsidRPr="007A5789">
        <w:rPr>
          <w:sz w:val="21"/>
        </w:rPr>
        <w:t>应退美国税款指的是为缴纳美利坚合众国的所得税而代表WIPO雇佣的美国公民向美国当局预付的款项。根据本组织与美利坚合众国之间的协议，这些税款将向本组织偿还。应退美国税款是以摊销成本计量，并按照历史支付模式计算。瑞士可偿还税款包括支付VAT、印花税和瑞士联邦预扣税款。根据本组织与瑞士政府的总部协定，本组织具有被偿还税款资格。</w:t>
      </w:r>
    </w:p>
    <w:p w:rsidR="007A5789" w:rsidRPr="007C2134" w:rsidRDefault="004C08E2" w:rsidP="007C2134">
      <w:pPr>
        <w:pStyle w:val="3"/>
        <w:overflowPunct w:val="0"/>
        <w:spacing w:beforeLines="100" w:afterLines="50" w:after="120" w:line="340" w:lineRule="atLeast"/>
        <w:rPr>
          <w:rFonts w:ascii="SimHei" w:eastAsia="SimHei" w:hAnsi="SimHei"/>
          <w:b w:val="0"/>
          <w:sz w:val="21"/>
        </w:rPr>
      </w:pPr>
      <w:bookmarkStart w:id="59" w:name="_Toc441218493"/>
      <w:bookmarkStart w:id="60" w:name="_Toc455733224"/>
      <w:bookmarkStart w:id="61" w:name="_Toc456697873"/>
      <w:bookmarkStart w:id="62" w:name="_Toc456711739"/>
      <w:r w:rsidRPr="007C2134">
        <w:rPr>
          <w:rFonts w:ascii="SimHei" w:eastAsia="SimHei" w:hAnsi="SimHei"/>
          <w:b w:val="0"/>
          <w:sz w:val="21"/>
        </w:rPr>
        <w:t>附注5：库存</w:t>
      </w:r>
      <w:bookmarkEnd w:id="59"/>
      <w:bookmarkEnd w:id="60"/>
      <w:bookmarkEnd w:id="61"/>
      <w:bookmarkEnd w:id="62"/>
    </w:p>
    <w:p w:rsidR="00274C9E" w:rsidRPr="007A5789" w:rsidRDefault="00612CF1" w:rsidP="0069659C">
      <w:pPr>
        <w:spacing w:afterLines="50" w:after="120" w:line="340" w:lineRule="atLeast"/>
        <w:jc w:val="center"/>
        <w:rPr>
          <w:sz w:val="21"/>
        </w:rPr>
      </w:pPr>
      <w:r w:rsidRPr="00EF7E79">
        <w:rPr>
          <w:noProof/>
          <w:sz w:val="21"/>
          <w:lang w:val="en-US" w:bidi="ar-SA"/>
        </w:rPr>
        <w:drawing>
          <wp:inline distT="0" distB="0" distL="0" distR="0" wp14:anchorId="5A90994E" wp14:editId="78561B47">
            <wp:extent cx="5804535" cy="1654175"/>
            <wp:effectExtent l="0" t="0" r="5715" b="0"/>
            <wp:docPr id="319" name="图片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804535" cy="1654175"/>
                    </a:xfrm>
                    <a:prstGeom prst="rect">
                      <a:avLst/>
                    </a:prstGeom>
                    <a:noFill/>
                    <a:ln>
                      <a:noFill/>
                    </a:ln>
                  </pic:spPr>
                </pic:pic>
              </a:graphicData>
            </a:graphic>
          </wp:inline>
        </w:drawing>
      </w:r>
    </w:p>
    <w:p w:rsidR="004B1BE2" w:rsidRPr="007A5789" w:rsidRDefault="00534DA0" w:rsidP="00134184">
      <w:pPr>
        <w:pStyle w:val="af"/>
        <w:numPr>
          <w:ilvl w:val="0"/>
          <w:numId w:val="14"/>
        </w:numPr>
        <w:tabs>
          <w:tab w:val="left" w:pos="770"/>
        </w:tabs>
        <w:overflowPunct w:val="0"/>
        <w:spacing w:afterLines="50" w:after="120" w:line="340" w:lineRule="atLeast"/>
        <w:ind w:left="0" w:firstLine="0"/>
        <w:rPr>
          <w:rStyle w:val="Style3Char"/>
          <w:sz w:val="21"/>
          <w:szCs w:val="22"/>
        </w:rPr>
      </w:pPr>
      <w:r w:rsidRPr="007A5789">
        <w:rPr>
          <w:rStyle w:val="Style3Char"/>
          <w:sz w:val="21"/>
        </w:rPr>
        <w:t>成品出版物的库存到可实现净值的减值达到27,000瑞郎</w:t>
      </w:r>
      <w:r w:rsidR="00B6014B">
        <w:rPr>
          <w:rStyle w:val="Style3Char"/>
          <w:sz w:val="21"/>
        </w:rPr>
        <w:t>（</w:t>
      </w:r>
      <w:r w:rsidRPr="007A5789">
        <w:rPr>
          <w:rStyle w:val="Style3Char"/>
          <w:sz w:val="21"/>
        </w:rPr>
        <w:t>2014年为59,000瑞郎</w:t>
      </w:r>
      <w:r w:rsidR="00B6014B">
        <w:rPr>
          <w:rStyle w:val="Style3Char"/>
          <w:sz w:val="21"/>
        </w:rPr>
        <w:t>）</w:t>
      </w:r>
      <w:r w:rsidRPr="007A5789">
        <w:rPr>
          <w:rStyle w:val="Style3Char"/>
          <w:sz w:val="21"/>
        </w:rPr>
        <w:t>。没有出现任何减值的逆转。</w:t>
      </w:r>
    </w:p>
    <w:p w:rsidR="007A5789" w:rsidRPr="007C2134" w:rsidRDefault="004C08E2" w:rsidP="007C2134">
      <w:pPr>
        <w:pStyle w:val="3"/>
        <w:overflowPunct w:val="0"/>
        <w:spacing w:beforeLines="100" w:afterLines="50" w:after="120" w:line="340" w:lineRule="atLeast"/>
        <w:rPr>
          <w:rFonts w:ascii="SimHei" w:eastAsia="SimHei" w:hAnsi="SimHei"/>
          <w:b w:val="0"/>
          <w:sz w:val="21"/>
        </w:rPr>
      </w:pPr>
      <w:bookmarkStart w:id="63" w:name="_Toc441218494"/>
      <w:bookmarkStart w:id="64" w:name="_Toc455733225"/>
      <w:bookmarkStart w:id="65" w:name="_Toc456697874"/>
      <w:bookmarkStart w:id="66" w:name="_Toc456711740"/>
      <w:r w:rsidRPr="007C2134">
        <w:rPr>
          <w:rFonts w:ascii="SimHei" w:eastAsia="SimHei" w:hAnsi="SimHei"/>
          <w:b w:val="0"/>
          <w:sz w:val="21"/>
        </w:rPr>
        <w:lastRenderedPageBreak/>
        <w:t>附注6：设备</w:t>
      </w:r>
      <w:bookmarkEnd w:id="63"/>
      <w:bookmarkEnd w:id="64"/>
      <w:bookmarkEnd w:id="65"/>
      <w:bookmarkEnd w:id="66"/>
    </w:p>
    <w:p w:rsidR="00A62F43" w:rsidRPr="007A5789" w:rsidRDefault="00612CF1" w:rsidP="00612CF1">
      <w:pPr>
        <w:spacing w:afterLines="50" w:after="120" w:line="340" w:lineRule="atLeast"/>
        <w:jc w:val="center"/>
        <w:rPr>
          <w:sz w:val="21"/>
        </w:rPr>
      </w:pPr>
      <w:r w:rsidRPr="00EF7E79">
        <w:rPr>
          <w:noProof/>
          <w:sz w:val="21"/>
          <w:lang w:val="en-US" w:bidi="ar-SA"/>
        </w:rPr>
        <w:drawing>
          <wp:inline distT="0" distB="0" distL="0" distR="0" wp14:anchorId="23BCBDE5" wp14:editId="1ACDB4F0">
            <wp:extent cx="5940425" cy="3539272"/>
            <wp:effectExtent l="0" t="0" r="3175" b="0"/>
            <wp:docPr id="320" name="图片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40425" cy="3539272"/>
                    </a:xfrm>
                    <a:prstGeom prst="rect">
                      <a:avLst/>
                    </a:prstGeom>
                    <a:noFill/>
                    <a:ln>
                      <a:noFill/>
                    </a:ln>
                  </pic:spPr>
                </pic:pic>
              </a:graphicData>
            </a:graphic>
          </wp:inline>
        </w:drawing>
      </w:r>
    </w:p>
    <w:p w:rsidR="00D52684" w:rsidRPr="007A5789" w:rsidRDefault="00612CF1" w:rsidP="00612CF1">
      <w:pPr>
        <w:spacing w:afterLines="50" w:after="120" w:line="340" w:lineRule="atLeast"/>
        <w:jc w:val="center"/>
        <w:rPr>
          <w:sz w:val="21"/>
        </w:rPr>
      </w:pPr>
      <w:r w:rsidRPr="00EF7E79">
        <w:rPr>
          <w:noProof/>
          <w:sz w:val="21"/>
          <w:lang w:val="en-US" w:bidi="ar-SA"/>
        </w:rPr>
        <w:drawing>
          <wp:inline distT="0" distB="0" distL="0" distR="0" wp14:anchorId="6CCC4687" wp14:editId="73BA9B9B">
            <wp:extent cx="5940425" cy="3404893"/>
            <wp:effectExtent l="0" t="0" r="3175" b="0"/>
            <wp:docPr id="321" name="图片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40425" cy="3404893"/>
                    </a:xfrm>
                    <a:prstGeom prst="rect">
                      <a:avLst/>
                    </a:prstGeom>
                    <a:noFill/>
                    <a:ln>
                      <a:noFill/>
                    </a:ln>
                  </pic:spPr>
                </pic:pic>
              </a:graphicData>
            </a:graphic>
          </wp:inline>
        </w:drawing>
      </w:r>
    </w:p>
    <w:p w:rsidR="004B1BE2" w:rsidRPr="007A5789" w:rsidRDefault="00EF30E4" w:rsidP="002C437E">
      <w:pPr>
        <w:pStyle w:val="af"/>
        <w:overflowPunct w:val="0"/>
        <w:spacing w:afterLines="50" w:after="120" w:line="340" w:lineRule="atLeast"/>
        <w:ind w:left="0"/>
        <w:jc w:val="both"/>
        <w:rPr>
          <w:sz w:val="21"/>
          <w:szCs w:val="22"/>
        </w:rPr>
      </w:pPr>
      <w:r w:rsidRPr="007A5789">
        <w:rPr>
          <w:sz w:val="21"/>
        </w:rPr>
        <w:t>6.1</w:t>
      </w:r>
      <w:r w:rsidR="002C437E">
        <w:rPr>
          <w:rFonts w:hint="eastAsia"/>
          <w:sz w:val="21"/>
        </w:rPr>
        <w:t>.</w:t>
      </w:r>
      <w:r w:rsidR="002C437E">
        <w:rPr>
          <w:rFonts w:hint="eastAsia"/>
          <w:sz w:val="21"/>
        </w:rPr>
        <w:tab/>
      </w:r>
      <w:r w:rsidRPr="00742D22">
        <w:rPr>
          <w:sz w:val="21"/>
        </w:rPr>
        <w:t>所有库存设备的价值根据直线法按成本计账，减去折旧。</w:t>
      </w:r>
      <w:r w:rsidRPr="007A5789">
        <w:rPr>
          <w:sz w:val="21"/>
        </w:rPr>
        <w:t>家具和陈设以十年使用寿命期计算折旧。所有其他设备以五年使用寿命计算折旧。截至2015年12月31日，WIPO持有仍在使用的完全折旧设备的账面金额总值为1,030</w:t>
      </w:r>
      <w:proofErr w:type="gramStart"/>
      <w:r w:rsidRPr="007A5789">
        <w:rPr>
          <w:sz w:val="21"/>
        </w:rPr>
        <w:t>万瑞</w:t>
      </w:r>
      <w:proofErr w:type="gramEnd"/>
      <w:r w:rsidRPr="007A5789">
        <w:rPr>
          <w:sz w:val="21"/>
        </w:rPr>
        <w:t>郎。包括捐赠的艺术作品在内的遗产资产在财务状况报表中不列为资产。</w:t>
      </w:r>
    </w:p>
    <w:p w:rsidR="007A5789" w:rsidRPr="007C2134" w:rsidRDefault="004C08E2" w:rsidP="007C2134">
      <w:pPr>
        <w:pStyle w:val="3"/>
        <w:overflowPunct w:val="0"/>
        <w:spacing w:beforeLines="100" w:afterLines="50" w:after="120" w:line="340" w:lineRule="atLeast"/>
        <w:rPr>
          <w:rFonts w:ascii="SimHei" w:eastAsia="SimHei" w:hAnsi="SimHei"/>
          <w:b w:val="0"/>
          <w:sz w:val="21"/>
        </w:rPr>
      </w:pPr>
      <w:bookmarkStart w:id="67" w:name="_Toc441218495"/>
      <w:bookmarkStart w:id="68" w:name="_Toc455733226"/>
      <w:bookmarkStart w:id="69" w:name="_Toc456697875"/>
      <w:bookmarkStart w:id="70" w:name="_Toc456711741"/>
      <w:r w:rsidRPr="007C2134">
        <w:rPr>
          <w:rFonts w:ascii="SimHei" w:eastAsia="SimHei" w:hAnsi="SimHei"/>
          <w:b w:val="0"/>
          <w:sz w:val="21"/>
        </w:rPr>
        <w:lastRenderedPageBreak/>
        <w:t>附注7：投资财产</w:t>
      </w:r>
      <w:bookmarkEnd w:id="67"/>
      <w:bookmarkEnd w:id="68"/>
      <w:bookmarkEnd w:id="69"/>
      <w:bookmarkEnd w:id="70"/>
    </w:p>
    <w:p w:rsidR="00274C9E" w:rsidRPr="007A5789" w:rsidRDefault="00612CF1" w:rsidP="00B87A4B">
      <w:pPr>
        <w:spacing w:afterLines="50" w:after="120" w:line="340" w:lineRule="atLeast"/>
        <w:jc w:val="center"/>
        <w:rPr>
          <w:sz w:val="21"/>
        </w:rPr>
      </w:pPr>
      <w:r w:rsidRPr="00EF7E79">
        <w:rPr>
          <w:noProof/>
          <w:sz w:val="21"/>
          <w:lang w:val="en-US" w:bidi="ar-SA"/>
        </w:rPr>
        <w:drawing>
          <wp:inline distT="0" distB="0" distL="0" distR="0" wp14:anchorId="1D4B8A30" wp14:editId="760106AF">
            <wp:extent cx="5931535" cy="1534795"/>
            <wp:effectExtent l="0" t="0" r="0" b="8255"/>
            <wp:docPr id="322" name="图片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31535" cy="1534795"/>
                    </a:xfrm>
                    <a:prstGeom prst="rect">
                      <a:avLst/>
                    </a:prstGeom>
                    <a:noFill/>
                    <a:ln>
                      <a:noFill/>
                    </a:ln>
                  </pic:spPr>
                </pic:pic>
              </a:graphicData>
            </a:graphic>
          </wp:inline>
        </w:drawing>
      </w:r>
    </w:p>
    <w:p w:rsidR="007A5789" w:rsidRDefault="00CB2A7C" w:rsidP="00134184">
      <w:pPr>
        <w:pStyle w:val="af"/>
        <w:numPr>
          <w:ilvl w:val="0"/>
          <w:numId w:val="15"/>
        </w:numPr>
        <w:tabs>
          <w:tab w:val="left" w:pos="770"/>
        </w:tabs>
        <w:overflowPunct w:val="0"/>
        <w:spacing w:afterLines="50" w:after="120" w:line="340" w:lineRule="atLeast"/>
        <w:ind w:left="0" w:firstLine="0"/>
        <w:jc w:val="both"/>
        <w:rPr>
          <w:sz w:val="21"/>
        </w:rPr>
      </w:pPr>
      <w:r w:rsidRPr="007A5789">
        <w:rPr>
          <w:sz w:val="21"/>
        </w:rPr>
        <w:t>本组织1974年在瑞士日内瓦州Meyrin获得一项投资财产。该建筑物于1964年首次投入使用。这项物业于2015年10月1日由具备认可的相关专业资格、具有日内瓦州财产评估最新经验的独立专家以公允价值进行估价。公允价值根据基于投资的评估确定，因此这项物业今后的估计收益源流按恰当投资收益率转化为资本。回收率的选择是通过参照感知质量、收入期限和进一步提高租金的可能性进行的，并通过可比交易所提供的证据得到交叉核实。2015年10月1日的估价显示该建筑物公允价值提高了140</w:t>
      </w:r>
      <w:proofErr w:type="gramStart"/>
      <w:r w:rsidRPr="007A5789">
        <w:rPr>
          <w:sz w:val="21"/>
        </w:rPr>
        <w:t>万瑞</w:t>
      </w:r>
      <w:proofErr w:type="gramEnd"/>
      <w:r w:rsidRPr="007A5789">
        <w:rPr>
          <w:sz w:val="21"/>
        </w:rPr>
        <w:t>郎。2015年，该项增加在财务执行情况表中被确认为投资收入。</w:t>
      </w:r>
    </w:p>
    <w:p w:rsidR="007A5789" w:rsidRDefault="00CB2A7C" w:rsidP="00134184">
      <w:pPr>
        <w:pStyle w:val="af"/>
        <w:numPr>
          <w:ilvl w:val="0"/>
          <w:numId w:val="15"/>
        </w:numPr>
        <w:tabs>
          <w:tab w:val="left" w:pos="770"/>
        </w:tabs>
        <w:overflowPunct w:val="0"/>
        <w:spacing w:afterLines="50" w:after="120" w:line="340" w:lineRule="atLeast"/>
        <w:ind w:left="0" w:firstLine="0"/>
        <w:jc w:val="both"/>
        <w:rPr>
          <w:sz w:val="21"/>
        </w:rPr>
      </w:pPr>
      <w:r w:rsidRPr="007A5789">
        <w:rPr>
          <w:sz w:val="21"/>
        </w:rPr>
        <w:t>马德里</w:t>
      </w:r>
      <w:proofErr w:type="gramStart"/>
      <w:r w:rsidRPr="007A5789">
        <w:rPr>
          <w:sz w:val="21"/>
        </w:rPr>
        <w:t>联盟楼</w:t>
      </w:r>
      <w:proofErr w:type="gramEnd"/>
      <w:r w:rsidRPr="007A5789">
        <w:rPr>
          <w:sz w:val="21"/>
        </w:rPr>
        <w:t>的公寓、停车场和其他设施的租赁事宜，由负责收取所有租金收入和支付经营楼宇时产生的所有费用的租赁中介管理。租赁通常为期五年，根据日内瓦州批准的租赁形式进行。在出租期间，所有租约不可取消。中介收取总租金收入的3.9%作为服务补偿。截至2015年12月31日不可取消租约的价值如下：</w:t>
      </w:r>
    </w:p>
    <w:p w:rsidR="005D59F9" w:rsidRPr="007A5789" w:rsidRDefault="00612CF1" w:rsidP="00612CF1">
      <w:pPr>
        <w:spacing w:afterLines="50" w:after="120" w:line="340" w:lineRule="atLeast"/>
        <w:jc w:val="center"/>
        <w:rPr>
          <w:sz w:val="21"/>
        </w:rPr>
      </w:pPr>
      <w:r w:rsidRPr="00EF7E79">
        <w:rPr>
          <w:noProof/>
          <w:sz w:val="21"/>
          <w:lang w:val="en-US" w:bidi="ar-SA"/>
        </w:rPr>
        <w:drawing>
          <wp:inline distT="0" distB="0" distL="0" distR="0" wp14:anchorId="2E807F01" wp14:editId="12951D70">
            <wp:extent cx="5931535" cy="1359535"/>
            <wp:effectExtent l="0" t="0" r="0" b="0"/>
            <wp:docPr id="323" name="图片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31535" cy="1359535"/>
                    </a:xfrm>
                    <a:prstGeom prst="rect">
                      <a:avLst/>
                    </a:prstGeom>
                    <a:noFill/>
                    <a:ln>
                      <a:noFill/>
                    </a:ln>
                  </pic:spPr>
                </pic:pic>
              </a:graphicData>
            </a:graphic>
          </wp:inline>
        </w:drawing>
      </w:r>
    </w:p>
    <w:p w:rsidR="007A5789" w:rsidRDefault="005D59F9" w:rsidP="00134184">
      <w:pPr>
        <w:pStyle w:val="af"/>
        <w:numPr>
          <w:ilvl w:val="0"/>
          <w:numId w:val="15"/>
        </w:numPr>
        <w:tabs>
          <w:tab w:val="left" w:pos="770"/>
        </w:tabs>
        <w:overflowPunct w:val="0"/>
        <w:spacing w:afterLines="50" w:after="120" w:line="340" w:lineRule="atLeast"/>
        <w:ind w:left="0" w:firstLine="0"/>
        <w:jc w:val="both"/>
        <w:rPr>
          <w:sz w:val="21"/>
        </w:rPr>
      </w:pPr>
      <w:r w:rsidRPr="007A5789">
        <w:rPr>
          <w:sz w:val="21"/>
        </w:rPr>
        <w:t>2015年，大楼出租的收入共计358,000瑞郎，大楼的经营支出共计177,000瑞郎。本组织不了解在投资财产收入的可变现性或收入转出方面存在任何限制。</w:t>
      </w:r>
    </w:p>
    <w:p w:rsidR="005D59F9" w:rsidRPr="007A5789" w:rsidRDefault="005D59F9" w:rsidP="00134184">
      <w:pPr>
        <w:pStyle w:val="af"/>
        <w:numPr>
          <w:ilvl w:val="0"/>
          <w:numId w:val="15"/>
        </w:numPr>
        <w:tabs>
          <w:tab w:val="left" w:pos="770"/>
        </w:tabs>
        <w:overflowPunct w:val="0"/>
        <w:spacing w:afterLines="50" w:after="120" w:line="340" w:lineRule="atLeast"/>
        <w:ind w:left="0" w:firstLine="0"/>
        <w:jc w:val="both"/>
        <w:rPr>
          <w:sz w:val="21"/>
          <w:szCs w:val="22"/>
        </w:rPr>
      </w:pPr>
      <w:r w:rsidRPr="007A5789">
        <w:rPr>
          <w:sz w:val="21"/>
        </w:rPr>
        <w:t>运营开支不包括大楼的折旧。在本报告日没有购买、建造或开发投资财产的合同义务，也没有修理、维护或提升现有物业的合同义务。但根据瑞士建筑法规，必须开展工作修复现有物业的外立面。该工作未来成本估计为80</w:t>
      </w:r>
      <w:proofErr w:type="gramStart"/>
      <w:r w:rsidRPr="007A5789">
        <w:rPr>
          <w:sz w:val="21"/>
        </w:rPr>
        <w:t>万瑞</w:t>
      </w:r>
      <w:proofErr w:type="gramEnd"/>
      <w:r w:rsidRPr="007A5789">
        <w:rPr>
          <w:sz w:val="21"/>
        </w:rPr>
        <w:t>郎，已经包含在截至2015年10月1日的最新估值中。</w:t>
      </w:r>
    </w:p>
    <w:p w:rsidR="007A5789" w:rsidRPr="007C2134" w:rsidRDefault="004C08E2" w:rsidP="007C2134">
      <w:pPr>
        <w:pStyle w:val="3"/>
        <w:overflowPunct w:val="0"/>
        <w:spacing w:beforeLines="100" w:afterLines="50" w:after="120" w:line="340" w:lineRule="atLeast"/>
        <w:rPr>
          <w:rFonts w:ascii="SimHei" w:eastAsia="SimHei" w:hAnsi="SimHei"/>
          <w:b w:val="0"/>
          <w:sz w:val="21"/>
        </w:rPr>
      </w:pPr>
      <w:bookmarkStart w:id="71" w:name="_Toc441218496"/>
      <w:bookmarkStart w:id="72" w:name="_Toc455733227"/>
      <w:bookmarkStart w:id="73" w:name="_Toc456697876"/>
      <w:r w:rsidRPr="007C2134">
        <w:rPr>
          <w:rFonts w:ascii="SimHei" w:eastAsia="SimHei" w:hAnsi="SimHei"/>
          <w:b w:val="0"/>
          <w:sz w:val="21"/>
        </w:rPr>
        <w:lastRenderedPageBreak/>
        <w:t>附注8：无形资产</w:t>
      </w:r>
      <w:bookmarkEnd w:id="71"/>
      <w:bookmarkEnd w:id="72"/>
      <w:bookmarkEnd w:id="73"/>
    </w:p>
    <w:p w:rsidR="007A5789" w:rsidRDefault="00612CF1" w:rsidP="00612CF1">
      <w:pPr>
        <w:spacing w:afterLines="50" w:after="120" w:line="340" w:lineRule="atLeast"/>
        <w:jc w:val="center"/>
        <w:rPr>
          <w:sz w:val="21"/>
        </w:rPr>
      </w:pPr>
      <w:r w:rsidRPr="00EF7E79">
        <w:rPr>
          <w:noProof/>
          <w:sz w:val="21"/>
          <w:lang w:val="en-US" w:bidi="ar-SA"/>
        </w:rPr>
        <w:drawing>
          <wp:inline distT="0" distB="0" distL="0" distR="0" wp14:anchorId="2488BB1F" wp14:editId="2C7F6C01">
            <wp:extent cx="5940425" cy="3638642"/>
            <wp:effectExtent l="0" t="0" r="3175" b="0"/>
            <wp:docPr id="324" name="图片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40425" cy="3638642"/>
                    </a:xfrm>
                    <a:prstGeom prst="rect">
                      <a:avLst/>
                    </a:prstGeom>
                    <a:noFill/>
                    <a:ln>
                      <a:noFill/>
                    </a:ln>
                  </pic:spPr>
                </pic:pic>
              </a:graphicData>
            </a:graphic>
          </wp:inline>
        </w:drawing>
      </w:r>
    </w:p>
    <w:p w:rsidR="00D52684" w:rsidRPr="007A5789" w:rsidRDefault="00612CF1" w:rsidP="00612CF1">
      <w:pPr>
        <w:spacing w:afterLines="50" w:after="120" w:line="340" w:lineRule="atLeast"/>
        <w:jc w:val="center"/>
        <w:rPr>
          <w:sz w:val="21"/>
        </w:rPr>
      </w:pPr>
      <w:r w:rsidRPr="00EF7E79">
        <w:rPr>
          <w:noProof/>
          <w:sz w:val="21"/>
          <w:lang w:val="en-US" w:bidi="ar-SA"/>
        </w:rPr>
        <w:drawing>
          <wp:inline distT="0" distB="0" distL="0" distR="0" wp14:anchorId="71DD9C59" wp14:editId="5DC3EC6E">
            <wp:extent cx="5940425" cy="3631191"/>
            <wp:effectExtent l="0" t="0" r="3175" b="0"/>
            <wp:docPr id="325" name="图片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40425" cy="3631191"/>
                    </a:xfrm>
                    <a:prstGeom prst="rect">
                      <a:avLst/>
                    </a:prstGeom>
                    <a:noFill/>
                    <a:ln>
                      <a:noFill/>
                    </a:ln>
                  </pic:spPr>
                </pic:pic>
              </a:graphicData>
            </a:graphic>
          </wp:inline>
        </w:drawing>
      </w:r>
    </w:p>
    <w:p w:rsidR="007A5789" w:rsidRDefault="004B4679" w:rsidP="002C437E">
      <w:pPr>
        <w:pStyle w:val="Style3"/>
        <w:tabs>
          <w:tab w:val="left" w:pos="770"/>
        </w:tabs>
        <w:overflowPunct w:val="0"/>
        <w:spacing w:afterLines="50" w:line="340" w:lineRule="atLeast"/>
        <w:rPr>
          <w:sz w:val="21"/>
        </w:rPr>
      </w:pPr>
      <w:r w:rsidRPr="007A5789">
        <w:rPr>
          <w:sz w:val="21"/>
        </w:rPr>
        <w:t>8.1.</w:t>
      </w:r>
      <w:r w:rsidR="00624A89" w:rsidRPr="007A5789">
        <w:rPr>
          <w:sz w:val="21"/>
        </w:rPr>
        <w:tab/>
      </w:r>
      <w:r w:rsidRPr="007A5789">
        <w:rPr>
          <w:sz w:val="21"/>
        </w:rPr>
        <w:t>1996年，本组织从世界气象组织</w:t>
      </w:r>
      <w:r w:rsidR="00B6014B">
        <w:rPr>
          <w:sz w:val="21"/>
        </w:rPr>
        <w:t>（</w:t>
      </w:r>
      <w:r w:rsidRPr="007A5789">
        <w:rPr>
          <w:sz w:val="21"/>
        </w:rPr>
        <w:t>WMO</w:t>
      </w:r>
      <w:r w:rsidR="00B6014B">
        <w:rPr>
          <w:sz w:val="21"/>
        </w:rPr>
        <w:t>）</w:t>
      </w:r>
      <w:r w:rsidRPr="007A5789">
        <w:rPr>
          <w:sz w:val="21"/>
        </w:rPr>
        <w:t>获得了日内瓦市Petit-Saconnex编号为4008的地块的土地地面使用权，这块土地是由日内瓦共和</w:t>
      </w:r>
      <w:r w:rsidR="00742D22">
        <w:rPr>
          <w:rFonts w:hint="eastAsia"/>
          <w:sz w:val="21"/>
        </w:rPr>
        <w:t>体</w:t>
      </w:r>
      <w:r w:rsidRPr="007A5789">
        <w:rPr>
          <w:rFonts w:hint="eastAsia"/>
          <w:sz w:val="21"/>
        </w:rPr>
        <w:t>与州</w:t>
      </w:r>
      <w:r w:rsidRPr="007A5789">
        <w:rPr>
          <w:sz w:val="21"/>
        </w:rPr>
        <w:t>以3</w:t>
      </w:r>
      <w:r w:rsidR="00AD1872" w:rsidRPr="007A5789">
        <w:rPr>
          <w:rFonts w:hint="eastAsia"/>
          <w:sz w:val="21"/>
        </w:rPr>
        <w:t>,</w:t>
      </w:r>
      <w:r w:rsidRPr="007A5789">
        <w:rPr>
          <w:sz w:val="21"/>
        </w:rPr>
        <w:t>430</w:t>
      </w:r>
      <w:proofErr w:type="gramStart"/>
      <w:r w:rsidRPr="007A5789">
        <w:rPr>
          <w:sz w:val="21"/>
        </w:rPr>
        <w:t>万瑞</w:t>
      </w:r>
      <w:proofErr w:type="gramEnd"/>
      <w:r w:rsidRPr="007A5789">
        <w:rPr>
          <w:sz w:val="21"/>
        </w:rPr>
        <w:t>郎的价格</w:t>
      </w:r>
      <w:r w:rsidR="00B6014B">
        <w:rPr>
          <w:sz w:val="21"/>
        </w:rPr>
        <w:t>（</w:t>
      </w:r>
      <w:r w:rsidRPr="007A5789">
        <w:rPr>
          <w:sz w:val="21"/>
        </w:rPr>
        <w:t>包括利息和手续费在内</w:t>
      </w:r>
      <w:r w:rsidR="00B6014B">
        <w:rPr>
          <w:sz w:val="21"/>
        </w:rPr>
        <w:t>）</w:t>
      </w:r>
      <w:r w:rsidRPr="007A5789">
        <w:rPr>
          <w:sz w:val="21"/>
        </w:rPr>
        <w:t>出让给WMO的。在购买当日，根据瑞士法律</w:t>
      </w:r>
      <w:r w:rsidRPr="007A5789">
        <w:rPr>
          <w:rFonts w:hint="eastAsia"/>
          <w:sz w:val="21"/>
        </w:rPr>
        <w:t>，</w:t>
      </w:r>
      <w:r w:rsidRPr="007A5789">
        <w:rPr>
          <w:sz w:val="21"/>
        </w:rPr>
        <w:t>原有</w:t>
      </w:r>
      <w:proofErr w:type="gramStart"/>
      <w:r w:rsidRPr="007A5789">
        <w:rPr>
          <w:sz w:val="21"/>
        </w:rPr>
        <w:t>权还有</w:t>
      </w:r>
      <w:proofErr w:type="gramEnd"/>
      <w:r w:rsidRPr="007A5789">
        <w:rPr>
          <w:sz w:val="21"/>
        </w:rPr>
        <w:t>78年剩余，于2073年到期，除</w:t>
      </w:r>
      <w:proofErr w:type="gramStart"/>
      <w:r w:rsidRPr="007A5789">
        <w:rPr>
          <w:sz w:val="21"/>
        </w:rPr>
        <w:t>非</w:t>
      </w:r>
      <w:r w:rsidR="00742D22">
        <w:rPr>
          <w:rFonts w:hint="eastAsia"/>
          <w:sz w:val="21"/>
        </w:rPr>
        <w:t>州</w:t>
      </w:r>
      <w:proofErr w:type="gramEnd"/>
      <w:r w:rsidRPr="007A5789">
        <w:rPr>
          <w:sz w:val="21"/>
        </w:rPr>
        <w:t>续期。历史成本在剩余使用寿命中摊销。AB和GB两幢大楼所占土地是日内瓦共和</w:t>
      </w:r>
      <w:r w:rsidR="00742D22">
        <w:rPr>
          <w:rFonts w:hint="eastAsia"/>
          <w:sz w:val="21"/>
        </w:rPr>
        <w:t>体</w:t>
      </w:r>
      <w:r w:rsidRPr="007A5789">
        <w:rPr>
          <w:rFonts w:hint="eastAsia"/>
          <w:sz w:val="21"/>
        </w:rPr>
        <w:t>与</w:t>
      </w:r>
      <w:r w:rsidRPr="007A5789">
        <w:rPr>
          <w:sz w:val="21"/>
        </w:rPr>
        <w:t>州的财产，日内瓦共和</w:t>
      </w:r>
      <w:r w:rsidR="00742D22">
        <w:rPr>
          <w:rFonts w:hint="eastAsia"/>
          <w:sz w:val="21"/>
        </w:rPr>
        <w:t>体</w:t>
      </w:r>
      <w:r w:rsidRPr="007A5789">
        <w:rPr>
          <w:rFonts w:hint="eastAsia"/>
          <w:sz w:val="21"/>
        </w:rPr>
        <w:t>与</w:t>
      </w:r>
      <w:r w:rsidRPr="007A5789">
        <w:rPr>
          <w:sz w:val="21"/>
        </w:rPr>
        <w:t>州授予本组织地面使用权，包括60年内建筑楼宇的权利，以及仅由本组织行使的延长另一</w:t>
      </w:r>
      <w:r w:rsidRPr="007A5789">
        <w:rPr>
          <w:sz w:val="21"/>
        </w:rPr>
        <w:lastRenderedPageBreak/>
        <w:t>30年期的权利。本组织无偿获得这些地面使用权，并没有在财务报表中确认价值，因为本组织无权转让归还日内瓦共和体</w:t>
      </w:r>
      <w:r w:rsidR="0074262A">
        <w:rPr>
          <w:rFonts w:hint="eastAsia"/>
          <w:sz w:val="21"/>
        </w:rPr>
        <w:t>与</w:t>
      </w:r>
      <w:r w:rsidRPr="007A5789">
        <w:rPr>
          <w:sz w:val="21"/>
        </w:rPr>
        <w:t>州的权利，除续期之外。</w:t>
      </w:r>
    </w:p>
    <w:p w:rsidR="007A5789" w:rsidRDefault="004B4679" w:rsidP="002C437E">
      <w:pPr>
        <w:pStyle w:val="Style3"/>
        <w:tabs>
          <w:tab w:val="left" w:pos="770"/>
        </w:tabs>
        <w:overflowPunct w:val="0"/>
        <w:spacing w:afterLines="50" w:line="340" w:lineRule="atLeast"/>
        <w:rPr>
          <w:sz w:val="21"/>
        </w:rPr>
      </w:pPr>
      <w:r w:rsidRPr="007A5789">
        <w:rPr>
          <w:sz w:val="21"/>
        </w:rPr>
        <w:t>8.2</w:t>
      </w:r>
      <w:r w:rsidR="00B773D8" w:rsidRPr="007A5789">
        <w:rPr>
          <w:rFonts w:hint="eastAsia"/>
          <w:sz w:val="21"/>
        </w:rPr>
        <w:t>.</w:t>
      </w:r>
      <w:r w:rsidR="00B773D8" w:rsidRPr="007A5789">
        <w:rPr>
          <w:rFonts w:hint="eastAsia"/>
          <w:sz w:val="21"/>
        </w:rPr>
        <w:tab/>
      </w:r>
      <w:r w:rsidRPr="007A5789">
        <w:rPr>
          <w:sz w:val="21"/>
        </w:rPr>
        <w:t>自2012年1月1日起，WIPO已将外部购买和内部开发的软件转化为资本。开发</w:t>
      </w:r>
      <w:r w:rsidRPr="007A5789">
        <w:rPr>
          <w:rFonts w:hint="eastAsia"/>
          <w:sz w:val="21"/>
        </w:rPr>
        <w:t>中</w:t>
      </w:r>
      <w:r w:rsidRPr="007A5789">
        <w:rPr>
          <w:sz w:val="21"/>
        </w:rPr>
        <w:t>的无形资产涉及尚未投入使用的内部所开发的软件。</w:t>
      </w:r>
    </w:p>
    <w:p w:rsidR="007A5789" w:rsidRPr="007C2134" w:rsidRDefault="004B4679" w:rsidP="007C2134">
      <w:pPr>
        <w:pStyle w:val="3"/>
        <w:overflowPunct w:val="0"/>
        <w:spacing w:beforeLines="100" w:afterLines="50" w:after="120" w:line="340" w:lineRule="atLeast"/>
        <w:rPr>
          <w:rFonts w:ascii="SimHei" w:eastAsia="SimHei" w:hAnsi="SimHei"/>
          <w:b w:val="0"/>
          <w:sz w:val="21"/>
        </w:rPr>
      </w:pPr>
      <w:bookmarkStart w:id="74" w:name="_Toc441218497"/>
      <w:bookmarkStart w:id="75" w:name="_Toc455733228"/>
      <w:bookmarkStart w:id="76" w:name="_Toc456711742"/>
      <w:r w:rsidRPr="007C2134">
        <w:rPr>
          <w:rFonts w:ascii="SimHei" w:eastAsia="SimHei" w:hAnsi="SimHei"/>
          <w:b w:val="0"/>
          <w:sz w:val="21"/>
        </w:rPr>
        <w:t>附注9：土地和建筑物</w:t>
      </w:r>
      <w:bookmarkEnd w:id="74"/>
      <w:bookmarkEnd w:id="75"/>
      <w:bookmarkEnd w:id="76"/>
    </w:p>
    <w:p w:rsidR="007A5789" w:rsidRDefault="004B4679" w:rsidP="00134184">
      <w:pPr>
        <w:pStyle w:val="Style3"/>
        <w:numPr>
          <w:ilvl w:val="0"/>
          <w:numId w:val="16"/>
        </w:numPr>
        <w:tabs>
          <w:tab w:val="left" w:pos="770"/>
        </w:tabs>
        <w:overflowPunct w:val="0"/>
        <w:spacing w:afterLines="50" w:line="340" w:lineRule="atLeast"/>
        <w:ind w:left="0" w:firstLine="0"/>
        <w:rPr>
          <w:sz w:val="21"/>
        </w:rPr>
      </w:pPr>
      <w:r w:rsidRPr="007A5789">
        <w:rPr>
          <w:sz w:val="21"/>
        </w:rPr>
        <w:t>本组织的土地和建筑物包括本组织设在瑞士日内瓦万国广场的总部，并包括土地、大楼以及安保</w:t>
      </w:r>
      <w:r w:rsidRPr="007A5789">
        <w:rPr>
          <w:rFonts w:hint="eastAsia"/>
          <w:sz w:val="21"/>
        </w:rPr>
        <w:t>施工</w:t>
      </w:r>
      <w:r w:rsidRPr="007A5789">
        <w:rPr>
          <w:sz w:val="21"/>
        </w:rPr>
        <w:t>。在2010年1月1日转换到IPSAS后，所占用的建筑物的价值在该日由外部顾问进行独立评估确定数额计价，这一价格为建筑物落成时的估计价值</w:t>
      </w:r>
      <w:r w:rsidR="00B6014B">
        <w:rPr>
          <w:sz w:val="21"/>
        </w:rPr>
        <w:t>（</w:t>
      </w:r>
      <w:r w:rsidRPr="007A5789">
        <w:rPr>
          <w:sz w:val="21"/>
        </w:rPr>
        <w:t>视为建造成本</w:t>
      </w:r>
      <w:r w:rsidR="00B6014B">
        <w:rPr>
          <w:sz w:val="21"/>
        </w:rPr>
        <w:t>）</w:t>
      </w:r>
      <w:r w:rsidRPr="007A5789">
        <w:rPr>
          <w:sz w:val="21"/>
        </w:rPr>
        <w:t>，包括自最初占用以来所进行的修缮和大修的估计价值减去累计折旧和损耗。2010年1月1日之后投入使用的建筑物最初以成本估价。所有建筑物根据直线法基于建筑物的每一主要部分的使用寿命进行折旧。</w:t>
      </w:r>
    </w:p>
    <w:p w:rsidR="007A5789" w:rsidRDefault="004B4679" w:rsidP="00134184">
      <w:pPr>
        <w:pStyle w:val="Style3"/>
        <w:numPr>
          <w:ilvl w:val="0"/>
          <w:numId w:val="16"/>
        </w:numPr>
        <w:tabs>
          <w:tab w:val="left" w:pos="770"/>
        </w:tabs>
        <w:overflowPunct w:val="0"/>
        <w:spacing w:afterLines="50" w:line="340" w:lineRule="atLeast"/>
        <w:ind w:left="0" w:firstLine="0"/>
        <w:rPr>
          <w:sz w:val="21"/>
        </w:rPr>
      </w:pPr>
      <w:r w:rsidRPr="007A5789">
        <w:rPr>
          <w:sz w:val="21"/>
        </w:rPr>
        <w:t>1998年本组织出价1,360</w:t>
      </w:r>
      <w:proofErr w:type="gramStart"/>
      <w:r w:rsidRPr="007A5789">
        <w:rPr>
          <w:sz w:val="21"/>
        </w:rPr>
        <w:t>万瑞郎购买</w:t>
      </w:r>
      <w:proofErr w:type="gramEnd"/>
      <w:r w:rsidRPr="007A5789">
        <w:rPr>
          <w:sz w:val="21"/>
        </w:rPr>
        <w:t>了用以建设新大楼的土地，并于2009年12月31日由独立鉴定人根据国际评估标准按公允价格重估价值为2,860</w:t>
      </w:r>
      <w:proofErr w:type="gramStart"/>
      <w:r w:rsidRPr="007A5789">
        <w:rPr>
          <w:sz w:val="21"/>
        </w:rPr>
        <w:t>万瑞</w:t>
      </w:r>
      <w:proofErr w:type="gramEnd"/>
      <w:r w:rsidRPr="007A5789">
        <w:rPr>
          <w:sz w:val="21"/>
        </w:rPr>
        <w:t>郎。1,500</w:t>
      </w:r>
      <w:proofErr w:type="gramStart"/>
      <w:r w:rsidRPr="007A5789">
        <w:rPr>
          <w:sz w:val="21"/>
        </w:rPr>
        <w:t>万瑞</w:t>
      </w:r>
      <w:proofErr w:type="gramEnd"/>
      <w:r w:rsidRPr="007A5789">
        <w:rPr>
          <w:sz w:val="21"/>
        </w:rPr>
        <w:t>郎的重新估价净增值归入重估值储备金盈余，形成了WIPO净资产的一部分。2013年12月31日，由独立鉴定人对土地进行更新估价，结果与</w:t>
      </w:r>
      <w:proofErr w:type="gramStart"/>
      <w:r w:rsidRPr="007A5789">
        <w:rPr>
          <w:sz w:val="21"/>
        </w:rPr>
        <w:t>先前所估</w:t>
      </w:r>
      <w:proofErr w:type="gramEnd"/>
      <w:r w:rsidRPr="007A5789">
        <w:rPr>
          <w:sz w:val="21"/>
        </w:rPr>
        <w:t>2,860</w:t>
      </w:r>
      <w:proofErr w:type="gramStart"/>
      <w:r w:rsidRPr="007A5789">
        <w:rPr>
          <w:sz w:val="21"/>
        </w:rPr>
        <w:t>万瑞</w:t>
      </w:r>
      <w:proofErr w:type="gramEnd"/>
      <w:r w:rsidRPr="007A5789">
        <w:rPr>
          <w:sz w:val="21"/>
        </w:rPr>
        <w:t>郎的公允价值相比没有变化。通过以恰当投资收益率将该项物业今后潜在收入流转化为资本的方式对其市场价值进行了评估。潜在收入以市场可比较租金为基准，并考虑了空间质量和位置。参照感知质量、收入期限和进一步提高租金的潜在性选择了投资收益，并通过可比较销售提供的证据进行了交叉核实。</w:t>
      </w:r>
    </w:p>
    <w:p w:rsidR="007A5789" w:rsidRDefault="004B4679" w:rsidP="00134184">
      <w:pPr>
        <w:pStyle w:val="Style3"/>
        <w:numPr>
          <w:ilvl w:val="0"/>
          <w:numId w:val="16"/>
        </w:numPr>
        <w:tabs>
          <w:tab w:val="left" w:pos="770"/>
        </w:tabs>
        <w:overflowPunct w:val="0"/>
        <w:spacing w:afterLines="50" w:line="340" w:lineRule="atLeast"/>
        <w:ind w:left="0" w:firstLine="0"/>
        <w:rPr>
          <w:sz w:val="21"/>
        </w:rPr>
      </w:pPr>
      <w:r w:rsidRPr="007A5789">
        <w:rPr>
          <w:sz w:val="21"/>
        </w:rPr>
        <w:t>新会议厅</w:t>
      </w:r>
      <w:r w:rsidR="00B6014B">
        <w:rPr>
          <w:sz w:val="21"/>
        </w:rPr>
        <w:t>（</w:t>
      </w:r>
      <w:r w:rsidRPr="007A5789">
        <w:rPr>
          <w:sz w:val="21"/>
        </w:rPr>
        <w:t>NCH</w:t>
      </w:r>
      <w:r w:rsidR="00B6014B">
        <w:rPr>
          <w:sz w:val="21"/>
        </w:rPr>
        <w:t>）</w:t>
      </w:r>
      <w:r w:rsidRPr="007A5789">
        <w:rPr>
          <w:sz w:val="21"/>
        </w:rPr>
        <w:t>于2014年9月投入使用。2015年，NCH大楼内部及周边的一些剩余工程完工。因此，建筑物总计250</w:t>
      </w:r>
      <w:proofErr w:type="gramStart"/>
      <w:r w:rsidRPr="007A5789">
        <w:rPr>
          <w:sz w:val="21"/>
        </w:rPr>
        <w:t>万瑞</w:t>
      </w:r>
      <w:proofErr w:type="gramEnd"/>
      <w:r w:rsidRPr="007A5789">
        <w:rPr>
          <w:sz w:val="21"/>
        </w:rPr>
        <w:t>郎的投入在2015年入账。</w:t>
      </w:r>
    </w:p>
    <w:p w:rsidR="00AD1872" w:rsidRPr="007A5789" w:rsidRDefault="004B4679" w:rsidP="00134184">
      <w:pPr>
        <w:pStyle w:val="Style3"/>
        <w:numPr>
          <w:ilvl w:val="0"/>
          <w:numId w:val="16"/>
        </w:numPr>
        <w:tabs>
          <w:tab w:val="left" w:pos="770"/>
        </w:tabs>
        <w:overflowPunct w:val="0"/>
        <w:spacing w:afterLines="50" w:line="340" w:lineRule="atLeast"/>
        <w:ind w:left="0" w:firstLine="0"/>
        <w:rPr>
          <w:sz w:val="21"/>
        </w:rPr>
      </w:pPr>
      <w:r w:rsidRPr="007A5789">
        <w:rPr>
          <w:sz w:val="21"/>
        </w:rPr>
        <w:t>WIPO</w:t>
      </w:r>
      <w:r w:rsidR="0074262A">
        <w:rPr>
          <w:sz w:val="21"/>
        </w:rPr>
        <w:t>已经开展了一个重要项目，根据落实联合国安全管理</w:t>
      </w:r>
      <w:r w:rsidRPr="007A5789">
        <w:rPr>
          <w:sz w:val="21"/>
        </w:rPr>
        <w:t>系</w:t>
      </w:r>
      <w:r w:rsidR="0074262A">
        <w:rPr>
          <w:rFonts w:hint="eastAsia"/>
          <w:sz w:val="21"/>
        </w:rPr>
        <w:t>统</w:t>
      </w:r>
      <w:r w:rsidRPr="007A5789">
        <w:rPr>
          <w:sz w:val="21"/>
        </w:rPr>
        <w:t>的建议来对其现有各个大楼的安全与安保标准进行升级。截至并包含2015年，本组织产生的与该建设项目有关的成本被记入在建工程。该</w:t>
      </w:r>
      <w:r w:rsidRPr="007A5789">
        <w:rPr>
          <w:rFonts w:hint="eastAsia"/>
          <w:sz w:val="21"/>
        </w:rPr>
        <w:t>施工</w:t>
      </w:r>
      <w:r w:rsidRPr="007A5789">
        <w:rPr>
          <w:sz w:val="21"/>
        </w:rPr>
        <w:t>项目已部分地得到国际组织</w:t>
      </w:r>
      <w:r w:rsidR="0074262A">
        <w:rPr>
          <w:rFonts w:hint="eastAsia"/>
          <w:sz w:val="21"/>
        </w:rPr>
        <w:t>不动产</w:t>
      </w:r>
      <w:r w:rsidRPr="007A5789">
        <w:rPr>
          <w:sz w:val="21"/>
        </w:rPr>
        <w:t>基金会</w:t>
      </w:r>
      <w:r w:rsidR="00B6014B">
        <w:rPr>
          <w:sz w:val="21"/>
        </w:rPr>
        <w:t>（</w:t>
      </w:r>
      <w:r w:rsidRPr="007A5789">
        <w:rPr>
          <w:sz w:val="21"/>
        </w:rPr>
        <w:t>FIPOI</w:t>
      </w:r>
      <w:r w:rsidR="00B6014B">
        <w:rPr>
          <w:sz w:val="21"/>
        </w:rPr>
        <w:t>）</w:t>
      </w:r>
      <w:r w:rsidRPr="007A5789">
        <w:rPr>
          <w:sz w:val="21"/>
        </w:rPr>
        <w:t>所提供的资金支持。得到FIPOI供资的</w:t>
      </w:r>
      <w:r w:rsidRPr="007A5789">
        <w:rPr>
          <w:rFonts w:hint="eastAsia"/>
          <w:sz w:val="21"/>
        </w:rPr>
        <w:t>施工</w:t>
      </w:r>
      <w:r w:rsidRPr="007A5789">
        <w:rPr>
          <w:sz w:val="21"/>
        </w:rPr>
        <w:t>工作也已被记入在建工程，相应的一部分金额也被作为递</w:t>
      </w:r>
      <w:proofErr w:type="gramStart"/>
      <w:r w:rsidRPr="007A5789">
        <w:rPr>
          <w:sz w:val="21"/>
        </w:rPr>
        <w:t>延收入</w:t>
      </w:r>
      <w:proofErr w:type="gramEnd"/>
      <w:r w:rsidRPr="007A5789">
        <w:rPr>
          <w:sz w:val="21"/>
        </w:rPr>
        <w:t>得到确认</w:t>
      </w:r>
      <w:r w:rsidR="00B6014B">
        <w:rPr>
          <w:sz w:val="21"/>
        </w:rPr>
        <w:t>（</w:t>
      </w:r>
      <w:r w:rsidRPr="007A5789">
        <w:rPr>
          <w:sz w:val="21"/>
        </w:rPr>
        <w:t>参见附注14</w:t>
      </w:r>
      <w:r w:rsidR="00B6014B">
        <w:rPr>
          <w:sz w:val="21"/>
        </w:rPr>
        <w:t>）</w:t>
      </w:r>
      <w:r w:rsidRPr="007A5789">
        <w:rPr>
          <w:sz w:val="21"/>
        </w:rPr>
        <w:t>。该建设项目于2015年完工，包含新登记中心</w:t>
      </w:r>
      <w:r w:rsidR="00B6014B">
        <w:rPr>
          <w:sz w:val="21"/>
        </w:rPr>
        <w:t>（</w:t>
      </w:r>
      <w:r w:rsidRPr="007A5789">
        <w:rPr>
          <w:sz w:val="21"/>
        </w:rPr>
        <w:t>360</w:t>
      </w:r>
      <w:proofErr w:type="gramStart"/>
      <w:r w:rsidRPr="007A5789">
        <w:rPr>
          <w:sz w:val="21"/>
        </w:rPr>
        <w:t>万瑞</w:t>
      </w:r>
      <w:proofErr w:type="gramEnd"/>
      <w:r w:rsidRPr="007A5789">
        <w:rPr>
          <w:sz w:val="21"/>
        </w:rPr>
        <w:t>郎包含在AB建筑物中</w:t>
      </w:r>
      <w:r w:rsidR="00B6014B">
        <w:rPr>
          <w:sz w:val="21"/>
        </w:rPr>
        <w:t>）</w:t>
      </w:r>
      <w:r w:rsidRPr="007A5789">
        <w:rPr>
          <w:sz w:val="21"/>
        </w:rPr>
        <w:t>、安全运营中心</w:t>
      </w:r>
      <w:r w:rsidR="00B6014B">
        <w:rPr>
          <w:sz w:val="21"/>
        </w:rPr>
        <w:t>（</w:t>
      </w:r>
      <w:r w:rsidRPr="007A5789">
        <w:rPr>
          <w:sz w:val="21"/>
        </w:rPr>
        <w:t>200</w:t>
      </w:r>
      <w:proofErr w:type="gramStart"/>
      <w:r w:rsidRPr="007A5789">
        <w:rPr>
          <w:sz w:val="21"/>
        </w:rPr>
        <w:t>万瑞</w:t>
      </w:r>
      <w:proofErr w:type="gramEnd"/>
      <w:r w:rsidRPr="007A5789">
        <w:rPr>
          <w:sz w:val="21"/>
        </w:rPr>
        <w:t>郎包含在GB</w:t>
      </w:r>
      <w:r w:rsidR="006A3CDF" w:rsidRPr="007A5789">
        <w:rPr>
          <w:rFonts w:hint="eastAsia"/>
          <w:sz w:val="21"/>
        </w:rPr>
        <w:t>一号楼</w:t>
      </w:r>
      <w:r w:rsidRPr="007A5789">
        <w:rPr>
          <w:sz w:val="21"/>
        </w:rPr>
        <w:t>中</w:t>
      </w:r>
      <w:r w:rsidR="00B6014B">
        <w:rPr>
          <w:sz w:val="21"/>
        </w:rPr>
        <w:t>）</w:t>
      </w:r>
      <w:r w:rsidRPr="007A5789">
        <w:rPr>
          <w:sz w:val="21"/>
        </w:rPr>
        <w:t>及安全边界</w:t>
      </w:r>
      <w:r w:rsidR="00B6014B">
        <w:rPr>
          <w:sz w:val="21"/>
        </w:rPr>
        <w:t>（</w:t>
      </w:r>
      <w:r w:rsidRPr="007A5789">
        <w:rPr>
          <w:sz w:val="21"/>
        </w:rPr>
        <w:t>900</w:t>
      </w:r>
      <w:proofErr w:type="gramStart"/>
      <w:r w:rsidRPr="007A5789">
        <w:rPr>
          <w:sz w:val="21"/>
        </w:rPr>
        <w:t>万瑞</w:t>
      </w:r>
      <w:proofErr w:type="gramEnd"/>
      <w:r w:rsidRPr="007A5789">
        <w:rPr>
          <w:sz w:val="21"/>
        </w:rPr>
        <w:t>郎作为单独</w:t>
      </w:r>
      <w:r w:rsidRPr="007A5789">
        <w:rPr>
          <w:rFonts w:hint="eastAsia"/>
          <w:sz w:val="21"/>
        </w:rPr>
        <w:t>施工费用</w:t>
      </w:r>
      <w:r w:rsidR="00B6014B">
        <w:rPr>
          <w:sz w:val="21"/>
        </w:rPr>
        <w:t>）</w:t>
      </w:r>
      <w:r w:rsidRPr="007A5789">
        <w:rPr>
          <w:sz w:val="21"/>
        </w:rPr>
        <w:t>。</w:t>
      </w:r>
    </w:p>
    <w:p w:rsidR="004B4679" w:rsidRPr="007A5789" w:rsidRDefault="004B4679" w:rsidP="004B4679">
      <w:pPr>
        <w:pStyle w:val="Style3"/>
        <w:spacing w:after="0"/>
        <w:rPr>
          <w:sz w:val="21"/>
        </w:rPr>
        <w:sectPr w:rsidR="004B4679" w:rsidRPr="007A5789" w:rsidSect="008B64D0">
          <w:headerReference w:type="even" r:id="rId58"/>
          <w:headerReference w:type="default" r:id="rId59"/>
          <w:headerReference w:type="first" r:id="rId60"/>
          <w:endnotePr>
            <w:numFmt w:val="decimal"/>
          </w:endnotePr>
          <w:pgSz w:w="11907" w:h="16840" w:code="9"/>
          <w:pgMar w:top="567" w:right="1134" w:bottom="1418" w:left="1418" w:header="510" w:footer="1021" w:gutter="0"/>
          <w:cols w:space="720"/>
          <w:titlePg/>
          <w:docGrid w:linePitch="299"/>
        </w:sectPr>
      </w:pPr>
    </w:p>
    <w:p w:rsidR="004B4679" w:rsidRPr="007A5789" w:rsidRDefault="004B4679" w:rsidP="00612CF1">
      <w:pPr>
        <w:pStyle w:val="a4"/>
        <w:spacing w:afterLines="50" w:after="120" w:line="340" w:lineRule="atLeast"/>
        <w:rPr>
          <w:sz w:val="21"/>
          <w:szCs w:val="22"/>
        </w:rPr>
      </w:pPr>
      <w:r w:rsidRPr="007A5789">
        <w:rPr>
          <w:sz w:val="21"/>
        </w:rPr>
        <w:lastRenderedPageBreak/>
        <w:t>2015年土地和建筑物变动情况：</w:t>
      </w:r>
    </w:p>
    <w:p w:rsidR="004B4679" w:rsidRPr="007A5789" w:rsidRDefault="00612CF1" w:rsidP="00612CF1">
      <w:pPr>
        <w:pStyle w:val="Style3"/>
        <w:spacing w:after="0"/>
        <w:jc w:val="center"/>
        <w:rPr>
          <w:sz w:val="21"/>
        </w:rPr>
      </w:pPr>
      <w:r w:rsidRPr="00EF7E79">
        <w:rPr>
          <w:noProof/>
          <w:sz w:val="21"/>
          <w:lang w:val="en-US" w:bidi="ar-SA"/>
        </w:rPr>
        <w:drawing>
          <wp:inline distT="0" distB="0" distL="0" distR="0" wp14:anchorId="28ACA9B2" wp14:editId="02F6E477">
            <wp:extent cx="9876155" cy="4539776"/>
            <wp:effectExtent l="0" t="0" r="0" b="0"/>
            <wp:docPr id="326" name="图片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876155" cy="4539776"/>
                    </a:xfrm>
                    <a:prstGeom prst="rect">
                      <a:avLst/>
                    </a:prstGeom>
                    <a:noFill/>
                    <a:ln>
                      <a:noFill/>
                    </a:ln>
                  </pic:spPr>
                </pic:pic>
              </a:graphicData>
            </a:graphic>
          </wp:inline>
        </w:drawing>
      </w:r>
    </w:p>
    <w:p w:rsidR="004B4679" w:rsidRPr="007A5789" w:rsidRDefault="004B4679" w:rsidP="004B4679">
      <w:pPr>
        <w:jc w:val="left"/>
        <w:rPr>
          <w:sz w:val="21"/>
        </w:rPr>
      </w:pPr>
      <w:r w:rsidRPr="007A5789">
        <w:rPr>
          <w:sz w:val="21"/>
        </w:rPr>
        <w:br w:type="page"/>
      </w:r>
    </w:p>
    <w:p w:rsidR="004B4679" w:rsidRPr="007A5789" w:rsidRDefault="004B4679" w:rsidP="00612CF1">
      <w:pPr>
        <w:pStyle w:val="a4"/>
        <w:spacing w:afterLines="50" w:after="120" w:line="340" w:lineRule="atLeast"/>
        <w:rPr>
          <w:sz w:val="21"/>
          <w:szCs w:val="22"/>
        </w:rPr>
      </w:pPr>
      <w:r w:rsidRPr="007A5789">
        <w:rPr>
          <w:sz w:val="21"/>
        </w:rPr>
        <w:lastRenderedPageBreak/>
        <w:t>2014年土地和建筑物变动情况：</w:t>
      </w:r>
    </w:p>
    <w:p w:rsidR="007A5789" w:rsidRDefault="00612CF1" w:rsidP="004B4679">
      <w:pPr>
        <w:jc w:val="center"/>
        <w:rPr>
          <w:sz w:val="21"/>
        </w:rPr>
      </w:pPr>
      <w:r w:rsidRPr="00EF7E79">
        <w:rPr>
          <w:noProof/>
          <w:sz w:val="21"/>
          <w:lang w:val="en-US" w:bidi="ar-SA"/>
        </w:rPr>
        <w:drawing>
          <wp:inline distT="0" distB="0" distL="0" distR="0" wp14:anchorId="31F5D071" wp14:editId="3E4A4110">
            <wp:extent cx="9876155" cy="4713434"/>
            <wp:effectExtent l="0" t="0" r="0" b="0"/>
            <wp:docPr id="327" name="图片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876155" cy="4713434"/>
                    </a:xfrm>
                    <a:prstGeom prst="rect">
                      <a:avLst/>
                    </a:prstGeom>
                    <a:noFill/>
                    <a:ln>
                      <a:noFill/>
                    </a:ln>
                  </pic:spPr>
                </pic:pic>
              </a:graphicData>
            </a:graphic>
          </wp:inline>
        </w:drawing>
      </w:r>
    </w:p>
    <w:p w:rsidR="004B4679" w:rsidRPr="007A5789" w:rsidRDefault="004B4679" w:rsidP="004B4679">
      <w:pPr>
        <w:pStyle w:val="3"/>
        <w:rPr>
          <w:b w:val="0"/>
          <w:sz w:val="21"/>
        </w:rPr>
        <w:sectPr w:rsidR="004B4679" w:rsidRPr="007A5789" w:rsidSect="00714234">
          <w:headerReference w:type="default" r:id="rId63"/>
          <w:headerReference w:type="first" r:id="rId64"/>
          <w:endnotePr>
            <w:numFmt w:val="decimal"/>
          </w:endnotePr>
          <w:pgSz w:w="16840" w:h="11907" w:orient="landscape" w:code="9"/>
          <w:pgMar w:top="1418" w:right="567" w:bottom="1134" w:left="720" w:header="510" w:footer="1021" w:gutter="0"/>
          <w:cols w:space="720"/>
          <w:titlePg/>
          <w:docGrid w:linePitch="299"/>
        </w:sectPr>
      </w:pPr>
      <w:bookmarkStart w:id="77" w:name="_Toc441218498"/>
    </w:p>
    <w:p w:rsidR="007A5789" w:rsidRPr="007C2134" w:rsidRDefault="004B4679" w:rsidP="007C2134">
      <w:pPr>
        <w:pStyle w:val="3"/>
        <w:overflowPunct w:val="0"/>
        <w:spacing w:beforeLines="100" w:afterLines="50" w:after="120" w:line="340" w:lineRule="atLeast"/>
        <w:rPr>
          <w:rFonts w:ascii="SimHei" w:eastAsia="SimHei" w:hAnsi="SimHei"/>
          <w:b w:val="0"/>
          <w:sz w:val="21"/>
        </w:rPr>
      </w:pPr>
      <w:bookmarkStart w:id="78" w:name="_Toc455733229"/>
      <w:bookmarkStart w:id="79" w:name="_Toc456711743"/>
      <w:r w:rsidRPr="007C2134">
        <w:rPr>
          <w:rFonts w:ascii="SimHei" w:eastAsia="SimHei" w:hAnsi="SimHei"/>
          <w:b w:val="0"/>
          <w:sz w:val="21"/>
        </w:rPr>
        <w:lastRenderedPageBreak/>
        <w:t>附注10：其他非流动资产</w:t>
      </w:r>
      <w:bookmarkEnd w:id="77"/>
      <w:bookmarkEnd w:id="78"/>
      <w:bookmarkEnd w:id="79"/>
    </w:p>
    <w:p w:rsidR="004B4679" w:rsidRPr="007A5789" w:rsidRDefault="00612CF1" w:rsidP="0074262A">
      <w:pPr>
        <w:spacing w:afterLines="50" w:after="120" w:line="340" w:lineRule="atLeast"/>
        <w:rPr>
          <w:sz w:val="21"/>
        </w:rPr>
      </w:pPr>
      <w:r w:rsidRPr="00EF7E79">
        <w:rPr>
          <w:noProof/>
          <w:sz w:val="21"/>
          <w:lang w:val="en-US" w:bidi="ar-SA"/>
        </w:rPr>
        <w:drawing>
          <wp:inline distT="0" distB="0" distL="0" distR="0" wp14:anchorId="6C7922A8" wp14:editId="7E337792">
            <wp:extent cx="5934075" cy="1371600"/>
            <wp:effectExtent l="0" t="0" r="9525" b="0"/>
            <wp:docPr id="328" name="图片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934075" cy="1371600"/>
                    </a:xfrm>
                    <a:prstGeom prst="rect">
                      <a:avLst/>
                    </a:prstGeom>
                    <a:noFill/>
                    <a:ln>
                      <a:noFill/>
                    </a:ln>
                  </pic:spPr>
                </pic:pic>
              </a:graphicData>
            </a:graphic>
          </wp:inline>
        </w:drawing>
      </w:r>
    </w:p>
    <w:p w:rsidR="007A5789" w:rsidRDefault="004B4679" w:rsidP="00134184">
      <w:pPr>
        <w:pStyle w:val="Style3"/>
        <w:numPr>
          <w:ilvl w:val="0"/>
          <w:numId w:val="17"/>
        </w:numPr>
        <w:tabs>
          <w:tab w:val="left" w:pos="770"/>
        </w:tabs>
        <w:overflowPunct w:val="0"/>
        <w:spacing w:afterLines="50" w:line="340" w:lineRule="atLeast"/>
        <w:ind w:left="0" w:firstLine="0"/>
        <w:rPr>
          <w:sz w:val="21"/>
        </w:rPr>
      </w:pPr>
      <w:r w:rsidRPr="007A5789">
        <w:rPr>
          <w:sz w:val="21"/>
        </w:rPr>
        <w:t>1991年，本组织与日内瓦基金国际中心</w:t>
      </w:r>
      <w:r w:rsidR="00B6014B">
        <w:rPr>
          <w:sz w:val="21"/>
        </w:rPr>
        <w:t>（</w:t>
      </w:r>
      <w:r w:rsidRPr="007A5789">
        <w:rPr>
          <w:sz w:val="21"/>
        </w:rPr>
        <w:t>FCIG</w:t>
      </w:r>
      <w:r w:rsidR="00B6014B">
        <w:rPr>
          <w:sz w:val="21"/>
        </w:rPr>
        <w:t>）</w:t>
      </w:r>
      <w:r w:rsidRPr="007A5789">
        <w:rPr>
          <w:sz w:val="21"/>
        </w:rPr>
        <w:t>就瑞士日内瓦Morillons街的一幢办公楼的</w:t>
      </w:r>
      <w:r w:rsidRPr="007A5789">
        <w:rPr>
          <w:rFonts w:hint="eastAsia"/>
          <w:sz w:val="21"/>
        </w:rPr>
        <w:t>施工</w:t>
      </w:r>
      <w:r w:rsidRPr="007A5789">
        <w:rPr>
          <w:sz w:val="21"/>
        </w:rPr>
        <w:t>事宜以总成本2,040</w:t>
      </w:r>
      <w:proofErr w:type="gramStart"/>
      <w:r w:rsidRPr="007A5789">
        <w:rPr>
          <w:sz w:val="21"/>
        </w:rPr>
        <w:t>万瑞郎达成</w:t>
      </w:r>
      <w:proofErr w:type="gramEnd"/>
      <w:r w:rsidRPr="007A5789">
        <w:rPr>
          <w:sz w:val="21"/>
        </w:rPr>
        <w:t>一项协定。该协定规定本组织提前支付初始款项1,000</w:t>
      </w:r>
      <w:proofErr w:type="gramStart"/>
      <w:r w:rsidRPr="007A5789">
        <w:rPr>
          <w:sz w:val="21"/>
        </w:rPr>
        <w:t>万瑞</w:t>
      </w:r>
      <w:proofErr w:type="gramEnd"/>
      <w:r w:rsidRPr="007A5789">
        <w:rPr>
          <w:sz w:val="21"/>
        </w:rPr>
        <w:t>郎，加上初始预付款利息100</w:t>
      </w:r>
      <w:proofErr w:type="gramStart"/>
      <w:r w:rsidRPr="007A5789">
        <w:rPr>
          <w:sz w:val="21"/>
        </w:rPr>
        <w:t>万瑞</w:t>
      </w:r>
      <w:proofErr w:type="gramEnd"/>
      <w:r w:rsidRPr="007A5789">
        <w:rPr>
          <w:sz w:val="21"/>
        </w:rPr>
        <w:t>郎，总计1,100</w:t>
      </w:r>
      <w:proofErr w:type="gramStart"/>
      <w:r w:rsidRPr="007A5789">
        <w:rPr>
          <w:sz w:val="21"/>
        </w:rPr>
        <w:t>万瑞</w:t>
      </w:r>
      <w:proofErr w:type="gramEnd"/>
      <w:r w:rsidRPr="007A5789">
        <w:rPr>
          <w:sz w:val="21"/>
        </w:rPr>
        <w:t>郎。</w:t>
      </w:r>
      <w:r w:rsidRPr="007A5789">
        <w:rPr>
          <w:rFonts w:hint="eastAsia"/>
          <w:sz w:val="21"/>
        </w:rPr>
        <w:t>施工</w:t>
      </w:r>
      <w:r w:rsidRPr="007A5789">
        <w:rPr>
          <w:sz w:val="21"/>
        </w:rPr>
        <w:t>成本余额由FCIG和日内瓦州立银行</w:t>
      </w:r>
      <w:r w:rsidR="00B6014B">
        <w:rPr>
          <w:sz w:val="21"/>
        </w:rPr>
        <w:t>（</w:t>
      </w:r>
      <w:r w:rsidRPr="007A5789">
        <w:rPr>
          <w:sz w:val="21"/>
        </w:rPr>
        <w:t>BCG</w:t>
      </w:r>
      <w:r w:rsidR="00B6014B">
        <w:rPr>
          <w:sz w:val="21"/>
        </w:rPr>
        <w:t>）</w:t>
      </w:r>
      <w:r w:rsidRPr="007A5789">
        <w:rPr>
          <w:sz w:val="21"/>
        </w:rPr>
        <w:t>之间的按揭贷款承担。本组织还与FCIG达成了租赁其大楼的一项协议。租赁协议从2012年1月1日起续期7年。</w:t>
      </w:r>
    </w:p>
    <w:p w:rsidR="007A5789" w:rsidRDefault="004B4679" w:rsidP="00134184">
      <w:pPr>
        <w:pStyle w:val="Style3"/>
        <w:numPr>
          <w:ilvl w:val="0"/>
          <w:numId w:val="17"/>
        </w:numPr>
        <w:tabs>
          <w:tab w:val="left" w:pos="770"/>
        </w:tabs>
        <w:overflowPunct w:val="0"/>
        <w:spacing w:afterLines="50" w:line="340" w:lineRule="atLeast"/>
        <w:ind w:left="0" w:firstLine="0"/>
        <w:rPr>
          <w:sz w:val="21"/>
        </w:rPr>
      </w:pPr>
      <w:r w:rsidRPr="007A5789">
        <w:rPr>
          <w:sz w:val="21"/>
        </w:rPr>
        <w:t>根据本组织和FCIG之间签订的租赁协议，双方都有权在任何时候通过双方书面同意来终止协议。WIPO每年支付的租金数额相当于FCIG与BCG之间的按揭借贷每年应偿还的数额</w:t>
      </w:r>
      <w:r w:rsidR="00B6014B">
        <w:rPr>
          <w:sz w:val="21"/>
        </w:rPr>
        <w:t>（</w:t>
      </w:r>
      <w:r w:rsidRPr="007A5789">
        <w:rPr>
          <w:sz w:val="21"/>
        </w:rPr>
        <w:t>利息加上本金</w:t>
      </w:r>
      <w:r w:rsidR="00B6014B">
        <w:rPr>
          <w:sz w:val="21"/>
        </w:rPr>
        <w:t>）</w:t>
      </w:r>
      <w:r w:rsidRPr="007A5789">
        <w:rPr>
          <w:sz w:val="21"/>
        </w:rPr>
        <w:t>。2015年期间，WIPO据此所支付的租金共计232,596瑞郎</w:t>
      </w:r>
      <w:r w:rsidR="00B6014B">
        <w:rPr>
          <w:sz w:val="21"/>
        </w:rPr>
        <w:t>（</w:t>
      </w:r>
      <w:r w:rsidRPr="007A5789">
        <w:rPr>
          <w:sz w:val="21"/>
        </w:rPr>
        <w:t>2014年期间为234,124瑞郎</w:t>
      </w:r>
      <w:r w:rsidR="00B6014B">
        <w:rPr>
          <w:sz w:val="21"/>
        </w:rPr>
        <w:t>）</w:t>
      </w:r>
      <w:r w:rsidRPr="007A5789">
        <w:rPr>
          <w:sz w:val="21"/>
        </w:rPr>
        <w:t>。当前利率为1.48%，将执行到2018年12月31日。自2012年1月1日起，WIPO还确认了针对其向FCIG支付的预付款的年度摊销额188,679瑞郎。此外，本组织还以每年140,112瑞郎租赁停车位。在没有相互终止租赁协定时，WIPO未来在2018年租赁结束前的支付项目</w:t>
      </w:r>
      <w:r w:rsidR="00B6014B">
        <w:rPr>
          <w:sz w:val="21"/>
        </w:rPr>
        <w:t>（</w:t>
      </w:r>
      <w:r w:rsidRPr="007A5789">
        <w:rPr>
          <w:sz w:val="21"/>
        </w:rPr>
        <w:t>包括偿还抵押贷款、预付款摊销和停车位租金</w:t>
      </w:r>
      <w:r w:rsidR="00B6014B">
        <w:rPr>
          <w:sz w:val="21"/>
        </w:rPr>
        <w:t>）</w:t>
      </w:r>
      <w:r w:rsidRPr="007A5789">
        <w:rPr>
          <w:sz w:val="21"/>
        </w:rPr>
        <w:t>如下：</w:t>
      </w:r>
    </w:p>
    <w:p w:rsidR="004B4679" w:rsidRPr="007A5789" w:rsidRDefault="00612CF1" w:rsidP="0074262A">
      <w:pPr>
        <w:spacing w:afterLines="50" w:after="120" w:line="340" w:lineRule="atLeast"/>
        <w:rPr>
          <w:sz w:val="21"/>
        </w:rPr>
      </w:pPr>
      <w:r w:rsidRPr="00EF7E79">
        <w:rPr>
          <w:noProof/>
          <w:sz w:val="21"/>
          <w:lang w:val="en-US" w:bidi="ar-SA"/>
        </w:rPr>
        <w:drawing>
          <wp:inline distT="0" distB="0" distL="0" distR="0" wp14:anchorId="016893EA" wp14:editId="23FF2544">
            <wp:extent cx="5940425" cy="1304228"/>
            <wp:effectExtent l="0" t="0" r="3175" b="0"/>
            <wp:docPr id="329" name="图片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940425" cy="1304228"/>
                    </a:xfrm>
                    <a:prstGeom prst="rect">
                      <a:avLst/>
                    </a:prstGeom>
                    <a:noFill/>
                    <a:ln>
                      <a:noFill/>
                    </a:ln>
                  </pic:spPr>
                </pic:pic>
              </a:graphicData>
            </a:graphic>
          </wp:inline>
        </w:drawing>
      </w:r>
    </w:p>
    <w:p w:rsidR="007A5789" w:rsidRDefault="004B4679" w:rsidP="00134184">
      <w:pPr>
        <w:pStyle w:val="Style3"/>
        <w:numPr>
          <w:ilvl w:val="0"/>
          <w:numId w:val="17"/>
        </w:numPr>
        <w:tabs>
          <w:tab w:val="left" w:pos="770"/>
        </w:tabs>
        <w:overflowPunct w:val="0"/>
        <w:spacing w:afterLines="50" w:line="340" w:lineRule="atLeast"/>
        <w:ind w:left="0" w:firstLine="0"/>
        <w:rPr>
          <w:sz w:val="21"/>
          <w:szCs w:val="22"/>
        </w:rPr>
      </w:pPr>
      <w:r w:rsidRPr="007A5789">
        <w:rPr>
          <w:sz w:val="21"/>
        </w:rPr>
        <w:t>在腾空楼宇时，将偿还WIPO摊销后的预付款余额1,100</w:t>
      </w:r>
      <w:proofErr w:type="gramStart"/>
      <w:r w:rsidRPr="007A5789">
        <w:rPr>
          <w:sz w:val="21"/>
        </w:rPr>
        <w:t>万瑞</w:t>
      </w:r>
      <w:proofErr w:type="gramEnd"/>
      <w:r w:rsidRPr="007A5789">
        <w:rPr>
          <w:sz w:val="21"/>
        </w:rPr>
        <w:t>郎。预付款中剩余的100</w:t>
      </w:r>
      <w:proofErr w:type="gramStart"/>
      <w:r w:rsidRPr="007A5789">
        <w:rPr>
          <w:sz w:val="21"/>
        </w:rPr>
        <w:t>万瑞</w:t>
      </w:r>
      <w:proofErr w:type="gramEnd"/>
      <w:r w:rsidRPr="007A5789">
        <w:rPr>
          <w:sz w:val="21"/>
        </w:rPr>
        <w:t>郎将由FCIG持有，用以将楼宇复还为其原始状态。</w:t>
      </w:r>
    </w:p>
    <w:p w:rsidR="004B4679" w:rsidRPr="007A5789" w:rsidRDefault="004B4679" w:rsidP="00134184">
      <w:pPr>
        <w:pStyle w:val="Style3"/>
        <w:numPr>
          <w:ilvl w:val="0"/>
          <w:numId w:val="17"/>
        </w:numPr>
        <w:tabs>
          <w:tab w:val="left" w:pos="770"/>
        </w:tabs>
        <w:overflowPunct w:val="0"/>
        <w:spacing w:afterLines="50" w:line="340" w:lineRule="atLeast"/>
        <w:ind w:left="0" w:firstLine="0"/>
        <w:rPr>
          <w:sz w:val="21"/>
        </w:rPr>
      </w:pPr>
      <w:r w:rsidRPr="007A5789">
        <w:rPr>
          <w:sz w:val="21"/>
        </w:rPr>
        <w:t>为方便在财务报表中呈现，摊销总值被视为预付租金，并分为流动性部分</w:t>
      </w:r>
      <w:r w:rsidR="00B6014B">
        <w:rPr>
          <w:sz w:val="21"/>
        </w:rPr>
        <w:t>（</w:t>
      </w:r>
      <w:r w:rsidRPr="007A5789">
        <w:rPr>
          <w:sz w:val="21"/>
        </w:rPr>
        <w:t>见附注4</w:t>
      </w:r>
      <w:r w:rsidR="00B6014B">
        <w:rPr>
          <w:sz w:val="21"/>
        </w:rPr>
        <w:t>）</w:t>
      </w:r>
      <w:r w:rsidRPr="007A5789">
        <w:rPr>
          <w:sz w:val="21"/>
        </w:rPr>
        <w:t>和非流动性部分。截至2015年12月31日，该笔预付款总值为60</w:t>
      </w:r>
      <w:proofErr w:type="gramStart"/>
      <w:r w:rsidRPr="007A5789">
        <w:rPr>
          <w:sz w:val="21"/>
        </w:rPr>
        <w:t>万瑞</w:t>
      </w:r>
      <w:proofErr w:type="gramEnd"/>
      <w:r w:rsidRPr="007A5789">
        <w:rPr>
          <w:sz w:val="21"/>
        </w:rPr>
        <w:t>郎。根据IPSAS，WIPO向FCIG支付的预付款余额的剩余部分被视为优惠贷款，</w:t>
      </w:r>
      <w:proofErr w:type="gramStart"/>
      <w:r w:rsidRPr="007A5789">
        <w:rPr>
          <w:sz w:val="21"/>
        </w:rPr>
        <w:t>按折余成本</w:t>
      </w:r>
      <w:proofErr w:type="gramEnd"/>
      <w:r w:rsidRPr="007A5789">
        <w:rPr>
          <w:sz w:val="21"/>
        </w:rPr>
        <w:t>计量。优惠贷款中的免息部分也记为预付款，并分为流动性部分</w:t>
      </w:r>
      <w:r w:rsidR="00B6014B">
        <w:rPr>
          <w:sz w:val="21"/>
        </w:rPr>
        <w:t>（</w:t>
      </w:r>
      <w:r w:rsidRPr="007A5789">
        <w:rPr>
          <w:sz w:val="21"/>
        </w:rPr>
        <w:t>见附注4</w:t>
      </w:r>
      <w:r w:rsidR="00B6014B">
        <w:rPr>
          <w:sz w:val="21"/>
        </w:rPr>
        <w:t>）</w:t>
      </w:r>
      <w:r w:rsidRPr="007A5789">
        <w:rPr>
          <w:sz w:val="21"/>
        </w:rPr>
        <w:t>和非流动性部分。该笔预付款在租赁协议期内不断减少，截至2015年12月31日，预付款总值为40</w:t>
      </w:r>
      <w:proofErr w:type="gramStart"/>
      <w:r w:rsidRPr="007A5789">
        <w:rPr>
          <w:sz w:val="21"/>
        </w:rPr>
        <w:t>万瑞</w:t>
      </w:r>
      <w:proofErr w:type="gramEnd"/>
      <w:r w:rsidRPr="007A5789">
        <w:rPr>
          <w:sz w:val="21"/>
        </w:rPr>
        <w:t>郎。</w:t>
      </w:r>
    </w:p>
    <w:p w:rsidR="007A5789" w:rsidRPr="007C2134" w:rsidRDefault="004B4679" w:rsidP="007C2134">
      <w:pPr>
        <w:pStyle w:val="3"/>
        <w:overflowPunct w:val="0"/>
        <w:spacing w:beforeLines="100" w:afterLines="50" w:after="120" w:line="340" w:lineRule="atLeast"/>
        <w:rPr>
          <w:rFonts w:ascii="SimHei" w:eastAsia="SimHei" w:hAnsi="SimHei"/>
          <w:b w:val="0"/>
          <w:sz w:val="21"/>
        </w:rPr>
      </w:pPr>
      <w:bookmarkStart w:id="80" w:name="_Toc441218499"/>
      <w:bookmarkStart w:id="81" w:name="_Toc455733230"/>
      <w:bookmarkStart w:id="82" w:name="_Toc456711744"/>
      <w:r w:rsidRPr="007C2134">
        <w:rPr>
          <w:rFonts w:ascii="SimHei" w:eastAsia="SimHei" w:hAnsi="SimHei"/>
          <w:b w:val="0"/>
          <w:sz w:val="21"/>
        </w:rPr>
        <w:lastRenderedPageBreak/>
        <w:t>附注11：应付账款</w:t>
      </w:r>
      <w:bookmarkEnd w:id="80"/>
      <w:bookmarkEnd w:id="81"/>
      <w:bookmarkEnd w:id="82"/>
    </w:p>
    <w:p w:rsidR="004B4679" w:rsidRPr="007A5789" w:rsidRDefault="007525E4" w:rsidP="007525E4">
      <w:pPr>
        <w:spacing w:afterLines="50" w:after="120" w:line="340" w:lineRule="atLeast"/>
        <w:jc w:val="center"/>
        <w:rPr>
          <w:sz w:val="21"/>
        </w:rPr>
      </w:pPr>
      <w:r w:rsidRPr="00EF7E79">
        <w:rPr>
          <w:noProof/>
          <w:sz w:val="21"/>
          <w:lang w:val="en-US" w:bidi="ar-SA"/>
        </w:rPr>
        <w:drawing>
          <wp:inline distT="0" distB="0" distL="0" distR="0" wp14:anchorId="18F7F3D0" wp14:editId="7B513056">
            <wp:extent cx="5934075" cy="1362075"/>
            <wp:effectExtent l="0" t="0" r="9525" b="0"/>
            <wp:docPr id="330" name="图片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934075" cy="1362075"/>
                    </a:xfrm>
                    <a:prstGeom prst="rect">
                      <a:avLst/>
                    </a:prstGeom>
                    <a:noFill/>
                    <a:ln>
                      <a:noFill/>
                    </a:ln>
                  </pic:spPr>
                </pic:pic>
              </a:graphicData>
            </a:graphic>
          </wp:inline>
        </w:drawing>
      </w:r>
    </w:p>
    <w:p w:rsidR="00AD1872" w:rsidRPr="007A5789" w:rsidRDefault="004B4679" w:rsidP="002C437E">
      <w:pPr>
        <w:pStyle w:val="Style3"/>
        <w:tabs>
          <w:tab w:val="left" w:pos="770"/>
        </w:tabs>
        <w:overflowPunct w:val="0"/>
        <w:spacing w:afterLines="50" w:line="340" w:lineRule="atLeast"/>
        <w:rPr>
          <w:sz w:val="21"/>
        </w:rPr>
      </w:pPr>
      <w:r w:rsidRPr="007A5789">
        <w:rPr>
          <w:sz w:val="21"/>
        </w:rPr>
        <w:t>11.1.</w:t>
      </w:r>
      <w:r w:rsidR="00624A89" w:rsidRPr="007A5789">
        <w:rPr>
          <w:sz w:val="21"/>
        </w:rPr>
        <w:tab/>
      </w:r>
      <w:r w:rsidRPr="007A5789">
        <w:rPr>
          <w:sz w:val="21"/>
        </w:rPr>
        <w:t>应付账款包括从供应商那里收取但尚未结账的发票，其中包括以瑞郎之外的货币计价的应付发票重估数值。</w:t>
      </w:r>
    </w:p>
    <w:p w:rsidR="007A5789" w:rsidRPr="007C2134" w:rsidRDefault="004B4679" w:rsidP="007C2134">
      <w:pPr>
        <w:pStyle w:val="3"/>
        <w:overflowPunct w:val="0"/>
        <w:spacing w:beforeLines="100" w:afterLines="50" w:after="120" w:line="340" w:lineRule="atLeast"/>
        <w:rPr>
          <w:rFonts w:ascii="SimHei" w:eastAsia="SimHei" w:hAnsi="SimHei"/>
          <w:b w:val="0"/>
          <w:sz w:val="21"/>
        </w:rPr>
      </w:pPr>
      <w:bookmarkStart w:id="83" w:name="_Toc441218500"/>
      <w:bookmarkStart w:id="84" w:name="_Toc455733231"/>
      <w:bookmarkStart w:id="85" w:name="_Toc456711745"/>
      <w:r w:rsidRPr="007C2134">
        <w:rPr>
          <w:rFonts w:ascii="SimHei" w:eastAsia="SimHei" w:hAnsi="SimHei"/>
          <w:b w:val="0"/>
          <w:sz w:val="21"/>
        </w:rPr>
        <w:t>附注12：雇员福利</w:t>
      </w:r>
      <w:bookmarkEnd w:id="83"/>
      <w:bookmarkEnd w:id="84"/>
      <w:bookmarkEnd w:id="85"/>
    </w:p>
    <w:p w:rsidR="004B4679" w:rsidRPr="007A5789" w:rsidRDefault="007525E4" w:rsidP="007525E4">
      <w:pPr>
        <w:spacing w:afterLines="50" w:after="120" w:line="340" w:lineRule="atLeast"/>
        <w:jc w:val="center"/>
        <w:rPr>
          <w:sz w:val="21"/>
        </w:rPr>
      </w:pPr>
      <w:r w:rsidRPr="00EF7E79">
        <w:rPr>
          <w:noProof/>
          <w:sz w:val="21"/>
          <w:lang w:val="en-US" w:bidi="ar-SA"/>
        </w:rPr>
        <w:drawing>
          <wp:inline distT="0" distB="0" distL="0" distR="0" wp14:anchorId="5FE8ACBA" wp14:editId="7C374DAF">
            <wp:extent cx="5934075" cy="3571875"/>
            <wp:effectExtent l="0" t="0" r="9525" b="0"/>
            <wp:docPr id="331" name="图片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934075" cy="3571875"/>
                    </a:xfrm>
                    <a:prstGeom prst="rect">
                      <a:avLst/>
                    </a:prstGeom>
                    <a:noFill/>
                    <a:ln>
                      <a:noFill/>
                    </a:ln>
                  </pic:spPr>
                </pic:pic>
              </a:graphicData>
            </a:graphic>
          </wp:inline>
        </w:drawing>
      </w:r>
    </w:p>
    <w:p w:rsidR="007A5789" w:rsidRDefault="004B4679" w:rsidP="00134184">
      <w:pPr>
        <w:pStyle w:val="Style3"/>
        <w:numPr>
          <w:ilvl w:val="0"/>
          <w:numId w:val="18"/>
        </w:numPr>
        <w:tabs>
          <w:tab w:val="left" w:pos="770"/>
        </w:tabs>
        <w:overflowPunct w:val="0"/>
        <w:spacing w:afterLines="50" w:line="340" w:lineRule="atLeast"/>
        <w:ind w:left="0" w:firstLine="0"/>
        <w:rPr>
          <w:sz w:val="21"/>
        </w:rPr>
      </w:pPr>
      <w:r w:rsidRPr="007A5789">
        <w:rPr>
          <w:sz w:val="21"/>
        </w:rPr>
        <w:t>雇员福利包括：</w:t>
      </w:r>
    </w:p>
    <w:p w:rsidR="007A5789" w:rsidRDefault="004B4679" w:rsidP="007525E4">
      <w:pPr>
        <w:pStyle w:val="Style3"/>
        <w:tabs>
          <w:tab w:val="left" w:pos="567"/>
          <w:tab w:val="left" w:pos="709"/>
        </w:tabs>
        <w:spacing w:afterLines="50" w:line="340" w:lineRule="atLeast"/>
        <w:ind w:leftChars="350" w:left="770"/>
        <w:rPr>
          <w:sz w:val="21"/>
        </w:rPr>
      </w:pPr>
      <w:r w:rsidRPr="007525E4">
        <w:rPr>
          <w:rFonts w:ascii="KaiTi" w:eastAsia="KaiTi" w:hAnsi="KaiTi"/>
          <w:sz w:val="21"/>
        </w:rPr>
        <w:t>短期雇员福利</w:t>
      </w:r>
      <w:r w:rsidRPr="007A5789">
        <w:rPr>
          <w:sz w:val="21"/>
        </w:rPr>
        <w:t>，包括薪水、津贴、初次分配工作津贴、受抚养子女教育津贴、带薪年假、带薪病假、事故和人寿保险。</w:t>
      </w:r>
    </w:p>
    <w:p w:rsidR="007A5789" w:rsidRDefault="004B4679" w:rsidP="007525E4">
      <w:pPr>
        <w:pStyle w:val="Style3"/>
        <w:tabs>
          <w:tab w:val="left" w:pos="567"/>
          <w:tab w:val="left" w:pos="709"/>
        </w:tabs>
        <w:spacing w:afterLines="50" w:line="340" w:lineRule="atLeast"/>
        <w:ind w:leftChars="350" w:left="770"/>
        <w:rPr>
          <w:sz w:val="21"/>
        </w:rPr>
      </w:pPr>
      <w:r w:rsidRPr="007525E4">
        <w:rPr>
          <w:rFonts w:ascii="KaiTi" w:eastAsia="KaiTi" w:hAnsi="KaiTi"/>
          <w:sz w:val="21"/>
        </w:rPr>
        <w:t>长期雇员福利</w:t>
      </w:r>
      <w:r w:rsidR="00B6014B">
        <w:rPr>
          <w:sz w:val="21"/>
        </w:rPr>
        <w:t>（</w:t>
      </w:r>
      <w:r w:rsidRPr="007A5789">
        <w:rPr>
          <w:sz w:val="21"/>
        </w:rPr>
        <w:t>或离职后雇员福利</w:t>
      </w:r>
      <w:r w:rsidR="00B6014B">
        <w:rPr>
          <w:sz w:val="21"/>
        </w:rPr>
        <w:t>）</w:t>
      </w:r>
      <w:r w:rsidRPr="007A5789">
        <w:rPr>
          <w:sz w:val="21"/>
        </w:rPr>
        <w:t>包括ASHI等离职后福利，以及其他长期雇员福利，如离职福利，包含由回国补助金、回国差旅和私人物品装运；</w:t>
      </w:r>
    </w:p>
    <w:p w:rsidR="004B4679" w:rsidRPr="007A5789" w:rsidRDefault="004B4679" w:rsidP="007525E4">
      <w:pPr>
        <w:pStyle w:val="a4"/>
        <w:tabs>
          <w:tab w:val="left" w:pos="567"/>
        </w:tabs>
        <w:spacing w:afterLines="50" w:after="120" w:line="340" w:lineRule="atLeast"/>
        <w:ind w:leftChars="350" w:left="770"/>
        <w:rPr>
          <w:sz w:val="21"/>
          <w:szCs w:val="22"/>
        </w:rPr>
      </w:pPr>
      <w:r w:rsidRPr="00270372">
        <w:rPr>
          <w:rFonts w:ascii="KaiTi" w:eastAsia="KaiTi" w:hAnsi="KaiTi"/>
          <w:sz w:val="21"/>
        </w:rPr>
        <w:t>终止津贴</w:t>
      </w:r>
      <w:r w:rsidRPr="007A5789">
        <w:rPr>
          <w:sz w:val="21"/>
        </w:rPr>
        <w:t>，包括向持有长期或固定任期合同而其任期已在合同终止前由本组织终止的工作人员支付的赔偿金。</w:t>
      </w:r>
    </w:p>
    <w:p w:rsidR="007A5789" w:rsidRDefault="004B4679" w:rsidP="001E1DEA">
      <w:pPr>
        <w:pStyle w:val="Style3Bold"/>
        <w:keepNext/>
        <w:spacing w:beforeLines="100" w:before="240" w:afterLines="50" w:line="340" w:lineRule="atLeast"/>
        <w:rPr>
          <w:sz w:val="21"/>
        </w:rPr>
      </w:pPr>
      <w:r w:rsidRPr="007A5789">
        <w:rPr>
          <w:sz w:val="21"/>
        </w:rPr>
        <w:t>短期雇员福利</w:t>
      </w:r>
    </w:p>
    <w:p w:rsidR="007A5789" w:rsidRDefault="004B4679" w:rsidP="00134184">
      <w:pPr>
        <w:pStyle w:val="Style3"/>
        <w:numPr>
          <w:ilvl w:val="0"/>
          <w:numId w:val="18"/>
        </w:numPr>
        <w:tabs>
          <w:tab w:val="left" w:pos="770"/>
        </w:tabs>
        <w:overflowPunct w:val="0"/>
        <w:spacing w:afterLines="50" w:line="340" w:lineRule="atLeast"/>
        <w:ind w:left="0" w:firstLine="0"/>
        <w:rPr>
          <w:sz w:val="21"/>
        </w:rPr>
      </w:pPr>
      <w:r w:rsidRPr="007A5789">
        <w:rPr>
          <w:sz w:val="21"/>
        </w:rPr>
        <w:t>本组织还确认了以下短期津贴义务，其价值以报告日应向每一工作人员支付的金额为准。</w:t>
      </w:r>
    </w:p>
    <w:p w:rsidR="007A5789" w:rsidRDefault="004B4679" w:rsidP="00134184">
      <w:pPr>
        <w:pStyle w:val="Style3"/>
        <w:numPr>
          <w:ilvl w:val="0"/>
          <w:numId w:val="18"/>
        </w:numPr>
        <w:tabs>
          <w:tab w:val="left" w:pos="770"/>
        </w:tabs>
        <w:overflowPunct w:val="0"/>
        <w:spacing w:afterLines="50" w:line="340" w:lineRule="atLeast"/>
        <w:ind w:left="0" w:firstLine="0"/>
        <w:rPr>
          <w:sz w:val="21"/>
        </w:rPr>
      </w:pPr>
      <w:r w:rsidRPr="00AC4C1F">
        <w:rPr>
          <w:rFonts w:ascii="KaiTi" w:eastAsia="KaiTi" w:hAnsi="KaiTi"/>
          <w:b/>
          <w:sz w:val="21"/>
        </w:rPr>
        <w:lastRenderedPageBreak/>
        <w:t>累计假期</w:t>
      </w:r>
      <w:r w:rsidRPr="007A5789">
        <w:rPr>
          <w:sz w:val="21"/>
        </w:rPr>
        <w:t>：工作人员享有30天年假。根据《工作人员条例</w:t>
      </w:r>
      <w:r w:rsidR="0074262A">
        <w:rPr>
          <w:rFonts w:hint="eastAsia"/>
          <w:sz w:val="21"/>
        </w:rPr>
        <w:t>与细则</w:t>
      </w:r>
      <w:r w:rsidRPr="007A5789">
        <w:rPr>
          <w:sz w:val="21"/>
        </w:rPr>
        <w:t>》</w:t>
      </w:r>
      <w:r w:rsidR="0074262A">
        <w:rPr>
          <w:sz w:val="21"/>
        </w:rPr>
        <w:t>（</w:t>
      </w:r>
      <w:r w:rsidR="0074262A" w:rsidRPr="007A5789">
        <w:rPr>
          <w:sz w:val="21"/>
        </w:rPr>
        <w:t>SRR</w:t>
      </w:r>
      <w:r w:rsidR="0074262A">
        <w:rPr>
          <w:sz w:val="21"/>
        </w:rPr>
        <w:t>）</w:t>
      </w:r>
      <w:r w:rsidRPr="007A5789">
        <w:rPr>
          <w:sz w:val="21"/>
        </w:rPr>
        <w:t>，工作人员可以将至多15天的年假累积到给定的某一年，共可累计60天。但是，在2013年1月1日前累计年假超过60天的工作人员有权保留这些年假到2018年1月1日。尽管年假是一种短期雇员福利，但是工作人员有权累计未使用的年假并在离职时收取款项代替未使用的年假</w:t>
      </w:r>
      <w:r w:rsidR="00DF7115">
        <w:rPr>
          <w:sz w:val="21"/>
        </w:rPr>
        <w:t>，</w:t>
      </w:r>
      <w:r w:rsidRPr="007A5789">
        <w:rPr>
          <w:sz w:val="21"/>
        </w:rPr>
        <w:t>因此累计的假期被归类为非流动负债。在特殊情况下，工作人员可能提前获得最多10个工作日的年假。这些工作人员包含在累计</w:t>
      </w:r>
      <w:proofErr w:type="gramStart"/>
      <w:r w:rsidRPr="007A5789">
        <w:rPr>
          <w:rFonts w:hint="eastAsia"/>
          <w:sz w:val="21"/>
        </w:rPr>
        <w:t>休假</w:t>
      </w:r>
      <w:r w:rsidRPr="007A5789">
        <w:rPr>
          <w:sz w:val="21"/>
        </w:rPr>
        <w:t>总</w:t>
      </w:r>
      <w:proofErr w:type="gramEnd"/>
      <w:r w:rsidRPr="007A5789">
        <w:rPr>
          <w:sz w:val="21"/>
        </w:rPr>
        <w:t>余额计算中。报告日时的</w:t>
      </w:r>
      <w:proofErr w:type="gramStart"/>
      <w:r w:rsidRPr="007A5789">
        <w:rPr>
          <w:sz w:val="21"/>
        </w:rPr>
        <w:t>未偿</w:t>
      </w:r>
      <w:proofErr w:type="gramEnd"/>
      <w:r w:rsidRPr="007A5789">
        <w:rPr>
          <w:sz w:val="21"/>
        </w:rPr>
        <w:t>债务总额为1,260</w:t>
      </w:r>
      <w:proofErr w:type="gramStart"/>
      <w:r w:rsidRPr="007A5789">
        <w:rPr>
          <w:sz w:val="21"/>
        </w:rPr>
        <w:t>万瑞</w:t>
      </w:r>
      <w:proofErr w:type="gramEnd"/>
      <w:r w:rsidRPr="007A5789">
        <w:rPr>
          <w:sz w:val="21"/>
        </w:rPr>
        <w:t>郎</w:t>
      </w:r>
      <w:r w:rsidR="00B6014B">
        <w:rPr>
          <w:sz w:val="21"/>
        </w:rPr>
        <w:t>（</w:t>
      </w:r>
      <w:r w:rsidRPr="007A5789">
        <w:rPr>
          <w:sz w:val="21"/>
        </w:rPr>
        <w:t>2014年12月31日为1,290</w:t>
      </w:r>
      <w:proofErr w:type="gramStart"/>
      <w:r w:rsidRPr="007A5789">
        <w:rPr>
          <w:sz w:val="21"/>
        </w:rPr>
        <w:t>万瑞</w:t>
      </w:r>
      <w:proofErr w:type="gramEnd"/>
      <w:r w:rsidRPr="007A5789">
        <w:rPr>
          <w:sz w:val="21"/>
        </w:rPr>
        <w:t>郎</w:t>
      </w:r>
      <w:r w:rsidR="00B6014B">
        <w:rPr>
          <w:sz w:val="21"/>
        </w:rPr>
        <w:t>）</w:t>
      </w:r>
      <w:r w:rsidRPr="007A5789">
        <w:rPr>
          <w:sz w:val="21"/>
        </w:rPr>
        <w:t>。</w:t>
      </w:r>
    </w:p>
    <w:p w:rsidR="007A5789" w:rsidRDefault="004B4679" w:rsidP="00134184">
      <w:pPr>
        <w:pStyle w:val="Style3"/>
        <w:numPr>
          <w:ilvl w:val="0"/>
          <w:numId w:val="18"/>
        </w:numPr>
        <w:tabs>
          <w:tab w:val="left" w:pos="770"/>
        </w:tabs>
        <w:overflowPunct w:val="0"/>
        <w:spacing w:afterLines="50" w:line="340" w:lineRule="atLeast"/>
        <w:ind w:left="0" w:firstLine="0"/>
        <w:rPr>
          <w:sz w:val="21"/>
        </w:rPr>
      </w:pPr>
      <w:r w:rsidRPr="00AC4C1F">
        <w:rPr>
          <w:rFonts w:ascii="KaiTi" w:eastAsia="KaiTi" w:hAnsi="KaiTi"/>
          <w:b/>
          <w:sz w:val="21"/>
        </w:rPr>
        <w:t>回籍假</w:t>
      </w:r>
      <w:r w:rsidRPr="007A5789">
        <w:rPr>
          <w:sz w:val="21"/>
        </w:rPr>
        <w:t>：某些国际征</w:t>
      </w:r>
      <w:r w:rsidR="0074262A">
        <w:rPr>
          <w:rFonts w:hint="eastAsia"/>
          <w:sz w:val="21"/>
        </w:rPr>
        <w:t>聘</w:t>
      </w:r>
      <w:r w:rsidRPr="007A5789">
        <w:rPr>
          <w:sz w:val="21"/>
        </w:rPr>
        <w:t>工作人员本人和家属每隔一年享有返回其家庭所在国家的回籍假。在报告日应得却未休的回籍假</w:t>
      </w:r>
      <w:proofErr w:type="gramStart"/>
      <w:r w:rsidRPr="007A5789">
        <w:rPr>
          <w:sz w:val="21"/>
        </w:rPr>
        <w:t>未偿</w:t>
      </w:r>
      <w:proofErr w:type="gramEnd"/>
      <w:r w:rsidRPr="007A5789">
        <w:rPr>
          <w:sz w:val="21"/>
        </w:rPr>
        <w:t>债务总额为30</w:t>
      </w:r>
      <w:proofErr w:type="gramStart"/>
      <w:r w:rsidRPr="007A5789">
        <w:rPr>
          <w:sz w:val="21"/>
        </w:rPr>
        <w:t>万瑞</w:t>
      </w:r>
      <w:proofErr w:type="gramEnd"/>
      <w:r w:rsidRPr="007A5789">
        <w:rPr>
          <w:sz w:val="21"/>
        </w:rPr>
        <w:t>郎</w:t>
      </w:r>
      <w:r w:rsidR="00B6014B">
        <w:rPr>
          <w:sz w:val="21"/>
        </w:rPr>
        <w:t>（</w:t>
      </w:r>
      <w:r w:rsidRPr="007A5789">
        <w:rPr>
          <w:sz w:val="21"/>
        </w:rPr>
        <w:t>2014年12月31日为50</w:t>
      </w:r>
      <w:proofErr w:type="gramStart"/>
      <w:r w:rsidRPr="007A5789">
        <w:rPr>
          <w:sz w:val="21"/>
        </w:rPr>
        <w:t>万瑞</w:t>
      </w:r>
      <w:proofErr w:type="gramEnd"/>
      <w:r w:rsidRPr="007A5789">
        <w:rPr>
          <w:sz w:val="21"/>
        </w:rPr>
        <w:t>郎</w:t>
      </w:r>
      <w:r w:rsidR="00B6014B">
        <w:rPr>
          <w:sz w:val="21"/>
        </w:rPr>
        <w:t>）</w:t>
      </w:r>
      <w:r w:rsidRPr="007A5789">
        <w:rPr>
          <w:sz w:val="21"/>
        </w:rPr>
        <w:t>。</w:t>
      </w:r>
    </w:p>
    <w:p w:rsidR="007A5789" w:rsidRDefault="004B4679" w:rsidP="00134184">
      <w:pPr>
        <w:pStyle w:val="Style3"/>
        <w:numPr>
          <w:ilvl w:val="0"/>
          <w:numId w:val="18"/>
        </w:numPr>
        <w:tabs>
          <w:tab w:val="left" w:pos="770"/>
        </w:tabs>
        <w:overflowPunct w:val="0"/>
        <w:spacing w:afterLines="50" w:line="340" w:lineRule="atLeast"/>
        <w:ind w:left="0" w:firstLine="0"/>
        <w:rPr>
          <w:sz w:val="21"/>
          <w:szCs w:val="22"/>
        </w:rPr>
      </w:pPr>
      <w:r w:rsidRPr="00AC4C1F">
        <w:rPr>
          <w:rFonts w:ascii="KaiTi" w:eastAsia="KaiTi" w:hAnsi="KaiTi"/>
          <w:b/>
          <w:sz w:val="21"/>
        </w:rPr>
        <w:t>加班</w:t>
      </w:r>
      <w:r w:rsidRPr="007A5789">
        <w:rPr>
          <w:sz w:val="21"/>
        </w:rPr>
        <w:t>：某些工作人员在SRR确定的期限到期之后加班可以获得现金支付。报告日时应付金额共计60</w:t>
      </w:r>
      <w:proofErr w:type="gramStart"/>
      <w:r w:rsidRPr="007A5789">
        <w:rPr>
          <w:sz w:val="21"/>
        </w:rPr>
        <w:t>万瑞</w:t>
      </w:r>
      <w:proofErr w:type="gramEnd"/>
      <w:r w:rsidRPr="007A5789">
        <w:rPr>
          <w:sz w:val="21"/>
        </w:rPr>
        <w:t>郎[2014年12月31日为50</w:t>
      </w:r>
      <w:proofErr w:type="gramStart"/>
      <w:r w:rsidRPr="007A5789">
        <w:rPr>
          <w:sz w:val="21"/>
        </w:rPr>
        <w:t>万瑞</w:t>
      </w:r>
      <w:proofErr w:type="gramEnd"/>
      <w:r w:rsidRPr="007A5789">
        <w:rPr>
          <w:sz w:val="21"/>
        </w:rPr>
        <w:t>郎]。</w:t>
      </w:r>
    </w:p>
    <w:p w:rsidR="007A5789" w:rsidRDefault="004B4679" w:rsidP="00134184">
      <w:pPr>
        <w:pStyle w:val="Style3"/>
        <w:numPr>
          <w:ilvl w:val="0"/>
          <w:numId w:val="18"/>
        </w:numPr>
        <w:tabs>
          <w:tab w:val="left" w:pos="770"/>
        </w:tabs>
        <w:overflowPunct w:val="0"/>
        <w:spacing w:afterLines="50" w:line="340" w:lineRule="atLeast"/>
        <w:ind w:left="0" w:firstLine="0"/>
        <w:rPr>
          <w:sz w:val="21"/>
          <w:szCs w:val="22"/>
        </w:rPr>
      </w:pPr>
      <w:r w:rsidRPr="00AC4C1F">
        <w:rPr>
          <w:rFonts w:ascii="KaiTi" w:eastAsia="KaiTi" w:hAnsi="KaiTi"/>
          <w:b/>
          <w:sz w:val="21"/>
        </w:rPr>
        <w:t>教育补助金</w:t>
      </w:r>
      <w:r w:rsidR="0074262A">
        <w:rPr>
          <w:sz w:val="21"/>
        </w:rPr>
        <w:t>：某些国际</w:t>
      </w:r>
      <w:r w:rsidR="0074262A">
        <w:rPr>
          <w:rFonts w:hint="eastAsia"/>
          <w:sz w:val="21"/>
        </w:rPr>
        <w:t>征聘</w:t>
      </w:r>
      <w:r w:rsidRPr="007A5789">
        <w:rPr>
          <w:sz w:val="21"/>
        </w:rPr>
        <w:t>的工作人员，居住在其本国的除外，均可领取一笔补助金，这笔补助金可以支付75.0%的受抚养子女教育费，直至高等教育学习的第四年为止，但是不能超过每一子女年满25周岁这一学年年底为止。应付教育补助金的负债与从学校/大学学年开始至2015年12月31日期间应缴费的月数有关。报告日时的债务总额为190</w:t>
      </w:r>
      <w:proofErr w:type="gramStart"/>
      <w:r w:rsidRPr="007A5789">
        <w:rPr>
          <w:sz w:val="21"/>
        </w:rPr>
        <w:t>万瑞</w:t>
      </w:r>
      <w:proofErr w:type="gramEnd"/>
      <w:r w:rsidRPr="007A5789">
        <w:rPr>
          <w:sz w:val="21"/>
        </w:rPr>
        <w:t>郎</w:t>
      </w:r>
      <w:r w:rsidR="00B6014B">
        <w:rPr>
          <w:sz w:val="21"/>
        </w:rPr>
        <w:t>（</w:t>
      </w:r>
      <w:r w:rsidRPr="007A5789">
        <w:rPr>
          <w:sz w:val="21"/>
        </w:rPr>
        <w:t>2014年12月31日为190</w:t>
      </w:r>
      <w:proofErr w:type="gramStart"/>
      <w:r w:rsidRPr="007A5789">
        <w:rPr>
          <w:sz w:val="21"/>
        </w:rPr>
        <w:t>万瑞</w:t>
      </w:r>
      <w:proofErr w:type="gramEnd"/>
      <w:r w:rsidRPr="007A5789">
        <w:rPr>
          <w:sz w:val="21"/>
        </w:rPr>
        <w:t>郎</w:t>
      </w:r>
      <w:r w:rsidR="00B6014B">
        <w:rPr>
          <w:sz w:val="21"/>
        </w:rPr>
        <w:t>）</w:t>
      </w:r>
      <w:r w:rsidRPr="007A5789">
        <w:rPr>
          <w:sz w:val="21"/>
        </w:rPr>
        <w:t>。</w:t>
      </w:r>
    </w:p>
    <w:p w:rsidR="007A5789" w:rsidRDefault="004B4679" w:rsidP="00134184">
      <w:pPr>
        <w:pStyle w:val="Style3"/>
        <w:numPr>
          <w:ilvl w:val="0"/>
          <w:numId w:val="18"/>
        </w:numPr>
        <w:tabs>
          <w:tab w:val="left" w:pos="770"/>
        </w:tabs>
        <w:overflowPunct w:val="0"/>
        <w:spacing w:afterLines="50" w:line="340" w:lineRule="atLeast"/>
        <w:ind w:left="0" w:firstLine="0"/>
        <w:rPr>
          <w:sz w:val="21"/>
          <w:szCs w:val="22"/>
        </w:rPr>
      </w:pPr>
      <w:r w:rsidRPr="00AC4C1F">
        <w:rPr>
          <w:rFonts w:ascii="KaiTi" w:eastAsia="KaiTi" w:hAnsi="KaiTi"/>
          <w:b/>
          <w:sz w:val="21"/>
        </w:rPr>
        <w:t>绩效奖励</w:t>
      </w:r>
      <w:r w:rsidRPr="007A5789">
        <w:rPr>
          <w:sz w:val="21"/>
        </w:rPr>
        <w:t>：按照WIPO奖励与表彰计划，对于</w:t>
      </w:r>
      <w:r w:rsidR="0074262A">
        <w:rPr>
          <w:sz w:val="21"/>
        </w:rPr>
        <w:t>绩效</w:t>
      </w:r>
      <w:r w:rsidRPr="007A5789">
        <w:rPr>
          <w:sz w:val="21"/>
        </w:rPr>
        <w:t>出色的工作人员，可考虑给予2,500瑞郎或5,000瑞郎的一次性总付现金奖励。根据当年所作决定，截至2015年12月31日应付员工的</w:t>
      </w:r>
      <w:r w:rsidR="0074262A">
        <w:rPr>
          <w:sz w:val="21"/>
        </w:rPr>
        <w:t>绩效</w:t>
      </w:r>
      <w:r w:rsidRPr="007A5789">
        <w:rPr>
          <w:sz w:val="21"/>
        </w:rPr>
        <w:t>奖励总额为30</w:t>
      </w:r>
      <w:proofErr w:type="gramStart"/>
      <w:r w:rsidRPr="007A5789">
        <w:rPr>
          <w:sz w:val="21"/>
        </w:rPr>
        <w:t>万瑞</w:t>
      </w:r>
      <w:proofErr w:type="gramEnd"/>
      <w:r w:rsidRPr="007A5789">
        <w:rPr>
          <w:sz w:val="21"/>
        </w:rPr>
        <w:t>郎[2014年12月31日为20</w:t>
      </w:r>
      <w:proofErr w:type="gramStart"/>
      <w:r w:rsidRPr="007A5789">
        <w:rPr>
          <w:sz w:val="21"/>
        </w:rPr>
        <w:t>万瑞</w:t>
      </w:r>
      <w:proofErr w:type="gramEnd"/>
      <w:r w:rsidRPr="007A5789">
        <w:rPr>
          <w:sz w:val="21"/>
        </w:rPr>
        <w:t>郎]。</w:t>
      </w:r>
    </w:p>
    <w:p w:rsidR="007A5789" w:rsidRDefault="004B4679" w:rsidP="001E1DEA">
      <w:pPr>
        <w:pStyle w:val="Style3Bold"/>
        <w:keepNext/>
        <w:spacing w:beforeLines="100" w:before="240" w:afterLines="50" w:line="340" w:lineRule="atLeast"/>
        <w:rPr>
          <w:sz w:val="21"/>
        </w:rPr>
      </w:pPr>
      <w:r w:rsidRPr="007A5789">
        <w:rPr>
          <w:sz w:val="21"/>
        </w:rPr>
        <w:t>长期雇员福利</w:t>
      </w:r>
    </w:p>
    <w:p w:rsidR="007A5789" w:rsidRDefault="004B4679" w:rsidP="00134184">
      <w:pPr>
        <w:pStyle w:val="Style3"/>
        <w:numPr>
          <w:ilvl w:val="0"/>
          <w:numId w:val="18"/>
        </w:numPr>
        <w:tabs>
          <w:tab w:val="left" w:pos="770"/>
        </w:tabs>
        <w:overflowPunct w:val="0"/>
        <w:spacing w:afterLines="50" w:line="340" w:lineRule="atLeast"/>
        <w:ind w:left="0" w:firstLine="0"/>
        <w:rPr>
          <w:sz w:val="21"/>
        </w:rPr>
      </w:pPr>
      <w:r w:rsidRPr="00AC4C1F">
        <w:rPr>
          <w:rFonts w:ascii="KaiTi" w:eastAsia="KaiTi" w:hAnsi="KaiTi"/>
          <w:b/>
          <w:sz w:val="21"/>
        </w:rPr>
        <w:t>关闭的养恤基金</w:t>
      </w:r>
      <w:r w:rsidR="00B6014B" w:rsidRPr="00AC4C1F">
        <w:rPr>
          <w:rFonts w:ascii="KaiTi" w:eastAsia="KaiTi" w:hAnsi="KaiTi"/>
          <w:b/>
          <w:sz w:val="21"/>
        </w:rPr>
        <w:t>（</w:t>
      </w:r>
      <w:r w:rsidRPr="00AC4C1F">
        <w:rPr>
          <w:rFonts w:ascii="KaiTi" w:eastAsia="KaiTi" w:hAnsi="KaiTi"/>
          <w:b/>
          <w:sz w:val="21"/>
        </w:rPr>
        <w:t>CROMPI</w:t>
      </w:r>
      <w:r w:rsidR="00B6014B" w:rsidRPr="00AC4C1F">
        <w:rPr>
          <w:rFonts w:ascii="KaiTi" w:eastAsia="KaiTi" w:hAnsi="KaiTi"/>
          <w:b/>
          <w:sz w:val="21"/>
        </w:rPr>
        <w:t>）</w:t>
      </w:r>
      <w:r w:rsidRPr="007A5789">
        <w:rPr>
          <w:sz w:val="21"/>
        </w:rPr>
        <w:t>：在加入联合国合办工作人员养恤基金</w:t>
      </w:r>
      <w:r w:rsidR="00B6014B">
        <w:rPr>
          <w:sz w:val="21"/>
        </w:rPr>
        <w:t>（</w:t>
      </w:r>
      <w:r w:rsidRPr="007A5789">
        <w:rPr>
          <w:sz w:val="21"/>
        </w:rPr>
        <w:t>UNJSPF</w:t>
      </w:r>
      <w:r w:rsidR="00B6014B">
        <w:rPr>
          <w:sz w:val="21"/>
        </w:rPr>
        <w:t>）</w:t>
      </w:r>
      <w:r w:rsidRPr="007A5789">
        <w:rPr>
          <w:sz w:val="21"/>
        </w:rPr>
        <w:t>之前，WIPO的前身组织拥有其自身于1955年建立的养恤基金。该养恤基金已于1975年9月30日对新成员关闭，并在基金理事会的管理下对终止时的成员继续生效。根据关闭的养恤基金与本组织之间的协定以及国际劳工组织行政法庭的一项决定，WIPO有义务资助与关闭的养恤基金有关的某些成本：</w:t>
      </w:r>
    </w:p>
    <w:p w:rsidR="004B4679" w:rsidRPr="007A5789" w:rsidRDefault="004B4679" w:rsidP="00134184">
      <w:pPr>
        <w:pStyle w:val="af"/>
        <w:numPr>
          <w:ilvl w:val="0"/>
          <w:numId w:val="6"/>
        </w:numPr>
        <w:spacing w:afterLines="50" w:after="120" w:line="340" w:lineRule="atLeast"/>
        <w:ind w:left="1134" w:hanging="567"/>
        <w:jc w:val="both"/>
        <w:rPr>
          <w:sz w:val="21"/>
          <w:szCs w:val="22"/>
        </w:rPr>
      </w:pPr>
      <w:r w:rsidRPr="007A5789">
        <w:rPr>
          <w:sz w:val="21"/>
        </w:rPr>
        <w:t>向参与关闭的养恤基金的前工作人员到65岁之前支付退休金费用的义务。根据2015年进行的最新精算估计，截至2015年12月31日估计负债为2,000瑞郎[2014年为13,000瑞郎]。2016年将是产生</w:t>
      </w:r>
      <w:proofErr w:type="gramStart"/>
      <w:r w:rsidRPr="007A5789">
        <w:rPr>
          <w:sz w:val="21"/>
        </w:rPr>
        <w:t>该成本</w:t>
      </w:r>
      <w:proofErr w:type="gramEnd"/>
      <w:r w:rsidRPr="007A5789">
        <w:rPr>
          <w:sz w:val="21"/>
        </w:rPr>
        <w:t>的最后一年。</w:t>
      </w:r>
    </w:p>
    <w:p w:rsidR="007A5789" w:rsidRDefault="004B4679" w:rsidP="00134184">
      <w:pPr>
        <w:pStyle w:val="af"/>
        <w:numPr>
          <w:ilvl w:val="0"/>
          <w:numId w:val="6"/>
        </w:numPr>
        <w:spacing w:afterLines="50" w:after="120" w:line="340" w:lineRule="atLeast"/>
        <w:ind w:left="1134" w:hanging="567"/>
        <w:jc w:val="both"/>
        <w:rPr>
          <w:sz w:val="21"/>
          <w:szCs w:val="22"/>
        </w:rPr>
      </w:pPr>
      <w:r w:rsidRPr="007A5789">
        <w:rPr>
          <w:sz w:val="21"/>
        </w:rPr>
        <w:t>根据2006年国际劳工组织行政法庭的一项决定，支付关闭的养恤基金规定的成员应收退休金和基于2015年进行的最新精算估计截至2015年12月31日数额为270</w:t>
      </w:r>
      <w:proofErr w:type="gramStart"/>
      <w:r w:rsidRPr="007A5789">
        <w:rPr>
          <w:sz w:val="21"/>
        </w:rPr>
        <w:t>万瑞</w:t>
      </w:r>
      <w:proofErr w:type="gramEnd"/>
      <w:r w:rsidRPr="007A5789">
        <w:rPr>
          <w:sz w:val="21"/>
        </w:rPr>
        <w:t>郎[2014年为280</w:t>
      </w:r>
      <w:proofErr w:type="gramStart"/>
      <w:r w:rsidRPr="007A5789">
        <w:rPr>
          <w:sz w:val="21"/>
        </w:rPr>
        <w:t>万瑞</w:t>
      </w:r>
      <w:proofErr w:type="gramEnd"/>
      <w:r w:rsidRPr="007A5789">
        <w:rPr>
          <w:sz w:val="21"/>
        </w:rPr>
        <w:t>郎]的UNJSPF应收账款之间的某些差额的义务。</w:t>
      </w:r>
    </w:p>
    <w:p w:rsidR="007A5789" w:rsidRDefault="004B4679" w:rsidP="0074262A">
      <w:pPr>
        <w:pStyle w:val="Style3"/>
        <w:keepNext/>
        <w:numPr>
          <w:ilvl w:val="0"/>
          <w:numId w:val="18"/>
        </w:numPr>
        <w:tabs>
          <w:tab w:val="left" w:pos="770"/>
        </w:tabs>
        <w:overflowPunct w:val="0"/>
        <w:spacing w:afterLines="50" w:line="340" w:lineRule="atLeast"/>
        <w:ind w:left="0" w:firstLine="0"/>
        <w:rPr>
          <w:sz w:val="21"/>
        </w:rPr>
      </w:pPr>
      <w:r w:rsidRPr="00AC4C1F">
        <w:rPr>
          <w:rFonts w:ascii="KaiTi" w:eastAsia="KaiTi" w:hAnsi="KaiTi"/>
          <w:b/>
          <w:sz w:val="21"/>
        </w:rPr>
        <w:lastRenderedPageBreak/>
        <w:t>回国补助金和差旅费</w:t>
      </w:r>
      <w:r w:rsidR="002161B6">
        <w:rPr>
          <w:sz w:val="21"/>
        </w:rPr>
        <w:t>：</w:t>
      </w:r>
      <w:r w:rsidRPr="007A5789">
        <w:rPr>
          <w:sz w:val="21"/>
        </w:rPr>
        <w:t>本组织负有契约义务，为某些国际征</w:t>
      </w:r>
      <w:r w:rsidR="0074262A">
        <w:rPr>
          <w:rFonts w:hint="eastAsia"/>
          <w:sz w:val="21"/>
        </w:rPr>
        <w:t>聘</w:t>
      </w:r>
      <w:r w:rsidRPr="007A5789">
        <w:rPr>
          <w:sz w:val="21"/>
        </w:rPr>
        <w:t>工作人员在离职时提供诸如回国补助金及差旅和搬迁费的福利。对于临时职位的专业工作人员来说</w:t>
      </w:r>
      <w:r w:rsidR="0074262A">
        <w:rPr>
          <w:rFonts w:hint="eastAsia"/>
          <w:sz w:val="21"/>
        </w:rPr>
        <w:t>，</w:t>
      </w:r>
      <w:r w:rsidRPr="007A5789">
        <w:rPr>
          <w:sz w:val="21"/>
        </w:rPr>
        <w:t>离职时的回国差旅和搬迁费由WIPO估计</w:t>
      </w:r>
      <w:r w:rsidR="0074262A">
        <w:rPr>
          <w:rFonts w:hint="eastAsia"/>
          <w:sz w:val="21"/>
        </w:rPr>
        <w:t>，</w:t>
      </w:r>
      <w:r w:rsidRPr="007A5789">
        <w:rPr>
          <w:sz w:val="21"/>
        </w:rPr>
        <w:t>并且被视为一种流动负债。对于国际征</w:t>
      </w:r>
      <w:r w:rsidR="0074262A">
        <w:rPr>
          <w:rFonts w:hint="eastAsia"/>
          <w:sz w:val="21"/>
        </w:rPr>
        <w:t>聘</w:t>
      </w:r>
      <w:r w:rsidRPr="007A5789">
        <w:rPr>
          <w:sz w:val="21"/>
        </w:rPr>
        <w:t>的在职专业工作人员，回国补助金、差旅和搬迁负债由独立精算师计算。负债总额在报告</w:t>
      </w:r>
      <w:proofErr w:type="gramStart"/>
      <w:r w:rsidRPr="007A5789">
        <w:rPr>
          <w:sz w:val="21"/>
        </w:rPr>
        <w:t>日估计</w:t>
      </w:r>
      <w:proofErr w:type="gramEnd"/>
      <w:r w:rsidRPr="007A5789">
        <w:rPr>
          <w:sz w:val="21"/>
        </w:rPr>
        <w:t>如下：</w:t>
      </w:r>
    </w:p>
    <w:p w:rsidR="004B4679" w:rsidRPr="007A5789" w:rsidRDefault="00270372" w:rsidP="00270372">
      <w:pPr>
        <w:pStyle w:val="Style3"/>
        <w:spacing w:afterLines="50" w:line="340" w:lineRule="atLeast"/>
        <w:jc w:val="center"/>
        <w:rPr>
          <w:sz w:val="21"/>
        </w:rPr>
      </w:pPr>
      <w:r w:rsidRPr="00EF7E79">
        <w:rPr>
          <w:noProof/>
          <w:sz w:val="21"/>
          <w:lang w:val="en-US" w:bidi="ar-SA"/>
        </w:rPr>
        <w:drawing>
          <wp:inline distT="0" distB="0" distL="0" distR="0" wp14:anchorId="171105E5" wp14:editId="031BD06D">
            <wp:extent cx="5940425" cy="1362651"/>
            <wp:effectExtent l="0" t="0" r="3175" b="0"/>
            <wp:docPr id="332" name="图片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940425" cy="1362651"/>
                    </a:xfrm>
                    <a:prstGeom prst="rect">
                      <a:avLst/>
                    </a:prstGeom>
                    <a:noFill/>
                    <a:ln>
                      <a:noFill/>
                    </a:ln>
                  </pic:spPr>
                </pic:pic>
              </a:graphicData>
            </a:graphic>
          </wp:inline>
        </w:drawing>
      </w:r>
    </w:p>
    <w:p w:rsidR="007A5789" w:rsidRDefault="004B4679" w:rsidP="00134184">
      <w:pPr>
        <w:pStyle w:val="Style3"/>
        <w:numPr>
          <w:ilvl w:val="0"/>
          <w:numId w:val="18"/>
        </w:numPr>
        <w:tabs>
          <w:tab w:val="left" w:pos="770"/>
        </w:tabs>
        <w:overflowPunct w:val="0"/>
        <w:spacing w:afterLines="50" w:line="340" w:lineRule="atLeast"/>
        <w:ind w:left="0" w:firstLine="0"/>
        <w:rPr>
          <w:sz w:val="21"/>
          <w:szCs w:val="22"/>
        </w:rPr>
      </w:pPr>
      <w:r w:rsidRPr="007A5789">
        <w:rPr>
          <w:sz w:val="21"/>
        </w:rPr>
        <w:t>关于回国补助金和差旅的精算估计，下表详细描述了财务执行情况表中确认的回国补助金和差旅支出：</w:t>
      </w:r>
    </w:p>
    <w:p w:rsidR="004B4679" w:rsidRPr="007A5789" w:rsidRDefault="00444BEA" w:rsidP="00444BEA">
      <w:pPr>
        <w:pStyle w:val="Style3"/>
        <w:spacing w:afterLines="50" w:line="340" w:lineRule="atLeast"/>
        <w:jc w:val="center"/>
        <w:rPr>
          <w:sz w:val="21"/>
        </w:rPr>
      </w:pPr>
      <w:r w:rsidRPr="00EF7E79">
        <w:rPr>
          <w:noProof/>
          <w:sz w:val="21"/>
          <w:lang w:val="en-US" w:bidi="ar-SA"/>
        </w:rPr>
        <w:drawing>
          <wp:inline distT="0" distB="0" distL="0" distR="0" wp14:anchorId="6DC29ACA" wp14:editId="5DB928BF">
            <wp:extent cx="5934710" cy="1501140"/>
            <wp:effectExtent l="0" t="0" r="8890" b="3810"/>
            <wp:docPr id="334" name="图片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934710" cy="1501140"/>
                    </a:xfrm>
                    <a:prstGeom prst="rect">
                      <a:avLst/>
                    </a:prstGeom>
                    <a:noFill/>
                    <a:ln>
                      <a:noFill/>
                    </a:ln>
                  </pic:spPr>
                </pic:pic>
              </a:graphicData>
            </a:graphic>
          </wp:inline>
        </w:drawing>
      </w:r>
    </w:p>
    <w:p w:rsidR="007A5789" w:rsidRDefault="004B4679" w:rsidP="00134184">
      <w:pPr>
        <w:pStyle w:val="Style3"/>
        <w:numPr>
          <w:ilvl w:val="0"/>
          <w:numId w:val="18"/>
        </w:numPr>
        <w:tabs>
          <w:tab w:val="left" w:pos="770"/>
        </w:tabs>
        <w:overflowPunct w:val="0"/>
        <w:spacing w:afterLines="50" w:line="340" w:lineRule="atLeast"/>
        <w:ind w:left="0" w:firstLine="0"/>
        <w:rPr>
          <w:sz w:val="21"/>
          <w:szCs w:val="22"/>
        </w:rPr>
      </w:pPr>
      <w:r w:rsidRPr="007A5789">
        <w:rPr>
          <w:sz w:val="21"/>
        </w:rPr>
        <w:t>回国补助金和差旅的精算损益在财务执行情况表中立即予以确认。下表详细描述了回国补助金和差旅</w:t>
      </w:r>
      <w:r w:rsidR="009F536B">
        <w:rPr>
          <w:sz w:val="21"/>
        </w:rPr>
        <w:t>待遇确定型债务</w:t>
      </w:r>
      <w:r w:rsidRPr="007A5789">
        <w:rPr>
          <w:sz w:val="21"/>
        </w:rPr>
        <w:t>的变化情况：</w:t>
      </w:r>
    </w:p>
    <w:p w:rsidR="004B4679" w:rsidRPr="007A5789" w:rsidRDefault="009F536B" w:rsidP="00444BEA">
      <w:pPr>
        <w:pStyle w:val="Style3"/>
        <w:spacing w:afterLines="50" w:line="340" w:lineRule="atLeast"/>
        <w:jc w:val="center"/>
        <w:rPr>
          <w:sz w:val="21"/>
          <w:szCs w:val="22"/>
        </w:rPr>
      </w:pPr>
      <w:r w:rsidRPr="00EF7E79">
        <w:rPr>
          <w:noProof/>
          <w:sz w:val="21"/>
          <w:lang w:val="en-US" w:bidi="ar-SA"/>
        </w:rPr>
        <w:drawing>
          <wp:inline distT="0" distB="0" distL="0" distR="0" wp14:anchorId="46C1E92B" wp14:editId="181AE347">
            <wp:extent cx="5931535" cy="1693545"/>
            <wp:effectExtent l="0" t="0" r="0" b="190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931535" cy="1693545"/>
                    </a:xfrm>
                    <a:prstGeom prst="rect">
                      <a:avLst/>
                    </a:prstGeom>
                    <a:noFill/>
                    <a:ln>
                      <a:noFill/>
                    </a:ln>
                  </pic:spPr>
                </pic:pic>
              </a:graphicData>
            </a:graphic>
          </wp:inline>
        </w:drawing>
      </w:r>
    </w:p>
    <w:p w:rsidR="007A5789" w:rsidRDefault="004B4679" w:rsidP="00134184">
      <w:pPr>
        <w:pStyle w:val="Style3"/>
        <w:numPr>
          <w:ilvl w:val="0"/>
          <w:numId w:val="18"/>
        </w:numPr>
        <w:tabs>
          <w:tab w:val="left" w:pos="770"/>
        </w:tabs>
        <w:overflowPunct w:val="0"/>
        <w:spacing w:afterLines="50" w:line="340" w:lineRule="atLeast"/>
        <w:ind w:left="0" w:firstLine="0"/>
        <w:rPr>
          <w:sz w:val="21"/>
          <w:szCs w:val="22"/>
        </w:rPr>
      </w:pPr>
      <w:r w:rsidRPr="007A5789">
        <w:rPr>
          <w:sz w:val="21"/>
        </w:rPr>
        <w:t>2015年本组织对回国补助金和差旅的缴费总计130</w:t>
      </w:r>
      <w:proofErr w:type="gramStart"/>
      <w:r w:rsidRPr="007A5789">
        <w:rPr>
          <w:sz w:val="21"/>
        </w:rPr>
        <w:t>万瑞</w:t>
      </w:r>
      <w:proofErr w:type="gramEnd"/>
      <w:r w:rsidRPr="007A5789">
        <w:rPr>
          <w:sz w:val="21"/>
        </w:rPr>
        <w:t>郎</w:t>
      </w:r>
      <w:r w:rsidR="00B6014B">
        <w:rPr>
          <w:sz w:val="21"/>
        </w:rPr>
        <w:t>（</w:t>
      </w:r>
      <w:r w:rsidRPr="007A5789">
        <w:rPr>
          <w:sz w:val="21"/>
        </w:rPr>
        <w:t>2014年为20</w:t>
      </w:r>
      <w:proofErr w:type="gramStart"/>
      <w:r w:rsidRPr="007A5789">
        <w:rPr>
          <w:sz w:val="21"/>
        </w:rPr>
        <w:t>万瑞</w:t>
      </w:r>
      <w:proofErr w:type="gramEnd"/>
      <w:r w:rsidRPr="007A5789">
        <w:rPr>
          <w:sz w:val="21"/>
        </w:rPr>
        <w:t>郎</w:t>
      </w:r>
      <w:r w:rsidR="00B6014B">
        <w:rPr>
          <w:sz w:val="21"/>
        </w:rPr>
        <w:t>）</w:t>
      </w:r>
      <w:r w:rsidRPr="007A5789">
        <w:rPr>
          <w:sz w:val="21"/>
        </w:rPr>
        <w:t>。预计2016年回国补助金和差旅的缴费额为130</w:t>
      </w:r>
      <w:proofErr w:type="gramStart"/>
      <w:r w:rsidRPr="007A5789">
        <w:rPr>
          <w:sz w:val="21"/>
        </w:rPr>
        <w:t>万瑞</w:t>
      </w:r>
      <w:proofErr w:type="gramEnd"/>
      <w:r w:rsidRPr="007A5789">
        <w:rPr>
          <w:sz w:val="21"/>
        </w:rPr>
        <w:t>郎。下表详细描述了2015年及以前4年回国补助金和差旅负债产生的</w:t>
      </w:r>
      <w:r w:rsidR="00DF7115">
        <w:rPr>
          <w:rFonts w:hint="eastAsia"/>
          <w:sz w:val="21"/>
        </w:rPr>
        <w:t>待遇确定型债</w:t>
      </w:r>
      <w:r w:rsidRPr="007A5789">
        <w:rPr>
          <w:sz w:val="21"/>
        </w:rPr>
        <w:t>务和经验调整的现值。</w:t>
      </w:r>
    </w:p>
    <w:p w:rsidR="004B4679" w:rsidRPr="007A5789" w:rsidRDefault="00444BEA" w:rsidP="00444BEA">
      <w:pPr>
        <w:pStyle w:val="Style3"/>
        <w:spacing w:afterLines="50" w:line="340" w:lineRule="atLeast"/>
        <w:jc w:val="center"/>
        <w:rPr>
          <w:sz w:val="21"/>
        </w:rPr>
      </w:pPr>
      <w:r w:rsidRPr="00EF7E79">
        <w:rPr>
          <w:noProof/>
          <w:sz w:val="21"/>
          <w:lang w:val="en-US" w:bidi="ar-SA"/>
        </w:rPr>
        <w:drawing>
          <wp:inline distT="0" distB="0" distL="0" distR="0" wp14:anchorId="0C23AAC5" wp14:editId="4F5AFA38">
            <wp:extent cx="5940425" cy="969010"/>
            <wp:effectExtent l="0" t="0" r="3175" b="2540"/>
            <wp:docPr id="336" name="图片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940425" cy="969010"/>
                    </a:xfrm>
                    <a:prstGeom prst="rect">
                      <a:avLst/>
                    </a:prstGeom>
                    <a:noFill/>
                    <a:ln>
                      <a:noFill/>
                    </a:ln>
                  </pic:spPr>
                </pic:pic>
              </a:graphicData>
            </a:graphic>
          </wp:inline>
        </w:drawing>
      </w:r>
    </w:p>
    <w:p w:rsidR="007A5789" w:rsidRDefault="004B4679" w:rsidP="00134184">
      <w:pPr>
        <w:pStyle w:val="Style3"/>
        <w:keepNext/>
        <w:numPr>
          <w:ilvl w:val="0"/>
          <w:numId w:val="18"/>
        </w:numPr>
        <w:tabs>
          <w:tab w:val="left" w:pos="770"/>
        </w:tabs>
        <w:overflowPunct w:val="0"/>
        <w:spacing w:afterLines="50" w:line="340" w:lineRule="atLeast"/>
        <w:ind w:left="0" w:firstLine="0"/>
        <w:rPr>
          <w:sz w:val="21"/>
          <w:szCs w:val="22"/>
        </w:rPr>
      </w:pPr>
      <w:r w:rsidRPr="007A5789">
        <w:rPr>
          <w:sz w:val="21"/>
        </w:rPr>
        <w:lastRenderedPageBreak/>
        <w:t>决定回国补助金和差旅负债以及</w:t>
      </w:r>
      <w:r w:rsidR="00444BEA" w:rsidRPr="00444BEA">
        <w:rPr>
          <w:sz w:val="21"/>
        </w:rPr>
        <w:t>待遇确定型</w:t>
      </w:r>
      <w:r w:rsidR="00DF7115">
        <w:rPr>
          <w:rFonts w:hint="eastAsia"/>
          <w:sz w:val="21"/>
        </w:rPr>
        <w:t>债</w:t>
      </w:r>
      <w:r w:rsidRPr="007A5789">
        <w:rPr>
          <w:sz w:val="21"/>
        </w:rPr>
        <w:t>务采用的主要假设如下所示：</w:t>
      </w:r>
    </w:p>
    <w:p w:rsidR="004B4679" w:rsidRPr="009F536B" w:rsidRDefault="009F536B" w:rsidP="00444BEA">
      <w:pPr>
        <w:pStyle w:val="Style3"/>
        <w:spacing w:afterLines="50" w:line="340" w:lineRule="atLeast"/>
        <w:jc w:val="center"/>
        <w:rPr>
          <w:sz w:val="21"/>
        </w:rPr>
      </w:pPr>
      <w:r w:rsidRPr="00EF7E79">
        <w:rPr>
          <w:noProof/>
          <w:sz w:val="21"/>
          <w:lang w:val="en-US" w:bidi="ar-SA"/>
        </w:rPr>
        <w:drawing>
          <wp:inline distT="0" distB="0" distL="0" distR="0" wp14:anchorId="16C93AB7" wp14:editId="40DE4896">
            <wp:extent cx="5931535" cy="163766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931535" cy="1637665"/>
                    </a:xfrm>
                    <a:prstGeom prst="rect">
                      <a:avLst/>
                    </a:prstGeom>
                    <a:noFill/>
                    <a:ln>
                      <a:noFill/>
                    </a:ln>
                  </pic:spPr>
                </pic:pic>
              </a:graphicData>
            </a:graphic>
          </wp:inline>
        </w:drawing>
      </w:r>
    </w:p>
    <w:p w:rsidR="007A5789" w:rsidRDefault="004B4679" w:rsidP="00134184">
      <w:pPr>
        <w:pStyle w:val="Style3"/>
        <w:numPr>
          <w:ilvl w:val="0"/>
          <w:numId w:val="18"/>
        </w:numPr>
        <w:tabs>
          <w:tab w:val="left" w:pos="770"/>
        </w:tabs>
        <w:overflowPunct w:val="0"/>
        <w:spacing w:afterLines="50" w:line="340" w:lineRule="atLeast"/>
        <w:ind w:left="0" w:firstLine="0"/>
        <w:rPr>
          <w:sz w:val="21"/>
        </w:rPr>
      </w:pPr>
      <w:r w:rsidRPr="00AC4C1F">
        <w:rPr>
          <w:rFonts w:ascii="KaiTi" w:eastAsia="KaiTi" w:hAnsi="KaiTi"/>
          <w:b/>
          <w:sz w:val="21"/>
        </w:rPr>
        <w:t>离职后健康保险</w:t>
      </w:r>
      <w:r w:rsidR="00B6014B" w:rsidRPr="00AC4C1F">
        <w:rPr>
          <w:rFonts w:ascii="KaiTi" w:eastAsia="KaiTi" w:hAnsi="KaiTi"/>
          <w:b/>
          <w:sz w:val="21"/>
        </w:rPr>
        <w:t>（</w:t>
      </w:r>
      <w:r w:rsidRPr="00AC4C1F">
        <w:rPr>
          <w:rFonts w:ascii="KaiTi" w:eastAsia="KaiTi" w:hAnsi="KaiTi"/>
          <w:b/>
          <w:sz w:val="21"/>
        </w:rPr>
        <w:t>ASHI</w:t>
      </w:r>
      <w:r w:rsidR="00B6014B" w:rsidRPr="00AC4C1F">
        <w:rPr>
          <w:rFonts w:ascii="KaiTi" w:eastAsia="KaiTi" w:hAnsi="KaiTi"/>
          <w:b/>
          <w:sz w:val="21"/>
        </w:rPr>
        <w:t>）</w:t>
      </w:r>
      <w:r w:rsidRPr="007A5789">
        <w:rPr>
          <w:sz w:val="21"/>
        </w:rPr>
        <w:t>：本组织还负有以集体医疗保险计划保险金的形式向其员工提供离职后医疗福利的契约义务。退休工作人员</w:t>
      </w:r>
      <w:r w:rsidR="00B6014B">
        <w:rPr>
          <w:sz w:val="21"/>
        </w:rPr>
        <w:t>（</w:t>
      </w:r>
      <w:r w:rsidRPr="007A5789">
        <w:rPr>
          <w:sz w:val="21"/>
        </w:rPr>
        <w:t>及其配偶、受抚养的子女和遗属</w:t>
      </w:r>
      <w:r w:rsidR="00B6014B">
        <w:rPr>
          <w:sz w:val="21"/>
        </w:rPr>
        <w:t>）</w:t>
      </w:r>
      <w:r w:rsidRPr="007A5789">
        <w:rPr>
          <w:sz w:val="21"/>
        </w:rPr>
        <w:t>如果离职后继续参与集体医疗保险计划，便属于ASHI范围。根据《WIPO工作人员条例</w:t>
      </w:r>
      <w:r w:rsidR="00DF7115">
        <w:rPr>
          <w:rFonts w:hint="eastAsia"/>
          <w:sz w:val="21"/>
        </w:rPr>
        <w:t>与细则</w:t>
      </w:r>
      <w:r w:rsidRPr="007A5789">
        <w:rPr>
          <w:sz w:val="21"/>
        </w:rPr>
        <w:t>》，本组织将支付</w:t>
      </w:r>
      <w:proofErr w:type="gramStart"/>
      <w:r w:rsidRPr="007A5789">
        <w:rPr>
          <w:sz w:val="21"/>
        </w:rPr>
        <w:t>月医疗</w:t>
      </w:r>
      <w:proofErr w:type="gramEnd"/>
      <w:r w:rsidRPr="007A5789">
        <w:rPr>
          <w:sz w:val="21"/>
        </w:rPr>
        <w:t>保险费的65%份额。自2016年1月1日起，成人和</w:t>
      </w:r>
      <w:proofErr w:type="gramStart"/>
      <w:r w:rsidRPr="007A5789">
        <w:rPr>
          <w:sz w:val="21"/>
        </w:rPr>
        <w:t>子女月医疗</w:t>
      </w:r>
      <w:proofErr w:type="gramEnd"/>
      <w:r w:rsidRPr="007A5789">
        <w:rPr>
          <w:sz w:val="21"/>
        </w:rPr>
        <w:t>保险费金额分别为552瑞郎和246瑞郎</w:t>
      </w:r>
      <w:r w:rsidR="00B6014B">
        <w:rPr>
          <w:sz w:val="21"/>
        </w:rPr>
        <w:t>（</w:t>
      </w:r>
      <w:r w:rsidRPr="007A5789">
        <w:rPr>
          <w:sz w:val="21"/>
        </w:rPr>
        <w:t>之前成人和子女分别为538瑞郎和240瑞郎</w:t>
      </w:r>
      <w:r w:rsidR="00B6014B">
        <w:rPr>
          <w:sz w:val="21"/>
        </w:rPr>
        <w:t>）</w:t>
      </w:r>
      <w:r w:rsidRPr="007A5789">
        <w:rPr>
          <w:sz w:val="21"/>
        </w:rPr>
        <w:t>。使用预计单位信贷来确定离职后医疗保险所规定福利的当前值，包括使用基于瑞士法郎高级公司债券和瑞士公债的贴现率对预计未来现金流出进行贴现。根据IPSAS，本组织的ASHI负债被视为无</w:t>
      </w:r>
      <w:r w:rsidR="00DF7115">
        <w:rPr>
          <w:rFonts w:hint="eastAsia"/>
          <w:sz w:val="21"/>
        </w:rPr>
        <w:t>供</w:t>
      </w:r>
      <w:r w:rsidRPr="007A5789">
        <w:rPr>
          <w:sz w:val="21"/>
        </w:rPr>
        <w:t>资，因为没有一个法律上独立的实体或基金持有计划资产，因此没有计划资产从财务状况表所确认的负债中扣除。但应注意的是，本组织已经设立了一个单独的银行账户来持有未来离职后雇员福利负债融资资金，包括ASHI</w:t>
      </w:r>
      <w:r w:rsidR="00B6014B">
        <w:rPr>
          <w:sz w:val="21"/>
        </w:rPr>
        <w:t>（</w:t>
      </w:r>
      <w:r w:rsidRPr="007A5789">
        <w:rPr>
          <w:sz w:val="21"/>
        </w:rPr>
        <w:t>见附注3</w:t>
      </w:r>
      <w:r w:rsidR="00B6014B">
        <w:rPr>
          <w:sz w:val="21"/>
        </w:rPr>
        <w:t>）</w:t>
      </w:r>
      <w:r w:rsidRPr="007A5789">
        <w:rPr>
          <w:sz w:val="21"/>
        </w:rPr>
        <w:t>。根据2015年12月一</w:t>
      </w:r>
      <w:proofErr w:type="gramStart"/>
      <w:r w:rsidRPr="007A5789">
        <w:rPr>
          <w:sz w:val="21"/>
        </w:rPr>
        <w:t>个</w:t>
      </w:r>
      <w:proofErr w:type="gramEnd"/>
      <w:r w:rsidRPr="007A5789">
        <w:rPr>
          <w:sz w:val="21"/>
        </w:rPr>
        <w:t>独立事务所进行的一项精算估计，本组织的ASHI负债在本报告</w:t>
      </w:r>
      <w:proofErr w:type="gramStart"/>
      <w:r w:rsidRPr="007A5789">
        <w:rPr>
          <w:sz w:val="21"/>
        </w:rPr>
        <w:t>日估计</w:t>
      </w:r>
      <w:proofErr w:type="gramEnd"/>
      <w:r w:rsidRPr="007A5789">
        <w:rPr>
          <w:sz w:val="21"/>
        </w:rPr>
        <w:t>如下：</w:t>
      </w:r>
    </w:p>
    <w:p w:rsidR="004B4679" w:rsidRPr="007A5789" w:rsidRDefault="00444BEA" w:rsidP="00444BEA">
      <w:pPr>
        <w:pStyle w:val="Style3"/>
        <w:spacing w:afterLines="50" w:line="340" w:lineRule="atLeast"/>
        <w:jc w:val="center"/>
        <w:rPr>
          <w:sz w:val="21"/>
        </w:rPr>
      </w:pPr>
      <w:r w:rsidRPr="00EF7E79">
        <w:rPr>
          <w:noProof/>
          <w:sz w:val="21"/>
          <w:lang w:val="en-US" w:bidi="ar-SA"/>
        </w:rPr>
        <w:drawing>
          <wp:inline distT="0" distB="0" distL="0" distR="0" wp14:anchorId="75079237" wp14:editId="3E813A9F">
            <wp:extent cx="5934710" cy="1000760"/>
            <wp:effectExtent l="0" t="0" r="8890" b="8890"/>
            <wp:docPr id="338" name="图片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934710" cy="1000760"/>
                    </a:xfrm>
                    <a:prstGeom prst="rect">
                      <a:avLst/>
                    </a:prstGeom>
                    <a:noFill/>
                    <a:ln>
                      <a:noFill/>
                    </a:ln>
                  </pic:spPr>
                </pic:pic>
              </a:graphicData>
            </a:graphic>
          </wp:inline>
        </w:drawing>
      </w:r>
    </w:p>
    <w:p w:rsidR="007A5789" w:rsidRDefault="004B4679" w:rsidP="00134184">
      <w:pPr>
        <w:pStyle w:val="Style3"/>
        <w:numPr>
          <w:ilvl w:val="0"/>
          <w:numId w:val="18"/>
        </w:numPr>
        <w:tabs>
          <w:tab w:val="left" w:pos="770"/>
        </w:tabs>
        <w:overflowPunct w:val="0"/>
        <w:spacing w:afterLines="50" w:line="340" w:lineRule="atLeast"/>
        <w:ind w:left="0" w:firstLine="0"/>
        <w:rPr>
          <w:sz w:val="21"/>
          <w:szCs w:val="22"/>
        </w:rPr>
      </w:pPr>
      <w:r w:rsidRPr="007A5789">
        <w:rPr>
          <w:sz w:val="21"/>
        </w:rPr>
        <w:t>下表详细描述了财务执行情况表中确认的ASHI支出：</w:t>
      </w:r>
    </w:p>
    <w:p w:rsidR="004B4679" w:rsidRPr="007A5789" w:rsidRDefault="00444BEA" w:rsidP="00444BEA">
      <w:pPr>
        <w:spacing w:afterLines="50" w:after="120" w:line="340" w:lineRule="atLeast"/>
        <w:jc w:val="center"/>
        <w:rPr>
          <w:sz w:val="21"/>
        </w:rPr>
      </w:pPr>
      <w:r w:rsidRPr="00EF7E79">
        <w:rPr>
          <w:noProof/>
          <w:sz w:val="21"/>
          <w:lang w:val="en-US" w:bidi="ar-SA"/>
        </w:rPr>
        <w:drawing>
          <wp:inline distT="0" distB="0" distL="0" distR="0" wp14:anchorId="29E90E91" wp14:editId="6CE0A7D1">
            <wp:extent cx="5934710" cy="1501140"/>
            <wp:effectExtent l="0" t="0" r="8890" b="3810"/>
            <wp:docPr id="339" name="图片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934710" cy="1501140"/>
                    </a:xfrm>
                    <a:prstGeom prst="rect">
                      <a:avLst/>
                    </a:prstGeom>
                    <a:noFill/>
                    <a:ln>
                      <a:noFill/>
                    </a:ln>
                  </pic:spPr>
                </pic:pic>
              </a:graphicData>
            </a:graphic>
          </wp:inline>
        </w:drawing>
      </w:r>
    </w:p>
    <w:p w:rsidR="007A5789" w:rsidRDefault="004B4679" w:rsidP="00134184">
      <w:pPr>
        <w:pStyle w:val="Style3"/>
        <w:numPr>
          <w:ilvl w:val="0"/>
          <w:numId w:val="18"/>
        </w:numPr>
        <w:tabs>
          <w:tab w:val="left" w:pos="770"/>
        </w:tabs>
        <w:overflowPunct w:val="0"/>
        <w:spacing w:afterLines="50" w:line="340" w:lineRule="atLeast"/>
        <w:ind w:left="0" w:firstLine="0"/>
        <w:rPr>
          <w:sz w:val="21"/>
          <w:szCs w:val="22"/>
        </w:rPr>
      </w:pPr>
      <w:r w:rsidRPr="007A5789">
        <w:rPr>
          <w:sz w:val="21"/>
        </w:rPr>
        <w:t>WIPO采用居间法确认ASHI的精算损益。根据此项会计政策，如果上一个报告期末的累计未确认损益净额超过当日</w:t>
      </w:r>
      <w:r w:rsidR="009F536B">
        <w:rPr>
          <w:sz w:val="21"/>
        </w:rPr>
        <w:t>待遇确定型债务</w:t>
      </w:r>
      <w:r w:rsidRPr="007A5789">
        <w:rPr>
          <w:sz w:val="21"/>
        </w:rPr>
        <w:t>现值的10%，则对净精算损益的一部分予以确认。下表详细描述ASHI</w:t>
      </w:r>
      <w:r w:rsidR="009F536B">
        <w:rPr>
          <w:sz w:val="21"/>
        </w:rPr>
        <w:t>待遇确定型债务</w:t>
      </w:r>
      <w:r w:rsidRPr="007A5789">
        <w:rPr>
          <w:sz w:val="21"/>
        </w:rPr>
        <w:t>的变化情况，并且对</w:t>
      </w:r>
      <w:r w:rsidR="009F536B">
        <w:rPr>
          <w:sz w:val="21"/>
        </w:rPr>
        <w:t>待遇确定型债务</w:t>
      </w:r>
      <w:r w:rsidRPr="007A5789">
        <w:rPr>
          <w:sz w:val="21"/>
        </w:rPr>
        <w:t>和财务状况表确认的负债进行对账。</w:t>
      </w:r>
    </w:p>
    <w:p w:rsidR="004B4679" w:rsidRPr="009F536B" w:rsidRDefault="009F536B" w:rsidP="009F536B">
      <w:pPr>
        <w:spacing w:afterLines="50" w:after="120" w:line="340" w:lineRule="atLeast"/>
        <w:jc w:val="center"/>
        <w:rPr>
          <w:sz w:val="21"/>
        </w:rPr>
      </w:pPr>
      <w:r w:rsidRPr="00EF7E79">
        <w:rPr>
          <w:noProof/>
          <w:sz w:val="21"/>
          <w:lang w:val="en-US" w:bidi="ar-SA"/>
        </w:rPr>
        <w:lastRenderedPageBreak/>
        <w:drawing>
          <wp:inline distT="0" distB="0" distL="0" distR="0" wp14:anchorId="7AB2FE73" wp14:editId="3FD868E1">
            <wp:extent cx="5931535" cy="2075180"/>
            <wp:effectExtent l="0" t="0" r="0" b="127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931535" cy="2075180"/>
                    </a:xfrm>
                    <a:prstGeom prst="rect">
                      <a:avLst/>
                    </a:prstGeom>
                    <a:noFill/>
                    <a:ln>
                      <a:noFill/>
                    </a:ln>
                  </pic:spPr>
                </pic:pic>
              </a:graphicData>
            </a:graphic>
          </wp:inline>
        </w:drawing>
      </w:r>
    </w:p>
    <w:p w:rsidR="007A5789" w:rsidRDefault="004B4679" w:rsidP="00134184">
      <w:pPr>
        <w:pStyle w:val="Style3"/>
        <w:numPr>
          <w:ilvl w:val="0"/>
          <w:numId w:val="18"/>
        </w:numPr>
        <w:tabs>
          <w:tab w:val="left" w:pos="770"/>
        </w:tabs>
        <w:overflowPunct w:val="0"/>
        <w:spacing w:afterLines="50" w:line="340" w:lineRule="atLeast"/>
        <w:ind w:left="0" w:firstLine="0"/>
        <w:rPr>
          <w:sz w:val="21"/>
          <w:szCs w:val="22"/>
        </w:rPr>
      </w:pPr>
      <w:r w:rsidRPr="007A5789">
        <w:rPr>
          <w:sz w:val="21"/>
        </w:rPr>
        <w:t>2015年本组织的缴费总计260</w:t>
      </w:r>
      <w:proofErr w:type="gramStart"/>
      <w:r w:rsidRPr="007A5789">
        <w:rPr>
          <w:sz w:val="21"/>
        </w:rPr>
        <w:t>万瑞</w:t>
      </w:r>
      <w:proofErr w:type="gramEnd"/>
      <w:r w:rsidRPr="007A5789">
        <w:rPr>
          <w:sz w:val="21"/>
        </w:rPr>
        <w:t>郎</w:t>
      </w:r>
      <w:r w:rsidR="00B6014B">
        <w:rPr>
          <w:sz w:val="21"/>
        </w:rPr>
        <w:t>（</w:t>
      </w:r>
      <w:r w:rsidRPr="007A5789">
        <w:rPr>
          <w:sz w:val="21"/>
        </w:rPr>
        <w:t>2014年为250</w:t>
      </w:r>
      <w:proofErr w:type="gramStart"/>
      <w:r w:rsidRPr="007A5789">
        <w:rPr>
          <w:sz w:val="21"/>
        </w:rPr>
        <w:t>万瑞</w:t>
      </w:r>
      <w:proofErr w:type="gramEnd"/>
      <w:r w:rsidRPr="007A5789">
        <w:rPr>
          <w:sz w:val="21"/>
        </w:rPr>
        <w:t>郎</w:t>
      </w:r>
      <w:r w:rsidR="00B6014B">
        <w:rPr>
          <w:sz w:val="21"/>
        </w:rPr>
        <w:t>）</w:t>
      </w:r>
      <w:r w:rsidRPr="007A5789">
        <w:rPr>
          <w:sz w:val="21"/>
        </w:rPr>
        <w:t>。2016年给ASHI的缴费额预计为290</w:t>
      </w:r>
      <w:proofErr w:type="gramStart"/>
      <w:r w:rsidRPr="007A5789">
        <w:rPr>
          <w:sz w:val="21"/>
        </w:rPr>
        <w:t>万瑞</w:t>
      </w:r>
      <w:proofErr w:type="gramEnd"/>
      <w:r w:rsidRPr="007A5789">
        <w:rPr>
          <w:sz w:val="21"/>
        </w:rPr>
        <w:t>郎。</w:t>
      </w:r>
    </w:p>
    <w:p w:rsidR="007A5789" w:rsidRDefault="004B4679" w:rsidP="00134184">
      <w:pPr>
        <w:pStyle w:val="Style3"/>
        <w:numPr>
          <w:ilvl w:val="0"/>
          <w:numId w:val="18"/>
        </w:numPr>
        <w:tabs>
          <w:tab w:val="left" w:pos="770"/>
        </w:tabs>
        <w:overflowPunct w:val="0"/>
        <w:spacing w:afterLines="50" w:line="340" w:lineRule="atLeast"/>
        <w:ind w:left="0" w:firstLine="0"/>
        <w:rPr>
          <w:sz w:val="21"/>
          <w:szCs w:val="22"/>
        </w:rPr>
      </w:pPr>
      <w:r w:rsidRPr="007A5789">
        <w:rPr>
          <w:sz w:val="21"/>
        </w:rPr>
        <w:t>下表详细描述了2015年及2014年以前4年ASHI负债产生的</w:t>
      </w:r>
      <w:r w:rsidR="009F536B">
        <w:rPr>
          <w:sz w:val="21"/>
        </w:rPr>
        <w:t>待遇确定型债务</w:t>
      </w:r>
      <w:r w:rsidRPr="007A5789">
        <w:rPr>
          <w:sz w:val="21"/>
        </w:rPr>
        <w:t>和经验调整的现</w:t>
      </w:r>
      <w:r w:rsidR="006F192F">
        <w:rPr>
          <w:sz w:val="21"/>
        </w:rPr>
        <w:t>‍</w:t>
      </w:r>
      <w:r w:rsidRPr="007A5789">
        <w:rPr>
          <w:sz w:val="21"/>
        </w:rPr>
        <w:t>值。</w:t>
      </w:r>
    </w:p>
    <w:p w:rsidR="007A5789" w:rsidRDefault="00B674DC" w:rsidP="00B674DC">
      <w:pPr>
        <w:spacing w:afterLines="50" w:after="120" w:line="340" w:lineRule="atLeast"/>
        <w:jc w:val="center"/>
        <w:rPr>
          <w:sz w:val="21"/>
        </w:rPr>
      </w:pPr>
      <w:r w:rsidRPr="00EF7E79">
        <w:rPr>
          <w:noProof/>
          <w:sz w:val="21"/>
          <w:lang w:val="en-US" w:bidi="ar-SA"/>
        </w:rPr>
        <w:drawing>
          <wp:inline distT="0" distB="0" distL="0" distR="0" wp14:anchorId="63A404A8" wp14:editId="26539CBD">
            <wp:extent cx="5940425" cy="969010"/>
            <wp:effectExtent l="0" t="0" r="3175" b="2540"/>
            <wp:docPr id="341" name="图片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940425" cy="969010"/>
                    </a:xfrm>
                    <a:prstGeom prst="rect">
                      <a:avLst/>
                    </a:prstGeom>
                    <a:noFill/>
                    <a:ln>
                      <a:noFill/>
                    </a:ln>
                  </pic:spPr>
                </pic:pic>
              </a:graphicData>
            </a:graphic>
          </wp:inline>
        </w:drawing>
      </w:r>
    </w:p>
    <w:p w:rsidR="007A5789" w:rsidRDefault="004B4679" w:rsidP="00134184">
      <w:pPr>
        <w:pStyle w:val="Style3"/>
        <w:numPr>
          <w:ilvl w:val="0"/>
          <w:numId w:val="18"/>
        </w:numPr>
        <w:tabs>
          <w:tab w:val="left" w:pos="770"/>
        </w:tabs>
        <w:overflowPunct w:val="0"/>
        <w:spacing w:afterLines="50" w:line="340" w:lineRule="atLeast"/>
        <w:ind w:left="0" w:firstLine="0"/>
        <w:rPr>
          <w:sz w:val="21"/>
          <w:szCs w:val="22"/>
        </w:rPr>
      </w:pPr>
      <w:r w:rsidRPr="007A5789">
        <w:rPr>
          <w:sz w:val="21"/>
        </w:rPr>
        <w:t>决定ASHI负债以及</w:t>
      </w:r>
      <w:r w:rsidR="009F536B">
        <w:rPr>
          <w:sz w:val="21"/>
        </w:rPr>
        <w:t>待遇确定型债务</w:t>
      </w:r>
      <w:r w:rsidRPr="007A5789">
        <w:rPr>
          <w:sz w:val="21"/>
        </w:rPr>
        <w:t>采用的主要假设如下所示：</w:t>
      </w:r>
    </w:p>
    <w:p w:rsidR="004B4679" w:rsidRPr="007A5789" w:rsidRDefault="009F536B" w:rsidP="009F536B">
      <w:pPr>
        <w:spacing w:afterLines="50" w:after="120" w:line="340" w:lineRule="atLeast"/>
        <w:jc w:val="center"/>
        <w:rPr>
          <w:sz w:val="21"/>
        </w:rPr>
      </w:pPr>
      <w:r w:rsidRPr="00EF7E79">
        <w:rPr>
          <w:noProof/>
          <w:sz w:val="21"/>
          <w:lang w:val="en-US" w:bidi="ar-SA"/>
        </w:rPr>
        <w:drawing>
          <wp:inline distT="0" distB="0" distL="0" distR="0" wp14:anchorId="4ACA9F8B" wp14:editId="5A5775AE">
            <wp:extent cx="5931535" cy="2759075"/>
            <wp:effectExtent l="0" t="0" r="0" b="317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931535" cy="2759075"/>
                    </a:xfrm>
                    <a:prstGeom prst="rect">
                      <a:avLst/>
                    </a:prstGeom>
                    <a:noFill/>
                    <a:ln>
                      <a:noFill/>
                    </a:ln>
                  </pic:spPr>
                </pic:pic>
              </a:graphicData>
            </a:graphic>
          </wp:inline>
        </w:drawing>
      </w:r>
    </w:p>
    <w:p w:rsidR="007A5789" w:rsidRDefault="004B4679" w:rsidP="00134184">
      <w:pPr>
        <w:pStyle w:val="Style3"/>
        <w:keepNext/>
        <w:numPr>
          <w:ilvl w:val="0"/>
          <w:numId w:val="18"/>
        </w:numPr>
        <w:tabs>
          <w:tab w:val="left" w:pos="770"/>
        </w:tabs>
        <w:overflowPunct w:val="0"/>
        <w:spacing w:afterLines="50" w:line="340" w:lineRule="atLeast"/>
        <w:ind w:left="0" w:firstLine="0"/>
        <w:rPr>
          <w:sz w:val="21"/>
          <w:szCs w:val="22"/>
        </w:rPr>
      </w:pPr>
      <w:r w:rsidRPr="007A5789">
        <w:rPr>
          <w:sz w:val="21"/>
        </w:rPr>
        <w:lastRenderedPageBreak/>
        <w:t>假设的医疗成本趋势对ASHI债务计算的数额带来了重大影响。假设的医疗成本趋势中一个百分点的变化便会产生以下影响：</w:t>
      </w:r>
    </w:p>
    <w:p w:rsidR="007A5789" w:rsidRDefault="009F536B" w:rsidP="00B674DC">
      <w:pPr>
        <w:spacing w:afterLines="50" w:after="120" w:line="340" w:lineRule="atLeast"/>
        <w:jc w:val="center"/>
        <w:rPr>
          <w:sz w:val="21"/>
        </w:rPr>
      </w:pPr>
      <w:r w:rsidRPr="00EF7E79">
        <w:rPr>
          <w:noProof/>
          <w:sz w:val="21"/>
          <w:lang w:val="en-US" w:bidi="ar-SA"/>
        </w:rPr>
        <w:drawing>
          <wp:inline distT="0" distB="0" distL="0" distR="0" wp14:anchorId="0C47050F" wp14:editId="1B99CE0B">
            <wp:extent cx="5940425" cy="1741705"/>
            <wp:effectExtent l="0" t="0" r="317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940425" cy="1741705"/>
                    </a:xfrm>
                    <a:prstGeom prst="rect">
                      <a:avLst/>
                    </a:prstGeom>
                    <a:noFill/>
                    <a:ln>
                      <a:noFill/>
                    </a:ln>
                  </pic:spPr>
                </pic:pic>
              </a:graphicData>
            </a:graphic>
          </wp:inline>
        </w:drawing>
      </w:r>
    </w:p>
    <w:p w:rsidR="007A5789" w:rsidRDefault="004B4679" w:rsidP="001E1DEA">
      <w:pPr>
        <w:pStyle w:val="Style3Bold"/>
        <w:keepNext/>
        <w:spacing w:beforeLines="100" w:before="240" w:afterLines="50" w:line="340" w:lineRule="atLeast"/>
        <w:rPr>
          <w:sz w:val="21"/>
        </w:rPr>
      </w:pPr>
      <w:r w:rsidRPr="007A5789">
        <w:rPr>
          <w:sz w:val="21"/>
        </w:rPr>
        <w:t>联合国合办工作人员养恤基金</w:t>
      </w:r>
    </w:p>
    <w:p w:rsidR="007A5789" w:rsidRDefault="004B4679" w:rsidP="00134184">
      <w:pPr>
        <w:pStyle w:val="Style3"/>
        <w:numPr>
          <w:ilvl w:val="0"/>
          <w:numId w:val="18"/>
        </w:numPr>
        <w:tabs>
          <w:tab w:val="left" w:pos="770"/>
        </w:tabs>
        <w:overflowPunct w:val="0"/>
        <w:spacing w:afterLines="50" w:line="340" w:lineRule="atLeast"/>
        <w:ind w:left="0" w:firstLine="0"/>
        <w:rPr>
          <w:sz w:val="21"/>
        </w:rPr>
      </w:pPr>
      <w:r w:rsidRPr="007A5789">
        <w:rPr>
          <w:sz w:val="21"/>
        </w:rPr>
        <w:t>《养恤基金条例》规定，养恤金委员会应聘请顾问精算</w:t>
      </w:r>
      <w:proofErr w:type="gramStart"/>
      <w:r w:rsidRPr="007A5789">
        <w:rPr>
          <w:sz w:val="21"/>
        </w:rPr>
        <w:t>师至少</w:t>
      </w:r>
      <w:proofErr w:type="gramEnd"/>
      <w:r w:rsidRPr="007A5789">
        <w:rPr>
          <w:sz w:val="21"/>
        </w:rPr>
        <w:t>每三年对基金进行一次精算估值。养恤金委员会沿用的惯例是使用开放团体总额方法，每两年进行一次精算估值。精算估值的主要目的在于确定养恤基金当前和估算的未来资产是否将足以偿付其负债。</w:t>
      </w:r>
    </w:p>
    <w:p w:rsidR="007A5789" w:rsidRDefault="004B4679" w:rsidP="00134184">
      <w:pPr>
        <w:pStyle w:val="Style3"/>
        <w:numPr>
          <w:ilvl w:val="0"/>
          <w:numId w:val="18"/>
        </w:numPr>
        <w:tabs>
          <w:tab w:val="left" w:pos="770"/>
        </w:tabs>
        <w:overflowPunct w:val="0"/>
        <w:spacing w:afterLines="50" w:line="340" w:lineRule="atLeast"/>
        <w:ind w:left="0" w:firstLine="0"/>
        <w:rPr>
          <w:sz w:val="21"/>
        </w:rPr>
      </w:pPr>
      <w:r w:rsidRPr="007A5789">
        <w:rPr>
          <w:sz w:val="21"/>
        </w:rPr>
        <w:t>WIPO对UNJSPF承担的财务义务，包括以联合国大会确定的比率计算的应缴部分</w:t>
      </w:r>
      <w:r w:rsidR="00B6014B">
        <w:rPr>
          <w:sz w:val="21"/>
        </w:rPr>
        <w:t>（</w:t>
      </w:r>
      <w:r w:rsidRPr="007A5789">
        <w:rPr>
          <w:sz w:val="21"/>
        </w:rPr>
        <w:t>目前参加者支付7.9%，成员组织支付15.8%</w:t>
      </w:r>
      <w:r w:rsidR="00B6014B">
        <w:rPr>
          <w:sz w:val="21"/>
        </w:rPr>
        <w:t>）</w:t>
      </w:r>
      <w:r w:rsidRPr="007A5789">
        <w:rPr>
          <w:sz w:val="21"/>
        </w:rPr>
        <w:t>以及根据《养恤基金条例》第26条的规定本组织在任何应付精算短缺付款中的份额。只有联合国大会在依据估值日对养恤金基金的精算充足性进行评估，确定需要付款以弥补短缺并援引《养恤基金条例》第26条的规定时，才应支付这种款项。每个成员组织应按估值日之前三年在交款总额中各自支付所占比例，分摊该短缺金额。</w:t>
      </w:r>
    </w:p>
    <w:p w:rsidR="007A5789" w:rsidRDefault="004B4679" w:rsidP="00134184">
      <w:pPr>
        <w:pStyle w:val="Style3"/>
        <w:numPr>
          <w:ilvl w:val="0"/>
          <w:numId w:val="18"/>
        </w:numPr>
        <w:tabs>
          <w:tab w:val="left" w:pos="770"/>
        </w:tabs>
        <w:overflowPunct w:val="0"/>
        <w:spacing w:afterLines="50" w:line="340" w:lineRule="atLeast"/>
        <w:ind w:left="0" w:firstLine="0"/>
        <w:rPr>
          <w:sz w:val="21"/>
        </w:rPr>
      </w:pPr>
      <w:r w:rsidRPr="007A5789">
        <w:rPr>
          <w:sz w:val="21"/>
        </w:rPr>
        <w:t>精算估值是在2013年12月31日进行的。估值结果显示了占</w:t>
      </w:r>
      <w:proofErr w:type="gramStart"/>
      <w:r w:rsidRPr="007A5789">
        <w:rPr>
          <w:sz w:val="21"/>
        </w:rPr>
        <w:t>应计养恤金</w:t>
      </w:r>
      <w:proofErr w:type="gramEnd"/>
      <w:r w:rsidRPr="007A5789">
        <w:rPr>
          <w:sz w:val="21"/>
        </w:rPr>
        <w:t>薪酬0.72%</w:t>
      </w:r>
      <w:r w:rsidR="00B6014B">
        <w:rPr>
          <w:sz w:val="21"/>
        </w:rPr>
        <w:t>（</w:t>
      </w:r>
      <w:r w:rsidRPr="007A5789">
        <w:rPr>
          <w:sz w:val="21"/>
        </w:rPr>
        <w:t>2011年估值结果为1.87%</w:t>
      </w:r>
      <w:r w:rsidR="00B6014B">
        <w:rPr>
          <w:sz w:val="21"/>
        </w:rPr>
        <w:t>）</w:t>
      </w:r>
      <w:r w:rsidRPr="007A5789">
        <w:rPr>
          <w:sz w:val="21"/>
        </w:rPr>
        <w:t>的精算赤字，这意味着从2013年12月31日起要实现平衡，理论上所需的缴费率为</w:t>
      </w:r>
      <w:proofErr w:type="gramStart"/>
      <w:r w:rsidRPr="007A5789">
        <w:rPr>
          <w:sz w:val="21"/>
        </w:rPr>
        <w:t>应计养恤金</w:t>
      </w:r>
      <w:proofErr w:type="gramEnd"/>
      <w:r w:rsidRPr="007A5789">
        <w:rPr>
          <w:sz w:val="21"/>
        </w:rPr>
        <w:t>薪酬的24.42%，相比之下，</w:t>
      </w:r>
      <w:proofErr w:type="gramStart"/>
      <w:r w:rsidRPr="007A5789">
        <w:rPr>
          <w:sz w:val="21"/>
        </w:rPr>
        <w:t>实际养</w:t>
      </w:r>
      <w:proofErr w:type="gramEnd"/>
      <w:r w:rsidRPr="007A5789">
        <w:rPr>
          <w:sz w:val="21"/>
        </w:rPr>
        <w:t>恤金缴费率为23.7%。下一次精算估值将根据2015年12月31日的状况进行，编制本财务报表时无法提供。</w:t>
      </w:r>
    </w:p>
    <w:p w:rsidR="007A5789" w:rsidRDefault="004B4679" w:rsidP="00134184">
      <w:pPr>
        <w:pStyle w:val="Style3"/>
        <w:numPr>
          <w:ilvl w:val="0"/>
          <w:numId w:val="18"/>
        </w:numPr>
        <w:tabs>
          <w:tab w:val="left" w:pos="770"/>
        </w:tabs>
        <w:overflowPunct w:val="0"/>
        <w:spacing w:afterLines="50" w:line="340" w:lineRule="atLeast"/>
        <w:ind w:left="0" w:firstLine="0"/>
        <w:rPr>
          <w:sz w:val="21"/>
        </w:rPr>
      </w:pPr>
      <w:r w:rsidRPr="007A5789">
        <w:rPr>
          <w:sz w:val="21"/>
        </w:rPr>
        <w:t>截至2013年12月31日，精算资产与精算负债的资助比率，在未进行未来养恤金调整的情况下为127.5%</w:t>
      </w:r>
      <w:r w:rsidR="00B6014B">
        <w:rPr>
          <w:sz w:val="21"/>
        </w:rPr>
        <w:t>（</w:t>
      </w:r>
      <w:r w:rsidRPr="007A5789">
        <w:rPr>
          <w:sz w:val="21"/>
        </w:rPr>
        <w:t>2011年估值为130.0%</w:t>
      </w:r>
      <w:r w:rsidR="00B6014B">
        <w:rPr>
          <w:sz w:val="21"/>
        </w:rPr>
        <w:t>）</w:t>
      </w:r>
      <w:r w:rsidRPr="007A5789">
        <w:rPr>
          <w:sz w:val="21"/>
        </w:rPr>
        <w:t>。在顾及当前养恤金调整制度的情况下，资助比率为91.2%</w:t>
      </w:r>
      <w:r w:rsidR="00B6014B">
        <w:rPr>
          <w:sz w:val="21"/>
        </w:rPr>
        <w:t>（</w:t>
      </w:r>
      <w:r w:rsidRPr="007A5789">
        <w:rPr>
          <w:sz w:val="21"/>
        </w:rPr>
        <w:t>2011年为86.2%</w:t>
      </w:r>
      <w:r w:rsidR="00B6014B">
        <w:rPr>
          <w:sz w:val="21"/>
        </w:rPr>
        <w:t>）</w:t>
      </w:r>
      <w:r w:rsidRPr="007A5789">
        <w:rPr>
          <w:sz w:val="21"/>
        </w:rPr>
        <w:t>。</w:t>
      </w:r>
    </w:p>
    <w:p w:rsidR="007A5789" w:rsidRDefault="004B4679" w:rsidP="00134184">
      <w:pPr>
        <w:pStyle w:val="Style3"/>
        <w:numPr>
          <w:ilvl w:val="0"/>
          <w:numId w:val="18"/>
        </w:numPr>
        <w:tabs>
          <w:tab w:val="left" w:pos="770"/>
        </w:tabs>
        <w:overflowPunct w:val="0"/>
        <w:spacing w:afterLines="50" w:line="340" w:lineRule="atLeast"/>
        <w:ind w:left="0" w:firstLine="0"/>
        <w:rPr>
          <w:sz w:val="21"/>
        </w:rPr>
      </w:pPr>
      <w:r w:rsidRPr="007A5789">
        <w:rPr>
          <w:sz w:val="21"/>
        </w:rPr>
        <w:t>在对基金的精算充足性进行评估后，顾问精算师得出结论，截至2013年12月31日，由于基金下资产的精算价值超过了所有累计负债的精算价值，因此，不存在根据《基金条例》第26条所要求的短缺支付问题。此外，截至估值日止，资产的市场价值亦超过了所有累计负债的价值。在本报告发布时，大会并未援引第26条的条款。</w:t>
      </w:r>
    </w:p>
    <w:p w:rsidR="007A5789" w:rsidRDefault="004B4679" w:rsidP="00134184">
      <w:pPr>
        <w:pStyle w:val="Style3"/>
        <w:numPr>
          <w:ilvl w:val="0"/>
          <w:numId w:val="18"/>
        </w:numPr>
        <w:tabs>
          <w:tab w:val="left" w:pos="770"/>
        </w:tabs>
        <w:overflowPunct w:val="0"/>
        <w:spacing w:afterLines="50" w:line="340" w:lineRule="atLeast"/>
        <w:ind w:left="0" w:firstLine="0"/>
        <w:rPr>
          <w:sz w:val="21"/>
        </w:rPr>
      </w:pPr>
      <w:r w:rsidRPr="007A5789">
        <w:rPr>
          <w:sz w:val="21"/>
        </w:rPr>
        <w:t>2012年12月和2013年4月，大会授权将基金新参加者的正常退休年龄和强制离职年龄分别提高至65岁，最迟于2014年1月1日开始实行。大会于2013年12月核准了《养恤基金条例》的相关变化。从2013年12月31日起，提高正常的退休年龄将反映在基金的精算估值中。</w:t>
      </w:r>
    </w:p>
    <w:p w:rsidR="004B4679" w:rsidRPr="007A5789" w:rsidRDefault="004B4679" w:rsidP="00134184">
      <w:pPr>
        <w:pStyle w:val="Style3"/>
        <w:numPr>
          <w:ilvl w:val="0"/>
          <w:numId w:val="18"/>
        </w:numPr>
        <w:tabs>
          <w:tab w:val="left" w:pos="770"/>
        </w:tabs>
        <w:overflowPunct w:val="0"/>
        <w:spacing w:afterLines="50" w:line="340" w:lineRule="atLeast"/>
        <w:ind w:left="0" w:firstLine="0"/>
        <w:rPr>
          <w:sz w:val="21"/>
        </w:rPr>
      </w:pPr>
      <w:r w:rsidRPr="007A5789">
        <w:rPr>
          <w:sz w:val="21"/>
        </w:rPr>
        <w:t>2015年，WIPO对UNJSPF缴纳的退休计划缴费总额为2,670</w:t>
      </w:r>
      <w:proofErr w:type="gramStart"/>
      <w:r w:rsidRPr="007A5789">
        <w:rPr>
          <w:sz w:val="21"/>
        </w:rPr>
        <w:t>万瑞</w:t>
      </w:r>
      <w:proofErr w:type="gramEnd"/>
      <w:r w:rsidRPr="007A5789">
        <w:rPr>
          <w:sz w:val="21"/>
        </w:rPr>
        <w:t>郎</w:t>
      </w:r>
      <w:r w:rsidR="00B6014B">
        <w:rPr>
          <w:sz w:val="21"/>
        </w:rPr>
        <w:t>（</w:t>
      </w:r>
      <w:r w:rsidRPr="007A5789">
        <w:rPr>
          <w:sz w:val="21"/>
        </w:rPr>
        <w:t>2014年为2,600</w:t>
      </w:r>
      <w:proofErr w:type="gramStart"/>
      <w:r w:rsidRPr="007A5789">
        <w:rPr>
          <w:sz w:val="21"/>
        </w:rPr>
        <w:t>万瑞</w:t>
      </w:r>
      <w:proofErr w:type="gramEnd"/>
      <w:r w:rsidRPr="007A5789">
        <w:rPr>
          <w:sz w:val="21"/>
        </w:rPr>
        <w:t>郎</w:t>
      </w:r>
      <w:r w:rsidR="00B6014B">
        <w:rPr>
          <w:sz w:val="21"/>
        </w:rPr>
        <w:t>）</w:t>
      </w:r>
      <w:r w:rsidRPr="007A5789">
        <w:rPr>
          <w:sz w:val="21"/>
        </w:rPr>
        <w:t>。预期2016年到期的缴费额为2,640</w:t>
      </w:r>
      <w:proofErr w:type="gramStart"/>
      <w:r w:rsidRPr="007A5789">
        <w:rPr>
          <w:sz w:val="21"/>
        </w:rPr>
        <w:t>万瑞</w:t>
      </w:r>
      <w:proofErr w:type="gramEnd"/>
      <w:r w:rsidRPr="007A5789">
        <w:rPr>
          <w:sz w:val="21"/>
        </w:rPr>
        <w:t>郎。联合国审计委员会每年对UNJSPF进行一次审议，并就审计情况每年向UNJSPF养恤金委员会做出报告。UNJSPF每季度发表投资报告。有关这些报告的详情，可访问UNJSPF网站：</w:t>
      </w:r>
      <w:hyperlink r:id="rId80">
        <w:r w:rsidRPr="00B674DC">
          <w:rPr>
            <w:rStyle w:val="ae"/>
            <w:color w:val="auto"/>
            <w:sz w:val="21"/>
          </w:rPr>
          <w:t>www.unjspf.org</w:t>
        </w:r>
      </w:hyperlink>
      <w:r w:rsidRPr="007A5789">
        <w:rPr>
          <w:sz w:val="21"/>
        </w:rPr>
        <w:t>。</w:t>
      </w:r>
    </w:p>
    <w:p w:rsidR="007A5789" w:rsidRPr="007C2134" w:rsidRDefault="004B4679" w:rsidP="007C2134">
      <w:pPr>
        <w:pStyle w:val="3"/>
        <w:overflowPunct w:val="0"/>
        <w:spacing w:beforeLines="100" w:afterLines="50" w:after="120" w:line="340" w:lineRule="atLeast"/>
        <w:rPr>
          <w:rFonts w:ascii="SimHei" w:eastAsia="SimHei" w:hAnsi="SimHei"/>
          <w:b w:val="0"/>
          <w:sz w:val="21"/>
        </w:rPr>
      </w:pPr>
      <w:bookmarkStart w:id="86" w:name="_Toc441218501"/>
      <w:bookmarkStart w:id="87" w:name="_Toc455733232"/>
      <w:r w:rsidRPr="007C2134">
        <w:rPr>
          <w:rFonts w:ascii="SimHei" w:eastAsia="SimHei" w:hAnsi="SimHei"/>
          <w:b w:val="0"/>
          <w:sz w:val="21"/>
        </w:rPr>
        <w:lastRenderedPageBreak/>
        <w:t>附注13：应付转账款</w:t>
      </w:r>
      <w:bookmarkEnd w:id="86"/>
      <w:bookmarkEnd w:id="87"/>
    </w:p>
    <w:p w:rsidR="004B4679" w:rsidRPr="007A5789" w:rsidRDefault="00B674DC" w:rsidP="00B674DC">
      <w:pPr>
        <w:spacing w:afterLines="50" w:after="120" w:line="340" w:lineRule="atLeast"/>
        <w:jc w:val="center"/>
        <w:rPr>
          <w:sz w:val="21"/>
        </w:rPr>
      </w:pPr>
      <w:r w:rsidRPr="009F536B">
        <w:rPr>
          <w:noProof/>
          <w:sz w:val="21"/>
          <w:lang w:val="en-US" w:bidi="ar-SA"/>
        </w:rPr>
        <w:drawing>
          <wp:inline distT="0" distB="0" distL="0" distR="0" wp14:anchorId="387AAB4F" wp14:editId="550AD98A">
            <wp:extent cx="5934710" cy="2562225"/>
            <wp:effectExtent l="0" t="0" r="8890" b="9525"/>
            <wp:docPr id="344" name="图片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934710" cy="2562225"/>
                    </a:xfrm>
                    <a:prstGeom prst="rect">
                      <a:avLst/>
                    </a:prstGeom>
                    <a:noFill/>
                    <a:ln>
                      <a:noFill/>
                    </a:ln>
                  </pic:spPr>
                </pic:pic>
              </a:graphicData>
            </a:graphic>
          </wp:inline>
        </w:drawing>
      </w:r>
    </w:p>
    <w:p w:rsidR="007A5789" w:rsidRDefault="004B4679" w:rsidP="00134184">
      <w:pPr>
        <w:pStyle w:val="Style3"/>
        <w:numPr>
          <w:ilvl w:val="0"/>
          <w:numId w:val="19"/>
        </w:numPr>
        <w:tabs>
          <w:tab w:val="left" w:pos="770"/>
        </w:tabs>
        <w:overflowPunct w:val="0"/>
        <w:spacing w:afterLines="50" w:line="340" w:lineRule="atLeast"/>
        <w:ind w:left="0" w:firstLine="0"/>
        <w:rPr>
          <w:sz w:val="21"/>
        </w:rPr>
      </w:pPr>
      <w:r w:rsidRPr="007A5789">
        <w:rPr>
          <w:sz w:val="21"/>
        </w:rPr>
        <w:t>本组织代表《马德里协定》和《议定书》以及《海牙协定共同实施细则》的缔约方收费。本组织的PCT国际局向申请人收取资金，用以抵偿向国际检索单位支付的费用。此外，本组织收取在通过仲裁与调解中心处理的案件中直接支付给调解人、仲裁人或专门小组成员的费用。本组织在根据本组织管辖的各项条约和协定向最终受益人移交之前暂时持有这些资金。</w:t>
      </w:r>
    </w:p>
    <w:p w:rsidR="007A5789" w:rsidRDefault="004B4679" w:rsidP="00134184">
      <w:pPr>
        <w:pStyle w:val="Style3"/>
        <w:numPr>
          <w:ilvl w:val="0"/>
          <w:numId w:val="7"/>
        </w:numPr>
        <w:tabs>
          <w:tab w:val="clear" w:pos="720"/>
        </w:tabs>
        <w:overflowPunct w:val="0"/>
        <w:spacing w:afterLines="50" w:line="340" w:lineRule="atLeast"/>
        <w:ind w:left="1134" w:hanging="567"/>
        <w:rPr>
          <w:sz w:val="21"/>
        </w:rPr>
      </w:pPr>
      <w:r w:rsidRPr="00AC4C1F">
        <w:rPr>
          <w:rFonts w:ascii="KaiTi" w:eastAsia="KaiTi" w:hAnsi="KaiTi"/>
          <w:sz w:val="21"/>
        </w:rPr>
        <w:t>马德里联盟补充费和附加费</w:t>
      </w:r>
      <w:r w:rsidRPr="007A5789">
        <w:rPr>
          <w:sz w:val="21"/>
        </w:rPr>
        <w:t>：根据《马德里协定》</w:t>
      </w:r>
      <w:r w:rsidR="00B6014B">
        <w:rPr>
          <w:sz w:val="21"/>
        </w:rPr>
        <w:t>（</w:t>
      </w:r>
      <w:r w:rsidRPr="007A5789">
        <w:rPr>
          <w:sz w:val="21"/>
        </w:rPr>
        <w:t>第8条第(2)款(b)项和(c)项</w:t>
      </w:r>
      <w:r w:rsidR="00B6014B">
        <w:rPr>
          <w:sz w:val="21"/>
        </w:rPr>
        <w:t>）</w:t>
      </w:r>
      <w:r w:rsidRPr="007A5789">
        <w:rPr>
          <w:sz w:val="21"/>
        </w:rPr>
        <w:t>和《马德里议定书》</w:t>
      </w:r>
      <w:r w:rsidR="00B6014B">
        <w:rPr>
          <w:sz w:val="21"/>
        </w:rPr>
        <w:t>（</w:t>
      </w:r>
      <w:r w:rsidRPr="007A5789">
        <w:rPr>
          <w:sz w:val="21"/>
        </w:rPr>
        <w:t>第8条第(2)款(ii)项和第(iii)项</w:t>
      </w:r>
      <w:r w:rsidR="00B6014B">
        <w:rPr>
          <w:sz w:val="21"/>
        </w:rPr>
        <w:t>）</w:t>
      </w:r>
      <w:r w:rsidRPr="007A5789">
        <w:rPr>
          <w:sz w:val="21"/>
        </w:rPr>
        <w:t>，本组织代表缔约方收取补充费和附加费，每份申请或续展为100瑞郎。应付给每一缔约方的金额根据该方提供的服务</w:t>
      </w:r>
      <w:r w:rsidR="00B6014B">
        <w:rPr>
          <w:sz w:val="21"/>
        </w:rPr>
        <w:t>（</w:t>
      </w:r>
      <w:r w:rsidRPr="007A5789">
        <w:rPr>
          <w:sz w:val="21"/>
        </w:rPr>
        <w:t>执行审查</w:t>
      </w:r>
      <w:r w:rsidR="00B6014B">
        <w:rPr>
          <w:sz w:val="21"/>
        </w:rPr>
        <w:t>）</w:t>
      </w:r>
      <w:r w:rsidRPr="007A5789">
        <w:rPr>
          <w:sz w:val="21"/>
        </w:rPr>
        <w:t>不等。资金每年于报告日之后在上半年转账。</w:t>
      </w:r>
    </w:p>
    <w:p w:rsidR="007A5789" w:rsidRDefault="004B4679" w:rsidP="00134184">
      <w:pPr>
        <w:pStyle w:val="Style3"/>
        <w:numPr>
          <w:ilvl w:val="0"/>
          <w:numId w:val="7"/>
        </w:numPr>
        <w:tabs>
          <w:tab w:val="clear" w:pos="720"/>
        </w:tabs>
        <w:overflowPunct w:val="0"/>
        <w:spacing w:afterLines="50" w:line="340" w:lineRule="atLeast"/>
        <w:ind w:left="1134" w:hanging="567"/>
        <w:rPr>
          <w:sz w:val="21"/>
        </w:rPr>
      </w:pPr>
      <w:r w:rsidRPr="00AC4C1F">
        <w:rPr>
          <w:rFonts w:ascii="KaiTi" w:eastAsia="KaiTi" w:hAnsi="KaiTi"/>
          <w:sz w:val="21"/>
        </w:rPr>
        <w:t>马德里联盟单独</w:t>
      </w:r>
      <w:proofErr w:type="gramStart"/>
      <w:r w:rsidRPr="00AC4C1F">
        <w:rPr>
          <w:rFonts w:ascii="KaiTi" w:eastAsia="KaiTi" w:hAnsi="KaiTi"/>
          <w:sz w:val="21"/>
        </w:rPr>
        <w:t>规</w:t>
      </w:r>
      <w:proofErr w:type="gramEnd"/>
      <w:r w:rsidRPr="00AC4C1F">
        <w:rPr>
          <w:rFonts w:ascii="KaiTi" w:eastAsia="KaiTi" w:hAnsi="KaiTi"/>
          <w:sz w:val="21"/>
        </w:rPr>
        <w:t>费</w:t>
      </w:r>
      <w:r w:rsidRPr="007A5789">
        <w:rPr>
          <w:sz w:val="21"/>
        </w:rPr>
        <w:t>：根据《马德里议定书》第8条第(7)款及《共同实施细则》第38条，缔约方可规定费用，由本组织收取，在登记费用所涉的注册或续展指定后一个月内向缔约方转付。选择规定单独</w:t>
      </w:r>
      <w:proofErr w:type="gramStart"/>
      <w:r w:rsidRPr="007A5789">
        <w:rPr>
          <w:sz w:val="21"/>
        </w:rPr>
        <w:t>规</w:t>
      </w:r>
      <w:proofErr w:type="gramEnd"/>
      <w:r w:rsidRPr="007A5789">
        <w:rPr>
          <w:sz w:val="21"/>
        </w:rPr>
        <w:t>费的缔约方不能收取上述补充费和附加费。列出的应付额为报告期期末待转账的</w:t>
      </w:r>
      <w:proofErr w:type="gramStart"/>
      <w:r w:rsidRPr="007A5789">
        <w:rPr>
          <w:sz w:val="21"/>
        </w:rPr>
        <w:t>规</w:t>
      </w:r>
      <w:proofErr w:type="gramEnd"/>
      <w:r w:rsidRPr="007A5789">
        <w:rPr>
          <w:sz w:val="21"/>
        </w:rPr>
        <w:t>费。</w:t>
      </w:r>
    </w:p>
    <w:p w:rsidR="007A5789" w:rsidRDefault="004B4679" w:rsidP="00134184">
      <w:pPr>
        <w:pStyle w:val="Style3"/>
        <w:numPr>
          <w:ilvl w:val="0"/>
          <w:numId w:val="7"/>
        </w:numPr>
        <w:tabs>
          <w:tab w:val="clear" w:pos="720"/>
        </w:tabs>
        <w:overflowPunct w:val="0"/>
        <w:spacing w:afterLines="50" w:line="340" w:lineRule="atLeast"/>
        <w:ind w:left="1134" w:hanging="567"/>
        <w:rPr>
          <w:sz w:val="21"/>
        </w:rPr>
      </w:pPr>
      <w:r w:rsidRPr="00AC4C1F">
        <w:rPr>
          <w:rFonts w:ascii="KaiTi" w:eastAsia="KaiTi" w:hAnsi="KaiTi"/>
          <w:sz w:val="21"/>
        </w:rPr>
        <w:t>马德里联盟预缴款</w:t>
      </w:r>
      <w:r w:rsidRPr="007A5789">
        <w:rPr>
          <w:sz w:val="21"/>
        </w:rPr>
        <w:t>：本组织从马德里体系申请人处收到支付的款项，按照与商标相关的未决程序，这些款项被视为预缴款。在这些预缴款中，有一部分是WIPO代第三方收取的资金，随后要按照条约转账。财务报表的应付转账款包含了这部分预交款的概算。预缴款中由本组织预先收取的费用概算包含在财务报表的预</w:t>
      </w:r>
      <w:r w:rsidR="009F536B">
        <w:rPr>
          <w:rFonts w:hint="eastAsia"/>
          <w:sz w:val="21"/>
        </w:rPr>
        <w:t>收</w:t>
      </w:r>
      <w:r w:rsidRPr="007A5789">
        <w:rPr>
          <w:sz w:val="21"/>
        </w:rPr>
        <w:t>款中</w:t>
      </w:r>
      <w:r w:rsidR="00B6014B">
        <w:rPr>
          <w:sz w:val="21"/>
        </w:rPr>
        <w:t>（</w:t>
      </w:r>
      <w:r w:rsidRPr="007A5789">
        <w:rPr>
          <w:sz w:val="21"/>
        </w:rPr>
        <w:t>见附注14</w:t>
      </w:r>
      <w:r w:rsidR="00B6014B">
        <w:rPr>
          <w:sz w:val="21"/>
        </w:rPr>
        <w:t>）</w:t>
      </w:r>
      <w:r w:rsidRPr="007A5789">
        <w:rPr>
          <w:sz w:val="21"/>
        </w:rPr>
        <w:t>。</w:t>
      </w:r>
    </w:p>
    <w:p w:rsidR="007A5789" w:rsidRDefault="004B4679" w:rsidP="00134184">
      <w:pPr>
        <w:pStyle w:val="Style3"/>
        <w:numPr>
          <w:ilvl w:val="0"/>
          <w:numId w:val="7"/>
        </w:numPr>
        <w:tabs>
          <w:tab w:val="clear" w:pos="720"/>
        </w:tabs>
        <w:overflowPunct w:val="0"/>
        <w:spacing w:afterLines="50" w:line="340" w:lineRule="atLeast"/>
        <w:ind w:left="1134" w:hanging="567"/>
        <w:rPr>
          <w:sz w:val="21"/>
        </w:rPr>
      </w:pPr>
      <w:r w:rsidRPr="00AC4C1F">
        <w:rPr>
          <w:rFonts w:ascii="KaiTi" w:eastAsia="KaiTi" w:hAnsi="KaiTi"/>
          <w:sz w:val="21"/>
        </w:rPr>
        <w:t>海牙联盟分配</w:t>
      </w:r>
      <w:r w:rsidRPr="007A5789">
        <w:rPr>
          <w:sz w:val="21"/>
        </w:rPr>
        <w:t>：根据《海牙协定共同实施细则》的细则13.2条(a)款(iii)项、细则13.2条(e)款和细则24.2条，本组织代表缔约方为国际注册或续展收取一般国家规费、国家续展费和新颖性审查费。这些资金每月向缔约方支付。列出的应付额为报告期期末待转账的数额。</w:t>
      </w:r>
    </w:p>
    <w:p w:rsidR="007A5789" w:rsidRDefault="004B4679" w:rsidP="00134184">
      <w:pPr>
        <w:pStyle w:val="Style3"/>
        <w:numPr>
          <w:ilvl w:val="0"/>
          <w:numId w:val="7"/>
        </w:numPr>
        <w:tabs>
          <w:tab w:val="clear" w:pos="720"/>
        </w:tabs>
        <w:overflowPunct w:val="0"/>
        <w:spacing w:afterLines="50" w:line="340" w:lineRule="atLeast"/>
        <w:ind w:left="1134" w:hanging="567"/>
        <w:rPr>
          <w:sz w:val="21"/>
        </w:rPr>
      </w:pPr>
      <w:r w:rsidRPr="00AC4C1F">
        <w:rPr>
          <w:rFonts w:ascii="KaiTi" w:eastAsia="KaiTi" w:hAnsi="KaiTi"/>
          <w:sz w:val="21"/>
        </w:rPr>
        <w:t>马德里和海牙联盟待分费</w:t>
      </w:r>
      <w:r w:rsidRPr="007A5789">
        <w:rPr>
          <w:sz w:val="21"/>
        </w:rPr>
        <w:t>：如果未收到明确的付款指示或者缔约方要求确认后再付款，本组织则持有应付给缔约方的资金。所列数额包括总额为180</w:t>
      </w:r>
      <w:proofErr w:type="gramStart"/>
      <w:r w:rsidRPr="007A5789">
        <w:rPr>
          <w:sz w:val="21"/>
        </w:rPr>
        <w:t>万瑞</w:t>
      </w:r>
      <w:proofErr w:type="gramEnd"/>
      <w:r w:rsidRPr="007A5789">
        <w:rPr>
          <w:sz w:val="21"/>
        </w:rPr>
        <w:t>郎的款项，应付给所有组成前南斯拉夫联邦共和国的国家，即波斯尼亚和黑塞哥维那、克罗地亚、黑山、塞尔维亚、斯洛文尼亚和前南斯拉夫的马其顿共和国。国际局一旦收到相关成员国之间关于应付给每个国家的金额的相互协定，即进行支付。</w:t>
      </w:r>
    </w:p>
    <w:p w:rsidR="007A5789" w:rsidRDefault="004B4679" w:rsidP="00134184">
      <w:pPr>
        <w:pStyle w:val="Style3"/>
        <w:numPr>
          <w:ilvl w:val="0"/>
          <w:numId w:val="7"/>
        </w:numPr>
        <w:tabs>
          <w:tab w:val="clear" w:pos="720"/>
        </w:tabs>
        <w:overflowPunct w:val="0"/>
        <w:spacing w:afterLines="50" w:line="340" w:lineRule="atLeast"/>
        <w:ind w:left="1134" w:hanging="567"/>
        <w:rPr>
          <w:sz w:val="21"/>
        </w:rPr>
      </w:pPr>
      <w:r w:rsidRPr="00AC4C1F">
        <w:rPr>
          <w:rFonts w:ascii="KaiTi" w:eastAsia="KaiTi" w:hAnsi="KaiTi"/>
          <w:sz w:val="21"/>
        </w:rPr>
        <w:lastRenderedPageBreak/>
        <w:t>仲裁与调解中心预缴款</w:t>
      </w:r>
      <w:r w:rsidRPr="007A5789">
        <w:rPr>
          <w:sz w:val="21"/>
        </w:rPr>
        <w:t>：本组织为通过仲裁与调解中心进行的有关域名及其他知识产权相关问题的仲裁收取费用。除了付给本组织的费用外，当事人预缴一笔款项，数额相当于估算的仲裁员费用。如果仲裁员的费用超过估计，本组织可要求当事人提供所需的额外资金。收取的款项直接付给仲裁员，本组织不将其计为收入。前表所列金额为当事人已付但报告日未付给仲裁员的净金额。</w:t>
      </w:r>
    </w:p>
    <w:p w:rsidR="007A5789" w:rsidRDefault="004B4679" w:rsidP="00134184">
      <w:pPr>
        <w:pStyle w:val="Style3"/>
        <w:numPr>
          <w:ilvl w:val="0"/>
          <w:numId w:val="7"/>
        </w:numPr>
        <w:tabs>
          <w:tab w:val="clear" w:pos="720"/>
        </w:tabs>
        <w:overflowPunct w:val="0"/>
        <w:spacing w:afterLines="50" w:line="340" w:lineRule="atLeast"/>
        <w:ind w:left="1134" w:hanging="567"/>
        <w:rPr>
          <w:sz w:val="21"/>
        </w:rPr>
      </w:pPr>
      <w:r w:rsidRPr="00AC4C1F">
        <w:rPr>
          <w:rFonts w:ascii="KaiTi" w:eastAsia="KaiTi" w:hAnsi="KaiTi"/>
          <w:sz w:val="21"/>
        </w:rPr>
        <w:t>PCT国际检索单位</w:t>
      </w:r>
      <w:r w:rsidRPr="007A5789">
        <w:rPr>
          <w:sz w:val="21"/>
        </w:rPr>
        <w:t>：国际局向在国际局提交国际专利申请的申请人收取费用，以支付本组织按PCT指定的国际检索单位进行国际检索的费用。前表所列金额为报告日应向国际检索单位转付的金额。</w:t>
      </w:r>
    </w:p>
    <w:p w:rsidR="007A5789" w:rsidRDefault="004B4679" w:rsidP="00134184">
      <w:pPr>
        <w:pStyle w:val="Style3"/>
        <w:numPr>
          <w:ilvl w:val="0"/>
          <w:numId w:val="7"/>
        </w:numPr>
        <w:tabs>
          <w:tab w:val="clear" w:pos="720"/>
        </w:tabs>
        <w:overflowPunct w:val="0"/>
        <w:spacing w:afterLines="50" w:line="340" w:lineRule="atLeast"/>
        <w:ind w:left="1134" w:hanging="567"/>
        <w:rPr>
          <w:sz w:val="21"/>
        </w:rPr>
      </w:pPr>
      <w:r w:rsidRPr="00AC4C1F">
        <w:rPr>
          <w:rFonts w:ascii="KaiTi" w:eastAsia="KaiTi" w:hAnsi="KaiTi"/>
          <w:sz w:val="21"/>
        </w:rPr>
        <w:t>应付给EPO的USPTO检索费</w:t>
      </w:r>
      <w:r w:rsidRPr="007A5789">
        <w:rPr>
          <w:sz w:val="21"/>
        </w:rPr>
        <w:t>：根据欧洲专利局</w:t>
      </w:r>
      <w:r w:rsidR="00B6014B">
        <w:rPr>
          <w:sz w:val="21"/>
        </w:rPr>
        <w:t>（</w:t>
      </w:r>
      <w:r w:rsidRPr="007A5789">
        <w:rPr>
          <w:sz w:val="21"/>
        </w:rPr>
        <w:t>EPO</w:t>
      </w:r>
      <w:r w:rsidR="00B6014B">
        <w:rPr>
          <w:sz w:val="21"/>
        </w:rPr>
        <w:t>）</w:t>
      </w:r>
      <w:r w:rsidRPr="007A5789">
        <w:rPr>
          <w:sz w:val="21"/>
        </w:rPr>
        <w:t>、美国专利商标局</w:t>
      </w:r>
      <w:r w:rsidR="00B6014B">
        <w:rPr>
          <w:sz w:val="21"/>
        </w:rPr>
        <w:t>（</w:t>
      </w:r>
      <w:r w:rsidRPr="007A5789">
        <w:rPr>
          <w:sz w:val="21"/>
        </w:rPr>
        <w:t>USPTO</w:t>
      </w:r>
      <w:r w:rsidR="00B6014B">
        <w:rPr>
          <w:sz w:val="21"/>
        </w:rPr>
        <w:t>）</w:t>
      </w:r>
      <w:r w:rsidRPr="007A5789">
        <w:rPr>
          <w:sz w:val="21"/>
        </w:rPr>
        <w:t>和WIPO达成的谅解备忘录，WIPO从USPTO获取应从USPTO</w:t>
      </w:r>
      <w:r w:rsidR="00B6014B">
        <w:rPr>
          <w:sz w:val="21"/>
        </w:rPr>
        <w:t>（</w:t>
      </w:r>
      <w:r w:rsidRPr="007A5789">
        <w:rPr>
          <w:sz w:val="21"/>
        </w:rPr>
        <w:t>作为PCT收取单位</w:t>
      </w:r>
      <w:r w:rsidR="00B6014B">
        <w:rPr>
          <w:sz w:val="21"/>
        </w:rPr>
        <w:t>）</w:t>
      </w:r>
      <w:r w:rsidRPr="007A5789">
        <w:rPr>
          <w:sz w:val="21"/>
        </w:rPr>
        <w:t>转付给EPO</w:t>
      </w:r>
      <w:r w:rsidR="00B6014B">
        <w:rPr>
          <w:sz w:val="21"/>
        </w:rPr>
        <w:t>（</w:t>
      </w:r>
      <w:r w:rsidRPr="007A5789">
        <w:rPr>
          <w:sz w:val="21"/>
        </w:rPr>
        <w:t>作为国际检索单位</w:t>
      </w:r>
      <w:r w:rsidR="00B6014B">
        <w:rPr>
          <w:sz w:val="21"/>
        </w:rPr>
        <w:t>）</w:t>
      </w:r>
      <w:r w:rsidRPr="007A5789">
        <w:rPr>
          <w:sz w:val="21"/>
        </w:rPr>
        <w:t>的PCT检索费用，再由WIPO转付给EPO。此份谅解备忘录旨在完善检索费用转付的管理，降低国际</w:t>
      </w:r>
      <w:proofErr w:type="gramStart"/>
      <w:r w:rsidRPr="007A5789">
        <w:rPr>
          <w:sz w:val="21"/>
        </w:rPr>
        <w:t>局履行</w:t>
      </w:r>
      <w:proofErr w:type="gramEnd"/>
      <w:r w:rsidRPr="007A5789">
        <w:rPr>
          <w:sz w:val="21"/>
        </w:rPr>
        <w:t>PCT第16.1</w:t>
      </w:r>
      <w:r w:rsidR="00AB1CF0" w:rsidRPr="007A5789">
        <w:rPr>
          <w:sz w:val="21"/>
        </w:rPr>
        <w:t>(</w:t>
      </w:r>
      <w:r w:rsidRPr="007A5789">
        <w:rPr>
          <w:sz w:val="21"/>
        </w:rPr>
        <w:t>e</w:t>
      </w:r>
      <w:r w:rsidR="00AB1CF0" w:rsidRPr="007A5789">
        <w:rPr>
          <w:sz w:val="21"/>
        </w:rPr>
        <w:t>)</w:t>
      </w:r>
      <w:r w:rsidRPr="007A5789">
        <w:rPr>
          <w:sz w:val="21"/>
        </w:rPr>
        <w:t>条规定因汇率波动而遭受的损失。前表所列金额为WIPO在报告日获取的但尚未转付给EPO的转付余额。</w:t>
      </w:r>
    </w:p>
    <w:p w:rsidR="007A5789" w:rsidRPr="007C2134" w:rsidRDefault="004B4679" w:rsidP="007C2134">
      <w:pPr>
        <w:pStyle w:val="3"/>
        <w:overflowPunct w:val="0"/>
        <w:spacing w:beforeLines="100" w:afterLines="50" w:after="120" w:line="340" w:lineRule="atLeast"/>
        <w:rPr>
          <w:rFonts w:ascii="SimHei" w:eastAsia="SimHei" w:hAnsi="SimHei"/>
          <w:b w:val="0"/>
          <w:sz w:val="21"/>
        </w:rPr>
      </w:pPr>
      <w:bookmarkStart w:id="88" w:name="_Toc441218502"/>
      <w:bookmarkStart w:id="89" w:name="_Toc455733233"/>
      <w:r w:rsidRPr="007C2134">
        <w:rPr>
          <w:rFonts w:ascii="SimHei" w:eastAsia="SimHei" w:hAnsi="SimHei"/>
          <w:b w:val="0"/>
          <w:sz w:val="21"/>
        </w:rPr>
        <w:t>附注14：预收款</w:t>
      </w:r>
      <w:bookmarkEnd w:id="88"/>
      <w:bookmarkEnd w:id="89"/>
    </w:p>
    <w:p w:rsidR="004B4679" w:rsidRPr="007A5789" w:rsidRDefault="00B674DC" w:rsidP="00B674DC">
      <w:pPr>
        <w:spacing w:afterLines="50" w:after="120" w:line="340" w:lineRule="atLeast"/>
        <w:jc w:val="center"/>
        <w:rPr>
          <w:sz w:val="21"/>
        </w:rPr>
      </w:pPr>
      <w:r w:rsidRPr="00EF7E79">
        <w:rPr>
          <w:noProof/>
          <w:sz w:val="21"/>
          <w:lang w:val="en-US" w:bidi="ar-SA"/>
        </w:rPr>
        <w:drawing>
          <wp:inline distT="0" distB="0" distL="0" distR="0" wp14:anchorId="7D2A3231" wp14:editId="56D4829A">
            <wp:extent cx="5934710" cy="3277870"/>
            <wp:effectExtent l="0" t="0" r="8890" b="0"/>
            <wp:docPr id="345" name="图片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934710" cy="3277870"/>
                    </a:xfrm>
                    <a:prstGeom prst="rect">
                      <a:avLst/>
                    </a:prstGeom>
                    <a:noFill/>
                    <a:ln>
                      <a:noFill/>
                    </a:ln>
                  </pic:spPr>
                </pic:pic>
              </a:graphicData>
            </a:graphic>
          </wp:inline>
        </w:drawing>
      </w:r>
    </w:p>
    <w:p w:rsidR="007A5789" w:rsidRDefault="004B4679" w:rsidP="00134184">
      <w:pPr>
        <w:pStyle w:val="Style3"/>
        <w:numPr>
          <w:ilvl w:val="0"/>
          <w:numId w:val="20"/>
        </w:numPr>
        <w:tabs>
          <w:tab w:val="left" w:pos="770"/>
        </w:tabs>
        <w:overflowPunct w:val="0"/>
        <w:spacing w:afterLines="50" w:line="340" w:lineRule="atLeast"/>
        <w:ind w:left="0" w:firstLine="0"/>
        <w:rPr>
          <w:sz w:val="21"/>
          <w:szCs w:val="22"/>
        </w:rPr>
      </w:pPr>
      <w:r w:rsidRPr="007A5789">
        <w:rPr>
          <w:sz w:val="21"/>
        </w:rPr>
        <w:t>许多情况下，本组织在服务全部履行之前，或根据本组织管理的条约、协定、议定书和条例挣</w:t>
      </w:r>
      <w:proofErr w:type="gramStart"/>
      <w:r w:rsidRPr="007A5789">
        <w:rPr>
          <w:sz w:val="21"/>
        </w:rPr>
        <w:t>得费用</w:t>
      </w:r>
      <w:proofErr w:type="gramEnd"/>
      <w:r w:rsidRPr="007A5789">
        <w:rPr>
          <w:sz w:val="21"/>
        </w:rPr>
        <w:t>之前，便收取了</w:t>
      </w:r>
      <w:proofErr w:type="gramStart"/>
      <w:r w:rsidRPr="007A5789">
        <w:rPr>
          <w:sz w:val="21"/>
        </w:rPr>
        <w:t>规</w:t>
      </w:r>
      <w:proofErr w:type="gramEnd"/>
      <w:r w:rsidRPr="007A5789">
        <w:rPr>
          <w:sz w:val="21"/>
        </w:rPr>
        <w:t>费和服务费。有关国际申请处理的费用收入</w:t>
      </w:r>
      <w:r w:rsidR="00B6014B">
        <w:rPr>
          <w:sz w:val="21"/>
        </w:rPr>
        <w:t>（</w:t>
      </w:r>
      <w:r w:rsidRPr="007A5789">
        <w:rPr>
          <w:sz w:val="21"/>
        </w:rPr>
        <w:t>在PCT、马德里及海牙体系下</w:t>
      </w:r>
      <w:r w:rsidR="00B6014B">
        <w:rPr>
          <w:sz w:val="21"/>
        </w:rPr>
        <w:t>）</w:t>
      </w:r>
      <w:r w:rsidRPr="007A5789">
        <w:rPr>
          <w:sz w:val="21"/>
        </w:rPr>
        <w:t>在申请公布后入账。以纸件或EASY模式提交的PCT申请的增加页数费用收入推迟到相关申请公布时再予以确认。此外，包括非英文专利性报告的翻译费用在内的PCT申请</w:t>
      </w:r>
      <w:proofErr w:type="gramStart"/>
      <w:r w:rsidRPr="007A5789">
        <w:rPr>
          <w:sz w:val="21"/>
        </w:rPr>
        <w:t>规</w:t>
      </w:r>
      <w:proofErr w:type="gramEnd"/>
      <w:r w:rsidRPr="007A5789">
        <w:rPr>
          <w:sz w:val="21"/>
        </w:rPr>
        <w:t>费部分也推迟到翻译完成之时予以确认。所有</w:t>
      </w:r>
      <w:proofErr w:type="gramStart"/>
      <w:r w:rsidRPr="007A5789">
        <w:rPr>
          <w:sz w:val="21"/>
        </w:rPr>
        <w:t>规</w:t>
      </w:r>
      <w:proofErr w:type="gramEnd"/>
      <w:r w:rsidRPr="007A5789">
        <w:rPr>
          <w:sz w:val="21"/>
        </w:rPr>
        <w:t>费收入，包括续展、</w:t>
      </w:r>
      <w:r w:rsidR="009F536B">
        <w:rPr>
          <w:rFonts w:hint="eastAsia"/>
          <w:sz w:val="21"/>
        </w:rPr>
        <w:t>摘录</w:t>
      </w:r>
      <w:r w:rsidRPr="007A5789">
        <w:rPr>
          <w:sz w:val="21"/>
        </w:rPr>
        <w:t>、</w:t>
      </w:r>
      <w:r w:rsidR="009F536B">
        <w:rPr>
          <w:rFonts w:hint="eastAsia"/>
          <w:sz w:val="21"/>
        </w:rPr>
        <w:t>变更</w:t>
      </w:r>
      <w:r w:rsidRPr="007A5789">
        <w:rPr>
          <w:sz w:val="21"/>
        </w:rPr>
        <w:t>、放弃、转让、确认和调整费用，在完成服务时予以计入。</w:t>
      </w:r>
    </w:p>
    <w:p w:rsidR="007A5789" w:rsidRDefault="004B4679" w:rsidP="00134184">
      <w:pPr>
        <w:pStyle w:val="Style3"/>
        <w:numPr>
          <w:ilvl w:val="0"/>
          <w:numId w:val="20"/>
        </w:numPr>
        <w:tabs>
          <w:tab w:val="left" w:pos="770"/>
        </w:tabs>
        <w:overflowPunct w:val="0"/>
        <w:spacing w:afterLines="50" w:line="340" w:lineRule="atLeast"/>
        <w:ind w:left="0" w:firstLine="0"/>
        <w:rPr>
          <w:sz w:val="21"/>
        </w:rPr>
      </w:pPr>
      <w:r w:rsidRPr="007A5789">
        <w:rPr>
          <w:sz w:val="21"/>
        </w:rPr>
        <w:t>载明要求本组织向受援国政府或</w:t>
      </w:r>
      <w:proofErr w:type="gramStart"/>
      <w:r w:rsidRPr="007A5789">
        <w:rPr>
          <w:sz w:val="21"/>
        </w:rPr>
        <w:t>其他第三</w:t>
      </w:r>
      <w:proofErr w:type="gramEnd"/>
      <w:r w:rsidRPr="007A5789">
        <w:rPr>
          <w:sz w:val="21"/>
        </w:rPr>
        <w:t>方提供服务条件的特别账户中捐助方的自愿捐助，被视为递延收入，直至提供自愿捐助所涉及的服务之后，才计入收入。</w:t>
      </w:r>
    </w:p>
    <w:p w:rsidR="004B4679" w:rsidRPr="007A5789" w:rsidRDefault="004B4679" w:rsidP="00134184">
      <w:pPr>
        <w:pStyle w:val="Style3"/>
        <w:numPr>
          <w:ilvl w:val="0"/>
          <w:numId w:val="20"/>
        </w:numPr>
        <w:tabs>
          <w:tab w:val="left" w:pos="770"/>
        </w:tabs>
        <w:overflowPunct w:val="0"/>
        <w:spacing w:afterLines="50" w:line="340" w:lineRule="atLeast"/>
        <w:ind w:left="0" w:firstLine="0"/>
        <w:rPr>
          <w:sz w:val="21"/>
        </w:rPr>
      </w:pPr>
      <w:r w:rsidRPr="007A5789">
        <w:rPr>
          <w:sz w:val="21"/>
        </w:rPr>
        <w:lastRenderedPageBreak/>
        <w:t>升级WIPO现有办公楼安全和安保标准的建筑项目由国际组织</w:t>
      </w:r>
      <w:r w:rsidR="009F536B">
        <w:rPr>
          <w:rFonts w:hint="eastAsia"/>
          <w:sz w:val="21"/>
        </w:rPr>
        <w:t>不动产</w:t>
      </w:r>
      <w:r w:rsidRPr="007A5789">
        <w:rPr>
          <w:sz w:val="21"/>
        </w:rPr>
        <w:t>基金会</w:t>
      </w:r>
      <w:r w:rsidR="00B6014B">
        <w:rPr>
          <w:sz w:val="21"/>
        </w:rPr>
        <w:t>（</w:t>
      </w:r>
      <w:r w:rsidRPr="007A5789">
        <w:rPr>
          <w:sz w:val="21"/>
        </w:rPr>
        <w:t>FIPOI</w:t>
      </w:r>
      <w:r w:rsidR="00B6014B">
        <w:rPr>
          <w:sz w:val="21"/>
        </w:rPr>
        <w:t>）</w:t>
      </w:r>
      <w:r w:rsidRPr="007A5789">
        <w:rPr>
          <w:sz w:val="21"/>
        </w:rPr>
        <w:t>供应部分资金。FIPOI供资的</w:t>
      </w:r>
      <w:r w:rsidRPr="007A5789">
        <w:rPr>
          <w:rFonts w:hint="eastAsia"/>
          <w:sz w:val="21"/>
        </w:rPr>
        <w:t>施工</w:t>
      </w:r>
      <w:r w:rsidRPr="007A5789">
        <w:rPr>
          <w:sz w:val="21"/>
        </w:rPr>
        <w:t>工程</w:t>
      </w:r>
      <w:r w:rsidRPr="007A5789">
        <w:rPr>
          <w:rFonts w:hint="eastAsia"/>
          <w:sz w:val="21"/>
        </w:rPr>
        <w:t>作为</w:t>
      </w:r>
      <w:r w:rsidRPr="007A5789">
        <w:rPr>
          <w:sz w:val="21"/>
        </w:rPr>
        <w:t>安保边界成本</w:t>
      </w:r>
      <w:r w:rsidRPr="007A5789">
        <w:rPr>
          <w:rFonts w:hint="eastAsia"/>
          <w:sz w:val="21"/>
        </w:rPr>
        <w:t>的</w:t>
      </w:r>
      <w:r w:rsidRPr="007A5789">
        <w:rPr>
          <w:sz w:val="21"/>
        </w:rPr>
        <w:t>一部分而资本</w:t>
      </w:r>
      <w:r w:rsidRPr="007A5789">
        <w:rPr>
          <w:rFonts w:hint="eastAsia"/>
          <w:sz w:val="21"/>
        </w:rPr>
        <w:t>化</w:t>
      </w:r>
      <w:r w:rsidRPr="007A5789">
        <w:rPr>
          <w:sz w:val="21"/>
        </w:rPr>
        <w:t>，相应的金额记为递延收入。截至2015年12月31日，递</w:t>
      </w:r>
      <w:proofErr w:type="gramStart"/>
      <w:r w:rsidRPr="007A5789">
        <w:rPr>
          <w:sz w:val="21"/>
        </w:rPr>
        <w:t>延收入</w:t>
      </w:r>
      <w:proofErr w:type="gramEnd"/>
      <w:r w:rsidRPr="007A5789">
        <w:rPr>
          <w:sz w:val="21"/>
        </w:rPr>
        <w:t>余额为430</w:t>
      </w:r>
      <w:proofErr w:type="gramStart"/>
      <w:r w:rsidRPr="007A5789">
        <w:rPr>
          <w:sz w:val="21"/>
        </w:rPr>
        <w:t>万瑞</w:t>
      </w:r>
      <w:proofErr w:type="gramEnd"/>
      <w:r w:rsidRPr="007A5789">
        <w:rPr>
          <w:sz w:val="21"/>
        </w:rPr>
        <w:t>郎</w:t>
      </w:r>
      <w:r w:rsidR="00B6014B">
        <w:rPr>
          <w:sz w:val="21"/>
        </w:rPr>
        <w:t>（</w:t>
      </w:r>
      <w:r w:rsidRPr="007A5789">
        <w:rPr>
          <w:sz w:val="21"/>
        </w:rPr>
        <w:t>2014年12月31日为300</w:t>
      </w:r>
      <w:proofErr w:type="gramStart"/>
      <w:r w:rsidRPr="007A5789">
        <w:rPr>
          <w:sz w:val="21"/>
        </w:rPr>
        <w:t>万瑞</w:t>
      </w:r>
      <w:proofErr w:type="gramEnd"/>
      <w:r w:rsidRPr="007A5789">
        <w:rPr>
          <w:sz w:val="21"/>
        </w:rPr>
        <w:t>郎</w:t>
      </w:r>
      <w:r w:rsidR="00B6014B">
        <w:rPr>
          <w:sz w:val="21"/>
        </w:rPr>
        <w:t>）</w:t>
      </w:r>
      <w:r w:rsidRPr="007A5789">
        <w:rPr>
          <w:sz w:val="21"/>
        </w:rPr>
        <w:t>。随着安保建筑在有效寿命期内不断折旧，这一收入是逐步计入。</w:t>
      </w:r>
    </w:p>
    <w:p w:rsidR="007A5789" w:rsidRPr="007C2134" w:rsidRDefault="004B4679" w:rsidP="007C2134">
      <w:pPr>
        <w:pStyle w:val="3"/>
        <w:overflowPunct w:val="0"/>
        <w:spacing w:beforeLines="100" w:afterLines="50" w:after="120" w:line="340" w:lineRule="atLeast"/>
        <w:rPr>
          <w:rFonts w:ascii="SimHei" w:eastAsia="SimHei" w:hAnsi="SimHei"/>
          <w:b w:val="0"/>
          <w:sz w:val="21"/>
        </w:rPr>
      </w:pPr>
      <w:bookmarkStart w:id="90" w:name="_Toc441218503"/>
      <w:bookmarkStart w:id="91" w:name="_Toc455733234"/>
      <w:r w:rsidRPr="007C2134">
        <w:rPr>
          <w:rFonts w:ascii="SimHei" w:eastAsia="SimHei" w:hAnsi="SimHei"/>
          <w:b w:val="0"/>
          <w:sz w:val="21"/>
        </w:rPr>
        <w:t>附注15：借款</w:t>
      </w:r>
      <w:bookmarkEnd w:id="90"/>
      <w:bookmarkEnd w:id="91"/>
    </w:p>
    <w:p w:rsidR="004B4679" w:rsidRPr="007A5789" w:rsidRDefault="00B674DC" w:rsidP="00B674DC">
      <w:pPr>
        <w:spacing w:afterLines="50" w:after="120" w:line="340" w:lineRule="atLeast"/>
        <w:jc w:val="center"/>
        <w:rPr>
          <w:sz w:val="21"/>
        </w:rPr>
      </w:pPr>
      <w:r w:rsidRPr="00EF7E79">
        <w:rPr>
          <w:noProof/>
          <w:sz w:val="21"/>
          <w:lang w:val="en-US" w:bidi="ar-SA"/>
        </w:rPr>
        <w:drawing>
          <wp:inline distT="0" distB="0" distL="0" distR="0" wp14:anchorId="5C9E8BA7" wp14:editId="49607922">
            <wp:extent cx="5934710" cy="2026920"/>
            <wp:effectExtent l="0" t="0" r="8890" b="0"/>
            <wp:docPr id="346" name="图片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934710" cy="2026920"/>
                    </a:xfrm>
                    <a:prstGeom prst="rect">
                      <a:avLst/>
                    </a:prstGeom>
                    <a:noFill/>
                    <a:ln>
                      <a:noFill/>
                    </a:ln>
                  </pic:spPr>
                </pic:pic>
              </a:graphicData>
            </a:graphic>
          </wp:inline>
        </w:drawing>
      </w:r>
    </w:p>
    <w:p w:rsidR="007A5789" w:rsidRDefault="004B4679" w:rsidP="00134184">
      <w:pPr>
        <w:pStyle w:val="Style3"/>
        <w:numPr>
          <w:ilvl w:val="0"/>
          <w:numId w:val="21"/>
        </w:numPr>
        <w:tabs>
          <w:tab w:val="left" w:pos="770"/>
        </w:tabs>
        <w:overflowPunct w:val="0"/>
        <w:spacing w:afterLines="50" w:line="340" w:lineRule="atLeast"/>
        <w:ind w:left="0" w:firstLine="0"/>
        <w:rPr>
          <w:sz w:val="21"/>
        </w:rPr>
      </w:pPr>
      <w:r w:rsidRPr="007A5789">
        <w:rPr>
          <w:sz w:val="21"/>
        </w:rPr>
        <w:t>本组织为建设其位于瑞士日内瓦的总部办公楼，从FIPOI借入了资金</w:t>
      </w:r>
      <w:r w:rsidR="00B6014B">
        <w:rPr>
          <w:sz w:val="21"/>
        </w:rPr>
        <w:t>（</w:t>
      </w:r>
      <w:r w:rsidRPr="007A5789">
        <w:rPr>
          <w:sz w:val="21"/>
        </w:rPr>
        <w:t>1977年和1987年分别批准了5,080</w:t>
      </w:r>
      <w:proofErr w:type="gramStart"/>
      <w:r w:rsidRPr="007A5789">
        <w:rPr>
          <w:sz w:val="21"/>
        </w:rPr>
        <w:t>万瑞</w:t>
      </w:r>
      <w:proofErr w:type="gramEnd"/>
      <w:r w:rsidRPr="007A5789">
        <w:rPr>
          <w:sz w:val="21"/>
        </w:rPr>
        <w:t>郎和840</w:t>
      </w:r>
      <w:proofErr w:type="gramStart"/>
      <w:r w:rsidRPr="007A5789">
        <w:rPr>
          <w:sz w:val="21"/>
        </w:rPr>
        <w:t>万瑞</w:t>
      </w:r>
      <w:proofErr w:type="gramEnd"/>
      <w:r w:rsidRPr="007A5789">
        <w:rPr>
          <w:sz w:val="21"/>
        </w:rPr>
        <w:t>郎</w:t>
      </w:r>
      <w:r w:rsidR="00B6014B">
        <w:rPr>
          <w:sz w:val="21"/>
        </w:rPr>
        <w:t>）</w:t>
      </w:r>
      <w:r w:rsidRPr="007A5789">
        <w:rPr>
          <w:sz w:val="21"/>
        </w:rPr>
        <w:t>。这些贷款最初要求支付利息。但1996年，瑞士联邦政府外交部同意免除进一步的利息支付。目前贷款仅需偿还本金。</w:t>
      </w:r>
    </w:p>
    <w:p w:rsidR="007A5789" w:rsidRDefault="004B4679" w:rsidP="00134184">
      <w:pPr>
        <w:pStyle w:val="Style3"/>
        <w:numPr>
          <w:ilvl w:val="0"/>
          <w:numId w:val="21"/>
        </w:numPr>
        <w:tabs>
          <w:tab w:val="left" w:pos="770"/>
        </w:tabs>
        <w:overflowPunct w:val="0"/>
        <w:spacing w:afterLines="50" w:line="340" w:lineRule="atLeast"/>
        <w:ind w:left="0" w:firstLine="0"/>
        <w:rPr>
          <w:sz w:val="21"/>
        </w:rPr>
      </w:pPr>
      <w:r w:rsidRPr="007A5789">
        <w:rPr>
          <w:sz w:val="21"/>
        </w:rPr>
        <w:t>2008年2月，为资助新楼建筑的部分成本，本组织与日内瓦州立银行</w:t>
      </w:r>
      <w:r w:rsidR="00B6014B">
        <w:rPr>
          <w:sz w:val="21"/>
        </w:rPr>
        <w:t>（</w:t>
      </w:r>
      <w:r w:rsidRPr="007A5789">
        <w:rPr>
          <w:sz w:val="21"/>
        </w:rPr>
        <w:t>BCG</w:t>
      </w:r>
      <w:r w:rsidR="00B6014B">
        <w:rPr>
          <w:sz w:val="21"/>
        </w:rPr>
        <w:t>）</w:t>
      </w:r>
      <w:r w:rsidRPr="007A5789">
        <w:rPr>
          <w:sz w:val="21"/>
        </w:rPr>
        <w:t>和</w:t>
      </w:r>
      <w:proofErr w:type="gramStart"/>
      <w:r w:rsidRPr="007A5789">
        <w:rPr>
          <w:sz w:val="21"/>
        </w:rPr>
        <w:t>沃州</w:t>
      </w:r>
      <w:proofErr w:type="gramEnd"/>
      <w:r w:rsidRPr="007A5789">
        <w:rPr>
          <w:sz w:val="21"/>
        </w:rPr>
        <w:t>州立银行</w:t>
      </w:r>
      <w:r w:rsidR="00B6014B">
        <w:rPr>
          <w:sz w:val="21"/>
        </w:rPr>
        <w:t>（</w:t>
      </w:r>
      <w:r w:rsidRPr="007A5789">
        <w:rPr>
          <w:sz w:val="21"/>
        </w:rPr>
        <w:t>BCV</w:t>
      </w:r>
      <w:r w:rsidR="00B6014B">
        <w:rPr>
          <w:sz w:val="21"/>
        </w:rPr>
        <w:t>）</w:t>
      </w:r>
      <w:r w:rsidRPr="007A5789">
        <w:rPr>
          <w:sz w:val="21"/>
        </w:rPr>
        <w:t>签订了一项金额为1.14亿瑞郎、外加1,600</w:t>
      </w:r>
      <w:proofErr w:type="gramStart"/>
      <w:r w:rsidRPr="007A5789">
        <w:rPr>
          <w:sz w:val="21"/>
        </w:rPr>
        <w:t>万瑞郎可能</w:t>
      </w:r>
      <w:proofErr w:type="gramEnd"/>
      <w:r w:rsidRPr="007A5789">
        <w:rPr>
          <w:sz w:val="21"/>
        </w:rPr>
        <w:t>增加额的贷款合约，贷款使用期至2011年2月28日。2011年1月27日，本组织支取了增加的1,600</w:t>
      </w:r>
      <w:proofErr w:type="gramStart"/>
      <w:r w:rsidRPr="007A5789">
        <w:rPr>
          <w:sz w:val="21"/>
        </w:rPr>
        <w:t>万瑞</w:t>
      </w:r>
      <w:proofErr w:type="gramEnd"/>
      <w:r w:rsidRPr="007A5789">
        <w:rPr>
          <w:sz w:val="21"/>
        </w:rPr>
        <w:t>郎。贷款利率固定为瑞士法郎伦敦银行同业拆借互换利率，期限为15年，并根据本组织确定的期限长度另加0.30%至0.70%不等的利润。2015年支付的利息总计为290</w:t>
      </w:r>
      <w:proofErr w:type="gramStart"/>
      <w:r w:rsidRPr="007A5789">
        <w:rPr>
          <w:sz w:val="21"/>
        </w:rPr>
        <w:t>万瑞</w:t>
      </w:r>
      <w:proofErr w:type="gramEnd"/>
      <w:r w:rsidRPr="007A5789">
        <w:rPr>
          <w:sz w:val="21"/>
        </w:rPr>
        <w:t>郎，本年度加权平均利率为2.60%。除支付利息外，合约还规定，针对1.14亿瑞郎的最初贷款和1,600</w:t>
      </w:r>
      <w:proofErr w:type="gramStart"/>
      <w:r w:rsidRPr="007A5789">
        <w:rPr>
          <w:sz w:val="21"/>
        </w:rPr>
        <w:t>万瑞</w:t>
      </w:r>
      <w:proofErr w:type="gramEnd"/>
      <w:r w:rsidRPr="007A5789">
        <w:rPr>
          <w:sz w:val="21"/>
        </w:rPr>
        <w:t>郎的补充贷款，从2012年2月28日起开始逐年偿还本金，每年还款额为借款总额的3%。本组织于2015年11月进行了第一期一次性偿还贷款，偿还金额为2,400</w:t>
      </w:r>
      <w:proofErr w:type="gramStart"/>
      <w:r w:rsidRPr="007A5789">
        <w:rPr>
          <w:sz w:val="21"/>
        </w:rPr>
        <w:t>万瑞</w:t>
      </w:r>
      <w:proofErr w:type="gramEnd"/>
      <w:r w:rsidRPr="007A5789">
        <w:rPr>
          <w:sz w:val="21"/>
        </w:rPr>
        <w:t>郎。2016年1月进行了第二期一次性偿还贷款，金额为1,600</w:t>
      </w:r>
      <w:proofErr w:type="gramStart"/>
      <w:r w:rsidRPr="007A5789">
        <w:rPr>
          <w:sz w:val="21"/>
        </w:rPr>
        <w:t>万瑞</w:t>
      </w:r>
      <w:proofErr w:type="gramEnd"/>
      <w:r w:rsidRPr="007A5789">
        <w:rPr>
          <w:sz w:val="21"/>
        </w:rPr>
        <w:t>郎。</w:t>
      </w:r>
    </w:p>
    <w:p w:rsidR="007A5789" w:rsidRPr="007C2134" w:rsidRDefault="004B4679" w:rsidP="007C2134">
      <w:pPr>
        <w:pStyle w:val="3"/>
        <w:overflowPunct w:val="0"/>
        <w:spacing w:beforeLines="100" w:afterLines="50" w:after="120" w:line="340" w:lineRule="atLeast"/>
        <w:rPr>
          <w:rFonts w:ascii="SimHei" w:eastAsia="SimHei" w:hAnsi="SimHei"/>
          <w:b w:val="0"/>
          <w:sz w:val="21"/>
        </w:rPr>
      </w:pPr>
      <w:bookmarkStart w:id="92" w:name="_Toc441218504"/>
      <w:bookmarkStart w:id="93" w:name="_Toc455733235"/>
      <w:bookmarkStart w:id="94" w:name="_Toc456711746"/>
      <w:r w:rsidRPr="007C2134">
        <w:rPr>
          <w:rFonts w:ascii="SimHei" w:eastAsia="SimHei" w:hAnsi="SimHei"/>
          <w:b w:val="0"/>
          <w:sz w:val="21"/>
        </w:rPr>
        <w:t>附注16：准备金</w:t>
      </w:r>
      <w:bookmarkEnd w:id="92"/>
      <w:bookmarkEnd w:id="93"/>
      <w:bookmarkEnd w:id="94"/>
    </w:p>
    <w:p w:rsidR="004B4679" w:rsidRPr="007A5789" w:rsidRDefault="00B674DC" w:rsidP="00B674DC">
      <w:pPr>
        <w:spacing w:afterLines="50" w:after="120" w:line="340" w:lineRule="atLeast"/>
        <w:jc w:val="center"/>
        <w:rPr>
          <w:sz w:val="21"/>
        </w:rPr>
      </w:pPr>
      <w:r w:rsidRPr="00EF7E79">
        <w:rPr>
          <w:noProof/>
          <w:sz w:val="21"/>
          <w:lang w:val="en-US" w:bidi="ar-SA"/>
        </w:rPr>
        <w:drawing>
          <wp:inline distT="0" distB="0" distL="0" distR="0" wp14:anchorId="3711FA8D" wp14:editId="47C5CE7C">
            <wp:extent cx="5934710" cy="1026795"/>
            <wp:effectExtent l="0" t="0" r="8890" b="1905"/>
            <wp:docPr id="347" name="图片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934710" cy="1026795"/>
                    </a:xfrm>
                    <a:prstGeom prst="rect">
                      <a:avLst/>
                    </a:prstGeom>
                    <a:noFill/>
                    <a:ln>
                      <a:noFill/>
                    </a:ln>
                  </pic:spPr>
                </pic:pic>
              </a:graphicData>
            </a:graphic>
          </wp:inline>
        </w:drawing>
      </w:r>
    </w:p>
    <w:p w:rsidR="007A5789" w:rsidRDefault="004B4679" w:rsidP="002C437E">
      <w:pPr>
        <w:pStyle w:val="Style3"/>
        <w:tabs>
          <w:tab w:val="left" w:pos="770"/>
        </w:tabs>
        <w:overflowPunct w:val="0"/>
        <w:spacing w:afterLines="50" w:line="340" w:lineRule="atLeast"/>
        <w:rPr>
          <w:sz w:val="21"/>
        </w:rPr>
      </w:pPr>
      <w:r w:rsidRPr="007A5789">
        <w:rPr>
          <w:sz w:val="21"/>
        </w:rPr>
        <w:t>16.1</w:t>
      </w:r>
      <w:r w:rsidR="002C437E">
        <w:rPr>
          <w:rFonts w:hint="eastAsia"/>
          <w:sz w:val="21"/>
        </w:rPr>
        <w:t>.</w:t>
      </w:r>
      <w:r w:rsidR="002C437E">
        <w:rPr>
          <w:rFonts w:hint="eastAsia"/>
          <w:sz w:val="21"/>
        </w:rPr>
        <w:tab/>
      </w:r>
      <w:r w:rsidRPr="007A5789">
        <w:rPr>
          <w:sz w:val="21"/>
        </w:rPr>
        <w:t>作为其正常活动的一部分，本组织也会经历诉讼。截至报告日，2015年12月31日之前开展的活动已经形成了一定的法律债务。由于这些债务未来可能需要清算，并且由于可以对清算金额做出可靠的估算，因此设立了法律费用准备金。未来清算的时间在报告日</w:t>
      </w:r>
      <w:r w:rsidRPr="007A5789">
        <w:rPr>
          <w:rFonts w:hint="eastAsia"/>
          <w:sz w:val="21"/>
        </w:rPr>
        <w:t>方面</w:t>
      </w:r>
      <w:r w:rsidRPr="007A5789">
        <w:rPr>
          <w:sz w:val="21"/>
        </w:rPr>
        <w:t>存在不确定性。在估算准备金的数额时，根据可用信息，尽可能做了贴近实际的估算。</w:t>
      </w:r>
    </w:p>
    <w:p w:rsidR="004B4679" w:rsidRPr="007A5789" w:rsidRDefault="00C01572" w:rsidP="00B87A4B">
      <w:pPr>
        <w:pStyle w:val="Style3"/>
        <w:spacing w:afterLines="50" w:line="340" w:lineRule="atLeast"/>
        <w:jc w:val="center"/>
        <w:rPr>
          <w:sz w:val="21"/>
        </w:rPr>
      </w:pPr>
      <w:r w:rsidRPr="00EF7E79">
        <w:rPr>
          <w:noProof/>
          <w:sz w:val="21"/>
          <w:lang w:val="en-US" w:bidi="ar-SA"/>
        </w:rPr>
        <w:lastRenderedPageBreak/>
        <w:drawing>
          <wp:inline distT="0" distB="0" distL="0" distR="0" wp14:anchorId="36B13A5C" wp14:editId="4818B0C4">
            <wp:extent cx="4442460" cy="3407410"/>
            <wp:effectExtent l="0" t="0" r="0" b="2540"/>
            <wp:docPr id="348" name="图片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442460" cy="3407410"/>
                    </a:xfrm>
                    <a:prstGeom prst="rect">
                      <a:avLst/>
                    </a:prstGeom>
                    <a:noFill/>
                    <a:ln>
                      <a:noFill/>
                    </a:ln>
                  </pic:spPr>
                </pic:pic>
              </a:graphicData>
            </a:graphic>
          </wp:inline>
        </w:drawing>
      </w:r>
    </w:p>
    <w:p w:rsidR="007A5789" w:rsidRPr="007C2134" w:rsidRDefault="004B4679" w:rsidP="007C2134">
      <w:pPr>
        <w:pStyle w:val="3"/>
        <w:overflowPunct w:val="0"/>
        <w:spacing w:beforeLines="100" w:afterLines="50" w:after="120" w:line="340" w:lineRule="atLeast"/>
        <w:rPr>
          <w:rFonts w:ascii="SimHei" w:eastAsia="SimHei" w:hAnsi="SimHei"/>
          <w:b w:val="0"/>
          <w:sz w:val="21"/>
        </w:rPr>
      </w:pPr>
      <w:bookmarkStart w:id="95" w:name="_Toc441218505"/>
      <w:bookmarkStart w:id="96" w:name="_Toc455733236"/>
      <w:bookmarkStart w:id="97" w:name="_Toc456711747"/>
      <w:r w:rsidRPr="007C2134">
        <w:rPr>
          <w:rFonts w:ascii="SimHei" w:eastAsia="SimHei" w:hAnsi="SimHei"/>
          <w:b w:val="0"/>
          <w:sz w:val="21"/>
        </w:rPr>
        <w:t>附注17：其他负债</w:t>
      </w:r>
      <w:bookmarkEnd w:id="95"/>
      <w:bookmarkEnd w:id="96"/>
      <w:bookmarkEnd w:id="97"/>
    </w:p>
    <w:p w:rsidR="004B4679" w:rsidRPr="007A5789" w:rsidRDefault="00C01572" w:rsidP="00C01572">
      <w:pPr>
        <w:spacing w:afterLines="50" w:after="120" w:line="340" w:lineRule="atLeast"/>
        <w:jc w:val="center"/>
        <w:rPr>
          <w:sz w:val="21"/>
        </w:rPr>
      </w:pPr>
      <w:r w:rsidRPr="00EF7E79">
        <w:rPr>
          <w:noProof/>
          <w:sz w:val="21"/>
          <w:lang w:val="en-US" w:bidi="ar-SA"/>
        </w:rPr>
        <w:drawing>
          <wp:inline distT="0" distB="0" distL="0" distR="0" wp14:anchorId="6289840A" wp14:editId="509B51D1">
            <wp:extent cx="5934710" cy="1026795"/>
            <wp:effectExtent l="0" t="0" r="8890" b="1905"/>
            <wp:docPr id="349" name="图片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934710" cy="1026795"/>
                    </a:xfrm>
                    <a:prstGeom prst="rect">
                      <a:avLst/>
                    </a:prstGeom>
                    <a:noFill/>
                    <a:ln>
                      <a:noFill/>
                    </a:ln>
                  </pic:spPr>
                </pic:pic>
              </a:graphicData>
            </a:graphic>
          </wp:inline>
        </w:drawing>
      </w:r>
    </w:p>
    <w:p w:rsidR="007A5789" w:rsidRDefault="004B4679" w:rsidP="002C437E">
      <w:pPr>
        <w:pStyle w:val="Style3"/>
        <w:tabs>
          <w:tab w:val="left" w:pos="770"/>
        </w:tabs>
        <w:overflowPunct w:val="0"/>
        <w:spacing w:afterLines="50" w:line="340" w:lineRule="atLeast"/>
        <w:rPr>
          <w:sz w:val="21"/>
        </w:rPr>
      </w:pPr>
      <w:r w:rsidRPr="007A5789">
        <w:rPr>
          <w:sz w:val="21"/>
        </w:rPr>
        <w:t>17.1.</w:t>
      </w:r>
      <w:r w:rsidR="00624A89" w:rsidRPr="007A5789">
        <w:rPr>
          <w:sz w:val="21"/>
        </w:rPr>
        <w:tab/>
      </w:r>
      <w:r w:rsidRPr="007A5789">
        <w:rPr>
          <w:sz w:val="21"/>
        </w:rPr>
        <w:t>本组织向PCT、马德里及海牙体系下的申请人提供便利，使其可以将资金存入</w:t>
      </w:r>
      <w:r w:rsidRPr="00F374B8">
        <w:rPr>
          <w:sz w:val="21"/>
        </w:rPr>
        <w:t>“</w:t>
      </w:r>
      <w:r w:rsidRPr="007A5789">
        <w:rPr>
          <w:sz w:val="21"/>
        </w:rPr>
        <w:t>往来账户</w:t>
      </w:r>
      <w:r w:rsidRPr="00F374B8">
        <w:rPr>
          <w:sz w:val="21"/>
        </w:rPr>
        <w:t>”</w:t>
      </w:r>
      <w:r w:rsidRPr="007A5789">
        <w:rPr>
          <w:sz w:val="21"/>
        </w:rPr>
        <w:t>。在该项资金使用前，本组织担任资金的保管人，用以支付与个人申请和续展相关的应缴费用。这些资金一直被保存至递交特定申请之际。在收到申请和授权后，往来账户余额将相应减少。在申请被注册前，这些资金被视为预缴款。</w:t>
      </w:r>
    </w:p>
    <w:p w:rsidR="004B4679" w:rsidRPr="007A5789" w:rsidRDefault="004B4679" w:rsidP="002C437E">
      <w:pPr>
        <w:pStyle w:val="Style3"/>
        <w:tabs>
          <w:tab w:val="left" w:pos="770"/>
        </w:tabs>
        <w:overflowPunct w:val="0"/>
        <w:spacing w:afterLines="50" w:line="340" w:lineRule="atLeast"/>
        <w:rPr>
          <w:sz w:val="21"/>
        </w:rPr>
      </w:pPr>
      <w:r w:rsidRPr="007A5789">
        <w:rPr>
          <w:sz w:val="21"/>
        </w:rPr>
        <w:t>17.2.</w:t>
      </w:r>
      <w:r w:rsidR="00624A89" w:rsidRPr="007A5789">
        <w:rPr>
          <w:sz w:val="21"/>
        </w:rPr>
        <w:tab/>
      </w:r>
      <w:r w:rsidRPr="007A5789">
        <w:rPr>
          <w:sz w:val="21"/>
        </w:rPr>
        <w:t>此外，本组织还以其名义持有银行账户，向某些缔约方提供一种转付资金的机制，这些资金由缔约方代表本组织收取。在缔约方通知本组织这些账户所持资金为本组织的收入之前，账户所剩余额不计为收入。</w:t>
      </w:r>
    </w:p>
    <w:p w:rsidR="007A5789" w:rsidRPr="007C2134" w:rsidRDefault="004B4679" w:rsidP="007C2134">
      <w:pPr>
        <w:pStyle w:val="3"/>
        <w:overflowPunct w:val="0"/>
        <w:spacing w:beforeLines="100" w:afterLines="50" w:after="120" w:line="340" w:lineRule="atLeast"/>
        <w:rPr>
          <w:rFonts w:ascii="SimHei" w:eastAsia="SimHei" w:hAnsi="SimHei"/>
          <w:b w:val="0"/>
          <w:sz w:val="21"/>
        </w:rPr>
      </w:pPr>
      <w:bookmarkStart w:id="98" w:name="_Toc441218506"/>
      <w:bookmarkStart w:id="99" w:name="_Toc455733237"/>
      <w:bookmarkStart w:id="100" w:name="_Toc456711748"/>
      <w:r w:rsidRPr="007C2134">
        <w:rPr>
          <w:rFonts w:ascii="SimHei" w:eastAsia="SimHei" w:hAnsi="SimHei"/>
          <w:b w:val="0"/>
          <w:sz w:val="21"/>
        </w:rPr>
        <w:t>附注18：或有资产和负债</w:t>
      </w:r>
      <w:bookmarkEnd w:id="98"/>
      <w:bookmarkEnd w:id="99"/>
      <w:bookmarkEnd w:id="100"/>
    </w:p>
    <w:p w:rsidR="007A5789" w:rsidRDefault="004B4679" w:rsidP="002C437E">
      <w:pPr>
        <w:pStyle w:val="Style3"/>
        <w:tabs>
          <w:tab w:val="left" w:pos="770"/>
        </w:tabs>
        <w:overflowPunct w:val="0"/>
        <w:spacing w:afterLines="50" w:line="340" w:lineRule="atLeast"/>
        <w:rPr>
          <w:sz w:val="21"/>
        </w:rPr>
      </w:pPr>
      <w:r w:rsidRPr="007A5789">
        <w:rPr>
          <w:sz w:val="21"/>
        </w:rPr>
        <w:t>18.1.</w:t>
      </w:r>
      <w:r w:rsidR="00624A89" w:rsidRPr="007A5789">
        <w:rPr>
          <w:sz w:val="21"/>
        </w:rPr>
        <w:tab/>
      </w:r>
      <w:r w:rsidRPr="007A5789">
        <w:rPr>
          <w:sz w:val="21"/>
        </w:rPr>
        <w:t>WIPO的若干名工作人员与本组织存在着纠纷。对正在由WIPO申诉委员会</w:t>
      </w:r>
      <w:r w:rsidR="00B6014B">
        <w:rPr>
          <w:sz w:val="21"/>
        </w:rPr>
        <w:t>（</w:t>
      </w:r>
      <w:r w:rsidRPr="007A5789">
        <w:rPr>
          <w:sz w:val="21"/>
        </w:rPr>
        <w:t>WAB</w:t>
      </w:r>
      <w:r w:rsidR="00B6014B">
        <w:rPr>
          <w:sz w:val="21"/>
        </w:rPr>
        <w:t>）</w:t>
      </w:r>
      <w:r w:rsidRPr="007A5789">
        <w:rPr>
          <w:sz w:val="21"/>
        </w:rPr>
        <w:t>或国际劳工组织行政法庭</w:t>
      </w:r>
      <w:r w:rsidR="00B6014B">
        <w:rPr>
          <w:sz w:val="21"/>
        </w:rPr>
        <w:t>（</w:t>
      </w:r>
      <w:r w:rsidRPr="007A5789">
        <w:rPr>
          <w:sz w:val="21"/>
        </w:rPr>
        <w:t>ILOAT</w:t>
      </w:r>
      <w:r w:rsidR="00B6014B">
        <w:rPr>
          <w:sz w:val="21"/>
        </w:rPr>
        <w:t>）</w:t>
      </w:r>
      <w:r w:rsidRPr="007A5789">
        <w:rPr>
          <w:sz w:val="21"/>
        </w:rPr>
        <w:t>审理案件计提的准备金见附注16。对于WAB或ILOAT审理的其他一些案件，在法律意见表明这些案件不太可能导致债务的情况下，未</w:t>
      </w:r>
      <w:proofErr w:type="gramStart"/>
      <w:r w:rsidRPr="007A5789">
        <w:rPr>
          <w:sz w:val="21"/>
        </w:rPr>
        <w:t>予计</w:t>
      </w:r>
      <w:proofErr w:type="gramEnd"/>
      <w:r w:rsidRPr="007A5789">
        <w:rPr>
          <w:sz w:val="21"/>
        </w:rPr>
        <w:t>提准备金。在报告日，本组织对这些案件产生的索赔可能支付的或有债务估值为85,000瑞郎。人事方面还存在处于申请审理状态的案件。由于这些案件的索赔数额尚有待确认，因此未就此确认准备金。在报告日，本组织没有因这些案件可能做出的结算支付的或有债务。</w:t>
      </w:r>
    </w:p>
    <w:p w:rsidR="007A5789" w:rsidRDefault="004B4679" w:rsidP="002C437E">
      <w:pPr>
        <w:pStyle w:val="Style3"/>
        <w:tabs>
          <w:tab w:val="left" w:pos="770"/>
        </w:tabs>
        <w:overflowPunct w:val="0"/>
        <w:spacing w:afterLines="50" w:line="340" w:lineRule="atLeast"/>
        <w:rPr>
          <w:sz w:val="21"/>
        </w:rPr>
      </w:pPr>
      <w:r w:rsidRPr="007A5789">
        <w:rPr>
          <w:sz w:val="21"/>
        </w:rPr>
        <w:t>18.2.</w:t>
      </w:r>
      <w:r w:rsidR="00624A89" w:rsidRPr="007A5789">
        <w:rPr>
          <w:sz w:val="21"/>
        </w:rPr>
        <w:tab/>
      </w:r>
      <w:r w:rsidRPr="007A5789">
        <w:rPr>
          <w:sz w:val="21"/>
        </w:rPr>
        <w:t>截至2015年12月31日，本组织的不可撤销商品及服务合约总价值为170</w:t>
      </w:r>
      <w:proofErr w:type="gramStart"/>
      <w:r w:rsidRPr="007A5789">
        <w:rPr>
          <w:sz w:val="21"/>
        </w:rPr>
        <w:t>万瑞</w:t>
      </w:r>
      <w:proofErr w:type="gramEnd"/>
      <w:r w:rsidRPr="007A5789">
        <w:rPr>
          <w:sz w:val="21"/>
        </w:rPr>
        <w:t>郎。</w:t>
      </w:r>
    </w:p>
    <w:p w:rsidR="007A5789" w:rsidRDefault="004B4679" w:rsidP="002C437E">
      <w:pPr>
        <w:pStyle w:val="Style3"/>
        <w:tabs>
          <w:tab w:val="left" w:pos="770"/>
        </w:tabs>
        <w:overflowPunct w:val="0"/>
        <w:spacing w:afterLines="50" w:line="340" w:lineRule="atLeast"/>
        <w:rPr>
          <w:sz w:val="21"/>
        </w:rPr>
      </w:pPr>
      <w:r w:rsidRPr="007A5789">
        <w:rPr>
          <w:sz w:val="21"/>
        </w:rPr>
        <w:lastRenderedPageBreak/>
        <w:t>18.3.</w:t>
      </w:r>
      <w:r w:rsidR="00624A89" w:rsidRPr="007A5789">
        <w:rPr>
          <w:sz w:val="21"/>
        </w:rPr>
        <w:tab/>
      </w:r>
      <w:r w:rsidRPr="007A5789">
        <w:rPr>
          <w:sz w:val="21"/>
        </w:rPr>
        <w:t>WIPO是国际电子计算中心</w:t>
      </w:r>
      <w:r w:rsidR="00B6014B">
        <w:rPr>
          <w:sz w:val="21"/>
        </w:rPr>
        <w:t>（</w:t>
      </w:r>
      <w:r w:rsidRPr="007A5789">
        <w:rPr>
          <w:sz w:val="21"/>
        </w:rPr>
        <w:t>ICC</w:t>
      </w:r>
      <w:r w:rsidR="00B6014B">
        <w:rPr>
          <w:sz w:val="21"/>
        </w:rPr>
        <w:t>）</w:t>
      </w:r>
      <w:r w:rsidRPr="007A5789">
        <w:rPr>
          <w:sz w:val="21"/>
        </w:rPr>
        <w:t>的一个伙伴组织。ICC是为提供信息技术服务而创建的一个组织间机构。根据ICC的授权条款，伙伴组织应负责承担因ICC运行而产生的某些债务份额。</w:t>
      </w:r>
    </w:p>
    <w:p w:rsidR="004B4679" w:rsidRPr="007A5789" w:rsidRDefault="004B4679" w:rsidP="00D91203">
      <w:pPr>
        <w:pStyle w:val="Style3"/>
        <w:tabs>
          <w:tab w:val="left" w:pos="770"/>
        </w:tabs>
        <w:overflowPunct w:val="0"/>
        <w:spacing w:afterLines="50" w:line="340" w:lineRule="atLeast"/>
        <w:rPr>
          <w:sz w:val="21"/>
        </w:rPr>
      </w:pPr>
      <w:r w:rsidRPr="007A5789">
        <w:rPr>
          <w:sz w:val="21"/>
        </w:rPr>
        <w:t>18.4.</w:t>
      </w:r>
      <w:r w:rsidR="00624A89" w:rsidRPr="007A5789">
        <w:rPr>
          <w:sz w:val="21"/>
        </w:rPr>
        <w:tab/>
      </w:r>
      <w:r w:rsidRPr="007A5789">
        <w:rPr>
          <w:sz w:val="21"/>
        </w:rPr>
        <w:t>WIPO存在着与不可撤销的租赁协议有关的合约承诺款项，详见附注19。</w:t>
      </w:r>
    </w:p>
    <w:p w:rsidR="007A5789" w:rsidRPr="007C2134" w:rsidRDefault="004B4679" w:rsidP="007C2134">
      <w:pPr>
        <w:pStyle w:val="3"/>
        <w:overflowPunct w:val="0"/>
        <w:spacing w:beforeLines="100" w:afterLines="50" w:after="120" w:line="340" w:lineRule="atLeast"/>
        <w:rPr>
          <w:rFonts w:ascii="SimHei" w:eastAsia="SimHei" w:hAnsi="SimHei"/>
          <w:b w:val="0"/>
          <w:sz w:val="21"/>
        </w:rPr>
      </w:pPr>
      <w:bookmarkStart w:id="101" w:name="_Toc441218507"/>
      <w:bookmarkStart w:id="102" w:name="_Toc455733238"/>
      <w:bookmarkStart w:id="103" w:name="_Toc456711749"/>
      <w:r w:rsidRPr="007C2134">
        <w:rPr>
          <w:rFonts w:ascii="SimHei" w:eastAsia="SimHei" w:hAnsi="SimHei"/>
          <w:b w:val="0"/>
          <w:sz w:val="21"/>
        </w:rPr>
        <w:t>附注19：租赁</w:t>
      </w:r>
      <w:bookmarkEnd w:id="101"/>
      <w:bookmarkEnd w:id="102"/>
      <w:bookmarkEnd w:id="103"/>
    </w:p>
    <w:p w:rsidR="007A5789" w:rsidRPr="00AC4C1F" w:rsidRDefault="004B4679" w:rsidP="00C01572">
      <w:pPr>
        <w:keepNext/>
        <w:spacing w:beforeLines="100" w:before="240" w:afterLines="50" w:after="120" w:line="340" w:lineRule="atLeast"/>
        <w:rPr>
          <w:rFonts w:ascii="KaiTi" w:eastAsia="KaiTi" w:hAnsi="KaiTi"/>
          <w:b/>
          <w:sz w:val="21"/>
          <w:szCs w:val="22"/>
        </w:rPr>
      </w:pPr>
      <w:r w:rsidRPr="00AC4C1F">
        <w:rPr>
          <w:rFonts w:ascii="KaiTi" w:eastAsia="KaiTi" w:hAnsi="KaiTi"/>
          <w:b/>
          <w:sz w:val="21"/>
        </w:rPr>
        <w:t>WIPO作为承租人</w:t>
      </w:r>
    </w:p>
    <w:p w:rsidR="007A5789" w:rsidRDefault="004B4679" w:rsidP="00134184">
      <w:pPr>
        <w:pStyle w:val="Style3"/>
        <w:numPr>
          <w:ilvl w:val="0"/>
          <w:numId w:val="22"/>
        </w:numPr>
        <w:tabs>
          <w:tab w:val="left" w:pos="770"/>
        </w:tabs>
        <w:overflowPunct w:val="0"/>
        <w:spacing w:afterLines="50" w:line="340" w:lineRule="atLeast"/>
        <w:ind w:left="0" w:firstLine="0"/>
        <w:rPr>
          <w:sz w:val="21"/>
        </w:rPr>
      </w:pPr>
      <w:r w:rsidRPr="007A5789">
        <w:rPr>
          <w:sz w:val="21"/>
        </w:rPr>
        <w:t>本组织持有若干租约，在日内瓦提供额外的场所、仓储和专用设施。此外，本组织为里约热内卢和东京的驻外办事处以及纽约的协调办事处租赁办公室。未来不可撤销经营租赁下的最低租赁</w:t>
      </w:r>
      <w:proofErr w:type="gramStart"/>
      <w:r w:rsidRPr="007A5789">
        <w:rPr>
          <w:sz w:val="21"/>
        </w:rPr>
        <w:t>付款值</w:t>
      </w:r>
      <w:proofErr w:type="gramEnd"/>
      <w:r w:rsidRPr="007A5789">
        <w:rPr>
          <w:sz w:val="21"/>
        </w:rPr>
        <w:t>如下：</w:t>
      </w:r>
    </w:p>
    <w:p w:rsidR="004B4679" w:rsidRPr="007A5789" w:rsidRDefault="00C01572" w:rsidP="00C01572">
      <w:pPr>
        <w:spacing w:afterLines="50" w:after="120" w:line="340" w:lineRule="atLeast"/>
        <w:jc w:val="center"/>
        <w:rPr>
          <w:sz w:val="21"/>
        </w:rPr>
      </w:pPr>
      <w:r w:rsidRPr="00EF7E79">
        <w:rPr>
          <w:noProof/>
          <w:sz w:val="21"/>
          <w:lang w:val="en-US" w:bidi="ar-SA"/>
        </w:rPr>
        <w:drawing>
          <wp:inline distT="0" distB="0" distL="0" distR="0" wp14:anchorId="6E31B389" wp14:editId="03C172CE">
            <wp:extent cx="5934710" cy="1147445"/>
            <wp:effectExtent l="0" t="0" r="8890" b="0"/>
            <wp:docPr id="350" name="图片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934710" cy="1147445"/>
                    </a:xfrm>
                    <a:prstGeom prst="rect">
                      <a:avLst/>
                    </a:prstGeom>
                    <a:noFill/>
                    <a:ln>
                      <a:noFill/>
                    </a:ln>
                  </pic:spPr>
                </pic:pic>
              </a:graphicData>
            </a:graphic>
          </wp:inline>
        </w:drawing>
      </w:r>
    </w:p>
    <w:p w:rsidR="007A5789" w:rsidRDefault="004B4679" w:rsidP="00134184">
      <w:pPr>
        <w:pStyle w:val="Style3"/>
        <w:numPr>
          <w:ilvl w:val="0"/>
          <w:numId w:val="22"/>
        </w:numPr>
        <w:tabs>
          <w:tab w:val="left" w:pos="770"/>
        </w:tabs>
        <w:overflowPunct w:val="0"/>
        <w:spacing w:afterLines="50" w:line="340" w:lineRule="atLeast"/>
        <w:ind w:left="0" w:firstLine="0"/>
        <w:rPr>
          <w:sz w:val="21"/>
        </w:rPr>
      </w:pPr>
      <w:r w:rsidRPr="007A5789">
        <w:rPr>
          <w:sz w:val="21"/>
        </w:rPr>
        <w:t>本组织还达成了一项租赁日内瓦基金国际中心</w:t>
      </w:r>
      <w:r w:rsidR="00B6014B">
        <w:rPr>
          <w:sz w:val="21"/>
        </w:rPr>
        <w:t>（</w:t>
      </w:r>
      <w:r w:rsidRPr="007A5789">
        <w:rPr>
          <w:sz w:val="21"/>
        </w:rPr>
        <w:t>FCIG</w:t>
      </w:r>
      <w:r w:rsidR="00B6014B">
        <w:rPr>
          <w:sz w:val="21"/>
        </w:rPr>
        <w:t>）</w:t>
      </w:r>
      <w:r w:rsidRPr="007A5789">
        <w:rPr>
          <w:sz w:val="21"/>
        </w:rPr>
        <w:t>大楼的协定。该协定详情，包括未来的租赁付款，单独在附注10列示。</w:t>
      </w:r>
    </w:p>
    <w:p w:rsidR="007A5789" w:rsidRDefault="004B4679" w:rsidP="00134184">
      <w:pPr>
        <w:pStyle w:val="Style3"/>
        <w:numPr>
          <w:ilvl w:val="0"/>
          <w:numId w:val="22"/>
        </w:numPr>
        <w:tabs>
          <w:tab w:val="left" w:pos="770"/>
        </w:tabs>
        <w:overflowPunct w:val="0"/>
        <w:spacing w:afterLines="50" w:line="340" w:lineRule="atLeast"/>
        <w:ind w:left="0" w:firstLine="0"/>
        <w:rPr>
          <w:sz w:val="21"/>
        </w:rPr>
      </w:pPr>
      <w:r w:rsidRPr="007A5789">
        <w:rPr>
          <w:sz w:val="21"/>
        </w:rPr>
        <w:t>本组织在报告日没有视为融资租赁的未清租约。在报告期被确认为开支的租赁付款总额为190</w:t>
      </w:r>
      <w:proofErr w:type="gramStart"/>
      <w:r w:rsidRPr="007A5789">
        <w:rPr>
          <w:sz w:val="21"/>
        </w:rPr>
        <w:t>万瑞</w:t>
      </w:r>
      <w:proofErr w:type="gramEnd"/>
      <w:r w:rsidRPr="007A5789">
        <w:rPr>
          <w:sz w:val="21"/>
        </w:rPr>
        <w:t>郎</w:t>
      </w:r>
      <w:r w:rsidR="00B6014B">
        <w:rPr>
          <w:sz w:val="21"/>
        </w:rPr>
        <w:t>（</w:t>
      </w:r>
      <w:r w:rsidRPr="007A5789">
        <w:rPr>
          <w:sz w:val="21"/>
        </w:rPr>
        <w:t>2014年为190</w:t>
      </w:r>
      <w:proofErr w:type="gramStart"/>
      <w:r w:rsidRPr="007A5789">
        <w:rPr>
          <w:sz w:val="21"/>
        </w:rPr>
        <w:t>万瑞</w:t>
      </w:r>
      <w:proofErr w:type="gramEnd"/>
      <w:r w:rsidRPr="007A5789">
        <w:rPr>
          <w:sz w:val="21"/>
        </w:rPr>
        <w:t>郎</w:t>
      </w:r>
      <w:r w:rsidR="00B6014B">
        <w:rPr>
          <w:sz w:val="21"/>
        </w:rPr>
        <w:t>）</w:t>
      </w:r>
      <w:r w:rsidRPr="007A5789">
        <w:rPr>
          <w:sz w:val="21"/>
        </w:rPr>
        <w:t>。</w:t>
      </w:r>
    </w:p>
    <w:p w:rsidR="007A5789" w:rsidRPr="00AC4C1F" w:rsidRDefault="004B4679" w:rsidP="00C01572">
      <w:pPr>
        <w:keepNext/>
        <w:spacing w:beforeLines="100" w:before="240" w:afterLines="50" w:after="120" w:line="340" w:lineRule="atLeast"/>
        <w:rPr>
          <w:rFonts w:ascii="KaiTi" w:eastAsia="KaiTi" w:hAnsi="KaiTi"/>
          <w:b/>
          <w:sz w:val="21"/>
        </w:rPr>
      </w:pPr>
      <w:r w:rsidRPr="00AC4C1F">
        <w:rPr>
          <w:rFonts w:ascii="KaiTi" w:eastAsia="KaiTi" w:hAnsi="KaiTi"/>
          <w:b/>
          <w:sz w:val="21"/>
        </w:rPr>
        <w:t>WIPO作为出租人</w:t>
      </w:r>
    </w:p>
    <w:p w:rsidR="007A5789" w:rsidRDefault="004B4679" w:rsidP="00134184">
      <w:pPr>
        <w:pStyle w:val="Style3"/>
        <w:numPr>
          <w:ilvl w:val="0"/>
          <w:numId w:val="22"/>
        </w:numPr>
        <w:tabs>
          <w:tab w:val="left" w:pos="770"/>
        </w:tabs>
        <w:overflowPunct w:val="0"/>
        <w:spacing w:afterLines="50" w:line="340" w:lineRule="atLeast"/>
        <w:ind w:left="0" w:firstLine="0"/>
        <w:rPr>
          <w:sz w:val="21"/>
        </w:rPr>
      </w:pPr>
      <w:r w:rsidRPr="007A5789">
        <w:rPr>
          <w:sz w:val="21"/>
        </w:rPr>
        <w:t>本组织达成了</w:t>
      </w:r>
      <w:proofErr w:type="gramStart"/>
      <w:r w:rsidRPr="007A5789">
        <w:rPr>
          <w:sz w:val="21"/>
        </w:rPr>
        <w:t>若干将</w:t>
      </w:r>
      <w:proofErr w:type="gramEnd"/>
      <w:r w:rsidRPr="007A5789">
        <w:rPr>
          <w:sz w:val="21"/>
        </w:rPr>
        <w:t>其总部大楼内的空间租赁给第三方的协定。这些租约均可撤销，且遵守协议规定的通知期。报告期内这些租赁安排的租金收入总额为60</w:t>
      </w:r>
      <w:proofErr w:type="gramStart"/>
      <w:r w:rsidRPr="007A5789">
        <w:rPr>
          <w:sz w:val="21"/>
        </w:rPr>
        <w:t>万瑞</w:t>
      </w:r>
      <w:proofErr w:type="gramEnd"/>
      <w:r w:rsidRPr="007A5789">
        <w:rPr>
          <w:sz w:val="21"/>
        </w:rPr>
        <w:t>郎</w:t>
      </w:r>
      <w:r w:rsidR="00B6014B">
        <w:rPr>
          <w:sz w:val="21"/>
        </w:rPr>
        <w:t>（</w:t>
      </w:r>
      <w:r w:rsidRPr="007A5789">
        <w:rPr>
          <w:sz w:val="21"/>
        </w:rPr>
        <w:t>2014年为60</w:t>
      </w:r>
      <w:proofErr w:type="gramStart"/>
      <w:r w:rsidRPr="007A5789">
        <w:rPr>
          <w:sz w:val="21"/>
        </w:rPr>
        <w:t>万瑞</w:t>
      </w:r>
      <w:proofErr w:type="gramEnd"/>
      <w:r w:rsidRPr="007A5789">
        <w:rPr>
          <w:sz w:val="21"/>
        </w:rPr>
        <w:t>郎</w:t>
      </w:r>
      <w:r w:rsidR="00B6014B">
        <w:rPr>
          <w:sz w:val="21"/>
        </w:rPr>
        <w:t>）</w:t>
      </w:r>
      <w:r w:rsidRPr="007A5789">
        <w:rPr>
          <w:sz w:val="21"/>
        </w:rPr>
        <w:t>。本组织还出租马德里联盟楼中的公寓、停车场和其他设施。马德里</w:t>
      </w:r>
      <w:proofErr w:type="gramStart"/>
      <w:r w:rsidRPr="007A5789">
        <w:rPr>
          <w:sz w:val="21"/>
        </w:rPr>
        <w:t>联盟楼</w:t>
      </w:r>
      <w:proofErr w:type="gramEnd"/>
      <w:r w:rsidRPr="007A5789">
        <w:rPr>
          <w:sz w:val="21"/>
        </w:rPr>
        <w:t>的不可撤销租赁和租金收入的价值在附注7中列示。</w:t>
      </w:r>
    </w:p>
    <w:p w:rsidR="007A5789" w:rsidRPr="007C2134" w:rsidRDefault="004B4679" w:rsidP="007C2134">
      <w:pPr>
        <w:pStyle w:val="3"/>
        <w:overflowPunct w:val="0"/>
        <w:spacing w:beforeLines="100" w:afterLines="50" w:after="120" w:line="340" w:lineRule="atLeast"/>
        <w:rPr>
          <w:rFonts w:ascii="SimHei" w:eastAsia="SimHei" w:hAnsi="SimHei"/>
          <w:b w:val="0"/>
          <w:sz w:val="21"/>
        </w:rPr>
      </w:pPr>
      <w:bookmarkStart w:id="104" w:name="_Toc441218508"/>
      <w:bookmarkStart w:id="105" w:name="_Toc455733239"/>
      <w:bookmarkStart w:id="106" w:name="_Toc456711750"/>
      <w:r w:rsidRPr="007C2134">
        <w:rPr>
          <w:rFonts w:ascii="SimHei" w:eastAsia="SimHei" w:hAnsi="SimHei"/>
          <w:b w:val="0"/>
          <w:sz w:val="21"/>
        </w:rPr>
        <w:t>附注20：关联方交易</w:t>
      </w:r>
      <w:bookmarkEnd w:id="104"/>
      <w:bookmarkEnd w:id="105"/>
      <w:bookmarkEnd w:id="106"/>
    </w:p>
    <w:p w:rsidR="007A5789" w:rsidRDefault="004B4679" w:rsidP="00134184">
      <w:pPr>
        <w:pStyle w:val="Style3"/>
        <w:numPr>
          <w:ilvl w:val="0"/>
          <w:numId w:val="23"/>
        </w:numPr>
        <w:tabs>
          <w:tab w:val="left" w:pos="770"/>
        </w:tabs>
        <w:overflowPunct w:val="0"/>
        <w:spacing w:afterLines="50" w:line="340" w:lineRule="atLeast"/>
        <w:ind w:left="0" w:firstLine="0"/>
        <w:rPr>
          <w:sz w:val="21"/>
        </w:rPr>
      </w:pPr>
      <w:r w:rsidRPr="007A5789">
        <w:rPr>
          <w:sz w:val="21"/>
        </w:rPr>
        <w:t>本组织由WIPO大会管辖，大会由各联盟成员的《WIPO公约》成员国代表组成。这些代表不领取本组织的酬金。本组织由总干事、副总干事、助理总干事和官员</w:t>
      </w:r>
      <w:r w:rsidR="00B6014B">
        <w:rPr>
          <w:sz w:val="21"/>
        </w:rPr>
        <w:t>（</w:t>
      </w:r>
      <w:r w:rsidRPr="007A5789">
        <w:rPr>
          <w:sz w:val="21"/>
        </w:rPr>
        <w:t>主要管理人员</w:t>
      </w:r>
      <w:r w:rsidR="00B6014B">
        <w:rPr>
          <w:sz w:val="21"/>
        </w:rPr>
        <w:t>）</w:t>
      </w:r>
      <w:r w:rsidRPr="007A5789">
        <w:rPr>
          <w:sz w:val="21"/>
        </w:rPr>
        <w:t>领导，他们在本组织领取报酬。支付主要管理人员的总薪酬包括薪金、津贴、法定的差旅费和根据适用于所有工作人员的《工作人员条例与细则》支付的其他应享权利。此外，总干事、副总干事和助理总干事领取交际津贴。主要管理人员是工作人员和本组织向其缴费的联合国养恤基金的成员，也有资格参与集体医疗保险计划。主要管理人员及其总薪酬如下表所示：不存在向主要管理人员或其近亲属提供</w:t>
      </w:r>
      <w:r w:rsidRPr="007A5789">
        <w:rPr>
          <w:rFonts w:hint="eastAsia"/>
          <w:sz w:val="21"/>
        </w:rPr>
        <w:t>但</w:t>
      </w:r>
      <w:r w:rsidRPr="007A5789">
        <w:rPr>
          <w:sz w:val="21"/>
        </w:rPr>
        <w:t>不向其他类别工作人员提供的贷款。不存在对主要管理人员或其近亲属的其他薪酬或补偿。</w:t>
      </w:r>
    </w:p>
    <w:p w:rsidR="007A5789" w:rsidRDefault="002F334E" w:rsidP="00C01572">
      <w:pPr>
        <w:pStyle w:val="Style3"/>
        <w:spacing w:afterLines="50" w:line="340" w:lineRule="atLeast"/>
        <w:jc w:val="center"/>
        <w:rPr>
          <w:sz w:val="18"/>
        </w:rPr>
      </w:pPr>
      <w:r w:rsidRPr="00EF7E79">
        <w:rPr>
          <w:noProof/>
          <w:sz w:val="21"/>
          <w:lang w:val="en-US" w:bidi="ar-SA"/>
        </w:rPr>
        <w:drawing>
          <wp:inline distT="0" distB="0" distL="0" distR="0" wp14:anchorId="40B9FC5C" wp14:editId="3A132C1D">
            <wp:extent cx="5940425" cy="1200003"/>
            <wp:effectExtent l="0" t="0" r="3175" b="63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940425" cy="1200003"/>
                    </a:xfrm>
                    <a:prstGeom prst="rect">
                      <a:avLst/>
                    </a:prstGeom>
                    <a:noFill/>
                    <a:ln>
                      <a:noFill/>
                    </a:ln>
                  </pic:spPr>
                </pic:pic>
              </a:graphicData>
            </a:graphic>
          </wp:inline>
        </w:drawing>
      </w:r>
    </w:p>
    <w:p w:rsidR="007A5789" w:rsidRDefault="004B4679" w:rsidP="00134184">
      <w:pPr>
        <w:pStyle w:val="Style3"/>
        <w:numPr>
          <w:ilvl w:val="0"/>
          <w:numId w:val="23"/>
        </w:numPr>
        <w:tabs>
          <w:tab w:val="left" w:pos="770"/>
        </w:tabs>
        <w:overflowPunct w:val="0"/>
        <w:spacing w:afterLines="50" w:line="340" w:lineRule="atLeast"/>
        <w:ind w:left="0" w:firstLine="0"/>
        <w:rPr>
          <w:sz w:val="21"/>
        </w:rPr>
      </w:pPr>
      <w:r w:rsidRPr="007A5789">
        <w:rPr>
          <w:sz w:val="21"/>
        </w:rPr>
        <w:lastRenderedPageBreak/>
        <w:t>本组织在联合公司或合资企业中没有所有者权益</w:t>
      </w:r>
      <w:r w:rsidR="00DF7115">
        <w:rPr>
          <w:sz w:val="21"/>
        </w:rPr>
        <w:t>，</w:t>
      </w:r>
      <w:r w:rsidRPr="007A5789">
        <w:rPr>
          <w:sz w:val="21"/>
        </w:rPr>
        <w:t>同时也没有控股实体。WIPO是联合国养恤基金的成员，一些以前的工作人员是WIPO已关闭养恤基金</w:t>
      </w:r>
      <w:r w:rsidR="00B6014B">
        <w:rPr>
          <w:sz w:val="21"/>
        </w:rPr>
        <w:t>（</w:t>
      </w:r>
      <w:r w:rsidRPr="007A5789">
        <w:rPr>
          <w:sz w:val="21"/>
        </w:rPr>
        <w:t>CROMPI</w:t>
      </w:r>
      <w:r w:rsidR="00B6014B">
        <w:rPr>
          <w:sz w:val="21"/>
        </w:rPr>
        <w:t>）</w:t>
      </w:r>
      <w:r w:rsidRPr="007A5789">
        <w:rPr>
          <w:sz w:val="21"/>
        </w:rPr>
        <w:t>的成员。附注12对这两个基金的关系做了详细说明。</w:t>
      </w:r>
    </w:p>
    <w:p w:rsidR="007A5789" w:rsidRDefault="004B4679" w:rsidP="00134184">
      <w:pPr>
        <w:pStyle w:val="Style3"/>
        <w:numPr>
          <w:ilvl w:val="0"/>
          <w:numId w:val="23"/>
        </w:numPr>
        <w:tabs>
          <w:tab w:val="left" w:pos="770"/>
        </w:tabs>
        <w:overflowPunct w:val="0"/>
        <w:spacing w:afterLines="50" w:line="340" w:lineRule="atLeast"/>
        <w:ind w:left="0" w:firstLine="0"/>
        <w:rPr>
          <w:sz w:val="21"/>
        </w:rPr>
      </w:pPr>
      <w:r w:rsidRPr="007A5789">
        <w:rPr>
          <w:sz w:val="21"/>
        </w:rPr>
        <w:t>本组织与国际植物新品种保护联盟</w:t>
      </w:r>
      <w:r w:rsidR="00B6014B">
        <w:rPr>
          <w:sz w:val="21"/>
        </w:rPr>
        <w:t>（</w:t>
      </w:r>
      <w:r w:rsidRPr="007A5789">
        <w:rPr>
          <w:sz w:val="21"/>
        </w:rPr>
        <w:t>UPOV</w:t>
      </w:r>
      <w:r w:rsidR="00B6014B">
        <w:rPr>
          <w:sz w:val="21"/>
        </w:rPr>
        <w:t>）</w:t>
      </w:r>
      <w:r w:rsidRPr="007A5789">
        <w:rPr>
          <w:sz w:val="21"/>
        </w:rPr>
        <w:t>保持着关系，本组织总干事担任UPOV的秘书长。作为UPOV领导机构的UPOV理事会由1961年12月2日《国际植物新品种保护公约》</w:t>
      </w:r>
      <w:r w:rsidR="00B6014B">
        <w:rPr>
          <w:sz w:val="21"/>
        </w:rPr>
        <w:t>（</w:t>
      </w:r>
      <w:r w:rsidRPr="007A5789">
        <w:rPr>
          <w:sz w:val="21"/>
        </w:rPr>
        <w:t>经修订</w:t>
      </w:r>
      <w:r w:rsidR="00B6014B">
        <w:rPr>
          <w:sz w:val="21"/>
        </w:rPr>
        <w:t>）</w:t>
      </w:r>
      <w:r w:rsidRPr="007A5789">
        <w:rPr>
          <w:sz w:val="21"/>
        </w:rPr>
        <w:t>缔约方的代表组成。根据UPOV</w:t>
      </w:r>
      <w:r w:rsidRPr="007A5789">
        <w:rPr>
          <w:rFonts w:hint="eastAsia"/>
          <w:sz w:val="21"/>
        </w:rPr>
        <w:t>《细则和</w:t>
      </w:r>
      <w:r w:rsidRPr="007A5789">
        <w:rPr>
          <w:sz w:val="21"/>
        </w:rPr>
        <w:t>条例</w:t>
      </w:r>
      <w:r w:rsidRPr="007A5789">
        <w:rPr>
          <w:rFonts w:hint="eastAsia"/>
          <w:sz w:val="21"/>
        </w:rPr>
        <w:t>》</w:t>
      </w:r>
      <w:r w:rsidRPr="007A5789">
        <w:rPr>
          <w:sz w:val="21"/>
        </w:rPr>
        <w:t>，UPOV办公室由UPOV秘书长和工作人员组成，完全独立于本组织行使职能。根据1982年11月26日本组织与UPOV签订的协议条款，本组织负责向UPOV提供办公场地、人事管理、财务管理、采购服务和其他行政支助。UPOV根据上述协议条款向本组织偿还这些服务的费用。2015年，本组织从UPOV收到服务费用618,000瑞郎。此外，WIPO收到偿还代表UPOV支付的所有资金。</w:t>
      </w:r>
    </w:p>
    <w:p w:rsidR="007A5789" w:rsidRPr="007C2134" w:rsidRDefault="004B4679" w:rsidP="007C2134">
      <w:pPr>
        <w:pStyle w:val="3"/>
        <w:overflowPunct w:val="0"/>
        <w:spacing w:beforeLines="100" w:afterLines="50" w:after="120" w:line="340" w:lineRule="atLeast"/>
        <w:rPr>
          <w:rFonts w:ascii="SimHei" w:eastAsia="SimHei" w:hAnsi="SimHei"/>
          <w:b w:val="0"/>
          <w:sz w:val="21"/>
        </w:rPr>
      </w:pPr>
      <w:bookmarkStart w:id="107" w:name="_Toc441218509"/>
      <w:bookmarkStart w:id="108" w:name="_Toc455733240"/>
      <w:bookmarkStart w:id="109" w:name="_Toc456711751"/>
      <w:r w:rsidRPr="007C2134">
        <w:rPr>
          <w:rFonts w:ascii="SimHei" w:eastAsia="SimHei" w:hAnsi="SimHei"/>
          <w:b w:val="0"/>
          <w:sz w:val="21"/>
        </w:rPr>
        <w:t>附注21：</w:t>
      </w:r>
      <w:bookmarkEnd w:id="107"/>
      <w:r w:rsidRPr="007C2134">
        <w:rPr>
          <w:rFonts w:ascii="SimHei" w:eastAsia="SimHei" w:hAnsi="SimHei"/>
          <w:b w:val="0"/>
          <w:sz w:val="21"/>
        </w:rPr>
        <w:t>净资产</w:t>
      </w:r>
      <w:bookmarkEnd w:id="108"/>
      <w:bookmarkEnd w:id="109"/>
    </w:p>
    <w:p w:rsidR="004B4679" w:rsidRPr="007A5789" w:rsidRDefault="00C01572" w:rsidP="00C01572">
      <w:pPr>
        <w:spacing w:afterLines="50" w:after="120" w:line="340" w:lineRule="atLeast"/>
        <w:jc w:val="center"/>
        <w:rPr>
          <w:sz w:val="21"/>
        </w:rPr>
      </w:pPr>
      <w:r w:rsidRPr="00EF7E79">
        <w:rPr>
          <w:noProof/>
          <w:sz w:val="21"/>
          <w:lang w:val="en-US" w:bidi="ar-SA"/>
        </w:rPr>
        <w:drawing>
          <wp:inline distT="0" distB="0" distL="0" distR="0" wp14:anchorId="1338C013" wp14:editId="032D5766">
            <wp:extent cx="5940425" cy="2572080"/>
            <wp:effectExtent l="0" t="0" r="3175" b="0"/>
            <wp:docPr id="352" name="图片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940425" cy="2572080"/>
                    </a:xfrm>
                    <a:prstGeom prst="rect">
                      <a:avLst/>
                    </a:prstGeom>
                    <a:noFill/>
                    <a:ln>
                      <a:noFill/>
                    </a:ln>
                  </pic:spPr>
                </pic:pic>
              </a:graphicData>
            </a:graphic>
          </wp:inline>
        </w:drawing>
      </w:r>
    </w:p>
    <w:p w:rsidR="007A5789" w:rsidRDefault="004B4679" w:rsidP="00134184">
      <w:pPr>
        <w:pStyle w:val="Style3"/>
        <w:numPr>
          <w:ilvl w:val="0"/>
          <w:numId w:val="24"/>
        </w:numPr>
        <w:tabs>
          <w:tab w:val="left" w:pos="770"/>
        </w:tabs>
        <w:overflowPunct w:val="0"/>
        <w:spacing w:afterLines="50" w:line="340" w:lineRule="atLeast"/>
        <w:ind w:left="0" w:firstLine="0"/>
        <w:rPr>
          <w:sz w:val="21"/>
        </w:rPr>
      </w:pPr>
      <w:r w:rsidRPr="007A5789">
        <w:rPr>
          <w:sz w:val="21"/>
        </w:rPr>
        <w:t>本组织的净资产总额为储备金余额，包括储备金</w:t>
      </w:r>
      <w:r w:rsidR="00B6014B">
        <w:rPr>
          <w:sz w:val="21"/>
        </w:rPr>
        <w:t>（</w:t>
      </w:r>
      <w:r w:rsidRPr="007A5789">
        <w:rPr>
          <w:sz w:val="21"/>
        </w:rPr>
        <w:t>累计盈余、</w:t>
      </w:r>
      <w:r w:rsidR="00AB6919">
        <w:rPr>
          <w:sz w:val="21"/>
        </w:rPr>
        <w:t>特别项目</w:t>
      </w:r>
      <w:r w:rsidRPr="007A5789">
        <w:rPr>
          <w:sz w:val="21"/>
        </w:rPr>
        <w:t>储备金及重估值盈余储备金</w:t>
      </w:r>
      <w:r w:rsidR="00B6014B">
        <w:rPr>
          <w:sz w:val="21"/>
        </w:rPr>
        <w:t>）</w:t>
      </w:r>
      <w:r w:rsidRPr="007A5789">
        <w:rPr>
          <w:sz w:val="21"/>
        </w:rPr>
        <w:t>及周转</w:t>
      </w:r>
      <w:r w:rsidRPr="007A5789">
        <w:rPr>
          <w:rFonts w:hint="eastAsia"/>
          <w:sz w:val="21"/>
        </w:rPr>
        <w:t>基金</w:t>
      </w:r>
      <w:r w:rsidRPr="007A5789">
        <w:rPr>
          <w:sz w:val="21"/>
        </w:rPr>
        <w:t>。本组织根据储备</w:t>
      </w:r>
      <w:proofErr w:type="gramStart"/>
      <w:r w:rsidRPr="007A5789">
        <w:rPr>
          <w:sz w:val="21"/>
        </w:rPr>
        <w:t>金政策</w:t>
      </w:r>
      <w:proofErr w:type="gramEnd"/>
      <w:r w:rsidRPr="007A5789">
        <w:rPr>
          <w:sz w:val="21"/>
        </w:rPr>
        <w:t>管理储备金水平。2015年，该政策被WIPO成员国大会第五十五届系列会议修改并通过。本组织包括周转</w:t>
      </w:r>
      <w:r w:rsidRPr="007A5789">
        <w:rPr>
          <w:rFonts w:hint="eastAsia"/>
          <w:sz w:val="21"/>
        </w:rPr>
        <w:t>基金</w:t>
      </w:r>
      <w:r w:rsidRPr="007A5789">
        <w:rPr>
          <w:sz w:val="21"/>
        </w:rPr>
        <w:t>在内的储备金的目标水平按照各联盟估计两年支出百分比在联盟层面确定。</w:t>
      </w:r>
    </w:p>
    <w:p w:rsidR="007A5789" w:rsidRDefault="004B4679" w:rsidP="00134184">
      <w:pPr>
        <w:pStyle w:val="Style3"/>
        <w:numPr>
          <w:ilvl w:val="0"/>
          <w:numId w:val="24"/>
        </w:numPr>
        <w:tabs>
          <w:tab w:val="left" w:pos="770"/>
        </w:tabs>
        <w:overflowPunct w:val="0"/>
        <w:spacing w:afterLines="50" w:line="340" w:lineRule="atLeast"/>
        <w:ind w:left="0" w:firstLine="0"/>
        <w:rPr>
          <w:sz w:val="21"/>
        </w:rPr>
      </w:pPr>
      <w:r w:rsidRPr="007A5789">
        <w:rPr>
          <w:sz w:val="21"/>
        </w:rPr>
        <w:t>储备</w:t>
      </w:r>
      <w:proofErr w:type="gramStart"/>
      <w:r w:rsidRPr="007A5789">
        <w:rPr>
          <w:sz w:val="21"/>
        </w:rPr>
        <w:t>金政策</w:t>
      </w:r>
      <w:proofErr w:type="gramEnd"/>
      <w:r w:rsidRPr="007A5789">
        <w:rPr>
          <w:sz w:val="21"/>
        </w:rPr>
        <w:t>要求在会计和报告中明确区分周转</w:t>
      </w:r>
      <w:r w:rsidRPr="007A5789">
        <w:rPr>
          <w:rFonts w:hint="eastAsia"/>
          <w:sz w:val="21"/>
        </w:rPr>
        <w:t>基金</w:t>
      </w:r>
      <w:r w:rsidRPr="007A5789">
        <w:rPr>
          <w:sz w:val="21"/>
        </w:rPr>
        <w:t>和储备金的其他部分。建立周转</w:t>
      </w:r>
      <w:r w:rsidRPr="007A5789">
        <w:rPr>
          <w:rFonts w:hint="eastAsia"/>
          <w:sz w:val="21"/>
        </w:rPr>
        <w:t>基金</w:t>
      </w:r>
      <w:r w:rsidRPr="007A5789">
        <w:rPr>
          <w:sz w:val="21"/>
        </w:rPr>
        <w:t>的用途是在出现暂时的流动性短缺时提供拨款的预先筹资以及成员国和联盟大会规定的其他用途。周转</w:t>
      </w:r>
      <w:r w:rsidRPr="007A5789">
        <w:rPr>
          <w:rFonts w:hint="eastAsia"/>
          <w:sz w:val="21"/>
        </w:rPr>
        <w:t>基金</w:t>
      </w:r>
      <w:r w:rsidRPr="007A5789">
        <w:rPr>
          <w:sz w:val="21"/>
        </w:rPr>
        <w:t>由会费筹资，并由WIPO为各自联盟的成员国托管。经WIPO成员国大会第五十五届系列会议批准，周转</w:t>
      </w:r>
      <w:r w:rsidRPr="007A5789">
        <w:rPr>
          <w:rFonts w:hint="eastAsia"/>
          <w:sz w:val="21"/>
        </w:rPr>
        <w:t>基金</w:t>
      </w:r>
      <w:r w:rsidRPr="007A5789">
        <w:rPr>
          <w:sz w:val="21"/>
        </w:rPr>
        <w:t>中PCT联盟的200</w:t>
      </w:r>
      <w:proofErr w:type="gramStart"/>
      <w:r w:rsidRPr="007A5789">
        <w:rPr>
          <w:sz w:val="21"/>
        </w:rPr>
        <w:t>万瑞郎部分</w:t>
      </w:r>
      <w:proofErr w:type="gramEnd"/>
      <w:r w:rsidRPr="007A5789">
        <w:rPr>
          <w:sz w:val="21"/>
        </w:rPr>
        <w:t>将通过从2016/17年会费发票中扣除的方式退还PCT联盟的成员国。</w:t>
      </w:r>
    </w:p>
    <w:p w:rsidR="007A5789" w:rsidRDefault="004B4679" w:rsidP="00134184">
      <w:pPr>
        <w:pStyle w:val="Style3"/>
        <w:numPr>
          <w:ilvl w:val="0"/>
          <w:numId w:val="24"/>
        </w:numPr>
        <w:tabs>
          <w:tab w:val="left" w:pos="770"/>
        </w:tabs>
        <w:overflowPunct w:val="0"/>
        <w:spacing w:afterLines="50" w:line="340" w:lineRule="atLeast"/>
        <w:ind w:left="0" w:firstLine="0"/>
        <w:rPr>
          <w:sz w:val="21"/>
        </w:rPr>
      </w:pPr>
      <w:r w:rsidRPr="007A5789">
        <w:rPr>
          <w:sz w:val="21"/>
        </w:rPr>
        <w:t>本组织的累计盈余为2015年和前期业务的累计净额，不包括IPSAS的影响。重估值盈余储备</w:t>
      </w:r>
      <w:proofErr w:type="gramStart"/>
      <w:r w:rsidRPr="007A5789">
        <w:rPr>
          <w:sz w:val="21"/>
        </w:rPr>
        <w:t>金包括</w:t>
      </w:r>
      <w:proofErr w:type="gramEnd"/>
      <w:r w:rsidRPr="007A5789">
        <w:rPr>
          <w:sz w:val="21"/>
        </w:rPr>
        <w:t>本组织用于建设新大楼的自有土地的重估值</w:t>
      </w:r>
      <w:r w:rsidR="00B6014B">
        <w:rPr>
          <w:sz w:val="21"/>
        </w:rPr>
        <w:t>（</w:t>
      </w:r>
      <w:r w:rsidRPr="007A5789">
        <w:rPr>
          <w:sz w:val="21"/>
        </w:rPr>
        <w:t>从历史成本转为公允价值</w:t>
      </w:r>
      <w:r w:rsidR="00B6014B">
        <w:rPr>
          <w:sz w:val="21"/>
        </w:rPr>
        <w:t>）</w:t>
      </w:r>
      <w:r w:rsidRPr="007A5789">
        <w:rPr>
          <w:sz w:val="21"/>
        </w:rPr>
        <w:t>结果</w:t>
      </w:r>
      <w:r w:rsidR="00B6014B">
        <w:rPr>
          <w:sz w:val="21"/>
        </w:rPr>
        <w:t>（</w:t>
      </w:r>
      <w:r w:rsidRPr="007A5789">
        <w:rPr>
          <w:sz w:val="21"/>
        </w:rPr>
        <w:t>见附注9</w:t>
      </w:r>
      <w:r w:rsidR="00B6014B">
        <w:rPr>
          <w:sz w:val="21"/>
        </w:rPr>
        <w:t>）</w:t>
      </w:r>
      <w:r w:rsidRPr="007A5789">
        <w:rPr>
          <w:sz w:val="21"/>
        </w:rPr>
        <w:t>。公允价值经过独立评估确定。</w:t>
      </w:r>
    </w:p>
    <w:p w:rsidR="007A5789" w:rsidRDefault="004B4679" w:rsidP="00134184">
      <w:pPr>
        <w:pStyle w:val="Style3"/>
        <w:numPr>
          <w:ilvl w:val="0"/>
          <w:numId w:val="24"/>
        </w:numPr>
        <w:tabs>
          <w:tab w:val="left" w:pos="770"/>
        </w:tabs>
        <w:overflowPunct w:val="0"/>
        <w:spacing w:afterLines="50" w:line="340" w:lineRule="atLeast"/>
        <w:ind w:left="0" w:firstLine="0"/>
        <w:rPr>
          <w:sz w:val="21"/>
        </w:rPr>
      </w:pPr>
      <w:r w:rsidRPr="007A5789">
        <w:rPr>
          <w:sz w:val="21"/>
        </w:rPr>
        <w:t>同时，WIPO储备</w:t>
      </w:r>
      <w:proofErr w:type="gramStart"/>
      <w:r w:rsidRPr="007A5789">
        <w:rPr>
          <w:sz w:val="21"/>
        </w:rPr>
        <w:t>金政策</w:t>
      </w:r>
      <w:proofErr w:type="gramEnd"/>
      <w:r w:rsidRPr="007A5789">
        <w:rPr>
          <w:sz w:val="21"/>
        </w:rPr>
        <w:t>还建立了资本完善一次性项目和特殊情况使用储备金的原则和批准机制。</w:t>
      </w:r>
      <w:r w:rsidR="00AB6919">
        <w:rPr>
          <w:sz w:val="21"/>
        </w:rPr>
        <w:t>特别项目</w:t>
      </w:r>
      <w:r w:rsidRPr="007A5789">
        <w:rPr>
          <w:sz w:val="21"/>
        </w:rPr>
        <w:t>储备金包含储备金对这些项目的拨款减去累计支出。</w:t>
      </w:r>
      <w:r w:rsidR="00AB6919">
        <w:rPr>
          <w:sz w:val="21"/>
        </w:rPr>
        <w:t>特别项目</w:t>
      </w:r>
      <w:r w:rsidRPr="007A5789">
        <w:rPr>
          <w:sz w:val="21"/>
        </w:rPr>
        <w:t>储备金在WIPO储备</w:t>
      </w:r>
      <w:proofErr w:type="gramStart"/>
      <w:r w:rsidRPr="007A5789">
        <w:rPr>
          <w:sz w:val="21"/>
        </w:rPr>
        <w:t>金政策</w:t>
      </w:r>
      <w:proofErr w:type="gramEnd"/>
      <w:r w:rsidRPr="007A5789">
        <w:rPr>
          <w:sz w:val="21"/>
        </w:rPr>
        <w:t>2015年修改后设立。报告日的余额为将用于已核准项目的金额。下表详细描述了由储备金筹资的项目、当年支出及截至2015年12月31日的余额：</w:t>
      </w:r>
    </w:p>
    <w:p w:rsidR="007A5789" w:rsidRDefault="00C01572" w:rsidP="00B87A4B">
      <w:pPr>
        <w:spacing w:afterLines="50" w:after="120" w:line="340" w:lineRule="atLeast"/>
        <w:jc w:val="center"/>
        <w:rPr>
          <w:sz w:val="21"/>
        </w:rPr>
      </w:pPr>
      <w:r w:rsidRPr="00EF7E79">
        <w:rPr>
          <w:noProof/>
          <w:sz w:val="21"/>
          <w:lang w:val="en-US" w:bidi="ar-SA"/>
        </w:rPr>
        <w:lastRenderedPageBreak/>
        <w:drawing>
          <wp:inline distT="0" distB="0" distL="0" distR="0" wp14:anchorId="7996EFF6" wp14:editId="2E80A63B">
            <wp:extent cx="5940425" cy="3856459"/>
            <wp:effectExtent l="0" t="0" r="3175" b="0"/>
            <wp:docPr id="353" name="图片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940425" cy="3856459"/>
                    </a:xfrm>
                    <a:prstGeom prst="rect">
                      <a:avLst/>
                    </a:prstGeom>
                    <a:noFill/>
                    <a:ln>
                      <a:noFill/>
                    </a:ln>
                  </pic:spPr>
                </pic:pic>
              </a:graphicData>
            </a:graphic>
          </wp:inline>
        </w:drawing>
      </w:r>
    </w:p>
    <w:p w:rsidR="004B4679" w:rsidRPr="007A5789" w:rsidRDefault="004B4679" w:rsidP="004B4679">
      <w:pPr>
        <w:rPr>
          <w:sz w:val="16"/>
          <w:szCs w:val="16"/>
        </w:rPr>
      </w:pPr>
      <w:r w:rsidRPr="007A5789">
        <w:rPr>
          <w:sz w:val="16"/>
        </w:rPr>
        <w:t>(1)新建</w:t>
      </w:r>
      <w:r w:rsidR="002F334E">
        <w:rPr>
          <w:rFonts w:hint="eastAsia"/>
          <w:sz w:val="16"/>
        </w:rPr>
        <w:t>筑</w:t>
      </w:r>
      <w:r w:rsidRPr="007A5789">
        <w:rPr>
          <w:sz w:val="16"/>
        </w:rPr>
        <w:t>项目由借款筹资，参见附注15</w:t>
      </w:r>
      <w:r w:rsidR="00D9706A" w:rsidRPr="007A5789">
        <w:rPr>
          <w:rFonts w:hint="eastAsia"/>
          <w:sz w:val="16"/>
        </w:rPr>
        <w:t>。</w:t>
      </w:r>
    </w:p>
    <w:p w:rsidR="004B4679" w:rsidRPr="007A5789" w:rsidRDefault="004B4679" w:rsidP="004B4679">
      <w:pPr>
        <w:rPr>
          <w:sz w:val="16"/>
          <w:szCs w:val="16"/>
        </w:rPr>
      </w:pPr>
      <w:r w:rsidRPr="007A5789">
        <w:rPr>
          <w:sz w:val="16"/>
        </w:rPr>
        <w:t>(2)WIPO成员国大会2015年10月例外批准了2014/15年常规预算下额外拨款不超过350</w:t>
      </w:r>
      <w:proofErr w:type="gramStart"/>
      <w:r w:rsidRPr="007A5789">
        <w:rPr>
          <w:sz w:val="16"/>
        </w:rPr>
        <w:t>万瑞郎用于</w:t>
      </w:r>
      <w:proofErr w:type="gramEnd"/>
      <w:r w:rsidRPr="007A5789">
        <w:rPr>
          <w:sz w:val="16"/>
        </w:rPr>
        <w:t>填补有关新会议厅项目完工的支出</w:t>
      </w:r>
      <w:r w:rsidR="00B6014B">
        <w:rPr>
          <w:sz w:val="16"/>
        </w:rPr>
        <w:t>（</w:t>
      </w:r>
      <w:r w:rsidRPr="007A5789">
        <w:rPr>
          <w:sz w:val="16"/>
        </w:rPr>
        <w:t>文件A/55/13</w:t>
      </w:r>
      <w:r w:rsidR="00B6014B">
        <w:rPr>
          <w:sz w:val="16"/>
        </w:rPr>
        <w:t>）</w:t>
      </w:r>
      <w:r w:rsidRPr="007A5789">
        <w:rPr>
          <w:sz w:val="16"/>
        </w:rPr>
        <w:t>。这项拨款中未使用的余额不得结转至下一个预算周期。</w:t>
      </w:r>
    </w:p>
    <w:p w:rsidR="007A5789" w:rsidRPr="007C2134" w:rsidRDefault="004B4679" w:rsidP="007C2134">
      <w:pPr>
        <w:pStyle w:val="3"/>
        <w:overflowPunct w:val="0"/>
        <w:spacing w:beforeLines="100" w:afterLines="50" w:after="120" w:line="340" w:lineRule="atLeast"/>
        <w:rPr>
          <w:rFonts w:ascii="SimHei" w:eastAsia="SimHei" w:hAnsi="SimHei"/>
          <w:b w:val="0"/>
          <w:sz w:val="21"/>
        </w:rPr>
      </w:pPr>
      <w:bookmarkStart w:id="110" w:name="_Toc441218510"/>
      <w:bookmarkStart w:id="111" w:name="_Toc455733241"/>
      <w:bookmarkStart w:id="112" w:name="_Toc456711752"/>
      <w:r w:rsidRPr="007C2134">
        <w:rPr>
          <w:rFonts w:ascii="SimHei" w:eastAsia="SimHei" w:hAnsi="SimHei"/>
          <w:b w:val="0"/>
          <w:sz w:val="21"/>
        </w:rPr>
        <w:t>附注22：预算比较表和财务执行情况表的对账情况</w:t>
      </w:r>
      <w:bookmarkEnd w:id="110"/>
      <w:bookmarkEnd w:id="111"/>
      <w:bookmarkEnd w:id="112"/>
    </w:p>
    <w:p w:rsidR="007A5789" w:rsidRDefault="004B4679" w:rsidP="00134184">
      <w:pPr>
        <w:pStyle w:val="Style3"/>
        <w:numPr>
          <w:ilvl w:val="0"/>
          <w:numId w:val="25"/>
        </w:numPr>
        <w:tabs>
          <w:tab w:val="left" w:pos="770"/>
        </w:tabs>
        <w:overflowPunct w:val="0"/>
        <w:spacing w:afterLines="50" w:line="340" w:lineRule="atLeast"/>
        <w:ind w:left="0" w:firstLine="0"/>
        <w:rPr>
          <w:sz w:val="21"/>
        </w:rPr>
      </w:pPr>
      <w:r w:rsidRPr="007A5789">
        <w:rPr>
          <w:sz w:val="21"/>
        </w:rPr>
        <w:t>WIPO计划和预算是根据《财务条例与细则》在修正的权责发生制基础上编制的，并经成员国大会批准。2014/15两年</w:t>
      </w:r>
      <w:proofErr w:type="gramStart"/>
      <w:r w:rsidRPr="007A5789">
        <w:rPr>
          <w:sz w:val="21"/>
        </w:rPr>
        <w:t>期计划</w:t>
      </w:r>
      <w:proofErr w:type="gramEnd"/>
      <w:r w:rsidRPr="007A5789">
        <w:rPr>
          <w:sz w:val="21"/>
        </w:rPr>
        <w:t>和预算为该两年</w:t>
      </w:r>
      <w:proofErr w:type="gramStart"/>
      <w:r w:rsidRPr="007A5789">
        <w:rPr>
          <w:sz w:val="21"/>
        </w:rPr>
        <w:t>期确定</w:t>
      </w:r>
      <w:proofErr w:type="gramEnd"/>
      <w:r w:rsidRPr="007A5789">
        <w:rPr>
          <w:sz w:val="21"/>
        </w:rPr>
        <w:t>了支出6.7</w:t>
      </w:r>
      <w:r w:rsidR="00D9706A" w:rsidRPr="007A5789">
        <w:rPr>
          <w:sz w:val="21"/>
        </w:rPr>
        <w:t>4</w:t>
      </w:r>
      <w:r w:rsidRPr="007A5789">
        <w:rPr>
          <w:sz w:val="21"/>
        </w:rPr>
        <w:t>亿瑞郎的概算。</w:t>
      </w:r>
    </w:p>
    <w:p w:rsidR="007A5789" w:rsidRDefault="004B4679" w:rsidP="00134184">
      <w:pPr>
        <w:pStyle w:val="Style3"/>
        <w:numPr>
          <w:ilvl w:val="0"/>
          <w:numId w:val="25"/>
        </w:numPr>
        <w:tabs>
          <w:tab w:val="left" w:pos="770"/>
        </w:tabs>
        <w:overflowPunct w:val="0"/>
        <w:spacing w:afterLines="50" w:line="340" w:lineRule="atLeast"/>
        <w:ind w:left="0" w:firstLine="0"/>
        <w:rPr>
          <w:sz w:val="21"/>
        </w:rPr>
      </w:pPr>
      <w:r w:rsidRPr="007A5789">
        <w:rPr>
          <w:sz w:val="21"/>
        </w:rPr>
        <w:t>2015年是本两年期的第二年，</w:t>
      </w:r>
      <w:proofErr w:type="gramStart"/>
      <w:r w:rsidRPr="007A5789">
        <w:rPr>
          <w:sz w:val="21"/>
        </w:rPr>
        <w:t>初步和</w:t>
      </w:r>
      <w:proofErr w:type="gramEnd"/>
      <w:r w:rsidRPr="007A5789">
        <w:rPr>
          <w:sz w:val="21"/>
        </w:rPr>
        <w:t>最终预算的收入为3.62亿瑞郎，支出为3.37亿瑞郎。在本两年期的第二年，采用修正的权责发生制的实际收入为3.97亿瑞郎。在本两年期的第二年，采用修正的权责发生制的实际支出为3.338亿瑞郎。</w:t>
      </w:r>
    </w:p>
    <w:p w:rsidR="007A5789" w:rsidRDefault="004B4679" w:rsidP="00134184">
      <w:pPr>
        <w:pStyle w:val="Style3"/>
        <w:numPr>
          <w:ilvl w:val="0"/>
          <w:numId w:val="25"/>
        </w:numPr>
        <w:tabs>
          <w:tab w:val="left" w:pos="770"/>
        </w:tabs>
        <w:overflowPunct w:val="0"/>
        <w:spacing w:afterLines="50" w:line="340" w:lineRule="atLeast"/>
        <w:ind w:left="0" w:firstLine="0"/>
        <w:rPr>
          <w:sz w:val="21"/>
        </w:rPr>
      </w:pPr>
      <w:r w:rsidRPr="007A5789">
        <w:rPr>
          <w:sz w:val="21"/>
        </w:rPr>
        <w:t>对于2014/15</w:t>
      </w:r>
      <w:r w:rsidR="006C0F4F" w:rsidRPr="007A5789">
        <w:rPr>
          <w:rFonts w:hint="eastAsia"/>
          <w:sz w:val="21"/>
        </w:rPr>
        <w:t>两</w:t>
      </w:r>
      <w:r w:rsidRPr="007A5789">
        <w:rPr>
          <w:sz w:val="21"/>
        </w:rPr>
        <w:t>年</w:t>
      </w:r>
      <w:r w:rsidR="006C0F4F" w:rsidRPr="007A5789">
        <w:rPr>
          <w:rFonts w:hint="eastAsia"/>
          <w:sz w:val="21"/>
        </w:rPr>
        <w:t>期</w:t>
      </w:r>
      <w:r w:rsidRPr="007A5789">
        <w:rPr>
          <w:sz w:val="21"/>
        </w:rPr>
        <w:t>，</w:t>
      </w:r>
      <w:proofErr w:type="gramStart"/>
      <w:r w:rsidRPr="007A5789">
        <w:rPr>
          <w:sz w:val="21"/>
        </w:rPr>
        <w:t>初步和</w:t>
      </w:r>
      <w:proofErr w:type="gramEnd"/>
      <w:r w:rsidRPr="007A5789">
        <w:rPr>
          <w:sz w:val="21"/>
        </w:rPr>
        <w:t>调剂使用后的最终预算的收入为7.133亿瑞郎，支出为6.74亿瑞郎。采用修正的权责发生制的实际收入为7.757亿瑞郎。采用修正的权责发生制的实际支出为6.426亿瑞郎。</w:t>
      </w:r>
    </w:p>
    <w:p w:rsidR="007A5789" w:rsidRDefault="004B4679" w:rsidP="00134184">
      <w:pPr>
        <w:pStyle w:val="Style3"/>
        <w:numPr>
          <w:ilvl w:val="0"/>
          <w:numId w:val="25"/>
        </w:numPr>
        <w:tabs>
          <w:tab w:val="left" w:pos="770"/>
        </w:tabs>
        <w:overflowPunct w:val="0"/>
        <w:spacing w:afterLines="50" w:line="340" w:lineRule="atLeast"/>
        <w:ind w:left="0" w:firstLine="0"/>
        <w:rPr>
          <w:sz w:val="21"/>
        </w:rPr>
      </w:pPr>
      <w:r w:rsidRPr="007A5789">
        <w:rPr>
          <w:sz w:val="21"/>
        </w:rPr>
        <w:t>2014/15年计划</w:t>
      </w:r>
      <w:r w:rsidR="0074262A">
        <w:rPr>
          <w:sz w:val="21"/>
        </w:rPr>
        <w:t>绩效</w:t>
      </w:r>
      <w:r w:rsidRPr="007A5789">
        <w:rPr>
          <w:sz w:val="21"/>
        </w:rPr>
        <w:t>报告对原预算和调剂使用后最终预算之间的变动以及预算数额和实际数额之间的实质性差异进行了解释。WIPO的预算和财务账目是使用两种不同基准编制的。财务状况表、财务执行情况表、净资产变动表和现金流量表是以完全的权责发生制编制的，而预算和实际数额对比表</w:t>
      </w:r>
      <w:r w:rsidR="00B6014B">
        <w:rPr>
          <w:sz w:val="21"/>
        </w:rPr>
        <w:t>（</w:t>
      </w:r>
      <w:r w:rsidRPr="007A5789">
        <w:rPr>
          <w:sz w:val="21"/>
        </w:rPr>
        <w:t>报表五</w:t>
      </w:r>
      <w:r w:rsidR="00B6014B">
        <w:rPr>
          <w:sz w:val="21"/>
        </w:rPr>
        <w:t>）</w:t>
      </w:r>
      <w:r w:rsidRPr="007A5789">
        <w:rPr>
          <w:sz w:val="21"/>
        </w:rPr>
        <w:t>是根据修正的权责发生制编制的。</w:t>
      </w:r>
    </w:p>
    <w:p w:rsidR="007A5789" w:rsidRDefault="004B4679" w:rsidP="00134184">
      <w:pPr>
        <w:pStyle w:val="Style3"/>
        <w:numPr>
          <w:ilvl w:val="0"/>
          <w:numId w:val="25"/>
        </w:numPr>
        <w:tabs>
          <w:tab w:val="left" w:pos="770"/>
        </w:tabs>
        <w:overflowPunct w:val="0"/>
        <w:spacing w:afterLines="50" w:line="340" w:lineRule="atLeast"/>
        <w:ind w:left="0" w:firstLine="0"/>
        <w:rPr>
          <w:sz w:val="21"/>
        </w:rPr>
      </w:pPr>
      <w:r w:rsidRPr="007A5789">
        <w:rPr>
          <w:sz w:val="21"/>
        </w:rPr>
        <w:t>根据IPSAS 24的要求，对报表五所载的实际可比数和财务账目上所列的实际数进行了对账，分别区分了基准、时间安排和实体差异。两年期的各年度和整个两年期分别进行对账。WIPO的预算是成员国大会按两年期通过的，但是为两个年度的每一年编制了单独的概算。因此，没有需要报告的时间安排差异。核定预算不按完全的权责发生制会计基准编制，因此存在基准差异。基准差异包括资产折旧、准备金的完全计入和未实现收入的递延。实体差异表现在WIPO的财务账目中包括特别账户和储</w:t>
      </w:r>
      <w:r w:rsidRPr="007A5789">
        <w:rPr>
          <w:sz w:val="21"/>
        </w:rPr>
        <w:lastRenderedPageBreak/>
        <w:t>备金供资项目，但WIPO已公布的计划和预算中不包括这些项目。呈报上的差异体现在建筑物、设备和无形资产投资以及投资财产收益在报表四中被作为投资活动处理。</w:t>
      </w:r>
    </w:p>
    <w:p w:rsidR="007A5789" w:rsidRDefault="004B4679" w:rsidP="001E1DEA">
      <w:pPr>
        <w:pStyle w:val="Style3Bold"/>
        <w:keepNext/>
        <w:spacing w:beforeLines="100" w:before="240" w:afterLines="50" w:line="340" w:lineRule="atLeast"/>
        <w:rPr>
          <w:sz w:val="21"/>
        </w:rPr>
      </w:pPr>
      <w:r w:rsidRPr="007A5789">
        <w:rPr>
          <w:sz w:val="21"/>
        </w:rPr>
        <w:t>2015年对账：</w:t>
      </w:r>
    </w:p>
    <w:p w:rsidR="004B4679" w:rsidRPr="007A5789" w:rsidRDefault="00C01572" w:rsidP="00C01572">
      <w:pPr>
        <w:spacing w:afterLines="50" w:after="120" w:line="340" w:lineRule="atLeast"/>
        <w:jc w:val="center"/>
        <w:rPr>
          <w:sz w:val="21"/>
        </w:rPr>
      </w:pPr>
      <w:r w:rsidRPr="00EF7E79">
        <w:rPr>
          <w:noProof/>
          <w:sz w:val="21"/>
          <w:lang w:val="en-US" w:bidi="ar-SA"/>
        </w:rPr>
        <w:drawing>
          <wp:inline distT="0" distB="0" distL="0" distR="0" wp14:anchorId="0036C478" wp14:editId="501BEC5C">
            <wp:extent cx="5940425" cy="3790336"/>
            <wp:effectExtent l="0" t="0" r="3175" b="635"/>
            <wp:docPr id="354" name="图片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940425" cy="3790336"/>
                    </a:xfrm>
                    <a:prstGeom prst="rect">
                      <a:avLst/>
                    </a:prstGeom>
                    <a:noFill/>
                    <a:ln>
                      <a:noFill/>
                    </a:ln>
                  </pic:spPr>
                </pic:pic>
              </a:graphicData>
            </a:graphic>
          </wp:inline>
        </w:drawing>
      </w:r>
    </w:p>
    <w:p w:rsidR="007A5789" w:rsidRDefault="004B4679" w:rsidP="001E1DEA">
      <w:pPr>
        <w:pStyle w:val="Style3Bold"/>
        <w:keepNext/>
        <w:spacing w:beforeLines="100" w:before="240" w:afterLines="50" w:line="340" w:lineRule="atLeast"/>
        <w:rPr>
          <w:sz w:val="21"/>
        </w:rPr>
      </w:pPr>
      <w:r w:rsidRPr="007A5789">
        <w:rPr>
          <w:sz w:val="21"/>
        </w:rPr>
        <w:lastRenderedPageBreak/>
        <w:t>2014/15两年期对账：</w:t>
      </w:r>
    </w:p>
    <w:p w:rsidR="004B4679" w:rsidRPr="007A5789" w:rsidRDefault="00C01572" w:rsidP="00C01572">
      <w:pPr>
        <w:spacing w:afterLines="50" w:after="120" w:line="340" w:lineRule="atLeast"/>
        <w:jc w:val="center"/>
        <w:rPr>
          <w:sz w:val="21"/>
        </w:rPr>
      </w:pPr>
      <w:r w:rsidRPr="00EF7E79">
        <w:rPr>
          <w:noProof/>
          <w:sz w:val="21"/>
          <w:lang w:val="en-US" w:bidi="ar-SA"/>
        </w:rPr>
        <w:drawing>
          <wp:inline distT="0" distB="0" distL="0" distR="0" wp14:anchorId="00E778D7" wp14:editId="4B137B44">
            <wp:extent cx="5940425" cy="3960492"/>
            <wp:effectExtent l="0" t="0" r="3175" b="2540"/>
            <wp:docPr id="355" name="图片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940425" cy="3960492"/>
                    </a:xfrm>
                    <a:prstGeom prst="rect">
                      <a:avLst/>
                    </a:prstGeom>
                    <a:noFill/>
                    <a:ln>
                      <a:noFill/>
                    </a:ln>
                  </pic:spPr>
                </pic:pic>
              </a:graphicData>
            </a:graphic>
          </wp:inline>
        </w:drawing>
      </w:r>
    </w:p>
    <w:p w:rsidR="007A5789" w:rsidRPr="007C2134" w:rsidRDefault="004B4679" w:rsidP="007C2134">
      <w:pPr>
        <w:pStyle w:val="3"/>
        <w:overflowPunct w:val="0"/>
        <w:spacing w:beforeLines="100" w:afterLines="50" w:after="120" w:line="340" w:lineRule="atLeast"/>
        <w:rPr>
          <w:rFonts w:ascii="SimHei" w:eastAsia="SimHei" w:hAnsi="SimHei"/>
          <w:b w:val="0"/>
          <w:sz w:val="21"/>
        </w:rPr>
      </w:pPr>
      <w:bookmarkStart w:id="113" w:name="_Toc441218511"/>
      <w:bookmarkStart w:id="114" w:name="_Toc455733242"/>
      <w:bookmarkStart w:id="115" w:name="_Toc456711753"/>
      <w:r w:rsidRPr="007C2134">
        <w:rPr>
          <w:rFonts w:ascii="SimHei" w:eastAsia="SimHei" w:hAnsi="SimHei"/>
          <w:b w:val="0"/>
          <w:sz w:val="21"/>
        </w:rPr>
        <w:t>附注23：收入</w:t>
      </w:r>
      <w:bookmarkEnd w:id="113"/>
      <w:bookmarkEnd w:id="114"/>
      <w:bookmarkEnd w:id="115"/>
    </w:p>
    <w:p w:rsidR="004B4679" w:rsidRPr="007A5789" w:rsidRDefault="00C01572" w:rsidP="00C01572">
      <w:pPr>
        <w:spacing w:afterLines="50" w:after="120" w:line="340" w:lineRule="atLeast"/>
        <w:jc w:val="center"/>
        <w:rPr>
          <w:sz w:val="21"/>
        </w:rPr>
      </w:pPr>
      <w:r w:rsidRPr="00EF7E79">
        <w:rPr>
          <w:noProof/>
          <w:sz w:val="21"/>
          <w:lang w:val="en-US" w:bidi="ar-SA"/>
        </w:rPr>
        <w:drawing>
          <wp:inline distT="0" distB="0" distL="0" distR="0" wp14:anchorId="74EEFF76" wp14:editId="0FCB3B38">
            <wp:extent cx="5940425" cy="3865246"/>
            <wp:effectExtent l="0" t="0" r="3175" b="1905"/>
            <wp:docPr id="356" name="图片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940425" cy="3865246"/>
                    </a:xfrm>
                    <a:prstGeom prst="rect">
                      <a:avLst/>
                    </a:prstGeom>
                    <a:noFill/>
                    <a:ln>
                      <a:noFill/>
                    </a:ln>
                  </pic:spPr>
                </pic:pic>
              </a:graphicData>
            </a:graphic>
          </wp:inline>
        </w:drawing>
      </w:r>
    </w:p>
    <w:p w:rsidR="007A5789" w:rsidRDefault="004B4679" w:rsidP="00134184">
      <w:pPr>
        <w:pStyle w:val="Style3"/>
        <w:numPr>
          <w:ilvl w:val="0"/>
          <w:numId w:val="26"/>
        </w:numPr>
        <w:tabs>
          <w:tab w:val="left" w:pos="770"/>
        </w:tabs>
        <w:overflowPunct w:val="0"/>
        <w:spacing w:afterLines="50" w:line="340" w:lineRule="atLeast"/>
        <w:ind w:left="0" w:firstLine="0"/>
        <w:rPr>
          <w:sz w:val="21"/>
          <w:szCs w:val="22"/>
        </w:rPr>
      </w:pPr>
      <w:r w:rsidRPr="007A5789">
        <w:rPr>
          <w:sz w:val="21"/>
        </w:rPr>
        <w:lastRenderedPageBreak/>
        <w:t>所显示的计划和预算数为所收到的实际收入，涉及大会通过的本组织的预算。自愿捐款为所收到的收入，涉及捐赠人对未包括在计划和预算内的单项计划所捐助的款项。</w:t>
      </w:r>
    </w:p>
    <w:p w:rsidR="007A5789" w:rsidRDefault="004B4679" w:rsidP="00134184">
      <w:pPr>
        <w:pStyle w:val="Style3"/>
        <w:numPr>
          <w:ilvl w:val="0"/>
          <w:numId w:val="26"/>
        </w:numPr>
        <w:tabs>
          <w:tab w:val="left" w:pos="770"/>
        </w:tabs>
        <w:overflowPunct w:val="0"/>
        <w:spacing w:afterLines="50" w:line="340" w:lineRule="atLeast"/>
        <w:ind w:left="0" w:firstLine="0"/>
        <w:rPr>
          <w:sz w:val="21"/>
        </w:rPr>
      </w:pPr>
      <w:r w:rsidRPr="007A5789">
        <w:rPr>
          <w:sz w:val="21"/>
        </w:rPr>
        <w:t>IPSAS调</w:t>
      </w:r>
      <w:r w:rsidR="002F334E">
        <w:rPr>
          <w:rFonts w:hint="eastAsia"/>
          <w:sz w:val="21"/>
        </w:rPr>
        <w:t>整</w:t>
      </w:r>
      <w:r w:rsidRPr="007A5789">
        <w:rPr>
          <w:sz w:val="21"/>
        </w:rPr>
        <w:t>主要与未实现收入的递延有关。源于自愿捐助的</w:t>
      </w:r>
      <w:proofErr w:type="gramStart"/>
      <w:r w:rsidRPr="007A5789">
        <w:rPr>
          <w:sz w:val="21"/>
        </w:rPr>
        <w:t>收入被递延至</w:t>
      </w:r>
      <w:proofErr w:type="gramEnd"/>
      <w:r w:rsidRPr="007A5789">
        <w:rPr>
          <w:sz w:val="21"/>
        </w:rPr>
        <w:t>通过提供与捐助方商定的工作计划中所规定的特定服务而获得实现时为止。</w:t>
      </w:r>
    </w:p>
    <w:p w:rsidR="007A5789" w:rsidRDefault="004B4679" w:rsidP="00134184">
      <w:pPr>
        <w:pStyle w:val="Style3"/>
        <w:numPr>
          <w:ilvl w:val="0"/>
          <w:numId w:val="26"/>
        </w:numPr>
        <w:tabs>
          <w:tab w:val="left" w:pos="770"/>
        </w:tabs>
        <w:overflowPunct w:val="0"/>
        <w:spacing w:afterLines="50" w:line="340" w:lineRule="atLeast"/>
        <w:ind w:left="0" w:firstLine="0"/>
        <w:rPr>
          <w:sz w:val="21"/>
        </w:rPr>
      </w:pPr>
      <w:r w:rsidRPr="007A5789">
        <w:rPr>
          <w:sz w:val="21"/>
        </w:rPr>
        <w:t>PCT、马德里和海牙体系</w:t>
      </w:r>
      <w:proofErr w:type="gramStart"/>
      <w:r w:rsidRPr="007A5789">
        <w:rPr>
          <w:sz w:val="21"/>
        </w:rPr>
        <w:t>规</w:t>
      </w:r>
      <w:proofErr w:type="gramEnd"/>
      <w:r w:rsidRPr="007A5789">
        <w:rPr>
          <w:sz w:val="21"/>
        </w:rPr>
        <w:t>费的</w:t>
      </w:r>
      <w:proofErr w:type="gramStart"/>
      <w:r w:rsidRPr="007A5789">
        <w:rPr>
          <w:sz w:val="21"/>
        </w:rPr>
        <w:t>收入被递延至</w:t>
      </w:r>
      <w:proofErr w:type="gramEnd"/>
      <w:r w:rsidRPr="007A5789">
        <w:rPr>
          <w:sz w:val="21"/>
        </w:rPr>
        <w:t>通过根据每个联盟的规则公布国际申请而实现时为止。2015年，WIPO还在PCT体系规费收入中记入了</w:t>
      </w:r>
      <w:r w:rsidRPr="007A5789">
        <w:rPr>
          <w:rFonts w:hint="eastAsia"/>
          <w:sz w:val="21"/>
        </w:rPr>
        <w:t>与</w:t>
      </w:r>
      <w:r w:rsidRPr="007A5789">
        <w:rPr>
          <w:sz w:val="21"/>
        </w:rPr>
        <w:t>2004-2013提交年</w:t>
      </w:r>
      <w:r w:rsidRPr="007A5789">
        <w:rPr>
          <w:rFonts w:hint="eastAsia"/>
          <w:sz w:val="21"/>
        </w:rPr>
        <w:t>有关的</w:t>
      </w:r>
      <w:r w:rsidRPr="007A5789">
        <w:rPr>
          <w:sz w:val="21"/>
        </w:rPr>
        <w:t>470万瑞郎的支付调</w:t>
      </w:r>
      <w:r w:rsidR="006F192F">
        <w:rPr>
          <w:sz w:val="21"/>
        </w:rPr>
        <w:t>‍</w:t>
      </w:r>
      <w:r w:rsidRPr="007A5789">
        <w:rPr>
          <w:sz w:val="21"/>
        </w:rPr>
        <w:t>整。</w:t>
      </w:r>
    </w:p>
    <w:p w:rsidR="004B4679" w:rsidRPr="007C2134" w:rsidRDefault="004B4679" w:rsidP="007C2134">
      <w:pPr>
        <w:pStyle w:val="3"/>
        <w:overflowPunct w:val="0"/>
        <w:spacing w:beforeLines="100" w:afterLines="50" w:after="120" w:line="340" w:lineRule="atLeast"/>
        <w:rPr>
          <w:rFonts w:ascii="SimHei" w:eastAsia="SimHei" w:hAnsi="SimHei"/>
          <w:b w:val="0"/>
          <w:sz w:val="21"/>
        </w:rPr>
      </w:pPr>
      <w:bookmarkStart w:id="116" w:name="_Toc441218512"/>
      <w:bookmarkStart w:id="117" w:name="_Toc455733243"/>
      <w:bookmarkStart w:id="118" w:name="_Toc456711754"/>
      <w:r w:rsidRPr="007C2134">
        <w:rPr>
          <w:rFonts w:ascii="SimHei" w:eastAsia="SimHei" w:hAnsi="SimHei"/>
          <w:b w:val="0"/>
          <w:sz w:val="21"/>
        </w:rPr>
        <w:lastRenderedPageBreak/>
        <w:t>附注24：支出</w:t>
      </w:r>
      <w:bookmarkEnd w:id="116"/>
      <w:bookmarkEnd w:id="117"/>
      <w:bookmarkEnd w:id="118"/>
    </w:p>
    <w:p w:rsidR="004B4679" w:rsidRPr="007A5789" w:rsidRDefault="00C01572" w:rsidP="00C01572">
      <w:pPr>
        <w:spacing w:afterLines="50" w:after="120" w:line="340" w:lineRule="atLeast"/>
        <w:jc w:val="center"/>
        <w:rPr>
          <w:sz w:val="21"/>
        </w:rPr>
      </w:pPr>
      <w:r w:rsidRPr="00EF7E79">
        <w:rPr>
          <w:noProof/>
          <w:sz w:val="21"/>
          <w:lang w:val="en-US" w:bidi="ar-SA"/>
        </w:rPr>
        <w:drawing>
          <wp:inline distT="0" distB="0" distL="0" distR="0" wp14:anchorId="0B991E5C" wp14:editId="0C2E581D">
            <wp:extent cx="5940425" cy="7359116"/>
            <wp:effectExtent l="0" t="0" r="3175" b="0"/>
            <wp:docPr id="357" name="图片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940425" cy="7359116"/>
                    </a:xfrm>
                    <a:prstGeom prst="rect">
                      <a:avLst/>
                    </a:prstGeom>
                    <a:noFill/>
                    <a:ln>
                      <a:noFill/>
                    </a:ln>
                  </pic:spPr>
                </pic:pic>
              </a:graphicData>
            </a:graphic>
          </wp:inline>
        </w:drawing>
      </w:r>
    </w:p>
    <w:p w:rsidR="007A5789" w:rsidRDefault="004B4679" w:rsidP="00134184">
      <w:pPr>
        <w:pStyle w:val="Style3"/>
        <w:numPr>
          <w:ilvl w:val="0"/>
          <w:numId w:val="27"/>
        </w:numPr>
        <w:tabs>
          <w:tab w:val="left" w:pos="770"/>
        </w:tabs>
        <w:overflowPunct w:val="0"/>
        <w:spacing w:afterLines="50" w:line="340" w:lineRule="atLeast"/>
        <w:ind w:left="0" w:firstLine="0"/>
        <w:rPr>
          <w:sz w:val="21"/>
        </w:rPr>
      </w:pPr>
      <w:r w:rsidRPr="007A5789">
        <w:rPr>
          <w:sz w:val="21"/>
        </w:rPr>
        <w:t>在扣除IPSAS调整的影响之前，计划和预算、特别账户和储备金资助项目中的支出是根据修正的权责发生</w:t>
      </w:r>
      <w:proofErr w:type="gramStart"/>
      <w:r w:rsidRPr="007A5789">
        <w:rPr>
          <w:sz w:val="21"/>
        </w:rPr>
        <w:t>制报告</w:t>
      </w:r>
      <w:proofErr w:type="gramEnd"/>
      <w:r w:rsidRPr="007A5789">
        <w:rPr>
          <w:sz w:val="21"/>
        </w:rPr>
        <w:t>的，支出的确认以收到货物和服务得到提供为准。</w:t>
      </w:r>
    </w:p>
    <w:p w:rsidR="00AD1872" w:rsidRPr="007A5789" w:rsidRDefault="004B4679" w:rsidP="00134184">
      <w:pPr>
        <w:pStyle w:val="Style3"/>
        <w:numPr>
          <w:ilvl w:val="0"/>
          <w:numId w:val="27"/>
        </w:numPr>
        <w:tabs>
          <w:tab w:val="left" w:pos="770"/>
        </w:tabs>
        <w:overflowPunct w:val="0"/>
        <w:spacing w:afterLines="50" w:line="340" w:lineRule="atLeast"/>
        <w:ind w:left="0" w:firstLine="0"/>
        <w:rPr>
          <w:sz w:val="21"/>
        </w:rPr>
      </w:pPr>
      <w:r w:rsidRPr="007A5789">
        <w:rPr>
          <w:sz w:val="21"/>
        </w:rPr>
        <w:t>IPSAS调整主要涉及相对固定资产成本的折旧和摊销确认。确认调整还为了记入收购设备、</w:t>
      </w:r>
      <w:proofErr w:type="gramStart"/>
      <w:r w:rsidRPr="007A5789">
        <w:rPr>
          <w:sz w:val="21"/>
        </w:rPr>
        <w:t>投资大楼</w:t>
      </w:r>
      <w:proofErr w:type="gramEnd"/>
      <w:r w:rsidRPr="007A5789">
        <w:rPr>
          <w:sz w:val="21"/>
        </w:rPr>
        <w:t>和建筑物或收购及开发无形资产的支出。</w:t>
      </w:r>
      <w:r w:rsidRPr="007A5789">
        <w:rPr>
          <w:rFonts w:hint="eastAsia"/>
          <w:sz w:val="21"/>
        </w:rPr>
        <w:t>为</w:t>
      </w:r>
      <w:r w:rsidRPr="007A5789">
        <w:rPr>
          <w:sz w:val="21"/>
        </w:rPr>
        <w:t>使包括ASHI在内的雇员福利负债</w:t>
      </w:r>
      <w:r w:rsidRPr="007A5789">
        <w:rPr>
          <w:rFonts w:hint="eastAsia"/>
          <w:sz w:val="21"/>
        </w:rPr>
        <w:t>符合</w:t>
      </w:r>
      <w:r w:rsidRPr="007A5789">
        <w:rPr>
          <w:sz w:val="21"/>
        </w:rPr>
        <w:t>IPSAS计算</w:t>
      </w:r>
      <w:r w:rsidRPr="007A5789">
        <w:rPr>
          <w:rFonts w:hint="eastAsia"/>
          <w:sz w:val="21"/>
        </w:rPr>
        <w:t>结果</w:t>
      </w:r>
      <w:r w:rsidRPr="007A5789">
        <w:rPr>
          <w:sz w:val="21"/>
        </w:rPr>
        <w:t>，对人事支出</w:t>
      </w:r>
      <w:r w:rsidRPr="007A5789">
        <w:rPr>
          <w:rFonts w:hint="eastAsia"/>
          <w:sz w:val="21"/>
        </w:rPr>
        <w:t>进行了</w:t>
      </w:r>
      <w:r w:rsidRPr="007A5789">
        <w:rPr>
          <w:sz w:val="21"/>
        </w:rPr>
        <w:t>调整。</w:t>
      </w:r>
    </w:p>
    <w:p w:rsidR="007A5789" w:rsidRPr="007C2134" w:rsidRDefault="004B4679" w:rsidP="007C2134">
      <w:pPr>
        <w:pStyle w:val="3"/>
        <w:overflowPunct w:val="0"/>
        <w:spacing w:beforeLines="100" w:afterLines="50" w:after="120" w:line="340" w:lineRule="atLeast"/>
        <w:rPr>
          <w:rFonts w:ascii="SimHei" w:eastAsia="SimHei" w:hAnsi="SimHei"/>
          <w:b w:val="0"/>
          <w:sz w:val="21"/>
        </w:rPr>
      </w:pPr>
      <w:bookmarkStart w:id="119" w:name="_Toc441218513"/>
      <w:bookmarkStart w:id="120" w:name="_Toc455733244"/>
      <w:bookmarkStart w:id="121" w:name="_Toc456711755"/>
      <w:r w:rsidRPr="007C2134">
        <w:rPr>
          <w:rFonts w:ascii="SimHei" w:eastAsia="SimHei" w:hAnsi="SimHei"/>
          <w:b w:val="0"/>
          <w:sz w:val="21"/>
        </w:rPr>
        <w:lastRenderedPageBreak/>
        <w:t>附注25：金融工具</w:t>
      </w:r>
      <w:bookmarkEnd w:id="119"/>
      <w:bookmarkEnd w:id="120"/>
      <w:bookmarkEnd w:id="121"/>
    </w:p>
    <w:p w:rsidR="007A5789" w:rsidRDefault="004B4679" w:rsidP="00134184">
      <w:pPr>
        <w:pStyle w:val="Style3"/>
        <w:numPr>
          <w:ilvl w:val="0"/>
          <w:numId w:val="27"/>
        </w:numPr>
        <w:tabs>
          <w:tab w:val="left" w:pos="770"/>
        </w:tabs>
        <w:overflowPunct w:val="0"/>
        <w:spacing w:afterLines="50" w:line="340" w:lineRule="atLeast"/>
        <w:ind w:left="0" w:firstLine="0"/>
        <w:rPr>
          <w:sz w:val="21"/>
          <w:szCs w:val="22"/>
        </w:rPr>
      </w:pPr>
      <w:r w:rsidRPr="007A5789">
        <w:rPr>
          <w:sz w:val="21"/>
        </w:rPr>
        <w:t>本组织面临着在日常运营中产生的外币兑换、信用、利率和流动性风险。本附注提供了本组织在上述每个风险领域面临的风险情况，以及衡量和管理风险的政策和过程。</w:t>
      </w:r>
    </w:p>
    <w:p w:rsidR="007A5789" w:rsidRDefault="004B4679" w:rsidP="00134184">
      <w:pPr>
        <w:pStyle w:val="Style3"/>
        <w:numPr>
          <w:ilvl w:val="0"/>
          <w:numId w:val="27"/>
        </w:numPr>
        <w:tabs>
          <w:tab w:val="left" w:pos="770"/>
        </w:tabs>
        <w:overflowPunct w:val="0"/>
        <w:spacing w:afterLines="50" w:line="340" w:lineRule="atLeast"/>
        <w:ind w:left="0" w:firstLine="0"/>
        <w:rPr>
          <w:sz w:val="21"/>
        </w:rPr>
      </w:pPr>
      <w:r w:rsidRPr="007A5789">
        <w:rPr>
          <w:sz w:val="21"/>
        </w:rPr>
        <w:t>本组织根据其投资政策管理投资。2015年，该政策被WIPO成员国大会第五十五届系列会议修改并通过。修改后的政策包含两项具体投资政策，一项关于经营及核心现金，另一项关于战略现金。经营现金指的是本组织为满足日常付款要求以及确保流动资产可提供目标储备金等值金额而规定的现金。核心现金指的是经营和战略现金被扣除后剩余的现金。战略现金指的是划拨用于为包括ASHI在内的离职后雇员福利负债筹资的现金。</w:t>
      </w:r>
    </w:p>
    <w:p w:rsidR="007A5789" w:rsidRPr="001E1DEA" w:rsidRDefault="004B4679" w:rsidP="001E1DEA">
      <w:pPr>
        <w:pStyle w:val="Style3Bold"/>
        <w:keepNext/>
        <w:spacing w:beforeLines="100" w:before="240" w:afterLines="50" w:line="340" w:lineRule="atLeast"/>
        <w:rPr>
          <w:sz w:val="21"/>
        </w:rPr>
      </w:pPr>
      <w:r w:rsidRPr="007A5789">
        <w:rPr>
          <w:sz w:val="21"/>
        </w:rPr>
        <w:t>公允价值</w:t>
      </w:r>
    </w:p>
    <w:p w:rsidR="007A5789" w:rsidRDefault="004B4679" w:rsidP="00134184">
      <w:pPr>
        <w:pStyle w:val="Style3"/>
        <w:numPr>
          <w:ilvl w:val="0"/>
          <w:numId w:val="27"/>
        </w:numPr>
        <w:tabs>
          <w:tab w:val="left" w:pos="770"/>
        </w:tabs>
        <w:overflowPunct w:val="0"/>
        <w:spacing w:afterLines="50" w:line="340" w:lineRule="atLeast"/>
        <w:ind w:left="0" w:firstLine="0"/>
        <w:rPr>
          <w:sz w:val="21"/>
        </w:rPr>
      </w:pPr>
      <w:r w:rsidRPr="007A5789">
        <w:rPr>
          <w:sz w:val="21"/>
        </w:rPr>
        <w:t>以下所示为本组织金融工具账面数额和公允价值的分类比较：</w:t>
      </w:r>
    </w:p>
    <w:p w:rsidR="004B4679" w:rsidRPr="007A5789" w:rsidRDefault="002161B6" w:rsidP="002161B6">
      <w:pPr>
        <w:spacing w:afterLines="50" w:after="120" w:line="340" w:lineRule="atLeast"/>
        <w:jc w:val="center"/>
        <w:rPr>
          <w:sz w:val="21"/>
        </w:rPr>
      </w:pPr>
      <w:r w:rsidRPr="00EF7E79">
        <w:rPr>
          <w:noProof/>
          <w:sz w:val="21"/>
          <w:lang w:val="en-US" w:bidi="ar-SA"/>
        </w:rPr>
        <w:drawing>
          <wp:inline distT="0" distB="0" distL="0" distR="0" wp14:anchorId="68B48D84" wp14:editId="71A5EC19">
            <wp:extent cx="5934710" cy="4865370"/>
            <wp:effectExtent l="0" t="0" r="8890" b="0"/>
            <wp:docPr id="358" name="图片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934710" cy="4865370"/>
                    </a:xfrm>
                    <a:prstGeom prst="rect">
                      <a:avLst/>
                    </a:prstGeom>
                    <a:noFill/>
                    <a:ln>
                      <a:noFill/>
                    </a:ln>
                  </pic:spPr>
                </pic:pic>
              </a:graphicData>
            </a:graphic>
          </wp:inline>
        </w:drawing>
      </w:r>
    </w:p>
    <w:p w:rsidR="007A5789" w:rsidRDefault="004B4679" w:rsidP="00134184">
      <w:pPr>
        <w:pStyle w:val="Style3"/>
        <w:numPr>
          <w:ilvl w:val="0"/>
          <w:numId w:val="27"/>
        </w:numPr>
        <w:tabs>
          <w:tab w:val="left" w:pos="770"/>
        </w:tabs>
        <w:overflowPunct w:val="0"/>
        <w:spacing w:afterLines="50" w:line="340" w:lineRule="atLeast"/>
        <w:ind w:left="0" w:firstLine="0"/>
        <w:rPr>
          <w:sz w:val="21"/>
          <w:szCs w:val="22"/>
        </w:rPr>
      </w:pPr>
      <w:r w:rsidRPr="007A5789">
        <w:rPr>
          <w:sz w:val="21"/>
        </w:rPr>
        <w:t>金融资产和负债的公允价值是按照该项工具在自愿交易方目前的交易中可交换的数额计入的，而不是按照强制出售或清偿的情况计算。公允价值的概算利用了以下方法和假定：</w:t>
      </w:r>
    </w:p>
    <w:p w:rsidR="004B4679" w:rsidRPr="007A5789" w:rsidRDefault="004B4679" w:rsidP="002F334E">
      <w:pPr>
        <w:numPr>
          <w:ilvl w:val="0"/>
          <w:numId w:val="8"/>
        </w:numPr>
        <w:tabs>
          <w:tab w:val="clear" w:pos="720"/>
        </w:tabs>
        <w:adjustRightInd w:val="0"/>
        <w:spacing w:afterLines="50" w:after="120" w:line="340" w:lineRule="atLeast"/>
        <w:ind w:leftChars="350" w:left="1337" w:hanging="567"/>
        <w:rPr>
          <w:sz w:val="21"/>
          <w:szCs w:val="22"/>
        </w:rPr>
      </w:pPr>
      <w:r w:rsidRPr="007A5789">
        <w:rPr>
          <w:sz w:val="21"/>
        </w:rPr>
        <w:t>现金和短期存款、外汇交易应收款、应付账款和其他的流动负债大致相当于其账面数额，主要是因为这些工具短期内到期；</w:t>
      </w:r>
    </w:p>
    <w:p w:rsidR="007A5789" w:rsidRDefault="004B4679" w:rsidP="002F334E">
      <w:pPr>
        <w:numPr>
          <w:ilvl w:val="0"/>
          <w:numId w:val="8"/>
        </w:numPr>
        <w:tabs>
          <w:tab w:val="clear" w:pos="720"/>
        </w:tabs>
        <w:adjustRightInd w:val="0"/>
        <w:spacing w:afterLines="50" w:after="120" w:line="340" w:lineRule="atLeast"/>
        <w:ind w:leftChars="350" w:left="1337" w:hanging="567"/>
        <w:rPr>
          <w:sz w:val="21"/>
          <w:szCs w:val="22"/>
        </w:rPr>
      </w:pPr>
      <w:r w:rsidRPr="007A5789">
        <w:rPr>
          <w:sz w:val="21"/>
        </w:rPr>
        <w:t>长期贷款、应收账款和借款由本组织根据诸如利率和风险特征等参数进行评估。为非外汇交易应收账款设立</w:t>
      </w:r>
      <w:proofErr w:type="gramStart"/>
      <w:r w:rsidRPr="007A5789">
        <w:rPr>
          <w:sz w:val="21"/>
        </w:rPr>
        <w:t>的备抵金</w:t>
      </w:r>
      <w:proofErr w:type="gramEnd"/>
      <w:r w:rsidRPr="007A5789">
        <w:rPr>
          <w:sz w:val="21"/>
        </w:rPr>
        <w:t>用于支付根据《WIPO公约》第11条第5</w:t>
      </w:r>
      <w:r w:rsidR="00BA1F25" w:rsidRPr="007A5789">
        <w:rPr>
          <w:rFonts w:hint="eastAsia"/>
          <w:sz w:val="21"/>
        </w:rPr>
        <w:t>款</w:t>
      </w:r>
      <w:r w:rsidRPr="007A5789">
        <w:rPr>
          <w:sz w:val="21"/>
        </w:rPr>
        <w:t>已丧失投票权</w:t>
      </w:r>
      <w:r w:rsidRPr="007A5789">
        <w:rPr>
          <w:sz w:val="21"/>
        </w:rPr>
        <w:lastRenderedPageBreak/>
        <w:t>的成员国欠交数额和大会决定冻结的最不发达国家的会费。为FCIG提供的优惠贷款按照以1.48%的贴现率贴现的现金</w:t>
      </w:r>
      <w:proofErr w:type="gramStart"/>
      <w:r w:rsidRPr="007A5789">
        <w:rPr>
          <w:sz w:val="21"/>
        </w:rPr>
        <w:t>流价值</w:t>
      </w:r>
      <w:proofErr w:type="gramEnd"/>
      <w:r w:rsidRPr="007A5789">
        <w:rPr>
          <w:sz w:val="21"/>
        </w:rPr>
        <w:t>计入摊销的成本。应退美国税款按照以2.09%的贴现率贴现的现金</w:t>
      </w:r>
      <w:proofErr w:type="gramStart"/>
      <w:r w:rsidRPr="007A5789">
        <w:rPr>
          <w:sz w:val="21"/>
        </w:rPr>
        <w:t>流价值</w:t>
      </w:r>
      <w:proofErr w:type="gramEnd"/>
      <w:r w:rsidRPr="007A5789">
        <w:rPr>
          <w:sz w:val="21"/>
        </w:rPr>
        <w:t>计入摊销的成本。</w:t>
      </w:r>
    </w:p>
    <w:p w:rsidR="007A5789" w:rsidRPr="001E1DEA" w:rsidRDefault="004B4679" w:rsidP="001E1DEA">
      <w:pPr>
        <w:pStyle w:val="Style3Bold"/>
        <w:keepNext/>
        <w:spacing w:beforeLines="100" w:before="240" w:afterLines="50" w:line="340" w:lineRule="atLeast"/>
        <w:rPr>
          <w:sz w:val="21"/>
        </w:rPr>
      </w:pPr>
      <w:r w:rsidRPr="007A5789">
        <w:rPr>
          <w:sz w:val="21"/>
        </w:rPr>
        <w:t>信贷风险</w:t>
      </w:r>
    </w:p>
    <w:p w:rsidR="007A5789" w:rsidRDefault="004B4679" w:rsidP="00134184">
      <w:pPr>
        <w:pStyle w:val="Style3"/>
        <w:numPr>
          <w:ilvl w:val="0"/>
          <w:numId w:val="27"/>
        </w:numPr>
        <w:tabs>
          <w:tab w:val="left" w:pos="770"/>
        </w:tabs>
        <w:overflowPunct w:val="0"/>
        <w:spacing w:afterLines="50" w:line="340" w:lineRule="atLeast"/>
        <w:ind w:left="0" w:firstLine="0"/>
        <w:rPr>
          <w:sz w:val="21"/>
          <w:szCs w:val="22"/>
        </w:rPr>
      </w:pPr>
      <w:r w:rsidRPr="007A5789">
        <w:rPr>
          <w:sz w:val="21"/>
        </w:rPr>
        <w:t>信贷风险系指本组织在金融工具交易对手未能履行其合同义务的情况下面临的财务损失风险。这主要涉及本组织的贷款、应收账款、现金和现金等价物。金融资产的账面数额代表最高信贷风险。截至2015年12月31日，最高信贷风险敞口如下：</w:t>
      </w:r>
    </w:p>
    <w:p w:rsidR="004B4679" w:rsidRPr="007A5789" w:rsidRDefault="002161B6" w:rsidP="002161B6">
      <w:pPr>
        <w:spacing w:afterLines="50" w:after="120" w:line="340" w:lineRule="atLeast"/>
        <w:jc w:val="center"/>
        <w:rPr>
          <w:sz w:val="21"/>
        </w:rPr>
      </w:pPr>
      <w:r w:rsidRPr="003A2E23">
        <w:rPr>
          <w:noProof/>
          <w:sz w:val="21"/>
          <w:lang w:val="en-US" w:bidi="ar-SA"/>
        </w:rPr>
        <w:drawing>
          <wp:inline distT="0" distB="0" distL="0" distR="0" wp14:anchorId="0ED93148" wp14:editId="3D4453C6">
            <wp:extent cx="5936400" cy="1198800"/>
            <wp:effectExtent l="0" t="0" r="0" b="1905"/>
            <wp:docPr id="359" name="图片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936400" cy="1198800"/>
                    </a:xfrm>
                    <a:prstGeom prst="rect">
                      <a:avLst/>
                    </a:prstGeom>
                    <a:noFill/>
                    <a:ln>
                      <a:noFill/>
                    </a:ln>
                  </pic:spPr>
                </pic:pic>
              </a:graphicData>
            </a:graphic>
          </wp:inline>
        </w:drawing>
      </w:r>
    </w:p>
    <w:p w:rsidR="007A5789" w:rsidRDefault="004B4679" w:rsidP="00134184">
      <w:pPr>
        <w:pStyle w:val="Style3"/>
        <w:numPr>
          <w:ilvl w:val="0"/>
          <w:numId w:val="27"/>
        </w:numPr>
        <w:tabs>
          <w:tab w:val="left" w:pos="770"/>
        </w:tabs>
        <w:overflowPunct w:val="0"/>
        <w:spacing w:afterLines="50" w:line="340" w:lineRule="atLeast"/>
        <w:ind w:left="0" w:firstLine="0"/>
        <w:rPr>
          <w:sz w:val="21"/>
          <w:szCs w:val="22"/>
        </w:rPr>
      </w:pPr>
      <w:r w:rsidRPr="007A5789">
        <w:rPr>
          <w:sz w:val="21"/>
        </w:rPr>
        <w:t>本组织的非外汇交易应收账款几乎全部来自代表主权政府的成员国，因此与信用相关的风险较小。对于预计在短期内得不到支付的应收账款，已根据应收账款的资产价值设立了</w:t>
      </w:r>
      <w:proofErr w:type="gramStart"/>
      <w:r w:rsidRPr="007A5789">
        <w:rPr>
          <w:sz w:val="21"/>
        </w:rPr>
        <w:t>一项备抵金</w:t>
      </w:r>
      <w:proofErr w:type="gramEnd"/>
      <w:r w:rsidRPr="007A5789">
        <w:rPr>
          <w:sz w:val="21"/>
        </w:rPr>
        <w:t>。</w:t>
      </w:r>
    </w:p>
    <w:p w:rsidR="007A5789" w:rsidRDefault="004B4679" w:rsidP="00134184">
      <w:pPr>
        <w:pStyle w:val="Style3"/>
        <w:numPr>
          <w:ilvl w:val="0"/>
          <w:numId w:val="27"/>
        </w:numPr>
        <w:tabs>
          <w:tab w:val="left" w:pos="770"/>
        </w:tabs>
        <w:overflowPunct w:val="0"/>
        <w:spacing w:afterLines="50" w:line="340" w:lineRule="atLeast"/>
        <w:ind w:left="0" w:firstLine="0"/>
        <w:rPr>
          <w:sz w:val="21"/>
          <w:szCs w:val="22"/>
        </w:rPr>
      </w:pPr>
      <w:r w:rsidRPr="007A5789">
        <w:rPr>
          <w:sz w:val="21"/>
        </w:rPr>
        <w:t>根据本组织的投资政策，现金及现金等价物只能存放在短期信用评级至少为A-2/P-2或长期信用评级至少为A-/A3的机构。据此，截至2015年12月31日的现金和现金等价物的信用评级如下：</w:t>
      </w:r>
    </w:p>
    <w:p w:rsidR="007A5789" w:rsidRDefault="002161B6" w:rsidP="002161B6">
      <w:pPr>
        <w:spacing w:afterLines="50" w:after="120" w:line="340" w:lineRule="atLeast"/>
        <w:jc w:val="center"/>
        <w:rPr>
          <w:sz w:val="21"/>
        </w:rPr>
      </w:pPr>
      <w:r w:rsidRPr="00EF7E79">
        <w:rPr>
          <w:noProof/>
          <w:sz w:val="21"/>
          <w:lang w:val="en-US" w:bidi="ar-SA"/>
        </w:rPr>
        <w:drawing>
          <wp:inline distT="0" distB="0" distL="0" distR="0" wp14:anchorId="3993C214" wp14:editId="74895846">
            <wp:extent cx="5940425" cy="1355612"/>
            <wp:effectExtent l="0" t="0" r="3175" b="0"/>
            <wp:docPr id="360" name="图片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940425" cy="1355612"/>
                    </a:xfrm>
                    <a:prstGeom prst="rect">
                      <a:avLst/>
                    </a:prstGeom>
                    <a:noFill/>
                    <a:ln>
                      <a:noFill/>
                    </a:ln>
                  </pic:spPr>
                </pic:pic>
              </a:graphicData>
            </a:graphic>
          </wp:inline>
        </w:drawing>
      </w:r>
    </w:p>
    <w:p w:rsidR="007A5789" w:rsidRDefault="004B4679" w:rsidP="00134184">
      <w:pPr>
        <w:pStyle w:val="Style3"/>
        <w:numPr>
          <w:ilvl w:val="0"/>
          <w:numId w:val="27"/>
        </w:numPr>
        <w:tabs>
          <w:tab w:val="left" w:pos="770"/>
        </w:tabs>
        <w:overflowPunct w:val="0"/>
        <w:spacing w:afterLines="50" w:line="340" w:lineRule="atLeast"/>
        <w:ind w:left="0" w:firstLine="0"/>
        <w:rPr>
          <w:sz w:val="21"/>
        </w:rPr>
      </w:pPr>
      <w:r w:rsidRPr="007A5789">
        <w:rPr>
          <w:sz w:val="21"/>
        </w:rPr>
        <w:t>根据投资政策，货币市场投资、债券、票据或其他债务以及其他固定收益产品只能存放在短期信用评级至少为A-2/P-2或长期信用评级至少为A-/A3的机构。唯一的例外是企业发行</w:t>
      </w:r>
      <w:r w:rsidR="00B6014B">
        <w:rPr>
          <w:sz w:val="21"/>
        </w:rPr>
        <w:t>（</w:t>
      </w:r>
      <w:r w:rsidRPr="007A5789">
        <w:rPr>
          <w:sz w:val="21"/>
        </w:rPr>
        <w:t>公司债券及商业票据</w:t>
      </w:r>
      <w:r w:rsidR="00B6014B">
        <w:rPr>
          <w:sz w:val="21"/>
        </w:rPr>
        <w:t>）</w:t>
      </w:r>
      <w:r w:rsidRPr="007A5789">
        <w:rPr>
          <w:sz w:val="21"/>
        </w:rPr>
        <w:t>，</w:t>
      </w:r>
      <w:r w:rsidRPr="007A5789">
        <w:rPr>
          <w:rFonts w:hint="eastAsia"/>
          <w:sz w:val="21"/>
        </w:rPr>
        <w:t>其</w:t>
      </w:r>
      <w:r w:rsidRPr="007A5789">
        <w:rPr>
          <w:sz w:val="21"/>
        </w:rPr>
        <w:t>短期评级</w:t>
      </w:r>
      <w:r w:rsidRPr="007A5789">
        <w:rPr>
          <w:rFonts w:hint="eastAsia"/>
          <w:sz w:val="21"/>
        </w:rPr>
        <w:t>可以是</w:t>
      </w:r>
      <w:r w:rsidRPr="007A5789">
        <w:rPr>
          <w:sz w:val="21"/>
        </w:rPr>
        <w:t>A-3/P-3或长期评级为BBB-/Baa3。</w:t>
      </w:r>
    </w:p>
    <w:p w:rsidR="007A5789" w:rsidRPr="001E1DEA" w:rsidRDefault="004B4679" w:rsidP="001E1DEA">
      <w:pPr>
        <w:pStyle w:val="Style3Bold"/>
        <w:keepNext/>
        <w:spacing w:beforeLines="100" w:before="240" w:afterLines="50" w:line="340" w:lineRule="atLeast"/>
        <w:rPr>
          <w:sz w:val="21"/>
        </w:rPr>
      </w:pPr>
      <w:r w:rsidRPr="007A5789">
        <w:rPr>
          <w:sz w:val="21"/>
        </w:rPr>
        <w:t>流动性风险</w:t>
      </w:r>
    </w:p>
    <w:p w:rsidR="007A5789" w:rsidRDefault="004B4679" w:rsidP="00134184">
      <w:pPr>
        <w:pStyle w:val="Style3"/>
        <w:numPr>
          <w:ilvl w:val="0"/>
          <w:numId w:val="27"/>
        </w:numPr>
        <w:tabs>
          <w:tab w:val="left" w:pos="770"/>
        </w:tabs>
        <w:overflowPunct w:val="0"/>
        <w:spacing w:afterLines="50" w:line="340" w:lineRule="atLeast"/>
        <w:ind w:left="0" w:firstLine="0"/>
        <w:rPr>
          <w:sz w:val="21"/>
          <w:szCs w:val="22"/>
        </w:rPr>
      </w:pPr>
      <w:r w:rsidRPr="007A5789">
        <w:rPr>
          <w:sz w:val="21"/>
        </w:rPr>
        <w:t>流动性风险指本组织无法在债务到期时偿还债务的风险。</w:t>
      </w:r>
    </w:p>
    <w:p w:rsidR="007A5789" w:rsidRDefault="004B4679" w:rsidP="00134184">
      <w:pPr>
        <w:pStyle w:val="Style3"/>
        <w:numPr>
          <w:ilvl w:val="0"/>
          <w:numId w:val="27"/>
        </w:numPr>
        <w:tabs>
          <w:tab w:val="left" w:pos="770"/>
        </w:tabs>
        <w:overflowPunct w:val="0"/>
        <w:spacing w:afterLines="50" w:line="340" w:lineRule="atLeast"/>
        <w:ind w:left="0" w:firstLine="0"/>
        <w:rPr>
          <w:sz w:val="21"/>
        </w:rPr>
      </w:pPr>
      <w:r w:rsidRPr="007A5789">
        <w:rPr>
          <w:sz w:val="21"/>
        </w:rPr>
        <w:t>本组织的流动性风险敞口较小，因为从经营业绩中补充的非受限现金资源丰富。本组织的投资政策要求，经营及核心现金的投资方式要确保满足本组织现金</w:t>
      </w:r>
      <w:proofErr w:type="gramStart"/>
      <w:r w:rsidRPr="007A5789">
        <w:rPr>
          <w:sz w:val="21"/>
        </w:rPr>
        <w:t>流要求</w:t>
      </w:r>
      <w:proofErr w:type="gramEnd"/>
      <w:r w:rsidRPr="007A5789">
        <w:rPr>
          <w:sz w:val="21"/>
        </w:rPr>
        <w:t>所需的流动性。短期内</w:t>
      </w:r>
      <w:r w:rsidR="00B6014B">
        <w:rPr>
          <w:sz w:val="21"/>
        </w:rPr>
        <w:t>（</w:t>
      </w:r>
      <w:r w:rsidRPr="007A5789">
        <w:rPr>
          <w:sz w:val="21"/>
        </w:rPr>
        <w:t>距离到期不超过12个月</w:t>
      </w:r>
      <w:r w:rsidR="00B6014B">
        <w:rPr>
          <w:sz w:val="21"/>
        </w:rPr>
        <w:t>）</w:t>
      </w:r>
      <w:r w:rsidRPr="007A5789">
        <w:rPr>
          <w:sz w:val="21"/>
        </w:rPr>
        <w:t>，经营现金余额投资于可低成本或无成本方便清算的低风险资产类别。中期内</w:t>
      </w:r>
      <w:r w:rsidR="00B6014B">
        <w:rPr>
          <w:sz w:val="21"/>
        </w:rPr>
        <w:t>（</w:t>
      </w:r>
      <w:r w:rsidRPr="007A5789">
        <w:rPr>
          <w:sz w:val="21"/>
        </w:rPr>
        <w:t>超过12个月</w:t>
      </w:r>
      <w:r w:rsidR="00B6014B">
        <w:rPr>
          <w:sz w:val="21"/>
        </w:rPr>
        <w:t>）</w:t>
      </w:r>
      <w:r w:rsidRPr="007A5789">
        <w:rPr>
          <w:sz w:val="21"/>
        </w:rPr>
        <w:t>，核心现金将以可偶尔动用部分现金的方式投资，从而便于计划中的大额付款。战略现金进行长期投资，目前没有短期或中期流动性要求。</w:t>
      </w:r>
    </w:p>
    <w:p w:rsidR="007A5789" w:rsidRDefault="004B4679" w:rsidP="00134184">
      <w:pPr>
        <w:pStyle w:val="Style3"/>
        <w:numPr>
          <w:ilvl w:val="0"/>
          <w:numId w:val="27"/>
        </w:numPr>
        <w:tabs>
          <w:tab w:val="left" w:pos="770"/>
        </w:tabs>
        <w:overflowPunct w:val="0"/>
        <w:spacing w:afterLines="50" w:line="340" w:lineRule="atLeast"/>
        <w:ind w:left="0" w:firstLine="0"/>
        <w:rPr>
          <w:sz w:val="21"/>
          <w:szCs w:val="22"/>
        </w:rPr>
      </w:pPr>
      <w:r w:rsidRPr="007A5789">
        <w:rPr>
          <w:sz w:val="21"/>
        </w:rPr>
        <w:t>下表为WIPO借款到期分析。截至2015年12月31日的BCG/BCV新楼贷款到期分析包括每年还款390</w:t>
      </w:r>
      <w:proofErr w:type="gramStart"/>
      <w:r w:rsidRPr="007A5789">
        <w:rPr>
          <w:sz w:val="21"/>
        </w:rPr>
        <w:t>万瑞</w:t>
      </w:r>
      <w:proofErr w:type="gramEnd"/>
      <w:r w:rsidRPr="007A5789">
        <w:rPr>
          <w:sz w:val="21"/>
        </w:rPr>
        <w:t>郎</w:t>
      </w:r>
      <w:r w:rsidR="00B6014B">
        <w:rPr>
          <w:sz w:val="21"/>
        </w:rPr>
        <w:t>（</w:t>
      </w:r>
      <w:r w:rsidRPr="007A5789">
        <w:rPr>
          <w:sz w:val="21"/>
        </w:rPr>
        <w:t>占贷款总价值的3.0%</w:t>
      </w:r>
      <w:r w:rsidR="00B6014B">
        <w:rPr>
          <w:sz w:val="21"/>
        </w:rPr>
        <w:t>）</w:t>
      </w:r>
      <w:r w:rsidRPr="007A5789">
        <w:rPr>
          <w:sz w:val="21"/>
        </w:rPr>
        <w:t>以及2016年1月按期一次性还款1,600</w:t>
      </w:r>
      <w:proofErr w:type="gramStart"/>
      <w:r w:rsidRPr="007A5789">
        <w:rPr>
          <w:sz w:val="21"/>
        </w:rPr>
        <w:t>万瑞</w:t>
      </w:r>
      <w:proofErr w:type="gramEnd"/>
      <w:r w:rsidRPr="007A5789">
        <w:rPr>
          <w:sz w:val="21"/>
        </w:rPr>
        <w:t>郎</w:t>
      </w:r>
      <w:r w:rsidR="002161B6">
        <w:rPr>
          <w:rFonts w:hint="eastAsia"/>
          <w:sz w:val="21"/>
        </w:rPr>
        <w:t>：</w:t>
      </w:r>
    </w:p>
    <w:p w:rsidR="004B4679" w:rsidRDefault="002161B6" w:rsidP="002161B6">
      <w:pPr>
        <w:spacing w:afterLines="50" w:after="120" w:line="340" w:lineRule="atLeast"/>
        <w:jc w:val="center"/>
        <w:rPr>
          <w:sz w:val="21"/>
        </w:rPr>
      </w:pPr>
      <w:r w:rsidRPr="00EF7E79">
        <w:rPr>
          <w:noProof/>
          <w:sz w:val="21"/>
          <w:lang w:val="en-US" w:bidi="ar-SA"/>
        </w:rPr>
        <w:lastRenderedPageBreak/>
        <w:drawing>
          <wp:inline distT="0" distB="0" distL="0" distR="0" wp14:anchorId="7921469A" wp14:editId="0C9E70FE">
            <wp:extent cx="5940425" cy="977450"/>
            <wp:effectExtent l="0" t="0" r="3175" b="0"/>
            <wp:docPr id="361" name="图片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940425" cy="977450"/>
                    </a:xfrm>
                    <a:prstGeom prst="rect">
                      <a:avLst/>
                    </a:prstGeom>
                    <a:noFill/>
                    <a:ln>
                      <a:noFill/>
                    </a:ln>
                  </pic:spPr>
                </pic:pic>
              </a:graphicData>
            </a:graphic>
          </wp:inline>
        </w:drawing>
      </w:r>
    </w:p>
    <w:p w:rsidR="002161B6" w:rsidRPr="007A5789" w:rsidRDefault="002161B6" w:rsidP="002161B6">
      <w:pPr>
        <w:spacing w:afterLines="50" w:after="120" w:line="340" w:lineRule="atLeast"/>
        <w:jc w:val="center"/>
        <w:rPr>
          <w:sz w:val="21"/>
        </w:rPr>
      </w:pPr>
      <w:r w:rsidRPr="00EF7E79">
        <w:rPr>
          <w:noProof/>
          <w:sz w:val="21"/>
          <w:lang w:val="en-US" w:bidi="ar-SA"/>
        </w:rPr>
        <w:drawing>
          <wp:inline distT="0" distB="0" distL="0" distR="0" wp14:anchorId="77BC11BF" wp14:editId="0501B7EA">
            <wp:extent cx="5940425" cy="977450"/>
            <wp:effectExtent l="0" t="0" r="3175" b="0"/>
            <wp:docPr id="362" name="图片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940425" cy="977450"/>
                    </a:xfrm>
                    <a:prstGeom prst="rect">
                      <a:avLst/>
                    </a:prstGeom>
                    <a:noFill/>
                    <a:ln>
                      <a:noFill/>
                    </a:ln>
                  </pic:spPr>
                </pic:pic>
              </a:graphicData>
            </a:graphic>
          </wp:inline>
        </w:drawing>
      </w:r>
    </w:p>
    <w:p w:rsidR="007A5789" w:rsidRPr="001E1DEA" w:rsidRDefault="004B4679" w:rsidP="001E1DEA">
      <w:pPr>
        <w:pStyle w:val="Style3Bold"/>
        <w:keepNext/>
        <w:spacing w:beforeLines="100" w:before="240" w:afterLines="50" w:line="340" w:lineRule="atLeast"/>
        <w:rPr>
          <w:sz w:val="21"/>
        </w:rPr>
      </w:pPr>
      <w:r w:rsidRPr="007A5789">
        <w:rPr>
          <w:sz w:val="21"/>
        </w:rPr>
        <w:t>货币风险</w:t>
      </w:r>
    </w:p>
    <w:p w:rsidR="007A5789" w:rsidRDefault="004B4679" w:rsidP="00134184">
      <w:pPr>
        <w:pStyle w:val="Style3"/>
        <w:numPr>
          <w:ilvl w:val="0"/>
          <w:numId w:val="27"/>
        </w:numPr>
        <w:tabs>
          <w:tab w:val="left" w:pos="770"/>
        </w:tabs>
        <w:overflowPunct w:val="0"/>
        <w:spacing w:afterLines="50" w:line="340" w:lineRule="atLeast"/>
        <w:ind w:left="0" w:firstLine="0"/>
        <w:rPr>
          <w:sz w:val="21"/>
        </w:rPr>
      </w:pPr>
      <w:r w:rsidRPr="007A5789">
        <w:rPr>
          <w:sz w:val="21"/>
        </w:rPr>
        <w:t>本组织获取</w:t>
      </w:r>
      <w:proofErr w:type="gramStart"/>
      <w:r w:rsidRPr="007A5789">
        <w:rPr>
          <w:sz w:val="21"/>
        </w:rPr>
        <w:t>规</w:t>
      </w:r>
      <w:proofErr w:type="gramEnd"/>
      <w:r w:rsidRPr="007A5789">
        <w:rPr>
          <w:sz w:val="21"/>
        </w:rPr>
        <w:t>费和各币种的自愿捐款收入，并在不是其功能货币</w:t>
      </w:r>
      <w:r w:rsidR="003A2E23">
        <w:rPr>
          <w:rFonts w:hint="eastAsia"/>
          <w:sz w:val="21"/>
        </w:rPr>
        <w:t>——</w:t>
      </w:r>
      <w:r w:rsidRPr="007A5789">
        <w:rPr>
          <w:sz w:val="21"/>
        </w:rPr>
        <w:t>即瑞士法郎</w:t>
      </w:r>
      <w:r w:rsidR="003A2E23">
        <w:rPr>
          <w:rFonts w:hint="eastAsia"/>
          <w:sz w:val="21"/>
        </w:rPr>
        <w:t>——</w:t>
      </w:r>
      <w:r w:rsidRPr="007A5789">
        <w:rPr>
          <w:sz w:val="21"/>
        </w:rPr>
        <w:t>的其他货币方面产生费用。因此，面临着因外汇兑换率浮动而产生的外汇兑换风险。本组织还面临着根据《专利合作条约实施细则》向国际检索机构应付金额与国家专利局从国际专利申请</w:t>
      </w:r>
      <w:r w:rsidR="003A2E23">
        <w:rPr>
          <w:rFonts w:hint="eastAsia"/>
          <w:sz w:val="21"/>
        </w:rPr>
        <w:t>人</w:t>
      </w:r>
      <w:r w:rsidRPr="007A5789">
        <w:rPr>
          <w:sz w:val="21"/>
        </w:rPr>
        <w:t>那里收取的国际检索</w:t>
      </w:r>
      <w:proofErr w:type="gramStart"/>
      <w:r w:rsidRPr="007A5789">
        <w:rPr>
          <w:sz w:val="21"/>
        </w:rPr>
        <w:t>规</w:t>
      </w:r>
      <w:proofErr w:type="gramEnd"/>
      <w:r w:rsidRPr="007A5789">
        <w:rPr>
          <w:sz w:val="21"/>
        </w:rPr>
        <w:t>费数额之间所出现的货币差异所带来的汇率风险。</w:t>
      </w:r>
    </w:p>
    <w:p w:rsidR="007A5789" w:rsidRDefault="004B4679" w:rsidP="00134184">
      <w:pPr>
        <w:pStyle w:val="Style3"/>
        <w:numPr>
          <w:ilvl w:val="0"/>
          <w:numId w:val="27"/>
        </w:numPr>
        <w:tabs>
          <w:tab w:val="left" w:pos="770"/>
        </w:tabs>
        <w:overflowPunct w:val="0"/>
        <w:spacing w:afterLines="50" w:line="340" w:lineRule="atLeast"/>
        <w:ind w:left="0" w:firstLine="0"/>
        <w:rPr>
          <w:sz w:val="21"/>
          <w:szCs w:val="22"/>
        </w:rPr>
      </w:pPr>
      <w:r w:rsidRPr="007A5789">
        <w:rPr>
          <w:sz w:val="21"/>
        </w:rPr>
        <w:t>本组织还进一步面临着与之前加入已关闭的养恤基金而现已为联合国合办工作人员养恤基金</w:t>
      </w:r>
      <w:r w:rsidR="00B6014B">
        <w:rPr>
          <w:sz w:val="21"/>
        </w:rPr>
        <w:t>（</w:t>
      </w:r>
      <w:r w:rsidRPr="007A5789">
        <w:rPr>
          <w:sz w:val="21"/>
        </w:rPr>
        <w:t>UNJSPF</w:t>
      </w:r>
      <w:r w:rsidR="00B6014B">
        <w:rPr>
          <w:sz w:val="21"/>
        </w:rPr>
        <w:t>）</w:t>
      </w:r>
      <w:r w:rsidRPr="007A5789">
        <w:rPr>
          <w:sz w:val="21"/>
        </w:rPr>
        <w:t>成员的工作人员的养恤金费用有关的汇率风险。此外，本组织在巴西、中国、日本、俄罗斯、新加坡和美利坚合众国设有驻外办事处，保有有限的当地货币资产。截至报告日，没有要履行的对冲合约。</w:t>
      </w:r>
    </w:p>
    <w:p w:rsidR="007A5789" w:rsidRPr="001E1DEA" w:rsidRDefault="004B4679" w:rsidP="001E1DEA">
      <w:pPr>
        <w:pStyle w:val="Style3Bold"/>
        <w:keepNext/>
        <w:spacing w:beforeLines="100" w:before="240" w:afterLines="50" w:line="340" w:lineRule="atLeast"/>
        <w:rPr>
          <w:sz w:val="21"/>
        </w:rPr>
      </w:pPr>
      <w:r w:rsidRPr="007A5789">
        <w:rPr>
          <w:sz w:val="21"/>
        </w:rPr>
        <w:t>汇率敏感度分析</w:t>
      </w:r>
    </w:p>
    <w:p w:rsidR="007A5789" w:rsidRDefault="004B4679" w:rsidP="00134184">
      <w:pPr>
        <w:pStyle w:val="Style3"/>
        <w:numPr>
          <w:ilvl w:val="0"/>
          <w:numId w:val="27"/>
        </w:numPr>
        <w:tabs>
          <w:tab w:val="left" w:pos="770"/>
        </w:tabs>
        <w:overflowPunct w:val="0"/>
        <w:spacing w:afterLines="50" w:line="340" w:lineRule="atLeast"/>
        <w:ind w:left="0" w:firstLine="0"/>
        <w:rPr>
          <w:sz w:val="21"/>
          <w:szCs w:val="22"/>
        </w:rPr>
      </w:pPr>
      <w:r w:rsidRPr="007A5789">
        <w:rPr>
          <w:sz w:val="21"/>
        </w:rPr>
        <w:t>汇率敏感度分析是基于汇率的合理变动。瑞士国家银行于2015年1月15日宣布终止维持1.20瑞郎兑欧元的最低汇率政策后的几个月间，其他货币</w:t>
      </w:r>
      <w:r w:rsidRPr="007A5789">
        <w:rPr>
          <w:rFonts w:hint="eastAsia"/>
          <w:sz w:val="21"/>
        </w:rPr>
        <w:t>对</w:t>
      </w:r>
      <w:r w:rsidRPr="007A5789">
        <w:rPr>
          <w:sz w:val="21"/>
        </w:rPr>
        <w:t>瑞郎贬值，基于此，本组织采用了10.0%的汇率。该分析适用于</w:t>
      </w:r>
      <w:proofErr w:type="gramStart"/>
      <w:r w:rsidRPr="007A5789">
        <w:rPr>
          <w:sz w:val="21"/>
        </w:rPr>
        <w:t>以除瑞郎</w:t>
      </w:r>
      <w:proofErr w:type="gramEnd"/>
      <w:r w:rsidRPr="007A5789">
        <w:rPr>
          <w:sz w:val="21"/>
        </w:rPr>
        <w:t>之外的货币持有的金融资产和金融负债，对盈余的影响汇总见下表：</w:t>
      </w:r>
    </w:p>
    <w:p w:rsidR="004B4679" w:rsidRPr="007A5789" w:rsidRDefault="002161B6" w:rsidP="002161B6">
      <w:pPr>
        <w:spacing w:afterLines="50" w:after="120" w:line="340" w:lineRule="atLeast"/>
        <w:jc w:val="center"/>
        <w:rPr>
          <w:sz w:val="21"/>
        </w:rPr>
      </w:pPr>
      <w:r w:rsidRPr="00EF7E79">
        <w:rPr>
          <w:noProof/>
          <w:sz w:val="21"/>
          <w:lang w:val="en-US" w:bidi="ar-SA"/>
        </w:rPr>
        <w:drawing>
          <wp:inline distT="0" distB="0" distL="0" distR="0" wp14:anchorId="4C0B607B" wp14:editId="6B812479">
            <wp:extent cx="5940425" cy="3231705"/>
            <wp:effectExtent l="0" t="0" r="3175" b="6985"/>
            <wp:docPr id="363" name="图片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940425" cy="3231705"/>
                    </a:xfrm>
                    <a:prstGeom prst="rect">
                      <a:avLst/>
                    </a:prstGeom>
                    <a:noFill/>
                    <a:ln>
                      <a:noFill/>
                    </a:ln>
                  </pic:spPr>
                </pic:pic>
              </a:graphicData>
            </a:graphic>
          </wp:inline>
        </w:drawing>
      </w:r>
    </w:p>
    <w:p w:rsidR="007A5789" w:rsidRPr="001E1DEA" w:rsidRDefault="004B4679" w:rsidP="001E1DEA">
      <w:pPr>
        <w:pStyle w:val="Style3Bold"/>
        <w:keepNext/>
        <w:spacing w:beforeLines="100" w:before="240" w:afterLines="50" w:line="340" w:lineRule="atLeast"/>
        <w:rPr>
          <w:sz w:val="21"/>
        </w:rPr>
      </w:pPr>
      <w:r w:rsidRPr="001E1DEA">
        <w:rPr>
          <w:sz w:val="21"/>
        </w:rPr>
        <w:lastRenderedPageBreak/>
        <w:t>市场风险</w:t>
      </w:r>
    </w:p>
    <w:p w:rsidR="007A5789" w:rsidRDefault="004B4679" w:rsidP="00134184">
      <w:pPr>
        <w:pStyle w:val="Style3"/>
        <w:numPr>
          <w:ilvl w:val="0"/>
          <w:numId w:val="27"/>
        </w:numPr>
        <w:tabs>
          <w:tab w:val="left" w:pos="770"/>
        </w:tabs>
        <w:overflowPunct w:val="0"/>
        <w:spacing w:afterLines="50" w:line="340" w:lineRule="atLeast"/>
        <w:ind w:left="0" w:firstLine="0"/>
        <w:rPr>
          <w:sz w:val="21"/>
          <w:szCs w:val="22"/>
        </w:rPr>
      </w:pPr>
      <w:r w:rsidRPr="007A5789">
        <w:rPr>
          <w:sz w:val="21"/>
        </w:rPr>
        <w:t>市场风险是市场价格变化的风险，如利率，对本组织的收入或持有的金融工具的价值产生影响。本组织在有限的程度上面临利率下降的风险，因为仅仅0.21%的运营预算是由投资收入产生的收益供资。适用于BCG/BCV新楼贷款的利率在贷款提取期间保持固定不变。本组织目前不使用金融工具对</w:t>
      </w:r>
      <w:proofErr w:type="gramStart"/>
      <w:r w:rsidRPr="007A5789">
        <w:rPr>
          <w:sz w:val="21"/>
        </w:rPr>
        <w:t>冲利率</w:t>
      </w:r>
      <w:proofErr w:type="gramEnd"/>
      <w:r w:rsidRPr="007A5789">
        <w:rPr>
          <w:sz w:val="21"/>
        </w:rPr>
        <w:t>风险。截至2015年12月31日和2014年12月31日</w:t>
      </w:r>
      <w:r w:rsidR="00554072" w:rsidRPr="007A5789">
        <w:rPr>
          <w:rFonts w:hint="eastAsia"/>
          <w:sz w:val="21"/>
        </w:rPr>
        <w:t>，</w:t>
      </w:r>
      <w:r w:rsidRPr="007A5789">
        <w:rPr>
          <w:sz w:val="21"/>
        </w:rPr>
        <w:t>金融工具的利率和到期情况如下：</w:t>
      </w:r>
    </w:p>
    <w:p w:rsidR="004B4679" w:rsidRPr="007A5789" w:rsidRDefault="002161B6" w:rsidP="002161B6">
      <w:pPr>
        <w:pStyle w:val="Style3"/>
        <w:spacing w:afterLines="50" w:line="340" w:lineRule="atLeast"/>
        <w:jc w:val="center"/>
        <w:rPr>
          <w:sz w:val="21"/>
          <w:szCs w:val="22"/>
        </w:rPr>
      </w:pPr>
      <w:r w:rsidRPr="00EF7E79">
        <w:rPr>
          <w:noProof/>
          <w:sz w:val="21"/>
          <w:lang w:val="en-US" w:bidi="ar-SA"/>
        </w:rPr>
        <w:drawing>
          <wp:inline distT="0" distB="0" distL="0" distR="0" wp14:anchorId="3047F5FE" wp14:editId="53B4CB44">
            <wp:extent cx="5940425" cy="2226408"/>
            <wp:effectExtent l="0" t="0" r="3175" b="2540"/>
            <wp:docPr id="364" name="图片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940425" cy="2226408"/>
                    </a:xfrm>
                    <a:prstGeom prst="rect">
                      <a:avLst/>
                    </a:prstGeom>
                    <a:noFill/>
                    <a:ln>
                      <a:noFill/>
                    </a:ln>
                  </pic:spPr>
                </pic:pic>
              </a:graphicData>
            </a:graphic>
          </wp:inline>
        </w:drawing>
      </w:r>
    </w:p>
    <w:p w:rsidR="004B4679" w:rsidRPr="007A5789" w:rsidRDefault="002161B6" w:rsidP="002161B6">
      <w:pPr>
        <w:pStyle w:val="Style3"/>
        <w:spacing w:afterLines="50" w:line="340" w:lineRule="atLeast"/>
        <w:jc w:val="center"/>
        <w:rPr>
          <w:sz w:val="21"/>
          <w:szCs w:val="22"/>
        </w:rPr>
      </w:pPr>
      <w:r w:rsidRPr="00EF7E79">
        <w:rPr>
          <w:noProof/>
          <w:sz w:val="21"/>
          <w:lang w:val="en-US" w:bidi="ar-SA"/>
        </w:rPr>
        <w:drawing>
          <wp:inline distT="0" distB="0" distL="0" distR="0" wp14:anchorId="0932C41D" wp14:editId="7B9A54FD">
            <wp:extent cx="5940425" cy="1588951"/>
            <wp:effectExtent l="0" t="0" r="3175" b="0"/>
            <wp:docPr id="365" name="图片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940425" cy="1588951"/>
                    </a:xfrm>
                    <a:prstGeom prst="rect">
                      <a:avLst/>
                    </a:prstGeom>
                    <a:noFill/>
                    <a:ln>
                      <a:noFill/>
                    </a:ln>
                  </pic:spPr>
                </pic:pic>
              </a:graphicData>
            </a:graphic>
          </wp:inline>
        </w:drawing>
      </w:r>
    </w:p>
    <w:p w:rsidR="007A5789" w:rsidRPr="001E1DEA" w:rsidRDefault="004B4679" w:rsidP="001E1DEA">
      <w:pPr>
        <w:pStyle w:val="Style3Bold"/>
        <w:keepNext/>
        <w:spacing w:beforeLines="100" w:before="240" w:afterLines="50" w:line="340" w:lineRule="atLeast"/>
        <w:rPr>
          <w:sz w:val="21"/>
        </w:rPr>
      </w:pPr>
      <w:r w:rsidRPr="007A5789">
        <w:rPr>
          <w:sz w:val="21"/>
        </w:rPr>
        <w:t>利率敏感度分析</w:t>
      </w:r>
    </w:p>
    <w:p w:rsidR="007A5789" w:rsidRDefault="004B4679" w:rsidP="00134184">
      <w:pPr>
        <w:pStyle w:val="Style3"/>
        <w:keepNext/>
        <w:numPr>
          <w:ilvl w:val="0"/>
          <w:numId w:val="27"/>
        </w:numPr>
        <w:tabs>
          <w:tab w:val="left" w:pos="770"/>
        </w:tabs>
        <w:overflowPunct w:val="0"/>
        <w:spacing w:afterLines="50" w:line="340" w:lineRule="atLeast"/>
        <w:ind w:left="0" w:firstLine="0"/>
        <w:rPr>
          <w:sz w:val="21"/>
          <w:szCs w:val="22"/>
        </w:rPr>
      </w:pPr>
      <w:r w:rsidRPr="007A5789">
        <w:rPr>
          <w:sz w:val="21"/>
        </w:rPr>
        <w:t>如果本年度平均利率比现实水平高或低50个基点</w:t>
      </w:r>
      <w:r w:rsidR="00CB02C3" w:rsidRPr="007A5789">
        <w:rPr>
          <w:rFonts w:hint="eastAsia"/>
          <w:sz w:val="21"/>
        </w:rPr>
        <w:t>，</w:t>
      </w:r>
      <w:r w:rsidRPr="007A5789">
        <w:rPr>
          <w:sz w:val="21"/>
        </w:rPr>
        <w:t>则利息收入或利息支出将受到如下影响</w:t>
      </w:r>
      <w:r w:rsidR="00CB02C3" w:rsidRPr="007A5789">
        <w:rPr>
          <w:rFonts w:hint="eastAsia"/>
          <w:sz w:val="21"/>
        </w:rPr>
        <w:t>：</w:t>
      </w:r>
    </w:p>
    <w:p w:rsidR="004B4679" w:rsidRPr="007A5789" w:rsidRDefault="002161B6" w:rsidP="002161B6">
      <w:pPr>
        <w:spacing w:afterLines="50" w:after="120" w:line="340" w:lineRule="atLeast"/>
        <w:jc w:val="center"/>
        <w:rPr>
          <w:sz w:val="21"/>
        </w:rPr>
      </w:pPr>
      <w:r w:rsidRPr="00EF7E79">
        <w:rPr>
          <w:noProof/>
          <w:sz w:val="21"/>
          <w:lang w:val="en-US" w:bidi="ar-SA"/>
        </w:rPr>
        <w:drawing>
          <wp:inline distT="0" distB="0" distL="0" distR="0" wp14:anchorId="3173D79E" wp14:editId="44238C6F">
            <wp:extent cx="5883275" cy="2907030"/>
            <wp:effectExtent l="0" t="0" r="3175" b="7620"/>
            <wp:docPr id="366" name="图片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883275" cy="2907030"/>
                    </a:xfrm>
                    <a:prstGeom prst="rect">
                      <a:avLst/>
                    </a:prstGeom>
                    <a:noFill/>
                    <a:ln>
                      <a:noFill/>
                    </a:ln>
                  </pic:spPr>
                </pic:pic>
              </a:graphicData>
            </a:graphic>
          </wp:inline>
        </w:drawing>
      </w:r>
    </w:p>
    <w:p w:rsidR="007A5789" w:rsidRPr="007C2134" w:rsidRDefault="004B4679" w:rsidP="007C2134">
      <w:pPr>
        <w:pStyle w:val="3"/>
        <w:overflowPunct w:val="0"/>
        <w:spacing w:beforeLines="100" w:afterLines="50" w:after="120" w:line="340" w:lineRule="atLeast"/>
        <w:rPr>
          <w:rFonts w:ascii="SimHei" w:eastAsia="SimHei" w:hAnsi="SimHei"/>
          <w:b w:val="0"/>
          <w:sz w:val="21"/>
        </w:rPr>
      </w:pPr>
      <w:bookmarkStart w:id="122" w:name="_Toc441218514"/>
      <w:bookmarkStart w:id="123" w:name="_Toc455733245"/>
      <w:bookmarkStart w:id="124" w:name="_Toc456711756"/>
      <w:r w:rsidRPr="007C2134">
        <w:rPr>
          <w:rFonts w:ascii="SimHei" w:eastAsia="SimHei" w:hAnsi="SimHei"/>
          <w:b w:val="0"/>
          <w:sz w:val="21"/>
        </w:rPr>
        <w:lastRenderedPageBreak/>
        <w:t>附注26：汇兑损益</w:t>
      </w:r>
      <w:bookmarkEnd w:id="122"/>
      <w:bookmarkEnd w:id="123"/>
      <w:bookmarkEnd w:id="124"/>
    </w:p>
    <w:p w:rsidR="004B4679" w:rsidRPr="007A5789" w:rsidRDefault="002161B6" w:rsidP="002161B6">
      <w:pPr>
        <w:spacing w:afterLines="50" w:after="120" w:line="340" w:lineRule="atLeast"/>
        <w:jc w:val="center"/>
        <w:rPr>
          <w:sz w:val="21"/>
        </w:rPr>
      </w:pPr>
      <w:r w:rsidRPr="00EF7E79">
        <w:rPr>
          <w:noProof/>
          <w:sz w:val="21"/>
          <w:lang w:val="en-US" w:bidi="ar-SA"/>
        </w:rPr>
        <w:drawing>
          <wp:inline distT="0" distB="0" distL="0" distR="0" wp14:anchorId="070E9997" wp14:editId="5626E3C9">
            <wp:extent cx="5940425" cy="4488859"/>
            <wp:effectExtent l="0" t="0" r="3175" b="6985"/>
            <wp:docPr id="367" name="图片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940425" cy="4488859"/>
                    </a:xfrm>
                    <a:prstGeom prst="rect">
                      <a:avLst/>
                    </a:prstGeom>
                    <a:noFill/>
                    <a:ln>
                      <a:noFill/>
                    </a:ln>
                  </pic:spPr>
                </pic:pic>
              </a:graphicData>
            </a:graphic>
          </wp:inline>
        </w:drawing>
      </w:r>
    </w:p>
    <w:p w:rsidR="007A5789" w:rsidRDefault="004B4679" w:rsidP="00D91203">
      <w:pPr>
        <w:pStyle w:val="Styletexte"/>
        <w:tabs>
          <w:tab w:val="left" w:pos="770"/>
        </w:tabs>
        <w:overflowPunct w:val="0"/>
        <w:spacing w:afterLines="50" w:line="340" w:lineRule="atLeast"/>
        <w:rPr>
          <w:sz w:val="21"/>
        </w:rPr>
      </w:pPr>
      <w:r w:rsidRPr="007A5789">
        <w:rPr>
          <w:sz w:val="21"/>
        </w:rPr>
        <w:t>26.1.</w:t>
      </w:r>
      <w:r w:rsidR="00624A89" w:rsidRPr="007A5789">
        <w:rPr>
          <w:sz w:val="21"/>
        </w:rPr>
        <w:tab/>
      </w:r>
      <w:r w:rsidRPr="007A5789">
        <w:rPr>
          <w:sz w:val="21"/>
        </w:rPr>
        <w:t>根据交易日有效的汇率，本组织在应付账款和应收账款上实现以瑞郎以外的货币进行交易时产生的汇兑损益。在本组织以瑞郎以外的货币收到根据《专利合作条约》提交的国际申请费和处理费时，以及在根据《专利合作条约》对国际检索单位</w:t>
      </w:r>
      <w:r w:rsidR="00B6014B">
        <w:rPr>
          <w:sz w:val="21"/>
        </w:rPr>
        <w:t>（</w:t>
      </w:r>
      <w:r w:rsidRPr="007A5789">
        <w:rPr>
          <w:sz w:val="21"/>
        </w:rPr>
        <w:t>ISA</w:t>
      </w:r>
      <w:r w:rsidR="00B6014B">
        <w:rPr>
          <w:sz w:val="21"/>
        </w:rPr>
        <w:t>）</w:t>
      </w:r>
      <w:r w:rsidRPr="007A5789">
        <w:rPr>
          <w:sz w:val="21"/>
        </w:rPr>
        <w:t>做出支付</w:t>
      </w:r>
      <w:r w:rsidR="00B6014B">
        <w:rPr>
          <w:sz w:val="21"/>
        </w:rPr>
        <w:t>（</w:t>
      </w:r>
      <w:r w:rsidRPr="007A5789">
        <w:rPr>
          <w:sz w:val="21"/>
        </w:rPr>
        <w:t>此种支付以国际检索单位的货币估价，但是由WIPO以瑞郎或国家</w:t>
      </w:r>
      <w:proofErr w:type="gramStart"/>
      <w:r w:rsidRPr="007A5789">
        <w:rPr>
          <w:sz w:val="21"/>
        </w:rPr>
        <w:t>接收局</w:t>
      </w:r>
      <w:proofErr w:type="gramEnd"/>
      <w:r w:rsidRPr="007A5789">
        <w:rPr>
          <w:sz w:val="21"/>
        </w:rPr>
        <w:t>以当地货币收取</w:t>
      </w:r>
      <w:r w:rsidR="00B6014B">
        <w:rPr>
          <w:sz w:val="21"/>
        </w:rPr>
        <w:t>）</w:t>
      </w:r>
      <w:r w:rsidRPr="007A5789">
        <w:rPr>
          <w:sz w:val="21"/>
        </w:rPr>
        <w:t>时，产生汇兑损益。此外，涉及以报告日有效的瑞郎汇率重新估价的银行账目和其他货币性资产和负债的未实现汇兑损益，也在财务报表中得到确认。在财务执行情况表中，2015年380</w:t>
      </w:r>
      <w:proofErr w:type="gramStart"/>
      <w:r w:rsidRPr="007A5789">
        <w:rPr>
          <w:sz w:val="21"/>
        </w:rPr>
        <w:t>万瑞</w:t>
      </w:r>
      <w:proofErr w:type="gramEnd"/>
      <w:r w:rsidRPr="007A5789">
        <w:rPr>
          <w:sz w:val="21"/>
        </w:rPr>
        <w:t>郎</w:t>
      </w:r>
      <w:r w:rsidR="00B6014B">
        <w:rPr>
          <w:sz w:val="21"/>
        </w:rPr>
        <w:t>（</w:t>
      </w:r>
      <w:r w:rsidRPr="007A5789">
        <w:rPr>
          <w:sz w:val="21"/>
        </w:rPr>
        <w:t>2014年为90</w:t>
      </w:r>
      <w:proofErr w:type="gramStart"/>
      <w:r w:rsidRPr="007A5789">
        <w:rPr>
          <w:sz w:val="21"/>
        </w:rPr>
        <w:t>万瑞</w:t>
      </w:r>
      <w:proofErr w:type="gramEnd"/>
      <w:r w:rsidRPr="007A5789">
        <w:rPr>
          <w:sz w:val="21"/>
        </w:rPr>
        <w:t>郎</w:t>
      </w:r>
      <w:r w:rsidR="00B6014B">
        <w:rPr>
          <w:sz w:val="21"/>
        </w:rPr>
        <w:t>）</w:t>
      </w:r>
      <w:r w:rsidRPr="007A5789">
        <w:rPr>
          <w:sz w:val="21"/>
        </w:rPr>
        <w:t>的全部汇兑损益影响净额计为收入的一部分，主要计入PCT体系</w:t>
      </w:r>
      <w:proofErr w:type="gramStart"/>
      <w:r w:rsidRPr="007A5789">
        <w:rPr>
          <w:sz w:val="21"/>
        </w:rPr>
        <w:t>规</w:t>
      </w:r>
      <w:proofErr w:type="gramEnd"/>
      <w:r w:rsidRPr="007A5789">
        <w:rPr>
          <w:sz w:val="21"/>
        </w:rPr>
        <w:t>费。</w:t>
      </w:r>
    </w:p>
    <w:p w:rsidR="007A5789" w:rsidRPr="007C2134" w:rsidRDefault="004B4679" w:rsidP="007C2134">
      <w:pPr>
        <w:pStyle w:val="3"/>
        <w:overflowPunct w:val="0"/>
        <w:spacing w:beforeLines="100" w:afterLines="50" w:after="120" w:line="340" w:lineRule="atLeast"/>
        <w:rPr>
          <w:rFonts w:ascii="SimHei" w:eastAsia="SimHei" w:hAnsi="SimHei"/>
          <w:b w:val="0"/>
          <w:sz w:val="21"/>
        </w:rPr>
      </w:pPr>
      <w:bookmarkStart w:id="125" w:name="_Toc441218515"/>
      <w:bookmarkStart w:id="126" w:name="_Toc455733246"/>
      <w:bookmarkStart w:id="127" w:name="_Toc456711757"/>
      <w:r w:rsidRPr="007C2134">
        <w:rPr>
          <w:rFonts w:ascii="SimHei" w:eastAsia="SimHei" w:hAnsi="SimHei"/>
          <w:b w:val="0"/>
          <w:sz w:val="21"/>
        </w:rPr>
        <w:t>附注27：报告日之后的活动</w:t>
      </w:r>
      <w:bookmarkEnd w:id="125"/>
      <w:bookmarkEnd w:id="126"/>
      <w:bookmarkEnd w:id="127"/>
    </w:p>
    <w:p w:rsidR="007A5789" w:rsidRDefault="004B4679" w:rsidP="00D91203">
      <w:pPr>
        <w:tabs>
          <w:tab w:val="left" w:pos="770"/>
        </w:tabs>
        <w:overflowPunct w:val="0"/>
        <w:spacing w:afterLines="50" w:after="120" w:line="340" w:lineRule="atLeast"/>
        <w:rPr>
          <w:sz w:val="21"/>
        </w:rPr>
      </w:pPr>
      <w:r w:rsidRPr="007A5789">
        <w:rPr>
          <w:sz w:val="21"/>
        </w:rPr>
        <w:t>27.1.</w:t>
      </w:r>
      <w:r w:rsidR="00624A89" w:rsidRPr="007A5789">
        <w:rPr>
          <w:sz w:val="21"/>
        </w:rPr>
        <w:tab/>
      </w:r>
      <w:r w:rsidRPr="007A5789">
        <w:rPr>
          <w:sz w:val="21"/>
        </w:rPr>
        <w:t>WIPO的报告日是2015年12月31日，其财务报表是2016年4月28日授权发布。在报告日与财务报表授权发布日之间没有发生对财务报表造成影响的任何有利或不利的重大活动。</w:t>
      </w:r>
    </w:p>
    <w:p w:rsidR="007A5789" w:rsidRPr="007C2134" w:rsidRDefault="004B4679" w:rsidP="007C2134">
      <w:pPr>
        <w:pStyle w:val="3"/>
        <w:overflowPunct w:val="0"/>
        <w:spacing w:beforeLines="100" w:afterLines="50" w:after="120" w:line="340" w:lineRule="atLeast"/>
        <w:rPr>
          <w:rFonts w:ascii="SimHei" w:eastAsia="SimHei" w:hAnsi="SimHei"/>
          <w:b w:val="0"/>
          <w:sz w:val="21"/>
        </w:rPr>
      </w:pPr>
      <w:bookmarkStart w:id="128" w:name="_Toc441218516"/>
      <w:bookmarkStart w:id="129" w:name="_Toc455733247"/>
      <w:bookmarkStart w:id="130" w:name="_Toc456711758"/>
      <w:r w:rsidRPr="007C2134">
        <w:rPr>
          <w:rFonts w:ascii="SimHei" w:eastAsia="SimHei" w:hAnsi="SimHei"/>
          <w:b w:val="0"/>
          <w:sz w:val="21"/>
        </w:rPr>
        <w:t>附注28：分部报告</w:t>
      </w:r>
      <w:bookmarkEnd w:id="128"/>
      <w:bookmarkEnd w:id="129"/>
      <w:bookmarkEnd w:id="130"/>
    </w:p>
    <w:p w:rsidR="007A5789" w:rsidRDefault="004B4679" w:rsidP="00134184">
      <w:pPr>
        <w:pStyle w:val="Styletexte"/>
        <w:numPr>
          <w:ilvl w:val="0"/>
          <w:numId w:val="28"/>
        </w:numPr>
        <w:tabs>
          <w:tab w:val="left" w:pos="770"/>
        </w:tabs>
        <w:overflowPunct w:val="0"/>
        <w:spacing w:afterLines="50" w:line="340" w:lineRule="atLeast"/>
        <w:ind w:left="0" w:firstLine="0"/>
        <w:rPr>
          <w:sz w:val="21"/>
        </w:rPr>
      </w:pPr>
      <w:r w:rsidRPr="007A5789">
        <w:rPr>
          <w:sz w:val="21"/>
        </w:rPr>
        <w:t>分部报告以代表WIPO各部分的各联盟的形式呈报。联盟由WIPO管辖的各种条约创立。</w:t>
      </w:r>
    </w:p>
    <w:p w:rsidR="007A5789" w:rsidRDefault="004B4679" w:rsidP="00134184">
      <w:pPr>
        <w:pStyle w:val="Styletexte"/>
        <w:numPr>
          <w:ilvl w:val="0"/>
          <w:numId w:val="28"/>
        </w:numPr>
        <w:tabs>
          <w:tab w:val="left" w:pos="770"/>
        </w:tabs>
        <w:overflowPunct w:val="0"/>
        <w:spacing w:afterLines="50" w:line="340" w:lineRule="atLeast"/>
        <w:ind w:left="0" w:firstLine="0"/>
        <w:rPr>
          <w:sz w:val="21"/>
        </w:rPr>
      </w:pPr>
      <w:r w:rsidRPr="007A5789">
        <w:rPr>
          <w:sz w:val="21"/>
        </w:rPr>
        <w:t>为呈报目的，合并了WIPO的各个会费供资联盟。这些联盟包括巴黎、伯尔尼、</w:t>
      </w:r>
      <w:proofErr w:type="gramStart"/>
      <w:r w:rsidRPr="007A5789">
        <w:rPr>
          <w:sz w:val="21"/>
        </w:rPr>
        <w:t>洛迦</w:t>
      </w:r>
      <w:proofErr w:type="gramEnd"/>
      <w:r w:rsidRPr="007A5789">
        <w:rPr>
          <w:sz w:val="21"/>
        </w:rPr>
        <w:t>诺、尼斯、</w:t>
      </w:r>
      <w:r w:rsidR="00177F34">
        <w:rPr>
          <w:rFonts w:hint="eastAsia"/>
          <w:sz w:val="21"/>
        </w:rPr>
        <w:t>维也纳</w:t>
      </w:r>
      <w:r w:rsidRPr="007A5789">
        <w:rPr>
          <w:sz w:val="21"/>
        </w:rPr>
        <w:t>和IPC联盟以及由</w:t>
      </w:r>
      <w:r w:rsidR="00B16462" w:rsidRPr="007A5789">
        <w:rPr>
          <w:rFonts w:hint="eastAsia"/>
          <w:sz w:val="21"/>
        </w:rPr>
        <w:t>《</w:t>
      </w:r>
      <w:r w:rsidRPr="007A5789">
        <w:rPr>
          <w:sz w:val="21"/>
        </w:rPr>
        <w:t>WIPO公约</w:t>
      </w:r>
      <w:r w:rsidR="00B16462" w:rsidRPr="007A5789">
        <w:rPr>
          <w:rFonts w:hint="eastAsia"/>
          <w:sz w:val="21"/>
        </w:rPr>
        <w:t>》</w:t>
      </w:r>
      <w:r w:rsidRPr="007A5789">
        <w:rPr>
          <w:sz w:val="21"/>
        </w:rPr>
        <w:t>规定的职能。《专利合作条约》联盟、马德里联盟、海牙联盟和里斯本联盟均由大会管理，大会一年召开一次，旨在通过预算，并根据有关条约采取此类其他恰当行动。</w:t>
      </w:r>
    </w:p>
    <w:p w:rsidR="007A5789" w:rsidRDefault="004B4679" w:rsidP="00134184">
      <w:pPr>
        <w:pStyle w:val="Styletexte"/>
        <w:numPr>
          <w:ilvl w:val="0"/>
          <w:numId w:val="28"/>
        </w:numPr>
        <w:tabs>
          <w:tab w:val="left" w:pos="770"/>
        </w:tabs>
        <w:overflowPunct w:val="0"/>
        <w:spacing w:afterLines="50" w:line="340" w:lineRule="atLeast"/>
        <w:ind w:left="0" w:firstLine="0"/>
        <w:rPr>
          <w:sz w:val="21"/>
        </w:rPr>
      </w:pPr>
      <w:r w:rsidRPr="007A5789">
        <w:rPr>
          <w:sz w:val="21"/>
        </w:rPr>
        <w:lastRenderedPageBreak/>
        <w:t>除作为净资产的储备金以外，WIPO资产与负债归整个组织所有，由整个组织负责，而不是单一联盟或部门的资产或负债。资产与负债一般支持为多个联盟</w:t>
      </w:r>
      <w:r w:rsidR="00B6014B">
        <w:rPr>
          <w:sz w:val="21"/>
        </w:rPr>
        <w:t>（</w:t>
      </w:r>
      <w:r w:rsidRPr="007A5789">
        <w:rPr>
          <w:sz w:val="21"/>
        </w:rPr>
        <w:t>部门</w:t>
      </w:r>
      <w:r w:rsidR="00B6014B">
        <w:rPr>
          <w:sz w:val="21"/>
        </w:rPr>
        <w:t>）</w:t>
      </w:r>
      <w:r w:rsidRPr="007A5789">
        <w:rPr>
          <w:sz w:val="21"/>
        </w:rPr>
        <w:t>提供的种类繁多的服务活动。唯一的例外是在Meyrin的房地产投资归马德里联盟所有。因此，单项资产与负债不会反映在单一部门或联盟的信息披露中。仅有包括储备金和周转</w:t>
      </w:r>
      <w:r w:rsidRPr="007A5789">
        <w:rPr>
          <w:rFonts w:hint="eastAsia"/>
          <w:sz w:val="21"/>
        </w:rPr>
        <w:t>基金</w:t>
      </w:r>
      <w:r w:rsidRPr="007A5789">
        <w:rPr>
          <w:sz w:val="21"/>
        </w:rPr>
        <w:t>在内的净资产或储备金按单一部门显示。</w:t>
      </w:r>
    </w:p>
    <w:p w:rsidR="008B64D0" w:rsidRDefault="004B4679" w:rsidP="00134184">
      <w:pPr>
        <w:pStyle w:val="Styletexte"/>
        <w:numPr>
          <w:ilvl w:val="0"/>
          <w:numId w:val="28"/>
        </w:numPr>
        <w:tabs>
          <w:tab w:val="left" w:pos="770"/>
        </w:tabs>
        <w:overflowPunct w:val="0"/>
        <w:spacing w:afterLines="50" w:line="340" w:lineRule="atLeast"/>
        <w:ind w:left="0" w:firstLine="0"/>
        <w:rPr>
          <w:sz w:val="21"/>
        </w:rPr>
      </w:pPr>
      <w:r w:rsidRPr="007A5789">
        <w:rPr>
          <w:sz w:val="21"/>
        </w:rPr>
        <w:t>大多数收入按联盟记入WIPO的账目。利息所得收入基于2015年的总现金储备和当期收入在联盟之间分配。支出按计划结算，然后基于WIPO大会在通过WIPO的2014/15年计划和预算时所采纳的方法，被重新分配给各个联盟。</w:t>
      </w:r>
    </w:p>
    <w:p w:rsidR="008B64D0" w:rsidRDefault="004B4679" w:rsidP="00134184">
      <w:pPr>
        <w:pStyle w:val="Styletexte"/>
        <w:numPr>
          <w:ilvl w:val="0"/>
          <w:numId w:val="28"/>
        </w:numPr>
        <w:tabs>
          <w:tab w:val="left" w:pos="770"/>
        </w:tabs>
        <w:overflowPunct w:val="0"/>
        <w:spacing w:afterLines="50" w:line="340" w:lineRule="atLeast"/>
        <w:ind w:left="0" w:firstLine="0"/>
        <w:rPr>
          <w:sz w:val="21"/>
        </w:rPr>
      </w:pPr>
      <w:r w:rsidRPr="007A5789">
        <w:rPr>
          <w:sz w:val="21"/>
        </w:rPr>
        <w:t>为特</w:t>
      </w:r>
      <w:r w:rsidR="00177F34">
        <w:rPr>
          <w:rFonts w:hint="eastAsia"/>
          <w:sz w:val="21"/>
        </w:rPr>
        <w:t>别</w:t>
      </w:r>
      <w:r w:rsidRPr="007A5789">
        <w:rPr>
          <w:sz w:val="21"/>
        </w:rPr>
        <w:t>账户设立了一个单独部门，以显示WIPO代表单个捐助</w:t>
      </w:r>
      <w:proofErr w:type="gramStart"/>
      <w:r w:rsidRPr="007A5789">
        <w:rPr>
          <w:sz w:val="21"/>
        </w:rPr>
        <w:t>方执行</w:t>
      </w:r>
      <w:proofErr w:type="gramEnd"/>
      <w:r w:rsidRPr="007A5789">
        <w:rPr>
          <w:sz w:val="21"/>
        </w:rPr>
        <w:t>与WIPO任务相关计划所管理的自愿捐款。与特</w:t>
      </w:r>
      <w:r w:rsidR="00177F34">
        <w:rPr>
          <w:rFonts w:hint="eastAsia"/>
          <w:sz w:val="21"/>
        </w:rPr>
        <w:t>别</w:t>
      </w:r>
      <w:r w:rsidRPr="007A5789">
        <w:rPr>
          <w:sz w:val="21"/>
        </w:rPr>
        <w:t>账户相关的收入和开支在财会系统中分别结算。</w:t>
      </w:r>
    </w:p>
    <w:p w:rsidR="008B64D0" w:rsidRDefault="004B4679" w:rsidP="00134184">
      <w:pPr>
        <w:pStyle w:val="Styletexte"/>
        <w:numPr>
          <w:ilvl w:val="0"/>
          <w:numId w:val="28"/>
        </w:numPr>
        <w:tabs>
          <w:tab w:val="left" w:pos="770"/>
        </w:tabs>
        <w:overflowPunct w:val="0"/>
        <w:spacing w:afterLines="50" w:line="340" w:lineRule="atLeast"/>
        <w:ind w:left="0" w:firstLine="0"/>
        <w:rPr>
          <w:sz w:val="21"/>
        </w:rPr>
      </w:pPr>
      <w:r w:rsidRPr="007A5789">
        <w:rPr>
          <w:sz w:val="21"/>
        </w:rPr>
        <w:t>仅有的一笔部门</w:t>
      </w:r>
      <w:proofErr w:type="gramStart"/>
      <w:r w:rsidRPr="007A5789">
        <w:rPr>
          <w:sz w:val="21"/>
        </w:rPr>
        <w:t>间费用</w:t>
      </w:r>
      <w:proofErr w:type="gramEnd"/>
      <w:r w:rsidRPr="007A5789">
        <w:rPr>
          <w:sz w:val="21"/>
        </w:rPr>
        <w:t>为各联盟</w:t>
      </w:r>
      <w:r w:rsidRPr="007A5789">
        <w:rPr>
          <w:rFonts w:hint="eastAsia"/>
          <w:sz w:val="21"/>
        </w:rPr>
        <w:t>因</w:t>
      </w:r>
      <w:r w:rsidRPr="007A5789">
        <w:rPr>
          <w:sz w:val="21"/>
        </w:rPr>
        <w:t>支持特别账户</w:t>
      </w:r>
      <w:r w:rsidRPr="007A5789">
        <w:rPr>
          <w:rFonts w:hint="eastAsia"/>
          <w:sz w:val="21"/>
        </w:rPr>
        <w:t>而</w:t>
      </w:r>
      <w:r w:rsidRPr="007A5789">
        <w:rPr>
          <w:sz w:val="21"/>
        </w:rPr>
        <w:t>发生的计划支助费用。根据与提供自愿捐助的捐助方签订的协议所规定的直接开支总额的百分数，计划支助费用被记入特别账户。</w:t>
      </w:r>
    </w:p>
    <w:p w:rsidR="008B64D0" w:rsidRDefault="004B4679" w:rsidP="001E1DEA">
      <w:pPr>
        <w:pStyle w:val="Style3Bold"/>
        <w:keepNext/>
        <w:spacing w:beforeLines="100" w:before="240" w:afterLines="50" w:line="340" w:lineRule="atLeast"/>
        <w:rPr>
          <w:sz w:val="21"/>
        </w:rPr>
      </w:pPr>
      <w:r w:rsidRPr="007A5789">
        <w:rPr>
          <w:sz w:val="21"/>
        </w:rPr>
        <w:lastRenderedPageBreak/>
        <w:t>按分部开列的收入、支出和储备金</w:t>
      </w:r>
    </w:p>
    <w:p w:rsidR="008B64D0" w:rsidRDefault="001C3A91" w:rsidP="001C3A91">
      <w:pPr>
        <w:spacing w:afterLines="50" w:after="120" w:line="340" w:lineRule="atLeast"/>
        <w:jc w:val="center"/>
        <w:rPr>
          <w:sz w:val="21"/>
        </w:rPr>
      </w:pPr>
      <w:r w:rsidRPr="00EF7E79">
        <w:rPr>
          <w:noProof/>
          <w:sz w:val="21"/>
          <w:lang w:val="en-US" w:bidi="ar-SA"/>
        </w:rPr>
        <w:drawing>
          <wp:inline distT="0" distB="0" distL="0" distR="0" wp14:anchorId="13B5E5B5" wp14:editId="443A0341">
            <wp:extent cx="5940425" cy="7280760"/>
            <wp:effectExtent l="0" t="0" r="3175" b="0"/>
            <wp:docPr id="369" name="图片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940425" cy="7280760"/>
                    </a:xfrm>
                    <a:prstGeom prst="rect">
                      <a:avLst/>
                    </a:prstGeom>
                    <a:noFill/>
                    <a:ln>
                      <a:noFill/>
                    </a:ln>
                  </pic:spPr>
                </pic:pic>
              </a:graphicData>
            </a:graphic>
          </wp:inline>
        </w:drawing>
      </w:r>
    </w:p>
    <w:p w:rsidR="004B4679" w:rsidRPr="007A5789" w:rsidRDefault="004B4679" w:rsidP="004B4679">
      <w:pPr>
        <w:rPr>
          <w:sz w:val="21"/>
        </w:rPr>
      </w:pPr>
      <w:r w:rsidRPr="007A5789">
        <w:rPr>
          <w:sz w:val="18"/>
        </w:rPr>
        <w:t>注：马德里联盟承担了海牙联盟对马德里和海牙国际注册系统信息技术现代化项目300</w:t>
      </w:r>
      <w:proofErr w:type="gramStart"/>
      <w:r w:rsidRPr="007A5789">
        <w:rPr>
          <w:sz w:val="18"/>
        </w:rPr>
        <w:t>万瑞郎捐款</w:t>
      </w:r>
      <w:proofErr w:type="gramEnd"/>
      <w:r w:rsidRPr="007A5789">
        <w:rPr>
          <w:sz w:val="18"/>
        </w:rPr>
        <w:t>的融资。在海牙联盟储备基金的储备金水平达到能够偿付这一金额的水平时，海牙联盟将立即向马德里联盟偿付这一金额。</w:t>
      </w:r>
    </w:p>
    <w:p w:rsidR="004B4679" w:rsidRPr="007A5789" w:rsidRDefault="004B4679" w:rsidP="004B4679">
      <w:pPr>
        <w:rPr>
          <w:sz w:val="21"/>
        </w:rPr>
        <w:sectPr w:rsidR="004B4679" w:rsidRPr="007A5789" w:rsidSect="008B64D0">
          <w:headerReference w:type="even" r:id="rId106"/>
          <w:headerReference w:type="default" r:id="rId107"/>
          <w:headerReference w:type="first" r:id="rId108"/>
          <w:endnotePr>
            <w:numFmt w:val="decimal"/>
          </w:endnotePr>
          <w:pgSz w:w="11907" w:h="16840" w:code="9"/>
          <w:pgMar w:top="567" w:right="1134" w:bottom="1418" w:left="1418" w:header="510" w:footer="1021" w:gutter="0"/>
          <w:cols w:space="720"/>
          <w:titlePg/>
          <w:docGrid w:linePitch="299"/>
        </w:sectPr>
      </w:pPr>
    </w:p>
    <w:p w:rsidR="004B4679" w:rsidRPr="0062296B" w:rsidRDefault="004B4679" w:rsidP="0062296B">
      <w:pPr>
        <w:pStyle w:val="2"/>
        <w:spacing w:before="0" w:after="0" w:line="340" w:lineRule="atLeast"/>
        <w:jc w:val="center"/>
        <w:rPr>
          <w:rFonts w:ascii="SimHei" w:eastAsia="SimHei" w:hAnsi="SimHei"/>
          <w:b w:val="0"/>
          <w:sz w:val="21"/>
        </w:rPr>
      </w:pPr>
      <w:bookmarkStart w:id="131" w:name="_Toc441218518"/>
      <w:bookmarkStart w:id="132" w:name="_Toc455733248"/>
      <w:bookmarkStart w:id="133" w:name="_Toc456711759"/>
      <w:r w:rsidRPr="0062296B">
        <w:rPr>
          <w:rFonts w:ascii="SimHei" w:eastAsia="SimHei" w:hAnsi="SimHei"/>
          <w:b w:val="0"/>
          <w:sz w:val="21"/>
        </w:rPr>
        <w:lastRenderedPageBreak/>
        <w:t>附件一 - 按资金来源开列的财务状况表</w:t>
      </w:r>
      <w:r w:rsidR="00FA183C" w:rsidRPr="0062296B">
        <w:rPr>
          <w:rFonts w:ascii="SimHei" w:eastAsia="SimHei" w:hAnsi="SimHei" w:hint="eastAsia"/>
          <w:b w:val="0"/>
          <w:sz w:val="21"/>
        </w:rPr>
        <w:t>（</w:t>
      </w:r>
      <w:r w:rsidRPr="0062296B">
        <w:rPr>
          <w:rFonts w:ascii="SimHei" w:eastAsia="SimHei" w:hAnsi="SimHei"/>
          <w:b w:val="0"/>
          <w:sz w:val="21"/>
        </w:rPr>
        <w:t>未经审计</w:t>
      </w:r>
      <w:bookmarkEnd w:id="131"/>
      <w:bookmarkEnd w:id="132"/>
      <w:r w:rsidR="00FA183C" w:rsidRPr="0062296B">
        <w:rPr>
          <w:rFonts w:ascii="SimHei" w:eastAsia="SimHei" w:hAnsi="SimHei" w:hint="eastAsia"/>
          <w:b w:val="0"/>
          <w:sz w:val="21"/>
        </w:rPr>
        <w:t>）</w:t>
      </w:r>
      <w:bookmarkEnd w:id="133"/>
    </w:p>
    <w:p w:rsidR="004B4679" w:rsidRPr="0062296B" w:rsidRDefault="004B4679" w:rsidP="0062296B">
      <w:pPr>
        <w:jc w:val="center"/>
        <w:rPr>
          <w:b/>
          <w:sz w:val="21"/>
        </w:rPr>
      </w:pPr>
      <w:r w:rsidRPr="0062296B">
        <w:rPr>
          <w:b/>
          <w:sz w:val="21"/>
        </w:rPr>
        <w:t>截至2015年12月31日</w:t>
      </w:r>
    </w:p>
    <w:p w:rsidR="004B4679" w:rsidRPr="0062296B" w:rsidRDefault="00FA183C" w:rsidP="0062296B">
      <w:pPr>
        <w:spacing w:afterLines="50" w:after="120"/>
        <w:jc w:val="center"/>
        <w:rPr>
          <w:rFonts w:ascii="KaiTi" w:eastAsia="KaiTi" w:hAnsi="KaiTi"/>
          <w:sz w:val="21"/>
        </w:rPr>
      </w:pPr>
      <w:r w:rsidRPr="0062296B">
        <w:rPr>
          <w:rFonts w:ascii="KaiTi" w:eastAsia="KaiTi" w:hAnsi="KaiTi" w:hint="eastAsia"/>
          <w:sz w:val="21"/>
        </w:rPr>
        <w:t>（</w:t>
      </w:r>
      <w:r w:rsidR="004B4679" w:rsidRPr="0062296B">
        <w:rPr>
          <w:rFonts w:ascii="KaiTi" w:eastAsia="KaiTi" w:hAnsi="KaiTi"/>
          <w:sz w:val="21"/>
        </w:rPr>
        <w:t>单位：</w:t>
      </w:r>
      <w:proofErr w:type="gramStart"/>
      <w:r w:rsidR="004B4679" w:rsidRPr="0062296B">
        <w:rPr>
          <w:rFonts w:ascii="KaiTi" w:eastAsia="KaiTi" w:hAnsi="KaiTi"/>
          <w:sz w:val="21"/>
        </w:rPr>
        <w:t>千瑞郎</w:t>
      </w:r>
      <w:proofErr w:type="gramEnd"/>
      <w:r w:rsidRPr="0062296B">
        <w:rPr>
          <w:rFonts w:ascii="KaiTi" w:eastAsia="KaiTi" w:hAnsi="KaiTi" w:hint="eastAsia"/>
          <w:sz w:val="21"/>
        </w:rPr>
        <w:t>）</w:t>
      </w:r>
    </w:p>
    <w:p w:rsidR="00DA6A33" w:rsidRPr="007A5789" w:rsidRDefault="0062296B" w:rsidP="0062296B">
      <w:pPr>
        <w:jc w:val="center"/>
        <w:rPr>
          <w:noProof/>
          <w:sz w:val="21"/>
          <w:lang w:val="en-US" w:bidi="ar-SA"/>
        </w:rPr>
      </w:pPr>
      <w:r w:rsidRPr="00EF7E79">
        <w:rPr>
          <w:noProof/>
          <w:sz w:val="21"/>
          <w:lang w:val="en-US" w:bidi="ar-SA"/>
        </w:rPr>
        <w:drawing>
          <wp:inline distT="0" distB="0" distL="0" distR="0" wp14:anchorId="71F30D9E" wp14:editId="145E561F">
            <wp:extent cx="7812000" cy="5306400"/>
            <wp:effectExtent l="0" t="0" r="0" b="8890"/>
            <wp:docPr id="370" name="图片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7812000" cy="5306400"/>
                    </a:xfrm>
                    <a:prstGeom prst="rect">
                      <a:avLst/>
                    </a:prstGeom>
                    <a:noFill/>
                    <a:ln>
                      <a:noFill/>
                    </a:ln>
                  </pic:spPr>
                </pic:pic>
              </a:graphicData>
            </a:graphic>
          </wp:inline>
        </w:drawing>
      </w:r>
    </w:p>
    <w:p w:rsidR="004B4679" w:rsidRPr="0062296B" w:rsidRDefault="004B4679" w:rsidP="0062296B">
      <w:pPr>
        <w:pStyle w:val="2"/>
        <w:spacing w:before="0" w:after="0" w:line="340" w:lineRule="atLeast"/>
        <w:jc w:val="center"/>
        <w:rPr>
          <w:rFonts w:ascii="SimHei" w:eastAsia="SimHei" w:hAnsi="SimHei"/>
          <w:b w:val="0"/>
          <w:sz w:val="21"/>
        </w:rPr>
      </w:pPr>
      <w:bookmarkStart w:id="134" w:name="_Toc441218519"/>
      <w:bookmarkStart w:id="135" w:name="_Toc455733249"/>
      <w:bookmarkStart w:id="136" w:name="_Toc456711760"/>
      <w:r w:rsidRPr="0062296B">
        <w:rPr>
          <w:rFonts w:ascii="SimHei" w:eastAsia="SimHei" w:hAnsi="SimHei"/>
          <w:b w:val="0"/>
          <w:sz w:val="21"/>
        </w:rPr>
        <w:lastRenderedPageBreak/>
        <w:t>附件二 - 按资金来源开列的财务执行情况表</w:t>
      </w:r>
      <w:r w:rsidR="007A2028" w:rsidRPr="0062296B">
        <w:rPr>
          <w:rFonts w:ascii="SimHei" w:eastAsia="SimHei" w:hAnsi="SimHei" w:hint="eastAsia"/>
          <w:b w:val="0"/>
          <w:sz w:val="21"/>
        </w:rPr>
        <w:t>（</w:t>
      </w:r>
      <w:r w:rsidRPr="0062296B">
        <w:rPr>
          <w:rFonts w:ascii="SimHei" w:eastAsia="SimHei" w:hAnsi="SimHei"/>
          <w:b w:val="0"/>
          <w:sz w:val="21"/>
        </w:rPr>
        <w:t>未经审计</w:t>
      </w:r>
      <w:bookmarkEnd w:id="134"/>
      <w:bookmarkEnd w:id="135"/>
      <w:r w:rsidR="007A2028" w:rsidRPr="0062296B">
        <w:rPr>
          <w:rFonts w:ascii="SimHei" w:eastAsia="SimHei" w:hAnsi="SimHei" w:hint="eastAsia"/>
          <w:b w:val="0"/>
          <w:sz w:val="21"/>
        </w:rPr>
        <w:t>）</w:t>
      </w:r>
      <w:bookmarkEnd w:id="136"/>
    </w:p>
    <w:p w:rsidR="004B4679" w:rsidRPr="0062296B" w:rsidRDefault="004B4679" w:rsidP="004B4679">
      <w:pPr>
        <w:jc w:val="center"/>
        <w:rPr>
          <w:b/>
          <w:sz w:val="21"/>
        </w:rPr>
      </w:pPr>
      <w:r w:rsidRPr="0062296B">
        <w:rPr>
          <w:b/>
          <w:sz w:val="21"/>
        </w:rPr>
        <w:t>2015年12月31日截止的年度</w:t>
      </w:r>
    </w:p>
    <w:p w:rsidR="004B4679" w:rsidRPr="0062296B" w:rsidRDefault="00EE11FF" w:rsidP="0062296B">
      <w:pPr>
        <w:spacing w:afterLines="50" w:after="120"/>
        <w:jc w:val="center"/>
        <w:rPr>
          <w:rFonts w:ascii="KaiTi" w:eastAsia="KaiTi" w:hAnsi="KaiTi"/>
          <w:sz w:val="21"/>
        </w:rPr>
      </w:pPr>
      <w:r w:rsidRPr="0062296B">
        <w:rPr>
          <w:rFonts w:ascii="KaiTi" w:eastAsia="KaiTi" w:hAnsi="KaiTi" w:hint="eastAsia"/>
          <w:sz w:val="21"/>
        </w:rPr>
        <w:t>（</w:t>
      </w:r>
      <w:r w:rsidR="004B4679" w:rsidRPr="0062296B">
        <w:rPr>
          <w:rFonts w:ascii="KaiTi" w:eastAsia="KaiTi" w:hAnsi="KaiTi"/>
          <w:sz w:val="21"/>
        </w:rPr>
        <w:t>单位：</w:t>
      </w:r>
      <w:proofErr w:type="gramStart"/>
      <w:r w:rsidR="004B4679" w:rsidRPr="0062296B">
        <w:rPr>
          <w:rFonts w:ascii="KaiTi" w:eastAsia="KaiTi" w:hAnsi="KaiTi"/>
          <w:sz w:val="21"/>
        </w:rPr>
        <w:t>千瑞郎</w:t>
      </w:r>
      <w:proofErr w:type="gramEnd"/>
      <w:r w:rsidRPr="0062296B">
        <w:rPr>
          <w:rFonts w:ascii="KaiTi" w:eastAsia="KaiTi" w:hAnsi="KaiTi" w:hint="eastAsia"/>
          <w:sz w:val="21"/>
        </w:rPr>
        <w:t>）</w:t>
      </w:r>
    </w:p>
    <w:p w:rsidR="00DA6A33" w:rsidRPr="007A5789" w:rsidRDefault="0062296B" w:rsidP="0062296B">
      <w:pPr>
        <w:jc w:val="center"/>
        <w:rPr>
          <w:noProof/>
          <w:sz w:val="21"/>
          <w:lang w:val="en-US" w:bidi="ar-SA"/>
        </w:rPr>
      </w:pPr>
      <w:r w:rsidRPr="00B87A4B">
        <w:rPr>
          <w:noProof/>
          <w:sz w:val="21"/>
          <w:lang w:val="en-US" w:bidi="ar-SA"/>
        </w:rPr>
        <w:drawing>
          <wp:inline distT="0" distB="0" distL="0" distR="0" wp14:anchorId="3DA9B99B" wp14:editId="33423525">
            <wp:extent cx="7812000" cy="4942800"/>
            <wp:effectExtent l="0" t="0" r="0" b="0"/>
            <wp:docPr id="371" name="图片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7812000" cy="4942800"/>
                    </a:xfrm>
                    <a:prstGeom prst="rect">
                      <a:avLst/>
                    </a:prstGeom>
                    <a:noFill/>
                    <a:ln>
                      <a:noFill/>
                    </a:ln>
                  </pic:spPr>
                </pic:pic>
              </a:graphicData>
            </a:graphic>
          </wp:inline>
        </w:drawing>
      </w:r>
    </w:p>
    <w:p w:rsidR="004B4679" w:rsidRPr="0062296B" w:rsidRDefault="004B4679" w:rsidP="0062296B">
      <w:pPr>
        <w:pStyle w:val="2"/>
        <w:spacing w:before="0" w:after="0" w:line="340" w:lineRule="atLeast"/>
        <w:jc w:val="center"/>
        <w:rPr>
          <w:rFonts w:ascii="SimHei" w:eastAsia="SimHei" w:hAnsi="SimHei"/>
          <w:b w:val="0"/>
          <w:sz w:val="21"/>
        </w:rPr>
      </w:pPr>
      <w:bookmarkStart w:id="137" w:name="_Toc441218520"/>
      <w:bookmarkStart w:id="138" w:name="_Toc455733250"/>
      <w:bookmarkStart w:id="139" w:name="_Toc456711761"/>
      <w:r w:rsidRPr="0062296B">
        <w:rPr>
          <w:rFonts w:ascii="SimHei" w:eastAsia="SimHei" w:hAnsi="SimHei"/>
          <w:b w:val="0"/>
          <w:sz w:val="21"/>
        </w:rPr>
        <w:lastRenderedPageBreak/>
        <w:t>附件三 - 捐助方捐助特别账户</w:t>
      </w:r>
      <w:bookmarkEnd w:id="137"/>
      <w:bookmarkEnd w:id="138"/>
      <w:bookmarkEnd w:id="139"/>
    </w:p>
    <w:p w:rsidR="008B64D0" w:rsidRPr="0062296B" w:rsidRDefault="00EE11FF" w:rsidP="0062296B">
      <w:pPr>
        <w:keepNext/>
        <w:spacing w:afterLines="50" w:after="120"/>
        <w:jc w:val="center"/>
        <w:rPr>
          <w:rFonts w:ascii="KaiTi" w:eastAsia="KaiTi" w:hAnsi="KaiTi"/>
          <w:sz w:val="21"/>
        </w:rPr>
      </w:pPr>
      <w:r w:rsidRPr="0062296B">
        <w:rPr>
          <w:rFonts w:ascii="KaiTi" w:eastAsia="KaiTi" w:hAnsi="KaiTi" w:hint="eastAsia"/>
          <w:sz w:val="21"/>
        </w:rPr>
        <w:t>（</w:t>
      </w:r>
      <w:r w:rsidR="004B4679" w:rsidRPr="0062296B">
        <w:rPr>
          <w:rFonts w:ascii="KaiTi" w:eastAsia="KaiTi" w:hAnsi="KaiTi"/>
          <w:sz w:val="21"/>
        </w:rPr>
        <w:t>单位：瑞郎</w:t>
      </w:r>
      <w:r w:rsidRPr="0062296B">
        <w:rPr>
          <w:rFonts w:ascii="KaiTi" w:eastAsia="KaiTi" w:hAnsi="KaiTi" w:hint="eastAsia"/>
          <w:sz w:val="21"/>
        </w:rPr>
        <w:t>）</w:t>
      </w:r>
    </w:p>
    <w:p w:rsidR="004B4679" w:rsidRPr="007A5789" w:rsidRDefault="00177F34" w:rsidP="00177F34">
      <w:pPr>
        <w:spacing w:afterLines="50" w:after="120"/>
        <w:jc w:val="center"/>
        <w:rPr>
          <w:sz w:val="21"/>
        </w:rPr>
      </w:pPr>
      <w:r w:rsidRPr="00B87A4B">
        <w:rPr>
          <w:noProof/>
          <w:sz w:val="21"/>
          <w:lang w:val="en-US" w:bidi="ar-SA"/>
        </w:rPr>
        <w:drawing>
          <wp:inline distT="0" distB="0" distL="0" distR="0" wp14:anchorId="52CA98E7" wp14:editId="4158B334">
            <wp:extent cx="9613265" cy="4295517"/>
            <wp:effectExtent l="0" t="0" r="698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9613265" cy="4295517"/>
                    </a:xfrm>
                    <a:prstGeom prst="rect">
                      <a:avLst/>
                    </a:prstGeom>
                    <a:noFill/>
                    <a:ln>
                      <a:noFill/>
                    </a:ln>
                  </pic:spPr>
                </pic:pic>
              </a:graphicData>
            </a:graphic>
          </wp:inline>
        </w:drawing>
      </w:r>
    </w:p>
    <w:p w:rsidR="004B4679" w:rsidRPr="007A5789" w:rsidRDefault="004B4679" w:rsidP="003A2E23">
      <w:pPr>
        <w:tabs>
          <w:tab w:val="left" w:pos="14490"/>
        </w:tabs>
        <w:adjustRightInd w:val="0"/>
        <w:rPr>
          <w:sz w:val="18"/>
          <w:szCs w:val="18"/>
        </w:rPr>
      </w:pPr>
      <w:r w:rsidRPr="007A5789">
        <w:rPr>
          <w:rFonts w:hint="eastAsia"/>
          <w:sz w:val="18"/>
        </w:rPr>
        <w:t>本</w:t>
      </w:r>
      <w:r w:rsidRPr="007A5789">
        <w:rPr>
          <w:sz w:val="18"/>
        </w:rPr>
        <w:t>表采用修正的权责发生</w:t>
      </w:r>
      <w:proofErr w:type="gramStart"/>
      <w:r w:rsidRPr="007A5789">
        <w:rPr>
          <w:sz w:val="18"/>
        </w:rPr>
        <w:t>制根据</w:t>
      </w:r>
      <w:proofErr w:type="gramEnd"/>
      <w:r w:rsidRPr="007A5789">
        <w:rPr>
          <w:sz w:val="18"/>
        </w:rPr>
        <w:t>捐助方报告要求编制，表中未包括应计开支。对期末余额</w:t>
      </w:r>
      <w:r w:rsidR="00B6014B">
        <w:rPr>
          <w:sz w:val="18"/>
        </w:rPr>
        <w:t>（</w:t>
      </w:r>
      <w:r w:rsidRPr="007A5789">
        <w:rPr>
          <w:sz w:val="18"/>
        </w:rPr>
        <w:t>2015年12月31日</w:t>
      </w:r>
      <w:r w:rsidR="00B6014B">
        <w:rPr>
          <w:sz w:val="18"/>
        </w:rPr>
        <w:t>）</w:t>
      </w:r>
      <w:r w:rsidRPr="007A5789">
        <w:rPr>
          <w:sz w:val="18"/>
        </w:rPr>
        <w:t>进行的IPSAS调整没有纳入该表，但计入附注14</w:t>
      </w:r>
      <w:r w:rsidRPr="00F94318">
        <w:rPr>
          <w:sz w:val="18"/>
        </w:rPr>
        <w:t>“</w:t>
      </w:r>
      <w:r w:rsidRPr="007A5789">
        <w:rPr>
          <w:sz w:val="18"/>
        </w:rPr>
        <w:t>预收款</w:t>
      </w:r>
      <w:r w:rsidRPr="00F94318">
        <w:rPr>
          <w:sz w:val="18"/>
        </w:rPr>
        <w:t>”</w:t>
      </w:r>
      <w:r w:rsidRPr="007A5789">
        <w:rPr>
          <w:sz w:val="18"/>
        </w:rPr>
        <w:t>所涉数额中</w:t>
      </w:r>
      <w:r w:rsidR="00B6014B">
        <w:rPr>
          <w:sz w:val="18"/>
        </w:rPr>
        <w:t>（</w:t>
      </w:r>
      <w:r w:rsidRPr="007A5789">
        <w:rPr>
          <w:sz w:val="18"/>
        </w:rPr>
        <w:t>见</w:t>
      </w:r>
      <w:r w:rsidRPr="00F94318">
        <w:rPr>
          <w:sz w:val="18"/>
        </w:rPr>
        <w:t>“</w:t>
      </w:r>
      <w:r w:rsidRPr="007A5789">
        <w:rPr>
          <w:sz w:val="18"/>
        </w:rPr>
        <w:t>非交换递延收入</w:t>
      </w:r>
      <w:r w:rsidRPr="00F94318">
        <w:rPr>
          <w:sz w:val="18"/>
        </w:rPr>
        <w:t>”</w:t>
      </w:r>
      <w:r w:rsidRPr="007A5789">
        <w:rPr>
          <w:sz w:val="18"/>
        </w:rPr>
        <w:t>项</w:t>
      </w:r>
      <w:r w:rsidR="00B6014B">
        <w:rPr>
          <w:sz w:val="18"/>
        </w:rPr>
        <w:t>）</w:t>
      </w:r>
      <w:r w:rsidRPr="007A5789">
        <w:rPr>
          <w:sz w:val="18"/>
        </w:rPr>
        <w:t>。</w:t>
      </w:r>
    </w:p>
    <w:p w:rsidR="004B4679" w:rsidRPr="007A5789" w:rsidRDefault="004B4679" w:rsidP="003A2E23">
      <w:pPr>
        <w:adjustRightInd w:val="0"/>
        <w:ind w:left="-448" w:right="284" w:hanging="91"/>
        <w:rPr>
          <w:sz w:val="18"/>
          <w:szCs w:val="18"/>
        </w:rPr>
        <w:sectPr w:rsidR="004B4679" w:rsidRPr="007A5789" w:rsidSect="00EF30E4">
          <w:headerReference w:type="default" r:id="rId112"/>
          <w:pgSz w:w="16840" w:h="11907" w:orient="landscape" w:code="9"/>
          <w:pgMar w:top="851" w:right="567" w:bottom="1021" w:left="1134" w:header="709" w:footer="187" w:gutter="0"/>
          <w:cols w:space="708"/>
          <w:docGrid w:linePitch="360"/>
        </w:sectPr>
      </w:pPr>
    </w:p>
    <w:p w:rsidR="008B64D0" w:rsidRPr="0062296B" w:rsidRDefault="004B4679" w:rsidP="0062296B">
      <w:pPr>
        <w:pStyle w:val="2"/>
        <w:spacing w:beforeLines="100" w:afterLines="100" w:after="240" w:line="340" w:lineRule="atLeast"/>
        <w:jc w:val="center"/>
        <w:rPr>
          <w:rFonts w:ascii="SimHei" w:eastAsia="SimHei" w:hAnsi="SimHei"/>
          <w:b w:val="0"/>
          <w:sz w:val="21"/>
        </w:rPr>
      </w:pPr>
      <w:bookmarkStart w:id="140" w:name="_Toc441218521"/>
      <w:bookmarkStart w:id="141" w:name="_Toc455733251"/>
      <w:bookmarkStart w:id="142" w:name="_Toc456711762"/>
      <w:r w:rsidRPr="0062296B">
        <w:rPr>
          <w:rFonts w:ascii="SimHei" w:eastAsia="SimHei" w:hAnsi="SimHei"/>
          <w:b w:val="0"/>
          <w:sz w:val="21"/>
        </w:rPr>
        <w:lastRenderedPageBreak/>
        <w:t xml:space="preserve">附件四 - </w:t>
      </w:r>
      <w:proofErr w:type="gramStart"/>
      <w:r w:rsidRPr="0062296B">
        <w:rPr>
          <w:rFonts w:ascii="SimHei" w:eastAsia="SimHei" w:hAnsi="SimHei"/>
          <w:b w:val="0"/>
          <w:sz w:val="21"/>
        </w:rPr>
        <w:t>惠给金</w:t>
      </w:r>
      <w:proofErr w:type="gramEnd"/>
      <w:r w:rsidRPr="0062296B">
        <w:rPr>
          <w:rFonts w:ascii="SimHei" w:eastAsia="SimHei" w:hAnsi="SimHei"/>
          <w:b w:val="0"/>
          <w:sz w:val="21"/>
        </w:rPr>
        <w:t>支付</w:t>
      </w:r>
      <w:bookmarkEnd w:id="140"/>
      <w:bookmarkEnd w:id="141"/>
      <w:bookmarkEnd w:id="142"/>
    </w:p>
    <w:p w:rsidR="008B64D0" w:rsidRDefault="004B4679" w:rsidP="003A2E23">
      <w:pPr>
        <w:adjustRightInd w:val="0"/>
        <w:spacing w:afterLines="50" w:after="120" w:line="340" w:lineRule="atLeast"/>
        <w:ind w:firstLineChars="200" w:firstLine="420"/>
        <w:rPr>
          <w:sz w:val="21"/>
          <w:szCs w:val="22"/>
        </w:rPr>
      </w:pPr>
      <w:r w:rsidRPr="007A5789">
        <w:rPr>
          <w:sz w:val="21"/>
        </w:rPr>
        <w:t>财务条例5.10规定，应在本组织财务报表中加入所涉日历年</w:t>
      </w:r>
      <w:proofErr w:type="gramStart"/>
      <w:r w:rsidRPr="007A5789">
        <w:rPr>
          <w:sz w:val="21"/>
        </w:rPr>
        <w:t>中惠给金</w:t>
      </w:r>
      <w:proofErr w:type="gramEnd"/>
      <w:r w:rsidRPr="007A5789">
        <w:rPr>
          <w:sz w:val="21"/>
        </w:rPr>
        <w:t>的简要说明。</w:t>
      </w:r>
    </w:p>
    <w:p w:rsidR="008B64D0" w:rsidRDefault="004B4679" w:rsidP="003A2E23">
      <w:pPr>
        <w:adjustRightInd w:val="0"/>
        <w:spacing w:afterLines="50" w:after="120" w:line="340" w:lineRule="atLeast"/>
        <w:ind w:firstLineChars="200" w:firstLine="420"/>
        <w:rPr>
          <w:sz w:val="21"/>
          <w:szCs w:val="22"/>
        </w:rPr>
      </w:pPr>
      <w:r w:rsidRPr="007A5789">
        <w:rPr>
          <w:sz w:val="21"/>
        </w:rPr>
        <w:t>2015年1月，向本组织的一位前任副总干事支付了一笔12,500瑞郎的金额，作为其任务期满后产生的两个月租金费用的补偿。这笔付款的相应支出已经在截至2014年12月31日的年度确认。</w:t>
      </w:r>
    </w:p>
    <w:p w:rsidR="0062296B" w:rsidRDefault="0062296B" w:rsidP="0062296B">
      <w:pPr>
        <w:pStyle w:val="Endofdocument-Annex"/>
        <w:spacing w:afterLines="50" w:after="120" w:line="340" w:lineRule="atLeast"/>
        <w:rPr>
          <w:rFonts w:ascii="KaiTi" w:eastAsia="KaiTi" w:hAnsi="KaiTi"/>
          <w:sz w:val="21"/>
        </w:rPr>
      </w:pPr>
    </w:p>
    <w:p w:rsidR="00351587" w:rsidRPr="0062296B" w:rsidRDefault="004B4679" w:rsidP="0062296B">
      <w:pPr>
        <w:pStyle w:val="Endofdocument-Annex"/>
        <w:spacing w:afterLines="50" w:after="120" w:line="340" w:lineRule="atLeast"/>
        <w:rPr>
          <w:rFonts w:ascii="KaiTi" w:eastAsia="KaiTi" w:hAnsi="KaiTi"/>
          <w:sz w:val="21"/>
        </w:rPr>
      </w:pPr>
      <w:r w:rsidRPr="0062296B">
        <w:rPr>
          <w:rFonts w:ascii="KaiTi" w:eastAsia="KaiTi" w:hAnsi="KaiTi"/>
          <w:sz w:val="21"/>
        </w:rPr>
        <w:t>[文件完]</w:t>
      </w:r>
    </w:p>
    <w:sectPr w:rsidR="00351587" w:rsidRPr="0062296B" w:rsidSect="008B64D0">
      <w:headerReference w:type="first" r:id="rId1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064" w:rsidRDefault="00F75064">
      <w:r>
        <w:separator/>
      </w:r>
    </w:p>
  </w:endnote>
  <w:endnote w:type="continuationSeparator" w:id="0">
    <w:p w:rsidR="00F75064" w:rsidRDefault="00F75064" w:rsidP="003B38C1">
      <w:r>
        <w:separator/>
      </w:r>
    </w:p>
    <w:p w:rsidR="00F75064" w:rsidRPr="00293681" w:rsidRDefault="00F75064" w:rsidP="003B38C1">
      <w:pPr>
        <w:spacing w:after="60"/>
        <w:rPr>
          <w:sz w:val="17"/>
          <w:lang w:val="en-US"/>
        </w:rPr>
      </w:pPr>
      <w:r w:rsidRPr="00293681">
        <w:rPr>
          <w:sz w:val="17"/>
          <w:lang w:val="en-US"/>
        </w:rPr>
        <w:t>[Endnote continued from previous page]</w:t>
      </w:r>
    </w:p>
  </w:endnote>
  <w:endnote w:type="continuationNotice" w:id="1">
    <w:p w:rsidR="00F75064" w:rsidRPr="00293681" w:rsidRDefault="00F75064" w:rsidP="003B38C1">
      <w:pPr>
        <w:spacing w:before="60"/>
        <w:jc w:val="right"/>
        <w:rPr>
          <w:sz w:val="17"/>
          <w:szCs w:val="17"/>
          <w:lang w:val="en-US"/>
        </w:rPr>
      </w:pPr>
      <w:r w:rsidRPr="00293681">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064" w:rsidRDefault="00F75064">
      <w:r>
        <w:separator/>
      </w:r>
    </w:p>
  </w:footnote>
  <w:footnote w:type="continuationSeparator" w:id="0">
    <w:p w:rsidR="00F75064" w:rsidRDefault="00F75064" w:rsidP="008B60B2">
      <w:r>
        <w:separator/>
      </w:r>
    </w:p>
    <w:p w:rsidR="00F75064" w:rsidRPr="00293681" w:rsidRDefault="00F75064" w:rsidP="008B60B2">
      <w:pPr>
        <w:spacing w:after="60"/>
        <w:rPr>
          <w:sz w:val="17"/>
          <w:szCs w:val="17"/>
          <w:lang w:val="en-US"/>
        </w:rPr>
      </w:pPr>
      <w:r w:rsidRPr="00293681">
        <w:rPr>
          <w:sz w:val="17"/>
          <w:szCs w:val="17"/>
          <w:lang w:val="en-US"/>
        </w:rPr>
        <w:t>[Footnote continued from previous page]</w:t>
      </w:r>
    </w:p>
  </w:footnote>
  <w:footnote w:type="continuationNotice" w:id="1">
    <w:p w:rsidR="00F75064" w:rsidRPr="00293681" w:rsidRDefault="00F75064" w:rsidP="008B60B2">
      <w:pPr>
        <w:spacing w:before="60"/>
        <w:jc w:val="right"/>
        <w:rPr>
          <w:sz w:val="17"/>
          <w:szCs w:val="17"/>
          <w:lang w:val="en-US"/>
        </w:rPr>
      </w:pPr>
      <w:r w:rsidRPr="00293681">
        <w:rPr>
          <w:sz w:val="17"/>
          <w:szCs w:val="17"/>
          <w:lang w:val="en-US"/>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064" w:rsidRPr="007A5789" w:rsidRDefault="00F75064" w:rsidP="00CB2879">
    <w:pPr>
      <w:pStyle w:val="ab"/>
      <w:jc w:val="right"/>
      <w:rPr>
        <w:sz w:val="18"/>
      </w:rPr>
    </w:pPr>
    <w:r w:rsidRPr="007A5789">
      <w:rPr>
        <w:sz w:val="18"/>
      </w:rPr>
      <w:t>2015年年度财务报告和财务报表</w:t>
    </w:r>
  </w:p>
  <w:p w:rsidR="00F75064" w:rsidRPr="007A5789" w:rsidRDefault="00F75064" w:rsidP="00CB2879">
    <w:pPr>
      <w:pStyle w:val="ab"/>
      <w:jc w:val="right"/>
      <w:rPr>
        <w:sz w:val="18"/>
      </w:rPr>
    </w:pPr>
    <w:r w:rsidRPr="007A5789">
      <w:rPr>
        <w:sz w:val="18"/>
      </w:rPr>
      <w:t>第</w:t>
    </w:r>
    <w:r w:rsidRPr="007A5789">
      <w:rPr>
        <w:sz w:val="18"/>
      </w:rPr>
      <w:fldChar w:fldCharType="begin"/>
    </w:r>
    <w:r w:rsidRPr="007A5789">
      <w:rPr>
        <w:sz w:val="18"/>
      </w:rPr>
      <w:instrText xml:space="preserve"> PAGE   \* MERGEFORMAT </w:instrText>
    </w:r>
    <w:r w:rsidRPr="007A5789">
      <w:rPr>
        <w:sz w:val="18"/>
      </w:rPr>
      <w:fldChar w:fldCharType="separate"/>
    </w:r>
    <w:r w:rsidR="004F2055">
      <w:rPr>
        <w:noProof/>
        <w:sz w:val="18"/>
      </w:rPr>
      <w:t>3</w:t>
    </w:r>
    <w:r w:rsidRPr="007A5789">
      <w:rPr>
        <w:noProof/>
        <w:sz w:val="18"/>
      </w:rPr>
      <w:fldChar w:fldCharType="end"/>
    </w:r>
    <w:r w:rsidRPr="007A5789">
      <w:rPr>
        <w:sz w:val="18"/>
      </w:rPr>
      <w:t>页</w:t>
    </w:r>
  </w:p>
  <w:p w:rsidR="00F75064" w:rsidRPr="007A5789" w:rsidRDefault="00F75064" w:rsidP="00CB2879">
    <w:pPr>
      <w:pStyle w:val="ab"/>
      <w:jc w:val="right"/>
      <w:rPr>
        <w:sz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55" w:rsidRPr="007A5789" w:rsidRDefault="004F2055" w:rsidP="00CB2879">
    <w:pPr>
      <w:pStyle w:val="ab"/>
      <w:jc w:val="right"/>
      <w:rPr>
        <w:sz w:val="18"/>
      </w:rPr>
    </w:pPr>
    <w:r w:rsidRPr="007A5789">
      <w:rPr>
        <w:sz w:val="18"/>
      </w:rPr>
      <w:t>2015年年度财务报告和财务报表</w:t>
    </w:r>
  </w:p>
  <w:p w:rsidR="004F2055" w:rsidRPr="007A5789" w:rsidRDefault="004F2055" w:rsidP="00CB2879">
    <w:pPr>
      <w:pStyle w:val="ab"/>
      <w:jc w:val="right"/>
      <w:rPr>
        <w:sz w:val="18"/>
      </w:rPr>
    </w:pPr>
    <w:r w:rsidRPr="007A5789">
      <w:rPr>
        <w:sz w:val="18"/>
      </w:rPr>
      <w:t>第</w:t>
    </w:r>
    <w:r w:rsidRPr="007A5789">
      <w:rPr>
        <w:sz w:val="18"/>
      </w:rPr>
      <w:fldChar w:fldCharType="begin"/>
    </w:r>
    <w:r w:rsidRPr="007A5789">
      <w:rPr>
        <w:sz w:val="18"/>
      </w:rPr>
      <w:instrText xml:space="preserve"> PAGE   \* MERGEFORMAT </w:instrText>
    </w:r>
    <w:r w:rsidRPr="007A5789">
      <w:rPr>
        <w:sz w:val="18"/>
      </w:rPr>
      <w:fldChar w:fldCharType="separate"/>
    </w:r>
    <w:r w:rsidR="00874EE0">
      <w:rPr>
        <w:noProof/>
        <w:sz w:val="18"/>
      </w:rPr>
      <w:t>43</w:t>
    </w:r>
    <w:r w:rsidRPr="007A5789">
      <w:rPr>
        <w:noProof/>
        <w:sz w:val="18"/>
      </w:rPr>
      <w:fldChar w:fldCharType="end"/>
    </w:r>
    <w:r w:rsidRPr="007A5789">
      <w:rPr>
        <w:sz w:val="18"/>
      </w:rPr>
      <w:t>页</w:t>
    </w:r>
  </w:p>
  <w:p w:rsidR="004F2055" w:rsidRPr="004F2055" w:rsidRDefault="004F2055" w:rsidP="00CB2879">
    <w:pPr>
      <w:pStyle w:val="ab"/>
      <w:jc w:val="right"/>
      <w:rPr>
        <w:sz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55" w:rsidRPr="007A5789" w:rsidRDefault="004F2055" w:rsidP="004F2055">
    <w:pPr>
      <w:pStyle w:val="ab"/>
      <w:jc w:val="left"/>
      <w:rPr>
        <w:sz w:val="18"/>
      </w:rPr>
    </w:pPr>
    <w:r w:rsidRPr="007A5789">
      <w:rPr>
        <w:sz w:val="18"/>
      </w:rPr>
      <w:t>2015年年度财务报告和财务报表</w:t>
    </w:r>
  </w:p>
  <w:p w:rsidR="004F2055" w:rsidRDefault="004F2055" w:rsidP="004F2055">
    <w:pPr>
      <w:pStyle w:val="ab"/>
      <w:jc w:val="left"/>
      <w:rPr>
        <w:sz w:val="18"/>
      </w:rPr>
    </w:pPr>
    <w:r w:rsidRPr="007A5789">
      <w:rPr>
        <w:sz w:val="18"/>
      </w:rPr>
      <w:t>第</w:t>
    </w:r>
    <w:r w:rsidRPr="007A5789">
      <w:rPr>
        <w:sz w:val="18"/>
      </w:rPr>
      <w:fldChar w:fldCharType="begin"/>
    </w:r>
    <w:r w:rsidRPr="007A5789">
      <w:rPr>
        <w:sz w:val="18"/>
      </w:rPr>
      <w:instrText xml:space="preserve"> PAGE   \* MERGEFORMAT </w:instrText>
    </w:r>
    <w:r w:rsidRPr="007A5789">
      <w:rPr>
        <w:sz w:val="18"/>
      </w:rPr>
      <w:fldChar w:fldCharType="separate"/>
    </w:r>
    <w:r w:rsidR="00874EE0">
      <w:rPr>
        <w:noProof/>
        <w:sz w:val="18"/>
      </w:rPr>
      <w:t>24</w:t>
    </w:r>
    <w:r w:rsidRPr="007A5789">
      <w:rPr>
        <w:noProof/>
        <w:sz w:val="18"/>
      </w:rPr>
      <w:fldChar w:fldCharType="end"/>
    </w:r>
    <w:r w:rsidRPr="007A5789">
      <w:rPr>
        <w:sz w:val="18"/>
      </w:rPr>
      <w:t>页</w:t>
    </w:r>
  </w:p>
  <w:p w:rsidR="004F2055" w:rsidRPr="004F2055" w:rsidRDefault="004F2055" w:rsidP="004F2055">
    <w:pPr>
      <w:pStyle w:val="ab"/>
      <w:jc w:val="left"/>
      <w:rPr>
        <w:rFonts w:ascii="Times New Roman" w:hAnsi="Times New Roman"/>
        <w:sz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55" w:rsidRPr="007A5789" w:rsidRDefault="004F2055" w:rsidP="00CB2879">
    <w:pPr>
      <w:pStyle w:val="ab"/>
      <w:jc w:val="right"/>
      <w:rPr>
        <w:sz w:val="18"/>
      </w:rPr>
    </w:pPr>
    <w:r w:rsidRPr="007A5789">
      <w:rPr>
        <w:sz w:val="18"/>
      </w:rPr>
      <w:t>2015年年度财务报告和财务报表</w:t>
    </w:r>
  </w:p>
  <w:p w:rsidR="004F2055" w:rsidRPr="007A5789" w:rsidRDefault="004F2055" w:rsidP="00CB2879">
    <w:pPr>
      <w:pStyle w:val="ab"/>
      <w:jc w:val="right"/>
      <w:rPr>
        <w:sz w:val="18"/>
      </w:rPr>
    </w:pPr>
    <w:r w:rsidRPr="007A5789">
      <w:rPr>
        <w:sz w:val="18"/>
      </w:rPr>
      <w:t>第</w:t>
    </w:r>
    <w:r w:rsidRPr="007A5789">
      <w:rPr>
        <w:sz w:val="18"/>
      </w:rPr>
      <w:fldChar w:fldCharType="begin"/>
    </w:r>
    <w:r w:rsidRPr="007A5789">
      <w:rPr>
        <w:sz w:val="18"/>
      </w:rPr>
      <w:instrText xml:space="preserve"> PAGE   \* MERGEFORMAT </w:instrText>
    </w:r>
    <w:r w:rsidRPr="007A5789">
      <w:rPr>
        <w:sz w:val="18"/>
      </w:rPr>
      <w:fldChar w:fldCharType="separate"/>
    </w:r>
    <w:r w:rsidR="00874EE0">
      <w:rPr>
        <w:noProof/>
        <w:sz w:val="18"/>
      </w:rPr>
      <w:t>45</w:t>
    </w:r>
    <w:r w:rsidRPr="007A5789">
      <w:rPr>
        <w:noProof/>
        <w:sz w:val="18"/>
      </w:rPr>
      <w:fldChar w:fldCharType="end"/>
    </w:r>
    <w:r w:rsidRPr="007A5789">
      <w:rPr>
        <w:sz w:val="18"/>
      </w:rPr>
      <w:t>页</w:t>
    </w:r>
  </w:p>
  <w:p w:rsidR="004F2055" w:rsidRPr="004F2055" w:rsidRDefault="004F2055" w:rsidP="00CB2879">
    <w:pPr>
      <w:pStyle w:val="ab"/>
      <w:jc w:val="right"/>
      <w:rPr>
        <w:sz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064" w:rsidRPr="007A5789" w:rsidRDefault="00F75064" w:rsidP="00AD1872">
    <w:pPr>
      <w:pStyle w:val="ab"/>
      <w:jc w:val="left"/>
      <w:rPr>
        <w:sz w:val="18"/>
      </w:rPr>
    </w:pPr>
    <w:r w:rsidRPr="007A5789">
      <w:rPr>
        <w:sz w:val="18"/>
      </w:rPr>
      <w:t>2015年年度财务报告和财务报表</w:t>
    </w:r>
  </w:p>
  <w:p w:rsidR="00F75064" w:rsidRPr="007A5789" w:rsidRDefault="00F75064" w:rsidP="00AD1872">
    <w:pPr>
      <w:pStyle w:val="ab"/>
      <w:jc w:val="left"/>
      <w:rPr>
        <w:sz w:val="18"/>
      </w:rPr>
    </w:pPr>
    <w:r w:rsidRPr="007A5789">
      <w:rPr>
        <w:sz w:val="18"/>
      </w:rPr>
      <w:t>第</w:t>
    </w:r>
    <w:r w:rsidRPr="007A5789">
      <w:rPr>
        <w:sz w:val="18"/>
      </w:rPr>
      <w:fldChar w:fldCharType="begin"/>
    </w:r>
    <w:r w:rsidRPr="007A5789">
      <w:rPr>
        <w:sz w:val="18"/>
      </w:rPr>
      <w:instrText xml:space="preserve"> PAGE   \* MERGEFORMAT </w:instrText>
    </w:r>
    <w:r w:rsidRPr="007A5789">
      <w:rPr>
        <w:sz w:val="18"/>
      </w:rPr>
      <w:fldChar w:fldCharType="separate"/>
    </w:r>
    <w:r w:rsidR="00874EE0">
      <w:rPr>
        <w:noProof/>
        <w:sz w:val="18"/>
      </w:rPr>
      <w:t>44</w:t>
    </w:r>
    <w:r w:rsidRPr="007A5789">
      <w:rPr>
        <w:noProof/>
        <w:sz w:val="18"/>
      </w:rPr>
      <w:fldChar w:fldCharType="end"/>
    </w:r>
    <w:r w:rsidRPr="007A5789">
      <w:rPr>
        <w:sz w:val="18"/>
      </w:rPr>
      <w:t>页</w:t>
    </w:r>
  </w:p>
  <w:p w:rsidR="00F75064" w:rsidRPr="004F2055" w:rsidRDefault="00F75064" w:rsidP="00AD1872">
    <w:pPr>
      <w:pStyle w:val="ab"/>
      <w:jc w:val="left"/>
      <w:rPr>
        <w:rFonts w:ascii="Times New Roman" w:hAnsi="Times New Roman"/>
        <w:sz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55" w:rsidRPr="007A5789" w:rsidRDefault="004F2055" w:rsidP="00CB2879">
    <w:pPr>
      <w:pStyle w:val="ab"/>
      <w:jc w:val="left"/>
      <w:rPr>
        <w:sz w:val="18"/>
      </w:rPr>
    </w:pPr>
    <w:r w:rsidRPr="007A5789">
      <w:rPr>
        <w:sz w:val="18"/>
      </w:rPr>
      <w:t>2015年年度财务报告和财务报表</w:t>
    </w:r>
  </w:p>
  <w:p w:rsidR="004F2055" w:rsidRPr="007A5789" w:rsidRDefault="004F2055" w:rsidP="00CB2879">
    <w:pPr>
      <w:pStyle w:val="ab"/>
      <w:jc w:val="left"/>
      <w:rPr>
        <w:sz w:val="18"/>
      </w:rPr>
    </w:pPr>
    <w:r w:rsidRPr="007A5789">
      <w:rPr>
        <w:sz w:val="18"/>
      </w:rPr>
      <w:t>第</w:t>
    </w:r>
    <w:r w:rsidRPr="007A5789">
      <w:rPr>
        <w:sz w:val="18"/>
      </w:rPr>
      <w:fldChar w:fldCharType="begin"/>
    </w:r>
    <w:r w:rsidRPr="007A5789">
      <w:rPr>
        <w:sz w:val="18"/>
      </w:rPr>
      <w:instrText xml:space="preserve"> PAGE   \* MERGEFORMAT </w:instrText>
    </w:r>
    <w:r w:rsidRPr="007A5789">
      <w:rPr>
        <w:sz w:val="18"/>
      </w:rPr>
      <w:fldChar w:fldCharType="separate"/>
    </w:r>
    <w:r w:rsidR="00874EE0">
      <w:rPr>
        <w:noProof/>
        <w:sz w:val="18"/>
      </w:rPr>
      <w:t>72</w:t>
    </w:r>
    <w:r w:rsidRPr="007A5789">
      <w:rPr>
        <w:noProof/>
        <w:sz w:val="18"/>
      </w:rPr>
      <w:fldChar w:fldCharType="end"/>
    </w:r>
    <w:r w:rsidRPr="007A5789">
      <w:rPr>
        <w:sz w:val="18"/>
      </w:rPr>
      <w:t>页</w:t>
    </w:r>
  </w:p>
  <w:p w:rsidR="004F2055" w:rsidRPr="004F2055" w:rsidRDefault="004F2055" w:rsidP="00CB2879">
    <w:pPr>
      <w:pStyle w:val="ab"/>
      <w:jc w:val="left"/>
      <w:rPr>
        <w:noProof/>
        <w:sz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55" w:rsidRPr="007A5789" w:rsidRDefault="004F2055" w:rsidP="00CB2879">
    <w:pPr>
      <w:pStyle w:val="ab"/>
      <w:jc w:val="right"/>
      <w:rPr>
        <w:sz w:val="18"/>
      </w:rPr>
    </w:pPr>
    <w:r w:rsidRPr="007A5789">
      <w:rPr>
        <w:sz w:val="18"/>
      </w:rPr>
      <w:t>2015年年度财务报告和财务报表</w:t>
    </w:r>
  </w:p>
  <w:p w:rsidR="004F2055" w:rsidRPr="007A5789" w:rsidRDefault="004F2055" w:rsidP="00CB2879">
    <w:pPr>
      <w:pStyle w:val="ab"/>
      <w:jc w:val="right"/>
      <w:rPr>
        <w:sz w:val="18"/>
      </w:rPr>
    </w:pPr>
    <w:r w:rsidRPr="007A5789">
      <w:rPr>
        <w:sz w:val="18"/>
      </w:rPr>
      <w:t>第</w:t>
    </w:r>
    <w:r w:rsidRPr="007A5789">
      <w:rPr>
        <w:sz w:val="18"/>
      </w:rPr>
      <w:fldChar w:fldCharType="begin"/>
    </w:r>
    <w:r w:rsidRPr="007A5789">
      <w:rPr>
        <w:sz w:val="18"/>
      </w:rPr>
      <w:instrText xml:space="preserve"> PAGE   \* MERGEFORMAT </w:instrText>
    </w:r>
    <w:r w:rsidRPr="007A5789">
      <w:rPr>
        <w:sz w:val="18"/>
      </w:rPr>
      <w:fldChar w:fldCharType="separate"/>
    </w:r>
    <w:r w:rsidR="00874EE0">
      <w:rPr>
        <w:noProof/>
        <w:sz w:val="18"/>
      </w:rPr>
      <w:t>69</w:t>
    </w:r>
    <w:r w:rsidRPr="007A5789">
      <w:rPr>
        <w:noProof/>
        <w:sz w:val="18"/>
      </w:rPr>
      <w:fldChar w:fldCharType="end"/>
    </w:r>
    <w:r w:rsidRPr="007A5789">
      <w:rPr>
        <w:sz w:val="18"/>
      </w:rPr>
      <w:t>页</w:t>
    </w:r>
  </w:p>
  <w:p w:rsidR="004F2055" w:rsidRPr="004F2055" w:rsidRDefault="004F2055" w:rsidP="00CB2879">
    <w:pPr>
      <w:pStyle w:val="ab"/>
      <w:jc w:val="right"/>
      <w:rPr>
        <w:sz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55" w:rsidRPr="007A5789" w:rsidRDefault="004F2055" w:rsidP="00AD1872">
    <w:pPr>
      <w:pStyle w:val="ab"/>
      <w:jc w:val="left"/>
      <w:rPr>
        <w:sz w:val="18"/>
      </w:rPr>
    </w:pPr>
    <w:r w:rsidRPr="007A5789">
      <w:rPr>
        <w:sz w:val="18"/>
      </w:rPr>
      <w:t>2015年年度财务报告和财务报表</w:t>
    </w:r>
  </w:p>
  <w:p w:rsidR="004F2055" w:rsidRPr="007A5789" w:rsidRDefault="004F2055" w:rsidP="00AD1872">
    <w:pPr>
      <w:pStyle w:val="ab"/>
      <w:jc w:val="left"/>
      <w:rPr>
        <w:sz w:val="18"/>
      </w:rPr>
    </w:pPr>
    <w:r w:rsidRPr="007A5789">
      <w:rPr>
        <w:sz w:val="18"/>
      </w:rPr>
      <w:t>第</w:t>
    </w:r>
    <w:r w:rsidRPr="007A5789">
      <w:rPr>
        <w:sz w:val="18"/>
      </w:rPr>
      <w:fldChar w:fldCharType="begin"/>
    </w:r>
    <w:r w:rsidRPr="007A5789">
      <w:rPr>
        <w:sz w:val="18"/>
      </w:rPr>
      <w:instrText xml:space="preserve"> PAGE   \* MERGEFORMAT </w:instrText>
    </w:r>
    <w:r w:rsidRPr="007A5789">
      <w:rPr>
        <w:sz w:val="18"/>
      </w:rPr>
      <w:fldChar w:fldCharType="separate"/>
    </w:r>
    <w:r w:rsidR="00874EE0">
      <w:rPr>
        <w:noProof/>
        <w:sz w:val="18"/>
      </w:rPr>
      <w:t>46</w:t>
    </w:r>
    <w:r w:rsidRPr="007A5789">
      <w:rPr>
        <w:noProof/>
        <w:sz w:val="18"/>
      </w:rPr>
      <w:fldChar w:fldCharType="end"/>
    </w:r>
    <w:r w:rsidRPr="007A5789">
      <w:rPr>
        <w:sz w:val="18"/>
      </w:rPr>
      <w:t>页</w:t>
    </w:r>
  </w:p>
  <w:p w:rsidR="004F2055" w:rsidRPr="004F2055" w:rsidRDefault="004F2055" w:rsidP="00AD1872">
    <w:pPr>
      <w:pStyle w:val="ab"/>
      <w:jc w:val="left"/>
      <w:rPr>
        <w:rFonts w:ascii="Times New Roman" w:hAnsi="Times New Roman"/>
        <w:sz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55" w:rsidRPr="007A5789" w:rsidRDefault="004F2055" w:rsidP="00CB2879">
    <w:pPr>
      <w:pStyle w:val="ab"/>
      <w:jc w:val="right"/>
      <w:rPr>
        <w:sz w:val="18"/>
      </w:rPr>
    </w:pPr>
    <w:r w:rsidRPr="007A5789">
      <w:rPr>
        <w:sz w:val="18"/>
      </w:rPr>
      <w:t>2015年年度财务报告和财务报表</w:t>
    </w:r>
  </w:p>
  <w:p w:rsidR="004F2055" w:rsidRPr="007A5789" w:rsidRDefault="004F2055" w:rsidP="00CB2879">
    <w:pPr>
      <w:pStyle w:val="ab"/>
      <w:jc w:val="right"/>
      <w:rPr>
        <w:sz w:val="18"/>
      </w:rPr>
    </w:pPr>
    <w:r w:rsidRPr="007A5789">
      <w:rPr>
        <w:sz w:val="18"/>
      </w:rPr>
      <w:t>第</w:t>
    </w:r>
    <w:r w:rsidRPr="007A5789">
      <w:rPr>
        <w:sz w:val="18"/>
      </w:rPr>
      <w:fldChar w:fldCharType="begin"/>
    </w:r>
    <w:r w:rsidRPr="007A5789">
      <w:rPr>
        <w:sz w:val="18"/>
      </w:rPr>
      <w:instrText xml:space="preserve"> PAGE   \* MERGEFORMAT </w:instrText>
    </w:r>
    <w:r w:rsidRPr="007A5789">
      <w:rPr>
        <w:sz w:val="18"/>
      </w:rPr>
      <w:fldChar w:fldCharType="separate"/>
    </w:r>
    <w:r w:rsidR="00874EE0">
      <w:rPr>
        <w:noProof/>
        <w:sz w:val="18"/>
      </w:rPr>
      <w:t>73</w:t>
    </w:r>
    <w:r w:rsidRPr="007A5789">
      <w:rPr>
        <w:noProof/>
        <w:sz w:val="18"/>
      </w:rPr>
      <w:fldChar w:fldCharType="end"/>
    </w:r>
    <w:r w:rsidRPr="007A5789">
      <w:rPr>
        <w:sz w:val="18"/>
      </w:rPr>
      <w:t>页</w:t>
    </w:r>
  </w:p>
  <w:p w:rsidR="004F2055" w:rsidRPr="004F2055" w:rsidRDefault="004F2055" w:rsidP="00CB2879">
    <w:pPr>
      <w:pStyle w:val="ab"/>
      <w:jc w:val="right"/>
      <w:rPr>
        <w:sz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55" w:rsidRPr="007A5789" w:rsidRDefault="004F2055" w:rsidP="00AD1872">
    <w:pPr>
      <w:pStyle w:val="ab"/>
      <w:jc w:val="left"/>
      <w:rPr>
        <w:sz w:val="18"/>
      </w:rPr>
    </w:pPr>
    <w:r w:rsidRPr="007A5789">
      <w:rPr>
        <w:sz w:val="18"/>
      </w:rPr>
      <w:t>2015年年度财务报告和财务报表</w:t>
    </w:r>
  </w:p>
  <w:p w:rsidR="004F2055" w:rsidRPr="007A5789" w:rsidRDefault="004F2055" w:rsidP="00AD1872">
    <w:pPr>
      <w:pStyle w:val="ab"/>
      <w:jc w:val="left"/>
      <w:rPr>
        <w:sz w:val="18"/>
      </w:rPr>
    </w:pPr>
    <w:r w:rsidRPr="007A5789">
      <w:rPr>
        <w:sz w:val="18"/>
      </w:rPr>
      <w:t>第</w:t>
    </w:r>
    <w:r w:rsidRPr="007A5789">
      <w:rPr>
        <w:sz w:val="18"/>
      </w:rPr>
      <w:fldChar w:fldCharType="begin"/>
    </w:r>
    <w:r w:rsidRPr="007A5789">
      <w:rPr>
        <w:sz w:val="18"/>
      </w:rPr>
      <w:instrText xml:space="preserve"> PAGE   \* MERGEFORMAT </w:instrText>
    </w:r>
    <w:r w:rsidRPr="007A5789">
      <w:rPr>
        <w:sz w:val="18"/>
      </w:rPr>
      <w:fldChar w:fldCharType="separate"/>
    </w:r>
    <w:r w:rsidR="00874EE0">
      <w:rPr>
        <w:noProof/>
        <w:sz w:val="18"/>
      </w:rPr>
      <w:t>74</w:t>
    </w:r>
    <w:r w:rsidRPr="007A5789">
      <w:rPr>
        <w:noProof/>
        <w:sz w:val="18"/>
      </w:rPr>
      <w:fldChar w:fldCharType="end"/>
    </w:r>
    <w:r w:rsidRPr="007A5789">
      <w:rPr>
        <w:sz w:val="18"/>
      </w:rPr>
      <w:t>页</w:t>
    </w:r>
  </w:p>
  <w:p w:rsidR="004F2055" w:rsidRPr="004F2055" w:rsidRDefault="004F2055" w:rsidP="00AD1872">
    <w:pPr>
      <w:pStyle w:val="ab"/>
      <w:jc w:val="left"/>
      <w:rPr>
        <w:rFonts w:ascii="Times New Roman" w:hAnsi="Times New Roman"/>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064" w:rsidRPr="007A5789" w:rsidRDefault="00F75064" w:rsidP="00CB2879">
    <w:pPr>
      <w:pStyle w:val="ab"/>
      <w:jc w:val="left"/>
      <w:rPr>
        <w:sz w:val="18"/>
      </w:rPr>
    </w:pPr>
    <w:r w:rsidRPr="007A5789">
      <w:rPr>
        <w:sz w:val="18"/>
      </w:rPr>
      <w:t>2015年年度财务报告和财务报表</w:t>
    </w:r>
  </w:p>
  <w:p w:rsidR="00F75064" w:rsidRPr="007A5789" w:rsidRDefault="00F75064" w:rsidP="00CB2879">
    <w:pPr>
      <w:pStyle w:val="ab"/>
      <w:jc w:val="left"/>
      <w:rPr>
        <w:sz w:val="18"/>
      </w:rPr>
    </w:pPr>
    <w:r w:rsidRPr="007A5789">
      <w:rPr>
        <w:sz w:val="18"/>
      </w:rPr>
      <w:t>第</w:t>
    </w:r>
    <w:r w:rsidRPr="007A5789">
      <w:rPr>
        <w:sz w:val="18"/>
      </w:rPr>
      <w:fldChar w:fldCharType="begin"/>
    </w:r>
    <w:r w:rsidRPr="007A5789">
      <w:rPr>
        <w:sz w:val="18"/>
      </w:rPr>
      <w:instrText xml:space="preserve"> PAGE   \* MERGEFORMAT </w:instrText>
    </w:r>
    <w:r w:rsidRPr="007A5789">
      <w:rPr>
        <w:sz w:val="18"/>
      </w:rPr>
      <w:fldChar w:fldCharType="separate"/>
    </w:r>
    <w:r w:rsidR="00874EE0">
      <w:rPr>
        <w:noProof/>
        <w:sz w:val="18"/>
      </w:rPr>
      <w:t>2</w:t>
    </w:r>
    <w:r w:rsidRPr="007A5789">
      <w:rPr>
        <w:noProof/>
        <w:sz w:val="18"/>
      </w:rPr>
      <w:fldChar w:fldCharType="end"/>
    </w:r>
    <w:r w:rsidRPr="007A5789">
      <w:rPr>
        <w:sz w:val="18"/>
      </w:rPr>
      <w:t>页</w:t>
    </w:r>
  </w:p>
  <w:p w:rsidR="00F75064" w:rsidRPr="004F2055" w:rsidRDefault="00F75064" w:rsidP="00CB2879">
    <w:pPr>
      <w:pStyle w:val="ab"/>
      <w:jc w:val="left"/>
      <w:rPr>
        <w:noProof/>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55" w:rsidRPr="007A5789" w:rsidRDefault="004F2055" w:rsidP="00CB2879">
    <w:pPr>
      <w:pStyle w:val="ab"/>
      <w:jc w:val="right"/>
      <w:rPr>
        <w:sz w:val="18"/>
      </w:rPr>
    </w:pPr>
    <w:r w:rsidRPr="007A5789">
      <w:rPr>
        <w:sz w:val="18"/>
      </w:rPr>
      <w:t>2015年年度财务报告和财务报表</w:t>
    </w:r>
  </w:p>
  <w:p w:rsidR="004F2055" w:rsidRPr="007A5789" w:rsidRDefault="004F2055" w:rsidP="00CB2879">
    <w:pPr>
      <w:pStyle w:val="ab"/>
      <w:jc w:val="right"/>
      <w:rPr>
        <w:sz w:val="18"/>
      </w:rPr>
    </w:pPr>
    <w:r w:rsidRPr="007A5789">
      <w:rPr>
        <w:sz w:val="18"/>
      </w:rPr>
      <w:t>第</w:t>
    </w:r>
    <w:r w:rsidRPr="007A5789">
      <w:rPr>
        <w:sz w:val="18"/>
      </w:rPr>
      <w:fldChar w:fldCharType="begin"/>
    </w:r>
    <w:r w:rsidRPr="007A5789">
      <w:rPr>
        <w:sz w:val="18"/>
      </w:rPr>
      <w:instrText xml:space="preserve"> PAGE   \* MERGEFORMAT </w:instrText>
    </w:r>
    <w:r w:rsidRPr="007A5789">
      <w:rPr>
        <w:sz w:val="18"/>
      </w:rPr>
      <w:fldChar w:fldCharType="separate"/>
    </w:r>
    <w:r w:rsidR="00874EE0">
      <w:rPr>
        <w:noProof/>
        <w:sz w:val="18"/>
      </w:rPr>
      <w:t>3</w:t>
    </w:r>
    <w:r w:rsidRPr="007A5789">
      <w:rPr>
        <w:noProof/>
        <w:sz w:val="18"/>
      </w:rPr>
      <w:fldChar w:fldCharType="end"/>
    </w:r>
    <w:r w:rsidRPr="007A5789">
      <w:rPr>
        <w:sz w:val="18"/>
      </w:rPr>
      <w:t>页</w:t>
    </w:r>
  </w:p>
  <w:p w:rsidR="004F2055" w:rsidRPr="004F2055" w:rsidRDefault="004F2055" w:rsidP="00CB2879">
    <w:pPr>
      <w:pStyle w:val="ab"/>
      <w:jc w:val="right"/>
      <w:rPr>
        <w:sz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55" w:rsidRDefault="004F2055">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55" w:rsidRPr="007A5789" w:rsidRDefault="004F2055" w:rsidP="00CB2879">
    <w:pPr>
      <w:pStyle w:val="ab"/>
      <w:jc w:val="left"/>
      <w:rPr>
        <w:sz w:val="18"/>
      </w:rPr>
    </w:pPr>
    <w:r w:rsidRPr="007A5789">
      <w:rPr>
        <w:sz w:val="18"/>
      </w:rPr>
      <w:t>2015年年度财务报告和财务报表</w:t>
    </w:r>
  </w:p>
  <w:p w:rsidR="004F2055" w:rsidRPr="007A5789" w:rsidRDefault="004F2055" w:rsidP="00CB2879">
    <w:pPr>
      <w:pStyle w:val="ab"/>
      <w:jc w:val="left"/>
      <w:rPr>
        <w:sz w:val="18"/>
      </w:rPr>
    </w:pPr>
    <w:r w:rsidRPr="007A5789">
      <w:rPr>
        <w:sz w:val="18"/>
      </w:rPr>
      <w:t>第</w:t>
    </w:r>
    <w:r w:rsidRPr="007A5789">
      <w:rPr>
        <w:sz w:val="18"/>
      </w:rPr>
      <w:fldChar w:fldCharType="begin"/>
    </w:r>
    <w:r w:rsidRPr="007A5789">
      <w:rPr>
        <w:sz w:val="18"/>
      </w:rPr>
      <w:instrText xml:space="preserve"> PAGE   \* MERGEFORMAT </w:instrText>
    </w:r>
    <w:r w:rsidRPr="007A5789">
      <w:rPr>
        <w:sz w:val="18"/>
      </w:rPr>
      <w:fldChar w:fldCharType="separate"/>
    </w:r>
    <w:r w:rsidR="00874EE0">
      <w:rPr>
        <w:noProof/>
        <w:sz w:val="18"/>
      </w:rPr>
      <w:t>22</w:t>
    </w:r>
    <w:r w:rsidRPr="007A5789">
      <w:rPr>
        <w:noProof/>
        <w:sz w:val="18"/>
      </w:rPr>
      <w:fldChar w:fldCharType="end"/>
    </w:r>
    <w:r w:rsidRPr="007A5789">
      <w:rPr>
        <w:sz w:val="18"/>
      </w:rPr>
      <w:t>页</w:t>
    </w:r>
  </w:p>
  <w:p w:rsidR="004F2055" w:rsidRPr="004F2055" w:rsidRDefault="004F2055" w:rsidP="00CB2879">
    <w:pPr>
      <w:pStyle w:val="ab"/>
      <w:jc w:val="left"/>
      <w:rPr>
        <w:noProof/>
        <w:sz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55" w:rsidRPr="007A5789" w:rsidRDefault="004F2055" w:rsidP="00CB2879">
    <w:pPr>
      <w:pStyle w:val="ab"/>
      <w:jc w:val="right"/>
      <w:rPr>
        <w:sz w:val="18"/>
      </w:rPr>
    </w:pPr>
    <w:r w:rsidRPr="007A5789">
      <w:rPr>
        <w:sz w:val="18"/>
      </w:rPr>
      <w:t>2015年年度财务报告和财务报表</w:t>
    </w:r>
  </w:p>
  <w:p w:rsidR="004F2055" w:rsidRPr="007A5789" w:rsidRDefault="004F2055" w:rsidP="00CB2879">
    <w:pPr>
      <w:pStyle w:val="ab"/>
      <w:jc w:val="right"/>
      <w:rPr>
        <w:sz w:val="18"/>
      </w:rPr>
    </w:pPr>
    <w:r w:rsidRPr="007A5789">
      <w:rPr>
        <w:sz w:val="18"/>
      </w:rPr>
      <w:t>第</w:t>
    </w:r>
    <w:r w:rsidRPr="007A5789">
      <w:rPr>
        <w:sz w:val="18"/>
      </w:rPr>
      <w:fldChar w:fldCharType="begin"/>
    </w:r>
    <w:r w:rsidRPr="007A5789">
      <w:rPr>
        <w:sz w:val="18"/>
      </w:rPr>
      <w:instrText xml:space="preserve"> PAGE   \* MERGEFORMAT </w:instrText>
    </w:r>
    <w:r w:rsidRPr="007A5789">
      <w:rPr>
        <w:sz w:val="18"/>
      </w:rPr>
      <w:fldChar w:fldCharType="separate"/>
    </w:r>
    <w:r w:rsidR="00874EE0">
      <w:rPr>
        <w:noProof/>
        <w:sz w:val="18"/>
      </w:rPr>
      <w:t>21</w:t>
    </w:r>
    <w:r w:rsidRPr="007A5789">
      <w:rPr>
        <w:noProof/>
        <w:sz w:val="18"/>
      </w:rPr>
      <w:fldChar w:fldCharType="end"/>
    </w:r>
    <w:r w:rsidRPr="007A5789">
      <w:rPr>
        <w:sz w:val="18"/>
      </w:rPr>
      <w:t>页</w:t>
    </w:r>
  </w:p>
  <w:p w:rsidR="004F2055" w:rsidRPr="004F2055" w:rsidRDefault="004F2055" w:rsidP="00CB2879">
    <w:pPr>
      <w:pStyle w:val="ab"/>
      <w:jc w:val="right"/>
      <w:rPr>
        <w:sz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064" w:rsidRPr="007A5789" w:rsidRDefault="00F75064" w:rsidP="004F2055">
    <w:pPr>
      <w:pStyle w:val="ab"/>
      <w:jc w:val="left"/>
      <w:rPr>
        <w:sz w:val="18"/>
      </w:rPr>
    </w:pPr>
    <w:r w:rsidRPr="007A5789">
      <w:rPr>
        <w:sz w:val="18"/>
      </w:rPr>
      <w:t>2015年年度财务报告和财务报表</w:t>
    </w:r>
  </w:p>
  <w:p w:rsidR="00F75064" w:rsidRDefault="00F75064" w:rsidP="004F2055">
    <w:pPr>
      <w:pStyle w:val="ab"/>
      <w:jc w:val="left"/>
      <w:rPr>
        <w:sz w:val="18"/>
      </w:rPr>
    </w:pPr>
    <w:r w:rsidRPr="007A5789">
      <w:rPr>
        <w:sz w:val="18"/>
      </w:rPr>
      <w:t>第</w:t>
    </w:r>
    <w:r w:rsidRPr="007A5789">
      <w:rPr>
        <w:sz w:val="18"/>
      </w:rPr>
      <w:fldChar w:fldCharType="begin"/>
    </w:r>
    <w:r w:rsidRPr="007A5789">
      <w:rPr>
        <w:sz w:val="18"/>
      </w:rPr>
      <w:instrText xml:space="preserve"> PAGE   \* MERGEFORMAT </w:instrText>
    </w:r>
    <w:r w:rsidRPr="007A5789">
      <w:rPr>
        <w:sz w:val="18"/>
      </w:rPr>
      <w:fldChar w:fldCharType="separate"/>
    </w:r>
    <w:r w:rsidR="00874EE0">
      <w:rPr>
        <w:noProof/>
        <w:sz w:val="18"/>
      </w:rPr>
      <w:t>4</w:t>
    </w:r>
    <w:r w:rsidRPr="007A5789">
      <w:rPr>
        <w:noProof/>
        <w:sz w:val="18"/>
      </w:rPr>
      <w:fldChar w:fldCharType="end"/>
    </w:r>
    <w:r w:rsidRPr="007A5789">
      <w:rPr>
        <w:sz w:val="18"/>
      </w:rPr>
      <w:t>页</w:t>
    </w:r>
  </w:p>
  <w:p w:rsidR="004F2055" w:rsidRPr="004F2055" w:rsidRDefault="004F2055" w:rsidP="004F2055">
    <w:pPr>
      <w:pStyle w:val="ab"/>
      <w:jc w:val="left"/>
      <w:rPr>
        <w:rFonts w:ascii="Times New Roman" w:hAnsi="Times New Roman"/>
        <w:sz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55" w:rsidRPr="007A5789" w:rsidRDefault="004F2055" w:rsidP="004F2055">
    <w:pPr>
      <w:pStyle w:val="ab"/>
      <w:jc w:val="right"/>
      <w:rPr>
        <w:sz w:val="18"/>
      </w:rPr>
    </w:pPr>
    <w:r w:rsidRPr="007A5789">
      <w:rPr>
        <w:sz w:val="18"/>
      </w:rPr>
      <w:t>2015年年度财务报告和财务报表</w:t>
    </w:r>
  </w:p>
  <w:p w:rsidR="004F2055" w:rsidRDefault="004F2055" w:rsidP="004F2055">
    <w:pPr>
      <w:pStyle w:val="ab"/>
      <w:jc w:val="right"/>
      <w:rPr>
        <w:sz w:val="18"/>
      </w:rPr>
    </w:pPr>
    <w:r w:rsidRPr="007A5789">
      <w:rPr>
        <w:sz w:val="18"/>
      </w:rPr>
      <w:t>第</w:t>
    </w:r>
    <w:r w:rsidRPr="007A5789">
      <w:rPr>
        <w:sz w:val="18"/>
      </w:rPr>
      <w:fldChar w:fldCharType="begin"/>
    </w:r>
    <w:r w:rsidRPr="007A5789">
      <w:rPr>
        <w:sz w:val="18"/>
      </w:rPr>
      <w:instrText xml:space="preserve"> PAGE   \* MERGEFORMAT </w:instrText>
    </w:r>
    <w:r w:rsidRPr="007A5789">
      <w:rPr>
        <w:sz w:val="18"/>
      </w:rPr>
      <w:fldChar w:fldCharType="separate"/>
    </w:r>
    <w:r w:rsidR="00874EE0">
      <w:rPr>
        <w:noProof/>
        <w:sz w:val="18"/>
      </w:rPr>
      <w:t>23</w:t>
    </w:r>
    <w:r w:rsidRPr="007A5789">
      <w:rPr>
        <w:noProof/>
        <w:sz w:val="18"/>
      </w:rPr>
      <w:fldChar w:fldCharType="end"/>
    </w:r>
    <w:r w:rsidRPr="007A5789">
      <w:rPr>
        <w:sz w:val="18"/>
      </w:rPr>
      <w:t>页</w:t>
    </w:r>
  </w:p>
  <w:p w:rsidR="004F2055" w:rsidRPr="004F2055" w:rsidRDefault="004F2055" w:rsidP="004F2055">
    <w:pPr>
      <w:pStyle w:val="ab"/>
      <w:jc w:val="right"/>
      <w:rPr>
        <w:rFonts w:ascii="Times New Roman" w:hAnsi="Times New Roman"/>
        <w:sz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55" w:rsidRPr="007A5789" w:rsidRDefault="004F2055" w:rsidP="00CB2879">
    <w:pPr>
      <w:pStyle w:val="ab"/>
      <w:jc w:val="left"/>
      <w:rPr>
        <w:sz w:val="18"/>
      </w:rPr>
    </w:pPr>
    <w:r w:rsidRPr="007A5789">
      <w:rPr>
        <w:sz w:val="18"/>
      </w:rPr>
      <w:t>2015年年度财务报告和财务报表</w:t>
    </w:r>
  </w:p>
  <w:p w:rsidR="004F2055" w:rsidRPr="007A5789" w:rsidRDefault="004F2055" w:rsidP="00CB2879">
    <w:pPr>
      <w:pStyle w:val="ab"/>
      <w:jc w:val="left"/>
      <w:rPr>
        <w:sz w:val="18"/>
      </w:rPr>
    </w:pPr>
    <w:r w:rsidRPr="007A5789">
      <w:rPr>
        <w:sz w:val="18"/>
      </w:rPr>
      <w:t>第</w:t>
    </w:r>
    <w:r w:rsidRPr="007A5789">
      <w:rPr>
        <w:sz w:val="18"/>
      </w:rPr>
      <w:fldChar w:fldCharType="begin"/>
    </w:r>
    <w:r w:rsidRPr="007A5789">
      <w:rPr>
        <w:sz w:val="18"/>
      </w:rPr>
      <w:instrText xml:space="preserve"> PAGE   \* MERGEFORMAT </w:instrText>
    </w:r>
    <w:r w:rsidRPr="007A5789">
      <w:rPr>
        <w:sz w:val="18"/>
      </w:rPr>
      <w:fldChar w:fldCharType="separate"/>
    </w:r>
    <w:r w:rsidR="00874EE0">
      <w:rPr>
        <w:noProof/>
        <w:sz w:val="18"/>
      </w:rPr>
      <w:t>42</w:t>
    </w:r>
    <w:r w:rsidRPr="007A5789">
      <w:rPr>
        <w:noProof/>
        <w:sz w:val="18"/>
      </w:rPr>
      <w:fldChar w:fldCharType="end"/>
    </w:r>
    <w:r w:rsidRPr="007A5789">
      <w:rPr>
        <w:sz w:val="18"/>
      </w:rPr>
      <w:t>页</w:t>
    </w:r>
  </w:p>
  <w:p w:rsidR="004F2055" w:rsidRPr="004F2055" w:rsidRDefault="004F2055" w:rsidP="00CB2879">
    <w:pPr>
      <w:pStyle w:val="ab"/>
      <w:jc w:val="left"/>
      <w:rPr>
        <w:noProof/>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6940155A"/>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8F418E7"/>
    <w:multiLevelType w:val="hybridMultilevel"/>
    <w:tmpl w:val="BB18290C"/>
    <w:lvl w:ilvl="0" w:tplc="368C169C">
      <w:start w:val="1"/>
      <w:numFmt w:val="decimal"/>
      <w:lvlText w:val="14.%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83B14"/>
    <w:multiLevelType w:val="hybridMultilevel"/>
    <w:tmpl w:val="0924F0A6"/>
    <w:lvl w:ilvl="0" w:tplc="092072BC">
      <w:start w:val="1"/>
      <w:numFmt w:val="decimal"/>
      <w:lvlText w:val="2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D1D2B"/>
    <w:multiLevelType w:val="hybridMultilevel"/>
    <w:tmpl w:val="6D782AF2"/>
    <w:lvl w:ilvl="0" w:tplc="A5B480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A07D61"/>
    <w:multiLevelType w:val="hybridMultilevel"/>
    <w:tmpl w:val="7C3C7118"/>
    <w:lvl w:ilvl="0" w:tplc="2C1CA354">
      <w:start w:val="1"/>
      <w:numFmt w:val="decimal"/>
      <w:lvlText w:val="15.%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EF4EA7"/>
    <w:multiLevelType w:val="hybridMultilevel"/>
    <w:tmpl w:val="4636F804"/>
    <w:lvl w:ilvl="0" w:tplc="A5B480FC">
      <w:start w:val="1"/>
      <w:numFmt w:val="bullet"/>
      <w:lvlText w:val=""/>
      <w:lvlJc w:val="left"/>
      <w:pPr>
        <w:tabs>
          <w:tab w:val="num" w:pos="1021"/>
        </w:tabs>
        <w:ind w:left="102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1335E43"/>
    <w:multiLevelType w:val="hybridMultilevel"/>
    <w:tmpl w:val="B420D974"/>
    <w:lvl w:ilvl="0" w:tplc="6908C734">
      <w:start w:val="1"/>
      <w:numFmt w:val="decimal"/>
      <w:lvlText w:val="23.%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B58CF"/>
    <w:multiLevelType w:val="hybridMultilevel"/>
    <w:tmpl w:val="280EFFF0"/>
    <w:lvl w:ilvl="0" w:tplc="9B9AE0EA">
      <w:start w:val="1"/>
      <w:numFmt w:val="decimal"/>
      <w:lvlText w:val="12.%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F860CA"/>
    <w:multiLevelType w:val="hybridMultilevel"/>
    <w:tmpl w:val="2482FFA0"/>
    <w:lvl w:ilvl="0" w:tplc="60949AFC">
      <w:start w:val="1"/>
      <w:numFmt w:val="decimal"/>
      <w:lvlText w:val="13.%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221811"/>
    <w:multiLevelType w:val="hybridMultilevel"/>
    <w:tmpl w:val="03869704"/>
    <w:lvl w:ilvl="0" w:tplc="1694B294">
      <w:start w:val="1"/>
      <w:numFmt w:val="decimal"/>
      <w:lvlText w:val="4.%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2D37FA"/>
    <w:multiLevelType w:val="hybridMultilevel"/>
    <w:tmpl w:val="EFAA0B54"/>
    <w:lvl w:ilvl="0" w:tplc="D0F28C5A">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F629B6"/>
    <w:multiLevelType w:val="hybridMultilevel"/>
    <w:tmpl w:val="702CA728"/>
    <w:lvl w:ilvl="0" w:tplc="D9F889F2">
      <w:start w:val="1"/>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A13F76"/>
    <w:multiLevelType w:val="hybridMultilevel"/>
    <w:tmpl w:val="BDAA9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AFD340A"/>
    <w:multiLevelType w:val="hybridMultilevel"/>
    <w:tmpl w:val="FB126600"/>
    <w:lvl w:ilvl="0" w:tplc="7750A9A0">
      <w:start w:val="1"/>
      <w:numFmt w:val="decimal"/>
      <w:lvlText w:val="25.%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AE14A8"/>
    <w:multiLevelType w:val="hybridMultilevel"/>
    <w:tmpl w:val="7EBC5D98"/>
    <w:lvl w:ilvl="0" w:tplc="07861922">
      <w:start w:val="1"/>
      <w:numFmt w:val="decimal"/>
      <w:lvlText w:val="19.%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332B0A"/>
    <w:multiLevelType w:val="hybridMultilevel"/>
    <w:tmpl w:val="297E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1D224C"/>
    <w:multiLevelType w:val="hybridMultilevel"/>
    <w:tmpl w:val="D2B621F8"/>
    <w:lvl w:ilvl="0" w:tplc="76BA32EC">
      <w:start w:val="1"/>
      <w:numFmt w:val="decimal"/>
      <w:lvlText w:val="2.%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C123BA"/>
    <w:multiLevelType w:val="hybridMultilevel"/>
    <w:tmpl w:val="4CD01E2E"/>
    <w:lvl w:ilvl="0" w:tplc="4BC8CBA0">
      <w:start w:val="1"/>
      <w:numFmt w:val="decimal"/>
      <w:lvlText w:val="22.%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D81B2E"/>
    <w:multiLevelType w:val="hybridMultilevel"/>
    <w:tmpl w:val="FA900178"/>
    <w:lvl w:ilvl="0" w:tplc="F9722814">
      <w:start w:val="1"/>
      <w:numFmt w:val="decimal"/>
      <w:lvlText w:val="3.%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224321"/>
    <w:multiLevelType w:val="hybridMultilevel"/>
    <w:tmpl w:val="251E6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0A0CF1"/>
    <w:multiLevelType w:val="hybridMultilevel"/>
    <w:tmpl w:val="EA7E94B6"/>
    <w:lvl w:ilvl="0" w:tplc="CD108DA2">
      <w:start w:val="1"/>
      <w:numFmt w:val="decimal"/>
      <w:lvlText w:val="20.%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132C39"/>
    <w:multiLevelType w:val="hybridMultilevel"/>
    <w:tmpl w:val="95DC9AAE"/>
    <w:lvl w:ilvl="0" w:tplc="66E010A2">
      <w:start w:val="1"/>
      <w:numFmt w:val="decimal"/>
      <w:lvlText w:val="21.%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076C4B"/>
    <w:multiLevelType w:val="hybridMultilevel"/>
    <w:tmpl w:val="635C45AA"/>
    <w:lvl w:ilvl="0" w:tplc="140C87B4">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AD4C85"/>
    <w:multiLevelType w:val="hybridMultilevel"/>
    <w:tmpl w:val="D8BC2A38"/>
    <w:lvl w:ilvl="0" w:tplc="F4EA4D1E">
      <w:start w:val="1"/>
      <w:numFmt w:val="decimal"/>
      <w:lvlText w:val="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50420C"/>
    <w:multiLevelType w:val="hybridMultilevel"/>
    <w:tmpl w:val="0680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47018A"/>
    <w:multiLevelType w:val="hybridMultilevel"/>
    <w:tmpl w:val="E5D844A2"/>
    <w:lvl w:ilvl="0" w:tplc="2B3ACE6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6"/>
  </w:num>
  <w:num w:numId="4">
    <w:abstractNumId w:val="5"/>
  </w:num>
  <w:num w:numId="5">
    <w:abstractNumId w:val="16"/>
  </w:num>
  <w:num w:numId="6">
    <w:abstractNumId w:val="26"/>
  </w:num>
  <w:num w:numId="7">
    <w:abstractNumId w:val="3"/>
  </w:num>
  <w:num w:numId="8">
    <w:abstractNumId w:val="13"/>
  </w:num>
  <w:num w:numId="9">
    <w:abstractNumId w:val="21"/>
  </w:num>
  <w:num w:numId="10">
    <w:abstractNumId w:val="27"/>
  </w:num>
  <w:num w:numId="11">
    <w:abstractNumId w:val="18"/>
  </w:num>
  <w:num w:numId="12">
    <w:abstractNumId w:val="20"/>
  </w:num>
  <w:num w:numId="13">
    <w:abstractNumId w:val="10"/>
  </w:num>
  <w:num w:numId="14">
    <w:abstractNumId w:val="12"/>
  </w:num>
  <w:num w:numId="15">
    <w:abstractNumId w:val="25"/>
  </w:num>
  <w:num w:numId="16">
    <w:abstractNumId w:val="24"/>
  </w:num>
  <w:num w:numId="17">
    <w:abstractNumId w:val="11"/>
  </w:num>
  <w:num w:numId="18">
    <w:abstractNumId w:val="8"/>
  </w:num>
  <w:num w:numId="19">
    <w:abstractNumId w:val="9"/>
  </w:num>
  <w:num w:numId="20">
    <w:abstractNumId w:val="1"/>
  </w:num>
  <w:num w:numId="21">
    <w:abstractNumId w:val="4"/>
  </w:num>
  <w:num w:numId="22">
    <w:abstractNumId w:val="15"/>
  </w:num>
  <w:num w:numId="23">
    <w:abstractNumId w:val="22"/>
  </w:num>
  <w:num w:numId="24">
    <w:abstractNumId w:val="23"/>
  </w:num>
  <w:num w:numId="25">
    <w:abstractNumId w:val="19"/>
  </w:num>
  <w:num w:numId="26">
    <w:abstractNumId w:val="7"/>
  </w:num>
  <w:num w:numId="27">
    <w:abstractNumId w:val="14"/>
  </w:num>
  <w:num w:numId="28">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evenAndOddHeader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84"/>
    <w:rsid w:val="00003FC4"/>
    <w:rsid w:val="00007B93"/>
    <w:rsid w:val="00010600"/>
    <w:rsid w:val="00011912"/>
    <w:rsid w:val="00012E17"/>
    <w:rsid w:val="00021B97"/>
    <w:rsid w:val="00024ACE"/>
    <w:rsid w:val="00026B9B"/>
    <w:rsid w:val="000275F2"/>
    <w:rsid w:val="00033016"/>
    <w:rsid w:val="00042278"/>
    <w:rsid w:val="00042E81"/>
    <w:rsid w:val="00043CAA"/>
    <w:rsid w:val="00046B74"/>
    <w:rsid w:val="00061913"/>
    <w:rsid w:val="000650CA"/>
    <w:rsid w:val="000673A5"/>
    <w:rsid w:val="0007171A"/>
    <w:rsid w:val="00072D0E"/>
    <w:rsid w:val="00075432"/>
    <w:rsid w:val="000755FA"/>
    <w:rsid w:val="00076D7C"/>
    <w:rsid w:val="00081FFB"/>
    <w:rsid w:val="00084485"/>
    <w:rsid w:val="0009149D"/>
    <w:rsid w:val="00096898"/>
    <w:rsid w:val="000968ED"/>
    <w:rsid w:val="000A1290"/>
    <w:rsid w:val="000A3C01"/>
    <w:rsid w:val="000A7853"/>
    <w:rsid w:val="000B2E48"/>
    <w:rsid w:val="000B6027"/>
    <w:rsid w:val="000B71C2"/>
    <w:rsid w:val="000C33B2"/>
    <w:rsid w:val="000C374D"/>
    <w:rsid w:val="000C49C5"/>
    <w:rsid w:val="000C514B"/>
    <w:rsid w:val="000C779D"/>
    <w:rsid w:val="000D071E"/>
    <w:rsid w:val="000D260A"/>
    <w:rsid w:val="000D301B"/>
    <w:rsid w:val="000D40DA"/>
    <w:rsid w:val="000D5420"/>
    <w:rsid w:val="000D5AD6"/>
    <w:rsid w:val="000D73C1"/>
    <w:rsid w:val="000E14CD"/>
    <w:rsid w:val="000E4106"/>
    <w:rsid w:val="000E4D89"/>
    <w:rsid w:val="000E7D4A"/>
    <w:rsid w:val="000F123E"/>
    <w:rsid w:val="000F3F0F"/>
    <w:rsid w:val="000F5697"/>
    <w:rsid w:val="000F5E56"/>
    <w:rsid w:val="000F6462"/>
    <w:rsid w:val="000F6CC6"/>
    <w:rsid w:val="0010706F"/>
    <w:rsid w:val="00110211"/>
    <w:rsid w:val="00111426"/>
    <w:rsid w:val="001135F1"/>
    <w:rsid w:val="001308BC"/>
    <w:rsid w:val="00131284"/>
    <w:rsid w:val="00134184"/>
    <w:rsid w:val="00134E5A"/>
    <w:rsid w:val="001362EE"/>
    <w:rsid w:val="00137778"/>
    <w:rsid w:val="00147072"/>
    <w:rsid w:val="00151FE4"/>
    <w:rsid w:val="001521E7"/>
    <w:rsid w:val="0015665F"/>
    <w:rsid w:val="00160147"/>
    <w:rsid w:val="001613D4"/>
    <w:rsid w:val="00164D37"/>
    <w:rsid w:val="0016766F"/>
    <w:rsid w:val="00167CE7"/>
    <w:rsid w:val="001723AF"/>
    <w:rsid w:val="00172858"/>
    <w:rsid w:val="00173F96"/>
    <w:rsid w:val="00177640"/>
    <w:rsid w:val="00177F34"/>
    <w:rsid w:val="00180912"/>
    <w:rsid w:val="00182B53"/>
    <w:rsid w:val="001832A6"/>
    <w:rsid w:val="00184849"/>
    <w:rsid w:val="001864CF"/>
    <w:rsid w:val="00191D99"/>
    <w:rsid w:val="00192893"/>
    <w:rsid w:val="00192ECE"/>
    <w:rsid w:val="001933CD"/>
    <w:rsid w:val="00197D20"/>
    <w:rsid w:val="001A05C1"/>
    <w:rsid w:val="001A2030"/>
    <w:rsid w:val="001A411F"/>
    <w:rsid w:val="001A6151"/>
    <w:rsid w:val="001B0B5F"/>
    <w:rsid w:val="001B48D4"/>
    <w:rsid w:val="001B552A"/>
    <w:rsid w:val="001C3A91"/>
    <w:rsid w:val="001D3FBF"/>
    <w:rsid w:val="001D7CAA"/>
    <w:rsid w:val="001E1DEA"/>
    <w:rsid w:val="001E226D"/>
    <w:rsid w:val="001E3DB0"/>
    <w:rsid w:val="001E50BB"/>
    <w:rsid w:val="001E765F"/>
    <w:rsid w:val="001F39CA"/>
    <w:rsid w:val="001F563B"/>
    <w:rsid w:val="002014E0"/>
    <w:rsid w:val="002050E3"/>
    <w:rsid w:val="00207C89"/>
    <w:rsid w:val="00210A8A"/>
    <w:rsid w:val="002120E2"/>
    <w:rsid w:val="00214A68"/>
    <w:rsid w:val="002161B6"/>
    <w:rsid w:val="00222040"/>
    <w:rsid w:val="00222379"/>
    <w:rsid w:val="002231E4"/>
    <w:rsid w:val="00223417"/>
    <w:rsid w:val="00224ACB"/>
    <w:rsid w:val="0022533A"/>
    <w:rsid w:val="0023253A"/>
    <w:rsid w:val="002327F0"/>
    <w:rsid w:val="00237C47"/>
    <w:rsid w:val="00241067"/>
    <w:rsid w:val="00241702"/>
    <w:rsid w:val="002546A8"/>
    <w:rsid w:val="0025563A"/>
    <w:rsid w:val="002556AB"/>
    <w:rsid w:val="002577C1"/>
    <w:rsid w:val="002601CA"/>
    <w:rsid w:val="00261D76"/>
    <w:rsid w:val="002634C4"/>
    <w:rsid w:val="00265B43"/>
    <w:rsid w:val="00270372"/>
    <w:rsid w:val="00274C9E"/>
    <w:rsid w:val="002767E2"/>
    <w:rsid w:val="00280FB9"/>
    <w:rsid w:val="0028154F"/>
    <w:rsid w:val="00281857"/>
    <w:rsid w:val="00281939"/>
    <w:rsid w:val="00282BCD"/>
    <w:rsid w:val="00287DD3"/>
    <w:rsid w:val="002928D3"/>
    <w:rsid w:val="00293681"/>
    <w:rsid w:val="002947E7"/>
    <w:rsid w:val="00295079"/>
    <w:rsid w:val="002A5F64"/>
    <w:rsid w:val="002A65BF"/>
    <w:rsid w:val="002B00D3"/>
    <w:rsid w:val="002C0601"/>
    <w:rsid w:val="002C437E"/>
    <w:rsid w:val="002C6B90"/>
    <w:rsid w:val="002D06C1"/>
    <w:rsid w:val="002D2376"/>
    <w:rsid w:val="002D27E8"/>
    <w:rsid w:val="002D3E41"/>
    <w:rsid w:val="002D6942"/>
    <w:rsid w:val="002E0387"/>
    <w:rsid w:val="002E1EE6"/>
    <w:rsid w:val="002E5207"/>
    <w:rsid w:val="002E71E9"/>
    <w:rsid w:val="002F07DF"/>
    <w:rsid w:val="002F1992"/>
    <w:rsid w:val="002F1FE6"/>
    <w:rsid w:val="002F334E"/>
    <w:rsid w:val="002F4086"/>
    <w:rsid w:val="002F4E68"/>
    <w:rsid w:val="002F50E3"/>
    <w:rsid w:val="002F718E"/>
    <w:rsid w:val="00306720"/>
    <w:rsid w:val="00312F4B"/>
    <w:rsid w:val="00312F7F"/>
    <w:rsid w:val="00316F63"/>
    <w:rsid w:val="00322320"/>
    <w:rsid w:val="003256FB"/>
    <w:rsid w:val="00334C05"/>
    <w:rsid w:val="00337271"/>
    <w:rsid w:val="00343A5A"/>
    <w:rsid w:val="003447D9"/>
    <w:rsid w:val="00350404"/>
    <w:rsid w:val="00351587"/>
    <w:rsid w:val="00353F59"/>
    <w:rsid w:val="00355FD1"/>
    <w:rsid w:val="00357F42"/>
    <w:rsid w:val="00360370"/>
    <w:rsid w:val="00360E17"/>
    <w:rsid w:val="00361450"/>
    <w:rsid w:val="0036300F"/>
    <w:rsid w:val="0036514A"/>
    <w:rsid w:val="003673CF"/>
    <w:rsid w:val="00367FAB"/>
    <w:rsid w:val="00370428"/>
    <w:rsid w:val="00372FF8"/>
    <w:rsid w:val="00374121"/>
    <w:rsid w:val="00381101"/>
    <w:rsid w:val="00381820"/>
    <w:rsid w:val="003845C1"/>
    <w:rsid w:val="00390119"/>
    <w:rsid w:val="00391BB4"/>
    <w:rsid w:val="00392109"/>
    <w:rsid w:val="00393371"/>
    <w:rsid w:val="00393903"/>
    <w:rsid w:val="003947C0"/>
    <w:rsid w:val="00396EE7"/>
    <w:rsid w:val="003A11FB"/>
    <w:rsid w:val="003A2E23"/>
    <w:rsid w:val="003A3020"/>
    <w:rsid w:val="003A50FC"/>
    <w:rsid w:val="003A6C2D"/>
    <w:rsid w:val="003A6F89"/>
    <w:rsid w:val="003B05AB"/>
    <w:rsid w:val="003B20A0"/>
    <w:rsid w:val="003B22B3"/>
    <w:rsid w:val="003B35E6"/>
    <w:rsid w:val="003B38C1"/>
    <w:rsid w:val="003C0006"/>
    <w:rsid w:val="003C125D"/>
    <w:rsid w:val="003C6F4C"/>
    <w:rsid w:val="003D1AFA"/>
    <w:rsid w:val="003D2CFC"/>
    <w:rsid w:val="003D5463"/>
    <w:rsid w:val="003D693D"/>
    <w:rsid w:val="003D6E33"/>
    <w:rsid w:val="003D73A7"/>
    <w:rsid w:val="003E203B"/>
    <w:rsid w:val="003E3D38"/>
    <w:rsid w:val="003F0955"/>
    <w:rsid w:val="003F0CE2"/>
    <w:rsid w:val="00401262"/>
    <w:rsid w:val="00401FA9"/>
    <w:rsid w:val="00405770"/>
    <w:rsid w:val="00407E50"/>
    <w:rsid w:val="00410F39"/>
    <w:rsid w:val="004118B8"/>
    <w:rsid w:val="00412068"/>
    <w:rsid w:val="00413553"/>
    <w:rsid w:val="004138BA"/>
    <w:rsid w:val="00423D09"/>
    <w:rsid w:val="00423E3E"/>
    <w:rsid w:val="0042689C"/>
    <w:rsid w:val="00426A71"/>
    <w:rsid w:val="00427AF4"/>
    <w:rsid w:val="00432356"/>
    <w:rsid w:val="004336DC"/>
    <w:rsid w:val="00434028"/>
    <w:rsid w:val="00435612"/>
    <w:rsid w:val="00435DD1"/>
    <w:rsid w:val="00436EBB"/>
    <w:rsid w:val="00437C4A"/>
    <w:rsid w:val="00442342"/>
    <w:rsid w:val="004433CB"/>
    <w:rsid w:val="00444BEA"/>
    <w:rsid w:val="00446921"/>
    <w:rsid w:val="0045088F"/>
    <w:rsid w:val="00451573"/>
    <w:rsid w:val="00456815"/>
    <w:rsid w:val="00457373"/>
    <w:rsid w:val="00462748"/>
    <w:rsid w:val="00463EFD"/>
    <w:rsid w:val="004647DA"/>
    <w:rsid w:val="00465109"/>
    <w:rsid w:val="00465CCC"/>
    <w:rsid w:val="00467FBB"/>
    <w:rsid w:val="004701FC"/>
    <w:rsid w:val="0047229F"/>
    <w:rsid w:val="00474062"/>
    <w:rsid w:val="00477D6B"/>
    <w:rsid w:val="00482A3C"/>
    <w:rsid w:val="00484C25"/>
    <w:rsid w:val="00486F0F"/>
    <w:rsid w:val="00496562"/>
    <w:rsid w:val="00497AA0"/>
    <w:rsid w:val="00497BBA"/>
    <w:rsid w:val="004A120A"/>
    <w:rsid w:val="004A298B"/>
    <w:rsid w:val="004B1BE2"/>
    <w:rsid w:val="004B4679"/>
    <w:rsid w:val="004C08E2"/>
    <w:rsid w:val="004C0FCD"/>
    <w:rsid w:val="004C2129"/>
    <w:rsid w:val="004C4926"/>
    <w:rsid w:val="004C4B86"/>
    <w:rsid w:val="004C5FAF"/>
    <w:rsid w:val="004C7078"/>
    <w:rsid w:val="004D1B13"/>
    <w:rsid w:val="004D73F4"/>
    <w:rsid w:val="004E35F9"/>
    <w:rsid w:val="004E3BF7"/>
    <w:rsid w:val="004E71F1"/>
    <w:rsid w:val="004E7E0E"/>
    <w:rsid w:val="004F0C85"/>
    <w:rsid w:val="004F2055"/>
    <w:rsid w:val="004F49A4"/>
    <w:rsid w:val="004F5040"/>
    <w:rsid w:val="00500698"/>
    <w:rsid w:val="005019FF"/>
    <w:rsid w:val="0050507A"/>
    <w:rsid w:val="00505770"/>
    <w:rsid w:val="00506375"/>
    <w:rsid w:val="0051224E"/>
    <w:rsid w:val="00513467"/>
    <w:rsid w:val="0051440E"/>
    <w:rsid w:val="005160DA"/>
    <w:rsid w:val="00523233"/>
    <w:rsid w:val="00523C34"/>
    <w:rsid w:val="005240BF"/>
    <w:rsid w:val="00524872"/>
    <w:rsid w:val="00530135"/>
    <w:rsid w:val="0053057A"/>
    <w:rsid w:val="00531D09"/>
    <w:rsid w:val="00534DA0"/>
    <w:rsid w:val="00536421"/>
    <w:rsid w:val="005378E9"/>
    <w:rsid w:val="00541080"/>
    <w:rsid w:val="0054649B"/>
    <w:rsid w:val="00554072"/>
    <w:rsid w:val="00557E18"/>
    <w:rsid w:val="00560A29"/>
    <w:rsid w:val="0056159A"/>
    <w:rsid w:val="0056241B"/>
    <w:rsid w:val="005628FA"/>
    <w:rsid w:val="00565E41"/>
    <w:rsid w:val="005735CE"/>
    <w:rsid w:val="00576186"/>
    <w:rsid w:val="005819A2"/>
    <w:rsid w:val="005841DF"/>
    <w:rsid w:val="0058420A"/>
    <w:rsid w:val="00584BB7"/>
    <w:rsid w:val="005872F2"/>
    <w:rsid w:val="0059182F"/>
    <w:rsid w:val="0059204D"/>
    <w:rsid w:val="00594A73"/>
    <w:rsid w:val="0059573C"/>
    <w:rsid w:val="005A2216"/>
    <w:rsid w:val="005A52C0"/>
    <w:rsid w:val="005A75DE"/>
    <w:rsid w:val="005B0337"/>
    <w:rsid w:val="005B1CB3"/>
    <w:rsid w:val="005B58F9"/>
    <w:rsid w:val="005C3256"/>
    <w:rsid w:val="005C32D7"/>
    <w:rsid w:val="005C6649"/>
    <w:rsid w:val="005C70FB"/>
    <w:rsid w:val="005D18F3"/>
    <w:rsid w:val="005D1B4D"/>
    <w:rsid w:val="005D59F9"/>
    <w:rsid w:val="005D63DF"/>
    <w:rsid w:val="005E3154"/>
    <w:rsid w:val="005E573C"/>
    <w:rsid w:val="005E6E5F"/>
    <w:rsid w:val="005E78ED"/>
    <w:rsid w:val="005F1034"/>
    <w:rsid w:val="005F4987"/>
    <w:rsid w:val="00605827"/>
    <w:rsid w:val="006118F6"/>
    <w:rsid w:val="00611CE1"/>
    <w:rsid w:val="00612907"/>
    <w:rsid w:val="00612CF1"/>
    <w:rsid w:val="00614EF9"/>
    <w:rsid w:val="00620D55"/>
    <w:rsid w:val="0062296B"/>
    <w:rsid w:val="0062364C"/>
    <w:rsid w:val="006245A4"/>
    <w:rsid w:val="00624A89"/>
    <w:rsid w:val="00626D17"/>
    <w:rsid w:val="00627306"/>
    <w:rsid w:val="0063467D"/>
    <w:rsid w:val="00634CC3"/>
    <w:rsid w:val="00642BA0"/>
    <w:rsid w:val="00646050"/>
    <w:rsid w:val="00646AC3"/>
    <w:rsid w:val="006508E4"/>
    <w:rsid w:val="0065215A"/>
    <w:rsid w:val="006521BC"/>
    <w:rsid w:val="00656511"/>
    <w:rsid w:val="006627BD"/>
    <w:rsid w:val="006650BC"/>
    <w:rsid w:val="00666FED"/>
    <w:rsid w:val="00667384"/>
    <w:rsid w:val="006713CA"/>
    <w:rsid w:val="00673422"/>
    <w:rsid w:val="00673778"/>
    <w:rsid w:val="006751B8"/>
    <w:rsid w:val="00676C5C"/>
    <w:rsid w:val="00682095"/>
    <w:rsid w:val="00684AAC"/>
    <w:rsid w:val="006950A0"/>
    <w:rsid w:val="0069659C"/>
    <w:rsid w:val="006A1075"/>
    <w:rsid w:val="006A2997"/>
    <w:rsid w:val="006A3CDF"/>
    <w:rsid w:val="006A59EF"/>
    <w:rsid w:val="006B0F83"/>
    <w:rsid w:val="006C068B"/>
    <w:rsid w:val="006C0F4F"/>
    <w:rsid w:val="006C3E9E"/>
    <w:rsid w:val="006C5BD0"/>
    <w:rsid w:val="006C6898"/>
    <w:rsid w:val="006D02DE"/>
    <w:rsid w:val="006D1B5C"/>
    <w:rsid w:val="006D2AFA"/>
    <w:rsid w:val="006D7E0C"/>
    <w:rsid w:val="006E2A3C"/>
    <w:rsid w:val="006E3E19"/>
    <w:rsid w:val="006E3E75"/>
    <w:rsid w:val="006E59E2"/>
    <w:rsid w:val="006E7322"/>
    <w:rsid w:val="006F0531"/>
    <w:rsid w:val="006F192F"/>
    <w:rsid w:val="006F220D"/>
    <w:rsid w:val="006F28EC"/>
    <w:rsid w:val="00700881"/>
    <w:rsid w:val="007020E3"/>
    <w:rsid w:val="007023EA"/>
    <w:rsid w:val="00703CCE"/>
    <w:rsid w:val="00714234"/>
    <w:rsid w:val="007151C4"/>
    <w:rsid w:val="0071598D"/>
    <w:rsid w:val="00721341"/>
    <w:rsid w:val="0072185F"/>
    <w:rsid w:val="00723D08"/>
    <w:rsid w:val="00726678"/>
    <w:rsid w:val="0072689A"/>
    <w:rsid w:val="0073064F"/>
    <w:rsid w:val="00731917"/>
    <w:rsid w:val="00736FA3"/>
    <w:rsid w:val="0073720D"/>
    <w:rsid w:val="0074049E"/>
    <w:rsid w:val="00741957"/>
    <w:rsid w:val="0074262A"/>
    <w:rsid w:val="00742D22"/>
    <w:rsid w:val="00751F42"/>
    <w:rsid w:val="007525E4"/>
    <w:rsid w:val="00752F46"/>
    <w:rsid w:val="00760B96"/>
    <w:rsid w:val="0076288A"/>
    <w:rsid w:val="00767F60"/>
    <w:rsid w:val="00774D24"/>
    <w:rsid w:val="00774E70"/>
    <w:rsid w:val="007826F4"/>
    <w:rsid w:val="00797442"/>
    <w:rsid w:val="007A2028"/>
    <w:rsid w:val="007A5789"/>
    <w:rsid w:val="007B1670"/>
    <w:rsid w:val="007B1A06"/>
    <w:rsid w:val="007B37D6"/>
    <w:rsid w:val="007B7DB1"/>
    <w:rsid w:val="007C045C"/>
    <w:rsid w:val="007C1BEE"/>
    <w:rsid w:val="007C2134"/>
    <w:rsid w:val="007C35CC"/>
    <w:rsid w:val="007C4A93"/>
    <w:rsid w:val="007D1613"/>
    <w:rsid w:val="007D26F4"/>
    <w:rsid w:val="007D5376"/>
    <w:rsid w:val="007D7D4B"/>
    <w:rsid w:val="007F2679"/>
    <w:rsid w:val="00807176"/>
    <w:rsid w:val="00816F5D"/>
    <w:rsid w:val="00817B84"/>
    <w:rsid w:val="00823A8C"/>
    <w:rsid w:val="008310D4"/>
    <w:rsid w:val="00837543"/>
    <w:rsid w:val="00837A08"/>
    <w:rsid w:val="00843BEC"/>
    <w:rsid w:val="00845E78"/>
    <w:rsid w:val="00850BA0"/>
    <w:rsid w:val="008529D9"/>
    <w:rsid w:val="00853E5B"/>
    <w:rsid w:val="0085595C"/>
    <w:rsid w:val="00860903"/>
    <w:rsid w:val="00860EA4"/>
    <w:rsid w:val="00861DD9"/>
    <w:rsid w:val="008629D9"/>
    <w:rsid w:val="00864404"/>
    <w:rsid w:val="0086725F"/>
    <w:rsid w:val="00871AB1"/>
    <w:rsid w:val="00874EE0"/>
    <w:rsid w:val="00875CCC"/>
    <w:rsid w:val="00876848"/>
    <w:rsid w:val="00876E3A"/>
    <w:rsid w:val="00880100"/>
    <w:rsid w:val="00882BA9"/>
    <w:rsid w:val="008830AB"/>
    <w:rsid w:val="0088387C"/>
    <w:rsid w:val="00884F0E"/>
    <w:rsid w:val="008878D1"/>
    <w:rsid w:val="0089356B"/>
    <w:rsid w:val="00893CF0"/>
    <w:rsid w:val="008965A7"/>
    <w:rsid w:val="008971A2"/>
    <w:rsid w:val="008A570E"/>
    <w:rsid w:val="008B0F01"/>
    <w:rsid w:val="008B2CC1"/>
    <w:rsid w:val="008B4A68"/>
    <w:rsid w:val="008B60B2"/>
    <w:rsid w:val="008B64D0"/>
    <w:rsid w:val="008B6974"/>
    <w:rsid w:val="008B7FDA"/>
    <w:rsid w:val="008C3F70"/>
    <w:rsid w:val="008C562B"/>
    <w:rsid w:val="008C6F1F"/>
    <w:rsid w:val="008D1C7E"/>
    <w:rsid w:val="008D688E"/>
    <w:rsid w:val="008D69E6"/>
    <w:rsid w:val="008E4022"/>
    <w:rsid w:val="008F1B21"/>
    <w:rsid w:val="008F4D16"/>
    <w:rsid w:val="008F7466"/>
    <w:rsid w:val="00900197"/>
    <w:rsid w:val="00901262"/>
    <w:rsid w:val="00903D0C"/>
    <w:rsid w:val="0090731E"/>
    <w:rsid w:val="009109B9"/>
    <w:rsid w:val="00915477"/>
    <w:rsid w:val="00916EE2"/>
    <w:rsid w:val="0091737F"/>
    <w:rsid w:val="00920757"/>
    <w:rsid w:val="009267AF"/>
    <w:rsid w:val="00927806"/>
    <w:rsid w:val="00934959"/>
    <w:rsid w:val="00935F88"/>
    <w:rsid w:val="0093655D"/>
    <w:rsid w:val="00943ADC"/>
    <w:rsid w:val="00952000"/>
    <w:rsid w:val="00956AE3"/>
    <w:rsid w:val="00961845"/>
    <w:rsid w:val="00966A22"/>
    <w:rsid w:val="0096722F"/>
    <w:rsid w:val="0097337E"/>
    <w:rsid w:val="0097362E"/>
    <w:rsid w:val="0097506B"/>
    <w:rsid w:val="0097594F"/>
    <w:rsid w:val="00976868"/>
    <w:rsid w:val="00976C19"/>
    <w:rsid w:val="00980843"/>
    <w:rsid w:val="00982238"/>
    <w:rsid w:val="00984DC2"/>
    <w:rsid w:val="009876C5"/>
    <w:rsid w:val="0099668F"/>
    <w:rsid w:val="009A4369"/>
    <w:rsid w:val="009B15CB"/>
    <w:rsid w:val="009B5B06"/>
    <w:rsid w:val="009B6AF1"/>
    <w:rsid w:val="009B7771"/>
    <w:rsid w:val="009C4FDD"/>
    <w:rsid w:val="009C73D3"/>
    <w:rsid w:val="009D2023"/>
    <w:rsid w:val="009E2791"/>
    <w:rsid w:val="009E3F6F"/>
    <w:rsid w:val="009E4A19"/>
    <w:rsid w:val="009E52B3"/>
    <w:rsid w:val="009E5A08"/>
    <w:rsid w:val="009F499F"/>
    <w:rsid w:val="009F511E"/>
    <w:rsid w:val="009F536B"/>
    <w:rsid w:val="009F5B81"/>
    <w:rsid w:val="009F63F3"/>
    <w:rsid w:val="00A05103"/>
    <w:rsid w:val="00A05D7E"/>
    <w:rsid w:val="00A05E56"/>
    <w:rsid w:val="00A10A0D"/>
    <w:rsid w:val="00A13F30"/>
    <w:rsid w:val="00A14905"/>
    <w:rsid w:val="00A20053"/>
    <w:rsid w:val="00A228C0"/>
    <w:rsid w:val="00A23161"/>
    <w:rsid w:val="00A24C64"/>
    <w:rsid w:val="00A26F15"/>
    <w:rsid w:val="00A3050F"/>
    <w:rsid w:val="00A40F88"/>
    <w:rsid w:val="00A42DAF"/>
    <w:rsid w:val="00A45BD8"/>
    <w:rsid w:val="00A45FF1"/>
    <w:rsid w:val="00A5115E"/>
    <w:rsid w:val="00A52B35"/>
    <w:rsid w:val="00A537AE"/>
    <w:rsid w:val="00A54B40"/>
    <w:rsid w:val="00A55AC8"/>
    <w:rsid w:val="00A623F8"/>
    <w:rsid w:val="00A626A2"/>
    <w:rsid w:val="00A62F43"/>
    <w:rsid w:val="00A67565"/>
    <w:rsid w:val="00A67983"/>
    <w:rsid w:val="00A67E56"/>
    <w:rsid w:val="00A72FF4"/>
    <w:rsid w:val="00A80CBC"/>
    <w:rsid w:val="00A83AAE"/>
    <w:rsid w:val="00A83C62"/>
    <w:rsid w:val="00A850AE"/>
    <w:rsid w:val="00A852F8"/>
    <w:rsid w:val="00A869B7"/>
    <w:rsid w:val="00A91198"/>
    <w:rsid w:val="00A92B75"/>
    <w:rsid w:val="00A93019"/>
    <w:rsid w:val="00A93427"/>
    <w:rsid w:val="00A97771"/>
    <w:rsid w:val="00AA0876"/>
    <w:rsid w:val="00AA0D2C"/>
    <w:rsid w:val="00AA0E64"/>
    <w:rsid w:val="00AA25B8"/>
    <w:rsid w:val="00AA3676"/>
    <w:rsid w:val="00AA43E2"/>
    <w:rsid w:val="00AA61C2"/>
    <w:rsid w:val="00AB1842"/>
    <w:rsid w:val="00AB1CF0"/>
    <w:rsid w:val="00AB6919"/>
    <w:rsid w:val="00AB7661"/>
    <w:rsid w:val="00AB7CFB"/>
    <w:rsid w:val="00AC1336"/>
    <w:rsid w:val="00AC205C"/>
    <w:rsid w:val="00AC4C1F"/>
    <w:rsid w:val="00AD1872"/>
    <w:rsid w:val="00AE0319"/>
    <w:rsid w:val="00AE241D"/>
    <w:rsid w:val="00AE7368"/>
    <w:rsid w:val="00AF0A6B"/>
    <w:rsid w:val="00AF3F7A"/>
    <w:rsid w:val="00AF4245"/>
    <w:rsid w:val="00AF5CFD"/>
    <w:rsid w:val="00B009E1"/>
    <w:rsid w:val="00B040D3"/>
    <w:rsid w:val="00B05A69"/>
    <w:rsid w:val="00B079E5"/>
    <w:rsid w:val="00B07A67"/>
    <w:rsid w:val="00B11B47"/>
    <w:rsid w:val="00B123D1"/>
    <w:rsid w:val="00B125D6"/>
    <w:rsid w:val="00B13F12"/>
    <w:rsid w:val="00B146C7"/>
    <w:rsid w:val="00B15A76"/>
    <w:rsid w:val="00B16462"/>
    <w:rsid w:val="00B1767E"/>
    <w:rsid w:val="00B24052"/>
    <w:rsid w:val="00B278A5"/>
    <w:rsid w:val="00B37992"/>
    <w:rsid w:val="00B419B8"/>
    <w:rsid w:val="00B42068"/>
    <w:rsid w:val="00B47275"/>
    <w:rsid w:val="00B5223F"/>
    <w:rsid w:val="00B535C0"/>
    <w:rsid w:val="00B56D5F"/>
    <w:rsid w:val="00B6014B"/>
    <w:rsid w:val="00B6141C"/>
    <w:rsid w:val="00B66F77"/>
    <w:rsid w:val="00B674DC"/>
    <w:rsid w:val="00B71807"/>
    <w:rsid w:val="00B773D8"/>
    <w:rsid w:val="00B82613"/>
    <w:rsid w:val="00B82C12"/>
    <w:rsid w:val="00B83703"/>
    <w:rsid w:val="00B83A8E"/>
    <w:rsid w:val="00B86B51"/>
    <w:rsid w:val="00B87A4B"/>
    <w:rsid w:val="00B87AB6"/>
    <w:rsid w:val="00B906A0"/>
    <w:rsid w:val="00B95ABA"/>
    <w:rsid w:val="00B95FE4"/>
    <w:rsid w:val="00B9734B"/>
    <w:rsid w:val="00BA1F25"/>
    <w:rsid w:val="00BA3B3D"/>
    <w:rsid w:val="00BA7202"/>
    <w:rsid w:val="00BB31E2"/>
    <w:rsid w:val="00BC00BC"/>
    <w:rsid w:val="00BD2A86"/>
    <w:rsid w:val="00BD4288"/>
    <w:rsid w:val="00BD786B"/>
    <w:rsid w:val="00BE479D"/>
    <w:rsid w:val="00BE4934"/>
    <w:rsid w:val="00BE7F37"/>
    <w:rsid w:val="00BF6912"/>
    <w:rsid w:val="00BF7D1E"/>
    <w:rsid w:val="00C01572"/>
    <w:rsid w:val="00C01A32"/>
    <w:rsid w:val="00C0360F"/>
    <w:rsid w:val="00C113AC"/>
    <w:rsid w:val="00C11BFE"/>
    <w:rsid w:val="00C11D9F"/>
    <w:rsid w:val="00C12629"/>
    <w:rsid w:val="00C13592"/>
    <w:rsid w:val="00C140AC"/>
    <w:rsid w:val="00C1548C"/>
    <w:rsid w:val="00C17341"/>
    <w:rsid w:val="00C22171"/>
    <w:rsid w:val="00C226A4"/>
    <w:rsid w:val="00C239C5"/>
    <w:rsid w:val="00C252AA"/>
    <w:rsid w:val="00C2602D"/>
    <w:rsid w:val="00C26F2F"/>
    <w:rsid w:val="00C3539C"/>
    <w:rsid w:val="00C356C6"/>
    <w:rsid w:val="00C36D6F"/>
    <w:rsid w:val="00C3777C"/>
    <w:rsid w:val="00C41DEE"/>
    <w:rsid w:val="00C43E3B"/>
    <w:rsid w:val="00C45075"/>
    <w:rsid w:val="00C51350"/>
    <w:rsid w:val="00C51B86"/>
    <w:rsid w:val="00C52E0D"/>
    <w:rsid w:val="00C53F31"/>
    <w:rsid w:val="00C558E8"/>
    <w:rsid w:val="00C60C73"/>
    <w:rsid w:val="00C64779"/>
    <w:rsid w:val="00C671D8"/>
    <w:rsid w:val="00C6760F"/>
    <w:rsid w:val="00C776D3"/>
    <w:rsid w:val="00C8364B"/>
    <w:rsid w:val="00C83CDF"/>
    <w:rsid w:val="00C8425D"/>
    <w:rsid w:val="00C86F41"/>
    <w:rsid w:val="00C91B91"/>
    <w:rsid w:val="00C9315A"/>
    <w:rsid w:val="00CA58D6"/>
    <w:rsid w:val="00CA720C"/>
    <w:rsid w:val="00CB02C3"/>
    <w:rsid w:val="00CB0E32"/>
    <w:rsid w:val="00CB2879"/>
    <w:rsid w:val="00CB2A7C"/>
    <w:rsid w:val="00CB5537"/>
    <w:rsid w:val="00CB61B3"/>
    <w:rsid w:val="00CB63CE"/>
    <w:rsid w:val="00CB73A4"/>
    <w:rsid w:val="00CC397A"/>
    <w:rsid w:val="00CD2420"/>
    <w:rsid w:val="00CD67DC"/>
    <w:rsid w:val="00CE3A43"/>
    <w:rsid w:val="00CE3C0D"/>
    <w:rsid w:val="00CE6ADE"/>
    <w:rsid w:val="00CF0598"/>
    <w:rsid w:val="00D0039F"/>
    <w:rsid w:val="00D01C21"/>
    <w:rsid w:val="00D01D57"/>
    <w:rsid w:val="00D0252D"/>
    <w:rsid w:val="00D10285"/>
    <w:rsid w:val="00D1421A"/>
    <w:rsid w:val="00D1566C"/>
    <w:rsid w:val="00D16986"/>
    <w:rsid w:val="00D17207"/>
    <w:rsid w:val="00D26027"/>
    <w:rsid w:val="00D4148C"/>
    <w:rsid w:val="00D45252"/>
    <w:rsid w:val="00D4645C"/>
    <w:rsid w:val="00D47464"/>
    <w:rsid w:val="00D47896"/>
    <w:rsid w:val="00D52684"/>
    <w:rsid w:val="00D67AB1"/>
    <w:rsid w:val="00D70099"/>
    <w:rsid w:val="00D703C0"/>
    <w:rsid w:val="00D71B4D"/>
    <w:rsid w:val="00D747CB"/>
    <w:rsid w:val="00D74F1E"/>
    <w:rsid w:val="00D75A6A"/>
    <w:rsid w:val="00D77DAF"/>
    <w:rsid w:val="00D80C60"/>
    <w:rsid w:val="00D91203"/>
    <w:rsid w:val="00D93D55"/>
    <w:rsid w:val="00D9546B"/>
    <w:rsid w:val="00D964B3"/>
    <w:rsid w:val="00D9706A"/>
    <w:rsid w:val="00DA0C4B"/>
    <w:rsid w:val="00DA0F29"/>
    <w:rsid w:val="00DA6A33"/>
    <w:rsid w:val="00DB0039"/>
    <w:rsid w:val="00DB3F7E"/>
    <w:rsid w:val="00DC1190"/>
    <w:rsid w:val="00DC15D1"/>
    <w:rsid w:val="00DC2224"/>
    <w:rsid w:val="00DC424F"/>
    <w:rsid w:val="00DD3735"/>
    <w:rsid w:val="00DD3CD9"/>
    <w:rsid w:val="00DD5C76"/>
    <w:rsid w:val="00DD608E"/>
    <w:rsid w:val="00DD77E4"/>
    <w:rsid w:val="00DE039F"/>
    <w:rsid w:val="00DE20EA"/>
    <w:rsid w:val="00DE47C7"/>
    <w:rsid w:val="00DE6EC0"/>
    <w:rsid w:val="00DF21F2"/>
    <w:rsid w:val="00DF3539"/>
    <w:rsid w:val="00DF4509"/>
    <w:rsid w:val="00DF636C"/>
    <w:rsid w:val="00DF66A1"/>
    <w:rsid w:val="00DF7115"/>
    <w:rsid w:val="00E01892"/>
    <w:rsid w:val="00E01D2F"/>
    <w:rsid w:val="00E0253C"/>
    <w:rsid w:val="00E05A41"/>
    <w:rsid w:val="00E05E40"/>
    <w:rsid w:val="00E12393"/>
    <w:rsid w:val="00E14CE0"/>
    <w:rsid w:val="00E1643A"/>
    <w:rsid w:val="00E17626"/>
    <w:rsid w:val="00E2275A"/>
    <w:rsid w:val="00E22862"/>
    <w:rsid w:val="00E32452"/>
    <w:rsid w:val="00E335FE"/>
    <w:rsid w:val="00E34CA8"/>
    <w:rsid w:val="00E400AE"/>
    <w:rsid w:val="00E4218E"/>
    <w:rsid w:val="00E42E0E"/>
    <w:rsid w:val="00E51CE7"/>
    <w:rsid w:val="00E525EB"/>
    <w:rsid w:val="00E57C4A"/>
    <w:rsid w:val="00E61BF4"/>
    <w:rsid w:val="00E62B5B"/>
    <w:rsid w:val="00E62FB6"/>
    <w:rsid w:val="00E645F4"/>
    <w:rsid w:val="00E64D45"/>
    <w:rsid w:val="00E74771"/>
    <w:rsid w:val="00E773B0"/>
    <w:rsid w:val="00E83A94"/>
    <w:rsid w:val="00E83B9E"/>
    <w:rsid w:val="00E87A9D"/>
    <w:rsid w:val="00E9035C"/>
    <w:rsid w:val="00E96409"/>
    <w:rsid w:val="00EA07EB"/>
    <w:rsid w:val="00EA203A"/>
    <w:rsid w:val="00EA2327"/>
    <w:rsid w:val="00EA456C"/>
    <w:rsid w:val="00EA7EF9"/>
    <w:rsid w:val="00EB07DE"/>
    <w:rsid w:val="00EC4E49"/>
    <w:rsid w:val="00ED0059"/>
    <w:rsid w:val="00ED4D79"/>
    <w:rsid w:val="00ED56EC"/>
    <w:rsid w:val="00ED751E"/>
    <w:rsid w:val="00ED77FB"/>
    <w:rsid w:val="00EE05B9"/>
    <w:rsid w:val="00EE11FF"/>
    <w:rsid w:val="00EE23D0"/>
    <w:rsid w:val="00EE3A29"/>
    <w:rsid w:val="00EE45FA"/>
    <w:rsid w:val="00EE4968"/>
    <w:rsid w:val="00EE5045"/>
    <w:rsid w:val="00EE74A1"/>
    <w:rsid w:val="00EE7591"/>
    <w:rsid w:val="00EF1639"/>
    <w:rsid w:val="00EF30E4"/>
    <w:rsid w:val="00EF3299"/>
    <w:rsid w:val="00EF3769"/>
    <w:rsid w:val="00EF5FB1"/>
    <w:rsid w:val="00EF7E79"/>
    <w:rsid w:val="00F00DD3"/>
    <w:rsid w:val="00F04F6F"/>
    <w:rsid w:val="00F05147"/>
    <w:rsid w:val="00F124D0"/>
    <w:rsid w:val="00F17D98"/>
    <w:rsid w:val="00F2087F"/>
    <w:rsid w:val="00F2215F"/>
    <w:rsid w:val="00F222A3"/>
    <w:rsid w:val="00F277F0"/>
    <w:rsid w:val="00F34F99"/>
    <w:rsid w:val="00F374B8"/>
    <w:rsid w:val="00F43C95"/>
    <w:rsid w:val="00F44B63"/>
    <w:rsid w:val="00F50BC0"/>
    <w:rsid w:val="00F539D4"/>
    <w:rsid w:val="00F566BD"/>
    <w:rsid w:val="00F65E4C"/>
    <w:rsid w:val="00F66152"/>
    <w:rsid w:val="00F67AC1"/>
    <w:rsid w:val="00F67EFB"/>
    <w:rsid w:val="00F703E9"/>
    <w:rsid w:val="00F73B73"/>
    <w:rsid w:val="00F75064"/>
    <w:rsid w:val="00F76195"/>
    <w:rsid w:val="00F762A7"/>
    <w:rsid w:val="00F829D9"/>
    <w:rsid w:val="00F85CF0"/>
    <w:rsid w:val="00F92E18"/>
    <w:rsid w:val="00F92E84"/>
    <w:rsid w:val="00F93C2F"/>
    <w:rsid w:val="00F94318"/>
    <w:rsid w:val="00F97423"/>
    <w:rsid w:val="00FA11AD"/>
    <w:rsid w:val="00FA183C"/>
    <w:rsid w:val="00FA2810"/>
    <w:rsid w:val="00FA3769"/>
    <w:rsid w:val="00FA75FC"/>
    <w:rsid w:val="00FB0A33"/>
    <w:rsid w:val="00FB1360"/>
    <w:rsid w:val="00FB3946"/>
    <w:rsid w:val="00FB5825"/>
    <w:rsid w:val="00FC542D"/>
    <w:rsid w:val="00FC788A"/>
    <w:rsid w:val="00FD1093"/>
    <w:rsid w:val="00FD111A"/>
    <w:rsid w:val="00FD44BD"/>
    <w:rsid w:val="00FD644E"/>
    <w:rsid w:val="00FD69C6"/>
    <w:rsid w:val="00FE146B"/>
    <w:rsid w:val="00FF1AF9"/>
    <w:rsid w:val="00FF2048"/>
    <w:rsid w:val="00FF47B9"/>
    <w:rsid w:val="00FF4B40"/>
    <w:rsid w:val="00FF4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Sun" w:eastAsia="SimSun" w:hAnsi="SimSun" w:cs="SimSu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7896"/>
    <w:pPr>
      <w:jc w:val="both"/>
    </w:pPr>
    <w:rPr>
      <w:sz w:val="22"/>
      <w:lang w:val="zh-CN" w:bidi="zh-CN"/>
    </w:rPr>
  </w:style>
  <w:style w:type="paragraph" w:styleId="1">
    <w:name w:val="heading 1"/>
    <w:basedOn w:val="a0"/>
    <w:next w:val="a0"/>
    <w:qFormat/>
    <w:rsid w:val="00D47896"/>
    <w:pPr>
      <w:keepNext/>
      <w:spacing w:before="240" w:after="240"/>
      <w:outlineLvl w:val="0"/>
    </w:pPr>
    <w:rPr>
      <w:b/>
      <w:bCs/>
      <w:caps/>
      <w:kern w:val="32"/>
      <w:szCs w:val="32"/>
    </w:rPr>
  </w:style>
  <w:style w:type="paragraph" w:styleId="2">
    <w:name w:val="heading 2"/>
    <w:basedOn w:val="a0"/>
    <w:next w:val="a0"/>
    <w:qFormat/>
    <w:rsid w:val="005F1034"/>
    <w:pPr>
      <w:keepNext/>
      <w:spacing w:before="240" w:after="200"/>
      <w:outlineLvl w:val="1"/>
    </w:pPr>
    <w:rPr>
      <w:b/>
      <w:bCs/>
      <w:iCs/>
      <w:szCs w:val="28"/>
    </w:rPr>
  </w:style>
  <w:style w:type="paragraph" w:styleId="3">
    <w:name w:val="heading 3"/>
    <w:basedOn w:val="a0"/>
    <w:next w:val="a0"/>
    <w:qFormat/>
    <w:rsid w:val="00D4645C"/>
    <w:pPr>
      <w:keepNext/>
      <w:spacing w:before="240" w:after="60"/>
      <w:outlineLvl w:val="2"/>
    </w:pPr>
    <w:rPr>
      <w:b/>
      <w:bCs/>
      <w:caps/>
      <w:szCs w:val="26"/>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817B84"/>
    <w:rPr>
      <w:sz w:val="16"/>
      <w:szCs w:val="16"/>
    </w:rPr>
  </w:style>
  <w:style w:type="paragraph" w:styleId="aa">
    <w:name w:val="footnote text"/>
    <w:basedOn w:val="a0"/>
    <w:semiHidden/>
    <w:rsid w:val="00676C5C"/>
    <w:rPr>
      <w:sz w:val="18"/>
    </w:rPr>
  </w:style>
  <w:style w:type="paragraph" w:styleId="ab">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link w:val="a9"/>
    <w:rsid w:val="00817B84"/>
    <w:rPr>
      <w:rFonts w:ascii="SimSun" w:eastAsia="SimSun" w:hAnsi="SimSun" w:cs="SimSun"/>
      <w:sz w:val="16"/>
      <w:szCs w:val="16"/>
      <w:lang w:eastAsia="zh-CN"/>
    </w:rPr>
  </w:style>
  <w:style w:type="paragraph" w:styleId="10">
    <w:name w:val="toc 1"/>
    <w:basedOn w:val="a0"/>
    <w:next w:val="a0"/>
    <w:autoRedefine/>
    <w:uiPriority w:val="39"/>
    <w:qFormat/>
    <w:rsid w:val="000F6CC6"/>
    <w:pPr>
      <w:framePr w:wrap="around" w:vAnchor="text" w:hAnchor="text" w:y="1"/>
      <w:tabs>
        <w:tab w:val="right" w:leader="dot" w:pos="9345"/>
      </w:tabs>
      <w:spacing w:after="100"/>
    </w:pPr>
  </w:style>
  <w:style w:type="paragraph" w:styleId="20">
    <w:name w:val="toc 2"/>
    <w:basedOn w:val="a0"/>
    <w:next w:val="a0"/>
    <w:autoRedefine/>
    <w:uiPriority w:val="39"/>
    <w:qFormat/>
    <w:rsid w:val="00CA720C"/>
    <w:pPr>
      <w:tabs>
        <w:tab w:val="right" w:pos="9345"/>
      </w:tabs>
    </w:pPr>
    <w:rPr>
      <w:rFonts w:ascii="SimHei" w:eastAsia="SimHei" w:hAnsi="SimHei"/>
      <w:noProof/>
      <w:color w:val="000000"/>
      <w:sz w:val="21"/>
    </w:rPr>
  </w:style>
  <w:style w:type="character" w:styleId="ae">
    <w:name w:val="Hyperlink"/>
    <w:uiPriority w:val="99"/>
    <w:unhideWhenUsed/>
    <w:rsid w:val="0071598D"/>
    <w:rPr>
      <w:color w:val="0000FF"/>
      <w:u w:val="single"/>
    </w:rPr>
  </w:style>
  <w:style w:type="paragraph" w:styleId="30">
    <w:name w:val="toc 3"/>
    <w:basedOn w:val="a0"/>
    <w:next w:val="a0"/>
    <w:autoRedefine/>
    <w:uiPriority w:val="39"/>
    <w:qFormat/>
    <w:rsid w:val="000F6CC6"/>
    <w:pPr>
      <w:tabs>
        <w:tab w:val="right" w:leader="dot" w:pos="9344"/>
      </w:tabs>
      <w:spacing w:after="100"/>
      <w:ind w:left="442"/>
    </w:pPr>
  </w:style>
  <w:style w:type="character" w:customStyle="1" w:styleId="Char0">
    <w:name w:val="页眉 Char"/>
    <w:link w:val="ab"/>
    <w:uiPriority w:val="99"/>
    <w:rsid w:val="00274C9E"/>
    <w:rPr>
      <w:rFonts w:ascii="SimSun" w:eastAsia="SimSun" w:hAnsi="SimSun" w:cs="SimSun"/>
      <w:sz w:val="22"/>
      <w:lang w:eastAsia="zh-CN"/>
    </w:rPr>
  </w:style>
  <w:style w:type="paragraph" w:customStyle="1" w:styleId="Style3">
    <w:name w:val="Style3"/>
    <w:basedOn w:val="a0"/>
    <w:link w:val="Style3Char"/>
    <w:rsid w:val="00CB2A7C"/>
    <w:pPr>
      <w:spacing w:after="120"/>
    </w:pPr>
  </w:style>
  <w:style w:type="character" w:customStyle="1" w:styleId="Style3Char">
    <w:name w:val="Style3 Char"/>
    <w:link w:val="Style3"/>
    <w:rsid w:val="00CB2A7C"/>
    <w:rPr>
      <w:rFonts w:ascii="SimSun" w:hAnsi="SimSun"/>
      <w:sz w:val="22"/>
    </w:rPr>
  </w:style>
  <w:style w:type="paragraph" w:customStyle="1" w:styleId="style30">
    <w:name w:val="style3"/>
    <w:basedOn w:val="a0"/>
    <w:rsid w:val="00901262"/>
    <w:pPr>
      <w:spacing w:after="120"/>
    </w:pPr>
    <w:rPr>
      <w:szCs w:val="22"/>
    </w:rPr>
  </w:style>
  <w:style w:type="paragraph" w:customStyle="1" w:styleId="Styletexte">
    <w:name w:val="Style texte"/>
    <w:basedOn w:val="a0"/>
    <w:link w:val="StyletexteChar"/>
    <w:rsid w:val="00A40F88"/>
    <w:pPr>
      <w:spacing w:after="120"/>
    </w:pPr>
  </w:style>
  <w:style w:type="character" w:customStyle="1" w:styleId="StyletexteChar">
    <w:name w:val="Style texte Char"/>
    <w:link w:val="Styletexte"/>
    <w:rsid w:val="00A40F88"/>
    <w:rPr>
      <w:rFonts w:ascii="SimSun" w:hAnsi="SimSun"/>
      <w:sz w:val="22"/>
    </w:rPr>
  </w:style>
  <w:style w:type="paragraph" w:styleId="af">
    <w:name w:val="List Paragraph"/>
    <w:basedOn w:val="a0"/>
    <w:uiPriority w:val="34"/>
    <w:qFormat/>
    <w:rsid w:val="00D47896"/>
    <w:pPr>
      <w:ind w:left="720"/>
      <w:jc w:val="left"/>
    </w:pPr>
    <w:rPr>
      <w:sz w:val="24"/>
      <w:szCs w:val="24"/>
    </w:rPr>
  </w:style>
  <w:style w:type="paragraph" w:styleId="TOC">
    <w:name w:val="TOC Heading"/>
    <w:basedOn w:val="1"/>
    <w:next w:val="a0"/>
    <w:uiPriority w:val="39"/>
    <w:unhideWhenUsed/>
    <w:qFormat/>
    <w:rsid w:val="002C0601"/>
    <w:pPr>
      <w:keepLines/>
      <w:spacing w:before="480" w:after="0" w:line="276" w:lineRule="auto"/>
      <w:jc w:val="left"/>
      <w:outlineLvl w:val="9"/>
    </w:pPr>
    <w:rPr>
      <w:rFonts w:cs="Times New Roman"/>
      <w:caps w:val="0"/>
      <w:color w:val="365F91"/>
      <w:kern w:val="0"/>
      <w:sz w:val="28"/>
      <w:szCs w:val="28"/>
    </w:rPr>
  </w:style>
  <w:style w:type="paragraph" w:customStyle="1" w:styleId="STYLEDUTEXTE">
    <w:name w:val="STYLE DU TEXTE"/>
    <w:basedOn w:val="Styletexte"/>
    <w:link w:val="STYLEDUTEXTEChar"/>
    <w:rsid w:val="0058420A"/>
    <w:pPr>
      <w:spacing w:after="0"/>
    </w:pPr>
  </w:style>
  <w:style w:type="character" w:customStyle="1" w:styleId="STYLEDUTEXTEChar">
    <w:name w:val="STYLE DU TEXTE Char"/>
    <w:link w:val="STYLEDUTEXTE"/>
    <w:rsid w:val="0058420A"/>
    <w:rPr>
      <w:rFonts w:ascii="SimSun" w:hAnsi="SimSun"/>
      <w:sz w:val="22"/>
    </w:rPr>
  </w:style>
  <w:style w:type="paragraph" w:customStyle="1" w:styleId="StyleHeading1">
    <w:name w:val="Style Heading 1"/>
    <w:aliases w:val="Level 1 + Arial Auto Centered Left:  0 cm First..."/>
    <w:rsid w:val="00976C19"/>
    <w:pPr>
      <w:jc w:val="center"/>
    </w:pPr>
    <w:rPr>
      <w:b/>
      <w:bCs/>
      <w:kern w:val="40"/>
      <w:sz w:val="72"/>
      <w:lang w:val="zh-CN" w:bidi="zh-CN"/>
    </w:rPr>
  </w:style>
  <w:style w:type="paragraph" w:customStyle="1" w:styleId="Style3Bold">
    <w:name w:val="Style3 + Bold"/>
    <w:basedOn w:val="Style3"/>
    <w:rsid w:val="001312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Sun" w:eastAsia="SimSun" w:hAnsi="SimSun" w:cs="SimSu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7896"/>
    <w:pPr>
      <w:jc w:val="both"/>
    </w:pPr>
    <w:rPr>
      <w:sz w:val="22"/>
      <w:lang w:val="zh-CN" w:bidi="zh-CN"/>
    </w:rPr>
  </w:style>
  <w:style w:type="paragraph" w:styleId="1">
    <w:name w:val="heading 1"/>
    <w:basedOn w:val="a0"/>
    <w:next w:val="a0"/>
    <w:qFormat/>
    <w:rsid w:val="00D47896"/>
    <w:pPr>
      <w:keepNext/>
      <w:spacing w:before="240" w:after="240"/>
      <w:outlineLvl w:val="0"/>
    </w:pPr>
    <w:rPr>
      <w:b/>
      <w:bCs/>
      <w:caps/>
      <w:kern w:val="32"/>
      <w:szCs w:val="32"/>
    </w:rPr>
  </w:style>
  <w:style w:type="paragraph" w:styleId="2">
    <w:name w:val="heading 2"/>
    <w:basedOn w:val="a0"/>
    <w:next w:val="a0"/>
    <w:qFormat/>
    <w:rsid w:val="005F1034"/>
    <w:pPr>
      <w:keepNext/>
      <w:spacing w:before="240" w:after="200"/>
      <w:outlineLvl w:val="1"/>
    </w:pPr>
    <w:rPr>
      <w:b/>
      <w:bCs/>
      <w:iCs/>
      <w:szCs w:val="28"/>
    </w:rPr>
  </w:style>
  <w:style w:type="paragraph" w:styleId="3">
    <w:name w:val="heading 3"/>
    <w:basedOn w:val="a0"/>
    <w:next w:val="a0"/>
    <w:qFormat/>
    <w:rsid w:val="00D4645C"/>
    <w:pPr>
      <w:keepNext/>
      <w:spacing w:before="240" w:after="60"/>
      <w:outlineLvl w:val="2"/>
    </w:pPr>
    <w:rPr>
      <w:b/>
      <w:bCs/>
      <w:caps/>
      <w:szCs w:val="26"/>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817B84"/>
    <w:rPr>
      <w:sz w:val="16"/>
      <w:szCs w:val="16"/>
    </w:rPr>
  </w:style>
  <w:style w:type="paragraph" w:styleId="aa">
    <w:name w:val="footnote text"/>
    <w:basedOn w:val="a0"/>
    <w:semiHidden/>
    <w:rsid w:val="00676C5C"/>
    <w:rPr>
      <w:sz w:val="18"/>
    </w:rPr>
  </w:style>
  <w:style w:type="paragraph" w:styleId="ab">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link w:val="a9"/>
    <w:rsid w:val="00817B84"/>
    <w:rPr>
      <w:rFonts w:ascii="SimSun" w:eastAsia="SimSun" w:hAnsi="SimSun" w:cs="SimSun"/>
      <w:sz w:val="16"/>
      <w:szCs w:val="16"/>
      <w:lang w:eastAsia="zh-CN"/>
    </w:rPr>
  </w:style>
  <w:style w:type="paragraph" w:styleId="10">
    <w:name w:val="toc 1"/>
    <w:basedOn w:val="a0"/>
    <w:next w:val="a0"/>
    <w:autoRedefine/>
    <w:uiPriority w:val="39"/>
    <w:qFormat/>
    <w:rsid w:val="000F6CC6"/>
    <w:pPr>
      <w:framePr w:wrap="around" w:vAnchor="text" w:hAnchor="text" w:y="1"/>
      <w:tabs>
        <w:tab w:val="right" w:leader="dot" w:pos="9345"/>
      </w:tabs>
      <w:spacing w:after="100"/>
    </w:pPr>
  </w:style>
  <w:style w:type="paragraph" w:styleId="20">
    <w:name w:val="toc 2"/>
    <w:basedOn w:val="a0"/>
    <w:next w:val="a0"/>
    <w:autoRedefine/>
    <w:uiPriority w:val="39"/>
    <w:qFormat/>
    <w:rsid w:val="00CA720C"/>
    <w:pPr>
      <w:tabs>
        <w:tab w:val="right" w:pos="9345"/>
      </w:tabs>
    </w:pPr>
    <w:rPr>
      <w:rFonts w:ascii="SimHei" w:eastAsia="SimHei" w:hAnsi="SimHei"/>
      <w:noProof/>
      <w:color w:val="000000"/>
      <w:sz w:val="21"/>
    </w:rPr>
  </w:style>
  <w:style w:type="character" w:styleId="ae">
    <w:name w:val="Hyperlink"/>
    <w:uiPriority w:val="99"/>
    <w:unhideWhenUsed/>
    <w:rsid w:val="0071598D"/>
    <w:rPr>
      <w:color w:val="0000FF"/>
      <w:u w:val="single"/>
    </w:rPr>
  </w:style>
  <w:style w:type="paragraph" w:styleId="30">
    <w:name w:val="toc 3"/>
    <w:basedOn w:val="a0"/>
    <w:next w:val="a0"/>
    <w:autoRedefine/>
    <w:uiPriority w:val="39"/>
    <w:qFormat/>
    <w:rsid w:val="000F6CC6"/>
    <w:pPr>
      <w:tabs>
        <w:tab w:val="right" w:leader="dot" w:pos="9344"/>
      </w:tabs>
      <w:spacing w:after="100"/>
      <w:ind w:left="442"/>
    </w:pPr>
  </w:style>
  <w:style w:type="character" w:customStyle="1" w:styleId="Char0">
    <w:name w:val="页眉 Char"/>
    <w:link w:val="ab"/>
    <w:uiPriority w:val="99"/>
    <w:rsid w:val="00274C9E"/>
    <w:rPr>
      <w:rFonts w:ascii="SimSun" w:eastAsia="SimSun" w:hAnsi="SimSun" w:cs="SimSun"/>
      <w:sz w:val="22"/>
      <w:lang w:eastAsia="zh-CN"/>
    </w:rPr>
  </w:style>
  <w:style w:type="paragraph" w:customStyle="1" w:styleId="Style3">
    <w:name w:val="Style3"/>
    <w:basedOn w:val="a0"/>
    <w:link w:val="Style3Char"/>
    <w:rsid w:val="00CB2A7C"/>
    <w:pPr>
      <w:spacing w:after="120"/>
    </w:pPr>
  </w:style>
  <w:style w:type="character" w:customStyle="1" w:styleId="Style3Char">
    <w:name w:val="Style3 Char"/>
    <w:link w:val="Style3"/>
    <w:rsid w:val="00CB2A7C"/>
    <w:rPr>
      <w:rFonts w:ascii="SimSun" w:hAnsi="SimSun"/>
      <w:sz w:val="22"/>
    </w:rPr>
  </w:style>
  <w:style w:type="paragraph" w:customStyle="1" w:styleId="style30">
    <w:name w:val="style3"/>
    <w:basedOn w:val="a0"/>
    <w:rsid w:val="00901262"/>
    <w:pPr>
      <w:spacing w:after="120"/>
    </w:pPr>
    <w:rPr>
      <w:szCs w:val="22"/>
    </w:rPr>
  </w:style>
  <w:style w:type="paragraph" w:customStyle="1" w:styleId="Styletexte">
    <w:name w:val="Style texte"/>
    <w:basedOn w:val="a0"/>
    <w:link w:val="StyletexteChar"/>
    <w:rsid w:val="00A40F88"/>
    <w:pPr>
      <w:spacing w:after="120"/>
    </w:pPr>
  </w:style>
  <w:style w:type="character" w:customStyle="1" w:styleId="StyletexteChar">
    <w:name w:val="Style texte Char"/>
    <w:link w:val="Styletexte"/>
    <w:rsid w:val="00A40F88"/>
    <w:rPr>
      <w:rFonts w:ascii="SimSun" w:hAnsi="SimSun"/>
      <w:sz w:val="22"/>
    </w:rPr>
  </w:style>
  <w:style w:type="paragraph" w:styleId="af">
    <w:name w:val="List Paragraph"/>
    <w:basedOn w:val="a0"/>
    <w:uiPriority w:val="34"/>
    <w:qFormat/>
    <w:rsid w:val="00D47896"/>
    <w:pPr>
      <w:ind w:left="720"/>
      <w:jc w:val="left"/>
    </w:pPr>
    <w:rPr>
      <w:sz w:val="24"/>
      <w:szCs w:val="24"/>
    </w:rPr>
  </w:style>
  <w:style w:type="paragraph" w:styleId="TOC">
    <w:name w:val="TOC Heading"/>
    <w:basedOn w:val="1"/>
    <w:next w:val="a0"/>
    <w:uiPriority w:val="39"/>
    <w:unhideWhenUsed/>
    <w:qFormat/>
    <w:rsid w:val="002C0601"/>
    <w:pPr>
      <w:keepLines/>
      <w:spacing w:before="480" w:after="0" w:line="276" w:lineRule="auto"/>
      <w:jc w:val="left"/>
      <w:outlineLvl w:val="9"/>
    </w:pPr>
    <w:rPr>
      <w:rFonts w:cs="Times New Roman"/>
      <w:caps w:val="0"/>
      <w:color w:val="365F91"/>
      <w:kern w:val="0"/>
      <w:sz w:val="28"/>
      <w:szCs w:val="28"/>
    </w:rPr>
  </w:style>
  <w:style w:type="paragraph" w:customStyle="1" w:styleId="STYLEDUTEXTE">
    <w:name w:val="STYLE DU TEXTE"/>
    <w:basedOn w:val="Styletexte"/>
    <w:link w:val="STYLEDUTEXTEChar"/>
    <w:rsid w:val="0058420A"/>
    <w:pPr>
      <w:spacing w:after="0"/>
    </w:pPr>
  </w:style>
  <w:style w:type="character" w:customStyle="1" w:styleId="STYLEDUTEXTEChar">
    <w:name w:val="STYLE DU TEXTE Char"/>
    <w:link w:val="STYLEDUTEXTE"/>
    <w:rsid w:val="0058420A"/>
    <w:rPr>
      <w:rFonts w:ascii="SimSun" w:hAnsi="SimSun"/>
      <w:sz w:val="22"/>
    </w:rPr>
  </w:style>
  <w:style w:type="paragraph" w:customStyle="1" w:styleId="StyleHeading1">
    <w:name w:val="Style Heading 1"/>
    <w:aliases w:val="Level 1 + Arial Auto Centered Left:  0 cm First..."/>
    <w:rsid w:val="00976C19"/>
    <w:pPr>
      <w:jc w:val="center"/>
    </w:pPr>
    <w:rPr>
      <w:b/>
      <w:bCs/>
      <w:kern w:val="40"/>
      <w:sz w:val="72"/>
      <w:lang w:val="zh-CN" w:bidi="zh-CN"/>
    </w:rPr>
  </w:style>
  <w:style w:type="paragraph" w:customStyle="1" w:styleId="Style3Bold">
    <w:name w:val="Style3 + Bold"/>
    <w:basedOn w:val="Style3"/>
    <w:rsid w:val="001312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858899">
      <w:bodyDiv w:val="1"/>
      <w:marLeft w:val="0"/>
      <w:marRight w:val="0"/>
      <w:marTop w:val="0"/>
      <w:marBottom w:val="0"/>
      <w:divBdr>
        <w:top w:val="none" w:sz="0" w:space="0" w:color="auto"/>
        <w:left w:val="none" w:sz="0" w:space="0" w:color="auto"/>
        <w:bottom w:val="none" w:sz="0" w:space="0" w:color="auto"/>
        <w:right w:val="none" w:sz="0" w:space="0" w:color="auto"/>
      </w:divBdr>
    </w:div>
    <w:div w:id="1414089505">
      <w:bodyDiv w:val="1"/>
      <w:marLeft w:val="0"/>
      <w:marRight w:val="0"/>
      <w:marTop w:val="0"/>
      <w:marBottom w:val="0"/>
      <w:divBdr>
        <w:top w:val="none" w:sz="0" w:space="0" w:color="auto"/>
        <w:left w:val="none" w:sz="0" w:space="0" w:color="auto"/>
        <w:bottom w:val="none" w:sz="0" w:space="0" w:color="auto"/>
        <w:right w:val="none" w:sz="0" w:space="0" w:color="auto"/>
      </w:divBdr>
    </w:div>
    <w:div w:id="2018800559">
      <w:bodyDiv w:val="1"/>
      <w:marLeft w:val="0"/>
      <w:marRight w:val="0"/>
      <w:marTop w:val="0"/>
      <w:marBottom w:val="0"/>
      <w:divBdr>
        <w:top w:val="none" w:sz="0" w:space="0" w:color="auto"/>
        <w:left w:val="none" w:sz="0" w:space="0" w:color="auto"/>
        <w:bottom w:val="none" w:sz="0" w:space="0" w:color="auto"/>
        <w:right w:val="none" w:sz="0" w:space="0" w:color="auto"/>
      </w:divBdr>
    </w:div>
    <w:div w:id="2137943772">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emf"/><Relationship Id="rId21" Type="http://schemas.openxmlformats.org/officeDocument/2006/relationships/image" Target="media/image9.emf"/><Relationship Id="rId42" Type="http://schemas.openxmlformats.org/officeDocument/2006/relationships/header" Target="header8.xml"/><Relationship Id="rId47" Type="http://schemas.openxmlformats.org/officeDocument/2006/relationships/image" Target="media/image31.emf"/><Relationship Id="rId63" Type="http://schemas.openxmlformats.org/officeDocument/2006/relationships/header" Target="header12.xml"/><Relationship Id="rId68" Type="http://schemas.openxmlformats.org/officeDocument/2006/relationships/image" Target="media/image47.emf"/><Relationship Id="rId84" Type="http://schemas.openxmlformats.org/officeDocument/2006/relationships/image" Target="media/image62.emf"/><Relationship Id="rId89" Type="http://schemas.openxmlformats.org/officeDocument/2006/relationships/image" Target="media/image67.emf"/><Relationship Id="rId112" Type="http://schemas.openxmlformats.org/officeDocument/2006/relationships/header" Target="header17.xml"/><Relationship Id="rId16" Type="http://schemas.openxmlformats.org/officeDocument/2006/relationships/image" Target="media/image4.emf"/><Relationship Id="rId107" Type="http://schemas.openxmlformats.org/officeDocument/2006/relationships/header" Target="header15.xml"/><Relationship Id="rId11" Type="http://schemas.openxmlformats.org/officeDocument/2006/relationships/header" Target="header2.xm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header" Target="header7.xml"/><Relationship Id="rId45" Type="http://schemas.openxmlformats.org/officeDocument/2006/relationships/image" Target="media/image29.emf"/><Relationship Id="rId53" Type="http://schemas.openxmlformats.org/officeDocument/2006/relationships/image" Target="media/image37.emf"/><Relationship Id="rId58" Type="http://schemas.openxmlformats.org/officeDocument/2006/relationships/header" Target="header9.xml"/><Relationship Id="rId66" Type="http://schemas.openxmlformats.org/officeDocument/2006/relationships/image" Target="media/image45.emf"/><Relationship Id="rId74" Type="http://schemas.openxmlformats.org/officeDocument/2006/relationships/image" Target="media/image53.emf"/><Relationship Id="rId79" Type="http://schemas.openxmlformats.org/officeDocument/2006/relationships/image" Target="media/image58.emf"/><Relationship Id="rId87" Type="http://schemas.openxmlformats.org/officeDocument/2006/relationships/image" Target="media/image65.emf"/><Relationship Id="rId102" Type="http://schemas.openxmlformats.org/officeDocument/2006/relationships/image" Target="media/image80.emf"/><Relationship Id="rId110" Type="http://schemas.openxmlformats.org/officeDocument/2006/relationships/image" Target="media/image85.emf"/><Relationship Id="rId115"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42.emf"/><Relationship Id="rId82" Type="http://schemas.openxmlformats.org/officeDocument/2006/relationships/image" Target="media/image60.emf"/><Relationship Id="rId90" Type="http://schemas.openxmlformats.org/officeDocument/2006/relationships/image" Target="media/image68.emf"/><Relationship Id="rId95" Type="http://schemas.openxmlformats.org/officeDocument/2006/relationships/image" Target="media/image73.emf"/><Relationship Id="rId19" Type="http://schemas.openxmlformats.org/officeDocument/2006/relationships/image" Target="media/image7.emf"/><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image" Target="media/image27.emf"/><Relationship Id="rId48" Type="http://schemas.openxmlformats.org/officeDocument/2006/relationships/image" Target="media/image32.emf"/><Relationship Id="rId56" Type="http://schemas.openxmlformats.org/officeDocument/2006/relationships/image" Target="media/image40.emf"/><Relationship Id="rId64" Type="http://schemas.openxmlformats.org/officeDocument/2006/relationships/header" Target="header13.xml"/><Relationship Id="rId69" Type="http://schemas.openxmlformats.org/officeDocument/2006/relationships/image" Target="media/image48.emf"/><Relationship Id="rId77" Type="http://schemas.openxmlformats.org/officeDocument/2006/relationships/image" Target="media/image56.emf"/><Relationship Id="rId100" Type="http://schemas.openxmlformats.org/officeDocument/2006/relationships/image" Target="media/image78.emf"/><Relationship Id="rId105" Type="http://schemas.openxmlformats.org/officeDocument/2006/relationships/image" Target="media/image83.emf"/><Relationship Id="rId113" Type="http://schemas.openxmlformats.org/officeDocument/2006/relationships/header" Target="header18.xml"/><Relationship Id="rId8" Type="http://schemas.openxmlformats.org/officeDocument/2006/relationships/endnotes" Target="endnotes.xml"/><Relationship Id="rId51" Type="http://schemas.openxmlformats.org/officeDocument/2006/relationships/image" Target="media/image35.emf"/><Relationship Id="rId72" Type="http://schemas.openxmlformats.org/officeDocument/2006/relationships/image" Target="media/image51.emf"/><Relationship Id="rId80" Type="http://schemas.openxmlformats.org/officeDocument/2006/relationships/hyperlink" Target="http://www.unjspf.org/" TargetMode="External"/><Relationship Id="rId85" Type="http://schemas.openxmlformats.org/officeDocument/2006/relationships/image" Target="media/image63.emf"/><Relationship Id="rId93" Type="http://schemas.openxmlformats.org/officeDocument/2006/relationships/image" Target="media/image71.emf"/><Relationship Id="rId98" Type="http://schemas.openxmlformats.org/officeDocument/2006/relationships/image" Target="media/image76.emf"/><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header" Target="header5.xml"/><Relationship Id="rId46" Type="http://schemas.openxmlformats.org/officeDocument/2006/relationships/image" Target="media/image30.emf"/><Relationship Id="rId59" Type="http://schemas.openxmlformats.org/officeDocument/2006/relationships/header" Target="header10.xml"/><Relationship Id="rId67" Type="http://schemas.openxmlformats.org/officeDocument/2006/relationships/image" Target="media/image46.emf"/><Relationship Id="rId103" Type="http://schemas.openxmlformats.org/officeDocument/2006/relationships/image" Target="media/image81.emf"/><Relationship Id="rId108" Type="http://schemas.openxmlformats.org/officeDocument/2006/relationships/header" Target="header16.xml"/><Relationship Id="rId20" Type="http://schemas.openxmlformats.org/officeDocument/2006/relationships/image" Target="media/image8.emf"/><Relationship Id="rId41" Type="http://schemas.openxmlformats.org/officeDocument/2006/relationships/image" Target="media/image26.emf"/><Relationship Id="rId54" Type="http://schemas.openxmlformats.org/officeDocument/2006/relationships/image" Target="media/image38.emf"/><Relationship Id="rId62" Type="http://schemas.openxmlformats.org/officeDocument/2006/relationships/image" Target="media/image43.emf"/><Relationship Id="rId70" Type="http://schemas.openxmlformats.org/officeDocument/2006/relationships/image" Target="media/image49.emf"/><Relationship Id="rId75" Type="http://schemas.openxmlformats.org/officeDocument/2006/relationships/image" Target="media/image54.emf"/><Relationship Id="rId83" Type="http://schemas.openxmlformats.org/officeDocument/2006/relationships/image" Target="media/image61.emf"/><Relationship Id="rId88" Type="http://schemas.openxmlformats.org/officeDocument/2006/relationships/image" Target="media/image66.emf"/><Relationship Id="rId91" Type="http://schemas.openxmlformats.org/officeDocument/2006/relationships/image" Target="media/image69.emf"/><Relationship Id="rId96" Type="http://schemas.openxmlformats.org/officeDocument/2006/relationships/image" Target="media/image74.emf"/><Relationship Id="rId111" Type="http://schemas.openxmlformats.org/officeDocument/2006/relationships/image" Target="media/image86.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49" Type="http://schemas.openxmlformats.org/officeDocument/2006/relationships/image" Target="media/image33.emf"/><Relationship Id="rId57" Type="http://schemas.openxmlformats.org/officeDocument/2006/relationships/image" Target="media/image41.emf"/><Relationship Id="rId106" Type="http://schemas.openxmlformats.org/officeDocument/2006/relationships/header" Target="header14.xml"/><Relationship Id="rId114"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image" Target="media/image19.emf"/><Relationship Id="rId44" Type="http://schemas.openxmlformats.org/officeDocument/2006/relationships/image" Target="media/image28.emf"/><Relationship Id="rId52" Type="http://schemas.openxmlformats.org/officeDocument/2006/relationships/image" Target="media/image36.emf"/><Relationship Id="rId60" Type="http://schemas.openxmlformats.org/officeDocument/2006/relationships/header" Target="header11.xml"/><Relationship Id="rId65" Type="http://schemas.openxmlformats.org/officeDocument/2006/relationships/image" Target="media/image44.emf"/><Relationship Id="rId73" Type="http://schemas.openxmlformats.org/officeDocument/2006/relationships/image" Target="media/image52.emf"/><Relationship Id="rId78" Type="http://schemas.openxmlformats.org/officeDocument/2006/relationships/image" Target="media/image57.emf"/><Relationship Id="rId81" Type="http://schemas.openxmlformats.org/officeDocument/2006/relationships/image" Target="media/image59.emf"/><Relationship Id="rId86" Type="http://schemas.openxmlformats.org/officeDocument/2006/relationships/image" Target="media/image64.emf"/><Relationship Id="rId94" Type="http://schemas.openxmlformats.org/officeDocument/2006/relationships/image" Target="media/image72.emf"/><Relationship Id="rId99" Type="http://schemas.openxmlformats.org/officeDocument/2006/relationships/image" Target="media/image77.emf"/><Relationship Id="rId101" Type="http://schemas.openxmlformats.org/officeDocument/2006/relationships/image" Target="media/image79.emf"/><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image" Target="media/image6.emf"/><Relationship Id="rId39" Type="http://schemas.openxmlformats.org/officeDocument/2006/relationships/header" Target="header6.xml"/><Relationship Id="rId109" Type="http://schemas.openxmlformats.org/officeDocument/2006/relationships/image" Target="media/image84.emf"/><Relationship Id="rId34" Type="http://schemas.openxmlformats.org/officeDocument/2006/relationships/image" Target="media/image22.emf"/><Relationship Id="rId50" Type="http://schemas.openxmlformats.org/officeDocument/2006/relationships/image" Target="media/image34.emf"/><Relationship Id="rId55" Type="http://schemas.openxmlformats.org/officeDocument/2006/relationships/image" Target="media/image39.emf"/><Relationship Id="rId76" Type="http://schemas.openxmlformats.org/officeDocument/2006/relationships/image" Target="media/image55.emf"/><Relationship Id="rId97" Type="http://schemas.openxmlformats.org/officeDocument/2006/relationships/image" Target="media/image75.emf"/><Relationship Id="rId104" Type="http://schemas.openxmlformats.org/officeDocument/2006/relationships/image" Target="media/image82.emf"/><Relationship Id="rId7" Type="http://schemas.openxmlformats.org/officeDocument/2006/relationships/footnotes" Target="footnotes.xml"/><Relationship Id="rId71" Type="http://schemas.openxmlformats.org/officeDocument/2006/relationships/image" Target="media/image50.emf"/><Relationship Id="rId92" Type="http://schemas.openxmlformats.org/officeDocument/2006/relationships/image" Target="media/image70.emf"/><Relationship Id="rId2" Type="http://schemas.openxmlformats.org/officeDocument/2006/relationships/numbering" Target="numbering.xml"/><Relationship Id="rId29" Type="http://schemas.openxmlformats.org/officeDocument/2006/relationships/image" Target="media/image17.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074D4-9272-4885-AA3F-C7574ABFF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78</Pages>
  <Words>35276</Words>
  <Characters>7805</Characters>
  <Application>Microsoft Office Word</Application>
  <DocSecurity>0</DocSecurity>
  <Lines>269</Lines>
  <Paragraphs>598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42483</CharactersWithSpaces>
  <SharedDoc>false</SharedDoc>
  <HLinks>
    <vt:vector size="222" baseType="variant">
      <vt:variant>
        <vt:i4>3604515</vt:i4>
      </vt:variant>
      <vt:variant>
        <vt:i4>219</vt:i4>
      </vt:variant>
      <vt:variant>
        <vt:i4>0</vt:i4>
      </vt:variant>
      <vt:variant>
        <vt:i4>5</vt:i4>
      </vt:variant>
      <vt:variant>
        <vt:lpwstr>http://www.unjspf.org/</vt:lpwstr>
      </vt:variant>
      <vt:variant>
        <vt:lpwstr/>
      </vt:variant>
      <vt:variant>
        <vt:i4>1179700</vt:i4>
      </vt:variant>
      <vt:variant>
        <vt:i4>212</vt:i4>
      </vt:variant>
      <vt:variant>
        <vt:i4>0</vt:i4>
      </vt:variant>
      <vt:variant>
        <vt:i4>5</vt:i4>
      </vt:variant>
      <vt:variant>
        <vt:lpwstr/>
      </vt:variant>
      <vt:variant>
        <vt:lpwstr>_Toc456711762</vt:lpwstr>
      </vt:variant>
      <vt:variant>
        <vt:i4>1179700</vt:i4>
      </vt:variant>
      <vt:variant>
        <vt:i4>206</vt:i4>
      </vt:variant>
      <vt:variant>
        <vt:i4>0</vt:i4>
      </vt:variant>
      <vt:variant>
        <vt:i4>5</vt:i4>
      </vt:variant>
      <vt:variant>
        <vt:lpwstr/>
      </vt:variant>
      <vt:variant>
        <vt:lpwstr>_Toc456711761</vt:lpwstr>
      </vt:variant>
      <vt:variant>
        <vt:i4>1179700</vt:i4>
      </vt:variant>
      <vt:variant>
        <vt:i4>200</vt:i4>
      </vt:variant>
      <vt:variant>
        <vt:i4>0</vt:i4>
      </vt:variant>
      <vt:variant>
        <vt:i4>5</vt:i4>
      </vt:variant>
      <vt:variant>
        <vt:lpwstr/>
      </vt:variant>
      <vt:variant>
        <vt:lpwstr>_Toc456711760</vt:lpwstr>
      </vt:variant>
      <vt:variant>
        <vt:i4>1114164</vt:i4>
      </vt:variant>
      <vt:variant>
        <vt:i4>194</vt:i4>
      </vt:variant>
      <vt:variant>
        <vt:i4>0</vt:i4>
      </vt:variant>
      <vt:variant>
        <vt:i4>5</vt:i4>
      </vt:variant>
      <vt:variant>
        <vt:lpwstr/>
      </vt:variant>
      <vt:variant>
        <vt:lpwstr>_Toc456711759</vt:lpwstr>
      </vt:variant>
      <vt:variant>
        <vt:i4>1114164</vt:i4>
      </vt:variant>
      <vt:variant>
        <vt:i4>188</vt:i4>
      </vt:variant>
      <vt:variant>
        <vt:i4>0</vt:i4>
      </vt:variant>
      <vt:variant>
        <vt:i4>5</vt:i4>
      </vt:variant>
      <vt:variant>
        <vt:lpwstr/>
      </vt:variant>
      <vt:variant>
        <vt:lpwstr>_Toc456711758</vt:lpwstr>
      </vt:variant>
      <vt:variant>
        <vt:i4>1114164</vt:i4>
      </vt:variant>
      <vt:variant>
        <vt:i4>182</vt:i4>
      </vt:variant>
      <vt:variant>
        <vt:i4>0</vt:i4>
      </vt:variant>
      <vt:variant>
        <vt:i4>5</vt:i4>
      </vt:variant>
      <vt:variant>
        <vt:lpwstr/>
      </vt:variant>
      <vt:variant>
        <vt:lpwstr>_Toc456711757</vt:lpwstr>
      </vt:variant>
      <vt:variant>
        <vt:i4>1114164</vt:i4>
      </vt:variant>
      <vt:variant>
        <vt:i4>176</vt:i4>
      </vt:variant>
      <vt:variant>
        <vt:i4>0</vt:i4>
      </vt:variant>
      <vt:variant>
        <vt:i4>5</vt:i4>
      </vt:variant>
      <vt:variant>
        <vt:lpwstr/>
      </vt:variant>
      <vt:variant>
        <vt:lpwstr>_Toc456711756</vt:lpwstr>
      </vt:variant>
      <vt:variant>
        <vt:i4>1114164</vt:i4>
      </vt:variant>
      <vt:variant>
        <vt:i4>170</vt:i4>
      </vt:variant>
      <vt:variant>
        <vt:i4>0</vt:i4>
      </vt:variant>
      <vt:variant>
        <vt:i4>5</vt:i4>
      </vt:variant>
      <vt:variant>
        <vt:lpwstr/>
      </vt:variant>
      <vt:variant>
        <vt:lpwstr>_Toc456711755</vt:lpwstr>
      </vt:variant>
      <vt:variant>
        <vt:i4>1114164</vt:i4>
      </vt:variant>
      <vt:variant>
        <vt:i4>164</vt:i4>
      </vt:variant>
      <vt:variant>
        <vt:i4>0</vt:i4>
      </vt:variant>
      <vt:variant>
        <vt:i4>5</vt:i4>
      </vt:variant>
      <vt:variant>
        <vt:lpwstr/>
      </vt:variant>
      <vt:variant>
        <vt:lpwstr>_Toc456711754</vt:lpwstr>
      </vt:variant>
      <vt:variant>
        <vt:i4>1114164</vt:i4>
      </vt:variant>
      <vt:variant>
        <vt:i4>158</vt:i4>
      </vt:variant>
      <vt:variant>
        <vt:i4>0</vt:i4>
      </vt:variant>
      <vt:variant>
        <vt:i4>5</vt:i4>
      </vt:variant>
      <vt:variant>
        <vt:lpwstr/>
      </vt:variant>
      <vt:variant>
        <vt:lpwstr>_Toc456711753</vt:lpwstr>
      </vt:variant>
      <vt:variant>
        <vt:i4>1114164</vt:i4>
      </vt:variant>
      <vt:variant>
        <vt:i4>152</vt:i4>
      </vt:variant>
      <vt:variant>
        <vt:i4>0</vt:i4>
      </vt:variant>
      <vt:variant>
        <vt:i4>5</vt:i4>
      </vt:variant>
      <vt:variant>
        <vt:lpwstr/>
      </vt:variant>
      <vt:variant>
        <vt:lpwstr>_Toc456711752</vt:lpwstr>
      </vt:variant>
      <vt:variant>
        <vt:i4>1114164</vt:i4>
      </vt:variant>
      <vt:variant>
        <vt:i4>146</vt:i4>
      </vt:variant>
      <vt:variant>
        <vt:i4>0</vt:i4>
      </vt:variant>
      <vt:variant>
        <vt:i4>5</vt:i4>
      </vt:variant>
      <vt:variant>
        <vt:lpwstr/>
      </vt:variant>
      <vt:variant>
        <vt:lpwstr>_Toc456711751</vt:lpwstr>
      </vt:variant>
      <vt:variant>
        <vt:i4>1114164</vt:i4>
      </vt:variant>
      <vt:variant>
        <vt:i4>140</vt:i4>
      </vt:variant>
      <vt:variant>
        <vt:i4>0</vt:i4>
      </vt:variant>
      <vt:variant>
        <vt:i4>5</vt:i4>
      </vt:variant>
      <vt:variant>
        <vt:lpwstr/>
      </vt:variant>
      <vt:variant>
        <vt:lpwstr>_Toc456711750</vt:lpwstr>
      </vt:variant>
      <vt:variant>
        <vt:i4>1048628</vt:i4>
      </vt:variant>
      <vt:variant>
        <vt:i4>134</vt:i4>
      </vt:variant>
      <vt:variant>
        <vt:i4>0</vt:i4>
      </vt:variant>
      <vt:variant>
        <vt:i4>5</vt:i4>
      </vt:variant>
      <vt:variant>
        <vt:lpwstr/>
      </vt:variant>
      <vt:variant>
        <vt:lpwstr>_Toc456711749</vt:lpwstr>
      </vt:variant>
      <vt:variant>
        <vt:i4>1048628</vt:i4>
      </vt:variant>
      <vt:variant>
        <vt:i4>128</vt:i4>
      </vt:variant>
      <vt:variant>
        <vt:i4>0</vt:i4>
      </vt:variant>
      <vt:variant>
        <vt:i4>5</vt:i4>
      </vt:variant>
      <vt:variant>
        <vt:lpwstr/>
      </vt:variant>
      <vt:variant>
        <vt:lpwstr>_Toc456711748</vt:lpwstr>
      </vt:variant>
      <vt:variant>
        <vt:i4>1048628</vt:i4>
      </vt:variant>
      <vt:variant>
        <vt:i4>122</vt:i4>
      </vt:variant>
      <vt:variant>
        <vt:i4>0</vt:i4>
      </vt:variant>
      <vt:variant>
        <vt:i4>5</vt:i4>
      </vt:variant>
      <vt:variant>
        <vt:lpwstr/>
      </vt:variant>
      <vt:variant>
        <vt:lpwstr>_Toc456711747</vt:lpwstr>
      </vt:variant>
      <vt:variant>
        <vt:i4>1048628</vt:i4>
      </vt:variant>
      <vt:variant>
        <vt:i4>116</vt:i4>
      </vt:variant>
      <vt:variant>
        <vt:i4>0</vt:i4>
      </vt:variant>
      <vt:variant>
        <vt:i4>5</vt:i4>
      </vt:variant>
      <vt:variant>
        <vt:lpwstr/>
      </vt:variant>
      <vt:variant>
        <vt:lpwstr>_Toc456711746</vt:lpwstr>
      </vt:variant>
      <vt:variant>
        <vt:i4>1048628</vt:i4>
      </vt:variant>
      <vt:variant>
        <vt:i4>110</vt:i4>
      </vt:variant>
      <vt:variant>
        <vt:i4>0</vt:i4>
      </vt:variant>
      <vt:variant>
        <vt:i4>5</vt:i4>
      </vt:variant>
      <vt:variant>
        <vt:lpwstr/>
      </vt:variant>
      <vt:variant>
        <vt:lpwstr>_Toc456711745</vt:lpwstr>
      </vt:variant>
      <vt:variant>
        <vt:i4>1048628</vt:i4>
      </vt:variant>
      <vt:variant>
        <vt:i4>104</vt:i4>
      </vt:variant>
      <vt:variant>
        <vt:i4>0</vt:i4>
      </vt:variant>
      <vt:variant>
        <vt:i4>5</vt:i4>
      </vt:variant>
      <vt:variant>
        <vt:lpwstr/>
      </vt:variant>
      <vt:variant>
        <vt:lpwstr>_Toc456711744</vt:lpwstr>
      </vt:variant>
      <vt:variant>
        <vt:i4>1048628</vt:i4>
      </vt:variant>
      <vt:variant>
        <vt:i4>98</vt:i4>
      </vt:variant>
      <vt:variant>
        <vt:i4>0</vt:i4>
      </vt:variant>
      <vt:variant>
        <vt:i4>5</vt:i4>
      </vt:variant>
      <vt:variant>
        <vt:lpwstr/>
      </vt:variant>
      <vt:variant>
        <vt:lpwstr>_Toc456711743</vt:lpwstr>
      </vt:variant>
      <vt:variant>
        <vt:i4>1048628</vt:i4>
      </vt:variant>
      <vt:variant>
        <vt:i4>92</vt:i4>
      </vt:variant>
      <vt:variant>
        <vt:i4>0</vt:i4>
      </vt:variant>
      <vt:variant>
        <vt:i4>5</vt:i4>
      </vt:variant>
      <vt:variant>
        <vt:lpwstr/>
      </vt:variant>
      <vt:variant>
        <vt:lpwstr>_Toc456711742</vt:lpwstr>
      </vt:variant>
      <vt:variant>
        <vt:i4>1048628</vt:i4>
      </vt:variant>
      <vt:variant>
        <vt:i4>86</vt:i4>
      </vt:variant>
      <vt:variant>
        <vt:i4>0</vt:i4>
      </vt:variant>
      <vt:variant>
        <vt:i4>5</vt:i4>
      </vt:variant>
      <vt:variant>
        <vt:lpwstr/>
      </vt:variant>
      <vt:variant>
        <vt:lpwstr>_Toc456711741</vt:lpwstr>
      </vt:variant>
      <vt:variant>
        <vt:i4>1048628</vt:i4>
      </vt:variant>
      <vt:variant>
        <vt:i4>80</vt:i4>
      </vt:variant>
      <vt:variant>
        <vt:i4>0</vt:i4>
      </vt:variant>
      <vt:variant>
        <vt:i4>5</vt:i4>
      </vt:variant>
      <vt:variant>
        <vt:lpwstr/>
      </vt:variant>
      <vt:variant>
        <vt:lpwstr>_Toc456711740</vt:lpwstr>
      </vt:variant>
      <vt:variant>
        <vt:i4>1507380</vt:i4>
      </vt:variant>
      <vt:variant>
        <vt:i4>74</vt:i4>
      </vt:variant>
      <vt:variant>
        <vt:i4>0</vt:i4>
      </vt:variant>
      <vt:variant>
        <vt:i4>5</vt:i4>
      </vt:variant>
      <vt:variant>
        <vt:lpwstr/>
      </vt:variant>
      <vt:variant>
        <vt:lpwstr>_Toc456711739</vt:lpwstr>
      </vt:variant>
      <vt:variant>
        <vt:i4>1507380</vt:i4>
      </vt:variant>
      <vt:variant>
        <vt:i4>68</vt:i4>
      </vt:variant>
      <vt:variant>
        <vt:i4>0</vt:i4>
      </vt:variant>
      <vt:variant>
        <vt:i4>5</vt:i4>
      </vt:variant>
      <vt:variant>
        <vt:lpwstr/>
      </vt:variant>
      <vt:variant>
        <vt:lpwstr>_Toc456711738</vt:lpwstr>
      </vt:variant>
      <vt:variant>
        <vt:i4>1507380</vt:i4>
      </vt:variant>
      <vt:variant>
        <vt:i4>62</vt:i4>
      </vt:variant>
      <vt:variant>
        <vt:i4>0</vt:i4>
      </vt:variant>
      <vt:variant>
        <vt:i4>5</vt:i4>
      </vt:variant>
      <vt:variant>
        <vt:lpwstr/>
      </vt:variant>
      <vt:variant>
        <vt:lpwstr>_Toc456711737</vt:lpwstr>
      </vt:variant>
      <vt:variant>
        <vt:i4>1507380</vt:i4>
      </vt:variant>
      <vt:variant>
        <vt:i4>56</vt:i4>
      </vt:variant>
      <vt:variant>
        <vt:i4>0</vt:i4>
      </vt:variant>
      <vt:variant>
        <vt:i4>5</vt:i4>
      </vt:variant>
      <vt:variant>
        <vt:lpwstr/>
      </vt:variant>
      <vt:variant>
        <vt:lpwstr>_Toc456711736</vt:lpwstr>
      </vt:variant>
      <vt:variant>
        <vt:i4>1507380</vt:i4>
      </vt:variant>
      <vt:variant>
        <vt:i4>50</vt:i4>
      </vt:variant>
      <vt:variant>
        <vt:i4>0</vt:i4>
      </vt:variant>
      <vt:variant>
        <vt:i4>5</vt:i4>
      </vt:variant>
      <vt:variant>
        <vt:lpwstr/>
      </vt:variant>
      <vt:variant>
        <vt:lpwstr>_Toc456711735</vt:lpwstr>
      </vt:variant>
      <vt:variant>
        <vt:i4>1507380</vt:i4>
      </vt:variant>
      <vt:variant>
        <vt:i4>44</vt:i4>
      </vt:variant>
      <vt:variant>
        <vt:i4>0</vt:i4>
      </vt:variant>
      <vt:variant>
        <vt:i4>5</vt:i4>
      </vt:variant>
      <vt:variant>
        <vt:lpwstr/>
      </vt:variant>
      <vt:variant>
        <vt:lpwstr>_Toc456711730</vt:lpwstr>
      </vt:variant>
      <vt:variant>
        <vt:i4>1441844</vt:i4>
      </vt:variant>
      <vt:variant>
        <vt:i4>38</vt:i4>
      </vt:variant>
      <vt:variant>
        <vt:i4>0</vt:i4>
      </vt:variant>
      <vt:variant>
        <vt:i4>5</vt:i4>
      </vt:variant>
      <vt:variant>
        <vt:lpwstr/>
      </vt:variant>
      <vt:variant>
        <vt:lpwstr>_Toc456711729</vt:lpwstr>
      </vt:variant>
      <vt:variant>
        <vt:i4>1441844</vt:i4>
      </vt:variant>
      <vt:variant>
        <vt:i4>32</vt:i4>
      </vt:variant>
      <vt:variant>
        <vt:i4>0</vt:i4>
      </vt:variant>
      <vt:variant>
        <vt:i4>5</vt:i4>
      </vt:variant>
      <vt:variant>
        <vt:lpwstr/>
      </vt:variant>
      <vt:variant>
        <vt:lpwstr>_Toc456711728</vt:lpwstr>
      </vt:variant>
      <vt:variant>
        <vt:i4>1441844</vt:i4>
      </vt:variant>
      <vt:variant>
        <vt:i4>26</vt:i4>
      </vt:variant>
      <vt:variant>
        <vt:i4>0</vt:i4>
      </vt:variant>
      <vt:variant>
        <vt:i4>5</vt:i4>
      </vt:variant>
      <vt:variant>
        <vt:lpwstr/>
      </vt:variant>
      <vt:variant>
        <vt:lpwstr>_Toc456711727</vt:lpwstr>
      </vt:variant>
      <vt:variant>
        <vt:i4>1441844</vt:i4>
      </vt:variant>
      <vt:variant>
        <vt:i4>20</vt:i4>
      </vt:variant>
      <vt:variant>
        <vt:i4>0</vt:i4>
      </vt:variant>
      <vt:variant>
        <vt:i4>5</vt:i4>
      </vt:variant>
      <vt:variant>
        <vt:lpwstr/>
      </vt:variant>
      <vt:variant>
        <vt:lpwstr>_Toc456711726</vt:lpwstr>
      </vt:variant>
      <vt:variant>
        <vt:i4>1441844</vt:i4>
      </vt:variant>
      <vt:variant>
        <vt:i4>14</vt:i4>
      </vt:variant>
      <vt:variant>
        <vt:i4>0</vt:i4>
      </vt:variant>
      <vt:variant>
        <vt:i4>5</vt:i4>
      </vt:variant>
      <vt:variant>
        <vt:lpwstr/>
      </vt:variant>
      <vt:variant>
        <vt:lpwstr>_Toc456711725</vt:lpwstr>
      </vt:variant>
      <vt:variant>
        <vt:i4>1441844</vt:i4>
      </vt:variant>
      <vt:variant>
        <vt:i4>8</vt:i4>
      </vt:variant>
      <vt:variant>
        <vt:i4>0</vt:i4>
      </vt:variant>
      <vt:variant>
        <vt:i4>5</vt:i4>
      </vt:variant>
      <vt:variant>
        <vt:lpwstr/>
      </vt:variant>
      <vt:variant>
        <vt:lpwstr>_Toc456711724</vt:lpwstr>
      </vt:variant>
      <vt:variant>
        <vt:i4>1441844</vt:i4>
      </vt:variant>
      <vt:variant>
        <vt:i4>2</vt:i4>
      </vt:variant>
      <vt:variant>
        <vt:i4>0</vt:i4>
      </vt:variant>
      <vt:variant>
        <vt:i4>5</vt:i4>
      </vt:variant>
      <vt:variant>
        <vt:lpwstr/>
      </vt:variant>
      <vt:variant>
        <vt:lpwstr>_Toc456711723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A/56/7</dc:title>
  <dc:subject>2015年年度财务报告和财务报表</dc:subject>
  <dc:creator/>
  <cp:lastModifiedBy>MA Weihai</cp:lastModifiedBy>
  <cp:revision>4</cp:revision>
  <cp:lastPrinted>2016-07-08T19:06:00Z</cp:lastPrinted>
  <dcterms:created xsi:type="dcterms:W3CDTF">2016-07-21T12:10:00Z</dcterms:created>
  <dcterms:modified xsi:type="dcterms:W3CDTF">2016-07-21T12:19:00Z</dcterms:modified>
</cp:coreProperties>
</file>