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7" w:rsidRPr="00572450" w:rsidRDefault="00545507" w:rsidP="002F290B">
      <w:pPr>
        <w:spacing w:after="120"/>
        <w:ind w:firstLine="567"/>
        <w:jc w:val="right"/>
        <w:rPr>
          <w:lang w:val="es-ES_tradnl"/>
        </w:rPr>
      </w:pPr>
      <w:bookmarkStart w:id="0" w:name="_GoBack"/>
      <w:r w:rsidRPr="00572450">
        <w:rPr>
          <w:noProof/>
          <w:lang w:eastAsia="en-US"/>
        </w:rPr>
        <w:drawing>
          <wp:inline distT="0" distB="0" distL="0" distR="0" wp14:anchorId="43C99E13" wp14:editId="28C20749">
            <wp:extent cx="3147729" cy="1353054"/>
            <wp:effectExtent l="0" t="0" r="0" b="0"/>
            <wp:docPr id="3" name="Picture 3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61632" w:rsidRPr="0057245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3971C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0566F7" w:rsidRPr="00572450" w:rsidRDefault="00F12D27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572450">
        <w:rPr>
          <w:rFonts w:ascii="Arial Black" w:hAnsi="Arial Black"/>
          <w:caps/>
          <w:sz w:val="15"/>
          <w:szCs w:val="15"/>
          <w:lang w:val="es-ES_tradnl"/>
        </w:rPr>
        <w:t>A/62/</w:t>
      </w:r>
      <w:bookmarkStart w:id="1" w:name="Code"/>
      <w:bookmarkEnd w:id="1"/>
      <w:r w:rsidR="00142B2B" w:rsidRPr="00572450">
        <w:rPr>
          <w:rFonts w:ascii="Arial Black" w:hAnsi="Arial Black"/>
          <w:caps/>
          <w:sz w:val="15"/>
          <w:szCs w:val="15"/>
          <w:lang w:val="es-ES_tradnl"/>
        </w:rPr>
        <w:t>4</w:t>
      </w:r>
      <w:r w:rsidR="00630791">
        <w:rPr>
          <w:rFonts w:ascii="Arial Black" w:hAnsi="Arial Black"/>
          <w:caps/>
          <w:sz w:val="15"/>
          <w:szCs w:val="15"/>
          <w:lang w:val="es-ES_tradnl"/>
        </w:rPr>
        <w:t xml:space="preserve"> REV.</w:t>
      </w:r>
    </w:p>
    <w:p w:rsidR="000566F7" w:rsidRPr="00572450" w:rsidRDefault="00F12D27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572450">
        <w:rPr>
          <w:rFonts w:ascii="Arial Black" w:hAnsi="Arial Black"/>
          <w:caps/>
          <w:sz w:val="15"/>
          <w:szCs w:val="15"/>
          <w:lang w:val="es-ES_tradnl"/>
        </w:rPr>
        <w:t xml:space="preserve">ORIGINAL: </w:t>
      </w:r>
      <w:bookmarkStart w:id="2" w:name="Original"/>
      <w:r w:rsidR="00142B2B" w:rsidRPr="00572450">
        <w:rPr>
          <w:rFonts w:ascii="Arial Black" w:hAnsi="Arial Black"/>
          <w:caps/>
          <w:sz w:val="15"/>
          <w:szCs w:val="15"/>
          <w:lang w:val="es-ES_tradnl"/>
        </w:rPr>
        <w:t>INGLÉS</w:t>
      </w:r>
    </w:p>
    <w:bookmarkEnd w:id="2"/>
    <w:p w:rsidR="000566F7" w:rsidRPr="00572450" w:rsidRDefault="00F12D27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572450">
        <w:rPr>
          <w:rFonts w:ascii="Arial Black" w:hAnsi="Arial Black"/>
          <w:caps/>
          <w:sz w:val="15"/>
          <w:szCs w:val="15"/>
          <w:lang w:val="es-ES_tradnl"/>
        </w:rPr>
        <w:t xml:space="preserve">FECHA: </w:t>
      </w:r>
      <w:bookmarkStart w:id="3" w:name="Date"/>
      <w:r w:rsidR="004E3D66">
        <w:rPr>
          <w:rFonts w:ascii="Arial Black" w:hAnsi="Arial Black"/>
          <w:caps/>
          <w:sz w:val="15"/>
          <w:szCs w:val="15"/>
          <w:lang w:val="es-ES_tradnl"/>
        </w:rPr>
        <w:t>20</w:t>
      </w:r>
      <w:r w:rsidR="00142B2B" w:rsidRPr="00572450">
        <w:rPr>
          <w:rFonts w:ascii="Arial Black" w:hAnsi="Arial Black"/>
          <w:caps/>
          <w:sz w:val="15"/>
          <w:szCs w:val="15"/>
          <w:lang w:val="es-ES_tradnl"/>
        </w:rPr>
        <w:t xml:space="preserve"> DE </w:t>
      </w:r>
      <w:r w:rsidR="004E3D66">
        <w:rPr>
          <w:rFonts w:ascii="Arial Black" w:hAnsi="Arial Black"/>
          <w:caps/>
          <w:sz w:val="15"/>
          <w:szCs w:val="15"/>
          <w:lang w:val="es-ES_tradnl"/>
        </w:rPr>
        <w:t>septiembre</w:t>
      </w:r>
      <w:r w:rsidR="004E3D66" w:rsidRPr="00572450">
        <w:rPr>
          <w:rFonts w:ascii="Arial Black" w:hAnsi="Arial Black"/>
          <w:caps/>
          <w:sz w:val="15"/>
          <w:szCs w:val="15"/>
          <w:lang w:val="es-ES_tradnl"/>
        </w:rPr>
        <w:t xml:space="preserve"> </w:t>
      </w:r>
      <w:r w:rsidR="00142B2B" w:rsidRPr="00572450">
        <w:rPr>
          <w:rFonts w:ascii="Arial Black" w:hAnsi="Arial Black"/>
          <w:caps/>
          <w:sz w:val="15"/>
          <w:szCs w:val="15"/>
          <w:lang w:val="es-ES_tradnl"/>
        </w:rPr>
        <w:t>DE 2021</w:t>
      </w:r>
    </w:p>
    <w:bookmarkEnd w:id="3"/>
    <w:p w:rsidR="000566F7" w:rsidRPr="00572450" w:rsidRDefault="00F12D27">
      <w:pPr>
        <w:spacing w:after="720"/>
        <w:rPr>
          <w:b/>
          <w:sz w:val="28"/>
          <w:szCs w:val="28"/>
          <w:lang w:val="es-ES_tradnl"/>
        </w:rPr>
      </w:pPr>
      <w:r w:rsidRPr="00572450">
        <w:rPr>
          <w:b/>
          <w:sz w:val="28"/>
          <w:szCs w:val="28"/>
          <w:lang w:val="es-ES_tradnl"/>
        </w:rPr>
        <w:t>Asambleas de los Estados miembros de la OMPI</w:t>
      </w:r>
    </w:p>
    <w:p w:rsidR="000566F7" w:rsidRPr="00572450" w:rsidRDefault="00F12D27">
      <w:pPr>
        <w:rPr>
          <w:b/>
          <w:sz w:val="24"/>
          <w:szCs w:val="24"/>
          <w:lang w:val="es-ES_tradnl"/>
        </w:rPr>
      </w:pPr>
      <w:r w:rsidRPr="00572450">
        <w:rPr>
          <w:b/>
          <w:sz w:val="24"/>
          <w:lang w:val="es-ES_tradnl"/>
        </w:rPr>
        <w:t>Sexagésima segunda serie de reuniones</w:t>
      </w:r>
    </w:p>
    <w:p w:rsidR="000566F7" w:rsidRPr="00572450" w:rsidRDefault="00F12D27">
      <w:pPr>
        <w:spacing w:after="720"/>
        <w:rPr>
          <w:lang w:val="es-ES_tradnl"/>
        </w:rPr>
      </w:pPr>
      <w:r w:rsidRPr="00572450">
        <w:rPr>
          <w:b/>
          <w:sz w:val="24"/>
          <w:lang w:val="es-ES_tradnl"/>
        </w:rPr>
        <w:t>Ginebra, 4 a 8 de octubre de 2021</w:t>
      </w:r>
    </w:p>
    <w:p w:rsidR="000566F7" w:rsidRPr="00572450" w:rsidRDefault="009B0EFF">
      <w:pPr>
        <w:spacing w:after="360"/>
        <w:rPr>
          <w:sz w:val="24"/>
          <w:lang w:val="es-ES_tradnl"/>
        </w:rPr>
      </w:pPr>
      <w:bookmarkStart w:id="4" w:name="TitleOfDoc"/>
      <w:r w:rsidRPr="00572450">
        <w:rPr>
          <w:sz w:val="24"/>
          <w:lang w:val="es-ES_tradnl"/>
        </w:rPr>
        <w:t>ACTUALIZACIÓN DE LA LISTA DE ORGANIZACIONES NO GUBERNAMENTALES ADMITIDAS EN CALIDAD DE OBSERVADORAS ANTE LA OMPI</w:t>
      </w:r>
    </w:p>
    <w:p w:rsidR="000566F7" w:rsidRPr="00572450" w:rsidRDefault="00F12D27">
      <w:pPr>
        <w:spacing w:after="960"/>
        <w:rPr>
          <w:i/>
          <w:lang w:val="es-ES_tradnl"/>
        </w:rPr>
      </w:pPr>
      <w:bookmarkStart w:id="5" w:name="Prepared"/>
      <w:bookmarkEnd w:id="4"/>
      <w:r w:rsidRPr="00572450">
        <w:rPr>
          <w:i/>
          <w:lang w:val="es-ES_tradnl"/>
        </w:rPr>
        <w:t xml:space="preserve">Documento </w:t>
      </w:r>
      <w:r w:rsidR="00142B2B" w:rsidRPr="00572450">
        <w:rPr>
          <w:i/>
          <w:lang w:val="es-ES_tradnl"/>
        </w:rPr>
        <w:t>preparado por la Secretaría</w:t>
      </w:r>
    </w:p>
    <w:bookmarkEnd w:id="5"/>
    <w:p w:rsidR="000566F7" w:rsidRPr="00572450" w:rsidRDefault="00F12D27">
      <w:pPr>
        <w:pStyle w:val="Heading2"/>
        <w:spacing w:after="240"/>
        <w:rPr>
          <w:lang w:val="es-ES_tradnl"/>
        </w:rPr>
      </w:pPr>
      <w:r w:rsidRPr="00572450">
        <w:rPr>
          <w:lang w:val="es-ES_tradnl"/>
        </w:rPr>
        <w:t>introducción</w:t>
      </w:r>
    </w:p>
    <w:p w:rsidR="000566F7" w:rsidRPr="00572450" w:rsidRDefault="00F12D27">
      <w:pPr>
        <w:spacing w:after="240"/>
        <w:rPr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Pr="00572450">
        <w:rPr>
          <w:lang w:val="es-ES_tradnl"/>
        </w:rPr>
        <w:tab/>
        <w:t>En la quincuagésima octava serie de reuniones de las Asambleas de los Estados miembros de la Organización Mundial de la Propiedad Intelectual (OMPI) y de las Uniones administradas por la OMPI (Asambleas), celebrada del 24 d</w:t>
      </w:r>
      <w:r w:rsidR="00572450" w:rsidRPr="00572450">
        <w:rPr>
          <w:lang w:val="es-ES_tradnl"/>
        </w:rPr>
        <w:t>e septiembre al 2 de octubre de </w:t>
      </w:r>
      <w:r w:rsidRPr="00572450">
        <w:rPr>
          <w:lang w:val="es-ES_tradnl"/>
        </w:rPr>
        <w:t xml:space="preserve">2018, las Asambleas </w:t>
      </w:r>
      <w:r w:rsidR="00AE1611" w:rsidRPr="00572450">
        <w:rPr>
          <w:lang w:val="es-ES_tradnl"/>
        </w:rPr>
        <w:t>valoraron</w:t>
      </w:r>
      <w:r w:rsidRPr="00572450">
        <w:rPr>
          <w:lang w:val="es-ES_tradnl"/>
        </w:rPr>
        <w:t xml:space="preserve"> favorablemente el planteam</w:t>
      </w:r>
      <w:r w:rsidR="00572450" w:rsidRPr="00572450">
        <w:rPr>
          <w:lang w:val="es-ES_tradnl"/>
        </w:rPr>
        <w:t>iento contenido en el documento </w:t>
      </w:r>
      <w:r w:rsidRPr="00572450">
        <w:rPr>
          <w:lang w:val="es-ES_tradnl"/>
        </w:rPr>
        <w:t>A/58/8</w:t>
      </w:r>
      <w:r w:rsidR="00AE1611" w:rsidRPr="00572450">
        <w:rPr>
          <w:lang w:val="es-ES_tradnl"/>
        </w:rPr>
        <w:t>,</w:t>
      </w:r>
      <w:r w:rsidRPr="00572450">
        <w:rPr>
          <w:lang w:val="es-ES_tradnl"/>
        </w:rPr>
        <w:t xml:space="preserve"> titulado </w:t>
      </w:r>
      <w:r w:rsidR="00D52466" w:rsidRPr="00572450">
        <w:rPr>
          <w:lang w:val="es-ES_tradnl"/>
        </w:rPr>
        <w:t>“</w:t>
      </w:r>
      <w:r w:rsidR="009E61EA" w:rsidRPr="00572450">
        <w:rPr>
          <w:lang w:val="es-ES_tradnl"/>
        </w:rPr>
        <w:t>Actualización de la lista de organizaciones no</w:t>
      </w:r>
      <w:r w:rsidRPr="00572450">
        <w:rPr>
          <w:lang w:val="es-ES_tradnl"/>
        </w:rPr>
        <w:t xml:space="preserve"> gubernamen</w:t>
      </w:r>
      <w:r w:rsidR="00AE1611" w:rsidRPr="00572450">
        <w:rPr>
          <w:lang w:val="es-ES_tradnl"/>
        </w:rPr>
        <w:t xml:space="preserve">tales admitidas </w:t>
      </w:r>
      <w:r w:rsidR="00CB4540" w:rsidRPr="00572450">
        <w:rPr>
          <w:lang w:val="es-ES_tradnl"/>
        </w:rPr>
        <w:t xml:space="preserve">en calidad de </w:t>
      </w:r>
      <w:r w:rsidR="00AE1611" w:rsidRPr="00572450">
        <w:rPr>
          <w:lang w:val="es-ES_tradnl"/>
        </w:rPr>
        <w:t>observadora</w:t>
      </w:r>
      <w:r w:rsidRPr="00572450">
        <w:rPr>
          <w:lang w:val="es-ES_tradnl"/>
        </w:rPr>
        <w:t xml:space="preserve">s </w:t>
      </w:r>
      <w:r w:rsidR="00CB4540" w:rsidRPr="00572450">
        <w:rPr>
          <w:lang w:val="es-ES_tradnl"/>
        </w:rPr>
        <w:t>ante</w:t>
      </w:r>
      <w:r w:rsidRPr="00572450">
        <w:rPr>
          <w:lang w:val="es-ES_tradnl"/>
        </w:rPr>
        <w:t xml:space="preserve"> la OMPI</w:t>
      </w:r>
      <w:r w:rsidR="00D52466" w:rsidRPr="00572450">
        <w:rPr>
          <w:lang w:val="es-ES_tradnl"/>
        </w:rPr>
        <w:t>”</w:t>
      </w:r>
      <w:r w:rsidRPr="00572450">
        <w:rPr>
          <w:lang w:val="es-ES_tradnl"/>
        </w:rPr>
        <w:t>. En dicho documento se ofrecía un análisis del aumento del número de organizaciones no gubernamentales (ONG) admitidas como obser</w:t>
      </w:r>
      <w:r w:rsidR="00AE1611" w:rsidRPr="00572450">
        <w:rPr>
          <w:lang w:val="es-ES_tradnl"/>
        </w:rPr>
        <w:t>vadora</w:t>
      </w:r>
      <w:r w:rsidRPr="00572450">
        <w:rPr>
          <w:lang w:val="es-ES_tradnl"/>
        </w:rPr>
        <w:t xml:space="preserve">s por las Asambleas en los dos últimos decenios, así como de las respectivas tasas de participación de los observadores en las reuniones de las </w:t>
      </w:r>
      <w:r w:rsidR="00CC4137" w:rsidRPr="00572450">
        <w:rPr>
          <w:lang w:val="es-ES_tradnl"/>
        </w:rPr>
        <w:t xml:space="preserve">Asambleas y </w:t>
      </w:r>
      <w:r w:rsidR="00F50F40" w:rsidRPr="00572450">
        <w:rPr>
          <w:lang w:val="es-ES_tradnl"/>
        </w:rPr>
        <w:t xml:space="preserve">las sesiones </w:t>
      </w:r>
      <w:r w:rsidR="00CC4137" w:rsidRPr="00572450">
        <w:rPr>
          <w:lang w:val="es-ES_tradnl"/>
        </w:rPr>
        <w:t xml:space="preserve">de los </w:t>
      </w:r>
      <w:r w:rsidR="000548A7" w:rsidRPr="00572450">
        <w:rPr>
          <w:lang w:val="es-ES_tradnl"/>
        </w:rPr>
        <w:t>c</w:t>
      </w:r>
      <w:r w:rsidR="00CC4137" w:rsidRPr="00572450">
        <w:rPr>
          <w:lang w:val="es-ES_tradnl"/>
        </w:rPr>
        <w:t>omités de la OMPI</w:t>
      </w:r>
      <w:r w:rsidR="00B50AE2" w:rsidRPr="00572450">
        <w:rPr>
          <w:lang w:val="es-ES_tradnl"/>
        </w:rPr>
        <w:t xml:space="preserve">; </w:t>
      </w:r>
      <w:r w:rsidR="00CC4137" w:rsidRPr="00572450">
        <w:rPr>
          <w:lang w:val="es-ES_tradnl"/>
        </w:rPr>
        <w:t xml:space="preserve">además, se </w:t>
      </w:r>
      <w:r w:rsidRPr="00572450">
        <w:rPr>
          <w:lang w:val="es-ES_tradnl"/>
        </w:rPr>
        <w:t xml:space="preserve">presentaba un proceso para actualizar la lista de </w:t>
      </w:r>
      <w:r w:rsidR="00616E13" w:rsidRPr="00572450">
        <w:rPr>
          <w:lang w:val="es-ES_tradnl"/>
        </w:rPr>
        <w:t xml:space="preserve">las </w:t>
      </w:r>
      <w:r w:rsidRPr="00572450">
        <w:rPr>
          <w:lang w:val="es-ES_tradnl"/>
        </w:rPr>
        <w:t xml:space="preserve">ONG </w:t>
      </w:r>
      <w:r w:rsidR="000548A7" w:rsidRPr="00572450">
        <w:rPr>
          <w:lang w:val="es-ES_tradnl"/>
        </w:rPr>
        <w:t xml:space="preserve">observadoras </w:t>
      </w:r>
      <w:r w:rsidRPr="00572450">
        <w:rPr>
          <w:lang w:val="es-ES_tradnl"/>
        </w:rPr>
        <w:t xml:space="preserve">con el fin de </w:t>
      </w:r>
      <w:r w:rsidR="00CB4540" w:rsidRPr="00572450">
        <w:rPr>
          <w:lang w:val="es-ES_tradnl"/>
        </w:rPr>
        <w:t>disminuir</w:t>
      </w:r>
      <w:r w:rsidRPr="00572450">
        <w:rPr>
          <w:lang w:val="es-ES_tradnl"/>
        </w:rPr>
        <w:t xml:space="preserve"> los problemas relacionados con </w:t>
      </w:r>
      <w:r w:rsidR="000548A7" w:rsidRPr="00572450">
        <w:rPr>
          <w:lang w:val="es-ES_tradnl"/>
        </w:rPr>
        <w:t>ese</w:t>
      </w:r>
      <w:r w:rsidRPr="00572450">
        <w:rPr>
          <w:lang w:val="es-ES_tradnl"/>
        </w:rPr>
        <w:t xml:space="preserve"> aumento (véanse los documentos A/58/8 y A/58/11, párrafos 25 y 26). A partir de entonces, la Secretaría informaría a las Asambleas sobre el resultado de la actualización de la lista de </w:t>
      </w:r>
      <w:r w:rsidR="00616E13" w:rsidRPr="00572450">
        <w:rPr>
          <w:lang w:val="es-ES_tradnl"/>
        </w:rPr>
        <w:t xml:space="preserve">las </w:t>
      </w:r>
      <w:r w:rsidRPr="00572450">
        <w:rPr>
          <w:lang w:val="es-ES_tradnl"/>
        </w:rPr>
        <w:t>ONG</w:t>
      </w:r>
      <w:r w:rsidR="00616E13" w:rsidRPr="00572450">
        <w:rPr>
          <w:lang w:val="es-ES_tradnl"/>
        </w:rPr>
        <w:t xml:space="preserve"> observadoras</w:t>
      </w:r>
      <w:r w:rsidRPr="00572450">
        <w:rPr>
          <w:lang w:val="es-ES_tradnl"/>
        </w:rPr>
        <w:t xml:space="preserve">, es decir, </w:t>
      </w:r>
      <w:r w:rsidR="00616E13" w:rsidRPr="00572450">
        <w:rPr>
          <w:lang w:val="es-ES_tradnl"/>
        </w:rPr>
        <w:t>el resultado</w:t>
      </w:r>
      <w:r w:rsidRPr="00572450">
        <w:rPr>
          <w:lang w:val="es-ES_tradnl"/>
        </w:rPr>
        <w:t xml:space="preserve"> de la encuesta, así como </w:t>
      </w:r>
      <w:r w:rsidR="00616E13" w:rsidRPr="00572450">
        <w:rPr>
          <w:lang w:val="es-ES_tradnl"/>
        </w:rPr>
        <w:t xml:space="preserve">de </w:t>
      </w:r>
      <w:r w:rsidRPr="00572450">
        <w:rPr>
          <w:lang w:val="es-ES_tradnl"/>
        </w:rPr>
        <w:t xml:space="preserve">las revisiones realizadas, </w:t>
      </w:r>
      <w:r w:rsidR="00CA243D" w:rsidRPr="00572450">
        <w:rPr>
          <w:lang w:val="es-ES_tradnl"/>
        </w:rPr>
        <w:t xml:space="preserve">lo cual </w:t>
      </w:r>
      <w:r w:rsidRPr="00572450">
        <w:rPr>
          <w:lang w:val="es-ES_tradnl"/>
        </w:rPr>
        <w:t>es el objeto del presente documento.</w:t>
      </w:r>
    </w:p>
    <w:p w:rsidR="000566F7" w:rsidRPr="00572450" w:rsidRDefault="00F12D27" w:rsidP="00372B5F">
      <w:pPr>
        <w:pStyle w:val="Heading2"/>
        <w:spacing w:before="480" w:after="120"/>
        <w:rPr>
          <w:lang w:val="es-ES_tradnl"/>
        </w:rPr>
      </w:pPr>
      <w:r w:rsidRPr="00572450">
        <w:rPr>
          <w:lang w:val="es-ES_tradnl"/>
        </w:rPr>
        <w:t>Proceso de actualización</w:t>
      </w:r>
    </w:p>
    <w:p w:rsidR="000566F7" w:rsidRPr="00572450" w:rsidRDefault="00F12D27">
      <w:pPr>
        <w:spacing w:after="240"/>
        <w:rPr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Pr="00572450">
        <w:rPr>
          <w:lang w:val="es-ES_tradnl"/>
        </w:rPr>
        <w:tab/>
      </w:r>
      <w:r w:rsidR="00363DFE" w:rsidRPr="00572450">
        <w:rPr>
          <w:lang w:val="es-ES_tradnl"/>
        </w:rPr>
        <w:t xml:space="preserve">Con arreglo a </w:t>
      </w:r>
      <w:r w:rsidR="00CC4137" w:rsidRPr="00572450">
        <w:rPr>
          <w:lang w:val="es-ES_tradnl"/>
        </w:rPr>
        <w:t xml:space="preserve">la </w:t>
      </w:r>
      <w:r w:rsidRPr="00572450">
        <w:rPr>
          <w:lang w:val="es-ES_tradnl"/>
        </w:rPr>
        <w:t xml:space="preserve">decisión mencionada, la Secretaría </w:t>
      </w:r>
      <w:r w:rsidR="00363DFE" w:rsidRPr="00572450">
        <w:rPr>
          <w:lang w:val="es-ES_tradnl"/>
        </w:rPr>
        <w:t>tomó</w:t>
      </w:r>
      <w:r w:rsidRPr="00572450">
        <w:rPr>
          <w:lang w:val="es-ES_tradnl"/>
        </w:rPr>
        <w:t xml:space="preserve"> varias medidas</w:t>
      </w:r>
      <w:r w:rsidR="00B50AE2" w:rsidRPr="00572450">
        <w:rPr>
          <w:lang w:val="es-ES_tradnl"/>
        </w:rPr>
        <w:t xml:space="preserve">, </w:t>
      </w:r>
      <w:r w:rsidRPr="00572450">
        <w:rPr>
          <w:lang w:val="es-ES_tradnl"/>
        </w:rPr>
        <w:t xml:space="preserve">como se especifica en el documento A/58/8, párrafo 10, para identificar a las ONG que han </w:t>
      </w:r>
      <w:r w:rsidR="00363DFE" w:rsidRPr="00572450">
        <w:rPr>
          <w:lang w:val="es-ES_tradnl"/>
        </w:rPr>
        <w:t xml:space="preserve">dejado de </w:t>
      </w:r>
      <w:r w:rsidR="00363DFE" w:rsidRPr="00572450">
        <w:rPr>
          <w:lang w:val="es-ES_tradnl"/>
        </w:rPr>
        <w:lastRenderedPageBreak/>
        <w:t>existir</w:t>
      </w:r>
      <w:r w:rsidRPr="00572450">
        <w:rPr>
          <w:lang w:val="es-ES_tradnl"/>
        </w:rPr>
        <w:t xml:space="preserve"> o que ya no están interesadas en participar en las </w:t>
      </w:r>
      <w:r w:rsidR="00363DFE" w:rsidRPr="00572450">
        <w:rPr>
          <w:lang w:val="es-ES_tradnl"/>
        </w:rPr>
        <w:t>reuniones</w:t>
      </w:r>
      <w:r w:rsidR="00CC4137" w:rsidRPr="00572450">
        <w:rPr>
          <w:lang w:val="es-ES_tradnl"/>
        </w:rPr>
        <w:t xml:space="preserve"> de las </w:t>
      </w:r>
      <w:r w:rsidRPr="00572450">
        <w:rPr>
          <w:lang w:val="es-ES_tradnl"/>
        </w:rPr>
        <w:t xml:space="preserve">Asambleas y </w:t>
      </w:r>
      <w:r w:rsidR="00F50F40" w:rsidRPr="00572450">
        <w:rPr>
          <w:lang w:val="es-ES_tradnl"/>
        </w:rPr>
        <w:t xml:space="preserve">las sesiones de </w:t>
      </w:r>
      <w:r w:rsidRPr="00572450">
        <w:rPr>
          <w:lang w:val="es-ES_tradnl"/>
        </w:rPr>
        <w:t xml:space="preserve">los </w:t>
      </w:r>
      <w:r w:rsidR="00363DFE" w:rsidRPr="00572450">
        <w:rPr>
          <w:lang w:val="es-ES_tradnl"/>
        </w:rPr>
        <w:t>c</w:t>
      </w:r>
      <w:r w:rsidRPr="00572450">
        <w:rPr>
          <w:lang w:val="es-ES_tradnl"/>
        </w:rPr>
        <w:t>omités de la OMPI.</w:t>
      </w:r>
    </w:p>
    <w:p w:rsidR="000566F7" w:rsidRPr="00572450" w:rsidRDefault="00F12D27">
      <w:pPr>
        <w:spacing w:after="240"/>
        <w:rPr>
          <w:u w:val="single"/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Pr="00572450">
        <w:rPr>
          <w:lang w:val="es-ES_tradnl"/>
        </w:rPr>
        <w:tab/>
        <w:t xml:space="preserve">En mayo de 2019, la Secretaría distribuyó una encuesta inicial </w:t>
      </w:r>
      <w:r w:rsidR="00363DFE" w:rsidRPr="00572450">
        <w:rPr>
          <w:lang w:val="es-ES_tradnl"/>
        </w:rPr>
        <w:t>mediante</w:t>
      </w:r>
      <w:r w:rsidRPr="00572450">
        <w:rPr>
          <w:lang w:val="es-ES_tradnl"/>
        </w:rPr>
        <w:t xml:space="preserve"> la Nota </w:t>
      </w:r>
      <w:r w:rsidR="00CC4137" w:rsidRPr="00572450">
        <w:rPr>
          <w:lang w:val="es-ES_tradnl"/>
        </w:rPr>
        <w:t>C.</w:t>
      </w:r>
      <w:r w:rsidR="00363DFE" w:rsidRPr="00572450">
        <w:rPr>
          <w:lang w:val="es-ES_tradnl"/>
        </w:rPr>
        <w:t> </w:t>
      </w:r>
      <w:r w:rsidR="00CC4137" w:rsidRPr="00572450">
        <w:rPr>
          <w:lang w:val="es-ES_tradnl"/>
        </w:rPr>
        <w:t>N</w:t>
      </w:r>
      <w:r w:rsidR="00363DFE" w:rsidRPr="00572450">
        <w:rPr>
          <w:lang w:val="es-ES_tradnl"/>
        </w:rPr>
        <w:t> </w:t>
      </w:r>
      <w:r w:rsidRPr="00572450">
        <w:rPr>
          <w:lang w:val="es-ES_tradnl"/>
        </w:rPr>
        <w:t xml:space="preserve">3904, en la que se solicitaba a todas las ONG admitidas como </w:t>
      </w:r>
      <w:r w:rsidR="006F7955" w:rsidRPr="00572450">
        <w:rPr>
          <w:lang w:val="es-ES_tradnl"/>
        </w:rPr>
        <w:t>observadoras ante la OMPI</w:t>
      </w:r>
      <w:r w:rsidRPr="00572450">
        <w:rPr>
          <w:lang w:val="es-ES_tradnl"/>
        </w:rPr>
        <w:t xml:space="preserve">, enumeradas en el Anexo </w:t>
      </w:r>
      <w:r w:rsidR="00BD3337" w:rsidRPr="00572450">
        <w:rPr>
          <w:lang w:val="es-ES_tradnl"/>
        </w:rPr>
        <w:t xml:space="preserve">del </w:t>
      </w:r>
      <w:r w:rsidRPr="00572450">
        <w:rPr>
          <w:lang w:val="es-ES_tradnl"/>
        </w:rPr>
        <w:t xml:space="preserve">documento A/58/INF/1Rev., pero que no participaron en las Asambleas o los </w:t>
      </w:r>
      <w:r w:rsidR="00363DFE" w:rsidRPr="00572450">
        <w:rPr>
          <w:lang w:val="es-ES_tradnl"/>
        </w:rPr>
        <w:t>c</w:t>
      </w:r>
      <w:r w:rsidRPr="00572450">
        <w:rPr>
          <w:lang w:val="es-ES_tradnl"/>
        </w:rPr>
        <w:t>omités de la OMPI</w:t>
      </w:r>
      <w:r w:rsidRPr="00572450">
        <w:rPr>
          <w:rStyle w:val="FootnoteReference"/>
          <w:lang w:val="es-ES_tradnl"/>
        </w:rPr>
        <w:footnoteReference w:id="2"/>
      </w:r>
      <w:r w:rsidRPr="00572450">
        <w:rPr>
          <w:lang w:val="es-ES_tradnl"/>
        </w:rPr>
        <w:t xml:space="preserve"> durante el período comprendido entre 2013 y 2017, que confirmaran que seguían interesadas en la labor </w:t>
      </w:r>
      <w:r w:rsidR="00363DFE" w:rsidRPr="00572450">
        <w:rPr>
          <w:lang w:val="es-ES_tradnl"/>
        </w:rPr>
        <w:t>de</w:t>
      </w:r>
      <w:r w:rsidRPr="00572450">
        <w:rPr>
          <w:lang w:val="es-ES_tradnl"/>
        </w:rPr>
        <w:t xml:space="preserve"> la OMPI y que deseaban mantener su condición de observadoras</w:t>
      </w:r>
      <w:r w:rsidR="00D836E4" w:rsidRPr="00572450">
        <w:rPr>
          <w:lang w:val="es-ES_tradnl"/>
        </w:rPr>
        <w:t>.</w:t>
      </w:r>
      <w:r w:rsidRPr="00572450">
        <w:rPr>
          <w:rStyle w:val="FootnoteReference"/>
          <w:lang w:val="es-ES_tradnl"/>
        </w:rPr>
        <w:footnoteReference w:id="3"/>
      </w:r>
    </w:p>
    <w:p w:rsidR="000566F7" w:rsidRPr="00572450" w:rsidRDefault="00F12D27">
      <w:pPr>
        <w:spacing w:after="240"/>
        <w:rPr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="00D836E4" w:rsidRPr="00572450">
        <w:rPr>
          <w:lang w:val="es-ES_tradnl"/>
        </w:rPr>
        <w:tab/>
      </w:r>
      <w:r w:rsidRPr="00572450">
        <w:rPr>
          <w:lang w:val="es-ES_tradnl"/>
        </w:rPr>
        <w:t xml:space="preserve">A esta comunicación inicial le siguieron dos recordatorios </w:t>
      </w:r>
      <w:r w:rsidR="00D836E4" w:rsidRPr="00572450">
        <w:rPr>
          <w:lang w:val="es-ES_tradnl"/>
        </w:rPr>
        <w:t>(</w:t>
      </w:r>
      <w:r w:rsidRPr="00572450">
        <w:rPr>
          <w:lang w:val="es-ES_tradnl"/>
        </w:rPr>
        <w:t xml:space="preserve">Notas </w:t>
      </w:r>
      <w:r w:rsidR="00CC4137" w:rsidRPr="00572450">
        <w:rPr>
          <w:lang w:val="es-ES_tradnl"/>
        </w:rPr>
        <w:t xml:space="preserve">C. N </w:t>
      </w:r>
      <w:r w:rsidRPr="00572450">
        <w:rPr>
          <w:lang w:val="es-ES_tradnl"/>
        </w:rPr>
        <w:t>3925 y 4045</w:t>
      </w:r>
      <w:r w:rsidR="00D836E4" w:rsidRPr="00572450">
        <w:rPr>
          <w:lang w:val="es-ES_tradnl"/>
        </w:rPr>
        <w:t>)</w:t>
      </w:r>
      <w:r w:rsidRPr="00572450">
        <w:rPr>
          <w:lang w:val="es-ES_tradnl"/>
        </w:rPr>
        <w:t xml:space="preserve"> enviad</w:t>
      </w:r>
      <w:r w:rsidR="00D836E4" w:rsidRPr="00572450">
        <w:rPr>
          <w:lang w:val="es-ES_tradnl"/>
        </w:rPr>
        <w:t>o</w:t>
      </w:r>
      <w:r w:rsidRPr="00572450">
        <w:rPr>
          <w:lang w:val="es-ES_tradnl"/>
        </w:rPr>
        <w:t>s en diciembre de 2019 y noviembre de 2020</w:t>
      </w:r>
      <w:r w:rsidR="00D836E4" w:rsidRPr="00572450">
        <w:rPr>
          <w:lang w:val="es-ES_tradnl"/>
        </w:rPr>
        <w:t>,</w:t>
      </w:r>
      <w:r w:rsidRPr="00572450">
        <w:rPr>
          <w:lang w:val="es-ES_tradnl"/>
        </w:rPr>
        <w:t xml:space="preserve"> respectivamente, </w:t>
      </w:r>
      <w:r w:rsidR="00D836E4" w:rsidRPr="00572450">
        <w:rPr>
          <w:lang w:val="es-ES_tradnl"/>
        </w:rPr>
        <w:t xml:space="preserve">y </w:t>
      </w:r>
      <w:r w:rsidRPr="00572450">
        <w:rPr>
          <w:lang w:val="es-ES_tradnl"/>
        </w:rPr>
        <w:t>dirigid</w:t>
      </w:r>
      <w:r w:rsidR="00D836E4" w:rsidRPr="00572450">
        <w:rPr>
          <w:lang w:val="es-ES_tradnl"/>
        </w:rPr>
        <w:t>o</w:t>
      </w:r>
      <w:r w:rsidRPr="00572450">
        <w:rPr>
          <w:lang w:val="es-ES_tradnl"/>
        </w:rPr>
        <w:t xml:space="preserve">s a las ONG que </w:t>
      </w:r>
      <w:r w:rsidR="00CC4137" w:rsidRPr="00572450">
        <w:rPr>
          <w:lang w:val="es-ES_tradnl"/>
        </w:rPr>
        <w:t>aún no habían respondido</w:t>
      </w:r>
      <w:r w:rsidRPr="00572450">
        <w:rPr>
          <w:lang w:val="es-ES_tradnl"/>
        </w:rPr>
        <w:t>.</w:t>
      </w:r>
      <w:r w:rsidR="00037133" w:rsidRPr="00572450">
        <w:rPr>
          <w:lang w:val="es-ES_tradnl"/>
        </w:rPr>
        <w:t xml:space="preserve"> </w:t>
      </w:r>
      <w:r w:rsidRPr="00572450">
        <w:rPr>
          <w:lang w:val="es-ES_tradnl"/>
        </w:rPr>
        <w:t xml:space="preserve">En marzo de 2021 se envió un tercer recordatorio a un grupo restante de ONG que no habían respondido a ninguna de las tres notas anteriores y de las que la Secretaría había encontrado datos de contacto nuevos </w:t>
      </w:r>
      <w:r w:rsidR="00CC4137" w:rsidRPr="00572450">
        <w:rPr>
          <w:lang w:val="es-ES_tradnl"/>
        </w:rPr>
        <w:t xml:space="preserve">o </w:t>
      </w:r>
      <w:r w:rsidRPr="00572450">
        <w:rPr>
          <w:lang w:val="es-ES_tradnl"/>
        </w:rPr>
        <w:t>adicionales.</w:t>
      </w:r>
    </w:p>
    <w:p w:rsidR="000566F7" w:rsidRPr="00572450" w:rsidRDefault="00F12D27">
      <w:pPr>
        <w:spacing w:after="240"/>
        <w:rPr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Pr="00572450">
        <w:rPr>
          <w:lang w:val="es-ES_tradnl"/>
        </w:rPr>
        <w:tab/>
        <w:t xml:space="preserve">Por último, la Secretaría informó a las ONG afectadas, es decir, las que no respondieron a ninguna de las comunicaciones mencionadas, mediante la Nota </w:t>
      </w:r>
      <w:r w:rsidR="00CC4137" w:rsidRPr="00572450">
        <w:rPr>
          <w:lang w:val="es-ES_tradnl"/>
        </w:rPr>
        <w:t xml:space="preserve">C. N </w:t>
      </w:r>
      <w:r w:rsidRPr="00572450">
        <w:rPr>
          <w:lang w:val="es-ES_tradnl"/>
        </w:rPr>
        <w:t xml:space="preserve">4067, de fecha 19 de abril de 2021, </w:t>
      </w:r>
      <w:r w:rsidR="00DF4102" w:rsidRPr="00572450">
        <w:rPr>
          <w:lang w:val="es-ES_tradnl"/>
        </w:rPr>
        <w:t xml:space="preserve">de </w:t>
      </w:r>
      <w:r w:rsidRPr="00572450">
        <w:rPr>
          <w:lang w:val="es-ES_tradnl"/>
        </w:rPr>
        <w:t xml:space="preserve">que, de conformidad con la mencionada decisión adoptada por las Asambleas en 2018, la </w:t>
      </w:r>
      <w:r w:rsidR="00DF4102" w:rsidRPr="00572450">
        <w:rPr>
          <w:lang w:val="es-ES_tradnl"/>
        </w:rPr>
        <w:t>falta</w:t>
      </w:r>
      <w:r w:rsidRPr="00572450">
        <w:rPr>
          <w:lang w:val="es-ES_tradnl"/>
        </w:rPr>
        <w:t xml:space="preserve"> de respuesta a la encuesta y a las </w:t>
      </w:r>
      <w:r w:rsidR="00CC4137" w:rsidRPr="00572450">
        <w:rPr>
          <w:lang w:val="es-ES_tradnl"/>
        </w:rPr>
        <w:t>comunicaciones</w:t>
      </w:r>
      <w:r w:rsidRPr="00572450">
        <w:rPr>
          <w:lang w:val="es-ES_tradnl"/>
        </w:rPr>
        <w:t xml:space="preserve"> de seguimiento se había considerado </w:t>
      </w:r>
      <w:r w:rsidR="0002090F" w:rsidRPr="00572450">
        <w:rPr>
          <w:lang w:val="es-ES_tradnl"/>
        </w:rPr>
        <w:t xml:space="preserve">una </w:t>
      </w:r>
      <w:r w:rsidRPr="00572450">
        <w:rPr>
          <w:lang w:val="es-ES_tradnl"/>
        </w:rPr>
        <w:t xml:space="preserve">indicación de que la ONG no deseaba </w:t>
      </w:r>
      <w:r w:rsidR="00DF4102" w:rsidRPr="00572450">
        <w:rPr>
          <w:lang w:val="es-ES_tradnl"/>
        </w:rPr>
        <w:t xml:space="preserve">mantener su condición de </w:t>
      </w:r>
      <w:r w:rsidRPr="00572450">
        <w:rPr>
          <w:lang w:val="es-ES_tradnl"/>
        </w:rPr>
        <w:t xml:space="preserve">observadora </w:t>
      </w:r>
      <w:r w:rsidR="006F7955" w:rsidRPr="00572450">
        <w:rPr>
          <w:lang w:val="es-ES_tradnl"/>
        </w:rPr>
        <w:t>ante</w:t>
      </w:r>
      <w:r w:rsidRPr="00572450">
        <w:rPr>
          <w:lang w:val="es-ES_tradnl"/>
        </w:rPr>
        <w:t xml:space="preserve"> la OMPI.</w:t>
      </w:r>
      <w:r w:rsidR="00037133" w:rsidRPr="00572450">
        <w:rPr>
          <w:lang w:val="es-ES_tradnl"/>
        </w:rPr>
        <w:t xml:space="preserve"> </w:t>
      </w:r>
      <w:r w:rsidRPr="00572450">
        <w:rPr>
          <w:lang w:val="es-ES_tradnl"/>
        </w:rPr>
        <w:t xml:space="preserve">En consecuencia, </w:t>
      </w:r>
      <w:r w:rsidR="0002090F" w:rsidRPr="00572450">
        <w:rPr>
          <w:lang w:val="es-ES_tradnl"/>
        </w:rPr>
        <w:t xml:space="preserve">el 16 de abril de 2021, </w:t>
      </w:r>
      <w:r w:rsidRPr="00572450">
        <w:rPr>
          <w:lang w:val="es-ES_tradnl"/>
        </w:rPr>
        <w:t xml:space="preserve">las ONG en cuestión fueron eliminadas de la lista de organizaciones admitidas como </w:t>
      </w:r>
      <w:r w:rsidR="006F7955" w:rsidRPr="00572450">
        <w:rPr>
          <w:lang w:val="es-ES_tradnl"/>
        </w:rPr>
        <w:t>observadoras ante la OMPI</w:t>
      </w:r>
      <w:r w:rsidRPr="00572450">
        <w:rPr>
          <w:lang w:val="es-ES_tradnl"/>
        </w:rPr>
        <w:t xml:space="preserve">. </w:t>
      </w:r>
    </w:p>
    <w:p w:rsidR="000566F7" w:rsidRPr="00572450" w:rsidRDefault="00F12D27">
      <w:pPr>
        <w:spacing w:after="480"/>
        <w:rPr>
          <w:u w:val="single"/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Pr="00572450">
        <w:rPr>
          <w:lang w:val="es-ES_tradnl"/>
        </w:rPr>
        <w:tab/>
        <w:t xml:space="preserve">También se informó a las ONG </w:t>
      </w:r>
      <w:r w:rsidR="00270036" w:rsidRPr="00572450">
        <w:rPr>
          <w:lang w:val="es-ES_tradnl"/>
        </w:rPr>
        <w:t>en cuestión</w:t>
      </w:r>
      <w:r w:rsidRPr="00572450">
        <w:rPr>
          <w:lang w:val="es-ES_tradnl"/>
        </w:rPr>
        <w:t xml:space="preserve"> de que esa supresión no afectaba a la condición </w:t>
      </w:r>
      <w:r w:rsidR="00270036" w:rsidRPr="00572450">
        <w:rPr>
          <w:lang w:val="es-ES_tradnl"/>
        </w:rPr>
        <w:t xml:space="preserve">de las organizaciones como </w:t>
      </w:r>
      <w:r w:rsidRPr="00572450">
        <w:rPr>
          <w:lang w:val="es-ES_tradnl"/>
        </w:rPr>
        <w:t>observador</w:t>
      </w:r>
      <w:r w:rsidR="00270036" w:rsidRPr="00572450">
        <w:rPr>
          <w:lang w:val="es-ES_tradnl"/>
        </w:rPr>
        <w:t>as</w:t>
      </w:r>
      <w:r w:rsidRPr="00572450">
        <w:rPr>
          <w:lang w:val="es-ES_tradnl"/>
        </w:rPr>
        <w:t xml:space="preserve"> </w:t>
      </w:r>
      <w:r w:rsidRPr="00572450">
        <w:rPr>
          <w:i/>
          <w:lang w:val="es-ES_tradnl"/>
        </w:rPr>
        <w:t xml:space="preserve">ad hoc </w:t>
      </w:r>
      <w:r w:rsidRPr="00572450">
        <w:rPr>
          <w:lang w:val="es-ES_tradnl"/>
        </w:rPr>
        <w:t xml:space="preserve">en </w:t>
      </w:r>
      <w:r w:rsidR="00270036" w:rsidRPr="00572450">
        <w:rPr>
          <w:lang w:val="es-ES_tradnl"/>
        </w:rPr>
        <w:t xml:space="preserve">los </w:t>
      </w:r>
      <w:r w:rsidR="00CC4137" w:rsidRPr="00572450">
        <w:rPr>
          <w:lang w:val="es-ES_tradnl"/>
        </w:rPr>
        <w:t>comité</w:t>
      </w:r>
      <w:r w:rsidR="00270036" w:rsidRPr="00572450">
        <w:rPr>
          <w:lang w:val="es-ES_tradnl"/>
        </w:rPr>
        <w:t>s</w:t>
      </w:r>
      <w:r w:rsidR="00CC4137" w:rsidRPr="00572450">
        <w:rPr>
          <w:lang w:val="es-ES_tradnl"/>
        </w:rPr>
        <w:t xml:space="preserve"> de </w:t>
      </w:r>
      <w:r w:rsidRPr="00572450">
        <w:rPr>
          <w:lang w:val="es-ES_tradnl"/>
        </w:rPr>
        <w:t xml:space="preserve">la OMPI y que se había </w:t>
      </w:r>
      <w:r w:rsidR="00CB4540" w:rsidRPr="00572450">
        <w:rPr>
          <w:lang w:val="es-ES_tradnl"/>
        </w:rPr>
        <w:t>establecido</w:t>
      </w:r>
      <w:r w:rsidRPr="00572450">
        <w:rPr>
          <w:lang w:val="es-ES_tradnl"/>
        </w:rPr>
        <w:t xml:space="preserve"> un </w:t>
      </w:r>
      <w:r w:rsidR="00D52466" w:rsidRPr="00572450">
        <w:rPr>
          <w:lang w:val="es-ES_tradnl"/>
        </w:rPr>
        <w:t>“</w:t>
      </w:r>
      <w:r w:rsidRPr="00572450">
        <w:rPr>
          <w:lang w:val="es-ES_tradnl"/>
        </w:rPr>
        <w:t xml:space="preserve">principio de </w:t>
      </w:r>
      <w:r w:rsidR="00CB4540" w:rsidRPr="00572450">
        <w:rPr>
          <w:lang w:val="es-ES_tradnl"/>
        </w:rPr>
        <w:t>restauración</w:t>
      </w:r>
      <w:r w:rsidR="00D52466" w:rsidRPr="00572450">
        <w:rPr>
          <w:lang w:val="es-ES_tradnl"/>
        </w:rPr>
        <w:t>”</w:t>
      </w:r>
      <w:r w:rsidRPr="00572450">
        <w:rPr>
          <w:lang w:val="es-ES_tradnl"/>
        </w:rPr>
        <w:t xml:space="preserve">, según el cual las ONG afectadas podían solicitar la reanudación de su condición de </w:t>
      </w:r>
      <w:r w:rsidR="006F7955" w:rsidRPr="00572450">
        <w:rPr>
          <w:lang w:val="es-ES_tradnl"/>
        </w:rPr>
        <w:t>observadoras ante la OMPI</w:t>
      </w:r>
      <w:r w:rsidRPr="00572450">
        <w:rPr>
          <w:lang w:val="es-ES_tradnl"/>
        </w:rPr>
        <w:t xml:space="preserve">, sin necesidad de presentar una nueva solicitud </w:t>
      </w:r>
      <w:r w:rsidR="002B3081" w:rsidRPr="00572450">
        <w:rPr>
          <w:lang w:val="es-ES_tradnl"/>
        </w:rPr>
        <w:t xml:space="preserve">para obtener </w:t>
      </w:r>
      <w:r w:rsidR="00270036" w:rsidRPr="00572450">
        <w:rPr>
          <w:lang w:val="es-ES_tradnl"/>
        </w:rPr>
        <w:t xml:space="preserve">la </w:t>
      </w:r>
      <w:r w:rsidRPr="00572450">
        <w:rPr>
          <w:lang w:val="es-ES_tradnl"/>
        </w:rPr>
        <w:t>condición de observador</w:t>
      </w:r>
      <w:r w:rsidR="00270036" w:rsidRPr="00572450">
        <w:rPr>
          <w:lang w:val="es-ES_tradnl"/>
        </w:rPr>
        <w:t>as</w:t>
      </w:r>
      <w:r w:rsidRPr="00572450">
        <w:rPr>
          <w:lang w:val="es-ES_tradnl"/>
        </w:rPr>
        <w:t xml:space="preserve">, en </w:t>
      </w:r>
      <w:r w:rsidR="00F50F40" w:rsidRPr="00572450">
        <w:rPr>
          <w:lang w:val="es-ES_tradnl"/>
        </w:rPr>
        <w:t>el</w:t>
      </w:r>
      <w:r w:rsidRPr="00572450">
        <w:rPr>
          <w:lang w:val="es-ES_tradnl"/>
        </w:rPr>
        <w:t xml:space="preserve"> plazo de un año tras su supresión de la lista, es decir, hasta el 16 de abril de 2022.</w:t>
      </w:r>
    </w:p>
    <w:p w:rsidR="000566F7" w:rsidRPr="00572450" w:rsidRDefault="00F12D27" w:rsidP="002B3081">
      <w:pPr>
        <w:pStyle w:val="Heading2"/>
        <w:tabs>
          <w:tab w:val="left" w:pos="6140"/>
        </w:tabs>
        <w:spacing w:after="240"/>
        <w:rPr>
          <w:lang w:val="es-ES_tradnl"/>
        </w:rPr>
      </w:pPr>
      <w:r w:rsidRPr="00572450">
        <w:rPr>
          <w:lang w:val="es-ES_tradnl"/>
        </w:rPr>
        <w:t>Resultados</w:t>
      </w:r>
    </w:p>
    <w:p w:rsidR="000566F7" w:rsidRPr="00572450" w:rsidRDefault="00F12D27" w:rsidP="00372B5F">
      <w:pPr>
        <w:spacing w:after="240"/>
        <w:rPr>
          <w:lang w:val="es-ES_tradnl"/>
        </w:rPr>
      </w:pPr>
      <w:r w:rsidRPr="00572450">
        <w:rPr>
          <w:lang w:val="es-ES_tradnl"/>
        </w:rPr>
        <w:fldChar w:fldCharType="begin"/>
      </w:r>
      <w:r w:rsidRPr="00572450">
        <w:rPr>
          <w:lang w:val="es-ES_tradnl"/>
        </w:rPr>
        <w:instrText xml:space="preserve"> AUTONUM  </w:instrText>
      </w:r>
      <w:r w:rsidRPr="00572450">
        <w:rPr>
          <w:lang w:val="es-ES_tradnl"/>
        </w:rPr>
        <w:fldChar w:fldCharType="end"/>
      </w:r>
      <w:r w:rsidRPr="00572450">
        <w:rPr>
          <w:lang w:val="es-ES_tradnl"/>
        </w:rPr>
        <w:tab/>
        <w:t xml:space="preserve">De acuerdo con el procedimiento de actualización descrito anteriormente, la Secretaría identificó </w:t>
      </w:r>
      <w:r w:rsidR="00F50F40" w:rsidRPr="00572450">
        <w:rPr>
          <w:lang w:val="es-ES_tradnl"/>
        </w:rPr>
        <w:t xml:space="preserve">a </w:t>
      </w:r>
      <w:r w:rsidRPr="00572450">
        <w:rPr>
          <w:lang w:val="es-ES_tradnl"/>
        </w:rPr>
        <w:t xml:space="preserve">168 ONG, de un total de 341 admitidas como </w:t>
      </w:r>
      <w:r w:rsidR="006F7955" w:rsidRPr="00572450">
        <w:rPr>
          <w:lang w:val="es-ES_tradnl"/>
        </w:rPr>
        <w:t>observadoras ante la OMPI</w:t>
      </w:r>
      <w:r w:rsidRPr="00572450">
        <w:rPr>
          <w:lang w:val="es-ES_tradnl"/>
        </w:rPr>
        <w:t xml:space="preserve"> </w:t>
      </w:r>
      <w:r w:rsidR="00CC4137" w:rsidRPr="00572450">
        <w:rPr>
          <w:lang w:val="es-ES_tradnl"/>
        </w:rPr>
        <w:t xml:space="preserve">a </w:t>
      </w:r>
      <w:r w:rsidR="00572450" w:rsidRPr="00572450">
        <w:rPr>
          <w:lang w:val="es-ES_tradnl"/>
        </w:rPr>
        <w:t>partir de </w:t>
      </w:r>
      <w:r w:rsidRPr="00572450">
        <w:rPr>
          <w:lang w:val="es-ES_tradnl"/>
        </w:rPr>
        <w:t xml:space="preserve">2017, que no participaron en las </w:t>
      </w:r>
      <w:r w:rsidR="00F50F40" w:rsidRPr="00572450">
        <w:rPr>
          <w:lang w:val="es-ES_tradnl"/>
        </w:rPr>
        <w:t xml:space="preserve">reuniones de las </w:t>
      </w:r>
      <w:r w:rsidRPr="00572450">
        <w:rPr>
          <w:lang w:val="es-ES_tradnl"/>
        </w:rPr>
        <w:t xml:space="preserve">Asambleas ni en las sesiones </w:t>
      </w:r>
      <w:r w:rsidR="00F50F40" w:rsidRPr="00572450">
        <w:rPr>
          <w:lang w:val="es-ES_tradnl"/>
        </w:rPr>
        <w:t xml:space="preserve">de los comités </w:t>
      </w:r>
      <w:r w:rsidRPr="00572450">
        <w:rPr>
          <w:lang w:val="es-ES_tradnl"/>
        </w:rPr>
        <w:t>de la OMPI durante el período comprendido entre 2013 y 2017.</w:t>
      </w:r>
      <w:r w:rsidR="00037133" w:rsidRPr="00572450">
        <w:rPr>
          <w:lang w:val="es-ES_tradnl"/>
        </w:rPr>
        <w:t xml:space="preserve"> </w:t>
      </w:r>
      <w:r w:rsidR="00CC4137" w:rsidRPr="00572450">
        <w:rPr>
          <w:lang w:val="es-ES_tradnl"/>
        </w:rPr>
        <w:t xml:space="preserve">Al </w:t>
      </w:r>
      <w:r w:rsidRPr="00572450">
        <w:rPr>
          <w:lang w:val="es-ES_tradnl"/>
        </w:rPr>
        <w:t>concluir el proceso de actualización, 64 ONG (</w:t>
      </w:r>
      <w:r w:rsidR="00180526" w:rsidRPr="00572450">
        <w:rPr>
          <w:lang w:val="es-ES_tradnl"/>
        </w:rPr>
        <w:t>38%</w:t>
      </w:r>
      <w:r w:rsidRPr="00572450">
        <w:rPr>
          <w:lang w:val="es-ES_tradnl"/>
        </w:rPr>
        <w:t>) del grupo de 168 habían respondido a la encuesta y proporcionado a la Secretaría información de contacto actualizada.</w:t>
      </w:r>
      <w:r w:rsidR="00037133" w:rsidRPr="00572450">
        <w:rPr>
          <w:lang w:val="es-ES_tradnl"/>
        </w:rPr>
        <w:t xml:space="preserve"> </w:t>
      </w:r>
      <w:r w:rsidRPr="00572450">
        <w:rPr>
          <w:lang w:val="es-ES_tradnl"/>
        </w:rPr>
        <w:t xml:space="preserve">Esa información se utilizó para actualizar los documentos y bases de datos relativos a los observadores </w:t>
      </w:r>
      <w:r w:rsidR="006F7955" w:rsidRPr="00572450">
        <w:rPr>
          <w:lang w:val="es-ES_tradnl"/>
        </w:rPr>
        <w:t>ante</w:t>
      </w:r>
      <w:r w:rsidRPr="00572450">
        <w:rPr>
          <w:lang w:val="es-ES_tradnl"/>
        </w:rPr>
        <w:t xml:space="preserve"> la OMPI.</w:t>
      </w:r>
      <w:r w:rsidR="00037133" w:rsidRPr="00572450">
        <w:rPr>
          <w:lang w:val="es-ES_tradnl"/>
        </w:rPr>
        <w:t xml:space="preserve"> </w:t>
      </w:r>
      <w:r w:rsidRPr="00572450">
        <w:rPr>
          <w:lang w:val="es-ES_tradnl"/>
        </w:rPr>
        <w:t xml:space="preserve">La gran mayoría, aproximadamente el </w:t>
      </w:r>
      <w:r w:rsidR="00180526" w:rsidRPr="00572450">
        <w:rPr>
          <w:lang w:val="es-ES_tradnl"/>
        </w:rPr>
        <w:t xml:space="preserve">95%, de las ONG </w:t>
      </w:r>
      <w:r w:rsidRPr="00572450">
        <w:rPr>
          <w:lang w:val="es-ES_tradnl"/>
        </w:rPr>
        <w:t xml:space="preserve">que respondieron a la encuesta solicitaron mantener su </w:t>
      </w:r>
      <w:r w:rsidR="005E60D2" w:rsidRPr="00572450">
        <w:rPr>
          <w:lang w:val="es-ES_tradnl"/>
        </w:rPr>
        <w:t xml:space="preserve">condición </w:t>
      </w:r>
      <w:r w:rsidRPr="00572450">
        <w:rPr>
          <w:lang w:val="es-ES_tradnl"/>
        </w:rPr>
        <w:t>de observador</w:t>
      </w:r>
      <w:r w:rsidR="005E60D2" w:rsidRPr="00572450">
        <w:rPr>
          <w:lang w:val="es-ES_tradnl"/>
        </w:rPr>
        <w:t>as</w:t>
      </w:r>
      <w:r w:rsidRPr="00572450">
        <w:rPr>
          <w:lang w:val="es-ES_tradnl"/>
        </w:rPr>
        <w:t>, mientras que s</w:t>
      </w:r>
      <w:r w:rsidR="005E60D2" w:rsidRPr="00572450">
        <w:rPr>
          <w:lang w:val="es-ES_tradnl"/>
        </w:rPr>
        <w:t>o</w:t>
      </w:r>
      <w:r w:rsidRPr="00572450">
        <w:rPr>
          <w:lang w:val="es-ES_tradnl"/>
        </w:rPr>
        <w:t xml:space="preserve">lo alrededor del </w:t>
      </w:r>
      <w:r w:rsidR="00180526" w:rsidRPr="00572450">
        <w:rPr>
          <w:lang w:val="es-ES_tradnl"/>
        </w:rPr>
        <w:t xml:space="preserve">5% </w:t>
      </w:r>
      <w:r w:rsidRPr="00572450">
        <w:rPr>
          <w:lang w:val="es-ES_tradnl"/>
        </w:rPr>
        <w:t xml:space="preserve">de las ONG pidieron explícitamente </w:t>
      </w:r>
      <w:r w:rsidR="0083449E" w:rsidRPr="00572450">
        <w:rPr>
          <w:lang w:val="es-ES_tradnl"/>
        </w:rPr>
        <w:t xml:space="preserve">ser retiradas </w:t>
      </w:r>
      <w:r w:rsidRPr="00572450">
        <w:rPr>
          <w:lang w:val="es-ES_tradnl"/>
        </w:rPr>
        <w:t>de la lista de observadores.</w:t>
      </w:r>
      <w:r w:rsidR="00037133" w:rsidRPr="00572450">
        <w:rPr>
          <w:lang w:val="es-ES_tradnl"/>
        </w:rPr>
        <w:t xml:space="preserve"> </w:t>
      </w:r>
      <w:r w:rsidRPr="00572450">
        <w:rPr>
          <w:lang w:val="es-ES_tradnl"/>
        </w:rPr>
        <w:t xml:space="preserve">En consecuencia, estas últimas, así como todas las ONG que no respondieron a ninguna de las comunicaciones enviadas, fueron eliminadas de la lista de observadores: un total de 107 ONG </w:t>
      </w:r>
      <w:r w:rsidRPr="00572450">
        <w:rPr>
          <w:lang w:val="es-ES_tradnl"/>
        </w:rPr>
        <w:lastRenderedPageBreak/>
        <w:t xml:space="preserve">(aproximadamente el </w:t>
      </w:r>
      <w:r w:rsidR="00180526" w:rsidRPr="00572450">
        <w:rPr>
          <w:lang w:val="es-ES_tradnl"/>
        </w:rPr>
        <w:t>64%</w:t>
      </w:r>
      <w:r w:rsidRPr="00572450">
        <w:rPr>
          <w:lang w:val="es-ES_tradnl"/>
        </w:rPr>
        <w:t xml:space="preserve">) del grupo </w:t>
      </w:r>
      <w:r w:rsidR="0083449E" w:rsidRPr="00572450">
        <w:rPr>
          <w:lang w:val="es-ES_tradnl"/>
        </w:rPr>
        <w:t xml:space="preserve">mencionado </w:t>
      </w:r>
      <w:r w:rsidRPr="00572450">
        <w:rPr>
          <w:lang w:val="es-ES_tradnl"/>
        </w:rPr>
        <w:t>de 168</w:t>
      </w:r>
      <w:r w:rsidR="00230F76" w:rsidRPr="00572450">
        <w:rPr>
          <w:lang w:val="es-ES_tradnl"/>
        </w:rPr>
        <w:t>.</w:t>
      </w:r>
      <w:r w:rsidRPr="00572450">
        <w:rPr>
          <w:rStyle w:val="FootnoteReference"/>
          <w:lang w:val="es-ES_tradnl"/>
        </w:rPr>
        <w:footnoteReference w:id="4"/>
      </w:r>
      <w:r w:rsidR="00230F76" w:rsidRPr="00572450">
        <w:rPr>
          <w:lang w:val="es-ES_tradnl"/>
        </w:rPr>
        <w:t xml:space="preserve"> Hasta </w:t>
      </w:r>
      <w:r w:rsidRPr="00572450">
        <w:rPr>
          <w:lang w:val="es-ES_tradnl"/>
        </w:rPr>
        <w:t>el momento</w:t>
      </w:r>
      <w:r w:rsidR="00B50AE2" w:rsidRPr="00572450">
        <w:rPr>
          <w:lang w:val="es-ES_tradnl"/>
        </w:rPr>
        <w:t xml:space="preserve">, </w:t>
      </w:r>
      <w:r w:rsidR="004E3D66">
        <w:rPr>
          <w:lang w:val="es-ES_tradnl"/>
        </w:rPr>
        <w:t>tres</w:t>
      </w:r>
      <w:r w:rsidR="004E3D66" w:rsidRPr="00572450">
        <w:rPr>
          <w:lang w:val="es-ES_tradnl"/>
        </w:rPr>
        <w:t xml:space="preserve"> </w:t>
      </w:r>
      <w:r w:rsidR="00572450" w:rsidRPr="00572450">
        <w:rPr>
          <w:lang w:val="es-ES_tradnl"/>
        </w:rPr>
        <w:t>ONG de las </w:t>
      </w:r>
      <w:r w:rsidRPr="00572450">
        <w:rPr>
          <w:lang w:val="es-ES_tradnl"/>
        </w:rPr>
        <w:t xml:space="preserve">107 que fueron eliminadas </w:t>
      </w:r>
      <w:r w:rsidR="00A36A1A" w:rsidRPr="00572450">
        <w:rPr>
          <w:lang w:val="es-ES_tradnl"/>
        </w:rPr>
        <w:t xml:space="preserve">han solicitado </w:t>
      </w:r>
      <w:r w:rsidRPr="00572450">
        <w:rPr>
          <w:lang w:val="es-ES_tradnl"/>
        </w:rPr>
        <w:t xml:space="preserve">reanudar su </w:t>
      </w:r>
      <w:r w:rsidR="00A36A1A" w:rsidRPr="00572450">
        <w:rPr>
          <w:lang w:val="es-ES_tradnl"/>
        </w:rPr>
        <w:t xml:space="preserve">condición </w:t>
      </w:r>
      <w:r w:rsidRPr="00572450">
        <w:rPr>
          <w:lang w:val="es-ES_tradnl"/>
        </w:rPr>
        <w:t>de observador</w:t>
      </w:r>
      <w:r w:rsidR="00A36A1A" w:rsidRPr="00572450">
        <w:rPr>
          <w:lang w:val="es-ES_tradnl"/>
        </w:rPr>
        <w:t>as</w:t>
      </w:r>
      <w:r w:rsidRPr="00572450">
        <w:rPr>
          <w:lang w:val="es-ES_tradnl"/>
        </w:rPr>
        <w:t xml:space="preserve"> </w:t>
      </w:r>
      <w:r w:rsidR="00A36A1A" w:rsidRPr="00572450">
        <w:rPr>
          <w:lang w:val="es-ES_tradnl"/>
        </w:rPr>
        <w:t xml:space="preserve">apelando al </w:t>
      </w:r>
      <w:r w:rsidR="00D52466" w:rsidRPr="00572450">
        <w:rPr>
          <w:lang w:val="es-ES_tradnl"/>
        </w:rPr>
        <w:t>“</w:t>
      </w:r>
      <w:r w:rsidRPr="00572450">
        <w:rPr>
          <w:lang w:val="es-ES_tradnl"/>
        </w:rPr>
        <w:t>principio de</w:t>
      </w:r>
      <w:r w:rsidR="00CE76F7" w:rsidRPr="00572450">
        <w:rPr>
          <w:lang w:val="es-ES_tradnl"/>
        </w:rPr>
        <w:t xml:space="preserve"> restauración</w:t>
      </w:r>
      <w:r w:rsidR="00D52466" w:rsidRPr="00572450">
        <w:rPr>
          <w:lang w:val="es-ES_tradnl"/>
        </w:rPr>
        <w:t>”</w:t>
      </w:r>
      <w:r w:rsidRPr="00572450">
        <w:rPr>
          <w:lang w:val="es-ES_tradnl"/>
        </w:rPr>
        <w:t xml:space="preserve"> y, en consecuencia, </w:t>
      </w:r>
      <w:r w:rsidR="00A36A1A" w:rsidRPr="00572450">
        <w:rPr>
          <w:lang w:val="es-ES_tradnl"/>
        </w:rPr>
        <w:t xml:space="preserve">han sido </w:t>
      </w:r>
      <w:r w:rsidRPr="00572450">
        <w:rPr>
          <w:lang w:val="es-ES_tradnl"/>
        </w:rPr>
        <w:t xml:space="preserve">incluidas de nuevo </w:t>
      </w:r>
      <w:r w:rsidR="00BD3337" w:rsidRPr="00572450">
        <w:rPr>
          <w:lang w:val="es-ES_tradnl"/>
        </w:rPr>
        <w:t xml:space="preserve">en </w:t>
      </w:r>
      <w:r w:rsidRPr="00572450">
        <w:rPr>
          <w:lang w:val="es-ES_tradnl"/>
        </w:rPr>
        <w:t>la lista de observadores.</w:t>
      </w:r>
      <w:r w:rsidRPr="00572450">
        <w:rPr>
          <w:rStyle w:val="FootnoteReference"/>
          <w:lang w:val="es-ES_tradnl"/>
        </w:rPr>
        <w:footnoteReference w:id="5"/>
      </w:r>
      <w:r w:rsidR="00A36A1A" w:rsidRPr="00572450">
        <w:rPr>
          <w:lang w:val="es-ES_tradnl"/>
        </w:rPr>
        <w:t xml:space="preserve"> </w:t>
      </w:r>
      <w:r w:rsidRPr="00572450">
        <w:rPr>
          <w:lang w:val="es-ES_tradnl"/>
        </w:rPr>
        <w:t xml:space="preserve">Junto con las ONG observadoras admitidas en los años 2018, 2019 y 2020, </w:t>
      </w:r>
      <w:r w:rsidR="00A36A1A" w:rsidRPr="00572450">
        <w:rPr>
          <w:lang w:val="es-ES_tradnl"/>
        </w:rPr>
        <w:t xml:space="preserve">el total asciende a </w:t>
      </w:r>
      <w:r w:rsidR="004E3D66">
        <w:rPr>
          <w:lang w:val="es-ES_tradnl"/>
        </w:rPr>
        <w:t>268</w:t>
      </w:r>
      <w:r w:rsidR="004E3D66" w:rsidRPr="00572450">
        <w:rPr>
          <w:lang w:val="es-ES_tradnl"/>
        </w:rPr>
        <w:t xml:space="preserve"> </w:t>
      </w:r>
      <w:r w:rsidRPr="00572450">
        <w:rPr>
          <w:lang w:val="es-ES_tradnl"/>
        </w:rPr>
        <w:t>ONG</w:t>
      </w:r>
      <w:r w:rsidR="00A36A1A" w:rsidRPr="00572450">
        <w:rPr>
          <w:lang w:val="es-ES_tradnl"/>
        </w:rPr>
        <w:t xml:space="preserve"> (</w:t>
      </w:r>
      <w:r w:rsidRPr="00572450">
        <w:rPr>
          <w:lang w:val="es-ES_tradnl"/>
        </w:rPr>
        <w:t xml:space="preserve">189 internacionales y </w:t>
      </w:r>
      <w:r w:rsidR="004E3D66" w:rsidRPr="00572450">
        <w:rPr>
          <w:lang w:val="es-ES_tradnl"/>
        </w:rPr>
        <w:t>7</w:t>
      </w:r>
      <w:r w:rsidR="004E3D66">
        <w:rPr>
          <w:lang w:val="es-ES_tradnl"/>
        </w:rPr>
        <w:t>9</w:t>
      </w:r>
      <w:r w:rsidR="004E3D66" w:rsidRPr="00572450">
        <w:rPr>
          <w:lang w:val="es-ES_tradnl"/>
        </w:rPr>
        <w:t xml:space="preserve"> </w:t>
      </w:r>
      <w:r w:rsidRPr="00572450">
        <w:rPr>
          <w:lang w:val="es-ES_tradnl"/>
        </w:rPr>
        <w:t>nacionales</w:t>
      </w:r>
      <w:r w:rsidR="00A36A1A" w:rsidRPr="00572450">
        <w:rPr>
          <w:lang w:val="es-ES_tradnl"/>
        </w:rPr>
        <w:t>)</w:t>
      </w:r>
      <w:r w:rsidRPr="00572450">
        <w:rPr>
          <w:lang w:val="es-ES_tradnl"/>
        </w:rPr>
        <w:t xml:space="preserve"> actualmente admitidas </w:t>
      </w:r>
      <w:r w:rsidR="00E86012" w:rsidRPr="00572450">
        <w:rPr>
          <w:lang w:val="es-ES_tradnl"/>
        </w:rPr>
        <w:t xml:space="preserve">por las Asambleas </w:t>
      </w:r>
      <w:r w:rsidRPr="00572450">
        <w:rPr>
          <w:lang w:val="es-ES_tradnl"/>
        </w:rPr>
        <w:t xml:space="preserve">como </w:t>
      </w:r>
      <w:r w:rsidR="006F7955" w:rsidRPr="00572450">
        <w:rPr>
          <w:lang w:val="es-ES_tradnl"/>
        </w:rPr>
        <w:t>observadoras ante la OMPI</w:t>
      </w:r>
      <w:r w:rsidRPr="00572450">
        <w:rPr>
          <w:lang w:val="es-ES_tradnl"/>
        </w:rPr>
        <w:t>.</w:t>
      </w:r>
    </w:p>
    <w:p w:rsidR="000566F7" w:rsidRPr="00572450" w:rsidRDefault="00F12D27" w:rsidP="00372B5F">
      <w:pPr>
        <w:pStyle w:val="Endofdocument-Annex"/>
        <w:spacing w:after="600"/>
        <w:ind w:left="5528"/>
        <w:rPr>
          <w:i/>
          <w:lang w:val="es-ES_tradnl"/>
        </w:rPr>
      </w:pPr>
      <w:r w:rsidRPr="00572450">
        <w:rPr>
          <w:i/>
          <w:lang w:val="es-ES_tradnl"/>
        </w:rPr>
        <w:fldChar w:fldCharType="begin"/>
      </w:r>
      <w:r w:rsidRPr="00572450">
        <w:rPr>
          <w:i/>
          <w:lang w:val="es-ES_tradnl"/>
        </w:rPr>
        <w:instrText xml:space="preserve"> AUTONUM  </w:instrText>
      </w:r>
      <w:r w:rsidRPr="00572450">
        <w:rPr>
          <w:i/>
          <w:lang w:val="es-ES_tradnl"/>
        </w:rPr>
        <w:fldChar w:fldCharType="end"/>
      </w:r>
      <w:r w:rsidR="0075375F" w:rsidRPr="00572450">
        <w:rPr>
          <w:i/>
          <w:lang w:val="es-ES_tradnl"/>
        </w:rPr>
        <w:tab/>
      </w:r>
      <w:r w:rsidRPr="00572450">
        <w:rPr>
          <w:i/>
          <w:lang w:val="es-ES_tradnl"/>
        </w:rPr>
        <w:t xml:space="preserve">Se invita a </w:t>
      </w:r>
      <w:r w:rsidRPr="00572450">
        <w:rPr>
          <w:i/>
          <w:lang w:val="es-ES_tradnl"/>
        </w:rPr>
        <w:tab/>
        <w:t xml:space="preserve">las Asambleas de la OMPI, </w:t>
      </w:r>
      <w:r w:rsidR="002B3081" w:rsidRPr="00572450">
        <w:rPr>
          <w:i/>
          <w:lang w:val="es-ES_tradnl"/>
        </w:rPr>
        <w:t>en lo que a cada una concierna</w:t>
      </w:r>
      <w:r w:rsidRPr="00572450">
        <w:rPr>
          <w:i/>
          <w:lang w:val="es-ES_tradnl"/>
        </w:rPr>
        <w:t xml:space="preserve">, a tomar nota del documento titulado </w:t>
      </w:r>
      <w:r w:rsidR="00D52466" w:rsidRPr="00572450">
        <w:rPr>
          <w:i/>
          <w:lang w:val="es-ES_tradnl"/>
        </w:rPr>
        <w:t>“</w:t>
      </w:r>
      <w:r w:rsidRPr="00572450">
        <w:rPr>
          <w:i/>
          <w:lang w:val="es-ES_tradnl"/>
        </w:rPr>
        <w:t>Ac</w:t>
      </w:r>
      <w:r w:rsidR="0075375F" w:rsidRPr="00572450">
        <w:rPr>
          <w:i/>
          <w:lang w:val="es-ES_tradnl"/>
        </w:rPr>
        <w:t xml:space="preserve">tualización de la lista de </w:t>
      </w:r>
      <w:r w:rsidRPr="00572450">
        <w:rPr>
          <w:i/>
          <w:lang w:val="es-ES_tradnl"/>
        </w:rPr>
        <w:t xml:space="preserve">organizaciones no gubernamentales admitidas </w:t>
      </w:r>
      <w:r w:rsidR="00CB4540" w:rsidRPr="00572450">
        <w:rPr>
          <w:i/>
          <w:lang w:val="es-ES_tradnl"/>
        </w:rPr>
        <w:t xml:space="preserve">en calidad de </w:t>
      </w:r>
      <w:r w:rsidR="006F7955" w:rsidRPr="00572450">
        <w:rPr>
          <w:i/>
          <w:lang w:val="es-ES_tradnl"/>
        </w:rPr>
        <w:t>observadoras ante la OMPI</w:t>
      </w:r>
      <w:r w:rsidR="00D52466" w:rsidRPr="00572450">
        <w:rPr>
          <w:i/>
          <w:lang w:val="es-ES_tradnl"/>
        </w:rPr>
        <w:t>”</w:t>
      </w:r>
      <w:r w:rsidRPr="00572450">
        <w:rPr>
          <w:i/>
          <w:lang w:val="es-ES_tradnl"/>
        </w:rPr>
        <w:t xml:space="preserve"> (documento A/62/4</w:t>
      </w:r>
      <w:r w:rsidR="004E3D66">
        <w:rPr>
          <w:i/>
          <w:lang w:val="es-ES_tradnl"/>
        </w:rPr>
        <w:t> Rev</w:t>
      </w:r>
      <w:r w:rsidR="00697DB5">
        <w:rPr>
          <w:i/>
          <w:lang w:val="es-ES_tradnl"/>
        </w:rPr>
        <w:t>.</w:t>
      </w:r>
      <w:r w:rsidRPr="00572450">
        <w:rPr>
          <w:i/>
          <w:lang w:val="es-ES_tradnl"/>
        </w:rPr>
        <w:t>).</w:t>
      </w:r>
    </w:p>
    <w:p w:rsidR="000566F7" w:rsidRPr="00572450" w:rsidRDefault="00372B5F">
      <w:pPr>
        <w:pStyle w:val="Endofdocument-Annex"/>
        <w:rPr>
          <w:lang w:val="es-ES_tradnl"/>
        </w:rPr>
      </w:pPr>
      <w:r>
        <w:rPr>
          <w:lang w:val="es-ES_tradnl"/>
        </w:rPr>
        <w:t>[Sigue el A</w:t>
      </w:r>
      <w:r w:rsidR="00F12D27" w:rsidRPr="00572450">
        <w:rPr>
          <w:lang w:val="es-ES_tradnl"/>
        </w:rPr>
        <w:t>nexo]</w:t>
      </w:r>
    </w:p>
    <w:p w:rsidR="000566F7" w:rsidRPr="00572450" w:rsidRDefault="000566F7">
      <w:pPr>
        <w:pStyle w:val="Endofdocument-Annex"/>
        <w:rPr>
          <w:lang w:val="es-ES_tradnl"/>
        </w:rPr>
      </w:pPr>
    </w:p>
    <w:p w:rsidR="00D13FA5" w:rsidRPr="00572450" w:rsidRDefault="00D13FA5">
      <w:pPr>
        <w:pStyle w:val="Endofdocument-Annex"/>
        <w:rPr>
          <w:lang w:val="es-ES_tradnl"/>
        </w:rPr>
        <w:sectPr w:rsidR="00D13FA5" w:rsidRPr="00572450" w:rsidSect="0022439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566F7" w:rsidRPr="00572450" w:rsidRDefault="00327800" w:rsidP="00D13FA5">
      <w:pPr>
        <w:keepNext/>
        <w:spacing w:before="240" w:after="480"/>
        <w:outlineLvl w:val="2"/>
        <w:rPr>
          <w:bCs/>
          <w:szCs w:val="26"/>
          <w:lang w:val="es-ES_tradnl"/>
        </w:rPr>
      </w:pPr>
      <w:r w:rsidRPr="00572450">
        <w:rPr>
          <w:bCs/>
          <w:szCs w:val="26"/>
          <w:lang w:val="es-ES_tradnl"/>
        </w:rPr>
        <w:lastRenderedPageBreak/>
        <w:t>Gráfico</w:t>
      </w:r>
      <w:r w:rsidR="00D13FA5" w:rsidRPr="00572450">
        <w:rPr>
          <w:bCs/>
          <w:szCs w:val="26"/>
          <w:lang w:val="es-ES_tradnl"/>
        </w:rPr>
        <w:t>: </w:t>
      </w:r>
      <w:r w:rsidRPr="00572450">
        <w:rPr>
          <w:bCs/>
          <w:szCs w:val="26"/>
          <w:lang w:val="es-ES_tradnl"/>
        </w:rPr>
        <w:t>Porcentaje de ONG observadoras incluidas en el proceso de actualización que finalmente se mantuvieron o no como observadoras (</w:t>
      </w:r>
      <w:r w:rsidR="004E3D66">
        <w:rPr>
          <w:bCs/>
          <w:szCs w:val="26"/>
          <w:lang w:val="es-ES_tradnl"/>
        </w:rPr>
        <w:t>los datos tienen en cuenta</w:t>
      </w:r>
      <w:r w:rsidR="004E3D66" w:rsidRPr="00572450">
        <w:rPr>
          <w:bCs/>
          <w:szCs w:val="26"/>
          <w:lang w:val="es-ES_tradnl"/>
        </w:rPr>
        <w:t xml:space="preserve"> </w:t>
      </w:r>
      <w:r w:rsidRPr="00572450">
        <w:rPr>
          <w:bCs/>
          <w:szCs w:val="26"/>
          <w:lang w:val="es-ES_tradnl"/>
        </w:rPr>
        <w:t>las ONG que reanudaron su condición de observadoras)</w:t>
      </w:r>
    </w:p>
    <w:p w:rsidR="000566F7" w:rsidRPr="00572450" w:rsidRDefault="00D13FA5" w:rsidP="00D13FA5">
      <w:pPr>
        <w:spacing w:after="480"/>
        <w:rPr>
          <w:lang w:val="es-ES_tradnl"/>
        </w:rPr>
      </w:pPr>
      <w:r w:rsidRPr="00572450">
        <w:rPr>
          <w:noProof/>
          <w:lang w:eastAsia="en-US"/>
        </w:rPr>
        <w:drawing>
          <wp:inline distT="0" distB="0" distL="0" distR="0" wp14:anchorId="33AB0D60" wp14:editId="442CD7F8">
            <wp:extent cx="5940425" cy="3093720"/>
            <wp:effectExtent l="0" t="0" r="3175" b="11430"/>
            <wp:docPr id="1" name="Chart 1" descr="Procentaje de ONG observadoras" title="Gráfi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66F7" w:rsidRPr="00572450" w:rsidRDefault="00D13FA5" w:rsidP="00D13FA5">
      <w:pPr>
        <w:rPr>
          <w:u w:val="single"/>
          <w:lang w:val="es-ES_tradnl"/>
        </w:rPr>
      </w:pPr>
      <w:r w:rsidRPr="00572450">
        <w:rPr>
          <w:u w:val="single"/>
          <w:lang w:val="es-ES_tradnl"/>
        </w:rPr>
        <w:br w:type="page"/>
      </w:r>
    </w:p>
    <w:p w:rsidR="00D13FA5" w:rsidRPr="00572450" w:rsidRDefault="00B46843" w:rsidP="00D13FA5">
      <w:pPr>
        <w:keepNext/>
        <w:spacing w:before="240" w:after="240"/>
        <w:outlineLvl w:val="2"/>
        <w:rPr>
          <w:bCs/>
          <w:szCs w:val="26"/>
          <w:u w:val="single"/>
          <w:lang w:val="es-ES_tradnl"/>
        </w:rPr>
      </w:pPr>
      <w:r w:rsidRPr="00572450">
        <w:rPr>
          <w:bCs/>
          <w:szCs w:val="26"/>
          <w:u w:val="single"/>
          <w:lang w:val="es-ES_tradnl"/>
        </w:rPr>
        <w:lastRenderedPageBreak/>
        <w:t>Cuadro</w:t>
      </w:r>
      <w:r w:rsidR="00D13FA5" w:rsidRPr="00572450">
        <w:rPr>
          <w:bCs/>
          <w:szCs w:val="26"/>
          <w:u w:val="single"/>
          <w:lang w:val="es-ES_tradnl"/>
        </w:rPr>
        <w:t xml:space="preserve"> A:</w:t>
      </w:r>
      <w:r w:rsidR="00D13FA5" w:rsidRPr="00572450">
        <w:rPr>
          <w:bCs/>
          <w:szCs w:val="26"/>
          <w:lang w:val="es-ES_tradnl"/>
        </w:rPr>
        <w:t> </w:t>
      </w:r>
      <w:r w:rsidRPr="00572450">
        <w:rPr>
          <w:bCs/>
          <w:szCs w:val="26"/>
          <w:lang w:val="es-ES_tradnl"/>
        </w:rPr>
        <w:t>ONG internacionales eliminadas de la lista de observadores</w:t>
      </w:r>
      <w:r w:rsidR="00D13FA5" w:rsidRPr="00572450">
        <w:rPr>
          <w:bCs/>
          <w:szCs w:val="26"/>
          <w:u w:val="single"/>
          <w:lang w:val="es-ES_tradnl"/>
        </w:rPr>
        <w:t xml:space="preserve"> </w:t>
      </w:r>
    </w:p>
    <w:tbl>
      <w:tblPr>
        <w:tblStyle w:val="TableGrid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ernational NGOs"/>
        <w:tblDescription w:val="Names of the International NGOs"/>
      </w:tblPr>
      <w:tblGrid>
        <w:gridCol w:w="9355"/>
      </w:tblGrid>
      <w:tr w:rsidR="00D13FA5" w:rsidRPr="00630791" w:rsidTr="00303324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:rsidR="00D13FA5" w:rsidRPr="00572450" w:rsidRDefault="00B46843" w:rsidP="00D13FA5">
            <w:pPr>
              <w:rPr>
                <w:b/>
                <w:color w:val="000000"/>
                <w:szCs w:val="22"/>
                <w:lang w:val="es-ES_tradnl" w:eastAsia="en-US"/>
              </w:rPr>
            </w:pPr>
            <w:r w:rsidRPr="00572450">
              <w:rPr>
                <w:b/>
                <w:color w:val="000000"/>
                <w:szCs w:val="22"/>
                <w:lang w:val="es-ES_tradnl" w:eastAsia="en-US"/>
              </w:rPr>
              <w:t>Nombre de la ONG internacional</w:t>
            </w:r>
          </w:p>
        </w:tc>
      </w:tr>
      <w:tr w:rsidR="00D13FA5" w:rsidRPr="00630791" w:rsidTr="00303324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:rsidR="00D13FA5" w:rsidRPr="00572450" w:rsidRDefault="00D13FA5" w:rsidP="00D13FA5">
            <w:pPr>
              <w:rPr>
                <w:b/>
                <w:color w:val="000000"/>
                <w:szCs w:val="22"/>
                <w:lang w:val="es-ES_tradnl" w:eastAsia="en-US"/>
              </w:rPr>
            </w:pP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ActionAid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Afro-Asian Book Council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Alfa-Redi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Alianza Europea de Agencias de Prensa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Alianza Europea de Compositores y Autores de Música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Arab Federation for the Protection of Intellectual Property Rights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 xml:space="preserve">Arab Society for Intellectual Property </w:t>
            </w:r>
            <w:r w:rsidRPr="00572450">
              <w:rPr>
                <w:i/>
                <w:color w:val="000000"/>
                <w:szCs w:val="22"/>
                <w:lang w:val="es-ES_tradnl" w:eastAsia="en-US"/>
              </w:rPr>
              <w:t>(condición de observadora restablecida, véase el cuadro C)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Asia &amp; Pacific Internet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de Derecho Internacional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de Transporte Aéreo Internacional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Internacional de Estudios en Comunicación Social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Internacional de Intérpretes de Conferencias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Internacional de Productores Cinematográficos Independientes</w:t>
            </w:r>
          </w:p>
        </w:tc>
      </w:tr>
      <w:tr w:rsidR="006F7955" w:rsidRPr="00572450" w:rsidTr="00303324">
        <w:trPr>
          <w:trHeight w:val="275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Internacional de Publicidad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IQSensato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Association for the Protection of Industrial Property in the Arab World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630791" w:rsidRDefault="006F7955" w:rsidP="00402EAB">
            <w:pPr>
              <w:rPr>
                <w:color w:val="000000"/>
                <w:szCs w:val="22"/>
                <w:lang w:val="fr-CH" w:eastAsia="en-US"/>
              </w:rPr>
            </w:pPr>
            <w:r w:rsidRPr="00630791">
              <w:rPr>
                <w:color w:val="000000"/>
                <w:szCs w:val="22"/>
                <w:lang w:val="fr-CH" w:eastAsia="en-US"/>
              </w:rPr>
              <w:t>Association internationale des auteurs de comics et de cartoons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Association of European Radios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630791" w:rsidRDefault="006F7955" w:rsidP="00D13FA5">
            <w:pPr>
              <w:rPr>
                <w:color w:val="000000"/>
                <w:szCs w:val="22"/>
                <w:lang w:val="fr-CH" w:eastAsia="en-US"/>
              </w:rPr>
            </w:pPr>
            <w:r w:rsidRPr="00630791">
              <w:rPr>
                <w:color w:val="000000"/>
                <w:szCs w:val="22"/>
                <w:lang w:val="fr-CH" w:eastAsia="en-US"/>
              </w:rPr>
              <w:t>Association pour la promotion de la propriété intellectuelle en Afrique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Associazione culturale Hipatia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Centre for Innovation Law and Policy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Coalition for Intellectual Property Rights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Comisión Internacional de Juristas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Committee of National Institutes of Intellectual Property Attorneys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Computer Professionals for Social Responsibility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Confederación Internacional de los Trabajadores Intelectuales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630791" w:rsidRDefault="006F7955" w:rsidP="00D13FA5">
            <w:pPr>
              <w:rPr>
                <w:color w:val="000000"/>
                <w:szCs w:val="22"/>
                <w:lang w:val="fr-CH" w:eastAsia="en-US"/>
              </w:rPr>
            </w:pPr>
            <w:r w:rsidRPr="00630791">
              <w:rPr>
                <w:color w:val="000000"/>
                <w:szCs w:val="22"/>
                <w:lang w:val="fr-CH" w:eastAsia="en-US"/>
              </w:rPr>
              <w:t>Conseil francophone de la chanson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Consejo Internacional de la Danza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Consumers International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Entidad de Gestión de Derechos de los Productores Audiovisuales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European Cable Communications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European Consumers' Organization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European Council of American Chambers of Commerce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European Crop Protection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European Film Companies Alliance</w:t>
            </w:r>
          </w:p>
        </w:tc>
      </w:tr>
      <w:tr w:rsidR="006F7955" w:rsidRPr="00572450" w:rsidTr="00303324">
        <w:trPr>
          <w:trHeight w:val="275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European Generic medicines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European Industrial Research Management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European Information and Communications Technology Industry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European Tape Industry Council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Federación de Guionistas de Europa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Federación Internacional Arquitectos Diseñadores de Interior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Federación Internacional de Agencias de Extractos de Periódicos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Federación Internacional de Asociaciones de Distribuidores Cinematográficos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Federación Latinoamericana de Editores de Música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Federación Mundial de Anunciantes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630791" w:rsidRDefault="006F7955" w:rsidP="000566F7">
            <w:pPr>
              <w:rPr>
                <w:color w:val="000000"/>
                <w:szCs w:val="22"/>
                <w:lang w:val="fr-CH" w:eastAsia="en-US"/>
              </w:rPr>
            </w:pPr>
            <w:r w:rsidRPr="00630791">
              <w:rPr>
                <w:color w:val="000000"/>
                <w:szCs w:val="22"/>
                <w:lang w:val="fr-CH" w:eastAsia="en-US"/>
              </w:rPr>
              <w:t>Fédération Européenne de Mandataires de l'Industrie en Propriété Industrielle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630791" w:rsidRDefault="006F7955" w:rsidP="000566F7">
            <w:pPr>
              <w:rPr>
                <w:color w:val="000000"/>
                <w:szCs w:val="22"/>
                <w:lang w:val="fr-CH" w:eastAsia="en-US"/>
              </w:rPr>
            </w:pPr>
            <w:r w:rsidRPr="00630791">
              <w:rPr>
                <w:color w:val="000000"/>
                <w:szCs w:val="22"/>
                <w:lang w:val="fr-CH" w:eastAsia="en-US"/>
              </w:rPr>
              <w:t>Fédération Européenne des Réalisateurs de l'Audiovisuel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Foundation for a Free Information Infrastructure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lastRenderedPageBreak/>
              <w:t>Institut de droit communautaire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Instituto Latinoamericano de Alta Tecnología, Informática y Derecho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International Alliance of Orchestra Associations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Anticounterfeiting Coalition, Inc.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Association of Art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International Association of Entertainment Lawyers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International Association of IT Lawyers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Communications Round Table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Franchise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International Hotel and Restaurant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Institute of Communications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Intellectual Property Alliance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Music Managers Forum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International Organization of Performing Artists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International Poetry for Peace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Policy Network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International Writers Guild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Licensing Executives Society Internacional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Organización de Telecomunicaciones Iberoamericanas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 xml:space="preserve">Organización Iberoamericana de Derechos de Autor-Latinautor Inc. </w:t>
            </w:r>
            <w:r w:rsidRPr="00572450">
              <w:rPr>
                <w:i/>
                <w:color w:val="000000"/>
                <w:szCs w:val="22"/>
                <w:lang w:val="es-ES_tradnl" w:eastAsia="en-US"/>
              </w:rPr>
              <w:t>(condición de observadora restablecida, véase el cuadro C)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Organización Internacional de Periodistas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Public Interest Intellectual Property Advisors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Rights &amp; Democracy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3E1317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Royal Institute of International Affairs (Chatham House)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Scandinavian Patent Attorney Society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Sociedad Internacional para el Derecho de Autor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Southern and Eastern Africa Copyright Network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Special Libraries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3E1317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The Royal Society for Encouragement of Arts, Manufactures and Commerce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The Scholarly Publishing and Academic Resources Coalition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Unión de Periodistas Africanos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0566F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Unión de Radiodifusión del Caribe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402EAB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Unión Internacional de Abogados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Unión Internacional de Organizaciones Nacionales de Propietarios de Hoteles, Restaurantes y Cafeterías</w:t>
            </w:r>
          </w:p>
        </w:tc>
      </w:tr>
      <w:tr w:rsidR="00D13FA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D13FA5" w:rsidRPr="00E3643D" w:rsidRDefault="00D13FA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 xml:space="preserve">3 </w:t>
            </w:r>
            <w:r w:rsidRPr="00E3643D">
              <w:rPr>
                <w:rFonts w:hint="eastAsia"/>
                <w:color w:val="000000"/>
                <w:szCs w:val="22"/>
                <w:lang w:eastAsia="en-US"/>
              </w:rPr>
              <w:t>→</w:t>
            </w:r>
            <w:r w:rsidRPr="00E3643D">
              <w:rPr>
                <w:color w:val="000000"/>
                <w:szCs w:val="22"/>
                <w:lang w:eastAsia="en-US"/>
              </w:rPr>
              <w:t xml:space="preserve"> Trade – Human Rights – Equitable Economy</w:t>
            </w:r>
          </w:p>
        </w:tc>
      </w:tr>
    </w:tbl>
    <w:p w:rsidR="000566F7" w:rsidRPr="00E3643D" w:rsidRDefault="00D13FA5" w:rsidP="00D13FA5">
      <w:pPr>
        <w:rPr>
          <w:u w:val="single"/>
        </w:rPr>
      </w:pPr>
      <w:r w:rsidRPr="00E3643D">
        <w:rPr>
          <w:u w:val="single"/>
        </w:rPr>
        <w:br w:type="page"/>
      </w:r>
    </w:p>
    <w:p w:rsidR="00D13FA5" w:rsidRPr="00572450" w:rsidRDefault="00B46843" w:rsidP="00D13FA5">
      <w:pPr>
        <w:keepNext/>
        <w:spacing w:before="240" w:after="240"/>
        <w:outlineLvl w:val="2"/>
        <w:rPr>
          <w:bCs/>
          <w:szCs w:val="26"/>
          <w:lang w:val="es-ES_tradnl"/>
        </w:rPr>
      </w:pPr>
      <w:r w:rsidRPr="00572450">
        <w:rPr>
          <w:bCs/>
          <w:szCs w:val="26"/>
          <w:u w:val="single"/>
          <w:lang w:val="es-ES_tradnl"/>
        </w:rPr>
        <w:lastRenderedPageBreak/>
        <w:t xml:space="preserve">Cuadro </w:t>
      </w:r>
      <w:r w:rsidR="00D13FA5" w:rsidRPr="00572450">
        <w:rPr>
          <w:bCs/>
          <w:szCs w:val="26"/>
          <w:u w:val="single"/>
          <w:lang w:val="es-ES_tradnl"/>
        </w:rPr>
        <w:t>B:</w:t>
      </w:r>
      <w:r w:rsidR="00D13FA5" w:rsidRPr="00572450">
        <w:rPr>
          <w:bCs/>
          <w:szCs w:val="26"/>
          <w:lang w:val="es-ES_tradnl"/>
        </w:rPr>
        <w:t> </w:t>
      </w:r>
      <w:r w:rsidRPr="00572450">
        <w:rPr>
          <w:bCs/>
          <w:szCs w:val="26"/>
          <w:lang w:val="es-ES_tradnl"/>
        </w:rPr>
        <w:t>ONG nacionales eliminadas de la lista de observadores</w:t>
      </w:r>
      <w:r w:rsidR="00D13FA5" w:rsidRPr="00572450">
        <w:rPr>
          <w:bCs/>
          <w:szCs w:val="26"/>
          <w:lang w:val="es-ES_tradnl"/>
        </w:rPr>
        <w:t xml:space="preserve"> </w:t>
      </w:r>
    </w:p>
    <w:tbl>
      <w:tblPr>
        <w:tblStyle w:val="TableGrid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tional NGOs"/>
        <w:tblDescription w:val="Names of National NGOs"/>
      </w:tblPr>
      <w:tblGrid>
        <w:gridCol w:w="9355"/>
      </w:tblGrid>
      <w:tr w:rsidR="00D13FA5" w:rsidRPr="00630791" w:rsidTr="00303324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:rsidR="00D13FA5" w:rsidRPr="00572450" w:rsidRDefault="00B46843" w:rsidP="00D13FA5">
            <w:pPr>
              <w:rPr>
                <w:b/>
                <w:color w:val="000000"/>
                <w:szCs w:val="22"/>
                <w:lang w:val="es-ES_tradnl" w:eastAsia="en-US"/>
              </w:rPr>
            </w:pPr>
            <w:r w:rsidRPr="00572450">
              <w:rPr>
                <w:b/>
                <w:color w:val="000000"/>
                <w:szCs w:val="22"/>
                <w:lang w:val="es-ES_tradnl" w:eastAsia="en-US"/>
              </w:rPr>
              <w:t>Nombre de la ONG nacional</w:t>
            </w:r>
          </w:p>
        </w:tc>
      </w:tr>
      <w:tr w:rsidR="00D13FA5" w:rsidRPr="00630791" w:rsidTr="00303324">
        <w:trPr>
          <w:trHeight w:val="260"/>
        </w:trPr>
        <w:tc>
          <w:tcPr>
            <w:tcW w:w="9355" w:type="dxa"/>
            <w:shd w:val="clear" w:color="auto" w:fill="auto"/>
            <w:noWrap/>
          </w:tcPr>
          <w:p w:rsidR="00D13FA5" w:rsidRPr="00572450" w:rsidRDefault="00D13FA5" w:rsidP="00D13FA5">
            <w:pPr>
              <w:rPr>
                <w:b/>
                <w:color w:val="000000"/>
                <w:szCs w:val="22"/>
                <w:lang w:val="es-ES_tradnl" w:eastAsia="en-US"/>
              </w:rPr>
            </w:pP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Alliance Towards Harnessing Global Opportunities Corporation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American BioIndustry Alliance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Asociación Nacional de Fabricantes de Medicamentos de México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Association Bouregreg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Association for the Promotion of Scientific Innovation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630791" w:rsidRDefault="006F7955" w:rsidP="00D13FA5">
            <w:pPr>
              <w:rPr>
                <w:color w:val="000000"/>
                <w:szCs w:val="22"/>
                <w:lang w:val="fr-CH" w:eastAsia="en-US"/>
              </w:rPr>
            </w:pPr>
            <w:r w:rsidRPr="00630791">
              <w:rPr>
                <w:color w:val="000000"/>
                <w:szCs w:val="22"/>
                <w:lang w:val="fr-CH" w:eastAsia="en-US"/>
              </w:rPr>
              <w:t>Association nationale des artistes interprètes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Associazione italiana biblioteche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Centar za informatichko opshtestvo I intelektualna sopstvenost (Centro para la Sociedad de la Información y la Propiedad Intelectual)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3E1317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Centro Brasilero de Relaciones Internacionales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Creators' Rights Alliance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EXIT Centre – Information Technology Business Support Centre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Fundaçao Getulio Vargas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Fundación para la Difusión del Conocimiento y el Desarrollo Sustentable Vía Libre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Healthcheck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Innovation Business Club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Instituto de Dereito do Comércio Internacional e Desenvolvimiento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Instituto Sudafricano de Derecho de Propiedad Intelectual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Intellectual Property Left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Korean Progressive Network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Picture Archive Council of America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D13FA5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Syrian Intellectual Property Association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897E0E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The International Intellectual Property Society</w:t>
            </w:r>
          </w:p>
        </w:tc>
      </w:tr>
      <w:tr w:rsidR="006F7955" w:rsidRPr="00630791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E3643D" w:rsidRDefault="006F7955" w:rsidP="00897E0E">
            <w:pPr>
              <w:rPr>
                <w:color w:val="000000"/>
                <w:szCs w:val="22"/>
                <w:lang w:val="es-ES" w:eastAsia="en-US"/>
              </w:rPr>
            </w:pPr>
            <w:r w:rsidRPr="00E3643D">
              <w:rPr>
                <w:color w:val="000000"/>
                <w:szCs w:val="22"/>
                <w:lang w:val="es-ES" w:eastAsia="en-US"/>
              </w:rPr>
              <w:t>The Korean Patent Attorneys Association</w:t>
            </w:r>
            <w:r w:rsidR="00335D6A" w:rsidRPr="00E3643D">
              <w:rPr>
                <w:color w:val="000000"/>
                <w:szCs w:val="22"/>
                <w:lang w:val="es-ES" w:eastAsia="en-US"/>
              </w:rPr>
              <w:t xml:space="preserve"> (condición de observadora restablecida, v</w:t>
            </w:r>
            <w:r w:rsidR="00335D6A" w:rsidRPr="00335D6A">
              <w:rPr>
                <w:color w:val="000000"/>
                <w:szCs w:val="22"/>
                <w:lang w:val="es-ES" w:eastAsia="en-US"/>
              </w:rPr>
              <w:t xml:space="preserve">éase el cuadro </w:t>
            </w:r>
            <w:r w:rsidR="00335D6A">
              <w:rPr>
                <w:color w:val="000000"/>
                <w:szCs w:val="22"/>
                <w:lang w:val="es-ES" w:eastAsia="en-US"/>
              </w:rPr>
              <w:t>D)</w:t>
            </w:r>
          </w:p>
        </w:tc>
      </w:tr>
      <w:tr w:rsidR="006F7955" w:rsidRPr="00572450" w:rsidTr="00303324">
        <w:trPr>
          <w:trHeight w:val="260"/>
        </w:trPr>
        <w:tc>
          <w:tcPr>
            <w:tcW w:w="9355" w:type="dxa"/>
            <w:noWrap/>
            <w:hideMark/>
          </w:tcPr>
          <w:p w:rsidR="006F7955" w:rsidRPr="00572450" w:rsidRDefault="006F7955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United States Telecommunications Association</w:t>
            </w:r>
          </w:p>
        </w:tc>
      </w:tr>
    </w:tbl>
    <w:p w:rsidR="00D13FA5" w:rsidRPr="00572450" w:rsidRDefault="00B46843" w:rsidP="00D13FA5">
      <w:pPr>
        <w:keepNext/>
        <w:spacing w:before="480" w:after="240"/>
        <w:outlineLvl w:val="2"/>
        <w:rPr>
          <w:bCs/>
          <w:szCs w:val="26"/>
          <w:u w:val="single"/>
          <w:lang w:val="es-ES_tradnl"/>
        </w:rPr>
      </w:pPr>
      <w:r w:rsidRPr="00572450">
        <w:rPr>
          <w:bCs/>
          <w:szCs w:val="26"/>
          <w:u w:val="single"/>
          <w:lang w:val="es-ES_tradnl"/>
        </w:rPr>
        <w:t xml:space="preserve">Cuadro </w:t>
      </w:r>
      <w:r w:rsidR="00D13FA5" w:rsidRPr="00572450">
        <w:rPr>
          <w:bCs/>
          <w:szCs w:val="26"/>
          <w:u w:val="single"/>
          <w:lang w:val="es-ES_tradnl"/>
        </w:rPr>
        <w:t>C:</w:t>
      </w:r>
      <w:r w:rsidR="00D13FA5" w:rsidRPr="00572450">
        <w:rPr>
          <w:bCs/>
          <w:szCs w:val="26"/>
          <w:lang w:val="es-ES_tradnl"/>
        </w:rPr>
        <w:t> </w:t>
      </w:r>
      <w:r w:rsidR="00D81911" w:rsidRPr="00572450">
        <w:rPr>
          <w:bCs/>
          <w:szCs w:val="26"/>
          <w:lang w:val="es-ES_tradnl"/>
        </w:rPr>
        <w:t>ONG internacionales que han recuperado la condición de observadoras previa solicitud</w:t>
      </w:r>
    </w:p>
    <w:tbl>
      <w:tblPr>
        <w:tblStyle w:val="TableGrid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tional NGOs 2"/>
        <w:tblDescription w:val="Names of National NGOs"/>
      </w:tblPr>
      <w:tblGrid>
        <w:gridCol w:w="9355"/>
      </w:tblGrid>
      <w:tr w:rsidR="00D13FA5" w:rsidRPr="00630791" w:rsidTr="00303324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:rsidR="00D13FA5" w:rsidRPr="00572450" w:rsidRDefault="00D81911" w:rsidP="00D13FA5">
            <w:pPr>
              <w:rPr>
                <w:b/>
                <w:color w:val="000000"/>
                <w:szCs w:val="22"/>
                <w:lang w:val="es-ES_tradnl" w:eastAsia="en-US"/>
              </w:rPr>
            </w:pPr>
            <w:r w:rsidRPr="00572450">
              <w:rPr>
                <w:b/>
                <w:color w:val="000000"/>
                <w:szCs w:val="22"/>
                <w:lang w:val="es-ES_tradnl" w:eastAsia="en-US"/>
              </w:rPr>
              <w:t>Nombre de la ONG internacional</w:t>
            </w:r>
          </w:p>
        </w:tc>
      </w:tr>
      <w:tr w:rsidR="00D13FA5" w:rsidRPr="00630791" w:rsidTr="00303324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:rsidR="00D13FA5" w:rsidRPr="00572450" w:rsidRDefault="00D13FA5" w:rsidP="00D13FA5">
            <w:pPr>
              <w:rPr>
                <w:b/>
                <w:color w:val="000000"/>
                <w:szCs w:val="22"/>
                <w:lang w:val="es-ES_tradnl" w:eastAsia="en-US"/>
              </w:rPr>
            </w:pPr>
          </w:p>
        </w:tc>
      </w:tr>
      <w:tr w:rsidR="00D13FA5" w:rsidRPr="00572450" w:rsidTr="00303324">
        <w:trPr>
          <w:trHeight w:val="260"/>
          <w:tblHeader/>
        </w:trPr>
        <w:tc>
          <w:tcPr>
            <w:tcW w:w="9355" w:type="dxa"/>
            <w:shd w:val="clear" w:color="auto" w:fill="auto"/>
            <w:noWrap/>
            <w:hideMark/>
          </w:tcPr>
          <w:p w:rsidR="00D13FA5" w:rsidRPr="00E3643D" w:rsidRDefault="00D13FA5" w:rsidP="00D13FA5">
            <w:pPr>
              <w:rPr>
                <w:color w:val="000000"/>
                <w:szCs w:val="22"/>
                <w:lang w:eastAsia="en-US"/>
              </w:rPr>
            </w:pPr>
            <w:r w:rsidRPr="00E3643D">
              <w:rPr>
                <w:color w:val="000000"/>
                <w:szCs w:val="22"/>
                <w:lang w:eastAsia="en-US"/>
              </w:rPr>
              <w:t>Arab Society for Intellectual Property</w:t>
            </w:r>
          </w:p>
        </w:tc>
      </w:tr>
      <w:tr w:rsidR="00D13FA5" w:rsidRPr="00630791" w:rsidTr="00303324">
        <w:trPr>
          <w:trHeight w:val="260"/>
          <w:tblHeader/>
        </w:trPr>
        <w:tc>
          <w:tcPr>
            <w:tcW w:w="9355" w:type="dxa"/>
            <w:shd w:val="clear" w:color="auto" w:fill="auto"/>
            <w:noWrap/>
            <w:hideMark/>
          </w:tcPr>
          <w:p w:rsidR="00D13FA5" w:rsidRPr="00572450" w:rsidRDefault="00897E0E" w:rsidP="00897E0E">
            <w:pPr>
              <w:rPr>
                <w:color w:val="000000"/>
                <w:szCs w:val="22"/>
                <w:lang w:val="es-ES_tradnl" w:eastAsia="en-US"/>
              </w:rPr>
            </w:pPr>
            <w:r w:rsidRPr="00572450">
              <w:rPr>
                <w:color w:val="000000"/>
                <w:szCs w:val="22"/>
                <w:lang w:val="es-ES_tradnl" w:eastAsia="en-US"/>
              </w:rPr>
              <w:t>Organización Iberoamericana de Derechos de Autor-Latinautor Inc.</w:t>
            </w:r>
          </w:p>
        </w:tc>
      </w:tr>
    </w:tbl>
    <w:p w:rsidR="00335D6A" w:rsidRDefault="00335D6A" w:rsidP="00E3643D">
      <w:pPr>
        <w:tabs>
          <w:tab w:val="left" w:pos="6096"/>
        </w:tabs>
        <w:rPr>
          <w:u w:val="single"/>
          <w:lang w:val="es-ES_tradnl"/>
        </w:rPr>
      </w:pPr>
    </w:p>
    <w:p w:rsidR="00335D6A" w:rsidRDefault="00335D6A" w:rsidP="00E3643D">
      <w:pPr>
        <w:tabs>
          <w:tab w:val="left" w:pos="6096"/>
        </w:tabs>
        <w:rPr>
          <w:u w:val="single"/>
          <w:lang w:val="es-ES_tradnl"/>
        </w:rPr>
      </w:pPr>
    </w:p>
    <w:p w:rsidR="00335D6A" w:rsidRDefault="00335D6A" w:rsidP="00E3643D">
      <w:pPr>
        <w:tabs>
          <w:tab w:val="left" w:pos="6096"/>
        </w:tabs>
        <w:rPr>
          <w:lang w:val="es-ES_tradnl"/>
        </w:rPr>
      </w:pPr>
      <w:r w:rsidRPr="00E3643D">
        <w:rPr>
          <w:u w:val="single"/>
          <w:lang w:val="es-ES_tradnl"/>
        </w:rPr>
        <w:t>Cuadro D:</w:t>
      </w:r>
      <w:r>
        <w:rPr>
          <w:lang w:val="es-ES_tradnl"/>
        </w:rPr>
        <w:t xml:space="preserve"> ONG nacionales </w:t>
      </w:r>
      <w:r w:rsidRPr="00335D6A">
        <w:rPr>
          <w:lang w:val="es-ES_tradnl"/>
        </w:rPr>
        <w:t>que han recuperado la condición de observadoras previa solicitud</w:t>
      </w:r>
    </w:p>
    <w:p w:rsidR="00335D6A" w:rsidRDefault="00335D6A" w:rsidP="00E3643D">
      <w:pPr>
        <w:tabs>
          <w:tab w:val="left" w:pos="6096"/>
        </w:tabs>
        <w:rPr>
          <w:lang w:val="es-ES_tradnl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tional NGOs 2"/>
        <w:tblDescription w:val="Names of National NGOs"/>
      </w:tblPr>
      <w:tblGrid>
        <w:gridCol w:w="9355"/>
      </w:tblGrid>
      <w:tr w:rsidR="00335D6A" w:rsidRPr="00630791" w:rsidTr="00CF7C22">
        <w:trPr>
          <w:trHeight w:val="260"/>
          <w:tblHeader/>
        </w:trPr>
        <w:tc>
          <w:tcPr>
            <w:tcW w:w="9355" w:type="dxa"/>
            <w:shd w:val="clear" w:color="auto" w:fill="BFBFBF" w:themeFill="background1" w:themeFillShade="BF"/>
            <w:noWrap/>
          </w:tcPr>
          <w:p w:rsidR="00335D6A" w:rsidRPr="00E3643D" w:rsidRDefault="00335D6A" w:rsidP="00335D6A">
            <w:pPr>
              <w:rPr>
                <w:rFonts w:eastAsia="Times New Roman"/>
                <w:b/>
                <w:color w:val="000000"/>
                <w:szCs w:val="22"/>
                <w:lang w:val="es-ES" w:eastAsia="en-US"/>
              </w:rPr>
            </w:pPr>
            <w:r w:rsidRPr="00E3643D">
              <w:rPr>
                <w:rFonts w:eastAsia="Times New Roman"/>
                <w:b/>
                <w:color w:val="000000"/>
                <w:szCs w:val="22"/>
                <w:lang w:val="es-ES" w:eastAsia="en-US"/>
              </w:rPr>
              <w:t>Nombre de la ONG nacional</w:t>
            </w:r>
          </w:p>
        </w:tc>
      </w:tr>
      <w:tr w:rsidR="00335D6A" w:rsidRPr="00630791" w:rsidTr="00CF7C22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:rsidR="00335D6A" w:rsidRPr="00E3643D" w:rsidRDefault="00335D6A" w:rsidP="00CF7C22">
            <w:pPr>
              <w:rPr>
                <w:rFonts w:eastAsia="Times New Roman"/>
                <w:b/>
                <w:color w:val="000000"/>
                <w:szCs w:val="22"/>
                <w:lang w:val="es-ES" w:eastAsia="en-US"/>
              </w:rPr>
            </w:pPr>
          </w:p>
        </w:tc>
      </w:tr>
      <w:tr w:rsidR="00335D6A" w:rsidRPr="006F1C1E" w:rsidTr="00CF7C22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:rsidR="00335D6A" w:rsidRPr="006F1C1E" w:rsidRDefault="00335D6A" w:rsidP="00CF7C2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E83349">
              <w:rPr>
                <w:rFonts w:eastAsia="Times New Roman"/>
                <w:color w:val="000000"/>
                <w:szCs w:val="22"/>
                <w:lang w:eastAsia="en-US"/>
              </w:rPr>
              <w:t>The Korean Patent Attorneys Association</w:t>
            </w:r>
          </w:p>
        </w:tc>
      </w:tr>
      <w:tr w:rsidR="00335D6A" w:rsidRPr="00B54E73" w:rsidTr="00CF7C22">
        <w:trPr>
          <w:trHeight w:val="260"/>
          <w:tblHeader/>
        </w:trPr>
        <w:tc>
          <w:tcPr>
            <w:tcW w:w="9355" w:type="dxa"/>
            <w:shd w:val="clear" w:color="auto" w:fill="auto"/>
            <w:noWrap/>
          </w:tcPr>
          <w:p w:rsidR="00335D6A" w:rsidRPr="00B54E73" w:rsidRDefault="00335D6A" w:rsidP="00CF7C22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</w:tr>
    </w:tbl>
    <w:p w:rsidR="00BD57FC" w:rsidRPr="00572450" w:rsidRDefault="00D13FA5" w:rsidP="00D81911">
      <w:pPr>
        <w:tabs>
          <w:tab w:val="left" w:pos="6096"/>
        </w:tabs>
        <w:spacing w:before="840" w:after="720"/>
        <w:jc w:val="right"/>
        <w:rPr>
          <w:lang w:val="es-ES_tradnl"/>
        </w:rPr>
      </w:pPr>
      <w:r w:rsidRPr="00572450">
        <w:rPr>
          <w:lang w:val="es-ES_tradnl"/>
        </w:rPr>
        <w:t>[</w:t>
      </w:r>
      <w:r w:rsidR="00D81911" w:rsidRPr="00572450">
        <w:rPr>
          <w:lang w:val="es-ES_tradnl"/>
        </w:rPr>
        <w:t xml:space="preserve">Fin del </w:t>
      </w:r>
      <w:r w:rsidR="00372B5F">
        <w:rPr>
          <w:lang w:val="es-ES_tradnl"/>
        </w:rPr>
        <w:t>A</w:t>
      </w:r>
      <w:r w:rsidR="00D81911" w:rsidRPr="00572450">
        <w:rPr>
          <w:lang w:val="es-ES_tradnl"/>
        </w:rPr>
        <w:t>nexo y del documento</w:t>
      </w:r>
      <w:r w:rsidRPr="00572450">
        <w:rPr>
          <w:lang w:val="es-ES_tradnl"/>
        </w:rPr>
        <w:t>]</w:t>
      </w:r>
    </w:p>
    <w:sectPr w:rsidR="00BD57FC" w:rsidRPr="00572450" w:rsidSect="00142B2B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C0" w:rsidRDefault="00147EC0">
      <w:r>
        <w:separator/>
      </w:r>
    </w:p>
  </w:endnote>
  <w:endnote w:type="continuationSeparator" w:id="0">
    <w:p w:rsidR="00147EC0" w:rsidRDefault="00147EC0" w:rsidP="003B38C1">
      <w:r>
        <w:separator/>
      </w:r>
    </w:p>
    <w:p w:rsidR="00147EC0" w:rsidRPr="00572450" w:rsidRDefault="00147EC0">
      <w:pPr>
        <w:spacing w:after="60"/>
        <w:rPr>
          <w:sz w:val="17"/>
          <w:lang w:val="es-ES"/>
        </w:rPr>
      </w:pPr>
      <w:r w:rsidRPr="00572450">
        <w:rPr>
          <w:sz w:val="17"/>
          <w:lang w:val="es-ES"/>
        </w:rPr>
        <w:t>[La nota final continúa de la página anterior]</w:t>
      </w:r>
    </w:p>
  </w:endnote>
  <w:endnote w:type="continuationNotice" w:id="1">
    <w:p w:rsidR="00147EC0" w:rsidRPr="00572450" w:rsidRDefault="00147EC0">
      <w:pPr>
        <w:spacing w:before="60"/>
        <w:jc w:val="right"/>
        <w:rPr>
          <w:sz w:val="17"/>
          <w:szCs w:val="17"/>
          <w:lang w:val="es-ES"/>
        </w:rPr>
      </w:pPr>
      <w:r w:rsidRPr="00572450">
        <w:rPr>
          <w:sz w:val="17"/>
          <w:szCs w:val="17"/>
          <w:lang w:val="es-ES"/>
        </w:rPr>
        <w:t>[La nota final continúa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2B" w:rsidRDefault="0014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C0" w:rsidRDefault="00147EC0">
      <w:r>
        <w:separator/>
      </w:r>
    </w:p>
  </w:footnote>
  <w:footnote w:type="continuationSeparator" w:id="0">
    <w:p w:rsidR="00147EC0" w:rsidRDefault="00147EC0" w:rsidP="008B60B2">
      <w:r>
        <w:separator/>
      </w:r>
    </w:p>
    <w:p w:rsidR="00147EC0" w:rsidRPr="00572450" w:rsidRDefault="00147EC0">
      <w:pPr>
        <w:spacing w:after="60"/>
        <w:rPr>
          <w:sz w:val="17"/>
          <w:szCs w:val="17"/>
          <w:lang w:val="es-ES"/>
        </w:rPr>
      </w:pPr>
      <w:r w:rsidRPr="00572450">
        <w:rPr>
          <w:sz w:val="17"/>
          <w:szCs w:val="17"/>
          <w:lang w:val="es-ES"/>
        </w:rPr>
        <w:t>[Nota al pie de la página anterior]</w:t>
      </w:r>
    </w:p>
  </w:footnote>
  <w:footnote w:type="continuationNotice" w:id="1">
    <w:p w:rsidR="00147EC0" w:rsidRPr="00572450" w:rsidRDefault="00147EC0">
      <w:pPr>
        <w:spacing w:before="60"/>
        <w:jc w:val="right"/>
        <w:rPr>
          <w:sz w:val="17"/>
          <w:szCs w:val="17"/>
          <w:lang w:val="es-ES"/>
        </w:rPr>
      </w:pPr>
      <w:r w:rsidRPr="00572450">
        <w:rPr>
          <w:sz w:val="17"/>
          <w:szCs w:val="17"/>
          <w:lang w:val="es-ES"/>
        </w:rPr>
        <w:t>[La nota continúa en la página siguiente]</w:t>
      </w:r>
    </w:p>
  </w:footnote>
  <w:footnote w:id="2">
    <w:p w:rsidR="00BD57FC" w:rsidRPr="00D52466" w:rsidRDefault="00F12D27">
      <w:pPr>
        <w:pStyle w:val="FootnoteText"/>
        <w:rPr>
          <w:lang w:val="es-ES"/>
        </w:rPr>
      </w:pPr>
      <w:r w:rsidRPr="00D52466">
        <w:rPr>
          <w:rStyle w:val="FootnoteReference"/>
          <w:lang w:val="es-ES"/>
        </w:rPr>
        <w:footnoteRef/>
      </w:r>
      <w:r w:rsidRPr="00D52466">
        <w:rPr>
          <w:lang w:val="es-ES"/>
        </w:rPr>
        <w:t xml:space="preserve"> El término "</w:t>
      </w:r>
      <w:r w:rsidR="00E86012" w:rsidRPr="00D52466">
        <w:rPr>
          <w:lang w:val="es-ES"/>
        </w:rPr>
        <w:t>c</w:t>
      </w:r>
      <w:r w:rsidRPr="00D52466">
        <w:rPr>
          <w:lang w:val="es-ES"/>
        </w:rPr>
        <w:t xml:space="preserve">omités" incluye: Comité Asesor sobre Observancia (ACE), Comité de Desarrollo y Propiedad Intelectual (CDIP), Comité de Normas </w:t>
      </w:r>
      <w:r w:rsidR="00E86012" w:rsidRPr="00D52466">
        <w:rPr>
          <w:lang w:val="es-ES"/>
        </w:rPr>
        <w:t xml:space="preserve">Técnicas </w:t>
      </w:r>
      <w:r w:rsidRPr="00D52466">
        <w:rPr>
          <w:lang w:val="es-ES"/>
        </w:rPr>
        <w:t>de la OMPI (CWS), Comité Intergubernamental sobre Propiedad Intelectual y Recursos Genéticos, Conocimientos Tradicionales y Folclore (CIG), Comité Permanente de Derecho de Autor y Derechos Conexos (SCCR), Comité Permanente sobre el Derecho de Patentes (SCP) y Comité Permanente sobre el Derecho de Marcas, Diseños Industriales e Indicaciones Geográficas (SCT).</w:t>
      </w:r>
    </w:p>
  </w:footnote>
  <w:footnote w:id="3">
    <w:p w:rsidR="00BD57FC" w:rsidRPr="00D52466" w:rsidRDefault="00F12D27">
      <w:pPr>
        <w:pStyle w:val="FootnoteText"/>
        <w:rPr>
          <w:lang w:val="es-ES"/>
        </w:rPr>
      </w:pPr>
      <w:r w:rsidRPr="00D52466">
        <w:rPr>
          <w:rStyle w:val="FootnoteReference"/>
          <w:lang w:val="es-ES"/>
        </w:rPr>
        <w:footnoteRef/>
      </w:r>
      <w:r w:rsidRPr="00D52466">
        <w:rPr>
          <w:lang w:val="es-ES"/>
        </w:rPr>
        <w:t xml:space="preserve"> El proceso de actualización </w:t>
      </w:r>
      <w:r w:rsidR="00E86012" w:rsidRPr="00D52466">
        <w:rPr>
          <w:lang w:val="es-ES"/>
        </w:rPr>
        <w:t>so</w:t>
      </w:r>
      <w:r w:rsidRPr="00D52466">
        <w:rPr>
          <w:lang w:val="es-ES"/>
        </w:rPr>
        <w:t xml:space="preserve">lo afectaba a la condición de observador concedida por las Asambleas. </w:t>
      </w:r>
      <w:r w:rsidR="00E86012" w:rsidRPr="00D52466">
        <w:rPr>
          <w:lang w:val="es-ES"/>
        </w:rPr>
        <w:t xml:space="preserve">La condición de </w:t>
      </w:r>
      <w:r w:rsidRPr="00D52466">
        <w:rPr>
          <w:lang w:val="es-ES"/>
        </w:rPr>
        <w:t xml:space="preserve">observador </w:t>
      </w:r>
      <w:r w:rsidRPr="00D52466">
        <w:rPr>
          <w:i/>
          <w:lang w:val="es-ES"/>
        </w:rPr>
        <w:t>ad hoc</w:t>
      </w:r>
      <w:r w:rsidRPr="00D52466">
        <w:rPr>
          <w:lang w:val="es-ES"/>
        </w:rPr>
        <w:t xml:space="preserve"> concedid</w:t>
      </w:r>
      <w:r w:rsidR="00E86012" w:rsidRPr="00D52466">
        <w:rPr>
          <w:lang w:val="es-ES"/>
        </w:rPr>
        <w:t>a</w:t>
      </w:r>
      <w:r w:rsidRPr="00D52466">
        <w:rPr>
          <w:lang w:val="es-ES"/>
        </w:rPr>
        <w:t xml:space="preserve"> por un órgano subsidiario de la OMPI no </w:t>
      </w:r>
      <w:r w:rsidR="00E86012" w:rsidRPr="00D52466">
        <w:rPr>
          <w:lang w:val="es-ES"/>
        </w:rPr>
        <w:t>estaba</w:t>
      </w:r>
      <w:r w:rsidRPr="00D52466">
        <w:rPr>
          <w:lang w:val="es-ES"/>
        </w:rPr>
        <w:t xml:space="preserve"> afectad</w:t>
      </w:r>
      <w:r w:rsidR="00E86012" w:rsidRPr="00D52466">
        <w:rPr>
          <w:lang w:val="es-ES"/>
        </w:rPr>
        <w:t>a</w:t>
      </w:r>
      <w:r w:rsidRPr="00D52466">
        <w:rPr>
          <w:lang w:val="es-ES"/>
        </w:rPr>
        <w:t>.</w:t>
      </w:r>
    </w:p>
  </w:footnote>
  <w:footnote w:id="4">
    <w:p w:rsidR="00BD57FC" w:rsidRPr="00D52466" w:rsidRDefault="00F12D27">
      <w:pPr>
        <w:pStyle w:val="FootnoteText"/>
        <w:rPr>
          <w:lang w:val="es-ES"/>
        </w:rPr>
      </w:pPr>
      <w:r w:rsidRPr="00D52466">
        <w:rPr>
          <w:rStyle w:val="FootnoteReference"/>
          <w:lang w:val="es-ES"/>
        </w:rPr>
        <w:footnoteRef/>
      </w:r>
      <w:r w:rsidRPr="00D52466">
        <w:rPr>
          <w:lang w:val="es-ES"/>
        </w:rPr>
        <w:t xml:space="preserve"> </w:t>
      </w:r>
      <w:r w:rsidR="00BE2F39" w:rsidRPr="00D52466">
        <w:rPr>
          <w:lang w:val="es-ES"/>
        </w:rPr>
        <w:t xml:space="preserve">La </w:t>
      </w:r>
      <w:r w:rsidRPr="00D52466">
        <w:rPr>
          <w:lang w:val="es-ES"/>
        </w:rPr>
        <w:t xml:space="preserve">lista detallada de las ONG que fueron eliminadas de la lista de observadores </w:t>
      </w:r>
      <w:r w:rsidR="00416253">
        <w:rPr>
          <w:lang w:val="es-ES"/>
        </w:rPr>
        <w:t>ante</w:t>
      </w:r>
      <w:r w:rsidRPr="00D52466">
        <w:rPr>
          <w:lang w:val="es-ES"/>
        </w:rPr>
        <w:t xml:space="preserve"> la OMPI</w:t>
      </w:r>
      <w:r w:rsidR="00BE2F39" w:rsidRPr="00D52466">
        <w:rPr>
          <w:lang w:val="es-ES"/>
        </w:rPr>
        <w:t xml:space="preserve"> figura en el c</w:t>
      </w:r>
      <w:r w:rsidRPr="00D52466">
        <w:rPr>
          <w:lang w:val="es-ES"/>
        </w:rPr>
        <w:t xml:space="preserve">uadro A (ONG internacionales) y el </w:t>
      </w:r>
      <w:r w:rsidR="00BE2F39" w:rsidRPr="00D52466">
        <w:rPr>
          <w:lang w:val="es-ES"/>
        </w:rPr>
        <w:t>c</w:t>
      </w:r>
      <w:r w:rsidRPr="00D52466">
        <w:rPr>
          <w:lang w:val="es-ES"/>
        </w:rPr>
        <w:t xml:space="preserve">uadro B (ONG nacionales) </w:t>
      </w:r>
      <w:r w:rsidR="00BE2F39" w:rsidRPr="00D52466">
        <w:rPr>
          <w:lang w:val="es-ES"/>
        </w:rPr>
        <w:t>de</w:t>
      </w:r>
      <w:r w:rsidRPr="00D52466">
        <w:rPr>
          <w:lang w:val="es-ES"/>
        </w:rPr>
        <w:t xml:space="preserve">l Anexo </w:t>
      </w:r>
      <w:r w:rsidR="00BE2F39" w:rsidRPr="00D52466">
        <w:rPr>
          <w:lang w:val="es-ES"/>
        </w:rPr>
        <w:t>del presente</w:t>
      </w:r>
      <w:r w:rsidRPr="00D52466">
        <w:rPr>
          <w:lang w:val="es-ES"/>
        </w:rPr>
        <w:t xml:space="preserve"> documento.</w:t>
      </w:r>
    </w:p>
  </w:footnote>
  <w:footnote w:id="5">
    <w:p w:rsidR="00BD57FC" w:rsidRPr="00D52466" w:rsidRDefault="00F12D27">
      <w:pPr>
        <w:pStyle w:val="FootnoteText"/>
        <w:rPr>
          <w:lang w:val="es-ES"/>
        </w:rPr>
      </w:pPr>
      <w:r w:rsidRPr="00D52466">
        <w:rPr>
          <w:rStyle w:val="FootnoteReference"/>
          <w:lang w:val="es-ES"/>
        </w:rPr>
        <w:footnoteRef/>
      </w:r>
      <w:r w:rsidRPr="00D52466">
        <w:rPr>
          <w:lang w:val="es-ES"/>
        </w:rPr>
        <w:t xml:space="preserve"> La lista detallada de las ONG en cuestión figura en </w:t>
      </w:r>
      <w:r w:rsidR="004E3D66">
        <w:rPr>
          <w:lang w:val="es-ES"/>
        </w:rPr>
        <w:t>los cuadros</w:t>
      </w:r>
      <w:r w:rsidRPr="00D52466">
        <w:rPr>
          <w:lang w:val="es-ES"/>
        </w:rPr>
        <w:t xml:space="preserve"> C</w:t>
      </w:r>
      <w:r w:rsidR="004E3D66">
        <w:rPr>
          <w:lang w:val="es-ES"/>
        </w:rPr>
        <w:t xml:space="preserve"> y D</w:t>
      </w:r>
      <w:r w:rsidRPr="00D52466">
        <w:rPr>
          <w:lang w:val="es-ES"/>
        </w:rPr>
        <w:t xml:space="preserve"> del anexo </w:t>
      </w:r>
      <w:r w:rsidR="00BE2F39" w:rsidRPr="00D52466">
        <w:rPr>
          <w:lang w:val="es-ES"/>
        </w:rPr>
        <w:t>del presente</w:t>
      </w:r>
      <w:r w:rsidRPr="00D52466">
        <w:rPr>
          <w:lang w:val="es-ES"/>
        </w:rPr>
        <w:t xml:space="preserve">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FC" w:rsidRPr="00572450" w:rsidRDefault="00F12D27">
    <w:pPr>
      <w:jc w:val="right"/>
      <w:rPr>
        <w:lang w:val="es-ES_tradnl"/>
      </w:rPr>
    </w:pPr>
    <w:r w:rsidRPr="00572450">
      <w:rPr>
        <w:lang w:val="es-ES_tradnl"/>
      </w:rPr>
      <w:t>A/62/4</w:t>
    </w:r>
    <w:r w:rsidR="00630791">
      <w:rPr>
        <w:lang w:val="es-ES_tradnl"/>
      </w:rPr>
      <w:t xml:space="preserve"> Rev.</w:t>
    </w:r>
  </w:p>
  <w:p w:rsidR="00BD57FC" w:rsidRPr="00572450" w:rsidRDefault="00F12D27">
    <w:pPr>
      <w:spacing w:after="480"/>
      <w:jc w:val="right"/>
      <w:rPr>
        <w:lang w:val="es-ES_tradnl"/>
      </w:rPr>
    </w:pPr>
    <w:r w:rsidRPr="00572450">
      <w:rPr>
        <w:lang w:val="es-ES_tradnl"/>
      </w:rPr>
      <w:t xml:space="preserve">página </w:t>
    </w:r>
    <w:r w:rsidRPr="00572450">
      <w:rPr>
        <w:lang w:val="es-ES_tradnl"/>
      </w:rPr>
      <w:fldChar w:fldCharType="begin"/>
    </w:r>
    <w:r w:rsidRPr="00572450">
      <w:rPr>
        <w:lang w:val="es-ES_tradnl"/>
      </w:rPr>
      <w:instrText xml:space="preserve"> PAGE  \* MERGEFORMAT </w:instrText>
    </w:r>
    <w:r w:rsidRPr="00572450">
      <w:rPr>
        <w:lang w:val="es-ES_tradnl"/>
      </w:rPr>
      <w:fldChar w:fldCharType="separate"/>
    </w:r>
    <w:r w:rsidR="000443CD">
      <w:rPr>
        <w:noProof/>
        <w:lang w:val="es-ES_tradnl"/>
      </w:rPr>
      <w:t>3</w:t>
    </w:r>
    <w:r w:rsidRPr="00572450">
      <w:rPr>
        <w:lang w:val="es-ES_tradn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2B" w:rsidRPr="00572450" w:rsidRDefault="00142B2B" w:rsidP="00477D6B">
    <w:pPr>
      <w:jc w:val="right"/>
      <w:rPr>
        <w:lang w:val="es-ES_tradnl"/>
      </w:rPr>
    </w:pPr>
    <w:r w:rsidRPr="00572450">
      <w:rPr>
        <w:lang w:val="es-ES_tradnl"/>
      </w:rPr>
      <w:t>A/62/4</w:t>
    </w:r>
    <w:r w:rsidR="00630791">
      <w:rPr>
        <w:lang w:val="es-ES_tradnl"/>
      </w:rPr>
      <w:t xml:space="preserve"> Rev.</w:t>
    </w:r>
  </w:p>
  <w:p w:rsidR="00142B2B" w:rsidRPr="00572450" w:rsidRDefault="00142B2B" w:rsidP="009E61EA">
    <w:pPr>
      <w:spacing w:after="480"/>
      <w:jc w:val="right"/>
      <w:rPr>
        <w:lang w:val="es-ES_tradnl"/>
      </w:rPr>
    </w:pPr>
    <w:r w:rsidRPr="00572450">
      <w:rPr>
        <w:lang w:val="es-ES_tradnl"/>
      </w:rPr>
      <w:t>Anex</w:t>
    </w:r>
    <w:r w:rsidR="00B46843" w:rsidRPr="00572450">
      <w:rPr>
        <w:lang w:val="es-ES_tradnl"/>
      </w:rPr>
      <w:t>o</w:t>
    </w:r>
    <w:r w:rsidRPr="00572450">
      <w:rPr>
        <w:lang w:val="es-ES_tradnl"/>
      </w:rPr>
      <w:t>, p</w:t>
    </w:r>
    <w:r w:rsidR="00B46843" w:rsidRPr="00572450">
      <w:rPr>
        <w:lang w:val="es-ES_tradnl"/>
      </w:rPr>
      <w:t>ágina</w:t>
    </w:r>
    <w:r w:rsidRPr="00572450">
      <w:rPr>
        <w:lang w:val="es-ES_tradnl"/>
      </w:rPr>
      <w:t xml:space="preserve"> </w:t>
    </w:r>
    <w:r w:rsidRPr="00572450">
      <w:rPr>
        <w:lang w:val="es-ES_tradnl"/>
      </w:rPr>
      <w:fldChar w:fldCharType="begin"/>
    </w:r>
    <w:r w:rsidRPr="00572450">
      <w:rPr>
        <w:lang w:val="es-ES_tradnl"/>
      </w:rPr>
      <w:instrText xml:space="preserve"> PAGE  \* MERGEFORMAT </w:instrText>
    </w:r>
    <w:r w:rsidRPr="00572450">
      <w:rPr>
        <w:lang w:val="es-ES_tradnl"/>
      </w:rPr>
      <w:fldChar w:fldCharType="separate"/>
    </w:r>
    <w:r w:rsidR="000443CD">
      <w:rPr>
        <w:noProof/>
        <w:lang w:val="es-ES_tradnl"/>
      </w:rPr>
      <w:t>4</w:t>
    </w:r>
    <w:r w:rsidRPr="00572450">
      <w:rPr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5F" w:rsidRPr="00572450" w:rsidRDefault="00372B5F" w:rsidP="00372B5F">
    <w:pPr>
      <w:jc w:val="right"/>
      <w:rPr>
        <w:lang w:val="es-ES_tradnl"/>
      </w:rPr>
    </w:pPr>
    <w:r w:rsidRPr="00572450">
      <w:rPr>
        <w:lang w:val="es-ES_tradnl"/>
      </w:rPr>
      <w:t>A/62/4</w:t>
    </w:r>
    <w:r w:rsidR="00630791">
      <w:rPr>
        <w:lang w:val="es-ES_tradnl"/>
      </w:rPr>
      <w:t xml:space="preserve"> Rev.</w:t>
    </w:r>
  </w:p>
  <w:p w:rsidR="00372B5F" w:rsidRPr="00572450" w:rsidRDefault="00372B5F" w:rsidP="00372B5F">
    <w:pPr>
      <w:spacing w:after="480"/>
      <w:jc w:val="right"/>
      <w:rPr>
        <w:lang w:val="es-ES_tradnl"/>
      </w:rPr>
    </w:pPr>
    <w:r>
      <w:rPr>
        <w:lang w:val="es-ES_tradnl"/>
      </w:rP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FAB Main|TextBase TMs\WorkspaceSTS\Outreach\POW Main|TextBase TMs\WorkspaceSTS\Administration &amp; Finance\Current Budget|TextBase TMs\WorkspaceSTS\Copyright\C Instruments|TextBase TMs\WorkspaceSTS\Outreach\Economist|TextBase TMs\WorkspaceSTS\Outreach\IP Advantage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Development\Dev_Agenda|TextBase TMs\WorkspaceSTS\Copyright\Copyright"/>
    <w:docVar w:name="TextBaseURL" w:val="empty"/>
    <w:docVar w:name="UILng" w:val="en"/>
  </w:docVars>
  <w:rsids>
    <w:rsidRoot w:val="00142B2B"/>
    <w:rsid w:val="0001647B"/>
    <w:rsid w:val="0002090F"/>
    <w:rsid w:val="00037133"/>
    <w:rsid w:val="00043CAA"/>
    <w:rsid w:val="000443CD"/>
    <w:rsid w:val="000548A7"/>
    <w:rsid w:val="000566F7"/>
    <w:rsid w:val="00075432"/>
    <w:rsid w:val="00081664"/>
    <w:rsid w:val="000968ED"/>
    <w:rsid w:val="000F5E56"/>
    <w:rsid w:val="001024FE"/>
    <w:rsid w:val="001362EE"/>
    <w:rsid w:val="00142868"/>
    <w:rsid w:val="00142B2B"/>
    <w:rsid w:val="00147EC0"/>
    <w:rsid w:val="00180526"/>
    <w:rsid w:val="001832A6"/>
    <w:rsid w:val="001C6808"/>
    <w:rsid w:val="002121FA"/>
    <w:rsid w:val="0022439D"/>
    <w:rsid w:val="00230F76"/>
    <w:rsid w:val="002634C4"/>
    <w:rsid w:val="00270036"/>
    <w:rsid w:val="002928D3"/>
    <w:rsid w:val="002B3081"/>
    <w:rsid w:val="002F1FE6"/>
    <w:rsid w:val="002F290B"/>
    <w:rsid w:val="002F4E68"/>
    <w:rsid w:val="00312F7F"/>
    <w:rsid w:val="003228B7"/>
    <w:rsid w:val="00327800"/>
    <w:rsid w:val="00335D6A"/>
    <w:rsid w:val="003508A3"/>
    <w:rsid w:val="00363DFE"/>
    <w:rsid w:val="003673CF"/>
    <w:rsid w:val="00372B5F"/>
    <w:rsid w:val="003845C1"/>
    <w:rsid w:val="003A3252"/>
    <w:rsid w:val="003A6F89"/>
    <w:rsid w:val="003B38C1"/>
    <w:rsid w:val="003E1317"/>
    <w:rsid w:val="00402EAB"/>
    <w:rsid w:val="00414F3C"/>
    <w:rsid w:val="00416253"/>
    <w:rsid w:val="00423E3E"/>
    <w:rsid w:val="00427AF4"/>
    <w:rsid w:val="004400E2"/>
    <w:rsid w:val="00461632"/>
    <w:rsid w:val="004647DA"/>
    <w:rsid w:val="00474062"/>
    <w:rsid w:val="00477D6B"/>
    <w:rsid w:val="004D39C4"/>
    <w:rsid w:val="004D523B"/>
    <w:rsid w:val="004D55B4"/>
    <w:rsid w:val="004E3D66"/>
    <w:rsid w:val="0053057A"/>
    <w:rsid w:val="00545507"/>
    <w:rsid w:val="0055130B"/>
    <w:rsid w:val="00560A29"/>
    <w:rsid w:val="00572450"/>
    <w:rsid w:val="00594D27"/>
    <w:rsid w:val="005E60D2"/>
    <w:rsid w:val="00601760"/>
    <w:rsid w:val="00605827"/>
    <w:rsid w:val="00616E13"/>
    <w:rsid w:val="00630791"/>
    <w:rsid w:val="00646050"/>
    <w:rsid w:val="006713CA"/>
    <w:rsid w:val="00676C5C"/>
    <w:rsid w:val="00695558"/>
    <w:rsid w:val="00697DB5"/>
    <w:rsid w:val="006D5E0F"/>
    <w:rsid w:val="006F7955"/>
    <w:rsid w:val="007058FB"/>
    <w:rsid w:val="0075375F"/>
    <w:rsid w:val="0079688F"/>
    <w:rsid w:val="007B6A58"/>
    <w:rsid w:val="007D1613"/>
    <w:rsid w:val="008037B9"/>
    <w:rsid w:val="0083449E"/>
    <w:rsid w:val="00855D4A"/>
    <w:rsid w:val="00873EE5"/>
    <w:rsid w:val="00897E0E"/>
    <w:rsid w:val="008B2CC1"/>
    <w:rsid w:val="008B4B5E"/>
    <w:rsid w:val="008B60B2"/>
    <w:rsid w:val="0090731E"/>
    <w:rsid w:val="00916EE2"/>
    <w:rsid w:val="00966A22"/>
    <w:rsid w:val="0096722F"/>
    <w:rsid w:val="0097381A"/>
    <w:rsid w:val="00980843"/>
    <w:rsid w:val="009B0EFF"/>
    <w:rsid w:val="009E2791"/>
    <w:rsid w:val="009E3F6F"/>
    <w:rsid w:val="009E61EA"/>
    <w:rsid w:val="009F3BF9"/>
    <w:rsid w:val="009F499F"/>
    <w:rsid w:val="00A02945"/>
    <w:rsid w:val="00A36A1A"/>
    <w:rsid w:val="00A42DAF"/>
    <w:rsid w:val="00A45BD8"/>
    <w:rsid w:val="00A733E7"/>
    <w:rsid w:val="00A778BF"/>
    <w:rsid w:val="00A85B8E"/>
    <w:rsid w:val="00AC205C"/>
    <w:rsid w:val="00AC2AE5"/>
    <w:rsid w:val="00AE1611"/>
    <w:rsid w:val="00AF4EED"/>
    <w:rsid w:val="00AF5C73"/>
    <w:rsid w:val="00B05A69"/>
    <w:rsid w:val="00B276BD"/>
    <w:rsid w:val="00B40598"/>
    <w:rsid w:val="00B46843"/>
    <w:rsid w:val="00B50AE2"/>
    <w:rsid w:val="00B50B99"/>
    <w:rsid w:val="00B62CD9"/>
    <w:rsid w:val="00B81C0F"/>
    <w:rsid w:val="00B9734B"/>
    <w:rsid w:val="00BD3337"/>
    <w:rsid w:val="00BD57FC"/>
    <w:rsid w:val="00BE2F39"/>
    <w:rsid w:val="00C11BFE"/>
    <w:rsid w:val="00C90C9F"/>
    <w:rsid w:val="00C94629"/>
    <w:rsid w:val="00CA243D"/>
    <w:rsid w:val="00CA73DA"/>
    <w:rsid w:val="00CB4540"/>
    <w:rsid w:val="00CB728F"/>
    <w:rsid w:val="00CC4137"/>
    <w:rsid w:val="00CD41CB"/>
    <w:rsid w:val="00CE65D4"/>
    <w:rsid w:val="00CE76F7"/>
    <w:rsid w:val="00CF62C7"/>
    <w:rsid w:val="00D03C57"/>
    <w:rsid w:val="00D13FA5"/>
    <w:rsid w:val="00D45252"/>
    <w:rsid w:val="00D52466"/>
    <w:rsid w:val="00D71B4D"/>
    <w:rsid w:val="00D81857"/>
    <w:rsid w:val="00D81911"/>
    <w:rsid w:val="00D836E4"/>
    <w:rsid w:val="00D93D55"/>
    <w:rsid w:val="00DF4102"/>
    <w:rsid w:val="00E161A2"/>
    <w:rsid w:val="00E24292"/>
    <w:rsid w:val="00E335FE"/>
    <w:rsid w:val="00E3643D"/>
    <w:rsid w:val="00E5021F"/>
    <w:rsid w:val="00E671A6"/>
    <w:rsid w:val="00E67C9F"/>
    <w:rsid w:val="00E86012"/>
    <w:rsid w:val="00EA7322"/>
    <w:rsid w:val="00EC4E49"/>
    <w:rsid w:val="00EC5ECC"/>
    <w:rsid w:val="00ED77FB"/>
    <w:rsid w:val="00F021A6"/>
    <w:rsid w:val="00F11D94"/>
    <w:rsid w:val="00F12D27"/>
    <w:rsid w:val="00F4349E"/>
    <w:rsid w:val="00F50F40"/>
    <w:rsid w:val="00F66152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FF42120-B91D-4EAF-89F9-424FAC4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42B2B"/>
    <w:rPr>
      <w:vertAlign w:val="superscript"/>
    </w:rPr>
  </w:style>
  <w:style w:type="table" w:styleId="TableGrid">
    <w:name w:val="Table Grid"/>
    <w:basedOn w:val="TableNormal"/>
    <w:rsid w:val="00142B2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5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0AE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D13FA5"/>
    <w:rPr>
      <w:rFonts w:ascii="Arial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D13FA5"/>
    <w:rPr>
      <w:rFonts w:ascii="Arial" w:hAnsi="Arial" w:cs="Arial"/>
      <w:sz w:val="22"/>
      <w:lang w:val="en-US" w:eastAsia="zh-CN"/>
    </w:rPr>
  </w:style>
  <w:style w:type="table" w:customStyle="1" w:styleId="TableGrid1">
    <w:name w:val="Table Grid1"/>
    <w:basedOn w:val="TableNormal"/>
    <w:next w:val="TableGrid"/>
    <w:rsid w:val="00D13FA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016741226427398E-2"/>
          <c:y val="0.10765583181412668"/>
          <c:w val="0.82796651754714523"/>
          <c:h val="0.78468833637174662"/>
        </c:manualLayout>
      </c:layout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BB-4D29-A82C-0DCB77836EC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BB-4D29-A82C-0DCB77836EC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1BB-4D29-A82C-0DCB77836EC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1BB-4D29-A82C-0DCB77836EC9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1BB-4D29-A82C-0DCB77836EC9}"/>
              </c:ext>
            </c:extLst>
          </c:dPt>
          <c:dLbls>
            <c:dLbl>
              <c:idx val="0"/>
              <c:layout>
                <c:manualLayout>
                  <c:x val="7.5090245023312716E-3"/>
                  <c:y val="0.4253432604692456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1BB-4D29-A82C-0DCB77836EC9}"/>
                </c:ext>
              </c:extLst>
            </c:dLbl>
            <c:dLbl>
              <c:idx val="2"/>
              <c:layout>
                <c:manualLayout>
                  <c:x val="-2.4404329632576702E-2"/>
                  <c:y val="9.48345742253223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1BB-4D29-A82C-0DCB77836EC9}"/>
                </c:ext>
              </c:extLst>
            </c:dLbl>
            <c:dLbl>
              <c:idx val="3"/>
              <c:layout>
                <c:manualLayout>
                  <c:x val="-9.3862806279142261E-3"/>
                  <c:y val="-0.27898215068266097"/>
                </c:manualLayout>
              </c:layout>
              <c:tx>
                <c:rich>
                  <a:bodyPr/>
                  <a:lstStyle/>
                  <a:p>
                    <a:fld id="{02AF19D6-B504-40ED-92C4-3B731F9A109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104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1BB-4D29-A82C-0DCB77836EC9}"/>
                </c:ext>
              </c:extLst>
            </c:dLbl>
            <c:dLbl>
              <c:idx val="4"/>
              <c:layout>
                <c:manualLayout>
                  <c:x val="1.8772561255828109E-2"/>
                  <c:y val="-0.230694649746031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Otras</a:t>
                    </a:r>
                    <a:r>
                      <a:rPr lang="en-US" baseline="0"/>
                      <a:t>, </a:t>
                    </a:r>
                    <a:fld id="{884CF9D0-902F-4BDF-9455-87984CD62D3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1BB-4D29-A82C-0DCB77836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Sheet1!$A$6:$A$9</c:f>
              <c:strCache>
                <c:ptCount val="4"/>
                <c:pt idx="0">
                  <c:v>ONG observadoras no incluidas en el grupo objetivo</c:v>
                </c:pt>
                <c:pt idx="1">
                  <c:v>NGO obsever in target group</c:v>
                </c:pt>
                <c:pt idx="2">
                  <c:v>ONG observadoras mantenidas en la lista</c:v>
                </c:pt>
                <c:pt idx="3">
                  <c:v>ONG observadoras eliminadas de la lista</c:v>
                </c:pt>
              </c:strCache>
            </c:strRef>
          </c:cat>
          <c:val>
            <c:numRef>
              <c:f>Sheet1!$B$6:$B$9</c:f>
              <c:numCache>
                <c:formatCode>General</c:formatCode>
                <c:ptCount val="4"/>
                <c:pt idx="0">
                  <c:v>173</c:v>
                </c:pt>
                <c:pt idx="2">
                  <c:v>64</c:v>
                </c:pt>
                <c:pt idx="3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1BB-4D29-A82C-0DCB77836E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F521-BFB3-4717-8659-0AC5DB52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5</TotalTime>
  <Pages>7</Pages>
  <Words>1676</Words>
  <Characters>10028</Characters>
  <Application>Microsoft Office Word</Application>
  <DocSecurity>0</DocSecurity>
  <Lines>225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A/62/4</vt:lpstr>
    </vt:vector>
  </TitlesOfParts>
  <Manager>OLC</Manager>
  <Company>WIPO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A/62/4 Rev.</dc:title>
  <dc:subject>Sixty-Second Series of Meetings</dc:subject>
  <dc:creator>WIPO</dc:creator>
  <cp:keywords>PUBLIC</cp:keywords>
  <cp:lastModifiedBy>HÄFLIGER Patience</cp:lastModifiedBy>
  <cp:revision>5</cp:revision>
  <cp:lastPrinted>2011-02-15T11:56:00Z</cp:lastPrinted>
  <dcterms:created xsi:type="dcterms:W3CDTF">2021-09-17T07:53:00Z</dcterms:created>
  <dcterms:modified xsi:type="dcterms:W3CDTF">2021-09-20T16:23:00Z</dcterms:modified>
  <cp:category>Assemblies of the Member States of WIPO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9e9b8397-733d-41dd-a818-d0a34780e7e5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