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966451" w:rsidRDefault="00E504E5" w:rsidP="00AB613D">
            <w:pPr>
              <w:rPr>
                <w:rStyle w:val="lev"/>
              </w:rPr>
            </w:pPr>
          </w:p>
        </w:tc>
        <w:tc>
          <w:tcPr>
            <w:tcW w:w="4337" w:type="dxa"/>
            <w:tcBorders>
              <w:bottom w:val="single" w:sz="4" w:space="0" w:color="auto"/>
            </w:tcBorders>
            <w:tcMar>
              <w:left w:w="0" w:type="dxa"/>
              <w:right w:w="0" w:type="dxa"/>
            </w:tcMar>
          </w:tcPr>
          <w:p w:rsidR="00E504E5" w:rsidRPr="008B2CC1" w:rsidRDefault="00D03774" w:rsidP="00AB613D">
            <w:r>
              <w:rPr>
                <w:noProof/>
                <w:lang w:val="fr-FR" w:eastAsia="fr-FR"/>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03774" w:rsidP="00AB613D">
            <w:pPr>
              <w:jc w:val="right"/>
              <w:rPr>
                <w:rFonts w:ascii="Arial Black" w:hAnsi="Arial Black"/>
                <w:caps/>
                <w:sz w:val="15"/>
              </w:rPr>
            </w:pPr>
            <w:r>
              <w:rPr>
                <w:rFonts w:ascii="Arial Black" w:hAnsi="Arial Black"/>
                <w:caps/>
                <w:sz w:val="15"/>
              </w:rPr>
              <w:t>a/54/</w:t>
            </w:r>
            <w:bookmarkStart w:id="0" w:name="Code"/>
            <w:bookmarkEnd w:id="0"/>
            <w:r w:rsidR="001B13EB">
              <w:rPr>
                <w:rFonts w:ascii="Arial Black" w:hAnsi="Arial Black"/>
                <w:caps/>
                <w:sz w:val="15"/>
              </w:rPr>
              <w:t>9</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B13E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1B13EB">
              <w:rPr>
                <w:rFonts w:ascii="Arial Black" w:hAnsi="Arial Black"/>
                <w:caps/>
                <w:sz w:val="15"/>
              </w:rPr>
              <w:t>4 DE SEPTIEMBRE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03774" w:rsidRPr="00D03774" w:rsidRDefault="00D03774" w:rsidP="00D03774">
      <w:pPr>
        <w:rPr>
          <w:b/>
          <w:sz w:val="28"/>
          <w:szCs w:val="28"/>
        </w:rPr>
      </w:pPr>
      <w:r w:rsidRPr="00D03774">
        <w:rPr>
          <w:b/>
          <w:sz w:val="28"/>
          <w:szCs w:val="28"/>
        </w:rPr>
        <w:t>Asambleas de los Estados miembros de la OMPI</w:t>
      </w:r>
    </w:p>
    <w:p w:rsidR="003845C1" w:rsidRDefault="003845C1" w:rsidP="003845C1"/>
    <w:p w:rsidR="003845C1" w:rsidRDefault="003845C1" w:rsidP="003845C1"/>
    <w:p w:rsidR="00D03774" w:rsidRPr="00D03774" w:rsidRDefault="00D03774" w:rsidP="00D03774">
      <w:pPr>
        <w:rPr>
          <w:b/>
          <w:sz w:val="24"/>
          <w:szCs w:val="24"/>
        </w:rPr>
      </w:pPr>
      <w:r w:rsidRPr="00D03774">
        <w:rPr>
          <w:b/>
          <w:sz w:val="24"/>
          <w:szCs w:val="24"/>
        </w:rPr>
        <w:t>Quincuagésima cuarta serie de reuniones</w:t>
      </w:r>
    </w:p>
    <w:p w:rsidR="00D03774" w:rsidRPr="00D03774" w:rsidRDefault="00D03774" w:rsidP="00D03774">
      <w:pPr>
        <w:rPr>
          <w:b/>
          <w:sz w:val="24"/>
          <w:szCs w:val="24"/>
        </w:rPr>
      </w:pPr>
      <w:r w:rsidRPr="00D03774">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1B13EB" w:rsidRPr="00B024A0" w:rsidRDefault="001B13EB" w:rsidP="001B13EB">
      <w:pPr>
        <w:rPr>
          <w:caps/>
          <w:sz w:val="24"/>
          <w:lang w:val="es-ES_tradnl"/>
        </w:rPr>
      </w:pPr>
      <w:bookmarkStart w:id="3" w:name="TitleOfDoc"/>
      <w:bookmarkEnd w:id="3"/>
      <w:r w:rsidRPr="00B024A0">
        <w:rPr>
          <w:caps/>
          <w:sz w:val="24"/>
          <w:lang w:val="es-ES_tradnl"/>
        </w:rPr>
        <w:t>SITUACIÓN RELATIVA AL PAGO DE LAS CONTRIBUCIONES AL 1 DE SEPTIEMBRE DE 2014</w:t>
      </w:r>
    </w:p>
    <w:p w:rsidR="001B13EB" w:rsidRPr="00B024A0" w:rsidRDefault="001B13EB" w:rsidP="001B13EB">
      <w:pPr>
        <w:rPr>
          <w:lang w:val="es-ES_tradnl"/>
        </w:rPr>
      </w:pPr>
    </w:p>
    <w:p w:rsidR="001B13EB" w:rsidRPr="00B024A0" w:rsidRDefault="001B13EB" w:rsidP="001B13EB">
      <w:pPr>
        <w:rPr>
          <w:i/>
          <w:lang w:val="es-ES_tradnl"/>
        </w:rPr>
      </w:pPr>
      <w:bookmarkStart w:id="4" w:name="Prepared"/>
      <w:bookmarkEnd w:id="4"/>
      <w:r w:rsidRPr="00B024A0">
        <w:rPr>
          <w:i/>
          <w:lang w:val="es-ES_tradnl"/>
        </w:rPr>
        <w:t>Documento preparado por la Secretaría</w:t>
      </w:r>
    </w:p>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El presente documento contiene una versión actualizada de la situación relativa al pago de las contribuciones al 30 de junio de 2014 (documento WO/PBC/22/7).</w:t>
      </w:r>
    </w:p>
    <w:p w:rsidR="001B13EB" w:rsidRPr="00B024A0" w:rsidRDefault="001B13EB" w:rsidP="001B13EB">
      <w:pPr>
        <w:rPr>
          <w:lang w:val="es-ES_tradnl"/>
        </w:rPr>
      </w:pPr>
    </w:p>
    <w:p w:rsidR="001B13EB" w:rsidRPr="00B024A0" w:rsidRDefault="001B13EB" w:rsidP="001B13EB">
      <w:pPr>
        <w:rPr>
          <w:b/>
          <w:caps/>
          <w:szCs w:val="22"/>
          <w:lang w:val="es-ES_tradnl"/>
        </w:rPr>
      </w:pPr>
      <w:r w:rsidRPr="00B024A0">
        <w:rPr>
          <w:b/>
          <w:caps/>
          <w:szCs w:val="22"/>
          <w:lang w:val="es-ES_tradnl"/>
        </w:rPr>
        <w:t>Atrasos en el pago de las contribuciones al 1 de septiembre de 2014</w:t>
      </w:r>
    </w:p>
    <w:p w:rsidR="001B13EB" w:rsidRPr="00B024A0" w:rsidRDefault="001B13EB" w:rsidP="001B13EB">
      <w:pPr>
        <w:rPr>
          <w:szCs w:val="22"/>
          <w:lang w:val="es-ES_tradnl"/>
        </w:rPr>
      </w:pPr>
    </w:p>
    <w:p w:rsidR="001B13EB" w:rsidRPr="00B024A0" w:rsidRDefault="001B13EB" w:rsidP="001B13EB">
      <w:pPr>
        <w:rPr>
          <w:b/>
          <w:szCs w:val="22"/>
          <w:lang w:val="es-ES_tradnl"/>
        </w:rPr>
      </w:pPr>
      <w:r w:rsidRPr="00B024A0">
        <w:rPr>
          <w:b/>
          <w:szCs w:val="22"/>
          <w:lang w:val="es-ES_tradnl"/>
        </w:rPr>
        <w:t xml:space="preserve">Atrasos en el pago de las contribuciones anuales </w:t>
      </w:r>
      <w:r w:rsidRPr="00B024A0">
        <w:rPr>
          <w:b/>
          <w:szCs w:val="22"/>
          <w:lang w:val="es-ES_tradnl"/>
        </w:rPr>
        <w:br/>
        <w:t>(Excepto los atrasos de los países menos adelantados correspondientes a los años anteriores a 1990, colocados en una cuenta especial (congelada))</w:t>
      </w:r>
    </w:p>
    <w:p w:rsidR="001B13EB" w:rsidRPr="00B024A0" w:rsidRDefault="001B13EB" w:rsidP="001B13EB">
      <w:pPr>
        <w:rPr>
          <w:szCs w:val="22"/>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En el cuadro que figura a continuación se indican los atrasos en el pago de las contribuciones al 1 de septiembre de 2014 con arreglo al sistema de contribución única aplicable a partir del 1 de enero de 1994, y con arreglo a los sistemas de contribución aplicables anteriormente de las seis Uniones financiadas mediante contribuciones (París, Berna, CIP, Niza, Locarno,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w:t>
      </w:r>
      <w:r w:rsidR="006770BC">
        <w:rPr>
          <w:szCs w:val="22"/>
          <w:lang w:val="es-ES_tradnl"/>
        </w:rPr>
        <w:t xml:space="preserve"> cuadro del párrafo 5.</w:t>
      </w:r>
    </w:p>
    <w:p w:rsidR="001B13EB" w:rsidRPr="00B024A0" w:rsidRDefault="001B13EB" w:rsidP="001B13EB">
      <w:pPr>
        <w:spacing w:after="220"/>
        <w:rPr>
          <w:szCs w:val="22"/>
          <w:lang w:val="es-ES_tradnl"/>
        </w:rPr>
      </w:pPr>
    </w:p>
    <w:p w:rsidR="001B13EB" w:rsidRPr="00B024A0" w:rsidRDefault="001B13EB" w:rsidP="001B13EB">
      <w:pPr>
        <w:rPr>
          <w:szCs w:val="22"/>
          <w:lang w:val="es-ES_tradnl"/>
        </w:rPr>
      </w:pPr>
      <w:r w:rsidRPr="00B024A0">
        <w:rPr>
          <w:szCs w:val="22"/>
          <w:lang w:val="es-ES_tradnl"/>
        </w:rPr>
        <w:br w:type="page"/>
      </w:r>
    </w:p>
    <w:p w:rsidR="001B13EB" w:rsidRPr="00B024A0" w:rsidRDefault="001B13EB" w:rsidP="001B13EB">
      <w:pPr>
        <w:rPr>
          <w:szCs w:val="22"/>
          <w:lang w:val="es-ES_tradnl"/>
        </w:rPr>
      </w:pPr>
    </w:p>
    <w:tbl>
      <w:tblPr>
        <w:tblW w:w="9720" w:type="dxa"/>
        <w:tblInd w:w="30" w:type="dxa"/>
        <w:tblLayout w:type="fixed"/>
        <w:tblCellMar>
          <w:left w:w="30" w:type="dxa"/>
          <w:right w:w="30" w:type="dxa"/>
        </w:tblCellMar>
        <w:tblLook w:val="0000" w:firstRow="0" w:lastRow="0" w:firstColumn="0" w:lastColumn="0" w:noHBand="0" w:noVBand="0"/>
      </w:tblPr>
      <w:tblGrid>
        <w:gridCol w:w="2321"/>
        <w:gridCol w:w="983"/>
        <w:gridCol w:w="3623"/>
        <w:gridCol w:w="894"/>
        <w:gridCol w:w="1038"/>
        <w:gridCol w:w="784"/>
        <w:gridCol w:w="77"/>
      </w:tblGrid>
      <w:tr w:rsidR="001B13EB" w:rsidRPr="00B024A0" w:rsidTr="0045089F">
        <w:trPr>
          <w:trHeight w:val="931"/>
          <w:tblHeader/>
        </w:trPr>
        <w:tc>
          <w:tcPr>
            <w:tcW w:w="2340"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Estado</w:t>
            </w:r>
          </w:p>
        </w:tc>
        <w:tc>
          <w:tcPr>
            <w:tcW w:w="990"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Única/</w:t>
            </w:r>
          </w:p>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p>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OMPI</w:t>
            </w:r>
          </w:p>
        </w:tc>
        <w:tc>
          <w:tcPr>
            <w:tcW w:w="3655"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Sin atrasos / Año(s) de atraso(s) </w:t>
            </w:r>
            <w:r w:rsidRPr="00B024A0">
              <w:rPr>
                <w:rFonts w:eastAsia="Times New Roman" w:cs="Times New Roman"/>
                <w:snapToGrid w:val="0"/>
                <w:sz w:val="18"/>
                <w:lang w:val="es-ES_tradnl" w:eastAsia="en-US"/>
              </w:rPr>
              <w:br/>
            </w:r>
            <w:r w:rsidRPr="00B024A0">
              <w:rPr>
                <w:rFonts w:eastAsia="Times New Roman" w:cs="Times New Roman"/>
                <w:i/>
                <w:snapToGrid w:val="0"/>
                <w:sz w:val="18"/>
                <w:lang w:val="es-ES_tradnl" w:eastAsia="en-US"/>
              </w:rPr>
              <w:t>(todo pago parcial se indica con un asterisco)</w:t>
            </w:r>
          </w:p>
        </w:tc>
        <w:tc>
          <w:tcPr>
            <w:tcW w:w="194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Importe total en mora </w:t>
            </w:r>
            <w:r w:rsidRPr="00B024A0">
              <w:rPr>
                <w:rFonts w:eastAsia="Times New Roman" w:cs="Times New Roman"/>
                <w:i/>
                <w:snapToGrid w:val="0"/>
                <w:sz w:val="18"/>
                <w:lang w:val="es-ES_tradnl" w:eastAsia="en-US"/>
              </w:rPr>
              <w:t>(en francos</w:t>
            </w:r>
            <w:r>
              <w:rPr>
                <w:rFonts w:eastAsia="Times New Roman" w:cs="Times New Roman"/>
                <w:i/>
                <w:snapToGrid w:val="0"/>
                <w:sz w:val="18"/>
                <w:lang w:val="es-ES_tradnl" w:eastAsia="en-US"/>
              </w:rPr>
              <w:t xml:space="preserve"> </w:t>
            </w:r>
            <w:r w:rsidRPr="00B024A0">
              <w:rPr>
                <w:rFonts w:eastAsia="Times New Roman" w:cs="Times New Roman"/>
                <w:i/>
                <w:snapToGrid w:val="0"/>
                <w:sz w:val="18"/>
                <w:lang w:val="es-ES_tradnl" w:eastAsia="en-US"/>
              </w:rPr>
              <w:t>suizos)</w:t>
            </w:r>
          </w:p>
        </w:tc>
        <w:tc>
          <w:tcPr>
            <w:tcW w:w="789" w:type="dxa"/>
            <w:gridSpan w:val="2"/>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%.del</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total</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en</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mora</w:t>
            </w:r>
          </w:p>
        </w:tc>
      </w:tr>
      <w:tr w:rsidR="001B13EB" w:rsidRPr="00B024A0" w:rsidTr="0045089F">
        <w:trPr>
          <w:trHeight w:val="369"/>
          <w:tblHeader/>
        </w:trPr>
        <w:tc>
          <w:tcPr>
            <w:tcW w:w="2340"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textAlignment w:val="baseline"/>
              <w:rPr>
                <w:rFonts w:eastAsia="Times New Roman" w:cs="Times New Roman"/>
                <w:snapToGrid w:val="0"/>
                <w:sz w:val="18"/>
                <w:lang w:val="es-ES_tradnl" w:eastAsia="en-US"/>
              </w:rPr>
            </w:pPr>
          </w:p>
        </w:tc>
        <w:tc>
          <w:tcPr>
            <w:tcW w:w="990"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3655"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900"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1046"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c>
          <w:tcPr>
            <w:tcW w:w="789" w:type="dxa"/>
            <w:gridSpan w:val="2"/>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Afganistán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single" w:sz="8" w:space="0" w:color="auto"/>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Albania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Alemania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Andorra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Angola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Antigua y Barbuda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Arabia Saudita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Argelia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Argentina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32.559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0,75</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Armenia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Australia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Austria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Azerbaiyán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Bahamas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Bahrein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5.697</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0,13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Bangladesh</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Barbados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Belarús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Bélgica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Belice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5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Benin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Bhután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Bolivia (Estado Plurinacional de)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07+08+09+10+11+12+13+14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22.792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0,52</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Bosnia y Herzegovina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Botswana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Brasil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91.158</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2,10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Brunei Darussalam</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Bulgaria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Burkina Faso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Burundi</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45.031</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Cabo Verde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Camboya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Camerún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Canadá</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Chad</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7.46</w:t>
            </w:r>
            <w:r w:rsidR="0045089F">
              <w:rPr>
                <w:rFonts w:eastAsia="Times New Roman"/>
                <w:sz w:val="18"/>
                <w:szCs w:val="18"/>
                <w:lang w:val="es-ES_tradnl" w:eastAsia="en-US"/>
              </w:rPr>
              <w:t>0</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52.491</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Chile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China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lastRenderedPageBreak/>
              <w:t>Chipre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Colombia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Comoras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06+07+08+09+10+11+12+13+14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12.816</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0,29</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Congo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Costa Rica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Côte d'Ivoire</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xml:space="preserve">Única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67.072</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19.346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15.434</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101.852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2,34</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Croacia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Cuba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Dinamarca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Djibouti</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4.272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0,10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Dominica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0,33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Ecuador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Egipto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54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El Salvador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Emiratos Árabes Unidos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Eritrea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Eslovaquia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Eslovenia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España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Estados Unidos de América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1.310.800</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30,13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Estonia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xml:space="preserve">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Etiopía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45089F" w:rsidP="009823CF">
            <w:pPr>
              <w:rPr>
                <w:rFonts w:eastAsia="Times New Roman"/>
                <w:sz w:val="18"/>
                <w:szCs w:val="18"/>
                <w:lang w:val="es-ES_tradnl" w:eastAsia="en-US"/>
              </w:rPr>
            </w:pPr>
            <w:r>
              <w:rPr>
                <w:rFonts w:eastAsia="Times New Roman"/>
                <w:sz w:val="18"/>
                <w:szCs w:val="18"/>
                <w:lang w:val="es-ES_tradnl" w:eastAsia="en-US"/>
              </w:rPr>
              <w:t>e</w:t>
            </w:r>
            <w:r w:rsidR="001B13EB" w:rsidRPr="00B024A0">
              <w:rPr>
                <w:rFonts w:eastAsia="Times New Roman"/>
                <w:sz w:val="18"/>
                <w:szCs w:val="18"/>
                <w:lang w:val="es-ES_tradnl" w:eastAsia="en-US"/>
              </w:rPr>
              <w:t>x República Yugoslava de Macedonia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Federación de Rusia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28.213</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0,65</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Fiji</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Filipinas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Finlandia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Francia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Gabón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Gambia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Georgia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Ghana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Granada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0,33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Grecia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Guatemala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Guinea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7.46</w:t>
            </w:r>
            <w:r w:rsidR="0045089F">
              <w:rPr>
                <w:rFonts w:eastAsia="Times New Roman"/>
                <w:sz w:val="18"/>
                <w:szCs w:val="18"/>
                <w:lang w:val="es-ES_tradnl" w:eastAsia="en-US"/>
              </w:rPr>
              <w:t>0</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52.491</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lastRenderedPageBreak/>
              <w:t>Guinea Ecuatorial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4.272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0,10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Guinea-Bissau</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3.858</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48.889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1,12</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Guyana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Haití</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Honduras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11.396</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0,26</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Hungría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Indonesia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Irán (República Islámica del)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Iraq</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11.394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0,26</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Irlanda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Islandia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Israel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Italia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Jamaica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Japón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Jordania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Kazajstán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Kenya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Kirguistán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Kiribati</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Kuwait</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11.395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0,26</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Lesotho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Letonia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Líbano</w:t>
            </w:r>
            <w:r w:rsidRPr="00B024A0">
              <w:rPr>
                <w:rFonts w:eastAsia="Times New Roman" w:cs="Times New Roman"/>
                <w:snapToGrid w:val="0"/>
                <w:sz w:val="18"/>
                <w:vertAlign w:val="superscript"/>
                <w:lang w:val="es-ES_tradnl" w:eastAsia="en-US"/>
              </w:rPr>
              <w:footnoteReference w:id="2"/>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52.127</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20.499</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51.102</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Niza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3.206</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126.934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2,92</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Liberia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Libia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18.395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0,42</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Liechtenstein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Lituania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11.395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0,26</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Luxemburgo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Madagascar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Malasia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Malawi</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Maldivas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lastRenderedPageBreak/>
              <w:t>Malí</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4.185</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0,10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Malta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Marruecos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Mauricio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Mauritania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7.46</w:t>
            </w:r>
            <w:r w:rsidR="0045089F">
              <w:rPr>
                <w:rFonts w:eastAsia="Times New Roman"/>
                <w:sz w:val="18"/>
                <w:szCs w:val="18"/>
                <w:lang w:val="es-ES_tradnl" w:eastAsia="en-US"/>
              </w:rPr>
              <w:t>0</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52.491</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México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Micronesia (Estados Federados de)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25.894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0,60</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Mónaco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Mongolia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Montenegro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Mozambique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Myanmar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Namibia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Nepal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2.848</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Nicaragua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Níger</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10.503</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7.46</w:t>
            </w:r>
            <w:r w:rsidR="0045089F">
              <w:rPr>
                <w:rFonts w:eastAsia="Times New Roman"/>
                <w:sz w:val="18"/>
                <w:szCs w:val="18"/>
                <w:lang w:val="es-ES_tradnl" w:eastAsia="en-US"/>
              </w:rPr>
              <w:t>0</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49.718</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1,14</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Nigeria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324.583</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160.629</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485.212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11,15</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Noruega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Nueva Zelandia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Omán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Países Bajos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Pakistán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Panamá</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407</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Papua Nueva Guinea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Paraguay</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2.982</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Perú</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Polonia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Portugal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Qatar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Reino Unido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Árabe Siria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República Centroafricana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13.276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7.46</w:t>
            </w:r>
            <w:r w:rsidR="0045089F">
              <w:rPr>
                <w:rFonts w:eastAsia="Times New Roman"/>
                <w:sz w:val="18"/>
                <w:szCs w:val="18"/>
                <w:lang w:val="es-ES_tradnl" w:eastAsia="en-US"/>
              </w:rPr>
              <w:t>0</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52.491</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Checa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center"/>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center"/>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center"/>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center"/>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lastRenderedPageBreak/>
              <w:t>República de Corea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de Moldova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80"/>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República Democrática del Congo</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159.959</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90.326</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282.04</w:t>
            </w:r>
            <w:r w:rsidR="0045089F">
              <w:rPr>
                <w:rFonts w:eastAsia="Times New Roman"/>
                <w:sz w:val="18"/>
                <w:szCs w:val="18"/>
                <w:lang w:val="es-ES_tradnl" w:eastAsia="en-US"/>
              </w:rPr>
              <w:t>0</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6,48</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Democrática Popular Lao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República Dominicana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104.096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70*+71+72+73+74+75+76+77+78+79+</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937.794</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80+81+82+83+84+85+86+87+88+89+</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45089F">
            <w:pPr>
              <w:jc w:val="right"/>
              <w:rPr>
                <w:rFonts w:eastAsia="Times New Roman"/>
                <w:sz w:val="18"/>
                <w:szCs w:val="18"/>
                <w:lang w:val="es-ES_tradnl" w:eastAsia="en-US"/>
              </w:rPr>
            </w:pPr>
            <w:r w:rsidRPr="00B024A0">
              <w:rPr>
                <w:rFonts w:eastAsia="Times New Roman"/>
                <w:sz w:val="18"/>
                <w:szCs w:val="18"/>
                <w:lang w:val="es-ES_tradnl" w:eastAsia="en-US"/>
              </w:rPr>
              <w:t>1.041.890</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23,95</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Popular Democrática de Corea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República Unida de Tanzanía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Rumania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Rwanda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Saint Kitts y Nevis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Samoa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San Marino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San Vicente y las Granadinas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Santa Lucía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Santa Sede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Santo Tomé y Príncipe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Senegal</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Serbia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79.996</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91+92+93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135.984</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Niza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93</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6.447</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Locarno</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2.247</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224.674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5,16</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Seychelles</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Sierra Leona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Singapur</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bCs/>
                <w:sz w:val="18"/>
                <w:szCs w:val="18"/>
                <w:lang w:val="es-ES_tradnl" w:eastAsia="en-US"/>
              </w:rPr>
            </w:pPr>
            <w:r w:rsidRPr="00B024A0">
              <w:rPr>
                <w:rFonts w:eastAsia="Times New Roman"/>
                <w:bCs/>
                <w:sz w:val="18"/>
                <w:szCs w:val="18"/>
                <w:lang w:val="es-ES_tradnl" w:eastAsia="en-US"/>
              </w:rPr>
              <w:t>Somalia</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94+95+96+97+98+99+00+01+02+03+04+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31.755</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55"/>
        </w:trPr>
        <w:tc>
          <w:tcPr>
            <w:tcW w:w="2340"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05+06+07+08+09+10+11+12+13+14</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 </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OMPI</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90+91+92+93</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4.452</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36.207</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0,83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Sri Lanka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Sudáfrica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Sudán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Suecia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Suiza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Suriname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Swazilandia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lastRenderedPageBreak/>
              <w:t>Tailandia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Tayikistán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Togo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02*+03+04+05+06+07+08+09+10+11+12+13+14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17.928</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0,41</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Tonga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2.849</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Trinidad y Tabago</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Túnez</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Turkmenistán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Turquía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Ucrania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37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Uganda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2.848</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0,07</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Uruguay</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Uzbekistán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Vanuatu</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49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Venezuela (República Bolivariana de)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13*+14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12.75</w:t>
            </w:r>
            <w:r w:rsidR="0045089F">
              <w:rPr>
                <w:rFonts w:eastAsia="Times New Roman"/>
                <w:sz w:val="18"/>
                <w:szCs w:val="18"/>
                <w:lang w:val="es-ES_tradnl" w:eastAsia="en-US"/>
              </w:rPr>
              <w:t>0</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0,29</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Viet Nam</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Yemen</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1.424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0,03</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Zambia</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Sin atrasos</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45089F">
        <w:tblPrEx>
          <w:tblCellMar>
            <w:left w:w="108" w:type="dxa"/>
            <w:right w:w="108" w:type="dxa"/>
          </w:tblCellMar>
          <w:tblLook w:val="04A0" w:firstRow="1" w:lastRow="0" w:firstColumn="1" w:lastColumn="0" w:noHBand="0" w:noVBand="1"/>
        </w:tblPrEx>
        <w:trPr>
          <w:gridAfter w:val="1"/>
          <w:wAfter w:w="78" w:type="dxa"/>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rPr>
                <w:rFonts w:eastAsia="Times New Roman"/>
                <w:sz w:val="18"/>
                <w:szCs w:val="18"/>
                <w:lang w:val="es-ES_tradnl" w:eastAsia="en-US"/>
              </w:rPr>
            </w:pPr>
            <w:r w:rsidRPr="00B024A0">
              <w:rPr>
                <w:rFonts w:eastAsia="Times New Roman"/>
                <w:sz w:val="18"/>
                <w:szCs w:val="18"/>
                <w:lang w:val="es-ES_tradnl" w:eastAsia="en-US"/>
              </w:rPr>
              <w:t>Zimbabwe</w:t>
            </w:r>
          </w:p>
        </w:tc>
        <w:tc>
          <w:tcPr>
            <w:tcW w:w="99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Única</w:t>
            </w:r>
          </w:p>
        </w:tc>
        <w:tc>
          <w:tcPr>
            <w:tcW w:w="3655"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14*</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46"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504</w:t>
            </w:r>
          </w:p>
        </w:tc>
        <w:tc>
          <w:tcPr>
            <w:tcW w:w="78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0,01</w:t>
            </w:r>
          </w:p>
        </w:tc>
      </w:tr>
    </w:tbl>
    <w:p w:rsidR="001B13EB" w:rsidRPr="00B024A0" w:rsidRDefault="001B13EB" w:rsidP="001B13EB">
      <w:pPr>
        <w:widowControl w:val="0"/>
        <w:adjustRightInd w:val="0"/>
        <w:jc w:val="both"/>
        <w:textAlignment w:val="baseline"/>
        <w:rPr>
          <w:rFonts w:ascii="Times New Roman" w:eastAsia="Times New Roman" w:hAnsi="Times New Roman" w:cs="Times New Roman"/>
          <w:sz w:val="24"/>
          <w:lang w:val="es-ES_tradnl" w:eastAsia="en-US"/>
        </w:rPr>
      </w:pPr>
    </w:p>
    <w:p w:rsidR="001B13EB" w:rsidRPr="00B024A0" w:rsidRDefault="001B13EB" w:rsidP="001B13EB">
      <w:pPr>
        <w:widowControl w:val="0"/>
        <w:adjustRightInd w:val="0"/>
        <w:jc w:val="both"/>
        <w:textAlignment w:val="baseline"/>
        <w:rPr>
          <w:rFonts w:ascii="Times New Roman" w:eastAsia="Times New Roman" w:hAnsi="Times New Roman" w:cs="Times New Roman"/>
          <w:szCs w:val="22"/>
          <w:lang w:val="es-ES_tradnl" w:eastAsia="en-US"/>
        </w:rPr>
      </w:pPr>
    </w:p>
    <w:p w:rsidR="001B13EB" w:rsidRPr="00B024A0" w:rsidRDefault="001B13EB" w:rsidP="001B13EB">
      <w:pPr>
        <w:tabs>
          <w:tab w:val="left" w:pos="2539"/>
          <w:tab w:val="left" w:pos="3718"/>
          <w:tab w:val="left" w:pos="7114"/>
          <w:tab w:val="left" w:pos="7858"/>
          <w:tab w:val="left" w:pos="8784"/>
          <w:tab w:val="left" w:pos="9667"/>
        </w:tabs>
        <w:rPr>
          <w:b/>
          <w:snapToGrid w:val="0"/>
          <w:szCs w:val="22"/>
          <w:lang w:val="es-ES_tradnl"/>
        </w:rPr>
      </w:pPr>
      <w:r w:rsidRPr="00B024A0">
        <w:rPr>
          <w:b/>
          <w:snapToGrid w:val="0"/>
          <w:szCs w:val="22"/>
          <w:lang w:val="es-ES_tradnl"/>
        </w:rPr>
        <w:t>Importe total de los atrasos</w:t>
      </w:r>
    </w:p>
    <w:p w:rsidR="001B13EB" w:rsidRPr="00B024A0" w:rsidRDefault="001B13EB" w:rsidP="001B13EB">
      <w:pPr>
        <w:tabs>
          <w:tab w:val="left" w:pos="2539"/>
          <w:tab w:val="left" w:pos="3718"/>
          <w:tab w:val="left" w:pos="7114"/>
          <w:tab w:val="left" w:pos="7858"/>
          <w:tab w:val="left" w:pos="8784"/>
          <w:tab w:val="left" w:pos="9667"/>
        </w:tabs>
        <w:rPr>
          <w:b/>
          <w:snapToGrid w:val="0"/>
          <w:szCs w:val="22"/>
          <w:lang w:val="es-ES_tradnl"/>
        </w:rPr>
      </w:pPr>
    </w:p>
    <w:tbl>
      <w:tblPr>
        <w:tblW w:w="9390" w:type="dxa"/>
        <w:tblLayout w:type="fixed"/>
        <w:tblCellMar>
          <w:left w:w="30" w:type="dxa"/>
          <w:right w:w="30" w:type="dxa"/>
        </w:tblCellMar>
        <w:tblLook w:val="0000" w:firstRow="0" w:lastRow="0" w:firstColumn="0" w:lastColumn="0" w:noHBand="0" w:noVBand="0"/>
      </w:tblPr>
      <w:tblGrid>
        <w:gridCol w:w="3446"/>
        <w:gridCol w:w="3244"/>
        <w:gridCol w:w="1897"/>
        <w:gridCol w:w="803"/>
      </w:tblGrid>
      <w:tr w:rsidR="001B13EB" w:rsidRPr="00B024A0" w:rsidTr="009823CF">
        <w:trPr>
          <w:cantSplit/>
          <w:trHeight w:val="233"/>
        </w:trPr>
        <w:tc>
          <w:tcPr>
            <w:tcW w:w="3446"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Sistema de contribución única</w:t>
            </w:r>
          </w:p>
        </w:tc>
        <w:tc>
          <w:tcPr>
            <w:tcW w:w="3244"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97" w:type="dxa"/>
            <w:tcBorders>
              <w:top w:val="single" w:sz="2" w:space="0" w:color="auto"/>
              <w:left w:val="single" w:sz="2" w:space="0" w:color="auto"/>
              <w:bottom w:val="single" w:sz="2" w:space="0" w:color="auto"/>
              <w:right w:val="single" w:sz="4"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2.531.983</w:t>
            </w:r>
          </w:p>
        </w:tc>
        <w:tc>
          <w:tcPr>
            <w:tcW w:w="803" w:type="dxa"/>
            <w:tcBorders>
              <w:left w:val="single" w:sz="4"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r>
      <w:tr w:rsidR="001B13EB" w:rsidRPr="00B024A0" w:rsidTr="009823CF">
        <w:trPr>
          <w:cantSplit/>
          <w:trHeight w:val="233"/>
        </w:trPr>
        <w:tc>
          <w:tcPr>
            <w:tcW w:w="3446"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Uniones financiadas mediante contribuciones y la OMPI</w:t>
            </w:r>
          </w:p>
        </w:tc>
        <w:tc>
          <w:tcPr>
            <w:tcW w:w="3244"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97" w:type="dxa"/>
            <w:tcBorders>
              <w:top w:val="single" w:sz="2" w:space="0" w:color="auto"/>
              <w:left w:val="single" w:sz="2" w:space="0" w:color="auto"/>
              <w:bottom w:val="single" w:sz="2" w:space="0" w:color="auto"/>
              <w:right w:val="single" w:sz="4"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1.818.738</w:t>
            </w:r>
          </w:p>
        </w:tc>
        <w:tc>
          <w:tcPr>
            <w:tcW w:w="803" w:type="dxa"/>
            <w:tcBorders>
              <w:left w:val="single" w:sz="4" w:space="0" w:color="auto"/>
              <w:bottom w:val="single" w:sz="4"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r>
      <w:tr w:rsidR="001B13EB" w:rsidRPr="00B024A0" w:rsidTr="009823CF">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c>
          <w:tcPr>
            <w:tcW w:w="3244" w:type="dxa"/>
            <w:tcBorders>
              <w:top w:val="single" w:sz="2" w:space="0" w:color="auto"/>
              <w:left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4.350.721</w:t>
            </w:r>
          </w:p>
        </w:tc>
        <w:tc>
          <w:tcPr>
            <w:tcW w:w="803" w:type="dxa"/>
            <w:tcBorders>
              <w:top w:val="single" w:sz="4"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100,00%</w:t>
            </w:r>
          </w:p>
        </w:tc>
      </w:tr>
    </w:tbl>
    <w:p w:rsidR="001B13EB" w:rsidRPr="00B024A0" w:rsidRDefault="001B13EB" w:rsidP="001B13EB">
      <w:pPr>
        <w:rPr>
          <w:lang w:val="es-ES_tradnl"/>
        </w:rPr>
      </w:pPr>
    </w:p>
    <w:p w:rsidR="001B13EB" w:rsidRPr="00B024A0" w:rsidRDefault="001B13EB" w:rsidP="001B13EB">
      <w:pPr>
        <w:widowControl w:val="0"/>
        <w:adjustRightInd w:val="0"/>
        <w:textAlignment w:val="baseline"/>
        <w:rPr>
          <w:rFonts w:eastAsia="Times New Roman"/>
          <w:b/>
          <w:szCs w:val="22"/>
          <w:lang w:val="es-ES_tradnl" w:eastAsia="en-US"/>
        </w:rPr>
      </w:pPr>
      <w:r w:rsidRPr="00B024A0">
        <w:rPr>
          <w:rFonts w:eastAsia="Times New Roman"/>
          <w:b/>
          <w:szCs w:val="22"/>
          <w:lang w:val="es-ES_tradnl"/>
        </w:rPr>
        <w:t>Observaciones</w:t>
      </w:r>
    </w:p>
    <w:p w:rsidR="001B13EB" w:rsidRPr="00B024A0" w:rsidRDefault="001B13EB" w:rsidP="001B13EB">
      <w:pPr>
        <w:rPr>
          <w:szCs w:val="22"/>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Al 1 de septiembre de 2014, el importe total de las contribuciones atrasadas era de unos 4,35 millones de francos suizos, de los cuales 2,53 millones corresponden al sistema de contribución única, y 1,82 millones a las contribuciones anteriores a 1994 respecto de las Uniones financiadas mediante contribuciones y la OMPI.  El importe total de los atrasos corresponde al 24,7% del importe de las contribuciones pagaderas para 2014, a saber, 17,6 millones de francos suizos. </w:t>
      </w:r>
    </w:p>
    <w:p w:rsidR="001B13EB" w:rsidRPr="00B024A0" w:rsidRDefault="001B13EB" w:rsidP="001B13EB">
      <w:pPr>
        <w:pStyle w:val="Paragraphedeliste"/>
        <w:spacing w:after="220"/>
        <w:ind w:left="0"/>
        <w:rPr>
          <w:szCs w:val="22"/>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 xml:space="preserve">Se comunicará a las Asambleas, durante el examen del presente documento, todo pago que se haga llegar a la Oficina Internacional entre el 1 y </w:t>
      </w:r>
      <w:r w:rsidR="00966451">
        <w:rPr>
          <w:szCs w:val="22"/>
          <w:lang w:val="es-ES_tradnl"/>
        </w:rPr>
        <w:t>el 22 de septiembre de 2014. </w:t>
      </w:r>
      <w:bookmarkStart w:id="5" w:name="_GoBack"/>
      <w:bookmarkEnd w:id="5"/>
    </w:p>
    <w:p w:rsidR="001B13EB" w:rsidRPr="00B024A0" w:rsidRDefault="001B13EB" w:rsidP="001B13EB">
      <w:pPr>
        <w:widowControl w:val="0"/>
        <w:adjustRightInd w:val="0"/>
        <w:textAlignment w:val="baseline"/>
        <w:rPr>
          <w:rFonts w:ascii="Times New Roman" w:eastAsia="Times New Roman" w:hAnsi="Times New Roman" w:cs="Times New Roman"/>
          <w:i/>
          <w:szCs w:val="22"/>
          <w:lang w:val="es-ES_tradnl" w:eastAsia="en-US"/>
        </w:rPr>
      </w:pPr>
    </w:p>
    <w:p w:rsidR="001B13EB" w:rsidRPr="00B024A0" w:rsidRDefault="001B13EB" w:rsidP="001B13EB">
      <w:pPr>
        <w:widowControl w:val="0"/>
        <w:adjustRightInd w:val="0"/>
        <w:textAlignment w:val="baseline"/>
        <w:rPr>
          <w:rFonts w:eastAsia="Times New Roman"/>
          <w:b/>
          <w:szCs w:val="22"/>
          <w:lang w:val="es-ES_tradnl" w:eastAsia="en-US"/>
        </w:rPr>
      </w:pPr>
      <w:r w:rsidRPr="00B024A0">
        <w:rPr>
          <w:rFonts w:eastAsia="Times New Roman"/>
          <w:b/>
          <w:szCs w:val="22"/>
          <w:lang w:val="es-ES_tradnl"/>
        </w:rPr>
        <w:t>Atrasos en las contribuciones anuales de los países menos adelantados correspondientes a los años anteriores a 1990, colocados en una cuenta especial (congelada)</w:t>
      </w:r>
    </w:p>
    <w:p w:rsidR="001B13EB" w:rsidRPr="00B024A0" w:rsidRDefault="001B13EB" w:rsidP="001B13EB">
      <w:pPr>
        <w:widowControl w:val="0"/>
        <w:adjustRightInd w:val="0"/>
        <w:textAlignment w:val="baseline"/>
        <w:rPr>
          <w:rFonts w:eastAsia="Times New Roman"/>
          <w:b/>
          <w:szCs w:val="22"/>
          <w:lang w:val="es-ES_tradnl" w:eastAsia="en-US"/>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 xml:space="preserve">Se recuerda que, de conformidad con la decisión adoptada por la Conferencia de la OMPI y las Asambleas de las Uniones de París y de Berna, en sus períodos ordinarios de sesiones </w:t>
      </w:r>
      <w:r w:rsidRPr="00B024A0">
        <w:rPr>
          <w:szCs w:val="22"/>
          <w:lang w:val="es-ES_tradnl"/>
        </w:rPr>
        <w:lastRenderedPageBreak/>
        <w:t>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  Dichos atrasos en las contribuciones, al 1 de septiembre de 2014, relativos a las Uniones de París y de Berna y a la OMPI, figuran en el cuadro siguiente.  Se comunicará a las Asambleas, durante el examen del presente documento, todo pago que se haga llegar a la Oficina Internacional entre el 1 y el 22 de septiembre de 2014. </w:t>
      </w:r>
    </w:p>
    <w:tbl>
      <w:tblPr>
        <w:tblW w:w="9364" w:type="dxa"/>
        <w:tblInd w:w="30" w:type="dxa"/>
        <w:tblLayout w:type="fixed"/>
        <w:tblCellMar>
          <w:left w:w="30" w:type="dxa"/>
          <w:right w:w="30" w:type="dxa"/>
        </w:tblCellMar>
        <w:tblLook w:val="0000" w:firstRow="0" w:lastRow="0" w:firstColumn="0" w:lastColumn="0" w:noHBand="0" w:noVBand="0"/>
      </w:tblPr>
      <w:tblGrid>
        <w:gridCol w:w="2052"/>
        <w:gridCol w:w="1073"/>
        <w:gridCol w:w="3570"/>
        <w:gridCol w:w="902"/>
        <w:gridCol w:w="898"/>
        <w:gridCol w:w="805"/>
        <w:gridCol w:w="64"/>
      </w:tblGrid>
      <w:tr w:rsidR="001B13EB" w:rsidRPr="00B024A0" w:rsidTr="00D26828">
        <w:trPr>
          <w:trHeight w:val="876"/>
          <w:tblHeader/>
        </w:trPr>
        <w:tc>
          <w:tcPr>
            <w:tcW w:w="2068"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Estado</w:t>
            </w:r>
          </w:p>
        </w:tc>
        <w:tc>
          <w:tcPr>
            <w:tcW w:w="1080"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p>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OMPI</w:t>
            </w:r>
          </w:p>
        </w:tc>
        <w:tc>
          <w:tcPr>
            <w:tcW w:w="3599"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Años(s) de los atrasos </w:t>
            </w:r>
            <w:r w:rsidRPr="00B024A0">
              <w:rPr>
                <w:rFonts w:eastAsia="Times New Roman" w:cs="Times New Roman"/>
                <w:snapToGrid w:val="0"/>
                <w:sz w:val="18"/>
                <w:lang w:val="es-ES_tradnl" w:eastAsia="en-US"/>
              </w:rPr>
              <w:br/>
            </w:r>
            <w:r w:rsidRPr="00B024A0">
              <w:rPr>
                <w:rFonts w:eastAsia="Times New Roman" w:cs="Times New Roman"/>
                <w:i/>
                <w:snapToGrid w:val="0"/>
                <w:sz w:val="18"/>
                <w:lang w:val="es-ES_tradnl" w:eastAsia="en-US"/>
              </w:rPr>
              <w:t>(todo pago parcial se indica con un asterisco)</w:t>
            </w:r>
          </w:p>
        </w:tc>
        <w:tc>
          <w:tcPr>
            <w:tcW w:w="181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Importe total en mora </w:t>
            </w:r>
            <w:r w:rsidRPr="00B024A0">
              <w:rPr>
                <w:rFonts w:eastAsia="Times New Roman" w:cs="Times New Roman"/>
                <w:i/>
                <w:snapToGrid w:val="0"/>
                <w:sz w:val="18"/>
                <w:lang w:val="es-ES_tradnl" w:eastAsia="en-US"/>
              </w:rPr>
              <w:t>(en francos suizos)</w:t>
            </w:r>
          </w:p>
        </w:tc>
        <w:tc>
          <w:tcPr>
            <w:tcW w:w="797" w:type="dxa"/>
            <w:gridSpan w:val="2"/>
            <w:vMerge w:val="restart"/>
            <w:tcBorders>
              <w:top w:val="single" w:sz="2" w:space="0" w:color="auto"/>
              <w:left w:val="single" w:sz="2" w:space="0" w:color="auto"/>
              <w:bottom w:val="single" w:sz="4"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del total en mora</w:t>
            </w:r>
          </w:p>
        </w:tc>
      </w:tr>
      <w:tr w:rsidR="001B13EB" w:rsidRPr="00B024A0" w:rsidTr="00D26828">
        <w:trPr>
          <w:trHeight w:val="502"/>
          <w:tblHeader/>
        </w:trPr>
        <w:tc>
          <w:tcPr>
            <w:tcW w:w="2068"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1080"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3599"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908"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904"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c>
          <w:tcPr>
            <w:tcW w:w="797" w:type="dxa"/>
            <w:gridSpan w:val="2"/>
            <w:vMerge/>
            <w:tcBorders>
              <w:left w:val="single" w:sz="2" w:space="0" w:color="auto"/>
              <w:bottom w:val="single" w:sz="4"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single" w:sz="8" w:space="0" w:color="auto"/>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Burkina Faso</w:t>
            </w:r>
          </w:p>
        </w:tc>
        <w:tc>
          <w:tcPr>
            <w:tcW w:w="1080" w:type="dxa"/>
            <w:tcBorders>
              <w:top w:val="single" w:sz="8" w:space="0" w:color="auto"/>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single" w:sz="8" w:space="0" w:color="auto"/>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78+79+80+81+82+83+84+85+86+87+88+</w:t>
            </w:r>
          </w:p>
        </w:tc>
        <w:tc>
          <w:tcPr>
            <w:tcW w:w="908" w:type="dxa"/>
            <w:tcBorders>
              <w:top w:val="single" w:sz="8" w:space="0" w:color="auto"/>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214.738</w:t>
            </w:r>
          </w:p>
        </w:tc>
        <w:tc>
          <w:tcPr>
            <w:tcW w:w="899" w:type="dxa"/>
            <w:tcBorders>
              <w:top w:val="single" w:sz="8" w:space="0" w:color="auto"/>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single" w:sz="8" w:space="0" w:color="auto"/>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77*+78+79+80+81+82+83+84+85+86+87+</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136.129</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20"/>
                <w:lang w:val="es-ES_tradnl" w:eastAsia="en-US"/>
              </w:rPr>
            </w:pPr>
            <w:r w:rsidRPr="00B024A0">
              <w:rPr>
                <w:rFonts w:eastAsia="Times New Roman"/>
                <w:sz w:val="20"/>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350.867</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8,06</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Burundi</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78+79+80+81+82+83+84+85+86+87+88+</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214.738</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4,93</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Chad</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71+72+73+74+75+76+77+78+79+80+81+</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250.957</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82+83+84+85+86+87+88+89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72+73+74+75+76+77+78+79+80+81+82+</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156.387</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20"/>
                <w:lang w:val="es-ES_tradnl" w:eastAsia="en-US"/>
              </w:rPr>
            </w:pPr>
            <w:r w:rsidRPr="00B024A0">
              <w:rPr>
                <w:rFonts w:eastAsia="Times New Roman"/>
                <w:sz w:val="20"/>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407.344</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9,35</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Gambia</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OMPI</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F42932">
            <w:pPr>
              <w:jc w:val="right"/>
              <w:rPr>
                <w:rFonts w:eastAsia="Times New Roman"/>
                <w:sz w:val="18"/>
                <w:szCs w:val="18"/>
                <w:lang w:val="es-ES_tradnl" w:eastAsia="en-US"/>
              </w:rPr>
            </w:pPr>
            <w:r w:rsidRPr="00B024A0">
              <w:rPr>
                <w:rFonts w:eastAsia="Times New Roman"/>
                <w:sz w:val="18"/>
                <w:szCs w:val="18"/>
                <w:lang w:val="es-ES_tradnl" w:eastAsia="en-US"/>
              </w:rPr>
              <w:t>55.25</w:t>
            </w:r>
            <w:r w:rsidR="00F42932">
              <w:rPr>
                <w:rFonts w:eastAsia="Times New Roman"/>
                <w:sz w:val="18"/>
                <w:szCs w:val="18"/>
                <w:lang w:val="es-ES_tradnl" w:eastAsia="en-US"/>
              </w:rPr>
              <w:t>0</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1,27</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Guinea</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148.779</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81.293</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230.072</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5,28</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Guinea-Bissau</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23.213</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0,53</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95"/>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Haití</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79*+80+81+82+83+84+85+86+87+88+89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347.037</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7,97</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Malí</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84+85+86+87+88+89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132.377</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76*+77+78+79+80+81+82+</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163.926</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296.303</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6,80</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Mauritania</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77*+78+79+80+81+82+83+84+85+86+</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219.12</w:t>
            </w:r>
            <w:r w:rsidR="00F42932">
              <w:rPr>
                <w:rFonts w:eastAsia="Times New Roman"/>
                <w:sz w:val="18"/>
                <w:szCs w:val="18"/>
                <w:lang w:val="es-ES_tradnl" w:eastAsia="en-US"/>
              </w:rPr>
              <w:t>0</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74+75+76+77+78+79+80+81+82+83+84+</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150.618</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20"/>
                <w:lang w:val="es-ES_tradnl" w:eastAsia="en-US"/>
              </w:rPr>
            </w:pPr>
            <w:r w:rsidRPr="00B024A0">
              <w:rPr>
                <w:rFonts w:eastAsia="Times New Roman"/>
                <w:sz w:val="20"/>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7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85+86+87+ 88+89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369.738</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8,49</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Níger</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81+82+83+84+85+86+87+88+89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179.097</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95"/>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80*+81+82+83+84+85+86+87+88+89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109.915</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289.012</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6,63</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80"/>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República Centroafricana</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76*+77+78+79+80+81+82+83+84+85+</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273.509</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255"/>
        </w:trPr>
        <w:tc>
          <w:tcPr>
            <w:tcW w:w="2068" w:type="dxa"/>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3599"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86+87+88+89</w:t>
            </w:r>
          </w:p>
        </w:tc>
        <w:tc>
          <w:tcPr>
            <w:tcW w:w="908"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99"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1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65" w:type="dxa"/>
          <w:trHeight w:val="495"/>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5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80*+81+82+83+84+85+86+87+88+89</w:t>
            </w:r>
          </w:p>
        </w:tc>
        <w:tc>
          <w:tcPr>
            <w:tcW w:w="908"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114.858</w:t>
            </w:r>
          </w:p>
        </w:tc>
        <w:tc>
          <w:tcPr>
            <w:tcW w:w="899"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388.367</w:t>
            </w:r>
          </w:p>
        </w:tc>
        <w:tc>
          <w:tcPr>
            <w:tcW w:w="81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8,92</w:t>
            </w:r>
          </w:p>
        </w:tc>
      </w:tr>
    </w:tbl>
    <w:p w:rsidR="00F42932" w:rsidRDefault="00F42932">
      <w:r>
        <w:br w:type="page"/>
      </w:r>
    </w:p>
    <w:tbl>
      <w:tblPr>
        <w:tblW w:w="9356" w:type="dxa"/>
        <w:tblInd w:w="30" w:type="dxa"/>
        <w:tblLayout w:type="fixed"/>
        <w:tblCellMar>
          <w:left w:w="30" w:type="dxa"/>
          <w:right w:w="30" w:type="dxa"/>
        </w:tblCellMar>
        <w:tblLook w:val="0000" w:firstRow="0" w:lastRow="0" w:firstColumn="0" w:lastColumn="0" w:noHBand="0" w:noVBand="0"/>
      </w:tblPr>
      <w:tblGrid>
        <w:gridCol w:w="6"/>
        <w:gridCol w:w="2051"/>
        <w:gridCol w:w="1071"/>
        <w:gridCol w:w="3565"/>
        <w:gridCol w:w="893"/>
        <w:gridCol w:w="897"/>
        <w:gridCol w:w="8"/>
        <w:gridCol w:w="788"/>
        <w:gridCol w:w="77"/>
      </w:tblGrid>
      <w:tr w:rsidR="00F42932" w:rsidRPr="00B024A0" w:rsidTr="00D26828">
        <w:trPr>
          <w:gridBefore w:val="1"/>
          <w:trHeight w:val="876"/>
          <w:tblHeader/>
        </w:trPr>
        <w:tc>
          <w:tcPr>
            <w:tcW w:w="2070" w:type="dxa"/>
            <w:tcBorders>
              <w:top w:val="single" w:sz="2" w:space="0" w:color="auto"/>
              <w:left w:val="single" w:sz="2" w:space="0" w:color="auto"/>
              <w:bottom w:val="single" w:sz="4" w:space="0" w:color="auto"/>
              <w:right w:val="single" w:sz="2" w:space="0" w:color="auto"/>
            </w:tcBorders>
            <w:shd w:val="pct10" w:color="auto" w:fill="FFFFFF"/>
            <w:vAlign w:val="center"/>
          </w:tcPr>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lastRenderedPageBreak/>
              <w:t>Estado</w:t>
            </w:r>
          </w:p>
        </w:tc>
        <w:tc>
          <w:tcPr>
            <w:tcW w:w="1080" w:type="dxa"/>
            <w:tcBorders>
              <w:top w:val="single" w:sz="2" w:space="0" w:color="auto"/>
              <w:left w:val="single" w:sz="2" w:space="0" w:color="auto"/>
              <w:bottom w:val="single" w:sz="4" w:space="0" w:color="auto"/>
              <w:right w:val="single" w:sz="2" w:space="0" w:color="auto"/>
            </w:tcBorders>
            <w:shd w:val="pct10" w:color="auto" w:fill="FFFFFF"/>
            <w:vAlign w:val="center"/>
          </w:tcPr>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p>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OMPI</w:t>
            </w:r>
          </w:p>
        </w:tc>
        <w:tc>
          <w:tcPr>
            <w:tcW w:w="3600" w:type="dxa"/>
            <w:tcBorders>
              <w:top w:val="single" w:sz="2" w:space="0" w:color="auto"/>
              <w:left w:val="single" w:sz="2" w:space="0" w:color="auto"/>
              <w:bottom w:val="single" w:sz="4" w:space="0" w:color="auto"/>
              <w:right w:val="single" w:sz="2" w:space="0" w:color="auto"/>
            </w:tcBorders>
            <w:shd w:val="pct10" w:color="auto" w:fill="FFFFFF"/>
            <w:vAlign w:val="center"/>
          </w:tcPr>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Años(s) de los atrasos </w:t>
            </w:r>
            <w:r w:rsidRPr="00B024A0">
              <w:rPr>
                <w:rFonts w:eastAsia="Times New Roman" w:cs="Times New Roman"/>
                <w:snapToGrid w:val="0"/>
                <w:sz w:val="18"/>
                <w:lang w:val="es-ES_tradnl" w:eastAsia="en-US"/>
              </w:rPr>
              <w:br/>
            </w:r>
            <w:r w:rsidRPr="00B024A0">
              <w:rPr>
                <w:rFonts w:eastAsia="Times New Roman" w:cs="Times New Roman"/>
                <w:i/>
                <w:snapToGrid w:val="0"/>
                <w:sz w:val="18"/>
                <w:lang w:val="es-ES_tradnl" w:eastAsia="en-US"/>
              </w:rPr>
              <w:t>(todo pago parcial se indica con un asterisco)</w:t>
            </w:r>
          </w:p>
        </w:tc>
        <w:tc>
          <w:tcPr>
            <w:tcW w:w="1812"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xml:space="preserve">Importe total en mora </w:t>
            </w:r>
            <w:r w:rsidRPr="00B024A0">
              <w:rPr>
                <w:rFonts w:eastAsia="Times New Roman" w:cs="Times New Roman"/>
                <w:i/>
                <w:snapToGrid w:val="0"/>
                <w:sz w:val="18"/>
                <w:lang w:val="es-ES_tradnl" w:eastAsia="en-US"/>
              </w:rPr>
              <w:t>(en francos suizos)</w:t>
            </w:r>
          </w:p>
        </w:tc>
        <w:tc>
          <w:tcPr>
            <w:tcW w:w="794" w:type="dxa"/>
            <w:gridSpan w:val="2"/>
            <w:tcBorders>
              <w:top w:val="single" w:sz="2" w:space="0" w:color="auto"/>
              <w:left w:val="single" w:sz="2" w:space="0" w:color="auto"/>
              <w:bottom w:val="single" w:sz="4" w:space="0" w:color="auto"/>
              <w:right w:val="single" w:sz="2" w:space="0" w:color="auto"/>
            </w:tcBorders>
            <w:shd w:val="pct10" w:color="auto" w:fill="FFFFFF"/>
            <w:vAlign w:val="center"/>
          </w:tcPr>
          <w:p w:rsidR="00F42932" w:rsidRPr="00B024A0" w:rsidRDefault="00F42932"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 del total en mora</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480"/>
        </w:trPr>
        <w:tc>
          <w:tcPr>
            <w:tcW w:w="2070" w:type="dxa"/>
            <w:gridSpan w:val="2"/>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República Democrática del Congo</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0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81*+82+83+84+85+86+87+88+89</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F42932">
            <w:pPr>
              <w:jc w:val="right"/>
              <w:rPr>
                <w:rFonts w:eastAsia="Times New Roman"/>
                <w:sz w:val="18"/>
                <w:szCs w:val="18"/>
                <w:lang w:val="es-ES_tradnl" w:eastAsia="en-US"/>
              </w:rPr>
            </w:pPr>
            <w:r w:rsidRPr="00B024A0">
              <w:rPr>
                <w:rFonts w:eastAsia="Times New Roman"/>
                <w:sz w:val="18"/>
                <w:szCs w:val="18"/>
                <w:lang w:val="es-ES_tradnl" w:eastAsia="en-US"/>
              </w:rPr>
              <w:t>500.2</w:t>
            </w:r>
            <w:r w:rsidR="00F42932">
              <w:rPr>
                <w:rFonts w:eastAsia="Times New Roman"/>
                <w:sz w:val="18"/>
                <w:szCs w:val="18"/>
                <w:lang w:val="es-ES_tradnl" w:eastAsia="en-US"/>
              </w:rPr>
              <w:t>00</w:t>
            </w:r>
          </w:p>
        </w:tc>
        <w:tc>
          <w:tcPr>
            <w:tcW w:w="904"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02" w:type="dxa"/>
            <w:gridSpan w:val="2"/>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495"/>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81*+82+83+84+85+86+87+88+89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301.015</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801.215</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18,39</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270"/>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República Unida de Tanzanía</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84*+85+86+87+88+89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119.223</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2,74</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270"/>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Somalia</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OMPI</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F42932">
            <w:pPr>
              <w:jc w:val="right"/>
              <w:rPr>
                <w:rFonts w:eastAsia="Times New Roman"/>
                <w:sz w:val="18"/>
                <w:szCs w:val="18"/>
                <w:lang w:val="es-ES_tradnl" w:eastAsia="en-US"/>
              </w:rPr>
            </w:pPr>
            <w:r w:rsidRPr="00B024A0">
              <w:rPr>
                <w:rFonts w:eastAsia="Times New Roman"/>
                <w:sz w:val="18"/>
                <w:szCs w:val="18"/>
                <w:lang w:val="es-ES_tradnl" w:eastAsia="en-US"/>
              </w:rPr>
              <w:t>55.25</w:t>
            </w:r>
            <w:r w:rsidR="00F42932">
              <w:rPr>
                <w:rFonts w:eastAsia="Times New Roman"/>
                <w:sz w:val="18"/>
                <w:szCs w:val="18"/>
                <w:lang w:val="es-ES_tradnl" w:eastAsia="en-US"/>
              </w:rPr>
              <w:t>0</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1,27</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255"/>
        </w:trPr>
        <w:tc>
          <w:tcPr>
            <w:tcW w:w="2070" w:type="dxa"/>
            <w:gridSpan w:val="2"/>
            <w:tcBorders>
              <w:top w:val="nil"/>
              <w:left w:val="single" w:sz="8" w:space="0" w:color="auto"/>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Togo</w:t>
            </w:r>
          </w:p>
        </w:tc>
        <w:tc>
          <w:tcPr>
            <w:tcW w:w="108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00" w:type="dxa"/>
            <w:tcBorders>
              <w:top w:val="nil"/>
              <w:left w:val="nil"/>
              <w:bottom w:val="nil"/>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84+85+86+87+88+89</w:t>
            </w:r>
          </w:p>
        </w:tc>
        <w:tc>
          <w:tcPr>
            <w:tcW w:w="900"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132.377</w:t>
            </w:r>
          </w:p>
        </w:tc>
        <w:tc>
          <w:tcPr>
            <w:tcW w:w="904" w:type="dxa"/>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802" w:type="dxa"/>
            <w:gridSpan w:val="2"/>
            <w:tcBorders>
              <w:top w:val="nil"/>
              <w:left w:val="nil"/>
              <w:bottom w:val="nil"/>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270"/>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Berna</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83*+84+85+86+87+88+89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87.785</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220.162</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5,05</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495"/>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Uganda</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París</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81*+82+83+84+85+86+87+88+89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168.885</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3,88</w:t>
            </w:r>
          </w:p>
        </w:tc>
      </w:tr>
      <w:tr w:rsidR="001B13EB" w:rsidRPr="00B024A0" w:rsidTr="00D26828">
        <w:tblPrEx>
          <w:tblCellMar>
            <w:left w:w="108" w:type="dxa"/>
            <w:right w:w="108" w:type="dxa"/>
          </w:tblCellMar>
          <w:tblLook w:val="04A0" w:firstRow="1" w:lastRow="0" w:firstColumn="1" w:lastColumn="0" w:noHBand="0" w:noVBand="1"/>
        </w:tblPrEx>
        <w:trPr>
          <w:gridAfter w:val="1"/>
          <w:wAfter w:w="78" w:type="dxa"/>
          <w:trHeight w:val="270"/>
        </w:trPr>
        <w:tc>
          <w:tcPr>
            <w:tcW w:w="2070" w:type="dxa"/>
            <w:gridSpan w:val="2"/>
            <w:tcBorders>
              <w:top w:val="nil"/>
              <w:left w:val="single" w:sz="8" w:space="0" w:color="auto"/>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Yemen</w:t>
            </w:r>
          </w:p>
        </w:tc>
        <w:tc>
          <w:tcPr>
            <w:tcW w:w="108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OMPI</w:t>
            </w:r>
          </w:p>
        </w:tc>
        <w:tc>
          <w:tcPr>
            <w:tcW w:w="36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both"/>
              <w:rPr>
                <w:rFonts w:eastAsia="Times New Roman"/>
                <w:sz w:val="18"/>
                <w:szCs w:val="18"/>
                <w:lang w:val="es-ES_tradnl" w:eastAsia="en-US"/>
              </w:rPr>
            </w:pPr>
            <w:r w:rsidRPr="00B024A0">
              <w:rPr>
                <w:rFonts w:eastAsia="Times New Roman"/>
                <w:sz w:val="18"/>
                <w:szCs w:val="18"/>
                <w:lang w:val="es-ES_tradnl" w:eastAsia="en-US"/>
              </w:rPr>
              <w:t>87*+88+89</w:t>
            </w:r>
          </w:p>
        </w:tc>
        <w:tc>
          <w:tcPr>
            <w:tcW w:w="900"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 </w:t>
            </w:r>
          </w:p>
        </w:tc>
        <w:tc>
          <w:tcPr>
            <w:tcW w:w="904" w:type="dxa"/>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19.142</w:t>
            </w:r>
          </w:p>
        </w:tc>
        <w:tc>
          <w:tcPr>
            <w:tcW w:w="802" w:type="dxa"/>
            <w:gridSpan w:val="2"/>
            <w:tcBorders>
              <w:top w:val="nil"/>
              <w:left w:val="nil"/>
              <w:bottom w:val="single" w:sz="8" w:space="0" w:color="auto"/>
              <w:right w:val="single" w:sz="8" w:space="0" w:color="auto"/>
            </w:tcBorders>
            <w:shd w:val="clear" w:color="auto" w:fill="auto"/>
            <w:vAlign w:val="center"/>
            <w:hideMark/>
          </w:tcPr>
          <w:p w:rsidR="001B13EB" w:rsidRPr="00B024A0" w:rsidRDefault="001B13EB" w:rsidP="009823CF">
            <w:pPr>
              <w:jc w:val="right"/>
              <w:rPr>
                <w:rFonts w:eastAsia="Times New Roman"/>
                <w:sz w:val="18"/>
                <w:szCs w:val="18"/>
                <w:lang w:val="es-ES_tradnl" w:eastAsia="en-US"/>
              </w:rPr>
            </w:pPr>
            <w:r w:rsidRPr="00B024A0">
              <w:rPr>
                <w:rFonts w:eastAsia="Times New Roman"/>
                <w:sz w:val="18"/>
                <w:szCs w:val="18"/>
                <w:lang w:val="es-ES_tradnl" w:eastAsia="en-US"/>
              </w:rPr>
              <w:t>0,44</w:t>
            </w:r>
          </w:p>
        </w:tc>
      </w:tr>
    </w:tbl>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rPr>
          <w:lang w:val="es-ES_tradnl"/>
        </w:rPr>
      </w:pPr>
    </w:p>
    <w:p w:rsidR="001B13EB" w:rsidRPr="00B024A0" w:rsidRDefault="001B13EB" w:rsidP="001B13EB">
      <w:pPr>
        <w:widowControl w:val="0"/>
        <w:adjustRightInd w:val="0"/>
        <w:textAlignment w:val="baseline"/>
        <w:rPr>
          <w:snapToGrid w:val="0"/>
          <w:szCs w:val="22"/>
          <w:lang w:val="es-ES_tradnl"/>
        </w:rPr>
      </w:pPr>
      <w:r w:rsidRPr="00B024A0">
        <w:rPr>
          <w:b/>
          <w:snapToGrid w:val="0"/>
          <w:szCs w:val="22"/>
          <w:lang w:val="es-ES_tradnl"/>
        </w:rPr>
        <w:t>Importe total en mora</w:t>
      </w:r>
      <w:r w:rsidRPr="00B024A0">
        <w:rPr>
          <w:b/>
          <w:snapToGrid w:val="0"/>
          <w:szCs w:val="22"/>
          <w:lang w:val="es-ES_tradnl"/>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1B13EB" w:rsidRPr="00B024A0" w:rsidTr="009823CF">
        <w:trPr>
          <w:cantSplit/>
          <w:trHeight w:val="240"/>
          <w:jc w:val="center"/>
        </w:trPr>
        <w:tc>
          <w:tcPr>
            <w:tcW w:w="2543" w:type="dxa"/>
            <w:tcBorders>
              <w:top w:val="single" w:sz="2" w:space="0" w:color="auto"/>
              <w:lef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924" w:type="dxa"/>
            <w:tcBorders>
              <w:top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08"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2.924.250</w:t>
            </w:r>
          </w:p>
        </w:tc>
        <w:tc>
          <w:tcPr>
            <w:tcW w:w="828" w:type="dxa"/>
            <w:tcBorders>
              <w:lef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r>
      <w:tr w:rsidR="001B13EB" w:rsidRPr="00B024A0" w:rsidTr="009823CF">
        <w:trPr>
          <w:cantSplit/>
          <w:trHeight w:val="240"/>
          <w:jc w:val="center"/>
        </w:trPr>
        <w:tc>
          <w:tcPr>
            <w:tcW w:w="2543" w:type="dxa"/>
            <w:tcBorders>
              <w:lef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Berna</w:t>
            </w:r>
          </w:p>
        </w:tc>
        <w:tc>
          <w:tcPr>
            <w:tcW w:w="924" w:type="dxa"/>
            <w:tcBorders>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08" w:type="dxa"/>
            <w:tcBorders>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1.301.926</w:t>
            </w:r>
          </w:p>
        </w:tc>
        <w:tc>
          <w:tcPr>
            <w:tcW w:w="828" w:type="dxa"/>
            <w:tcBorders>
              <w:lef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r>
      <w:tr w:rsidR="001B13EB" w:rsidRPr="00B024A0" w:rsidTr="009823CF">
        <w:trPr>
          <w:cantSplit/>
          <w:trHeight w:val="240"/>
          <w:jc w:val="center"/>
        </w:trPr>
        <w:tc>
          <w:tcPr>
            <w:tcW w:w="2543" w:type="dxa"/>
            <w:tcBorders>
              <w:left w:val="single" w:sz="2" w:space="0" w:color="auto"/>
              <w:bottom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OMPI</w:t>
            </w:r>
          </w:p>
        </w:tc>
        <w:tc>
          <w:tcPr>
            <w:tcW w:w="924" w:type="dxa"/>
            <w:tcBorders>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08"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129.642</w:t>
            </w:r>
          </w:p>
        </w:tc>
        <w:tc>
          <w:tcPr>
            <w:tcW w:w="828" w:type="dxa"/>
            <w:tcBorders>
              <w:left w:val="single" w:sz="2" w:space="0" w:color="auto"/>
              <w:bottom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r>
      <w:tr w:rsidR="001B13EB" w:rsidRPr="00B024A0" w:rsidTr="009823CF">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c>
          <w:tcPr>
            <w:tcW w:w="924" w:type="dxa"/>
            <w:tcBorders>
              <w:top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4.355.818</w:t>
            </w:r>
          </w:p>
        </w:tc>
        <w:tc>
          <w:tcPr>
            <w:tcW w:w="828"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100,00%</w:t>
            </w:r>
          </w:p>
        </w:tc>
      </w:tr>
    </w:tbl>
    <w:p w:rsidR="001B13EB" w:rsidRPr="00B024A0" w:rsidRDefault="001B13EB" w:rsidP="001B13EB">
      <w:pPr>
        <w:rPr>
          <w:lang w:val="es-ES_tradnl"/>
        </w:rPr>
      </w:pPr>
    </w:p>
    <w:p w:rsidR="001B13EB" w:rsidRPr="00B024A0" w:rsidRDefault="001B13EB" w:rsidP="001B13EB">
      <w:pPr>
        <w:rPr>
          <w:lang w:val="es-ES_tradnl"/>
        </w:rPr>
      </w:pPr>
      <w:r w:rsidRPr="00B024A0">
        <w:rPr>
          <w:lang w:val="es-ES_tradnl"/>
        </w:rPr>
        <w:br w:type="page"/>
      </w:r>
    </w:p>
    <w:p w:rsidR="001B13EB" w:rsidRPr="00B024A0" w:rsidRDefault="001B13EB" w:rsidP="001B13EB">
      <w:pPr>
        <w:rPr>
          <w:lang w:val="es-ES_tradnl"/>
        </w:rPr>
      </w:pPr>
    </w:p>
    <w:p w:rsidR="001B13EB" w:rsidRPr="00B024A0" w:rsidRDefault="001B13EB" w:rsidP="001B13EB">
      <w:pPr>
        <w:widowControl w:val="0"/>
        <w:adjustRightInd w:val="0"/>
        <w:jc w:val="center"/>
        <w:textAlignment w:val="baseline"/>
        <w:rPr>
          <w:rFonts w:eastAsia="Times New Roman"/>
          <w:iCs/>
          <w:szCs w:val="22"/>
          <w:u w:val="single"/>
          <w:lang w:val="es-ES_tradnl" w:eastAsia="en-US"/>
        </w:rPr>
      </w:pPr>
      <w:r w:rsidRPr="00B024A0">
        <w:rPr>
          <w:rFonts w:eastAsia="Times New Roman"/>
          <w:iCs/>
          <w:szCs w:val="22"/>
          <w:u w:val="single"/>
          <w:lang w:val="es-ES_tradnl"/>
        </w:rPr>
        <w:t>Importes adeudados a los fondos de operaciones</w:t>
      </w:r>
    </w:p>
    <w:p w:rsidR="001B13EB" w:rsidRPr="00B024A0" w:rsidRDefault="001B13EB" w:rsidP="001B13EB">
      <w:pPr>
        <w:widowControl w:val="0"/>
        <w:adjustRightInd w:val="0"/>
        <w:jc w:val="both"/>
        <w:textAlignment w:val="baseline"/>
        <w:rPr>
          <w:rFonts w:eastAsia="Times New Roman"/>
          <w:szCs w:val="22"/>
          <w:lang w:val="es-ES_tradnl" w:eastAsia="en-US"/>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En el cuadro siguiente figuran los importes adeudados por algunos Estados, al 1 de septiembre de 2014, a los fondos de operaciones que se han constituido, a saber, los de dos Uniones financiadas mediante contribuciones (París y Berna).  Se comunicará a las Asambleas, durante el examen del presente documento, todo pago que se haga llegar a la Oficina Internacional entre el 1 y el 22 de septiembre de 2014. </w:t>
      </w:r>
    </w:p>
    <w:p w:rsidR="001B13EB" w:rsidRPr="00B024A0" w:rsidRDefault="001B13EB" w:rsidP="001B13EB">
      <w:pPr>
        <w:pStyle w:val="Paragraphedeliste"/>
        <w:spacing w:after="220"/>
        <w:ind w:left="0"/>
        <w:rPr>
          <w:szCs w:val="22"/>
          <w:lang w:val="es-ES_tradnl"/>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193"/>
      </w:tblGrid>
      <w:tr w:rsidR="001B13EB" w:rsidRPr="00B024A0" w:rsidTr="009823CF">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Estado</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p>
        </w:tc>
        <w:tc>
          <w:tcPr>
            <w:tcW w:w="247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Importe adeudado</w:t>
            </w:r>
          </w:p>
          <w:p w:rsidR="001B13EB" w:rsidRPr="00B024A0" w:rsidRDefault="001B13EB" w:rsidP="009823CF">
            <w:pPr>
              <w:widowControl w:val="0"/>
              <w:adjustRightInd w:val="0"/>
              <w:jc w:val="center"/>
              <w:textAlignment w:val="baseline"/>
              <w:rPr>
                <w:rFonts w:eastAsia="Times New Roman" w:cs="Times New Roman"/>
                <w:i/>
                <w:snapToGrid w:val="0"/>
                <w:sz w:val="18"/>
                <w:lang w:val="es-ES_tradnl" w:eastAsia="en-US"/>
              </w:rPr>
            </w:pPr>
            <w:r w:rsidRPr="00B024A0">
              <w:rPr>
                <w:rFonts w:eastAsia="Times New Roman" w:cs="Times New Roman"/>
                <w:i/>
                <w:snapToGrid w:val="0"/>
                <w:sz w:val="18"/>
                <w:lang w:val="es-ES_tradnl" w:eastAsia="en-US"/>
              </w:rPr>
              <w:t>(en francos suizos)</w:t>
            </w:r>
          </w:p>
        </w:tc>
      </w:tr>
      <w:tr w:rsidR="001B13EB" w:rsidRPr="00B024A0" w:rsidTr="009823CF">
        <w:trPr>
          <w:trHeight w:val="289"/>
          <w:tblHeader/>
        </w:trPr>
        <w:tc>
          <w:tcPr>
            <w:tcW w:w="3307"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3163" w:type="dxa"/>
            <w:vMerge/>
            <w:tcBorders>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1277"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1193" w:type="dxa"/>
            <w:tcBorders>
              <w:top w:val="single" w:sz="2" w:space="0" w:color="auto"/>
              <w:left w:val="single" w:sz="2" w:space="0" w:color="auto"/>
              <w:bottom w:val="single" w:sz="2" w:space="0" w:color="auto"/>
              <w:right w:val="single" w:sz="2" w:space="0" w:color="auto"/>
            </w:tcBorders>
            <w:shd w:val="pct10" w:color="auto" w:fill="FFFFFF"/>
            <w:vAlign w:val="center"/>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r>
      <w:tr w:rsidR="001B13EB" w:rsidRPr="00B024A0" w:rsidTr="009823CF">
        <w:trPr>
          <w:trHeight w:val="240"/>
        </w:trPr>
        <w:tc>
          <w:tcPr>
            <w:tcW w:w="330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Burundi</w:t>
            </w:r>
          </w:p>
        </w:tc>
        <w:tc>
          <w:tcPr>
            <w:tcW w:w="316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p>
        </w:tc>
        <w:tc>
          <w:tcPr>
            <w:tcW w:w="119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7.508</w:t>
            </w:r>
          </w:p>
        </w:tc>
      </w:tr>
      <w:tr w:rsidR="001B13EB" w:rsidRPr="00B024A0" w:rsidTr="009823CF">
        <w:trPr>
          <w:trHeight w:val="240"/>
        </w:trPr>
        <w:tc>
          <w:tcPr>
            <w:tcW w:w="3307"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Chad</w:t>
            </w:r>
          </w:p>
        </w:tc>
        <w:tc>
          <w:tcPr>
            <w:tcW w:w="3163"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6.377</w:t>
            </w:r>
          </w:p>
        </w:tc>
        <w:tc>
          <w:tcPr>
            <w:tcW w:w="1193"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r>
      <w:tr w:rsidR="001B13EB" w:rsidRPr="00B024A0" w:rsidTr="009823CF">
        <w:trPr>
          <w:trHeight w:val="240"/>
        </w:trPr>
        <w:tc>
          <w:tcPr>
            <w:tcW w:w="3307"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3163"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Berna</w:t>
            </w:r>
          </w:p>
        </w:tc>
        <w:tc>
          <w:tcPr>
            <w:tcW w:w="1277"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1.980</w:t>
            </w:r>
          </w:p>
        </w:tc>
        <w:tc>
          <w:tcPr>
            <w:tcW w:w="1193"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8.357</w:t>
            </w:r>
          </w:p>
        </w:tc>
      </w:tr>
      <w:tr w:rsidR="001B13EB" w:rsidRPr="00B024A0" w:rsidTr="009823CF">
        <w:trPr>
          <w:trHeight w:val="240"/>
        </w:trPr>
        <w:tc>
          <w:tcPr>
            <w:tcW w:w="3307"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Guinea</w:t>
            </w:r>
          </w:p>
        </w:tc>
        <w:tc>
          <w:tcPr>
            <w:tcW w:w="3163"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7.508</w:t>
            </w:r>
          </w:p>
        </w:tc>
        <w:tc>
          <w:tcPr>
            <w:tcW w:w="1193"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r>
      <w:tr w:rsidR="001B13EB" w:rsidRPr="00B024A0" w:rsidTr="009823CF">
        <w:trPr>
          <w:trHeight w:val="240"/>
        </w:trPr>
        <w:tc>
          <w:tcPr>
            <w:tcW w:w="3307"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3163"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Berna</w:t>
            </w:r>
          </w:p>
        </w:tc>
        <w:tc>
          <w:tcPr>
            <w:tcW w:w="1277"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2.915</w:t>
            </w:r>
          </w:p>
        </w:tc>
        <w:tc>
          <w:tcPr>
            <w:tcW w:w="1193"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10.423</w:t>
            </w:r>
          </w:p>
        </w:tc>
      </w:tr>
      <w:tr w:rsidR="001B13EB" w:rsidRPr="00B024A0" w:rsidTr="009823CF">
        <w:trPr>
          <w:trHeight w:val="240"/>
        </w:trPr>
        <w:tc>
          <w:tcPr>
            <w:tcW w:w="330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Mauritania</w:t>
            </w:r>
          </w:p>
        </w:tc>
        <w:tc>
          <w:tcPr>
            <w:tcW w:w="316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c>
          <w:tcPr>
            <w:tcW w:w="119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384</w:t>
            </w:r>
          </w:p>
        </w:tc>
      </w:tr>
      <w:tr w:rsidR="001B13EB" w:rsidRPr="00B024A0" w:rsidTr="009823CF">
        <w:trPr>
          <w:trHeight w:val="240"/>
        </w:trPr>
        <w:tc>
          <w:tcPr>
            <w:tcW w:w="330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Pr>
                <w:rFonts w:eastAsia="Times New Roman" w:cs="Times New Roman"/>
                <w:snapToGrid w:val="0"/>
                <w:sz w:val="18"/>
                <w:lang w:val="es-ES_tradnl" w:eastAsia="en-US"/>
              </w:rPr>
              <w:t xml:space="preserve">República </w:t>
            </w:r>
            <w:r w:rsidRPr="00B024A0">
              <w:rPr>
                <w:rFonts w:eastAsia="Times New Roman" w:cs="Times New Roman"/>
                <w:snapToGrid w:val="0"/>
                <w:sz w:val="18"/>
                <w:lang w:val="es-ES_tradnl" w:eastAsia="en-US"/>
              </w:rPr>
              <w:t>Centroafricana</w:t>
            </w:r>
          </w:p>
        </w:tc>
        <w:tc>
          <w:tcPr>
            <w:tcW w:w="316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c>
          <w:tcPr>
            <w:tcW w:w="119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943</w:t>
            </w:r>
          </w:p>
        </w:tc>
      </w:tr>
      <w:tr w:rsidR="001B13EB" w:rsidRPr="00B024A0" w:rsidTr="009823CF">
        <w:trPr>
          <w:trHeight w:val="240"/>
        </w:trPr>
        <w:tc>
          <w:tcPr>
            <w:tcW w:w="330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Pr>
                <w:rFonts w:eastAsia="Times New Roman" w:cs="Times New Roman"/>
                <w:snapToGrid w:val="0"/>
                <w:sz w:val="18"/>
                <w:lang w:val="es-ES_tradnl" w:eastAsia="en-US"/>
              </w:rPr>
              <w:t xml:space="preserve">República Democrática del </w:t>
            </w:r>
            <w:r w:rsidRPr="00B024A0">
              <w:rPr>
                <w:rFonts w:eastAsia="Times New Roman" w:cs="Times New Roman"/>
                <w:snapToGrid w:val="0"/>
                <w:sz w:val="18"/>
                <w:lang w:val="es-ES_tradnl" w:eastAsia="en-US"/>
              </w:rPr>
              <w:t>Congo</w:t>
            </w:r>
          </w:p>
        </w:tc>
        <w:tc>
          <w:tcPr>
            <w:tcW w:w="316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París</w:t>
            </w:r>
          </w:p>
        </w:tc>
        <w:tc>
          <w:tcPr>
            <w:tcW w:w="127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14.057</w:t>
            </w:r>
          </w:p>
        </w:tc>
        <w:tc>
          <w:tcPr>
            <w:tcW w:w="119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p>
        </w:tc>
      </w:tr>
      <w:tr w:rsidR="001B13EB" w:rsidRPr="00B024A0" w:rsidTr="009823CF">
        <w:trPr>
          <w:trHeight w:val="240"/>
        </w:trPr>
        <w:tc>
          <w:tcPr>
            <w:tcW w:w="330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tc>
        <w:tc>
          <w:tcPr>
            <w:tcW w:w="316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Berna</w:t>
            </w:r>
          </w:p>
        </w:tc>
        <w:tc>
          <w:tcPr>
            <w:tcW w:w="1277"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1.727</w:t>
            </w:r>
          </w:p>
        </w:tc>
        <w:tc>
          <w:tcPr>
            <w:tcW w:w="1193" w:type="dxa"/>
            <w:tcBorders>
              <w:top w:val="single" w:sz="2" w:space="0" w:color="auto"/>
              <w:left w:val="single" w:sz="2" w:space="0" w:color="auto"/>
              <w:bottom w:val="single" w:sz="2" w:space="0" w:color="auto"/>
              <w:right w:val="single" w:sz="2" w:space="0" w:color="auto"/>
            </w:tcBorders>
          </w:tcPr>
          <w:p w:rsidR="001B13EB" w:rsidRPr="00B024A0" w:rsidRDefault="001B13EB" w:rsidP="009823CF">
            <w:pPr>
              <w:widowControl w:val="0"/>
              <w:adjustRightInd w:val="0"/>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15.784</w:t>
            </w:r>
          </w:p>
        </w:tc>
      </w:tr>
    </w:tbl>
    <w:p w:rsidR="001B13EB" w:rsidRPr="00B024A0" w:rsidRDefault="001B13EB" w:rsidP="001B13EB">
      <w:pPr>
        <w:tabs>
          <w:tab w:val="left" w:pos="3307"/>
          <w:tab w:val="left" w:pos="6470"/>
          <w:tab w:val="left" w:pos="7747"/>
          <w:tab w:val="left" w:pos="8966"/>
        </w:tabs>
        <w:rPr>
          <w:b/>
          <w:snapToGrid w:val="0"/>
          <w:szCs w:val="22"/>
          <w:lang w:val="es-ES_tradnl"/>
        </w:rPr>
      </w:pPr>
    </w:p>
    <w:p w:rsidR="001B13EB" w:rsidRPr="00B024A0" w:rsidRDefault="001B13EB" w:rsidP="001B13EB">
      <w:pPr>
        <w:tabs>
          <w:tab w:val="left" w:pos="3307"/>
          <w:tab w:val="left" w:pos="6470"/>
          <w:tab w:val="left" w:pos="7747"/>
          <w:tab w:val="left" w:pos="8966"/>
        </w:tabs>
        <w:rPr>
          <w:b/>
          <w:snapToGrid w:val="0"/>
          <w:szCs w:val="22"/>
          <w:lang w:val="es-ES_tradnl"/>
        </w:rPr>
      </w:pPr>
      <w:r w:rsidRPr="00B024A0">
        <w:rPr>
          <w:b/>
          <w:snapToGrid w:val="0"/>
          <w:szCs w:val="22"/>
          <w:lang w:val="es-ES_tradnl"/>
        </w:rPr>
        <w:t>Total de los importes adeudados a los fondos de operaciones</w:t>
      </w:r>
    </w:p>
    <w:p w:rsidR="001B13EB" w:rsidRPr="00B024A0" w:rsidRDefault="001B13EB" w:rsidP="001B13EB">
      <w:pPr>
        <w:tabs>
          <w:tab w:val="left" w:pos="3307"/>
          <w:tab w:val="left" w:pos="6470"/>
          <w:tab w:val="left" w:pos="7747"/>
          <w:tab w:val="left" w:pos="8966"/>
        </w:tabs>
        <w:rPr>
          <w:b/>
          <w:snapToGrid w:val="0"/>
          <w:szCs w:val="22"/>
          <w:lang w:val="es-ES_tradnl"/>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1B13EB" w:rsidRPr="00B024A0" w:rsidTr="009823CF">
        <w:trPr>
          <w:cantSplit/>
          <w:trHeight w:val="240"/>
        </w:trPr>
        <w:tc>
          <w:tcPr>
            <w:tcW w:w="3307" w:type="dxa"/>
            <w:tcBorders>
              <w:top w:val="single" w:sz="2" w:space="0" w:color="auto"/>
              <w:left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de</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París</w:t>
            </w:r>
          </w:p>
        </w:tc>
        <w:tc>
          <w:tcPr>
            <w:tcW w:w="2080" w:type="dxa"/>
            <w:tcBorders>
              <w:top w:val="single" w:sz="2" w:space="0" w:color="auto"/>
              <w:left w:val="single" w:sz="2" w:space="0" w:color="auto"/>
              <w:right w:val="single" w:sz="2" w:space="0" w:color="auto"/>
            </w:tcBorders>
          </w:tcPr>
          <w:p w:rsidR="001B13EB" w:rsidRPr="00B024A0" w:rsidRDefault="001B13EB" w:rsidP="009823CF">
            <w:pPr>
              <w:widowControl w:val="0"/>
              <w:adjustRightInd w:val="0"/>
              <w:ind w:left="-446"/>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36.777</w:t>
            </w:r>
            <w:r>
              <w:rPr>
                <w:rFonts w:eastAsia="Times New Roman" w:cs="Times New Roman"/>
                <w:snapToGrid w:val="0"/>
                <w:sz w:val="18"/>
                <w:lang w:val="es-ES_tradnl" w:eastAsia="en-US"/>
              </w:rPr>
              <w:t xml:space="preserve">   </w:t>
            </w:r>
          </w:p>
        </w:tc>
      </w:tr>
      <w:tr w:rsidR="001B13EB" w:rsidRPr="00B024A0" w:rsidTr="009823CF">
        <w:trPr>
          <w:cantSplit/>
          <w:trHeight w:val="240"/>
        </w:trPr>
        <w:tc>
          <w:tcPr>
            <w:tcW w:w="3307" w:type="dxa"/>
            <w:tcBorders>
              <w:left w:val="single" w:sz="2" w:space="0" w:color="auto"/>
              <w:bottom w:val="single" w:sz="2" w:space="0" w:color="auto"/>
            </w:tcBorders>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Unión</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de</w:t>
            </w:r>
            <w:r>
              <w:rPr>
                <w:rFonts w:eastAsia="Times New Roman" w:cs="Times New Roman"/>
                <w:snapToGrid w:val="0"/>
                <w:sz w:val="18"/>
                <w:lang w:val="es-ES_tradnl" w:eastAsia="en-US"/>
              </w:rPr>
              <w:t xml:space="preserve"> </w:t>
            </w:r>
            <w:r w:rsidRPr="00B024A0">
              <w:rPr>
                <w:rFonts w:eastAsia="Times New Roman" w:cs="Times New Roman"/>
                <w:snapToGrid w:val="0"/>
                <w:sz w:val="18"/>
                <w:lang w:val="es-ES_tradnl" w:eastAsia="en-US"/>
              </w:rPr>
              <w:t>Berna</w:t>
            </w:r>
          </w:p>
        </w:tc>
        <w:tc>
          <w:tcPr>
            <w:tcW w:w="2080" w:type="dxa"/>
            <w:tcBorders>
              <w:left w:val="single" w:sz="2" w:space="0" w:color="auto"/>
              <w:bottom w:val="single" w:sz="2" w:space="0" w:color="auto"/>
              <w:right w:val="single" w:sz="2" w:space="0" w:color="auto"/>
            </w:tcBorders>
          </w:tcPr>
          <w:p w:rsidR="001B13EB" w:rsidRPr="00B024A0" w:rsidRDefault="001B13EB" w:rsidP="009823CF">
            <w:pPr>
              <w:widowControl w:val="0"/>
              <w:adjustRightInd w:val="0"/>
              <w:ind w:left="-446"/>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6.622</w:t>
            </w:r>
            <w:r>
              <w:rPr>
                <w:rFonts w:eastAsia="Times New Roman" w:cs="Times New Roman"/>
                <w:snapToGrid w:val="0"/>
                <w:sz w:val="18"/>
                <w:lang w:val="es-ES_tradnl" w:eastAsia="en-US"/>
              </w:rPr>
              <w:t xml:space="preserve"> </w:t>
            </w:r>
          </w:p>
        </w:tc>
      </w:tr>
      <w:tr w:rsidR="001B13EB" w:rsidRPr="00B024A0" w:rsidTr="009823CF">
        <w:trPr>
          <w:cantSplit/>
          <w:trHeight w:val="240"/>
        </w:trPr>
        <w:tc>
          <w:tcPr>
            <w:tcW w:w="3307" w:type="dxa"/>
            <w:tcBorders>
              <w:top w:val="single" w:sz="2" w:space="0" w:color="auto"/>
              <w:left w:val="single" w:sz="2" w:space="0" w:color="auto"/>
              <w:bottom w:val="single" w:sz="2" w:space="0" w:color="auto"/>
            </w:tcBorders>
            <w:shd w:val="clear" w:color="auto" w:fill="F3F3F3"/>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1B13EB" w:rsidRPr="00B024A0" w:rsidRDefault="001B13EB" w:rsidP="009823CF">
            <w:pPr>
              <w:widowControl w:val="0"/>
              <w:adjustRightInd w:val="0"/>
              <w:ind w:left="-446"/>
              <w:jc w:val="right"/>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43.399</w:t>
            </w:r>
            <w:r>
              <w:rPr>
                <w:rFonts w:eastAsia="Times New Roman" w:cs="Times New Roman"/>
                <w:snapToGrid w:val="0"/>
                <w:sz w:val="18"/>
                <w:lang w:val="es-ES_tradnl" w:eastAsia="en-US"/>
              </w:rPr>
              <w:t xml:space="preserve"> </w:t>
            </w:r>
          </w:p>
        </w:tc>
      </w:tr>
    </w:tbl>
    <w:p w:rsidR="001B13EB" w:rsidRPr="00B024A0" w:rsidRDefault="001B13EB" w:rsidP="001B13EB">
      <w:pPr>
        <w:rPr>
          <w:szCs w:val="22"/>
          <w:lang w:val="es-ES_tradnl"/>
        </w:rPr>
      </w:pPr>
    </w:p>
    <w:p w:rsidR="001B13EB" w:rsidRPr="00B024A0" w:rsidRDefault="001B13EB" w:rsidP="001B13EB">
      <w:pPr>
        <w:widowControl w:val="0"/>
        <w:adjustRightInd w:val="0"/>
        <w:textAlignment w:val="baseline"/>
        <w:rPr>
          <w:rFonts w:eastAsia="Times New Roman"/>
          <w:b/>
          <w:szCs w:val="22"/>
          <w:lang w:val="es-ES_tradnl" w:eastAsia="en-US"/>
        </w:rPr>
      </w:pPr>
      <w:r w:rsidRPr="00B024A0">
        <w:rPr>
          <w:rFonts w:eastAsia="Times New Roman"/>
          <w:b/>
          <w:szCs w:val="22"/>
          <w:lang w:val="es-ES_tradnl"/>
        </w:rPr>
        <w:t>Evolución de los atrasos en el pago de las contribuciones y en los fondos de operaciones durante los diez últimos años</w:t>
      </w:r>
    </w:p>
    <w:p w:rsidR="001B13EB" w:rsidRPr="00B024A0" w:rsidRDefault="001B13EB" w:rsidP="001B13EB">
      <w:pPr>
        <w:rPr>
          <w:szCs w:val="22"/>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w:t>
      </w:r>
      <w:r>
        <w:rPr>
          <w:szCs w:val="22"/>
          <w:lang w:val="es-ES_tradnl"/>
        </w:rPr>
        <w:t xml:space="preserve">rte total de contribuciones </w:t>
      </w:r>
      <w:r w:rsidRPr="00B024A0">
        <w:rPr>
          <w:szCs w:val="22"/>
          <w:lang w:val="es-ES_tradnl"/>
        </w:rPr>
        <w:t xml:space="preserve">facturadas, que </w:t>
      </w:r>
      <w:r>
        <w:rPr>
          <w:szCs w:val="22"/>
          <w:lang w:val="es-ES_tradnl"/>
        </w:rPr>
        <w:t xml:space="preserve">ha </w:t>
      </w:r>
      <w:r w:rsidRPr="00B024A0">
        <w:rPr>
          <w:szCs w:val="22"/>
          <w:lang w:val="es-ES_tradnl"/>
        </w:rPr>
        <w:t>disminuido considerablemente entre los años 1997 y 2013.</w:t>
      </w:r>
    </w:p>
    <w:p w:rsidR="001B13EB" w:rsidRPr="00B024A0" w:rsidRDefault="001B13EB" w:rsidP="001B13EB">
      <w:pPr>
        <w:pStyle w:val="Paragraphedeliste"/>
        <w:spacing w:after="220"/>
        <w:ind w:left="0"/>
        <w:rPr>
          <w:szCs w:val="22"/>
          <w:lang w:val="es-ES_tradnl"/>
        </w:rPr>
      </w:pPr>
    </w:p>
    <w:p w:rsidR="001B13EB" w:rsidRPr="00B024A0" w:rsidRDefault="001B13EB" w:rsidP="001B13EB">
      <w:pPr>
        <w:pStyle w:val="Paragraphedeliste"/>
        <w:spacing w:after="220"/>
        <w:ind w:left="0"/>
        <w:rPr>
          <w:szCs w:val="22"/>
          <w:lang w:val="es-ES_tradnl"/>
        </w:rPr>
      </w:pPr>
      <w:r w:rsidRPr="00B024A0">
        <w:rPr>
          <w:szCs w:val="22"/>
          <w:lang w:val="es-ES_tradnl"/>
        </w:rPr>
        <w:br w:type="page"/>
      </w:r>
    </w:p>
    <w:p w:rsidR="001B13EB" w:rsidRPr="00B024A0" w:rsidRDefault="001B13EB" w:rsidP="001B13EB">
      <w:pPr>
        <w:pStyle w:val="Paragraphedeliste"/>
        <w:spacing w:after="220"/>
        <w:ind w:left="0"/>
        <w:rPr>
          <w:szCs w:val="22"/>
          <w:lang w:val="es-ES_tradnl"/>
        </w:rPr>
      </w:pPr>
    </w:p>
    <w:p w:rsidR="001B13EB" w:rsidRPr="00B024A0" w:rsidRDefault="001B13EB" w:rsidP="001B13EB">
      <w:pPr>
        <w:pStyle w:val="Paragraphedeliste"/>
        <w:numPr>
          <w:ilvl w:val="0"/>
          <w:numId w:val="10"/>
        </w:numPr>
        <w:spacing w:after="220"/>
        <w:ind w:left="0" w:firstLine="0"/>
        <w:rPr>
          <w:szCs w:val="22"/>
          <w:lang w:val="es-ES_tradnl"/>
        </w:rPr>
      </w:pPr>
      <w:r w:rsidRPr="00B024A0">
        <w:rPr>
          <w:szCs w:val="22"/>
          <w:lang w:val="es-ES_tradnl"/>
        </w:rPr>
        <w:t>En el cuadro siguiente figuran los importes de las contribuciones en mora (incluidos los atrasos “congelados” de los PMA) y en los fondos de operaciones desde 2003.</w:t>
      </w:r>
    </w:p>
    <w:p w:rsidR="001B13EB" w:rsidRPr="00B024A0" w:rsidRDefault="001B13EB" w:rsidP="001B13EB">
      <w:pPr>
        <w:rPr>
          <w:szCs w:val="22"/>
          <w:lang w:val="es-ES_tradnl"/>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262"/>
        <w:gridCol w:w="1276"/>
      </w:tblGrid>
      <w:tr w:rsidR="001B13EB" w:rsidRPr="00B024A0" w:rsidTr="009823CF">
        <w:tc>
          <w:tcPr>
            <w:tcW w:w="9484" w:type="dxa"/>
            <w:gridSpan w:val="6"/>
            <w:shd w:val="clear" w:color="auto" w:fill="EAEAEA"/>
          </w:tcPr>
          <w:p w:rsidR="001B13EB" w:rsidRPr="00B024A0" w:rsidRDefault="001B13EB" w:rsidP="009823CF">
            <w:pPr>
              <w:widowControl w:val="0"/>
              <w:adjustRightInd w:val="0"/>
              <w:jc w:val="both"/>
              <w:textAlignment w:val="baseline"/>
              <w:rPr>
                <w:rFonts w:eastAsia="Times New Roman" w:cs="Times New Roman"/>
                <w:snapToGrid w:val="0"/>
                <w:sz w:val="18"/>
                <w:lang w:val="es-ES_tradnl" w:eastAsia="en-US"/>
              </w:rPr>
            </w:pPr>
          </w:p>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Importes adeudados al 31 de diciembre (en millones de francos suizos)</w:t>
            </w:r>
            <w:r w:rsidRPr="00B024A0">
              <w:rPr>
                <w:rFonts w:eastAsia="Times New Roman" w:cs="Times New Roman"/>
                <w:snapToGrid w:val="0"/>
                <w:sz w:val="18"/>
                <w:lang w:val="es-ES_tradnl" w:eastAsia="en-US"/>
              </w:rPr>
              <w:br/>
            </w:r>
          </w:p>
        </w:tc>
      </w:tr>
      <w:tr w:rsidR="001B13EB" w:rsidRPr="00B024A0" w:rsidTr="009823CF">
        <w:trPr>
          <w:trHeight w:val="335"/>
        </w:trPr>
        <w:tc>
          <w:tcPr>
            <w:tcW w:w="948" w:type="dxa"/>
            <w:shd w:val="clear" w:color="auto" w:fill="EAEAEA"/>
          </w:tcPr>
          <w:p w:rsidR="001B13EB" w:rsidRPr="00B024A0" w:rsidRDefault="001B13EB" w:rsidP="009823CF">
            <w:pPr>
              <w:widowControl w:val="0"/>
              <w:adjustRightInd w:val="0"/>
              <w:jc w:val="center"/>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Año</w:t>
            </w:r>
          </w:p>
        </w:tc>
        <w:tc>
          <w:tcPr>
            <w:tcW w:w="1887" w:type="dxa"/>
            <w:shd w:val="clear" w:color="auto" w:fill="EAEAEA"/>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Sistema de contribución única</w:t>
            </w:r>
          </w:p>
        </w:tc>
        <w:tc>
          <w:tcPr>
            <w:tcW w:w="2552" w:type="dxa"/>
            <w:shd w:val="clear" w:color="auto" w:fill="EAEAEA"/>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Uniones financiadas por medio de contribuciones</w:t>
            </w:r>
          </w:p>
        </w:tc>
        <w:tc>
          <w:tcPr>
            <w:tcW w:w="1559" w:type="dxa"/>
            <w:shd w:val="clear" w:color="auto" w:fill="EAEAEA"/>
          </w:tcPr>
          <w:p w:rsidR="001B13EB" w:rsidRPr="00B024A0" w:rsidRDefault="001B13EB" w:rsidP="009823CF">
            <w:pPr>
              <w:jc w:val="center"/>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Atrasos “congelados”</w:t>
            </w:r>
          </w:p>
        </w:tc>
        <w:tc>
          <w:tcPr>
            <w:tcW w:w="1262" w:type="dxa"/>
            <w:shd w:val="clear" w:color="auto" w:fill="EAEAEA"/>
          </w:tcPr>
          <w:p w:rsidR="001B13EB" w:rsidRPr="00B024A0" w:rsidRDefault="001B13EB" w:rsidP="009823CF">
            <w:pPr>
              <w:jc w:val="center"/>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Fondo de operaciones</w:t>
            </w:r>
          </w:p>
        </w:tc>
        <w:tc>
          <w:tcPr>
            <w:tcW w:w="1276" w:type="dxa"/>
            <w:shd w:val="clear" w:color="auto" w:fill="EAEAEA"/>
          </w:tcPr>
          <w:p w:rsidR="001B13EB" w:rsidRPr="00B024A0" w:rsidRDefault="001B13EB" w:rsidP="009823CF">
            <w:pPr>
              <w:widowControl w:val="0"/>
              <w:adjustRightInd w:val="0"/>
              <w:jc w:val="center"/>
              <w:textAlignment w:val="baseline"/>
              <w:rPr>
                <w:rFonts w:eastAsia="Times New Roman" w:cs="Times New Roman"/>
                <w:snapToGrid w:val="0"/>
                <w:sz w:val="18"/>
                <w:lang w:val="es-ES_tradnl" w:eastAsia="en-US"/>
              </w:rPr>
            </w:pPr>
            <w:r w:rsidRPr="00B024A0">
              <w:rPr>
                <w:rFonts w:eastAsia="Times New Roman" w:cs="Times New Roman"/>
                <w:snapToGrid w:val="0"/>
                <w:sz w:val="18"/>
                <w:lang w:val="es-ES_tradnl" w:eastAsia="en-US"/>
              </w:rPr>
              <w:t>Total</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2003</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4,37</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4,09</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4,63</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0,08</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13,17</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2004</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3,09</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3,92</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4,63</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0,08</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11,72</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2005</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3,40</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3,84</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4,58</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0,07</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11,89</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2006</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4,10</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3,79</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4,54</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0,06</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12,49</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2007</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2,86</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3,64</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4,54</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0,06</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11,10</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2008</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2,38</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3,07</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4,45</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0,05</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9,90</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2009</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2,15</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2,55</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4,44</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0,05</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9,19</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2010</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3,12</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2,43</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4,41</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 xml:space="preserve">0,04            </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10,00</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2011</w:t>
            </w:r>
          </w:p>
        </w:tc>
        <w:tc>
          <w:tcPr>
            <w:tcW w:w="1887" w:type="dxa"/>
            <w:shd w:val="clear" w:color="auto" w:fill="auto"/>
          </w:tcPr>
          <w:p w:rsidR="001B13EB" w:rsidRPr="00B024A0" w:rsidDel="006C5DC2"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2,75</w:t>
            </w:r>
          </w:p>
        </w:tc>
        <w:tc>
          <w:tcPr>
            <w:tcW w:w="2552" w:type="dxa"/>
            <w:shd w:val="clear" w:color="auto" w:fill="auto"/>
          </w:tcPr>
          <w:p w:rsidR="001B13EB" w:rsidRPr="00B024A0" w:rsidDel="006C5DC2"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2,37</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4,39</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0,04</w:t>
            </w:r>
          </w:p>
        </w:tc>
        <w:tc>
          <w:tcPr>
            <w:tcW w:w="1276" w:type="dxa"/>
            <w:shd w:val="clear" w:color="auto" w:fill="auto"/>
          </w:tcPr>
          <w:p w:rsidR="001B13EB" w:rsidRPr="00B024A0" w:rsidDel="006C5DC2"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9,55</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2012</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2,26</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2,28</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4,39</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0,04</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8,97</w:t>
            </w:r>
          </w:p>
        </w:tc>
      </w:tr>
      <w:tr w:rsidR="001B13EB" w:rsidRPr="00B024A0" w:rsidTr="009823CF">
        <w:tc>
          <w:tcPr>
            <w:tcW w:w="948" w:type="dxa"/>
            <w:shd w:val="clear" w:color="auto" w:fill="auto"/>
          </w:tcPr>
          <w:p w:rsidR="001B13EB" w:rsidRPr="00B024A0" w:rsidRDefault="001B13EB" w:rsidP="009823CF">
            <w:pPr>
              <w:widowControl w:val="0"/>
              <w:adjustRightInd w:val="0"/>
              <w:jc w:val="both"/>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2013</w:t>
            </w:r>
          </w:p>
        </w:tc>
        <w:tc>
          <w:tcPr>
            <w:tcW w:w="1887"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2,26</w:t>
            </w:r>
          </w:p>
        </w:tc>
        <w:tc>
          <w:tcPr>
            <w:tcW w:w="255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2,12</w:t>
            </w:r>
          </w:p>
        </w:tc>
        <w:tc>
          <w:tcPr>
            <w:tcW w:w="1559"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4,36</w:t>
            </w:r>
          </w:p>
        </w:tc>
        <w:tc>
          <w:tcPr>
            <w:tcW w:w="1262"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0,04</w:t>
            </w:r>
          </w:p>
        </w:tc>
        <w:tc>
          <w:tcPr>
            <w:tcW w:w="1276" w:type="dxa"/>
            <w:shd w:val="clear" w:color="auto" w:fill="auto"/>
          </w:tcPr>
          <w:p w:rsidR="001B13EB" w:rsidRPr="00B024A0" w:rsidRDefault="001B13EB" w:rsidP="009823CF">
            <w:pPr>
              <w:widowControl w:val="0"/>
              <w:adjustRightInd w:val="0"/>
              <w:jc w:val="right"/>
              <w:textAlignment w:val="baseline"/>
              <w:rPr>
                <w:rFonts w:eastAsia="Times New Roman" w:cs="Times New Roman"/>
                <w:bCs/>
                <w:snapToGrid w:val="0"/>
                <w:sz w:val="18"/>
                <w:lang w:val="es-ES_tradnl" w:eastAsia="en-US"/>
              </w:rPr>
            </w:pPr>
            <w:r w:rsidRPr="00B024A0">
              <w:rPr>
                <w:rFonts w:eastAsia="Times New Roman" w:cs="Times New Roman"/>
                <w:bCs/>
                <w:snapToGrid w:val="0"/>
                <w:sz w:val="18"/>
                <w:lang w:val="es-ES_tradnl" w:eastAsia="en-US"/>
              </w:rPr>
              <w:t>8,78</w:t>
            </w:r>
          </w:p>
        </w:tc>
      </w:tr>
    </w:tbl>
    <w:p w:rsidR="001B13EB" w:rsidRPr="00B024A0" w:rsidRDefault="001B13EB" w:rsidP="001B13EB">
      <w:pPr>
        <w:rPr>
          <w:b/>
          <w:lang w:val="es-ES_tradnl"/>
        </w:rPr>
      </w:pPr>
    </w:p>
    <w:p w:rsidR="001B13EB" w:rsidRPr="00B024A0" w:rsidRDefault="001B13EB" w:rsidP="001B13EB">
      <w:pPr>
        <w:rPr>
          <w:b/>
          <w:lang w:val="es-ES_tradnl"/>
        </w:rPr>
      </w:pPr>
    </w:p>
    <w:p w:rsidR="001B13EB" w:rsidRPr="00B024A0" w:rsidRDefault="001B13EB" w:rsidP="001B13EB">
      <w:pPr>
        <w:pStyle w:val="DecisionInvitationPara"/>
        <w:rPr>
          <w:i w:val="0"/>
          <w:lang w:val="es-ES_tradnl"/>
        </w:rPr>
      </w:pPr>
      <w:r w:rsidRPr="00B024A0">
        <w:rPr>
          <w:lang w:val="es-ES_tradnl"/>
        </w:rPr>
        <w:t>9.</w:t>
      </w:r>
      <w:r w:rsidRPr="00B024A0">
        <w:rPr>
          <w:lang w:val="es-ES_tradnl"/>
        </w:rPr>
        <w:tab/>
        <w:t>Se invita a las Asambleas de los Estados miembros de la OMPI y de las Uniones, en lo que a cada una concierna, a tomar nota de la situación del pago de las contribuciones al 1 de septiembre de 2014.</w:t>
      </w:r>
    </w:p>
    <w:p w:rsidR="001B13EB" w:rsidRPr="00B024A0" w:rsidRDefault="001B13EB" w:rsidP="001B13EB">
      <w:pPr>
        <w:ind w:left="6047"/>
        <w:rPr>
          <w:rFonts w:eastAsia="Times New Roman" w:cs="Times New Roman"/>
          <w:i/>
          <w:highlight w:val="green"/>
          <w:lang w:val="es-ES_tradnl" w:eastAsia="en-US"/>
        </w:rPr>
      </w:pPr>
    </w:p>
    <w:p w:rsidR="001B13EB" w:rsidRPr="00B024A0" w:rsidRDefault="001B13EB" w:rsidP="001B13EB">
      <w:pPr>
        <w:ind w:left="6047"/>
        <w:rPr>
          <w:rFonts w:eastAsia="Times New Roman" w:cs="Times New Roman"/>
          <w:i/>
          <w:highlight w:val="yellow"/>
          <w:lang w:val="es-ES_tradnl" w:eastAsia="en-US"/>
        </w:rPr>
      </w:pPr>
    </w:p>
    <w:p w:rsidR="001B13EB" w:rsidRPr="00B024A0" w:rsidRDefault="001B13EB" w:rsidP="001B13EB">
      <w:pPr>
        <w:ind w:left="5490"/>
        <w:rPr>
          <w:lang w:val="es-ES_tradnl"/>
        </w:rPr>
      </w:pPr>
      <w:r w:rsidRPr="00B024A0">
        <w:rPr>
          <w:lang w:val="es-ES_tradnl"/>
        </w:rPr>
        <w:t>[Fin del documento]</w:t>
      </w:r>
    </w:p>
    <w:p w:rsidR="001B13EB" w:rsidRPr="00B024A0" w:rsidRDefault="001B13EB" w:rsidP="001B13EB">
      <w:pPr>
        <w:rPr>
          <w:lang w:val="es-ES_tradnl"/>
        </w:rPr>
      </w:pPr>
    </w:p>
    <w:sectPr w:rsidR="001B13EB" w:rsidRPr="00B024A0" w:rsidSect="001B13E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11" w:rsidRDefault="001E4911">
      <w:r>
        <w:separator/>
      </w:r>
    </w:p>
  </w:endnote>
  <w:endnote w:type="continuationSeparator" w:id="0">
    <w:p w:rsidR="001E4911" w:rsidRPr="009D30E6" w:rsidRDefault="001E4911" w:rsidP="007E663E">
      <w:pPr>
        <w:rPr>
          <w:sz w:val="17"/>
          <w:szCs w:val="17"/>
        </w:rPr>
      </w:pPr>
      <w:r w:rsidRPr="009D30E6">
        <w:rPr>
          <w:sz w:val="17"/>
          <w:szCs w:val="17"/>
        </w:rPr>
        <w:separator/>
      </w:r>
    </w:p>
    <w:p w:rsidR="001E4911" w:rsidRPr="007E663E" w:rsidRDefault="001E4911" w:rsidP="007E663E">
      <w:pPr>
        <w:spacing w:after="60"/>
        <w:rPr>
          <w:sz w:val="17"/>
          <w:szCs w:val="17"/>
        </w:rPr>
      </w:pPr>
      <w:r>
        <w:rPr>
          <w:sz w:val="17"/>
        </w:rPr>
        <w:t>[Continuación de la nota de la página anterior]</w:t>
      </w:r>
    </w:p>
  </w:endnote>
  <w:endnote w:type="continuationNotice" w:id="1">
    <w:p w:rsidR="001E4911" w:rsidRPr="007E663E" w:rsidRDefault="001E49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11" w:rsidRDefault="001E4911">
      <w:r>
        <w:separator/>
      </w:r>
    </w:p>
  </w:footnote>
  <w:footnote w:type="continuationSeparator" w:id="0">
    <w:p w:rsidR="001E4911" w:rsidRPr="009D30E6" w:rsidRDefault="001E4911" w:rsidP="007E663E">
      <w:pPr>
        <w:rPr>
          <w:sz w:val="17"/>
          <w:szCs w:val="17"/>
        </w:rPr>
      </w:pPr>
      <w:r w:rsidRPr="009D30E6">
        <w:rPr>
          <w:sz w:val="17"/>
          <w:szCs w:val="17"/>
        </w:rPr>
        <w:separator/>
      </w:r>
    </w:p>
    <w:p w:rsidR="001E4911" w:rsidRPr="007E663E" w:rsidRDefault="001E4911" w:rsidP="007E663E">
      <w:pPr>
        <w:spacing w:after="60"/>
        <w:rPr>
          <w:sz w:val="17"/>
          <w:szCs w:val="17"/>
        </w:rPr>
      </w:pPr>
      <w:r>
        <w:rPr>
          <w:sz w:val="17"/>
        </w:rPr>
        <w:t>[Continuación de la nota de la página anterior]</w:t>
      </w:r>
    </w:p>
  </w:footnote>
  <w:footnote w:type="continuationNotice" w:id="1">
    <w:p w:rsidR="001E4911" w:rsidRPr="007E663E" w:rsidRDefault="001E4911" w:rsidP="007E663E">
      <w:pPr>
        <w:spacing w:before="60"/>
        <w:jc w:val="right"/>
        <w:rPr>
          <w:sz w:val="17"/>
          <w:szCs w:val="17"/>
        </w:rPr>
      </w:pPr>
      <w:r w:rsidRPr="007E663E">
        <w:rPr>
          <w:sz w:val="17"/>
          <w:szCs w:val="17"/>
        </w:rPr>
        <w:t>[Sigue la nota en la página siguiente]</w:t>
      </w:r>
    </w:p>
  </w:footnote>
  <w:footnote w:id="2">
    <w:p w:rsidR="001B13EB" w:rsidRPr="00B17356" w:rsidRDefault="001B13EB" w:rsidP="001B13EB">
      <w:pPr>
        <w:pStyle w:val="Notedebasdepage"/>
      </w:pPr>
      <w:r>
        <w:rPr>
          <w:rStyle w:val="Appelnotedebasdep"/>
        </w:rPr>
        <w:footnoteRef/>
      </w:r>
      <w:r w:rsidRPr="00B024A0">
        <w:rPr>
          <w:lang w:val="es-ES_tradnl"/>
        </w:rPr>
        <w:t xml:space="preserve"> </w:t>
      </w:r>
      <w:r w:rsidRPr="00B024A0">
        <w:rPr>
          <w:lang w:val="es-ES_tradnl"/>
        </w:rPr>
        <w:tab/>
      </w:r>
      <w:r w:rsidRPr="00B024A0">
        <w:rPr>
          <w:sz w:val="16"/>
          <w:lang w:val="es-ES_tradnl"/>
        </w:rPr>
        <w:t>En julio de 2006 se concertó un plan de pagos parciales para liquidar los atrasos correspondientes a las Uniones de París, Berna y Niza y al sistema de contribución única en diez pagos anuales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B13EB" w:rsidP="00477D6B">
    <w:pPr>
      <w:jc w:val="right"/>
    </w:pPr>
    <w:bookmarkStart w:id="6" w:name="Code2"/>
    <w:bookmarkEnd w:id="6"/>
    <w:r>
      <w:t>A/54/9</w:t>
    </w:r>
  </w:p>
  <w:p w:rsidR="00AE7F20" w:rsidRDefault="00AE7F20" w:rsidP="00477D6B">
    <w:pPr>
      <w:jc w:val="right"/>
    </w:pPr>
    <w:r>
      <w:t xml:space="preserve">página </w:t>
    </w:r>
    <w:r>
      <w:fldChar w:fldCharType="begin"/>
    </w:r>
    <w:r>
      <w:instrText xml:space="preserve"> PAGE  \* MERGEFORMAT </w:instrText>
    </w:r>
    <w:r>
      <w:fldChar w:fldCharType="separate"/>
    </w:r>
    <w:r w:rsidR="00966451">
      <w:rPr>
        <w:noProof/>
      </w:rPr>
      <w:t>9</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D540EB"/>
    <w:multiLevelType w:val="hybridMultilevel"/>
    <w:tmpl w:val="9C10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7"/>
  </w:num>
  <w:num w:numId="8">
    <w:abstractNumId w:val="9"/>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EB"/>
    <w:rsid w:val="00010686"/>
    <w:rsid w:val="00052915"/>
    <w:rsid w:val="000E3BB3"/>
    <w:rsid w:val="000F5E56"/>
    <w:rsid w:val="001362EE"/>
    <w:rsid w:val="00152CEA"/>
    <w:rsid w:val="00173CD5"/>
    <w:rsid w:val="001832A6"/>
    <w:rsid w:val="001B13EB"/>
    <w:rsid w:val="001E4911"/>
    <w:rsid w:val="002634C4"/>
    <w:rsid w:val="002E0F47"/>
    <w:rsid w:val="002F4E68"/>
    <w:rsid w:val="00354647"/>
    <w:rsid w:val="00377273"/>
    <w:rsid w:val="003845C1"/>
    <w:rsid w:val="00387287"/>
    <w:rsid w:val="003E48F1"/>
    <w:rsid w:val="003F347A"/>
    <w:rsid w:val="00423E3E"/>
    <w:rsid w:val="00427AF4"/>
    <w:rsid w:val="004500B8"/>
    <w:rsid w:val="0045089F"/>
    <w:rsid w:val="0045231F"/>
    <w:rsid w:val="004647DA"/>
    <w:rsid w:val="00477808"/>
    <w:rsid w:val="00477D6B"/>
    <w:rsid w:val="004A6C37"/>
    <w:rsid w:val="004E297D"/>
    <w:rsid w:val="004E2C9D"/>
    <w:rsid w:val="005332F0"/>
    <w:rsid w:val="0055013B"/>
    <w:rsid w:val="0057141D"/>
    <w:rsid w:val="00571B99"/>
    <w:rsid w:val="00605827"/>
    <w:rsid w:val="00675021"/>
    <w:rsid w:val="006770BC"/>
    <w:rsid w:val="006A06C6"/>
    <w:rsid w:val="007224C8"/>
    <w:rsid w:val="00794BE2"/>
    <w:rsid w:val="007B71FE"/>
    <w:rsid w:val="007D781E"/>
    <w:rsid w:val="007E663E"/>
    <w:rsid w:val="00815082"/>
    <w:rsid w:val="0083537F"/>
    <w:rsid w:val="0088395E"/>
    <w:rsid w:val="008B2CC1"/>
    <w:rsid w:val="008E6BD6"/>
    <w:rsid w:val="0090731E"/>
    <w:rsid w:val="00966451"/>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03774"/>
    <w:rsid w:val="00D26828"/>
    <w:rsid w:val="00D56C7C"/>
    <w:rsid w:val="00D71B4D"/>
    <w:rsid w:val="00D90289"/>
    <w:rsid w:val="00D93D55"/>
    <w:rsid w:val="00DC4C60"/>
    <w:rsid w:val="00E0079A"/>
    <w:rsid w:val="00E444DA"/>
    <w:rsid w:val="00E45C84"/>
    <w:rsid w:val="00E504E5"/>
    <w:rsid w:val="00EB7A3E"/>
    <w:rsid w:val="00EC401A"/>
    <w:rsid w:val="00EF530A"/>
    <w:rsid w:val="00EF6622"/>
    <w:rsid w:val="00F42932"/>
    <w:rsid w:val="00F53E7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itre1">
    <w:name w:val="heading 1"/>
    <w:basedOn w:val="Normal"/>
    <w:next w:val="Normal"/>
    <w:qFormat/>
    <w:rsid w:val="00A32C9E"/>
    <w:pPr>
      <w:keepNext/>
      <w:spacing w:before="240" w:after="60"/>
      <w:outlineLvl w:val="0"/>
    </w:pPr>
    <w:rPr>
      <w:b/>
      <w:bCs/>
      <w:caps/>
      <w:kern w:val="32"/>
      <w:szCs w:val="32"/>
    </w:rPr>
  </w:style>
  <w:style w:type="paragraph" w:styleId="Titre2">
    <w:name w:val="heading 2"/>
    <w:basedOn w:val="Normal"/>
    <w:next w:val="Normal"/>
    <w:qFormat/>
    <w:rsid w:val="00A32C9E"/>
    <w:pPr>
      <w:keepNext/>
      <w:spacing w:before="240" w:after="60"/>
      <w:outlineLvl w:val="1"/>
    </w:pPr>
    <w:rPr>
      <w:bCs/>
      <w:iCs/>
      <w:caps/>
      <w:szCs w:val="28"/>
    </w:rPr>
  </w:style>
  <w:style w:type="paragraph" w:styleId="Titre3">
    <w:name w:val="heading 3"/>
    <w:basedOn w:val="Normal"/>
    <w:next w:val="Normal"/>
    <w:qFormat/>
    <w:rsid w:val="00A32C9E"/>
    <w:pPr>
      <w:keepNext/>
      <w:spacing w:before="240" w:after="60"/>
      <w:outlineLvl w:val="2"/>
    </w:pPr>
    <w:rPr>
      <w:bCs/>
      <w:szCs w:val="26"/>
      <w:u w:val="single"/>
    </w:rPr>
  </w:style>
  <w:style w:type="paragraph" w:styleId="Titre4">
    <w:name w:val="heading 4"/>
    <w:basedOn w:val="Normal"/>
    <w:next w:val="Normal"/>
    <w:qFormat/>
    <w:rsid w:val="00A32C9E"/>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32C9E"/>
    <w:pPr>
      <w:spacing w:after="220"/>
    </w:pPr>
  </w:style>
  <w:style w:type="paragraph" w:styleId="Lgende">
    <w:name w:val="caption"/>
    <w:basedOn w:val="Normal"/>
    <w:next w:val="Normal"/>
    <w:qFormat/>
    <w:rsid w:val="00A32C9E"/>
    <w:rPr>
      <w:b/>
      <w:bCs/>
      <w:sz w:val="18"/>
    </w:rPr>
  </w:style>
  <w:style w:type="paragraph" w:styleId="Commentaire">
    <w:name w:val="annotation text"/>
    <w:basedOn w:val="Normal"/>
    <w:semiHidden/>
    <w:rsid w:val="00A32C9E"/>
    <w:rPr>
      <w:sz w:val="18"/>
    </w:rPr>
  </w:style>
  <w:style w:type="paragraph" w:styleId="Notedefin">
    <w:name w:val="endnote text"/>
    <w:basedOn w:val="Normal"/>
    <w:semiHidden/>
    <w:rsid w:val="00A32C9E"/>
    <w:rPr>
      <w:sz w:val="18"/>
    </w:rPr>
  </w:style>
  <w:style w:type="paragraph" w:styleId="Pieddepage">
    <w:name w:val="footer"/>
    <w:basedOn w:val="Normal"/>
    <w:semiHidden/>
    <w:rsid w:val="00A32C9E"/>
    <w:pPr>
      <w:tabs>
        <w:tab w:val="center" w:pos="4320"/>
        <w:tab w:val="right" w:pos="8640"/>
      </w:tabs>
    </w:pPr>
  </w:style>
  <w:style w:type="paragraph" w:styleId="Notedebasdepage">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Textedebulles">
    <w:name w:val="Balloon Text"/>
    <w:basedOn w:val="Normal"/>
    <w:link w:val="TextedebullesCar"/>
    <w:rsid w:val="004E2C9D"/>
    <w:rPr>
      <w:rFonts w:ascii="Tahoma" w:hAnsi="Tahoma" w:cs="Tahoma"/>
      <w:sz w:val="16"/>
      <w:szCs w:val="16"/>
    </w:rPr>
  </w:style>
  <w:style w:type="paragraph" w:styleId="En-tte">
    <w:name w:val="header"/>
    <w:basedOn w:val="Normal"/>
    <w:semiHidden/>
    <w:rsid w:val="00A32C9E"/>
    <w:pPr>
      <w:tabs>
        <w:tab w:val="center" w:pos="4536"/>
        <w:tab w:val="right" w:pos="9072"/>
      </w:tabs>
    </w:pPr>
  </w:style>
  <w:style w:type="paragraph" w:styleId="Listenumros">
    <w:name w:val="List Number"/>
    <w:basedOn w:val="Normal"/>
    <w:semiHidden/>
    <w:rsid w:val="00A32C9E"/>
    <w:pPr>
      <w:numPr>
        <w:numId w:val="4"/>
      </w:numPr>
    </w:pPr>
  </w:style>
  <w:style w:type="paragraph" w:customStyle="1" w:styleId="ONUME">
    <w:name w:val="ONUM E"/>
    <w:basedOn w:val="Corpsdetexte"/>
    <w:rsid w:val="00A32C9E"/>
    <w:pPr>
      <w:numPr>
        <w:numId w:val="5"/>
      </w:numPr>
    </w:pPr>
  </w:style>
  <w:style w:type="paragraph" w:customStyle="1" w:styleId="ONUMFS">
    <w:name w:val="ONUM FS"/>
    <w:basedOn w:val="Corpsdetexte"/>
    <w:rsid w:val="00A32C9E"/>
    <w:pPr>
      <w:numPr>
        <w:numId w:val="6"/>
      </w:numPr>
    </w:pPr>
  </w:style>
  <w:style w:type="paragraph" w:styleId="Salutations">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TextedebullesCar">
    <w:name w:val="Texte de bulles Car"/>
    <w:basedOn w:val="Policepardfaut"/>
    <w:link w:val="Textedebulles"/>
    <w:rsid w:val="004E2C9D"/>
    <w:rPr>
      <w:rFonts w:ascii="Tahoma" w:eastAsia="SimSun" w:hAnsi="Tahoma" w:cs="Tahoma"/>
      <w:sz w:val="16"/>
      <w:szCs w:val="16"/>
      <w:lang w:val="es-ES" w:eastAsia="zh-CN"/>
    </w:rPr>
  </w:style>
  <w:style w:type="paragraph" w:customStyle="1" w:styleId="TableNormal1">
    <w:name w:val="Table Normal1"/>
    <w:basedOn w:val="Normal"/>
    <w:rsid w:val="001B13EB"/>
    <w:pPr>
      <w:widowControl w:val="0"/>
      <w:adjustRightInd w:val="0"/>
      <w:jc w:val="both"/>
      <w:textAlignment w:val="baseline"/>
    </w:pPr>
    <w:rPr>
      <w:rFonts w:eastAsia="Times New Roman" w:cs="Times New Roman"/>
      <w:snapToGrid w:val="0"/>
      <w:color w:val="000000"/>
      <w:sz w:val="18"/>
      <w:lang w:val="en-US" w:eastAsia="en-US"/>
    </w:rPr>
  </w:style>
  <w:style w:type="character" w:styleId="Appelnotedebasdep">
    <w:name w:val="footnote reference"/>
    <w:rsid w:val="001B13EB"/>
    <w:rPr>
      <w:vertAlign w:val="superscript"/>
    </w:rPr>
  </w:style>
  <w:style w:type="paragraph" w:styleId="Corpsdetexte3">
    <w:name w:val="Body Text 3"/>
    <w:basedOn w:val="Normal"/>
    <w:link w:val="Corpsdetexte3Car"/>
    <w:rsid w:val="001B13E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Corpsdetexte3Car">
    <w:name w:val="Corps de texte 3 Car"/>
    <w:basedOn w:val="Policepardfaut"/>
    <w:link w:val="Corpsdetexte3"/>
    <w:rsid w:val="001B13EB"/>
    <w:rPr>
      <w:color w:val="000000"/>
      <w:sz w:val="24"/>
      <w:lang w:val="fr-CH"/>
    </w:rPr>
  </w:style>
  <w:style w:type="paragraph" w:customStyle="1" w:styleId="DecisionInvitingPara">
    <w:name w:val="Decision Inviting Para."/>
    <w:basedOn w:val="Normal"/>
    <w:rsid w:val="001B13EB"/>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styleId="Paragraphedeliste">
    <w:name w:val="List Paragraph"/>
    <w:basedOn w:val="Normal"/>
    <w:uiPriority w:val="34"/>
    <w:qFormat/>
    <w:rsid w:val="001B13EB"/>
    <w:pPr>
      <w:ind w:left="720"/>
      <w:contextualSpacing/>
    </w:pPr>
    <w:rPr>
      <w:lang w:val="en-US"/>
    </w:rPr>
  </w:style>
  <w:style w:type="paragraph" w:customStyle="1" w:styleId="DecisionInvitationPara">
    <w:name w:val="Decision Invitation Para."/>
    <w:basedOn w:val="Normal"/>
    <w:rsid w:val="001B13EB"/>
    <w:pPr>
      <w:ind w:left="5534"/>
    </w:pPr>
    <w:rPr>
      <w:rFonts w:eastAsia="Times New Roman" w:cs="Times New Roman"/>
      <w:i/>
      <w:lang w:val="en-US" w:eastAsia="en-US"/>
    </w:rPr>
  </w:style>
  <w:style w:type="character" w:styleId="Lienhypertexte">
    <w:name w:val="Hyperlink"/>
    <w:basedOn w:val="Policepardfaut"/>
    <w:uiPriority w:val="99"/>
    <w:unhideWhenUsed/>
    <w:rsid w:val="001B13EB"/>
    <w:rPr>
      <w:color w:val="0000FF"/>
      <w:u w:val="single"/>
    </w:rPr>
  </w:style>
  <w:style w:type="character" w:styleId="Lienhypertextesuivivisit">
    <w:name w:val="FollowedHyperlink"/>
    <w:basedOn w:val="Policepardfaut"/>
    <w:uiPriority w:val="99"/>
    <w:unhideWhenUsed/>
    <w:rsid w:val="001B13EB"/>
    <w:rPr>
      <w:color w:val="800080"/>
      <w:u w:val="single"/>
    </w:rPr>
  </w:style>
  <w:style w:type="paragraph" w:customStyle="1" w:styleId="xl65">
    <w:name w:val="xl65"/>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FF0000"/>
      <w:sz w:val="18"/>
      <w:szCs w:val="18"/>
      <w:lang w:val="en-US" w:eastAsia="en-US"/>
    </w:rPr>
  </w:style>
  <w:style w:type="paragraph" w:customStyle="1" w:styleId="xl66">
    <w:name w:val="xl66"/>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eastAsia="en-US"/>
    </w:rPr>
  </w:style>
  <w:style w:type="paragraph" w:customStyle="1" w:styleId="xl67">
    <w:name w:val="xl67"/>
    <w:basedOn w:val="Normal"/>
    <w:rsid w:val="001B13E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538DD5"/>
      <w:sz w:val="18"/>
      <w:szCs w:val="18"/>
      <w:lang w:val="en-US" w:eastAsia="en-US"/>
    </w:rPr>
  </w:style>
  <w:style w:type="paragraph" w:customStyle="1" w:styleId="xl68">
    <w:name w:val="xl68"/>
    <w:basedOn w:val="Normal"/>
    <w:rsid w:val="001B13E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69">
    <w:name w:val="xl69"/>
    <w:basedOn w:val="Normal"/>
    <w:rsid w:val="001B13EB"/>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paragraph" w:customStyle="1" w:styleId="xl70">
    <w:name w:val="xl70"/>
    <w:basedOn w:val="Normal"/>
    <w:rsid w:val="001B13EB"/>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538DD5"/>
      <w:sz w:val="18"/>
      <w:szCs w:val="18"/>
      <w:lang w:val="en-US" w:eastAsia="en-US"/>
    </w:rPr>
  </w:style>
  <w:style w:type="paragraph" w:customStyle="1" w:styleId="xl71">
    <w:name w:val="xl71"/>
    <w:basedOn w:val="Normal"/>
    <w:rsid w:val="001B13EB"/>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72">
    <w:name w:val="xl72"/>
    <w:basedOn w:val="Normal"/>
    <w:rsid w:val="001B13EB"/>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paragraph" w:customStyle="1" w:styleId="xl73">
    <w:name w:val="xl73"/>
    <w:basedOn w:val="Normal"/>
    <w:rsid w:val="001B13EB"/>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538DD5"/>
      <w:sz w:val="18"/>
      <w:szCs w:val="18"/>
      <w:lang w:val="en-US" w:eastAsia="en-US"/>
    </w:rPr>
  </w:style>
  <w:style w:type="paragraph" w:customStyle="1" w:styleId="xl74">
    <w:name w:val="xl74"/>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FF0000"/>
      <w:sz w:val="18"/>
      <w:szCs w:val="18"/>
      <w:lang w:val="en-US" w:eastAsia="en-US"/>
    </w:rPr>
  </w:style>
  <w:style w:type="paragraph" w:customStyle="1" w:styleId="xl75">
    <w:name w:val="xl75"/>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FF0000"/>
      <w:sz w:val="18"/>
      <w:szCs w:val="18"/>
      <w:lang w:val="en-US" w:eastAsia="en-US"/>
    </w:rPr>
  </w:style>
  <w:style w:type="paragraph" w:customStyle="1" w:styleId="xl76">
    <w:name w:val="xl76"/>
    <w:basedOn w:val="Normal"/>
    <w:rsid w:val="001B13E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77">
    <w:name w:val="xl77"/>
    <w:basedOn w:val="Normal"/>
    <w:rsid w:val="001B13EB"/>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character" w:styleId="lev">
    <w:name w:val="Strong"/>
    <w:basedOn w:val="Policepardfaut"/>
    <w:qFormat/>
    <w:rsid w:val="00966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itre1">
    <w:name w:val="heading 1"/>
    <w:basedOn w:val="Normal"/>
    <w:next w:val="Normal"/>
    <w:qFormat/>
    <w:rsid w:val="00A32C9E"/>
    <w:pPr>
      <w:keepNext/>
      <w:spacing w:before="240" w:after="60"/>
      <w:outlineLvl w:val="0"/>
    </w:pPr>
    <w:rPr>
      <w:b/>
      <w:bCs/>
      <w:caps/>
      <w:kern w:val="32"/>
      <w:szCs w:val="32"/>
    </w:rPr>
  </w:style>
  <w:style w:type="paragraph" w:styleId="Titre2">
    <w:name w:val="heading 2"/>
    <w:basedOn w:val="Normal"/>
    <w:next w:val="Normal"/>
    <w:qFormat/>
    <w:rsid w:val="00A32C9E"/>
    <w:pPr>
      <w:keepNext/>
      <w:spacing w:before="240" w:after="60"/>
      <w:outlineLvl w:val="1"/>
    </w:pPr>
    <w:rPr>
      <w:bCs/>
      <w:iCs/>
      <w:caps/>
      <w:szCs w:val="28"/>
    </w:rPr>
  </w:style>
  <w:style w:type="paragraph" w:styleId="Titre3">
    <w:name w:val="heading 3"/>
    <w:basedOn w:val="Normal"/>
    <w:next w:val="Normal"/>
    <w:qFormat/>
    <w:rsid w:val="00A32C9E"/>
    <w:pPr>
      <w:keepNext/>
      <w:spacing w:before="240" w:after="60"/>
      <w:outlineLvl w:val="2"/>
    </w:pPr>
    <w:rPr>
      <w:bCs/>
      <w:szCs w:val="26"/>
      <w:u w:val="single"/>
    </w:rPr>
  </w:style>
  <w:style w:type="paragraph" w:styleId="Titre4">
    <w:name w:val="heading 4"/>
    <w:basedOn w:val="Normal"/>
    <w:next w:val="Normal"/>
    <w:qFormat/>
    <w:rsid w:val="00A32C9E"/>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32C9E"/>
    <w:pPr>
      <w:spacing w:after="220"/>
    </w:pPr>
  </w:style>
  <w:style w:type="paragraph" w:styleId="Lgende">
    <w:name w:val="caption"/>
    <w:basedOn w:val="Normal"/>
    <w:next w:val="Normal"/>
    <w:qFormat/>
    <w:rsid w:val="00A32C9E"/>
    <w:rPr>
      <w:b/>
      <w:bCs/>
      <w:sz w:val="18"/>
    </w:rPr>
  </w:style>
  <w:style w:type="paragraph" w:styleId="Commentaire">
    <w:name w:val="annotation text"/>
    <w:basedOn w:val="Normal"/>
    <w:semiHidden/>
    <w:rsid w:val="00A32C9E"/>
    <w:rPr>
      <w:sz w:val="18"/>
    </w:rPr>
  </w:style>
  <w:style w:type="paragraph" w:styleId="Notedefin">
    <w:name w:val="endnote text"/>
    <w:basedOn w:val="Normal"/>
    <w:semiHidden/>
    <w:rsid w:val="00A32C9E"/>
    <w:rPr>
      <w:sz w:val="18"/>
    </w:rPr>
  </w:style>
  <w:style w:type="paragraph" w:styleId="Pieddepage">
    <w:name w:val="footer"/>
    <w:basedOn w:val="Normal"/>
    <w:semiHidden/>
    <w:rsid w:val="00A32C9E"/>
    <w:pPr>
      <w:tabs>
        <w:tab w:val="center" w:pos="4320"/>
        <w:tab w:val="right" w:pos="8640"/>
      </w:tabs>
    </w:pPr>
  </w:style>
  <w:style w:type="paragraph" w:styleId="Notedebasdepage">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Textedebulles">
    <w:name w:val="Balloon Text"/>
    <w:basedOn w:val="Normal"/>
    <w:link w:val="TextedebullesCar"/>
    <w:rsid w:val="004E2C9D"/>
    <w:rPr>
      <w:rFonts w:ascii="Tahoma" w:hAnsi="Tahoma" w:cs="Tahoma"/>
      <w:sz w:val="16"/>
      <w:szCs w:val="16"/>
    </w:rPr>
  </w:style>
  <w:style w:type="paragraph" w:styleId="En-tte">
    <w:name w:val="header"/>
    <w:basedOn w:val="Normal"/>
    <w:semiHidden/>
    <w:rsid w:val="00A32C9E"/>
    <w:pPr>
      <w:tabs>
        <w:tab w:val="center" w:pos="4536"/>
        <w:tab w:val="right" w:pos="9072"/>
      </w:tabs>
    </w:pPr>
  </w:style>
  <w:style w:type="paragraph" w:styleId="Listenumros">
    <w:name w:val="List Number"/>
    <w:basedOn w:val="Normal"/>
    <w:semiHidden/>
    <w:rsid w:val="00A32C9E"/>
    <w:pPr>
      <w:numPr>
        <w:numId w:val="4"/>
      </w:numPr>
    </w:pPr>
  </w:style>
  <w:style w:type="paragraph" w:customStyle="1" w:styleId="ONUME">
    <w:name w:val="ONUM E"/>
    <w:basedOn w:val="Corpsdetexte"/>
    <w:rsid w:val="00A32C9E"/>
    <w:pPr>
      <w:numPr>
        <w:numId w:val="5"/>
      </w:numPr>
    </w:pPr>
  </w:style>
  <w:style w:type="paragraph" w:customStyle="1" w:styleId="ONUMFS">
    <w:name w:val="ONUM FS"/>
    <w:basedOn w:val="Corpsdetexte"/>
    <w:rsid w:val="00A32C9E"/>
    <w:pPr>
      <w:numPr>
        <w:numId w:val="6"/>
      </w:numPr>
    </w:pPr>
  </w:style>
  <w:style w:type="paragraph" w:styleId="Salutations">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TextedebullesCar">
    <w:name w:val="Texte de bulles Car"/>
    <w:basedOn w:val="Policepardfaut"/>
    <w:link w:val="Textedebulles"/>
    <w:rsid w:val="004E2C9D"/>
    <w:rPr>
      <w:rFonts w:ascii="Tahoma" w:eastAsia="SimSun" w:hAnsi="Tahoma" w:cs="Tahoma"/>
      <w:sz w:val="16"/>
      <w:szCs w:val="16"/>
      <w:lang w:val="es-ES" w:eastAsia="zh-CN"/>
    </w:rPr>
  </w:style>
  <w:style w:type="paragraph" w:customStyle="1" w:styleId="TableNormal1">
    <w:name w:val="Table Normal1"/>
    <w:basedOn w:val="Normal"/>
    <w:rsid w:val="001B13EB"/>
    <w:pPr>
      <w:widowControl w:val="0"/>
      <w:adjustRightInd w:val="0"/>
      <w:jc w:val="both"/>
      <w:textAlignment w:val="baseline"/>
    </w:pPr>
    <w:rPr>
      <w:rFonts w:eastAsia="Times New Roman" w:cs="Times New Roman"/>
      <w:snapToGrid w:val="0"/>
      <w:color w:val="000000"/>
      <w:sz w:val="18"/>
      <w:lang w:val="en-US" w:eastAsia="en-US"/>
    </w:rPr>
  </w:style>
  <w:style w:type="character" w:styleId="Appelnotedebasdep">
    <w:name w:val="footnote reference"/>
    <w:rsid w:val="001B13EB"/>
    <w:rPr>
      <w:vertAlign w:val="superscript"/>
    </w:rPr>
  </w:style>
  <w:style w:type="paragraph" w:styleId="Corpsdetexte3">
    <w:name w:val="Body Text 3"/>
    <w:basedOn w:val="Normal"/>
    <w:link w:val="Corpsdetexte3Car"/>
    <w:rsid w:val="001B13E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Corpsdetexte3Car">
    <w:name w:val="Corps de texte 3 Car"/>
    <w:basedOn w:val="Policepardfaut"/>
    <w:link w:val="Corpsdetexte3"/>
    <w:rsid w:val="001B13EB"/>
    <w:rPr>
      <w:color w:val="000000"/>
      <w:sz w:val="24"/>
      <w:lang w:val="fr-CH"/>
    </w:rPr>
  </w:style>
  <w:style w:type="paragraph" w:customStyle="1" w:styleId="DecisionInvitingPara">
    <w:name w:val="Decision Inviting Para."/>
    <w:basedOn w:val="Normal"/>
    <w:rsid w:val="001B13EB"/>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styleId="Paragraphedeliste">
    <w:name w:val="List Paragraph"/>
    <w:basedOn w:val="Normal"/>
    <w:uiPriority w:val="34"/>
    <w:qFormat/>
    <w:rsid w:val="001B13EB"/>
    <w:pPr>
      <w:ind w:left="720"/>
      <w:contextualSpacing/>
    </w:pPr>
    <w:rPr>
      <w:lang w:val="en-US"/>
    </w:rPr>
  </w:style>
  <w:style w:type="paragraph" w:customStyle="1" w:styleId="DecisionInvitationPara">
    <w:name w:val="Decision Invitation Para."/>
    <w:basedOn w:val="Normal"/>
    <w:rsid w:val="001B13EB"/>
    <w:pPr>
      <w:ind w:left="5534"/>
    </w:pPr>
    <w:rPr>
      <w:rFonts w:eastAsia="Times New Roman" w:cs="Times New Roman"/>
      <w:i/>
      <w:lang w:val="en-US" w:eastAsia="en-US"/>
    </w:rPr>
  </w:style>
  <w:style w:type="character" w:styleId="Lienhypertexte">
    <w:name w:val="Hyperlink"/>
    <w:basedOn w:val="Policepardfaut"/>
    <w:uiPriority w:val="99"/>
    <w:unhideWhenUsed/>
    <w:rsid w:val="001B13EB"/>
    <w:rPr>
      <w:color w:val="0000FF"/>
      <w:u w:val="single"/>
    </w:rPr>
  </w:style>
  <w:style w:type="character" w:styleId="Lienhypertextesuivivisit">
    <w:name w:val="FollowedHyperlink"/>
    <w:basedOn w:val="Policepardfaut"/>
    <w:uiPriority w:val="99"/>
    <w:unhideWhenUsed/>
    <w:rsid w:val="001B13EB"/>
    <w:rPr>
      <w:color w:val="800080"/>
      <w:u w:val="single"/>
    </w:rPr>
  </w:style>
  <w:style w:type="paragraph" w:customStyle="1" w:styleId="xl65">
    <w:name w:val="xl65"/>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FF0000"/>
      <w:sz w:val="18"/>
      <w:szCs w:val="18"/>
      <w:lang w:val="en-US" w:eastAsia="en-US"/>
    </w:rPr>
  </w:style>
  <w:style w:type="paragraph" w:customStyle="1" w:styleId="xl66">
    <w:name w:val="xl66"/>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eastAsia="en-US"/>
    </w:rPr>
  </w:style>
  <w:style w:type="paragraph" w:customStyle="1" w:styleId="xl67">
    <w:name w:val="xl67"/>
    <w:basedOn w:val="Normal"/>
    <w:rsid w:val="001B13E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538DD5"/>
      <w:sz w:val="18"/>
      <w:szCs w:val="18"/>
      <w:lang w:val="en-US" w:eastAsia="en-US"/>
    </w:rPr>
  </w:style>
  <w:style w:type="paragraph" w:customStyle="1" w:styleId="xl68">
    <w:name w:val="xl68"/>
    <w:basedOn w:val="Normal"/>
    <w:rsid w:val="001B13E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69">
    <w:name w:val="xl69"/>
    <w:basedOn w:val="Normal"/>
    <w:rsid w:val="001B13EB"/>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paragraph" w:customStyle="1" w:styleId="xl70">
    <w:name w:val="xl70"/>
    <w:basedOn w:val="Normal"/>
    <w:rsid w:val="001B13EB"/>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538DD5"/>
      <w:sz w:val="18"/>
      <w:szCs w:val="18"/>
      <w:lang w:val="en-US" w:eastAsia="en-US"/>
    </w:rPr>
  </w:style>
  <w:style w:type="paragraph" w:customStyle="1" w:styleId="xl71">
    <w:name w:val="xl71"/>
    <w:basedOn w:val="Normal"/>
    <w:rsid w:val="001B13EB"/>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72">
    <w:name w:val="xl72"/>
    <w:basedOn w:val="Normal"/>
    <w:rsid w:val="001B13EB"/>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paragraph" w:customStyle="1" w:styleId="xl73">
    <w:name w:val="xl73"/>
    <w:basedOn w:val="Normal"/>
    <w:rsid w:val="001B13EB"/>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538DD5"/>
      <w:sz w:val="18"/>
      <w:szCs w:val="18"/>
      <w:lang w:val="en-US" w:eastAsia="en-US"/>
    </w:rPr>
  </w:style>
  <w:style w:type="paragraph" w:customStyle="1" w:styleId="xl74">
    <w:name w:val="xl74"/>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FF0000"/>
      <w:sz w:val="18"/>
      <w:szCs w:val="18"/>
      <w:lang w:val="en-US" w:eastAsia="en-US"/>
    </w:rPr>
  </w:style>
  <w:style w:type="paragraph" w:customStyle="1" w:styleId="xl75">
    <w:name w:val="xl75"/>
    <w:basedOn w:val="Normal"/>
    <w:rsid w:val="001B1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FF0000"/>
      <w:sz w:val="18"/>
      <w:szCs w:val="18"/>
      <w:lang w:val="en-US" w:eastAsia="en-US"/>
    </w:rPr>
  </w:style>
  <w:style w:type="paragraph" w:customStyle="1" w:styleId="xl76">
    <w:name w:val="xl76"/>
    <w:basedOn w:val="Normal"/>
    <w:rsid w:val="001B13E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color w:val="538DD5"/>
      <w:sz w:val="18"/>
      <w:szCs w:val="18"/>
      <w:lang w:val="en-US" w:eastAsia="en-US"/>
    </w:rPr>
  </w:style>
  <w:style w:type="paragraph" w:customStyle="1" w:styleId="xl77">
    <w:name w:val="xl77"/>
    <w:basedOn w:val="Normal"/>
    <w:rsid w:val="001B13EB"/>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538DD5"/>
      <w:sz w:val="18"/>
      <w:szCs w:val="18"/>
      <w:lang w:val="en-US" w:eastAsia="en-US"/>
    </w:rPr>
  </w:style>
  <w:style w:type="character" w:styleId="lev">
    <w:name w:val="Strong"/>
    <w:basedOn w:val="Policepardfaut"/>
    <w:qFormat/>
    <w:rsid w:val="00966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2473</Words>
  <Characters>13607</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Situación relativa al pago de las contribuciones al 1 de septiembre de 2014</vt:lpstr>
      <vt:lpstr>A/54/</vt:lpstr>
    </vt:vector>
  </TitlesOfParts>
  <Company>WIPO</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relativa al pago de las contribuciones al 1 de septiembre de 2014</dc:title>
  <dc:subject>A/54/9</dc:subject>
  <dc:creator>CEVALLOS DUQUE Nilo</dc:creator>
  <dc:description>CPV_x000d_
16/09/2014</dc:description>
  <cp:lastModifiedBy>ABC</cp:lastModifiedBy>
  <cp:revision>2</cp:revision>
  <dcterms:created xsi:type="dcterms:W3CDTF">2014-09-17T17:18:00Z</dcterms:created>
  <dcterms:modified xsi:type="dcterms:W3CDTF">2014-09-17T17:18:00Z</dcterms:modified>
</cp:coreProperties>
</file>