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108" w:type="dxa"/>
        <w:tblLayout w:type="fixed"/>
        <w:tblLook w:val="01E0" w:firstRow="1" w:lastRow="1" w:firstColumn="1" w:lastColumn="1" w:noHBand="0" w:noVBand="0"/>
      </w:tblPr>
      <w:tblGrid>
        <w:gridCol w:w="4564"/>
        <w:gridCol w:w="4386"/>
        <w:gridCol w:w="606"/>
      </w:tblGrid>
      <w:tr w:rsidR="00EC4E49" w:rsidRPr="008B2CC1" w:rsidTr="006B75E7">
        <w:trPr>
          <w:trHeight w:val="2234"/>
        </w:trPr>
        <w:tc>
          <w:tcPr>
            <w:tcW w:w="4564" w:type="dxa"/>
            <w:tcBorders>
              <w:bottom w:val="single" w:sz="4" w:space="0" w:color="auto"/>
            </w:tcBorders>
            <w:tcMar>
              <w:bottom w:w="170" w:type="dxa"/>
            </w:tcMar>
          </w:tcPr>
          <w:p w:rsidR="00EC4E49" w:rsidRPr="008B2CC1" w:rsidRDefault="00EC4E49" w:rsidP="00916EE2"/>
        </w:tc>
        <w:tc>
          <w:tcPr>
            <w:tcW w:w="4386" w:type="dxa"/>
            <w:tcBorders>
              <w:bottom w:val="single" w:sz="4" w:space="0" w:color="auto"/>
            </w:tcBorders>
            <w:tcMar>
              <w:left w:w="0" w:type="dxa"/>
              <w:right w:w="0" w:type="dxa"/>
            </w:tcMar>
          </w:tcPr>
          <w:p w:rsidR="00EC4E49" w:rsidRPr="008B2CC1" w:rsidRDefault="008456C9" w:rsidP="00916EE2">
            <w:r>
              <w:rPr>
                <w:noProof/>
                <w:lang w:eastAsia="en-US"/>
              </w:rPr>
              <w:drawing>
                <wp:inline distT="0" distB="0" distL="0" distR="0" wp14:anchorId="584AD9B3" wp14:editId="4A8E97E5">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6B75E7">
        <w:trPr>
          <w:trHeight w:hRule="exact" w:val="361"/>
        </w:trPr>
        <w:tc>
          <w:tcPr>
            <w:tcW w:w="9556" w:type="dxa"/>
            <w:gridSpan w:val="3"/>
            <w:tcBorders>
              <w:top w:val="single" w:sz="4" w:space="0" w:color="auto"/>
            </w:tcBorders>
            <w:tcMar>
              <w:top w:w="170" w:type="dxa"/>
              <w:left w:w="0" w:type="dxa"/>
              <w:right w:w="0" w:type="dxa"/>
            </w:tcMar>
            <w:vAlign w:val="bottom"/>
          </w:tcPr>
          <w:p w:rsidR="008B2CC1" w:rsidRPr="0090731E" w:rsidRDefault="00DB1F46" w:rsidP="006B75E7">
            <w:pPr>
              <w:jc w:val="right"/>
              <w:rPr>
                <w:rFonts w:ascii="Arial Black" w:hAnsi="Arial Black"/>
                <w:caps/>
                <w:sz w:val="15"/>
              </w:rPr>
            </w:pPr>
            <w:r w:rsidRPr="00DB1F46">
              <w:rPr>
                <w:rFonts w:ascii="Arial Black" w:hAnsi="Arial Black"/>
                <w:caps/>
                <w:sz w:val="15"/>
              </w:rPr>
              <w:t>WO/PBC/2</w:t>
            </w:r>
            <w:r w:rsidR="00066065">
              <w:rPr>
                <w:rFonts w:ascii="Arial Black" w:hAnsi="Arial Black"/>
                <w:caps/>
                <w:sz w:val="15"/>
              </w:rPr>
              <w:t>2</w:t>
            </w:r>
            <w:r>
              <w:rPr>
                <w:rFonts w:ascii="Arial Black" w:hAnsi="Arial Black"/>
                <w:caps/>
                <w:sz w:val="15"/>
              </w:rPr>
              <w:t>/</w:t>
            </w:r>
            <w:bookmarkStart w:id="0" w:name="Code"/>
            <w:bookmarkEnd w:id="0"/>
            <w:r w:rsidR="006B75E7">
              <w:rPr>
                <w:rFonts w:ascii="Arial Black" w:hAnsi="Arial Black"/>
                <w:caps/>
                <w:sz w:val="15"/>
              </w:rPr>
              <w:t>16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6B75E7">
        <w:trPr>
          <w:trHeight w:hRule="exact" w:val="181"/>
        </w:trPr>
        <w:tc>
          <w:tcPr>
            <w:tcW w:w="95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F0318">
              <w:rPr>
                <w:rFonts w:ascii="Arial Black" w:hAnsi="Arial Black"/>
                <w:caps/>
                <w:sz w:val="15"/>
              </w:rPr>
              <w:t>ENGLISH</w:t>
            </w:r>
          </w:p>
        </w:tc>
      </w:tr>
      <w:tr w:rsidR="008B2CC1" w:rsidRPr="00DF0318" w:rsidTr="006B75E7">
        <w:trPr>
          <w:trHeight w:hRule="exact" w:val="210"/>
        </w:trPr>
        <w:tc>
          <w:tcPr>
            <w:tcW w:w="9556" w:type="dxa"/>
            <w:gridSpan w:val="3"/>
            <w:tcMar>
              <w:left w:w="0" w:type="dxa"/>
              <w:right w:w="0" w:type="dxa"/>
            </w:tcMar>
            <w:vAlign w:val="bottom"/>
          </w:tcPr>
          <w:p w:rsidR="008B2CC1" w:rsidRPr="00DF0318" w:rsidRDefault="008B2CC1" w:rsidP="00066065">
            <w:pPr>
              <w:jc w:val="right"/>
              <w:rPr>
                <w:rFonts w:ascii="Arial Black" w:hAnsi="Arial Black"/>
                <w:caps/>
                <w:sz w:val="15"/>
                <w:highlight w:val="yellow"/>
              </w:rPr>
            </w:pPr>
            <w:r w:rsidRPr="00F571CC">
              <w:rPr>
                <w:rFonts w:ascii="Arial Black" w:hAnsi="Arial Black"/>
                <w:caps/>
                <w:sz w:val="15"/>
              </w:rPr>
              <w:t>DATE:</w:t>
            </w:r>
            <w:r w:rsidR="00A42DAF" w:rsidRPr="00F571CC">
              <w:rPr>
                <w:rFonts w:ascii="Arial Black" w:hAnsi="Arial Black"/>
                <w:caps/>
                <w:sz w:val="15"/>
              </w:rPr>
              <w:t xml:space="preserve"> </w:t>
            </w:r>
            <w:r w:rsidRPr="00F571CC">
              <w:rPr>
                <w:rFonts w:ascii="Arial Black" w:hAnsi="Arial Black"/>
                <w:caps/>
                <w:sz w:val="15"/>
              </w:rPr>
              <w:t xml:space="preserve"> </w:t>
            </w:r>
            <w:bookmarkStart w:id="2" w:name="Date"/>
            <w:bookmarkEnd w:id="2"/>
            <w:r w:rsidR="00F571CC" w:rsidRPr="00F571CC">
              <w:rPr>
                <w:rFonts w:ascii="Arial Black" w:hAnsi="Arial Black"/>
                <w:caps/>
                <w:sz w:val="15"/>
              </w:rPr>
              <w:t>JU</w:t>
            </w:r>
            <w:r w:rsidR="00531ACF">
              <w:rPr>
                <w:rFonts w:ascii="Arial Black" w:hAnsi="Arial Black"/>
                <w:caps/>
                <w:sz w:val="15"/>
              </w:rPr>
              <w:t>LY</w:t>
            </w:r>
            <w:r w:rsidR="00F571CC" w:rsidRPr="00F571CC">
              <w:rPr>
                <w:rFonts w:ascii="Arial Black" w:hAnsi="Arial Black"/>
                <w:caps/>
                <w:sz w:val="15"/>
              </w:rPr>
              <w:t xml:space="preserve"> </w:t>
            </w:r>
            <w:r w:rsidR="00E20CF7">
              <w:rPr>
                <w:rFonts w:ascii="Arial Black" w:hAnsi="Arial Black"/>
                <w:caps/>
                <w:sz w:val="15"/>
              </w:rPr>
              <w:t>10</w:t>
            </w:r>
            <w:r w:rsidR="00DF0318" w:rsidRPr="00F571CC">
              <w:rPr>
                <w:rFonts w:ascii="Arial Black" w:hAnsi="Arial Black"/>
                <w:caps/>
                <w:sz w:val="15"/>
              </w:rPr>
              <w:t>, 201</w:t>
            </w:r>
            <w:r w:rsidR="00066065">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Twenty-</w:t>
      </w:r>
      <w:r w:rsidR="00066065">
        <w:rPr>
          <w:b/>
          <w:sz w:val="24"/>
          <w:szCs w:val="24"/>
        </w:rPr>
        <w:t xml:space="preserve">Second </w:t>
      </w:r>
      <w:proofErr w:type="gramStart"/>
      <w:r>
        <w:rPr>
          <w:b/>
          <w:sz w:val="24"/>
          <w:szCs w:val="24"/>
        </w:rPr>
        <w:t>Session</w:t>
      </w:r>
      <w:proofErr w:type="gramEnd"/>
    </w:p>
    <w:p w:rsidR="00DB1F46" w:rsidRPr="003845C1" w:rsidRDefault="00DB1F46" w:rsidP="00DB1F46">
      <w:pPr>
        <w:rPr>
          <w:b/>
          <w:sz w:val="24"/>
          <w:szCs w:val="24"/>
        </w:rPr>
      </w:pPr>
      <w:r w:rsidRPr="00B479F1">
        <w:rPr>
          <w:b/>
          <w:sz w:val="24"/>
          <w:szCs w:val="24"/>
        </w:rPr>
        <w:t xml:space="preserve">Geneva, September </w:t>
      </w:r>
      <w:r w:rsidR="000817A9">
        <w:rPr>
          <w:b/>
          <w:sz w:val="24"/>
          <w:szCs w:val="24"/>
        </w:rPr>
        <w:t>1</w:t>
      </w:r>
      <w:r w:rsidRPr="00B479F1">
        <w:rPr>
          <w:b/>
          <w:sz w:val="24"/>
          <w:szCs w:val="24"/>
        </w:rPr>
        <w:t xml:space="preserve"> to </w:t>
      </w:r>
      <w:r w:rsidR="000817A9">
        <w:rPr>
          <w:b/>
          <w:sz w:val="24"/>
          <w:szCs w:val="24"/>
        </w:rPr>
        <w:t>5</w:t>
      </w:r>
      <w:r>
        <w:rPr>
          <w:b/>
          <w:sz w:val="24"/>
          <w:szCs w:val="24"/>
        </w:rPr>
        <w:t>, 201</w:t>
      </w:r>
      <w:r w:rsidR="00066065">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6B75E7" w:rsidP="008B2CC1">
      <w:pPr>
        <w:rPr>
          <w:caps/>
          <w:sz w:val="24"/>
        </w:rPr>
      </w:pPr>
      <w:bookmarkStart w:id="3" w:name="TitleOfDoc"/>
      <w:bookmarkEnd w:id="3"/>
      <w:r>
        <w:rPr>
          <w:caps/>
          <w:sz w:val="24"/>
        </w:rPr>
        <w:t>PROG</w:t>
      </w:r>
      <w:r w:rsidR="003205FD">
        <w:rPr>
          <w:caps/>
          <w:sz w:val="24"/>
        </w:rPr>
        <w:t>R</w:t>
      </w:r>
      <w:r>
        <w:rPr>
          <w:caps/>
          <w:sz w:val="24"/>
        </w:rPr>
        <w:t>ESS REPORT</w:t>
      </w:r>
      <w:r w:rsidR="00DF0318">
        <w:rPr>
          <w:caps/>
          <w:sz w:val="24"/>
        </w:rPr>
        <w:t xml:space="preserve"> on the Implementation of WIPO Language Policy</w:t>
      </w:r>
    </w:p>
    <w:p w:rsidR="008B2CC1" w:rsidRPr="008B2CC1" w:rsidRDefault="008B2CC1" w:rsidP="008B2CC1">
      <w:bookmarkStart w:id="4" w:name="_GoBack"/>
      <w:bookmarkEnd w:id="4"/>
    </w:p>
    <w:p w:rsidR="008B2CC1" w:rsidRPr="008B2CC1" w:rsidRDefault="00E20CF7" w:rsidP="008B2CC1">
      <w:pPr>
        <w:rPr>
          <w:i/>
        </w:rPr>
      </w:pPr>
      <w:bookmarkStart w:id="5" w:name="Prepared"/>
      <w:bookmarkEnd w:id="5"/>
      <w:proofErr w:type="gramStart"/>
      <w:r>
        <w:rPr>
          <w:i/>
        </w:rPr>
        <w:t>p</w:t>
      </w:r>
      <w:r w:rsidR="00DF0318">
        <w:rPr>
          <w:i/>
        </w:rPr>
        <w:t>repared</w:t>
      </w:r>
      <w:proofErr w:type="gramEnd"/>
      <w:r w:rsidR="00DF0318">
        <w:rPr>
          <w:i/>
        </w:rPr>
        <w:t xml:space="preserve"> by the Secretariat</w:t>
      </w:r>
    </w:p>
    <w:p w:rsidR="00AC205C" w:rsidRDefault="00AC205C"/>
    <w:p w:rsidR="002D5C9A" w:rsidRDefault="002D5C9A"/>
    <w:p w:rsidR="002D5C9A" w:rsidRDefault="002D5C9A"/>
    <w:p w:rsidR="000F5E56" w:rsidRDefault="000F5E56"/>
    <w:p w:rsidR="007460F8" w:rsidRPr="007460F8" w:rsidRDefault="007460F8" w:rsidP="00490D26">
      <w:pPr>
        <w:spacing w:after="240"/>
        <w:rPr>
          <w:b/>
        </w:rPr>
      </w:pPr>
      <w:r w:rsidRPr="007460F8">
        <w:rPr>
          <w:b/>
        </w:rPr>
        <w:t>INTRODUCTION</w:t>
      </w:r>
    </w:p>
    <w:p w:rsidR="008456C9" w:rsidRPr="00E3361A" w:rsidRDefault="00066065" w:rsidP="00E3361A">
      <w:pPr>
        <w:pStyle w:val="ONUME"/>
        <w:rPr>
          <w:u w:color="000000"/>
        </w:rPr>
      </w:pPr>
      <w:r w:rsidRPr="00E3361A">
        <w:rPr>
          <w:u w:color="000000"/>
        </w:rPr>
        <w:t>At t</w:t>
      </w:r>
      <w:r w:rsidR="008456C9" w:rsidRPr="00E3361A">
        <w:rPr>
          <w:u w:color="000000"/>
        </w:rPr>
        <w:t xml:space="preserve">he </w:t>
      </w:r>
      <w:r w:rsidRPr="00E3361A">
        <w:rPr>
          <w:u w:color="000000"/>
        </w:rPr>
        <w:t>Forty-Ninth Se</w:t>
      </w:r>
      <w:r w:rsidR="00E553DD">
        <w:rPr>
          <w:u w:color="000000"/>
        </w:rPr>
        <w:t>r</w:t>
      </w:r>
      <w:r w:rsidRPr="00E3361A">
        <w:rPr>
          <w:u w:color="000000"/>
        </w:rPr>
        <w:t>i</w:t>
      </w:r>
      <w:r w:rsidR="00E553DD">
        <w:rPr>
          <w:u w:color="000000"/>
        </w:rPr>
        <w:t>es of Meetings</w:t>
      </w:r>
      <w:r w:rsidRPr="00E3361A">
        <w:rPr>
          <w:u w:color="000000"/>
        </w:rPr>
        <w:t xml:space="preserve"> of the </w:t>
      </w:r>
      <w:r w:rsidR="008456C9" w:rsidRPr="00E3361A">
        <w:rPr>
          <w:u w:color="000000"/>
        </w:rPr>
        <w:t>Assemblies</w:t>
      </w:r>
      <w:r w:rsidRPr="00E3361A">
        <w:rPr>
          <w:u w:color="000000"/>
        </w:rPr>
        <w:t xml:space="preserve"> in 2011,</w:t>
      </w:r>
      <w:r w:rsidR="008456C9" w:rsidRPr="00E3361A">
        <w:rPr>
          <w:u w:color="000000"/>
        </w:rPr>
        <w:t xml:space="preserve"> </w:t>
      </w:r>
      <w:r w:rsidR="00E3361A" w:rsidRPr="00E3361A">
        <w:rPr>
          <w:u w:color="000000"/>
        </w:rPr>
        <w:t xml:space="preserve">WIPO </w:t>
      </w:r>
      <w:r w:rsidR="008456C9" w:rsidRPr="00E3361A">
        <w:rPr>
          <w:u w:color="000000"/>
        </w:rPr>
        <w:t xml:space="preserve">Member States </w:t>
      </w:r>
      <w:r w:rsidRPr="00E3361A">
        <w:rPr>
          <w:u w:color="000000"/>
        </w:rPr>
        <w:t>decid</w:t>
      </w:r>
      <w:r w:rsidR="008456C9" w:rsidRPr="00E3361A">
        <w:rPr>
          <w:u w:color="000000"/>
        </w:rPr>
        <w:t>ed</w:t>
      </w:r>
      <w:r w:rsidRPr="00E3361A">
        <w:rPr>
          <w:u w:color="000000"/>
        </w:rPr>
        <w:t xml:space="preserve"> </w:t>
      </w:r>
      <w:r w:rsidR="006F3384">
        <w:rPr>
          <w:u w:color="000000"/>
        </w:rPr>
        <w:t>that the language coverage for documentation for meetings of the WIPO Main Bodies, Committees and Working Groups, as well as for core and new publications</w:t>
      </w:r>
      <w:r w:rsidR="00061235">
        <w:rPr>
          <w:u w:color="000000"/>
        </w:rPr>
        <w:t>,</w:t>
      </w:r>
      <w:r w:rsidR="006F3384">
        <w:rPr>
          <w:u w:color="000000"/>
        </w:rPr>
        <w:t xml:space="preserve"> shall be extended to the </w:t>
      </w:r>
      <w:r w:rsidR="00E3361A" w:rsidRPr="00E3361A">
        <w:rPr>
          <w:u w:color="000000"/>
        </w:rPr>
        <w:t>six official languages of the United Nations (Arabic, Chinese, Englis</w:t>
      </w:r>
      <w:r w:rsidR="006F3384">
        <w:rPr>
          <w:u w:color="000000"/>
        </w:rPr>
        <w:t>h, French, Russian and Spanish)</w:t>
      </w:r>
      <w:r w:rsidR="00061235">
        <w:rPr>
          <w:u w:color="000000"/>
        </w:rPr>
        <w:t>,</w:t>
      </w:r>
      <w:r w:rsidR="006F3384">
        <w:rPr>
          <w:u w:color="000000"/>
        </w:rPr>
        <w:t xml:space="preserve"> </w:t>
      </w:r>
      <w:r w:rsidR="00200918">
        <w:rPr>
          <w:u w:color="000000"/>
        </w:rPr>
        <w:t>in a phased manner that commenced in 2011.  It was also decided that</w:t>
      </w:r>
      <w:r w:rsidR="00E3361A" w:rsidRPr="00E3361A">
        <w:rPr>
          <w:u w:color="000000"/>
        </w:rPr>
        <w:t xml:space="preserve"> t</w:t>
      </w:r>
      <w:r w:rsidR="008456C9" w:rsidRPr="00E3361A">
        <w:rPr>
          <w:u w:color="000000"/>
        </w:rPr>
        <w:t xml:space="preserve">he cost of </w:t>
      </w:r>
      <w:r w:rsidR="00E3361A">
        <w:rPr>
          <w:u w:color="000000"/>
        </w:rPr>
        <w:t xml:space="preserve">such </w:t>
      </w:r>
      <w:r w:rsidR="008456C9" w:rsidRPr="00E3361A">
        <w:rPr>
          <w:u w:color="000000"/>
        </w:rPr>
        <w:t>language coverage for documentation o</w:t>
      </w:r>
      <w:r w:rsidR="00E3361A">
        <w:rPr>
          <w:u w:color="000000"/>
        </w:rPr>
        <w:t>f</w:t>
      </w:r>
      <w:r w:rsidR="008456C9" w:rsidRPr="00E3361A">
        <w:rPr>
          <w:u w:color="000000"/>
        </w:rPr>
        <w:t xml:space="preserve"> Working Groups </w:t>
      </w:r>
      <w:r w:rsidR="00200918">
        <w:rPr>
          <w:u w:color="000000"/>
        </w:rPr>
        <w:t>should</w:t>
      </w:r>
      <w:r w:rsidR="008456C9" w:rsidRPr="00E3361A">
        <w:rPr>
          <w:u w:color="000000"/>
        </w:rPr>
        <w:t xml:space="preserve"> be assessed in </w:t>
      </w:r>
      <w:r w:rsidR="00E3361A" w:rsidRPr="00E3361A">
        <w:rPr>
          <w:u w:color="000000"/>
        </w:rPr>
        <w:t>li</w:t>
      </w:r>
      <w:r w:rsidR="008456C9" w:rsidRPr="00E3361A">
        <w:rPr>
          <w:u w:color="000000"/>
        </w:rPr>
        <w:t xml:space="preserve">ght of </w:t>
      </w:r>
      <w:r w:rsidR="00E3361A" w:rsidRPr="00E3361A">
        <w:rPr>
          <w:u w:color="000000"/>
        </w:rPr>
        <w:t xml:space="preserve">the </w:t>
      </w:r>
      <w:r w:rsidR="008456C9" w:rsidRPr="00E3361A">
        <w:rPr>
          <w:u w:color="000000"/>
        </w:rPr>
        <w:t>experience gained in 2012/13 and in the context of the 2014/15 Program and Budget</w:t>
      </w:r>
      <w:r w:rsidR="00061235">
        <w:rPr>
          <w:u w:color="000000"/>
        </w:rPr>
        <w:t>;</w:t>
      </w:r>
      <w:r w:rsidR="00200918">
        <w:rPr>
          <w:u w:color="000000"/>
        </w:rPr>
        <w:t xml:space="preserve"> and that</w:t>
      </w:r>
      <w:r w:rsidR="00E3361A" w:rsidRPr="00E3361A">
        <w:rPr>
          <w:u w:color="000000"/>
        </w:rPr>
        <w:t xml:space="preserve"> t</w:t>
      </w:r>
      <w:r w:rsidR="008456C9" w:rsidRPr="00E3361A">
        <w:rPr>
          <w:u w:color="000000"/>
        </w:rPr>
        <w:t>he translation requirements for the WIPO web site sh</w:t>
      </w:r>
      <w:r w:rsidR="00061235">
        <w:rPr>
          <w:u w:color="000000"/>
        </w:rPr>
        <w:t>all</w:t>
      </w:r>
      <w:r w:rsidR="008456C9" w:rsidRPr="00E3361A">
        <w:rPr>
          <w:u w:color="000000"/>
        </w:rPr>
        <w:t xml:space="preserve"> be examined in more depth in parallel with the rest</w:t>
      </w:r>
      <w:r w:rsidR="00E3361A">
        <w:rPr>
          <w:u w:color="000000"/>
        </w:rPr>
        <w:t>ructuring of the said web site.</w:t>
      </w:r>
    </w:p>
    <w:p w:rsidR="00E553DD" w:rsidRPr="00D20811" w:rsidRDefault="00D20811" w:rsidP="00D20811">
      <w:pPr>
        <w:pStyle w:val="ONUME"/>
        <w:rPr>
          <w:u w:color="000000"/>
        </w:rPr>
      </w:pPr>
      <w:r>
        <w:rPr>
          <w:u w:color="000000"/>
        </w:rPr>
        <w:t xml:space="preserve">The issue on the extension of full language coverage to </w:t>
      </w:r>
      <w:r w:rsidRPr="00E3361A">
        <w:rPr>
          <w:u w:color="000000"/>
        </w:rPr>
        <w:t>documentation o</w:t>
      </w:r>
      <w:r>
        <w:rPr>
          <w:u w:color="000000"/>
        </w:rPr>
        <w:t>f</w:t>
      </w:r>
      <w:r w:rsidRPr="00E3361A">
        <w:rPr>
          <w:u w:color="000000"/>
        </w:rPr>
        <w:t xml:space="preserve"> Working Groups</w:t>
      </w:r>
      <w:r>
        <w:rPr>
          <w:u w:color="000000"/>
        </w:rPr>
        <w:t xml:space="preserve"> was addressed i</w:t>
      </w:r>
      <w:r w:rsidR="00E553DD">
        <w:rPr>
          <w:u w:color="000000"/>
        </w:rPr>
        <w:t>n</w:t>
      </w:r>
      <w:r w:rsidR="008456C9" w:rsidRPr="00434A07">
        <w:rPr>
          <w:u w:color="000000"/>
        </w:rPr>
        <w:t xml:space="preserve"> the </w:t>
      </w:r>
      <w:r w:rsidR="00E553DD">
        <w:rPr>
          <w:u w:color="000000"/>
        </w:rPr>
        <w:t>Progress Report on the Implementation of WIPO Language Policy</w:t>
      </w:r>
      <w:r w:rsidR="000562D0">
        <w:rPr>
          <w:rStyle w:val="FootnoteReference"/>
          <w:u w:color="000000"/>
        </w:rPr>
        <w:footnoteReference w:id="2"/>
      </w:r>
      <w:r>
        <w:rPr>
          <w:u w:color="000000"/>
        </w:rPr>
        <w:t xml:space="preserve"> </w:t>
      </w:r>
      <w:r w:rsidR="00E553DD">
        <w:rPr>
          <w:u w:color="000000"/>
        </w:rPr>
        <w:t>at</w:t>
      </w:r>
      <w:r w:rsidR="00E553DD" w:rsidRPr="00E553DD">
        <w:rPr>
          <w:u w:color="000000"/>
        </w:rPr>
        <w:t xml:space="preserve"> </w:t>
      </w:r>
      <w:r w:rsidR="00E553DD" w:rsidRPr="00E3361A">
        <w:rPr>
          <w:u w:color="000000"/>
        </w:rPr>
        <w:t>the F</w:t>
      </w:r>
      <w:r w:rsidR="00E553DD">
        <w:rPr>
          <w:u w:color="000000"/>
        </w:rPr>
        <w:t>if</w:t>
      </w:r>
      <w:r w:rsidR="00E553DD" w:rsidRPr="00E3361A">
        <w:rPr>
          <w:u w:color="000000"/>
        </w:rPr>
        <w:t>ty-</w:t>
      </w:r>
      <w:r w:rsidR="00E553DD">
        <w:rPr>
          <w:u w:color="000000"/>
        </w:rPr>
        <w:t>First</w:t>
      </w:r>
      <w:r w:rsidR="00E553DD" w:rsidRPr="00E3361A">
        <w:rPr>
          <w:u w:color="000000"/>
        </w:rPr>
        <w:t xml:space="preserve"> Se</w:t>
      </w:r>
      <w:r w:rsidR="00E553DD">
        <w:rPr>
          <w:u w:color="000000"/>
        </w:rPr>
        <w:t>r</w:t>
      </w:r>
      <w:r w:rsidR="00E553DD" w:rsidRPr="00E3361A">
        <w:rPr>
          <w:u w:color="000000"/>
        </w:rPr>
        <w:t>i</w:t>
      </w:r>
      <w:r w:rsidR="00E553DD">
        <w:rPr>
          <w:u w:color="000000"/>
        </w:rPr>
        <w:t>es</w:t>
      </w:r>
      <w:r w:rsidR="00E553DD" w:rsidRPr="00E3361A">
        <w:rPr>
          <w:u w:color="000000"/>
        </w:rPr>
        <w:t xml:space="preserve"> of </w:t>
      </w:r>
      <w:r w:rsidR="00E553DD">
        <w:rPr>
          <w:u w:color="000000"/>
        </w:rPr>
        <w:t xml:space="preserve">Meetings </w:t>
      </w:r>
      <w:r>
        <w:rPr>
          <w:u w:color="000000"/>
        </w:rPr>
        <w:t xml:space="preserve">of the </w:t>
      </w:r>
      <w:r w:rsidRPr="00E3361A">
        <w:rPr>
          <w:u w:color="000000"/>
        </w:rPr>
        <w:t>Assemblies</w:t>
      </w:r>
      <w:r>
        <w:rPr>
          <w:u w:color="000000"/>
        </w:rPr>
        <w:t xml:space="preserve"> </w:t>
      </w:r>
      <w:r w:rsidR="00E553DD" w:rsidRPr="00E3361A">
        <w:rPr>
          <w:u w:color="000000"/>
        </w:rPr>
        <w:t>in 201</w:t>
      </w:r>
      <w:r w:rsidR="00E553DD">
        <w:rPr>
          <w:u w:color="000000"/>
        </w:rPr>
        <w:t>3</w:t>
      </w:r>
      <w:r w:rsidR="008456C9" w:rsidRPr="00D20811">
        <w:rPr>
          <w:u w:color="000000"/>
        </w:rPr>
        <w:t xml:space="preserve">, </w:t>
      </w:r>
      <w:r>
        <w:rPr>
          <w:u w:color="000000"/>
        </w:rPr>
        <w:t>at which Member States</w:t>
      </w:r>
      <w:r w:rsidR="00E553DD" w:rsidRPr="00D20811">
        <w:rPr>
          <w:u w:color="000000"/>
        </w:rPr>
        <w:t xml:space="preserve"> approved the recommendation of the Program and Budget Committee, as follows:</w:t>
      </w:r>
      <w:r w:rsidR="007C24B2">
        <w:rPr>
          <w:rStyle w:val="FootnoteReference"/>
          <w:u w:color="000000"/>
        </w:rPr>
        <w:footnoteReference w:id="3"/>
      </w:r>
    </w:p>
    <w:p w:rsidR="00560153" w:rsidRPr="00644BBC" w:rsidRDefault="00560153" w:rsidP="00560153">
      <w:pPr>
        <w:spacing w:after="220"/>
        <w:ind w:leftChars="257" w:left="565"/>
        <w:rPr>
          <w:i/>
          <w:iCs/>
          <w:szCs w:val="22"/>
        </w:rPr>
      </w:pPr>
      <w:r>
        <w:rPr>
          <w:i/>
          <w:iCs/>
        </w:rPr>
        <w:t>“</w:t>
      </w:r>
      <w:r w:rsidRPr="00644BBC">
        <w:rPr>
          <w:i/>
          <w:iCs/>
          <w:szCs w:val="22"/>
        </w:rPr>
        <w:t>Based on the information contained in this document and the importance attached to ensuring the availability of documentation for the Working Groups in six languages, the following proposals are submitted for the consideration of Member States:</w:t>
      </w:r>
    </w:p>
    <w:p w:rsidR="00560153" w:rsidRPr="00644BBC" w:rsidRDefault="00560153" w:rsidP="000562D0">
      <w:pPr>
        <w:keepNext/>
        <w:keepLines/>
        <w:widowControl w:val="0"/>
        <w:numPr>
          <w:ilvl w:val="0"/>
          <w:numId w:val="6"/>
        </w:numPr>
        <w:tabs>
          <w:tab w:val="clear" w:pos="619"/>
          <w:tab w:val="num" w:pos="1494"/>
        </w:tabs>
        <w:suppressAutoHyphens/>
        <w:spacing w:after="120"/>
        <w:ind w:left="1134" w:firstLine="0"/>
        <w:rPr>
          <w:i/>
          <w:iCs/>
          <w:szCs w:val="22"/>
        </w:rPr>
      </w:pPr>
      <w:r w:rsidRPr="00644BBC">
        <w:rPr>
          <w:i/>
          <w:iCs/>
          <w:szCs w:val="22"/>
        </w:rPr>
        <w:lastRenderedPageBreak/>
        <w:t>The Secretariat will continue to apply the rationalization and control measures to further reduce the number and average length of working documents;</w:t>
      </w:r>
    </w:p>
    <w:p w:rsidR="00560153" w:rsidRPr="00644BBC" w:rsidRDefault="00560153" w:rsidP="000562D0">
      <w:pPr>
        <w:keepNext/>
        <w:keepLines/>
        <w:widowControl w:val="0"/>
        <w:numPr>
          <w:ilvl w:val="0"/>
          <w:numId w:val="6"/>
        </w:numPr>
        <w:tabs>
          <w:tab w:val="clear" w:pos="619"/>
          <w:tab w:val="num" w:pos="1494"/>
        </w:tabs>
        <w:suppressAutoHyphens/>
        <w:spacing w:after="120"/>
        <w:ind w:left="1134" w:firstLine="0"/>
        <w:rPr>
          <w:i/>
          <w:iCs/>
          <w:szCs w:val="22"/>
        </w:rPr>
      </w:pPr>
      <w:r w:rsidRPr="00644BBC">
        <w:rPr>
          <w:i/>
          <w:iCs/>
          <w:szCs w:val="22"/>
        </w:rPr>
        <w:t>At the same time, the six-language coverage, for the documentation for the Working Groups, will commence, in a phased and cost effective manner, during the biennium 2014/15, and the additional cost of such coverage reflected in the Program and Budget;</w:t>
      </w:r>
    </w:p>
    <w:p w:rsidR="00560153" w:rsidRPr="00644BBC" w:rsidRDefault="00560153" w:rsidP="000562D0">
      <w:pPr>
        <w:keepNext/>
        <w:keepLines/>
        <w:widowControl w:val="0"/>
        <w:numPr>
          <w:ilvl w:val="0"/>
          <w:numId w:val="6"/>
        </w:numPr>
        <w:tabs>
          <w:tab w:val="clear" w:pos="619"/>
          <w:tab w:val="num" w:pos="1494"/>
        </w:tabs>
        <w:suppressAutoHyphens/>
        <w:spacing w:after="120"/>
        <w:ind w:left="1134" w:firstLine="0"/>
        <w:rPr>
          <w:i/>
          <w:iCs/>
          <w:szCs w:val="22"/>
        </w:rPr>
      </w:pPr>
      <w:r w:rsidRPr="00644BBC">
        <w:rPr>
          <w:i/>
          <w:iCs/>
          <w:szCs w:val="22"/>
        </w:rPr>
        <w:t xml:space="preserve">The Secretariat will report to the next session of the PBC on the progress made </w:t>
      </w:r>
      <w:r w:rsidR="00061235">
        <w:rPr>
          <w:i/>
          <w:iCs/>
          <w:szCs w:val="22"/>
        </w:rPr>
        <w:t>in [this respect].</w:t>
      </w:r>
    </w:p>
    <w:p w:rsidR="00E553DD" w:rsidRDefault="005D3E06" w:rsidP="002E1D2A">
      <w:pPr>
        <w:pStyle w:val="ONUME"/>
        <w:rPr>
          <w:u w:color="000000"/>
        </w:rPr>
      </w:pPr>
      <w:r>
        <w:rPr>
          <w:u w:color="000000"/>
        </w:rPr>
        <w:t xml:space="preserve">The current document </w:t>
      </w:r>
      <w:r w:rsidR="006071D8">
        <w:rPr>
          <w:u w:color="000000"/>
        </w:rPr>
        <w:t>constitutes a</w:t>
      </w:r>
      <w:r w:rsidR="006B75E7">
        <w:rPr>
          <w:u w:color="000000"/>
        </w:rPr>
        <w:t xml:space="preserve"> progress report</w:t>
      </w:r>
      <w:r w:rsidR="005662AE">
        <w:rPr>
          <w:u w:color="000000"/>
        </w:rPr>
        <w:t xml:space="preserve"> on the implementation of the Language Policy, including</w:t>
      </w:r>
      <w:r>
        <w:rPr>
          <w:u w:color="000000"/>
        </w:rPr>
        <w:t xml:space="preserve"> the progress made in respect of the</w:t>
      </w:r>
      <w:r w:rsidR="006071D8">
        <w:rPr>
          <w:u w:color="000000"/>
        </w:rPr>
        <w:t xml:space="preserve"> above</w:t>
      </w:r>
      <w:r>
        <w:rPr>
          <w:u w:color="000000"/>
        </w:rPr>
        <w:t xml:space="preserve"> decision.</w:t>
      </w:r>
    </w:p>
    <w:p w:rsidR="00515AE3" w:rsidRDefault="00515AE3" w:rsidP="00515AE3">
      <w:pPr>
        <w:pStyle w:val="ONUME"/>
        <w:numPr>
          <w:ilvl w:val="0"/>
          <w:numId w:val="0"/>
        </w:numPr>
        <w:rPr>
          <w:u w:color="000000"/>
        </w:rPr>
      </w:pPr>
    </w:p>
    <w:p w:rsidR="008456C9" w:rsidRDefault="008456C9" w:rsidP="00490D26">
      <w:pPr>
        <w:spacing w:after="240"/>
        <w:rPr>
          <w:rFonts w:eastAsia="Arial Unicode MS" w:hAnsi="Arial Unicode MS"/>
          <w:b/>
          <w:color w:val="000000"/>
          <w:u w:color="000000"/>
        </w:rPr>
      </w:pPr>
      <w:r w:rsidRPr="00490D26">
        <w:rPr>
          <w:b/>
        </w:rPr>
        <w:t>IMPLEMENTATION</w:t>
      </w:r>
      <w:r w:rsidR="00F72F8C">
        <w:rPr>
          <w:rFonts w:eastAsia="Arial Unicode MS" w:hAnsi="Arial Unicode MS"/>
          <w:b/>
          <w:color w:val="000000"/>
          <w:u w:color="000000"/>
        </w:rPr>
        <w:t xml:space="preserve"> </w:t>
      </w:r>
      <w:r w:rsidR="006071D8">
        <w:rPr>
          <w:rFonts w:eastAsia="Arial Unicode MS" w:hAnsi="Arial Unicode MS"/>
          <w:b/>
          <w:color w:val="000000"/>
          <w:u w:color="000000"/>
        </w:rPr>
        <w:t xml:space="preserve">SINCE </w:t>
      </w:r>
      <w:r w:rsidR="00FB37A0">
        <w:rPr>
          <w:rFonts w:eastAsia="Arial Unicode MS" w:hAnsi="Arial Unicode MS"/>
          <w:b/>
          <w:color w:val="000000"/>
          <w:u w:color="000000"/>
        </w:rPr>
        <w:t>2011</w:t>
      </w:r>
    </w:p>
    <w:p w:rsidR="00490D26" w:rsidRPr="00490D26" w:rsidRDefault="00490D26" w:rsidP="00490D26">
      <w:pPr>
        <w:pStyle w:val="ONUME"/>
        <w:numPr>
          <w:ilvl w:val="0"/>
          <w:numId w:val="0"/>
        </w:numPr>
        <w:rPr>
          <w:u w:val="single" w:color="000000"/>
        </w:rPr>
      </w:pPr>
      <w:r w:rsidRPr="00490D26">
        <w:rPr>
          <w:u w:val="single" w:color="000000"/>
        </w:rPr>
        <w:t>Status of Implementation</w:t>
      </w:r>
    </w:p>
    <w:p w:rsidR="00320794" w:rsidRDefault="00320794" w:rsidP="00513C9C">
      <w:pPr>
        <w:pStyle w:val="ONUME"/>
        <w:rPr>
          <w:u w:color="000000"/>
        </w:rPr>
      </w:pPr>
      <w:r w:rsidRPr="00320794">
        <w:rPr>
          <w:u w:color="000000"/>
        </w:rPr>
        <w:t xml:space="preserve">The Secretariat </w:t>
      </w:r>
      <w:r>
        <w:rPr>
          <w:u w:color="000000"/>
        </w:rPr>
        <w:t xml:space="preserve">took </w:t>
      </w:r>
      <w:r w:rsidR="000A3EAA">
        <w:rPr>
          <w:u w:color="000000"/>
        </w:rPr>
        <w:t>up the implementation of the P</w:t>
      </w:r>
      <w:r w:rsidRPr="00320794">
        <w:rPr>
          <w:u w:color="000000"/>
        </w:rPr>
        <w:t xml:space="preserve">olicy, </w:t>
      </w:r>
      <w:r>
        <w:rPr>
          <w:u w:color="000000"/>
        </w:rPr>
        <w:t xml:space="preserve">extending the six-language coverage, </w:t>
      </w:r>
      <w:r w:rsidRPr="00320794">
        <w:rPr>
          <w:u w:color="000000"/>
        </w:rPr>
        <w:t xml:space="preserve">in phases, as </w:t>
      </w:r>
      <w:r>
        <w:rPr>
          <w:u w:color="000000"/>
        </w:rPr>
        <w:t>follows:</w:t>
      </w:r>
    </w:p>
    <w:p w:rsidR="00320794" w:rsidRDefault="00320794" w:rsidP="00320794">
      <w:pPr>
        <w:pStyle w:val="ONUME"/>
        <w:numPr>
          <w:ilvl w:val="1"/>
          <w:numId w:val="3"/>
        </w:numPr>
        <w:rPr>
          <w:u w:color="000000"/>
        </w:rPr>
      </w:pPr>
      <w:r>
        <w:rPr>
          <w:u w:color="000000"/>
        </w:rPr>
        <w:t>Meeting d</w:t>
      </w:r>
      <w:r w:rsidR="008456C9" w:rsidRPr="00320794">
        <w:rPr>
          <w:u w:color="000000"/>
        </w:rPr>
        <w:t xml:space="preserve">ocumentation for </w:t>
      </w:r>
      <w:r>
        <w:rPr>
          <w:u w:color="000000"/>
        </w:rPr>
        <w:t>all Standing Committees by the end of 2012.</w:t>
      </w:r>
    </w:p>
    <w:p w:rsidR="00320794" w:rsidRDefault="00320794" w:rsidP="00320794">
      <w:pPr>
        <w:pStyle w:val="ONUME"/>
        <w:numPr>
          <w:ilvl w:val="1"/>
          <w:numId w:val="3"/>
        </w:numPr>
        <w:rPr>
          <w:u w:color="000000"/>
        </w:rPr>
      </w:pPr>
      <w:r>
        <w:rPr>
          <w:u w:color="000000"/>
        </w:rPr>
        <w:t xml:space="preserve">Meeting documentation for all Main Bodies by the end of 2013. </w:t>
      </w:r>
    </w:p>
    <w:p w:rsidR="00320794" w:rsidRPr="00320794" w:rsidRDefault="00320794" w:rsidP="00320794">
      <w:pPr>
        <w:pStyle w:val="ONUME"/>
        <w:numPr>
          <w:ilvl w:val="1"/>
          <w:numId w:val="3"/>
        </w:numPr>
        <w:rPr>
          <w:u w:color="000000"/>
        </w:rPr>
      </w:pPr>
      <w:r>
        <w:t xml:space="preserve">Meeting documentation for the PCT Working Group and the Working Group on the Legal Development of the Hague System for the International Registration of Industrial Designs </w:t>
      </w:r>
      <w:r w:rsidR="00CE5ACA">
        <w:t xml:space="preserve">in </w:t>
      </w:r>
      <w:r>
        <w:t xml:space="preserve">2014. </w:t>
      </w:r>
      <w:r w:rsidR="00AC5D34">
        <w:t xml:space="preserve"> </w:t>
      </w:r>
      <w:r w:rsidR="000850AC">
        <w:t xml:space="preserve">The same will be </w:t>
      </w:r>
      <w:r>
        <w:t>extend</w:t>
      </w:r>
      <w:r w:rsidR="000850AC">
        <w:t>ed</w:t>
      </w:r>
      <w:r>
        <w:t xml:space="preserve"> to the Working Group on the Legal Development of the Madrid System for the International Registration of Marks</w:t>
      </w:r>
      <w:proofErr w:type="gramStart"/>
      <w:r>
        <w:t xml:space="preserve">; </w:t>
      </w:r>
      <w:r w:rsidR="00441FF3">
        <w:t xml:space="preserve"> </w:t>
      </w:r>
      <w:r>
        <w:t>the</w:t>
      </w:r>
      <w:proofErr w:type="gramEnd"/>
      <w:r>
        <w:t xml:space="preserve"> IPC Revision Working Group; </w:t>
      </w:r>
      <w:r w:rsidR="00441FF3">
        <w:t xml:space="preserve"> </w:t>
      </w:r>
      <w:r>
        <w:t xml:space="preserve">and the Working Group on the Digital Access Service for Priority Documents, by the end of 2015. </w:t>
      </w:r>
      <w:r w:rsidR="00AC5D34">
        <w:t xml:space="preserve"> </w:t>
      </w:r>
      <w:r>
        <w:t xml:space="preserve">The coverage </w:t>
      </w:r>
      <w:r w:rsidR="00CE5ACA">
        <w:t xml:space="preserve">for </w:t>
      </w:r>
      <w:r>
        <w:t xml:space="preserve">the remaining working groups will be extended in the next biennium. </w:t>
      </w:r>
    </w:p>
    <w:p w:rsidR="00490D26" w:rsidRPr="00490D26" w:rsidRDefault="003F4FF9" w:rsidP="00490D26">
      <w:pPr>
        <w:pStyle w:val="ONUME"/>
        <w:numPr>
          <w:ilvl w:val="0"/>
          <w:numId w:val="0"/>
        </w:numPr>
        <w:rPr>
          <w:u w:val="single" w:color="000000"/>
        </w:rPr>
      </w:pPr>
      <w:r>
        <w:rPr>
          <w:u w:val="single" w:color="000000"/>
        </w:rPr>
        <w:t xml:space="preserve">Rationalization and Control Measures </w:t>
      </w:r>
    </w:p>
    <w:p w:rsidR="007176F8" w:rsidRDefault="00992E94" w:rsidP="00EC2A9A">
      <w:pPr>
        <w:pStyle w:val="ONUME"/>
      </w:pPr>
      <w:r>
        <w:rPr>
          <w:rFonts w:hint="eastAsia"/>
          <w:szCs w:val="22"/>
        </w:rPr>
        <w:t xml:space="preserve">In order to contain </w:t>
      </w:r>
      <w:r>
        <w:rPr>
          <w:szCs w:val="22"/>
        </w:rPr>
        <w:t>the</w:t>
      </w:r>
      <w:r>
        <w:rPr>
          <w:rFonts w:hint="eastAsia"/>
          <w:szCs w:val="22"/>
        </w:rPr>
        <w:t xml:space="preserve"> increase in the workload</w:t>
      </w:r>
      <w:r w:rsidR="00CE5ACA">
        <w:rPr>
          <w:szCs w:val="22"/>
        </w:rPr>
        <w:t>,</w:t>
      </w:r>
      <w:r>
        <w:rPr>
          <w:szCs w:val="22"/>
        </w:rPr>
        <w:t xml:space="preserve"> as a result of </w:t>
      </w:r>
      <w:r w:rsidR="00CE5ACA">
        <w:rPr>
          <w:szCs w:val="22"/>
        </w:rPr>
        <w:t xml:space="preserve">the </w:t>
      </w:r>
      <w:r>
        <w:rPr>
          <w:szCs w:val="22"/>
        </w:rPr>
        <w:t xml:space="preserve">expansion of </w:t>
      </w:r>
      <w:r w:rsidR="00CE5ACA">
        <w:rPr>
          <w:szCs w:val="22"/>
        </w:rPr>
        <w:t xml:space="preserve">the </w:t>
      </w:r>
      <w:r>
        <w:rPr>
          <w:szCs w:val="22"/>
        </w:rPr>
        <w:t>language coverage</w:t>
      </w:r>
      <w:r>
        <w:rPr>
          <w:rFonts w:hint="eastAsia"/>
          <w:szCs w:val="22"/>
        </w:rPr>
        <w:t xml:space="preserve">, </w:t>
      </w:r>
      <w:r>
        <w:rPr>
          <w:szCs w:val="22"/>
        </w:rPr>
        <w:t>the</w:t>
      </w:r>
      <w:r>
        <w:rPr>
          <w:rFonts w:hint="eastAsia"/>
          <w:szCs w:val="22"/>
        </w:rPr>
        <w:t xml:space="preserve"> Secretariat instituted </w:t>
      </w:r>
      <w:r>
        <w:rPr>
          <w:szCs w:val="22"/>
        </w:rPr>
        <w:t>rationalization</w:t>
      </w:r>
      <w:r>
        <w:rPr>
          <w:rFonts w:hint="eastAsia"/>
          <w:szCs w:val="22"/>
        </w:rPr>
        <w:t xml:space="preserve"> </w:t>
      </w:r>
      <w:r w:rsidR="005858E9">
        <w:rPr>
          <w:szCs w:val="22"/>
        </w:rPr>
        <w:t xml:space="preserve">and control </w:t>
      </w:r>
      <w:r>
        <w:rPr>
          <w:rFonts w:hint="eastAsia"/>
          <w:szCs w:val="22"/>
        </w:rPr>
        <w:t>measures over the size of source texts in meeting documentation</w:t>
      </w:r>
      <w:r>
        <w:rPr>
          <w:szCs w:val="22"/>
        </w:rPr>
        <w:t>, i.e</w:t>
      </w:r>
      <w:r>
        <w:rPr>
          <w:rFonts w:hint="eastAsia"/>
          <w:szCs w:val="22"/>
        </w:rPr>
        <w:t xml:space="preserve">. </w:t>
      </w:r>
      <w:r>
        <w:rPr>
          <w:u w:color="000000"/>
        </w:rPr>
        <w:t>working documents should not go beyond  3,300 words</w:t>
      </w:r>
      <w:r>
        <w:rPr>
          <w:rFonts w:hint="eastAsia"/>
          <w:u w:color="000000"/>
        </w:rPr>
        <w:t xml:space="preserve">, or </w:t>
      </w:r>
      <w:r>
        <w:rPr>
          <w:u w:color="000000"/>
        </w:rPr>
        <w:t>10 standard UN pages</w:t>
      </w:r>
      <w:r w:rsidR="00E11099">
        <w:rPr>
          <w:u w:color="000000"/>
        </w:rPr>
        <w:t xml:space="preserve">; </w:t>
      </w:r>
      <w:r w:rsidR="00AC5D34">
        <w:rPr>
          <w:u w:color="000000"/>
        </w:rPr>
        <w:t xml:space="preserve"> </w:t>
      </w:r>
      <w:r w:rsidR="00E11099">
        <w:rPr>
          <w:u w:color="000000"/>
        </w:rPr>
        <w:t>and</w:t>
      </w:r>
      <w:r>
        <w:rPr>
          <w:u w:color="000000"/>
        </w:rPr>
        <w:t xml:space="preserve"> f</w:t>
      </w:r>
      <w:r>
        <w:rPr>
          <w:rFonts w:hint="eastAsia"/>
          <w:u w:color="000000"/>
        </w:rPr>
        <w:t>or</w:t>
      </w:r>
      <w:r>
        <w:rPr>
          <w:u w:color="000000"/>
        </w:rPr>
        <w:t xml:space="preserve"> voluminous support documents, such as studies and surveys, executive summaries</w:t>
      </w:r>
      <w:r>
        <w:rPr>
          <w:rFonts w:hint="eastAsia"/>
          <w:u w:color="000000"/>
        </w:rPr>
        <w:t xml:space="preserve"> with no more than </w:t>
      </w:r>
      <w:r>
        <w:rPr>
          <w:u w:color="000000"/>
        </w:rPr>
        <w:t>3,300 words</w:t>
      </w:r>
      <w:r>
        <w:rPr>
          <w:rFonts w:hint="eastAsia"/>
          <w:u w:color="000000"/>
        </w:rPr>
        <w:t xml:space="preserve"> should be prepared, and</w:t>
      </w:r>
      <w:r>
        <w:rPr>
          <w:u w:color="000000"/>
        </w:rPr>
        <w:t xml:space="preserve"> only the</w:t>
      </w:r>
      <w:r w:rsidR="00441FF3">
        <w:rPr>
          <w:u w:color="000000"/>
        </w:rPr>
        <w:t>se</w:t>
      </w:r>
      <w:r>
        <w:rPr>
          <w:u w:color="000000"/>
        </w:rPr>
        <w:t xml:space="preserve"> executive summar</w:t>
      </w:r>
      <w:r>
        <w:rPr>
          <w:rFonts w:hint="eastAsia"/>
          <w:u w:color="000000"/>
        </w:rPr>
        <w:t xml:space="preserve">ies </w:t>
      </w:r>
      <w:r w:rsidR="00441FF3">
        <w:rPr>
          <w:u w:color="000000"/>
        </w:rPr>
        <w:t xml:space="preserve">are </w:t>
      </w:r>
      <w:r>
        <w:rPr>
          <w:rFonts w:hint="eastAsia"/>
          <w:u w:color="000000"/>
        </w:rPr>
        <w:t>to</w:t>
      </w:r>
      <w:r w:rsidR="00E11099">
        <w:rPr>
          <w:u w:color="000000"/>
        </w:rPr>
        <w:t xml:space="preserve"> be translated into all the</w:t>
      </w:r>
      <w:r>
        <w:rPr>
          <w:u w:color="000000"/>
        </w:rPr>
        <w:t xml:space="preserve"> other </w:t>
      </w:r>
      <w:r w:rsidR="00441FF3">
        <w:rPr>
          <w:u w:color="000000"/>
        </w:rPr>
        <w:t xml:space="preserve">official UN </w:t>
      </w:r>
      <w:r>
        <w:rPr>
          <w:u w:color="000000"/>
        </w:rPr>
        <w:t>languages</w:t>
      </w:r>
      <w:r>
        <w:rPr>
          <w:rFonts w:hint="eastAsia"/>
          <w:u w:color="000000"/>
        </w:rPr>
        <w:t xml:space="preserve"> unless </w:t>
      </w:r>
      <w:r w:rsidR="00441FF3">
        <w:rPr>
          <w:u w:color="000000"/>
        </w:rPr>
        <w:t xml:space="preserve">the document has been </w:t>
      </w:r>
      <w:r>
        <w:rPr>
          <w:rFonts w:hint="eastAsia"/>
          <w:u w:color="000000"/>
        </w:rPr>
        <w:t>expressly requested by a Member State for translation</w:t>
      </w:r>
      <w:r w:rsidR="00441FF3">
        <w:rPr>
          <w:u w:color="000000"/>
        </w:rPr>
        <w:t xml:space="preserve"> in its entirety</w:t>
      </w:r>
      <w:r>
        <w:rPr>
          <w:rFonts w:hint="eastAsia"/>
          <w:u w:color="000000"/>
        </w:rPr>
        <w:t xml:space="preserve"> into another official language</w:t>
      </w:r>
      <w:r>
        <w:rPr>
          <w:u w:color="000000"/>
        </w:rPr>
        <w:t>.</w:t>
      </w:r>
    </w:p>
    <w:p w:rsidR="00CE5DAD" w:rsidRPr="00A127EC" w:rsidRDefault="00DE4FE6" w:rsidP="00FF0C43">
      <w:pPr>
        <w:pStyle w:val="ONUME"/>
      </w:pPr>
      <w:r>
        <w:rPr>
          <w:u w:color="000000"/>
        </w:rPr>
        <w:t>As noted in the Progress Report on the Implementation of WIPO Language Policy</w:t>
      </w:r>
      <w:r w:rsidR="000562D0">
        <w:rPr>
          <w:rStyle w:val="FootnoteReference"/>
          <w:u w:color="000000"/>
        </w:rPr>
        <w:footnoteReference w:id="4"/>
      </w:r>
      <w:r>
        <w:rPr>
          <w:u w:color="000000"/>
        </w:rPr>
        <w:t>, the adoption of the Policy generated a 53 per cent increase in the number of translation requests in</w:t>
      </w:r>
      <w:r w:rsidR="006B75E7">
        <w:rPr>
          <w:u w:color="000000"/>
        </w:rPr>
        <w:t> </w:t>
      </w:r>
      <w:r>
        <w:rPr>
          <w:u w:color="000000"/>
        </w:rPr>
        <w:t>2012, as compared to 2011</w:t>
      </w:r>
      <w:r w:rsidR="008922E3">
        <w:rPr>
          <w:u w:color="000000"/>
        </w:rPr>
        <w:t xml:space="preserve">, which necessitated </w:t>
      </w:r>
      <w:r w:rsidR="00BF7E62">
        <w:rPr>
          <w:u w:color="000000"/>
        </w:rPr>
        <w:t>a</w:t>
      </w:r>
      <w:r w:rsidR="00CE5DAD">
        <w:rPr>
          <w:u w:color="000000"/>
        </w:rPr>
        <w:t xml:space="preserve">n increase </w:t>
      </w:r>
      <w:r w:rsidR="00BF7E62">
        <w:rPr>
          <w:u w:color="000000"/>
        </w:rPr>
        <w:t>in</w:t>
      </w:r>
      <w:r w:rsidR="00040AAB">
        <w:rPr>
          <w:u w:color="000000"/>
        </w:rPr>
        <w:t xml:space="preserve"> resources for outsourcing </w:t>
      </w:r>
      <w:r w:rsidR="00CE5DAD">
        <w:rPr>
          <w:u w:color="000000"/>
        </w:rPr>
        <w:t>activities</w:t>
      </w:r>
      <w:r w:rsidR="008922E3">
        <w:rPr>
          <w:u w:color="000000"/>
        </w:rPr>
        <w:t>.</w:t>
      </w:r>
    </w:p>
    <w:p w:rsidR="001B30A2" w:rsidRDefault="00DE4FE6" w:rsidP="00FF0C43">
      <w:pPr>
        <w:pStyle w:val="ONUME"/>
      </w:pPr>
      <w:r>
        <w:t>More rigorous application of rationalization and control</w:t>
      </w:r>
      <w:r w:rsidR="005858E9">
        <w:t xml:space="preserve"> measures </w:t>
      </w:r>
      <w:r w:rsidR="00E11099">
        <w:t>helped to curb the rapid increase of workload</w:t>
      </w:r>
      <w:r>
        <w:t xml:space="preserve"> </w:t>
      </w:r>
      <w:r w:rsidR="0064656A">
        <w:t xml:space="preserve">in </w:t>
      </w:r>
      <w:r w:rsidR="001E5FF5">
        <w:t>2013</w:t>
      </w:r>
      <w:r w:rsidR="0064656A">
        <w:t>.</w:t>
      </w:r>
      <w:r w:rsidR="006B75E7">
        <w:t xml:space="preserve"> </w:t>
      </w:r>
      <w:r w:rsidR="0064656A">
        <w:t xml:space="preserve"> </w:t>
      </w:r>
      <w:r w:rsidR="00E11099">
        <w:t>While a</w:t>
      </w:r>
      <w:r w:rsidR="00E11099" w:rsidRPr="00E11099">
        <w:t xml:space="preserve"> to</w:t>
      </w:r>
      <w:r w:rsidR="006B75E7">
        <w:t>tal of 18.24 million </w:t>
      </w:r>
      <w:r w:rsidR="00E11099">
        <w:t>words</w:t>
      </w:r>
      <w:r w:rsidR="00E11099" w:rsidRPr="00E11099">
        <w:t xml:space="preserve"> </w:t>
      </w:r>
      <w:r w:rsidR="000562D0">
        <w:t>(</w:t>
      </w:r>
      <w:r w:rsidR="000562D0" w:rsidRPr="000562D0">
        <w:t>55,282 UN standard pages)</w:t>
      </w:r>
      <w:r w:rsidR="000562D0" w:rsidRPr="00E11099">
        <w:t xml:space="preserve"> </w:t>
      </w:r>
      <w:r w:rsidR="00E11099" w:rsidRPr="00E11099">
        <w:t>were translated in 2012</w:t>
      </w:r>
      <w:r w:rsidR="00E11099">
        <w:t xml:space="preserve">, </w:t>
      </w:r>
      <w:r w:rsidR="0064656A">
        <w:t xml:space="preserve">it </w:t>
      </w:r>
      <w:r w:rsidR="00552CF3">
        <w:t>dropped to</w:t>
      </w:r>
      <w:r w:rsidR="00515AE3">
        <w:t xml:space="preserve"> 14.93 </w:t>
      </w:r>
      <w:r w:rsidR="00E11099" w:rsidRPr="00E11099">
        <w:t xml:space="preserve">million words </w:t>
      </w:r>
      <w:r w:rsidR="000562D0">
        <w:t>(</w:t>
      </w:r>
      <w:r w:rsidR="000562D0" w:rsidRPr="000562D0">
        <w:t>45,242 UN standard pages</w:t>
      </w:r>
      <w:r w:rsidR="000562D0">
        <w:t>)</w:t>
      </w:r>
      <w:r w:rsidR="000562D0" w:rsidRPr="00E11099">
        <w:t xml:space="preserve"> </w:t>
      </w:r>
      <w:r w:rsidR="00E11099" w:rsidRPr="00E11099">
        <w:t>in 2013.</w:t>
      </w:r>
      <w:r w:rsidR="00FF0C43">
        <w:t xml:space="preserve">  Due to this decrease in the number of words translated, the expenditure on outsourcing</w:t>
      </w:r>
      <w:r w:rsidR="001E5FF5">
        <w:t xml:space="preserve"> </w:t>
      </w:r>
      <w:r w:rsidR="00843FA1">
        <w:t>went down</w:t>
      </w:r>
      <w:r w:rsidR="008922E3">
        <w:t>,</w:t>
      </w:r>
      <w:r w:rsidR="00843FA1">
        <w:t xml:space="preserve"> as shown in Table 2</w:t>
      </w:r>
      <w:r w:rsidR="00FF0C43">
        <w:t>.</w:t>
      </w:r>
    </w:p>
    <w:p w:rsidR="00D40B14" w:rsidRDefault="00D40B14" w:rsidP="00F03C46">
      <w:pPr>
        <w:pStyle w:val="ONUME"/>
      </w:pPr>
      <w:r>
        <w:lastRenderedPageBreak/>
        <w:t>It is proposed to continue with such measures in order to provide “more concise working documents”, as desired by Member States</w:t>
      </w:r>
      <w:r>
        <w:rPr>
          <w:rStyle w:val="FootnoteReference"/>
        </w:rPr>
        <w:footnoteReference w:id="5"/>
      </w:r>
      <w:r>
        <w:t>, as also to reduce the costs of translation.</w:t>
      </w:r>
    </w:p>
    <w:p w:rsidR="003F4FF9" w:rsidRPr="00D060D6" w:rsidRDefault="003F4FF9" w:rsidP="005858E9">
      <w:pPr>
        <w:pStyle w:val="ONUME"/>
        <w:keepNext/>
        <w:keepLines/>
        <w:numPr>
          <w:ilvl w:val="0"/>
          <w:numId w:val="0"/>
        </w:numPr>
        <w:rPr>
          <w:u w:val="single"/>
        </w:rPr>
      </w:pPr>
      <w:r w:rsidRPr="00D060D6">
        <w:rPr>
          <w:u w:val="single"/>
        </w:rPr>
        <w:t xml:space="preserve">Outsourcing </w:t>
      </w:r>
    </w:p>
    <w:p w:rsidR="007C24B2" w:rsidRDefault="003F4FF9" w:rsidP="005858E9">
      <w:pPr>
        <w:pStyle w:val="ONUME"/>
        <w:keepNext/>
        <w:keepLines/>
        <w:rPr>
          <w:szCs w:val="22"/>
        </w:rPr>
      </w:pPr>
      <w:r>
        <w:t>In response to the requests by Member States, the</w:t>
      </w:r>
      <w:r>
        <w:rPr>
          <w:rFonts w:hint="eastAsia"/>
        </w:rPr>
        <w:t xml:space="preserve"> </w:t>
      </w:r>
      <w:r w:rsidR="00A52979">
        <w:t xml:space="preserve">share </w:t>
      </w:r>
      <w:r>
        <w:rPr>
          <w:rFonts w:hint="eastAsia"/>
        </w:rPr>
        <w:t xml:space="preserve">of outsourcing </w:t>
      </w:r>
      <w:r w:rsidR="00A52979">
        <w:t xml:space="preserve">in total </w:t>
      </w:r>
      <w:r>
        <w:t xml:space="preserve">translation </w:t>
      </w:r>
      <w:r w:rsidR="000562D0">
        <w:rPr>
          <w:rFonts w:hint="eastAsia"/>
        </w:rPr>
        <w:t>has increased sharply</w:t>
      </w:r>
      <w:r>
        <w:rPr>
          <w:rFonts w:hint="eastAsia"/>
        </w:rPr>
        <w:t xml:space="preserve">.  </w:t>
      </w:r>
      <w:r>
        <w:t>Against</w:t>
      </w:r>
      <w:r>
        <w:rPr>
          <w:rFonts w:hint="eastAsia"/>
        </w:rPr>
        <w:t xml:space="preserve"> the </w:t>
      </w:r>
      <w:r w:rsidR="00CE5DAD">
        <w:rPr>
          <w:rFonts w:hint="eastAsia"/>
        </w:rPr>
        <w:t>baseline</w:t>
      </w:r>
      <w:r w:rsidR="00CE5DAD">
        <w:t>s of</w:t>
      </w:r>
      <w:r w:rsidR="00CE5DAD">
        <w:rPr>
          <w:rFonts w:hint="eastAsia"/>
        </w:rPr>
        <w:t xml:space="preserve"> </w:t>
      </w:r>
      <w:r>
        <w:rPr>
          <w:rFonts w:hint="eastAsia"/>
        </w:rPr>
        <w:t>3</w:t>
      </w:r>
      <w:r w:rsidR="007A6BF7">
        <w:t>0</w:t>
      </w:r>
      <w:r>
        <w:rPr>
          <w:rFonts w:hint="eastAsia"/>
        </w:rPr>
        <w:t xml:space="preserve"> per cent in 201</w:t>
      </w:r>
      <w:r w:rsidR="007A6BF7">
        <w:t>0</w:t>
      </w:r>
      <w:r w:rsidR="00CE5DAD">
        <w:t xml:space="preserve"> and 45 per cent in 2011</w:t>
      </w:r>
      <w:r>
        <w:rPr>
          <w:rFonts w:hint="eastAsia"/>
        </w:rPr>
        <w:t>, the</w:t>
      </w:r>
      <w:r w:rsidR="00A4361E">
        <w:t xml:space="preserve"> level of</w:t>
      </w:r>
      <w:r>
        <w:rPr>
          <w:rFonts w:hint="eastAsia"/>
        </w:rPr>
        <w:t xml:space="preserve"> outsourcing increased</w:t>
      </w:r>
      <w:r>
        <w:t xml:space="preserve"> to 56 per</w:t>
      </w:r>
      <w:r w:rsidR="006B75E7">
        <w:t> </w:t>
      </w:r>
      <w:r>
        <w:t>cent</w:t>
      </w:r>
      <w:r w:rsidR="00F107FB">
        <w:t xml:space="preserve">, </w:t>
      </w:r>
      <w:r>
        <w:t xml:space="preserve">in </w:t>
      </w:r>
      <w:r w:rsidR="00193D87">
        <w:t xml:space="preserve">the </w:t>
      </w:r>
      <w:r>
        <w:t>2012</w:t>
      </w:r>
      <w:r w:rsidR="00193D87">
        <w:t>/</w:t>
      </w:r>
      <w:r>
        <w:t>13</w:t>
      </w:r>
      <w:r w:rsidR="00193D87">
        <w:t xml:space="preserve"> biennium</w:t>
      </w:r>
      <w:r>
        <w:t xml:space="preserve">. </w:t>
      </w:r>
      <w:r w:rsidR="00AC5D34">
        <w:t xml:space="preserve"> </w:t>
      </w:r>
      <w:r w:rsidR="00F107FB">
        <w:t xml:space="preserve">In addition to outsourcing work to individual external translators, </w:t>
      </w:r>
      <w:r w:rsidR="00F107FB">
        <w:rPr>
          <w:szCs w:val="22"/>
        </w:rPr>
        <w:t xml:space="preserve">documentation in French and Spanish is also being </w:t>
      </w:r>
      <w:r w:rsidR="00F107FB" w:rsidRPr="008364AC">
        <w:rPr>
          <w:rFonts w:hint="eastAsia"/>
          <w:szCs w:val="22"/>
        </w:rPr>
        <w:t xml:space="preserve">outsourced to </w:t>
      </w:r>
      <w:r w:rsidR="00F107FB">
        <w:rPr>
          <w:rFonts w:hint="eastAsia"/>
          <w:szCs w:val="22"/>
        </w:rPr>
        <w:t>translation companies</w:t>
      </w:r>
      <w:r w:rsidR="00F107FB" w:rsidRPr="008364AC">
        <w:rPr>
          <w:rFonts w:hint="eastAsia"/>
          <w:szCs w:val="22"/>
        </w:rPr>
        <w:t xml:space="preserve"> identified through international calls for tender issued in 2011 and 2012, respectively.  With the </w:t>
      </w:r>
      <w:r w:rsidR="00F107FB">
        <w:rPr>
          <w:rFonts w:hint="eastAsia"/>
          <w:szCs w:val="22"/>
        </w:rPr>
        <w:t>experience gained in respect</w:t>
      </w:r>
      <w:r w:rsidR="00F107FB" w:rsidRPr="008364AC">
        <w:rPr>
          <w:rFonts w:hint="eastAsia"/>
          <w:szCs w:val="22"/>
        </w:rPr>
        <w:t xml:space="preserve"> of these two languages, three more international tendering processes have been initiated simultaneously for Arabic, Ch</w:t>
      </w:r>
      <w:r w:rsidR="00F107FB">
        <w:rPr>
          <w:rFonts w:hint="eastAsia"/>
          <w:szCs w:val="22"/>
        </w:rPr>
        <w:t>inese and Russian</w:t>
      </w:r>
      <w:r w:rsidR="00F107FB" w:rsidRPr="008364AC">
        <w:rPr>
          <w:rFonts w:hint="eastAsia"/>
          <w:szCs w:val="22"/>
        </w:rPr>
        <w:t>.</w:t>
      </w:r>
      <w:r w:rsidR="00F107FB">
        <w:rPr>
          <w:szCs w:val="22"/>
        </w:rPr>
        <w:t xml:space="preserve">  By the end of 2014, more translation companies would have been engaged to undertake outsourced translation work for the Secretariat.</w:t>
      </w:r>
    </w:p>
    <w:p w:rsidR="00F107FB" w:rsidRPr="005024DD" w:rsidRDefault="00160442" w:rsidP="00F107FB">
      <w:pPr>
        <w:pStyle w:val="ONUME"/>
      </w:pPr>
      <w:r>
        <w:t xml:space="preserve">However, at the same time, attention has to be given to the quality of translation.  </w:t>
      </w:r>
      <w:r w:rsidR="00F107FB">
        <w:t>During the discussions on the Language Policy, especially with regard to outsourcing, Member States expressed concerns over the quality of outsourced translations, and stressed the need to put in place quality con</w:t>
      </w:r>
      <w:r w:rsidR="004674A3">
        <w:t>trol measures.  Conscious of this need</w:t>
      </w:r>
      <w:r w:rsidR="00F107FB">
        <w:t xml:space="preserve">, the Secretariat has spelt out the concept of “quality at source”, </w:t>
      </w:r>
      <w:r w:rsidR="004674A3">
        <w:t>ensuring</w:t>
      </w:r>
      <w:r w:rsidR="00F107FB">
        <w:t xml:space="preserve"> that quality is built into the process at the earliest possible stages, commencing with the recruitment of competent translators.  A new and streamlined procedure has been applied for the accreditation of external translation providers, </w:t>
      </w:r>
      <w:r w:rsidR="004674A3">
        <w:t>comprising</w:t>
      </w:r>
      <w:r w:rsidR="00F107FB">
        <w:t xml:space="preserve"> various </w:t>
      </w:r>
      <w:r w:rsidR="00D060D6">
        <w:t>steps</w:t>
      </w:r>
      <w:r w:rsidR="00F107FB">
        <w:t xml:space="preserve"> such as evaluation of qualifications, on-site or on-line testing</w:t>
      </w:r>
      <w:r w:rsidR="004674A3">
        <w:t>,</w:t>
      </w:r>
      <w:r w:rsidR="00F107FB">
        <w:t xml:space="preserve"> and interview</w:t>
      </w:r>
      <w:r w:rsidR="004674A3">
        <w:t>s</w:t>
      </w:r>
      <w:r w:rsidR="00F107FB">
        <w:t>.</w:t>
      </w:r>
    </w:p>
    <w:p w:rsidR="00F107FB" w:rsidRPr="00C01DDE" w:rsidRDefault="00F107FB" w:rsidP="00F107FB">
      <w:pPr>
        <w:pStyle w:val="ONUME"/>
        <w:rPr>
          <w:szCs w:val="22"/>
        </w:rPr>
      </w:pPr>
      <w:r w:rsidRPr="004674A3">
        <w:rPr>
          <w:szCs w:val="22"/>
        </w:rPr>
        <w:t>In addition</w:t>
      </w:r>
      <w:r w:rsidRPr="004674A3">
        <w:rPr>
          <w:rFonts w:hint="eastAsia"/>
          <w:szCs w:val="22"/>
        </w:rPr>
        <w:t>, outsourced t</w:t>
      </w:r>
      <w:r w:rsidRPr="004674A3">
        <w:rPr>
          <w:szCs w:val="22"/>
        </w:rPr>
        <w:t>ranslations are checked by</w:t>
      </w:r>
      <w:r w:rsidRPr="004674A3">
        <w:rPr>
          <w:rFonts w:hint="eastAsia"/>
          <w:szCs w:val="22"/>
        </w:rPr>
        <w:t xml:space="preserve"> the</w:t>
      </w:r>
      <w:r w:rsidRPr="004674A3">
        <w:rPr>
          <w:szCs w:val="22"/>
        </w:rPr>
        <w:t xml:space="preserve"> in-house </w:t>
      </w:r>
      <w:r w:rsidRPr="004674A3">
        <w:rPr>
          <w:rFonts w:hint="eastAsia"/>
          <w:szCs w:val="22"/>
        </w:rPr>
        <w:t>core team</w:t>
      </w:r>
      <w:r w:rsidRPr="004674A3">
        <w:rPr>
          <w:szCs w:val="22"/>
        </w:rPr>
        <w:t xml:space="preserve"> in accordance with a number of</w:t>
      </w:r>
      <w:r w:rsidRPr="004674A3">
        <w:rPr>
          <w:rFonts w:hint="eastAsia"/>
          <w:szCs w:val="22"/>
        </w:rPr>
        <w:t xml:space="preserve"> pre-defined</w:t>
      </w:r>
      <w:r w:rsidRPr="004674A3">
        <w:rPr>
          <w:szCs w:val="22"/>
        </w:rPr>
        <w:t xml:space="preserve"> quality characteristics</w:t>
      </w:r>
      <w:r w:rsidRPr="004674A3">
        <w:rPr>
          <w:rFonts w:hint="eastAsia"/>
          <w:szCs w:val="22"/>
        </w:rPr>
        <w:t xml:space="preserve">, </w:t>
      </w:r>
      <w:r w:rsidRPr="004674A3">
        <w:rPr>
          <w:szCs w:val="22"/>
        </w:rPr>
        <w:t>such as accuracy, comprehension, completeness, terminological correctness, readability,</w:t>
      </w:r>
      <w:r w:rsidR="004674A3" w:rsidRPr="004674A3">
        <w:rPr>
          <w:szCs w:val="22"/>
        </w:rPr>
        <w:t xml:space="preserve"> style and </w:t>
      </w:r>
      <w:r w:rsidRPr="004674A3">
        <w:rPr>
          <w:szCs w:val="22"/>
        </w:rPr>
        <w:t>usability</w:t>
      </w:r>
      <w:r w:rsidRPr="004674A3">
        <w:rPr>
          <w:rFonts w:hint="eastAsia"/>
          <w:szCs w:val="22"/>
        </w:rPr>
        <w:t xml:space="preserve">.  </w:t>
      </w:r>
      <w:r w:rsidR="004674A3" w:rsidRPr="004674A3">
        <w:rPr>
          <w:szCs w:val="22"/>
        </w:rPr>
        <w:t>A</w:t>
      </w:r>
      <w:r>
        <w:t xml:space="preserve"> </w:t>
      </w:r>
      <w:r>
        <w:rPr>
          <w:rFonts w:hint="eastAsia"/>
        </w:rPr>
        <w:t xml:space="preserve">quality control process has </w:t>
      </w:r>
      <w:r w:rsidR="004674A3">
        <w:t xml:space="preserve">also </w:t>
      </w:r>
      <w:r>
        <w:rPr>
          <w:rFonts w:hint="eastAsia"/>
        </w:rPr>
        <w:t>been developed and uniformly applied</w:t>
      </w:r>
      <w:r>
        <w:t>, with</w:t>
      </w:r>
      <w:r>
        <w:rPr>
          <w:rFonts w:hint="eastAsia"/>
        </w:rPr>
        <w:t xml:space="preserve"> different measures, ranging from formatting, editing, reviewing, to partial </w:t>
      </w:r>
      <w:r>
        <w:t xml:space="preserve">and </w:t>
      </w:r>
      <w:r>
        <w:rPr>
          <w:rFonts w:hint="eastAsia"/>
        </w:rPr>
        <w:t xml:space="preserve">full revision.  </w:t>
      </w:r>
      <w:r w:rsidR="004674A3">
        <w:t xml:space="preserve">The quality of translation is also being </w:t>
      </w:r>
      <w:r>
        <w:rPr>
          <w:rFonts w:hint="eastAsia"/>
        </w:rPr>
        <w:t>linked to</w:t>
      </w:r>
      <w:r w:rsidR="004674A3">
        <w:t xml:space="preserve"> the </w:t>
      </w:r>
      <w:r w:rsidR="004674A3">
        <w:rPr>
          <w:rFonts w:hint="eastAsia"/>
        </w:rPr>
        <w:t>payment of remuneration</w:t>
      </w:r>
      <w:r w:rsidR="004674A3">
        <w:t>.</w:t>
      </w:r>
    </w:p>
    <w:p w:rsidR="00160442" w:rsidRPr="00827BD3" w:rsidRDefault="008922E3" w:rsidP="00F03C46">
      <w:pPr>
        <w:pStyle w:val="ONUME"/>
        <w:keepNext/>
        <w:keepLines/>
        <w:numPr>
          <w:ilvl w:val="0"/>
          <w:numId w:val="0"/>
        </w:numPr>
        <w:rPr>
          <w:szCs w:val="22"/>
          <w:u w:val="single"/>
        </w:rPr>
      </w:pPr>
      <w:r>
        <w:rPr>
          <w:u w:val="single"/>
        </w:rPr>
        <w:t>Translation Costs, Efficiencies and S</w:t>
      </w:r>
      <w:r w:rsidR="00A65756">
        <w:rPr>
          <w:u w:val="single"/>
        </w:rPr>
        <w:t>avings</w:t>
      </w:r>
    </w:p>
    <w:p w:rsidR="00C01DDE" w:rsidRDefault="00C01DDE" w:rsidP="00B10E98">
      <w:pPr>
        <w:pStyle w:val="ONUME"/>
      </w:pPr>
      <w:r w:rsidRPr="00827BD3">
        <w:t xml:space="preserve">Despite the rationalization and control measures, the extension of language coverage from two </w:t>
      </w:r>
      <w:r w:rsidRPr="00827BD3">
        <w:rPr>
          <w:rFonts w:eastAsiaTheme="minorEastAsia" w:hint="eastAsia"/>
        </w:rPr>
        <w:t xml:space="preserve">(English/French) </w:t>
      </w:r>
      <w:r w:rsidRPr="00827BD3">
        <w:t>or three</w:t>
      </w:r>
      <w:r w:rsidRPr="00827BD3">
        <w:rPr>
          <w:rFonts w:eastAsiaTheme="minorEastAsia" w:hint="eastAsia"/>
        </w:rPr>
        <w:t xml:space="preserve"> (English/French/Spanish)</w:t>
      </w:r>
      <w:r w:rsidRPr="00827BD3">
        <w:t xml:space="preserve"> to all the six UN languages</w:t>
      </w:r>
      <w:r w:rsidRPr="00827BD3">
        <w:rPr>
          <w:rFonts w:eastAsiaTheme="minorEastAsia" w:hint="eastAsia"/>
        </w:rPr>
        <w:t xml:space="preserve"> (Arabic/Chinese/Russian as well)</w:t>
      </w:r>
      <w:r w:rsidRPr="00827BD3">
        <w:t xml:space="preserve"> has resulted in the increase</w:t>
      </w:r>
      <w:r w:rsidRPr="00827BD3">
        <w:rPr>
          <w:rFonts w:eastAsiaTheme="minorEastAsia" w:hint="eastAsia"/>
        </w:rPr>
        <w:t xml:space="preserve"> of</w:t>
      </w:r>
      <w:r w:rsidRPr="00827BD3">
        <w:t xml:space="preserve"> the translation workload </w:t>
      </w:r>
      <w:r w:rsidRPr="00827BD3">
        <w:rPr>
          <w:rFonts w:eastAsiaTheme="minorEastAsia" w:hint="eastAsia"/>
        </w:rPr>
        <w:t>in</w:t>
      </w:r>
      <w:r w:rsidRPr="00827BD3">
        <w:t xml:space="preserve"> 2012/13 by over 35</w:t>
      </w:r>
      <w:r w:rsidR="00080E92">
        <w:t> per </w:t>
      </w:r>
      <w:r w:rsidRPr="00827BD3">
        <w:t xml:space="preserve">cent as compared to that of the 2010/11 biennium.  It is to be noted that the </w:t>
      </w:r>
      <w:r w:rsidRPr="00827BD3">
        <w:rPr>
          <w:rFonts w:eastAsiaTheme="minorEastAsia" w:hint="eastAsia"/>
        </w:rPr>
        <w:t>increase</w:t>
      </w:r>
      <w:r w:rsidRPr="00827BD3">
        <w:t xml:space="preserve"> of such workload before the implementation of the Language Policy was marginal, as shown in the </w:t>
      </w:r>
      <w:r w:rsidR="00032C57" w:rsidRPr="00827BD3">
        <w:t xml:space="preserve">following </w:t>
      </w:r>
      <w:r w:rsidRPr="00827BD3">
        <w:t>table.</w:t>
      </w:r>
    </w:p>
    <w:p w:rsidR="00A127EC" w:rsidRDefault="00843FA1" w:rsidP="00B10E98">
      <w:pPr>
        <w:pStyle w:val="ONUME"/>
        <w:numPr>
          <w:ilvl w:val="0"/>
          <w:numId w:val="0"/>
        </w:numPr>
        <w:jc w:val="center"/>
      </w:pPr>
      <w:r>
        <w:t>Table 1</w:t>
      </w:r>
    </w:p>
    <w:p w:rsidR="00A127EC" w:rsidRDefault="00A127EC" w:rsidP="00B10E98">
      <w:pPr>
        <w:pStyle w:val="ONUME"/>
        <w:numPr>
          <w:ilvl w:val="0"/>
          <w:numId w:val="0"/>
        </w:numPr>
        <w:jc w:val="center"/>
      </w:pPr>
      <w:r>
        <w:t>Translation Volumes and Per-Page Costs</w:t>
      </w:r>
    </w:p>
    <w:tbl>
      <w:tblPr>
        <w:tblW w:w="8906" w:type="dxa"/>
        <w:tblInd w:w="392" w:type="dxa"/>
        <w:tblLook w:val="04A0" w:firstRow="1" w:lastRow="0" w:firstColumn="1" w:lastColumn="0" w:noHBand="0" w:noVBand="1"/>
      </w:tblPr>
      <w:tblGrid>
        <w:gridCol w:w="1711"/>
        <w:gridCol w:w="1560"/>
        <w:gridCol w:w="1701"/>
        <w:gridCol w:w="1017"/>
        <w:gridCol w:w="1701"/>
        <w:gridCol w:w="1216"/>
      </w:tblGrid>
      <w:tr w:rsidR="00A127EC" w:rsidRPr="00A12C04" w:rsidTr="00C31C64">
        <w:trPr>
          <w:trHeight w:val="301"/>
        </w:trPr>
        <w:tc>
          <w:tcPr>
            <w:tcW w:w="171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A127EC" w:rsidRPr="00F03C46" w:rsidRDefault="00A127EC" w:rsidP="00B10E98">
            <w:pPr>
              <w:rPr>
                <w:rFonts w:eastAsia="Times New Roman"/>
                <w:b/>
                <w:bCs/>
                <w:sz w:val="18"/>
                <w:szCs w:val="18"/>
                <w:lang w:eastAsia="en-US"/>
              </w:rPr>
            </w:pPr>
            <w:r w:rsidRPr="00F03C46">
              <w:rPr>
                <w:rFonts w:eastAsia="Times New Roman"/>
                <w:b/>
                <w:bCs/>
                <w:sz w:val="18"/>
                <w:szCs w:val="18"/>
                <w:lang w:eastAsia="en-US"/>
              </w:rPr>
              <w:t>Biennium</w:t>
            </w:r>
          </w:p>
        </w:tc>
        <w:tc>
          <w:tcPr>
            <w:tcW w:w="3261" w:type="dxa"/>
            <w:gridSpan w:val="2"/>
            <w:tcBorders>
              <w:top w:val="single" w:sz="4" w:space="0" w:color="auto"/>
              <w:left w:val="nil"/>
              <w:bottom w:val="single" w:sz="4" w:space="0" w:color="auto"/>
              <w:right w:val="single" w:sz="4" w:space="0" w:color="auto"/>
            </w:tcBorders>
            <w:shd w:val="clear" w:color="000000" w:fill="C0C0C0"/>
            <w:vAlign w:val="center"/>
            <w:hideMark/>
          </w:tcPr>
          <w:p w:rsidR="00A127EC" w:rsidRPr="00F03C46" w:rsidRDefault="00A127EC" w:rsidP="00B10E98">
            <w:pPr>
              <w:jc w:val="center"/>
              <w:rPr>
                <w:rFonts w:eastAsia="Times New Roman"/>
                <w:b/>
                <w:bCs/>
                <w:sz w:val="18"/>
                <w:szCs w:val="18"/>
                <w:lang w:eastAsia="en-US"/>
              </w:rPr>
            </w:pPr>
            <w:r w:rsidRPr="00F03C46">
              <w:rPr>
                <w:rFonts w:eastAsia="Times New Roman"/>
                <w:b/>
                <w:bCs/>
                <w:sz w:val="18"/>
                <w:szCs w:val="18"/>
                <w:lang w:eastAsia="en-US"/>
              </w:rPr>
              <w:t>TOTAL</w:t>
            </w:r>
          </w:p>
        </w:tc>
        <w:tc>
          <w:tcPr>
            <w:tcW w:w="1017" w:type="dxa"/>
            <w:vMerge w:val="restart"/>
            <w:tcBorders>
              <w:top w:val="single" w:sz="4" w:space="0" w:color="auto"/>
              <w:left w:val="single" w:sz="4" w:space="0" w:color="auto"/>
              <w:right w:val="single" w:sz="4" w:space="0" w:color="auto"/>
            </w:tcBorders>
            <w:shd w:val="clear" w:color="000000" w:fill="C0C0C0"/>
            <w:vAlign w:val="center"/>
          </w:tcPr>
          <w:p w:rsidR="00A127EC" w:rsidRDefault="00A127EC" w:rsidP="00B10E98">
            <w:pPr>
              <w:jc w:val="center"/>
              <w:rPr>
                <w:rFonts w:eastAsia="Times New Roman"/>
                <w:b/>
                <w:bCs/>
                <w:sz w:val="18"/>
                <w:szCs w:val="18"/>
                <w:lang w:eastAsia="en-US"/>
              </w:rPr>
            </w:pPr>
            <w:r>
              <w:rPr>
                <w:rFonts w:eastAsia="Times New Roman"/>
                <w:b/>
                <w:bCs/>
                <w:sz w:val="18"/>
                <w:szCs w:val="18"/>
                <w:lang w:eastAsia="en-US"/>
              </w:rPr>
              <w:t>Variation</w:t>
            </w:r>
          </w:p>
          <w:p w:rsidR="001E5FF5" w:rsidRPr="008E3F36" w:rsidRDefault="001E5FF5" w:rsidP="00B10E98">
            <w:pPr>
              <w:jc w:val="center"/>
              <w:rPr>
                <w:rFonts w:eastAsia="Times New Roman"/>
                <w:b/>
                <w:bCs/>
                <w:sz w:val="18"/>
                <w:szCs w:val="18"/>
                <w:lang w:eastAsia="en-US"/>
              </w:rPr>
            </w:pPr>
            <w:r>
              <w:rPr>
                <w:rFonts w:eastAsia="Times New Roman"/>
                <w:b/>
                <w:bCs/>
                <w:sz w:val="18"/>
                <w:szCs w:val="18"/>
                <w:lang w:eastAsia="en-US"/>
              </w:rPr>
              <w:t>Over previous biennium</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A127EC" w:rsidRPr="00F03C46" w:rsidRDefault="00A127EC" w:rsidP="00B10E98">
            <w:pPr>
              <w:jc w:val="center"/>
              <w:rPr>
                <w:rFonts w:eastAsia="Times New Roman"/>
                <w:b/>
                <w:bCs/>
                <w:sz w:val="18"/>
                <w:szCs w:val="18"/>
                <w:lang w:eastAsia="en-US"/>
              </w:rPr>
            </w:pPr>
            <w:r w:rsidRPr="00F03C46">
              <w:rPr>
                <w:rFonts w:eastAsia="Times New Roman"/>
                <w:b/>
                <w:bCs/>
                <w:sz w:val="18"/>
                <w:szCs w:val="18"/>
                <w:lang w:eastAsia="en-US"/>
              </w:rPr>
              <w:t>Percentage</w:t>
            </w:r>
            <w:r w:rsidRPr="00F03C46">
              <w:rPr>
                <w:rFonts w:eastAsia="Times New Roman"/>
                <w:b/>
                <w:bCs/>
                <w:sz w:val="18"/>
                <w:szCs w:val="18"/>
                <w:lang w:eastAsia="en-US"/>
              </w:rPr>
              <w:br/>
              <w:t>Outsourced</w:t>
            </w:r>
          </w:p>
        </w:tc>
        <w:tc>
          <w:tcPr>
            <w:tcW w:w="1216" w:type="dxa"/>
            <w:vMerge w:val="restart"/>
            <w:tcBorders>
              <w:top w:val="single" w:sz="4" w:space="0" w:color="auto"/>
              <w:left w:val="single" w:sz="4" w:space="0" w:color="auto"/>
              <w:right w:val="single" w:sz="4" w:space="0" w:color="auto"/>
            </w:tcBorders>
            <w:shd w:val="clear" w:color="000000" w:fill="C0C0C0"/>
          </w:tcPr>
          <w:p w:rsidR="00A127EC" w:rsidRPr="00F03C46" w:rsidRDefault="00A127EC" w:rsidP="00B10E98">
            <w:pPr>
              <w:jc w:val="center"/>
              <w:rPr>
                <w:rFonts w:eastAsia="Times New Roman"/>
                <w:b/>
                <w:bCs/>
                <w:sz w:val="18"/>
                <w:szCs w:val="18"/>
                <w:lang w:eastAsia="en-US"/>
              </w:rPr>
            </w:pPr>
          </w:p>
          <w:p w:rsidR="00A127EC" w:rsidRPr="00F03C46" w:rsidRDefault="00A127EC" w:rsidP="00B10E98">
            <w:pPr>
              <w:jc w:val="center"/>
              <w:rPr>
                <w:rFonts w:eastAsia="Times New Roman"/>
                <w:b/>
                <w:bCs/>
                <w:sz w:val="18"/>
                <w:szCs w:val="18"/>
                <w:lang w:eastAsia="en-US"/>
              </w:rPr>
            </w:pPr>
            <w:r w:rsidRPr="00F03C46">
              <w:rPr>
                <w:rFonts w:eastAsia="Times New Roman"/>
                <w:b/>
                <w:bCs/>
                <w:sz w:val="18"/>
                <w:szCs w:val="18"/>
                <w:lang w:eastAsia="en-US"/>
              </w:rPr>
              <w:t>Per-Page Cost</w:t>
            </w:r>
            <w:r w:rsidRPr="00F03C46">
              <w:rPr>
                <w:rFonts w:eastAsia="Times New Roman"/>
                <w:b/>
                <w:bCs/>
                <w:sz w:val="18"/>
                <w:szCs w:val="18"/>
                <w:lang w:eastAsia="en-US"/>
              </w:rPr>
              <w:br/>
              <w:t>(Swiss francs)</w:t>
            </w:r>
          </w:p>
        </w:tc>
      </w:tr>
      <w:tr w:rsidR="00A127EC" w:rsidRPr="00A12C04" w:rsidTr="00C91863">
        <w:trPr>
          <w:trHeight w:val="251"/>
        </w:trPr>
        <w:tc>
          <w:tcPr>
            <w:tcW w:w="1711" w:type="dxa"/>
            <w:vMerge/>
            <w:tcBorders>
              <w:top w:val="double" w:sz="6" w:space="0" w:color="auto"/>
              <w:left w:val="single" w:sz="4" w:space="0" w:color="auto"/>
              <w:bottom w:val="single" w:sz="4" w:space="0" w:color="auto"/>
              <w:right w:val="single" w:sz="4" w:space="0" w:color="auto"/>
            </w:tcBorders>
            <w:vAlign w:val="center"/>
            <w:hideMark/>
          </w:tcPr>
          <w:p w:rsidR="00A127EC" w:rsidRPr="00F03C46" w:rsidRDefault="00A127EC" w:rsidP="00B10E98">
            <w:pPr>
              <w:rPr>
                <w:rFonts w:eastAsia="Times New Roman"/>
                <w:b/>
                <w:bCs/>
                <w:sz w:val="18"/>
                <w:szCs w:val="18"/>
                <w:lang w:eastAsia="en-US"/>
              </w:rPr>
            </w:pPr>
          </w:p>
        </w:tc>
        <w:tc>
          <w:tcPr>
            <w:tcW w:w="1560" w:type="dxa"/>
            <w:tcBorders>
              <w:top w:val="nil"/>
              <w:left w:val="nil"/>
              <w:bottom w:val="single" w:sz="4" w:space="0" w:color="auto"/>
              <w:right w:val="single" w:sz="4" w:space="0" w:color="auto"/>
            </w:tcBorders>
            <w:shd w:val="clear" w:color="000000" w:fill="C0C0C0"/>
            <w:noWrap/>
            <w:vAlign w:val="center"/>
            <w:hideMark/>
          </w:tcPr>
          <w:p w:rsidR="00A127EC" w:rsidRPr="00F03C46" w:rsidRDefault="00A127EC" w:rsidP="00B10E98">
            <w:pPr>
              <w:jc w:val="center"/>
              <w:rPr>
                <w:rFonts w:eastAsia="Times New Roman"/>
                <w:b/>
                <w:bCs/>
                <w:sz w:val="18"/>
                <w:szCs w:val="18"/>
                <w:lang w:val="fr-CH" w:eastAsia="en-US"/>
              </w:rPr>
            </w:pPr>
            <w:proofErr w:type="spellStart"/>
            <w:r w:rsidRPr="00F03C46">
              <w:rPr>
                <w:rFonts w:eastAsia="Times New Roman"/>
                <w:b/>
                <w:bCs/>
                <w:sz w:val="18"/>
                <w:szCs w:val="18"/>
                <w:lang w:val="fr-CH" w:eastAsia="en-US"/>
              </w:rPr>
              <w:t>Words</w:t>
            </w:r>
            <w:proofErr w:type="spellEnd"/>
          </w:p>
        </w:tc>
        <w:tc>
          <w:tcPr>
            <w:tcW w:w="1701" w:type="dxa"/>
            <w:tcBorders>
              <w:top w:val="nil"/>
              <w:left w:val="nil"/>
              <w:bottom w:val="single" w:sz="4" w:space="0" w:color="auto"/>
              <w:right w:val="single" w:sz="4" w:space="0" w:color="auto"/>
            </w:tcBorders>
            <w:shd w:val="clear" w:color="000000" w:fill="C0C0C0"/>
            <w:vAlign w:val="center"/>
            <w:hideMark/>
          </w:tcPr>
          <w:p w:rsidR="00A127EC" w:rsidRPr="00F03C46" w:rsidRDefault="00A127EC" w:rsidP="00B10E98">
            <w:pPr>
              <w:jc w:val="center"/>
              <w:rPr>
                <w:rFonts w:eastAsia="Times New Roman"/>
                <w:b/>
                <w:bCs/>
                <w:sz w:val="18"/>
                <w:szCs w:val="18"/>
                <w:lang w:val="fr-CH" w:eastAsia="en-US"/>
              </w:rPr>
            </w:pPr>
            <w:proofErr w:type="gramStart"/>
            <w:r w:rsidRPr="00F03C46">
              <w:rPr>
                <w:rFonts w:eastAsia="Times New Roman"/>
                <w:b/>
                <w:bCs/>
                <w:sz w:val="18"/>
                <w:szCs w:val="18"/>
                <w:lang w:val="fr-CH" w:eastAsia="en-US"/>
              </w:rPr>
              <w:t>Pages</w:t>
            </w:r>
            <w:proofErr w:type="gramEnd"/>
            <w:r w:rsidRPr="00F03C46">
              <w:rPr>
                <w:rFonts w:eastAsia="Times New Roman"/>
                <w:b/>
                <w:bCs/>
                <w:sz w:val="18"/>
                <w:szCs w:val="18"/>
                <w:lang w:val="fr-CH" w:eastAsia="en-US"/>
              </w:rPr>
              <w:br/>
              <w:t>(UN Standard)</w:t>
            </w:r>
          </w:p>
        </w:tc>
        <w:tc>
          <w:tcPr>
            <w:tcW w:w="1017" w:type="dxa"/>
            <w:vMerge/>
            <w:tcBorders>
              <w:left w:val="single" w:sz="4" w:space="0" w:color="auto"/>
              <w:bottom w:val="single" w:sz="4" w:space="0" w:color="000000"/>
              <w:right w:val="single" w:sz="4" w:space="0" w:color="auto"/>
            </w:tcBorders>
          </w:tcPr>
          <w:p w:rsidR="00A127EC" w:rsidRPr="00F03C46" w:rsidRDefault="00A127EC" w:rsidP="00B10E98">
            <w:pPr>
              <w:rPr>
                <w:rFonts w:eastAsia="Times New Roman"/>
                <w:b/>
                <w:bCs/>
                <w:sz w:val="18"/>
                <w:szCs w:val="18"/>
                <w:lang w:val="fr-CH" w:eastAsia="en-US"/>
              </w:rPr>
            </w:pPr>
          </w:p>
        </w:tc>
        <w:tc>
          <w:tcPr>
            <w:tcW w:w="1701" w:type="dxa"/>
            <w:vMerge/>
            <w:tcBorders>
              <w:top w:val="double" w:sz="6" w:space="0" w:color="auto"/>
              <w:left w:val="single" w:sz="4" w:space="0" w:color="auto"/>
              <w:bottom w:val="single" w:sz="4" w:space="0" w:color="000000"/>
              <w:right w:val="single" w:sz="4" w:space="0" w:color="auto"/>
            </w:tcBorders>
            <w:vAlign w:val="center"/>
            <w:hideMark/>
          </w:tcPr>
          <w:p w:rsidR="00A127EC" w:rsidRPr="00F03C46" w:rsidRDefault="00A127EC" w:rsidP="00B10E98">
            <w:pPr>
              <w:rPr>
                <w:rFonts w:eastAsia="Times New Roman"/>
                <w:b/>
                <w:bCs/>
                <w:sz w:val="18"/>
                <w:szCs w:val="18"/>
                <w:lang w:val="fr-CH" w:eastAsia="en-US"/>
              </w:rPr>
            </w:pPr>
          </w:p>
        </w:tc>
        <w:tc>
          <w:tcPr>
            <w:tcW w:w="1216" w:type="dxa"/>
            <w:vMerge/>
            <w:tcBorders>
              <w:left w:val="single" w:sz="4" w:space="0" w:color="auto"/>
              <w:bottom w:val="single" w:sz="4" w:space="0" w:color="000000"/>
              <w:right w:val="single" w:sz="4" w:space="0" w:color="auto"/>
            </w:tcBorders>
          </w:tcPr>
          <w:p w:rsidR="00A127EC" w:rsidRPr="00F03C46" w:rsidRDefault="00A127EC" w:rsidP="00B10E98">
            <w:pPr>
              <w:rPr>
                <w:rFonts w:eastAsia="Times New Roman"/>
                <w:b/>
                <w:bCs/>
                <w:sz w:val="18"/>
                <w:szCs w:val="18"/>
                <w:lang w:val="fr-CH" w:eastAsia="en-US"/>
              </w:rPr>
            </w:pPr>
          </w:p>
        </w:tc>
      </w:tr>
      <w:tr w:rsidR="001E5FF5" w:rsidRPr="00A12C04" w:rsidTr="00C31C64">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tcPr>
          <w:p w:rsidR="001E5FF5" w:rsidRPr="00F03C46" w:rsidRDefault="001E5FF5" w:rsidP="00B10E98">
            <w:pPr>
              <w:rPr>
                <w:rFonts w:eastAsia="Times New Roman"/>
                <w:sz w:val="18"/>
                <w:szCs w:val="18"/>
                <w:lang w:val="fr-CH" w:eastAsia="en-US"/>
              </w:rPr>
            </w:pPr>
            <w:r>
              <w:rPr>
                <w:rFonts w:eastAsia="Times New Roman"/>
                <w:sz w:val="18"/>
                <w:szCs w:val="18"/>
                <w:lang w:val="fr-CH" w:eastAsia="en-US"/>
              </w:rPr>
              <w:t>2008/2009</w:t>
            </w:r>
          </w:p>
        </w:tc>
        <w:tc>
          <w:tcPr>
            <w:tcW w:w="1560" w:type="dxa"/>
            <w:tcBorders>
              <w:top w:val="nil"/>
              <w:left w:val="nil"/>
              <w:bottom w:val="single" w:sz="4" w:space="0" w:color="auto"/>
              <w:right w:val="single" w:sz="4" w:space="0" w:color="auto"/>
            </w:tcBorders>
            <w:shd w:val="clear" w:color="auto" w:fill="auto"/>
            <w:noWrap/>
            <w:vAlign w:val="center"/>
          </w:tcPr>
          <w:p w:rsidR="001E5FF5" w:rsidRDefault="001E5FF5" w:rsidP="008922E3">
            <w:pPr>
              <w:jc w:val="right"/>
              <w:rPr>
                <w:rFonts w:eastAsia="Times New Roman"/>
                <w:sz w:val="18"/>
                <w:szCs w:val="18"/>
                <w:lang w:val="fr-CH" w:eastAsia="en-US"/>
              </w:rPr>
            </w:pPr>
            <w:r>
              <w:rPr>
                <w:rFonts w:eastAsia="Times New Roman"/>
                <w:sz w:val="18"/>
                <w:szCs w:val="18"/>
                <w:lang w:val="fr-CH" w:eastAsia="en-US"/>
              </w:rPr>
              <w:t>23</w:t>
            </w:r>
            <w:proofErr w:type="gramStart"/>
            <w:r>
              <w:rPr>
                <w:rFonts w:eastAsia="Times New Roman"/>
                <w:sz w:val="18"/>
                <w:szCs w:val="18"/>
                <w:lang w:val="fr-CH" w:eastAsia="en-US"/>
              </w:rPr>
              <w:t>,704,560</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1E5FF5" w:rsidRPr="00F03C46" w:rsidRDefault="001E5FF5" w:rsidP="008922E3">
            <w:pPr>
              <w:jc w:val="right"/>
              <w:rPr>
                <w:rFonts w:eastAsia="Times New Roman"/>
                <w:sz w:val="18"/>
                <w:szCs w:val="18"/>
                <w:lang w:val="fr-CH" w:eastAsia="en-US"/>
              </w:rPr>
            </w:pPr>
            <w:r>
              <w:rPr>
                <w:rFonts w:eastAsia="Times New Roman"/>
                <w:sz w:val="18"/>
                <w:szCs w:val="18"/>
                <w:lang w:val="fr-CH" w:eastAsia="en-US"/>
              </w:rPr>
              <w:t>71,832</w:t>
            </w:r>
          </w:p>
        </w:tc>
        <w:tc>
          <w:tcPr>
            <w:tcW w:w="1017" w:type="dxa"/>
            <w:tcBorders>
              <w:top w:val="single" w:sz="4" w:space="0" w:color="000000"/>
              <w:left w:val="nil"/>
              <w:bottom w:val="single" w:sz="4" w:space="0" w:color="auto"/>
              <w:right w:val="single" w:sz="4" w:space="0" w:color="auto"/>
            </w:tcBorders>
            <w:shd w:val="clear" w:color="auto" w:fill="auto"/>
            <w:vAlign w:val="center"/>
          </w:tcPr>
          <w:p w:rsidR="001E5FF5" w:rsidRDefault="001E5FF5" w:rsidP="008922E3">
            <w:pPr>
              <w:jc w:val="right"/>
              <w:rPr>
                <w:rFonts w:eastAsia="Times New Roman"/>
                <w:sz w:val="18"/>
                <w:szCs w:val="18"/>
                <w:lang w:val="fr-CH" w:eastAsia="en-US"/>
              </w:rPr>
            </w:pPr>
            <w:r>
              <w:rPr>
                <w:rFonts w:eastAsia="Times New Roman"/>
                <w:sz w:val="18"/>
                <w:szCs w:val="18"/>
                <w:lang w:val="fr-CH" w:eastAsia="en-US"/>
              </w:rPr>
              <w:t>--</w:t>
            </w:r>
          </w:p>
        </w:tc>
        <w:tc>
          <w:tcPr>
            <w:tcW w:w="1701" w:type="dxa"/>
            <w:tcBorders>
              <w:top w:val="nil"/>
              <w:left w:val="single" w:sz="4" w:space="0" w:color="auto"/>
              <w:bottom w:val="single" w:sz="4" w:space="0" w:color="auto"/>
              <w:right w:val="single" w:sz="4" w:space="0" w:color="auto"/>
            </w:tcBorders>
            <w:noWrap/>
            <w:vAlign w:val="center"/>
          </w:tcPr>
          <w:p w:rsidR="001E5FF5" w:rsidRDefault="00A84FBE" w:rsidP="008922E3">
            <w:pPr>
              <w:jc w:val="right"/>
              <w:rPr>
                <w:rFonts w:eastAsia="Times New Roman"/>
                <w:sz w:val="18"/>
                <w:szCs w:val="18"/>
                <w:lang w:val="fr-CH" w:eastAsia="en-US"/>
              </w:rPr>
            </w:pPr>
            <w:r>
              <w:rPr>
                <w:rFonts w:eastAsia="Times New Roman"/>
                <w:sz w:val="18"/>
                <w:szCs w:val="18"/>
                <w:lang w:val="fr-CH" w:eastAsia="en-US"/>
              </w:rPr>
              <w:t>28</w:t>
            </w:r>
          </w:p>
        </w:tc>
        <w:tc>
          <w:tcPr>
            <w:tcW w:w="1216" w:type="dxa"/>
            <w:tcBorders>
              <w:top w:val="nil"/>
              <w:left w:val="nil"/>
              <w:bottom w:val="single" w:sz="4" w:space="0" w:color="auto"/>
              <w:right w:val="single" w:sz="4" w:space="0" w:color="auto"/>
            </w:tcBorders>
            <w:vAlign w:val="center"/>
          </w:tcPr>
          <w:p w:rsidR="001E5FF5" w:rsidRPr="00F03C46" w:rsidRDefault="00F70609" w:rsidP="008922E3">
            <w:pPr>
              <w:jc w:val="right"/>
              <w:rPr>
                <w:rFonts w:eastAsia="Times New Roman"/>
                <w:sz w:val="18"/>
                <w:szCs w:val="18"/>
                <w:lang w:val="fr-CH" w:eastAsia="en-US"/>
              </w:rPr>
            </w:pPr>
            <w:r>
              <w:rPr>
                <w:rFonts w:eastAsia="Times New Roman"/>
                <w:sz w:val="18"/>
                <w:szCs w:val="18"/>
                <w:lang w:val="fr-CH" w:eastAsia="en-US"/>
              </w:rPr>
              <w:t>227</w:t>
            </w:r>
          </w:p>
        </w:tc>
      </w:tr>
      <w:tr w:rsidR="00A127EC" w:rsidRPr="00A12C04" w:rsidTr="00C31C64">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A127EC" w:rsidRPr="00F03C46" w:rsidRDefault="00A127EC" w:rsidP="00B10E98">
            <w:pPr>
              <w:rPr>
                <w:rFonts w:eastAsia="Times New Roman"/>
                <w:sz w:val="18"/>
                <w:szCs w:val="18"/>
                <w:lang w:val="fr-CH" w:eastAsia="en-US"/>
              </w:rPr>
            </w:pPr>
            <w:r w:rsidRPr="00F03C46">
              <w:rPr>
                <w:rFonts w:eastAsia="Times New Roman"/>
                <w:sz w:val="18"/>
                <w:szCs w:val="18"/>
                <w:lang w:val="fr-CH" w:eastAsia="en-US"/>
              </w:rPr>
              <w:t>2010/2011</w:t>
            </w:r>
          </w:p>
        </w:tc>
        <w:tc>
          <w:tcPr>
            <w:tcW w:w="1560" w:type="dxa"/>
            <w:tcBorders>
              <w:top w:val="nil"/>
              <w:left w:val="nil"/>
              <w:bottom w:val="single" w:sz="4" w:space="0" w:color="auto"/>
              <w:right w:val="single" w:sz="4" w:space="0" w:color="auto"/>
            </w:tcBorders>
            <w:shd w:val="clear" w:color="auto" w:fill="auto"/>
            <w:noWrap/>
            <w:vAlign w:val="center"/>
            <w:hideMark/>
          </w:tcPr>
          <w:p w:rsidR="00A127EC" w:rsidRPr="00F03C46" w:rsidRDefault="00CA0573" w:rsidP="008922E3">
            <w:pPr>
              <w:jc w:val="right"/>
              <w:rPr>
                <w:rFonts w:eastAsia="Times New Roman"/>
                <w:sz w:val="18"/>
                <w:szCs w:val="18"/>
                <w:lang w:val="fr-CH" w:eastAsia="en-US"/>
              </w:rPr>
            </w:pPr>
            <w:r>
              <w:rPr>
                <w:rFonts w:eastAsia="Times New Roman"/>
                <w:sz w:val="18"/>
                <w:szCs w:val="18"/>
                <w:lang w:val="fr-CH" w:eastAsia="en-US"/>
              </w:rPr>
              <w:t>24</w:t>
            </w:r>
            <w:proofErr w:type="gramStart"/>
            <w:r>
              <w:rPr>
                <w:rFonts w:eastAsia="Times New Roman"/>
                <w:sz w:val="18"/>
                <w:szCs w:val="18"/>
                <w:lang w:val="fr-CH" w:eastAsia="en-US"/>
              </w:rPr>
              <w:t>,5</w:t>
            </w:r>
            <w:r w:rsidR="00A127EC" w:rsidRPr="00F03C46">
              <w:rPr>
                <w:rFonts w:eastAsia="Times New Roman"/>
                <w:sz w:val="18"/>
                <w:szCs w:val="18"/>
                <w:lang w:val="fr-CH" w:eastAsia="en-US"/>
              </w:rPr>
              <w:t>29</w:t>
            </w:r>
            <w:r>
              <w:rPr>
                <w:rFonts w:eastAsia="Times New Roman"/>
                <w:sz w:val="18"/>
                <w:szCs w:val="18"/>
                <w:lang w:val="fr-CH" w:eastAsia="en-US"/>
              </w:rPr>
              <w:t>,2</w:t>
            </w:r>
            <w:r w:rsidR="00A127EC" w:rsidRPr="00F03C46">
              <w:rPr>
                <w:rFonts w:eastAsia="Times New Roman"/>
                <w:sz w:val="18"/>
                <w:szCs w:val="18"/>
                <w:lang w:val="fr-CH" w:eastAsia="en-US"/>
              </w:rPr>
              <w:t>87</w:t>
            </w:r>
            <w:proofErr w:type="gramEnd"/>
            <w:r w:rsidR="008922E3">
              <w:rPr>
                <w:rStyle w:val="FootnoteReference"/>
                <w:rFonts w:eastAsia="Times New Roman"/>
                <w:sz w:val="18"/>
                <w:szCs w:val="18"/>
                <w:lang w:val="fr-CH" w:eastAsia="en-US"/>
              </w:rPr>
              <w:footnoteReference w:id="6"/>
            </w:r>
          </w:p>
        </w:tc>
        <w:tc>
          <w:tcPr>
            <w:tcW w:w="1701" w:type="dxa"/>
            <w:tcBorders>
              <w:top w:val="nil"/>
              <w:left w:val="nil"/>
              <w:bottom w:val="single" w:sz="4" w:space="0" w:color="auto"/>
              <w:right w:val="single" w:sz="4" w:space="0" w:color="auto"/>
            </w:tcBorders>
            <w:shd w:val="clear" w:color="auto" w:fill="auto"/>
            <w:noWrap/>
            <w:vAlign w:val="center"/>
            <w:hideMark/>
          </w:tcPr>
          <w:p w:rsidR="00A127EC" w:rsidRPr="00F03C46" w:rsidRDefault="00A127EC" w:rsidP="008922E3">
            <w:pPr>
              <w:jc w:val="right"/>
              <w:rPr>
                <w:rFonts w:eastAsia="Times New Roman"/>
                <w:sz w:val="18"/>
                <w:szCs w:val="18"/>
                <w:lang w:val="fr-CH" w:eastAsia="en-US"/>
              </w:rPr>
            </w:pPr>
            <w:r w:rsidRPr="00F03C46">
              <w:rPr>
                <w:rFonts w:eastAsia="Times New Roman"/>
                <w:sz w:val="18"/>
                <w:szCs w:val="18"/>
                <w:lang w:val="fr-CH" w:eastAsia="en-US"/>
              </w:rPr>
              <w:t>74,331</w:t>
            </w:r>
          </w:p>
        </w:tc>
        <w:tc>
          <w:tcPr>
            <w:tcW w:w="1017" w:type="dxa"/>
            <w:tcBorders>
              <w:top w:val="single" w:sz="4" w:space="0" w:color="000000"/>
              <w:left w:val="nil"/>
              <w:bottom w:val="single" w:sz="4" w:space="0" w:color="auto"/>
              <w:right w:val="single" w:sz="4" w:space="0" w:color="auto"/>
            </w:tcBorders>
            <w:shd w:val="clear" w:color="auto" w:fill="auto"/>
            <w:vAlign w:val="center"/>
          </w:tcPr>
          <w:p w:rsidR="00A127EC" w:rsidRPr="00F03C46" w:rsidDel="00040AAB" w:rsidRDefault="00A127EC" w:rsidP="008922E3">
            <w:pPr>
              <w:jc w:val="right"/>
              <w:rPr>
                <w:rFonts w:eastAsia="Times New Roman"/>
                <w:sz w:val="18"/>
                <w:szCs w:val="18"/>
                <w:lang w:val="fr-CH" w:eastAsia="en-US"/>
              </w:rPr>
            </w:pPr>
            <w:r>
              <w:rPr>
                <w:rFonts w:eastAsia="Times New Roman"/>
                <w:sz w:val="18"/>
                <w:szCs w:val="18"/>
                <w:lang w:val="fr-CH" w:eastAsia="en-US"/>
              </w:rPr>
              <w:t>+3.5%</w:t>
            </w:r>
          </w:p>
        </w:tc>
        <w:tc>
          <w:tcPr>
            <w:tcW w:w="1701" w:type="dxa"/>
            <w:tcBorders>
              <w:top w:val="nil"/>
              <w:left w:val="single" w:sz="4" w:space="0" w:color="auto"/>
              <w:bottom w:val="single" w:sz="4" w:space="0" w:color="auto"/>
              <w:right w:val="single" w:sz="4" w:space="0" w:color="auto"/>
            </w:tcBorders>
            <w:noWrap/>
            <w:vAlign w:val="center"/>
            <w:hideMark/>
          </w:tcPr>
          <w:p w:rsidR="00A127EC" w:rsidRPr="00F03C46" w:rsidRDefault="008922E3" w:rsidP="008922E3">
            <w:pPr>
              <w:jc w:val="right"/>
              <w:rPr>
                <w:rFonts w:eastAsia="Times New Roman"/>
                <w:sz w:val="18"/>
                <w:szCs w:val="18"/>
                <w:lang w:val="fr-CH" w:eastAsia="en-US"/>
              </w:rPr>
            </w:pPr>
            <w:r>
              <w:rPr>
                <w:rFonts w:eastAsia="Times New Roman"/>
                <w:sz w:val="18"/>
                <w:szCs w:val="18"/>
                <w:lang w:val="fr-CH" w:eastAsia="en-US"/>
              </w:rPr>
              <w:t>38</w:t>
            </w:r>
          </w:p>
        </w:tc>
        <w:tc>
          <w:tcPr>
            <w:tcW w:w="1216" w:type="dxa"/>
            <w:tcBorders>
              <w:top w:val="nil"/>
              <w:left w:val="nil"/>
              <w:bottom w:val="single" w:sz="4" w:space="0" w:color="auto"/>
              <w:right w:val="single" w:sz="4" w:space="0" w:color="auto"/>
            </w:tcBorders>
            <w:vAlign w:val="center"/>
          </w:tcPr>
          <w:p w:rsidR="00A127EC" w:rsidRPr="00F03C46" w:rsidDel="00040AAB" w:rsidRDefault="00A127EC" w:rsidP="008922E3">
            <w:pPr>
              <w:jc w:val="right"/>
              <w:rPr>
                <w:rFonts w:eastAsia="Times New Roman"/>
                <w:sz w:val="18"/>
                <w:szCs w:val="18"/>
                <w:lang w:val="fr-CH" w:eastAsia="en-US"/>
              </w:rPr>
            </w:pPr>
            <w:r w:rsidRPr="00F03C46">
              <w:rPr>
                <w:rFonts w:eastAsia="Times New Roman"/>
                <w:sz w:val="18"/>
                <w:szCs w:val="18"/>
                <w:lang w:val="fr-CH" w:eastAsia="en-US"/>
              </w:rPr>
              <w:t>213</w:t>
            </w:r>
          </w:p>
        </w:tc>
      </w:tr>
      <w:tr w:rsidR="00A127EC" w:rsidRPr="00A12C04" w:rsidTr="00C31C64">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A127EC" w:rsidRPr="00F03C46" w:rsidRDefault="00A127EC" w:rsidP="00B10E98">
            <w:pPr>
              <w:rPr>
                <w:rFonts w:eastAsia="Times New Roman"/>
                <w:sz w:val="18"/>
                <w:szCs w:val="18"/>
                <w:lang w:val="fr-CH" w:eastAsia="en-US"/>
              </w:rPr>
            </w:pPr>
            <w:r w:rsidRPr="00F03C46">
              <w:rPr>
                <w:rFonts w:eastAsia="Times New Roman"/>
                <w:sz w:val="18"/>
                <w:szCs w:val="18"/>
                <w:lang w:val="fr-CH" w:eastAsia="en-US"/>
              </w:rPr>
              <w:t>2012/2013</w:t>
            </w:r>
          </w:p>
        </w:tc>
        <w:tc>
          <w:tcPr>
            <w:tcW w:w="1560" w:type="dxa"/>
            <w:tcBorders>
              <w:top w:val="nil"/>
              <w:left w:val="nil"/>
              <w:bottom w:val="single" w:sz="4" w:space="0" w:color="auto"/>
              <w:right w:val="single" w:sz="4" w:space="0" w:color="auto"/>
            </w:tcBorders>
            <w:shd w:val="clear" w:color="auto" w:fill="auto"/>
            <w:noWrap/>
            <w:vAlign w:val="center"/>
            <w:hideMark/>
          </w:tcPr>
          <w:p w:rsidR="00A127EC" w:rsidRPr="00F03C46" w:rsidRDefault="00A127EC" w:rsidP="008922E3">
            <w:pPr>
              <w:jc w:val="right"/>
              <w:rPr>
                <w:rFonts w:eastAsia="Times New Roman"/>
                <w:sz w:val="18"/>
                <w:szCs w:val="18"/>
                <w:lang w:val="fr-CH" w:eastAsia="en-US"/>
              </w:rPr>
            </w:pPr>
            <w:r w:rsidRPr="00F03C46">
              <w:rPr>
                <w:rFonts w:eastAsia="Times New Roman"/>
                <w:sz w:val="18"/>
                <w:szCs w:val="18"/>
                <w:lang w:val="fr-CH" w:eastAsia="en-US"/>
              </w:rPr>
              <w:t>33</w:t>
            </w:r>
            <w:proofErr w:type="gramStart"/>
            <w:r w:rsidRPr="00F03C46">
              <w:rPr>
                <w:rFonts w:eastAsia="Times New Roman"/>
                <w:sz w:val="18"/>
                <w:szCs w:val="18"/>
                <w:lang w:val="fr-CH" w:eastAsia="en-US"/>
              </w:rPr>
              <w:t>,173,126</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A127EC" w:rsidRPr="00F03C46" w:rsidRDefault="00A127EC" w:rsidP="008922E3">
            <w:pPr>
              <w:jc w:val="right"/>
              <w:rPr>
                <w:rFonts w:eastAsia="Times New Roman"/>
                <w:sz w:val="18"/>
                <w:szCs w:val="18"/>
                <w:lang w:val="fr-CH" w:eastAsia="en-US"/>
              </w:rPr>
            </w:pPr>
            <w:r>
              <w:rPr>
                <w:rFonts w:eastAsia="Times New Roman"/>
                <w:sz w:val="18"/>
                <w:szCs w:val="18"/>
                <w:lang w:val="fr-CH" w:eastAsia="en-US"/>
              </w:rPr>
              <w:t>100,524</w:t>
            </w:r>
          </w:p>
        </w:tc>
        <w:tc>
          <w:tcPr>
            <w:tcW w:w="1017" w:type="dxa"/>
            <w:tcBorders>
              <w:top w:val="single" w:sz="4" w:space="0" w:color="auto"/>
              <w:left w:val="nil"/>
              <w:bottom w:val="single" w:sz="4" w:space="0" w:color="auto"/>
              <w:right w:val="single" w:sz="4" w:space="0" w:color="auto"/>
            </w:tcBorders>
            <w:shd w:val="clear" w:color="auto" w:fill="auto"/>
            <w:vAlign w:val="center"/>
          </w:tcPr>
          <w:p w:rsidR="00A127EC" w:rsidRPr="00F03C46" w:rsidRDefault="00A127EC" w:rsidP="008922E3">
            <w:pPr>
              <w:jc w:val="right"/>
              <w:rPr>
                <w:rFonts w:eastAsia="Times New Roman"/>
                <w:sz w:val="18"/>
                <w:szCs w:val="18"/>
                <w:lang w:val="fr-CH" w:eastAsia="en-US"/>
              </w:rPr>
            </w:pPr>
            <w:r>
              <w:rPr>
                <w:rFonts w:eastAsia="Times New Roman"/>
                <w:sz w:val="18"/>
                <w:szCs w:val="18"/>
                <w:lang w:val="fr-CH" w:eastAsia="en-US"/>
              </w:rPr>
              <w:t>+35.2%</w:t>
            </w:r>
          </w:p>
        </w:tc>
        <w:tc>
          <w:tcPr>
            <w:tcW w:w="1701" w:type="dxa"/>
            <w:tcBorders>
              <w:top w:val="nil"/>
              <w:left w:val="single" w:sz="4" w:space="0" w:color="auto"/>
              <w:bottom w:val="single" w:sz="4" w:space="0" w:color="auto"/>
              <w:right w:val="single" w:sz="4" w:space="0" w:color="auto"/>
            </w:tcBorders>
            <w:noWrap/>
            <w:vAlign w:val="center"/>
            <w:hideMark/>
          </w:tcPr>
          <w:p w:rsidR="00A127EC" w:rsidRPr="00F03C46" w:rsidRDefault="00CA0573" w:rsidP="008922E3">
            <w:pPr>
              <w:jc w:val="right"/>
              <w:rPr>
                <w:rFonts w:eastAsia="Times New Roman"/>
                <w:sz w:val="18"/>
                <w:szCs w:val="18"/>
                <w:lang w:val="fr-CH" w:eastAsia="en-US"/>
              </w:rPr>
            </w:pPr>
            <w:r>
              <w:rPr>
                <w:rFonts w:eastAsia="Times New Roman"/>
                <w:sz w:val="18"/>
                <w:szCs w:val="18"/>
                <w:lang w:val="fr-CH" w:eastAsia="en-US"/>
              </w:rPr>
              <w:t>56</w:t>
            </w:r>
          </w:p>
        </w:tc>
        <w:tc>
          <w:tcPr>
            <w:tcW w:w="1216" w:type="dxa"/>
            <w:tcBorders>
              <w:top w:val="nil"/>
              <w:left w:val="nil"/>
              <w:bottom w:val="single" w:sz="4" w:space="0" w:color="auto"/>
              <w:right w:val="single" w:sz="4" w:space="0" w:color="auto"/>
            </w:tcBorders>
            <w:vAlign w:val="center"/>
          </w:tcPr>
          <w:p w:rsidR="00A127EC" w:rsidRPr="00F03C46" w:rsidRDefault="00A127EC" w:rsidP="008922E3">
            <w:pPr>
              <w:jc w:val="right"/>
              <w:rPr>
                <w:rFonts w:eastAsia="Times New Roman"/>
                <w:sz w:val="18"/>
                <w:szCs w:val="18"/>
                <w:lang w:val="fr-CH" w:eastAsia="en-US"/>
              </w:rPr>
            </w:pPr>
            <w:r w:rsidRPr="00F03C46">
              <w:rPr>
                <w:rFonts w:eastAsia="Times New Roman"/>
                <w:sz w:val="18"/>
                <w:szCs w:val="18"/>
                <w:lang w:val="fr-CH" w:eastAsia="en-US"/>
              </w:rPr>
              <w:t>191</w:t>
            </w:r>
          </w:p>
        </w:tc>
      </w:tr>
    </w:tbl>
    <w:p w:rsidR="00B10E98" w:rsidRDefault="00B10E98" w:rsidP="00B10E98">
      <w:pPr>
        <w:pStyle w:val="ONUME"/>
        <w:numPr>
          <w:ilvl w:val="0"/>
          <w:numId w:val="0"/>
        </w:numPr>
        <w:rPr>
          <w:sz w:val="18"/>
        </w:rPr>
      </w:pPr>
    </w:p>
    <w:p w:rsidR="00160442" w:rsidRDefault="00C01DDE" w:rsidP="00827BD3">
      <w:pPr>
        <w:pStyle w:val="ONUME"/>
      </w:pPr>
      <w:r w:rsidRPr="00827BD3">
        <w:rPr>
          <w:rFonts w:eastAsiaTheme="minorEastAsia"/>
        </w:rPr>
        <w:t>However</w:t>
      </w:r>
      <w:r w:rsidRPr="00827BD3">
        <w:t xml:space="preserve">, </w:t>
      </w:r>
      <w:r w:rsidR="00032C57" w:rsidRPr="00827BD3">
        <w:t>wh</w:t>
      </w:r>
      <w:r w:rsidR="00A52979" w:rsidRPr="00827BD3">
        <w:t>ile</w:t>
      </w:r>
      <w:r w:rsidR="00032C57" w:rsidRPr="00827BD3">
        <w:t xml:space="preserve"> the translat</w:t>
      </w:r>
      <w:r w:rsidR="00CA0573">
        <w:t xml:space="preserve">ion workload increased by </w:t>
      </w:r>
      <w:r w:rsidR="007C6581">
        <w:t>35 per </w:t>
      </w:r>
      <w:r w:rsidR="00032C57" w:rsidRPr="00827BD3">
        <w:t>cent in 2012/13, the total resources on Language Services were augmented only by 1</w:t>
      </w:r>
      <w:r w:rsidR="00193D87">
        <w:t>5</w:t>
      </w:r>
      <w:r w:rsidR="00472D3A">
        <w:t> per cent</w:t>
      </w:r>
      <w:r w:rsidR="00827BD3">
        <w:t xml:space="preserve"> in the </w:t>
      </w:r>
      <w:r w:rsidR="00032C57" w:rsidRPr="00827BD3">
        <w:t xml:space="preserve">same period.  This augmentation was mainly reflected in the non-personnel costs, i.e. for outsourcing translation and </w:t>
      </w:r>
      <w:r w:rsidR="00A52979" w:rsidRPr="00827BD3">
        <w:t xml:space="preserve">upgrading </w:t>
      </w:r>
      <w:r w:rsidR="00CA0573">
        <w:t>IT tools</w:t>
      </w:r>
      <w:r w:rsidR="00A52979" w:rsidRPr="00827BD3">
        <w:t xml:space="preserve"> </w:t>
      </w:r>
      <w:r w:rsidR="00032C57" w:rsidRPr="00827BD3">
        <w:t xml:space="preserve">to </w:t>
      </w:r>
      <w:r w:rsidR="00A52979" w:rsidRPr="00827BD3">
        <w:t xml:space="preserve">facilitate </w:t>
      </w:r>
      <w:r w:rsidR="00032C57" w:rsidRPr="00827BD3">
        <w:t xml:space="preserve">translation </w:t>
      </w:r>
      <w:r w:rsidR="004F245C">
        <w:t>and quality control processes.</w:t>
      </w:r>
    </w:p>
    <w:p w:rsidR="00A65756" w:rsidRDefault="00AF5AF9" w:rsidP="00A65756">
      <w:pPr>
        <w:pStyle w:val="ONUME"/>
      </w:pPr>
      <w:r>
        <w:t>T</w:t>
      </w:r>
      <w:r w:rsidR="00A65756">
        <w:t>he total annual cost on translation</w:t>
      </w:r>
      <w:r w:rsidR="00472C9E">
        <w:t xml:space="preserve"> services </w:t>
      </w:r>
      <w:r w:rsidR="00431AD0">
        <w:t xml:space="preserve">(since the implementation of the Language Policy in 2010/11) </w:t>
      </w:r>
      <w:r w:rsidR="00472C9E">
        <w:t>is provided in Table 2</w:t>
      </w:r>
      <w:r w:rsidR="00A65756">
        <w:t>.  It would be seen that while the cost on in-house personnel has generally been around the same level, the costs on outsourcing have fluctuated according to the workload.</w:t>
      </w:r>
    </w:p>
    <w:p w:rsidR="00A65756" w:rsidRDefault="004F245C" w:rsidP="00A65756">
      <w:pPr>
        <w:pStyle w:val="ONUME"/>
        <w:numPr>
          <w:ilvl w:val="0"/>
          <w:numId w:val="0"/>
        </w:numPr>
        <w:jc w:val="center"/>
      </w:pPr>
      <w:r>
        <w:t>Table 2</w:t>
      </w:r>
    </w:p>
    <w:p w:rsidR="00A65756" w:rsidRDefault="00A65756" w:rsidP="00A65756">
      <w:pPr>
        <w:pStyle w:val="ONUME"/>
        <w:numPr>
          <w:ilvl w:val="0"/>
          <w:numId w:val="0"/>
        </w:numPr>
        <w:spacing w:after="0"/>
        <w:jc w:val="center"/>
      </w:pPr>
      <w:r>
        <w:t>Total Costs</w:t>
      </w:r>
      <w:r w:rsidR="004F245C">
        <w:t xml:space="preserve"> of Translation</w:t>
      </w:r>
    </w:p>
    <w:p w:rsidR="00A65756" w:rsidRDefault="00803E74" w:rsidP="00A65756">
      <w:pPr>
        <w:pStyle w:val="ONUME"/>
        <w:numPr>
          <w:ilvl w:val="0"/>
          <w:numId w:val="0"/>
        </w:numPr>
        <w:spacing w:after="0"/>
        <w:jc w:val="center"/>
      </w:pPr>
      <w:r>
        <w:t>(</w:t>
      </w:r>
      <w:proofErr w:type="gramStart"/>
      <w:r>
        <w:t>in</w:t>
      </w:r>
      <w:proofErr w:type="gramEnd"/>
      <w:r>
        <w:t xml:space="preserve"> thousands</w:t>
      </w:r>
      <w:r w:rsidR="00A65756">
        <w:t xml:space="preserve"> of Swiss francs)</w:t>
      </w:r>
    </w:p>
    <w:p w:rsidR="00A65756" w:rsidRDefault="00A65756" w:rsidP="00A65756">
      <w:pPr>
        <w:pStyle w:val="ONUME"/>
        <w:numPr>
          <w:ilvl w:val="0"/>
          <w:numId w:val="0"/>
        </w:numPr>
        <w:spacing w:after="0"/>
        <w:jc w:val="center"/>
      </w:pPr>
    </w:p>
    <w:tbl>
      <w:tblPr>
        <w:tblW w:w="7920" w:type="dxa"/>
        <w:tblInd w:w="817" w:type="dxa"/>
        <w:tblLook w:val="04A0" w:firstRow="1" w:lastRow="0" w:firstColumn="1" w:lastColumn="0" w:noHBand="0" w:noVBand="1"/>
      </w:tblPr>
      <w:tblGrid>
        <w:gridCol w:w="2560"/>
        <w:gridCol w:w="1340"/>
        <w:gridCol w:w="1340"/>
        <w:gridCol w:w="1340"/>
        <w:gridCol w:w="1340"/>
      </w:tblGrid>
      <w:tr w:rsidR="00FD183F" w:rsidRPr="00FD183F" w:rsidTr="004F245C">
        <w:trPr>
          <w:trHeight w:val="375"/>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D183F" w:rsidRPr="00FD183F" w:rsidRDefault="00FD183F" w:rsidP="00FD183F">
            <w:pPr>
              <w:rPr>
                <w:rFonts w:eastAsia="Times New Roman"/>
                <w:b/>
                <w:bCs/>
                <w:color w:val="000000"/>
                <w:sz w:val="18"/>
                <w:szCs w:val="18"/>
                <w:lang w:eastAsia="en-US"/>
              </w:rPr>
            </w:pPr>
            <w:r w:rsidRPr="00FD183F">
              <w:rPr>
                <w:rFonts w:eastAsia="Times New Roman"/>
                <w:b/>
                <w:bCs/>
                <w:color w:val="000000"/>
                <w:sz w:val="18"/>
                <w:szCs w:val="18"/>
                <w:lang w:eastAsia="en-US"/>
              </w:rPr>
              <w:t>Costs</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FD183F" w:rsidRPr="00FD183F" w:rsidRDefault="00FD183F" w:rsidP="00FD183F">
            <w:pPr>
              <w:jc w:val="center"/>
              <w:rPr>
                <w:rFonts w:eastAsia="Times New Roman"/>
                <w:b/>
                <w:bCs/>
                <w:color w:val="000000"/>
                <w:sz w:val="18"/>
                <w:szCs w:val="18"/>
                <w:lang w:eastAsia="en-US"/>
              </w:rPr>
            </w:pPr>
            <w:r w:rsidRPr="00FD183F">
              <w:rPr>
                <w:rFonts w:eastAsia="Times New Roman"/>
                <w:b/>
                <w:bCs/>
                <w:color w:val="000000"/>
                <w:sz w:val="18"/>
                <w:szCs w:val="18"/>
                <w:lang w:eastAsia="en-US"/>
              </w:rPr>
              <w:t>2010</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FD183F" w:rsidRPr="00FD183F" w:rsidRDefault="00FD183F" w:rsidP="00FD183F">
            <w:pPr>
              <w:jc w:val="center"/>
              <w:rPr>
                <w:rFonts w:eastAsia="Times New Roman"/>
                <w:b/>
                <w:bCs/>
                <w:color w:val="000000"/>
                <w:sz w:val="18"/>
                <w:szCs w:val="18"/>
                <w:lang w:eastAsia="en-US"/>
              </w:rPr>
            </w:pPr>
            <w:r w:rsidRPr="00FD183F">
              <w:rPr>
                <w:rFonts w:eastAsia="Times New Roman"/>
                <w:b/>
                <w:bCs/>
                <w:color w:val="000000"/>
                <w:sz w:val="18"/>
                <w:szCs w:val="18"/>
                <w:lang w:eastAsia="en-US"/>
              </w:rPr>
              <w:t>2011</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FD183F" w:rsidRPr="00FD183F" w:rsidRDefault="00FD183F" w:rsidP="00FD183F">
            <w:pPr>
              <w:jc w:val="center"/>
              <w:rPr>
                <w:rFonts w:eastAsia="Times New Roman"/>
                <w:b/>
                <w:bCs/>
                <w:color w:val="000000"/>
                <w:sz w:val="18"/>
                <w:szCs w:val="18"/>
                <w:lang w:eastAsia="en-US"/>
              </w:rPr>
            </w:pPr>
            <w:r w:rsidRPr="00FD183F">
              <w:rPr>
                <w:rFonts w:eastAsia="Times New Roman"/>
                <w:b/>
                <w:bCs/>
                <w:color w:val="000000"/>
                <w:sz w:val="18"/>
                <w:szCs w:val="18"/>
                <w:lang w:eastAsia="en-US"/>
              </w:rPr>
              <w:t>2012</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FD183F" w:rsidRPr="00FD183F" w:rsidRDefault="00FD183F" w:rsidP="00FD183F">
            <w:pPr>
              <w:jc w:val="center"/>
              <w:rPr>
                <w:rFonts w:eastAsia="Times New Roman"/>
                <w:b/>
                <w:bCs/>
                <w:color w:val="000000"/>
                <w:sz w:val="18"/>
                <w:szCs w:val="18"/>
                <w:lang w:eastAsia="en-US"/>
              </w:rPr>
            </w:pPr>
            <w:r w:rsidRPr="00FD183F">
              <w:rPr>
                <w:rFonts w:eastAsia="Times New Roman"/>
                <w:b/>
                <w:bCs/>
                <w:color w:val="000000"/>
                <w:sz w:val="18"/>
                <w:szCs w:val="18"/>
                <w:lang w:eastAsia="en-US"/>
              </w:rPr>
              <w:t>2013</w:t>
            </w:r>
          </w:p>
        </w:tc>
      </w:tr>
      <w:tr w:rsidR="00FD183F" w:rsidRPr="00FD183F" w:rsidTr="004F245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83F" w:rsidRPr="00FD183F" w:rsidRDefault="00FD183F" w:rsidP="00FD183F">
            <w:pPr>
              <w:rPr>
                <w:rFonts w:eastAsia="Times New Roman"/>
                <w:color w:val="000000"/>
                <w:sz w:val="18"/>
                <w:szCs w:val="18"/>
                <w:lang w:eastAsia="en-US"/>
              </w:rPr>
            </w:pPr>
            <w:r w:rsidRPr="00FD183F">
              <w:rPr>
                <w:rFonts w:eastAsia="Times New Roman"/>
                <w:color w:val="000000"/>
                <w:sz w:val="18"/>
                <w:szCs w:val="18"/>
                <w:lang w:eastAsia="en-US"/>
              </w:rPr>
              <w:t>Personnel Resources</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FD183F" w:rsidRDefault="00FD183F" w:rsidP="00FD183F">
            <w:pPr>
              <w:jc w:val="right"/>
              <w:rPr>
                <w:rFonts w:eastAsia="Times New Roman"/>
                <w:color w:val="000000"/>
                <w:sz w:val="18"/>
                <w:szCs w:val="18"/>
                <w:lang w:eastAsia="en-US"/>
              </w:rPr>
            </w:pPr>
            <w:r w:rsidRPr="00FD183F">
              <w:rPr>
                <w:rFonts w:eastAsia="Times New Roman"/>
                <w:color w:val="000000"/>
                <w:sz w:val="18"/>
                <w:szCs w:val="18"/>
                <w:lang w:eastAsia="en-US"/>
              </w:rPr>
              <w:t>7,627</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FD183F" w:rsidRDefault="00FD183F" w:rsidP="00FD183F">
            <w:pPr>
              <w:jc w:val="right"/>
              <w:rPr>
                <w:rFonts w:eastAsia="Times New Roman"/>
                <w:color w:val="000000"/>
                <w:sz w:val="18"/>
                <w:szCs w:val="18"/>
                <w:lang w:eastAsia="en-US"/>
              </w:rPr>
            </w:pPr>
            <w:r w:rsidRPr="00FD183F">
              <w:rPr>
                <w:rFonts w:eastAsia="Times New Roman"/>
                <w:color w:val="000000"/>
                <w:sz w:val="18"/>
                <w:szCs w:val="18"/>
                <w:lang w:eastAsia="en-US"/>
              </w:rPr>
              <w:t>7,430</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FD183F" w:rsidRDefault="00FD183F" w:rsidP="00FD183F">
            <w:pPr>
              <w:jc w:val="right"/>
              <w:rPr>
                <w:rFonts w:eastAsia="Times New Roman"/>
                <w:color w:val="000000"/>
                <w:sz w:val="18"/>
                <w:szCs w:val="18"/>
                <w:lang w:eastAsia="en-US"/>
              </w:rPr>
            </w:pPr>
            <w:r w:rsidRPr="00FD183F">
              <w:rPr>
                <w:rFonts w:eastAsia="Times New Roman"/>
                <w:color w:val="000000"/>
                <w:sz w:val="18"/>
                <w:szCs w:val="18"/>
                <w:lang w:eastAsia="en-US"/>
              </w:rPr>
              <w:t>7,116</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FD183F" w:rsidRDefault="00FD183F" w:rsidP="00FD183F">
            <w:pPr>
              <w:jc w:val="right"/>
              <w:rPr>
                <w:rFonts w:eastAsia="Times New Roman"/>
                <w:color w:val="000000"/>
                <w:sz w:val="18"/>
                <w:szCs w:val="18"/>
                <w:lang w:eastAsia="en-US"/>
              </w:rPr>
            </w:pPr>
            <w:r w:rsidRPr="00FD183F">
              <w:rPr>
                <w:rFonts w:eastAsia="Times New Roman"/>
                <w:color w:val="000000"/>
                <w:sz w:val="18"/>
                <w:szCs w:val="18"/>
                <w:lang w:eastAsia="en-US"/>
              </w:rPr>
              <w:t>7,348</w:t>
            </w:r>
          </w:p>
        </w:tc>
      </w:tr>
      <w:tr w:rsidR="00FD183F" w:rsidRPr="00FD183F" w:rsidTr="004F245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83F" w:rsidRPr="00FD183F" w:rsidRDefault="00FD183F" w:rsidP="00FD183F">
            <w:pPr>
              <w:rPr>
                <w:rFonts w:eastAsia="Times New Roman"/>
                <w:color w:val="000000"/>
                <w:sz w:val="18"/>
                <w:szCs w:val="18"/>
                <w:lang w:eastAsia="en-US"/>
              </w:rPr>
            </w:pPr>
            <w:r w:rsidRPr="00FD183F">
              <w:rPr>
                <w:rFonts w:eastAsia="Times New Roman"/>
                <w:color w:val="000000"/>
                <w:sz w:val="18"/>
                <w:szCs w:val="18"/>
                <w:lang w:eastAsia="en-US"/>
              </w:rPr>
              <w:t>Outsourcing</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FD183F" w:rsidRDefault="00FD183F" w:rsidP="00FD183F">
            <w:pPr>
              <w:jc w:val="right"/>
              <w:rPr>
                <w:rFonts w:eastAsia="Times New Roman"/>
                <w:color w:val="000000"/>
                <w:sz w:val="18"/>
                <w:szCs w:val="18"/>
                <w:lang w:eastAsia="en-US"/>
              </w:rPr>
            </w:pPr>
            <w:r w:rsidRPr="00FD183F">
              <w:rPr>
                <w:rFonts w:eastAsia="Times New Roman"/>
                <w:color w:val="000000"/>
                <w:sz w:val="18"/>
                <w:szCs w:val="18"/>
                <w:lang w:eastAsia="en-US"/>
              </w:rPr>
              <w:t>1,027</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FD183F" w:rsidRDefault="00FD183F" w:rsidP="00FD183F">
            <w:pPr>
              <w:jc w:val="right"/>
              <w:rPr>
                <w:rFonts w:eastAsia="Times New Roman"/>
                <w:color w:val="000000"/>
                <w:sz w:val="18"/>
                <w:szCs w:val="18"/>
                <w:lang w:eastAsia="en-US"/>
              </w:rPr>
            </w:pPr>
            <w:r w:rsidRPr="00FD183F">
              <w:rPr>
                <w:rFonts w:eastAsia="Times New Roman"/>
                <w:color w:val="000000"/>
                <w:sz w:val="18"/>
                <w:szCs w:val="18"/>
                <w:lang w:eastAsia="en-US"/>
              </w:rPr>
              <w:t>1,562</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FD183F" w:rsidRDefault="00FD183F" w:rsidP="00FD183F">
            <w:pPr>
              <w:jc w:val="right"/>
              <w:rPr>
                <w:rFonts w:eastAsia="Times New Roman"/>
                <w:color w:val="000000"/>
                <w:sz w:val="18"/>
                <w:szCs w:val="18"/>
                <w:lang w:eastAsia="en-US"/>
              </w:rPr>
            </w:pPr>
            <w:r w:rsidRPr="00FD183F">
              <w:rPr>
                <w:rFonts w:eastAsia="Times New Roman"/>
                <w:color w:val="000000"/>
                <w:sz w:val="18"/>
                <w:szCs w:val="18"/>
                <w:lang w:eastAsia="en-US"/>
              </w:rPr>
              <w:t>2,702</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FD183F" w:rsidRDefault="00FD183F" w:rsidP="00FD183F">
            <w:pPr>
              <w:jc w:val="right"/>
              <w:rPr>
                <w:rFonts w:eastAsia="Times New Roman"/>
                <w:color w:val="000000"/>
                <w:sz w:val="18"/>
                <w:szCs w:val="18"/>
                <w:lang w:eastAsia="en-US"/>
              </w:rPr>
            </w:pPr>
            <w:r w:rsidRPr="00FD183F">
              <w:rPr>
                <w:rFonts w:eastAsia="Times New Roman"/>
                <w:color w:val="000000"/>
                <w:sz w:val="18"/>
                <w:szCs w:val="18"/>
                <w:lang w:eastAsia="en-US"/>
              </w:rPr>
              <w:t>2,103</w:t>
            </w:r>
          </w:p>
        </w:tc>
      </w:tr>
      <w:tr w:rsidR="00FD183F" w:rsidRPr="00FD183F" w:rsidTr="004F245C">
        <w:trPr>
          <w:trHeight w:val="360"/>
        </w:trPr>
        <w:tc>
          <w:tcPr>
            <w:tcW w:w="2560" w:type="dxa"/>
            <w:tcBorders>
              <w:top w:val="nil"/>
              <w:left w:val="single" w:sz="4" w:space="0" w:color="auto"/>
              <w:bottom w:val="single" w:sz="4" w:space="0" w:color="auto"/>
              <w:right w:val="single" w:sz="4" w:space="0" w:color="auto"/>
            </w:tcBorders>
            <w:shd w:val="clear" w:color="000000" w:fill="BFBFBF"/>
            <w:noWrap/>
            <w:vAlign w:val="bottom"/>
            <w:hideMark/>
          </w:tcPr>
          <w:p w:rsidR="00FD183F" w:rsidRPr="00FD183F" w:rsidRDefault="00FD183F" w:rsidP="00FD183F">
            <w:pPr>
              <w:jc w:val="right"/>
              <w:rPr>
                <w:rFonts w:eastAsia="Times New Roman"/>
                <w:b/>
                <w:bCs/>
                <w:color w:val="000000"/>
                <w:sz w:val="18"/>
                <w:szCs w:val="18"/>
                <w:lang w:eastAsia="en-US"/>
              </w:rPr>
            </w:pPr>
            <w:r w:rsidRPr="00FD183F">
              <w:rPr>
                <w:rFonts w:eastAsia="Times New Roman"/>
                <w:b/>
                <w:bCs/>
                <w:color w:val="000000"/>
                <w:sz w:val="18"/>
                <w:szCs w:val="18"/>
                <w:lang w:eastAsia="en-US"/>
              </w:rPr>
              <w:t>Total</w:t>
            </w:r>
          </w:p>
        </w:tc>
        <w:tc>
          <w:tcPr>
            <w:tcW w:w="1340" w:type="dxa"/>
            <w:tcBorders>
              <w:top w:val="nil"/>
              <w:left w:val="nil"/>
              <w:bottom w:val="single" w:sz="4" w:space="0" w:color="auto"/>
              <w:right w:val="single" w:sz="4" w:space="0" w:color="auto"/>
            </w:tcBorders>
            <w:shd w:val="clear" w:color="000000" w:fill="BFBFBF"/>
            <w:noWrap/>
            <w:vAlign w:val="bottom"/>
            <w:hideMark/>
          </w:tcPr>
          <w:p w:rsidR="00FD183F" w:rsidRPr="00FD183F" w:rsidRDefault="00FD183F" w:rsidP="00FD183F">
            <w:pPr>
              <w:jc w:val="right"/>
              <w:rPr>
                <w:rFonts w:eastAsia="Times New Roman"/>
                <w:b/>
                <w:bCs/>
                <w:color w:val="000000"/>
                <w:sz w:val="18"/>
                <w:szCs w:val="18"/>
                <w:lang w:eastAsia="en-US"/>
              </w:rPr>
            </w:pPr>
            <w:r w:rsidRPr="00FD183F">
              <w:rPr>
                <w:rFonts w:eastAsia="Times New Roman"/>
                <w:b/>
                <w:bCs/>
                <w:color w:val="000000"/>
                <w:sz w:val="18"/>
                <w:szCs w:val="18"/>
                <w:lang w:eastAsia="en-US"/>
              </w:rPr>
              <w:t>8,654</w:t>
            </w:r>
          </w:p>
        </w:tc>
        <w:tc>
          <w:tcPr>
            <w:tcW w:w="1340" w:type="dxa"/>
            <w:tcBorders>
              <w:top w:val="nil"/>
              <w:left w:val="nil"/>
              <w:bottom w:val="single" w:sz="4" w:space="0" w:color="auto"/>
              <w:right w:val="single" w:sz="4" w:space="0" w:color="auto"/>
            </w:tcBorders>
            <w:shd w:val="clear" w:color="000000" w:fill="BFBFBF"/>
            <w:noWrap/>
            <w:vAlign w:val="bottom"/>
            <w:hideMark/>
          </w:tcPr>
          <w:p w:rsidR="00FD183F" w:rsidRPr="00FD183F" w:rsidRDefault="00FD183F" w:rsidP="00FD183F">
            <w:pPr>
              <w:jc w:val="right"/>
              <w:rPr>
                <w:rFonts w:eastAsia="Times New Roman"/>
                <w:b/>
                <w:bCs/>
                <w:color w:val="000000"/>
                <w:sz w:val="18"/>
                <w:szCs w:val="18"/>
                <w:lang w:eastAsia="en-US"/>
              </w:rPr>
            </w:pPr>
            <w:r w:rsidRPr="00FD183F">
              <w:rPr>
                <w:rFonts w:eastAsia="Times New Roman"/>
                <w:b/>
                <w:bCs/>
                <w:color w:val="000000"/>
                <w:sz w:val="18"/>
                <w:szCs w:val="18"/>
                <w:lang w:eastAsia="en-US"/>
              </w:rPr>
              <w:t>8,992</w:t>
            </w:r>
          </w:p>
        </w:tc>
        <w:tc>
          <w:tcPr>
            <w:tcW w:w="1340" w:type="dxa"/>
            <w:tcBorders>
              <w:top w:val="nil"/>
              <w:left w:val="nil"/>
              <w:bottom w:val="single" w:sz="4" w:space="0" w:color="auto"/>
              <w:right w:val="single" w:sz="4" w:space="0" w:color="auto"/>
            </w:tcBorders>
            <w:shd w:val="clear" w:color="000000" w:fill="BFBFBF"/>
            <w:noWrap/>
            <w:vAlign w:val="bottom"/>
            <w:hideMark/>
          </w:tcPr>
          <w:p w:rsidR="00FD183F" w:rsidRPr="00FD183F" w:rsidRDefault="00FD183F" w:rsidP="00FD183F">
            <w:pPr>
              <w:jc w:val="right"/>
              <w:rPr>
                <w:rFonts w:eastAsia="Times New Roman"/>
                <w:b/>
                <w:bCs/>
                <w:color w:val="000000"/>
                <w:sz w:val="18"/>
                <w:szCs w:val="18"/>
                <w:lang w:eastAsia="en-US"/>
              </w:rPr>
            </w:pPr>
            <w:r w:rsidRPr="00FD183F">
              <w:rPr>
                <w:rFonts w:eastAsia="Times New Roman"/>
                <w:b/>
                <w:bCs/>
                <w:color w:val="000000"/>
                <w:sz w:val="18"/>
                <w:szCs w:val="18"/>
                <w:lang w:eastAsia="en-US"/>
              </w:rPr>
              <w:t>9,818</w:t>
            </w:r>
          </w:p>
        </w:tc>
        <w:tc>
          <w:tcPr>
            <w:tcW w:w="1340" w:type="dxa"/>
            <w:tcBorders>
              <w:top w:val="nil"/>
              <w:left w:val="nil"/>
              <w:bottom w:val="single" w:sz="4" w:space="0" w:color="auto"/>
              <w:right w:val="single" w:sz="4" w:space="0" w:color="auto"/>
            </w:tcBorders>
            <w:shd w:val="clear" w:color="000000" w:fill="BFBFBF"/>
            <w:noWrap/>
            <w:vAlign w:val="bottom"/>
            <w:hideMark/>
          </w:tcPr>
          <w:p w:rsidR="00FD183F" w:rsidRPr="00FD183F" w:rsidRDefault="00FD183F" w:rsidP="00FD183F">
            <w:pPr>
              <w:jc w:val="right"/>
              <w:rPr>
                <w:rFonts w:eastAsia="Times New Roman"/>
                <w:b/>
                <w:bCs/>
                <w:color w:val="000000"/>
                <w:sz w:val="18"/>
                <w:szCs w:val="18"/>
                <w:lang w:eastAsia="en-US"/>
              </w:rPr>
            </w:pPr>
            <w:r w:rsidRPr="00FD183F">
              <w:rPr>
                <w:rFonts w:eastAsia="Times New Roman"/>
                <w:b/>
                <w:bCs/>
                <w:color w:val="000000"/>
                <w:sz w:val="18"/>
                <w:szCs w:val="18"/>
                <w:lang w:eastAsia="en-US"/>
              </w:rPr>
              <w:t>9,451</w:t>
            </w:r>
          </w:p>
        </w:tc>
      </w:tr>
    </w:tbl>
    <w:p w:rsidR="00A65756" w:rsidRPr="00827BD3" w:rsidRDefault="00A65756" w:rsidP="00A65756">
      <w:pPr>
        <w:pStyle w:val="ONUME"/>
        <w:numPr>
          <w:ilvl w:val="0"/>
          <w:numId w:val="0"/>
        </w:numPr>
      </w:pPr>
    </w:p>
    <w:p w:rsidR="00A52979" w:rsidRPr="004F245C" w:rsidRDefault="00A52979" w:rsidP="00827BD3">
      <w:pPr>
        <w:pStyle w:val="ONUME"/>
        <w:rPr>
          <w:u w:val="single"/>
        </w:rPr>
      </w:pPr>
      <w:r w:rsidRPr="00827BD3">
        <w:t>Due to the higher level of</w:t>
      </w:r>
      <w:r w:rsidR="00D579F3">
        <w:t xml:space="preserve"> outsourcing;</w:t>
      </w:r>
      <w:r w:rsidRPr="00827BD3">
        <w:t xml:space="preserve"> current contract mix of in</w:t>
      </w:r>
      <w:r w:rsidR="00D579F3">
        <w:t>-house and external translators;</w:t>
      </w:r>
      <w:r w:rsidRPr="00827BD3">
        <w:t xml:space="preserve"> enhanced efforts to rationalize business processes</w:t>
      </w:r>
      <w:r w:rsidR="00707727">
        <w:t>,</w:t>
      </w:r>
      <w:r w:rsidRPr="00827BD3">
        <w:t xml:space="preserve"> both upstream </w:t>
      </w:r>
      <w:r w:rsidR="00CA0573">
        <w:t>and during</w:t>
      </w:r>
      <w:r w:rsidR="00D579F3">
        <w:t xml:space="preserve"> the translation process;</w:t>
      </w:r>
      <w:r w:rsidRPr="00827BD3">
        <w:t xml:space="preserve"> as well as effective use of translation-related IT tools, there have</w:t>
      </w:r>
      <w:r>
        <w:t xml:space="preserve"> been some cost savings</w:t>
      </w:r>
      <w:r w:rsidR="00D579F3">
        <w:t>,</w:t>
      </w:r>
      <w:r>
        <w:t xml:space="preserve"> with the average cost of transla</w:t>
      </w:r>
      <w:r w:rsidR="00731A3B">
        <w:t>tion per page reducing from 213 </w:t>
      </w:r>
      <w:r>
        <w:t xml:space="preserve">Swiss francs in 2010/11 to 191 Swiss francs in 2012/13.  </w:t>
      </w:r>
      <w:r w:rsidR="001E5FF5">
        <w:t>The cost effi</w:t>
      </w:r>
      <w:r w:rsidR="00F70609">
        <w:t>ciencies resulting therefrom</w:t>
      </w:r>
      <w:r w:rsidR="00A84FBE">
        <w:t xml:space="preserve"> were</w:t>
      </w:r>
      <w:r w:rsidR="001E5FF5">
        <w:t xml:space="preserve"> 2.2 million Swiss francs.  The reduction in cost per </w:t>
      </w:r>
      <w:r w:rsidR="00F70609">
        <w:t>page also conforms to the performance</w:t>
      </w:r>
      <w:r w:rsidR="001E5FF5">
        <w:t xml:space="preserve"> indicator (10%) fixed for </w:t>
      </w:r>
      <w:r w:rsidR="00E01147">
        <w:t xml:space="preserve">the </w:t>
      </w:r>
      <w:r w:rsidR="001E5FF5">
        <w:t>2012/13 biennium.</w:t>
      </w:r>
    </w:p>
    <w:p w:rsidR="004F245C" w:rsidRPr="00472C9E" w:rsidRDefault="00193D87" w:rsidP="00827BD3">
      <w:pPr>
        <w:pStyle w:val="ONUME"/>
        <w:rPr>
          <w:szCs w:val="22"/>
          <w:u w:val="single"/>
        </w:rPr>
      </w:pPr>
      <w:r>
        <w:rPr>
          <w:szCs w:val="22"/>
        </w:rPr>
        <w:t>C</w:t>
      </w:r>
      <w:r w:rsidR="00472C9E" w:rsidRPr="00472C9E">
        <w:rPr>
          <w:szCs w:val="22"/>
        </w:rPr>
        <w:t>ost</w:t>
      </w:r>
      <w:r>
        <w:rPr>
          <w:szCs w:val="22"/>
        </w:rPr>
        <w:t xml:space="preserve"> efficiencies</w:t>
      </w:r>
      <w:r w:rsidR="00472C9E" w:rsidRPr="00472C9E">
        <w:rPr>
          <w:szCs w:val="22"/>
        </w:rPr>
        <w:t xml:space="preserve"> </w:t>
      </w:r>
      <w:r>
        <w:rPr>
          <w:szCs w:val="22"/>
        </w:rPr>
        <w:t xml:space="preserve">were also </w:t>
      </w:r>
      <w:r w:rsidR="00472C9E" w:rsidRPr="00472C9E">
        <w:rPr>
          <w:szCs w:val="22"/>
        </w:rPr>
        <w:t>due to the outsourcing of translation work to external agencies</w:t>
      </w:r>
      <w:r w:rsidR="00AF5AF9">
        <w:rPr>
          <w:szCs w:val="22"/>
        </w:rPr>
        <w:t xml:space="preserve"> into French and Spanish</w:t>
      </w:r>
      <w:r w:rsidR="00034E1E">
        <w:rPr>
          <w:szCs w:val="22"/>
        </w:rPr>
        <w:t>, with an</w:t>
      </w:r>
      <w:r w:rsidR="00472C9E" w:rsidRPr="00472C9E">
        <w:rPr>
          <w:szCs w:val="22"/>
        </w:rPr>
        <w:t xml:space="preserve"> </w:t>
      </w:r>
      <w:r w:rsidR="005030B3">
        <w:rPr>
          <w:szCs w:val="22"/>
        </w:rPr>
        <w:t xml:space="preserve">average unit cost </w:t>
      </w:r>
      <w:r w:rsidR="00034E1E">
        <w:rPr>
          <w:szCs w:val="22"/>
        </w:rPr>
        <w:t xml:space="preserve">at </w:t>
      </w:r>
      <w:r w:rsidR="00AF5AF9">
        <w:rPr>
          <w:szCs w:val="22"/>
        </w:rPr>
        <w:t>38 per </w:t>
      </w:r>
      <w:r w:rsidR="005030B3">
        <w:rPr>
          <w:szCs w:val="22"/>
        </w:rPr>
        <w:t xml:space="preserve">cent lower than that </w:t>
      </w:r>
      <w:r w:rsidR="00034E1E">
        <w:rPr>
          <w:szCs w:val="22"/>
        </w:rPr>
        <w:t xml:space="preserve">of </w:t>
      </w:r>
      <w:r w:rsidR="005030B3">
        <w:rPr>
          <w:szCs w:val="22"/>
        </w:rPr>
        <w:t>individual translators.</w:t>
      </w:r>
      <w:r w:rsidR="00472C9E">
        <w:rPr>
          <w:szCs w:val="22"/>
        </w:rPr>
        <w:t xml:space="preserve">  </w:t>
      </w:r>
      <w:r w:rsidR="00472C9E" w:rsidRPr="00472C9E">
        <w:rPr>
          <w:szCs w:val="22"/>
        </w:rPr>
        <w:t xml:space="preserve">Though the work outsourced to agencies, which started in the last biennium, required a higher level of in-house review as a part of the quality control process (thereby taking up more time of the in-house staff), it resulted in a </w:t>
      </w:r>
      <w:r w:rsidR="00034E1E">
        <w:rPr>
          <w:szCs w:val="22"/>
        </w:rPr>
        <w:t xml:space="preserve">net </w:t>
      </w:r>
      <w:r w:rsidR="00472C9E" w:rsidRPr="00472C9E">
        <w:rPr>
          <w:szCs w:val="22"/>
        </w:rPr>
        <w:t>cost saving of some 99,000</w:t>
      </w:r>
      <w:r w:rsidR="00431AD0">
        <w:rPr>
          <w:szCs w:val="22"/>
        </w:rPr>
        <w:t> Swiss francs in </w:t>
      </w:r>
      <w:r w:rsidR="00472C9E" w:rsidRPr="00472C9E">
        <w:rPr>
          <w:szCs w:val="22"/>
        </w:rPr>
        <w:t>2013</w:t>
      </w:r>
      <w:r w:rsidR="005030B3">
        <w:rPr>
          <w:szCs w:val="22"/>
        </w:rPr>
        <w:t>.</w:t>
      </w:r>
      <w:r w:rsidR="007C6581">
        <w:rPr>
          <w:szCs w:val="22"/>
        </w:rPr>
        <w:t xml:space="preserve"> </w:t>
      </w:r>
      <w:r w:rsidR="005030B3">
        <w:rPr>
          <w:szCs w:val="22"/>
        </w:rPr>
        <w:t xml:space="preserve"> </w:t>
      </w:r>
      <w:r w:rsidR="00472C9E" w:rsidRPr="00472C9E">
        <w:rPr>
          <w:szCs w:val="22"/>
        </w:rPr>
        <w:t>It is expected that with the assignment of translation work to similar agencies in other languages, without compromising on quality, such savings would increase in the future</w:t>
      </w:r>
      <w:r w:rsidR="004F245C" w:rsidRPr="00472C9E">
        <w:rPr>
          <w:szCs w:val="22"/>
        </w:rPr>
        <w:t>.</w:t>
      </w:r>
    </w:p>
    <w:p w:rsidR="003F4FF9" w:rsidRPr="000E2FB1" w:rsidRDefault="004674A3" w:rsidP="00AB2D08">
      <w:pPr>
        <w:pStyle w:val="ONUME"/>
        <w:numPr>
          <w:ilvl w:val="0"/>
          <w:numId w:val="0"/>
        </w:numPr>
        <w:rPr>
          <w:u w:val="single"/>
        </w:rPr>
      </w:pPr>
      <w:r w:rsidRPr="000E2FB1">
        <w:rPr>
          <w:u w:val="single"/>
        </w:rPr>
        <w:t xml:space="preserve">Computer-assisted Translation and Terminological (CATT) Tools </w:t>
      </w:r>
    </w:p>
    <w:p w:rsidR="00992E94" w:rsidRDefault="00992E94" w:rsidP="00AB2D08">
      <w:pPr>
        <w:pStyle w:val="ONUME"/>
      </w:pPr>
      <w:r w:rsidRPr="00433CD1">
        <w:t>A</w:t>
      </w:r>
      <w:r>
        <w:rPr>
          <w:rFonts w:hint="eastAsia"/>
        </w:rPr>
        <w:t>s a</w:t>
      </w:r>
      <w:r w:rsidRPr="00433CD1">
        <w:t xml:space="preserve">nother measure </w:t>
      </w:r>
      <w:r>
        <w:rPr>
          <w:rFonts w:hint="eastAsia"/>
        </w:rPr>
        <w:t xml:space="preserve">to </w:t>
      </w:r>
      <w:r w:rsidR="00A4361E">
        <w:t>promote efficiency</w:t>
      </w:r>
      <w:r>
        <w:rPr>
          <w:rFonts w:hint="eastAsia"/>
        </w:rPr>
        <w:t>,</w:t>
      </w:r>
      <w:r>
        <w:t xml:space="preserve"> </w:t>
      </w:r>
      <w:r w:rsidRPr="00433CD1">
        <w:t>improv</w:t>
      </w:r>
      <w:r>
        <w:rPr>
          <w:rFonts w:hint="eastAsia"/>
        </w:rPr>
        <w:t>e</w:t>
      </w:r>
      <w:r w:rsidRPr="00433CD1">
        <w:t xml:space="preserve"> </w:t>
      </w:r>
      <w:r>
        <w:t>quality</w:t>
      </w:r>
      <w:r>
        <w:rPr>
          <w:rFonts w:hint="eastAsia"/>
        </w:rPr>
        <w:t xml:space="preserve"> and</w:t>
      </w:r>
      <w:r>
        <w:t xml:space="preserve"> increase productivity</w:t>
      </w:r>
      <w:r>
        <w:rPr>
          <w:rFonts w:hint="eastAsia"/>
        </w:rPr>
        <w:t xml:space="preserve">, </w:t>
      </w:r>
      <w:r>
        <w:t xml:space="preserve">the </w:t>
      </w:r>
      <w:r w:rsidR="00414765">
        <w:t>Secretariat</w:t>
      </w:r>
      <w:r>
        <w:t xml:space="preserve"> enhanced</w:t>
      </w:r>
      <w:r w:rsidRPr="00433CD1">
        <w:t xml:space="preserve"> </w:t>
      </w:r>
      <w:r>
        <w:rPr>
          <w:rFonts w:hint="eastAsia"/>
        </w:rPr>
        <w:t xml:space="preserve">its </w:t>
      </w:r>
      <w:r>
        <w:t>u</w:t>
      </w:r>
      <w:r w:rsidRPr="00433CD1">
        <w:t xml:space="preserve">se of </w:t>
      </w:r>
      <w:r w:rsidR="004674A3">
        <w:t xml:space="preserve">CATT tools </w:t>
      </w:r>
      <w:r w:rsidR="00414765">
        <w:t>during the 2012/13 biennium</w:t>
      </w:r>
      <w:r w:rsidRPr="00433CD1">
        <w:t xml:space="preserve">. </w:t>
      </w:r>
      <w:r>
        <w:t xml:space="preserve"> </w:t>
      </w:r>
      <w:r w:rsidRPr="00414765">
        <w:rPr>
          <w:szCs w:val="22"/>
        </w:rPr>
        <w:t xml:space="preserve">Following a rigorous process of identification and </w:t>
      </w:r>
      <w:r w:rsidRPr="00414765">
        <w:t>selection</w:t>
      </w:r>
      <w:r w:rsidRPr="00414765">
        <w:rPr>
          <w:szCs w:val="22"/>
        </w:rPr>
        <w:t>, ne</w:t>
      </w:r>
      <w:r w:rsidRPr="00414765">
        <w:rPr>
          <w:rFonts w:hint="eastAsia"/>
          <w:szCs w:val="22"/>
        </w:rPr>
        <w:t>w CA</w:t>
      </w:r>
      <w:r w:rsidR="004674A3">
        <w:rPr>
          <w:szCs w:val="22"/>
        </w:rPr>
        <w:t>T</w:t>
      </w:r>
      <w:r w:rsidRPr="00414765">
        <w:rPr>
          <w:rFonts w:hint="eastAsia"/>
          <w:szCs w:val="22"/>
        </w:rPr>
        <w:t xml:space="preserve">T </w:t>
      </w:r>
      <w:r w:rsidR="004674A3">
        <w:rPr>
          <w:szCs w:val="22"/>
        </w:rPr>
        <w:t>tools</w:t>
      </w:r>
      <w:r w:rsidRPr="00414765">
        <w:rPr>
          <w:rFonts w:hint="eastAsia"/>
          <w:szCs w:val="22"/>
        </w:rPr>
        <w:t xml:space="preserve"> </w:t>
      </w:r>
      <w:r w:rsidR="00FB6C2C">
        <w:rPr>
          <w:szCs w:val="22"/>
        </w:rPr>
        <w:t xml:space="preserve">were </w:t>
      </w:r>
      <w:r w:rsidRPr="00414765">
        <w:rPr>
          <w:rFonts w:hint="eastAsia"/>
          <w:szCs w:val="22"/>
        </w:rPr>
        <w:t xml:space="preserve">acquired and </w:t>
      </w:r>
      <w:r w:rsidR="00167077">
        <w:rPr>
          <w:szCs w:val="22"/>
        </w:rPr>
        <w:t>deploy</w:t>
      </w:r>
      <w:r w:rsidRPr="00414765">
        <w:rPr>
          <w:szCs w:val="22"/>
        </w:rPr>
        <w:t>ed</w:t>
      </w:r>
      <w:r w:rsidR="00B87AB8">
        <w:rPr>
          <w:szCs w:val="22"/>
        </w:rPr>
        <w:t xml:space="preserve"> in 2013</w:t>
      </w:r>
      <w:r w:rsidRPr="00414765">
        <w:rPr>
          <w:szCs w:val="22"/>
        </w:rPr>
        <w:t>.</w:t>
      </w:r>
      <w:r w:rsidR="00414765" w:rsidRPr="00414765">
        <w:rPr>
          <w:szCs w:val="22"/>
        </w:rPr>
        <w:t xml:space="preserve">  </w:t>
      </w:r>
      <w:r w:rsidR="007277AC">
        <w:rPr>
          <w:rFonts w:hint="eastAsia"/>
        </w:rPr>
        <w:t>The preliminary experience</w:t>
      </w:r>
      <w:r>
        <w:rPr>
          <w:rFonts w:hint="eastAsia"/>
        </w:rPr>
        <w:t xml:space="preserve"> </w:t>
      </w:r>
      <w:r>
        <w:t>after a year’s</w:t>
      </w:r>
      <w:r>
        <w:rPr>
          <w:rFonts w:hint="eastAsia"/>
        </w:rPr>
        <w:t xml:space="preserve"> use have shown </w:t>
      </w:r>
      <w:r w:rsidR="00414765">
        <w:t>some</w:t>
      </w:r>
      <w:r>
        <w:t xml:space="preserve"> benefits</w:t>
      </w:r>
      <w:r w:rsidR="006B75E7">
        <w:t xml:space="preserve"> such as:  </w:t>
      </w:r>
      <w:r w:rsidR="00414765">
        <w:t>standardization of terminology; a</w:t>
      </w:r>
      <w:r>
        <w:t>utomatic</w:t>
      </w:r>
      <w:r w:rsidRPr="005B1683">
        <w:t xml:space="preserve"> recogni</w:t>
      </w:r>
      <w:r>
        <w:t>tion of previously translated text</w:t>
      </w:r>
      <w:proofErr w:type="gramStart"/>
      <w:r w:rsidR="00BF1996">
        <w:t>;</w:t>
      </w:r>
      <w:r>
        <w:t xml:space="preserve"> </w:t>
      </w:r>
      <w:r w:rsidR="006B75E7">
        <w:t xml:space="preserve"> </w:t>
      </w:r>
      <w:r w:rsidR="00BF1996">
        <w:t>consistency</w:t>
      </w:r>
      <w:proofErr w:type="gramEnd"/>
      <w:r w:rsidR="00BF1996">
        <w:t xml:space="preserve">; </w:t>
      </w:r>
      <w:r>
        <w:t>productivity;</w:t>
      </w:r>
      <w:r w:rsidR="00414765">
        <w:t xml:space="preserve"> </w:t>
      </w:r>
      <w:r w:rsidR="006B75E7">
        <w:t xml:space="preserve"> </w:t>
      </w:r>
      <w:r>
        <w:t>and</w:t>
      </w:r>
      <w:r w:rsidR="00414765" w:rsidRPr="00414765">
        <w:t xml:space="preserve"> </w:t>
      </w:r>
      <w:r w:rsidR="00414765">
        <w:t>quality control.</w:t>
      </w:r>
    </w:p>
    <w:p w:rsidR="00564F90" w:rsidRPr="00FB1508" w:rsidRDefault="00DE4FE6" w:rsidP="00AB2D08">
      <w:pPr>
        <w:pStyle w:val="ONUME"/>
        <w:keepNext/>
        <w:numPr>
          <w:ilvl w:val="0"/>
          <w:numId w:val="0"/>
        </w:numPr>
        <w:rPr>
          <w:u w:val="single" w:color="000000"/>
        </w:rPr>
      </w:pPr>
      <w:r w:rsidRPr="00FB1508">
        <w:rPr>
          <w:u w:val="single" w:color="000000"/>
        </w:rPr>
        <w:lastRenderedPageBreak/>
        <w:t>Extens</w:t>
      </w:r>
      <w:r w:rsidR="00564F90" w:rsidRPr="00FB1508">
        <w:rPr>
          <w:u w:val="single" w:color="000000"/>
        </w:rPr>
        <w:t xml:space="preserve">ion </w:t>
      </w:r>
      <w:r w:rsidRPr="00FB1508">
        <w:rPr>
          <w:u w:val="single" w:color="000000"/>
        </w:rPr>
        <w:t>of Si</w:t>
      </w:r>
      <w:r w:rsidR="00E145B7">
        <w:rPr>
          <w:u w:val="single" w:color="000000"/>
        </w:rPr>
        <w:t>x-Language Coverage to Web Site</w:t>
      </w:r>
    </w:p>
    <w:p w:rsidR="00BF1996" w:rsidRPr="00A11742" w:rsidRDefault="00A11742" w:rsidP="00AB2D08">
      <w:pPr>
        <w:pStyle w:val="ONUME"/>
        <w:keepNext/>
        <w:keepLines/>
        <w:rPr>
          <w:sz w:val="24"/>
          <w:u w:color="000000"/>
        </w:rPr>
      </w:pPr>
      <w:r w:rsidRPr="00A11742">
        <w:t>The restructured and redesigned WIPO web</w:t>
      </w:r>
      <w:r w:rsidR="00B87AB8">
        <w:t xml:space="preserve"> </w:t>
      </w:r>
      <w:r w:rsidRPr="00A11742">
        <w:t>site (Pha</w:t>
      </w:r>
      <w:r w:rsidR="00441FF3">
        <w:t>se 1) was launched in November</w:t>
      </w:r>
      <w:r>
        <w:t> </w:t>
      </w:r>
      <w:r w:rsidRPr="00A11742">
        <w:t xml:space="preserve">2013. </w:t>
      </w:r>
      <w:r>
        <w:t xml:space="preserve"> </w:t>
      </w:r>
      <w:r w:rsidRPr="00A11742">
        <w:t>Prior to the launch, and as part of the restructuring, many outdated or unnecessary pages were r</w:t>
      </w:r>
      <w:r w:rsidR="007277AC">
        <w:t xml:space="preserve">emoved, while new texts and </w:t>
      </w:r>
      <w:r w:rsidRPr="00A11742">
        <w:t xml:space="preserve">pages were created, including a complete overhaul of the portal and all landing pages (IP services, policy, cooperation, reference, about IP, and inside WIPO). </w:t>
      </w:r>
      <w:r>
        <w:t xml:space="preserve"> </w:t>
      </w:r>
      <w:r w:rsidR="00441FF3">
        <w:t>The portal and all top-</w:t>
      </w:r>
      <w:r w:rsidRPr="00A11742">
        <w:t xml:space="preserve">level pages were launched in the six official languages. </w:t>
      </w:r>
      <w:r>
        <w:t xml:space="preserve"> </w:t>
      </w:r>
      <w:r w:rsidRPr="00A11742">
        <w:t>Translation and implementation of the site into six languages is progressing, based on work plans and available resources.</w:t>
      </w:r>
      <w:r>
        <w:t xml:space="preserve"> </w:t>
      </w:r>
      <w:r w:rsidRPr="00A11742">
        <w:t xml:space="preserve"> Phase 2 of the web</w:t>
      </w:r>
      <w:r w:rsidR="00B87AB8">
        <w:t xml:space="preserve"> </w:t>
      </w:r>
      <w:r w:rsidRPr="00A11742">
        <w:t>site redesign will include a further elimination or clean-up of lower-level pages, as well as ongoing translation and implementation of the language versions</w:t>
      </w:r>
      <w:r>
        <w:t>.</w:t>
      </w:r>
    </w:p>
    <w:p w:rsidR="00A11742" w:rsidRPr="00B10E98" w:rsidRDefault="00A11742" w:rsidP="00B10E98">
      <w:pPr>
        <w:pStyle w:val="ONUME"/>
        <w:numPr>
          <w:ilvl w:val="0"/>
          <w:numId w:val="0"/>
        </w:numPr>
        <w:spacing w:after="120"/>
        <w:rPr>
          <w:sz w:val="20"/>
          <w:u w:color="000000"/>
        </w:rPr>
      </w:pPr>
    </w:p>
    <w:p w:rsidR="0009745C" w:rsidRPr="00BF1996" w:rsidRDefault="00BF1996" w:rsidP="00B10E98">
      <w:pPr>
        <w:pStyle w:val="ONUME"/>
        <w:numPr>
          <w:ilvl w:val="0"/>
          <w:numId w:val="0"/>
        </w:numPr>
        <w:rPr>
          <w:u w:color="000000"/>
        </w:rPr>
      </w:pPr>
      <w:r>
        <w:rPr>
          <w:b/>
        </w:rPr>
        <w:t>CONCLUSIONS</w:t>
      </w:r>
    </w:p>
    <w:p w:rsidR="0059678A" w:rsidRPr="00A06321" w:rsidRDefault="008932FA" w:rsidP="00B10E98">
      <w:pPr>
        <w:pStyle w:val="ONUME"/>
        <w:rPr>
          <w:rFonts w:eastAsia="Arial Unicode MS"/>
          <w:color w:val="000000"/>
          <w:u w:color="000000"/>
        </w:rPr>
      </w:pPr>
      <w:r>
        <w:rPr>
          <w:bCs/>
          <w:szCs w:val="22"/>
        </w:rPr>
        <w:t xml:space="preserve">The present document was prepared by the Secretariat to report on </w:t>
      </w:r>
      <w:r w:rsidR="006B75E7">
        <w:rPr>
          <w:bCs/>
          <w:szCs w:val="22"/>
        </w:rPr>
        <w:t xml:space="preserve">the progress </w:t>
      </w:r>
      <w:r w:rsidR="00A06321">
        <w:rPr>
          <w:bCs/>
          <w:szCs w:val="22"/>
        </w:rPr>
        <w:t xml:space="preserve">made on </w:t>
      </w:r>
      <w:r>
        <w:rPr>
          <w:bCs/>
          <w:szCs w:val="22"/>
        </w:rPr>
        <w:t xml:space="preserve">the implementation of the Language Policy and the steps taken to reduce costs, modernize systems and </w:t>
      </w:r>
      <w:r w:rsidR="00D060D6">
        <w:rPr>
          <w:bCs/>
          <w:szCs w:val="22"/>
        </w:rPr>
        <w:t xml:space="preserve">to </w:t>
      </w:r>
      <w:r>
        <w:rPr>
          <w:bCs/>
          <w:szCs w:val="22"/>
        </w:rPr>
        <w:t>improve</w:t>
      </w:r>
      <w:r w:rsidR="00A06321">
        <w:rPr>
          <w:bCs/>
          <w:szCs w:val="22"/>
        </w:rPr>
        <w:t xml:space="preserve"> the quality of documentation.</w:t>
      </w:r>
    </w:p>
    <w:p w:rsidR="00A06321" w:rsidRDefault="00A06321" w:rsidP="008932FA">
      <w:pPr>
        <w:pStyle w:val="ONUME"/>
        <w:rPr>
          <w:rFonts w:eastAsia="Arial Unicode MS"/>
          <w:color w:val="000000"/>
          <w:u w:color="000000"/>
        </w:rPr>
      </w:pPr>
      <w:r>
        <w:rPr>
          <w:bCs/>
          <w:szCs w:val="22"/>
        </w:rPr>
        <w:t>The following decision paragraph is proposed.</w:t>
      </w:r>
    </w:p>
    <w:p w:rsidR="0076234E" w:rsidRDefault="00023917" w:rsidP="00D060D6">
      <w:pPr>
        <w:pStyle w:val="ONUME"/>
        <w:numPr>
          <w:ilvl w:val="0"/>
          <w:numId w:val="0"/>
        </w:numPr>
        <w:spacing w:after="0"/>
        <w:ind w:left="5533"/>
        <w:rPr>
          <w:i/>
        </w:rPr>
      </w:pPr>
      <w:r>
        <w:rPr>
          <w:i/>
        </w:rPr>
        <w:t>21</w:t>
      </w:r>
      <w:r w:rsidR="00A054A5">
        <w:rPr>
          <w:i/>
        </w:rPr>
        <w:t>.</w:t>
      </w:r>
      <w:r w:rsidR="00A054A5">
        <w:rPr>
          <w:i/>
        </w:rPr>
        <w:tab/>
      </w:r>
      <w:r w:rsidR="006F1C90" w:rsidRPr="007D3323">
        <w:rPr>
          <w:i/>
        </w:rPr>
        <w:t>The Program and</w:t>
      </w:r>
      <w:r w:rsidR="00C906DB">
        <w:rPr>
          <w:i/>
        </w:rPr>
        <w:t xml:space="preserve"> Budget Committee</w:t>
      </w:r>
      <w:r w:rsidR="00F51616">
        <w:rPr>
          <w:i/>
        </w:rPr>
        <w:t xml:space="preserve"> took note of the Progress Report on the Implementation of WIPO Language Policy (document WO/PBC/22/16), and</w:t>
      </w:r>
      <w:r w:rsidR="0076234E">
        <w:rPr>
          <w:i/>
        </w:rPr>
        <w:t>:</w:t>
      </w:r>
    </w:p>
    <w:p w:rsidR="00F51616" w:rsidRDefault="00F51616" w:rsidP="00D060D6">
      <w:pPr>
        <w:pStyle w:val="ONUME"/>
        <w:numPr>
          <w:ilvl w:val="0"/>
          <w:numId w:val="0"/>
        </w:numPr>
        <w:spacing w:after="0"/>
        <w:ind w:left="5533"/>
        <w:rPr>
          <w:i/>
        </w:rPr>
      </w:pPr>
    </w:p>
    <w:p w:rsidR="000A3A7D" w:rsidRDefault="00F51616" w:rsidP="000A3A7D">
      <w:pPr>
        <w:pStyle w:val="ONUME"/>
        <w:numPr>
          <w:ilvl w:val="8"/>
          <w:numId w:val="20"/>
        </w:numPr>
        <w:tabs>
          <w:tab w:val="left" w:pos="5954"/>
        </w:tabs>
        <w:spacing w:after="0"/>
        <w:ind w:left="6237" w:firstLine="0"/>
        <w:rPr>
          <w:i/>
        </w:rPr>
      </w:pPr>
      <w:r>
        <w:rPr>
          <w:i/>
        </w:rPr>
        <w:t>acknowledged</w:t>
      </w:r>
      <w:r w:rsidR="00531ACF">
        <w:rPr>
          <w:i/>
        </w:rPr>
        <w:t>:</w:t>
      </w:r>
    </w:p>
    <w:p w:rsidR="00F51616" w:rsidRDefault="00F51616" w:rsidP="00F51616">
      <w:pPr>
        <w:pStyle w:val="ONUME"/>
        <w:numPr>
          <w:ilvl w:val="0"/>
          <w:numId w:val="0"/>
        </w:numPr>
        <w:tabs>
          <w:tab w:val="left" w:pos="5954"/>
        </w:tabs>
        <w:spacing w:after="0"/>
        <w:ind w:left="6237"/>
        <w:rPr>
          <w:i/>
        </w:rPr>
      </w:pPr>
    </w:p>
    <w:p w:rsidR="000A3A7D" w:rsidRDefault="0076234E" w:rsidP="000A3A7D">
      <w:pPr>
        <w:pStyle w:val="ONUME"/>
        <w:numPr>
          <w:ilvl w:val="8"/>
          <w:numId w:val="21"/>
        </w:numPr>
        <w:tabs>
          <w:tab w:val="left" w:pos="5954"/>
        </w:tabs>
        <w:spacing w:after="0"/>
        <w:ind w:left="6804" w:firstLine="0"/>
        <w:rPr>
          <w:i/>
        </w:rPr>
      </w:pPr>
      <w:r>
        <w:rPr>
          <w:i/>
        </w:rPr>
        <w:t>the enhanced rationalization and control measures implemented to limit the increase in the translation wo</w:t>
      </w:r>
      <w:r w:rsidR="00531ACF">
        <w:rPr>
          <w:i/>
        </w:rPr>
        <w:t>rkload;</w:t>
      </w:r>
    </w:p>
    <w:p w:rsidR="00531ACF" w:rsidRDefault="00531ACF" w:rsidP="00531ACF">
      <w:pPr>
        <w:pStyle w:val="ONUME"/>
        <w:numPr>
          <w:ilvl w:val="0"/>
          <w:numId w:val="0"/>
        </w:numPr>
        <w:tabs>
          <w:tab w:val="left" w:pos="5954"/>
        </w:tabs>
        <w:spacing w:after="0"/>
        <w:ind w:left="6804"/>
        <w:rPr>
          <w:i/>
        </w:rPr>
      </w:pPr>
    </w:p>
    <w:p w:rsidR="000A3A7D" w:rsidRDefault="0076234E" w:rsidP="000A3A7D">
      <w:pPr>
        <w:pStyle w:val="ONUME"/>
        <w:numPr>
          <w:ilvl w:val="8"/>
          <w:numId w:val="21"/>
        </w:numPr>
        <w:tabs>
          <w:tab w:val="left" w:pos="5954"/>
        </w:tabs>
        <w:spacing w:after="0"/>
        <w:ind w:left="6804" w:firstLine="0"/>
        <w:rPr>
          <w:i/>
        </w:rPr>
      </w:pPr>
      <w:r>
        <w:rPr>
          <w:i/>
        </w:rPr>
        <w:t>the c</w:t>
      </w:r>
      <w:r w:rsidR="000A3A7D">
        <w:rPr>
          <w:i/>
        </w:rPr>
        <w:t xml:space="preserve">ost </w:t>
      </w:r>
      <w:r w:rsidR="00F51616">
        <w:rPr>
          <w:i/>
        </w:rPr>
        <w:t>efficiencies achieved;</w:t>
      </w:r>
    </w:p>
    <w:p w:rsidR="00531ACF" w:rsidRDefault="00531ACF" w:rsidP="00531ACF">
      <w:pPr>
        <w:pStyle w:val="ONUME"/>
        <w:numPr>
          <w:ilvl w:val="0"/>
          <w:numId w:val="0"/>
        </w:numPr>
        <w:tabs>
          <w:tab w:val="left" w:pos="5954"/>
        </w:tabs>
        <w:spacing w:after="0"/>
        <w:ind w:left="6804"/>
        <w:rPr>
          <w:i/>
        </w:rPr>
      </w:pPr>
    </w:p>
    <w:p w:rsidR="003A2247" w:rsidRDefault="0076234E" w:rsidP="000A3A7D">
      <w:pPr>
        <w:pStyle w:val="ONUME"/>
        <w:numPr>
          <w:ilvl w:val="8"/>
          <w:numId w:val="21"/>
        </w:numPr>
        <w:tabs>
          <w:tab w:val="left" w:pos="5954"/>
        </w:tabs>
        <w:spacing w:after="0"/>
        <w:ind w:left="6804" w:firstLine="0"/>
        <w:rPr>
          <w:i/>
        </w:rPr>
      </w:pPr>
      <w:r>
        <w:rPr>
          <w:i/>
        </w:rPr>
        <w:t>the increased share of outsourcing while ensuring quality of translation</w:t>
      </w:r>
      <w:r w:rsidR="00114C51">
        <w:rPr>
          <w:i/>
        </w:rPr>
        <w:t>;</w:t>
      </w:r>
      <w:r w:rsidR="00F51616">
        <w:rPr>
          <w:i/>
        </w:rPr>
        <w:t xml:space="preserve"> and</w:t>
      </w:r>
    </w:p>
    <w:p w:rsidR="00531ACF" w:rsidRDefault="00531ACF" w:rsidP="00531ACF">
      <w:pPr>
        <w:pStyle w:val="ONUME"/>
        <w:numPr>
          <w:ilvl w:val="0"/>
          <w:numId w:val="0"/>
        </w:numPr>
        <w:tabs>
          <w:tab w:val="left" w:pos="5954"/>
        </w:tabs>
        <w:spacing w:after="0"/>
        <w:ind w:left="6804"/>
        <w:rPr>
          <w:i/>
        </w:rPr>
      </w:pPr>
    </w:p>
    <w:p w:rsidR="0076234E" w:rsidRDefault="00114C51" w:rsidP="000A3A7D">
      <w:pPr>
        <w:pStyle w:val="ONUME"/>
        <w:numPr>
          <w:ilvl w:val="8"/>
          <w:numId w:val="20"/>
        </w:numPr>
        <w:tabs>
          <w:tab w:val="left" w:pos="5954"/>
        </w:tabs>
        <w:spacing w:after="0"/>
        <w:ind w:left="6237" w:firstLine="0"/>
        <w:rPr>
          <w:i/>
        </w:rPr>
      </w:pPr>
      <w:proofErr w:type="gramStart"/>
      <w:r>
        <w:rPr>
          <w:i/>
        </w:rPr>
        <w:t>u</w:t>
      </w:r>
      <w:r w:rsidR="0076234E">
        <w:rPr>
          <w:i/>
        </w:rPr>
        <w:t>rged</w:t>
      </w:r>
      <w:proofErr w:type="gramEnd"/>
      <w:r w:rsidR="0076234E">
        <w:rPr>
          <w:i/>
        </w:rPr>
        <w:t xml:space="preserve"> the Secretariat to continue its efforts in this regard and report back to the PBC thereon in the context of the Program Performance Report for 2014.</w:t>
      </w:r>
    </w:p>
    <w:p w:rsidR="00B10E98" w:rsidRDefault="00B10E98" w:rsidP="003A2247">
      <w:pPr>
        <w:rPr>
          <w:i/>
        </w:rPr>
      </w:pPr>
    </w:p>
    <w:p w:rsidR="00AB2D08" w:rsidRDefault="00AB2D08" w:rsidP="003A2247">
      <w:pPr>
        <w:rPr>
          <w:i/>
        </w:rPr>
      </w:pPr>
    </w:p>
    <w:p w:rsidR="00AB2D08" w:rsidRPr="003A2247" w:rsidRDefault="00AB2D08" w:rsidP="003A2247">
      <w:pPr>
        <w:rPr>
          <w:i/>
        </w:rPr>
      </w:pPr>
    </w:p>
    <w:p w:rsidR="003A2247" w:rsidRPr="003C4B4F" w:rsidRDefault="003A2247" w:rsidP="003A2247">
      <w:pPr>
        <w:pStyle w:val="Styletexte"/>
        <w:ind w:left="2835" w:firstLine="567"/>
        <w:jc w:val="center"/>
        <w:rPr>
          <w:rFonts w:cs="Arial"/>
          <w:szCs w:val="22"/>
        </w:rPr>
      </w:pPr>
      <w:r w:rsidRPr="003C4B4F">
        <w:rPr>
          <w:rFonts w:cs="Arial"/>
          <w:szCs w:val="22"/>
        </w:rPr>
        <w:t>[End of document]</w:t>
      </w:r>
    </w:p>
    <w:sectPr w:rsidR="003A2247" w:rsidRPr="003C4B4F" w:rsidSect="00DF031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FE" w:rsidRDefault="00E558FE">
      <w:r>
        <w:separator/>
      </w:r>
    </w:p>
  </w:endnote>
  <w:endnote w:type="continuationSeparator" w:id="0">
    <w:p w:rsidR="00E558FE" w:rsidRDefault="00E558FE" w:rsidP="003B38C1">
      <w:r>
        <w:separator/>
      </w:r>
    </w:p>
    <w:p w:rsidR="00E558FE" w:rsidRPr="003B38C1" w:rsidRDefault="00E558FE" w:rsidP="003B38C1">
      <w:pPr>
        <w:spacing w:after="60"/>
        <w:rPr>
          <w:sz w:val="17"/>
        </w:rPr>
      </w:pPr>
      <w:r>
        <w:rPr>
          <w:sz w:val="17"/>
        </w:rPr>
        <w:t>[Endnote continued from previous page]</w:t>
      </w:r>
    </w:p>
  </w:endnote>
  <w:endnote w:type="continuationNotice" w:id="1">
    <w:p w:rsidR="00E558FE" w:rsidRPr="003B38C1" w:rsidRDefault="00E558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FE" w:rsidRDefault="00E558FE">
      <w:r>
        <w:separator/>
      </w:r>
    </w:p>
  </w:footnote>
  <w:footnote w:type="continuationSeparator" w:id="0">
    <w:p w:rsidR="00E558FE" w:rsidRDefault="00E558FE" w:rsidP="008B60B2">
      <w:r>
        <w:separator/>
      </w:r>
    </w:p>
    <w:p w:rsidR="00E558FE" w:rsidRPr="00ED77FB" w:rsidRDefault="00E558FE" w:rsidP="008B60B2">
      <w:pPr>
        <w:spacing w:after="60"/>
        <w:rPr>
          <w:sz w:val="17"/>
          <w:szCs w:val="17"/>
        </w:rPr>
      </w:pPr>
      <w:r w:rsidRPr="00ED77FB">
        <w:rPr>
          <w:sz w:val="17"/>
          <w:szCs w:val="17"/>
        </w:rPr>
        <w:t>[Footnote continued from previous page]</w:t>
      </w:r>
    </w:p>
  </w:footnote>
  <w:footnote w:type="continuationNotice" w:id="1">
    <w:p w:rsidR="00E558FE" w:rsidRPr="00ED77FB" w:rsidRDefault="00E558FE" w:rsidP="008B60B2">
      <w:pPr>
        <w:spacing w:before="60"/>
        <w:jc w:val="right"/>
        <w:rPr>
          <w:sz w:val="17"/>
          <w:szCs w:val="17"/>
        </w:rPr>
      </w:pPr>
      <w:r w:rsidRPr="00ED77FB">
        <w:rPr>
          <w:sz w:val="17"/>
          <w:szCs w:val="17"/>
        </w:rPr>
        <w:t>[Footnote continued on next page]</w:t>
      </w:r>
    </w:p>
  </w:footnote>
  <w:footnote w:id="2">
    <w:p w:rsidR="000562D0" w:rsidRPr="005858E9" w:rsidRDefault="000562D0">
      <w:pPr>
        <w:pStyle w:val="FootnoteText"/>
      </w:pPr>
      <w:r>
        <w:rPr>
          <w:rStyle w:val="FootnoteReference"/>
        </w:rPr>
        <w:footnoteRef/>
      </w:r>
      <w:r w:rsidRPr="005858E9">
        <w:t xml:space="preserve"> </w:t>
      </w:r>
      <w:r w:rsidR="000850AC" w:rsidRPr="005858E9">
        <w:rPr>
          <w:u w:color="000000"/>
        </w:rPr>
        <w:t>D</w:t>
      </w:r>
      <w:r w:rsidRPr="005858E9">
        <w:rPr>
          <w:u w:color="000000"/>
        </w:rPr>
        <w:t>ocument</w:t>
      </w:r>
      <w:r w:rsidR="007C24B2" w:rsidRPr="005858E9">
        <w:rPr>
          <w:u w:color="000000"/>
        </w:rPr>
        <w:t>s</w:t>
      </w:r>
      <w:r w:rsidRPr="005858E9">
        <w:rPr>
          <w:u w:color="000000"/>
        </w:rPr>
        <w:t xml:space="preserve"> </w:t>
      </w:r>
      <w:r w:rsidR="007C24B2" w:rsidRPr="005858E9">
        <w:rPr>
          <w:u w:color="000000"/>
        </w:rPr>
        <w:t xml:space="preserve">WO/PBC/21/15 and </w:t>
      </w:r>
      <w:r w:rsidRPr="005858E9">
        <w:rPr>
          <w:u w:color="000000"/>
        </w:rPr>
        <w:t>A/51/12</w:t>
      </w:r>
    </w:p>
  </w:footnote>
  <w:footnote w:id="3">
    <w:p w:rsidR="007C24B2" w:rsidRPr="00BA63EA" w:rsidRDefault="007C24B2" w:rsidP="007C24B2">
      <w:pPr>
        <w:pStyle w:val="FootnoteText"/>
      </w:pPr>
      <w:r>
        <w:rPr>
          <w:rStyle w:val="FootnoteReference"/>
        </w:rPr>
        <w:footnoteRef/>
      </w:r>
      <w:r w:rsidRPr="00BA63EA">
        <w:t xml:space="preserve"> Documents </w:t>
      </w:r>
      <w:r w:rsidRPr="007C24B2">
        <w:rPr>
          <w:u w:color="000000"/>
        </w:rPr>
        <w:t>WO/PBC/21/2</w:t>
      </w:r>
      <w:r>
        <w:rPr>
          <w:u w:color="000000"/>
        </w:rPr>
        <w:t xml:space="preserve">1, </w:t>
      </w:r>
      <w:r w:rsidRPr="007C24B2">
        <w:rPr>
          <w:u w:color="000000"/>
        </w:rPr>
        <w:t>WO/PBC/21/2</w:t>
      </w:r>
      <w:r>
        <w:rPr>
          <w:u w:color="000000"/>
        </w:rPr>
        <w:t>2</w:t>
      </w:r>
      <w:r w:rsidRPr="00BA63EA">
        <w:rPr>
          <w:u w:color="000000"/>
        </w:rPr>
        <w:t xml:space="preserve"> and </w:t>
      </w:r>
      <w:r w:rsidRPr="00D20811">
        <w:rPr>
          <w:u w:color="000000"/>
        </w:rPr>
        <w:t>A/51/14</w:t>
      </w:r>
    </w:p>
  </w:footnote>
  <w:footnote w:id="4">
    <w:p w:rsidR="000562D0" w:rsidRPr="005858E9" w:rsidRDefault="000562D0">
      <w:pPr>
        <w:pStyle w:val="FootnoteText"/>
      </w:pPr>
      <w:r>
        <w:rPr>
          <w:rStyle w:val="FootnoteReference"/>
        </w:rPr>
        <w:footnoteRef/>
      </w:r>
      <w:r w:rsidRPr="005858E9">
        <w:t xml:space="preserve"> </w:t>
      </w:r>
      <w:r w:rsidR="007C24B2" w:rsidRPr="005858E9">
        <w:rPr>
          <w:u w:color="000000"/>
        </w:rPr>
        <w:t>D</w:t>
      </w:r>
      <w:r w:rsidR="000A3EAA" w:rsidRPr="005858E9">
        <w:rPr>
          <w:u w:color="000000"/>
        </w:rPr>
        <w:t>ocument</w:t>
      </w:r>
      <w:r w:rsidR="007C24B2" w:rsidRPr="005858E9">
        <w:rPr>
          <w:u w:color="000000"/>
        </w:rPr>
        <w:t xml:space="preserve">s </w:t>
      </w:r>
      <w:r w:rsidR="007C24B2" w:rsidRPr="000D558E">
        <w:rPr>
          <w:u w:color="000000"/>
        </w:rPr>
        <w:t>WO/PBC/21/15 and</w:t>
      </w:r>
      <w:r w:rsidR="000A3EAA" w:rsidRPr="005858E9">
        <w:rPr>
          <w:u w:color="000000"/>
        </w:rPr>
        <w:t xml:space="preserve"> A/51/12</w:t>
      </w:r>
    </w:p>
  </w:footnote>
  <w:footnote w:id="5">
    <w:p w:rsidR="00D40B14" w:rsidRPr="00080E92" w:rsidRDefault="00D40B14" w:rsidP="00D40B14">
      <w:pPr>
        <w:pStyle w:val="FootnoteText"/>
      </w:pPr>
      <w:r>
        <w:rPr>
          <w:rStyle w:val="FootnoteReference"/>
        </w:rPr>
        <w:footnoteRef/>
      </w:r>
      <w:r w:rsidRPr="00080E92">
        <w:t xml:space="preserve"> Document A/48/11 ADD, paragraph 2 (v)</w:t>
      </w:r>
    </w:p>
  </w:footnote>
  <w:footnote w:id="6">
    <w:p w:rsidR="008922E3" w:rsidRDefault="008922E3">
      <w:pPr>
        <w:pStyle w:val="FootnoteText"/>
      </w:pPr>
      <w:r>
        <w:rPr>
          <w:rStyle w:val="FootnoteReference"/>
        </w:rPr>
        <w:footnoteRef/>
      </w:r>
      <w:r>
        <w:t xml:space="preserve"> </w:t>
      </w:r>
      <w:r w:rsidRPr="008922E3">
        <w:t xml:space="preserve">Excluding </w:t>
      </w:r>
      <w:r>
        <w:t xml:space="preserve">words </w:t>
      </w:r>
      <w:r w:rsidRPr="008922E3">
        <w:t>reviewed as part of the quality control process (revision, reviewing and proofreading) for translated documents, which were added for computing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E4" w:rsidRDefault="00D653E4" w:rsidP="00477D6B">
    <w:pPr>
      <w:jc w:val="right"/>
    </w:pPr>
    <w:bookmarkStart w:id="6" w:name="Code2"/>
    <w:bookmarkEnd w:id="6"/>
    <w:r>
      <w:t>WO/PBC/22/</w:t>
    </w:r>
    <w:r w:rsidR="006B75E7">
      <w:t>16</w:t>
    </w:r>
  </w:p>
  <w:p w:rsidR="00D653E4" w:rsidRDefault="00D653E4" w:rsidP="00477D6B">
    <w:pPr>
      <w:jc w:val="right"/>
    </w:pPr>
    <w:proofErr w:type="gramStart"/>
    <w:r>
      <w:t>page</w:t>
    </w:r>
    <w:proofErr w:type="gramEnd"/>
    <w:r>
      <w:t xml:space="preserve"> </w:t>
    </w:r>
    <w:r w:rsidR="008566BA">
      <w:fldChar w:fldCharType="begin"/>
    </w:r>
    <w:r w:rsidR="008566BA">
      <w:instrText xml:space="preserve"> PAGE  \* MERGEFORMAT </w:instrText>
    </w:r>
    <w:r w:rsidR="008566BA">
      <w:fldChar w:fldCharType="separate"/>
    </w:r>
    <w:r w:rsidR="003205FD">
      <w:rPr>
        <w:noProof/>
      </w:rPr>
      <w:t>5</w:t>
    </w:r>
    <w:r w:rsidR="008566BA">
      <w:rPr>
        <w:noProof/>
      </w:rPr>
      <w:fldChar w:fldCharType="end"/>
    </w:r>
  </w:p>
  <w:p w:rsidR="00D653E4" w:rsidRDefault="00D653E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FE18A0"/>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suff w:val="nothing"/>
      <w:lvlText w:val="%9."/>
      <w:lvlJc w:val="left"/>
      <w:pPr>
        <w:ind w:left="0" w:firstLine="45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
    <w:nsid w:val="06CD29E3"/>
    <w:multiLevelType w:val="multilevel"/>
    <w:tmpl w:val="8D380FF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SimSun" w:hAnsi="Arial" w:cs="Arial"/>
      </w:rPr>
    </w:lvl>
    <w:lvl w:ilvl="8">
      <w:start w:val="1"/>
      <w:numFmt w:val="bullet"/>
      <w:lvlText w:val=""/>
      <w:lvlJc w:val="left"/>
      <w:pPr>
        <w:tabs>
          <w:tab w:val="num" w:pos="4992"/>
        </w:tabs>
        <w:ind w:left="4425" w:firstLine="0"/>
      </w:pPr>
      <w:rPr>
        <w:rFonts w:hint="default"/>
      </w:rPr>
    </w:lvl>
  </w:abstractNum>
  <w:abstractNum w:abstractNumId="2">
    <w:nsid w:val="07CC57D7"/>
    <w:multiLevelType w:val="hybridMultilevel"/>
    <w:tmpl w:val="562686FE"/>
    <w:lvl w:ilvl="0" w:tplc="F464220A">
      <w:start w:val="1"/>
      <w:numFmt w:val="lowerLetter"/>
      <w:pStyle w:val="List21"/>
      <w:lvlText w:val="(%1)"/>
      <w:lvlJc w:val="left"/>
      <w:pPr>
        <w:tabs>
          <w:tab w:val="num" w:pos="2061"/>
        </w:tabs>
        <w:ind w:left="2061" w:hanging="360"/>
      </w:pPr>
      <w:rPr>
        <w:rFonts w:hint="default"/>
      </w:rPr>
    </w:lvl>
    <w:lvl w:ilvl="1" w:tplc="56D6D8C4">
      <w:start w:val="1"/>
      <w:numFmt w:val="bullet"/>
      <w:lvlText w:val="o"/>
      <w:lvlJc w:val="left"/>
      <w:pPr>
        <w:tabs>
          <w:tab w:val="num" w:pos="2781"/>
        </w:tabs>
        <w:ind w:left="2781" w:hanging="360"/>
      </w:pPr>
      <w:rPr>
        <w:rFonts w:ascii="Courier New" w:hAnsi="Courier New" w:cs="Courier New" w:hint="default"/>
      </w:rPr>
    </w:lvl>
    <w:lvl w:ilvl="2" w:tplc="6A70DB30" w:tentative="1">
      <w:start w:val="1"/>
      <w:numFmt w:val="bullet"/>
      <w:lvlText w:val=""/>
      <w:lvlJc w:val="left"/>
      <w:pPr>
        <w:tabs>
          <w:tab w:val="num" w:pos="3501"/>
        </w:tabs>
        <w:ind w:left="3501" w:hanging="360"/>
      </w:pPr>
      <w:rPr>
        <w:rFonts w:ascii="Wingdings" w:hAnsi="Wingdings" w:hint="default"/>
      </w:rPr>
    </w:lvl>
    <w:lvl w:ilvl="3" w:tplc="68CCBA74" w:tentative="1">
      <w:start w:val="1"/>
      <w:numFmt w:val="bullet"/>
      <w:lvlText w:val=""/>
      <w:lvlJc w:val="left"/>
      <w:pPr>
        <w:tabs>
          <w:tab w:val="num" w:pos="4221"/>
        </w:tabs>
        <w:ind w:left="4221" w:hanging="360"/>
      </w:pPr>
      <w:rPr>
        <w:rFonts w:ascii="Symbol" w:hAnsi="Symbol" w:hint="default"/>
      </w:rPr>
    </w:lvl>
    <w:lvl w:ilvl="4" w:tplc="A57E4CA8" w:tentative="1">
      <w:start w:val="1"/>
      <w:numFmt w:val="bullet"/>
      <w:lvlText w:val="o"/>
      <w:lvlJc w:val="left"/>
      <w:pPr>
        <w:tabs>
          <w:tab w:val="num" w:pos="4941"/>
        </w:tabs>
        <w:ind w:left="4941" w:hanging="360"/>
      </w:pPr>
      <w:rPr>
        <w:rFonts w:ascii="Courier New" w:hAnsi="Courier New" w:cs="Courier New" w:hint="default"/>
      </w:rPr>
    </w:lvl>
    <w:lvl w:ilvl="5" w:tplc="45040B2A" w:tentative="1">
      <w:start w:val="1"/>
      <w:numFmt w:val="bullet"/>
      <w:lvlText w:val=""/>
      <w:lvlJc w:val="left"/>
      <w:pPr>
        <w:tabs>
          <w:tab w:val="num" w:pos="5661"/>
        </w:tabs>
        <w:ind w:left="5661" w:hanging="360"/>
      </w:pPr>
      <w:rPr>
        <w:rFonts w:ascii="Wingdings" w:hAnsi="Wingdings" w:hint="default"/>
      </w:rPr>
    </w:lvl>
    <w:lvl w:ilvl="6" w:tplc="A6CEBCA6" w:tentative="1">
      <w:start w:val="1"/>
      <w:numFmt w:val="bullet"/>
      <w:lvlText w:val=""/>
      <w:lvlJc w:val="left"/>
      <w:pPr>
        <w:tabs>
          <w:tab w:val="num" w:pos="6381"/>
        </w:tabs>
        <w:ind w:left="6381" w:hanging="360"/>
      </w:pPr>
      <w:rPr>
        <w:rFonts w:ascii="Symbol" w:hAnsi="Symbol" w:hint="default"/>
      </w:rPr>
    </w:lvl>
    <w:lvl w:ilvl="7" w:tplc="DCE6E69A" w:tentative="1">
      <w:start w:val="1"/>
      <w:numFmt w:val="bullet"/>
      <w:lvlText w:val="o"/>
      <w:lvlJc w:val="left"/>
      <w:pPr>
        <w:tabs>
          <w:tab w:val="num" w:pos="7101"/>
        </w:tabs>
        <w:ind w:left="7101" w:hanging="360"/>
      </w:pPr>
      <w:rPr>
        <w:rFonts w:ascii="Courier New" w:hAnsi="Courier New" w:cs="Courier New" w:hint="default"/>
      </w:rPr>
    </w:lvl>
    <w:lvl w:ilvl="8" w:tplc="41A23968" w:tentative="1">
      <w:start w:val="1"/>
      <w:numFmt w:val="bullet"/>
      <w:lvlText w:val=""/>
      <w:lvlJc w:val="left"/>
      <w:pPr>
        <w:tabs>
          <w:tab w:val="num" w:pos="7821"/>
        </w:tabs>
        <w:ind w:left="7821" w:hanging="360"/>
      </w:pPr>
      <w:rPr>
        <w:rFonts w:ascii="Wingdings" w:hAnsi="Wingdings" w:hint="default"/>
      </w:rPr>
    </w:lvl>
  </w:abstractNum>
  <w:abstractNum w:abstractNumId="3">
    <w:nsid w:val="177D5000"/>
    <w:multiLevelType w:val="singleLevel"/>
    <w:tmpl w:val="0409000F"/>
    <w:lvl w:ilvl="0">
      <w:start w:val="1"/>
      <w:numFmt w:val="decimal"/>
      <w:pStyle w:val="List0"/>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6AB0993"/>
    <w:multiLevelType w:val="multilevel"/>
    <w:tmpl w:val="1ED2DD3C"/>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nsid w:val="4C8B3C46"/>
    <w:multiLevelType w:val="hybridMultilevel"/>
    <w:tmpl w:val="799E19C6"/>
    <w:lvl w:ilvl="0" w:tplc="5F4A0CD2">
      <w:start w:val="1"/>
      <w:numFmt w:val="decimal"/>
      <w:lvlRestart w:val="0"/>
      <w:pStyle w:val="ListNumber"/>
      <w:lvlText w:val="03.%1."/>
      <w:lvlJc w:val="left"/>
      <w:pPr>
        <w:tabs>
          <w:tab w:val="num" w:pos="567"/>
        </w:tabs>
        <w:ind w:left="0" w:firstLine="0"/>
      </w:pPr>
      <w:rPr>
        <w:rFonts w:hint="default"/>
      </w:rPr>
    </w:lvl>
    <w:lvl w:ilvl="1" w:tplc="2DA811FA" w:tentative="1">
      <w:start w:val="1"/>
      <w:numFmt w:val="lowerLetter"/>
      <w:lvlText w:val="%2."/>
      <w:lvlJc w:val="left"/>
      <w:pPr>
        <w:tabs>
          <w:tab w:val="num" w:pos="1440"/>
        </w:tabs>
        <w:ind w:left="1440" w:hanging="360"/>
      </w:pPr>
    </w:lvl>
    <w:lvl w:ilvl="2" w:tplc="F014C57A" w:tentative="1">
      <w:start w:val="1"/>
      <w:numFmt w:val="lowerRoman"/>
      <w:lvlText w:val="%3."/>
      <w:lvlJc w:val="right"/>
      <w:pPr>
        <w:tabs>
          <w:tab w:val="num" w:pos="2160"/>
        </w:tabs>
        <w:ind w:left="2160" w:hanging="180"/>
      </w:pPr>
    </w:lvl>
    <w:lvl w:ilvl="3" w:tplc="5E4AAE0A" w:tentative="1">
      <w:start w:val="1"/>
      <w:numFmt w:val="decimal"/>
      <w:lvlText w:val="%4."/>
      <w:lvlJc w:val="left"/>
      <w:pPr>
        <w:tabs>
          <w:tab w:val="num" w:pos="2880"/>
        </w:tabs>
        <w:ind w:left="2880" w:hanging="360"/>
      </w:pPr>
    </w:lvl>
    <w:lvl w:ilvl="4" w:tplc="54303F1E" w:tentative="1">
      <w:start w:val="1"/>
      <w:numFmt w:val="lowerLetter"/>
      <w:lvlText w:val="%5."/>
      <w:lvlJc w:val="left"/>
      <w:pPr>
        <w:tabs>
          <w:tab w:val="num" w:pos="3600"/>
        </w:tabs>
        <w:ind w:left="3600" w:hanging="360"/>
      </w:pPr>
    </w:lvl>
    <w:lvl w:ilvl="5" w:tplc="DEFAD4D0" w:tentative="1">
      <w:start w:val="1"/>
      <w:numFmt w:val="lowerRoman"/>
      <w:lvlText w:val="%6."/>
      <w:lvlJc w:val="right"/>
      <w:pPr>
        <w:tabs>
          <w:tab w:val="num" w:pos="4320"/>
        </w:tabs>
        <w:ind w:left="4320" w:hanging="180"/>
      </w:pPr>
    </w:lvl>
    <w:lvl w:ilvl="6" w:tplc="DA860014" w:tentative="1">
      <w:start w:val="1"/>
      <w:numFmt w:val="decimal"/>
      <w:lvlText w:val="%7."/>
      <w:lvlJc w:val="left"/>
      <w:pPr>
        <w:tabs>
          <w:tab w:val="num" w:pos="5040"/>
        </w:tabs>
        <w:ind w:left="5040" w:hanging="360"/>
      </w:pPr>
    </w:lvl>
    <w:lvl w:ilvl="7" w:tplc="46580FDA" w:tentative="1">
      <w:start w:val="1"/>
      <w:numFmt w:val="lowerLetter"/>
      <w:lvlText w:val="%8."/>
      <w:lvlJc w:val="left"/>
      <w:pPr>
        <w:tabs>
          <w:tab w:val="num" w:pos="5760"/>
        </w:tabs>
        <w:ind w:left="5760" w:hanging="360"/>
      </w:pPr>
    </w:lvl>
    <w:lvl w:ilvl="8" w:tplc="621EA84C" w:tentative="1">
      <w:start w:val="1"/>
      <w:numFmt w:val="lowerRoman"/>
      <w:lvlText w:val="%9."/>
      <w:lvlJc w:val="right"/>
      <w:pPr>
        <w:tabs>
          <w:tab w:val="num" w:pos="6480"/>
        </w:tabs>
        <w:ind w:left="6480" w:hanging="180"/>
      </w:pPr>
    </w:lvl>
  </w:abstractNum>
  <w:abstractNum w:abstractNumId="7">
    <w:nsid w:val="5FC01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9">
    <w:nsid w:val="76C648D4"/>
    <w:multiLevelType w:val="hybridMultilevel"/>
    <w:tmpl w:val="29E0E886"/>
    <w:lvl w:ilvl="0" w:tplc="6FF81B9A">
      <w:start w:val="3"/>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9"/>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7"/>
  </w:num>
  <w:num w:numId="20">
    <w:abstractNumId w:val="8"/>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8"/>
    <w:rsid w:val="000013C3"/>
    <w:rsid w:val="00011952"/>
    <w:rsid w:val="00014090"/>
    <w:rsid w:val="00023917"/>
    <w:rsid w:val="00032C57"/>
    <w:rsid w:val="00032E26"/>
    <w:rsid w:val="00034E1E"/>
    <w:rsid w:val="00036AFB"/>
    <w:rsid w:val="00040AAB"/>
    <w:rsid w:val="00043CAA"/>
    <w:rsid w:val="00044EC9"/>
    <w:rsid w:val="000476FA"/>
    <w:rsid w:val="000562D0"/>
    <w:rsid w:val="00061235"/>
    <w:rsid w:val="00066065"/>
    <w:rsid w:val="00075432"/>
    <w:rsid w:val="00080E92"/>
    <w:rsid w:val="000817A9"/>
    <w:rsid w:val="000850AC"/>
    <w:rsid w:val="0008596F"/>
    <w:rsid w:val="000968ED"/>
    <w:rsid w:val="0009745C"/>
    <w:rsid w:val="000A3A7D"/>
    <w:rsid w:val="000A3EAA"/>
    <w:rsid w:val="000A6E43"/>
    <w:rsid w:val="000B3947"/>
    <w:rsid w:val="000B3EB3"/>
    <w:rsid w:val="000C3454"/>
    <w:rsid w:val="000D40D4"/>
    <w:rsid w:val="000E2FB1"/>
    <w:rsid w:val="000F44DC"/>
    <w:rsid w:val="000F5E56"/>
    <w:rsid w:val="001034F1"/>
    <w:rsid w:val="00114C51"/>
    <w:rsid w:val="00121AD3"/>
    <w:rsid w:val="001251DC"/>
    <w:rsid w:val="001362EE"/>
    <w:rsid w:val="00154DDF"/>
    <w:rsid w:val="00160442"/>
    <w:rsid w:val="001651D7"/>
    <w:rsid w:val="00167077"/>
    <w:rsid w:val="001832A6"/>
    <w:rsid w:val="0018512E"/>
    <w:rsid w:val="00191ED7"/>
    <w:rsid w:val="00193D87"/>
    <w:rsid w:val="001B30A2"/>
    <w:rsid w:val="001D3C42"/>
    <w:rsid w:val="001E5FF5"/>
    <w:rsid w:val="001F1010"/>
    <w:rsid w:val="00200918"/>
    <w:rsid w:val="00212ABD"/>
    <w:rsid w:val="002138D4"/>
    <w:rsid w:val="0021704F"/>
    <w:rsid w:val="00220493"/>
    <w:rsid w:val="00230F2A"/>
    <w:rsid w:val="002634C4"/>
    <w:rsid w:val="00271032"/>
    <w:rsid w:val="00271FB8"/>
    <w:rsid w:val="00277E77"/>
    <w:rsid w:val="00283B67"/>
    <w:rsid w:val="002928D3"/>
    <w:rsid w:val="002A0596"/>
    <w:rsid w:val="002D56D5"/>
    <w:rsid w:val="002D5C9A"/>
    <w:rsid w:val="002D6330"/>
    <w:rsid w:val="002E1D2A"/>
    <w:rsid w:val="002F1FE6"/>
    <w:rsid w:val="002F4E68"/>
    <w:rsid w:val="00312F7F"/>
    <w:rsid w:val="0031796C"/>
    <w:rsid w:val="003205FD"/>
    <w:rsid w:val="00320794"/>
    <w:rsid w:val="003363DC"/>
    <w:rsid w:val="00340454"/>
    <w:rsid w:val="00357F16"/>
    <w:rsid w:val="00361450"/>
    <w:rsid w:val="00363714"/>
    <w:rsid w:val="00363720"/>
    <w:rsid w:val="003673CF"/>
    <w:rsid w:val="00370188"/>
    <w:rsid w:val="003768AF"/>
    <w:rsid w:val="00380218"/>
    <w:rsid w:val="00384482"/>
    <w:rsid w:val="003845C1"/>
    <w:rsid w:val="00387E27"/>
    <w:rsid w:val="00393F42"/>
    <w:rsid w:val="003A1C98"/>
    <w:rsid w:val="003A2108"/>
    <w:rsid w:val="003A2247"/>
    <w:rsid w:val="003A6F89"/>
    <w:rsid w:val="003B38C1"/>
    <w:rsid w:val="003C1D21"/>
    <w:rsid w:val="003C2DBD"/>
    <w:rsid w:val="003E223E"/>
    <w:rsid w:val="003F4FF9"/>
    <w:rsid w:val="00414765"/>
    <w:rsid w:val="00423E3E"/>
    <w:rsid w:val="00427AF4"/>
    <w:rsid w:val="00431AD0"/>
    <w:rsid w:val="00434A07"/>
    <w:rsid w:val="00441FF3"/>
    <w:rsid w:val="004568A2"/>
    <w:rsid w:val="004647DA"/>
    <w:rsid w:val="004674A3"/>
    <w:rsid w:val="00472C9E"/>
    <w:rsid w:val="00472D3A"/>
    <w:rsid w:val="00474062"/>
    <w:rsid w:val="00477D6B"/>
    <w:rsid w:val="0048645E"/>
    <w:rsid w:val="00490D26"/>
    <w:rsid w:val="004B5BF1"/>
    <w:rsid w:val="004C2435"/>
    <w:rsid w:val="004C4830"/>
    <w:rsid w:val="004C4FA6"/>
    <w:rsid w:val="004D4A35"/>
    <w:rsid w:val="004E1625"/>
    <w:rsid w:val="004F245C"/>
    <w:rsid w:val="004F46AC"/>
    <w:rsid w:val="005019FF"/>
    <w:rsid w:val="005024DD"/>
    <w:rsid w:val="00502CCC"/>
    <w:rsid w:val="005030B3"/>
    <w:rsid w:val="00513C9C"/>
    <w:rsid w:val="0051485C"/>
    <w:rsid w:val="00515AE3"/>
    <w:rsid w:val="0052677A"/>
    <w:rsid w:val="0053057A"/>
    <w:rsid w:val="00531ACF"/>
    <w:rsid w:val="00532BE5"/>
    <w:rsid w:val="00545D04"/>
    <w:rsid w:val="00551CB1"/>
    <w:rsid w:val="00552CF3"/>
    <w:rsid w:val="00560153"/>
    <w:rsid w:val="00560A29"/>
    <w:rsid w:val="00563E33"/>
    <w:rsid w:val="00564F90"/>
    <w:rsid w:val="005662AE"/>
    <w:rsid w:val="005858E9"/>
    <w:rsid w:val="00587C11"/>
    <w:rsid w:val="005903BB"/>
    <w:rsid w:val="0059678A"/>
    <w:rsid w:val="005B31CE"/>
    <w:rsid w:val="005C6649"/>
    <w:rsid w:val="005D3E06"/>
    <w:rsid w:val="005E7399"/>
    <w:rsid w:val="00605827"/>
    <w:rsid w:val="00605B8A"/>
    <w:rsid w:val="006071D8"/>
    <w:rsid w:val="00622596"/>
    <w:rsid w:val="00646050"/>
    <w:rsid w:val="0064656A"/>
    <w:rsid w:val="006713CA"/>
    <w:rsid w:val="00676C5C"/>
    <w:rsid w:val="00676D18"/>
    <w:rsid w:val="00695AAA"/>
    <w:rsid w:val="00695F7C"/>
    <w:rsid w:val="006A647D"/>
    <w:rsid w:val="006B1518"/>
    <w:rsid w:val="006B3422"/>
    <w:rsid w:val="006B75E7"/>
    <w:rsid w:val="006C7EED"/>
    <w:rsid w:val="006D0E32"/>
    <w:rsid w:val="006F1C90"/>
    <w:rsid w:val="006F3384"/>
    <w:rsid w:val="00700EB0"/>
    <w:rsid w:val="00707727"/>
    <w:rsid w:val="007176F8"/>
    <w:rsid w:val="007277AC"/>
    <w:rsid w:val="00731A3B"/>
    <w:rsid w:val="007421C7"/>
    <w:rsid w:val="007460F8"/>
    <w:rsid w:val="00751B9A"/>
    <w:rsid w:val="0076234E"/>
    <w:rsid w:val="00764F12"/>
    <w:rsid w:val="0077683C"/>
    <w:rsid w:val="007836B0"/>
    <w:rsid w:val="007A003A"/>
    <w:rsid w:val="007A6BF7"/>
    <w:rsid w:val="007C24B2"/>
    <w:rsid w:val="007C6581"/>
    <w:rsid w:val="007D1613"/>
    <w:rsid w:val="007D2F57"/>
    <w:rsid w:val="007D3323"/>
    <w:rsid w:val="007E04DA"/>
    <w:rsid w:val="007E1AC5"/>
    <w:rsid w:val="007E3CD3"/>
    <w:rsid w:val="00803E74"/>
    <w:rsid w:val="00827B31"/>
    <w:rsid w:val="00827BD3"/>
    <w:rsid w:val="0084226C"/>
    <w:rsid w:val="00843FA1"/>
    <w:rsid w:val="008456C9"/>
    <w:rsid w:val="008566BA"/>
    <w:rsid w:val="0087161C"/>
    <w:rsid w:val="00881AE6"/>
    <w:rsid w:val="00884872"/>
    <w:rsid w:val="008922E3"/>
    <w:rsid w:val="00892E4F"/>
    <w:rsid w:val="008932FA"/>
    <w:rsid w:val="0089357F"/>
    <w:rsid w:val="008A1899"/>
    <w:rsid w:val="008A49FF"/>
    <w:rsid w:val="008B2CC1"/>
    <w:rsid w:val="008B60B2"/>
    <w:rsid w:val="008D1264"/>
    <w:rsid w:val="008E3F36"/>
    <w:rsid w:val="008F1FBD"/>
    <w:rsid w:val="009027DA"/>
    <w:rsid w:val="0090308D"/>
    <w:rsid w:val="0090731E"/>
    <w:rsid w:val="00916EE2"/>
    <w:rsid w:val="00920924"/>
    <w:rsid w:val="00932D3E"/>
    <w:rsid w:val="00937D10"/>
    <w:rsid w:val="00954CA0"/>
    <w:rsid w:val="0096691B"/>
    <w:rsid w:val="00966A22"/>
    <w:rsid w:val="0096722F"/>
    <w:rsid w:val="00980843"/>
    <w:rsid w:val="00992E94"/>
    <w:rsid w:val="009A1AA3"/>
    <w:rsid w:val="009E2791"/>
    <w:rsid w:val="009E3F6F"/>
    <w:rsid w:val="009F499F"/>
    <w:rsid w:val="009F5A81"/>
    <w:rsid w:val="00A054A5"/>
    <w:rsid w:val="00A06321"/>
    <w:rsid w:val="00A11742"/>
    <w:rsid w:val="00A127EC"/>
    <w:rsid w:val="00A12C04"/>
    <w:rsid w:val="00A25904"/>
    <w:rsid w:val="00A33214"/>
    <w:rsid w:val="00A42DAF"/>
    <w:rsid w:val="00A4361E"/>
    <w:rsid w:val="00A437E1"/>
    <w:rsid w:val="00A45BD8"/>
    <w:rsid w:val="00A52979"/>
    <w:rsid w:val="00A65756"/>
    <w:rsid w:val="00A83862"/>
    <w:rsid w:val="00A84FBE"/>
    <w:rsid w:val="00A869B7"/>
    <w:rsid w:val="00A9019E"/>
    <w:rsid w:val="00AA2FB4"/>
    <w:rsid w:val="00AB2D08"/>
    <w:rsid w:val="00AC0430"/>
    <w:rsid w:val="00AC205C"/>
    <w:rsid w:val="00AC5D34"/>
    <w:rsid w:val="00AC5E97"/>
    <w:rsid w:val="00AE1B0B"/>
    <w:rsid w:val="00AE4A02"/>
    <w:rsid w:val="00AF0A6B"/>
    <w:rsid w:val="00AF5AF9"/>
    <w:rsid w:val="00B0206F"/>
    <w:rsid w:val="00B05A69"/>
    <w:rsid w:val="00B05C1C"/>
    <w:rsid w:val="00B10E98"/>
    <w:rsid w:val="00B2396B"/>
    <w:rsid w:val="00B54633"/>
    <w:rsid w:val="00B5560A"/>
    <w:rsid w:val="00B8231D"/>
    <w:rsid w:val="00B83ECD"/>
    <w:rsid w:val="00B87AB8"/>
    <w:rsid w:val="00B9734B"/>
    <w:rsid w:val="00BA7909"/>
    <w:rsid w:val="00BC3B2D"/>
    <w:rsid w:val="00BC5FCF"/>
    <w:rsid w:val="00BD1E01"/>
    <w:rsid w:val="00BE3568"/>
    <w:rsid w:val="00BF1996"/>
    <w:rsid w:val="00BF6D92"/>
    <w:rsid w:val="00BF7E62"/>
    <w:rsid w:val="00BF7E90"/>
    <w:rsid w:val="00C01DDE"/>
    <w:rsid w:val="00C03600"/>
    <w:rsid w:val="00C066E4"/>
    <w:rsid w:val="00C11BFE"/>
    <w:rsid w:val="00C1578C"/>
    <w:rsid w:val="00C171C6"/>
    <w:rsid w:val="00C31C64"/>
    <w:rsid w:val="00C72035"/>
    <w:rsid w:val="00C906DB"/>
    <w:rsid w:val="00CA0573"/>
    <w:rsid w:val="00CA07FB"/>
    <w:rsid w:val="00CA6B5E"/>
    <w:rsid w:val="00CD6B0C"/>
    <w:rsid w:val="00CE5ACA"/>
    <w:rsid w:val="00CE5DAD"/>
    <w:rsid w:val="00CF10D7"/>
    <w:rsid w:val="00CF5118"/>
    <w:rsid w:val="00D023C7"/>
    <w:rsid w:val="00D060D6"/>
    <w:rsid w:val="00D20811"/>
    <w:rsid w:val="00D40B14"/>
    <w:rsid w:val="00D45252"/>
    <w:rsid w:val="00D502DF"/>
    <w:rsid w:val="00D579F3"/>
    <w:rsid w:val="00D653E4"/>
    <w:rsid w:val="00D65599"/>
    <w:rsid w:val="00D71B4D"/>
    <w:rsid w:val="00D73902"/>
    <w:rsid w:val="00D749BA"/>
    <w:rsid w:val="00D85FFB"/>
    <w:rsid w:val="00D86E20"/>
    <w:rsid w:val="00D93D55"/>
    <w:rsid w:val="00DA4324"/>
    <w:rsid w:val="00DA5B33"/>
    <w:rsid w:val="00DA6A7F"/>
    <w:rsid w:val="00DB1F46"/>
    <w:rsid w:val="00DD5F15"/>
    <w:rsid w:val="00DE4FE6"/>
    <w:rsid w:val="00DF0318"/>
    <w:rsid w:val="00E01147"/>
    <w:rsid w:val="00E07340"/>
    <w:rsid w:val="00E11099"/>
    <w:rsid w:val="00E1146A"/>
    <w:rsid w:val="00E145B7"/>
    <w:rsid w:val="00E20CF7"/>
    <w:rsid w:val="00E335FE"/>
    <w:rsid w:val="00E3361A"/>
    <w:rsid w:val="00E42233"/>
    <w:rsid w:val="00E47A9A"/>
    <w:rsid w:val="00E553DD"/>
    <w:rsid w:val="00E558FE"/>
    <w:rsid w:val="00E74426"/>
    <w:rsid w:val="00E87D9D"/>
    <w:rsid w:val="00EB1149"/>
    <w:rsid w:val="00EB13C3"/>
    <w:rsid w:val="00EB7700"/>
    <w:rsid w:val="00EC2A9A"/>
    <w:rsid w:val="00EC4E49"/>
    <w:rsid w:val="00ED5321"/>
    <w:rsid w:val="00ED77FB"/>
    <w:rsid w:val="00EE2D49"/>
    <w:rsid w:val="00EE45FA"/>
    <w:rsid w:val="00EF02A6"/>
    <w:rsid w:val="00F01F1D"/>
    <w:rsid w:val="00F03C46"/>
    <w:rsid w:val="00F107FB"/>
    <w:rsid w:val="00F14DAE"/>
    <w:rsid w:val="00F213EF"/>
    <w:rsid w:val="00F419BE"/>
    <w:rsid w:val="00F47B18"/>
    <w:rsid w:val="00F51616"/>
    <w:rsid w:val="00F565F2"/>
    <w:rsid w:val="00F571CC"/>
    <w:rsid w:val="00F60143"/>
    <w:rsid w:val="00F61DD8"/>
    <w:rsid w:val="00F66152"/>
    <w:rsid w:val="00F70609"/>
    <w:rsid w:val="00F72AB2"/>
    <w:rsid w:val="00F72F8C"/>
    <w:rsid w:val="00F927AB"/>
    <w:rsid w:val="00F96277"/>
    <w:rsid w:val="00FA39DB"/>
    <w:rsid w:val="00FB1508"/>
    <w:rsid w:val="00FB37A0"/>
    <w:rsid w:val="00FB6C2C"/>
    <w:rsid w:val="00FC32D0"/>
    <w:rsid w:val="00FD0BBB"/>
    <w:rsid w:val="00FD183F"/>
    <w:rsid w:val="00FE0A3B"/>
    <w:rsid w:val="00FF0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6B3422"/>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DecisionInvitingParaChar">
    <w:name w:val="Decision Inviting Para. Char"/>
    <w:link w:val="DecisionInvitingPara"/>
    <w:rsid w:val="006B3422"/>
    <w:rPr>
      <w:rFonts w:ascii="Arial" w:hAnsi="Arial"/>
      <w:i/>
      <w:lang w:val="en-US" w:eastAsia="en-US" w:bidi="ar-SA"/>
    </w:rPr>
  </w:style>
  <w:style w:type="paragraph" w:customStyle="1" w:styleId="CharCharCharChar">
    <w:name w:val="Char Char Char Char"/>
    <w:basedOn w:val="Normal"/>
    <w:rsid w:val="006B342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08596F"/>
    <w:rPr>
      <w:rFonts w:ascii="Tahoma" w:hAnsi="Tahoma" w:cs="Tahoma"/>
      <w:sz w:val="16"/>
      <w:szCs w:val="16"/>
    </w:rPr>
  </w:style>
  <w:style w:type="character" w:customStyle="1" w:styleId="BalloonTextChar">
    <w:name w:val="Balloon Text Char"/>
    <w:link w:val="BalloonText"/>
    <w:rsid w:val="0008596F"/>
    <w:rPr>
      <w:rFonts w:ascii="Tahoma" w:eastAsia="SimSun" w:hAnsi="Tahoma" w:cs="Tahoma"/>
      <w:sz w:val="16"/>
      <w:szCs w:val="16"/>
      <w:lang w:eastAsia="zh-CN"/>
    </w:rPr>
  </w:style>
  <w:style w:type="paragraph" w:styleId="PlainText">
    <w:name w:val="Plain Text"/>
    <w:basedOn w:val="Normal"/>
    <w:link w:val="PlainTextChar"/>
    <w:uiPriority w:val="99"/>
    <w:unhideWhenUsed/>
    <w:rsid w:val="00751B9A"/>
    <w:rPr>
      <w:rFonts w:ascii="Courier New" w:eastAsia="Calibri" w:hAnsi="Courier New" w:cs="Courier New"/>
      <w:szCs w:val="22"/>
      <w:lang w:eastAsia="en-US"/>
    </w:rPr>
  </w:style>
  <w:style w:type="character" w:customStyle="1" w:styleId="PlainTextChar">
    <w:name w:val="Plain Text Char"/>
    <w:link w:val="PlainText"/>
    <w:uiPriority w:val="99"/>
    <w:rsid w:val="00751B9A"/>
    <w:rPr>
      <w:rFonts w:ascii="Courier New" w:eastAsia="Calibri" w:hAnsi="Courier New" w:cs="Courier New"/>
      <w:sz w:val="22"/>
      <w:szCs w:val="22"/>
    </w:rPr>
  </w:style>
  <w:style w:type="paragraph" w:customStyle="1" w:styleId="Body1">
    <w:name w:val="Body 1"/>
    <w:rsid w:val="008456C9"/>
    <w:pPr>
      <w:outlineLvl w:val="0"/>
    </w:pPr>
    <w:rPr>
      <w:rFonts w:ascii="Arial" w:eastAsia="Arial Unicode MS" w:hAnsi="Arial"/>
      <w:color w:val="000000"/>
      <w:sz w:val="22"/>
      <w:u w:color="000000"/>
      <w:lang w:val="fr-FR" w:eastAsia="fr-FR"/>
    </w:rPr>
  </w:style>
  <w:style w:type="paragraph" w:customStyle="1" w:styleId="List0">
    <w:name w:val="List 0"/>
    <w:basedOn w:val="Normal"/>
    <w:semiHidden/>
    <w:rsid w:val="008456C9"/>
    <w:pPr>
      <w:numPr>
        <w:numId w:val="1"/>
      </w:numPr>
    </w:pPr>
    <w:rPr>
      <w:rFonts w:ascii="Times New Roman" w:eastAsia="Times New Roman" w:hAnsi="Times New Roman" w:cs="Times New Roman"/>
      <w:sz w:val="20"/>
      <w:lang w:val="fr-FR" w:eastAsia="fr-FR"/>
    </w:rPr>
  </w:style>
  <w:style w:type="paragraph" w:customStyle="1" w:styleId="List1">
    <w:name w:val="List 1"/>
    <w:basedOn w:val="Normal"/>
    <w:semiHidden/>
    <w:rsid w:val="008456C9"/>
    <w:pPr>
      <w:tabs>
        <w:tab w:val="num" w:pos="567"/>
      </w:tabs>
    </w:pPr>
    <w:rPr>
      <w:rFonts w:ascii="Times New Roman" w:eastAsia="Times New Roman" w:hAnsi="Times New Roman" w:cs="Times New Roman"/>
      <w:sz w:val="20"/>
      <w:lang w:val="fr-FR" w:eastAsia="fr-FR"/>
    </w:rPr>
  </w:style>
  <w:style w:type="paragraph" w:customStyle="1" w:styleId="List21">
    <w:name w:val="List 21"/>
    <w:basedOn w:val="Normal"/>
    <w:semiHidden/>
    <w:rsid w:val="008456C9"/>
    <w:pPr>
      <w:numPr>
        <w:numId w:val="5"/>
      </w:numPr>
    </w:pPr>
    <w:rPr>
      <w:rFonts w:ascii="Times New Roman" w:eastAsia="Times New Roman" w:hAnsi="Times New Roman" w:cs="Times New Roman"/>
      <w:sz w:val="20"/>
      <w:lang w:val="fr-FR" w:eastAsia="fr-FR"/>
    </w:rPr>
  </w:style>
  <w:style w:type="paragraph" w:styleId="ListParagraph">
    <w:name w:val="List Paragraph"/>
    <w:basedOn w:val="Normal"/>
    <w:uiPriority w:val="34"/>
    <w:qFormat/>
    <w:rsid w:val="00434A07"/>
    <w:pPr>
      <w:ind w:left="720"/>
      <w:contextualSpacing/>
    </w:pPr>
  </w:style>
  <w:style w:type="paragraph" w:customStyle="1" w:styleId="Styletexte">
    <w:name w:val="Style texte"/>
    <w:basedOn w:val="Normal"/>
    <w:link w:val="StyletexteChar"/>
    <w:rsid w:val="003A2247"/>
    <w:pPr>
      <w:spacing w:after="120"/>
      <w:jc w:val="both"/>
    </w:pPr>
    <w:rPr>
      <w:rFonts w:eastAsia="Times New Roman" w:cs="Times New Roman"/>
      <w:lang w:eastAsia="en-US"/>
    </w:rPr>
  </w:style>
  <w:style w:type="character" w:customStyle="1" w:styleId="StyletexteChar">
    <w:name w:val="Style texte Char"/>
    <w:basedOn w:val="DefaultParagraphFont"/>
    <w:link w:val="Styletexte"/>
    <w:rsid w:val="003A2247"/>
    <w:rPr>
      <w:rFonts w:ascii="Arial" w:hAnsi="Arial"/>
      <w:sz w:val="22"/>
    </w:rPr>
  </w:style>
  <w:style w:type="character" w:styleId="FootnoteReference">
    <w:name w:val="footnote reference"/>
    <w:basedOn w:val="DefaultParagraphFont"/>
    <w:rsid w:val="00384482"/>
    <w:rPr>
      <w:vertAlign w:val="superscript"/>
    </w:rPr>
  </w:style>
  <w:style w:type="character" w:customStyle="1" w:styleId="ONUMEChar">
    <w:name w:val="ONUM E Char"/>
    <w:link w:val="ONUME"/>
    <w:rsid w:val="00560153"/>
    <w:rPr>
      <w:rFonts w:ascii="Arial" w:eastAsia="SimSun" w:hAnsi="Arial" w:cs="Arial"/>
      <w:sz w:val="22"/>
      <w:lang w:eastAsia="zh-CN"/>
    </w:rPr>
  </w:style>
  <w:style w:type="character" w:styleId="Hyperlink">
    <w:name w:val="Hyperlink"/>
    <w:basedOn w:val="DefaultParagraphFont"/>
    <w:rsid w:val="00FB37A0"/>
    <w:rPr>
      <w:color w:val="0000FF" w:themeColor="hyperlink"/>
      <w:u w:val="single"/>
    </w:rPr>
  </w:style>
  <w:style w:type="table" w:styleId="TableList4">
    <w:name w:val="Table List 4"/>
    <w:basedOn w:val="TableNormal"/>
    <w:rsid w:val="007E04D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rsid w:val="00FF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03C46"/>
    <w:rPr>
      <w:rFonts w:ascii="Arial" w:eastAsia="SimSun" w:hAnsi="Arial" w:cs="Arial"/>
      <w:sz w:val="22"/>
      <w:lang w:eastAsia="zh-CN"/>
    </w:rPr>
  </w:style>
  <w:style w:type="character" w:styleId="CommentReference">
    <w:name w:val="annotation reference"/>
    <w:basedOn w:val="DefaultParagraphFont"/>
    <w:rsid w:val="00193D87"/>
    <w:rPr>
      <w:sz w:val="16"/>
      <w:szCs w:val="16"/>
    </w:rPr>
  </w:style>
  <w:style w:type="paragraph" w:styleId="CommentSubject">
    <w:name w:val="annotation subject"/>
    <w:basedOn w:val="CommentText"/>
    <w:next w:val="CommentText"/>
    <w:link w:val="CommentSubjectChar"/>
    <w:rsid w:val="00193D87"/>
    <w:rPr>
      <w:b/>
      <w:bCs/>
      <w:sz w:val="20"/>
    </w:rPr>
  </w:style>
  <w:style w:type="character" w:customStyle="1" w:styleId="CommentTextChar">
    <w:name w:val="Comment Text Char"/>
    <w:basedOn w:val="DefaultParagraphFont"/>
    <w:link w:val="CommentText"/>
    <w:semiHidden/>
    <w:rsid w:val="00193D87"/>
    <w:rPr>
      <w:rFonts w:ascii="Arial" w:eastAsia="SimSun" w:hAnsi="Arial" w:cs="Arial"/>
      <w:sz w:val="18"/>
      <w:lang w:eastAsia="zh-CN"/>
    </w:rPr>
  </w:style>
  <w:style w:type="character" w:customStyle="1" w:styleId="CommentSubjectChar">
    <w:name w:val="Comment Subject Char"/>
    <w:basedOn w:val="CommentTextChar"/>
    <w:link w:val="CommentSubject"/>
    <w:rsid w:val="00193D87"/>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rsid w:val="006B3422"/>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DecisionInvitingParaChar">
    <w:name w:val="Decision Inviting Para. Char"/>
    <w:link w:val="DecisionInvitingPara"/>
    <w:rsid w:val="006B3422"/>
    <w:rPr>
      <w:rFonts w:ascii="Arial" w:hAnsi="Arial"/>
      <w:i/>
      <w:lang w:val="en-US" w:eastAsia="en-US" w:bidi="ar-SA"/>
    </w:rPr>
  </w:style>
  <w:style w:type="paragraph" w:customStyle="1" w:styleId="CharCharCharChar">
    <w:name w:val="Char Char Char Char"/>
    <w:basedOn w:val="Normal"/>
    <w:rsid w:val="006B342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08596F"/>
    <w:rPr>
      <w:rFonts w:ascii="Tahoma" w:hAnsi="Tahoma" w:cs="Tahoma"/>
      <w:sz w:val="16"/>
      <w:szCs w:val="16"/>
    </w:rPr>
  </w:style>
  <w:style w:type="character" w:customStyle="1" w:styleId="BalloonTextChar">
    <w:name w:val="Balloon Text Char"/>
    <w:link w:val="BalloonText"/>
    <w:rsid w:val="0008596F"/>
    <w:rPr>
      <w:rFonts w:ascii="Tahoma" w:eastAsia="SimSun" w:hAnsi="Tahoma" w:cs="Tahoma"/>
      <w:sz w:val="16"/>
      <w:szCs w:val="16"/>
      <w:lang w:eastAsia="zh-CN"/>
    </w:rPr>
  </w:style>
  <w:style w:type="paragraph" w:styleId="PlainText">
    <w:name w:val="Plain Text"/>
    <w:basedOn w:val="Normal"/>
    <w:link w:val="PlainTextChar"/>
    <w:uiPriority w:val="99"/>
    <w:unhideWhenUsed/>
    <w:rsid w:val="00751B9A"/>
    <w:rPr>
      <w:rFonts w:ascii="Courier New" w:eastAsia="Calibri" w:hAnsi="Courier New" w:cs="Courier New"/>
      <w:szCs w:val="22"/>
      <w:lang w:eastAsia="en-US"/>
    </w:rPr>
  </w:style>
  <w:style w:type="character" w:customStyle="1" w:styleId="PlainTextChar">
    <w:name w:val="Plain Text Char"/>
    <w:link w:val="PlainText"/>
    <w:uiPriority w:val="99"/>
    <w:rsid w:val="00751B9A"/>
    <w:rPr>
      <w:rFonts w:ascii="Courier New" w:eastAsia="Calibri" w:hAnsi="Courier New" w:cs="Courier New"/>
      <w:sz w:val="22"/>
      <w:szCs w:val="22"/>
    </w:rPr>
  </w:style>
  <w:style w:type="paragraph" w:customStyle="1" w:styleId="Body1">
    <w:name w:val="Body 1"/>
    <w:rsid w:val="008456C9"/>
    <w:pPr>
      <w:outlineLvl w:val="0"/>
    </w:pPr>
    <w:rPr>
      <w:rFonts w:ascii="Arial" w:eastAsia="Arial Unicode MS" w:hAnsi="Arial"/>
      <w:color w:val="000000"/>
      <w:sz w:val="22"/>
      <w:u w:color="000000"/>
      <w:lang w:val="fr-FR" w:eastAsia="fr-FR"/>
    </w:rPr>
  </w:style>
  <w:style w:type="paragraph" w:customStyle="1" w:styleId="List0">
    <w:name w:val="List 0"/>
    <w:basedOn w:val="Normal"/>
    <w:semiHidden/>
    <w:rsid w:val="008456C9"/>
    <w:pPr>
      <w:numPr>
        <w:numId w:val="1"/>
      </w:numPr>
    </w:pPr>
    <w:rPr>
      <w:rFonts w:ascii="Times New Roman" w:eastAsia="Times New Roman" w:hAnsi="Times New Roman" w:cs="Times New Roman"/>
      <w:sz w:val="20"/>
      <w:lang w:val="fr-FR" w:eastAsia="fr-FR"/>
    </w:rPr>
  </w:style>
  <w:style w:type="paragraph" w:customStyle="1" w:styleId="List1">
    <w:name w:val="List 1"/>
    <w:basedOn w:val="Normal"/>
    <w:semiHidden/>
    <w:rsid w:val="008456C9"/>
    <w:pPr>
      <w:tabs>
        <w:tab w:val="num" w:pos="567"/>
      </w:tabs>
    </w:pPr>
    <w:rPr>
      <w:rFonts w:ascii="Times New Roman" w:eastAsia="Times New Roman" w:hAnsi="Times New Roman" w:cs="Times New Roman"/>
      <w:sz w:val="20"/>
      <w:lang w:val="fr-FR" w:eastAsia="fr-FR"/>
    </w:rPr>
  </w:style>
  <w:style w:type="paragraph" w:customStyle="1" w:styleId="List21">
    <w:name w:val="List 21"/>
    <w:basedOn w:val="Normal"/>
    <w:semiHidden/>
    <w:rsid w:val="008456C9"/>
    <w:pPr>
      <w:numPr>
        <w:numId w:val="5"/>
      </w:numPr>
    </w:pPr>
    <w:rPr>
      <w:rFonts w:ascii="Times New Roman" w:eastAsia="Times New Roman" w:hAnsi="Times New Roman" w:cs="Times New Roman"/>
      <w:sz w:val="20"/>
      <w:lang w:val="fr-FR" w:eastAsia="fr-FR"/>
    </w:rPr>
  </w:style>
  <w:style w:type="paragraph" w:styleId="ListParagraph">
    <w:name w:val="List Paragraph"/>
    <w:basedOn w:val="Normal"/>
    <w:uiPriority w:val="34"/>
    <w:qFormat/>
    <w:rsid w:val="00434A07"/>
    <w:pPr>
      <w:ind w:left="720"/>
      <w:contextualSpacing/>
    </w:pPr>
  </w:style>
  <w:style w:type="paragraph" w:customStyle="1" w:styleId="Styletexte">
    <w:name w:val="Style texte"/>
    <w:basedOn w:val="Normal"/>
    <w:link w:val="StyletexteChar"/>
    <w:rsid w:val="003A2247"/>
    <w:pPr>
      <w:spacing w:after="120"/>
      <w:jc w:val="both"/>
    </w:pPr>
    <w:rPr>
      <w:rFonts w:eastAsia="Times New Roman" w:cs="Times New Roman"/>
      <w:lang w:eastAsia="en-US"/>
    </w:rPr>
  </w:style>
  <w:style w:type="character" w:customStyle="1" w:styleId="StyletexteChar">
    <w:name w:val="Style texte Char"/>
    <w:basedOn w:val="DefaultParagraphFont"/>
    <w:link w:val="Styletexte"/>
    <w:rsid w:val="003A2247"/>
    <w:rPr>
      <w:rFonts w:ascii="Arial" w:hAnsi="Arial"/>
      <w:sz w:val="22"/>
    </w:rPr>
  </w:style>
  <w:style w:type="character" w:styleId="FootnoteReference">
    <w:name w:val="footnote reference"/>
    <w:basedOn w:val="DefaultParagraphFont"/>
    <w:rsid w:val="00384482"/>
    <w:rPr>
      <w:vertAlign w:val="superscript"/>
    </w:rPr>
  </w:style>
  <w:style w:type="character" w:customStyle="1" w:styleId="ONUMEChar">
    <w:name w:val="ONUM E Char"/>
    <w:link w:val="ONUME"/>
    <w:rsid w:val="00560153"/>
    <w:rPr>
      <w:rFonts w:ascii="Arial" w:eastAsia="SimSun" w:hAnsi="Arial" w:cs="Arial"/>
      <w:sz w:val="22"/>
      <w:lang w:eastAsia="zh-CN"/>
    </w:rPr>
  </w:style>
  <w:style w:type="character" w:styleId="Hyperlink">
    <w:name w:val="Hyperlink"/>
    <w:basedOn w:val="DefaultParagraphFont"/>
    <w:rsid w:val="00FB37A0"/>
    <w:rPr>
      <w:color w:val="0000FF" w:themeColor="hyperlink"/>
      <w:u w:val="single"/>
    </w:rPr>
  </w:style>
  <w:style w:type="table" w:styleId="TableList4">
    <w:name w:val="Table List 4"/>
    <w:basedOn w:val="TableNormal"/>
    <w:rsid w:val="007E04D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rsid w:val="00FF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03C46"/>
    <w:rPr>
      <w:rFonts w:ascii="Arial" w:eastAsia="SimSun" w:hAnsi="Arial" w:cs="Arial"/>
      <w:sz w:val="22"/>
      <w:lang w:eastAsia="zh-CN"/>
    </w:rPr>
  </w:style>
  <w:style w:type="character" w:styleId="CommentReference">
    <w:name w:val="annotation reference"/>
    <w:basedOn w:val="DefaultParagraphFont"/>
    <w:rsid w:val="00193D87"/>
    <w:rPr>
      <w:sz w:val="16"/>
      <w:szCs w:val="16"/>
    </w:rPr>
  </w:style>
  <w:style w:type="paragraph" w:styleId="CommentSubject">
    <w:name w:val="annotation subject"/>
    <w:basedOn w:val="CommentText"/>
    <w:next w:val="CommentText"/>
    <w:link w:val="CommentSubjectChar"/>
    <w:rsid w:val="00193D87"/>
    <w:rPr>
      <w:b/>
      <w:bCs/>
      <w:sz w:val="20"/>
    </w:rPr>
  </w:style>
  <w:style w:type="character" w:customStyle="1" w:styleId="CommentTextChar">
    <w:name w:val="Comment Text Char"/>
    <w:basedOn w:val="DefaultParagraphFont"/>
    <w:link w:val="CommentText"/>
    <w:semiHidden/>
    <w:rsid w:val="00193D87"/>
    <w:rPr>
      <w:rFonts w:ascii="Arial" w:eastAsia="SimSun" w:hAnsi="Arial" w:cs="Arial"/>
      <w:sz w:val="18"/>
      <w:lang w:eastAsia="zh-CN"/>
    </w:rPr>
  </w:style>
  <w:style w:type="character" w:customStyle="1" w:styleId="CommentSubjectChar">
    <w:name w:val="Comment Subject Char"/>
    <w:basedOn w:val="CommentTextChar"/>
    <w:link w:val="CommentSubject"/>
    <w:rsid w:val="00193D8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296">
      <w:bodyDiv w:val="1"/>
      <w:marLeft w:val="0"/>
      <w:marRight w:val="0"/>
      <w:marTop w:val="0"/>
      <w:marBottom w:val="0"/>
      <w:divBdr>
        <w:top w:val="none" w:sz="0" w:space="0" w:color="auto"/>
        <w:left w:val="none" w:sz="0" w:space="0" w:color="auto"/>
        <w:bottom w:val="none" w:sz="0" w:space="0" w:color="auto"/>
        <w:right w:val="none" w:sz="0" w:space="0" w:color="auto"/>
      </w:divBdr>
    </w:div>
    <w:div w:id="147668709">
      <w:bodyDiv w:val="1"/>
      <w:marLeft w:val="0"/>
      <w:marRight w:val="0"/>
      <w:marTop w:val="0"/>
      <w:marBottom w:val="0"/>
      <w:divBdr>
        <w:top w:val="none" w:sz="0" w:space="0" w:color="auto"/>
        <w:left w:val="none" w:sz="0" w:space="0" w:color="auto"/>
        <w:bottom w:val="none" w:sz="0" w:space="0" w:color="auto"/>
        <w:right w:val="none" w:sz="0" w:space="0" w:color="auto"/>
      </w:divBdr>
    </w:div>
    <w:div w:id="421336009">
      <w:bodyDiv w:val="1"/>
      <w:marLeft w:val="0"/>
      <w:marRight w:val="0"/>
      <w:marTop w:val="0"/>
      <w:marBottom w:val="0"/>
      <w:divBdr>
        <w:top w:val="none" w:sz="0" w:space="0" w:color="auto"/>
        <w:left w:val="none" w:sz="0" w:space="0" w:color="auto"/>
        <w:bottom w:val="none" w:sz="0" w:space="0" w:color="auto"/>
        <w:right w:val="none" w:sz="0" w:space="0" w:color="auto"/>
      </w:divBdr>
    </w:div>
    <w:div w:id="455680193">
      <w:bodyDiv w:val="1"/>
      <w:marLeft w:val="0"/>
      <w:marRight w:val="0"/>
      <w:marTop w:val="0"/>
      <w:marBottom w:val="0"/>
      <w:divBdr>
        <w:top w:val="none" w:sz="0" w:space="0" w:color="auto"/>
        <w:left w:val="none" w:sz="0" w:space="0" w:color="auto"/>
        <w:bottom w:val="none" w:sz="0" w:space="0" w:color="auto"/>
        <w:right w:val="none" w:sz="0" w:space="0" w:color="auto"/>
      </w:divBdr>
    </w:div>
    <w:div w:id="618990486">
      <w:bodyDiv w:val="1"/>
      <w:marLeft w:val="0"/>
      <w:marRight w:val="0"/>
      <w:marTop w:val="0"/>
      <w:marBottom w:val="0"/>
      <w:divBdr>
        <w:top w:val="none" w:sz="0" w:space="0" w:color="auto"/>
        <w:left w:val="none" w:sz="0" w:space="0" w:color="auto"/>
        <w:bottom w:val="none" w:sz="0" w:space="0" w:color="auto"/>
        <w:right w:val="none" w:sz="0" w:space="0" w:color="auto"/>
      </w:divBdr>
    </w:div>
    <w:div w:id="658384577">
      <w:bodyDiv w:val="1"/>
      <w:marLeft w:val="0"/>
      <w:marRight w:val="0"/>
      <w:marTop w:val="0"/>
      <w:marBottom w:val="0"/>
      <w:divBdr>
        <w:top w:val="none" w:sz="0" w:space="0" w:color="auto"/>
        <w:left w:val="none" w:sz="0" w:space="0" w:color="auto"/>
        <w:bottom w:val="none" w:sz="0" w:space="0" w:color="auto"/>
        <w:right w:val="none" w:sz="0" w:space="0" w:color="auto"/>
      </w:divBdr>
    </w:div>
    <w:div w:id="753278729">
      <w:bodyDiv w:val="1"/>
      <w:marLeft w:val="0"/>
      <w:marRight w:val="0"/>
      <w:marTop w:val="0"/>
      <w:marBottom w:val="0"/>
      <w:divBdr>
        <w:top w:val="none" w:sz="0" w:space="0" w:color="auto"/>
        <w:left w:val="none" w:sz="0" w:space="0" w:color="auto"/>
        <w:bottom w:val="none" w:sz="0" w:space="0" w:color="auto"/>
        <w:right w:val="none" w:sz="0" w:space="0" w:color="auto"/>
      </w:divBdr>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
    <w:div w:id="1224103497">
      <w:bodyDiv w:val="1"/>
      <w:marLeft w:val="0"/>
      <w:marRight w:val="0"/>
      <w:marTop w:val="0"/>
      <w:marBottom w:val="0"/>
      <w:divBdr>
        <w:top w:val="none" w:sz="0" w:space="0" w:color="auto"/>
        <w:left w:val="none" w:sz="0" w:space="0" w:color="auto"/>
        <w:bottom w:val="none" w:sz="0" w:space="0" w:color="auto"/>
        <w:right w:val="none" w:sz="0" w:space="0" w:color="auto"/>
      </w:divBdr>
    </w:div>
    <w:div w:id="1296302412">
      <w:bodyDiv w:val="1"/>
      <w:marLeft w:val="0"/>
      <w:marRight w:val="0"/>
      <w:marTop w:val="0"/>
      <w:marBottom w:val="0"/>
      <w:divBdr>
        <w:top w:val="none" w:sz="0" w:space="0" w:color="auto"/>
        <w:left w:val="none" w:sz="0" w:space="0" w:color="auto"/>
        <w:bottom w:val="none" w:sz="0" w:space="0" w:color="auto"/>
        <w:right w:val="none" w:sz="0" w:space="0" w:color="auto"/>
      </w:divBdr>
    </w:div>
    <w:div w:id="1832670216">
      <w:bodyDiv w:val="1"/>
      <w:marLeft w:val="0"/>
      <w:marRight w:val="0"/>
      <w:marTop w:val="0"/>
      <w:marBottom w:val="0"/>
      <w:divBdr>
        <w:top w:val="none" w:sz="0" w:space="0" w:color="auto"/>
        <w:left w:val="none" w:sz="0" w:space="0" w:color="auto"/>
        <w:bottom w:val="none" w:sz="0" w:space="0" w:color="auto"/>
        <w:right w:val="none" w:sz="0" w:space="0" w:color="auto"/>
      </w:divBdr>
    </w:div>
    <w:div w:id="1924989361">
      <w:bodyDiv w:val="1"/>
      <w:marLeft w:val="0"/>
      <w:marRight w:val="0"/>
      <w:marTop w:val="0"/>
      <w:marBottom w:val="0"/>
      <w:divBdr>
        <w:top w:val="none" w:sz="0" w:space="0" w:color="auto"/>
        <w:left w:val="none" w:sz="0" w:space="0" w:color="auto"/>
        <w:bottom w:val="none" w:sz="0" w:space="0" w:color="auto"/>
        <w:right w:val="none" w:sz="0" w:space="0" w:color="auto"/>
      </w:divBdr>
    </w:div>
    <w:div w:id="213779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107C-2A40-4109-9A0D-67B71275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10108</Characters>
  <Application>Microsoft Office Word</Application>
  <DocSecurity>0</DocSecurity>
  <Lines>388</Lines>
  <Paragraphs>145</Paragraphs>
  <ScaleCrop>false</ScaleCrop>
  <HeadingPairs>
    <vt:vector size="2" baseType="variant">
      <vt:variant>
        <vt:lpstr>Title</vt:lpstr>
      </vt:variant>
      <vt:variant>
        <vt:i4>1</vt:i4>
      </vt:variant>
    </vt:vector>
  </HeadingPairs>
  <TitlesOfParts>
    <vt:vector size="1" baseType="lpstr">
      <vt:lpstr>WO/PBC/21/15</vt:lpstr>
    </vt:vector>
  </TitlesOfParts>
  <Company>WIPO</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WO/PBC/21/15</dc:title>
  <dc:subject>language policy</dc:subject>
  <dc:creator>Netter</dc:creator>
  <cp:lastModifiedBy>NETTER Iza</cp:lastModifiedBy>
  <cp:revision>3</cp:revision>
  <cp:lastPrinted>2014-07-21T08:45:00Z</cp:lastPrinted>
  <dcterms:created xsi:type="dcterms:W3CDTF">2014-07-23T06:59:00Z</dcterms:created>
  <dcterms:modified xsi:type="dcterms:W3CDTF">2014-08-04T07:55:00Z</dcterms:modified>
  <cp:category>pbc 21 document</cp:category>
</cp:coreProperties>
</file>