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257F0" w:rsidP="00916EE2">
            <w:r>
              <w:rPr>
                <w:noProof/>
                <w:lang w:eastAsia="en-US"/>
              </w:rPr>
              <w:drawing>
                <wp:inline distT="0" distB="0" distL="0" distR="0" wp14:anchorId="13E645BC" wp14:editId="040E036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0334C" w:rsidP="00074B44">
            <w:pPr>
              <w:jc w:val="right"/>
              <w:rPr>
                <w:rFonts w:ascii="Arial Black" w:hAnsi="Arial Black"/>
                <w:caps/>
                <w:sz w:val="15"/>
              </w:rPr>
            </w:pPr>
            <w:r>
              <w:rPr>
                <w:rFonts w:ascii="Arial Black" w:hAnsi="Arial Black"/>
                <w:caps/>
                <w:sz w:val="15"/>
              </w:rPr>
              <w:t>wo/cc/67/</w:t>
            </w:r>
            <w:bookmarkStart w:id="0" w:name="Code"/>
            <w:bookmarkEnd w:id="0"/>
            <w:r w:rsidR="00E87F0B">
              <w:rPr>
                <w:rFonts w:ascii="Arial Black" w:hAnsi="Arial Black"/>
                <w:caps/>
                <w:sz w:val="15"/>
              </w:rPr>
              <w:t>3</w:t>
            </w:r>
            <w:r w:rsidR="0032048F">
              <w:rPr>
                <w:rFonts w:ascii="Arial Black" w:hAnsi="Arial Black"/>
                <w:caps/>
                <w:sz w:val="15"/>
              </w:rPr>
              <w:t xml:space="preserve"> CORR.</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32048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E1D1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2048F">
              <w:rPr>
                <w:rFonts w:ascii="Arial Black" w:hAnsi="Arial Black"/>
                <w:caps/>
                <w:sz w:val="15"/>
              </w:rPr>
              <w:t xml:space="preserve">September </w:t>
            </w:r>
            <w:r w:rsidR="00960559" w:rsidRPr="001B6BB8">
              <w:rPr>
                <w:rFonts w:ascii="Arial Black" w:hAnsi="Arial Black"/>
                <w:caps/>
                <w:sz w:val="15"/>
              </w:rPr>
              <w:t>2</w:t>
            </w:r>
            <w:r w:rsidR="002E1D1B">
              <w:rPr>
                <w:rFonts w:ascii="Arial Black" w:hAnsi="Arial Black"/>
                <w:caps/>
                <w:sz w:val="15"/>
              </w:rPr>
              <w:t>3</w:t>
            </w:r>
            <w:bookmarkStart w:id="3" w:name="_GoBack"/>
            <w:bookmarkEnd w:id="3"/>
            <w:r w:rsidR="0032048F">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0334C" w:rsidRPr="00C0334C" w:rsidRDefault="00C0334C" w:rsidP="00C0334C">
      <w:pPr>
        <w:rPr>
          <w:b/>
          <w:sz w:val="28"/>
          <w:szCs w:val="28"/>
        </w:rPr>
      </w:pPr>
      <w:r w:rsidRPr="00C0334C">
        <w:rPr>
          <w:b/>
          <w:sz w:val="28"/>
          <w:szCs w:val="28"/>
        </w:rPr>
        <w:t>WIPO Coordination Committee</w:t>
      </w:r>
    </w:p>
    <w:p w:rsidR="003845C1" w:rsidRDefault="003845C1" w:rsidP="003845C1"/>
    <w:p w:rsidR="003845C1" w:rsidRDefault="003845C1" w:rsidP="003845C1"/>
    <w:p w:rsidR="00C0334C" w:rsidRPr="00C0334C" w:rsidRDefault="00C0334C" w:rsidP="00C0334C">
      <w:pPr>
        <w:rPr>
          <w:b/>
          <w:sz w:val="24"/>
          <w:szCs w:val="24"/>
        </w:rPr>
      </w:pPr>
      <w:r w:rsidRPr="00C0334C">
        <w:rPr>
          <w:b/>
          <w:sz w:val="24"/>
          <w:szCs w:val="24"/>
        </w:rPr>
        <w:t>Sixty-Seventh (44</w:t>
      </w:r>
      <w:r w:rsidRPr="00CA26E0">
        <w:rPr>
          <w:b/>
          <w:sz w:val="24"/>
          <w:szCs w:val="24"/>
          <w:vertAlign w:val="superscript"/>
        </w:rPr>
        <w:t xml:space="preserve">th </w:t>
      </w:r>
      <w:r w:rsidRPr="00C0334C">
        <w:rPr>
          <w:b/>
          <w:sz w:val="24"/>
          <w:szCs w:val="24"/>
        </w:rPr>
        <w:t>Ordinary) Session</w:t>
      </w:r>
    </w:p>
    <w:p w:rsidR="008B2CC1" w:rsidRPr="00C0334C" w:rsidRDefault="00C0334C" w:rsidP="00C0334C">
      <w:pPr>
        <w:rPr>
          <w:b/>
          <w:sz w:val="24"/>
          <w:szCs w:val="24"/>
        </w:rPr>
      </w:pPr>
      <w:r w:rsidRPr="00C0334C">
        <w:rPr>
          <w:b/>
          <w:sz w:val="24"/>
          <w:szCs w:val="24"/>
        </w:rPr>
        <w:t>Geneva, September 23 to October 2, 2013</w:t>
      </w:r>
    </w:p>
    <w:p w:rsidR="008B2CC1" w:rsidRPr="008B2CC1" w:rsidRDefault="008B2CC1" w:rsidP="008B2CC1"/>
    <w:p w:rsidR="008B2CC1" w:rsidRPr="008B2CC1" w:rsidRDefault="008B2CC1" w:rsidP="008B2CC1"/>
    <w:p w:rsidR="008B2CC1" w:rsidRPr="008B2CC1" w:rsidRDefault="00E87F0B" w:rsidP="008B2CC1">
      <w:bookmarkStart w:id="4" w:name="TitleOfDoc"/>
      <w:bookmarkEnd w:id="4"/>
      <w:r w:rsidRPr="00E87F0B">
        <w:rPr>
          <w:caps/>
          <w:sz w:val="24"/>
        </w:rPr>
        <w:t>REVISION OF THE STAFF REGULATIONS AND RULES</w:t>
      </w:r>
    </w:p>
    <w:p w:rsidR="00E87F0B" w:rsidRDefault="00E87F0B" w:rsidP="008B2CC1">
      <w:pPr>
        <w:rPr>
          <w:i/>
        </w:rPr>
      </w:pPr>
      <w:bookmarkStart w:id="5" w:name="Prepared"/>
      <w:bookmarkEnd w:id="5"/>
    </w:p>
    <w:p w:rsidR="008B2CC1" w:rsidRPr="008B2CC1" w:rsidRDefault="0032048F" w:rsidP="008B2CC1">
      <w:pPr>
        <w:rPr>
          <w:i/>
        </w:rPr>
      </w:pPr>
      <w:r>
        <w:rPr>
          <w:i/>
        </w:rPr>
        <w:t>Corrigendum</w:t>
      </w:r>
    </w:p>
    <w:p w:rsidR="00AC205C" w:rsidRDefault="00AC205C"/>
    <w:p w:rsidR="002928D3" w:rsidRDefault="002928D3" w:rsidP="0053057A"/>
    <w:p w:rsidR="00844A22" w:rsidRDefault="00844A22" w:rsidP="0053057A"/>
    <w:p w:rsidR="00844A22" w:rsidRDefault="00844A22" w:rsidP="0053057A"/>
    <w:p w:rsidR="00960559" w:rsidRDefault="00960559" w:rsidP="00545B05">
      <w:pPr>
        <w:pStyle w:val="ListParagraph"/>
        <w:numPr>
          <w:ilvl w:val="0"/>
          <w:numId w:val="9"/>
        </w:numPr>
        <w:ind w:left="0" w:firstLine="0"/>
      </w:pPr>
      <w:r>
        <w:t xml:space="preserve">A </w:t>
      </w:r>
      <w:r w:rsidR="00023FFA">
        <w:t>corrigendum</w:t>
      </w:r>
      <w:r>
        <w:t xml:space="preserve"> is </w:t>
      </w:r>
      <w:r w:rsidR="00774F14">
        <w:t xml:space="preserve">made to </w:t>
      </w:r>
      <w:r w:rsidR="0032048F" w:rsidRPr="009A32C1">
        <w:t>Annex I</w:t>
      </w:r>
      <w:r w:rsidR="00EC2B93">
        <w:t>II</w:t>
      </w:r>
      <w:r w:rsidR="00787EAA">
        <w:t xml:space="preserve">, part </w:t>
      </w:r>
      <w:r w:rsidR="001B6BB8">
        <w:t>3</w:t>
      </w:r>
      <w:r w:rsidR="00774F14">
        <w:t xml:space="preserve"> </w:t>
      </w:r>
      <w:r w:rsidR="00EC2B93">
        <w:t xml:space="preserve">(Table: </w:t>
      </w:r>
      <w:r w:rsidR="00023FFA">
        <w:t>“</w:t>
      </w:r>
      <w:r w:rsidR="003170F9" w:rsidRPr="003170F9">
        <w:t xml:space="preserve">Amendments </w:t>
      </w:r>
      <w:r w:rsidR="003170F9">
        <w:t>t</w:t>
      </w:r>
      <w:r w:rsidR="003170F9" w:rsidRPr="003170F9">
        <w:t xml:space="preserve">o </w:t>
      </w:r>
      <w:r w:rsidR="001B6BB8">
        <w:t>c</w:t>
      </w:r>
      <w:r w:rsidR="003170F9" w:rsidRPr="003170F9">
        <w:t xml:space="preserve">ertain Staff Rules </w:t>
      </w:r>
      <w:r w:rsidR="001B6BB8">
        <w:t>a</w:t>
      </w:r>
      <w:r w:rsidR="003170F9" w:rsidRPr="003170F9">
        <w:t xml:space="preserve">lready </w:t>
      </w:r>
      <w:r w:rsidR="001B6BB8">
        <w:t>i</w:t>
      </w:r>
      <w:r w:rsidR="003170F9" w:rsidRPr="003170F9">
        <w:t xml:space="preserve">mplemented </w:t>
      </w:r>
      <w:r w:rsidR="001B6BB8">
        <w:t>i</w:t>
      </w:r>
      <w:r w:rsidR="003170F9" w:rsidRPr="003170F9">
        <w:t xml:space="preserve">n 2013 – </w:t>
      </w:r>
      <w:r w:rsidR="001B6BB8">
        <w:t>f</w:t>
      </w:r>
      <w:r w:rsidR="003170F9" w:rsidRPr="003170F9">
        <w:t xml:space="preserve">or </w:t>
      </w:r>
      <w:r w:rsidR="001B6BB8">
        <w:t>n</w:t>
      </w:r>
      <w:r w:rsidR="003170F9" w:rsidRPr="003170F9">
        <w:t>otification</w:t>
      </w:r>
      <w:r w:rsidR="003170F9">
        <w:t>”</w:t>
      </w:r>
      <w:r w:rsidR="00EC2B93">
        <w:t>)</w:t>
      </w:r>
      <w:r w:rsidR="00E87F0B" w:rsidRPr="009A32C1">
        <w:t xml:space="preserve">, </w:t>
      </w:r>
      <w:r w:rsidR="003170F9">
        <w:t>concerning</w:t>
      </w:r>
      <w:r>
        <w:t xml:space="preserve"> </w:t>
      </w:r>
      <w:r w:rsidR="0062038F">
        <w:t xml:space="preserve">Staff </w:t>
      </w:r>
      <w:r w:rsidR="003808FE">
        <w:t>Rule </w:t>
      </w:r>
      <w:r w:rsidR="009A32C1" w:rsidRPr="009A32C1">
        <w:t>2.2.1</w:t>
      </w:r>
      <w:r w:rsidR="00A67A81">
        <w:t xml:space="preserve">(d) </w:t>
      </w:r>
      <w:r w:rsidR="00844A22">
        <w:t>“Implementation </w:t>
      </w:r>
      <w:r w:rsidR="009A32C1">
        <w:t xml:space="preserve">of </w:t>
      </w:r>
      <w:r w:rsidR="00774F14">
        <w:t>a  </w:t>
      </w:r>
      <w:r w:rsidR="009A32C1" w:rsidRPr="009A32C1">
        <w:t>Reclassification Decision”</w:t>
      </w:r>
      <w:r w:rsidR="00A67A81">
        <w:t xml:space="preserve">, </w:t>
      </w:r>
      <w:r w:rsidR="008104DB">
        <w:t>as follows</w:t>
      </w:r>
      <w:r w:rsidR="00331105">
        <w:t>:</w:t>
      </w:r>
    </w:p>
    <w:p w:rsidR="00960559" w:rsidRDefault="00960559"/>
    <w:p w:rsidR="002928D3" w:rsidRPr="009A32C1" w:rsidRDefault="009A32C1" w:rsidP="00545B05">
      <w:pPr>
        <w:ind w:left="567"/>
      </w:pPr>
      <w:r>
        <w:t>“</w:t>
      </w:r>
      <w:proofErr w:type="gramStart"/>
      <w:r w:rsidRPr="009A32C1">
        <w:t>competi</w:t>
      </w:r>
      <w:r>
        <w:t>ti</w:t>
      </w:r>
      <w:r w:rsidRPr="009A32C1">
        <w:t>ve</w:t>
      </w:r>
      <w:proofErr w:type="gramEnd"/>
      <w:r w:rsidRPr="009A32C1">
        <w:t xml:space="preserve"> process</w:t>
      </w:r>
      <w:r>
        <w:t>”</w:t>
      </w:r>
      <w:r w:rsidRPr="009A32C1">
        <w:t xml:space="preserve"> </w:t>
      </w:r>
      <w:r w:rsidR="003170F9">
        <w:t xml:space="preserve">is </w:t>
      </w:r>
      <w:r w:rsidR="00774F14">
        <w:t>corrected to</w:t>
      </w:r>
      <w:r w:rsidRPr="009A32C1">
        <w:t xml:space="preserve"> </w:t>
      </w:r>
      <w:r>
        <w:t>“</w:t>
      </w:r>
      <w:r w:rsidRPr="009A32C1">
        <w:t>competitive promotion process</w:t>
      </w:r>
      <w:r>
        <w:t>”.</w:t>
      </w:r>
    </w:p>
    <w:p w:rsidR="0032048F" w:rsidRDefault="0032048F"/>
    <w:p w:rsidR="00774F14" w:rsidRDefault="00774F14" w:rsidP="00545B05">
      <w:pPr>
        <w:pStyle w:val="ListParagraph"/>
        <w:numPr>
          <w:ilvl w:val="0"/>
          <w:numId w:val="9"/>
        </w:numPr>
        <w:ind w:left="0" w:firstLine="0"/>
      </w:pPr>
      <w:r>
        <w:t>Please replace page 10, Annex III with the attached (correction highlighted in grey).</w:t>
      </w:r>
    </w:p>
    <w:p w:rsidR="001B6BB8" w:rsidRDefault="001B6BB8"/>
    <w:p w:rsidR="001B6BB8" w:rsidRDefault="001B6BB8"/>
    <w:p w:rsidR="00A67A81" w:rsidRDefault="00A67A81" w:rsidP="00A67A81">
      <w:pPr>
        <w:pStyle w:val="Endofdocument-Annex"/>
      </w:pPr>
      <w:r>
        <w:t>[Attachment follows]</w:t>
      </w:r>
    </w:p>
    <w:p w:rsidR="00A67A81" w:rsidRDefault="00A67A81"/>
    <w:p w:rsidR="00A67A81" w:rsidRDefault="00A67A81"/>
    <w:p w:rsidR="00774F14" w:rsidRDefault="00774F14"/>
    <w:p w:rsidR="00A67A81" w:rsidRDefault="00A67A81"/>
    <w:p w:rsidR="00774F14" w:rsidRDefault="00774F14">
      <w:pPr>
        <w:sectPr w:rsidR="00774F14" w:rsidSect="00DA4EE9">
          <w:headerReference w:type="default" r:id="rId10"/>
          <w:pgSz w:w="11907" w:h="16840" w:code="9"/>
          <w:pgMar w:top="567" w:right="1134" w:bottom="2552" w:left="1560" w:header="720" w:footer="720" w:gutter="0"/>
          <w:cols w:space="720"/>
          <w:titlePg/>
          <w:docGrid w:linePitch="299"/>
        </w:sectPr>
      </w:pPr>
    </w:p>
    <w:p w:rsidR="00A67A81" w:rsidRPr="00774F14" w:rsidRDefault="00A67A81" w:rsidP="00A67A81">
      <w:pPr>
        <w:tabs>
          <w:tab w:val="left" w:pos="9072"/>
        </w:tabs>
        <w:ind w:left="-851" w:right="254"/>
        <w:jc w:val="center"/>
        <w:rPr>
          <w:b/>
          <w:sz w:val="24"/>
          <w:szCs w:val="24"/>
          <w:u w:val="single"/>
        </w:rPr>
      </w:pPr>
      <w:r w:rsidRPr="00774F14">
        <w:rPr>
          <w:b/>
          <w:sz w:val="24"/>
          <w:szCs w:val="24"/>
          <w:u w:val="single"/>
        </w:rPr>
        <w:lastRenderedPageBreak/>
        <w:t>Part 3</w:t>
      </w:r>
    </w:p>
    <w:p w:rsidR="00A67A81" w:rsidRPr="00774F14" w:rsidRDefault="00A67A81" w:rsidP="00A67A81">
      <w:pPr>
        <w:tabs>
          <w:tab w:val="left" w:pos="9072"/>
        </w:tabs>
        <w:ind w:left="-851" w:right="254"/>
        <w:jc w:val="center"/>
        <w:rPr>
          <w:sz w:val="20"/>
          <w:lang w:val="fr-CH"/>
        </w:rPr>
      </w:pPr>
      <w:r w:rsidRPr="00774F14">
        <w:rPr>
          <w:sz w:val="20"/>
          <w:lang w:val="fr-CH"/>
        </w:rPr>
        <w:t>(</w:t>
      </w:r>
      <w:proofErr w:type="spellStart"/>
      <w:r w:rsidRPr="00774F14">
        <w:rPr>
          <w:sz w:val="20"/>
          <w:lang w:val="fr-CH"/>
        </w:rPr>
        <w:t>Cont</w:t>
      </w:r>
      <w:proofErr w:type="spellEnd"/>
      <w:r w:rsidRPr="00774F14">
        <w:rPr>
          <w:sz w:val="20"/>
          <w:lang w:val="fr-CH"/>
        </w:rPr>
        <w:t>.)</w:t>
      </w:r>
    </w:p>
    <w:p w:rsidR="00A67A81" w:rsidRPr="003C5CBC" w:rsidRDefault="00A67A81" w:rsidP="00A67A81">
      <w:pPr>
        <w:tabs>
          <w:tab w:val="left" w:pos="9072"/>
        </w:tabs>
        <w:ind w:right="254"/>
        <w:jc w:val="center"/>
        <w:rPr>
          <w:b/>
          <w:sz w:val="24"/>
          <w:szCs w:val="24"/>
          <w:u w:val="single"/>
          <w:lang w:val="es-ES"/>
        </w:rPr>
      </w:pPr>
    </w:p>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4253"/>
        <w:gridCol w:w="4394"/>
        <w:gridCol w:w="2977"/>
      </w:tblGrid>
      <w:tr w:rsidR="00A67A81" w:rsidTr="003C5CBC">
        <w:trPr>
          <w:trHeight w:val="453"/>
          <w:jc w:val="center"/>
        </w:trPr>
        <w:tc>
          <w:tcPr>
            <w:tcW w:w="2229" w:type="dxa"/>
            <w:shd w:val="clear" w:color="auto" w:fill="F2F2F2" w:themeFill="background1" w:themeFillShade="F2"/>
            <w:vAlign w:val="center"/>
          </w:tcPr>
          <w:p w:rsidR="00A67A81" w:rsidRPr="0039418E" w:rsidRDefault="00A67A81" w:rsidP="00A67A81">
            <w:pPr>
              <w:jc w:val="center"/>
              <w:rPr>
                <w:b/>
                <w:sz w:val="16"/>
                <w:szCs w:val="16"/>
              </w:rPr>
            </w:pPr>
            <w:r w:rsidRPr="0041610A">
              <w:rPr>
                <w:b/>
                <w:sz w:val="16"/>
                <w:szCs w:val="16"/>
              </w:rPr>
              <w:t xml:space="preserve">Staff </w:t>
            </w:r>
            <w:r>
              <w:rPr>
                <w:b/>
                <w:sz w:val="16"/>
                <w:szCs w:val="16"/>
              </w:rPr>
              <w:t>Rule</w:t>
            </w:r>
          </w:p>
        </w:tc>
        <w:tc>
          <w:tcPr>
            <w:tcW w:w="4253" w:type="dxa"/>
            <w:shd w:val="clear" w:color="auto" w:fill="F2F2F2" w:themeFill="background1" w:themeFillShade="F2"/>
            <w:vAlign w:val="center"/>
          </w:tcPr>
          <w:p w:rsidR="00A67A81" w:rsidRPr="0039418E" w:rsidRDefault="00A67A81" w:rsidP="00A67A81">
            <w:pPr>
              <w:jc w:val="center"/>
              <w:rPr>
                <w:b/>
                <w:sz w:val="16"/>
                <w:szCs w:val="16"/>
              </w:rPr>
            </w:pPr>
            <w:r>
              <w:rPr>
                <w:b/>
                <w:sz w:val="16"/>
                <w:szCs w:val="16"/>
              </w:rPr>
              <w:t>F</w:t>
            </w:r>
            <w:r w:rsidRPr="0041610A">
              <w:rPr>
                <w:b/>
                <w:sz w:val="16"/>
                <w:szCs w:val="16"/>
              </w:rPr>
              <w:t>ormer text</w:t>
            </w:r>
          </w:p>
        </w:tc>
        <w:tc>
          <w:tcPr>
            <w:tcW w:w="4394" w:type="dxa"/>
            <w:shd w:val="clear" w:color="auto" w:fill="F2F2F2" w:themeFill="background1" w:themeFillShade="F2"/>
            <w:vAlign w:val="center"/>
          </w:tcPr>
          <w:p w:rsidR="00A67A81" w:rsidRPr="0039418E" w:rsidRDefault="00A67A81" w:rsidP="00A67A81">
            <w:pPr>
              <w:jc w:val="center"/>
              <w:rPr>
                <w:b/>
                <w:sz w:val="16"/>
                <w:szCs w:val="16"/>
              </w:rPr>
            </w:pPr>
            <w:r>
              <w:rPr>
                <w:b/>
                <w:sz w:val="16"/>
                <w:szCs w:val="16"/>
              </w:rPr>
              <w:t>New text</w:t>
            </w:r>
          </w:p>
        </w:tc>
        <w:tc>
          <w:tcPr>
            <w:tcW w:w="2977" w:type="dxa"/>
            <w:shd w:val="clear" w:color="auto" w:fill="F2F2F2" w:themeFill="background1" w:themeFillShade="F2"/>
            <w:vAlign w:val="center"/>
          </w:tcPr>
          <w:p w:rsidR="00A67A81" w:rsidRPr="0039418E" w:rsidRDefault="00A67A81" w:rsidP="00A67A81">
            <w:pPr>
              <w:jc w:val="center"/>
              <w:rPr>
                <w:b/>
                <w:sz w:val="16"/>
                <w:szCs w:val="16"/>
              </w:rPr>
            </w:pPr>
            <w:r>
              <w:rPr>
                <w:b/>
                <w:sz w:val="16"/>
                <w:szCs w:val="16"/>
              </w:rPr>
              <w:t>Description of</w:t>
            </w:r>
            <w:r w:rsidRPr="0041610A">
              <w:rPr>
                <w:b/>
                <w:sz w:val="16"/>
                <w:szCs w:val="16"/>
              </w:rPr>
              <w:t xml:space="preserve"> </w:t>
            </w:r>
            <w:r>
              <w:rPr>
                <w:b/>
                <w:sz w:val="16"/>
                <w:szCs w:val="16"/>
              </w:rPr>
              <w:t>Amendment</w:t>
            </w:r>
          </w:p>
        </w:tc>
      </w:tr>
      <w:tr w:rsidR="00A67A81" w:rsidTr="003C5CBC">
        <w:trPr>
          <w:trHeight w:val="972"/>
          <w:jc w:val="center"/>
        </w:trPr>
        <w:tc>
          <w:tcPr>
            <w:tcW w:w="2229" w:type="dxa"/>
          </w:tcPr>
          <w:p w:rsidR="00A67A81" w:rsidRDefault="00A67A81" w:rsidP="00A67A81">
            <w:pPr>
              <w:autoSpaceDE w:val="0"/>
              <w:autoSpaceDN w:val="0"/>
              <w:adjustRightInd w:val="0"/>
              <w:rPr>
                <w:iCs/>
              </w:rPr>
            </w:pPr>
          </w:p>
        </w:tc>
        <w:tc>
          <w:tcPr>
            <w:tcW w:w="4253" w:type="dxa"/>
          </w:tcPr>
          <w:p w:rsidR="00A67A81" w:rsidRDefault="00A67A81" w:rsidP="00A67A81">
            <w:pPr>
              <w:autoSpaceDE w:val="0"/>
              <w:autoSpaceDN w:val="0"/>
              <w:adjustRightInd w:val="0"/>
              <w:rPr>
                <w:sz w:val="16"/>
                <w:szCs w:val="16"/>
              </w:rPr>
            </w:pPr>
          </w:p>
          <w:p w:rsidR="00A67A81" w:rsidRDefault="00A67A81" w:rsidP="00A67A81">
            <w:pPr>
              <w:autoSpaceDE w:val="0"/>
              <w:autoSpaceDN w:val="0"/>
              <w:adjustRightInd w:val="0"/>
              <w:rPr>
                <w:sz w:val="16"/>
                <w:szCs w:val="16"/>
              </w:rPr>
            </w:pPr>
            <w:proofErr w:type="gramStart"/>
            <w:r>
              <w:rPr>
                <w:sz w:val="16"/>
                <w:szCs w:val="16"/>
              </w:rPr>
              <w:t>reclassified</w:t>
            </w:r>
            <w:proofErr w:type="gramEnd"/>
            <w:r>
              <w:rPr>
                <w:sz w:val="16"/>
                <w:szCs w:val="16"/>
              </w:rPr>
              <w:t xml:space="preserve"> post.  If within the period of the competition no suitable post is identified, the contract of the incumbent of the reclassified post shall be terminated in accordance with Regulation 9.2.  </w:t>
            </w:r>
          </w:p>
          <w:p w:rsidR="00A67A81" w:rsidRDefault="00A67A81" w:rsidP="00A67A81">
            <w:pPr>
              <w:autoSpaceDE w:val="0"/>
              <w:autoSpaceDN w:val="0"/>
              <w:adjustRightInd w:val="0"/>
              <w:rPr>
                <w:sz w:val="16"/>
                <w:szCs w:val="16"/>
              </w:rPr>
            </w:pPr>
          </w:p>
          <w:p w:rsidR="00A67A81" w:rsidRDefault="00A67A81" w:rsidP="00A67A81">
            <w:pPr>
              <w:autoSpaceDE w:val="0"/>
              <w:autoSpaceDN w:val="0"/>
              <w:adjustRightInd w:val="0"/>
              <w:rPr>
                <w:iCs/>
              </w:rPr>
            </w:pPr>
            <w:r>
              <w:rPr>
                <w:sz w:val="16"/>
                <w:szCs w:val="16"/>
              </w:rPr>
              <w:t xml:space="preserve">(e) No encumbered post shall be re-classified more than once with the same incumbent without initiating a competitive promotion process. </w:t>
            </w:r>
          </w:p>
          <w:p w:rsidR="00A67A81" w:rsidRDefault="00A67A81" w:rsidP="00A67A81">
            <w:pPr>
              <w:autoSpaceDE w:val="0"/>
              <w:autoSpaceDN w:val="0"/>
              <w:adjustRightInd w:val="0"/>
              <w:rPr>
                <w:sz w:val="16"/>
                <w:szCs w:val="16"/>
              </w:rPr>
            </w:pPr>
            <w:r>
              <w:rPr>
                <w:sz w:val="16"/>
                <w:szCs w:val="16"/>
              </w:rPr>
              <w:t xml:space="preserve"> </w:t>
            </w:r>
          </w:p>
          <w:p w:rsidR="00A67A81" w:rsidRDefault="00A67A81" w:rsidP="00A67A81">
            <w:pPr>
              <w:autoSpaceDE w:val="0"/>
              <w:autoSpaceDN w:val="0"/>
              <w:adjustRightInd w:val="0"/>
              <w:rPr>
                <w:sz w:val="16"/>
                <w:szCs w:val="16"/>
              </w:rPr>
            </w:pPr>
            <w:r>
              <w:rPr>
                <w:sz w:val="16"/>
                <w:szCs w:val="16"/>
              </w:rPr>
              <w:t xml:space="preserve">(f) The Director General shall have the authority to approve the promotion of staff members resulting from post reclassifications to and within the Professional Category and above.  The Director of HRMD shall have the authority to approve the promotion of staff members within the General Services Category. </w:t>
            </w:r>
          </w:p>
          <w:p w:rsidR="00A67A81" w:rsidRDefault="00A67A81" w:rsidP="00A67A81">
            <w:pPr>
              <w:autoSpaceDE w:val="0"/>
              <w:autoSpaceDN w:val="0"/>
              <w:adjustRightInd w:val="0"/>
              <w:rPr>
                <w:sz w:val="16"/>
                <w:szCs w:val="16"/>
              </w:rPr>
            </w:pPr>
          </w:p>
          <w:p w:rsidR="00A67A81" w:rsidRDefault="00A67A81" w:rsidP="00A67A81">
            <w:pPr>
              <w:autoSpaceDE w:val="0"/>
              <w:autoSpaceDN w:val="0"/>
              <w:adjustRightInd w:val="0"/>
              <w:rPr>
                <w:iCs/>
              </w:rPr>
            </w:pPr>
            <w:r>
              <w:rPr>
                <w:sz w:val="16"/>
                <w:szCs w:val="16"/>
              </w:rPr>
              <w:t>(g) Promotion of the incumbent to the grade of the post shall be backdated to the date on which the post was reclassified, i.e., the first day of the month following the Director General’s decision.</w:t>
            </w:r>
          </w:p>
        </w:tc>
        <w:tc>
          <w:tcPr>
            <w:tcW w:w="4394" w:type="dxa"/>
          </w:tcPr>
          <w:p w:rsidR="00A67A81" w:rsidRDefault="00A67A81" w:rsidP="00A67A81">
            <w:pPr>
              <w:autoSpaceDE w:val="0"/>
              <w:autoSpaceDN w:val="0"/>
              <w:adjustRightInd w:val="0"/>
              <w:rPr>
                <w:sz w:val="16"/>
                <w:szCs w:val="16"/>
              </w:rPr>
            </w:pPr>
          </w:p>
          <w:p w:rsidR="00A67A81" w:rsidRDefault="00A67A81" w:rsidP="00A67A81">
            <w:pPr>
              <w:autoSpaceDE w:val="0"/>
              <w:autoSpaceDN w:val="0"/>
              <w:adjustRightInd w:val="0"/>
              <w:rPr>
                <w:sz w:val="16"/>
                <w:szCs w:val="16"/>
              </w:rPr>
            </w:pPr>
            <w:proofErr w:type="gramStart"/>
            <w:r w:rsidRPr="009B3E1D">
              <w:rPr>
                <w:sz w:val="16"/>
                <w:szCs w:val="16"/>
              </w:rPr>
              <w:t>the</w:t>
            </w:r>
            <w:proofErr w:type="gramEnd"/>
            <w:r w:rsidRPr="009B3E1D">
              <w:rPr>
                <w:sz w:val="16"/>
                <w:szCs w:val="16"/>
              </w:rPr>
              <w:t xml:space="preserve"> contract of the incumbent of the reclassified post shall be terminated in accordance with Regulation 9.2 “Termination” and Regulation 9.7 “Notice of Termination.”</w:t>
            </w:r>
            <w:r>
              <w:rPr>
                <w:sz w:val="16"/>
                <w:szCs w:val="16"/>
              </w:rPr>
              <w:t xml:space="preserve"> </w:t>
            </w:r>
          </w:p>
          <w:p w:rsidR="00A67A81" w:rsidRDefault="00A67A81" w:rsidP="00A67A81">
            <w:pPr>
              <w:autoSpaceDE w:val="0"/>
              <w:autoSpaceDN w:val="0"/>
              <w:adjustRightInd w:val="0"/>
              <w:rPr>
                <w:sz w:val="16"/>
                <w:szCs w:val="16"/>
              </w:rPr>
            </w:pPr>
          </w:p>
          <w:p w:rsidR="00A67A81" w:rsidRDefault="00A67A81" w:rsidP="00A67A81">
            <w:pPr>
              <w:autoSpaceDE w:val="0"/>
              <w:autoSpaceDN w:val="0"/>
              <w:adjustRightInd w:val="0"/>
              <w:rPr>
                <w:sz w:val="16"/>
                <w:szCs w:val="16"/>
              </w:rPr>
            </w:pPr>
          </w:p>
          <w:p w:rsidR="00A67A81" w:rsidRDefault="00A67A81" w:rsidP="00774F1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sz w:val="16"/>
                <w:szCs w:val="16"/>
              </w:rPr>
            </w:pPr>
            <w:r>
              <w:rPr>
                <w:sz w:val="16"/>
                <w:szCs w:val="16"/>
              </w:rPr>
              <w:t xml:space="preserve">(d) No encumbered post shall be reclassified more than once with the same incumbent without initiating a competitive promotion process. </w:t>
            </w:r>
          </w:p>
          <w:p w:rsidR="00A67A81" w:rsidRDefault="00A67A81" w:rsidP="00A67A81">
            <w:pPr>
              <w:autoSpaceDE w:val="0"/>
              <w:autoSpaceDN w:val="0"/>
              <w:adjustRightInd w:val="0"/>
              <w:rPr>
                <w:sz w:val="16"/>
                <w:szCs w:val="16"/>
              </w:rPr>
            </w:pPr>
          </w:p>
          <w:p w:rsidR="00A67A81" w:rsidRDefault="00A67A81" w:rsidP="00A67A81">
            <w:pPr>
              <w:autoSpaceDE w:val="0"/>
              <w:autoSpaceDN w:val="0"/>
              <w:adjustRightInd w:val="0"/>
              <w:rPr>
                <w:sz w:val="16"/>
                <w:szCs w:val="16"/>
              </w:rPr>
            </w:pPr>
            <w:r>
              <w:rPr>
                <w:sz w:val="16"/>
                <w:szCs w:val="16"/>
              </w:rPr>
              <w:t xml:space="preserve">(e) The Director General shall have the authority to approve the promotion of staff members resulting from post reclassifications within the Professional category and within the Director category.  The Director of HRMD shall have the authority to approve the promotion of staff members within the General Service category. </w:t>
            </w:r>
          </w:p>
          <w:p w:rsidR="00A67A81" w:rsidRDefault="00A67A81" w:rsidP="00A67A81">
            <w:pPr>
              <w:autoSpaceDE w:val="0"/>
              <w:autoSpaceDN w:val="0"/>
              <w:adjustRightInd w:val="0"/>
              <w:rPr>
                <w:sz w:val="16"/>
                <w:szCs w:val="16"/>
              </w:rPr>
            </w:pPr>
          </w:p>
          <w:p w:rsidR="00A67A81" w:rsidRDefault="00A67A81" w:rsidP="00A67A81">
            <w:pPr>
              <w:autoSpaceDE w:val="0"/>
              <w:autoSpaceDN w:val="0"/>
              <w:adjustRightInd w:val="0"/>
              <w:rPr>
                <w:iCs/>
              </w:rPr>
            </w:pPr>
            <w:r>
              <w:rPr>
                <w:sz w:val="16"/>
                <w:szCs w:val="16"/>
              </w:rPr>
              <w:t>(f) Promotion of the incumbent to the grade of the post shall be backdated to the date on which the post was reclassified, i.e., the first day of the month following the Director General’s decision.</w:t>
            </w:r>
          </w:p>
        </w:tc>
        <w:tc>
          <w:tcPr>
            <w:tcW w:w="2977" w:type="dxa"/>
          </w:tcPr>
          <w:p w:rsidR="00A67A81" w:rsidRPr="00175DAE" w:rsidRDefault="00A67A81" w:rsidP="00A67A81">
            <w:pPr>
              <w:rPr>
                <w:sz w:val="16"/>
                <w:szCs w:val="16"/>
              </w:rPr>
            </w:pPr>
          </w:p>
          <w:p w:rsidR="00A67A81" w:rsidRPr="00175DAE" w:rsidRDefault="00A67A81" w:rsidP="00A67A81">
            <w:pPr>
              <w:rPr>
                <w:sz w:val="16"/>
                <w:szCs w:val="16"/>
              </w:rPr>
            </w:pPr>
          </w:p>
          <w:p w:rsidR="00A67A81" w:rsidRPr="00175DAE" w:rsidRDefault="00A67A81" w:rsidP="00A67A81">
            <w:pPr>
              <w:rPr>
                <w:sz w:val="16"/>
                <w:szCs w:val="16"/>
              </w:rPr>
            </w:pPr>
          </w:p>
          <w:p w:rsidR="00A67A81" w:rsidRPr="00175DAE" w:rsidRDefault="00A67A81" w:rsidP="00A67A81">
            <w:pPr>
              <w:rPr>
                <w:sz w:val="16"/>
                <w:szCs w:val="16"/>
              </w:rPr>
            </w:pPr>
          </w:p>
          <w:p w:rsidR="00A67A81" w:rsidRPr="00175DAE" w:rsidRDefault="00A67A81" w:rsidP="00A67A81">
            <w:pPr>
              <w:rPr>
                <w:sz w:val="16"/>
                <w:szCs w:val="16"/>
              </w:rPr>
            </w:pPr>
          </w:p>
          <w:p w:rsidR="00A67A81" w:rsidRPr="00175DAE" w:rsidRDefault="00A67A81" w:rsidP="00A67A81">
            <w:pPr>
              <w:rPr>
                <w:sz w:val="16"/>
                <w:szCs w:val="16"/>
              </w:rPr>
            </w:pPr>
          </w:p>
          <w:p w:rsidR="00A67A81" w:rsidRDefault="00A67A81" w:rsidP="00A67A81">
            <w:pPr>
              <w:pStyle w:val="Default"/>
              <w:rPr>
                <w:sz w:val="16"/>
                <w:szCs w:val="16"/>
              </w:rPr>
            </w:pPr>
            <w:r w:rsidRPr="00175DAE">
              <w:rPr>
                <w:sz w:val="16"/>
                <w:szCs w:val="16"/>
              </w:rPr>
              <w:t>Paragraph renumbered.</w:t>
            </w:r>
          </w:p>
          <w:p w:rsidR="00A67A81" w:rsidRDefault="00A67A81" w:rsidP="00A67A81">
            <w:pPr>
              <w:pStyle w:val="Default"/>
              <w:rPr>
                <w:sz w:val="16"/>
                <w:szCs w:val="16"/>
              </w:rPr>
            </w:pPr>
          </w:p>
          <w:p w:rsidR="00A67A81" w:rsidRDefault="00A67A81" w:rsidP="00A67A81">
            <w:pPr>
              <w:pStyle w:val="Default"/>
              <w:rPr>
                <w:sz w:val="16"/>
                <w:szCs w:val="16"/>
              </w:rPr>
            </w:pPr>
          </w:p>
          <w:p w:rsidR="00A67A81" w:rsidRDefault="00A67A81" w:rsidP="00A67A81">
            <w:pPr>
              <w:pStyle w:val="Default"/>
              <w:rPr>
                <w:sz w:val="16"/>
                <w:szCs w:val="16"/>
              </w:rPr>
            </w:pPr>
          </w:p>
          <w:p w:rsidR="00A67A81" w:rsidRDefault="00A67A81" w:rsidP="00A67A81">
            <w:pPr>
              <w:pStyle w:val="Default"/>
              <w:rPr>
                <w:sz w:val="16"/>
                <w:szCs w:val="16"/>
              </w:rPr>
            </w:pPr>
            <w:r>
              <w:rPr>
                <w:sz w:val="16"/>
                <w:szCs w:val="16"/>
              </w:rPr>
              <w:t>“</w:t>
            </w:r>
            <w:proofErr w:type="gramStart"/>
            <w:r>
              <w:rPr>
                <w:sz w:val="16"/>
                <w:szCs w:val="16"/>
              </w:rPr>
              <w:t>to</w:t>
            </w:r>
            <w:proofErr w:type="gramEnd"/>
            <w:r>
              <w:rPr>
                <w:sz w:val="16"/>
                <w:szCs w:val="16"/>
              </w:rPr>
              <w:t xml:space="preserve">” the Professional category is deleted, and “above” is replaced by “within the </w:t>
            </w:r>
            <w:r w:rsidRPr="00BF01F1">
              <w:rPr>
                <w:sz w:val="16"/>
                <w:szCs w:val="16"/>
              </w:rPr>
              <w:t>Director</w:t>
            </w:r>
            <w:r>
              <w:rPr>
                <w:sz w:val="16"/>
                <w:szCs w:val="16"/>
              </w:rPr>
              <w:t xml:space="preserve"> category”, as any reclassification of a post to a different category will require a competition. </w:t>
            </w:r>
          </w:p>
          <w:p w:rsidR="00A67A81" w:rsidRDefault="00A67A81" w:rsidP="00A67A81">
            <w:pPr>
              <w:pStyle w:val="Default"/>
              <w:rPr>
                <w:sz w:val="16"/>
                <w:szCs w:val="16"/>
              </w:rPr>
            </w:pPr>
          </w:p>
          <w:p w:rsidR="00A67A81" w:rsidRDefault="00A67A81" w:rsidP="00A67A81">
            <w:pPr>
              <w:pStyle w:val="Default"/>
              <w:rPr>
                <w:rFonts w:eastAsia="SimSun"/>
                <w:iCs/>
                <w:lang w:eastAsia="zh-CN"/>
              </w:rPr>
            </w:pPr>
            <w:r>
              <w:rPr>
                <w:sz w:val="16"/>
                <w:szCs w:val="16"/>
              </w:rPr>
              <w:t>Paragraph renumbered.</w:t>
            </w:r>
          </w:p>
        </w:tc>
      </w:tr>
      <w:tr w:rsidR="00A67A81" w:rsidTr="003C5CBC">
        <w:trPr>
          <w:trHeight w:val="972"/>
          <w:jc w:val="center"/>
        </w:trPr>
        <w:tc>
          <w:tcPr>
            <w:tcW w:w="2229" w:type="dxa"/>
          </w:tcPr>
          <w:p w:rsidR="00A67A81" w:rsidRDefault="00A67A81" w:rsidP="00A67A81">
            <w:pPr>
              <w:pStyle w:val="Default"/>
              <w:ind w:right="74"/>
              <w:rPr>
                <w:sz w:val="16"/>
                <w:szCs w:val="16"/>
              </w:rPr>
            </w:pPr>
          </w:p>
          <w:p w:rsidR="00A67A81" w:rsidRPr="00B24EEF" w:rsidRDefault="00A67A81" w:rsidP="00A67A81">
            <w:pPr>
              <w:pStyle w:val="ListParagraph"/>
              <w:numPr>
                <w:ilvl w:val="0"/>
                <w:numId w:val="8"/>
              </w:numPr>
              <w:ind w:left="318" w:hanging="284"/>
              <w:rPr>
                <w:bCs/>
                <w:sz w:val="16"/>
                <w:szCs w:val="16"/>
              </w:rPr>
            </w:pPr>
            <w:r w:rsidRPr="00B24EEF">
              <w:rPr>
                <w:bCs/>
                <w:sz w:val="16"/>
                <w:szCs w:val="16"/>
              </w:rPr>
              <w:t>Rule 3.6.2</w:t>
            </w:r>
          </w:p>
          <w:p w:rsidR="00A67A81" w:rsidRDefault="00A67A81" w:rsidP="00A67A81">
            <w:pPr>
              <w:pStyle w:val="Default"/>
              <w:ind w:left="459" w:right="72"/>
              <w:rPr>
                <w:sz w:val="16"/>
                <w:szCs w:val="16"/>
              </w:rPr>
            </w:pPr>
          </w:p>
          <w:p w:rsidR="00A67A81" w:rsidRDefault="00A67A81" w:rsidP="00A67A81">
            <w:pPr>
              <w:pStyle w:val="Default"/>
              <w:ind w:right="72"/>
              <w:rPr>
                <w:sz w:val="16"/>
                <w:szCs w:val="16"/>
              </w:rPr>
            </w:pPr>
            <w:r>
              <w:rPr>
                <w:sz w:val="16"/>
                <w:szCs w:val="16"/>
              </w:rPr>
              <w:t>“Advancement Within Grade for Temporary Staff Members”</w:t>
            </w:r>
          </w:p>
          <w:p w:rsidR="00A67A81" w:rsidRPr="00175DAE" w:rsidRDefault="00A67A81" w:rsidP="00A67A81">
            <w:pPr>
              <w:autoSpaceDE w:val="0"/>
              <w:autoSpaceDN w:val="0"/>
              <w:adjustRightInd w:val="0"/>
              <w:ind w:left="459"/>
              <w:rPr>
                <w:color w:val="000000"/>
                <w:sz w:val="16"/>
                <w:szCs w:val="16"/>
              </w:rPr>
            </w:pPr>
          </w:p>
        </w:tc>
        <w:tc>
          <w:tcPr>
            <w:tcW w:w="4253" w:type="dxa"/>
          </w:tcPr>
          <w:p w:rsidR="00A67A81" w:rsidRDefault="00A67A81" w:rsidP="00A67A81">
            <w:pPr>
              <w:pStyle w:val="Default"/>
              <w:ind w:right="72"/>
              <w:rPr>
                <w:sz w:val="16"/>
                <w:szCs w:val="16"/>
              </w:rPr>
            </w:pPr>
          </w:p>
          <w:p w:rsidR="00A67A81" w:rsidRDefault="00A67A81" w:rsidP="00A67A81">
            <w:pPr>
              <w:pStyle w:val="Default"/>
              <w:ind w:right="72"/>
              <w:rPr>
                <w:rFonts w:eastAsia="SimSun"/>
                <w:iCs/>
                <w:lang w:eastAsia="zh-CN"/>
              </w:rPr>
            </w:pPr>
            <w:r w:rsidRPr="002F3BAA">
              <w:rPr>
                <w:sz w:val="16"/>
                <w:szCs w:val="16"/>
              </w:rPr>
              <w:t>Temporary staff members shall be eligible for the award of one step in their grade from the second year of service</w:t>
            </w:r>
            <w:r>
              <w:rPr>
                <w:sz w:val="16"/>
                <w:szCs w:val="16"/>
              </w:rPr>
              <w:t>.</w:t>
            </w:r>
          </w:p>
        </w:tc>
        <w:tc>
          <w:tcPr>
            <w:tcW w:w="4394" w:type="dxa"/>
          </w:tcPr>
          <w:p w:rsidR="00A67A81" w:rsidRDefault="00A67A81" w:rsidP="00A67A81">
            <w:pPr>
              <w:pStyle w:val="Default"/>
              <w:rPr>
                <w:sz w:val="16"/>
                <w:szCs w:val="16"/>
              </w:rPr>
            </w:pPr>
          </w:p>
          <w:p w:rsidR="00A67A81" w:rsidRDefault="00A67A81" w:rsidP="00A67A81">
            <w:pPr>
              <w:pStyle w:val="Default"/>
              <w:spacing w:after="200"/>
              <w:rPr>
                <w:rFonts w:eastAsia="SimSun"/>
                <w:iCs/>
                <w:lang w:eastAsia="zh-CN"/>
              </w:rPr>
            </w:pPr>
            <w:r w:rsidRPr="002F3BAA">
              <w:rPr>
                <w:sz w:val="16"/>
                <w:szCs w:val="16"/>
              </w:rPr>
              <w:t xml:space="preserve">Temporary staff members shall be eligible for the award of one step in their grade from the second year of service.  </w:t>
            </w:r>
            <w:r w:rsidRPr="00175DAE">
              <w:rPr>
                <w:sz w:val="16"/>
                <w:szCs w:val="16"/>
              </w:rPr>
              <w:t>Temporary staff members in the Professional category who are subject to Regulation 12.5(a</w:t>
            </w:r>
            <w:proofErr w:type="gramStart"/>
            <w:r w:rsidRPr="00175DAE">
              <w:rPr>
                <w:sz w:val="16"/>
                <w:szCs w:val="16"/>
              </w:rPr>
              <w:t>)(</w:t>
            </w:r>
            <w:proofErr w:type="gramEnd"/>
            <w:r w:rsidRPr="00175DAE">
              <w:rPr>
                <w:sz w:val="16"/>
                <w:szCs w:val="16"/>
              </w:rPr>
              <w:t xml:space="preserve">1) and 12.5(b)(1) shall be eligible for this award on a one-time basis, in their second year under these </w:t>
            </w:r>
            <w:r>
              <w:rPr>
                <w:sz w:val="16"/>
                <w:szCs w:val="16"/>
              </w:rPr>
              <w:t>R</w:t>
            </w:r>
            <w:r w:rsidRPr="00175DAE">
              <w:rPr>
                <w:sz w:val="16"/>
                <w:szCs w:val="16"/>
              </w:rPr>
              <w:t>egulations and Rules.</w:t>
            </w:r>
          </w:p>
        </w:tc>
        <w:tc>
          <w:tcPr>
            <w:tcW w:w="2977" w:type="dxa"/>
          </w:tcPr>
          <w:p w:rsidR="00A67A81" w:rsidRPr="002F3BAA" w:rsidRDefault="00A67A81" w:rsidP="00A67A81">
            <w:pPr>
              <w:rPr>
                <w:sz w:val="16"/>
                <w:szCs w:val="16"/>
              </w:rPr>
            </w:pPr>
          </w:p>
          <w:p w:rsidR="00A67A81" w:rsidRPr="0039418E" w:rsidRDefault="00A67A81" w:rsidP="00A67A81">
            <w:pPr>
              <w:autoSpaceDE w:val="0"/>
              <w:autoSpaceDN w:val="0"/>
              <w:adjustRightInd w:val="0"/>
              <w:rPr>
                <w:sz w:val="16"/>
                <w:szCs w:val="16"/>
              </w:rPr>
            </w:pPr>
            <w:r w:rsidRPr="002F3BAA">
              <w:rPr>
                <w:sz w:val="16"/>
                <w:szCs w:val="16"/>
              </w:rPr>
              <w:t xml:space="preserve">To enable temporary staff in the Professional category who converted into temporary staff status prior to </w:t>
            </w:r>
            <w:r>
              <w:rPr>
                <w:sz w:val="16"/>
                <w:szCs w:val="16"/>
              </w:rPr>
              <w:br/>
            </w:r>
            <w:r w:rsidRPr="002F3BAA">
              <w:rPr>
                <w:sz w:val="16"/>
                <w:szCs w:val="16"/>
              </w:rPr>
              <w:t>January 1, 2013, to enjoy, under the new contractual regime of the revised Staff Regulations and Rules, a one-step increment during their second year of service.</w:t>
            </w:r>
          </w:p>
        </w:tc>
      </w:tr>
    </w:tbl>
    <w:p w:rsidR="00A67A81" w:rsidRDefault="00A67A81" w:rsidP="00A67A81">
      <w:pPr>
        <w:tabs>
          <w:tab w:val="left" w:pos="9072"/>
        </w:tabs>
        <w:ind w:right="254"/>
        <w:jc w:val="center"/>
        <w:rPr>
          <w:b/>
          <w:sz w:val="24"/>
          <w:szCs w:val="24"/>
          <w:u w:val="single"/>
        </w:rPr>
      </w:pPr>
    </w:p>
    <w:p w:rsidR="00A67A81" w:rsidRDefault="00A67A81" w:rsidP="00774F14">
      <w:pPr>
        <w:jc w:val="right"/>
      </w:pPr>
    </w:p>
    <w:p w:rsidR="00A67A81" w:rsidRPr="009A32C1" w:rsidRDefault="00A67A81"/>
    <w:p w:rsidR="0032048F" w:rsidRPr="009A32C1" w:rsidRDefault="007D4857" w:rsidP="007D4857">
      <w:pPr>
        <w:tabs>
          <w:tab w:val="left" w:pos="7650"/>
        </w:tabs>
      </w:pPr>
      <w:r w:rsidRPr="009A32C1">
        <w:rPr>
          <w:b/>
          <w:szCs w:val="22"/>
        </w:rPr>
        <w:tab/>
      </w:r>
    </w:p>
    <w:p w:rsidR="0032048F" w:rsidRPr="0032048F" w:rsidRDefault="0032048F" w:rsidP="00774F14">
      <w:pPr>
        <w:pStyle w:val="Endofdocument-Annex"/>
        <w:jc w:val="center"/>
      </w:pPr>
      <w:r w:rsidRPr="0032048F">
        <w:t>[End of document]</w:t>
      </w:r>
    </w:p>
    <w:sectPr w:rsidR="0032048F" w:rsidRPr="0032048F" w:rsidSect="005122BE">
      <w:headerReference w:type="default" r:id="rId11"/>
      <w:endnotePr>
        <w:numFmt w:val="decimal"/>
      </w:endnotePr>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19" w:rsidRDefault="00813B19">
      <w:r>
        <w:separator/>
      </w:r>
    </w:p>
  </w:endnote>
  <w:endnote w:type="continuationSeparator" w:id="0">
    <w:p w:rsidR="00813B19" w:rsidRDefault="00813B19" w:rsidP="003B38C1">
      <w:r>
        <w:separator/>
      </w:r>
    </w:p>
    <w:p w:rsidR="00813B19" w:rsidRPr="003B38C1" w:rsidRDefault="00813B19" w:rsidP="003B38C1">
      <w:pPr>
        <w:spacing w:after="60"/>
        <w:rPr>
          <w:sz w:val="17"/>
        </w:rPr>
      </w:pPr>
      <w:r>
        <w:rPr>
          <w:sz w:val="17"/>
        </w:rPr>
        <w:t>[Endnote continued from previous page]</w:t>
      </w:r>
    </w:p>
  </w:endnote>
  <w:endnote w:type="continuationNotice" w:id="1">
    <w:p w:rsidR="00813B19" w:rsidRPr="003B38C1" w:rsidRDefault="00813B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19" w:rsidRDefault="00813B19">
      <w:r>
        <w:separator/>
      </w:r>
    </w:p>
  </w:footnote>
  <w:footnote w:type="continuationSeparator" w:id="0">
    <w:p w:rsidR="00813B19" w:rsidRDefault="00813B19" w:rsidP="008B60B2">
      <w:r>
        <w:separator/>
      </w:r>
    </w:p>
    <w:p w:rsidR="00813B19" w:rsidRPr="00ED77FB" w:rsidRDefault="00813B19" w:rsidP="008B60B2">
      <w:pPr>
        <w:spacing w:after="60"/>
        <w:rPr>
          <w:sz w:val="17"/>
          <w:szCs w:val="17"/>
        </w:rPr>
      </w:pPr>
      <w:r w:rsidRPr="00ED77FB">
        <w:rPr>
          <w:sz w:val="17"/>
          <w:szCs w:val="17"/>
        </w:rPr>
        <w:t>[Footnote continued from previous page]</w:t>
      </w:r>
    </w:p>
  </w:footnote>
  <w:footnote w:type="continuationNotice" w:id="1">
    <w:p w:rsidR="00813B19" w:rsidRPr="00ED77FB" w:rsidRDefault="00813B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19" w:rsidRPr="008F52B3" w:rsidRDefault="00813B19" w:rsidP="00A67A81">
    <w:pPr>
      <w:pStyle w:val="Header"/>
      <w:jc w:val="right"/>
      <w:rPr>
        <w:lang w:val="fr-CH"/>
      </w:rPr>
    </w:pPr>
    <w:r w:rsidRPr="008F52B3">
      <w:rPr>
        <w:lang w:val="fr-CH"/>
      </w:rPr>
      <w:t>WO/CC/67/3</w:t>
    </w:r>
  </w:p>
  <w:p w:rsidR="00813B19" w:rsidRPr="004B7CEF" w:rsidRDefault="00813B19" w:rsidP="00A67A81">
    <w:pPr>
      <w:ind w:right="254"/>
      <w:jc w:val="right"/>
      <w:rPr>
        <w:i/>
        <w:sz w:val="24"/>
        <w:szCs w:val="2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2BE" w:rsidRDefault="005122BE" w:rsidP="005122BE">
    <w:pPr>
      <w:pStyle w:val="Header"/>
      <w:jc w:val="right"/>
    </w:pPr>
    <w:bookmarkStart w:id="6" w:name="Code2"/>
    <w:bookmarkEnd w:id="6"/>
    <w:r w:rsidRPr="00774F14">
      <w:t>WO/CC/67/3</w:t>
    </w:r>
    <w:r>
      <w:t xml:space="preserve"> C</w:t>
    </w:r>
    <w:r w:rsidRPr="00774F14">
      <w:t>orr.</w:t>
    </w:r>
  </w:p>
  <w:p w:rsidR="005122BE" w:rsidRPr="008C1B0F" w:rsidRDefault="005122BE" w:rsidP="005122BE">
    <w:pPr>
      <w:pStyle w:val="Header"/>
      <w:jc w:val="right"/>
      <w:rPr>
        <w:lang w:val="fr-CH"/>
      </w:rPr>
    </w:pPr>
    <w:r w:rsidRPr="008C1B0F">
      <w:rPr>
        <w:lang w:val="fr-CH"/>
      </w:rPr>
      <w:t>Page 2</w:t>
    </w:r>
  </w:p>
  <w:p w:rsidR="005122BE" w:rsidRPr="008C1B0F" w:rsidRDefault="005122BE" w:rsidP="005122BE">
    <w:pPr>
      <w:pStyle w:val="Header"/>
      <w:jc w:val="right"/>
      <w:rPr>
        <w:lang w:val="fr-CH"/>
      </w:rPr>
    </w:pPr>
    <w:r w:rsidRPr="008C1B0F">
      <w:rPr>
        <w:lang w:val="fr-CH"/>
      </w:rPr>
      <w:t>[</w:t>
    </w:r>
    <w:proofErr w:type="spellStart"/>
    <w:r w:rsidRPr="008C1B0F">
      <w:rPr>
        <w:lang w:val="fr-CH"/>
      </w:rPr>
      <w:t>Annex</w:t>
    </w:r>
    <w:proofErr w:type="spellEnd"/>
    <w:r w:rsidRPr="008C1B0F">
      <w:rPr>
        <w:lang w:val="fr-CH"/>
      </w:rPr>
      <w:t xml:space="preserve"> III, page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FC2B22"/>
    <w:multiLevelType w:val="hybridMultilevel"/>
    <w:tmpl w:val="0358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325C6C"/>
    <w:multiLevelType w:val="hybridMultilevel"/>
    <w:tmpl w:val="AF5A91CC"/>
    <w:lvl w:ilvl="0" w:tplc="E594E9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0D173E"/>
    <w:multiLevelType w:val="hybridMultilevel"/>
    <w:tmpl w:val="062AFCA6"/>
    <w:lvl w:ilvl="0" w:tplc="95742940">
      <w:start w:val="2"/>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8F"/>
    <w:rsid w:val="00012045"/>
    <w:rsid w:val="00023FFA"/>
    <w:rsid w:val="000360FA"/>
    <w:rsid w:val="00043CAA"/>
    <w:rsid w:val="00074B44"/>
    <w:rsid w:val="00075432"/>
    <w:rsid w:val="000968ED"/>
    <w:rsid w:val="000F5E56"/>
    <w:rsid w:val="001362EE"/>
    <w:rsid w:val="00153DFC"/>
    <w:rsid w:val="00163BD9"/>
    <w:rsid w:val="001832A6"/>
    <w:rsid w:val="001B6BB8"/>
    <w:rsid w:val="001F0349"/>
    <w:rsid w:val="002634C4"/>
    <w:rsid w:val="002928D3"/>
    <w:rsid w:val="00294393"/>
    <w:rsid w:val="002D1C1B"/>
    <w:rsid w:val="002E1D1B"/>
    <w:rsid w:val="002F1FE6"/>
    <w:rsid w:val="002F4E68"/>
    <w:rsid w:val="00312F7F"/>
    <w:rsid w:val="003170F9"/>
    <w:rsid w:val="0032048F"/>
    <w:rsid w:val="00331105"/>
    <w:rsid w:val="00361450"/>
    <w:rsid w:val="003656FB"/>
    <w:rsid w:val="003673CF"/>
    <w:rsid w:val="003808FE"/>
    <w:rsid w:val="003845C1"/>
    <w:rsid w:val="003A6F89"/>
    <w:rsid w:val="003B38C1"/>
    <w:rsid w:val="003C5CBC"/>
    <w:rsid w:val="003C64D6"/>
    <w:rsid w:val="00423E3E"/>
    <w:rsid w:val="00427AF4"/>
    <w:rsid w:val="00440C71"/>
    <w:rsid w:val="004647DA"/>
    <w:rsid w:val="00474062"/>
    <w:rsid w:val="00477D6B"/>
    <w:rsid w:val="004C1790"/>
    <w:rsid w:val="004F2AB0"/>
    <w:rsid w:val="005019FF"/>
    <w:rsid w:val="005122BE"/>
    <w:rsid w:val="0053057A"/>
    <w:rsid w:val="00545B05"/>
    <w:rsid w:val="00560A29"/>
    <w:rsid w:val="00580F82"/>
    <w:rsid w:val="005C6649"/>
    <w:rsid w:val="00605827"/>
    <w:rsid w:val="0062038F"/>
    <w:rsid w:val="006257F0"/>
    <w:rsid w:val="00646050"/>
    <w:rsid w:val="006713CA"/>
    <w:rsid w:val="00676C5C"/>
    <w:rsid w:val="006F783C"/>
    <w:rsid w:val="00774F14"/>
    <w:rsid w:val="00787EAA"/>
    <w:rsid w:val="007B4523"/>
    <w:rsid w:val="007D1613"/>
    <w:rsid w:val="007D4857"/>
    <w:rsid w:val="008104DB"/>
    <w:rsid w:val="00813B19"/>
    <w:rsid w:val="00844A22"/>
    <w:rsid w:val="008B2CC1"/>
    <w:rsid w:val="008B60B2"/>
    <w:rsid w:val="0090731E"/>
    <w:rsid w:val="00916EE2"/>
    <w:rsid w:val="00960559"/>
    <w:rsid w:val="00966A22"/>
    <w:rsid w:val="0096722F"/>
    <w:rsid w:val="00980843"/>
    <w:rsid w:val="009A32C1"/>
    <w:rsid w:val="009E2791"/>
    <w:rsid w:val="009E3F6F"/>
    <w:rsid w:val="009F499F"/>
    <w:rsid w:val="00A40F6C"/>
    <w:rsid w:val="00A42DAF"/>
    <w:rsid w:val="00A45BD8"/>
    <w:rsid w:val="00A67A81"/>
    <w:rsid w:val="00A869B7"/>
    <w:rsid w:val="00AC205C"/>
    <w:rsid w:val="00AF0A6B"/>
    <w:rsid w:val="00B05A69"/>
    <w:rsid w:val="00B9734B"/>
    <w:rsid w:val="00BC485A"/>
    <w:rsid w:val="00C0334C"/>
    <w:rsid w:val="00C11BFE"/>
    <w:rsid w:val="00C505BC"/>
    <w:rsid w:val="00C7449E"/>
    <w:rsid w:val="00CA26E0"/>
    <w:rsid w:val="00CC1647"/>
    <w:rsid w:val="00D010F0"/>
    <w:rsid w:val="00D0673F"/>
    <w:rsid w:val="00D34C3D"/>
    <w:rsid w:val="00D45252"/>
    <w:rsid w:val="00D71B4D"/>
    <w:rsid w:val="00D93D55"/>
    <w:rsid w:val="00DA4EE9"/>
    <w:rsid w:val="00DD5172"/>
    <w:rsid w:val="00E335FE"/>
    <w:rsid w:val="00E87F0B"/>
    <w:rsid w:val="00EC2B93"/>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74B4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74B44"/>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A67A81"/>
    <w:rPr>
      <w:rFonts w:ascii="Arial" w:eastAsia="SimSun" w:hAnsi="Arial" w:cs="Arial"/>
      <w:sz w:val="22"/>
      <w:lang w:eastAsia="zh-CN"/>
    </w:rPr>
  </w:style>
  <w:style w:type="paragraph" w:customStyle="1" w:styleId="Default">
    <w:name w:val="Default"/>
    <w:rsid w:val="00A67A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67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74B4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74B44"/>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A67A81"/>
    <w:rPr>
      <w:rFonts w:ascii="Arial" w:eastAsia="SimSun" w:hAnsi="Arial" w:cs="Arial"/>
      <w:sz w:val="22"/>
      <w:lang w:eastAsia="zh-CN"/>
    </w:rPr>
  </w:style>
  <w:style w:type="paragraph" w:customStyle="1" w:styleId="Default">
    <w:name w:val="Default"/>
    <w:rsid w:val="00A67A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67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752">
      <w:bodyDiv w:val="1"/>
      <w:marLeft w:val="0"/>
      <w:marRight w:val="0"/>
      <w:marTop w:val="0"/>
      <w:marBottom w:val="0"/>
      <w:divBdr>
        <w:top w:val="none" w:sz="0" w:space="0" w:color="auto"/>
        <w:left w:val="none" w:sz="0" w:space="0" w:color="auto"/>
        <w:bottom w:val="none" w:sz="0" w:space="0" w:color="auto"/>
        <w:right w:val="none" w:sz="0" w:space="0" w:color="auto"/>
      </w:divBdr>
    </w:div>
    <w:div w:id="16832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6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9E977-8F14-42BF-83F4-1A274169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67 (E).dot</Template>
  <TotalTime>1</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WO/CC/67/</vt:lpstr>
    </vt:vector>
  </TitlesOfParts>
  <Company>WIPO</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dc:title>
  <dc:creator>SÉCHAUD Laurence</dc:creator>
  <cp:lastModifiedBy>NUNEZ Silvia</cp:lastModifiedBy>
  <cp:revision>2</cp:revision>
  <cp:lastPrinted>2013-09-23T10:25:00Z</cp:lastPrinted>
  <dcterms:created xsi:type="dcterms:W3CDTF">2013-09-24T07:06:00Z</dcterms:created>
  <dcterms:modified xsi:type="dcterms:W3CDTF">2013-09-24T07:06:00Z</dcterms:modified>
</cp:coreProperties>
</file>