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3925C7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3925C7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925C7">
              <w:rPr>
                <w:noProof/>
              </w:rPr>
              <w:drawing>
                <wp:inline distT="0" distB="0" distL="0" distR="0" wp14:anchorId="5CECE6C8" wp14:editId="075E604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3925C7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3925C7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3925C7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3925C7" w:rsidRDefault="00772E46" w:rsidP="00274410">
            <w:pPr>
              <w:pStyle w:val="DocumentCodeAR"/>
              <w:bidi/>
              <w:rPr>
                <w:rtl/>
              </w:rPr>
            </w:pPr>
            <w:r w:rsidRPr="003925C7">
              <w:t>WO/</w:t>
            </w:r>
            <w:r w:rsidR="00983389" w:rsidRPr="003925C7">
              <w:t>PBC</w:t>
            </w:r>
            <w:r w:rsidR="00100F97" w:rsidRPr="003925C7">
              <w:t>/</w:t>
            </w:r>
            <w:r w:rsidRPr="003925C7">
              <w:t>2</w:t>
            </w:r>
            <w:r w:rsidR="00AA2001" w:rsidRPr="003925C7">
              <w:t>2</w:t>
            </w:r>
            <w:r w:rsidR="00E45C04" w:rsidRPr="003925C7">
              <w:t>/24</w:t>
            </w:r>
          </w:p>
        </w:tc>
      </w:tr>
      <w:tr w:rsidR="001667B6" w:rsidRPr="003925C7" w:rsidTr="00BF164F">
        <w:tc>
          <w:tcPr>
            <w:tcW w:w="9571" w:type="dxa"/>
            <w:gridSpan w:val="3"/>
          </w:tcPr>
          <w:p w:rsidR="001667B6" w:rsidRPr="003925C7" w:rsidRDefault="00B6101C" w:rsidP="00E45C04">
            <w:pPr>
              <w:pStyle w:val="DocumentLanguageAR"/>
              <w:bidi/>
              <w:rPr>
                <w:rtl/>
              </w:rPr>
            </w:pPr>
            <w:r w:rsidRPr="003925C7">
              <w:rPr>
                <w:rFonts w:hint="cs"/>
                <w:rtl/>
              </w:rPr>
              <w:t xml:space="preserve">الأصل: </w:t>
            </w:r>
            <w:r w:rsidR="00E45C04" w:rsidRPr="003925C7">
              <w:rPr>
                <w:rFonts w:hint="cs"/>
                <w:rtl/>
              </w:rPr>
              <w:t>بالإنكليزية</w:t>
            </w:r>
          </w:p>
        </w:tc>
      </w:tr>
      <w:tr w:rsidR="001667B6" w:rsidRPr="003925C7" w:rsidTr="00BF164F">
        <w:tc>
          <w:tcPr>
            <w:tcW w:w="9571" w:type="dxa"/>
            <w:gridSpan w:val="3"/>
          </w:tcPr>
          <w:p w:rsidR="001667B6" w:rsidRPr="003925C7" w:rsidRDefault="00B6101C" w:rsidP="00E45C04">
            <w:pPr>
              <w:pStyle w:val="DocumentDateAR"/>
              <w:bidi/>
              <w:rPr>
                <w:rtl/>
              </w:rPr>
            </w:pPr>
            <w:r w:rsidRPr="003925C7">
              <w:rPr>
                <w:rFonts w:hint="cs"/>
                <w:rtl/>
              </w:rPr>
              <w:t xml:space="preserve">التاريخ: </w:t>
            </w:r>
            <w:r w:rsidR="00E45C04" w:rsidRPr="003925C7">
              <w:rPr>
                <w:rFonts w:hint="cs"/>
                <w:rtl/>
              </w:rPr>
              <w:t>12</w:t>
            </w:r>
            <w:r w:rsidRPr="003925C7">
              <w:rPr>
                <w:rFonts w:hint="cs"/>
                <w:rtl/>
              </w:rPr>
              <w:t xml:space="preserve"> </w:t>
            </w:r>
            <w:r w:rsidR="00E45C04" w:rsidRPr="003925C7">
              <w:rPr>
                <w:rFonts w:hint="cs"/>
                <w:rtl/>
              </w:rPr>
              <w:t>أغسطس</w:t>
            </w:r>
            <w:r w:rsidRPr="003925C7">
              <w:rPr>
                <w:rFonts w:hint="cs"/>
                <w:rtl/>
              </w:rPr>
              <w:t xml:space="preserve"> </w:t>
            </w:r>
            <w:r w:rsidR="00190B6D" w:rsidRPr="003925C7">
              <w:rPr>
                <w:rFonts w:hint="cs"/>
                <w:rtl/>
              </w:rPr>
              <w:t>201</w:t>
            </w:r>
            <w:r w:rsidR="00AA2001" w:rsidRPr="003925C7">
              <w:rPr>
                <w:rFonts w:hint="cs"/>
                <w:rtl/>
              </w:rPr>
              <w:t>4</w:t>
            </w:r>
          </w:p>
        </w:tc>
      </w:tr>
    </w:tbl>
    <w:p w:rsidR="000F5E56" w:rsidRPr="003925C7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3925C7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3925C7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3925C7" w:rsidRDefault="00100F97" w:rsidP="00983389">
      <w:pPr>
        <w:pStyle w:val="MeetingTitleAR"/>
        <w:bidi/>
        <w:ind w:right="550"/>
        <w:rPr>
          <w:rtl/>
          <w:lang w:val="fr-CH"/>
        </w:rPr>
      </w:pPr>
      <w:r w:rsidRPr="003925C7">
        <w:rPr>
          <w:rtl/>
        </w:rPr>
        <w:t xml:space="preserve">لجنة </w:t>
      </w:r>
      <w:r w:rsidR="00983389" w:rsidRPr="003925C7">
        <w:rPr>
          <w:rFonts w:hint="cs"/>
          <w:rtl/>
          <w:lang w:val="fr-CH"/>
        </w:rPr>
        <w:t>البرنامج والميزانية</w:t>
      </w:r>
    </w:p>
    <w:p w:rsidR="001667B6" w:rsidRPr="003925C7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3925C7" w:rsidRDefault="00F27305" w:rsidP="00AA2001">
      <w:pPr>
        <w:pStyle w:val="MeetingSessionAR"/>
        <w:bidi/>
        <w:rPr>
          <w:rFonts w:ascii="Cambria Math" w:hAnsi="Cambria Math"/>
          <w:rtl/>
        </w:rPr>
      </w:pPr>
      <w:r w:rsidRPr="003925C7">
        <w:rPr>
          <w:rFonts w:ascii="Cambria Math" w:hAnsi="Cambria Math"/>
          <w:rtl/>
        </w:rPr>
        <w:t xml:space="preserve">الدورة </w:t>
      </w:r>
      <w:r w:rsidR="00AA2001" w:rsidRPr="003925C7">
        <w:rPr>
          <w:rFonts w:ascii="Cambria Math" w:hAnsi="Cambria Math" w:hint="cs"/>
          <w:rtl/>
        </w:rPr>
        <w:t>الثانية</w:t>
      </w:r>
      <w:r w:rsidR="00274410" w:rsidRPr="003925C7">
        <w:rPr>
          <w:rFonts w:ascii="Cambria Math" w:hAnsi="Cambria Math" w:hint="cs"/>
          <w:rtl/>
        </w:rPr>
        <w:t xml:space="preserve"> والعشرون</w:t>
      </w:r>
    </w:p>
    <w:p w:rsidR="00D61541" w:rsidRPr="003925C7" w:rsidRDefault="00D61541" w:rsidP="00AA2001">
      <w:pPr>
        <w:pStyle w:val="MeetingDatesAR"/>
        <w:bidi/>
        <w:rPr>
          <w:rtl/>
        </w:rPr>
      </w:pPr>
      <w:r w:rsidRPr="003925C7">
        <w:rPr>
          <w:rFonts w:hint="cs"/>
          <w:rtl/>
        </w:rPr>
        <w:t xml:space="preserve">جنيف، من </w:t>
      </w:r>
      <w:r w:rsidR="00AA2001" w:rsidRPr="003925C7">
        <w:rPr>
          <w:rFonts w:hint="cs"/>
          <w:rtl/>
        </w:rPr>
        <w:t>1</w:t>
      </w:r>
      <w:r w:rsidR="00983389" w:rsidRPr="003925C7">
        <w:rPr>
          <w:rFonts w:hint="cs"/>
          <w:rtl/>
        </w:rPr>
        <w:t xml:space="preserve"> </w:t>
      </w:r>
      <w:r w:rsidR="00100F97" w:rsidRPr="003925C7">
        <w:rPr>
          <w:rFonts w:hint="cs"/>
          <w:rtl/>
        </w:rPr>
        <w:t xml:space="preserve">إلى </w:t>
      </w:r>
      <w:r w:rsidR="00AA2001" w:rsidRPr="003925C7">
        <w:rPr>
          <w:rFonts w:hint="cs"/>
          <w:rtl/>
        </w:rPr>
        <w:t>5</w:t>
      </w:r>
      <w:r w:rsidR="00783D11" w:rsidRPr="003925C7">
        <w:rPr>
          <w:rFonts w:hint="cs"/>
          <w:rtl/>
        </w:rPr>
        <w:t xml:space="preserve"> </w:t>
      </w:r>
      <w:r w:rsidR="00274410" w:rsidRPr="003925C7">
        <w:rPr>
          <w:rFonts w:hint="cs"/>
          <w:rtl/>
        </w:rPr>
        <w:t>سبتمبر</w:t>
      </w:r>
      <w:r w:rsidR="00AE2328" w:rsidRPr="003925C7">
        <w:rPr>
          <w:rFonts w:hint="cs"/>
          <w:rtl/>
        </w:rPr>
        <w:t xml:space="preserve"> </w:t>
      </w:r>
      <w:r w:rsidR="00100F97" w:rsidRPr="003925C7">
        <w:rPr>
          <w:rFonts w:hint="cs"/>
          <w:rtl/>
        </w:rPr>
        <w:t>201</w:t>
      </w:r>
      <w:r w:rsidR="00AA2001" w:rsidRPr="003925C7">
        <w:rPr>
          <w:rFonts w:hint="cs"/>
          <w:rtl/>
        </w:rPr>
        <w:t>4</w:t>
      </w:r>
    </w:p>
    <w:p w:rsidR="00D61541" w:rsidRPr="003925C7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3925C7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3925C7" w:rsidRDefault="00E45C04" w:rsidP="00D21DC5">
      <w:pPr>
        <w:pStyle w:val="DocumentTitleAR"/>
        <w:bidi/>
        <w:rPr>
          <w:rtl/>
        </w:rPr>
      </w:pPr>
      <w:r w:rsidRPr="003925C7">
        <w:rPr>
          <w:rtl/>
        </w:rPr>
        <w:t>مشاركة ممثلي الجماعات الأصلية والمحلية المعتمدة</w:t>
      </w:r>
      <w:r w:rsidRPr="003925C7">
        <w:rPr>
          <w:rFonts w:hint="cs"/>
          <w:rtl/>
        </w:rPr>
        <w:t xml:space="preserve"> في </w:t>
      </w:r>
      <w:r w:rsidRPr="003925C7">
        <w:rPr>
          <w:rtl/>
        </w:rPr>
        <w:t>عمل اللجنة الحكومية الدولية المعنية بالملكية الفكرية والموارد الوراثية والمعارف التقليدية والفولكلور</w:t>
      </w:r>
      <w:r w:rsidRPr="003925C7">
        <w:rPr>
          <w:rFonts w:hint="cs"/>
          <w:rtl/>
        </w:rPr>
        <w:t xml:space="preserve"> (اللجنة الحكومية الدولية)</w:t>
      </w:r>
      <w:r w:rsidR="00D21DC5" w:rsidRPr="003925C7">
        <w:t>:</w:t>
      </w:r>
      <w:r w:rsidRPr="003925C7">
        <w:rPr>
          <w:rFonts w:hint="cs"/>
          <w:rtl/>
        </w:rPr>
        <w:t xml:space="preserve"> اقتراح لتمويل إضافي من ميزانية الويبو العادية</w:t>
      </w:r>
    </w:p>
    <w:p w:rsidR="00D61541" w:rsidRPr="003925C7" w:rsidRDefault="00D61541" w:rsidP="00931859">
      <w:pPr>
        <w:pStyle w:val="PreparedbyAR"/>
        <w:bidi/>
        <w:rPr>
          <w:rtl/>
        </w:rPr>
      </w:pPr>
    </w:p>
    <w:p w:rsidR="00AA2001" w:rsidRPr="003925C7" w:rsidRDefault="00D21DC5" w:rsidP="00D21DC5">
      <w:pPr>
        <w:pStyle w:val="NumberedParaAR"/>
      </w:pPr>
      <w:r w:rsidRPr="003925C7">
        <w:rPr>
          <w:rtl/>
        </w:rPr>
        <w:t>‏تقد</w:t>
      </w:r>
      <w:r w:rsidR="00192D70">
        <w:rPr>
          <w:rFonts w:hint="cs"/>
          <w:rtl/>
        </w:rPr>
        <w:t>َ</w:t>
      </w:r>
      <w:r w:rsidRPr="003925C7">
        <w:rPr>
          <w:rtl/>
        </w:rPr>
        <w:t xml:space="preserve">ّمت </w:t>
      </w:r>
      <w:r w:rsidRPr="003925C7">
        <w:rPr>
          <w:rFonts w:hint="cs"/>
          <w:rtl/>
        </w:rPr>
        <w:t xml:space="preserve">وفود أستراليا وفنلندا والكرسي الرسولي ونيوزيلندا وسويسرا </w:t>
      </w:r>
      <w:r w:rsidRPr="003925C7">
        <w:rPr>
          <w:rtl/>
        </w:rPr>
        <w:t>بالاقتراح المرفق طيه ملتمسةً إصداره كوثيقة رسمية في الدورة الثانية والعشرين للجنة البرنامج والميزانية</w:t>
      </w:r>
      <w:r w:rsidRPr="003925C7">
        <w:rPr>
          <w:rFonts w:hint="cs"/>
          <w:rtl/>
        </w:rPr>
        <w:t>.</w:t>
      </w:r>
    </w:p>
    <w:p w:rsidR="00D21DC5" w:rsidRPr="003925C7" w:rsidRDefault="00D21DC5" w:rsidP="00D21DC5">
      <w:pPr>
        <w:pStyle w:val="EndofDocumentAR"/>
        <w:rPr>
          <w:rtl/>
        </w:rPr>
      </w:pPr>
      <w:r w:rsidRPr="003925C7">
        <w:rPr>
          <w:rFonts w:hint="cs"/>
          <w:rtl/>
        </w:rPr>
        <w:t xml:space="preserve">[يلي ذلك اقتراح وفود </w:t>
      </w:r>
      <w:r w:rsidRPr="003925C7">
        <w:rPr>
          <w:rtl/>
        </w:rPr>
        <w:t>أستراليا وفنلندا والكرسي الرسولي ونيوزيلندا وسويسرا</w:t>
      </w:r>
      <w:r w:rsidRPr="003925C7">
        <w:rPr>
          <w:rFonts w:hint="cs"/>
          <w:rtl/>
        </w:rPr>
        <w:t>]</w:t>
      </w:r>
    </w:p>
    <w:p w:rsidR="00D21DC5" w:rsidRPr="003925C7" w:rsidRDefault="00D21DC5" w:rsidP="00D21DC5">
      <w:pPr>
        <w:pStyle w:val="EndofDocumentAR"/>
        <w:rPr>
          <w:rtl/>
        </w:rPr>
      </w:pPr>
      <w:r w:rsidRPr="003925C7">
        <w:rPr>
          <w:rtl/>
        </w:rPr>
        <w:br w:type="page"/>
      </w:r>
    </w:p>
    <w:p w:rsidR="00D21DC5" w:rsidRPr="003925C7" w:rsidRDefault="00D21DC5" w:rsidP="00D21DC5">
      <w:pPr>
        <w:pStyle w:val="NormalParaAR"/>
        <w:spacing w:after="480"/>
        <w:jc w:val="right"/>
        <w:rPr>
          <w:rtl/>
        </w:rPr>
      </w:pPr>
      <w:r w:rsidRPr="003925C7">
        <w:rPr>
          <w:rFonts w:hint="cs"/>
          <w:rtl/>
        </w:rPr>
        <w:lastRenderedPageBreak/>
        <w:t>[الأصل: بالإنكليزية]</w:t>
      </w:r>
    </w:p>
    <w:p w:rsidR="00182A8D" w:rsidRDefault="00D21DC5" w:rsidP="00182A8D">
      <w:pPr>
        <w:pStyle w:val="Heading1AR"/>
        <w:spacing w:before="0" w:after="0"/>
        <w:jc w:val="center"/>
        <w:rPr>
          <w:rtl/>
        </w:rPr>
      </w:pPr>
      <w:r w:rsidRPr="003925C7">
        <w:rPr>
          <w:rtl/>
        </w:rPr>
        <w:t>مشاركة ممثلي الجماعات الأصلية والمحلية المعتمدة في عمل اللجنة الحكومية الدولية المعنية بالملكية الفكرية والموارد الوراثية والمعارف التقليدية والفولكلور (اللجنة الحكومية الدولية):</w:t>
      </w:r>
    </w:p>
    <w:p w:rsidR="00D21DC5" w:rsidRPr="003925C7" w:rsidRDefault="00D21DC5" w:rsidP="00182A8D">
      <w:pPr>
        <w:pStyle w:val="Heading1AR"/>
        <w:spacing w:before="0" w:after="240"/>
        <w:jc w:val="center"/>
        <w:rPr>
          <w:rtl/>
        </w:rPr>
      </w:pPr>
      <w:r w:rsidRPr="003925C7">
        <w:rPr>
          <w:rtl/>
        </w:rPr>
        <w:t>اقتراح لتمويل إضافي من ميزانية الويبو العادية</w:t>
      </w:r>
    </w:p>
    <w:p w:rsidR="00D21DC5" w:rsidRPr="003925C7" w:rsidRDefault="00D21DC5" w:rsidP="00192D70">
      <w:pPr>
        <w:pStyle w:val="NumberedParaAR"/>
        <w:numPr>
          <w:ilvl w:val="0"/>
          <w:numId w:val="21"/>
        </w:numPr>
      </w:pPr>
      <w:r w:rsidRPr="003925C7">
        <w:rPr>
          <w:rtl/>
        </w:rPr>
        <w:t>استفاد صندوق الويبو للتبرعات لفائدة الجماعات الأصلية والمحلية المعتمدة ("الصندوق")</w:t>
      </w:r>
      <w:r w:rsidR="008B0E60">
        <w:rPr>
          <w:rStyle w:val="FootnoteReference"/>
          <w:rtl/>
        </w:rPr>
        <w:footnoteReference w:id="1"/>
      </w:r>
      <w:r w:rsidRPr="003925C7">
        <w:rPr>
          <w:rtl/>
        </w:rPr>
        <w:t xml:space="preserve"> منذ إنشائه في سنة</w:t>
      </w:r>
      <w:r w:rsidR="00192D70">
        <w:rPr>
          <w:rFonts w:hint="cs"/>
          <w:rtl/>
        </w:rPr>
        <w:t> </w:t>
      </w:r>
      <w:r w:rsidRPr="003925C7">
        <w:rPr>
          <w:rtl/>
        </w:rPr>
        <w:t>2005 من التبرعات المقدمة من طائفة واسعة من المتبرعين</w:t>
      </w:r>
      <w:r w:rsidRPr="003925C7">
        <w:rPr>
          <w:rFonts w:hint="cs"/>
          <w:rtl/>
        </w:rPr>
        <w:t xml:space="preserve"> </w:t>
      </w:r>
      <w:r w:rsidRPr="003925C7">
        <w:rPr>
          <w:rtl/>
        </w:rPr>
        <w:t>(</w:t>
      </w:r>
      <w:r w:rsidR="003925C7">
        <w:rPr>
          <w:rtl/>
        </w:rPr>
        <w:t>مرتب</w:t>
      </w:r>
      <w:r w:rsidR="003925C7">
        <w:rPr>
          <w:rFonts w:hint="cs"/>
          <w:rtl/>
        </w:rPr>
        <w:t>ة</w:t>
      </w:r>
      <w:r w:rsidRPr="003925C7">
        <w:rPr>
          <w:rtl/>
        </w:rPr>
        <w:t xml:space="preserve"> حسب التسلسل التاريخي للتبرعات) </w:t>
      </w:r>
      <w:r w:rsidR="003925C7">
        <w:rPr>
          <w:rFonts w:hint="cs"/>
          <w:rtl/>
        </w:rPr>
        <w:t>هي</w:t>
      </w:r>
      <w:r w:rsidRPr="003925C7">
        <w:rPr>
          <w:rtl/>
        </w:rPr>
        <w:t xml:space="preserve"> البرنامج السويدي الدولي للتنوع البيولوجي (</w:t>
      </w:r>
      <w:r w:rsidRPr="003925C7">
        <w:t>SwedBio/CBM</w:t>
      </w:r>
      <w:r w:rsidRPr="003925C7">
        <w:rPr>
          <w:rtl/>
        </w:rPr>
        <w:t>)</w:t>
      </w:r>
      <w:r w:rsidRPr="003925C7">
        <w:rPr>
          <w:rFonts w:hint="cs"/>
          <w:rtl/>
        </w:rPr>
        <w:t>،</w:t>
      </w:r>
      <w:r w:rsidRPr="003925C7">
        <w:rPr>
          <w:rtl/>
        </w:rPr>
        <w:t xml:space="preserve"> وفرنسا</w:t>
      </w:r>
      <w:r w:rsidRPr="003925C7">
        <w:rPr>
          <w:rFonts w:hint="cs"/>
          <w:rtl/>
        </w:rPr>
        <w:t xml:space="preserve">، </w:t>
      </w:r>
      <w:r w:rsidRPr="003925C7">
        <w:rPr>
          <w:rtl/>
        </w:rPr>
        <w:t>وصندوق كريستنسن</w:t>
      </w:r>
      <w:r w:rsidRPr="003925C7">
        <w:rPr>
          <w:rFonts w:hint="cs"/>
          <w:rtl/>
        </w:rPr>
        <w:t>،</w:t>
      </w:r>
      <w:r w:rsidRPr="003925C7">
        <w:rPr>
          <w:rtl/>
        </w:rPr>
        <w:t xml:space="preserve"> وسويسرا (المعهد الفيدرالي السويسري للملكية الفكرية)</w:t>
      </w:r>
      <w:r w:rsidRPr="003925C7">
        <w:rPr>
          <w:rFonts w:hint="cs"/>
          <w:rtl/>
        </w:rPr>
        <w:t>،</w:t>
      </w:r>
      <w:r w:rsidRPr="003925C7">
        <w:rPr>
          <w:rtl/>
        </w:rPr>
        <w:t xml:space="preserve"> وجنوب أفريقيا</w:t>
      </w:r>
      <w:r w:rsidRPr="003925C7">
        <w:rPr>
          <w:rFonts w:hint="cs"/>
          <w:rtl/>
        </w:rPr>
        <w:t>،</w:t>
      </w:r>
      <w:r w:rsidRPr="003925C7">
        <w:rPr>
          <w:rtl/>
        </w:rPr>
        <w:t xml:space="preserve"> والنرويج</w:t>
      </w:r>
      <w:r w:rsidRPr="003925C7">
        <w:rPr>
          <w:rFonts w:hint="cs"/>
          <w:rtl/>
        </w:rPr>
        <w:t>،</w:t>
      </w:r>
      <w:r w:rsidRPr="003925C7">
        <w:rPr>
          <w:rtl/>
        </w:rPr>
        <w:t xml:space="preserve"> ومانح مجهول</w:t>
      </w:r>
      <w:r w:rsidRPr="003925C7">
        <w:rPr>
          <w:rFonts w:hint="cs"/>
          <w:rtl/>
        </w:rPr>
        <w:t>،</w:t>
      </w:r>
      <w:r w:rsidRPr="003925C7">
        <w:rPr>
          <w:rtl/>
        </w:rPr>
        <w:t xml:space="preserve"> وأستراليا</w:t>
      </w:r>
      <w:r w:rsidR="00192D70">
        <w:rPr>
          <w:rFonts w:hint="eastAsia"/>
          <w:rtl/>
        </w:rPr>
        <w:t> </w:t>
      </w:r>
      <w:r w:rsidRPr="003925C7">
        <w:rPr>
          <w:rFonts w:hint="cs"/>
          <w:rtl/>
        </w:rPr>
        <w:t>(2)،</w:t>
      </w:r>
      <w:r w:rsidRPr="003925C7">
        <w:rPr>
          <w:rtl/>
        </w:rPr>
        <w:t xml:space="preserve"> ونيوزيلندا.</w:t>
      </w:r>
      <w:r w:rsidRPr="003925C7">
        <w:rPr>
          <w:rFonts w:hint="cs"/>
          <w:rtl/>
        </w:rPr>
        <w:t xml:space="preserve"> </w:t>
      </w:r>
      <w:r w:rsidRPr="003925C7">
        <w:rPr>
          <w:rtl/>
        </w:rPr>
        <w:t>وبفضل التبرعات تمكّ</w:t>
      </w:r>
      <w:r w:rsidR="00192D70">
        <w:rPr>
          <w:rFonts w:hint="cs"/>
          <w:rtl/>
        </w:rPr>
        <w:t>َ</w:t>
      </w:r>
      <w:r w:rsidRPr="003925C7">
        <w:rPr>
          <w:rtl/>
        </w:rPr>
        <w:t xml:space="preserve">ن الصندوق من تمويل مشاركة ممثلي الجماعات الأصلية والمحلية المعتمدة </w:t>
      </w:r>
      <w:r w:rsidR="008B0E60">
        <w:rPr>
          <w:rFonts w:hint="cs"/>
          <w:rtl/>
        </w:rPr>
        <w:t>حتى</w:t>
      </w:r>
      <w:r w:rsidRPr="003925C7">
        <w:rPr>
          <w:rtl/>
        </w:rPr>
        <w:t xml:space="preserve"> الدورة السادسة والعشر</w:t>
      </w:r>
      <w:r w:rsidR="008B0E60">
        <w:rPr>
          <w:rFonts w:hint="cs"/>
          <w:rtl/>
        </w:rPr>
        <w:t>ي</w:t>
      </w:r>
      <w:r w:rsidRPr="003925C7">
        <w:rPr>
          <w:rtl/>
        </w:rPr>
        <w:t>ن للجنة الحكومية الدولية</w:t>
      </w:r>
      <w:r w:rsidRPr="003925C7">
        <w:rPr>
          <w:rFonts w:hint="cs"/>
          <w:rtl/>
        </w:rPr>
        <w:t>.</w:t>
      </w:r>
    </w:p>
    <w:p w:rsidR="00D21DC5" w:rsidRDefault="003925C7" w:rsidP="0095423F">
      <w:pPr>
        <w:pStyle w:val="NumberedParaAR"/>
        <w:numPr>
          <w:ilvl w:val="0"/>
          <w:numId w:val="21"/>
        </w:numPr>
      </w:pPr>
      <w:r w:rsidRPr="003925C7">
        <w:rPr>
          <w:rFonts w:hint="cs"/>
          <w:rtl/>
        </w:rPr>
        <w:t>وكما جاء في الفقرة</w:t>
      </w:r>
      <w:r w:rsidR="00192D70">
        <w:rPr>
          <w:rFonts w:hint="eastAsia"/>
          <w:rtl/>
        </w:rPr>
        <w:t> </w:t>
      </w:r>
      <w:r w:rsidRPr="003925C7">
        <w:rPr>
          <w:rFonts w:hint="cs"/>
          <w:rtl/>
        </w:rPr>
        <w:t xml:space="preserve">1 من الوثيقة </w:t>
      </w:r>
      <w:r w:rsidRPr="003925C7">
        <w:t>WIPO/GRTKF/IC/28/3</w:t>
      </w:r>
      <w:r w:rsidRPr="003925C7">
        <w:rPr>
          <w:rFonts w:hint="cs"/>
          <w:rtl/>
        </w:rPr>
        <w:t xml:space="preserve">، </w:t>
      </w:r>
      <w:r>
        <w:rPr>
          <w:rFonts w:hint="cs"/>
          <w:rtl/>
        </w:rPr>
        <w:t>كان</w:t>
      </w:r>
      <w:r w:rsidRPr="003925C7">
        <w:rPr>
          <w:rtl/>
        </w:rPr>
        <w:t xml:space="preserve"> المبلغ المتاح في حساب </w:t>
      </w:r>
      <w:r w:rsidRPr="003925C7">
        <w:rPr>
          <w:rFonts w:hint="cs"/>
          <w:rtl/>
        </w:rPr>
        <w:t>ال</w:t>
      </w:r>
      <w:r w:rsidRPr="003925C7">
        <w:rPr>
          <w:rtl/>
        </w:rPr>
        <w:t xml:space="preserve">صندوق </w:t>
      </w:r>
      <w:r w:rsidRPr="003925C7">
        <w:rPr>
          <w:rFonts w:hint="cs"/>
          <w:rtl/>
        </w:rPr>
        <w:t>803.20</w:t>
      </w:r>
      <w:r w:rsidR="00192D70">
        <w:rPr>
          <w:rFonts w:hint="cs"/>
          <w:rtl/>
        </w:rPr>
        <w:t> </w:t>
      </w:r>
      <w:r w:rsidRPr="003925C7">
        <w:rPr>
          <w:rtl/>
        </w:rPr>
        <w:t>فرنك</w:t>
      </w:r>
      <w:r w:rsidRPr="003925C7">
        <w:rPr>
          <w:rFonts w:hint="cs"/>
          <w:rtl/>
        </w:rPr>
        <w:t>ات</w:t>
      </w:r>
      <w:r w:rsidRPr="003925C7">
        <w:rPr>
          <w:rtl/>
        </w:rPr>
        <w:t xml:space="preserve"> سويسري</w:t>
      </w:r>
      <w:r w:rsidRPr="003925C7">
        <w:rPr>
          <w:rFonts w:hint="cs"/>
          <w:rtl/>
        </w:rPr>
        <w:t>ة</w:t>
      </w:r>
      <w:r>
        <w:rPr>
          <w:rtl/>
        </w:rPr>
        <w:t xml:space="preserve"> في 28</w:t>
      </w:r>
      <w:r w:rsidR="00192D70">
        <w:rPr>
          <w:rFonts w:hint="cs"/>
          <w:rtl/>
        </w:rPr>
        <w:t> </w:t>
      </w:r>
      <w:r>
        <w:rPr>
          <w:rtl/>
        </w:rPr>
        <w:t>مايو</w:t>
      </w:r>
      <w:r w:rsidR="00192D70">
        <w:rPr>
          <w:rFonts w:hint="cs"/>
          <w:rtl/>
        </w:rPr>
        <w:t> </w:t>
      </w:r>
      <w:r>
        <w:rPr>
          <w:rtl/>
        </w:rPr>
        <w:t>2014</w:t>
      </w:r>
      <w:r>
        <w:rPr>
          <w:rFonts w:hint="cs"/>
          <w:rtl/>
        </w:rPr>
        <w:t xml:space="preserve">، </w:t>
      </w:r>
      <w:r w:rsidR="008C1BA9" w:rsidRPr="008C1BA9">
        <w:rPr>
          <w:rtl/>
        </w:rPr>
        <w:t>ولم يشهد أي تغيير حتى تاريخ</w:t>
      </w:r>
      <w:r w:rsidR="00192D70">
        <w:rPr>
          <w:rFonts w:hint="cs"/>
          <w:rtl/>
        </w:rPr>
        <w:t>ه</w:t>
      </w:r>
      <w:r w:rsidR="008C1BA9" w:rsidRPr="008C1BA9">
        <w:rPr>
          <w:rtl/>
        </w:rPr>
        <w:t>، باستثناء تسويات طفيفة متعلقة بالرسوم والفوائد المصرفية، رغم الدعوات المتكررة التي وجهها المدير العام للويبو ورئيس اللجنة إلى الدول الأعضاء كي تسهم في التمويل. وإن لم يمو</w:t>
      </w:r>
      <w:r w:rsidR="008C511A">
        <w:rPr>
          <w:rFonts w:hint="cs"/>
          <w:rtl/>
        </w:rPr>
        <w:t>َّ</w:t>
      </w:r>
      <w:r w:rsidR="008C1BA9" w:rsidRPr="008C1BA9">
        <w:rPr>
          <w:rtl/>
        </w:rPr>
        <w:t xml:space="preserve">ل الصندوق بتبرعات إضافية في المستقبل القريب، فسيظل عاجزاً عن </w:t>
      </w:r>
      <w:r w:rsidR="008C511A">
        <w:rPr>
          <w:rFonts w:hint="cs"/>
          <w:rtl/>
        </w:rPr>
        <w:t>تمويل</w:t>
      </w:r>
      <w:r w:rsidR="008C1BA9" w:rsidRPr="008C1BA9">
        <w:rPr>
          <w:rtl/>
        </w:rPr>
        <w:t xml:space="preserve"> </w:t>
      </w:r>
      <w:r w:rsidR="008C511A">
        <w:rPr>
          <w:rFonts w:hint="cs"/>
          <w:rtl/>
        </w:rPr>
        <w:t xml:space="preserve">مشاركة </w:t>
      </w:r>
      <w:r w:rsidR="0095423F">
        <w:rPr>
          <w:rFonts w:hint="cs"/>
          <w:rtl/>
        </w:rPr>
        <w:t>ممثلي الجماعات الأصلية والمحلية</w:t>
      </w:r>
      <w:r w:rsidR="008C511A">
        <w:rPr>
          <w:rFonts w:hint="cs"/>
          <w:rtl/>
        </w:rPr>
        <w:t xml:space="preserve"> </w:t>
      </w:r>
      <w:r w:rsidR="0095423F">
        <w:rPr>
          <w:rFonts w:hint="cs"/>
          <w:rtl/>
        </w:rPr>
        <w:t xml:space="preserve">ممن </w:t>
      </w:r>
      <w:r w:rsidR="008C511A">
        <w:rPr>
          <w:rFonts w:hint="cs"/>
          <w:rtl/>
        </w:rPr>
        <w:t>قد يختارهم</w:t>
      </w:r>
      <w:r w:rsidR="008C1BA9" w:rsidRPr="008C1BA9">
        <w:rPr>
          <w:rtl/>
        </w:rPr>
        <w:t xml:space="preserve"> المجلس الاستشاري للصندوق. وهذا الوضع مؤسف نظراً إلى المساهمة القيمة لممثلي الجماعات الأصلية والمحلية في مفاوضات اللجنة. فقد أرشدت مشاركتها النشطة عمل اللجنة وأثرته وعززت شفافية مسار اللجنة</w:t>
      </w:r>
      <w:r w:rsidR="0095423F">
        <w:rPr>
          <w:rFonts w:hint="cs"/>
          <w:rtl/>
        </w:rPr>
        <w:t> </w:t>
      </w:r>
      <w:r w:rsidR="008C1BA9" w:rsidRPr="008C1BA9">
        <w:rPr>
          <w:rtl/>
        </w:rPr>
        <w:t>ومصداقيته.</w:t>
      </w:r>
    </w:p>
    <w:p w:rsidR="008C1BA9" w:rsidRDefault="008C1BA9" w:rsidP="0095423F">
      <w:pPr>
        <w:pStyle w:val="NumberedParaAR"/>
        <w:numPr>
          <w:ilvl w:val="0"/>
          <w:numId w:val="21"/>
        </w:numPr>
      </w:pPr>
      <w:r w:rsidRPr="008C1BA9">
        <w:rPr>
          <w:rtl/>
        </w:rPr>
        <w:t>ونظرا</w:t>
      </w:r>
      <w:r>
        <w:rPr>
          <w:rFonts w:hint="cs"/>
          <w:rtl/>
        </w:rPr>
        <w:t>ً</w:t>
      </w:r>
      <w:r w:rsidRPr="008C1BA9">
        <w:rPr>
          <w:rtl/>
        </w:rPr>
        <w:t xml:space="preserve"> إلى أن المفاوضات معقدة وطويلة و</w:t>
      </w:r>
      <w:r w:rsidR="005C403E">
        <w:rPr>
          <w:rFonts w:hint="cs"/>
          <w:rtl/>
        </w:rPr>
        <w:t>أن</w:t>
      </w:r>
      <w:r w:rsidRPr="008C1BA9">
        <w:rPr>
          <w:rtl/>
        </w:rPr>
        <w:t xml:space="preserve"> التبرعات </w:t>
      </w:r>
      <w:r w:rsidR="0095423F">
        <w:rPr>
          <w:rFonts w:hint="cs"/>
          <w:rtl/>
        </w:rPr>
        <w:t>الطوعية</w:t>
      </w:r>
      <w:r w:rsidRPr="008C1BA9">
        <w:rPr>
          <w:rtl/>
        </w:rPr>
        <w:t xml:space="preserve"> وغير منتظم</w:t>
      </w:r>
      <w:r w:rsidR="0095423F">
        <w:rPr>
          <w:rFonts w:hint="cs"/>
          <w:rtl/>
        </w:rPr>
        <w:t>ة أو ثابتة</w:t>
      </w:r>
      <w:r w:rsidRPr="008C1BA9">
        <w:rPr>
          <w:rtl/>
        </w:rPr>
        <w:t xml:space="preserve">، أصبح من الصعب على المانحين المحتملين الحفاظ على مستوى مناسب من الموارد المالية في الصندوق وإبقاء رصيده في مستوى </w:t>
      </w:r>
      <w:r w:rsidR="0095423F">
        <w:rPr>
          <w:rFonts w:hint="cs"/>
          <w:rtl/>
        </w:rPr>
        <w:t>مقبول</w:t>
      </w:r>
      <w:r w:rsidRPr="008C1BA9">
        <w:rPr>
          <w:rtl/>
        </w:rPr>
        <w:t>.</w:t>
      </w:r>
    </w:p>
    <w:p w:rsidR="008C1BA9" w:rsidRDefault="008C511A" w:rsidP="00DD503F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 xml:space="preserve">وبناء على </w:t>
      </w:r>
      <w:r>
        <w:rPr>
          <w:rtl/>
        </w:rPr>
        <w:t>الوضع المالي الحالي للصندوق و</w:t>
      </w:r>
      <w:r>
        <w:rPr>
          <w:rFonts w:hint="cs"/>
          <w:rtl/>
        </w:rPr>
        <w:t>نظراً</w:t>
      </w:r>
      <w:r w:rsidR="008C1BA9" w:rsidRPr="008C1BA9">
        <w:rPr>
          <w:rtl/>
        </w:rPr>
        <w:t xml:space="preserve"> إلى أهمية تيسير استمرار مشاركة ممثلي الجماعات الأصلية والمحلية في المفاوضات من أجل الإسهام في إطار نتائج البرنامج 4 </w:t>
      </w:r>
      <w:r w:rsidR="008C1BA9" w:rsidRPr="0095423F">
        <w:rPr>
          <w:i/>
          <w:iCs/>
          <w:rtl/>
        </w:rPr>
        <w:t>(المعارف التقليدية وأشكال التعبير الثقافي التقليدي والموارد الوراثية)</w:t>
      </w:r>
      <w:r w:rsidR="008C1BA9" w:rsidRPr="008C1BA9">
        <w:rPr>
          <w:rtl/>
        </w:rPr>
        <w:t xml:space="preserve"> من البرنامج والميزاني</w:t>
      </w:r>
      <w:r w:rsidR="008C1BA9">
        <w:rPr>
          <w:rtl/>
        </w:rPr>
        <w:t>ة المعتمدة للثنائية</w:t>
      </w:r>
      <w:r>
        <w:rPr>
          <w:rFonts w:hint="cs"/>
          <w:rtl/>
        </w:rPr>
        <w:t> </w:t>
      </w:r>
      <w:r w:rsidR="008C1BA9">
        <w:rPr>
          <w:rtl/>
        </w:rPr>
        <w:t>2014/15</w:t>
      </w:r>
      <w:r w:rsidR="008C1BA9">
        <w:rPr>
          <w:rStyle w:val="FootnoteReference"/>
          <w:rtl/>
        </w:rPr>
        <w:footnoteReference w:id="2"/>
      </w:r>
      <w:r w:rsidR="008C1BA9">
        <w:rPr>
          <w:rFonts w:hint="cs"/>
          <w:rtl/>
        </w:rPr>
        <w:t xml:space="preserve"> </w:t>
      </w:r>
      <w:r w:rsidR="008C1BA9" w:rsidRPr="008C1BA9">
        <w:rPr>
          <w:rtl/>
        </w:rPr>
        <w:t xml:space="preserve">ومن أجل الحفاظ على مصداقية مسار اللجنة وأهميته، </w:t>
      </w:r>
      <w:r w:rsidR="00DD503F">
        <w:rPr>
          <w:rFonts w:hint="cs"/>
          <w:rtl/>
        </w:rPr>
        <w:t>ت</w:t>
      </w:r>
      <w:r w:rsidR="008C1BA9" w:rsidRPr="008C1BA9">
        <w:rPr>
          <w:rtl/>
        </w:rPr>
        <w:t>تقد</w:t>
      </w:r>
      <w:r>
        <w:rPr>
          <w:rFonts w:hint="cs"/>
          <w:rtl/>
        </w:rPr>
        <w:t>َّ</w:t>
      </w:r>
      <w:r w:rsidR="00DD503F">
        <w:rPr>
          <w:rtl/>
        </w:rPr>
        <w:t>م</w:t>
      </w:r>
      <w:r w:rsidR="008C1BA9" w:rsidRPr="008C1BA9">
        <w:rPr>
          <w:rtl/>
        </w:rPr>
        <w:t xml:space="preserve"> وفود أستراليا وفنلندا والكرسي الرسولي ونيوزيلندا وسويسرا باقتراح </w:t>
      </w:r>
      <w:r w:rsidR="00DD503F">
        <w:rPr>
          <w:rFonts w:hint="cs"/>
          <w:rtl/>
        </w:rPr>
        <w:t xml:space="preserve">إلى </w:t>
      </w:r>
      <w:r w:rsidR="00DD503F" w:rsidRPr="008C1BA9">
        <w:rPr>
          <w:rtl/>
        </w:rPr>
        <w:t xml:space="preserve">لجنة البرنامج والميزانية </w:t>
      </w:r>
      <w:r>
        <w:rPr>
          <w:rFonts w:hint="cs"/>
          <w:rtl/>
        </w:rPr>
        <w:t xml:space="preserve">كي </w:t>
      </w:r>
      <w:r w:rsidR="008C1BA9" w:rsidRPr="008C1BA9">
        <w:rPr>
          <w:rtl/>
        </w:rPr>
        <w:t xml:space="preserve">تنظر فيه </w:t>
      </w:r>
      <w:r w:rsidR="00DD503F">
        <w:rPr>
          <w:rFonts w:hint="cs"/>
          <w:rtl/>
        </w:rPr>
        <w:t>وترفع</w:t>
      </w:r>
      <w:r w:rsidR="008C1BA9" w:rsidRPr="008C1BA9">
        <w:rPr>
          <w:rtl/>
        </w:rPr>
        <w:t xml:space="preserve"> توصية إلى جمعيات الدول الأعضاء في الويبو في سبتمبر</w:t>
      </w:r>
      <w:r>
        <w:rPr>
          <w:rFonts w:hint="cs"/>
          <w:rtl/>
        </w:rPr>
        <w:t> </w:t>
      </w:r>
      <w:r w:rsidR="008C1BA9" w:rsidRPr="008C1BA9">
        <w:rPr>
          <w:rtl/>
        </w:rPr>
        <w:t xml:space="preserve">2014 </w:t>
      </w:r>
      <w:r w:rsidR="00DD503F">
        <w:rPr>
          <w:rFonts w:hint="cs"/>
          <w:rtl/>
        </w:rPr>
        <w:t>بأن تغطي</w:t>
      </w:r>
      <w:r w:rsidR="008C1BA9" w:rsidRPr="008C1BA9">
        <w:rPr>
          <w:rtl/>
        </w:rPr>
        <w:t xml:space="preserve"> الميزانية المعتمدة للثنائية</w:t>
      </w:r>
      <w:r>
        <w:rPr>
          <w:rFonts w:hint="cs"/>
          <w:rtl/>
        </w:rPr>
        <w:t> </w:t>
      </w:r>
      <w:r>
        <w:rPr>
          <w:rtl/>
        </w:rPr>
        <w:t>2014/15</w:t>
      </w:r>
      <w:r w:rsidR="005C403E">
        <w:rPr>
          <w:rFonts w:hint="cs"/>
          <w:rtl/>
        </w:rPr>
        <w:t xml:space="preserve">، </w:t>
      </w:r>
      <w:r w:rsidR="00DD503F">
        <w:rPr>
          <w:rFonts w:hint="cs"/>
          <w:rtl/>
        </w:rPr>
        <w:t>في ظل أحكام</w:t>
      </w:r>
      <w:r>
        <w:rPr>
          <w:rFonts w:hint="cs"/>
          <w:rtl/>
        </w:rPr>
        <w:t xml:space="preserve"> ا</w:t>
      </w:r>
      <w:r w:rsidR="00DD503F">
        <w:rPr>
          <w:rFonts w:hint="cs"/>
          <w:rtl/>
        </w:rPr>
        <w:t>لنظام المالي للويبو ولائحته وف</w:t>
      </w:r>
      <w:r w:rsidR="008C1BA9">
        <w:rPr>
          <w:rFonts w:hint="cs"/>
          <w:rtl/>
        </w:rPr>
        <w:t>ي حدود الموارد المتاحة</w:t>
      </w:r>
      <w:r w:rsidR="00DD503F">
        <w:rPr>
          <w:rFonts w:hint="cs"/>
          <w:rtl/>
        </w:rPr>
        <w:t>،</w:t>
      </w:r>
      <w:r w:rsidR="008C1BA9">
        <w:rPr>
          <w:rFonts w:hint="cs"/>
          <w:rtl/>
        </w:rPr>
        <w:t xml:space="preserve"> المصروفات المتعلقة بمشاركة </w:t>
      </w:r>
      <w:r w:rsidR="008C1BA9" w:rsidRPr="008C1BA9">
        <w:rPr>
          <w:rtl/>
        </w:rPr>
        <w:t>ممثلي الجماعات الأصلية والمحلية المعتمدة في عمل اللجنة الحكومية الدولية</w:t>
      </w:r>
      <w:r w:rsidR="008C1BA9">
        <w:rPr>
          <w:rFonts w:hint="cs"/>
          <w:rtl/>
        </w:rPr>
        <w:t xml:space="preserve"> في عام</w:t>
      </w:r>
      <w:r>
        <w:rPr>
          <w:rFonts w:hint="eastAsia"/>
          <w:rtl/>
        </w:rPr>
        <w:t> </w:t>
      </w:r>
      <w:r w:rsidR="008C1BA9">
        <w:rPr>
          <w:rFonts w:hint="cs"/>
          <w:rtl/>
        </w:rPr>
        <w:t>2015 بمبلغ قدره 000 60 فرنك سويسري</w:t>
      </w:r>
      <w:r>
        <w:rPr>
          <w:rFonts w:hint="cs"/>
          <w:rtl/>
        </w:rPr>
        <w:t xml:space="preserve"> كحد أقصى. </w:t>
      </w:r>
      <w:r w:rsidR="00DD503F">
        <w:rPr>
          <w:rFonts w:hint="cs"/>
          <w:rtl/>
        </w:rPr>
        <w:t>ومن المقتر</w:t>
      </w:r>
      <w:r w:rsidR="00DD503F">
        <w:rPr>
          <w:rFonts w:hint="eastAsia"/>
          <w:rtl/>
        </w:rPr>
        <w:t>ح</w:t>
      </w:r>
      <w:r w:rsidR="00DD503F">
        <w:rPr>
          <w:rFonts w:hint="cs"/>
          <w:rtl/>
        </w:rPr>
        <w:t xml:space="preserve"> أن </w:t>
      </w:r>
      <w:r>
        <w:rPr>
          <w:rFonts w:hint="cs"/>
          <w:rtl/>
        </w:rPr>
        <w:t>ي</w:t>
      </w:r>
      <w:r w:rsidR="008C1BA9">
        <w:rPr>
          <w:rFonts w:hint="cs"/>
          <w:rtl/>
        </w:rPr>
        <w:t>خص</w:t>
      </w:r>
      <w:r>
        <w:rPr>
          <w:rFonts w:hint="cs"/>
          <w:rtl/>
        </w:rPr>
        <w:t>َّ</w:t>
      </w:r>
      <w:r w:rsidR="008C1BA9">
        <w:rPr>
          <w:rFonts w:hint="cs"/>
          <w:rtl/>
        </w:rPr>
        <w:t>ص هذا المبلغ من ميزانية البرنامج 4 دون زيادة الميزانية الحالية و</w:t>
      </w:r>
      <w:r w:rsidR="00F52A82">
        <w:rPr>
          <w:rFonts w:hint="cs"/>
          <w:rtl/>
        </w:rPr>
        <w:t>ي</w:t>
      </w:r>
      <w:r w:rsidR="00B650A9">
        <w:rPr>
          <w:rFonts w:hint="cs"/>
          <w:rtl/>
        </w:rPr>
        <w:t>ُ</w:t>
      </w:r>
      <w:r w:rsidR="00F52A82">
        <w:rPr>
          <w:rFonts w:hint="cs"/>
          <w:rtl/>
        </w:rPr>
        <w:t xml:space="preserve">ستمد، حيثما أمكن، </w:t>
      </w:r>
      <w:r w:rsidR="008C1BA9">
        <w:rPr>
          <w:rFonts w:hint="cs"/>
          <w:rtl/>
        </w:rPr>
        <w:t xml:space="preserve">من </w:t>
      </w:r>
      <w:r w:rsidR="00F52A82">
        <w:rPr>
          <w:rFonts w:hint="cs"/>
          <w:rtl/>
        </w:rPr>
        <w:t xml:space="preserve">وفورات </w:t>
      </w:r>
      <w:r w:rsidR="00DD503F">
        <w:rPr>
          <w:rFonts w:hint="cs"/>
          <w:rtl/>
        </w:rPr>
        <w:t>في التكاليف أو بفضل زيادة الفعالية</w:t>
      </w:r>
      <w:r w:rsidR="008C1BA9">
        <w:rPr>
          <w:rFonts w:hint="cs"/>
          <w:rtl/>
        </w:rPr>
        <w:t>.</w:t>
      </w:r>
    </w:p>
    <w:p w:rsidR="008C1BA9" w:rsidRDefault="004962A5" w:rsidP="00DD503F">
      <w:pPr>
        <w:pStyle w:val="NumberedParaAR"/>
        <w:keepNext/>
        <w:numPr>
          <w:ilvl w:val="0"/>
          <w:numId w:val="21"/>
        </w:numPr>
      </w:pPr>
      <w:r>
        <w:rPr>
          <w:rFonts w:hint="cs"/>
          <w:rtl/>
        </w:rPr>
        <w:t>ونظراً إلى الطابع التكميلي للتمويل من ميزانية الويبو العادية، سيستخدم المدير العام</w:t>
      </w:r>
      <w:r w:rsidR="00E227B7">
        <w:rPr>
          <w:rFonts w:hint="cs"/>
          <w:rtl/>
        </w:rPr>
        <w:t xml:space="preserve"> المبلغ المذكور أعلاه لتمويل مشاركة ممثلي الجماعات الأصلية والمحلية وفقاً للشروط التالية:</w:t>
      </w:r>
    </w:p>
    <w:p w:rsidR="009A594F" w:rsidRDefault="009A594F" w:rsidP="001D1FB6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>يقتصر هذا التمويل على الحالات التي تعجز فيه</w:t>
      </w:r>
      <w:r w:rsidR="00DD503F">
        <w:rPr>
          <w:rFonts w:hint="cs"/>
          <w:rtl/>
        </w:rPr>
        <w:t>ا</w:t>
      </w:r>
      <w:r>
        <w:rPr>
          <w:rFonts w:hint="cs"/>
          <w:rtl/>
        </w:rPr>
        <w:t xml:space="preserve"> موارد الصندوق عن تمويل مشاركة أي </w:t>
      </w:r>
      <w:r w:rsidR="001D1FB6">
        <w:rPr>
          <w:rFonts w:hint="cs"/>
          <w:rtl/>
        </w:rPr>
        <w:t>مترشح</w:t>
      </w:r>
      <w:r>
        <w:rPr>
          <w:rFonts w:hint="cs"/>
          <w:rtl/>
        </w:rPr>
        <w:t xml:space="preserve"> يوصى بمشاركته في دورة محددة من دورات اللجنة الحكومية الدولية، قبل انعقاد تلك الدورة بثلاثين يوماً على الأقل؛</w:t>
      </w:r>
    </w:p>
    <w:p w:rsidR="009A594F" w:rsidRDefault="009A594F" w:rsidP="00B650A9">
      <w:pPr>
        <w:pStyle w:val="Numbered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lastRenderedPageBreak/>
        <w:t>(ب)</w:t>
      </w:r>
      <w:r>
        <w:rPr>
          <w:rFonts w:hint="cs"/>
          <w:rtl/>
        </w:rPr>
        <w:tab/>
      </w:r>
      <w:r w:rsidR="00B650A9">
        <w:rPr>
          <w:rFonts w:hint="cs"/>
          <w:rtl/>
        </w:rPr>
        <w:t>ويقتصر الغرض منه على</w:t>
      </w:r>
      <w:r>
        <w:rPr>
          <w:rFonts w:hint="cs"/>
          <w:rtl/>
        </w:rPr>
        <w:t xml:space="preserve"> تنفيذ التوصية الملزمة بالتمويل التي يعتمدها المجلس الاستشاري وفقاً لقواعد الصندوق وفيما يخص دورة اللجنة الحكومية الدولية المعنية.</w:t>
      </w:r>
    </w:p>
    <w:p w:rsidR="009A594F" w:rsidRDefault="00AD2F9B" w:rsidP="002E7D1D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وتجدر الإشارة إلى أن هذا الاقتراح لن يصبح سابقة إذ إن المصروفات التي ستغطى من الموارد المتاحة في الميزانية العادية ستمو</w:t>
      </w:r>
      <w:r w:rsidR="00473019">
        <w:rPr>
          <w:rFonts w:hint="cs"/>
          <w:rtl/>
        </w:rPr>
        <w:t>َّ</w:t>
      </w:r>
      <w:r>
        <w:rPr>
          <w:rFonts w:hint="cs"/>
          <w:rtl/>
        </w:rPr>
        <w:t>ل حصراً وفقاً للتوصيات الملزمة للمجلس الاستشاري للصندوق الذي أنشيء</w:t>
      </w:r>
      <w:r w:rsidR="00473019">
        <w:rPr>
          <w:rFonts w:hint="cs"/>
          <w:rtl/>
        </w:rPr>
        <w:t xml:space="preserve"> تماشياً مع الطبيعة المحددة للجنة الحكومية الدولية وولايتها والمهمة المحددة للصندوق وقواعده. ويجب على ممثلي الجماعات الأصلية والمحلية المعتمدة استيفاء مجموعة من المعايير</w:t>
      </w:r>
      <w:r w:rsidR="00A70D8E">
        <w:rPr>
          <w:rStyle w:val="FootnoteReference"/>
          <w:rtl/>
        </w:rPr>
        <w:footnoteReference w:id="3"/>
      </w:r>
      <w:r w:rsidR="00A70D8E">
        <w:rPr>
          <w:rFonts w:hint="cs"/>
          <w:rtl/>
        </w:rPr>
        <w:t xml:space="preserve"> </w:t>
      </w:r>
      <w:r w:rsidR="00473019">
        <w:rPr>
          <w:rFonts w:hint="cs"/>
          <w:rtl/>
        </w:rPr>
        <w:t>، على النحو الذي يطبقه المجلس الاستشاري للصندوق وفقاً لقواعد الصندوق</w:t>
      </w:r>
      <w:r w:rsidR="002E7D1D">
        <w:rPr>
          <w:rFonts w:hint="cs"/>
          <w:rtl/>
        </w:rPr>
        <w:t>،</w:t>
      </w:r>
      <w:r w:rsidR="002E7D1D" w:rsidRPr="002E7D1D">
        <w:rPr>
          <w:rFonts w:hint="cs"/>
          <w:rtl/>
        </w:rPr>
        <w:t xml:space="preserve"> </w:t>
      </w:r>
      <w:r w:rsidR="002E7D1D">
        <w:rPr>
          <w:rFonts w:hint="cs"/>
          <w:rtl/>
        </w:rPr>
        <w:t>كي يقع عليهم اختيار التمويل</w:t>
      </w:r>
      <w:r w:rsidR="00473019">
        <w:rPr>
          <w:rFonts w:hint="cs"/>
          <w:rtl/>
        </w:rPr>
        <w:t>.</w:t>
      </w:r>
    </w:p>
    <w:p w:rsidR="00473019" w:rsidRDefault="00473019" w:rsidP="002E7D1D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وسيخضع تخصيص</w:t>
      </w:r>
      <w:r w:rsidR="002E7D1D">
        <w:rPr>
          <w:rFonts w:hint="cs"/>
          <w:rtl/>
        </w:rPr>
        <w:t xml:space="preserve"> الأموال</w:t>
      </w:r>
      <w:r>
        <w:rPr>
          <w:rFonts w:hint="cs"/>
          <w:rtl/>
        </w:rPr>
        <w:t xml:space="preserve"> المقترح للصندوق لمتطلبات إعداد التقارير الخاصة بالبرنامج والميزانية التي س</w:t>
      </w:r>
      <w:r w:rsidR="00A70D8E">
        <w:rPr>
          <w:rFonts w:hint="cs"/>
          <w:rtl/>
        </w:rPr>
        <w:t>تكفل الشفافية، بما في ذلك إدراج هذا التخصيص</w:t>
      </w:r>
      <w:r>
        <w:rPr>
          <w:rFonts w:hint="cs"/>
          <w:rtl/>
        </w:rPr>
        <w:t xml:space="preserve"> صراحة في تقرير أداء البرنامج الذي تعده المنظمة وفقاً للنظام المالي ولائحته. وإضافة إلى ذلك، يُتوقع من المدير العام أن </w:t>
      </w:r>
      <w:r w:rsidR="00AF6579">
        <w:rPr>
          <w:rFonts w:hint="cs"/>
          <w:rtl/>
        </w:rPr>
        <w:t>يخطر ب</w:t>
      </w:r>
      <w:r w:rsidR="00A70D8E">
        <w:rPr>
          <w:rFonts w:hint="cs"/>
          <w:rtl/>
        </w:rPr>
        <w:t>أي ا</w:t>
      </w:r>
      <w:r w:rsidR="00AF6579">
        <w:rPr>
          <w:rFonts w:hint="cs"/>
          <w:rtl/>
        </w:rPr>
        <w:t xml:space="preserve">ستخدام </w:t>
      </w:r>
      <w:r w:rsidR="00A70D8E">
        <w:rPr>
          <w:rFonts w:hint="cs"/>
          <w:rtl/>
        </w:rPr>
        <w:t>ل</w:t>
      </w:r>
      <w:r w:rsidR="00AF6579">
        <w:rPr>
          <w:rFonts w:hint="cs"/>
          <w:rtl/>
        </w:rPr>
        <w:t xml:space="preserve">لتمويل الإضافي من الميزانية العادية في </w:t>
      </w:r>
      <w:r w:rsidR="00A70D8E">
        <w:rPr>
          <w:rFonts w:hint="cs"/>
          <w:rtl/>
        </w:rPr>
        <w:t xml:space="preserve">إطار </w:t>
      </w:r>
      <w:r w:rsidR="00AF6579">
        <w:rPr>
          <w:rFonts w:hint="cs"/>
          <w:rtl/>
        </w:rPr>
        <w:t>المذكرات الإعلامية المنتظمة الموجهة إلى اللجنة الحكومية الدولية والمنصوص عليها في إطار قواعد الصندوق ووفقاً للتوصيات الملزمة التي أصدرها المجلس الاستشاري للصندوق.</w:t>
      </w:r>
    </w:p>
    <w:p w:rsidR="00AF6579" w:rsidRDefault="00AF6579" w:rsidP="00AF6579">
      <w:pPr>
        <w:pStyle w:val="NumberedParaAR"/>
        <w:numPr>
          <w:ilvl w:val="0"/>
          <w:numId w:val="21"/>
        </w:numPr>
      </w:pPr>
      <w:r w:rsidRPr="00AF6579">
        <w:rPr>
          <w:rtl/>
        </w:rPr>
        <w:t xml:space="preserve">وفيما يلي فقرة </w:t>
      </w:r>
      <w:r w:rsidR="002E7D1D">
        <w:rPr>
          <w:rFonts w:hint="cs"/>
          <w:rtl/>
        </w:rPr>
        <w:t>ال</w:t>
      </w:r>
      <w:r w:rsidRPr="00AF6579">
        <w:rPr>
          <w:rtl/>
        </w:rPr>
        <w:t xml:space="preserve">قرار </w:t>
      </w:r>
      <w:r w:rsidR="002E7D1D">
        <w:rPr>
          <w:rFonts w:hint="cs"/>
          <w:rtl/>
        </w:rPr>
        <w:t>ال</w:t>
      </w:r>
      <w:r w:rsidRPr="00AF6579">
        <w:rPr>
          <w:rtl/>
        </w:rPr>
        <w:t>مقترحة.</w:t>
      </w:r>
    </w:p>
    <w:p w:rsidR="00AF6579" w:rsidRDefault="00AF6579" w:rsidP="00A70D8E">
      <w:pPr>
        <w:pStyle w:val="DecisionParaAR"/>
        <w:spacing w:after="720"/>
      </w:pPr>
      <w:r>
        <w:rPr>
          <w:rFonts w:hint="cs"/>
          <w:rtl/>
        </w:rPr>
        <w:t xml:space="preserve">إن لجنة البرنامج والميزانية قد نظرت في الاقتراح الوارد في الفقرتين 4 و5 أعلاه وأوصت </w:t>
      </w:r>
      <w:r w:rsidRPr="00AF6579">
        <w:rPr>
          <w:rtl/>
        </w:rPr>
        <w:t>جمعيات الدول الأعضاء في الوي</w:t>
      </w:r>
      <w:r w:rsidR="00A70D8E">
        <w:rPr>
          <w:rtl/>
        </w:rPr>
        <w:t>بو وفي الاتحادات</w:t>
      </w:r>
      <w:r w:rsidR="00A70D8E">
        <w:rPr>
          <w:rFonts w:hint="cs"/>
          <w:rtl/>
        </w:rPr>
        <w:t xml:space="preserve">، </w:t>
      </w:r>
      <w:r>
        <w:rPr>
          <w:rtl/>
        </w:rPr>
        <w:t>كلا فيما يعني</w:t>
      </w:r>
      <w:r>
        <w:rPr>
          <w:rFonts w:hint="cs"/>
          <w:rtl/>
        </w:rPr>
        <w:t>ه</w:t>
      </w:r>
      <w:r w:rsidR="00A70D8E">
        <w:rPr>
          <w:rFonts w:hint="cs"/>
          <w:rtl/>
        </w:rPr>
        <w:t>،</w:t>
      </w:r>
      <w:r>
        <w:rPr>
          <w:rFonts w:hint="cs"/>
          <w:rtl/>
        </w:rPr>
        <w:t xml:space="preserve"> بالموافقة عليه.</w:t>
      </w:r>
    </w:p>
    <w:p w:rsidR="003925C7" w:rsidRPr="00D21DC5" w:rsidRDefault="00C06E26" w:rsidP="00C06E26">
      <w:pPr>
        <w:pStyle w:val="EndofDocumentAR"/>
      </w:pPr>
      <w:r>
        <w:rPr>
          <w:rFonts w:hint="cs"/>
          <w:rtl/>
        </w:rPr>
        <w:t>[نهاية الوثيقة]</w:t>
      </w:r>
    </w:p>
    <w:sectPr w:rsidR="003925C7" w:rsidRPr="00D21DC5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91" w:rsidRDefault="00597891">
      <w:r>
        <w:separator/>
      </w:r>
    </w:p>
  </w:endnote>
  <w:endnote w:type="continuationSeparator" w:id="0">
    <w:p w:rsidR="00597891" w:rsidRDefault="0059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91" w:rsidRDefault="0059789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97891" w:rsidRDefault="00597891" w:rsidP="009622BF">
      <w:pPr>
        <w:bidi/>
      </w:pPr>
      <w:r>
        <w:separator/>
      </w:r>
    </w:p>
  </w:footnote>
  <w:footnote w:id="1">
    <w:p w:rsidR="008B0E60" w:rsidRPr="008B0E60" w:rsidRDefault="008B0E60" w:rsidP="00A70D8E">
      <w:pPr>
        <w:pStyle w:val="FootnoteText"/>
        <w:ind w:left="567" w:hanging="567"/>
      </w:pPr>
      <w:r>
        <w:rPr>
          <w:rStyle w:val="FootnoteReference"/>
        </w:rPr>
        <w:footnoteRef/>
      </w:r>
      <w:r w:rsidR="00A70D8E">
        <w:rPr>
          <w:rFonts w:hint="cs"/>
          <w:rtl/>
        </w:rPr>
        <w:tab/>
      </w:r>
      <w:r w:rsidR="00CF66DB">
        <w:rPr>
          <w:rFonts w:hint="cs"/>
          <w:rtl/>
        </w:rPr>
        <w:t xml:space="preserve">انظر قواعد صندوق التبرعات كما وافقت عليها الجمعية العامة للويبو في دورتها الثانية والثلاثين وعدلتها بعدئذ الجمعية العامة للويبو في دورتها التاسعة والثلاثين (الوثيقتان </w:t>
      </w:r>
      <w:r w:rsidR="00CF66DB">
        <w:t>WO/GA/32/6</w:t>
      </w:r>
      <w:r w:rsidR="00CF66DB">
        <w:rPr>
          <w:rFonts w:hint="cs"/>
          <w:rtl/>
        </w:rPr>
        <w:t xml:space="preserve"> و</w:t>
      </w:r>
      <w:r w:rsidR="00CF66DB">
        <w:t>WO/GA/39/11</w:t>
      </w:r>
      <w:r w:rsidR="00CF66DB">
        <w:rPr>
          <w:rFonts w:hint="cs"/>
          <w:rtl/>
        </w:rPr>
        <w:t xml:space="preserve">)؛ </w:t>
      </w:r>
      <w:hyperlink r:id="rId1" w:history="1">
        <w:r w:rsidR="00CF66DB" w:rsidRPr="00C27ED8">
          <w:rPr>
            <w:rStyle w:val="Hyperlink"/>
            <w:szCs w:val="18"/>
          </w:rPr>
          <w:t>http://www.wipo.int/tk/en/igc/participation.html</w:t>
        </w:r>
      </w:hyperlink>
      <w:r w:rsidR="00CF66DB" w:rsidRPr="00CF66DB">
        <w:rPr>
          <w:rStyle w:val="Hyperlink"/>
          <w:rFonts w:hint="cs"/>
          <w:color w:val="auto"/>
          <w:sz w:val="44"/>
          <w:u w:val="none"/>
          <w:rtl/>
        </w:rPr>
        <w:t>.</w:t>
      </w:r>
    </w:p>
  </w:footnote>
  <w:footnote w:id="2">
    <w:p w:rsidR="008C1BA9" w:rsidRPr="008C1BA9" w:rsidRDefault="008C1BA9" w:rsidP="001D1FB6">
      <w:pPr>
        <w:pStyle w:val="FootnoteText"/>
        <w:ind w:left="567" w:hanging="567"/>
        <w:rPr>
          <w:lang w:val="es-ES"/>
        </w:rPr>
      </w:pPr>
      <w:r>
        <w:rPr>
          <w:rStyle w:val="FootnoteReference"/>
        </w:rPr>
        <w:footnoteRef/>
      </w:r>
      <w:r w:rsidR="00A70D8E">
        <w:rPr>
          <w:rtl/>
        </w:rPr>
        <w:tab/>
      </w:r>
      <w:r w:rsidR="00CF66DB">
        <w:rPr>
          <w:rFonts w:hint="cs"/>
          <w:rtl/>
        </w:rPr>
        <w:t>منشور الويبو رقم</w:t>
      </w:r>
      <w:r>
        <w:rPr>
          <w:rtl/>
        </w:rPr>
        <w:t xml:space="preserve"> </w:t>
      </w:r>
      <w:r w:rsidRPr="008C1BA9">
        <w:rPr>
          <w:lang w:val="es-ES"/>
        </w:rPr>
        <w:t>360</w:t>
      </w:r>
      <w:r w:rsidR="001D1FB6">
        <w:rPr>
          <w:lang w:val="es-ES"/>
        </w:rPr>
        <w:t>A</w:t>
      </w:r>
      <w:r w:rsidRPr="008C1BA9">
        <w:rPr>
          <w:lang w:val="es-ES"/>
        </w:rPr>
        <w:t>/PB14/15</w:t>
      </w:r>
      <w:r w:rsidR="00B650A9">
        <w:rPr>
          <w:rFonts w:hint="cs"/>
          <w:rtl/>
          <w:lang w:val="es-ES"/>
        </w:rPr>
        <w:t>.</w:t>
      </w:r>
    </w:p>
  </w:footnote>
  <w:footnote w:id="3">
    <w:p w:rsidR="00A70D8E" w:rsidRDefault="00A70D8E" w:rsidP="00A70D8E">
      <w:pPr>
        <w:pStyle w:val="FootnoteText"/>
        <w:ind w:left="567" w:hanging="567"/>
      </w:pPr>
      <w:r>
        <w:rPr>
          <w:rStyle w:val="FootnoteReference"/>
        </w:rPr>
        <w:footnoteRef/>
      </w:r>
      <w:r>
        <w:rPr>
          <w:rFonts w:hint="cs"/>
          <w:rtl/>
        </w:rPr>
        <w:tab/>
        <w:t>انظر الفقرة 5 من قواعد صندوق التبرعات.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274410">
    <w:r>
      <w:t>W</w:t>
    </w:r>
    <w:r w:rsidR="00772E46">
      <w:t>O/</w:t>
    </w:r>
    <w:r>
      <w:t>PBC</w:t>
    </w:r>
    <w:r w:rsidR="002F77FC">
      <w:t>/</w:t>
    </w:r>
    <w:r w:rsidR="00772E46">
      <w:t>2</w:t>
    </w:r>
    <w:r w:rsidR="00AA2001">
      <w:t>2</w:t>
    </w:r>
    <w:r w:rsidR="00D21DC5">
      <w:t>/24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FA14CE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97A1054"/>
    <w:lvl w:ilvl="0" w:tplc="ECE25ED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>
      <w:startOverride w:val="1"/>
    </w:lvlOverride>
  </w:num>
  <w:num w:numId="22">
    <w:abstractNumId w:val="10"/>
  </w:num>
  <w:num w:numId="23">
    <w:abstractNumId w:val="1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0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2A8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2A8D"/>
    <w:rsid w:val="0018414E"/>
    <w:rsid w:val="00185718"/>
    <w:rsid w:val="001857AF"/>
    <w:rsid w:val="00185BBE"/>
    <w:rsid w:val="00186606"/>
    <w:rsid w:val="00190B6D"/>
    <w:rsid w:val="00191E75"/>
    <w:rsid w:val="00192022"/>
    <w:rsid w:val="00192D70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1FB6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D1D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5C7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5ECA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517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019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2A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6BD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891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03E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5FB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034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4DA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63F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0E60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BA9"/>
    <w:rsid w:val="008C2729"/>
    <w:rsid w:val="008C3347"/>
    <w:rsid w:val="008C39D6"/>
    <w:rsid w:val="008C3B96"/>
    <w:rsid w:val="008C43BF"/>
    <w:rsid w:val="008C511A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23F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94F"/>
    <w:rsid w:val="009A5C82"/>
    <w:rsid w:val="009B010D"/>
    <w:rsid w:val="009B0AAB"/>
    <w:rsid w:val="009B0D3E"/>
    <w:rsid w:val="009B10D1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D8E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001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2F9B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579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50A9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6E26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3BC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6DB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1DC5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503F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7B7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5C04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2A82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4CE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3925C7"/>
    <w:pPr>
      <w:ind w:left="5534"/>
    </w:pPr>
    <w:rPr>
      <w:rFonts w:eastAsia="SimSun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5C7"/>
    <w:rPr>
      <w:rFonts w:ascii="Arabic Typesetting" w:hAnsi="Arabic Typesetting" w:cs="Arabic Typesetting"/>
      <w:sz w:val="28"/>
      <w:szCs w:val="28"/>
    </w:rPr>
  </w:style>
  <w:style w:type="paragraph" w:customStyle="1" w:styleId="ONUME">
    <w:name w:val="ONUM E"/>
    <w:basedOn w:val="BodyText"/>
    <w:rsid w:val="003925C7"/>
    <w:pPr>
      <w:numPr>
        <w:numId w:val="22"/>
      </w:numPr>
      <w:tabs>
        <w:tab w:val="clear" w:pos="567"/>
        <w:tab w:val="num" w:pos="360"/>
      </w:tabs>
      <w:spacing w:after="220"/>
      <w:ind w:left="360" w:hanging="360"/>
    </w:pPr>
    <w:rPr>
      <w:rFonts w:eastAsia="SimSun"/>
      <w:lang w:eastAsia="zh-CN"/>
    </w:rPr>
  </w:style>
  <w:style w:type="paragraph" w:customStyle="1" w:styleId="Default">
    <w:name w:val="Default"/>
    <w:rsid w:val="003925C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925C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925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25C7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F52A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3925C7"/>
    <w:pPr>
      <w:ind w:left="5534"/>
    </w:pPr>
    <w:rPr>
      <w:rFonts w:eastAsia="SimSun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5C7"/>
    <w:rPr>
      <w:rFonts w:ascii="Arabic Typesetting" w:hAnsi="Arabic Typesetting" w:cs="Arabic Typesetting"/>
      <w:sz w:val="28"/>
      <w:szCs w:val="28"/>
    </w:rPr>
  </w:style>
  <w:style w:type="paragraph" w:customStyle="1" w:styleId="ONUME">
    <w:name w:val="ONUM E"/>
    <w:basedOn w:val="BodyText"/>
    <w:rsid w:val="003925C7"/>
    <w:pPr>
      <w:numPr>
        <w:numId w:val="22"/>
      </w:numPr>
      <w:tabs>
        <w:tab w:val="clear" w:pos="567"/>
        <w:tab w:val="num" w:pos="360"/>
      </w:tabs>
      <w:spacing w:after="220"/>
      <w:ind w:left="360" w:hanging="360"/>
    </w:pPr>
    <w:rPr>
      <w:rFonts w:eastAsia="SimSun"/>
      <w:lang w:eastAsia="zh-CN"/>
    </w:rPr>
  </w:style>
  <w:style w:type="paragraph" w:customStyle="1" w:styleId="Default">
    <w:name w:val="Default"/>
    <w:rsid w:val="003925C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925C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925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25C7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F52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tk/en/igc/particip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21D8-9240-4F21-89DD-91BD33DF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WO/PBC/22/24 (Arabic)</vt:lpstr>
    </vt:vector>
  </TitlesOfParts>
  <Company>World Intellectual Property Organization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WO/PBC/22/24 (Arabic)</dc:title>
  <dc:creator>HASSAN Ahmed</dc:creator>
  <cp:lastModifiedBy>DOYON Geneviève</cp:lastModifiedBy>
  <cp:revision>2</cp:revision>
  <cp:lastPrinted>2014-08-13T08:41:00Z</cp:lastPrinted>
  <dcterms:created xsi:type="dcterms:W3CDTF">2014-08-13T09:11:00Z</dcterms:created>
  <dcterms:modified xsi:type="dcterms:W3CDTF">2014-08-13T09:11:00Z</dcterms:modified>
</cp:coreProperties>
</file>