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C90DA4" w:rsidTr="00E93CA6">
        <w:tc>
          <w:tcPr>
            <w:tcW w:w="4843" w:type="dxa"/>
            <w:tcBorders>
              <w:bottom w:val="single" w:sz="4" w:space="0" w:color="auto"/>
            </w:tcBorders>
          </w:tcPr>
          <w:p w:rsidR="00C90DA4" w:rsidRDefault="00C90DA4" w:rsidP="00E93CA6">
            <w:pPr>
              <w:bidi/>
              <w:rPr>
                <w:rFonts w:ascii="Arabic Typesetting" w:hAnsi="Arabic Typesetting" w:cs="Arabic Typesetting"/>
                <w:sz w:val="36"/>
                <w:szCs w:val="36"/>
                <w:rtl/>
              </w:rPr>
            </w:pPr>
            <w:bookmarkStart w:id="2" w:name="_GoBack"/>
          </w:p>
        </w:tc>
        <w:tc>
          <w:tcPr>
            <w:tcW w:w="4223" w:type="dxa"/>
            <w:tcBorders>
              <w:bottom w:val="single" w:sz="4" w:space="0" w:color="auto"/>
            </w:tcBorders>
          </w:tcPr>
          <w:p w:rsidR="00C90DA4" w:rsidRDefault="00C90DA4" w:rsidP="00E93CA6">
            <w:pPr>
              <w:bidi/>
              <w:spacing w:after="20"/>
              <w:rPr>
                <w:rFonts w:ascii="Arabic Typesetting" w:hAnsi="Arabic Typesetting" w:cs="Arabic Typesetting"/>
                <w:sz w:val="36"/>
                <w:szCs w:val="36"/>
                <w:rtl/>
              </w:rPr>
            </w:pPr>
            <w:r>
              <w:rPr>
                <w:noProof/>
              </w:rPr>
              <w:drawing>
                <wp:inline distT="0" distB="0" distL="0" distR="0" wp14:anchorId="66385327" wp14:editId="19DAE17A">
                  <wp:extent cx="1327150" cy="1263650"/>
                  <wp:effectExtent l="0" t="0" r="6350" b="0"/>
                  <wp:docPr id="2" name="Picture 2"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C90DA4" w:rsidRPr="001667B6" w:rsidRDefault="00C90DA4" w:rsidP="00E93CA6">
            <w:pPr>
              <w:rPr>
                <w:b/>
                <w:bCs/>
                <w:sz w:val="40"/>
                <w:szCs w:val="40"/>
              </w:rPr>
            </w:pPr>
            <w:r>
              <w:rPr>
                <w:b/>
                <w:bCs/>
                <w:sz w:val="40"/>
                <w:szCs w:val="40"/>
              </w:rPr>
              <w:t>A</w:t>
            </w:r>
          </w:p>
        </w:tc>
      </w:tr>
      <w:tr w:rsidR="00C90DA4" w:rsidTr="00E93CA6">
        <w:trPr>
          <w:trHeight w:val="333"/>
        </w:trPr>
        <w:tc>
          <w:tcPr>
            <w:tcW w:w="9571" w:type="dxa"/>
            <w:gridSpan w:val="3"/>
            <w:tcBorders>
              <w:top w:val="single" w:sz="4" w:space="0" w:color="auto"/>
            </w:tcBorders>
            <w:vAlign w:val="bottom"/>
          </w:tcPr>
          <w:p w:rsidR="00C90DA4" w:rsidRPr="00B6101C" w:rsidRDefault="00C90DA4" w:rsidP="00E93CA6">
            <w:pPr>
              <w:pStyle w:val="DocumentCodeAR"/>
              <w:bidi/>
            </w:pPr>
            <w:r>
              <w:t>WO/GA/47</w:t>
            </w:r>
            <w:r w:rsidRPr="00B6101C">
              <w:t>/</w:t>
            </w:r>
            <w:r>
              <w:t>4</w:t>
            </w:r>
          </w:p>
        </w:tc>
      </w:tr>
      <w:tr w:rsidR="00C90DA4" w:rsidTr="00E93CA6">
        <w:tc>
          <w:tcPr>
            <w:tcW w:w="9571" w:type="dxa"/>
            <w:gridSpan w:val="3"/>
          </w:tcPr>
          <w:p w:rsidR="00C90DA4" w:rsidRPr="00B6101C" w:rsidRDefault="00C90DA4" w:rsidP="00E93CA6">
            <w:pPr>
              <w:pStyle w:val="DocumentLanguageAR"/>
              <w:bidi/>
              <w:rPr>
                <w:rtl/>
              </w:rPr>
            </w:pPr>
            <w:r w:rsidRPr="00B6101C">
              <w:rPr>
                <w:rFonts w:hint="cs"/>
                <w:rtl/>
              </w:rPr>
              <w:t xml:space="preserve">الأصل: </w:t>
            </w:r>
            <w:r>
              <w:rPr>
                <w:rFonts w:hint="cs"/>
                <w:rtl/>
              </w:rPr>
              <w:t>بالإنكليزية</w:t>
            </w:r>
          </w:p>
        </w:tc>
      </w:tr>
      <w:tr w:rsidR="00C90DA4" w:rsidTr="00E93CA6">
        <w:tc>
          <w:tcPr>
            <w:tcW w:w="9571" w:type="dxa"/>
            <w:gridSpan w:val="3"/>
          </w:tcPr>
          <w:p w:rsidR="00C90DA4" w:rsidRPr="00B6101C" w:rsidRDefault="00C90DA4" w:rsidP="00E93CA6">
            <w:pPr>
              <w:pStyle w:val="DocumentDateAR"/>
              <w:bidi/>
              <w:rPr>
                <w:rtl/>
              </w:rPr>
            </w:pPr>
            <w:r w:rsidRPr="00B6101C">
              <w:rPr>
                <w:rFonts w:hint="cs"/>
                <w:rtl/>
              </w:rPr>
              <w:t xml:space="preserve">التاريخ: </w:t>
            </w:r>
            <w:r>
              <w:rPr>
                <w:rFonts w:hint="cs"/>
                <w:rtl/>
              </w:rPr>
              <w:t>4</w:t>
            </w:r>
            <w:r w:rsidRPr="00B6101C">
              <w:rPr>
                <w:rFonts w:hint="cs"/>
                <w:rtl/>
              </w:rPr>
              <w:t xml:space="preserve"> </w:t>
            </w:r>
            <w:r>
              <w:rPr>
                <w:rFonts w:hint="cs"/>
                <w:rtl/>
              </w:rPr>
              <w:t>أغسطس</w:t>
            </w:r>
            <w:r w:rsidRPr="00B6101C">
              <w:rPr>
                <w:rFonts w:hint="cs"/>
                <w:rtl/>
              </w:rPr>
              <w:t xml:space="preserve"> </w:t>
            </w:r>
            <w:r>
              <w:rPr>
                <w:rFonts w:hint="cs"/>
                <w:rtl/>
              </w:rPr>
              <w:t>2015</w:t>
            </w:r>
          </w:p>
        </w:tc>
      </w:tr>
    </w:tbl>
    <w:p w:rsidR="00C90DA4" w:rsidRDefault="00C90DA4" w:rsidP="00C90DA4">
      <w:pPr>
        <w:bidi/>
        <w:spacing w:line="360" w:lineRule="exact"/>
        <w:rPr>
          <w:rFonts w:ascii="Arabic Typesetting" w:hAnsi="Arabic Typesetting" w:cs="Arabic Typesetting"/>
          <w:sz w:val="36"/>
          <w:szCs w:val="36"/>
          <w:rtl/>
        </w:rPr>
      </w:pPr>
    </w:p>
    <w:p w:rsidR="00C90DA4" w:rsidRDefault="00C90DA4" w:rsidP="00C90DA4">
      <w:pPr>
        <w:bidi/>
        <w:spacing w:line="360" w:lineRule="exact"/>
        <w:rPr>
          <w:rFonts w:ascii="Arabic Typesetting" w:hAnsi="Arabic Typesetting" w:cs="Arabic Typesetting"/>
          <w:sz w:val="36"/>
          <w:szCs w:val="36"/>
          <w:rtl/>
        </w:rPr>
      </w:pPr>
    </w:p>
    <w:p w:rsidR="00C90DA4" w:rsidRDefault="00C90DA4" w:rsidP="00C90DA4">
      <w:pPr>
        <w:bidi/>
        <w:spacing w:line="360" w:lineRule="exact"/>
        <w:rPr>
          <w:rFonts w:ascii="Arabic Typesetting" w:hAnsi="Arabic Typesetting" w:cs="Arabic Typesetting"/>
          <w:sz w:val="36"/>
          <w:szCs w:val="36"/>
          <w:rtl/>
        </w:rPr>
      </w:pPr>
    </w:p>
    <w:p w:rsidR="00C90DA4" w:rsidRPr="0059089F" w:rsidRDefault="00C90DA4" w:rsidP="00C90DA4">
      <w:pPr>
        <w:pStyle w:val="MeetingTitleAR"/>
        <w:bidi/>
        <w:ind w:right="550"/>
        <w:rPr>
          <w:rtl/>
          <w:lang w:val="fr-CH"/>
        </w:rPr>
      </w:pPr>
      <w:r>
        <w:rPr>
          <w:rFonts w:hint="cs"/>
          <w:rtl/>
          <w:lang w:val="fr-CH"/>
        </w:rPr>
        <w:t>الجمعية العامة للويبو</w:t>
      </w:r>
    </w:p>
    <w:p w:rsidR="00C90DA4" w:rsidRDefault="00C90DA4" w:rsidP="00C90DA4">
      <w:pPr>
        <w:bidi/>
        <w:spacing w:line="360" w:lineRule="exact"/>
        <w:rPr>
          <w:rFonts w:ascii="Arabic Typesetting" w:hAnsi="Arabic Typesetting" w:cs="Arabic Typesetting"/>
          <w:sz w:val="36"/>
          <w:szCs w:val="36"/>
          <w:rtl/>
        </w:rPr>
      </w:pPr>
    </w:p>
    <w:p w:rsidR="00C90DA4" w:rsidRPr="00783D11" w:rsidRDefault="00C90DA4" w:rsidP="00C90DA4">
      <w:pPr>
        <w:pStyle w:val="MeetingSessionAR"/>
        <w:bidi/>
        <w:rPr>
          <w:rFonts w:ascii="Cambria Math" w:hAnsi="Cambria Math"/>
          <w:rtl/>
        </w:rPr>
      </w:pPr>
      <w:r w:rsidRPr="0059089F">
        <w:rPr>
          <w:rFonts w:ascii="Cambria Math" w:hAnsi="Cambria Math"/>
          <w:rtl/>
        </w:rPr>
        <w:t xml:space="preserve">الدورة </w:t>
      </w:r>
      <w:r>
        <w:rPr>
          <w:rFonts w:ascii="Cambria Math" w:hAnsi="Cambria Math" w:hint="cs"/>
          <w:rtl/>
        </w:rPr>
        <w:t>ال</w:t>
      </w:r>
      <w:r>
        <w:rPr>
          <w:rFonts w:ascii="Cambria Math" w:hAnsi="Cambria Math" w:hint="cs"/>
          <w:rtl/>
          <w:lang w:bidi="ar-EG"/>
        </w:rPr>
        <w:t>سابعة</w:t>
      </w:r>
      <w:r>
        <w:rPr>
          <w:rFonts w:ascii="Cambria Math" w:hAnsi="Cambria Math" w:hint="cs"/>
          <w:rtl/>
        </w:rPr>
        <w:t xml:space="preserve"> </w:t>
      </w:r>
      <w:r w:rsidRPr="0059089F">
        <w:rPr>
          <w:rFonts w:ascii="Cambria Math" w:hAnsi="Cambria Math"/>
          <w:rtl/>
        </w:rPr>
        <w:t xml:space="preserve">والأربعون (الدورة </w:t>
      </w:r>
      <w:r>
        <w:rPr>
          <w:rFonts w:ascii="Cambria Math" w:hAnsi="Cambria Math" w:hint="cs"/>
          <w:rtl/>
        </w:rPr>
        <w:t xml:space="preserve">العادية الثانية </w:t>
      </w:r>
      <w:r w:rsidRPr="0059089F">
        <w:rPr>
          <w:rFonts w:ascii="Cambria Math" w:hAnsi="Cambria Math"/>
          <w:rtl/>
        </w:rPr>
        <w:t>والعشرون)</w:t>
      </w:r>
    </w:p>
    <w:p w:rsidR="00C90DA4" w:rsidRPr="00D61541" w:rsidRDefault="00C90DA4" w:rsidP="00C90DA4">
      <w:pPr>
        <w:pStyle w:val="MeetingDatesAR"/>
        <w:bidi/>
        <w:rPr>
          <w:rtl/>
        </w:rPr>
      </w:pPr>
      <w:r w:rsidRPr="00D61541">
        <w:rPr>
          <w:rFonts w:hint="cs"/>
          <w:rtl/>
        </w:rPr>
        <w:t>جنيف،</w:t>
      </w:r>
      <w:r w:rsidR="001E408D">
        <w:rPr>
          <w:rFonts w:hint="cs"/>
          <w:rtl/>
        </w:rPr>
        <w:t xml:space="preserve"> من</w:t>
      </w:r>
      <w:r w:rsidRPr="00D61541">
        <w:rPr>
          <w:rFonts w:hint="cs"/>
          <w:rtl/>
        </w:rPr>
        <w:t xml:space="preserve"> </w:t>
      </w:r>
      <w:r>
        <w:rPr>
          <w:rFonts w:hint="cs"/>
          <w:rtl/>
        </w:rPr>
        <w:t>5 إلى 14 أكتوبر 2015</w:t>
      </w:r>
    </w:p>
    <w:p w:rsidR="00C90DA4" w:rsidRDefault="00C90DA4" w:rsidP="00C90DA4">
      <w:pPr>
        <w:bidi/>
        <w:spacing w:line="360" w:lineRule="exact"/>
        <w:rPr>
          <w:rFonts w:ascii="Arabic Typesetting" w:hAnsi="Arabic Typesetting" w:cs="Arabic Typesetting"/>
          <w:sz w:val="36"/>
          <w:szCs w:val="36"/>
          <w:rtl/>
        </w:rPr>
      </w:pPr>
    </w:p>
    <w:p w:rsidR="00C90DA4" w:rsidRDefault="00C90DA4" w:rsidP="00C90DA4">
      <w:pPr>
        <w:bidi/>
        <w:spacing w:line="360" w:lineRule="exact"/>
        <w:rPr>
          <w:rFonts w:ascii="Arabic Typesetting" w:hAnsi="Arabic Typesetting" w:cs="Arabic Typesetting"/>
          <w:sz w:val="36"/>
          <w:szCs w:val="36"/>
          <w:rtl/>
        </w:rPr>
      </w:pPr>
    </w:p>
    <w:p w:rsidR="00C90DA4" w:rsidRPr="00D61541" w:rsidRDefault="00C90DA4" w:rsidP="00C90DA4">
      <w:pPr>
        <w:pStyle w:val="DocumentTitleAR"/>
        <w:bidi/>
      </w:pPr>
      <w:r w:rsidRPr="00822B2D">
        <w:rPr>
          <w:rtl/>
        </w:rPr>
        <w:t>التقرير السنوي لمدير شعبة الرقابة الداخلية</w:t>
      </w:r>
    </w:p>
    <w:p w:rsidR="00C90DA4" w:rsidRPr="00D61541" w:rsidRDefault="00C90DA4" w:rsidP="00C90DA4">
      <w:pPr>
        <w:pStyle w:val="PreparedbyAR"/>
        <w:bidi/>
        <w:rPr>
          <w:rtl/>
        </w:rPr>
      </w:pPr>
      <w:r w:rsidRPr="00D61541">
        <w:rPr>
          <w:rFonts w:hint="cs"/>
          <w:rtl/>
        </w:rPr>
        <w:t xml:space="preserve">من </w:t>
      </w:r>
      <w:r w:rsidRPr="00931859">
        <w:rPr>
          <w:rFonts w:hint="cs"/>
          <w:rtl/>
        </w:rPr>
        <w:t>إعداد</w:t>
      </w:r>
      <w:r>
        <w:rPr>
          <w:rFonts w:hint="cs"/>
          <w:rtl/>
        </w:rPr>
        <w:t xml:space="preserve"> الأمانة</w:t>
      </w:r>
    </w:p>
    <w:p w:rsidR="00B21861" w:rsidRDefault="00B21861" w:rsidP="008720A9">
      <w:pPr>
        <w:pStyle w:val="NumberedParaAR"/>
      </w:pPr>
      <w:r>
        <w:rPr>
          <w:rFonts w:hint="cs"/>
          <w:rtl/>
        </w:rPr>
        <w:t xml:space="preserve">تحتوي هذه الوثيقة على التقرير السنوي لمدير شعبة الرقابة الداخلية (الوثيقة </w:t>
      </w:r>
      <w:r>
        <w:t>WO/PBC/24/6</w:t>
      </w:r>
      <w:r>
        <w:rPr>
          <w:rFonts w:hint="cs"/>
          <w:rtl/>
          <w:lang w:bidi="ar-EG"/>
        </w:rPr>
        <w:t xml:space="preserve">)، وهو مطروح </w:t>
      </w:r>
      <w:r w:rsidRPr="00B21861">
        <w:rPr>
          <w:rtl/>
          <w:lang w:bidi="ar-EG"/>
        </w:rPr>
        <w:t xml:space="preserve">على لجنة الويبو للبرنامج والميزانية (اللجنة) في دورتها </w:t>
      </w:r>
      <w:r w:rsidR="008720A9">
        <w:rPr>
          <w:rFonts w:hint="cs"/>
          <w:rtl/>
          <w:lang w:bidi="ar-EG"/>
        </w:rPr>
        <w:t>الرابعة</w:t>
      </w:r>
      <w:r w:rsidRPr="00B21861">
        <w:rPr>
          <w:rtl/>
          <w:lang w:bidi="ar-EG"/>
        </w:rPr>
        <w:t xml:space="preserve"> والعشرين (</w:t>
      </w:r>
      <w:r>
        <w:rPr>
          <w:rFonts w:hint="cs"/>
          <w:rtl/>
          <w:lang w:bidi="ar-EG"/>
        </w:rPr>
        <w:t>14</w:t>
      </w:r>
      <w:r w:rsidRPr="00B21861">
        <w:rPr>
          <w:rtl/>
          <w:lang w:bidi="ar-EG"/>
        </w:rPr>
        <w:t xml:space="preserve"> إلى </w:t>
      </w:r>
      <w:r>
        <w:rPr>
          <w:rFonts w:hint="cs"/>
          <w:rtl/>
          <w:lang w:bidi="ar-EG"/>
        </w:rPr>
        <w:t>18</w:t>
      </w:r>
      <w:r w:rsidRPr="00B21861">
        <w:rPr>
          <w:rtl/>
          <w:lang w:bidi="ar-EG"/>
        </w:rPr>
        <w:t xml:space="preserve"> سبتمبر 2</w:t>
      </w:r>
      <w:r>
        <w:rPr>
          <w:rFonts w:hint="cs"/>
          <w:rtl/>
          <w:lang w:bidi="ar-EG"/>
        </w:rPr>
        <w:t>015</w:t>
      </w:r>
      <w:r w:rsidRPr="00B21861">
        <w:rPr>
          <w:rtl/>
          <w:lang w:bidi="ar-EG"/>
        </w:rPr>
        <w:t>).</w:t>
      </w:r>
    </w:p>
    <w:p w:rsidR="00B21861" w:rsidRDefault="00B21861" w:rsidP="008720A9">
      <w:pPr>
        <w:pStyle w:val="NumberedParaAR"/>
      </w:pPr>
      <w:r w:rsidRPr="00B21861">
        <w:rPr>
          <w:rtl/>
        </w:rPr>
        <w:t xml:space="preserve">وسترد أية قرارات للجنة بشأن تلك الوثيقة في قائمة القرارات التي اتخذتها لجنة البرنامج والميزانية في دورتها </w:t>
      </w:r>
      <w:r w:rsidR="008720A9">
        <w:rPr>
          <w:rFonts w:hint="cs"/>
          <w:rtl/>
        </w:rPr>
        <w:t xml:space="preserve">الرابعة </w:t>
      </w:r>
      <w:r w:rsidRPr="00B21861">
        <w:rPr>
          <w:rtl/>
        </w:rPr>
        <w:t>والعشرين (</w:t>
      </w:r>
      <w:r>
        <w:rPr>
          <w:rFonts w:hint="cs"/>
          <w:rtl/>
        </w:rPr>
        <w:t>14</w:t>
      </w:r>
      <w:r w:rsidRPr="00B21861">
        <w:rPr>
          <w:rtl/>
        </w:rPr>
        <w:t xml:space="preserve"> إلى </w:t>
      </w:r>
      <w:r>
        <w:rPr>
          <w:rFonts w:hint="cs"/>
          <w:rtl/>
        </w:rPr>
        <w:t>18</w:t>
      </w:r>
      <w:r w:rsidRPr="00B21861">
        <w:rPr>
          <w:rtl/>
        </w:rPr>
        <w:t xml:space="preserve"> سبتمبر </w:t>
      </w:r>
      <w:r>
        <w:rPr>
          <w:rFonts w:hint="cs"/>
          <w:rtl/>
        </w:rPr>
        <w:t>2015</w:t>
      </w:r>
      <w:r w:rsidRPr="00B21861">
        <w:rPr>
          <w:rtl/>
        </w:rPr>
        <w:t xml:space="preserve">) (الوثيقة </w:t>
      </w:r>
      <w:r w:rsidRPr="00B21861">
        <w:t>A/</w:t>
      </w:r>
      <w:r>
        <w:t>55</w:t>
      </w:r>
      <w:r w:rsidRPr="00B21861">
        <w:t>/</w:t>
      </w:r>
      <w:r>
        <w:t>4</w:t>
      </w:r>
      <w:r w:rsidRPr="00B21861">
        <w:rPr>
          <w:rtl/>
        </w:rPr>
        <w:t>).</w:t>
      </w:r>
    </w:p>
    <w:p w:rsidR="00C90DA4" w:rsidRDefault="00B21861" w:rsidP="00B21861">
      <w:pPr>
        <w:pStyle w:val="EndofDocumentAR"/>
        <w:rPr>
          <w:lang w:bidi="ar-EG"/>
        </w:rPr>
      </w:pPr>
      <w:r>
        <w:rPr>
          <w:rFonts w:hint="cs"/>
          <w:rtl/>
          <w:lang w:bidi="ar-EG"/>
        </w:rPr>
        <w:t xml:space="preserve">[تلي ذلك الوثيقة </w:t>
      </w:r>
      <w:r>
        <w:rPr>
          <w:lang w:bidi="ar-EG"/>
        </w:rPr>
        <w:t>WO/PBC/24/6</w:t>
      </w:r>
      <w:r>
        <w:rPr>
          <w:rFonts w:hint="cs"/>
          <w:rtl/>
          <w:lang w:bidi="ar-EG"/>
        </w:rPr>
        <w:t>]</w:t>
      </w:r>
    </w:p>
    <w:p w:rsidR="009B4206" w:rsidRDefault="009B4206">
      <w:pPr>
        <w:rPr>
          <w:rFonts w:ascii="Arabic Typesetting" w:hAnsi="Arabic Typesetting" w:cs="Arabic Typesetting"/>
          <w:sz w:val="36"/>
          <w:szCs w:val="36"/>
          <w:rtl/>
          <w:lang w:bidi="ar-EG"/>
        </w:rPr>
      </w:pPr>
      <w:r>
        <w:rPr>
          <w:rtl/>
          <w:lang w:bidi="ar-EG"/>
        </w:rPr>
        <w:br w:type="page"/>
      </w:r>
    </w:p>
    <w:bookmarkEnd w:id="2"/>
    <w:p w:rsidR="007E5B6E" w:rsidRDefault="007E5B6E" w:rsidP="00E526C6">
      <w:pPr>
        <w:pStyle w:val="NormalParaAR"/>
        <w:rPr>
          <w:lang w:bidi="ar-EG"/>
        </w:rPr>
      </w:pPr>
    </w:p>
    <w:p w:rsidR="009B4206" w:rsidRDefault="009B4206" w:rsidP="00E526C6">
      <w:pPr>
        <w:pStyle w:val="NormalParaAR"/>
        <w:rPr>
          <w:lang w:bidi="ar-EG"/>
        </w:rPr>
      </w:pPr>
    </w:p>
    <w:p w:rsidR="009B4206" w:rsidRDefault="009B4206" w:rsidP="00E526C6">
      <w:pPr>
        <w:pStyle w:val="NormalParaAR"/>
        <w:rPr>
          <w:lang w:bidi="ar-EG"/>
        </w:rPr>
      </w:pPr>
    </w:p>
    <w:p w:rsidR="009B4206" w:rsidRDefault="009B4206" w:rsidP="00E526C6">
      <w:pPr>
        <w:pStyle w:val="NormalParaAR"/>
        <w:rPr>
          <w:rtl/>
          <w:lang w:bidi="ar-EG"/>
        </w:rPr>
        <w:sectPr w:rsidR="009B4206" w:rsidSect="00EB7752">
          <w:pgSz w:w="11907" w:h="16840" w:code="9"/>
          <w:pgMar w:top="567" w:right="1418" w:bottom="1418" w:left="1134" w:header="510" w:footer="1021" w:gutter="0"/>
          <w:cols w:space="720"/>
          <w:titlePg/>
          <w:docGrid w:linePitch="299"/>
        </w:sectPr>
      </w:pPr>
    </w:p>
    <w:tbl>
      <w:tblPr>
        <w:bidiVisual/>
        <w:tblW w:w="0" w:type="auto"/>
        <w:tblLook w:val="01E0" w:firstRow="1" w:lastRow="1" w:firstColumn="1" w:lastColumn="1" w:noHBand="0" w:noVBand="0"/>
      </w:tblPr>
      <w:tblGrid>
        <w:gridCol w:w="4843"/>
        <w:gridCol w:w="4223"/>
        <w:gridCol w:w="505"/>
      </w:tblGrid>
      <w:tr w:rsidR="00C90DA4" w:rsidRPr="001A28BF" w:rsidTr="00E93CA6">
        <w:tc>
          <w:tcPr>
            <w:tcW w:w="4843" w:type="dxa"/>
            <w:tcBorders>
              <w:bottom w:val="single" w:sz="4" w:space="0" w:color="auto"/>
            </w:tcBorders>
          </w:tcPr>
          <w:p w:rsidR="00C90DA4" w:rsidRPr="001A28BF" w:rsidRDefault="00C90DA4" w:rsidP="00E93CA6">
            <w:pPr>
              <w:bidi/>
              <w:rPr>
                <w:rFonts w:ascii="Arabic Typesetting" w:hAnsi="Arabic Typesetting" w:cs="Arabic Typesetting"/>
                <w:sz w:val="36"/>
                <w:szCs w:val="36"/>
                <w:rtl/>
              </w:rPr>
            </w:pPr>
          </w:p>
        </w:tc>
        <w:tc>
          <w:tcPr>
            <w:tcW w:w="4223" w:type="dxa"/>
            <w:tcBorders>
              <w:bottom w:val="single" w:sz="4" w:space="0" w:color="auto"/>
            </w:tcBorders>
          </w:tcPr>
          <w:p w:rsidR="00C90DA4" w:rsidRPr="001A28BF" w:rsidRDefault="00C90DA4" w:rsidP="00E93CA6">
            <w:pPr>
              <w:bidi/>
              <w:spacing w:after="20"/>
              <w:rPr>
                <w:rFonts w:ascii="Arabic Typesetting" w:hAnsi="Arabic Typesetting" w:cs="Arabic Typesetting"/>
                <w:sz w:val="36"/>
                <w:szCs w:val="36"/>
                <w:rtl/>
              </w:rPr>
            </w:pPr>
            <w:r w:rsidRPr="001A28BF">
              <w:rPr>
                <w:noProof/>
              </w:rPr>
              <w:drawing>
                <wp:inline distT="0" distB="0" distL="0" distR="0" wp14:anchorId="0A43C848" wp14:editId="656717C5">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C90DA4" w:rsidRPr="001A28BF" w:rsidRDefault="00C90DA4" w:rsidP="00E93CA6">
            <w:pPr>
              <w:rPr>
                <w:b/>
                <w:bCs/>
                <w:sz w:val="40"/>
                <w:szCs w:val="40"/>
              </w:rPr>
            </w:pPr>
            <w:r w:rsidRPr="001A28BF">
              <w:rPr>
                <w:b/>
                <w:bCs/>
                <w:sz w:val="40"/>
                <w:szCs w:val="40"/>
              </w:rPr>
              <w:t>A</w:t>
            </w:r>
          </w:p>
        </w:tc>
      </w:tr>
      <w:tr w:rsidR="00C90DA4" w:rsidRPr="001A28BF" w:rsidTr="00E93CA6">
        <w:trPr>
          <w:trHeight w:val="333"/>
        </w:trPr>
        <w:tc>
          <w:tcPr>
            <w:tcW w:w="9571" w:type="dxa"/>
            <w:gridSpan w:val="3"/>
            <w:tcBorders>
              <w:top w:val="single" w:sz="4" w:space="0" w:color="auto"/>
            </w:tcBorders>
            <w:vAlign w:val="bottom"/>
          </w:tcPr>
          <w:p w:rsidR="00C90DA4" w:rsidRPr="001A28BF" w:rsidRDefault="00C90DA4" w:rsidP="001E408D">
            <w:pPr>
              <w:bidi/>
              <w:jc w:val="right"/>
              <w:rPr>
                <w:rFonts w:ascii="Arial Black" w:hAnsi="Arial Black" w:cs="Arabic Typesetting"/>
                <w:b/>
                <w:bCs/>
                <w:sz w:val="16"/>
                <w:szCs w:val="16"/>
                <w:rtl/>
              </w:rPr>
            </w:pPr>
            <w:r w:rsidRPr="001A28BF">
              <w:rPr>
                <w:rFonts w:ascii="Arial Black" w:hAnsi="Arial Black" w:cs="Arabic Typesetting"/>
                <w:b/>
                <w:bCs/>
                <w:sz w:val="16"/>
                <w:szCs w:val="16"/>
              </w:rPr>
              <w:t>WO/PBC/</w:t>
            </w:r>
            <w:r w:rsidR="001E408D">
              <w:rPr>
                <w:rFonts w:ascii="Arial Black" w:hAnsi="Arial Black" w:cs="Arabic Typesetting"/>
                <w:b/>
                <w:bCs/>
                <w:sz w:val="16"/>
                <w:szCs w:val="16"/>
              </w:rPr>
              <w:t>24/6</w:t>
            </w:r>
          </w:p>
        </w:tc>
      </w:tr>
      <w:tr w:rsidR="00C90DA4" w:rsidRPr="001A28BF" w:rsidTr="00E93CA6">
        <w:tc>
          <w:tcPr>
            <w:tcW w:w="9571" w:type="dxa"/>
            <w:gridSpan w:val="3"/>
          </w:tcPr>
          <w:p w:rsidR="00C90DA4" w:rsidRPr="001A28BF" w:rsidRDefault="001E408D" w:rsidP="00E93CA6">
            <w:pPr>
              <w:bidi/>
              <w:spacing w:line="240" w:lineRule="exact"/>
              <w:jc w:val="right"/>
              <w:rPr>
                <w:rFonts w:ascii="Arabic Typesetting" w:hAnsi="Arabic Typesetting" w:cs="Arabic Typesetting"/>
                <w:b/>
                <w:bCs/>
                <w:sz w:val="30"/>
                <w:szCs w:val="30"/>
                <w:rtl/>
              </w:rPr>
            </w:pPr>
            <w:r>
              <w:rPr>
                <w:rFonts w:ascii="Arabic Typesetting" w:hAnsi="Arabic Typesetting" w:cs="Arabic Typesetting" w:hint="cs"/>
                <w:b/>
                <w:bCs/>
                <w:sz w:val="30"/>
                <w:szCs w:val="30"/>
                <w:rtl/>
              </w:rPr>
              <w:t>الأصل: بالإنكليزية</w:t>
            </w:r>
          </w:p>
        </w:tc>
      </w:tr>
      <w:tr w:rsidR="00C90DA4" w:rsidRPr="001A28BF" w:rsidTr="00E93CA6">
        <w:tc>
          <w:tcPr>
            <w:tcW w:w="9571" w:type="dxa"/>
            <w:gridSpan w:val="3"/>
          </w:tcPr>
          <w:p w:rsidR="00C90DA4" w:rsidRPr="001A28BF" w:rsidRDefault="00C90DA4" w:rsidP="001E408D">
            <w:pPr>
              <w:bidi/>
              <w:jc w:val="right"/>
              <w:rPr>
                <w:rFonts w:ascii="Arabic Typesetting" w:hAnsi="Arabic Typesetting" w:cs="Arabic Typesetting"/>
                <w:b/>
                <w:bCs/>
                <w:sz w:val="30"/>
                <w:szCs w:val="30"/>
                <w:rtl/>
              </w:rPr>
            </w:pPr>
            <w:r w:rsidRPr="001A28BF">
              <w:rPr>
                <w:rFonts w:ascii="Arabic Typesetting" w:hAnsi="Arabic Typesetting" w:cs="Arabic Typesetting" w:hint="cs"/>
                <w:b/>
                <w:bCs/>
                <w:sz w:val="30"/>
                <w:szCs w:val="30"/>
                <w:rtl/>
              </w:rPr>
              <w:t xml:space="preserve">التاريخ: </w:t>
            </w:r>
            <w:r w:rsidR="001E408D">
              <w:rPr>
                <w:rFonts w:ascii="Arabic Typesetting" w:hAnsi="Arabic Typesetting" w:cs="Arabic Typesetting" w:hint="cs"/>
                <w:b/>
                <w:bCs/>
                <w:sz w:val="30"/>
                <w:szCs w:val="30"/>
                <w:rtl/>
              </w:rPr>
              <w:t>14</w:t>
            </w:r>
            <w:r w:rsidRPr="001A28BF">
              <w:rPr>
                <w:rFonts w:ascii="Arabic Typesetting" w:hAnsi="Arabic Typesetting" w:cs="Arabic Typesetting" w:hint="cs"/>
                <w:b/>
                <w:bCs/>
                <w:sz w:val="30"/>
                <w:szCs w:val="30"/>
                <w:rtl/>
              </w:rPr>
              <w:t xml:space="preserve"> </w:t>
            </w:r>
            <w:r w:rsidR="001E408D">
              <w:rPr>
                <w:rFonts w:ascii="Arabic Typesetting" w:hAnsi="Arabic Typesetting" w:cs="Arabic Typesetting" w:hint="cs"/>
                <w:b/>
                <w:bCs/>
                <w:sz w:val="30"/>
                <w:szCs w:val="30"/>
                <w:rtl/>
              </w:rPr>
              <w:t>يوليو</w:t>
            </w:r>
            <w:r w:rsidRPr="001A28BF">
              <w:rPr>
                <w:rFonts w:ascii="Arabic Typesetting" w:hAnsi="Arabic Typesetting" w:cs="Arabic Typesetting" w:hint="cs"/>
                <w:b/>
                <w:bCs/>
                <w:sz w:val="30"/>
                <w:szCs w:val="30"/>
                <w:rtl/>
              </w:rPr>
              <w:t xml:space="preserve"> </w:t>
            </w:r>
            <w:r>
              <w:rPr>
                <w:rFonts w:ascii="Arabic Typesetting" w:hAnsi="Arabic Typesetting" w:cs="Arabic Typesetting" w:hint="cs"/>
                <w:b/>
                <w:bCs/>
                <w:sz w:val="30"/>
                <w:szCs w:val="30"/>
                <w:rtl/>
              </w:rPr>
              <w:t>2015</w:t>
            </w:r>
          </w:p>
        </w:tc>
      </w:tr>
    </w:tbl>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ind w:right="550"/>
        <w:rPr>
          <w:rFonts w:ascii="Arial Black" w:hAnsi="Arial Black" w:cs="PT Bold Heading"/>
          <w:sz w:val="34"/>
          <w:szCs w:val="34"/>
          <w:rtl/>
          <w:lang w:val="fr-CH"/>
        </w:rPr>
      </w:pPr>
      <w:r w:rsidRPr="001A28BF">
        <w:rPr>
          <w:rFonts w:ascii="Arial Black" w:hAnsi="Arial Black" w:cs="PT Bold Heading"/>
          <w:sz w:val="34"/>
          <w:szCs w:val="34"/>
          <w:rtl/>
        </w:rPr>
        <w:t xml:space="preserve">لجنة </w:t>
      </w:r>
      <w:r w:rsidRPr="001A28BF">
        <w:rPr>
          <w:rFonts w:ascii="Arial Black" w:hAnsi="Arial Black" w:cs="PT Bold Heading" w:hint="cs"/>
          <w:sz w:val="34"/>
          <w:szCs w:val="34"/>
          <w:rtl/>
          <w:lang w:val="fr-CH"/>
        </w:rPr>
        <w:t>البرنامج والميزانية</w:t>
      </w: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1E408D">
      <w:pPr>
        <w:bidi/>
        <w:spacing w:line="360" w:lineRule="exact"/>
        <w:rPr>
          <w:rFonts w:ascii="Cambria Math" w:hAnsi="Cambria Math" w:cs="PT Bold Heading"/>
          <w:sz w:val="30"/>
          <w:szCs w:val="30"/>
          <w:rtl/>
        </w:rPr>
      </w:pPr>
      <w:r w:rsidRPr="001A28BF">
        <w:rPr>
          <w:rFonts w:ascii="Cambria Math" w:hAnsi="Cambria Math" w:cs="PT Bold Heading"/>
          <w:sz w:val="30"/>
          <w:szCs w:val="30"/>
          <w:rtl/>
        </w:rPr>
        <w:t xml:space="preserve">الدورة </w:t>
      </w:r>
      <w:r w:rsidR="001E408D">
        <w:rPr>
          <w:rFonts w:ascii="Cambria Math" w:hAnsi="Cambria Math" w:cs="PT Bold Heading" w:hint="cs"/>
          <w:sz w:val="30"/>
          <w:szCs w:val="30"/>
          <w:rtl/>
        </w:rPr>
        <w:t>الرابعة</w:t>
      </w:r>
      <w:r w:rsidRPr="001A28BF">
        <w:rPr>
          <w:rFonts w:ascii="Cambria Math" w:hAnsi="Cambria Math" w:cs="PT Bold Heading" w:hint="cs"/>
          <w:sz w:val="30"/>
          <w:szCs w:val="30"/>
          <w:rtl/>
        </w:rPr>
        <w:t xml:space="preserve"> والعشرون</w:t>
      </w:r>
    </w:p>
    <w:p w:rsidR="00C90DA4" w:rsidRPr="001A28BF" w:rsidRDefault="00C90DA4" w:rsidP="001E408D">
      <w:pPr>
        <w:bidi/>
        <w:spacing w:line="360" w:lineRule="exact"/>
        <w:rPr>
          <w:rFonts w:ascii="Arabic Typesetting" w:hAnsi="Arabic Typesetting" w:cs="Arabic Typesetting"/>
          <w:b/>
          <w:bCs/>
          <w:sz w:val="36"/>
          <w:szCs w:val="36"/>
          <w:rtl/>
        </w:rPr>
      </w:pPr>
      <w:r w:rsidRPr="001A28BF">
        <w:rPr>
          <w:rFonts w:ascii="Arabic Typesetting" w:hAnsi="Arabic Typesetting" w:cs="Arabic Typesetting" w:hint="cs"/>
          <w:b/>
          <w:bCs/>
          <w:sz w:val="36"/>
          <w:szCs w:val="36"/>
          <w:rtl/>
        </w:rPr>
        <w:t xml:space="preserve">جنيف، من </w:t>
      </w:r>
      <w:r w:rsidR="001E408D">
        <w:rPr>
          <w:rFonts w:ascii="Arabic Typesetting" w:hAnsi="Arabic Typesetting" w:cs="Arabic Typesetting" w:hint="cs"/>
          <w:b/>
          <w:bCs/>
          <w:sz w:val="36"/>
          <w:szCs w:val="36"/>
          <w:rtl/>
        </w:rPr>
        <w:t>14</w:t>
      </w:r>
      <w:r w:rsidRPr="001A28BF">
        <w:rPr>
          <w:rFonts w:ascii="Arabic Typesetting" w:hAnsi="Arabic Typesetting" w:cs="Arabic Typesetting" w:hint="cs"/>
          <w:b/>
          <w:bCs/>
          <w:sz w:val="36"/>
          <w:szCs w:val="36"/>
          <w:rtl/>
        </w:rPr>
        <w:t xml:space="preserve"> إلى </w:t>
      </w:r>
      <w:r w:rsidR="001E408D">
        <w:rPr>
          <w:rFonts w:ascii="Arabic Typesetting" w:hAnsi="Arabic Typesetting" w:cs="Arabic Typesetting" w:hint="cs"/>
          <w:b/>
          <w:bCs/>
          <w:sz w:val="36"/>
          <w:szCs w:val="36"/>
          <w:rtl/>
        </w:rPr>
        <w:t>18</w:t>
      </w:r>
      <w:r w:rsidRPr="001A28BF">
        <w:rPr>
          <w:rFonts w:ascii="Arabic Typesetting" w:hAnsi="Arabic Typesetting" w:cs="Arabic Typesetting" w:hint="cs"/>
          <w:b/>
          <w:bCs/>
          <w:sz w:val="36"/>
          <w:szCs w:val="36"/>
          <w:rtl/>
        </w:rPr>
        <w:t xml:space="preserve"> </w:t>
      </w:r>
      <w:r w:rsidR="001E408D">
        <w:rPr>
          <w:rFonts w:ascii="Arabic Typesetting" w:hAnsi="Arabic Typesetting" w:cs="Arabic Typesetting" w:hint="cs"/>
          <w:b/>
          <w:bCs/>
          <w:sz w:val="36"/>
          <w:szCs w:val="36"/>
          <w:rtl/>
        </w:rPr>
        <w:t>سبتمبر</w:t>
      </w:r>
      <w:r w:rsidRPr="001A28BF">
        <w:rPr>
          <w:rFonts w:ascii="Arabic Typesetting" w:hAnsi="Arabic Typesetting" w:cs="Arabic Typesetting" w:hint="cs"/>
          <w:b/>
          <w:bCs/>
          <w:sz w:val="36"/>
          <w:szCs w:val="36"/>
          <w:rtl/>
        </w:rPr>
        <w:t xml:space="preserve"> </w:t>
      </w:r>
      <w:r>
        <w:rPr>
          <w:rFonts w:ascii="Arabic Typesetting" w:hAnsi="Arabic Typesetting" w:cs="Arabic Typesetting" w:hint="cs"/>
          <w:b/>
          <w:bCs/>
          <w:sz w:val="36"/>
          <w:szCs w:val="36"/>
          <w:rtl/>
        </w:rPr>
        <w:t>2015</w:t>
      </w: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C90DA4" w:rsidP="00C90DA4">
      <w:pPr>
        <w:bidi/>
        <w:spacing w:line="360" w:lineRule="exact"/>
        <w:rPr>
          <w:rFonts w:ascii="Arabic Typesetting" w:hAnsi="Arabic Typesetting" w:cs="Arabic Typesetting"/>
          <w:sz w:val="36"/>
          <w:szCs w:val="36"/>
          <w:rtl/>
        </w:rPr>
      </w:pPr>
    </w:p>
    <w:p w:rsidR="00C90DA4" w:rsidRPr="001A28BF" w:rsidRDefault="002C1BFB" w:rsidP="00C90DA4">
      <w:pPr>
        <w:bidi/>
        <w:spacing w:line="360" w:lineRule="exact"/>
        <w:rPr>
          <w:rFonts w:ascii="Arial Black" w:hAnsi="Arial Black" w:cs="PT Bold Heading"/>
          <w:sz w:val="26"/>
          <w:szCs w:val="26"/>
          <w:rtl/>
        </w:rPr>
      </w:pPr>
      <w:r w:rsidRPr="002C1BFB">
        <w:rPr>
          <w:rFonts w:ascii="Arial Black" w:hAnsi="Arial Black" w:cs="PT Bold Heading"/>
          <w:sz w:val="26"/>
          <w:szCs w:val="26"/>
          <w:rtl/>
        </w:rPr>
        <w:t>التقرير السنوي لمدير شعبة الرقابة الداخلية</w:t>
      </w:r>
    </w:p>
    <w:p w:rsidR="00C90DA4" w:rsidRPr="001A28BF" w:rsidRDefault="00C90DA4" w:rsidP="00C90DA4">
      <w:pPr>
        <w:bidi/>
        <w:spacing w:before="240" w:after="840" w:line="360" w:lineRule="exact"/>
        <w:rPr>
          <w:rFonts w:ascii="Arabic Typesetting" w:hAnsi="Arabic Typesetting" w:cs="Arabic Typesetting"/>
          <w:i/>
          <w:iCs/>
          <w:sz w:val="36"/>
          <w:szCs w:val="36"/>
          <w:rtl/>
        </w:rPr>
      </w:pPr>
      <w:r w:rsidRPr="001A28BF">
        <w:rPr>
          <w:rFonts w:ascii="Arabic Typesetting" w:hAnsi="Arabic Typesetting" w:cs="Arabic Typesetting" w:hint="cs"/>
          <w:i/>
          <w:iCs/>
          <w:sz w:val="36"/>
          <w:szCs w:val="36"/>
          <w:rtl/>
        </w:rPr>
        <w:t>من إعداد</w:t>
      </w:r>
      <w:r w:rsidR="002C1BFB">
        <w:rPr>
          <w:rFonts w:ascii="Arabic Typesetting" w:hAnsi="Arabic Typesetting" w:cs="Arabic Typesetting" w:hint="cs"/>
          <w:i/>
          <w:iCs/>
          <w:sz w:val="36"/>
          <w:szCs w:val="36"/>
          <w:rtl/>
        </w:rPr>
        <w:t xml:space="preserve"> الأمانة</w:t>
      </w:r>
    </w:p>
    <w:p w:rsidR="00C90DA4" w:rsidRDefault="005E0B08" w:rsidP="00105F2C">
      <w:pPr>
        <w:pStyle w:val="NumberedParaAR"/>
        <w:numPr>
          <w:ilvl w:val="0"/>
          <w:numId w:val="3"/>
        </w:numPr>
        <w:rPr>
          <w:rtl/>
        </w:rPr>
      </w:pPr>
      <w:r>
        <w:rPr>
          <w:rFonts w:hint="cs"/>
          <w:rtl/>
        </w:rPr>
        <w:t>وفقاً للفقرة</w:t>
      </w:r>
      <w:r w:rsidR="005D15AA">
        <w:rPr>
          <w:rFonts w:hint="eastAsia"/>
          <w:rtl/>
        </w:rPr>
        <w:t> </w:t>
      </w:r>
      <w:r>
        <w:rPr>
          <w:rFonts w:hint="cs"/>
          <w:rtl/>
        </w:rPr>
        <w:t xml:space="preserve">38 من ميثاق </w:t>
      </w:r>
      <w:r>
        <w:rPr>
          <w:rFonts w:hint="cs"/>
          <w:rtl/>
          <w:lang w:bidi="ar-EG"/>
        </w:rPr>
        <w:t>الرقابة الداخلية، يقدم المدير العام تقريراً دورياً كتابة إلى لجنة البرنامج والميزانية. ويوفر هذا التقرير معلومات عن الأنشطة الرئيسية التي اضطلعت بها شعبة الرقابة الداخلية في الفترة الممتدة من 1</w:t>
      </w:r>
      <w:r w:rsidR="005D15AA">
        <w:rPr>
          <w:rFonts w:hint="eastAsia"/>
          <w:rtl/>
          <w:lang w:bidi="ar-EG"/>
        </w:rPr>
        <w:t> </w:t>
      </w:r>
      <w:r>
        <w:rPr>
          <w:rFonts w:hint="cs"/>
          <w:rtl/>
          <w:lang w:bidi="ar-EG"/>
        </w:rPr>
        <w:t>يوليو</w:t>
      </w:r>
      <w:r w:rsidR="005D15AA">
        <w:rPr>
          <w:rFonts w:hint="eastAsia"/>
          <w:rtl/>
          <w:lang w:bidi="ar-EG"/>
        </w:rPr>
        <w:t> </w:t>
      </w:r>
      <w:r w:rsidR="005D15AA">
        <w:rPr>
          <w:rFonts w:hint="cs"/>
          <w:rtl/>
          <w:lang w:bidi="ar-EG"/>
        </w:rPr>
        <w:t xml:space="preserve">2014 إلى </w:t>
      </w:r>
      <w:r>
        <w:rPr>
          <w:rFonts w:hint="cs"/>
          <w:rtl/>
          <w:lang w:bidi="ar-EG"/>
        </w:rPr>
        <w:t>30</w:t>
      </w:r>
      <w:r w:rsidR="005D15AA">
        <w:rPr>
          <w:rFonts w:hint="eastAsia"/>
          <w:rtl/>
          <w:lang w:bidi="ar-EG"/>
        </w:rPr>
        <w:t> </w:t>
      </w:r>
      <w:r>
        <w:rPr>
          <w:rFonts w:hint="cs"/>
          <w:rtl/>
          <w:lang w:bidi="ar-EG"/>
        </w:rPr>
        <w:t>يونيو</w:t>
      </w:r>
      <w:r w:rsidR="005D15AA">
        <w:rPr>
          <w:rFonts w:hint="eastAsia"/>
          <w:rtl/>
          <w:lang w:bidi="ar-EG"/>
        </w:rPr>
        <w:t> </w:t>
      </w:r>
      <w:r>
        <w:rPr>
          <w:rFonts w:hint="cs"/>
          <w:rtl/>
          <w:lang w:bidi="ar-EG"/>
        </w:rPr>
        <w:t>2015.</w:t>
      </w:r>
    </w:p>
    <w:p w:rsidR="00C90DA4" w:rsidRDefault="005E0B08" w:rsidP="002C1BFB">
      <w:pPr>
        <w:pStyle w:val="NumberedParaAR"/>
        <w:rPr>
          <w:rtl/>
        </w:rPr>
      </w:pPr>
      <w:r>
        <w:rPr>
          <w:rFonts w:hint="cs"/>
          <w:rtl/>
        </w:rPr>
        <w:t>وفيما يلي فقرة القرار المقترحة.</w:t>
      </w:r>
    </w:p>
    <w:p w:rsidR="002C1BFB" w:rsidRDefault="005E0B08" w:rsidP="002C1BFB">
      <w:pPr>
        <w:pStyle w:val="DecisionParaAR"/>
      </w:pPr>
      <w:r>
        <w:rPr>
          <w:rFonts w:hint="cs"/>
          <w:rtl/>
        </w:rPr>
        <w:t xml:space="preserve">أحاطت لجنة البرنامج والميزانية علماً بالتقرير السنوي لمدير شعبة الرقابة الداخلية (الوثيقة </w:t>
      </w:r>
      <w:r>
        <w:t>WO/PBC/24/6</w:t>
      </w:r>
      <w:r>
        <w:rPr>
          <w:rFonts w:hint="cs"/>
          <w:rtl/>
          <w:lang w:bidi="ar-EG"/>
        </w:rPr>
        <w:t>).</w:t>
      </w:r>
    </w:p>
    <w:p w:rsidR="005E0B08" w:rsidRDefault="005E0B08" w:rsidP="005E0B08">
      <w:pPr>
        <w:pStyle w:val="EndofDocumentAR"/>
        <w:rPr>
          <w:rtl/>
        </w:rPr>
      </w:pPr>
      <w:r>
        <w:rPr>
          <w:rFonts w:hint="cs"/>
          <w:rtl/>
        </w:rPr>
        <w:t>[يلي ذلك التقرير السنوي لمدير شعبة الرقابة الداخلية]</w:t>
      </w:r>
    </w:p>
    <w:p w:rsidR="002C1BFB" w:rsidRDefault="002C1BFB" w:rsidP="00BA00B3">
      <w:pPr>
        <w:pStyle w:val="EndofDocumentAR"/>
      </w:pPr>
    </w:p>
    <w:p w:rsidR="00BA00B3" w:rsidRDefault="00BA00B3" w:rsidP="00BA00B3">
      <w:pPr>
        <w:pStyle w:val="NormalParaAR"/>
        <w:rPr>
          <w:rtl/>
        </w:rPr>
        <w:sectPr w:rsidR="00BA00B3" w:rsidSect="007E5B6E">
          <w:headerReference w:type="first" r:id="rId10"/>
          <w:type w:val="oddPage"/>
          <w:pgSz w:w="11907" w:h="16840" w:code="9"/>
          <w:pgMar w:top="567" w:right="1418" w:bottom="1418" w:left="1134" w:header="510" w:footer="1021" w:gutter="0"/>
          <w:cols w:space="720"/>
          <w:titlePg/>
          <w:docGrid w:linePitch="299"/>
        </w:sectPr>
      </w:pPr>
    </w:p>
    <w:p w:rsidR="007E5B6E" w:rsidRPr="005D15AA" w:rsidRDefault="005D15AA" w:rsidP="0041792F">
      <w:pPr>
        <w:pStyle w:val="NormalParaAR"/>
        <w:keepNext/>
        <w:jc w:val="center"/>
        <w:rPr>
          <w:b/>
          <w:bCs/>
        </w:rPr>
      </w:pPr>
      <w:r w:rsidRPr="005D15AA">
        <w:rPr>
          <w:rFonts w:hint="cs"/>
          <w:b/>
          <w:bCs/>
          <w:rtl/>
        </w:rPr>
        <w:lastRenderedPageBreak/>
        <w:t>المحتويات</w:t>
      </w:r>
    </w:p>
    <w:p w:rsidR="008720A9" w:rsidRDefault="008720A9" w:rsidP="0039034D">
      <w:pPr>
        <w:pStyle w:val="NormalParaAR"/>
        <w:tabs>
          <w:tab w:val="right" w:leader="dot" w:pos="9355"/>
        </w:tabs>
        <w:spacing w:after="120"/>
        <w:rPr>
          <w:rtl/>
        </w:rPr>
      </w:pPr>
      <w:r>
        <w:rPr>
          <w:rtl/>
        </w:rPr>
        <w:t>قائمة المختصرات المستخدمة في النص الإنكليزي</w:t>
      </w:r>
      <w:r>
        <w:rPr>
          <w:rtl/>
        </w:rPr>
        <w:tab/>
      </w:r>
      <w:r w:rsidR="0039034D">
        <w:rPr>
          <w:rFonts w:hint="cs"/>
          <w:rtl/>
        </w:rPr>
        <w:t>2</w:t>
      </w:r>
    </w:p>
    <w:p w:rsidR="008720A9" w:rsidRDefault="008720A9" w:rsidP="0039034D">
      <w:pPr>
        <w:pStyle w:val="NormalParaAR"/>
        <w:tabs>
          <w:tab w:val="right" w:leader="dot" w:pos="9355"/>
        </w:tabs>
        <w:spacing w:after="120"/>
        <w:rPr>
          <w:rtl/>
        </w:rPr>
      </w:pPr>
      <w:r>
        <w:rPr>
          <w:rtl/>
        </w:rPr>
        <w:t>الخلفية</w:t>
      </w:r>
      <w:r>
        <w:rPr>
          <w:rtl/>
        </w:rPr>
        <w:tab/>
      </w:r>
      <w:r w:rsidR="0039034D">
        <w:rPr>
          <w:rFonts w:hint="cs"/>
          <w:rtl/>
        </w:rPr>
        <w:t>3</w:t>
      </w:r>
    </w:p>
    <w:p w:rsidR="008720A9" w:rsidRDefault="008720A9" w:rsidP="0039034D">
      <w:pPr>
        <w:pStyle w:val="NormalParaAR"/>
        <w:tabs>
          <w:tab w:val="right" w:leader="dot" w:pos="9355"/>
        </w:tabs>
        <w:spacing w:after="120"/>
        <w:rPr>
          <w:rtl/>
        </w:rPr>
      </w:pPr>
      <w:r>
        <w:rPr>
          <w:rtl/>
        </w:rPr>
        <w:t>مبادئ التخطيط</w:t>
      </w:r>
      <w:r>
        <w:rPr>
          <w:rtl/>
        </w:rPr>
        <w:tab/>
      </w:r>
      <w:r w:rsidR="0039034D">
        <w:rPr>
          <w:rFonts w:hint="cs"/>
          <w:rtl/>
        </w:rPr>
        <w:t>3</w:t>
      </w:r>
    </w:p>
    <w:p w:rsidR="008720A9" w:rsidRDefault="008720A9" w:rsidP="0039034D">
      <w:pPr>
        <w:pStyle w:val="NormalParaAR"/>
        <w:tabs>
          <w:tab w:val="right" w:leader="dot" w:pos="9355"/>
        </w:tabs>
        <w:spacing w:after="120"/>
        <w:rPr>
          <w:rtl/>
        </w:rPr>
      </w:pPr>
      <w:r>
        <w:rPr>
          <w:rtl/>
        </w:rPr>
        <w:t>المعايير المهنية</w:t>
      </w:r>
      <w:r>
        <w:rPr>
          <w:rtl/>
        </w:rPr>
        <w:tab/>
      </w:r>
      <w:r w:rsidR="0039034D">
        <w:rPr>
          <w:rFonts w:hint="cs"/>
          <w:rtl/>
        </w:rPr>
        <w:t>3</w:t>
      </w:r>
    </w:p>
    <w:p w:rsidR="008720A9" w:rsidRDefault="008720A9" w:rsidP="0039034D">
      <w:pPr>
        <w:pStyle w:val="NormalParaAR"/>
        <w:tabs>
          <w:tab w:val="right" w:leader="dot" w:pos="9355"/>
        </w:tabs>
        <w:spacing w:after="120"/>
        <w:rPr>
          <w:rtl/>
        </w:rPr>
      </w:pPr>
      <w:r>
        <w:rPr>
          <w:rtl/>
        </w:rPr>
        <w:t>نتائج وتوصيات هامة للرقابة الداخلية</w:t>
      </w:r>
      <w:r>
        <w:rPr>
          <w:rtl/>
        </w:rPr>
        <w:tab/>
      </w:r>
      <w:r w:rsidR="0039034D">
        <w:rPr>
          <w:rFonts w:hint="cs"/>
          <w:rtl/>
        </w:rPr>
        <w:t>3</w:t>
      </w:r>
    </w:p>
    <w:p w:rsidR="008720A9" w:rsidRDefault="008720A9" w:rsidP="008720A9">
      <w:pPr>
        <w:pStyle w:val="NormalParaAR"/>
        <w:tabs>
          <w:tab w:val="right" w:leader="dot" w:pos="9355"/>
        </w:tabs>
        <w:spacing w:after="120"/>
        <w:rPr>
          <w:rtl/>
        </w:rPr>
      </w:pPr>
      <w:r>
        <w:rPr>
          <w:rtl/>
        </w:rPr>
        <w:t>أنشطة التحقيق في الفترة المشمولة بالتقرير</w:t>
      </w:r>
      <w:r>
        <w:rPr>
          <w:rtl/>
        </w:rPr>
        <w:tab/>
        <w:t>8</w:t>
      </w:r>
    </w:p>
    <w:p w:rsidR="008720A9" w:rsidRDefault="008720A9" w:rsidP="008720A9">
      <w:pPr>
        <w:pStyle w:val="NormalParaAR"/>
        <w:tabs>
          <w:tab w:val="right" w:leader="dot" w:pos="9355"/>
        </w:tabs>
        <w:spacing w:after="120"/>
        <w:rPr>
          <w:rtl/>
        </w:rPr>
      </w:pPr>
      <w:r>
        <w:rPr>
          <w:rtl/>
        </w:rPr>
        <w:t>الحالات التي رُفض فيها تقديم معلومات أو مساعدات</w:t>
      </w:r>
      <w:r>
        <w:rPr>
          <w:rtl/>
        </w:rPr>
        <w:tab/>
        <w:t>11</w:t>
      </w:r>
    </w:p>
    <w:p w:rsidR="008720A9" w:rsidRDefault="008720A9" w:rsidP="008720A9">
      <w:pPr>
        <w:pStyle w:val="NormalParaAR"/>
        <w:tabs>
          <w:tab w:val="right" w:leader="dot" w:pos="9355"/>
        </w:tabs>
        <w:spacing w:after="120"/>
        <w:rPr>
          <w:rtl/>
        </w:rPr>
      </w:pPr>
      <w:r>
        <w:rPr>
          <w:rtl/>
        </w:rPr>
        <w:t>وضع تنفيذ توصيات الرقابة</w:t>
      </w:r>
      <w:r>
        <w:rPr>
          <w:rtl/>
        </w:rPr>
        <w:tab/>
        <w:t>11</w:t>
      </w:r>
    </w:p>
    <w:p w:rsidR="008720A9" w:rsidRDefault="008720A9" w:rsidP="008720A9">
      <w:pPr>
        <w:pStyle w:val="NormalParaAR"/>
        <w:tabs>
          <w:tab w:val="right" w:leader="dot" w:pos="9355"/>
        </w:tabs>
        <w:spacing w:after="120"/>
        <w:rPr>
          <w:rtl/>
        </w:rPr>
      </w:pPr>
      <w:r>
        <w:rPr>
          <w:rtl/>
        </w:rPr>
        <w:t>التقييم الخارجي لعمل شعبة الرقابة الداخلية</w:t>
      </w:r>
      <w:r>
        <w:rPr>
          <w:rtl/>
        </w:rPr>
        <w:tab/>
        <w:t>14</w:t>
      </w:r>
    </w:p>
    <w:p w:rsidR="008720A9" w:rsidRDefault="008720A9" w:rsidP="008720A9">
      <w:pPr>
        <w:pStyle w:val="NormalParaAR"/>
        <w:tabs>
          <w:tab w:val="right" w:leader="dot" w:pos="9355"/>
        </w:tabs>
        <w:spacing w:after="120"/>
        <w:rPr>
          <w:rtl/>
        </w:rPr>
      </w:pPr>
      <w:r>
        <w:rPr>
          <w:rtl/>
        </w:rPr>
        <w:t>العمل الاستشاري والرقابي الاستشاري</w:t>
      </w:r>
      <w:r>
        <w:rPr>
          <w:rtl/>
        </w:rPr>
        <w:tab/>
        <w:t>14</w:t>
      </w:r>
    </w:p>
    <w:p w:rsidR="008720A9" w:rsidRDefault="008720A9" w:rsidP="008720A9">
      <w:pPr>
        <w:pStyle w:val="NormalParaAR"/>
        <w:tabs>
          <w:tab w:val="right" w:leader="dot" w:pos="9355"/>
        </w:tabs>
        <w:spacing w:after="120"/>
        <w:rPr>
          <w:rtl/>
        </w:rPr>
      </w:pPr>
      <w:r>
        <w:rPr>
          <w:rtl/>
        </w:rPr>
        <w:t>التعاون مع هيئات الرقابة الخارجية</w:t>
      </w:r>
      <w:r>
        <w:rPr>
          <w:rtl/>
        </w:rPr>
        <w:tab/>
        <w:t>14</w:t>
      </w:r>
    </w:p>
    <w:p w:rsidR="008720A9" w:rsidRDefault="008720A9" w:rsidP="008720A9">
      <w:pPr>
        <w:pStyle w:val="NormalParaAR"/>
        <w:tabs>
          <w:tab w:val="right" w:leader="dot" w:pos="9355"/>
        </w:tabs>
        <w:spacing w:after="120"/>
        <w:rPr>
          <w:rtl/>
        </w:rPr>
      </w:pPr>
      <w:r>
        <w:rPr>
          <w:rtl/>
        </w:rPr>
        <w:t>التعاون مع أمين المظالم ومكتب الأخلاقيات</w:t>
      </w:r>
      <w:r>
        <w:rPr>
          <w:rtl/>
        </w:rPr>
        <w:tab/>
        <w:t>15</w:t>
      </w:r>
    </w:p>
    <w:p w:rsidR="008720A9" w:rsidRDefault="008720A9" w:rsidP="008720A9">
      <w:pPr>
        <w:pStyle w:val="NormalParaAR"/>
        <w:tabs>
          <w:tab w:val="right" w:leader="dot" w:pos="9355"/>
        </w:tabs>
        <w:spacing w:after="120"/>
        <w:rPr>
          <w:rtl/>
        </w:rPr>
      </w:pPr>
      <w:r>
        <w:rPr>
          <w:rtl/>
        </w:rPr>
        <w:t>موارد الرقابة</w:t>
      </w:r>
      <w:r>
        <w:rPr>
          <w:rtl/>
        </w:rPr>
        <w:tab/>
        <w:t>16</w:t>
      </w:r>
    </w:p>
    <w:p w:rsidR="004A070F" w:rsidRPr="00CA4AD5" w:rsidRDefault="003F1844" w:rsidP="00CA4AD5">
      <w:pPr>
        <w:pStyle w:val="NumberedParaAR"/>
        <w:keepNext/>
        <w:numPr>
          <w:ilvl w:val="0"/>
          <w:numId w:val="0"/>
        </w:numPr>
        <w:spacing w:before="480"/>
        <w:rPr>
          <w:rFonts w:eastAsia="SimSun"/>
          <w:b/>
          <w:bCs/>
          <w:sz w:val="40"/>
          <w:szCs w:val="40"/>
          <w:rtl/>
          <w:lang w:eastAsia="zh-CN" w:bidi="ar-EG"/>
        </w:rPr>
      </w:pPr>
      <w:r w:rsidRPr="00CA4AD5">
        <w:rPr>
          <w:rFonts w:eastAsia="SimSun" w:hint="cs"/>
          <w:b/>
          <w:bCs/>
          <w:sz w:val="40"/>
          <w:szCs w:val="40"/>
          <w:rtl/>
          <w:lang w:eastAsia="zh-CN" w:bidi="ar-EG"/>
        </w:rPr>
        <w:t>المرافق</w:t>
      </w:r>
    </w:p>
    <w:p w:rsidR="008720A9" w:rsidRDefault="008720A9" w:rsidP="008720A9">
      <w:pPr>
        <w:pStyle w:val="NormalParaAR"/>
        <w:tabs>
          <w:tab w:val="left" w:pos="1133"/>
        </w:tabs>
        <w:spacing w:after="0"/>
        <w:ind w:left="1417" w:hanging="1417"/>
      </w:pPr>
      <w:r>
        <w:rPr>
          <w:rtl/>
        </w:rPr>
        <w:t>المرفق الأول</w:t>
      </w:r>
      <w:r>
        <w:rPr>
          <w:rFonts w:hint="cs"/>
          <w:rtl/>
        </w:rPr>
        <w:tab/>
      </w:r>
      <w:r>
        <w:rPr>
          <w:rtl/>
        </w:rPr>
        <w:t>-</w:t>
      </w:r>
      <w:r>
        <w:rPr>
          <w:rFonts w:hint="cs"/>
          <w:rtl/>
        </w:rPr>
        <w:tab/>
      </w:r>
      <w:r>
        <w:rPr>
          <w:rtl/>
        </w:rPr>
        <w:t>وضع مهام الرقابة في عام 2014</w:t>
      </w:r>
    </w:p>
    <w:p w:rsidR="008720A9" w:rsidRDefault="008720A9" w:rsidP="008720A9">
      <w:pPr>
        <w:pStyle w:val="NormalParaAR"/>
        <w:tabs>
          <w:tab w:val="left" w:pos="1133"/>
        </w:tabs>
        <w:spacing w:after="0"/>
        <w:ind w:left="1417" w:hanging="1417"/>
      </w:pPr>
      <w:r>
        <w:rPr>
          <w:rtl/>
        </w:rPr>
        <w:t>المرفق الثاني</w:t>
      </w:r>
      <w:r>
        <w:rPr>
          <w:rFonts w:hint="cs"/>
          <w:rtl/>
        </w:rPr>
        <w:tab/>
      </w:r>
      <w:r>
        <w:rPr>
          <w:rtl/>
        </w:rPr>
        <w:t>-</w:t>
      </w:r>
      <w:r>
        <w:rPr>
          <w:rFonts w:hint="cs"/>
          <w:rtl/>
        </w:rPr>
        <w:tab/>
      </w:r>
      <w:r>
        <w:rPr>
          <w:rtl/>
        </w:rPr>
        <w:t xml:space="preserve">قائمة تقارير شعبة </w:t>
      </w:r>
      <w:r>
        <w:rPr>
          <w:rFonts w:hint="cs"/>
          <w:rtl/>
        </w:rPr>
        <w:t xml:space="preserve">الرقابة </w:t>
      </w:r>
      <w:r>
        <w:rPr>
          <w:rtl/>
        </w:rPr>
        <w:t>الداخلي</w:t>
      </w:r>
      <w:r>
        <w:rPr>
          <w:rFonts w:hint="cs"/>
          <w:rtl/>
        </w:rPr>
        <w:t>ة</w:t>
      </w:r>
    </w:p>
    <w:p w:rsidR="008720A9" w:rsidRDefault="008720A9" w:rsidP="008720A9">
      <w:pPr>
        <w:pStyle w:val="NormalParaAR"/>
        <w:tabs>
          <w:tab w:val="left" w:pos="1133"/>
        </w:tabs>
        <w:spacing w:after="0"/>
        <w:ind w:left="1417" w:hanging="1417"/>
      </w:pPr>
      <w:r>
        <w:rPr>
          <w:rtl/>
        </w:rPr>
        <w:t>المرفق الثالث</w:t>
      </w:r>
      <w:r>
        <w:rPr>
          <w:rFonts w:hint="cs"/>
          <w:rtl/>
        </w:rPr>
        <w:tab/>
      </w:r>
      <w:r>
        <w:rPr>
          <w:rtl/>
        </w:rPr>
        <w:t>-</w:t>
      </w:r>
      <w:r>
        <w:rPr>
          <w:rFonts w:hint="cs"/>
          <w:rtl/>
        </w:rPr>
        <w:tab/>
      </w:r>
      <w:r>
        <w:rPr>
          <w:rtl/>
        </w:rPr>
        <w:t>قائمة بالأنشطة الاستشارية لشعبة الرقابة الداخلية</w:t>
      </w:r>
    </w:p>
    <w:p w:rsidR="005D15AA" w:rsidRDefault="005D15AA" w:rsidP="008720A9">
      <w:pPr>
        <w:pStyle w:val="NormalParaAR"/>
        <w:spacing w:after="0"/>
        <w:rPr>
          <w:rtl/>
        </w:rPr>
      </w:pPr>
      <w:r>
        <w:rPr>
          <w:rtl/>
        </w:rPr>
        <w:br w:type="page"/>
      </w:r>
    </w:p>
    <w:p w:rsidR="00333681" w:rsidRPr="00437657" w:rsidRDefault="00333681" w:rsidP="00333681">
      <w:pPr>
        <w:pStyle w:val="NormalParaAR"/>
        <w:keepNext/>
        <w:rPr>
          <w:rFonts w:eastAsia="SimSun"/>
          <w:b/>
          <w:bCs/>
          <w:sz w:val="40"/>
          <w:szCs w:val="40"/>
          <w:lang w:eastAsia="zh-CN"/>
        </w:rPr>
      </w:pPr>
      <w:bookmarkStart w:id="3" w:name="_Toc423533508"/>
      <w:bookmarkStart w:id="4" w:name="Acronyms"/>
      <w:r w:rsidRPr="00437657">
        <w:rPr>
          <w:rFonts w:eastAsia="SimSun"/>
          <w:b/>
          <w:bCs/>
          <w:sz w:val="40"/>
          <w:szCs w:val="40"/>
          <w:rtl/>
          <w:lang w:eastAsia="zh-CN"/>
        </w:rPr>
        <w:lastRenderedPageBreak/>
        <w:t>قائمة المختصرات المستخدمة في النص الإنكليزي</w:t>
      </w:r>
    </w:p>
    <w:tbl>
      <w:tblPr>
        <w:tblStyle w:val="TableGrid1"/>
        <w:bidiVisual/>
        <w:tblW w:w="5000" w:type="pct"/>
        <w:tblInd w:w="0" w:type="dxa"/>
        <w:tblLook w:val="01E0" w:firstRow="1" w:lastRow="1" w:firstColumn="1" w:lastColumn="1" w:noHBand="0" w:noVBand="0"/>
      </w:tblPr>
      <w:tblGrid>
        <w:gridCol w:w="1933"/>
        <w:gridCol w:w="7638"/>
      </w:tblGrid>
      <w:tr w:rsidR="00333681" w:rsidRPr="00E93CA6" w:rsidTr="001E55A4">
        <w:trPr>
          <w:trHeight w:val="340"/>
        </w:trPr>
        <w:tc>
          <w:tcPr>
            <w:tcW w:w="1010" w:type="pct"/>
            <w:vAlign w:val="center"/>
          </w:tcPr>
          <w:bookmarkEnd w:id="3"/>
          <w:bookmarkEnd w:id="4"/>
          <w:p w:rsidR="00333681" w:rsidRPr="001E55A4" w:rsidRDefault="00333681" w:rsidP="001E55A4">
            <w:pPr>
              <w:bidi/>
              <w:ind w:left="0"/>
              <w:rPr>
                <w:rFonts w:ascii="Arabic Typesetting" w:hAnsi="Arabic Typesetting" w:cs="Arabic Typesetting"/>
                <w:b/>
                <w:sz w:val="36"/>
                <w:szCs w:val="36"/>
              </w:rPr>
            </w:pPr>
            <w:r w:rsidRPr="00086EB3">
              <w:rPr>
                <w:rFonts w:ascii="Arabic Typesetting" w:hAnsi="Arabic Typesetting" w:cs="Arabic Typesetting"/>
                <w:b/>
                <w:sz w:val="36"/>
                <w:szCs w:val="36"/>
              </w:rPr>
              <w:t>BCM</w:t>
            </w:r>
          </w:p>
        </w:tc>
        <w:tc>
          <w:tcPr>
            <w:tcW w:w="3990" w:type="pct"/>
            <w:vAlign w:val="center"/>
          </w:tcPr>
          <w:p w:rsidR="00333681" w:rsidRPr="00086EB3"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إدارة استمرارية الأعمال</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CII</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sz w:val="36"/>
                <w:szCs w:val="36"/>
                <w:rtl/>
                <w:lang w:bidi="ar-EG"/>
              </w:rPr>
              <w:t>مؤتمر المحققين الدوليين</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CPE</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 xml:space="preserve">تقييم </w:t>
            </w:r>
            <w:r w:rsidR="00D1147D">
              <w:rPr>
                <w:rFonts w:ascii="Arabic Typesetting" w:hAnsi="Arabic Typesetting" w:cs="Arabic Typesetting"/>
                <w:sz w:val="36"/>
                <w:szCs w:val="36"/>
                <w:rtl/>
                <w:lang w:bidi="ar-EG"/>
              </w:rPr>
              <w:t>محفظة</w:t>
            </w:r>
            <w:r w:rsidRPr="00086EB3">
              <w:rPr>
                <w:rFonts w:ascii="Arabic Typesetting" w:hAnsi="Arabic Typesetting" w:cs="Arabic Typesetting"/>
                <w:sz w:val="36"/>
                <w:szCs w:val="36"/>
                <w:rtl/>
                <w:lang w:bidi="ar-EG"/>
              </w:rPr>
              <w:t xml:space="preserve"> البلد</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HR</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الموارد البشرية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HRMD</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إدارة الموارد البشرية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IAOC</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اللجنة الاستشارية المستقلة للرقابة</w:t>
            </w:r>
          </w:p>
        </w:tc>
      </w:tr>
      <w:tr w:rsidR="00E93CA6" w:rsidRPr="00E93CA6" w:rsidTr="001E55A4">
        <w:trPr>
          <w:trHeight w:val="340"/>
        </w:trPr>
        <w:tc>
          <w:tcPr>
            <w:tcW w:w="1010" w:type="pct"/>
            <w:vAlign w:val="center"/>
          </w:tcPr>
          <w:p w:rsidR="00E93CA6" w:rsidRPr="001E55A4" w:rsidRDefault="009C7694" w:rsidP="001E55A4">
            <w:pPr>
              <w:bidi/>
              <w:ind w:left="0"/>
              <w:rPr>
                <w:rFonts w:ascii="Arabic Typesetting" w:hAnsi="Arabic Typesetting" w:cs="Arabic Typesetting"/>
                <w:b/>
                <w:sz w:val="36"/>
                <w:szCs w:val="36"/>
                <w:rtl/>
                <w:lang w:bidi="ar-EG"/>
              </w:rPr>
            </w:pPr>
            <w:r>
              <w:rPr>
                <w:rFonts w:ascii="Arabic Typesetting" w:hAnsi="Arabic Typesetting" w:cs="Arabic Typesetting"/>
                <w:b/>
                <w:sz w:val="36"/>
                <w:szCs w:val="36"/>
              </w:rPr>
              <w:t>IOD</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شعبة التدقيق الداخلي</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IIA</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معهد المدققين الداخليين</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IOC</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ميثاق الرقابة الداخلية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IP</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الملكية الفكرية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IPPF</w:t>
            </w:r>
          </w:p>
        </w:tc>
        <w:tc>
          <w:tcPr>
            <w:tcW w:w="3990" w:type="pct"/>
            <w:vAlign w:val="center"/>
          </w:tcPr>
          <w:p w:rsidR="00E93CA6" w:rsidRPr="001E55A4" w:rsidRDefault="00333681" w:rsidP="00333681">
            <w:pPr>
              <w:bidi/>
              <w:ind w:left="43"/>
              <w:rPr>
                <w:rFonts w:ascii="Arabic Typesetting" w:hAnsi="Arabic Typesetting" w:cs="Arabic Typesetting"/>
                <w:sz w:val="36"/>
                <w:szCs w:val="36"/>
                <w:lang w:bidi="ar-EG"/>
              </w:rPr>
            </w:pPr>
            <w:r w:rsidRPr="00333681">
              <w:rPr>
                <w:rFonts w:ascii="Arabic Typesetting" w:hAnsi="Arabic Typesetting" w:cs="Arabic Typesetting"/>
                <w:sz w:val="36"/>
                <w:szCs w:val="36"/>
                <w:rtl/>
                <w:lang w:bidi="ar-EG"/>
              </w:rPr>
              <w:t>الإطار الدولي للممارسات المهنية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IT</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تكنولوجيا المعلومات</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JGP</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لجنة التظلمات المشتركة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JIU</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وحدة التفتيش المشتركة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LDC</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البلدان الأقل نمواً</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MIR</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تقرير تورط الإدارة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PBC</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لجنة البرنامج والميزانية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PPR</w:t>
            </w:r>
          </w:p>
        </w:tc>
        <w:tc>
          <w:tcPr>
            <w:tcW w:w="3990" w:type="pct"/>
            <w:vAlign w:val="center"/>
          </w:tcPr>
          <w:p w:rsidR="00E93CA6" w:rsidRPr="001E55A4" w:rsidRDefault="00333681"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تقرير أداء البرنامج</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RBM</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الإدارة القائمة على النتائج</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RIAS</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ممثلو دوائر التدقيق الداخلي</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RRP</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برنامج المكافآت والتقدير</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SMT</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فريق الإدارة العليا</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SRP</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برنامج التقويم الاستراتيجي</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الأمم المتحدة</w:t>
            </w:r>
          </w:p>
        </w:tc>
      </w:tr>
      <w:tr w:rsidR="00333681" w:rsidRPr="00E93CA6" w:rsidTr="001E55A4">
        <w:trPr>
          <w:trHeight w:val="340"/>
        </w:trPr>
        <w:tc>
          <w:tcPr>
            <w:tcW w:w="1010" w:type="pct"/>
            <w:vAlign w:val="center"/>
          </w:tcPr>
          <w:p w:rsidR="00333681" w:rsidRPr="001E55A4" w:rsidRDefault="00333681"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UNEG</w:t>
            </w:r>
          </w:p>
        </w:tc>
        <w:tc>
          <w:tcPr>
            <w:tcW w:w="3990" w:type="pct"/>
            <w:vAlign w:val="center"/>
          </w:tcPr>
          <w:p w:rsidR="00333681" w:rsidRPr="00086EB3" w:rsidRDefault="00333681" w:rsidP="00333681">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فريق الأمم المتحدة المعني بالتقييم</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UNICC</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sz w:val="36"/>
                <w:szCs w:val="36"/>
                <w:rtl/>
                <w:lang w:bidi="ar-EG"/>
              </w:rPr>
              <w:t xml:space="preserve">مركز الأمم المتحدة الدولي </w:t>
            </w:r>
            <w:r w:rsidRPr="001E55A4">
              <w:rPr>
                <w:rFonts w:ascii="Arabic Typesetting" w:hAnsi="Arabic Typesetting" w:cs="Arabic Typesetting" w:hint="cs"/>
                <w:sz w:val="36"/>
                <w:szCs w:val="36"/>
                <w:rtl/>
                <w:lang w:bidi="ar-EG"/>
              </w:rPr>
              <w:t>للحوسبة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UNRIS</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086EB3">
              <w:rPr>
                <w:rFonts w:ascii="Arabic Typesetting" w:hAnsi="Arabic Typesetting" w:cs="Arabic Typesetting"/>
                <w:sz w:val="36"/>
                <w:szCs w:val="36"/>
                <w:rtl/>
                <w:lang w:bidi="ar-EG"/>
              </w:rPr>
              <w:t>ممثلو دوائر التحقيق في الأمم المتحدة</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WAB</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مجلس الويبو للطعون</w:t>
            </w:r>
          </w:p>
        </w:tc>
      </w:tr>
      <w:tr w:rsidR="00E93CA6" w:rsidRPr="00E93CA6" w:rsidTr="001E55A4">
        <w:trPr>
          <w:trHeight w:val="340"/>
        </w:trPr>
        <w:tc>
          <w:tcPr>
            <w:tcW w:w="1010" w:type="pct"/>
            <w:vAlign w:val="center"/>
          </w:tcPr>
          <w:p w:rsidR="00E93CA6" w:rsidRPr="001E55A4" w:rsidRDefault="00E93CA6" w:rsidP="001E55A4">
            <w:pPr>
              <w:bidi/>
              <w:ind w:left="0"/>
              <w:rPr>
                <w:rFonts w:ascii="Arabic Typesetting" w:hAnsi="Arabic Typesetting" w:cs="Arabic Typesetting"/>
                <w:b/>
                <w:sz w:val="36"/>
                <w:szCs w:val="36"/>
              </w:rPr>
            </w:pPr>
            <w:r w:rsidRPr="001E55A4">
              <w:rPr>
                <w:rFonts w:ascii="Arabic Typesetting" w:hAnsi="Arabic Typesetting" w:cs="Arabic Typesetting"/>
                <w:b/>
                <w:sz w:val="36"/>
                <w:szCs w:val="36"/>
              </w:rPr>
              <w:t>WIPO</w:t>
            </w:r>
          </w:p>
        </w:tc>
        <w:tc>
          <w:tcPr>
            <w:tcW w:w="3990" w:type="pct"/>
            <w:vAlign w:val="center"/>
          </w:tcPr>
          <w:p w:rsidR="00E93CA6" w:rsidRPr="001E55A4" w:rsidRDefault="001E55A4" w:rsidP="001E55A4">
            <w:pPr>
              <w:bidi/>
              <w:ind w:left="43"/>
              <w:rPr>
                <w:rFonts w:ascii="Arabic Typesetting" w:hAnsi="Arabic Typesetting" w:cs="Arabic Typesetting"/>
                <w:sz w:val="36"/>
                <w:szCs w:val="36"/>
                <w:lang w:bidi="ar-EG"/>
              </w:rPr>
            </w:pPr>
            <w:r w:rsidRPr="001E55A4">
              <w:rPr>
                <w:rFonts w:ascii="Arabic Typesetting" w:hAnsi="Arabic Typesetting" w:cs="Arabic Typesetting" w:hint="cs"/>
                <w:sz w:val="36"/>
                <w:szCs w:val="36"/>
                <w:rtl/>
                <w:lang w:bidi="ar-EG"/>
              </w:rPr>
              <w:t>المنظمة العالمية للملكية الفكرية</w:t>
            </w:r>
          </w:p>
        </w:tc>
      </w:tr>
    </w:tbl>
    <w:p w:rsidR="001E55A4" w:rsidRPr="001E55A4" w:rsidRDefault="001E55A4" w:rsidP="001E55A4">
      <w:pPr>
        <w:bidi/>
        <w:rPr>
          <w:rFonts w:ascii="Arabic Typesetting" w:eastAsia="SimSun" w:hAnsi="Arabic Typesetting" w:cs="Arabic Typesetting"/>
          <w:caps/>
          <w:kern w:val="32"/>
          <w:sz w:val="36"/>
          <w:szCs w:val="36"/>
          <w:lang w:eastAsia="zh-CN"/>
        </w:rPr>
      </w:pPr>
      <w:bookmarkStart w:id="5" w:name="_Toc392160703"/>
      <w:bookmarkStart w:id="6" w:name="_Toc392160740"/>
      <w:bookmarkStart w:id="7" w:name="_Toc423530309"/>
      <w:bookmarkStart w:id="8" w:name="_Toc423533365"/>
      <w:bookmarkStart w:id="9" w:name="_Toc423533509"/>
      <w:r w:rsidRPr="001E55A4">
        <w:rPr>
          <w:rFonts w:ascii="Arabic Typesetting" w:eastAsia="SimSun" w:hAnsi="Arabic Typesetting" w:cs="Arabic Typesetting"/>
          <w:caps/>
          <w:kern w:val="32"/>
          <w:sz w:val="36"/>
          <w:szCs w:val="36"/>
          <w:lang w:eastAsia="zh-CN"/>
        </w:rPr>
        <w:br w:type="page"/>
      </w:r>
    </w:p>
    <w:p w:rsidR="001E55A4" w:rsidRPr="00437657" w:rsidRDefault="001E55A4" w:rsidP="0041792F">
      <w:pPr>
        <w:pStyle w:val="NormalParaAR"/>
        <w:keepNext/>
        <w:jc w:val="center"/>
        <w:rPr>
          <w:rFonts w:eastAsia="SimSun"/>
          <w:b/>
          <w:bCs/>
          <w:sz w:val="40"/>
          <w:szCs w:val="40"/>
          <w:rtl/>
          <w:lang w:eastAsia="zh-CN"/>
        </w:rPr>
      </w:pPr>
      <w:r w:rsidRPr="00437657">
        <w:rPr>
          <w:rFonts w:eastAsia="SimSun"/>
          <w:b/>
          <w:bCs/>
          <w:sz w:val="40"/>
          <w:szCs w:val="40"/>
          <w:rtl/>
          <w:lang w:eastAsia="zh-CN"/>
        </w:rPr>
        <w:lastRenderedPageBreak/>
        <w:t>التقرير السنوي لمدير شعبة الرقابة الداخلية</w:t>
      </w:r>
    </w:p>
    <w:bookmarkEnd w:id="5"/>
    <w:bookmarkEnd w:id="6"/>
    <w:bookmarkEnd w:id="7"/>
    <w:bookmarkEnd w:id="8"/>
    <w:bookmarkEnd w:id="9"/>
    <w:p w:rsidR="001E55A4" w:rsidRDefault="001E55A4" w:rsidP="0041792F">
      <w:pPr>
        <w:pStyle w:val="NormalParaAR"/>
        <w:keepNext/>
        <w:rPr>
          <w:rFonts w:eastAsia="SimSun"/>
          <w:rtl/>
          <w:lang w:eastAsia="zh-CN"/>
        </w:rPr>
      </w:pPr>
      <w:r>
        <w:rPr>
          <w:rFonts w:eastAsia="SimSun" w:hint="cs"/>
          <w:rtl/>
          <w:lang w:eastAsia="zh-CN"/>
        </w:rPr>
        <w:t>1 يوليو 2014 إلى 30 يونيو 2015</w:t>
      </w:r>
    </w:p>
    <w:p w:rsidR="001E55A4" w:rsidRPr="004A070F" w:rsidRDefault="001E55A4" w:rsidP="0041792F">
      <w:pPr>
        <w:pStyle w:val="NormalParaAR"/>
        <w:keepNext/>
        <w:rPr>
          <w:rFonts w:eastAsia="SimSun"/>
          <w:b/>
          <w:bCs/>
          <w:sz w:val="40"/>
          <w:szCs w:val="40"/>
          <w:rtl/>
          <w:lang w:eastAsia="zh-CN"/>
        </w:rPr>
      </w:pPr>
      <w:bookmarkStart w:id="10" w:name="_Toc420663565"/>
      <w:bookmarkStart w:id="11" w:name="_Toc423533510"/>
      <w:bookmarkStart w:id="12" w:name="Background"/>
      <w:r w:rsidRPr="004A070F">
        <w:rPr>
          <w:rFonts w:eastAsia="SimSun" w:hint="cs"/>
          <w:b/>
          <w:bCs/>
          <w:sz w:val="40"/>
          <w:szCs w:val="40"/>
          <w:rtl/>
          <w:lang w:eastAsia="zh-CN"/>
        </w:rPr>
        <w:t>الخلفية</w:t>
      </w:r>
    </w:p>
    <w:bookmarkEnd w:id="10"/>
    <w:bookmarkEnd w:id="11"/>
    <w:bookmarkEnd w:id="12"/>
    <w:p w:rsidR="0041792F" w:rsidRDefault="0041792F" w:rsidP="00105F2C">
      <w:pPr>
        <w:pStyle w:val="NumberedParaAR"/>
        <w:numPr>
          <w:ilvl w:val="0"/>
          <w:numId w:val="6"/>
        </w:numPr>
        <w:rPr>
          <w:rFonts w:eastAsia="SimSun"/>
          <w:lang w:eastAsia="zh-CN"/>
        </w:rPr>
      </w:pPr>
      <w:r>
        <w:rPr>
          <w:rFonts w:eastAsia="SimSun" w:hint="cs"/>
          <w:rtl/>
          <w:lang w:eastAsia="zh-CN"/>
        </w:rPr>
        <w:t>الغرض من شعبة الويبو للرقابة الداخلية هو توفير رقابة داخلية مستقلة وفعالة للويبو، وفقاً للأحكام المنصوص عليها في ميثاق الرقابة الداخلية.</w:t>
      </w:r>
    </w:p>
    <w:p w:rsidR="00070BB9" w:rsidRPr="00070BB9" w:rsidRDefault="0041792F" w:rsidP="00105F2C">
      <w:pPr>
        <w:pStyle w:val="NumberedParaAR"/>
        <w:numPr>
          <w:ilvl w:val="0"/>
          <w:numId w:val="6"/>
        </w:numPr>
        <w:rPr>
          <w:rFonts w:eastAsia="SimSun"/>
          <w:lang w:eastAsia="zh-CN"/>
        </w:rPr>
      </w:pPr>
      <w:r>
        <w:rPr>
          <w:rFonts w:eastAsia="SimSun" w:hint="cs"/>
          <w:rtl/>
          <w:lang w:eastAsia="zh-CN"/>
        </w:rPr>
        <w:t>ويقضي ميثاق الرقابة الداخلية</w:t>
      </w:r>
      <w:r w:rsidR="000F7D75">
        <w:rPr>
          <w:rStyle w:val="FootnoteReference"/>
          <w:rFonts w:eastAsia="SimSun"/>
          <w:rtl/>
          <w:lang w:eastAsia="zh-CN"/>
        </w:rPr>
        <w:footnoteReference w:id="1"/>
      </w:r>
      <w:r>
        <w:rPr>
          <w:rFonts w:eastAsia="SimSun" w:hint="cs"/>
          <w:rtl/>
          <w:lang w:eastAsia="zh-CN"/>
        </w:rPr>
        <w:t xml:space="preserve"> بأن يقدم مدير شعبة الرقابة الداخلية تقريراً سنوياً إلى الجمعية العامة للويبو من خلال لجنة البرنامج والميزانية، ونسخة من هذا التقرير إلى</w:t>
      </w:r>
      <w:r w:rsidR="00070BB9">
        <w:rPr>
          <w:rFonts w:eastAsia="SimSun" w:hint="cs"/>
          <w:rtl/>
          <w:lang w:eastAsia="zh-CN"/>
        </w:rPr>
        <w:t xml:space="preserve"> المدير العام</w:t>
      </w:r>
      <w:r>
        <w:rPr>
          <w:rFonts w:eastAsia="SimSun" w:hint="cs"/>
          <w:rtl/>
          <w:lang w:eastAsia="zh-CN"/>
        </w:rPr>
        <w:t xml:space="preserve"> </w:t>
      </w:r>
      <w:r w:rsidR="00070BB9">
        <w:rPr>
          <w:rFonts w:eastAsia="SimSun" w:hint="cs"/>
          <w:rtl/>
          <w:lang w:eastAsia="zh-CN"/>
        </w:rPr>
        <w:t>واللجنة الاستشارية المستقلة للرقابة، موضحاً فيه الأنشطة التي نُفذت، وتوجُّه هذه الأنشطة ونطاقها،</w:t>
      </w:r>
      <w:r w:rsidR="00070BB9" w:rsidRPr="00070BB9">
        <w:rPr>
          <w:rFonts w:eastAsia="SimSun"/>
          <w:rtl/>
          <w:lang w:eastAsia="zh-CN"/>
        </w:rPr>
        <w:t xml:space="preserve"> والجدول الزمني للعمل المنجز، والتقدم المحرز في تنفيذ التوصيات ذات الأولوية.</w:t>
      </w:r>
      <w:r w:rsidR="00070BB9">
        <w:rPr>
          <w:rFonts w:eastAsia="SimSun" w:hint="cs"/>
          <w:rtl/>
          <w:lang w:eastAsia="zh-CN"/>
        </w:rPr>
        <w:t xml:space="preserve"> ويتيح هذا التقرير لأصحاب المصلحة الرئيسيين</w:t>
      </w:r>
      <w:r w:rsidR="00070BB9" w:rsidRPr="00070BB9">
        <w:rPr>
          <w:rFonts w:eastAsia="SimSun"/>
          <w:rtl/>
          <w:lang w:eastAsia="zh-CN"/>
        </w:rPr>
        <w:t xml:space="preserve"> و</w:t>
      </w:r>
      <w:r w:rsidR="00070BB9">
        <w:rPr>
          <w:rFonts w:eastAsia="SimSun" w:hint="cs"/>
          <w:rtl/>
          <w:lang w:eastAsia="zh-CN"/>
        </w:rPr>
        <w:t>ل</w:t>
      </w:r>
      <w:r w:rsidR="00070BB9" w:rsidRPr="00070BB9">
        <w:rPr>
          <w:rFonts w:eastAsia="SimSun"/>
          <w:rtl/>
          <w:lang w:eastAsia="zh-CN"/>
        </w:rPr>
        <w:t>موظ</w:t>
      </w:r>
      <w:r w:rsidR="00070BB9">
        <w:rPr>
          <w:rFonts w:eastAsia="SimSun"/>
          <w:rtl/>
          <w:lang w:eastAsia="zh-CN"/>
        </w:rPr>
        <w:t>في الويبو بصفة عامة الإحاطة علم</w:t>
      </w:r>
      <w:r w:rsidR="00070BB9" w:rsidRPr="00070BB9">
        <w:rPr>
          <w:rFonts w:eastAsia="SimSun"/>
          <w:rtl/>
          <w:lang w:eastAsia="zh-CN"/>
        </w:rPr>
        <w:t>ا</w:t>
      </w:r>
      <w:r w:rsidR="00070BB9">
        <w:rPr>
          <w:rFonts w:eastAsia="SimSun" w:hint="cs"/>
          <w:rtl/>
          <w:lang w:eastAsia="zh-CN"/>
        </w:rPr>
        <w:t>ً</w:t>
      </w:r>
      <w:r w:rsidR="00070BB9" w:rsidRPr="00070BB9">
        <w:rPr>
          <w:rFonts w:eastAsia="SimSun"/>
          <w:rtl/>
          <w:lang w:eastAsia="zh-CN"/>
        </w:rPr>
        <w:t xml:space="preserve"> بتقارير الشعبة وأنشطتها والتحديات التي تواجهها في الاضطلاع بمهامها.</w:t>
      </w:r>
    </w:p>
    <w:p w:rsidR="0041792F" w:rsidRPr="004A070F" w:rsidRDefault="0041792F" w:rsidP="00070BB9">
      <w:pPr>
        <w:pStyle w:val="NormalParaAR"/>
        <w:keepNext/>
        <w:rPr>
          <w:rFonts w:eastAsia="SimSun"/>
          <w:b/>
          <w:bCs/>
          <w:sz w:val="40"/>
          <w:szCs w:val="40"/>
          <w:lang w:eastAsia="zh-CN"/>
        </w:rPr>
      </w:pPr>
      <w:bookmarkStart w:id="13" w:name="Planningprinciples"/>
      <w:r w:rsidRPr="004A070F">
        <w:rPr>
          <w:rFonts w:eastAsia="SimSun"/>
          <w:b/>
          <w:bCs/>
          <w:sz w:val="40"/>
          <w:szCs w:val="40"/>
          <w:rtl/>
          <w:lang w:eastAsia="zh-CN"/>
        </w:rPr>
        <w:t>مبادئ التخطيط</w:t>
      </w:r>
    </w:p>
    <w:bookmarkEnd w:id="13"/>
    <w:p w:rsidR="00070BB9" w:rsidRDefault="00070BB9" w:rsidP="00105F2C">
      <w:pPr>
        <w:pStyle w:val="NumberedParaAR"/>
        <w:numPr>
          <w:ilvl w:val="0"/>
          <w:numId w:val="6"/>
        </w:numPr>
        <w:rPr>
          <w:rFonts w:eastAsia="SimSun"/>
          <w:lang w:eastAsia="zh-CN"/>
        </w:rPr>
      </w:pPr>
      <w:r>
        <w:rPr>
          <w:rFonts w:eastAsia="SimSun" w:hint="cs"/>
          <w:rtl/>
          <w:lang w:eastAsia="zh-CN"/>
        </w:rPr>
        <w:t>راعت الشعبة العوامل التالية في وضع خطة عملها: تقييم المخاطر ودراسة الجدوى والأثر في البلد ودورة الرقابة والآراء النقدية لإدارة الويبو والدول الأعضاء والموارد المتاحة. وقبل وضع الصيغة النهائية لخطة العمل، ق</w:t>
      </w:r>
      <w:r w:rsidR="0081282E">
        <w:rPr>
          <w:rFonts w:eastAsia="SimSun" w:hint="cs"/>
          <w:rtl/>
          <w:lang w:eastAsia="zh-CN"/>
        </w:rPr>
        <w:t>ُ</w:t>
      </w:r>
      <w:r>
        <w:rPr>
          <w:rFonts w:eastAsia="SimSun" w:hint="cs"/>
          <w:rtl/>
          <w:lang w:eastAsia="zh-CN"/>
        </w:rPr>
        <w:t>د</w:t>
      </w:r>
      <w:r w:rsidR="0081282E">
        <w:rPr>
          <w:rFonts w:eastAsia="SimSun" w:hint="cs"/>
          <w:rtl/>
          <w:lang w:eastAsia="zh-CN"/>
        </w:rPr>
        <w:t>ِّ</w:t>
      </w:r>
      <w:r>
        <w:rPr>
          <w:rFonts w:eastAsia="SimSun" w:hint="cs"/>
          <w:rtl/>
          <w:lang w:eastAsia="zh-CN"/>
        </w:rPr>
        <w:t>م مشروع خطة الرقابة أيضاً إلى اللجنة الاستشارية المستقلة للرقابة لاستعراضه وتقديم المشورة بشأنه وفقاً للفقرة 24(أ) من ميثاق الرقابة الداخلية.</w:t>
      </w:r>
    </w:p>
    <w:p w:rsidR="007C3F63" w:rsidRDefault="00070BB9" w:rsidP="0081282E">
      <w:pPr>
        <w:pStyle w:val="NumberedParaAR"/>
        <w:numPr>
          <w:ilvl w:val="0"/>
          <w:numId w:val="6"/>
        </w:numPr>
        <w:rPr>
          <w:rFonts w:eastAsia="SimSun"/>
          <w:lang w:eastAsia="zh-CN"/>
        </w:rPr>
      </w:pPr>
      <w:r>
        <w:rPr>
          <w:rFonts w:eastAsia="SimSun" w:hint="cs"/>
          <w:rtl/>
          <w:lang w:eastAsia="zh-CN"/>
        </w:rPr>
        <w:t>و</w:t>
      </w:r>
      <w:r w:rsidR="007C3F63">
        <w:rPr>
          <w:rFonts w:eastAsia="SimSun" w:hint="cs"/>
          <w:rtl/>
          <w:lang w:eastAsia="zh-CN"/>
        </w:rPr>
        <w:t xml:space="preserve">تحقيقاً لأكبر قدر من التغطية الرقابة وتعظيماً للفعالية في استخدام الموارد، تنظر الشعبة أيضاً في العمل الذي أنجزته هيئات رقابة أخرى </w:t>
      </w:r>
      <w:r w:rsidR="007C3F63" w:rsidRPr="007C3F63">
        <w:rPr>
          <w:rFonts w:eastAsia="SimSun"/>
          <w:rtl/>
          <w:lang w:eastAsia="zh-CN"/>
        </w:rPr>
        <w:t>مثل المدقق الخارجي ووحدة التفتيش المشتركة أو التقييمات التي تطلبها اللجنة الم</w:t>
      </w:r>
      <w:r w:rsidR="007C3F63">
        <w:rPr>
          <w:rFonts w:eastAsia="SimSun"/>
          <w:rtl/>
          <w:lang w:eastAsia="zh-CN"/>
        </w:rPr>
        <w:t>عنية بالتنمية والملكية الفكرية.</w:t>
      </w:r>
      <w:r w:rsidR="007C3F63">
        <w:rPr>
          <w:rFonts w:eastAsia="SimSun" w:hint="cs"/>
          <w:rtl/>
          <w:lang w:eastAsia="zh-CN" w:bidi="ar-EG"/>
        </w:rPr>
        <w:t xml:space="preserve"> وساعد ذلك على تفادي "الأعباء</w:t>
      </w:r>
      <w:r w:rsidR="007C3F63" w:rsidRPr="007C3F63">
        <w:rPr>
          <w:rFonts w:eastAsia="SimSun"/>
          <w:rtl/>
          <w:lang w:eastAsia="zh-CN"/>
        </w:rPr>
        <w:t xml:space="preserve"> المفرطة للرقابة" في المجالات التي تشهد أنشطة رقابية متعددة</w:t>
      </w:r>
      <w:r w:rsidR="007C3F63">
        <w:rPr>
          <w:rFonts w:eastAsia="SimSun" w:hint="cs"/>
          <w:rtl/>
          <w:lang w:eastAsia="zh-CN"/>
        </w:rPr>
        <w:t xml:space="preserve"> خلال الفترة </w:t>
      </w:r>
      <w:r w:rsidR="0081282E">
        <w:rPr>
          <w:rFonts w:eastAsia="SimSun" w:hint="cs"/>
          <w:rtl/>
          <w:lang w:eastAsia="zh-CN"/>
        </w:rPr>
        <w:t>المشمولة ب</w:t>
      </w:r>
      <w:r w:rsidR="007C3F63">
        <w:rPr>
          <w:rFonts w:eastAsia="SimSun" w:hint="cs"/>
          <w:rtl/>
          <w:lang w:eastAsia="zh-CN"/>
        </w:rPr>
        <w:t>التقرير.</w:t>
      </w:r>
    </w:p>
    <w:p w:rsidR="007C3F63" w:rsidRPr="007C3F63" w:rsidRDefault="007C3F63" w:rsidP="00105F2C">
      <w:pPr>
        <w:pStyle w:val="NumberedParaAR"/>
        <w:numPr>
          <w:ilvl w:val="0"/>
          <w:numId w:val="6"/>
        </w:numPr>
        <w:rPr>
          <w:rFonts w:eastAsia="SimSun"/>
          <w:lang w:eastAsia="zh-CN"/>
        </w:rPr>
      </w:pPr>
      <w:r>
        <w:rPr>
          <w:rFonts w:eastAsia="SimSun" w:hint="cs"/>
          <w:rtl/>
          <w:lang w:eastAsia="zh-CN"/>
        </w:rPr>
        <w:t>ووُزعت خطة الرقابة لعام 2015 على جميع مديري البرامج وأتيحت لموظفي الويبو عبر الشبكة الداخلية للويبو. وأُنجزت خطة عام 2014 وفقاً للجدول الزمني المحدد وفي حدود الميزانية المخصصة. ويجري تنفيذ خطة عام 2015 حالياً على النحو الوارد في المرفق الأول.</w:t>
      </w:r>
    </w:p>
    <w:p w:rsidR="0041792F" w:rsidRPr="004A070F" w:rsidRDefault="0041792F" w:rsidP="007C3F63">
      <w:pPr>
        <w:pStyle w:val="NormalParaAR"/>
        <w:keepNext/>
        <w:rPr>
          <w:rFonts w:eastAsia="SimSun"/>
          <w:b/>
          <w:bCs/>
          <w:sz w:val="40"/>
          <w:szCs w:val="40"/>
          <w:lang w:eastAsia="zh-CN"/>
        </w:rPr>
      </w:pPr>
      <w:bookmarkStart w:id="14" w:name="profstand"/>
      <w:r w:rsidRPr="004A070F">
        <w:rPr>
          <w:rFonts w:eastAsia="SimSun"/>
          <w:b/>
          <w:bCs/>
          <w:sz w:val="40"/>
          <w:szCs w:val="40"/>
          <w:rtl/>
          <w:lang w:eastAsia="zh-CN"/>
        </w:rPr>
        <w:t>المعايير المهنية</w:t>
      </w:r>
    </w:p>
    <w:bookmarkEnd w:id="14"/>
    <w:p w:rsidR="007C3F63" w:rsidRPr="007C3F63" w:rsidRDefault="007C3F63" w:rsidP="00105F2C">
      <w:pPr>
        <w:pStyle w:val="NumberedParaAR"/>
        <w:numPr>
          <w:ilvl w:val="0"/>
          <w:numId w:val="6"/>
        </w:numPr>
        <w:rPr>
          <w:rFonts w:eastAsia="SimSun"/>
          <w:lang w:eastAsia="zh-CN"/>
        </w:rPr>
      </w:pPr>
      <w:r w:rsidRPr="007C3F63">
        <w:rPr>
          <w:rFonts w:eastAsia="SimSun"/>
          <w:rtl/>
          <w:lang w:eastAsia="zh-CN"/>
        </w:rPr>
        <w:t xml:space="preserve">تلتزم شعبة </w:t>
      </w:r>
      <w:r>
        <w:rPr>
          <w:rFonts w:eastAsia="SimSun" w:hint="cs"/>
          <w:rtl/>
          <w:lang w:eastAsia="zh-CN"/>
        </w:rPr>
        <w:t>الرقابة</w:t>
      </w:r>
      <w:r>
        <w:rPr>
          <w:rFonts w:eastAsia="SimSun"/>
          <w:rtl/>
          <w:lang w:eastAsia="zh-CN"/>
        </w:rPr>
        <w:t xml:space="preserve"> الداخل</w:t>
      </w:r>
      <w:r>
        <w:rPr>
          <w:rFonts w:eastAsia="SimSun" w:hint="cs"/>
          <w:rtl/>
          <w:lang w:eastAsia="zh-CN"/>
        </w:rPr>
        <w:t>ية</w:t>
      </w:r>
      <w:r w:rsidRPr="007C3F63">
        <w:rPr>
          <w:rFonts w:eastAsia="SimSun"/>
          <w:rtl/>
          <w:lang w:eastAsia="zh-CN"/>
        </w:rPr>
        <w:t xml:space="preserve"> في أدائها أنشطة التدقيق بالإطار الدولي للممارسات المهنية الذي أصدره معهد المدققين الداخليين. وبالمثل، تسترشد </w:t>
      </w:r>
      <w:r>
        <w:rPr>
          <w:rFonts w:eastAsia="SimSun" w:hint="cs"/>
          <w:rtl/>
          <w:lang w:eastAsia="zh-CN"/>
        </w:rPr>
        <w:t>ال</w:t>
      </w:r>
      <w:r w:rsidRPr="007C3F63">
        <w:rPr>
          <w:rFonts w:eastAsia="SimSun"/>
          <w:rtl/>
          <w:lang w:eastAsia="zh-CN"/>
        </w:rPr>
        <w:t xml:space="preserve">شعبة في أعمال التحقيق التي تجريها بالمبادئ التوجيهية الموحدة والمبادئ التوجيهية للتحقيق التي </w:t>
      </w:r>
      <w:r>
        <w:rPr>
          <w:rFonts w:eastAsia="SimSun" w:hint="cs"/>
          <w:rtl/>
          <w:lang w:eastAsia="zh-CN"/>
        </w:rPr>
        <w:t>أقرها</w:t>
      </w:r>
      <w:r w:rsidRPr="007C3F63">
        <w:rPr>
          <w:rFonts w:eastAsia="SimSun"/>
          <w:rtl/>
          <w:lang w:eastAsia="zh-CN"/>
        </w:rPr>
        <w:t xml:space="preserve"> مؤتمر المحققين الدوليين. أما التقييم فيجرى وفقا</w:t>
      </w:r>
      <w:r>
        <w:rPr>
          <w:rFonts w:eastAsia="SimSun" w:hint="cs"/>
          <w:rtl/>
          <w:lang w:eastAsia="zh-CN"/>
        </w:rPr>
        <w:t>ً</w:t>
      </w:r>
      <w:r w:rsidRPr="007C3F63">
        <w:rPr>
          <w:rFonts w:eastAsia="SimSun"/>
          <w:rtl/>
          <w:lang w:eastAsia="zh-CN"/>
        </w:rPr>
        <w:t xml:space="preserve"> للمعايير الدولية لممارسات التقييم كما حددها فريق الأمم المتحدة المعني بالتقييم</w:t>
      </w:r>
      <w:r w:rsidRPr="007C3F63">
        <w:rPr>
          <w:rFonts w:eastAsia="SimSun"/>
          <w:lang w:eastAsia="zh-CN"/>
        </w:rPr>
        <w:t>.</w:t>
      </w:r>
    </w:p>
    <w:p w:rsidR="0041792F" w:rsidRPr="004A070F" w:rsidRDefault="000F7D75" w:rsidP="000F7D75">
      <w:pPr>
        <w:pStyle w:val="NormalParaAR"/>
        <w:keepNext/>
        <w:rPr>
          <w:rFonts w:eastAsia="SimSun"/>
          <w:b/>
          <w:bCs/>
          <w:sz w:val="40"/>
          <w:szCs w:val="40"/>
          <w:lang w:eastAsia="zh-CN"/>
        </w:rPr>
      </w:pPr>
      <w:bookmarkStart w:id="15" w:name="sigfindings"/>
      <w:r w:rsidRPr="004A070F">
        <w:rPr>
          <w:rFonts w:eastAsia="SimSun"/>
          <w:b/>
          <w:bCs/>
          <w:sz w:val="40"/>
          <w:szCs w:val="40"/>
          <w:rtl/>
          <w:lang w:eastAsia="zh-CN"/>
        </w:rPr>
        <w:t xml:space="preserve">نتائج وتوصيات </w:t>
      </w:r>
      <w:r w:rsidRPr="004A070F">
        <w:rPr>
          <w:rFonts w:eastAsia="SimSun" w:hint="cs"/>
          <w:b/>
          <w:bCs/>
          <w:sz w:val="40"/>
          <w:szCs w:val="40"/>
          <w:rtl/>
          <w:lang w:eastAsia="zh-CN"/>
        </w:rPr>
        <w:t>هامة</w:t>
      </w:r>
      <w:r w:rsidRPr="004A070F">
        <w:rPr>
          <w:rFonts w:eastAsia="SimSun"/>
          <w:b/>
          <w:bCs/>
          <w:sz w:val="40"/>
          <w:szCs w:val="40"/>
          <w:rtl/>
          <w:lang w:eastAsia="zh-CN"/>
        </w:rPr>
        <w:t xml:space="preserve"> للرقابة الداخلية</w:t>
      </w:r>
    </w:p>
    <w:bookmarkEnd w:id="15"/>
    <w:p w:rsidR="000F7D75" w:rsidRDefault="000F7D75" w:rsidP="00865B9A">
      <w:pPr>
        <w:pStyle w:val="NumberedParaAR"/>
        <w:numPr>
          <w:ilvl w:val="0"/>
          <w:numId w:val="6"/>
        </w:numPr>
        <w:rPr>
          <w:rFonts w:eastAsia="SimSun"/>
          <w:lang w:eastAsia="zh-CN"/>
        </w:rPr>
      </w:pPr>
      <w:r>
        <w:rPr>
          <w:rFonts w:eastAsia="SimSun" w:hint="cs"/>
          <w:rtl/>
          <w:lang w:eastAsia="zh-CN"/>
        </w:rPr>
        <w:t xml:space="preserve">يحتوي هذا الجزء على معلومات عن النتائج والتوصيات الرئيسية ويعالج المخاطر العالية ذات الأولوية المدرجة في تقارير الرقابة الداخلية (عمليات المراجعة والتقييم وتقارير تورط الإدارة) التي صدرت خلال الفترة </w:t>
      </w:r>
      <w:r w:rsidR="00865B9A">
        <w:rPr>
          <w:rFonts w:eastAsia="SimSun" w:hint="cs"/>
          <w:rtl/>
          <w:lang w:eastAsia="zh-CN"/>
        </w:rPr>
        <w:t>المشمولة ب</w:t>
      </w:r>
      <w:r>
        <w:rPr>
          <w:rFonts w:eastAsia="SimSun" w:hint="cs"/>
          <w:rtl/>
          <w:lang w:eastAsia="zh-CN"/>
        </w:rPr>
        <w:t>هذا التقرير.</w:t>
      </w:r>
    </w:p>
    <w:p w:rsidR="000F7D75" w:rsidRDefault="000F7D75" w:rsidP="00105F2C">
      <w:pPr>
        <w:pStyle w:val="NumberedParaAR"/>
        <w:keepNext/>
        <w:numPr>
          <w:ilvl w:val="0"/>
          <w:numId w:val="6"/>
        </w:numPr>
        <w:rPr>
          <w:rFonts w:eastAsia="SimSun"/>
          <w:lang w:eastAsia="zh-CN"/>
        </w:rPr>
      </w:pPr>
      <w:r>
        <w:rPr>
          <w:rFonts w:eastAsia="SimSun" w:hint="cs"/>
          <w:rtl/>
          <w:lang w:eastAsia="zh-CN"/>
        </w:rPr>
        <w:lastRenderedPageBreak/>
        <w:t>وتتعلق النتائج والتوصيات الرئيسية بالمجالات التالية:</w:t>
      </w:r>
      <w:r>
        <w:rPr>
          <w:rStyle w:val="FootnoteReference"/>
          <w:rFonts w:eastAsia="SimSun"/>
          <w:rtl/>
          <w:lang w:eastAsia="zh-CN"/>
        </w:rPr>
        <w:footnoteReference w:id="2"/>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t xml:space="preserve">التعاون </w:t>
      </w:r>
      <w:r>
        <w:rPr>
          <w:rFonts w:eastAsia="SimSun"/>
          <w:rtl/>
          <w:lang w:eastAsia="zh-CN"/>
        </w:rPr>
        <w:t>الدولي من أجل إ</w:t>
      </w:r>
      <w:r>
        <w:rPr>
          <w:rFonts w:eastAsia="SimSun" w:hint="cs"/>
          <w:rtl/>
          <w:lang w:eastAsia="zh-CN"/>
        </w:rPr>
        <w:t>ز</w:t>
      </w:r>
      <w:r w:rsidRPr="000F7D75">
        <w:rPr>
          <w:rFonts w:eastAsia="SimSun"/>
          <w:rtl/>
          <w:lang w:eastAsia="zh-CN"/>
        </w:rPr>
        <w:t>كاء الاحترام للملكية الفكرية</w:t>
      </w:r>
      <w:r>
        <w:rPr>
          <w:rFonts w:eastAsia="SimSun" w:hint="cs"/>
          <w:rtl/>
          <w:lang w:eastAsia="zh-CN"/>
        </w:rPr>
        <w:t>؛</w:t>
      </w:r>
    </w:p>
    <w:p w:rsidR="000F7D75" w:rsidRDefault="000F7D75" w:rsidP="00865B9A">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 xml:space="preserve">تقييم </w:t>
      </w:r>
      <w:r w:rsidR="00D1147D">
        <w:rPr>
          <w:rFonts w:eastAsia="SimSun" w:hint="cs"/>
          <w:rtl/>
          <w:lang w:eastAsia="zh-CN"/>
        </w:rPr>
        <w:t>محفظة</w:t>
      </w:r>
      <w:r>
        <w:rPr>
          <w:rFonts w:eastAsia="SimSun" w:hint="cs"/>
          <w:rtl/>
          <w:lang w:eastAsia="zh-CN"/>
        </w:rPr>
        <w:t xml:space="preserve"> البلد </w:t>
      </w:r>
      <w:r w:rsidR="00865B9A">
        <w:rPr>
          <w:rFonts w:eastAsia="SimSun" w:hint="cs"/>
          <w:rtl/>
          <w:lang w:eastAsia="zh-CN"/>
        </w:rPr>
        <w:t>في</w:t>
      </w:r>
      <w:r>
        <w:rPr>
          <w:rFonts w:eastAsia="SimSun" w:hint="cs"/>
          <w:rtl/>
          <w:lang w:eastAsia="zh-CN"/>
        </w:rPr>
        <w:t xml:space="preserve"> شيلي؛</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r>
      <w:r w:rsidRPr="000F7D75">
        <w:rPr>
          <w:rFonts w:eastAsia="SimSun"/>
          <w:rtl/>
          <w:lang w:eastAsia="zh-CN"/>
        </w:rPr>
        <w:t>برنامج المكافآت والتقدير</w:t>
      </w:r>
      <w:r>
        <w:rPr>
          <w:rFonts w:eastAsia="SimSun" w:hint="cs"/>
          <w:rtl/>
          <w:lang w:eastAsia="zh-CN"/>
        </w:rPr>
        <w:t>؛</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(د)</w:t>
      </w:r>
      <w:r>
        <w:rPr>
          <w:rFonts w:eastAsia="SimSun" w:hint="cs"/>
          <w:rtl/>
          <w:lang w:eastAsia="zh-CN"/>
        </w:rPr>
        <w:tab/>
      </w:r>
      <w:r w:rsidR="009F6FF9">
        <w:rPr>
          <w:rFonts w:eastAsia="SimSun" w:hint="cs"/>
          <w:rtl/>
          <w:lang w:eastAsia="zh-CN"/>
        </w:rPr>
        <w:t>إدارة مخاطر الغير؛</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(ه)</w:t>
      </w:r>
      <w:r>
        <w:rPr>
          <w:rFonts w:eastAsia="SimSun" w:hint="cs"/>
          <w:rtl/>
          <w:lang w:eastAsia="zh-CN"/>
        </w:rPr>
        <w:tab/>
      </w:r>
      <w:r w:rsidR="009F6FF9">
        <w:rPr>
          <w:rFonts w:eastAsia="SimSun" w:hint="cs"/>
          <w:rtl/>
          <w:lang w:eastAsia="zh-CN"/>
        </w:rPr>
        <w:t>إدارة الأصول؛</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(و)</w:t>
      </w:r>
      <w:r>
        <w:rPr>
          <w:rFonts w:eastAsia="SimSun" w:hint="cs"/>
          <w:rtl/>
          <w:lang w:eastAsia="zh-CN"/>
        </w:rPr>
        <w:tab/>
      </w:r>
      <w:r w:rsidR="009F6FF9">
        <w:rPr>
          <w:rFonts w:eastAsia="SimSun" w:hint="cs"/>
          <w:rtl/>
          <w:lang w:eastAsia="zh-CN"/>
        </w:rPr>
        <w:t>أكاديمية الويبو؛</w:t>
      </w:r>
    </w:p>
    <w:p w:rsidR="000F7D75" w:rsidRDefault="000F7D75" w:rsidP="000F7D75">
      <w:pPr>
        <w:pStyle w:val="NumberedParaAR"/>
        <w:numPr>
          <w:ilvl w:val="0"/>
          <w:numId w:val="0"/>
        </w:numPr>
        <w:ind w:left="625"/>
        <w:rPr>
          <w:rFonts w:eastAsia="SimSun"/>
          <w:rtl/>
          <w:lang w:eastAsia="zh-CN"/>
        </w:rPr>
      </w:pPr>
      <w:r>
        <w:rPr>
          <w:rFonts w:eastAsia="SimSun" w:hint="cs"/>
          <w:rtl/>
          <w:lang w:eastAsia="zh-CN"/>
        </w:rPr>
        <w:t>(ز)</w:t>
      </w:r>
      <w:r>
        <w:rPr>
          <w:rFonts w:eastAsia="SimSun" w:hint="cs"/>
          <w:rtl/>
          <w:lang w:eastAsia="zh-CN"/>
        </w:rPr>
        <w:tab/>
      </w:r>
      <w:r w:rsidR="009F6FF9">
        <w:rPr>
          <w:rFonts w:eastAsia="SimSun" w:hint="cs"/>
          <w:rtl/>
          <w:lang w:eastAsia="zh-CN"/>
        </w:rPr>
        <w:t>خدمات السلامة والأمن.</w:t>
      </w:r>
    </w:p>
    <w:p w:rsidR="0041792F" w:rsidRDefault="009F6FF9" w:rsidP="00105F2C">
      <w:pPr>
        <w:pStyle w:val="NumberedParaAR"/>
        <w:numPr>
          <w:ilvl w:val="0"/>
          <w:numId w:val="6"/>
        </w:numPr>
        <w:rPr>
          <w:rFonts w:eastAsia="SimSun"/>
          <w:lang w:eastAsia="zh-CN"/>
        </w:rPr>
      </w:pPr>
      <w:r w:rsidRPr="009F6FF9">
        <w:rPr>
          <w:rFonts w:eastAsia="SimSun" w:hint="cs"/>
          <w:rtl/>
          <w:lang w:eastAsia="zh-CN"/>
        </w:rPr>
        <w:t>وتعمل الإدارة على تنفيذ غالبية التوصيات الخاصة بالنتائج الرئيسية المحددة في تقارير شعبة الرقابة الداخلية. وتعالج الإدارة جميع التوصيات من خلال خطة عمل ترد فيها الأنشطة المقترحة والموظفين المسؤولين وأجل التنفيذ.</w:t>
      </w:r>
      <w:r>
        <w:rPr>
          <w:rFonts w:eastAsia="SimSun" w:hint="cs"/>
          <w:rtl/>
          <w:lang w:eastAsia="zh-CN"/>
        </w:rPr>
        <w:t xml:space="preserve"> وتدار التوصيات المفتوحة من خلال</w:t>
      </w:r>
      <w:r w:rsidRPr="009F6FF9">
        <w:rPr>
          <w:rFonts w:eastAsia="SimSun" w:hint="cs"/>
          <w:rtl/>
          <w:lang w:eastAsia="zh-CN"/>
        </w:rPr>
        <w:t xml:space="preserve"> نظام</w:t>
      </w:r>
      <w:r w:rsidRPr="009F6FF9">
        <w:rPr>
          <w:rFonts w:eastAsia="SimSun"/>
          <w:rtl/>
          <w:lang w:eastAsia="zh-CN"/>
        </w:rPr>
        <w:t xml:space="preserve"> قاعدة بيانات الفرق المركزية</w:t>
      </w:r>
      <w:r>
        <w:rPr>
          <w:rFonts w:eastAsia="SimSun" w:hint="cs"/>
          <w:rtl/>
          <w:lang w:eastAsia="zh-CN"/>
        </w:rPr>
        <w:t xml:space="preserve"> (</w:t>
      </w:r>
      <w:proofErr w:type="spellStart"/>
      <w:r>
        <w:rPr>
          <w:rFonts w:eastAsia="SimSun"/>
          <w:lang w:eastAsia="zh-CN"/>
        </w:rPr>
        <w:t>TeamCentral</w:t>
      </w:r>
      <w:proofErr w:type="spellEnd"/>
      <w:r>
        <w:rPr>
          <w:rFonts w:eastAsia="SimSun" w:hint="cs"/>
          <w:rtl/>
          <w:lang w:eastAsia="zh-CN" w:bidi="ar-EG"/>
        </w:rPr>
        <w:t>)</w:t>
      </w:r>
      <w:r>
        <w:rPr>
          <w:rStyle w:val="FootnoteReference"/>
          <w:rFonts w:eastAsia="SimSun"/>
          <w:rtl/>
          <w:lang w:eastAsia="zh-CN"/>
        </w:rPr>
        <w:footnoteReference w:id="3"/>
      </w:r>
      <w:r>
        <w:rPr>
          <w:rFonts w:eastAsia="SimSun" w:hint="cs"/>
          <w:rtl/>
          <w:lang w:eastAsia="zh-CN"/>
        </w:rPr>
        <w:t xml:space="preserve"> المتاح للشعبة وإدارة الويبو والمدققين الخارجيين. وتجتمع الشعبة والإدارة بانتظام لاستعراض ومتابعة وضع تنفيذ التوصيات المفتوحة.</w:t>
      </w:r>
    </w:p>
    <w:p w:rsidR="009F6FF9" w:rsidRPr="00A879EF" w:rsidRDefault="00AB6119" w:rsidP="00D1147D">
      <w:pPr>
        <w:pStyle w:val="Heading2AR"/>
        <w:rPr>
          <w:rFonts w:eastAsia="SimSun"/>
          <w:rtl/>
          <w:lang w:eastAsia="zh-CN"/>
        </w:rPr>
      </w:pPr>
      <w:r w:rsidRPr="00A879EF">
        <w:rPr>
          <w:rFonts w:eastAsia="SimSun"/>
          <w:rtl/>
          <w:lang w:eastAsia="zh-CN"/>
        </w:rPr>
        <w:t>تقييم الهدف الاستراتيجي</w:t>
      </w:r>
      <w:r w:rsidRPr="00A879EF">
        <w:rPr>
          <w:rFonts w:eastAsia="SimSun" w:hint="cs"/>
          <w:rtl/>
          <w:lang w:eastAsia="zh-CN"/>
        </w:rPr>
        <w:t xml:space="preserve"> السادس </w:t>
      </w:r>
      <w:r w:rsidRPr="00A879EF">
        <w:rPr>
          <w:rFonts w:eastAsia="SimSun"/>
          <w:rtl/>
          <w:lang w:eastAsia="zh-CN"/>
        </w:rPr>
        <w:t xml:space="preserve">– التعاون الدولي </w:t>
      </w:r>
      <w:r w:rsidRPr="00A879EF">
        <w:rPr>
          <w:rFonts w:eastAsia="SimSun" w:hint="cs"/>
          <w:rtl/>
          <w:lang w:eastAsia="zh-CN"/>
        </w:rPr>
        <w:t>من أجل</w:t>
      </w:r>
      <w:r w:rsidRPr="00A879EF">
        <w:rPr>
          <w:rFonts w:eastAsia="SimSun"/>
          <w:rtl/>
          <w:lang w:eastAsia="zh-CN"/>
        </w:rPr>
        <w:t xml:space="preserve"> إ</w:t>
      </w:r>
      <w:r w:rsidRPr="00A879EF">
        <w:rPr>
          <w:rFonts w:eastAsia="SimSun" w:hint="cs"/>
          <w:rtl/>
          <w:lang w:eastAsia="zh-CN"/>
        </w:rPr>
        <w:t>ز</w:t>
      </w:r>
      <w:r w:rsidRPr="00A879EF">
        <w:rPr>
          <w:rFonts w:eastAsia="SimSun"/>
          <w:rtl/>
          <w:lang w:eastAsia="zh-CN"/>
        </w:rPr>
        <w:t>كاء احترام الملكية الفكرية</w:t>
      </w:r>
    </w:p>
    <w:p w:rsidR="009F6FF9" w:rsidRDefault="00B37FA3" w:rsidP="00105F2C">
      <w:pPr>
        <w:pStyle w:val="NumberedParaAR"/>
        <w:keepNext/>
        <w:numPr>
          <w:ilvl w:val="0"/>
          <w:numId w:val="6"/>
        </w:numPr>
        <w:rPr>
          <w:rFonts w:eastAsia="SimSun"/>
          <w:lang w:eastAsia="zh-CN"/>
        </w:rPr>
      </w:pPr>
      <w:r>
        <w:rPr>
          <w:rFonts w:eastAsia="SimSun" w:hint="cs"/>
          <w:rtl/>
          <w:lang w:eastAsia="zh-CN"/>
        </w:rPr>
        <w:t>كانت هذه المهمة أول تقييم تجريه الشعبة لهدف استراتيجي. وأسفر التقييم عن نتائج إيجابية ويمكن استخلاص الاستنتاجات التالية:</w:t>
      </w:r>
    </w:p>
    <w:p w:rsidR="00B37FA3" w:rsidRDefault="00B37FA3" w:rsidP="0081282E">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t xml:space="preserve">أدير دعم الويبو لتحقيق </w:t>
      </w:r>
      <w:r w:rsidR="0081282E">
        <w:rPr>
          <w:rFonts w:eastAsia="SimSun" w:hint="cs"/>
          <w:rtl/>
          <w:lang w:eastAsia="zh-CN"/>
        </w:rPr>
        <w:t>غايات</w:t>
      </w:r>
      <w:r>
        <w:rPr>
          <w:rFonts w:eastAsia="SimSun" w:hint="cs"/>
          <w:rtl/>
          <w:lang w:eastAsia="zh-CN"/>
        </w:rPr>
        <w:t xml:space="preserve"> الهدف الاستراتيجي السادس إدارة جيدة من خلال البرنامج 17 أساساً (إزكاء الاحترام للملكية الفكرية)؛</w:t>
      </w:r>
    </w:p>
    <w:p w:rsidR="00B37FA3" w:rsidRDefault="00B37FA3" w:rsidP="00B37FA3">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رغم التقدم المحرز، يوجد مجال لتحسين تطبيق الويبو لمبادئ الإدارة القائمة على الإدارة في تخطيط ورصد الأنشطة المدرجة في إطار الهدف الاستراتيجي السادس؛</w:t>
      </w:r>
    </w:p>
    <w:p w:rsidR="00B37FA3" w:rsidRDefault="00B37FA3" w:rsidP="0081282E">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t xml:space="preserve">قدمت </w:t>
      </w:r>
      <w:r w:rsidR="00E11D8F">
        <w:rPr>
          <w:rFonts w:eastAsia="SimSun" w:hint="cs"/>
          <w:rtl/>
          <w:lang w:eastAsia="zh-CN"/>
        </w:rPr>
        <w:t>الأمانة الدعم الملائم و</w:t>
      </w:r>
      <w:r>
        <w:rPr>
          <w:rFonts w:eastAsia="SimSun" w:hint="cs"/>
          <w:rtl/>
          <w:lang w:eastAsia="zh-CN"/>
        </w:rPr>
        <w:t>الملحوظ والعالي الجودة لتحقيق الهدف الاستراتيجي السادس و</w:t>
      </w:r>
      <w:r w:rsidR="0081282E">
        <w:rPr>
          <w:rFonts w:eastAsia="SimSun" w:hint="cs"/>
          <w:rtl/>
          <w:lang w:eastAsia="zh-CN"/>
        </w:rPr>
        <w:t>غاياته</w:t>
      </w:r>
      <w:r>
        <w:rPr>
          <w:rFonts w:eastAsia="SimSun" w:hint="cs"/>
          <w:rtl/>
          <w:lang w:eastAsia="zh-CN"/>
        </w:rPr>
        <w:t xml:space="preserve"> المزمعة؛</w:t>
      </w:r>
    </w:p>
    <w:p w:rsidR="00E11D8F" w:rsidRDefault="00B37FA3" w:rsidP="0081282E">
      <w:pPr>
        <w:pStyle w:val="NumberedParaAR"/>
        <w:numPr>
          <w:ilvl w:val="0"/>
          <w:numId w:val="0"/>
        </w:numPr>
        <w:ind w:left="625"/>
        <w:rPr>
          <w:rFonts w:eastAsia="SimSun"/>
          <w:rtl/>
          <w:lang w:eastAsia="zh-CN"/>
        </w:rPr>
      </w:pPr>
      <w:r>
        <w:rPr>
          <w:rFonts w:eastAsia="SimSun" w:hint="cs"/>
          <w:rtl/>
          <w:lang w:eastAsia="zh-CN"/>
        </w:rPr>
        <w:t>(د)</w:t>
      </w:r>
      <w:r>
        <w:rPr>
          <w:rFonts w:eastAsia="SimSun" w:hint="cs"/>
          <w:rtl/>
          <w:lang w:eastAsia="zh-CN"/>
        </w:rPr>
        <w:tab/>
      </w:r>
      <w:r w:rsidR="00E11D8F">
        <w:rPr>
          <w:rFonts w:eastAsia="SimSun" w:hint="cs"/>
          <w:rtl/>
          <w:lang w:eastAsia="zh-CN"/>
        </w:rPr>
        <w:t>قد</w:t>
      </w:r>
      <w:r w:rsidR="00E11D8F" w:rsidRPr="00E11D8F">
        <w:rPr>
          <w:rFonts w:eastAsia="SimSun"/>
          <w:rtl/>
          <w:lang w:eastAsia="zh-CN"/>
        </w:rPr>
        <w:t>مت المساعدة التقنية بكفاءة عموما</w:t>
      </w:r>
      <w:r w:rsidR="00E11D8F">
        <w:rPr>
          <w:rFonts w:eastAsia="SimSun" w:hint="cs"/>
          <w:rtl/>
          <w:lang w:eastAsia="zh-CN"/>
        </w:rPr>
        <w:t>ً</w:t>
      </w:r>
      <w:r w:rsidR="00E11D8F" w:rsidRPr="00E11D8F">
        <w:rPr>
          <w:rFonts w:eastAsia="SimSun"/>
          <w:rtl/>
          <w:lang w:eastAsia="zh-CN"/>
        </w:rPr>
        <w:t xml:space="preserve"> واعتمدت المبادئ الأساسية للتوصيات 45 </w:t>
      </w:r>
      <w:r w:rsidR="0081282E">
        <w:rPr>
          <w:rFonts w:eastAsia="SimSun" w:hint="cs"/>
          <w:rtl/>
          <w:lang w:eastAsia="zh-CN"/>
        </w:rPr>
        <w:t>ل</w:t>
      </w:r>
      <w:r w:rsidR="00E11D8F" w:rsidRPr="00E11D8F">
        <w:rPr>
          <w:rFonts w:eastAsia="SimSun"/>
          <w:rtl/>
          <w:lang w:eastAsia="zh-CN"/>
        </w:rPr>
        <w:t>جدول أعمال التنمية</w:t>
      </w:r>
      <w:r w:rsidR="00E11D8F">
        <w:rPr>
          <w:rFonts w:eastAsia="SimSun" w:hint="cs"/>
          <w:rtl/>
          <w:lang w:eastAsia="zh-CN"/>
        </w:rPr>
        <w:t>؛</w:t>
      </w:r>
    </w:p>
    <w:p w:rsidR="00E11D8F" w:rsidRDefault="00B37FA3" w:rsidP="00E11D8F">
      <w:pPr>
        <w:pStyle w:val="NumberedParaAR"/>
        <w:numPr>
          <w:ilvl w:val="0"/>
          <w:numId w:val="0"/>
        </w:numPr>
        <w:ind w:left="625"/>
        <w:rPr>
          <w:rFonts w:eastAsia="SimSun"/>
          <w:rtl/>
          <w:lang w:eastAsia="zh-CN"/>
        </w:rPr>
      </w:pPr>
      <w:r>
        <w:rPr>
          <w:rFonts w:eastAsia="SimSun" w:hint="cs"/>
          <w:rtl/>
          <w:lang w:eastAsia="zh-CN"/>
        </w:rPr>
        <w:t>(ه)</w:t>
      </w:r>
      <w:r>
        <w:rPr>
          <w:rFonts w:eastAsia="SimSun" w:hint="cs"/>
          <w:rtl/>
          <w:lang w:eastAsia="zh-CN"/>
        </w:rPr>
        <w:tab/>
      </w:r>
      <w:r w:rsidR="00E11D8F">
        <w:rPr>
          <w:rFonts w:eastAsia="SimSun" w:hint="cs"/>
          <w:rtl/>
          <w:lang w:eastAsia="zh-CN"/>
        </w:rPr>
        <w:t>ا</w:t>
      </w:r>
      <w:r w:rsidR="00E11D8F" w:rsidRPr="00E11D8F">
        <w:rPr>
          <w:rFonts w:eastAsia="SimSun"/>
          <w:rtl/>
          <w:lang w:eastAsia="zh-CN"/>
        </w:rPr>
        <w:t xml:space="preserve">تخذت خطوات أولية </w:t>
      </w:r>
      <w:r w:rsidR="00E11D8F">
        <w:rPr>
          <w:rFonts w:eastAsia="SimSun" w:hint="cs"/>
          <w:rtl/>
          <w:lang w:eastAsia="zh-CN"/>
        </w:rPr>
        <w:t>وإن لم تكن</w:t>
      </w:r>
      <w:r w:rsidR="00E11D8F" w:rsidRPr="00E11D8F">
        <w:rPr>
          <w:rFonts w:eastAsia="SimSun"/>
          <w:rtl/>
          <w:lang w:eastAsia="zh-CN"/>
        </w:rPr>
        <w:t xml:space="preserve"> منتظمة </w:t>
      </w:r>
      <w:r w:rsidR="00E11D8F">
        <w:rPr>
          <w:rFonts w:eastAsia="SimSun" w:hint="cs"/>
          <w:rtl/>
          <w:lang w:eastAsia="zh-CN"/>
        </w:rPr>
        <w:t>ل</w:t>
      </w:r>
      <w:r w:rsidR="00E11D8F" w:rsidRPr="00E11D8F">
        <w:rPr>
          <w:rFonts w:eastAsia="SimSun"/>
          <w:rtl/>
          <w:lang w:eastAsia="zh-CN"/>
        </w:rPr>
        <w:t>تعزيز الاستدامة على مستوى الدول الأعضاء.</w:t>
      </w:r>
    </w:p>
    <w:p w:rsidR="00E11D8F" w:rsidRDefault="00E11D8F" w:rsidP="00105F2C">
      <w:pPr>
        <w:pStyle w:val="NumberedParaAR"/>
        <w:numPr>
          <w:ilvl w:val="0"/>
          <w:numId w:val="6"/>
        </w:numPr>
        <w:rPr>
          <w:rFonts w:eastAsia="SimSun"/>
          <w:lang w:eastAsia="zh-CN"/>
        </w:rPr>
      </w:pPr>
      <w:r>
        <w:rPr>
          <w:rFonts w:eastAsia="SimSun" w:hint="cs"/>
          <w:rtl/>
          <w:lang w:eastAsia="zh-CN"/>
        </w:rPr>
        <w:t xml:space="preserve">واعتُبر بوجه عام أن عمل الأمانة في إطار الهدف الاستراتيجي السادس اتسم بالفعالية والكفاءة والجدوى وأن التحسينات التي أدخلت خلال فترة التقييم (2010 </w:t>
      </w:r>
      <w:r>
        <w:rPr>
          <w:rFonts w:eastAsia="SimSun"/>
          <w:rtl/>
          <w:lang w:eastAsia="zh-CN"/>
        </w:rPr>
        <w:t>–</w:t>
      </w:r>
      <w:r>
        <w:rPr>
          <w:rFonts w:eastAsia="SimSun" w:hint="cs"/>
          <w:rtl/>
          <w:lang w:eastAsia="zh-CN"/>
        </w:rPr>
        <w:t xml:space="preserve"> 2014) تعالج التحديات القليلة التي حُددت.</w:t>
      </w:r>
    </w:p>
    <w:p w:rsidR="00E11D8F" w:rsidRDefault="00E11D8F" w:rsidP="00105F2C">
      <w:pPr>
        <w:pStyle w:val="NumberedParaAR"/>
        <w:numPr>
          <w:ilvl w:val="0"/>
          <w:numId w:val="6"/>
        </w:numPr>
        <w:rPr>
          <w:rFonts w:eastAsia="SimSun"/>
          <w:lang w:eastAsia="zh-CN"/>
        </w:rPr>
      </w:pPr>
      <w:r>
        <w:rPr>
          <w:rFonts w:eastAsia="SimSun" w:hint="cs"/>
          <w:rtl/>
          <w:lang w:eastAsia="zh-CN"/>
        </w:rPr>
        <w:lastRenderedPageBreak/>
        <w:t>وبناء على الاستنتاجات والملاحظات الواردة أعلاه، لم تقدم أية توصية إلى البرنامج 17 أو أي برنامج مساهم آخر.</w:t>
      </w:r>
    </w:p>
    <w:p w:rsidR="00E11D8F" w:rsidRPr="00A879EF" w:rsidRDefault="00E11D8F" w:rsidP="00D1147D">
      <w:pPr>
        <w:pStyle w:val="Heading2AR"/>
        <w:rPr>
          <w:rFonts w:eastAsia="SimSun"/>
          <w:lang w:eastAsia="zh-CN"/>
        </w:rPr>
      </w:pPr>
      <w:r w:rsidRPr="00A879EF">
        <w:rPr>
          <w:rFonts w:eastAsia="SimSun" w:hint="cs"/>
          <w:rtl/>
          <w:lang w:eastAsia="zh-CN"/>
        </w:rPr>
        <w:t xml:space="preserve">تقييم </w:t>
      </w:r>
      <w:r w:rsidR="00D1147D">
        <w:rPr>
          <w:rFonts w:eastAsia="SimSun" w:hint="cs"/>
          <w:rtl/>
          <w:lang w:eastAsia="zh-CN"/>
        </w:rPr>
        <w:t>محفظة</w:t>
      </w:r>
      <w:r w:rsidRPr="00A879EF">
        <w:rPr>
          <w:rFonts w:eastAsia="SimSun" w:hint="cs"/>
          <w:rtl/>
          <w:lang w:eastAsia="zh-CN"/>
        </w:rPr>
        <w:t xml:space="preserve"> البلد </w:t>
      </w:r>
      <w:r w:rsidR="00A879EF" w:rsidRPr="00A879EF">
        <w:rPr>
          <w:rFonts w:eastAsia="SimSun" w:hint="cs"/>
          <w:rtl/>
          <w:lang w:eastAsia="zh-CN"/>
        </w:rPr>
        <w:t>في</w:t>
      </w:r>
      <w:r w:rsidRPr="00A879EF">
        <w:rPr>
          <w:rFonts w:eastAsia="SimSun" w:hint="cs"/>
          <w:rtl/>
          <w:lang w:eastAsia="zh-CN"/>
        </w:rPr>
        <w:t xml:space="preserve"> شيلي</w:t>
      </w:r>
    </w:p>
    <w:p w:rsidR="00E11D8F" w:rsidRDefault="00E11D8F" w:rsidP="00105F2C">
      <w:pPr>
        <w:pStyle w:val="NumberedParaAR"/>
        <w:keepNext/>
        <w:numPr>
          <w:ilvl w:val="0"/>
          <w:numId w:val="6"/>
        </w:numPr>
        <w:rPr>
          <w:rFonts w:eastAsia="SimSun"/>
          <w:lang w:eastAsia="zh-CN"/>
        </w:rPr>
      </w:pPr>
      <w:r>
        <w:rPr>
          <w:rFonts w:eastAsia="SimSun" w:hint="cs"/>
          <w:rtl/>
          <w:lang w:eastAsia="zh-CN"/>
        </w:rPr>
        <w:t>أجرت الشعبة تقييماً ثالثاً ل</w:t>
      </w:r>
      <w:r w:rsidR="00D1147D">
        <w:rPr>
          <w:rFonts w:eastAsia="SimSun" w:hint="cs"/>
          <w:rtl/>
          <w:lang w:eastAsia="zh-CN"/>
        </w:rPr>
        <w:t>محفظة</w:t>
      </w:r>
      <w:r>
        <w:rPr>
          <w:rFonts w:eastAsia="SimSun" w:hint="cs"/>
          <w:rtl/>
          <w:lang w:eastAsia="zh-CN"/>
        </w:rPr>
        <w:t xml:space="preserve"> البلد في شيلي في أواخر عام 2014 أسفر عن النتائج الإيجابية التالية: كانت خدمات الويبو هامة وفعالة؛ وأسهمت الأنشطة المنفذة في شيلي جزئياً في تحقيق ما يلي:</w:t>
      </w:r>
    </w:p>
    <w:p w:rsidR="00E11D8F" w:rsidRDefault="00E11D8F" w:rsidP="00BE7E77">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t>خمسة من الأهداف الاستراتيجية التسعة للويبو؛</w:t>
      </w:r>
    </w:p>
    <w:p w:rsidR="00E11D8F" w:rsidRDefault="00E11D8F" w:rsidP="00BE7E77">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عنصر واحد من العناصر الثمانية لسياسة الابتكار الوطني في شيلي.</w:t>
      </w:r>
    </w:p>
    <w:p w:rsidR="00E11D8F" w:rsidRDefault="00E11D8F" w:rsidP="00105F2C">
      <w:pPr>
        <w:pStyle w:val="NumberedParaAR"/>
        <w:keepNext/>
        <w:numPr>
          <w:ilvl w:val="0"/>
          <w:numId w:val="6"/>
        </w:numPr>
        <w:rPr>
          <w:rFonts w:eastAsia="SimSun"/>
          <w:lang w:eastAsia="zh-CN"/>
        </w:rPr>
      </w:pPr>
      <w:r>
        <w:rPr>
          <w:rFonts w:eastAsia="SimSun" w:hint="cs"/>
          <w:rtl/>
          <w:lang w:eastAsia="zh-CN"/>
        </w:rPr>
        <w:t>وقُدمت التوصيات الأربع التالية لإدخال المزيد من التحسينات على فعالية وجدوى دعم الأمانة لشيلي والدول الأعضاء الأخرى:</w:t>
      </w:r>
    </w:p>
    <w:p w:rsidR="00E11D8F" w:rsidRDefault="00E11D8F" w:rsidP="00E11D8F">
      <w:pPr>
        <w:pStyle w:val="NumberedParaAR"/>
        <w:numPr>
          <w:ilvl w:val="0"/>
          <w:numId w:val="0"/>
        </w:numPr>
        <w:ind w:left="625"/>
        <w:rPr>
          <w:rFonts w:eastAsia="SimSun"/>
          <w:rtl/>
          <w:lang w:eastAsia="zh-CN"/>
        </w:rPr>
      </w:pPr>
      <w:r>
        <w:rPr>
          <w:rFonts w:eastAsia="SimSun" w:hint="cs"/>
          <w:rtl/>
          <w:lang w:eastAsia="zh-CN"/>
        </w:rPr>
        <w:t>(أ)</w:t>
      </w:r>
      <w:r>
        <w:rPr>
          <w:rFonts w:eastAsia="SimSun" w:hint="cs"/>
          <w:rtl/>
          <w:lang w:eastAsia="zh-CN"/>
        </w:rPr>
        <w:tab/>
      </w:r>
      <w:r w:rsidR="00064376">
        <w:rPr>
          <w:rFonts w:eastAsia="SimSun" w:hint="cs"/>
          <w:rtl/>
          <w:lang w:eastAsia="zh-CN"/>
        </w:rPr>
        <w:t>وضع خطة قطرية للويبو بالتنسيق مع برامج الويبو وجهة التنسيق في البلد المعني قبل استهلال دورة التخطيط؛</w:t>
      </w:r>
    </w:p>
    <w:p w:rsidR="00064376" w:rsidRDefault="00064376" w:rsidP="00064376">
      <w:pPr>
        <w:pStyle w:val="NumberedParaAR"/>
        <w:numPr>
          <w:ilvl w:val="0"/>
          <w:numId w:val="0"/>
        </w:numPr>
        <w:ind w:left="625"/>
        <w:rPr>
          <w:rFonts w:eastAsia="SimSun"/>
          <w:rtl/>
          <w:lang w:eastAsia="zh-CN"/>
        </w:rPr>
      </w:pPr>
      <w:r>
        <w:rPr>
          <w:rFonts w:eastAsia="SimSun" w:hint="cs"/>
          <w:rtl/>
          <w:lang w:eastAsia="zh-CN"/>
        </w:rPr>
        <w:t>(ب)</w:t>
      </w:r>
      <w:r>
        <w:rPr>
          <w:rFonts w:eastAsia="SimSun" w:hint="cs"/>
          <w:rtl/>
          <w:lang w:eastAsia="zh-CN"/>
        </w:rPr>
        <w:tab/>
        <w:t>وفقاً لسياسة الويبو بشأن المساواة بين الجنسين، ينبغي للخطط القطرية أن تشمل جملة أمور منها الأنشطة التي تسهم في تيسير تكافؤ نفاذ الجنسين إلى نظام الملكية الفكرية؛</w:t>
      </w:r>
    </w:p>
    <w:p w:rsidR="00064376" w:rsidRDefault="00064376" w:rsidP="00064376">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t xml:space="preserve">يتعين إدراج روابط أوضح في الخطط القطرية المقبلة بين الأنشطة والنواتج والنتائج بما يتماشى مع إطار الويبو القائم </w:t>
      </w:r>
      <w:r w:rsidR="00117C0A">
        <w:rPr>
          <w:rFonts w:eastAsia="SimSun" w:hint="cs"/>
          <w:rtl/>
          <w:lang w:eastAsia="zh-CN"/>
        </w:rPr>
        <w:t xml:space="preserve">على </w:t>
      </w:r>
      <w:r>
        <w:rPr>
          <w:rFonts w:eastAsia="SimSun" w:hint="cs"/>
          <w:rtl/>
          <w:lang w:eastAsia="zh-CN"/>
        </w:rPr>
        <w:t>النتائج.</w:t>
      </w:r>
    </w:p>
    <w:p w:rsidR="00064376" w:rsidRDefault="00064376" w:rsidP="00064376">
      <w:pPr>
        <w:pStyle w:val="NumberedParaAR"/>
        <w:numPr>
          <w:ilvl w:val="0"/>
          <w:numId w:val="0"/>
        </w:numPr>
        <w:ind w:left="625"/>
        <w:rPr>
          <w:rFonts w:eastAsia="SimSun"/>
          <w:lang w:eastAsia="zh-CN"/>
        </w:rPr>
      </w:pPr>
      <w:r>
        <w:rPr>
          <w:rFonts w:eastAsia="SimSun" w:hint="cs"/>
          <w:rtl/>
          <w:lang w:eastAsia="zh-CN"/>
        </w:rPr>
        <w:t>(د)</w:t>
      </w:r>
      <w:r>
        <w:rPr>
          <w:rFonts w:eastAsia="SimSun" w:hint="cs"/>
          <w:rtl/>
          <w:lang w:eastAsia="zh-CN"/>
        </w:rPr>
        <w:tab/>
        <w:t>ينبغي لاتفاقات الخدمات بين الويبو والمؤسسات الحكومية أن تشمل خطط</w:t>
      </w:r>
      <w:r w:rsidR="00117C0A">
        <w:rPr>
          <w:rFonts w:eastAsia="SimSun" w:hint="cs"/>
          <w:rtl/>
          <w:lang w:eastAsia="zh-CN"/>
        </w:rPr>
        <w:t>اً</w:t>
      </w:r>
      <w:r>
        <w:rPr>
          <w:rFonts w:eastAsia="SimSun" w:hint="cs"/>
          <w:rtl/>
          <w:lang w:eastAsia="zh-CN"/>
        </w:rPr>
        <w:t xml:space="preserve"> تحدد إسهامات كل من الطرفين واستراتيجيات الخروج.</w:t>
      </w:r>
    </w:p>
    <w:p w:rsidR="00064376" w:rsidRPr="00A879EF" w:rsidRDefault="00064376" w:rsidP="00D1147D">
      <w:pPr>
        <w:pStyle w:val="Heading2AR"/>
        <w:rPr>
          <w:rFonts w:eastAsia="SimSun"/>
          <w:lang w:eastAsia="zh-CN"/>
        </w:rPr>
      </w:pPr>
      <w:r w:rsidRPr="00A879EF">
        <w:rPr>
          <w:rFonts w:eastAsia="SimSun"/>
          <w:rtl/>
          <w:lang w:eastAsia="zh-CN"/>
        </w:rPr>
        <w:t>برنامج المكافآت والتقدير</w:t>
      </w:r>
    </w:p>
    <w:p w:rsidR="00064376" w:rsidRDefault="00064376" w:rsidP="00117C0A">
      <w:pPr>
        <w:pStyle w:val="NumberedParaAR"/>
        <w:numPr>
          <w:ilvl w:val="0"/>
          <w:numId w:val="6"/>
        </w:numPr>
        <w:rPr>
          <w:rFonts w:eastAsia="SimSun"/>
          <w:lang w:eastAsia="zh-CN"/>
        </w:rPr>
      </w:pPr>
      <w:r>
        <w:rPr>
          <w:rFonts w:eastAsia="SimSun" w:hint="cs"/>
          <w:rtl/>
          <w:lang w:eastAsia="zh-CN"/>
        </w:rPr>
        <w:t>أجري هذا التقييم في الفترة الممتدة من سبتمبر 2014 إلى يناير 2015. و</w:t>
      </w:r>
      <w:r w:rsidR="00117C0A">
        <w:rPr>
          <w:rFonts w:eastAsia="SimSun" w:hint="cs"/>
          <w:rtl/>
          <w:lang w:eastAsia="zh-CN"/>
        </w:rPr>
        <w:t>انطوى على</w:t>
      </w:r>
      <w:r>
        <w:rPr>
          <w:rFonts w:eastAsia="SimSun" w:hint="cs"/>
          <w:rtl/>
          <w:lang w:eastAsia="zh-CN"/>
        </w:rPr>
        <w:t xml:space="preserve"> استعراض مكتبي معمق، ومقارنة بمنظمات الأمم المتحدة الأخرى التي نفذت برامج مماثلة، وحلقات عمل منظمة، ودراسات استقصائية وجهت إلى فريق الإدارة العليا خلال الفترة 2008-2014 وإلى جميع موظفي الويبو. واستشير أكثر من أربعمائة موظف من موظفي الويبو.</w:t>
      </w:r>
    </w:p>
    <w:p w:rsidR="00064376" w:rsidRDefault="00D91262" w:rsidP="00105F2C">
      <w:pPr>
        <w:pStyle w:val="NumberedParaAR"/>
        <w:keepNext/>
        <w:numPr>
          <w:ilvl w:val="0"/>
          <w:numId w:val="6"/>
        </w:numPr>
        <w:rPr>
          <w:rFonts w:eastAsia="SimSun"/>
          <w:lang w:eastAsia="zh-CN"/>
        </w:rPr>
      </w:pPr>
      <w:r>
        <w:rPr>
          <w:rFonts w:eastAsia="SimSun" w:hint="cs"/>
          <w:rtl/>
          <w:lang w:eastAsia="zh-CN"/>
        </w:rPr>
        <w:t>وخلص التقييم إلى أنه ينبغي إيلاء الأولوية للمكافآت العينية وغير الملموسة وينبغي للإدارة القيام بما يلي:</w:t>
      </w:r>
    </w:p>
    <w:p w:rsidR="00D91262" w:rsidRDefault="00D91262" w:rsidP="00D91262">
      <w:pPr>
        <w:pStyle w:val="NumberedParaAR"/>
        <w:numPr>
          <w:ilvl w:val="0"/>
          <w:numId w:val="0"/>
        </w:numPr>
        <w:ind w:left="625"/>
        <w:rPr>
          <w:rFonts w:eastAsia="SimSun"/>
          <w:rtl/>
          <w:lang w:eastAsia="zh-CN" w:bidi="ar-EG"/>
        </w:rPr>
      </w:pPr>
      <w:r>
        <w:rPr>
          <w:rFonts w:eastAsia="SimSun" w:hint="cs"/>
          <w:rtl/>
          <w:lang w:eastAsia="zh-CN"/>
        </w:rPr>
        <w:t>(أ)</w:t>
      </w:r>
      <w:r>
        <w:rPr>
          <w:rFonts w:eastAsia="SimSun" w:hint="cs"/>
          <w:rtl/>
          <w:lang w:eastAsia="zh-CN"/>
        </w:rPr>
        <w:tab/>
        <w:t xml:space="preserve">وضع نظام اختيار وتعيين أكثر </w:t>
      </w:r>
      <w:r>
        <w:rPr>
          <w:rFonts w:eastAsia="SimSun" w:hint="cs"/>
          <w:rtl/>
          <w:lang w:eastAsia="zh-CN" w:bidi="ar-EG"/>
        </w:rPr>
        <w:t>فعالية وشفافية على أن يكون موثقاً قدر الإمكان؛</w:t>
      </w:r>
    </w:p>
    <w:p w:rsidR="00D91262" w:rsidRDefault="00D91262" w:rsidP="00D91262">
      <w:pPr>
        <w:pStyle w:val="NumberedParaAR"/>
        <w:numPr>
          <w:ilvl w:val="0"/>
          <w:numId w:val="0"/>
        </w:numPr>
        <w:ind w:left="625"/>
        <w:rPr>
          <w:rFonts w:eastAsia="SimSun"/>
          <w:rtl/>
          <w:lang w:eastAsia="zh-CN"/>
        </w:rPr>
      </w:pPr>
      <w:r>
        <w:rPr>
          <w:rFonts w:eastAsia="SimSun" w:hint="cs"/>
          <w:rtl/>
          <w:lang w:eastAsia="zh-CN"/>
        </w:rPr>
        <w:t>(ب)</w:t>
      </w:r>
      <w:r>
        <w:rPr>
          <w:rFonts w:eastAsia="SimSun"/>
          <w:rtl/>
          <w:lang w:eastAsia="zh-CN"/>
        </w:rPr>
        <w:tab/>
      </w:r>
      <w:r>
        <w:rPr>
          <w:rFonts w:eastAsia="SimSun" w:hint="cs"/>
          <w:rtl/>
          <w:lang w:eastAsia="zh-CN"/>
        </w:rPr>
        <w:t>إشراك الموظفين في الاعتراف بالأداء ومكافأته؛</w:t>
      </w:r>
    </w:p>
    <w:p w:rsidR="00741AD7" w:rsidRDefault="00741AD7" w:rsidP="00741AD7">
      <w:pPr>
        <w:pStyle w:val="NumberedParaAR"/>
        <w:numPr>
          <w:ilvl w:val="0"/>
          <w:numId w:val="0"/>
        </w:numPr>
        <w:ind w:left="625"/>
        <w:rPr>
          <w:rFonts w:eastAsia="SimSun"/>
          <w:rtl/>
          <w:lang w:eastAsia="zh-CN"/>
        </w:rPr>
      </w:pPr>
      <w:r>
        <w:rPr>
          <w:rFonts w:eastAsia="SimSun" w:hint="cs"/>
          <w:rtl/>
          <w:lang w:eastAsia="zh-CN"/>
        </w:rPr>
        <w:t>(ج)</w:t>
      </w:r>
      <w:r>
        <w:rPr>
          <w:rFonts w:eastAsia="SimSun" w:hint="cs"/>
          <w:rtl/>
          <w:lang w:eastAsia="zh-CN"/>
        </w:rPr>
        <w:tab/>
        <w:t>إطلاع موظفي الويبو على برنامج المكافآت والتقدير بصورة استباقية؛</w:t>
      </w:r>
    </w:p>
    <w:p w:rsidR="00D91262" w:rsidRDefault="00D91262" w:rsidP="00741AD7">
      <w:pPr>
        <w:pStyle w:val="NumberedParaAR"/>
        <w:numPr>
          <w:ilvl w:val="0"/>
          <w:numId w:val="0"/>
        </w:numPr>
        <w:ind w:left="625"/>
        <w:rPr>
          <w:rFonts w:eastAsia="SimSun"/>
          <w:rtl/>
          <w:lang w:eastAsia="zh-CN"/>
        </w:rPr>
      </w:pPr>
      <w:r>
        <w:rPr>
          <w:rFonts w:eastAsia="SimSun" w:hint="cs"/>
          <w:rtl/>
          <w:lang w:eastAsia="zh-CN"/>
        </w:rPr>
        <w:t>(</w:t>
      </w:r>
      <w:r w:rsidR="00741AD7">
        <w:rPr>
          <w:rFonts w:eastAsia="SimSun" w:hint="cs"/>
          <w:rtl/>
          <w:lang w:eastAsia="zh-CN"/>
        </w:rPr>
        <w:t>د</w:t>
      </w:r>
      <w:r>
        <w:rPr>
          <w:rFonts w:eastAsia="SimSun" w:hint="cs"/>
          <w:rtl/>
          <w:lang w:eastAsia="zh-CN"/>
        </w:rPr>
        <w:t>)</w:t>
      </w:r>
      <w:r>
        <w:rPr>
          <w:rFonts w:eastAsia="SimSun"/>
          <w:rtl/>
          <w:lang w:eastAsia="zh-CN"/>
        </w:rPr>
        <w:tab/>
      </w:r>
      <w:r>
        <w:rPr>
          <w:rFonts w:eastAsia="SimSun" w:hint="cs"/>
          <w:rtl/>
          <w:lang w:eastAsia="zh-CN"/>
        </w:rPr>
        <w:t>إدراج وصف واضح للعناصر والإجراءات وأسباب تعيين واختيار الموظفين؛</w:t>
      </w:r>
    </w:p>
    <w:p w:rsidR="00D91262" w:rsidRDefault="00D91262" w:rsidP="00741AD7">
      <w:pPr>
        <w:pStyle w:val="NumberedParaAR"/>
        <w:numPr>
          <w:ilvl w:val="0"/>
          <w:numId w:val="0"/>
        </w:numPr>
        <w:ind w:left="625"/>
        <w:rPr>
          <w:rFonts w:eastAsia="SimSun"/>
          <w:rtl/>
          <w:lang w:eastAsia="zh-CN"/>
        </w:rPr>
      </w:pPr>
      <w:r>
        <w:rPr>
          <w:rFonts w:eastAsia="SimSun" w:hint="cs"/>
          <w:rtl/>
          <w:lang w:eastAsia="zh-CN"/>
        </w:rPr>
        <w:t>(</w:t>
      </w:r>
      <w:r w:rsidR="00741AD7">
        <w:rPr>
          <w:rFonts w:eastAsia="SimSun" w:hint="cs"/>
          <w:rtl/>
          <w:lang w:eastAsia="zh-CN"/>
        </w:rPr>
        <w:t>ه</w:t>
      </w:r>
      <w:r>
        <w:rPr>
          <w:rFonts w:eastAsia="SimSun" w:hint="cs"/>
          <w:rtl/>
          <w:lang w:eastAsia="zh-CN"/>
        </w:rPr>
        <w:t>)</w:t>
      </w:r>
      <w:r>
        <w:rPr>
          <w:rFonts w:eastAsia="SimSun" w:hint="cs"/>
          <w:rtl/>
          <w:lang w:eastAsia="zh-CN"/>
        </w:rPr>
        <w:tab/>
        <w:t>ضمان دعم إدارة الموارد البشرية لتنفيذ برنامج المكافآت والتقدير يشمل رقابة منتظمة للبرنامج.</w:t>
      </w:r>
    </w:p>
    <w:p w:rsidR="00D91262" w:rsidRPr="00D91262" w:rsidRDefault="00D91262" w:rsidP="00105F2C">
      <w:pPr>
        <w:pStyle w:val="NumberedParaAR"/>
        <w:numPr>
          <w:ilvl w:val="0"/>
          <w:numId w:val="6"/>
        </w:numPr>
        <w:rPr>
          <w:rFonts w:eastAsia="SimSun"/>
          <w:lang w:eastAsia="zh-CN"/>
        </w:rPr>
      </w:pPr>
      <w:r w:rsidRPr="00D91262">
        <w:rPr>
          <w:rFonts w:eastAsia="SimSun" w:hint="cs"/>
          <w:rtl/>
          <w:lang w:eastAsia="zh-CN"/>
        </w:rPr>
        <w:lastRenderedPageBreak/>
        <w:t xml:space="preserve">وردت إدارة الموارد البشرية إيجابياً ووافقت على تنفيذ هذه التوصيات. وتشمل خطة العمل الإدارية المقترحة مراجعة سياسة برنامج المكافآت والتقدير ووضع دليل </w:t>
      </w:r>
      <w:r>
        <w:rPr>
          <w:rFonts w:eastAsia="SimSun" w:hint="cs"/>
          <w:rtl/>
          <w:lang w:eastAsia="zh-CN"/>
        </w:rPr>
        <w:t>ل</w:t>
      </w:r>
      <w:r w:rsidRPr="00D91262">
        <w:rPr>
          <w:rFonts w:eastAsia="SimSun"/>
          <w:rtl/>
          <w:lang w:eastAsia="zh-CN"/>
        </w:rPr>
        <w:t>نظام إدارة الأداء وتطوير الموظفين</w:t>
      </w:r>
      <w:r>
        <w:rPr>
          <w:rFonts w:eastAsia="SimSun" w:hint="cs"/>
          <w:rtl/>
          <w:lang w:eastAsia="zh-CN"/>
        </w:rPr>
        <w:t xml:space="preserve"> عن "إظهار التقدير" وصفحة داخلية عن برنامج المكافآت والتقدير فضلاً عن إطلاق برنامج كفاءة إدارية.</w:t>
      </w:r>
    </w:p>
    <w:p w:rsidR="00D91262" w:rsidRPr="00632A79" w:rsidRDefault="00D91262" w:rsidP="00D1147D">
      <w:pPr>
        <w:pStyle w:val="Heading2AR"/>
        <w:rPr>
          <w:rFonts w:eastAsia="SimSun"/>
          <w:lang w:eastAsia="zh-CN"/>
        </w:rPr>
      </w:pPr>
      <w:r w:rsidRPr="00632A79">
        <w:rPr>
          <w:rFonts w:eastAsia="SimSun" w:hint="cs"/>
          <w:rtl/>
          <w:lang w:eastAsia="zh-CN"/>
        </w:rPr>
        <w:t>إدارة مخاطر الغير</w:t>
      </w:r>
    </w:p>
    <w:p w:rsidR="00D91262" w:rsidRDefault="00117C0A" w:rsidP="00117C0A">
      <w:pPr>
        <w:pStyle w:val="NumberedParaAR"/>
        <w:numPr>
          <w:ilvl w:val="0"/>
          <w:numId w:val="6"/>
        </w:numPr>
        <w:rPr>
          <w:rFonts w:eastAsia="SimSun"/>
          <w:lang w:eastAsia="zh-CN"/>
        </w:rPr>
      </w:pPr>
      <w:r>
        <w:rPr>
          <w:rFonts w:eastAsia="SimSun" w:hint="cs"/>
          <w:rtl/>
          <w:lang w:eastAsia="zh-CN"/>
        </w:rPr>
        <w:t xml:space="preserve">كانت </w:t>
      </w:r>
      <w:r w:rsidR="00105F2C">
        <w:rPr>
          <w:rFonts w:eastAsia="SimSun" w:hint="cs"/>
          <w:rtl/>
          <w:lang w:eastAsia="zh-CN"/>
        </w:rPr>
        <w:t>أهداف هذا التدقيق</w:t>
      </w:r>
      <w:r>
        <w:rPr>
          <w:rFonts w:eastAsia="SimSun" w:hint="cs"/>
          <w:rtl/>
          <w:lang w:eastAsia="zh-CN"/>
        </w:rPr>
        <w:t xml:space="preserve"> هي</w:t>
      </w:r>
      <w:r w:rsidR="00105F2C">
        <w:rPr>
          <w:rFonts w:eastAsia="SimSun" w:hint="cs"/>
          <w:rtl/>
          <w:lang w:eastAsia="zh-CN"/>
        </w:rPr>
        <w:t xml:space="preserve"> تقييم وضع الويبو آليات لتحديد وتقييم وإدارة مخاطر الغير إدارة فعالة بغية تخفيف آثار هذه المخاطر وتعظيم الاستفادة المتوقعة من العلاقات مع الغير. وخلص التدقيق إلى أنه ينبغي إدارة مخاطر الغير بصورة أكثر رسمية ومنهجية.</w:t>
      </w:r>
    </w:p>
    <w:p w:rsidR="00105F2C" w:rsidRDefault="00105F2C" w:rsidP="00E60C06">
      <w:pPr>
        <w:pStyle w:val="NumberedParaAR"/>
        <w:numPr>
          <w:ilvl w:val="0"/>
          <w:numId w:val="6"/>
        </w:numPr>
        <w:rPr>
          <w:rFonts w:eastAsia="SimSun"/>
          <w:lang w:eastAsia="zh-CN"/>
        </w:rPr>
      </w:pPr>
      <w:r>
        <w:rPr>
          <w:rFonts w:eastAsia="SimSun" w:hint="cs"/>
          <w:rtl/>
          <w:lang w:eastAsia="zh-CN"/>
        </w:rPr>
        <w:t>ويمكن لإدارة مخاطر الغير أن تكون أكثر فعالية إذا نُسقت إدارة الاتفاقات الخدمية الإدارية في شتى برامج الويبو؛ وإذا تولت وكالات عمل خارجية</w:t>
      </w:r>
      <w:r>
        <w:rPr>
          <w:rFonts w:eastAsia="SimSun" w:hint="cs"/>
          <w:rtl/>
          <w:lang w:eastAsia="zh-CN" w:bidi="ar-EG"/>
        </w:rPr>
        <w:t xml:space="preserve"> إجراء التحقيقات السليمة قبل تعيين الموظفين المؤقتين في الويبو، وتشمل هذه التحقيقات التحقق من خلفيات العاملين وسجلاتهم الجنائية وتوقيع بيان سرية عند الضرورة. وينبغي كذلك إدراج المخاطر المتعلقة بعجز الموردين الحرجين عن الوفاء بالتزاماتهم رسمياً في خطط </w:t>
      </w:r>
      <w:r w:rsidR="00E60C06">
        <w:rPr>
          <w:rFonts w:eastAsia="SimSun" w:hint="cs"/>
          <w:rtl/>
          <w:lang w:eastAsia="zh-CN" w:bidi="ar-EG"/>
        </w:rPr>
        <w:t>استمرارية الأعمال في الويبو.</w:t>
      </w:r>
    </w:p>
    <w:p w:rsidR="00105F2C" w:rsidRDefault="00E60C06" w:rsidP="00B5349B">
      <w:pPr>
        <w:pStyle w:val="NumberedParaAR"/>
        <w:numPr>
          <w:ilvl w:val="0"/>
          <w:numId w:val="6"/>
        </w:numPr>
        <w:rPr>
          <w:rFonts w:eastAsia="SimSun"/>
          <w:lang w:eastAsia="zh-CN"/>
        </w:rPr>
      </w:pPr>
      <w:r>
        <w:rPr>
          <w:rFonts w:eastAsia="SimSun" w:hint="cs"/>
          <w:rtl/>
          <w:lang w:eastAsia="zh-CN"/>
        </w:rPr>
        <w:t>و</w:t>
      </w:r>
      <w:r w:rsidR="00B5349B">
        <w:rPr>
          <w:rFonts w:eastAsia="SimSun" w:hint="cs"/>
          <w:rtl/>
          <w:lang w:eastAsia="zh-CN"/>
        </w:rPr>
        <w:t>شرعت</w:t>
      </w:r>
      <w:r>
        <w:rPr>
          <w:rFonts w:eastAsia="SimSun" w:hint="cs"/>
          <w:rtl/>
          <w:lang w:eastAsia="zh-CN"/>
        </w:rPr>
        <w:t xml:space="preserve"> الإدارة في اتخاذ إجراءات لتنفيذ التوصيات. فقد أدرج قطاع الإدارة والتسيير، بالتشاور مع الشعبة ومكتب المستشار القانوني، بند رقابة في الشروط العام</w:t>
      </w:r>
      <w:r>
        <w:rPr>
          <w:rFonts w:eastAsia="SimSun" w:hint="cs"/>
          <w:rtl/>
          <w:lang w:eastAsia="zh-CN" w:bidi="ar-EG"/>
        </w:rPr>
        <w:t>ة لعقود الويبو، وات</w:t>
      </w:r>
      <w:r w:rsidR="00B5349B">
        <w:rPr>
          <w:rFonts w:eastAsia="SimSun" w:hint="cs"/>
          <w:rtl/>
          <w:lang w:eastAsia="zh-CN" w:bidi="ar-EG"/>
        </w:rPr>
        <w:t>ُ</w:t>
      </w:r>
      <w:r>
        <w:rPr>
          <w:rFonts w:eastAsia="SimSun" w:hint="cs"/>
          <w:rtl/>
          <w:lang w:eastAsia="zh-CN" w:bidi="ar-EG"/>
        </w:rPr>
        <w:t xml:space="preserve">خذت خطوات لوضع نظام </w:t>
      </w:r>
      <w:proofErr w:type="spellStart"/>
      <w:r>
        <w:rPr>
          <w:rFonts w:eastAsia="SimSun" w:hint="cs"/>
          <w:rtl/>
          <w:lang w:eastAsia="zh-CN" w:bidi="ar-EG"/>
        </w:rPr>
        <w:t>جزاءات</w:t>
      </w:r>
      <w:proofErr w:type="spellEnd"/>
      <w:r>
        <w:rPr>
          <w:rFonts w:eastAsia="SimSun" w:hint="cs"/>
          <w:rtl/>
          <w:lang w:eastAsia="zh-CN" w:bidi="ar-EG"/>
        </w:rPr>
        <w:t xml:space="preserve"> للموردين (الكيانات التجارية أو الشركات المهنية أو المنظمات غير الحكومية) الذين كُشفت مشاركتهم في أشكال محددة من الاحتيال أو الفساد.</w:t>
      </w:r>
    </w:p>
    <w:p w:rsidR="0041792F" w:rsidRPr="00632A79" w:rsidRDefault="00E60C06" w:rsidP="00D1147D">
      <w:pPr>
        <w:pStyle w:val="Heading2AR"/>
        <w:rPr>
          <w:rFonts w:eastAsia="SimSun"/>
          <w:lang w:eastAsia="zh-CN"/>
        </w:rPr>
      </w:pPr>
      <w:r w:rsidRPr="00632A79">
        <w:rPr>
          <w:rFonts w:eastAsia="SimSun" w:hint="cs"/>
          <w:rtl/>
          <w:lang w:eastAsia="zh-CN"/>
        </w:rPr>
        <w:t>إ</w:t>
      </w:r>
      <w:r w:rsidR="0041792F" w:rsidRPr="00632A79">
        <w:rPr>
          <w:rFonts w:eastAsia="SimSun"/>
          <w:rtl/>
          <w:lang w:eastAsia="zh-CN"/>
        </w:rPr>
        <w:t>دارة الأصول</w:t>
      </w:r>
    </w:p>
    <w:p w:rsidR="00E60C06" w:rsidRDefault="00E60C06" w:rsidP="00105F2C">
      <w:pPr>
        <w:pStyle w:val="NumberedParaAR"/>
        <w:numPr>
          <w:ilvl w:val="0"/>
          <w:numId w:val="6"/>
        </w:numPr>
        <w:rPr>
          <w:rFonts w:eastAsia="SimSun"/>
          <w:lang w:eastAsia="zh-CN"/>
        </w:rPr>
      </w:pPr>
      <w:r>
        <w:rPr>
          <w:rFonts w:eastAsia="SimSun" w:hint="cs"/>
          <w:rtl/>
          <w:lang w:eastAsia="zh-CN"/>
        </w:rPr>
        <w:t>خلص التدقيق إلى أن مسارات تلقي الأصول وتسجيلها وحفظها وصيانتها والتخلص منها مسارات محكمة على الرغم من أنه يمكن مواصلة تحسين الضوابط الداخلية المتعلقة</w:t>
      </w:r>
      <w:r>
        <w:rPr>
          <w:rFonts w:eastAsia="SimSun" w:hint="cs"/>
          <w:rtl/>
          <w:lang w:eastAsia="zh-CN" w:bidi="ar-EG"/>
        </w:rPr>
        <w:t xml:space="preserve"> بتتبع الأصول والتحقق المادي منها.</w:t>
      </w:r>
    </w:p>
    <w:p w:rsidR="00E60C06" w:rsidRDefault="00E60C06" w:rsidP="00105F2C">
      <w:pPr>
        <w:pStyle w:val="NumberedParaAR"/>
        <w:numPr>
          <w:ilvl w:val="0"/>
          <w:numId w:val="6"/>
        </w:numPr>
        <w:rPr>
          <w:rFonts w:eastAsia="SimSun"/>
          <w:lang w:eastAsia="zh-CN"/>
        </w:rPr>
      </w:pPr>
      <w:r>
        <w:rPr>
          <w:rFonts w:eastAsia="SimSun" w:hint="cs"/>
          <w:rtl/>
          <w:lang w:eastAsia="zh-CN" w:bidi="ar-EG"/>
        </w:rPr>
        <w:t xml:space="preserve">وإن معالجة المعلومات الناقصة في قاعدة بيانات الأصول والمتعلقة بموقع الأصول والوصايا عليها </w:t>
      </w:r>
      <w:r w:rsidR="005D325D">
        <w:rPr>
          <w:rFonts w:eastAsia="SimSun" w:hint="cs"/>
          <w:rtl/>
          <w:lang w:eastAsia="zh-CN" w:bidi="ar-EG"/>
        </w:rPr>
        <w:t>سيعزز سلامة البيانات دقةً واكتمالاً. وإن استخدام دلالات أصولية غير قابلة للتلاعب سيحد من خطر نقل دلالات الأصول والإخطاء في التحقق المادي من مخزون الأصول الثابتة.</w:t>
      </w:r>
    </w:p>
    <w:p w:rsidR="005D325D" w:rsidRDefault="005D325D" w:rsidP="00B5349B">
      <w:pPr>
        <w:pStyle w:val="NumberedParaAR"/>
        <w:numPr>
          <w:ilvl w:val="0"/>
          <w:numId w:val="6"/>
        </w:numPr>
        <w:rPr>
          <w:rFonts w:eastAsia="SimSun"/>
          <w:lang w:eastAsia="zh-CN"/>
        </w:rPr>
      </w:pPr>
      <w:r>
        <w:rPr>
          <w:rFonts w:eastAsia="SimSun" w:hint="cs"/>
          <w:rtl/>
          <w:lang w:eastAsia="zh-CN" w:bidi="ar-EG"/>
        </w:rPr>
        <w:t xml:space="preserve">وفيما يخص إدارة المصنفات الفنية، فإن وضع قاعدة بيانات موحدة لتسجيل المصنفات الفنية ودمج المعلومات المدرجة حالياً في نظامين مستقلين سيعزز بصورة كبيرة الضوابط الداخلية المعنية. وتدرك الإدارة هذه المشكلة وعليه </w:t>
      </w:r>
      <w:r w:rsidR="00B5349B">
        <w:rPr>
          <w:rFonts w:eastAsia="SimSun" w:hint="cs"/>
          <w:rtl/>
          <w:lang w:eastAsia="zh-CN" w:bidi="ar-EG"/>
        </w:rPr>
        <w:t>شرعت</w:t>
      </w:r>
      <w:r>
        <w:rPr>
          <w:rFonts w:eastAsia="SimSun" w:hint="cs"/>
          <w:rtl/>
          <w:lang w:eastAsia="zh-CN" w:bidi="ar-EG"/>
        </w:rPr>
        <w:t xml:space="preserve"> في اتخاذ الخطوات اللازمة لحلها.</w:t>
      </w:r>
    </w:p>
    <w:p w:rsidR="005D325D" w:rsidRDefault="005D325D" w:rsidP="005D325D">
      <w:pPr>
        <w:pStyle w:val="NumberedParaAR"/>
        <w:numPr>
          <w:ilvl w:val="0"/>
          <w:numId w:val="6"/>
        </w:numPr>
        <w:rPr>
          <w:rFonts w:eastAsia="SimSun"/>
          <w:lang w:eastAsia="zh-CN"/>
        </w:rPr>
      </w:pPr>
      <w:r>
        <w:rPr>
          <w:rFonts w:eastAsia="SimSun" w:hint="cs"/>
          <w:rtl/>
          <w:lang w:eastAsia="zh-CN" w:bidi="ar-EG"/>
        </w:rPr>
        <w:t>وإن تحديد مؤشرات أداء رئيسية لإدارة الأصول في إطار البرنامج والميزانية للثنائية المقبلة سيحسن المساءلة والمسؤولية وسيعزز آليات رصد الأداء الحالية لضمان إدارة أصول الويبو بكفاءة وفعالية.</w:t>
      </w:r>
    </w:p>
    <w:p w:rsidR="005D325D" w:rsidRPr="00632A79" w:rsidRDefault="005D325D" w:rsidP="00D1147D">
      <w:pPr>
        <w:pStyle w:val="Heading2AR"/>
        <w:rPr>
          <w:rFonts w:eastAsia="SimSun"/>
          <w:rtl/>
          <w:lang w:eastAsia="zh-CN"/>
        </w:rPr>
      </w:pPr>
      <w:r w:rsidRPr="00632A79">
        <w:rPr>
          <w:rFonts w:eastAsia="SimSun" w:hint="cs"/>
          <w:rtl/>
          <w:lang w:eastAsia="zh-CN"/>
        </w:rPr>
        <w:t>أكاديمية الويبو</w:t>
      </w:r>
    </w:p>
    <w:p w:rsidR="005D325D" w:rsidRDefault="00AD6916" w:rsidP="00C77337">
      <w:pPr>
        <w:pStyle w:val="NumberedParaAR"/>
        <w:numPr>
          <w:ilvl w:val="0"/>
          <w:numId w:val="6"/>
        </w:numPr>
        <w:rPr>
          <w:rFonts w:eastAsia="SimSun"/>
          <w:lang w:eastAsia="zh-CN"/>
        </w:rPr>
      </w:pPr>
      <w:r>
        <w:rPr>
          <w:rFonts w:eastAsia="SimSun" w:hint="cs"/>
          <w:rtl/>
          <w:lang w:eastAsia="zh-CN"/>
        </w:rPr>
        <w:t xml:space="preserve">إن أكاديمية الويبو، التي أنشئت في عام 1998، </w:t>
      </w:r>
      <w:r w:rsidR="00713E26">
        <w:rPr>
          <w:rFonts w:eastAsia="SimSun" w:hint="cs"/>
          <w:rtl/>
          <w:lang w:eastAsia="zh-CN"/>
        </w:rPr>
        <w:t>هي هيئة رائدة في م</w:t>
      </w:r>
      <w:r w:rsidR="00C77337">
        <w:rPr>
          <w:rFonts w:eastAsia="SimSun" w:hint="cs"/>
          <w:rtl/>
          <w:lang w:eastAsia="zh-CN"/>
        </w:rPr>
        <w:t>يدان</w:t>
      </w:r>
      <w:r w:rsidR="00713E26">
        <w:rPr>
          <w:rFonts w:eastAsia="SimSun" w:hint="cs"/>
          <w:rtl/>
          <w:lang w:eastAsia="zh-CN"/>
        </w:rPr>
        <w:t xml:space="preserve"> التدريب والتعليم في مجال الملكية الفكرية </w:t>
      </w:r>
      <w:r w:rsidR="00563C55">
        <w:rPr>
          <w:rFonts w:eastAsia="SimSun" w:hint="cs"/>
          <w:rtl/>
          <w:lang w:eastAsia="zh-CN"/>
        </w:rPr>
        <w:t>لصالح</w:t>
      </w:r>
      <w:r w:rsidR="00713E26">
        <w:rPr>
          <w:rFonts w:eastAsia="SimSun" w:hint="cs"/>
          <w:rtl/>
          <w:lang w:eastAsia="zh-CN"/>
        </w:rPr>
        <w:t xml:space="preserve"> البلدان النامية والبلدان الأقل نمواً والبلدان التي تمر اقتصاداتها بمرحلة انتقالية. ولكن بدأت عدة برامج أخرى للويبو تقدم في السنوات الماضية </w:t>
      </w:r>
      <w:r w:rsidR="00563C55">
        <w:rPr>
          <w:rFonts w:eastAsia="SimSun" w:hint="cs"/>
          <w:rtl/>
          <w:lang w:eastAsia="zh-CN"/>
        </w:rPr>
        <w:t>المزيد من ال</w:t>
      </w:r>
      <w:r w:rsidR="00713E26">
        <w:rPr>
          <w:rFonts w:eastAsia="SimSun" w:hint="cs"/>
          <w:rtl/>
          <w:lang w:eastAsia="zh-CN"/>
        </w:rPr>
        <w:t xml:space="preserve">دورات </w:t>
      </w:r>
      <w:r w:rsidR="00563C55">
        <w:rPr>
          <w:rFonts w:eastAsia="SimSun" w:hint="cs"/>
          <w:rtl/>
          <w:lang w:eastAsia="zh-CN"/>
        </w:rPr>
        <w:t>ال</w:t>
      </w:r>
      <w:r w:rsidR="00713E26">
        <w:rPr>
          <w:rFonts w:eastAsia="SimSun" w:hint="cs"/>
          <w:rtl/>
          <w:lang w:eastAsia="zh-CN"/>
        </w:rPr>
        <w:t xml:space="preserve">تدريبية </w:t>
      </w:r>
      <w:r w:rsidR="00563C55">
        <w:rPr>
          <w:rFonts w:eastAsia="SimSun" w:hint="cs"/>
          <w:rtl/>
          <w:lang w:eastAsia="zh-CN"/>
        </w:rPr>
        <w:t>ال</w:t>
      </w:r>
      <w:r w:rsidR="00713E26">
        <w:rPr>
          <w:rFonts w:eastAsia="SimSun" w:hint="cs"/>
          <w:rtl/>
          <w:lang w:eastAsia="zh-CN"/>
        </w:rPr>
        <w:t>موجهة نحو التنمية وخدمات ل</w:t>
      </w:r>
      <w:r w:rsidR="00C77337">
        <w:rPr>
          <w:rFonts w:eastAsia="SimSun" w:hint="cs"/>
          <w:rtl/>
          <w:lang w:eastAsia="zh-CN"/>
        </w:rPr>
        <w:t>تكوين الكفاءات</w:t>
      </w:r>
      <w:r w:rsidR="00713E26">
        <w:rPr>
          <w:rFonts w:eastAsia="SimSun" w:hint="cs"/>
          <w:rtl/>
          <w:lang w:eastAsia="zh-CN"/>
        </w:rPr>
        <w:t xml:space="preserve"> دون تنسيق أنشطتها مع الأكاديمية. وأدى ذلك إلى</w:t>
      </w:r>
      <w:r w:rsidR="00563C55">
        <w:rPr>
          <w:rFonts w:eastAsia="SimSun" w:hint="cs"/>
          <w:rtl/>
          <w:lang w:eastAsia="zh-CN"/>
        </w:rPr>
        <w:t xml:space="preserve"> وجود</w:t>
      </w:r>
      <w:r w:rsidR="00713E26">
        <w:rPr>
          <w:rFonts w:eastAsia="SimSun" w:hint="cs"/>
          <w:rtl/>
          <w:lang w:eastAsia="zh-CN"/>
        </w:rPr>
        <w:t xml:space="preserve"> ازدواجية في أنشطة التدريب ما أثر في الاستخدام الفعال للموارد وفي صورة الويبو.</w:t>
      </w:r>
    </w:p>
    <w:p w:rsidR="00713E26" w:rsidRDefault="00563C55" w:rsidP="00B5349B">
      <w:pPr>
        <w:pStyle w:val="NumberedParaAR"/>
        <w:numPr>
          <w:ilvl w:val="0"/>
          <w:numId w:val="6"/>
        </w:numPr>
        <w:rPr>
          <w:rFonts w:eastAsia="SimSun"/>
          <w:lang w:eastAsia="zh-CN"/>
        </w:rPr>
      </w:pPr>
      <w:r>
        <w:rPr>
          <w:rFonts w:eastAsia="SimSun" w:hint="cs"/>
          <w:rtl/>
          <w:lang w:eastAsia="zh-CN"/>
        </w:rPr>
        <w:lastRenderedPageBreak/>
        <w:t>ورغم أن مجموعة من الوثائق</w:t>
      </w:r>
      <w:r>
        <w:rPr>
          <w:rStyle w:val="FootnoteReference"/>
          <w:rFonts w:eastAsia="SimSun"/>
          <w:rtl/>
          <w:lang w:eastAsia="zh-CN"/>
        </w:rPr>
        <w:footnoteReference w:id="4"/>
      </w:r>
      <w:r>
        <w:rPr>
          <w:rFonts w:eastAsia="SimSun" w:hint="cs"/>
          <w:rtl/>
          <w:lang w:eastAsia="zh-CN"/>
        </w:rPr>
        <w:t xml:space="preserve"> تؤكد إرادة الويبو لإبراز مكانة الأكاديمية بوصفها كياناً أساسياً لأنشطة التدريب و</w:t>
      </w:r>
      <w:r w:rsidR="00C77337">
        <w:rPr>
          <w:rFonts w:eastAsia="SimSun" w:hint="cs"/>
          <w:rtl/>
          <w:lang w:eastAsia="zh-CN"/>
        </w:rPr>
        <w:t>تكوين الكفاءات</w:t>
      </w:r>
      <w:r>
        <w:rPr>
          <w:rFonts w:eastAsia="SimSun" w:hint="cs"/>
          <w:rtl/>
          <w:lang w:eastAsia="zh-CN"/>
        </w:rPr>
        <w:t xml:space="preserve"> للتنمية، فلا يزال ينبغي مراجعة ولاية الأكاديمية رسمياً لإبراز ذلك الدور الجديد. ولدى صدور الولاية الجديدة رسمياً، سيتعين كذلك على الأكاديمية أن تضع خطة </w:t>
      </w:r>
      <w:r w:rsidR="00B5349B">
        <w:rPr>
          <w:rFonts w:eastAsia="SimSun" w:hint="cs"/>
          <w:rtl/>
          <w:lang w:eastAsia="zh-CN"/>
        </w:rPr>
        <w:t>عم</w:t>
      </w:r>
      <w:r>
        <w:rPr>
          <w:rFonts w:eastAsia="SimSun" w:hint="cs"/>
          <w:rtl/>
          <w:lang w:eastAsia="zh-CN"/>
        </w:rPr>
        <w:t>ل استراتيجية لمعالجة المتطلبات الناشئة عن هذه المكانة الجديدة.</w:t>
      </w:r>
    </w:p>
    <w:p w:rsidR="00563C55" w:rsidRDefault="00563C55" w:rsidP="00AD6916">
      <w:pPr>
        <w:pStyle w:val="NumberedParaAR"/>
        <w:numPr>
          <w:ilvl w:val="0"/>
          <w:numId w:val="6"/>
        </w:numPr>
        <w:rPr>
          <w:rFonts w:eastAsia="SimSun"/>
          <w:lang w:eastAsia="zh-CN"/>
        </w:rPr>
      </w:pPr>
      <w:r>
        <w:rPr>
          <w:rFonts w:eastAsia="SimSun" w:hint="cs"/>
          <w:rtl/>
          <w:lang w:eastAsia="zh-CN" w:bidi="ar-EG"/>
        </w:rPr>
        <w:t>ويتعين كذلك على الأكاديمية أن تعالج القضايا التشغيلية الحالية. وتشمل هذه القضايا مواءمة المسارات والممارسات الداخلية؛ واستعراض بنية الموارد البشرية والمهارات الحالية؛ وتعزيز نظمها لدعم تنفيذ العمليات والبرامج على نحو أفضل؛ ومواصلة تطوير الأدوات لتحسين قياس أنشطة الأكاديمية؛ وتحسين إطار مراقبة الجودة لتقديم الخدمات الجيدة بفعالية.</w:t>
      </w:r>
    </w:p>
    <w:p w:rsidR="00563C55" w:rsidRPr="00632A79" w:rsidRDefault="00563C55" w:rsidP="00D1147D">
      <w:pPr>
        <w:pStyle w:val="Heading2AR"/>
        <w:rPr>
          <w:rFonts w:eastAsia="SimSun"/>
          <w:lang w:eastAsia="zh-CN"/>
        </w:rPr>
      </w:pPr>
      <w:r w:rsidRPr="00632A79">
        <w:rPr>
          <w:rFonts w:eastAsia="SimSun" w:hint="cs"/>
          <w:rtl/>
          <w:lang w:eastAsia="zh-CN"/>
        </w:rPr>
        <w:t>خدمات السلامة والأمن</w:t>
      </w:r>
    </w:p>
    <w:p w:rsidR="00DD3209" w:rsidRDefault="00DD3209" w:rsidP="00105F2C">
      <w:pPr>
        <w:pStyle w:val="NumberedParaAR"/>
        <w:numPr>
          <w:ilvl w:val="0"/>
          <w:numId w:val="6"/>
        </w:numPr>
        <w:rPr>
          <w:rFonts w:eastAsia="SimSun"/>
          <w:lang w:eastAsia="zh-CN"/>
        </w:rPr>
      </w:pPr>
      <w:r>
        <w:rPr>
          <w:rFonts w:eastAsia="SimSun" w:hint="cs"/>
          <w:rtl/>
          <w:lang w:eastAsia="zh-CN"/>
        </w:rPr>
        <w:t>كان هدف التدقيق تحديد مدى ملاءمة وفعالية وكفاءة الإجراءات الأمنية المطبقة في الويبو وامتثالها لمعايير الأمم المتحدة الدنيا للعمل. وكان هذا التدقيق أول استعراض تجريه الشعبة لخدمات السلامة والأمن</w:t>
      </w:r>
      <w:r w:rsidR="00B5349B">
        <w:rPr>
          <w:rFonts w:eastAsia="SimSun" w:hint="cs"/>
          <w:rtl/>
          <w:lang w:eastAsia="zh-CN"/>
        </w:rPr>
        <w:t>؛</w:t>
      </w:r>
      <w:r>
        <w:rPr>
          <w:rFonts w:eastAsia="SimSun" w:hint="cs"/>
          <w:rtl/>
          <w:lang w:eastAsia="zh-CN"/>
        </w:rPr>
        <w:t xml:space="preserve"> وسلطت نتائج ذلك الاستعراض الضوء على القضايا الرئيسية التالية الواجب معالجتها:</w:t>
      </w:r>
    </w:p>
    <w:p w:rsidR="00DD3209"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(أ)</w:t>
      </w:r>
      <w:r>
        <w:rPr>
          <w:rFonts w:eastAsia="SimSun"/>
          <w:rtl/>
          <w:lang w:eastAsia="zh-CN" w:bidi="ar-EG"/>
        </w:rPr>
        <w:tab/>
      </w:r>
      <w:r>
        <w:rPr>
          <w:rFonts w:eastAsia="SimSun" w:hint="cs"/>
          <w:rtl/>
          <w:lang w:eastAsia="zh-CN" w:bidi="ar-EG"/>
        </w:rPr>
        <w:t>تحديث الإجراءات والسياسات المتعلقة بالأن والسلامة وإضفاء طابع رسمي عليها؛</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(ب)</w:t>
      </w:r>
      <w:r>
        <w:rPr>
          <w:rFonts w:eastAsia="SimSun"/>
          <w:rtl/>
          <w:lang w:eastAsia="zh-CN" w:bidi="ar-EG"/>
        </w:rPr>
        <w:tab/>
      </w:r>
      <w:r>
        <w:rPr>
          <w:rFonts w:eastAsia="SimSun" w:hint="cs"/>
          <w:rtl/>
          <w:lang w:eastAsia="zh-CN" w:bidi="ar-EG"/>
        </w:rPr>
        <w:t>إنجاز مسار تعيين رئيس جديد لقسم تنسيق شؤون السلامة والأمن في الوقت المناسب؛</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(ج)</w:t>
      </w:r>
      <w:r>
        <w:rPr>
          <w:rFonts w:eastAsia="SimSun" w:hint="cs"/>
          <w:rtl/>
          <w:lang w:eastAsia="zh-CN" w:bidi="ar-EG"/>
        </w:rPr>
        <w:tab/>
        <w:t>توفير التدريب الملائم لموظفي الأمن على إدارة النظم الأمنية الجديدة؛</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(د)</w:t>
      </w:r>
      <w:r>
        <w:rPr>
          <w:rFonts w:eastAsia="SimSun" w:hint="cs"/>
          <w:rtl/>
          <w:lang w:eastAsia="zh-CN" w:bidi="ar-EG"/>
        </w:rPr>
        <w:tab/>
        <w:t>إجراء استعراض أمني لجميع النظم الأمنية المطبقة مؤخراً؛</w:t>
      </w:r>
    </w:p>
    <w:p w:rsidR="00437657" w:rsidRDefault="00437657" w:rsidP="00437657">
      <w:pPr>
        <w:pStyle w:val="NumberedParaAR"/>
        <w:numPr>
          <w:ilvl w:val="0"/>
          <w:numId w:val="0"/>
        </w:numPr>
        <w:ind w:left="625"/>
        <w:rPr>
          <w:rFonts w:eastAsia="SimSun"/>
          <w:rtl/>
          <w:lang w:eastAsia="zh-CN" w:bidi="ar-EG"/>
        </w:rPr>
      </w:pPr>
      <w:r>
        <w:rPr>
          <w:rFonts w:eastAsia="SimSun" w:hint="cs"/>
          <w:rtl/>
          <w:lang w:eastAsia="zh-CN" w:bidi="ar-EG"/>
        </w:rPr>
        <w:t>(ه)</w:t>
      </w:r>
      <w:r>
        <w:rPr>
          <w:rFonts w:eastAsia="SimSun" w:hint="cs"/>
          <w:rtl/>
          <w:lang w:eastAsia="zh-CN" w:bidi="ar-EG"/>
        </w:rPr>
        <w:tab/>
        <w:t>الإدارة الفعالة لأماكن توقيف السيارات في الويبو.</w:t>
      </w:r>
    </w:p>
    <w:p w:rsidR="00D1147D" w:rsidRDefault="00D1147D">
      <w:pPr>
        <w:rPr>
          <w:rFonts w:ascii="Arabic Typesetting" w:eastAsia="SimSun" w:hAnsi="Arabic Typesetting" w:cs="Arabic Typesetting"/>
          <w:b/>
          <w:bCs/>
          <w:sz w:val="40"/>
          <w:szCs w:val="40"/>
          <w:rtl/>
          <w:lang w:eastAsia="zh-CN"/>
        </w:rPr>
      </w:pPr>
      <w:bookmarkStart w:id="16" w:name="Investact"/>
      <w:r>
        <w:rPr>
          <w:rFonts w:eastAsia="SimSun"/>
          <w:b/>
          <w:bCs/>
          <w:sz w:val="40"/>
          <w:szCs w:val="40"/>
          <w:rtl/>
          <w:lang w:eastAsia="zh-CN"/>
        </w:rPr>
        <w:br w:type="page"/>
      </w:r>
    </w:p>
    <w:p w:rsidR="00437657" w:rsidRPr="00437657" w:rsidRDefault="00437657" w:rsidP="009B653E">
      <w:pPr>
        <w:pStyle w:val="NumberedParaAR"/>
        <w:keepNext/>
        <w:numPr>
          <w:ilvl w:val="0"/>
          <w:numId w:val="0"/>
        </w:numPr>
        <w:rPr>
          <w:rFonts w:eastAsia="SimSun"/>
          <w:b/>
          <w:bCs/>
          <w:sz w:val="40"/>
          <w:szCs w:val="40"/>
          <w:rtl/>
          <w:lang w:eastAsia="zh-CN"/>
        </w:rPr>
      </w:pPr>
      <w:r w:rsidRPr="00437657">
        <w:rPr>
          <w:rFonts w:eastAsia="SimSun" w:hint="cs"/>
          <w:b/>
          <w:bCs/>
          <w:sz w:val="40"/>
          <w:szCs w:val="40"/>
          <w:rtl/>
          <w:lang w:eastAsia="zh-CN"/>
        </w:rPr>
        <w:lastRenderedPageBreak/>
        <w:t xml:space="preserve">أنشطة التحقيق في الفترة </w:t>
      </w:r>
      <w:r w:rsidR="009B653E">
        <w:rPr>
          <w:rFonts w:eastAsia="SimSun" w:hint="cs"/>
          <w:b/>
          <w:bCs/>
          <w:sz w:val="40"/>
          <w:szCs w:val="40"/>
          <w:rtl/>
          <w:lang w:eastAsia="zh-CN"/>
        </w:rPr>
        <w:t>المشمولة</w:t>
      </w:r>
      <w:r w:rsidRPr="00437657">
        <w:rPr>
          <w:rFonts w:eastAsia="SimSun" w:hint="cs"/>
          <w:b/>
          <w:bCs/>
          <w:sz w:val="40"/>
          <w:szCs w:val="40"/>
          <w:rtl/>
          <w:lang w:eastAsia="zh-CN"/>
        </w:rPr>
        <w:t xml:space="preserve"> </w:t>
      </w:r>
      <w:r w:rsidR="009B653E">
        <w:rPr>
          <w:rFonts w:eastAsia="SimSun" w:hint="cs"/>
          <w:b/>
          <w:bCs/>
          <w:sz w:val="40"/>
          <w:szCs w:val="40"/>
          <w:rtl/>
          <w:lang w:eastAsia="zh-CN"/>
        </w:rPr>
        <w:t>ب</w:t>
      </w:r>
      <w:r w:rsidRPr="00437657">
        <w:rPr>
          <w:rFonts w:eastAsia="SimSun" w:hint="cs"/>
          <w:b/>
          <w:bCs/>
          <w:sz w:val="40"/>
          <w:szCs w:val="40"/>
          <w:rtl/>
          <w:lang w:eastAsia="zh-CN"/>
        </w:rPr>
        <w:t>التقرير</w:t>
      </w:r>
    </w:p>
    <w:bookmarkEnd w:id="16"/>
    <w:p w:rsidR="0041792F" w:rsidRPr="00632A79" w:rsidRDefault="00437657" w:rsidP="00D1147D">
      <w:pPr>
        <w:pStyle w:val="Heading2AR"/>
        <w:rPr>
          <w:rFonts w:eastAsia="SimSun"/>
          <w:lang w:eastAsia="zh-CN"/>
        </w:rPr>
      </w:pPr>
      <w:r w:rsidRPr="00632A79">
        <w:rPr>
          <w:rFonts w:eastAsia="SimSun" w:hint="cs"/>
          <w:rtl/>
          <w:lang w:eastAsia="zh-CN"/>
        </w:rPr>
        <w:t>لمحة عامة عن عدد الحالات</w:t>
      </w:r>
    </w:p>
    <w:p w:rsidR="00437657" w:rsidRDefault="0041792F" w:rsidP="00437657">
      <w:pPr>
        <w:pStyle w:val="NumberedParaAR"/>
        <w:numPr>
          <w:ilvl w:val="0"/>
          <w:numId w:val="6"/>
        </w:numPr>
        <w:rPr>
          <w:rFonts w:eastAsia="SimSun"/>
          <w:lang w:eastAsia="zh-CN"/>
        </w:rPr>
      </w:pPr>
      <w:r w:rsidRPr="0041792F">
        <w:rPr>
          <w:rFonts w:eastAsia="SimSun"/>
          <w:rtl/>
          <w:lang w:eastAsia="zh-CN"/>
        </w:rPr>
        <w:t xml:space="preserve">خلال الفترة المشمولة بالتقرير، </w:t>
      </w:r>
      <w:r w:rsidR="00437657">
        <w:rPr>
          <w:rFonts w:eastAsia="SimSun" w:hint="cs"/>
          <w:rtl/>
          <w:lang w:eastAsia="zh-CN"/>
        </w:rPr>
        <w:t>سُجلت</w:t>
      </w:r>
      <w:r w:rsidRPr="0041792F">
        <w:rPr>
          <w:rFonts w:eastAsia="SimSun"/>
          <w:rtl/>
          <w:lang w:eastAsia="zh-CN"/>
        </w:rPr>
        <w:t xml:space="preserve"> 26 حالة استفسار جديدة </w:t>
      </w:r>
      <w:r w:rsidR="00437657">
        <w:rPr>
          <w:rFonts w:eastAsia="SimSun" w:hint="cs"/>
          <w:rtl/>
          <w:lang w:eastAsia="zh-CN"/>
        </w:rPr>
        <w:t>واستجيب لعشرين منها</w:t>
      </w:r>
      <w:r w:rsidRPr="0041792F">
        <w:rPr>
          <w:rFonts w:eastAsia="SimSun"/>
          <w:rtl/>
          <w:lang w:eastAsia="zh-CN"/>
        </w:rPr>
        <w:t xml:space="preserve">. </w:t>
      </w:r>
      <w:r w:rsidR="00437657">
        <w:rPr>
          <w:rFonts w:eastAsia="SimSun" w:hint="cs"/>
          <w:rtl/>
          <w:lang w:eastAsia="zh-CN"/>
        </w:rPr>
        <w:t xml:space="preserve">وفي 30 يونيو 2015، ثمة 18 حالة عالقة و14 حالة في مرحلة التقييم الأولي و4 حالات </w:t>
      </w:r>
      <w:r w:rsidR="002E73FA">
        <w:rPr>
          <w:rFonts w:eastAsia="SimSun" w:hint="cs"/>
          <w:rtl/>
          <w:lang w:eastAsia="zh-CN"/>
        </w:rPr>
        <w:t>في مرحلة التحقيق الكامل.</w:t>
      </w:r>
    </w:p>
    <w:p w:rsidR="002E73FA" w:rsidRPr="002E73FA" w:rsidRDefault="00D46B69" w:rsidP="00B5349B">
      <w:pPr>
        <w:pStyle w:val="NumberedParaAR"/>
        <w:keepNext/>
        <w:numPr>
          <w:ilvl w:val="0"/>
          <w:numId w:val="0"/>
        </w:numPr>
        <w:jc w:val="center"/>
        <w:rPr>
          <w:rFonts w:eastAsia="SimSun"/>
          <w:b/>
          <w:bCs/>
          <w:rtl/>
          <w:lang w:eastAsia="zh-CN"/>
        </w:rPr>
      </w:pPr>
      <w:r>
        <w:rPr>
          <w:rFonts w:eastAsia="SimSun" w:hint="cs"/>
          <w:b/>
          <w:bCs/>
          <w:rtl/>
          <w:lang w:eastAsia="zh-CN"/>
        </w:rPr>
        <w:t>الرسم البياني</w:t>
      </w:r>
      <w:r w:rsidR="002E73FA" w:rsidRPr="002E73FA">
        <w:rPr>
          <w:rFonts w:eastAsia="SimSun" w:hint="cs"/>
          <w:b/>
          <w:bCs/>
          <w:rtl/>
          <w:lang w:eastAsia="zh-CN"/>
        </w:rPr>
        <w:t xml:space="preserve"> (1) </w:t>
      </w:r>
      <w:r w:rsidR="002E73FA" w:rsidRPr="002E73FA">
        <w:rPr>
          <w:rFonts w:eastAsia="SimSun"/>
          <w:b/>
          <w:bCs/>
          <w:rtl/>
          <w:lang w:eastAsia="zh-CN"/>
        </w:rPr>
        <w:t>–</w:t>
      </w:r>
      <w:r w:rsidR="002E73FA" w:rsidRPr="002E73FA">
        <w:rPr>
          <w:rFonts w:eastAsia="SimSun" w:hint="cs"/>
          <w:b/>
          <w:bCs/>
          <w:rtl/>
          <w:lang w:eastAsia="zh-CN"/>
        </w:rPr>
        <w:t xml:space="preserve"> تحليل مقارنة لعدد </w:t>
      </w:r>
      <w:r w:rsidR="00B5349B">
        <w:rPr>
          <w:rFonts w:eastAsia="SimSun" w:hint="cs"/>
          <w:b/>
          <w:bCs/>
          <w:rtl/>
          <w:lang w:eastAsia="zh-CN"/>
        </w:rPr>
        <w:t>قضايا التحقيق</w:t>
      </w:r>
      <w:r w:rsidR="002E73FA" w:rsidRPr="002E73FA">
        <w:rPr>
          <w:rFonts w:eastAsia="SimSun" w:hint="cs"/>
          <w:b/>
          <w:bCs/>
          <w:rtl/>
          <w:lang w:eastAsia="zh-CN"/>
        </w:rPr>
        <w:t xml:space="preserve"> من 30 يونيو 2011 إلى 30 يونيو 2015</w:t>
      </w:r>
    </w:p>
    <w:p w:rsidR="002E73FA" w:rsidRDefault="00DD06E5" w:rsidP="002E73FA">
      <w:pPr>
        <w:pStyle w:val="NumberedParaAR"/>
        <w:numPr>
          <w:ilvl w:val="0"/>
          <w:numId w:val="0"/>
        </w:numPr>
        <w:spacing w:line="240" w:lineRule="auto"/>
        <w:jc w:val="center"/>
        <w:rPr>
          <w:rFonts w:eastAsia="SimSun"/>
          <w:lang w:eastAsia="zh-CN"/>
        </w:rPr>
      </w:pPr>
      <w:r>
        <w:rPr>
          <w:noProof/>
        </w:rPr>
        <w:drawing>
          <wp:inline distT="0" distB="0" distL="0" distR="0" wp14:anchorId="53717708" wp14:editId="42F053A9">
            <wp:extent cx="5940425" cy="4067810"/>
            <wp:effectExtent l="0" t="0" r="3175" b="88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E73FA" w:rsidRDefault="00DD06E5" w:rsidP="00DD06E5">
      <w:pPr>
        <w:pStyle w:val="NumberedParaAR"/>
        <w:numPr>
          <w:ilvl w:val="0"/>
          <w:numId w:val="6"/>
        </w:numPr>
        <w:rPr>
          <w:rFonts w:eastAsia="SimSun"/>
          <w:lang w:eastAsia="zh-CN" w:bidi="ar-EG"/>
        </w:rPr>
      </w:pPr>
      <w:r>
        <w:rPr>
          <w:rFonts w:eastAsia="SimSun" w:hint="cs"/>
          <w:rtl/>
          <w:lang w:eastAsia="zh-CN" w:bidi="ar-EG"/>
        </w:rPr>
        <w:t>وفي 30 يونيو 2015، بلغ متوسط مهلة معالجة الحالات التي يُحقق فيها 5.1 شهر.</w:t>
      </w:r>
    </w:p>
    <w:p w:rsidR="00DD06E5" w:rsidRPr="00632A79" w:rsidRDefault="00DD06E5" w:rsidP="00D1147D">
      <w:pPr>
        <w:pStyle w:val="Heading2AR"/>
        <w:rPr>
          <w:rFonts w:eastAsia="SimSun"/>
          <w:rtl/>
          <w:lang w:eastAsia="zh-CN"/>
        </w:rPr>
      </w:pPr>
      <w:r w:rsidRPr="00632A79">
        <w:rPr>
          <w:rFonts w:eastAsia="SimSun" w:hint="cs"/>
          <w:rtl/>
          <w:lang w:eastAsia="zh-CN"/>
        </w:rPr>
        <w:t>القضايا المفتوحة في الفترة المشمولة بالتقرير</w:t>
      </w:r>
    </w:p>
    <w:p w:rsidR="00DD06E5" w:rsidRDefault="00E35511" w:rsidP="00E35511">
      <w:pPr>
        <w:pStyle w:val="NumberedParaAR"/>
        <w:numPr>
          <w:ilvl w:val="0"/>
          <w:numId w:val="6"/>
        </w:numPr>
        <w:rPr>
          <w:rFonts w:eastAsia="SimSun"/>
          <w:lang w:eastAsia="zh-CN" w:bidi="ar-EG"/>
        </w:rPr>
      </w:pPr>
      <w:r>
        <w:rPr>
          <w:rFonts w:eastAsia="SimSun" w:hint="cs"/>
          <w:rtl/>
          <w:lang w:eastAsia="zh-CN" w:bidi="ar-EG"/>
        </w:rPr>
        <w:t>إن شكاوى المضايقة أو التمييز أو إساءة استخدام السلطة المزعومة تعدّ جزءاً ملحوظاً من قضايا الشعبة الجديدة (وردت ثماني شكاوى خلال الفترة المشمولة بالتقرير).</w:t>
      </w:r>
    </w:p>
    <w:p w:rsidR="00E35511" w:rsidRDefault="00E35511" w:rsidP="00B5349B">
      <w:pPr>
        <w:pStyle w:val="NumberedParaAR"/>
        <w:numPr>
          <w:ilvl w:val="0"/>
          <w:numId w:val="6"/>
        </w:numPr>
        <w:rPr>
          <w:rFonts w:eastAsia="SimSun"/>
          <w:lang w:eastAsia="zh-CN" w:bidi="ar-EG"/>
        </w:rPr>
      </w:pPr>
      <w:r>
        <w:rPr>
          <w:rFonts w:eastAsia="SimSun" w:hint="cs"/>
          <w:rtl/>
          <w:lang w:eastAsia="zh-CN" w:bidi="ar-EG"/>
        </w:rPr>
        <w:t xml:space="preserve">وفُتحت خمس قضايا </w:t>
      </w:r>
      <w:r w:rsidR="006B06EA">
        <w:rPr>
          <w:rFonts w:eastAsia="SimSun" w:hint="cs"/>
          <w:rtl/>
          <w:lang w:eastAsia="zh-CN" w:bidi="ar-EG"/>
        </w:rPr>
        <w:t>تخص ادعاءات</w:t>
      </w:r>
      <w:r>
        <w:rPr>
          <w:rFonts w:eastAsia="SimSun" w:hint="cs"/>
          <w:rtl/>
          <w:lang w:eastAsia="zh-CN" w:bidi="ar-EG"/>
        </w:rPr>
        <w:t xml:space="preserve"> بإساءة استخدام وقت العمل</w:t>
      </w:r>
      <w:r w:rsidR="006B06EA">
        <w:rPr>
          <w:rFonts w:eastAsia="SimSun" w:hint="cs"/>
          <w:rtl/>
          <w:lang w:eastAsia="zh-CN" w:bidi="ar-EG"/>
        </w:rPr>
        <w:t xml:space="preserve"> (تتعلق غالباً بغياب بدون إذن والاحتيال في استخدام نظام </w:t>
      </w:r>
      <w:r w:rsidR="003D27AF">
        <w:rPr>
          <w:rFonts w:eastAsia="SimSun" w:hint="cs"/>
          <w:rtl/>
          <w:lang w:eastAsia="zh-CN" w:bidi="ar-EG"/>
        </w:rPr>
        <w:t xml:space="preserve">تسجيل ساعات الحضور والانصراف المرنة) مقارنة بقضية واحدة في الفترة الماضية. ومن هذه القضايا الخمس، فُتحت ثلاث </w:t>
      </w:r>
      <w:r w:rsidR="00B5349B">
        <w:rPr>
          <w:rFonts w:eastAsia="SimSun" w:hint="cs"/>
          <w:rtl/>
          <w:lang w:eastAsia="zh-CN" w:bidi="ar-EG"/>
        </w:rPr>
        <w:t>قضايا</w:t>
      </w:r>
      <w:r w:rsidR="003D27AF">
        <w:rPr>
          <w:rFonts w:eastAsia="SimSun" w:hint="cs"/>
          <w:rtl/>
          <w:lang w:eastAsia="zh-CN" w:bidi="ar-EG"/>
        </w:rPr>
        <w:t xml:space="preserve"> استناداً إلى تقارير من مشرفين على الموظفين المعنيين ما قد ينم عن زيادة وعي مديري الويبو بقضايا وقت العمل.</w:t>
      </w:r>
    </w:p>
    <w:p w:rsidR="003D27AF" w:rsidRDefault="003D27AF" w:rsidP="003D27AF">
      <w:pPr>
        <w:pStyle w:val="NumberedParaAR"/>
        <w:numPr>
          <w:ilvl w:val="0"/>
          <w:numId w:val="6"/>
        </w:numPr>
        <w:rPr>
          <w:rFonts w:eastAsia="SimSun"/>
          <w:lang w:eastAsia="zh-CN" w:bidi="ar-EG"/>
        </w:rPr>
      </w:pPr>
      <w:r>
        <w:rPr>
          <w:rFonts w:eastAsia="SimSun" w:hint="cs"/>
          <w:rtl/>
          <w:lang w:eastAsia="zh-CN" w:bidi="ar-EG"/>
        </w:rPr>
        <w:t>وفُتحت أربع قضايا تتعلق بمخالفات مزعومة خلال مسار اختيار الموظفين (تشمل استخدام مواد غير مرخص بها والغش في الاختبارات التحريرية) بينما لم تسج</w:t>
      </w:r>
      <w:r w:rsidR="00B5349B">
        <w:rPr>
          <w:rFonts w:eastAsia="SimSun" w:hint="cs"/>
          <w:rtl/>
          <w:lang w:eastAsia="zh-CN" w:bidi="ar-EG"/>
        </w:rPr>
        <w:t>َّ</w:t>
      </w:r>
      <w:r>
        <w:rPr>
          <w:rFonts w:eastAsia="SimSun" w:hint="cs"/>
          <w:rtl/>
          <w:lang w:eastAsia="zh-CN" w:bidi="ar-EG"/>
        </w:rPr>
        <w:t>ل أي قضية من هذا النو</w:t>
      </w:r>
      <w:r w:rsidR="00B5349B">
        <w:rPr>
          <w:rFonts w:eastAsia="SimSun" w:hint="cs"/>
          <w:rtl/>
          <w:lang w:eastAsia="zh-CN" w:bidi="ar-EG"/>
        </w:rPr>
        <w:t>ع خلال الفترة الماضية. ولم تتلق</w:t>
      </w:r>
      <w:r>
        <w:rPr>
          <w:rFonts w:eastAsia="SimSun" w:hint="cs"/>
          <w:rtl/>
          <w:lang w:eastAsia="zh-CN" w:bidi="ar-EG"/>
        </w:rPr>
        <w:t xml:space="preserve"> الشعبة سوى </w:t>
      </w:r>
      <w:r>
        <w:rPr>
          <w:rFonts w:eastAsia="SimSun" w:hint="cs"/>
          <w:rtl/>
          <w:lang w:eastAsia="zh-CN" w:bidi="ar-EG"/>
        </w:rPr>
        <w:lastRenderedPageBreak/>
        <w:t>قضيتين جديدتين من خلال الخط الساخن للإبلاغ عن سوء السلوك. وسجلت جميع القضايا الأخرى فيما يخص شكاوى أو تقارير قدمها موظفون في الويبو إما بصفتهم الفردية أو كممثلين إداريين.</w:t>
      </w:r>
    </w:p>
    <w:p w:rsidR="003D27AF" w:rsidRDefault="003D27AF" w:rsidP="00B5349B">
      <w:pPr>
        <w:pStyle w:val="NumberedParaAR"/>
        <w:numPr>
          <w:ilvl w:val="0"/>
          <w:numId w:val="6"/>
        </w:numPr>
        <w:rPr>
          <w:rFonts w:eastAsia="SimSun"/>
          <w:rtl/>
          <w:lang w:eastAsia="zh-CN" w:bidi="ar-EG"/>
        </w:rPr>
      </w:pPr>
      <w:r>
        <w:rPr>
          <w:rFonts w:eastAsia="SimSun" w:hint="cs"/>
          <w:rtl/>
          <w:lang w:eastAsia="zh-CN" w:bidi="ar-EG"/>
        </w:rPr>
        <w:t xml:space="preserve">ومن ضمن القضايا الجديدة، أحيلت أربع قضايا إلى </w:t>
      </w:r>
      <w:r w:rsidRPr="00086EB3">
        <w:rPr>
          <w:rtl/>
          <w:lang w:bidi="ar-EG"/>
        </w:rPr>
        <w:t>اللجنة الاستشارية المستقلة للرقابة</w:t>
      </w:r>
      <w:r>
        <w:rPr>
          <w:rFonts w:hint="cs"/>
          <w:rtl/>
          <w:lang w:bidi="ar-EG"/>
        </w:rPr>
        <w:t xml:space="preserve"> لتسد</w:t>
      </w:r>
      <w:r w:rsidR="00B5349B">
        <w:rPr>
          <w:rFonts w:hint="cs"/>
          <w:rtl/>
          <w:lang w:bidi="ar-EG"/>
        </w:rPr>
        <w:t xml:space="preserve">ي المشورة بشأنها وفقاً للفقرات </w:t>
      </w:r>
      <w:r>
        <w:rPr>
          <w:rFonts w:hint="cs"/>
          <w:rtl/>
          <w:lang w:bidi="ar-EG"/>
        </w:rPr>
        <w:t>18 إلى 21 من ميثاق الرقابة الداخلية.</w:t>
      </w:r>
    </w:p>
    <w:p w:rsidR="00E35511" w:rsidRPr="00632A79" w:rsidRDefault="00E35511" w:rsidP="00D1147D">
      <w:pPr>
        <w:pStyle w:val="Heading2AR"/>
        <w:rPr>
          <w:rFonts w:eastAsia="SimSun"/>
          <w:rtl/>
          <w:lang w:eastAsia="zh-CN"/>
        </w:rPr>
      </w:pPr>
      <w:r w:rsidRPr="00632A79">
        <w:rPr>
          <w:rFonts w:eastAsia="SimSun"/>
          <w:rtl/>
          <w:lang w:eastAsia="zh-CN"/>
        </w:rPr>
        <w:t>حصيلة أنشطة التحقيق</w:t>
      </w:r>
    </w:p>
    <w:p w:rsidR="003D27AF" w:rsidRDefault="003D27AF" w:rsidP="00B5349B">
      <w:pPr>
        <w:pStyle w:val="NumberedParaAR"/>
        <w:rPr>
          <w:rFonts w:eastAsia="SimSun"/>
          <w:lang w:eastAsia="zh-CN" w:bidi="ar-EG"/>
        </w:rPr>
      </w:pPr>
      <w:r>
        <w:rPr>
          <w:rFonts w:eastAsia="SimSun" w:hint="cs"/>
          <w:rtl/>
          <w:lang w:eastAsia="zh-CN" w:bidi="ar-EG"/>
        </w:rPr>
        <w:t xml:space="preserve">من العشرين </w:t>
      </w:r>
      <w:r w:rsidR="00B5349B">
        <w:rPr>
          <w:rFonts w:eastAsia="SimSun" w:hint="cs"/>
          <w:rtl/>
          <w:lang w:eastAsia="zh-CN" w:bidi="ar-EG"/>
        </w:rPr>
        <w:t>قضية</w:t>
      </w:r>
      <w:r>
        <w:rPr>
          <w:rFonts w:eastAsia="SimSun" w:hint="cs"/>
          <w:rtl/>
          <w:lang w:eastAsia="zh-CN" w:bidi="ar-EG"/>
        </w:rPr>
        <w:t xml:space="preserve"> المغلقة خلال الفترة المشمولة بالتقرير، أدت ثماني قضايا إلى فتح تحقيق كامل بناء على قرار أصدره مدير الشعبة إما استناداً إلى نتيجة تقييم أولي (سبع قضايا) أو بإحالة من </w:t>
      </w:r>
      <w:r w:rsidRPr="003D27AF">
        <w:rPr>
          <w:rFonts w:eastAsia="SimSun"/>
          <w:rtl/>
          <w:lang w:eastAsia="zh-CN" w:bidi="ar-EG"/>
        </w:rPr>
        <w:t>لجنة التظلمات المشتركة</w:t>
      </w:r>
      <w:r>
        <w:rPr>
          <w:rFonts w:eastAsia="SimSun" w:hint="cs"/>
          <w:rtl/>
          <w:lang w:eastAsia="zh-CN" w:bidi="ar-EG"/>
        </w:rPr>
        <w:t xml:space="preserve"> (قضية واحدة). وفي خمس من </w:t>
      </w:r>
      <w:r w:rsidR="00B5349B">
        <w:rPr>
          <w:rFonts w:eastAsia="SimSun" w:hint="cs"/>
          <w:rtl/>
          <w:lang w:eastAsia="zh-CN" w:bidi="ar-EG"/>
        </w:rPr>
        <w:t>القضايا</w:t>
      </w:r>
      <w:r>
        <w:rPr>
          <w:rFonts w:eastAsia="SimSun" w:hint="cs"/>
          <w:rtl/>
          <w:lang w:eastAsia="zh-CN" w:bidi="ar-EG"/>
        </w:rPr>
        <w:t xml:space="preserve"> المحقق فيها، وجدت الشعبة أدلة على صحة الادعاءات. ويلي بيان تفاصيل تلك </w:t>
      </w:r>
      <w:r w:rsidR="00B5349B">
        <w:rPr>
          <w:rFonts w:eastAsia="SimSun" w:hint="cs"/>
          <w:rtl/>
          <w:lang w:eastAsia="zh-CN" w:bidi="ar-EG"/>
        </w:rPr>
        <w:t>القضايا</w:t>
      </w:r>
      <w:r>
        <w:rPr>
          <w:rFonts w:eastAsia="SimSun" w:hint="cs"/>
          <w:rtl/>
          <w:lang w:eastAsia="zh-CN" w:bidi="ar-EG"/>
        </w:rPr>
        <w:t>:</w:t>
      </w:r>
    </w:p>
    <w:p w:rsidR="009B653E" w:rsidRDefault="003D27AF" w:rsidP="009B653E">
      <w:pPr>
        <w:pStyle w:val="NumberedParaAR"/>
        <w:numPr>
          <w:ilvl w:val="0"/>
          <w:numId w:val="0"/>
        </w:numPr>
        <w:ind w:left="625"/>
        <w:rPr>
          <w:rFonts w:eastAsia="SimSun"/>
          <w:rtl/>
          <w:lang w:eastAsia="zh-CN" w:bidi="ar-EG"/>
        </w:rPr>
      </w:pPr>
      <w:r>
        <w:rPr>
          <w:rFonts w:eastAsia="SimSun" w:hint="cs"/>
          <w:rtl/>
          <w:lang w:eastAsia="zh-CN" w:bidi="ar-EG"/>
        </w:rPr>
        <w:t>(أ)</w:t>
      </w:r>
      <w:r>
        <w:rPr>
          <w:rFonts w:eastAsia="SimSun" w:hint="cs"/>
          <w:rtl/>
          <w:lang w:eastAsia="zh-CN" w:bidi="ar-EG"/>
        </w:rPr>
        <w:tab/>
      </w:r>
      <w:r>
        <w:rPr>
          <w:rFonts w:eastAsia="SimSun"/>
          <w:rtl/>
          <w:lang w:eastAsia="zh-CN" w:bidi="ar-EG"/>
        </w:rPr>
        <w:t xml:space="preserve">في ثلاث </w:t>
      </w:r>
      <w:r>
        <w:rPr>
          <w:rFonts w:eastAsia="SimSun" w:hint="cs"/>
          <w:rtl/>
          <w:lang w:eastAsia="zh-CN" w:bidi="ar-EG"/>
        </w:rPr>
        <w:t xml:space="preserve">قضايا، أحال المدير العام القضية إلى </w:t>
      </w:r>
      <w:r w:rsidRPr="003D27AF">
        <w:rPr>
          <w:rFonts w:eastAsia="SimSun"/>
          <w:rtl/>
          <w:lang w:eastAsia="zh-CN" w:bidi="ar-EG"/>
        </w:rPr>
        <w:t>إدارة الموارد البشرية لاتخاذ إج</w:t>
      </w:r>
      <w:r w:rsidR="009B653E">
        <w:rPr>
          <w:rFonts w:eastAsia="SimSun"/>
          <w:rtl/>
          <w:lang w:eastAsia="zh-CN" w:bidi="ar-EG"/>
        </w:rPr>
        <w:t>راءات تأديبية. ونتيجة لذلك، فرض</w:t>
      </w:r>
      <w:r w:rsidRPr="003D27AF">
        <w:rPr>
          <w:rFonts w:eastAsia="SimSun"/>
          <w:rtl/>
          <w:lang w:eastAsia="zh-CN" w:bidi="ar-EG"/>
        </w:rPr>
        <w:t xml:space="preserve"> </w:t>
      </w:r>
      <w:r w:rsidR="009B653E">
        <w:rPr>
          <w:rFonts w:eastAsia="SimSun" w:hint="cs"/>
          <w:rtl/>
          <w:lang w:eastAsia="zh-CN" w:bidi="ar-EG"/>
        </w:rPr>
        <w:t>جزاءان</w:t>
      </w:r>
      <w:r w:rsidRPr="003D27AF">
        <w:rPr>
          <w:rFonts w:eastAsia="SimSun"/>
          <w:rtl/>
          <w:lang w:eastAsia="zh-CN" w:bidi="ar-EG"/>
        </w:rPr>
        <w:t xml:space="preserve"> </w:t>
      </w:r>
      <w:r w:rsidR="009B653E">
        <w:rPr>
          <w:rFonts w:eastAsia="SimSun" w:hint="cs"/>
          <w:rtl/>
          <w:lang w:eastAsia="zh-CN" w:bidi="ar-EG"/>
        </w:rPr>
        <w:t>تأديبيان</w:t>
      </w:r>
      <w:r w:rsidRPr="003D27AF">
        <w:rPr>
          <w:rFonts w:eastAsia="SimSun"/>
          <w:rtl/>
          <w:lang w:eastAsia="zh-CN" w:bidi="ar-EG"/>
        </w:rPr>
        <w:t xml:space="preserve"> </w:t>
      </w:r>
      <w:r w:rsidR="009B653E">
        <w:rPr>
          <w:rFonts w:eastAsia="SimSun" w:hint="cs"/>
          <w:rtl/>
          <w:lang w:eastAsia="zh-CN" w:bidi="ar-EG"/>
        </w:rPr>
        <w:t>منهما فصل أحد الموظفين؛</w:t>
      </w:r>
      <w:r w:rsidRPr="003D27AF">
        <w:rPr>
          <w:rFonts w:eastAsia="SimSun"/>
          <w:rtl/>
          <w:lang w:eastAsia="zh-CN" w:bidi="ar-EG"/>
        </w:rPr>
        <w:t xml:space="preserve"> </w:t>
      </w:r>
      <w:r w:rsidR="009B653E">
        <w:rPr>
          <w:rFonts w:eastAsia="SimSun" w:hint="cs"/>
          <w:rtl/>
          <w:lang w:eastAsia="zh-CN" w:bidi="ar-EG"/>
        </w:rPr>
        <w:t>و</w:t>
      </w:r>
      <w:r w:rsidRPr="003D27AF">
        <w:rPr>
          <w:rFonts w:eastAsia="SimSun"/>
          <w:rtl/>
          <w:lang w:eastAsia="zh-CN" w:bidi="ar-EG"/>
        </w:rPr>
        <w:t xml:space="preserve">في </w:t>
      </w:r>
      <w:r w:rsidR="009B653E">
        <w:rPr>
          <w:rFonts w:eastAsia="SimSun" w:hint="cs"/>
          <w:rtl/>
          <w:lang w:eastAsia="zh-CN" w:bidi="ar-EG"/>
        </w:rPr>
        <w:t>القضية</w:t>
      </w:r>
      <w:r w:rsidRPr="003D27AF">
        <w:rPr>
          <w:rFonts w:eastAsia="SimSun"/>
          <w:rtl/>
          <w:lang w:eastAsia="zh-CN" w:bidi="ar-EG"/>
        </w:rPr>
        <w:t xml:space="preserve"> الثالثة، </w:t>
      </w:r>
      <w:r w:rsidR="009B653E">
        <w:rPr>
          <w:rFonts w:eastAsia="SimSun" w:hint="cs"/>
          <w:rtl/>
          <w:lang w:eastAsia="zh-CN" w:bidi="ar-EG"/>
        </w:rPr>
        <w:t>ترك الموظف المعني الويبو قبل انتهاء المسار؛</w:t>
      </w:r>
    </w:p>
    <w:p w:rsidR="003D27AF" w:rsidRDefault="003D27AF" w:rsidP="003D27AF">
      <w:pPr>
        <w:pStyle w:val="NumberedParaAR"/>
        <w:numPr>
          <w:ilvl w:val="0"/>
          <w:numId w:val="0"/>
        </w:numPr>
        <w:ind w:left="625"/>
        <w:rPr>
          <w:rFonts w:eastAsia="SimSun"/>
          <w:rtl/>
          <w:lang w:eastAsia="zh-CN" w:bidi="ar-EG"/>
        </w:rPr>
      </w:pPr>
      <w:r>
        <w:rPr>
          <w:rFonts w:eastAsia="SimSun" w:hint="cs"/>
          <w:rtl/>
          <w:lang w:eastAsia="zh-CN" w:bidi="ar-EG"/>
        </w:rPr>
        <w:t>(ب)</w:t>
      </w:r>
      <w:r>
        <w:rPr>
          <w:rFonts w:eastAsia="SimSun" w:hint="cs"/>
          <w:rtl/>
          <w:lang w:eastAsia="zh-CN" w:bidi="ar-EG"/>
        </w:rPr>
        <w:tab/>
      </w:r>
      <w:r w:rsidR="009B653E">
        <w:rPr>
          <w:rFonts w:eastAsia="SimSun" w:hint="cs"/>
          <w:rtl/>
          <w:lang w:eastAsia="zh-CN" w:bidi="ar-EG"/>
        </w:rPr>
        <w:t>أدت قضية واحدة إلى الاستغناء عن خدمات عامل تابع لوكالة خارجية تلبية لتوصية الشعبة؛</w:t>
      </w:r>
    </w:p>
    <w:p w:rsidR="003D27AF" w:rsidRDefault="003D27AF" w:rsidP="003D27AF">
      <w:pPr>
        <w:pStyle w:val="NumberedParaAR"/>
        <w:numPr>
          <w:ilvl w:val="0"/>
          <w:numId w:val="0"/>
        </w:numPr>
        <w:ind w:left="625"/>
        <w:rPr>
          <w:rFonts w:eastAsia="SimSun"/>
          <w:lang w:eastAsia="zh-CN" w:bidi="ar-EG"/>
        </w:rPr>
      </w:pPr>
      <w:r>
        <w:rPr>
          <w:rFonts w:eastAsia="SimSun" w:hint="cs"/>
          <w:rtl/>
          <w:lang w:eastAsia="zh-CN" w:bidi="ar-EG"/>
        </w:rPr>
        <w:t>(ج)</w:t>
      </w:r>
      <w:r>
        <w:rPr>
          <w:rFonts w:eastAsia="SimSun" w:hint="cs"/>
          <w:rtl/>
          <w:lang w:eastAsia="zh-CN" w:bidi="ar-EG"/>
        </w:rPr>
        <w:tab/>
      </w:r>
      <w:r w:rsidR="009B653E">
        <w:rPr>
          <w:rFonts w:eastAsia="SimSun" w:hint="cs"/>
          <w:rtl/>
          <w:lang w:eastAsia="zh-CN" w:bidi="ar-EG"/>
        </w:rPr>
        <w:t>تعلقت القضية الأخيرة بموظف ترك المنظمة وقت إعداد تقرير التحقيق.</w:t>
      </w:r>
    </w:p>
    <w:p w:rsidR="009B653E" w:rsidRDefault="009B653E" w:rsidP="009B653E">
      <w:pPr>
        <w:pStyle w:val="NumberedParaAR"/>
        <w:rPr>
          <w:rFonts w:eastAsia="SimSun"/>
          <w:lang w:eastAsia="zh-CN" w:bidi="ar-EG"/>
        </w:rPr>
      </w:pPr>
      <w:r>
        <w:rPr>
          <w:rFonts w:eastAsia="SimSun" w:hint="cs"/>
          <w:rtl/>
          <w:lang w:eastAsia="zh-CN" w:bidi="ar-EG"/>
        </w:rPr>
        <w:t>و</w:t>
      </w:r>
      <w:r w:rsidR="00E35511" w:rsidRPr="00E35511">
        <w:rPr>
          <w:rFonts w:eastAsia="SimSun"/>
          <w:rtl/>
          <w:lang w:eastAsia="zh-CN" w:bidi="ar-EG"/>
        </w:rPr>
        <w:t xml:space="preserve">إضافة إلى ذلك، </w:t>
      </w:r>
      <w:r>
        <w:rPr>
          <w:rFonts w:eastAsia="SimSun" w:hint="cs"/>
          <w:rtl/>
          <w:lang w:eastAsia="zh-CN" w:bidi="ar-EG"/>
        </w:rPr>
        <w:t>مكَّنت أنشطة التحقيق التي نُفذت خلال الفترة المشمولة بالتقرير الشعبة من استخلاص بعض الدروس. وبوجه خاص، أُصدرت ثلاث تقارير تورط إدارة قدمت فيها خمس توصيات لتحسين الضوابط الداخلية ونظم تكنولوجيا المعلومات والسياسات والإجراءات. و</w:t>
      </w:r>
      <w:r w:rsidR="00B5349B">
        <w:rPr>
          <w:rFonts w:eastAsia="SimSun" w:hint="cs"/>
          <w:rtl/>
          <w:lang w:eastAsia="zh-CN" w:bidi="ar-EG"/>
        </w:rPr>
        <w:t>ت</w:t>
      </w:r>
      <w:r>
        <w:rPr>
          <w:rFonts w:eastAsia="SimSun" w:hint="cs"/>
          <w:rtl/>
          <w:lang w:eastAsia="zh-CN" w:bidi="ar-EG"/>
        </w:rPr>
        <w:t>تعلق القضايا المعروضة على الإدارة بموضوعات مثل إنفاذ ساعات العمل والعلاقة مع المتعاقدين الخارجيين وأمن المعلومات.</w:t>
      </w:r>
    </w:p>
    <w:p w:rsidR="00ED2378" w:rsidRDefault="00632A79" w:rsidP="00ED2378">
      <w:pPr>
        <w:pStyle w:val="NumberedParaAR"/>
        <w:keepNext/>
        <w:rPr>
          <w:rFonts w:eastAsia="SimSun"/>
          <w:lang w:eastAsia="zh-CN" w:bidi="ar-EG"/>
        </w:rPr>
      </w:pPr>
      <w:r>
        <w:rPr>
          <w:rFonts w:eastAsia="SimSun" w:hint="cs"/>
          <w:rtl/>
          <w:lang w:eastAsia="zh-CN" w:bidi="ar-EG"/>
        </w:rPr>
        <w:t>و</w:t>
      </w:r>
      <w:r w:rsidR="00ED2378">
        <w:rPr>
          <w:rFonts w:eastAsia="SimSun" w:hint="cs"/>
          <w:rtl/>
          <w:lang w:eastAsia="zh-CN" w:bidi="ar-EG"/>
        </w:rPr>
        <w:t>يرد فيما يلي تحليل مقارنة للقضايا المسجلة في الفترة من 1 يوليو 2011 إلى 30 يونيو 2015.</w:t>
      </w:r>
    </w:p>
    <w:p w:rsidR="00D1147D" w:rsidRDefault="00D1147D">
      <w:pPr>
        <w:rPr>
          <w:rFonts w:ascii="Arabic Typesetting" w:eastAsia="SimSun" w:hAnsi="Arabic Typesetting" w:cs="Arabic Typesetting"/>
          <w:b/>
          <w:bCs/>
          <w:sz w:val="36"/>
          <w:szCs w:val="36"/>
          <w:rtl/>
          <w:lang w:eastAsia="zh-CN" w:bidi="ar-EG"/>
        </w:rPr>
      </w:pPr>
      <w:r>
        <w:rPr>
          <w:rFonts w:eastAsia="SimSun"/>
          <w:b/>
          <w:bCs/>
          <w:rtl/>
          <w:lang w:eastAsia="zh-CN" w:bidi="ar-EG"/>
        </w:rPr>
        <w:br w:type="page"/>
      </w:r>
    </w:p>
    <w:p w:rsidR="003D27AF" w:rsidRPr="00ED2378" w:rsidRDefault="00ED2378" w:rsidP="00ED2378">
      <w:pPr>
        <w:pStyle w:val="NumberedParaAR"/>
        <w:keepNext/>
        <w:numPr>
          <w:ilvl w:val="0"/>
          <w:numId w:val="0"/>
        </w:numPr>
        <w:jc w:val="center"/>
        <w:rPr>
          <w:rFonts w:eastAsia="SimSun"/>
          <w:b/>
          <w:bCs/>
          <w:rtl/>
          <w:lang w:eastAsia="zh-CN" w:bidi="ar-EG"/>
        </w:rPr>
      </w:pPr>
      <w:r w:rsidRPr="00ED2378">
        <w:rPr>
          <w:rFonts w:eastAsia="SimSun" w:hint="cs"/>
          <w:b/>
          <w:bCs/>
          <w:rtl/>
          <w:lang w:eastAsia="zh-CN" w:bidi="ar-EG"/>
        </w:rPr>
        <w:lastRenderedPageBreak/>
        <w:t xml:space="preserve">الجدول 1 </w:t>
      </w:r>
      <w:r w:rsidRPr="00ED2378">
        <w:rPr>
          <w:rFonts w:eastAsia="SimSun"/>
          <w:b/>
          <w:bCs/>
          <w:rtl/>
          <w:lang w:eastAsia="zh-CN" w:bidi="ar-EG"/>
        </w:rPr>
        <w:t>–</w:t>
      </w:r>
      <w:r w:rsidRPr="00ED2378">
        <w:rPr>
          <w:rFonts w:eastAsia="SimSun" w:hint="cs"/>
          <w:b/>
          <w:bCs/>
          <w:rtl/>
          <w:lang w:eastAsia="zh-CN" w:bidi="ar-EG"/>
        </w:rPr>
        <w:t xml:space="preserve"> تحليل الشكاوى الواردة من 30 يونيو 2011 إلى 30 يونيو 2015</w:t>
      </w:r>
    </w:p>
    <w:tbl>
      <w:tblPr>
        <w:bidiVisual/>
        <w:tblW w:w="5000" w:type="pct"/>
        <w:tblLook w:val="04A0" w:firstRow="1" w:lastRow="0" w:firstColumn="1" w:lastColumn="0" w:noHBand="0" w:noVBand="1"/>
      </w:tblPr>
      <w:tblGrid>
        <w:gridCol w:w="2755"/>
        <w:gridCol w:w="578"/>
        <w:gridCol w:w="1248"/>
        <w:gridCol w:w="546"/>
        <w:gridCol w:w="1177"/>
        <w:gridCol w:w="593"/>
        <w:gridCol w:w="1283"/>
        <w:gridCol w:w="442"/>
        <w:gridCol w:w="949"/>
      </w:tblGrid>
      <w:tr w:rsidR="00D46B69" w:rsidRPr="00D46B69" w:rsidTr="00D46B69">
        <w:trPr>
          <w:trHeight w:val="360"/>
        </w:trPr>
        <w:tc>
          <w:tcPr>
            <w:tcW w:w="1439" w:type="pct"/>
            <w:vMerge w:val="restart"/>
            <w:tcBorders>
              <w:top w:val="nil"/>
              <w:left w:val="nil"/>
              <w:bottom w:val="single" w:sz="8" w:space="0" w:color="000000"/>
              <w:right w:val="single" w:sz="8" w:space="0" w:color="auto"/>
            </w:tcBorders>
            <w:shd w:val="clear" w:color="auto" w:fill="auto"/>
            <w:vAlign w:val="center"/>
            <w:hideMark/>
          </w:tcPr>
          <w:p w:rsidR="00D46B69" w:rsidRPr="00D46B69" w:rsidRDefault="00D46B69" w:rsidP="00D46B69">
            <w:pPr>
              <w:jc w:val="center"/>
              <w:rPr>
                <w:color w:val="000000"/>
                <w:sz w:val="20"/>
              </w:rPr>
            </w:pPr>
            <w:r w:rsidRPr="00D46B69">
              <w:rPr>
                <w:color w:val="000000"/>
                <w:sz w:val="20"/>
              </w:rPr>
              <w:t> </w:t>
            </w:r>
          </w:p>
        </w:tc>
        <w:tc>
          <w:tcPr>
            <w:tcW w:w="953" w:type="pct"/>
            <w:gridSpan w:val="2"/>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Pr>
            </w:pPr>
            <w:r w:rsidRPr="00D46B69">
              <w:rPr>
                <w:rFonts w:ascii="Arabic Typesetting" w:hAnsi="Arabic Typesetting" w:cs="Arabic Typesetting"/>
                <w:sz w:val="28"/>
                <w:szCs w:val="28"/>
                <w:rtl/>
              </w:rPr>
              <w:t xml:space="preserve">1 يوليو 2011 </w:t>
            </w:r>
            <w:r>
              <w:rPr>
                <w:rFonts w:ascii="Arabic Typesetting" w:hAnsi="Arabic Typesetting" w:cs="Arabic Typesetting"/>
                <w:sz w:val="28"/>
                <w:szCs w:val="28"/>
                <w:rtl/>
              </w:rPr>
              <w:t>–</w:t>
            </w:r>
            <w:r w:rsidRPr="00D46B69">
              <w:rPr>
                <w:rFonts w:ascii="Arabic Typesetting" w:hAnsi="Arabic Typesetting" w:cs="Arabic Typesetting"/>
                <w:sz w:val="28"/>
                <w:szCs w:val="28"/>
                <w:rtl/>
              </w:rPr>
              <w:t xml:space="preserve"> 30</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يونيو</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2012</w:t>
            </w:r>
          </w:p>
        </w:tc>
        <w:tc>
          <w:tcPr>
            <w:tcW w:w="899" w:type="pct"/>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tl/>
              </w:rPr>
            </w:pPr>
            <w:r w:rsidRPr="00D46B69">
              <w:rPr>
                <w:rFonts w:ascii="Arabic Typesetting" w:hAnsi="Arabic Typesetting" w:cs="Arabic Typesetting"/>
                <w:sz w:val="28"/>
                <w:szCs w:val="28"/>
                <w:rtl/>
              </w:rPr>
              <w:t xml:space="preserve">1 يوليو 2012 </w:t>
            </w:r>
            <w:r>
              <w:rPr>
                <w:rFonts w:ascii="Arabic Typesetting" w:hAnsi="Arabic Typesetting" w:cs="Arabic Typesetting"/>
                <w:sz w:val="28"/>
                <w:szCs w:val="28"/>
                <w:rtl/>
              </w:rPr>
              <w:t>–</w:t>
            </w:r>
            <w:r w:rsidRPr="00D46B69">
              <w:rPr>
                <w:rFonts w:ascii="Arabic Typesetting" w:hAnsi="Arabic Typesetting" w:cs="Arabic Typesetting"/>
                <w:sz w:val="28"/>
                <w:szCs w:val="28"/>
                <w:rtl/>
              </w:rPr>
              <w:t xml:space="preserve"> 30</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يونيو</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2013</w:t>
            </w:r>
          </w:p>
        </w:tc>
        <w:tc>
          <w:tcPr>
            <w:tcW w:w="980" w:type="pct"/>
            <w:gridSpan w:val="2"/>
            <w:vMerge w:val="restart"/>
            <w:tcBorders>
              <w:top w:val="single" w:sz="8" w:space="0" w:color="auto"/>
              <w:left w:val="single" w:sz="4" w:space="0" w:color="auto"/>
              <w:bottom w:val="single" w:sz="8" w:space="0" w:color="000000"/>
              <w:right w:val="single" w:sz="4"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tl/>
              </w:rPr>
            </w:pPr>
            <w:r w:rsidRPr="00D46B69">
              <w:rPr>
                <w:rFonts w:ascii="Arabic Typesetting" w:hAnsi="Arabic Typesetting" w:cs="Arabic Typesetting"/>
                <w:sz w:val="28"/>
                <w:szCs w:val="28"/>
                <w:rtl/>
              </w:rPr>
              <w:t xml:space="preserve">1 يوليو 2013 </w:t>
            </w:r>
            <w:r>
              <w:rPr>
                <w:rFonts w:ascii="Arabic Typesetting" w:hAnsi="Arabic Typesetting" w:cs="Arabic Typesetting"/>
                <w:sz w:val="28"/>
                <w:szCs w:val="28"/>
                <w:rtl/>
              </w:rPr>
              <w:t>–</w:t>
            </w:r>
            <w:r w:rsidRPr="00D46B69">
              <w:rPr>
                <w:rFonts w:ascii="Arabic Typesetting" w:hAnsi="Arabic Typesetting" w:cs="Arabic Typesetting"/>
                <w:sz w:val="28"/>
                <w:szCs w:val="28"/>
                <w:rtl/>
              </w:rPr>
              <w:t xml:space="preserve"> 30</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يونيو</w:t>
            </w:r>
            <w:r>
              <w:rPr>
                <w:rFonts w:ascii="Arabic Typesetting" w:hAnsi="Arabic Typesetting" w:cs="Arabic Typesetting" w:hint="cs"/>
                <w:sz w:val="28"/>
                <w:szCs w:val="28"/>
                <w:rtl/>
              </w:rPr>
              <w:t> </w:t>
            </w:r>
            <w:r w:rsidRPr="00D46B69">
              <w:rPr>
                <w:rFonts w:ascii="Arabic Typesetting" w:hAnsi="Arabic Typesetting" w:cs="Arabic Typesetting"/>
                <w:sz w:val="28"/>
                <w:szCs w:val="28"/>
                <w:rtl/>
              </w:rPr>
              <w:t>2014</w:t>
            </w:r>
          </w:p>
        </w:tc>
        <w:tc>
          <w:tcPr>
            <w:tcW w:w="728" w:type="pct"/>
            <w:gridSpan w:val="2"/>
            <w:vMerge w:val="restart"/>
            <w:tcBorders>
              <w:top w:val="single" w:sz="8" w:space="0" w:color="auto"/>
              <w:left w:val="single" w:sz="4" w:space="0" w:color="auto"/>
              <w:bottom w:val="single" w:sz="8" w:space="0" w:color="000000"/>
              <w:right w:val="single" w:sz="8" w:space="0" w:color="000000"/>
            </w:tcBorders>
            <w:shd w:val="clear" w:color="auto" w:fill="auto"/>
            <w:vAlign w:val="center"/>
            <w:hideMark/>
          </w:tcPr>
          <w:p w:rsidR="00D46B69" w:rsidRPr="00D46B69" w:rsidRDefault="00D46B69" w:rsidP="00D46B69">
            <w:pPr>
              <w:bidi/>
              <w:jc w:val="center"/>
              <w:rPr>
                <w:rFonts w:ascii="Arabic Typesetting" w:hAnsi="Arabic Typesetting" w:cs="Arabic Typesetting"/>
                <w:sz w:val="28"/>
                <w:szCs w:val="28"/>
                <w:rtl/>
              </w:rPr>
            </w:pPr>
            <w:r w:rsidRPr="00D46B69">
              <w:rPr>
                <w:rFonts w:ascii="Arabic Typesetting" w:hAnsi="Arabic Typesetting" w:cs="Arabic Typesetting"/>
                <w:sz w:val="28"/>
                <w:szCs w:val="28"/>
                <w:rtl/>
              </w:rPr>
              <w:t>الفترة المشمولة بالتقرير</w:t>
            </w:r>
          </w:p>
        </w:tc>
      </w:tr>
      <w:tr w:rsidR="00D46B69" w:rsidRPr="00D46B69" w:rsidTr="00D46B69">
        <w:trPr>
          <w:trHeight w:val="480"/>
        </w:trPr>
        <w:tc>
          <w:tcPr>
            <w:tcW w:w="1439" w:type="pct"/>
            <w:vMerge/>
            <w:tcBorders>
              <w:top w:val="nil"/>
              <w:left w:val="nil"/>
              <w:bottom w:val="single" w:sz="8" w:space="0" w:color="000000"/>
              <w:right w:val="single" w:sz="8" w:space="0" w:color="auto"/>
            </w:tcBorders>
            <w:vAlign w:val="center"/>
            <w:hideMark/>
          </w:tcPr>
          <w:p w:rsidR="00D46B69" w:rsidRPr="00D46B69" w:rsidRDefault="00D46B69" w:rsidP="00D46B69">
            <w:pPr>
              <w:bidi/>
              <w:rPr>
                <w:color w:val="000000"/>
                <w:sz w:val="20"/>
              </w:rPr>
            </w:pPr>
          </w:p>
        </w:tc>
        <w:tc>
          <w:tcPr>
            <w:tcW w:w="953" w:type="pct"/>
            <w:gridSpan w:val="2"/>
            <w:vMerge/>
            <w:tcBorders>
              <w:top w:val="single" w:sz="8" w:space="0" w:color="auto"/>
              <w:left w:val="single" w:sz="8" w:space="0" w:color="auto"/>
              <w:bottom w:val="single" w:sz="8" w:space="0" w:color="000000"/>
              <w:right w:val="single" w:sz="4" w:space="0" w:color="000000"/>
            </w:tcBorders>
            <w:vAlign w:val="center"/>
            <w:hideMark/>
          </w:tcPr>
          <w:p w:rsidR="00D46B69" w:rsidRPr="00D46B69" w:rsidRDefault="00D46B69" w:rsidP="00D46B69">
            <w:pPr>
              <w:bidi/>
              <w:rPr>
                <w:rFonts w:ascii="Arabic Typesetting" w:hAnsi="Arabic Typesetting" w:cs="Arabic Typesetting"/>
                <w:sz w:val="28"/>
                <w:szCs w:val="28"/>
              </w:rPr>
            </w:pPr>
          </w:p>
        </w:tc>
        <w:tc>
          <w:tcPr>
            <w:tcW w:w="899" w:type="pct"/>
            <w:gridSpan w:val="2"/>
            <w:vMerge/>
            <w:tcBorders>
              <w:top w:val="single" w:sz="8" w:space="0" w:color="auto"/>
              <w:left w:val="single" w:sz="4" w:space="0" w:color="auto"/>
              <w:bottom w:val="single" w:sz="8" w:space="0" w:color="000000"/>
              <w:right w:val="single" w:sz="4" w:space="0" w:color="000000"/>
            </w:tcBorders>
            <w:vAlign w:val="center"/>
            <w:hideMark/>
          </w:tcPr>
          <w:p w:rsidR="00D46B69" w:rsidRPr="00D46B69" w:rsidRDefault="00D46B69" w:rsidP="00D46B69">
            <w:pPr>
              <w:bidi/>
              <w:rPr>
                <w:rFonts w:ascii="Arabic Typesetting" w:hAnsi="Arabic Typesetting" w:cs="Arabic Typesetting"/>
                <w:sz w:val="28"/>
                <w:szCs w:val="28"/>
              </w:rPr>
            </w:pPr>
          </w:p>
        </w:tc>
        <w:tc>
          <w:tcPr>
            <w:tcW w:w="980" w:type="pct"/>
            <w:gridSpan w:val="2"/>
            <w:vMerge/>
            <w:tcBorders>
              <w:top w:val="single" w:sz="8" w:space="0" w:color="auto"/>
              <w:left w:val="single" w:sz="4" w:space="0" w:color="auto"/>
              <w:bottom w:val="single" w:sz="8" w:space="0" w:color="000000"/>
              <w:right w:val="single" w:sz="4" w:space="0" w:color="000000"/>
            </w:tcBorders>
            <w:vAlign w:val="center"/>
            <w:hideMark/>
          </w:tcPr>
          <w:p w:rsidR="00D46B69" w:rsidRPr="00D46B69" w:rsidRDefault="00D46B69" w:rsidP="00D46B69">
            <w:pPr>
              <w:bidi/>
              <w:rPr>
                <w:rFonts w:ascii="Arabic Typesetting" w:hAnsi="Arabic Typesetting" w:cs="Arabic Typesetting"/>
                <w:sz w:val="28"/>
                <w:szCs w:val="28"/>
              </w:rPr>
            </w:pPr>
          </w:p>
        </w:tc>
        <w:tc>
          <w:tcPr>
            <w:tcW w:w="728" w:type="pct"/>
            <w:gridSpan w:val="2"/>
            <w:vMerge/>
            <w:tcBorders>
              <w:top w:val="single" w:sz="8" w:space="0" w:color="auto"/>
              <w:left w:val="single" w:sz="4" w:space="0" w:color="auto"/>
              <w:bottom w:val="single" w:sz="8" w:space="0" w:color="000000"/>
              <w:right w:val="single" w:sz="8" w:space="0" w:color="000000"/>
            </w:tcBorders>
            <w:vAlign w:val="center"/>
            <w:hideMark/>
          </w:tcPr>
          <w:p w:rsidR="00D46B69" w:rsidRPr="00D46B69" w:rsidRDefault="00D46B69" w:rsidP="00D46B69">
            <w:pPr>
              <w:bidi/>
              <w:rPr>
                <w:rFonts w:ascii="Arabic Typesetting" w:hAnsi="Arabic Typesetting" w:cs="Arabic Typesetting"/>
                <w:sz w:val="28"/>
                <w:szCs w:val="28"/>
              </w:rPr>
            </w:pP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color w:val="000000"/>
                <w:sz w:val="28"/>
                <w:szCs w:val="28"/>
                <w:rtl/>
              </w:rPr>
            </w:pPr>
            <w:r w:rsidRPr="00D46B69">
              <w:rPr>
                <w:rFonts w:ascii="Arabic Typesetting" w:hAnsi="Arabic Typesetting" w:cs="Arabic Typesetting"/>
                <w:color w:val="000000"/>
                <w:sz w:val="28"/>
                <w:szCs w:val="28"/>
                <w:rtl/>
              </w:rPr>
              <w:t>مضايقة/تمييز/إساءة استخدام السلطة</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3</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17)</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2</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13)</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6</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23)</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8</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31)</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sz w:val="28"/>
                <w:szCs w:val="28"/>
              </w:rPr>
            </w:pPr>
            <w:r w:rsidRPr="00D46B69">
              <w:rPr>
                <w:rFonts w:ascii="Arabic Typesetting" w:hAnsi="Arabic Typesetting" w:cs="Arabic Typesetting"/>
                <w:sz w:val="28"/>
                <w:szCs w:val="28"/>
                <w:rtl/>
              </w:rPr>
              <w:t>مخالفة ارتكبها مرشح خلال مسار التعيين</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6)</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15)</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E543AE">
            <w:pPr>
              <w:bidi/>
              <w:rPr>
                <w:rFonts w:ascii="Arabic Typesetting" w:hAnsi="Arabic Typesetting" w:cs="Arabic Typesetting"/>
                <w:sz w:val="28"/>
                <w:szCs w:val="28"/>
              </w:rPr>
            </w:pPr>
            <w:r w:rsidRPr="00D46B69">
              <w:rPr>
                <w:rFonts w:ascii="Arabic Typesetting" w:hAnsi="Arabic Typesetting" w:cs="Arabic Typesetting"/>
                <w:sz w:val="28"/>
                <w:szCs w:val="28"/>
                <w:rtl/>
              </w:rPr>
              <w:t xml:space="preserve">ممارسات مخالفة </w:t>
            </w:r>
            <w:r w:rsidR="00E543AE">
              <w:rPr>
                <w:rFonts w:ascii="Arabic Typesetting" w:hAnsi="Arabic Typesetting" w:cs="Arabic Typesetting" w:hint="cs"/>
                <w:sz w:val="28"/>
                <w:szCs w:val="28"/>
                <w:rtl/>
              </w:rPr>
              <w:t>بشأن</w:t>
            </w:r>
            <w:r w:rsidRPr="00D46B69">
              <w:rPr>
                <w:rFonts w:ascii="Arabic Typesetting" w:hAnsi="Arabic Typesetting" w:cs="Arabic Typesetting"/>
                <w:sz w:val="28"/>
                <w:szCs w:val="28"/>
                <w:rtl/>
              </w:rPr>
              <w:t xml:space="preserve"> الموارد البشرية</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1</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6)</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25)</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15)</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sz w:val="28"/>
                <w:szCs w:val="28"/>
              </w:rPr>
            </w:pPr>
            <w:r w:rsidRPr="00D46B69">
              <w:rPr>
                <w:rFonts w:ascii="Arabic Typesetting" w:hAnsi="Arabic Typesetting" w:cs="Arabic Typesetting"/>
                <w:sz w:val="28"/>
                <w:szCs w:val="28"/>
                <w:rtl/>
              </w:rPr>
              <w:t>إساءة استخدام وقت العمل</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19)</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5</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19)</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B5349B" w:rsidP="00B5349B">
            <w:pPr>
              <w:bidi/>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الغش للحوص على</w:t>
            </w:r>
            <w:r w:rsidR="00D46B69" w:rsidRPr="00D46B69">
              <w:rPr>
                <w:rFonts w:ascii="Arabic Typesetting" w:hAnsi="Arabic Typesetting" w:cs="Arabic Typesetting"/>
                <w:color w:val="000000"/>
                <w:sz w:val="28"/>
                <w:szCs w:val="28"/>
                <w:rtl/>
              </w:rPr>
              <w:t xml:space="preserve"> مزايا </w:t>
            </w:r>
            <w:r>
              <w:rPr>
                <w:rFonts w:ascii="Arabic Typesetting" w:hAnsi="Arabic Typesetting" w:cs="Arabic Typesetting" w:hint="cs"/>
                <w:color w:val="000000"/>
                <w:sz w:val="28"/>
                <w:szCs w:val="28"/>
                <w:rtl/>
              </w:rPr>
              <w:t xml:space="preserve">أو </w:t>
            </w:r>
            <w:r w:rsidR="00D46B69" w:rsidRPr="00D46B69">
              <w:rPr>
                <w:rFonts w:ascii="Arabic Typesetting" w:hAnsi="Arabic Typesetting" w:cs="Arabic Typesetting"/>
                <w:color w:val="000000"/>
                <w:sz w:val="28"/>
                <w:szCs w:val="28"/>
                <w:rtl/>
              </w:rPr>
              <w:t>مستحقات</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5</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28)</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2</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8)</w:t>
            </w:r>
          </w:p>
        </w:tc>
      </w:tr>
      <w:tr w:rsidR="00D46B69" w:rsidRPr="00D46B69" w:rsidTr="00D46B69">
        <w:trPr>
          <w:trHeight w:val="84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color w:val="000000"/>
                <w:sz w:val="28"/>
                <w:szCs w:val="28"/>
              </w:rPr>
            </w:pPr>
            <w:r w:rsidRPr="00D46B69">
              <w:rPr>
                <w:rFonts w:ascii="Arabic Typesetting" w:hAnsi="Arabic Typesetting" w:cs="Arabic Typesetting"/>
                <w:color w:val="000000"/>
                <w:sz w:val="28"/>
                <w:szCs w:val="28"/>
                <w:rtl/>
              </w:rPr>
              <w:t>إساءة استخدام موارد تكنولوجيا المعلومات والاتصالات</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0</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6)</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D46B69" w:rsidP="00B5349B">
            <w:pPr>
              <w:bidi/>
              <w:rPr>
                <w:rFonts w:ascii="Arabic Typesetting" w:hAnsi="Arabic Typesetting" w:cs="Arabic Typesetting"/>
                <w:color w:val="000000"/>
                <w:sz w:val="28"/>
                <w:szCs w:val="28"/>
              </w:rPr>
            </w:pPr>
            <w:r w:rsidRPr="00D46B69">
              <w:rPr>
                <w:rFonts w:ascii="Arabic Typesetting" w:hAnsi="Arabic Typesetting" w:cs="Arabic Typesetting"/>
                <w:color w:val="000000"/>
                <w:sz w:val="28"/>
                <w:szCs w:val="28"/>
                <w:rtl/>
              </w:rPr>
              <w:t xml:space="preserve">ممارسات </w:t>
            </w:r>
            <w:r w:rsidR="00B5349B">
              <w:rPr>
                <w:rFonts w:ascii="Arabic Typesetting" w:hAnsi="Arabic Typesetting" w:cs="Arabic Typesetting" w:hint="cs"/>
                <w:color w:val="000000"/>
                <w:sz w:val="28"/>
                <w:szCs w:val="28"/>
                <w:rtl/>
              </w:rPr>
              <w:t>تنطوي على الغش أو الفساد أو إساءة استخدام السلطة</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4</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22)</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0</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0)</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12)</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4</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15)</w:t>
            </w:r>
          </w:p>
        </w:tc>
      </w:tr>
      <w:tr w:rsidR="00D46B69" w:rsidRPr="00D46B69" w:rsidTr="00D46B69">
        <w:trPr>
          <w:trHeight w:val="420"/>
        </w:trPr>
        <w:tc>
          <w:tcPr>
            <w:tcW w:w="1439" w:type="pct"/>
            <w:tcBorders>
              <w:top w:val="nil"/>
              <w:left w:val="single" w:sz="8" w:space="0" w:color="auto"/>
              <w:bottom w:val="single" w:sz="4" w:space="0" w:color="auto"/>
              <w:right w:val="single" w:sz="8" w:space="0" w:color="auto"/>
            </w:tcBorders>
            <w:shd w:val="clear" w:color="auto" w:fill="auto"/>
            <w:vAlign w:val="center"/>
            <w:hideMark/>
          </w:tcPr>
          <w:p w:rsidR="00D46B69" w:rsidRPr="00D46B69" w:rsidRDefault="00B5349B" w:rsidP="00D46B69">
            <w:pPr>
              <w:bidi/>
              <w:rPr>
                <w:rFonts w:ascii="Arabic Typesetting" w:hAnsi="Arabic Typesetting" w:cs="Arabic Typesetting"/>
                <w:color w:val="000000"/>
                <w:sz w:val="28"/>
                <w:szCs w:val="28"/>
              </w:rPr>
            </w:pPr>
            <w:r>
              <w:rPr>
                <w:rFonts w:ascii="Arabic Typesetting" w:hAnsi="Arabic Typesetting" w:cs="Arabic Typesetting"/>
                <w:color w:val="000000"/>
                <w:sz w:val="28"/>
                <w:szCs w:val="28"/>
                <w:rtl/>
              </w:rPr>
              <w:t xml:space="preserve">الإفصاح عن معلومات دون </w:t>
            </w:r>
            <w:r>
              <w:rPr>
                <w:rFonts w:ascii="Arabic Typesetting" w:hAnsi="Arabic Typesetting" w:cs="Arabic Typesetting" w:hint="cs"/>
                <w:color w:val="000000"/>
                <w:sz w:val="28"/>
                <w:szCs w:val="28"/>
                <w:rtl/>
              </w:rPr>
              <w:t>إذن بذلك</w:t>
            </w:r>
          </w:p>
        </w:tc>
        <w:tc>
          <w:tcPr>
            <w:tcW w:w="302" w:type="pct"/>
            <w:tcBorders>
              <w:top w:val="nil"/>
              <w:left w:val="single" w:sz="8" w:space="0" w:color="auto"/>
              <w:bottom w:val="single" w:sz="4"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3</w:t>
            </w:r>
          </w:p>
        </w:tc>
        <w:tc>
          <w:tcPr>
            <w:tcW w:w="652"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17)</w:t>
            </w:r>
          </w:p>
        </w:tc>
        <w:tc>
          <w:tcPr>
            <w:tcW w:w="285"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15"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19)</w:t>
            </w:r>
          </w:p>
        </w:tc>
        <w:tc>
          <w:tcPr>
            <w:tcW w:w="310"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3</w:t>
            </w:r>
          </w:p>
        </w:tc>
        <w:tc>
          <w:tcPr>
            <w:tcW w:w="670" w:type="pct"/>
            <w:tcBorders>
              <w:top w:val="nil"/>
              <w:left w:val="nil"/>
              <w:bottom w:val="single" w:sz="4"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12)</w:t>
            </w:r>
          </w:p>
        </w:tc>
        <w:tc>
          <w:tcPr>
            <w:tcW w:w="231" w:type="pct"/>
            <w:tcBorders>
              <w:top w:val="nil"/>
              <w:left w:val="nil"/>
              <w:bottom w:val="single" w:sz="4"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498" w:type="pct"/>
            <w:tcBorders>
              <w:top w:val="nil"/>
              <w:left w:val="nil"/>
              <w:bottom w:val="single" w:sz="4"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r>
      <w:tr w:rsidR="00D46B69" w:rsidRPr="00D46B69" w:rsidTr="00D46B69">
        <w:trPr>
          <w:trHeight w:val="855"/>
        </w:trPr>
        <w:tc>
          <w:tcPr>
            <w:tcW w:w="1439" w:type="pct"/>
            <w:tcBorders>
              <w:top w:val="nil"/>
              <w:left w:val="single" w:sz="8" w:space="0" w:color="auto"/>
              <w:bottom w:val="single" w:sz="8" w:space="0" w:color="auto"/>
              <w:right w:val="single" w:sz="8" w:space="0" w:color="auto"/>
            </w:tcBorders>
            <w:shd w:val="clear" w:color="auto" w:fill="auto"/>
            <w:vAlign w:val="center"/>
            <w:hideMark/>
          </w:tcPr>
          <w:p w:rsidR="00D46B69" w:rsidRPr="00D46B69" w:rsidRDefault="00D46B69" w:rsidP="00B5349B">
            <w:pPr>
              <w:bidi/>
              <w:rPr>
                <w:rFonts w:ascii="Arabic Typesetting" w:hAnsi="Arabic Typesetting" w:cs="Arabic Typesetting"/>
                <w:color w:val="000000"/>
                <w:sz w:val="28"/>
                <w:szCs w:val="28"/>
              </w:rPr>
            </w:pPr>
            <w:r w:rsidRPr="00D46B69">
              <w:rPr>
                <w:rFonts w:ascii="Arabic Typesetting" w:hAnsi="Arabic Typesetting" w:cs="Arabic Typesetting"/>
                <w:color w:val="000000"/>
                <w:sz w:val="28"/>
                <w:szCs w:val="28"/>
                <w:rtl/>
              </w:rPr>
              <w:t xml:space="preserve">بيانات وتصريحات وأنشطة </w:t>
            </w:r>
            <w:r w:rsidR="00B5349B">
              <w:rPr>
                <w:rFonts w:ascii="Arabic Typesetting" w:hAnsi="Arabic Typesetting" w:cs="Arabic Typesetting" w:hint="cs"/>
                <w:color w:val="000000"/>
                <w:sz w:val="28"/>
                <w:szCs w:val="28"/>
                <w:rtl/>
              </w:rPr>
              <w:t>تخالف</w:t>
            </w:r>
            <w:r w:rsidRPr="00D46B69">
              <w:rPr>
                <w:rFonts w:ascii="Arabic Typesetting" w:hAnsi="Arabic Typesetting" w:cs="Arabic Typesetting"/>
                <w:color w:val="000000"/>
                <w:sz w:val="28"/>
                <w:szCs w:val="28"/>
                <w:rtl/>
              </w:rPr>
              <w:t xml:space="preserve"> التزامات موظف مدني دولي</w:t>
            </w:r>
          </w:p>
        </w:tc>
        <w:tc>
          <w:tcPr>
            <w:tcW w:w="302" w:type="pct"/>
            <w:tcBorders>
              <w:top w:val="nil"/>
              <w:left w:val="single" w:sz="8" w:space="0" w:color="auto"/>
              <w:bottom w:val="single" w:sz="8" w:space="0" w:color="auto"/>
              <w:right w:val="nil"/>
            </w:tcBorders>
            <w:shd w:val="clear" w:color="auto" w:fill="auto"/>
            <w:noWrap/>
            <w:vAlign w:val="center"/>
            <w:hideMark/>
          </w:tcPr>
          <w:p w:rsidR="00D46B69" w:rsidRPr="00D46B69" w:rsidRDefault="00D46B69" w:rsidP="00D46B69">
            <w:pPr>
              <w:jc w:val="center"/>
              <w:rPr>
                <w:color w:val="000000"/>
                <w:sz w:val="20"/>
                <w:rtl/>
              </w:rPr>
            </w:pPr>
            <w:r w:rsidRPr="00D46B69">
              <w:rPr>
                <w:color w:val="000000"/>
                <w:sz w:val="20"/>
              </w:rPr>
              <w:t>2</w:t>
            </w:r>
          </w:p>
        </w:tc>
        <w:tc>
          <w:tcPr>
            <w:tcW w:w="652"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11)</w:t>
            </w:r>
          </w:p>
        </w:tc>
        <w:tc>
          <w:tcPr>
            <w:tcW w:w="285"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2</w:t>
            </w:r>
          </w:p>
        </w:tc>
        <w:tc>
          <w:tcPr>
            <w:tcW w:w="615"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13)</w:t>
            </w:r>
          </w:p>
        </w:tc>
        <w:tc>
          <w:tcPr>
            <w:tcW w:w="310"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7</w:t>
            </w:r>
          </w:p>
        </w:tc>
        <w:tc>
          <w:tcPr>
            <w:tcW w:w="670"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27)</w:t>
            </w:r>
          </w:p>
        </w:tc>
        <w:tc>
          <w:tcPr>
            <w:tcW w:w="231"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color w:val="000000"/>
                <w:sz w:val="20"/>
              </w:rPr>
            </w:pPr>
            <w:r w:rsidRPr="00D46B69">
              <w:rPr>
                <w:color w:val="000000"/>
                <w:sz w:val="20"/>
              </w:rPr>
              <w:t>1</w:t>
            </w:r>
          </w:p>
        </w:tc>
        <w:tc>
          <w:tcPr>
            <w:tcW w:w="498" w:type="pct"/>
            <w:tcBorders>
              <w:top w:val="nil"/>
              <w:left w:val="nil"/>
              <w:bottom w:val="single" w:sz="8" w:space="0" w:color="auto"/>
              <w:right w:val="single" w:sz="8" w:space="0" w:color="auto"/>
            </w:tcBorders>
            <w:shd w:val="clear" w:color="auto" w:fill="auto"/>
            <w:noWrap/>
            <w:vAlign w:val="center"/>
            <w:hideMark/>
          </w:tcPr>
          <w:p w:rsidR="00D46B69" w:rsidRPr="00D46B69" w:rsidRDefault="00D46B69" w:rsidP="00D27D34">
            <w:pPr>
              <w:jc w:val="right"/>
              <w:rPr>
                <w:i/>
                <w:iCs/>
                <w:sz w:val="16"/>
                <w:szCs w:val="16"/>
              </w:rPr>
            </w:pPr>
            <w:r w:rsidRPr="00D46B69">
              <w:rPr>
                <w:i/>
                <w:iCs/>
                <w:sz w:val="16"/>
                <w:szCs w:val="16"/>
              </w:rPr>
              <w:t>(</w:t>
            </w:r>
            <w:r w:rsidR="00D27D34" w:rsidRPr="00D46B69">
              <w:rPr>
                <w:i/>
                <w:iCs/>
                <w:sz w:val="16"/>
                <w:szCs w:val="16"/>
              </w:rPr>
              <w:t>%</w:t>
            </w:r>
            <w:r w:rsidRPr="00D46B69">
              <w:rPr>
                <w:i/>
                <w:iCs/>
                <w:sz w:val="16"/>
                <w:szCs w:val="16"/>
              </w:rPr>
              <w:t>4)</w:t>
            </w:r>
          </w:p>
        </w:tc>
      </w:tr>
      <w:tr w:rsidR="00D46B69" w:rsidRPr="00D46B69" w:rsidTr="00D46B69">
        <w:trPr>
          <w:trHeight w:val="435"/>
        </w:trPr>
        <w:tc>
          <w:tcPr>
            <w:tcW w:w="1439" w:type="pct"/>
            <w:tcBorders>
              <w:top w:val="nil"/>
              <w:left w:val="single" w:sz="8" w:space="0" w:color="auto"/>
              <w:bottom w:val="single" w:sz="8" w:space="0" w:color="auto"/>
              <w:right w:val="single" w:sz="8" w:space="0" w:color="auto"/>
            </w:tcBorders>
            <w:shd w:val="clear" w:color="auto" w:fill="auto"/>
            <w:vAlign w:val="center"/>
            <w:hideMark/>
          </w:tcPr>
          <w:p w:rsidR="00D46B69" w:rsidRPr="00D46B69" w:rsidRDefault="00D46B69" w:rsidP="00D46B69">
            <w:pPr>
              <w:bidi/>
              <w:rPr>
                <w:rFonts w:ascii="Arabic Typesetting" w:hAnsi="Arabic Typesetting" w:cs="Arabic Typesetting"/>
                <w:b/>
                <w:bCs/>
                <w:sz w:val="28"/>
                <w:szCs w:val="28"/>
              </w:rPr>
            </w:pPr>
            <w:r w:rsidRPr="00D46B69">
              <w:rPr>
                <w:rFonts w:ascii="Arabic Typesetting" w:hAnsi="Arabic Typesetting" w:cs="Arabic Typesetting"/>
                <w:b/>
                <w:bCs/>
                <w:sz w:val="28"/>
                <w:szCs w:val="28"/>
                <w:rtl/>
              </w:rPr>
              <w:t>المجموع</w:t>
            </w:r>
          </w:p>
        </w:tc>
        <w:tc>
          <w:tcPr>
            <w:tcW w:w="302" w:type="pct"/>
            <w:tcBorders>
              <w:top w:val="nil"/>
              <w:left w:val="single" w:sz="8" w:space="0" w:color="auto"/>
              <w:bottom w:val="single" w:sz="8" w:space="0" w:color="auto"/>
              <w:right w:val="nil"/>
            </w:tcBorders>
            <w:shd w:val="clear" w:color="auto" w:fill="auto"/>
            <w:noWrap/>
            <w:vAlign w:val="center"/>
            <w:hideMark/>
          </w:tcPr>
          <w:p w:rsidR="00D46B69" w:rsidRPr="00D46B69" w:rsidRDefault="00D46B69" w:rsidP="00D46B69">
            <w:pPr>
              <w:jc w:val="center"/>
              <w:rPr>
                <w:b/>
                <w:bCs/>
                <w:sz w:val="20"/>
                <w:rtl/>
              </w:rPr>
            </w:pPr>
            <w:r w:rsidRPr="00D46B69">
              <w:rPr>
                <w:b/>
                <w:bCs/>
                <w:sz w:val="20"/>
              </w:rPr>
              <w:t>18</w:t>
            </w:r>
          </w:p>
        </w:tc>
        <w:tc>
          <w:tcPr>
            <w:tcW w:w="652"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c>
          <w:tcPr>
            <w:tcW w:w="285"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b/>
                <w:bCs/>
                <w:sz w:val="20"/>
              </w:rPr>
            </w:pPr>
            <w:r w:rsidRPr="00D46B69">
              <w:rPr>
                <w:b/>
                <w:bCs/>
                <w:sz w:val="20"/>
              </w:rPr>
              <w:t>16</w:t>
            </w:r>
          </w:p>
        </w:tc>
        <w:tc>
          <w:tcPr>
            <w:tcW w:w="615"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c>
          <w:tcPr>
            <w:tcW w:w="310"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b/>
                <w:bCs/>
                <w:sz w:val="20"/>
              </w:rPr>
            </w:pPr>
            <w:r w:rsidRPr="00D46B69">
              <w:rPr>
                <w:b/>
                <w:bCs/>
                <w:sz w:val="20"/>
              </w:rPr>
              <w:t>26</w:t>
            </w:r>
          </w:p>
        </w:tc>
        <w:tc>
          <w:tcPr>
            <w:tcW w:w="670" w:type="pct"/>
            <w:tcBorders>
              <w:top w:val="nil"/>
              <w:left w:val="nil"/>
              <w:bottom w:val="single" w:sz="8" w:space="0" w:color="auto"/>
              <w:right w:val="single" w:sz="4"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c>
          <w:tcPr>
            <w:tcW w:w="231" w:type="pct"/>
            <w:tcBorders>
              <w:top w:val="nil"/>
              <w:left w:val="nil"/>
              <w:bottom w:val="single" w:sz="8" w:space="0" w:color="auto"/>
              <w:right w:val="nil"/>
            </w:tcBorders>
            <w:shd w:val="clear" w:color="auto" w:fill="auto"/>
            <w:noWrap/>
            <w:vAlign w:val="center"/>
            <w:hideMark/>
          </w:tcPr>
          <w:p w:rsidR="00D46B69" w:rsidRPr="00D46B69" w:rsidRDefault="00D46B69" w:rsidP="00D46B69">
            <w:pPr>
              <w:jc w:val="center"/>
              <w:rPr>
                <w:b/>
                <w:bCs/>
                <w:sz w:val="20"/>
              </w:rPr>
            </w:pPr>
            <w:r w:rsidRPr="00D46B69">
              <w:rPr>
                <w:b/>
                <w:bCs/>
                <w:sz w:val="20"/>
              </w:rPr>
              <w:t>26</w:t>
            </w:r>
          </w:p>
        </w:tc>
        <w:tc>
          <w:tcPr>
            <w:tcW w:w="498" w:type="pct"/>
            <w:tcBorders>
              <w:top w:val="nil"/>
              <w:left w:val="nil"/>
              <w:bottom w:val="single" w:sz="8" w:space="0" w:color="auto"/>
              <w:right w:val="single" w:sz="8" w:space="0" w:color="auto"/>
            </w:tcBorders>
            <w:shd w:val="clear" w:color="auto" w:fill="auto"/>
            <w:noWrap/>
            <w:vAlign w:val="center"/>
            <w:hideMark/>
          </w:tcPr>
          <w:p w:rsidR="00D46B69" w:rsidRPr="00D46B69" w:rsidRDefault="00D46B69" w:rsidP="00D27D34">
            <w:pPr>
              <w:jc w:val="right"/>
              <w:rPr>
                <w:b/>
                <w:bCs/>
                <w:i/>
                <w:iCs/>
                <w:sz w:val="16"/>
                <w:szCs w:val="16"/>
              </w:rPr>
            </w:pPr>
            <w:r w:rsidRPr="00D46B69">
              <w:rPr>
                <w:b/>
                <w:bCs/>
                <w:i/>
                <w:iCs/>
                <w:sz w:val="16"/>
                <w:szCs w:val="16"/>
              </w:rPr>
              <w:t>(</w:t>
            </w:r>
            <w:r w:rsidR="00D27D34" w:rsidRPr="00D46B69">
              <w:rPr>
                <w:b/>
                <w:bCs/>
                <w:i/>
                <w:iCs/>
                <w:sz w:val="16"/>
                <w:szCs w:val="16"/>
              </w:rPr>
              <w:t>%</w:t>
            </w:r>
            <w:r w:rsidRPr="00D46B69">
              <w:rPr>
                <w:b/>
                <w:bCs/>
                <w:i/>
                <w:iCs/>
                <w:sz w:val="16"/>
                <w:szCs w:val="16"/>
              </w:rPr>
              <w:t>100)</w:t>
            </w:r>
          </w:p>
        </w:tc>
      </w:tr>
    </w:tbl>
    <w:p w:rsidR="00DD06E5" w:rsidRPr="00A52F87" w:rsidRDefault="00D46B69" w:rsidP="00D46B69">
      <w:pPr>
        <w:pStyle w:val="NumberedParaAR"/>
        <w:keepNext/>
        <w:numPr>
          <w:ilvl w:val="0"/>
          <w:numId w:val="0"/>
        </w:numPr>
        <w:spacing w:before="240"/>
        <w:jc w:val="center"/>
        <w:rPr>
          <w:rFonts w:eastAsia="SimSun"/>
          <w:b/>
          <w:bCs/>
          <w:rtl/>
          <w:lang w:eastAsia="zh-CN" w:bidi="ar-EG"/>
        </w:rPr>
      </w:pPr>
      <w:r w:rsidRPr="00A52F87">
        <w:rPr>
          <w:rFonts w:eastAsia="SimSun" w:hint="cs"/>
          <w:b/>
          <w:bCs/>
          <w:rtl/>
          <w:lang w:eastAsia="zh-CN" w:bidi="ar-EG"/>
        </w:rPr>
        <w:t>الرسم البياني (2)</w:t>
      </w:r>
      <w:r w:rsidR="00A52F87">
        <w:rPr>
          <w:rFonts w:eastAsia="SimSun" w:hint="cs"/>
          <w:b/>
          <w:bCs/>
          <w:rtl/>
          <w:lang w:eastAsia="zh-CN" w:bidi="ar-EG"/>
        </w:rPr>
        <w:t xml:space="preserve"> </w:t>
      </w:r>
      <w:r w:rsidR="00A52F87">
        <w:rPr>
          <w:rFonts w:eastAsia="SimSun"/>
          <w:b/>
          <w:bCs/>
          <w:rtl/>
          <w:lang w:eastAsia="zh-CN" w:bidi="ar-EG"/>
        </w:rPr>
        <w:t>–</w:t>
      </w:r>
      <w:r w:rsidR="00A52F87">
        <w:rPr>
          <w:rFonts w:eastAsia="SimSun" w:hint="cs"/>
          <w:b/>
          <w:bCs/>
          <w:rtl/>
          <w:lang w:eastAsia="zh-CN" w:bidi="ar-EG"/>
        </w:rPr>
        <w:t xml:space="preserve"> تحليل القضايا المغلقة في الفترة من 30 يونيو 2011 إلى 30 يونيو 2015</w:t>
      </w:r>
    </w:p>
    <w:p w:rsidR="00DD06E5" w:rsidRDefault="00D40A5B" w:rsidP="00A52F87">
      <w:pPr>
        <w:pStyle w:val="NumberedParaAR"/>
        <w:numPr>
          <w:ilvl w:val="0"/>
          <w:numId w:val="0"/>
        </w:numPr>
        <w:spacing w:line="240" w:lineRule="auto"/>
        <w:jc w:val="center"/>
        <w:rPr>
          <w:rFonts w:eastAsia="SimSun"/>
          <w:rtl/>
          <w:lang w:eastAsia="zh-CN" w:bidi="ar-EG"/>
        </w:rPr>
      </w:pPr>
      <w:r>
        <w:rPr>
          <w:noProof/>
        </w:rPr>
        <w:drawing>
          <wp:inline distT="0" distB="0" distL="0" distR="0" wp14:anchorId="104D7D2D" wp14:editId="17C1123C">
            <wp:extent cx="5000625" cy="3950970"/>
            <wp:effectExtent l="0" t="0" r="9525"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06E5" w:rsidRPr="003F1844" w:rsidRDefault="00A52F87" w:rsidP="00A52F87">
      <w:pPr>
        <w:pStyle w:val="NumberedParaAR"/>
        <w:keepNext/>
        <w:numPr>
          <w:ilvl w:val="0"/>
          <w:numId w:val="0"/>
        </w:numPr>
        <w:rPr>
          <w:rFonts w:eastAsia="SimSun"/>
          <w:b/>
          <w:bCs/>
          <w:sz w:val="40"/>
          <w:szCs w:val="40"/>
          <w:rtl/>
          <w:lang w:eastAsia="zh-CN" w:bidi="ar-EG"/>
        </w:rPr>
      </w:pPr>
      <w:bookmarkStart w:id="17" w:name="instances"/>
      <w:r w:rsidRPr="003F1844">
        <w:rPr>
          <w:rFonts w:eastAsia="SimSun" w:hint="cs"/>
          <w:b/>
          <w:bCs/>
          <w:sz w:val="40"/>
          <w:szCs w:val="40"/>
          <w:rtl/>
          <w:lang w:eastAsia="zh-CN" w:bidi="ar-EG"/>
        </w:rPr>
        <w:lastRenderedPageBreak/>
        <w:t>الحالات التي ر</w:t>
      </w:r>
      <w:r w:rsidR="003F1844" w:rsidRPr="003F1844">
        <w:rPr>
          <w:rFonts w:eastAsia="SimSun" w:hint="cs"/>
          <w:b/>
          <w:bCs/>
          <w:sz w:val="40"/>
          <w:szCs w:val="40"/>
          <w:rtl/>
          <w:lang w:eastAsia="zh-CN" w:bidi="ar-EG"/>
        </w:rPr>
        <w:t>ُ</w:t>
      </w:r>
      <w:r w:rsidRPr="003F1844">
        <w:rPr>
          <w:rFonts w:eastAsia="SimSun" w:hint="cs"/>
          <w:b/>
          <w:bCs/>
          <w:sz w:val="40"/>
          <w:szCs w:val="40"/>
          <w:rtl/>
          <w:lang w:eastAsia="zh-CN" w:bidi="ar-EG"/>
        </w:rPr>
        <w:t>فض فيها تقديم معلومات أو مساعدات</w:t>
      </w:r>
    </w:p>
    <w:bookmarkEnd w:id="17"/>
    <w:p w:rsidR="00A52F87" w:rsidRDefault="00A52F87" w:rsidP="00A52F87">
      <w:pPr>
        <w:pStyle w:val="NumberedParaAR"/>
        <w:rPr>
          <w:rFonts w:eastAsia="SimSun"/>
          <w:lang w:eastAsia="zh-CN" w:bidi="ar-EG"/>
        </w:rPr>
      </w:pPr>
      <w:r>
        <w:rPr>
          <w:rFonts w:eastAsia="SimSun" w:hint="cs"/>
          <w:rtl/>
          <w:lang w:eastAsia="zh-CN" w:bidi="ar-EG"/>
        </w:rPr>
        <w:t>وفقاً للفقرة 39(ز) من ميثاق الرقابة الداخلية، ينبغي لشعبة الرقابة الداخلية أن تبلغ عن أي حالات قيد فيها نفاذ الشعبة إلى سجلات أو موظفين أو مبانٍ خلال الفترة المشمولة بالتقرير.</w:t>
      </w:r>
    </w:p>
    <w:p w:rsidR="00A52F87" w:rsidRDefault="00A52F87" w:rsidP="00A52F87">
      <w:pPr>
        <w:pStyle w:val="NumberedParaAR"/>
        <w:rPr>
          <w:rFonts w:eastAsia="SimSun"/>
          <w:lang w:eastAsia="zh-CN" w:bidi="ar-EG"/>
        </w:rPr>
      </w:pPr>
      <w:r>
        <w:rPr>
          <w:rFonts w:eastAsia="SimSun" w:hint="cs"/>
          <w:rtl/>
          <w:lang w:eastAsia="zh-CN" w:bidi="ar-EG"/>
        </w:rPr>
        <w:t>رفض ست موظفون</w:t>
      </w:r>
      <w:r w:rsidR="007E6663">
        <w:rPr>
          <w:rStyle w:val="FootnoteReference"/>
          <w:rFonts w:eastAsia="SimSun"/>
          <w:rtl/>
          <w:lang w:eastAsia="zh-CN" w:bidi="ar-EG"/>
        </w:rPr>
        <w:footnoteReference w:id="5"/>
      </w:r>
      <w:r>
        <w:rPr>
          <w:rFonts w:eastAsia="SimSun" w:hint="cs"/>
          <w:rtl/>
          <w:lang w:eastAsia="zh-CN" w:bidi="ar-EG"/>
        </w:rPr>
        <w:t xml:space="preserve"> طلب الاجتماع بالشعبة لأسباب صحية </w:t>
      </w:r>
      <w:r>
        <w:rPr>
          <w:rFonts w:eastAsia="SimSun"/>
          <w:rtl/>
          <w:lang w:eastAsia="zh-CN" w:bidi="ar-EG"/>
        </w:rPr>
        <w:t>–</w:t>
      </w:r>
      <w:r>
        <w:rPr>
          <w:rFonts w:eastAsia="SimSun" w:hint="cs"/>
          <w:rtl/>
          <w:lang w:eastAsia="zh-CN" w:bidi="ar-EG"/>
        </w:rPr>
        <w:t xml:space="preserve"> إما من خلال إجازة مرضية أو باستخدام شهادات صحية مخصصة. ونتيجة لذلك، تأخر التحقيق في ثماني قضايا (أربع في مرحلة التقييم الأولي وأربع في مرحلة التحقيق الكامل) خلال الفترة المشمولة بالتقرير.</w:t>
      </w:r>
    </w:p>
    <w:p w:rsidR="00A52F87" w:rsidRPr="003F1844" w:rsidRDefault="00A52F87" w:rsidP="00A52F87">
      <w:pPr>
        <w:pStyle w:val="NumberedParaAR"/>
        <w:keepNext/>
        <w:numPr>
          <w:ilvl w:val="0"/>
          <w:numId w:val="0"/>
        </w:numPr>
        <w:rPr>
          <w:rFonts w:eastAsia="SimSun"/>
          <w:b/>
          <w:bCs/>
          <w:sz w:val="40"/>
          <w:szCs w:val="40"/>
          <w:rtl/>
          <w:lang w:eastAsia="zh-CN" w:bidi="ar-EG"/>
        </w:rPr>
      </w:pPr>
      <w:bookmarkStart w:id="18" w:name="statusimplem"/>
      <w:r w:rsidRPr="003F1844">
        <w:rPr>
          <w:rFonts w:eastAsia="SimSun" w:hint="cs"/>
          <w:b/>
          <w:bCs/>
          <w:sz w:val="40"/>
          <w:szCs w:val="40"/>
          <w:rtl/>
          <w:lang w:eastAsia="zh-CN" w:bidi="ar-EG"/>
        </w:rPr>
        <w:t>وضع تنفيذ توصيات الرقابة</w:t>
      </w:r>
    </w:p>
    <w:bookmarkEnd w:id="18"/>
    <w:p w:rsidR="00A52F87" w:rsidRDefault="00A52F87" w:rsidP="00A52F87">
      <w:pPr>
        <w:pStyle w:val="NumberedParaAR"/>
        <w:rPr>
          <w:rFonts w:eastAsia="SimSun"/>
          <w:lang w:eastAsia="zh-CN" w:bidi="ar-EG"/>
        </w:rPr>
      </w:pPr>
      <w:r>
        <w:rPr>
          <w:rFonts w:eastAsia="SimSun" w:hint="cs"/>
          <w:rtl/>
          <w:lang w:eastAsia="zh-CN" w:bidi="ar-EG"/>
        </w:rPr>
        <w:t>المدير العام مسؤول عن ضمان تلبية جميع التوصيات الصادرة عن مدير الشعبة وغيرها من الهيئات الرقابية بسرعة، وعن ذكر الإجراءات المتخذة فيما يخص نتائج وتوصيات تقرير بعينه.</w:t>
      </w:r>
      <w:r>
        <w:rPr>
          <w:rStyle w:val="FootnoteReference"/>
          <w:rFonts w:eastAsia="SimSun"/>
          <w:rtl/>
          <w:lang w:eastAsia="zh-CN" w:bidi="ar-EG"/>
        </w:rPr>
        <w:footnoteReference w:id="6"/>
      </w:r>
      <w:r>
        <w:rPr>
          <w:rFonts w:eastAsia="SimSun" w:hint="cs"/>
          <w:rtl/>
          <w:lang w:eastAsia="zh-CN" w:bidi="ar-EG"/>
        </w:rPr>
        <w:t xml:space="preserve"> وي</w:t>
      </w:r>
      <w:r w:rsidR="004444C6">
        <w:rPr>
          <w:rFonts w:eastAsia="SimSun" w:hint="cs"/>
          <w:rtl/>
          <w:lang w:eastAsia="zh-CN" w:bidi="ar-EG"/>
        </w:rPr>
        <w:t>حيل المدير العام هذه المسؤولية إلى مديري البرامج المسؤولين عن مجالات تشغيلية محددة في الويبو.</w:t>
      </w:r>
      <w:r w:rsidR="004444C6">
        <w:rPr>
          <w:rStyle w:val="FootnoteReference"/>
          <w:rFonts w:eastAsia="SimSun"/>
          <w:rtl/>
          <w:lang w:eastAsia="zh-CN" w:bidi="ar-EG"/>
        </w:rPr>
        <w:footnoteReference w:id="7"/>
      </w:r>
      <w:r w:rsidR="004444C6">
        <w:rPr>
          <w:rFonts w:eastAsia="SimSun" w:hint="cs"/>
          <w:rtl/>
          <w:lang w:eastAsia="zh-CN" w:bidi="ar-EG"/>
        </w:rPr>
        <w:t xml:space="preserve"> ويخضع تنفيذ مديري برامج الويبو لجميع توصيات المراقبة لمتابعة منتظمة تتولاها شعبة الرقابة الداخلية.</w:t>
      </w:r>
      <w:r w:rsidR="004444C6">
        <w:rPr>
          <w:rStyle w:val="FootnoteReference"/>
          <w:rFonts w:eastAsia="SimSun"/>
          <w:rtl/>
          <w:lang w:eastAsia="zh-CN" w:bidi="ar-EG"/>
        </w:rPr>
        <w:footnoteReference w:id="8"/>
      </w:r>
    </w:p>
    <w:p w:rsidR="004444C6" w:rsidRDefault="004444C6" w:rsidP="004444C6">
      <w:pPr>
        <w:pStyle w:val="NumberedParaAR"/>
        <w:rPr>
          <w:rFonts w:eastAsia="SimSun"/>
          <w:lang w:eastAsia="zh-CN" w:bidi="ar-EG"/>
        </w:rPr>
      </w:pPr>
      <w:r>
        <w:rPr>
          <w:rFonts w:eastAsia="SimSun" w:hint="cs"/>
          <w:rtl/>
          <w:lang w:eastAsia="zh-CN" w:bidi="ar-EG"/>
        </w:rPr>
        <w:t xml:space="preserve">وتواصل الشعبة إدارة التوصيات وإعداد التقارير بشأنها من خلال نظام </w:t>
      </w:r>
      <w:proofErr w:type="spellStart"/>
      <w:r>
        <w:rPr>
          <w:rFonts w:eastAsia="SimSun"/>
          <w:lang w:eastAsia="zh-CN" w:bidi="ar-EG"/>
        </w:rPr>
        <w:t>TeamCentral</w:t>
      </w:r>
      <w:proofErr w:type="spellEnd"/>
      <w:r>
        <w:rPr>
          <w:rFonts w:eastAsia="SimSun" w:hint="cs"/>
          <w:rtl/>
          <w:lang w:eastAsia="zh-CN" w:bidi="ar-EG"/>
        </w:rPr>
        <w:t xml:space="preserve"> الذي يتيح إقامة حوار تفاعلي بين مديري البرامج </w:t>
      </w:r>
      <w:proofErr w:type="spellStart"/>
      <w:r>
        <w:rPr>
          <w:rFonts w:eastAsia="SimSun" w:hint="cs"/>
          <w:rtl/>
          <w:lang w:eastAsia="zh-CN" w:bidi="ar-EG"/>
        </w:rPr>
        <w:t>ومندوبيهم</w:t>
      </w:r>
      <w:proofErr w:type="spellEnd"/>
      <w:r>
        <w:rPr>
          <w:rFonts w:eastAsia="SimSun" w:hint="cs"/>
          <w:rtl/>
          <w:lang w:eastAsia="zh-CN" w:bidi="ar-EG"/>
        </w:rPr>
        <w:t xml:space="preserve"> تحقيقاً للفعالية في متابعة تنفيذ التوصيات المفتوحة.</w:t>
      </w:r>
    </w:p>
    <w:p w:rsidR="004444C6" w:rsidRDefault="004444C6" w:rsidP="004444C6">
      <w:pPr>
        <w:pStyle w:val="NumberedParaAR"/>
        <w:rPr>
          <w:rFonts w:eastAsia="SimSun"/>
          <w:lang w:eastAsia="zh-CN" w:bidi="ar-EG"/>
        </w:rPr>
      </w:pPr>
      <w:r>
        <w:rPr>
          <w:rFonts w:eastAsia="SimSun" w:hint="cs"/>
          <w:rtl/>
          <w:lang w:eastAsia="zh-CN" w:bidi="ar-EG"/>
        </w:rPr>
        <w:t>وفي تاريخ إعداد هذا التقرير، ثمة 184 توصية مفتوحة منها 119 توصية تعالج مخاطر عالية.</w:t>
      </w:r>
    </w:p>
    <w:p w:rsidR="004444C6" w:rsidRPr="004444C6" w:rsidRDefault="004444C6" w:rsidP="004444C6">
      <w:pPr>
        <w:pStyle w:val="NumberedParaAR"/>
        <w:keepNext/>
        <w:numPr>
          <w:ilvl w:val="0"/>
          <w:numId w:val="0"/>
        </w:numPr>
        <w:jc w:val="center"/>
        <w:rPr>
          <w:rFonts w:eastAsia="SimSun"/>
          <w:b/>
          <w:bCs/>
          <w:rtl/>
          <w:lang w:eastAsia="zh-CN" w:bidi="ar-EG"/>
        </w:rPr>
      </w:pPr>
      <w:r w:rsidRPr="004444C6">
        <w:rPr>
          <w:rFonts w:eastAsia="SimSun" w:hint="cs"/>
          <w:b/>
          <w:bCs/>
          <w:rtl/>
          <w:lang w:eastAsia="zh-CN" w:bidi="ar-EG"/>
        </w:rPr>
        <w:t xml:space="preserve">الرسم </w:t>
      </w:r>
      <w:r>
        <w:rPr>
          <w:rFonts w:eastAsia="SimSun" w:hint="cs"/>
          <w:b/>
          <w:bCs/>
          <w:rtl/>
          <w:lang w:eastAsia="zh-CN" w:bidi="ar-EG"/>
        </w:rPr>
        <w:t>البياني (3)</w:t>
      </w:r>
      <w:r w:rsidRPr="004444C6">
        <w:rPr>
          <w:rFonts w:eastAsia="SimSun" w:hint="cs"/>
          <w:b/>
          <w:bCs/>
          <w:rtl/>
          <w:lang w:eastAsia="zh-CN" w:bidi="ar-EG"/>
        </w:rPr>
        <w:t xml:space="preserve"> </w:t>
      </w:r>
      <w:r w:rsidRPr="004444C6">
        <w:rPr>
          <w:rFonts w:eastAsia="SimSun"/>
          <w:b/>
          <w:bCs/>
          <w:rtl/>
          <w:lang w:eastAsia="zh-CN" w:bidi="ar-EG"/>
        </w:rPr>
        <w:t>–</w:t>
      </w:r>
      <w:r w:rsidRPr="004444C6">
        <w:rPr>
          <w:rFonts w:eastAsia="SimSun" w:hint="cs"/>
          <w:b/>
          <w:bCs/>
          <w:rtl/>
          <w:lang w:eastAsia="zh-CN" w:bidi="ar-EG"/>
        </w:rPr>
        <w:t xml:space="preserve"> التوصيات بحسب الأولوية</w:t>
      </w:r>
    </w:p>
    <w:p w:rsidR="004444C6" w:rsidRDefault="004444C6" w:rsidP="004444C6">
      <w:pPr>
        <w:pStyle w:val="NumberedParaAR"/>
        <w:numPr>
          <w:ilvl w:val="0"/>
          <w:numId w:val="0"/>
        </w:numPr>
        <w:spacing w:line="240" w:lineRule="auto"/>
        <w:jc w:val="center"/>
        <w:rPr>
          <w:rFonts w:eastAsia="SimSun"/>
          <w:rtl/>
          <w:lang w:eastAsia="zh-CN" w:bidi="ar-EG"/>
        </w:rPr>
      </w:pPr>
      <w:r>
        <w:rPr>
          <w:noProof/>
        </w:rPr>
        <w:drawing>
          <wp:inline distT="0" distB="0" distL="0" distR="0" wp14:anchorId="26B3FF3A" wp14:editId="62532AC3">
            <wp:extent cx="5505450" cy="2743200"/>
            <wp:effectExtent l="0" t="0" r="0" b="0"/>
            <wp:docPr id="345" name="Chart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444C6" w:rsidRPr="004444C6" w:rsidRDefault="004444C6" w:rsidP="004444C6">
      <w:pPr>
        <w:pStyle w:val="NumberedParaAR"/>
        <w:keepNext/>
        <w:numPr>
          <w:ilvl w:val="0"/>
          <w:numId w:val="0"/>
        </w:numPr>
        <w:spacing w:before="240"/>
        <w:jc w:val="center"/>
        <w:rPr>
          <w:rFonts w:eastAsia="SimSun"/>
          <w:b/>
          <w:bCs/>
          <w:rtl/>
          <w:lang w:eastAsia="zh-CN" w:bidi="ar-EG"/>
        </w:rPr>
      </w:pPr>
      <w:r>
        <w:rPr>
          <w:rFonts w:eastAsia="SimSun" w:hint="cs"/>
          <w:b/>
          <w:bCs/>
          <w:rtl/>
          <w:lang w:eastAsia="zh-CN" w:bidi="ar-EG"/>
        </w:rPr>
        <w:lastRenderedPageBreak/>
        <w:t xml:space="preserve">الرسم البياني (4) </w:t>
      </w:r>
      <w:r>
        <w:rPr>
          <w:rFonts w:eastAsia="SimSun"/>
          <w:b/>
          <w:bCs/>
          <w:rtl/>
          <w:lang w:eastAsia="zh-CN" w:bidi="ar-EG"/>
        </w:rPr>
        <w:t>–</w:t>
      </w:r>
      <w:r>
        <w:rPr>
          <w:rFonts w:eastAsia="SimSun" w:hint="cs"/>
          <w:b/>
          <w:bCs/>
          <w:rtl/>
          <w:lang w:eastAsia="zh-CN" w:bidi="ar-EG"/>
        </w:rPr>
        <w:t xml:space="preserve"> </w:t>
      </w:r>
      <w:r w:rsidRPr="004444C6">
        <w:rPr>
          <w:rFonts w:eastAsia="SimSun" w:hint="cs"/>
          <w:b/>
          <w:bCs/>
          <w:rtl/>
          <w:lang w:eastAsia="zh-CN" w:bidi="ar-EG"/>
        </w:rPr>
        <w:t>تطو</w:t>
      </w:r>
      <w:r>
        <w:rPr>
          <w:rFonts w:eastAsia="SimSun" w:hint="cs"/>
          <w:b/>
          <w:bCs/>
          <w:rtl/>
          <w:lang w:eastAsia="zh-CN" w:bidi="ar-EG"/>
        </w:rPr>
        <w:t xml:space="preserve">ر </w:t>
      </w:r>
      <w:r w:rsidRPr="004444C6">
        <w:rPr>
          <w:rFonts w:eastAsia="SimSun" w:hint="cs"/>
          <w:b/>
          <w:bCs/>
          <w:rtl/>
          <w:lang w:eastAsia="zh-CN" w:bidi="ar-EG"/>
        </w:rPr>
        <w:t>عدد توصيات الرقابة بحسب الأولوية</w:t>
      </w:r>
    </w:p>
    <w:p w:rsidR="004444C6" w:rsidRDefault="00D40A5B" w:rsidP="004444C6">
      <w:pPr>
        <w:pStyle w:val="NumberedParaAR"/>
        <w:numPr>
          <w:ilvl w:val="0"/>
          <w:numId w:val="0"/>
        </w:numPr>
        <w:spacing w:line="240" w:lineRule="auto"/>
        <w:jc w:val="center"/>
        <w:rPr>
          <w:rFonts w:eastAsia="SimSun"/>
          <w:rtl/>
          <w:lang w:eastAsia="zh-CN" w:bidi="ar-EG"/>
        </w:rPr>
      </w:pPr>
      <w:r>
        <w:rPr>
          <w:noProof/>
        </w:rPr>
        <w:drawing>
          <wp:inline distT="0" distB="0" distL="0" distR="0" wp14:anchorId="4BD8EF7F" wp14:editId="39FBF516">
            <wp:extent cx="5461187" cy="2708462"/>
            <wp:effectExtent l="0" t="0" r="25400" b="158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44C6" w:rsidRDefault="007B6290" w:rsidP="007B6290">
      <w:pPr>
        <w:pStyle w:val="NumberedParaAR"/>
        <w:rPr>
          <w:rFonts w:eastAsia="SimSun"/>
          <w:lang w:eastAsia="zh-CN" w:bidi="ar-EG"/>
        </w:rPr>
      </w:pPr>
      <w:r>
        <w:rPr>
          <w:rFonts w:eastAsia="SimSun" w:hint="cs"/>
          <w:rtl/>
          <w:lang w:eastAsia="zh-CN" w:bidi="ar-EG"/>
        </w:rPr>
        <w:t xml:space="preserve">وتجدر الإشارة إلى أن </w:t>
      </w:r>
      <w:r w:rsidR="004444C6">
        <w:rPr>
          <w:rFonts w:eastAsia="SimSun" w:hint="cs"/>
          <w:rtl/>
          <w:lang w:eastAsia="zh-CN" w:bidi="ar-EG"/>
        </w:rPr>
        <w:t>توصيت</w:t>
      </w:r>
      <w:r>
        <w:rPr>
          <w:rFonts w:eastAsia="SimSun" w:hint="cs"/>
          <w:rtl/>
          <w:lang w:eastAsia="zh-CN" w:bidi="ar-EG"/>
        </w:rPr>
        <w:t>ي</w:t>
      </w:r>
      <w:r w:rsidR="004444C6">
        <w:rPr>
          <w:rFonts w:eastAsia="SimSun" w:hint="cs"/>
          <w:rtl/>
          <w:lang w:eastAsia="zh-CN" w:bidi="ar-EG"/>
        </w:rPr>
        <w:t>ن عاليت</w:t>
      </w:r>
      <w:r>
        <w:rPr>
          <w:rFonts w:eastAsia="SimSun" w:hint="cs"/>
          <w:rtl/>
          <w:lang w:eastAsia="zh-CN" w:bidi="ar-EG"/>
        </w:rPr>
        <w:t>ي</w:t>
      </w:r>
      <w:r w:rsidR="004444C6">
        <w:rPr>
          <w:rFonts w:eastAsia="SimSun" w:hint="cs"/>
          <w:rtl/>
          <w:lang w:eastAsia="zh-CN" w:bidi="ar-EG"/>
        </w:rPr>
        <w:t xml:space="preserve"> الأولوية مفتوحتان </w:t>
      </w:r>
      <w:r>
        <w:rPr>
          <w:rFonts w:eastAsia="SimSun" w:hint="cs"/>
          <w:rtl/>
          <w:lang w:eastAsia="zh-CN" w:bidi="ar-EG"/>
        </w:rPr>
        <w:t xml:space="preserve">منذ عام 2011 و2013 على التوالي وأن </w:t>
      </w:r>
      <w:r w:rsidR="004444C6">
        <w:rPr>
          <w:rFonts w:eastAsia="SimSun" w:hint="cs"/>
          <w:rtl/>
          <w:lang w:eastAsia="zh-CN" w:bidi="ar-EG"/>
        </w:rPr>
        <w:t>15 توصية مفتوحة منذ عام 2014.</w:t>
      </w:r>
    </w:p>
    <w:p w:rsidR="004444C6" w:rsidRDefault="007B6290" w:rsidP="00CB7C12">
      <w:pPr>
        <w:pStyle w:val="NumberedParaAR"/>
        <w:keepNext/>
        <w:rPr>
          <w:rFonts w:eastAsia="SimSun"/>
          <w:lang w:eastAsia="zh-CN" w:bidi="ar-EG"/>
        </w:rPr>
      </w:pPr>
      <w:r>
        <w:rPr>
          <w:rFonts w:eastAsia="SimSun" w:hint="cs"/>
          <w:rtl/>
          <w:lang w:eastAsia="zh-CN" w:bidi="ar-EG"/>
        </w:rPr>
        <w:lastRenderedPageBreak/>
        <w:t>ويلي بيان عدد التوصيات بحسب برنامج الويبو</w:t>
      </w:r>
      <w:r w:rsidR="007E6663">
        <w:rPr>
          <w:rStyle w:val="FootnoteReference"/>
          <w:rFonts w:eastAsia="SimSun"/>
          <w:rtl/>
          <w:lang w:eastAsia="zh-CN" w:bidi="ar-EG"/>
        </w:rPr>
        <w:footnoteReference w:id="9"/>
      </w:r>
      <w:r>
        <w:rPr>
          <w:rFonts w:eastAsia="SimSun" w:hint="cs"/>
          <w:rtl/>
          <w:lang w:eastAsia="zh-CN" w:bidi="ar-EG"/>
        </w:rPr>
        <w:t xml:space="preserve"> والأولوية في 30 يونيو 2015 أدناه.</w:t>
      </w:r>
    </w:p>
    <w:p w:rsidR="007B6290" w:rsidRPr="007B6290" w:rsidRDefault="007B6290" w:rsidP="007B6290">
      <w:pPr>
        <w:pStyle w:val="NumberedParaAR"/>
        <w:keepNext/>
        <w:numPr>
          <w:ilvl w:val="0"/>
          <w:numId w:val="0"/>
        </w:numPr>
        <w:jc w:val="center"/>
        <w:rPr>
          <w:rFonts w:eastAsia="SimSun"/>
          <w:b/>
          <w:bCs/>
          <w:rtl/>
          <w:lang w:eastAsia="zh-CN" w:bidi="ar-EG"/>
        </w:rPr>
      </w:pPr>
      <w:r>
        <w:rPr>
          <w:rFonts w:eastAsia="SimSun" w:hint="cs"/>
          <w:b/>
          <w:bCs/>
          <w:rtl/>
          <w:lang w:eastAsia="zh-CN" w:bidi="ar-EG"/>
        </w:rPr>
        <w:t xml:space="preserve">الرسم البياني (5) </w:t>
      </w:r>
      <w:r>
        <w:rPr>
          <w:rFonts w:eastAsia="SimSun"/>
          <w:b/>
          <w:bCs/>
          <w:rtl/>
          <w:lang w:eastAsia="zh-CN" w:bidi="ar-EG"/>
        </w:rPr>
        <w:t>–</w:t>
      </w:r>
      <w:r>
        <w:rPr>
          <w:rFonts w:eastAsia="SimSun" w:hint="cs"/>
          <w:b/>
          <w:bCs/>
          <w:rtl/>
          <w:lang w:eastAsia="zh-CN" w:bidi="ar-EG"/>
        </w:rPr>
        <w:t xml:space="preserve"> التوصيات بحسب البرنامج والأولوية</w:t>
      </w:r>
    </w:p>
    <w:p w:rsidR="007B6290" w:rsidRDefault="00D40A5B" w:rsidP="00D40A5B">
      <w:pPr>
        <w:pStyle w:val="NumberedParaAR"/>
        <w:numPr>
          <w:ilvl w:val="0"/>
          <w:numId w:val="0"/>
        </w:numPr>
        <w:spacing w:line="240" w:lineRule="auto"/>
        <w:jc w:val="center"/>
        <w:rPr>
          <w:rFonts w:eastAsia="SimSun"/>
          <w:rtl/>
          <w:lang w:eastAsia="zh-CN" w:bidi="ar-EG"/>
        </w:rPr>
      </w:pPr>
      <w:r>
        <w:rPr>
          <w:noProof/>
        </w:rPr>
        <w:drawing>
          <wp:inline distT="0" distB="0" distL="0" distR="0" wp14:anchorId="4FFDBF7A" wp14:editId="0B5DA983">
            <wp:extent cx="5940425" cy="3817130"/>
            <wp:effectExtent l="0" t="0" r="22225"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6290" w:rsidRDefault="007E6663" w:rsidP="008D2A40">
      <w:pPr>
        <w:pStyle w:val="NumberedParaAR"/>
        <w:rPr>
          <w:rFonts w:eastAsia="SimSun"/>
          <w:lang w:eastAsia="zh-CN" w:bidi="ar-EG"/>
        </w:rPr>
      </w:pPr>
      <w:r>
        <w:rPr>
          <w:rFonts w:eastAsia="SimSun" w:hint="cs"/>
          <w:rtl/>
          <w:lang w:eastAsia="zh-CN" w:bidi="ar-EG"/>
        </w:rPr>
        <w:t>وتمثل خمسة برامج 67 بالمئة من التوصيات العالية الأولوية البالغ عددها 119 توصية، ويوجَّه العدد الأكبر من التوصيات إلى إدارة البرامج والموارد (البرنامج 22).</w:t>
      </w:r>
    </w:p>
    <w:p w:rsidR="007E6663" w:rsidRDefault="007E6663" w:rsidP="001D42DA">
      <w:pPr>
        <w:pStyle w:val="NumberedParaAR"/>
        <w:keepNext/>
        <w:rPr>
          <w:rFonts w:eastAsia="SimSun"/>
          <w:lang w:eastAsia="zh-CN" w:bidi="ar-EG"/>
        </w:rPr>
      </w:pPr>
      <w:r>
        <w:rPr>
          <w:rFonts w:eastAsia="SimSun" w:hint="cs"/>
          <w:rtl/>
          <w:lang w:eastAsia="zh-CN" w:bidi="ar-EG"/>
        </w:rPr>
        <w:lastRenderedPageBreak/>
        <w:t>ويلي بيان نسب التوصيات المفتوحة حسب المصدر في 30 يونيو 2015.</w:t>
      </w:r>
    </w:p>
    <w:p w:rsidR="007E6663" w:rsidRPr="007E6663" w:rsidRDefault="007E6663" w:rsidP="007E6663">
      <w:pPr>
        <w:pStyle w:val="NumberedParaAR"/>
        <w:keepNext/>
        <w:numPr>
          <w:ilvl w:val="0"/>
          <w:numId w:val="0"/>
        </w:numPr>
        <w:jc w:val="center"/>
        <w:rPr>
          <w:rFonts w:eastAsia="SimSun"/>
          <w:b/>
          <w:bCs/>
          <w:lang w:eastAsia="zh-CN" w:bidi="ar-EG"/>
        </w:rPr>
      </w:pPr>
      <w:r>
        <w:rPr>
          <w:rFonts w:eastAsia="SimSun" w:hint="cs"/>
          <w:b/>
          <w:bCs/>
          <w:rtl/>
          <w:lang w:eastAsia="zh-CN" w:bidi="ar-EG"/>
        </w:rPr>
        <w:t xml:space="preserve">الشكل البياني (6) </w:t>
      </w:r>
      <w:r>
        <w:rPr>
          <w:rFonts w:eastAsia="SimSun"/>
          <w:b/>
          <w:bCs/>
          <w:rtl/>
          <w:lang w:eastAsia="zh-CN" w:bidi="ar-EG"/>
        </w:rPr>
        <w:t>–</w:t>
      </w:r>
      <w:r>
        <w:rPr>
          <w:rFonts w:eastAsia="SimSun" w:hint="cs"/>
          <w:b/>
          <w:bCs/>
          <w:rtl/>
          <w:lang w:eastAsia="zh-CN" w:bidi="ar-EG"/>
        </w:rPr>
        <w:t xml:space="preserve"> توصيات الرقابة بحسب المصدر</w:t>
      </w:r>
    </w:p>
    <w:p w:rsidR="007B6290" w:rsidRPr="007E6663" w:rsidRDefault="00D40A5B" w:rsidP="00D40A5B">
      <w:pPr>
        <w:pStyle w:val="NumberedParaAR"/>
        <w:numPr>
          <w:ilvl w:val="0"/>
          <w:numId w:val="0"/>
        </w:numPr>
        <w:spacing w:line="240" w:lineRule="auto"/>
        <w:jc w:val="center"/>
        <w:rPr>
          <w:rFonts w:eastAsia="SimSun"/>
          <w:lang w:eastAsia="zh-CN" w:bidi="ar-EG"/>
        </w:rPr>
      </w:pPr>
      <w:r>
        <w:rPr>
          <w:noProof/>
        </w:rPr>
        <w:drawing>
          <wp:inline distT="0" distB="0" distL="0" distR="0" wp14:anchorId="176F15DF" wp14:editId="6A76C8C4">
            <wp:extent cx="5866039" cy="2960914"/>
            <wp:effectExtent l="0" t="0" r="20955"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B6290" w:rsidRDefault="00F411DB" w:rsidP="00F411DB">
      <w:pPr>
        <w:pStyle w:val="NumberedParaAR"/>
        <w:rPr>
          <w:rFonts w:eastAsia="SimSun"/>
          <w:lang w:eastAsia="zh-CN" w:bidi="ar-EG"/>
        </w:rPr>
      </w:pPr>
      <w:r>
        <w:rPr>
          <w:rFonts w:eastAsia="SimSun" w:hint="cs"/>
          <w:rtl/>
          <w:lang w:eastAsia="zh-CN" w:bidi="ar-EG"/>
        </w:rPr>
        <w:t>ويمثل ذلك انخفاضاً في عدد التوصيات الصادرة عن شعبة الرقابة الداخلية (73 بالمئة مقارنة بنسبة 83 بالمئة في 2014) بينما ازداد عدد التوصيات الصادرة عن المدققين الخارجيين (27 بالمئة مقارنة بنسبة 17 بالمئة في 2014).</w:t>
      </w:r>
    </w:p>
    <w:p w:rsidR="00F411DB" w:rsidRPr="007646DF" w:rsidRDefault="00F411DB" w:rsidP="00F411DB">
      <w:pPr>
        <w:pStyle w:val="NumberedParaAR"/>
        <w:keepNext/>
        <w:numPr>
          <w:ilvl w:val="0"/>
          <w:numId w:val="0"/>
        </w:numPr>
        <w:rPr>
          <w:rFonts w:eastAsia="SimSun"/>
          <w:b/>
          <w:bCs/>
          <w:sz w:val="40"/>
          <w:szCs w:val="40"/>
          <w:rtl/>
          <w:lang w:eastAsia="zh-CN" w:bidi="ar-EG"/>
        </w:rPr>
      </w:pPr>
      <w:bookmarkStart w:id="19" w:name="extassess"/>
      <w:r w:rsidRPr="007646DF">
        <w:rPr>
          <w:rFonts w:eastAsia="SimSun" w:hint="cs"/>
          <w:b/>
          <w:bCs/>
          <w:sz w:val="40"/>
          <w:szCs w:val="40"/>
          <w:rtl/>
          <w:lang w:eastAsia="zh-CN" w:bidi="ar-EG"/>
        </w:rPr>
        <w:t>التقييم الخارجي لعمل شعبة الرقابة الداخلية</w:t>
      </w:r>
    </w:p>
    <w:bookmarkEnd w:id="19"/>
    <w:p w:rsidR="00F411DB" w:rsidRDefault="007646DF" w:rsidP="007646DF">
      <w:pPr>
        <w:pStyle w:val="NumberedParaAR"/>
        <w:rPr>
          <w:rFonts w:eastAsia="SimSun"/>
          <w:lang w:eastAsia="zh-CN" w:bidi="ar-EG"/>
        </w:rPr>
      </w:pPr>
      <w:r>
        <w:rPr>
          <w:rFonts w:eastAsia="SimSun" w:hint="cs"/>
          <w:rtl/>
          <w:lang w:eastAsia="zh-CN" w:bidi="ar-EG"/>
        </w:rPr>
        <w:t>في العام الماضي، قدمت شعبة الرقابة الداخلية تقريراً عن تقييمات الجودة الخارجية لعمليات التدقيق الداخلية ومهام التقييم. وفي تاريخ إعداد هذا التقرير، نُفذت التوصيات الإحدى عشرة المتعلقة بمهام التدقيق الداخلي وستعالج التوصيات العالقة (13) الصادرة عن تقييم الجودة الخارجي لمهام التقييم من خلال سياسة التقييم المراجَعة. وبدأت الشعبة في تخطيط تقييم جودة خارجي لمهام التحقيق يُعتزم استكماله قبل نهاية العام.</w:t>
      </w:r>
    </w:p>
    <w:p w:rsidR="007646DF" w:rsidRPr="007646DF" w:rsidRDefault="007646DF" w:rsidP="007646DF">
      <w:pPr>
        <w:pStyle w:val="NumberedParaAR"/>
        <w:keepNext/>
        <w:numPr>
          <w:ilvl w:val="0"/>
          <w:numId w:val="0"/>
        </w:numPr>
        <w:rPr>
          <w:rFonts w:eastAsia="SimSun"/>
          <w:b/>
          <w:bCs/>
          <w:sz w:val="40"/>
          <w:szCs w:val="40"/>
          <w:rtl/>
          <w:lang w:eastAsia="zh-CN" w:bidi="ar-EG"/>
        </w:rPr>
      </w:pPr>
      <w:bookmarkStart w:id="20" w:name="consultwork"/>
      <w:r w:rsidRPr="007646DF">
        <w:rPr>
          <w:rFonts w:eastAsia="SimSun" w:hint="cs"/>
          <w:b/>
          <w:bCs/>
          <w:sz w:val="40"/>
          <w:szCs w:val="40"/>
          <w:rtl/>
          <w:lang w:eastAsia="zh-CN" w:bidi="ar-EG"/>
        </w:rPr>
        <w:t>العمل الاستشاري والرقابي الاستشاري</w:t>
      </w:r>
    </w:p>
    <w:bookmarkEnd w:id="20"/>
    <w:p w:rsidR="007646DF" w:rsidRDefault="007646DF" w:rsidP="007646DF">
      <w:pPr>
        <w:pStyle w:val="NumberedParaAR"/>
        <w:rPr>
          <w:rFonts w:eastAsia="SimSun"/>
          <w:lang w:eastAsia="zh-CN" w:bidi="ar-EG"/>
        </w:rPr>
      </w:pPr>
      <w:r w:rsidRPr="007646DF">
        <w:rPr>
          <w:rFonts w:eastAsia="SimSun" w:hint="cs"/>
          <w:rtl/>
          <w:lang w:eastAsia="zh-CN" w:bidi="ar-EG"/>
        </w:rPr>
        <w:t>إضافة إلى العمل الرقابي المزمع، استمرت الشعبة في إسداء المشورة المهنية بشأن السياسات والإجراءات المؤسسية وإدارة المخاطر والضوابط الداخلية</w:t>
      </w:r>
      <w:r>
        <w:rPr>
          <w:rFonts w:eastAsia="SimSun" w:hint="cs"/>
          <w:rtl/>
          <w:lang w:eastAsia="zh-CN" w:bidi="ar-EG"/>
        </w:rPr>
        <w:t>. وتحضر الشعبة جلسات لجنة استثمار الويبو بصفة مراقب وتشارك أيضاً في حلقات إدارة المخاطر التي ينظمها مكتب المراقب المالي. وترد قائمة السياسات والإجراءات التي أسدت الشعبة مشورة بشأنها في مرفق هذا التقرير (المرفق الثالث).</w:t>
      </w:r>
    </w:p>
    <w:p w:rsidR="007646DF" w:rsidRPr="007646DF" w:rsidRDefault="007646DF" w:rsidP="007646DF">
      <w:pPr>
        <w:pStyle w:val="NumberedParaAR"/>
        <w:keepNext/>
        <w:numPr>
          <w:ilvl w:val="0"/>
          <w:numId w:val="0"/>
        </w:numPr>
        <w:rPr>
          <w:rFonts w:eastAsia="SimSun"/>
          <w:b/>
          <w:bCs/>
          <w:sz w:val="40"/>
          <w:szCs w:val="40"/>
          <w:lang w:eastAsia="zh-CN" w:bidi="ar-EG"/>
        </w:rPr>
      </w:pPr>
      <w:bookmarkStart w:id="21" w:name="cooperationexternal"/>
      <w:r w:rsidRPr="007646DF">
        <w:rPr>
          <w:rFonts w:eastAsia="SimSun" w:hint="cs"/>
          <w:b/>
          <w:bCs/>
          <w:sz w:val="40"/>
          <w:szCs w:val="40"/>
          <w:rtl/>
          <w:lang w:eastAsia="zh-CN" w:bidi="ar-EG"/>
        </w:rPr>
        <w:t>التعاون مع هيئات الرقابة الخارجية</w:t>
      </w:r>
    </w:p>
    <w:bookmarkEnd w:id="21"/>
    <w:p w:rsidR="007646DF" w:rsidRPr="00632A79" w:rsidRDefault="007646DF" w:rsidP="001D42DA">
      <w:pPr>
        <w:pStyle w:val="Heading2AR"/>
        <w:rPr>
          <w:rFonts w:eastAsia="SimSun"/>
          <w:rtl/>
          <w:lang w:eastAsia="zh-CN" w:bidi="ar-EG"/>
        </w:rPr>
      </w:pPr>
      <w:r w:rsidRPr="00632A79">
        <w:rPr>
          <w:rtl/>
          <w:lang w:bidi="ar-EG"/>
        </w:rPr>
        <w:t>اللجنة الاستشارية المستقلة للرقابة</w:t>
      </w:r>
    </w:p>
    <w:p w:rsidR="007646DF" w:rsidRDefault="007646DF" w:rsidP="007646DF">
      <w:pPr>
        <w:pStyle w:val="NumberedParaAR"/>
        <w:rPr>
          <w:rFonts w:eastAsia="SimSun"/>
          <w:lang w:eastAsia="zh-CN" w:bidi="ar-EG"/>
        </w:rPr>
      </w:pPr>
      <w:r>
        <w:rPr>
          <w:rFonts w:eastAsia="SimSun" w:hint="cs"/>
          <w:rtl/>
          <w:lang w:eastAsia="zh-CN" w:bidi="ar-EG"/>
        </w:rPr>
        <w:t>تدعو اللجنة الاستشارية المستقلة للرقابة بانتظام شعبة الرقابة الداخلية إلى حضور اجتماعاتها الفصلية بغية الرد على أسئلة مفصلة عن عمل الشعبة وسير شؤونها. وشهدت الفترة المشمولة بهذا التقرير انعقاد الجلسات 34 إلى 37 من اللجنة الاستشارية المستقلة للرقابة.</w:t>
      </w:r>
    </w:p>
    <w:p w:rsidR="007646DF" w:rsidRDefault="007646DF" w:rsidP="007646DF">
      <w:pPr>
        <w:pStyle w:val="NumberedParaAR"/>
        <w:rPr>
          <w:rFonts w:eastAsia="SimSun"/>
          <w:lang w:eastAsia="zh-CN" w:bidi="ar-EG"/>
        </w:rPr>
      </w:pPr>
      <w:r>
        <w:rPr>
          <w:rFonts w:eastAsia="SimSun" w:hint="cs"/>
          <w:rtl/>
          <w:lang w:eastAsia="zh-CN" w:bidi="ar-EG"/>
        </w:rPr>
        <w:lastRenderedPageBreak/>
        <w:t>واستفادت الشعبة من نصائح وإرشادات اللجنة الاستشارية المستقلة للرقابة على النحو الوارد في التقارير اللاحقة.</w:t>
      </w:r>
      <w:r>
        <w:rPr>
          <w:rStyle w:val="FootnoteReference"/>
          <w:rFonts w:eastAsia="SimSun"/>
          <w:rtl/>
          <w:lang w:eastAsia="zh-CN" w:bidi="ar-EG"/>
        </w:rPr>
        <w:footnoteReference w:id="10"/>
      </w:r>
    </w:p>
    <w:p w:rsidR="007646DF" w:rsidRPr="00632A79" w:rsidRDefault="00D40A5B" w:rsidP="001D42DA">
      <w:pPr>
        <w:pStyle w:val="Heading2AR"/>
        <w:rPr>
          <w:rFonts w:eastAsia="SimSun"/>
          <w:rtl/>
          <w:lang w:eastAsia="zh-CN" w:bidi="ar-EG"/>
        </w:rPr>
      </w:pPr>
      <w:r>
        <w:rPr>
          <w:rFonts w:eastAsia="SimSun" w:hint="cs"/>
          <w:rtl/>
          <w:lang w:eastAsia="zh-CN" w:bidi="ar-EG"/>
        </w:rPr>
        <w:t>المدقق الخارجي</w:t>
      </w:r>
    </w:p>
    <w:p w:rsidR="00360D2A" w:rsidRDefault="00360D2A" w:rsidP="00D40A5B">
      <w:pPr>
        <w:pStyle w:val="NumberedParaAR"/>
        <w:rPr>
          <w:rFonts w:eastAsia="SimSun"/>
          <w:lang w:eastAsia="zh-CN" w:bidi="ar-EG"/>
        </w:rPr>
      </w:pPr>
      <w:r>
        <w:rPr>
          <w:rFonts w:eastAsia="SimSun" w:hint="cs"/>
          <w:rtl/>
          <w:lang w:eastAsia="zh-CN" w:bidi="ar-EG"/>
        </w:rPr>
        <w:t xml:space="preserve">تحافظ شعبة الرقابة الداخلية على علاقة عمل ممتازة مع </w:t>
      </w:r>
      <w:r w:rsidR="00D40A5B">
        <w:rPr>
          <w:rFonts w:eastAsia="SimSun" w:hint="cs"/>
          <w:rtl/>
          <w:lang w:eastAsia="zh-CN" w:bidi="ar-EG"/>
        </w:rPr>
        <w:t>المدقق</w:t>
      </w:r>
      <w:r>
        <w:rPr>
          <w:rFonts w:eastAsia="SimSun" w:hint="cs"/>
          <w:rtl/>
          <w:lang w:eastAsia="zh-CN" w:bidi="ar-EG"/>
        </w:rPr>
        <w:t xml:space="preserve"> الخارجي من خلال عقد اجتماعات منتظمة عن قضايا التدقيق والضوابط الداخلية وإدارة المخاطر. وتبادل </w:t>
      </w:r>
      <w:r w:rsidR="00D40A5B">
        <w:rPr>
          <w:rFonts w:eastAsia="SimSun" w:hint="cs"/>
          <w:rtl/>
          <w:lang w:eastAsia="zh-CN" w:bidi="ar-EG"/>
        </w:rPr>
        <w:t>المدقق الخارجي</w:t>
      </w:r>
      <w:r>
        <w:rPr>
          <w:rFonts w:eastAsia="SimSun" w:hint="cs"/>
          <w:rtl/>
          <w:lang w:eastAsia="zh-CN" w:bidi="ar-EG"/>
        </w:rPr>
        <w:t xml:space="preserve"> والشعبة استراتيجيات وخطط سنوية وتقارير فردية بغية ضمان فعالية التغطية الرقابية مع تفادي أي ازدواجية محتملة أو عبء رقابي مفرط.</w:t>
      </w:r>
    </w:p>
    <w:p w:rsidR="00360D2A" w:rsidRPr="003F1844" w:rsidRDefault="00360D2A" w:rsidP="00360D2A">
      <w:pPr>
        <w:pStyle w:val="NumberedParaAR"/>
        <w:keepNext/>
        <w:numPr>
          <w:ilvl w:val="0"/>
          <w:numId w:val="0"/>
        </w:numPr>
        <w:rPr>
          <w:rFonts w:eastAsia="SimSun"/>
          <w:b/>
          <w:bCs/>
          <w:sz w:val="40"/>
          <w:szCs w:val="40"/>
          <w:lang w:eastAsia="zh-CN" w:bidi="ar-EG"/>
        </w:rPr>
      </w:pPr>
      <w:bookmarkStart w:id="22" w:name="cooperationombuds"/>
      <w:r w:rsidRPr="003F1844">
        <w:rPr>
          <w:rFonts w:eastAsia="SimSun" w:hint="cs"/>
          <w:b/>
          <w:bCs/>
          <w:sz w:val="40"/>
          <w:szCs w:val="40"/>
          <w:rtl/>
          <w:lang w:eastAsia="zh-CN" w:bidi="ar-EG"/>
        </w:rPr>
        <w:t>التعاون مع أمين المظالم ومكتب الأخلاقيات</w:t>
      </w:r>
    </w:p>
    <w:bookmarkEnd w:id="22"/>
    <w:p w:rsidR="00360D2A" w:rsidRDefault="00360D2A" w:rsidP="00360D2A">
      <w:pPr>
        <w:pStyle w:val="NumberedParaAR"/>
        <w:rPr>
          <w:rFonts w:eastAsia="SimSun"/>
          <w:lang w:eastAsia="zh-CN" w:bidi="ar-EG"/>
        </w:rPr>
      </w:pPr>
      <w:r>
        <w:rPr>
          <w:rFonts w:eastAsia="SimSun" w:hint="cs"/>
          <w:rtl/>
          <w:lang w:eastAsia="zh-CN" w:bidi="ar-EG"/>
        </w:rPr>
        <w:t>خلال الفترة المشمولة بالتقرير، اجتمع مدير الشعبة بانتظام مع أمين المظالم ومكتب الأخلاقيات، تلبية لطلبات اللجنة الاستشارية المستقلة للرقابة، لضمان التنسيق الجيد وتفادي أي ازدواجية غير ضرورية في الأنشطة.</w:t>
      </w:r>
    </w:p>
    <w:p w:rsidR="00360D2A" w:rsidRPr="00632A79" w:rsidRDefault="00360D2A" w:rsidP="00360D2A">
      <w:pPr>
        <w:pStyle w:val="NumberedParaAR"/>
        <w:keepNext/>
        <w:numPr>
          <w:ilvl w:val="0"/>
          <w:numId w:val="0"/>
        </w:numPr>
        <w:rPr>
          <w:rFonts w:eastAsia="SimSun"/>
          <w:b/>
          <w:bCs/>
          <w:sz w:val="40"/>
          <w:szCs w:val="40"/>
          <w:rtl/>
          <w:lang w:eastAsia="zh-CN" w:bidi="ar-EG"/>
        </w:rPr>
      </w:pPr>
      <w:r w:rsidRPr="00632A79">
        <w:rPr>
          <w:rFonts w:eastAsia="SimSun" w:hint="cs"/>
          <w:b/>
          <w:bCs/>
          <w:sz w:val="40"/>
          <w:szCs w:val="40"/>
          <w:rtl/>
          <w:lang w:eastAsia="zh-CN" w:bidi="ar-EG"/>
        </w:rPr>
        <w:t>أنشطة الرقابة الأخرى</w:t>
      </w:r>
    </w:p>
    <w:p w:rsidR="00360D2A" w:rsidRPr="00632A79" w:rsidRDefault="00360D2A" w:rsidP="001D42DA">
      <w:pPr>
        <w:pStyle w:val="Heading2AR"/>
        <w:rPr>
          <w:rFonts w:eastAsia="SimSun"/>
          <w:rtl/>
          <w:lang w:eastAsia="zh-CN" w:bidi="ar-EG"/>
        </w:rPr>
      </w:pPr>
      <w:r w:rsidRPr="00632A79">
        <w:rPr>
          <w:rFonts w:eastAsia="SimSun" w:hint="cs"/>
          <w:rtl/>
          <w:lang w:eastAsia="zh-CN" w:bidi="ar-EG"/>
        </w:rPr>
        <w:t>أنشطة التواصل في المنظمة</w:t>
      </w:r>
    </w:p>
    <w:p w:rsidR="00360D2A" w:rsidRDefault="00360D2A" w:rsidP="00F411DB">
      <w:pPr>
        <w:pStyle w:val="NumberedParaAR"/>
        <w:rPr>
          <w:rFonts w:eastAsia="SimSun"/>
          <w:lang w:eastAsia="zh-CN" w:bidi="ar-EG"/>
        </w:rPr>
      </w:pPr>
      <w:r>
        <w:rPr>
          <w:rFonts w:eastAsia="SimSun" w:hint="cs"/>
          <w:rtl/>
          <w:lang w:eastAsia="zh-CN" w:bidi="ar-EG"/>
        </w:rPr>
        <w:t>تبذل الشعبة جهوداً مستمرة لتوضيح عملها والدفاع عنها، فاستهلت عدة مبادرات كجزء من هذه الجهود بغية مواصلة التواصل مع الزملاء داخل الويبو من خلال مشاركة الموظفين الجدد في التدريبات التمهيدية</w:t>
      </w:r>
      <w:r w:rsidR="00060F1F">
        <w:rPr>
          <w:rFonts w:eastAsia="SimSun" w:hint="cs"/>
          <w:rtl/>
          <w:lang w:eastAsia="zh-CN" w:bidi="ar-EG"/>
        </w:rPr>
        <w:t>، وإصدار النشرة الإخبارية للشعبة، وتقديم عروض للمدير وكبار الإداريين عند الاقتضاء.</w:t>
      </w:r>
    </w:p>
    <w:p w:rsidR="00060F1F" w:rsidRPr="00632A79" w:rsidRDefault="00060F1F" w:rsidP="001D42DA">
      <w:pPr>
        <w:pStyle w:val="Heading2AR"/>
        <w:rPr>
          <w:rFonts w:eastAsia="SimSun"/>
          <w:rtl/>
          <w:lang w:eastAsia="zh-CN" w:bidi="ar-EG"/>
        </w:rPr>
      </w:pPr>
      <w:r w:rsidRPr="00632A79">
        <w:rPr>
          <w:rFonts w:eastAsia="SimSun" w:hint="cs"/>
          <w:rtl/>
          <w:lang w:eastAsia="zh-CN" w:bidi="ar-EG"/>
        </w:rPr>
        <w:t>استقصاء الرضا</w:t>
      </w:r>
    </w:p>
    <w:p w:rsidR="00060F1F" w:rsidRDefault="00060F1F" w:rsidP="00060F1F">
      <w:pPr>
        <w:pStyle w:val="NumberedParaAR"/>
        <w:rPr>
          <w:rFonts w:eastAsia="SimSun"/>
          <w:lang w:eastAsia="zh-CN" w:bidi="ar-EG"/>
        </w:rPr>
      </w:pPr>
      <w:r>
        <w:rPr>
          <w:rFonts w:eastAsia="SimSun" w:hint="cs"/>
          <w:rtl/>
          <w:lang w:eastAsia="zh-CN" w:bidi="ar-EG"/>
        </w:rPr>
        <w:t xml:space="preserve">واصلت الشعبة ممارسة استقصاء رضا العملاء بعد كل مهمة لها لتحسين إلمامها بتوقعات الزملاء والحصول على آرائهم في العمل الرقابي. ووردت أربعة </w:t>
      </w:r>
      <w:proofErr w:type="spellStart"/>
      <w:r>
        <w:rPr>
          <w:rFonts w:eastAsia="SimSun" w:hint="cs"/>
          <w:rtl/>
          <w:lang w:eastAsia="zh-CN" w:bidi="ar-EG"/>
        </w:rPr>
        <w:t>استقصاءات</w:t>
      </w:r>
      <w:proofErr w:type="spellEnd"/>
      <w:r>
        <w:rPr>
          <w:rFonts w:eastAsia="SimSun" w:hint="cs"/>
          <w:rtl/>
          <w:lang w:eastAsia="zh-CN" w:bidi="ar-EG"/>
        </w:rPr>
        <w:t xml:space="preserve"> خلال الفترة المشمولة بالتقرير.</w:t>
      </w:r>
    </w:p>
    <w:p w:rsidR="00060F1F" w:rsidRDefault="00060F1F" w:rsidP="00060F1F">
      <w:pPr>
        <w:pStyle w:val="NumberedParaAR"/>
        <w:rPr>
          <w:rFonts w:eastAsia="SimSun"/>
          <w:lang w:eastAsia="zh-CN" w:bidi="ar-EG"/>
        </w:rPr>
      </w:pPr>
      <w:r>
        <w:rPr>
          <w:rFonts w:eastAsia="SimSun" w:hint="cs"/>
          <w:rtl/>
          <w:lang w:eastAsia="zh-CN" w:bidi="ar-EG"/>
        </w:rPr>
        <w:t>ظل معدل الرضا العام مستقراً عند نسبة 83 بالمئة. وعلى الرغم من أن المشاركين في الاستقصاء رأوا أن "المجالات المختارة للتدقيق/للتقييم هامة بالنسبة إلى البرنامج/الوحدة/المشروع" (93 بالمئة)، فقد اعتبروا أن الشعبة لم تراع اقتراحاتهم الخاصة بمجالات التدقيق/التقييم مراعاة تامة (73 بالمئة).</w:t>
      </w:r>
    </w:p>
    <w:p w:rsidR="00060F1F" w:rsidRDefault="00060F1F" w:rsidP="00060F1F">
      <w:pPr>
        <w:pStyle w:val="NumberedParaAR"/>
        <w:rPr>
          <w:rFonts w:eastAsia="SimSun"/>
          <w:lang w:eastAsia="zh-CN" w:bidi="ar-EG"/>
        </w:rPr>
      </w:pPr>
      <w:r>
        <w:rPr>
          <w:rFonts w:eastAsia="SimSun" w:hint="cs"/>
          <w:rtl/>
          <w:lang w:eastAsia="zh-CN" w:bidi="ar-EG"/>
        </w:rPr>
        <w:t xml:space="preserve">وإن نتائج </w:t>
      </w:r>
      <w:proofErr w:type="spellStart"/>
      <w:r>
        <w:rPr>
          <w:rFonts w:eastAsia="SimSun" w:hint="cs"/>
          <w:rtl/>
          <w:lang w:eastAsia="zh-CN" w:bidi="ar-EG"/>
        </w:rPr>
        <w:t>الاستقصاءات</w:t>
      </w:r>
      <w:proofErr w:type="spellEnd"/>
      <w:r>
        <w:rPr>
          <w:rFonts w:eastAsia="SimSun" w:hint="cs"/>
          <w:rtl/>
          <w:lang w:eastAsia="zh-CN" w:bidi="ar-EG"/>
        </w:rPr>
        <w:t xml:space="preserve"> (6) التي أجريت بعد سنة من تنفيذ المهام والمستخدمة لقياس الأثر المتوسط الأجل للعمل الرقابي، أشارت إلى أن الفائدة الكلية للتدقيق/للتقييم بعد سنة قُدرت بنسبة 64 بالمئة وأن أعلى نسبة كانت 70 بالمئة</w:t>
      </w:r>
      <w:r w:rsidR="0084534C">
        <w:rPr>
          <w:rFonts w:eastAsia="SimSun" w:hint="cs"/>
          <w:rtl/>
          <w:lang w:eastAsia="zh-CN" w:bidi="ar-EG"/>
        </w:rPr>
        <w:t xml:space="preserve"> بُلغت في "جدوى التوصيات"؛ وأن أقل نسبة وهي 45 بالمئة تخص "مساعدة التدقيق/التقييم في عمليات اتخاذ القرارات".</w:t>
      </w:r>
    </w:p>
    <w:p w:rsidR="0084534C" w:rsidRDefault="0084534C" w:rsidP="00060F1F">
      <w:pPr>
        <w:pStyle w:val="NumberedParaAR"/>
        <w:rPr>
          <w:rFonts w:eastAsia="SimSun"/>
          <w:lang w:eastAsia="zh-CN" w:bidi="ar-EG"/>
        </w:rPr>
      </w:pPr>
      <w:r>
        <w:rPr>
          <w:rFonts w:eastAsia="SimSun" w:hint="cs"/>
          <w:rtl/>
          <w:lang w:eastAsia="zh-CN" w:bidi="ar-EG"/>
        </w:rPr>
        <w:t xml:space="preserve">وساعدت التعليقات الإضافية التي أرسلتها الوحدات التي خضعت للتدقيق/التقييم من خلال </w:t>
      </w:r>
      <w:proofErr w:type="spellStart"/>
      <w:r>
        <w:rPr>
          <w:rFonts w:eastAsia="SimSun" w:hint="cs"/>
          <w:rtl/>
          <w:lang w:eastAsia="zh-CN" w:bidi="ar-EG"/>
        </w:rPr>
        <w:t>الاستقصاءات</w:t>
      </w:r>
      <w:proofErr w:type="spellEnd"/>
      <w:r>
        <w:rPr>
          <w:rFonts w:eastAsia="SimSun" w:hint="cs"/>
          <w:rtl/>
          <w:lang w:eastAsia="zh-CN" w:bidi="ar-EG"/>
        </w:rPr>
        <w:t xml:space="preserve"> شعبة الرقابة الداخلية على تحديد أوجه القصور والعمل على اتخاذ إجراءات تصحيحية</w:t>
      </w:r>
    </w:p>
    <w:p w:rsidR="001D42DA" w:rsidRDefault="001D42DA">
      <w:pPr>
        <w:rPr>
          <w:rFonts w:ascii="Arabic Typesetting" w:eastAsia="SimSun" w:hAnsi="Arabic Typesetting" w:cs="Arabic Typesetting"/>
          <w:sz w:val="40"/>
          <w:szCs w:val="40"/>
          <w:rtl/>
          <w:lang w:eastAsia="zh-CN" w:bidi="ar-EG"/>
        </w:rPr>
      </w:pPr>
      <w:r>
        <w:rPr>
          <w:rFonts w:eastAsia="SimSun"/>
          <w:rtl/>
          <w:lang w:eastAsia="zh-CN" w:bidi="ar-EG"/>
        </w:rPr>
        <w:br w:type="page"/>
      </w:r>
    </w:p>
    <w:p w:rsidR="00F411DB" w:rsidRPr="00632A79" w:rsidRDefault="00F411DB" w:rsidP="001D42DA">
      <w:pPr>
        <w:pStyle w:val="Heading2AR"/>
        <w:rPr>
          <w:rFonts w:eastAsia="SimSun"/>
          <w:rtl/>
          <w:lang w:eastAsia="zh-CN" w:bidi="ar-EG"/>
        </w:rPr>
      </w:pPr>
      <w:r w:rsidRPr="00632A79">
        <w:rPr>
          <w:rFonts w:eastAsia="SimSun"/>
          <w:rtl/>
          <w:lang w:eastAsia="zh-CN" w:bidi="ar-EG"/>
        </w:rPr>
        <w:lastRenderedPageBreak/>
        <w:t>التواصل مع مهام رقابية أخرى</w:t>
      </w:r>
    </w:p>
    <w:p w:rsidR="00C32384" w:rsidRDefault="00C32384" w:rsidP="008D2A40">
      <w:pPr>
        <w:pStyle w:val="NumberedParaAR"/>
        <w:rPr>
          <w:rFonts w:eastAsia="SimSun"/>
          <w:lang w:eastAsia="zh-CN" w:bidi="ar-EG"/>
        </w:rPr>
      </w:pPr>
      <w:r>
        <w:rPr>
          <w:rFonts w:eastAsia="SimSun" w:hint="cs"/>
          <w:rtl/>
          <w:lang w:eastAsia="zh-CN" w:bidi="ar-EG"/>
        </w:rPr>
        <w:t>يشمل ميثاق الرقابة الداخلية أحكاماً محددة</w:t>
      </w:r>
      <w:r>
        <w:rPr>
          <w:rStyle w:val="FootnoteReference"/>
          <w:rFonts w:eastAsia="SimSun"/>
          <w:rtl/>
          <w:lang w:eastAsia="zh-CN" w:bidi="ar-EG"/>
        </w:rPr>
        <w:footnoteReference w:id="11"/>
      </w:r>
      <w:r>
        <w:rPr>
          <w:rFonts w:eastAsia="SimSun" w:hint="cs"/>
          <w:rtl/>
          <w:lang w:eastAsia="zh-CN" w:bidi="ar-EG"/>
        </w:rPr>
        <w:t xml:space="preserve"> عن المشاركة في مختلف الشبكات الرسمية للأمم المتحدة المعنية بمهام الرقابة. وتقر شعبة الرقابة الداخلية بقيمة وأهمية توطيد العلاقات مع نظيراتها. وخلال الفترة المشمولة بالاستعراض، واصلت الشعبة تعاونها النشط والمفيد وحافظت على علاقاتها مع المنظمات والهيئات الأخرى التابعة للأمم المتحدة. وشاركت الشعبة بفعالية بوجه</w:t>
      </w:r>
      <w:r w:rsidR="008D2A40">
        <w:rPr>
          <w:rFonts w:eastAsia="SimSun" w:hint="cs"/>
          <w:rtl/>
          <w:lang w:eastAsia="zh-CN" w:bidi="ar-EG"/>
        </w:rPr>
        <w:t xml:space="preserve"> خاص في المحافل</w:t>
      </w:r>
      <w:r>
        <w:rPr>
          <w:rFonts w:eastAsia="SimSun" w:hint="cs"/>
          <w:rtl/>
          <w:lang w:eastAsia="zh-CN" w:bidi="ar-EG"/>
        </w:rPr>
        <w:t xml:space="preserve"> التالية:</w:t>
      </w:r>
    </w:p>
    <w:p w:rsidR="00C32384" w:rsidRDefault="00C32384" w:rsidP="00D40A5B">
      <w:pPr>
        <w:pStyle w:val="NumberedParaAR"/>
        <w:numPr>
          <w:ilvl w:val="0"/>
          <w:numId w:val="0"/>
        </w:numPr>
        <w:ind w:left="625"/>
        <w:rPr>
          <w:rFonts w:eastAsia="SimSun"/>
          <w:lang w:eastAsia="zh-CN" w:bidi="ar-EG"/>
        </w:rPr>
      </w:pPr>
      <w:r>
        <w:rPr>
          <w:rFonts w:eastAsia="SimSun" w:hint="cs"/>
          <w:rtl/>
          <w:lang w:eastAsia="zh-CN" w:bidi="ar-EG"/>
        </w:rPr>
        <w:t>(أ)</w:t>
      </w:r>
      <w:r>
        <w:rPr>
          <w:rFonts w:eastAsia="SimSun" w:hint="cs"/>
          <w:rtl/>
          <w:lang w:eastAsia="zh-CN" w:bidi="ar-EG"/>
        </w:rPr>
        <w:tab/>
        <w:t>الاجتماع السنوي الرابع والأربعين ل</w:t>
      </w:r>
      <w:r w:rsidRPr="00C32384">
        <w:rPr>
          <w:rFonts w:eastAsia="SimSun"/>
          <w:rtl/>
          <w:lang w:eastAsia="zh-CN" w:bidi="ar-EG"/>
        </w:rPr>
        <w:t xml:space="preserve">ممثلي خدمات </w:t>
      </w:r>
      <w:r w:rsidR="00D40A5B">
        <w:rPr>
          <w:rFonts w:eastAsia="SimSun" w:hint="cs"/>
          <w:rtl/>
          <w:lang w:eastAsia="zh-CN" w:bidi="ar-EG"/>
        </w:rPr>
        <w:t>التدقيق الداخلي</w:t>
      </w:r>
      <w:r w:rsidRPr="00C32384">
        <w:rPr>
          <w:rFonts w:eastAsia="SimSun"/>
          <w:rtl/>
          <w:lang w:eastAsia="zh-CN" w:bidi="ar-EG"/>
        </w:rPr>
        <w:t xml:space="preserve"> للمنظمات التابعة</w:t>
      </w:r>
      <w:r w:rsidR="00712E91">
        <w:rPr>
          <w:rFonts w:eastAsia="SimSun" w:hint="cs"/>
          <w:rtl/>
          <w:lang w:eastAsia="zh-CN" w:bidi="ar-EG"/>
        </w:rPr>
        <w:t xml:space="preserve"> للأمم المتحدة، بواشنطن </w:t>
      </w:r>
      <w:r>
        <w:rPr>
          <w:rFonts w:eastAsia="SimSun" w:hint="cs"/>
          <w:rtl/>
          <w:lang w:eastAsia="zh-CN" w:bidi="ar-EG"/>
        </w:rPr>
        <w:t>في سبتمبر 2014؛</w:t>
      </w:r>
    </w:p>
    <w:p w:rsidR="00C32384" w:rsidRDefault="00C32384" w:rsidP="00712E91">
      <w:pPr>
        <w:pStyle w:val="NumberedParaAR"/>
        <w:numPr>
          <w:ilvl w:val="0"/>
          <w:numId w:val="0"/>
        </w:numPr>
        <w:ind w:left="625"/>
        <w:rPr>
          <w:rFonts w:eastAsia="SimSun"/>
          <w:rtl/>
          <w:lang w:eastAsia="zh-CN" w:bidi="ar-EG"/>
        </w:rPr>
      </w:pPr>
      <w:r>
        <w:rPr>
          <w:rFonts w:eastAsia="SimSun" w:hint="cs"/>
          <w:rtl/>
          <w:lang w:eastAsia="zh-CN" w:bidi="ar-EG"/>
        </w:rPr>
        <w:t>(ب)</w:t>
      </w:r>
      <w:r>
        <w:rPr>
          <w:rFonts w:eastAsia="SimSun" w:hint="cs"/>
          <w:rtl/>
          <w:lang w:eastAsia="zh-CN" w:bidi="ar-EG"/>
        </w:rPr>
        <w:tab/>
        <w:t xml:space="preserve">الاجتماع السنوي </w:t>
      </w:r>
      <w:r w:rsidR="00712E91">
        <w:rPr>
          <w:rFonts w:eastAsia="SimSun" w:hint="cs"/>
          <w:rtl/>
          <w:lang w:eastAsia="zh-CN" w:bidi="ar-EG"/>
        </w:rPr>
        <w:t>ل</w:t>
      </w:r>
      <w:r w:rsidR="00712E91" w:rsidRPr="00712E91">
        <w:rPr>
          <w:rFonts w:eastAsia="SimSun"/>
          <w:rtl/>
          <w:lang w:eastAsia="zh-CN" w:bidi="ar-EG"/>
        </w:rPr>
        <w:t>فريق الأمم المتحدة المعني بالتقييم</w:t>
      </w:r>
      <w:r w:rsidR="00712E91">
        <w:rPr>
          <w:rFonts w:eastAsia="SimSun" w:hint="cs"/>
          <w:rtl/>
          <w:lang w:eastAsia="zh-CN" w:bidi="ar-EG"/>
        </w:rPr>
        <w:t xml:space="preserve"> بنيويورك في أبريل 2015. وخلال الفترة المشمولة بالتقرير، كانت الشعبة عضواً في فريق الأمم المتحدة المعني بالتقييم "الهدف الاستراتيجي 1: </w:t>
      </w:r>
      <w:r w:rsidR="00986225">
        <w:rPr>
          <w:rFonts w:eastAsia="SimSun" w:hint="cs"/>
          <w:rtl/>
          <w:lang w:eastAsia="zh-CN" w:bidi="ar-EG"/>
        </w:rPr>
        <w:t>الفريق الفرعي المعني بالقواعد والمعايير"؛</w:t>
      </w:r>
    </w:p>
    <w:p w:rsidR="00C32384" w:rsidRDefault="00C32384" w:rsidP="00986225">
      <w:pPr>
        <w:pStyle w:val="NumberedParaAR"/>
        <w:numPr>
          <w:ilvl w:val="0"/>
          <w:numId w:val="0"/>
        </w:numPr>
        <w:ind w:left="625"/>
        <w:rPr>
          <w:rFonts w:eastAsia="SimSun"/>
          <w:rtl/>
          <w:lang w:eastAsia="zh-CN" w:bidi="ar-EG"/>
        </w:rPr>
      </w:pPr>
      <w:r>
        <w:rPr>
          <w:rFonts w:eastAsia="SimSun" w:hint="cs"/>
          <w:rtl/>
          <w:lang w:eastAsia="zh-CN" w:bidi="ar-EG"/>
        </w:rPr>
        <w:t>(ج)</w:t>
      </w:r>
      <w:r>
        <w:rPr>
          <w:rFonts w:eastAsia="SimSun" w:hint="cs"/>
          <w:rtl/>
          <w:lang w:eastAsia="zh-CN" w:bidi="ar-EG"/>
        </w:rPr>
        <w:tab/>
      </w:r>
      <w:r w:rsidR="00986225">
        <w:rPr>
          <w:rFonts w:eastAsia="SimSun" w:hint="cs"/>
          <w:rtl/>
          <w:lang w:eastAsia="zh-CN" w:bidi="ar-EG"/>
        </w:rPr>
        <w:t>المؤتمر الخامس عشر للمحققين الداخليين واجتماع الثاني ل</w:t>
      </w:r>
      <w:r w:rsidR="00986225">
        <w:rPr>
          <w:rFonts w:eastAsia="SimSun"/>
          <w:rtl/>
          <w:lang w:eastAsia="zh-CN" w:bidi="ar-EG"/>
        </w:rPr>
        <w:t>ممثل</w:t>
      </w:r>
      <w:r w:rsidR="00986225">
        <w:rPr>
          <w:rFonts w:eastAsia="SimSun" w:hint="cs"/>
          <w:rtl/>
          <w:lang w:eastAsia="zh-CN" w:bidi="ar-EG"/>
        </w:rPr>
        <w:t>ي</w:t>
      </w:r>
      <w:r w:rsidR="00986225" w:rsidRPr="00986225">
        <w:rPr>
          <w:rFonts w:eastAsia="SimSun"/>
          <w:rtl/>
          <w:lang w:eastAsia="zh-CN" w:bidi="ar-EG"/>
        </w:rPr>
        <w:t xml:space="preserve"> دوائر التحقيق في الأمم المتحدة</w:t>
      </w:r>
      <w:r w:rsidR="00986225">
        <w:rPr>
          <w:rFonts w:eastAsia="SimSun" w:hint="cs"/>
          <w:rtl/>
          <w:lang w:eastAsia="zh-CN" w:bidi="ar-EG"/>
        </w:rPr>
        <w:t xml:space="preserve">، في ريفا ديل </w:t>
      </w:r>
      <w:proofErr w:type="spellStart"/>
      <w:r w:rsidR="00986225">
        <w:rPr>
          <w:rFonts w:eastAsia="SimSun" w:hint="cs"/>
          <w:rtl/>
          <w:lang w:eastAsia="zh-CN" w:bidi="ar-EG"/>
        </w:rPr>
        <w:t>غاردا</w:t>
      </w:r>
      <w:proofErr w:type="spellEnd"/>
      <w:r w:rsidR="00986225">
        <w:rPr>
          <w:rFonts w:eastAsia="SimSun" w:hint="cs"/>
          <w:rtl/>
          <w:lang w:eastAsia="zh-CN" w:bidi="ar-EG"/>
        </w:rPr>
        <w:t xml:space="preserve"> بإيطاليا في أكتوبر؛</w:t>
      </w:r>
    </w:p>
    <w:p w:rsidR="00C32384" w:rsidRDefault="00C32384" w:rsidP="00C32384">
      <w:pPr>
        <w:pStyle w:val="NumberedParaAR"/>
        <w:numPr>
          <w:ilvl w:val="0"/>
          <w:numId w:val="0"/>
        </w:numPr>
        <w:ind w:left="625"/>
        <w:rPr>
          <w:rFonts w:eastAsia="SimSun"/>
          <w:rtl/>
          <w:lang w:eastAsia="zh-CN" w:bidi="ar-EG"/>
        </w:rPr>
      </w:pPr>
      <w:r>
        <w:rPr>
          <w:rFonts w:eastAsia="SimSun" w:hint="cs"/>
          <w:rtl/>
          <w:lang w:eastAsia="zh-CN" w:bidi="ar-EG"/>
        </w:rPr>
        <w:t>(د)</w:t>
      </w:r>
      <w:r>
        <w:rPr>
          <w:rFonts w:eastAsia="SimSun"/>
          <w:rtl/>
          <w:lang w:eastAsia="zh-CN" w:bidi="ar-EG"/>
        </w:rPr>
        <w:tab/>
      </w:r>
      <w:r w:rsidR="00986225">
        <w:rPr>
          <w:rFonts w:eastAsia="SimSun" w:hint="cs"/>
          <w:rtl/>
          <w:lang w:eastAsia="zh-CN" w:bidi="ar-EG"/>
        </w:rPr>
        <w:t>اجتماع رؤساء التدقيق الداخلي في المنظمات الدولية الأوروبية المقر، الذي استضافه ا</w:t>
      </w:r>
      <w:r w:rsidR="004A4456">
        <w:rPr>
          <w:rFonts w:eastAsia="SimSun" w:hint="cs"/>
          <w:rtl/>
          <w:lang w:eastAsia="zh-CN" w:bidi="ar-EG"/>
        </w:rPr>
        <w:t>لمكتب الأوروبي للبراءات في ميون</w:t>
      </w:r>
      <w:r w:rsidR="00986225">
        <w:rPr>
          <w:rFonts w:eastAsia="SimSun" w:hint="cs"/>
          <w:rtl/>
          <w:lang w:eastAsia="zh-CN" w:bidi="ar-EG"/>
        </w:rPr>
        <w:t>خ بألمانيا في أبريل 2015.</w:t>
      </w:r>
    </w:p>
    <w:p w:rsidR="00F411DB" w:rsidRPr="003F1844" w:rsidRDefault="00F411DB" w:rsidP="00060F1F">
      <w:pPr>
        <w:pStyle w:val="NumberedParaAR"/>
        <w:keepNext/>
        <w:numPr>
          <w:ilvl w:val="0"/>
          <w:numId w:val="0"/>
        </w:numPr>
        <w:rPr>
          <w:rFonts w:eastAsia="SimSun"/>
          <w:b/>
          <w:bCs/>
          <w:sz w:val="40"/>
          <w:szCs w:val="40"/>
          <w:rtl/>
          <w:lang w:eastAsia="zh-CN" w:bidi="ar-EG"/>
        </w:rPr>
      </w:pPr>
      <w:bookmarkStart w:id="23" w:name="oversightresources"/>
      <w:r w:rsidRPr="003F1844">
        <w:rPr>
          <w:rFonts w:eastAsia="SimSun"/>
          <w:b/>
          <w:bCs/>
          <w:sz w:val="40"/>
          <w:szCs w:val="40"/>
          <w:rtl/>
          <w:lang w:eastAsia="zh-CN" w:bidi="ar-EG"/>
        </w:rPr>
        <w:t>موارد الرقابة</w:t>
      </w:r>
    </w:p>
    <w:bookmarkEnd w:id="23"/>
    <w:p w:rsidR="00FD3ABA" w:rsidRDefault="00FD3ABA" w:rsidP="004A4456">
      <w:pPr>
        <w:pStyle w:val="NumberedParaAR"/>
        <w:rPr>
          <w:rFonts w:eastAsia="SimSun"/>
          <w:lang w:eastAsia="zh-CN" w:bidi="ar-EG"/>
        </w:rPr>
      </w:pPr>
      <w:r>
        <w:rPr>
          <w:rFonts w:eastAsia="SimSun" w:hint="cs"/>
          <w:rtl/>
          <w:lang w:eastAsia="zh-CN" w:bidi="ar-EG"/>
        </w:rPr>
        <w:t>يقتضي ميثاق الرقابة الداخلية</w:t>
      </w:r>
      <w:r>
        <w:rPr>
          <w:rStyle w:val="FootnoteReference"/>
          <w:rFonts w:eastAsia="SimSun"/>
          <w:rtl/>
          <w:lang w:eastAsia="zh-CN" w:bidi="ar-EG"/>
        </w:rPr>
        <w:footnoteReference w:id="12"/>
      </w:r>
      <w:r>
        <w:rPr>
          <w:rFonts w:eastAsia="SimSun" w:hint="cs"/>
          <w:rtl/>
          <w:lang w:eastAsia="zh-CN" w:bidi="ar-EG"/>
        </w:rPr>
        <w:t xml:space="preserve"> من مدير الشعبة </w:t>
      </w:r>
      <w:r w:rsidR="004A4456">
        <w:rPr>
          <w:rFonts w:eastAsia="SimSun" w:hint="cs"/>
          <w:rtl/>
          <w:lang w:eastAsia="zh-CN" w:bidi="ar-EG"/>
        </w:rPr>
        <w:t>أن يبدي</w:t>
      </w:r>
      <w:r>
        <w:rPr>
          <w:rFonts w:eastAsia="SimSun" w:hint="cs"/>
          <w:rtl/>
          <w:lang w:eastAsia="zh-CN" w:bidi="ar-EG"/>
        </w:rPr>
        <w:t xml:space="preserve"> تعليقاته على الاستقلالية التشغيلية ونطاق الأنشطة وملاءمة الموارد المخصصة لمهام الرقابة الداخلية.</w:t>
      </w:r>
    </w:p>
    <w:p w:rsidR="00FD3ABA" w:rsidRDefault="00FD3ABA" w:rsidP="00B65587">
      <w:pPr>
        <w:pStyle w:val="NumberedParaAR"/>
        <w:rPr>
          <w:rFonts w:eastAsia="SimSun"/>
          <w:lang w:eastAsia="zh-CN" w:bidi="ar-EG"/>
        </w:rPr>
      </w:pPr>
      <w:r>
        <w:rPr>
          <w:rFonts w:eastAsia="SimSun" w:hint="cs"/>
          <w:rtl/>
          <w:lang w:eastAsia="zh-CN" w:bidi="ar-EG"/>
        </w:rPr>
        <w:t xml:space="preserve">وخلال الفترة المشمولة بالتقرير، لم تقع أي حالة </w:t>
      </w:r>
      <w:r w:rsidR="00B65587">
        <w:rPr>
          <w:rFonts w:eastAsia="SimSun" w:hint="cs"/>
          <w:rtl/>
          <w:lang w:eastAsia="zh-CN" w:bidi="ar-EG"/>
        </w:rPr>
        <w:t xml:space="preserve">مست </w:t>
      </w:r>
      <w:r>
        <w:rPr>
          <w:rFonts w:eastAsia="SimSun" w:hint="cs"/>
          <w:rtl/>
          <w:lang w:eastAsia="zh-CN" w:bidi="ar-EG"/>
        </w:rPr>
        <w:t xml:space="preserve">أو </w:t>
      </w:r>
      <w:r w:rsidR="00474D86">
        <w:rPr>
          <w:rFonts w:eastAsia="SimSun" w:hint="cs"/>
          <w:rtl/>
          <w:lang w:eastAsia="zh-CN" w:bidi="ar-EG"/>
        </w:rPr>
        <w:t xml:space="preserve">حدث أي نشاط مس </w:t>
      </w:r>
      <w:r w:rsidR="00B65587">
        <w:rPr>
          <w:rFonts w:eastAsia="SimSun" w:hint="cs"/>
          <w:rtl/>
          <w:lang w:eastAsia="zh-CN" w:bidi="ar-EG"/>
        </w:rPr>
        <w:t>بالاستقلالية التشغيلية لشعبة الرقابة الداخلية. فقد قررت الشعبة نطاق أنشطتها بنفسها استناداً إلى التعليقات والآراء النقدية الواردة من إدارة الويبو واللجنة الاستشارية المستقلة للرقابة والدول الأعضاء.</w:t>
      </w:r>
    </w:p>
    <w:p w:rsidR="00F411DB" w:rsidRPr="00632A79" w:rsidRDefault="00F411DB" w:rsidP="001D42DA">
      <w:pPr>
        <w:pStyle w:val="Heading2AR"/>
        <w:rPr>
          <w:rFonts w:eastAsia="SimSun"/>
          <w:rtl/>
          <w:lang w:eastAsia="zh-CN" w:bidi="ar-EG"/>
        </w:rPr>
      </w:pPr>
      <w:r w:rsidRPr="00632A79">
        <w:rPr>
          <w:rFonts w:eastAsia="SimSun"/>
          <w:rtl/>
          <w:lang w:eastAsia="zh-CN" w:bidi="ar-EG"/>
        </w:rPr>
        <w:t>الميزا</w:t>
      </w:r>
      <w:r w:rsidR="00FD3ABA" w:rsidRPr="00632A79">
        <w:rPr>
          <w:rFonts w:eastAsia="SimSun"/>
          <w:rtl/>
          <w:lang w:eastAsia="zh-CN" w:bidi="ar-EG"/>
        </w:rPr>
        <w:t>نية والموظف</w:t>
      </w:r>
      <w:r w:rsidR="00FD3ABA" w:rsidRPr="00632A79">
        <w:rPr>
          <w:rFonts w:eastAsia="SimSun" w:hint="cs"/>
          <w:rtl/>
          <w:lang w:eastAsia="zh-CN" w:bidi="ar-EG"/>
        </w:rPr>
        <w:t>ون</w:t>
      </w:r>
    </w:p>
    <w:p w:rsidR="00B65587" w:rsidRDefault="001B62C6" w:rsidP="00060F1F">
      <w:pPr>
        <w:pStyle w:val="NumberedParaAR"/>
        <w:rPr>
          <w:rFonts w:eastAsia="SimSun"/>
          <w:lang w:eastAsia="zh-CN" w:bidi="ar-EG"/>
        </w:rPr>
      </w:pPr>
      <w:r>
        <w:rPr>
          <w:rFonts w:eastAsia="SimSun" w:hint="cs"/>
          <w:rtl/>
          <w:lang w:eastAsia="zh-CN" w:bidi="ar-EG"/>
        </w:rPr>
        <w:t>حُسنت مشكلة قوى العمل في الشعبة من خلال تعيين 11 موظفاً</w:t>
      </w:r>
      <w:r>
        <w:rPr>
          <w:rStyle w:val="FootnoteReference"/>
          <w:rFonts w:eastAsia="SimSun"/>
          <w:rtl/>
          <w:lang w:eastAsia="zh-CN" w:bidi="ar-EG"/>
        </w:rPr>
        <w:footnoteReference w:id="13"/>
      </w:r>
      <w:r>
        <w:rPr>
          <w:rFonts w:eastAsia="SimSun" w:hint="cs"/>
          <w:rtl/>
          <w:lang w:eastAsia="zh-CN" w:bidi="ar-EG"/>
        </w:rPr>
        <w:t xml:space="preserve"> منذ عام 2012. وبالنسبة إلى الثنائية 15/2014، كانت الموارد المالية المخصصة للخبرة الخارجية كافية لإشراك مزودي الخدمات الآخرين في مساعدة الشعبة على تنفيذ خططها الرقابية.</w:t>
      </w:r>
    </w:p>
    <w:p w:rsidR="001B62C6" w:rsidRDefault="001B62C6" w:rsidP="001B62C6">
      <w:pPr>
        <w:pStyle w:val="NumberedParaAR"/>
        <w:rPr>
          <w:rFonts w:eastAsia="SimSun"/>
          <w:lang w:eastAsia="zh-CN" w:bidi="ar-EG"/>
        </w:rPr>
      </w:pPr>
      <w:r>
        <w:rPr>
          <w:rFonts w:eastAsia="SimSun" w:hint="cs"/>
          <w:rtl/>
          <w:lang w:eastAsia="zh-CN" w:bidi="ar-EG"/>
        </w:rPr>
        <w:t>وشُغل منصب رئيس قسم التحقيقات في 1 يوليو 2014. وعينت الشعبة موظف تقييم مساعد وأمين</w:t>
      </w:r>
      <w:r w:rsidR="004A4456">
        <w:rPr>
          <w:rFonts w:eastAsia="SimSun" w:hint="cs"/>
          <w:rtl/>
          <w:lang w:eastAsia="zh-CN" w:bidi="ar-EG"/>
        </w:rPr>
        <w:t>اً</w:t>
      </w:r>
      <w:r>
        <w:rPr>
          <w:rFonts w:eastAsia="SimSun" w:hint="cs"/>
          <w:rtl/>
          <w:lang w:eastAsia="zh-CN" w:bidi="ar-EG"/>
        </w:rPr>
        <w:t xml:space="preserve"> بموجب عقدين مؤقتين ما ساعد في الحفاظ على مستوى الموظفين نفسه منذ عام 2012.</w:t>
      </w:r>
    </w:p>
    <w:p w:rsidR="001B62C6" w:rsidRDefault="001B62C6" w:rsidP="001B62C6">
      <w:pPr>
        <w:pStyle w:val="NumberedParaAR"/>
        <w:rPr>
          <w:rFonts w:eastAsia="SimSun"/>
          <w:lang w:eastAsia="zh-CN" w:bidi="ar-EG"/>
        </w:rPr>
      </w:pPr>
      <w:r>
        <w:rPr>
          <w:rFonts w:eastAsia="SimSun" w:hint="cs"/>
          <w:rtl/>
          <w:lang w:eastAsia="zh-CN" w:bidi="ar-EG"/>
        </w:rPr>
        <w:lastRenderedPageBreak/>
        <w:t>وخلال الفترة المشمولة بالتقرير، انتقل مدير الشعبة إلى وكالة أخرى تابعة للأمم المتحدة في 1 مايو 2015. وفي وقت إعداد هذا التقرير، كان مسار التعيين لشغل الوظيفة الشاغرة لا يزال جارياً.</w:t>
      </w:r>
      <w:r w:rsidR="006F3561">
        <w:rPr>
          <w:rFonts w:eastAsia="SimSun" w:hint="cs"/>
          <w:rtl/>
          <w:lang w:eastAsia="zh-CN" w:bidi="ar-EG"/>
        </w:rPr>
        <w:t xml:space="preserve"> وخلال تلك الفترة، عيِّن رئيس قسم التدقيق الداخلي كمدير مؤقت للشعبة بتاريخ 8 مايو 2015 إلى أن يتولى مدير الشعبة الجدي منصبه.</w:t>
      </w:r>
    </w:p>
    <w:p w:rsidR="006F3561" w:rsidRDefault="006F3561" w:rsidP="006A34F8">
      <w:pPr>
        <w:pStyle w:val="NumberedParaAR"/>
        <w:rPr>
          <w:rFonts w:eastAsia="SimSun"/>
          <w:lang w:eastAsia="zh-CN" w:bidi="ar-EG"/>
        </w:rPr>
      </w:pPr>
      <w:r>
        <w:rPr>
          <w:rFonts w:eastAsia="SimSun" w:hint="cs"/>
          <w:rtl/>
          <w:lang w:eastAsia="zh-CN" w:bidi="ar-EG"/>
        </w:rPr>
        <w:t xml:space="preserve">وفي إطار تنفيذ الولاية، قد يُعتبر المستوى الحالي للموارد </w:t>
      </w:r>
      <w:r>
        <w:rPr>
          <w:rFonts w:eastAsia="SimSun"/>
          <w:rtl/>
          <w:lang w:eastAsia="zh-CN" w:bidi="ar-EG"/>
        </w:rPr>
        <w:t>–</w:t>
      </w:r>
      <w:r>
        <w:rPr>
          <w:rFonts w:eastAsia="SimSun" w:hint="cs"/>
          <w:rtl/>
          <w:lang w:eastAsia="zh-CN" w:bidi="ar-EG"/>
        </w:rPr>
        <w:t xml:space="preserve"> 0.76 بالمئة من ميزانية الويبو </w:t>
      </w:r>
      <w:r w:rsidR="006A34F8">
        <w:rPr>
          <w:rFonts w:eastAsia="SimSun" w:hint="cs"/>
          <w:rtl/>
          <w:lang w:eastAsia="zh-CN" w:bidi="ar-EG"/>
        </w:rPr>
        <w:t xml:space="preserve">الإجمالية </w:t>
      </w:r>
      <w:r>
        <w:rPr>
          <w:rFonts w:eastAsia="SimSun" w:hint="cs"/>
          <w:rtl/>
          <w:lang w:eastAsia="zh-CN" w:bidi="ar-EG"/>
        </w:rPr>
        <w:t>و0.</w:t>
      </w:r>
      <w:r w:rsidR="006A34F8">
        <w:rPr>
          <w:rFonts w:eastAsia="SimSun" w:hint="cs"/>
          <w:rtl/>
          <w:lang w:eastAsia="zh-CN" w:bidi="ar-EG"/>
        </w:rPr>
        <w:t>9</w:t>
      </w:r>
      <w:r>
        <w:rPr>
          <w:rFonts w:eastAsia="SimSun" w:hint="cs"/>
          <w:rtl/>
          <w:lang w:eastAsia="zh-CN" w:bidi="ar-EG"/>
        </w:rPr>
        <w:t xml:space="preserve">8 بالمئة من </w:t>
      </w:r>
      <w:r w:rsidR="006A34F8">
        <w:rPr>
          <w:rFonts w:eastAsia="SimSun" w:hint="cs"/>
          <w:rtl/>
          <w:lang w:eastAsia="zh-CN" w:bidi="ar-EG"/>
        </w:rPr>
        <w:t xml:space="preserve">تكاليف </w:t>
      </w:r>
      <w:r>
        <w:rPr>
          <w:rFonts w:eastAsia="SimSun" w:hint="cs"/>
          <w:rtl/>
          <w:lang w:eastAsia="zh-CN" w:bidi="ar-EG"/>
        </w:rPr>
        <w:t xml:space="preserve">موظفي الويبو </w:t>
      </w:r>
      <w:r>
        <w:rPr>
          <w:rFonts w:eastAsia="SimSun"/>
          <w:rtl/>
          <w:lang w:eastAsia="zh-CN" w:bidi="ar-EG"/>
        </w:rPr>
        <w:t>–</w:t>
      </w:r>
      <w:r>
        <w:rPr>
          <w:rFonts w:eastAsia="SimSun" w:hint="cs"/>
          <w:rtl/>
          <w:lang w:eastAsia="zh-CN" w:bidi="ar-EG"/>
        </w:rPr>
        <w:t xml:space="preserve"> منخفضاً مقارنة ببعض المعايير مثل المعايير التي أوصت بها وحدة التفتيش المشتركة في تقاريرها عن مهام الرقابة.</w:t>
      </w:r>
      <w:r>
        <w:rPr>
          <w:rStyle w:val="FootnoteReference"/>
          <w:rFonts w:eastAsia="SimSun"/>
          <w:rtl/>
          <w:lang w:eastAsia="zh-CN" w:bidi="ar-EG"/>
        </w:rPr>
        <w:footnoteReference w:id="14"/>
      </w:r>
      <w:r>
        <w:rPr>
          <w:rFonts w:eastAsia="SimSun" w:hint="cs"/>
          <w:rtl/>
          <w:lang w:eastAsia="zh-CN" w:bidi="ar-EG"/>
        </w:rPr>
        <w:t xml:space="preserve"> ومع ذلك، كان مستوى الموارد البشرية والمالية الحالي ملائماً كي تغطي الشعبة بفعالية المجالات ذات الأولوية المحددة في خطط عملها. وحُقق ذلك من خلال تحسين تنسيق أنشطة الرقابة مع المدقق الخارجي وزيادة استخدام أدوات تكنولوجيا المعلومات التي أدت إلى زيادة فعالية تنفيذ أنشطة الرقابة. ونظراً إلى عدم وجود تغيير ملحوظ في الأهداف الاستراتيجية للويبو وفي التقدم المحرز في تنفيذ نظام إدارة مخاطر وضبط داخلي على مستوى المنظمة، فيمكن اعتبار المستوى الحالي للموارد ملائماً. وإضافة إلى ذلك، قد يساعد تحويل الوظائف المؤقتة إلى وظائف محددة المدة بصورة تدريجية على تعزيز وتحفيز الموظفين والحد من آثار فقدان الذاكرة المؤسسية بسبب رحيل الموظفين.</w:t>
      </w:r>
    </w:p>
    <w:p w:rsidR="007B6290" w:rsidRPr="006F3561" w:rsidRDefault="006F3561" w:rsidP="006F3561">
      <w:pPr>
        <w:pStyle w:val="NumberedParaAR"/>
        <w:keepNext/>
        <w:numPr>
          <w:ilvl w:val="0"/>
          <w:numId w:val="0"/>
        </w:numPr>
        <w:jc w:val="center"/>
        <w:rPr>
          <w:rFonts w:eastAsia="SimSun"/>
          <w:b/>
          <w:bCs/>
          <w:rtl/>
          <w:lang w:eastAsia="zh-CN" w:bidi="ar-EG"/>
        </w:rPr>
      </w:pPr>
      <w:r w:rsidRPr="006F3561">
        <w:rPr>
          <w:rFonts w:eastAsia="SimSun" w:hint="cs"/>
          <w:b/>
          <w:bCs/>
          <w:rtl/>
          <w:lang w:eastAsia="zh-CN" w:bidi="ar-EG"/>
        </w:rPr>
        <w:t xml:space="preserve">الجدول 2 </w:t>
      </w:r>
      <w:r>
        <w:rPr>
          <w:rFonts w:eastAsia="SimSun"/>
          <w:b/>
          <w:bCs/>
          <w:rtl/>
          <w:lang w:eastAsia="zh-CN" w:bidi="ar-EG"/>
        </w:rPr>
        <w:t>–</w:t>
      </w:r>
      <w:r>
        <w:rPr>
          <w:rFonts w:eastAsia="SimSun" w:hint="cs"/>
          <w:b/>
          <w:bCs/>
          <w:rtl/>
          <w:lang w:eastAsia="zh-CN" w:bidi="ar-EG"/>
        </w:rPr>
        <w:t xml:space="preserve"> ميزانية ونفقات شعبة الرقابة الداخلية</w:t>
      </w:r>
      <w:r>
        <w:rPr>
          <w:rStyle w:val="FootnoteReference"/>
          <w:rFonts w:eastAsia="SimSun"/>
          <w:b/>
          <w:bCs/>
          <w:rtl/>
          <w:lang w:eastAsia="zh-CN" w:bidi="ar-EG"/>
        </w:rPr>
        <w:footnoteReference w:id="15"/>
      </w:r>
      <w:r>
        <w:rPr>
          <w:rFonts w:eastAsia="SimSun" w:hint="cs"/>
          <w:b/>
          <w:bCs/>
          <w:rtl/>
          <w:lang w:eastAsia="zh-CN" w:bidi="ar-EG"/>
        </w:rPr>
        <w:t xml:space="preserve"> لعام 2014 بعد التحويلات</w:t>
      </w:r>
    </w:p>
    <w:tbl>
      <w:tblPr>
        <w:bidiVisual/>
        <w:tblW w:w="9036" w:type="dxa"/>
        <w:jc w:val="center"/>
        <w:tblInd w:w="-1280" w:type="dxa"/>
        <w:tblLook w:val="04A0" w:firstRow="1" w:lastRow="0" w:firstColumn="1" w:lastColumn="0" w:noHBand="0" w:noVBand="1"/>
      </w:tblPr>
      <w:tblGrid>
        <w:gridCol w:w="2410"/>
        <w:gridCol w:w="1537"/>
        <w:gridCol w:w="1747"/>
        <w:gridCol w:w="1375"/>
        <w:gridCol w:w="1967"/>
      </w:tblGrid>
      <w:tr w:rsidR="00060F1F" w:rsidRPr="001D42DA" w:rsidTr="001D42DA">
        <w:trPr>
          <w:cantSplit/>
          <w:jc w:val="center"/>
        </w:trPr>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60F1F" w:rsidRPr="001D42DA" w:rsidRDefault="00060F1F" w:rsidP="006F3561">
            <w:pPr>
              <w:keepNext/>
              <w:bidi/>
              <w:rPr>
                <w:rFonts w:ascii="Arabic Typesetting" w:hAnsi="Arabic Typesetting" w:cs="Arabic Typesetting"/>
                <w:color w:val="000000"/>
                <w:sz w:val="28"/>
                <w:szCs w:val="28"/>
                <w:rtl/>
                <w:lang w:bidi="ar-EG"/>
              </w:rPr>
            </w:pPr>
          </w:p>
        </w:tc>
        <w:tc>
          <w:tcPr>
            <w:tcW w:w="1537" w:type="dxa"/>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الميزانية المعتمدة</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15/2014</w:t>
            </w:r>
          </w:p>
        </w:tc>
        <w:tc>
          <w:tcPr>
            <w:tcW w:w="0" w:type="auto"/>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الميزانية بعد التحويلات</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15/2014</w:t>
            </w:r>
          </w:p>
        </w:tc>
        <w:tc>
          <w:tcPr>
            <w:tcW w:w="1375" w:type="dxa"/>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النفقات</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2014</w:t>
            </w:r>
          </w:p>
        </w:tc>
        <w:tc>
          <w:tcPr>
            <w:tcW w:w="1967" w:type="dxa"/>
            <w:tcBorders>
              <w:top w:val="single" w:sz="4" w:space="0" w:color="auto"/>
              <w:left w:val="nil"/>
              <w:bottom w:val="nil"/>
              <w:right w:val="single" w:sz="4" w:space="0" w:color="auto"/>
            </w:tcBorders>
            <w:shd w:val="clear" w:color="000000" w:fill="CCFFFF"/>
            <w:vAlign w:val="center"/>
            <w:hideMark/>
          </w:tcPr>
          <w:p w:rsidR="006F3561" w:rsidRPr="001D42DA" w:rsidRDefault="006F3561" w:rsidP="006F3561">
            <w:pPr>
              <w:keepNext/>
              <w:bidi/>
              <w:jc w:val="center"/>
              <w:rPr>
                <w:rFonts w:ascii="Arabic Typesetting" w:hAnsi="Arabic Typesetting" w:cs="Arabic Typesetting"/>
                <w:b/>
                <w:bCs/>
                <w:color w:val="000000"/>
                <w:sz w:val="28"/>
                <w:szCs w:val="28"/>
                <w:rtl/>
              </w:rPr>
            </w:pPr>
            <w:r w:rsidRPr="001D42DA">
              <w:rPr>
                <w:rFonts w:ascii="Arabic Typesetting" w:hAnsi="Arabic Typesetting" w:cs="Arabic Typesetting" w:hint="cs"/>
                <w:b/>
                <w:bCs/>
                <w:color w:val="000000"/>
                <w:sz w:val="28"/>
                <w:szCs w:val="28"/>
                <w:rtl/>
              </w:rPr>
              <w:t>معدل الاستخدام</w:t>
            </w:r>
          </w:p>
          <w:p w:rsidR="00060F1F" w:rsidRPr="001D42DA" w:rsidRDefault="006F3561" w:rsidP="006F3561">
            <w:pPr>
              <w:keepNext/>
              <w:bidi/>
              <w:jc w:val="center"/>
              <w:rPr>
                <w:rFonts w:ascii="Arabic Typesetting" w:hAnsi="Arabic Typesetting" w:cs="Arabic Typesetting"/>
                <w:b/>
                <w:bCs/>
                <w:color w:val="000000"/>
                <w:sz w:val="28"/>
                <w:szCs w:val="28"/>
              </w:rPr>
            </w:pPr>
            <w:r w:rsidRPr="001D42DA">
              <w:rPr>
                <w:rFonts w:ascii="Arabic Typesetting" w:hAnsi="Arabic Typesetting" w:cs="Arabic Typesetting" w:hint="cs"/>
                <w:b/>
                <w:bCs/>
                <w:color w:val="000000"/>
                <w:sz w:val="28"/>
                <w:szCs w:val="28"/>
                <w:rtl/>
              </w:rPr>
              <w:t>(%)</w:t>
            </w:r>
          </w:p>
        </w:tc>
      </w:tr>
      <w:tr w:rsidR="00060F1F" w:rsidRPr="001D42DA" w:rsidTr="001D42DA">
        <w:trPr>
          <w:cantSplit/>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60F1F" w:rsidRPr="001D42DA" w:rsidRDefault="006F3561" w:rsidP="006F3561">
            <w:pPr>
              <w:keepNext/>
              <w:bidi/>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موارد الموظفين</w:t>
            </w:r>
          </w:p>
        </w:tc>
        <w:tc>
          <w:tcPr>
            <w:tcW w:w="1537" w:type="dxa"/>
            <w:tcBorders>
              <w:top w:val="single" w:sz="4" w:space="0" w:color="auto"/>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4396</w:t>
            </w:r>
          </w:p>
        </w:tc>
        <w:tc>
          <w:tcPr>
            <w:tcW w:w="0" w:type="auto"/>
            <w:tcBorders>
              <w:top w:val="single" w:sz="4" w:space="0" w:color="auto"/>
              <w:left w:val="nil"/>
              <w:bottom w:val="single" w:sz="4" w:space="0" w:color="auto"/>
              <w:right w:val="single" w:sz="4" w:space="0" w:color="auto"/>
            </w:tcBorders>
            <w:shd w:val="clear" w:color="auto" w:fill="auto"/>
            <w:vAlign w:val="center"/>
          </w:tcPr>
          <w:p w:rsidR="00060F1F" w:rsidRPr="001D42DA" w:rsidRDefault="006F3561" w:rsidP="006A34F8">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43</w:t>
            </w:r>
            <w:r w:rsidR="006A34F8">
              <w:rPr>
                <w:rFonts w:ascii="Arabic Typesetting" w:hAnsi="Arabic Typesetting" w:cs="Arabic Typesetting" w:hint="cs"/>
                <w:color w:val="000000"/>
                <w:sz w:val="28"/>
                <w:szCs w:val="28"/>
                <w:rtl/>
              </w:rPr>
              <w:t>58</w:t>
            </w:r>
          </w:p>
        </w:tc>
        <w:tc>
          <w:tcPr>
            <w:tcW w:w="1375" w:type="dxa"/>
            <w:tcBorders>
              <w:top w:val="single" w:sz="4" w:space="0" w:color="auto"/>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1993</w:t>
            </w:r>
          </w:p>
        </w:tc>
        <w:tc>
          <w:tcPr>
            <w:tcW w:w="1967" w:type="dxa"/>
            <w:tcBorders>
              <w:top w:val="single" w:sz="4" w:space="0" w:color="auto"/>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46</w:t>
            </w:r>
          </w:p>
        </w:tc>
      </w:tr>
      <w:tr w:rsidR="00060F1F" w:rsidRPr="001D42DA" w:rsidTr="001D42DA">
        <w:trPr>
          <w:cantSplit/>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60F1F" w:rsidRPr="001D42DA" w:rsidRDefault="006F3561" w:rsidP="006F3561">
            <w:pPr>
              <w:keepNext/>
              <w:bidi/>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موارد غير الموظفين</w:t>
            </w:r>
          </w:p>
        </w:tc>
        <w:tc>
          <w:tcPr>
            <w:tcW w:w="1537" w:type="dxa"/>
            <w:tcBorders>
              <w:top w:val="nil"/>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720</w:t>
            </w:r>
          </w:p>
        </w:tc>
        <w:tc>
          <w:tcPr>
            <w:tcW w:w="0" w:type="auto"/>
            <w:tcBorders>
              <w:top w:val="nil"/>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704</w:t>
            </w:r>
          </w:p>
        </w:tc>
        <w:tc>
          <w:tcPr>
            <w:tcW w:w="1375"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336</w:t>
            </w:r>
          </w:p>
        </w:tc>
        <w:tc>
          <w:tcPr>
            <w:tcW w:w="1967"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48</w:t>
            </w:r>
          </w:p>
        </w:tc>
      </w:tr>
      <w:tr w:rsidR="00060F1F" w:rsidRPr="001D42DA" w:rsidTr="001D42DA">
        <w:trPr>
          <w:cantSplit/>
          <w:jc w:val="center"/>
        </w:trPr>
        <w:tc>
          <w:tcPr>
            <w:tcW w:w="2410" w:type="dxa"/>
            <w:tcBorders>
              <w:top w:val="nil"/>
              <w:left w:val="single" w:sz="4" w:space="0" w:color="auto"/>
              <w:bottom w:val="single" w:sz="4" w:space="0" w:color="auto"/>
              <w:right w:val="single" w:sz="4" w:space="0" w:color="auto"/>
            </w:tcBorders>
            <w:shd w:val="clear" w:color="auto" w:fill="auto"/>
            <w:noWrap/>
            <w:vAlign w:val="center"/>
          </w:tcPr>
          <w:p w:rsidR="00060F1F" w:rsidRPr="001D42DA" w:rsidRDefault="00492FC7"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b/>
                <w:bCs/>
                <w:color w:val="000000"/>
                <w:sz w:val="28"/>
                <w:szCs w:val="28"/>
                <w:rtl/>
              </w:rPr>
              <w:t>المجموع</w:t>
            </w:r>
          </w:p>
        </w:tc>
        <w:tc>
          <w:tcPr>
            <w:tcW w:w="1537" w:type="dxa"/>
            <w:tcBorders>
              <w:top w:val="nil"/>
              <w:left w:val="nil"/>
              <w:bottom w:val="single" w:sz="4" w:space="0" w:color="auto"/>
              <w:right w:val="single" w:sz="4" w:space="0" w:color="auto"/>
            </w:tcBorders>
            <w:shd w:val="clear" w:color="auto" w:fill="auto"/>
            <w:vAlign w:val="center"/>
          </w:tcPr>
          <w:p w:rsidR="00060F1F" w:rsidRPr="001D42DA" w:rsidRDefault="006F3561" w:rsidP="006F3561">
            <w:pPr>
              <w:keepNext/>
              <w:bidi/>
              <w:jc w:val="center"/>
              <w:rPr>
                <w:rFonts w:ascii="Arabic Typesetting" w:hAnsi="Arabic Typesetting" w:cs="Arabic Typesetting"/>
                <w:color w:val="000000"/>
                <w:sz w:val="28"/>
                <w:szCs w:val="28"/>
              </w:rPr>
            </w:pPr>
            <w:r w:rsidRPr="001D42DA">
              <w:rPr>
                <w:rFonts w:ascii="Arabic Typesetting" w:hAnsi="Arabic Typesetting" w:cs="Arabic Typesetting" w:hint="cs"/>
                <w:color w:val="000000"/>
                <w:sz w:val="28"/>
                <w:szCs w:val="28"/>
                <w:rtl/>
              </w:rPr>
              <w:t>5116</w:t>
            </w:r>
          </w:p>
        </w:tc>
        <w:tc>
          <w:tcPr>
            <w:tcW w:w="0" w:type="auto"/>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5062</w:t>
            </w:r>
          </w:p>
        </w:tc>
        <w:tc>
          <w:tcPr>
            <w:tcW w:w="1375"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2329</w:t>
            </w:r>
          </w:p>
        </w:tc>
        <w:tc>
          <w:tcPr>
            <w:tcW w:w="1967" w:type="dxa"/>
            <w:tcBorders>
              <w:top w:val="nil"/>
              <w:left w:val="nil"/>
              <w:bottom w:val="single" w:sz="4" w:space="0" w:color="auto"/>
              <w:right w:val="single" w:sz="4" w:space="0" w:color="auto"/>
            </w:tcBorders>
            <w:shd w:val="clear" w:color="auto" w:fill="auto"/>
            <w:vAlign w:val="center"/>
          </w:tcPr>
          <w:p w:rsidR="00060F1F" w:rsidRPr="001D42DA" w:rsidRDefault="006A34F8" w:rsidP="006F3561">
            <w:pPr>
              <w:keepNext/>
              <w:bidi/>
              <w:jc w:val="center"/>
              <w:rPr>
                <w:rFonts w:ascii="Arabic Typesetting" w:hAnsi="Arabic Typesetting" w:cs="Arabic Typesetting"/>
                <w:color w:val="000000"/>
                <w:sz w:val="28"/>
                <w:szCs w:val="28"/>
              </w:rPr>
            </w:pPr>
            <w:r>
              <w:rPr>
                <w:rFonts w:ascii="Arabic Typesetting" w:hAnsi="Arabic Typesetting" w:cs="Arabic Typesetting" w:hint="cs"/>
                <w:color w:val="000000"/>
                <w:sz w:val="28"/>
                <w:szCs w:val="28"/>
                <w:rtl/>
              </w:rPr>
              <w:t>46</w:t>
            </w:r>
          </w:p>
        </w:tc>
      </w:tr>
    </w:tbl>
    <w:p w:rsidR="006A34F8" w:rsidRPr="006A34F8" w:rsidRDefault="006A34F8" w:rsidP="006A34F8">
      <w:pPr>
        <w:pStyle w:val="NumberedParaAR"/>
        <w:numPr>
          <w:ilvl w:val="0"/>
          <w:numId w:val="0"/>
        </w:numPr>
        <w:spacing w:before="120" w:line="280" w:lineRule="exact"/>
        <w:ind w:left="283"/>
        <w:rPr>
          <w:rFonts w:eastAsia="SimSun" w:hint="cs"/>
          <w:sz w:val="28"/>
          <w:szCs w:val="28"/>
          <w:lang w:eastAsia="zh-CN" w:bidi="ar-EG"/>
        </w:rPr>
      </w:pPr>
      <w:r>
        <w:rPr>
          <w:rFonts w:eastAsia="SimSun" w:hint="cs"/>
          <w:sz w:val="28"/>
          <w:szCs w:val="28"/>
          <w:rtl/>
          <w:lang w:eastAsia="zh-CN" w:bidi="ar-EG"/>
        </w:rPr>
        <w:t>ملاحظة -  ميزانية 2014/15 بعد التحويلات تعكس التحويلات إلى غاية 31 مارس 2015 لتلبية الاحتياجات خلال الثنائية 2014/15 طبقا لأحكام المادة 5.5 من النظام المالي.</w:t>
      </w:r>
    </w:p>
    <w:p w:rsidR="00587AFB" w:rsidRDefault="00060F1F" w:rsidP="00060F1F">
      <w:pPr>
        <w:pStyle w:val="NumberedParaAR"/>
        <w:spacing w:before="240"/>
        <w:rPr>
          <w:rFonts w:eastAsia="SimSun"/>
          <w:lang w:eastAsia="zh-CN" w:bidi="ar-EG"/>
        </w:rPr>
      </w:pPr>
      <w:r w:rsidRPr="00060F1F">
        <w:rPr>
          <w:rFonts w:eastAsia="SimSun"/>
          <w:rtl/>
          <w:lang w:eastAsia="zh-CN" w:bidi="ar-EG"/>
        </w:rPr>
        <w:t>وخلال الفترة المشمولة بالتقرير،</w:t>
      </w:r>
      <w:r w:rsidR="00587AFB">
        <w:rPr>
          <w:rFonts w:eastAsia="SimSun" w:hint="cs"/>
          <w:rtl/>
          <w:lang w:eastAsia="zh-CN" w:bidi="ar-EG"/>
        </w:rPr>
        <w:t xml:space="preserve"> استعين بخبراء متعاقد معهم لتنفيذ مختلف أنشطة الرقابة. واكتست هذه الأنشطة قيمة خاصة في العمل المتعلق بعمليات التقييم والتدقيق المتخصص والتحقيق.</w:t>
      </w:r>
    </w:p>
    <w:p w:rsidR="00060F1F" w:rsidRPr="00632A79" w:rsidRDefault="00060F1F" w:rsidP="00060F1F">
      <w:pPr>
        <w:pStyle w:val="NumberedParaAR"/>
        <w:keepNext/>
        <w:numPr>
          <w:ilvl w:val="0"/>
          <w:numId w:val="0"/>
        </w:numPr>
        <w:rPr>
          <w:rFonts w:eastAsia="SimSun"/>
          <w:u w:val="single"/>
          <w:lang w:eastAsia="zh-CN" w:bidi="ar-EG"/>
        </w:rPr>
      </w:pPr>
      <w:r w:rsidRPr="00632A79">
        <w:rPr>
          <w:rFonts w:eastAsia="SimSun" w:hint="cs"/>
          <w:u w:val="single"/>
          <w:rtl/>
          <w:lang w:eastAsia="zh-CN" w:bidi="ar-EG"/>
        </w:rPr>
        <w:t>التدريب</w:t>
      </w:r>
    </w:p>
    <w:p w:rsidR="00587AFB" w:rsidRDefault="00587AFB" w:rsidP="00492FC7">
      <w:pPr>
        <w:pStyle w:val="NumberedParaAR"/>
        <w:rPr>
          <w:rFonts w:eastAsia="SimSun"/>
          <w:lang w:eastAsia="zh-CN" w:bidi="ar-EG"/>
        </w:rPr>
      </w:pPr>
      <w:r>
        <w:rPr>
          <w:rFonts w:eastAsia="SimSun" w:hint="cs"/>
          <w:rtl/>
          <w:lang w:eastAsia="zh-CN" w:bidi="ar-EG"/>
        </w:rPr>
        <w:t xml:space="preserve">نظراً إلى أهمية التطور المهني المستمر للموظفين ووفقاً لسياسة التدريب في الويبو، حضر موظفو شعبة الرقابة الداخلية أنشطة تدريب </w:t>
      </w:r>
      <w:r w:rsidR="00492FC7">
        <w:rPr>
          <w:rFonts w:eastAsia="SimSun" w:hint="cs"/>
          <w:rtl/>
          <w:lang w:eastAsia="zh-CN" w:bidi="ar-EG"/>
        </w:rPr>
        <w:t>موجهة لهم</w:t>
      </w:r>
      <w:r>
        <w:rPr>
          <w:rFonts w:eastAsia="SimSun" w:hint="cs"/>
          <w:rtl/>
          <w:lang w:eastAsia="zh-CN" w:bidi="ar-EG"/>
        </w:rPr>
        <w:t xml:space="preserve"> لاكتساب معا</w:t>
      </w:r>
      <w:r w:rsidR="00492FC7">
        <w:rPr>
          <w:rFonts w:eastAsia="SimSun" w:hint="cs"/>
          <w:rtl/>
          <w:lang w:eastAsia="zh-CN" w:bidi="ar-EG"/>
        </w:rPr>
        <w:t>ر</w:t>
      </w:r>
      <w:r>
        <w:rPr>
          <w:rFonts w:eastAsia="SimSun" w:hint="cs"/>
          <w:rtl/>
          <w:lang w:eastAsia="zh-CN" w:bidi="ar-EG"/>
        </w:rPr>
        <w:t>ف ومهارات تقنية وكفاءات جديدة لزيادة الفعالية والكفاءة التشغيلية للشعبة عند الاضطلاع بمهام رقابية. وشملت أنشطة التدريب التي حضرها موظفو الشعبة إدارة مهمة التدقيق ومكافحة الغش واكتشافه، وتقنيات البحث التحقيقي وتقييم التطوير وتحليل الأسباب الجذرية وإعداد التقارير وإدارة المخاطر.</w:t>
      </w:r>
    </w:p>
    <w:p w:rsidR="00060F1F" w:rsidRDefault="00060F1F" w:rsidP="001D42DA">
      <w:pPr>
        <w:pStyle w:val="EndofDocumentAR"/>
        <w:rPr>
          <w:rFonts w:eastAsia="SimSun"/>
          <w:rtl/>
          <w:lang w:eastAsia="zh-CN" w:bidi="ar-EG"/>
        </w:rPr>
      </w:pPr>
      <w:r>
        <w:rPr>
          <w:rFonts w:eastAsia="SimSun" w:hint="cs"/>
          <w:rtl/>
          <w:lang w:eastAsia="zh-CN" w:bidi="ar-EG"/>
        </w:rPr>
        <w:t>[تلي ذلك المرفق</w:t>
      </w:r>
      <w:r w:rsidR="001D42DA">
        <w:rPr>
          <w:rFonts w:eastAsia="SimSun" w:hint="cs"/>
          <w:rtl/>
          <w:lang w:eastAsia="zh-CN" w:bidi="ar-EG"/>
        </w:rPr>
        <w:t>ات</w:t>
      </w:r>
      <w:r>
        <w:rPr>
          <w:rFonts w:eastAsia="SimSun" w:hint="cs"/>
          <w:rtl/>
          <w:lang w:eastAsia="zh-CN" w:bidi="ar-EG"/>
        </w:rPr>
        <w:t>]</w:t>
      </w:r>
    </w:p>
    <w:p w:rsidR="00060F1F" w:rsidRPr="00060F1F" w:rsidRDefault="00060F1F" w:rsidP="00060F1F">
      <w:pPr>
        <w:pStyle w:val="NormalParaAR"/>
        <w:rPr>
          <w:rFonts w:eastAsia="SimSun"/>
          <w:rtl/>
          <w:lang w:eastAsia="zh-CN" w:bidi="ar-EG"/>
        </w:rPr>
      </w:pPr>
    </w:p>
    <w:p w:rsidR="00060F1F" w:rsidRDefault="00060F1F" w:rsidP="00F411DB">
      <w:pPr>
        <w:pStyle w:val="NumberedParaAR"/>
        <w:numPr>
          <w:ilvl w:val="0"/>
          <w:numId w:val="0"/>
        </w:numPr>
        <w:rPr>
          <w:rFonts w:eastAsia="SimSun"/>
          <w:rtl/>
          <w:lang w:eastAsia="zh-CN" w:bidi="ar-EG"/>
        </w:rPr>
        <w:sectPr w:rsidR="00060F1F" w:rsidSect="007E5B6E">
          <w:headerReference w:type="default" r:id="rId17"/>
          <w:headerReference w:type="first" r:id="rId18"/>
          <w:pgSz w:w="11907" w:h="16840" w:code="9"/>
          <w:pgMar w:top="567" w:right="1418" w:bottom="1418" w:left="1134" w:header="510" w:footer="1021" w:gutter="0"/>
          <w:pgNumType w:start="1"/>
          <w:cols w:space="720"/>
          <w:titlePg/>
          <w:docGrid w:linePitch="299"/>
        </w:sectPr>
      </w:pPr>
    </w:p>
    <w:p w:rsidR="00060F1F" w:rsidRPr="008A6F70" w:rsidRDefault="008A6F70" w:rsidP="008A6F70">
      <w:pPr>
        <w:pStyle w:val="NumberedParaAR"/>
        <w:keepNext/>
        <w:numPr>
          <w:ilvl w:val="0"/>
          <w:numId w:val="0"/>
        </w:numPr>
        <w:jc w:val="center"/>
        <w:rPr>
          <w:rFonts w:eastAsia="SimSun"/>
          <w:b/>
          <w:bCs/>
          <w:sz w:val="40"/>
          <w:szCs w:val="40"/>
          <w:rtl/>
          <w:lang w:eastAsia="zh-CN" w:bidi="ar-EG"/>
        </w:rPr>
      </w:pPr>
      <w:bookmarkStart w:id="24" w:name="Annex1"/>
      <w:r w:rsidRPr="008A6F70">
        <w:rPr>
          <w:rFonts w:eastAsia="SimSun" w:hint="cs"/>
          <w:b/>
          <w:bCs/>
          <w:sz w:val="40"/>
          <w:szCs w:val="40"/>
          <w:rtl/>
          <w:lang w:eastAsia="zh-CN" w:bidi="ar-EG"/>
        </w:rPr>
        <w:lastRenderedPageBreak/>
        <w:t>وضع مهام الرقابة في عام 2014</w:t>
      </w:r>
    </w:p>
    <w:tbl>
      <w:tblPr>
        <w:bidiVisual/>
        <w:tblW w:w="10490" w:type="dxa"/>
        <w:jc w:val="center"/>
        <w:tblInd w:w="-601" w:type="dxa"/>
        <w:tblLayout w:type="fixed"/>
        <w:tblLook w:val="04A0" w:firstRow="1" w:lastRow="0" w:firstColumn="1" w:lastColumn="0" w:noHBand="0" w:noVBand="1"/>
      </w:tblPr>
      <w:tblGrid>
        <w:gridCol w:w="141"/>
        <w:gridCol w:w="7656"/>
        <w:gridCol w:w="140"/>
        <w:gridCol w:w="1419"/>
        <w:gridCol w:w="141"/>
        <w:gridCol w:w="851"/>
        <w:gridCol w:w="142"/>
      </w:tblGrid>
      <w:tr w:rsidR="008A6F70" w:rsidRPr="0034386D" w:rsidTr="0034386D">
        <w:trPr>
          <w:gridAfter w:val="1"/>
          <w:wAfter w:w="142" w:type="dxa"/>
          <w:cantSplit/>
          <w:trHeight w:val="240"/>
          <w:tblHeader/>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bookmarkEnd w:id="24"/>
          <w:p w:rsidR="008A6F70" w:rsidRPr="0034386D" w:rsidRDefault="00BD26A4" w:rsidP="00544FF4">
            <w:pPr>
              <w:bidi/>
              <w:jc w:val="center"/>
              <w:rPr>
                <w:rFonts w:cs="Arabic Typesetting"/>
                <w:bCs/>
                <w:sz w:val="16"/>
                <w:szCs w:val="28"/>
              </w:rPr>
            </w:pPr>
            <w:r w:rsidRPr="0034386D">
              <w:rPr>
                <w:rFonts w:cs="Arabic Typesetting" w:hint="cs"/>
                <w:bCs/>
                <w:sz w:val="16"/>
                <w:szCs w:val="28"/>
                <w:rtl/>
              </w:rPr>
              <w:t>الخطة</w:t>
            </w:r>
          </w:p>
        </w:tc>
        <w:tc>
          <w:tcPr>
            <w:tcW w:w="1559"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8A6F70" w:rsidRPr="0034386D" w:rsidRDefault="00BD26A4" w:rsidP="00544FF4">
            <w:pPr>
              <w:bidi/>
              <w:jc w:val="center"/>
              <w:rPr>
                <w:rFonts w:cs="Arabic Typesetting"/>
                <w:bCs/>
                <w:sz w:val="16"/>
                <w:szCs w:val="28"/>
              </w:rPr>
            </w:pPr>
            <w:r w:rsidRPr="0034386D">
              <w:rPr>
                <w:rFonts w:cs="Arabic Typesetting" w:hint="cs"/>
                <w:bCs/>
                <w:sz w:val="16"/>
                <w:szCs w:val="28"/>
                <w:rtl/>
              </w:rPr>
              <w:t>القطاع</w:t>
            </w:r>
          </w:p>
        </w:tc>
        <w:tc>
          <w:tcPr>
            <w:tcW w:w="992" w:type="dxa"/>
            <w:gridSpan w:val="2"/>
            <w:tcBorders>
              <w:top w:val="single" w:sz="4" w:space="0" w:color="auto"/>
              <w:left w:val="nil"/>
              <w:bottom w:val="single" w:sz="4" w:space="0" w:color="auto"/>
              <w:right w:val="single" w:sz="4" w:space="0" w:color="auto"/>
            </w:tcBorders>
            <w:shd w:val="clear" w:color="auto" w:fill="BFBFBF" w:themeFill="background1" w:themeFillShade="BF"/>
          </w:tcPr>
          <w:p w:rsidR="008A6F70" w:rsidRPr="0034386D" w:rsidRDefault="00BD26A4" w:rsidP="00544FF4">
            <w:pPr>
              <w:bidi/>
              <w:jc w:val="center"/>
              <w:rPr>
                <w:rFonts w:cs="Arabic Typesetting"/>
                <w:bCs/>
                <w:sz w:val="16"/>
                <w:szCs w:val="28"/>
              </w:rPr>
            </w:pPr>
            <w:r w:rsidRPr="0034386D">
              <w:rPr>
                <w:rFonts w:cs="Arabic Typesetting" w:hint="cs"/>
                <w:bCs/>
                <w:sz w:val="16"/>
                <w:szCs w:val="28"/>
                <w:rtl/>
              </w:rPr>
              <w:t>الوضع</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sz w:val="16"/>
                <w:szCs w:val="28"/>
              </w:rPr>
              <w:t>EVAL 2014 -01</w:t>
            </w:r>
            <w:r w:rsidRPr="00CD14C4">
              <w:rPr>
                <w:rFonts w:cs="Arabic Typesetting" w:hint="cs"/>
                <w:sz w:val="16"/>
                <w:szCs w:val="28"/>
                <w:rtl/>
                <w:lang w:bidi="ar-EG"/>
              </w:rPr>
              <w:t xml:space="preserve"> </w:t>
            </w:r>
            <w:r w:rsidRPr="00CD14C4">
              <w:rPr>
                <w:rFonts w:cs="Arabic Typesetting"/>
                <w:sz w:val="16"/>
                <w:szCs w:val="28"/>
                <w:rtl/>
                <w:lang w:bidi="ar-EG"/>
              </w:rPr>
              <w:t>–</w:t>
            </w:r>
            <w:r w:rsidR="00BD26A4" w:rsidRPr="00CD14C4">
              <w:rPr>
                <w:rFonts w:cs="Arabic Typesetting" w:hint="cs"/>
                <w:sz w:val="16"/>
                <w:szCs w:val="28"/>
                <w:rtl/>
                <w:lang w:bidi="ar-EG"/>
              </w:rPr>
              <w:t xml:space="preserve"> الهدف الاستراتيجي السادس: التعاون الدولي من أجل إزكاء الاحترام للملكية الفكرية</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492FC7" w:rsidP="00544FF4">
            <w:pPr>
              <w:bidi/>
              <w:rPr>
                <w:rFonts w:cs="Arabic Typesetting"/>
                <w:sz w:val="16"/>
                <w:szCs w:val="28"/>
              </w:rPr>
            </w:pPr>
            <w:r>
              <w:rPr>
                <w:rFonts w:cs="Arabic Typesetting" w:hint="cs"/>
                <w:sz w:val="16"/>
                <w:szCs w:val="28"/>
                <w:rtl/>
              </w:rPr>
              <w:t>القضايا العالمية</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406"/>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sz w:val="16"/>
                <w:szCs w:val="28"/>
              </w:rPr>
              <w:t>EVAL 2014 – 02</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تبادل المعارف في الويبو</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hint="cs"/>
                <w:sz w:val="16"/>
                <w:szCs w:val="28"/>
                <w:rtl/>
              </w:rPr>
              <w:t>الكل</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E24272" w:rsidRPr="00CD14C4" w:rsidRDefault="008A6F70" w:rsidP="00544FF4">
            <w:pPr>
              <w:bidi/>
              <w:rPr>
                <w:rFonts w:cs="Arabic Typesetting"/>
                <w:sz w:val="16"/>
                <w:szCs w:val="28"/>
              </w:rPr>
            </w:pPr>
            <w:r w:rsidRPr="00CD14C4">
              <w:rPr>
                <w:rFonts w:cs="Arabic Typesetting"/>
                <w:sz w:val="16"/>
                <w:szCs w:val="28"/>
              </w:rPr>
              <w:t>EVAL 2014 – 04</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تقييم البرنامج</w:t>
            </w:r>
            <w:r w:rsidR="00544FF4">
              <w:rPr>
                <w:rFonts w:cs="Arabic Typesetting" w:hint="cs"/>
                <w:sz w:val="16"/>
                <w:szCs w:val="28"/>
                <w:rtl/>
              </w:rPr>
              <w:t xml:space="preserve"> </w:t>
            </w:r>
            <w:r w:rsidR="00544FF4" w:rsidRPr="00544FF4">
              <w:rPr>
                <w:rFonts w:asciiTheme="minorBidi" w:hAnsiTheme="minorBidi" w:cstheme="minorBidi"/>
                <w:sz w:val="16"/>
                <w:szCs w:val="16"/>
                <w:rtl/>
              </w:rPr>
              <w:t>30</w:t>
            </w:r>
            <w:r w:rsidR="00E24272" w:rsidRPr="00CD14C4">
              <w:rPr>
                <w:rFonts w:cs="Arabic Typesetting" w:hint="cs"/>
                <w:sz w:val="16"/>
                <w:szCs w:val="28"/>
                <w:rtl/>
              </w:rPr>
              <w:t xml:space="preserve">: </w:t>
            </w:r>
            <w:r w:rsidR="00E24272" w:rsidRPr="00CD14C4">
              <w:rPr>
                <w:rFonts w:cs="Arabic Typesetting"/>
                <w:sz w:val="16"/>
                <w:szCs w:val="28"/>
                <w:rtl/>
                <w:lang w:val="fr-CH"/>
              </w:rPr>
              <w:t>الشركات الصغيرة والمتوسطة ودعم المقاولة</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CD14C4" w:rsidP="00544FF4">
            <w:pPr>
              <w:bidi/>
              <w:rPr>
                <w:rFonts w:cs="Arabic Typesetting"/>
                <w:sz w:val="16"/>
                <w:szCs w:val="28"/>
              </w:rPr>
            </w:pPr>
            <w:r w:rsidRPr="00CD14C4">
              <w:rPr>
                <w:rFonts w:cs="Arabic Typesetting" w:hint="cs"/>
                <w:sz w:val="16"/>
                <w:szCs w:val="28"/>
                <w:rtl/>
              </w:rPr>
              <w:t>مكتب المدير العام</w:t>
            </w:r>
          </w:p>
        </w:tc>
        <w:tc>
          <w:tcPr>
            <w:tcW w:w="992" w:type="dxa"/>
            <w:gridSpan w:val="2"/>
            <w:tcBorders>
              <w:top w:val="single" w:sz="4" w:space="0" w:color="auto"/>
              <w:left w:val="nil"/>
              <w:bottom w:val="single" w:sz="4" w:space="0" w:color="auto"/>
              <w:right w:val="single" w:sz="4" w:space="0" w:color="auto"/>
            </w:tcBorders>
            <w:shd w:val="clear" w:color="000000" w:fill="FFFF0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291"/>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8A6F70" w:rsidP="00544FF4">
            <w:pPr>
              <w:bidi/>
              <w:rPr>
                <w:rFonts w:cs="Arabic Typesetting"/>
                <w:sz w:val="16"/>
                <w:szCs w:val="28"/>
              </w:rPr>
            </w:pPr>
            <w:r w:rsidRPr="00CD14C4">
              <w:rPr>
                <w:rFonts w:cs="Arabic Typesetting"/>
                <w:sz w:val="16"/>
                <w:szCs w:val="28"/>
              </w:rPr>
              <w:t>EVAL 2014 – 05</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تقييم </w:t>
            </w:r>
            <w:r w:rsidR="00D1147D">
              <w:rPr>
                <w:rFonts w:cs="Arabic Typesetting" w:hint="cs"/>
                <w:sz w:val="16"/>
                <w:szCs w:val="28"/>
                <w:rtl/>
              </w:rPr>
              <w:t>محفظة</w:t>
            </w:r>
            <w:r w:rsidR="00E24272" w:rsidRPr="00CD14C4">
              <w:rPr>
                <w:rFonts w:cs="Arabic Typesetting" w:hint="cs"/>
                <w:sz w:val="16"/>
                <w:szCs w:val="28"/>
                <w:rtl/>
              </w:rPr>
              <w:t xml:space="preserve"> البلد في شيلي</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CD14C4" w:rsidP="00544FF4">
            <w:pPr>
              <w:bidi/>
              <w:rPr>
                <w:rFonts w:cs="Arabic Typesetting"/>
                <w:sz w:val="16"/>
                <w:szCs w:val="28"/>
              </w:rPr>
            </w:pPr>
            <w:r w:rsidRPr="00CD14C4">
              <w:rPr>
                <w:rFonts w:cs="Arabic Typesetting" w:hint="cs"/>
                <w:sz w:val="16"/>
                <w:szCs w:val="28"/>
                <w:rtl/>
              </w:rPr>
              <w:t>الكل</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267"/>
          <w:jc w:val="center"/>
        </w:trPr>
        <w:tc>
          <w:tcPr>
            <w:tcW w:w="7797" w:type="dxa"/>
            <w:gridSpan w:val="2"/>
            <w:tcBorders>
              <w:top w:val="nil"/>
              <w:left w:val="single" w:sz="4" w:space="0" w:color="auto"/>
              <w:bottom w:val="single" w:sz="4" w:space="0" w:color="auto"/>
              <w:right w:val="single" w:sz="4" w:space="0" w:color="auto"/>
            </w:tcBorders>
            <w:shd w:val="clear" w:color="auto" w:fill="auto"/>
          </w:tcPr>
          <w:p w:rsidR="008A6F70" w:rsidRPr="00CD14C4" w:rsidRDefault="00E24272" w:rsidP="00544FF4">
            <w:pPr>
              <w:bidi/>
              <w:rPr>
                <w:rFonts w:cs="Arabic Typesetting"/>
                <w:sz w:val="16"/>
                <w:szCs w:val="28"/>
              </w:rPr>
            </w:pPr>
            <w:r w:rsidRPr="00CD14C4">
              <w:rPr>
                <w:rFonts w:cs="Arabic Typesetting"/>
                <w:sz w:val="16"/>
                <w:szCs w:val="28"/>
              </w:rPr>
              <w:t>EVAL 2014 – 06</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البرنامج الرائد للمكافآت والتقدير</w:t>
            </w:r>
          </w:p>
        </w:tc>
        <w:tc>
          <w:tcPr>
            <w:tcW w:w="1559" w:type="dxa"/>
            <w:gridSpan w:val="2"/>
            <w:tcBorders>
              <w:top w:val="nil"/>
              <w:left w:val="nil"/>
              <w:bottom w:val="single" w:sz="4" w:space="0" w:color="auto"/>
              <w:right w:val="single" w:sz="4" w:space="0" w:color="auto"/>
            </w:tcBorders>
            <w:shd w:val="clear" w:color="auto" w:fill="auto"/>
          </w:tcPr>
          <w:p w:rsidR="008A6F70" w:rsidRPr="00CD14C4" w:rsidRDefault="00CD14C4" w:rsidP="00544FF4">
            <w:pPr>
              <w:bidi/>
              <w:rPr>
                <w:rFonts w:cs="Arabic Typesetting"/>
                <w:sz w:val="16"/>
                <w:szCs w:val="28"/>
              </w:rPr>
            </w:pPr>
            <w:r w:rsidRPr="00CD14C4">
              <w:rPr>
                <w:rFonts w:cs="Arabic Typesetting" w:hint="cs"/>
                <w:sz w:val="16"/>
                <w:szCs w:val="28"/>
                <w:rtl/>
              </w:rPr>
              <w:t>إدارة الموارد البشرية</w:t>
            </w:r>
          </w:p>
        </w:tc>
        <w:tc>
          <w:tcPr>
            <w:tcW w:w="992" w:type="dxa"/>
            <w:gridSpan w:val="2"/>
            <w:tcBorders>
              <w:top w:val="nil"/>
              <w:left w:val="nil"/>
              <w:bottom w:val="single" w:sz="4" w:space="0" w:color="auto"/>
              <w:right w:val="single" w:sz="4" w:space="0" w:color="auto"/>
            </w:tcBorders>
            <w:shd w:val="clear" w:color="000000" w:fill="92D050"/>
          </w:tcPr>
          <w:p w:rsidR="008A6F70" w:rsidRPr="00CD14C4" w:rsidRDefault="008A6F70" w:rsidP="00544FF4">
            <w:pPr>
              <w:bidi/>
              <w:jc w:val="center"/>
              <w:rPr>
                <w:rFonts w:cs="Arabic Typesetting"/>
                <w:sz w:val="16"/>
                <w:szCs w:val="28"/>
              </w:rPr>
            </w:pPr>
          </w:p>
        </w:tc>
      </w:tr>
      <w:tr w:rsidR="008A6F70" w:rsidRPr="00CD14C4" w:rsidTr="0034386D">
        <w:trPr>
          <w:gridAfter w:val="1"/>
          <w:wAfter w:w="142" w:type="dxa"/>
          <w:cantSplit/>
          <w:trHeight w:val="27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2014-01</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إساءة استخدام وقت العمل</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2014-02</w:t>
            </w:r>
            <w:r w:rsidR="00E24272" w:rsidRPr="00CD14C4">
              <w:rPr>
                <w:rFonts w:cs="Arabic Typesetting" w:hint="cs"/>
                <w:sz w:val="16"/>
                <w:szCs w:val="28"/>
                <w:rtl/>
              </w:rPr>
              <w:t xml:space="preserve"> </w:t>
            </w:r>
            <w:r w:rsidR="00CD14C4">
              <w:rPr>
                <w:rFonts w:cs="Arabic Typesetting"/>
                <w:sz w:val="16"/>
                <w:szCs w:val="28"/>
                <w:rtl/>
              </w:rPr>
              <w:t>–</w:t>
            </w:r>
            <w:r w:rsidR="00E24272" w:rsidRPr="00CD14C4">
              <w:rPr>
                <w:rFonts w:cs="Arabic Typesetting" w:hint="cs"/>
                <w:sz w:val="16"/>
                <w:szCs w:val="28"/>
                <w:rtl/>
              </w:rPr>
              <w:t xml:space="preserve"> </w:t>
            </w:r>
            <w:r w:rsidR="00E24272"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40"/>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2014-03</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ممارسات مخالفة بشأن الموارد البشرية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6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2014-04</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w:t>
            </w:r>
            <w:r w:rsidR="00E543AE">
              <w:rPr>
                <w:rFonts w:cs="Arabic Typesetting" w:hint="cs"/>
                <w:sz w:val="16"/>
                <w:szCs w:val="28"/>
                <w:rtl/>
              </w:rPr>
              <w:t>الإفصاح عن معلومات دون إذن بذلك</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E24272"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2014-05</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ممارسات أخرى تنطوي على الغش أو الفساد أو 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95"/>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w:t>
            </w:r>
            <w:r w:rsidR="00E24272" w:rsidRPr="00CD14C4">
              <w:rPr>
                <w:rFonts w:cs="Arabic Typesetting"/>
                <w:sz w:val="16"/>
                <w:szCs w:val="28"/>
              </w:rPr>
              <w:t xml:space="preserve"> 2014-06</w:t>
            </w:r>
            <w:r w:rsidR="00E24272" w:rsidRPr="00CD14C4">
              <w:rPr>
                <w:rFonts w:cs="Arabic Typesetting" w:hint="cs"/>
                <w:sz w:val="16"/>
                <w:szCs w:val="28"/>
                <w:rtl/>
              </w:rPr>
              <w:t xml:space="preserve"> </w:t>
            </w:r>
            <w:r w:rsidR="00E24272" w:rsidRPr="00CD14C4">
              <w:rPr>
                <w:rFonts w:cs="Arabic Typesetting"/>
                <w:sz w:val="16"/>
                <w:szCs w:val="28"/>
                <w:rtl/>
              </w:rPr>
              <w:t>–</w:t>
            </w:r>
            <w:r w:rsidR="00E24272" w:rsidRPr="00CD14C4">
              <w:rPr>
                <w:rFonts w:cs="Arabic Typesetting" w:hint="cs"/>
                <w:sz w:val="16"/>
                <w:szCs w:val="28"/>
                <w:rtl/>
              </w:rPr>
              <w:t xml:space="preserve"> 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29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2014-07</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w:t>
            </w:r>
            <w:r w:rsidR="00E543AE">
              <w:rPr>
                <w:rFonts w:cs="Arabic Typesetting" w:hint="cs"/>
                <w:sz w:val="16"/>
                <w:szCs w:val="28"/>
                <w:rtl/>
              </w:rPr>
              <w:t>الإفصاح عن معلومات دون إذن بذلك</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544FF4">
        <w:trPr>
          <w:gridAfter w:val="1"/>
          <w:wAfter w:w="142" w:type="dxa"/>
          <w:cantSplit/>
          <w:trHeight w:val="267"/>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2014-08</w:t>
            </w:r>
            <w:r w:rsidRPr="00CD14C4">
              <w:rPr>
                <w:rFonts w:cs="Arabic Typesetting" w:hint="cs"/>
                <w:sz w:val="16"/>
                <w:szCs w:val="28"/>
                <w:rtl/>
              </w:rPr>
              <w:t xml:space="preserve"> </w:t>
            </w:r>
            <w:r w:rsidRPr="00CD14C4">
              <w:rPr>
                <w:rFonts w:cs="Arabic Typesetting"/>
                <w:sz w:val="16"/>
                <w:szCs w:val="28"/>
                <w:rtl/>
              </w:rPr>
              <w:t>–</w:t>
            </w:r>
            <w:r w:rsidRPr="00CD14C4">
              <w:rPr>
                <w:rFonts w:cs="Arabic Typesetting" w:hint="cs"/>
                <w:sz w:val="16"/>
                <w:szCs w:val="28"/>
                <w:rtl/>
              </w:rPr>
              <w:t xml:space="preserve"> ممارسات أخرى تنطوي على الغش أو الفساد أو 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2014-09</w:t>
            </w:r>
            <w:r w:rsidRPr="00CD14C4">
              <w:rPr>
                <w:rFonts w:cs="Arabic Typesetting" w:hint="cs"/>
                <w:sz w:val="16"/>
                <w:szCs w:val="28"/>
                <w:rtl/>
              </w:rPr>
              <w:t xml:space="preserve"> </w:t>
            </w:r>
            <w:r w:rsidR="00CD14C4">
              <w:rPr>
                <w:rFonts w:cs="Arabic Typesetting"/>
                <w:sz w:val="16"/>
                <w:szCs w:val="28"/>
                <w:rtl/>
              </w:rPr>
              <w:t>–</w:t>
            </w:r>
            <w:r w:rsidRPr="00CD14C4">
              <w:rPr>
                <w:rFonts w:cs="Arabic Typesetting" w:hint="cs"/>
                <w:sz w:val="16"/>
                <w:szCs w:val="28"/>
                <w:rtl/>
              </w:rPr>
              <w:t xml:space="preserve"> </w:t>
            </w:r>
            <w:r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Pr>
              <w:t>INV 2014-10</w:t>
            </w:r>
            <w:r w:rsidRPr="00CD14C4">
              <w:rPr>
                <w:rFonts w:cs="Arabic Typesetting" w:hint="cs"/>
                <w:sz w:val="16"/>
                <w:szCs w:val="28"/>
                <w:rtl/>
              </w:rPr>
              <w:t xml:space="preserve"> </w:t>
            </w:r>
            <w:r w:rsidR="00CD14C4">
              <w:rPr>
                <w:rFonts w:cs="Arabic Typesetting"/>
                <w:sz w:val="16"/>
                <w:szCs w:val="28"/>
                <w:rtl/>
              </w:rPr>
              <w:t>–</w:t>
            </w:r>
            <w:r w:rsidRPr="00CD14C4">
              <w:rPr>
                <w:rFonts w:cs="Arabic Typesetting" w:hint="cs"/>
                <w:sz w:val="16"/>
                <w:szCs w:val="28"/>
                <w:rtl/>
              </w:rPr>
              <w:t xml:space="preserve"> </w:t>
            </w:r>
            <w:r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2014-11</w:t>
            </w:r>
            <w:r w:rsidR="00E24272" w:rsidRPr="00CD14C4">
              <w:rPr>
                <w:rFonts w:cs="Arabic Typesetting" w:hint="cs"/>
                <w:sz w:val="16"/>
                <w:szCs w:val="28"/>
                <w:rtl/>
              </w:rPr>
              <w:t xml:space="preserve"> </w:t>
            </w:r>
            <w:r w:rsidR="00CD14C4">
              <w:rPr>
                <w:rFonts w:cs="Arabic Typesetting"/>
                <w:sz w:val="16"/>
                <w:szCs w:val="28"/>
                <w:rtl/>
              </w:rPr>
              <w:t>–</w:t>
            </w:r>
            <w:r w:rsidR="00E24272" w:rsidRPr="00CD14C4">
              <w:rPr>
                <w:rFonts w:cs="Arabic Typesetting" w:hint="cs"/>
                <w:sz w:val="16"/>
                <w:szCs w:val="28"/>
                <w:rtl/>
              </w:rPr>
              <w:t xml:space="preserve"> إ</w:t>
            </w:r>
            <w:r w:rsidR="00CD14C4">
              <w:rPr>
                <w:rFonts w:cs="Arabic Typesetting"/>
                <w:sz w:val="16"/>
                <w:szCs w:val="28"/>
                <w:rtl/>
              </w:rPr>
              <w:t>ساءة</w:t>
            </w:r>
            <w:r w:rsidR="00CD14C4">
              <w:rPr>
                <w:rFonts w:cs="Arabic Typesetting" w:hint="cs"/>
                <w:sz w:val="16"/>
                <w:szCs w:val="28"/>
                <w:rtl/>
              </w:rPr>
              <w:t xml:space="preserve"> </w:t>
            </w:r>
            <w:r w:rsidR="00E24272" w:rsidRPr="00CD14C4">
              <w:rPr>
                <w:rFonts w:cs="Arabic Typesetting"/>
                <w:sz w:val="16"/>
                <w:szCs w:val="28"/>
                <w:rtl/>
              </w:rPr>
              <w:t>استخدام موارد تكنولوجيا المعلومات والاتصالات</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2014-12</w:t>
            </w:r>
            <w:r w:rsidR="00E24272" w:rsidRPr="00CD14C4">
              <w:rPr>
                <w:rFonts w:cs="Arabic Typesetting" w:hint="cs"/>
                <w:sz w:val="16"/>
                <w:szCs w:val="28"/>
                <w:rtl/>
              </w:rPr>
              <w:t xml:space="preserve"> -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3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2014-13</w:t>
            </w:r>
            <w:r w:rsidR="00CD14C4" w:rsidRPr="00CD14C4">
              <w:rPr>
                <w:rFonts w:cs="Arabic Typesetting" w:hint="cs"/>
                <w:sz w:val="16"/>
                <w:szCs w:val="28"/>
                <w:rtl/>
              </w:rPr>
              <w:t xml:space="preserve"> </w:t>
            </w:r>
            <w:r w:rsidR="00CD14C4">
              <w:rPr>
                <w:rFonts w:cs="Arabic Typesetting"/>
                <w:sz w:val="16"/>
                <w:szCs w:val="28"/>
                <w:rtl/>
              </w:rPr>
              <w:t>–</w:t>
            </w:r>
            <w:r w:rsidR="00CD14C4" w:rsidRPr="00CD14C4">
              <w:rPr>
                <w:rFonts w:cs="Arabic Typesetting" w:hint="cs"/>
                <w:sz w:val="16"/>
                <w:szCs w:val="28"/>
                <w:rtl/>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14</w:t>
            </w:r>
            <w:r w:rsidR="00CD14C4" w:rsidRPr="00CD14C4">
              <w:rPr>
                <w:rFonts w:cs="Arabic Typesetting" w:hint="cs"/>
                <w:sz w:val="16"/>
                <w:szCs w:val="28"/>
                <w:rtl/>
              </w:rPr>
              <w:t xml:space="preserve"> </w:t>
            </w:r>
            <w:r w:rsidR="00CD14C4">
              <w:rPr>
                <w:rFonts w:cs="Arabic Typesetting"/>
                <w:sz w:val="16"/>
                <w:szCs w:val="28"/>
                <w:rtl/>
              </w:rPr>
              <w:t>–</w:t>
            </w:r>
            <w:r w:rsidR="00CD14C4" w:rsidRPr="00CD14C4">
              <w:rPr>
                <w:rFonts w:cs="Arabic Typesetting" w:hint="cs"/>
                <w:sz w:val="16"/>
                <w:szCs w:val="28"/>
                <w:rtl/>
              </w:rPr>
              <w:t xml:space="preserve"> </w:t>
            </w:r>
            <w:r w:rsidR="00E24272" w:rsidRPr="00CD14C4">
              <w:rPr>
                <w:rFonts w:cs="Arabic Typesetting"/>
                <w:sz w:val="16"/>
                <w:szCs w:val="28"/>
                <w:rtl/>
              </w:rPr>
              <w:t>بيانات وتصريحات وأنشطة تخالف التزامات موظف مدني دولي</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4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15</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09"/>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16</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إساءة استخدام وقت العمل</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4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17</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ارتكاب مرشح مخالفة خلال مسار التعيين</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322"/>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18</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19</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المضايقة/التمييز/إساءة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92D05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w:t>
            </w:r>
            <w:r w:rsidR="00CD14C4" w:rsidRPr="00CD14C4">
              <w:rPr>
                <w:rFonts w:cs="Arabic Typesetting"/>
                <w:sz w:val="16"/>
                <w:szCs w:val="28"/>
              </w:rPr>
              <w:t>20</w:t>
            </w:r>
            <w:r w:rsidR="00CD14C4" w:rsidRPr="00CD14C4">
              <w:rPr>
                <w:rFonts w:cs="Arabic Typesetting" w:hint="cs"/>
                <w:sz w:val="16"/>
                <w:szCs w:val="28"/>
                <w:rtl/>
                <w:lang w:bidi="ar-EG"/>
              </w:rPr>
              <w:t xml:space="preserve"> </w:t>
            </w:r>
            <w:r w:rsidR="00CD14C4">
              <w:rPr>
                <w:rFonts w:cs="Arabic Typesetting"/>
                <w:sz w:val="16"/>
                <w:szCs w:val="28"/>
                <w:rtl/>
                <w:lang w:bidi="ar-EG"/>
              </w:rPr>
              <w:t>–</w:t>
            </w:r>
            <w:r w:rsidR="00CD14C4" w:rsidRPr="00CD14C4">
              <w:rPr>
                <w:rFonts w:cs="Arabic Typesetting" w:hint="cs"/>
                <w:sz w:val="16"/>
                <w:szCs w:val="28"/>
                <w:rtl/>
                <w:lang w:bidi="ar-EG"/>
              </w:rPr>
              <w:t xml:space="preserve"> </w:t>
            </w:r>
            <w:r w:rsidR="00E24272" w:rsidRPr="00CD14C4">
              <w:rPr>
                <w:rFonts w:cs="Arabic Typesetting"/>
                <w:sz w:val="16"/>
                <w:szCs w:val="28"/>
                <w:rtl/>
              </w:rPr>
              <w:t>ممارسات أخرى تنطوي على الغش أو الفساد أو إساءة استخدام السلطة</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hideMark/>
          </w:tcPr>
          <w:p w:rsidR="008A6F70" w:rsidRPr="00CD14C4" w:rsidRDefault="008A6F70" w:rsidP="00544FF4">
            <w:pPr>
              <w:bidi/>
              <w:rPr>
                <w:rFonts w:cs="Arabic Typesetting"/>
                <w:sz w:val="16"/>
                <w:szCs w:val="28"/>
              </w:rPr>
            </w:pPr>
            <w:r w:rsidRPr="00CD14C4">
              <w:rPr>
                <w:rFonts w:cs="Arabic Typesetting"/>
                <w:sz w:val="16"/>
                <w:szCs w:val="28"/>
              </w:rPr>
              <w:t>INV 2014-21</w:t>
            </w:r>
            <w:r w:rsidR="00CD14C4" w:rsidRPr="00CD14C4">
              <w:rPr>
                <w:rFonts w:cs="Arabic Typesetting" w:hint="cs"/>
                <w:sz w:val="16"/>
                <w:szCs w:val="28"/>
                <w:rtl/>
              </w:rPr>
              <w:t xml:space="preserve"> </w:t>
            </w:r>
            <w:r w:rsidR="00CD14C4">
              <w:rPr>
                <w:rFonts w:cs="Arabic Typesetting"/>
                <w:sz w:val="16"/>
                <w:szCs w:val="28"/>
                <w:rtl/>
              </w:rPr>
              <w:t>–</w:t>
            </w:r>
            <w:r w:rsidR="00CD14C4" w:rsidRPr="00CD14C4">
              <w:rPr>
                <w:rFonts w:cs="Arabic Typesetting" w:hint="cs"/>
                <w:sz w:val="16"/>
                <w:szCs w:val="28"/>
                <w:rtl/>
              </w:rPr>
              <w:t xml:space="preserve"> </w:t>
            </w:r>
            <w:r w:rsidR="00E543AE">
              <w:rPr>
                <w:rFonts w:cs="Arabic Typesetting"/>
                <w:sz w:val="16"/>
                <w:szCs w:val="28"/>
                <w:rtl/>
              </w:rPr>
              <w:t>الإفصاح عن معلومات دون إذن بذلك</w:t>
            </w:r>
          </w:p>
        </w:tc>
        <w:tc>
          <w:tcPr>
            <w:tcW w:w="1559" w:type="dxa"/>
            <w:gridSpan w:val="2"/>
            <w:tcBorders>
              <w:top w:val="nil"/>
              <w:left w:val="nil"/>
              <w:bottom w:val="single" w:sz="4" w:space="0" w:color="auto"/>
              <w:right w:val="single" w:sz="4" w:space="0" w:color="auto"/>
            </w:tcBorders>
            <w:shd w:val="clear" w:color="auto" w:fill="auto"/>
            <w:hideMark/>
          </w:tcPr>
          <w:p w:rsidR="008A6F70" w:rsidRPr="00CD14C4" w:rsidRDefault="00E24272" w:rsidP="00544FF4">
            <w:pPr>
              <w:bidi/>
              <w:rPr>
                <w:rFonts w:cs="Arabic Typesetting"/>
                <w:sz w:val="16"/>
                <w:szCs w:val="28"/>
              </w:rPr>
            </w:pPr>
            <w:r w:rsidRPr="00CD14C4">
              <w:rPr>
                <w:rFonts w:cs="Arabic Typesetting"/>
                <w:sz w:val="16"/>
                <w:szCs w:val="28"/>
                <w:rtl/>
              </w:rPr>
              <w:t>لا ينطبق</w:t>
            </w:r>
          </w:p>
        </w:tc>
        <w:tc>
          <w:tcPr>
            <w:tcW w:w="992" w:type="dxa"/>
            <w:gridSpan w:val="2"/>
            <w:tcBorders>
              <w:top w:val="nil"/>
              <w:left w:val="nil"/>
              <w:bottom w:val="single" w:sz="4" w:space="0" w:color="auto"/>
              <w:right w:val="single" w:sz="4" w:space="0" w:color="auto"/>
            </w:tcBorders>
            <w:shd w:val="clear" w:color="000000" w:fill="FFFF00"/>
            <w:hideMark/>
          </w:tcPr>
          <w:p w:rsidR="008A6F70" w:rsidRPr="00CD14C4" w:rsidRDefault="008A6F70" w:rsidP="00544FF4">
            <w:pPr>
              <w:bidi/>
              <w:jc w:val="center"/>
              <w:rPr>
                <w:rFonts w:cs="Arabic Typesetting"/>
                <w:sz w:val="16"/>
                <w:szCs w:val="28"/>
              </w:rPr>
            </w:pPr>
            <w:r w:rsidRPr="00CD14C4">
              <w:rPr>
                <w:rFonts w:cs="Arabic Typesetting"/>
                <w:sz w:val="16"/>
                <w:szCs w:val="28"/>
              </w:rPr>
              <w:t> </w:t>
            </w: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color w:val="000000"/>
                <w:sz w:val="16"/>
                <w:szCs w:val="28"/>
              </w:rPr>
              <w:t>VALID 2014-01</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التصديق على تقرير أداء البرنامج للفترة </w:t>
            </w:r>
            <w:r w:rsidRPr="00544FF4">
              <w:rPr>
                <w:rFonts w:cs="Arabic Typesetting" w:hint="cs"/>
                <w:color w:val="000000"/>
                <w:sz w:val="16"/>
                <w:szCs w:val="16"/>
                <w:rtl/>
              </w:rPr>
              <w:t>2012-2013</w:t>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الويبو كلها</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8A6F70" w:rsidP="00544FF4">
            <w:pPr>
              <w:bidi/>
              <w:rPr>
                <w:rFonts w:cs="Arabic Typesetting"/>
                <w:color w:val="000000"/>
                <w:sz w:val="16"/>
                <w:szCs w:val="28"/>
              </w:rPr>
            </w:pPr>
            <w:r w:rsidRPr="00CD14C4">
              <w:rPr>
                <w:rFonts w:cs="Arabic Typesetting"/>
                <w:color w:val="000000"/>
                <w:sz w:val="16"/>
                <w:szCs w:val="28"/>
              </w:rPr>
              <w:t>IA 2014-01</w:t>
            </w:r>
            <w:r w:rsidR="00CD14C4" w:rsidRPr="00CD14C4">
              <w:rPr>
                <w:rFonts w:cs="Arabic Typesetting" w:hint="cs"/>
                <w:color w:val="000000"/>
                <w:sz w:val="16"/>
                <w:szCs w:val="28"/>
                <w:rtl/>
              </w:rPr>
              <w:t xml:space="preserve"> </w:t>
            </w:r>
            <w:r w:rsidR="00CD14C4">
              <w:rPr>
                <w:rFonts w:cs="Arabic Typesetting"/>
                <w:color w:val="000000"/>
                <w:sz w:val="16"/>
                <w:szCs w:val="28"/>
                <w:rtl/>
              </w:rPr>
              <w:t>–</w:t>
            </w:r>
            <w:r w:rsidR="00CD14C4" w:rsidRPr="00CD14C4">
              <w:rPr>
                <w:rFonts w:cs="Arabic Typesetting" w:hint="cs"/>
                <w:color w:val="000000"/>
                <w:sz w:val="16"/>
                <w:szCs w:val="28"/>
                <w:rtl/>
              </w:rPr>
              <w:t xml:space="preserve"> </w:t>
            </w:r>
            <w:r w:rsidR="00E24272" w:rsidRPr="00CD14C4">
              <w:rPr>
                <w:rFonts w:cs="Arabic Typesetting"/>
                <w:color w:val="000000"/>
                <w:sz w:val="16"/>
                <w:szCs w:val="28"/>
                <w:rtl/>
              </w:rPr>
              <w:t>مزايا ومستحقات الموظفين</w:t>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إدارة الموارد البشرية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8A6F70" w:rsidRPr="00CD14C4" w:rsidTr="0034386D">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color w:val="000000"/>
                <w:sz w:val="16"/>
                <w:szCs w:val="28"/>
              </w:rPr>
              <w:t>IA 2014-02</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إدارة الأحداث</w:t>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الويبو كلها</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8A6F70" w:rsidRPr="00CD14C4" w:rsidTr="00BC00AC">
        <w:trPr>
          <w:gridAfter w:val="1"/>
          <w:wAfter w:w="142" w:type="dxa"/>
          <w:cantSplit/>
          <w:trHeight w:val="58"/>
          <w:jc w:val="center"/>
        </w:trPr>
        <w:tc>
          <w:tcPr>
            <w:tcW w:w="7797" w:type="dxa"/>
            <w:gridSpan w:val="2"/>
            <w:tcBorders>
              <w:top w:val="nil"/>
              <w:left w:val="single" w:sz="4" w:space="0" w:color="auto"/>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color w:val="000000"/>
                <w:sz w:val="16"/>
                <w:szCs w:val="28"/>
              </w:rPr>
              <w:t>IA 2014-03</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تقييم خارجي لمهام التدقيق الداخلي في شعبة التدقيق والرقابة الداخلية</w:t>
            </w:r>
            <w:r w:rsidRPr="00CD14C4">
              <w:rPr>
                <w:rStyle w:val="FootnoteReference"/>
                <w:rFonts w:ascii="Arial" w:hAnsi="Arial"/>
                <w:color w:val="000000"/>
                <w:sz w:val="16"/>
                <w:rtl/>
              </w:rPr>
              <w:footnoteReference w:id="16"/>
            </w:r>
          </w:p>
        </w:tc>
        <w:tc>
          <w:tcPr>
            <w:tcW w:w="1559" w:type="dxa"/>
            <w:gridSpan w:val="2"/>
            <w:tcBorders>
              <w:top w:val="nil"/>
              <w:left w:val="nil"/>
              <w:bottom w:val="single" w:sz="4" w:space="0" w:color="auto"/>
              <w:right w:val="single" w:sz="4" w:space="0" w:color="auto"/>
            </w:tcBorders>
            <w:shd w:val="clear" w:color="auto" w:fill="auto"/>
            <w:vAlign w:val="center"/>
          </w:tcPr>
          <w:p w:rsidR="008A6F70" w:rsidRPr="00CD14C4" w:rsidRDefault="00CD14C4" w:rsidP="00544FF4">
            <w:pPr>
              <w:bidi/>
              <w:rPr>
                <w:rFonts w:cs="Arabic Typesetting"/>
                <w:color w:val="000000"/>
                <w:sz w:val="16"/>
                <w:szCs w:val="28"/>
              </w:rPr>
            </w:pPr>
            <w:r w:rsidRPr="00CD14C4">
              <w:rPr>
                <w:rFonts w:cs="Arabic Typesetting" w:hint="cs"/>
                <w:color w:val="000000"/>
                <w:sz w:val="16"/>
                <w:szCs w:val="28"/>
                <w:rtl/>
              </w:rPr>
              <w:t>شعبة الرقابة الداخلية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bidi/>
              <w:jc w:val="center"/>
              <w:rPr>
                <w:rFonts w:cs="Arabic Typesetting"/>
                <w:color w:val="000000"/>
                <w:sz w:val="16"/>
                <w:szCs w:val="28"/>
              </w:rPr>
            </w:pPr>
          </w:p>
        </w:tc>
      </w:tr>
      <w:tr w:rsidR="0034386D"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CD14C4" w:rsidRDefault="0034386D" w:rsidP="00544FF4">
            <w:pPr>
              <w:bidi/>
              <w:rPr>
                <w:rFonts w:cs="Arabic Typesetting"/>
                <w:color w:val="000000"/>
                <w:sz w:val="16"/>
                <w:szCs w:val="28"/>
              </w:rPr>
            </w:pPr>
            <w:r w:rsidRPr="00CD14C4">
              <w:rPr>
                <w:rFonts w:cs="Arabic Typesetting"/>
                <w:color w:val="000000"/>
                <w:sz w:val="16"/>
                <w:szCs w:val="28"/>
              </w:rPr>
              <w:t>IA 2014-05</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إدارة الأصول</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34386D" w:rsidRPr="00CD14C4" w:rsidRDefault="0034386D" w:rsidP="00544FF4">
            <w:pPr>
              <w:bidi/>
              <w:rPr>
                <w:rFonts w:cs="Arabic Typesetting"/>
                <w:color w:val="000000"/>
                <w:sz w:val="16"/>
                <w:szCs w:val="28"/>
              </w:rPr>
            </w:pPr>
            <w:r w:rsidRPr="00CD14C4">
              <w:rPr>
                <w:rFonts w:cs="Arabic Typesetting" w:hint="cs"/>
                <w:color w:val="000000"/>
                <w:sz w:val="16"/>
                <w:szCs w:val="28"/>
                <w:rtl/>
              </w:rPr>
              <w:t>الويبو كلها</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34386D" w:rsidRPr="00CD14C4" w:rsidRDefault="0034386D" w:rsidP="00544FF4">
            <w:pPr>
              <w:bidi/>
              <w:jc w:val="center"/>
              <w:rPr>
                <w:rFonts w:cs="Arabic Typesetting"/>
                <w:color w:val="000000"/>
                <w:sz w:val="16"/>
                <w:szCs w:val="28"/>
              </w:rPr>
            </w:pPr>
          </w:p>
        </w:tc>
      </w:tr>
      <w:tr w:rsidR="0034386D"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CD14C4" w:rsidRDefault="0034386D" w:rsidP="00544FF4">
            <w:pPr>
              <w:keepNext/>
              <w:bidi/>
              <w:rPr>
                <w:rFonts w:cs="Arabic Typesetting"/>
                <w:color w:val="000000"/>
                <w:sz w:val="16"/>
                <w:szCs w:val="28"/>
              </w:rPr>
            </w:pPr>
            <w:r w:rsidRPr="00CD14C4">
              <w:rPr>
                <w:rFonts w:cs="Arabic Typesetting"/>
                <w:color w:val="000000"/>
                <w:sz w:val="16"/>
                <w:szCs w:val="28"/>
              </w:rPr>
              <w:lastRenderedPageBreak/>
              <w:t>IA 2014-0</w:t>
            </w:r>
            <w:r>
              <w:rPr>
                <w:rFonts w:cs="Arabic Typesetting"/>
                <w:color w:val="000000"/>
                <w:sz w:val="16"/>
                <w:szCs w:val="28"/>
              </w:rPr>
              <w:t>7</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إدارة </w:t>
            </w:r>
            <w:r>
              <w:rPr>
                <w:rFonts w:cs="Arabic Typesetting" w:hint="cs"/>
                <w:color w:val="000000"/>
                <w:sz w:val="16"/>
                <w:szCs w:val="28"/>
                <w:rtl/>
              </w:rPr>
              <w:t>مخاطر الغير</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34386D" w:rsidRPr="00CD14C4" w:rsidRDefault="0034386D" w:rsidP="00544FF4">
            <w:pPr>
              <w:keepNext/>
              <w:bidi/>
              <w:rPr>
                <w:rFonts w:cs="Arabic Typesetting"/>
                <w:color w:val="000000"/>
                <w:sz w:val="16"/>
                <w:szCs w:val="28"/>
              </w:rPr>
            </w:pPr>
            <w:r>
              <w:rPr>
                <w:rFonts w:cs="Arabic Typesetting" w:hint="cs"/>
                <w:color w:val="000000"/>
                <w:sz w:val="16"/>
                <w:szCs w:val="28"/>
                <w:rtl/>
              </w:rPr>
              <w:t>قطاعات متداخلة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34386D" w:rsidRPr="00CD14C4" w:rsidRDefault="0034386D" w:rsidP="00544FF4">
            <w:pPr>
              <w:keepNext/>
              <w:bidi/>
              <w:jc w:val="center"/>
              <w:rPr>
                <w:rFonts w:cs="Arabic Typesetting"/>
                <w:color w:val="000000"/>
                <w:sz w:val="16"/>
                <w:szCs w:val="28"/>
              </w:rPr>
            </w:pPr>
          </w:p>
        </w:tc>
      </w:tr>
      <w:tr w:rsidR="00544FF4"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FF4" w:rsidRPr="00CD14C4" w:rsidRDefault="00544FF4" w:rsidP="00544FF4">
            <w:pPr>
              <w:keepNext/>
              <w:bidi/>
              <w:rPr>
                <w:rFonts w:cs="Arabic Typesetting"/>
                <w:color w:val="000000"/>
                <w:sz w:val="16"/>
                <w:szCs w:val="28"/>
              </w:rPr>
            </w:pPr>
            <w:r w:rsidRPr="00CD14C4">
              <w:rPr>
                <w:rFonts w:cs="Arabic Typesetting"/>
                <w:color w:val="000000"/>
                <w:sz w:val="16"/>
                <w:szCs w:val="28"/>
              </w:rPr>
              <w:t>IA 201</w:t>
            </w:r>
            <w:r>
              <w:rPr>
                <w:rFonts w:cs="Arabic Typesetting"/>
                <w:color w:val="000000"/>
                <w:sz w:val="16"/>
                <w:szCs w:val="28"/>
              </w:rPr>
              <w:t>3</w:t>
            </w:r>
            <w:r w:rsidRPr="00CD14C4">
              <w:rPr>
                <w:rFonts w:cs="Arabic Typesetting"/>
                <w:color w:val="000000"/>
                <w:sz w:val="16"/>
                <w:szCs w:val="28"/>
              </w:rPr>
              <w:t>-0</w:t>
            </w:r>
            <w:r>
              <w:rPr>
                <w:rFonts w:cs="Arabic Typesetting"/>
                <w:color w:val="000000"/>
                <w:sz w:val="16"/>
                <w:szCs w:val="28"/>
              </w:rPr>
              <w:t>1</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w:t>
            </w:r>
            <w:r>
              <w:rPr>
                <w:rFonts w:cs="Arabic Typesetting" w:hint="cs"/>
                <w:color w:val="000000"/>
                <w:sz w:val="16"/>
                <w:szCs w:val="28"/>
                <w:rtl/>
              </w:rPr>
              <w:t>أمن المعلومات</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544FF4" w:rsidRPr="00CD14C4" w:rsidRDefault="00544FF4" w:rsidP="00544FF4">
            <w:pPr>
              <w:keepNext/>
              <w:bidi/>
              <w:jc w:val="both"/>
              <w:rPr>
                <w:rFonts w:cs="Arabic Typesetting"/>
                <w:color w:val="000000"/>
                <w:sz w:val="16"/>
                <w:szCs w:val="28"/>
              </w:rPr>
            </w:pPr>
            <w:r>
              <w:rPr>
                <w:rFonts w:cs="Arabic Typesetting" w:hint="cs"/>
                <w:color w:val="000000"/>
                <w:sz w:val="16"/>
                <w:szCs w:val="28"/>
                <w:rtl/>
              </w:rPr>
              <w:t>الإدارة والتسيير</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544FF4" w:rsidRPr="00CD14C4" w:rsidRDefault="00544FF4" w:rsidP="00544FF4">
            <w:pPr>
              <w:keepNext/>
              <w:bidi/>
              <w:jc w:val="center"/>
              <w:rPr>
                <w:rFonts w:cs="Arabic Typesetting"/>
                <w:color w:val="000000"/>
                <w:sz w:val="16"/>
                <w:szCs w:val="28"/>
              </w:rPr>
            </w:pPr>
          </w:p>
        </w:tc>
      </w:tr>
      <w:tr w:rsidR="00544FF4"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44FF4" w:rsidRPr="00CD14C4" w:rsidRDefault="00544FF4" w:rsidP="00544FF4">
            <w:pPr>
              <w:keepNext/>
              <w:bidi/>
              <w:rPr>
                <w:rFonts w:cs="Arabic Typesetting"/>
                <w:color w:val="000000"/>
                <w:sz w:val="16"/>
                <w:szCs w:val="28"/>
              </w:rPr>
            </w:pPr>
            <w:r w:rsidRPr="00CD14C4">
              <w:rPr>
                <w:rFonts w:cs="Arabic Typesetting"/>
                <w:color w:val="000000"/>
                <w:sz w:val="16"/>
                <w:szCs w:val="28"/>
              </w:rPr>
              <w:t>IA 201</w:t>
            </w:r>
            <w:r>
              <w:rPr>
                <w:rFonts w:cs="Arabic Typesetting"/>
                <w:color w:val="000000"/>
                <w:sz w:val="16"/>
                <w:szCs w:val="28"/>
              </w:rPr>
              <w:t>3</w:t>
            </w:r>
            <w:r w:rsidRPr="00CD14C4">
              <w:rPr>
                <w:rFonts w:cs="Arabic Typesetting"/>
                <w:color w:val="000000"/>
                <w:sz w:val="16"/>
                <w:szCs w:val="28"/>
              </w:rPr>
              <w:t>-0</w:t>
            </w:r>
            <w:r>
              <w:rPr>
                <w:rFonts w:cs="Arabic Typesetting"/>
                <w:color w:val="000000"/>
                <w:sz w:val="16"/>
                <w:szCs w:val="28"/>
              </w:rPr>
              <w:t>3</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w:t>
            </w:r>
            <w:r>
              <w:rPr>
                <w:rFonts w:cs="Arabic Typesetting" w:hint="cs"/>
                <w:color w:val="000000"/>
                <w:sz w:val="16"/>
                <w:szCs w:val="28"/>
                <w:rtl/>
              </w:rPr>
              <w:t>استعراض إدارة انتهاء خدمة الموظفين</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544FF4" w:rsidRPr="00CD14C4" w:rsidRDefault="00544FF4" w:rsidP="00544FF4">
            <w:pPr>
              <w:keepNext/>
              <w:bidi/>
              <w:jc w:val="both"/>
              <w:rPr>
                <w:rFonts w:cs="Arabic Typesetting"/>
                <w:color w:val="000000"/>
                <w:sz w:val="16"/>
                <w:szCs w:val="28"/>
              </w:rPr>
            </w:pPr>
            <w:r>
              <w:rPr>
                <w:rFonts w:cs="Arabic Typesetting" w:hint="cs"/>
                <w:color w:val="000000"/>
                <w:sz w:val="16"/>
                <w:szCs w:val="28"/>
                <w:rtl/>
              </w:rPr>
              <w:t>الموارد البشرية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544FF4" w:rsidRPr="00CD14C4" w:rsidRDefault="00544FF4" w:rsidP="00544FF4">
            <w:pPr>
              <w:keepNext/>
              <w:bidi/>
              <w:jc w:val="center"/>
              <w:rPr>
                <w:rFonts w:cs="Arabic Typesetting"/>
                <w:color w:val="000000"/>
                <w:sz w:val="16"/>
                <w:szCs w:val="28"/>
              </w:rPr>
            </w:pPr>
          </w:p>
        </w:tc>
      </w:tr>
      <w:tr w:rsidR="008A6F70" w:rsidRPr="00CD14C4" w:rsidTr="00BC00AC">
        <w:trPr>
          <w:gridAfter w:val="1"/>
          <w:wAfter w:w="142" w:type="dxa"/>
          <w:cantSplit/>
          <w:trHeight w:val="58"/>
          <w:jc w:val="center"/>
        </w:trPr>
        <w:tc>
          <w:tcPr>
            <w:tcW w:w="7797" w:type="dxa"/>
            <w:gridSpan w:val="2"/>
            <w:tcBorders>
              <w:top w:val="single" w:sz="4" w:space="0" w:color="auto"/>
              <w:left w:val="single" w:sz="4" w:space="0" w:color="auto"/>
              <w:bottom w:val="nil"/>
              <w:right w:val="single" w:sz="4" w:space="0" w:color="auto"/>
            </w:tcBorders>
            <w:shd w:val="clear" w:color="auto" w:fill="auto"/>
            <w:vAlign w:val="center"/>
          </w:tcPr>
          <w:p w:rsidR="008A6F70" w:rsidRPr="00CD14C4" w:rsidRDefault="00CD14C4" w:rsidP="00544FF4">
            <w:pPr>
              <w:keepNext/>
              <w:bidi/>
              <w:rPr>
                <w:rFonts w:cs="Arabic Typesetting"/>
                <w:color w:val="000000"/>
                <w:sz w:val="16"/>
                <w:szCs w:val="28"/>
              </w:rPr>
            </w:pPr>
            <w:r w:rsidRPr="00CD14C4">
              <w:rPr>
                <w:rFonts w:cs="Arabic Typesetting"/>
                <w:color w:val="000000"/>
                <w:sz w:val="16"/>
                <w:szCs w:val="28"/>
              </w:rPr>
              <w:t>IA 201</w:t>
            </w:r>
            <w:r w:rsidR="0034386D">
              <w:rPr>
                <w:rFonts w:cs="Arabic Typesetting"/>
                <w:color w:val="000000"/>
                <w:sz w:val="16"/>
                <w:szCs w:val="28"/>
              </w:rPr>
              <w:t>3</w:t>
            </w:r>
            <w:r w:rsidRPr="00CD14C4">
              <w:rPr>
                <w:rFonts w:cs="Arabic Typesetting"/>
                <w:color w:val="000000"/>
                <w:sz w:val="16"/>
                <w:szCs w:val="28"/>
              </w:rPr>
              <w:t>-0</w:t>
            </w:r>
            <w:r w:rsidR="00544FF4">
              <w:rPr>
                <w:rFonts w:cs="Arabic Typesetting"/>
                <w:color w:val="000000"/>
                <w:sz w:val="16"/>
                <w:szCs w:val="28"/>
              </w:rPr>
              <w:t>5</w:t>
            </w:r>
            <w:r w:rsidRPr="00CD14C4">
              <w:rPr>
                <w:rFonts w:cs="Arabic Typesetting" w:hint="cs"/>
                <w:color w:val="000000"/>
                <w:sz w:val="16"/>
                <w:szCs w:val="28"/>
                <w:rtl/>
              </w:rPr>
              <w:t xml:space="preserve"> </w:t>
            </w:r>
            <w:r w:rsidRPr="00CD14C4">
              <w:rPr>
                <w:rFonts w:cs="Arabic Typesetting"/>
                <w:color w:val="000000"/>
                <w:sz w:val="16"/>
                <w:szCs w:val="28"/>
                <w:rtl/>
              </w:rPr>
              <w:t>–</w:t>
            </w:r>
            <w:r w:rsidRPr="00CD14C4">
              <w:rPr>
                <w:rFonts w:cs="Arabic Typesetting" w:hint="cs"/>
                <w:color w:val="000000"/>
                <w:sz w:val="16"/>
                <w:szCs w:val="28"/>
                <w:rtl/>
              </w:rPr>
              <w:t xml:space="preserve"> </w:t>
            </w:r>
            <w:r w:rsidR="00544FF4">
              <w:rPr>
                <w:rFonts w:cs="Arabic Typesetting" w:hint="cs"/>
                <w:color w:val="000000"/>
                <w:sz w:val="16"/>
                <w:szCs w:val="28"/>
                <w:rtl/>
              </w:rPr>
              <w:t>استعراض مبادرة ضمن برنامج التقويم الاستراتيجي: تعزيز الإدارة القائمة على النتائج</w:t>
            </w:r>
          </w:p>
        </w:tc>
        <w:tc>
          <w:tcPr>
            <w:tcW w:w="1559" w:type="dxa"/>
            <w:gridSpan w:val="2"/>
            <w:tcBorders>
              <w:top w:val="single" w:sz="4" w:space="0" w:color="auto"/>
              <w:left w:val="nil"/>
              <w:bottom w:val="single" w:sz="4" w:space="0" w:color="auto"/>
              <w:right w:val="single" w:sz="4" w:space="0" w:color="auto"/>
            </w:tcBorders>
            <w:shd w:val="clear" w:color="auto" w:fill="auto"/>
            <w:vAlign w:val="center"/>
          </w:tcPr>
          <w:p w:rsidR="008A6F70" w:rsidRPr="00CD14C4" w:rsidRDefault="00544FF4" w:rsidP="00544FF4">
            <w:pPr>
              <w:keepNext/>
              <w:bidi/>
              <w:jc w:val="both"/>
              <w:rPr>
                <w:rFonts w:cs="Arabic Typesetting"/>
                <w:color w:val="000000"/>
                <w:sz w:val="16"/>
                <w:szCs w:val="28"/>
              </w:rPr>
            </w:pPr>
            <w:r>
              <w:rPr>
                <w:rFonts w:cs="Arabic Typesetting" w:hint="cs"/>
                <w:color w:val="000000"/>
                <w:sz w:val="16"/>
                <w:szCs w:val="28"/>
                <w:rtl/>
              </w:rPr>
              <w:t>قطاعات متداخلة</w:t>
            </w:r>
          </w:p>
        </w:tc>
        <w:tc>
          <w:tcPr>
            <w:tcW w:w="992" w:type="dxa"/>
            <w:gridSpan w:val="2"/>
            <w:tcBorders>
              <w:top w:val="single" w:sz="4" w:space="0" w:color="auto"/>
              <w:left w:val="nil"/>
              <w:bottom w:val="single" w:sz="4" w:space="0" w:color="auto"/>
              <w:right w:val="single" w:sz="4" w:space="0" w:color="auto"/>
            </w:tcBorders>
            <w:shd w:val="clear" w:color="000000" w:fill="92D050"/>
            <w:vAlign w:val="center"/>
          </w:tcPr>
          <w:p w:rsidR="008A6F70" w:rsidRPr="00CD14C4" w:rsidRDefault="008A6F70" w:rsidP="00544FF4">
            <w:pPr>
              <w:keepNext/>
              <w:bidi/>
              <w:jc w:val="center"/>
              <w:rPr>
                <w:rFonts w:cs="Arabic Typesetting"/>
                <w:color w:val="000000"/>
                <w:sz w:val="16"/>
                <w:szCs w:val="28"/>
              </w:rPr>
            </w:pPr>
          </w:p>
        </w:tc>
      </w:tr>
      <w:tr w:rsidR="0034386D" w:rsidRPr="00B2242D" w:rsidTr="00BC00AC">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keepNext/>
              <w:bidi/>
              <w:rPr>
                <w:rFonts w:cs="Arabic Typesetting"/>
                <w:color w:val="000000"/>
                <w:sz w:val="16"/>
                <w:szCs w:val="28"/>
              </w:rPr>
            </w:pPr>
            <w:r w:rsidRPr="00B2242D">
              <w:rPr>
                <w:rFonts w:cs="Arabic Typesetting" w:hint="cs"/>
                <w:color w:val="000000"/>
                <w:sz w:val="16"/>
                <w:szCs w:val="28"/>
                <w:rtl/>
              </w:rPr>
              <w:t>المشاركة في الأنشطة الاستشارية</w:t>
            </w:r>
          </w:p>
        </w:tc>
        <w:tc>
          <w:tcPr>
            <w:tcW w:w="1560" w:type="dxa"/>
            <w:gridSpan w:val="2"/>
            <w:tcBorders>
              <w:top w:val="nil"/>
              <w:left w:val="nil"/>
              <w:right w:val="single" w:sz="4" w:space="0" w:color="auto"/>
            </w:tcBorders>
            <w:shd w:val="clear" w:color="auto" w:fill="auto"/>
            <w:vAlign w:val="center"/>
          </w:tcPr>
          <w:p w:rsidR="0034386D" w:rsidRPr="00B2242D" w:rsidRDefault="0034386D" w:rsidP="00544FF4">
            <w:pPr>
              <w:keepNext/>
              <w:bidi/>
              <w:rPr>
                <w:rFonts w:cs="Arabic Typesetting"/>
                <w:color w:val="000000"/>
                <w:sz w:val="16"/>
                <w:szCs w:val="28"/>
              </w:rPr>
            </w:pPr>
            <w:r w:rsidRPr="00B2242D">
              <w:rPr>
                <w:rFonts w:cs="Arabic Typesetting"/>
                <w:color w:val="000000"/>
                <w:sz w:val="16"/>
                <w:szCs w:val="28"/>
                <w:rtl/>
              </w:rPr>
              <w:t>قطاعات متداخلة</w:t>
            </w:r>
          </w:p>
        </w:tc>
        <w:tc>
          <w:tcPr>
            <w:tcW w:w="993" w:type="dxa"/>
            <w:gridSpan w:val="2"/>
            <w:tcBorders>
              <w:top w:val="nil"/>
              <w:left w:val="nil"/>
              <w:bottom w:val="single" w:sz="4" w:space="0" w:color="auto"/>
              <w:right w:val="single" w:sz="4" w:space="0" w:color="auto"/>
            </w:tcBorders>
            <w:shd w:val="clear" w:color="auto" w:fill="FFFF00"/>
            <w:vAlign w:val="center"/>
          </w:tcPr>
          <w:p w:rsidR="0034386D" w:rsidRPr="00B2242D" w:rsidRDefault="0034386D" w:rsidP="00544FF4">
            <w:pPr>
              <w:keepNext/>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الربط الشبكي مع الوكالات الأخرى</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lang w:bidi="ar-EG"/>
              </w:rPr>
            </w:pPr>
            <w:r w:rsidRPr="00B2242D">
              <w:rPr>
                <w:rFonts w:cs="Arabic Typesetting" w:hint="cs"/>
                <w:color w:val="000000"/>
                <w:sz w:val="16"/>
                <w:szCs w:val="28"/>
                <w:rtl/>
                <w:lang w:bidi="ar-EG"/>
              </w:rPr>
              <w:t>اللجنة الاستشارية المستقلة للرقابة</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أنشطة غير مباشرة أخرى</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متابعة التوصيات المفتوحة</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hint="cs"/>
                <w:color w:val="000000"/>
                <w:sz w:val="16"/>
                <w:szCs w:val="28"/>
                <w:rtl/>
              </w:rPr>
              <w:t>الكل</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r w:rsidR="0034386D" w:rsidRPr="00B2242D" w:rsidTr="0034386D">
        <w:tblPrEx>
          <w:jc w:val="left"/>
          <w:tblLook w:val="0000" w:firstRow="0" w:lastRow="0" w:firstColumn="0" w:lastColumn="0" w:noHBand="0" w:noVBand="0"/>
        </w:tblPrEx>
        <w:trPr>
          <w:gridBefore w:val="1"/>
          <w:wBefore w:w="141" w:type="dxa"/>
          <w:trHeight w:val="340"/>
        </w:trPr>
        <w:tc>
          <w:tcPr>
            <w:tcW w:w="77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386D" w:rsidRPr="00B2242D" w:rsidRDefault="0034386D" w:rsidP="00544FF4">
            <w:pPr>
              <w:bidi/>
              <w:rPr>
                <w:rFonts w:cs="Arabic Typesetting"/>
                <w:color w:val="000000"/>
                <w:sz w:val="16"/>
                <w:szCs w:val="28"/>
              </w:rPr>
            </w:pPr>
            <w:r w:rsidRPr="00B2242D">
              <w:rPr>
                <w:rFonts w:cs="Arabic Typesetting" w:hint="cs"/>
                <w:color w:val="000000"/>
                <w:sz w:val="16"/>
                <w:szCs w:val="28"/>
                <w:rtl/>
              </w:rPr>
              <w:t>التدريب</w:t>
            </w:r>
          </w:p>
        </w:tc>
        <w:tc>
          <w:tcPr>
            <w:tcW w:w="1560" w:type="dxa"/>
            <w:gridSpan w:val="2"/>
            <w:tcBorders>
              <w:top w:val="single" w:sz="4" w:space="0" w:color="auto"/>
              <w:left w:val="nil"/>
              <w:bottom w:val="single" w:sz="4" w:space="0" w:color="auto"/>
              <w:right w:val="single" w:sz="4" w:space="0" w:color="auto"/>
            </w:tcBorders>
            <w:shd w:val="clear" w:color="auto" w:fill="auto"/>
            <w:vAlign w:val="center"/>
          </w:tcPr>
          <w:p w:rsidR="0034386D" w:rsidRPr="00B2242D" w:rsidRDefault="0034386D" w:rsidP="00BC00AC">
            <w:pPr>
              <w:bidi/>
              <w:rPr>
                <w:rFonts w:cs="Arabic Typesetting"/>
                <w:color w:val="000000"/>
                <w:sz w:val="16"/>
                <w:szCs w:val="28"/>
              </w:rPr>
            </w:pPr>
            <w:r w:rsidRPr="00B2242D">
              <w:rPr>
                <w:rFonts w:cs="Arabic Typesetting"/>
                <w:color w:val="000000"/>
                <w:sz w:val="16"/>
                <w:szCs w:val="28"/>
                <w:rtl/>
              </w:rPr>
              <w:t>شعبة الرقابة الداخلية</w:t>
            </w:r>
          </w:p>
        </w:tc>
        <w:tc>
          <w:tcPr>
            <w:tcW w:w="993" w:type="dxa"/>
            <w:gridSpan w:val="2"/>
            <w:tcBorders>
              <w:top w:val="single" w:sz="4" w:space="0" w:color="auto"/>
              <w:left w:val="nil"/>
              <w:bottom w:val="single" w:sz="4" w:space="0" w:color="auto"/>
              <w:right w:val="single" w:sz="4" w:space="0" w:color="auto"/>
            </w:tcBorders>
            <w:shd w:val="clear" w:color="auto" w:fill="FFFF00"/>
            <w:vAlign w:val="center"/>
          </w:tcPr>
          <w:p w:rsidR="0034386D" w:rsidRPr="00B2242D" w:rsidRDefault="0034386D" w:rsidP="00544FF4">
            <w:pPr>
              <w:bidi/>
              <w:jc w:val="center"/>
              <w:rPr>
                <w:rFonts w:cs="Arabic Typesetting"/>
                <w:color w:val="000000"/>
                <w:sz w:val="16"/>
                <w:szCs w:val="28"/>
              </w:rPr>
            </w:pPr>
          </w:p>
        </w:tc>
      </w:tr>
    </w:tbl>
    <w:p w:rsidR="008A6F70" w:rsidRPr="00F94C23" w:rsidRDefault="008A6F70" w:rsidP="006B141B">
      <w:pPr>
        <w:pStyle w:val="NormalParaAR"/>
        <w:keepNext/>
        <w:spacing w:before="120" w:after="120"/>
        <w:rPr>
          <w:rtl/>
        </w:rPr>
      </w:pPr>
      <w:r w:rsidRPr="00F94C23">
        <w:rPr>
          <w:rtl/>
        </w:rPr>
        <w:t>تفسير الألوان: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552"/>
      </w:tblGrid>
      <w:tr w:rsidR="008A6F70" w:rsidRPr="001E4DF5" w:rsidTr="00CD14C4">
        <w:trPr>
          <w:trHeight w:val="58"/>
        </w:trPr>
        <w:tc>
          <w:tcPr>
            <w:tcW w:w="1843" w:type="dxa"/>
            <w:shd w:val="clear" w:color="auto" w:fill="FFFF00"/>
          </w:tcPr>
          <w:p w:rsidR="008A6F70" w:rsidRPr="001E4DF5" w:rsidRDefault="008A6F70" w:rsidP="00BD26A4">
            <w:pPr>
              <w:bidi/>
              <w:spacing w:after="120" w:line="260" w:lineRule="exact"/>
              <w:ind w:left="1021"/>
              <w:rPr>
                <w:rFonts w:ascii="Arabic Typesetting" w:hAnsi="Arabic Typesetting" w:cs="Arabic Typesetting"/>
                <w:szCs w:val="24"/>
              </w:rPr>
            </w:pPr>
          </w:p>
        </w:tc>
        <w:tc>
          <w:tcPr>
            <w:tcW w:w="2552" w:type="dxa"/>
          </w:tcPr>
          <w:p w:rsidR="008A6F70" w:rsidRPr="001E4DF5" w:rsidRDefault="008A6F70" w:rsidP="00BD26A4">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العمل جاري أو مستمر</w:t>
            </w:r>
          </w:p>
        </w:tc>
      </w:tr>
      <w:tr w:rsidR="008A6F70" w:rsidRPr="001E4DF5" w:rsidTr="004C68F6">
        <w:trPr>
          <w:trHeight w:val="58"/>
        </w:trPr>
        <w:tc>
          <w:tcPr>
            <w:tcW w:w="1843" w:type="dxa"/>
            <w:shd w:val="clear" w:color="auto" w:fill="92D050"/>
          </w:tcPr>
          <w:p w:rsidR="008A6F70" w:rsidRPr="001E4DF5" w:rsidRDefault="008A6F70" w:rsidP="00BD26A4">
            <w:pPr>
              <w:bidi/>
              <w:spacing w:after="120" w:line="260" w:lineRule="exact"/>
              <w:ind w:left="1021"/>
              <w:rPr>
                <w:rFonts w:ascii="Arabic Typesetting" w:hAnsi="Arabic Typesetting" w:cs="Arabic Typesetting"/>
                <w:szCs w:val="24"/>
              </w:rPr>
            </w:pPr>
          </w:p>
        </w:tc>
        <w:tc>
          <w:tcPr>
            <w:tcW w:w="2552" w:type="dxa"/>
          </w:tcPr>
          <w:p w:rsidR="008A6F70" w:rsidRPr="001E4DF5" w:rsidRDefault="008A6F70" w:rsidP="00BD26A4">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منتهي</w:t>
            </w:r>
          </w:p>
        </w:tc>
      </w:tr>
      <w:tr w:rsidR="008A6F70" w:rsidRPr="001E4DF5" w:rsidTr="00CD14C4">
        <w:trPr>
          <w:trHeight w:val="58"/>
        </w:trPr>
        <w:tc>
          <w:tcPr>
            <w:tcW w:w="1843" w:type="dxa"/>
          </w:tcPr>
          <w:p w:rsidR="008A6F70" w:rsidRPr="001E4DF5" w:rsidRDefault="008A6F70" w:rsidP="00BD26A4">
            <w:pPr>
              <w:bidi/>
              <w:spacing w:after="120" w:line="260" w:lineRule="exact"/>
              <w:ind w:left="1021"/>
              <w:rPr>
                <w:rFonts w:ascii="Arabic Typesetting" w:hAnsi="Arabic Typesetting" w:cs="Arabic Typesetting"/>
                <w:szCs w:val="24"/>
              </w:rPr>
            </w:pPr>
          </w:p>
        </w:tc>
        <w:tc>
          <w:tcPr>
            <w:tcW w:w="2552" w:type="dxa"/>
          </w:tcPr>
          <w:p w:rsidR="008A6F70" w:rsidRPr="001E4DF5" w:rsidRDefault="008A6F70" w:rsidP="00BD26A4">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لم يبدأ</w:t>
            </w:r>
          </w:p>
        </w:tc>
      </w:tr>
    </w:tbl>
    <w:p w:rsidR="00CD14C4" w:rsidRPr="00B2242D" w:rsidRDefault="00CD14C4" w:rsidP="006B141B">
      <w:pPr>
        <w:pStyle w:val="NumberedParaAR"/>
        <w:keepNext/>
        <w:pageBreakBefore/>
        <w:numPr>
          <w:ilvl w:val="0"/>
          <w:numId w:val="0"/>
        </w:numPr>
        <w:jc w:val="center"/>
        <w:rPr>
          <w:rFonts w:eastAsia="SimSun"/>
          <w:b/>
          <w:bCs/>
          <w:sz w:val="40"/>
          <w:szCs w:val="40"/>
          <w:rtl/>
          <w:lang w:eastAsia="zh-CN" w:bidi="ar-EG"/>
        </w:rPr>
      </w:pPr>
      <w:r w:rsidRPr="00B2242D">
        <w:rPr>
          <w:rFonts w:eastAsia="SimSun" w:hint="cs"/>
          <w:b/>
          <w:bCs/>
          <w:sz w:val="40"/>
          <w:szCs w:val="40"/>
          <w:rtl/>
          <w:lang w:eastAsia="zh-CN" w:bidi="ar-EG"/>
        </w:rPr>
        <w:lastRenderedPageBreak/>
        <w:t>وضع مهام الرقابة في 30 يونيو 2015</w:t>
      </w:r>
    </w:p>
    <w:tbl>
      <w:tblPr>
        <w:bidiVisual/>
        <w:tblW w:w="9807" w:type="dxa"/>
        <w:tblLook w:val="0000" w:firstRow="0" w:lastRow="0" w:firstColumn="0" w:lastColumn="0" w:noHBand="0" w:noVBand="0"/>
      </w:tblPr>
      <w:tblGrid>
        <w:gridCol w:w="5919"/>
        <w:gridCol w:w="2553"/>
        <w:gridCol w:w="1335"/>
      </w:tblGrid>
      <w:tr w:rsidR="00CB36C3" w:rsidRPr="00B2242D" w:rsidTr="004C68F6">
        <w:trPr>
          <w:trHeight w:val="340"/>
          <w:tblHeader/>
        </w:trPr>
        <w:tc>
          <w:tcPr>
            <w:tcW w:w="5919" w:type="dxa"/>
            <w:tcBorders>
              <w:top w:val="single" w:sz="4" w:space="0" w:color="auto"/>
              <w:left w:val="single" w:sz="4" w:space="0" w:color="auto"/>
              <w:bottom w:val="single" w:sz="4" w:space="0" w:color="auto"/>
              <w:right w:val="single" w:sz="4" w:space="0" w:color="auto"/>
            </w:tcBorders>
            <w:shd w:val="clear" w:color="auto" w:fill="C0C0C0"/>
            <w:vAlign w:val="center"/>
          </w:tcPr>
          <w:p w:rsidR="00CB36C3" w:rsidRPr="00B2242D" w:rsidRDefault="00CD14C4" w:rsidP="004C68F6">
            <w:pPr>
              <w:keepLines/>
              <w:bidi/>
              <w:jc w:val="center"/>
              <w:rPr>
                <w:rFonts w:cs="Arabic Typesetting"/>
                <w:b/>
                <w:bCs/>
                <w:color w:val="000000"/>
                <w:sz w:val="16"/>
                <w:szCs w:val="28"/>
              </w:rPr>
            </w:pPr>
            <w:r w:rsidRPr="00B2242D">
              <w:rPr>
                <w:rFonts w:cs="Arabic Typesetting" w:hint="cs"/>
                <w:b/>
                <w:bCs/>
                <w:color w:val="000000"/>
                <w:sz w:val="16"/>
                <w:szCs w:val="28"/>
                <w:rtl/>
              </w:rPr>
              <w:t>الخطة</w:t>
            </w:r>
          </w:p>
        </w:tc>
        <w:tc>
          <w:tcPr>
            <w:tcW w:w="2553" w:type="dxa"/>
            <w:tcBorders>
              <w:top w:val="single" w:sz="4" w:space="0" w:color="auto"/>
              <w:left w:val="nil"/>
              <w:bottom w:val="single" w:sz="4" w:space="0" w:color="auto"/>
              <w:right w:val="single" w:sz="4" w:space="0" w:color="auto"/>
            </w:tcBorders>
            <w:shd w:val="clear" w:color="auto" w:fill="C0C0C0"/>
            <w:vAlign w:val="center"/>
          </w:tcPr>
          <w:p w:rsidR="00CB36C3" w:rsidRPr="00B2242D" w:rsidRDefault="00CD14C4" w:rsidP="004C68F6">
            <w:pPr>
              <w:keepLines/>
              <w:bidi/>
              <w:jc w:val="center"/>
              <w:rPr>
                <w:rFonts w:cs="Arabic Typesetting"/>
                <w:b/>
                <w:bCs/>
                <w:color w:val="000000"/>
                <w:sz w:val="16"/>
                <w:szCs w:val="28"/>
              </w:rPr>
            </w:pPr>
            <w:r w:rsidRPr="00B2242D">
              <w:rPr>
                <w:rFonts w:cs="Arabic Typesetting" w:hint="cs"/>
                <w:b/>
                <w:bCs/>
                <w:color w:val="000000"/>
                <w:sz w:val="16"/>
                <w:szCs w:val="28"/>
                <w:rtl/>
              </w:rPr>
              <w:t>القطاع</w:t>
            </w:r>
          </w:p>
        </w:tc>
        <w:tc>
          <w:tcPr>
            <w:tcW w:w="1335" w:type="dxa"/>
            <w:tcBorders>
              <w:top w:val="single" w:sz="4" w:space="0" w:color="auto"/>
              <w:left w:val="nil"/>
              <w:bottom w:val="single" w:sz="4" w:space="0" w:color="auto"/>
              <w:right w:val="single" w:sz="4" w:space="0" w:color="auto"/>
            </w:tcBorders>
            <w:shd w:val="clear" w:color="auto" w:fill="C0C0C0"/>
            <w:vAlign w:val="center"/>
          </w:tcPr>
          <w:p w:rsidR="00CB36C3" w:rsidRPr="00B2242D" w:rsidRDefault="00CD14C4" w:rsidP="004C68F6">
            <w:pPr>
              <w:keepLines/>
              <w:bidi/>
              <w:jc w:val="center"/>
              <w:rPr>
                <w:rFonts w:cs="Arabic Typesetting"/>
                <w:b/>
                <w:bCs/>
                <w:color w:val="000000"/>
                <w:sz w:val="16"/>
                <w:szCs w:val="28"/>
              </w:rPr>
            </w:pPr>
            <w:r w:rsidRPr="00B2242D">
              <w:rPr>
                <w:rFonts w:cs="Arabic Typesetting" w:hint="cs"/>
                <w:b/>
                <w:bCs/>
                <w:color w:val="000000"/>
                <w:sz w:val="16"/>
                <w:szCs w:val="28"/>
                <w:rtl/>
              </w:rPr>
              <w:t>الوضع</w:t>
            </w: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EVAL 2015-01</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البرنامج </w:t>
            </w:r>
            <w:r w:rsidRPr="00544FF4">
              <w:rPr>
                <w:rFonts w:asciiTheme="minorBidi" w:hAnsiTheme="minorBidi" w:cstheme="minorBidi"/>
                <w:color w:val="000000"/>
                <w:sz w:val="16"/>
                <w:szCs w:val="16"/>
                <w:rtl/>
              </w:rPr>
              <w:t>3</w:t>
            </w:r>
            <w:r w:rsidRPr="00B2242D">
              <w:rPr>
                <w:rFonts w:cs="Arabic Typesetting" w:hint="cs"/>
                <w:color w:val="000000"/>
                <w:sz w:val="16"/>
                <w:szCs w:val="28"/>
                <w:rtl/>
              </w:rPr>
              <w:t xml:space="preserve">: </w:t>
            </w:r>
            <w:r w:rsidRPr="00B2242D">
              <w:rPr>
                <w:rFonts w:cs="Arabic Typesetting"/>
                <w:sz w:val="16"/>
                <w:szCs w:val="28"/>
                <w:rtl/>
                <w:lang w:val="fr-CH"/>
              </w:rPr>
              <w:t>حق المؤلف والحقوق المجاورة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sz w:val="16"/>
                <w:szCs w:val="28"/>
                <w:rtl/>
              </w:rPr>
              <w:t>الصناعات الإبداعية</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EVAL 2015-02</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تقييم مساعدة الويبو للبلدان الأقل نمواً</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التنمية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2015-01</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استعراض إدارة استمرارية الأعمال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2015-02</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الداخلي لأكاديمية الويبو</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التنمية</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2015-03</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إطار الويبو الأخلاقي</w:t>
            </w:r>
            <w:r w:rsidRPr="00B2242D">
              <w:rPr>
                <w:rStyle w:val="FootnoteReference"/>
                <w:rFonts w:ascii="Arial" w:hAnsi="Arial"/>
                <w:color w:val="000000"/>
                <w:sz w:val="16"/>
                <w:rtl/>
              </w:rPr>
              <w:footnoteReference w:id="17"/>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2015-04</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إدارة أداء الموظفين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الموارد البشرية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2015-05</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خدمات السلامة والأمن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السلامة والأمن</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2015-06</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إدارة الخدمات التعاقدية الفردية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auto"/>
            <w:vAlign w:val="center"/>
          </w:tcPr>
          <w:p w:rsidR="00CB36C3" w:rsidRPr="00B2242D" w:rsidRDefault="00CB36C3" w:rsidP="004C68F6">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4C68F6" w:rsidP="004C68F6">
            <w:pPr>
              <w:keepLines/>
              <w:bidi/>
              <w:rPr>
                <w:rFonts w:cs="Arabic Typesetting"/>
                <w:color w:val="000000"/>
                <w:sz w:val="16"/>
                <w:szCs w:val="28"/>
              </w:rPr>
            </w:pPr>
            <w:r w:rsidRPr="00B2242D">
              <w:rPr>
                <w:rFonts w:cs="Arabic Typesetting"/>
                <w:color w:val="000000"/>
                <w:sz w:val="16"/>
                <w:szCs w:val="28"/>
              </w:rPr>
              <w:t>IA 2015-07</w:t>
            </w:r>
            <w:r w:rsidRPr="00B2242D">
              <w:rPr>
                <w:rFonts w:cs="Arabic Typesetting" w:hint="cs"/>
                <w:color w:val="000000"/>
                <w:sz w:val="16"/>
                <w:szCs w:val="28"/>
                <w:rtl/>
              </w:rPr>
              <w:t xml:space="preserve"> </w:t>
            </w:r>
            <w:r w:rsidRPr="00B2242D">
              <w:rPr>
                <w:rFonts w:cs="Arabic Typesetting"/>
                <w:color w:val="000000"/>
                <w:sz w:val="16"/>
                <w:szCs w:val="28"/>
                <w:rtl/>
              </w:rPr>
              <w:t>–</w:t>
            </w:r>
            <w:r w:rsidRPr="00B2242D">
              <w:rPr>
                <w:rFonts w:cs="Arabic Typesetting" w:hint="cs"/>
                <w:color w:val="000000"/>
                <w:sz w:val="16"/>
                <w:szCs w:val="28"/>
                <w:rtl/>
              </w:rPr>
              <w:t xml:space="preserve"> التدقيق في إدارة خدمات العملاء</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CD14C4" w:rsidP="004C68F6">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01</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ارتكاب مرشح مخالفة خلال مسار التعيين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w:t>
            </w:r>
            <w:r w:rsidR="004C68F6" w:rsidRPr="00B2242D">
              <w:rPr>
                <w:rFonts w:cs="Arabic Typesetting"/>
                <w:sz w:val="16"/>
                <w:szCs w:val="28"/>
              </w:rPr>
              <w:t xml:space="preserve"> 2015-02</w:t>
            </w:r>
            <w:r w:rsidR="004C68F6" w:rsidRPr="00B2242D">
              <w:rPr>
                <w:rFonts w:cs="Arabic Typesetting" w:hint="cs"/>
                <w:sz w:val="16"/>
                <w:szCs w:val="28"/>
                <w:rtl/>
              </w:rPr>
              <w:t xml:space="preserve"> (برنامج الأغذية العالمي)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إساءة استخدام موارد تكنولوجيا المعلومات والاتصالات</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03</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إساءة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04</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ممارسات أخرى تنطوي على الغش أو الفساد أو 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single" w:sz="4" w:space="0" w:color="auto"/>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05</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إساءة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06</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07</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الغش للحصول على مزايا أو مستحقات</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08</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09</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الغش للحصول على مزايا أو مستحقات</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-10</w:t>
            </w:r>
            <w:r w:rsidR="004C68F6" w:rsidRPr="00B2242D">
              <w:rPr>
                <w:rFonts w:cs="Arabic Typesetting" w:hint="cs"/>
                <w:sz w:val="16"/>
                <w:szCs w:val="28"/>
                <w:rtl/>
                <w:lang w:bidi="ar-EG"/>
              </w:rPr>
              <w:t xml:space="preserve"> </w:t>
            </w:r>
            <w:r w:rsidR="004C68F6" w:rsidRPr="00B2242D">
              <w:rPr>
                <w:rFonts w:cs="Arabic Typesetting"/>
                <w:sz w:val="16"/>
                <w:szCs w:val="28"/>
                <w:rtl/>
                <w:lang w:bidi="ar-EG"/>
              </w:rPr>
              <w:t>–</w:t>
            </w:r>
            <w:r w:rsidR="004C68F6" w:rsidRPr="00B2242D">
              <w:rPr>
                <w:rFonts w:cs="Arabic Typesetting" w:hint="cs"/>
                <w:sz w:val="16"/>
                <w:szCs w:val="28"/>
                <w:rtl/>
                <w:lang w:bidi="ar-EG"/>
              </w:rPr>
              <w:t xml:space="preserve"> </w:t>
            </w:r>
            <w:r w:rsidR="00E24272" w:rsidRPr="00B2242D">
              <w:rPr>
                <w:rFonts w:cs="Arabic Typesetting"/>
                <w:sz w:val="16"/>
                <w:szCs w:val="28"/>
                <w:rtl/>
              </w:rPr>
              <w:t>بيانات وتصريحات وأنشطة تخالف التزامات موظف مدني دولي</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11</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ا</w:t>
            </w:r>
            <w:r w:rsidR="00E24272" w:rsidRPr="00B2242D">
              <w:rPr>
                <w:rFonts w:cs="Arabic Typesetting"/>
                <w:sz w:val="16"/>
                <w:szCs w:val="28"/>
                <w:rtl/>
              </w:rPr>
              <w:t>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-12</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م</w:t>
            </w:r>
            <w:r w:rsidR="00E24272" w:rsidRPr="00B2242D">
              <w:rPr>
                <w:rFonts w:cs="Arabic Typesetting"/>
                <w:sz w:val="16"/>
                <w:szCs w:val="28"/>
                <w:rtl/>
              </w:rPr>
              <w:t>مارسات أخرى تنطوي على الغش أو الفساد أو 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92D05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13</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إساءة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14</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ارتكاب مرشح مخالفة خلال مسار التعيين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15</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ارتكاب مرشح مخالفة خلال مسار التعيين</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16</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إ</w:t>
            </w:r>
            <w:r w:rsidR="00E24272" w:rsidRPr="00B2242D">
              <w:rPr>
                <w:rFonts w:cs="Arabic Typesetting"/>
                <w:sz w:val="16"/>
                <w:szCs w:val="28"/>
                <w:rtl/>
              </w:rPr>
              <w:t>ساءة استخدام وقت العمل</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tcPr>
          <w:p w:rsidR="00CB36C3" w:rsidRPr="00B2242D" w:rsidRDefault="00CB36C3" w:rsidP="004C68F6">
            <w:pPr>
              <w:bidi/>
              <w:rPr>
                <w:rFonts w:cs="Arabic Typesetting"/>
                <w:sz w:val="16"/>
                <w:szCs w:val="28"/>
              </w:rPr>
            </w:pPr>
            <w:r w:rsidRPr="00B2242D">
              <w:rPr>
                <w:rFonts w:cs="Arabic Typesetting"/>
                <w:sz w:val="16"/>
                <w:szCs w:val="28"/>
              </w:rPr>
              <w:t>INV 2015-</w:t>
            </w:r>
            <w:r w:rsidR="004C68F6" w:rsidRPr="00B2242D">
              <w:rPr>
                <w:rFonts w:cs="Arabic Typesetting"/>
                <w:sz w:val="16"/>
                <w:szCs w:val="28"/>
              </w:rPr>
              <w:t>17</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4C68F6">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4C68F6">
            <w:pPr>
              <w:keepLines/>
              <w:bidi/>
              <w:jc w:val="center"/>
              <w:rPr>
                <w:rFonts w:cs="Arabic Typesetting"/>
                <w:color w:val="000000"/>
                <w:sz w:val="16"/>
                <w:szCs w:val="28"/>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CB36C3" w:rsidP="00544FF4">
            <w:pPr>
              <w:bidi/>
              <w:rPr>
                <w:rFonts w:cs="Arabic Typesetting"/>
                <w:color w:val="000000"/>
                <w:sz w:val="16"/>
                <w:szCs w:val="28"/>
                <w:highlight w:val="yellow"/>
              </w:rPr>
            </w:pPr>
            <w:r w:rsidRPr="00B2242D">
              <w:rPr>
                <w:rFonts w:cs="Arabic Typesetting"/>
                <w:sz w:val="16"/>
                <w:szCs w:val="28"/>
              </w:rPr>
              <w:t>INV 2015-</w:t>
            </w:r>
            <w:r w:rsidR="004C68F6" w:rsidRPr="00B2242D">
              <w:rPr>
                <w:rFonts w:cs="Arabic Typesetting"/>
                <w:sz w:val="16"/>
                <w:szCs w:val="28"/>
              </w:rPr>
              <w:t>18</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ممارسات أخرى تنطوي على الغش أو الفساد أو 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544FF4">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544FF4">
            <w:pPr>
              <w:keepLines/>
              <w:bidi/>
              <w:jc w:val="center"/>
              <w:rPr>
                <w:rFonts w:cs="Arabic Typesetting"/>
                <w:color w:val="000000"/>
                <w:sz w:val="16"/>
                <w:szCs w:val="28"/>
                <w:highlight w:val="yellow"/>
              </w:rPr>
            </w:pPr>
          </w:p>
        </w:tc>
      </w:tr>
      <w:tr w:rsidR="00CB36C3" w:rsidRPr="00B2242D" w:rsidTr="004C68F6">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CB36C3" w:rsidRPr="00B2242D" w:rsidRDefault="00CB36C3" w:rsidP="00544FF4">
            <w:pPr>
              <w:bidi/>
              <w:rPr>
                <w:rFonts w:cs="Arabic Typesetting"/>
                <w:color w:val="000000"/>
                <w:sz w:val="16"/>
                <w:szCs w:val="28"/>
                <w:highlight w:val="yellow"/>
              </w:rPr>
            </w:pPr>
            <w:r w:rsidRPr="00B2242D">
              <w:rPr>
                <w:rFonts w:cs="Arabic Typesetting"/>
                <w:sz w:val="16"/>
                <w:szCs w:val="28"/>
              </w:rPr>
              <w:t>INV 2015-</w:t>
            </w:r>
            <w:r w:rsidR="004C68F6" w:rsidRPr="00B2242D">
              <w:rPr>
                <w:rFonts w:cs="Arabic Typesetting"/>
                <w:sz w:val="16"/>
                <w:szCs w:val="28"/>
              </w:rPr>
              <w:t>19</w:t>
            </w:r>
            <w:r w:rsidR="004C68F6" w:rsidRPr="00B2242D">
              <w:rPr>
                <w:rFonts w:cs="Arabic Typesetting" w:hint="cs"/>
                <w:sz w:val="16"/>
                <w:szCs w:val="28"/>
                <w:rtl/>
              </w:rPr>
              <w:t xml:space="preserve"> </w:t>
            </w:r>
            <w:r w:rsidR="004C68F6" w:rsidRPr="00B2242D">
              <w:rPr>
                <w:rFonts w:cs="Arabic Typesetting"/>
                <w:sz w:val="16"/>
                <w:szCs w:val="28"/>
                <w:rtl/>
              </w:rPr>
              <w:t>–</w:t>
            </w:r>
            <w:r w:rsidR="004C68F6" w:rsidRPr="00B2242D">
              <w:rPr>
                <w:rFonts w:cs="Arabic Typesetting" w:hint="cs"/>
                <w:sz w:val="16"/>
                <w:szCs w:val="28"/>
                <w:rtl/>
              </w:rPr>
              <w:t xml:space="preserve"> </w:t>
            </w:r>
            <w:r w:rsidR="00E24272" w:rsidRPr="00B2242D">
              <w:rPr>
                <w:rFonts w:cs="Arabic Typesetting"/>
                <w:sz w:val="16"/>
                <w:szCs w:val="28"/>
                <w:rtl/>
              </w:rPr>
              <w:t>المضايقة/التمييز/إساءة استخدام السلطة</w:t>
            </w:r>
          </w:p>
        </w:tc>
        <w:tc>
          <w:tcPr>
            <w:tcW w:w="2553" w:type="dxa"/>
            <w:tcBorders>
              <w:top w:val="nil"/>
              <w:left w:val="nil"/>
              <w:bottom w:val="single" w:sz="4" w:space="0" w:color="auto"/>
              <w:right w:val="single" w:sz="4" w:space="0" w:color="auto"/>
            </w:tcBorders>
            <w:shd w:val="clear" w:color="auto" w:fill="auto"/>
            <w:vAlign w:val="center"/>
          </w:tcPr>
          <w:p w:rsidR="00CB36C3" w:rsidRPr="00B2242D" w:rsidRDefault="00E24272" w:rsidP="00544FF4">
            <w:pPr>
              <w:keepLines/>
              <w:bidi/>
              <w:jc w:val="center"/>
              <w:rPr>
                <w:rFonts w:cs="Arabic Typesetting"/>
                <w:color w:val="000000"/>
                <w:sz w:val="16"/>
                <w:szCs w:val="28"/>
              </w:rPr>
            </w:pPr>
            <w:r w:rsidRPr="00B2242D">
              <w:rPr>
                <w:rFonts w:cs="Arabic Typesetting"/>
                <w:color w:val="000000"/>
                <w:sz w:val="16"/>
                <w:szCs w:val="28"/>
                <w:rtl/>
              </w:rPr>
              <w:t>لا ينطبق</w:t>
            </w:r>
          </w:p>
        </w:tc>
        <w:tc>
          <w:tcPr>
            <w:tcW w:w="1335" w:type="dxa"/>
            <w:tcBorders>
              <w:top w:val="nil"/>
              <w:left w:val="nil"/>
              <w:bottom w:val="single" w:sz="4" w:space="0" w:color="auto"/>
              <w:right w:val="single" w:sz="4" w:space="0" w:color="auto"/>
            </w:tcBorders>
            <w:shd w:val="clear" w:color="auto" w:fill="FFFF00"/>
            <w:vAlign w:val="center"/>
          </w:tcPr>
          <w:p w:rsidR="00CB36C3" w:rsidRPr="00B2242D" w:rsidRDefault="00CB36C3" w:rsidP="00544FF4">
            <w:pPr>
              <w:keepLines/>
              <w:bidi/>
              <w:jc w:val="center"/>
              <w:rPr>
                <w:rFonts w:cs="Arabic Typesetting"/>
                <w:color w:val="000000"/>
                <w:sz w:val="16"/>
                <w:szCs w:val="28"/>
              </w:rPr>
            </w:pPr>
          </w:p>
        </w:tc>
      </w:tr>
      <w:tr w:rsidR="00544FF4" w:rsidRPr="00B2242D" w:rsidTr="00544FF4">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544FF4" w:rsidRPr="00544FF4" w:rsidRDefault="00544FF4" w:rsidP="00544FF4">
            <w:pPr>
              <w:bidi/>
              <w:rPr>
                <w:rFonts w:cs="Arabic Typesetting"/>
                <w:sz w:val="16"/>
                <w:szCs w:val="28"/>
              </w:rPr>
            </w:pPr>
            <w:r w:rsidRPr="00544FF4">
              <w:rPr>
                <w:rFonts w:cs="Arabic Typesetting" w:hint="cs"/>
                <w:sz w:val="16"/>
                <w:szCs w:val="28"/>
                <w:rtl/>
              </w:rPr>
              <w:t>تقييم مخاطر الاحتيال</w:t>
            </w:r>
          </w:p>
        </w:tc>
        <w:tc>
          <w:tcPr>
            <w:tcW w:w="2553" w:type="dxa"/>
            <w:tcBorders>
              <w:top w:val="nil"/>
              <w:left w:val="nil"/>
              <w:bottom w:val="single" w:sz="4" w:space="0" w:color="auto"/>
              <w:right w:val="single" w:sz="4" w:space="0" w:color="auto"/>
            </w:tcBorders>
            <w:shd w:val="clear" w:color="auto" w:fill="auto"/>
            <w:vAlign w:val="center"/>
          </w:tcPr>
          <w:p w:rsidR="00544FF4" w:rsidRPr="00B2242D" w:rsidRDefault="00544FF4" w:rsidP="00544FF4">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nil"/>
              <w:left w:val="nil"/>
              <w:bottom w:val="single" w:sz="4" w:space="0" w:color="auto"/>
              <w:right w:val="single" w:sz="4" w:space="0" w:color="auto"/>
            </w:tcBorders>
            <w:shd w:val="clear" w:color="auto" w:fill="FFFF00"/>
            <w:vAlign w:val="center"/>
          </w:tcPr>
          <w:p w:rsidR="00544FF4" w:rsidRPr="00B2242D" w:rsidRDefault="00544FF4" w:rsidP="00544FF4">
            <w:pPr>
              <w:keepLines/>
              <w:bidi/>
              <w:jc w:val="center"/>
              <w:rPr>
                <w:rFonts w:cs="Arabic Typesetting"/>
                <w:color w:val="000000"/>
                <w:sz w:val="16"/>
                <w:szCs w:val="28"/>
              </w:rPr>
            </w:pPr>
          </w:p>
        </w:tc>
      </w:tr>
      <w:tr w:rsidR="00544FF4" w:rsidRPr="00B2242D" w:rsidTr="00544FF4">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544FF4" w:rsidRPr="00544FF4" w:rsidRDefault="00544FF4" w:rsidP="00544FF4">
            <w:pPr>
              <w:bidi/>
              <w:rPr>
                <w:rFonts w:cs="Arabic Typesetting"/>
                <w:sz w:val="16"/>
                <w:szCs w:val="28"/>
              </w:rPr>
            </w:pPr>
            <w:r w:rsidRPr="00544FF4">
              <w:rPr>
                <w:rFonts w:cs="Arabic Typesetting" w:hint="cs"/>
                <w:sz w:val="16"/>
                <w:szCs w:val="28"/>
                <w:rtl/>
              </w:rPr>
              <w:t>المشاركة في الأنشطة الاستشارية</w:t>
            </w:r>
          </w:p>
        </w:tc>
        <w:tc>
          <w:tcPr>
            <w:tcW w:w="2553" w:type="dxa"/>
            <w:tcBorders>
              <w:top w:val="nil"/>
              <w:left w:val="nil"/>
              <w:bottom w:val="single" w:sz="4" w:space="0" w:color="auto"/>
              <w:right w:val="single" w:sz="4" w:space="0" w:color="auto"/>
            </w:tcBorders>
            <w:shd w:val="clear" w:color="auto" w:fill="auto"/>
            <w:vAlign w:val="center"/>
          </w:tcPr>
          <w:p w:rsidR="00544FF4" w:rsidRPr="00B2242D" w:rsidRDefault="00544FF4" w:rsidP="00544FF4">
            <w:pPr>
              <w:keepLines/>
              <w:bidi/>
              <w:jc w:val="center"/>
              <w:rPr>
                <w:rFonts w:cs="Arabic Typesetting"/>
                <w:color w:val="000000"/>
                <w:sz w:val="16"/>
                <w:szCs w:val="28"/>
              </w:rPr>
            </w:pPr>
            <w:r w:rsidRPr="00B2242D">
              <w:rPr>
                <w:rFonts w:cs="Arabic Typesetting"/>
                <w:color w:val="000000"/>
                <w:sz w:val="16"/>
                <w:szCs w:val="28"/>
                <w:rtl/>
              </w:rPr>
              <w:t>قطاعات متداخلة</w:t>
            </w:r>
          </w:p>
        </w:tc>
        <w:tc>
          <w:tcPr>
            <w:tcW w:w="1335" w:type="dxa"/>
            <w:tcBorders>
              <w:top w:val="nil"/>
              <w:left w:val="nil"/>
              <w:bottom w:val="single" w:sz="4" w:space="0" w:color="auto"/>
              <w:right w:val="single" w:sz="4" w:space="0" w:color="auto"/>
            </w:tcBorders>
            <w:shd w:val="clear" w:color="auto" w:fill="FFFF00"/>
            <w:vAlign w:val="center"/>
          </w:tcPr>
          <w:p w:rsidR="00544FF4" w:rsidRPr="00B2242D" w:rsidRDefault="00544FF4" w:rsidP="00544FF4">
            <w:pPr>
              <w:keepLines/>
              <w:bidi/>
              <w:jc w:val="center"/>
              <w:rPr>
                <w:rFonts w:cs="Arabic Typesetting"/>
                <w:color w:val="000000"/>
                <w:sz w:val="16"/>
                <w:szCs w:val="28"/>
              </w:rPr>
            </w:pPr>
          </w:p>
        </w:tc>
      </w:tr>
      <w:tr w:rsidR="00544FF4" w:rsidRPr="00B2242D" w:rsidTr="00544FF4">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544FF4" w:rsidRPr="00544FF4" w:rsidRDefault="00544FF4" w:rsidP="00544FF4">
            <w:pPr>
              <w:bidi/>
              <w:rPr>
                <w:rFonts w:cs="Arabic Typesetting"/>
                <w:sz w:val="16"/>
                <w:szCs w:val="28"/>
              </w:rPr>
            </w:pPr>
            <w:r w:rsidRPr="00544FF4">
              <w:rPr>
                <w:rFonts w:cs="Arabic Typesetting" w:hint="cs"/>
                <w:sz w:val="16"/>
                <w:szCs w:val="28"/>
                <w:rtl/>
              </w:rPr>
              <w:t>الربط الشبكي مع الوكالات الأخرى</w:t>
            </w:r>
          </w:p>
        </w:tc>
        <w:tc>
          <w:tcPr>
            <w:tcW w:w="2553" w:type="dxa"/>
            <w:tcBorders>
              <w:top w:val="nil"/>
              <w:left w:val="nil"/>
              <w:bottom w:val="single" w:sz="4" w:space="0" w:color="auto"/>
              <w:right w:val="single" w:sz="4" w:space="0" w:color="auto"/>
            </w:tcBorders>
            <w:shd w:val="clear" w:color="auto" w:fill="auto"/>
            <w:vAlign w:val="center"/>
          </w:tcPr>
          <w:p w:rsidR="00544FF4" w:rsidRPr="00B2242D" w:rsidRDefault="00544FF4" w:rsidP="00544FF4">
            <w:pPr>
              <w:keepLines/>
              <w:bidi/>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nil"/>
              <w:left w:val="nil"/>
              <w:bottom w:val="single" w:sz="4" w:space="0" w:color="auto"/>
              <w:right w:val="single" w:sz="4" w:space="0" w:color="auto"/>
            </w:tcBorders>
            <w:shd w:val="clear" w:color="auto" w:fill="FFFF00"/>
            <w:vAlign w:val="center"/>
          </w:tcPr>
          <w:p w:rsidR="00544FF4" w:rsidRPr="00B2242D" w:rsidRDefault="00544FF4" w:rsidP="00544FF4">
            <w:pPr>
              <w:keepLines/>
              <w:bidi/>
              <w:jc w:val="center"/>
              <w:rPr>
                <w:rFonts w:cs="Arabic Typesetting"/>
                <w:color w:val="000000"/>
                <w:sz w:val="16"/>
                <w:szCs w:val="28"/>
              </w:rPr>
            </w:pPr>
          </w:p>
        </w:tc>
      </w:tr>
    </w:tbl>
    <w:p w:rsidR="00492FC7" w:rsidRDefault="00492FC7">
      <w:pPr>
        <w:bidi/>
      </w:pPr>
    </w:p>
    <w:tbl>
      <w:tblPr>
        <w:bidiVisual/>
        <w:tblW w:w="9807" w:type="dxa"/>
        <w:tblLook w:val="0000" w:firstRow="0" w:lastRow="0" w:firstColumn="0" w:lastColumn="0" w:noHBand="0" w:noVBand="0"/>
      </w:tblPr>
      <w:tblGrid>
        <w:gridCol w:w="5919"/>
        <w:gridCol w:w="2553"/>
        <w:gridCol w:w="1335"/>
      </w:tblGrid>
      <w:tr w:rsidR="00492FC7" w:rsidRPr="00B2242D" w:rsidTr="008720A9">
        <w:trPr>
          <w:trHeight w:val="340"/>
          <w:tblHeader/>
        </w:trPr>
        <w:tc>
          <w:tcPr>
            <w:tcW w:w="5919" w:type="dxa"/>
            <w:tcBorders>
              <w:top w:val="single" w:sz="4" w:space="0" w:color="auto"/>
              <w:left w:val="single" w:sz="4" w:space="0" w:color="auto"/>
              <w:bottom w:val="single" w:sz="4" w:space="0" w:color="auto"/>
              <w:right w:val="single" w:sz="4" w:space="0" w:color="auto"/>
            </w:tcBorders>
            <w:shd w:val="clear" w:color="auto" w:fill="C0C0C0"/>
            <w:vAlign w:val="center"/>
          </w:tcPr>
          <w:p w:rsidR="00492FC7" w:rsidRPr="00B2242D" w:rsidRDefault="00492FC7" w:rsidP="00492FC7">
            <w:pPr>
              <w:keepNext/>
              <w:bidi/>
              <w:jc w:val="center"/>
              <w:rPr>
                <w:rFonts w:cs="Arabic Typesetting"/>
                <w:b/>
                <w:bCs/>
                <w:color w:val="000000"/>
                <w:sz w:val="16"/>
                <w:szCs w:val="28"/>
              </w:rPr>
            </w:pPr>
            <w:r w:rsidRPr="00B2242D">
              <w:rPr>
                <w:rFonts w:cs="Arabic Typesetting" w:hint="cs"/>
                <w:b/>
                <w:bCs/>
                <w:color w:val="000000"/>
                <w:sz w:val="16"/>
                <w:szCs w:val="28"/>
                <w:rtl/>
              </w:rPr>
              <w:lastRenderedPageBreak/>
              <w:t>الخطة</w:t>
            </w:r>
          </w:p>
        </w:tc>
        <w:tc>
          <w:tcPr>
            <w:tcW w:w="2553" w:type="dxa"/>
            <w:tcBorders>
              <w:top w:val="single" w:sz="4" w:space="0" w:color="auto"/>
              <w:left w:val="nil"/>
              <w:bottom w:val="single" w:sz="4" w:space="0" w:color="auto"/>
              <w:right w:val="single" w:sz="4" w:space="0" w:color="auto"/>
            </w:tcBorders>
            <w:shd w:val="clear" w:color="auto" w:fill="C0C0C0"/>
            <w:vAlign w:val="center"/>
          </w:tcPr>
          <w:p w:rsidR="00492FC7" w:rsidRPr="00B2242D" w:rsidRDefault="00492FC7" w:rsidP="00492FC7">
            <w:pPr>
              <w:keepNext/>
              <w:bidi/>
              <w:jc w:val="center"/>
              <w:rPr>
                <w:rFonts w:cs="Arabic Typesetting"/>
                <w:b/>
                <w:bCs/>
                <w:color w:val="000000"/>
                <w:sz w:val="16"/>
                <w:szCs w:val="28"/>
              </w:rPr>
            </w:pPr>
            <w:r w:rsidRPr="00B2242D">
              <w:rPr>
                <w:rFonts w:cs="Arabic Typesetting" w:hint="cs"/>
                <w:b/>
                <w:bCs/>
                <w:color w:val="000000"/>
                <w:sz w:val="16"/>
                <w:szCs w:val="28"/>
                <w:rtl/>
              </w:rPr>
              <w:t>القطاع</w:t>
            </w:r>
          </w:p>
        </w:tc>
        <w:tc>
          <w:tcPr>
            <w:tcW w:w="1335" w:type="dxa"/>
            <w:tcBorders>
              <w:top w:val="single" w:sz="4" w:space="0" w:color="auto"/>
              <w:left w:val="nil"/>
              <w:bottom w:val="single" w:sz="4" w:space="0" w:color="auto"/>
              <w:right w:val="single" w:sz="4" w:space="0" w:color="auto"/>
            </w:tcBorders>
            <w:shd w:val="clear" w:color="auto" w:fill="C0C0C0"/>
            <w:vAlign w:val="center"/>
          </w:tcPr>
          <w:p w:rsidR="00492FC7" w:rsidRPr="00B2242D" w:rsidRDefault="00492FC7" w:rsidP="00492FC7">
            <w:pPr>
              <w:keepNext/>
              <w:bidi/>
              <w:jc w:val="center"/>
              <w:rPr>
                <w:rFonts w:cs="Arabic Typesetting"/>
                <w:b/>
                <w:bCs/>
                <w:color w:val="000000"/>
                <w:sz w:val="16"/>
                <w:szCs w:val="28"/>
              </w:rPr>
            </w:pPr>
            <w:r w:rsidRPr="00B2242D">
              <w:rPr>
                <w:rFonts w:cs="Arabic Typesetting" w:hint="cs"/>
                <w:b/>
                <w:bCs/>
                <w:color w:val="000000"/>
                <w:sz w:val="16"/>
                <w:szCs w:val="28"/>
                <w:rtl/>
              </w:rPr>
              <w:t>الوضع</w:t>
            </w: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lang w:bidi="ar-EG"/>
              </w:rPr>
            </w:pPr>
            <w:r w:rsidRPr="00B2242D">
              <w:rPr>
                <w:rFonts w:cs="Arabic Typesetting" w:hint="cs"/>
                <w:color w:val="000000"/>
                <w:sz w:val="16"/>
                <w:szCs w:val="28"/>
                <w:rtl/>
                <w:lang w:bidi="ar-EG"/>
              </w:rPr>
              <w:t>اللجنة الاستشارية المستقلة للرقابة</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rPr>
            </w:pPr>
            <w:r w:rsidRPr="00B2242D">
              <w:rPr>
                <w:rFonts w:cs="Arabic Typesetting" w:hint="cs"/>
                <w:color w:val="000000"/>
                <w:sz w:val="16"/>
                <w:szCs w:val="28"/>
                <w:rtl/>
              </w:rPr>
              <w:t>أنشطة غير مباشرة أخرى</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rPr>
            </w:pPr>
            <w:r w:rsidRPr="00B2242D">
              <w:rPr>
                <w:rFonts w:cs="Arabic Typesetting" w:hint="cs"/>
                <w:color w:val="000000"/>
                <w:sz w:val="16"/>
                <w:szCs w:val="28"/>
                <w:rtl/>
              </w:rPr>
              <w:t>متابعة التوصيات المفتوحة</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hint="cs"/>
                <w:color w:val="000000"/>
                <w:sz w:val="16"/>
                <w:szCs w:val="28"/>
                <w:rtl/>
              </w:rPr>
              <w:t>الكل</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r w:rsidR="006B141B" w:rsidRPr="00B2242D" w:rsidTr="006B141B">
        <w:trPr>
          <w:trHeight w:val="340"/>
        </w:trPr>
        <w:tc>
          <w:tcPr>
            <w:tcW w:w="5919" w:type="dxa"/>
            <w:tcBorders>
              <w:top w:val="single" w:sz="4" w:space="0" w:color="auto"/>
              <w:left w:val="single" w:sz="4" w:space="0" w:color="auto"/>
              <w:bottom w:val="single" w:sz="4" w:space="0" w:color="auto"/>
              <w:right w:val="single" w:sz="4" w:space="0" w:color="auto"/>
            </w:tcBorders>
            <w:shd w:val="clear" w:color="auto" w:fill="auto"/>
            <w:vAlign w:val="center"/>
          </w:tcPr>
          <w:p w:rsidR="006B141B" w:rsidRPr="00B2242D" w:rsidRDefault="006B141B" w:rsidP="00492FC7">
            <w:pPr>
              <w:keepNext/>
              <w:bidi/>
              <w:rPr>
                <w:rFonts w:cs="Arabic Typesetting"/>
                <w:color w:val="000000"/>
                <w:sz w:val="16"/>
                <w:szCs w:val="28"/>
              </w:rPr>
            </w:pPr>
            <w:r w:rsidRPr="00B2242D">
              <w:rPr>
                <w:rFonts w:cs="Arabic Typesetting" w:hint="cs"/>
                <w:color w:val="000000"/>
                <w:sz w:val="16"/>
                <w:szCs w:val="28"/>
                <w:rtl/>
              </w:rPr>
              <w:t>التدريب</w:t>
            </w:r>
          </w:p>
        </w:tc>
        <w:tc>
          <w:tcPr>
            <w:tcW w:w="2553" w:type="dxa"/>
            <w:tcBorders>
              <w:top w:val="single" w:sz="4" w:space="0" w:color="auto"/>
              <w:left w:val="nil"/>
              <w:bottom w:val="single" w:sz="4" w:space="0" w:color="auto"/>
              <w:right w:val="single" w:sz="4" w:space="0" w:color="auto"/>
            </w:tcBorders>
            <w:shd w:val="clear" w:color="auto" w:fill="auto"/>
            <w:vAlign w:val="center"/>
          </w:tcPr>
          <w:p w:rsidR="006B141B" w:rsidRPr="00B2242D" w:rsidRDefault="006B141B" w:rsidP="00492FC7">
            <w:pPr>
              <w:keepNext/>
              <w:jc w:val="center"/>
              <w:rPr>
                <w:rFonts w:cs="Arabic Typesetting"/>
                <w:color w:val="000000"/>
                <w:sz w:val="16"/>
                <w:szCs w:val="28"/>
              </w:rPr>
            </w:pPr>
            <w:r w:rsidRPr="00B2242D">
              <w:rPr>
                <w:rFonts w:cs="Arabic Typesetting"/>
                <w:color w:val="000000"/>
                <w:sz w:val="16"/>
                <w:szCs w:val="28"/>
                <w:rtl/>
              </w:rPr>
              <w:t>شعبة الرقابة الداخلية</w:t>
            </w:r>
          </w:p>
        </w:tc>
        <w:tc>
          <w:tcPr>
            <w:tcW w:w="1335" w:type="dxa"/>
            <w:tcBorders>
              <w:top w:val="single" w:sz="4" w:space="0" w:color="auto"/>
              <w:left w:val="nil"/>
              <w:bottom w:val="single" w:sz="4" w:space="0" w:color="auto"/>
              <w:right w:val="single" w:sz="4" w:space="0" w:color="auto"/>
            </w:tcBorders>
            <w:shd w:val="clear" w:color="auto" w:fill="FFFF00"/>
            <w:vAlign w:val="center"/>
          </w:tcPr>
          <w:p w:rsidR="006B141B" w:rsidRPr="00B2242D" w:rsidRDefault="006B141B" w:rsidP="00492FC7">
            <w:pPr>
              <w:keepNext/>
              <w:bidi/>
              <w:jc w:val="center"/>
              <w:rPr>
                <w:rFonts w:cs="Arabic Typesetting"/>
                <w:color w:val="000000"/>
                <w:sz w:val="16"/>
                <w:szCs w:val="28"/>
              </w:rPr>
            </w:pPr>
          </w:p>
        </w:tc>
      </w:tr>
    </w:tbl>
    <w:p w:rsidR="006B141B" w:rsidRPr="00F94C23" w:rsidRDefault="006B141B" w:rsidP="006B141B">
      <w:pPr>
        <w:pStyle w:val="NormalParaAR"/>
        <w:keepNext/>
        <w:spacing w:before="120" w:after="120"/>
        <w:rPr>
          <w:rtl/>
        </w:rPr>
      </w:pPr>
      <w:r w:rsidRPr="00F94C23">
        <w:rPr>
          <w:rtl/>
        </w:rPr>
        <w:t>تفسير الألوان: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552"/>
      </w:tblGrid>
      <w:tr w:rsidR="006B141B" w:rsidRPr="001E4DF5" w:rsidTr="004A070F">
        <w:trPr>
          <w:trHeight w:val="58"/>
        </w:trPr>
        <w:tc>
          <w:tcPr>
            <w:tcW w:w="1843" w:type="dxa"/>
            <w:shd w:val="clear" w:color="auto" w:fill="FFFF00"/>
          </w:tcPr>
          <w:p w:rsidR="006B141B" w:rsidRPr="001E4DF5" w:rsidRDefault="006B141B" w:rsidP="004A070F">
            <w:pPr>
              <w:bidi/>
              <w:spacing w:after="120" w:line="260" w:lineRule="exact"/>
              <w:ind w:left="1021"/>
              <w:rPr>
                <w:rFonts w:ascii="Arabic Typesetting" w:hAnsi="Arabic Typesetting" w:cs="Arabic Typesetting"/>
                <w:szCs w:val="24"/>
              </w:rPr>
            </w:pPr>
          </w:p>
        </w:tc>
        <w:tc>
          <w:tcPr>
            <w:tcW w:w="2552" w:type="dxa"/>
          </w:tcPr>
          <w:p w:rsidR="006B141B" w:rsidRPr="001E4DF5" w:rsidRDefault="006B141B" w:rsidP="004A070F">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العمل جاري أو مستمر</w:t>
            </w:r>
          </w:p>
        </w:tc>
      </w:tr>
      <w:tr w:rsidR="006B141B" w:rsidRPr="001E4DF5" w:rsidTr="004A070F">
        <w:trPr>
          <w:trHeight w:val="58"/>
        </w:trPr>
        <w:tc>
          <w:tcPr>
            <w:tcW w:w="1843" w:type="dxa"/>
            <w:shd w:val="clear" w:color="auto" w:fill="92D050"/>
          </w:tcPr>
          <w:p w:rsidR="006B141B" w:rsidRPr="001E4DF5" w:rsidRDefault="006B141B" w:rsidP="004A070F">
            <w:pPr>
              <w:bidi/>
              <w:spacing w:after="120" w:line="260" w:lineRule="exact"/>
              <w:ind w:left="1021"/>
              <w:rPr>
                <w:rFonts w:ascii="Arabic Typesetting" w:hAnsi="Arabic Typesetting" w:cs="Arabic Typesetting"/>
                <w:szCs w:val="24"/>
              </w:rPr>
            </w:pPr>
          </w:p>
        </w:tc>
        <w:tc>
          <w:tcPr>
            <w:tcW w:w="2552" w:type="dxa"/>
          </w:tcPr>
          <w:p w:rsidR="006B141B" w:rsidRPr="001E4DF5" w:rsidRDefault="006B141B" w:rsidP="004A070F">
            <w:pPr>
              <w:bidi/>
              <w:spacing w:after="120" w:line="260" w:lineRule="exact"/>
              <w:ind w:left="34"/>
              <w:rPr>
                <w:rFonts w:ascii="Arabic Typesetting" w:hAnsi="Arabic Typesetting" w:cs="Arabic Typesetting"/>
                <w:szCs w:val="24"/>
                <w:lang w:bidi="ar-EG"/>
              </w:rPr>
            </w:pPr>
            <w:r w:rsidRPr="001E4DF5">
              <w:rPr>
                <w:rFonts w:ascii="Arabic Typesetting" w:hAnsi="Arabic Typesetting" w:cs="Arabic Typesetting"/>
                <w:szCs w:val="24"/>
                <w:rtl/>
                <w:lang w:bidi="ar-EG"/>
              </w:rPr>
              <w:t>منتهي</w:t>
            </w:r>
          </w:p>
        </w:tc>
      </w:tr>
      <w:tr w:rsidR="006B141B" w:rsidRPr="001E4DF5" w:rsidTr="004A070F">
        <w:trPr>
          <w:trHeight w:val="58"/>
        </w:trPr>
        <w:tc>
          <w:tcPr>
            <w:tcW w:w="1843" w:type="dxa"/>
          </w:tcPr>
          <w:p w:rsidR="006B141B" w:rsidRPr="001E4DF5" w:rsidRDefault="006B141B" w:rsidP="004A070F">
            <w:pPr>
              <w:bidi/>
              <w:spacing w:after="120" w:line="260" w:lineRule="exact"/>
              <w:ind w:left="1021"/>
              <w:rPr>
                <w:rFonts w:ascii="Arabic Typesetting" w:hAnsi="Arabic Typesetting" w:cs="Arabic Typesetting"/>
                <w:szCs w:val="24"/>
              </w:rPr>
            </w:pPr>
          </w:p>
        </w:tc>
        <w:tc>
          <w:tcPr>
            <w:tcW w:w="2552" w:type="dxa"/>
          </w:tcPr>
          <w:p w:rsidR="006B141B" w:rsidRPr="001E4DF5" w:rsidRDefault="00544FF4" w:rsidP="006B141B">
            <w:pPr>
              <w:bidi/>
              <w:spacing w:after="120" w:line="260" w:lineRule="exact"/>
              <w:ind w:left="34"/>
              <w:rPr>
                <w:rFonts w:ascii="Arabic Typesetting" w:hAnsi="Arabic Typesetting" w:cs="Arabic Typesetting"/>
                <w:szCs w:val="24"/>
                <w:lang w:bidi="ar-EG"/>
              </w:rPr>
            </w:pPr>
            <w:r>
              <w:rPr>
                <w:rFonts w:ascii="Arabic Typesetting" w:hAnsi="Arabic Typesetting" w:cs="Arabic Typesetting" w:hint="cs"/>
                <w:szCs w:val="24"/>
                <w:rtl/>
                <w:lang w:bidi="ar-EG"/>
              </w:rPr>
              <w:t xml:space="preserve">مزمع </w:t>
            </w:r>
            <w:r w:rsidR="006B141B">
              <w:rPr>
                <w:rFonts w:ascii="Arabic Typesetting" w:hAnsi="Arabic Typesetting" w:cs="Arabic Typesetting" w:hint="cs"/>
                <w:szCs w:val="24"/>
                <w:rtl/>
                <w:lang w:bidi="ar-EG"/>
              </w:rPr>
              <w:t>و</w:t>
            </w:r>
            <w:r>
              <w:rPr>
                <w:rFonts w:ascii="Arabic Typesetting" w:hAnsi="Arabic Typesetting" w:cs="Arabic Typesetting" w:hint="cs"/>
                <w:szCs w:val="24"/>
                <w:rtl/>
                <w:lang w:bidi="ar-EG"/>
              </w:rPr>
              <w:t>لكن</w:t>
            </w:r>
            <w:r w:rsidR="006B141B">
              <w:rPr>
                <w:rFonts w:ascii="Arabic Typesetting" w:hAnsi="Arabic Typesetting" w:cs="Arabic Typesetting" w:hint="cs"/>
                <w:szCs w:val="24"/>
                <w:rtl/>
                <w:lang w:bidi="ar-EG"/>
              </w:rPr>
              <w:t xml:space="preserve"> </w:t>
            </w:r>
            <w:r w:rsidR="006B141B" w:rsidRPr="001E4DF5">
              <w:rPr>
                <w:rFonts w:ascii="Arabic Typesetting" w:hAnsi="Arabic Typesetting" w:cs="Arabic Typesetting"/>
                <w:szCs w:val="24"/>
                <w:rtl/>
                <w:lang w:bidi="ar-EG"/>
              </w:rPr>
              <w:t>لم يبدأ</w:t>
            </w:r>
          </w:p>
        </w:tc>
      </w:tr>
    </w:tbl>
    <w:p w:rsidR="007646DF" w:rsidRDefault="00F13A54" w:rsidP="00F13A54">
      <w:pPr>
        <w:pStyle w:val="EndofDocumentAR"/>
        <w:rPr>
          <w:rFonts w:eastAsia="SimSun"/>
          <w:rtl/>
          <w:lang w:eastAsia="zh-CN" w:bidi="ar-EG"/>
        </w:rPr>
      </w:pPr>
      <w:r>
        <w:rPr>
          <w:rFonts w:eastAsia="SimSun" w:hint="cs"/>
          <w:rtl/>
          <w:lang w:eastAsia="zh-CN" w:bidi="ar-EG"/>
        </w:rPr>
        <w:t>[يلي ذلك المرفق الثاني]</w:t>
      </w:r>
    </w:p>
    <w:p w:rsidR="00F13A54" w:rsidRDefault="00F13A54" w:rsidP="00F411DB">
      <w:pPr>
        <w:pStyle w:val="NumberedParaAR"/>
        <w:numPr>
          <w:ilvl w:val="0"/>
          <w:numId w:val="0"/>
        </w:numPr>
        <w:rPr>
          <w:rFonts w:eastAsia="SimSun"/>
          <w:rtl/>
          <w:lang w:eastAsia="zh-CN" w:bidi="ar-EG"/>
        </w:rPr>
      </w:pPr>
    </w:p>
    <w:p w:rsidR="00B717EE" w:rsidRDefault="00B717EE" w:rsidP="007B6290">
      <w:pPr>
        <w:pStyle w:val="NumberedParaAR"/>
        <w:numPr>
          <w:ilvl w:val="0"/>
          <w:numId w:val="0"/>
        </w:numPr>
        <w:rPr>
          <w:rFonts w:eastAsia="SimSun"/>
          <w:rtl/>
          <w:lang w:eastAsia="zh-CN" w:bidi="ar-EG"/>
        </w:rPr>
        <w:sectPr w:rsidR="00B717EE" w:rsidSect="007E5B6E">
          <w:headerReference w:type="default" r:id="rId19"/>
          <w:headerReference w:type="first" r:id="rId20"/>
          <w:footnotePr>
            <w:numRestart w:val="eachSect"/>
          </w:footnotePr>
          <w:pgSz w:w="11907" w:h="16840" w:code="9"/>
          <w:pgMar w:top="567" w:right="1418" w:bottom="1418" w:left="1134" w:header="510" w:footer="1021" w:gutter="0"/>
          <w:pgNumType w:start="1"/>
          <w:cols w:space="720"/>
          <w:titlePg/>
          <w:docGrid w:linePitch="299"/>
        </w:sectPr>
      </w:pPr>
    </w:p>
    <w:p w:rsidR="00CB36C3" w:rsidRDefault="00CB36C3" w:rsidP="00492FC7">
      <w:pPr>
        <w:pStyle w:val="NormalParaAR"/>
        <w:jc w:val="center"/>
        <w:rPr>
          <w:b/>
          <w:bCs/>
          <w:rtl/>
        </w:rPr>
      </w:pPr>
      <w:bookmarkStart w:id="25" w:name="Annex2"/>
      <w:r w:rsidRPr="001E4DF5">
        <w:rPr>
          <w:b/>
          <w:bCs/>
          <w:rtl/>
        </w:rPr>
        <w:lastRenderedPageBreak/>
        <w:t xml:space="preserve">قائمة تقارير شعبة </w:t>
      </w:r>
      <w:r w:rsidR="00492FC7">
        <w:rPr>
          <w:rFonts w:hint="cs"/>
          <w:b/>
          <w:bCs/>
          <w:rtl/>
        </w:rPr>
        <w:t>الرقابة الداخلية</w:t>
      </w:r>
    </w:p>
    <w:bookmarkEnd w:id="25"/>
    <w:p w:rsidR="00CB36C3" w:rsidRPr="001E4DF5" w:rsidRDefault="00CB36C3" w:rsidP="003D3137">
      <w:pPr>
        <w:pStyle w:val="NormalParaAR"/>
        <w:jc w:val="center"/>
        <w:rPr>
          <w:b/>
          <w:bCs/>
        </w:rPr>
      </w:pPr>
      <w:r w:rsidRPr="001E4DF5">
        <w:rPr>
          <w:b/>
          <w:bCs/>
          <w:rtl/>
        </w:rPr>
        <w:t>من 1 يوليو 201</w:t>
      </w:r>
      <w:r w:rsidR="003D3137">
        <w:rPr>
          <w:rFonts w:hint="cs"/>
          <w:b/>
          <w:bCs/>
          <w:rtl/>
        </w:rPr>
        <w:t>4</w:t>
      </w:r>
      <w:r w:rsidRPr="001E4DF5">
        <w:rPr>
          <w:b/>
          <w:bCs/>
          <w:rtl/>
        </w:rPr>
        <w:t xml:space="preserve"> إلى 30 يونيو 201</w:t>
      </w:r>
      <w:r w:rsidR="003D3137">
        <w:rPr>
          <w:rFonts w:hint="cs"/>
          <w:b/>
          <w:bCs/>
          <w:rtl/>
        </w:rPr>
        <w:t>5</w:t>
      </w:r>
    </w:p>
    <w:tbl>
      <w:tblPr>
        <w:tblStyle w:val="TableGrid"/>
        <w:bidiVisual/>
        <w:tblW w:w="0" w:type="auto"/>
        <w:tblLook w:val="04A0" w:firstRow="1" w:lastRow="0" w:firstColumn="1" w:lastColumn="0" w:noHBand="0" w:noVBand="1"/>
      </w:tblPr>
      <w:tblGrid>
        <w:gridCol w:w="7371"/>
        <w:gridCol w:w="2092"/>
      </w:tblGrid>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إدارة المحافل</w:t>
            </w:r>
            <w:r w:rsidRPr="0024691D">
              <w:rPr>
                <w:rStyle w:val="FootnoteReference"/>
                <w:rFonts w:ascii="Arial" w:hAnsi="Arial"/>
                <w:sz w:val="20"/>
                <w:szCs w:val="36"/>
                <w:rtl/>
              </w:rPr>
              <w:footnoteReference w:id="18"/>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2014-02</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إدارة الأصول</w:t>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2014-05</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مخاطر الغير</w:t>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2014-07</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إدارة استمرارية الأعمال</w:t>
            </w:r>
            <w:r w:rsidRPr="0024691D">
              <w:rPr>
                <w:rStyle w:val="FootnoteReference"/>
                <w:rFonts w:ascii="Arial" w:hAnsi="Arial"/>
                <w:sz w:val="20"/>
                <w:szCs w:val="36"/>
                <w:rtl/>
              </w:rPr>
              <w:footnoteReference w:id="19"/>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2015-01</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أكاديمية الويبو</w:t>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2015-02</w:t>
            </w:r>
          </w:p>
        </w:tc>
      </w:tr>
      <w:tr w:rsidR="00CB36C3" w:rsidRPr="0024691D" w:rsidTr="0024691D">
        <w:trPr>
          <w:trHeight w:val="340"/>
        </w:trPr>
        <w:tc>
          <w:tcPr>
            <w:tcW w:w="7371" w:type="dxa"/>
            <w:vAlign w:val="center"/>
          </w:tcPr>
          <w:p w:rsidR="00CB36C3" w:rsidRPr="0024691D" w:rsidRDefault="0024691D" w:rsidP="0024691D">
            <w:pPr>
              <w:keepLines/>
              <w:bidi/>
              <w:ind w:left="34"/>
              <w:rPr>
                <w:rFonts w:cs="Arabic Typesetting"/>
                <w:sz w:val="20"/>
                <w:szCs w:val="36"/>
              </w:rPr>
            </w:pPr>
            <w:r w:rsidRPr="0024691D">
              <w:rPr>
                <w:rFonts w:cs="Arabic Typesetting" w:hint="cs"/>
                <w:sz w:val="20"/>
                <w:szCs w:val="36"/>
                <w:rtl/>
              </w:rPr>
              <w:t>التدقيق في خدمات السلامة والأمن</w:t>
            </w:r>
            <w:r w:rsidRPr="0024691D">
              <w:rPr>
                <w:rStyle w:val="FootnoteReference"/>
                <w:rFonts w:ascii="Arial" w:hAnsi="Arial"/>
                <w:sz w:val="20"/>
                <w:szCs w:val="36"/>
                <w:rtl/>
              </w:rPr>
              <w:footnoteReference w:id="20"/>
            </w:r>
          </w:p>
        </w:tc>
        <w:tc>
          <w:tcPr>
            <w:tcW w:w="2092" w:type="dxa"/>
            <w:vAlign w:val="center"/>
          </w:tcPr>
          <w:p w:rsidR="00CB36C3" w:rsidRPr="0024691D" w:rsidRDefault="00CB36C3" w:rsidP="0024691D">
            <w:pPr>
              <w:keepLines/>
              <w:ind w:hanging="41"/>
              <w:rPr>
                <w:rFonts w:cs="Arabic Typesetting"/>
                <w:sz w:val="20"/>
                <w:szCs w:val="36"/>
              </w:rPr>
            </w:pPr>
            <w:r w:rsidRPr="0024691D">
              <w:rPr>
                <w:rFonts w:cs="Arabic Typesetting"/>
                <w:sz w:val="20"/>
                <w:szCs w:val="36"/>
              </w:rPr>
              <w:t>IA 2015-05</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الهدف الاستراتيجي السادس: التعاون الدولي من أجل إزكاء الاحترام للملكية الفكرية</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01</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تبادل المعارف في الويبو</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02</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 xml:space="preserve">تقييم </w:t>
            </w:r>
            <w:r w:rsidR="00D1147D">
              <w:rPr>
                <w:rFonts w:cs="Arabic Typesetting" w:hint="cs"/>
                <w:sz w:val="20"/>
                <w:szCs w:val="36"/>
                <w:rtl/>
              </w:rPr>
              <w:t>محفظة</w:t>
            </w:r>
            <w:r w:rsidRPr="0024691D">
              <w:rPr>
                <w:rFonts w:cs="Arabic Typesetting" w:hint="cs"/>
                <w:sz w:val="20"/>
                <w:szCs w:val="36"/>
                <w:rtl/>
              </w:rPr>
              <w:t xml:space="preserve"> البلد في شيلي</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05</w:t>
            </w:r>
          </w:p>
        </w:tc>
      </w:tr>
      <w:tr w:rsidR="00CB36C3" w:rsidRPr="0024691D" w:rsidTr="0024691D">
        <w:trPr>
          <w:trHeight w:val="340"/>
        </w:trPr>
        <w:tc>
          <w:tcPr>
            <w:tcW w:w="7371" w:type="dxa"/>
          </w:tcPr>
          <w:p w:rsidR="00CB36C3" w:rsidRPr="0024691D" w:rsidRDefault="0024691D" w:rsidP="0024691D">
            <w:pPr>
              <w:bidi/>
              <w:ind w:left="34"/>
              <w:rPr>
                <w:rFonts w:cs="Arabic Typesetting"/>
                <w:sz w:val="20"/>
                <w:szCs w:val="36"/>
              </w:rPr>
            </w:pPr>
            <w:r w:rsidRPr="0024691D">
              <w:rPr>
                <w:rFonts w:cs="Arabic Typesetting" w:hint="cs"/>
                <w:sz w:val="20"/>
                <w:szCs w:val="36"/>
                <w:rtl/>
              </w:rPr>
              <w:t>البرنامج الرائد للمكافآت والتقدير</w:t>
            </w:r>
          </w:p>
        </w:tc>
        <w:tc>
          <w:tcPr>
            <w:tcW w:w="2092" w:type="dxa"/>
            <w:vAlign w:val="center"/>
          </w:tcPr>
          <w:p w:rsidR="00CB36C3" w:rsidRPr="0024691D" w:rsidRDefault="00CB36C3" w:rsidP="0024691D">
            <w:pPr>
              <w:keepLines/>
              <w:ind w:hanging="41"/>
              <w:rPr>
                <w:rFonts w:cs="Arabic Typesetting"/>
                <w:sz w:val="20"/>
                <w:szCs w:val="36"/>
                <w:highlight w:val="yellow"/>
              </w:rPr>
            </w:pPr>
            <w:r w:rsidRPr="0024691D">
              <w:rPr>
                <w:rFonts w:cs="Arabic Typesetting"/>
                <w:sz w:val="20"/>
                <w:szCs w:val="36"/>
              </w:rPr>
              <w:t>EVAL 2014 – 06</w:t>
            </w:r>
          </w:p>
        </w:tc>
      </w:tr>
      <w:tr w:rsidR="00CB36C3" w:rsidRPr="0024691D" w:rsidTr="0024691D">
        <w:trPr>
          <w:trHeight w:val="340"/>
        </w:trPr>
        <w:tc>
          <w:tcPr>
            <w:tcW w:w="9463" w:type="dxa"/>
            <w:gridSpan w:val="2"/>
            <w:shd w:val="clear" w:color="auto" w:fill="auto"/>
            <w:vAlign w:val="center"/>
          </w:tcPr>
          <w:p w:rsidR="00CB36C3" w:rsidRPr="0024691D" w:rsidRDefault="0024691D" w:rsidP="008E0E60">
            <w:pPr>
              <w:keepLines/>
              <w:bidi/>
              <w:ind w:left="34"/>
              <w:rPr>
                <w:rFonts w:cs="Arabic Typesetting"/>
                <w:sz w:val="20"/>
                <w:szCs w:val="36"/>
              </w:rPr>
            </w:pPr>
            <w:r w:rsidRPr="0024691D">
              <w:rPr>
                <w:rFonts w:cs="Arabic Typesetting" w:hint="cs"/>
                <w:sz w:val="20"/>
                <w:szCs w:val="36"/>
                <w:rtl/>
              </w:rPr>
              <w:t xml:space="preserve">سُجلت </w:t>
            </w:r>
            <w:r w:rsidRPr="00544FF4">
              <w:rPr>
                <w:rFonts w:asciiTheme="minorBidi" w:hAnsiTheme="minorBidi" w:cstheme="minorBidi"/>
                <w:szCs w:val="22"/>
                <w:rtl/>
              </w:rPr>
              <w:t>24</w:t>
            </w:r>
            <w:r w:rsidRPr="0024691D">
              <w:rPr>
                <w:rFonts w:cs="Arabic Typesetting" w:hint="cs"/>
                <w:sz w:val="20"/>
                <w:szCs w:val="36"/>
                <w:rtl/>
              </w:rPr>
              <w:t xml:space="preserve"> </w:t>
            </w:r>
            <w:r w:rsidR="008E0E60">
              <w:rPr>
                <w:rFonts w:cs="Arabic Typesetting" w:hint="cs"/>
                <w:sz w:val="20"/>
                <w:szCs w:val="36"/>
                <w:rtl/>
              </w:rPr>
              <w:t>قضية تحقيق</w:t>
            </w:r>
          </w:p>
        </w:tc>
      </w:tr>
      <w:tr w:rsidR="00CB36C3" w:rsidRPr="0024691D" w:rsidTr="0024691D">
        <w:trPr>
          <w:trHeight w:val="340"/>
        </w:trPr>
        <w:tc>
          <w:tcPr>
            <w:tcW w:w="9463" w:type="dxa"/>
            <w:gridSpan w:val="2"/>
            <w:shd w:val="clear" w:color="auto" w:fill="auto"/>
            <w:vAlign w:val="center"/>
          </w:tcPr>
          <w:p w:rsidR="00CB36C3" w:rsidRPr="0024691D" w:rsidRDefault="0024691D" w:rsidP="008E0E60">
            <w:pPr>
              <w:keepLines/>
              <w:bidi/>
              <w:ind w:left="34"/>
              <w:rPr>
                <w:rFonts w:cs="Arabic Typesetting"/>
                <w:sz w:val="20"/>
                <w:szCs w:val="36"/>
              </w:rPr>
            </w:pPr>
            <w:r w:rsidRPr="0024691D">
              <w:rPr>
                <w:rFonts w:cs="Arabic Typesetting" w:hint="cs"/>
                <w:sz w:val="20"/>
                <w:szCs w:val="36"/>
                <w:rtl/>
              </w:rPr>
              <w:t xml:space="preserve">أغلقت </w:t>
            </w:r>
            <w:r w:rsidRPr="00544FF4">
              <w:rPr>
                <w:rFonts w:cs="Arabic Typesetting" w:hint="cs"/>
                <w:szCs w:val="22"/>
                <w:rtl/>
              </w:rPr>
              <w:t>18</w:t>
            </w:r>
            <w:r w:rsidRPr="0024691D">
              <w:rPr>
                <w:rFonts w:cs="Arabic Typesetting" w:hint="cs"/>
                <w:sz w:val="20"/>
                <w:szCs w:val="36"/>
                <w:rtl/>
              </w:rPr>
              <w:t xml:space="preserve"> </w:t>
            </w:r>
            <w:r w:rsidR="008E0E60">
              <w:rPr>
                <w:rFonts w:cs="Arabic Typesetting" w:hint="cs"/>
                <w:sz w:val="20"/>
                <w:szCs w:val="36"/>
                <w:rtl/>
              </w:rPr>
              <w:t>قضية</w:t>
            </w:r>
            <w:r w:rsidRPr="0024691D">
              <w:rPr>
                <w:rFonts w:cs="Arabic Typesetting" w:hint="cs"/>
                <w:sz w:val="20"/>
                <w:szCs w:val="36"/>
                <w:rtl/>
              </w:rPr>
              <w:t xml:space="preserve"> تحقيق منها </w:t>
            </w:r>
            <w:r w:rsidRPr="00544FF4">
              <w:rPr>
                <w:rFonts w:cs="Arabic Typesetting" w:hint="cs"/>
                <w:szCs w:val="22"/>
                <w:rtl/>
              </w:rPr>
              <w:t>10</w:t>
            </w:r>
            <w:r w:rsidRPr="0024691D">
              <w:rPr>
                <w:rFonts w:cs="Arabic Typesetting" w:hint="cs"/>
                <w:sz w:val="20"/>
                <w:szCs w:val="36"/>
                <w:rtl/>
              </w:rPr>
              <w:t xml:space="preserve"> تقارير تقييم أولية لشعبة الرقابة الداخلية وثمانية تقارير تحقيق وتقريري تورط إدارة</w:t>
            </w:r>
          </w:p>
        </w:tc>
      </w:tr>
    </w:tbl>
    <w:p w:rsidR="00B717EE" w:rsidRDefault="00F13A54" w:rsidP="00F13A54">
      <w:pPr>
        <w:pStyle w:val="EndofDocumentAR"/>
        <w:spacing w:before="480"/>
        <w:rPr>
          <w:rFonts w:eastAsia="SimSun"/>
          <w:lang w:eastAsia="zh-CN" w:bidi="ar-EG"/>
        </w:rPr>
      </w:pPr>
      <w:r>
        <w:rPr>
          <w:rFonts w:eastAsia="SimSun" w:hint="cs"/>
          <w:rtl/>
          <w:lang w:eastAsia="zh-CN" w:bidi="ar-EG"/>
        </w:rPr>
        <w:t>[يلي ذلك المرفق الثالث]</w:t>
      </w:r>
    </w:p>
    <w:p w:rsidR="00B717EE" w:rsidRDefault="00B717EE" w:rsidP="007B6290">
      <w:pPr>
        <w:pStyle w:val="NumberedParaAR"/>
        <w:numPr>
          <w:ilvl w:val="0"/>
          <w:numId w:val="0"/>
        </w:numPr>
        <w:rPr>
          <w:rFonts w:eastAsia="SimSun"/>
          <w:rtl/>
          <w:lang w:eastAsia="zh-CN" w:bidi="ar-EG"/>
        </w:rPr>
      </w:pPr>
    </w:p>
    <w:p w:rsidR="00B717EE" w:rsidRDefault="00B717EE" w:rsidP="007B6290">
      <w:pPr>
        <w:pStyle w:val="NumberedParaAR"/>
        <w:numPr>
          <w:ilvl w:val="0"/>
          <w:numId w:val="0"/>
        </w:numPr>
        <w:rPr>
          <w:rFonts w:eastAsia="SimSun"/>
          <w:rtl/>
          <w:lang w:eastAsia="zh-CN" w:bidi="ar-EG"/>
        </w:rPr>
        <w:sectPr w:rsidR="00B717EE" w:rsidSect="007E5B6E">
          <w:headerReference w:type="first" r:id="rId21"/>
          <w:pgSz w:w="11907" w:h="16840" w:code="9"/>
          <w:pgMar w:top="567" w:right="1418" w:bottom="1418" w:left="1134" w:header="510" w:footer="1021" w:gutter="0"/>
          <w:pgNumType w:start="1"/>
          <w:cols w:space="720"/>
          <w:titlePg/>
          <w:docGrid w:linePitch="299"/>
        </w:sectPr>
      </w:pPr>
    </w:p>
    <w:p w:rsidR="00B717EE" w:rsidRDefault="00CB36C3" w:rsidP="003D3137">
      <w:pPr>
        <w:pStyle w:val="NumberedParaAR"/>
        <w:numPr>
          <w:ilvl w:val="0"/>
          <w:numId w:val="0"/>
        </w:numPr>
        <w:jc w:val="center"/>
        <w:rPr>
          <w:rFonts w:eastAsia="SimSun"/>
          <w:rtl/>
          <w:lang w:eastAsia="zh-CN" w:bidi="ar-EG"/>
        </w:rPr>
      </w:pPr>
      <w:bookmarkStart w:id="26" w:name="Annex3"/>
      <w:r w:rsidRPr="00D53764">
        <w:rPr>
          <w:b/>
          <w:bCs/>
          <w:rtl/>
        </w:rPr>
        <w:lastRenderedPageBreak/>
        <w:t xml:space="preserve">قائمة بالأنشطة الاستشارية لشعبة </w:t>
      </w:r>
      <w:r w:rsidR="003D3137">
        <w:rPr>
          <w:rFonts w:hint="cs"/>
          <w:b/>
          <w:bCs/>
          <w:rtl/>
        </w:rPr>
        <w:t>الرقابة الداخلية</w:t>
      </w:r>
    </w:p>
    <w:bookmarkEnd w:id="26"/>
    <w:p w:rsidR="0024691D" w:rsidRDefault="0024691D" w:rsidP="00544FF4">
      <w:pPr>
        <w:pStyle w:val="NumberedParaAR"/>
        <w:numPr>
          <w:ilvl w:val="0"/>
          <w:numId w:val="8"/>
        </w:numPr>
        <w:spacing w:after="120"/>
        <w:rPr>
          <w:lang w:bidi="ar-EG"/>
        </w:rPr>
      </w:pPr>
      <w:r>
        <w:rPr>
          <w:rFonts w:hint="cs"/>
          <w:rtl/>
          <w:lang w:bidi="ar-EG"/>
        </w:rPr>
        <w:t>اللائحة المالية</w:t>
      </w:r>
    </w:p>
    <w:p w:rsidR="0024691D" w:rsidRDefault="0024691D" w:rsidP="00544FF4">
      <w:pPr>
        <w:pStyle w:val="NumberedParaAR"/>
        <w:numPr>
          <w:ilvl w:val="0"/>
          <w:numId w:val="8"/>
        </w:numPr>
        <w:spacing w:after="120"/>
        <w:rPr>
          <w:lang w:bidi="ar-EG"/>
        </w:rPr>
      </w:pPr>
      <w:r>
        <w:rPr>
          <w:rFonts w:hint="cs"/>
          <w:rtl/>
          <w:lang w:bidi="ar-EG"/>
        </w:rPr>
        <w:t>بند التدقيق في عقود الويبو</w:t>
      </w:r>
    </w:p>
    <w:p w:rsidR="0024691D" w:rsidRDefault="0024691D" w:rsidP="00544FF4">
      <w:pPr>
        <w:pStyle w:val="NumberedParaAR"/>
        <w:numPr>
          <w:ilvl w:val="0"/>
          <w:numId w:val="8"/>
        </w:numPr>
        <w:spacing w:after="120"/>
        <w:rPr>
          <w:lang w:bidi="ar-EG"/>
        </w:rPr>
      </w:pPr>
      <w:r w:rsidRPr="0024691D">
        <w:rPr>
          <w:rtl/>
          <w:lang w:bidi="ar-EG"/>
        </w:rPr>
        <w:t>مجلس مراقبة الممتلكات</w:t>
      </w:r>
    </w:p>
    <w:p w:rsidR="0024691D" w:rsidRDefault="0024691D" w:rsidP="00544FF4">
      <w:pPr>
        <w:pStyle w:val="NumberedParaAR"/>
        <w:numPr>
          <w:ilvl w:val="0"/>
          <w:numId w:val="8"/>
        </w:numPr>
        <w:spacing w:after="120"/>
        <w:rPr>
          <w:lang w:bidi="ar-EG"/>
        </w:rPr>
      </w:pPr>
      <w:r>
        <w:rPr>
          <w:rFonts w:hint="cs"/>
          <w:rtl/>
          <w:lang w:bidi="ar-EG"/>
        </w:rPr>
        <w:t>مقدم تدريب على إدارة المخاطر</w:t>
      </w:r>
    </w:p>
    <w:p w:rsidR="0024691D" w:rsidRDefault="0024691D" w:rsidP="00544FF4">
      <w:pPr>
        <w:pStyle w:val="NumberedParaAR"/>
        <w:numPr>
          <w:ilvl w:val="0"/>
          <w:numId w:val="8"/>
        </w:numPr>
        <w:spacing w:after="120"/>
        <w:rPr>
          <w:lang w:bidi="ar-EG"/>
        </w:rPr>
      </w:pPr>
      <w:r>
        <w:rPr>
          <w:rFonts w:hint="cs"/>
          <w:rtl/>
          <w:lang w:bidi="ar-EG"/>
        </w:rPr>
        <w:t>دليل إدارة المخاطر والضوابط الداخلية</w:t>
      </w:r>
    </w:p>
    <w:p w:rsidR="0024691D" w:rsidRDefault="0024691D" w:rsidP="00544FF4">
      <w:pPr>
        <w:pStyle w:val="NumberedParaAR"/>
        <w:numPr>
          <w:ilvl w:val="0"/>
          <w:numId w:val="8"/>
        </w:numPr>
        <w:spacing w:after="120"/>
        <w:rPr>
          <w:lang w:bidi="ar-EG"/>
        </w:rPr>
      </w:pPr>
      <w:r>
        <w:rPr>
          <w:rFonts w:hint="cs"/>
          <w:rtl/>
          <w:lang w:bidi="ar-EG"/>
        </w:rPr>
        <w:t>سياسة حفظ البريد الإلكتروني</w:t>
      </w:r>
    </w:p>
    <w:p w:rsidR="0024691D" w:rsidRDefault="0024691D" w:rsidP="00544FF4">
      <w:pPr>
        <w:pStyle w:val="NumberedParaAR"/>
        <w:numPr>
          <w:ilvl w:val="0"/>
          <w:numId w:val="8"/>
        </w:numPr>
        <w:spacing w:after="120"/>
        <w:rPr>
          <w:lang w:bidi="ar-EG"/>
        </w:rPr>
      </w:pPr>
      <w:r>
        <w:rPr>
          <w:rFonts w:hint="cs"/>
          <w:rtl/>
          <w:lang w:bidi="ar-EG"/>
        </w:rPr>
        <w:t>إدارة الاستثناءات</w:t>
      </w:r>
    </w:p>
    <w:p w:rsidR="0024691D" w:rsidRDefault="0024691D" w:rsidP="00544FF4">
      <w:pPr>
        <w:pStyle w:val="NumberedParaAR"/>
        <w:numPr>
          <w:ilvl w:val="0"/>
          <w:numId w:val="8"/>
        </w:numPr>
        <w:spacing w:after="120"/>
        <w:rPr>
          <w:lang w:bidi="ar-EG"/>
        </w:rPr>
      </w:pPr>
      <w:r>
        <w:rPr>
          <w:rFonts w:hint="cs"/>
          <w:rtl/>
          <w:lang w:bidi="ar-EG"/>
        </w:rPr>
        <w:t>استقصاء عن التصويت الإلكتروني</w:t>
      </w:r>
    </w:p>
    <w:p w:rsidR="0024691D" w:rsidRDefault="0024691D" w:rsidP="00544FF4">
      <w:pPr>
        <w:pStyle w:val="NumberedParaAR"/>
        <w:numPr>
          <w:ilvl w:val="0"/>
          <w:numId w:val="8"/>
        </w:numPr>
        <w:spacing w:after="120"/>
        <w:rPr>
          <w:lang w:bidi="ar-EG"/>
        </w:rPr>
      </w:pPr>
      <w:r>
        <w:rPr>
          <w:rFonts w:hint="cs"/>
          <w:rtl/>
          <w:lang w:bidi="ar-EG"/>
        </w:rPr>
        <w:t>سياسة حسابات البريد الإلكتروني والملفات بعد مغادرة الموظفين</w:t>
      </w:r>
    </w:p>
    <w:p w:rsidR="0024691D" w:rsidRDefault="0024691D" w:rsidP="00544FF4">
      <w:pPr>
        <w:pStyle w:val="NumberedParaAR"/>
        <w:numPr>
          <w:ilvl w:val="0"/>
          <w:numId w:val="8"/>
        </w:numPr>
        <w:spacing w:after="120"/>
        <w:rPr>
          <w:lang w:bidi="ar-EG"/>
        </w:rPr>
      </w:pPr>
      <w:r>
        <w:rPr>
          <w:rFonts w:hint="cs"/>
          <w:rtl/>
          <w:lang w:bidi="ar-EG"/>
        </w:rPr>
        <w:t>المبادئ التوجيهية للإدارة النقدية في المكاتب الخارجية</w:t>
      </w:r>
    </w:p>
    <w:p w:rsidR="0024691D" w:rsidRDefault="0024691D" w:rsidP="00544FF4">
      <w:pPr>
        <w:pStyle w:val="NumberedParaAR"/>
        <w:numPr>
          <w:ilvl w:val="0"/>
          <w:numId w:val="8"/>
        </w:numPr>
        <w:spacing w:after="120"/>
        <w:rPr>
          <w:lang w:bidi="ar-EG"/>
        </w:rPr>
      </w:pPr>
      <w:r>
        <w:rPr>
          <w:rFonts w:hint="cs"/>
          <w:rtl/>
          <w:lang w:bidi="ar-EG"/>
        </w:rPr>
        <w:t>إطار الأداء ل</w:t>
      </w:r>
      <w:r w:rsidRPr="0024691D">
        <w:rPr>
          <w:rtl/>
          <w:lang w:bidi="ar-EG"/>
        </w:rPr>
        <w:t>شعبة الشؤون الاقتصادية والإحصاءات</w:t>
      </w:r>
    </w:p>
    <w:p w:rsidR="0024691D" w:rsidRDefault="0024691D" w:rsidP="00544FF4">
      <w:pPr>
        <w:pStyle w:val="NumberedParaAR"/>
        <w:numPr>
          <w:ilvl w:val="0"/>
          <w:numId w:val="8"/>
        </w:numPr>
        <w:spacing w:after="120"/>
        <w:rPr>
          <w:lang w:bidi="ar-EG"/>
        </w:rPr>
      </w:pPr>
      <w:r>
        <w:rPr>
          <w:rFonts w:hint="cs"/>
          <w:rtl/>
          <w:lang w:bidi="ar-EG"/>
        </w:rPr>
        <w:t>التعاون بين شعبة الرقابة الداخلية و</w:t>
      </w:r>
      <w:r w:rsidR="00443AB6">
        <w:rPr>
          <w:rFonts w:hint="cs"/>
          <w:rtl/>
          <w:lang w:bidi="ar-EG"/>
        </w:rPr>
        <w:t>قسم تنسيق شؤون السلامة والأمن</w:t>
      </w:r>
    </w:p>
    <w:p w:rsidR="00443AB6" w:rsidRDefault="00443AB6" w:rsidP="00544FF4">
      <w:pPr>
        <w:pStyle w:val="NumberedParaAR"/>
        <w:numPr>
          <w:ilvl w:val="0"/>
          <w:numId w:val="8"/>
        </w:numPr>
        <w:spacing w:after="120"/>
        <w:rPr>
          <w:lang w:bidi="ar-EG"/>
        </w:rPr>
      </w:pPr>
      <w:r>
        <w:rPr>
          <w:rFonts w:hint="cs"/>
          <w:rtl/>
          <w:lang w:bidi="ar-EG"/>
        </w:rPr>
        <w:t>مدونة السلوك لإدارة علاقات الموردين</w:t>
      </w:r>
    </w:p>
    <w:p w:rsidR="00443AB6" w:rsidRDefault="00443AB6" w:rsidP="00544FF4">
      <w:pPr>
        <w:pStyle w:val="NumberedParaAR"/>
        <w:numPr>
          <w:ilvl w:val="0"/>
          <w:numId w:val="8"/>
        </w:numPr>
        <w:spacing w:after="120"/>
        <w:rPr>
          <w:lang w:bidi="ar-EG"/>
        </w:rPr>
      </w:pPr>
      <w:r>
        <w:rPr>
          <w:rFonts w:hint="cs"/>
          <w:rtl/>
          <w:lang w:bidi="ar-EG"/>
        </w:rPr>
        <w:t xml:space="preserve">نظام الويبو </w:t>
      </w:r>
      <w:proofErr w:type="spellStart"/>
      <w:r>
        <w:rPr>
          <w:rFonts w:hint="cs"/>
          <w:rtl/>
          <w:lang w:bidi="ar-EG"/>
        </w:rPr>
        <w:t>لجزاءات</w:t>
      </w:r>
      <w:proofErr w:type="spellEnd"/>
      <w:r>
        <w:rPr>
          <w:rFonts w:hint="cs"/>
          <w:rtl/>
          <w:lang w:bidi="ar-EG"/>
        </w:rPr>
        <w:t xml:space="preserve"> الموردين</w:t>
      </w:r>
    </w:p>
    <w:p w:rsidR="00443AB6" w:rsidRDefault="00443AB6" w:rsidP="00544FF4">
      <w:pPr>
        <w:pStyle w:val="NumberedParaAR"/>
        <w:numPr>
          <w:ilvl w:val="0"/>
          <w:numId w:val="8"/>
        </w:numPr>
        <w:spacing w:after="120"/>
        <w:rPr>
          <w:lang w:bidi="ar-EG"/>
        </w:rPr>
      </w:pPr>
      <w:r>
        <w:rPr>
          <w:rFonts w:hint="cs"/>
          <w:rtl/>
          <w:lang w:bidi="ar-EG"/>
        </w:rPr>
        <w:t>مشروع تقييم التكنولوجيا الملائمة</w:t>
      </w:r>
    </w:p>
    <w:p w:rsidR="00443AB6" w:rsidRDefault="00443AB6" w:rsidP="00544FF4">
      <w:pPr>
        <w:pStyle w:val="NumberedParaAR"/>
        <w:numPr>
          <w:ilvl w:val="0"/>
          <w:numId w:val="8"/>
        </w:numPr>
        <w:spacing w:after="120"/>
        <w:rPr>
          <w:lang w:bidi="ar-EG"/>
        </w:rPr>
      </w:pPr>
      <w:r>
        <w:rPr>
          <w:rFonts w:hint="cs"/>
          <w:rtl/>
          <w:lang w:bidi="ar-EG"/>
        </w:rPr>
        <w:t xml:space="preserve">مساعدة </w:t>
      </w:r>
      <w:r w:rsidRPr="00443AB6">
        <w:rPr>
          <w:rtl/>
          <w:lang w:bidi="ar-EG"/>
        </w:rPr>
        <w:t>إدارة تخطيط البرامج والشؤون المالية</w:t>
      </w:r>
      <w:r>
        <w:rPr>
          <w:rFonts w:hint="cs"/>
          <w:rtl/>
          <w:lang w:bidi="ar-EG"/>
        </w:rPr>
        <w:t xml:space="preserve"> على وضع مؤشرات الأداء الرئيسية</w:t>
      </w:r>
    </w:p>
    <w:p w:rsidR="00443AB6" w:rsidRDefault="00443AB6" w:rsidP="00544FF4">
      <w:pPr>
        <w:pStyle w:val="NumberedParaAR"/>
        <w:numPr>
          <w:ilvl w:val="0"/>
          <w:numId w:val="8"/>
        </w:numPr>
        <w:spacing w:after="120"/>
        <w:rPr>
          <w:lang w:bidi="ar-EG"/>
        </w:rPr>
      </w:pPr>
      <w:r>
        <w:rPr>
          <w:rFonts w:hint="cs"/>
          <w:rtl/>
          <w:lang w:bidi="ar-EG"/>
        </w:rPr>
        <w:t>لجنة الاستثمار</w:t>
      </w:r>
    </w:p>
    <w:p w:rsidR="00443AB6" w:rsidRDefault="00443AB6" w:rsidP="00544FF4">
      <w:pPr>
        <w:pStyle w:val="NumberedParaAR"/>
        <w:numPr>
          <w:ilvl w:val="0"/>
          <w:numId w:val="8"/>
        </w:numPr>
        <w:spacing w:after="120"/>
        <w:rPr>
          <w:lang w:bidi="ar-EG"/>
        </w:rPr>
      </w:pPr>
      <w:r>
        <w:rPr>
          <w:rFonts w:hint="cs"/>
          <w:rtl/>
          <w:lang w:bidi="ar-EG"/>
        </w:rPr>
        <w:t>مبادرة الأمم المتحدة الخاصة بالشفافية والمساءلة</w:t>
      </w:r>
    </w:p>
    <w:p w:rsidR="00544FF4" w:rsidRDefault="00544FF4" w:rsidP="00F13A54">
      <w:pPr>
        <w:pStyle w:val="EndofDocumentAR"/>
        <w:rPr>
          <w:rtl/>
          <w:lang w:bidi="ar-EG"/>
        </w:rPr>
      </w:pPr>
    </w:p>
    <w:p w:rsidR="00F13A54" w:rsidRDefault="00F13A54" w:rsidP="00F13A54">
      <w:pPr>
        <w:pStyle w:val="EndofDocumentAR"/>
        <w:rPr>
          <w:rtl/>
          <w:lang w:bidi="ar-EG"/>
        </w:rPr>
      </w:pPr>
      <w:r>
        <w:rPr>
          <w:rFonts w:hint="cs"/>
          <w:rtl/>
          <w:lang w:bidi="ar-EG"/>
        </w:rPr>
        <w:t>[نهاية المرفق الثالث والوثيقة]</w:t>
      </w:r>
    </w:p>
    <w:sectPr w:rsidR="00F13A54" w:rsidSect="007E5B6E">
      <w:headerReference w:type="first" r:id="rId22"/>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0A9" w:rsidRDefault="008720A9">
      <w:r>
        <w:separator/>
      </w:r>
    </w:p>
  </w:endnote>
  <w:endnote w:type="continuationSeparator" w:id="0">
    <w:p w:rsidR="008720A9" w:rsidRDefault="00872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0A9" w:rsidRDefault="008720A9" w:rsidP="009622BF">
      <w:pPr>
        <w:bidi/>
      </w:pPr>
      <w:bookmarkStart w:id="0" w:name="OLE_LINK1"/>
      <w:bookmarkStart w:id="1" w:name="OLE_LINK2"/>
      <w:r>
        <w:separator/>
      </w:r>
      <w:bookmarkEnd w:id="0"/>
      <w:bookmarkEnd w:id="1"/>
    </w:p>
  </w:footnote>
  <w:footnote w:type="continuationSeparator" w:id="0">
    <w:p w:rsidR="008720A9" w:rsidRDefault="008720A9" w:rsidP="009622BF">
      <w:pPr>
        <w:bidi/>
      </w:pPr>
      <w:r>
        <w:separator/>
      </w:r>
    </w:p>
  </w:footnote>
  <w:footnote w:id="1">
    <w:p w:rsidR="008720A9" w:rsidRDefault="008720A9">
      <w:pPr>
        <w:pStyle w:val="FootnoteText"/>
        <w:rPr>
          <w:lang w:bidi="ar-EG"/>
        </w:rPr>
      </w:pPr>
      <w:r>
        <w:rPr>
          <w:rStyle w:val="FootnoteReference"/>
        </w:rPr>
        <w:footnoteRef/>
      </w:r>
      <w:r>
        <w:rPr>
          <w:rtl/>
        </w:rPr>
        <w:t xml:space="preserve"> </w:t>
      </w:r>
      <w:r>
        <w:rPr>
          <w:rFonts w:hint="cs"/>
          <w:rtl/>
        </w:rPr>
        <w:t>انظر الفقرتين 38 و39 من ميثاق الرقابة الداخلية.</w:t>
      </w:r>
    </w:p>
  </w:footnote>
  <w:footnote w:id="2">
    <w:p w:rsidR="008720A9" w:rsidRDefault="008720A9">
      <w:pPr>
        <w:pStyle w:val="FootnoteText"/>
        <w:rPr>
          <w:lang w:bidi="ar-EG"/>
        </w:rPr>
      </w:pPr>
      <w:r>
        <w:rPr>
          <w:rStyle w:val="FootnoteReference"/>
        </w:rPr>
        <w:footnoteRef/>
      </w:r>
      <w:r>
        <w:rPr>
          <w:rtl/>
        </w:rPr>
        <w:t xml:space="preserve"> </w:t>
      </w:r>
      <w:r>
        <w:rPr>
          <w:rFonts w:hint="cs"/>
          <w:rtl/>
        </w:rPr>
        <w:t>ترد قائمة التقارير في المرفق الثاني.</w:t>
      </w:r>
    </w:p>
  </w:footnote>
  <w:footnote w:id="3">
    <w:p w:rsidR="008720A9" w:rsidRDefault="008720A9" w:rsidP="009F6FF9">
      <w:pPr>
        <w:pStyle w:val="FootnoteText"/>
        <w:rPr>
          <w:rtl/>
          <w:lang w:bidi="ar-EG"/>
        </w:rPr>
      </w:pPr>
      <w:r>
        <w:rPr>
          <w:rStyle w:val="FootnoteReference"/>
        </w:rPr>
        <w:footnoteRef/>
      </w:r>
      <w:r>
        <w:rPr>
          <w:rtl/>
        </w:rPr>
        <w:t xml:space="preserve"> </w:t>
      </w:r>
      <w:r>
        <w:rPr>
          <w:rFonts w:hint="cs"/>
          <w:rtl/>
        </w:rPr>
        <w:t xml:space="preserve">نظام </w:t>
      </w:r>
      <w:proofErr w:type="spellStart"/>
      <w:r>
        <w:t>TeamCentral</w:t>
      </w:r>
      <w:proofErr w:type="spellEnd"/>
      <w:r>
        <w:rPr>
          <w:rFonts w:hint="cs"/>
          <w:rtl/>
          <w:lang w:bidi="ar-EG"/>
        </w:rPr>
        <w:t xml:space="preserve"> هو أحد وحدات نظام </w:t>
      </w:r>
      <w:proofErr w:type="spellStart"/>
      <w:r>
        <w:rPr>
          <w:lang w:bidi="ar-EG"/>
        </w:rPr>
        <w:t>TeamMate</w:t>
      </w:r>
      <w:proofErr w:type="spellEnd"/>
      <w:r>
        <w:rPr>
          <w:rFonts w:hint="cs"/>
          <w:rtl/>
          <w:lang w:bidi="ar-EG"/>
        </w:rPr>
        <w:t xml:space="preserve"> وهو برمجية مخصصة لمهام الرقابة تضم وحدات مختلفة مثل وثائق عمل إلكترونية؛ ومتابعة التوصيات وتقييم المخاطر وتحديد الجدول الزمني.</w:t>
      </w:r>
    </w:p>
  </w:footnote>
  <w:footnote w:id="4">
    <w:p w:rsidR="008720A9" w:rsidRDefault="008720A9">
      <w:pPr>
        <w:pStyle w:val="FootnoteText"/>
        <w:rPr>
          <w:lang w:bidi="ar-EG"/>
        </w:rPr>
      </w:pPr>
      <w:r>
        <w:rPr>
          <w:rStyle w:val="FootnoteReference"/>
        </w:rPr>
        <w:footnoteRef/>
      </w:r>
      <w:r>
        <w:rPr>
          <w:rtl/>
        </w:rPr>
        <w:t xml:space="preserve"> </w:t>
      </w:r>
      <w:r w:rsidRPr="00DD3209">
        <w:rPr>
          <w:rtl/>
        </w:rPr>
        <w:t>وثيقة البرنامج والميزانية للفترة 15/2014، ومشروع البرنامج والميزانية للفترة 17/2016، ومذكرة إصلاح الأكاديمية التي أرسلها المدير التنفيذي السابق للأكاديمية إلى المدير العام في عام 2013 فضلاً عن التعميم الإداري لتعيين المدير التنفيذي الجديد للأكاديمية (</w:t>
      </w:r>
      <w:r w:rsidRPr="00DD3209">
        <w:t>OI/8/2015</w:t>
      </w:r>
      <w:r w:rsidRPr="00DD3209">
        <w:rPr>
          <w:rtl/>
        </w:rPr>
        <w:t>)</w:t>
      </w:r>
      <w:r>
        <w:rPr>
          <w:rFonts w:hint="cs"/>
          <w:rtl/>
        </w:rPr>
        <w:t>.</w:t>
      </w:r>
    </w:p>
  </w:footnote>
  <w:footnote w:id="5">
    <w:p w:rsidR="008720A9" w:rsidRDefault="008720A9">
      <w:pPr>
        <w:pStyle w:val="FootnoteText"/>
        <w:rPr>
          <w:rtl/>
          <w:lang w:bidi="ar-EG"/>
        </w:rPr>
      </w:pPr>
      <w:r>
        <w:rPr>
          <w:rStyle w:val="FootnoteReference"/>
        </w:rPr>
        <w:footnoteRef/>
      </w:r>
      <w:r>
        <w:rPr>
          <w:rFonts w:hint="cs"/>
          <w:rtl/>
        </w:rPr>
        <w:t xml:space="preserve"> موظف واحد معني بثلاث من أصل القضايا الثماني.</w:t>
      </w:r>
    </w:p>
  </w:footnote>
  <w:footnote w:id="6">
    <w:p w:rsidR="008720A9" w:rsidRDefault="008720A9">
      <w:pPr>
        <w:pStyle w:val="FootnoteText"/>
        <w:rPr>
          <w:lang w:bidi="ar-EG"/>
        </w:rPr>
      </w:pPr>
      <w:r>
        <w:rPr>
          <w:rStyle w:val="FootnoteReference"/>
        </w:rPr>
        <w:footnoteRef/>
      </w:r>
      <w:r>
        <w:rPr>
          <w:rtl/>
        </w:rPr>
        <w:t xml:space="preserve"> </w:t>
      </w:r>
      <w:r>
        <w:rPr>
          <w:rFonts w:hint="cs"/>
          <w:rtl/>
        </w:rPr>
        <w:t>الفقرة 36 من ميثاق الرقابة الداخلية.</w:t>
      </w:r>
    </w:p>
  </w:footnote>
  <w:footnote w:id="7">
    <w:p w:rsidR="008720A9" w:rsidRDefault="008720A9">
      <w:pPr>
        <w:pStyle w:val="FootnoteText"/>
        <w:rPr>
          <w:rtl/>
          <w:lang w:bidi="ar-EG"/>
        </w:rPr>
      </w:pPr>
      <w:r>
        <w:rPr>
          <w:rStyle w:val="FootnoteReference"/>
        </w:rPr>
        <w:footnoteRef/>
      </w:r>
      <w:r>
        <w:rPr>
          <w:rtl/>
        </w:rPr>
        <w:t xml:space="preserve"> </w:t>
      </w:r>
      <w:r>
        <w:rPr>
          <w:rFonts w:hint="cs"/>
          <w:rtl/>
        </w:rPr>
        <w:t xml:space="preserve">الفقرة 7 من التعميم الإداري </w:t>
      </w:r>
      <w:r>
        <w:rPr>
          <w:lang w:bidi="ar-EG"/>
        </w:rPr>
        <w:t>16/2010</w:t>
      </w:r>
      <w:r>
        <w:rPr>
          <w:rFonts w:hint="cs"/>
          <w:rtl/>
          <w:lang w:bidi="ar-EG"/>
        </w:rPr>
        <w:t>.</w:t>
      </w:r>
    </w:p>
  </w:footnote>
  <w:footnote w:id="8">
    <w:p w:rsidR="008720A9" w:rsidRDefault="008720A9">
      <w:pPr>
        <w:pStyle w:val="FootnoteText"/>
        <w:rPr>
          <w:rtl/>
          <w:lang w:bidi="ar-EG"/>
        </w:rPr>
      </w:pPr>
      <w:r>
        <w:rPr>
          <w:rStyle w:val="FootnoteReference"/>
        </w:rPr>
        <w:footnoteRef/>
      </w:r>
      <w:r>
        <w:rPr>
          <w:rtl/>
        </w:rPr>
        <w:t xml:space="preserve"> </w:t>
      </w:r>
      <w:r>
        <w:rPr>
          <w:rFonts w:hint="cs"/>
          <w:rtl/>
        </w:rPr>
        <w:t xml:space="preserve">الفقرة 8 من التعميم الإداري </w:t>
      </w:r>
      <w:r>
        <w:t>16/2010</w:t>
      </w:r>
      <w:r>
        <w:rPr>
          <w:rFonts w:hint="cs"/>
          <w:rtl/>
          <w:lang w:bidi="ar-EG"/>
        </w:rPr>
        <w:t>.</w:t>
      </w:r>
    </w:p>
  </w:footnote>
  <w:footnote w:id="9">
    <w:p w:rsidR="008720A9" w:rsidRPr="00FC04C5" w:rsidRDefault="008720A9">
      <w:pPr>
        <w:pStyle w:val="FootnoteText"/>
        <w:rPr>
          <w:lang w:val="fr-CH"/>
        </w:rPr>
      </w:pPr>
      <w:r>
        <w:rPr>
          <w:rStyle w:val="FootnoteReference"/>
        </w:rPr>
        <w:footnoteRef/>
      </w:r>
      <w:r>
        <w:rPr>
          <w:rtl/>
        </w:rPr>
        <w:t xml:space="preserve"> </w:t>
      </w:r>
      <w:r>
        <w:rPr>
          <w:rFonts w:hint="cs"/>
          <w:rtl/>
        </w:rPr>
        <w:t xml:space="preserve">البرنامج 1 - </w:t>
      </w:r>
      <w:r>
        <w:rPr>
          <w:rtl/>
          <w:lang w:val="fr-CH"/>
        </w:rPr>
        <w:t>قانون البراءات</w:t>
      </w:r>
      <w:r>
        <w:rPr>
          <w:rFonts w:hint="cs"/>
          <w:rtl/>
          <w:lang w:val="fr-CH"/>
        </w:rPr>
        <w:t xml:space="preserve">، البرنامج 4 - </w:t>
      </w:r>
      <w:r w:rsidRPr="00FC04C5">
        <w:rPr>
          <w:rtl/>
          <w:lang w:val="fr-CH"/>
        </w:rPr>
        <w:t>المعارف التقليدية وأشكال التعبير الثقافي التقليدي والموارد الوراثية</w:t>
      </w:r>
      <w:r>
        <w:rPr>
          <w:rFonts w:hint="cs"/>
          <w:rtl/>
          <w:lang w:val="fr-CH"/>
        </w:rPr>
        <w:t xml:space="preserve">، البرنامج 5 - </w:t>
      </w:r>
      <w:r w:rsidRPr="00FC04C5">
        <w:rPr>
          <w:rtl/>
          <w:lang w:val="fr-CH"/>
        </w:rPr>
        <w:t>نظام معاهدة التعاون بشأن البراءات</w:t>
      </w:r>
      <w:r w:rsidRPr="00FC04C5">
        <w:rPr>
          <w:rFonts w:hint="cs"/>
          <w:rtl/>
          <w:lang w:val="fr-CH"/>
        </w:rPr>
        <w:t xml:space="preserve">، البرنامج 6 - </w:t>
      </w:r>
      <w:r w:rsidRPr="00FC04C5">
        <w:rPr>
          <w:rtl/>
          <w:lang w:val="fr-CH"/>
        </w:rPr>
        <w:t>نظاما مدريد ولشبونة</w:t>
      </w:r>
      <w:r w:rsidRPr="00FC04C5">
        <w:rPr>
          <w:rFonts w:hint="cs"/>
          <w:rtl/>
          <w:lang w:val="fr-CH"/>
        </w:rPr>
        <w:t xml:space="preserve">، البرنامج 8 - </w:t>
      </w:r>
      <w:r w:rsidRPr="00FC04C5">
        <w:rPr>
          <w:rtl/>
          <w:lang w:val="fr-CH"/>
        </w:rPr>
        <w:t>تنسيق جدول أعمال التنمية</w:t>
      </w:r>
      <w:r w:rsidRPr="00FC04C5">
        <w:rPr>
          <w:rFonts w:hint="cs"/>
          <w:rtl/>
          <w:lang w:val="fr-CH"/>
        </w:rPr>
        <w:t xml:space="preserve">، البرنامج 9 - </w:t>
      </w:r>
      <w:r w:rsidRPr="00FC04C5">
        <w:rPr>
          <w:rtl/>
          <w:lang w:val="fr-CH"/>
        </w:rPr>
        <w:t>أفريقيا والبلدان العربية وبلدان آسيا والمحيط الهادئ وأمريكا اللاتينية والكاريبي والبلدان الأقل نمواً</w:t>
      </w:r>
      <w:r w:rsidRPr="00FC04C5">
        <w:rPr>
          <w:rFonts w:hint="cs"/>
          <w:rtl/>
          <w:lang w:val="fr-CH"/>
        </w:rPr>
        <w:t xml:space="preserve">، البرنامج 11 - </w:t>
      </w:r>
      <w:r w:rsidRPr="00FC04C5">
        <w:rPr>
          <w:rtl/>
          <w:lang w:val="fr-CH"/>
        </w:rPr>
        <w:t>أكاديمية الويبو</w:t>
      </w:r>
      <w:r w:rsidRPr="00FC04C5">
        <w:rPr>
          <w:rFonts w:hint="cs"/>
          <w:rtl/>
          <w:lang w:val="fr-CH"/>
        </w:rPr>
        <w:t xml:space="preserve">، البرنامج 14 - </w:t>
      </w:r>
      <w:r w:rsidRPr="00FC04C5">
        <w:rPr>
          <w:rtl/>
          <w:lang w:val="fr-CH"/>
        </w:rPr>
        <w:t>خدمات النفاذ إلى المعلومات والمعرفة</w:t>
      </w:r>
      <w:r w:rsidRPr="00FC04C5">
        <w:rPr>
          <w:rFonts w:hint="cs"/>
          <w:rtl/>
          <w:lang w:val="fr-CH"/>
        </w:rPr>
        <w:t xml:space="preserve">، البرنامج 19 </w:t>
      </w:r>
      <w:r w:rsidRPr="00FC04C5">
        <w:rPr>
          <w:rtl/>
          <w:lang w:val="fr-CH"/>
        </w:rPr>
        <w:t>–</w:t>
      </w:r>
      <w:r w:rsidRPr="00FC04C5">
        <w:rPr>
          <w:rFonts w:hint="cs"/>
          <w:rtl/>
          <w:lang w:val="fr-CH"/>
        </w:rPr>
        <w:t xml:space="preserve"> </w:t>
      </w:r>
      <w:r w:rsidRPr="00FC04C5">
        <w:rPr>
          <w:rtl/>
          <w:lang w:val="fr-CH"/>
        </w:rPr>
        <w:t>التواصل</w:t>
      </w:r>
      <w:r w:rsidRPr="00FC04C5">
        <w:rPr>
          <w:rFonts w:hint="cs"/>
          <w:rtl/>
          <w:lang w:val="fr-CH"/>
        </w:rPr>
        <w:t xml:space="preserve">، البرنامج 20 - </w:t>
      </w:r>
      <w:r w:rsidRPr="00FC04C5">
        <w:rPr>
          <w:rtl/>
          <w:lang w:val="fr-CH"/>
        </w:rPr>
        <w:t>العلاقات الخارجية والشراكات والمكاتب الخارجية</w:t>
      </w:r>
      <w:r w:rsidRPr="00FC04C5">
        <w:rPr>
          <w:rFonts w:hint="cs"/>
          <w:rtl/>
          <w:lang w:val="fr-CH"/>
        </w:rPr>
        <w:t xml:space="preserve">، البرنامج 21 - </w:t>
      </w:r>
      <w:r w:rsidRPr="00FC04C5">
        <w:rPr>
          <w:rtl/>
          <w:lang w:val="fr-CH"/>
        </w:rPr>
        <w:t>الإدارة التنفيذية</w:t>
      </w:r>
      <w:r w:rsidRPr="00FC04C5">
        <w:rPr>
          <w:rFonts w:hint="cs"/>
          <w:rtl/>
          <w:lang w:val="fr-CH"/>
        </w:rPr>
        <w:t xml:space="preserve">، البرنامج 22 - </w:t>
      </w:r>
      <w:r w:rsidRPr="00FC04C5">
        <w:rPr>
          <w:rtl/>
          <w:lang w:val="fr-CH"/>
        </w:rPr>
        <w:t>إدارة البرامج والموارد</w:t>
      </w:r>
      <w:r w:rsidRPr="00FC04C5">
        <w:rPr>
          <w:rFonts w:hint="cs"/>
          <w:rtl/>
          <w:lang w:val="fr-CH"/>
        </w:rPr>
        <w:t xml:space="preserve">، البرنامج 23 - </w:t>
      </w:r>
      <w:r w:rsidRPr="00FC04C5">
        <w:rPr>
          <w:rtl/>
          <w:lang w:val="fr-CH"/>
        </w:rPr>
        <w:t>إدارة الموارد البشرية وتطويرها</w:t>
      </w:r>
      <w:r w:rsidRPr="00FC04C5">
        <w:rPr>
          <w:rFonts w:hint="cs"/>
          <w:rtl/>
          <w:lang w:val="fr-CH"/>
        </w:rPr>
        <w:t xml:space="preserve">، البرنامج 24 - </w:t>
      </w:r>
      <w:r w:rsidRPr="00FC04C5">
        <w:rPr>
          <w:rtl/>
          <w:lang w:val="fr-CH"/>
        </w:rPr>
        <w:t>خدمات الدعم العامة</w:t>
      </w:r>
      <w:r w:rsidRPr="00FC04C5">
        <w:rPr>
          <w:rFonts w:hint="cs"/>
          <w:rtl/>
          <w:lang w:val="fr-CH"/>
        </w:rPr>
        <w:t xml:space="preserve">، البرنامج 25 - </w:t>
      </w:r>
      <w:r w:rsidRPr="00FC04C5">
        <w:rPr>
          <w:rtl/>
          <w:lang w:val="fr-CH"/>
        </w:rPr>
        <w:t>تكنولوجيا المعلومات والاتصالات</w:t>
      </w:r>
      <w:r w:rsidRPr="00FC04C5">
        <w:rPr>
          <w:rFonts w:hint="cs"/>
          <w:rtl/>
          <w:lang w:val="fr-CH"/>
        </w:rPr>
        <w:t xml:space="preserve">، البرنامج 26 - </w:t>
      </w:r>
      <w:r w:rsidRPr="00FC04C5">
        <w:rPr>
          <w:rtl/>
          <w:lang w:val="fr-CH"/>
        </w:rPr>
        <w:t>الرقابة الداخلية</w:t>
      </w:r>
      <w:r w:rsidRPr="00FC04C5">
        <w:rPr>
          <w:rFonts w:hint="cs"/>
          <w:rtl/>
          <w:lang w:val="fr-CH"/>
        </w:rPr>
        <w:t xml:space="preserve">، البرنامج 27 - </w:t>
      </w:r>
      <w:r w:rsidRPr="00FC04C5">
        <w:rPr>
          <w:rtl/>
          <w:lang w:val="fr-CH"/>
        </w:rPr>
        <w:t>خدمات المؤتمرات واللغات</w:t>
      </w:r>
      <w:r w:rsidRPr="00FC04C5">
        <w:rPr>
          <w:rFonts w:hint="cs"/>
          <w:rtl/>
          <w:lang w:val="fr-CH"/>
        </w:rPr>
        <w:t xml:space="preserve">، البرنامج 28 - </w:t>
      </w:r>
      <w:r w:rsidRPr="00FC04C5">
        <w:rPr>
          <w:rtl/>
          <w:lang w:val="fr-CH"/>
        </w:rPr>
        <w:t>تأمين المعلومات والسلامة والأمن</w:t>
      </w:r>
      <w:r w:rsidRPr="00FC04C5">
        <w:rPr>
          <w:rFonts w:hint="cs"/>
          <w:rtl/>
          <w:lang w:val="fr-CH"/>
        </w:rPr>
        <w:t xml:space="preserve">، البرنامج 29 - </w:t>
      </w:r>
      <w:r w:rsidRPr="00FC04C5">
        <w:rPr>
          <w:rtl/>
          <w:lang w:val="fr-CH"/>
        </w:rPr>
        <w:t>قاعة المؤتمرات الجديدة</w:t>
      </w:r>
      <w:r w:rsidRPr="00FC04C5">
        <w:rPr>
          <w:rFonts w:hint="cs"/>
          <w:rtl/>
          <w:lang w:val="fr-CH"/>
        </w:rPr>
        <w:t xml:space="preserve">، البرنامج 31 - </w:t>
      </w:r>
      <w:r w:rsidRPr="00FC04C5">
        <w:rPr>
          <w:rtl/>
          <w:lang w:val="fr-CH"/>
        </w:rPr>
        <w:t>نظام لاهاي</w:t>
      </w:r>
    </w:p>
  </w:footnote>
  <w:footnote w:id="10">
    <w:p w:rsidR="008720A9" w:rsidRDefault="008720A9" w:rsidP="00360D2A">
      <w:pPr>
        <w:pStyle w:val="FootnoteText"/>
        <w:rPr>
          <w:lang w:bidi="ar-EG"/>
        </w:rPr>
      </w:pPr>
      <w:r>
        <w:rPr>
          <w:rStyle w:val="FootnoteReference"/>
        </w:rPr>
        <w:footnoteRef/>
      </w:r>
      <w:r>
        <w:rPr>
          <w:rtl/>
        </w:rPr>
        <w:t xml:space="preserve"> </w:t>
      </w:r>
      <w:r w:rsidR="001D42DA">
        <w:rPr>
          <w:rFonts w:hint="cs"/>
          <w:rtl/>
        </w:rPr>
        <w:t xml:space="preserve">الوثائق </w:t>
      </w:r>
      <w:r w:rsidRPr="00360D2A">
        <w:t>WO/</w:t>
      </w:r>
      <w:proofErr w:type="spellStart"/>
      <w:r w:rsidRPr="00360D2A">
        <w:t>IAOC</w:t>
      </w:r>
      <w:proofErr w:type="spellEnd"/>
      <w:r w:rsidRPr="00360D2A">
        <w:t>/30/2</w:t>
      </w:r>
      <w:r w:rsidRPr="00360D2A">
        <w:rPr>
          <w:rtl/>
        </w:rPr>
        <w:t xml:space="preserve"> و</w:t>
      </w:r>
      <w:r w:rsidRPr="00360D2A">
        <w:t>WO/</w:t>
      </w:r>
      <w:proofErr w:type="spellStart"/>
      <w:r w:rsidRPr="00360D2A">
        <w:t>IAOC</w:t>
      </w:r>
      <w:proofErr w:type="spellEnd"/>
      <w:r w:rsidRPr="00360D2A">
        <w:t>/31/2</w:t>
      </w:r>
      <w:r w:rsidRPr="00360D2A">
        <w:rPr>
          <w:rtl/>
        </w:rPr>
        <w:t xml:space="preserve"> و</w:t>
      </w:r>
      <w:r w:rsidRPr="00360D2A">
        <w:t>WO/</w:t>
      </w:r>
      <w:proofErr w:type="spellStart"/>
      <w:r w:rsidRPr="00360D2A">
        <w:t>IAOC</w:t>
      </w:r>
      <w:proofErr w:type="spellEnd"/>
      <w:r w:rsidRPr="00360D2A">
        <w:t>/32/2</w:t>
      </w:r>
      <w:r w:rsidRPr="00360D2A">
        <w:rPr>
          <w:rtl/>
        </w:rPr>
        <w:t xml:space="preserve"> و</w:t>
      </w:r>
      <w:r w:rsidRPr="00360D2A">
        <w:t>WO/</w:t>
      </w:r>
      <w:proofErr w:type="spellStart"/>
      <w:r w:rsidRPr="00360D2A">
        <w:t>IAOC</w:t>
      </w:r>
      <w:proofErr w:type="spellEnd"/>
      <w:r w:rsidRPr="00360D2A">
        <w:t>/33/2</w:t>
      </w:r>
      <w:r w:rsidRPr="00360D2A">
        <w:rPr>
          <w:rtl/>
        </w:rPr>
        <w:t>.</w:t>
      </w:r>
    </w:p>
  </w:footnote>
  <w:footnote w:id="11">
    <w:p w:rsidR="008720A9" w:rsidRDefault="008720A9">
      <w:pPr>
        <w:pStyle w:val="FootnoteText"/>
        <w:rPr>
          <w:lang w:bidi="ar-EG"/>
        </w:rPr>
      </w:pPr>
      <w:r>
        <w:rPr>
          <w:rStyle w:val="FootnoteReference"/>
        </w:rPr>
        <w:footnoteRef/>
      </w:r>
      <w:r>
        <w:rPr>
          <w:rtl/>
        </w:rPr>
        <w:t xml:space="preserve"> </w:t>
      </w:r>
      <w:r>
        <w:rPr>
          <w:rFonts w:hint="cs"/>
          <w:rtl/>
        </w:rPr>
        <w:t>الفقرة 24(ز) من ميثاق الرقابة الداخلية.</w:t>
      </w:r>
    </w:p>
  </w:footnote>
  <w:footnote w:id="12">
    <w:p w:rsidR="008720A9" w:rsidRDefault="008720A9">
      <w:pPr>
        <w:pStyle w:val="FootnoteText"/>
        <w:rPr>
          <w:lang w:bidi="ar-EG"/>
        </w:rPr>
      </w:pPr>
      <w:r>
        <w:rPr>
          <w:rStyle w:val="FootnoteReference"/>
        </w:rPr>
        <w:footnoteRef/>
      </w:r>
      <w:r>
        <w:rPr>
          <w:rtl/>
        </w:rPr>
        <w:t xml:space="preserve"> </w:t>
      </w:r>
      <w:r>
        <w:rPr>
          <w:rFonts w:hint="cs"/>
          <w:rtl/>
        </w:rPr>
        <w:t>الفقرة 39(ط) من ميثاق الرقابة الداخلية.</w:t>
      </w:r>
    </w:p>
  </w:footnote>
  <w:footnote w:id="13">
    <w:p w:rsidR="008720A9" w:rsidRDefault="008720A9" w:rsidP="006A34F8">
      <w:pPr>
        <w:pStyle w:val="FootnoteText"/>
        <w:tabs>
          <w:tab w:val="left" w:pos="6385"/>
        </w:tabs>
        <w:rPr>
          <w:lang w:bidi="ar-EG"/>
        </w:rPr>
      </w:pPr>
      <w:r>
        <w:rPr>
          <w:rStyle w:val="FootnoteReference"/>
        </w:rPr>
        <w:footnoteRef/>
      </w:r>
      <w:r>
        <w:rPr>
          <w:rtl/>
        </w:rPr>
        <w:t xml:space="preserve"> </w:t>
      </w:r>
      <w:r w:rsidR="006A34F8">
        <w:rPr>
          <w:rFonts w:hint="cs"/>
          <w:rtl/>
          <w:lang w:bidi="ar-EG"/>
        </w:rPr>
        <w:t>ثماني</w:t>
      </w:r>
      <w:r>
        <w:rPr>
          <w:rFonts w:hint="cs"/>
          <w:rtl/>
          <w:lang w:bidi="ar-EG"/>
        </w:rPr>
        <w:t xml:space="preserve"> وظائف موافق عليها و</w:t>
      </w:r>
      <w:r w:rsidR="006A34F8">
        <w:rPr>
          <w:rFonts w:hint="cs"/>
          <w:rtl/>
          <w:lang w:bidi="ar-EG"/>
        </w:rPr>
        <w:t>ثلاث</w:t>
      </w:r>
      <w:r>
        <w:rPr>
          <w:rFonts w:hint="cs"/>
          <w:rtl/>
          <w:lang w:bidi="ar-EG"/>
        </w:rPr>
        <w:t xml:space="preserve"> وظائف مؤقتة تؤلف القوى العاملة الحالية في شعبة الرقابة الداخلية.</w:t>
      </w:r>
    </w:p>
  </w:footnote>
  <w:footnote w:id="14">
    <w:p w:rsidR="008720A9" w:rsidRPr="00CB7C12" w:rsidRDefault="008720A9" w:rsidP="00CB7C12">
      <w:pPr>
        <w:pStyle w:val="FootnoteText"/>
        <w:rPr>
          <w:rtl/>
        </w:rPr>
      </w:pPr>
      <w:r>
        <w:rPr>
          <w:rStyle w:val="FootnoteReference"/>
        </w:rPr>
        <w:footnoteRef/>
      </w:r>
      <w:r>
        <w:rPr>
          <w:rtl/>
        </w:rPr>
        <w:t xml:space="preserve"> </w:t>
      </w:r>
      <w:r>
        <w:rPr>
          <w:rFonts w:hint="cs"/>
          <w:rtl/>
        </w:rPr>
        <w:t xml:space="preserve">- الوثيقة </w:t>
      </w:r>
      <w:r>
        <w:rPr>
          <w:szCs w:val="18"/>
        </w:rPr>
        <w:t>JIU/REP/2006/2</w:t>
      </w:r>
      <w:r w:rsidRPr="00CB7C12">
        <w:rPr>
          <w:rFonts w:hint="cs"/>
          <w:rtl/>
        </w:rPr>
        <w:t xml:space="preserve"> المتعلقة بثغرات الرقابة في منظومة الأمم المتحدة والتي أوصت فيها المنظمات التي تتمتع بموارد إجمالية تتراوح بين 250 و800 مليون دولار أمريكي بإنفاق 0.60 إلى 0.90 بالمئة من مواردها على الرقابة الداخلية؛</w:t>
      </w:r>
    </w:p>
    <w:p w:rsidR="008720A9" w:rsidRPr="00CB7C12" w:rsidRDefault="008720A9" w:rsidP="00CB7C12">
      <w:pPr>
        <w:pStyle w:val="FootnoteText"/>
        <w:rPr>
          <w:rtl/>
        </w:rPr>
      </w:pPr>
      <w:r>
        <w:rPr>
          <w:rFonts w:hint="cs"/>
          <w:rtl/>
        </w:rPr>
        <w:t xml:space="preserve">- </w:t>
      </w:r>
      <w:r w:rsidRPr="00CB7C12">
        <w:t>JIU/REP/2010/5</w:t>
      </w:r>
      <w:r w:rsidRPr="00CB7C12">
        <w:rPr>
          <w:rFonts w:hint="cs"/>
          <w:rtl/>
        </w:rPr>
        <w:t xml:space="preserve"> المتعلقة بمهمة التدقيق في منظومة الأمم المتحدة والتي أوصت فيها الويبو بالاستعانة بستة إلى عشرة مدققين (لا يشمل هذا العدد المحققين أو المقيمين)؛</w:t>
      </w:r>
    </w:p>
    <w:p w:rsidR="008720A9" w:rsidRDefault="008720A9" w:rsidP="00CB7C12">
      <w:pPr>
        <w:pStyle w:val="FootnoteText"/>
      </w:pPr>
      <w:r w:rsidRPr="00CB7C12">
        <w:rPr>
          <w:rFonts w:hint="cs"/>
          <w:rtl/>
        </w:rPr>
        <w:t xml:space="preserve">- </w:t>
      </w:r>
      <w:r w:rsidRPr="00CB7C12">
        <w:t>JIU/REP/2011/7</w:t>
      </w:r>
      <w:r w:rsidRPr="00CB7C12">
        <w:rPr>
          <w:rFonts w:hint="cs"/>
          <w:rtl/>
        </w:rPr>
        <w:t xml:space="preserve"> </w:t>
      </w:r>
      <w:r w:rsidRPr="00CB7C12">
        <w:rPr>
          <w:rtl/>
        </w:rPr>
        <w:t>–</w:t>
      </w:r>
      <w:r w:rsidRPr="00CB7C12">
        <w:rPr>
          <w:rFonts w:hint="cs"/>
          <w:rtl/>
        </w:rPr>
        <w:t xml:space="preserve"> تعزيز مهام التحقيق في منظومة الأمم المتحدة</w:t>
      </w:r>
    </w:p>
  </w:footnote>
  <w:footnote w:id="15">
    <w:p w:rsidR="008720A9" w:rsidRDefault="008720A9" w:rsidP="002F1464">
      <w:pPr>
        <w:pStyle w:val="FootnoteText"/>
        <w:rPr>
          <w:rtl/>
          <w:lang w:bidi="ar-EG"/>
        </w:rPr>
      </w:pPr>
      <w:r>
        <w:rPr>
          <w:rStyle w:val="FootnoteReference"/>
        </w:rPr>
        <w:footnoteRef/>
      </w:r>
      <w:r>
        <w:rPr>
          <w:rtl/>
        </w:rPr>
        <w:t xml:space="preserve"> </w:t>
      </w:r>
      <w:r>
        <w:rPr>
          <w:rFonts w:hint="cs"/>
          <w:rtl/>
        </w:rPr>
        <w:t xml:space="preserve">المصدر: أرقام </w:t>
      </w:r>
      <w:r w:rsidR="002F1464">
        <w:rPr>
          <w:rFonts w:hint="cs"/>
          <w:rtl/>
        </w:rPr>
        <w:t>النفقات وفقا لتقرير أداء البرنامج 2014</w:t>
      </w:r>
      <w:r>
        <w:rPr>
          <w:rFonts w:hint="cs"/>
          <w:rtl/>
          <w:lang w:bidi="ar-EG"/>
        </w:rPr>
        <w:t>. وترد الأرقام بآلاف الفرنكات السويسرية.</w:t>
      </w:r>
    </w:p>
  </w:footnote>
  <w:footnote w:id="16">
    <w:p w:rsidR="008720A9" w:rsidRDefault="008720A9">
      <w:pPr>
        <w:pStyle w:val="FootnoteText"/>
      </w:pPr>
      <w:r>
        <w:rPr>
          <w:rStyle w:val="FootnoteReference"/>
        </w:rPr>
        <w:footnoteRef/>
      </w:r>
      <w:r>
        <w:rPr>
          <w:rtl/>
        </w:rPr>
        <w:t xml:space="preserve"> </w:t>
      </w:r>
      <w:r>
        <w:rPr>
          <w:rFonts w:hint="cs"/>
          <w:rtl/>
        </w:rPr>
        <w:t>عمل ينجزه استشاريون خارجيون، وتخضع شعبة الرقابة الداخلية لهذا التقييم الخارجي.</w:t>
      </w:r>
    </w:p>
  </w:footnote>
  <w:footnote w:id="17">
    <w:p w:rsidR="008720A9" w:rsidRDefault="008720A9" w:rsidP="004C68F6">
      <w:pPr>
        <w:pStyle w:val="FootnoteText"/>
      </w:pPr>
      <w:r>
        <w:rPr>
          <w:rStyle w:val="FootnoteReference"/>
        </w:rPr>
        <w:footnoteRef/>
      </w:r>
      <w:r>
        <w:rPr>
          <w:rtl/>
        </w:rPr>
        <w:t xml:space="preserve"> </w:t>
      </w:r>
      <w:r>
        <w:rPr>
          <w:rFonts w:hint="cs"/>
          <w:rtl/>
        </w:rPr>
        <w:t>طلب الاقتراح الخاص بالتماس المساعدة الخارجية لإجراء التدقيق في إطار الويبو الأخلاقي لم يؤدي إلى نتائج إيجابية وعليه قررت شعبة الرقابة الداخلية أن تستعرض نطاق المهمة وأن تعيد مسار المناقصة لدى شغل منصب المسؤول الأخلاقي الشاغر حالياً.</w:t>
      </w:r>
    </w:p>
  </w:footnote>
  <w:footnote w:id="18">
    <w:p w:rsidR="008720A9" w:rsidRDefault="008720A9">
      <w:pPr>
        <w:pStyle w:val="FootnoteText"/>
      </w:pPr>
      <w:r>
        <w:rPr>
          <w:rStyle w:val="FootnoteReference"/>
        </w:rPr>
        <w:footnoteRef/>
      </w:r>
      <w:r>
        <w:rPr>
          <w:rtl/>
        </w:rPr>
        <w:t xml:space="preserve"> </w:t>
      </w:r>
      <w:r>
        <w:rPr>
          <w:rFonts w:hint="cs"/>
          <w:rtl/>
        </w:rPr>
        <w:t>يرد في التقرير السنوي الموجز الصادر عن 30 يونيو 2014.</w:t>
      </w:r>
    </w:p>
  </w:footnote>
  <w:footnote w:id="19">
    <w:p w:rsidR="008720A9" w:rsidRDefault="008720A9" w:rsidP="0024691D">
      <w:pPr>
        <w:pStyle w:val="FootnoteText"/>
      </w:pPr>
      <w:r>
        <w:rPr>
          <w:rStyle w:val="FootnoteReference"/>
        </w:rPr>
        <w:footnoteRef/>
      </w:r>
      <w:r>
        <w:rPr>
          <w:rtl/>
        </w:rPr>
        <w:t xml:space="preserve"> </w:t>
      </w:r>
      <w:r>
        <w:rPr>
          <w:rFonts w:hint="cs"/>
          <w:rtl/>
        </w:rPr>
        <w:t>لم يتوافر سوى مشروع تقرير وقت إصدار هذا التقرير.</w:t>
      </w:r>
    </w:p>
  </w:footnote>
  <w:footnote w:id="20">
    <w:p w:rsidR="008720A9" w:rsidRDefault="008720A9">
      <w:pPr>
        <w:pStyle w:val="FootnoteText"/>
      </w:pPr>
      <w:r>
        <w:rPr>
          <w:rStyle w:val="FootnoteReference"/>
        </w:rPr>
        <w:footnoteRef/>
      </w:r>
      <w:r>
        <w:rPr>
          <w:rtl/>
        </w:rPr>
        <w:t xml:space="preserve"> </w:t>
      </w:r>
      <w:r>
        <w:rPr>
          <w:rFonts w:hint="cs"/>
          <w:rtl/>
        </w:rPr>
        <w:t>أُصدر مشروع تقرير تدقيق وقت إعداد هذا التقرير.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Pr="009B4206" w:rsidRDefault="008720A9" w:rsidP="009B42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Default="008720A9" w:rsidP="00796CF7">
    <w:r>
      <w:t>WO/</w:t>
    </w:r>
    <w:proofErr w:type="spellStart"/>
    <w:r>
      <w:t>PBC</w:t>
    </w:r>
    <w:proofErr w:type="spellEnd"/>
    <w:r>
      <w:t>/24/6</w:t>
    </w:r>
  </w:p>
  <w:p w:rsidR="008720A9" w:rsidRDefault="008720A9" w:rsidP="00D61541">
    <w:r>
      <w:fldChar w:fldCharType="begin"/>
    </w:r>
    <w:r>
      <w:instrText xml:space="preserve"> PAGE  \* MERGEFORMAT </w:instrText>
    </w:r>
    <w:r>
      <w:fldChar w:fldCharType="separate"/>
    </w:r>
    <w:r w:rsidR="0017057B">
      <w:rPr>
        <w:noProof/>
      </w:rPr>
      <w:t>17</w:t>
    </w:r>
    <w:r>
      <w:fldChar w:fldCharType="end"/>
    </w:r>
  </w:p>
  <w:p w:rsidR="008720A9" w:rsidRDefault="008720A9"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Default="008720A9" w:rsidP="007E5B6E">
    <w:r>
      <w:t>WO/PBC/24/6</w:t>
    </w:r>
  </w:p>
  <w:p w:rsidR="008720A9" w:rsidRDefault="008720A9">
    <w:pPr>
      <w:pStyle w:val="Header"/>
    </w:pPr>
  </w:p>
  <w:p w:rsidR="008720A9" w:rsidRDefault="008720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Default="008720A9" w:rsidP="00796CF7">
    <w:r>
      <w:t>WO/</w:t>
    </w:r>
    <w:proofErr w:type="spellStart"/>
    <w:r>
      <w:t>PBC</w:t>
    </w:r>
    <w:proofErr w:type="spellEnd"/>
    <w:r>
      <w:t>/24/6</w:t>
    </w:r>
  </w:p>
  <w:p w:rsidR="008720A9" w:rsidRDefault="008720A9" w:rsidP="00D61541">
    <w:r>
      <w:t>Annex I</w:t>
    </w:r>
  </w:p>
  <w:p w:rsidR="008720A9" w:rsidRDefault="008720A9" w:rsidP="00D61541">
    <w:r>
      <w:fldChar w:fldCharType="begin"/>
    </w:r>
    <w:r>
      <w:instrText xml:space="preserve"> PAGE  \* MERGEFORMAT </w:instrText>
    </w:r>
    <w:r>
      <w:fldChar w:fldCharType="separate"/>
    </w:r>
    <w:r w:rsidR="0017057B">
      <w:rPr>
        <w:noProof/>
      </w:rPr>
      <w:t>4</w:t>
    </w:r>
    <w:r>
      <w:fldChar w:fldCharType="end"/>
    </w:r>
  </w:p>
  <w:p w:rsidR="008720A9" w:rsidRDefault="008720A9" w:rsidP="00D615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Default="008720A9" w:rsidP="007E5B6E">
    <w:r>
      <w:t>WO/PBC/24/6</w:t>
    </w:r>
  </w:p>
  <w:p w:rsidR="008720A9" w:rsidRDefault="008720A9">
    <w:pPr>
      <w:pStyle w:val="Header"/>
      <w:rPr>
        <w:rtl/>
        <w:lang w:bidi="ar-EG"/>
      </w:rPr>
    </w:pPr>
    <w:r>
      <w:t>ANNEX I</w:t>
    </w:r>
  </w:p>
  <w:p w:rsidR="008720A9" w:rsidRPr="00B717EE" w:rsidRDefault="008720A9">
    <w:pPr>
      <w:pStyle w:val="Header"/>
      <w:rPr>
        <w:rFonts w:cs="Arabic Typesetting"/>
        <w:szCs w:val="36"/>
        <w:rtl/>
        <w:lang w:bidi="ar-EG"/>
      </w:rPr>
    </w:pPr>
    <w:r w:rsidRPr="00B717EE">
      <w:rPr>
        <w:rFonts w:cs="Arabic Typesetting" w:hint="cs"/>
        <w:szCs w:val="36"/>
        <w:rtl/>
        <w:lang w:bidi="ar-EG"/>
      </w:rPr>
      <w:t>المرفق الأول</w:t>
    </w:r>
  </w:p>
  <w:p w:rsidR="008720A9" w:rsidRDefault="008720A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Default="008720A9" w:rsidP="007E5B6E">
    <w:r>
      <w:t>WO/PBC/24/6</w:t>
    </w:r>
  </w:p>
  <w:p w:rsidR="008720A9" w:rsidRDefault="008720A9">
    <w:pPr>
      <w:pStyle w:val="Header"/>
      <w:rPr>
        <w:rtl/>
        <w:lang w:bidi="ar-EG"/>
      </w:rPr>
    </w:pPr>
    <w:r>
      <w:t>ANNEX II</w:t>
    </w:r>
  </w:p>
  <w:p w:rsidR="008720A9" w:rsidRPr="00B717EE" w:rsidRDefault="008720A9" w:rsidP="00B717EE">
    <w:pPr>
      <w:pStyle w:val="Header"/>
      <w:rPr>
        <w:rFonts w:cs="Arabic Typesetting"/>
        <w:szCs w:val="36"/>
        <w:rtl/>
        <w:lang w:bidi="ar-EG"/>
      </w:rPr>
    </w:pPr>
    <w:r w:rsidRPr="00B717EE">
      <w:rPr>
        <w:rFonts w:cs="Arabic Typesetting" w:hint="cs"/>
        <w:szCs w:val="36"/>
        <w:rtl/>
        <w:lang w:bidi="ar-EG"/>
      </w:rPr>
      <w:t>المرفق ال</w:t>
    </w:r>
    <w:r>
      <w:rPr>
        <w:rFonts w:cs="Arabic Typesetting" w:hint="cs"/>
        <w:szCs w:val="36"/>
        <w:rtl/>
        <w:lang w:bidi="ar-EG"/>
      </w:rPr>
      <w:t>ثاني</w:t>
    </w:r>
  </w:p>
  <w:p w:rsidR="008720A9" w:rsidRDefault="008720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0A9" w:rsidRDefault="008720A9" w:rsidP="007E5B6E">
    <w:r>
      <w:t>WO/PBC/24/6</w:t>
    </w:r>
  </w:p>
  <w:p w:rsidR="008720A9" w:rsidRDefault="008720A9">
    <w:pPr>
      <w:pStyle w:val="Header"/>
      <w:rPr>
        <w:rtl/>
        <w:lang w:bidi="ar-EG"/>
      </w:rPr>
    </w:pPr>
    <w:r>
      <w:t>ANNEX III</w:t>
    </w:r>
  </w:p>
  <w:p w:rsidR="008720A9" w:rsidRPr="00B717EE" w:rsidRDefault="008720A9" w:rsidP="00B717EE">
    <w:pPr>
      <w:pStyle w:val="Header"/>
      <w:rPr>
        <w:rFonts w:cs="Arabic Typesetting"/>
        <w:szCs w:val="36"/>
        <w:rtl/>
        <w:lang w:bidi="ar-EG"/>
      </w:rPr>
    </w:pPr>
    <w:r w:rsidRPr="00B717EE">
      <w:rPr>
        <w:rFonts w:cs="Arabic Typesetting" w:hint="cs"/>
        <w:szCs w:val="36"/>
        <w:rtl/>
        <w:lang w:bidi="ar-EG"/>
      </w:rPr>
      <w:t>المرفق ال</w:t>
    </w:r>
    <w:r>
      <w:rPr>
        <w:rFonts w:cs="Arabic Typesetting" w:hint="cs"/>
        <w:szCs w:val="36"/>
        <w:rtl/>
        <w:lang w:bidi="ar-EG"/>
      </w:rPr>
      <w:t>ثالث</w:t>
    </w:r>
  </w:p>
  <w:p w:rsidR="008720A9" w:rsidRDefault="008720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25E87973"/>
    <w:multiLevelType w:val="hybridMultilevel"/>
    <w:tmpl w:val="025AB0C2"/>
    <w:lvl w:ilvl="0" w:tplc="D09EF666">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7DB0FF2"/>
    <w:multiLevelType w:val="multilevel"/>
    <w:tmpl w:val="6512EA06"/>
    <w:lvl w:ilvl="0">
      <w:start w:val="1"/>
      <w:numFmt w:val="decimal"/>
      <w:lvlRestart w:val="0"/>
      <w:pStyle w:val="ONUME"/>
      <w:lvlText w:val="%1."/>
      <w:lvlJc w:val="left"/>
      <w:pPr>
        <w:tabs>
          <w:tab w:val="num" w:pos="567"/>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
  </w:num>
  <w:num w:numId="3">
    <w:abstractNumId w:val="1"/>
    <w:lvlOverride w:ilvl="0">
      <w:startOverride w:val="1"/>
    </w:lvlOverride>
  </w:num>
  <w:num w:numId="4">
    <w:abstractNumId w:val="0"/>
  </w:num>
  <w:num w:numId="5">
    <w:abstractNumId w:val="2"/>
  </w:num>
  <w:num w:numId="6">
    <w:abstractNumId w:val="1"/>
    <w:lvlOverride w:ilvl="0">
      <w:startOverride w:val="1"/>
    </w:lvlOverride>
  </w:num>
  <w:num w:numId="7">
    <w:abstractNumId w:val="1"/>
  </w:num>
  <w:num w:numId="8">
    <w:abstractNumId w:val="1"/>
    <w:lvlOverride w:ilvl="0">
      <w:startOverride w:val="1"/>
    </w:lvlOverride>
  </w:num>
  <w:num w:numId="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DA4"/>
    <w:rsid w:val="00002CBE"/>
    <w:rsid w:val="00003232"/>
    <w:rsid w:val="000033DA"/>
    <w:rsid w:val="00004AF1"/>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3FB"/>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0F1F"/>
    <w:rsid w:val="00061FF5"/>
    <w:rsid w:val="00062502"/>
    <w:rsid w:val="00063C91"/>
    <w:rsid w:val="000640E7"/>
    <w:rsid w:val="00064376"/>
    <w:rsid w:val="00066DC7"/>
    <w:rsid w:val="0006794A"/>
    <w:rsid w:val="00067F31"/>
    <w:rsid w:val="00070BB9"/>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BAC"/>
    <w:rsid w:val="000A2FC1"/>
    <w:rsid w:val="000A3A57"/>
    <w:rsid w:val="000A5408"/>
    <w:rsid w:val="000A6510"/>
    <w:rsid w:val="000A7CF7"/>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5E9"/>
    <w:rsid w:val="000F49FA"/>
    <w:rsid w:val="000F58C4"/>
    <w:rsid w:val="000F5E56"/>
    <w:rsid w:val="000F70F9"/>
    <w:rsid w:val="000F7D75"/>
    <w:rsid w:val="001007AB"/>
    <w:rsid w:val="00100F97"/>
    <w:rsid w:val="001012E0"/>
    <w:rsid w:val="001016F2"/>
    <w:rsid w:val="001024C1"/>
    <w:rsid w:val="0010385D"/>
    <w:rsid w:val="001042E0"/>
    <w:rsid w:val="00104C51"/>
    <w:rsid w:val="0010597B"/>
    <w:rsid w:val="00105F2C"/>
    <w:rsid w:val="00110107"/>
    <w:rsid w:val="00110531"/>
    <w:rsid w:val="00110794"/>
    <w:rsid w:val="00112524"/>
    <w:rsid w:val="00113769"/>
    <w:rsid w:val="00114141"/>
    <w:rsid w:val="00114827"/>
    <w:rsid w:val="00115266"/>
    <w:rsid w:val="001154FB"/>
    <w:rsid w:val="00115B51"/>
    <w:rsid w:val="001171EF"/>
    <w:rsid w:val="001173C5"/>
    <w:rsid w:val="00117C0A"/>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A8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6B9D"/>
    <w:rsid w:val="00167809"/>
    <w:rsid w:val="00167F30"/>
    <w:rsid w:val="0017057B"/>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5E8C"/>
    <w:rsid w:val="00186606"/>
    <w:rsid w:val="00190B6D"/>
    <w:rsid w:val="00191E75"/>
    <w:rsid w:val="00192022"/>
    <w:rsid w:val="0019301D"/>
    <w:rsid w:val="0019454F"/>
    <w:rsid w:val="00194719"/>
    <w:rsid w:val="00194774"/>
    <w:rsid w:val="00195CE0"/>
    <w:rsid w:val="001A098F"/>
    <w:rsid w:val="001A10CB"/>
    <w:rsid w:val="001A110B"/>
    <w:rsid w:val="001A149A"/>
    <w:rsid w:val="001A28BF"/>
    <w:rsid w:val="001A2AB7"/>
    <w:rsid w:val="001A4A9C"/>
    <w:rsid w:val="001A6B88"/>
    <w:rsid w:val="001A6C33"/>
    <w:rsid w:val="001A6E68"/>
    <w:rsid w:val="001B3131"/>
    <w:rsid w:val="001B4B2F"/>
    <w:rsid w:val="001B62C6"/>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42DA"/>
    <w:rsid w:val="001D6A48"/>
    <w:rsid w:val="001E1043"/>
    <w:rsid w:val="001E10E1"/>
    <w:rsid w:val="001E175F"/>
    <w:rsid w:val="001E19F7"/>
    <w:rsid w:val="001E2669"/>
    <w:rsid w:val="001E3FB9"/>
    <w:rsid w:val="001E4083"/>
    <w:rsid w:val="001E408D"/>
    <w:rsid w:val="001E5588"/>
    <w:rsid w:val="001E55A4"/>
    <w:rsid w:val="001E56CB"/>
    <w:rsid w:val="001E56FC"/>
    <w:rsid w:val="001E582D"/>
    <w:rsid w:val="001E6318"/>
    <w:rsid w:val="001F0AD5"/>
    <w:rsid w:val="001F0C0A"/>
    <w:rsid w:val="001F1509"/>
    <w:rsid w:val="001F18E7"/>
    <w:rsid w:val="001F2E3A"/>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2766B"/>
    <w:rsid w:val="00230249"/>
    <w:rsid w:val="00230D5F"/>
    <w:rsid w:val="00231BE3"/>
    <w:rsid w:val="00232C51"/>
    <w:rsid w:val="00233414"/>
    <w:rsid w:val="00233D69"/>
    <w:rsid w:val="00234E82"/>
    <w:rsid w:val="00235C9D"/>
    <w:rsid w:val="002412D4"/>
    <w:rsid w:val="0024220D"/>
    <w:rsid w:val="00242BD3"/>
    <w:rsid w:val="00242C02"/>
    <w:rsid w:val="00243155"/>
    <w:rsid w:val="002437FE"/>
    <w:rsid w:val="0024691D"/>
    <w:rsid w:val="00247783"/>
    <w:rsid w:val="0025172C"/>
    <w:rsid w:val="00252CF8"/>
    <w:rsid w:val="00252E2E"/>
    <w:rsid w:val="00253210"/>
    <w:rsid w:val="0025353E"/>
    <w:rsid w:val="00253DE1"/>
    <w:rsid w:val="0025425F"/>
    <w:rsid w:val="00254468"/>
    <w:rsid w:val="00254DE4"/>
    <w:rsid w:val="002559DA"/>
    <w:rsid w:val="00256955"/>
    <w:rsid w:val="00256EA1"/>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6B93"/>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7F3"/>
    <w:rsid w:val="002A7D65"/>
    <w:rsid w:val="002B14F0"/>
    <w:rsid w:val="002B1F0F"/>
    <w:rsid w:val="002B53D3"/>
    <w:rsid w:val="002B6202"/>
    <w:rsid w:val="002C014C"/>
    <w:rsid w:val="002C060C"/>
    <w:rsid w:val="002C0BA6"/>
    <w:rsid w:val="002C12A7"/>
    <w:rsid w:val="002C1BFB"/>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4325"/>
    <w:rsid w:val="002E73FA"/>
    <w:rsid w:val="002E7615"/>
    <w:rsid w:val="002E7A2A"/>
    <w:rsid w:val="002E7F16"/>
    <w:rsid w:val="002F1425"/>
    <w:rsid w:val="002F1464"/>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07A32"/>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3681"/>
    <w:rsid w:val="00334127"/>
    <w:rsid w:val="00335CA6"/>
    <w:rsid w:val="003365F0"/>
    <w:rsid w:val="00336C50"/>
    <w:rsid w:val="00337388"/>
    <w:rsid w:val="0034007D"/>
    <w:rsid w:val="003433E5"/>
    <w:rsid w:val="0034386D"/>
    <w:rsid w:val="00344082"/>
    <w:rsid w:val="0034582C"/>
    <w:rsid w:val="00345916"/>
    <w:rsid w:val="00345CAC"/>
    <w:rsid w:val="0034789E"/>
    <w:rsid w:val="003501DA"/>
    <w:rsid w:val="003503E2"/>
    <w:rsid w:val="00351DC1"/>
    <w:rsid w:val="003534EE"/>
    <w:rsid w:val="003600A2"/>
    <w:rsid w:val="00360D2A"/>
    <w:rsid w:val="003612D8"/>
    <w:rsid w:val="003633E2"/>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34D"/>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27AF"/>
    <w:rsid w:val="003D3137"/>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950"/>
    <w:rsid w:val="003F09C9"/>
    <w:rsid w:val="003F1844"/>
    <w:rsid w:val="003F4C37"/>
    <w:rsid w:val="003F5FC1"/>
    <w:rsid w:val="003F67AE"/>
    <w:rsid w:val="003F6BBB"/>
    <w:rsid w:val="003F719F"/>
    <w:rsid w:val="0040033D"/>
    <w:rsid w:val="004007E1"/>
    <w:rsid w:val="00400B1F"/>
    <w:rsid w:val="004032D2"/>
    <w:rsid w:val="00403C4F"/>
    <w:rsid w:val="004058B4"/>
    <w:rsid w:val="00405C45"/>
    <w:rsid w:val="004062EF"/>
    <w:rsid w:val="004062F0"/>
    <w:rsid w:val="00406CB5"/>
    <w:rsid w:val="00410B8F"/>
    <w:rsid w:val="00412057"/>
    <w:rsid w:val="004126C1"/>
    <w:rsid w:val="00413BA5"/>
    <w:rsid w:val="00414FD0"/>
    <w:rsid w:val="0041792F"/>
    <w:rsid w:val="00417E93"/>
    <w:rsid w:val="00422A2A"/>
    <w:rsid w:val="00424BB4"/>
    <w:rsid w:val="004258CD"/>
    <w:rsid w:val="004261D2"/>
    <w:rsid w:val="004303D1"/>
    <w:rsid w:val="00433C0A"/>
    <w:rsid w:val="00434202"/>
    <w:rsid w:val="004349FA"/>
    <w:rsid w:val="00437657"/>
    <w:rsid w:val="004406BD"/>
    <w:rsid w:val="00442FBE"/>
    <w:rsid w:val="004433B1"/>
    <w:rsid w:val="00443571"/>
    <w:rsid w:val="00443AB6"/>
    <w:rsid w:val="004444C6"/>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4D86"/>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2FC7"/>
    <w:rsid w:val="004935D6"/>
    <w:rsid w:val="00494195"/>
    <w:rsid w:val="004945FB"/>
    <w:rsid w:val="00497356"/>
    <w:rsid w:val="004A070F"/>
    <w:rsid w:val="004A076F"/>
    <w:rsid w:val="004A1DC1"/>
    <w:rsid w:val="004A31A2"/>
    <w:rsid w:val="004A4456"/>
    <w:rsid w:val="004A48A7"/>
    <w:rsid w:val="004A655D"/>
    <w:rsid w:val="004B01B1"/>
    <w:rsid w:val="004B08D1"/>
    <w:rsid w:val="004B10E6"/>
    <w:rsid w:val="004B198F"/>
    <w:rsid w:val="004B46D0"/>
    <w:rsid w:val="004B57B0"/>
    <w:rsid w:val="004B60CE"/>
    <w:rsid w:val="004B61C9"/>
    <w:rsid w:val="004C0B26"/>
    <w:rsid w:val="004C12FE"/>
    <w:rsid w:val="004C1D57"/>
    <w:rsid w:val="004C2F7C"/>
    <w:rsid w:val="004C34F8"/>
    <w:rsid w:val="004C375F"/>
    <w:rsid w:val="004C482F"/>
    <w:rsid w:val="004C49C9"/>
    <w:rsid w:val="004C627F"/>
    <w:rsid w:val="004C68F6"/>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4FF4"/>
    <w:rsid w:val="005457CF"/>
    <w:rsid w:val="00545976"/>
    <w:rsid w:val="0054660F"/>
    <w:rsid w:val="00547628"/>
    <w:rsid w:val="005533C3"/>
    <w:rsid w:val="005536E6"/>
    <w:rsid w:val="00553AC3"/>
    <w:rsid w:val="00553DBA"/>
    <w:rsid w:val="00554335"/>
    <w:rsid w:val="00555631"/>
    <w:rsid w:val="0055621D"/>
    <w:rsid w:val="00560C6A"/>
    <w:rsid w:val="00560F85"/>
    <w:rsid w:val="005610A0"/>
    <w:rsid w:val="0056248F"/>
    <w:rsid w:val="00563C55"/>
    <w:rsid w:val="00564985"/>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AFB"/>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1D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15AA"/>
    <w:rsid w:val="005D276D"/>
    <w:rsid w:val="005D325D"/>
    <w:rsid w:val="005D5912"/>
    <w:rsid w:val="005D794C"/>
    <w:rsid w:val="005D7A9F"/>
    <w:rsid w:val="005D7AA2"/>
    <w:rsid w:val="005E0B08"/>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3C1E"/>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2A79"/>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34F8"/>
    <w:rsid w:val="006A4462"/>
    <w:rsid w:val="006A5B59"/>
    <w:rsid w:val="006A6A14"/>
    <w:rsid w:val="006A6B67"/>
    <w:rsid w:val="006A753A"/>
    <w:rsid w:val="006A777C"/>
    <w:rsid w:val="006A7C46"/>
    <w:rsid w:val="006B06EA"/>
    <w:rsid w:val="006B0F76"/>
    <w:rsid w:val="006B141B"/>
    <w:rsid w:val="006B1F20"/>
    <w:rsid w:val="006B2879"/>
    <w:rsid w:val="006B398A"/>
    <w:rsid w:val="006B3E04"/>
    <w:rsid w:val="006B4024"/>
    <w:rsid w:val="006B47D7"/>
    <w:rsid w:val="006B499D"/>
    <w:rsid w:val="006B5041"/>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3561"/>
    <w:rsid w:val="006F434A"/>
    <w:rsid w:val="006F7025"/>
    <w:rsid w:val="006F7974"/>
    <w:rsid w:val="00700A60"/>
    <w:rsid w:val="00705027"/>
    <w:rsid w:val="00710494"/>
    <w:rsid w:val="007117BD"/>
    <w:rsid w:val="00712E91"/>
    <w:rsid w:val="00713E26"/>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1AD7"/>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46DF"/>
    <w:rsid w:val="007660E6"/>
    <w:rsid w:val="007661A9"/>
    <w:rsid w:val="007662C0"/>
    <w:rsid w:val="0076742F"/>
    <w:rsid w:val="00767712"/>
    <w:rsid w:val="007711D0"/>
    <w:rsid w:val="007712E6"/>
    <w:rsid w:val="00771D3D"/>
    <w:rsid w:val="007728AB"/>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290"/>
    <w:rsid w:val="007B6540"/>
    <w:rsid w:val="007B69A2"/>
    <w:rsid w:val="007C09C4"/>
    <w:rsid w:val="007C25E9"/>
    <w:rsid w:val="007C2F78"/>
    <w:rsid w:val="007C34C5"/>
    <w:rsid w:val="007C3F63"/>
    <w:rsid w:val="007C4079"/>
    <w:rsid w:val="007C4827"/>
    <w:rsid w:val="007C4A20"/>
    <w:rsid w:val="007D0B77"/>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5B6E"/>
    <w:rsid w:val="007E6663"/>
    <w:rsid w:val="007E7997"/>
    <w:rsid w:val="007E7B47"/>
    <w:rsid w:val="007F04EF"/>
    <w:rsid w:val="007F342F"/>
    <w:rsid w:val="007F38D1"/>
    <w:rsid w:val="007F56BB"/>
    <w:rsid w:val="007F63CE"/>
    <w:rsid w:val="007F6C62"/>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282E"/>
    <w:rsid w:val="0081421D"/>
    <w:rsid w:val="00814ADB"/>
    <w:rsid w:val="00815C5D"/>
    <w:rsid w:val="0081618F"/>
    <w:rsid w:val="008174D1"/>
    <w:rsid w:val="008178B2"/>
    <w:rsid w:val="008209F0"/>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34C"/>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65B9A"/>
    <w:rsid w:val="0087049C"/>
    <w:rsid w:val="00870AAD"/>
    <w:rsid w:val="00870EDE"/>
    <w:rsid w:val="00871DA0"/>
    <w:rsid w:val="00872030"/>
    <w:rsid w:val="008720A9"/>
    <w:rsid w:val="00873973"/>
    <w:rsid w:val="00875C28"/>
    <w:rsid w:val="00875E75"/>
    <w:rsid w:val="00876403"/>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6F70"/>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2A40"/>
    <w:rsid w:val="008D311C"/>
    <w:rsid w:val="008D31D2"/>
    <w:rsid w:val="008D3CC5"/>
    <w:rsid w:val="008D564A"/>
    <w:rsid w:val="008D5E47"/>
    <w:rsid w:val="008D7D8C"/>
    <w:rsid w:val="008E004E"/>
    <w:rsid w:val="008E04FB"/>
    <w:rsid w:val="008E0E60"/>
    <w:rsid w:val="008E3E79"/>
    <w:rsid w:val="008E5282"/>
    <w:rsid w:val="008E5E2C"/>
    <w:rsid w:val="008E78F1"/>
    <w:rsid w:val="008F03CE"/>
    <w:rsid w:val="008F075B"/>
    <w:rsid w:val="008F0E9E"/>
    <w:rsid w:val="008F2913"/>
    <w:rsid w:val="008F2A4E"/>
    <w:rsid w:val="008F2AE9"/>
    <w:rsid w:val="008F2B4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436"/>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2204"/>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225"/>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4206"/>
    <w:rsid w:val="009B528E"/>
    <w:rsid w:val="009B54FE"/>
    <w:rsid w:val="009B653E"/>
    <w:rsid w:val="009B77DD"/>
    <w:rsid w:val="009C13BF"/>
    <w:rsid w:val="009C2943"/>
    <w:rsid w:val="009C4B2C"/>
    <w:rsid w:val="009C4CB3"/>
    <w:rsid w:val="009C4F15"/>
    <w:rsid w:val="009C511C"/>
    <w:rsid w:val="009C5416"/>
    <w:rsid w:val="009C587B"/>
    <w:rsid w:val="009C64C5"/>
    <w:rsid w:val="009C6F87"/>
    <w:rsid w:val="009C7166"/>
    <w:rsid w:val="009C742C"/>
    <w:rsid w:val="009C7694"/>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9F6FF9"/>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1FA4"/>
    <w:rsid w:val="00A320BA"/>
    <w:rsid w:val="00A32283"/>
    <w:rsid w:val="00A32342"/>
    <w:rsid w:val="00A325EC"/>
    <w:rsid w:val="00A32B81"/>
    <w:rsid w:val="00A337E5"/>
    <w:rsid w:val="00A3658D"/>
    <w:rsid w:val="00A36E51"/>
    <w:rsid w:val="00A376C9"/>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2F87"/>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879EF"/>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6119"/>
    <w:rsid w:val="00AB7348"/>
    <w:rsid w:val="00AC13B0"/>
    <w:rsid w:val="00AC2FD0"/>
    <w:rsid w:val="00AC3DBD"/>
    <w:rsid w:val="00AC5E85"/>
    <w:rsid w:val="00AD03D8"/>
    <w:rsid w:val="00AD0D5F"/>
    <w:rsid w:val="00AD34CF"/>
    <w:rsid w:val="00AD36C8"/>
    <w:rsid w:val="00AD37C9"/>
    <w:rsid w:val="00AD47D3"/>
    <w:rsid w:val="00AD652F"/>
    <w:rsid w:val="00AD6916"/>
    <w:rsid w:val="00AD7D05"/>
    <w:rsid w:val="00AE01F6"/>
    <w:rsid w:val="00AE16F0"/>
    <w:rsid w:val="00AE473C"/>
    <w:rsid w:val="00AE55E7"/>
    <w:rsid w:val="00AE6363"/>
    <w:rsid w:val="00AE6CD6"/>
    <w:rsid w:val="00AE7348"/>
    <w:rsid w:val="00AE7394"/>
    <w:rsid w:val="00AE7CD2"/>
    <w:rsid w:val="00AF0B77"/>
    <w:rsid w:val="00AF10B9"/>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861"/>
    <w:rsid w:val="00B2191C"/>
    <w:rsid w:val="00B21B30"/>
    <w:rsid w:val="00B2231E"/>
    <w:rsid w:val="00B2242D"/>
    <w:rsid w:val="00B22E76"/>
    <w:rsid w:val="00B23016"/>
    <w:rsid w:val="00B23771"/>
    <w:rsid w:val="00B24EA8"/>
    <w:rsid w:val="00B255E3"/>
    <w:rsid w:val="00B26625"/>
    <w:rsid w:val="00B26A5A"/>
    <w:rsid w:val="00B2713B"/>
    <w:rsid w:val="00B2769B"/>
    <w:rsid w:val="00B307D2"/>
    <w:rsid w:val="00B3398B"/>
    <w:rsid w:val="00B33B1E"/>
    <w:rsid w:val="00B362D9"/>
    <w:rsid w:val="00B36B99"/>
    <w:rsid w:val="00B36D20"/>
    <w:rsid w:val="00B36F67"/>
    <w:rsid w:val="00B37FA3"/>
    <w:rsid w:val="00B40633"/>
    <w:rsid w:val="00B44049"/>
    <w:rsid w:val="00B44318"/>
    <w:rsid w:val="00B44C4B"/>
    <w:rsid w:val="00B477CB"/>
    <w:rsid w:val="00B508A7"/>
    <w:rsid w:val="00B52081"/>
    <w:rsid w:val="00B52695"/>
    <w:rsid w:val="00B5349B"/>
    <w:rsid w:val="00B545AF"/>
    <w:rsid w:val="00B55127"/>
    <w:rsid w:val="00B55B09"/>
    <w:rsid w:val="00B56711"/>
    <w:rsid w:val="00B57EF2"/>
    <w:rsid w:val="00B604F3"/>
    <w:rsid w:val="00B6101C"/>
    <w:rsid w:val="00B615ED"/>
    <w:rsid w:val="00B63A9D"/>
    <w:rsid w:val="00B64888"/>
    <w:rsid w:val="00B65587"/>
    <w:rsid w:val="00B672E3"/>
    <w:rsid w:val="00B675F9"/>
    <w:rsid w:val="00B70849"/>
    <w:rsid w:val="00B717EE"/>
    <w:rsid w:val="00B72C1C"/>
    <w:rsid w:val="00B73BB7"/>
    <w:rsid w:val="00B74EFD"/>
    <w:rsid w:val="00B751C3"/>
    <w:rsid w:val="00B76C0D"/>
    <w:rsid w:val="00B77D0D"/>
    <w:rsid w:val="00B80817"/>
    <w:rsid w:val="00B827E6"/>
    <w:rsid w:val="00B82A28"/>
    <w:rsid w:val="00B82B8D"/>
    <w:rsid w:val="00B82C97"/>
    <w:rsid w:val="00B833EE"/>
    <w:rsid w:val="00B851D5"/>
    <w:rsid w:val="00B85B06"/>
    <w:rsid w:val="00B90558"/>
    <w:rsid w:val="00B92958"/>
    <w:rsid w:val="00B93957"/>
    <w:rsid w:val="00B9404A"/>
    <w:rsid w:val="00B94877"/>
    <w:rsid w:val="00B9491F"/>
    <w:rsid w:val="00B96043"/>
    <w:rsid w:val="00B96F5D"/>
    <w:rsid w:val="00BA00B3"/>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00AC"/>
    <w:rsid w:val="00BC16AC"/>
    <w:rsid w:val="00BC2B7B"/>
    <w:rsid w:val="00BC3290"/>
    <w:rsid w:val="00BC3AE8"/>
    <w:rsid w:val="00BC3AF4"/>
    <w:rsid w:val="00BC43A8"/>
    <w:rsid w:val="00BC5C6D"/>
    <w:rsid w:val="00BC7120"/>
    <w:rsid w:val="00BC76A3"/>
    <w:rsid w:val="00BD00D1"/>
    <w:rsid w:val="00BD07A2"/>
    <w:rsid w:val="00BD2603"/>
    <w:rsid w:val="00BD26A4"/>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E77"/>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2384"/>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77337"/>
    <w:rsid w:val="00C83A4C"/>
    <w:rsid w:val="00C8533B"/>
    <w:rsid w:val="00C858BA"/>
    <w:rsid w:val="00C86977"/>
    <w:rsid w:val="00C90DA4"/>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4AD5"/>
    <w:rsid w:val="00CA5A66"/>
    <w:rsid w:val="00CA796A"/>
    <w:rsid w:val="00CB2575"/>
    <w:rsid w:val="00CB3677"/>
    <w:rsid w:val="00CB368F"/>
    <w:rsid w:val="00CB36C3"/>
    <w:rsid w:val="00CB4C42"/>
    <w:rsid w:val="00CB4DFA"/>
    <w:rsid w:val="00CB7BD7"/>
    <w:rsid w:val="00CB7C12"/>
    <w:rsid w:val="00CC1628"/>
    <w:rsid w:val="00CC4CB6"/>
    <w:rsid w:val="00CC4DB0"/>
    <w:rsid w:val="00CC5038"/>
    <w:rsid w:val="00CC5326"/>
    <w:rsid w:val="00CC7426"/>
    <w:rsid w:val="00CC7910"/>
    <w:rsid w:val="00CD0C20"/>
    <w:rsid w:val="00CD14C4"/>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7D"/>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D34"/>
    <w:rsid w:val="00D27E5A"/>
    <w:rsid w:val="00D31021"/>
    <w:rsid w:val="00D329B9"/>
    <w:rsid w:val="00D33412"/>
    <w:rsid w:val="00D3482C"/>
    <w:rsid w:val="00D3664C"/>
    <w:rsid w:val="00D3683A"/>
    <w:rsid w:val="00D379C5"/>
    <w:rsid w:val="00D37C36"/>
    <w:rsid w:val="00D40559"/>
    <w:rsid w:val="00D405B8"/>
    <w:rsid w:val="00D40A5B"/>
    <w:rsid w:val="00D41493"/>
    <w:rsid w:val="00D4200A"/>
    <w:rsid w:val="00D4267F"/>
    <w:rsid w:val="00D441E9"/>
    <w:rsid w:val="00D44425"/>
    <w:rsid w:val="00D44FC8"/>
    <w:rsid w:val="00D45D8F"/>
    <w:rsid w:val="00D46B69"/>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62"/>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6E5"/>
    <w:rsid w:val="00DD0839"/>
    <w:rsid w:val="00DD26D0"/>
    <w:rsid w:val="00DD3209"/>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1D8F"/>
    <w:rsid w:val="00E13F46"/>
    <w:rsid w:val="00E15BD4"/>
    <w:rsid w:val="00E16458"/>
    <w:rsid w:val="00E16FB6"/>
    <w:rsid w:val="00E17001"/>
    <w:rsid w:val="00E17814"/>
    <w:rsid w:val="00E17CEF"/>
    <w:rsid w:val="00E20FBC"/>
    <w:rsid w:val="00E24272"/>
    <w:rsid w:val="00E244CA"/>
    <w:rsid w:val="00E2512D"/>
    <w:rsid w:val="00E2548C"/>
    <w:rsid w:val="00E2662B"/>
    <w:rsid w:val="00E26736"/>
    <w:rsid w:val="00E268AC"/>
    <w:rsid w:val="00E27986"/>
    <w:rsid w:val="00E27D23"/>
    <w:rsid w:val="00E30A8A"/>
    <w:rsid w:val="00E31BC7"/>
    <w:rsid w:val="00E31E7F"/>
    <w:rsid w:val="00E3409D"/>
    <w:rsid w:val="00E35511"/>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6C6"/>
    <w:rsid w:val="00E528AF"/>
    <w:rsid w:val="00E53629"/>
    <w:rsid w:val="00E5372C"/>
    <w:rsid w:val="00E537A9"/>
    <w:rsid w:val="00E541BF"/>
    <w:rsid w:val="00E541C7"/>
    <w:rsid w:val="00E543AE"/>
    <w:rsid w:val="00E5480C"/>
    <w:rsid w:val="00E54AB7"/>
    <w:rsid w:val="00E55131"/>
    <w:rsid w:val="00E55F3E"/>
    <w:rsid w:val="00E56392"/>
    <w:rsid w:val="00E5712F"/>
    <w:rsid w:val="00E601DA"/>
    <w:rsid w:val="00E60547"/>
    <w:rsid w:val="00E609FF"/>
    <w:rsid w:val="00E60C06"/>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3CA6"/>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378"/>
    <w:rsid w:val="00ED247F"/>
    <w:rsid w:val="00ED27E4"/>
    <w:rsid w:val="00ED2F27"/>
    <w:rsid w:val="00ED3370"/>
    <w:rsid w:val="00ED4D96"/>
    <w:rsid w:val="00ED4EC5"/>
    <w:rsid w:val="00ED5A40"/>
    <w:rsid w:val="00ED5F21"/>
    <w:rsid w:val="00ED602C"/>
    <w:rsid w:val="00ED62B5"/>
    <w:rsid w:val="00ED6DDB"/>
    <w:rsid w:val="00ED7985"/>
    <w:rsid w:val="00EE270D"/>
    <w:rsid w:val="00EE6989"/>
    <w:rsid w:val="00EE7604"/>
    <w:rsid w:val="00EE7912"/>
    <w:rsid w:val="00EE7915"/>
    <w:rsid w:val="00EF0465"/>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A54"/>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1DB"/>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0DC5"/>
    <w:rsid w:val="00FB2BEF"/>
    <w:rsid w:val="00FB36CA"/>
    <w:rsid w:val="00FB72AC"/>
    <w:rsid w:val="00FB7706"/>
    <w:rsid w:val="00FB7EC9"/>
    <w:rsid w:val="00FB7F82"/>
    <w:rsid w:val="00FC04C5"/>
    <w:rsid w:val="00FC0DAF"/>
    <w:rsid w:val="00FC11F5"/>
    <w:rsid w:val="00FC126D"/>
    <w:rsid w:val="00FC3387"/>
    <w:rsid w:val="00FC382F"/>
    <w:rsid w:val="00FC4236"/>
    <w:rsid w:val="00FC615D"/>
    <w:rsid w:val="00FD01CC"/>
    <w:rsid w:val="00FD08AF"/>
    <w:rsid w:val="00FD1E7A"/>
    <w:rsid w:val="00FD2672"/>
    <w:rsid w:val="00FD28F4"/>
    <w:rsid w:val="00FD2CE2"/>
    <w:rsid w:val="00FD3ABA"/>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aliases w:val="Footnote,Char"/>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link w:val="CaptionChar"/>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numbering" w:customStyle="1" w:styleId="NoList1">
    <w:name w:val="No List1"/>
    <w:next w:val="NoList"/>
    <w:uiPriority w:val="99"/>
    <w:semiHidden/>
    <w:unhideWhenUsed/>
    <w:rsid w:val="00E93CA6"/>
  </w:style>
  <w:style w:type="paragraph" w:customStyle="1" w:styleId="Endofdocument-Annex">
    <w:name w:val="[End of document - Annex]"/>
    <w:basedOn w:val="Normal"/>
    <w:rsid w:val="00E93CA6"/>
    <w:pPr>
      <w:ind w:left="5534"/>
    </w:pPr>
    <w:rPr>
      <w:rFonts w:eastAsia="SimSun"/>
      <w:lang w:eastAsia="zh-CN"/>
    </w:rPr>
  </w:style>
  <w:style w:type="paragraph" w:styleId="BodyText">
    <w:name w:val="Body Text"/>
    <w:basedOn w:val="Normal"/>
    <w:link w:val="BodyTextChar"/>
    <w:rsid w:val="00E93CA6"/>
    <w:pPr>
      <w:spacing w:after="220"/>
    </w:pPr>
    <w:rPr>
      <w:rFonts w:eastAsia="SimSun"/>
      <w:lang w:eastAsia="zh-CN"/>
    </w:rPr>
  </w:style>
  <w:style w:type="character" w:customStyle="1" w:styleId="BodyTextChar">
    <w:name w:val="Body Text Char"/>
    <w:basedOn w:val="DefaultParagraphFont"/>
    <w:link w:val="BodyText"/>
    <w:rsid w:val="00E93CA6"/>
    <w:rPr>
      <w:rFonts w:ascii="Arial" w:eastAsia="SimSun" w:hAnsi="Arial" w:cs="Arial"/>
      <w:sz w:val="22"/>
      <w:lang w:eastAsia="zh-CN"/>
    </w:rPr>
  </w:style>
  <w:style w:type="paragraph" w:styleId="BalloonText">
    <w:name w:val="Balloon Text"/>
    <w:basedOn w:val="Normal"/>
    <w:link w:val="BalloonTextChar"/>
    <w:rsid w:val="00E93CA6"/>
    <w:rPr>
      <w:rFonts w:ascii="Tahoma" w:eastAsia="SimSun" w:hAnsi="Tahoma" w:cs="Tahoma"/>
      <w:sz w:val="16"/>
      <w:szCs w:val="16"/>
      <w:lang w:eastAsia="zh-CN"/>
    </w:rPr>
  </w:style>
  <w:style w:type="character" w:customStyle="1" w:styleId="BalloonTextChar">
    <w:name w:val="Balloon Text Char"/>
    <w:basedOn w:val="DefaultParagraphFont"/>
    <w:link w:val="BalloonText"/>
    <w:rsid w:val="00E93CA6"/>
    <w:rPr>
      <w:rFonts w:ascii="Tahoma" w:eastAsia="SimSun" w:hAnsi="Tahoma" w:cs="Tahoma"/>
      <w:sz w:val="16"/>
      <w:szCs w:val="16"/>
      <w:lang w:eastAsia="zh-CN"/>
    </w:rPr>
  </w:style>
  <w:style w:type="paragraph" w:customStyle="1" w:styleId="ONUME">
    <w:name w:val="ONUM E"/>
    <w:basedOn w:val="BodyText"/>
    <w:link w:val="ONUMEChar"/>
    <w:uiPriority w:val="99"/>
    <w:rsid w:val="00E93CA6"/>
    <w:pPr>
      <w:numPr>
        <w:numId w:val="5"/>
      </w:numPr>
    </w:pPr>
  </w:style>
  <w:style w:type="paragraph" w:customStyle="1" w:styleId="ONUMFS">
    <w:name w:val="ONUM FS"/>
    <w:basedOn w:val="BodyText"/>
    <w:rsid w:val="00E93CA6"/>
    <w:pPr>
      <w:numPr>
        <w:numId w:val="4"/>
      </w:numPr>
    </w:pPr>
  </w:style>
  <w:style w:type="paragraph" w:styleId="TOC1">
    <w:name w:val="toc 1"/>
    <w:basedOn w:val="Normal"/>
    <w:next w:val="Normal"/>
    <w:autoRedefine/>
    <w:uiPriority w:val="39"/>
    <w:qFormat/>
    <w:rsid w:val="00E93CA6"/>
    <w:pPr>
      <w:tabs>
        <w:tab w:val="left" w:pos="440"/>
        <w:tab w:val="right" w:leader="dot" w:pos="9345"/>
      </w:tabs>
      <w:spacing w:before="240" w:after="240"/>
    </w:pPr>
    <w:rPr>
      <w:rFonts w:eastAsia="SimSun"/>
      <w:lang w:eastAsia="zh-CN"/>
    </w:rPr>
  </w:style>
  <w:style w:type="character" w:customStyle="1" w:styleId="ONUMEChar">
    <w:name w:val="ONUM E Char"/>
    <w:link w:val="ONUME"/>
    <w:uiPriority w:val="99"/>
    <w:locked/>
    <w:rsid w:val="00E93CA6"/>
    <w:rPr>
      <w:rFonts w:ascii="Arial" w:eastAsia="SimSun" w:hAnsi="Arial" w:cs="Arial"/>
      <w:sz w:val="22"/>
      <w:lang w:eastAsia="zh-CN"/>
    </w:rPr>
  </w:style>
  <w:style w:type="character" w:styleId="Hyperlink">
    <w:name w:val="Hyperlink"/>
    <w:basedOn w:val="DefaultParagraphFont"/>
    <w:uiPriority w:val="99"/>
    <w:rsid w:val="00E93CA6"/>
    <w:rPr>
      <w:rFonts w:cs="Times New Roman"/>
      <w:color w:val="0000FF"/>
      <w:u w:val="single"/>
    </w:rPr>
  </w:style>
  <w:style w:type="character" w:customStyle="1" w:styleId="Heading2Char">
    <w:name w:val="Heading 2 Char"/>
    <w:link w:val="Heading2"/>
    <w:locked/>
    <w:rsid w:val="00E93CA6"/>
    <w:rPr>
      <w:rFonts w:ascii="Arial" w:eastAsia="SimSun" w:hAnsi="Arial" w:cs="Arial"/>
      <w:bCs/>
      <w:iCs/>
      <w:caps/>
      <w:sz w:val="22"/>
      <w:szCs w:val="28"/>
    </w:rPr>
  </w:style>
  <w:style w:type="table" w:customStyle="1" w:styleId="TableGrid1">
    <w:name w:val="Table Grid1"/>
    <w:basedOn w:val="TableNormal"/>
    <w:next w:val="TableGrid"/>
    <w:uiPriority w:val="59"/>
    <w:rsid w:val="00E93CA6"/>
    <w:pPr>
      <w:spacing w:after="120" w:line="260" w:lineRule="exact"/>
      <w:ind w:left="1021"/>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Char Char"/>
    <w:link w:val="FootnoteText"/>
    <w:semiHidden/>
    <w:locked/>
    <w:rsid w:val="00E93CA6"/>
    <w:rPr>
      <w:rFonts w:ascii="Arabic Typesetting" w:hAnsi="Arabic Typesetting" w:cs="Arabic Typesetting"/>
      <w:sz w:val="28"/>
      <w:szCs w:val="28"/>
    </w:rPr>
  </w:style>
  <w:style w:type="character" w:customStyle="1" w:styleId="CaptionChar">
    <w:name w:val="Caption Char"/>
    <w:basedOn w:val="DefaultParagraphFont"/>
    <w:link w:val="Caption"/>
    <w:rsid w:val="00E93CA6"/>
    <w:rPr>
      <w:rFonts w:ascii="Arial" w:hAnsi="Arial" w:cs="Arial"/>
      <w:b/>
      <w:bCs/>
      <w:sz w:val="18"/>
    </w:rPr>
  </w:style>
  <w:style w:type="character" w:customStyle="1" w:styleId="HeaderChar">
    <w:name w:val="Header Char"/>
    <w:link w:val="Header"/>
    <w:uiPriority w:val="99"/>
    <w:semiHidden/>
    <w:locked/>
    <w:rsid w:val="00E93CA6"/>
    <w:rPr>
      <w:rFonts w:ascii="Arial" w:hAnsi="Arial" w:cs="Arial"/>
      <w:sz w:val="22"/>
    </w:rPr>
  </w:style>
  <w:style w:type="paragraph" w:styleId="PlainText">
    <w:name w:val="Plain Text"/>
    <w:basedOn w:val="Normal"/>
    <w:link w:val="PlainTextChar"/>
    <w:uiPriority w:val="99"/>
    <w:rsid w:val="00E93CA6"/>
    <w:rPr>
      <w:rFonts w:ascii="Courier New" w:eastAsia="SimSun" w:hAnsi="Courier New" w:cs="Courier New"/>
      <w:sz w:val="20"/>
      <w:lang w:eastAsia="zh-CN"/>
    </w:rPr>
  </w:style>
  <w:style w:type="character" w:customStyle="1" w:styleId="PlainTextChar">
    <w:name w:val="Plain Text Char"/>
    <w:basedOn w:val="DefaultParagraphFont"/>
    <w:link w:val="PlainText"/>
    <w:uiPriority w:val="99"/>
    <w:rsid w:val="00E93CA6"/>
    <w:rPr>
      <w:rFonts w:ascii="Courier New" w:eastAsia="SimSun" w:hAnsi="Courier New" w:cs="Courier New"/>
      <w:lang w:eastAsia="zh-CN"/>
    </w:rPr>
  </w:style>
  <w:style w:type="paragraph" w:styleId="ListParagraph">
    <w:name w:val="List Paragraph"/>
    <w:basedOn w:val="Normal"/>
    <w:uiPriority w:val="34"/>
    <w:qFormat/>
    <w:rsid w:val="00E93CA6"/>
    <w:pPr>
      <w:ind w:left="720"/>
      <w:contextualSpacing/>
    </w:pPr>
    <w:rPr>
      <w:rFonts w:eastAsia="SimSun"/>
      <w:lang w:eastAsia="zh-CN"/>
    </w:rPr>
  </w:style>
  <w:style w:type="character" w:styleId="CommentReference">
    <w:name w:val="annotation reference"/>
    <w:basedOn w:val="DefaultParagraphFont"/>
    <w:rsid w:val="00E93CA6"/>
    <w:rPr>
      <w:sz w:val="16"/>
      <w:szCs w:val="16"/>
    </w:rPr>
  </w:style>
  <w:style w:type="paragraph" w:styleId="CommentSubject">
    <w:name w:val="annotation subject"/>
    <w:basedOn w:val="CommentText"/>
    <w:next w:val="CommentText"/>
    <w:link w:val="CommentSubjectChar"/>
    <w:rsid w:val="00E93CA6"/>
    <w:rPr>
      <w:rFonts w:eastAsia="SimSun"/>
      <w:b/>
      <w:bCs/>
      <w:sz w:val="20"/>
      <w:lang w:eastAsia="zh-CN"/>
    </w:rPr>
  </w:style>
  <w:style w:type="character" w:customStyle="1" w:styleId="CommentTextChar">
    <w:name w:val="Comment Text Char"/>
    <w:basedOn w:val="DefaultParagraphFont"/>
    <w:link w:val="CommentText"/>
    <w:semiHidden/>
    <w:rsid w:val="00E93CA6"/>
    <w:rPr>
      <w:rFonts w:ascii="Arial" w:hAnsi="Arial" w:cs="Arial"/>
      <w:sz w:val="18"/>
    </w:rPr>
  </w:style>
  <w:style w:type="character" w:customStyle="1" w:styleId="CommentSubjectChar">
    <w:name w:val="Comment Subject Char"/>
    <w:basedOn w:val="CommentTextChar"/>
    <w:link w:val="CommentSubject"/>
    <w:rsid w:val="00E93CA6"/>
    <w:rPr>
      <w:rFonts w:ascii="Arial" w:eastAsia="SimSun" w:hAnsi="Arial" w:cs="Arial"/>
      <w:b/>
      <w:bCs/>
      <w:sz w:val="18"/>
      <w:lang w:eastAsia="zh-CN"/>
    </w:rPr>
  </w:style>
  <w:style w:type="character" w:customStyle="1" w:styleId="EndnoteTextChar">
    <w:name w:val="Endnote Text Char"/>
    <w:basedOn w:val="DefaultParagraphFont"/>
    <w:link w:val="EndnoteText"/>
    <w:semiHidden/>
    <w:rsid w:val="00E93CA6"/>
    <w:rPr>
      <w:rFonts w:ascii="Arial" w:hAnsi="Arial" w:cs="Arial"/>
      <w:sz w:val="18"/>
    </w:rPr>
  </w:style>
  <w:style w:type="character" w:styleId="EndnoteReference">
    <w:name w:val="endnote reference"/>
    <w:basedOn w:val="DefaultParagraphFont"/>
    <w:rsid w:val="00E93CA6"/>
    <w:rPr>
      <w:vertAlign w:val="superscript"/>
    </w:rPr>
  </w:style>
  <w:style w:type="paragraph" w:styleId="NormalWeb">
    <w:name w:val="Normal (Web)"/>
    <w:basedOn w:val="Normal"/>
    <w:uiPriority w:val="99"/>
    <w:rsid w:val="00E93CA6"/>
    <w:pPr>
      <w:spacing w:before="100" w:beforeAutospacing="1" w:after="100" w:afterAutospacing="1"/>
    </w:pPr>
    <w:rPr>
      <w:sz w:val="18"/>
      <w:szCs w:val="18"/>
    </w:rPr>
  </w:style>
  <w:style w:type="paragraph" w:styleId="TOCHeading">
    <w:name w:val="TOC Heading"/>
    <w:basedOn w:val="Heading1"/>
    <w:next w:val="Normal"/>
    <w:uiPriority w:val="39"/>
    <w:semiHidden/>
    <w:unhideWhenUsed/>
    <w:qFormat/>
    <w:rsid w:val="00E93CA6"/>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2">
    <w:name w:val="toc 2"/>
    <w:basedOn w:val="Normal"/>
    <w:next w:val="Normal"/>
    <w:autoRedefine/>
    <w:uiPriority w:val="39"/>
    <w:semiHidden/>
    <w:unhideWhenUsed/>
    <w:qFormat/>
    <w:rsid w:val="00E93CA6"/>
    <w:pPr>
      <w:spacing w:after="100" w:line="276" w:lineRule="auto"/>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E93CA6"/>
    <w:pPr>
      <w:spacing w:after="100" w:line="276" w:lineRule="auto"/>
      <w:ind w:left="440"/>
    </w:pPr>
    <w:rPr>
      <w:rFonts w:asciiTheme="minorHAnsi" w:eastAsiaTheme="minorEastAsia" w:hAnsiTheme="minorHAnsi" w:cstheme="minorBidi"/>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2"/>
    </w:rPr>
  </w:style>
  <w:style w:type="paragraph" w:styleId="Heading1">
    <w:name w:val="heading 1"/>
    <w:basedOn w:val="Normal"/>
    <w:next w:val="Normal"/>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qFormat/>
    <w:rsid w:val="00744889"/>
    <w:pPr>
      <w:keepNext/>
      <w:spacing w:before="240" w:after="60"/>
      <w:outlineLvl w:val="2"/>
    </w:pPr>
    <w:rPr>
      <w:rFonts w:eastAsia="SimSun"/>
      <w:bCs/>
      <w:szCs w:val="26"/>
      <w:u w:val="single"/>
    </w:rPr>
  </w:style>
  <w:style w:type="paragraph" w:styleId="Heading4">
    <w:name w:val="heading 4"/>
    <w:basedOn w:val="Normal"/>
    <w:next w:val="Normal"/>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pPr>
      <w:tabs>
        <w:tab w:val="center" w:pos="4536"/>
        <w:tab w:val="right" w:pos="9072"/>
      </w:tabs>
    </w:pPr>
  </w:style>
  <w:style w:type="paragraph" w:styleId="Footer">
    <w:name w:val="footer"/>
    <w:basedOn w:val="Normal"/>
    <w:semiHidden/>
    <w:rsid w:val="00744889"/>
    <w:pPr>
      <w:tabs>
        <w:tab w:val="center" w:pos="4320"/>
        <w:tab w:val="right" w:pos="8640"/>
      </w:tabs>
    </w:pPr>
  </w:style>
  <w:style w:type="paragraph" w:styleId="Salutation">
    <w:name w:val="Salutation"/>
    <w:basedOn w:val="Normal"/>
    <w:next w:val="Normal"/>
    <w:semiHidden/>
    <w:rsid w:val="00744889"/>
  </w:style>
  <w:style w:type="paragraph" w:styleId="Signature">
    <w:name w:val="Signature"/>
    <w:basedOn w:val="Normal"/>
    <w:semiHidden/>
    <w:rsid w:val="00744889"/>
    <w:pPr>
      <w:ind w:left="5250"/>
    </w:pPr>
  </w:style>
  <w:style w:type="paragraph" w:styleId="FootnoteText">
    <w:name w:val="footnote text"/>
    <w:aliases w:val="Footnote,Char"/>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link w:val="CaptionChar"/>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uiPriority w:val="59"/>
    <w:rsid w:val="001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numbering" w:customStyle="1" w:styleId="NoList1">
    <w:name w:val="No List1"/>
    <w:next w:val="NoList"/>
    <w:uiPriority w:val="99"/>
    <w:semiHidden/>
    <w:unhideWhenUsed/>
    <w:rsid w:val="00E93CA6"/>
  </w:style>
  <w:style w:type="paragraph" w:customStyle="1" w:styleId="Endofdocument-Annex">
    <w:name w:val="[End of document - Annex]"/>
    <w:basedOn w:val="Normal"/>
    <w:rsid w:val="00E93CA6"/>
    <w:pPr>
      <w:ind w:left="5534"/>
    </w:pPr>
    <w:rPr>
      <w:rFonts w:eastAsia="SimSun"/>
      <w:lang w:eastAsia="zh-CN"/>
    </w:rPr>
  </w:style>
  <w:style w:type="paragraph" w:styleId="BodyText">
    <w:name w:val="Body Text"/>
    <w:basedOn w:val="Normal"/>
    <w:link w:val="BodyTextChar"/>
    <w:rsid w:val="00E93CA6"/>
    <w:pPr>
      <w:spacing w:after="220"/>
    </w:pPr>
    <w:rPr>
      <w:rFonts w:eastAsia="SimSun"/>
      <w:lang w:eastAsia="zh-CN"/>
    </w:rPr>
  </w:style>
  <w:style w:type="character" w:customStyle="1" w:styleId="BodyTextChar">
    <w:name w:val="Body Text Char"/>
    <w:basedOn w:val="DefaultParagraphFont"/>
    <w:link w:val="BodyText"/>
    <w:rsid w:val="00E93CA6"/>
    <w:rPr>
      <w:rFonts w:ascii="Arial" w:eastAsia="SimSun" w:hAnsi="Arial" w:cs="Arial"/>
      <w:sz w:val="22"/>
      <w:lang w:eastAsia="zh-CN"/>
    </w:rPr>
  </w:style>
  <w:style w:type="paragraph" w:styleId="BalloonText">
    <w:name w:val="Balloon Text"/>
    <w:basedOn w:val="Normal"/>
    <w:link w:val="BalloonTextChar"/>
    <w:rsid w:val="00E93CA6"/>
    <w:rPr>
      <w:rFonts w:ascii="Tahoma" w:eastAsia="SimSun" w:hAnsi="Tahoma" w:cs="Tahoma"/>
      <w:sz w:val="16"/>
      <w:szCs w:val="16"/>
      <w:lang w:eastAsia="zh-CN"/>
    </w:rPr>
  </w:style>
  <w:style w:type="character" w:customStyle="1" w:styleId="BalloonTextChar">
    <w:name w:val="Balloon Text Char"/>
    <w:basedOn w:val="DefaultParagraphFont"/>
    <w:link w:val="BalloonText"/>
    <w:rsid w:val="00E93CA6"/>
    <w:rPr>
      <w:rFonts w:ascii="Tahoma" w:eastAsia="SimSun" w:hAnsi="Tahoma" w:cs="Tahoma"/>
      <w:sz w:val="16"/>
      <w:szCs w:val="16"/>
      <w:lang w:eastAsia="zh-CN"/>
    </w:rPr>
  </w:style>
  <w:style w:type="paragraph" w:customStyle="1" w:styleId="ONUME">
    <w:name w:val="ONUM E"/>
    <w:basedOn w:val="BodyText"/>
    <w:link w:val="ONUMEChar"/>
    <w:uiPriority w:val="99"/>
    <w:rsid w:val="00E93CA6"/>
    <w:pPr>
      <w:numPr>
        <w:numId w:val="5"/>
      </w:numPr>
    </w:pPr>
  </w:style>
  <w:style w:type="paragraph" w:customStyle="1" w:styleId="ONUMFS">
    <w:name w:val="ONUM FS"/>
    <w:basedOn w:val="BodyText"/>
    <w:rsid w:val="00E93CA6"/>
    <w:pPr>
      <w:numPr>
        <w:numId w:val="4"/>
      </w:numPr>
    </w:pPr>
  </w:style>
  <w:style w:type="paragraph" w:styleId="TOC1">
    <w:name w:val="toc 1"/>
    <w:basedOn w:val="Normal"/>
    <w:next w:val="Normal"/>
    <w:autoRedefine/>
    <w:uiPriority w:val="39"/>
    <w:qFormat/>
    <w:rsid w:val="00E93CA6"/>
    <w:pPr>
      <w:tabs>
        <w:tab w:val="left" w:pos="440"/>
        <w:tab w:val="right" w:leader="dot" w:pos="9345"/>
      </w:tabs>
      <w:spacing w:before="240" w:after="240"/>
    </w:pPr>
    <w:rPr>
      <w:rFonts w:eastAsia="SimSun"/>
      <w:lang w:eastAsia="zh-CN"/>
    </w:rPr>
  </w:style>
  <w:style w:type="character" w:customStyle="1" w:styleId="ONUMEChar">
    <w:name w:val="ONUM E Char"/>
    <w:link w:val="ONUME"/>
    <w:uiPriority w:val="99"/>
    <w:locked/>
    <w:rsid w:val="00E93CA6"/>
    <w:rPr>
      <w:rFonts w:ascii="Arial" w:eastAsia="SimSun" w:hAnsi="Arial" w:cs="Arial"/>
      <w:sz w:val="22"/>
      <w:lang w:eastAsia="zh-CN"/>
    </w:rPr>
  </w:style>
  <w:style w:type="character" w:styleId="Hyperlink">
    <w:name w:val="Hyperlink"/>
    <w:basedOn w:val="DefaultParagraphFont"/>
    <w:uiPriority w:val="99"/>
    <w:rsid w:val="00E93CA6"/>
    <w:rPr>
      <w:rFonts w:cs="Times New Roman"/>
      <w:color w:val="0000FF"/>
      <w:u w:val="single"/>
    </w:rPr>
  </w:style>
  <w:style w:type="character" w:customStyle="1" w:styleId="Heading2Char">
    <w:name w:val="Heading 2 Char"/>
    <w:link w:val="Heading2"/>
    <w:locked/>
    <w:rsid w:val="00E93CA6"/>
    <w:rPr>
      <w:rFonts w:ascii="Arial" w:eastAsia="SimSun" w:hAnsi="Arial" w:cs="Arial"/>
      <w:bCs/>
      <w:iCs/>
      <w:caps/>
      <w:sz w:val="22"/>
      <w:szCs w:val="28"/>
    </w:rPr>
  </w:style>
  <w:style w:type="table" w:customStyle="1" w:styleId="TableGrid1">
    <w:name w:val="Table Grid1"/>
    <w:basedOn w:val="TableNormal"/>
    <w:next w:val="TableGrid"/>
    <w:uiPriority w:val="59"/>
    <w:rsid w:val="00E93CA6"/>
    <w:pPr>
      <w:spacing w:after="120" w:line="260" w:lineRule="exact"/>
      <w:ind w:left="1021"/>
    </w:p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Footnote Char,Char Char"/>
    <w:link w:val="FootnoteText"/>
    <w:semiHidden/>
    <w:locked/>
    <w:rsid w:val="00E93CA6"/>
    <w:rPr>
      <w:rFonts w:ascii="Arabic Typesetting" w:hAnsi="Arabic Typesetting" w:cs="Arabic Typesetting"/>
      <w:sz w:val="28"/>
      <w:szCs w:val="28"/>
    </w:rPr>
  </w:style>
  <w:style w:type="character" w:customStyle="1" w:styleId="CaptionChar">
    <w:name w:val="Caption Char"/>
    <w:basedOn w:val="DefaultParagraphFont"/>
    <w:link w:val="Caption"/>
    <w:rsid w:val="00E93CA6"/>
    <w:rPr>
      <w:rFonts w:ascii="Arial" w:hAnsi="Arial" w:cs="Arial"/>
      <w:b/>
      <w:bCs/>
      <w:sz w:val="18"/>
    </w:rPr>
  </w:style>
  <w:style w:type="character" w:customStyle="1" w:styleId="HeaderChar">
    <w:name w:val="Header Char"/>
    <w:link w:val="Header"/>
    <w:uiPriority w:val="99"/>
    <w:semiHidden/>
    <w:locked/>
    <w:rsid w:val="00E93CA6"/>
    <w:rPr>
      <w:rFonts w:ascii="Arial" w:hAnsi="Arial" w:cs="Arial"/>
      <w:sz w:val="22"/>
    </w:rPr>
  </w:style>
  <w:style w:type="paragraph" w:styleId="PlainText">
    <w:name w:val="Plain Text"/>
    <w:basedOn w:val="Normal"/>
    <w:link w:val="PlainTextChar"/>
    <w:uiPriority w:val="99"/>
    <w:rsid w:val="00E93CA6"/>
    <w:rPr>
      <w:rFonts w:ascii="Courier New" w:eastAsia="SimSun" w:hAnsi="Courier New" w:cs="Courier New"/>
      <w:sz w:val="20"/>
      <w:lang w:eastAsia="zh-CN"/>
    </w:rPr>
  </w:style>
  <w:style w:type="character" w:customStyle="1" w:styleId="PlainTextChar">
    <w:name w:val="Plain Text Char"/>
    <w:basedOn w:val="DefaultParagraphFont"/>
    <w:link w:val="PlainText"/>
    <w:uiPriority w:val="99"/>
    <w:rsid w:val="00E93CA6"/>
    <w:rPr>
      <w:rFonts w:ascii="Courier New" w:eastAsia="SimSun" w:hAnsi="Courier New" w:cs="Courier New"/>
      <w:lang w:eastAsia="zh-CN"/>
    </w:rPr>
  </w:style>
  <w:style w:type="paragraph" w:styleId="ListParagraph">
    <w:name w:val="List Paragraph"/>
    <w:basedOn w:val="Normal"/>
    <w:uiPriority w:val="34"/>
    <w:qFormat/>
    <w:rsid w:val="00E93CA6"/>
    <w:pPr>
      <w:ind w:left="720"/>
      <w:contextualSpacing/>
    </w:pPr>
    <w:rPr>
      <w:rFonts w:eastAsia="SimSun"/>
      <w:lang w:eastAsia="zh-CN"/>
    </w:rPr>
  </w:style>
  <w:style w:type="character" w:styleId="CommentReference">
    <w:name w:val="annotation reference"/>
    <w:basedOn w:val="DefaultParagraphFont"/>
    <w:rsid w:val="00E93CA6"/>
    <w:rPr>
      <w:sz w:val="16"/>
      <w:szCs w:val="16"/>
    </w:rPr>
  </w:style>
  <w:style w:type="paragraph" w:styleId="CommentSubject">
    <w:name w:val="annotation subject"/>
    <w:basedOn w:val="CommentText"/>
    <w:next w:val="CommentText"/>
    <w:link w:val="CommentSubjectChar"/>
    <w:rsid w:val="00E93CA6"/>
    <w:rPr>
      <w:rFonts w:eastAsia="SimSun"/>
      <w:b/>
      <w:bCs/>
      <w:sz w:val="20"/>
      <w:lang w:eastAsia="zh-CN"/>
    </w:rPr>
  </w:style>
  <w:style w:type="character" w:customStyle="1" w:styleId="CommentTextChar">
    <w:name w:val="Comment Text Char"/>
    <w:basedOn w:val="DefaultParagraphFont"/>
    <w:link w:val="CommentText"/>
    <w:semiHidden/>
    <w:rsid w:val="00E93CA6"/>
    <w:rPr>
      <w:rFonts w:ascii="Arial" w:hAnsi="Arial" w:cs="Arial"/>
      <w:sz w:val="18"/>
    </w:rPr>
  </w:style>
  <w:style w:type="character" w:customStyle="1" w:styleId="CommentSubjectChar">
    <w:name w:val="Comment Subject Char"/>
    <w:basedOn w:val="CommentTextChar"/>
    <w:link w:val="CommentSubject"/>
    <w:rsid w:val="00E93CA6"/>
    <w:rPr>
      <w:rFonts w:ascii="Arial" w:eastAsia="SimSun" w:hAnsi="Arial" w:cs="Arial"/>
      <w:b/>
      <w:bCs/>
      <w:sz w:val="18"/>
      <w:lang w:eastAsia="zh-CN"/>
    </w:rPr>
  </w:style>
  <w:style w:type="character" w:customStyle="1" w:styleId="EndnoteTextChar">
    <w:name w:val="Endnote Text Char"/>
    <w:basedOn w:val="DefaultParagraphFont"/>
    <w:link w:val="EndnoteText"/>
    <w:semiHidden/>
    <w:rsid w:val="00E93CA6"/>
    <w:rPr>
      <w:rFonts w:ascii="Arial" w:hAnsi="Arial" w:cs="Arial"/>
      <w:sz w:val="18"/>
    </w:rPr>
  </w:style>
  <w:style w:type="character" w:styleId="EndnoteReference">
    <w:name w:val="endnote reference"/>
    <w:basedOn w:val="DefaultParagraphFont"/>
    <w:rsid w:val="00E93CA6"/>
    <w:rPr>
      <w:vertAlign w:val="superscript"/>
    </w:rPr>
  </w:style>
  <w:style w:type="paragraph" w:styleId="NormalWeb">
    <w:name w:val="Normal (Web)"/>
    <w:basedOn w:val="Normal"/>
    <w:uiPriority w:val="99"/>
    <w:rsid w:val="00E93CA6"/>
    <w:pPr>
      <w:spacing w:before="100" w:beforeAutospacing="1" w:after="100" w:afterAutospacing="1"/>
    </w:pPr>
    <w:rPr>
      <w:sz w:val="18"/>
      <w:szCs w:val="18"/>
    </w:rPr>
  </w:style>
  <w:style w:type="paragraph" w:styleId="TOCHeading">
    <w:name w:val="TOC Heading"/>
    <w:basedOn w:val="Heading1"/>
    <w:next w:val="Normal"/>
    <w:uiPriority w:val="39"/>
    <w:semiHidden/>
    <w:unhideWhenUsed/>
    <w:qFormat/>
    <w:rsid w:val="00E93CA6"/>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2">
    <w:name w:val="toc 2"/>
    <w:basedOn w:val="Normal"/>
    <w:next w:val="Normal"/>
    <w:autoRedefine/>
    <w:uiPriority w:val="39"/>
    <w:semiHidden/>
    <w:unhideWhenUsed/>
    <w:qFormat/>
    <w:rsid w:val="00E93CA6"/>
    <w:pPr>
      <w:spacing w:after="100" w:line="276" w:lineRule="auto"/>
      <w:ind w:left="220"/>
    </w:pPr>
    <w:rPr>
      <w:rFonts w:asciiTheme="minorHAnsi" w:eastAsiaTheme="minorEastAsia" w:hAnsiTheme="minorHAnsi" w:cstheme="minorBidi"/>
      <w:szCs w:val="22"/>
      <w:lang w:eastAsia="ja-JP"/>
    </w:rPr>
  </w:style>
  <w:style w:type="paragraph" w:styleId="TOC3">
    <w:name w:val="toc 3"/>
    <w:basedOn w:val="Normal"/>
    <w:next w:val="Normal"/>
    <w:autoRedefine/>
    <w:uiPriority w:val="39"/>
    <w:semiHidden/>
    <w:unhideWhenUsed/>
    <w:qFormat/>
    <w:rsid w:val="00E93CA6"/>
    <w:pPr>
      <w:spacing w:after="100" w:line="276" w:lineRule="auto"/>
      <w:ind w:left="440"/>
    </w:pPr>
    <w:rPr>
      <w:rFonts w:asciiTheme="minorHAnsi" w:eastAsiaTheme="minorEastAsia" w:hAnsiTheme="minorHAnsi" w:cstheme="minorBidi"/>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71467">
      <w:bodyDiv w:val="1"/>
      <w:marLeft w:val="0"/>
      <w:marRight w:val="0"/>
      <w:marTop w:val="0"/>
      <w:marBottom w:val="0"/>
      <w:divBdr>
        <w:top w:val="none" w:sz="0" w:space="0" w:color="auto"/>
        <w:left w:val="none" w:sz="0" w:space="0" w:color="auto"/>
        <w:bottom w:val="none" w:sz="0" w:space="0" w:color="auto"/>
        <w:right w:val="none" w:sz="0" w:space="0" w:color="auto"/>
      </w:divBdr>
    </w:div>
    <w:div w:id="1128088228">
      <w:bodyDiv w:val="1"/>
      <w:marLeft w:val="0"/>
      <w:marRight w:val="0"/>
      <w:marTop w:val="0"/>
      <w:marBottom w:val="0"/>
      <w:divBdr>
        <w:top w:val="none" w:sz="0" w:space="0" w:color="auto"/>
        <w:left w:val="none" w:sz="0" w:space="0" w:color="auto"/>
        <w:bottom w:val="none" w:sz="0" w:space="0" w:color="auto"/>
        <w:right w:val="none" w:sz="0" w:space="0" w:color="auto"/>
      </w:divBdr>
    </w:div>
    <w:div w:id="1382287500">
      <w:bodyDiv w:val="1"/>
      <w:marLeft w:val="0"/>
      <w:marRight w:val="0"/>
      <w:marTop w:val="0"/>
      <w:marBottom w:val="0"/>
      <w:divBdr>
        <w:top w:val="none" w:sz="0" w:space="0" w:color="auto"/>
        <w:left w:val="none" w:sz="0" w:space="0" w:color="auto"/>
        <w:bottom w:val="none" w:sz="0" w:space="0" w:color="auto"/>
        <w:right w:val="none" w:sz="0" w:space="0" w:color="auto"/>
      </w:divBdr>
    </w:div>
    <w:div w:id="1556964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ed\Downloads\WO_PBC_23_AR.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224470487700665E-2"/>
          <c:y val="3.0648777598452366E-2"/>
          <c:w val="0.91948574742110722"/>
          <c:h val="0.74560614705770478"/>
        </c:manualLayout>
      </c:layout>
      <c:barChart>
        <c:barDir val="col"/>
        <c:grouping val="clustered"/>
        <c:varyColors val="0"/>
        <c:ser>
          <c:idx val="0"/>
          <c:order val="0"/>
          <c:tx>
            <c:strRef>
              <c:f>'Chart 1 - Data'!$C$3</c:f>
              <c:strCache>
                <c:ptCount val="1"/>
                <c:pt idx="0">
                  <c:v>قضايا مفتوحة</c:v>
                </c:pt>
              </c:strCache>
            </c:strRef>
          </c:tx>
          <c:invertIfNegative val="0"/>
          <c:dLbls>
            <c:spPr>
              <a:ln>
                <a:noFill/>
              </a:ln>
            </c:spPr>
            <c:txPr>
              <a:bodyPr/>
              <a:lstStyle/>
              <a:p>
                <a:pPr>
                  <a:defRPr b="1" baseline="0">
                    <a:solidFill>
                      <a:schemeClr val="tx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1 - Data'!$B$4:$B$12</c:f>
              <c:strCache>
                <c:ptCount val="9"/>
                <c:pt idx="0">
                  <c:v>30 يونيو 2011</c:v>
                </c:pt>
                <c:pt idx="1">
                  <c:v>2012-2011</c:v>
                </c:pt>
                <c:pt idx="2">
                  <c:v>30 يونيو 2012</c:v>
                </c:pt>
                <c:pt idx="3">
                  <c:v>2013-2012</c:v>
                </c:pt>
                <c:pt idx="4">
                  <c:v>30 يونيو 2013</c:v>
                </c:pt>
                <c:pt idx="5">
                  <c:v>2014-2013</c:v>
                </c:pt>
                <c:pt idx="6">
                  <c:v>30 يونيو 2014</c:v>
                </c:pt>
                <c:pt idx="7">
                  <c:v>الفترة المشمولة بالتقرير</c:v>
                </c:pt>
                <c:pt idx="8">
                  <c:v>30 يونيو 2015</c:v>
                </c:pt>
              </c:strCache>
            </c:strRef>
          </c:cat>
          <c:val>
            <c:numRef>
              <c:f>'Chart 1 - Data'!$C$4:$C$12</c:f>
              <c:numCache>
                <c:formatCode>General</c:formatCode>
                <c:ptCount val="9"/>
                <c:pt idx="1">
                  <c:v>18</c:v>
                </c:pt>
                <c:pt idx="3">
                  <c:v>16</c:v>
                </c:pt>
                <c:pt idx="5">
                  <c:v>26</c:v>
                </c:pt>
                <c:pt idx="7">
                  <c:v>26</c:v>
                </c:pt>
              </c:numCache>
            </c:numRef>
          </c:val>
        </c:ser>
        <c:ser>
          <c:idx val="1"/>
          <c:order val="1"/>
          <c:tx>
            <c:strRef>
              <c:f>'Chart 1 - Data'!$D$3</c:f>
              <c:strCache>
                <c:ptCount val="1"/>
                <c:pt idx="0">
                  <c:v>قضايا مغلقة</c:v>
                </c:pt>
              </c:strCache>
            </c:strRef>
          </c:tx>
          <c:spPr>
            <a:solidFill>
              <a:srgbClr val="00B050"/>
            </a:solidFill>
            <a:ln>
              <a:solidFill>
                <a:srgbClr val="00B050"/>
              </a:solidFill>
            </a:ln>
          </c:spPr>
          <c:invertIfNegative val="0"/>
          <c:dLbls>
            <c:spPr>
              <a:noFill/>
              <a:ln>
                <a:noFill/>
              </a:ln>
              <a:effectLst/>
            </c:spPr>
            <c:txPr>
              <a:bodyPr/>
              <a:lstStyle/>
              <a:p>
                <a:pPr>
                  <a:defRPr b="1">
                    <a:solidFill>
                      <a:srgbClr val="00B05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1 - Data'!$B$4:$B$12</c:f>
              <c:strCache>
                <c:ptCount val="9"/>
                <c:pt idx="0">
                  <c:v>30 يونيو 2011</c:v>
                </c:pt>
                <c:pt idx="1">
                  <c:v>2012-2011</c:v>
                </c:pt>
                <c:pt idx="2">
                  <c:v>30 يونيو 2012</c:v>
                </c:pt>
                <c:pt idx="3">
                  <c:v>2013-2012</c:v>
                </c:pt>
                <c:pt idx="4">
                  <c:v>30 يونيو 2013</c:v>
                </c:pt>
                <c:pt idx="5">
                  <c:v>2014-2013</c:v>
                </c:pt>
                <c:pt idx="6">
                  <c:v>30 يونيو 2014</c:v>
                </c:pt>
                <c:pt idx="7">
                  <c:v>الفترة المشمولة بالتقرير</c:v>
                </c:pt>
                <c:pt idx="8">
                  <c:v>30 يونيو 2015</c:v>
                </c:pt>
              </c:strCache>
            </c:strRef>
          </c:cat>
          <c:val>
            <c:numRef>
              <c:f>'Chart 1 - Data'!$D$4:$D$12</c:f>
              <c:numCache>
                <c:formatCode>General</c:formatCode>
                <c:ptCount val="9"/>
                <c:pt idx="1">
                  <c:v>17</c:v>
                </c:pt>
                <c:pt idx="3">
                  <c:v>28</c:v>
                </c:pt>
                <c:pt idx="5">
                  <c:v>16</c:v>
                </c:pt>
                <c:pt idx="7">
                  <c:v>20</c:v>
                </c:pt>
              </c:numCache>
            </c:numRef>
          </c:val>
        </c:ser>
        <c:dLbls>
          <c:showLegendKey val="0"/>
          <c:showVal val="0"/>
          <c:showCatName val="0"/>
          <c:showSerName val="0"/>
          <c:showPercent val="0"/>
          <c:showBubbleSize val="0"/>
        </c:dLbls>
        <c:gapWidth val="150"/>
        <c:axId val="186988032"/>
        <c:axId val="188145664"/>
      </c:barChart>
      <c:lineChart>
        <c:grouping val="stacked"/>
        <c:varyColors val="0"/>
        <c:ser>
          <c:idx val="2"/>
          <c:order val="2"/>
          <c:tx>
            <c:strRef>
              <c:f>'Chart 1 - Data'!$E$3</c:f>
              <c:strCache>
                <c:ptCount val="1"/>
                <c:pt idx="0">
                  <c:v>قضايا عالقة</c:v>
                </c:pt>
              </c:strCache>
            </c:strRef>
          </c:tx>
          <c:spPr>
            <a:ln>
              <a:solidFill>
                <a:srgbClr val="FF0000"/>
              </a:solidFill>
              <a:prstDash val="sysDot"/>
            </a:ln>
          </c:spPr>
          <c:marker>
            <c:symbol val="none"/>
          </c:marker>
          <c:dLbls>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solidFill>
                <a:srgbClr val="FF0000"/>
              </a:solidFill>
            </c:spPr>
            <c:txPr>
              <a:bodyPr/>
              <a:lstStyle/>
              <a:p>
                <a:pPr>
                  <a:defRPr b="1">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1 - Data'!$B$4:$B$12</c:f>
              <c:strCache>
                <c:ptCount val="9"/>
                <c:pt idx="0">
                  <c:v>30 يونيو 2011</c:v>
                </c:pt>
                <c:pt idx="1">
                  <c:v>2012-2011</c:v>
                </c:pt>
                <c:pt idx="2">
                  <c:v>30 يونيو 2012</c:v>
                </c:pt>
                <c:pt idx="3">
                  <c:v>2013-2012</c:v>
                </c:pt>
                <c:pt idx="4">
                  <c:v>30 يونيو 2013</c:v>
                </c:pt>
                <c:pt idx="5">
                  <c:v>2014-2013</c:v>
                </c:pt>
                <c:pt idx="6">
                  <c:v>30 يونيو 2014</c:v>
                </c:pt>
                <c:pt idx="7">
                  <c:v>الفترة المشمولة بالتقرير</c:v>
                </c:pt>
                <c:pt idx="8">
                  <c:v>30 يونيو 2015</c:v>
                </c:pt>
              </c:strCache>
            </c:strRef>
          </c:cat>
          <c:val>
            <c:numRef>
              <c:f>'Chart 1 - Data'!$E$4:$E$12</c:f>
              <c:numCache>
                <c:formatCode>General</c:formatCode>
                <c:ptCount val="9"/>
                <c:pt idx="0">
                  <c:v>13</c:v>
                </c:pt>
                <c:pt idx="1">
                  <c:v>13.5</c:v>
                </c:pt>
                <c:pt idx="2">
                  <c:v>14</c:v>
                </c:pt>
                <c:pt idx="3">
                  <c:v>8</c:v>
                </c:pt>
                <c:pt idx="4">
                  <c:v>2</c:v>
                </c:pt>
                <c:pt idx="5">
                  <c:v>7</c:v>
                </c:pt>
                <c:pt idx="6">
                  <c:v>12</c:v>
                </c:pt>
                <c:pt idx="7">
                  <c:v>15</c:v>
                </c:pt>
                <c:pt idx="8">
                  <c:v>18</c:v>
                </c:pt>
              </c:numCache>
            </c:numRef>
          </c:val>
          <c:smooth val="0"/>
        </c:ser>
        <c:dLbls>
          <c:showLegendKey val="0"/>
          <c:showVal val="0"/>
          <c:showCatName val="0"/>
          <c:showSerName val="0"/>
          <c:showPercent val="0"/>
          <c:showBubbleSize val="0"/>
        </c:dLbls>
        <c:marker val="1"/>
        <c:smooth val="0"/>
        <c:axId val="186988032"/>
        <c:axId val="188145664"/>
      </c:lineChart>
      <c:catAx>
        <c:axId val="186988032"/>
        <c:scaling>
          <c:orientation val="maxMin"/>
        </c:scaling>
        <c:delete val="0"/>
        <c:axPos val="b"/>
        <c:numFmt formatCode="General" sourceLinked="1"/>
        <c:majorTickMark val="out"/>
        <c:minorTickMark val="none"/>
        <c:tickLblPos val="nextTo"/>
        <c:txPr>
          <a:bodyPr rot="0" vert="horz" anchor="ctr" anchorCtr="0"/>
          <a:lstStyle/>
          <a:p>
            <a:pPr>
              <a:defRPr/>
            </a:pPr>
            <a:endParaRPr lang="en-US"/>
          </a:p>
        </c:txPr>
        <c:crossAx val="188145664"/>
        <c:crosses val="autoZero"/>
        <c:auto val="1"/>
        <c:lblAlgn val="ctr"/>
        <c:lblOffset val="100"/>
        <c:noMultiLvlLbl val="0"/>
      </c:catAx>
      <c:valAx>
        <c:axId val="188145664"/>
        <c:scaling>
          <c:orientation val="minMax"/>
        </c:scaling>
        <c:delete val="0"/>
        <c:axPos val="r"/>
        <c:majorGridlines/>
        <c:numFmt formatCode="General" sourceLinked="1"/>
        <c:majorTickMark val="out"/>
        <c:minorTickMark val="none"/>
        <c:tickLblPos val="nextTo"/>
        <c:crossAx val="186988032"/>
        <c:crosses val="autoZero"/>
        <c:crossBetween val="between"/>
      </c:valAx>
      <c:spPr>
        <a:noFill/>
        <a:ln w="25400">
          <a:noFill/>
        </a:ln>
      </c:spPr>
    </c:plotArea>
    <c:legend>
      <c:legendPos val="r"/>
      <c:layout>
        <c:manualLayout>
          <c:xMode val="edge"/>
          <c:yMode val="edge"/>
          <c:x val="0.1947676220472441"/>
          <c:y val="0.89855250570314227"/>
          <c:w val="0.60901207349081365"/>
          <c:h val="4.968945470601227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'Chart 2 - Data'!$B$2</c:f>
              <c:strCache>
                <c:ptCount val="1"/>
                <c:pt idx="0">
                  <c:v>الادعاءات المثبتة</c:v>
                </c:pt>
              </c:strCache>
            </c:strRef>
          </c:tx>
          <c:invertIfNegative val="0"/>
          <c:dLbls>
            <c:numFmt formatCode="0;\-0;&quot;&quot;"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2 - Data'!$C$1:$F$1</c:f>
              <c:strCache>
                <c:ptCount val="4"/>
                <c:pt idx="0">
                  <c:v>القضايا المغلقة في الفترة من
1 يوليو 2011 إلى 30 يونيو 2012</c:v>
                </c:pt>
                <c:pt idx="1">
                  <c:v>القضايا المغلقة في الفترة من
1 يوليو 2012 إلى 30 يونيو 2013</c:v>
                </c:pt>
                <c:pt idx="2">
                  <c:v>القضايا المغلقة في الفترة من
1 يوليو 2013 إلى 30 يونيو 2014</c:v>
                </c:pt>
                <c:pt idx="3">
                  <c:v>القضايا المغلقة خلال الفترة المشمولة بالتقرير</c:v>
                </c:pt>
              </c:strCache>
            </c:strRef>
          </c:cat>
          <c:val>
            <c:numRef>
              <c:f>'Chart 2 - Data'!$C$2:$F$2</c:f>
              <c:numCache>
                <c:formatCode>General</c:formatCode>
                <c:ptCount val="4"/>
                <c:pt idx="0">
                  <c:v>10</c:v>
                </c:pt>
                <c:pt idx="1">
                  <c:v>11</c:v>
                </c:pt>
                <c:pt idx="2">
                  <c:v>3</c:v>
                </c:pt>
                <c:pt idx="3">
                  <c:v>5</c:v>
                </c:pt>
              </c:numCache>
            </c:numRef>
          </c:val>
        </c:ser>
        <c:ser>
          <c:idx val="1"/>
          <c:order val="1"/>
          <c:tx>
            <c:strRef>
              <c:f>'Chart 2 - Data'!$B$3</c:f>
              <c:strCache>
                <c:ptCount val="1"/>
                <c:pt idx="0">
                  <c:v>الادعاءات غير المثبتة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'Chart 2 - Data'!$C$1:$F$1</c:f>
              <c:strCache>
                <c:ptCount val="4"/>
                <c:pt idx="0">
                  <c:v>القضايا المغلقة في الفترة من
1 يوليو 2011 إلى 30 يونيو 2012</c:v>
                </c:pt>
                <c:pt idx="1">
                  <c:v>القضايا المغلقة في الفترة من
1 يوليو 2012 إلى 30 يونيو 2013</c:v>
                </c:pt>
                <c:pt idx="2">
                  <c:v>القضايا المغلقة في الفترة من
1 يوليو 2013 إلى 30 يونيو 2014</c:v>
                </c:pt>
                <c:pt idx="3">
                  <c:v>القضايا المغلقة خلال الفترة المشمولة بالتقرير</c:v>
                </c:pt>
              </c:strCache>
            </c:strRef>
          </c:cat>
          <c:val>
            <c:numRef>
              <c:f>'Chart 2 - Data'!$C$3:$F$3</c:f>
              <c:numCache>
                <c:formatCode>General</c:formatCode>
                <c:ptCount val="4"/>
                <c:pt idx="0">
                  <c:v>7</c:v>
                </c:pt>
                <c:pt idx="1">
                  <c:v>17</c:v>
                </c:pt>
                <c:pt idx="2">
                  <c:v>13</c:v>
                </c:pt>
                <c:pt idx="3">
                  <c:v>15</c:v>
                </c:pt>
              </c:numCache>
            </c:numRef>
          </c:val>
        </c:ser>
        <c:dLbls>
          <c:showLegendKey val="0"/>
          <c:showVal val="0"/>
          <c:showCatName val="0"/>
          <c:showSerName val="0"/>
          <c:showPercent val="0"/>
          <c:showBubbleSize val="0"/>
        </c:dLbls>
        <c:gapWidth val="150"/>
        <c:overlap val="100"/>
        <c:axId val="242637440"/>
        <c:axId val="243417088"/>
      </c:barChart>
      <c:catAx>
        <c:axId val="242637440"/>
        <c:scaling>
          <c:orientation val="maxMin"/>
        </c:scaling>
        <c:delete val="0"/>
        <c:axPos val="b"/>
        <c:numFmt formatCode="General" sourceLinked="1"/>
        <c:majorTickMark val="out"/>
        <c:minorTickMark val="none"/>
        <c:tickLblPos val="nextTo"/>
        <c:crossAx val="243417088"/>
        <c:crosses val="autoZero"/>
        <c:auto val="1"/>
        <c:lblAlgn val="ctr"/>
        <c:lblOffset val="100"/>
        <c:noMultiLvlLbl val="0"/>
      </c:catAx>
      <c:valAx>
        <c:axId val="243417088"/>
        <c:scaling>
          <c:orientation val="minMax"/>
        </c:scaling>
        <c:delete val="0"/>
        <c:axPos val="r"/>
        <c:majorGridlines/>
        <c:numFmt formatCode="General" sourceLinked="1"/>
        <c:majorTickMark val="out"/>
        <c:minorTickMark val="none"/>
        <c:tickLblPos val="none"/>
        <c:crossAx val="242637440"/>
        <c:crosses val="autoZero"/>
        <c:crossBetween val="between"/>
      </c:valAx>
    </c:plotArea>
    <c:legend>
      <c:legendPos val="b"/>
      <c:layout>
        <c:manualLayout>
          <c:xMode val="edge"/>
          <c:yMode val="edge"/>
          <c:x val="9.8562679665041869E-2"/>
          <c:y val="0.94169615331749368"/>
          <c:w val="0.80287564054493188"/>
          <c:h val="4.2402916593031859E-2"/>
        </c:manualLayout>
      </c:layout>
      <c:overlay val="0"/>
    </c:legend>
    <c:plotVisOnly val="1"/>
    <c:dispBlanksAs val="gap"/>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Word]Chart 3priority!PivotTable5</c:name>
    <c:fmtId val="-1"/>
  </c:pivotSource>
  <c:chart>
    <c:autoTitleDeleted val="1"/>
    <c:pivotFmts>
      <c:pivotFmt>
        <c:idx val="0"/>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3"/>
        <c:marker>
          <c:symbol val="none"/>
        </c:marker>
        <c:dLbl>
          <c:idx val="0"/>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Lst>
        </c:dLbl>
      </c:pivotFmt>
      <c:pivotFmt>
        <c:idx val="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2"/>
          </a:solidFill>
        </c:spPr>
      </c:pivotFmt>
      <c:pivotFmt>
        <c:idx val="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2"/>
          </a:solidFill>
        </c:spPr>
      </c:pivotFmt>
      <c:pivotFmt>
        <c:idx val="8"/>
        <c:marker>
          <c:symbol val="none"/>
        </c:marker>
        <c:dLbl>
          <c:idx val="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2"/>
          </a:solidFill>
        </c:spPr>
      </c:pivotFmt>
      <c:pivotFmt>
        <c:idx val="10"/>
        <c:marker>
          <c:symbol val="none"/>
        </c:marker>
        <c:dLbl>
          <c:idx val="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2"/>
          </a:solidFill>
        </c:spPr>
      </c:pivotFmt>
      <c:pivotFmt>
        <c:idx val="12"/>
        <c:marker>
          <c:symbol val="none"/>
        </c:marker>
        <c:dLbl>
          <c:idx val="0"/>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2"/>
          </a:solidFill>
        </c:spPr>
      </c:pivotFmt>
    </c:pivotFmts>
    <c:plotArea>
      <c:layout/>
      <c:barChart>
        <c:barDir val="col"/>
        <c:grouping val="clustered"/>
        <c:varyColors val="0"/>
        <c:ser>
          <c:idx val="0"/>
          <c:order val="0"/>
          <c:tx>
            <c:strRef>
              <c:f>'Chart 3priority'!$B$3</c:f>
              <c:strCache>
                <c:ptCount val="1"/>
                <c:pt idx="0">
                  <c:v>Total</c:v>
                </c:pt>
              </c:strCache>
            </c:strRef>
          </c:tx>
          <c:invertIfNegative val="0"/>
          <c:dPt>
            <c:idx val="0"/>
            <c:invertIfNegative val="0"/>
            <c:bubble3D val="0"/>
            <c:spPr>
              <a:solidFill>
                <a:schemeClr val="accent2"/>
              </a:solidFill>
            </c:spPr>
          </c:dPt>
          <c:dLbls>
            <c:spPr>
              <a:noFill/>
              <a:ln>
                <a:noFill/>
              </a:ln>
              <a:effectLst/>
            </c:spPr>
            <c:txPr>
              <a:bodyPr/>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'Chart 3priority'!$A$4:$A$6</c:f>
              <c:strCache>
                <c:ptCount val="2"/>
                <c:pt idx="0">
                  <c:v>عالية</c:v>
                </c:pt>
                <c:pt idx="1">
                  <c:v>متوسطة</c:v>
                </c:pt>
              </c:strCache>
            </c:strRef>
          </c:cat>
          <c:val>
            <c:numRef>
              <c:f>'Chart 3priority'!$B$4:$B$6</c:f>
              <c:numCache>
                <c:formatCode>General</c:formatCode>
                <c:ptCount val="2"/>
                <c:pt idx="0">
                  <c:v>119</c:v>
                </c:pt>
                <c:pt idx="1">
                  <c:v>65</c:v>
                </c:pt>
              </c:numCache>
            </c:numRef>
          </c:val>
        </c:ser>
        <c:dLbls>
          <c:showLegendKey val="0"/>
          <c:showVal val="1"/>
          <c:showCatName val="0"/>
          <c:showSerName val="0"/>
          <c:showPercent val="0"/>
          <c:showBubbleSize val="0"/>
        </c:dLbls>
        <c:gapWidth val="75"/>
        <c:axId val="119669504"/>
        <c:axId val="119277056"/>
      </c:barChart>
      <c:valAx>
        <c:axId val="119277056"/>
        <c:scaling>
          <c:orientation val="minMax"/>
        </c:scaling>
        <c:delete val="0"/>
        <c:axPos val="r"/>
        <c:majorGridlines/>
        <c:numFmt formatCode="General" sourceLinked="1"/>
        <c:majorTickMark val="none"/>
        <c:minorTickMark val="none"/>
        <c:tickLblPos val="nextTo"/>
        <c:crossAx val="119669504"/>
        <c:crosses val="autoZero"/>
        <c:crossBetween val="between"/>
      </c:valAx>
      <c:catAx>
        <c:axId val="119669504"/>
        <c:scaling>
          <c:orientation val="maxMin"/>
        </c:scaling>
        <c:delete val="0"/>
        <c:axPos val="b"/>
        <c:numFmt formatCode="General" sourceLinked="0"/>
        <c:majorTickMark val="none"/>
        <c:minorTickMark val="none"/>
        <c:tickLblPos val="nextTo"/>
        <c:crossAx val="119277056"/>
        <c:crosses val="autoZero"/>
        <c:auto val="1"/>
        <c:lblAlgn val="ctr"/>
        <c:lblOffset val="100"/>
        <c:noMultiLvlLbl val="0"/>
      </c:catAx>
    </c:plotArea>
    <c:legend>
      <c:legendPos val="b"/>
      <c:layout/>
      <c:overlay val="0"/>
    </c:legend>
    <c:plotVisOnly val="1"/>
    <c:dispBlanksAs val="zero"/>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1"/>
          <c:order val="0"/>
          <c:tx>
            <c:strRef>
              <c:f>'Chart 4_ageing med and high'!$B$18</c:f>
              <c:strCache>
                <c:ptCount val="1"/>
                <c:pt idx="0">
                  <c:v>عالية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4_ageing med and high'!$A$19:$A$22</c:f>
              <c:numCache>
                <c:formatCode>General</c:formatCode>
                <c:ptCount val="4"/>
                <c:pt idx="0">
                  <c:v>2011</c:v>
                </c:pt>
                <c:pt idx="1">
                  <c:v>2013</c:v>
                </c:pt>
                <c:pt idx="2">
                  <c:v>2014</c:v>
                </c:pt>
                <c:pt idx="3">
                  <c:v>2015</c:v>
                </c:pt>
              </c:numCache>
            </c:numRef>
          </c:cat>
          <c:val>
            <c:numRef>
              <c:f>'Chart 4_ageing med and high'!$B$19:$B$22</c:f>
              <c:numCache>
                <c:formatCode>General</c:formatCode>
                <c:ptCount val="4"/>
                <c:pt idx="0">
                  <c:v>1</c:v>
                </c:pt>
                <c:pt idx="1">
                  <c:v>1</c:v>
                </c:pt>
                <c:pt idx="2">
                  <c:v>15</c:v>
                </c:pt>
                <c:pt idx="3">
                  <c:v>102</c:v>
                </c:pt>
              </c:numCache>
            </c:numRef>
          </c:val>
        </c:ser>
        <c:ser>
          <c:idx val="2"/>
          <c:order val="1"/>
          <c:tx>
            <c:strRef>
              <c:f>'Chart 4_ageing med and high'!$C$18</c:f>
              <c:strCache>
                <c:ptCount val="1"/>
                <c:pt idx="0">
                  <c:v>متوسطة</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'Chart 4_ageing med and high'!$A$19:$A$22</c:f>
              <c:numCache>
                <c:formatCode>General</c:formatCode>
                <c:ptCount val="4"/>
                <c:pt idx="0">
                  <c:v>2011</c:v>
                </c:pt>
                <c:pt idx="1">
                  <c:v>2013</c:v>
                </c:pt>
                <c:pt idx="2">
                  <c:v>2014</c:v>
                </c:pt>
                <c:pt idx="3">
                  <c:v>2015</c:v>
                </c:pt>
              </c:numCache>
            </c:numRef>
          </c:cat>
          <c:val>
            <c:numRef>
              <c:f>'Chart 4_ageing med and high'!$C$19:$C$22</c:f>
              <c:numCache>
                <c:formatCode>General</c:formatCode>
                <c:ptCount val="4"/>
                <c:pt idx="0">
                  <c:v>0</c:v>
                </c:pt>
                <c:pt idx="1">
                  <c:v>3</c:v>
                </c:pt>
                <c:pt idx="2">
                  <c:v>7</c:v>
                </c:pt>
                <c:pt idx="3">
                  <c:v>55</c:v>
                </c:pt>
              </c:numCache>
            </c:numRef>
          </c:val>
        </c:ser>
        <c:dLbls>
          <c:showLegendKey val="0"/>
          <c:showVal val="1"/>
          <c:showCatName val="0"/>
          <c:showSerName val="0"/>
          <c:showPercent val="0"/>
          <c:showBubbleSize val="0"/>
        </c:dLbls>
        <c:gapWidth val="150"/>
        <c:shape val="box"/>
        <c:axId val="119680000"/>
        <c:axId val="119681792"/>
        <c:axId val="0"/>
      </c:bar3DChart>
      <c:catAx>
        <c:axId val="119680000"/>
        <c:scaling>
          <c:orientation val="maxMin"/>
        </c:scaling>
        <c:delete val="0"/>
        <c:axPos val="b"/>
        <c:numFmt formatCode="General" sourceLinked="1"/>
        <c:majorTickMark val="none"/>
        <c:minorTickMark val="none"/>
        <c:tickLblPos val="nextTo"/>
        <c:crossAx val="119681792"/>
        <c:crosses val="autoZero"/>
        <c:auto val="1"/>
        <c:lblAlgn val="ctr"/>
        <c:lblOffset val="100"/>
        <c:noMultiLvlLbl val="0"/>
      </c:catAx>
      <c:valAx>
        <c:axId val="119681792"/>
        <c:scaling>
          <c:orientation val="minMax"/>
        </c:scaling>
        <c:delete val="1"/>
        <c:axPos val="r"/>
        <c:majorGridlines/>
        <c:numFmt formatCode="General" sourceLinked="1"/>
        <c:majorTickMark val="none"/>
        <c:minorTickMark val="none"/>
        <c:tickLblPos val="nextTo"/>
        <c:crossAx val="119680000"/>
        <c:crosses val="autoZero"/>
        <c:crossBetween val="between"/>
      </c:valAx>
    </c:plotArea>
    <c:legend>
      <c:legendPos val="t"/>
      <c:layout/>
      <c:overlay val="0"/>
    </c:legend>
    <c:plotVisOnly val="1"/>
    <c:dispBlanksAs val="gap"/>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Word]Chart 5_by Program!PivotTable5</c:name>
    <c:fmtId val="23"/>
  </c:pivotSource>
  <c:chart>
    <c:autoTitleDeleted val="1"/>
    <c:pivotFmts>
      <c:pivotFmt>
        <c:idx val="0"/>
        <c:dLbl>
          <c:idx val="0"/>
          <c:showLegendKey val="0"/>
          <c:showVal val="1"/>
          <c:showCatName val="1"/>
          <c:showSerName val="0"/>
          <c:showPercent val="0"/>
          <c:showBubbleSize val="0"/>
          <c:extLst>
            <c:ext xmlns:c15="http://schemas.microsoft.com/office/drawing/2012/chart" uri="{CE6537A1-D6FC-4f65-9D91-7224C49458BB}"/>
          </c:extLst>
        </c:dLbl>
      </c:pivotFmt>
      <c:pivotFmt>
        <c:idx val="1"/>
        <c:dLbl>
          <c:idx val="0"/>
          <c:showLegendKey val="0"/>
          <c:showVal val="1"/>
          <c:showCatName val="1"/>
          <c:showSerName val="0"/>
          <c:showPercent val="0"/>
          <c:showBubbleSize val="0"/>
          <c:extLst>
            <c:ext xmlns:c15="http://schemas.microsoft.com/office/drawing/2012/chart" uri="{CE6537A1-D6FC-4f65-9D91-7224C49458BB}"/>
          </c:extLst>
        </c:dLbl>
      </c:pivotFmt>
      <c:pivotFmt>
        <c:idx val="2"/>
        <c:dLbl>
          <c:idx val="0"/>
          <c:showLegendKey val="0"/>
          <c:showVal val="1"/>
          <c:showCatName val="1"/>
          <c:showSerName val="0"/>
          <c:showPercent val="0"/>
          <c:showBubbleSize val="0"/>
          <c:extLst>
            <c:ext xmlns:c15="http://schemas.microsoft.com/office/drawing/2012/chart" uri="{CE6537A1-D6FC-4f65-9D91-7224C49458BB}"/>
          </c:extLst>
        </c:dLbl>
      </c:pivotFmt>
      <c:pivotFmt>
        <c:idx val="3"/>
        <c:dLbl>
          <c:idx val="0"/>
          <c:showLegendKey val="0"/>
          <c:showVal val="1"/>
          <c:showCatName val="1"/>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pivotFmt>
      <c:pivotFmt>
        <c:idx val="6"/>
        <c:dLbl>
          <c:idx val="0"/>
          <c:showLegendKey val="0"/>
          <c:showVal val="0"/>
          <c:showCatName val="1"/>
          <c:showSerName val="0"/>
          <c:showPercent val="1"/>
          <c:showBubbleSize val="0"/>
          <c:extLst>
            <c:ext xmlns:c15="http://schemas.microsoft.com/office/drawing/2012/chart" uri="{CE6537A1-D6FC-4f65-9D91-7224C49458BB}"/>
          </c:extLst>
        </c:dLbl>
      </c:pivotFmt>
      <c:pivotFmt>
        <c:idx val="7"/>
      </c:pivotFmt>
      <c:pivotFmt>
        <c:idx val="8"/>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0"/>
      </c:pivotFmt>
      <c:pivotFmt>
        <c:idx val="11"/>
      </c:pivotFmt>
      <c:pivotFmt>
        <c:idx val="12"/>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3"/>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4"/>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5"/>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2"/>
          </a:solidFill>
        </c:spPr>
        <c:marker>
          <c:symbol val="none"/>
        </c:marker>
      </c:pivotFmt>
      <c:pivotFmt>
        <c:idx val="17"/>
        <c:spPr>
          <a:solidFill>
            <a:schemeClr val="accent1"/>
          </a:solidFill>
        </c:spPr>
        <c:marker>
          <c:symbol val="none"/>
        </c:marker>
      </c:pivotFmt>
      <c:pivotFmt>
        <c:idx val="18"/>
        <c:spPr>
          <a:solidFill>
            <a:schemeClr val="accent2"/>
          </a:solidFill>
        </c:spPr>
        <c:marker>
          <c:symbol val="none"/>
        </c:marker>
      </c:pivotFmt>
      <c:pivotFmt>
        <c:idx val="19"/>
        <c:spPr>
          <a:solidFill>
            <a:schemeClr val="accent1"/>
          </a:solidFill>
        </c:spPr>
        <c:marker>
          <c:symbol val="none"/>
        </c:marker>
      </c:pivotFmt>
      <c:pivotFmt>
        <c:idx val="20"/>
        <c:spPr>
          <a:solidFill>
            <a:schemeClr val="accent2"/>
          </a:solidFill>
        </c:spPr>
        <c:marker>
          <c:symbol val="none"/>
        </c:marker>
      </c:pivotFmt>
      <c:pivotFmt>
        <c:idx val="21"/>
        <c:spPr>
          <a:solidFill>
            <a:schemeClr val="accent1"/>
          </a:solidFill>
        </c:spPr>
        <c:marker>
          <c:symbol val="none"/>
        </c:marker>
      </c:pivotFmt>
      <c:pivotFmt>
        <c:idx val="22"/>
        <c:spPr>
          <a:solidFill>
            <a:schemeClr val="accent2"/>
          </a:solidFill>
        </c:spPr>
        <c:marker>
          <c:symbol val="none"/>
        </c:marker>
      </c:pivotFmt>
      <c:pivotFmt>
        <c:idx val="23"/>
        <c:spPr>
          <a:solidFill>
            <a:schemeClr val="accent1"/>
          </a:solidFill>
        </c:spPr>
        <c:marker>
          <c:symbol val="none"/>
        </c:marker>
      </c:pivotFmt>
      <c:pivotFmt>
        <c:idx val="24"/>
        <c:spPr>
          <a:solidFill>
            <a:schemeClr val="accent2"/>
          </a:solidFill>
        </c:spPr>
        <c:marker>
          <c:symbol val="none"/>
        </c:marker>
      </c:pivotFmt>
      <c:pivotFmt>
        <c:idx val="25"/>
        <c:spPr>
          <a:solidFill>
            <a:schemeClr val="accent1"/>
          </a:solidFill>
        </c:spPr>
        <c:marker>
          <c:symbol val="none"/>
        </c:marker>
      </c:pivotFmt>
    </c:pivotFmts>
    <c:plotArea>
      <c:layout/>
      <c:barChart>
        <c:barDir val="col"/>
        <c:grouping val="clustered"/>
        <c:varyColors val="0"/>
        <c:ser>
          <c:idx val="0"/>
          <c:order val="0"/>
          <c:tx>
            <c:strRef>
              <c:f>'Chart 5_by Program'!$B$3:$B$4</c:f>
              <c:strCache>
                <c:ptCount val="1"/>
                <c:pt idx="0">
                  <c:v>عالية</c:v>
                </c:pt>
              </c:strCache>
            </c:strRef>
          </c:tx>
          <c:spPr>
            <a:solidFill>
              <a:schemeClr val="accent2"/>
            </a:solidFill>
          </c:spPr>
          <c:invertIfNegative val="0"/>
          <c:dPt>
            <c:idx val="0"/>
            <c:invertIfNegative val="0"/>
            <c:bubble3D val="0"/>
          </c:dPt>
          <c:cat>
            <c:strRef>
              <c:f>'Chart 5_by Program'!$A$5:$A$24</c:f>
              <c:strCache>
                <c:ptCount val="19"/>
                <c:pt idx="0">
                  <c:v>البرنامج 1</c:v>
                </c:pt>
                <c:pt idx="1">
                  <c:v>البرنامج 11</c:v>
                </c:pt>
                <c:pt idx="2">
                  <c:v>البرنامج 19</c:v>
                </c:pt>
                <c:pt idx="3">
                  <c:v>البرنامج 20</c:v>
                </c:pt>
                <c:pt idx="4">
                  <c:v>البرنامج 21</c:v>
                </c:pt>
                <c:pt idx="5">
                  <c:v>البرنامج 22</c:v>
                </c:pt>
                <c:pt idx="6">
                  <c:v>البرنامج 23</c:v>
                </c:pt>
                <c:pt idx="7">
                  <c:v>البرنامج 24</c:v>
                </c:pt>
                <c:pt idx="8">
                  <c:v>البرنامج 25</c:v>
                </c:pt>
                <c:pt idx="9">
                  <c:v>البرنامج 26</c:v>
                </c:pt>
                <c:pt idx="10">
                  <c:v>البرنامج 27</c:v>
                </c:pt>
                <c:pt idx="11">
                  <c:v>البرنامج 28</c:v>
                </c:pt>
                <c:pt idx="12">
                  <c:v>البرنامج 29</c:v>
                </c:pt>
                <c:pt idx="13">
                  <c:v>البرنامج 31</c:v>
                </c:pt>
                <c:pt idx="14">
                  <c:v>البرنامج 4</c:v>
                </c:pt>
                <c:pt idx="15">
                  <c:v>البرنامج 5</c:v>
                </c:pt>
                <c:pt idx="16">
                  <c:v>البرنامجان 6 و31</c:v>
                </c:pt>
                <c:pt idx="17">
                  <c:v>البرنامج 8</c:v>
                </c:pt>
                <c:pt idx="18">
                  <c:v>البرنامج 9</c:v>
                </c:pt>
              </c:strCache>
            </c:strRef>
          </c:cat>
          <c:val>
            <c:numRef>
              <c:f>'Chart 5_by Program'!$B$5:$B$24</c:f>
              <c:numCache>
                <c:formatCode>General</c:formatCode>
                <c:ptCount val="19"/>
                <c:pt idx="0">
                  <c:v>2</c:v>
                </c:pt>
                <c:pt idx="1">
                  <c:v>6</c:v>
                </c:pt>
                <c:pt idx="3">
                  <c:v>1</c:v>
                </c:pt>
                <c:pt idx="4">
                  <c:v>3</c:v>
                </c:pt>
                <c:pt idx="5">
                  <c:v>22</c:v>
                </c:pt>
                <c:pt idx="6">
                  <c:v>4</c:v>
                </c:pt>
                <c:pt idx="7">
                  <c:v>7</c:v>
                </c:pt>
                <c:pt idx="8">
                  <c:v>4</c:v>
                </c:pt>
                <c:pt idx="9">
                  <c:v>11</c:v>
                </c:pt>
                <c:pt idx="10">
                  <c:v>1</c:v>
                </c:pt>
                <c:pt idx="11">
                  <c:v>6</c:v>
                </c:pt>
                <c:pt idx="12">
                  <c:v>8</c:v>
                </c:pt>
                <c:pt idx="13">
                  <c:v>1</c:v>
                </c:pt>
                <c:pt idx="15">
                  <c:v>18</c:v>
                </c:pt>
                <c:pt idx="16">
                  <c:v>4</c:v>
                </c:pt>
                <c:pt idx="18">
                  <c:v>21</c:v>
                </c:pt>
              </c:numCache>
            </c:numRef>
          </c:val>
        </c:ser>
        <c:ser>
          <c:idx val="1"/>
          <c:order val="1"/>
          <c:tx>
            <c:strRef>
              <c:f>'Chart 5_by Program'!$C$3:$C$4</c:f>
              <c:strCache>
                <c:ptCount val="1"/>
                <c:pt idx="0">
                  <c:v>متوسطة</c:v>
                </c:pt>
              </c:strCache>
            </c:strRef>
          </c:tx>
          <c:spPr>
            <a:solidFill>
              <a:schemeClr val="accent1"/>
            </a:solidFill>
          </c:spPr>
          <c:invertIfNegative val="0"/>
          <c:cat>
            <c:strRef>
              <c:f>'Chart 5_by Program'!$A$5:$A$24</c:f>
              <c:strCache>
                <c:ptCount val="19"/>
                <c:pt idx="0">
                  <c:v>البرنامج 1</c:v>
                </c:pt>
                <c:pt idx="1">
                  <c:v>البرنامج 11</c:v>
                </c:pt>
                <c:pt idx="2">
                  <c:v>البرنامج 19</c:v>
                </c:pt>
                <c:pt idx="3">
                  <c:v>البرنامج 20</c:v>
                </c:pt>
                <c:pt idx="4">
                  <c:v>البرنامج 21</c:v>
                </c:pt>
                <c:pt idx="5">
                  <c:v>البرنامج 22</c:v>
                </c:pt>
                <c:pt idx="6">
                  <c:v>البرنامج 23</c:v>
                </c:pt>
                <c:pt idx="7">
                  <c:v>البرنامج 24</c:v>
                </c:pt>
                <c:pt idx="8">
                  <c:v>البرنامج 25</c:v>
                </c:pt>
                <c:pt idx="9">
                  <c:v>البرنامج 26</c:v>
                </c:pt>
                <c:pt idx="10">
                  <c:v>البرنامج 27</c:v>
                </c:pt>
                <c:pt idx="11">
                  <c:v>البرنامج 28</c:v>
                </c:pt>
                <c:pt idx="12">
                  <c:v>البرنامج 29</c:v>
                </c:pt>
                <c:pt idx="13">
                  <c:v>البرنامج 31</c:v>
                </c:pt>
                <c:pt idx="14">
                  <c:v>البرنامج 4</c:v>
                </c:pt>
                <c:pt idx="15">
                  <c:v>البرنامج 5</c:v>
                </c:pt>
                <c:pt idx="16">
                  <c:v>البرنامجان 6 و31</c:v>
                </c:pt>
                <c:pt idx="17">
                  <c:v>البرنامج 8</c:v>
                </c:pt>
                <c:pt idx="18">
                  <c:v>البرنامج 9</c:v>
                </c:pt>
              </c:strCache>
            </c:strRef>
          </c:cat>
          <c:val>
            <c:numRef>
              <c:f>'Chart 5_by Program'!$C$5:$C$24</c:f>
              <c:numCache>
                <c:formatCode>General</c:formatCode>
                <c:ptCount val="19"/>
                <c:pt idx="0">
                  <c:v>1</c:v>
                </c:pt>
                <c:pt idx="1">
                  <c:v>8</c:v>
                </c:pt>
                <c:pt idx="2">
                  <c:v>1</c:v>
                </c:pt>
                <c:pt idx="5">
                  <c:v>15</c:v>
                </c:pt>
                <c:pt idx="6">
                  <c:v>7</c:v>
                </c:pt>
                <c:pt idx="7">
                  <c:v>5</c:v>
                </c:pt>
                <c:pt idx="8">
                  <c:v>2</c:v>
                </c:pt>
                <c:pt idx="9">
                  <c:v>3</c:v>
                </c:pt>
                <c:pt idx="10">
                  <c:v>1</c:v>
                </c:pt>
                <c:pt idx="11">
                  <c:v>9</c:v>
                </c:pt>
                <c:pt idx="13">
                  <c:v>1</c:v>
                </c:pt>
                <c:pt idx="14">
                  <c:v>5</c:v>
                </c:pt>
                <c:pt idx="16">
                  <c:v>4</c:v>
                </c:pt>
                <c:pt idx="17">
                  <c:v>1</c:v>
                </c:pt>
                <c:pt idx="18">
                  <c:v>2</c:v>
                </c:pt>
              </c:numCache>
            </c:numRef>
          </c:val>
        </c:ser>
        <c:dLbls>
          <c:showLegendKey val="0"/>
          <c:showVal val="1"/>
          <c:showCatName val="0"/>
          <c:showSerName val="0"/>
          <c:showPercent val="0"/>
          <c:showBubbleSize val="0"/>
        </c:dLbls>
        <c:gapWidth val="150"/>
        <c:overlap val="-25"/>
        <c:axId val="167468032"/>
        <c:axId val="167469824"/>
      </c:barChart>
      <c:catAx>
        <c:axId val="167468032"/>
        <c:scaling>
          <c:orientation val="maxMin"/>
        </c:scaling>
        <c:delete val="0"/>
        <c:axPos val="b"/>
        <c:numFmt formatCode="General" sourceLinked="0"/>
        <c:majorTickMark val="none"/>
        <c:minorTickMark val="none"/>
        <c:tickLblPos val="nextTo"/>
        <c:txPr>
          <a:bodyPr rot="-3660000" vert="horz"/>
          <a:lstStyle/>
          <a:p>
            <a:pPr>
              <a:defRPr/>
            </a:pPr>
            <a:endParaRPr lang="en-US"/>
          </a:p>
        </c:txPr>
        <c:crossAx val="167469824"/>
        <c:crosses val="autoZero"/>
        <c:auto val="1"/>
        <c:lblAlgn val="ctr"/>
        <c:lblOffset val="100"/>
        <c:noMultiLvlLbl val="0"/>
      </c:catAx>
      <c:valAx>
        <c:axId val="167469824"/>
        <c:scaling>
          <c:orientation val="minMax"/>
        </c:scaling>
        <c:delete val="1"/>
        <c:axPos val="r"/>
        <c:numFmt formatCode="General" sourceLinked="1"/>
        <c:majorTickMark val="none"/>
        <c:minorTickMark val="none"/>
        <c:tickLblPos val="nextTo"/>
        <c:crossAx val="167468032"/>
        <c:crosses val="autoZero"/>
        <c:crossBetween val="between"/>
      </c:valAx>
    </c:plotArea>
    <c:legend>
      <c:legendPos val="t"/>
      <c:layout/>
      <c:overlay val="0"/>
    </c:legend>
    <c:plotVisOnly val="1"/>
    <c:dispBlanksAs val="zero"/>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extLst>
    <c:ext xmlns:c14="http://schemas.microsoft.com/office/drawing/2007/8/2/chart" uri="{781A3756-C4B2-4CAC-9D66-4F8BD8637D16}">
      <c14:pivotOptions>
        <c14:dropZoneFilter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Word]Chart 6_SOURCE (2)!PivotTable5</c:name>
    <c:fmtId val="-1"/>
  </c:pivotSource>
  <c:chart>
    <c:autoTitleDeleted val="1"/>
    <c:pivotFmts>
      <c:pivotFmt>
        <c:idx val="0"/>
        <c:dLbl>
          <c:idx val="0"/>
          <c:showLegendKey val="0"/>
          <c:showVal val="1"/>
          <c:showCatName val="1"/>
          <c:showSerName val="0"/>
          <c:showPercent val="0"/>
          <c:showBubbleSize val="0"/>
          <c:extLst>
            <c:ext xmlns:c15="http://schemas.microsoft.com/office/drawing/2012/chart" uri="{CE6537A1-D6FC-4f65-9D91-7224C49458BB}"/>
          </c:extLst>
        </c:dLbl>
      </c:pivotFmt>
      <c:pivotFmt>
        <c:idx val="1"/>
        <c:dLbl>
          <c:idx val="0"/>
          <c:showLegendKey val="0"/>
          <c:showVal val="1"/>
          <c:showCatName val="1"/>
          <c:showSerName val="0"/>
          <c:showPercent val="0"/>
          <c:showBubbleSize val="0"/>
          <c:extLst>
            <c:ext xmlns:c15="http://schemas.microsoft.com/office/drawing/2012/chart" uri="{CE6537A1-D6FC-4f65-9D91-7224C49458BB}"/>
          </c:extLst>
        </c:dLbl>
      </c:pivotFmt>
      <c:pivotFmt>
        <c:idx val="2"/>
        <c:dLbl>
          <c:idx val="0"/>
          <c:showLegendKey val="0"/>
          <c:showVal val="1"/>
          <c:showCatName val="1"/>
          <c:showSerName val="0"/>
          <c:showPercent val="0"/>
          <c:showBubbleSize val="0"/>
          <c:extLst>
            <c:ext xmlns:c15="http://schemas.microsoft.com/office/drawing/2012/chart" uri="{CE6537A1-D6FC-4f65-9D91-7224C49458BB}"/>
          </c:extLst>
        </c:dLbl>
      </c:pivotFmt>
      <c:pivotFmt>
        <c:idx val="3"/>
        <c:dLbl>
          <c:idx val="0"/>
          <c:showLegendKey val="0"/>
          <c:showVal val="1"/>
          <c:showCatName val="1"/>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pivotFmt>
      <c:pivotFmt>
        <c:idx val="6"/>
        <c:dLbl>
          <c:idx val="0"/>
          <c:showLegendKey val="0"/>
          <c:showVal val="0"/>
          <c:showCatName val="1"/>
          <c:showSerName val="0"/>
          <c:showPercent val="1"/>
          <c:showBubbleSize val="0"/>
          <c:extLst>
            <c:ext xmlns:c15="http://schemas.microsoft.com/office/drawing/2012/chart" uri="{CE6537A1-D6FC-4f65-9D91-7224C49458BB}"/>
          </c:extLst>
        </c:dLbl>
      </c:pivotFmt>
      <c:pivotFmt>
        <c:idx val="7"/>
      </c:pivotFmt>
      <c:pivotFmt>
        <c:idx val="8"/>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0"/>
      </c:pivotFmt>
      <c:pivotFmt>
        <c:idx val="11"/>
      </c:pivotFmt>
      <c:pivotFmt>
        <c:idx val="12"/>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3"/>
        <c:dLbl>
          <c:idx val="0"/>
          <c:dLblPos val="in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5"/>
        <c:marker>
          <c:symbol val="none"/>
        </c:marker>
        <c:dLbl>
          <c:idx val="0"/>
          <c:spPr/>
          <c:txPr>
            <a:bodyPr/>
            <a:lstStyle/>
            <a:p>
              <a:pPr>
                <a:defRPr/>
              </a:pPr>
              <a:endParaRPr lang="en-US"/>
            </a:p>
          </c:txPr>
          <c:showLegendKey val="0"/>
          <c:showVal val="0"/>
          <c:showCatName val="1"/>
          <c:showSerName val="0"/>
          <c:showPercent val="1"/>
          <c:showBubbleSize val="0"/>
          <c:extLst>
            <c:ext xmlns:c15="http://schemas.microsoft.com/office/drawing/2012/chart" uri="{CE6537A1-D6FC-4f65-9D91-7224C49458BB}"/>
          </c:extLst>
        </c:dLbl>
      </c:pivotFmt>
      <c:pivotFmt>
        <c:idx val="16"/>
        <c:marker>
          <c:symbol val="none"/>
        </c:marker>
        <c:dLbl>
          <c:idx val="0"/>
          <c:spPr/>
          <c:txPr>
            <a:bodyPr/>
            <a:lstStyle/>
            <a:p>
              <a:pPr>
                <a:defRPr/>
              </a:pPr>
              <a:endParaRPr lang="en-US"/>
            </a:p>
          </c:txPr>
          <c:dLblPos val="inEnd"/>
          <c:showLegendKey val="0"/>
          <c:showVal val="0"/>
          <c:showCatName val="1"/>
          <c:showSerName val="0"/>
          <c:showPercent val="1"/>
          <c:showBubbleSize val="0"/>
          <c:extLst>
            <c:ext xmlns:c15="http://schemas.microsoft.com/office/drawing/2012/chart" uri="{CE6537A1-D6FC-4f65-9D91-7224C49458BB}">
              <c15:layout/>
            </c:ext>
          </c:extLst>
        </c:dLbl>
      </c:pivotFmt>
      <c:pivotFmt>
        <c:idx val="17"/>
        <c:spPr>
          <a:solidFill>
            <a:schemeClr val="accent3">
              <a:lumMod val="60000"/>
              <a:lumOff val="40000"/>
            </a:schemeClr>
          </a:solidFill>
        </c:spPr>
      </c:pivotFmt>
      <c:pivotFmt>
        <c:idx val="18"/>
        <c:spPr>
          <a:solidFill>
            <a:schemeClr val="accent6">
              <a:lumMod val="60000"/>
              <a:lumOff val="40000"/>
            </a:schemeClr>
          </a:solidFill>
        </c:spPr>
        <c:dLbl>
          <c:idx val="0"/>
          <c:layout>
            <c:manualLayout>
              <c:x val="-0.13739635600836025"/>
              <c:y val="-7.9107543197725286E-3"/>
            </c:manualLayout>
          </c:layout>
          <c:showLegendKey val="0"/>
          <c:showVal val="0"/>
          <c:showCatName val="1"/>
          <c:showSerName val="0"/>
          <c:showPercent val="1"/>
          <c:showBubbleSize val="0"/>
        </c:dLbl>
      </c:pivotFmt>
      <c:pivotFmt>
        <c:idx val="19"/>
        <c:marker>
          <c:symbol val="none"/>
        </c:marker>
        <c:dLbl>
          <c:idx val="0"/>
          <c:spPr/>
          <c:txPr>
            <a:bodyPr/>
            <a:lstStyle/>
            <a:p>
              <a:pPr>
                <a:defRPr/>
              </a:pPr>
              <a:endParaRPr lang="en-US"/>
            </a:p>
          </c:txPr>
          <c:dLblPos val="inEnd"/>
          <c:showLegendKey val="0"/>
          <c:showVal val="0"/>
          <c:showCatName val="1"/>
          <c:showSerName val="0"/>
          <c:showPercent val="1"/>
          <c:showBubbleSize val="0"/>
        </c:dLbl>
      </c:pivotFmt>
      <c:pivotFmt>
        <c:idx val="20"/>
        <c:spPr>
          <a:solidFill>
            <a:schemeClr val="accent6">
              <a:lumMod val="60000"/>
              <a:lumOff val="40000"/>
            </a:schemeClr>
          </a:solidFill>
        </c:spPr>
      </c:pivotFmt>
      <c:pivotFmt>
        <c:idx val="21"/>
        <c:spPr>
          <a:solidFill>
            <a:schemeClr val="accent3">
              <a:lumMod val="60000"/>
              <a:lumOff val="40000"/>
            </a:schemeClr>
          </a:solidFill>
        </c:spPr>
      </c:pivotFmt>
      <c:pivotFmt>
        <c:idx val="22"/>
        <c:marker>
          <c:symbol val="none"/>
        </c:marker>
        <c:dLbl>
          <c:idx val="0"/>
          <c:spPr/>
          <c:txPr>
            <a:bodyPr/>
            <a:lstStyle/>
            <a:p>
              <a:pPr>
                <a:defRPr/>
              </a:pPr>
              <a:endParaRPr lang="en-US"/>
            </a:p>
          </c:txPr>
          <c:dLblPos val="inEnd"/>
          <c:showLegendKey val="0"/>
          <c:showVal val="0"/>
          <c:showCatName val="1"/>
          <c:showSerName val="0"/>
          <c:showPercent val="1"/>
          <c:showBubbleSize val="0"/>
        </c:dLbl>
      </c:pivotFmt>
      <c:pivotFmt>
        <c:idx val="23"/>
        <c:spPr>
          <a:solidFill>
            <a:schemeClr val="accent6">
              <a:lumMod val="60000"/>
              <a:lumOff val="40000"/>
            </a:schemeClr>
          </a:solidFill>
        </c:spPr>
      </c:pivotFmt>
      <c:pivotFmt>
        <c:idx val="24"/>
        <c:spPr>
          <a:solidFill>
            <a:schemeClr val="accent3">
              <a:lumMod val="60000"/>
              <a:lumOff val="40000"/>
            </a:schemeClr>
          </a:solidFill>
        </c:spPr>
      </c:pivotFmt>
    </c:pivotFmts>
    <c:view3D>
      <c:rotX val="75"/>
      <c:rotY val="0"/>
      <c:rAngAx val="0"/>
      <c:perspective val="30"/>
    </c:view3D>
    <c:floor>
      <c:thickness val="0"/>
    </c:floor>
    <c:sideWall>
      <c:thickness val="0"/>
    </c:sideWall>
    <c:backWall>
      <c:thickness val="0"/>
    </c:backWall>
    <c:plotArea>
      <c:layout/>
      <c:pie3DChart>
        <c:varyColors val="1"/>
        <c:ser>
          <c:idx val="0"/>
          <c:order val="0"/>
          <c:tx>
            <c:strRef>
              <c:f>'Chart 6_SOURCE (2)'!$B$3</c:f>
              <c:strCache>
                <c:ptCount val="1"/>
                <c:pt idx="0">
                  <c:v>Total</c:v>
                </c:pt>
              </c:strCache>
            </c:strRef>
          </c:tx>
          <c:explosion val="25"/>
          <c:dPt>
            <c:idx val="0"/>
            <c:bubble3D val="0"/>
            <c:spPr>
              <a:solidFill>
                <a:schemeClr val="accent6">
                  <a:lumMod val="60000"/>
                  <a:lumOff val="40000"/>
                </a:schemeClr>
              </a:solidFill>
            </c:spPr>
          </c:dPt>
          <c:dPt>
            <c:idx val="1"/>
            <c:bubble3D val="0"/>
            <c:spPr>
              <a:solidFill>
                <a:schemeClr val="accent3">
                  <a:lumMod val="60000"/>
                  <a:lumOff val="40000"/>
                </a:schemeClr>
              </a:solidFill>
            </c:spPr>
          </c:dPt>
          <c:dLbls>
            <c:txPr>
              <a:bodyPr/>
              <a:lstStyle/>
              <a:p>
                <a:pPr>
                  <a:defRPr/>
                </a:pPr>
                <a:endParaRPr lang="en-US"/>
              </a:p>
            </c:txPr>
            <c:dLblPos val="inEnd"/>
            <c:showLegendKey val="0"/>
            <c:showVal val="0"/>
            <c:showCatName val="1"/>
            <c:showSerName val="0"/>
            <c:showPercent val="1"/>
            <c:showBubbleSize val="0"/>
            <c:showLeaderLines val="1"/>
          </c:dLbls>
          <c:cat>
            <c:strRef>
              <c:f>'Chart 6_SOURCE (2)'!$A$4:$A$6</c:f>
              <c:strCache>
                <c:ptCount val="2"/>
                <c:pt idx="0">
                  <c:v>المدقق الخارجي</c:v>
                </c:pt>
                <c:pt idx="1">
                  <c:v>شعبة الرقابة الداخلية</c:v>
                </c:pt>
              </c:strCache>
            </c:strRef>
          </c:cat>
          <c:val>
            <c:numRef>
              <c:f>'Chart 6_SOURCE (2)'!$B$4:$B$6</c:f>
              <c:numCache>
                <c:formatCode>General</c:formatCode>
                <c:ptCount val="2"/>
                <c:pt idx="0">
                  <c:v>49</c:v>
                </c:pt>
                <c:pt idx="1">
                  <c:v>135</c:v>
                </c:pt>
              </c:numCache>
            </c:numRef>
          </c:val>
        </c:ser>
        <c:dLbls>
          <c:dLblPos val="inEnd"/>
          <c:showLegendKey val="0"/>
          <c:showVal val="0"/>
          <c:showCatName val="1"/>
          <c:showSerName val="0"/>
          <c:showPercent val="1"/>
          <c:showBubbleSize val="0"/>
          <c:showLeaderLines val="1"/>
        </c:dLbls>
      </c:pie3DChart>
    </c:plotArea>
    <c:plotVisOnly val="1"/>
    <c:dispBlanksAs val="zero"/>
    <c:showDLblsOverMax val="0"/>
  </c:chart>
  <c:txPr>
    <a:bodyPr/>
    <a:lstStyle/>
    <a:p>
      <a:pPr>
        <a:defRPr sz="1400" baseline="0">
          <a:latin typeface="Arabic Typesetting" panose="03020402040406030203" pitchFamily="66" charset="-78"/>
          <a:cs typeface="Arabic Typesetting" panose="03020402040406030203" pitchFamily="66" charset="-78"/>
        </a:defRPr>
      </a:pPr>
      <a:endParaRPr lang="en-US"/>
    </a:p>
  </c:txPr>
  <c:externalData r:id="rId2">
    <c:autoUpdate val="0"/>
  </c:externalData>
  <c:extLst>
    <c:ext xmlns:c14="http://schemas.microsoft.com/office/drawing/2007/8/2/chart" uri="{781A3756-C4B2-4CAC-9D66-4F8BD8637D16}">
      <c14:pivotOptions>
        <c14:dropZoneFilter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6A040-0EA3-4913-939A-BB6826995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WO_PBC_23_AR.dotx</Template>
  <TotalTime>13</TotalTime>
  <Pages>26</Pages>
  <Words>4974</Words>
  <Characters>26891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WO/GA/47/4 (Arabic)</vt:lpstr>
    </vt:vector>
  </TitlesOfParts>
  <Company>World Intellectual Property Organization</Company>
  <LinksUpToDate>false</LinksUpToDate>
  <CharactersWithSpaces>31802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WO/GA/47/4 (Arabic)</dc:title>
  <dc:creator>AHMIDOUCH Noureddine</dc:creator>
  <cp:lastModifiedBy>AHMIDOUCH Noureddine</cp:lastModifiedBy>
  <cp:revision>10</cp:revision>
  <cp:lastPrinted>2015-07-22T07:51:00Z</cp:lastPrinted>
  <dcterms:created xsi:type="dcterms:W3CDTF">2015-07-21T07:33:00Z</dcterms:created>
  <dcterms:modified xsi:type="dcterms:W3CDTF">2015-07-22T07:54:00Z</dcterms:modified>
</cp:coreProperties>
</file>