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19" w:rsidRPr="00C50A61" w:rsidRDefault="00CB2F19" w:rsidP="00CB2F19">
      <w:pPr>
        <w:widowControl w:val="0"/>
        <w:bidi w:val="0"/>
        <w:rPr>
          <w:rFonts w:ascii="Arial Bold" w:eastAsia="SimSun" w:hAnsi="Arial Bold" w:cs="Arial" w:hint="eastAsia"/>
          <w:b/>
          <w:noProof/>
          <w:sz w:val="40"/>
          <w:szCs w:val="40"/>
          <w:rtl/>
          <w:lang w:eastAsia="zh-CN"/>
        </w:rPr>
      </w:pPr>
      <w:bookmarkStart w:id="2" w:name="ExtraPara"/>
      <w:bookmarkStart w:id="3" w:name="_GoBack"/>
      <w:bookmarkEnd w:id="2"/>
      <w:bookmarkEnd w:id="3"/>
      <w:r w:rsidRPr="00C50A61">
        <w:rPr>
          <w:rFonts w:ascii="Arial Bold" w:eastAsia="SimSun" w:hAnsi="Arial Bold" w:cs="Arial"/>
          <w:b/>
          <w:noProof/>
          <w:sz w:val="40"/>
          <w:szCs w:val="40"/>
          <w:lang w:eastAsia="zh-CN"/>
        </w:rPr>
        <w:t>A</w:t>
      </w:r>
    </w:p>
    <w:p w:rsidR="00CB2F19" w:rsidRPr="003F7284" w:rsidRDefault="00CB2F19" w:rsidP="00CB2F19">
      <w:pPr>
        <w:spacing w:after="120"/>
        <w:ind w:left="4535"/>
        <w:rPr>
          <w:rtl/>
        </w:rPr>
      </w:pPr>
      <w:r w:rsidRPr="003F7284">
        <w:rPr>
          <w:noProof/>
        </w:rPr>
        <w:drawing>
          <wp:inline distT="0" distB="0" distL="0" distR="0" wp14:anchorId="315A8683" wp14:editId="78E72A66">
            <wp:extent cx="1327150" cy="1263650"/>
            <wp:effectExtent l="0" t="0" r="6350" b="0"/>
            <wp:docPr id="4" name="Picture 4"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CB2F19" w:rsidRPr="007A0A2B" w:rsidRDefault="00CB2F19" w:rsidP="00CB2F19">
      <w:pPr>
        <w:pBdr>
          <w:top w:val="single" w:sz="4" w:space="10" w:color="auto"/>
        </w:pBdr>
        <w:bidi w:val="0"/>
        <w:rPr>
          <w:rFonts w:ascii="Arial Black" w:eastAsia="SimSun" w:hAnsi="Arial Black" w:cs="Arial"/>
          <w:b/>
          <w:caps/>
          <w:noProof/>
          <w:sz w:val="16"/>
          <w:szCs w:val="16"/>
          <w:lang w:eastAsia="zh-CN" w:bidi="ar-JO"/>
        </w:rPr>
      </w:pPr>
      <w:r>
        <w:rPr>
          <w:rFonts w:ascii="Arial Black" w:eastAsia="SimSun" w:hAnsi="Arial Black" w:cs="Arial"/>
          <w:b/>
          <w:caps/>
          <w:noProof/>
          <w:sz w:val="16"/>
          <w:szCs w:val="16"/>
          <w:lang w:eastAsia="zh-CN"/>
        </w:rPr>
        <w:t>PCT/A/50/</w:t>
      </w:r>
      <w:r>
        <w:rPr>
          <w:rFonts w:ascii="Arial Black" w:eastAsia="SimSun" w:hAnsi="Arial Black" w:cs="Arial"/>
          <w:b/>
          <w:caps/>
          <w:noProof/>
          <w:sz w:val="16"/>
          <w:szCs w:val="16"/>
          <w:lang w:eastAsia="zh-CN" w:bidi="ar-JO"/>
        </w:rPr>
        <w:t>3</w:t>
      </w:r>
    </w:p>
    <w:p w:rsidR="00CB2F19" w:rsidRPr="00BB6440" w:rsidRDefault="00CB2F19" w:rsidP="00053B00">
      <w:pPr>
        <w:jc w:val="right"/>
        <w:rPr>
          <w:b/>
          <w:bCs/>
          <w:sz w:val="30"/>
          <w:szCs w:val="30"/>
          <w:rtl/>
        </w:rPr>
      </w:pPr>
      <w:r w:rsidRPr="00BB6440">
        <w:rPr>
          <w:b/>
          <w:bCs/>
          <w:sz w:val="30"/>
          <w:szCs w:val="30"/>
          <w:rtl/>
        </w:rPr>
        <w:t xml:space="preserve">الأصل: </w:t>
      </w:r>
      <w:r w:rsidR="00053B00">
        <w:rPr>
          <w:rFonts w:hint="cs"/>
          <w:b/>
          <w:bCs/>
          <w:sz w:val="30"/>
          <w:szCs w:val="30"/>
          <w:rtl/>
        </w:rPr>
        <w:t>بالإنكليزية</w:t>
      </w:r>
    </w:p>
    <w:p w:rsidR="00CB2F19" w:rsidRPr="00BB6440" w:rsidRDefault="00CB2F19" w:rsidP="00CB2F19">
      <w:pPr>
        <w:spacing w:line="720" w:lineRule="auto"/>
        <w:jc w:val="right"/>
        <w:rPr>
          <w:b/>
          <w:bCs/>
          <w:sz w:val="30"/>
          <w:szCs w:val="30"/>
          <w:rtl/>
        </w:rPr>
      </w:pPr>
      <w:r w:rsidRPr="00BB6440">
        <w:rPr>
          <w:b/>
          <w:bCs/>
          <w:sz w:val="30"/>
          <w:szCs w:val="30"/>
          <w:rtl/>
        </w:rPr>
        <w:t xml:space="preserve">التاريخ: </w:t>
      </w:r>
      <w:r>
        <w:rPr>
          <w:rFonts w:hint="cs"/>
          <w:b/>
          <w:bCs/>
          <w:sz w:val="30"/>
          <w:szCs w:val="30"/>
          <w:rtl/>
        </w:rPr>
        <w:t>23 يوليو 2018</w:t>
      </w:r>
    </w:p>
    <w:p w:rsidR="00CB2F19" w:rsidRDefault="00CB2F19" w:rsidP="00CB2F19">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CB2F19" w:rsidRPr="00FD6D15" w:rsidRDefault="00CB2F19" w:rsidP="00CB2F19">
      <w:pPr>
        <w:pStyle w:val="Heading1"/>
        <w:spacing w:after="600" w:line="240" w:lineRule="auto"/>
        <w:rPr>
          <w:rtl/>
        </w:rPr>
      </w:pPr>
      <w:r>
        <w:rPr>
          <w:rFonts w:hint="eastAsia"/>
          <w:rtl/>
        </w:rPr>
        <w:t>الجمعية</w:t>
      </w:r>
    </w:p>
    <w:p w:rsidR="00CB2F19" w:rsidRPr="002E7810" w:rsidRDefault="00CB2F19" w:rsidP="00CB2F1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CB2F19" w:rsidRPr="002E7810" w:rsidRDefault="00CB2F19" w:rsidP="00CB2F19">
      <w:pPr>
        <w:spacing w:line="600" w:lineRule="auto"/>
        <w:rPr>
          <w:b/>
          <w:bCs/>
          <w:rtl/>
        </w:rPr>
      </w:pPr>
      <w:r>
        <w:rPr>
          <w:b/>
          <w:bCs/>
          <w:rtl/>
        </w:rPr>
        <w:t>جنيف، من 24 سبتمبر إلى 2 أكتوبر 2018</w:t>
      </w:r>
    </w:p>
    <w:p w:rsidR="00CB2F19" w:rsidRPr="002E7810" w:rsidRDefault="00CB2F19" w:rsidP="00CB2F19">
      <w:pPr>
        <w:rPr>
          <w:rFonts w:ascii="Arial Black" w:hAnsi="Arial Black" w:cs="PT Bold Heading"/>
          <w:sz w:val="26"/>
          <w:szCs w:val="26"/>
          <w:rtl/>
        </w:rPr>
      </w:pPr>
      <w:r>
        <w:rPr>
          <w:rFonts w:ascii="Arial Black" w:hAnsi="Arial Black" w:cs="PT Bold Heading" w:hint="cs"/>
          <w:sz w:val="26"/>
          <w:szCs w:val="26"/>
          <w:rtl/>
        </w:rPr>
        <w:t>استمارة طلب التعيين كإدارة للبحث الدولي وإدارة للفحص التمهيدي الدولي في إطار معاهدة التعاون بشأن البراءات</w:t>
      </w:r>
    </w:p>
    <w:p w:rsidR="00CB2F19" w:rsidRPr="00BB6440" w:rsidRDefault="00B56F27" w:rsidP="00CB2F19">
      <w:pPr>
        <w:spacing w:before="200" w:after="960"/>
        <w:rPr>
          <w:i/>
          <w:iCs/>
          <w:rtl/>
        </w:rPr>
      </w:pPr>
      <w:r>
        <w:rPr>
          <w:rFonts w:hint="cs"/>
          <w:i/>
          <w:iCs/>
          <w:rtl/>
        </w:rPr>
        <w:t xml:space="preserve">وثيقة </w:t>
      </w:r>
      <w:r w:rsidR="00CB2F19" w:rsidRPr="00BB6440">
        <w:rPr>
          <w:i/>
          <w:iCs/>
          <w:rtl/>
        </w:rPr>
        <w:t>من إعداد</w:t>
      </w:r>
      <w:r w:rsidR="00CB2F19" w:rsidRPr="00BB6440">
        <w:rPr>
          <w:rFonts w:hint="cs"/>
          <w:i/>
          <w:iCs/>
          <w:rtl/>
        </w:rPr>
        <w:t xml:space="preserve"> </w:t>
      </w:r>
      <w:r w:rsidR="00CB2F19">
        <w:rPr>
          <w:rFonts w:hint="cs"/>
          <w:i/>
          <w:iCs/>
          <w:rtl/>
        </w:rPr>
        <w:t>المكتب الدولي</w:t>
      </w:r>
    </w:p>
    <w:p w:rsidR="00CB2F19" w:rsidRDefault="00CB2F19" w:rsidP="00672400">
      <w:pPr>
        <w:pStyle w:val="Heading2"/>
        <w:rPr>
          <w:rtl/>
        </w:rPr>
      </w:pPr>
      <w:r>
        <w:rPr>
          <w:rtl/>
        </w:rPr>
        <w:t>ملخص</w:t>
      </w:r>
    </w:p>
    <w:p w:rsidR="00CB2F19" w:rsidRDefault="00CB2F19" w:rsidP="0072295C">
      <w:pPr>
        <w:pStyle w:val="ONUMA"/>
        <w:numPr>
          <w:ilvl w:val="0"/>
          <w:numId w:val="13"/>
        </w:numPr>
        <w:rPr>
          <w:rtl/>
        </w:rPr>
      </w:pPr>
      <w:r>
        <w:rPr>
          <w:rtl/>
        </w:rPr>
        <w:t>تتضمن هذه الوثيقة بعض الاقتراحات لإحداث استمارة طلب تستخدمها المكاتب الساعية إلى أن تعين كإدارة للبحث الدولي وإدارة للفحص التمهيدي الدولي في إطار معاهدة التعاون بشأن البراءات.</w:t>
      </w:r>
    </w:p>
    <w:p w:rsidR="00CB2F19" w:rsidRDefault="00CB2F19" w:rsidP="000A3A52">
      <w:pPr>
        <w:pStyle w:val="Heading2"/>
        <w:rPr>
          <w:rtl/>
        </w:rPr>
      </w:pPr>
      <w:r>
        <w:rPr>
          <w:rtl/>
        </w:rPr>
        <w:t>معلومات أساسية</w:t>
      </w:r>
    </w:p>
    <w:p w:rsidR="00CB2F19" w:rsidRDefault="00CB2F19" w:rsidP="00CB2F19">
      <w:pPr>
        <w:pStyle w:val="ONUMA"/>
        <w:rPr>
          <w:rtl/>
        </w:rPr>
      </w:pPr>
      <w:r>
        <w:rPr>
          <w:rtl/>
        </w:rPr>
        <w:t xml:space="preserve">اعتمدت جمعية معاهدة البراءات، إبّان دورتها السادسة والأربعين المعقودة في جنيف في شهر سبتمبر 2014، تفاهماً يحدد الإجراءات الواجب على المكاتب اتباعها عند طلب التعيين كإدارة دولية (انظر الفقرة 12 من الوثيقة </w:t>
      </w:r>
      <w:r>
        <w:t>PCT/A/46/6</w:t>
      </w:r>
      <w:r w:rsidR="00EC02F6">
        <w:rPr>
          <w:rtl/>
        </w:rPr>
        <w:t>).</w:t>
      </w:r>
      <w:r>
        <w:rPr>
          <w:rtl/>
        </w:rPr>
        <w:t xml:space="preserve"> وشمل ذلك التفاهم الخطوات الإجرائية ولكن ليس شكل الطلب ومضمونه.</w:t>
      </w:r>
    </w:p>
    <w:p w:rsidR="000A3A52" w:rsidRDefault="00CB2F19" w:rsidP="000A3A52">
      <w:pPr>
        <w:pStyle w:val="ONUMA"/>
      </w:pPr>
      <w:r>
        <w:rPr>
          <w:rFonts w:hint="cs"/>
          <w:rtl/>
        </w:rPr>
        <w:t xml:space="preserve">في فبراير 2015، وعلى إثر تعثر النقاشات التي أجراها </w:t>
      </w:r>
      <w:r w:rsidRPr="00CB2F19">
        <w:rPr>
          <w:rtl/>
        </w:rPr>
        <w:t>الفريق الفرعي المعني بالجودة التابع لاجتماع الإدارات الدولية</w:t>
      </w:r>
      <w:r>
        <w:rPr>
          <w:rFonts w:hint="cs"/>
          <w:rtl/>
        </w:rPr>
        <w:t xml:space="preserve">، </w:t>
      </w:r>
      <w:r w:rsidR="00106839">
        <w:rPr>
          <w:rFonts w:hint="cs"/>
          <w:rtl/>
        </w:rPr>
        <w:t xml:space="preserve">في إطار </w:t>
      </w:r>
      <w:r>
        <w:rPr>
          <w:rFonts w:hint="cs"/>
          <w:rtl/>
        </w:rPr>
        <w:t>معاهدة التعاون بشأن البراءات،</w:t>
      </w:r>
      <w:r w:rsidRPr="00CB2F19">
        <w:rPr>
          <w:rtl/>
        </w:rPr>
        <w:t xml:space="preserve"> </w:t>
      </w:r>
      <w:r>
        <w:rPr>
          <w:rFonts w:hint="cs"/>
          <w:rtl/>
        </w:rPr>
        <w:t xml:space="preserve">وضمن </w:t>
      </w:r>
      <w:r w:rsidRPr="00CB2F19">
        <w:rPr>
          <w:rtl/>
        </w:rPr>
        <w:t xml:space="preserve">مهمة استعراض "المتطلبات الدنيا" للتعيين المنصوص عليها في القاعدتين 36 </w:t>
      </w:r>
      <w:r w:rsidRPr="00CB2F19">
        <w:rPr>
          <w:rtl/>
        </w:rPr>
        <w:lastRenderedPageBreak/>
        <w:t>و63 من اللائحة التنفيذية لمعاهدة البراءات</w:t>
      </w:r>
      <w:r>
        <w:rPr>
          <w:rFonts w:hint="cs"/>
          <w:rtl/>
        </w:rPr>
        <w:t xml:space="preserve">، أوصى الفريق الفرعي </w:t>
      </w:r>
      <w:r w:rsidR="00C427D2">
        <w:rPr>
          <w:rFonts w:hint="cs"/>
          <w:rtl/>
        </w:rPr>
        <w:t xml:space="preserve">المعني بالجودة </w:t>
      </w:r>
      <w:r>
        <w:rPr>
          <w:rFonts w:hint="cs"/>
          <w:rtl/>
        </w:rPr>
        <w:t>بإحداث استمارة</w:t>
      </w:r>
      <w:r w:rsidR="00C427D2">
        <w:rPr>
          <w:rFonts w:hint="cs"/>
          <w:rtl/>
        </w:rPr>
        <w:t xml:space="preserve"> طلب تستخدمها المكاتب الساعية إلى التعيين كإدارة دولية (الفقرة 50 من </w:t>
      </w:r>
      <w:r w:rsidR="00C427D2" w:rsidRPr="00C427D2">
        <w:rPr>
          <w:rtl/>
        </w:rPr>
        <w:t xml:space="preserve">المرفق الثاني من الوثيقة </w:t>
      </w:r>
      <w:r w:rsidR="00C427D2" w:rsidRPr="00C427D2">
        <w:t>PCT/MIA/22/22</w:t>
      </w:r>
      <w:r w:rsidR="00C427D2" w:rsidRPr="00C427D2">
        <w:rPr>
          <w:rtl/>
        </w:rPr>
        <w:t xml:space="preserve"> المدرجة أيضاً في الوثيقة </w:t>
      </w:r>
      <w:r w:rsidR="00C427D2" w:rsidRPr="00C427D2">
        <w:t>PCT/WG/8/2</w:t>
      </w:r>
      <w:r w:rsidR="00C427D2">
        <w:rPr>
          <w:rFonts w:hint="cs"/>
          <w:rtl/>
        </w:rPr>
        <w:t>).</w:t>
      </w:r>
    </w:p>
    <w:p w:rsidR="00C427D2" w:rsidRDefault="00C427D2" w:rsidP="000A3A52">
      <w:pPr>
        <w:pStyle w:val="ONUMA"/>
      </w:pPr>
      <w:r>
        <w:rPr>
          <w:rFonts w:hint="cs"/>
          <w:rtl/>
        </w:rPr>
        <w:t xml:space="preserve">وأعد المكتب الدولي </w:t>
      </w:r>
      <w:r w:rsidR="007E2693">
        <w:rPr>
          <w:rFonts w:hint="cs"/>
          <w:rtl/>
        </w:rPr>
        <w:t xml:space="preserve">مشاريع </w:t>
      </w:r>
      <w:r>
        <w:rPr>
          <w:rFonts w:hint="cs"/>
          <w:rtl/>
        </w:rPr>
        <w:t xml:space="preserve">استمارات الطلب خضعت للمناقشة، منذ 2016، من طرف الفريق الفرعي المعني بالجودة واجتماع الإدارات الدولية. </w:t>
      </w:r>
      <w:r w:rsidRPr="00C427D2">
        <w:rPr>
          <w:rtl/>
        </w:rPr>
        <w:t xml:space="preserve">واستُند إلى </w:t>
      </w:r>
      <w:r>
        <w:rPr>
          <w:rFonts w:hint="cs"/>
          <w:rtl/>
        </w:rPr>
        <w:t>م</w:t>
      </w:r>
      <w:r w:rsidR="007E2693">
        <w:rPr>
          <w:rFonts w:hint="cs"/>
          <w:rtl/>
        </w:rPr>
        <w:t>شاريع</w:t>
      </w:r>
      <w:r>
        <w:rPr>
          <w:rFonts w:hint="cs"/>
          <w:rtl/>
        </w:rPr>
        <w:t xml:space="preserve"> </w:t>
      </w:r>
      <w:r w:rsidR="007E2693">
        <w:rPr>
          <w:rFonts w:hint="cs"/>
          <w:rtl/>
        </w:rPr>
        <w:t xml:space="preserve">الاستمارات المذكورة </w:t>
      </w:r>
      <w:r w:rsidRPr="00C427D2">
        <w:rPr>
          <w:rtl/>
        </w:rPr>
        <w:t>في طلبي تعيين مكتب تركيا للبراءات والعلامات التجارية ومكتب الفلبين للملكية الفكرية فضلاً عن العديد من طلبات تمديد التعيين التي نظرت فيها لجنة التعاون التقني لمعاهدة البراءات في دورتها الث</w:t>
      </w:r>
      <w:r>
        <w:rPr>
          <w:rFonts w:hint="cs"/>
          <w:rtl/>
        </w:rPr>
        <w:t xml:space="preserve">لاثين </w:t>
      </w:r>
      <w:r w:rsidRPr="00C427D2">
        <w:rPr>
          <w:rtl/>
        </w:rPr>
        <w:t>المعقودة في عام 2017</w:t>
      </w:r>
      <w:r>
        <w:rPr>
          <w:rFonts w:hint="cs"/>
          <w:rtl/>
        </w:rPr>
        <w:t>، و</w:t>
      </w:r>
      <w:r w:rsidR="000A3A52">
        <w:rPr>
          <w:rFonts w:hint="cs"/>
          <w:rtl/>
        </w:rPr>
        <w:t xml:space="preserve">قد وردت مشاريع الاستمارات المذكورة ضمن </w:t>
      </w:r>
      <w:r>
        <w:rPr>
          <w:rFonts w:hint="cs"/>
          <w:rtl/>
        </w:rPr>
        <w:t xml:space="preserve">التعميم </w:t>
      </w:r>
      <w:r w:rsidRPr="00C427D2">
        <w:t>C. PCT 1519</w:t>
      </w:r>
      <w:r>
        <w:rPr>
          <w:rFonts w:hint="cs"/>
          <w:rtl/>
        </w:rPr>
        <w:t xml:space="preserve"> الذي أرسل </w:t>
      </w:r>
      <w:r w:rsidR="00F0380B">
        <w:rPr>
          <w:rFonts w:hint="cs"/>
          <w:rtl/>
        </w:rPr>
        <w:t xml:space="preserve">إلى </w:t>
      </w:r>
      <w:r>
        <w:rPr>
          <w:rFonts w:hint="cs"/>
          <w:rtl/>
        </w:rPr>
        <w:t>جميع المكاتب المكلفة ب</w:t>
      </w:r>
      <w:r w:rsidR="00F0380B">
        <w:rPr>
          <w:rFonts w:hint="cs"/>
          <w:rtl/>
        </w:rPr>
        <w:t>أ</w:t>
      </w:r>
      <w:r>
        <w:rPr>
          <w:rFonts w:hint="cs"/>
          <w:rtl/>
        </w:rPr>
        <w:t>دو</w:t>
      </w:r>
      <w:r w:rsidR="00F0380B">
        <w:rPr>
          <w:rFonts w:hint="cs"/>
          <w:rtl/>
        </w:rPr>
        <w:t>ا</w:t>
      </w:r>
      <w:r>
        <w:rPr>
          <w:rFonts w:hint="cs"/>
          <w:rtl/>
        </w:rPr>
        <w:t xml:space="preserve">ر </w:t>
      </w:r>
      <w:r w:rsidR="00106839">
        <w:rPr>
          <w:rFonts w:hint="cs"/>
          <w:rtl/>
        </w:rPr>
        <w:t xml:space="preserve">في إطار </w:t>
      </w:r>
      <w:r>
        <w:rPr>
          <w:rFonts w:hint="cs"/>
          <w:rtl/>
        </w:rPr>
        <w:t>معاهدة التعاون بشأن البراءات.</w:t>
      </w:r>
    </w:p>
    <w:p w:rsidR="00F0380B" w:rsidRDefault="00F0380B" w:rsidP="000A3A52">
      <w:pPr>
        <w:pStyle w:val="ONUMA"/>
      </w:pPr>
      <w:r>
        <w:rPr>
          <w:rFonts w:hint="cs"/>
          <w:rtl/>
        </w:rPr>
        <w:t xml:space="preserve">وأعد المكتب الدولي، بناء على طلب </w:t>
      </w:r>
      <w:r>
        <w:rPr>
          <w:rtl/>
        </w:rPr>
        <w:t>الدورة الخامسة والعشرين لاجتماع الإدارات الدولية (انظر الفقر</w:t>
      </w:r>
      <w:r>
        <w:rPr>
          <w:rFonts w:hint="cs"/>
          <w:rtl/>
        </w:rPr>
        <w:t xml:space="preserve">تين 13 و69 </w:t>
      </w:r>
      <w:r>
        <w:rPr>
          <w:rtl/>
        </w:rPr>
        <w:t xml:space="preserve">من المرفق الثاني من الوثيقة </w:t>
      </w:r>
      <w:r>
        <w:t>PCT/MIA/25/13</w:t>
      </w:r>
      <w:r>
        <w:rPr>
          <w:rtl/>
        </w:rPr>
        <w:t>)</w:t>
      </w:r>
      <w:r>
        <w:rPr>
          <w:rFonts w:hint="cs"/>
          <w:rtl/>
        </w:rPr>
        <w:t xml:space="preserve">، </w:t>
      </w:r>
      <w:r w:rsidR="007E2693">
        <w:rPr>
          <w:rFonts w:hint="cs"/>
          <w:rtl/>
        </w:rPr>
        <w:t>مشروع</w:t>
      </w:r>
      <w:r w:rsidR="000A3A52">
        <w:rPr>
          <w:rFonts w:hint="cs"/>
          <w:rtl/>
        </w:rPr>
        <w:t>ا</w:t>
      </w:r>
      <w:r w:rsidR="007E2693">
        <w:rPr>
          <w:rFonts w:hint="cs"/>
          <w:rtl/>
        </w:rPr>
        <w:t xml:space="preserve"> آخر</w:t>
      </w:r>
      <w:r>
        <w:rPr>
          <w:rFonts w:hint="cs"/>
          <w:rtl/>
        </w:rPr>
        <w:t xml:space="preserve"> لاستمارة الطلب آخذا بعين الاعتبار الردود </w:t>
      </w:r>
      <w:r w:rsidR="000A3A52">
        <w:rPr>
          <w:rFonts w:hint="cs"/>
          <w:rtl/>
        </w:rPr>
        <w:t xml:space="preserve">الواردة </w:t>
      </w:r>
      <w:r>
        <w:rPr>
          <w:rFonts w:hint="cs"/>
          <w:rtl/>
        </w:rPr>
        <w:t xml:space="preserve">بخصوص التعميم </w:t>
      </w:r>
      <w:r w:rsidRPr="00F0380B">
        <w:t>C. PCT 1519</w:t>
      </w:r>
      <w:r w:rsidR="00C90577">
        <w:rPr>
          <w:rFonts w:hint="cs"/>
          <w:rtl/>
        </w:rPr>
        <w:t>، وقدم</w:t>
      </w:r>
      <w:r w:rsidR="000A3A52">
        <w:rPr>
          <w:rFonts w:hint="cs"/>
          <w:rtl/>
        </w:rPr>
        <w:t xml:space="preserve"> مشروع الاستمارة </w:t>
      </w:r>
      <w:r w:rsidR="00C90577">
        <w:rPr>
          <w:rFonts w:hint="cs"/>
          <w:rtl/>
        </w:rPr>
        <w:t>للدورة الحادية العشرة للفريق العامل المعني بمعاهدة التعاون بشأن البراءات، المعقودة بجنيف من 18 إلى 22 يونيو 2018 (</w:t>
      </w:r>
      <w:r w:rsidR="00C90577">
        <w:rPr>
          <w:rtl/>
        </w:rPr>
        <w:t>انظر</w:t>
      </w:r>
      <w:r w:rsidR="00C90577">
        <w:rPr>
          <w:rFonts w:hint="cs"/>
          <w:rtl/>
        </w:rPr>
        <w:t xml:space="preserve"> الوثيقة </w:t>
      </w:r>
      <w:r w:rsidR="00C90577" w:rsidRPr="00C90577">
        <w:t>PCT/WG/11/6</w:t>
      </w:r>
      <w:r w:rsidR="00C90577">
        <w:rPr>
          <w:rFonts w:hint="cs"/>
          <w:rtl/>
        </w:rPr>
        <w:t xml:space="preserve">). وقد تضمن الاقتراح أيضا اقتراحا حول كيفية إدراج الاستمارة كأحد </w:t>
      </w:r>
      <w:r w:rsidR="000A3A52">
        <w:rPr>
          <w:rFonts w:hint="cs"/>
          <w:rtl/>
        </w:rPr>
        <w:t xml:space="preserve">متطلبات </w:t>
      </w:r>
      <w:r w:rsidR="00C90577">
        <w:rPr>
          <w:rFonts w:hint="cs"/>
          <w:rtl/>
        </w:rPr>
        <w:t>عملية طلب</w:t>
      </w:r>
      <w:r w:rsidR="000A3A52">
        <w:rPr>
          <w:rFonts w:hint="cs"/>
          <w:rtl/>
        </w:rPr>
        <w:t xml:space="preserve"> التعيين</w:t>
      </w:r>
      <w:r w:rsidR="00C90577">
        <w:rPr>
          <w:rFonts w:hint="cs"/>
          <w:rtl/>
        </w:rPr>
        <w:t>.</w:t>
      </w:r>
    </w:p>
    <w:p w:rsidR="000056F9" w:rsidRDefault="000056F9" w:rsidP="000056F9">
      <w:pPr>
        <w:pStyle w:val="ONUMA"/>
      </w:pPr>
      <w:r>
        <w:rPr>
          <w:rFonts w:hint="cs"/>
          <w:rtl/>
        </w:rPr>
        <w:t xml:space="preserve">ودعا الفريق العامل المعني بمعاهدة التعاون بشأن البراءات المكتب الدولي إلى تقديم الاقتراحات، </w:t>
      </w:r>
      <w:r w:rsidR="000A3A52">
        <w:rPr>
          <w:rFonts w:hint="cs"/>
          <w:rtl/>
        </w:rPr>
        <w:t xml:space="preserve">بعد </w:t>
      </w:r>
      <w:r>
        <w:rPr>
          <w:rFonts w:hint="cs"/>
          <w:rtl/>
        </w:rPr>
        <w:t>إدخال بعض التعديلات</w:t>
      </w:r>
      <w:r w:rsidR="000A3A52">
        <w:rPr>
          <w:rFonts w:hint="cs"/>
          <w:rtl/>
        </w:rPr>
        <w:t xml:space="preserve">، إلى </w:t>
      </w:r>
      <w:r>
        <w:rPr>
          <w:rFonts w:hint="cs"/>
          <w:rtl/>
        </w:rPr>
        <w:t xml:space="preserve">الدورة </w:t>
      </w:r>
      <w:r w:rsidR="006240AE">
        <w:rPr>
          <w:rFonts w:hint="cs"/>
          <w:rtl/>
        </w:rPr>
        <w:t xml:space="preserve">الراهنة </w:t>
      </w:r>
      <w:r>
        <w:rPr>
          <w:rFonts w:hint="cs"/>
          <w:rtl/>
        </w:rPr>
        <w:t xml:space="preserve">لجمعية معاهدة التعاون بشأن البراءات (انظر الفقرة 102 من الوثيقة </w:t>
      </w:r>
      <w:r w:rsidRPr="000056F9">
        <w:t>PCT/WG/11/26</w:t>
      </w:r>
      <w:r>
        <w:rPr>
          <w:rFonts w:hint="cs"/>
          <w:rtl/>
        </w:rPr>
        <w:t>).</w:t>
      </w:r>
    </w:p>
    <w:p w:rsidR="000056F9" w:rsidRDefault="000056F9" w:rsidP="000056F9">
      <w:pPr>
        <w:pStyle w:val="ONUMA"/>
      </w:pPr>
      <w:r>
        <w:rPr>
          <w:rFonts w:hint="cs"/>
          <w:rtl/>
        </w:rPr>
        <w:t xml:space="preserve">وسيرا على خطى الفريق العامل، أقر المكتب الدولي </w:t>
      </w:r>
      <w:r w:rsidR="006240AE">
        <w:rPr>
          <w:rFonts w:hint="cs"/>
          <w:rtl/>
        </w:rPr>
        <w:t>ب</w:t>
      </w:r>
      <w:r>
        <w:rPr>
          <w:rFonts w:hint="cs"/>
          <w:rtl/>
        </w:rPr>
        <w:t xml:space="preserve">ضرورة التمكن من مزيد تطوير استمارة الطلب بالاستناد إلى </w:t>
      </w:r>
      <w:r w:rsidR="006240AE">
        <w:rPr>
          <w:rFonts w:hint="cs"/>
          <w:rtl/>
        </w:rPr>
        <w:t>الخبرة</w:t>
      </w:r>
      <w:r>
        <w:rPr>
          <w:rFonts w:hint="cs"/>
          <w:rtl/>
        </w:rPr>
        <w:t xml:space="preserve"> المكتسبة. وتبعا لذلك، تضمن الاقتراح</w:t>
      </w:r>
      <w:r w:rsidR="006240AE">
        <w:rPr>
          <w:rFonts w:hint="cs"/>
          <w:rtl/>
        </w:rPr>
        <w:t>،</w:t>
      </w:r>
      <w:r>
        <w:rPr>
          <w:rFonts w:hint="cs"/>
          <w:rtl/>
        </w:rPr>
        <w:t xml:space="preserve"> بعد التشاور مع الدول الأعضاء والمكاتب التي تعمل كإدارات بحث، آلية تمكن من تحديث الاستمارة دون الحاجة </w:t>
      </w:r>
      <w:r w:rsidR="006240AE">
        <w:rPr>
          <w:rFonts w:hint="cs"/>
          <w:rtl/>
        </w:rPr>
        <w:t>إ</w:t>
      </w:r>
      <w:r>
        <w:rPr>
          <w:rFonts w:hint="cs"/>
          <w:rtl/>
        </w:rPr>
        <w:t xml:space="preserve">لى أي قرار رسمي إضافي من الجمعية، شبيه بالنظام </w:t>
      </w:r>
      <w:r w:rsidR="006240AE">
        <w:rPr>
          <w:rFonts w:hint="cs"/>
          <w:rtl/>
        </w:rPr>
        <w:t xml:space="preserve">الساري في حالة </w:t>
      </w:r>
      <w:r>
        <w:rPr>
          <w:rFonts w:hint="cs"/>
          <w:rtl/>
        </w:rPr>
        <w:t>التعليمات الإدارية لمعاهدة التعاون بشأن البراءات.</w:t>
      </w:r>
    </w:p>
    <w:p w:rsidR="000056F9" w:rsidRDefault="000056F9" w:rsidP="006240AE">
      <w:pPr>
        <w:pStyle w:val="Heading2"/>
      </w:pPr>
      <w:r>
        <w:rPr>
          <w:rFonts w:hint="cs"/>
          <w:rtl/>
        </w:rPr>
        <w:t>الاقتراحات</w:t>
      </w:r>
    </w:p>
    <w:p w:rsidR="000056F9" w:rsidRDefault="006240AE" w:rsidP="000056F9">
      <w:pPr>
        <w:pStyle w:val="ONUMA"/>
      </w:pPr>
      <w:r>
        <w:rPr>
          <w:rFonts w:hint="cs"/>
          <w:rtl/>
        </w:rPr>
        <w:t xml:space="preserve">يتضمن </w:t>
      </w:r>
      <w:r w:rsidR="0000190D">
        <w:rPr>
          <w:rFonts w:hint="cs"/>
          <w:rtl/>
        </w:rPr>
        <w:t xml:space="preserve">مرفق هذه الوثيقة اقتراح </w:t>
      </w:r>
      <w:r w:rsidR="0000190D" w:rsidRPr="0000190D">
        <w:rPr>
          <w:rFonts w:hint="cs"/>
          <w:rtl/>
        </w:rPr>
        <w:t>استمارة طلب التعيين كإدارة للبحث الدولي وإدارة للفحص التمهيدي الدولي في إطار معاهدة التعاون بشأن البراءات</w:t>
      </w:r>
      <w:r w:rsidR="0000190D">
        <w:rPr>
          <w:rFonts w:hint="cs"/>
          <w:rtl/>
        </w:rPr>
        <w:t>، بالإضافة إلى ملاحظات تساعد على فهم المحتوى المناسب لكل قسم من أقسام الاستمارة.</w:t>
      </w:r>
    </w:p>
    <w:p w:rsidR="0000190D" w:rsidRDefault="0000190D" w:rsidP="000056F9">
      <w:pPr>
        <w:pStyle w:val="ONUMA"/>
      </w:pPr>
      <w:r>
        <w:rPr>
          <w:rFonts w:hint="cs"/>
          <w:rtl/>
        </w:rPr>
        <w:t>وقصد إدراج الاستمارة ك</w:t>
      </w:r>
      <w:r w:rsidR="006240AE">
        <w:rPr>
          <w:rFonts w:hint="cs"/>
          <w:rtl/>
        </w:rPr>
        <w:t xml:space="preserve">أحد متطلبات </w:t>
      </w:r>
      <w:r>
        <w:rPr>
          <w:rFonts w:hint="cs"/>
          <w:rtl/>
        </w:rPr>
        <w:t>عملية إيداع الطلب، ورد اقتراح</w:t>
      </w:r>
      <w:r w:rsidR="006240AE">
        <w:rPr>
          <w:rFonts w:hint="cs"/>
          <w:rtl/>
        </w:rPr>
        <w:t xml:space="preserve"> بتعديل الفقرة (ه</w:t>
      </w:r>
      <w:r>
        <w:rPr>
          <w:rFonts w:hint="cs"/>
          <w:rtl/>
        </w:rPr>
        <w:t>) من تفاهم الجمعية الوجيه، لتكون كما يلي:</w:t>
      </w:r>
    </w:p>
    <w:p w:rsidR="00B25D31" w:rsidRDefault="00B25D31" w:rsidP="00B56F27">
      <w:pPr>
        <w:pStyle w:val="Heading4"/>
        <w:ind w:left="566"/>
        <w:rPr>
          <w:lang w:bidi="ar-EG"/>
        </w:rPr>
      </w:pPr>
      <w:r w:rsidRPr="0046623C">
        <w:rPr>
          <w:rtl/>
          <w:lang w:bidi="ar-EG"/>
        </w:rPr>
        <w:t>"إجراءات تعيين الإدارات الدولية:</w:t>
      </w:r>
    </w:p>
    <w:p w:rsidR="00B25D31" w:rsidRDefault="00B25D31" w:rsidP="00B25D31">
      <w:pPr>
        <w:pStyle w:val="NormalParaAR"/>
        <w:ind w:left="567"/>
        <w:rPr>
          <w:rtl/>
          <w:lang w:bidi="ar-EG"/>
        </w:rPr>
      </w:pPr>
      <w:r>
        <w:rPr>
          <w:rFonts w:hint="cs"/>
          <w:rtl/>
          <w:lang w:bidi="ar-EG"/>
        </w:rPr>
        <w:t>"</w:t>
      </w:r>
      <w:r>
        <w:rPr>
          <w:rtl/>
          <w:lang w:bidi="ar-EG"/>
        </w:rPr>
        <w:t>(أ)</w:t>
      </w:r>
      <w:r>
        <w:rPr>
          <w:rFonts w:hint="cs"/>
          <w:rtl/>
          <w:lang w:bidi="ar-EG"/>
        </w:rPr>
        <w:tab/>
      </w:r>
      <w:r>
        <w:rPr>
          <w:rtl/>
          <w:lang w:bidi="ar-EG"/>
        </w:rPr>
        <w:t>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w:t>
      </w:r>
      <w:r>
        <w:rPr>
          <w:rFonts w:hint="cs"/>
          <w:rtl/>
          <w:lang w:bidi="ar-EG"/>
        </w:rPr>
        <w:t> </w:t>
      </w:r>
      <w:r>
        <w:rPr>
          <w:rtl/>
          <w:lang w:bidi="ar-EG"/>
        </w:rPr>
        <w:t>الطلب.</w:t>
      </w:r>
    </w:p>
    <w:p w:rsidR="00B25D31" w:rsidRDefault="0000190D" w:rsidP="00B56F27">
      <w:pPr>
        <w:pStyle w:val="NormalParaAR"/>
        <w:ind w:left="567"/>
        <w:rPr>
          <w:rtl/>
          <w:lang w:bidi="ar-EG"/>
        </w:rPr>
      </w:pPr>
      <w:r w:rsidRPr="00B25D31">
        <w:rPr>
          <w:rtl/>
          <w:lang w:bidi="ar-EG"/>
        </w:rPr>
        <w:t>"(ب)</w:t>
      </w:r>
      <w:r w:rsidR="00B56F27">
        <w:rPr>
          <w:rFonts w:hint="cs"/>
          <w:rtl/>
          <w:lang w:bidi="ar-EG"/>
        </w:rPr>
        <w:tab/>
      </w:r>
      <w:r w:rsidRPr="00B25D31">
        <w:rPr>
          <w:rtl/>
          <w:lang w:bidi="ar-EG"/>
        </w:rPr>
        <w:t>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 كافيا.</w:t>
      </w:r>
      <w:r w:rsidR="00B25D31">
        <w:rPr>
          <w:rFonts w:hint="cs"/>
          <w:rtl/>
          <w:lang w:bidi="ar-EG"/>
        </w:rPr>
        <w:t xml:space="preserve"> </w:t>
      </w:r>
      <w:r w:rsidRPr="00B25D31">
        <w:rPr>
          <w:rtl/>
          <w:lang w:bidi="ar-EG"/>
        </w:rPr>
        <w:t xml:space="preserve">وينبغي للجنة التعاون التقني </w:t>
      </w:r>
      <w:r w:rsidRPr="00B25D31">
        <w:rPr>
          <w:rtl/>
          <w:lang w:bidi="ar-EG"/>
        </w:rPr>
        <w:lastRenderedPageBreak/>
        <w:t>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 إلى جمعية معاهدة البراءات.</w:t>
      </w:r>
    </w:p>
    <w:p w:rsidR="00B25D31" w:rsidRDefault="0000190D" w:rsidP="00B56F27">
      <w:pPr>
        <w:pStyle w:val="NormalParaAR"/>
        <w:ind w:left="567"/>
        <w:rPr>
          <w:rtl/>
          <w:lang w:bidi="ar-EG"/>
        </w:rPr>
      </w:pPr>
      <w:r w:rsidRPr="00B25D31">
        <w:rPr>
          <w:rtl/>
          <w:lang w:bidi="ar-EG"/>
        </w:rPr>
        <w:t>‏"(ج)</w:t>
      </w:r>
      <w:r w:rsidR="00B56F27">
        <w:rPr>
          <w:rFonts w:hint="cs"/>
          <w:rtl/>
          <w:lang w:bidi="ar-EG"/>
        </w:rPr>
        <w:tab/>
      </w:r>
      <w:r w:rsidRPr="00B25D31">
        <w:rPr>
          <w:rtl/>
          <w:lang w:bidi="ar-EG"/>
        </w:rPr>
        <w:t>وعليه،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CD004B" w:rsidRDefault="0000190D" w:rsidP="00CD004B">
      <w:pPr>
        <w:pStyle w:val="NormalParaAR"/>
        <w:ind w:left="567"/>
        <w:rPr>
          <w:rtl/>
          <w:lang w:bidi="ar-EG"/>
        </w:rPr>
      </w:pPr>
      <w:r w:rsidRPr="00B25D31">
        <w:rPr>
          <w:rtl/>
          <w:lang w:bidi="ar-EG"/>
        </w:rPr>
        <w:t>"(د) 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sidR="00B25D31">
        <w:rPr>
          <w:rFonts w:hint="cs"/>
          <w:rtl/>
          <w:lang w:bidi="ar-EG"/>
        </w:rPr>
        <w:t xml:space="preserve"> </w:t>
      </w:r>
      <w:r w:rsidRPr="00B25D31">
        <w:rPr>
          <w:rtl/>
          <w:lang w:bidi="ar-EG"/>
        </w:rPr>
        <w:t>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B25D31" w:rsidRPr="00CD004B" w:rsidRDefault="0000190D" w:rsidP="00CD004B">
      <w:pPr>
        <w:pStyle w:val="NormalParaAR"/>
        <w:ind w:left="567"/>
        <w:rPr>
          <w:rtl/>
        </w:rPr>
      </w:pPr>
      <w:r w:rsidRPr="00CD004B">
        <w:rPr>
          <w:rtl/>
        </w:rPr>
        <w:t xml:space="preserve">"(ه) </w:t>
      </w:r>
      <w:r w:rsidRPr="00CD004B">
        <w:rPr>
          <w:strike/>
          <w:color w:val="FF0000"/>
          <w:rtl/>
        </w:rPr>
        <w:t>وينبغي أن يحيل المكتب جميع الوثائق الداعمة لطلبه</w:t>
      </w:r>
      <w:r w:rsidR="00CD004B">
        <w:rPr>
          <w:rFonts w:hint="cs"/>
          <w:strike/>
          <w:color w:val="FF0000"/>
          <w:rtl/>
        </w:rPr>
        <w:t xml:space="preserve"> </w:t>
      </w:r>
      <w:r w:rsidRPr="00CD004B">
        <w:rPr>
          <w:rStyle w:val="Hyperlink"/>
          <w:rtl/>
        </w:rPr>
        <w:t xml:space="preserve">تُحال استمارة الطلب المستوفاة </w:t>
      </w:r>
      <w:r w:rsidRPr="00CD004B">
        <w:rPr>
          <w:rtl/>
        </w:rPr>
        <w:t xml:space="preserve">والمقدمة إلى لجنة التعاون التقني لتنظر فيها إلى المدير العام قبل شهرين على الأقل من افتتاح دورة لجنة التعاون التقني، </w:t>
      </w:r>
      <w:r w:rsidRPr="00CD004B">
        <w:rPr>
          <w:rStyle w:val="Hyperlink"/>
          <w:rtl/>
        </w:rPr>
        <w:t xml:space="preserve">باستخدام الاستمارة المعيارية </w:t>
      </w:r>
      <w:r w:rsidR="00484105" w:rsidRPr="00CD004B">
        <w:rPr>
          <w:rStyle w:val="Hyperlink"/>
          <w:rFonts w:hint="cs"/>
          <w:rtl/>
        </w:rPr>
        <w:t xml:space="preserve">التي أتاحتها لجنة التعاون الفني لهذا الغرض. </w:t>
      </w:r>
      <w:r w:rsidRPr="00CD004B">
        <w:rPr>
          <w:rStyle w:val="Hyperlink"/>
          <w:rtl/>
        </w:rPr>
        <w:t>وينبغي أن يتضمن الطلب كل المعلومات الإلزامية المحددة في ملاحظات الاستمارة.</w:t>
      </w:r>
      <w:r w:rsidR="00484105" w:rsidRPr="00CD004B">
        <w:rPr>
          <w:rStyle w:val="Hyperlink"/>
          <w:rFonts w:hint="cs"/>
          <w:rtl/>
        </w:rPr>
        <w:t xml:space="preserve"> </w:t>
      </w:r>
      <w:r w:rsidRPr="00CD004B">
        <w:rPr>
          <w:rStyle w:val="Hyperlink"/>
          <w:rtl/>
        </w:rPr>
        <w:t>ومتى كان سؤال في الاستمارة غير وجيه للطلب المعني، تعيَّن على المكتب تغييره، عند الاقتضاء، بسؤال بديل يؤدي الغرض نفسه.</w:t>
      </w:r>
    </w:p>
    <w:p w:rsidR="00B25D31" w:rsidRDefault="0000190D" w:rsidP="00B25D31">
      <w:pPr>
        <w:pStyle w:val="NormalParaAR"/>
        <w:ind w:left="567"/>
        <w:rPr>
          <w:rtl/>
          <w:lang w:bidi="ar-EG"/>
        </w:rPr>
      </w:pPr>
      <w:r w:rsidRPr="00CD004B">
        <w:rPr>
          <w:rtl/>
          <w:lang w:bidi="ar-EG"/>
        </w:rPr>
        <w:t xml:space="preserve">"(و) </w:t>
      </w:r>
      <w:r w:rsidRPr="00B25D31">
        <w:rPr>
          <w:rtl/>
          <w:lang w:bidi="ar-EG"/>
        </w:rPr>
        <w:t>وينبغي أن يُحال بعد ذلك أي طلب من هذا القبيل إلى جمعية معاهدة البراءات (التي تنعقد عادةً في شهر سبتمبر/أكتوبر تقريباً من كل عام)، إلى جانب أي مشورة تصدر عن لجنة التعاون التقني، بهدف البت في الطلب."</w:t>
      </w:r>
    </w:p>
    <w:p w:rsidR="00B25D31" w:rsidRDefault="000F5CA9" w:rsidP="00B25D31">
      <w:pPr>
        <w:pStyle w:val="ONUMA"/>
        <w:rPr>
          <w:rtl/>
        </w:rPr>
      </w:pPr>
      <w:r w:rsidRPr="000F5CA9">
        <w:rPr>
          <w:rtl/>
        </w:rPr>
        <w:t>وبناء عليه، يُقترح أن تعتمد الجمعية القرار التالي</w:t>
      </w:r>
      <w:r w:rsidR="00E91DD1">
        <w:rPr>
          <w:rFonts w:hint="cs"/>
          <w:rtl/>
        </w:rPr>
        <w:t>:</w:t>
      </w:r>
    </w:p>
    <w:p w:rsidR="00B25D31" w:rsidRDefault="00E91DD1" w:rsidP="00B56F27">
      <w:pPr>
        <w:pStyle w:val="BodyText"/>
        <w:ind w:left="566"/>
        <w:rPr>
          <w:rtl/>
        </w:rPr>
      </w:pPr>
      <w:r>
        <w:rPr>
          <w:rFonts w:hint="cs"/>
          <w:rtl/>
        </w:rPr>
        <w:t>"يعدل التفاهم الذي اعتمدته جمعية معاهدة التعاون بشأن البراءات في دورتها السادسة والأربعين، المنعقدة في جنيف من 22 إلى 30 سبتمبر، والمتعلق بإجراءات تعيين الإدارات الدولية، ويستعاض عن الفقرة (هـ) بما يلي:"</w:t>
      </w:r>
    </w:p>
    <w:p w:rsidR="00B25D31" w:rsidRDefault="00E91DD1" w:rsidP="00B25D31">
      <w:pPr>
        <w:pStyle w:val="NormalParaAR"/>
        <w:ind w:left="1134"/>
        <w:rPr>
          <w:rtl/>
        </w:rPr>
      </w:pPr>
      <w:r>
        <w:rPr>
          <w:rtl/>
        </w:rPr>
        <w:t xml:space="preserve">"(ه) وينبغي أن </w:t>
      </w:r>
      <w:r w:rsidRPr="00484105">
        <w:rPr>
          <w:rtl/>
        </w:rPr>
        <w:t xml:space="preserve">تُحال </w:t>
      </w:r>
      <w:r w:rsidRPr="00FF3431">
        <w:rPr>
          <w:rtl/>
        </w:rPr>
        <w:t xml:space="preserve">استمارة الطلب المستوفاة </w:t>
      </w:r>
      <w:r>
        <w:rPr>
          <w:rtl/>
        </w:rPr>
        <w:t xml:space="preserve">والمقدمة إلى لجنة التعاون التقني لتنظر فيها إلى المدير العام قبل شهرين على الأقل من افتتاح دورة لجنة التعاون التقني، </w:t>
      </w:r>
      <w:r w:rsidRPr="00FF3431">
        <w:rPr>
          <w:rtl/>
        </w:rPr>
        <w:t xml:space="preserve">باستخدام الاستمارة المعيارية </w:t>
      </w:r>
      <w:r w:rsidRPr="00FF3431">
        <w:rPr>
          <w:rFonts w:hint="cs"/>
          <w:rtl/>
        </w:rPr>
        <w:t xml:space="preserve">التي أتاحتها لجنة التعاون الفني لهذا الغرض. </w:t>
      </w:r>
      <w:r w:rsidRPr="00FF3431">
        <w:rPr>
          <w:rtl/>
        </w:rPr>
        <w:t xml:space="preserve">وينبغي أن يتضمن الطلب </w:t>
      </w:r>
      <w:r w:rsidRPr="00FF3431">
        <w:rPr>
          <w:rFonts w:hint="cs"/>
          <w:rtl/>
        </w:rPr>
        <w:t xml:space="preserve">على الأقل </w:t>
      </w:r>
      <w:r w:rsidRPr="00FF3431">
        <w:rPr>
          <w:rtl/>
        </w:rPr>
        <w:t>المعلومات الإلزامية المحددة في ملاحظات الاستمارة.</w:t>
      </w:r>
      <w:r w:rsidRPr="00FF3431">
        <w:rPr>
          <w:rFonts w:hint="cs"/>
          <w:rtl/>
        </w:rPr>
        <w:t xml:space="preserve"> </w:t>
      </w:r>
      <w:r w:rsidRPr="00FF3431">
        <w:rPr>
          <w:rtl/>
        </w:rPr>
        <w:t>ومتى كان سؤال في الاستمارة غير وجيه للطلب المعني، تعيَّن على المكتب تغييره، عند الاقتضاء، بسؤال بديل يؤدي الغرض نفسه.</w:t>
      </w:r>
      <w:r w:rsidR="00FF3431">
        <w:rPr>
          <w:rFonts w:hint="cs"/>
          <w:rtl/>
        </w:rPr>
        <w:t>"</w:t>
      </w:r>
    </w:p>
    <w:p w:rsidR="00B25D31" w:rsidRDefault="00CC1F81" w:rsidP="00B25D31">
      <w:pPr>
        <w:pStyle w:val="NormalParaAR"/>
        <w:ind w:left="567"/>
        <w:rPr>
          <w:rtl/>
        </w:rPr>
      </w:pPr>
      <w:r>
        <w:rPr>
          <w:rFonts w:hint="cs"/>
          <w:rtl/>
        </w:rPr>
        <w:t xml:space="preserve">"وسترد الاستمارة الأولية المعدة للغرض في مرفق الوثيقة </w:t>
      </w:r>
      <w:r w:rsidRPr="00CC1F81">
        <w:t>PCT/A/50/3</w:t>
      </w:r>
      <w:r>
        <w:rPr>
          <w:rFonts w:hint="cs"/>
          <w:rtl/>
        </w:rPr>
        <w:t>. ويجوز للمدير العام تعديل هذه الاستمارة بعد التشاور مع الدول المتعاقدة و</w:t>
      </w:r>
      <w:r w:rsidR="00B25D31">
        <w:rPr>
          <w:rFonts w:hint="cs"/>
          <w:rtl/>
        </w:rPr>
        <w:t>إ</w:t>
      </w:r>
      <w:r>
        <w:rPr>
          <w:rFonts w:hint="cs"/>
          <w:rtl/>
        </w:rPr>
        <w:t>دارات البحث الدولي وإدارات الفحص التمهيدي الدولي، الأعضاء في لجنة التعاون الفني لمعاهدة التعاون بشأن البراءات."</w:t>
      </w:r>
    </w:p>
    <w:p w:rsidR="00CC1F81" w:rsidRDefault="00CC1F81" w:rsidP="00B25D31">
      <w:pPr>
        <w:pStyle w:val="NormalParaAR"/>
        <w:ind w:left="567"/>
      </w:pPr>
      <w:r>
        <w:rPr>
          <w:rFonts w:hint="cs"/>
          <w:rtl/>
        </w:rPr>
        <w:t xml:space="preserve">"وتطبق إجراءات التعيين الجديدة في حال تعديلها، على كل طلبات التعيين كإدارة </w:t>
      </w:r>
      <w:r w:rsidR="0032169E">
        <w:rPr>
          <w:rFonts w:hint="cs"/>
          <w:rtl/>
        </w:rPr>
        <w:t>للبحث الدولي، التي تحال بعد اختتام الدورة الحالية لجمعية معاهدة التعاون بشأن البراءات.</w:t>
      </w:r>
    </w:p>
    <w:p w:rsidR="0000190D" w:rsidRDefault="000F5CA9" w:rsidP="007E2693">
      <w:pPr>
        <w:pStyle w:val="Decision"/>
      </w:pPr>
      <w:r w:rsidRPr="000F5CA9">
        <w:rPr>
          <w:rtl/>
        </w:rPr>
        <w:lastRenderedPageBreak/>
        <w:t xml:space="preserve"> </w:t>
      </w:r>
      <w:r w:rsidR="006118A2">
        <w:rPr>
          <w:rFonts w:hint="cs"/>
          <w:rtl/>
        </w:rPr>
        <w:t xml:space="preserve">إن جمعية اتحاد معاهدة التعاون بشأن البراءات مدعوة إلى اعتماد القرار المقترح الواردة في الفقرة 10 من الوثيقة </w:t>
      </w:r>
      <w:r w:rsidR="006118A2" w:rsidRPr="006118A2">
        <w:t>PCT/A/50/3</w:t>
      </w:r>
      <w:r w:rsidR="006118A2">
        <w:rPr>
          <w:rFonts w:hint="cs"/>
          <w:rtl/>
        </w:rPr>
        <w:t xml:space="preserve">، المتعلق بإحداث استمارة طلب تعيين </w:t>
      </w:r>
      <w:r w:rsidR="007E2693">
        <w:rPr>
          <w:rFonts w:hint="cs"/>
          <w:rtl/>
        </w:rPr>
        <w:t xml:space="preserve">مكتب أو منظمة حكومية دولية كإدارة للبحث الدولي أو كإدارة للفحص التمهيدي </w:t>
      </w:r>
      <w:r w:rsidR="00106839">
        <w:rPr>
          <w:rFonts w:hint="cs"/>
          <w:rtl/>
        </w:rPr>
        <w:t xml:space="preserve">في إطار </w:t>
      </w:r>
      <w:r w:rsidR="007E2693">
        <w:rPr>
          <w:rFonts w:hint="cs"/>
          <w:rtl/>
        </w:rPr>
        <w:t>معاهدة التعاون بشأن البراءات.</w:t>
      </w:r>
    </w:p>
    <w:p w:rsidR="00EC02F6" w:rsidRDefault="007E2693" w:rsidP="00EC02F6">
      <w:pPr>
        <w:pStyle w:val="Endofdocument-Annex"/>
        <w:rPr>
          <w:rtl/>
        </w:rPr>
        <w:sectPr w:rsidR="00EC02F6"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FB00C4" w:rsidRPr="00B56F27" w:rsidRDefault="00CC3B62" w:rsidP="00B56F27">
      <w:pPr>
        <w:pStyle w:val="Heading2"/>
        <w:jc w:val="center"/>
        <w:rPr>
          <w:b w:val="0"/>
          <w:bCs w:val="0"/>
          <w:rtl/>
          <w:lang w:bidi="ar-EG"/>
        </w:rPr>
      </w:pPr>
      <w:bookmarkStart w:id="5" w:name="_Hlk519672935"/>
      <w:r w:rsidRPr="00B56F27">
        <w:rPr>
          <w:b w:val="0"/>
          <w:bCs w:val="0"/>
          <w:rtl/>
          <w:lang w:bidi="ar-EG"/>
        </w:rPr>
        <w:lastRenderedPageBreak/>
        <w:t>مشروع استمارة</w:t>
      </w:r>
    </w:p>
    <w:p w:rsidR="003D50DD" w:rsidRPr="00B56F27" w:rsidRDefault="00B70A25" w:rsidP="00B56F27">
      <w:pPr>
        <w:pStyle w:val="Heading2"/>
        <w:jc w:val="center"/>
        <w:rPr>
          <w:rtl/>
        </w:rPr>
      </w:pPr>
      <w:r w:rsidRPr="00B56F27">
        <w:rPr>
          <w:rFonts w:hint="cs"/>
          <w:rtl/>
        </w:rPr>
        <w:t>استمارة</w:t>
      </w:r>
      <w:r w:rsidR="003D50DD" w:rsidRPr="00B56F27">
        <w:rPr>
          <w:rtl/>
        </w:rPr>
        <w:t xml:space="preserve"> طلب التعيين كإدارة للبحث الدولي</w:t>
      </w:r>
    </w:p>
    <w:p w:rsidR="003D50DD" w:rsidRPr="00B56F27" w:rsidRDefault="003D50DD" w:rsidP="00B56F27">
      <w:pPr>
        <w:pStyle w:val="Heading2"/>
        <w:jc w:val="center"/>
        <w:rPr>
          <w:rtl/>
          <w:lang w:bidi="ar-EG"/>
        </w:rPr>
      </w:pPr>
      <w:r w:rsidRPr="00B56F27">
        <w:rPr>
          <w:rtl/>
        </w:rPr>
        <w:t>وإدارة للفحص التمهيدي الدولي في إطار معاهدة التعاون بشأن البراءات</w:t>
      </w:r>
    </w:p>
    <w:p w:rsidR="003D50DD" w:rsidRPr="003D50DD" w:rsidRDefault="003D50DD" w:rsidP="00B56F27">
      <w:pPr>
        <w:keepNext/>
        <w:pBdr>
          <w:top w:val="single" w:sz="4" w:space="1" w:color="auto"/>
        </w:pBdr>
        <w:spacing w:before="120" w:after="120"/>
        <w:outlineLvl w:val="1"/>
        <w:rPr>
          <w:rFonts w:eastAsia="SimSun"/>
          <w:bCs/>
          <w:caps/>
          <w:kern w:val="32"/>
          <w:lang w:eastAsia="zh-CN" w:bidi="ar-EG"/>
        </w:rPr>
      </w:pPr>
      <w:r w:rsidRPr="003D50DD">
        <w:rPr>
          <w:rFonts w:eastAsia="SimSun"/>
          <w:bCs/>
          <w:caps/>
          <w:kern w:val="32"/>
          <w:rtl/>
          <w:lang w:eastAsia="zh-CN" w:bidi="ar-EG"/>
        </w:rPr>
        <w:t>1 - معلومات عامة</w:t>
      </w:r>
    </w:p>
    <w:p w:rsidR="003D50DD" w:rsidRPr="00B56F27" w:rsidRDefault="003D50DD" w:rsidP="00B56F27">
      <w:pPr>
        <w:pStyle w:val="indent1"/>
        <w:rPr>
          <w:b/>
          <w:bCs/>
        </w:rPr>
      </w:pPr>
      <w:r w:rsidRPr="00B56F27">
        <w:rPr>
          <w:b/>
          <w:bCs/>
          <w:rtl/>
        </w:rPr>
        <w:t>اسم المكتب أو المنظمة الحكومية الدولية:</w:t>
      </w:r>
    </w:p>
    <w:p w:rsidR="00CC3B62" w:rsidRPr="00B56F27" w:rsidRDefault="003D50DD" w:rsidP="00B56F27">
      <w:pPr>
        <w:pStyle w:val="indent1"/>
        <w:rPr>
          <w:b/>
          <w:bCs/>
          <w:rtl/>
        </w:rPr>
      </w:pPr>
      <w:r w:rsidRPr="00B56F27">
        <w:rPr>
          <w:b/>
          <w:bCs/>
          <w:rtl/>
        </w:rPr>
        <w:t>التاريخ الذي تسلم فيه المدير العام طلب التعيين:</w:t>
      </w:r>
      <w:r w:rsidRPr="00B56F27">
        <w:rPr>
          <w:b/>
          <w:bCs/>
        </w:rPr>
        <w:t xml:space="preserve"> </w:t>
      </w:r>
    </w:p>
    <w:p w:rsidR="003D50DD" w:rsidRPr="003D50DD" w:rsidRDefault="003D50DD" w:rsidP="00CC3B62">
      <w:pPr>
        <w:spacing w:after="240" w:line="360" w:lineRule="exact"/>
        <w:ind w:firstLine="567"/>
        <w:rPr>
          <w:bCs/>
          <w:i/>
          <w:iCs/>
          <w:lang w:bidi="ar-EG"/>
        </w:rPr>
      </w:pPr>
      <w:r w:rsidRPr="003D50DD">
        <w:rPr>
          <w:b/>
          <w:i/>
          <w:iCs/>
          <w:rtl/>
          <w:lang w:bidi="ar-EG"/>
        </w:rPr>
        <w:t>[</w:t>
      </w:r>
      <w:r w:rsidRPr="003D50DD">
        <w:rPr>
          <w:rFonts w:hint="cs"/>
          <w:b/>
          <w:i/>
          <w:iCs/>
          <w:rtl/>
          <w:lang w:bidi="ar-EG"/>
        </w:rPr>
        <w:t>يملأه</w:t>
      </w:r>
      <w:r w:rsidRPr="003D50DD">
        <w:rPr>
          <w:b/>
          <w:i/>
          <w:iCs/>
          <w:rtl/>
          <w:lang w:bidi="ar-EG"/>
        </w:rPr>
        <w:t xml:space="preserve"> المكتب الدولي]</w:t>
      </w:r>
    </w:p>
    <w:p w:rsidR="003D50DD" w:rsidRPr="00F55FE7" w:rsidRDefault="003D50DD" w:rsidP="00B56F27">
      <w:pPr>
        <w:pStyle w:val="indent1"/>
        <w:rPr>
          <w:bCs/>
        </w:rPr>
      </w:pPr>
      <w:r w:rsidRPr="00F55FE7">
        <w:rPr>
          <w:bCs/>
          <w:rtl/>
        </w:rPr>
        <w:t>دورة الجمعية التي ي</w:t>
      </w:r>
      <w:r w:rsidRPr="00F55FE7">
        <w:rPr>
          <w:rFonts w:hint="cs"/>
          <w:bCs/>
          <w:rtl/>
        </w:rPr>
        <w:t>ُ</w:t>
      </w:r>
      <w:r w:rsidRPr="00F55FE7">
        <w:rPr>
          <w:bCs/>
          <w:rtl/>
        </w:rPr>
        <w:t>طلب فيها التعيين:</w:t>
      </w:r>
    </w:p>
    <w:p w:rsidR="003D50DD" w:rsidRPr="00B56F27" w:rsidRDefault="003D50DD" w:rsidP="00B56F27">
      <w:pPr>
        <w:pStyle w:val="indent1"/>
        <w:rPr>
          <w:b/>
          <w:bCs/>
        </w:rPr>
      </w:pPr>
      <w:r w:rsidRPr="00B56F27">
        <w:rPr>
          <w:b/>
          <w:bCs/>
          <w:rtl/>
        </w:rPr>
        <w:t>التاريخ الذي من المتوقع بدء العمل فيه كإدارة للبحث</w:t>
      </w:r>
      <w:r w:rsidRPr="00B56F27">
        <w:rPr>
          <w:rFonts w:hint="cs"/>
          <w:b/>
          <w:bCs/>
          <w:rtl/>
        </w:rPr>
        <w:t xml:space="preserve"> الدولي</w:t>
      </w:r>
      <w:r w:rsidRPr="00B56F27">
        <w:rPr>
          <w:b/>
          <w:bCs/>
          <w:rtl/>
        </w:rPr>
        <w:t xml:space="preserve"> والفحص</w:t>
      </w:r>
      <w:r w:rsidRPr="00B56F27">
        <w:rPr>
          <w:rFonts w:hint="cs"/>
          <w:b/>
          <w:bCs/>
          <w:rtl/>
        </w:rPr>
        <w:t xml:space="preserve"> التمهيدي الدولي:</w:t>
      </w:r>
    </w:p>
    <w:p w:rsidR="003D50DD" w:rsidRPr="00B56F27" w:rsidRDefault="003D50DD" w:rsidP="00B56F27">
      <w:pPr>
        <w:pStyle w:val="indent1"/>
        <w:rPr>
          <w:b/>
          <w:bCs/>
          <w:rtl/>
        </w:rPr>
      </w:pPr>
      <w:r w:rsidRPr="00B56F27">
        <w:rPr>
          <w:b/>
          <w:bCs/>
          <w:rtl/>
        </w:rPr>
        <w:t>إدارات البحث</w:t>
      </w:r>
      <w:r w:rsidRPr="00B56F27">
        <w:rPr>
          <w:rFonts w:hint="cs"/>
          <w:b/>
          <w:bCs/>
          <w:rtl/>
        </w:rPr>
        <w:t xml:space="preserve"> الدولي</w:t>
      </w:r>
      <w:r w:rsidRPr="00B56F27">
        <w:rPr>
          <w:b/>
          <w:bCs/>
          <w:rtl/>
        </w:rPr>
        <w:t xml:space="preserve"> والفحص </w:t>
      </w:r>
      <w:r w:rsidRPr="00B56F27">
        <w:rPr>
          <w:rFonts w:hint="cs"/>
          <w:b/>
          <w:bCs/>
          <w:rtl/>
        </w:rPr>
        <w:t xml:space="preserve">التمهيدي الدولي </w:t>
      </w:r>
      <w:r w:rsidRPr="00B56F27">
        <w:rPr>
          <w:b/>
          <w:bCs/>
          <w:rtl/>
        </w:rPr>
        <w:t>التي تساعد في تقييم مدى استيفاء المعايير</w:t>
      </w:r>
      <w:r w:rsidRPr="00B56F27">
        <w:rPr>
          <w:rFonts w:hint="cs"/>
          <w:b/>
          <w:bCs/>
          <w:rtl/>
        </w:rPr>
        <w:t>:</w:t>
      </w:r>
    </w:p>
    <w:p w:rsidR="003D50DD" w:rsidRPr="003D50DD" w:rsidRDefault="003D50DD" w:rsidP="00F55FE7">
      <w:pPr>
        <w:keepNext/>
        <w:pBdr>
          <w:top w:val="single" w:sz="4" w:space="1" w:color="auto"/>
        </w:pBdr>
        <w:spacing w:before="120" w:after="120"/>
        <w:outlineLvl w:val="1"/>
        <w:rPr>
          <w:rFonts w:eastAsia="SimSun"/>
          <w:bCs/>
          <w:caps/>
          <w:kern w:val="32"/>
          <w:lang w:eastAsia="zh-CN" w:bidi="ar-EG"/>
        </w:rPr>
      </w:pPr>
      <w:r w:rsidRPr="003D50DD">
        <w:rPr>
          <w:rFonts w:eastAsia="SimSun"/>
          <w:bCs/>
          <w:caps/>
          <w:kern w:val="32"/>
          <w:rtl/>
          <w:lang w:eastAsia="zh-CN" w:bidi="ar-EG"/>
        </w:rPr>
        <w:t>2 - المعايير الموضوعية: متطلبات التعيين</w:t>
      </w:r>
      <w:r w:rsidRPr="003D50DD">
        <w:rPr>
          <w:rFonts w:eastAsia="SimSun" w:hint="cs"/>
          <w:bCs/>
          <w:caps/>
          <w:kern w:val="32"/>
          <w:rtl/>
          <w:lang w:eastAsia="zh-CN" w:bidi="ar-EG"/>
        </w:rPr>
        <w:t xml:space="preserve"> الدنيا</w:t>
      </w:r>
    </w:p>
    <w:p w:rsidR="003D50DD" w:rsidRPr="003D50DD" w:rsidRDefault="003D50DD" w:rsidP="00F55FE7">
      <w:pPr>
        <w:keepNext/>
        <w:spacing w:before="120" w:after="120"/>
        <w:outlineLvl w:val="2"/>
        <w:rPr>
          <w:rFonts w:eastAsia="SimSun"/>
          <w:bCs/>
          <w:caps/>
          <w:kern w:val="32"/>
          <w:lang w:eastAsia="zh-CN" w:bidi="ar-EG"/>
        </w:rPr>
      </w:pPr>
      <w:r w:rsidRPr="003D50DD">
        <w:rPr>
          <w:rFonts w:eastAsia="SimSun"/>
          <w:bCs/>
          <w:caps/>
          <w:kern w:val="32"/>
          <w:rtl/>
          <w:lang w:eastAsia="zh-CN" w:bidi="ar-EG"/>
        </w:rPr>
        <w:t>1.2</w:t>
      </w:r>
      <w:r w:rsidRPr="003D50DD">
        <w:rPr>
          <w:rFonts w:eastAsia="SimSun" w:hint="cs"/>
          <w:bCs/>
          <w:caps/>
          <w:kern w:val="32"/>
          <w:rtl/>
          <w:lang w:eastAsia="zh-CN" w:bidi="ar-EG"/>
        </w:rPr>
        <w:t xml:space="preserve"> </w:t>
      </w:r>
      <w:r w:rsidRPr="003D50DD">
        <w:rPr>
          <w:rFonts w:eastAsia="SimSun"/>
          <w:bCs/>
          <w:caps/>
          <w:kern w:val="32"/>
          <w:rtl/>
          <w:lang w:eastAsia="zh-CN" w:bidi="ar-EG"/>
        </w:rPr>
        <w:t xml:space="preserve">- </w:t>
      </w:r>
      <w:r w:rsidR="00E357BE">
        <w:rPr>
          <w:rFonts w:eastAsia="SimSun" w:hint="cs"/>
          <w:bCs/>
          <w:caps/>
          <w:kern w:val="32"/>
          <w:rtl/>
          <w:lang w:val="fr-FR" w:eastAsia="zh-CN" w:bidi="ar-JO"/>
        </w:rPr>
        <w:t xml:space="preserve">الكفاءات في مجال </w:t>
      </w:r>
      <w:r w:rsidRPr="003D50DD">
        <w:rPr>
          <w:rFonts w:eastAsia="SimSun"/>
          <w:bCs/>
          <w:caps/>
          <w:kern w:val="32"/>
          <w:rtl/>
          <w:lang w:eastAsia="zh-CN" w:bidi="ar-EG"/>
        </w:rPr>
        <w:t>البحث والفحص</w:t>
      </w:r>
    </w:p>
    <w:p w:rsidR="003D50DD" w:rsidRPr="00CC3B62" w:rsidRDefault="003D50DD" w:rsidP="00CC3B62">
      <w:pPr>
        <w:spacing w:after="240" w:line="360" w:lineRule="exact"/>
        <w:ind w:left="567"/>
        <w:rPr>
          <w:i/>
          <w:iCs/>
          <w:spacing w:val="-1"/>
        </w:rPr>
      </w:pPr>
      <w:r w:rsidRPr="00CC3B62">
        <w:rPr>
          <w:i/>
          <w:iCs/>
          <w:spacing w:val="-1"/>
          <w:rtl/>
          <w:lang w:bidi="ar-EG"/>
        </w:rPr>
        <w:t>تنص القاعدتان 1.36"1" و1.63"1"، على أنه:</w:t>
      </w:r>
      <w:r w:rsidRPr="00CC3B62">
        <w:rPr>
          <w:i/>
          <w:iCs/>
          <w:spacing w:val="-1"/>
          <w:rtl/>
        </w:rPr>
        <w:t xml:space="preserve"> </w:t>
      </w:r>
      <w:r w:rsidRPr="00CC3B62">
        <w:rPr>
          <w:i/>
          <w:iCs/>
          <w:spacing w:val="-1"/>
          <w:rtl/>
          <w:lang w:bidi="ar-EG"/>
        </w:rPr>
        <w:t xml:space="preserve">يجب أن يضم المكتب الوطني أو المنظمة الحكومية الدولية مائة </w:t>
      </w:r>
      <w:r w:rsidR="00CC3B62">
        <w:rPr>
          <w:rFonts w:hint="cs"/>
          <w:i/>
          <w:iCs/>
          <w:spacing w:val="-1"/>
          <w:rtl/>
          <w:lang w:bidi="ar-EG"/>
        </w:rPr>
        <w:t xml:space="preserve">موظف </w:t>
      </w:r>
      <w:r w:rsidRPr="00CC3B62">
        <w:rPr>
          <w:i/>
          <w:iCs/>
          <w:spacing w:val="-1"/>
          <w:rtl/>
          <w:lang w:bidi="ar-EG"/>
        </w:rPr>
        <w:t>على الأقل يشتغلون طوال ساعات الدوام العادية، ويملكون المؤهلات التقنية اللازمة لإجراء البحوث</w:t>
      </w:r>
      <w:r w:rsidRPr="00CC3B62">
        <w:rPr>
          <w:rFonts w:hint="cs"/>
          <w:i/>
          <w:iCs/>
          <w:spacing w:val="-1"/>
          <w:rtl/>
          <w:lang w:bidi="ar-EG"/>
        </w:rPr>
        <w:t xml:space="preserve"> والفحوص</w:t>
      </w:r>
      <w:r w:rsidRPr="00CC3B62">
        <w:rPr>
          <w:i/>
          <w:iCs/>
          <w:spacing w:val="-1"/>
          <w:rtl/>
          <w:lang w:bidi="ar-EG"/>
        </w:rPr>
        <w:t>.</w:t>
      </w:r>
    </w:p>
    <w:p w:rsidR="003D50DD" w:rsidRPr="00616460" w:rsidRDefault="003D50DD" w:rsidP="0072295C">
      <w:pPr>
        <w:pStyle w:val="indent1"/>
        <w:numPr>
          <w:ilvl w:val="0"/>
          <w:numId w:val="14"/>
        </w:numPr>
        <w:rPr>
          <w:b/>
          <w:bCs/>
        </w:rPr>
      </w:pPr>
      <w:r w:rsidRPr="00616460">
        <w:rPr>
          <w:b/>
          <w:bCs/>
          <w:rtl/>
        </w:rPr>
        <w:t>الموظفون المؤهلون لإجراء البحث والفحص:</w:t>
      </w:r>
    </w:p>
    <w:tbl>
      <w:tblPr>
        <w:bidiVisual/>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01"/>
        <w:gridCol w:w="2835"/>
        <w:gridCol w:w="2410"/>
      </w:tblGrid>
      <w:tr w:rsidR="003D50DD" w:rsidRPr="003D50DD" w:rsidTr="00C8116C">
        <w:trPr>
          <w:cantSplit/>
          <w:trHeight w:val="842"/>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after="60" w:line="360" w:lineRule="exact"/>
              <w:rPr>
                <w:b/>
                <w:bCs/>
                <w:sz w:val="32"/>
                <w:szCs w:val="32"/>
                <w:lang w:bidi="he-IL"/>
              </w:rPr>
            </w:pPr>
            <w:r w:rsidRPr="003D50DD">
              <w:rPr>
                <w:b/>
                <w:bCs/>
                <w:sz w:val="32"/>
                <w:szCs w:val="32"/>
                <w:rtl/>
              </w:rPr>
              <w:t>المجال التقني</w:t>
            </w:r>
          </w:p>
        </w:tc>
        <w:tc>
          <w:tcPr>
            <w:tcW w:w="1701"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after="60" w:line="360" w:lineRule="exact"/>
              <w:rPr>
                <w:b/>
                <w:bCs/>
                <w:sz w:val="32"/>
                <w:szCs w:val="32"/>
                <w:lang w:bidi="he-IL"/>
              </w:rPr>
            </w:pPr>
            <w:r w:rsidRPr="003D50DD">
              <w:rPr>
                <w:b/>
                <w:bCs/>
                <w:sz w:val="32"/>
                <w:szCs w:val="32"/>
                <w:rtl/>
              </w:rPr>
              <w:t>العدد (دوام كامل)</w:t>
            </w:r>
          </w:p>
        </w:tc>
        <w:tc>
          <w:tcPr>
            <w:tcW w:w="2835"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after="60" w:line="360" w:lineRule="exact"/>
              <w:rPr>
                <w:b/>
                <w:bCs/>
                <w:sz w:val="32"/>
                <w:szCs w:val="32"/>
                <w:lang w:bidi="he-IL"/>
              </w:rPr>
            </w:pPr>
            <w:r w:rsidRPr="003D50DD">
              <w:rPr>
                <w:b/>
                <w:bCs/>
                <w:sz w:val="32"/>
                <w:szCs w:val="32"/>
                <w:rtl/>
              </w:rPr>
              <w:t>متوسط خبرة كفاحص (بالسنوات)</w:t>
            </w:r>
          </w:p>
        </w:tc>
        <w:tc>
          <w:tcPr>
            <w:tcW w:w="2410"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after="60" w:line="360" w:lineRule="exact"/>
              <w:rPr>
                <w:b/>
                <w:bCs/>
                <w:sz w:val="32"/>
                <w:szCs w:val="32"/>
                <w:lang w:bidi="he-IL"/>
              </w:rPr>
            </w:pPr>
            <w:r w:rsidRPr="003D50DD">
              <w:rPr>
                <w:b/>
                <w:bCs/>
                <w:sz w:val="32"/>
                <w:szCs w:val="32"/>
                <w:rtl/>
              </w:rPr>
              <w:t>التوزيع بحسب المؤهلات</w:t>
            </w:r>
          </w:p>
        </w:tc>
      </w:tr>
      <w:tr w:rsidR="003D50DD" w:rsidRPr="003D50DD" w:rsidTr="00C8116C">
        <w:trPr>
          <w:cantSplit/>
          <w:trHeight w:val="122"/>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rPr>
                <w:sz w:val="32"/>
                <w:szCs w:val="32"/>
                <w:lang w:bidi="he-IL"/>
              </w:rPr>
            </w:pPr>
            <w:r w:rsidRPr="003D50DD">
              <w:rPr>
                <w:sz w:val="32"/>
                <w:szCs w:val="32"/>
                <w:rtl/>
              </w:rPr>
              <w:t>الميكانيكا</w:t>
            </w:r>
          </w:p>
        </w:tc>
        <w:tc>
          <w:tcPr>
            <w:tcW w:w="170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r>
      <w:tr w:rsidR="003D50DD" w:rsidRPr="003D50DD" w:rsidTr="00C8116C">
        <w:trPr>
          <w:cantSplit/>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rPr>
                <w:sz w:val="32"/>
                <w:szCs w:val="32"/>
                <w:lang w:bidi="he-IL"/>
              </w:rPr>
            </w:pPr>
            <w:r w:rsidRPr="003D50DD">
              <w:rPr>
                <w:sz w:val="32"/>
                <w:szCs w:val="32"/>
                <w:rtl/>
              </w:rPr>
              <w:t>الكهرباء/الإلكترونيات</w:t>
            </w:r>
          </w:p>
        </w:tc>
        <w:tc>
          <w:tcPr>
            <w:tcW w:w="170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r>
      <w:tr w:rsidR="003D50DD" w:rsidRPr="003D50DD" w:rsidTr="00C8116C">
        <w:trPr>
          <w:cantSplit/>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rPr>
                <w:sz w:val="32"/>
                <w:szCs w:val="32"/>
                <w:lang w:bidi="he-IL"/>
              </w:rPr>
            </w:pPr>
            <w:r w:rsidRPr="003D50DD">
              <w:rPr>
                <w:sz w:val="32"/>
                <w:szCs w:val="32"/>
                <w:rtl/>
              </w:rPr>
              <w:t>الكيمياء</w:t>
            </w:r>
          </w:p>
        </w:tc>
        <w:tc>
          <w:tcPr>
            <w:tcW w:w="170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r>
      <w:tr w:rsidR="003D50DD" w:rsidRPr="003D50DD" w:rsidTr="00C8116C">
        <w:trPr>
          <w:cantSplit/>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rPr>
                <w:sz w:val="32"/>
                <w:szCs w:val="32"/>
                <w:lang w:bidi="he-IL"/>
              </w:rPr>
            </w:pPr>
            <w:r w:rsidRPr="003D50DD">
              <w:rPr>
                <w:rFonts w:eastAsia="SimSun"/>
                <w:sz w:val="32"/>
                <w:szCs w:val="32"/>
                <w:rtl/>
                <w:lang w:val="en-GB" w:eastAsia="zh-CN"/>
              </w:rPr>
              <w:t>البيوتكنولوجيا</w:t>
            </w:r>
          </w:p>
        </w:tc>
        <w:tc>
          <w:tcPr>
            <w:tcW w:w="170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sz w:val="32"/>
                <w:szCs w:val="32"/>
                <w:lang w:bidi="he-IL"/>
              </w:rPr>
            </w:pPr>
          </w:p>
        </w:tc>
      </w:tr>
      <w:tr w:rsidR="003D50DD" w:rsidRPr="003D50DD" w:rsidTr="00C8116C">
        <w:trPr>
          <w:cantSplit/>
        </w:trPr>
        <w:tc>
          <w:tcPr>
            <w:tcW w:w="1808"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rPr>
                <w:i/>
                <w:iCs/>
                <w:sz w:val="32"/>
                <w:szCs w:val="32"/>
                <w:lang w:bidi="he-IL"/>
              </w:rPr>
            </w:pPr>
            <w:r w:rsidRPr="003D50DD">
              <w:rPr>
                <w:i/>
                <w:iCs/>
                <w:sz w:val="32"/>
                <w:szCs w:val="32"/>
                <w:rtl/>
              </w:rPr>
              <w:t>المجموع</w:t>
            </w:r>
          </w:p>
        </w:tc>
        <w:tc>
          <w:tcPr>
            <w:tcW w:w="170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i/>
                <w:iCs/>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i/>
                <w:iCs/>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rPr>
                <w:i/>
                <w:iCs/>
                <w:sz w:val="32"/>
                <w:szCs w:val="32"/>
                <w:lang w:bidi="he-IL"/>
              </w:rPr>
            </w:pPr>
          </w:p>
        </w:tc>
      </w:tr>
    </w:tbl>
    <w:p w:rsidR="003D50DD" w:rsidRPr="003D50DD" w:rsidRDefault="003D50DD" w:rsidP="0072295C">
      <w:pPr>
        <w:pStyle w:val="indent1"/>
        <w:numPr>
          <w:ilvl w:val="0"/>
          <w:numId w:val="14"/>
        </w:numPr>
        <w:rPr>
          <w:b/>
          <w:bCs/>
          <w:rtl/>
        </w:rPr>
      </w:pPr>
      <w:r w:rsidRPr="003D50DD">
        <w:rPr>
          <w:b/>
          <w:bCs/>
          <w:rtl/>
        </w:rPr>
        <w:t>برامج التدريب</w:t>
      </w:r>
    </w:p>
    <w:p w:rsidR="009B362B" w:rsidRPr="003D50DD" w:rsidRDefault="0072295C" w:rsidP="0072295C">
      <w:pPr>
        <w:keepNext/>
        <w:pBdr>
          <w:top w:val="single" w:sz="4" w:space="1" w:color="auto"/>
        </w:pBdr>
        <w:spacing w:before="120" w:after="120"/>
        <w:outlineLvl w:val="2"/>
        <w:rPr>
          <w:rFonts w:eastAsia="SimSun"/>
          <w:bCs/>
          <w:caps/>
          <w:kern w:val="32"/>
          <w:lang w:eastAsia="zh-CN" w:bidi="ar-EG"/>
        </w:rPr>
      </w:pPr>
      <w:r>
        <w:rPr>
          <w:rFonts w:eastAsia="SimSun" w:hint="cs"/>
          <w:bCs/>
          <w:caps/>
          <w:kern w:val="32"/>
          <w:rtl/>
          <w:lang w:eastAsia="zh-CN" w:bidi="ar-EG"/>
        </w:rPr>
        <w:lastRenderedPageBreak/>
        <w:t>2</w:t>
      </w:r>
      <w:r w:rsidR="009B362B" w:rsidRPr="003D50DD">
        <w:rPr>
          <w:rFonts w:eastAsia="SimSun"/>
          <w:bCs/>
          <w:caps/>
          <w:kern w:val="32"/>
          <w:rtl/>
          <w:lang w:eastAsia="zh-CN" w:bidi="ar-EG"/>
        </w:rPr>
        <w:t>.2</w:t>
      </w:r>
      <w:r w:rsidR="009B362B" w:rsidRPr="003D50DD">
        <w:rPr>
          <w:rFonts w:eastAsia="SimSun" w:hint="cs"/>
          <w:bCs/>
          <w:caps/>
          <w:kern w:val="32"/>
          <w:rtl/>
          <w:lang w:eastAsia="zh-CN" w:bidi="ar-EG"/>
        </w:rPr>
        <w:t xml:space="preserve"> </w:t>
      </w:r>
      <w:r w:rsidR="009B362B">
        <w:rPr>
          <w:rFonts w:eastAsia="SimSun"/>
          <w:bCs/>
          <w:caps/>
          <w:kern w:val="32"/>
          <w:rtl/>
          <w:lang w:eastAsia="zh-CN" w:bidi="ar-EG"/>
        </w:rPr>
        <w:t>–</w:t>
      </w:r>
      <w:r w:rsidR="009B362B" w:rsidRPr="003D50DD">
        <w:rPr>
          <w:rFonts w:eastAsia="SimSun"/>
          <w:bCs/>
          <w:caps/>
          <w:kern w:val="32"/>
          <w:rtl/>
          <w:lang w:eastAsia="zh-CN" w:bidi="ar-EG"/>
        </w:rPr>
        <w:t xml:space="preserve"> </w:t>
      </w:r>
      <w:r w:rsidR="009B362B">
        <w:rPr>
          <w:rFonts w:eastAsia="SimSun" w:hint="cs"/>
          <w:bCs/>
          <w:caps/>
          <w:kern w:val="32"/>
          <w:rtl/>
          <w:lang w:eastAsia="zh-CN" w:bidi="ar-EG"/>
        </w:rPr>
        <w:t>الحد الأدنى للوثائق</w:t>
      </w:r>
    </w:p>
    <w:p w:rsidR="003D50DD" w:rsidRPr="00CC3B62" w:rsidRDefault="003D50DD" w:rsidP="0072295C">
      <w:pPr>
        <w:keepNext/>
        <w:keepLines/>
        <w:spacing w:after="240" w:line="360" w:lineRule="exact"/>
        <w:ind w:left="567"/>
        <w:rPr>
          <w:i/>
          <w:iCs/>
          <w:rtl/>
          <w:lang w:val="en-GB"/>
        </w:rPr>
      </w:pPr>
      <w:r w:rsidRPr="00CC3B62">
        <w:rPr>
          <w:i/>
          <w:iCs/>
          <w:rtl/>
          <w:lang w:val="en-GB"/>
        </w:rPr>
        <w:t>تنص القاعدتان 1.36"2" و1.63"2"،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3D50DD" w:rsidRPr="0072295C" w:rsidRDefault="003D50DD" w:rsidP="0072295C">
      <w:pPr>
        <w:pStyle w:val="indent1"/>
        <w:numPr>
          <w:ilvl w:val="0"/>
          <w:numId w:val="15"/>
        </w:numPr>
        <w:rPr>
          <w:b/>
          <w:bCs/>
        </w:rPr>
      </w:pPr>
      <w:r w:rsidRPr="0072295C">
        <w:rPr>
          <w:b/>
          <w:bCs/>
          <w:rtl/>
        </w:rPr>
        <w:t>النفاذ إلى الحد الأدنى من الوثائق لأغراض البحث:</w:t>
      </w:r>
    </w:p>
    <w:p w:rsidR="003D50DD" w:rsidRPr="003D50DD" w:rsidRDefault="003D50DD" w:rsidP="0072295C">
      <w:pPr>
        <w:pStyle w:val="indent1"/>
        <w:numPr>
          <w:ilvl w:val="0"/>
          <w:numId w:val="14"/>
        </w:numPr>
        <w:rPr>
          <w:b/>
          <w:bCs/>
        </w:rPr>
      </w:pPr>
      <w:r w:rsidRPr="003D50DD">
        <w:rPr>
          <w:b/>
          <w:bCs/>
          <w:rtl/>
        </w:rPr>
        <w:t>أنظمة البحث</w:t>
      </w:r>
      <w:r w:rsidRPr="003D50DD">
        <w:rPr>
          <w:rFonts w:hint="cs"/>
          <w:b/>
          <w:bCs/>
          <w:rtl/>
        </w:rPr>
        <w:t>:</w:t>
      </w:r>
    </w:p>
    <w:p w:rsidR="00CC3B62" w:rsidRDefault="009B362B" w:rsidP="008A2173">
      <w:pPr>
        <w:keepNext/>
        <w:pBdr>
          <w:top w:val="single" w:sz="4" w:space="1" w:color="auto"/>
        </w:pBdr>
        <w:spacing w:before="120" w:after="120"/>
        <w:outlineLvl w:val="2"/>
        <w:rPr>
          <w:rFonts w:eastAsia="SimSun"/>
          <w:bCs/>
          <w:caps/>
          <w:kern w:val="32"/>
          <w:rtl/>
          <w:lang w:eastAsia="zh-CN" w:bidi="ar-EG"/>
        </w:rPr>
      </w:pPr>
      <w:r>
        <w:rPr>
          <w:rFonts w:eastAsia="SimSun" w:hint="cs"/>
          <w:bCs/>
          <w:caps/>
          <w:kern w:val="32"/>
          <w:rtl/>
          <w:lang w:eastAsia="zh-CN" w:bidi="ar-EG"/>
        </w:rPr>
        <w:t>3.2 - اللغات</w:t>
      </w:r>
    </w:p>
    <w:p w:rsidR="00CC3B62" w:rsidRDefault="009B362B" w:rsidP="008A2173">
      <w:pPr>
        <w:keepNext/>
        <w:keepLines/>
        <w:spacing w:after="240" w:line="360" w:lineRule="exact"/>
        <w:ind w:left="567"/>
        <w:rPr>
          <w:i/>
          <w:iCs/>
          <w:spacing w:val="-1"/>
          <w:rtl/>
          <w:lang w:bidi="ar-EG"/>
        </w:rPr>
      </w:pPr>
      <w:r w:rsidRPr="00CC3B62">
        <w:rPr>
          <w:i/>
          <w:iCs/>
          <w:spacing w:val="-1"/>
          <w:rtl/>
          <w:lang w:bidi="ar-EG"/>
        </w:rPr>
        <w:t xml:space="preserve">وتنص القاعدتان 1.36"3" و1.63"3"، </w:t>
      </w:r>
      <w:r w:rsidRPr="008A2173">
        <w:rPr>
          <w:i/>
          <w:iCs/>
          <w:rtl/>
          <w:lang w:val="en-GB"/>
        </w:rPr>
        <w:t>على</w:t>
      </w:r>
      <w:r w:rsidRPr="00CC3B62">
        <w:rPr>
          <w:i/>
          <w:iCs/>
          <w:spacing w:val="-1"/>
          <w:rtl/>
          <w:lang w:bidi="ar-EG"/>
        </w:rPr>
        <w:t xml:space="preserve"> أنه: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CC3B62" w:rsidRPr="00E141EE" w:rsidRDefault="003D50DD" w:rsidP="00E141EE">
      <w:pPr>
        <w:pStyle w:val="indent1"/>
        <w:numPr>
          <w:ilvl w:val="0"/>
          <w:numId w:val="17"/>
        </w:numPr>
        <w:rPr>
          <w:b/>
          <w:bCs/>
          <w:rtl/>
        </w:rPr>
      </w:pPr>
      <w:r w:rsidRPr="00E141EE">
        <w:rPr>
          <w:b/>
          <w:bCs/>
          <w:rtl/>
        </w:rPr>
        <w:t>اللغة</w:t>
      </w:r>
      <w:r w:rsidRPr="00E141EE">
        <w:rPr>
          <w:rFonts w:hint="cs"/>
          <w:b/>
          <w:bCs/>
          <w:rtl/>
        </w:rPr>
        <w:t xml:space="preserve"> </w:t>
      </w:r>
      <w:r w:rsidRPr="00E141EE">
        <w:rPr>
          <w:b/>
          <w:bCs/>
          <w:rtl/>
        </w:rPr>
        <w:t>(اللغات) التي يمكن بها إيداع الطلبات الوطنية ومعالجتها:</w:t>
      </w:r>
      <w:r w:rsidR="009B362B" w:rsidRPr="00E141EE">
        <w:rPr>
          <w:b/>
          <w:bCs/>
          <w:rtl/>
        </w:rPr>
        <w:t xml:space="preserve"> </w:t>
      </w:r>
    </w:p>
    <w:p w:rsidR="00CC3B62" w:rsidRPr="00E141EE" w:rsidRDefault="009B362B" w:rsidP="00E141EE">
      <w:pPr>
        <w:pStyle w:val="indent1"/>
        <w:numPr>
          <w:ilvl w:val="0"/>
          <w:numId w:val="15"/>
        </w:numPr>
        <w:rPr>
          <w:b/>
          <w:bCs/>
          <w:rtl/>
        </w:rPr>
      </w:pPr>
      <w:r>
        <w:rPr>
          <w:rFonts w:hint="cs"/>
          <w:b/>
          <w:bCs/>
          <w:rtl/>
        </w:rPr>
        <w:t>ا</w:t>
      </w:r>
      <w:r w:rsidR="003D50DD" w:rsidRPr="003D50DD">
        <w:rPr>
          <w:b/>
          <w:bCs/>
          <w:rtl/>
        </w:rPr>
        <w:t>للغات الأخرى التي يتقنها عدد كبير من الفاحصين:</w:t>
      </w:r>
    </w:p>
    <w:p w:rsidR="00CC3B62" w:rsidRPr="00CC3B62" w:rsidRDefault="003D50DD" w:rsidP="008A2173">
      <w:pPr>
        <w:pStyle w:val="indent1"/>
        <w:numPr>
          <w:ilvl w:val="0"/>
          <w:numId w:val="15"/>
        </w:numPr>
        <w:rPr>
          <w:i/>
          <w:iCs/>
          <w:spacing w:val="-1"/>
          <w:rtl/>
        </w:rPr>
      </w:pPr>
      <w:r w:rsidRPr="003D50DD">
        <w:rPr>
          <w:b/>
          <w:bCs/>
          <w:rtl/>
        </w:rPr>
        <w:t>الخدمات المتاحة للمساعدة في البحث أو فهم حالة التقنية السابقة بلغات أخرى:</w:t>
      </w:r>
    </w:p>
    <w:p w:rsidR="00CC3B62" w:rsidRDefault="008A2173" w:rsidP="008A2173">
      <w:pPr>
        <w:keepNext/>
        <w:pBdr>
          <w:top w:val="single" w:sz="4" w:space="1" w:color="auto"/>
        </w:pBdr>
        <w:spacing w:before="120" w:after="120"/>
        <w:outlineLvl w:val="2"/>
        <w:rPr>
          <w:rFonts w:eastAsia="SimSun"/>
          <w:bCs/>
          <w:caps/>
          <w:kern w:val="32"/>
          <w:rtl/>
          <w:lang w:eastAsia="zh-CN" w:bidi="ar-EG"/>
        </w:rPr>
      </w:pPr>
      <w:r>
        <w:rPr>
          <w:rFonts w:eastAsia="SimSun" w:hint="cs"/>
          <w:bCs/>
          <w:caps/>
          <w:kern w:val="32"/>
          <w:rtl/>
          <w:lang w:eastAsia="zh-CN" w:bidi="ar-EG"/>
        </w:rPr>
        <w:t>4</w:t>
      </w:r>
      <w:r w:rsidR="003D50DD" w:rsidRPr="003D50DD">
        <w:rPr>
          <w:rFonts w:eastAsia="SimSun"/>
          <w:bCs/>
          <w:caps/>
          <w:kern w:val="32"/>
          <w:rtl/>
          <w:lang w:eastAsia="zh-CN" w:bidi="ar-EG"/>
        </w:rPr>
        <w:t>.2 - إدارة الجودة</w:t>
      </w:r>
    </w:p>
    <w:p w:rsidR="00CC3B62" w:rsidRDefault="003D50DD" w:rsidP="008A2173">
      <w:pPr>
        <w:keepNext/>
        <w:keepLines/>
        <w:spacing w:after="240" w:line="360" w:lineRule="exact"/>
        <w:ind w:left="567"/>
        <w:rPr>
          <w:rFonts w:eastAsia="SimSun"/>
          <w:i/>
          <w:iCs/>
          <w:caps/>
          <w:kern w:val="32"/>
          <w:rtl/>
          <w:lang w:eastAsia="zh-CN" w:bidi="ar-EG"/>
        </w:rPr>
      </w:pPr>
      <w:r w:rsidRPr="00CC3B62">
        <w:rPr>
          <w:i/>
          <w:iCs/>
          <w:rtl/>
        </w:rPr>
        <w:t>تنص القاعدتان 1.36"4" و1.63"4"، على أنه: يجب أن يكون لدى المكتب الوطني أو المنظمة الحكومية الدولية نظام لإدارة الجودة وترتيبات داخلية للمراجعة وفقا لقواعد البحث الدولي المشتركة.</w:t>
      </w:r>
    </w:p>
    <w:p w:rsidR="003D50DD" w:rsidRDefault="003D50DD" w:rsidP="008A2173">
      <w:pPr>
        <w:keepNext/>
        <w:spacing w:before="120" w:after="120"/>
        <w:outlineLvl w:val="2"/>
        <w:rPr>
          <w:b/>
          <w:bCs/>
          <w:rtl/>
          <w:lang w:bidi="ar"/>
        </w:rPr>
      </w:pPr>
      <w:r w:rsidRPr="009F7F02">
        <w:rPr>
          <w:b/>
          <w:bCs/>
          <w:rtl/>
          <w:lang w:bidi="ar"/>
        </w:rPr>
        <w:t xml:space="preserve">يستوفي نظام إدارة الجودة الوطني المتطلبات المنصوص عليها في الفصل 21 من المبادئ التوجيهية الخاصة بالبحث الدولي والفحص التمهيدي الدولي </w:t>
      </w:r>
      <w:r w:rsidRPr="009F7F02">
        <w:rPr>
          <w:rFonts w:hint="cs"/>
          <w:b/>
          <w:bCs/>
          <w:rtl/>
          <w:lang w:bidi="ar"/>
        </w:rPr>
        <w:t>في إطار</w:t>
      </w:r>
      <w:r w:rsidRPr="009F7F02">
        <w:rPr>
          <w:b/>
          <w:bCs/>
          <w:rtl/>
          <w:lang w:bidi="ar"/>
        </w:rPr>
        <w:t xml:space="preserve"> معاهدة التعاون بشأن البراءات</w:t>
      </w:r>
    </w:p>
    <w:p w:rsidR="008A2173" w:rsidRDefault="008A2173" w:rsidP="008A2173">
      <w:pPr>
        <w:keepNext/>
        <w:spacing w:before="120" w:after="120"/>
        <w:outlineLvl w:val="2"/>
        <w:rPr>
          <w:b/>
          <w:bCs/>
          <w:rtl/>
          <w:lang w:bidi="ar"/>
        </w:rPr>
      </w:pPr>
    </w:p>
    <w:p w:rsidR="00672400" w:rsidRPr="00672400" w:rsidRDefault="00672400" w:rsidP="008A2173">
      <w:pPr>
        <w:keepNext/>
        <w:pBdr>
          <w:top w:val="single" w:sz="4" w:space="1" w:color="auto"/>
        </w:pBdr>
        <w:spacing w:after="240" w:line="360" w:lineRule="exact"/>
        <w:rPr>
          <w:b/>
          <w:bCs/>
          <w:rtl/>
        </w:rPr>
      </w:pPr>
      <w:r>
        <w:rPr>
          <w:rFonts w:hint="cs"/>
          <w:b/>
          <w:bCs/>
          <w:rtl/>
        </w:rPr>
        <w:t>3- نطاق التشغيل المنشود</w:t>
      </w:r>
    </w:p>
    <w:p w:rsidR="003D50DD" w:rsidRPr="008A2173" w:rsidRDefault="003D50DD" w:rsidP="008A2173">
      <w:pPr>
        <w:pStyle w:val="indent1"/>
        <w:numPr>
          <w:ilvl w:val="0"/>
          <w:numId w:val="19"/>
        </w:numPr>
        <w:rPr>
          <w:b/>
          <w:bCs/>
          <w:rtl/>
        </w:rPr>
      </w:pPr>
      <w:r w:rsidRPr="008A2173">
        <w:rPr>
          <w:b/>
          <w:bCs/>
          <w:rtl/>
        </w:rPr>
        <w:t xml:space="preserve">اللغة (أو اللغات) التي ستقدم </w:t>
      </w:r>
      <w:r w:rsidRPr="008A2173">
        <w:rPr>
          <w:rFonts w:hint="cs"/>
          <w:b/>
          <w:bCs/>
          <w:rtl/>
        </w:rPr>
        <w:t>بها</w:t>
      </w:r>
      <w:r w:rsidRPr="008A2173">
        <w:rPr>
          <w:b/>
          <w:bCs/>
          <w:rtl/>
        </w:rPr>
        <w:t xml:space="preserve"> الخدمات:</w:t>
      </w:r>
    </w:p>
    <w:p w:rsidR="003D50DD" w:rsidRPr="009F7F02" w:rsidRDefault="003D50DD" w:rsidP="008A2173">
      <w:pPr>
        <w:pStyle w:val="indent1"/>
        <w:numPr>
          <w:ilvl w:val="0"/>
          <w:numId w:val="15"/>
        </w:numPr>
        <w:rPr>
          <w:b/>
          <w:bCs/>
          <w:rtl/>
        </w:rPr>
      </w:pPr>
      <w:r w:rsidRPr="009F7F02">
        <w:rPr>
          <w:b/>
          <w:bCs/>
          <w:rtl/>
        </w:rPr>
        <w:t>الدولة (الدول) أو مكتب (مكاتب) تسلم الطلبات التي ستختص الإدارة بالنظر في طلباتها:</w:t>
      </w:r>
    </w:p>
    <w:p w:rsidR="003D50DD" w:rsidRPr="009F7F02" w:rsidRDefault="003D50DD" w:rsidP="008A2173">
      <w:pPr>
        <w:pStyle w:val="indent1"/>
        <w:numPr>
          <w:ilvl w:val="0"/>
          <w:numId w:val="15"/>
        </w:numPr>
        <w:rPr>
          <w:b/>
          <w:bCs/>
          <w:rtl/>
        </w:rPr>
      </w:pPr>
      <w:r w:rsidRPr="009F7F02">
        <w:rPr>
          <w:b/>
          <w:bCs/>
          <w:rtl/>
        </w:rPr>
        <w:t>التقييدات المفروضة على نطاق العملية:</w:t>
      </w:r>
    </w:p>
    <w:p w:rsidR="003D50DD" w:rsidRPr="009F7F02" w:rsidRDefault="003D50DD" w:rsidP="008A2173">
      <w:pPr>
        <w:pStyle w:val="indent1"/>
        <w:numPr>
          <w:ilvl w:val="0"/>
          <w:numId w:val="15"/>
        </w:numPr>
        <w:rPr>
          <w:b/>
          <w:bCs/>
          <w:rtl/>
        </w:rPr>
      </w:pPr>
      <w:r w:rsidRPr="009F7F02">
        <w:rPr>
          <w:rFonts w:hint="cs"/>
          <w:b/>
          <w:bCs/>
          <w:rtl/>
        </w:rPr>
        <w:t>الإدارات الدولية الأخرى التي ستظل مختصة بالطلبات المودعة لدى المكتب بصفته مكتباً لتسلّم الطلبات:</w:t>
      </w:r>
    </w:p>
    <w:p w:rsidR="003D50DD" w:rsidRPr="003D50DD" w:rsidRDefault="003D50DD" w:rsidP="003D50DD">
      <w:pPr>
        <w:keepNext/>
        <w:pBdr>
          <w:top w:val="single" w:sz="4" w:space="3" w:color="auto"/>
          <w:bottom w:val="single" w:sz="4" w:space="3" w:color="auto"/>
        </w:pBdr>
        <w:spacing w:before="120" w:after="120"/>
        <w:outlineLvl w:val="1"/>
        <w:rPr>
          <w:rFonts w:eastAsia="SimSun"/>
          <w:bCs/>
          <w:caps/>
          <w:kern w:val="32"/>
          <w:lang w:eastAsia="zh-CN" w:bidi="ar-EG"/>
        </w:rPr>
      </w:pPr>
      <w:r w:rsidRPr="003D50DD">
        <w:rPr>
          <w:rFonts w:eastAsia="SimSun"/>
          <w:bCs/>
          <w:caps/>
          <w:kern w:val="32"/>
          <w:rtl/>
          <w:lang w:eastAsia="zh-CN" w:bidi="ar-EG"/>
        </w:rPr>
        <w:lastRenderedPageBreak/>
        <w:t>4 - دوافع الطلب</w:t>
      </w:r>
    </w:p>
    <w:p w:rsidR="003D50DD" w:rsidRPr="003D50DD" w:rsidRDefault="003D50DD" w:rsidP="00B50765">
      <w:pPr>
        <w:keepNext/>
        <w:pBdr>
          <w:top w:val="single" w:sz="4" w:space="3" w:color="auto"/>
          <w:bottom w:val="single" w:sz="4" w:space="3" w:color="auto"/>
        </w:pBdr>
        <w:spacing w:before="120" w:after="120"/>
        <w:outlineLvl w:val="1"/>
        <w:rPr>
          <w:rFonts w:eastAsia="SimSun"/>
          <w:bCs/>
          <w:caps/>
          <w:kern w:val="32"/>
          <w:lang w:eastAsia="zh-CN" w:bidi="ar-EG"/>
        </w:rPr>
      </w:pPr>
    </w:p>
    <w:p w:rsidR="00B50765" w:rsidRDefault="00B50765" w:rsidP="003D50DD">
      <w:pPr>
        <w:keepNext/>
        <w:keepLines/>
        <w:spacing w:after="240" w:line="360" w:lineRule="exact"/>
        <w:rPr>
          <w:b/>
          <w:bCs/>
          <w:rtl/>
          <w:lang w:val="fr-CH"/>
        </w:rPr>
      </w:pPr>
      <w:r>
        <w:rPr>
          <w:rFonts w:hint="cs"/>
          <w:b/>
          <w:bCs/>
          <w:rtl/>
          <w:lang w:val="fr-CH"/>
        </w:rPr>
        <w:t xml:space="preserve">5 </w:t>
      </w:r>
      <w:r>
        <w:rPr>
          <w:b/>
          <w:bCs/>
          <w:rtl/>
          <w:lang w:val="fr-CH"/>
        </w:rPr>
        <w:t>–</w:t>
      </w:r>
      <w:r>
        <w:rPr>
          <w:rFonts w:hint="cs"/>
          <w:b/>
          <w:bCs/>
          <w:rtl/>
          <w:lang w:val="fr-CH"/>
        </w:rPr>
        <w:t xml:space="preserve"> الدولة (الدول) مقدّمة الطلب</w:t>
      </w:r>
    </w:p>
    <w:p w:rsidR="003D50DD" w:rsidRPr="00B23AC0" w:rsidRDefault="003D50DD" w:rsidP="00B23AC0">
      <w:pPr>
        <w:pStyle w:val="indent1"/>
        <w:numPr>
          <w:ilvl w:val="0"/>
          <w:numId w:val="21"/>
        </w:numPr>
        <w:rPr>
          <w:b/>
          <w:bCs/>
          <w:rtl/>
          <w:lang w:val="fr-CH"/>
        </w:rPr>
      </w:pPr>
      <w:r w:rsidRPr="00B23AC0">
        <w:rPr>
          <w:b/>
          <w:bCs/>
          <w:rtl/>
          <w:lang w:val="fr-CH"/>
        </w:rPr>
        <w:t>الموقع الإقليمي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3D50DD" w:rsidRPr="003D50DD" w:rsidTr="00C8116C">
        <w:trPr>
          <w:trHeight w:val="4234"/>
        </w:trPr>
        <w:tc>
          <w:tcPr>
            <w:tcW w:w="616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suppressAutoHyphens/>
            </w:pPr>
          </w:p>
        </w:tc>
      </w:tr>
    </w:tbl>
    <w:p w:rsidR="003D50DD" w:rsidRPr="00B23AC0" w:rsidRDefault="003D50DD" w:rsidP="00B23AC0">
      <w:pPr>
        <w:pStyle w:val="indent1"/>
        <w:numPr>
          <w:ilvl w:val="0"/>
          <w:numId w:val="21"/>
        </w:numPr>
        <w:rPr>
          <w:b/>
          <w:bCs/>
          <w:rtl/>
          <w:lang w:val="fr-CH"/>
        </w:rPr>
      </w:pPr>
      <w:r w:rsidRPr="003D50DD">
        <w:rPr>
          <w:b/>
          <w:bCs/>
          <w:rtl/>
        </w:rPr>
        <w:t>عضو</w:t>
      </w:r>
      <w:r w:rsidRPr="00B23AC0">
        <w:rPr>
          <w:b/>
          <w:bCs/>
          <w:rtl/>
          <w:lang w:val="fr-CH"/>
        </w:rPr>
        <w:t>ية المنظمات الإقليمية:</w:t>
      </w:r>
    </w:p>
    <w:p w:rsidR="003D50DD" w:rsidRPr="00B23AC0" w:rsidRDefault="003D50DD" w:rsidP="00B23AC0">
      <w:pPr>
        <w:pStyle w:val="indent1"/>
        <w:numPr>
          <w:ilvl w:val="0"/>
          <w:numId w:val="21"/>
        </w:numPr>
        <w:rPr>
          <w:b/>
          <w:bCs/>
          <w:lang w:val="fr-CH"/>
        </w:rPr>
      </w:pPr>
      <w:r w:rsidRPr="00B23AC0">
        <w:rPr>
          <w:b/>
          <w:bCs/>
          <w:rtl/>
          <w:lang w:val="fr-CH"/>
        </w:rPr>
        <w:t>عدد السكان:</w:t>
      </w:r>
    </w:p>
    <w:p w:rsidR="003D50DD" w:rsidRPr="00B23AC0" w:rsidRDefault="003D50DD" w:rsidP="00B23AC0">
      <w:pPr>
        <w:pStyle w:val="indent1"/>
        <w:numPr>
          <w:ilvl w:val="0"/>
          <w:numId w:val="21"/>
        </w:numPr>
        <w:rPr>
          <w:b/>
          <w:bCs/>
          <w:lang w:val="fr-CH"/>
        </w:rPr>
      </w:pPr>
      <w:r w:rsidRPr="00B23AC0">
        <w:rPr>
          <w:b/>
          <w:bCs/>
          <w:rtl/>
          <w:lang w:val="fr-CH"/>
        </w:rPr>
        <w:t>نصيب الفرد من الناتج المحلي الإجمالي</w:t>
      </w:r>
      <w:r w:rsidRPr="00B23AC0">
        <w:rPr>
          <w:rFonts w:hint="cs"/>
          <w:b/>
          <w:bCs/>
          <w:rtl/>
          <w:lang w:val="fr-CH"/>
        </w:rPr>
        <w:t>:</w:t>
      </w:r>
    </w:p>
    <w:p w:rsidR="003D50DD" w:rsidRPr="00B23AC0" w:rsidRDefault="003D50DD" w:rsidP="00B23AC0">
      <w:pPr>
        <w:pStyle w:val="indent1"/>
        <w:numPr>
          <w:ilvl w:val="0"/>
          <w:numId w:val="21"/>
        </w:numPr>
        <w:rPr>
          <w:b/>
          <w:bCs/>
          <w:lang w:val="fr-CH"/>
        </w:rPr>
      </w:pPr>
      <w:r w:rsidRPr="00B23AC0">
        <w:rPr>
          <w:b/>
          <w:bCs/>
          <w:rtl/>
          <w:lang w:val="fr-CH"/>
        </w:rPr>
        <w:t>الإنفاق الوطني المقدر على البحث والتطوير (% من الناتج المحلي الإجمالي):</w:t>
      </w:r>
    </w:p>
    <w:p w:rsidR="003D50DD" w:rsidRPr="00B23AC0" w:rsidRDefault="003D50DD" w:rsidP="00B23AC0">
      <w:pPr>
        <w:pStyle w:val="indent1"/>
        <w:numPr>
          <w:ilvl w:val="0"/>
          <w:numId w:val="21"/>
        </w:numPr>
        <w:rPr>
          <w:b/>
          <w:bCs/>
          <w:lang w:val="fr-CH"/>
        </w:rPr>
      </w:pPr>
      <w:r w:rsidRPr="00B23AC0">
        <w:rPr>
          <w:b/>
          <w:bCs/>
          <w:rtl/>
          <w:lang w:val="fr-CH"/>
        </w:rPr>
        <w:t>عدد جامعات البحث</w:t>
      </w:r>
      <w:r w:rsidRPr="00B23AC0">
        <w:rPr>
          <w:rFonts w:hint="cs"/>
          <w:b/>
          <w:bCs/>
          <w:rtl/>
          <w:lang w:val="fr-CH"/>
        </w:rPr>
        <w:t>:</w:t>
      </w:r>
    </w:p>
    <w:p w:rsidR="003D50DD" w:rsidRPr="00B23AC0" w:rsidRDefault="003D50DD" w:rsidP="00B23AC0">
      <w:pPr>
        <w:pStyle w:val="indent1"/>
        <w:numPr>
          <w:ilvl w:val="0"/>
          <w:numId w:val="21"/>
        </w:numPr>
        <w:rPr>
          <w:b/>
          <w:bCs/>
          <w:lang w:val="fr-CH"/>
        </w:rPr>
      </w:pPr>
      <w:r w:rsidRPr="00B23AC0">
        <w:rPr>
          <w:b/>
          <w:bCs/>
          <w:rtl/>
          <w:lang w:val="fr-CH"/>
        </w:rPr>
        <w:t>موجز عن الشبكة الوطنية للمعلومات المتعلقة بالبراءات</w:t>
      </w:r>
      <w:r w:rsidR="00425159" w:rsidRPr="00B23AC0">
        <w:rPr>
          <w:rFonts w:hint="cs"/>
          <w:b/>
          <w:bCs/>
          <w:rtl/>
          <w:lang w:val="fr-CH"/>
        </w:rPr>
        <w:t>:</w:t>
      </w:r>
    </w:p>
    <w:p w:rsidR="003D50DD" w:rsidRPr="00B23AC0" w:rsidRDefault="003D50DD" w:rsidP="00B23AC0">
      <w:pPr>
        <w:pStyle w:val="indent1"/>
        <w:numPr>
          <w:ilvl w:val="0"/>
          <w:numId w:val="21"/>
        </w:numPr>
        <w:rPr>
          <w:b/>
          <w:bCs/>
          <w:lang w:val="fr-CH"/>
        </w:rPr>
      </w:pPr>
      <w:r w:rsidRPr="00B23AC0">
        <w:rPr>
          <w:b/>
          <w:bCs/>
          <w:rtl/>
          <w:lang w:val="fr-CH"/>
        </w:rPr>
        <w:t>الصناعات المحلية الكبرى</w:t>
      </w:r>
      <w:r w:rsidRPr="00B23AC0">
        <w:rPr>
          <w:rFonts w:hint="cs"/>
          <w:b/>
          <w:bCs/>
          <w:rtl/>
          <w:lang w:val="fr-CH"/>
        </w:rPr>
        <w:t>:</w:t>
      </w:r>
    </w:p>
    <w:p w:rsidR="003D50DD" w:rsidRPr="00B23AC0" w:rsidRDefault="003D50DD" w:rsidP="00B23AC0">
      <w:pPr>
        <w:pStyle w:val="indent1"/>
        <w:numPr>
          <w:ilvl w:val="0"/>
          <w:numId w:val="21"/>
        </w:numPr>
        <w:rPr>
          <w:b/>
          <w:bCs/>
          <w:rtl/>
          <w:lang w:val="fr-CH"/>
        </w:rPr>
      </w:pPr>
      <w:r w:rsidRPr="00B23AC0">
        <w:rPr>
          <w:b/>
          <w:bCs/>
          <w:rtl/>
          <w:lang w:val="fr-CH"/>
        </w:rPr>
        <w:t>أكبر الشركاء التجاريين من الدول</w:t>
      </w:r>
      <w:r w:rsidRPr="00B23AC0">
        <w:rPr>
          <w:rFonts w:hint="cs"/>
          <w:b/>
          <w:bCs/>
          <w:rtl/>
          <w:lang w:val="fr-CH"/>
        </w:rPr>
        <w:t>:</w:t>
      </w:r>
    </w:p>
    <w:p w:rsidR="00425159" w:rsidRDefault="003D50DD" w:rsidP="00B23AC0">
      <w:pPr>
        <w:pStyle w:val="indent1"/>
        <w:numPr>
          <w:ilvl w:val="0"/>
          <w:numId w:val="21"/>
        </w:numPr>
        <w:rPr>
          <w:b/>
          <w:bCs/>
        </w:rPr>
      </w:pPr>
      <w:r w:rsidRPr="00B23AC0">
        <w:rPr>
          <w:b/>
          <w:bCs/>
          <w:rtl/>
          <w:lang w:val="fr-CH"/>
        </w:rPr>
        <w:t>معلوما</w:t>
      </w:r>
      <w:r w:rsidRPr="003D50DD">
        <w:rPr>
          <w:b/>
          <w:bCs/>
          <w:rtl/>
        </w:rPr>
        <w:t>ت أساسية أخرى:</w:t>
      </w:r>
    </w:p>
    <w:p w:rsidR="00A240BA" w:rsidRDefault="00A240BA" w:rsidP="00A240BA">
      <w:pPr>
        <w:pStyle w:val="indent1"/>
        <w:numPr>
          <w:ilvl w:val="0"/>
          <w:numId w:val="0"/>
        </w:numPr>
        <w:ind w:left="567"/>
        <w:rPr>
          <w:b/>
          <w:bCs/>
          <w:rtl/>
        </w:rPr>
      </w:pPr>
    </w:p>
    <w:p w:rsidR="00B50765" w:rsidRDefault="00B50765" w:rsidP="00A240BA">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 xml:space="preserve">6 </w:t>
      </w:r>
      <w:r>
        <w:rPr>
          <w:rFonts w:eastAsia="SimSun"/>
          <w:bCs/>
          <w:caps/>
          <w:kern w:val="32"/>
          <w:rtl/>
          <w:lang w:eastAsia="zh-CN" w:bidi="ar-EG"/>
        </w:rPr>
        <w:t>–</w:t>
      </w:r>
      <w:r>
        <w:rPr>
          <w:rFonts w:eastAsia="SimSun" w:hint="cs"/>
          <w:bCs/>
          <w:caps/>
          <w:kern w:val="32"/>
          <w:rtl/>
          <w:lang w:eastAsia="zh-CN" w:bidi="ar-EG"/>
        </w:rPr>
        <w:t xml:space="preserve"> نوعية طلبات البراءات</w:t>
      </w:r>
    </w:p>
    <w:p w:rsidR="003D50DD" w:rsidRPr="00A240BA" w:rsidRDefault="003D50DD" w:rsidP="00A240BA">
      <w:pPr>
        <w:pStyle w:val="indent1"/>
        <w:numPr>
          <w:ilvl w:val="0"/>
          <w:numId w:val="24"/>
        </w:numPr>
        <w:rPr>
          <w:b/>
          <w:bCs/>
          <w:rtl/>
        </w:rPr>
      </w:pPr>
      <w:r w:rsidRPr="00A240BA">
        <w:rPr>
          <w:b/>
          <w:bCs/>
          <w:rtl/>
          <w:lang w:val="fr-CH"/>
        </w:rPr>
        <w:t>عدد</w:t>
      </w:r>
      <w:r w:rsidRPr="00A240BA">
        <w:rPr>
          <w:b/>
          <w:bCs/>
          <w:rtl/>
        </w:rPr>
        <w:t xml:space="preserve"> الطلبات الوطنية المت</w:t>
      </w:r>
      <w:r w:rsidRPr="00A240BA">
        <w:rPr>
          <w:rFonts w:hint="cs"/>
          <w:b/>
          <w:bCs/>
          <w:rtl/>
        </w:rPr>
        <w:t>س</w:t>
      </w:r>
      <w:r w:rsidRPr="00A240BA">
        <w:rPr>
          <w:b/>
          <w:bCs/>
          <w:rtl/>
        </w:rPr>
        <w:t xml:space="preserve">لمة </w:t>
      </w:r>
      <w:r w:rsidRPr="00A240BA">
        <w:rPr>
          <w:b/>
          <w:bCs/>
        </w:rPr>
        <w:t>-</w:t>
      </w:r>
      <w:r w:rsidRPr="00A240BA">
        <w:rPr>
          <w:b/>
          <w:bCs/>
          <w:rtl/>
        </w:rPr>
        <w:t xml:space="preserve"> بحسب المجال التقني</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3D50DD" w:rsidRPr="003D50DD" w:rsidTr="00C8116C">
        <w:trPr>
          <w:cantSplit/>
          <w:trHeight w:val="244"/>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3D50DD" w:rsidRPr="003D50DD" w:rsidRDefault="003D50DD" w:rsidP="003D50DD">
            <w:pPr>
              <w:bidi w:val="0"/>
              <w:spacing w:line="360" w:lineRule="exact"/>
              <w:rPr>
                <w:b/>
                <w:bCs/>
                <w:lang w:bidi="ar-EG"/>
              </w:rPr>
            </w:pPr>
            <w:r w:rsidRPr="003D50DD">
              <w:rPr>
                <w:b/>
                <w:bCs/>
                <w:rtl/>
                <w:lang w:bidi="ar-EG"/>
              </w:rPr>
              <w:lastRenderedPageBreak/>
              <w:t>السنة</w:t>
            </w:r>
          </w:p>
          <w:p w:rsidR="003D50DD" w:rsidRPr="003D50DD" w:rsidRDefault="003D50DD" w:rsidP="003D50DD">
            <w:pPr>
              <w:bidi w:val="0"/>
              <w:spacing w:line="360" w:lineRule="exact"/>
              <w:jc w:val="right"/>
              <w:rPr>
                <w:b/>
                <w:bCs/>
                <w:lang w:bidi="he-IL"/>
              </w:rPr>
            </w:pPr>
          </w:p>
          <w:p w:rsidR="003D50DD" w:rsidRPr="003D50DD" w:rsidRDefault="003D50DD" w:rsidP="003D50DD">
            <w:pPr>
              <w:bidi w:val="0"/>
              <w:spacing w:after="120" w:line="360" w:lineRule="exact"/>
              <w:jc w:val="right"/>
              <w:rPr>
                <w:lang w:bidi="ar-EG"/>
              </w:rPr>
            </w:pPr>
            <w:r w:rsidRPr="003D50DD">
              <w:rPr>
                <w:b/>
                <w:bCs/>
                <w:rtl/>
                <w:lang w:bidi="ar-EG"/>
              </w:rPr>
              <w:t>المجال التقني</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spacing w:line="360" w:lineRule="exact"/>
              <w:jc w:val="center"/>
              <w:rPr>
                <w:lang w:bidi="he-IL"/>
              </w:rPr>
            </w:pPr>
            <w:r w:rsidRPr="003D50DD">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spacing w:line="360" w:lineRule="exact"/>
              <w:jc w:val="center"/>
              <w:rPr>
                <w:lang w:bidi="he-IL"/>
              </w:rPr>
            </w:pPr>
            <w:r w:rsidRPr="003D50DD">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spacing w:line="360" w:lineRule="exact"/>
              <w:jc w:val="center"/>
              <w:rPr>
                <w:lang w:bidi="he-IL"/>
              </w:rPr>
            </w:pPr>
            <w:r w:rsidRPr="003D50DD">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spacing w:line="360" w:lineRule="exact"/>
              <w:jc w:val="center"/>
              <w:rPr>
                <w:lang w:bidi="he-IL"/>
              </w:rPr>
            </w:pPr>
            <w:r w:rsidRPr="003D50DD">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spacing w:line="360" w:lineRule="exact"/>
              <w:jc w:val="center"/>
              <w:rPr>
                <w:lang w:bidi="he-IL"/>
              </w:rPr>
            </w:pPr>
            <w:r w:rsidRPr="003D50DD">
              <w:rPr>
                <w:rFonts w:hint="cs"/>
                <w:rtl/>
                <w:lang w:bidi="ar-EG"/>
              </w:rPr>
              <w:t>س-1</w:t>
            </w: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الميكانيكا</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الكهرباء/الإلكترونيات</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الكيمياء</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Height w:val="449"/>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ar-EG"/>
              </w:rPr>
            </w:pPr>
            <w:r w:rsidRPr="003D50DD">
              <w:rPr>
                <w:rtl/>
                <w:lang w:bidi="ar-EG"/>
              </w:rPr>
              <w:t>البيوتكنولوجيا</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Height w:val="226"/>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i/>
                <w:iCs/>
                <w:lang w:bidi="he-IL"/>
              </w:rPr>
            </w:pPr>
            <w:r w:rsidRPr="003D50DD">
              <w:rPr>
                <w:i/>
                <w:iCs/>
                <w:rtl/>
              </w:rPr>
              <w:t>المجموع</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bl>
    <w:p w:rsidR="003D50DD" w:rsidRPr="003D50DD" w:rsidRDefault="003D50DD" w:rsidP="00A240BA">
      <w:pPr>
        <w:pStyle w:val="indent1"/>
        <w:numPr>
          <w:ilvl w:val="0"/>
          <w:numId w:val="24"/>
        </w:numPr>
        <w:spacing w:after="40"/>
        <w:rPr>
          <w:b/>
          <w:bCs/>
        </w:rPr>
      </w:pPr>
      <w:r w:rsidRPr="003D50DD">
        <w:rPr>
          <w:b/>
          <w:bCs/>
          <w:rtl/>
        </w:rPr>
        <w:t xml:space="preserve">عدد الطلبات الوطنية </w:t>
      </w:r>
      <w:r w:rsidRPr="00A240BA">
        <w:rPr>
          <w:b/>
          <w:bCs/>
          <w:rtl/>
          <w:lang w:val="fr-CH"/>
        </w:rPr>
        <w:t>المت</w:t>
      </w:r>
      <w:r w:rsidRPr="00A240BA">
        <w:rPr>
          <w:rFonts w:hint="cs"/>
          <w:b/>
          <w:bCs/>
          <w:rtl/>
          <w:lang w:val="fr-CH"/>
        </w:rPr>
        <w:t>س</w:t>
      </w:r>
      <w:r w:rsidRPr="00A240BA">
        <w:rPr>
          <w:b/>
          <w:bCs/>
          <w:rtl/>
          <w:lang w:val="fr-CH"/>
        </w:rPr>
        <w:t>لمة</w:t>
      </w:r>
      <w:r w:rsidRPr="003D50DD">
        <w:rPr>
          <w:b/>
          <w:bCs/>
          <w:rtl/>
        </w:rPr>
        <w:t xml:space="preserve"> </w:t>
      </w:r>
      <w:r w:rsidRPr="003D50DD">
        <w:rPr>
          <w:b/>
          <w:bCs/>
        </w:rPr>
        <w:t>-</w:t>
      </w:r>
      <w:r w:rsidRPr="003D50DD">
        <w:rPr>
          <w:b/>
          <w:bCs/>
          <w:rtl/>
        </w:rPr>
        <w:t xml:space="preserve"> بحسب المسار</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3D50DD" w:rsidRPr="003D50DD" w:rsidRDefault="003D50DD" w:rsidP="003D50DD">
            <w:pPr>
              <w:keepNext/>
              <w:keepLines/>
              <w:bidi w:val="0"/>
              <w:spacing w:line="360" w:lineRule="exact"/>
              <w:rPr>
                <w:b/>
                <w:bCs/>
                <w:rtl/>
                <w:lang w:val="fr-FR" w:bidi="ar-EG"/>
              </w:rPr>
            </w:pPr>
            <w:r w:rsidRPr="003D50DD">
              <w:rPr>
                <w:b/>
                <w:bCs/>
                <w:rtl/>
                <w:lang w:val="fr-FR" w:bidi="ar-EG"/>
              </w:rPr>
              <w:t>السنة</w:t>
            </w:r>
          </w:p>
          <w:p w:rsidR="003D50DD" w:rsidRPr="003D50DD" w:rsidRDefault="003D50DD" w:rsidP="003D50DD">
            <w:pPr>
              <w:keepNext/>
              <w:keepLines/>
              <w:bidi w:val="0"/>
              <w:spacing w:after="120" w:line="360" w:lineRule="exact"/>
              <w:jc w:val="right"/>
              <w:rPr>
                <w:lang w:bidi="ar-EG"/>
              </w:rPr>
            </w:pPr>
            <w:r w:rsidRPr="003D50DD">
              <w:rPr>
                <w:b/>
                <w:bCs/>
                <w:rtl/>
                <w:lang w:bidi="ar-EG"/>
              </w:rPr>
              <w:t>المسار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س-1</w:t>
            </w: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rFonts w:eastAsia="SimSun"/>
                <w:lang w:eastAsia="zh-CN"/>
              </w:rPr>
            </w:pPr>
            <w:r w:rsidRPr="003D50DD">
              <w:rPr>
                <w:rtl/>
              </w:rPr>
              <w:t>الإيداع الوطني الأول/الأولوية الداخلية</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keepNext/>
              <w:keepLines/>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keepNext/>
              <w:keepLines/>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keepNext/>
              <w:keepLines/>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keepNext/>
              <w:keepLines/>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keepNext/>
              <w:keepLines/>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rFonts w:eastAsia="SimSun"/>
                <w:lang w:eastAsia="zh-CN"/>
              </w:rPr>
            </w:pPr>
            <w:r w:rsidRPr="003D50DD">
              <w:rPr>
                <w:rtl/>
              </w:rPr>
              <w:t>الأولوية بناء على نظام باريس</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rFonts w:eastAsia="SimSun"/>
                <w:lang w:eastAsia="zh-CN"/>
              </w:rPr>
            </w:pPr>
            <w:r w:rsidRPr="003D50DD">
              <w:rPr>
                <w:rtl/>
              </w:rPr>
              <w:t>دخول المرحلة الوطنية في إطار معاهدة التعاون بشأن البراءات</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bl>
    <w:p w:rsidR="003D50DD" w:rsidRPr="009F7F02" w:rsidRDefault="003D50DD" w:rsidP="00A240BA">
      <w:pPr>
        <w:pStyle w:val="indent1"/>
        <w:numPr>
          <w:ilvl w:val="0"/>
          <w:numId w:val="24"/>
        </w:numPr>
        <w:spacing w:after="40"/>
        <w:rPr>
          <w:b/>
          <w:bCs/>
        </w:rPr>
      </w:pPr>
      <w:r w:rsidRPr="003D50DD">
        <w:rPr>
          <w:b/>
          <w:bCs/>
          <w:rtl/>
        </w:rPr>
        <w:t xml:space="preserve">عدد الطلبات الدولية </w:t>
      </w:r>
      <w:r w:rsidRPr="00A240BA">
        <w:rPr>
          <w:rFonts w:hint="cs"/>
          <w:b/>
          <w:bCs/>
          <w:rtl/>
          <w:lang w:val="fr-CH"/>
        </w:rPr>
        <w:t>الواردة</w:t>
      </w:r>
      <w:r w:rsidRPr="009F7F02">
        <w:rPr>
          <w:rFonts w:hint="cs"/>
          <w:b/>
          <w:bCs/>
          <w:rtl/>
        </w:rPr>
        <w:t xml:space="preserve"> من مواطنين الدولة (أو الدول) أو المقيمين فيها</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3D50DD" w:rsidRPr="003D50DD" w:rsidTr="00C8116C">
        <w:trPr>
          <w:cantSplit/>
          <w:trHeight w:val="244"/>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3D50DD" w:rsidRPr="003D50DD" w:rsidRDefault="003D50DD" w:rsidP="003D50DD">
            <w:pPr>
              <w:bidi w:val="0"/>
              <w:spacing w:line="360" w:lineRule="exact"/>
              <w:rPr>
                <w:b/>
                <w:bCs/>
                <w:lang w:bidi="ar-EG"/>
              </w:rPr>
            </w:pPr>
            <w:r w:rsidRPr="003D50DD">
              <w:rPr>
                <w:b/>
                <w:bCs/>
                <w:rtl/>
                <w:lang w:bidi="ar-EG"/>
              </w:rPr>
              <w:t>السنة</w:t>
            </w:r>
          </w:p>
          <w:p w:rsidR="003D50DD" w:rsidRPr="003D50DD" w:rsidRDefault="003D50DD" w:rsidP="003D50DD">
            <w:pPr>
              <w:bidi w:val="0"/>
              <w:spacing w:line="360" w:lineRule="exact"/>
              <w:jc w:val="right"/>
              <w:rPr>
                <w:b/>
                <w:bCs/>
                <w:lang w:bidi="he-IL"/>
              </w:rPr>
            </w:pPr>
          </w:p>
          <w:p w:rsidR="003D50DD" w:rsidRPr="003D50DD" w:rsidRDefault="003D50DD" w:rsidP="003D50DD">
            <w:pPr>
              <w:bidi w:val="0"/>
              <w:spacing w:after="120" w:line="360" w:lineRule="exact"/>
              <w:jc w:val="right"/>
              <w:rPr>
                <w:lang w:bidi="ar-EG"/>
              </w:rPr>
            </w:pPr>
            <w:r w:rsidRPr="003D50DD">
              <w:rPr>
                <w:b/>
                <w:bCs/>
                <w:rtl/>
                <w:lang w:bidi="ar-EG"/>
              </w:rPr>
              <w:t>المجال التقني</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3D50DD" w:rsidRPr="003D50DD" w:rsidRDefault="003D50DD" w:rsidP="003D50DD">
            <w:pPr>
              <w:keepNext/>
              <w:keepLines/>
              <w:spacing w:line="360" w:lineRule="exact"/>
              <w:jc w:val="center"/>
              <w:rPr>
                <w:lang w:bidi="he-IL"/>
              </w:rPr>
            </w:pPr>
            <w:r w:rsidRPr="003D50DD">
              <w:rPr>
                <w:rFonts w:hint="cs"/>
                <w:rtl/>
                <w:lang w:bidi="ar-EG"/>
              </w:rPr>
              <w:t>س-1</w:t>
            </w: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الميكانيكا</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الكهرباء/الإلكترونيات</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he-IL"/>
              </w:rPr>
            </w:pPr>
            <w:r w:rsidRPr="003D50DD">
              <w:rPr>
                <w:rtl/>
              </w:rPr>
              <w:t>الكيمياء</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Height w:val="449"/>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lang w:bidi="ar-EG"/>
              </w:rPr>
            </w:pPr>
            <w:r w:rsidRPr="003D50DD">
              <w:rPr>
                <w:rtl/>
                <w:lang w:bidi="ar-EG"/>
              </w:rPr>
              <w:t>البيوتكنولوجيا</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r w:rsidR="003D50DD" w:rsidRPr="003D50DD" w:rsidTr="00C8116C">
        <w:trPr>
          <w:cantSplit/>
          <w:trHeight w:val="226"/>
        </w:trPr>
        <w:tc>
          <w:tcPr>
            <w:tcW w:w="3226" w:type="dxa"/>
            <w:tcBorders>
              <w:top w:val="single" w:sz="4" w:space="0" w:color="auto"/>
              <w:left w:val="single" w:sz="4" w:space="0" w:color="auto"/>
              <w:bottom w:val="single" w:sz="4" w:space="0" w:color="auto"/>
              <w:right w:val="single" w:sz="4" w:space="0" w:color="auto"/>
            </w:tcBorders>
            <w:hideMark/>
          </w:tcPr>
          <w:p w:rsidR="003D50DD" w:rsidRPr="003D50DD" w:rsidRDefault="003D50DD" w:rsidP="003D50DD">
            <w:pPr>
              <w:spacing w:line="360" w:lineRule="exact"/>
              <w:rPr>
                <w:i/>
                <w:iCs/>
                <w:lang w:bidi="he-IL"/>
              </w:rPr>
            </w:pPr>
            <w:r w:rsidRPr="003D50DD">
              <w:rPr>
                <w:i/>
                <w:iCs/>
                <w:rtl/>
              </w:rPr>
              <w:t>المجموع</w:t>
            </w:r>
          </w:p>
        </w:tc>
        <w:tc>
          <w:tcPr>
            <w:tcW w:w="1275"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34"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192"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c>
          <w:tcPr>
            <w:tcW w:w="1361" w:type="dxa"/>
            <w:tcBorders>
              <w:top w:val="single" w:sz="4" w:space="0" w:color="auto"/>
              <w:left w:val="single" w:sz="4" w:space="0" w:color="auto"/>
              <w:bottom w:val="single" w:sz="4" w:space="0" w:color="auto"/>
              <w:right w:val="single" w:sz="4" w:space="0" w:color="auto"/>
            </w:tcBorders>
          </w:tcPr>
          <w:p w:rsidR="003D50DD" w:rsidRPr="003D50DD" w:rsidRDefault="003D50DD" w:rsidP="003D50DD">
            <w:pPr>
              <w:bidi w:val="0"/>
              <w:spacing w:line="360" w:lineRule="exact"/>
              <w:rPr>
                <w:lang w:bidi="he-IL"/>
              </w:rPr>
            </w:pPr>
          </w:p>
        </w:tc>
      </w:tr>
    </w:tbl>
    <w:p w:rsidR="003D50DD" w:rsidRPr="003D50DD" w:rsidRDefault="00576D39" w:rsidP="00A240BA">
      <w:pPr>
        <w:pStyle w:val="indent1"/>
        <w:numPr>
          <w:ilvl w:val="0"/>
          <w:numId w:val="24"/>
        </w:numPr>
        <w:spacing w:after="40"/>
        <w:rPr>
          <w:b/>
          <w:bCs/>
        </w:rPr>
      </w:pPr>
      <w:r w:rsidRPr="009F7F02">
        <w:rPr>
          <w:rFonts w:hint="cs"/>
          <w:b/>
          <w:bCs/>
          <w:rtl/>
        </w:rPr>
        <w:t xml:space="preserve"> </w:t>
      </w:r>
      <w:r w:rsidR="003D50DD" w:rsidRPr="003D50DD">
        <w:rPr>
          <w:b/>
          <w:bCs/>
          <w:rtl/>
        </w:rPr>
        <w:t>متوسط الوقت المستغرق في معالجة البراءات الوطنية</w:t>
      </w:r>
    </w:p>
    <w:tbl>
      <w:tblPr>
        <w:tblStyle w:val="TableGrid1"/>
        <w:bidiVisual/>
        <w:tblW w:w="5000" w:type="pct"/>
        <w:tblLook w:val="04A0" w:firstRow="1" w:lastRow="0" w:firstColumn="1" w:lastColumn="0" w:noHBand="0" w:noVBand="1"/>
      </w:tblPr>
      <w:tblGrid>
        <w:gridCol w:w="3225"/>
        <w:gridCol w:w="2977"/>
        <w:gridCol w:w="3369"/>
      </w:tblGrid>
      <w:tr w:rsidR="003D50DD" w:rsidRPr="003D50DD" w:rsidTr="00C8116C">
        <w:tc>
          <w:tcPr>
            <w:tcW w:w="1685" w:type="pct"/>
          </w:tcPr>
          <w:p w:rsidR="003D50DD" w:rsidRPr="00B50765" w:rsidRDefault="003D50DD" w:rsidP="003D50DD">
            <w:pPr>
              <w:rPr>
                <w:rFonts w:ascii="Arabic Typesetting" w:eastAsia="SimSun" w:hAnsi="Arabic Typesetting" w:cs="Arabic Typesetting"/>
                <w:bCs/>
                <w:sz w:val="36"/>
                <w:szCs w:val="36"/>
                <w:lang w:eastAsia="zh-CN"/>
              </w:rPr>
            </w:pPr>
            <w:r w:rsidRPr="00B50765">
              <w:rPr>
                <w:rFonts w:ascii="Arabic Typesetting" w:eastAsia="SimSun" w:hAnsi="Arabic Typesetting" w:cs="Arabic Typesetting"/>
                <w:bCs/>
                <w:sz w:val="36"/>
                <w:szCs w:val="36"/>
                <w:rtl/>
                <w:lang w:eastAsia="zh-CN"/>
              </w:rPr>
              <w:t>المؤشر</w:t>
            </w:r>
          </w:p>
        </w:tc>
        <w:tc>
          <w:tcPr>
            <w:tcW w:w="1555" w:type="pct"/>
          </w:tcPr>
          <w:p w:rsidR="003D50DD" w:rsidRPr="00B50765" w:rsidRDefault="003D50DD" w:rsidP="003D50DD">
            <w:pPr>
              <w:rPr>
                <w:rFonts w:ascii="Arabic Typesetting" w:eastAsia="SimSun" w:hAnsi="Arabic Typesetting" w:cs="Arabic Typesetting"/>
                <w:bCs/>
                <w:sz w:val="36"/>
                <w:szCs w:val="36"/>
                <w:lang w:eastAsia="zh-CN"/>
              </w:rPr>
            </w:pPr>
            <w:r w:rsidRPr="00B50765">
              <w:rPr>
                <w:rFonts w:ascii="Arabic Typesetting" w:eastAsia="SimSun" w:hAnsi="Arabic Typesetting" w:cs="Arabic Typesetting"/>
                <w:bCs/>
                <w:sz w:val="36"/>
                <w:szCs w:val="36"/>
                <w:rtl/>
                <w:lang w:eastAsia="zh-CN"/>
              </w:rPr>
              <w:t>محسوب اعتبارا من</w:t>
            </w:r>
          </w:p>
        </w:tc>
        <w:tc>
          <w:tcPr>
            <w:tcW w:w="1760" w:type="pct"/>
          </w:tcPr>
          <w:p w:rsidR="003D50DD" w:rsidRPr="00B50765" w:rsidRDefault="003D50DD" w:rsidP="003D50DD">
            <w:pPr>
              <w:rPr>
                <w:rFonts w:ascii="Arabic Typesetting" w:eastAsia="SimSun" w:hAnsi="Arabic Typesetting" w:cs="Arabic Typesetting"/>
                <w:bCs/>
                <w:sz w:val="36"/>
                <w:szCs w:val="36"/>
                <w:lang w:eastAsia="zh-CN"/>
              </w:rPr>
            </w:pPr>
            <w:r w:rsidRPr="00B50765">
              <w:rPr>
                <w:rFonts w:ascii="Arabic Typesetting" w:eastAsia="SimSun" w:hAnsi="Arabic Typesetting" w:cs="Arabic Typesetting"/>
                <w:bCs/>
                <w:sz w:val="36"/>
                <w:szCs w:val="36"/>
                <w:rtl/>
                <w:lang w:eastAsia="zh-CN"/>
              </w:rPr>
              <w:t>الوقت (بالأشهر)</w:t>
            </w:r>
          </w:p>
        </w:tc>
      </w:tr>
      <w:tr w:rsidR="003D50DD" w:rsidRPr="003D50DD" w:rsidTr="00C8116C">
        <w:tc>
          <w:tcPr>
            <w:tcW w:w="1685" w:type="pct"/>
          </w:tcPr>
          <w:p w:rsidR="003D50DD" w:rsidRPr="00B50765" w:rsidRDefault="003D50DD" w:rsidP="003D50DD">
            <w:pPr>
              <w:rPr>
                <w:rFonts w:ascii="Arabic Typesetting" w:hAnsi="Arabic Typesetting" w:cs="Arabic Typesetting"/>
                <w:sz w:val="36"/>
                <w:szCs w:val="36"/>
              </w:rPr>
            </w:pPr>
            <w:r w:rsidRPr="00B50765">
              <w:rPr>
                <w:rFonts w:ascii="Arabic Typesetting" w:hAnsi="Arabic Typesetting" w:cs="Arabic Typesetting"/>
                <w:sz w:val="36"/>
                <w:szCs w:val="36"/>
                <w:rtl/>
              </w:rPr>
              <w:t>البحث</w:t>
            </w:r>
          </w:p>
        </w:tc>
        <w:tc>
          <w:tcPr>
            <w:tcW w:w="1555" w:type="pct"/>
          </w:tcPr>
          <w:p w:rsidR="003D50DD" w:rsidRPr="00B50765" w:rsidRDefault="003D50DD" w:rsidP="003D50DD">
            <w:pPr>
              <w:rPr>
                <w:rFonts w:ascii="Arabic Typesetting" w:hAnsi="Arabic Typesetting" w:cs="Arabic Typesetting"/>
                <w:sz w:val="36"/>
                <w:szCs w:val="36"/>
              </w:rPr>
            </w:pPr>
          </w:p>
        </w:tc>
        <w:tc>
          <w:tcPr>
            <w:tcW w:w="1760" w:type="pct"/>
          </w:tcPr>
          <w:p w:rsidR="003D50DD" w:rsidRPr="00B50765" w:rsidRDefault="003D50DD" w:rsidP="003D50DD">
            <w:pPr>
              <w:rPr>
                <w:rFonts w:ascii="Arabic Typesetting" w:hAnsi="Arabic Typesetting" w:cs="Arabic Typesetting"/>
                <w:sz w:val="36"/>
                <w:szCs w:val="36"/>
              </w:rPr>
            </w:pPr>
          </w:p>
        </w:tc>
      </w:tr>
      <w:tr w:rsidR="003D50DD" w:rsidRPr="003D50DD" w:rsidTr="00C8116C">
        <w:tc>
          <w:tcPr>
            <w:tcW w:w="1685" w:type="pct"/>
          </w:tcPr>
          <w:p w:rsidR="003D50DD" w:rsidRPr="00B50765" w:rsidRDefault="003D50DD" w:rsidP="003D50DD">
            <w:pPr>
              <w:rPr>
                <w:rFonts w:ascii="Arabic Typesetting" w:hAnsi="Arabic Typesetting" w:cs="Arabic Typesetting"/>
                <w:sz w:val="36"/>
                <w:szCs w:val="36"/>
              </w:rPr>
            </w:pPr>
            <w:r w:rsidRPr="00B50765">
              <w:rPr>
                <w:rFonts w:ascii="Arabic Typesetting" w:hAnsi="Arabic Typesetting" w:cs="Arabic Typesetting"/>
                <w:sz w:val="36"/>
                <w:szCs w:val="36"/>
                <w:rtl/>
              </w:rPr>
              <w:t>الفحص الأول</w:t>
            </w:r>
          </w:p>
        </w:tc>
        <w:tc>
          <w:tcPr>
            <w:tcW w:w="1555" w:type="pct"/>
          </w:tcPr>
          <w:p w:rsidR="003D50DD" w:rsidRPr="00B50765" w:rsidRDefault="003D50DD" w:rsidP="003D50DD">
            <w:pPr>
              <w:rPr>
                <w:rFonts w:ascii="Arabic Typesetting" w:hAnsi="Arabic Typesetting" w:cs="Arabic Typesetting"/>
                <w:sz w:val="36"/>
                <w:szCs w:val="36"/>
              </w:rPr>
            </w:pPr>
          </w:p>
        </w:tc>
        <w:tc>
          <w:tcPr>
            <w:tcW w:w="1760" w:type="pct"/>
          </w:tcPr>
          <w:p w:rsidR="003D50DD" w:rsidRPr="00B50765" w:rsidRDefault="003D50DD" w:rsidP="003D50DD">
            <w:pPr>
              <w:rPr>
                <w:rFonts w:ascii="Arabic Typesetting" w:hAnsi="Arabic Typesetting" w:cs="Arabic Typesetting"/>
                <w:sz w:val="36"/>
                <w:szCs w:val="36"/>
              </w:rPr>
            </w:pPr>
          </w:p>
        </w:tc>
      </w:tr>
      <w:tr w:rsidR="003D50DD" w:rsidRPr="003D50DD" w:rsidTr="00C8116C">
        <w:tc>
          <w:tcPr>
            <w:tcW w:w="1685" w:type="pct"/>
          </w:tcPr>
          <w:p w:rsidR="003D50DD" w:rsidRPr="00B50765" w:rsidRDefault="003D50DD" w:rsidP="003D50DD">
            <w:pPr>
              <w:rPr>
                <w:rFonts w:ascii="Arabic Typesetting" w:hAnsi="Arabic Typesetting" w:cs="Arabic Typesetting"/>
                <w:sz w:val="36"/>
                <w:szCs w:val="36"/>
              </w:rPr>
            </w:pPr>
            <w:r w:rsidRPr="00B50765">
              <w:rPr>
                <w:rFonts w:ascii="Arabic Typesetting" w:hAnsi="Arabic Typesetting" w:cs="Arabic Typesetting"/>
                <w:sz w:val="36"/>
                <w:szCs w:val="36"/>
                <w:rtl/>
              </w:rPr>
              <w:t>المنح</w:t>
            </w:r>
          </w:p>
        </w:tc>
        <w:tc>
          <w:tcPr>
            <w:tcW w:w="1555" w:type="pct"/>
          </w:tcPr>
          <w:p w:rsidR="003D50DD" w:rsidRPr="00B50765" w:rsidRDefault="003D50DD" w:rsidP="003D50DD">
            <w:pPr>
              <w:rPr>
                <w:rFonts w:ascii="Arabic Typesetting" w:hAnsi="Arabic Typesetting" w:cs="Arabic Typesetting"/>
                <w:sz w:val="36"/>
                <w:szCs w:val="36"/>
              </w:rPr>
            </w:pPr>
          </w:p>
        </w:tc>
        <w:tc>
          <w:tcPr>
            <w:tcW w:w="1760" w:type="pct"/>
          </w:tcPr>
          <w:p w:rsidR="003D50DD" w:rsidRPr="00B50765" w:rsidRDefault="003D50DD" w:rsidP="003D50DD">
            <w:pPr>
              <w:rPr>
                <w:rFonts w:ascii="Arabic Typesetting" w:hAnsi="Arabic Typesetting" w:cs="Arabic Typesetting"/>
                <w:sz w:val="36"/>
                <w:szCs w:val="36"/>
              </w:rPr>
            </w:pPr>
          </w:p>
        </w:tc>
      </w:tr>
    </w:tbl>
    <w:p w:rsidR="003D50DD" w:rsidRPr="001912E5" w:rsidRDefault="003D50DD" w:rsidP="00A240BA">
      <w:pPr>
        <w:pStyle w:val="indent1"/>
        <w:keepNext/>
        <w:keepLines/>
        <w:numPr>
          <w:ilvl w:val="0"/>
          <w:numId w:val="24"/>
        </w:numPr>
        <w:spacing w:after="40"/>
        <w:rPr>
          <w:b/>
          <w:bCs/>
          <w:rtl/>
        </w:rPr>
      </w:pPr>
      <w:r w:rsidRPr="001912E5">
        <w:rPr>
          <w:rFonts w:hint="cs"/>
          <w:b/>
          <w:bCs/>
          <w:rtl/>
        </w:rPr>
        <w:lastRenderedPageBreak/>
        <w:t>عبء العمل الوطني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3369"/>
      </w:tblGrid>
      <w:tr w:rsidR="00A23E0C" w:rsidRPr="003D50DD" w:rsidTr="00266180">
        <w:trPr>
          <w:cantSplit/>
        </w:trPr>
        <w:tc>
          <w:tcPr>
            <w:tcW w:w="3240" w:type="pct"/>
            <w:tcBorders>
              <w:top w:val="single" w:sz="4" w:space="0" w:color="auto"/>
              <w:left w:val="single" w:sz="4" w:space="0" w:color="auto"/>
              <w:bottom w:val="single" w:sz="4" w:space="0" w:color="auto"/>
              <w:right w:val="single" w:sz="4" w:space="0" w:color="auto"/>
            </w:tcBorders>
            <w:hideMark/>
          </w:tcPr>
          <w:p w:rsidR="00A23E0C" w:rsidRPr="003D50DD" w:rsidRDefault="00A23E0C" w:rsidP="00A240BA">
            <w:pPr>
              <w:keepNext/>
              <w:keepLines/>
              <w:rPr>
                <w:rFonts w:eastAsia="SimSun"/>
                <w:bCs/>
                <w:lang w:eastAsia="zh-CN"/>
              </w:rPr>
            </w:pPr>
            <w:r w:rsidRPr="003D50DD">
              <w:rPr>
                <w:rFonts w:eastAsia="SimSun"/>
                <w:bCs/>
                <w:rtl/>
                <w:lang w:eastAsia="zh-CN"/>
              </w:rPr>
              <w:t>المقياس</w:t>
            </w:r>
          </w:p>
        </w:tc>
        <w:tc>
          <w:tcPr>
            <w:tcW w:w="1760" w:type="pct"/>
            <w:tcBorders>
              <w:top w:val="single" w:sz="4" w:space="0" w:color="auto"/>
              <w:left w:val="single" w:sz="4" w:space="0" w:color="auto"/>
              <w:bottom w:val="single" w:sz="4" w:space="0" w:color="auto"/>
              <w:right w:val="single" w:sz="4" w:space="0" w:color="auto"/>
            </w:tcBorders>
            <w:hideMark/>
          </w:tcPr>
          <w:p w:rsidR="00A23E0C" w:rsidRPr="003D50DD" w:rsidRDefault="00A23E0C" w:rsidP="00A240BA">
            <w:pPr>
              <w:keepNext/>
              <w:keepLines/>
              <w:rPr>
                <w:rFonts w:eastAsia="SimSun"/>
                <w:bCs/>
                <w:lang w:eastAsia="zh-CN"/>
              </w:rPr>
            </w:pPr>
            <w:r w:rsidRPr="003D50DD">
              <w:rPr>
                <w:rFonts w:eastAsia="SimSun"/>
                <w:bCs/>
                <w:rtl/>
                <w:lang w:eastAsia="zh-CN"/>
              </w:rPr>
              <w:t>عدد الطلبات</w:t>
            </w:r>
          </w:p>
        </w:tc>
      </w:tr>
      <w:tr w:rsidR="00A23E0C" w:rsidRPr="003D50DD" w:rsidTr="00266180">
        <w:trPr>
          <w:cantSplit/>
        </w:trPr>
        <w:tc>
          <w:tcPr>
            <w:tcW w:w="3240" w:type="pct"/>
            <w:tcBorders>
              <w:top w:val="single" w:sz="4" w:space="0" w:color="auto"/>
              <w:left w:val="single" w:sz="4" w:space="0" w:color="auto"/>
              <w:bottom w:val="single" w:sz="4" w:space="0" w:color="auto"/>
              <w:right w:val="single" w:sz="4" w:space="0" w:color="auto"/>
            </w:tcBorders>
            <w:hideMark/>
          </w:tcPr>
          <w:p w:rsidR="00A23E0C" w:rsidRPr="003D50DD" w:rsidRDefault="00A23E0C" w:rsidP="00A240BA">
            <w:pPr>
              <w:keepNext/>
              <w:keepLines/>
              <w:suppressAutoHyphens/>
              <w:jc w:val="both"/>
              <w:rPr>
                <w:lang w:bidi="he-IL"/>
              </w:rPr>
            </w:pPr>
            <w:r w:rsidRPr="003D50DD">
              <w:rPr>
                <w:rtl/>
              </w:rPr>
              <w:t>جميع الطلبات العالقة</w:t>
            </w:r>
          </w:p>
        </w:tc>
        <w:tc>
          <w:tcPr>
            <w:tcW w:w="1760" w:type="pct"/>
            <w:tcBorders>
              <w:top w:val="single" w:sz="4" w:space="0" w:color="auto"/>
              <w:left w:val="single" w:sz="4" w:space="0" w:color="auto"/>
              <w:bottom w:val="single" w:sz="4" w:space="0" w:color="auto"/>
              <w:right w:val="single" w:sz="4" w:space="0" w:color="auto"/>
            </w:tcBorders>
          </w:tcPr>
          <w:p w:rsidR="00A23E0C" w:rsidRPr="003D50DD" w:rsidRDefault="00A23E0C" w:rsidP="00A240BA">
            <w:pPr>
              <w:keepNext/>
              <w:keepLines/>
              <w:suppressAutoHyphens/>
              <w:bidi w:val="0"/>
              <w:jc w:val="both"/>
              <w:rPr>
                <w:lang w:bidi="he-IL"/>
              </w:rPr>
            </w:pPr>
          </w:p>
        </w:tc>
      </w:tr>
      <w:tr w:rsidR="00A23E0C" w:rsidRPr="003D50DD" w:rsidTr="00266180">
        <w:trPr>
          <w:cantSplit/>
        </w:trPr>
        <w:tc>
          <w:tcPr>
            <w:tcW w:w="3240" w:type="pct"/>
            <w:tcBorders>
              <w:top w:val="single" w:sz="4" w:space="0" w:color="auto"/>
              <w:left w:val="single" w:sz="4" w:space="0" w:color="auto"/>
              <w:bottom w:val="single" w:sz="4" w:space="0" w:color="auto"/>
              <w:right w:val="single" w:sz="4" w:space="0" w:color="auto"/>
            </w:tcBorders>
            <w:hideMark/>
          </w:tcPr>
          <w:p w:rsidR="00A23E0C" w:rsidRPr="003D50DD" w:rsidRDefault="00A23E0C" w:rsidP="00266180">
            <w:pPr>
              <w:keepNext/>
              <w:keepLines/>
              <w:suppressAutoHyphens/>
              <w:jc w:val="both"/>
              <w:rPr>
                <w:lang w:bidi="he-IL"/>
              </w:rPr>
            </w:pPr>
            <w:r w:rsidRPr="003D50DD">
              <w:rPr>
                <w:rtl/>
              </w:rPr>
              <w:t xml:space="preserve">طلبات في انتظار البحث </w:t>
            </w:r>
            <w:r w:rsidRPr="003D50DD">
              <w:rPr>
                <w:rFonts w:hint="cs"/>
                <w:rtl/>
              </w:rPr>
              <w:t>(</w:t>
            </w:r>
            <w:r w:rsidRPr="003D50DD">
              <w:rPr>
                <w:rtl/>
              </w:rPr>
              <w:t>في حال دفعت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A23E0C" w:rsidRPr="003D50DD" w:rsidRDefault="00A23E0C" w:rsidP="00266180">
            <w:pPr>
              <w:keepNext/>
              <w:keepLines/>
              <w:suppressAutoHyphens/>
              <w:bidi w:val="0"/>
              <w:jc w:val="both"/>
              <w:rPr>
                <w:lang w:bidi="he-IL"/>
              </w:rPr>
            </w:pPr>
          </w:p>
        </w:tc>
      </w:tr>
      <w:tr w:rsidR="00A23E0C" w:rsidRPr="003D50DD" w:rsidTr="00266180">
        <w:trPr>
          <w:cantSplit/>
        </w:trPr>
        <w:tc>
          <w:tcPr>
            <w:tcW w:w="3240" w:type="pct"/>
            <w:tcBorders>
              <w:top w:val="single" w:sz="4" w:space="0" w:color="auto"/>
              <w:left w:val="single" w:sz="4" w:space="0" w:color="auto"/>
              <w:bottom w:val="single" w:sz="4" w:space="0" w:color="auto"/>
              <w:right w:val="single" w:sz="4" w:space="0" w:color="auto"/>
            </w:tcBorders>
            <w:hideMark/>
          </w:tcPr>
          <w:p w:rsidR="00A23E0C" w:rsidRPr="003D50DD" w:rsidRDefault="00A23E0C" w:rsidP="00266180">
            <w:pPr>
              <w:keepLines/>
              <w:suppressAutoHyphens/>
              <w:jc w:val="both"/>
              <w:rPr>
                <w:lang w:bidi="he-IL"/>
              </w:rPr>
            </w:pPr>
            <w:r w:rsidRPr="003D50DD">
              <w:rPr>
                <w:rtl/>
              </w:rPr>
              <w:t>طلبات في انتظار الفحص الأول (في حال دفعت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A23E0C" w:rsidRPr="003D50DD" w:rsidRDefault="00A23E0C" w:rsidP="00266180">
            <w:pPr>
              <w:suppressAutoHyphens/>
              <w:bidi w:val="0"/>
              <w:jc w:val="both"/>
              <w:rPr>
                <w:lang w:bidi="he-IL"/>
              </w:rPr>
            </w:pPr>
          </w:p>
        </w:tc>
      </w:tr>
    </w:tbl>
    <w:p w:rsidR="00A23E0C" w:rsidRPr="003D50DD" w:rsidRDefault="00A23E0C" w:rsidP="00A240BA">
      <w:pPr>
        <w:pStyle w:val="indent1"/>
        <w:numPr>
          <w:ilvl w:val="0"/>
          <w:numId w:val="24"/>
        </w:numPr>
        <w:spacing w:after="40"/>
        <w:rPr>
          <w:b/>
          <w:bCs/>
        </w:rPr>
      </w:pPr>
      <w:r>
        <w:rPr>
          <w:rFonts w:hint="cs"/>
          <w:b/>
          <w:bCs/>
          <w:rtl/>
        </w:rPr>
        <w:t>الزمن والبيئة المتاحان للفاحصين لإجراء البحث والفحص</w:t>
      </w:r>
      <w:r w:rsidRPr="003D50DD">
        <w:rPr>
          <w:rFonts w:hint="cs"/>
          <w:b/>
          <w:bCs/>
          <w:rtl/>
        </w:rPr>
        <w:t>:</w:t>
      </w:r>
    </w:p>
    <w:p w:rsidR="00A23E0C" w:rsidRPr="003D50DD" w:rsidRDefault="00A23E0C" w:rsidP="00A240BA">
      <w:pPr>
        <w:pStyle w:val="indent1"/>
        <w:numPr>
          <w:ilvl w:val="0"/>
          <w:numId w:val="24"/>
        </w:numPr>
        <w:spacing w:after="40"/>
        <w:rPr>
          <w:b/>
          <w:bCs/>
        </w:rPr>
      </w:pPr>
      <w:r>
        <w:rPr>
          <w:rFonts w:hint="cs"/>
          <w:b/>
          <w:bCs/>
          <w:rtl/>
        </w:rPr>
        <w:t>جودة البحث والفحص الوطنيين:</w:t>
      </w:r>
    </w:p>
    <w:p w:rsidR="003D50DD" w:rsidRPr="003D50DD" w:rsidRDefault="003D50DD" w:rsidP="003D50DD">
      <w:pPr>
        <w:keepNext/>
        <w:pBdr>
          <w:top w:val="single" w:sz="4" w:space="3" w:color="auto"/>
          <w:bottom w:val="single" w:sz="4" w:space="3" w:color="auto"/>
        </w:pBdr>
        <w:spacing w:before="240" w:after="120"/>
        <w:outlineLvl w:val="1"/>
        <w:rPr>
          <w:rFonts w:eastAsia="SimSun"/>
          <w:bCs/>
          <w:caps/>
          <w:kern w:val="32"/>
          <w:lang w:eastAsia="zh-CN" w:bidi="ar-EG"/>
        </w:rPr>
      </w:pPr>
      <w:r w:rsidRPr="003D50DD">
        <w:rPr>
          <w:rFonts w:eastAsia="SimSun"/>
          <w:bCs/>
          <w:caps/>
          <w:kern w:val="32"/>
          <w:rtl/>
          <w:lang w:eastAsia="zh-CN" w:bidi="ar-EG"/>
        </w:rPr>
        <w:t>7 - الدعم المطلوب</w:t>
      </w:r>
    </w:p>
    <w:p w:rsidR="003D50DD" w:rsidRPr="003D50DD" w:rsidRDefault="003D50DD" w:rsidP="003D50DD">
      <w:pPr>
        <w:keepNext/>
        <w:pBdr>
          <w:top w:val="single" w:sz="4" w:space="3" w:color="auto"/>
          <w:bottom w:val="single" w:sz="4" w:space="3" w:color="auto"/>
        </w:pBdr>
        <w:spacing w:before="120" w:after="120"/>
        <w:outlineLvl w:val="1"/>
        <w:rPr>
          <w:rFonts w:eastAsia="SimSun"/>
          <w:bCs/>
          <w:caps/>
          <w:kern w:val="32"/>
          <w:lang w:eastAsia="zh-CN" w:bidi="ar-EG"/>
        </w:rPr>
      </w:pPr>
    </w:p>
    <w:p w:rsidR="003D50DD" w:rsidRDefault="009308C0" w:rsidP="003D50DD">
      <w:pPr>
        <w:spacing w:after="240" w:line="360" w:lineRule="exact"/>
        <w:rPr>
          <w:rFonts w:eastAsia="SimSun"/>
          <w:bCs/>
          <w:caps/>
          <w:kern w:val="32"/>
          <w:rtl/>
          <w:lang w:eastAsia="zh-CN" w:bidi="ar-EG"/>
        </w:rPr>
      </w:pPr>
      <w:r>
        <w:rPr>
          <w:rFonts w:eastAsia="SimSun" w:hint="cs"/>
          <w:bCs/>
          <w:caps/>
          <w:kern w:val="32"/>
          <w:rtl/>
          <w:lang w:eastAsia="zh-CN" w:bidi="ar-EG"/>
        </w:rPr>
        <w:t xml:space="preserve">8- </w:t>
      </w:r>
      <w:r w:rsidRPr="009308C0">
        <w:rPr>
          <w:rFonts w:eastAsia="SimSun"/>
          <w:bCs/>
          <w:caps/>
          <w:kern w:val="32"/>
          <w:rtl/>
          <w:lang w:eastAsia="zh-CN" w:bidi="ar-EG"/>
        </w:rPr>
        <w:t>مسائل أخرى</w:t>
      </w:r>
    </w:p>
    <w:p w:rsidR="009308C0" w:rsidRPr="009308C0" w:rsidRDefault="009308C0" w:rsidP="003D50DD">
      <w:pPr>
        <w:spacing w:after="240" w:line="360" w:lineRule="exact"/>
        <w:rPr>
          <w:rFonts w:eastAsia="SimSun"/>
          <w:bCs/>
          <w:caps/>
          <w:kern w:val="32"/>
          <w:rtl/>
          <w:lang w:eastAsia="zh-CN" w:bidi="ar-EG"/>
        </w:rPr>
      </w:pPr>
    </w:p>
    <w:p w:rsidR="003D50DD" w:rsidRDefault="003D50DD" w:rsidP="009308C0">
      <w:pPr>
        <w:keepNext/>
        <w:pBdr>
          <w:top w:val="single" w:sz="4" w:space="3" w:color="auto"/>
          <w:bottom w:val="single" w:sz="4" w:space="3" w:color="auto"/>
        </w:pBdr>
        <w:spacing w:before="120" w:after="120"/>
        <w:outlineLvl w:val="1"/>
        <w:rPr>
          <w:rFonts w:eastAsia="SimSun"/>
          <w:bCs/>
          <w:caps/>
          <w:kern w:val="32"/>
          <w:rtl/>
          <w:lang w:eastAsia="zh-CN" w:bidi="ar-EG"/>
        </w:rPr>
      </w:pPr>
      <w:r w:rsidRPr="003D50DD">
        <w:rPr>
          <w:rFonts w:eastAsia="SimSun"/>
          <w:bCs/>
          <w:caps/>
          <w:kern w:val="32"/>
          <w:rtl/>
          <w:lang w:eastAsia="zh-CN" w:bidi="ar-EG"/>
        </w:rPr>
        <w:t xml:space="preserve">9 - تقييم </w:t>
      </w:r>
      <w:r w:rsidRPr="003D50DD">
        <w:rPr>
          <w:rFonts w:eastAsia="SimSun" w:hint="cs"/>
          <w:bCs/>
          <w:caps/>
          <w:kern w:val="32"/>
          <w:rtl/>
          <w:lang w:eastAsia="zh-CN" w:bidi="ar-EG"/>
        </w:rPr>
        <w:t>ال</w:t>
      </w:r>
      <w:r w:rsidRPr="003D50DD">
        <w:rPr>
          <w:rFonts w:eastAsia="SimSun"/>
          <w:bCs/>
          <w:caps/>
          <w:kern w:val="32"/>
          <w:rtl/>
          <w:lang w:eastAsia="zh-CN" w:bidi="ar-EG"/>
        </w:rPr>
        <w:t xml:space="preserve">إدارات </w:t>
      </w:r>
      <w:r w:rsidRPr="003D50DD">
        <w:rPr>
          <w:rFonts w:eastAsia="SimSun" w:hint="cs"/>
          <w:bCs/>
          <w:caps/>
          <w:kern w:val="32"/>
          <w:rtl/>
          <w:lang w:eastAsia="zh-CN" w:bidi="ar-EG"/>
        </w:rPr>
        <w:t>ال</w:t>
      </w:r>
      <w:r w:rsidRPr="003D50DD">
        <w:rPr>
          <w:rFonts w:eastAsia="SimSun"/>
          <w:bCs/>
          <w:caps/>
          <w:kern w:val="32"/>
          <w:rtl/>
          <w:lang w:eastAsia="zh-CN" w:bidi="ar-EG"/>
        </w:rPr>
        <w:t>أخرى</w:t>
      </w:r>
    </w:p>
    <w:p w:rsidR="009308C0" w:rsidRPr="003D50DD" w:rsidRDefault="009308C0" w:rsidP="009308C0">
      <w:pPr>
        <w:keepNext/>
        <w:pBdr>
          <w:top w:val="single" w:sz="4" w:space="3" w:color="auto"/>
          <w:bottom w:val="single" w:sz="4" w:space="3" w:color="auto"/>
        </w:pBdr>
        <w:spacing w:before="120" w:after="120"/>
        <w:outlineLvl w:val="1"/>
        <w:rPr>
          <w:rFonts w:eastAsia="SimSun"/>
          <w:bCs/>
          <w:caps/>
          <w:kern w:val="32"/>
          <w:lang w:eastAsia="zh-CN" w:bidi="ar-EG"/>
        </w:rPr>
      </w:pPr>
    </w:p>
    <w:p w:rsidR="003D50DD" w:rsidRPr="003D50DD" w:rsidRDefault="003D50DD" w:rsidP="003D50DD">
      <w:pPr>
        <w:spacing w:before="480" w:after="240" w:line="360" w:lineRule="exact"/>
        <w:ind w:left="5534"/>
        <w:rPr>
          <w:rtl/>
        </w:rPr>
      </w:pPr>
    </w:p>
    <w:p w:rsidR="009308C0" w:rsidRDefault="009308C0">
      <w:pPr>
        <w:bidi w:val="0"/>
        <w:rPr>
          <w:b/>
          <w:bCs/>
          <w:rtl/>
        </w:rPr>
      </w:pPr>
      <w:r>
        <w:rPr>
          <w:b/>
          <w:bCs/>
          <w:rtl/>
        </w:rPr>
        <w:br w:type="page"/>
      </w:r>
    </w:p>
    <w:p w:rsidR="00106839" w:rsidRPr="00106839" w:rsidRDefault="00106839" w:rsidP="00A240BA">
      <w:pPr>
        <w:pStyle w:val="Heading2"/>
        <w:jc w:val="center"/>
        <w:rPr>
          <w:rtl/>
        </w:rPr>
      </w:pPr>
      <w:r>
        <w:rPr>
          <w:rFonts w:hint="cs"/>
          <w:rtl/>
        </w:rPr>
        <w:lastRenderedPageBreak/>
        <w:t xml:space="preserve">بعض الملاحظات </w:t>
      </w:r>
      <w:r w:rsidR="009308C0">
        <w:rPr>
          <w:rFonts w:hint="cs"/>
          <w:rtl/>
        </w:rPr>
        <w:t xml:space="preserve">عن طريقة ملء </w:t>
      </w:r>
      <w:r w:rsidRPr="00106839">
        <w:rPr>
          <w:rtl/>
        </w:rPr>
        <w:t>استمارة طلب التعيين كإدارة للبحث الدولي</w:t>
      </w:r>
    </w:p>
    <w:p w:rsidR="0045668D" w:rsidRPr="00106839" w:rsidRDefault="00106839" w:rsidP="00A240BA">
      <w:pPr>
        <w:pStyle w:val="Heading2"/>
        <w:jc w:val="center"/>
        <w:rPr>
          <w:rtl/>
        </w:rPr>
      </w:pPr>
      <w:r w:rsidRPr="00106839">
        <w:rPr>
          <w:rtl/>
        </w:rPr>
        <w:t>وإدارة للفحص التمهيدي الدولي في إطار معاهدة التعاون بشأن البراءات</w:t>
      </w:r>
    </w:p>
    <w:p w:rsidR="00106839" w:rsidRDefault="00106839" w:rsidP="00A240BA">
      <w:pPr>
        <w:pStyle w:val="BodyText"/>
        <w:rPr>
          <w:rtl/>
        </w:rPr>
      </w:pPr>
      <w:r>
        <w:rPr>
          <w:rFonts w:hint="cs"/>
          <w:rtl/>
        </w:rPr>
        <w:t xml:space="preserve">بمقتضى التفاهم الذي اعتمدته جمعية معاهدة التعاون بشأن البراءات في دورتها الخمسين (انظر الوثيقة </w:t>
      </w:r>
      <w:r w:rsidRPr="00106839">
        <w:t>PCT/A/50/3</w:t>
      </w:r>
      <w:r>
        <w:rPr>
          <w:rFonts w:hint="cs"/>
          <w:rtl/>
        </w:rPr>
        <w:t xml:space="preserve">) ينبغي على جميع المكاتب والمنظمات الحكومية الدولية التي تقدم طلب التعيين كإدارة للبحث الدولي وإدارة للفحص التمهيدي الدولي في إطار معاهدة التعاون بشأن البراءات أن تستخدم هذه الاستمارة. ويستحسن أن تقدم استمارة الطلب إلى المكتب الدولي، قبل تاريخ 1 مارس من السنة التي ستنظر فيها جمعية التعاون بشأن البراءات في الطلب، أو بصفة عامة، قبل شهرين </w:t>
      </w:r>
      <w:r w:rsidR="00A26B82">
        <w:rPr>
          <w:rFonts w:hint="cs"/>
          <w:rtl/>
        </w:rPr>
        <w:t>على الأقل قبل افتتاح دورة لجنة التعاون الفني التي ستنظر في طلب التعيين.</w:t>
      </w:r>
    </w:p>
    <w:p w:rsidR="00A26B82" w:rsidRDefault="00A26B82" w:rsidP="00A240BA">
      <w:pPr>
        <w:pStyle w:val="BodyText"/>
        <w:rPr>
          <w:rtl/>
        </w:rPr>
      </w:pPr>
      <w:r>
        <w:rPr>
          <w:rFonts w:hint="cs"/>
          <w:rtl/>
        </w:rPr>
        <w:t xml:space="preserve">ويفضل أن ترسل استمارة الطلب بنسق </w:t>
      </w:r>
      <w:r w:rsidRPr="00A26B82">
        <w:t>DOCX</w:t>
      </w:r>
      <w:r>
        <w:rPr>
          <w:rFonts w:hint="cs"/>
          <w:rtl/>
        </w:rPr>
        <w:t xml:space="preserve">، </w:t>
      </w:r>
      <w:r w:rsidRPr="006748A1">
        <w:rPr>
          <w:rFonts w:hint="cs"/>
          <w:rtl/>
        </w:rPr>
        <w:t xml:space="preserve">باستخدام الأنماط </w:t>
      </w:r>
      <w:r w:rsidR="006748A1">
        <w:rPr>
          <w:rFonts w:hint="cs"/>
          <w:rtl/>
          <w:lang w:val="fr-FR" w:bidi="ar-JO"/>
        </w:rPr>
        <w:t xml:space="preserve">المدمجة </w:t>
      </w:r>
      <w:r w:rsidRPr="006748A1">
        <w:rPr>
          <w:rFonts w:hint="cs"/>
          <w:rtl/>
        </w:rPr>
        <w:t>في</w:t>
      </w:r>
      <w:r>
        <w:rPr>
          <w:rFonts w:hint="cs"/>
          <w:rtl/>
        </w:rPr>
        <w:t xml:space="preserve"> النموذج. ويجب أن يقتصر النص الوارد ضمن الرسوم على الحد الأدنى الممكن، وأن </w:t>
      </w:r>
      <w:r w:rsidR="006748A1">
        <w:rPr>
          <w:rFonts w:hint="cs"/>
          <w:rtl/>
        </w:rPr>
        <w:t xml:space="preserve">يدمج </w:t>
      </w:r>
      <w:r>
        <w:rPr>
          <w:rFonts w:hint="cs"/>
          <w:rtl/>
        </w:rPr>
        <w:t>في الرسم أو أن يرسل ذلك النص بنسق أو عرض يساعد على ترجمته إلى اللغات الخمس الأخرى التي ترد فيها وثائق لجنة التعاون الفني.</w:t>
      </w:r>
    </w:p>
    <w:p w:rsidR="00AA48DF" w:rsidRDefault="006748A1" w:rsidP="00A240BA">
      <w:pPr>
        <w:pStyle w:val="BodyText"/>
        <w:rPr>
          <w:rtl/>
        </w:rPr>
      </w:pPr>
      <w:r>
        <w:rPr>
          <w:rFonts w:hint="cs"/>
          <w:rtl/>
        </w:rPr>
        <w:t>ويجب ملء</w:t>
      </w:r>
      <w:r w:rsidR="00AA48DF">
        <w:rPr>
          <w:rFonts w:hint="cs"/>
          <w:rtl/>
        </w:rPr>
        <w:t xml:space="preserve"> القسمين 1 و2 من الاستمارة. غير أنه يوصى بشكل كبير بملء جميع الأقسام الأخرى من أجل مد الدول الأعضاء بصورة مكتملة عن المكتب والدور الذي يقترح أن يؤديه ضمن نظام معاهدة التعاون بشأن البراءات. وتقدم الملاحظات الواردة أدناه بعض المعلومات الإضافية عن طريقة ملء أقسام الاستمارة المختلفة.</w:t>
      </w:r>
    </w:p>
    <w:bookmarkEnd w:id="5"/>
    <w:p w:rsidR="00106839" w:rsidRPr="006748A1" w:rsidRDefault="00AA48DF" w:rsidP="00106839">
      <w:pPr>
        <w:pStyle w:val="BodyText"/>
        <w:rPr>
          <w:rFonts w:eastAsia="SimSun"/>
          <w:i/>
          <w:iCs/>
          <w:rtl/>
        </w:rPr>
      </w:pPr>
      <w:r w:rsidRPr="006748A1">
        <w:rPr>
          <w:rFonts w:eastAsia="SimSun" w:hint="cs"/>
          <w:i/>
          <w:iCs/>
          <w:rtl/>
        </w:rPr>
        <w:t xml:space="preserve">القسم </w:t>
      </w:r>
      <w:r w:rsidR="000B0CFF" w:rsidRPr="006748A1">
        <w:rPr>
          <w:rFonts w:eastAsia="SimSun" w:hint="cs"/>
          <w:i/>
          <w:iCs/>
          <w:rtl/>
        </w:rPr>
        <w:t xml:space="preserve">1 </w:t>
      </w:r>
      <w:r w:rsidRPr="006748A1">
        <w:rPr>
          <w:rFonts w:eastAsia="SimSun" w:hint="cs"/>
          <w:i/>
          <w:iCs/>
          <w:rtl/>
        </w:rPr>
        <w:t xml:space="preserve">- </w:t>
      </w:r>
      <w:r w:rsidR="00106839" w:rsidRPr="006748A1">
        <w:rPr>
          <w:rFonts w:eastAsia="SimSun"/>
          <w:i/>
          <w:iCs/>
          <w:rtl/>
        </w:rPr>
        <w:t>معلومات عامة</w:t>
      </w:r>
    </w:p>
    <w:p w:rsidR="00266180" w:rsidRDefault="00266180" w:rsidP="00A240BA">
      <w:pPr>
        <w:pStyle w:val="NormalParaAR"/>
        <w:rPr>
          <w:rtl/>
        </w:rPr>
      </w:pPr>
      <w:r>
        <w:rPr>
          <w:rFonts w:hint="cs"/>
          <w:rtl/>
        </w:rPr>
        <w:t>1(</w:t>
      </w:r>
      <w:r w:rsidR="00A240BA">
        <w:rPr>
          <w:rFonts w:hint="cs"/>
          <w:rtl/>
        </w:rPr>
        <w:t>ب</w:t>
      </w:r>
      <w:r>
        <w:rPr>
          <w:rFonts w:hint="cs"/>
          <w:rtl/>
        </w:rPr>
        <w:t>)</w:t>
      </w:r>
      <w:r>
        <w:rPr>
          <w:rtl/>
        </w:rPr>
        <w:tab/>
      </w:r>
      <w:r>
        <w:rPr>
          <w:rFonts w:hint="cs"/>
          <w:rtl/>
        </w:rPr>
        <w:t xml:space="preserve">ينبغي ترك تاريخ استلام طلب التعيين فارغا. ويتكفل </w:t>
      </w:r>
      <w:r>
        <w:rPr>
          <w:rtl/>
        </w:rPr>
        <w:t xml:space="preserve">المكتب الدولي </w:t>
      </w:r>
      <w:r>
        <w:rPr>
          <w:rFonts w:hint="cs"/>
          <w:rtl/>
        </w:rPr>
        <w:t>بملء التاريخ</w:t>
      </w:r>
      <w:r w:rsidR="000B0CFF">
        <w:rPr>
          <w:rFonts w:hint="cs"/>
          <w:rtl/>
        </w:rPr>
        <w:t>.</w:t>
      </w:r>
    </w:p>
    <w:p w:rsidR="00266180" w:rsidRDefault="00A240BA" w:rsidP="00167952">
      <w:pPr>
        <w:pStyle w:val="BodyText"/>
        <w:rPr>
          <w:rtl/>
        </w:rPr>
      </w:pPr>
      <w:r>
        <w:rPr>
          <w:rFonts w:hint="cs"/>
          <w:rtl/>
        </w:rPr>
        <w:t>1</w:t>
      </w:r>
      <w:r w:rsidR="000B0CFF">
        <w:rPr>
          <w:rFonts w:hint="cs"/>
          <w:rtl/>
        </w:rPr>
        <w:t>(</w:t>
      </w:r>
      <w:r>
        <w:rPr>
          <w:rFonts w:hint="cs"/>
          <w:rtl/>
        </w:rPr>
        <w:t>ه</w:t>
      </w:r>
      <w:r w:rsidR="000B0CFF">
        <w:rPr>
          <w:rFonts w:hint="cs"/>
          <w:rtl/>
        </w:rPr>
        <w:t>)</w:t>
      </w:r>
      <w:r w:rsidR="000B0CFF">
        <w:rPr>
          <w:rtl/>
        </w:rPr>
        <w:tab/>
      </w:r>
      <w:r w:rsidR="00266180">
        <w:rPr>
          <w:rtl/>
        </w:rPr>
        <w:t xml:space="preserve">يُرجى بيان الإدارة أو الإدارات التي تساعد المكتب الملتمس التعيين إذا اتبّع مكتبكم التوصية الواردة في الفقرة (أ) من إجراءات تعيين الإدارات الدولية التي اعتمدتها جمعية معاهدة البراءات (الفقرة 25 من الوثيقة </w:t>
      </w:r>
      <w:r w:rsidR="00266180">
        <w:t>PCT/A/46/6</w:t>
      </w:r>
      <w:r w:rsidR="000B0CFF">
        <w:rPr>
          <w:rtl/>
        </w:rPr>
        <w:t>).</w:t>
      </w:r>
      <w:r w:rsidR="000B0CFF">
        <w:rPr>
          <w:rFonts w:hint="cs"/>
          <w:rtl/>
        </w:rPr>
        <w:t xml:space="preserve"> وينبغي عادة أن ترد تقييمات تلك الإدارات ضمن القسم 9 أو ضمن مرافق الطلب.</w:t>
      </w:r>
    </w:p>
    <w:p w:rsidR="00266180" w:rsidRPr="006748A1" w:rsidRDefault="000B0CFF" w:rsidP="000B0CFF">
      <w:pPr>
        <w:pStyle w:val="NormalParaAR"/>
        <w:rPr>
          <w:i/>
          <w:iCs/>
          <w:rtl/>
        </w:rPr>
      </w:pPr>
      <w:r w:rsidRPr="006748A1">
        <w:rPr>
          <w:rFonts w:hint="cs"/>
          <w:i/>
          <w:iCs/>
          <w:rtl/>
        </w:rPr>
        <w:t xml:space="preserve">القسم </w:t>
      </w:r>
      <w:r w:rsidR="00266180" w:rsidRPr="006748A1">
        <w:rPr>
          <w:i/>
          <w:iCs/>
          <w:rtl/>
        </w:rPr>
        <w:t>2 - متطلبات التعيين الدنيا</w:t>
      </w:r>
    </w:p>
    <w:p w:rsidR="00266180" w:rsidRPr="006748A1" w:rsidRDefault="00266180" w:rsidP="00AB2043">
      <w:pPr>
        <w:pStyle w:val="Heading5"/>
        <w:rPr>
          <w:rtl/>
        </w:rPr>
      </w:pPr>
      <w:r w:rsidRPr="006748A1">
        <w:rPr>
          <w:rtl/>
        </w:rPr>
        <w:t>1.2 - القدرة على البحث والفحص</w:t>
      </w:r>
    </w:p>
    <w:p w:rsidR="00266180" w:rsidRDefault="00BB64B8" w:rsidP="00167952">
      <w:pPr>
        <w:pStyle w:val="BodyText"/>
        <w:rPr>
          <w:rtl/>
        </w:rPr>
      </w:pPr>
      <w:r>
        <w:rPr>
          <w:rFonts w:hint="cs"/>
          <w:rtl/>
        </w:rPr>
        <w:t>1.2(أ)</w:t>
      </w:r>
      <w:r>
        <w:rPr>
          <w:rtl/>
        </w:rPr>
        <w:tab/>
      </w:r>
      <w:r w:rsidR="0004779D">
        <w:rPr>
          <w:rFonts w:hint="cs"/>
          <w:rtl/>
        </w:rPr>
        <w:t xml:space="preserve">يرمي </w:t>
      </w:r>
      <w:r w:rsidR="00266180">
        <w:rPr>
          <w:rtl/>
        </w:rPr>
        <w:t xml:space="preserve">التوزيع المبيّن </w:t>
      </w:r>
      <w:r>
        <w:rPr>
          <w:rFonts w:hint="cs"/>
          <w:rtl/>
        </w:rPr>
        <w:t xml:space="preserve">في نموذج الجدول </w:t>
      </w:r>
      <w:r w:rsidR="0004779D">
        <w:rPr>
          <w:rFonts w:hint="cs"/>
          <w:rtl/>
        </w:rPr>
        <w:t xml:space="preserve">إلى </w:t>
      </w:r>
      <w:r>
        <w:rPr>
          <w:rFonts w:hint="cs"/>
          <w:rtl/>
        </w:rPr>
        <w:t xml:space="preserve">تقديم مثال </w:t>
      </w:r>
      <w:r w:rsidR="0004779D">
        <w:rPr>
          <w:rFonts w:hint="cs"/>
          <w:rtl/>
        </w:rPr>
        <w:t xml:space="preserve">عن </w:t>
      </w:r>
      <w:r>
        <w:rPr>
          <w:rFonts w:hint="cs"/>
          <w:rtl/>
        </w:rPr>
        <w:t xml:space="preserve">طريقة تحديد المكتب لسعة </w:t>
      </w:r>
      <w:r w:rsidR="0004779D">
        <w:rPr>
          <w:rFonts w:hint="cs"/>
          <w:rtl/>
        </w:rPr>
        <w:t xml:space="preserve">خبرة </w:t>
      </w:r>
      <w:r>
        <w:rPr>
          <w:rFonts w:hint="cs"/>
          <w:rtl/>
        </w:rPr>
        <w:t xml:space="preserve">كل فاحص وعمقها. غير أنه يعن للمكتب أن يوزع معلومات أخرى </w:t>
      </w:r>
      <w:r w:rsidR="0030739C">
        <w:rPr>
          <w:rFonts w:hint="cs"/>
          <w:rtl/>
        </w:rPr>
        <w:t>تؤدي نفس الغرض</w:t>
      </w:r>
      <w:r>
        <w:rPr>
          <w:rFonts w:hint="cs"/>
          <w:rtl/>
        </w:rPr>
        <w:t>، بشكل مختلف، إذا رأى أن ذلك سيتيح لأعضاء لجنة التعاون الفني فهما أفضل</w:t>
      </w:r>
      <w:r>
        <w:rPr>
          <w:rtl/>
        </w:rPr>
        <w:t>.</w:t>
      </w:r>
    </w:p>
    <w:p w:rsidR="00266180" w:rsidRDefault="00BB64B8" w:rsidP="00167952">
      <w:pPr>
        <w:pStyle w:val="BodyText"/>
        <w:rPr>
          <w:rtl/>
        </w:rPr>
      </w:pPr>
      <w:r>
        <w:rPr>
          <w:rFonts w:hint="cs"/>
          <w:rtl/>
        </w:rPr>
        <w:t>1.2(ب)</w:t>
      </w:r>
      <w:r>
        <w:rPr>
          <w:rtl/>
        </w:rPr>
        <w:tab/>
      </w:r>
      <w:r>
        <w:rPr>
          <w:rFonts w:hint="cs"/>
          <w:rtl/>
        </w:rPr>
        <w:t xml:space="preserve">ينبغي أن يقدم المكتب </w:t>
      </w:r>
      <w:r w:rsidR="00266180">
        <w:rPr>
          <w:rtl/>
        </w:rPr>
        <w:t>تفاصيل برامج التدريب المعدة للفاحصين الجدد وأنشطة التدريب الجارية للفاحصين الحاليين</w:t>
      </w:r>
      <w:r>
        <w:rPr>
          <w:rFonts w:hint="cs"/>
          <w:rtl/>
        </w:rPr>
        <w:t>.</w:t>
      </w:r>
      <w:r w:rsidR="00235F65">
        <w:rPr>
          <w:rFonts w:hint="cs"/>
          <w:rtl/>
        </w:rPr>
        <w:t xml:space="preserve"> ويمكن أن </w:t>
      </w:r>
      <w:r w:rsidR="00266180">
        <w:rPr>
          <w:rtl/>
        </w:rPr>
        <w:t xml:space="preserve">تغطي </w:t>
      </w:r>
      <w:r w:rsidR="00235F65">
        <w:rPr>
          <w:rFonts w:hint="cs"/>
          <w:rtl/>
        </w:rPr>
        <w:t xml:space="preserve">التفاصيل </w:t>
      </w:r>
      <w:r w:rsidR="00266180">
        <w:rPr>
          <w:rtl/>
        </w:rPr>
        <w:t>البحث والفحص العامين وموضوعات الحماية الخاصة وتدريب المدربين، بما في ذلك الفترات ا</w:t>
      </w:r>
      <w:r w:rsidR="00235F65">
        <w:rPr>
          <w:rtl/>
        </w:rPr>
        <w:t>لزمنية العادية المكرسة للتدريب.</w:t>
      </w:r>
    </w:p>
    <w:p w:rsidR="00266180" w:rsidRPr="00AB2043" w:rsidRDefault="00235F65" w:rsidP="00AB2043">
      <w:pPr>
        <w:pStyle w:val="Heading5"/>
        <w:rPr>
          <w:rStyle w:val="Heading3Char"/>
          <w:rtl/>
        </w:rPr>
      </w:pPr>
      <w:r w:rsidRPr="00AB2043">
        <w:rPr>
          <w:rFonts w:hint="cs"/>
          <w:i w:val="0"/>
          <w:iCs w:val="0"/>
          <w:rtl/>
        </w:rPr>
        <w:lastRenderedPageBreak/>
        <w:t>2.2</w:t>
      </w:r>
      <w:r w:rsidRPr="00AB2043">
        <w:rPr>
          <w:rStyle w:val="Heading3Char"/>
          <w:rFonts w:hint="cs"/>
          <w:rtl/>
        </w:rPr>
        <w:t xml:space="preserve"> - </w:t>
      </w:r>
      <w:r w:rsidRPr="00AB2043">
        <w:rPr>
          <w:rStyle w:val="Heading3Char"/>
          <w:rtl/>
        </w:rPr>
        <w:t>الحد الأدنى من الوثائق</w:t>
      </w:r>
    </w:p>
    <w:p w:rsidR="00266180" w:rsidRDefault="00235F65" w:rsidP="00167952">
      <w:pPr>
        <w:pStyle w:val="BodyText"/>
        <w:rPr>
          <w:rtl/>
        </w:rPr>
      </w:pPr>
      <w:r>
        <w:rPr>
          <w:rFonts w:hint="cs"/>
          <w:rtl/>
        </w:rPr>
        <w:t>2.2(أ)</w:t>
      </w:r>
      <w:r>
        <w:rPr>
          <w:rFonts w:hint="cs"/>
          <w:rtl/>
        </w:rPr>
        <w:tab/>
        <w:t>ينبغي أن يتضمن هذا البند،</w:t>
      </w:r>
      <w:r w:rsidR="0030739C">
        <w:rPr>
          <w:rFonts w:hint="cs"/>
          <w:rtl/>
        </w:rPr>
        <w:t xml:space="preserve"> أحد البيانين التاليين، وهما: "1" بيان ينص على أنه "</w:t>
      </w:r>
      <w:r w:rsidR="0030739C" w:rsidRPr="0030739C">
        <w:rPr>
          <w:rtl/>
        </w:rPr>
        <w:t xml:space="preserve">لدى </w:t>
      </w:r>
      <w:r w:rsidR="0030739C">
        <w:rPr>
          <w:rFonts w:hint="cs"/>
          <w:rtl/>
        </w:rPr>
        <w:t xml:space="preserve">المكتب </w:t>
      </w:r>
      <w:r w:rsidR="0030739C" w:rsidRPr="0030739C">
        <w:rPr>
          <w:rtl/>
        </w:rPr>
        <w:t xml:space="preserve">إمكانية النفاذ الكامل إلى الحد الأدنى من الوثائق </w:t>
      </w:r>
      <w:r w:rsidR="0030739C">
        <w:rPr>
          <w:rFonts w:hint="cs"/>
          <w:rtl/>
        </w:rPr>
        <w:t>لأغراض البحث"؛ أو "2" بيان ينص على أن المكتب لديه إمكانية النفاذ الجزئي. وينبغي على المكتب، في الحالة الثانية، أن يبين ماهي مجالات الوثائق غير المتاحة لديه حاليا، وكيف ومتى ينوي المكتب أن تكون لديه إمكانية النفاذ للأجزاء الوجيهة (يجب أن يتم ذلك قبل تعيين المكتب من طرف جمعية معاهدة التعاون بشأن البراءات كإدارة دولية).</w:t>
      </w:r>
    </w:p>
    <w:p w:rsidR="00266180" w:rsidRDefault="0030739C" w:rsidP="00167952">
      <w:pPr>
        <w:pStyle w:val="BodyText"/>
        <w:rPr>
          <w:rtl/>
        </w:rPr>
      </w:pPr>
      <w:r>
        <w:rPr>
          <w:rFonts w:hint="cs"/>
          <w:rtl/>
        </w:rPr>
        <w:t>2.2(ب)</w:t>
      </w:r>
      <w:r>
        <w:rPr>
          <w:rFonts w:hint="cs"/>
          <w:rtl/>
        </w:rPr>
        <w:tab/>
        <w:t xml:space="preserve">وينبغي أن يبين المكتب </w:t>
      </w:r>
      <w:r w:rsidR="00266180">
        <w:rPr>
          <w:rtl/>
        </w:rPr>
        <w:t>نظم تكنولوجيا المعلومات (قواعد البيانات أو المجموعات الورقية) المستخدمة في البحث عن أشكال مختلفة من التقنية الصناعية السابقة. وينبغي بيان نطاق تغطية قواعد البيانات إذا لم يك</w:t>
      </w:r>
      <w:r w:rsidR="00354422">
        <w:rPr>
          <w:rtl/>
        </w:rPr>
        <w:t>ن معروفاً أو بديهياً من السياق.</w:t>
      </w:r>
      <w:r w:rsidR="00354422">
        <w:rPr>
          <w:rFonts w:hint="cs"/>
          <w:rtl/>
        </w:rPr>
        <w:t xml:space="preserve"> </w:t>
      </w:r>
      <w:r w:rsidR="00414B19">
        <w:rPr>
          <w:rFonts w:hint="cs"/>
          <w:rtl/>
        </w:rPr>
        <w:t>ويجب</w:t>
      </w:r>
      <w:r w:rsidR="00354422">
        <w:rPr>
          <w:rFonts w:hint="cs"/>
          <w:rtl/>
        </w:rPr>
        <w:t xml:space="preserve">، </w:t>
      </w:r>
      <w:r w:rsidR="00924931">
        <w:rPr>
          <w:rFonts w:hint="cs"/>
          <w:rtl/>
        </w:rPr>
        <w:t>عموما</w:t>
      </w:r>
      <w:r w:rsidR="00354422">
        <w:rPr>
          <w:rFonts w:hint="cs"/>
          <w:rtl/>
        </w:rPr>
        <w:t>، ال</w:t>
      </w:r>
      <w:r w:rsidR="00266180">
        <w:rPr>
          <w:rtl/>
        </w:rPr>
        <w:t xml:space="preserve">تركيز </w:t>
      </w:r>
      <w:r w:rsidR="00354422">
        <w:rPr>
          <w:rFonts w:hint="cs"/>
          <w:rtl/>
        </w:rPr>
        <w:t xml:space="preserve">في </w:t>
      </w:r>
      <w:r w:rsidR="00266180">
        <w:rPr>
          <w:rtl/>
        </w:rPr>
        <w:t xml:space="preserve">هذا </w:t>
      </w:r>
      <w:r w:rsidR="00924931">
        <w:rPr>
          <w:rFonts w:hint="cs"/>
          <w:rtl/>
        </w:rPr>
        <w:t xml:space="preserve">القسم </w:t>
      </w:r>
      <w:r w:rsidR="00266180">
        <w:rPr>
          <w:rtl/>
        </w:rPr>
        <w:t xml:space="preserve">على </w:t>
      </w:r>
      <w:r w:rsidR="00354422">
        <w:rPr>
          <w:rFonts w:hint="cs"/>
          <w:rtl/>
        </w:rPr>
        <w:t xml:space="preserve">نطاق تغطية </w:t>
      </w:r>
      <w:r w:rsidR="00266180">
        <w:rPr>
          <w:rtl/>
        </w:rPr>
        <w:t xml:space="preserve">قواعد البيانات المتاحة عوضاً </w:t>
      </w:r>
      <w:r w:rsidR="00354422">
        <w:rPr>
          <w:rFonts w:hint="cs"/>
          <w:rtl/>
        </w:rPr>
        <w:t xml:space="preserve">الأدوات المحددة </w:t>
      </w:r>
      <w:r w:rsidR="00266180">
        <w:rPr>
          <w:rtl/>
        </w:rPr>
        <w:t>المستخدمة للنفاذ إليها</w:t>
      </w:r>
      <w:r w:rsidR="00354422">
        <w:rPr>
          <w:rFonts w:hint="cs"/>
          <w:rtl/>
        </w:rPr>
        <w:t>.</w:t>
      </w:r>
    </w:p>
    <w:p w:rsidR="004138E7" w:rsidRDefault="004138E7" w:rsidP="00167952">
      <w:pPr>
        <w:pStyle w:val="Heading5"/>
        <w:rPr>
          <w:rtl/>
        </w:rPr>
      </w:pPr>
      <w:r>
        <w:rPr>
          <w:rFonts w:hint="cs"/>
          <w:rtl/>
        </w:rPr>
        <w:t>3.2 - اللغات</w:t>
      </w:r>
    </w:p>
    <w:p w:rsidR="004138E7" w:rsidRDefault="00E64937" w:rsidP="00167952">
      <w:pPr>
        <w:pStyle w:val="BodyText"/>
        <w:rPr>
          <w:rtl/>
        </w:rPr>
      </w:pPr>
      <w:r>
        <w:rPr>
          <w:rFonts w:hint="cs"/>
          <w:rtl/>
        </w:rPr>
        <w:t>3.2(أ)</w:t>
      </w:r>
      <w:r>
        <w:rPr>
          <w:rFonts w:hint="cs"/>
          <w:rtl/>
        </w:rPr>
        <w:tab/>
        <w:t xml:space="preserve">أدرج هذا البند في الاستمارة كأساس، إذ ينبغي أن يكون أعضاء الجنة التعاون الفني </w:t>
      </w:r>
      <w:r w:rsidR="00FC378D">
        <w:rPr>
          <w:rFonts w:hint="cs"/>
          <w:rtl/>
        </w:rPr>
        <w:t xml:space="preserve">قادرين </w:t>
      </w:r>
      <w:r>
        <w:rPr>
          <w:rFonts w:hint="cs"/>
          <w:rtl/>
        </w:rPr>
        <w:t xml:space="preserve">دون أي استفسار إضافي </w:t>
      </w:r>
      <w:r w:rsidR="00FC378D">
        <w:rPr>
          <w:rFonts w:hint="cs"/>
          <w:rtl/>
        </w:rPr>
        <w:t xml:space="preserve">على </w:t>
      </w:r>
      <w:r>
        <w:rPr>
          <w:rFonts w:hint="cs"/>
          <w:rtl/>
        </w:rPr>
        <w:t xml:space="preserve">افتراض أن أغلب الفاحصين، إن لم يكن جميعهم، يتمتعون بمهارات جيدة في </w:t>
      </w:r>
      <w:r w:rsidRPr="00E64937">
        <w:rPr>
          <w:rtl/>
        </w:rPr>
        <w:t>اللغات التي يمكن بها إيداع الطلبات الوطنية ومعالجتها</w:t>
      </w:r>
      <w:r>
        <w:rPr>
          <w:rFonts w:hint="cs"/>
          <w:rtl/>
        </w:rPr>
        <w:t>.</w:t>
      </w:r>
    </w:p>
    <w:p w:rsidR="00E64937" w:rsidRDefault="00E64937" w:rsidP="00167952">
      <w:pPr>
        <w:pStyle w:val="BodyText"/>
        <w:rPr>
          <w:rtl/>
        </w:rPr>
      </w:pPr>
      <w:r>
        <w:rPr>
          <w:rFonts w:hint="cs"/>
          <w:rtl/>
        </w:rPr>
        <w:t>3.2(ب)و(ج)</w:t>
      </w:r>
      <w:r>
        <w:rPr>
          <w:rtl/>
        </w:rPr>
        <w:tab/>
      </w:r>
      <w:r>
        <w:rPr>
          <w:rFonts w:hint="cs"/>
          <w:rtl/>
        </w:rPr>
        <w:t>ت</w:t>
      </w:r>
      <w:r>
        <w:rPr>
          <w:rtl/>
        </w:rPr>
        <w:t xml:space="preserve">تعلق هاتان القاعدتان </w:t>
      </w:r>
      <w:r w:rsidR="00F41DC9">
        <w:rPr>
          <w:rFonts w:hint="cs"/>
          <w:rtl/>
        </w:rPr>
        <w:t xml:space="preserve">أساسا بالمعلومات </w:t>
      </w:r>
      <w:r w:rsidR="00117665">
        <w:rPr>
          <w:rFonts w:hint="cs"/>
          <w:rtl/>
        </w:rPr>
        <w:t xml:space="preserve">التي تبين </w:t>
      </w:r>
      <w:r>
        <w:rPr>
          <w:rtl/>
        </w:rPr>
        <w:t xml:space="preserve">قدرة </w:t>
      </w:r>
      <w:r w:rsidR="00117665">
        <w:rPr>
          <w:rFonts w:hint="cs"/>
          <w:rtl/>
        </w:rPr>
        <w:t xml:space="preserve">الفاحصين على التعامل مع الوثائق الواردة مع الطلب </w:t>
      </w:r>
      <w:r>
        <w:rPr>
          <w:rtl/>
        </w:rPr>
        <w:t xml:space="preserve">بلغات الحد الأدنى للوثائق. </w:t>
      </w:r>
      <w:r w:rsidR="00117665">
        <w:rPr>
          <w:rFonts w:hint="cs"/>
          <w:rtl/>
        </w:rPr>
        <w:t xml:space="preserve">غير أنه يمكن ذكر المعلومات المتعلقة بأي لغة أخرى. ويمكن أن يتضمن الرد على البند (ب) المعلومات المتعلقة بعدد الفاحصين </w:t>
      </w:r>
      <w:r w:rsidR="00E474E2">
        <w:rPr>
          <w:rFonts w:hint="cs"/>
          <w:rtl/>
        </w:rPr>
        <w:t>وتوزعهم حسب المجالات التقنية والخبرات ا</w:t>
      </w:r>
      <w:r w:rsidR="00FC378D">
        <w:rPr>
          <w:rFonts w:hint="cs"/>
          <w:rtl/>
        </w:rPr>
        <w:t>للغوية المتاحة. وقد يكون من المف</w:t>
      </w:r>
      <w:r w:rsidR="00E474E2">
        <w:rPr>
          <w:rFonts w:hint="cs"/>
          <w:rtl/>
        </w:rPr>
        <w:t>يد أن يشمل الرد على البند (ج) المعلومات المتعلقة ب</w:t>
      </w:r>
      <w:r>
        <w:rPr>
          <w:rtl/>
        </w:rPr>
        <w:t>الترجمة الآلية المدمجة في خدمات البحث أو إمكانية تواصل الفاحصين مع أخصائيين لغويين عند الحاجة</w:t>
      </w:r>
      <w:r w:rsidR="00E474E2">
        <w:rPr>
          <w:rFonts w:hint="cs"/>
          <w:rtl/>
        </w:rPr>
        <w:t>.</w:t>
      </w:r>
    </w:p>
    <w:p w:rsidR="00266180" w:rsidRPr="00FC378D" w:rsidRDefault="00D16CCE" w:rsidP="00167952">
      <w:pPr>
        <w:pStyle w:val="Heading5"/>
        <w:rPr>
          <w:i w:val="0"/>
          <w:iCs w:val="0"/>
          <w:rtl/>
        </w:rPr>
      </w:pPr>
      <w:r w:rsidRPr="00FC378D">
        <w:rPr>
          <w:rFonts w:hint="cs"/>
          <w:rtl/>
          <w:lang w:val="fr-FR" w:bidi="ar-JO"/>
        </w:rPr>
        <w:t>4.2</w:t>
      </w:r>
      <w:r w:rsidR="00266180" w:rsidRPr="00FC378D">
        <w:rPr>
          <w:rtl/>
        </w:rPr>
        <w:t xml:space="preserve"> - إدارة الجودة</w:t>
      </w:r>
    </w:p>
    <w:p w:rsidR="00266180" w:rsidRDefault="00D16CCE" w:rsidP="00167952">
      <w:pPr>
        <w:pStyle w:val="BodyText"/>
        <w:rPr>
          <w:rtl/>
        </w:rPr>
      </w:pPr>
      <w:r>
        <w:rPr>
          <w:rFonts w:hint="cs"/>
          <w:rtl/>
        </w:rPr>
        <w:t xml:space="preserve">أقرت إجراءات تعيين المكاتب كإدارة دولية (الفقرة (د) من التفاهم الوارد في الوثيقة </w:t>
      </w:r>
      <w:r w:rsidRPr="00D16CCE">
        <w:t>PCT/A/50/3</w:t>
      </w:r>
      <w:r>
        <w:rPr>
          <w:rFonts w:hint="cs"/>
          <w:rtl/>
        </w:rPr>
        <w:t xml:space="preserve">) </w:t>
      </w:r>
      <w:r w:rsidR="00FC378D">
        <w:rPr>
          <w:rFonts w:hint="cs"/>
          <w:rtl/>
        </w:rPr>
        <w:t>ب</w:t>
      </w:r>
      <w:r>
        <w:rPr>
          <w:rFonts w:hint="cs"/>
          <w:rtl/>
        </w:rPr>
        <w:t xml:space="preserve">أنه لا يمكن تفعيل نظم إدارة الجودة المطلوبة في هذه المرحلة بالكامل. ولذا ينبغي </w:t>
      </w:r>
      <w:r w:rsidR="004D714B">
        <w:rPr>
          <w:rFonts w:hint="cs"/>
          <w:rtl/>
        </w:rPr>
        <w:t>إرفاق تقرير</w:t>
      </w:r>
      <w:r>
        <w:rPr>
          <w:rFonts w:hint="cs"/>
          <w:rtl/>
        </w:rPr>
        <w:t xml:space="preserve">، </w:t>
      </w:r>
      <w:r w:rsidR="004D714B" w:rsidRPr="004D714B">
        <w:rPr>
          <w:rtl/>
        </w:rPr>
        <w:t xml:space="preserve">وفقاً للنموذج الذي تستخدمه الإدارات الدولية، يبيّن إلى أي مدى يستوفي نظام إدارة الجودة الوطني المتطلبات المنصوص عليها في الفصل 21 من المبادئ التوجيهية الخاصة بالبحث الدولي والفحص التمهيدي الدولي </w:t>
      </w:r>
      <w:r w:rsidR="00FC378D">
        <w:rPr>
          <w:rFonts w:hint="cs"/>
          <w:rtl/>
        </w:rPr>
        <w:t xml:space="preserve">في إطار </w:t>
      </w:r>
      <w:r w:rsidR="00FC378D">
        <w:rPr>
          <w:rtl/>
        </w:rPr>
        <w:t>معاهدة التعاون بشأن البراءات و</w:t>
      </w:r>
      <w:r w:rsidR="00FC378D">
        <w:rPr>
          <w:rFonts w:hint="cs"/>
          <w:rtl/>
        </w:rPr>
        <w:t>ع</w:t>
      </w:r>
      <w:r w:rsidR="004D714B" w:rsidRPr="004D714B">
        <w:rPr>
          <w:rtl/>
        </w:rPr>
        <w:t xml:space="preserve">ند الاقتضاء، التعديلات المخطط لها لضمان أن </w:t>
      </w:r>
      <w:r w:rsidR="00FC378D">
        <w:rPr>
          <w:rFonts w:hint="cs"/>
          <w:rtl/>
        </w:rPr>
        <w:t xml:space="preserve">يلبي </w:t>
      </w:r>
      <w:r w:rsidR="004D714B" w:rsidRPr="004D714B">
        <w:rPr>
          <w:rtl/>
        </w:rPr>
        <w:t>النظام متطلبات التشغيل كإدارة دولية</w:t>
      </w:r>
      <w:r w:rsidR="004D714B">
        <w:rPr>
          <w:rFonts w:hint="cs"/>
          <w:rtl/>
        </w:rPr>
        <w:t>.</w:t>
      </w:r>
    </w:p>
    <w:p w:rsidR="004D714B" w:rsidRDefault="004D714B" w:rsidP="00167952">
      <w:pPr>
        <w:pStyle w:val="BodyText"/>
        <w:rPr>
          <w:rtl/>
        </w:rPr>
      </w:pPr>
      <w:r>
        <w:rPr>
          <w:rFonts w:hint="cs"/>
          <w:rtl/>
        </w:rPr>
        <w:t>وسيكون من المفيد أن تتضمن المعلومات التي ترد مباشرة في هذا</w:t>
      </w:r>
      <w:r w:rsidR="002D2E6B">
        <w:rPr>
          <w:rFonts w:hint="cs"/>
          <w:rtl/>
        </w:rPr>
        <w:t xml:space="preserve"> القسم</w:t>
      </w:r>
      <w:r>
        <w:rPr>
          <w:rFonts w:hint="cs"/>
          <w:rtl/>
        </w:rPr>
        <w:t xml:space="preserve"> استعراضا موجزا</w:t>
      </w:r>
      <w:r w:rsidR="00FC378D">
        <w:rPr>
          <w:rFonts w:hint="cs"/>
          <w:rtl/>
        </w:rPr>
        <w:t xml:space="preserve"> لنظام إدارة الجودة</w:t>
      </w:r>
      <w:r>
        <w:rPr>
          <w:rFonts w:hint="cs"/>
          <w:rtl/>
        </w:rPr>
        <w:t xml:space="preserve">، </w:t>
      </w:r>
      <w:r w:rsidR="002D2E6B">
        <w:rPr>
          <w:rFonts w:hint="cs"/>
          <w:rtl/>
        </w:rPr>
        <w:t xml:space="preserve">يتضمن </w:t>
      </w:r>
      <w:r>
        <w:rPr>
          <w:rFonts w:hint="cs"/>
          <w:rtl/>
        </w:rPr>
        <w:t xml:space="preserve">معلومات عما إذا </w:t>
      </w:r>
      <w:r w:rsidRPr="004D714B">
        <w:rPr>
          <w:rtl/>
        </w:rPr>
        <w:t xml:space="preserve">كان المعيار يخضع لاستعراض خارجي بما يتلاءم مع معيار الجودة الدولي </w:t>
      </w:r>
      <w:r w:rsidRPr="004D714B">
        <w:t>ISO 9001</w:t>
      </w:r>
      <w:r w:rsidRPr="004D714B">
        <w:rPr>
          <w:rtl/>
        </w:rPr>
        <w:t xml:space="preserve"> أو معايير دولية أخرى، ومدة تشغيل النظام.</w:t>
      </w:r>
    </w:p>
    <w:p w:rsidR="00FE63D3" w:rsidRDefault="00FE63D3" w:rsidP="00167952">
      <w:pPr>
        <w:pStyle w:val="BodyText"/>
        <w:rPr>
          <w:rtl/>
        </w:rPr>
      </w:pPr>
      <w:r w:rsidRPr="00FE63D3">
        <w:rPr>
          <w:rtl/>
        </w:rPr>
        <w:lastRenderedPageBreak/>
        <w:t>وفي حال إيداع طلب بصفة منظمة دولية تتألف من مجموعة من المكاتب الوطنية، يُرجى بيان تفاصيل الأنظمة المطبَّقة في كل مكتب وطني</w:t>
      </w:r>
      <w:r>
        <w:rPr>
          <w:rFonts w:hint="cs"/>
          <w:rtl/>
        </w:rPr>
        <w:t>.</w:t>
      </w:r>
    </w:p>
    <w:p w:rsidR="00FE63D3" w:rsidRDefault="00FE63D3" w:rsidP="00167952">
      <w:pPr>
        <w:pStyle w:val="BodyText"/>
        <w:rPr>
          <w:rtl/>
        </w:rPr>
      </w:pPr>
      <w:r>
        <w:rPr>
          <w:rFonts w:hint="cs"/>
          <w:rtl/>
        </w:rPr>
        <w:t>و</w:t>
      </w:r>
      <w:r w:rsidRPr="00FE63D3">
        <w:rPr>
          <w:rtl/>
        </w:rPr>
        <w:t>في حال إيداع طلب بصفة منظمة دولية تتألف من مجموعة من المكاتب الوطنية، يرجى بيان الترتيبات التي وضعت لضمان توزيع ملائم للتقارير في توقيت مناسب وبالجودة المطلوبة</w:t>
      </w:r>
      <w:r>
        <w:rPr>
          <w:rFonts w:hint="cs"/>
          <w:rtl/>
        </w:rPr>
        <w:t>.</w:t>
      </w:r>
    </w:p>
    <w:p w:rsidR="00266180" w:rsidRPr="002D2E6B" w:rsidRDefault="00266180" w:rsidP="00167952">
      <w:pPr>
        <w:pStyle w:val="Heading5"/>
        <w:rPr>
          <w:rtl/>
        </w:rPr>
      </w:pPr>
      <w:r w:rsidRPr="002D2E6B">
        <w:rPr>
          <w:rtl/>
        </w:rPr>
        <w:t>3 - نطاق التشغيل المنشود</w:t>
      </w:r>
    </w:p>
    <w:p w:rsidR="00266180" w:rsidRDefault="00FE63D3" w:rsidP="00167952">
      <w:pPr>
        <w:pStyle w:val="BodyText"/>
        <w:rPr>
          <w:rtl/>
        </w:rPr>
      </w:pPr>
      <w:r>
        <w:rPr>
          <w:rFonts w:hint="cs"/>
          <w:rtl/>
        </w:rPr>
        <w:t xml:space="preserve">يهدف هذا </w:t>
      </w:r>
      <w:r w:rsidR="002D2E6B">
        <w:rPr>
          <w:rFonts w:hint="cs"/>
          <w:rtl/>
        </w:rPr>
        <w:t xml:space="preserve">القسم </w:t>
      </w:r>
      <w:r>
        <w:rPr>
          <w:rFonts w:hint="cs"/>
          <w:rtl/>
        </w:rPr>
        <w:t>إلى تمكين لجنة التعاون الفني من تقييم أي دور سيلعبه المكتب في نظام معاهدة التعاون بشأن البراءات برمته. وقد تضاف بعض الأسئلة، كلما كان ذلك مناسب</w:t>
      </w:r>
      <w:r w:rsidR="002D2E6B">
        <w:rPr>
          <w:rFonts w:hint="cs"/>
          <w:rtl/>
        </w:rPr>
        <w:t>ا</w:t>
      </w:r>
      <w:r>
        <w:rPr>
          <w:rFonts w:hint="cs"/>
          <w:rtl/>
        </w:rPr>
        <w:t>، من أجل اكتساب فهم أفضل للمسائل الوجيهة بخلاف اللغات ونطاق التشغيل الجغرافي المنشود.</w:t>
      </w:r>
    </w:p>
    <w:p w:rsidR="00266180" w:rsidRPr="002D2E6B" w:rsidRDefault="00266180" w:rsidP="00167952">
      <w:pPr>
        <w:pStyle w:val="Heading5"/>
        <w:rPr>
          <w:rtl/>
        </w:rPr>
      </w:pPr>
      <w:r w:rsidRPr="002D2E6B">
        <w:rPr>
          <w:rtl/>
        </w:rPr>
        <w:t>4 - دوافع الطلب</w:t>
      </w:r>
    </w:p>
    <w:p w:rsidR="00266180" w:rsidRDefault="00D67F8A" w:rsidP="00167952">
      <w:pPr>
        <w:pStyle w:val="BodyText"/>
        <w:rPr>
          <w:rtl/>
        </w:rPr>
      </w:pPr>
      <w:r>
        <w:rPr>
          <w:rFonts w:hint="cs"/>
          <w:rtl/>
        </w:rPr>
        <w:t xml:space="preserve">يمكن هذا البند المكتب من </w:t>
      </w:r>
      <w:r w:rsidR="00266180">
        <w:rPr>
          <w:rtl/>
        </w:rPr>
        <w:t xml:space="preserve">بيان </w:t>
      </w:r>
      <w:r>
        <w:rPr>
          <w:rFonts w:hint="cs"/>
          <w:rtl/>
        </w:rPr>
        <w:t>تفسير عام ومكتمل ل</w:t>
      </w:r>
      <w:r w:rsidR="00266180">
        <w:rPr>
          <w:rtl/>
        </w:rPr>
        <w:t xml:space="preserve">دوافع تقديم الطلب بإيجاز، بما في ذلك </w:t>
      </w:r>
      <w:r>
        <w:rPr>
          <w:rFonts w:hint="cs"/>
          <w:rtl/>
        </w:rPr>
        <w:t xml:space="preserve">خاصة </w:t>
      </w:r>
      <w:r w:rsidR="00266180">
        <w:rPr>
          <w:rtl/>
        </w:rPr>
        <w:t xml:space="preserve">الفوائد التي يتوقع المكتب أن يحققها التعيين: "1" لدولته أو إقليمه، "2" </w:t>
      </w:r>
      <w:r>
        <w:rPr>
          <w:rFonts w:hint="cs"/>
          <w:rtl/>
        </w:rPr>
        <w:t>و</w:t>
      </w:r>
      <w:r w:rsidR="00266180">
        <w:rPr>
          <w:rtl/>
        </w:rPr>
        <w:t xml:space="preserve">للمكتب في حد ذاته، "3" </w:t>
      </w:r>
      <w:r>
        <w:rPr>
          <w:rFonts w:hint="cs"/>
          <w:rtl/>
        </w:rPr>
        <w:t>و</w:t>
      </w:r>
      <w:r w:rsidR="00266180">
        <w:rPr>
          <w:rtl/>
        </w:rPr>
        <w:t>لنظام معاه</w:t>
      </w:r>
      <w:r>
        <w:rPr>
          <w:rtl/>
        </w:rPr>
        <w:t>دة التعاون بشأن البراءات برمته.</w:t>
      </w:r>
    </w:p>
    <w:p w:rsidR="00266180" w:rsidRPr="00950893" w:rsidRDefault="00266180" w:rsidP="00167952">
      <w:pPr>
        <w:pStyle w:val="Heading5"/>
        <w:rPr>
          <w:rtl/>
        </w:rPr>
      </w:pPr>
      <w:r>
        <w:rPr>
          <w:rtl/>
        </w:rPr>
        <w:t>5</w:t>
      </w:r>
      <w:r w:rsidRPr="00950893">
        <w:rPr>
          <w:rtl/>
        </w:rPr>
        <w:t xml:space="preserve"> - الدولة (الدول) مقدّمة الطلب</w:t>
      </w:r>
    </w:p>
    <w:p w:rsidR="003E7DE7" w:rsidRDefault="003E7DE7" w:rsidP="00167952">
      <w:pPr>
        <w:pStyle w:val="BodyText"/>
        <w:rPr>
          <w:rtl/>
        </w:rPr>
      </w:pPr>
      <w:r>
        <w:rPr>
          <w:rFonts w:hint="cs"/>
          <w:rtl/>
        </w:rPr>
        <w:t xml:space="preserve">تكون أغلب الإدارات عند بدء عملياتها متخصصة في قبول الطلبات في دولها، بالإضافة ربما إلى دولة أو دولتين </w:t>
      </w:r>
      <w:r w:rsidR="00056370">
        <w:rPr>
          <w:rFonts w:hint="cs"/>
          <w:rtl/>
        </w:rPr>
        <w:t>مجاورتين</w:t>
      </w:r>
      <w:r>
        <w:rPr>
          <w:rFonts w:hint="cs"/>
          <w:rtl/>
        </w:rPr>
        <w:t>، لذا فإن ال</w:t>
      </w:r>
      <w:r w:rsidR="00266180">
        <w:rPr>
          <w:rtl/>
        </w:rPr>
        <w:t>غرض من هذا القسم هو توفير معلومات عن المستويات المحتملة للطلب المحلي على خدمات المكتب إذا عيِّن والمستوى العام للدعم الذي تقدمه الحكومة (أو الحكومات) المعنية في مجال الابتكار والمسائل المرتبطة به.</w:t>
      </w:r>
    </w:p>
    <w:p w:rsidR="00266180" w:rsidRDefault="00266180" w:rsidP="00167952">
      <w:pPr>
        <w:pStyle w:val="BodyText"/>
        <w:rPr>
          <w:rtl/>
        </w:rPr>
      </w:pPr>
      <w:r>
        <w:rPr>
          <w:rtl/>
        </w:rPr>
        <w:t>وقد لا يكون ذلك وجيهاً إذا كان المكتب الملتمس التعيين منظمة حكومية دولية أو مكتباً وطنياً لا يعتزم توفير خدمات إلى مواطني بلده أو المقيمين فيه. وفي تلك الحالة، يمكن إغفال هذا القسم أو تقديم معلومات بديلة ت</w:t>
      </w:r>
      <w:r w:rsidR="00950893">
        <w:rPr>
          <w:rFonts w:hint="cs"/>
          <w:rtl/>
        </w:rPr>
        <w:t xml:space="preserve">تقدم </w:t>
      </w:r>
      <w:r w:rsidR="00056370">
        <w:rPr>
          <w:rFonts w:hint="cs"/>
          <w:rtl/>
        </w:rPr>
        <w:t xml:space="preserve">معلومات </w:t>
      </w:r>
      <w:r w:rsidR="00950893">
        <w:rPr>
          <w:rFonts w:hint="cs"/>
          <w:rtl/>
        </w:rPr>
        <w:t xml:space="preserve">أفضل </w:t>
      </w:r>
      <w:r w:rsidR="00056370">
        <w:rPr>
          <w:rFonts w:hint="cs"/>
          <w:rtl/>
        </w:rPr>
        <w:t>عن الإقليم الذي سترد منه الطلبات التي ينشد أن يعالجها المكتب في المراحل الأولى للعمليات.</w:t>
      </w:r>
    </w:p>
    <w:p w:rsidR="00526FFC" w:rsidRDefault="00526FFC" w:rsidP="00167952">
      <w:pPr>
        <w:pStyle w:val="BodyText"/>
        <w:rPr>
          <w:rtl/>
        </w:rPr>
      </w:pPr>
      <w:r>
        <w:rPr>
          <w:rFonts w:hint="cs"/>
          <w:rtl/>
        </w:rPr>
        <w:t>5(أ)</w:t>
      </w:r>
      <w:r>
        <w:rPr>
          <w:rFonts w:hint="cs"/>
          <w:rtl/>
        </w:rPr>
        <w:tab/>
      </w:r>
      <w:r w:rsidR="00950893">
        <w:rPr>
          <w:rFonts w:hint="cs"/>
          <w:rtl/>
        </w:rPr>
        <w:t>و</w:t>
      </w:r>
      <w:r>
        <w:rPr>
          <w:rFonts w:hint="cs"/>
          <w:rtl/>
        </w:rPr>
        <w:t>يمكن أن يتضمن الطلب خريطة إذا كان ذلك سيساعد على إبراز الموقع، وعضوية المنظمة الحكومية الدولية التي يتألف منها المكتب، والدول المجاورة، وأهم الشركاء التجاريين، وشركاء الملكية الفكرية أو أي عوامل أخرى قد تكون وجيهة للطلب.</w:t>
      </w:r>
    </w:p>
    <w:p w:rsidR="0012343F" w:rsidRDefault="00526FFC" w:rsidP="00167952">
      <w:pPr>
        <w:pStyle w:val="BodyText"/>
        <w:rPr>
          <w:rtl/>
        </w:rPr>
      </w:pPr>
      <w:r>
        <w:rPr>
          <w:rFonts w:hint="cs"/>
          <w:rtl/>
        </w:rPr>
        <w:t>5(ب)</w:t>
      </w:r>
      <w:r>
        <w:rPr>
          <w:rFonts w:hint="cs"/>
          <w:rtl/>
        </w:rPr>
        <w:tab/>
        <w:t>وليس الغرض من هذا ا</w:t>
      </w:r>
      <w:r w:rsidR="00672400">
        <w:rPr>
          <w:rFonts w:hint="cs"/>
          <w:rtl/>
        </w:rPr>
        <w:t>لقسم أن تقدم المكاتب قائمة كامل</w:t>
      </w:r>
      <w:r>
        <w:rPr>
          <w:rFonts w:hint="cs"/>
          <w:rtl/>
        </w:rPr>
        <w:t xml:space="preserve">ة لجميع المنظمات الإقليمية التي تنتمي إليها، </w:t>
      </w:r>
      <w:r w:rsidR="0012343F">
        <w:rPr>
          <w:rFonts w:hint="cs"/>
          <w:rtl/>
        </w:rPr>
        <w:t xml:space="preserve">ولكن </w:t>
      </w:r>
      <w:r w:rsidR="00672400">
        <w:rPr>
          <w:rFonts w:hint="cs"/>
          <w:rtl/>
        </w:rPr>
        <w:t>س</w:t>
      </w:r>
      <w:r w:rsidR="0012343F">
        <w:rPr>
          <w:rFonts w:hint="cs"/>
          <w:rtl/>
        </w:rPr>
        <w:t>يكون من المفيد أن يلفت الطلب الانتباه إلى المنظمات التي تؤثر بشكل هام على بيئة الملكية الفكرية والتجارة ونقل التكنولوجيا في الدولة المعنية.</w:t>
      </w:r>
    </w:p>
    <w:p w:rsidR="0012343F" w:rsidRDefault="0012343F" w:rsidP="00167952">
      <w:pPr>
        <w:pStyle w:val="BodyText"/>
        <w:rPr>
          <w:rtl/>
        </w:rPr>
      </w:pPr>
      <w:r>
        <w:rPr>
          <w:rFonts w:hint="cs"/>
          <w:rtl/>
        </w:rPr>
        <w:t>5 من (ج) إلى (ط)</w:t>
      </w:r>
      <w:r>
        <w:rPr>
          <w:rFonts w:hint="cs"/>
          <w:rtl/>
        </w:rPr>
        <w:tab/>
        <w:t xml:space="preserve">ينبغي أن تعتمد هذه البنود كأمثلة عن أنواع الوقائع والأرقام التي قد تساعد </w:t>
      </w:r>
      <w:r w:rsidR="00672400">
        <w:rPr>
          <w:rFonts w:hint="cs"/>
          <w:rtl/>
        </w:rPr>
        <w:t>ع</w:t>
      </w:r>
      <w:r>
        <w:rPr>
          <w:rFonts w:hint="cs"/>
          <w:rtl/>
        </w:rPr>
        <w:t>لى إثبات:</w:t>
      </w:r>
    </w:p>
    <w:p w:rsidR="0012343F" w:rsidRDefault="0012343F" w:rsidP="009629FB">
      <w:pPr>
        <w:pStyle w:val="ListBullet"/>
        <w:numPr>
          <w:ilvl w:val="0"/>
          <w:numId w:val="2"/>
        </w:numPr>
        <w:ind w:left="1133" w:hanging="567"/>
        <w:rPr>
          <w:rtl/>
        </w:rPr>
      </w:pPr>
      <w:r>
        <w:rPr>
          <w:rFonts w:hint="cs"/>
          <w:rtl/>
        </w:rPr>
        <w:t>موقف المكتب من الصناعات وأنشطة البحث والتطوير على الصعيد الوطني التي قد تعتمد على خدماته،</w:t>
      </w:r>
    </w:p>
    <w:p w:rsidR="0012343F" w:rsidRDefault="0012343F" w:rsidP="009629FB">
      <w:pPr>
        <w:pStyle w:val="ListBullet"/>
        <w:ind w:left="1133" w:hanging="567"/>
        <w:rPr>
          <w:rtl/>
        </w:rPr>
      </w:pPr>
      <w:r>
        <w:rPr>
          <w:rFonts w:hint="cs"/>
          <w:rtl/>
        </w:rPr>
        <w:t>-</w:t>
      </w:r>
      <w:r>
        <w:rPr>
          <w:rFonts w:hint="cs"/>
          <w:rtl/>
        </w:rPr>
        <w:tab/>
        <w:t>نظام الملكية الفكرية الوطني الذي يدعمه المكتب في الوقت الراهن،</w:t>
      </w:r>
    </w:p>
    <w:p w:rsidR="00B915E7" w:rsidRDefault="0012343F" w:rsidP="009629FB">
      <w:pPr>
        <w:pStyle w:val="ListBullet"/>
        <w:ind w:left="1133" w:hanging="567"/>
        <w:rPr>
          <w:rtl/>
        </w:rPr>
      </w:pPr>
      <w:r>
        <w:rPr>
          <w:rFonts w:hint="cs"/>
          <w:rtl/>
        </w:rPr>
        <w:lastRenderedPageBreak/>
        <w:t>-</w:t>
      </w:r>
      <w:r>
        <w:rPr>
          <w:rFonts w:hint="cs"/>
          <w:rtl/>
        </w:rPr>
        <w:tab/>
        <w:t>خدمات دعم الملكية الفكرية ذات الصلة المتاحة لمودعي الطلبات الذين قد يستخدمون المكتب أثناء أداء دوره المقبل كإدارة دولية، والتي قد تساعد على تطوير سوق الطلبات الدولية في إطار معاهدة التعاون الفني، أو</w:t>
      </w:r>
      <w:r w:rsidR="00B915E7">
        <w:rPr>
          <w:rFonts w:hint="cs"/>
          <w:rtl/>
        </w:rPr>
        <w:t xml:space="preserve"> قد تتطور بتعيين المكتب كإدارة دولية.</w:t>
      </w:r>
    </w:p>
    <w:p w:rsidR="00B915E7" w:rsidRDefault="00B915E7" w:rsidP="00F359FD">
      <w:pPr>
        <w:pStyle w:val="BodyText"/>
        <w:rPr>
          <w:rtl/>
        </w:rPr>
      </w:pPr>
      <w:r>
        <w:rPr>
          <w:rFonts w:hint="cs"/>
          <w:rtl/>
        </w:rPr>
        <w:t>5(ز)</w:t>
      </w:r>
      <w:r>
        <w:rPr>
          <w:rFonts w:hint="cs"/>
          <w:rtl/>
        </w:rPr>
        <w:tab/>
        <w:t>ويمكن في هذا القسم على سبيل المثال إدراج مكتبات البراءات أو مراكز دعم التكنولوجيا والابتكار.</w:t>
      </w:r>
    </w:p>
    <w:p w:rsidR="00266180" w:rsidRDefault="00B915E7" w:rsidP="00F359FD">
      <w:pPr>
        <w:pStyle w:val="BodyText"/>
        <w:rPr>
          <w:rtl/>
        </w:rPr>
      </w:pPr>
      <w:r>
        <w:rPr>
          <w:rFonts w:hint="cs"/>
          <w:rtl/>
        </w:rPr>
        <w:t>5(ي)</w:t>
      </w:r>
      <w:r>
        <w:rPr>
          <w:rFonts w:hint="cs"/>
          <w:rtl/>
        </w:rPr>
        <w:tab/>
        <w:t xml:space="preserve">ويمكن في هذا القسم </w:t>
      </w:r>
      <w:r>
        <w:rPr>
          <w:rtl/>
        </w:rPr>
        <w:t>إدراج ملخص أو رابط إلى استراتيجيات ابتكار وطنية أو خطط تنمية إقليمية تشمل الملكية الفكرية</w:t>
      </w:r>
      <w:r>
        <w:rPr>
          <w:rFonts w:hint="cs"/>
          <w:rtl/>
        </w:rPr>
        <w:t xml:space="preserve">، </w:t>
      </w:r>
      <w:r w:rsidR="00672400">
        <w:rPr>
          <w:rFonts w:hint="cs"/>
          <w:rtl/>
        </w:rPr>
        <w:t>و</w:t>
      </w:r>
      <w:r>
        <w:rPr>
          <w:rFonts w:hint="cs"/>
          <w:rtl/>
        </w:rPr>
        <w:t>تساعد على إبراز مدى تلاءم الطلب مع تلك الاستراتيجيات والخطط.</w:t>
      </w:r>
    </w:p>
    <w:p w:rsidR="00266180" w:rsidRPr="00672400" w:rsidRDefault="00266180" w:rsidP="00167952">
      <w:pPr>
        <w:pStyle w:val="Heading5"/>
        <w:rPr>
          <w:rtl/>
        </w:rPr>
      </w:pPr>
      <w:r w:rsidRPr="00672400">
        <w:rPr>
          <w:rtl/>
        </w:rPr>
        <w:t>6 - نوعية طلبات البراءات</w:t>
      </w:r>
    </w:p>
    <w:p w:rsidR="00A35755" w:rsidRDefault="00B915E7" w:rsidP="00167952">
      <w:pPr>
        <w:pStyle w:val="BodyText"/>
        <w:rPr>
          <w:rtl/>
        </w:rPr>
      </w:pPr>
      <w:r>
        <w:rPr>
          <w:rFonts w:hint="cs"/>
          <w:rtl/>
        </w:rPr>
        <w:t xml:space="preserve">إن الغرض من هذا </w:t>
      </w:r>
      <w:r w:rsidR="00266180">
        <w:rPr>
          <w:rtl/>
        </w:rPr>
        <w:t xml:space="preserve">القسم هو توفير معلومات عن خبرة المكتب الموثَّقة في معالجة طلبات في كل المجالات التقنية. ونظراً إلى أن </w:t>
      </w:r>
      <w:r w:rsidR="00A35755">
        <w:rPr>
          <w:rFonts w:hint="cs"/>
          <w:rtl/>
        </w:rPr>
        <w:t xml:space="preserve">أغلب </w:t>
      </w:r>
      <w:r w:rsidR="00266180">
        <w:rPr>
          <w:rtl/>
        </w:rPr>
        <w:t>الإدارات الدولية تخدم أولياً و</w:t>
      </w:r>
      <w:r w:rsidR="00A35755">
        <w:rPr>
          <w:rFonts w:hint="cs"/>
          <w:rtl/>
        </w:rPr>
        <w:t>بشكل كبير</w:t>
      </w:r>
      <w:r w:rsidR="00266180">
        <w:rPr>
          <w:rtl/>
        </w:rPr>
        <w:t xml:space="preserve"> مواطني دولها أو المقيمين فيها، فستبيِّن هذه المعلومات</w:t>
      </w:r>
      <w:r w:rsidR="00A35755">
        <w:rPr>
          <w:rFonts w:hint="cs"/>
          <w:rtl/>
        </w:rPr>
        <w:t>،</w:t>
      </w:r>
      <w:r w:rsidR="00A35755" w:rsidRPr="00A35755">
        <w:rPr>
          <w:rtl/>
        </w:rPr>
        <w:t xml:space="preserve"> </w:t>
      </w:r>
      <w:r w:rsidR="00A35755">
        <w:rPr>
          <w:rtl/>
        </w:rPr>
        <w:t>بالإضافة إلى المعلومات المطلوبة في القسم 2</w:t>
      </w:r>
      <w:r w:rsidR="00A35755">
        <w:rPr>
          <w:rFonts w:hint="cs"/>
          <w:rtl/>
        </w:rPr>
        <w:t xml:space="preserve">، </w:t>
      </w:r>
      <w:r w:rsidR="00266180">
        <w:rPr>
          <w:rtl/>
        </w:rPr>
        <w:t>قدرة المكتب على استيعاب عبء عمل أكبر من دون تأخيرات كبيرة في مهل معالجة الطلبات الوطنية أو الدولية.</w:t>
      </w:r>
    </w:p>
    <w:p w:rsidR="00DF0031" w:rsidRDefault="00A35755" w:rsidP="00167952">
      <w:pPr>
        <w:pStyle w:val="BodyText"/>
        <w:rPr>
          <w:rtl/>
        </w:rPr>
      </w:pPr>
      <w:r>
        <w:rPr>
          <w:rFonts w:hint="cs"/>
          <w:rtl/>
        </w:rPr>
        <w:t>وفي حال استخدم هذا القسم، فليس من الضروري اتباع نفس شكل الجدول الوارد في النموذج. ويجوز إدراج إحصاءات أو توزيع المعلومات</w:t>
      </w:r>
      <w:r w:rsidR="00672400">
        <w:rPr>
          <w:rFonts w:hint="cs"/>
          <w:rtl/>
        </w:rPr>
        <w:t xml:space="preserve"> بطرق بديلة</w:t>
      </w:r>
      <w:r>
        <w:rPr>
          <w:rFonts w:hint="cs"/>
          <w:rtl/>
        </w:rPr>
        <w:t>، إذا كان ذلك س</w:t>
      </w:r>
      <w:r w:rsidR="00266180">
        <w:rPr>
          <w:rtl/>
        </w:rPr>
        <w:t xml:space="preserve">يعطي فكرة </w:t>
      </w:r>
      <w:r>
        <w:rPr>
          <w:rFonts w:hint="cs"/>
          <w:rtl/>
        </w:rPr>
        <w:t>أفضل عن عمل المكتب. غير أنه في حال توزيع المعلومات حسب المجالات التقنية بشكل مختلف، يحبذ أن يتلاءم التوزيع مع بيانات مجالات خبرة الفاحصين المبين في القسم 1.2.</w:t>
      </w:r>
    </w:p>
    <w:p w:rsidR="00B42F64" w:rsidRDefault="00B42F64" w:rsidP="00167952">
      <w:pPr>
        <w:pStyle w:val="BodyText"/>
        <w:rPr>
          <w:rtl/>
        </w:rPr>
      </w:pPr>
      <w:r>
        <w:rPr>
          <w:rFonts w:hint="cs"/>
          <w:rtl/>
        </w:rPr>
        <w:t>6(د)</w:t>
      </w:r>
      <w:r>
        <w:rPr>
          <w:rFonts w:hint="cs"/>
          <w:rtl/>
        </w:rPr>
        <w:tab/>
        <w:t>و</w:t>
      </w:r>
      <w:r w:rsidR="00DF0031" w:rsidRPr="00DF0031">
        <w:rPr>
          <w:rtl/>
        </w:rPr>
        <w:t>تجدر الإشارة إلى أن النظم الوطنية تتباين تبايناً كبيراً ولا سيما عندما يتعين طلب إنجاز أعمال بحث وفحص</w:t>
      </w:r>
      <w:r w:rsidR="00DF0031">
        <w:rPr>
          <w:rFonts w:hint="cs"/>
          <w:rtl/>
        </w:rPr>
        <w:t>. و</w:t>
      </w:r>
      <w:r w:rsidR="00DF0031">
        <w:rPr>
          <w:rtl/>
        </w:rPr>
        <w:t>غالباً ما تقيس المكاتب الأداء بطرق مختلفة.</w:t>
      </w:r>
      <w:r w:rsidR="00DF0031">
        <w:rPr>
          <w:rFonts w:hint="cs"/>
          <w:rtl/>
        </w:rPr>
        <w:t xml:space="preserve"> </w:t>
      </w:r>
      <w:r w:rsidR="00DF0031">
        <w:rPr>
          <w:rtl/>
        </w:rPr>
        <w:t>وينبغي</w:t>
      </w:r>
      <w:r w:rsidR="00DF0031">
        <w:rPr>
          <w:rFonts w:hint="cs"/>
          <w:rtl/>
        </w:rPr>
        <w:t>، في حال أدرج هذا الجدول،</w:t>
      </w:r>
      <w:r w:rsidR="00DF0031">
        <w:rPr>
          <w:rtl/>
        </w:rPr>
        <w:t xml:space="preserve"> أن يذكر المؤشر أساس قياسه مثل تاريخ الإيداع أو الأولوية أو طلب تنفيذ العملية المعنية أو تاريخ آخر.</w:t>
      </w:r>
      <w:r w:rsidR="00DF0031">
        <w:rPr>
          <w:rFonts w:hint="cs"/>
          <w:rtl/>
        </w:rPr>
        <w:t xml:space="preserve"> </w:t>
      </w:r>
      <w:r w:rsidR="00DF0031">
        <w:rPr>
          <w:rtl/>
        </w:rPr>
        <w:t xml:space="preserve">وحيث أن النظام الوطني يشمل </w:t>
      </w:r>
      <w:r w:rsidR="00DF0031">
        <w:rPr>
          <w:rFonts w:hint="cs"/>
          <w:rtl/>
        </w:rPr>
        <w:t>عددا من ال</w:t>
      </w:r>
      <w:r w:rsidR="00DF0031">
        <w:rPr>
          <w:rtl/>
        </w:rPr>
        <w:t xml:space="preserve">مسارات </w:t>
      </w:r>
      <w:r w:rsidR="00DF0031">
        <w:rPr>
          <w:rFonts w:hint="cs"/>
          <w:rtl/>
        </w:rPr>
        <w:t xml:space="preserve">الطوعية التي تختلف آثارها </w:t>
      </w:r>
      <w:r w:rsidR="00DF0031">
        <w:rPr>
          <w:rtl/>
        </w:rPr>
        <w:t>اختلافاً جذرياً (من قبيل الفحص المؤجل)، يجوز توزيع المؤشرات إلى فئات مختلفة.</w:t>
      </w:r>
      <w:r w:rsidR="00DF0031">
        <w:rPr>
          <w:rFonts w:hint="cs"/>
          <w:rtl/>
        </w:rPr>
        <w:t xml:space="preserve"> </w:t>
      </w:r>
      <w:r w:rsidR="00DF0031">
        <w:rPr>
          <w:rtl/>
        </w:rPr>
        <w:t>وينبغي للمكتب أن ينظر في إمكانية توزيع البيانات بحسب المجال التقني في حال وجود تفاوت كبير بين المجالات.</w:t>
      </w:r>
    </w:p>
    <w:p w:rsidR="000145B1" w:rsidRDefault="00931612" w:rsidP="00167952">
      <w:pPr>
        <w:pStyle w:val="BodyText"/>
        <w:rPr>
          <w:rtl/>
        </w:rPr>
      </w:pPr>
      <w:r>
        <w:rPr>
          <w:rFonts w:hint="cs"/>
          <w:rtl/>
        </w:rPr>
        <w:t>6(و)</w:t>
      </w:r>
      <w:r>
        <w:rPr>
          <w:rFonts w:hint="cs"/>
          <w:rtl/>
        </w:rPr>
        <w:tab/>
      </w:r>
      <w:r w:rsidR="00D745FD">
        <w:rPr>
          <w:rFonts w:hint="cs"/>
          <w:rtl/>
        </w:rPr>
        <w:t>و</w:t>
      </w:r>
      <w:r w:rsidR="000145B1">
        <w:rPr>
          <w:rFonts w:hint="cs"/>
          <w:rtl/>
        </w:rPr>
        <w:t xml:space="preserve">يمكن أيضا أن </w:t>
      </w:r>
      <w:r w:rsidR="00D745FD">
        <w:rPr>
          <w:rFonts w:hint="cs"/>
          <w:rtl/>
        </w:rPr>
        <w:t xml:space="preserve">يقدم المكتب </w:t>
      </w:r>
      <w:r w:rsidR="00672400">
        <w:rPr>
          <w:rFonts w:hint="cs"/>
          <w:rtl/>
        </w:rPr>
        <w:t xml:space="preserve">معلومات عن </w:t>
      </w:r>
      <w:r w:rsidR="00D745FD">
        <w:rPr>
          <w:rtl/>
        </w:rPr>
        <w:t>المهل</w:t>
      </w:r>
      <w:r w:rsidR="00D745FD" w:rsidRPr="00D745FD">
        <w:rPr>
          <w:rtl/>
        </w:rPr>
        <w:t xml:space="preserve"> </w:t>
      </w:r>
      <w:r w:rsidR="00D745FD">
        <w:rPr>
          <w:rFonts w:hint="cs"/>
          <w:rtl/>
        </w:rPr>
        <w:t xml:space="preserve">التي يقضيها الفاحصون عادة </w:t>
      </w:r>
      <w:r w:rsidR="00D745FD" w:rsidRPr="00D745FD">
        <w:rPr>
          <w:rtl/>
        </w:rPr>
        <w:t xml:space="preserve">من أجل إجراء بحث وفحص </w:t>
      </w:r>
      <w:r w:rsidR="00D745FD">
        <w:rPr>
          <w:rFonts w:hint="cs"/>
          <w:rtl/>
        </w:rPr>
        <w:t xml:space="preserve">للطلبات الوطنية، أو التي يتوقع أن يسمح بها خلال البحث الدولي أو الفحص التمهيدي، بالاستناد إلى الدراسات التحضيرية. ويمكن أيضا </w:t>
      </w:r>
      <w:r w:rsidR="00D745FD" w:rsidRPr="00D745FD">
        <w:rPr>
          <w:rtl/>
        </w:rPr>
        <w:t>تقديم تفاصيل بيئة العمل المتاحة لضمان سلامة عمل الفاحصين وإنتاجيتهم</w:t>
      </w:r>
      <w:r w:rsidR="00D745FD">
        <w:rPr>
          <w:rFonts w:hint="cs"/>
          <w:rtl/>
        </w:rPr>
        <w:t>.</w:t>
      </w:r>
    </w:p>
    <w:p w:rsidR="00D745FD" w:rsidRDefault="00D745FD" w:rsidP="00167952">
      <w:pPr>
        <w:pStyle w:val="BodyText"/>
        <w:rPr>
          <w:rtl/>
        </w:rPr>
      </w:pPr>
      <w:r>
        <w:rPr>
          <w:rFonts w:hint="cs"/>
          <w:rtl/>
        </w:rPr>
        <w:t>6(ز)</w:t>
      </w:r>
      <w:r>
        <w:rPr>
          <w:rtl/>
        </w:rPr>
        <w:tab/>
      </w:r>
      <w:r>
        <w:rPr>
          <w:rFonts w:hint="cs"/>
          <w:rtl/>
        </w:rPr>
        <w:t xml:space="preserve">ويجوز أن يقدم المكتب معلومات تثبت </w:t>
      </w:r>
      <w:r>
        <w:rPr>
          <w:rtl/>
        </w:rPr>
        <w:t>جودة بحثه وفحصه</w:t>
      </w:r>
      <w:r w:rsidRPr="00D745FD">
        <w:rPr>
          <w:rtl/>
        </w:rPr>
        <w:t xml:space="preserve"> الوطنيين مثلاً عن طريق دراسات مقارنة </w:t>
      </w:r>
      <w:r w:rsidR="008030A3">
        <w:rPr>
          <w:rFonts w:hint="cs"/>
          <w:rtl/>
        </w:rPr>
        <w:t xml:space="preserve">أنجزت </w:t>
      </w:r>
      <w:r w:rsidRPr="00D745FD">
        <w:rPr>
          <w:rtl/>
        </w:rPr>
        <w:t>بشأن طلبات متكافئة</w:t>
      </w:r>
      <w:r w:rsidR="008030A3">
        <w:rPr>
          <w:rFonts w:hint="cs"/>
          <w:rtl/>
        </w:rPr>
        <w:t xml:space="preserve"> بحثها وفحصها المكتب ومكاتب أخرى</w:t>
      </w:r>
      <w:r w:rsidRPr="00D745FD">
        <w:rPr>
          <w:rtl/>
        </w:rPr>
        <w:t>.</w:t>
      </w:r>
    </w:p>
    <w:p w:rsidR="00266180" w:rsidRPr="00672400" w:rsidRDefault="00266180" w:rsidP="00167952">
      <w:pPr>
        <w:pStyle w:val="Heading5"/>
        <w:rPr>
          <w:rtl/>
        </w:rPr>
      </w:pPr>
      <w:r w:rsidRPr="00672400">
        <w:rPr>
          <w:rtl/>
        </w:rPr>
        <w:t>7 - الدعم المطلوب</w:t>
      </w:r>
    </w:p>
    <w:p w:rsidR="008030A3" w:rsidRDefault="008030A3" w:rsidP="00167952">
      <w:pPr>
        <w:pStyle w:val="BodyText"/>
        <w:rPr>
          <w:rtl/>
        </w:rPr>
      </w:pPr>
      <w:r>
        <w:rPr>
          <w:rFonts w:hint="cs"/>
          <w:rtl/>
        </w:rPr>
        <w:t>يتوقع أن يحتاج كل مكتب ي</w:t>
      </w:r>
      <w:r>
        <w:rPr>
          <w:rtl/>
        </w:rPr>
        <w:t>لتمس التعيين</w:t>
      </w:r>
      <w:r>
        <w:rPr>
          <w:rFonts w:hint="cs"/>
          <w:rtl/>
        </w:rPr>
        <w:t xml:space="preserve">، بدرجة معينة، إلى </w:t>
      </w:r>
      <w:r w:rsidR="00266180">
        <w:rPr>
          <w:rtl/>
        </w:rPr>
        <w:t>بعض المساعد</w:t>
      </w:r>
      <w:r>
        <w:rPr>
          <w:rFonts w:hint="cs"/>
          <w:rtl/>
        </w:rPr>
        <w:t>ة</w:t>
      </w:r>
      <w:r w:rsidR="00266180">
        <w:rPr>
          <w:rtl/>
        </w:rPr>
        <w:t xml:space="preserve"> </w:t>
      </w:r>
      <w:r w:rsidR="00672400">
        <w:rPr>
          <w:rtl/>
        </w:rPr>
        <w:t>في إعداد وضبط أنظمته</w:t>
      </w:r>
      <w:r w:rsidR="00266180">
        <w:rPr>
          <w:rtl/>
        </w:rPr>
        <w:t xml:space="preserve"> وإجراءاته</w:t>
      </w:r>
      <w:r w:rsidR="00672400">
        <w:rPr>
          <w:rtl/>
        </w:rPr>
        <w:t xml:space="preserve"> لمباشرة أعماله</w:t>
      </w:r>
      <w:r w:rsidR="00266180">
        <w:rPr>
          <w:rtl/>
        </w:rPr>
        <w:t xml:space="preserve"> كإدارة دولية فضلاً عن ضمان صيانتها المستمرة وتطويرها على النحو السليم. </w:t>
      </w:r>
      <w:r>
        <w:rPr>
          <w:rFonts w:hint="cs"/>
          <w:rtl/>
        </w:rPr>
        <w:t xml:space="preserve">غير أنه </w:t>
      </w:r>
      <w:r w:rsidR="00266180">
        <w:rPr>
          <w:rtl/>
        </w:rPr>
        <w:t xml:space="preserve">ينبغي أن يكون للدول المتعاقدة </w:t>
      </w:r>
      <w:r w:rsidR="00266180">
        <w:rPr>
          <w:rtl/>
        </w:rPr>
        <w:lastRenderedPageBreak/>
        <w:t>الحق في اعتبار أن أي مكتب يفيد بأنه يستوفي معايير التعيين قادر على "العمل بذاته" بشكل كبير</w:t>
      </w:r>
      <w:r>
        <w:rPr>
          <w:rFonts w:hint="cs"/>
          <w:rtl/>
        </w:rPr>
        <w:t xml:space="preserve">، وأن يكون على دراية بمدى الحاجة إلى </w:t>
      </w:r>
      <w:r w:rsidR="00266180">
        <w:rPr>
          <w:rtl/>
        </w:rPr>
        <w:t>مساعدات كبرى للاستجابة لاحتياجات طارئة نتيجة التعيين.</w:t>
      </w:r>
    </w:p>
    <w:p w:rsidR="00950893" w:rsidRDefault="00950893" w:rsidP="00167952">
      <w:pPr>
        <w:pStyle w:val="BodyText"/>
        <w:rPr>
          <w:rtl/>
        </w:rPr>
      </w:pPr>
      <w:r>
        <w:rPr>
          <w:rFonts w:hint="cs"/>
          <w:rtl/>
        </w:rPr>
        <w:t xml:space="preserve">وينبغي في هذا القسم إدراج </w:t>
      </w:r>
      <w:r w:rsidRPr="00950893">
        <w:rPr>
          <w:rtl/>
        </w:rPr>
        <w:t xml:space="preserve">بيان نوع المساعدة التي ستُلتمس من المكتب الدولي أو الدول المتعاقدة الأخرى فيما يخص استكمال الاستعدادات للعمل كإدارة دولية، مثل طلب المساعدة لتدريب الفاحصين أو </w:t>
      </w:r>
      <w:r>
        <w:rPr>
          <w:rFonts w:hint="cs"/>
          <w:rtl/>
        </w:rPr>
        <w:t xml:space="preserve">تطوير </w:t>
      </w:r>
      <w:r w:rsidRPr="00950893">
        <w:rPr>
          <w:rtl/>
        </w:rPr>
        <w:t>نظم تكنولوجيا معلومات لمعالجة استمارات واتصالات وتدفقات عمل جديدة.</w:t>
      </w:r>
    </w:p>
    <w:p w:rsidR="00266180" w:rsidRDefault="00266180" w:rsidP="00167952">
      <w:pPr>
        <w:pStyle w:val="BodyText"/>
        <w:rPr>
          <w:rtl/>
        </w:rPr>
      </w:pPr>
      <w:r>
        <w:rPr>
          <w:rtl/>
        </w:rPr>
        <w:t xml:space="preserve">ولا يسعى هذا </w:t>
      </w:r>
      <w:r w:rsidR="00950893">
        <w:rPr>
          <w:rFonts w:hint="cs"/>
          <w:rtl/>
        </w:rPr>
        <w:t xml:space="preserve">القسم </w:t>
      </w:r>
      <w:r>
        <w:rPr>
          <w:rtl/>
        </w:rPr>
        <w:t>إلى تناول مسائل المساعدات التقنية الخارجة عن نطاق عمل المكتب كإدارة دولية وإن كان من الممكن أن يؤدي نجاح التعيين كجزء من استراتيجية وطنية فعالة للملكية الفكرية إلى زيادة الطلب المحلي على طلبات البراءات فزيادة الحاجة إلى</w:t>
      </w:r>
      <w:r w:rsidR="00950893">
        <w:rPr>
          <w:rtl/>
        </w:rPr>
        <w:t xml:space="preserve"> المساعدة في تلك المسائل</w:t>
      </w:r>
      <w:r w:rsidR="00950893">
        <w:rPr>
          <w:rFonts w:hint="cs"/>
          <w:rtl/>
        </w:rPr>
        <w:t>.</w:t>
      </w:r>
    </w:p>
    <w:p w:rsidR="00266180" w:rsidRPr="00672400" w:rsidRDefault="00266180" w:rsidP="00167952">
      <w:pPr>
        <w:pStyle w:val="Heading5"/>
        <w:rPr>
          <w:rtl/>
        </w:rPr>
      </w:pPr>
      <w:r w:rsidRPr="00672400">
        <w:rPr>
          <w:rtl/>
        </w:rPr>
        <w:t>8 - مسائل أخرى</w:t>
      </w:r>
    </w:p>
    <w:p w:rsidR="00266180" w:rsidRDefault="00950893" w:rsidP="00167952">
      <w:pPr>
        <w:pStyle w:val="BodyText"/>
        <w:rPr>
          <w:rtl/>
        </w:rPr>
      </w:pPr>
      <w:r>
        <w:rPr>
          <w:rFonts w:hint="cs"/>
          <w:rtl/>
        </w:rPr>
        <w:t>يتيح هذا القسم المجال ل</w:t>
      </w:r>
      <w:r w:rsidR="00266180">
        <w:rPr>
          <w:rtl/>
        </w:rPr>
        <w:t xml:space="preserve">إدراج أية تعليقات إضافية </w:t>
      </w:r>
      <w:r>
        <w:rPr>
          <w:rFonts w:hint="cs"/>
          <w:rtl/>
        </w:rPr>
        <w:t xml:space="preserve">يراها المكتب </w:t>
      </w:r>
      <w:r w:rsidR="00266180">
        <w:rPr>
          <w:rtl/>
        </w:rPr>
        <w:t>مهمة للطلب</w:t>
      </w:r>
      <w:r>
        <w:rPr>
          <w:rFonts w:hint="cs"/>
          <w:rtl/>
        </w:rPr>
        <w:t>، ولا تلائم أي أقسام أخرى.</w:t>
      </w:r>
    </w:p>
    <w:p w:rsidR="00266180" w:rsidRPr="00672400" w:rsidRDefault="00266180" w:rsidP="00167952">
      <w:pPr>
        <w:pStyle w:val="Heading5"/>
        <w:rPr>
          <w:rtl/>
        </w:rPr>
      </w:pPr>
      <w:r w:rsidRPr="00672400">
        <w:rPr>
          <w:rtl/>
        </w:rPr>
        <w:t>9 - تقييم الإدارات الأخرى</w:t>
      </w:r>
    </w:p>
    <w:p w:rsidR="00266180" w:rsidRDefault="00950893" w:rsidP="00167952">
      <w:pPr>
        <w:pStyle w:val="BodyText"/>
        <w:rPr>
          <w:rtl/>
        </w:rPr>
      </w:pPr>
      <w:r>
        <w:rPr>
          <w:rFonts w:hint="cs"/>
          <w:rtl/>
        </w:rPr>
        <w:t xml:space="preserve">يمكن في هذا القسم إدراج </w:t>
      </w:r>
      <w:r w:rsidR="00266180">
        <w:rPr>
          <w:rtl/>
        </w:rPr>
        <w:t>معلومات عن التقييمات التي أجرتها الإدارات المشار إليها في القسم</w:t>
      </w:r>
      <w:r>
        <w:rPr>
          <w:rFonts w:hint="cs"/>
          <w:rtl/>
        </w:rPr>
        <w:t xml:space="preserve"> 1(ه) (إن وردت إشارات مماثلة)، أو أن يتضمن إشارة إلى التقييمات التي أرفقت على حدة.</w:t>
      </w:r>
    </w:p>
    <w:p w:rsidR="00950893" w:rsidRPr="00075D2F" w:rsidRDefault="00950893" w:rsidP="00950893">
      <w:pPr>
        <w:pStyle w:val="Endofdocument-Annex"/>
        <w:rPr>
          <w:rtl/>
        </w:rPr>
      </w:pPr>
      <w:r>
        <w:rPr>
          <w:rFonts w:hint="cs"/>
          <w:rtl/>
        </w:rPr>
        <w:t>[نهاية المرفق والوثيقة]</w:t>
      </w:r>
    </w:p>
    <w:p w:rsidR="007E2693" w:rsidRPr="00106839" w:rsidRDefault="007E2693" w:rsidP="00266180">
      <w:pPr>
        <w:pStyle w:val="BodyText"/>
        <w:rPr>
          <w:rtl/>
          <w:lang w:bidi="ar-SA"/>
        </w:rPr>
      </w:pPr>
    </w:p>
    <w:sectPr w:rsidR="007E2693" w:rsidRPr="00106839" w:rsidSect="00B56F2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B9" w:rsidRDefault="00FB6BB9">
      <w:r>
        <w:separator/>
      </w:r>
    </w:p>
  </w:endnote>
  <w:endnote w:type="continuationSeparator" w:id="0">
    <w:p w:rsidR="00FB6BB9" w:rsidRDefault="00FB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B9" w:rsidRDefault="00FB6BB9" w:rsidP="009622BF">
      <w:bookmarkStart w:id="0" w:name="OLE_LINK1"/>
      <w:bookmarkStart w:id="1" w:name="OLE_LINK2"/>
      <w:r>
        <w:separator/>
      </w:r>
      <w:bookmarkEnd w:id="0"/>
      <w:bookmarkEnd w:id="1"/>
    </w:p>
  </w:footnote>
  <w:footnote w:type="continuationSeparator" w:id="0">
    <w:p w:rsidR="00FB6BB9" w:rsidRDefault="00FB6BB9"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C0" w:rsidRPr="00053B00" w:rsidRDefault="009308C0" w:rsidP="00053B00">
    <w:pPr>
      <w:bidi w:val="0"/>
      <w:rPr>
        <w:rFonts w:asciiTheme="minorBidi" w:hAnsiTheme="minorBidi" w:cstheme="minorBidi"/>
        <w:sz w:val="22"/>
        <w:szCs w:val="22"/>
        <w:rtl/>
        <w:lang w:val="fr-CH"/>
      </w:rPr>
    </w:pPr>
    <w:bookmarkStart w:id="4" w:name="Code3"/>
    <w:bookmarkEnd w:id="4"/>
    <w:r w:rsidRPr="00053B00">
      <w:rPr>
        <w:rFonts w:asciiTheme="minorBidi" w:hAnsiTheme="minorBidi" w:cstheme="minorBidi"/>
        <w:sz w:val="22"/>
        <w:szCs w:val="22"/>
        <w:lang w:val="fr-CH"/>
      </w:rPr>
      <w:t>PCT/A/50/3</w:t>
    </w:r>
  </w:p>
  <w:p w:rsidR="009F7F02" w:rsidRPr="00C50A61" w:rsidRDefault="009F7F02" w:rsidP="00053B00">
    <w:pPr>
      <w:bidi w:val="0"/>
      <w:jc w:val="both"/>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057E8">
      <w:rPr>
        <w:rFonts w:ascii="Arial" w:hAnsi="Arial" w:cs="Arial"/>
        <w:noProof/>
        <w:sz w:val="22"/>
        <w:szCs w:val="22"/>
        <w:lang w:bidi="ar-EG"/>
      </w:rPr>
      <w:t>4</w:t>
    </w:r>
    <w:r w:rsidRPr="00C50A61">
      <w:rPr>
        <w:rFonts w:ascii="Arial" w:hAnsi="Arial" w:cs="Arial"/>
        <w:sz w:val="22"/>
        <w:szCs w:val="22"/>
      </w:rPr>
      <w:fldChar w:fldCharType="end"/>
    </w:r>
  </w:p>
  <w:p w:rsidR="009F7F02" w:rsidRPr="00C50A61" w:rsidRDefault="009F7F02" w:rsidP="00053B00">
    <w:pPr>
      <w:bidi w:val="0"/>
      <w:jc w:val="both"/>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27" w:rsidRPr="00053B00" w:rsidRDefault="00B56F27" w:rsidP="00053B00">
    <w:pPr>
      <w:bidi w:val="0"/>
      <w:rPr>
        <w:rFonts w:asciiTheme="minorBidi" w:hAnsiTheme="minorBidi" w:cstheme="minorBidi"/>
        <w:sz w:val="22"/>
        <w:szCs w:val="22"/>
        <w:rtl/>
        <w:lang w:val="fr-CH"/>
      </w:rPr>
    </w:pPr>
    <w:r w:rsidRPr="00053B00">
      <w:rPr>
        <w:rFonts w:asciiTheme="minorBidi" w:hAnsiTheme="minorBidi" w:cstheme="minorBidi"/>
        <w:sz w:val="22"/>
        <w:szCs w:val="22"/>
        <w:lang w:val="fr-CH"/>
      </w:rPr>
      <w:t>PCT/A/50/3</w:t>
    </w:r>
  </w:p>
  <w:p w:rsidR="00B56F27" w:rsidRPr="00C50A61" w:rsidRDefault="00B56F27" w:rsidP="00053B00">
    <w:pPr>
      <w:bidi w:val="0"/>
      <w:jc w:val="both"/>
      <w:rPr>
        <w:rFonts w:ascii="Arial" w:hAnsi="Arial" w:cs="Arial"/>
        <w:sz w:val="22"/>
        <w:szCs w:val="22"/>
      </w:rPr>
    </w:pPr>
    <w:r>
      <w:rPr>
        <w:rFonts w:ascii="Arial" w:hAnsi="Arial" w:cs="Arial"/>
        <w:sz w:val="22"/>
        <w:szCs w:val="22"/>
      </w:rPr>
      <w:t>Annex</w:t>
    </w:r>
  </w:p>
  <w:p w:rsidR="00B56F27" w:rsidRDefault="00B56F27" w:rsidP="00053B00">
    <w:pPr>
      <w:bidi w:val="0"/>
      <w:jc w:val="both"/>
      <w:rPr>
        <w:rFonts w:ascii="Arial" w:hAnsi="Arial" w:cs="Arial"/>
        <w:noProof/>
        <w:sz w:val="22"/>
        <w:szCs w:val="22"/>
        <w:rtl/>
      </w:rPr>
    </w:pPr>
    <w:r w:rsidRPr="00B56F27">
      <w:rPr>
        <w:rFonts w:ascii="Arial" w:hAnsi="Arial" w:cs="Arial"/>
        <w:sz w:val="22"/>
        <w:szCs w:val="22"/>
      </w:rPr>
      <w:fldChar w:fldCharType="begin"/>
    </w:r>
    <w:r w:rsidRPr="00B56F27">
      <w:rPr>
        <w:rFonts w:ascii="Arial" w:hAnsi="Arial" w:cs="Arial"/>
        <w:sz w:val="22"/>
        <w:szCs w:val="22"/>
      </w:rPr>
      <w:instrText xml:space="preserve"> PAGE   \* MERGEFORMAT </w:instrText>
    </w:r>
    <w:r w:rsidRPr="00B56F27">
      <w:rPr>
        <w:rFonts w:ascii="Arial" w:hAnsi="Arial" w:cs="Arial"/>
        <w:sz w:val="22"/>
        <w:szCs w:val="22"/>
      </w:rPr>
      <w:fldChar w:fldCharType="separate"/>
    </w:r>
    <w:r w:rsidR="00B057E8">
      <w:rPr>
        <w:rFonts w:ascii="Arial" w:hAnsi="Arial" w:cs="Arial"/>
        <w:noProof/>
        <w:sz w:val="22"/>
        <w:szCs w:val="22"/>
      </w:rPr>
      <w:t>10</w:t>
    </w:r>
    <w:r w:rsidRPr="00B56F27">
      <w:rPr>
        <w:rFonts w:ascii="Arial" w:hAnsi="Arial" w:cs="Arial"/>
        <w:noProof/>
        <w:sz w:val="22"/>
        <w:szCs w:val="22"/>
      </w:rPr>
      <w:fldChar w:fldCharType="end"/>
    </w:r>
  </w:p>
  <w:p w:rsidR="00B56F27" w:rsidRPr="00C50A61" w:rsidRDefault="00B56F27" w:rsidP="00B56F27">
    <w:pPr>
      <w:bidi w:val="0"/>
      <w:jc w:val="both"/>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27" w:rsidRPr="00B56F27" w:rsidRDefault="00B56F27" w:rsidP="00B56F27">
    <w:pPr>
      <w:pStyle w:val="Header"/>
      <w:bidi w:val="0"/>
      <w:rPr>
        <w:rFonts w:asciiTheme="minorBidi" w:hAnsiTheme="minorBidi" w:cstheme="minorBidi"/>
        <w:sz w:val="22"/>
        <w:szCs w:val="22"/>
        <w:rtl/>
      </w:rPr>
    </w:pPr>
    <w:r w:rsidRPr="00B56F27">
      <w:rPr>
        <w:rFonts w:asciiTheme="minorBidi" w:hAnsiTheme="minorBidi" w:cstheme="minorBidi"/>
        <w:sz w:val="22"/>
        <w:szCs w:val="22"/>
        <w:lang w:val="fr-CH"/>
      </w:rPr>
      <w:t>PCT/A/50/3</w:t>
    </w:r>
  </w:p>
  <w:p w:rsidR="00B56F27" w:rsidRDefault="00B56F27" w:rsidP="00B56F27">
    <w:pPr>
      <w:pStyle w:val="Header"/>
      <w:bidi w:val="0"/>
      <w:rPr>
        <w:rFonts w:asciiTheme="minorBidi" w:hAnsiTheme="minorBidi" w:cstheme="minorBidi"/>
        <w:sz w:val="22"/>
        <w:szCs w:val="22"/>
      </w:rPr>
    </w:pPr>
    <w:r>
      <w:rPr>
        <w:rFonts w:asciiTheme="minorBidi" w:hAnsiTheme="minorBidi" w:cstheme="minorBidi"/>
        <w:sz w:val="22"/>
        <w:szCs w:val="22"/>
      </w:rPr>
      <w:t xml:space="preserve">ANNEX </w:t>
    </w:r>
  </w:p>
  <w:p w:rsidR="00B56F27" w:rsidRPr="00B56F27" w:rsidRDefault="00B56F27" w:rsidP="00B56F27">
    <w:pPr>
      <w:pStyle w:val="Header"/>
      <w:bidi w:val="0"/>
      <w:rPr>
        <w:rtl/>
      </w:rPr>
    </w:pPr>
    <w:r w:rsidRPr="00B56F27">
      <w:rPr>
        <w:rtl/>
      </w:rPr>
      <w:t>المرفق</w:t>
    </w:r>
  </w:p>
  <w:p w:rsidR="00B56F27" w:rsidRPr="00B56F27" w:rsidRDefault="00B56F27" w:rsidP="00B56F27">
    <w:pPr>
      <w:pStyle w:val="Header"/>
      <w:bidi w:val="0"/>
      <w:rPr>
        <w:rFonts w:asciiTheme="minorBidi" w:hAnsiTheme="minorBidi" w:cstheme="minorBidi"/>
        <w:sz w:val="22"/>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6D7463E0"/>
    <w:lvl w:ilvl="0">
      <w:start w:val="1"/>
      <w:numFmt w:val="bullet"/>
      <w:lvlText w:val=""/>
      <w:lvlJc w:val="left"/>
      <w:pPr>
        <w:ind w:left="360" w:hanging="360"/>
      </w:pPr>
      <w:rPr>
        <w:rFonts w:ascii="Symbol" w:hAnsi="Symbol" w:hint="default"/>
        <w:sz w:val="24"/>
        <w:szCs w:val="24"/>
        <w:lang w:bidi="ar-EG"/>
      </w:rPr>
    </w:lvl>
  </w:abstractNum>
  <w:abstractNum w:abstractNumId="9">
    <w:nsid w:val="06CD29E3"/>
    <w:multiLevelType w:val="multilevel"/>
    <w:tmpl w:val="00EA4ADA"/>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3109636E"/>
    <w:multiLevelType w:val="hybridMultilevel"/>
    <w:tmpl w:val="C838A674"/>
    <w:lvl w:ilvl="0" w:tplc="641AC9B6">
      <w:numFmt w:val="bullet"/>
      <w:lvlText w:val="-"/>
      <w:lvlJc w:val="left"/>
      <w:pPr>
        <w:ind w:left="930" w:hanging="57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50DE4"/>
    <w:multiLevelType w:val="multilevel"/>
    <w:tmpl w:val="7F2071F2"/>
    <w:lvl w:ilvl="0">
      <w:start w:val="1"/>
      <w:numFmt w:val="arabicAbjad"/>
      <w:pStyle w:val="indent1"/>
      <w:lvlText w:val="(%1)"/>
      <w:lvlJc w:val="left"/>
      <w:pPr>
        <w:tabs>
          <w:tab w:val="num" w:pos="567"/>
        </w:tabs>
        <w:ind w:left="567" w:firstLine="0"/>
      </w:pPr>
      <w:rPr>
        <w:rFonts w:hint="default"/>
        <w:b w:val="0"/>
        <w:bCs/>
        <w:i w:val="0"/>
        <w:iCs w:val="0"/>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11"/>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73"/>
    <w:rsid w:val="000002C2"/>
    <w:rsid w:val="0000190D"/>
    <w:rsid w:val="00002CBE"/>
    <w:rsid w:val="00003232"/>
    <w:rsid w:val="000033DA"/>
    <w:rsid w:val="00004AF1"/>
    <w:rsid w:val="000056F9"/>
    <w:rsid w:val="0000579F"/>
    <w:rsid w:val="000074D1"/>
    <w:rsid w:val="000076BD"/>
    <w:rsid w:val="00010481"/>
    <w:rsid w:val="00010671"/>
    <w:rsid w:val="000114E2"/>
    <w:rsid w:val="00013347"/>
    <w:rsid w:val="00013D73"/>
    <w:rsid w:val="000142E1"/>
    <w:rsid w:val="000145B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4779D"/>
    <w:rsid w:val="000500C9"/>
    <w:rsid w:val="0005014C"/>
    <w:rsid w:val="000508E2"/>
    <w:rsid w:val="00050A69"/>
    <w:rsid w:val="00050C55"/>
    <w:rsid w:val="00050F28"/>
    <w:rsid w:val="00053836"/>
    <w:rsid w:val="00053B00"/>
    <w:rsid w:val="00054659"/>
    <w:rsid w:val="00055FA2"/>
    <w:rsid w:val="00056370"/>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2"/>
    <w:rsid w:val="000A3A57"/>
    <w:rsid w:val="000A53C5"/>
    <w:rsid w:val="000A5408"/>
    <w:rsid w:val="000A6510"/>
    <w:rsid w:val="000A6D68"/>
    <w:rsid w:val="000A7CF7"/>
    <w:rsid w:val="000B0BB4"/>
    <w:rsid w:val="000B0CFF"/>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CA9"/>
    <w:rsid w:val="000F5E56"/>
    <w:rsid w:val="000F657F"/>
    <w:rsid w:val="000F70F9"/>
    <w:rsid w:val="001007AB"/>
    <w:rsid w:val="00100F97"/>
    <w:rsid w:val="001012E0"/>
    <w:rsid w:val="001016F2"/>
    <w:rsid w:val="001024C1"/>
    <w:rsid w:val="0010284A"/>
    <w:rsid w:val="00102919"/>
    <w:rsid w:val="0010385D"/>
    <w:rsid w:val="001042E0"/>
    <w:rsid w:val="00104C51"/>
    <w:rsid w:val="0010597B"/>
    <w:rsid w:val="00106839"/>
    <w:rsid w:val="00110107"/>
    <w:rsid w:val="00110531"/>
    <w:rsid w:val="00110794"/>
    <w:rsid w:val="00112524"/>
    <w:rsid w:val="00113769"/>
    <w:rsid w:val="00114141"/>
    <w:rsid w:val="00114827"/>
    <w:rsid w:val="00115266"/>
    <w:rsid w:val="001154FB"/>
    <w:rsid w:val="00115B51"/>
    <w:rsid w:val="001171EF"/>
    <w:rsid w:val="001173C5"/>
    <w:rsid w:val="00117665"/>
    <w:rsid w:val="00121092"/>
    <w:rsid w:val="001218E9"/>
    <w:rsid w:val="00121AA0"/>
    <w:rsid w:val="00121FE6"/>
    <w:rsid w:val="0012343F"/>
    <w:rsid w:val="001234D9"/>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952"/>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2E5"/>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521"/>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8F"/>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5F65"/>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180"/>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E6B"/>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39C"/>
    <w:rsid w:val="00310C06"/>
    <w:rsid w:val="00311453"/>
    <w:rsid w:val="003114C9"/>
    <w:rsid w:val="0031229D"/>
    <w:rsid w:val="003132DE"/>
    <w:rsid w:val="00314E12"/>
    <w:rsid w:val="003166A5"/>
    <w:rsid w:val="00316C8C"/>
    <w:rsid w:val="003174C2"/>
    <w:rsid w:val="00317CE4"/>
    <w:rsid w:val="00320DF4"/>
    <w:rsid w:val="0032169E"/>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4422"/>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0DD"/>
    <w:rsid w:val="003D56B5"/>
    <w:rsid w:val="003D5DCC"/>
    <w:rsid w:val="003D6B84"/>
    <w:rsid w:val="003E1A49"/>
    <w:rsid w:val="003E2D01"/>
    <w:rsid w:val="003E330E"/>
    <w:rsid w:val="003E3AE3"/>
    <w:rsid w:val="003E5733"/>
    <w:rsid w:val="003E5E27"/>
    <w:rsid w:val="003E6FD2"/>
    <w:rsid w:val="003E788F"/>
    <w:rsid w:val="003E7A97"/>
    <w:rsid w:val="003E7D3A"/>
    <w:rsid w:val="003E7DE7"/>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8E7"/>
    <w:rsid w:val="00413BA5"/>
    <w:rsid w:val="00414B19"/>
    <w:rsid w:val="00414FD0"/>
    <w:rsid w:val="00417E93"/>
    <w:rsid w:val="00422A2A"/>
    <w:rsid w:val="00424BB4"/>
    <w:rsid w:val="00425159"/>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68D"/>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4105"/>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286C"/>
    <w:rsid w:val="004D30CE"/>
    <w:rsid w:val="004D4071"/>
    <w:rsid w:val="004D421A"/>
    <w:rsid w:val="004D4D0C"/>
    <w:rsid w:val="004D6144"/>
    <w:rsid w:val="004D678F"/>
    <w:rsid w:val="004D714B"/>
    <w:rsid w:val="004D7980"/>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6FFC"/>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6D3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892"/>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8A2"/>
    <w:rsid w:val="00613A99"/>
    <w:rsid w:val="00614EB1"/>
    <w:rsid w:val="00614F67"/>
    <w:rsid w:val="00615277"/>
    <w:rsid w:val="00615519"/>
    <w:rsid w:val="00615CED"/>
    <w:rsid w:val="00615CFC"/>
    <w:rsid w:val="00616460"/>
    <w:rsid w:val="00617A92"/>
    <w:rsid w:val="00620BF9"/>
    <w:rsid w:val="00620CEE"/>
    <w:rsid w:val="00622558"/>
    <w:rsid w:val="00622D5F"/>
    <w:rsid w:val="00622EAE"/>
    <w:rsid w:val="0062334E"/>
    <w:rsid w:val="00623A4F"/>
    <w:rsid w:val="006240AE"/>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400"/>
    <w:rsid w:val="006725B5"/>
    <w:rsid w:val="00673521"/>
    <w:rsid w:val="00673702"/>
    <w:rsid w:val="00673767"/>
    <w:rsid w:val="00673F39"/>
    <w:rsid w:val="006746AC"/>
    <w:rsid w:val="006748A1"/>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95C"/>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2B"/>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2693"/>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30A3"/>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17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6D6"/>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C73"/>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931"/>
    <w:rsid w:val="00925956"/>
    <w:rsid w:val="00925DD2"/>
    <w:rsid w:val="00926344"/>
    <w:rsid w:val="00926929"/>
    <w:rsid w:val="00927301"/>
    <w:rsid w:val="00927E9D"/>
    <w:rsid w:val="009308C0"/>
    <w:rsid w:val="00931612"/>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93"/>
    <w:rsid w:val="0095112D"/>
    <w:rsid w:val="00952124"/>
    <w:rsid w:val="00956244"/>
    <w:rsid w:val="00956A06"/>
    <w:rsid w:val="00957435"/>
    <w:rsid w:val="009578D0"/>
    <w:rsid w:val="009600C6"/>
    <w:rsid w:val="00960D80"/>
    <w:rsid w:val="009621CE"/>
    <w:rsid w:val="009622BF"/>
    <w:rsid w:val="009629FB"/>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62B"/>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F02"/>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3E0C"/>
    <w:rsid w:val="00A240BA"/>
    <w:rsid w:val="00A26B82"/>
    <w:rsid w:val="00A26FFF"/>
    <w:rsid w:val="00A316EC"/>
    <w:rsid w:val="00A31804"/>
    <w:rsid w:val="00A318AE"/>
    <w:rsid w:val="00A318C5"/>
    <w:rsid w:val="00A320BA"/>
    <w:rsid w:val="00A32283"/>
    <w:rsid w:val="00A32342"/>
    <w:rsid w:val="00A325EC"/>
    <w:rsid w:val="00A32B81"/>
    <w:rsid w:val="00A337E5"/>
    <w:rsid w:val="00A3575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48DF"/>
    <w:rsid w:val="00AA550A"/>
    <w:rsid w:val="00AA5EBD"/>
    <w:rsid w:val="00AA628B"/>
    <w:rsid w:val="00AA6DE4"/>
    <w:rsid w:val="00AA7408"/>
    <w:rsid w:val="00AA7D1F"/>
    <w:rsid w:val="00AB02C6"/>
    <w:rsid w:val="00AB2043"/>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461"/>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7E8"/>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3AC0"/>
    <w:rsid w:val="00B24EA8"/>
    <w:rsid w:val="00B25D31"/>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F64"/>
    <w:rsid w:val="00B44049"/>
    <w:rsid w:val="00B44318"/>
    <w:rsid w:val="00B44C4B"/>
    <w:rsid w:val="00B477CB"/>
    <w:rsid w:val="00B50765"/>
    <w:rsid w:val="00B507ED"/>
    <w:rsid w:val="00B508A7"/>
    <w:rsid w:val="00B51B77"/>
    <w:rsid w:val="00B52081"/>
    <w:rsid w:val="00B52695"/>
    <w:rsid w:val="00B52A82"/>
    <w:rsid w:val="00B545AF"/>
    <w:rsid w:val="00B55B09"/>
    <w:rsid w:val="00B56711"/>
    <w:rsid w:val="00B56F27"/>
    <w:rsid w:val="00B57EF2"/>
    <w:rsid w:val="00B604F3"/>
    <w:rsid w:val="00B6101C"/>
    <w:rsid w:val="00B615ED"/>
    <w:rsid w:val="00B63A9D"/>
    <w:rsid w:val="00B64888"/>
    <w:rsid w:val="00B672E3"/>
    <w:rsid w:val="00B675F9"/>
    <w:rsid w:val="00B70849"/>
    <w:rsid w:val="00B70A25"/>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5E7"/>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64B8"/>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7D2"/>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116C"/>
    <w:rsid w:val="00C83A4C"/>
    <w:rsid w:val="00C83B75"/>
    <w:rsid w:val="00C8533B"/>
    <w:rsid w:val="00C858BA"/>
    <w:rsid w:val="00C86977"/>
    <w:rsid w:val="00C905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2F19"/>
    <w:rsid w:val="00CB3677"/>
    <w:rsid w:val="00CB368F"/>
    <w:rsid w:val="00CB4C42"/>
    <w:rsid w:val="00CB4DFA"/>
    <w:rsid w:val="00CB6B20"/>
    <w:rsid w:val="00CB7BD7"/>
    <w:rsid w:val="00CC0707"/>
    <w:rsid w:val="00CC1F81"/>
    <w:rsid w:val="00CC3B62"/>
    <w:rsid w:val="00CC4CB6"/>
    <w:rsid w:val="00CC4DB0"/>
    <w:rsid w:val="00CC5038"/>
    <w:rsid w:val="00CC5326"/>
    <w:rsid w:val="00CC7426"/>
    <w:rsid w:val="00CC7602"/>
    <w:rsid w:val="00CC7910"/>
    <w:rsid w:val="00CD004B"/>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CC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087"/>
    <w:rsid w:val="00D61406"/>
    <w:rsid w:val="00D61541"/>
    <w:rsid w:val="00D61575"/>
    <w:rsid w:val="00D621B7"/>
    <w:rsid w:val="00D6294E"/>
    <w:rsid w:val="00D63C9A"/>
    <w:rsid w:val="00D640BC"/>
    <w:rsid w:val="00D654D5"/>
    <w:rsid w:val="00D65A9D"/>
    <w:rsid w:val="00D65CB5"/>
    <w:rsid w:val="00D67168"/>
    <w:rsid w:val="00D677BB"/>
    <w:rsid w:val="00D67F8A"/>
    <w:rsid w:val="00D70544"/>
    <w:rsid w:val="00D71463"/>
    <w:rsid w:val="00D7194A"/>
    <w:rsid w:val="00D725D4"/>
    <w:rsid w:val="00D72AE4"/>
    <w:rsid w:val="00D73026"/>
    <w:rsid w:val="00D73FA1"/>
    <w:rsid w:val="00D745FD"/>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6FBB"/>
    <w:rsid w:val="00DE7822"/>
    <w:rsid w:val="00DF0031"/>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1EE"/>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7B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4E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937"/>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DD1"/>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2F6"/>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80B"/>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9FD"/>
    <w:rsid w:val="00F35B93"/>
    <w:rsid w:val="00F35CA1"/>
    <w:rsid w:val="00F37CFD"/>
    <w:rsid w:val="00F37D33"/>
    <w:rsid w:val="00F40178"/>
    <w:rsid w:val="00F40DB9"/>
    <w:rsid w:val="00F40ED1"/>
    <w:rsid w:val="00F415A3"/>
    <w:rsid w:val="00F41778"/>
    <w:rsid w:val="00F41B3E"/>
    <w:rsid w:val="00F41DC9"/>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5FE7"/>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0C4"/>
    <w:rsid w:val="00FB0AB1"/>
    <w:rsid w:val="00FB2BEF"/>
    <w:rsid w:val="00FB36CA"/>
    <w:rsid w:val="00FB5344"/>
    <w:rsid w:val="00FB5A13"/>
    <w:rsid w:val="00FB6BB9"/>
    <w:rsid w:val="00FB72AC"/>
    <w:rsid w:val="00FB7706"/>
    <w:rsid w:val="00FB7EC9"/>
    <w:rsid w:val="00FB7F82"/>
    <w:rsid w:val="00FC0DAF"/>
    <w:rsid w:val="00FC11F5"/>
    <w:rsid w:val="00FC126D"/>
    <w:rsid w:val="00FC3387"/>
    <w:rsid w:val="00FC378D"/>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3D3"/>
    <w:rsid w:val="00FE6E94"/>
    <w:rsid w:val="00FE76CB"/>
    <w:rsid w:val="00FE7BD8"/>
    <w:rsid w:val="00FF12EF"/>
    <w:rsid w:val="00FF1D76"/>
    <w:rsid w:val="00FF309E"/>
    <w:rsid w:val="00FF3431"/>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macro" w:unhideWhenUsed="0"/>
    <w:lsdException w:name="List" w:semiHidden="0"/>
    <w:lsdException w:name="List Bullet" w:unhideWhenUsed="0"/>
    <w:lsdException w:name="List Number" w:semiHidden="0" w:unhideWhenUsed="0"/>
    <w:lsdException w:name="List 2" w:semiHidden="0"/>
    <w:lsdException w:name="List 3" w:semiHidden="0"/>
    <w:lsdException w:name="List 4" w:semiHidden="0"/>
    <w:lsdException w:name="List 5"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nhideWhenUsed="0" w:qFormat="1"/>
    <w:lsdException w:name="Strong" w:semiHidden="0" w:unhideWhenUsed="0" w:qFormat="1"/>
    <w:lsdException w:name="Emphasis" w:semiHidden="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CB2F19"/>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7A0A2B"/>
    <w:pPr>
      <w:ind w:left="720"/>
      <w:contextualSpacing/>
    </w:pPr>
  </w:style>
  <w:style w:type="paragraph" w:styleId="Quote">
    <w:name w:val="Quote"/>
    <w:basedOn w:val="Normal"/>
    <w:next w:val="Normal"/>
    <w:link w:val="QuoteChar"/>
    <w:uiPriority w:val="29"/>
    <w:qFormat/>
    <w:rsid w:val="004841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4105"/>
    <w:rPr>
      <w:i/>
      <w:iCs/>
      <w:color w:val="404040" w:themeColor="text1" w:themeTint="BF"/>
    </w:rPr>
  </w:style>
  <w:style w:type="character" w:styleId="Strong">
    <w:name w:val="Strong"/>
    <w:basedOn w:val="DefaultParagraphFont"/>
    <w:qFormat/>
    <w:rsid w:val="00484105"/>
    <w:rPr>
      <w:b/>
      <w:bCs/>
    </w:rPr>
  </w:style>
  <w:style w:type="paragraph" w:styleId="Subtitle">
    <w:name w:val="Subtitle"/>
    <w:basedOn w:val="Normal"/>
    <w:next w:val="Normal"/>
    <w:link w:val="SubtitleChar"/>
    <w:qFormat/>
    <w:rsid w:val="004841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84105"/>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84105"/>
    <w:rPr>
      <w:i/>
      <w:iCs/>
      <w:color w:val="404040" w:themeColor="text1" w:themeTint="BF"/>
    </w:rPr>
  </w:style>
  <w:style w:type="character" w:styleId="SubtleReference">
    <w:name w:val="Subtle Reference"/>
    <w:basedOn w:val="DefaultParagraphFont"/>
    <w:uiPriority w:val="31"/>
    <w:qFormat/>
    <w:rsid w:val="00484105"/>
    <w:rPr>
      <w:smallCaps/>
      <w:color w:val="5A5A5A" w:themeColor="text1" w:themeTint="A5"/>
    </w:rPr>
  </w:style>
  <w:style w:type="paragraph" w:styleId="Title">
    <w:name w:val="Title"/>
    <w:basedOn w:val="Normal"/>
    <w:next w:val="Normal"/>
    <w:link w:val="TitleChar"/>
    <w:qFormat/>
    <w:rsid w:val="004841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410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3D5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AR">
    <w:name w:val="Normal_Para_AR"/>
    <w:rsid w:val="00266180"/>
    <w:pPr>
      <w:bidi/>
      <w:spacing w:after="240" w:line="360" w:lineRule="exact"/>
    </w:pPr>
  </w:style>
  <w:style w:type="paragraph" w:customStyle="1" w:styleId="PreparedbyAR">
    <w:name w:val="Prepared_by_AR"/>
    <w:basedOn w:val="Normal"/>
    <w:next w:val="NormalParaAR"/>
    <w:rsid w:val="00B25D31"/>
    <w:pPr>
      <w:bidi w:val="0"/>
      <w:spacing w:before="240" w:after="840" w:line="360" w:lineRule="exact"/>
    </w:pPr>
    <w:rPr>
      <w:i/>
      <w:iCs/>
    </w:rPr>
  </w:style>
  <w:style w:type="paragraph" w:styleId="IntenseQuote">
    <w:name w:val="Intense Quote"/>
    <w:basedOn w:val="Normal"/>
    <w:next w:val="Normal"/>
    <w:link w:val="IntenseQuoteChar"/>
    <w:uiPriority w:val="30"/>
    <w:qFormat/>
    <w:rsid w:val="00CD00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004B"/>
    <w:rPr>
      <w:i/>
      <w:iCs/>
      <w:color w:val="4F81BD" w:themeColor="accent1"/>
    </w:rPr>
  </w:style>
  <w:style w:type="character" w:styleId="IntenseEmphasis">
    <w:name w:val="Intense Emphasis"/>
    <w:basedOn w:val="DefaultParagraphFont"/>
    <w:uiPriority w:val="21"/>
    <w:qFormat/>
    <w:rsid w:val="00CD004B"/>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macro" w:unhideWhenUsed="0"/>
    <w:lsdException w:name="List" w:semiHidden="0"/>
    <w:lsdException w:name="List Bullet" w:unhideWhenUsed="0"/>
    <w:lsdException w:name="List Number" w:semiHidden="0" w:unhideWhenUsed="0"/>
    <w:lsdException w:name="List 2" w:semiHidden="0"/>
    <w:lsdException w:name="List 3" w:semiHidden="0"/>
    <w:lsdException w:name="List 4" w:semiHidden="0"/>
    <w:lsdException w:name="List 5"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nhideWhenUsed="0" w:qFormat="1"/>
    <w:lsdException w:name="Strong" w:semiHidden="0" w:unhideWhenUsed="0" w:qFormat="1"/>
    <w:lsdException w:name="Emphasis" w:semiHidden="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CB2F19"/>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7A0A2B"/>
    <w:pPr>
      <w:ind w:left="720"/>
      <w:contextualSpacing/>
    </w:pPr>
  </w:style>
  <w:style w:type="paragraph" w:styleId="Quote">
    <w:name w:val="Quote"/>
    <w:basedOn w:val="Normal"/>
    <w:next w:val="Normal"/>
    <w:link w:val="QuoteChar"/>
    <w:uiPriority w:val="29"/>
    <w:qFormat/>
    <w:rsid w:val="004841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4105"/>
    <w:rPr>
      <w:i/>
      <w:iCs/>
      <w:color w:val="404040" w:themeColor="text1" w:themeTint="BF"/>
    </w:rPr>
  </w:style>
  <w:style w:type="character" w:styleId="Strong">
    <w:name w:val="Strong"/>
    <w:basedOn w:val="DefaultParagraphFont"/>
    <w:qFormat/>
    <w:rsid w:val="00484105"/>
    <w:rPr>
      <w:b/>
      <w:bCs/>
    </w:rPr>
  </w:style>
  <w:style w:type="paragraph" w:styleId="Subtitle">
    <w:name w:val="Subtitle"/>
    <w:basedOn w:val="Normal"/>
    <w:next w:val="Normal"/>
    <w:link w:val="SubtitleChar"/>
    <w:qFormat/>
    <w:rsid w:val="004841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84105"/>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84105"/>
    <w:rPr>
      <w:i/>
      <w:iCs/>
      <w:color w:val="404040" w:themeColor="text1" w:themeTint="BF"/>
    </w:rPr>
  </w:style>
  <w:style w:type="character" w:styleId="SubtleReference">
    <w:name w:val="Subtle Reference"/>
    <w:basedOn w:val="DefaultParagraphFont"/>
    <w:uiPriority w:val="31"/>
    <w:qFormat/>
    <w:rsid w:val="00484105"/>
    <w:rPr>
      <w:smallCaps/>
      <w:color w:val="5A5A5A" w:themeColor="text1" w:themeTint="A5"/>
    </w:rPr>
  </w:style>
  <w:style w:type="paragraph" w:styleId="Title">
    <w:name w:val="Title"/>
    <w:basedOn w:val="Normal"/>
    <w:next w:val="Normal"/>
    <w:link w:val="TitleChar"/>
    <w:qFormat/>
    <w:rsid w:val="004841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8410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3D5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AR">
    <w:name w:val="Normal_Para_AR"/>
    <w:rsid w:val="00266180"/>
    <w:pPr>
      <w:bidi/>
      <w:spacing w:after="240" w:line="360" w:lineRule="exact"/>
    </w:pPr>
  </w:style>
  <w:style w:type="paragraph" w:customStyle="1" w:styleId="PreparedbyAR">
    <w:name w:val="Prepared_by_AR"/>
    <w:basedOn w:val="Normal"/>
    <w:next w:val="NormalParaAR"/>
    <w:rsid w:val="00B25D31"/>
    <w:pPr>
      <w:bidi w:val="0"/>
      <w:spacing w:before="240" w:after="840" w:line="360" w:lineRule="exact"/>
    </w:pPr>
    <w:rPr>
      <w:i/>
      <w:iCs/>
    </w:rPr>
  </w:style>
  <w:style w:type="paragraph" w:styleId="IntenseQuote">
    <w:name w:val="Intense Quote"/>
    <w:basedOn w:val="Normal"/>
    <w:next w:val="Normal"/>
    <w:link w:val="IntenseQuoteChar"/>
    <w:uiPriority w:val="30"/>
    <w:qFormat/>
    <w:rsid w:val="00CD00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004B"/>
    <w:rPr>
      <w:i/>
      <w:iCs/>
      <w:color w:val="4F81BD" w:themeColor="accent1"/>
    </w:rPr>
  </w:style>
  <w:style w:type="character" w:styleId="IntenseEmphasis">
    <w:name w:val="Intense Emphasis"/>
    <w:basedOn w:val="DefaultParagraphFont"/>
    <w:uiPriority w:val="21"/>
    <w:qFormat/>
    <w:rsid w:val="00CD004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ne\Download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FFC5-AC02-4B04-A131-454BD682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Template>
  <TotalTime>0</TotalTime>
  <Pages>14</Pages>
  <Words>3131</Words>
  <Characters>17853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PCT/A/50/_x000d_ (Arabic)</vt:lpstr>
    </vt:vector>
  </TitlesOfParts>
  <Company>World Intellectual Property Organization</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PCT/A/50/_x000d_ (Arabic)</dc:title>
  <dc:creator>Sofiane</dc:creator>
  <cp:lastModifiedBy>HÄFLIGER Patience</cp:lastModifiedBy>
  <cp:revision>2</cp:revision>
  <cp:lastPrinted>2018-07-19T10:52:00Z</cp:lastPrinted>
  <dcterms:created xsi:type="dcterms:W3CDTF">2018-07-20T16:04:00Z</dcterms:created>
  <dcterms:modified xsi:type="dcterms:W3CDTF">2018-07-20T16:04:00Z</dcterms:modified>
</cp:coreProperties>
</file>