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5660B" w:rsidRDefault="00DB0349" w:rsidP="00DB0349">
      <w:pPr>
        <w:spacing w:after="120"/>
        <w:jc w:val="right"/>
        <w:rPr>
          <w:lang w:val="fr-FR"/>
        </w:rPr>
      </w:pPr>
      <w:r w:rsidRPr="0065660B">
        <w:rPr>
          <w:noProof/>
          <w:lang w:val="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5660B">
        <w:rPr>
          <w:rFonts w:ascii="Arial Black" w:hAnsi="Arial Black"/>
          <w:caps/>
          <w:noProof/>
          <w:sz w:val="15"/>
          <w:szCs w:val="15"/>
          <w:lang w:val="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A27002"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65660B" w:rsidRDefault="00197881" w:rsidP="00DB0349">
      <w:pPr>
        <w:jc w:val="right"/>
        <w:rPr>
          <w:rFonts w:ascii="Arial Black" w:hAnsi="Arial Black"/>
          <w:caps/>
          <w:sz w:val="15"/>
          <w:szCs w:val="15"/>
          <w:lang w:val="fr-FR"/>
        </w:rPr>
      </w:pPr>
      <w:r w:rsidRPr="0065660B">
        <w:rPr>
          <w:rFonts w:ascii="Arial Black" w:hAnsi="Arial Black"/>
          <w:caps/>
          <w:sz w:val="15"/>
          <w:szCs w:val="15"/>
          <w:lang w:val="fr-FR"/>
        </w:rPr>
        <w:t>CWS/10/</w:t>
      </w:r>
      <w:bookmarkStart w:id="0" w:name="Code"/>
      <w:bookmarkEnd w:id="0"/>
      <w:r w:rsidR="00780B1D" w:rsidRPr="0065660B">
        <w:rPr>
          <w:rFonts w:ascii="Arial Black" w:hAnsi="Arial Black"/>
          <w:caps/>
          <w:sz w:val="15"/>
          <w:szCs w:val="15"/>
          <w:lang w:val="fr-FR"/>
        </w:rPr>
        <w:t>16</w:t>
      </w:r>
    </w:p>
    <w:p w:rsidR="008B2CC1" w:rsidRPr="0065660B" w:rsidRDefault="00DB0349" w:rsidP="00DB0349">
      <w:pPr>
        <w:jc w:val="right"/>
        <w:rPr>
          <w:rFonts w:ascii="Arial Black" w:hAnsi="Arial Black"/>
          <w:caps/>
          <w:sz w:val="15"/>
          <w:szCs w:val="15"/>
          <w:lang w:val="fr-FR"/>
        </w:rPr>
      </w:pPr>
      <w:r w:rsidRPr="0065660B">
        <w:rPr>
          <w:rFonts w:ascii="Arial Black" w:hAnsi="Arial Black"/>
          <w:caps/>
          <w:sz w:val="15"/>
          <w:szCs w:val="15"/>
          <w:lang w:val="fr-FR"/>
        </w:rPr>
        <w:t>Original</w:t>
      </w:r>
      <w:r w:rsidR="002709EA" w:rsidRPr="0065660B">
        <w:rPr>
          <w:rFonts w:ascii="Arial Black" w:hAnsi="Arial Black"/>
          <w:caps/>
          <w:sz w:val="15"/>
          <w:szCs w:val="15"/>
          <w:lang w:val="fr-FR"/>
        </w:rPr>
        <w:t> :</w:t>
      </w:r>
      <w:r w:rsidRPr="0065660B">
        <w:rPr>
          <w:rFonts w:ascii="Arial Black" w:hAnsi="Arial Black"/>
          <w:caps/>
          <w:sz w:val="15"/>
          <w:szCs w:val="15"/>
          <w:lang w:val="fr-FR"/>
        </w:rPr>
        <w:t xml:space="preserve"> </w:t>
      </w:r>
      <w:bookmarkStart w:id="1" w:name="Original"/>
      <w:r w:rsidR="00780B1D" w:rsidRPr="0065660B">
        <w:rPr>
          <w:rFonts w:ascii="Arial Black" w:hAnsi="Arial Black"/>
          <w:caps/>
          <w:sz w:val="15"/>
          <w:szCs w:val="15"/>
          <w:lang w:val="fr-FR"/>
        </w:rPr>
        <w:t>anglais</w:t>
      </w:r>
    </w:p>
    <w:bookmarkEnd w:id="1"/>
    <w:p w:rsidR="008B2CC1" w:rsidRPr="0065660B" w:rsidRDefault="00DB0349" w:rsidP="00DB0349">
      <w:pPr>
        <w:spacing w:after="1200"/>
        <w:jc w:val="right"/>
        <w:rPr>
          <w:rFonts w:ascii="Arial Black" w:hAnsi="Arial Black"/>
          <w:b/>
          <w:caps/>
          <w:sz w:val="15"/>
          <w:szCs w:val="15"/>
          <w:lang w:val="fr-FR"/>
        </w:rPr>
      </w:pPr>
      <w:r w:rsidRPr="0065660B">
        <w:rPr>
          <w:rFonts w:ascii="Arial Black" w:hAnsi="Arial Black"/>
          <w:caps/>
          <w:sz w:val="15"/>
          <w:szCs w:val="15"/>
          <w:lang w:val="fr-FR"/>
        </w:rPr>
        <w:t>date</w:t>
      </w:r>
      <w:r w:rsidR="002709EA" w:rsidRPr="0065660B">
        <w:rPr>
          <w:rFonts w:ascii="Arial Black" w:hAnsi="Arial Black"/>
          <w:caps/>
          <w:sz w:val="15"/>
          <w:szCs w:val="15"/>
          <w:lang w:val="fr-FR"/>
        </w:rPr>
        <w:t> :</w:t>
      </w:r>
      <w:r w:rsidRPr="0065660B">
        <w:rPr>
          <w:rFonts w:ascii="Arial Black" w:hAnsi="Arial Black"/>
          <w:caps/>
          <w:sz w:val="15"/>
          <w:szCs w:val="15"/>
          <w:lang w:val="fr-FR"/>
        </w:rPr>
        <w:t xml:space="preserve"> </w:t>
      </w:r>
      <w:bookmarkStart w:id="2" w:name="Date"/>
      <w:r w:rsidR="00780B1D" w:rsidRPr="0065660B">
        <w:rPr>
          <w:rFonts w:ascii="Arial Black" w:hAnsi="Arial Black"/>
          <w:caps/>
          <w:sz w:val="15"/>
          <w:szCs w:val="15"/>
          <w:lang w:val="fr-FR"/>
        </w:rPr>
        <w:t>13 septembre 2022</w:t>
      </w:r>
    </w:p>
    <w:bookmarkEnd w:id="2"/>
    <w:p w:rsidR="00C40E15" w:rsidRPr="0065660B" w:rsidRDefault="00197881" w:rsidP="00DB0349">
      <w:pPr>
        <w:spacing w:after="600"/>
        <w:rPr>
          <w:b/>
          <w:sz w:val="28"/>
          <w:szCs w:val="28"/>
          <w:lang w:val="fr-FR"/>
        </w:rPr>
      </w:pPr>
      <w:r w:rsidRPr="0065660B">
        <w:rPr>
          <w:b/>
          <w:sz w:val="28"/>
          <w:szCs w:val="28"/>
          <w:lang w:val="fr-FR"/>
        </w:rPr>
        <w:t>C</w:t>
      </w:r>
      <w:bookmarkStart w:id="3" w:name="_GoBack"/>
      <w:bookmarkEnd w:id="3"/>
      <w:r w:rsidRPr="0065660B">
        <w:rPr>
          <w:b/>
          <w:sz w:val="28"/>
          <w:szCs w:val="28"/>
          <w:lang w:val="fr-FR"/>
        </w:rPr>
        <w:t>omité des normes de l</w:t>
      </w:r>
      <w:r w:rsidR="002709EA" w:rsidRPr="0065660B">
        <w:rPr>
          <w:b/>
          <w:sz w:val="28"/>
          <w:szCs w:val="28"/>
          <w:lang w:val="fr-FR"/>
        </w:rPr>
        <w:t>’</w:t>
      </w:r>
      <w:r w:rsidRPr="0065660B">
        <w:rPr>
          <w:b/>
          <w:sz w:val="28"/>
          <w:szCs w:val="28"/>
          <w:lang w:val="fr-FR"/>
        </w:rPr>
        <w:t>OMPI (CWS)</w:t>
      </w:r>
    </w:p>
    <w:p w:rsidR="008B2CC1" w:rsidRPr="0065660B" w:rsidRDefault="00197881" w:rsidP="008B2CC1">
      <w:pPr>
        <w:rPr>
          <w:b/>
          <w:sz w:val="28"/>
          <w:szCs w:val="24"/>
          <w:lang w:val="fr-FR"/>
        </w:rPr>
      </w:pPr>
      <w:r w:rsidRPr="0065660B">
        <w:rPr>
          <w:b/>
          <w:sz w:val="24"/>
          <w:lang w:val="fr-FR"/>
        </w:rPr>
        <w:t>Dix</w:t>
      </w:r>
      <w:r w:rsidR="002709EA" w:rsidRPr="0065660B">
        <w:rPr>
          <w:b/>
          <w:sz w:val="24"/>
          <w:lang w:val="fr-FR"/>
        </w:rPr>
        <w:t>ième session</w:t>
      </w:r>
    </w:p>
    <w:p w:rsidR="008B2CC1" w:rsidRPr="0065660B" w:rsidRDefault="00197881" w:rsidP="00DB0349">
      <w:pPr>
        <w:spacing w:after="720"/>
        <w:rPr>
          <w:b/>
          <w:sz w:val="28"/>
          <w:szCs w:val="24"/>
          <w:lang w:val="fr-FR"/>
        </w:rPr>
      </w:pPr>
      <w:r w:rsidRPr="0065660B">
        <w:rPr>
          <w:b/>
          <w:sz w:val="24"/>
          <w:lang w:val="fr-FR"/>
        </w:rPr>
        <w:t>Genève, 21</w:t>
      </w:r>
      <w:r w:rsidR="008236DE" w:rsidRPr="0065660B">
        <w:rPr>
          <w:b/>
          <w:sz w:val="24"/>
          <w:lang w:val="fr-FR"/>
        </w:rPr>
        <w:t xml:space="preserve"> </w:t>
      </w:r>
      <w:r w:rsidRPr="0065660B">
        <w:rPr>
          <w:b/>
          <w:sz w:val="24"/>
          <w:lang w:val="fr-FR"/>
        </w:rPr>
        <w:t>– 2</w:t>
      </w:r>
      <w:r w:rsidR="00F83792" w:rsidRPr="0065660B">
        <w:rPr>
          <w:b/>
          <w:sz w:val="24"/>
          <w:lang w:val="fr-FR"/>
        </w:rPr>
        <w:t>5 novembre 20</w:t>
      </w:r>
      <w:r w:rsidRPr="0065660B">
        <w:rPr>
          <w:b/>
          <w:sz w:val="24"/>
          <w:lang w:val="fr-FR"/>
        </w:rPr>
        <w:t>22</w:t>
      </w:r>
    </w:p>
    <w:p w:rsidR="008B2CC1" w:rsidRPr="0065660B" w:rsidRDefault="00780B1D" w:rsidP="00DB0349">
      <w:pPr>
        <w:spacing w:after="360"/>
        <w:rPr>
          <w:caps/>
          <w:sz w:val="24"/>
          <w:lang w:val="fr-FR"/>
        </w:rPr>
      </w:pPr>
      <w:bookmarkStart w:id="4" w:name="TitleOfDoc"/>
      <w:r w:rsidRPr="0065660B">
        <w:rPr>
          <w:caps/>
          <w:sz w:val="24"/>
          <w:lang w:val="fr-FR"/>
        </w:rPr>
        <w:t>Rapport de l</w:t>
      </w:r>
      <w:r w:rsidR="002709EA" w:rsidRPr="0065660B">
        <w:rPr>
          <w:caps/>
          <w:sz w:val="24"/>
          <w:lang w:val="fr-FR"/>
        </w:rPr>
        <w:t>’</w:t>
      </w:r>
      <w:r w:rsidRPr="0065660B">
        <w:rPr>
          <w:caps/>
          <w:sz w:val="24"/>
          <w:lang w:val="fr-FR"/>
        </w:rPr>
        <w:t>Équipe d</w:t>
      </w:r>
      <w:r w:rsidR="002709EA" w:rsidRPr="0065660B">
        <w:rPr>
          <w:caps/>
          <w:sz w:val="24"/>
          <w:lang w:val="fr-FR"/>
        </w:rPr>
        <w:t>’</w:t>
      </w:r>
      <w:r w:rsidRPr="0065660B">
        <w:rPr>
          <w:caps/>
          <w:sz w:val="24"/>
          <w:lang w:val="fr-FR"/>
        </w:rPr>
        <w:t>experts chargée de la partie 7</w:t>
      </w:r>
    </w:p>
    <w:p w:rsidR="00525B63" w:rsidRPr="0065660B" w:rsidRDefault="00780B1D" w:rsidP="00DB0349">
      <w:pPr>
        <w:spacing w:after="960"/>
        <w:rPr>
          <w:i/>
          <w:lang w:val="fr-FR"/>
        </w:rPr>
      </w:pPr>
      <w:bookmarkStart w:id="5" w:name="Prepared"/>
      <w:bookmarkEnd w:id="4"/>
      <w:r w:rsidRPr="0065660B">
        <w:rPr>
          <w:i/>
          <w:lang w:val="fr-FR"/>
        </w:rPr>
        <w:t>Document établi par l</w:t>
      </w:r>
      <w:r w:rsidR="002709EA" w:rsidRPr="0065660B">
        <w:rPr>
          <w:i/>
          <w:lang w:val="fr-FR"/>
        </w:rPr>
        <w:t>’</w:t>
      </w:r>
      <w:r w:rsidRPr="0065660B">
        <w:rPr>
          <w:i/>
          <w:lang w:val="fr-FR"/>
        </w:rPr>
        <w:t>Équipe d</w:t>
      </w:r>
      <w:r w:rsidR="002709EA" w:rsidRPr="0065660B">
        <w:rPr>
          <w:i/>
          <w:lang w:val="fr-FR"/>
        </w:rPr>
        <w:t>’</w:t>
      </w:r>
      <w:r w:rsidRPr="0065660B">
        <w:rPr>
          <w:i/>
          <w:lang w:val="fr-FR"/>
        </w:rPr>
        <w:t>experts chargée de la partie 7</w:t>
      </w:r>
    </w:p>
    <w:bookmarkEnd w:id="5"/>
    <w:p w:rsidR="00780B1D" w:rsidRPr="0065660B" w:rsidRDefault="00A46F5F" w:rsidP="00A46F5F">
      <w:pPr>
        <w:pStyle w:val="Heading2"/>
        <w:rPr>
          <w:lang w:val="fr-FR"/>
        </w:rPr>
      </w:pPr>
      <w:r w:rsidRPr="0065660B">
        <w:rPr>
          <w:lang w:val="fr-FR"/>
        </w:rPr>
        <w:t>Introduction</w:t>
      </w:r>
    </w:p>
    <w:p w:rsidR="00780B1D" w:rsidRPr="0065660B" w:rsidRDefault="00780B1D" w:rsidP="00A46F5F">
      <w:pPr>
        <w:pStyle w:val="ONUMFS"/>
        <w:rPr>
          <w:lang w:val="fr-FR"/>
        </w:rPr>
      </w:pPr>
      <w:r w:rsidRPr="0065660B">
        <w:rPr>
          <w:lang w:val="fr-FR"/>
        </w:rPr>
        <w:t>À sa neuv</w:t>
      </w:r>
      <w:r w:rsidR="002709EA" w:rsidRPr="0065660B">
        <w:rPr>
          <w:lang w:val="fr-FR"/>
        </w:rPr>
        <w:t>ième session</w:t>
      </w:r>
      <w:r w:rsidRPr="0065660B">
        <w:rPr>
          <w:lang w:val="fr-FR"/>
        </w:rPr>
        <w:t xml:space="preserve"> tenue en 2021, le Comité des normes de l</w:t>
      </w:r>
      <w:r w:rsidR="002709EA" w:rsidRPr="0065660B">
        <w:rPr>
          <w:lang w:val="fr-FR"/>
        </w:rPr>
        <w:t>’</w:t>
      </w:r>
      <w:r w:rsidRPr="0065660B">
        <w:rPr>
          <w:lang w:val="fr-FR"/>
        </w:rPr>
        <w:t>OMPI (CWS) a approuvé le programme de travail révisé pour la mise à jour de la partie 7 du Manuel de l</w:t>
      </w:r>
      <w:r w:rsidR="002709EA" w:rsidRPr="0065660B">
        <w:rPr>
          <w:lang w:val="fr-FR"/>
        </w:rPr>
        <w:t>’</w:t>
      </w:r>
      <w:r w:rsidRPr="0065660B">
        <w:rPr>
          <w:lang w:val="fr-FR"/>
        </w:rPr>
        <w:t xml:space="preserve">OMPI, </w:t>
      </w:r>
      <w:r w:rsidR="002709EA" w:rsidRPr="0065660B">
        <w:rPr>
          <w:lang w:val="fr-FR"/>
        </w:rPr>
        <w:t>y compris</w:t>
      </w:r>
      <w:r w:rsidRPr="0065660B">
        <w:rPr>
          <w:lang w:val="fr-FR"/>
        </w:rPr>
        <w:t xml:space="preserve"> une enquête sur les dates du calendrier en 2022. </w:t>
      </w:r>
      <w:r w:rsidR="00F83792" w:rsidRPr="0065660B">
        <w:rPr>
          <w:lang w:val="fr-FR"/>
        </w:rPr>
        <w:t xml:space="preserve"> Le CWS</w:t>
      </w:r>
      <w:r w:rsidRPr="0065660B">
        <w:rPr>
          <w:lang w:val="fr-FR"/>
        </w:rPr>
        <w:t xml:space="preserve"> a approuvé une procédure simplifiée pour les mises à jour de la partie 7, </w:t>
      </w:r>
      <w:r w:rsidR="002709EA" w:rsidRPr="0065660B">
        <w:rPr>
          <w:lang w:val="fr-FR"/>
        </w:rPr>
        <w:t>à savoir</w:t>
      </w:r>
      <w:r w:rsidRPr="0065660B">
        <w:rPr>
          <w:lang w:val="fr-FR"/>
        </w:rPr>
        <w:t xml:space="preserve"> la collecte et la publication des résultats sans présentation du questionnaire ou des résultats</w:t>
      </w:r>
      <w:r w:rsidR="00F83792" w:rsidRPr="0065660B">
        <w:rPr>
          <w:lang w:val="fr-FR"/>
        </w:rPr>
        <w:t xml:space="preserve"> au CWS</w:t>
      </w:r>
      <w:r w:rsidRPr="0065660B">
        <w:rPr>
          <w:lang w:val="fr-FR"/>
        </w:rPr>
        <w:t xml:space="preserve"> pour approbati</w:t>
      </w:r>
      <w:r w:rsidR="0065660B" w:rsidRPr="0065660B">
        <w:rPr>
          <w:lang w:val="fr-FR"/>
        </w:rPr>
        <w:t>on.  Le</w:t>
      </w:r>
      <w:r w:rsidR="00F83792" w:rsidRPr="0065660B">
        <w:rPr>
          <w:lang w:val="fr-FR"/>
        </w:rPr>
        <w:t> CWS</w:t>
      </w:r>
      <w:r w:rsidRPr="0065660B">
        <w:rPr>
          <w:lang w:val="fr-FR"/>
        </w:rPr>
        <w:t xml:space="preserve"> a prié l</w:t>
      </w:r>
      <w:r w:rsidR="002709EA" w:rsidRPr="0065660B">
        <w:rPr>
          <w:lang w:val="fr-FR"/>
        </w:rPr>
        <w:t>’</w:t>
      </w:r>
      <w:r w:rsidRPr="0065660B">
        <w:rPr>
          <w:lang w:val="fr-FR"/>
        </w:rPr>
        <w:t>équipe d</w:t>
      </w:r>
      <w:r w:rsidR="002709EA" w:rsidRPr="0065660B">
        <w:rPr>
          <w:lang w:val="fr-FR"/>
        </w:rPr>
        <w:t>’</w:t>
      </w:r>
      <w:r w:rsidRPr="0065660B">
        <w:rPr>
          <w:lang w:val="fr-FR"/>
        </w:rPr>
        <w:t xml:space="preserve">experts de planifier dans son programme de travail une mise à jour de la partie 7.9 sur les pratiques en matière de citations (voir les paragraphes 110 à 114 du </w:t>
      </w:r>
      <w:r w:rsidR="00F83792" w:rsidRPr="0065660B">
        <w:rPr>
          <w:lang w:val="fr-FR"/>
        </w:rPr>
        <w:t>document CW</w:t>
      </w:r>
      <w:r w:rsidRPr="0065660B">
        <w:rPr>
          <w:lang w:val="fr-FR"/>
        </w:rPr>
        <w:t>S/9/25).</w:t>
      </w:r>
    </w:p>
    <w:p w:rsidR="00780B1D" w:rsidRPr="0065660B" w:rsidRDefault="00A46F5F" w:rsidP="00A46F5F">
      <w:pPr>
        <w:pStyle w:val="Heading2"/>
        <w:rPr>
          <w:lang w:val="fr-FR"/>
        </w:rPr>
      </w:pPr>
      <w:r>
        <w:rPr>
          <w:lang w:val="fr-FR"/>
        </w:rPr>
        <w:t>R</w:t>
      </w:r>
      <w:r w:rsidRPr="0065660B">
        <w:rPr>
          <w:lang w:val="fr-FR"/>
        </w:rPr>
        <w:t>apport sur l’état d’avancement des travaux</w:t>
      </w:r>
    </w:p>
    <w:p w:rsidR="00780B1D" w:rsidRPr="0065660B" w:rsidRDefault="00780B1D" w:rsidP="00A46F5F">
      <w:pPr>
        <w:pStyle w:val="ONUMFS"/>
        <w:rPr>
          <w:szCs w:val="22"/>
          <w:lang w:val="fr-FR"/>
        </w:rPr>
      </w:pPr>
      <w:r w:rsidRPr="0065660B">
        <w:rPr>
          <w:lang w:val="fr-FR"/>
        </w:rPr>
        <w:t>En août 2022, le Secrétariat a diffusé la circulaire C.CWS 162 invitant les offices de propriété intellectuelle à répondre à l</w:t>
      </w:r>
      <w:r w:rsidR="002709EA" w:rsidRPr="0065660B">
        <w:rPr>
          <w:lang w:val="fr-FR"/>
        </w:rPr>
        <w:t>’</w:t>
      </w:r>
      <w:r w:rsidRPr="0065660B">
        <w:rPr>
          <w:lang w:val="fr-FR"/>
        </w:rPr>
        <w:t>enquête sur les modes d</w:t>
      </w:r>
      <w:r w:rsidR="002709EA" w:rsidRPr="0065660B">
        <w:rPr>
          <w:lang w:val="fr-FR"/>
        </w:rPr>
        <w:t>’</w:t>
      </w:r>
      <w:r w:rsidRPr="0065660B">
        <w:rPr>
          <w:lang w:val="fr-FR"/>
        </w:rPr>
        <w:t>indication des dates du calendri</w:t>
      </w:r>
      <w:r w:rsidR="0065660B" w:rsidRPr="0065660B">
        <w:rPr>
          <w:lang w:val="fr-FR"/>
        </w:rPr>
        <w:t>er.  L’e</w:t>
      </w:r>
      <w:r w:rsidRPr="0065660B">
        <w:rPr>
          <w:lang w:val="fr-FR"/>
        </w:rPr>
        <w:t>nquête se termine en septembre 2022.  Comme convenu lors de la neuv</w:t>
      </w:r>
      <w:r w:rsidR="002709EA" w:rsidRPr="0065660B">
        <w:rPr>
          <w:lang w:val="fr-FR"/>
        </w:rPr>
        <w:t>ième session</w:t>
      </w:r>
      <w:r w:rsidRPr="0065660B">
        <w:rPr>
          <w:lang w:val="fr-FR"/>
        </w:rPr>
        <w:t>, la partie 7.1 du Manuel de l</w:t>
      </w:r>
      <w:r w:rsidR="002709EA" w:rsidRPr="0065660B">
        <w:rPr>
          <w:lang w:val="fr-FR"/>
        </w:rPr>
        <w:t>’</w:t>
      </w:r>
      <w:r w:rsidRPr="0065660B">
        <w:rPr>
          <w:lang w:val="fr-FR"/>
        </w:rPr>
        <w:t>OMPI sera mise à jour sur la base des résultats de l</w:t>
      </w:r>
      <w:r w:rsidR="002709EA" w:rsidRPr="0065660B">
        <w:rPr>
          <w:lang w:val="fr-FR"/>
        </w:rPr>
        <w:t>’</w:t>
      </w:r>
      <w:r w:rsidRPr="0065660B">
        <w:rPr>
          <w:lang w:val="fr-FR"/>
        </w:rPr>
        <w:t>enquête lorsqu</w:t>
      </w:r>
      <w:r w:rsidR="002709EA" w:rsidRPr="0065660B">
        <w:rPr>
          <w:lang w:val="fr-FR"/>
        </w:rPr>
        <w:t>’</w:t>
      </w:r>
      <w:r w:rsidRPr="0065660B">
        <w:rPr>
          <w:lang w:val="fr-FR"/>
        </w:rPr>
        <w:t>ils seront disponibl</w:t>
      </w:r>
      <w:r w:rsidR="0065660B" w:rsidRPr="0065660B">
        <w:rPr>
          <w:lang w:val="fr-FR"/>
        </w:rPr>
        <w:t>es.  Le</w:t>
      </w:r>
      <w:r w:rsidRPr="0065660B">
        <w:rPr>
          <w:lang w:val="fr-FR"/>
        </w:rPr>
        <w:t>s résultats devraient être publiés d</w:t>
      </w:r>
      <w:r w:rsidR="002709EA" w:rsidRPr="0065660B">
        <w:rPr>
          <w:lang w:val="fr-FR"/>
        </w:rPr>
        <w:t>’</w:t>
      </w:r>
      <w:r w:rsidRPr="0065660B">
        <w:rPr>
          <w:lang w:val="fr-FR"/>
        </w:rPr>
        <w:t>ici à la fin de 2022, compte tenu du temps nécessaire à la préparation et à la traduction des résulta</w:t>
      </w:r>
      <w:r w:rsidR="0065660B" w:rsidRPr="0065660B">
        <w:rPr>
          <w:lang w:val="fr-FR"/>
        </w:rPr>
        <w:t>ts.  Le</w:t>
      </w:r>
      <w:r w:rsidRPr="0065660B">
        <w:rPr>
          <w:lang w:val="fr-FR"/>
        </w:rPr>
        <w:t xml:space="preserve"> Secrétariat fournira des informations sur l</w:t>
      </w:r>
      <w:r w:rsidR="002709EA" w:rsidRPr="0065660B">
        <w:rPr>
          <w:lang w:val="fr-FR"/>
        </w:rPr>
        <w:t>’</w:t>
      </w:r>
      <w:r w:rsidRPr="0065660B">
        <w:rPr>
          <w:lang w:val="fr-FR"/>
        </w:rPr>
        <w:t xml:space="preserve">analyse des réponses reçues dans le </w:t>
      </w:r>
      <w:r w:rsidR="00F83792" w:rsidRPr="0065660B">
        <w:rPr>
          <w:lang w:val="fr-FR"/>
        </w:rPr>
        <w:t>document CW</w:t>
      </w:r>
      <w:r w:rsidRPr="0065660B">
        <w:rPr>
          <w:lang w:val="fr-FR"/>
        </w:rPr>
        <w:t>S/10/18.</w:t>
      </w:r>
    </w:p>
    <w:p w:rsidR="00780B1D" w:rsidRPr="0065660B" w:rsidRDefault="00780B1D" w:rsidP="00A46F5F">
      <w:pPr>
        <w:pStyle w:val="ONUMFS"/>
        <w:rPr>
          <w:szCs w:val="22"/>
          <w:lang w:val="fr-FR"/>
        </w:rPr>
      </w:pPr>
      <w:r w:rsidRPr="0065660B">
        <w:rPr>
          <w:lang w:val="fr-FR"/>
        </w:rPr>
        <w:t>L</w:t>
      </w:r>
      <w:r w:rsidR="002709EA" w:rsidRPr="0065660B">
        <w:rPr>
          <w:lang w:val="fr-FR"/>
        </w:rPr>
        <w:t>’</w:t>
      </w:r>
      <w:r w:rsidRPr="0065660B">
        <w:rPr>
          <w:lang w:val="fr-FR"/>
        </w:rPr>
        <w:t>équipe d</w:t>
      </w:r>
      <w:r w:rsidR="002709EA" w:rsidRPr="0065660B">
        <w:rPr>
          <w:lang w:val="fr-FR"/>
        </w:rPr>
        <w:t>’</w:t>
      </w:r>
      <w:r w:rsidRPr="0065660B">
        <w:rPr>
          <w:lang w:val="fr-FR"/>
        </w:rPr>
        <w:t>experts a envisagé de réviser le programme de travail afin de planifier une actualisation des pratiques en matière de citations dans la partie 7.9 du Manuel de l</w:t>
      </w:r>
      <w:r w:rsidR="002709EA" w:rsidRPr="0065660B">
        <w:rPr>
          <w:lang w:val="fr-FR"/>
        </w:rPr>
        <w:t>’</w:t>
      </w:r>
      <w:r w:rsidRPr="0065660B">
        <w:rPr>
          <w:lang w:val="fr-FR"/>
        </w:rPr>
        <w:t>OMPI.  L</w:t>
      </w:r>
      <w:r w:rsidR="002709EA" w:rsidRPr="0065660B">
        <w:rPr>
          <w:lang w:val="fr-FR"/>
        </w:rPr>
        <w:t>’</w:t>
      </w:r>
      <w:r w:rsidRPr="0065660B">
        <w:rPr>
          <w:lang w:val="fr-FR"/>
        </w:rPr>
        <w:t>actualisation des pratiques en matière de citations ayant été demandée par</w:t>
      </w:r>
      <w:r w:rsidR="00F83792" w:rsidRPr="0065660B">
        <w:rPr>
          <w:lang w:val="fr-FR"/>
        </w:rPr>
        <w:t xml:space="preserve"> le CWS</w:t>
      </w:r>
      <w:r w:rsidRPr="0065660B">
        <w:rPr>
          <w:lang w:val="fr-FR"/>
        </w:rPr>
        <w:t xml:space="preserve"> l</w:t>
      </w:r>
      <w:r w:rsidR="002709EA" w:rsidRPr="0065660B">
        <w:rPr>
          <w:lang w:val="fr-FR"/>
        </w:rPr>
        <w:t>’</w:t>
      </w:r>
      <w:r w:rsidRPr="0065660B">
        <w:rPr>
          <w:lang w:val="fr-FR"/>
        </w:rPr>
        <w:t>année dernière, elle devrait être planifiée assez rapidement.</w:t>
      </w:r>
    </w:p>
    <w:p w:rsidR="00780B1D" w:rsidRPr="0065660B" w:rsidRDefault="00780B1D" w:rsidP="00A46F5F">
      <w:pPr>
        <w:pStyle w:val="ONUMFS"/>
        <w:rPr>
          <w:szCs w:val="22"/>
          <w:lang w:val="fr-FR"/>
        </w:rPr>
      </w:pPr>
      <w:r w:rsidRPr="0065660B">
        <w:rPr>
          <w:lang w:val="fr-FR"/>
        </w:rPr>
        <w:lastRenderedPageBreak/>
        <w:t>L</w:t>
      </w:r>
      <w:r w:rsidR="002709EA" w:rsidRPr="0065660B">
        <w:rPr>
          <w:lang w:val="fr-FR"/>
        </w:rPr>
        <w:t>’</w:t>
      </w:r>
      <w:r w:rsidRPr="0065660B">
        <w:rPr>
          <w:lang w:val="fr-FR"/>
        </w:rPr>
        <w:t>équipe d</w:t>
      </w:r>
      <w:r w:rsidR="002709EA" w:rsidRPr="0065660B">
        <w:rPr>
          <w:lang w:val="fr-FR"/>
        </w:rPr>
        <w:t>’</w:t>
      </w:r>
      <w:r w:rsidRPr="0065660B">
        <w:rPr>
          <w:lang w:val="fr-FR"/>
        </w:rPr>
        <w:t>experts a étudié plusieurs options, notamment la mise à jour de la partie 7.9 en 2023 et le report d</w:t>
      </w:r>
      <w:r w:rsidR="002709EA" w:rsidRPr="0065660B">
        <w:rPr>
          <w:lang w:val="fr-FR"/>
        </w:rPr>
        <w:t>’</w:t>
      </w:r>
      <w:r w:rsidRPr="0065660B">
        <w:rPr>
          <w:lang w:val="fr-FR"/>
        </w:rPr>
        <w:t>un an de toutes les mises à jour d</w:t>
      </w:r>
      <w:r w:rsidR="002709EA" w:rsidRPr="0065660B">
        <w:rPr>
          <w:lang w:val="fr-FR"/>
        </w:rPr>
        <w:t>’</w:t>
      </w:r>
      <w:r w:rsidRPr="0065660B">
        <w:rPr>
          <w:lang w:val="fr-FR"/>
        </w:rPr>
        <w:t>enquêtes figurant dans le programme de trava</w:t>
      </w:r>
      <w:r w:rsidR="0065660B" w:rsidRPr="0065660B">
        <w:rPr>
          <w:lang w:val="fr-FR"/>
        </w:rPr>
        <w:t>il.  La</w:t>
      </w:r>
      <w:r w:rsidRPr="0065660B">
        <w:rPr>
          <w:lang w:val="fr-FR"/>
        </w:rPr>
        <w:t xml:space="preserve"> meilleure option recommandée par l</w:t>
      </w:r>
      <w:r w:rsidR="002709EA" w:rsidRPr="0065660B">
        <w:rPr>
          <w:lang w:val="fr-FR"/>
        </w:rPr>
        <w:t>’</w:t>
      </w:r>
      <w:r w:rsidRPr="0065660B">
        <w:rPr>
          <w:lang w:val="fr-FR"/>
        </w:rPr>
        <w:t>équipe d</w:t>
      </w:r>
      <w:r w:rsidR="002709EA" w:rsidRPr="0065660B">
        <w:rPr>
          <w:lang w:val="fr-FR"/>
        </w:rPr>
        <w:t>’</w:t>
      </w:r>
      <w:r w:rsidRPr="0065660B">
        <w:rPr>
          <w:lang w:val="fr-FR"/>
        </w:rPr>
        <w:t>experts consiste à mettre à jour la partie 7.9 sur les pratiques en matière de citations et la partie 7.6 sur le répertoire des informations bibliographiques contenues dans les bulletins de brevets en 2023.  En principe, une seule mise à jour de la partie 7 est planifiée par année civile afin d</w:t>
      </w:r>
      <w:r w:rsidR="002709EA" w:rsidRPr="0065660B">
        <w:rPr>
          <w:lang w:val="fr-FR"/>
        </w:rPr>
        <w:t>’</w:t>
      </w:r>
      <w:r w:rsidRPr="0065660B">
        <w:rPr>
          <w:lang w:val="fr-FR"/>
        </w:rPr>
        <w:t>éviter de surcharger les offices de propriété intellectuelle avec un trop grand nombre d</w:t>
      </w:r>
      <w:r w:rsidR="002709EA" w:rsidRPr="0065660B">
        <w:rPr>
          <w:lang w:val="fr-FR"/>
        </w:rPr>
        <w:t>’</w:t>
      </w:r>
      <w:r w:rsidRPr="0065660B">
        <w:rPr>
          <w:lang w:val="fr-FR"/>
        </w:rPr>
        <w:t>enquêtes, étant donné que d</w:t>
      </w:r>
      <w:r w:rsidR="002709EA" w:rsidRPr="0065660B">
        <w:rPr>
          <w:lang w:val="fr-FR"/>
        </w:rPr>
        <w:t>’</w:t>
      </w:r>
      <w:r w:rsidRPr="0065660B">
        <w:rPr>
          <w:lang w:val="fr-FR"/>
        </w:rPr>
        <w:t>autres équipes d</w:t>
      </w:r>
      <w:r w:rsidR="002709EA" w:rsidRPr="0065660B">
        <w:rPr>
          <w:lang w:val="fr-FR"/>
        </w:rPr>
        <w:t>’</w:t>
      </w:r>
      <w:r w:rsidRPr="0065660B">
        <w:rPr>
          <w:lang w:val="fr-FR"/>
        </w:rPr>
        <w:t>experts mènent également des enquêtes auprès des offices de propriété intellectuel</w:t>
      </w:r>
      <w:r w:rsidR="0065660B" w:rsidRPr="0065660B">
        <w:rPr>
          <w:lang w:val="fr-FR"/>
        </w:rPr>
        <w:t>le.  Ce</w:t>
      </w:r>
      <w:r w:rsidRPr="0065660B">
        <w:rPr>
          <w:lang w:val="fr-FR"/>
        </w:rPr>
        <w:t>pendant, aucune autre équipe d</w:t>
      </w:r>
      <w:r w:rsidR="002709EA" w:rsidRPr="0065660B">
        <w:rPr>
          <w:lang w:val="fr-FR"/>
        </w:rPr>
        <w:t>’</w:t>
      </w:r>
      <w:r w:rsidRPr="0065660B">
        <w:rPr>
          <w:lang w:val="fr-FR"/>
        </w:rPr>
        <w:t>experts ne propose d</w:t>
      </w:r>
      <w:r w:rsidR="002709EA" w:rsidRPr="0065660B">
        <w:rPr>
          <w:lang w:val="fr-FR"/>
        </w:rPr>
        <w:t>’</w:t>
      </w:r>
      <w:r w:rsidRPr="0065660B">
        <w:rPr>
          <w:lang w:val="fr-FR"/>
        </w:rPr>
        <w:t>enquêtes pour 2023 à la dix</w:t>
      </w:r>
      <w:r w:rsidR="002709EA" w:rsidRPr="0065660B">
        <w:rPr>
          <w:lang w:val="fr-FR"/>
        </w:rPr>
        <w:t>ième session</w:t>
      </w:r>
      <w:r w:rsidR="00F83792" w:rsidRPr="0065660B">
        <w:rPr>
          <w:lang w:val="fr-FR"/>
        </w:rPr>
        <w:t xml:space="preserve"> du </w:t>
      </w:r>
      <w:r w:rsidR="0065660B" w:rsidRPr="0065660B">
        <w:rPr>
          <w:lang w:val="fr-FR"/>
        </w:rPr>
        <w:t>CWS.  Si</w:t>
      </w:r>
      <w:r w:rsidRPr="0065660B">
        <w:rPr>
          <w:lang w:val="fr-FR"/>
        </w:rPr>
        <w:t xml:space="preserve"> la planification proposée pour la partie 7 est approuvée, seules deux enquêtes</w:t>
      </w:r>
      <w:r w:rsidR="00F83792" w:rsidRPr="0065660B">
        <w:rPr>
          <w:lang w:val="fr-FR"/>
        </w:rPr>
        <w:t xml:space="preserve"> du CWS</w:t>
      </w:r>
      <w:r w:rsidRPr="0065660B">
        <w:rPr>
          <w:lang w:val="fr-FR"/>
        </w:rPr>
        <w:t xml:space="preserve"> seront menées en 2023</w:t>
      </w:r>
      <w:r w:rsidR="002709EA" w:rsidRPr="0065660B">
        <w:rPr>
          <w:lang w:val="fr-FR"/>
        </w:rPr>
        <w:t> :</w:t>
      </w:r>
      <w:r w:rsidRPr="0065660B">
        <w:rPr>
          <w:lang w:val="fr-FR"/>
        </w:rPr>
        <w:t xml:space="preserve"> les pratiques en matière de citations (7.9) et le répertoire des informations bibliographiques contenues dans les bulletins de brevets (7.6).  Cela permettrait de maintenir la planification actuelle dans le programme de travail de la partie 7 tout en actualisant la partie 7.9 en temps voulu.</w:t>
      </w:r>
    </w:p>
    <w:p w:rsidR="00F83792" w:rsidRPr="0065660B" w:rsidRDefault="00780B1D" w:rsidP="00A46F5F">
      <w:pPr>
        <w:pStyle w:val="Heading2"/>
        <w:rPr>
          <w:shd w:val="clear" w:color="auto" w:fill="FFFFFF"/>
          <w:lang w:val="fr-FR"/>
        </w:rPr>
      </w:pPr>
      <w:r w:rsidRPr="0065660B">
        <w:rPr>
          <w:lang w:val="fr-FR"/>
        </w:rPr>
        <w:t>Programme de travail</w:t>
      </w:r>
    </w:p>
    <w:p w:rsidR="00780B1D" w:rsidRPr="0065660B" w:rsidRDefault="00780B1D" w:rsidP="00A46F5F">
      <w:pPr>
        <w:pStyle w:val="ONUMFS"/>
        <w:rPr>
          <w:lang w:val="fr-FR"/>
        </w:rPr>
      </w:pPr>
      <w:r w:rsidRPr="0065660B">
        <w:rPr>
          <w:lang w:val="fr-FR"/>
        </w:rPr>
        <w:t>Le programme de travail proposé, intégrant les recommandations ci</w:t>
      </w:r>
      <w:r w:rsidR="00A46F5F">
        <w:rPr>
          <w:lang w:val="fr-FR"/>
        </w:rPr>
        <w:noBreakHyphen/>
      </w:r>
      <w:r w:rsidRPr="0065660B">
        <w:rPr>
          <w:lang w:val="fr-FR"/>
        </w:rPr>
        <w:t>dessus, est le suivant</w:t>
      </w:r>
      <w:r w:rsidR="002709EA" w:rsidRPr="0065660B">
        <w:rPr>
          <w:lang w:val="fr-FR"/>
        </w:rPr>
        <w:t> :</w:t>
      </w:r>
    </w:p>
    <w:tbl>
      <w:tblPr>
        <w:tblStyle w:val="TableGrid"/>
        <w:tblW w:w="8995" w:type="dxa"/>
        <w:tblLayout w:type="fixed"/>
        <w:tblCellMar>
          <w:top w:w="57" w:type="dxa"/>
          <w:bottom w:w="57" w:type="dxa"/>
        </w:tblCellMar>
        <w:tblLook w:val="04A0" w:firstRow="1" w:lastRow="0" w:firstColumn="1" w:lastColumn="0" w:noHBand="0" w:noVBand="1"/>
      </w:tblPr>
      <w:tblGrid>
        <w:gridCol w:w="1555"/>
        <w:gridCol w:w="3543"/>
        <w:gridCol w:w="1418"/>
        <w:gridCol w:w="2479"/>
      </w:tblGrid>
      <w:tr w:rsidR="00780B1D" w:rsidRPr="0065660B" w:rsidTr="00A46F5F">
        <w:trPr>
          <w:trHeight w:val="721"/>
        </w:trPr>
        <w:tc>
          <w:tcPr>
            <w:tcW w:w="1555" w:type="dxa"/>
            <w:shd w:val="clear" w:color="auto" w:fill="D9D9D9" w:themeFill="background1" w:themeFillShade="D9"/>
            <w:vAlign w:val="center"/>
          </w:tcPr>
          <w:p w:rsidR="00780B1D" w:rsidRPr="0065660B" w:rsidRDefault="00780B1D" w:rsidP="000239D9">
            <w:pPr>
              <w:spacing w:after="60"/>
              <w:jc w:val="center"/>
              <w:rPr>
                <w:b/>
              </w:rPr>
            </w:pPr>
            <w:r w:rsidRPr="0065660B">
              <w:rPr>
                <w:b/>
              </w:rPr>
              <w:t>Section</w:t>
            </w:r>
          </w:p>
        </w:tc>
        <w:tc>
          <w:tcPr>
            <w:tcW w:w="3543" w:type="dxa"/>
            <w:shd w:val="clear" w:color="auto" w:fill="D9D9D9" w:themeFill="background1" w:themeFillShade="D9"/>
            <w:vAlign w:val="center"/>
          </w:tcPr>
          <w:p w:rsidR="00780B1D" w:rsidRPr="0065660B" w:rsidRDefault="00780B1D" w:rsidP="000239D9">
            <w:pPr>
              <w:spacing w:after="60"/>
              <w:jc w:val="center"/>
              <w:rPr>
                <w:b/>
              </w:rPr>
            </w:pPr>
            <w:r w:rsidRPr="0065660B">
              <w:rPr>
                <w:b/>
              </w:rPr>
              <w:t>Thème</w:t>
            </w:r>
          </w:p>
        </w:tc>
        <w:tc>
          <w:tcPr>
            <w:tcW w:w="1418" w:type="dxa"/>
            <w:shd w:val="clear" w:color="auto" w:fill="D9D9D9" w:themeFill="background1" w:themeFillShade="D9"/>
            <w:vAlign w:val="center"/>
          </w:tcPr>
          <w:p w:rsidR="00780B1D" w:rsidRPr="0065660B" w:rsidRDefault="00780B1D" w:rsidP="00A46F5F">
            <w:pPr>
              <w:spacing w:after="60"/>
              <w:jc w:val="center"/>
              <w:rPr>
                <w:b/>
              </w:rPr>
            </w:pPr>
            <w:r w:rsidRPr="0065660B">
              <w:rPr>
                <w:b/>
              </w:rPr>
              <w:t>Dernière</w:t>
            </w:r>
            <w:r w:rsidR="00A46F5F">
              <w:rPr>
                <w:b/>
              </w:rPr>
              <w:t xml:space="preserve"> </w:t>
            </w:r>
            <w:r w:rsidRPr="0065660B">
              <w:rPr>
                <w:b/>
              </w:rPr>
              <w:t>publication</w:t>
            </w:r>
          </w:p>
        </w:tc>
        <w:tc>
          <w:tcPr>
            <w:tcW w:w="2479" w:type="dxa"/>
            <w:shd w:val="clear" w:color="auto" w:fill="D9D9D9" w:themeFill="background1" w:themeFillShade="D9"/>
            <w:vAlign w:val="center"/>
          </w:tcPr>
          <w:p w:rsidR="00780B1D" w:rsidRPr="0065660B" w:rsidRDefault="00780B1D" w:rsidP="000239D9">
            <w:pPr>
              <w:spacing w:after="60"/>
              <w:jc w:val="center"/>
              <w:rPr>
                <w:b/>
              </w:rPr>
            </w:pPr>
            <w:r w:rsidRPr="0065660B">
              <w:rPr>
                <w:b/>
              </w:rPr>
              <w:t>Situation</w:t>
            </w:r>
          </w:p>
        </w:tc>
      </w:tr>
      <w:tr w:rsidR="00780B1D" w:rsidRPr="0065660B" w:rsidTr="00A46F5F">
        <w:tc>
          <w:tcPr>
            <w:tcW w:w="1555" w:type="dxa"/>
            <w:tcBorders>
              <w:top w:val="single" w:sz="4" w:space="0" w:color="auto"/>
              <w:bottom w:val="single" w:sz="4" w:space="0" w:color="auto"/>
            </w:tcBorders>
            <w:shd w:val="clear" w:color="auto" w:fill="auto"/>
          </w:tcPr>
          <w:p w:rsidR="00780B1D" w:rsidRPr="0065660B" w:rsidRDefault="00780B1D" w:rsidP="000239D9">
            <w:pPr>
              <w:spacing w:after="60"/>
            </w:pPr>
            <w:r w:rsidRPr="0065660B">
              <w:t>Partie 7.9</w:t>
            </w:r>
          </w:p>
        </w:tc>
        <w:tc>
          <w:tcPr>
            <w:tcW w:w="3543" w:type="dxa"/>
          </w:tcPr>
          <w:p w:rsidR="00780B1D" w:rsidRPr="0065660B" w:rsidRDefault="00780B1D" w:rsidP="000239D9">
            <w:pPr>
              <w:spacing w:after="60"/>
            </w:pPr>
            <w:r w:rsidRPr="0065660B">
              <w:t>Pratiques en matière de citations</w:t>
            </w:r>
          </w:p>
        </w:tc>
        <w:tc>
          <w:tcPr>
            <w:tcW w:w="1418" w:type="dxa"/>
            <w:shd w:val="clear" w:color="auto" w:fill="auto"/>
          </w:tcPr>
          <w:p w:rsidR="00780B1D" w:rsidRPr="0065660B" w:rsidRDefault="00780B1D" w:rsidP="000239D9">
            <w:pPr>
              <w:spacing w:after="60"/>
              <w:jc w:val="center"/>
            </w:pPr>
            <w:r w:rsidRPr="0065660B">
              <w:t>2008</w:t>
            </w:r>
          </w:p>
        </w:tc>
        <w:tc>
          <w:tcPr>
            <w:tcW w:w="2479" w:type="dxa"/>
          </w:tcPr>
          <w:p w:rsidR="00780B1D" w:rsidRPr="0065660B" w:rsidRDefault="00780B1D" w:rsidP="000239D9">
            <w:pPr>
              <w:spacing w:after="60"/>
              <w:jc w:val="center"/>
            </w:pPr>
            <w:r w:rsidRPr="0065660B">
              <w:t>mise à jour 2023</w:t>
            </w:r>
          </w:p>
        </w:tc>
      </w:tr>
      <w:tr w:rsidR="00780B1D" w:rsidRPr="0065660B" w:rsidTr="00A46F5F">
        <w:tc>
          <w:tcPr>
            <w:tcW w:w="1555" w:type="dxa"/>
            <w:tcBorders>
              <w:top w:val="single" w:sz="4" w:space="0" w:color="auto"/>
              <w:bottom w:val="single" w:sz="4" w:space="0" w:color="auto"/>
            </w:tcBorders>
            <w:shd w:val="clear" w:color="auto" w:fill="auto"/>
          </w:tcPr>
          <w:p w:rsidR="00780B1D" w:rsidRPr="0065660B" w:rsidRDefault="00780B1D" w:rsidP="000239D9">
            <w:pPr>
              <w:spacing w:after="60"/>
            </w:pPr>
            <w:r w:rsidRPr="0065660B">
              <w:t>Partie 7.6</w:t>
            </w:r>
          </w:p>
        </w:tc>
        <w:tc>
          <w:tcPr>
            <w:tcW w:w="3543" w:type="dxa"/>
          </w:tcPr>
          <w:p w:rsidR="00780B1D" w:rsidRPr="0065660B" w:rsidRDefault="00780B1D" w:rsidP="000239D9">
            <w:pPr>
              <w:spacing w:after="60"/>
            </w:pPr>
            <w:r w:rsidRPr="0065660B">
              <w:t>Répertoire des informations bibliographiques contenues dans les bulletins de brevets</w:t>
            </w:r>
          </w:p>
        </w:tc>
        <w:tc>
          <w:tcPr>
            <w:tcW w:w="1418" w:type="dxa"/>
            <w:shd w:val="clear" w:color="auto" w:fill="auto"/>
          </w:tcPr>
          <w:p w:rsidR="00780B1D" w:rsidRPr="0065660B" w:rsidRDefault="00780B1D" w:rsidP="000239D9">
            <w:pPr>
              <w:spacing w:after="60"/>
              <w:jc w:val="center"/>
            </w:pPr>
            <w:r w:rsidRPr="0065660B">
              <w:t>1990</w:t>
            </w:r>
          </w:p>
        </w:tc>
        <w:tc>
          <w:tcPr>
            <w:tcW w:w="2479" w:type="dxa"/>
          </w:tcPr>
          <w:p w:rsidR="00780B1D" w:rsidRPr="0065660B" w:rsidRDefault="00780B1D" w:rsidP="000239D9">
            <w:pPr>
              <w:spacing w:after="60"/>
              <w:jc w:val="center"/>
            </w:pPr>
            <w:r w:rsidRPr="0065660B">
              <w:t>mise à jour 2023</w:t>
            </w:r>
          </w:p>
        </w:tc>
      </w:tr>
      <w:tr w:rsidR="00780B1D" w:rsidRPr="0065660B" w:rsidTr="00A46F5F">
        <w:tc>
          <w:tcPr>
            <w:tcW w:w="1555" w:type="dxa"/>
            <w:shd w:val="clear" w:color="auto" w:fill="auto"/>
          </w:tcPr>
          <w:p w:rsidR="00780B1D" w:rsidRPr="0065660B" w:rsidRDefault="00780B1D" w:rsidP="000239D9">
            <w:pPr>
              <w:spacing w:after="60"/>
            </w:pPr>
            <w:r w:rsidRPr="0065660B">
              <w:t>Partie 7.2.6 et</w:t>
            </w:r>
          </w:p>
          <w:p w:rsidR="00780B1D" w:rsidRPr="0065660B" w:rsidRDefault="00780B1D" w:rsidP="000239D9">
            <w:pPr>
              <w:spacing w:after="60"/>
            </w:pPr>
            <w:r w:rsidRPr="0065660B">
              <w:t>partie 7.2.7</w:t>
            </w:r>
          </w:p>
        </w:tc>
        <w:tc>
          <w:tcPr>
            <w:tcW w:w="3543" w:type="dxa"/>
          </w:tcPr>
          <w:p w:rsidR="00780B1D" w:rsidRPr="0065660B" w:rsidRDefault="00780B1D" w:rsidP="000239D9">
            <w:pPr>
              <w:spacing w:after="60"/>
            </w:pPr>
            <w:r w:rsidRPr="0065660B">
              <w:t>Numérotation des demandes et des demandes établissant une priorité – pratiques actuelles et pratiques antérieures</w:t>
            </w:r>
          </w:p>
        </w:tc>
        <w:tc>
          <w:tcPr>
            <w:tcW w:w="1418" w:type="dxa"/>
            <w:shd w:val="clear" w:color="auto" w:fill="auto"/>
          </w:tcPr>
          <w:p w:rsidR="00780B1D" w:rsidRPr="0065660B" w:rsidRDefault="00780B1D" w:rsidP="000239D9">
            <w:pPr>
              <w:spacing w:after="60"/>
              <w:jc w:val="center"/>
            </w:pPr>
            <w:r w:rsidRPr="0065660B">
              <w:t>2017</w:t>
            </w:r>
          </w:p>
        </w:tc>
        <w:tc>
          <w:tcPr>
            <w:tcW w:w="2479" w:type="dxa"/>
          </w:tcPr>
          <w:p w:rsidR="00780B1D" w:rsidRPr="0065660B" w:rsidRDefault="00780B1D" w:rsidP="000239D9">
            <w:pPr>
              <w:spacing w:after="60"/>
              <w:jc w:val="center"/>
            </w:pPr>
            <w:r w:rsidRPr="0065660B">
              <w:t>mise à jour 2024</w:t>
            </w:r>
          </w:p>
        </w:tc>
      </w:tr>
      <w:tr w:rsidR="00780B1D" w:rsidRPr="0065660B" w:rsidTr="00A46F5F">
        <w:tc>
          <w:tcPr>
            <w:tcW w:w="1555" w:type="dxa"/>
            <w:shd w:val="clear" w:color="auto" w:fill="auto"/>
          </w:tcPr>
          <w:p w:rsidR="00780B1D" w:rsidRPr="0065660B" w:rsidRDefault="00780B1D" w:rsidP="000239D9">
            <w:pPr>
              <w:spacing w:after="60"/>
            </w:pPr>
            <w:r w:rsidRPr="0065660B">
              <w:t>Partie 7.3</w:t>
            </w:r>
          </w:p>
        </w:tc>
        <w:tc>
          <w:tcPr>
            <w:tcW w:w="3543" w:type="dxa"/>
          </w:tcPr>
          <w:p w:rsidR="00780B1D" w:rsidRPr="0065660B" w:rsidRDefault="00780B1D" w:rsidP="000239D9">
            <w:pPr>
              <w:spacing w:after="60"/>
            </w:pPr>
            <w:r w:rsidRPr="0065660B">
              <w:t>Exemples et types de documents de brevet</w:t>
            </w:r>
          </w:p>
        </w:tc>
        <w:tc>
          <w:tcPr>
            <w:tcW w:w="1418" w:type="dxa"/>
            <w:shd w:val="clear" w:color="auto" w:fill="auto"/>
          </w:tcPr>
          <w:p w:rsidR="00780B1D" w:rsidRPr="0065660B" w:rsidRDefault="00780B1D" w:rsidP="000239D9">
            <w:pPr>
              <w:spacing w:after="60"/>
              <w:jc w:val="center"/>
            </w:pPr>
            <w:r w:rsidRPr="0065660B">
              <w:t>2016</w:t>
            </w:r>
          </w:p>
        </w:tc>
        <w:tc>
          <w:tcPr>
            <w:tcW w:w="2479" w:type="dxa"/>
          </w:tcPr>
          <w:p w:rsidR="00780B1D" w:rsidRPr="0065660B" w:rsidRDefault="00780B1D" w:rsidP="000239D9">
            <w:pPr>
              <w:spacing w:after="60"/>
              <w:jc w:val="center"/>
            </w:pPr>
            <w:r w:rsidRPr="0065660B">
              <w:t>mise à jour 2025</w:t>
            </w:r>
          </w:p>
        </w:tc>
      </w:tr>
    </w:tbl>
    <w:p w:rsidR="00A46F5F" w:rsidRDefault="00780B1D" w:rsidP="00A46F5F">
      <w:pPr>
        <w:pStyle w:val="ONUMFS"/>
        <w:spacing w:before="240"/>
        <w:rPr>
          <w:lang w:val="fr-FR"/>
        </w:rPr>
      </w:pPr>
      <w:r w:rsidRPr="0065660B">
        <w:rPr>
          <w:lang w:val="fr-FR"/>
        </w:rPr>
        <w:t>Toutes les autres mises à jour des enquêtes de la partie 7 seront menées au moyen d</w:t>
      </w:r>
      <w:r w:rsidR="002709EA" w:rsidRPr="0065660B">
        <w:rPr>
          <w:lang w:val="fr-FR"/>
        </w:rPr>
        <w:t>’</w:t>
      </w:r>
      <w:r w:rsidRPr="0065660B">
        <w:rPr>
          <w:lang w:val="fr-FR"/>
        </w:rPr>
        <w:t>une procédure simplifiée approuvée à la neuv</w:t>
      </w:r>
      <w:r w:rsidR="002709EA" w:rsidRPr="0065660B">
        <w:rPr>
          <w:lang w:val="fr-FR"/>
        </w:rPr>
        <w:t>ième session</w:t>
      </w:r>
      <w:r w:rsidR="00F83792" w:rsidRPr="0065660B">
        <w:rPr>
          <w:lang w:val="fr-FR"/>
        </w:rPr>
        <w:t xml:space="preserve"> du CWS</w:t>
      </w:r>
      <w:r w:rsidR="002709EA" w:rsidRPr="0065660B">
        <w:rPr>
          <w:lang w:val="fr-FR"/>
        </w:rPr>
        <w:t> :</w:t>
      </w:r>
      <w:r w:rsidRPr="0065660B">
        <w:rPr>
          <w:lang w:val="fr-FR"/>
        </w:rPr>
        <w:t xml:space="preserve"> collecte et publication des résultats sans présentation du questionnaire ou des résultats</w:t>
      </w:r>
      <w:r w:rsidR="00F83792" w:rsidRPr="0065660B">
        <w:rPr>
          <w:lang w:val="fr-FR"/>
        </w:rPr>
        <w:t xml:space="preserve"> au CWS</w:t>
      </w:r>
      <w:r w:rsidRPr="0065660B">
        <w:rPr>
          <w:lang w:val="fr-FR"/>
        </w:rPr>
        <w:t xml:space="preserve"> pour approbation, mais présentation de l</w:t>
      </w:r>
      <w:r w:rsidR="002709EA" w:rsidRPr="0065660B">
        <w:rPr>
          <w:lang w:val="fr-FR"/>
        </w:rPr>
        <w:t>’</w:t>
      </w:r>
      <w:r w:rsidRPr="0065660B">
        <w:rPr>
          <w:lang w:val="fr-FR"/>
        </w:rPr>
        <w:t>analyse des enquêtes réalisées pour examen et approbation par</w:t>
      </w:r>
      <w:r w:rsidR="00F83792" w:rsidRPr="0065660B">
        <w:rPr>
          <w:lang w:val="fr-FR"/>
        </w:rPr>
        <w:t xml:space="preserve"> le CWS</w:t>
      </w:r>
      <w:r w:rsidRPr="0065660B">
        <w:rPr>
          <w:lang w:val="fr-FR"/>
        </w:rPr>
        <w:t xml:space="preserve"> (voir le paragraphe 114 du </w:t>
      </w:r>
      <w:r w:rsidR="00F83792" w:rsidRPr="0065660B">
        <w:rPr>
          <w:lang w:val="fr-FR"/>
        </w:rPr>
        <w:t>document CW</w:t>
      </w:r>
      <w:r w:rsidRPr="0065660B">
        <w:rPr>
          <w:lang w:val="fr-FR"/>
        </w:rPr>
        <w:t xml:space="preserve">S/9/25). </w:t>
      </w:r>
      <w:r w:rsidR="00F83792" w:rsidRPr="0065660B">
        <w:rPr>
          <w:lang w:val="fr-FR"/>
        </w:rPr>
        <w:t xml:space="preserve"> Le CWS</w:t>
      </w:r>
      <w:r w:rsidRPr="0065660B">
        <w:rPr>
          <w:lang w:val="fr-FR"/>
        </w:rPr>
        <w:t xml:space="preserve"> sera informé des résultats publiés à la session suivante.</w:t>
      </w:r>
    </w:p>
    <w:p w:rsidR="00F83792" w:rsidRPr="00A46F5F" w:rsidRDefault="00780B1D" w:rsidP="00A46F5F">
      <w:pPr>
        <w:pStyle w:val="ONUMFS"/>
        <w:ind w:left="5533"/>
        <w:rPr>
          <w:i/>
        </w:rPr>
      </w:pPr>
      <w:r w:rsidRPr="00A46F5F">
        <w:rPr>
          <w:i/>
        </w:rPr>
        <w:t>Le CWS est invité</w:t>
      </w:r>
    </w:p>
    <w:p w:rsidR="00780B1D" w:rsidRPr="00A46F5F" w:rsidRDefault="00780B1D" w:rsidP="00A46F5F">
      <w:pPr>
        <w:pStyle w:val="ONUMFS"/>
        <w:numPr>
          <w:ilvl w:val="1"/>
          <w:numId w:val="6"/>
        </w:numPr>
        <w:tabs>
          <w:tab w:val="left" w:pos="6804"/>
        </w:tabs>
        <w:ind w:left="5533" w:firstLine="704"/>
        <w:rPr>
          <w:i/>
        </w:rPr>
      </w:pPr>
      <w:proofErr w:type="gramStart"/>
      <w:r w:rsidRPr="00A46F5F">
        <w:rPr>
          <w:i/>
        </w:rPr>
        <w:t>à</w:t>
      </w:r>
      <w:proofErr w:type="gramEnd"/>
      <w:r w:rsidRPr="00A46F5F">
        <w:rPr>
          <w:i/>
        </w:rPr>
        <w:t xml:space="preserve"> prendre note du présent document et</w:t>
      </w:r>
    </w:p>
    <w:p w:rsidR="00780B1D" w:rsidRPr="00A46F5F" w:rsidRDefault="00780B1D" w:rsidP="00A46F5F">
      <w:pPr>
        <w:pStyle w:val="ONUMFS"/>
        <w:numPr>
          <w:ilvl w:val="1"/>
          <w:numId w:val="6"/>
        </w:numPr>
        <w:tabs>
          <w:tab w:val="left" w:pos="6804"/>
        </w:tabs>
        <w:ind w:left="5533" w:firstLine="704"/>
        <w:rPr>
          <w:i/>
        </w:rPr>
      </w:pPr>
      <w:proofErr w:type="gramStart"/>
      <w:r w:rsidRPr="00A46F5F">
        <w:rPr>
          <w:i/>
        </w:rPr>
        <w:t>à</w:t>
      </w:r>
      <w:proofErr w:type="gramEnd"/>
      <w:r w:rsidRPr="00A46F5F">
        <w:rPr>
          <w:i/>
        </w:rPr>
        <w:t xml:space="preserve"> approuver le programme de travail révisé présenté au paragraphe 5.</w:t>
      </w:r>
    </w:p>
    <w:p w:rsidR="00780B1D" w:rsidRPr="0065660B" w:rsidRDefault="00780B1D" w:rsidP="00780B1D">
      <w:pPr>
        <w:pStyle w:val="Endofdocument-Annex"/>
        <w:rPr>
          <w:lang w:val="fr-FR"/>
        </w:rPr>
      </w:pPr>
      <w:r w:rsidRPr="0065660B">
        <w:rPr>
          <w:lang w:val="fr-FR"/>
        </w:rPr>
        <w:t>[Fin du document]</w:t>
      </w:r>
    </w:p>
    <w:sectPr w:rsidR="00780B1D" w:rsidRPr="0065660B" w:rsidSect="00780B1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B1D" w:rsidRDefault="00780B1D">
      <w:r>
        <w:separator/>
      </w:r>
    </w:p>
  </w:endnote>
  <w:endnote w:type="continuationSeparator" w:id="0">
    <w:p w:rsidR="00780B1D" w:rsidRPr="009D30E6" w:rsidRDefault="00780B1D" w:rsidP="00D45252">
      <w:pPr>
        <w:rPr>
          <w:sz w:val="17"/>
          <w:szCs w:val="17"/>
        </w:rPr>
      </w:pPr>
      <w:r w:rsidRPr="009D30E6">
        <w:rPr>
          <w:sz w:val="17"/>
          <w:szCs w:val="17"/>
        </w:rPr>
        <w:separator/>
      </w:r>
    </w:p>
    <w:p w:rsidR="00780B1D" w:rsidRPr="009D30E6" w:rsidRDefault="00780B1D" w:rsidP="00D45252">
      <w:pPr>
        <w:spacing w:after="60"/>
        <w:rPr>
          <w:sz w:val="17"/>
          <w:szCs w:val="17"/>
        </w:rPr>
      </w:pPr>
      <w:r w:rsidRPr="009D30E6">
        <w:rPr>
          <w:sz w:val="17"/>
          <w:szCs w:val="17"/>
        </w:rPr>
        <w:t>[Suite de la note de la page précédente]</w:t>
      </w:r>
    </w:p>
  </w:endnote>
  <w:endnote w:type="continuationNotice" w:id="1">
    <w:p w:rsidR="00780B1D" w:rsidRPr="009D30E6" w:rsidRDefault="00780B1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5F" w:rsidRDefault="00A46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EA" w:rsidRDefault="00270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5F" w:rsidRDefault="00A46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B1D" w:rsidRDefault="00780B1D">
      <w:r>
        <w:separator/>
      </w:r>
    </w:p>
  </w:footnote>
  <w:footnote w:type="continuationSeparator" w:id="0">
    <w:p w:rsidR="00780B1D" w:rsidRDefault="00780B1D" w:rsidP="007461F1">
      <w:r>
        <w:separator/>
      </w:r>
    </w:p>
    <w:p w:rsidR="00780B1D" w:rsidRPr="009D30E6" w:rsidRDefault="00780B1D" w:rsidP="007461F1">
      <w:pPr>
        <w:spacing w:after="60"/>
        <w:rPr>
          <w:sz w:val="17"/>
          <w:szCs w:val="17"/>
        </w:rPr>
      </w:pPr>
      <w:r w:rsidRPr="009D30E6">
        <w:rPr>
          <w:sz w:val="17"/>
          <w:szCs w:val="17"/>
        </w:rPr>
        <w:t>[Suite de la note de la page précédente]</w:t>
      </w:r>
    </w:p>
  </w:footnote>
  <w:footnote w:type="continuationNotice" w:id="1">
    <w:p w:rsidR="00780B1D" w:rsidRPr="009D30E6" w:rsidRDefault="00780B1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5F" w:rsidRDefault="00A46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780B1D" w:rsidP="00477D6B">
    <w:pPr>
      <w:jc w:val="right"/>
    </w:pPr>
    <w:bookmarkStart w:id="6" w:name="Code2"/>
    <w:bookmarkEnd w:id="6"/>
    <w:r>
      <w:t>CWS/10/16</w:t>
    </w:r>
  </w:p>
  <w:p w:rsidR="004F4E31" w:rsidRDefault="00F16975" w:rsidP="00A46F5F">
    <w:pPr>
      <w:spacing w:after="480"/>
      <w:jc w:val="right"/>
    </w:pPr>
    <w:r>
      <w:t>page</w:t>
    </w:r>
    <w:r w:rsidR="00A46F5F">
      <w:t> </w:t>
    </w:r>
    <w:r>
      <w:fldChar w:fldCharType="begin"/>
    </w:r>
    <w:r>
      <w:instrText xml:space="preserve"> PAGE  \* MERGEFORMAT </w:instrText>
    </w:r>
    <w:r>
      <w:fldChar w:fldCharType="separate"/>
    </w:r>
    <w:r w:rsidR="00DC0B4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5F" w:rsidRDefault="00A46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790657"/>
    <w:multiLevelType w:val="hybridMultilevel"/>
    <w:tmpl w:val="FFD2E234"/>
    <w:lvl w:ilvl="0" w:tplc="F51255DA">
      <w:start w:val="1"/>
      <w:numFmt w:val="lowerLetter"/>
      <w:lvlText w:val="(%1)"/>
      <w:lvlJc w:val="left"/>
      <w:pPr>
        <w:ind w:left="5530" w:firstLine="680"/>
      </w:pPr>
      <w:rPr>
        <w:rFonts w:ascii="Arial" w:eastAsia="SimSun" w:hAnsi="Arial" w:cs="Arial" w:hint="default"/>
      </w:rPr>
    </w:lvl>
    <w:lvl w:ilvl="1" w:tplc="04090019" w:tentative="1">
      <w:start w:val="1"/>
      <w:numFmt w:val="lowerLetter"/>
      <w:lvlText w:val="%2."/>
      <w:lvlJc w:val="left"/>
      <w:pPr>
        <w:ind w:left="10922" w:hanging="360"/>
      </w:pPr>
    </w:lvl>
    <w:lvl w:ilvl="2" w:tplc="0409001B" w:tentative="1">
      <w:start w:val="1"/>
      <w:numFmt w:val="lowerRoman"/>
      <w:lvlText w:val="%3."/>
      <w:lvlJc w:val="right"/>
      <w:pPr>
        <w:ind w:left="11642" w:hanging="180"/>
      </w:pPr>
    </w:lvl>
    <w:lvl w:ilvl="3" w:tplc="0409000F" w:tentative="1">
      <w:start w:val="1"/>
      <w:numFmt w:val="decimal"/>
      <w:lvlText w:val="%4."/>
      <w:lvlJc w:val="left"/>
      <w:pPr>
        <w:ind w:left="12362" w:hanging="360"/>
      </w:pPr>
    </w:lvl>
    <w:lvl w:ilvl="4" w:tplc="04090019" w:tentative="1">
      <w:start w:val="1"/>
      <w:numFmt w:val="lowerLetter"/>
      <w:lvlText w:val="%5."/>
      <w:lvlJc w:val="left"/>
      <w:pPr>
        <w:ind w:left="13082" w:hanging="360"/>
      </w:pPr>
    </w:lvl>
    <w:lvl w:ilvl="5" w:tplc="0409001B" w:tentative="1">
      <w:start w:val="1"/>
      <w:numFmt w:val="lowerRoman"/>
      <w:lvlText w:val="%6."/>
      <w:lvlJc w:val="right"/>
      <w:pPr>
        <w:ind w:left="13802" w:hanging="180"/>
      </w:pPr>
    </w:lvl>
    <w:lvl w:ilvl="6" w:tplc="0409000F" w:tentative="1">
      <w:start w:val="1"/>
      <w:numFmt w:val="decimal"/>
      <w:lvlText w:val="%7."/>
      <w:lvlJc w:val="left"/>
      <w:pPr>
        <w:ind w:left="14522" w:hanging="360"/>
      </w:pPr>
    </w:lvl>
    <w:lvl w:ilvl="7" w:tplc="04090019" w:tentative="1">
      <w:start w:val="1"/>
      <w:numFmt w:val="lowerLetter"/>
      <w:lvlText w:val="%8."/>
      <w:lvlJc w:val="left"/>
      <w:pPr>
        <w:ind w:left="15242" w:hanging="360"/>
      </w:pPr>
    </w:lvl>
    <w:lvl w:ilvl="8" w:tplc="0409001B" w:tentative="1">
      <w:start w:val="1"/>
      <w:numFmt w:val="lowerRoman"/>
      <w:lvlText w:val="%9."/>
      <w:lvlJc w:val="right"/>
      <w:pPr>
        <w:ind w:left="15962"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1D"/>
    <w:rsid w:val="00011B7D"/>
    <w:rsid w:val="00075432"/>
    <w:rsid w:val="000F5E56"/>
    <w:rsid w:val="001362EE"/>
    <w:rsid w:val="001832A6"/>
    <w:rsid w:val="00195C6E"/>
    <w:rsid w:val="00197881"/>
    <w:rsid w:val="001B266A"/>
    <w:rsid w:val="001D3D56"/>
    <w:rsid w:val="00240654"/>
    <w:rsid w:val="002634C4"/>
    <w:rsid w:val="002709EA"/>
    <w:rsid w:val="002D4918"/>
    <w:rsid w:val="002E4D1A"/>
    <w:rsid w:val="002F16BC"/>
    <w:rsid w:val="002F4E68"/>
    <w:rsid w:val="00315FCA"/>
    <w:rsid w:val="003845C1"/>
    <w:rsid w:val="003A1BCD"/>
    <w:rsid w:val="004008A2"/>
    <w:rsid w:val="004025DF"/>
    <w:rsid w:val="00423E3E"/>
    <w:rsid w:val="00427AF4"/>
    <w:rsid w:val="004647DA"/>
    <w:rsid w:val="00477D6B"/>
    <w:rsid w:val="004D6471"/>
    <w:rsid w:val="004F4E31"/>
    <w:rsid w:val="00525B63"/>
    <w:rsid w:val="00547476"/>
    <w:rsid w:val="00561DB8"/>
    <w:rsid w:val="00567A4C"/>
    <w:rsid w:val="005E6516"/>
    <w:rsid w:val="00605827"/>
    <w:rsid w:val="00646220"/>
    <w:rsid w:val="0065660B"/>
    <w:rsid w:val="00676936"/>
    <w:rsid w:val="006B0DB5"/>
    <w:rsid w:val="006E4243"/>
    <w:rsid w:val="007461F1"/>
    <w:rsid w:val="00780B1D"/>
    <w:rsid w:val="007D6961"/>
    <w:rsid w:val="007F07CB"/>
    <w:rsid w:val="00810CEF"/>
    <w:rsid w:val="0081208D"/>
    <w:rsid w:val="008236DE"/>
    <w:rsid w:val="00842A13"/>
    <w:rsid w:val="008B2CC1"/>
    <w:rsid w:val="008E7930"/>
    <w:rsid w:val="0090731E"/>
    <w:rsid w:val="00966A22"/>
    <w:rsid w:val="00974CD6"/>
    <w:rsid w:val="009D30E6"/>
    <w:rsid w:val="009E3F6F"/>
    <w:rsid w:val="009F499F"/>
    <w:rsid w:val="00A02BD3"/>
    <w:rsid w:val="00A46F5F"/>
    <w:rsid w:val="00AA1F20"/>
    <w:rsid w:val="00AC0AE4"/>
    <w:rsid w:val="00AD61DB"/>
    <w:rsid w:val="00AF207F"/>
    <w:rsid w:val="00B87BCF"/>
    <w:rsid w:val="00BA62D4"/>
    <w:rsid w:val="00C153FD"/>
    <w:rsid w:val="00C40E15"/>
    <w:rsid w:val="00C664C8"/>
    <w:rsid w:val="00C76A79"/>
    <w:rsid w:val="00CA15F5"/>
    <w:rsid w:val="00CF0460"/>
    <w:rsid w:val="00D45252"/>
    <w:rsid w:val="00D71B4D"/>
    <w:rsid w:val="00D75C1E"/>
    <w:rsid w:val="00D93D55"/>
    <w:rsid w:val="00DA1D5E"/>
    <w:rsid w:val="00DB0349"/>
    <w:rsid w:val="00DC0B41"/>
    <w:rsid w:val="00DD6A16"/>
    <w:rsid w:val="00E0091A"/>
    <w:rsid w:val="00E203AA"/>
    <w:rsid w:val="00E527A5"/>
    <w:rsid w:val="00E76456"/>
    <w:rsid w:val="00EE71CB"/>
    <w:rsid w:val="00F16975"/>
    <w:rsid w:val="00F37DC9"/>
    <w:rsid w:val="00F66152"/>
    <w:rsid w:val="00F8379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6F13739-B137-493F-B3EE-B6A1989B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780B1D"/>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basedOn w:val="DefaultParagraphFont"/>
    <w:link w:val="Heading2"/>
    <w:rsid w:val="00780B1D"/>
    <w:rPr>
      <w:rFonts w:ascii="Arial" w:eastAsia="SimSun" w:hAnsi="Arial" w:cs="Arial"/>
      <w:bCs/>
      <w:iCs/>
      <w:caps/>
      <w:sz w:val="22"/>
      <w:szCs w:val="28"/>
      <w:lang w:eastAsia="zh-CN"/>
    </w:rPr>
  </w:style>
  <w:style w:type="paragraph" w:customStyle="1" w:styleId="Endofdocument">
    <w:name w:val="End of document"/>
    <w:basedOn w:val="Normal"/>
    <w:rsid w:val="00780B1D"/>
    <w:pPr>
      <w:spacing w:line="260" w:lineRule="atLeast"/>
      <w:ind w:left="5534"/>
    </w:pPr>
    <w:rPr>
      <w:rFonts w:eastAsia="Times New Roman" w:cs="Times New Roman"/>
      <w:sz w:val="20"/>
      <w:lang w:val="fr-FR" w:eastAsia="en-US"/>
    </w:rPr>
  </w:style>
  <w:style w:type="character" w:customStyle="1" w:styleId="BodyTextChar">
    <w:name w:val="Body Text Char"/>
    <w:basedOn w:val="DefaultParagraphFont"/>
    <w:link w:val="BodyText"/>
    <w:rsid w:val="00780B1D"/>
    <w:rPr>
      <w:rFonts w:ascii="Arial" w:eastAsia="SimSun" w:hAnsi="Arial" w:cs="Arial"/>
      <w:sz w:val="22"/>
      <w:lang w:eastAsia="zh-CN"/>
    </w:rPr>
  </w:style>
  <w:style w:type="character" w:customStyle="1" w:styleId="ONUMEChar">
    <w:name w:val="ONUM E Char"/>
    <w:basedOn w:val="DefaultParagraphFont"/>
    <w:link w:val="ONUME"/>
    <w:rsid w:val="00780B1D"/>
    <w:rPr>
      <w:rFonts w:ascii="Arial" w:eastAsia="SimSun" w:hAnsi="Arial" w:cs="Arial"/>
      <w:sz w:val="22"/>
      <w:lang w:eastAsia="zh-CN"/>
    </w:rPr>
  </w:style>
  <w:style w:type="table" w:styleId="TableGrid">
    <w:name w:val="Table Grid"/>
    <w:basedOn w:val="TableNormal"/>
    <w:rsid w:val="00780B1D"/>
    <w:rPr>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270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CWS_10 (F)</Template>
  <TotalTime>0</TotalTime>
  <Pages>2</Pages>
  <Words>718</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CWS/10/16</vt:lpstr>
    </vt:vector>
  </TitlesOfParts>
  <Company>WIPO</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CWS/10/16</dc:title>
  <dc:creator>WIPO</dc:creator>
  <cp:keywords>FOR OFFICIAL USE ONLY</cp:keywords>
  <cp:lastModifiedBy>CHAVAS Louison</cp:lastModifiedBy>
  <cp:revision>2</cp:revision>
  <cp:lastPrinted>2011-05-19T12:37:00Z</cp:lastPrinted>
  <dcterms:created xsi:type="dcterms:W3CDTF">2022-09-23T10:08:00Z</dcterms:created>
  <dcterms:modified xsi:type="dcterms:W3CDTF">2022-09-23T10:08:00Z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