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0122B" w:rsidTr="00361450">
        <w:tc>
          <w:tcPr>
            <w:tcW w:w="4513" w:type="dxa"/>
            <w:tcBorders>
              <w:bottom w:val="single" w:sz="4" w:space="0" w:color="auto"/>
            </w:tcBorders>
            <w:tcMar>
              <w:bottom w:w="170" w:type="dxa"/>
            </w:tcMar>
          </w:tcPr>
          <w:p w:rsidR="00EC4E49" w:rsidRPr="0060122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0122B" w:rsidRDefault="00E31006" w:rsidP="00916EE2">
            <w:pPr>
              <w:rPr>
                <w:lang w:val="es-ES"/>
              </w:rPr>
            </w:pPr>
            <w:r w:rsidRPr="0060122B">
              <w:rPr>
                <w:noProof/>
                <w:lang w:eastAsia="en-US"/>
              </w:rPr>
              <w:drawing>
                <wp:inline distT="0" distB="0" distL="0" distR="0" wp14:anchorId="680E1FC4" wp14:editId="00E586B0">
                  <wp:extent cx="1858010" cy="1323975"/>
                  <wp:effectExtent l="0" t="0" r="889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0122B" w:rsidRDefault="00E31006" w:rsidP="00E31006">
            <w:pPr>
              <w:jc w:val="right"/>
              <w:rPr>
                <w:lang w:val="es-ES"/>
              </w:rPr>
            </w:pPr>
            <w:r w:rsidRPr="0060122B">
              <w:rPr>
                <w:b/>
                <w:sz w:val="40"/>
                <w:szCs w:val="40"/>
                <w:lang w:val="es-ES"/>
              </w:rPr>
              <w:t>S</w:t>
            </w:r>
          </w:p>
        </w:tc>
      </w:tr>
      <w:tr w:rsidR="008B2CC1" w:rsidRPr="006012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0122B" w:rsidRDefault="00A42DAF" w:rsidP="00B357F4">
            <w:pPr>
              <w:jc w:val="right"/>
              <w:rPr>
                <w:rFonts w:ascii="Arial Black" w:hAnsi="Arial Black"/>
                <w:caps/>
                <w:sz w:val="15"/>
                <w:lang w:val="es-ES"/>
              </w:rPr>
            </w:pPr>
            <w:r w:rsidRPr="0060122B">
              <w:rPr>
                <w:rFonts w:ascii="Arial Black" w:hAnsi="Arial Black"/>
                <w:caps/>
                <w:sz w:val="15"/>
                <w:lang w:val="es-ES"/>
              </w:rPr>
              <w:t xml:space="preserve"> </w:t>
            </w:r>
            <w:r w:rsidR="008B2CC1" w:rsidRPr="0060122B">
              <w:rPr>
                <w:rFonts w:ascii="Arial Black" w:hAnsi="Arial Black"/>
                <w:caps/>
                <w:sz w:val="15"/>
                <w:lang w:val="es-ES"/>
              </w:rPr>
              <w:t xml:space="preserve">   </w:t>
            </w:r>
          </w:p>
        </w:tc>
      </w:tr>
      <w:tr w:rsidR="008B2CC1" w:rsidRPr="0060122B" w:rsidTr="00916EE2">
        <w:trPr>
          <w:trHeight w:hRule="exact" w:val="170"/>
        </w:trPr>
        <w:tc>
          <w:tcPr>
            <w:tcW w:w="9356" w:type="dxa"/>
            <w:gridSpan w:val="3"/>
            <w:noWrap/>
            <w:tcMar>
              <w:left w:w="0" w:type="dxa"/>
              <w:right w:w="0" w:type="dxa"/>
            </w:tcMar>
            <w:vAlign w:val="bottom"/>
          </w:tcPr>
          <w:p w:rsidR="008B2CC1" w:rsidRPr="0060122B" w:rsidRDefault="008B2CC1" w:rsidP="00E31006">
            <w:pPr>
              <w:jc w:val="right"/>
              <w:rPr>
                <w:rFonts w:ascii="Arial Black" w:hAnsi="Arial Black"/>
                <w:caps/>
                <w:sz w:val="15"/>
                <w:lang w:val="es-ES"/>
              </w:rPr>
            </w:pPr>
            <w:r w:rsidRPr="0060122B">
              <w:rPr>
                <w:rFonts w:ascii="Arial Black" w:hAnsi="Arial Black"/>
                <w:caps/>
                <w:sz w:val="15"/>
                <w:lang w:val="es-ES"/>
              </w:rPr>
              <w:t>ORIGINAL:</w:t>
            </w:r>
            <w:r w:rsidR="00A42DAF" w:rsidRPr="0060122B">
              <w:rPr>
                <w:rFonts w:ascii="Arial Black" w:hAnsi="Arial Black"/>
                <w:caps/>
                <w:sz w:val="15"/>
                <w:lang w:val="es-ES"/>
              </w:rPr>
              <w:t xml:space="preserve"> </w:t>
            </w:r>
            <w:r w:rsidRPr="0060122B">
              <w:rPr>
                <w:rFonts w:ascii="Arial Black" w:hAnsi="Arial Black"/>
                <w:caps/>
                <w:sz w:val="15"/>
                <w:lang w:val="es-ES"/>
              </w:rPr>
              <w:t xml:space="preserve"> </w:t>
            </w:r>
            <w:bookmarkStart w:id="1" w:name="Original"/>
            <w:bookmarkEnd w:id="1"/>
            <w:r w:rsidR="00E31006" w:rsidRPr="0060122B">
              <w:rPr>
                <w:rFonts w:ascii="Arial Black" w:hAnsi="Arial Black"/>
                <w:caps/>
                <w:sz w:val="15"/>
                <w:lang w:val="es-ES"/>
              </w:rPr>
              <w:t>inglés</w:t>
            </w:r>
          </w:p>
        </w:tc>
      </w:tr>
      <w:tr w:rsidR="008B2CC1" w:rsidRPr="0060122B" w:rsidTr="00916EE2">
        <w:trPr>
          <w:trHeight w:hRule="exact" w:val="198"/>
        </w:trPr>
        <w:tc>
          <w:tcPr>
            <w:tcW w:w="9356" w:type="dxa"/>
            <w:gridSpan w:val="3"/>
            <w:tcMar>
              <w:left w:w="0" w:type="dxa"/>
              <w:right w:w="0" w:type="dxa"/>
            </w:tcMar>
            <w:vAlign w:val="bottom"/>
          </w:tcPr>
          <w:p w:rsidR="008B2CC1" w:rsidRPr="0060122B" w:rsidRDefault="00E31006" w:rsidP="00E31006">
            <w:pPr>
              <w:jc w:val="right"/>
              <w:rPr>
                <w:rFonts w:ascii="Arial Black" w:hAnsi="Arial Black"/>
                <w:caps/>
                <w:sz w:val="15"/>
                <w:lang w:val="es-ES"/>
              </w:rPr>
            </w:pPr>
            <w:r w:rsidRPr="0060122B">
              <w:rPr>
                <w:rFonts w:ascii="Arial Black" w:hAnsi="Arial Black"/>
                <w:caps/>
                <w:sz w:val="15"/>
                <w:lang w:val="es-ES"/>
              </w:rPr>
              <w:t>fecha</w:t>
            </w:r>
            <w:r w:rsidR="008B2CC1" w:rsidRPr="0060122B">
              <w:rPr>
                <w:rFonts w:ascii="Arial Black" w:hAnsi="Arial Black"/>
                <w:caps/>
                <w:sz w:val="15"/>
                <w:lang w:val="es-ES"/>
              </w:rPr>
              <w:t>:</w:t>
            </w:r>
            <w:r w:rsidR="00A42DAF" w:rsidRPr="0060122B">
              <w:rPr>
                <w:rFonts w:ascii="Arial Black" w:hAnsi="Arial Black"/>
                <w:caps/>
                <w:sz w:val="15"/>
                <w:lang w:val="es-ES"/>
              </w:rPr>
              <w:t xml:space="preserve"> </w:t>
            </w:r>
            <w:r w:rsidR="008B2CC1" w:rsidRPr="0060122B">
              <w:rPr>
                <w:rFonts w:ascii="Arial Black" w:hAnsi="Arial Black"/>
                <w:caps/>
                <w:sz w:val="15"/>
                <w:lang w:val="es-ES"/>
              </w:rPr>
              <w:t xml:space="preserve"> </w:t>
            </w:r>
            <w:bookmarkStart w:id="2" w:name="Date"/>
            <w:bookmarkEnd w:id="2"/>
            <w:r w:rsidR="00E15F7B" w:rsidRPr="0060122B">
              <w:rPr>
                <w:rFonts w:ascii="Arial Black" w:hAnsi="Arial Black"/>
                <w:caps/>
                <w:sz w:val="15"/>
                <w:lang w:val="es-ES"/>
              </w:rPr>
              <w:t>5</w:t>
            </w:r>
            <w:r w:rsidR="006575D1" w:rsidRPr="0060122B">
              <w:rPr>
                <w:rFonts w:ascii="Arial Black" w:hAnsi="Arial Black"/>
                <w:caps/>
                <w:sz w:val="15"/>
                <w:lang w:val="es-ES"/>
              </w:rPr>
              <w:t xml:space="preserve"> </w:t>
            </w:r>
            <w:r w:rsidRPr="0060122B">
              <w:rPr>
                <w:rFonts w:ascii="Arial Black" w:hAnsi="Arial Black"/>
                <w:caps/>
                <w:sz w:val="15"/>
                <w:lang w:val="es-ES"/>
              </w:rPr>
              <w:t>de mayo de 2017</w:t>
            </w:r>
          </w:p>
        </w:tc>
      </w:tr>
    </w:tbl>
    <w:p w:rsidR="008B2CC1" w:rsidRPr="0060122B" w:rsidRDefault="008B2CC1" w:rsidP="008B2CC1">
      <w:pPr>
        <w:rPr>
          <w:lang w:val="es-ES"/>
        </w:rPr>
      </w:pPr>
    </w:p>
    <w:p w:rsidR="008B2CC1" w:rsidRPr="0060122B" w:rsidRDefault="008B2CC1" w:rsidP="008B2CC1">
      <w:pPr>
        <w:rPr>
          <w:lang w:val="es-ES"/>
        </w:rPr>
      </w:pPr>
    </w:p>
    <w:p w:rsidR="002535B0" w:rsidRPr="0060122B" w:rsidRDefault="002535B0" w:rsidP="008B2CC1">
      <w:pPr>
        <w:rPr>
          <w:lang w:val="es-ES"/>
        </w:rPr>
      </w:pPr>
    </w:p>
    <w:p w:rsidR="002535B0" w:rsidRPr="0060122B" w:rsidRDefault="002535B0" w:rsidP="008B2CC1">
      <w:pPr>
        <w:rPr>
          <w:lang w:val="es-ES"/>
        </w:rPr>
      </w:pPr>
    </w:p>
    <w:p w:rsidR="00E31006" w:rsidRPr="0060122B" w:rsidRDefault="00E31006" w:rsidP="00E31006">
      <w:pPr>
        <w:rPr>
          <w:b/>
          <w:sz w:val="28"/>
          <w:szCs w:val="28"/>
          <w:lang w:val="es-ES"/>
        </w:rPr>
      </w:pPr>
      <w:bookmarkStart w:id="3" w:name="TitleOfDoc"/>
      <w:bookmarkEnd w:id="3"/>
      <w:r w:rsidRPr="0060122B">
        <w:rPr>
          <w:b/>
          <w:sz w:val="28"/>
          <w:szCs w:val="28"/>
          <w:lang w:val="es-ES"/>
        </w:rPr>
        <w:t>Comité Permanente de Derecho de Autor y Derechos Conexos</w:t>
      </w:r>
    </w:p>
    <w:p w:rsidR="00E31006" w:rsidRPr="0060122B" w:rsidRDefault="00E31006" w:rsidP="00E31006">
      <w:pPr>
        <w:rPr>
          <w:lang w:val="es-ES"/>
        </w:rPr>
      </w:pPr>
    </w:p>
    <w:p w:rsidR="00E31006" w:rsidRPr="0060122B" w:rsidRDefault="00E31006" w:rsidP="00E31006">
      <w:pPr>
        <w:rPr>
          <w:lang w:val="es-ES"/>
        </w:rPr>
      </w:pPr>
    </w:p>
    <w:p w:rsidR="00E31006" w:rsidRPr="0060122B" w:rsidRDefault="00E31006" w:rsidP="00E31006">
      <w:pPr>
        <w:rPr>
          <w:b/>
          <w:sz w:val="24"/>
          <w:szCs w:val="24"/>
          <w:lang w:val="es-ES"/>
        </w:rPr>
      </w:pPr>
      <w:r w:rsidRPr="0060122B">
        <w:rPr>
          <w:b/>
          <w:sz w:val="24"/>
          <w:szCs w:val="24"/>
          <w:lang w:val="es-ES"/>
        </w:rPr>
        <w:t>Trigésima cuarta sesión</w:t>
      </w:r>
    </w:p>
    <w:p w:rsidR="00E31006" w:rsidRPr="0060122B" w:rsidRDefault="00E31006" w:rsidP="00E31006">
      <w:pPr>
        <w:rPr>
          <w:b/>
          <w:sz w:val="24"/>
          <w:szCs w:val="24"/>
          <w:lang w:val="es-ES"/>
        </w:rPr>
      </w:pPr>
      <w:r w:rsidRPr="0060122B">
        <w:rPr>
          <w:b/>
          <w:sz w:val="24"/>
          <w:szCs w:val="24"/>
          <w:lang w:val="es-ES"/>
        </w:rPr>
        <w:t>Ginebra, 1 a 5 de mayo de 2017</w:t>
      </w:r>
    </w:p>
    <w:p w:rsidR="002535B0" w:rsidRPr="0060122B" w:rsidRDefault="002535B0" w:rsidP="008B2CC1">
      <w:pPr>
        <w:rPr>
          <w:b/>
          <w:caps/>
          <w:sz w:val="24"/>
          <w:lang w:val="es-ES"/>
        </w:rPr>
      </w:pPr>
    </w:p>
    <w:p w:rsidR="002535B0" w:rsidRPr="0060122B" w:rsidRDefault="002535B0" w:rsidP="008B2CC1">
      <w:pPr>
        <w:rPr>
          <w:b/>
          <w:caps/>
          <w:sz w:val="24"/>
          <w:lang w:val="es-ES"/>
        </w:rPr>
      </w:pPr>
    </w:p>
    <w:p w:rsidR="008B2CC1" w:rsidRPr="0060122B" w:rsidRDefault="00E31006" w:rsidP="008B2CC1">
      <w:pPr>
        <w:rPr>
          <w:bCs/>
          <w:caps/>
          <w:sz w:val="24"/>
          <w:lang w:val="es-ES"/>
        </w:rPr>
      </w:pPr>
      <w:r w:rsidRPr="0060122B">
        <w:rPr>
          <w:bCs/>
          <w:caps/>
          <w:sz w:val="24"/>
          <w:lang w:val="es-ES"/>
        </w:rPr>
        <w:t>RESUMEN DE LA PRESIDENCIA</w:t>
      </w:r>
    </w:p>
    <w:p w:rsidR="006A1CD5" w:rsidRPr="0060122B" w:rsidRDefault="006A1CD5" w:rsidP="008B2CC1">
      <w:pPr>
        <w:rPr>
          <w:caps/>
          <w:sz w:val="24"/>
          <w:lang w:val="es-ES"/>
        </w:rPr>
      </w:pPr>
    </w:p>
    <w:p w:rsidR="006A1CD5" w:rsidRPr="0060122B" w:rsidRDefault="006A1CD5" w:rsidP="008B2CC1">
      <w:pPr>
        <w:rPr>
          <w:caps/>
          <w:sz w:val="24"/>
          <w:lang w:val="es-ES"/>
        </w:rPr>
      </w:pPr>
    </w:p>
    <w:p w:rsidR="008B2CC1" w:rsidRPr="0060122B" w:rsidRDefault="008B2CC1" w:rsidP="008B2CC1">
      <w:pPr>
        <w:rPr>
          <w:lang w:val="es-ES"/>
        </w:rPr>
      </w:pPr>
    </w:p>
    <w:p w:rsidR="002535B0" w:rsidRPr="0060122B" w:rsidRDefault="002535B0">
      <w:pPr>
        <w:rPr>
          <w:b/>
          <w:szCs w:val="22"/>
          <w:lang w:val="es-ES"/>
        </w:rPr>
      </w:pPr>
      <w:bookmarkStart w:id="4" w:name="Prepared"/>
      <w:bookmarkEnd w:id="4"/>
      <w:r w:rsidRPr="0060122B">
        <w:rPr>
          <w:b/>
          <w:szCs w:val="22"/>
          <w:lang w:val="es-ES"/>
        </w:rPr>
        <w:br w:type="page"/>
      </w:r>
    </w:p>
    <w:p w:rsidR="0060122B" w:rsidRPr="0060122B" w:rsidRDefault="0060122B" w:rsidP="00E23FE0">
      <w:pPr>
        <w:rPr>
          <w:szCs w:val="22"/>
          <w:lang w:val="es-ES"/>
        </w:rPr>
      </w:pPr>
    </w:p>
    <w:p w:rsidR="00E23FE0" w:rsidRPr="0060122B" w:rsidRDefault="00E23FE0" w:rsidP="00E23FE0">
      <w:pPr>
        <w:rPr>
          <w:b/>
          <w:caps/>
          <w:szCs w:val="22"/>
          <w:lang w:val="es-ES"/>
        </w:rPr>
      </w:pPr>
      <w:r w:rsidRPr="0060122B">
        <w:rPr>
          <w:b/>
          <w:szCs w:val="22"/>
          <w:lang w:val="es-ES"/>
        </w:rPr>
        <w:t>PUNTO 1 DEL ORDEN DEL DÍA:  APERTURA DE LA SESIÓN</w:t>
      </w:r>
    </w:p>
    <w:p w:rsidR="006A1CD5" w:rsidRPr="0060122B" w:rsidRDefault="006A1CD5" w:rsidP="006A1CD5">
      <w:pPr>
        <w:rPr>
          <w:szCs w:val="22"/>
          <w:lang w:val="es-ES"/>
        </w:rPr>
      </w:pPr>
    </w:p>
    <w:p w:rsidR="00E23FE0" w:rsidRPr="0060122B" w:rsidRDefault="004766BC" w:rsidP="00E23FE0">
      <w:pPr>
        <w:rPr>
          <w:rFonts w:eastAsia="Times New Roman"/>
          <w:szCs w:val="22"/>
          <w:lang w:val="es-ES" w:eastAsia="en-US"/>
        </w:rPr>
      </w:pPr>
      <w:r w:rsidRPr="0060122B">
        <w:rPr>
          <w:rFonts w:eastAsia="Times New Roman"/>
          <w:szCs w:val="22"/>
          <w:lang w:val="es-ES" w:eastAsia="en-US"/>
        </w:rPr>
        <w:t>1.</w:t>
      </w:r>
      <w:r w:rsidRPr="0060122B">
        <w:rPr>
          <w:rFonts w:eastAsia="Times New Roman"/>
          <w:szCs w:val="22"/>
          <w:lang w:val="es-ES" w:eastAsia="en-US"/>
        </w:rPr>
        <w:tab/>
      </w:r>
      <w:r w:rsidR="00E23FE0" w:rsidRPr="0060122B">
        <w:rPr>
          <w:rFonts w:eastAsia="Times New Roman"/>
          <w:szCs w:val="22"/>
          <w:lang w:val="es-ES" w:eastAsia="en-US"/>
        </w:rPr>
        <w:t xml:space="preserve">La trigésima cuarta sesión del Comité Permanente de Derecho de Autor y Derechos Conexos (el SCCR o el Comité) fue abierta por el </w:t>
      </w:r>
      <w:r w:rsidR="00582DF0" w:rsidRPr="0060122B">
        <w:rPr>
          <w:rFonts w:eastAsia="Times New Roman"/>
          <w:szCs w:val="22"/>
          <w:lang w:val="es-ES" w:eastAsia="en-US"/>
        </w:rPr>
        <w:t xml:space="preserve">director general </w:t>
      </w:r>
      <w:r w:rsidR="00E23FE0" w:rsidRPr="0060122B">
        <w:rPr>
          <w:rFonts w:eastAsia="Times New Roman"/>
          <w:szCs w:val="22"/>
          <w:lang w:val="es-ES" w:eastAsia="en-US"/>
        </w:rPr>
        <w:t xml:space="preserve">de la OMPI, Sr. Francis Gurry, quien dio la bienvenida a los participantes.  La Sra. Michele Woods (OMPI) se desempeñó como </w:t>
      </w:r>
      <w:r w:rsidR="00582DF0" w:rsidRPr="0060122B">
        <w:rPr>
          <w:rFonts w:eastAsia="Times New Roman"/>
          <w:szCs w:val="22"/>
          <w:lang w:val="es-ES" w:eastAsia="en-US"/>
        </w:rPr>
        <w:t>secretaria</w:t>
      </w:r>
      <w:r w:rsidR="00E23FE0" w:rsidRPr="0060122B">
        <w:rPr>
          <w:rFonts w:eastAsia="Times New Roman"/>
          <w:szCs w:val="22"/>
          <w:lang w:val="es-ES" w:eastAsia="en-US"/>
        </w:rPr>
        <w:t>.</w:t>
      </w:r>
    </w:p>
    <w:p w:rsidR="00E706D1" w:rsidRDefault="00E706D1">
      <w:pPr>
        <w:rPr>
          <w:rFonts w:eastAsia="Times New Roman"/>
          <w:szCs w:val="22"/>
          <w:lang w:val="es-ES" w:eastAsia="en-US"/>
        </w:rPr>
      </w:pPr>
    </w:p>
    <w:p w:rsidR="0060122B" w:rsidRPr="0060122B" w:rsidRDefault="0060122B">
      <w:pPr>
        <w:rPr>
          <w:rFonts w:eastAsia="Times New Roman"/>
          <w:szCs w:val="22"/>
          <w:lang w:val="es-ES" w:eastAsia="en-US"/>
        </w:rPr>
      </w:pPr>
    </w:p>
    <w:p w:rsidR="00E23FE0" w:rsidRPr="0060122B" w:rsidRDefault="00E23FE0" w:rsidP="00E23FE0">
      <w:pPr>
        <w:rPr>
          <w:b/>
          <w:caps/>
          <w:szCs w:val="22"/>
          <w:lang w:val="es-ES"/>
        </w:rPr>
      </w:pPr>
      <w:r w:rsidRPr="0060122B">
        <w:rPr>
          <w:b/>
          <w:szCs w:val="22"/>
          <w:lang w:val="es-ES"/>
        </w:rPr>
        <w:t>PUNTO 2 DEL ORDEN DEL DÍA:  ELECCIÓN DEL PRESIDENTE Y DE DOS VICEPRESIDENTES</w:t>
      </w:r>
    </w:p>
    <w:p w:rsidR="008D6084" w:rsidRPr="0060122B" w:rsidRDefault="008D6084">
      <w:pPr>
        <w:rPr>
          <w:rFonts w:eastAsia="Times New Roman"/>
          <w:szCs w:val="22"/>
          <w:lang w:val="es-ES" w:eastAsia="en-US"/>
        </w:rPr>
      </w:pPr>
    </w:p>
    <w:p w:rsidR="00D5156B" w:rsidRPr="0060122B" w:rsidRDefault="008D6084" w:rsidP="006A1CD5">
      <w:pPr>
        <w:rPr>
          <w:szCs w:val="22"/>
          <w:lang w:val="es-ES"/>
        </w:rPr>
      </w:pPr>
      <w:r w:rsidRPr="0060122B">
        <w:rPr>
          <w:rFonts w:eastAsia="Times New Roman"/>
          <w:szCs w:val="22"/>
          <w:lang w:val="es-ES" w:eastAsia="en-US"/>
        </w:rPr>
        <w:t xml:space="preserve">2. </w:t>
      </w:r>
      <w:r w:rsidRPr="0060122B">
        <w:rPr>
          <w:rFonts w:eastAsia="Times New Roman"/>
          <w:szCs w:val="22"/>
          <w:lang w:val="es-ES" w:eastAsia="en-US"/>
        </w:rPr>
        <w:tab/>
      </w:r>
      <w:r w:rsidR="00E23FE0" w:rsidRPr="0060122B">
        <w:rPr>
          <w:rFonts w:eastAsia="Times New Roman"/>
          <w:szCs w:val="22"/>
          <w:lang w:val="es-ES"/>
        </w:rPr>
        <w:t xml:space="preserve">El Comité eligió </w:t>
      </w:r>
      <w:r w:rsidR="002267ED" w:rsidRPr="0060122B">
        <w:rPr>
          <w:rFonts w:eastAsia="Times New Roman"/>
          <w:szCs w:val="22"/>
          <w:lang w:val="es-ES"/>
        </w:rPr>
        <w:t>p</w:t>
      </w:r>
      <w:r w:rsidR="00E23FE0" w:rsidRPr="0060122B">
        <w:rPr>
          <w:rFonts w:eastAsia="Times New Roman"/>
          <w:szCs w:val="22"/>
          <w:lang w:val="es-ES"/>
        </w:rPr>
        <w:t>residente al Sr</w:t>
      </w:r>
      <w:r w:rsidR="00582DF0">
        <w:rPr>
          <w:rFonts w:eastAsia="Times New Roman"/>
          <w:szCs w:val="22"/>
          <w:lang w:val="es-ES"/>
        </w:rPr>
        <w:t>.</w:t>
      </w:r>
      <w:r w:rsidR="00E23FE0" w:rsidRPr="0060122B">
        <w:rPr>
          <w:rFonts w:eastAsia="Times New Roman"/>
          <w:szCs w:val="22"/>
          <w:lang w:val="es-ES"/>
        </w:rPr>
        <w:t xml:space="preserve"> </w:t>
      </w:r>
      <w:proofErr w:type="spellStart"/>
      <w:r w:rsidR="00E23FE0" w:rsidRPr="0060122B">
        <w:rPr>
          <w:rFonts w:eastAsia="Times New Roman"/>
          <w:szCs w:val="22"/>
          <w:lang w:val="es-ES"/>
        </w:rPr>
        <w:t>Daren</w:t>
      </w:r>
      <w:proofErr w:type="spellEnd"/>
      <w:r w:rsidR="00E23FE0" w:rsidRPr="0060122B">
        <w:rPr>
          <w:rFonts w:eastAsia="Times New Roman"/>
          <w:szCs w:val="22"/>
          <w:lang w:val="es-ES"/>
        </w:rPr>
        <w:t xml:space="preserve"> </w:t>
      </w:r>
      <w:proofErr w:type="spellStart"/>
      <w:r w:rsidR="00E23FE0" w:rsidRPr="0060122B">
        <w:rPr>
          <w:rFonts w:eastAsia="Times New Roman"/>
          <w:szCs w:val="22"/>
          <w:lang w:val="es-ES"/>
        </w:rPr>
        <w:t>Tang</w:t>
      </w:r>
      <w:proofErr w:type="spellEnd"/>
      <w:r w:rsidR="00E23FE0" w:rsidRPr="0060122B">
        <w:rPr>
          <w:rFonts w:eastAsia="Times New Roman"/>
          <w:szCs w:val="22"/>
          <w:lang w:val="es-ES"/>
        </w:rPr>
        <w:t xml:space="preserve"> </w:t>
      </w:r>
      <w:proofErr w:type="spellStart"/>
      <w:r w:rsidR="00E23FE0" w:rsidRPr="0060122B">
        <w:rPr>
          <w:rFonts w:eastAsia="Times New Roman"/>
          <w:szCs w:val="22"/>
          <w:lang w:val="es-ES"/>
        </w:rPr>
        <w:t>Heng</w:t>
      </w:r>
      <w:proofErr w:type="spellEnd"/>
      <w:r w:rsidR="00E23FE0" w:rsidRPr="0060122B">
        <w:rPr>
          <w:rFonts w:eastAsia="Times New Roman"/>
          <w:szCs w:val="22"/>
          <w:lang w:val="es-ES"/>
        </w:rPr>
        <w:t xml:space="preserve"> </w:t>
      </w:r>
      <w:proofErr w:type="spellStart"/>
      <w:r w:rsidR="00E23FE0" w:rsidRPr="0060122B">
        <w:rPr>
          <w:rFonts w:eastAsia="Times New Roman"/>
          <w:szCs w:val="22"/>
          <w:lang w:val="es-ES"/>
        </w:rPr>
        <w:t>Shim</w:t>
      </w:r>
      <w:proofErr w:type="spellEnd"/>
      <w:r w:rsidR="00E23FE0" w:rsidRPr="0060122B">
        <w:rPr>
          <w:rFonts w:eastAsia="Times New Roman"/>
          <w:szCs w:val="22"/>
          <w:lang w:val="es-ES"/>
        </w:rPr>
        <w:t xml:space="preserve"> y </w:t>
      </w:r>
      <w:r w:rsidR="002267ED" w:rsidRPr="0060122B">
        <w:rPr>
          <w:rFonts w:eastAsia="Times New Roman"/>
          <w:szCs w:val="22"/>
          <w:lang w:val="es-ES"/>
        </w:rPr>
        <w:t>v</w:t>
      </w:r>
      <w:r w:rsidR="00E23FE0" w:rsidRPr="0060122B">
        <w:rPr>
          <w:rFonts w:eastAsia="Times New Roman"/>
          <w:szCs w:val="22"/>
          <w:lang w:val="es-ES"/>
        </w:rPr>
        <w:t>icepresidentes al Sr</w:t>
      </w:r>
      <w:r w:rsidR="00582DF0">
        <w:rPr>
          <w:rFonts w:eastAsia="Times New Roman"/>
          <w:szCs w:val="22"/>
          <w:lang w:val="es-ES"/>
        </w:rPr>
        <w:t>.</w:t>
      </w:r>
      <w:r w:rsidR="00E23FE0" w:rsidRPr="0060122B">
        <w:rPr>
          <w:rFonts w:eastAsia="Times New Roman"/>
          <w:szCs w:val="22"/>
          <w:lang w:val="es-ES"/>
        </w:rPr>
        <w:t xml:space="preserve"> Karol Kościński y al Sr. Abdoul Aziz Dieng, para el período que empieza con la apertura de la 34ª sesión del SCCR hasta la apertura de la 38ª sesión del SCCR.</w:t>
      </w:r>
    </w:p>
    <w:p w:rsidR="00E706D1" w:rsidRDefault="00E706D1" w:rsidP="006A1CD5">
      <w:pPr>
        <w:rPr>
          <w:szCs w:val="22"/>
          <w:lang w:val="es-ES"/>
        </w:rPr>
      </w:pPr>
    </w:p>
    <w:p w:rsidR="0060122B" w:rsidRPr="0060122B" w:rsidRDefault="0060122B" w:rsidP="006A1CD5">
      <w:pPr>
        <w:rPr>
          <w:szCs w:val="22"/>
          <w:lang w:val="es-ES"/>
        </w:rPr>
      </w:pPr>
    </w:p>
    <w:p w:rsidR="00E23FE0" w:rsidRPr="0060122B" w:rsidRDefault="00E23FE0" w:rsidP="00E23FE0">
      <w:pPr>
        <w:rPr>
          <w:b/>
          <w:caps/>
          <w:szCs w:val="22"/>
          <w:lang w:val="es-ES"/>
        </w:rPr>
      </w:pPr>
      <w:r w:rsidRPr="0060122B">
        <w:rPr>
          <w:b/>
          <w:szCs w:val="22"/>
          <w:lang w:val="es-ES"/>
        </w:rPr>
        <w:t>PUNTO 3 DEL ORDEN DEL DÍA:  APROBACIÓN DEL ORDEN DEL DÍA DE LA TRIGÉSIMA CUARTA SESIÓN</w:t>
      </w:r>
    </w:p>
    <w:p w:rsidR="006A1CD5" w:rsidRPr="0060122B" w:rsidRDefault="006A1CD5" w:rsidP="006A1CD5">
      <w:pPr>
        <w:rPr>
          <w:szCs w:val="22"/>
          <w:lang w:val="es-ES"/>
        </w:rPr>
      </w:pPr>
    </w:p>
    <w:p w:rsidR="00E23FE0" w:rsidRPr="0060122B" w:rsidRDefault="008D6084" w:rsidP="00E23FE0">
      <w:pPr>
        <w:rPr>
          <w:szCs w:val="22"/>
          <w:lang w:val="es-ES"/>
        </w:rPr>
      </w:pPr>
      <w:r w:rsidRPr="0060122B">
        <w:rPr>
          <w:rFonts w:eastAsia="Times New Roman"/>
          <w:szCs w:val="22"/>
          <w:lang w:val="es-ES" w:eastAsia="en-US"/>
        </w:rPr>
        <w:t>3</w:t>
      </w:r>
      <w:r w:rsidR="00592585" w:rsidRPr="0060122B">
        <w:rPr>
          <w:rFonts w:eastAsia="Times New Roman"/>
          <w:szCs w:val="22"/>
          <w:lang w:val="es-ES" w:eastAsia="en-US"/>
        </w:rPr>
        <w:t>.</w:t>
      </w:r>
      <w:r w:rsidR="00592585" w:rsidRPr="0060122B">
        <w:rPr>
          <w:rFonts w:eastAsia="Times New Roman"/>
          <w:szCs w:val="22"/>
          <w:lang w:val="es-ES" w:eastAsia="en-US"/>
        </w:rPr>
        <w:tab/>
      </w:r>
      <w:r w:rsidR="00E23FE0" w:rsidRPr="0060122B">
        <w:rPr>
          <w:szCs w:val="22"/>
          <w:lang w:val="es-ES"/>
        </w:rPr>
        <w:t>El S</w:t>
      </w:r>
      <w:r w:rsidR="00582DF0">
        <w:rPr>
          <w:szCs w:val="22"/>
          <w:lang w:val="es-ES"/>
        </w:rPr>
        <w:t>CCR</w:t>
      </w:r>
      <w:r w:rsidR="00E23FE0" w:rsidRPr="0060122B">
        <w:rPr>
          <w:szCs w:val="22"/>
          <w:lang w:val="es-ES"/>
        </w:rPr>
        <w:t xml:space="preserve"> aprobó el proyecto de orden del día (documento SC</w:t>
      </w:r>
      <w:r w:rsidR="00582DF0">
        <w:rPr>
          <w:szCs w:val="22"/>
          <w:lang w:val="es-ES"/>
        </w:rPr>
        <w:t>CR</w:t>
      </w:r>
      <w:r w:rsidR="00E23FE0" w:rsidRPr="0060122B">
        <w:rPr>
          <w:szCs w:val="22"/>
          <w:lang w:val="es-ES"/>
        </w:rPr>
        <w:t>/34/1 Prov.).  Se pidió a la Secretaría que dé una sesión de información sobre la aplicación del Tratado de Marrakech en el marco del punto 9 del orden del día, Otros asuntos.</w:t>
      </w:r>
    </w:p>
    <w:p w:rsidR="008707A0" w:rsidRDefault="008707A0" w:rsidP="006A1CD5">
      <w:pPr>
        <w:rPr>
          <w:szCs w:val="22"/>
          <w:lang w:val="es-ES"/>
        </w:rPr>
      </w:pPr>
    </w:p>
    <w:p w:rsidR="0060122B" w:rsidRPr="0060122B" w:rsidRDefault="0060122B" w:rsidP="006A1CD5">
      <w:pPr>
        <w:rPr>
          <w:szCs w:val="22"/>
          <w:lang w:val="es-ES"/>
        </w:rPr>
      </w:pPr>
    </w:p>
    <w:p w:rsidR="00E23FE0" w:rsidRPr="0060122B" w:rsidRDefault="00E23FE0" w:rsidP="00E23FE0">
      <w:pPr>
        <w:rPr>
          <w:b/>
          <w:caps/>
          <w:szCs w:val="22"/>
          <w:lang w:val="es-ES"/>
        </w:rPr>
      </w:pPr>
      <w:r w:rsidRPr="0060122B">
        <w:rPr>
          <w:b/>
          <w:caps/>
          <w:szCs w:val="22"/>
          <w:lang w:val="es-ES"/>
        </w:rPr>
        <w:t>PUNTO 4 DEL ORDEN DEL DÍA:  ACREDITACIÓN DE NUEVAS ORGANIZACIONES NO GUBERNAMENTALES</w:t>
      </w:r>
    </w:p>
    <w:p w:rsidR="006A1CD5" w:rsidRPr="0060122B" w:rsidRDefault="006A1CD5" w:rsidP="006A1CD5">
      <w:pPr>
        <w:rPr>
          <w:caps/>
          <w:szCs w:val="22"/>
          <w:lang w:val="es-ES"/>
        </w:rPr>
      </w:pPr>
    </w:p>
    <w:p w:rsidR="00BF096E" w:rsidRPr="0060122B" w:rsidRDefault="000C0ACC" w:rsidP="00BF096E">
      <w:pPr>
        <w:pStyle w:val="DecisionInvitingPara"/>
        <w:ind w:left="0"/>
        <w:rPr>
          <w:rFonts w:cs="Arial"/>
          <w:i w:val="0"/>
          <w:sz w:val="22"/>
          <w:szCs w:val="22"/>
          <w:lang w:val="es-ES"/>
        </w:rPr>
      </w:pPr>
      <w:r w:rsidRPr="0060122B">
        <w:rPr>
          <w:rFonts w:eastAsia="SimSun" w:cs="Arial"/>
          <w:i w:val="0"/>
          <w:sz w:val="22"/>
          <w:szCs w:val="22"/>
          <w:lang w:val="es-ES" w:eastAsia="zh-CN"/>
        </w:rPr>
        <w:t>4</w:t>
      </w:r>
      <w:r w:rsidR="00CF5A63" w:rsidRPr="0060122B">
        <w:rPr>
          <w:rFonts w:eastAsia="SimSun" w:cs="Arial"/>
          <w:i w:val="0"/>
          <w:sz w:val="22"/>
          <w:szCs w:val="22"/>
          <w:lang w:val="es-ES" w:eastAsia="zh-CN"/>
        </w:rPr>
        <w:t>.</w:t>
      </w:r>
      <w:r w:rsidR="00D5156B" w:rsidRPr="0060122B">
        <w:rPr>
          <w:rFonts w:cs="Arial"/>
          <w:i w:val="0"/>
          <w:sz w:val="22"/>
          <w:szCs w:val="22"/>
          <w:lang w:val="es-ES"/>
        </w:rPr>
        <w:tab/>
      </w:r>
      <w:r w:rsidR="00BF096E" w:rsidRPr="0060122B">
        <w:rPr>
          <w:i w:val="0"/>
          <w:iCs/>
          <w:sz w:val="22"/>
          <w:szCs w:val="22"/>
          <w:lang w:val="es-ES"/>
        </w:rPr>
        <w:t xml:space="preserve">El </w:t>
      </w:r>
      <w:r w:rsidR="00BF096E" w:rsidRPr="0060122B">
        <w:rPr>
          <w:rFonts w:eastAsia="SimSun" w:cs="Arial"/>
          <w:i w:val="0"/>
          <w:sz w:val="22"/>
          <w:szCs w:val="22"/>
          <w:lang w:val="es-ES"/>
        </w:rPr>
        <w:t xml:space="preserve">Comité aprobó la acreditación en calidad de observadores del SCCR de las organizaciones no gubernamentales mencionadas en el Anexo del documento SCCR/34/2, a saber, la </w:t>
      </w:r>
      <w:r w:rsidR="00BF096E" w:rsidRPr="0060122B">
        <w:rPr>
          <w:rFonts w:eastAsiaTheme="minorEastAsia"/>
          <w:sz w:val="22"/>
          <w:szCs w:val="22"/>
          <w:lang w:val="es-ES" w:eastAsia="ja-JP"/>
        </w:rPr>
        <w:t xml:space="preserve">Canadian Artists’ Representation </w:t>
      </w:r>
      <w:r w:rsidR="00BF096E" w:rsidRPr="0060122B">
        <w:rPr>
          <w:rFonts w:eastAsia="SimSun" w:cs="Arial"/>
          <w:i w:val="0"/>
          <w:sz w:val="22"/>
          <w:szCs w:val="22"/>
          <w:lang w:val="es-ES"/>
        </w:rPr>
        <w:t xml:space="preserve">(CARFAC), la </w:t>
      </w:r>
      <w:r w:rsidR="00BF096E" w:rsidRPr="00582DF0">
        <w:rPr>
          <w:rFonts w:eastAsia="SimSun" w:cs="Arial"/>
          <w:iCs/>
          <w:sz w:val="22"/>
          <w:szCs w:val="22"/>
          <w:lang w:val="es-ES"/>
        </w:rPr>
        <w:t>Federazione Unitaria Italiana Scrittori</w:t>
      </w:r>
      <w:r w:rsidR="00BF096E" w:rsidRPr="0060122B">
        <w:rPr>
          <w:rFonts w:eastAsia="SimSun" w:cs="Arial"/>
          <w:i w:val="0"/>
          <w:sz w:val="22"/>
          <w:szCs w:val="22"/>
          <w:lang w:val="es-ES"/>
        </w:rPr>
        <w:t xml:space="preserve"> (FUIS</w:t>
      </w:r>
      <w:r w:rsidR="00BF096E" w:rsidRPr="0060122B">
        <w:rPr>
          <w:sz w:val="22"/>
          <w:szCs w:val="22"/>
          <w:lang w:val="es-ES"/>
        </w:rPr>
        <w:t xml:space="preserve">), </w:t>
      </w:r>
      <w:r w:rsidR="00BF096E" w:rsidRPr="0060122B">
        <w:rPr>
          <w:i w:val="0"/>
          <w:iCs/>
          <w:sz w:val="22"/>
          <w:szCs w:val="22"/>
          <w:lang w:val="es-ES"/>
        </w:rPr>
        <w:t>y la</w:t>
      </w:r>
      <w:r w:rsidR="00BF096E" w:rsidRPr="0060122B">
        <w:rPr>
          <w:sz w:val="22"/>
          <w:szCs w:val="22"/>
          <w:lang w:val="es-ES"/>
        </w:rPr>
        <w:t xml:space="preserve"> </w:t>
      </w:r>
      <w:r w:rsidR="00BF096E" w:rsidRPr="00582DF0">
        <w:rPr>
          <w:sz w:val="22"/>
          <w:szCs w:val="22"/>
          <w:lang w:val="es-ES"/>
        </w:rPr>
        <w:t>Association CONVERGENCE</w:t>
      </w:r>
      <w:r w:rsidR="00BF096E" w:rsidRPr="0060122B">
        <w:rPr>
          <w:sz w:val="22"/>
          <w:szCs w:val="22"/>
          <w:lang w:val="es-ES"/>
        </w:rPr>
        <w:t>.</w:t>
      </w:r>
      <w:r w:rsidR="00BF096E" w:rsidRPr="0060122B">
        <w:rPr>
          <w:rFonts w:cs="Arial"/>
          <w:i w:val="0"/>
          <w:sz w:val="22"/>
          <w:szCs w:val="22"/>
          <w:lang w:val="es-ES"/>
        </w:rPr>
        <w:t xml:space="preserve"> </w:t>
      </w:r>
    </w:p>
    <w:p w:rsidR="00BF096E" w:rsidRDefault="00BF096E" w:rsidP="0060122B">
      <w:pPr>
        <w:pStyle w:val="DecisionInvitingPara"/>
        <w:spacing w:after="0" w:line="240" w:lineRule="auto"/>
        <w:ind w:left="0"/>
        <w:rPr>
          <w:rFonts w:cs="Arial"/>
          <w:i w:val="0"/>
          <w:sz w:val="22"/>
          <w:szCs w:val="22"/>
          <w:lang w:val="es-ES"/>
        </w:rPr>
      </w:pPr>
    </w:p>
    <w:p w:rsidR="0060122B" w:rsidRPr="0060122B" w:rsidRDefault="0060122B" w:rsidP="0060122B">
      <w:pPr>
        <w:pStyle w:val="DecisionInvitingPara"/>
        <w:spacing w:after="0" w:line="240" w:lineRule="auto"/>
        <w:ind w:left="0"/>
        <w:rPr>
          <w:rFonts w:cs="Arial"/>
          <w:i w:val="0"/>
          <w:sz w:val="22"/>
          <w:szCs w:val="22"/>
          <w:lang w:val="es-ES"/>
        </w:rPr>
      </w:pPr>
    </w:p>
    <w:p w:rsidR="00BF096E" w:rsidRPr="0060122B" w:rsidRDefault="00BF096E" w:rsidP="00BF096E">
      <w:pPr>
        <w:rPr>
          <w:b/>
          <w:caps/>
          <w:szCs w:val="22"/>
          <w:lang w:val="es-ES"/>
        </w:rPr>
      </w:pPr>
      <w:r w:rsidRPr="0060122B">
        <w:rPr>
          <w:b/>
          <w:caps/>
          <w:szCs w:val="22"/>
          <w:lang w:val="es-ES"/>
        </w:rPr>
        <w:t xml:space="preserve">PUNTO 5 DEL ORDEN DEL DÍA:  APROBACIÓN DEL PROYECTO DE INFORME DE LA TRIGÉSIMA TERCERA SESIÓN </w:t>
      </w:r>
    </w:p>
    <w:p w:rsidR="006A1CD5" w:rsidRPr="0060122B" w:rsidRDefault="006A1CD5" w:rsidP="006A1CD5">
      <w:pPr>
        <w:rPr>
          <w:caps/>
          <w:szCs w:val="22"/>
          <w:lang w:val="es-ES"/>
        </w:rPr>
      </w:pPr>
    </w:p>
    <w:p w:rsidR="00BF096E" w:rsidRPr="0060122B" w:rsidRDefault="000C0ACC" w:rsidP="00BF096E">
      <w:pPr>
        <w:rPr>
          <w:szCs w:val="22"/>
          <w:lang w:val="es-ES"/>
        </w:rPr>
      </w:pPr>
      <w:r w:rsidRPr="0060122B">
        <w:rPr>
          <w:szCs w:val="22"/>
          <w:lang w:val="es-ES"/>
        </w:rPr>
        <w:t>5</w:t>
      </w:r>
      <w:r w:rsidR="00CF5A63" w:rsidRPr="0060122B">
        <w:rPr>
          <w:szCs w:val="22"/>
          <w:lang w:val="es-ES"/>
        </w:rPr>
        <w:t>.</w:t>
      </w:r>
      <w:r w:rsidR="006A1CD5" w:rsidRPr="0060122B">
        <w:rPr>
          <w:szCs w:val="22"/>
          <w:lang w:val="es-ES"/>
        </w:rPr>
        <w:tab/>
      </w:r>
      <w:r w:rsidR="00BF096E" w:rsidRPr="0060122B">
        <w:rPr>
          <w:szCs w:val="22"/>
          <w:lang w:val="es-ES"/>
        </w:rPr>
        <w:t>El Comité aprobó el proyecto de informe de su trigés</w:t>
      </w:r>
      <w:r w:rsidR="00582DF0">
        <w:rPr>
          <w:szCs w:val="22"/>
          <w:lang w:val="es-ES"/>
        </w:rPr>
        <w:t>ima tercera sesión (documento SCCR</w:t>
      </w:r>
      <w:r w:rsidR="00BF096E" w:rsidRPr="0060122B">
        <w:rPr>
          <w:szCs w:val="22"/>
          <w:lang w:val="es-ES"/>
        </w:rPr>
        <w:t>/33/7 Prov.).  Se invitó a las delegaciones y a los observadores a enviar a la Secretaría (</w:t>
      </w:r>
      <w:hyperlink r:id="rId10" w:history="1">
        <w:r w:rsidR="00BF096E" w:rsidRPr="0060122B">
          <w:rPr>
            <w:rStyle w:val="Hyperlink"/>
            <w:szCs w:val="22"/>
            <w:lang w:val="es-ES"/>
          </w:rPr>
          <w:t>copyright.mail@wipo.int</w:t>
        </w:r>
      </w:hyperlink>
      <w:r w:rsidR="00BF096E" w:rsidRPr="0060122B">
        <w:rPr>
          <w:szCs w:val="22"/>
          <w:lang w:val="es-ES"/>
        </w:rPr>
        <w:t>) las observaciones eventuales que tengan sobre sus declaraciones, a más tardar el 15 de junio de 2017.</w:t>
      </w:r>
    </w:p>
    <w:p w:rsidR="00821086" w:rsidRDefault="00821086" w:rsidP="006A1CD5">
      <w:pPr>
        <w:rPr>
          <w:szCs w:val="22"/>
          <w:lang w:val="es-ES"/>
        </w:rPr>
      </w:pPr>
    </w:p>
    <w:p w:rsidR="0060122B" w:rsidRPr="0060122B" w:rsidRDefault="0060122B" w:rsidP="006A1CD5">
      <w:pPr>
        <w:rPr>
          <w:szCs w:val="22"/>
          <w:lang w:val="es-ES"/>
        </w:rPr>
      </w:pPr>
    </w:p>
    <w:p w:rsidR="00BF096E" w:rsidRPr="0060122B" w:rsidRDefault="00BF096E" w:rsidP="00BF096E">
      <w:pPr>
        <w:rPr>
          <w:b/>
          <w:caps/>
          <w:szCs w:val="22"/>
          <w:lang w:val="es-ES"/>
        </w:rPr>
      </w:pPr>
      <w:r w:rsidRPr="0060122B">
        <w:rPr>
          <w:b/>
          <w:caps/>
          <w:szCs w:val="22"/>
          <w:lang w:val="es-ES"/>
        </w:rPr>
        <w:t>PUNTO 6 DEL ORDEN DEL DÍA:  PROTECCIÓN DE LOS ORGANISMOS DE RADIODIFUSIÓN</w:t>
      </w:r>
    </w:p>
    <w:p w:rsidR="006A1CD5" w:rsidRPr="0060122B" w:rsidRDefault="006A1CD5" w:rsidP="00DA1C96">
      <w:pPr>
        <w:pStyle w:val="Default"/>
        <w:rPr>
          <w:rFonts w:eastAsia="SimSun"/>
          <w:caps/>
          <w:color w:val="auto"/>
          <w:sz w:val="22"/>
          <w:szCs w:val="22"/>
          <w:lang w:val="es-ES" w:eastAsia="zh-CN"/>
        </w:rPr>
      </w:pPr>
    </w:p>
    <w:p w:rsidR="00297288" w:rsidRPr="0060122B" w:rsidRDefault="000C0ACC" w:rsidP="00F2764D">
      <w:pPr>
        <w:pStyle w:val="Default"/>
        <w:rPr>
          <w:color w:val="auto"/>
          <w:sz w:val="22"/>
          <w:szCs w:val="22"/>
          <w:lang w:val="es-ES"/>
        </w:rPr>
      </w:pPr>
      <w:r w:rsidRPr="0060122B">
        <w:rPr>
          <w:color w:val="auto"/>
          <w:sz w:val="22"/>
          <w:szCs w:val="22"/>
          <w:lang w:val="es-ES"/>
        </w:rPr>
        <w:t>6</w:t>
      </w:r>
      <w:r w:rsidR="00F2764D" w:rsidRPr="0060122B">
        <w:rPr>
          <w:color w:val="auto"/>
          <w:sz w:val="22"/>
          <w:szCs w:val="22"/>
          <w:lang w:val="es-ES"/>
        </w:rPr>
        <w:t>.</w:t>
      </w:r>
      <w:r w:rsidR="00F2764D" w:rsidRPr="0060122B">
        <w:rPr>
          <w:color w:val="auto"/>
          <w:sz w:val="22"/>
          <w:szCs w:val="22"/>
          <w:lang w:val="es-ES"/>
        </w:rPr>
        <w:tab/>
      </w:r>
      <w:r w:rsidR="00BF096E" w:rsidRPr="0060122B">
        <w:rPr>
          <w:color w:val="auto"/>
          <w:sz w:val="22"/>
          <w:szCs w:val="22"/>
          <w:lang w:val="es-ES"/>
        </w:rPr>
        <w:t>Los documentos relacionados con este punto del orden del día son:  SCCR/27/2 REV., SCCR/27/6, SCCR/30/5, SCCR/31/3, SCCR/32/3, SCCR/33/3, SCCR/33/5 y SCCR/34/3, así como los cuadros y documentos oficiosos preparados en las reuniones anteriores.</w:t>
      </w:r>
    </w:p>
    <w:p w:rsidR="00BF096E" w:rsidRPr="0060122B" w:rsidRDefault="00BF096E" w:rsidP="00F2764D">
      <w:pPr>
        <w:pStyle w:val="Default"/>
        <w:rPr>
          <w:color w:val="auto"/>
          <w:sz w:val="22"/>
          <w:szCs w:val="22"/>
          <w:lang w:val="es-ES"/>
        </w:rPr>
      </w:pPr>
    </w:p>
    <w:p w:rsidR="00BF096E" w:rsidRPr="0060122B" w:rsidRDefault="00297288" w:rsidP="006E6A92">
      <w:pPr>
        <w:pStyle w:val="Default"/>
        <w:rPr>
          <w:rFonts w:eastAsia="Times New Roman"/>
          <w:sz w:val="22"/>
          <w:szCs w:val="22"/>
          <w:lang w:val="es-ES"/>
        </w:rPr>
      </w:pPr>
      <w:r w:rsidRPr="0060122B">
        <w:rPr>
          <w:color w:val="auto"/>
          <w:sz w:val="22"/>
          <w:szCs w:val="22"/>
          <w:lang w:val="es-ES"/>
        </w:rPr>
        <w:t>7.</w:t>
      </w:r>
      <w:r w:rsidRPr="0060122B">
        <w:rPr>
          <w:color w:val="auto"/>
          <w:sz w:val="22"/>
          <w:szCs w:val="22"/>
          <w:lang w:val="es-ES"/>
        </w:rPr>
        <w:tab/>
      </w:r>
      <w:r w:rsidR="00BF096E" w:rsidRPr="0060122B">
        <w:rPr>
          <w:color w:val="auto"/>
          <w:sz w:val="22"/>
          <w:szCs w:val="22"/>
          <w:lang w:val="es-ES"/>
        </w:rPr>
        <w:t xml:space="preserve">En cuanto a la protección de los organismos de radiodifusión, el Comité acogió con agrado la nueva versión del </w:t>
      </w:r>
      <w:r w:rsidR="00BF096E" w:rsidRPr="0060122B">
        <w:rPr>
          <w:i/>
          <w:iCs/>
          <w:color w:val="auto"/>
          <w:sz w:val="22"/>
          <w:szCs w:val="22"/>
          <w:lang w:val="es-ES"/>
        </w:rPr>
        <w:t>Texto consolidado y revisado sobre las definiciones, el objeto de la protección, los derechos que han de concederse y otras cuestiones</w:t>
      </w:r>
      <w:r w:rsidR="00C26C84">
        <w:rPr>
          <w:rFonts w:eastAsia="Times New Roman"/>
          <w:sz w:val="22"/>
          <w:szCs w:val="22"/>
          <w:lang w:val="es-ES"/>
        </w:rPr>
        <w:t xml:space="preserve"> (documento SCCR/34/3).  </w:t>
      </w:r>
      <w:r w:rsidR="00BF096E" w:rsidRPr="0060122B">
        <w:rPr>
          <w:rFonts w:eastAsia="Times New Roman"/>
          <w:sz w:val="22"/>
          <w:szCs w:val="22"/>
          <w:lang w:val="es-ES"/>
        </w:rPr>
        <w:t xml:space="preserve">El Comité examinó el documento SCCR/34/3 y </w:t>
      </w:r>
      <w:r w:rsidR="00C26C84">
        <w:rPr>
          <w:rFonts w:eastAsia="Times New Roman"/>
          <w:sz w:val="22"/>
          <w:szCs w:val="22"/>
          <w:lang w:val="es-ES"/>
        </w:rPr>
        <w:t>formul</w:t>
      </w:r>
      <w:r w:rsidR="00BF096E" w:rsidRPr="0060122B">
        <w:rPr>
          <w:rFonts w:eastAsia="Times New Roman"/>
          <w:sz w:val="22"/>
          <w:szCs w:val="22"/>
          <w:lang w:val="es-ES"/>
        </w:rPr>
        <w:t xml:space="preserve">ó </w:t>
      </w:r>
      <w:r w:rsidR="00C26C84">
        <w:rPr>
          <w:rFonts w:eastAsia="Times New Roman"/>
          <w:sz w:val="22"/>
          <w:szCs w:val="22"/>
          <w:lang w:val="es-ES"/>
        </w:rPr>
        <w:t xml:space="preserve">comentarios y propuestas.  Dichos comentarios y propuestas se consolidaron </w:t>
      </w:r>
      <w:r w:rsidR="00444792">
        <w:rPr>
          <w:rFonts w:eastAsia="Times New Roman"/>
          <w:sz w:val="22"/>
          <w:szCs w:val="22"/>
          <w:lang w:val="es-ES"/>
        </w:rPr>
        <w:t xml:space="preserve">luego </w:t>
      </w:r>
      <w:r w:rsidR="00C26C84">
        <w:rPr>
          <w:rFonts w:eastAsia="Times New Roman"/>
          <w:sz w:val="22"/>
          <w:szCs w:val="22"/>
          <w:lang w:val="es-ES"/>
        </w:rPr>
        <w:t>en un documento de la presidencia,</w:t>
      </w:r>
      <w:r w:rsidR="00BF096E" w:rsidRPr="0060122B">
        <w:rPr>
          <w:rFonts w:eastAsia="Times New Roman"/>
          <w:sz w:val="22"/>
          <w:szCs w:val="22"/>
          <w:lang w:val="es-ES"/>
        </w:rPr>
        <w:t xml:space="preserve"> el </w:t>
      </w:r>
      <w:r w:rsidR="00BF096E" w:rsidRPr="0060122B">
        <w:rPr>
          <w:rFonts w:eastAsia="Times New Roman"/>
          <w:sz w:val="22"/>
          <w:szCs w:val="22"/>
          <w:lang w:val="es-ES"/>
        </w:rPr>
        <w:lastRenderedPageBreak/>
        <w:t>documento SCCR/34/4, en el entendimiento de que el documento SCCR/34/4 está organizado en tres partes distintas con el fin de facilitar las deliberaciones, sin que esa disposición tenga ninguna importancia.</w:t>
      </w:r>
    </w:p>
    <w:p w:rsidR="006E6A92" w:rsidRPr="0060122B" w:rsidRDefault="006E6A92" w:rsidP="006E6A92">
      <w:pPr>
        <w:pStyle w:val="Default"/>
        <w:rPr>
          <w:rFonts w:eastAsia="Times New Roman"/>
          <w:sz w:val="22"/>
          <w:szCs w:val="22"/>
          <w:lang w:val="es-ES"/>
        </w:rPr>
      </w:pPr>
    </w:p>
    <w:p w:rsidR="00BF096E" w:rsidRPr="0060122B" w:rsidRDefault="00830F06" w:rsidP="00BF096E">
      <w:pPr>
        <w:pStyle w:val="Default"/>
        <w:rPr>
          <w:color w:val="auto"/>
          <w:sz w:val="22"/>
          <w:szCs w:val="22"/>
          <w:lang w:val="es-ES"/>
        </w:rPr>
      </w:pPr>
      <w:r w:rsidRPr="0060122B">
        <w:rPr>
          <w:rFonts w:eastAsia="Times New Roman"/>
          <w:sz w:val="22"/>
          <w:szCs w:val="22"/>
          <w:lang w:val="es-ES"/>
        </w:rPr>
        <w:t>8.</w:t>
      </w:r>
      <w:r w:rsidR="006E6A92" w:rsidRPr="0060122B">
        <w:rPr>
          <w:rFonts w:eastAsia="Times New Roman"/>
          <w:sz w:val="22"/>
          <w:szCs w:val="22"/>
          <w:lang w:val="es-ES"/>
        </w:rPr>
        <w:tab/>
      </w:r>
      <w:r w:rsidR="00BF096E" w:rsidRPr="0060122B">
        <w:rPr>
          <w:color w:val="auto"/>
          <w:sz w:val="22"/>
          <w:szCs w:val="22"/>
          <w:lang w:val="es-ES"/>
        </w:rPr>
        <w:t>Este punto se mantendrá en el orden del día de la trigésima quinta sesión del SCCR.</w:t>
      </w:r>
    </w:p>
    <w:p w:rsidR="00F2764D" w:rsidRPr="0060122B" w:rsidRDefault="00F2764D" w:rsidP="00F2764D">
      <w:pPr>
        <w:pStyle w:val="Default"/>
        <w:rPr>
          <w:color w:val="auto"/>
          <w:sz w:val="22"/>
          <w:szCs w:val="22"/>
          <w:lang w:val="es-ES"/>
        </w:rPr>
      </w:pPr>
    </w:p>
    <w:p w:rsidR="00CB017D" w:rsidRPr="0060122B" w:rsidRDefault="00CB017D" w:rsidP="0022363A">
      <w:pPr>
        <w:pStyle w:val="Default"/>
        <w:rPr>
          <w:sz w:val="22"/>
          <w:szCs w:val="22"/>
          <w:lang w:val="es-ES"/>
        </w:rPr>
      </w:pPr>
    </w:p>
    <w:p w:rsidR="00593F55" w:rsidRPr="0060122B" w:rsidRDefault="00593F55" w:rsidP="00593F55">
      <w:pPr>
        <w:rPr>
          <w:b/>
          <w:caps/>
          <w:szCs w:val="22"/>
          <w:lang w:val="es-ES"/>
        </w:rPr>
      </w:pPr>
      <w:r w:rsidRPr="0060122B">
        <w:rPr>
          <w:b/>
          <w:caps/>
          <w:szCs w:val="22"/>
          <w:lang w:val="es-ES"/>
        </w:rPr>
        <w:t>PUNTO 7 DEL ORDEN DEL DÍA:  LIMITACIONES Y EXCEPCIONES PARA BIBLIOTECAS Y ARCHIVOS</w:t>
      </w:r>
    </w:p>
    <w:p w:rsidR="00277EEF" w:rsidRPr="0060122B" w:rsidRDefault="00277EEF" w:rsidP="006A1CD5">
      <w:pPr>
        <w:pStyle w:val="Default"/>
        <w:rPr>
          <w:color w:val="auto"/>
          <w:sz w:val="22"/>
          <w:szCs w:val="22"/>
          <w:lang w:val="es-ES"/>
        </w:rPr>
      </w:pPr>
    </w:p>
    <w:p w:rsidR="006E6A92" w:rsidRPr="0060122B" w:rsidRDefault="00C26C84" w:rsidP="00297288">
      <w:pPr>
        <w:pStyle w:val="Default"/>
        <w:rPr>
          <w:sz w:val="22"/>
          <w:szCs w:val="22"/>
          <w:lang w:val="es-ES"/>
        </w:rPr>
      </w:pPr>
      <w:r>
        <w:rPr>
          <w:color w:val="auto"/>
          <w:sz w:val="22"/>
          <w:szCs w:val="22"/>
          <w:lang w:val="es-ES"/>
        </w:rPr>
        <w:t>9</w:t>
      </w:r>
      <w:r w:rsidR="00277EEF" w:rsidRPr="0060122B">
        <w:rPr>
          <w:color w:val="auto"/>
          <w:sz w:val="22"/>
          <w:szCs w:val="22"/>
          <w:lang w:val="es-ES"/>
        </w:rPr>
        <w:t>.</w:t>
      </w:r>
      <w:r w:rsidR="00277EEF" w:rsidRPr="0060122B">
        <w:rPr>
          <w:color w:val="auto"/>
          <w:sz w:val="22"/>
          <w:szCs w:val="22"/>
          <w:lang w:val="es-ES"/>
        </w:rPr>
        <w:tab/>
      </w:r>
      <w:r w:rsidR="00BF096E" w:rsidRPr="0060122B">
        <w:rPr>
          <w:sz w:val="22"/>
          <w:szCs w:val="22"/>
          <w:lang w:val="es-ES"/>
        </w:rPr>
        <w:t xml:space="preserve">Los documentos relacionados con este punto del orden del día son: </w:t>
      </w:r>
      <w:r w:rsidR="00BF096E" w:rsidRPr="0060122B">
        <w:rPr>
          <w:color w:val="auto"/>
          <w:sz w:val="22"/>
          <w:szCs w:val="22"/>
          <w:lang w:val="es-ES"/>
        </w:rPr>
        <w:t>SCCR/26/3, SCCR/26/8, SCCR/29/4, SCCR/30/2, SCCR/30/3 y SCCR 33/4</w:t>
      </w:r>
      <w:r w:rsidR="00BF096E" w:rsidRPr="0060122B">
        <w:rPr>
          <w:sz w:val="22"/>
          <w:szCs w:val="22"/>
          <w:lang w:val="es-ES"/>
        </w:rPr>
        <w:t xml:space="preserve">, así como un cuadro oficioso preparado </w:t>
      </w:r>
      <w:r>
        <w:rPr>
          <w:sz w:val="22"/>
          <w:szCs w:val="22"/>
          <w:lang w:val="es-ES"/>
        </w:rPr>
        <w:t>para</w:t>
      </w:r>
      <w:r w:rsidR="00BF096E" w:rsidRPr="0060122B">
        <w:rPr>
          <w:sz w:val="22"/>
          <w:szCs w:val="22"/>
          <w:lang w:val="es-ES"/>
        </w:rPr>
        <w:t xml:space="preserve"> una reunión anterior</w:t>
      </w:r>
      <w:r>
        <w:rPr>
          <w:sz w:val="22"/>
          <w:szCs w:val="22"/>
          <w:lang w:val="es-ES"/>
        </w:rPr>
        <w:t>, que llevará la signatura SCCR/34/5 como documento de la presidencia.  El Comité examinó el cuadro oficioso sobre limitaciones y excepciones para bibliotecas y archivos y proseguirá los debates sobre la posibilidad de que pase a ser un documento de trabajo del Comité en la próxima sesión del SCCR</w:t>
      </w:r>
      <w:r w:rsidR="00BF096E" w:rsidRPr="0060122B">
        <w:rPr>
          <w:sz w:val="22"/>
          <w:szCs w:val="22"/>
          <w:lang w:val="es-ES"/>
        </w:rPr>
        <w:t>.</w:t>
      </w:r>
    </w:p>
    <w:p w:rsidR="00F965AB" w:rsidRPr="0060122B" w:rsidRDefault="00F965AB" w:rsidP="00297288">
      <w:pPr>
        <w:pStyle w:val="Default"/>
        <w:rPr>
          <w:sz w:val="22"/>
          <w:szCs w:val="22"/>
          <w:lang w:val="es-ES"/>
        </w:rPr>
      </w:pPr>
    </w:p>
    <w:p w:rsidR="006E6A92" w:rsidRPr="0060122B" w:rsidRDefault="00565A13" w:rsidP="00297288">
      <w:pPr>
        <w:pStyle w:val="Default"/>
        <w:rPr>
          <w:color w:val="auto"/>
          <w:sz w:val="22"/>
          <w:szCs w:val="22"/>
          <w:lang w:val="es-ES"/>
        </w:rPr>
      </w:pPr>
      <w:r w:rsidRPr="0060122B">
        <w:rPr>
          <w:sz w:val="22"/>
          <w:szCs w:val="22"/>
          <w:lang w:val="es-ES"/>
        </w:rPr>
        <w:t>1</w:t>
      </w:r>
      <w:r w:rsidR="00C26C84">
        <w:rPr>
          <w:sz w:val="22"/>
          <w:szCs w:val="22"/>
          <w:lang w:val="es-ES"/>
        </w:rPr>
        <w:t>0</w:t>
      </w:r>
      <w:r w:rsidR="006E6A92" w:rsidRPr="0060122B">
        <w:rPr>
          <w:sz w:val="22"/>
          <w:szCs w:val="22"/>
          <w:lang w:val="es-ES"/>
        </w:rPr>
        <w:t>.</w:t>
      </w:r>
      <w:r w:rsidR="006E6A92" w:rsidRPr="0060122B">
        <w:rPr>
          <w:sz w:val="22"/>
          <w:szCs w:val="22"/>
          <w:lang w:val="es-ES"/>
        </w:rPr>
        <w:tab/>
      </w:r>
      <w:r w:rsidR="0060122B">
        <w:rPr>
          <w:sz w:val="22"/>
          <w:szCs w:val="22"/>
          <w:lang w:val="es-ES"/>
        </w:rPr>
        <w:t>El</w:t>
      </w:r>
      <w:r w:rsidR="00F965AB" w:rsidRPr="0060122B">
        <w:rPr>
          <w:sz w:val="22"/>
          <w:szCs w:val="22"/>
          <w:lang w:val="es-ES"/>
        </w:rPr>
        <w:t xml:space="preserve"> Comité </w:t>
      </w:r>
      <w:r w:rsidR="00C26C84">
        <w:rPr>
          <w:sz w:val="22"/>
          <w:szCs w:val="22"/>
          <w:lang w:val="es-ES"/>
        </w:rPr>
        <w:t xml:space="preserve">acordó actualizar el estudio </w:t>
      </w:r>
      <w:proofErr w:type="spellStart"/>
      <w:r w:rsidR="00C26C84">
        <w:rPr>
          <w:sz w:val="22"/>
          <w:szCs w:val="22"/>
          <w:lang w:val="es-ES"/>
        </w:rPr>
        <w:t>Crews</w:t>
      </w:r>
      <w:proofErr w:type="spellEnd"/>
      <w:r w:rsidR="00C26C84">
        <w:rPr>
          <w:sz w:val="22"/>
          <w:szCs w:val="22"/>
          <w:lang w:val="es-ES"/>
        </w:rPr>
        <w:t xml:space="preserve"> que figura en el documento SCCR/30/3 y seguir recopilando datos e información relativos a las </w:t>
      </w:r>
      <w:r w:rsidR="00444792">
        <w:rPr>
          <w:sz w:val="22"/>
          <w:szCs w:val="22"/>
          <w:lang w:val="es-ES"/>
        </w:rPr>
        <w:t>limitaciones</w:t>
      </w:r>
      <w:r w:rsidR="00C26C84">
        <w:rPr>
          <w:sz w:val="22"/>
          <w:szCs w:val="22"/>
          <w:lang w:val="es-ES"/>
        </w:rPr>
        <w:t xml:space="preserve"> y excepciones para los museos, previéndose presentar los resultados en la próxima sesión del Comité.</w:t>
      </w:r>
    </w:p>
    <w:p w:rsidR="00297288" w:rsidRDefault="00297288" w:rsidP="00297288">
      <w:pPr>
        <w:pStyle w:val="Default"/>
        <w:rPr>
          <w:sz w:val="22"/>
          <w:szCs w:val="22"/>
          <w:lang w:val="es-ES"/>
        </w:rPr>
      </w:pPr>
    </w:p>
    <w:p w:rsidR="00C26C84" w:rsidRDefault="00C26C84" w:rsidP="00297288">
      <w:pPr>
        <w:pStyle w:val="Default"/>
        <w:rPr>
          <w:sz w:val="22"/>
          <w:szCs w:val="22"/>
          <w:lang w:val="es-ES"/>
        </w:rPr>
      </w:pPr>
      <w:r>
        <w:rPr>
          <w:sz w:val="22"/>
          <w:szCs w:val="22"/>
          <w:lang w:val="es-ES"/>
        </w:rPr>
        <w:t>11.</w:t>
      </w:r>
      <w:r>
        <w:rPr>
          <w:sz w:val="22"/>
          <w:szCs w:val="22"/>
          <w:lang w:val="es-ES"/>
        </w:rPr>
        <w:tab/>
        <w:t xml:space="preserve">El Comité solicitó a la Secretaría que proponga un proyecto de plan de acción </w:t>
      </w:r>
      <w:r w:rsidR="00A71421">
        <w:rPr>
          <w:sz w:val="22"/>
          <w:szCs w:val="22"/>
          <w:lang w:val="es-ES"/>
        </w:rPr>
        <w:t xml:space="preserve">sobre </w:t>
      </w:r>
      <w:r>
        <w:rPr>
          <w:sz w:val="22"/>
          <w:szCs w:val="22"/>
          <w:lang w:val="es-ES"/>
        </w:rPr>
        <w:t xml:space="preserve">limitaciones y </w:t>
      </w:r>
      <w:r w:rsidR="00A71421">
        <w:rPr>
          <w:sz w:val="22"/>
          <w:szCs w:val="22"/>
          <w:lang w:val="es-ES"/>
        </w:rPr>
        <w:t>excepciones para bibliotecas y archivos, de manera que el Comité pueda debatir y considerar su aprobación para la labor futura de este Comité en su próxima sesión.</w:t>
      </w:r>
    </w:p>
    <w:p w:rsidR="00C26C84" w:rsidRPr="0060122B" w:rsidRDefault="00C26C84" w:rsidP="00297288">
      <w:pPr>
        <w:pStyle w:val="Default"/>
        <w:rPr>
          <w:sz w:val="22"/>
          <w:szCs w:val="22"/>
          <w:lang w:val="es-ES"/>
        </w:rPr>
      </w:pPr>
    </w:p>
    <w:p w:rsidR="00BF096E" w:rsidRPr="0060122B" w:rsidRDefault="00637787" w:rsidP="00BF096E">
      <w:pPr>
        <w:pStyle w:val="Default"/>
        <w:rPr>
          <w:color w:val="auto"/>
          <w:sz w:val="22"/>
          <w:szCs w:val="22"/>
          <w:lang w:val="es-ES"/>
        </w:rPr>
      </w:pPr>
      <w:r w:rsidRPr="0060122B">
        <w:rPr>
          <w:rFonts w:eastAsia="SimSun"/>
          <w:color w:val="auto"/>
          <w:sz w:val="22"/>
          <w:szCs w:val="22"/>
          <w:lang w:val="es-ES" w:eastAsia="zh-CN"/>
        </w:rPr>
        <w:t>1</w:t>
      </w:r>
      <w:r w:rsidR="00C26C84">
        <w:rPr>
          <w:rFonts w:eastAsia="SimSun"/>
          <w:color w:val="auto"/>
          <w:sz w:val="22"/>
          <w:szCs w:val="22"/>
          <w:lang w:val="es-ES" w:eastAsia="zh-CN"/>
        </w:rPr>
        <w:t>2</w:t>
      </w:r>
      <w:r w:rsidR="0091237B" w:rsidRPr="0060122B">
        <w:rPr>
          <w:rFonts w:eastAsia="SimSun"/>
          <w:color w:val="auto"/>
          <w:sz w:val="22"/>
          <w:szCs w:val="22"/>
          <w:lang w:val="es-ES" w:eastAsia="zh-CN"/>
        </w:rPr>
        <w:t>.</w:t>
      </w:r>
      <w:r w:rsidR="0091237B" w:rsidRPr="0060122B">
        <w:rPr>
          <w:rFonts w:eastAsia="SimSun"/>
          <w:color w:val="auto"/>
          <w:sz w:val="22"/>
          <w:szCs w:val="22"/>
          <w:lang w:val="es-ES" w:eastAsia="zh-CN"/>
        </w:rPr>
        <w:tab/>
      </w:r>
      <w:r w:rsidR="00BF096E" w:rsidRPr="0060122B">
        <w:rPr>
          <w:color w:val="auto"/>
          <w:sz w:val="22"/>
          <w:szCs w:val="22"/>
          <w:lang w:val="es-ES"/>
        </w:rPr>
        <w:t>Este punto se mantendrá en el orden del día de la trigésima quinta sesión del SCCR.</w:t>
      </w:r>
    </w:p>
    <w:p w:rsidR="008828EE" w:rsidRPr="0060122B" w:rsidRDefault="008828EE">
      <w:pPr>
        <w:rPr>
          <w:szCs w:val="22"/>
          <w:lang w:val="es-ES"/>
        </w:rPr>
      </w:pPr>
    </w:p>
    <w:p w:rsidR="002535B0" w:rsidRPr="0060122B" w:rsidRDefault="002535B0">
      <w:pPr>
        <w:rPr>
          <w:caps/>
          <w:szCs w:val="22"/>
          <w:lang w:val="es-ES"/>
        </w:rPr>
      </w:pPr>
    </w:p>
    <w:p w:rsidR="00830F06" w:rsidRPr="0060122B" w:rsidRDefault="00830F06" w:rsidP="00830F06">
      <w:pPr>
        <w:rPr>
          <w:b/>
          <w:caps/>
          <w:szCs w:val="22"/>
          <w:lang w:val="es-ES"/>
        </w:rPr>
      </w:pPr>
      <w:r w:rsidRPr="0060122B">
        <w:rPr>
          <w:b/>
          <w:caps/>
          <w:szCs w:val="22"/>
          <w:lang w:val="es-ES"/>
        </w:rPr>
        <w:t>PUNTO 8 DEL ORDEN DEL DÍA:  Limitaciones y excepciones para instituciones docentes y de investigación y para personas con otras discapacidades</w:t>
      </w:r>
    </w:p>
    <w:p w:rsidR="00830F06" w:rsidRPr="0060122B" w:rsidRDefault="00830F06" w:rsidP="00830F06">
      <w:pPr>
        <w:rPr>
          <w:szCs w:val="22"/>
          <w:lang w:val="es-ES"/>
        </w:rPr>
      </w:pPr>
    </w:p>
    <w:p w:rsidR="00830F06" w:rsidRPr="0060122B" w:rsidRDefault="00C26C84" w:rsidP="00830F06">
      <w:pPr>
        <w:pStyle w:val="Default"/>
        <w:rPr>
          <w:color w:val="auto"/>
          <w:sz w:val="22"/>
          <w:szCs w:val="22"/>
          <w:lang w:val="es-ES"/>
        </w:rPr>
      </w:pPr>
      <w:r>
        <w:rPr>
          <w:color w:val="auto"/>
          <w:sz w:val="22"/>
          <w:szCs w:val="22"/>
          <w:lang w:val="es-ES"/>
        </w:rPr>
        <w:t>1</w:t>
      </w:r>
      <w:r w:rsidR="00A71421">
        <w:rPr>
          <w:color w:val="auto"/>
          <w:sz w:val="22"/>
          <w:szCs w:val="22"/>
          <w:lang w:val="es-ES"/>
        </w:rPr>
        <w:t>3</w:t>
      </w:r>
      <w:r w:rsidR="00830F06" w:rsidRPr="0060122B">
        <w:rPr>
          <w:color w:val="auto"/>
          <w:sz w:val="22"/>
          <w:szCs w:val="22"/>
          <w:lang w:val="es-ES"/>
        </w:rPr>
        <w:t>.</w:t>
      </w:r>
      <w:r w:rsidR="00830F06" w:rsidRPr="0060122B">
        <w:rPr>
          <w:color w:val="auto"/>
          <w:sz w:val="22"/>
          <w:szCs w:val="22"/>
          <w:lang w:val="es-ES"/>
        </w:rPr>
        <w:tab/>
        <w:t>Los documentos relacionados con este punto del orden del día son</w:t>
      </w:r>
      <w:proofErr w:type="gramStart"/>
      <w:r w:rsidR="00830F06" w:rsidRPr="0060122B">
        <w:rPr>
          <w:color w:val="auto"/>
          <w:sz w:val="22"/>
          <w:szCs w:val="22"/>
          <w:lang w:val="es-ES"/>
        </w:rPr>
        <w:t>:  SCCR</w:t>
      </w:r>
      <w:proofErr w:type="gramEnd"/>
      <w:r w:rsidR="00830F06" w:rsidRPr="0060122B">
        <w:rPr>
          <w:color w:val="auto"/>
          <w:sz w:val="22"/>
          <w:szCs w:val="22"/>
          <w:lang w:val="es-ES"/>
        </w:rPr>
        <w:t>/26/4 PROV., SCCR/27/8, SCCR 32/4, SCCR 33/4 y SCCR 33/6, así como un cuadro oficioso preparado para una sesión anterior</w:t>
      </w:r>
      <w:r w:rsidR="00A71421">
        <w:rPr>
          <w:color w:val="auto"/>
          <w:sz w:val="22"/>
          <w:szCs w:val="22"/>
          <w:lang w:val="es-ES"/>
        </w:rPr>
        <w:t xml:space="preserve">, </w:t>
      </w:r>
      <w:r w:rsidR="00A71421">
        <w:rPr>
          <w:sz w:val="22"/>
          <w:szCs w:val="22"/>
          <w:lang w:val="es-ES"/>
        </w:rPr>
        <w:t>que llevará la signatura SCCR/34/6 como documento de la presidencia.  El Comité examinó el cuadro oficioso sobre limitaciones y excepciones para instituciones docentes y de investigación y proseguirá los debates sobre la posibilidad de que pase a ser un documento de trabajo del Comité en la próxima sesión del SCCR</w:t>
      </w:r>
      <w:r w:rsidR="00A71421" w:rsidRPr="0060122B">
        <w:rPr>
          <w:sz w:val="22"/>
          <w:szCs w:val="22"/>
          <w:lang w:val="es-ES"/>
        </w:rPr>
        <w:t>.</w:t>
      </w:r>
    </w:p>
    <w:p w:rsidR="00830F06" w:rsidRPr="0060122B" w:rsidRDefault="00830F06" w:rsidP="00830F06">
      <w:pPr>
        <w:pStyle w:val="Default"/>
        <w:rPr>
          <w:color w:val="auto"/>
          <w:sz w:val="22"/>
          <w:szCs w:val="22"/>
          <w:lang w:val="es-ES"/>
        </w:rPr>
      </w:pPr>
    </w:p>
    <w:p w:rsidR="00830F06" w:rsidRPr="0060122B" w:rsidRDefault="00C26C84" w:rsidP="00830F06">
      <w:pPr>
        <w:pStyle w:val="Default"/>
        <w:rPr>
          <w:color w:val="auto"/>
          <w:sz w:val="22"/>
          <w:szCs w:val="22"/>
          <w:lang w:val="es-ES"/>
        </w:rPr>
      </w:pPr>
      <w:r>
        <w:rPr>
          <w:color w:val="auto"/>
          <w:sz w:val="22"/>
          <w:szCs w:val="22"/>
          <w:lang w:val="es-ES"/>
        </w:rPr>
        <w:t>1</w:t>
      </w:r>
      <w:r w:rsidR="00A71421">
        <w:rPr>
          <w:color w:val="auto"/>
          <w:sz w:val="22"/>
          <w:szCs w:val="22"/>
          <w:lang w:val="es-ES"/>
        </w:rPr>
        <w:t>4</w:t>
      </w:r>
      <w:r w:rsidR="00830F06" w:rsidRPr="0060122B">
        <w:rPr>
          <w:color w:val="auto"/>
          <w:sz w:val="22"/>
          <w:szCs w:val="22"/>
          <w:lang w:val="es-ES"/>
        </w:rPr>
        <w:t>.</w:t>
      </w:r>
      <w:r w:rsidR="00830F06" w:rsidRPr="0060122B">
        <w:rPr>
          <w:color w:val="auto"/>
          <w:sz w:val="22"/>
          <w:szCs w:val="22"/>
          <w:lang w:val="es-ES"/>
        </w:rPr>
        <w:tab/>
        <w:t>El Comité escuchó con sumo interés una ponencia sobre la situación de una actualización, que está preparando el Profesor Daniel Seng, del Estudio sobre las limitaciones y excepciones en materia de derecho de autor relacionadas con las actividades docentes, que figura en el documento SCCR/33/6.  El Comité también escuchó con sumo interés una ponencia sobre el avance del estudio exploratorio sobre las limitaciones y excepciones en favor de las personas con discapacidades distintas de la discapacidad para acceder al texto impreso, y una descripción del cuestionario que ha sido distribuido entre los Estados miembros.  Presentaron la ponencia la Profesora Caroline Ncube de la Universidad de Ciudad del Cabo, el Profesor Blake Reid y estudiantes de abogacía de la Universidad de Colorado.  Una vez finalizados, los dos estudios se presentarán en la trigésima quinta sesión del SCCR.</w:t>
      </w:r>
    </w:p>
    <w:p w:rsidR="00830F06" w:rsidRPr="0060122B" w:rsidRDefault="00830F06" w:rsidP="00830F06">
      <w:pPr>
        <w:pStyle w:val="Default"/>
        <w:rPr>
          <w:color w:val="auto"/>
          <w:sz w:val="22"/>
          <w:szCs w:val="22"/>
          <w:lang w:val="es-ES"/>
        </w:rPr>
      </w:pPr>
    </w:p>
    <w:p w:rsidR="00830F06" w:rsidRPr="0060122B" w:rsidRDefault="00830F06" w:rsidP="00830F06">
      <w:pPr>
        <w:pStyle w:val="Default"/>
        <w:rPr>
          <w:color w:val="auto"/>
          <w:sz w:val="22"/>
          <w:szCs w:val="22"/>
          <w:lang w:val="es-ES"/>
        </w:rPr>
      </w:pPr>
      <w:r w:rsidRPr="0060122B">
        <w:rPr>
          <w:color w:val="auto"/>
          <w:sz w:val="22"/>
          <w:szCs w:val="22"/>
          <w:lang w:val="es-ES"/>
        </w:rPr>
        <w:t>15.</w:t>
      </w:r>
      <w:r w:rsidRPr="0060122B">
        <w:rPr>
          <w:color w:val="auto"/>
          <w:sz w:val="22"/>
          <w:szCs w:val="22"/>
          <w:lang w:val="es-ES"/>
        </w:rPr>
        <w:tab/>
        <w:t xml:space="preserve">El Comité escuchó con sumo interés una ponencia presentada por la directora general adjunta Sylvie Forbin sobre el proyecto relativo a </w:t>
      </w:r>
      <w:r w:rsidRPr="0060122B">
        <w:rPr>
          <w:i/>
          <w:color w:val="auto"/>
          <w:sz w:val="22"/>
          <w:szCs w:val="22"/>
          <w:lang w:val="es-ES"/>
        </w:rPr>
        <w:t>Facilitar el acceso a material educativo y módulos de enseñanza</w:t>
      </w:r>
      <w:r w:rsidRPr="0060122B">
        <w:rPr>
          <w:color w:val="auto"/>
          <w:sz w:val="22"/>
          <w:szCs w:val="22"/>
          <w:lang w:val="es-ES"/>
        </w:rPr>
        <w:t xml:space="preserve"> y el cuestionario conexo que ha sido distribuido entre los Estados miembros de la OMPI.</w:t>
      </w:r>
    </w:p>
    <w:p w:rsidR="00830F06" w:rsidRPr="0060122B" w:rsidRDefault="00830F06" w:rsidP="00830F06">
      <w:pPr>
        <w:pStyle w:val="Default"/>
        <w:rPr>
          <w:color w:val="auto"/>
          <w:sz w:val="22"/>
          <w:szCs w:val="22"/>
          <w:lang w:val="es-ES"/>
        </w:rPr>
      </w:pPr>
    </w:p>
    <w:p w:rsidR="00830F06" w:rsidRPr="0060122B" w:rsidRDefault="0060122B" w:rsidP="00830F06">
      <w:pPr>
        <w:pStyle w:val="Default"/>
        <w:rPr>
          <w:color w:val="auto"/>
          <w:sz w:val="22"/>
          <w:szCs w:val="22"/>
          <w:lang w:val="es-ES"/>
        </w:rPr>
      </w:pPr>
      <w:r>
        <w:rPr>
          <w:color w:val="auto"/>
          <w:sz w:val="22"/>
          <w:szCs w:val="22"/>
          <w:lang w:val="es-ES"/>
        </w:rPr>
        <w:t>16.</w:t>
      </w:r>
      <w:r w:rsidR="00830F06" w:rsidRPr="0060122B">
        <w:rPr>
          <w:color w:val="auto"/>
          <w:sz w:val="22"/>
          <w:szCs w:val="22"/>
          <w:lang w:val="es-ES"/>
        </w:rPr>
        <w:tab/>
      </w:r>
      <w:r w:rsidR="00A71421">
        <w:rPr>
          <w:sz w:val="22"/>
          <w:szCs w:val="22"/>
          <w:lang w:val="es-ES"/>
        </w:rPr>
        <w:t xml:space="preserve">El Comité solicitó a la Secretaría que proponga un proyecto de plan de acción sobre limitaciones y excepciones para </w:t>
      </w:r>
      <w:r w:rsidR="00A71421" w:rsidRPr="00A71421">
        <w:rPr>
          <w:sz w:val="22"/>
          <w:szCs w:val="22"/>
          <w:lang w:val="es-ES"/>
        </w:rPr>
        <w:t>instituciones docentes y de investigación y para personas con otras discapacidades</w:t>
      </w:r>
      <w:r w:rsidR="00A71421">
        <w:rPr>
          <w:sz w:val="22"/>
          <w:szCs w:val="22"/>
          <w:lang w:val="es-ES"/>
        </w:rPr>
        <w:t>, de manera que el Comité pueda debatir y considerar su aprobación para la labor futura de este Comité en su próxima sesión.</w:t>
      </w:r>
    </w:p>
    <w:p w:rsidR="00830F06" w:rsidRPr="0060122B" w:rsidRDefault="00830F06" w:rsidP="00830F06">
      <w:pPr>
        <w:pStyle w:val="Default"/>
        <w:rPr>
          <w:color w:val="auto"/>
          <w:sz w:val="22"/>
          <w:szCs w:val="22"/>
          <w:lang w:val="es-ES"/>
        </w:rPr>
      </w:pPr>
    </w:p>
    <w:p w:rsidR="00830F06" w:rsidRPr="0060122B" w:rsidRDefault="00830F06" w:rsidP="0060122B">
      <w:pPr>
        <w:rPr>
          <w:szCs w:val="22"/>
          <w:lang w:val="es-ES"/>
        </w:rPr>
      </w:pPr>
      <w:r w:rsidRPr="0060122B">
        <w:rPr>
          <w:szCs w:val="22"/>
          <w:lang w:val="es-ES"/>
        </w:rPr>
        <w:t>17.</w:t>
      </w:r>
      <w:r w:rsidRPr="0060122B">
        <w:rPr>
          <w:szCs w:val="22"/>
          <w:lang w:val="es-ES"/>
        </w:rPr>
        <w:tab/>
        <w:t>Este punto se mantendrá en el orden del día de la trigésima quinta</w:t>
      </w:r>
      <w:r w:rsidR="0060122B">
        <w:rPr>
          <w:szCs w:val="22"/>
          <w:lang w:val="es-ES"/>
        </w:rPr>
        <w:t xml:space="preserve"> </w:t>
      </w:r>
      <w:r w:rsidRPr="0060122B">
        <w:rPr>
          <w:szCs w:val="22"/>
          <w:lang w:val="es-ES"/>
        </w:rPr>
        <w:t>sesión del SCCR.</w:t>
      </w:r>
    </w:p>
    <w:p w:rsidR="00830F06" w:rsidRPr="0060122B" w:rsidRDefault="00830F06" w:rsidP="00830F06">
      <w:pPr>
        <w:pStyle w:val="Default"/>
        <w:rPr>
          <w:color w:val="auto"/>
          <w:sz w:val="22"/>
          <w:szCs w:val="22"/>
          <w:lang w:val="es-ES"/>
        </w:rPr>
      </w:pPr>
    </w:p>
    <w:p w:rsidR="00830F06" w:rsidRPr="0060122B" w:rsidRDefault="00830F06" w:rsidP="0060122B">
      <w:pPr>
        <w:pStyle w:val="Default"/>
        <w:rPr>
          <w:color w:val="auto"/>
          <w:sz w:val="22"/>
          <w:szCs w:val="22"/>
          <w:lang w:val="es-ES"/>
        </w:rPr>
      </w:pPr>
    </w:p>
    <w:p w:rsidR="00830F06" w:rsidRPr="0060122B" w:rsidRDefault="00830F06" w:rsidP="0060122B">
      <w:pPr>
        <w:rPr>
          <w:b/>
          <w:caps/>
          <w:szCs w:val="22"/>
          <w:lang w:val="es-ES"/>
        </w:rPr>
      </w:pPr>
      <w:r w:rsidRPr="0060122B">
        <w:rPr>
          <w:b/>
          <w:caps/>
          <w:szCs w:val="22"/>
          <w:lang w:val="es-ES"/>
        </w:rPr>
        <w:t>PUNTO 9 DEL ORDEN DEL DÍA:  Otros asuntos</w:t>
      </w:r>
    </w:p>
    <w:p w:rsidR="00830F06" w:rsidRPr="0060122B" w:rsidRDefault="00830F06" w:rsidP="0060122B">
      <w:pPr>
        <w:rPr>
          <w:rFonts w:eastAsiaTheme="minorHAnsi"/>
          <w:szCs w:val="22"/>
          <w:lang w:val="es-ES" w:eastAsia="en-US"/>
        </w:rPr>
      </w:pPr>
    </w:p>
    <w:p w:rsidR="00830F06" w:rsidRPr="0060122B" w:rsidRDefault="00830F06" w:rsidP="00830F06">
      <w:pPr>
        <w:rPr>
          <w:rFonts w:eastAsiaTheme="minorHAnsi"/>
          <w:szCs w:val="22"/>
          <w:lang w:val="es-ES" w:eastAsia="en-US"/>
        </w:rPr>
      </w:pPr>
      <w:r w:rsidRPr="0060122B">
        <w:rPr>
          <w:rFonts w:eastAsiaTheme="minorHAnsi"/>
          <w:szCs w:val="22"/>
          <w:lang w:val="es-ES" w:eastAsia="en-US"/>
        </w:rPr>
        <w:t>18.</w:t>
      </w:r>
      <w:r w:rsidRPr="0060122B">
        <w:rPr>
          <w:rFonts w:eastAsiaTheme="minorHAnsi"/>
          <w:szCs w:val="22"/>
          <w:lang w:val="es-ES" w:eastAsia="en-US"/>
        </w:rPr>
        <w:tab/>
        <w:t>Los documentos relacionados con este punto del orden del día son:  SCCR/31/4 y SCCR/31/5.</w:t>
      </w:r>
    </w:p>
    <w:p w:rsidR="00830F06" w:rsidRPr="0060122B" w:rsidRDefault="00830F06" w:rsidP="00830F06">
      <w:pPr>
        <w:rPr>
          <w:rFonts w:eastAsiaTheme="minorHAnsi"/>
          <w:szCs w:val="22"/>
          <w:lang w:val="es-ES" w:eastAsia="en-US"/>
        </w:rPr>
      </w:pPr>
    </w:p>
    <w:p w:rsidR="00830F06" w:rsidRPr="0060122B" w:rsidRDefault="00830F06" w:rsidP="00830F06">
      <w:pPr>
        <w:rPr>
          <w:rFonts w:eastAsiaTheme="minorHAnsi"/>
          <w:szCs w:val="22"/>
          <w:lang w:val="es-ES" w:eastAsia="en-US"/>
        </w:rPr>
      </w:pPr>
      <w:r w:rsidRPr="0060122B">
        <w:rPr>
          <w:rFonts w:eastAsiaTheme="minorHAnsi"/>
          <w:szCs w:val="22"/>
          <w:lang w:val="es-ES" w:eastAsia="en-US"/>
        </w:rPr>
        <w:t>19.</w:t>
      </w:r>
      <w:r w:rsidRPr="0060122B">
        <w:rPr>
          <w:rFonts w:eastAsiaTheme="minorHAnsi"/>
          <w:szCs w:val="22"/>
          <w:lang w:val="es-ES" w:eastAsia="en-US"/>
        </w:rPr>
        <w:tab/>
        <w:t xml:space="preserve">Por lo que respecta al </w:t>
      </w:r>
      <w:r w:rsidR="00A71421" w:rsidRPr="0060122B">
        <w:rPr>
          <w:rFonts w:eastAsiaTheme="minorHAnsi"/>
          <w:szCs w:val="22"/>
          <w:lang w:val="es-ES" w:eastAsia="en-US"/>
        </w:rPr>
        <w:t xml:space="preserve">Análisis </w:t>
      </w:r>
      <w:r w:rsidRPr="0060122B">
        <w:rPr>
          <w:rFonts w:eastAsiaTheme="minorHAnsi"/>
          <w:szCs w:val="22"/>
          <w:lang w:val="es-ES" w:eastAsia="en-US"/>
        </w:rPr>
        <w:t>del derecho de autor en el entorno digital, el Comité tomó nota de la presentación de la metodología y del informe preliminar acerca del estudio exploratorio sobre la repercusión del desarrollo tecnológico en la evolución de los marcos jurídicos nacionales en los últimos diez años presentado por la Sra. Guilda Rostama.  El Comité tomó nota asimismo del resumen del Profesor Pierre Sirinelli acerca del intercambio de ideas realizado en el marco del proceso de preparación del estudio exploratorio.  Una vez finalizado, el estudio exploratorio se presentará en la trigésima quinta sesión del</w:t>
      </w:r>
      <w:r w:rsidRPr="0060122B">
        <w:rPr>
          <w:szCs w:val="22"/>
          <w:lang w:val="es-ES"/>
        </w:rPr>
        <w:t> SCCR.</w:t>
      </w:r>
    </w:p>
    <w:p w:rsidR="00830F06" w:rsidRPr="0060122B" w:rsidRDefault="00830F06" w:rsidP="00830F06">
      <w:pPr>
        <w:rPr>
          <w:rFonts w:eastAsiaTheme="minorHAnsi"/>
          <w:szCs w:val="22"/>
          <w:lang w:val="es-ES" w:eastAsia="en-US"/>
        </w:rPr>
      </w:pPr>
    </w:p>
    <w:p w:rsidR="00830F06" w:rsidRPr="00A71421" w:rsidRDefault="00830F06" w:rsidP="00830F06">
      <w:pPr>
        <w:rPr>
          <w:rFonts w:eastAsiaTheme="minorHAnsi"/>
          <w:szCs w:val="22"/>
          <w:lang w:val="es-ES" w:eastAsia="en-US"/>
        </w:rPr>
      </w:pPr>
      <w:r w:rsidRPr="0060122B">
        <w:rPr>
          <w:szCs w:val="22"/>
          <w:lang w:val="es-ES"/>
        </w:rPr>
        <w:t>20.</w:t>
      </w:r>
      <w:r w:rsidRPr="0060122B">
        <w:rPr>
          <w:szCs w:val="22"/>
          <w:lang w:val="es-ES"/>
        </w:rPr>
        <w:tab/>
      </w:r>
      <w:r w:rsidR="00A71421">
        <w:rPr>
          <w:rFonts w:eastAsiaTheme="minorHAnsi"/>
          <w:szCs w:val="22"/>
          <w:lang w:val="es-ES" w:eastAsia="en-US"/>
        </w:rPr>
        <w:t xml:space="preserve">Algunos </w:t>
      </w:r>
      <w:r w:rsidRPr="0060122B">
        <w:rPr>
          <w:szCs w:val="22"/>
          <w:lang w:val="es-ES"/>
        </w:rPr>
        <w:t xml:space="preserve">miembros y observadores pidieron que se apruebe el </w:t>
      </w:r>
      <w:r w:rsidR="00A71421" w:rsidRPr="0060122B">
        <w:rPr>
          <w:szCs w:val="22"/>
          <w:lang w:val="es-ES"/>
        </w:rPr>
        <w:t xml:space="preserve">Análisis </w:t>
      </w:r>
      <w:r w:rsidRPr="0060122B">
        <w:rPr>
          <w:szCs w:val="22"/>
          <w:lang w:val="es-ES"/>
        </w:rPr>
        <w:t>del derecho de autor en el entorno digital como punto permanente del orden del día del SCCR.</w:t>
      </w:r>
      <w:r w:rsidR="00A71421">
        <w:rPr>
          <w:szCs w:val="22"/>
          <w:lang w:val="es-ES"/>
        </w:rPr>
        <w:t xml:space="preserve">  Por su parte, otros miembros </w:t>
      </w:r>
      <w:r w:rsidR="00444792">
        <w:rPr>
          <w:szCs w:val="22"/>
          <w:lang w:val="es-ES"/>
        </w:rPr>
        <w:t>lo consideraron inn</w:t>
      </w:r>
      <w:r w:rsidR="00A71421">
        <w:rPr>
          <w:szCs w:val="22"/>
          <w:lang w:val="es-ES"/>
        </w:rPr>
        <w:t>ecesario.</w:t>
      </w:r>
    </w:p>
    <w:p w:rsidR="007B2478" w:rsidRPr="0060122B" w:rsidRDefault="007B2478" w:rsidP="007B2478">
      <w:pPr>
        <w:rPr>
          <w:szCs w:val="22"/>
          <w:lang w:val="es-ES"/>
        </w:rPr>
      </w:pPr>
    </w:p>
    <w:p w:rsidR="00830F06" w:rsidRPr="0060122B" w:rsidRDefault="00830F06" w:rsidP="00830F06">
      <w:pPr>
        <w:rPr>
          <w:szCs w:val="22"/>
          <w:lang w:val="es-ES"/>
        </w:rPr>
      </w:pPr>
      <w:r w:rsidRPr="0060122B">
        <w:rPr>
          <w:rFonts w:eastAsiaTheme="minorHAnsi"/>
          <w:szCs w:val="22"/>
          <w:lang w:val="es-ES" w:eastAsia="en-US"/>
        </w:rPr>
        <w:t>2</w:t>
      </w:r>
      <w:r w:rsidR="00A71421">
        <w:rPr>
          <w:rFonts w:eastAsiaTheme="minorHAnsi"/>
          <w:szCs w:val="22"/>
          <w:lang w:val="es-ES" w:eastAsia="en-US"/>
        </w:rPr>
        <w:t>1</w:t>
      </w:r>
      <w:r w:rsidRPr="0060122B">
        <w:rPr>
          <w:rFonts w:eastAsiaTheme="minorHAnsi"/>
          <w:szCs w:val="22"/>
          <w:lang w:val="es-ES" w:eastAsia="en-US"/>
        </w:rPr>
        <w:t>.</w:t>
      </w:r>
      <w:r w:rsidRPr="0060122B">
        <w:rPr>
          <w:rFonts w:eastAsiaTheme="minorHAnsi"/>
          <w:szCs w:val="22"/>
          <w:lang w:val="es-ES" w:eastAsia="en-US"/>
        </w:rPr>
        <w:tab/>
        <w:t xml:space="preserve">En relación con el tema del derecho de participación en las reventas, el Comité dijo que se congratula por la celebración de la Conferencia Internacional sobre el Derecho de Participación en las Reventas, que tuvo lugar en la sede de la OMPI el 28 de abril de 2017.  El Comité tomó nota del resumen de la conferencia y del informe sobre los progresos realizados en el estudio en curso sobre las consecuencias económicas del derecho de participación en las reventas, presentado por la profesora </w:t>
      </w:r>
      <w:proofErr w:type="spellStart"/>
      <w:r w:rsidRPr="0060122B">
        <w:rPr>
          <w:rFonts w:eastAsiaTheme="minorHAnsi"/>
          <w:szCs w:val="22"/>
          <w:lang w:val="es-ES" w:eastAsia="en-US"/>
        </w:rPr>
        <w:t>Kathryn</w:t>
      </w:r>
      <w:proofErr w:type="spellEnd"/>
      <w:r w:rsidRPr="0060122B">
        <w:rPr>
          <w:rFonts w:eastAsiaTheme="minorHAnsi"/>
          <w:szCs w:val="22"/>
          <w:lang w:val="es-ES" w:eastAsia="en-US"/>
        </w:rPr>
        <w:t xml:space="preserve"> </w:t>
      </w:r>
      <w:proofErr w:type="spellStart"/>
      <w:r w:rsidRPr="0060122B">
        <w:rPr>
          <w:rFonts w:eastAsiaTheme="minorHAnsi"/>
          <w:szCs w:val="22"/>
          <w:lang w:val="es-ES" w:eastAsia="en-US"/>
        </w:rPr>
        <w:t>Graddy</w:t>
      </w:r>
      <w:proofErr w:type="spellEnd"/>
      <w:r w:rsidRPr="0060122B">
        <w:rPr>
          <w:szCs w:val="22"/>
          <w:lang w:val="es-ES"/>
        </w:rPr>
        <w:t xml:space="preserve">.  El estudio finalizado será presentado en la 35ª sesión del SCCR. </w:t>
      </w:r>
    </w:p>
    <w:p w:rsidR="00830F06" w:rsidRPr="0060122B" w:rsidRDefault="00830F06" w:rsidP="00830F06">
      <w:pPr>
        <w:rPr>
          <w:szCs w:val="22"/>
          <w:lang w:val="es-ES"/>
        </w:rPr>
      </w:pPr>
    </w:p>
    <w:p w:rsidR="00830F06" w:rsidRPr="0060122B" w:rsidRDefault="00830F06" w:rsidP="00830F06">
      <w:pPr>
        <w:rPr>
          <w:szCs w:val="22"/>
          <w:lang w:val="es-ES"/>
        </w:rPr>
      </w:pPr>
      <w:r w:rsidRPr="0060122B">
        <w:rPr>
          <w:szCs w:val="22"/>
          <w:lang w:val="es-ES"/>
        </w:rPr>
        <w:t>2</w:t>
      </w:r>
      <w:r w:rsidR="00A71421">
        <w:rPr>
          <w:szCs w:val="22"/>
          <w:lang w:val="es-ES"/>
        </w:rPr>
        <w:t>2</w:t>
      </w:r>
      <w:r w:rsidRPr="0060122B">
        <w:rPr>
          <w:szCs w:val="22"/>
          <w:lang w:val="es-ES"/>
        </w:rPr>
        <w:t>.</w:t>
      </w:r>
      <w:r w:rsidRPr="0060122B">
        <w:rPr>
          <w:szCs w:val="22"/>
          <w:lang w:val="es-ES"/>
        </w:rPr>
        <w:tab/>
      </w:r>
      <w:r w:rsidR="00A71421">
        <w:rPr>
          <w:rFonts w:eastAsiaTheme="minorHAnsi"/>
          <w:szCs w:val="22"/>
          <w:lang w:val="es-ES" w:eastAsia="en-US"/>
        </w:rPr>
        <w:t xml:space="preserve">Algunos </w:t>
      </w:r>
      <w:r w:rsidR="00A71421" w:rsidRPr="0060122B">
        <w:rPr>
          <w:szCs w:val="22"/>
          <w:lang w:val="es-ES"/>
        </w:rPr>
        <w:t xml:space="preserve">miembros y observadores </w:t>
      </w:r>
      <w:r w:rsidRPr="0060122B">
        <w:rPr>
          <w:szCs w:val="22"/>
          <w:lang w:val="es-ES"/>
        </w:rPr>
        <w:t>pidieron que se apruebe el derecho de participación en las reventas como punto permanente en el orden del día del SCCR.</w:t>
      </w:r>
      <w:r w:rsidR="00A71421">
        <w:rPr>
          <w:szCs w:val="22"/>
          <w:lang w:val="es-ES"/>
        </w:rPr>
        <w:t xml:space="preserve">  Por su parte, otros miembros </w:t>
      </w:r>
      <w:r w:rsidR="00444792">
        <w:rPr>
          <w:szCs w:val="22"/>
          <w:lang w:val="es-ES"/>
        </w:rPr>
        <w:t>lo consideraron in</w:t>
      </w:r>
      <w:r w:rsidR="00A71421">
        <w:rPr>
          <w:szCs w:val="22"/>
          <w:lang w:val="es-ES"/>
        </w:rPr>
        <w:t>necesario.</w:t>
      </w:r>
    </w:p>
    <w:p w:rsidR="00830F06" w:rsidRDefault="00830F06" w:rsidP="00830F06">
      <w:pPr>
        <w:rPr>
          <w:szCs w:val="22"/>
          <w:lang w:val="es-ES"/>
        </w:rPr>
      </w:pPr>
    </w:p>
    <w:p w:rsidR="00036134" w:rsidRDefault="00036134" w:rsidP="00830F06">
      <w:pPr>
        <w:rPr>
          <w:szCs w:val="22"/>
          <w:lang w:val="es-ES"/>
        </w:rPr>
      </w:pPr>
      <w:r>
        <w:rPr>
          <w:szCs w:val="22"/>
          <w:lang w:val="es-ES"/>
        </w:rPr>
        <w:t>23.</w:t>
      </w:r>
      <w:r>
        <w:rPr>
          <w:szCs w:val="22"/>
          <w:lang w:val="es-ES"/>
        </w:rPr>
        <w:tab/>
        <w:t>Esos dos temas se mantendrán en el marco de este punto del orden del día de la trigésima quinta sesión del SCCR.</w:t>
      </w:r>
    </w:p>
    <w:p w:rsidR="00036134" w:rsidRPr="0060122B" w:rsidRDefault="00036134" w:rsidP="00830F06">
      <w:pPr>
        <w:rPr>
          <w:szCs w:val="22"/>
          <w:lang w:val="es-ES"/>
        </w:rPr>
      </w:pPr>
    </w:p>
    <w:p w:rsidR="00830F06" w:rsidRPr="0060122B" w:rsidRDefault="00830F06" w:rsidP="00830F06">
      <w:pPr>
        <w:rPr>
          <w:szCs w:val="22"/>
          <w:lang w:val="es-ES"/>
        </w:rPr>
      </w:pPr>
      <w:r w:rsidRPr="0060122B">
        <w:rPr>
          <w:szCs w:val="22"/>
          <w:lang w:val="es-ES"/>
        </w:rPr>
        <w:t>24.</w:t>
      </w:r>
      <w:r w:rsidRPr="0060122B">
        <w:rPr>
          <w:szCs w:val="22"/>
          <w:lang w:val="es-ES"/>
        </w:rPr>
        <w:tab/>
        <w:t xml:space="preserve">El Comité </w:t>
      </w:r>
      <w:r w:rsidR="00036134">
        <w:rPr>
          <w:szCs w:val="22"/>
          <w:lang w:val="es-ES"/>
        </w:rPr>
        <w:t xml:space="preserve">también </w:t>
      </w:r>
      <w:r w:rsidRPr="0060122B">
        <w:rPr>
          <w:szCs w:val="22"/>
          <w:lang w:val="es-ES"/>
        </w:rPr>
        <w:t>acogió con satisfacción la información proporcionada por la Secretaría sobre la aplicación del Tratado de Marrakech, con inclusión de las actividades del Consorcio de Libros Accesibles (ABC).</w:t>
      </w:r>
    </w:p>
    <w:p w:rsidR="00830F06" w:rsidRPr="0060122B" w:rsidRDefault="00830F06" w:rsidP="00830F06">
      <w:pPr>
        <w:rPr>
          <w:rFonts w:eastAsiaTheme="minorHAnsi"/>
          <w:szCs w:val="22"/>
          <w:lang w:val="es-ES" w:eastAsia="en-US"/>
        </w:rPr>
      </w:pPr>
    </w:p>
    <w:p w:rsidR="00830F06" w:rsidRPr="0060122B" w:rsidRDefault="00830F06" w:rsidP="00830F06">
      <w:pPr>
        <w:rPr>
          <w:rFonts w:eastAsiaTheme="minorHAnsi"/>
          <w:szCs w:val="22"/>
          <w:lang w:val="es-ES" w:eastAsia="en-US"/>
        </w:rPr>
      </w:pPr>
    </w:p>
    <w:p w:rsidR="00830F06" w:rsidRPr="0060122B" w:rsidRDefault="00830F06" w:rsidP="0060122B">
      <w:pPr>
        <w:keepNext/>
        <w:keepLines/>
        <w:rPr>
          <w:szCs w:val="22"/>
          <w:lang w:val="es-ES"/>
        </w:rPr>
      </w:pPr>
    </w:p>
    <w:p w:rsidR="00830F06" w:rsidRPr="0060122B" w:rsidRDefault="00830F06" w:rsidP="0060122B">
      <w:pPr>
        <w:keepNext/>
        <w:keepLines/>
        <w:rPr>
          <w:caps/>
          <w:szCs w:val="22"/>
          <w:lang w:val="es-ES"/>
        </w:rPr>
      </w:pPr>
      <w:r w:rsidRPr="0060122B">
        <w:rPr>
          <w:b/>
          <w:caps/>
          <w:szCs w:val="22"/>
          <w:lang w:val="es-ES"/>
        </w:rPr>
        <w:t>resumen de la presidencia</w:t>
      </w:r>
    </w:p>
    <w:p w:rsidR="00830F06" w:rsidRPr="0060122B" w:rsidRDefault="00830F06" w:rsidP="0060122B">
      <w:pPr>
        <w:keepNext/>
        <w:keepLines/>
        <w:rPr>
          <w:caps/>
          <w:szCs w:val="22"/>
          <w:lang w:val="es-ES"/>
        </w:rPr>
      </w:pPr>
    </w:p>
    <w:p w:rsidR="00830F06" w:rsidRPr="0060122B" w:rsidRDefault="00830F06" w:rsidP="0060122B">
      <w:pPr>
        <w:pStyle w:val="Default"/>
        <w:keepNext/>
        <w:keepLines/>
        <w:rPr>
          <w:sz w:val="22"/>
          <w:szCs w:val="22"/>
          <w:lang w:val="es-ES"/>
        </w:rPr>
      </w:pPr>
      <w:r w:rsidRPr="0060122B">
        <w:rPr>
          <w:sz w:val="22"/>
          <w:szCs w:val="22"/>
          <w:lang w:val="es-ES"/>
        </w:rPr>
        <w:t>2</w:t>
      </w:r>
      <w:r w:rsidR="00036134">
        <w:rPr>
          <w:sz w:val="22"/>
          <w:szCs w:val="22"/>
          <w:lang w:val="es-ES"/>
        </w:rPr>
        <w:t>5</w:t>
      </w:r>
      <w:r w:rsidRPr="0060122B">
        <w:rPr>
          <w:sz w:val="22"/>
          <w:szCs w:val="22"/>
          <w:lang w:val="es-ES"/>
        </w:rPr>
        <w:t>.</w:t>
      </w:r>
      <w:r w:rsidRPr="0060122B">
        <w:rPr>
          <w:sz w:val="22"/>
          <w:szCs w:val="22"/>
          <w:lang w:val="es-ES"/>
        </w:rPr>
        <w:tab/>
        <w:t>El Comité tomó nota del contenido del presente resumen de la presidencia.  El presidente aclaró que el presente resumen refleja el punto de vista del presidente sobre los resultados de la trigésima cuarta sesión del SCCR y que, por consiguiente, no se somete a aprobación del Comité.</w:t>
      </w:r>
    </w:p>
    <w:p w:rsidR="00830F06" w:rsidRPr="0060122B" w:rsidRDefault="00830F06" w:rsidP="0060122B">
      <w:pPr>
        <w:keepNext/>
        <w:keepLines/>
        <w:rPr>
          <w:rFonts w:eastAsiaTheme="minorHAnsi"/>
          <w:color w:val="000000"/>
          <w:szCs w:val="22"/>
          <w:lang w:val="es-ES" w:eastAsia="en-US"/>
        </w:rPr>
      </w:pPr>
    </w:p>
    <w:p w:rsidR="00830F06" w:rsidRPr="0060122B" w:rsidRDefault="00830F06" w:rsidP="00830F06">
      <w:pPr>
        <w:pStyle w:val="Default"/>
        <w:keepNext/>
        <w:keepLines/>
        <w:rPr>
          <w:sz w:val="22"/>
          <w:szCs w:val="22"/>
          <w:lang w:val="es-ES"/>
        </w:rPr>
      </w:pPr>
    </w:p>
    <w:p w:rsidR="00830F06" w:rsidRPr="0060122B" w:rsidRDefault="00830F06" w:rsidP="00830F06">
      <w:pPr>
        <w:keepNext/>
        <w:keepLines/>
        <w:rPr>
          <w:b/>
          <w:caps/>
          <w:szCs w:val="22"/>
          <w:lang w:val="es-ES"/>
        </w:rPr>
      </w:pPr>
      <w:r w:rsidRPr="0060122B">
        <w:rPr>
          <w:b/>
          <w:caps/>
          <w:szCs w:val="22"/>
          <w:lang w:val="es-ES"/>
        </w:rPr>
        <w:t>PUNTO 10 DEL ORDEN DEL DÍA:  CLAUSURA DE LA SESIÓN</w:t>
      </w:r>
    </w:p>
    <w:p w:rsidR="00830F06" w:rsidRPr="0060122B" w:rsidRDefault="00830F06" w:rsidP="00830F06">
      <w:pPr>
        <w:keepNext/>
        <w:keepLines/>
        <w:rPr>
          <w:b/>
          <w:caps/>
          <w:szCs w:val="22"/>
          <w:lang w:val="es-ES"/>
        </w:rPr>
      </w:pPr>
    </w:p>
    <w:p w:rsidR="00830F06" w:rsidRPr="0060122B" w:rsidRDefault="00830F06" w:rsidP="00830F06">
      <w:pPr>
        <w:pStyle w:val="Default"/>
        <w:keepNext/>
        <w:keepLines/>
        <w:rPr>
          <w:sz w:val="22"/>
          <w:szCs w:val="22"/>
          <w:lang w:val="es-ES"/>
        </w:rPr>
      </w:pPr>
      <w:r w:rsidRPr="0060122B">
        <w:rPr>
          <w:sz w:val="22"/>
          <w:szCs w:val="22"/>
          <w:lang w:val="es-ES"/>
        </w:rPr>
        <w:t>2</w:t>
      </w:r>
      <w:r w:rsidR="00036134">
        <w:rPr>
          <w:sz w:val="22"/>
          <w:szCs w:val="22"/>
          <w:lang w:val="es-ES"/>
        </w:rPr>
        <w:t>6</w:t>
      </w:r>
      <w:r w:rsidRPr="0060122B">
        <w:rPr>
          <w:sz w:val="22"/>
          <w:szCs w:val="22"/>
          <w:lang w:val="es-ES"/>
        </w:rPr>
        <w:t>.</w:t>
      </w:r>
      <w:r w:rsidRPr="0060122B">
        <w:rPr>
          <w:sz w:val="22"/>
          <w:szCs w:val="22"/>
          <w:lang w:val="es-ES"/>
        </w:rPr>
        <w:tab/>
        <w:t>La próxima sesión del Comité se celebrará del 13 al 17 de noviembre de 2017.</w:t>
      </w:r>
    </w:p>
    <w:p w:rsidR="00830F06" w:rsidRPr="0060122B" w:rsidRDefault="00830F06" w:rsidP="00830F06">
      <w:pPr>
        <w:pStyle w:val="Default"/>
        <w:keepNext/>
        <w:keepLines/>
        <w:rPr>
          <w:sz w:val="22"/>
          <w:szCs w:val="22"/>
          <w:lang w:val="es-ES"/>
        </w:rPr>
      </w:pPr>
    </w:p>
    <w:p w:rsidR="00830F06" w:rsidRPr="0060122B" w:rsidRDefault="00830F06" w:rsidP="00830F06">
      <w:pPr>
        <w:pStyle w:val="Default"/>
        <w:rPr>
          <w:sz w:val="22"/>
          <w:szCs w:val="22"/>
          <w:lang w:val="es-ES"/>
        </w:rPr>
      </w:pPr>
    </w:p>
    <w:p w:rsidR="00830F06" w:rsidRPr="0060122B" w:rsidRDefault="00830F06" w:rsidP="00830F06">
      <w:pPr>
        <w:pStyle w:val="Default"/>
        <w:rPr>
          <w:sz w:val="22"/>
          <w:szCs w:val="22"/>
          <w:lang w:val="es-ES"/>
        </w:rPr>
      </w:pPr>
    </w:p>
    <w:p w:rsidR="00766E05" w:rsidRPr="00ED3E1C" w:rsidRDefault="00830F06" w:rsidP="00ED3E1C">
      <w:pPr>
        <w:pStyle w:val="Endofdocument"/>
        <w:rPr>
          <w:rFonts w:cs="Arial"/>
          <w:sz w:val="22"/>
          <w:szCs w:val="22"/>
          <w:lang w:val="es-ES"/>
        </w:rPr>
      </w:pPr>
      <w:r w:rsidRPr="0060122B">
        <w:rPr>
          <w:rFonts w:cs="Arial"/>
          <w:sz w:val="22"/>
          <w:szCs w:val="22"/>
          <w:lang w:val="es-ES"/>
        </w:rPr>
        <w:t>[Fin del documento]</w:t>
      </w:r>
    </w:p>
    <w:sectPr w:rsidR="00766E05" w:rsidRPr="00ED3E1C"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79" w:rsidRDefault="00EC2779">
      <w:r>
        <w:separator/>
      </w:r>
    </w:p>
  </w:endnote>
  <w:endnote w:type="continuationSeparator" w:id="0">
    <w:p w:rsidR="00EC2779" w:rsidRDefault="00EC2779" w:rsidP="003B38C1">
      <w:r>
        <w:separator/>
      </w:r>
    </w:p>
    <w:p w:rsidR="00EC2779" w:rsidRPr="003B38C1" w:rsidRDefault="00EC2779" w:rsidP="003B38C1">
      <w:pPr>
        <w:spacing w:after="60"/>
        <w:rPr>
          <w:sz w:val="17"/>
        </w:rPr>
      </w:pPr>
      <w:r>
        <w:rPr>
          <w:sz w:val="17"/>
        </w:rPr>
        <w:t>[Endnote continued from previous page]</w:t>
      </w:r>
    </w:p>
  </w:endnote>
  <w:endnote w:type="continuationNotice" w:id="1">
    <w:p w:rsidR="00EC2779" w:rsidRPr="003B38C1" w:rsidRDefault="00EC27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79" w:rsidRDefault="00EC2779">
      <w:r>
        <w:separator/>
      </w:r>
    </w:p>
  </w:footnote>
  <w:footnote w:type="continuationSeparator" w:id="0">
    <w:p w:rsidR="00EC2779" w:rsidRDefault="00EC2779" w:rsidP="008B60B2">
      <w:r>
        <w:separator/>
      </w:r>
    </w:p>
    <w:p w:rsidR="00EC2779" w:rsidRPr="00ED77FB" w:rsidRDefault="00EC2779" w:rsidP="008B60B2">
      <w:pPr>
        <w:spacing w:after="60"/>
        <w:rPr>
          <w:sz w:val="17"/>
          <w:szCs w:val="17"/>
        </w:rPr>
      </w:pPr>
      <w:r w:rsidRPr="00ED77FB">
        <w:rPr>
          <w:sz w:val="17"/>
          <w:szCs w:val="17"/>
        </w:rPr>
        <w:t>[Footnote continued from previous page]</w:t>
      </w:r>
    </w:p>
  </w:footnote>
  <w:footnote w:type="continuationNotice" w:id="1">
    <w:p w:rsidR="00EC2779" w:rsidRPr="00ED77FB" w:rsidRDefault="00EC27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E23FE0" w:rsidP="00477D6B">
    <w:pPr>
      <w:jc w:val="right"/>
    </w:pPr>
    <w:r>
      <w:t>página</w:t>
    </w:r>
    <w:r w:rsidR="00FE1269">
      <w:t xml:space="preserve"> </w:t>
    </w:r>
    <w:r w:rsidR="00FE1269">
      <w:fldChar w:fldCharType="begin"/>
    </w:r>
    <w:r w:rsidR="00FE1269">
      <w:instrText xml:space="preserve"> PAGE  \* MERGEFORMAT </w:instrText>
    </w:r>
    <w:r w:rsidR="00FE1269">
      <w:fldChar w:fldCharType="separate"/>
    </w:r>
    <w:r w:rsidR="0044356C">
      <w:rPr>
        <w:noProof/>
      </w:rPr>
      <w:t>5</w:t>
    </w:r>
    <w:r w:rsidR="00FE1269">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10D4D1CC"/>
    <w:lvl w:ilvl="0" w:tplc="3250B4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16F48"/>
    <w:rsid w:val="00020D98"/>
    <w:rsid w:val="000261D7"/>
    <w:rsid w:val="00031EFA"/>
    <w:rsid w:val="00034F52"/>
    <w:rsid w:val="00036134"/>
    <w:rsid w:val="00043CAA"/>
    <w:rsid w:val="0005513B"/>
    <w:rsid w:val="00065397"/>
    <w:rsid w:val="0007273E"/>
    <w:rsid w:val="00074CD5"/>
    <w:rsid w:val="00075432"/>
    <w:rsid w:val="00091713"/>
    <w:rsid w:val="000968ED"/>
    <w:rsid w:val="000A3D10"/>
    <w:rsid w:val="000C0ACC"/>
    <w:rsid w:val="000C495E"/>
    <w:rsid w:val="000D7110"/>
    <w:rsid w:val="000F5E56"/>
    <w:rsid w:val="000F6A79"/>
    <w:rsid w:val="000F7C19"/>
    <w:rsid w:val="00103539"/>
    <w:rsid w:val="00103801"/>
    <w:rsid w:val="00103C75"/>
    <w:rsid w:val="00114329"/>
    <w:rsid w:val="0011467E"/>
    <w:rsid w:val="001146BA"/>
    <w:rsid w:val="00121939"/>
    <w:rsid w:val="00130B66"/>
    <w:rsid w:val="00132069"/>
    <w:rsid w:val="001362EE"/>
    <w:rsid w:val="00143579"/>
    <w:rsid w:val="00146773"/>
    <w:rsid w:val="00156B46"/>
    <w:rsid w:val="00162AF8"/>
    <w:rsid w:val="001649BD"/>
    <w:rsid w:val="001724EB"/>
    <w:rsid w:val="00176C28"/>
    <w:rsid w:val="001832A6"/>
    <w:rsid w:val="001B6A7B"/>
    <w:rsid w:val="001E2FF7"/>
    <w:rsid w:val="001E37E8"/>
    <w:rsid w:val="001F73A6"/>
    <w:rsid w:val="001F76BB"/>
    <w:rsid w:val="00203F55"/>
    <w:rsid w:val="002058E7"/>
    <w:rsid w:val="00213871"/>
    <w:rsid w:val="0022363A"/>
    <w:rsid w:val="0022519D"/>
    <w:rsid w:val="00226521"/>
    <w:rsid w:val="002267ED"/>
    <w:rsid w:val="002402F7"/>
    <w:rsid w:val="002408C3"/>
    <w:rsid w:val="002424A1"/>
    <w:rsid w:val="0024339A"/>
    <w:rsid w:val="002535B0"/>
    <w:rsid w:val="00253977"/>
    <w:rsid w:val="00261426"/>
    <w:rsid w:val="002634C4"/>
    <w:rsid w:val="00270772"/>
    <w:rsid w:val="00273C37"/>
    <w:rsid w:val="002754C8"/>
    <w:rsid w:val="00277EEF"/>
    <w:rsid w:val="00281AC6"/>
    <w:rsid w:val="00283FEB"/>
    <w:rsid w:val="00290790"/>
    <w:rsid w:val="002928D3"/>
    <w:rsid w:val="00296061"/>
    <w:rsid w:val="00297288"/>
    <w:rsid w:val="002A078A"/>
    <w:rsid w:val="002B747B"/>
    <w:rsid w:val="002C1E3E"/>
    <w:rsid w:val="002E1FE3"/>
    <w:rsid w:val="002E7A8B"/>
    <w:rsid w:val="002E7C64"/>
    <w:rsid w:val="002E7D9C"/>
    <w:rsid w:val="002F1FE6"/>
    <w:rsid w:val="002F3F17"/>
    <w:rsid w:val="002F4E68"/>
    <w:rsid w:val="00301A68"/>
    <w:rsid w:val="00312F7F"/>
    <w:rsid w:val="0034074B"/>
    <w:rsid w:val="003538ED"/>
    <w:rsid w:val="00361450"/>
    <w:rsid w:val="003673CF"/>
    <w:rsid w:val="003845C1"/>
    <w:rsid w:val="003867BE"/>
    <w:rsid w:val="00390E4E"/>
    <w:rsid w:val="00391C21"/>
    <w:rsid w:val="003A6F89"/>
    <w:rsid w:val="003A7CA9"/>
    <w:rsid w:val="003B38C1"/>
    <w:rsid w:val="003B3FF8"/>
    <w:rsid w:val="003B5566"/>
    <w:rsid w:val="003C472A"/>
    <w:rsid w:val="003C4C25"/>
    <w:rsid w:val="003D1CE3"/>
    <w:rsid w:val="003E0DC9"/>
    <w:rsid w:val="003E14F9"/>
    <w:rsid w:val="003E2DC9"/>
    <w:rsid w:val="003E78FB"/>
    <w:rsid w:val="00407222"/>
    <w:rsid w:val="0042004A"/>
    <w:rsid w:val="0042213B"/>
    <w:rsid w:val="00423E3E"/>
    <w:rsid w:val="00427AF4"/>
    <w:rsid w:val="0044111D"/>
    <w:rsid w:val="00442BB4"/>
    <w:rsid w:val="0044356C"/>
    <w:rsid w:val="00444792"/>
    <w:rsid w:val="00447BC9"/>
    <w:rsid w:val="00450CFF"/>
    <w:rsid w:val="00455A74"/>
    <w:rsid w:val="00460834"/>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1C27"/>
    <w:rsid w:val="004C3EC6"/>
    <w:rsid w:val="004E682B"/>
    <w:rsid w:val="005019FF"/>
    <w:rsid w:val="00510C2D"/>
    <w:rsid w:val="00526AF3"/>
    <w:rsid w:val="0053057A"/>
    <w:rsid w:val="00530838"/>
    <w:rsid w:val="0054205B"/>
    <w:rsid w:val="005522AF"/>
    <w:rsid w:val="00556CF3"/>
    <w:rsid w:val="00557181"/>
    <w:rsid w:val="0056031F"/>
    <w:rsid w:val="00560A29"/>
    <w:rsid w:val="005632C7"/>
    <w:rsid w:val="00565A13"/>
    <w:rsid w:val="005735E8"/>
    <w:rsid w:val="00580E35"/>
    <w:rsid w:val="00582DF0"/>
    <w:rsid w:val="00592585"/>
    <w:rsid w:val="0059283C"/>
    <w:rsid w:val="00593F55"/>
    <w:rsid w:val="005A20B1"/>
    <w:rsid w:val="005A5461"/>
    <w:rsid w:val="005B0E50"/>
    <w:rsid w:val="005B399E"/>
    <w:rsid w:val="005C02E0"/>
    <w:rsid w:val="005C6649"/>
    <w:rsid w:val="005D262A"/>
    <w:rsid w:val="005D2689"/>
    <w:rsid w:val="005E0A4A"/>
    <w:rsid w:val="0060122B"/>
    <w:rsid w:val="00605827"/>
    <w:rsid w:val="00610389"/>
    <w:rsid w:val="00611FBE"/>
    <w:rsid w:val="00620F2D"/>
    <w:rsid w:val="00626407"/>
    <w:rsid w:val="00632145"/>
    <w:rsid w:val="00637787"/>
    <w:rsid w:val="0064368A"/>
    <w:rsid w:val="00643A10"/>
    <w:rsid w:val="00646050"/>
    <w:rsid w:val="00650EF5"/>
    <w:rsid w:val="00653D5B"/>
    <w:rsid w:val="006575D1"/>
    <w:rsid w:val="006654C2"/>
    <w:rsid w:val="00666FAD"/>
    <w:rsid w:val="00670615"/>
    <w:rsid w:val="006713CA"/>
    <w:rsid w:val="00676C5C"/>
    <w:rsid w:val="0067704F"/>
    <w:rsid w:val="00693437"/>
    <w:rsid w:val="006A0606"/>
    <w:rsid w:val="006A1CD5"/>
    <w:rsid w:val="006A4D29"/>
    <w:rsid w:val="006A6CD1"/>
    <w:rsid w:val="006B198C"/>
    <w:rsid w:val="006B52B1"/>
    <w:rsid w:val="006B5EF7"/>
    <w:rsid w:val="006C1671"/>
    <w:rsid w:val="006C2DEE"/>
    <w:rsid w:val="006C4FC1"/>
    <w:rsid w:val="006D2CE8"/>
    <w:rsid w:val="006D461B"/>
    <w:rsid w:val="006D48DF"/>
    <w:rsid w:val="006E4475"/>
    <w:rsid w:val="006E6222"/>
    <w:rsid w:val="006E6A92"/>
    <w:rsid w:val="006F611F"/>
    <w:rsid w:val="0070683C"/>
    <w:rsid w:val="00712D6C"/>
    <w:rsid w:val="00712F5E"/>
    <w:rsid w:val="007248EF"/>
    <w:rsid w:val="0073489F"/>
    <w:rsid w:val="007508FF"/>
    <w:rsid w:val="00755C59"/>
    <w:rsid w:val="0076141D"/>
    <w:rsid w:val="00766E05"/>
    <w:rsid w:val="0077292E"/>
    <w:rsid w:val="007819BD"/>
    <w:rsid w:val="007975B3"/>
    <w:rsid w:val="007A3831"/>
    <w:rsid w:val="007B06A4"/>
    <w:rsid w:val="007B2478"/>
    <w:rsid w:val="007B631C"/>
    <w:rsid w:val="007C108B"/>
    <w:rsid w:val="007D0AF9"/>
    <w:rsid w:val="007D1613"/>
    <w:rsid w:val="007D198A"/>
    <w:rsid w:val="00803666"/>
    <w:rsid w:val="00821086"/>
    <w:rsid w:val="00830F06"/>
    <w:rsid w:val="0084098E"/>
    <w:rsid w:val="0084228E"/>
    <w:rsid w:val="00844517"/>
    <w:rsid w:val="00845C3C"/>
    <w:rsid w:val="00846CA0"/>
    <w:rsid w:val="008536B9"/>
    <w:rsid w:val="008544E5"/>
    <w:rsid w:val="008707A0"/>
    <w:rsid w:val="0087741A"/>
    <w:rsid w:val="008828EE"/>
    <w:rsid w:val="008930B6"/>
    <w:rsid w:val="00893641"/>
    <w:rsid w:val="008A1C09"/>
    <w:rsid w:val="008A68C3"/>
    <w:rsid w:val="008B2CC1"/>
    <w:rsid w:val="008B36D5"/>
    <w:rsid w:val="008B60B2"/>
    <w:rsid w:val="008C109C"/>
    <w:rsid w:val="008C7C7B"/>
    <w:rsid w:val="008D6084"/>
    <w:rsid w:val="00905239"/>
    <w:rsid w:val="0090731E"/>
    <w:rsid w:val="0091237B"/>
    <w:rsid w:val="009125F6"/>
    <w:rsid w:val="00916EE2"/>
    <w:rsid w:val="00923F52"/>
    <w:rsid w:val="00925855"/>
    <w:rsid w:val="00927291"/>
    <w:rsid w:val="00933D6A"/>
    <w:rsid w:val="009544D5"/>
    <w:rsid w:val="00965D18"/>
    <w:rsid w:val="00966A22"/>
    <w:rsid w:val="0096706E"/>
    <w:rsid w:val="0096722F"/>
    <w:rsid w:val="00980843"/>
    <w:rsid w:val="009A090D"/>
    <w:rsid w:val="009A31B6"/>
    <w:rsid w:val="009B0425"/>
    <w:rsid w:val="009C242D"/>
    <w:rsid w:val="009C28C2"/>
    <w:rsid w:val="009D5068"/>
    <w:rsid w:val="009E2791"/>
    <w:rsid w:val="009E3F6F"/>
    <w:rsid w:val="009F499F"/>
    <w:rsid w:val="00A07D6A"/>
    <w:rsid w:val="00A10B77"/>
    <w:rsid w:val="00A22302"/>
    <w:rsid w:val="00A23708"/>
    <w:rsid w:val="00A2485E"/>
    <w:rsid w:val="00A24D05"/>
    <w:rsid w:val="00A25385"/>
    <w:rsid w:val="00A32FF3"/>
    <w:rsid w:val="00A334C3"/>
    <w:rsid w:val="00A377FA"/>
    <w:rsid w:val="00A42DAF"/>
    <w:rsid w:val="00A45BD8"/>
    <w:rsid w:val="00A71421"/>
    <w:rsid w:val="00A8673A"/>
    <w:rsid w:val="00A869B7"/>
    <w:rsid w:val="00A90E4C"/>
    <w:rsid w:val="00AB5F4E"/>
    <w:rsid w:val="00AC205C"/>
    <w:rsid w:val="00AC2D6D"/>
    <w:rsid w:val="00AC4968"/>
    <w:rsid w:val="00AE1DAE"/>
    <w:rsid w:val="00AF0A6B"/>
    <w:rsid w:val="00B05A69"/>
    <w:rsid w:val="00B14174"/>
    <w:rsid w:val="00B26842"/>
    <w:rsid w:val="00B357F4"/>
    <w:rsid w:val="00B358FE"/>
    <w:rsid w:val="00B4358F"/>
    <w:rsid w:val="00B44445"/>
    <w:rsid w:val="00B5053F"/>
    <w:rsid w:val="00B5254F"/>
    <w:rsid w:val="00B5532A"/>
    <w:rsid w:val="00B62F38"/>
    <w:rsid w:val="00B841C6"/>
    <w:rsid w:val="00B93997"/>
    <w:rsid w:val="00B9734B"/>
    <w:rsid w:val="00B978CE"/>
    <w:rsid w:val="00BA3761"/>
    <w:rsid w:val="00BB14F8"/>
    <w:rsid w:val="00BB42C1"/>
    <w:rsid w:val="00BC5892"/>
    <w:rsid w:val="00BD7D00"/>
    <w:rsid w:val="00BE0C80"/>
    <w:rsid w:val="00BE7F69"/>
    <w:rsid w:val="00BF096E"/>
    <w:rsid w:val="00BF3338"/>
    <w:rsid w:val="00C11BFE"/>
    <w:rsid w:val="00C133F4"/>
    <w:rsid w:val="00C14CE6"/>
    <w:rsid w:val="00C1752E"/>
    <w:rsid w:val="00C17D98"/>
    <w:rsid w:val="00C26C84"/>
    <w:rsid w:val="00C4402C"/>
    <w:rsid w:val="00C44E1E"/>
    <w:rsid w:val="00C5281A"/>
    <w:rsid w:val="00C642A3"/>
    <w:rsid w:val="00C6650F"/>
    <w:rsid w:val="00C8199E"/>
    <w:rsid w:val="00C96381"/>
    <w:rsid w:val="00CA1CDB"/>
    <w:rsid w:val="00CA44D9"/>
    <w:rsid w:val="00CB017D"/>
    <w:rsid w:val="00CC7C46"/>
    <w:rsid w:val="00CD3F57"/>
    <w:rsid w:val="00CD6FF3"/>
    <w:rsid w:val="00CF5A63"/>
    <w:rsid w:val="00D06BCF"/>
    <w:rsid w:val="00D27C29"/>
    <w:rsid w:val="00D45252"/>
    <w:rsid w:val="00D45A14"/>
    <w:rsid w:val="00D5156B"/>
    <w:rsid w:val="00D5740A"/>
    <w:rsid w:val="00D60C37"/>
    <w:rsid w:val="00D6386F"/>
    <w:rsid w:val="00D660DF"/>
    <w:rsid w:val="00D71511"/>
    <w:rsid w:val="00D71B4D"/>
    <w:rsid w:val="00D81348"/>
    <w:rsid w:val="00D8175E"/>
    <w:rsid w:val="00D911B7"/>
    <w:rsid w:val="00D92E2B"/>
    <w:rsid w:val="00D93D55"/>
    <w:rsid w:val="00DA1C96"/>
    <w:rsid w:val="00DA7405"/>
    <w:rsid w:val="00DB06E5"/>
    <w:rsid w:val="00DC3678"/>
    <w:rsid w:val="00DD2E1F"/>
    <w:rsid w:val="00DE0F27"/>
    <w:rsid w:val="00DF1BEF"/>
    <w:rsid w:val="00DF5EA4"/>
    <w:rsid w:val="00E01D7D"/>
    <w:rsid w:val="00E12B97"/>
    <w:rsid w:val="00E15E88"/>
    <w:rsid w:val="00E15F7B"/>
    <w:rsid w:val="00E23FE0"/>
    <w:rsid w:val="00E25C6F"/>
    <w:rsid w:val="00E266C0"/>
    <w:rsid w:val="00E31006"/>
    <w:rsid w:val="00E335FE"/>
    <w:rsid w:val="00E44575"/>
    <w:rsid w:val="00E46225"/>
    <w:rsid w:val="00E47ABF"/>
    <w:rsid w:val="00E54521"/>
    <w:rsid w:val="00E66BBE"/>
    <w:rsid w:val="00E706D1"/>
    <w:rsid w:val="00E7369B"/>
    <w:rsid w:val="00E908A2"/>
    <w:rsid w:val="00E92420"/>
    <w:rsid w:val="00E93D9D"/>
    <w:rsid w:val="00EA6DA6"/>
    <w:rsid w:val="00EB4668"/>
    <w:rsid w:val="00EC2779"/>
    <w:rsid w:val="00EC4E49"/>
    <w:rsid w:val="00EC7341"/>
    <w:rsid w:val="00ED3E1C"/>
    <w:rsid w:val="00ED7142"/>
    <w:rsid w:val="00ED77FB"/>
    <w:rsid w:val="00EE45FA"/>
    <w:rsid w:val="00EF669A"/>
    <w:rsid w:val="00EF7008"/>
    <w:rsid w:val="00F11029"/>
    <w:rsid w:val="00F136B1"/>
    <w:rsid w:val="00F2764D"/>
    <w:rsid w:val="00F32250"/>
    <w:rsid w:val="00F32C2F"/>
    <w:rsid w:val="00F53784"/>
    <w:rsid w:val="00F56F78"/>
    <w:rsid w:val="00F607EE"/>
    <w:rsid w:val="00F638FF"/>
    <w:rsid w:val="00F66152"/>
    <w:rsid w:val="00F71016"/>
    <w:rsid w:val="00F71FD8"/>
    <w:rsid w:val="00F757AA"/>
    <w:rsid w:val="00F774B3"/>
    <w:rsid w:val="00F80B06"/>
    <w:rsid w:val="00F86A4D"/>
    <w:rsid w:val="00F870E7"/>
    <w:rsid w:val="00F94037"/>
    <w:rsid w:val="00F965AB"/>
    <w:rsid w:val="00FA3CAE"/>
    <w:rsid w:val="00FA5315"/>
    <w:rsid w:val="00FB0BB8"/>
    <w:rsid w:val="00FB1D2A"/>
    <w:rsid w:val="00FB6497"/>
    <w:rsid w:val="00FC29F6"/>
    <w:rsid w:val="00FC691E"/>
    <w:rsid w:val="00FE08BA"/>
    <w:rsid w:val="00FE1269"/>
    <w:rsid w:val="00FE3C24"/>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C27-BE34-4B33-883E-BB066D4E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7706</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30 Resumen de la presidencia</vt:lpstr>
      <vt:lpstr>SCCR 30 Chair's Summary</vt:lpstr>
    </vt:vector>
  </TitlesOfParts>
  <Company>WIPO</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Resumen de la presidencia</dc:title>
  <dc:creator>HAIZEL Francesca</dc:creator>
  <dc:description>JC/LM/KP - 5.5.2017
LM (versión final) - 11.5.2017</dc:description>
  <cp:lastModifiedBy>HAIZEL Francesca</cp:lastModifiedBy>
  <cp:revision>2</cp:revision>
  <cp:lastPrinted>2017-04-26T09:44:00Z</cp:lastPrinted>
  <dcterms:created xsi:type="dcterms:W3CDTF">2017-05-17T12:58:00Z</dcterms:created>
  <dcterms:modified xsi:type="dcterms:W3CDTF">2017-05-17T12:58:00Z</dcterms:modified>
</cp:coreProperties>
</file>