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325CBD" w:rsidP="0058684D">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sccr/38/3</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E36F3C">
        <w:rPr>
          <w:b/>
          <w:bCs/>
          <w:sz w:val="30"/>
          <w:szCs w:val="30"/>
          <w:rtl/>
        </w:rPr>
        <w:t>بالإنكليزية</w:t>
      </w:r>
    </w:p>
    <w:p w:rsidR="003F7284" w:rsidRPr="00BB6440" w:rsidRDefault="003F7284" w:rsidP="00325CBD">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325CBD">
        <w:rPr>
          <w:b/>
          <w:bCs/>
          <w:sz w:val="30"/>
          <w:szCs w:val="30"/>
        </w:rPr>
        <w:t>18</w:t>
      </w:r>
      <w:r w:rsidR="00E36F3C">
        <w:rPr>
          <w:b/>
          <w:bCs/>
          <w:sz w:val="30"/>
          <w:szCs w:val="30"/>
          <w:rtl/>
        </w:rPr>
        <w:t xml:space="preserve"> </w:t>
      </w:r>
      <w:r w:rsidR="00325CBD">
        <w:rPr>
          <w:rFonts w:hint="cs"/>
          <w:b/>
          <w:bCs/>
          <w:sz w:val="30"/>
          <w:szCs w:val="30"/>
          <w:rtl/>
          <w:lang w:val="fr-CH" w:bidi="ar-SY"/>
        </w:rPr>
        <w:t>مارس</w:t>
      </w:r>
      <w:r w:rsidR="00E36F3C">
        <w:rPr>
          <w:b/>
          <w:bCs/>
          <w:sz w:val="30"/>
          <w:szCs w:val="30"/>
          <w:rtl/>
        </w:rPr>
        <w:t xml:space="preserve"> </w:t>
      </w:r>
      <w:r w:rsidR="0058684D">
        <w:rPr>
          <w:rFonts w:hint="cs"/>
          <w:b/>
          <w:bCs/>
          <w:sz w:val="30"/>
          <w:szCs w:val="30"/>
          <w:rtl/>
        </w:rPr>
        <w:t>2019</w:t>
      </w:r>
    </w:p>
    <w:p w:rsidR="002E7810" w:rsidRPr="00FD6D15" w:rsidRDefault="00FD0C32" w:rsidP="00325CBD">
      <w:pPr>
        <w:pStyle w:val="Heading1"/>
        <w:spacing w:after="600" w:line="240" w:lineRule="auto"/>
        <w:rPr>
          <w:rtl/>
        </w:rPr>
      </w:pPr>
      <w:r>
        <w:rPr>
          <w:rFonts w:hint="eastAsia"/>
          <w:rtl/>
        </w:rPr>
        <w:t>اللجنة</w:t>
      </w:r>
      <w:r>
        <w:rPr>
          <w:rtl/>
        </w:rPr>
        <w:t xml:space="preserve"> </w:t>
      </w:r>
      <w:r w:rsidR="00325CBD">
        <w:rPr>
          <w:rFonts w:hint="cs"/>
          <w:rtl/>
        </w:rPr>
        <w:t>الدائمة المعنية بحق المؤلف والحقوق المجاورة</w:t>
      </w:r>
    </w:p>
    <w:p w:rsidR="002E7810" w:rsidRPr="002E7810" w:rsidRDefault="00FD0C32" w:rsidP="00325CBD">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325CBD">
        <w:rPr>
          <w:rFonts w:ascii="Arial Black" w:hAnsi="Arial Black" w:cs="PT Bold Heading" w:hint="cs"/>
          <w:sz w:val="30"/>
          <w:szCs w:val="30"/>
          <w:rtl/>
        </w:rPr>
        <w:t>الثامنة</w:t>
      </w:r>
      <w:r>
        <w:rPr>
          <w:rFonts w:ascii="Arial Black" w:hAnsi="Arial Black" w:cs="PT Bold Heading"/>
          <w:sz w:val="30"/>
          <w:szCs w:val="30"/>
          <w:rtl/>
        </w:rPr>
        <w:t xml:space="preserve"> </w:t>
      </w:r>
      <w:r>
        <w:rPr>
          <w:rFonts w:ascii="Arial Black" w:hAnsi="Arial Black" w:cs="PT Bold Heading" w:hint="eastAsia"/>
          <w:sz w:val="30"/>
          <w:szCs w:val="30"/>
          <w:rtl/>
        </w:rPr>
        <w:t>والثلاثون</w:t>
      </w:r>
    </w:p>
    <w:p w:rsidR="002E7810" w:rsidRPr="002E7810" w:rsidRDefault="00FD0C32" w:rsidP="00325CBD">
      <w:pPr>
        <w:spacing w:line="600" w:lineRule="auto"/>
        <w:rPr>
          <w:b/>
          <w:bCs/>
          <w:rtl/>
        </w:rPr>
      </w:pPr>
      <w:r>
        <w:rPr>
          <w:b/>
          <w:bCs/>
          <w:rtl/>
        </w:rPr>
        <w:t xml:space="preserve">جنيف، من </w:t>
      </w:r>
      <w:r w:rsidR="00325CBD">
        <w:rPr>
          <w:rFonts w:hint="cs"/>
          <w:b/>
          <w:bCs/>
          <w:rtl/>
        </w:rPr>
        <w:t>1</w:t>
      </w:r>
      <w:r>
        <w:rPr>
          <w:b/>
          <w:bCs/>
          <w:rtl/>
        </w:rPr>
        <w:t xml:space="preserve"> إلى </w:t>
      </w:r>
      <w:r w:rsidR="00325CBD">
        <w:rPr>
          <w:rFonts w:hint="cs"/>
          <w:b/>
          <w:bCs/>
          <w:rtl/>
        </w:rPr>
        <w:t>5</w:t>
      </w:r>
      <w:r>
        <w:rPr>
          <w:b/>
          <w:bCs/>
          <w:rtl/>
        </w:rPr>
        <w:t xml:space="preserve"> </w:t>
      </w:r>
      <w:r w:rsidR="00325CBD">
        <w:rPr>
          <w:rFonts w:hint="cs"/>
          <w:b/>
          <w:bCs/>
          <w:rtl/>
        </w:rPr>
        <w:t>أبريل</w:t>
      </w:r>
      <w:r>
        <w:rPr>
          <w:b/>
          <w:bCs/>
          <w:rtl/>
        </w:rPr>
        <w:t xml:space="preserve"> </w:t>
      </w:r>
      <w:r w:rsidR="0058684D">
        <w:rPr>
          <w:rFonts w:hint="cs"/>
          <w:b/>
          <w:bCs/>
          <w:rtl/>
        </w:rPr>
        <w:t>2019</w:t>
      </w:r>
    </w:p>
    <w:p w:rsidR="002E7810" w:rsidRPr="00325CBD" w:rsidRDefault="00325CBD" w:rsidP="00874721">
      <w:pPr>
        <w:rPr>
          <w:rFonts w:ascii="Arial Black" w:hAnsi="Arial Black" w:cs="Calibri"/>
          <w:sz w:val="26"/>
          <w:szCs w:val="26"/>
          <w:rtl/>
        </w:rPr>
      </w:pPr>
      <w:r>
        <w:rPr>
          <w:rFonts w:ascii="Arial Black" w:hAnsi="Arial Black" w:cs="PT Bold Heading" w:hint="cs"/>
          <w:sz w:val="26"/>
          <w:szCs w:val="26"/>
          <w:rtl/>
        </w:rPr>
        <w:t>ملخص عملي</w:t>
      </w:r>
      <w:r w:rsidRPr="00325CBD">
        <w:rPr>
          <w:rFonts w:ascii="Arial Black" w:hAnsi="Arial Black" w:cs="PT Bold Heading" w:hint="cs"/>
          <w:sz w:val="26"/>
          <w:szCs w:val="26"/>
          <w:rtl/>
        </w:rPr>
        <w:t>- دراسة نطاق بشأن نفاذ الأشخاص ذوي الإعاقات إلى المصنفات المحمية بحق المؤلف</w:t>
      </w:r>
    </w:p>
    <w:p w:rsidR="003F7284" w:rsidRDefault="003F7284" w:rsidP="0035032A">
      <w:pPr>
        <w:spacing w:before="200" w:after="960"/>
        <w:rPr>
          <w:i/>
          <w:iCs/>
          <w:rtl/>
          <w:lang w:val="fr-CH" w:bidi="ar-SY"/>
        </w:rPr>
      </w:pPr>
      <w:bookmarkStart w:id="3" w:name="_GoBack"/>
      <w:r w:rsidRPr="00BB6440">
        <w:rPr>
          <w:i/>
          <w:iCs/>
          <w:rtl/>
        </w:rPr>
        <w:t>من إعداد</w:t>
      </w:r>
      <w:r w:rsidR="005D79F6" w:rsidRPr="00BB6440">
        <w:rPr>
          <w:rFonts w:hint="cs"/>
          <w:i/>
          <w:iCs/>
          <w:rtl/>
        </w:rPr>
        <w:t xml:space="preserve"> </w:t>
      </w:r>
      <w:r w:rsidR="0035032A">
        <w:rPr>
          <w:rFonts w:hint="cs"/>
          <w:i/>
          <w:iCs/>
          <w:rtl/>
          <w:lang w:val="fr-CH" w:bidi="ar-SY"/>
        </w:rPr>
        <w:t>السيد</w:t>
      </w:r>
      <w:r w:rsidR="00325CBD">
        <w:rPr>
          <w:rFonts w:hint="cs"/>
          <w:i/>
          <w:iCs/>
          <w:rtl/>
          <w:lang w:val="fr-CH" w:bidi="ar-SY"/>
        </w:rPr>
        <w:t xml:space="preserve"> بليك ريد </w:t>
      </w:r>
      <w:r w:rsidR="0035032A">
        <w:rPr>
          <w:rFonts w:hint="cs"/>
          <w:i/>
          <w:iCs/>
          <w:rtl/>
          <w:lang w:val="fr-CH" w:bidi="ar-SY"/>
        </w:rPr>
        <w:t>والسيدة</w:t>
      </w:r>
      <w:r w:rsidR="00325CBD">
        <w:rPr>
          <w:rFonts w:hint="cs"/>
          <w:i/>
          <w:iCs/>
          <w:rtl/>
          <w:lang w:val="fr-CH" w:bidi="ar-SY"/>
        </w:rPr>
        <w:t xml:space="preserve"> كارولين نكوبي</w:t>
      </w:r>
      <w:bookmarkEnd w:id="3"/>
    </w:p>
    <w:p w:rsidR="00325CBD" w:rsidRPr="00325CBD" w:rsidRDefault="00325CBD" w:rsidP="00325CBD">
      <w:pPr>
        <w:pStyle w:val="Heading2"/>
        <w:rPr>
          <w:rtl/>
          <w:lang w:val="fr-CH" w:bidi="ar-SY"/>
        </w:rPr>
      </w:pPr>
      <w:r>
        <w:rPr>
          <w:i/>
          <w:iCs/>
          <w:rtl/>
          <w:lang w:val="fr-CH" w:bidi="ar-SY"/>
        </w:rPr>
        <w:br w:type="page"/>
      </w:r>
      <w:r w:rsidRPr="00325CBD">
        <w:rPr>
          <w:rFonts w:hint="cs"/>
          <w:rtl/>
          <w:lang w:val="fr-CH" w:bidi="ar-SY"/>
        </w:rPr>
        <w:lastRenderedPageBreak/>
        <w:t>ملخص عملي</w:t>
      </w:r>
    </w:p>
    <w:p w:rsidR="00325CBD" w:rsidRDefault="00325CBD" w:rsidP="00D158D5">
      <w:pPr>
        <w:spacing w:before="200"/>
        <w:rPr>
          <w:rtl/>
          <w:lang w:val="fr-CH" w:bidi="ar-SY"/>
        </w:rPr>
      </w:pPr>
      <w:r>
        <w:rPr>
          <w:rFonts w:hint="cs"/>
          <w:rtl/>
          <w:lang w:val="fr-CH" w:bidi="ar-SY"/>
        </w:rPr>
        <w:t xml:space="preserve">توجد عدة مصنفات </w:t>
      </w:r>
      <w:r w:rsidR="00BB3A7B">
        <w:rPr>
          <w:rFonts w:hint="cs"/>
          <w:rtl/>
          <w:lang w:val="fr-CH" w:bidi="ar-SY"/>
        </w:rPr>
        <w:t xml:space="preserve">محمية بحق المؤلف في </w:t>
      </w:r>
      <w:r w:rsidR="0035032A">
        <w:rPr>
          <w:rFonts w:hint="cs"/>
          <w:rtl/>
          <w:lang w:val="fr-CH" w:bidi="ar-SY"/>
        </w:rPr>
        <w:t>أنساق</w:t>
      </w:r>
      <w:r w:rsidR="00BB3A7B">
        <w:rPr>
          <w:rFonts w:hint="cs"/>
          <w:rtl/>
          <w:lang w:val="fr-CH" w:bidi="ar-SY"/>
        </w:rPr>
        <w:t xml:space="preserve"> لا يمكن للأشخاص ذوي الإعاقات النفاذ إليها. وعدم إمكانية النفاذ</w:t>
      </w:r>
      <w:r w:rsidR="0035032A">
        <w:rPr>
          <w:rFonts w:hint="cs"/>
          <w:rtl/>
          <w:lang w:val="fr-CH" w:bidi="ar-SY"/>
        </w:rPr>
        <w:t xml:space="preserve"> هذه</w:t>
      </w:r>
      <w:r w:rsidR="00BB3A7B">
        <w:rPr>
          <w:rFonts w:hint="cs"/>
          <w:rtl/>
          <w:lang w:val="fr-CH" w:bidi="ar-SY"/>
        </w:rPr>
        <w:t xml:space="preserve"> هي إشكالية، نظراً</w:t>
      </w:r>
      <w:r w:rsidR="0035032A">
        <w:rPr>
          <w:rFonts w:hint="cs"/>
          <w:rtl/>
          <w:lang w:val="fr-CH" w:bidi="ar-SY"/>
        </w:rPr>
        <w:t xml:space="preserve"> لأن العديد من البلدان قد سنت </w:t>
      </w:r>
      <w:r w:rsidR="00BB3A7B">
        <w:rPr>
          <w:rFonts w:hint="cs"/>
          <w:rtl/>
          <w:lang w:val="fr-CH" w:bidi="ar-SY"/>
        </w:rPr>
        <w:t>قوانين تدعم المشاركة المجتمعية المتساوية للأشخاص ذوي الإعاقات.</w:t>
      </w:r>
    </w:p>
    <w:p w:rsidR="00BB3A7B" w:rsidRDefault="00BB3A7B" w:rsidP="00D158D5">
      <w:pPr>
        <w:spacing w:before="200"/>
        <w:rPr>
          <w:rtl/>
          <w:lang w:val="fr-CH" w:bidi="ar-SY"/>
        </w:rPr>
      </w:pPr>
      <w:r>
        <w:rPr>
          <w:rFonts w:hint="cs"/>
          <w:rtl/>
          <w:lang w:val="fr-CH" w:bidi="ar-SY"/>
        </w:rPr>
        <w:t>وعادة ما يتطلب نفاذ الأشخاص ذوي الإعاقات إلى المحتوى المحمي بحق المؤلف نوعاً من التكنولوجيا الم</w:t>
      </w:r>
      <w:r w:rsidR="0035032A">
        <w:rPr>
          <w:rFonts w:hint="cs"/>
          <w:rtl/>
          <w:lang w:val="fr-CH" w:bidi="ar-SY"/>
        </w:rPr>
        <w:t>ُ</w:t>
      </w:r>
      <w:r>
        <w:rPr>
          <w:rFonts w:hint="cs"/>
          <w:rtl/>
          <w:lang w:val="fr-CH" w:bidi="ar-SY"/>
        </w:rPr>
        <w:t>ساع</w:t>
      </w:r>
      <w:r w:rsidR="0035032A">
        <w:rPr>
          <w:rFonts w:hint="cs"/>
          <w:rtl/>
          <w:lang w:val="fr-CH" w:bidi="ar-SY"/>
        </w:rPr>
        <w:t>ِ</w:t>
      </w:r>
      <w:r>
        <w:rPr>
          <w:rFonts w:hint="cs"/>
          <w:rtl/>
          <w:lang w:val="fr-CH" w:bidi="ar-SY"/>
        </w:rPr>
        <w:t xml:space="preserve">دة التي تحوّل </w:t>
      </w:r>
      <w:r w:rsidR="0076126F">
        <w:rPr>
          <w:rFonts w:hint="cs"/>
          <w:rtl/>
          <w:lang w:val="fr-CH" w:bidi="ar-SY"/>
        </w:rPr>
        <w:t xml:space="preserve">بعض </w:t>
      </w:r>
      <w:r w:rsidR="0035032A">
        <w:rPr>
          <w:rFonts w:hint="cs"/>
          <w:rtl/>
          <w:lang w:val="fr-CH" w:bidi="ar-SY"/>
        </w:rPr>
        <w:t>المحتوى المصنف أو جميعه</w:t>
      </w:r>
      <w:r w:rsidR="0076126F">
        <w:rPr>
          <w:rFonts w:hint="cs"/>
          <w:rtl/>
          <w:lang w:val="fr-CH" w:bidi="ar-SY"/>
        </w:rPr>
        <w:t xml:space="preserve"> من </w:t>
      </w:r>
      <w:r w:rsidR="002E6CFB">
        <w:rPr>
          <w:rFonts w:hint="cs"/>
          <w:rtl/>
          <w:lang w:val="fr-CH" w:bidi="ar-SY"/>
        </w:rPr>
        <w:t>وسيلة</w:t>
      </w:r>
      <w:r w:rsidR="0076126F">
        <w:rPr>
          <w:rFonts w:hint="cs"/>
          <w:rtl/>
          <w:lang w:val="fr-CH" w:bidi="ar-SY"/>
        </w:rPr>
        <w:t xml:space="preserve"> إلى </w:t>
      </w:r>
      <w:r w:rsidR="002E6CFB">
        <w:rPr>
          <w:rFonts w:hint="cs"/>
          <w:rtl/>
          <w:lang w:val="fr-CH" w:bidi="ar-SY"/>
        </w:rPr>
        <w:t>أخرى</w:t>
      </w:r>
      <w:r w:rsidR="0076126F">
        <w:rPr>
          <w:rFonts w:hint="cs"/>
          <w:rtl/>
          <w:lang w:val="fr-CH" w:bidi="ar-SY"/>
        </w:rPr>
        <w:t xml:space="preserve">. ومع ذلك، يمكن لهذه </w:t>
      </w:r>
      <w:r w:rsidR="00FC2B8A">
        <w:rPr>
          <w:rFonts w:hint="cs"/>
          <w:rtl/>
          <w:lang w:val="fr-CH" w:bidi="ar-SY"/>
        </w:rPr>
        <w:t>التحولات أن</w:t>
      </w:r>
      <w:r w:rsidR="0035032A">
        <w:rPr>
          <w:rFonts w:hint="cs"/>
          <w:rtl/>
          <w:lang w:val="fr-CH" w:bidi="ar-SY"/>
        </w:rPr>
        <w:t xml:space="preserve"> </w:t>
      </w:r>
      <w:r w:rsidR="00B568BF">
        <w:rPr>
          <w:rFonts w:hint="cs"/>
          <w:rtl/>
          <w:lang w:val="fr-CH" w:bidi="ar-SY"/>
        </w:rPr>
        <w:t>تتداخل مع</w:t>
      </w:r>
      <w:r w:rsidR="00B568BF">
        <w:rPr>
          <w:rFonts w:hint="cs"/>
          <w:rtl/>
          <w:lang w:val="fr-CH" w:bidi="ar-EG"/>
        </w:rPr>
        <w:t xml:space="preserve"> </w:t>
      </w:r>
      <w:r w:rsidR="00FC2B8A">
        <w:rPr>
          <w:rFonts w:hint="cs"/>
          <w:rtl/>
          <w:lang w:val="fr-CH" w:bidi="ar-SY"/>
        </w:rPr>
        <w:t>الحقوق الحصرية الممنوحة لأصحاب حق المؤلف والحقوق المجاورة.</w:t>
      </w:r>
    </w:p>
    <w:p w:rsidR="00415859" w:rsidRDefault="00FC2B8A" w:rsidP="00D158D5">
      <w:pPr>
        <w:spacing w:before="200"/>
        <w:rPr>
          <w:rtl/>
          <w:lang w:val="fr-CH" w:bidi="ar-SY"/>
        </w:rPr>
      </w:pPr>
      <w:r>
        <w:rPr>
          <w:rFonts w:hint="cs"/>
          <w:rtl/>
          <w:lang w:val="fr-CH" w:bidi="ar-SY"/>
        </w:rPr>
        <w:t>وقد أجرى الدراسة باحثون من جامعة كيب تاون في جنوب أفريقيا وفي مركز سامويلسون-غلوشكو لقوانين وسياسات التكنولوجيا التابع</w:t>
      </w:r>
      <w:r w:rsidRPr="00FC2B8A">
        <w:rPr>
          <w:rFonts w:hint="cs"/>
          <w:rtl/>
          <w:lang w:val="fr-CH" w:bidi="ar-SY"/>
        </w:rPr>
        <w:t xml:space="preserve"> </w:t>
      </w:r>
      <w:r>
        <w:rPr>
          <w:rFonts w:hint="cs"/>
          <w:rtl/>
          <w:lang w:val="fr-CH" w:bidi="ar-SY"/>
        </w:rPr>
        <w:t>لكلية الحقوق في جامعة كولورادو. وعزز الباحثون دراسة النطاق السابقة، التي تضمنت الاستبيانات التي أ</w:t>
      </w:r>
      <w:r w:rsidR="00415859">
        <w:rPr>
          <w:rFonts w:hint="cs"/>
          <w:rtl/>
          <w:lang w:val="fr-CH" w:bidi="ar-SY"/>
        </w:rPr>
        <w:t>ُ</w:t>
      </w:r>
      <w:r>
        <w:rPr>
          <w:rFonts w:hint="cs"/>
          <w:rtl/>
          <w:lang w:val="fr-CH" w:bidi="ar-SY"/>
        </w:rPr>
        <w:t xml:space="preserve">رسلت إلى الدول الأعضاء والمقدمة من طرفها، مع إجراء بحث مستقل </w:t>
      </w:r>
      <w:r w:rsidR="00415859">
        <w:rPr>
          <w:rFonts w:hint="cs"/>
          <w:rtl/>
          <w:lang w:val="fr-CH" w:bidi="ar-SY"/>
        </w:rPr>
        <w:t>لاستعراض وتحليل</w:t>
      </w:r>
      <w:r>
        <w:rPr>
          <w:rFonts w:hint="cs"/>
          <w:rtl/>
          <w:lang w:val="fr-CH" w:bidi="ar-SY"/>
        </w:rPr>
        <w:t xml:space="preserve"> أنظمة حق المؤلف </w:t>
      </w:r>
      <w:r w:rsidR="0035032A">
        <w:rPr>
          <w:rFonts w:hint="cs"/>
          <w:rtl/>
          <w:lang w:val="fr-CH" w:bidi="ar-SY"/>
        </w:rPr>
        <w:t>في</w:t>
      </w:r>
      <w:r>
        <w:rPr>
          <w:rFonts w:hint="cs"/>
          <w:rtl/>
          <w:lang w:val="fr-CH" w:bidi="ar-SY"/>
        </w:rPr>
        <w:t xml:space="preserve"> </w:t>
      </w:r>
      <w:r w:rsidR="00415859">
        <w:rPr>
          <w:rFonts w:hint="cs"/>
          <w:rtl/>
          <w:lang w:val="fr-CH" w:bidi="ar-SY"/>
        </w:rPr>
        <w:t xml:space="preserve">الدول </w:t>
      </w:r>
      <w:r>
        <w:rPr>
          <w:rFonts w:hint="cs"/>
          <w:rtl/>
          <w:lang w:val="fr-CH" w:bidi="ar-SY"/>
        </w:rPr>
        <w:t>الأعضاء و</w:t>
      </w:r>
      <w:r w:rsidR="0035032A">
        <w:rPr>
          <w:rFonts w:hint="cs"/>
          <w:rtl/>
          <w:lang w:val="fr-CH" w:bidi="ar-SY"/>
        </w:rPr>
        <w:t>ال</w:t>
      </w:r>
      <w:r>
        <w:rPr>
          <w:rFonts w:hint="cs"/>
          <w:rtl/>
          <w:lang w:val="fr-CH" w:bidi="ar-SY"/>
        </w:rPr>
        <w:t xml:space="preserve">أحكام </w:t>
      </w:r>
      <w:r w:rsidR="0035032A">
        <w:rPr>
          <w:rFonts w:hint="cs"/>
          <w:rtl/>
          <w:lang w:val="fr-CH" w:bidi="ar-SY"/>
        </w:rPr>
        <w:t>المتعلقة بالإعاقات التي تنص عليها</w:t>
      </w:r>
      <w:r>
        <w:rPr>
          <w:rFonts w:hint="cs"/>
          <w:rtl/>
          <w:lang w:val="fr-CH" w:bidi="ar-SY"/>
        </w:rPr>
        <w:t xml:space="preserve"> تلك الأنظمة.</w:t>
      </w:r>
    </w:p>
    <w:p w:rsidR="00415859" w:rsidRDefault="00415859" w:rsidP="00D158D5">
      <w:pPr>
        <w:spacing w:before="200"/>
        <w:rPr>
          <w:rtl/>
          <w:lang w:val="fr-CH" w:bidi="ar-SY"/>
        </w:rPr>
      </w:pPr>
      <w:r>
        <w:rPr>
          <w:rFonts w:hint="cs"/>
          <w:rtl/>
          <w:lang w:val="fr-CH" w:bidi="ar-SY"/>
        </w:rPr>
        <w:t xml:space="preserve">ومن بين النتائج الأخرى، كشفت هذه الدراسة أن أكثر من نصف الدول الأعضاء </w:t>
      </w:r>
      <w:r w:rsidR="00B568BF">
        <w:rPr>
          <w:rFonts w:hint="cs"/>
          <w:rtl/>
          <w:lang w:val="fr-CH" w:bidi="ar-SY"/>
        </w:rPr>
        <w:t xml:space="preserve">جميعها </w:t>
      </w:r>
      <w:r>
        <w:rPr>
          <w:rFonts w:hint="cs"/>
          <w:rtl/>
          <w:lang w:val="fr-CH" w:bidi="ar-SY"/>
        </w:rPr>
        <w:t xml:space="preserve">لديها </w:t>
      </w:r>
      <w:r w:rsidR="00B568BF">
        <w:rPr>
          <w:rFonts w:hint="cs"/>
          <w:rtl/>
          <w:lang w:val="fr-CH" w:bidi="ar-SY"/>
        </w:rPr>
        <w:t xml:space="preserve">نوع </w:t>
      </w:r>
      <w:r>
        <w:rPr>
          <w:rFonts w:hint="cs"/>
          <w:rtl/>
          <w:lang w:val="fr-CH" w:bidi="ar-SY"/>
        </w:rPr>
        <w:t xml:space="preserve">من الاستثناءات </w:t>
      </w:r>
      <w:r w:rsidR="0035032A">
        <w:rPr>
          <w:rFonts w:hint="cs"/>
          <w:rtl/>
          <w:lang w:val="fr-CH" w:bidi="ar-SY"/>
        </w:rPr>
        <w:t>لفائدة الأشخاص ذوي</w:t>
      </w:r>
      <w:r>
        <w:rPr>
          <w:rFonts w:hint="cs"/>
          <w:rtl/>
          <w:lang w:val="fr-CH" w:bidi="ar-SY"/>
        </w:rPr>
        <w:t xml:space="preserve"> الإعاقات </w:t>
      </w:r>
      <w:r w:rsidR="0035032A">
        <w:rPr>
          <w:rFonts w:hint="cs"/>
          <w:rtl/>
          <w:lang w:val="fr-CH" w:bidi="ar-SY"/>
        </w:rPr>
        <w:t>ال</w:t>
      </w:r>
      <w:r>
        <w:rPr>
          <w:rFonts w:hint="cs"/>
          <w:rtl/>
          <w:lang w:val="fr-CH" w:bidi="ar-SY"/>
        </w:rPr>
        <w:t>مدونة في قوانينها الخاصة بحق المؤلف، ويوفر ثلث هذه الدول الأعضاء استثناءات لجميع</w:t>
      </w:r>
      <w:r w:rsidR="00B568BF">
        <w:rPr>
          <w:rFonts w:hint="eastAsia"/>
          <w:rtl/>
          <w:lang w:val="fr-CH" w:bidi="ar-SY"/>
        </w:rPr>
        <w:t> </w:t>
      </w:r>
      <w:r>
        <w:rPr>
          <w:rFonts w:hint="cs"/>
          <w:rtl/>
          <w:lang w:val="fr-CH" w:bidi="ar-SY"/>
        </w:rPr>
        <w:t>الإعاقات.</w:t>
      </w:r>
    </w:p>
    <w:p w:rsidR="00A52C78" w:rsidRDefault="00A52C78" w:rsidP="00A52C78">
      <w:pPr>
        <w:pStyle w:val="Heading2"/>
        <w:rPr>
          <w:rtl/>
          <w:lang w:val="fr-CH" w:bidi="ar-SY"/>
        </w:rPr>
      </w:pPr>
      <w:r>
        <w:rPr>
          <w:rFonts w:hint="cs"/>
          <w:rtl/>
          <w:lang w:val="fr-CH" w:bidi="ar-SY"/>
        </w:rPr>
        <w:t>مقدمة</w:t>
      </w:r>
    </w:p>
    <w:p w:rsidR="00AA4467" w:rsidRDefault="00FC40E7" w:rsidP="00B568BF">
      <w:pPr>
        <w:pStyle w:val="BodyText"/>
        <w:rPr>
          <w:rtl/>
          <w:lang w:val="fr-CH" w:bidi="ar-SY"/>
        </w:rPr>
      </w:pPr>
      <w:r>
        <w:rPr>
          <w:rFonts w:hint="cs"/>
          <w:rtl/>
          <w:lang w:val="fr-CH" w:bidi="ar-SY"/>
        </w:rPr>
        <w:t xml:space="preserve">سنت جميع الدول الأعضاء في الويبو تقريباً بشكل من الأشكال </w:t>
      </w:r>
      <w:r w:rsidR="0035032A">
        <w:rPr>
          <w:rFonts w:hint="cs"/>
          <w:rtl/>
          <w:lang w:val="fr-CH" w:bidi="ar-SY"/>
        </w:rPr>
        <w:t>أنظمة</w:t>
      </w:r>
      <w:r>
        <w:rPr>
          <w:rFonts w:hint="cs"/>
          <w:rtl/>
          <w:lang w:val="fr-CH" w:bidi="ar-SY"/>
        </w:rPr>
        <w:t xml:space="preserve"> </w:t>
      </w:r>
      <w:r w:rsidR="0035032A">
        <w:rPr>
          <w:rFonts w:hint="cs"/>
          <w:rtl/>
          <w:lang w:val="fr-CH" w:bidi="ar-SY"/>
        </w:rPr>
        <w:t>خاصة ب</w:t>
      </w:r>
      <w:r>
        <w:rPr>
          <w:rFonts w:hint="cs"/>
          <w:rtl/>
          <w:lang w:val="fr-CH" w:bidi="ar-SY"/>
        </w:rPr>
        <w:t xml:space="preserve">حق مؤلف تخول حقوقاً حصرية لمؤلفي المصنفات الإبداعية. وهذه الحماية، في حين أنها موجودة منذ فترة طويلة ومقبولة من الناحية النظرية القانونية في جميع أنحاء العالم، </w:t>
      </w:r>
      <w:r w:rsidR="0035032A">
        <w:rPr>
          <w:rFonts w:hint="cs"/>
          <w:rtl/>
          <w:lang w:val="fr-CH" w:bidi="ar-SY"/>
        </w:rPr>
        <w:t>فإنها تشكل</w:t>
      </w:r>
      <w:r>
        <w:rPr>
          <w:rFonts w:hint="cs"/>
          <w:rtl/>
          <w:lang w:val="fr-CH" w:bidi="ar-SY"/>
        </w:rPr>
        <w:t xml:space="preserve"> أيضاً </w:t>
      </w:r>
      <w:r w:rsidR="0035032A">
        <w:rPr>
          <w:rFonts w:hint="cs"/>
          <w:rtl/>
          <w:lang w:val="fr-CH" w:bidi="ar-SY"/>
        </w:rPr>
        <w:t xml:space="preserve">نقطة تقاطع </w:t>
      </w:r>
      <w:r>
        <w:rPr>
          <w:rFonts w:hint="cs"/>
          <w:rtl/>
          <w:lang w:val="fr-CH" w:bidi="ar-SY"/>
        </w:rPr>
        <w:t>مع قدرة الأشخاص ذوي الإعاقات على النفا</w:t>
      </w:r>
      <w:r w:rsidR="0035032A">
        <w:rPr>
          <w:rFonts w:hint="cs"/>
          <w:rtl/>
          <w:lang w:val="fr-CH" w:bidi="ar-SY"/>
        </w:rPr>
        <w:t xml:space="preserve">ذ إلى بعض المصنفات المحمية بحق المؤلف على نحو </w:t>
      </w:r>
      <w:r>
        <w:rPr>
          <w:rFonts w:hint="cs"/>
          <w:rtl/>
          <w:lang w:val="fr-CH" w:bidi="ar-SY"/>
        </w:rPr>
        <w:t xml:space="preserve">قد </w:t>
      </w:r>
      <w:r w:rsidR="00B568BF">
        <w:rPr>
          <w:rFonts w:hint="cs"/>
          <w:rtl/>
          <w:lang w:val="fr-CH" w:bidi="ar-SY"/>
        </w:rPr>
        <w:t>ي</w:t>
      </w:r>
      <w:r>
        <w:rPr>
          <w:rFonts w:hint="cs"/>
          <w:rtl/>
          <w:lang w:val="fr-CH" w:bidi="ar-SY"/>
        </w:rPr>
        <w:t xml:space="preserve">شكل صعوبات في النفاذ إلى تلك الأعمال. وإن وضع ونشر </w:t>
      </w:r>
      <w:r w:rsidR="00B9746B">
        <w:rPr>
          <w:rFonts w:hint="cs"/>
          <w:rtl/>
          <w:lang w:val="fr-CH" w:bidi="ar-SY"/>
        </w:rPr>
        <w:t xml:space="preserve">صيغ </w:t>
      </w:r>
      <w:r w:rsidR="00B26DDD">
        <w:rPr>
          <w:rFonts w:hint="cs"/>
          <w:rtl/>
          <w:lang w:val="fr-CH" w:bidi="ar-SY"/>
        </w:rPr>
        <w:t>ميسّرة</w:t>
      </w:r>
      <w:r w:rsidR="00B9746B">
        <w:rPr>
          <w:rFonts w:hint="cs"/>
          <w:rtl/>
          <w:lang w:val="fr-CH" w:bidi="ar-SY"/>
        </w:rPr>
        <w:t xml:space="preserve"> من ا</w:t>
      </w:r>
      <w:r>
        <w:rPr>
          <w:rFonts w:hint="cs"/>
          <w:rtl/>
          <w:lang w:val="fr-CH" w:bidi="ar-SY"/>
        </w:rPr>
        <w:t>لمصنفات المحمية بحق المؤلف</w:t>
      </w:r>
      <w:r>
        <w:rPr>
          <w:rtl/>
          <w:lang w:val="fr-CH" w:bidi="ar-SY"/>
        </w:rPr>
        <w:t>–</w:t>
      </w:r>
      <w:r>
        <w:rPr>
          <w:rFonts w:hint="cs"/>
          <w:rtl/>
          <w:lang w:val="fr-CH" w:bidi="ar-SY"/>
        </w:rPr>
        <w:t>مثلا</w:t>
      </w:r>
      <w:r w:rsidR="0035032A">
        <w:rPr>
          <w:rFonts w:hint="cs"/>
          <w:rtl/>
          <w:lang w:val="fr-CH" w:bidi="ar-SY"/>
        </w:rPr>
        <w:t>ً</w:t>
      </w:r>
      <w:r>
        <w:rPr>
          <w:rFonts w:hint="cs"/>
          <w:rtl/>
          <w:lang w:val="fr-CH" w:bidi="ar-SY"/>
        </w:rPr>
        <w:t xml:space="preserve">، برنامج تلفزيوني </w:t>
      </w:r>
      <w:r w:rsidR="0035032A">
        <w:rPr>
          <w:rFonts w:hint="cs"/>
          <w:rtl/>
          <w:lang w:val="fr-CH" w:bidi="ar-SY"/>
        </w:rPr>
        <w:t xml:space="preserve">بعرض نصي للحوار </w:t>
      </w:r>
      <w:r w:rsidR="000575BC">
        <w:rPr>
          <w:rFonts w:hint="cs"/>
          <w:rtl/>
          <w:lang w:val="fr-CH" w:bidi="ar-SY"/>
        </w:rPr>
        <w:t xml:space="preserve">أو نسخة صوتية من كتاب </w:t>
      </w:r>
      <w:r w:rsidR="000575BC">
        <w:rPr>
          <w:rtl/>
          <w:lang w:val="fr-CH" w:bidi="ar-SY"/>
        </w:rPr>
        <w:t>–</w:t>
      </w:r>
      <w:r w:rsidR="000575BC">
        <w:rPr>
          <w:rFonts w:hint="cs"/>
          <w:rtl/>
          <w:lang w:val="fr-CH" w:bidi="ar-SY"/>
        </w:rPr>
        <w:t xml:space="preserve"> يمكن أن يشكل صعوبة لأن ذلك </w:t>
      </w:r>
      <w:r w:rsidR="00B568BF">
        <w:rPr>
          <w:rFonts w:hint="cs"/>
          <w:rtl/>
          <w:lang w:val="fr-CH" w:bidi="ar-SY"/>
        </w:rPr>
        <w:t xml:space="preserve">يتداخل مع </w:t>
      </w:r>
      <w:r w:rsidR="000575BC">
        <w:rPr>
          <w:rFonts w:hint="cs"/>
          <w:rtl/>
          <w:lang w:val="fr-CH" w:bidi="ar-SY"/>
        </w:rPr>
        <w:t xml:space="preserve">الحقوق الحصرية التي تحميها </w:t>
      </w:r>
      <w:r w:rsidR="0035032A">
        <w:rPr>
          <w:rFonts w:hint="cs"/>
          <w:rtl/>
          <w:lang w:val="fr-CH" w:bidi="ar-SY"/>
        </w:rPr>
        <w:t>أنظمة</w:t>
      </w:r>
      <w:r w:rsidR="000575BC">
        <w:rPr>
          <w:rFonts w:hint="cs"/>
          <w:rtl/>
          <w:lang w:val="fr-CH" w:bidi="ar-SY"/>
        </w:rPr>
        <w:t xml:space="preserve"> حق المؤلف في الدول الأعضاء في الويبو، من قبيل حق </w:t>
      </w:r>
      <w:r w:rsidR="00B9746B">
        <w:rPr>
          <w:rFonts w:hint="cs"/>
          <w:rtl/>
          <w:lang w:val="fr-CH" w:bidi="ar-SY"/>
        </w:rPr>
        <w:t>النسخ و</w:t>
      </w:r>
      <w:r w:rsidR="00B568BF">
        <w:rPr>
          <w:rFonts w:hint="cs"/>
          <w:rtl/>
          <w:lang w:val="fr-CH" w:bidi="ar-SY"/>
        </w:rPr>
        <w:t>حق التوزيع</w:t>
      </w:r>
      <w:r w:rsidR="00B9746B">
        <w:rPr>
          <w:rStyle w:val="FootnoteReference"/>
          <w:rtl/>
          <w:lang w:val="fr-CH" w:bidi="ar-SY"/>
        </w:rPr>
        <w:footnoteReference w:id="1"/>
      </w:r>
      <w:r w:rsidR="00B9746B">
        <w:rPr>
          <w:rFonts w:hint="cs"/>
          <w:rtl/>
          <w:lang w:val="fr-CH" w:bidi="ar-SY"/>
        </w:rPr>
        <w:t xml:space="preserve">. </w:t>
      </w:r>
      <w:r w:rsidR="00AA4467">
        <w:rPr>
          <w:rFonts w:hint="cs"/>
          <w:rtl/>
          <w:lang w:val="fr-CH" w:bidi="ar-SY"/>
        </w:rPr>
        <w:t xml:space="preserve">وتعد مسألة إنشاء صيغ </w:t>
      </w:r>
      <w:r w:rsidR="00B26DDD">
        <w:rPr>
          <w:rFonts w:hint="cs"/>
          <w:rtl/>
          <w:lang w:val="fr-CH" w:bidi="ar-SY"/>
        </w:rPr>
        <w:t>ميسّرة</w:t>
      </w:r>
      <w:r w:rsidR="00AA4467">
        <w:rPr>
          <w:rFonts w:hint="cs"/>
          <w:rtl/>
          <w:lang w:val="fr-CH" w:bidi="ar-SY"/>
        </w:rPr>
        <w:t xml:space="preserve"> من المصنفات المحمية ضرورية لضمان إمكانية مشاركة الأشخاص ذوي الإعاقات في مجتمعاتهم والاسهام فيها على أتم وجه.</w:t>
      </w:r>
    </w:p>
    <w:p w:rsidR="00AA4467" w:rsidRDefault="00AA4467" w:rsidP="0035032A">
      <w:pPr>
        <w:pStyle w:val="BodyText"/>
        <w:rPr>
          <w:rtl/>
          <w:lang w:val="fr-CH" w:bidi="ar-SY"/>
        </w:rPr>
      </w:pPr>
      <w:r>
        <w:rPr>
          <w:rFonts w:hint="cs"/>
          <w:rtl/>
          <w:lang w:val="fr-CH" w:bidi="ar-SY"/>
        </w:rPr>
        <w:t xml:space="preserve">ومع بدء ظهور </w:t>
      </w:r>
      <w:r w:rsidR="0035032A">
        <w:rPr>
          <w:rFonts w:hint="cs"/>
          <w:rtl/>
          <w:lang w:val="fr-CH" w:bidi="ar-SY"/>
        </w:rPr>
        <w:t>تكنولوجيات</w:t>
      </w:r>
      <w:r>
        <w:rPr>
          <w:rFonts w:hint="cs"/>
          <w:rtl/>
          <w:lang w:val="fr-CH" w:bidi="ar-SY"/>
        </w:rPr>
        <w:t xml:space="preserve"> جديدة مثل التعرف التلق</w:t>
      </w:r>
      <w:r w:rsidR="001F4DC2">
        <w:rPr>
          <w:rFonts w:hint="cs"/>
          <w:rtl/>
          <w:lang w:val="fr-CH" w:bidi="ar-SY"/>
        </w:rPr>
        <w:t xml:space="preserve">ائي على الكلام، هناك إمكانية كبيرة لزيادة النفاذ إلى المواد المحمية بحقوق المؤلف وتلك المحمية بالحقوق المجاورة ("المصنفات المحمية") من خلال تسهيل النفاذ إلى المصنفات على نطاق واسع. </w:t>
      </w:r>
      <w:r w:rsidR="0035032A">
        <w:rPr>
          <w:rFonts w:hint="cs"/>
          <w:rtl/>
          <w:lang w:val="fr-CH" w:bidi="ar-SY"/>
        </w:rPr>
        <w:t>ومع ذلك</w:t>
      </w:r>
      <w:r w:rsidR="001F4DC2">
        <w:rPr>
          <w:rFonts w:hint="cs"/>
          <w:rtl/>
          <w:lang w:val="fr-CH" w:bidi="ar-SY"/>
        </w:rPr>
        <w:t xml:space="preserve">، من الضروري التفكير مستقبلياً في الطريقة التي يمكن أن يسهل بها قانون حق المؤلف والحقوق المجاورة </w:t>
      </w:r>
      <w:r w:rsidR="0035032A">
        <w:rPr>
          <w:rFonts w:hint="cs"/>
          <w:rtl/>
          <w:lang w:val="fr-CH" w:bidi="ar-SY"/>
        </w:rPr>
        <w:t xml:space="preserve">على نحو مرن </w:t>
      </w:r>
      <w:r w:rsidR="001F4DC2">
        <w:rPr>
          <w:rFonts w:hint="cs"/>
          <w:rtl/>
          <w:lang w:val="fr-CH" w:bidi="ar-SY"/>
        </w:rPr>
        <w:t>نفاذ الأشخاص ذوي الإعاقات.</w:t>
      </w:r>
    </w:p>
    <w:p w:rsidR="001F4DC2" w:rsidRDefault="001F4DC2" w:rsidP="002409F9">
      <w:pPr>
        <w:pStyle w:val="BodyText"/>
        <w:rPr>
          <w:rtl/>
          <w:lang w:val="fr-CH" w:bidi="ar-SY"/>
        </w:rPr>
      </w:pPr>
      <w:r>
        <w:rPr>
          <w:rFonts w:hint="cs"/>
          <w:rtl/>
          <w:lang w:val="fr-CH" w:bidi="ar-SY"/>
        </w:rPr>
        <w:lastRenderedPageBreak/>
        <w:t xml:space="preserve">وفي الدورات السابقة </w:t>
      </w:r>
      <w:r w:rsidR="002F7325">
        <w:rPr>
          <w:rFonts w:hint="cs"/>
          <w:rtl/>
          <w:lang w:val="fr-CH" w:bidi="ar-SY"/>
        </w:rPr>
        <w:t>للجنة الدائمة المعنية بحق المؤلف والحقوق المجاورة (لجنة</w:t>
      </w:r>
      <w:r w:rsidR="002409F9">
        <w:rPr>
          <w:rFonts w:hint="cs"/>
          <w:rtl/>
          <w:lang w:val="fr-CH"/>
        </w:rPr>
        <w:t xml:space="preserve"> حق المؤلف</w:t>
      </w:r>
      <w:r w:rsidR="002F7325">
        <w:rPr>
          <w:rFonts w:hint="cs"/>
          <w:rtl/>
          <w:lang w:val="fr-CH" w:bidi="ar-SY"/>
        </w:rPr>
        <w:t xml:space="preserve">)، التمست الدول الأعضاء في اللجنة من أمانة الويبو </w:t>
      </w:r>
      <w:r w:rsidR="002409F9">
        <w:rPr>
          <w:rFonts w:hint="cs"/>
          <w:rtl/>
          <w:lang w:val="fr-CH" w:bidi="ar-SY"/>
        </w:rPr>
        <w:t>ال</w:t>
      </w:r>
      <w:r w:rsidR="002F7325">
        <w:rPr>
          <w:rFonts w:hint="cs"/>
          <w:rtl/>
          <w:lang w:val="fr-CH" w:bidi="ar-SY"/>
        </w:rPr>
        <w:t>تكليف بإجراء دراسة نطاق حول التقييدات والاستثناءات لفائدة الأشخاص ذوي الإعاقات غير المشمولة حالياً بمعاهد</w:t>
      </w:r>
      <w:r w:rsidR="0035032A">
        <w:rPr>
          <w:rFonts w:hint="cs"/>
          <w:rtl/>
          <w:lang w:val="fr-CH" w:bidi="ar-SY"/>
        </w:rPr>
        <w:t>ة</w:t>
      </w:r>
      <w:r w:rsidR="002F7325">
        <w:rPr>
          <w:rFonts w:hint="cs"/>
          <w:rtl/>
          <w:lang w:val="fr-CH" w:bidi="ar-SY"/>
        </w:rPr>
        <w:t xml:space="preserve"> مراكش لتسير النفاذ إلى المصنفات المنشورة لفائدة الأشخاص المكفوفين أو معاقي البصر أو ذوي إعاقات أخرى في قراءة المطبوعات</w:t>
      </w:r>
      <w:r w:rsidR="002F7325">
        <w:rPr>
          <w:rStyle w:val="FootnoteReference"/>
          <w:rtl/>
          <w:lang w:val="fr-CH" w:bidi="ar-SY"/>
        </w:rPr>
        <w:footnoteReference w:id="2"/>
      </w:r>
      <w:r w:rsidR="002F7325">
        <w:rPr>
          <w:rFonts w:hint="cs"/>
          <w:rtl/>
          <w:lang w:val="fr-CH" w:bidi="ar-SY"/>
        </w:rPr>
        <w:t>.</w:t>
      </w:r>
    </w:p>
    <w:p w:rsidR="00FC40E7" w:rsidRDefault="00792E3A" w:rsidP="002409F9">
      <w:pPr>
        <w:pStyle w:val="BodyText"/>
        <w:rPr>
          <w:rtl/>
          <w:lang w:val="fr-CH" w:bidi="ar-SY"/>
        </w:rPr>
      </w:pPr>
      <w:r>
        <w:rPr>
          <w:rFonts w:hint="cs"/>
          <w:rtl/>
          <w:lang w:bidi="ar-SY"/>
        </w:rPr>
        <w:t xml:space="preserve">وتعتمد هذه الدراسة على الدراسة التي </w:t>
      </w:r>
      <w:r w:rsidR="00E35EF3">
        <w:rPr>
          <w:rFonts w:hint="cs"/>
          <w:rtl/>
          <w:lang w:bidi="ar-SY"/>
        </w:rPr>
        <w:t>أُجريت مسبقاً</w:t>
      </w:r>
      <w:r w:rsidR="00E35EF3">
        <w:rPr>
          <w:rFonts w:hint="cs"/>
          <w:rtl/>
          <w:lang w:val="fr-CH" w:bidi="ar-SY"/>
        </w:rPr>
        <w:t xml:space="preserve"> وقدمت لأول مرة في نوفمبر 2017</w:t>
      </w:r>
      <w:r w:rsidR="0035032A">
        <w:rPr>
          <w:rStyle w:val="FootnoteReference"/>
          <w:rtl/>
          <w:lang w:val="fr-CH" w:bidi="ar-SY"/>
        </w:rPr>
        <w:footnoteReference w:id="3"/>
      </w:r>
      <w:r w:rsidR="00E35EF3">
        <w:rPr>
          <w:rFonts w:hint="cs"/>
          <w:rtl/>
          <w:lang w:val="fr-CH" w:bidi="ar-SY"/>
        </w:rPr>
        <w:t xml:space="preserve">. ومع ذلك، فإن </w:t>
      </w:r>
      <w:r w:rsidR="0035032A">
        <w:rPr>
          <w:rFonts w:hint="cs"/>
          <w:rtl/>
          <w:lang w:val="fr-CH" w:bidi="ar-SY"/>
        </w:rPr>
        <w:t>المنهجية المتبعة</w:t>
      </w:r>
      <w:r w:rsidR="00E35EF3">
        <w:rPr>
          <w:rFonts w:hint="cs"/>
          <w:rtl/>
          <w:lang w:val="fr-CH" w:bidi="ar-SY"/>
        </w:rPr>
        <w:t xml:space="preserve"> </w:t>
      </w:r>
      <w:r w:rsidR="00FD0AF1">
        <w:rPr>
          <w:rFonts w:hint="cs"/>
          <w:rtl/>
          <w:lang w:val="fr-CH" w:bidi="ar-SY"/>
        </w:rPr>
        <w:t xml:space="preserve">مختلفة اختلافاً كبيراً. فبدلاً من جمع البيانات مباشرة من الدول الأعضاء في الويبو من خلال استبيان </w:t>
      </w:r>
      <w:r w:rsidR="0035032A">
        <w:rPr>
          <w:rFonts w:hint="cs"/>
          <w:rtl/>
          <w:lang w:val="fr-CH" w:bidi="ar-SY"/>
        </w:rPr>
        <w:t>مصمم خصيصاً</w:t>
      </w:r>
      <w:r w:rsidR="00FD0AF1">
        <w:rPr>
          <w:rFonts w:hint="cs"/>
          <w:rtl/>
          <w:lang w:val="fr-CH" w:bidi="ar-SY"/>
        </w:rPr>
        <w:t>، فقد أجرى مؤلفو هذه الدراسة بحث</w:t>
      </w:r>
      <w:r w:rsidR="0035032A">
        <w:rPr>
          <w:rFonts w:hint="cs"/>
          <w:rtl/>
          <w:lang w:val="fr-CH" w:bidi="ar-SY"/>
        </w:rPr>
        <w:t>اً</w:t>
      </w:r>
      <w:r w:rsidR="00FD0AF1">
        <w:rPr>
          <w:rFonts w:hint="cs"/>
          <w:rtl/>
          <w:lang w:val="fr-CH" w:bidi="ar-SY"/>
        </w:rPr>
        <w:t xml:space="preserve"> مستقل</w:t>
      </w:r>
      <w:r w:rsidR="0035032A">
        <w:rPr>
          <w:rFonts w:hint="cs"/>
          <w:rtl/>
          <w:lang w:val="fr-CH" w:bidi="ar-SY"/>
        </w:rPr>
        <w:t>اً</w:t>
      </w:r>
      <w:r w:rsidR="00FD0AF1">
        <w:rPr>
          <w:rFonts w:hint="cs"/>
          <w:rtl/>
          <w:lang w:val="fr-CH" w:bidi="ar-SY"/>
        </w:rPr>
        <w:t xml:space="preserve"> حول القوانين الوطنية لحق المؤلف لكل دولة من الدول الأعضاء في الويبو. وتقدم هذه الدراسة مزيداً من التحليل فيما يتعلق بالحالة الراهنة لما إذا كانت الدول الأعضاء قد اعتمدت أو نفذت </w:t>
      </w:r>
      <w:r w:rsidR="002409F9">
        <w:rPr>
          <w:rFonts w:hint="cs"/>
          <w:rtl/>
          <w:lang w:val="fr-CH"/>
        </w:rPr>
        <w:t xml:space="preserve">تدابير تتوافق مع أحكام </w:t>
      </w:r>
      <w:r w:rsidR="00FD0AF1">
        <w:rPr>
          <w:rFonts w:hint="cs"/>
          <w:rtl/>
          <w:lang w:val="fr-CH" w:bidi="ar-SY"/>
        </w:rPr>
        <w:t>معاهدة مراكش أم لا</w:t>
      </w:r>
      <w:r w:rsidR="0035032A">
        <w:rPr>
          <w:rFonts w:hint="cs"/>
          <w:rtl/>
          <w:lang w:val="fr-CH" w:bidi="ar-SY"/>
        </w:rPr>
        <w:t xml:space="preserve"> وإلى أي مدى </w:t>
      </w:r>
      <w:r w:rsidR="002409F9">
        <w:rPr>
          <w:rFonts w:hint="cs"/>
          <w:rtl/>
          <w:lang w:val="fr-CH" w:bidi="ar-SY"/>
        </w:rPr>
        <w:t>نفذتها</w:t>
      </w:r>
      <w:r w:rsidR="00FD0AF1">
        <w:rPr>
          <w:rFonts w:hint="cs"/>
          <w:rtl/>
          <w:lang w:val="fr-CH" w:bidi="ar-SY"/>
        </w:rPr>
        <w:t>.</w:t>
      </w:r>
    </w:p>
    <w:p w:rsidR="00FD0AF1" w:rsidRDefault="002409F9" w:rsidP="00FD0AF1">
      <w:pPr>
        <w:pStyle w:val="Heading2"/>
        <w:rPr>
          <w:rtl/>
          <w:lang w:val="fr-CH" w:bidi="ar-SY"/>
        </w:rPr>
      </w:pPr>
      <w:r>
        <w:rPr>
          <w:rFonts w:hint="cs"/>
          <w:rtl/>
          <w:lang w:val="fr-CH" w:bidi="ar-SY"/>
        </w:rPr>
        <w:t>ال</w:t>
      </w:r>
      <w:r w:rsidR="00FD0AF1" w:rsidRPr="00FD0AF1">
        <w:rPr>
          <w:rFonts w:hint="cs"/>
          <w:rtl/>
          <w:lang w:val="fr-CH" w:bidi="ar-SY"/>
        </w:rPr>
        <w:t>خلفية</w:t>
      </w:r>
    </w:p>
    <w:p w:rsidR="00FD0AF1" w:rsidRDefault="004271E8" w:rsidP="00D158D5">
      <w:pPr>
        <w:pStyle w:val="BodyText"/>
        <w:rPr>
          <w:rtl/>
          <w:lang w:val="fr-CH" w:bidi="ar-SY"/>
        </w:rPr>
      </w:pPr>
      <w:r>
        <w:rPr>
          <w:rFonts w:hint="cs"/>
          <w:rtl/>
          <w:lang w:val="fr-CH" w:bidi="ar-SY"/>
        </w:rPr>
        <w:t>تشير تقديرات منظمة الصحة العالمية إلى أن حوالي 15% من الأشخاص يعانون من إعاقة</w:t>
      </w:r>
      <w:r>
        <w:rPr>
          <w:rStyle w:val="FootnoteReference"/>
          <w:rtl/>
          <w:lang w:val="fr-CH" w:bidi="ar-SY"/>
        </w:rPr>
        <w:footnoteReference w:id="4"/>
      </w:r>
      <w:r>
        <w:rPr>
          <w:rFonts w:hint="cs"/>
          <w:rtl/>
          <w:lang w:val="fr-CH" w:bidi="ar-SY"/>
        </w:rPr>
        <w:t xml:space="preserve">. وتؤثر الإعاقات بشكل غير </w:t>
      </w:r>
      <w:r w:rsidR="0035032A">
        <w:rPr>
          <w:rFonts w:hint="cs"/>
          <w:rtl/>
          <w:lang w:val="fr-CH" w:bidi="ar-SY"/>
        </w:rPr>
        <w:t>متكافئ</w:t>
      </w:r>
      <w:r>
        <w:rPr>
          <w:rFonts w:hint="cs"/>
          <w:rtl/>
          <w:lang w:val="fr-CH" w:bidi="ar-SY"/>
        </w:rPr>
        <w:t xml:space="preserve"> </w:t>
      </w:r>
      <w:r w:rsidR="002409F9">
        <w:rPr>
          <w:rFonts w:hint="cs"/>
          <w:rtl/>
          <w:lang w:val="fr-CH" w:bidi="ar-SY"/>
        </w:rPr>
        <w:t>في</w:t>
      </w:r>
      <w:r>
        <w:rPr>
          <w:rFonts w:hint="cs"/>
          <w:rtl/>
          <w:lang w:val="fr-CH" w:bidi="ar-SY"/>
        </w:rPr>
        <w:t xml:space="preserve"> الأشخاص في البلدان النامية</w:t>
      </w:r>
      <w:r>
        <w:rPr>
          <w:rStyle w:val="FootnoteReference"/>
          <w:rtl/>
          <w:lang w:val="fr-CH" w:bidi="ar-SY"/>
        </w:rPr>
        <w:footnoteReference w:id="5"/>
      </w:r>
      <w:r>
        <w:rPr>
          <w:rFonts w:hint="cs"/>
          <w:rtl/>
          <w:lang w:val="fr-CH" w:bidi="ar-SY"/>
        </w:rPr>
        <w:t xml:space="preserve">. وعلاوة على ذلك، </w:t>
      </w:r>
      <w:r w:rsidR="0077051A">
        <w:rPr>
          <w:rFonts w:hint="cs"/>
          <w:rtl/>
          <w:lang w:val="fr-CH"/>
        </w:rPr>
        <w:t>تبلغ</w:t>
      </w:r>
      <w:r>
        <w:rPr>
          <w:rFonts w:hint="cs"/>
          <w:rtl/>
          <w:lang w:val="fr-CH" w:bidi="ar-SY"/>
        </w:rPr>
        <w:t xml:space="preserve"> منظمة الصحة العالمية أن معدل الإعاقة </w:t>
      </w:r>
      <w:r w:rsidR="0035032A">
        <w:rPr>
          <w:rFonts w:hint="cs"/>
          <w:rtl/>
          <w:lang w:val="fr-CH" w:bidi="ar-SY"/>
        </w:rPr>
        <w:t>يشهد</w:t>
      </w:r>
      <w:r>
        <w:rPr>
          <w:rFonts w:hint="cs"/>
          <w:rtl/>
          <w:lang w:val="fr-CH" w:bidi="ar-SY"/>
        </w:rPr>
        <w:t xml:space="preserve"> ارتفاع</w:t>
      </w:r>
      <w:r w:rsidR="0035032A">
        <w:rPr>
          <w:rFonts w:hint="cs"/>
          <w:rtl/>
          <w:lang w:val="fr-CH" w:bidi="ar-SY"/>
        </w:rPr>
        <w:t>اً</w:t>
      </w:r>
      <w:r>
        <w:rPr>
          <w:rStyle w:val="FootnoteReference"/>
          <w:rtl/>
          <w:lang w:val="fr-CH" w:bidi="ar-SY"/>
        </w:rPr>
        <w:footnoteReference w:id="6"/>
      </w:r>
      <w:r>
        <w:rPr>
          <w:rFonts w:hint="cs"/>
          <w:rtl/>
          <w:lang w:val="fr-CH" w:bidi="ar-SY"/>
        </w:rPr>
        <w:t>. و</w:t>
      </w:r>
      <w:r w:rsidR="0035032A">
        <w:rPr>
          <w:rFonts w:hint="cs"/>
          <w:rtl/>
          <w:lang w:val="fr-CH" w:bidi="ar-SY"/>
        </w:rPr>
        <w:t>تضع</w:t>
      </w:r>
      <w:r>
        <w:rPr>
          <w:rFonts w:hint="cs"/>
          <w:rtl/>
          <w:lang w:val="fr-CH" w:bidi="ar-SY"/>
        </w:rPr>
        <w:t xml:space="preserve"> ديباجة مركز البحوث والنهوض بالقانون</w:t>
      </w:r>
      <w:r w:rsidR="0035032A">
        <w:rPr>
          <w:rFonts w:hint="cs"/>
          <w:rtl/>
          <w:lang w:val="fr-CH" w:bidi="ar-SY"/>
        </w:rPr>
        <w:t xml:space="preserve"> </w:t>
      </w:r>
      <w:r w:rsidR="0035032A">
        <w:rPr>
          <w:lang w:bidi="ar-SY"/>
        </w:rPr>
        <w:t>(CRPD)</w:t>
      </w:r>
      <w:r>
        <w:rPr>
          <w:rFonts w:hint="cs"/>
          <w:rtl/>
          <w:lang w:val="fr-CH" w:bidi="ar-SY"/>
        </w:rPr>
        <w:t xml:space="preserve"> </w:t>
      </w:r>
      <w:r w:rsidR="0077051A">
        <w:rPr>
          <w:rFonts w:hint="cs"/>
          <w:rtl/>
          <w:lang w:val="fr-CH" w:bidi="ar-SY"/>
        </w:rPr>
        <w:t>ال</w:t>
      </w:r>
      <w:r>
        <w:rPr>
          <w:rFonts w:hint="cs"/>
          <w:rtl/>
          <w:lang w:val="fr-CH" w:bidi="ar-SY"/>
        </w:rPr>
        <w:t xml:space="preserve">مفهوم </w:t>
      </w:r>
      <w:r w:rsidR="0077051A">
        <w:rPr>
          <w:rFonts w:hint="cs"/>
          <w:rtl/>
          <w:lang w:val="fr-CH" w:bidi="ar-SY"/>
        </w:rPr>
        <w:t xml:space="preserve">العام للإعاقة </w:t>
      </w:r>
      <w:r w:rsidR="0035032A">
        <w:rPr>
          <w:rFonts w:hint="cs"/>
          <w:rtl/>
          <w:lang w:val="fr-CH" w:bidi="ar-SY"/>
        </w:rPr>
        <w:t>كالآتي</w:t>
      </w:r>
      <w:r>
        <w:rPr>
          <w:rFonts w:hint="cs"/>
          <w:rtl/>
          <w:lang w:val="fr-CH" w:bidi="ar-SY"/>
        </w:rPr>
        <w:t>:</w:t>
      </w:r>
    </w:p>
    <w:p w:rsidR="005E3680" w:rsidRPr="0035032A" w:rsidRDefault="000B3EEC" w:rsidP="00D158D5">
      <w:pPr>
        <w:pStyle w:val="Quote"/>
        <w:spacing w:after="0"/>
        <w:jc w:val="both"/>
        <w:rPr>
          <w:i w:val="0"/>
          <w:iCs w:val="0"/>
          <w:color w:val="auto"/>
          <w:rtl/>
          <w:lang w:val="fr-CH" w:bidi="ar-SY"/>
        </w:rPr>
      </w:pPr>
      <w:r w:rsidRPr="0035032A">
        <w:rPr>
          <w:rFonts w:hint="cs"/>
          <w:i w:val="0"/>
          <w:iCs w:val="0"/>
          <w:color w:val="auto"/>
          <w:rtl/>
          <w:lang w:val="fr-CH" w:bidi="ar-SY"/>
        </w:rPr>
        <w:t xml:space="preserve">ينجم العجز عن التفاعل </w:t>
      </w:r>
      <w:r w:rsidR="002F50BD">
        <w:rPr>
          <w:rFonts w:hint="cs"/>
          <w:i w:val="0"/>
          <w:iCs w:val="0"/>
          <w:color w:val="auto"/>
          <w:rtl/>
          <w:lang w:val="fr-CH" w:bidi="ar-SY"/>
        </w:rPr>
        <w:t>ما بين الأشخاص ذوي الإعاقات</w:t>
      </w:r>
      <w:r w:rsidRPr="0035032A">
        <w:rPr>
          <w:rFonts w:hint="cs"/>
          <w:i w:val="0"/>
          <w:iCs w:val="0"/>
          <w:color w:val="auto"/>
          <w:rtl/>
          <w:lang w:val="fr-CH" w:bidi="ar-SY"/>
        </w:rPr>
        <w:t xml:space="preserve"> والحواجز السلوكية والبيئية التي تعيق مشاركتهم التامة والفعلية في المجتمع على قدم المساواة مع </w:t>
      </w:r>
      <w:r w:rsidR="002F50BD">
        <w:rPr>
          <w:rFonts w:hint="cs"/>
          <w:i w:val="0"/>
          <w:iCs w:val="0"/>
          <w:color w:val="auto"/>
          <w:rtl/>
          <w:lang w:val="fr-CH" w:bidi="ar-SY"/>
        </w:rPr>
        <w:t xml:space="preserve">الأشخاص </w:t>
      </w:r>
      <w:r w:rsidRPr="0035032A">
        <w:rPr>
          <w:rFonts w:hint="cs"/>
          <w:i w:val="0"/>
          <w:iCs w:val="0"/>
          <w:color w:val="auto"/>
          <w:rtl/>
          <w:lang w:val="fr-CH" w:bidi="ar-SY"/>
        </w:rPr>
        <w:t>الآخرين</w:t>
      </w:r>
      <w:r w:rsidR="005E3680" w:rsidRPr="0035032A">
        <w:rPr>
          <w:rStyle w:val="FootnoteReference"/>
          <w:i w:val="0"/>
          <w:iCs w:val="0"/>
          <w:color w:val="auto"/>
          <w:rtl/>
          <w:lang w:val="fr-CH" w:bidi="ar-SY"/>
        </w:rPr>
        <w:footnoteReference w:id="7"/>
      </w:r>
      <w:r w:rsidRPr="0035032A">
        <w:rPr>
          <w:rFonts w:hint="cs"/>
          <w:i w:val="0"/>
          <w:iCs w:val="0"/>
          <w:color w:val="auto"/>
          <w:rtl/>
          <w:lang w:val="fr-CH" w:bidi="ar-SY"/>
        </w:rPr>
        <w:t>.</w:t>
      </w:r>
    </w:p>
    <w:p w:rsidR="00C961D8" w:rsidRDefault="00F36CF6" w:rsidP="00D158D5">
      <w:pPr>
        <w:pStyle w:val="BodyText"/>
        <w:rPr>
          <w:rtl/>
          <w:lang w:val="fr-CH" w:bidi="ar-SY"/>
        </w:rPr>
      </w:pPr>
      <w:r>
        <w:rPr>
          <w:rFonts w:hint="cs"/>
          <w:rtl/>
          <w:lang w:val="fr-CH" w:bidi="ar-SY"/>
        </w:rPr>
        <w:t xml:space="preserve">ومفهوم </w:t>
      </w:r>
      <w:r w:rsidR="002F50BD">
        <w:rPr>
          <w:rFonts w:hint="cs"/>
          <w:rtl/>
          <w:lang w:val="fr-CH" w:bidi="ar-SY"/>
        </w:rPr>
        <w:t>الإعاقة</w:t>
      </w:r>
      <w:r>
        <w:rPr>
          <w:rFonts w:hint="cs"/>
          <w:rtl/>
          <w:lang w:val="fr-CH" w:bidi="ar-SY"/>
        </w:rPr>
        <w:t xml:space="preserve"> القائم على حقوق الانسان هو تحول من النماذج الطبية التي يُنظر إليها على أنها قيود على حقوق الأشخاص ذوي الإعاقات والتي تمنع مشاركتهم التامة في المجتمع</w:t>
      </w:r>
      <w:r>
        <w:rPr>
          <w:rStyle w:val="FootnoteReference"/>
          <w:rtl/>
          <w:lang w:val="fr-CH" w:bidi="ar-SY"/>
        </w:rPr>
        <w:footnoteReference w:id="8"/>
      </w:r>
      <w:r>
        <w:rPr>
          <w:rFonts w:hint="cs"/>
          <w:rtl/>
          <w:lang w:val="fr-CH" w:bidi="ar-SY"/>
        </w:rPr>
        <w:t xml:space="preserve">. </w:t>
      </w:r>
      <w:r w:rsidR="00C961D8">
        <w:rPr>
          <w:rFonts w:hint="cs"/>
          <w:rtl/>
          <w:lang w:val="fr-CH" w:bidi="ar-SY"/>
        </w:rPr>
        <w:t>وكما ذُكر في الدراس</w:t>
      </w:r>
      <w:r w:rsidR="002F50BD">
        <w:rPr>
          <w:rFonts w:hint="cs"/>
          <w:rtl/>
          <w:lang w:val="fr-CH" w:bidi="ar-SY"/>
        </w:rPr>
        <w:t xml:space="preserve">ة السابقة، بينما يواجه كل شخص ذي </w:t>
      </w:r>
      <w:r w:rsidR="00C961D8">
        <w:rPr>
          <w:rFonts w:hint="cs"/>
          <w:rtl/>
          <w:lang w:val="fr-CH" w:bidi="ar-SY"/>
        </w:rPr>
        <w:t xml:space="preserve">إعاقة تحديات فريدة، فإنه من المفيد تحديد </w:t>
      </w:r>
      <w:r w:rsidR="002F50BD">
        <w:rPr>
          <w:rFonts w:hint="cs"/>
          <w:rtl/>
          <w:lang w:val="fr-CH" w:bidi="ar-SY"/>
        </w:rPr>
        <w:t>عدة</w:t>
      </w:r>
      <w:r w:rsidR="00C961D8">
        <w:rPr>
          <w:rFonts w:hint="cs"/>
          <w:rtl/>
          <w:lang w:val="fr-CH" w:bidi="ar-SY"/>
        </w:rPr>
        <w:t xml:space="preserve"> فئات </w:t>
      </w:r>
      <w:r w:rsidR="002F50BD">
        <w:rPr>
          <w:rFonts w:hint="cs"/>
          <w:rtl/>
          <w:lang w:val="fr-CH" w:bidi="ar-SY"/>
        </w:rPr>
        <w:t xml:space="preserve">من </w:t>
      </w:r>
      <w:r w:rsidR="00C961D8">
        <w:rPr>
          <w:rFonts w:hint="cs"/>
          <w:rtl/>
          <w:lang w:val="fr-CH" w:bidi="ar-SY"/>
        </w:rPr>
        <w:t xml:space="preserve">الإعاقة </w:t>
      </w:r>
      <w:r w:rsidR="002F50BD">
        <w:rPr>
          <w:rFonts w:hint="cs"/>
          <w:rtl/>
          <w:lang w:val="fr-CH" w:bidi="ar-SY"/>
        </w:rPr>
        <w:t>تكون متميزة وشاملة</w:t>
      </w:r>
      <w:r w:rsidR="00C961D8">
        <w:rPr>
          <w:rFonts w:hint="cs"/>
          <w:rtl/>
          <w:lang w:val="fr-CH" w:bidi="ar-SY"/>
        </w:rPr>
        <w:t xml:space="preserve"> من أجل الاعتراف بالاحتياجات المشتركة لهؤلاء الأشخاص</w:t>
      </w:r>
      <w:r w:rsidR="00C961D8">
        <w:rPr>
          <w:rStyle w:val="FootnoteReference"/>
          <w:rtl/>
          <w:lang w:val="fr-CH" w:bidi="ar-SY"/>
        </w:rPr>
        <w:footnoteReference w:id="9"/>
      </w:r>
      <w:r w:rsidR="00C961D8">
        <w:rPr>
          <w:rFonts w:hint="cs"/>
          <w:rtl/>
          <w:lang w:val="fr-CH" w:bidi="ar-SY"/>
        </w:rPr>
        <w:t xml:space="preserve">. وهذه الدراسة قد حددت فئات متعددة من الإعاقات، إضافة إلى إعاقات قراءة المطبوعات </w:t>
      </w:r>
      <w:r w:rsidR="002F50BD">
        <w:rPr>
          <w:rFonts w:hint="cs"/>
          <w:rtl/>
          <w:lang w:val="fr-CH" w:bidi="ar-SY"/>
        </w:rPr>
        <w:t>المشمولة</w:t>
      </w:r>
      <w:r w:rsidR="00C961D8">
        <w:rPr>
          <w:rFonts w:hint="cs"/>
          <w:rtl/>
          <w:lang w:val="fr-CH" w:bidi="ar-SY"/>
        </w:rPr>
        <w:t xml:space="preserve"> </w:t>
      </w:r>
      <w:r w:rsidR="002F50BD">
        <w:rPr>
          <w:rFonts w:hint="cs"/>
          <w:rtl/>
          <w:lang w:val="fr-CH" w:bidi="ar-SY"/>
        </w:rPr>
        <w:t>ب</w:t>
      </w:r>
      <w:r w:rsidR="00C961D8">
        <w:rPr>
          <w:rFonts w:hint="cs"/>
          <w:rtl/>
          <w:lang w:val="fr-CH" w:bidi="ar-SY"/>
        </w:rPr>
        <w:t xml:space="preserve">معاهدة مراكش، والتي تتأثر بالنفاذ إلى </w:t>
      </w:r>
      <w:r w:rsidR="002F50BD">
        <w:rPr>
          <w:rFonts w:hint="cs"/>
          <w:rtl/>
          <w:lang w:val="fr-CH" w:bidi="ar-SY"/>
        </w:rPr>
        <w:t>المواد</w:t>
      </w:r>
      <w:r w:rsidR="00C961D8">
        <w:rPr>
          <w:rFonts w:hint="cs"/>
          <w:rtl/>
          <w:lang w:val="fr-CH" w:bidi="ar-SY"/>
        </w:rPr>
        <w:t xml:space="preserve"> المحمية.</w:t>
      </w:r>
    </w:p>
    <w:p w:rsidR="00C961D8" w:rsidRDefault="00C961D8" w:rsidP="00C961D8">
      <w:pPr>
        <w:pStyle w:val="BodyText"/>
        <w:numPr>
          <w:ilvl w:val="0"/>
          <w:numId w:val="45"/>
        </w:numPr>
        <w:rPr>
          <w:lang w:val="fr-CH" w:bidi="ar-SY"/>
        </w:rPr>
      </w:pPr>
      <w:r w:rsidRPr="00C961D8">
        <w:rPr>
          <w:rFonts w:hint="cs"/>
          <w:i/>
          <w:iCs/>
          <w:rtl/>
          <w:lang w:val="fr-CH" w:bidi="ar-SY"/>
        </w:rPr>
        <w:lastRenderedPageBreak/>
        <w:t>الإعاقات السمعية</w:t>
      </w:r>
      <w:r w:rsidRPr="004D7365">
        <w:rPr>
          <w:rFonts w:hint="cs"/>
          <w:i/>
          <w:iCs/>
          <w:rtl/>
          <w:lang w:val="fr-CH" w:bidi="ar-SY"/>
        </w:rPr>
        <w:t>:</w:t>
      </w:r>
      <w:r>
        <w:rPr>
          <w:rFonts w:hint="cs"/>
          <w:rtl/>
          <w:lang w:val="fr-CH" w:bidi="ar-SY"/>
        </w:rPr>
        <w:t xml:space="preserve"> الأشخاص الذين يعانون من الصمم أو ضعف السمع يواجهون عوائق في النفاذ إلى المصنفات السمعية أو السمعية البصرية.</w:t>
      </w:r>
    </w:p>
    <w:p w:rsidR="00C961D8" w:rsidRDefault="00C961D8" w:rsidP="00C961D8">
      <w:pPr>
        <w:pStyle w:val="BodyText"/>
        <w:numPr>
          <w:ilvl w:val="0"/>
          <w:numId w:val="45"/>
        </w:numPr>
        <w:rPr>
          <w:lang w:val="fr-CH" w:bidi="ar-SY"/>
        </w:rPr>
      </w:pPr>
      <w:r w:rsidRPr="004D7365">
        <w:rPr>
          <w:rFonts w:hint="cs"/>
          <w:i/>
          <w:iCs/>
          <w:rtl/>
          <w:lang w:val="fr-CH" w:bidi="ar-SY"/>
        </w:rPr>
        <w:t>الإعاقات البصرية:</w:t>
      </w:r>
      <w:r>
        <w:rPr>
          <w:rFonts w:hint="cs"/>
          <w:rtl/>
          <w:lang w:val="fr-CH" w:bidi="ar-SY"/>
        </w:rPr>
        <w:t xml:space="preserve"> الأشخاص الذين يعانون من العمى والصمم أو من العمى وضعف السمع أو من الصمم وضعف البصر يواجهون تحديات للنفاذ إلى المصنفات البصرية والسمعية والسمعية البصرية.</w:t>
      </w:r>
    </w:p>
    <w:p w:rsidR="00C961D8" w:rsidRDefault="004D7365" w:rsidP="002F50BD">
      <w:pPr>
        <w:pStyle w:val="BodyText"/>
        <w:numPr>
          <w:ilvl w:val="0"/>
          <w:numId w:val="45"/>
        </w:numPr>
        <w:rPr>
          <w:lang w:val="fr-CH" w:bidi="ar-SY"/>
        </w:rPr>
      </w:pPr>
      <w:r w:rsidRPr="004D7365">
        <w:rPr>
          <w:rFonts w:hint="cs"/>
          <w:i/>
          <w:iCs/>
          <w:rtl/>
          <w:lang w:val="fr-CH" w:bidi="ar-SY"/>
        </w:rPr>
        <w:t>الإعاقات المعرفية:</w:t>
      </w:r>
      <w:r>
        <w:rPr>
          <w:rFonts w:hint="cs"/>
          <w:rtl/>
          <w:lang w:val="fr-CH" w:bidi="ar-SY"/>
        </w:rPr>
        <w:t xml:space="preserve"> الأشخاص </w:t>
      </w:r>
      <w:r w:rsidR="002F50BD">
        <w:rPr>
          <w:rFonts w:hint="cs"/>
          <w:rtl/>
          <w:lang w:val="fr-CH" w:bidi="ar-SY"/>
        </w:rPr>
        <w:t>الذين يعانون من</w:t>
      </w:r>
      <w:r>
        <w:rPr>
          <w:rFonts w:hint="cs"/>
          <w:rtl/>
          <w:lang w:val="fr-CH" w:bidi="ar-SY"/>
        </w:rPr>
        <w:t xml:space="preserve"> </w:t>
      </w:r>
      <w:r w:rsidR="002F50BD">
        <w:rPr>
          <w:rFonts w:hint="cs"/>
          <w:rtl/>
          <w:lang w:val="fr-CH" w:bidi="ar-SY"/>
        </w:rPr>
        <w:t>إعاقات معرفية وفكرية يواجهون مجموعة</w:t>
      </w:r>
      <w:r>
        <w:rPr>
          <w:rFonts w:hint="cs"/>
          <w:rtl/>
          <w:lang w:val="fr-CH" w:bidi="ar-SY"/>
        </w:rPr>
        <w:t xml:space="preserve"> من التحديات للنفاذ إلى مجموعة من </w:t>
      </w:r>
      <w:r w:rsidR="002F50BD">
        <w:rPr>
          <w:rFonts w:hint="cs"/>
          <w:rtl/>
          <w:lang w:val="fr-CH" w:bidi="ar-SY"/>
        </w:rPr>
        <w:t>الوسائط</w:t>
      </w:r>
      <w:r>
        <w:rPr>
          <w:rFonts w:hint="cs"/>
          <w:rtl/>
          <w:lang w:val="fr-CH" w:bidi="ar-SY"/>
        </w:rPr>
        <w:t xml:space="preserve"> المحمية بما فيها المصنفات البصرية والسمعية والسمعية البصرية.</w:t>
      </w:r>
    </w:p>
    <w:p w:rsidR="004D7365" w:rsidRDefault="004D7365" w:rsidP="002F50BD">
      <w:pPr>
        <w:pStyle w:val="BodyText"/>
        <w:numPr>
          <w:ilvl w:val="0"/>
          <w:numId w:val="45"/>
        </w:numPr>
        <w:rPr>
          <w:lang w:val="fr-CH" w:bidi="ar-SY"/>
        </w:rPr>
      </w:pPr>
      <w:r w:rsidRPr="00B83A12">
        <w:rPr>
          <w:rFonts w:hint="cs"/>
          <w:i/>
          <w:iCs/>
          <w:rtl/>
          <w:lang w:val="fr-CH" w:bidi="ar-SY"/>
        </w:rPr>
        <w:t>الإعاقات البدنية:</w:t>
      </w:r>
      <w:r>
        <w:rPr>
          <w:rFonts w:hint="cs"/>
          <w:rtl/>
          <w:lang w:val="fr-CH" w:bidi="ar-SY"/>
        </w:rPr>
        <w:t xml:space="preserve"> </w:t>
      </w:r>
      <w:r w:rsidR="00B83A12">
        <w:rPr>
          <w:rFonts w:hint="cs"/>
          <w:rtl/>
          <w:lang w:val="fr-CH" w:bidi="ar-SY"/>
        </w:rPr>
        <w:t xml:space="preserve">الأشخاص </w:t>
      </w:r>
      <w:r w:rsidR="002F50BD">
        <w:rPr>
          <w:rFonts w:hint="cs"/>
          <w:rtl/>
          <w:lang w:val="fr-CH" w:bidi="ar-SY"/>
        </w:rPr>
        <w:t xml:space="preserve">الذين يعانون من إعاقات </w:t>
      </w:r>
      <w:r w:rsidR="00B83A12">
        <w:rPr>
          <w:rFonts w:hint="cs"/>
          <w:rtl/>
          <w:lang w:val="fr-CH" w:bidi="ar-SY"/>
        </w:rPr>
        <w:t xml:space="preserve">بدنية أو حركية غير قادرين على التفاعل بدنياً مع المواد </w:t>
      </w:r>
      <w:r w:rsidR="002F50BD">
        <w:rPr>
          <w:rFonts w:hint="cs"/>
          <w:rtl/>
          <w:lang w:val="fr-CH" w:bidi="ar-SY"/>
        </w:rPr>
        <w:t>المحمية</w:t>
      </w:r>
      <w:r w:rsidR="00B83A12">
        <w:rPr>
          <w:rFonts w:hint="cs"/>
          <w:rtl/>
          <w:lang w:val="fr-CH" w:bidi="ar-SY"/>
        </w:rPr>
        <w:t xml:space="preserve">، </w:t>
      </w:r>
      <w:r w:rsidR="002F50BD">
        <w:rPr>
          <w:rFonts w:hint="cs"/>
          <w:rtl/>
          <w:lang w:val="fr-CH" w:bidi="ar-SY"/>
        </w:rPr>
        <w:t xml:space="preserve">مما يحد </w:t>
      </w:r>
      <w:r w:rsidR="00B83A12">
        <w:rPr>
          <w:rFonts w:hint="cs"/>
          <w:rtl/>
          <w:lang w:val="fr-CH" w:bidi="ar-SY"/>
        </w:rPr>
        <w:t xml:space="preserve">نفاذهم إلى المحتوى بما في ذلك </w:t>
      </w:r>
      <w:r w:rsidR="002F50BD">
        <w:rPr>
          <w:rFonts w:hint="cs"/>
          <w:rtl/>
          <w:lang w:val="fr-CH" w:bidi="ar-SY"/>
        </w:rPr>
        <w:t xml:space="preserve">إلى </w:t>
      </w:r>
      <w:r w:rsidR="00B83A12">
        <w:rPr>
          <w:rFonts w:hint="cs"/>
          <w:rtl/>
          <w:lang w:val="fr-CH" w:bidi="ar-SY"/>
        </w:rPr>
        <w:t>المصنفات البصرية والسمعية والسمعية البصرية.</w:t>
      </w:r>
    </w:p>
    <w:p w:rsidR="00B83A12" w:rsidRDefault="00B83A12" w:rsidP="002F50BD">
      <w:pPr>
        <w:pStyle w:val="BodyText"/>
        <w:numPr>
          <w:ilvl w:val="0"/>
          <w:numId w:val="45"/>
        </w:numPr>
        <w:rPr>
          <w:lang w:val="fr-CH" w:bidi="ar-SY"/>
        </w:rPr>
      </w:pPr>
      <w:r w:rsidRPr="002F50BD">
        <w:rPr>
          <w:rFonts w:hint="cs"/>
          <w:i/>
          <w:iCs/>
          <w:rtl/>
          <w:lang w:val="fr-CH" w:bidi="ar-SY"/>
        </w:rPr>
        <w:t>الإعاقات المتعددة</w:t>
      </w:r>
      <w:r>
        <w:rPr>
          <w:rFonts w:hint="cs"/>
          <w:rtl/>
          <w:lang w:val="fr-CH" w:bidi="ar-SY"/>
        </w:rPr>
        <w:t xml:space="preserve">: الأشخاص </w:t>
      </w:r>
      <w:r w:rsidR="002F50BD">
        <w:rPr>
          <w:rFonts w:hint="cs"/>
          <w:rtl/>
          <w:lang w:val="fr-CH" w:bidi="ar-SY"/>
        </w:rPr>
        <w:t>الذين يعانون من</w:t>
      </w:r>
      <w:r>
        <w:rPr>
          <w:rFonts w:hint="cs"/>
          <w:rtl/>
          <w:lang w:val="fr-CH" w:bidi="ar-SY"/>
        </w:rPr>
        <w:t xml:space="preserve"> الإعاقات المتعددة يواجهون تحديات </w:t>
      </w:r>
      <w:r w:rsidR="002F50BD">
        <w:rPr>
          <w:rFonts w:hint="cs"/>
          <w:rtl/>
          <w:lang w:val="fr-CH" w:bidi="ar-SY"/>
        </w:rPr>
        <w:t>فريدة</w:t>
      </w:r>
      <w:r>
        <w:rPr>
          <w:rFonts w:hint="cs"/>
          <w:rtl/>
          <w:lang w:val="fr-CH" w:bidi="ar-SY"/>
        </w:rPr>
        <w:t xml:space="preserve"> </w:t>
      </w:r>
      <w:r w:rsidR="002F50BD">
        <w:rPr>
          <w:rFonts w:hint="cs"/>
          <w:rtl/>
          <w:lang w:val="fr-CH" w:bidi="ar-SY"/>
        </w:rPr>
        <w:t xml:space="preserve">نظراً لأن </w:t>
      </w:r>
      <w:r>
        <w:rPr>
          <w:rFonts w:hint="cs"/>
          <w:rtl/>
          <w:lang w:val="fr-CH" w:bidi="ar-SY"/>
        </w:rPr>
        <w:t>النفاذ إلى المحتوى يتطلب تحويلات مختلفة أو متعددة.</w:t>
      </w:r>
    </w:p>
    <w:p w:rsidR="007269A7" w:rsidRDefault="00B83A12" w:rsidP="00A65DE0">
      <w:pPr>
        <w:pStyle w:val="BodyText"/>
        <w:rPr>
          <w:rtl/>
          <w:lang w:val="fr-CH" w:bidi="ar-SY"/>
        </w:rPr>
      </w:pPr>
      <w:r>
        <w:rPr>
          <w:rFonts w:hint="cs"/>
          <w:rtl/>
          <w:lang w:val="fr-CH" w:bidi="ar-SY"/>
        </w:rPr>
        <w:t>والأشخاص ذوو الإعاقة في قراءة المطبوعات المشمول</w:t>
      </w:r>
      <w:r w:rsidR="00A65DE0">
        <w:rPr>
          <w:rFonts w:hint="cs"/>
          <w:rtl/>
          <w:lang w:val="fr-CH" w:bidi="ar-SY"/>
        </w:rPr>
        <w:t>و</w:t>
      </w:r>
      <w:r>
        <w:rPr>
          <w:rFonts w:hint="cs"/>
          <w:rtl/>
          <w:lang w:val="fr-CH" w:bidi="ar-SY"/>
        </w:rPr>
        <w:t xml:space="preserve">ن بمعاهدة مراكش </w:t>
      </w:r>
      <w:r w:rsidR="006C4527">
        <w:rPr>
          <w:rFonts w:hint="cs"/>
          <w:rtl/>
          <w:lang w:val="fr-CH" w:bidi="ar-SY"/>
        </w:rPr>
        <w:t xml:space="preserve">يندرجون </w:t>
      </w:r>
      <w:r>
        <w:rPr>
          <w:rFonts w:hint="cs"/>
          <w:rtl/>
          <w:lang w:val="fr-CH" w:bidi="ar-SY"/>
        </w:rPr>
        <w:t xml:space="preserve">في نطاق هذه الدراسة فيما </w:t>
      </w:r>
      <w:r w:rsidR="002F50BD">
        <w:rPr>
          <w:rFonts w:hint="cs"/>
          <w:rtl/>
          <w:lang w:val="fr-CH" w:bidi="ar-SY"/>
        </w:rPr>
        <w:t>يتعلق</w:t>
      </w:r>
      <w:r>
        <w:rPr>
          <w:rFonts w:hint="cs"/>
          <w:rtl/>
          <w:lang w:val="fr-CH" w:bidi="ar-SY"/>
        </w:rPr>
        <w:t xml:space="preserve"> </w:t>
      </w:r>
      <w:r w:rsidR="002F50BD">
        <w:rPr>
          <w:rFonts w:hint="cs"/>
          <w:rtl/>
          <w:lang w:val="fr-CH" w:bidi="ar-SY"/>
        </w:rPr>
        <w:t>ب</w:t>
      </w:r>
      <w:r>
        <w:rPr>
          <w:rFonts w:hint="cs"/>
          <w:rtl/>
          <w:lang w:val="fr-CH" w:bidi="ar-SY"/>
        </w:rPr>
        <w:t>المصنفات غير المشمولة بموجب المعاهدة. ويمكن للأشخاص المحميين بموجب معاهدة مر</w:t>
      </w:r>
      <w:r w:rsidR="002F50BD">
        <w:rPr>
          <w:rFonts w:hint="cs"/>
          <w:rtl/>
          <w:lang w:val="fr-CH" w:bidi="ar-SY"/>
        </w:rPr>
        <w:t>اكش أن يستفيدوا من النفاذ إلى ال</w:t>
      </w:r>
      <w:r>
        <w:rPr>
          <w:rFonts w:hint="cs"/>
          <w:rtl/>
          <w:lang w:val="fr-CH" w:bidi="ar-SY"/>
        </w:rPr>
        <w:t xml:space="preserve">مواد المحمية بخلاف المطبوعات. </w:t>
      </w:r>
      <w:r w:rsidRPr="00EC5117">
        <w:rPr>
          <w:rFonts w:hint="cs"/>
          <w:rtl/>
          <w:lang w:val="fr-CH" w:bidi="ar-SY"/>
        </w:rPr>
        <w:t xml:space="preserve">والمطبوعات </w:t>
      </w:r>
      <w:r w:rsidR="002F50BD" w:rsidRPr="00EC5117">
        <w:rPr>
          <w:rFonts w:hint="cs"/>
          <w:rtl/>
          <w:lang w:val="fr-CH" w:bidi="ar-SY"/>
        </w:rPr>
        <w:t>ما هي إلاّ</w:t>
      </w:r>
      <w:r w:rsidRPr="00EC5117">
        <w:rPr>
          <w:rFonts w:hint="cs"/>
          <w:rtl/>
          <w:lang w:val="fr-CH" w:bidi="ar-SY"/>
        </w:rPr>
        <w:t xml:space="preserve"> جزء واحد</w:t>
      </w:r>
      <w:r>
        <w:rPr>
          <w:rFonts w:hint="cs"/>
          <w:rtl/>
          <w:lang w:val="fr-CH" w:bidi="ar-SY"/>
        </w:rPr>
        <w:t xml:space="preserve"> من ال</w:t>
      </w:r>
      <w:r w:rsidR="008B41E8">
        <w:rPr>
          <w:rFonts w:hint="cs"/>
          <w:rtl/>
          <w:lang w:val="fr-CH" w:bidi="ar-SY"/>
        </w:rPr>
        <w:t xml:space="preserve">مواد الثقافية التي ينفذ إليها شخص </w:t>
      </w:r>
      <w:r w:rsidR="006C4527">
        <w:rPr>
          <w:rFonts w:hint="cs"/>
          <w:rtl/>
          <w:lang w:val="fr-CH" w:bidi="ar-SY"/>
        </w:rPr>
        <w:t>ذو</w:t>
      </w:r>
      <w:r w:rsidR="008B41E8">
        <w:rPr>
          <w:rFonts w:hint="cs"/>
          <w:rtl/>
          <w:lang w:val="fr-CH" w:bidi="ar-SY"/>
        </w:rPr>
        <w:t xml:space="preserve"> </w:t>
      </w:r>
      <w:r>
        <w:rPr>
          <w:rFonts w:hint="cs"/>
          <w:rtl/>
          <w:lang w:val="fr-CH" w:bidi="ar-SY"/>
        </w:rPr>
        <w:t xml:space="preserve">إعاقة ليشارك في مجتمعه مشاركة تامة. </w:t>
      </w:r>
      <w:r w:rsidR="007269A7">
        <w:rPr>
          <w:rFonts w:hint="cs"/>
          <w:rtl/>
          <w:lang w:val="fr-CH" w:bidi="ar-SY"/>
        </w:rPr>
        <w:t>و</w:t>
      </w:r>
      <w:r w:rsidR="00A65DE0">
        <w:rPr>
          <w:rFonts w:hint="cs"/>
          <w:rtl/>
          <w:lang w:val="fr-CH" w:bidi="ar-SY"/>
        </w:rPr>
        <w:t xml:space="preserve">رغم ذلك، فإن </w:t>
      </w:r>
      <w:r w:rsidR="007269A7">
        <w:rPr>
          <w:rFonts w:hint="cs"/>
          <w:rtl/>
          <w:lang w:val="fr-CH" w:bidi="ar-SY"/>
        </w:rPr>
        <w:t xml:space="preserve">الأشخاص الذين يستفيدون من معاهدة مراكش </w:t>
      </w:r>
      <w:r w:rsidR="00A65DE0">
        <w:rPr>
          <w:rFonts w:hint="cs"/>
          <w:rtl/>
          <w:lang w:val="fr-CH" w:bidi="ar-SY"/>
        </w:rPr>
        <w:t xml:space="preserve">قد </w:t>
      </w:r>
      <w:r w:rsidR="007269A7">
        <w:rPr>
          <w:rFonts w:hint="cs"/>
          <w:rtl/>
          <w:lang w:val="fr-CH" w:bidi="ar-SY"/>
        </w:rPr>
        <w:t>ي</w:t>
      </w:r>
      <w:r w:rsidR="008B41E8">
        <w:rPr>
          <w:rFonts w:hint="cs"/>
          <w:rtl/>
          <w:lang w:val="fr-CH" w:bidi="ar-SY"/>
        </w:rPr>
        <w:t>ُ</w:t>
      </w:r>
      <w:r w:rsidR="007269A7">
        <w:rPr>
          <w:rFonts w:hint="cs"/>
          <w:rtl/>
          <w:lang w:val="fr-CH" w:bidi="ar-SY"/>
        </w:rPr>
        <w:t>منعون بسبب إعاقاتهم من النفاذ إلى المواد المحمية. وفي الوقت</w:t>
      </w:r>
      <w:r w:rsidR="00A65DE0">
        <w:rPr>
          <w:rFonts w:hint="cs"/>
          <w:rtl/>
          <w:lang w:val="fr-CH" w:bidi="ar-SY"/>
        </w:rPr>
        <w:t xml:space="preserve"> نفسه</w:t>
      </w:r>
      <w:r w:rsidR="007269A7">
        <w:rPr>
          <w:rFonts w:hint="cs"/>
          <w:rtl/>
          <w:lang w:val="fr-CH" w:bidi="ar-SY"/>
        </w:rPr>
        <w:t xml:space="preserve">، </w:t>
      </w:r>
      <w:r w:rsidR="00A65DE0">
        <w:rPr>
          <w:rFonts w:hint="cs"/>
          <w:rtl/>
          <w:lang w:val="fr-CH" w:bidi="ar-SY"/>
        </w:rPr>
        <w:t xml:space="preserve">تشمل الدراسة أيضا </w:t>
      </w:r>
      <w:r w:rsidR="007269A7">
        <w:rPr>
          <w:rFonts w:hint="cs"/>
          <w:rtl/>
          <w:lang w:val="fr-CH" w:bidi="ar-SY"/>
        </w:rPr>
        <w:t>المصنفات التي تكون في صيغة نص</w:t>
      </w:r>
      <w:r w:rsidR="008B41E8">
        <w:rPr>
          <w:rFonts w:hint="cs"/>
          <w:rtl/>
          <w:lang w:val="fr-CH" w:bidi="ar-SY"/>
        </w:rPr>
        <w:t>ية</w:t>
      </w:r>
      <w:r w:rsidR="007269A7">
        <w:rPr>
          <w:rFonts w:hint="cs"/>
          <w:rtl/>
          <w:lang w:val="fr-CH" w:bidi="ar-SY"/>
        </w:rPr>
        <w:t xml:space="preserve"> </w:t>
      </w:r>
      <w:r w:rsidR="008B41E8">
        <w:rPr>
          <w:rFonts w:hint="cs"/>
          <w:rtl/>
          <w:lang w:val="fr-CH" w:bidi="ar-SY"/>
        </w:rPr>
        <w:t>فيما يتعلق با</w:t>
      </w:r>
      <w:r w:rsidR="007269A7">
        <w:rPr>
          <w:rFonts w:hint="cs"/>
          <w:rtl/>
          <w:lang w:val="fr-CH" w:bidi="ar-SY"/>
        </w:rPr>
        <w:t>لأشخاص ذوي الإعاقة وغير المشمولين بتعريف معاهدة مراكش.</w:t>
      </w:r>
    </w:p>
    <w:p w:rsidR="00B83A12" w:rsidRPr="009E2622" w:rsidRDefault="007269A7" w:rsidP="00A65DE0">
      <w:pPr>
        <w:pStyle w:val="Heading4"/>
        <w:rPr>
          <w:rtl/>
          <w:lang w:val="fr-CH" w:bidi="ar-SY"/>
        </w:rPr>
      </w:pPr>
      <w:r w:rsidRPr="009E2622">
        <w:rPr>
          <w:rFonts w:hint="cs"/>
          <w:rtl/>
          <w:lang w:val="fr-CH" w:bidi="ar-SY"/>
        </w:rPr>
        <w:t xml:space="preserve">فئات </w:t>
      </w:r>
      <w:r w:rsidR="009E2622" w:rsidRPr="009E2622">
        <w:rPr>
          <w:rFonts w:hint="cs"/>
          <w:rtl/>
          <w:lang w:val="fr-CH" w:bidi="ar-SY"/>
        </w:rPr>
        <w:t>المصنفات المحمية والإعاقات</w:t>
      </w:r>
    </w:p>
    <w:p w:rsidR="009E2622" w:rsidRDefault="009E2622" w:rsidP="00B836EF">
      <w:pPr>
        <w:pStyle w:val="BodyText"/>
        <w:rPr>
          <w:lang w:val="fr-CH" w:bidi="ar-SY"/>
        </w:rPr>
      </w:pPr>
      <w:r>
        <w:rPr>
          <w:rFonts w:hint="cs"/>
          <w:rtl/>
          <w:lang w:val="fr-CH" w:bidi="ar-SY"/>
        </w:rPr>
        <w:t>إن حماية حق المؤلف والحقوق المجاورة في الولاية القضائية لكل دولة عضو هي مسألة يسنّها التشريع الوطني</w:t>
      </w:r>
      <w:r w:rsidR="008B41E8" w:rsidRPr="008B41E8">
        <w:rPr>
          <w:rFonts w:hint="cs"/>
          <w:rtl/>
          <w:lang w:val="fr-CH" w:bidi="ar-SY"/>
        </w:rPr>
        <w:t xml:space="preserve"> </w:t>
      </w:r>
      <w:r w:rsidR="008B41E8">
        <w:rPr>
          <w:rFonts w:hint="cs"/>
          <w:rtl/>
          <w:lang w:val="fr-CH" w:bidi="ar-SY"/>
        </w:rPr>
        <w:t>عادة</w:t>
      </w:r>
      <w:r>
        <w:rPr>
          <w:rFonts w:hint="cs"/>
          <w:rtl/>
          <w:lang w:val="fr-CH" w:bidi="ar-SY"/>
        </w:rPr>
        <w:t xml:space="preserve">. ومع ذلك، فإن التشريعات الوطنية تستند إلى التزامات </w:t>
      </w:r>
      <w:r w:rsidR="00A65DE0">
        <w:rPr>
          <w:rFonts w:hint="cs"/>
          <w:rtl/>
          <w:lang w:val="fr-CH" w:bidi="ar-SY"/>
        </w:rPr>
        <w:t>ال</w:t>
      </w:r>
      <w:r>
        <w:rPr>
          <w:rFonts w:hint="cs"/>
          <w:rtl/>
          <w:lang w:val="fr-CH" w:bidi="ar-SY"/>
        </w:rPr>
        <w:t>بلد بمستويات الحماية الدنيا كما هو متفق عليه في المعاهدات الدولية الملزم</w:t>
      </w:r>
      <w:r w:rsidR="00A65DE0">
        <w:rPr>
          <w:rFonts w:hint="eastAsia"/>
          <w:rtl/>
          <w:lang w:val="fr-CH" w:bidi="ar-SY"/>
        </w:rPr>
        <w:t> </w:t>
      </w:r>
      <w:r>
        <w:rPr>
          <w:rFonts w:hint="cs"/>
          <w:rtl/>
          <w:lang w:val="fr-CH" w:bidi="ar-SY"/>
        </w:rPr>
        <w:t>بها</w:t>
      </w:r>
      <w:r>
        <w:rPr>
          <w:rStyle w:val="FootnoteReference"/>
          <w:rtl/>
          <w:lang w:val="fr-CH" w:bidi="ar-SY"/>
        </w:rPr>
        <w:footnoteReference w:id="10"/>
      </w:r>
      <w:r>
        <w:rPr>
          <w:rFonts w:hint="cs"/>
          <w:rtl/>
          <w:lang w:val="fr-CH" w:bidi="ar-SY"/>
        </w:rPr>
        <w:t xml:space="preserve">. ويحمي القانون الوطني لحق المؤلف فئات معينة من المصنفات الأصلية </w:t>
      </w:r>
      <w:r w:rsidR="00B836EF">
        <w:rPr>
          <w:rFonts w:hint="cs"/>
          <w:rtl/>
          <w:lang w:val="fr-CH"/>
        </w:rPr>
        <w:t>المجسّدة في نسق مادي</w:t>
      </w:r>
      <w:r>
        <w:rPr>
          <w:rFonts w:hint="cs"/>
          <w:rtl/>
          <w:lang w:val="fr-CH" w:bidi="ar-SY"/>
        </w:rPr>
        <w:t xml:space="preserve">: </w:t>
      </w:r>
    </w:p>
    <w:p w:rsidR="008A2D4C" w:rsidRDefault="008A2D4C" w:rsidP="00237484">
      <w:pPr>
        <w:pStyle w:val="BodyText"/>
        <w:numPr>
          <w:ilvl w:val="0"/>
          <w:numId w:val="45"/>
        </w:numPr>
        <w:spacing w:before="0"/>
        <w:rPr>
          <w:lang w:val="fr-CH" w:bidi="ar-SY"/>
        </w:rPr>
      </w:pPr>
      <w:r>
        <w:rPr>
          <w:rFonts w:hint="cs"/>
          <w:rtl/>
          <w:lang w:val="fr-CH" w:bidi="ar-SY"/>
        </w:rPr>
        <w:t>المصنفات الأدبية؛</w:t>
      </w:r>
    </w:p>
    <w:p w:rsidR="008A2D4C" w:rsidRDefault="008A2D4C" w:rsidP="00237484">
      <w:pPr>
        <w:pStyle w:val="BodyText"/>
        <w:numPr>
          <w:ilvl w:val="0"/>
          <w:numId w:val="45"/>
        </w:numPr>
        <w:spacing w:before="0"/>
        <w:rPr>
          <w:lang w:val="fr-CH" w:bidi="ar-SY"/>
        </w:rPr>
      </w:pPr>
      <w:r>
        <w:rPr>
          <w:rFonts w:hint="cs"/>
          <w:rtl/>
          <w:lang w:val="fr-CH" w:bidi="ar-SY"/>
        </w:rPr>
        <w:t>المصنفات الموسيقية؛</w:t>
      </w:r>
    </w:p>
    <w:p w:rsidR="008A2D4C" w:rsidRDefault="008A2D4C" w:rsidP="00237484">
      <w:pPr>
        <w:pStyle w:val="BodyText"/>
        <w:numPr>
          <w:ilvl w:val="0"/>
          <w:numId w:val="45"/>
        </w:numPr>
        <w:spacing w:before="0"/>
        <w:rPr>
          <w:lang w:val="fr-CH" w:bidi="ar-SY"/>
        </w:rPr>
      </w:pPr>
      <w:r>
        <w:rPr>
          <w:rFonts w:hint="cs"/>
          <w:rtl/>
          <w:lang w:val="fr-CH" w:bidi="ar-SY"/>
        </w:rPr>
        <w:t>المصنفات الفنية؛</w:t>
      </w:r>
    </w:p>
    <w:p w:rsidR="008A2D4C" w:rsidRDefault="008A2D4C" w:rsidP="00237484">
      <w:pPr>
        <w:pStyle w:val="BodyText"/>
        <w:numPr>
          <w:ilvl w:val="0"/>
          <w:numId w:val="45"/>
        </w:numPr>
        <w:spacing w:before="0"/>
        <w:rPr>
          <w:lang w:val="fr-CH" w:bidi="ar-SY"/>
        </w:rPr>
      </w:pPr>
      <w:r>
        <w:rPr>
          <w:rFonts w:hint="cs"/>
          <w:rtl/>
          <w:lang w:val="fr-CH" w:bidi="ar-SY"/>
        </w:rPr>
        <w:t>المصنفات الدرامية؛</w:t>
      </w:r>
    </w:p>
    <w:p w:rsidR="008A2D4C" w:rsidRDefault="008A2D4C" w:rsidP="00237484">
      <w:pPr>
        <w:pStyle w:val="BodyText"/>
        <w:numPr>
          <w:ilvl w:val="0"/>
          <w:numId w:val="45"/>
        </w:numPr>
        <w:spacing w:before="0"/>
        <w:rPr>
          <w:lang w:val="fr-CH" w:bidi="ar-SY"/>
        </w:rPr>
      </w:pPr>
      <w:r>
        <w:rPr>
          <w:rFonts w:hint="cs"/>
          <w:rtl/>
          <w:lang w:val="fr-CH" w:bidi="ar-SY"/>
        </w:rPr>
        <w:t>المصنفات السينمائية؛</w:t>
      </w:r>
    </w:p>
    <w:p w:rsidR="00237484" w:rsidRDefault="00237484" w:rsidP="00237484">
      <w:pPr>
        <w:pStyle w:val="BodyText"/>
        <w:numPr>
          <w:ilvl w:val="0"/>
          <w:numId w:val="45"/>
        </w:numPr>
        <w:spacing w:before="0"/>
        <w:rPr>
          <w:lang w:val="fr-CH" w:bidi="ar-SY"/>
        </w:rPr>
      </w:pPr>
      <w:r>
        <w:rPr>
          <w:rFonts w:hint="cs"/>
          <w:rtl/>
          <w:lang w:val="fr-CH" w:bidi="ar-SY"/>
        </w:rPr>
        <w:t>التسجيلات الصوتية؛</w:t>
      </w:r>
    </w:p>
    <w:p w:rsidR="00237484" w:rsidRDefault="00237484" w:rsidP="00B836EF">
      <w:pPr>
        <w:pStyle w:val="BodyText"/>
        <w:numPr>
          <w:ilvl w:val="0"/>
          <w:numId w:val="45"/>
        </w:numPr>
        <w:spacing w:before="0"/>
        <w:rPr>
          <w:lang w:val="fr-CH" w:bidi="ar-SY"/>
        </w:rPr>
      </w:pPr>
      <w:r>
        <w:rPr>
          <w:rFonts w:hint="cs"/>
          <w:rtl/>
          <w:lang w:val="fr-CH" w:bidi="ar-SY"/>
        </w:rPr>
        <w:t>البرامج الإذاعية (</w:t>
      </w:r>
      <w:r w:rsidR="00B836EF">
        <w:rPr>
          <w:rFonts w:hint="cs"/>
          <w:rtl/>
          <w:lang w:val="fr-CH" w:bidi="ar-SY"/>
        </w:rPr>
        <w:t xml:space="preserve">المحمية </w:t>
      </w:r>
      <w:r>
        <w:rPr>
          <w:rFonts w:hint="cs"/>
          <w:rtl/>
          <w:lang w:val="fr-CH" w:bidi="ar-SY"/>
        </w:rPr>
        <w:t>عادة ب</w:t>
      </w:r>
      <w:r w:rsidR="00B836EF">
        <w:rPr>
          <w:rFonts w:hint="cs"/>
          <w:rtl/>
          <w:lang w:val="fr-CH" w:bidi="ar-SY"/>
        </w:rPr>
        <w:t xml:space="preserve">موجب </w:t>
      </w:r>
      <w:r>
        <w:rPr>
          <w:rFonts w:hint="cs"/>
          <w:rtl/>
          <w:lang w:val="fr-CH" w:bidi="ar-SY"/>
        </w:rPr>
        <w:t>الحقوق المجاورة).</w:t>
      </w:r>
    </w:p>
    <w:p w:rsidR="00237484" w:rsidRDefault="00237484" w:rsidP="00D158D5">
      <w:pPr>
        <w:pStyle w:val="BodyText"/>
        <w:keepNext/>
        <w:spacing w:before="0"/>
        <w:rPr>
          <w:rtl/>
          <w:lang w:val="fr-CH" w:bidi="ar-SY"/>
        </w:rPr>
      </w:pPr>
      <w:r>
        <w:rPr>
          <w:rFonts w:hint="cs"/>
          <w:rtl/>
          <w:lang w:val="fr-CH" w:bidi="ar-SY"/>
        </w:rPr>
        <w:lastRenderedPageBreak/>
        <w:t xml:space="preserve">وتشمل الحقوق </w:t>
      </w:r>
      <w:r w:rsidR="002A2BB5">
        <w:rPr>
          <w:rFonts w:hint="cs"/>
          <w:rtl/>
          <w:lang w:val="fr-CH" w:bidi="ar-SY"/>
        </w:rPr>
        <w:t>الاستئثارية</w:t>
      </w:r>
      <w:r>
        <w:rPr>
          <w:rFonts w:hint="cs"/>
          <w:rtl/>
          <w:lang w:val="fr-CH" w:bidi="ar-SY"/>
        </w:rPr>
        <w:t xml:space="preserve"> التي يتمتع بها أصحاب الحقوق فيما يتصل بهذه المصنفات:</w:t>
      </w:r>
    </w:p>
    <w:p w:rsidR="00237484" w:rsidRDefault="008B41E8" w:rsidP="00237484">
      <w:pPr>
        <w:pStyle w:val="BodyText"/>
        <w:numPr>
          <w:ilvl w:val="0"/>
          <w:numId w:val="45"/>
        </w:numPr>
        <w:spacing w:before="0"/>
        <w:rPr>
          <w:lang w:val="fr-CH" w:bidi="ar-SY"/>
        </w:rPr>
      </w:pPr>
      <w:r>
        <w:rPr>
          <w:rFonts w:hint="cs"/>
          <w:rtl/>
          <w:lang w:val="fr-CH" w:bidi="ar-SY"/>
        </w:rPr>
        <w:t>النسخ</w:t>
      </w:r>
      <w:r w:rsidR="00237484">
        <w:rPr>
          <w:rFonts w:hint="cs"/>
          <w:rtl/>
          <w:lang w:val="fr-CH" w:bidi="ar-SY"/>
        </w:rPr>
        <w:t>؛</w:t>
      </w:r>
    </w:p>
    <w:p w:rsidR="00237484" w:rsidRDefault="00237484" w:rsidP="00237484">
      <w:pPr>
        <w:pStyle w:val="BodyText"/>
        <w:numPr>
          <w:ilvl w:val="0"/>
          <w:numId w:val="45"/>
        </w:numPr>
        <w:spacing w:before="0"/>
        <w:rPr>
          <w:lang w:val="fr-CH" w:bidi="ar-SY"/>
        </w:rPr>
      </w:pPr>
      <w:r>
        <w:rPr>
          <w:rFonts w:hint="cs"/>
          <w:rtl/>
          <w:lang w:val="fr-CH" w:bidi="ar-SY"/>
        </w:rPr>
        <w:t>التكييف؛</w:t>
      </w:r>
    </w:p>
    <w:p w:rsidR="00237484" w:rsidRDefault="00237484" w:rsidP="00237484">
      <w:pPr>
        <w:pStyle w:val="BodyText"/>
        <w:numPr>
          <w:ilvl w:val="0"/>
          <w:numId w:val="45"/>
        </w:numPr>
        <w:spacing w:before="0"/>
        <w:rPr>
          <w:lang w:val="fr-CH" w:bidi="ar-SY"/>
        </w:rPr>
      </w:pPr>
      <w:r>
        <w:rPr>
          <w:rFonts w:hint="cs"/>
          <w:rtl/>
          <w:lang w:val="fr-CH" w:bidi="ar-SY"/>
        </w:rPr>
        <w:t>التوزيع (بما في ذلك الإعارة والتأجير)؛</w:t>
      </w:r>
    </w:p>
    <w:p w:rsidR="00237484" w:rsidRDefault="00237484" w:rsidP="002A2BB5">
      <w:pPr>
        <w:pStyle w:val="BodyText"/>
        <w:numPr>
          <w:ilvl w:val="0"/>
          <w:numId w:val="45"/>
        </w:numPr>
        <w:spacing w:before="0"/>
        <w:rPr>
          <w:lang w:val="fr-CH" w:bidi="ar-SY"/>
        </w:rPr>
      </w:pPr>
      <w:r>
        <w:rPr>
          <w:rFonts w:hint="cs"/>
          <w:rtl/>
          <w:lang w:val="fr-CH" w:bidi="ar-SY"/>
        </w:rPr>
        <w:t xml:space="preserve">البث </w:t>
      </w:r>
      <w:r w:rsidR="002A2BB5">
        <w:rPr>
          <w:rFonts w:hint="cs"/>
          <w:rtl/>
          <w:lang w:val="fr-CH" w:bidi="ar-SY"/>
        </w:rPr>
        <w:t>ب</w:t>
      </w:r>
      <w:r>
        <w:rPr>
          <w:rFonts w:hint="cs"/>
          <w:rtl/>
          <w:lang w:val="fr-CH" w:bidi="ar-SY"/>
        </w:rPr>
        <w:t>وسائل لا سلكية؛</w:t>
      </w:r>
    </w:p>
    <w:p w:rsidR="00237484" w:rsidRDefault="002A2BB5" w:rsidP="002A2BB5">
      <w:pPr>
        <w:pStyle w:val="BodyText"/>
        <w:numPr>
          <w:ilvl w:val="0"/>
          <w:numId w:val="45"/>
        </w:numPr>
        <w:spacing w:before="0"/>
        <w:rPr>
          <w:lang w:val="fr-CH" w:bidi="ar-SY"/>
        </w:rPr>
      </w:pPr>
      <w:r>
        <w:rPr>
          <w:rFonts w:hint="cs"/>
          <w:rtl/>
          <w:lang w:val="fr-CH" w:bidi="ar-SY"/>
        </w:rPr>
        <w:t xml:space="preserve">أشكال أخرى من النقل إلى الجمهور </w:t>
      </w:r>
      <w:r w:rsidR="00237484">
        <w:rPr>
          <w:rFonts w:hint="cs"/>
          <w:rtl/>
          <w:lang w:val="fr-CH" w:bidi="ar-SY"/>
        </w:rPr>
        <w:t xml:space="preserve">من خلال الإرسال الإلكتروني والأداء </w:t>
      </w:r>
      <w:r>
        <w:rPr>
          <w:rFonts w:hint="cs"/>
          <w:rtl/>
          <w:lang w:val="fr-CH" w:bidi="ar-SY"/>
        </w:rPr>
        <w:t>العلني</w:t>
      </w:r>
      <w:r w:rsidR="00237484">
        <w:rPr>
          <w:rFonts w:hint="cs"/>
          <w:rtl/>
          <w:lang w:val="fr-CH" w:bidi="ar-SY"/>
        </w:rPr>
        <w:t>؛</w:t>
      </w:r>
    </w:p>
    <w:p w:rsidR="00237484" w:rsidRDefault="00237484" w:rsidP="00237484">
      <w:pPr>
        <w:pStyle w:val="BodyText"/>
        <w:numPr>
          <w:ilvl w:val="0"/>
          <w:numId w:val="45"/>
        </w:numPr>
        <w:spacing w:before="0"/>
        <w:rPr>
          <w:lang w:val="fr-CH" w:bidi="ar-SY"/>
        </w:rPr>
      </w:pPr>
      <w:r>
        <w:rPr>
          <w:rFonts w:hint="cs"/>
          <w:rtl/>
          <w:lang w:val="fr-CH" w:bidi="ar-SY"/>
        </w:rPr>
        <w:t>القدرة على إنفاذ قيود التصدير/ الاستيراد؛</w:t>
      </w:r>
    </w:p>
    <w:p w:rsidR="00237484" w:rsidRDefault="00237484" w:rsidP="00237484">
      <w:pPr>
        <w:pStyle w:val="BodyText"/>
        <w:numPr>
          <w:ilvl w:val="0"/>
          <w:numId w:val="45"/>
        </w:numPr>
        <w:spacing w:before="0"/>
        <w:rPr>
          <w:lang w:val="fr-CH" w:bidi="ar-SY"/>
        </w:rPr>
      </w:pPr>
      <w:r>
        <w:rPr>
          <w:rFonts w:hint="cs"/>
          <w:rtl/>
          <w:lang w:val="fr-CH" w:bidi="ar-SY"/>
        </w:rPr>
        <w:t>إنفاذ تدابير مكافحة التحايل</w:t>
      </w:r>
      <w:r>
        <w:rPr>
          <w:rStyle w:val="FootnoteReference"/>
          <w:rtl/>
          <w:lang w:val="fr-CH" w:bidi="ar-SY"/>
        </w:rPr>
        <w:footnoteReference w:id="11"/>
      </w:r>
      <w:r>
        <w:rPr>
          <w:rFonts w:hint="cs"/>
          <w:rtl/>
          <w:lang w:val="fr-CH" w:bidi="ar-SY"/>
        </w:rPr>
        <w:t>.</w:t>
      </w:r>
    </w:p>
    <w:p w:rsidR="00DE0D26" w:rsidRPr="00DE0D26" w:rsidRDefault="00DE0D26" w:rsidP="002A2BB5">
      <w:pPr>
        <w:pStyle w:val="Heading3"/>
        <w:rPr>
          <w:rtl/>
          <w:lang w:val="fr-CH" w:bidi="ar-SY"/>
        </w:rPr>
      </w:pPr>
      <w:r w:rsidRPr="00DE0D26">
        <w:rPr>
          <w:rFonts w:hint="cs"/>
          <w:rtl/>
          <w:lang w:val="fr-CH" w:bidi="ar-SY"/>
        </w:rPr>
        <w:t xml:space="preserve">تكنولوجيات النفاذ </w:t>
      </w:r>
      <w:r w:rsidR="002A2BB5">
        <w:rPr>
          <w:rFonts w:hint="cs"/>
          <w:rtl/>
          <w:lang w:val="fr-CH" w:bidi="ar-SY"/>
        </w:rPr>
        <w:t xml:space="preserve">الميسّر </w:t>
      </w:r>
      <w:r w:rsidRPr="00DE0D26">
        <w:rPr>
          <w:rFonts w:hint="cs"/>
          <w:rtl/>
          <w:lang w:val="fr-CH" w:bidi="ar-SY"/>
        </w:rPr>
        <w:t>والذكاء الاصطناعي</w:t>
      </w:r>
    </w:p>
    <w:p w:rsidR="00DC633C" w:rsidRDefault="008B41E8" w:rsidP="00D158D5">
      <w:pPr>
        <w:pStyle w:val="BodyText"/>
        <w:rPr>
          <w:rtl/>
          <w:lang w:val="fr-CH" w:bidi="ar-SY"/>
        </w:rPr>
      </w:pPr>
      <w:r>
        <w:rPr>
          <w:rFonts w:hint="cs"/>
          <w:rtl/>
          <w:lang w:val="fr-CH" w:bidi="ar-SY"/>
        </w:rPr>
        <w:t>ي</w:t>
      </w:r>
      <w:r w:rsidR="00135E29">
        <w:rPr>
          <w:rFonts w:hint="cs"/>
          <w:rtl/>
          <w:lang w:val="fr-CH" w:bidi="ar-SY"/>
        </w:rPr>
        <w:t xml:space="preserve">عد </w:t>
      </w:r>
      <w:r>
        <w:rPr>
          <w:rFonts w:hint="cs"/>
          <w:rtl/>
          <w:lang w:val="fr-CH" w:bidi="ar-SY"/>
        </w:rPr>
        <w:t>العرض النصي للحوار والوصف السمعي</w:t>
      </w:r>
      <w:r w:rsidR="00135E29">
        <w:rPr>
          <w:rFonts w:hint="cs"/>
          <w:rtl/>
          <w:lang w:val="fr-CH" w:bidi="ar-SY"/>
        </w:rPr>
        <w:t xml:space="preserve"> </w:t>
      </w:r>
      <w:r>
        <w:rPr>
          <w:rFonts w:hint="cs"/>
          <w:rtl/>
          <w:lang w:val="fr-CH" w:bidi="ar-SY"/>
        </w:rPr>
        <w:t>مثالين</w:t>
      </w:r>
      <w:r w:rsidR="00135E29">
        <w:rPr>
          <w:rFonts w:hint="cs"/>
          <w:rtl/>
          <w:lang w:val="fr-CH" w:bidi="ar-SY"/>
        </w:rPr>
        <w:t xml:space="preserve"> عن التكنولوجيات التي تمكّن الأفراد ذوي الإعاقات من </w:t>
      </w:r>
      <w:r>
        <w:rPr>
          <w:rFonts w:hint="cs"/>
          <w:rtl/>
          <w:lang w:val="fr-CH" w:bidi="ar-SY"/>
        </w:rPr>
        <w:t>النفاذ</w:t>
      </w:r>
      <w:r w:rsidR="00135E29">
        <w:rPr>
          <w:rFonts w:hint="cs"/>
          <w:rtl/>
          <w:lang w:val="fr-CH" w:bidi="ar-SY"/>
        </w:rPr>
        <w:t xml:space="preserve"> إلى المصنفات </w:t>
      </w:r>
      <w:r w:rsidR="002A2BB5">
        <w:rPr>
          <w:rFonts w:hint="cs"/>
          <w:rtl/>
          <w:lang w:val="fr-CH" w:bidi="ar-SY"/>
        </w:rPr>
        <w:t xml:space="preserve">المحمية </w:t>
      </w:r>
      <w:r w:rsidR="00135E29">
        <w:rPr>
          <w:rFonts w:hint="cs"/>
          <w:rtl/>
          <w:lang w:val="fr-CH" w:bidi="ar-SY"/>
        </w:rPr>
        <w:t xml:space="preserve">لأغراض تعليمية وترفيهية </w:t>
      </w:r>
      <w:r>
        <w:rPr>
          <w:rFonts w:hint="cs"/>
          <w:rtl/>
          <w:lang w:val="fr-CH" w:bidi="ar-SY"/>
        </w:rPr>
        <w:t>وجميع</w:t>
      </w:r>
      <w:r w:rsidR="00135E29">
        <w:rPr>
          <w:rFonts w:hint="cs"/>
          <w:rtl/>
          <w:lang w:val="fr-CH" w:bidi="ar-SY"/>
        </w:rPr>
        <w:t xml:space="preserve"> الأغراض الأخرى. و</w:t>
      </w:r>
      <w:r>
        <w:rPr>
          <w:rFonts w:hint="cs"/>
          <w:rtl/>
          <w:lang w:val="fr-CH" w:bidi="ar-SY"/>
        </w:rPr>
        <w:t>تقع تكنولوجيات</w:t>
      </w:r>
      <w:r w:rsidR="00135E29">
        <w:rPr>
          <w:rFonts w:hint="cs"/>
          <w:rtl/>
          <w:lang w:val="fr-CH" w:bidi="ar-SY"/>
        </w:rPr>
        <w:t xml:space="preserve"> النفاذ مثل هذه في صميم </w:t>
      </w:r>
      <w:r>
        <w:rPr>
          <w:rFonts w:hint="cs"/>
          <w:rtl/>
          <w:lang w:val="fr-CH" w:bidi="ar-SY"/>
        </w:rPr>
        <w:t>إعداد</w:t>
      </w:r>
      <w:r w:rsidR="00135E29">
        <w:rPr>
          <w:rFonts w:hint="cs"/>
          <w:rtl/>
          <w:lang w:val="fr-CH" w:bidi="ar-SY"/>
        </w:rPr>
        <w:t xml:space="preserve"> مصنفات </w:t>
      </w:r>
      <w:r w:rsidR="00B26DDD">
        <w:rPr>
          <w:rFonts w:hint="cs"/>
          <w:rtl/>
          <w:lang w:val="fr-CH" w:bidi="ar-SY"/>
        </w:rPr>
        <w:t>ميسّرة</w:t>
      </w:r>
      <w:r w:rsidR="00135E29">
        <w:rPr>
          <w:rFonts w:hint="cs"/>
          <w:rtl/>
          <w:lang w:val="fr-CH" w:bidi="ar-SY"/>
        </w:rPr>
        <w:t xml:space="preserve"> </w:t>
      </w:r>
      <w:r>
        <w:rPr>
          <w:rFonts w:hint="cs"/>
          <w:rtl/>
          <w:lang w:val="fr-CH" w:bidi="ar-SY"/>
        </w:rPr>
        <w:t>لفائدة الأشخاص ذوي</w:t>
      </w:r>
      <w:r w:rsidR="00135E29">
        <w:rPr>
          <w:rFonts w:hint="cs"/>
          <w:rtl/>
          <w:lang w:val="fr-CH" w:bidi="ar-SY"/>
        </w:rPr>
        <w:t xml:space="preserve"> الإعاقة، لكن </w:t>
      </w:r>
      <w:r w:rsidR="002A2BB5">
        <w:rPr>
          <w:rFonts w:hint="cs"/>
          <w:rtl/>
          <w:lang w:val="fr-CH" w:bidi="ar-SY"/>
        </w:rPr>
        <w:t xml:space="preserve">الاعتبارات الاقتصادية </w:t>
      </w:r>
      <w:r w:rsidR="00135E29">
        <w:rPr>
          <w:rFonts w:hint="cs"/>
          <w:rtl/>
          <w:lang w:val="fr-CH" w:bidi="ar-SY"/>
        </w:rPr>
        <w:t xml:space="preserve">التي تحيط بالجهود التي تُبذل لجعل المصنفات المحمية متاحة </w:t>
      </w:r>
      <w:r w:rsidR="002A2BB5">
        <w:rPr>
          <w:rFonts w:hint="cs"/>
          <w:rtl/>
          <w:lang w:val="fr-CH" w:bidi="ar-SY"/>
        </w:rPr>
        <w:t xml:space="preserve">تظل </w:t>
      </w:r>
      <w:r w:rsidR="00135E29">
        <w:rPr>
          <w:rFonts w:hint="cs"/>
          <w:rtl/>
          <w:lang w:val="fr-CH" w:bidi="ar-SY"/>
        </w:rPr>
        <w:t xml:space="preserve">معقّدة. وغالباً ما تتطلب </w:t>
      </w:r>
      <w:r w:rsidR="00000A0C">
        <w:rPr>
          <w:rFonts w:hint="cs"/>
          <w:rtl/>
          <w:lang w:val="fr-CH" w:bidi="ar-SY"/>
        </w:rPr>
        <w:t>تحويل</w:t>
      </w:r>
      <w:r w:rsidR="00135E29">
        <w:rPr>
          <w:rFonts w:hint="cs"/>
          <w:rtl/>
          <w:lang w:val="fr-CH" w:bidi="ar-SY"/>
        </w:rPr>
        <w:t xml:space="preserve"> أنواع معينة من المصنفات المحمية </w:t>
      </w:r>
      <w:r w:rsidR="00000A0C">
        <w:rPr>
          <w:rFonts w:hint="cs"/>
          <w:rtl/>
          <w:lang w:val="fr-CH" w:bidi="ar-SY"/>
        </w:rPr>
        <w:t>إلى</w:t>
      </w:r>
      <w:r w:rsidR="00135E29">
        <w:rPr>
          <w:rFonts w:hint="cs"/>
          <w:rtl/>
          <w:lang w:val="fr-CH" w:bidi="ar-SY"/>
        </w:rPr>
        <w:t xml:space="preserve"> </w:t>
      </w:r>
      <w:r>
        <w:rPr>
          <w:rFonts w:hint="cs"/>
          <w:rtl/>
          <w:lang w:val="fr-CH" w:bidi="ar-SY"/>
        </w:rPr>
        <w:t xml:space="preserve">أنساق </w:t>
      </w:r>
      <w:r w:rsidR="00B26DDD">
        <w:rPr>
          <w:rFonts w:hint="cs"/>
          <w:rtl/>
          <w:lang w:val="fr-CH" w:bidi="ar-SY"/>
        </w:rPr>
        <w:t>ميسّرة</w:t>
      </w:r>
      <w:r w:rsidR="00135E29">
        <w:rPr>
          <w:rFonts w:hint="cs"/>
          <w:rtl/>
          <w:lang w:val="fr-CH" w:bidi="ar-SY"/>
        </w:rPr>
        <w:t xml:space="preserve"> عملاً مكثفاً، كما أن تقنيات </w:t>
      </w:r>
      <w:r w:rsidR="00000A0C">
        <w:rPr>
          <w:rFonts w:hint="cs"/>
          <w:rtl/>
          <w:lang w:val="fr-CH" w:bidi="ar-SY"/>
        </w:rPr>
        <w:t>التحويل</w:t>
      </w:r>
      <w:r w:rsidR="00135E29">
        <w:rPr>
          <w:rFonts w:hint="cs"/>
          <w:rtl/>
          <w:lang w:val="fr-CH" w:bidi="ar-SY"/>
        </w:rPr>
        <w:t xml:space="preserve"> القائمة فيما يتعلق بالمصنفات المحمية قد تكون مكلفة. والاختلافات القائمة بين الفيديو والنصوص، وبين الإعاقات السمعية والبصرية </w:t>
      </w:r>
      <w:r>
        <w:rPr>
          <w:rFonts w:hint="cs"/>
          <w:rtl/>
          <w:lang w:val="fr-CH" w:bidi="ar-SY"/>
        </w:rPr>
        <w:t>والمعرفية</w:t>
      </w:r>
      <w:r w:rsidR="00135E29">
        <w:rPr>
          <w:rFonts w:hint="cs"/>
          <w:rtl/>
          <w:lang w:val="fr-CH" w:bidi="ar-SY"/>
        </w:rPr>
        <w:t xml:space="preserve"> تعني أن </w:t>
      </w:r>
      <w:r w:rsidR="00000A0C">
        <w:rPr>
          <w:rFonts w:hint="cs"/>
          <w:rtl/>
          <w:lang w:val="fr-CH" w:bidi="ar-SY"/>
        </w:rPr>
        <w:t>تحويل</w:t>
      </w:r>
      <w:r w:rsidR="00135E29">
        <w:rPr>
          <w:rFonts w:hint="cs"/>
          <w:rtl/>
          <w:lang w:val="fr-CH" w:bidi="ar-SY"/>
        </w:rPr>
        <w:t xml:space="preserve"> المصنفات على نطاق </w:t>
      </w:r>
      <w:r>
        <w:rPr>
          <w:rFonts w:hint="cs"/>
          <w:rtl/>
          <w:lang w:val="fr-CH" w:bidi="ar-SY"/>
        </w:rPr>
        <w:t xml:space="preserve">صغير </w:t>
      </w:r>
      <w:r w:rsidR="00135E29">
        <w:rPr>
          <w:rFonts w:hint="cs"/>
          <w:rtl/>
          <w:lang w:val="fr-CH" w:bidi="ar-SY"/>
        </w:rPr>
        <w:t>فردي قد لا يكون وسيلة مستدامة لتحقيق هدف النفاذ على نطاق واسع إلى المصنفات المحمية.</w:t>
      </w:r>
    </w:p>
    <w:p w:rsidR="00DC633C" w:rsidRDefault="00DC633C" w:rsidP="00D158D5">
      <w:pPr>
        <w:pStyle w:val="BodyText"/>
        <w:rPr>
          <w:rtl/>
          <w:lang w:val="fr-CH" w:bidi="ar-SY"/>
        </w:rPr>
      </w:pPr>
      <w:r>
        <w:rPr>
          <w:rFonts w:hint="cs"/>
          <w:rtl/>
          <w:lang w:val="fr-CH" w:bidi="ar-SY"/>
        </w:rPr>
        <w:t xml:space="preserve">وعلى هذا النحو، فإن أحد العوامل التي تزداد أهمية في تكنولوجيا النفاذ هو نشأة الذكاء الاصطناعي والتعلم الآلي. وعلى سبيل المثال فإن التعلم الآلي </w:t>
      </w:r>
      <w:r w:rsidR="008B41E8">
        <w:rPr>
          <w:rFonts w:hint="cs"/>
          <w:rtl/>
          <w:lang w:val="fr-CH" w:bidi="ar-SY"/>
        </w:rPr>
        <w:t>يتيح</w:t>
      </w:r>
      <w:r>
        <w:rPr>
          <w:rFonts w:hint="cs"/>
          <w:rtl/>
          <w:lang w:val="fr-CH" w:bidi="ar-SY"/>
        </w:rPr>
        <w:t xml:space="preserve"> القدرة على تسهيل </w:t>
      </w:r>
      <w:r w:rsidR="008B41E8">
        <w:rPr>
          <w:rFonts w:hint="cs"/>
          <w:rtl/>
          <w:lang w:val="fr-CH" w:bidi="ar-SY"/>
        </w:rPr>
        <w:t>التكنولوجيات</w:t>
      </w:r>
      <w:r>
        <w:rPr>
          <w:rFonts w:hint="cs"/>
          <w:rtl/>
          <w:lang w:val="fr-CH" w:bidi="ar-SY"/>
        </w:rPr>
        <w:t xml:space="preserve"> </w:t>
      </w:r>
      <w:r w:rsidR="008B41E8">
        <w:rPr>
          <w:rFonts w:hint="cs"/>
          <w:rtl/>
          <w:lang w:val="fr-CH" w:bidi="ar-SY"/>
        </w:rPr>
        <w:t>القادرة على</w:t>
      </w:r>
      <w:r>
        <w:rPr>
          <w:rFonts w:hint="cs"/>
          <w:rtl/>
          <w:lang w:val="fr-CH" w:bidi="ar-SY"/>
        </w:rPr>
        <w:t xml:space="preserve"> أن تجعل النص أكثر سهولة للفهم لدى الأشخاص ذوي الإعاقات </w:t>
      </w:r>
      <w:r w:rsidR="008B41E8">
        <w:rPr>
          <w:rFonts w:hint="cs"/>
          <w:rtl/>
          <w:lang w:val="fr-CH" w:bidi="ar-SY"/>
        </w:rPr>
        <w:t>المعرفية</w:t>
      </w:r>
      <w:r>
        <w:rPr>
          <w:rFonts w:hint="cs"/>
          <w:rtl/>
          <w:lang w:val="fr-CH" w:bidi="ar-SY"/>
        </w:rPr>
        <w:t xml:space="preserve"> وذلك من خلال </w:t>
      </w:r>
      <w:r w:rsidR="008B41E8">
        <w:rPr>
          <w:rFonts w:hint="cs"/>
          <w:rtl/>
          <w:lang w:val="fr-CH" w:bidi="ar-SY"/>
        </w:rPr>
        <w:t>الإعداد التلقائي</w:t>
      </w:r>
      <w:r>
        <w:rPr>
          <w:rFonts w:hint="cs"/>
          <w:rtl/>
          <w:lang w:val="fr-CH" w:bidi="ar-SY"/>
        </w:rPr>
        <w:t xml:space="preserve"> </w:t>
      </w:r>
      <w:r w:rsidR="008B41E8">
        <w:rPr>
          <w:rFonts w:hint="cs"/>
          <w:rtl/>
          <w:lang w:val="fr-CH" w:bidi="ar-SY"/>
        </w:rPr>
        <w:t>ل</w:t>
      </w:r>
      <w:r>
        <w:rPr>
          <w:rFonts w:hint="cs"/>
          <w:rtl/>
          <w:lang w:val="fr-CH" w:bidi="ar-SY"/>
        </w:rPr>
        <w:t>نسخ</w:t>
      </w:r>
      <w:r w:rsidR="008B41E8">
        <w:rPr>
          <w:rFonts w:hint="cs"/>
          <w:rtl/>
          <w:lang w:val="fr-CH" w:bidi="ar-SY"/>
        </w:rPr>
        <w:t xml:space="preserve"> نصية</w:t>
      </w:r>
      <w:r>
        <w:rPr>
          <w:rFonts w:hint="cs"/>
          <w:rtl/>
          <w:lang w:val="fr-CH" w:bidi="ar-SY"/>
        </w:rPr>
        <w:t xml:space="preserve"> أكثر قابلية للفهم، دون اللجوء إلى محررين من البشر. ويعمل الباحثون في شركة </w:t>
      </w:r>
      <w:r>
        <w:rPr>
          <w:lang w:bidi="ar-SY"/>
        </w:rPr>
        <w:t>IBM</w:t>
      </w:r>
      <w:r>
        <w:rPr>
          <w:rFonts w:hint="cs"/>
          <w:rtl/>
          <w:lang w:bidi="ar-SY"/>
        </w:rPr>
        <w:t xml:space="preserve"> على برنامج لمعالجة اللغة من شأنه أن يستبدل عبارات من قبيل "</w:t>
      </w:r>
      <w:r>
        <w:rPr>
          <w:lang w:bidi="ar-SY"/>
        </w:rPr>
        <w:t>Raining cats and dogs</w:t>
      </w:r>
      <w:r>
        <w:rPr>
          <w:rFonts w:hint="cs"/>
          <w:rtl/>
          <w:lang w:bidi="ar-SY"/>
        </w:rPr>
        <w:t>" (تمطر قططا</w:t>
      </w:r>
      <w:r w:rsidR="008B41E8">
        <w:rPr>
          <w:rFonts w:hint="cs"/>
          <w:rtl/>
          <w:lang w:bidi="ar-SY"/>
        </w:rPr>
        <w:t>ً</w:t>
      </w:r>
      <w:r>
        <w:rPr>
          <w:rFonts w:hint="cs"/>
          <w:rtl/>
          <w:lang w:bidi="ar-SY"/>
        </w:rPr>
        <w:t xml:space="preserve"> وكلابا</w:t>
      </w:r>
      <w:r w:rsidR="008B41E8">
        <w:rPr>
          <w:rFonts w:hint="cs"/>
          <w:rtl/>
          <w:lang w:bidi="ar-SY"/>
        </w:rPr>
        <w:t>ً</w:t>
      </w:r>
      <w:r>
        <w:rPr>
          <w:rFonts w:hint="cs"/>
          <w:rtl/>
          <w:lang w:bidi="ar-SY"/>
        </w:rPr>
        <w:t>) بمصطلحات أكثر وضوحاً مثل "</w:t>
      </w:r>
      <w:r>
        <w:rPr>
          <w:lang w:bidi="ar-SY"/>
        </w:rPr>
        <w:t>raining hard</w:t>
      </w:r>
      <w:r>
        <w:rPr>
          <w:rFonts w:hint="cs"/>
          <w:rtl/>
          <w:lang w:bidi="ar-SY"/>
        </w:rPr>
        <w:t xml:space="preserve">" (تمطر </w:t>
      </w:r>
      <w:r w:rsidR="008B41E8">
        <w:rPr>
          <w:rFonts w:hint="cs"/>
          <w:rtl/>
          <w:lang w:bidi="ar-SY"/>
        </w:rPr>
        <w:t>بغزارة</w:t>
      </w:r>
      <w:r>
        <w:rPr>
          <w:rFonts w:hint="cs"/>
          <w:rtl/>
          <w:lang w:bidi="ar-SY"/>
        </w:rPr>
        <w:t>)، وتقليص أو فصل الجمل الطويلة التي تتضمن عبارات متعددة ولغة غير مباشرة</w:t>
      </w:r>
      <w:r>
        <w:rPr>
          <w:rStyle w:val="FootnoteReference"/>
          <w:rtl/>
          <w:lang w:bidi="ar-SY"/>
        </w:rPr>
        <w:footnoteReference w:id="12"/>
      </w:r>
      <w:r w:rsidR="00545C03">
        <w:rPr>
          <w:rFonts w:hint="cs"/>
          <w:rtl/>
          <w:lang w:bidi="ar-SY"/>
        </w:rPr>
        <w:t xml:space="preserve">. واستخدمت </w:t>
      </w:r>
      <w:r w:rsidR="008B41E8">
        <w:rPr>
          <w:rFonts w:hint="cs"/>
          <w:rtl/>
          <w:lang w:bidi="ar-SY"/>
        </w:rPr>
        <w:t xml:space="preserve">شركة </w:t>
      </w:r>
      <w:r w:rsidR="00545C03">
        <w:rPr>
          <w:rFonts w:hint="cs"/>
          <w:rtl/>
          <w:lang w:bidi="ar-SY"/>
        </w:rPr>
        <w:t xml:space="preserve">غوغل أيضاً التعلم الآلي لتطوير واجهة برمجة تطبيقات </w:t>
      </w:r>
      <w:r w:rsidR="00545C03">
        <w:rPr>
          <w:lang w:bidi="ar-SY"/>
        </w:rPr>
        <w:t>Cloud Vision</w:t>
      </w:r>
      <w:r w:rsidR="008B41E8">
        <w:rPr>
          <w:rFonts w:hint="cs"/>
          <w:rtl/>
          <w:lang w:val="fr-CH" w:bidi="ar-SY"/>
        </w:rPr>
        <w:t xml:space="preserve">، </w:t>
      </w:r>
      <w:r w:rsidR="00545C03">
        <w:rPr>
          <w:rFonts w:hint="cs"/>
          <w:rtl/>
          <w:lang w:val="fr-CH" w:bidi="ar-SY"/>
        </w:rPr>
        <w:t>التي تستخدم الشبكات العصبية لتصنيف الصور واستخراج المعلومات النصية لفائدة الذين يعانون من الإعاقات البصرية</w:t>
      </w:r>
      <w:r w:rsidR="00545C03">
        <w:rPr>
          <w:rStyle w:val="FootnoteReference"/>
          <w:rtl/>
          <w:lang w:val="fr-CH" w:bidi="ar-SY"/>
        </w:rPr>
        <w:footnoteReference w:id="13"/>
      </w:r>
      <w:r w:rsidR="00545C03">
        <w:rPr>
          <w:rFonts w:hint="cs"/>
          <w:rtl/>
          <w:lang w:val="fr-CH" w:bidi="ar-SY"/>
        </w:rPr>
        <w:t>.</w:t>
      </w:r>
    </w:p>
    <w:p w:rsidR="00545C03" w:rsidRDefault="00545C03" w:rsidP="00D158D5">
      <w:pPr>
        <w:pStyle w:val="BodyText"/>
        <w:rPr>
          <w:rtl/>
          <w:lang w:val="fr-CH" w:bidi="ar-SY"/>
        </w:rPr>
      </w:pPr>
      <w:r>
        <w:rPr>
          <w:rFonts w:hint="cs"/>
          <w:rtl/>
          <w:lang w:val="fr-CH" w:bidi="ar-SY"/>
        </w:rPr>
        <w:lastRenderedPageBreak/>
        <w:t>و</w:t>
      </w:r>
      <w:r w:rsidR="008B41E8">
        <w:rPr>
          <w:rFonts w:hint="cs"/>
          <w:rtl/>
          <w:lang w:val="fr-CH" w:bidi="ar-SY"/>
        </w:rPr>
        <w:t>بالنسبة</w:t>
      </w:r>
      <w:r>
        <w:rPr>
          <w:rFonts w:hint="cs"/>
          <w:rtl/>
          <w:lang w:val="fr-CH" w:bidi="ar-SY"/>
        </w:rPr>
        <w:t xml:space="preserve"> </w:t>
      </w:r>
      <w:r w:rsidR="00227FD0">
        <w:rPr>
          <w:rFonts w:hint="cs"/>
          <w:rtl/>
          <w:lang w:val="fr-CH" w:bidi="ar-SY"/>
        </w:rPr>
        <w:t xml:space="preserve">إلى </w:t>
      </w:r>
      <w:r>
        <w:rPr>
          <w:rFonts w:hint="cs"/>
          <w:rtl/>
          <w:lang w:val="fr-CH" w:bidi="ar-SY"/>
        </w:rPr>
        <w:t xml:space="preserve">التعلم الآلي المستخدم </w:t>
      </w:r>
      <w:r w:rsidR="00227FD0">
        <w:rPr>
          <w:rFonts w:hint="cs"/>
          <w:rtl/>
          <w:lang w:val="fr-CH" w:bidi="ar-SY"/>
        </w:rPr>
        <w:t xml:space="preserve">حاليا </w:t>
      </w:r>
      <w:r w:rsidR="008B41E8">
        <w:rPr>
          <w:rFonts w:hint="cs"/>
          <w:rtl/>
          <w:lang w:val="fr-CH" w:bidi="ar-SY"/>
        </w:rPr>
        <w:t>من قبيل</w:t>
      </w:r>
      <w:r>
        <w:rPr>
          <w:rFonts w:hint="cs"/>
          <w:rtl/>
          <w:lang w:val="fr-CH" w:bidi="ar-SY"/>
        </w:rPr>
        <w:t xml:space="preserve"> </w:t>
      </w:r>
      <w:r>
        <w:rPr>
          <w:lang w:bidi="ar-SY"/>
        </w:rPr>
        <w:t>Amazon Alexa</w:t>
      </w:r>
      <w:r>
        <w:rPr>
          <w:rFonts w:hint="cs"/>
          <w:rtl/>
          <w:lang w:val="fr-CH" w:bidi="ar-SY"/>
        </w:rPr>
        <w:t xml:space="preserve"> و</w:t>
      </w:r>
      <w:r>
        <w:rPr>
          <w:lang w:bidi="ar-SY"/>
        </w:rPr>
        <w:t>Google Home</w:t>
      </w:r>
      <w:r>
        <w:rPr>
          <w:rFonts w:hint="cs"/>
          <w:rtl/>
          <w:lang w:val="fr-CH" w:bidi="ar-SY"/>
        </w:rPr>
        <w:t xml:space="preserve">، هناك إمكانية </w:t>
      </w:r>
      <w:r w:rsidR="00800F69">
        <w:rPr>
          <w:rFonts w:hint="cs"/>
          <w:rtl/>
          <w:lang w:val="fr-CH" w:bidi="ar-SY"/>
        </w:rPr>
        <w:t>لتوسيع نطاقه لمساعدة الأشخاص الذين يعانون من إعاقات في النطق واللغة</w:t>
      </w:r>
      <w:r w:rsidR="00800F69">
        <w:rPr>
          <w:rStyle w:val="FootnoteReference"/>
          <w:rtl/>
          <w:lang w:val="fr-CH" w:bidi="ar-SY"/>
        </w:rPr>
        <w:footnoteReference w:id="14"/>
      </w:r>
      <w:r w:rsidR="00800F69">
        <w:rPr>
          <w:rFonts w:hint="cs"/>
          <w:rtl/>
          <w:lang w:val="fr-CH" w:bidi="ar-SY"/>
        </w:rPr>
        <w:t xml:space="preserve">. ويمكن استخدام هذه التكنولوجيات، التي تسمى بالمساعدات الإدراكية الاصطناعية، في يوم ما كجزء من خدمة الرعاية عن بعد التي يمكنها </w:t>
      </w:r>
      <w:r w:rsidR="00B26DDD">
        <w:rPr>
          <w:rFonts w:hint="cs"/>
          <w:rtl/>
          <w:lang w:val="fr-CH" w:bidi="ar-SY"/>
        </w:rPr>
        <w:t>إنذار</w:t>
      </w:r>
      <w:r w:rsidR="00800F69">
        <w:rPr>
          <w:rFonts w:hint="cs"/>
          <w:rtl/>
          <w:lang w:val="fr-CH" w:bidi="ar-SY"/>
        </w:rPr>
        <w:t xml:space="preserve"> المستشفيات والممرضات عندما تظهر عند شخص ما علامات</w:t>
      </w:r>
      <w:r w:rsidR="00B26DDD">
        <w:rPr>
          <w:rFonts w:hint="cs"/>
          <w:rtl/>
          <w:lang w:val="fr-CH" w:bidi="ar-SY"/>
        </w:rPr>
        <w:t xml:space="preserve"> تدل على</w:t>
      </w:r>
      <w:r w:rsidR="00800F69">
        <w:rPr>
          <w:rFonts w:hint="cs"/>
          <w:rtl/>
          <w:lang w:val="fr-CH" w:bidi="ar-SY"/>
        </w:rPr>
        <w:t xml:space="preserve"> الخطر أو الاستغاثة.</w:t>
      </w:r>
      <w:r w:rsidR="00800F69">
        <w:rPr>
          <w:rStyle w:val="FootnoteReference"/>
          <w:rtl/>
          <w:lang w:val="fr-CH" w:bidi="ar-SY"/>
        </w:rPr>
        <w:footnoteReference w:id="15"/>
      </w:r>
    </w:p>
    <w:p w:rsidR="00800F69" w:rsidRDefault="00800F69" w:rsidP="00D158D5">
      <w:pPr>
        <w:pStyle w:val="BodyText"/>
        <w:rPr>
          <w:rtl/>
          <w:lang w:val="fr-CH" w:bidi="ar-SY"/>
        </w:rPr>
      </w:pPr>
      <w:r>
        <w:rPr>
          <w:rFonts w:hint="cs"/>
          <w:rtl/>
          <w:lang w:val="fr-CH" w:bidi="ar-SY"/>
        </w:rPr>
        <w:t xml:space="preserve">ويمكن </w:t>
      </w:r>
      <w:r w:rsidR="00B26DDD">
        <w:rPr>
          <w:rFonts w:hint="cs"/>
          <w:rtl/>
          <w:lang w:val="fr-CH" w:bidi="ar-SY"/>
        </w:rPr>
        <w:t>أن تتغلب تكنولوجيات النفاذ</w:t>
      </w:r>
      <w:r>
        <w:rPr>
          <w:rFonts w:hint="cs"/>
          <w:rtl/>
          <w:lang w:val="fr-CH" w:bidi="ar-SY"/>
        </w:rPr>
        <w:t xml:space="preserve"> التي يتيحها التعلم الآلي على أوج</w:t>
      </w:r>
      <w:r w:rsidR="00B26DDD">
        <w:rPr>
          <w:rFonts w:hint="cs"/>
          <w:rtl/>
          <w:lang w:val="fr-CH" w:bidi="ar-SY"/>
        </w:rPr>
        <w:t>ه</w:t>
      </w:r>
      <w:r>
        <w:rPr>
          <w:rFonts w:hint="cs"/>
          <w:rtl/>
          <w:lang w:val="fr-CH" w:bidi="ar-SY"/>
        </w:rPr>
        <w:t xml:space="preserve"> القصور </w:t>
      </w:r>
      <w:r w:rsidR="00851B18">
        <w:rPr>
          <w:rFonts w:hint="cs"/>
          <w:rtl/>
          <w:lang w:val="fr-CH" w:bidi="ar-SY"/>
        </w:rPr>
        <w:t xml:space="preserve">في </w:t>
      </w:r>
      <w:r w:rsidR="00000A0C">
        <w:rPr>
          <w:rFonts w:hint="cs"/>
          <w:rtl/>
          <w:lang w:val="fr-CH" w:bidi="ar-SY"/>
        </w:rPr>
        <w:t>التحويل الفردي للمصنفات</w:t>
      </w:r>
      <w:r w:rsidR="00851B18">
        <w:rPr>
          <w:rFonts w:hint="cs"/>
          <w:rtl/>
          <w:lang w:val="fr-CH" w:bidi="ar-SY"/>
        </w:rPr>
        <w:t xml:space="preserve"> من خلال </w:t>
      </w:r>
      <w:r>
        <w:rPr>
          <w:rFonts w:hint="cs"/>
          <w:rtl/>
          <w:lang w:val="fr-CH" w:bidi="ar-SY"/>
        </w:rPr>
        <w:t xml:space="preserve">أتمتة </w:t>
      </w:r>
      <w:r w:rsidR="00851B18" w:rsidRPr="00800F69">
        <w:rPr>
          <w:rtl/>
          <w:lang w:val="fr-CH" w:bidi="ar-SY"/>
        </w:rPr>
        <w:t xml:space="preserve">جهود </w:t>
      </w:r>
      <w:r w:rsidR="00851B18">
        <w:rPr>
          <w:rFonts w:hint="cs"/>
          <w:rtl/>
          <w:lang w:val="fr-CH" w:bidi="ar-SY"/>
        </w:rPr>
        <w:t>النفاذ</w:t>
      </w:r>
      <w:r w:rsidR="00851B18" w:rsidRPr="00800F69">
        <w:rPr>
          <w:rtl/>
          <w:lang w:val="fr-CH" w:bidi="ar-SY"/>
        </w:rPr>
        <w:t xml:space="preserve"> الباهظة التكلفة وتمكين القدرة </w:t>
      </w:r>
      <w:r w:rsidR="00851B18">
        <w:rPr>
          <w:rtl/>
          <w:lang w:val="fr-CH" w:bidi="ar-SY"/>
        </w:rPr>
        <w:t>على</w:t>
      </w:r>
      <w:r w:rsidR="00000A0C">
        <w:rPr>
          <w:rFonts w:hint="cs"/>
          <w:rtl/>
          <w:lang w:val="fr-CH" w:bidi="ar-SY"/>
        </w:rPr>
        <w:t xml:space="preserve"> تحويل المصنفات على نطاق واسع. وبالتاي فإن استخدام التعلم الآلي</w:t>
      </w:r>
      <w:r w:rsidR="00851B18">
        <w:rPr>
          <w:rtl/>
          <w:lang w:val="fr-CH" w:bidi="ar-SY"/>
        </w:rPr>
        <w:t xml:space="preserve"> </w:t>
      </w:r>
      <w:r w:rsidR="00000A0C">
        <w:rPr>
          <w:rFonts w:hint="cs"/>
          <w:rtl/>
          <w:lang w:val="fr-CH" w:bidi="ar-SY"/>
        </w:rPr>
        <w:t xml:space="preserve">هو أداة مهمة لتحقيق هدف </w:t>
      </w:r>
      <w:r w:rsidR="00B26DDD">
        <w:rPr>
          <w:rFonts w:hint="cs"/>
          <w:rtl/>
          <w:lang w:val="fr-CH" w:bidi="ar-SY"/>
        </w:rPr>
        <w:t xml:space="preserve">النفاذ </w:t>
      </w:r>
      <w:r w:rsidR="00000A0C">
        <w:rPr>
          <w:rFonts w:hint="cs"/>
          <w:rtl/>
          <w:lang w:val="fr-CH" w:bidi="ar-SY"/>
        </w:rPr>
        <w:t>الشامل للأشخاص ذوي الإعاقات إلى المواد</w:t>
      </w:r>
      <w:r w:rsidR="00851B18">
        <w:rPr>
          <w:rFonts w:hint="cs"/>
          <w:rtl/>
          <w:lang w:val="fr-CH" w:bidi="ar-SY"/>
        </w:rPr>
        <w:t>.</w:t>
      </w:r>
    </w:p>
    <w:p w:rsidR="00851B18" w:rsidRDefault="00851B18" w:rsidP="00851B18">
      <w:pPr>
        <w:pStyle w:val="Heading2"/>
        <w:rPr>
          <w:rtl/>
          <w:lang w:val="fr-CH" w:bidi="ar-SY"/>
        </w:rPr>
      </w:pPr>
      <w:r>
        <w:rPr>
          <w:rFonts w:hint="cs"/>
          <w:rtl/>
          <w:lang w:val="fr-CH" w:bidi="ar-SY"/>
        </w:rPr>
        <w:t>المنهجية</w:t>
      </w:r>
    </w:p>
    <w:p w:rsidR="00851B18" w:rsidRDefault="00227FD0" w:rsidP="00D158D5">
      <w:pPr>
        <w:pStyle w:val="BodyText"/>
        <w:rPr>
          <w:rtl/>
          <w:lang w:val="fr-CH" w:bidi="ar-SY"/>
        </w:rPr>
      </w:pPr>
      <w:r>
        <w:rPr>
          <w:rFonts w:hint="cs"/>
          <w:rtl/>
          <w:lang w:val="fr-CH" w:bidi="ar-SY"/>
        </w:rPr>
        <w:t>شملت</w:t>
      </w:r>
      <w:r w:rsidR="00851B18" w:rsidRPr="00851B18">
        <w:rPr>
          <w:rtl/>
          <w:lang w:val="fr-CH" w:bidi="ar-SY"/>
        </w:rPr>
        <w:t xml:space="preserve"> دراسة الويبو لعام 2017 استبيانات </w:t>
      </w:r>
      <w:r w:rsidR="00851B18">
        <w:rPr>
          <w:rFonts w:hint="cs"/>
          <w:rtl/>
          <w:lang w:val="fr-CH" w:bidi="ar-SY"/>
        </w:rPr>
        <w:t xml:space="preserve">أُرسلت إلى </w:t>
      </w:r>
      <w:r w:rsidR="00851B18">
        <w:rPr>
          <w:rtl/>
          <w:lang w:val="fr-CH" w:bidi="ar-SY"/>
        </w:rPr>
        <w:t>الدول الأعضاء</w:t>
      </w:r>
      <w:r w:rsidR="00851B18">
        <w:rPr>
          <w:rFonts w:hint="cs"/>
          <w:rtl/>
          <w:lang w:val="fr-CH" w:bidi="ar-SY"/>
        </w:rPr>
        <w:t xml:space="preserve"> لاستيفائها،</w:t>
      </w:r>
      <w:r w:rsidR="00851B18" w:rsidRPr="00851B18">
        <w:rPr>
          <w:rtl/>
          <w:lang w:val="fr-CH" w:bidi="ar-SY"/>
        </w:rPr>
        <w:t xml:space="preserve"> في حين أجرى مؤلفو هذه الدراسة بحثًا مستقلًا في أنظمة </w:t>
      </w:r>
      <w:r w:rsidR="00851B18">
        <w:rPr>
          <w:rFonts w:hint="cs"/>
          <w:rtl/>
          <w:lang w:val="fr-CH" w:bidi="ar-SY"/>
        </w:rPr>
        <w:t>حق المؤلف</w:t>
      </w:r>
      <w:r w:rsidR="00851B18">
        <w:rPr>
          <w:rtl/>
          <w:lang w:val="fr-CH" w:bidi="ar-SY"/>
        </w:rPr>
        <w:t xml:space="preserve"> في الدول الأعضاء في الويبو</w:t>
      </w:r>
      <w:r w:rsidR="00851B18" w:rsidRPr="00851B18">
        <w:rPr>
          <w:rtl/>
          <w:lang w:val="fr-CH" w:bidi="ar-SY"/>
        </w:rPr>
        <w:t xml:space="preserve">، مما </w:t>
      </w:r>
      <w:r w:rsidR="00851B18">
        <w:rPr>
          <w:rFonts w:hint="cs"/>
          <w:rtl/>
          <w:lang w:val="fr-CH" w:bidi="ar-SY"/>
        </w:rPr>
        <w:t>عزز</w:t>
      </w:r>
      <w:r w:rsidR="00851B18" w:rsidRPr="00851B18">
        <w:rPr>
          <w:rtl/>
          <w:lang w:val="fr-CH" w:bidi="ar-SY"/>
        </w:rPr>
        <w:t xml:space="preserve"> الدراسة السابقة بأبحاث مصممة</w:t>
      </w:r>
      <w:r w:rsidR="00B26DDD">
        <w:rPr>
          <w:rFonts w:hint="cs"/>
          <w:rtl/>
          <w:lang w:val="fr-CH" w:bidi="ar-SY"/>
        </w:rPr>
        <w:t xml:space="preserve"> خصيصاً</w:t>
      </w:r>
      <w:r w:rsidR="00851B18" w:rsidRPr="00851B18">
        <w:rPr>
          <w:rtl/>
          <w:lang w:val="fr-CH" w:bidi="ar-SY"/>
        </w:rPr>
        <w:t xml:space="preserve"> للإجابة على أسئلة محددة حول </w:t>
      </w:r>
      <w:r w:rsidR="00B26DDD">
        <w:rPr>
          <w:rFonts w:hint="cs"/>
          <w:rtl/>
          <w:lang w:val="fr-CH" w:bidi="ar-SY"/>
        </w:rPr>
        <w:t>ال</w:t>
      </w:r>
      <w:r w:rsidR="00851B18" w:rsidRPr="00851B18">
        <w:rPr>
          <w:rtl/>
          <w:lang w:val="fr-CH" w:bidi="ar-SY"/>
        </w:rPr>
        <w:t xml:space="preserve">أحكام </w:t>
      </w:r>
      <w:r w:rsidR="00B26DDD">
        <w:rPr>
          <w:rFonts w:hint="cs"/>
          <w:rtl/>
          <w:lang w:val="fr-CH" w:bidi="ar-SY"/>
        </w:rPr>
        <w:t>المتعلقة ب</w:t>
      </w:r>
      <w:r w:rsidR="00B26DDD">
        <w:rPr>
          <w:rtl/>
          <w:lang w:val="fr-CH" w:bidi="ar-SY"/>
        </w:rPr>
        <w:t>الإعاق</w:t>
      </w:r>
      <w:r w:rsidR="00B26DDD">
        <w:rPr>
          <w:rFonts w:hint="cs"/>
          <w:rtl/>
          <w:lang w:val="fr-CH" w:bidi="ar-SY"/>
        </w:rPr>
        <w:t>ات</w:t>
      </w:r>
      <w:r w:rsidR="00851B18" w:rsidRPr="00851B18">
        <w:rPr>
          <w:rtl/>
          <w:lang w:val="fr-CH" w:bidi="ar-SY"/>
        </w:rPr>
        <w:t xml:space="preserve"> </w:t>
      </w:r>
      <w:r w:rsidR="00B26DDD">
        <w:rPr>
          <w:rFonts w:hint="cs"/>
          <w:rtl/>
          <w:lang w:val="fr-CH" w:bidi="ar-SY"/>
        </w:rPr>
        <w:t xml:space="preserve">التي تنص عليها </w:t>
      </w:r>
      <w:r w:rsidR="00851B18" w:rsidRPr="00851B18">
        <w:rPr>
          <w:rtl/>
          <w:lang w:val="fr-CH" w:bidi="ar-SY"/>
        </w:rPr>
        <w:t xml:space="preserve">أنظمة </w:t>
      </w:r>
      <w:r w:rsidR="00851B18">
        <w:rPr>
          <w:rFonts w:hint="cs"/>
          <w:rtl/>
          <w:lang w:val="fr-CH" w:bidi="ar-SY"/>
        </w:rPr>
        <w:t>حق المؤلف</w:t>
      </w:r>
      <w:r w:rsidR="00851B18" w:rsidRPr="00851B18">
        <w:rPr>
          <w:rtl/>
          <w:lang w:val="fr-CH" w:bidi="ar-SY"/>
        </w:rPr>
        <w:t>.</w:t>
      </w:r>
    </w:p>
    <w:p w:rsidR="002F21BD" w:rsidRDefault="00851B18" w:rsidP="00D158D5">
      <w:pPr>
        <w:pStyle w:val="BodyText"/>
        <w:rPr>
          <w:rtl/>
          <w:lang w:val="fr-CH" w:bidi="ar-SY"/>
        </w:rPr>
      </w:pPr>
      <w:r>
        <w:rPr>
          <w:rFonts w:hint="cs"/>
          <w:rtl/>
          <w:lang w:val="fr-CH" w:bidi="ar-SY"/>
        </w:rPr>
        <w:t>و</w:t>
      </w:r>
      <w:r w:rsidRPr="00851B18">
        <w:rPr>
          <w:rtl/>
          <w:lang w:val="fr-CH" w:bidi="ar-SY"/>
        </w:rPr>
        <w:t xml:space="preserve">تضم الدراسة </w:t>
      </w:r>
      <w:r w:rsidR="00227FD0">
        <w:rPr>
          <w:rFonts w:hint="cs"/>
          <w:rtl/>
          <w:lang w:val="fr-CH" w:bidi="ar-SY"/>
        </w:rPr>
        <w:t>البيانات المحصلة من</w:t>
      </w:r>
      <w:r w:rsidR="00B26DDD">
        <w:rPr>
          <w:rtl/>
          <w:lang w:val="fr-CH" w:bidi="ar-SY"/>
        </w:rPr>
        <w:t xml:space="preserve"> استبيان عام 2017 </w:t>
      </w:r>
      <w:r w:rsidRPr="00851B18">
        <w:rPr>
          <w:rtl/>
          <w:lang w:val="fr-CH" w:bidi="ar-SY"/>
        </w:rPr>
        <w:t>إضافة إلى الأبحاث المستقلة التي أجراها طلاب الدراسات العليا في جامعة كيب تاون ومحامو</w:t>
      </w:r>
      <w:r>
        <w:rPr>
          <w:rFonts w:hint="cs"/>
          <w:rtl/>
          <w:lang w:val="fr-CH" w:bidi="ar-SY"/>
        </w:rPr>
        <w:t>ن</w:t>
      </w:r>
      <w:r w:rsidRPr="00851B18">
        <w:rPr>
          <w:rtl/>
          <w:lang w:val="fr-CH" w:bidi="ar-SY"/>
        </w:rPr>
        <w:t xml:space="preserve"> </w:t>
      </w:r>
      <w:r>
        <w:rPr>
          <w:rFonts w:hint="cs"/>
          <w:rtl/>
          <w:lang w:val="fr-CH" w:bidi="ar-SY"/>
        </w:rPr>
        <w:t>متدربون</w:t>
      </w:r>
      <w:r w:rsidRPr="00851B18">
        <w:rPr>
          <w:rtl/>
          <w:lang w:val="fr-CH" w:bidi="ar-SY"/>
        </w:rPr>
        <w:t xml:space="preserve"> في </w:t>
      </w:r>
      <w:r>
        <w:rPr>
          <w:rFonts w:hint="cs"/>
          <w:rtl/>
          <w:lang w:val="fr-CH" w:bidi="ar-SY"/>
        </w:rPr>
        <w:t>مركز</w:t>
      </w:r>
      <w:r w:rsidRPr="00851B18">
        <w:rPr>
          <w:rtl/>
          <w:lang w:val="fr-CH" w:bidi="ar-SY"/>
        </w:rPr>
        <w:t xml:space="preserve"> سامويلسون-غلوشكو </w:t>
      </w:r>
      <w:r w:rsidR="002F21BD">
        <w:rPr>
          <w:rFonts w:hint="cs"/>
          <w:rtl/>
          <w:lang w:val="fr-CH" w:bidi="ar-SY"/>
        </w:rPr>
        <w:t>لقوانين وسياسات التكنولوجيا التابع لكلية الحقوق في جامعة</w:t>
      </w:r>
      <w:r w:rsidRPr="00851B18">
        <w:rPr>
          <w:rtl/>
          <w:lang w:val="fr-CH" w:bidi="ar-SY"/>
        </w:rPr>
        <w:t xml:space="preserve"> كولورادو. </w:t>
      </w:r>
      <w:r w:rsidR="002F21BD">
        <w:rPr>
          <w:rFonts w:hint="cs"/>
          <w:rtl/>
          <w:lang w:val="fr-CH" w:bidi="ar-SY"/>
        </w:rPr>
        <w:t>و</w:t>
      </w:r>
      <w:r w:rsidR="00227FD0">
        <w:rPr>
          <w:rFonts w:hint="cs"/>
          <w:rtl/>
          <w:lang w:val="fr-CH" w:bidi="ar-SY"/>
        </w:rPr>
        <w:t xml:space="preserve">بحث </w:t>
      </w:r>
      <w:r w:rsidRPr="00851B18">
        <w:rPr>
          <w:rtl/>
          <w:lang w:val="fr-CH" w:bidi="ar-SY"/>
        </w:rPr>
        <w:t xml:space="preserve">المؤلفون </w:t>
      </w:r>
      <w:r w:rsidR="00227FD0">
        <w:rPr>
          <w:rFonts w:hint="cs"/>
          <w:rtl/>
          <w:lang w:val="fr-CH" w:bidi="ar-SY"/>
        </w:rPr>
        <w:t xml:space="preserve">معاً </w:t>
      </w:r>
      <w:r w:rsidRPr="00851B18">
        <w:rPr>
          <w:rtl/>
          <w:lang w:val="fr-CH" w:bidi="ar-SY"/>
        </w:rPr>
        <w:t xml:space="preserve">في قوانين </w:t>
      </w:r>
      <w:r w:rsidR="002F21BD">
        <w:rPr>
          <w:rFonts w:hint="cs"/>
          <w:rtl/>
          <w:lang w:val="fr-CH" w:bidi="ar-SY"/>
        </w:rPr>
        <w:t>حق المؤلف</w:t>
      </w:r>
      <w:r w:rsidRPr="00851B18">
        <w:rPr>
          <w:rtl/>
          <w:lang w:val="fr-CH" w:bidi="ar-SY"/>
        </w:rPr>
        <w:t xml:space="preserve"> المتنوعة لجميع الدول الأعضاء في الويبو</w:t>
      </w:r>
      <w:r w:rsidR="00B26DDD">
        <w:rPr>
          <w:rFonts w:hint="cs"/>
          <w:rtl/>
          <w:lang w:val="fr-CH" w:bidi="ar-SY"/>
        </w:rPr>
        <w:t>،</w:t>
      </w:r>
      <w:r w:rsidRPr="00851B18">
        <w:rPr>
          <w:rtl/>
          <w:lang w:val="fr-CH" w:bidi="ar-SY"/>
        </w:rPr>
        <w:t xml:space="preserve"> و</w:t>
      </w:r>
      <w:r w:rsidR="00B26DDD">
        <w:rPr>
          <w:rFonts w:hint="cs"/>
          <w:rtl/>
          <w:lang w:val="fr-CH" w:bidi="ar-SY"/>
        </w:rPr>
        <w:t xml:space="preserve">في </w:t>
      </w:r>
      <w:r w:rsidRPr="00851B18">
        <w:rPr>
          <w:rtl/>
          <w:lang w:val="fr-CH" w:bidi="ar-SY"/>
        </w:rPr>
        <w:t xml:space="preserve">أحكام تلك القوانين </w:t>
      </w:r>
      <w:r w:rsidR="00227FD0">
        <w:rPr>
          <w:rFonts w:hint="cs"/>
          <w:rtl/>
          <w:lang w:val="fr-CH" w:bidi="ar-SY"/>
        </w:rPr>
        <w:t xml:space="preserve">التي </w:t>
      </w:r>
      <w:r w:rsidRPr="00851B18">
        <w:rPr>
          <w:rtl/>
          <w:lang w:val="fr-CH" w:bidi="ar-SY"/>
        </w:rPr>
        <w:t xml:space="preserve">تنص على </w:t>
      </w:r>
      <w:r w:rsidR="002F21BD">
        <w:rPr>
          <w:rFonts w:hint="cs"/>
          <w:rtl/>
          <w:lang w:val="fr-CH" w:bidi="ar-SY"/>
        </w:rPr>
        <w:t>ال</w:t>
      </w:r>
      <w:r w:rsidRPr="00851B18">
        <w:rPr>
          <w:rtl/>
          <w:lang w:val="fr-CH" w:bidi="ar-SY"/>
        </w:rPr>
        <w:t xml:space="preserve">استخدام </w:t>
      </w:r>
      <w:r w:rsidR="002F21BD">
        <w:rPr>
          <w:rFonts w:hint="cs"/>
          <w:rtl/>
          <w:lang w:val="fr-CH" w:bidi="ar-SY"/>
        </w:rPr>
        <w:t>الميسّر ل</w:t>
      </w:r>
      <w:r w:rsidRPr="00851B18">
        <w:rPr>
          <w:rtl/>
          <w:lang w:val="fr-CH" w:bidi="ar-SY"/>
        </w:rPr>
        <w:t xml:space="preserve">لمصنفات المحمية </w:t>
      </w:r>
      <w:r w:rsidR="002F21BD">
        <w:rPr>
          <w:rFonts w:hint="cs"/>
          <w:rtl/>
          <w:lang w:val="fr-CH" w:bidi="ar-SY"/>
        </w:rPr>
        <w:t xml:space="preserve">من طرف </w:t>
      </w:r>
      <w:r w:rsidRPr="00851B18">
        <w:rPr>
          <w:rtl/>
          <w:lang w:val="fr-CH" w:bidi="ar-SY"/>
        </w:rPr>
        <w:t>الأشخاص ذوي الإعا</w:t>
      </w:r>
      <w:r w:rsidR="002F21BD">
        <w:rPr>
          <w:rtl/>
          <w:lang w:val="fr-CH" w:bidi="ar-SY"/>
        </w:rPr>
        <w:t>ق</w:t>
      </w:r>
      <w:r w:rsidR="002F21BD">
        <w:rPr>
          <w:rFonts w:hint="cs"/>
          <w:rtl/>
          <w:lang w:val="fr-CH" w:bidi="ar-SY"/>
        </w:rPr>
        <w:t>ات</w:t>
      </w:r>
      <w:r w:rsidRPr="00851B18">
        <w:rPr>
          <w:rtl/>
          <w:lang w:val="fr-CH" w:bidi="ar-SY"/>
        </w:rPr>
        <w:t>.</w:t>
      </w:r>
    </w:p>
    <w:p w:rsidR="002F21BD" w:rsidRDefault="002F21BD" w:rsidP="002F21BD">
      <w:pPr>
        <w:pStyle w:val="Heading2"/>
        <w:rPr>
          <w:rtl/>
          <w:lang w:val="fr-CH" w:bidi="ar-SY"/>
        </w:rPr>
      </w:pPr>
      <w:r>
        <w:rPr>
          <w:rFonts w:hint="cs"/>
          <w:rtl/>
          <w:lang w:val="fr-CH" w:bidi="ar-SY"/>
        </w:rPr>
        <w:t>التحليل</w:t>
      </w:r>
    </w:p>
    <w:p w:rsidR="004E3E6A" w:rsidRDefault="002F21BD" w:rsidP="00D158D5">
      <w:pPr>
        <w:pStyle w:val="BodyText"/>
        <w:rPr>
          <w:rtl/>
          <w:lang w:val="fr-CH" w:bidi="ar-SY"/>
        </w:rPr>
      </w:pPr>
      <w:r>
        <w:rPr>
          <w:rFonts w:hint="cs"/>
          <w:rtl/>
          <w:lang w:val="fr-CH" w:bidi="ar-SY"/>
        </w:rPr>
        <w:t xml:space="preserve">تتجاوز هذه الدراسة نطاق معاهدة مراكش </w:t>
      </w:r>
      <w:r w:rsidR="00227FD0">
        <w:rPr>
          <w:rFonts w:hint="cs"/>
          <w:rtl/>
          <w:lang w:val="fr-CH" w:bidi="ar-SY"/>
        </w:rPr>
        <w:t xml:space="preserve">لأنها تنظر </w:t>
      </w:r>
      <w:r>
        <w:rPr>
          <w:rFonts w:hint="cs"/>
          <w:rtl/>
          <w:lang w:val="fr-CH" w:bidi="ar-SY"/>
        </w:rPr>
        <w:t>في الإعاقات الأخرى بخلاف الإعاقات المتعلقة بقراءة المطبوعات، و</w:t>
      </w:r>
      <w:r w:rsidR="00B26DDD">
        <w:rPr>
          <w:rFonts w:hint="cs"/>
          <w:rtl/>
          <w:lang w:val="fr-CH" w:bidi="ar-SY"/>
        </w:rPr>
        <w:t xml:space="preserve">في </w:t>
      </w:r>
      <w:r>
        <w:rPr>
          <w:rFonts w:hint="cs"/>
          <w:rtl/>
          <w:lang w:val="fr-CH" w:bidi="ar-SY"/>
        </w:rPr>
        <w:t xml:space="preserve">المصنفات الأخرى بخلاف المصنفات الأدبية والفنية في شكل نصوص </w:t>
      </w:r>
      <w:r w:rsidR="00227FD0">
        <w:rPr>
          <w:rFonts w:hint="cs"/>
          <w:rtl/>
          <w:lang w:val="fr-CH" w:bidi="ar-SY"/>
        </w:rPr>
        <w:t xml:space="preserve">وما يصحبها من </w:t>
      </w:r>
      <w:r>
        <w:rPr>
          <w:rFonts w:hint="cs"/>
          <w:rtl/>
          <w:lang w:val="fr-CH" w:bidi="ar-SY"/>
        </w:rPr>
        <w:t>رسوم توضيحية. ومع ذلك، جدير بالذكر أن تعريف "الإعاق</w:t>
      </w:r>
      <w:r w:rsidR="00B26DDD">
        <w:rPr>
          <w:rFonts w:hint="cs"/>
          <w:rtl/>
          <w:lang w:val="fr-CH" w:bidi="ar-SY"/>
        </w:rPr>
        <w:t>ات المتعلقة ب</w:t>
      </w:r>
      <w:r>
        <w:rPr>
          <w:rFonts w:hint="cs"/>
          <w:rtl/>
          <w:lang w:val="fr-CH" w:bidi="ar-SY"/>
        </w:rPr>
        <w:t>قراءة</w:t>
      </w:r>
      <w:r w:rsidR="00B26DDD">
        <w:rPr>
          <w:rFonts w:hint="cs"/>
          <w:rtl/>
          <w:lang w:val="fr-CH" w:bidi="ar-SY"/>
        </w:rPr>
        <w:t xml:space="preserve"> المطبوعات"، الذي وضعته معاهدة مراكش</w:t>
      </w:r>
      <w:r>
        <w:rPr>
          <w:rFonts w:hint="cs"/>
          <w:rtl/>
          <w:lang w:val="fr-CH" w:bidi="ar-SY"/>
        </w:rPr>
        <w:t xml:space="preserve">، كان يشمل </w:t>
      </w:r>
      <w:r w:rsidR="004E3E6A">
        <w:rPr>
          <w:rFonts w:hint="cs"/>
          <w:rtl/>
          <w:lang w:val="fr-CH" w:bidi="ar-SY"/>
        </w:rPr>
        <w:t>في الأصل</w:t>
      </w:r>
      <w:r>
        <w:rPr>
          <w:rFonts w:hint="cs"/>
          <w:rtl/>
          <w:lang w:val="fr-CH" w:bidi="ar-SY"/>
        </w:rPr>
        <w:t xml:space="preserve"> الإعاقات البصرية ولكنه يتداخل إلى حد ما مع الإعاقات </w:t>
      </w:r>
      <w:r w:rsidR="00B26DDD">
        <w:rPr>
          <w:rFonts w:hint="cs"/>
          <w:rtl/>
          <w:lang w:val="fr-CH" w:bidi="ar-SY"/>
        </w:rPr>
        <w:t>المعرفية</w:t>
      </w:r>
      <w:r>
        <w:rPr>
          <w:rFonts w:hint="cs"/>
          <w:rtl/>
          <w:lang w:val="fr-CH" w:bidi="ar-SY"/>
        </w:rPr>
        <w:t>/ العقلية والبدنية/الحركية.</w:t>
      </w:r>
    </w:p>
    <w:p w:rsidR="004E3E6A" w:rsidRPr="004E3E6A" w:rsidRDefault="004E3E6A" w:rsidP="001F6F1C">
      <w:pPr>
        <w:pStyle w:val="Heading3"/>
        <w:rPr>
          <w:rtl/>
          <w:lang w:val="fr-CH" w:bidi="ar-SY"/>
        </w:rPr>
      </w:pPr>
      <w:r w:rsidRPr="004E3E6A">
        <w:rPr>
          <w:rFonts w:hint="cs"/>
          <w:rtl/>
          <w:lang w:val="fr-CH" w:bidi="ar-SY"/>
        </w:rPr>
        <w:t>النتائج</w:t>
      </w:r>
    </w:p>
    <w:p w:rsidR="004E3E6A" w:rsidRDefault="004E3E6A" w:rsidP="00D158D5">
      <w:pPr>
        <w:pStyle w:val="BodyText"/>
        <w:rPr>
          <w:rtl/>
          <w:lang w:val="fr-CH" w:bidi="ar-SY"/>
        </w:rPr>
      </w:pPr>
      <w:r>
        <w:rPr>
          <w:rFonts w:hint="cs"/>
          <w:rtl/>
          <w:lang w:val="fr-CH" w:bidi="ar-SY"/>
        </w:rPr>
        <w:t xml:space="preserve">توصلت الدراسة إلى أن هناك </w:t>
      </w:r>
      <w:r w:rsidR="001F6F1C">
        <w:rPr>
          <w:rFonts w:hint="cs"/>
          <w:rtl/>
          <w:lang w:val="fr-CH" w:bidi="ar-SY"/>
        </w:rPr>
        <w:t>فئتان رئيسيتان</w:t>
      </w:r>
      <w:r>
        <w:rPr>
          <w:rFonts w:hint="cs"/>
          <w:rtl/>
          <w:lang w:val="fr-CH" w:bidi="ar-SY"/>
        </w:rPr>
        <w:t xml:space="preserve"> من الاستثناءات </w:t>
      </w:r>
      <w:r w:rsidR="001F6F1C">
        <w:rPr>
          <w:rFonts w:hint="cs"/>
          <w:rtl/>
          <w:lang w:val="fr-CH" w:bidi="ar-SY"/>
        </w:rPr>
        <w:t xml:space="preserve">التقييدات </w:t>
      </w:r>
      <w:r>
        <w:rPr>
          <w:rFonts w:hint="cs"/>
          <w:rtl/>
          <w:lang w:val="fr-CH" w:bidi="ar-SY"/>
        </w:rPr>
        <w:t>المطبقة وهي: الأحكام المحددة و</w:t>
      </w:r>
      <w:r w:rsidR="00B26DDD">
        <w:rPr>
          <w:rFonts w:hint="cs"/>
          <w:rtl/>
          <w:lang w:val="fr-CH" w:bidi="ar-SY"/>
        </w:rPr>
        <w:t xml:space="preserve">الأحكام </w:t>
      </w:r>
      <w:r>
        <w:rPr>
          <w:rFonts w:hint="cs"/>
          <w:rtl/>
          <w:lang w:val="fr-CH" w:bidi="ar-SY"/>
        </w:rPr>
        <w:t xml:space="preserve">العامة. وتطبق هذه الأحكام في نهج فردي أو مختلط/هجين. ففي </w:t>
      </w:r>
      <w:r w:rsidR="00B26DDD">
        <w:rPr>
          <w:rFonts w:hint="cs"/>
          <w:rtl/>
          <w:lang w:val="fr-CH" w:bidi="ar-SY"/>
        </w:rPr>
        <w:t>ال</w:t>
      </w:r>
      <w:r>
        <w:rPr>
          <w:rFonts w:hint="cs"/>
          <w:rtl/>
          <w:lang w:val="fr-CH" w:bidi="ar-SY"/>
        </w:rPr>
        <w:t xml:space="preserve">نهج </w:t>
      </w:r>
      <w:r w:rsidR="00B26DDD">
        <w:rPr>
          <w:rFonts w:hint="cs"/>
          <w:rtl/>
          <w:lang w:val="fr-CH" w:bidi="ar-SY"/>
        </w:rPr>
        <w:t>ال</w:t>
      </w:r>
      <w:r>
        <w:rPr>
          <w:rFonts w:hint="cs"/>
          <w:rtl/>
          <w:lang w:val="fr-CH" w:bidi="ar-SY"/>
        </w:rPr>
        <w:t xml:space="preserve">فردي تطبق أحكام عامة أو محددة فقط. أما في </w:t>
      </w:r>
      <w:r w:rsidR="00B26DDD">
        <w:rPr>
          <w:rFonts w:hint="cs"/>
          <w:rtl/>
          <w:lang w:val="fr-CH" w:bidi="ar-SY"/>
        </w:rPr>
        <w:t>ال</w:t>
      </w:r>
      <w:r>
        <w:rPr>
          <w:rFonts w:hint="cs"/>
          <w:rtl/>
          <w:lang w:val="fr-CH" w:bidi="ar-SY"/>
        </w:rPr>
        <w:t xml:space="preserve">نهج </w:t>
      </w:r>
      <w:r w:rsidR="00B26DDD">
        <w:rPr>
          <w:rFonts w:hint="cs"/>
          <w:rtl/>
          <w:lang w:val="fr-CH" w:bidi="ar-SY"/>
        </w:rPr>
        <w:t>ال</w:t>
      </w:r>
      <w:r>
        <w:rPr>
          <w:rFonts w:hint="cs"/>
          <w:rtl/>
          <w:lang w:val="fr-CH" w:bidi="ar-SY"/>
        </w:rPr>
        <w:t>مختلط/</w:t>
      </w:r>
      <w:r w:rsidR="00B26DDD">
        <w:rPr>
          <w:rFonts w:hint="cs"/>
          <w:rtl/>
          <w:lang w:val="fr-CH" w:bidi="ar-SY"/>
        </w:rPr>
        <w:t>ال</w:t>
      </w:r>
      <w:r>
        <w:rPr>
          <w:rFonts w:hint="cs"/>
          <w:rtl/>
          <w:lang w:val="fr-CH" w:bidi="ar-SY"/>
        </w:rPr>
        <w:t xml:space="preserve">هجين </w:t>
      </w:r>
      <w:r w:rsidR="00B26DDD">
        <w:rPr>
          <w:rFonts w:hint="cs"/>
          <w:rtl/>
          <w:lang w:val="fr-CH" w:bidi="ar-SY"/>
        </w:rPr>
        <w:t>ف</w:t>
      </w:r>
      <w:r>
        <w:rPr>
          <w:rFonts w:hint="cs"/>
          <w:rtl/>
          <w:lang w:val="fr-CH" w:bidi="ar-SY"/>
        </w:rPr>
        <w:t>تتضمن تشريعات حق المؤلف أحكام</w:t>
      </w:r>
      <w:r w:rsidR="00B26DDD">
        <w:rPr>
          <w:rFonts w:hint="cs"/>
          <w:rtl/>
          <w:lang w:val="fr-CH" w:bidi="ar-SY"/>
        </w:rPr>
        <w:t>اً</w:t>
      </w:r>
      <w:r>
        <w:rPr>
          <w:rFonts w:hint="cs"/>
          <w:rtl/>
          <w:lang w:val="fr-CH" w:bidi="ar-SY"/>
        </w:rPr>
        <w:t xml:space="preserve"> محددة وعامة على حد سواء.</w:t>
      </w:r>
    </w:p>
    <w:p w:rsidR="004E3E6A" w:rsidRDefault="004E3E6A" w:rsidP="00D158D5">
      <w:pPr>
        <w:pStyle w:val="BodyText"/>
        <w:rPr>
          <w:rtl/>
          <w:lang w:val="fr-CH" w:bidi="ar-SY"/>
        </w:rPr>
      </w:pPr>
      <w:r>
        <w:rPr>
          <w:rFonts w:hint="cs"/>
          <w:rtl/>
          <w:lang w:val="fr-CH" w:bidi="ar-SY"/>
        </w:rPr>
        <w:lastRenderedPageBreak/>
        <w:t>وت</w:t>
      </w:r>
      <w:r w:rsidR="00B26DDD">
        <w:rPr>
          <w:rFonts w:hint="cs"/>
          <w:rtl/>
          <w:lang w:val="fr-CH" w:bidi="ar-SY"/>
        </w:rPr>
        <w:t>حدد</w:t>
      </w:r>
      <w:r>
        <w:rPr>
          <w:rFonts w:hint="cs"/>
          <w:rtl/>
          <w:lang w:val="fr-CH" w:bidi="ar-SY"/>
        </w:rPr>
        <w:t xml:space="preserve"> تشريعات الدول الأعضاء التي تتضمن أحكاماً محددة الإعاقات </w:t>
      </w:r>
      <w:r w:rsidR="00B26DDD">
        <w:rPr>
          <w:rFonts w:hint="cs"/>
          <w:rtl/>
          <w:lang w:val="fr-CH" w:bidi="ar-SY"/>
        </w:rPr>
        <w:t>المعنية</w:t>
      </w:r>
      <w:r>
        <w:rPr>
          <w:rFonts w:hint="cs"/>
          <w:rtl/>
          <w:lang w:val="fr-CH" w:bidi="ar-SY"/>
        </w:rPr>
        <w:t xml:space="preserve"> (السمعية أو البصرية أو </w:t>
      </w:r>
      <w:r w:rsidR="00B26DDD">
        <w:rPr>
          <w:rFonts w:hint="cs"/>
          <w:rtl/>
          <w:lang w:val="fr-CH" w:bidi="ar-SY"/>
        </w:rPr>
        <w:t>المعرفية</w:t>
      </w:r>
      <w:r>
        <w:rPr>
          <w:rFonts w:hint="cs"/>
          <w:rtl/>
          <w:lang w:val="fr-CH" w:bidi="ar-SY"/>
        </w:rPr>
        <w:t xml:space="preserve"> أو البدنية). وتحدد فيما بعد </w:t>
      </w:r>
      <w:r w:rsidR="007128C9">
        <w:rPr>
          <w:rFonts w:hint="cs"/>
          <w:rtl/>
          <w:lang w:val="fr-CH" w:bidi="ar-SY"/>
        </w:rPr>
        <w:t xml:space="preserve">الجهة التي يمكن أن تعد </w:t>
      </w:r>
      <w:r w:rsidR="00B26DDD">
        <w:rPr>
          <w:rFonts w:hint="cs"/>
          <w:rtl/>
          <w:lang w:val="fr-CH" w:bidi="ar-SY"/>
        </w:rPr>
        <w:t>نسخاً بأنساق ميسّرة</w:t>
      </w:r>
      <w:r w:rsidR="007128C9">
        <w:rPr>
          <w:rFonts w:hint="cs"/>
          <w:rtl/>
          <w:lang w:val="fr-CH" w:bidi="ar-SY"/>
        </w:rPr>
        <w:t>، وأي نوع من المصنفات والحقوق تنطبق عليها استثناءات إضافة إلى الشروط التي يجب استيفاءها. ولدى بعض البلدان</w:t>
      </w:r>
      <w:r w:rsidR="00B26DDD">
        <w:rPr>
          <w:rFonts w:hint="cs"/>
          <w:rtl/>
          <w:lang w:val="fr-CH" w:bidi="ar-SY"/>
        </w:rPr>
        <w:t xml:space="preserve"> أيضاً </w:t>
      </w:r>
      <w:r w:rsidR="00C33057">
        <w:rPr>
          <w:rFonts w:hint="cs"/>
          <w:rtl/>
          <w:lang w:val="fr-CH" w:bidi="ar-SY"/>
        </w:rPr>
        <w:t xml:space="preserve">أحكام </w:t>
      </w:r>
      <w:r w:rsidR="00B26DDD">
        <w:rPr>
          <w:rFonts w:hint="cs"/>
          <w:rtl/>
          <w:lang w:val="fr-CH" w:bidi="ar-SY"/>
        </w:rPr>
        <w:t xml:space="preserve">متعلقة بالاستيراد/ </w:t>
      </w:r>
      <w:r w:rsidR="007128C9">
        <w:rPr>
          <w:rFonts w:hint="cs"/>
          <w:rtl/>
          <w:lang w:val="fr-CH" w:bidi="ar-SY"/>
        </w:rPr>
        <w:t xml:space="preserve">التصدير وبمكافحة التحايل التي تسمح أيضاً </w:t>
      </w:r>
      <w:r w:rsidR="00C33057">
        <w:rPr>
          <w:rFonts w:hint="cs"/>
          <w:rtl/>
          <w:lang w:val="fr-CH" w:bidi="ar-SY"/>
        </w:rPr>
        <w:t>ب</w:t>
      </w:r>
      <w:r w:rsidR="00B26DDD">
        <w:rPr>
          <w:rFonts w:hint="cs"/>
          <w:rtl/>
          <w:lang w:val="fr-CH" w:bidi="ar-SY"/>
        </w:rPr>
        <w:t xml:space="preserve">الدفاع عن مسألة </w:t>
      </w:r>
      <w:r w:rsidR="007128C9">
        <w:rPr>
          <w:rFonts w:hint="cs"/>
          <w:rtl/>
          <w:lang w:val="fr-CH" w:bidi="ar-SY"/>
        </w:rPr>
        <w:t>أن التحايل الذي تم</w:t>
      </w:r>
      <w:r w:rsidR="00B26DDD">
        <w:rPr>
          <w:rFonts w:hint="cs"/>
          <w:rtl/>
          <w:lang w:val="fr-CH" w:bidi="ar-SY"/>
        </w:rPr>
        <w:t xml:space="preserve"> هو بهدف </w:t>
      </w:r>
      <w:r w:rsidR="007128C9">
        <w:rPr>
          <w:rFonts w:hint="cs"/>
          <w:rtl/>
          <w:lang w:val="fr-CH" w:bidi="ar-SY"/>
        </w:rPr>
        <w:t xml:space="preserve">تيسير عملية إعداد نسخ </w:t>
      </w:r>
      <w:r w:rsidR="00B26DDD">
        <w:rPr>
          <w:rFonts w:hint="cs"/>
          <w:rtl/>
          <w:lang w:val="fr-CH" w:bidi="ar-SY"/>
        </w:rPr>
        <w:t>أنساق ميسّرة</w:t>
      </w:r>
      <w:r w:rsidR="007128C9">
        <w:rPr>
          <w:rFonts w:hint="cs"/>
          <w:rtl/>
          <w:lang w:val="fr-CH" w:bidi="ar-SY"/>
        </w:rPr>
        <w:t xml:space="preserve"> والتي يُسمح بها بموجب الاستثناءات ذات الصلة في تشريع حق المؤلف (</w:t>
      </w:r>
      <w:r w:rsidR="0058662E">
        <w:rPr>
          <w:rFonts w:hint="cs"/>
          <w:rtl/>
          <w:lang w:val="fr-CH" w:bidi="ar-SY"/>
        </w:rPr>
        <w:t>"</w:t>
      </w:r>
      <w:r w:rsidR="007128C9">
        <w:rPr>
          <w:rFonts w:hint="cs"/>
          <w:rtl/>
          <w:lang w:val="fr-CH" w:bidi="ar-SY"/>
        </w:rPr>
        <w:t>استثناءات الإعاقة</w:t>
      </w:r>
      <w:r w:rsidR="0058662E">
        <w:rPr>
          <w:rFonts w:hint="cs"/>
          <w:rtl/>
          <w:lang w:val="fr-CH" w:bidi="ar-SY"/>
        </w:rPr>
        <w:t>"</w:t>
      </w:r>
      <w:r w:rsidR="007128C9">
        <w:rPr>
          <w:rFonts w:hint="cs"/>
          <w:rtl/>
          <w:lang w:val="fr-CH" w:bidi="ar-SY"/>
        </w:rPr>
        <w:t xml:space="preserve">). وحيث لا توجد أحكام مثل هذه في التشريعات، فإن أحكام مكافحة التحايل ستعيق إعداد نسخ </w:t>
      </w:r>
      <w:r w:rsidR="0058662E">
        <w:rPr>
          <w:rFonts w:hint="cs"/>
          <w:rtl/>
          <w:lang w:val="fr-CH" w:bidi="ar-SY"/>
        </w:rPr>
        <w:t>بأنساق ميسّرة</w:t>
      </w:r>
      <w:r w:rsidR="007128C9">
        <w:rPr>
          <w:rFonts w:hint="cs"/>
          <w:rtl/>
          <w:lang w:val="fr-CH" w:bidi="ar-SY"/>
        </w:rPr>
        <w:t xml:space="preserve">. ولا تذكر الأحكام العامة صراحة الإعاقة </w:t>
      </w:r>
      <w:r w:rsidR="00654706">
        <w:rPr>
          <w:rFonts w:hint="cs"/>
          <w:rtl/>
          <w:lang w:val="fr-CH" w:bidi="ar-SY"/>
        </w:rPr>
        <w:t xml:space="preserve">بل إنها </w:t>
      </w:r>
      <w:r w:rsidR="0058662E">
        <w:rPr>
          <w:rFonts w:hint="cs"/>
          <w:rtl/>
          <w:lang w:val="fr-CH" w:bidi="ar-SY"/>
        </w:rPr>
        <w:t>تذكرها</w:t>
      </w:r>
      <w:r w:rsidR="00654706">
        <w:rPr>
          <w:rFonts w:hint="cs"/>
          <w:rtl/>
          <w:lang w:val="fr-CH" w:bidi="ar-SY"/>
        </w:rPr>
        <w:t xml:space="preserve"> بصورة عامة، كما هو الحال بالنسبة لإعداد </w:t>
      </w:r>
      <w:r w:rsidR="0058662E">
        <w:rPr>
          <w:rFonts w:hint="cs"/>
          <w:rtl/>
          <w:lang w:val="fr-CH" w:bidi="ar-SY"/>
        </w:rPr>
        <w:t xml:space="preserve">نسخ بأنساق ميسّرة </w:t>
      </w:r>
      <w:r w:rsidR="00654706">
        <w:rPr>
          <w:rFonts w:hint="cs"/>
          <w:rtl/>
          <w:lang w:val="fr-CH" w:bidi="ar-SY"/>
        </w:rPr>
        <w:t>ونشرها لفائدة الأشخاص ذوي الإعاقات.</w:t>
      </w:r>
    </w:p>
    <w:p w:rsidR="00654706" w:rsidRPr="00654706" w:rsidRDefault="00654706" w:rsidP="00D158D5">
      <w:pPr>
        <w:pStyle w:val="Heading4"/>
        <w:rPr>
          <w:rtl/>
          <w:lang w:val="fr-CH" w:bidi="ar-SY"/>
        </w:rPr>
      </w:pPr>
      <w:r w:rsidRPr="00654706">
        <w:rPr>
          <w:rFonts w:hint="cs"/>
          <w:rtl/>
          <w:lang w:val="fr-CH" w:bidi="ar-SY"/>
        </w:rPr>
        <w:t>النهج الفردي أو المختلط/ الهجين</w:t>
      </w:r>
    </w:p>
    <w:p w:rsidR="006C45C0" w:rsidRDefault="006C45C0" w:rsidP="00D158D5">
      <w:pPr>
        <w:pStyle w:val="BodyText"/>
        <w:rPr>
          <w:rtl/>
          <w:lang w:val="fr-CH" w:bidi="ar-SY"/>
        </w:rPr>
      </w:pPr>
      <w:r>
        <w:rPr>
          <w:rFonts w:hint="cs"/>
          <w:rtl/>
          <w:lang w:val="fr-CH" w:bidi="ar-SY"/>
        </w:rPr>
        <w:t>اعتمدت بعض الدول الأعضاء في الويبو نهج</w:t>
      </w:r>
      <w:r w:rsidR="0058662E">
        <w:rPr>
          <w:rFonts w:hint="cs"/>
          <w:rtl/>
          <w:lang w:val="fr-CH" w:bidi="ar-SY"/>
        </w:rPr>
        <w:t>اً</w:t>
      </w:r>
      <w:r>
        <w:rPr>
          <w:rFonts w:hint="cs"/>
          <w:rtl/>
          <w:lang w:val="fr-CH" w:bidi="ar-SY"/>
        </w:rPr>
        <w:t xml:space="preserve"> واحد</w:t>
      </w:r>
      <w:r w:rsidR="0058662E">
        <w:rPr>
          <w:rFonts w:hint="cs"/>
          <w:rtl/>
          <w:lang w:val="fr-CH" w:bidi="ar-SY"/>
        </w:rPr>
        <w:t>اً</w:t>
      </w:r>
      <w:r>
        <w:rPr>
          <w:rFonts w:hint="cs"/>
          <w:rtl/>
          <w:lang w:val="fr-CH" w:bidi="ar-SY"/>
        </w:rPr>
        <w:t xml:space="preserve"> فقط ولديها </w:t>
      </w:r>
      <w:r w:rsidR="0058662E">
        <w:rPr>
          <w:rFonts w:hint="cs"/>
          <w:rtl/>
          <w:lang w:val="fr-CH" w:bidi="ar-SY"/>
        </w:rPr>
        <w:t xml:space="preserve">إما </w:t>
      </w:r>
      <w:r w:rsidR="00C33057">
        <w:rPr>
          <w:rFonts w:hint="cs"/>
          <w:rtl/>
          <w:lang w:val="fr-CH" w:bidi="ar-SY"/>
        </w:rPr>
        <w:t xml:space="preserve">أحكام </w:t>
      </w:r>
      <w:r>
        <w:rPr>
          <w:rFonts w:hint="cs"/>
          <w:rtl/>
          <w:lang w:val="fr-CH" w:bidi="ar-SY"/>
        </w:rPr>
        <w:t xml:space="preserve">محددة أو </w:t>
      </w:r>
      <w:r w:rsidR="00C33057">
        <w:rPr>
          <w:rFonts w:hint="cs"/>
          <w:rtl/>
          <w:lang w:val="fr-CH" w:bidi="ar-SY"/>
        </w:rPr>
        <w:t>إما أحكام</w:t>
      </w:r>
      <w:r w:rsidR="0058662E">
        <w:rPr>
          <w:rFonts w:hint="cs"/>
          <w:rtl/>
          <w:lang w:val="fr-CH" w:bidi="ar-SY"/>
        </w:rPr>
        <w:t xml:space="preserve"> </w:t>
      </w:r>
      <w:r>
        <w:rPr>
          <w:rFonts w:hint="cs"/>
          <w:rtl/>
          <w:lang w:val="fr-CH" w:bidi="ar-SY"/>
        </w:rPr>
        <w:t>عامة في قوانينها الخاصة بحق المؤلف. و</w:t>
      </w:r>
      <w:r w:rsidR="005411A6">
        <w:rPr>
          <w:rFonts w:hint="cs"/>
          <w:rtl/>
          <w:lang w:val="fr-CH" w:bidi="ar-SY"/>
        </w:rPr>
        <w:t xml:space="preserve">من </w:t>
      </w:r>
      <w:r>
        <w:rPr>
          <w:rFonts w:hint="cs"/>
          <w:rtl/>
          <w:lang w:val="fr-CH" w:bidi="ar-SY"/>
        </w:rPr>
        <w:t xml:space="preserve">الدول التي اتخذت النهج الفريد </w:t>
      </w:r>
      <w:r w:rsidR="005411A6">
        <w:rPr>
          <w:rFonts w:hint="cs"/>
          <w:rtl/>
          <w:lang w:val="fr-CH" w:bidi="ar-SY"/>
        </w:rPr>
        <w:t xml:space="preserve">نذكر على سبيل المثال </w:t>
      </w:r>
      <w:r>
        <w:rPr>
          <w:rFonts w:hint="cs"/>
          <w:rtl/>
          <w:lang w:val="fr-CH" w:bidi="ar-SY"/>
        </w:rPr>
        <w:t xml:space="preserve">أستراليا وأرمينيا. فالمادة </w:t>
      </w:r>
      <w:r>
        <w:rPr>
          <w:lang w:bidi="ar-SY"/>
        </w:rPr>
        <w:t>113E</w:t>
      </w:r>
      <w:r>
        <w:rPr>
          <w:rFonts w:hint="cs"/>
          <w:rtl/>
          <w:lang w:val="fr-CH" w:bidi="ar-SY"/>
        </w:rPr>
        <w:t xml:space="preserve"> من </w:t>
      </w:r>
      <w:r w:rsidR="0058662E">
        <w:rPr>
          <w:rFonts w:hint="cs"/>
          <w:rtl/>
          <w:lang w:val="fr-CH" w:bidi="ar-SY"/>
        </w:rPr>
        <w:t>ال</w:t>
      </w:r>
      <w:r>
        <w:rPr>
          <w:rFonts w:hint="cs"/>
          <w:rtl/>
          <w:lang w:val="fr-CH" w:bidi="ar-SY"/>
        </w:rPr>
        <w:t xml:space="preserve">قانون </w:t>
      </w:r>
      <w:r w:rsidR="0058662E">
        <w:rPr>
          <w:rFonts w:hint="cs"/>
          <w:rtl/>
          <w:lang w:val="fr-CH" w:bidi="ar-SY"/>
        </w:rPr>
        <w:t>الأسترالي ل</w:t>
      </w:r>
      <w:r>
        <w:rPr>
          <w:rFonts w:hint="cs"/>
          <w:rtl/>
          <w:lang w:val="fr-CH" w:bidi="ar-SY"/>
        </w:rPr>
        <w:t>حق المؤلف</w:t>
      </w:r>
      <w:r>
        <w:rPr>
          <w:rStyle w:val="FootnoteReference"/>
          <w:rtl/>
          <w:lang w:val="fr-CH" w:bidi="ar-SY"/>
        </w:rPr>
        <w:footnoteReference w:id="16"/>
      </w:r>
      <w:r w:rsidR="0058662E">
        <w:rPr>
          <w:rFonts w:hint="cs"/>
          <w:rtl/>
          <w:lang w:val="fr-CH" w:bidi="ar-SY"/>
        </w:rPr>
        <w:t>، ت</w:t>
      </w:r>
      <w:r>
        <w:rPr>
          <w:rFonts w:hint="cs"/>
          <w:rtl/>
          <w:lang w:val="fr-CH" w:bidi="ar-SY"/>
        </w:rPr>
        <w:t xml:space="preserve">نص على </w:t>
      </w:r>
      <w:r w:rsidR="004F3E50">
        <w:rPr>
          <w:rFonts w:hint="cs"/>
          <w:rtl/>
          <w:lang w:val="fr-CH"/>
        </w:rPr>
        <w:t xml:space="preserve">الاستخدام المنصف </w:t>
      </w:r>
      <w:r>
        <w:rPr>
          <w:rFonts w:hint="cs"/>
          <w:rtl/>
          <w:lang w:val="fr-CH" w:bidi="ar-SY"/>
        </w:rPr>
        <w:t>لأغراض نفاذ الأشخاص ذوي الإعاقات</w:t>
      </w:r>
      <w:r w:rsidR="0058662E">
        <w:rPr>
          <w:rFonts w:hint="cs"/>
          <w:rtl/>
          <w:lang w:val="fr-CH" w:bidi="ar-SY"/>
        </w:rPr>
        <w:t>،</w:t>
      </w:r>
      <w:r>
        <w:rPr>
          <w:rFonts w:hint="cs"/>
          <w:rtl/>
          <w:lang w:val="fr-CH" w:bidi="ar-SY"/>
        </w:rPr>
        <w:t xml:space="preserve"> كما تنص المادة 22 من </w:t>
      </w:r>
      <w:r w:rsidR="0058662E">
        <w:rPr>
          <w:rFonts w:hint="cs"/>
          <w:rtl/>
          <w:lang w:val="fr-CH" w:bidi="ar-SY"/>
        </w:rPr>
        <w:t>ال</w:t>
      </w:r>
      <w:r>
        <w:rPr>
          <w:rFonts w:hint="cs"/>
          <w:rtl/>
          <w:lang w:val="fr-CH" w:bidi="ar-SY"/>
        </w:rPr>
        <w:t xml:space="preserve">قانون </w:t>
      </w:r>
      <w:r w:rsidR="0058662E">
        <w:rPr>
          <w:rFonts w:hint="cs"/>
          <w:rtl/>
          <w:lang w:val="fr-CH" w:bidi="ar-SY"/>
        </w:rPr>
        <w:t>الأرميني</w:t>
      </w:r>
      <w:r>
        <w:rPr>
          <w:rFonts w:hint="cs"/>
          <w:rtl/>
          <w:lang w:val="fr-CH" w:bidi="ar-SY"/>
        </w:rPr>
        <w:t xml:space="preserve"> لحق المؤلف والحقوق المجاورة</w:t>
      </w:r>
      <w:r w:rsidR="00A116ED">
        <w:rPr>
          <w:rStyle w:val="FootnoteReference"/>
          <w:rtl/>
          <w:lang w:val="fr-CH" w:bidi="ar-SY"/>
        </w:rPr>
        <w:footnoteReference w:id="17"/>
      </w:r>
      <w:r>
        <w:rPr>
          <w:rFonts w:hint="cs"/>
          <w:rtl/>
          <w:lang w:val="fr-CH" w:bidi="ar-SY"/>
        </w:rPr>
        <w:t xml:space="preserve"> على </w:t>
      </w:r>
      <w:r w:rsidR="0058662E">
        <w:rPr>
          <w:rFonts w:hint="cs"/>
          <w:rtl/>
          <w:lang w:val="fr-CH" w:bidi="ar-SY"/>
        </w:rPr>
        <w:t>النسخ</w:t>
      </w:r>
      <w:r>
        <w:rPr>
          <w:rFonts w:hint="cs"/>
          <w:rtl/>
          <w:lang w:val="fr-CH" w:bidi="ar-SY"/>
        </w:rPr>
        <w:t xml:space="preserve"> غير التجاري للمصنفات "بطريقة بريل أو بطرق أخرى .... لفائدة المكفوفين"</w:t>
      </w:r>
      <w:r w:rsidR="0078272E">
        <w:rPr>
          <w:rFonts w:hint="cs"/>
          <w:rtl/>
          <w:lang w:val="fr-CH" w:bidi="ar-SY"/>
        </w:rPr>
        <w:t xml:space="preserve">. </w:t>
      </w:r>
    </w:p>
    <w:p w:rsidR="002354A2" w:rsidRDefault="0058662E" w:rsidP="00D158D5">
      <w:pPr>
        <w:pStyle w:val="BodyText"/>
        <w:rPr>
          <w:rtl/>
          <w:lang w:val="fr-CH" w:bidi="ar-SY"/>
        </w:rPr>
      </w:pPr>
      <w:r>
        <w:rPr>
          <w:rFonts w:hint="cs"/>
          <w:rtl/>
          <w:lang w:val="fr-CH" w:bidi="ar-SY"/>
        </w:rPr>
        <w:t xml:space="preserve">واتخذت دول أخرى أعضاء في الويبو نهجاً </w:t>
      </w:r>
      <w:r w:rsidR="0078272E">
        <w:rPr>
          <w:rFonts w:hint="cs"/>
          <w:rtl/>
          <w:lang w:val="fr-CH" w:bidi="ar-SY"/>
        </w:rPr>
        <w:t>مختلط</w:t>
      </w:r>
      <w:r>
        <w:rPr>
          <w:rFonts w:hint="cs"/>
          <w:rtl/>
          <w:lang w:val="fr-CH" w:bidi="ar-SY"/>
        </w:rPr>
        <w:t>اً</w:t>
      </w:r>
      <w:r w:rsidR="0078272E">
        <w:rPr>
          <w:rFonts w:hint="cs"/>
          <w:rtl/>
          <w:lang w:val="fr-CH" w:bidi="ar-SY"/>
        </w:rPr>
        <w:t xml:space="preserve">، ولديها </w:t>
      </w:r>
      <w:r w:rsidR="005411A6">
        <w:rPr>
          <w:rFonts w:hint="cs"/>
          <w:rtl/>
          <w:lang w:val="fr-CH" w:bidi="ar-SY"/>
        </w:rPr>
        <w:t>بنود</w:t>
      </w:r>
      <w:r w:rsidR="0078272E">
        <w:rPr>
          <w:rFonts w:hint="cs"/>
          <w:rtl/>
          <w:lang w:val="fr-CH" w:bidi="ar-SY"/>
        </w:rPr>
        <w:t xml:space="preserve"> محددة وعامة على حد سواء. وأول مثال على ذلك </w:t>
      </w:r>
      <w:r w:rsidR="005411A6">
        <w:rPr>
          <w:rFonts w:hint="cs"/>
          <w:rtl/>
          <w:lang w:val="fr-CH" w:bidi="ar-SY"/>
        </w:rPr>
        <w:t>هو</w:t>
      </w:r>
      <w:r w:rsidR="0078272E">
        <w:rPr>
          <w:rFonts w:hint="cs"/>
          <w:rtl/>
          <w:lang w:val="fr-CH" w:bidi="ar-SY"/>
        </w:rPr>
        <w:t xml:space="preserve"> الولايات المتحدة </w:t>
      </w:r>
      <w:r w:rsidR="00BF41A3">
        <w:rPr>
          <w:rtl/>
          <w:lang w:val="fr-CH" w:bidi="ar-SY"/>
        </w:rPr>
        <w:t>–</w:t>
      </w:r>
      <w:r w:rsidR="0078272E">
        <w:rPr>
          <w:rFonts w:hint="cs"/>
          <w:rtl/>
          <w:lang w:val="fr-CH" w:bidi="ar-SY"/>
        </w:rPr>
        <w:t xml:space="preserve"> </w:t>
      </w:r>
      <w:r w:rsidR="00BF41A3">
        <w:rPr>
          <w:rFonts w:hint="cs"/>
          <w:rtl/>
          <w:lang w:val="fr-CH" w:bidi="ar-SY"/>
        </w:rPr>
        <w:t>فإن مبدأ</w:t>
      </w:r>
      <w:r>
        <w:rPr>
          <w:rFonts w:hint="cs"/>
          <w:rtl/>
          <w:lang w:val="fr-CH" w:bidi="ar-SY"/>
        </w:rPr>
        <w:t xml:space="preserve"> الاستخدام </w:t>
      </w:r>
      <w:r w:rsidR="004F3E50">
        <w:rPr>
          <w:rFonts w:hint="cs"/>
          <w:rtl/>
          <w:lang w:val="fr-CH"/>
        </w:rPr>
        <w:t>المنصف</w:t>
      </w:r>
      <w:r>
        <w:rPr>
          <w:rStyle w:val="FootnoteReference"/>
          <w:rtl/>
          <w:lang w:val="fr-CH" w:bidi="ar-SY"/>
        </w:rPr>
        <w:footnoteReference w:id="18"/>
      </w:r>
      <w:r>
        <w:rPr>
          <w:rFonts w:hint="cs"/>
          <w:rtl/>
          <w:lang w:val="fr-CH" w:bidi="ar-SY"/>
        </w:rPr>
        <w:t xml:space="preserve"> الذي سنّه </w:t>
      </w:r>
      <w:r w:rsidR="00BF41A3">
        <w:rPr>
          <w:rFonts w:hint="cs"/>
          <w:rtl/>
          <w:lang w:val="fr-CH" w:bidi="ar-SY"/>
        </w:rPr>
        <w:t xml:space="preserve">قانون حق المؤلف، </w:t>
      </w:r>
      <w:r w:rsidR="005411A6">
        <w:rPr>
          <w:rFonts w:hint="cs"/>
          <w:rtl/>
          <w:lang w:val="fr-CH" w:bidi="ar-SY"/>
        </w:rPr>
        <w:t>والمستمد من المادة الأولى</w:t>
      </w:r>
      <w:r w:rsidR="00BF41A3">
        <w:rPr>
          <w:rStyle w:val="FootnoteReference"/>
          <w:rtl/>
          <w:lang w:val="fr-CH" w:bidi="ar-SY"/>
        </w:rPr>
        <w:footnoteReference w:id="19"/>
      </w:r>
      <w:r>
        <w:rPr>
          <w:rFonts w:hint="cs"/>
          <w:rtl/>
          <w:lang w:val="fr-CH" w:bidi="ar-SY"/>
        </w:rPr>
        <w:t xml:space="preserve"> </w:t>
      </w:r>
      <w:r w:rsidR="005411A6">
        <w:rPr>
          <w:rFonts w:hint="cs"/>
          <w:rtl/>
          <w:lang w:val="fr-CH" w:bidi="ar-SY"/>
        </w:rPr>
        <w:t xml:space="preserve">من </w:t>
      </w:r>
      <w:r>
        <w:rPr>
          <w:rFonts w:hint="cs"/>
          <w:rtl/>
          <w:lang w:val="fr-CH" w:bidi="ar-SY"/>
        </w:rPr>
        <w:t>دستور ا</w:t>
      </w:r>
      <w:r w:rsidR="00BF41A3">
        <w:rPr>
          <w:rFonts w:hint="cs"/>
          <w:rtl/>
          <w:lang w:val="fr-CH" w:bidi="ar-SY"/>
        </w:rPr>
        <w:t xml:space="preserve">لولايات المتحدة، </w:t>
      </w:r>
      <w:r>
        <w:rPr>
          <w:rFonts w:hint="cs"/>
          <w:rtl/>
          <w:lang w:val="fr-CH" w:bidi="ar-SY"/>
        </w:rPr>
        <w:t xml:space="preserve">شامل بما فيه الكفاية للسماح </w:t>
      </w:r>
      <w:r w:rsidR="005411A6">
        <w:rPr>
          <w:rFonts w:hint="cs"/>
          <w:rtl/>
          <w:lang w:val="fr-CH" w:bidi="ar-SY"/>
        </w:rPr>
        <w:t>ب</w:t>
      </w:r>
      <w:r w:rsidR="00BF41A3">
        <w:rPr>
          <w:rFonts w:hint="cs"/>
          <w:rtl/>
          <w:lang w:val="fr-CH" w:bidi="ar-SY"/>
        </w:rPr>
        <w:t xml:space="preserve">إعداد نسخ </w:t>
      </w:r>
      <w:r>
        <w:rPr>
          <w:rFonts w:hint="cs"/>
          <w:rtl/>
          <w:lang w:val="fr-CH" w:bidi="ar-SY"/>
        </w:rPr>
        <w:t>بأنساق ميسرة</w:t>
      </w:r>
      <w:r w:rsidR="00D63E26">
        <w:rPr>
          <w:rStyle w:val="FootnoteReference"/>
          <w:rtl/>
          <w:lang w:val="fr-CH" w:bidi="ar-SY"/>
        </w:rPr>
        <w:footnoteReference w:id="20"/>
      </w:r>
      <w:r w:rsidR="00BF41A3">
        <w:rPr>
          <w:rFonts w:hint="cs"/>
          <w:rtl/>
          <w:lang w:val="fr-CH" w:bidi="ar-SY"/>
        </w:rPr>
        <w:t xml:space="preserve"> و</w:t>
      </w:r>
      <w:r w:rsidR="005411A6">
        <w:rPr>
          <w:rFonts w:hint="cs"/>
          <w:rtl/>
          <w:lang w:val="fr-CH" w:bidi="ar-SY"/>
        </w:rPr>
        <w:t>ت</w:t>
      </w:r>
      <w:r w:rsidR="00BF41A3">
        <w:rPr>
          <w:rFonts w:hint="cs"/>
          <w:rtl/>
          <w:lang w:val="fr-CH" w:bidi="ar-SY"/>
        </w:rPr>
        <w:t xml:space="preserve">نص </w:t>
      </w:r>
      <w:r w:rsidR="005411A6">
        <w:rPr>
          <w:rFonts w:hint="cs"/>
          <w:rtl/>
          <w:lang w:val="fr-CH" w:bidi="ar-SY"/>
        </w:rPr>
        <w:t xml:space="preserve">المادتان </w:t>
      </w:r>
      <w:r w:rsidR="00BF41A3">
        <w:rPr>
          <w:rFonts w:hint="cs"/>
          <w:rtl/>
          <w:lang w:val="fr-CH" w:bidi="ar-SY"/>
        </w:rPr>
        <w:t>121 و</w:t>
      </w:r>
      <w:r w:rsidR="00BF41A3">
        <w:rPr>
          <w:lang w:val="fr-CH" w:bidi="ar-SY"/>
        </w:rPr>
        <w:t>121A</w:t>
      </w:r>
      <w:r>
        <w:rPr>
          <w:rFonts w:hint="cs"/>
          <w:rtl/>
          <w:lang w:val="fr-CH" w:bidi="ar-SY"/>
        </w:rPr>
        <w:t xml:space="preserve"> من قانون حق المؤلف</w:t>
      </w:r>
      <w:r>
        <w:rPr>
          <w:rStyle w:val="FootnoteReference"/>
          <w:rtl/>
          <w:lang w:val="fr-CH" w:bidi="ar-SY"/>
        </w:rPr>
        <w:footnoteReference w:id="21"/>
      </w:r>
      <w:r>
        <w:rPr>
          <w:rFonts w:hint="cs"/>
          <w:rtl/>
          <w:lang w:val="fr-CH" w:bidi="ar-SY"/>
        </w:rPr>
        <w:t xml:space="preserve">، </w:t>
      </w:r>
      <w:r w:rsidR="005411A6">
        <w:rPr>
          <w:rFonts w:hint="cs"/>
          <w:rtl/>
          <w:lang w:val="fr-CH" w:bidi="ar-SY"/>
        </w:rPr>
        <w:t xml:space="preserve">المنبثقتان </w:t>
      </w:r>
      <w:r w:rsidR="00BF41A3">
        <w:rPr>
          <w:rFonts w:hint="cs"/>
          <w:rtl/>
          <w:lang w:val="fr-CH" w:bidi="ar-SY"/>
        </w:rPr>
        <w:t>عن تعديل تشافي</w:t>
      </w:r>
      <w:r w:rsidR="002354A2">
        <w:rPr>
          <w:rStyle w:val="FootnoteReference"/>
          <w:rtl/>
          <w:lang w:val="fr-CH" w:bidi="ar-SY"/>
        </w:rPr>
        <w:footnoteReference w:id="22"/>
      </w:r>
      <w:r w:rsidR="005411A6">
        <w:rPr>
          <w:rFonts w:hint="cs"/>
          <w:rtl/>
          <w:lang w:val="fr-CH" w:bidi="ar-SY"/>
        </w:rPr>
        <w:t xml:space="preserve"> والمحدثتين</w:t>
      </w:r>
      <w:r w:rsidR="00BF41A3">
        <w:rPr>
          <w:rFonts w:hint="cs"/>
          <w:rtl/>
          <w:lang w:val="fr-CH" w:bidi="ar-SY"/>
        </w:rPr>
        <w:t xml:space="preserve"> عقب تنفيذ معاهدة مراكش</w:t>
      </w:r>
      <w:r w:rsidR="00D63E26">
        <w:rPr>
          <w:rStyle w:val="FootnoteReference"/>
          <w:rtl/>
          <w:lang w:val="fr-CH" w:bidi="ar-SY"/>
        </w:rPr>
        <w:footnoteReference w:id="23"/>
      </w:r>
      <w:r w:rsidR="00BF41A3">
        <w:rPr>
          <w:rFonts w:hint="cs"/>
          <w:rtl/>
          <w:lang w:val="fr-CH" w:bidi="ar-SY"/>
        </w:rPr>
        <w:t xml:space="preserve">، على استثناءات </w:t>
      </w:r>
      <w:r>
        <w:rPr>
          <w:rFonts w:hint="cs"/>
          <w:rtl/>
          <w:lang w:val="fr-CH" w:bidi="ar-SY"/>
        </w:rPr>
        <w:t>فيما يتعلق ب</w:t>
      </w:r>
      <w:r w:rsidR="00BF41A3">
        <w:rPr>
          <w:rFonts w:hint="cs"/>
          <w:rtl/>
          <w:lang w:val="fr-CH" w:bidi="ar-SY"/>
        </w:rPr>
        <w:t xml:space="preserve">حقوق </w:t>
      </w:r>
      <w:r>
        <w:rPr>
          <w:rFonts w:hint="cs"/>
          <w:rtl/>
          <w:lang w:val="fr-CH" w:bidi="ar-SY"/>
        </w:rPr>
        <w:t>النسخ</w:t>
      </w:r>
      <w:r w:rsidR="00BF41A3">
        <w:rPr>
          <w:rFonts w:hint="cs"/>
          <w:rtl/>
          <w:lang w:val="fr-CH" w:bidi="ar-SY"/>
        </w:rPr>
        <w:t xml:space="preserve"> لفائدة المكفوفين أو الأشخاص الآخرين ذوي الإعاقات.</w:t>
      </w:r>
      <w:r w:rsidR="00D63E26">
        <w:rPr>
          <w:rFonts w:hint="cs"/>
          <w:rtl/>
          <w:lang w:val="fr-CH" w:bidi="ar-SY"/>
        </w:rPr>
        <w:t xml:space="preserve"> و</w:t>
      </w:r>
      <w:r>
        <w:rPr>
          <w:rFonts w:hint="cs"/>
          <w:rtl/>
          <w:lang w:val="fr-CH" w:bidi="ar-SY"/>
        </w:rPr>
        <w:t xml:space="preserve">نذكر </w:t>
      </w:r>
      <w:r w:rsidR="00D63E26">
        <w:rPr>
          <w:rFonts w:hint="cs"/>
          <w:rtl/>
          <w:lang w:val="fr-CH" w:bidi="ar-SY"/>
        </w:rPr>
        <w:t>إسرائيل</w:t>
      </w:r>
      <w:r w:rsidR="002354A2">
        <w:rPr>
          <w:rStyle w:val="FootnoteReference"/>
          <w:rtl/>
          <w:lang w:val="fr-CH" w:bidi="ar-SY"/>
        </w:rPr>
        <w:footnoteReference w:id="24"/>
      </w:r>
      <w:r w:rsidR="00D63E26">
        <w:rPr>
          <w:rFonts w:hint="cs"/>
          <w:rtl/>
          <w:lang w:val="fr-CH" w:bidi="ar-SY"/>
        </w:rPr>
        <w:t xml:space="preserve"> </w:t>
      </w:r>
      <w:r>
        <w:rPr>
          <w:rFonts w:hint="cs"/>
          <w:rtl/>
          <w:lang w:val="fr-CH" w:bidi="ar-SY"/>
        </w:rPr>
        <w:t>ك</w:t>
      </w:r>
      <w:r w:rsidR="00D63E26">
        <w:rPr>
          <w:rFonts w:hint="cs"/>
          <w:rtl/>
          <w:lang w:val="fr-CH" w:bidi="ar-SY"/>
        </w:rPr>
        <w:t xml:space="preserve">مثال آخر على </w:t>
      </w:r>
      <w:r>
        <w:rPr>
          <w:rFonts w:hint="cs"/>
          <w:rtl/>
          <w:lang w:val="fr-CH" w:bidi="ar-SY"/>
        </w:rPr>
        <w:t>بلد اتخذ</w:t>
      </w:r>
      <w:r w:rsidR="00D63E26">
        <w:rPr>
          <w:rFonts w:hint="cs"/>
          <w:rtl/>
          <w:lang w:val="fr-CH" w:bidi="ar-SY"/>
        </w:rPr>
        <w:t xml:space="preserve"> نموذج</w:t>
      </w:r>
      <w:r>
        <w:rPr>
          <w:rFonts w:hint="cs"/>
          <w:rtl/>
          <w:lang w:val="fr-CH" w:bidi="ar-SY"/>
        </w:rPr>
        <w:t>اً</w:t>
      </w:r>
      <w:r w:rsidR="00D63E26">
        <w:rPr>
          <w:rFonts w:hint="cs"/>
          <w:rtl/>
          <w:lang w:val="fr-CH" w:bidi="ar-SY"/>
        </w:rPr>
        <w:t xml:space="preserve"> هجين</w:t>
      </w:r>
      <w:r>
        <w:rPr>
          <w:rFonts w:hint="cs"/>
          <w:rtl/>
          <w:lang w:val="fr-CH" w:bidi="ar-SY"/>
        </w:rPr>
        <w:t>اً</w:t>
      </w:r>
      <w:r w:rsidR="00D63E26">
        <w:rPr>
          <w:rFonts w:hint="cs"/>
          <w:rtl/>
          <w:lang w:val="fr-CH" w:bidi="ar-SY"/>
        </w:rPr>
        <w:t>. ف</w:t>
      </w:r>
      <w:r w:rsidR="005411A6">
        <w:rPr>
          <w:rFonts w:hint="cs"/>
          <w:rtl/>
          <w:lang w:val="fr-CH" w:bidi="ar-SY"/>
        </w:rPr>
        <w:t>ت</w:t>
      </w:r>
      <w:r w:rsidR="00D63E26">
        <w:rPr>
          <w:rFonts w:hint="cs"/>
          <w:rtl/>
          <w:lang w:val="fr-CH" w:bidi="ar-SY"/>
        </w:rPr>
        <w:t xml:space="preserve">تضمن </w:t>
      </w:r>
      <w:r w:rsidR="005411A6">
        <w:rPr>
          <w:rFonts w:hint="cs"/>
          <w:rtl/>
          <w:lang w:val="fr-CH" w:bidi="ar-SY"/>
        </w:rPr>
        <w:t>المادة</w:t>
      </w:r>
      <w:r w:rsidR="005411A6">
        <w:rPr>
          <w:rFonts w:hint="eastAsia"/>
          <w:rtl/>
          <w:lang w:val="fr-CH" w:bidi="ar-SY"/>
        </w:rPr>
        <w:t> </w:t>
      </w:r>
      <w:r w:rsidR="00D63E26">
        <w:rPr>
          <w:rFonts w:hint="cs"/>
          <w:rtl/>
          <w:lang w:val="fr-CH" w:bidi="ar-SY"/>
        </w:rPr>
        <w:t xml:space="preserve">19 من قانون حق المؤلف بنداً فيما يتعلق بالاستخدام </w:t>
      </w:r>
      <w:r w:rsidR="004F3E50">
        <w:rPr>
          <w:rFonts w:hint="cs"/>
          <w:rtl/>
          <w:lang w:val="fr-CH" w:bidi="ar-SY"/>
        </w:rPr>
        <w:t xml:space="preserve">المنصف </w:t>
      </w:r>
      <w:r w:rsidR="00D63E26">
        <w:rPr>
          <w:rFonts w:hint="cs"/>
          <w:rtl/>
          <w:lang w:val="fr-CH" w:bidi="ar-SY"/>
        </w:rPr>
        <w:t>و</w:t>
      </w:r>
      <w:r>
        <w:rPr>
          <w:rFonts w:hint="cs"/>
          <w:rtl/>
          <w:lang w:val="fr-CH" w:bidi="ar-SY"/>
        </w:rPr>
        <w:t xml:space="preserve">تتضمن </w:t>
      </w:r>
      <w:r w:rsidR="005411A6">
        <w:rPr>
          <w:rFonts w:hint="cs"/>
          <w:rtl/>
          <w:lang w:val="fr-CH" w:bidi="ar-SY"/>
        </w:rPr>
        <w:t xml:space="preserve">المواد </w:t>
      </w:r>
      <w:r w:rsidR="00D63E26">
        <w:rPr>
          <w:rFonts w:hint="cs"/>
          <w:rtl/>
          <w:lang w:val="fr-CH" w:bidi="ar-SY"/>
        </w:rPr>
        <w:t xml:space="preserve">من </w:t>
      </w:r>
      <w:r w:rsidR="00D63E26">
        <w:rPr>
          <w:lang w:bidi="ar-SY"/>
        </w:rPr>
        <w:t>28A</w:t>
      </w:r>
      <w:r w:rsidR="00D63E26">
        <w:rPr>
          <w:rFonts w:hint="cs"/>
          <w:rtl/>
          <w:lang w:bidi="ar-SY"/>
        </w:rPr>
        <w:t xml:space="preserve"> إلى </w:t>
      </w:r>
      <w:r w:rsidR="00D63E26">
        <w:rPr>
          <w:lang w:bidi="ar-SY"/>
        </w:rPr>
        <w:t>28E</w:t>
      </w:r>
      <w:r w:rsidR="00D63E26">
        <w:rPr>
          <w:rFonts w:hint="cs"/>
          <w:rtl/>
          <w:lang w:val="fr-CH" w:bidi="ar-SY"/>
        </w:rPr>
        <w:t xml:space="preserve"> أحكاماً محددة، </w:t>
      </w:r>
      <w:r w:rsidR="005411A6">
        <w:rPr>
          <w:rFonts w:hint="cs"/>
          <w:rtl/>
          <w:lang w:val="fr-CH" w:bidi="ar-SY"/>
        </w:rPr>
        <w:t>وهي م</w:t>
      </w:r>
      <w:r w:rsidR="00D90DB6">
        <w:rPr>
          <w:rFonts w:hint="cs"/>
          <w:rtl/>
          <w:lang w:val="fr-CH" w:bidi="ar-SY"/>
        </w:rPr>
        <w:t xml:space="preserve">وضوع النقاش في </w:t>
      </w:r>
      <w:r w:rsidR="00D63E26">
        <w:rPr>
          <w:rFonts w:hint="cs"/>
          <w:rtl/>
          <w:lang w:val="fr-CH" w:bidi="ar-SY"/>
        </w:rPr>
        <w:t>القسم التالي:</w:t>
      </w:r>
    </w:p>
    <w:p w:rsidR="002354A2" w:rsidRDefault="00D63E26" w:rsidP="00D90DB6">
      <w:pPr>
        <w:pStyle w:val="Heading4"/>
        <w:rPr>
          <w:rtl/>
          <w:lang w:val="fr-CH" w:bidi="ar-SY"/>
        </w:rPr>
      </w:pPr>
      <w:r w:rsidRPr="00D63E26">
        <w:rPr>
          <w:rFonts w:hint="cs"/>
          <w:rtl/>
          <w:lang w:val="fr-CH" w:bidi="ar-SY"/>
        </w:rPr>
        <w:lastRenderedPageBreak/>
        <w:t>الأحكام المحددة</w:t>
      </w:r>
    </w:p>
    <w:p w:rsidR="00D63E26" w:rsidRPr="002354A2" w:rsidRDefault="00D63E26" w:rsidP="00D158D5">
      <w:pPr>
        <w:pStyle w:val="BodyText"/>
        <w:rPr>
          <w:u w:val="single"/>
          <w:rtl/>
          <w:lang w:val="fr-CH" w:bidi="ar-SY"/>
        </w:rPr>
      </w:pPr>
      <w:r>
        <w:rPr>
          <w:rFonts w:hint="cs"/>
          <w:rtl/>
          <w:lang w:val="fr-CH" w:bidi="ar-SY"/>
        </w:rPr>
        <w:t xml:space="preserve">الأحكام المحددة </w:t>
      </w:r>
      <w:r w:rsidR="002354A2">
        <w:rPr>
          <w:rFonts w:hint="cs"/>
          <w:rtl/>
          <w:lang w:val="fr-CH" w:bidi="ar-SY"/>
        </w:rPr>
        <w:t>نوعان</w:t>
      </w:r>
      <w:r>
        <w:rPr>
          <w:rFonts w:hint="cs"/>
          <w:rtl/>
          <w:lang w:val="fr-CH" w:bidi="ar-SY"/>
        </w:rPr>
        <w:t xml:space="preserve">، فيوفر النوع الأول من البند المحدد استثناءً لإعداد نسخ </w:t>
      </w:r>
      <w:r w:rsidR="002354A2">
        <w:rPr>
          <w:rFonts w:hint="cs"/>
          <w:rtl/>
          <w:lang w:val="fr-CH" w:bidi="ar-SY"/>
        </w:rPr>
        <w:t>بأنساق ميسّرة لفائدة</w:t>
      </w:r>
      <w:r>
        <w:rPr>
          <w:rFonts w:hint="cs"/>
          <w:rtl/>
          <w:lang w:val="fr-CH" w:bidi="ar-SY"/>
        </w:rPr>
        <w:t xml:space="preserve"> الأشخاص ذوي الإعاقات. </w:t>
      </w:r>
      <w:r w:rsidR="00D90DB6">
        <w:rPr>
          <w:rFonts w:hint="cs"/>
          <w:rtl/>
          <w:lang w:val="fr-CH" w:bidi="ar-SY"/>
        </w:rPr>
        <w:t>والمادتان</w:t>
      </w:r>
      <w:r>
        <w:rPr>
          <w:rFonts w:hint="cs"/>
          <w:rtl/>
          <w:lang w:val="fr-CH" w:bidi="ar-SY"/>
        </w:rPr>
        <w:t xml:space="preserve"> 121 و</w:t>
      </w:r>
      <w:r>
        <w:rPr>
          <w:lang w:bidi="ar-SY"/>
        </w:rPr>
        <w:t>121A</w:t>
      </w:r>
      <w:r>
        <w:rPr>
          <w:rFonts w:hint="cs"/>
          <w:rtl/>
          <w:lang w:val="fr-CH" w:bidi="ar-SY"/>
        </w:rPr>
        <w:t xml:space="preserve"> من قانون الولايات المتحدة، المشار إليهما أعلاه، هما مثال على </w:t>
      </w:r>
      <w:r w:rsidR="00D90DB6">
        <w:rPr>
          <w:rFonts w:hint="cs"/>
          <w:rtl/>
          <w:lang w:val="fr-CH" w:bidi="ar-SY"/>
        </w:rPr>
        <w:t xml:space="preserve">تلك </w:t>
      </w:r>
      <w:r>
        <w:rPr>
          <w:rFonts w:hint="cs"/>
          <w:rtl/>
          <w:lang w:val="fr-CH" w:bidi="ar-SY"/>
        </w:rPr>
        <w:t xml:space="preserve">البنود. </w:t>
      </w:r>
      <w:r w:rsidR="00F906F3">
        <w:rPr>
          <w:rFonts w:hint="cs"/>
          <w:rtl/>
          <w:lang w:val="fr-CH" w:bidi="ar-SY"/>
        </w:rPr>
        <w:t>ومن الأمثلة الأخرى</w:t>
      </w:r>
      <w:r w:rsidR="002354A2">
        <w:rPr>
          <w:rFonts w:hint="cs"/>
          <w:rtl/>
          <w:lang w:val="fr-CH" w:bidi="ar-SY"/>
        </w:rPr>
        <w:t xml:space="preserve"> </w:t>
      </w:r>
      <w:r w:rsidR="00F906F3">
        <w:rPr>
          <w:rFonts w:hint="cs"/>
          <w:rtl/>
          <w:lang w:val="fr-CH" w:bidi="ar-SY"/>
        </w:rPr>
        <w:t xml:space="preserve">الأحكام الواردة في قوانين حق المؤلف </w:t>
      </w:r>
      <w:r w:rsidR="00D90DB6">
        <w:rPr>
          <w:rFonts w:hint="cs"/>
          <w:rtl/>
          <w:lang w:val="fr-CH" w:bidi="ar-SY"/>
        </w:rPr>
        <w:t>ل</w:t>
      </w:r>
      <w:r w:rsidR="002354A2">
        <w:rPr>
          <w:rFonts w:hint="cs"/>
          <w:rtl/>
          <w:lang w:val="fr-CH" w:bidi="ar-SY"/>
        </w:rPr>
        <w:t>كل من</w:t>
      </w:r>
      <w:r w:rsidR="00F906F3">
        <w:rPr>
          <w:rFonts w:hint="cs"/>
          <w:rtl/>
          <w:lang w:val="fr-CH" w:bidi="ar-SY"/>
        </w:rPr>
        <w:t xml:space="preserve"> الأرجنتين</w:t>
      </w:r>
      <w:r w:rsidR="00F906F3">
        <w:rPr>
          <w:rStyle w:val="FootnoteReference"/>
          <w:rtl/>
          <w:lang w:val="fr-CH" w:bidi="ar-SY"/>
        </w:rPr>
        <w:footnoteReference w:id="25"/>
      </w:r>
      <w:r w:rsidR="00F906F3">
        <w:rPr>
          <w:rFonts w:hint="cs"/>
          <w:rtl/>
          <w:lang w:val="fr-CH" w:bidi="ar-SY"/>
        </w:rPr>
        <w:t xml:space="preserve"> وأرمينيا</w:t>
      </w:r>
      <w:r w:rsidR="00F906F3">
        <w:rPr>
          <w:rStyle w:val="FootnoteReference"/>
          <w:rtl/>
          <w:lang w:val="fr-CH" w:bidi="ar-SY"/>
        </w:rPr>
        <w:footnoteReference w:id="26"/>
      </w:r>
      <w:r w:rsidR="00F906F3">
        <w:rPr>
          <w:rFonts w:hint="cs"/>
          <w:rtl/>
          <w:lang w:val="fr-CH" w:bidi="ar-SY"/>
        </w:rPr>
        <w:t xml:space="preserve"> والهند</w:t>
      </w:r>
      <w:r w:rsidR="00F906F3">
        <w:rPr>
          <w:rStyle w:val="FootnoteReference"/>
          <w:rtl/>
          <w:lang w:val="fr-CH" w:bidi="ar-SY"/>
        </w:rPr>
        <w:footnoteReference w:id="27"/>
      </w:r>
      <w:r w:rsidR="00F906F3">
        <w:rPr>
          <w:rFonts w:hint="cs"/>
          <w:rtl/>
          <w:lang w:val="fr-CH" w:bidi="ar-SY"/>
        </w:rPr>
        <w:t xml:space="preserve"> وإسرائيل</w:t>
      </w:r>
      <w:r w:rsidR="00F906F3">
        <w:rPr>
          <w:rStyle w:val="FootnoteReference"/>
          <w:rtl/>
          <w:lang w:val="fr-CH" w:bidi="ar-SY"/>
        </w:rPr>
        <w:footnoteReference w:id="28"/>
      </w:r>
      <w:r w:rsidR="00F906F3">
        <w:rPr>
          <w:rFonts w:hint="cs"/>
          <w:rtl/>
          <w:lang w:val="fr-CH" w:bidi="ar-SY"/>
        </w:rPr>
        <w:t>.</w:t>
      </w:r>
    </w:p>
    <w:p w:rsidR="00033E73" w:rsidRDefault="00FE149B" w:rsidP="00D158D5">
      <w:pPr>
        <w:pStyle w:val="BodyText"/>
        <w:rPr>
          <w:rtl/>
          <w:lang w:val="fr-CH" w:bidi="ar-SY"/>
        </w:rPr>
      </w:pPr>
      <w:r>
        <w:rPr>
          <w:rFonts w:hint="cs"/>
          <w:rtl/>
          <w:lang w:val="fr-CH" w:bidi="ar-SY"/>
        </w:rPr>
        <w:t>والنوع الثاني من الأحكام المحددة هو</w:t>
      </w:r>
      <w:r w:rsidR="00033E73">
        <w:rPr>
          <w:rFonts w:hint="cs"/>
          <w:rtl/>
          <w:lang w:val="fr-CH" w:bidi="ar-SY"/>
        </w:rPr>
        <w:t xml:space="preserve"> بند </w:t>
      </w:r>
      <w:r w:rsidR="004F3E50">
        <w:rPr>
          <w:rFonts w:hint="cs"/>
          <w:rtl/>
          <w:lang w:val="fr-CH" w:bidi="ar-SY"/>
        </w:rPr>
        <w:t xml:space="preserve">الاستخدام المنصف </w:t>
      </w:r>
      <w:r w:rsidR="00033E73">
        <w:rPr>
          <w:rFonts w:hint="cs"/>
          <w:rtl/>
          <w:lang w:val="fr-CH" w:bidi="ar-SY"/>
        </w:rPr>
        <w:t xml:space="preserve">الذي يذكر إعداد نسخ </w:t>
      </w:r>
      <w:r w:rsidR="002354A2">
        <w:rPr>
          <w:rFonts w:hint="cs"/>
          <w:rtl/>
          <w:lang w:val="fr-CH" w:bidi="ar-SY"/>
        </w:rPr>
        <w:t>بأنساق ميسّرة لفائدة الأشخاص ذوي الإعاقات</w:t>
      </w:r>
      <w:r w:rsidR="00033E73">
        <w:rPr>
          <w:rFonts w:hint="cs"/>
          <w:rtl/>
          <w:lang w:val="fr-CH" w:bidi="ar-SY"/>
        </w:rPr>
        <w:t xml:space="preserve"> كأحد الاستخدامات المسموح بها. ونذكر كمثال على ذلك </w:t>
      </w:r>
      <w:r w:rsidR="002354A2">
        <w:rPr>
          <w:rFonts w:hint="cs"/>
          <w:rtl/>
          <w:lang w:val="fr-CH" w:bidi="ar-SY"/>
        </w:rPr>
        <w:t>ال</w:t>
      </w:r>
      <w:r w:rsidR="00033E73">
        <w:rPr>
          <w:rFonts w:hint="cs"/>
          <w:rtl/>
          <w:lang w:val="fr-CH" w:bidi="ar-SY"/>
        </w:rPr>
        <w:t xml:space="preserve">قانون </w:t>
      </w:r>
      <w:r w:rsidR="002354A2">
        <w:rPr>
          <w:rFonts w:hint="cs"/>
          <w:rtl/>
          <w:lang w:val="fr-CH" w:bidi="ar-SY"/>
        </w:rPr>
        <w:t>الأسترالي</w:t>
      </w:r>
      <w:r w:rsidR="00033E73">
        <w:rPr>
          <w:rFonts w:hint="cs"/>
          <w:rtl/>
          <w:lang w:val="fr-CH" w:bidi="ar-SY"/>
        </w:rPr>
        <w:t xml:space="preserve"> لحق المؤلف الصادر في</w:t>
      </w:r>
      <w:r w:rsidR="002354A2">
        <w:rPr>
          <w:rFonts w:hint="cs"/>
          <w:rtl/>
          <w:lang w:val="fr-CH" w:bidi="ar-SY"/>
        </w:rPr>
        <w:t xml:space="preserve"> عام</w:t>
      </w:r>
      <w:r w:rsidR="00033E73">
        <w:rPr>
          <w:rFonts w:hint="cs"/>
          <w:rtl/>
          <w:lang w:val="fr-CH" w:bidi="ar-SY"/>
        </w:rPr>
        <w:t xml:space="preserve"> 1998 (الموحد في 1 يناير 2019).</w:t>
      </w:r>
    </w:p>
    <w:p w:rsidR="00033E73" w:rsidRDefault="00033E73" w:rsidP="00D158D5">
      <w:pPr>
        <w:pStyle w:val="BodyText"/>
        <w:rPr>
          <w:rtl/>
          <w:lang w:val="fr-CH" w:bidi="ar-SY"/>
        </w:rPr>
      </w:pPr>
      <w:r>
        <w:rPr>
          <w:rFonts w:hint="cs"/>
          <w:rtl/>
          <w:lang w:val="fr-CH" w:bidi="ar-SY"/>
        </w:rPr>
        <w:t xml:space="preserve">وهناك فرق كبير بين الأحكام المحددة ذات الصلة </w:t>
      </w:r>
      <w:r w:rsidR="004F3E50">
        <w:rPr>
          <w:rFonts w:hint="cs"/>
          <w:rtl/>
          <w:lang w:val="fr-CH" w:bidi="ar-SY"/>
        </w:rPr>
        <w:t xml:space="preserve">بالاستخدام المنصف </w:t>
      </w:r>
      <w:r>
        <w:rPr>
          <w:rFonts w:hint="cs"/>
          <w:rtl/>
          <w:lang w:val="fr-CH" w:bidi="ar-SY"/>
        </w:rPr>
        <w:t xml:space="preserve">لأغراض نفاذ الأشخاص ذوي الإعاقات وأحكام </w:t>
      </w:r>
      <w:r w:rsidR="004F3E50">
        <w:rPr>
          <w:rFonts w:hint="cs"/>
          <w:rtl/>
          <w:lang w:val="fr-CH" w:bidi="ar-SY"/>
        </w:rPr>
        <w:t>الاستخدام المنصف</w:t>
      </w:r>
      <w:r>
        <w:rPr>
          <w:rFonts w:hint="cs"/>
          <w:rtl/>
          <w:lang w:val="fr-CH" w:bidi="ar-SY"/>
        </w:rPr>
        <w:t xml:space="preserve"> العامة. </w:t>
      </w:r>
      <w:r w:rsidR="002D36C2">
        <w:rPr>
          <w:rFonts w:hint="cs"/>
          <w:rtl/>
          <w:lang w:val="fr-CH" w:bidi="ar-SY"/>
        </w:rPr>
        <w:t xml:space="preserve">ويمكن </w:t>
      </w:r>
      <w:r w:rsidR="002354A2">
        <w:rPr>
          <w:rFonts w:hint="cs"/>
          <w:rtl/>
          <w:lang w:val="fr-CH" w:bidi="ar-SY"/>
        </w:rPr>
        <w:t>أن يتصف النوعا</w:t>
      </w:r>
      <w:r w:rsidR="002D36C2">
        <w:rPr>
          <w:rFonts w:hint="cs"/>
          <w:rtl/>
          <w:lang w:val="fr-CH" w:bidi="ar-SY"/>
        </w:rPr>
        <w:t xml:space="preserve">ن </w:t>
      </w:r>
      <w:r w:rsidR="002354A2">
        <w:rPr>
          <w:rFonts w:hint="cs"/>
          <w:rtl/>
          <w:lang w:val="fr-CH" w:bidi="ar-SY"/>
        </w:rPr>
        <w:t>ب</w:t>
      </w:r>
      <w:r w:rsidR="002D36C2">
        <w:rPr>
          <w:rFonts w:hint="cs"/>
          <w:rtl/>
          <w:lang w:val="fr-CH" w:bidi="ar-SY"/>
        </w:rPr>
        <w:t>أنه</w:t>
      </w:r>
      <w:r w:rsidR="002354A2">
        <w:rPr>
          <w:rFonts w:hint="cs"/>
          <w:rtl/>
          <w:lang w:val="fr-CH" w:bidi="ar-SY"/>
        </w:rPr>
        <w:t>م</w:t>
      </w:r>
      <w:r w:rsidR="002D36C2">
        <w:rPr>
          <w:rFonts w:hint="cs"/>
          <w:rtl/>
          <w:lang w:val="fr-CH" w:bidi="ar-SY"/>
        </w:rPr>
        <w:t>ا "أحكام عام</w:t>
      </w:r>
      <w:r w:rsidR="002354A2">
        <w:rPr>
          <w:rFonts w:hint="cs"/>
          <w:rtl/>
          <w:lang w:val="fr-CH" w:bidi="ar-SY"/>
        </w:rPr>
        <w:t>ة</w:t>
      </w:r>
      <w:r w:rsidR="002D36C2">
        <w:rPr>
          <w:rFonts w:hint="cs"/>
          <w:rtl/>
          <w:lang w:val="fr-CH" w:bidi="ar-SY"/>
        </w:rPr>
        <w:t>" لأنه</w:t>
      </w:r>
      <w:r w:rsidR="002354A2">
        <w:rPr>
          <w:rFonts w:hint="cs"/>
          <w:rtl/>
          <w:lang w:val="fr-CH" w:bidi="ar-SY"/>
        </w:rPr>
        <w:t>ما ي</w:t>
      </w:r>
      <w:r w:rsidR="002D36C2">
        <w:rPr>
          <w:rFonts w:hint="cs"/>
          <w:rtl/>
          <w:lang w:val="fr-CH" w:bidi="ar-SY"/>
        </w:rPr>
        <w:t>نطبق</w:t>
      </w:r>
      <w:r w:rsidR="002354A2">
        <w:rPr>
          <w:rFonts w:hint="cs"/>
          <w:rtl/>
          <w:lang w:val="fr-CH" w:bidi="ar-SY"/>
        </w:rPr>
        <w:t>ان</w:t>
      </w:r>
      <w:r w:rsidR="002D36C2">
        <w:rPr>
          <w:rFonts w:hint="cs"/>
          <w:rtl/>
          <w:lang w:val="fr-CH" w:bidi="ar-SY"/>
        </w:rPr>
        <w:t xml:space="preserve"> على أغراض </w:t>
      </w:r>
      <w:r w:rsidR="002354A2">
        <w:rPr>
          <w:rFonts w:hint="cs"/>
          <w:rtl/>
          <w:lang w:val="fr-CH" w:bidi="ar-SY"/>
        </w:rPr>
        <w:t xml:space="preserve">متعددة </w:t>
      </w:r>
      <w:r w:rsidR="002D36C2">
        <w:rPr>
          <w:rFonts w:hint="cs"/>
          <w:rtl/>
          <w:lang w:val="fr-CH" w:bidi="ar-SY"/>
        </w:rPr>
        <w:t>من بينها البحوث والنقد استناداً إلى تطبيق اختبار موازنة مشتركة. وإنه</w:t>
      </w:r>
      <w:r w:rsidR="002354A2">
        <w:rPr>
          <w:rFonts w:hint="cs"/>
          <w:rtl/>
          <w:lang w:val="fr-CH" w:bidi="ar-SY"/>
        </w:rPr>
        <w:t>ما ي</w:t>
      </w:r>
      <w:r w:rsidR="002D36C2">
        <w:rPr>
          <w:rFonts w:hint="cs"/>
          <w:rtl/>
          <w:lang w:val="fr-CH" w:bidi="ar-SY"/>
        </w:rPr>
        <w:t>ختلف</w:t>
      </w:r>
      <w:r w:rsidR="002354A2">
        <w:rPr>
          <w:rFonts w:hint="cs"/>
          <w:rtl/>
          <w:lang w:val="fr-CH" w:bidi="ar-SY"/>
        </w:rPr>
        <w:t>ان</w:t>
      </w:r>
      <w:r w:rsidR="002D36C2">
        <w:rPr>
          <w:rFonts w:hint="cs"/>
          <w:rtl/>
          <w:lang w:val="fr-CH" w:bidi="ar-SY"/>
        </w:rPr>
        <w:t xml:space="preserve"> من حيث مدى انتشاره</w:t>
      </w:r>
      <w:r w:rsidR="002354A2">
        <w:rPr>
          <w:rFonts w:hint="cs"/>
          <w:rtl/>
          <w:lang w:val="fr-CH" w:bidi="ar-SY"/>
        </w:rPr>
        <w:t>م</w:t>
      </w:r>
      <w:r w:rsidR="002D36C2">
        <w:rPr>
          <w:rFonts w:hint="cs"/>
          <w:rtl/>
          <w:lang w:val="fr-CH" w:bidi="ar-SY"/>
        </w:rPr>
        <w:t>ا.</w:t>
      </w:r>
    </w:p>
    <w:p w:rsidR="00DD4E2A" w:rsidRDefault="004F3E50" w:rsidP="00D158D5">
      <w:pPr>
        <w:pStyle w:val="BodyText"/>
        <w:rPr>
          <w:rtl/>
          <w:lang w:bidi="ar-SY"/>
        </w:rPr>
      </w:pPr>
      <w:r>
        <w:rPr>
          <w:rFonts w:hint="cs"/>
          <w:rtl/>
          <w:lang w:val="fr-CH" w:bidi="ar-SY"/>
        </w:rPr>
        <w:t xml:space="preserve">ويستند الاستخدام المنصف إلى </w:t>
      </w:r>
      <w:r w:rsidR="00DD4E2A" w:rsidRPr="00DD4E2A">
        <w:rPr>
          <w:rtl/>
          <w:lang w:bidi="ar-SY"/>
        </w:rPr>
        <w:t>قائمة غير شاملة للأغراض المسمو</w:t>
      </w:r>
      <w:r w:rsidR="00DD4E2A">
        <w:rPr>
          <w:rtl/>
          <w:lang w:bidi="ar-SY"/>
        </w:rPr>
        <w:t>ح بها والتي تلبي معايير الإنصاف</w:t>
      </w:r>
      <w:r w:rsidR="00DD4E2A">
        <w:rPr>
          <w:rFonts w:hint="cs"/>
          <w:rtl/>
          <w:lang w:bidi="ar-SY"/>
        </w:rPr>
        <w:t xml:space="preserve"> على النحو المذكور في العوامل التي يجب </w:t>
      </w:r>
      <w:r w:rsidR="002354A2">
        <w:rPr>
          <w:rFonts w:hint="cs"/>
          <w:rtl/>
          <w:lang w:bidi="ar-SY"/>
        </w:rPr>
        <w:t>مراعاتها</w:t>
      </w:r>
      <w:r w:rsidR="00DD4E2A">
        <w:rPr>
          <w:rFonts w:hint="cs"/>
          <w:rtl/>
          <w:lang w:bidi="ar-SY"/>
        </w:rPr>
        <w:t xml:space="preserve">. والأحكام المحددة التي تتناول </w:t>
      </w:r>
      <w:r>
        <w:rPr>
          <w:rFonts w:hint="cs"/>
          <w:rtl/>
          <w:lang w:val="fr-CH" w:bidi="ar-SY"/>
        </w:rPr>
        <w:t>الاستخدام المنصف</w:t>
      </w:r>
      <w:r w:rsidR="00DD4E2A">
        <w:rPr>
          <w:rFonts w:hint="cs"/>
          <w:rtl/>
          <w:lang w:bidi="ar-SY"/>
        </w:rPr>
        <w:t xml:space="preserve">، على عكس ما سبق، هي آليات قانونية تستخدم لتسهيل </w:t>
      </w:r>
      <w:r w:rsidR="00DD4E2A" w:rsidRPr="00DD4E2A">
        <w:rPr>
          <w:rtl/>
          <w:lang w:bidi="ar-SY"/>
        </w:rPr>
        <w:t>الاستخدامات غير</w:t>
      </w:r>
      <w:r w:rsidR="002354A2">
        <w:rPr>
          <w:rFonts w:hint="cs"/>
          <w:rtl/>
          <w:lang w:bidi="ar-SY"/>
        </w:rPr>
        <w:t xml:space="preserve"> المكافأة وغير</w:t>
      </w:r>
      <w:r w:rsidR="00DD4E2A" w:rsidRPr="00DD4E2A">
        <w:rPr>
          <w:rtl/>
          <w:lang w:bidi="ar-SY"/>
        </w:rPr>
        <w:t xml:space="preserve"> المأذون بها للمصنفات المحمية في حالات محددة</w:t>
      </w:r>
      <w:r w:rsidR="00DD4E2A">
        <w:rPr>
          <w:rFonts w:hint="cs"/>
          <w:rtl/>
          <w:lang w:bidi="ar-SY"/>
        </w:rPr>
        <w:t>. و</w:t>
      </w:r>
      <w:r w:rsidR="00DD4E2A" w:rsidRPr="00DD4E2A">
        <w:rPr>
          <w:rtl/>
          <w:lang w:bidi="ar-SY"/>
        </w:rPr>
        <w:t xml:space="preserve">إنها تضع قائمة شاملة </w:t>
      </w:r>
      <w:r w:rsidR="002354A2">
        <w:rPr>
          <w:rFonts w:hint="cs"/>
          <w:rtl/>
          <w:lang w:bidi="ar-SY"/>
        </w:rPr>
        <w:t>بالأغراض المسموح بها</w:t>
      </w:r>
      <w:r w:rsidR="00DD4E2A" w:rsidRPr="00DD4E2A">
        <w:rPr>
          <w:rtl/>
          <w:lang w:bidi="ar-SY"/>
        </w:rPr>
        <w:t xml:space="preserve"> ولا تعدد العوامل التي يجب </w:t>
      </w:r>
      <w:r w:rsidR="00DD4E2A">
        <w:rPr>
          <w:rFonts w:hint="cs"/>
          <w:rtl/>
          <w:lang w:bidi="ar-SY"/>
        </w:rPr>
        <w:t>مراعاتها</w:t>
      </w:r>
      <w:r w:rsidR="00DD4E2A" w:rsidRPr="00DD4E2A">
        <w:rPr>
          <w:rtl/>
          <w:lang w:bidi="ar-SY"/>
        </w:rPr>
        <w:t xml:space="preserve"> عند تحديد </w:t>
      </w:r>
      <w:r w:rsidR="00D51348">
        <w:rPr>
          <w:rFonts w:hint="cs"/>
          <w:rtl/>
          <w:lang w:bidi="ar-SY"/>
        </w:rPr>
        <w:t>الإنصاف في</w:t>
      </w:r>
      <w:r w:rsidR="00DD4E2A" w:rsidRPr="00DD4E2A">
        <w:rPr>
          <w:rtl/>
          <w:lang w:bidi="ar-SY"/>
        </w:rPr>
        <w:t xml:space="preserve"> الاستخدام. وتكملها سلسلة من الأمثلة الأخرى التي تنص على استخدامات أخرى مثل </w:t>
      </w:r>
      <w:r w:rsidR="00DD4E2A">
        <w:rPr>
          <w:rFonts w:hint="cs"/>
          <w:rtl/>
          <w:lang w:bidi="ar-SY"/>
        </w:rPr>
        <w:t>التوضيح لأغراض</w:t>
      </w:r>
      <w:r w:rsidR="00DD4E2A" w:rsidRPr="00DD4E2A">
        <w:rPr>
          <w:rtl/>
          <w:lang w:bidi="ar-SY"/>
        </w:rPr>
        <w:t xml:space="preserve"> </w:t>
      </w:r>
      <w:r w:rsidR="00DD4E2A">
        <w:rPr>
          <w:rFonts w:hint="cs"/>
          <w:rtl/>
          <w:lang w:bidi="ar-SY"/>
        </w:rPr>
        <w:t>تعليمية</w:t>
      </w:r>
      <w:r w:rsidR="00DD4E2A" w:rsidRPr="00DD4E2A">
        <w:rPr>
          <w:rtl/>
          <w:lang w:bidi="ar-SY"/>
        </w:rPr>
        <w:t xml:space="preserve"> والتقارير القضائية.</w:t>
      </w:r>
      <w:r w:rsidR="00DD4E2A" w:rsidRPr="00DD4E2A">
        <w:rPr>
          <w:rtl/>
        </w:rPr>
        <w:t xml:space="preserve"> </w:t>
      </w:r>
      <w:r w:rsidR="00DD4E2A">
        <w:rPr>
          <w:rFonts w:hint="cs"/>
          <w:rtl/>
        </w:rPr>
        <w:t>و</w:t>
      </w:r>
      <w:r w:rsidR="00DD4E2A" w:rsidRPr="00DD4E2A">
        <w:rPr>
          <w:rtl/>
          <w:lang w:bidi="ar-SY"/>
        </w:rPr>
        <w:t>المحاكم</w:t>
      </w:r>
      <w:r w:rsidR="00DD4E2A">
        <w:rPr>
          <w:rtl/>
          <w:lang w:bidi="ar-SY"/>
        </w:rPr>
        <w:t xml:space="preserve"> في بعض الولايات القضائية </w:t>
      </w:r>
      <w:r w:rsidR="00DD4E2A">
        <w:rPr>
          <w:rFonts w:hint="cs"/>
          <w:rtl/>
          <w:lang w:bidi="ar-SY"/>
        </w:rPr>
        <w:t xml:space="preserve">قد أكدت أن الاستخدامات </w:t>
      </w:r>
      <w:r w:rsidR="002354A2">
        <w:rPr>
          <w:rFonts w:hint="cs"/>
          <w:rtl/>
          <w:lang w:bidi="ar-SY"/>
        </w:rPr>
        <w:t>المسموح</w:t>
      </w:r>
      <w:r w:rsidR="00DD4E2A">
        <w:rPr>
          <w:rFonts w:hint="cs"/>
          <w:rtl/>
          <w:lang w:bidi="ar-SY"/>
        </w:rPr>
        <w:t xml:space="preserve"> بها بموجب بنود </w:t>
      </w:r>
      <w:r>
        <w:rPr>
          <w:rFonts w:hint="cs"/>
          <w:rtl/>
          <w:lang w:val="fr-CH" w:bidi="ar-SY"/>
        </w:rPr>
        <w:t xml:space="preserve">الاستخدام المنصف </w:t>
      </w:r>
      <w:r w:rsidR="002354A2">
        <w:rPr>
          <w:rFonts w:hint="cs"/>
          <w:rtl/>
          <w:lang w:bidi="ar-SY"/>
        </w:rPr>
        <w:t xml:space="preserve">هي </w:t>
      </w:r>
      <w:r w:rsidR="00DD4E2A">
        <w:rPr>
          <w:rFonts w:hint="cs"/>
          <w:rtl/>
          <w:lang w:bidi="ar-SY"/>
        </w:rPr>
        <w:t>شاملة، في حين أن</w:t>
      </w:r>
      <w:r w:rsidR="002354A2">
        <w:rPr>
          <w:rFonts w:hint="cs"/>
          <w:rtl/>
          <w:lang w:bidi="ar-SY"/>
        </w:rPr>
        <w:t xml:space="preserve"> محاكم</w:t>
      </w:r>
      <w:r w:rsidR="00DD4E2A">
        <w:rPr>
          <w:rFonts w:hint="cs"/>
          <w:rtl/>
          <w:lang w:bidi="ar-SY"/>
        </w:rPr>
        <w:t xml:space="preserve"> أخرى عليها معالجة هذه القضية مباشرة</w:t>
      </w:r>
      <w:r w:rsidR="00DD4E2A" w:rsidRPr="00DD4E2A">
        <w:rPr>
          <w:rtl/>
          <w:lang w:bidi="ar-SY"/>
        </w:rPr>
        <w:t>.</w:t>
      </w:r>
    </w:p>
    <w:p w:rsidR="004F3E50" w:rsidRDefault="00DD4E2A" w:rsidP="00D158D5">
      <w:pPr>
        <w:pStyle w:val="BodyText"/>
        <w:rPr>
          <w:rtl/>
          <w:lang w:bidi="ar-SY"/>
        </w:rPr>
      </w:pPr>
      <w:r>
        <w:rPr>
          <w:rFonts w:hint="cs"/>
          <w:rtl/>
          <w:lang w:bidi="ar-SY"/>
        </w:rPr>
        <w:t>و</w:t>
      </w:r>
      <w:r w:rsidRPr="00DD4E2A">
        <w:rPr>
          <w:rtl/>
          <w:lang w:bidi="ar-SY"/>
        </w:rPr>
        <w:t xml:space="preserve">تتضمن أحكام </w:t>
      </w:r>
      <w:r w:rsidR="004F3E50">
        <w:rPr>
          <w:rFonts w:hint="cs"/>
          <w:rtl/>
          <w:lang w:val="fr-CH" w:bidi="ar-SY"/>
        </w:rPr>
        <w:t xml:space="preserve">الاستخدام المنصف </w:t>
      </w:r>
      <w:r w:rsidRPr="00DD4E2A">
        <w:rPr>
          <w:rtl/>
          <w:lang w:bidi="ar-SY"/>
        </w:rPr>
        <w:t xml:space="preserve">عادةً الشروط التي تنطبق على استخدام </w:t>
      </w:r>
      <w:r>
        <w:rPr>
          <w:rFonts w:hint="cs"/>
          <w:rtl/>
          <w:lang w:bidi="ar-SY"/>
        </w:rPr>
        <w:t>المصنفات</w:t>
      </w:r>
      <w:r w:rsidRPr="00DD4E2A">
        <w:rPr>
          <w:rtl/>
          <w:lang w:bidi="ar-SY"/>
        </w:rPr>
        <w:t>، مثل الإسناد و</w:t>
      </w:r>
      <w:r w:rsidR="00D51348">
        <w:rPr>
          <w:rFonts w:hint="cs"/>
          <w:rtl/>
          <w:lang w:val="fr-CH"/>
        </w:rPr>
        <w:t>ال</w:t>
      </w:r>
      <w:r w:rsidRPr="00DD4E2A">
        <w:rPr>
          <w:rtl/>
          <w:lang w:bidi="ar-SY"/>
        </w:rPr>
        <w:t xml:space="preserve">إشارة إلى مصدر </w:t>
      </w:r>
      <w:r>
        <w:rPr>
          <w:rFonts w:hint="cs"/>
          <w:rtl/>
          <w:lang w:bidi="ar-SY"/>
        </w:rPr>
        <w:t>المصنف. و</w:t>
      </w:r>
      <w:r w:rsidRPr="00DD4E2A">
        <w:rPr>
          <w:rtl/>
          <w:lang w:bidi="ar-SY"/>
        </w:rPr>
        <w:t xml:space="preserve">بعض </w:t>
      </w:r>
      <w:r>
        <w:rPr>
          <w:rtl/>
          <w:lang w:bidi="ar-SY"/>
        </w:rPr>
        <w:t>القوانين الوطنية مثل تشريع حق</w:t>
      </w:r>
      <w:r>
        <w:rPr>
          <w:rFonts w:hint="cs"/>
          <w:rtl/>
          <w:lang w:bidi="ar-SY"/>
        </w:rPr>
        <w:t xml:space="preserve"> المؤلف </w:t>
      </w:r>
      <w:r>
        <w:rPr>
          <w:rtl/>
          <w:lang w:bidi="ar-SY"/>
        </w:rPr>
        <w:t>في أستراليا وكندا</w:t>
      </w:r>
      <w:r>
        <w:rPr>
          <w:rFonts w:hint="cs"/>
          <w:rtl/>
          <w:lang w:bidi="ar-SY"/>
        </w:rPr>
        <w:t xml:space="preserve"> تشمل قائمة للعوامل التي يجب مراعاتها عند إثبات </w:t>
      </w:r>
      <w:r w:rsidR="004F3E50">
        <w:rPr>
          <w:rFonts w:hint="cs"/>
          <w:rtl/>
          <w:lang w:bidi="ar-SY"/>
        </w:rPr>
        <w:t>الإنصاف في الاستخدام</w:t>
      </w:r>
      <w:r>
        <w:rPr>
          <w:rFonts w:hint="cs"/>
          <w:rtl/>
          <w:lang w:bidi="ar-SY"/>
        </w:rPr>
        <w:t>. و</w:t>
      </w:r>
      <w:r w:rsidRPr="00DD4E2A">
        <w:rPr>
          <w:rtl/>
          <w:lang w:bidi="ar-SY"/>
        </w:rPr>
        <w:t xml:space="preserve">الجانب الأكثر أهمية </w:t>
      </w:r>
      <w:r w:rsidR="002354A2">
        <w:rPr>
          <w:rFonts w:hint="cs"/>
          <w:rtl/>
          <w:lang w:bidi="ar-SY"/>
        </w:rPr>
        <w:t>فيما يتعلق</w:t>
      </w:r>
      <w:r w:rsidRPr="00DD4E2A">
        <w:rPr>
          <w:rtl/>
          <w:lang w:bidi="ar-SY"/>
        </w:rPr>
        <w:t xml:space="preserve"> </w:t>
      </w:r>
      <w:r w:rsidR="002354A2">
        <w:rPr>
          <w:rFonts w:hint="cs"/>
          <w:rtl/>
          <w:lang w:bidi="ar-SY"/>
        </w:rPr>
        <w:t>ب</w:t>
      </w:r>
      <w:r w:rsidR="00D921F3">
        <w:rPr>
          <w:rFonts w:hint="cs"/>
          <w:rtl/>
          <w:lang w:bidi="ar-SY"/>
        </w:rPr>
        <w:t>بنود</w:t>
      </w:r>
      <w:r w:rsidRPr="00DD4E2A">
        <w:rPr>
          <w:rtl/>
          <w:lang w:bidi="ar-SY"/>
        </w:rPr>
        <w:t xml:space="preserve"> </w:t>
      </w:r>
      <w:r w:rsidR="004F3E50">
        <w:rPr>
          <w:rFonts w:hint="cs"/>
          <w:rtl/>
          <w:lang w:val="fr-CH" w:bidi="ar-SY"/>
        </w:rPr>
        <w:t xml:space="preserve">الاستخدام المنصف </w:t>
      </w:r>
      <w:r w:rsidRPr="00DD4E2A">
        <w:rPr>
          <w:rtl/>
          <w:lang w:bidi="ar-SY"/>
        </w:rPr>
        <w:t xml:space="preserve">هو </w:t>
      </w:r>
      <w:r w:rsidR="00D921F3">
        <w:rPr>
          <w:rFonts w:hint="cs"/>
          <w:rtl/>
          <w:lang w:bidi="ar-SY"/>
        </w:rPr>
        <w:t>وجوب</w:t>
      </w:r>
      <w:r w:rsidRPr="00DD4E2A">
        <w:rPr>
          <w:rtl/>
          <w:lang w:bidi="ar-SY"/>
        </w:rPr>
        <w:t xml:space="preserve"> تعداد </w:t>
      </w:r>
      <w:r w:rsidR="00D921F3">
        <w:rPr>
          <w:rFonts w:hint="cs"/>
          <w:rtl/>
          <w:lang w:bidi="ar-SY"/>
        </w:rPr>
        <w:t>إعداد</w:t>
      </w:r>
      <w:r w:rsidRPr="00DD4E2A">
        <w:rPr>
          <w:rtl/>
          <w:lang w:bidi="ar-SY"/>
        </w:rPr>
        <w:t xml:space="preserve"> </w:t>
      </w:r>
      <w:r w:rsidR="00EC5117">
        <w:rPr>
          <w:rFonts w:hint="cs"/>
          <w:rtl/>
          <w:lang w:bidi="ar-SY"/>
        </w:rPr>
        <w:t xml:space="preserve">أنساق ميسّرة </w:t>
      </w:r>
      <w:r w:rsidRPr="00DD4E2A">
        <w:rPr>
          <w:rtl/>
          <w:lang w:bidi="ar-SY"/>
        </w:rPr>
        <w:t>في القائمة الشاملة للاستخدامات المسموح بها.</w:t>
      </w:r>
      <w:r w:rsidR="00D921F3">
        <w:rPr>
          <w:rFonts w:hint="cs"/>
          <w:rtl/>
          <w:lang w:bidi="ar-SY"/>
        </w:rPr>
        <w:t xml:space="preserve"> وإذا لم تفعل القوانين كذلك، فيستحيل الاعتماد على بند </w:t>
      </w:r>
      <w:r w:rsidR="004F3E50">
        <w:rPr>
          <w:rFonts w:hint="cs"/>
          <w:rtl/>
          <w:lang w:val="fr-CH" w:bidi="ar-SY"/>
        </w:rPr>
        <w:t xml:space="preserve">الاستخدام المنصف </w:t>
      </w:r>
      <w:r w:rsidR="00D921F3">
        <w:rPr>
          <w:rFonts w:hint="cs"/>
          <w:rtl/>
          <w:lang w:bidi="ar-SY"/>
        </w:rPr>
        <w:t>لذلك الغرض. و</w:t>
      </w:r>
      <w:r w:rsidR="00D921F3">
        <w:rPr>
          <w:rtl/>
          <w:lang w:bidi="ar-SY"/>
        </w:rPr>
        <w:t>في المقابل</w:t>
      </w:r>
      <w:r w:rsidR="00D921F3" w:rsidRPr="00D921F3">
        <w:rPr>
          <w:rtl/>
          <w:lang w:bidi="ar-SY"/>
        </w:rPr>
        <w:t xml:space="preserve">، لا تتضمن </w:t>
      </w:r>
      <w:r w:rsidR="00D921F3">
        <w:rPr>
          <w:rFonts w:hint="cs"/>
          <w:rtl/>
          <w:lang w:bidi="ar-SY"/>
        </w:rPr>
        <w:t>بنود</w:t>
      </w:r>
      <w:r w:rsidR="00D921F3" w:rsidRPr="00D921F3">
        <w:rPr>
          <w:rtl/>
          <w:lang w:bidi="ar-SY"/>
        </w:rPr>
        <w:t xml:space="preserve"> </w:t>
      </w:r>
      <w:r w:rsidR="004F3E50">
        <w:rPr>
          <w:rFonts w:hint="cs"/>
          <w:rtl/>
          <w:lang w:val="fr-CH" w:bidi="ar-SY"/>
        </w:rPr>
        <w:t xml:space="preserve">الاستخدام المنصف </w:t>
      </w:r>
      <w:r w:rsidR="00D921F3" w:rsidRPr="00D921F3">
        <w:rPr>
          <w:rtl/>
          <w:lang w:bidi="ar-SY"/>
        </w:rPr>
        <w:t>قوائ</w:t>
      </w:r>
      <w:r w:rsidR="00D921F3">
        <w:rPr>
          <w:rtl/>
          <w:lang w:bidi="ar-SY"/>
        </w:rPr>
        <w:t>م شاملة للاستخدامات المسموح بها</w:t>
      </w:r>
      <w:r w:rsidR="00D921F3" w:rsidRPr="00D921F3">
        <w:rPr>
          <w:rtl/>
          <w:lang w:bidi="ar-SY"/>
        </w:rPr>
        <w:t xml:space="preserve">، وتتضمن </w:t>
      </w:r>
      <w:r w:rsidR="00D921F3" w:rsidRPr="00D921F3">
        <w:rPr>
          <w:rtl/>
          <w:lang w:bidi="ar-SY"/>
        </w:rPr>
        <w:lastRenderedPageBreak/>
        <w:t xml:space="preserve">ببساطة قائمة غير شاملة أو </w:t>
      </w:r>
      <w:r w:rsidR="00EC5117">
        <w:rPr>
          <w:rFonts w:hint="cs"/>
          <w:rtl/>
          <w:lang w:bidi="ar-SY"/>
        </w:rPr>
        <w:t xml:space="preserve">قائمة </w:t>
      </w:r>
      <w:r w:rsidR="00D921F3" w:rsidRPr="00D921F3">
        <w:rPr>
          <w:rtl/>
          <w:lang w:bidi="ar-SY"/>
        </w:rPr>
        <w:t xml:space="preserve">إيضاحية. </w:t>
      </w:r>
      <w:r w:rsidR="00D921F3">
        <w:rPr>
          <w:rFonts w:hint="cs"/>
          <w:rtl/>
          <w:lang w:bidi="ar-SY"/>
        </w:rPr>
        <w:t>و</w:t>
      </w:r>
      <w:r w:rsidR="00D921F3" w:rsidRPr="00D921F3">
        <w:rPr>
          <w:rtl/>
          <w:lang w:bidi="ar-SY"/>
        </w:rPr>
        <w:t xml:space="preserve">هذا الانفتاح هو الذي يسهل </w:t>
      </w:r>
      <w:r w:rsidR="00D921F3">
        <w:rPr>
          <w:rFonts w:hint="cs"/>
          <w:rtl/>
          <w:lang w:bidi="ar-SY"/>
        </w:rPr>
        <w:t xml:space="preserve">إعداد </w:t>
      </w:r>
      <w:r w:rsidR="00EC5117">
        <w:rPr>
          <w:rFonts w:hint="cs"/>
          <w:rtl/>
          <w:lang w:bidi="ar-SY"/>
        </w:rPr>
        <w:t>أنساق ميسّرة لفائدة</w:t>
      </w:r>
      <w:r w:rsidR="00EC5117">
        <w:rPr>
          <w:rtl/>
          <w:lang w:bidi="ar-SY"/>
        </w:rPr>
        <w:t xml:space="preserve"> </w:t>
      </w:r>
      <w:r w:rsidR="00EC5117">
        <w:rPr>
          <w:rFonts w:hint="cs"/>
          <w:rtl/>
          <w:lang w:bidi="ar-SY"/>
        </w:rPr>
        <w:t>ا</w:t>
      </w:r>
      <w:r w:rsidR="00D921F3">
        <w:rPr>
          <w:rtl/>
          <w:lang w:bidi="ar-SY"/>
        </w:rPr>
        <w:t>لأشخاص ذوي الإعاق</w:t>
      </w:r>
      <w:r w:rsidR="00D921F3">
        <w:rPr>
          <w:rFonts w:hint="cs"/>
          <w:rtl/>
          <w:lang w:bidi="ar-SY"/>
        </w:rPr>
        <w:t>ات</w:t>
      </w:r>
      <w:r w:rsidR="00D921F3" w:rsidRPr="00D921F3">
        <w:rPr>
          <w:rtl/>
          <w:lang w:bidi="ar-SY"/>
        </w:rPr>
        <w:t>.</w:t>
      </w:r>
    </w:p>
    <w:p w:rsidR="00D921F3" w:rsidRDefault="00D921F3" w:rsidP="00D158D5">
      <w:pPr>
        <w:pStyle w:val="BodyText"/>
        <w:rPr>
          <w:rtl/>
          <w:lang w:bidi="ar-SY"/>
        </w:rPr>
      </w:pPr>
      <w:r>
        <w:rPr>
          <w:rFonts w:hint="cs"/>
          <w:rtl/>
          <w:lang w:bidi="ar-SY"/>
        </w:rPr>
        <w:t>و</w:t>
      </w:r>
      <w:r>
        <w:rPr>
          <w:rtl/>
          <w:lang w:bidi="ar-SY"/>
        </w:rPr>
        <w:t>في بعض الحالات</w:t>
      </w:r>
      <w:r w:rsidRPr="00D921F3">
        <w:rPr>
          <w:rtl/>
          <w:lang w:bidi="ar-SY"/>
        </w:rPr>
        <w:t xml:space="preserve">، </w:t>
      </w:r>
      <w:r w:rsidR="00D51348">
        <w:rPr>
          <w:rFonts w:hint="cs"/>
          <w:rtl/>
          <w:lang w:bidi="ar-SY"/>
        </w:rPr>
        <w:t>تصاغ</w:t>
      </w:r>
      <w:r w:rsidRPr="00D921F3">
        <w:rPr>
          <w:rtl/>
          <w:lang w:bidi="ar-SY"/>
        </w:rPr>
        <w:t xml:space="preserve"> </w:t>
      </w:r>
      <w:r>
        <w:rPr>
          <w:rFonts w:hint="cs"/>
          <w:rtl/>
          <w:lang w:bidi="ar-SY"/>
        </w:rPr>
        <w:t>بنود</w:t>
      </w:r>
      <w:r w:rsidRPr="00D921F3">
        <w:rPr>
          <w:rtl/>
          <w:lang w:bidi="ar-SY"/>
        </w:rPr>
        <w:t xml:space="preserve"> </w:t>
      </w:r>
      <w:r w:rsidR="004F3E50">
        <w:rPr>
          <w:rFonts w:hint="cs"/>
          <w:rtl/>
          <w:lang w:val="fr-CH" w:bidi="ar-SY"/>
        </w:rPr>
        <w:t xml:space="preserve">الاستخدام المنصف </w:t>
      </w:r>
      <w:r w:rsidRPr="00D921F3">
        <w:rPr>
          <w:rtl/>
          <w:lang w:bidi="ar-SY"/>
        </w:rPr>
        <w:t>بطريقة تجعلها مفتوح</w:t>
      </w:r>
      <w:r>
        <w:rPr>
          <w:rtl/>
          <w:lang w:bidi="ar-SY"/>
        </w:rPr>
        <w:t xml:space="preserve">ة لأي غرض. </w:t>
      </w:r>
      <w:r>
        <w:rPr>
          <w:rFonts w:hint="cs"/>
          <w:rtl/>
          <w:lang w:bidi="ar-SY"/>
        </w:rPr>
        <w:t>و</w:t>
      </w:r>
      <w:r>
        <w:rPr>
          <w:rtl/>
          <w:lang w:bidi="ar-SY"/>
        </w:rPr>
        <w:t>حيثما كان الأمر كذلك</w:t>
      </w:r>
      <w:r w:rsidRPr="00D921F3">
        <w:rPr>
          <w:rtl/>
          <w:lang w:bidi="ar-SY"/>
        </w:rPr>
        <w:t xml:space="preserve">، </w:t>
      </w:r>
      <w:r>
        <w:rPr>
          <w:rFonts w:hint="cs"/>
          <w:rtl/>
          <w:lang w:bidi="ar-SY"/>
        </w:rPr>
        <w:t xml:space="preserve">يُشار </w:t>
      </w:r>
      <w:r w:rsidRPr="00D921F3">
        <w:rPr>
          <w:rtl/>
          <w:lang w:bidi="ar-SY"/>
        </w:rPr>
        <w:t xml:space="preserve">إليها في </w:t>
      </w:r>
      <w:r w:rsidR="00D51348">
        <w:rPr>
          <w:rFonts w:hint="cs"/>
          <w:rtl/>
          <w:lang w:bidi="ar-SY"/>
        </w:rPr>
        <w:t xml:space="preserve">الجدول التلخيصي </w:t>
      </w:r>
      <w:r w:rsidRPr="00D921F3">
        <w:rPr>
          <w:rtl/>
          <w:lang w:bidi="ar-SY"/>
        </w:rPr>
        <w:t xml:space="preserve">لنتائج </w:t>
      </w:r>
      <w:r w:rsidR="00D51348">
        <w:rPr>
          <w:rFonts w:hint="cs"/>
          <w:rtl/>
          <w:lang w:bidi="ar-SY"/>
        </w:rPr>
        <w:t xml:space="preserve">الدراسة </w:t>
      </w:r>
      <w:r w:rsidRPr="00D921F3">
        <w:rPr>
          <w:rtl/>
          <w:lang w:bidi="ar-SY"/>
        </w:rPr>
        <w:t>و</w:t>
      </w:r>
      <w:r w:rsidR="00D51348">
        <w:rPr>
          <w:rFonts w:hint="cs"/>
          <w:rtl/>
          <w:lang w:bidi="ar-SY"/>
        </w:rPr>
        <w:t xml:space="preserve">في </w:t>
      </w:r>
      <w:r w:rsidRPr="00D921F3">
        <w:rPr>
          <w:rtl/>
          <w:lang w:bidi="ar-SY"/>
        </w:rPr>
        <w:t xml:space="preserve">الجدول </w:t>
      </w:r>
      <w:r w:rsidR="00D51348">
        <w:rPr>
          <w:rFonts w:hint="cs"/>
          <w:rtl/>
          <w:lang w:bidi="ar-SY"/>
        </w:rPr>
        <w:t>المخصص لل</w:t>
      </w:r>
      <w:r w:rsidRPr="00D921F3">
        <w:rPr>
          <w:rtl/>
          <w:lang w:bidi="ar-SY"/>
        </w:rPr>
        <w:t xml:space="preserve">دولة </w:t>
      </w:r>
      <w:r w:rsidR="00D51348">
        <w:rPr>
          <w:rFonts w:hint="cs"/>
          <w:rtl/>
          <w:lang w:bidi="ar-SY"/>
        </w:rPr>
        <w:t xml:space="preserve">المعنية من بين الدول الأعضاء </w:t>
      </w:r>
      <w:r w:rsidRPr="00D921F3">
        <w:rPr>
          <w:rtl/>
          <w:lang w:bidi="ar-SY"/>
        </w:rPr>
        <w:t>في الويبو.</w:t>
      </w:r>
    </w:p>
    <w:p w:rsidR="00D921F3" w:rsidRPr="00D921F3" w:rsidRDefault="00D921F3" w:rsidP="00D51348">
      <w:pPr>
        <w:pStyle w:val="Heading4"/>
        <w:rPr>
          <w:rtl/>
          <w:lang w:bidi="ar-SY"/>
        </w:rPr>
      </w:pPr>
      <w:r w:rsidRPr="00D921F3">
        <w:rPr>
          <w:rFonts w:hint="cs"/>
          <w:rtl/>
          <w:lang w:bidi="ar-SY"/>
        </w:rPr>
        <w:t>الأحكام العامة</w:t>
      </w:r>
    </w:p>
    <w:p w:rsidR="00D921F3" w:rsidRDefault="00547D5C" w:rsidP="00D158D5">
      <w:pPr>
        <w:pStyle w:val="BodyText"/>
        <w:rPr>
          <w:rtl/>
          <w:lang w:bidi="ar-SY"/>
        </w:rPr>
      </w:pPr>
      <w:r w:rsidRPr="00547D5C">
        <w:rPr>
          <w:rtl/>
          <w:lang w:bidi="ar-SY"/>
        </w:rPr>
        <w:t>الأحكام العامة هي أيضا</w:t>
      </w:r>
      <w:r w:rsidR="00EC5117">
        <w:rPr>
          <w:rFonts w:hint="cs"/>
          <w:rtl/>
          <w:lang w:bidi="ar-SY"/>
        </w:rPr>
        <w:t>ً</w:t>
      </w:r>
      <w:r w:rsidRPr="00547D5C">
        <w:rPr>
          <w:rtl/>
          <w:lang w:bidi="ar-SY"/>
        </w:rPr>
        <w:t xml:space="preserve"> </w:t>
      </w:r>
      <w:r>
        <w:rPr>
          <w:rFonts w:hint="cs"/>
          <w:rtl/>
          <w:lang w:bidi="ar-SY"/>
        </w:rPr>
        <w:t>وجيه</w:t>
      </w:r>
      <w:r w:rsidR="00EC5117">
        <w:rPr>
          <w:rFonts w:hint="cs"/>
          <w:rtl/>
          <w:lang w:bidi="ar-SY"/>
        </w:rPr>
        <w:t>ة</w:t>
      </w:r>
      <w:r w:rsidRPr="00547D5C">
        <w:rPr>
          <w:rtl/>
          <w:lang w:bidi="ar-SY"/>
        </w:rPr>
        <w:t xml:space="preserve"> بالقدر الذي تسهل فيه </w:t>
      </w:r>
      <w:r>
        <w:rPr>
          <w:rFonts w:hint="cs"/>
          <w:rtl/>
          <w:lang w:bidi="ar-SY"/>
        </w:rPr>
        <w:t xml:space="preserve">إعداد </w:t>
      </w:r>
      <w:r w:rsidR="00EC5117">
        <w:rPr>
          <w:rFonts w:hint="cs"/>
          <w:rtl/>
          <w:lang w:bidi="ar-SY"/>
        </w:rPr>
        <w:t>أنساق ميسّرة</w:t>
      </w:r>
      <w:r w:rsidRPr="00547D5C">
        <w:rPr>
          <w:rtl/>
          <w:lang w:bidi="ar-SY"/>
        </w:rPr>
        <w:t xml:space="preserve">. </w:t>
      </w:r>
      <w:r>
        <w:rPr>
          <w:rFonts w:hint="cs"/>
          <w:rtl/>
          <w:lang w:bidi="ar-SY"/>
        </w:rPr>
        <w:t>و</w:t>
      </w:r>
      <w:r w:rsidRPr="00547D5C">
        <w:rPr>
          <w:rtl/>
          <w:lang w:bidi="ar-SY"/>
        </w:rPr>
        <w:t xml:space="preserve">على سبيل </w:t>
      </w:r>
      <w:r>
        <w:rPr>
          <w:rtl/>
          <w:lang w:bidi="ar-SY"/>
        </w:rPr>
        <w:t>المثال</w:t>
      </w:r>
      <w:r w:rsidRPr="00547D5C">
        <w:rPr>
          <w:rtl/>
          <w:lang w:bidi="ar-SY"/>
        </w:rPr>
        <w:t xml:space="preserve">، أكدت محاكم الولايات المتحدة أن </w:t>
      </w:r>
      <w:r>
        <w:rPr>
          <w:rFonts w:hint="cs"/>
          <w:rtl/>
          <w:lang w:bidi="ar-SY"/>
        </w:rPr>
        <w:t>بند</w:t>
      </w:r>
      <w:r w:rsidRPr="00547D5C">
        <w:rPr>
          <w:rtl/>
          <w:lang w:bidi="ar-SY"/>
        </w:rPr>
        <w:t xml:space="preserve"> </w:t>
      </w:r>
      <w:r w:rsidR="004F3E50">
        <w:rPr>
          <w:rFonts w:hint="cs"/>
          <w:rtl/>
          <w:lang w:val="fr-CH" w:bidi="ar-SY"/>
        </w:rPr>
        <w:t xml:space="preserve">الاستخدام المنصف </w:t>
      </w:r>
      <w:r w:rsidRPr="00547D5C">
        <w:rPr>
          <w:rtl/>
          <w:lang w:bidi="ar-SY"/>
        </w:rPr>
        <w:t xml:space="preserve">يسمح </w:t>
      </w:r>
      <w:r>
        <w:rPr>
          <w:rFonts w:hint="cs"/>
          <w:rtl/>
          <w:lang w:bidi="ar-SY"/>
        </w:rPr>
        <w:t>بإعداد</w:t>
      </w:r>
      <w:r w:rsidRPr="00547D5C">
        <w:rPr>
          <w:rtl/>
          <w:lang w:bidi="ar-SY"/>
        </w:rPr>
        <w:t xml:space="preserve"> نسخ </w:t>
      </w:r>
      <w:r w:rsidR="00EC5117">
        <w:rPr>
          <w:rFonts w:hint="cs"/>
          <w:rtl/>
          <w:lang w:bidi="ar-SY"/>
        </w:rPr>
        <w:t>بأنساق ميسّرة لفائدة</w:t>
      </w:r>
      <w:r w:rsidR="00EC5117">
        <w:rPr>
          <w:rtl/>
          <w:lang w:bidi="ar-SY"/>
        </w:rPr>
        <w:t xml:space="preserve"> </w:t>
      </w:r>
      <w:r w:rsidR="00EC5117">
        <w:rPr>
          <w:rFonts w:hint="cs"/>
          <w:rtl/>
          <w:lang w:bidi="ar-SY"/>
        </w:rPr>
        <w:t>ا</w:t>
      </w:r>
      <w:r w:rsidRPr="00547D5C">
        <w:rPr>
          <w:rtl/>
          <w:lang w:bidi="ar-SY"/>
        </w:rPr>
        <w:t>لأشخاص ذوي الإعاقات البصرية</w:t>
      </w:r>
      <w:r>
        <w:rPr>
          <w:rStyle w:val="FootnoteReference"/>
          <w:rtl/>
          <w:lang w:bidi="ar-SY"/>
        </w:rPr>
        <w:footnoteReference w:id="29"/>
      </w:r>
      <w:r w:rsidRPr="00547D5C">
        <w:rPr>
          <w:rtl/>
          <w:lang w:bidi="ar-SY"/>
        </w:rPr>
        <w:t xml:space="preserve">. </w:t>
      </w:r>
      <w:r>
        <w:rPr>
          <w:rFonts w:hint="cs"/>
          <w:rtl/>
          <w:lang w:bidi="ar-SY"/>
        </w:rPr>
        <w:t>و</w:t>
      </w:r>
      <w:r w:rsidRPr="00547D5C">
        <w:rPr>
          <w:rtl/>
          <w:lang w:bidi="ar-SY"/>
        </w:rPr>
        <w:t>لا يوجد ما يوحي بأن الإعاقات الأخرى مستبعدة.</w:t>
      </w:r>
    </w:p>
    <w:p w:rsidR="00D921F3" w:rsidRPr="00547D5C" w:rsidRDefault="00EC5117" w:rsidP="00D158D5">
      <w:pPr>
        <w:pStyle w:val="WIPOBodyStyle"/>
        <w:bidi/>
        <w:spacing w:before="200" w:after="0" w:line="240" w:lineRule="auto"/>
        <w:rPr>
          <w:rFonts w:ascii="Arabic Typesetting" w:hAnsi="Arabic Typesetting" w:cs="Arabic Typesetting"/>
          <w:sz w:val="36"/>
          <w:szCs w:val="36"/>
          <w:rtl/>
          <w:lang w:val="fr-CH" w:bidi="ar-SY"/>
        </w:rPr>
      </w:pPr>
      <w:r>
        <w:rPr>
          <w:rFonts w:ascii="Arabic Typesetting" w:hAnsi="Arabic Typesetting" w:cs="Arabic Typesetting"/>
          <w:sz w:val="36"/>
          <w:szCs w:val="36"/>
          <w:rtl/>
          <w:lang w:bidi="ar-SY"/>
        </w:rPr>
        <w:t xml:space="preserve">وفي </w:t>
      </w:r>
      <w:r w:rsidR="00547D5C" w:rsidRPr="00547D5C">
        <w:rPr>
          <w:rFonts w:ascii="Arabic Typesetting" w:hAnsi="Arabic Typesetting" w:cs="Arabic Typesetting"/>
          <w:sz w:val="36"/>
          <w:szCs w:val="36"/>
          <w:rtl/>
          <w:lang w:bidi="ar-SY"/>
        </w:rPr>
        <w:t xml:space="preserve">قضية </w:t>
      </w:r>
      <w:r w:rsidR="00547D5C" w:rsidRPr="00547D5C">
        <w:rPr>
          <w:rFonts w:ascii="Arabic Typesetting" w:hAnsi="Arabic Typesetting" w:cs="Arabic Typesetting"/>
          <w:i/>
          <w:sz w:val="36"/>
          <w:szCs w:val="36"/>
        </w:rPr>
        <w:t>Authors Guild</w:t>
      </w:r>
      <w:r w:rsidR="00547D5C" w:rsidRPr="00547D5C">
        <w:rPr>
          <w:rFonts w:ascii="Arabic Typesetting" w:hAnsi="Arabic Typesetting" w:cs="Arabic Typesetting"/>
          <w:i/>
          <w:sz w:val="36"/>
          <w:szCs w:val="36"/>
          <w:rtl/>
        </w:rPr>
        <w:t xml:space="preserve"> </w:t>
      </w:r>
      <w:r w:rsidR="00D51348">
        <w:rPr>
          <w:rFonts w:ascii="Arabic Typesetting" w:hAnsi="Arabic Typesetting" w:cs="Arabic Typesetting" w:hint="cs"/>
          <w:i/>
          <w:sz w:val="36"/>
          <w:szCs w:val="36"/>
          <w:rtl/>
        </w:rPr>
        <w:t xml:space="preserve">ضدّ </w:t>
      </w:r>
      <w:proofErr w:type="spellStart"/>
      <w:r w:rsidR="00547D5C">
        <w:rPr>
          <w:rFonts w:ascii="Arabic Typesetting" w:hAnsi="Arabic Typesetting" w:cs="Arabic Typesetting"/>
          <w:i/>
          <w:sz w:val="36"/>
          <w:szCs w:val="36"/>
        </w:rPr>
        <w:t>HathiTru</w:t>
      </w:r>
      <w:proofErr w:type="spellEnd"/>
      <w:r w:rsidR="00547D5C">
        <w:rPr>
          <w:rFonts w:ascii="Arabic Typesetting" w:hAnsi="Arabic Typesetting" w:cs="Arabic Typesetting" w:hint="cs"/>
          <w:i/>
          <w:sz w:val="36"/>
          <w:szCs w:val="36"/>
          <w:rtl/>
        </w:rPr>
        <w:t xml:space="preserve">، </w:t>
      </w:r>
      <w:r w:rsidR="00547D5C" w:rsidRPr="00547D5C">
        <w:rPr>
          <w:rFonts w:ascii="Arabic Typesetting" w:hAnsi="Arabic Typesetting" w:cs="Arabic Typesetting"/>
          <w:i/>
          <w:sz w:val="36"/>
          <w:szCs w:val="36"/>
          <w:rtl/>
        </w:rPr>
        <w:t>ر</w:t>
      </w:r>
      <w:r>
        <w:rPr>
          <w:rFonts w:ascii="Arabic Typesetting" w:hAnsi="Arabic Typesetting" w:cs="Arabic Typesetting"/>
          <w:i/>
          <w:sz w:val="36"/>
          <w:szCs w:val="36"/>
          <w:rtl/>
        </w:rPr>
        <w:t xml:space="preserve">أت المحكمة أن منح الأشخاص ذوي </w:t>
      </w:r>
      <w:r w:rsidR="00547D5C" w:rsidRPr="00547D5C">
        <w:rPr>
          <w:rFonts w:ascii="Arabic Typesetting" w:hAnsi="Arabic Typesetting" w:cs="Arabic Typesetting"/>
          <w:i/>
          <w:sz w:val="36"/>
          <w:szCs w:val="36"/>
          <w:rtl/>
        </w:rPr>
        <w:t xml:space="preserve">إعاقة </w:t>
      </w:r>
      <w:r>
        <w:rPr>
          <w:rFonts w:ascii="Arabic Typesetting" w:hAnsi="Arabic Typesetting" w:cs="Arabic Typesetting" w:hint="cs"/>
          <w:i/>
          <w:sz w:val="36"/>
          <w:szCs w:val="36"/>
          <w:rtl/>
        </w:rPr>
        <w:t xml:space="preserve">في قراءة </w:t>
      </w:r>
      <w:r w:rsidR="00E86E31">
        <w:rPr>
          <w:rFonts w:ascii="Arabic Typesetting" w:hAnsi="Arabic Typesetting" w:cs="Arabic Typesetting"/>
          <w:i/>
          <w:sz w:val="36"/>
          <w:szCs w:val="36"/>
          <w:rtl/>
        </w:rPr>
        <w:t>المطبوع</w:t>
      </w:r>
      <w:r w:rsidR="00E86E31">
        <w:rPr>
          <w:rFonts w:ascii="Arabic Typesetting" w:hAnsi="Arabic Typesetting" w:cs="Arabic Typesetting" w:hint="cs"/>
          <w:i/>
          <w:sz w:val="36"/>
          <w:szCs w:val="36"/>
          <w:rtl/>
        </w:rPr>
        <w:t>ات</w:t>
      </w:r>
      <w:r w:rsidR="00547D5C" w:rsidRPr="00547D5C">
        <w:rPr>
          <w:rFonts w:ascii="Arabic Typesetting" w:hAnsi="Arabic Typesetting" w:cs="Arabic Typesetting"/>
          <w:i/>
          <w:sz w:val="36"/>
          <w:szCs w:val="36"/>
          <w:rtl/>
        </w:rPr>
        <w:t xml:space="preserve"> إمكانية </w:t>
      </w:r>
      <w:r w:rsidR="00E86E31">
        <w:rPr>
          <w:rFonts w:ascii="Arabic Typesetting" w:hAnsi="Arabic Typesetting" w:cs="Arabic Typesetting" w:hint="cs"/>
          <w:i/>
          <w:sz w:val="36"/>
          <w:szCs w:val="36"/>
          <w:rtl/>
        </w:rPr>
        <w:t>النفاذ</w:t>
      </w:r>
      <w:r w:rsidR="00547D5C" w:rsidRPr="00547D5C">
        <w:rPr>
          <w:rFonts w:ascii="Arabic Typesetting" w:hAnsi="Arabic Typesetting" w:cs="Arabic Typesetting"/>
          <w:i/>
          <w:sz w:val="36"/>
          <w:szCs w:val="36"/>
          <w:rtl/>
        </w:rPr>
        <w:t xml:space="preserve"> إلى نسخ رقمية من مجموعات الجامعات سيشكل استخداماً مسموحاً به بموجب مبدأ</w:t>
      </w:r>
      <w:r w:rsidR="004F3E50">
        <w:rPr>
          <w:rFonts w:ascii="Arabic Typesetting" w:hAnsi="Arabic Typesetting" w:cs="Arabic Typesetting" w:hint="cs"/>
          <w:i/>
          <w:sz w:val="36"/>
          <w:szCs w:val="36"/>
          <w:rtl/>
        </w:rPr>
        <w:t xml:space="preserve"> </w:t>
      </w:r>
      <w:r w:rsidR="004F3E50" w:rsidRPr="004F3E50">
        <w:rPr>
          <w:rFonts w:ascii="Arabic Typesetting" w:hAnsi="Arabic Typesetting" w:cs="Arabic Typesetting"/>
          <w:i/>
          <w:sz w:val="36"/>
          <w:szCs w:val="36"/>
          <w:rtl/>
        </w:rPr>
        <w:t>الاستخدام المنصف</w:t>
      </w:r>
      <w:r w:rsidR="00E86E31">
        <w:rPr>
          <w:rStyle w:val="FootnoteReference"/>
          <w:i/>
          <w:rtl/>
        </w:rPr>
        <w:footnoteReference w:id="30"/>
      </w:r>
      <w:r w:rsidR="00547D5C" w:rsidRPr="00547D5C">
        <w:rPr>
          <w:rFonts w:ascii="Arabic Typesetting" w:hAnsi="Arabic Typesetting" w:cs="Arabic Typesetting"/>
          <w:i/>
          <w:sz w:val="36"/>
          <w:szCs w:val="36"/>
          <w:rtl/>
        </w:rPr>
        <w:t>.</w:t>
      </w:r>
    </w:p>
    <w:p w:rsidR="00D921F3" w:rsidRDefault="00E86E31" w:rsidP="00D158D5">
      <w:pPr>
        <w:pStyle w:val="BodyText"/>
        <w:rPr>
          <w:rtl/>
          <w:lang w:bidi="ar-SY"/>
        </w:rPr>
      </w:pPr>
      <w:r>
        <w:rPr>
          <w:rFonts w:hint="cs"/>
          <w:rtl/>
          <w:lang w:bidi="ar-SY"/>
        </w:rPr>
        <w:t>و</w:t>
      </w:r>
      <w:r w:rsidRPr="00E86E31">
        <w:rPr>
          <w:rtl/>
          <w:lang w:bidi="ar-SY"/>
        </w:rPr>
        <w:t xml:space="preserve">مثال آخر هو حكم </w:t>
      </w:r>
      <w:r w:rsidR="004F3E50">
        <w:rPr>
          <w:rFonts w:hint="cs"/>
          <w:rtl/>
          <w:lang w:val="fr-CH" w:bidi="ar-SY"/>
        </w:rPr>
        <w:t>الاستخدام المنصف</w:t>
      </w:r>
      <w:r w:rsidR="00EC5117">
        <w:rPr>
          <w:rFonts w:hint="cs"/>
          <w:rtl/>
          <w:lang w:bidi="ar-SY"/>
        </w:rPr>
        <w:t xml:space="preserve"> الوارد</w:t>
      </w:r>
      <w:r w:rsidRPr="00E86E31">
        <w:rPr>
          <w:rtl/>
          <w:lang w:bidi="ar-SY"/>
        </w:rPr>
        <w:t xml:space="preserve"> في</w:t>
      </w:r>
      <w:r w:rsidR="00D51348">
        <w:rPr>
          <w:rFonts w:hint="cs"/>
          <w:rtl/>
          <w:lang w:bidi="ar-SY"/>
        </w:rPr>
        <w:t xml:space="preserve"> فقرتي</w:t>
      </w:r>
      <w:r w:rsidRPr="00E86E31">
        <w:rPr>
          <w:rtl/>
          <w:lang w:bidi="ar-SY"/>
        </w:rPr>
        <w:t xml:space="preserve"> </w:t>
      </w:r>
      <w:r w:rsidR="00D51348">
        <w:rPr>
          <w:rFonts w:hint="cs"/>
          <w:rtl/>
          <w:lang w:bidi="ar-SY"/>
        </w:rPr>
        <w:t>المادة</w:t>
      </w:r>
      <w:r w:rsidRPr="00E86E31">
        <w:rPr>
          <w:rtl/>
          <w:lang w:bidi="ar-SY"/>
        </w:rPr>
        <w:t xml:space="preserve"> 11 (1) - (2) من </w:t>
      </w:r>
      <w:r w:rsidR="00EC5117">
        <w:rPr>
          <w:rFonts w:hint="cs"/>
          <w:rtl/>
          <w:lang w:bidi="ar-SY"/>
        </w:rPr>
        <w:t>ال</w:t>
      </w:r>
      <w:r w:rsidRPr="00E86E31">
        <w:rPr>
          <w:rtl/>
          <w:lang w:bidi="ar-SY"/>
        </w:rPr>
        <w:t>قا</w:t>
      </w:r>
      <w:r>
        <w:rPr>
          <w:rtl/>
          <w:lang w:bidi="ar-SY"/>
        </w:rPr>
        <w:t xml:space="preserve">نون </w:t>
      </w:r>
      <w:r w:rsidR="00EC5117">
        <w:rPr>
          <w:rFonts w:hint="cs"/>
          <w:rtl/>
          <w:lang w:bidi="ar-SY"/>
        </w:rPr>
        <w:t>ال</w:t>
      </w:r>
      <w:r w:rsidR="00EC5117">
        <w:rPr>
          <w:rtl/>
          <w:lang w:bidi="ar-SY"/>
        </w:rPr>
        <w:t>سري</w:t>
      </w:r>
      <w:r w:rsidR="00EC5117">
        <w:rPr>
          <w:rFonts w:hint="cs"/>
          <w:rtl/>
          <w:lang w:bidi="ar-SY"/>
        </w:rPr>
        <w:t xml:space="preserve"> </w:t>
      </w:r>
      <w:r w:rsidR="00EC5117">
        <w:rPr>
          <w:rtl/>
          <w:lang w:bidi="ar-SY"/>
        </w:rPr>
        <w:t>لانك</w:t>
      </w:r>
      <w:r w:rsidR="00EC5117">
        <w:rPr>
          <w:rFonts w:hint="cs"/>
          <w:rtl/>
          <w:lang w:bidi="ar-SY"/>
        </w:rPr>
        <w:t>ي</w:t>
      </w:r>
      <w:r w:rsidR="00EC5117">
        <w:rPr>
          <w:rtl/>
          <w:lang w:bidi="ar-SY"/>
        </w:rPr>
        <w:t xml:space="preserve"> </w:t>
      </w:r>
      <w:r w:rsidR="00EC5117">
        <w:rPr>
          <w:rFonts w:hint="cs"/>
          <w:rtl/>
          <w:lang w:bidi="ar-SY"/>
        </w:rPr>
        <w:t>ل</w:t>
      </w:r>
      <w:r w:rsidR="00EC5117">
        <w:rPr>
          <w:rtl/>
          <w:lang w:bidi="ar-SY"/>
        </w:rPr>
        <w:t>لملكية الفكرية</w:t>
      </w:r>
      <w:r>
        <w:rPr>
          <w:rtl/>
          <w:lang w:bidi="ar-SY"/>
        </w:rPr>
        <w:t xml:space="preserve"> رقم 36 </w:t>
      </w:r>
      <w:r w:rsidR="00EC5117">
        <w:rPr>
          <w:rFonts w:hint="cs"/>
          <w:rtl/>
          <w:lang w:bidi="ar-SY"/>
        </w:rPr>
        <w:t xml:space="preserve">الصادر في </w:t>
      </w:r>
      <w:r>
        <w:rPr>
          <w:rtl/>
          <w:lang w:bidi="ar-SY"/>
        </w:rPr>
        <w:t>عام 2003</w:t>
      </w:r>
      <w:r w:rsidRPr="00E86E31">
        <w:rPr>
          <w:rtl/>
          <w:lang w:bidi="ar-SY"/>
        </w:rPr>
        <w:t xml:space="preserve">، والذي يتيح </w:t>
      </w:r>
      <w:r>
        <w:rPr>
          <w:rFonts w:hint="cs"/>
          <w:rtl/>
          <w:lang w:bidi="ar-SY"/>
        </w:rPr>
        <w:t>إعداد</w:t>
      </w:r>
      <w:r w:rsidRPr="00E86E31">
        <w:rPr>
          <w:rtl/>
          <w:lang w:bidi="ar-SY"/>
        </w:rPr>
        <w:t xml:space="preserve"> نسخ </w:t>
      </w:r>
      <w:r w:rsidR="00EC5117">
        <w:rPr>
          <w:rFonts w:hint="cs"/>
          <w:rtl/>
          <w:lang w:bidi="ar-SY"/>
        </w:rPr>
        <w:t>بأنساق ميسّرة</w:t>
      </w:r>
      <w:r w:rsidRPr="00E86E31">
        <w:rPr>
          <w:rtl/>
          <w:lang w:bidi="ar-SY"/>
        </w:rPr>
        <w:t xml:space="preserve"> ل</w:t>
      </w:r>
      <w:r>
        <w:rPr>
          <w:rtl/>
          <w:lang w:bidi="ar-SY"/>
        </w:rPr>
        <w:t>فائدة الأشخاص ذوي الإعاق</w:t>
      </w:r>
      <w:r>
        <w:rPr>
          <w:rFonts w:hint="cs"/>
          <w:rtl/>
          <w:lang w:bidi="ar-SY"/>
        </w:rPr>
        <w:t>ات</w:t>
      </w:r>
      <w:r>
        <w:rPr>
          <w:rtl/>
          <w:lang w:bidi="ar-SY"/>
        </w:rPr>
        <w:t xml:space="preserve"> لأنه</w:t>
      </w:r>
      <w:r>
        <w:rPr>
          <w:rFonts w:hint="cs"/>
          <w:rtl/>
          <w:lang w:bidi="ar-SY"/>
        </w:rPr>
        <w:t>ما</w:t>
      </w:r>
      <w:r>
        <w:rPr>
          <w:rtl/>
          <w:lang w:bidi="ar-SY"/>
        </w:rPr>
        <w:t xml:space="preserve"> صيغ</w:t>
      </w:r>
      <w:r w:rsidR="00D51348">
        <w:rPr>
          <w:rFonts w:hint="cs"/>
          <w:rtl/>
          <w:lang w:bidi="ar-SY"/>
        </w:rPr>
        <w:t>ت</w:t>
      </w:r>
      <w:r>
        <w:rPr>
          <w:rFonts w:hint="cs"/>
          <w:rtl/>
          <w:lang w:bidi="ar-SY"/>
        </w:rPr>
        <w:t>ا</w:t>
      </w:r>
      <w:r>
        <w:rPr>
          <w:rtl/>
          <w:lang w:bidi="ar-SY"/>
        </w:rPr>
        <w:t xml:space="preserve"> على نطاق واسع ولا </w:t>
      </w:r>
      <w:r w:rsidR="00D51348">
        <w:rPr>
          <w:rFonts w:hint="cs"/>
          <w:rtl/>
          <w:lang w:bidi="ar-SY"/>
        </w:rPr>
        <w:t>ت</w:t>
      </w:r>
      <w:r w:rsidRPr="00E86E31">
        <w:rPr>
          <w:rtl/>
          <w:lang w:bidi="ar-SY"/>
        </w:rPr>
        <w:t>حتوي</w:t>
      </w:r>
      <w:r>
        <w:rPr>
          <w:rFonts w:hint="cs"/>
          <w:rtl/>
          <w:lang w:bidi="ar-SY"/>
        </w:rPr>
        <w:t>ان</w:t>
      </w:r>
      <w:r w:rsidRPr="00E86E31">
        <w:rPr>
          <w:rtl/>
          <w:lang w:bidi="ar-SY"/>
        </w:rPr>
        <w:t xml:space="preserve"> على قائمة شاملة بالاستخدامات المسموح بها.</w:t>
      </w:r>
    </w:p>
    <w:p w:rsidR="00E86E31" w:rsidRDefault="00E86E31" w:rsidP="00D158D5">
      <w:pPr>
        <w:pStyle w:val="BodyText"/>
        <w:rPr>
          <w:rtl/>
          <w:lang w:bidi="ar-SY"/>
        </w:rPr>
      </w:pPr>
      <w:r>
        <w:rPr>
          <w:rtl/>
          <w:lang w:bidi="ar-SY"/>
        </w:rPr>
        <w:t>كما تنص المادة 19 من قانون حق</w:t>
      </w:r>
      <w:r>
        <w:rPr>
          <w:rFonts w:hint="cs"/>
          <w:rtl/>
          <w:lang w:bidi="ar-SY"/>
        </w:rPr>
        <w:t xml:space="preserve"> المؤلف </w:t>
      </w:r>
      <w:r w:rsidRPr="00E86E31">
        <w:rPr>
          <w:rtl/>
          <w:lang w:bidi="ar-SY"/>
        </w:rPr>
        <w:t>الإسرائيلي لعام 2007 (بصيغته المعدلة</w:t>
      </w:r>
      <w:r>
        <w:rPr>
          <w:rStyle w:val="FootnoteReference"/>
          <w:rtl/>
          <w:lang w:bidi="ar-SY"/>
        </w:rPr>
        <w:footnoteReference w:id="31"/>
      </w:r>
      <w:r w:rsidRPr="00E86E31">
        <w:rPr>
          <w:rtl/>
          <w:lang w:bidi="ar-SY"/>
        </w:rPr>
        <w:t xml:space="preserve">) على </w:t>
      </w:r>
      <w:r w:rsidR="004F3E50">
        <w:rPr>
          <w:rFonts w:hint="cs"/>
          <w:rtl/>
          <w:lang w:val="fr-CH" w:bidi="ar-SY"/>
        </w:rPr>
        <w:t>الاستخدام المنصف</w:t>
      </w:r>
      <w:r w:rsidRPr="00E86E31">
        <w:rPr>
          <w:rtl/>
          <w:lang w:bidi="ar-SY"/>
        </w:rPr>
        <w:t>.</w:t>
      </w:r>
    </w:p>
    <w:p w:rsidR="00E86E31" w:rsidRDefault="00E86E31" w:rsidP="00D158D5">
      <w:pPr>
        <w:pStyle w:val="BodyText"/>
        <w:rPr>
          <w:rtl/>
          <w:lang w:bidi="ar-SY"/>
        </w:rPr>
      </w:pPr>
      <w:r>
        <w:rPr>
          <w:rFonts w:hint="cs"/>
          <w:rtl/>
          <w:lang w:bidi="ar-SY"/>
        </w:rPr>
        <w:t>و</w:t>
      </w:r>
      <w:r>
        <w:rPr>
          <w:rtl/>
          <w:lang w:bidi="ar-SY"/>
        </w:rPr>
        <w:t>هذا الحكم</w:t>
      </w:r>
      <w:r>
        <w:rPr>
          <w:rFonts w:hint="cs"/>
          <w:rtl/>
          <w:lang w:bidi="ar-SY"/>
        </w:rPr>
        <w:t>،</w:t>
      </w:r>
      <w:r>
        <w:rPr>
          <w:rtl/>
          <w:lang w:bidi="ar-SY"/>
        </w:rPr>
        <w:t xml:space="preserve"> كما هو الحال في الولايات المتحدة وسري</w:t>
      </w:r>
      <w:r>
        <w:rPr>
          <w:rFonts w:hint="cs"/>
          <w:rtl/>
          <w:lang w:bidi="ar-SY"/>
        </w:rPr>
        <w:t xml:space="preserve"> </w:t>
      </w:r>
      <w:r>
        <w:rPr>
          <w:rtl/>
          <w:lang w:bidi="ar-SY"/>
        </w:rPr>
        <w:t xml:space="preserve">لانكا، سيسمح بتقديم نسخ </w:t>
      </w:r>
      <w:r w:rsidR="00EC5117">
        <w:rPr>
          <w:rFonts w:hint="cs"/>
          <w:rtl/>
          <w:lang w:bidi="ar-SY"/>
        </w:rPr>
        <w:t>بأنساق ميسّرة</w:t>
      </w:r>
      <w:r>
        <w:rPr>
          <w:rtl/>
          <w:lang w:bidi="ar-SY"/>
        </w:rPr>
        <w:t xml:space="preserve">. </w:t>
      </w:r>
      <w:r>
        <w:rPr>
          <w:rFonts w:hint="cs"/>
          <w:rtl/>
          <w:lang w:bidi="ar-SY"/>
        </w:rPr>
        <w:t>وإضافة</w:t>
      </w:r>
      <w:r>
        <w:rPr>
          <w:rtl/>
          <w:lang w:bidi="ar-SY"/>
        </w:rPr>
        <w:t xml:space="preserve"> إلى ذلك، تحتوي الأقسام 28</w:t>
      </w:r>
      <w:r>
        <w:rPr>
          <w:lang w:bidi="ar-SY"/>
        </w:rPr>
        <w:t>A-E</w:t>
      </w:r>
      <w:r>
        <w:rPr>
          <w:rtl/>
          <w:lang w:bidi="ar-SY"/>
        </w:rPr>
        <w:t xml:space="preserve"> من القانون على حكم محدد ذ</w:t>
      </w:r>
      <w:r>
        <w:rPr>
          <w:rFonts w:hint="cs"/>
          <w:rtl/>
          <w:lang w:bidi="ar-SY"/>
        </w:rPr>
        <w:t>ُ</w:t>
      </w:r>
      <w:r>
        <w:rPr>
          <w:rtl/>
          <w:lang w:bidi="ar-SY"/>
        </w:rPr>
        <w:t>كر أعلاه.</w:t>
      </w:r>
      <w:r>
        <w:rPr>
          <w:rFonts w:hint="cs"/>
          <w:rtl/>
          <w:lang w:bidi="ar-SY"/>
        </w:rPr>
        <w:t xml:space="preserve"> وبالتالي</w:t>
      </w:r>
      <w:r>
        <w:rPr>
          <w:rtl/>
          <w:lang w:bidi="ar-SY"/>
        </w:rPr>
        <w:t xml:space="preserve">، </w:t>
      </w:r>
      <w:r w:rsidR="00EC5117">
        <w:rPr>
          <w:rFonts w:hint="cs"/>
          <w:rtl/>
          <w:lang w:bidi="ar-SY"/>
        </w:rPr>
        <w:t>فإن</w:t>
      </w:r>
      <w:r w:rsidR="00EC5117">
        <w:rPr>
          <w:rtl/>
          <w:lang w:bidi="ar-SY"/>
        </w:rPr>
        <w:t xml:space="preserve"> إسرائيل</w:t>
      </w:r>
      <w:r w:rsidR="00EC5117">
        <w:rPr>
          <w:rFonts w:hint="cs"/>
          <w:rtl/>
          <w:lang w:bidi="ar-SY"/>
        </w:rPr>
        <w:t xml:space="preserve"> و</w:t>
      </w:r>
      <w:r w:rsidR="00EC5117">
        <w:rPr>
          <w:rtl/>
          <w:lang w:bidi="ar-SY"/>
        </w:rPr>
        <w:t>الولايات المتحدة</w:t>
      </w:r>
      <w:r w:rsidR="00EC5117">
        <w:rPr>
          <w:rFonts w:hint="cs"/>
          <w:rtl/>
          <w:lang w:bidi="ar-SY"/>
        </w:rPr>
        <w:t xml:space="preserve"> تتبعان </w:t>
      </w:r>
      <w:r>
        <w:rPr>
          <w:rtl/>
          <w:lang w:bidi="ar-SY"/>
        </w:rPr>
        <w:t>نموذج</w:t>
      </w:r>
      <w:r w:rsidR="00EC5117">
        <w:rPr>
          <w:rFonts w:hint="cs"/>
          <w:rtl/>
          <w:lang w:bidi="ar-SY"/>
        </w:rPr>
        <w:t>اً</w:t>
      </w:r>
      <w:r>
        <w:rPr>
          <w:rtl/>
          <w:lang w:bidi="ar-SY"/>
        </w:rPr>
        <w:t xml:space="preserve"> هجين</w:t>
      </w:r>
      <w:r w:rsidR="00EC5117">
        <w:rPr>
          <w:rFonts w:hint="cs"/>
          <w:rtl/>
          <w:lang w:bidi="ar-SY"/>
        </w:rPr>
        <w:t>اً</w:t>
      </w:r>
      <w:r>
        <w:rPr>
          <w:rtl/>
          <w:lang w:bidi="ar-SY"/>
        </w:rPr>
        <w:t xml:space="preserve"> </w:t>
      </w:r>
      <w:r w:rsidR="00EC5117">
        <w:rPr>
          <w:rFonts w:hint="cs"/>
          <w:rtl/>
          <w:lang w:bidi="ar-SY"/>
        </w:rPr>
        <w:t>يتضمن</w:t>
      </w:r>
      <w:r>
        <w:rPr>
          <w:rtl/>
          <w:lang w:bidi="ar-SY"/>
        </w:rPr>
        <w:t xml:space="preserve"> أحكام</w:t>
      </w:r>
      <w:r w:rsidR="00EC5117">
        <w:rPr>
          <w:rFonts w:hint="cs"/>
          <w:rtl/>
          <w:lang w:bidi="ar-SY"/>
        </w:rPr>
        <w:t>اً</w:t>
      </w:r>
      <w:r>
        <w:rPr>
          <w:rtl/>
          <w:lang w:bidi="ar-SY"/>
        </w:rPr>
        <w:t xml:space="preserve"> محددة وحكم </w:t>
      </w:r>
      <w:r w:rsidR="004F3E50">
        <w:rPr>
          <w:rFonts w:hint="cs"/>
          <w:rtl/>
          <w:lang w:val="fr-CH" w:bidi="ar-SY"/>
        </w:rPr>
        <w:t>الاستخدام المنصف</w:t>
      </w:r>
      <w:r>
        <w:rPr>
          <w:rtl/>
          <w:lang w:bidi="ar-SY"/>
        </w:rPr>
        <w:t>.</w:t>
      </w:r>
    </w:p>
    <w:p w:rsidR="00D921F3" w:rsidRDefault="00D921F3" w:rsidP="00D921F3">
      <w:pPr>
        <w:pStyle w:val="BodyText"/>
        <w:spacing w:before="0"/>
        <w:rPr>
          <w:rtl/>
          <w:lang w:bidi="ar-SY"/>
        </w:rPr>
      </w:pPr>
    </w:p>
    <w:p w:rsidR="00D921F3" w:rsidRDefault="00D921F3" w:rsidP="00D921F3">
      <w:pPr>
        <w:pStyle w:val="BodyText"/>
        <w:spacing w:before="0"/>
        <w:rPr>
          <w:rtl/>
          <w:lang w:bidi="ar-SY"/>
        </w:rPr>
      </w:pPr>
    </w:p>
    <w:p w:rsidR="00D921F3" w:rsidRDefault="00D921F3" w:rsidP="00D921F3">
      <w:pPr>
        <w:pStyle w:val="BodyText"/>
        <w:spacing w:before="0"/>
        <w:rPr>
          <w:rtl/>
          <w:lang w:bidi="ar-SY"/>
        </w:rPr>
      </w:pPr>
    </w:p>
    <w:p w:rsidR="00D921F3" w:rsidRDefault="00D921F3">
      <w:pPr>
        <w:bidi w:val="0"/>
        <w:rPr>
          <w:rtl/>
          <w:lang w:bidi="ar-SY"/>
        </w:rPr>
      </w:pPr>
      <w:r>
        <w:rPr>
          <w:rtl/>
          <w:lang w:bidi="ar-SY"/>
        </w:rPr>
        <w:br w:type="page"/>
      </w:r>
    </w:p>
    <w:p w:rsidR="00D921F3" w:rsidRPr="00D921F3" w:rsidRDefault="00D921F3" w:rsidP="00D158D5">
      <w:pPr>
        <w:pStyle w:val="BodyText"/>
        <w:rPr>
          <w:sz w:val="40"/>
          <w:szCs w:val="40"/>
          <w:u w:val="single"/>
          <w:rtl/>
          <w:lang w:bidi="ar-SY"/>
        </w:rPr>
      </w:pPr>
      <w:r w:rsidRPr="00D921F3">
        <w:rPr>
          <w:rFonts w:hint="cs"/>
          <w:sz w:val="40"/>
          <w:szCs w:val="40"/>
          <w:u w:val="single"/>
          <w:rtl/>
          <w:lang w:bidi="ar-SY"/>
        </w:rPr>
        <w:lastRenderedPageBreak/>
        <w:t>ملخص النتائج بشأن الأحكام المحددة والعامة</w:t>
      </w:r>
    </w:p>
    <w:p w:rsidR="00D921F3" w:rsidRDefault="00D921F3" w:rsidP="00D158D5">
      <w:pPr>
        <w:pStyle w:val="BodyText"/>
        <w:rPr>
          <w:rtl/>
          <w:lang w:bidi="ar-SY"/>
        </w:rPr>
      </w:pPr>
      <w:r w:rsidRPr="00D921F3">
        <w:rPr>
          <w:rtl/>
          <w:lang w:bidi="ar-SY"/>
        </w:rPr>
        <w:t xml:space="preserve">يقدم الجدول أدناه </w:t>
      </w:r>
      <w:r w:rsidR="00EC5117">
        <w:rPr>
          <w:rtl/>
          <w:lang w:bidi="ar-SY"/>
        </w:rPr>
        <w:t>ملخص</w:t>
      </w:r>
      <w:r>
        <w:rPr>
          <w:rtl/>
          <w:lang w:bidi="ar-SY"/>
        </w:rPr>
        <w:t>ا</w:t>
      </w:r>
      <w:r w:rsidR="00EC5117">
        <w:rPr>
          <w:rFonts w:hint="cs"/>
          <w:rtl/>
          <w:lang w:bidi="ar-SY"/>
        </w:rPr>
        <w:t>ً</w:t>
      </w:r>
      <w:r>
        <w:rPr>
          <w:rtl/>
          <w:lang w:bidi="ar-SY"/>
        </w:rPr>
        <w:t xml:space="preserve"> إحصائي</w:t>
      </w:r>
      <w:r>
        <w:rPr>
          <w:rFonts w:hint="cs"/>
          <w:rtl/>
          <w:lang w:bidi="ar-SY"/>
        </w:rPr>
        <w:t>اً</w:t>
      </w:r>
      <w:r w:rsidRPr="00D921F3">
        <w:rPr>
          <w:rtl/>
          <w:lang w:bidi="ar-SY"/>
        </w:rPr>
        <w:t xml:space="preserve"> حول مدى انتشار هذه البنود في الدول الأعضاء.</w:t>
      </w:r>
    </w:p>
    <w:p w:rsidR="00D921F3" w:rsidRPr="00D921F3" w:rsidRDefault="00D921F3" w:rsidP="00D158D5">
      <w:pPr>
        <w:pStyle w:val="BodyText"/>
        <w:rPr>
          <w:b/>
          <w:bCs/>
          <w:rtl/>
          <w:lang w:bidi="ar-SY"/>
        </w:rPr>
      </w:pPr>
      <w:r w:rsidRPr="00D921F3">
        <w:rPr>
          <w:rFonts w:hint="cs"/>
          <w:b/>
          <w:bCs/>
          <w:rtl/>
          <w:lang w:bidi="ar-SY"/>
        </w:rPr>
        <w:t>الجدول 1: ملخص النتائج</w:t>
      </w:r>
    </w:p>
    <w:tbl>
      <w:tblPr>
        <w:bidiVisual/>
        <w:tblW w:w="0" w:type="dxa"/>
        <w:tblInd w:w="100" w:type="dxa"/>
        <w:tblBorders>
          <w:insideH w:val="nil"/>
          <w:insideV w:val="nil"/>
        </w:tblBorders>
        <w:tblLayout w:type="fixed"/>
        <w:tblLook w:val="0600" w:firstRow="0" w:lastRow="0" w:firstColumn="0" w:lastColumn="0" w:noHBand="1" w:noVBand="1"/>
      </w:tblPr>
      <w:tblGrid>
        <w:gridCol w:w="1960"/>
        <w:gridCol w:w="1301"/>
        <w:gridCol w:w="5985"/>
      </w:tblGrid>
      <w:tr w:rsidR="00D921F3" w:rsidRPr="009011FE" w:rsidTr="00D921F3">
        <w:trPr>
          <w:trHeight w:val="480"/>
        </w:trPr>
        <w:tc>
          <w:tcPr>
            <w:tcW w:w="196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rsidR="00D921F3" w:rsidRPr="009011FE" w:rsidRDefault="00D921F3" w:rsidP="00D921F3">
            <w:pPr>
              <w:pStyle w:val="BodyText"/>
              <w:rPr>
                <w:bCs/>
                <w:lang w:bidi="ar-SY"/>
              </w:rPr>
            </w:pPr>
            <w:r w:rsidRPr="009011FE">
              <w:rPr>
                <w:rFonts w:hint="cs"/>
                <w:bCs/>
                <w:rtl/>
                <w:lang w:bidi="ar-SY"/>
              </w:rPr>
              <w:t>الاستثناءات</w:t>
            </w:r>
          </w:p>
        </w:tc>
        <w:tc>
          <w:tcPr>
            <w:tcW w:w="1301" w:type="dxa"/>
            <w:tcBorders>
              <w:top w:val="single" w:sz="4" w:space="0" w:color="auto"/>
              <w:left w:val="nil"/>
              <w:bottom w:val="single" w:sz="4" w:space="0" w:color="auto"/>
              <w:right w:val="single" w:sz="8" w:space="0" w:color="000000"/>
            </w:tcBorders>
            <w:tcMar>
              <w:top w:w="100" w:type="dxa"/>
              <w:left w:w="100" w:type="dxa"/>
              <w:bottom w:w="100" w:type="dxa"/>
              <w:right w:w="100" w:type="dxa"/>
            </w:tcMar>
            <w:hideMark/>
          </w:tcPr>
          <w:p w:rsidR="00D921F3" w:rsidRPr="009011FE" w:rsidRDefault="00D921F3" w:rsidP="00D921F3">
            <w:pPr>
              <w:pStyle w:val="BodyText"/>
              <w:rPr>
                <w:bCs/>
                <w:lang w:bidi="ar-SY"/>
              </w:rPr>
            </w:pPr>
            <w:r w:rsidRPr="009011FE">
              <w:rPr>
                <w:rFonts w:hint="cs"/>
                <w:bCs/>
                <w:rtl/>
                <w:lang w:bidi="ar-SY"/>
              </w:rPr>
              <w:t>عدد البلدان</w:t>
            </w:r>
          </w:p>
        </w:tc>
        <w:tc>
          <w:tcPr>
            <w:tcW w:w="5985" w:type="dxa"/>
            <w:tcBorders>
              <w:top w:val="single" w:sz="4" w:space="0" w:color="auto"/>
              <w:left w:val="nil"/>
              <w:bottom w:val="single" w:sz="4" w:space="0" w:color="auto"/>
              <w:right w:val="single" w:sz="8" w:space="0" w:color="000000"/>
            </w:tcBorders>
            <w:tcMar>
              <w:top w:w="100" w:type="dxa"/>
              <w:left w:w="100" w:type="dxa"/>
              <w:bottom w:w="100" w:type="dxa"/>
              <w:right w:w="100" w:type="dxa"/>
            </w:tcMar>
            <w:hideMark/>
          </w:tcPr>
          <w:p w:rsidR="00D921F3" w:rsidRPr="009011FE" w:rsidRDefault="00D921F3" w:rsidP="00D921F3">
            <w:pPr>
              <w:pStyle w:val="BodyText"/>
              <w:rPr>
                <w:bCs/>
                <w:lang w:bidi="ar-SY"/>
              </w:rPr>
            </w:pPr>
            <w:r w:rsidRPr="009011FE">
              <w:rPr>
                <w:rFonts w:hint="cs"/>
                <w:bCs/>
                <w:rtl/>
                <w:lang w:bidi="ar-SY"/>
              </w:rPr>
              <w:t>البلد</w:t>
            </w:r>
            <w:r w:rsidR="009011FE" w:rsidRPr="009011FE">
              <w:rPr>
                <w:rFonts w:hint="cs"/>
                <w:bCs/>
                <w:rtl/>
                <w:lang w:bidi="ar-SY"/>
              </w:rPr>
              <w:t>ا</w:t>
            </w:r>
            <w:r w:rsidRPr="009011FE">
              <w:rPr>
                <w:rFonts w:hint="cs"/>
                <w:bCs/>
                <w:rtl/>
                <w:lang w:bidi="ar-SY"/>
              </w:rPr>
              <w:t>ن</w:t>
            </w:r>
          </w:p>
        </w:tc>
      </w:tr>
      <w:tr w:rsidR="00D921F3" w:rsidRPr="00D921F3" w:rsidTr="00D921F3">
        <w:trPr>
          <w:trHeight w:val="2689"/>
        </w:trPr>
        <w:tc>
          <w:tcPr>
            <w:tcW w:w="19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D921F3" w:rsidRPr="00D921F3" w:rsidRDefault="00D921F3" w:rsidP="00D921F3">
            <w:pPr>
              <w:pStyle w:val="BodyText"/>
              <w:rPr>
                <w:lang w:bidi="ar-SY"/>
              </w:rPr>
            </w:pPr>
            <w:r>
              <w:rPr>
                <w:rFonts w:hint="cs"/>
                <w:rtl/>
                <w:lang w:bidi="ar-SY"/>
              </w:rPr>
              <w:t>لا توجد</w:t>
            </w:r>
          </w:p>
        </w:tc>
        <w:tc>
          <w:tcPr>
            <w:tcW w:w="1301"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D921F3" w:rsidRPr="00D921F3" w:rsidRDefault="00D921F3" w:rsidP="00D921F3">
            <w:pPr>
              <w:pStyle w:val="BodyText"/>
              <w:rPr>
                <w:lang w:bidi="ar-SY"/>
              </w:rPr>
            </w:pPr>
            <w:r w:rsidRPr="00D921F3">
              <w:rPr>
                <w:lang w:bidi="ar-SY"/>
              </w:rPr>
              <w:t>91</w:t>
            </w:r>
          </w:p>
        </w:tc>
        <w:tc>
          <w:tcPr>
            <w:tcW w:w="5985"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D921F3" w:rsidRPr="00D921F3" w:rsidRDefault="00D921F3" w:rsidP="00BC4B2F">
            <w:pPr>
              <w:pStyle w:val="BodyText"/>
              <w:rPr>
                <w:lang w:bidi="ar-SY"/>
              </w:rPr>
            </w:pPr>
            <w:r>
              <w:rPr>
                <w:rFonts w:hint="cs"/>
                <w:rtl/>
                <w:lang w:bidi="ar-SY"/>
              </w:rPr>
              <w:t xml:space="preserve">أفغانستان، الجزائر، أندورا، أنغولا، أنتيغوا وبربودا، </w:t>
            </w:r>
            <w:r w:rsidR="007D533C">
              <w:rPr>
                <w:rFonts w:hint="cs"/>
                <w:rtl/>
                <w:lang w:bidi="ar-SY"/>
              </w:rPr>
              <w:t>البحرين، بنغلاديش، بربادوس، ب</w:t>
            </w:r>
            <w:r w:rsidR="007D533C">
              <w:rPr>
                <w:rFonts w:hint="cs"/>
                <w:rtl/>
                <w:lang w:val="fr-CH" w:bidi="ar-SY"/>
              </w:rPr>
              <w:t>ن</w:t>
            </w:r>
            <w:r w:rsidR="007D533C">
              <w:rPr>
                <w:rFonts w:hint="cs"/>
                <w:rtl/>
                <w:lang w:bidi="ar-SY"/>
              </w:rPr>
              <w:t xml:space="preserve">ين، بوتان، بوليفيا، بوتسوانا، بروني دار السلام، بوركينا فاسو، بوروندي، كمبوديا، جزر القمر، الكونغو، كوستاريكا، كوبا، قبرص، </w:t>
            </w:r>
            <w:r w:rsidR="007D533C" w:rsidRPr="007D533C">
              <w:rPr>
                <w:rtl/>
                <w:lang w:bidi="ar-SY"/>
              </w:rPr>
              <w:t>جمهورية الكونغو الديمقراطية، جيبوتي، مصر، غينيا الاستوائية،</w:t>
            </w:r>
            <w:r w:rsidR="007D533C">
              <w:rPr>
                <w:rFonts w:hint="cs"/>
                <w:rtl/>
                <w:lang w:bidi="ar-SY"/>
              </w:rPr>
              <w:t xml:space="preserve"> إريتريا، إسواتيني، إثيوبيا، غامبيا، غانا، غواتيمالا، غينيا، غينيا-بيساو، غيانا، هايتي</w:t>
            </w:r>
            <w:r w:rsidR="00BC4B2F">
              <w:rPr>
                <w:rFonts w:hint="cs"/>
                <w:rtl/>
                <w:lang w:bidi="ar-SY"/>
              </w:rPr>
              <w:t>، هندوراس، إيران، العراق، الأردن، كينيا، كيريباس، لبنان، ليسوتو، ليبيا، مدغشقر، ملديف، مالي، جزر مارشال، موريتانيا، موناكو، المغرب، موزامبيق، ميانمار، ناميبيا، النيجر، عمان، باكستان، بالاو، بابوا غينيا الجديدة، قطر، سانت كيتس ونفيس، سانت لوسيا، ساموا، سان مارينو، جزر سليمان، الصومال، جنوب إفريقيا، السودان، الجمهورية العربية السورية، طاجيكستان، تيمور ليشتي، توغو، تونغا، ترينيداد وتوباغو، تونس، تركمانستان، توفالو، الإمارات العربية المتحدة، جمهورية تنزانيا المتحدة، أوزباكستان، فانواتو، فنزويلا، اليمن، زامبيا، زيمبابوي.</w:t>
            </w:r>
          </w:p>
        </w:tc>
      </w:tr>
      <w:tr w:rsidR="00D921F3" w:rsidRPr="00D921F3" w:rsidTr="00D921F3">
        <w:trPr>
          <w:trHeight w:val="2176"/>
        </w:trPr>
        <w:tc>
          <w:tcPr>
            <w:tcW w:w="196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rsidR="00D921F3" w:rsidRPr="00D921F3" w:rsidRDefault="00BC4B2F" w:rsidP="00D921F3">
            <w:pPr>
              <w:pStyle w:val="BodyText"/>
              <w:rPr>
                <w:lang w:bidi="ar-SY"/>
              </w:rPr>
            </w:pPr>
            <w:r>
              <w:rPr>
                <w:rFonts w:hint="cs"/>
                <w:rtl/>
                <w:lang w:bidi="ar-SY"/>
              </w:rPr>
              <w:t>استثناءات فيما يتعلق بالإعاقات (*لا تحدد الإعاقة)</w:t>
            </w:r>
          </w:p>
        </w:tc>
        <w:tc>
          <w:tcPr>
            <w:tcW w:w="1301" w:type="dxa"/>
            <w:tcBorders>
              <w:top w:val="single" w:sz="4" w:space="0" w:color="auto"/>
              <w:left w:val="nil"/>
              <w:bottom w:val="single" w:sz="4" w:space="0" w:color="auto"/>
              <w:right w:val="single" w:sz="8" w:space="0" w:color="000000"/>
            </w:tcBorders>
            <w:tcMar>
              <w:top w:w="100" w:type="dxa"/>
              <w:left w:w="100" w:type="dxa"/>
              <w:bottom w:w="100" w:type="dxa"/>
              <w:right w:w="100" w:type="dxa"/>
            </w:tcMar>
            <w:hideMark/>
          </w:tcPr>
          <w:p w:rsidR="00D921F3" w:rsidRPr="00D921F3" w:rsidRDefault="00D921F3" w:rsidP="00D921F3">
            <w:pPr>
              <w:pStyle w:val="BodyText"/>
              <w:rPr>
                <w:lang w:bidi="ar-SY"/>
              </w:rPr>
            </w:pPr>
            <w:r w:rsidRPr="00D921F3">
              <w:rPr>
                <w:lang w:bidi="ar-SY"/>
              </w:rPr>
              <w:t>28</w:t>
            </w:r>
          </w:p>
        </w:tc>
        <w:tc>
          <w:tcPr>
            <w:tcW w:w="5985" w:type="dxa"/>
            <w:tcBorders>
              <w:top w:val="single" w:sz="4" w:space="0" w:color="auto"/>
              <w:left w:val="nil"/>
              <w:bottom w:val="single" w:sz="4" w:space="0" w:color="auto"/>
              <w:right w:val="single" w:sz="8" w:space="0" w:color="000000"/>
            </w:tcBorders>
            <w:tcMar>
              <w:top w:w="100" w:type="dxa"/>
              <w:left w:w="100" w:type="dxa"/>
              <w:bottom w:w="100" w:type="dxa"/>
              <w:right w:w="100" w:type="dxa"/>
            </w:tcMar>
            <w:hideMark/>
          </w:tcPr>
          <w:p w:rsidR="00D921F3" w:rsidRPr="00D921F3" w:rsidRDefault="00BC4B2F" w:rsidP="00C23814">
            <w:pPr>
              <w:pStyle w:val="BodyText"/>
              <w:rPr>
                <w:lang w:bidi="ar-SY"/>
              </w:rPr>
            </w:pPr>
            <w:r>
              <w:rPr>
                <w:rFonts w:hint="cs"/>
                <w:rtl/>
                <w:lang w:bidi="ar-SY"/>
              </w:rPr>
              <w:t xml:space="preserve">النمسا، بلجيكا، البوسنة والهرسك، كرواتيا، الجمهورية التشيكية، إكوادور، إستونيا، </w:t>
            </w:r>
            <w:r w:rsidR="00C23814">
              <w:rPr>
                <w:rFonts w:hint="cs"/>
                <w:rtl/>
                <w:lang w:bidi="ar-SY"/>
              </w:rPr>
              <w:t>غابون، ألمانيا، هنغاريا، الهند، إسرائيل، إيطاليا، ليختنشتاين، مالطة، المكسيك، الجبل الأسود، هولندا، بولندا، جمهورية مولدوفا، رومانيا، سان تومي وبرينسيبي، صربيا، سلوفاكيا، سلوفينيا، سويسرا، جمهورية مقدونيا، تركيا.</w:t>
            </w:r>
          </w:p>
        </w:tc>
      </w:tr>
      <w:tr w:rsidR="00D921F3" w:rsidRPr="00D921F3" w:rsidTr="00D921F3">
        <w:trPr>
          <w:trHeight w:val="1514"/>
        </w:trPr>
        <w:tc>
          <w:tcPr>
            <w:tcW w:w="196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rsidR="00D921F3" w:rsidRPr="00D921F3" w:rsidRDefault="00C23814" w:rsidP="00D921F3">
            <w:pPr>
              <w:pStyle w:val="BodyText"/>
              <w:rPr>
                <w:lang w:bidi="ar-SY"/>
              </w:rPr>
            </w:pPr>
            <w:r>
              <w:rPr>
                <w:rFonts w:hint="cs"/>
                <w:rtl/>
                <w:lang w:bidi="ar-SY"/>
              </w:rPr>
              <w:t>استثناءات تتعلق بالأشخاص ذوي الإعاقات السمعية</w:t>
            </w:r>
          </w:p>
        </w:tc>
        <w:tc>
          <w:tcPr>
            <w:tcW w:w="1301" w:type="dxa"/>
            <w:tcBorders>
              <w:top w:val="single" w:sz="4" w:space="0" w:color="auto"/>
              <w:left w:val="nil"/>
              <w:bottom w:val="single" w:sz="4" w:space="0" w:color="auto"/>
              <w:right w:val="single" w:sz="8" w:space="0" w:color="000000"/>
            </w:tcBorders>
            <w:tcMar>
              <w:top w:w="100" w:type="dxa"/>
              <w:left w:w="100" w:type="dxa"/>
              <w:bottom w:w="100" w:type="dxa"/>
              <w:right w:w="100" w:type="dxa"/>
            </w:tcMar>
            <w:hideMark/>
          </w:tcPr>
          <w:p w:rsidR="00D921F3" w:rsidRPr="00D921F3" w:rsidRDefault="00D921F3" w:rsidP="00D921F3">
            <w:pPr>
              <w:pStyle w:val="BodyText"/>
              <w:rPr>
                <w:lang w:bidi="ar-SY"/>
              </w:rPr>
            </w:pPr>
            <w:r w:rsidRPr="00D921F3">
              <w:rPr>
                <w:lang w:bidi="ar-SY"/>
              </w:rPr>
              <w:t>25</w:t>
            </w:r>
          </w:p>
        </w:tc>
        <w:tc>
          <w:tcPr>
            <w:tcW w:w="5985" w:type="dxa"/>
            <w:tcBorders>
              <w:top w:val="single" w:sz="4" w:space="0" w:color="auto"/>
              <w:left w:val="nil"/>
              <w:bottom w:val="single" w:sz="4" w:space="0" w:color="auto"/>
              <w:right w:val="single" w:sz="8" w:space="0" w:color="000000"/>
            </w:tcBorders>
            <w:tcMar>
              <w:top w:w="100" w:type="dxa"/>
              <w:left w:w="100" w:type="dxa"/>
              <w:bottom w:w="100" w:type="dxa"/>
              <w:right w:w="100" w:type="dxa"/>
            </w:tcMar>
            <w:hideMark/>
          </w:tcPr>
          <w:p w:rsidR="00D921F3" w:rsidRPr="00D921F3" w:rsidRDefault="00C23814" w:rsidP="00C23814">
            <w:pPr>
              <w:pStyle w:val="BodyText"/>
              <w:rPr>
                <w:lang w:bidi="ar-SY"/>
              </w:rPr>
            </w:pPr>
            <w:r>
              <w:rPr>
                <w:rFonts w:hint="cs"/>
                <w:rtl/>
                <w:lang w:bidi="ar-SY"/>
              </w:rPr>
              <w:t>أستراليا، جزر البهاما، بليز، الرأس الأخضر، شيلي، كوت ديفوار، الدانمرك، فيجي، اليونان، آيرلندا، جامايكا، ا</w:t>
            </w:r>
            <w:r w:rsidR="0058023C">
              <w:rPr>
                <w:rFonts w:hint="cs"/>
                <w:rtl/>
                <w:lang w:bidi="ar-SY"/>
              </w:rPr>
              <w:t>ليابان، ليب</w:t>
            </w:r>
            <w:r>
              <w:rPr>
                <w:rFonts w:hint="cs"/>
                <w:rtl/>
                <w:lang w:bidi="ar-SY"/>
              </w:rPr>
              <w:t>ريا، ليتوانيا، لكسمبرغ، ماليزيا، منغوليا، نيوزيلندا، نيوي، النرويج، سانت فنسنت وجزر غرينادين، تايلند، أوغندا، المملكة المتحدة، الولايات المتحدة الأمريكية.</w:t>
            </w:r>
          </w:p>
        </w:tc>
      </w:tr>
      <w:tr w:rsidR="00D921F3" w:rsidRPr="00D921F3" w:rsidTr="00D921F3">
        <w:trPr>
          <w:trHeight w:val="1600"/>
        </w:trPr>
        <w:tc>
          <w:tcPr>
            <w:tcW w:w="19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D921F3" w:rsidRPr="00D921F3" w:rsidRDefault="00224086" w:rsidP="00EC5117">
            <w:pPr>
              <w:pStyle w:val="BodyText"/>
              <w:rPr>
                <w:lang w:bidi="ar-SY"/>
              </w:rPr>
            </w:pPr>
            <w:r>
              <w:rPr>
                <w:rFonts w:hint="cs"/>
                <w:rtl/>
                <w:lang w:bidi="ar-SY"/>
              </w:rPr>
              <w:lastRenderedPageBreak/>
              <w:t xml:space="preserve">استثناءات تتعلق بالأشخاص ذوي الإعاقات </w:t>
            </w:r>
            <w:r w:rsidR="00EC5117">
              <w:rPr>
                <w:rFonts w:hint="cs"/>
                <w:rtl/>
                <w:lang w:bidi="ar-SY"/>
              </w:rPr>
              <w:t>المعرفية</w:t>
            </w:r>
            <w:r>
              <w:rPr>
                <w:rFonts w:hint="cs"/>
                <w:rtl/>
                <w:lang w:bidi="ar-SY"/>
              </w:rPr>
              <w:t>/العقلية</w:t>
            </w:r>
          </w:p>
        </w:tc>
        <w:tc>
          <w:tcPr>
            <w:tcW w:w="1301"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D921F3" w:rsidRPr="00D921F3" w:rsidRDefault="00D921F3" w:rsidP="00D921F3">
            <w:pPr>
              <w:pStyle w:val="BodyText"/>
              <w:rPr>
                <w:lang w:bidi="ar-SY"/>
              </w:rPr>
            </w:pPr>
            <w:r w:rsidRPr="00D921F3">
              <w:rPr>
                <w:lang w:bidi="ar-SY"/>
              </w:rPr>
              <w:t>22</w:t>
            </w:r>
          </w:p>
        </w:tc>
        <w:tc>
          <w:tcPr>
            <w:tcW w:w="5985"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D921F3" w:rsidRPr="00D921F3" w:rsidRDefault="00224086" w:rsidP="00224086">
            <w:pPr>
              <w:pStyle w:val="BodyText"/>
              <w:rPr>
                <w:lang w:bidi="ar-SY"/>
              </w:rPr>
            </w:pPr>
            <w:r>
              <w:rPr>
                <w:rFonts w:hint="cs"/>
                <w:rtl/>
                <w:lang w:bidi="ar-SY"/>
              </w:rPr>
              <w:t>ألبانيا، الأرجنتين، أستراليا، بليز، الرأس الأخضر، كندا، فيجي، فرنسا، آيرلندا، اليابان، لاتفيا، ليتوانيا، ماليزيا، نيوزيلندا، نيوي، الفلبين، سانت فنسنت وجزر غرينادين، سنغافورة، إسبانيا، تايلند، المملكة المتحدة، أوروغواي.</w:t>
            </w:r>
          </w:p>
        </w:tc>
      </w:tr>
      <w:tr w:rsidR="00D921F3" w:rsidRPr="00D921F3" w:rsidTr="00D921F3">
        <w:trPr>
          <w:trHeight w:val="1355"/>
        </w:trPr>
        <w:tc>
          <w:tcPr>
            <w:tcW w:w="1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D921F3" w:rsidRPr="00D921F3" w:rsidRDefault="00224086" w:rsidP="00224086">
            <w:pPr>
              <w:pStyle w:val="BodyText"/>
              <w:rPr>
                <w:lang w:bidi="ar-SY"/>
              </w:rPr>
            </w:pPr>
            <w:r>
              <w:rPr>
                <w:rFonts w:hint="cs"/>
                <w:rtl/>
                <w:lang w:bidi="ar-SY"/>
              </w:rPr>
              <w:t>استثناءات تتعلق بالأشخاص ذوي الإعاقات</w:t>
            </w:r>
            <w:r>
              <w:rPr>
                <w:rFonts w:hint="cs"/>
                <w:rtl/>
                <w:lang w:val="fr-CH" w:bidi="ar-SY"/>
              </w:rPr>
              <w:t xml:space="preserve"> البدنية</w:t>
            </w:r>
            <w:r w:rsidR="00D921F3" w:rsidRPr="00D921F3">
              <w:rPr>
                <w:lang w:bidi="ar-SY"/>
              </w:rPr>
              <w:t xml:space="preserve"> </w:t>
            </w:r>
          </w:p>
        </w:tc>
        <w:tc>
          <w:tcPr>
            <w:tcW w:w="1301" w:type="dxa"/>
            <w:tcBorders>
              <w:top w:val="nil"/>
              <w:left w:val="nil"/>
              <w:bottom w:val="single" w:sz="8" w:space="0" w:color="000000"/>
              <w:right w:val="single" w:sz="8" w:space="0" w:color="000000"/>
            </w:tcBorders>
            <w:tcMar>
              <w:top w:w="100" w:type="dxa"/>
              <w:left w:w="100" w:type="dxa"/>
              <w:bottom w:w="100" w:type="dxa"/>
              <w:right w:w="100" w:type="dxa"/>
            </w:tcMar>
            <w:hideMark/>
          </w:tcPr>
          <w:p w:rsidR="00D921F3" w:rsidRPr="00D921F3" w:rsidRDefault="00D921F3" w:rsidP="00D921F3">
            <w:pPr>
              <w:pStyle w:val="BodyText"/>
              <w:rPr>
                <w:lang w:bidi="ar-SY"/>
              </w:rPr>
            </w:pPr>
            <w:r w:rsidRPr="00D921F3">
              <w:rPr>
                <w:lang w:bidi="ar-SY"/>
              </w:rPr>
              <w:t>19</w:t>
            </w:r>
          </w:p>
        </w:tc>
        <w:tc>
          <w:tcPr>
            <w:tcW w:w="5985" w:type="dxa"/>
            <w:tcBorders>
              <w:top w:val="nil"/>
              <w:left w:val="nil"/>
              <w:bottom w:val="single" w:sz="8" w:space="0" w:color="000000"/>
              <w:right w:val="single" w:sz="8" w:space="0" w:color="000000"/>
            </w:tcBorders>
            <w:tcMar>
              <w:top w:w="100" w:type="dxa"/>
              <w:left w:w="100" w:type="dxa"/>
              <w:bottom w:w="100" w:type="dxa"/>
              <w:right w:w="100" w:type="dxa"/>
            </w:tcMar>
            <w:hideMark/>
          </w:tcPr>
          <w:p w:rsidR="00D921F3" w:rsidRPr="00D921F3" w:rsidRDefault="00224086" w:rsidP="00224086">
            <w:pPr>
              <w:pStyle w:val="BodyText"/>
              <w:rPr>
                <w:lang w:bidi="ar-SY"/>
              </w:rPr>
            </w:pPr>
            <w:r>
              <w:rPr>
                <w:rFonts w:hint="cs"/>
                <w:rtl/>
                <w:lang w:bidi="ar-SY"/>
              </w:rPr>
              <w:t>ألبانيا، الأرجنتين، بليز، كوت ديفوار، الدانمرك، الجمهورية الدومنيكية، فيجي، فرنسا، آيرلندا، لاتفيا، ليتوانيا، ماليزيا، نيوزيلندا، نيوي، سانت فنسنت وجزر غرينادين، إسبانيا، تايلند، المملكة المتحدة، أوروغواي.</w:t>
            </w:r>
            <w:r w:rsidR="00D921F3" w:rsidRPr="00D921F3">
              <w:rPr>
                <w:lang w:bidi="ar-SY"/>
              </w:rPr>
              <w:t xml:space="preserve"> </w:t>
            </w:r>
          </w:p>
        </w:tc>
      </w:tr>
      <w:tr w:rsidR="00D921F3" w:rsidRPr="00D921F3" w:rsidTr="00D921F3">
        <w:trPr>
          <w:trHeight w:val="1997"/>
        </w:trPr>
        <w:tc>
          <w:tcPr>
            <w:tcW w:w="196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D921F3" w:rsidRPr="00D921F3" w:rsidRDefault="00224086" w:rsidP="00224086">
            <w:pPr>
              <w:pStyle w:val="BodyText"/>
              <w:rPr>
                <w:lang w:bidi="ar-SY"/>
              </w:rPr>
            </w:pPr>
            <w:r>
              <w:rPr>
                <w:rFonts w:hint="cs"/>
                <w:rtl/>
                <w:lang w:bidi="ar-SY"/>
              </w:rPr>
              <w:t>استثناءات تتعلق بالأشخاص ذوي الإعاقات</w:t>
            </w:r>
            <w:r>
              <w:rPr>
                <w:rFonts w:hint="cs"/>
                <w:rtl/>
                <w:lang w:val="fr-CH" w:bidi="ar-SY"/>
              </w:rPr>
              <w:t xml:space="preserve"> البصرية التي تقتصر فقط على المصنفات المطبوعة/ النصوص</w:t>
            </w:r>
          </w:p>
        </w:tc>
        <w:tc>
          <w:tcPr>
            <w:tcW w:w="1301"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D921F3" w:rsidRPr="00D921F3" w:rsidRDefault="00D921F3" w:rsidP="00D921F3">
            <w:pPr>
              <w:pStyle w:val="BodyText"/>
              <w:rPr>
                <w:lang w:bidi="ar-SY"/>
              </w:rPr>
            </w:pPr>
            <w:r w:rsidRPr="00D921F3">
              <w:rPr>
                <w:lang w:bidi="ar-SY"/>
              </w:rPr>
              <w:t>24</w:t>
            </w:r>
          </w:p>
        </w:tc>
        <w:tc>
          <w:tcPr>
            <w:tcW w:w="5985"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D921F3" w:rsidRPr="00D921F3" w:rsidRDefault="00224086" w:rsidP="00125276">
            <w:pPr>
              <w:pStyle w:val="BodyText"/>
              <w:rPr>
                <w:lang w:bidi="ar-SY"/>
              </w:rPr>
            </w:pPr>
            <w:r>
              <w:rPr>
                <w:rFonts w:hint="cs"/>
                <w:rtl/>
                <w:lang w:bidi="ar-SY"/>
              </w:rPr>
              <w:t>الأرجنتين، أرمينيا، أذربيجان، بيلاروس، البرازيل، بلغاريا، الكاميرون، الصين، جمهورية كوريا الديموقراطية الشعبية، جورجيا، غريناد</w:t>
            </w:r>
            <w:r>
              <w:rPr>
                <w:rFonts w:hint="eastAsia"/>
                <w:rtl/>
                <w:lang w:bidi="ar-SY"/>
              </w:rPr>
              <w:t>ا</w:t>
            </w:r>
            <w:r>
              <w:rPr>
                <w:rFonts w:hint="cs"/>
                <w:rtl/>
                <w:lang w:bidi="ar-SY"/>
              </w:rPr>
              <w:t xml:space="preserve">، </w:t>
            </w:r>
            <w:r w:rsidR="00125276">
              <w:rPr>
                <w:rFonts w:hint="cs"/>
                <w:rtl/>
                <w:lang w:bidi="ar-SY"/>
              </w:rPr>
              <w:t>إندونيسي</w:t>
            </w:r>
            <w:r w:rsidR="00125276">
              <w:rPr>
                <w:rFonts w:hint="eastAsia"/>
                <w:rtl/>
                <w:lang w:bidi="ar-SY"/>
              </w:rPr>
              <w:t>ا</w:t>
            </w:r>
            <w:r w:rsidR="00125276">
              <w:rPr>
                <w:rFonts w:hint="cs"/>
                <w:rtl/>
                <w:lang w:bidi="ar-SY"/>
              </w:rPr>
              <w:t>، كزاخستان، جمهورية لاو الديموقراطية الشعبية، موريشيوس، نيكاراغوا، بنما، براغواي، بيرو، الفلبين، روندا، أكرانيا، أورغواي، فييت نام.</w:t>
            </w:r>
          </w:p>
        </w:tc>
      </w:tr>
      <w:tr w:rsidR="00D921F3" w:rsidRPr="00D921F3" w:rsidTr="00D921F3">
        <w:trPr>
          <w:trHeight w:val="3423"/>
        </w:trPr>
        <w:tc>
          <w:tcPr>
            <w:tcW w:w="1960" w:type="dxa"/>
            <w:tcBorders>
              <w:top w:val="nil"/>
              <w:left w:val="single" w:sz="8" w:space="0" w:color="000000"/>
              <w:bottom w:val="single" w:sz="4" w:space="0" w:color="auto"/>
              <w:right w:val="single" w:sz="8" w:space="0" w:color="000000"/>
            </w:tcBorders>
            <w:shd w:val="clear" w:color="auto" w:fill="FFFFFF" w:themeFill="background1"/>
            <w:tcMar>
              <w:top w:w="100" w:type="dxa"/>
              <w:left w:w="100" w:type="dxa"/>
              <w:bottom w:w="100" w:type="dxa"/>
              <w:right w:w="100" w:type="dxa"/>
            </w:tcMar>
            <w:hideMark/>
          </w:tcPr>
          <w:p w:rsidR="00D921F3" w:rsidRPr="00D921F3" w:rsidRDefault="00125276" w:rsidP="00125276">
            <w:pPr>
              <w:pStyle w:val="BodyText"/>
              <w:rPr>
                <w:lang w:bidi="ar-SY"/>
              </w:rPr>
            </w:pPr>
            <w:r>
              <w:rPr>
                <w:rFonts w:hint="cs"/>
                <w:rtl/>
                <w:lang w:bidi="ar-SY"/>
              </w:rPr>
              <w:t>استثناءات تتعلق بالأشخاص ذوي الإعاقات</w:t>
            </w:r>
            <w:r>
              <w:rPr>
                <w:rFonts w:hint="cs"/>
                <w:rtl/>
                <w:lang w:val="fr-CH" w:bidi="ar-SY"/>
              </w:rPr>
              <w:t xml:space="preserve"> البصرية تتجاوز نطاق المصنفات المطبوعة/ النصوص/ المصنفات غير المحددة</w:t>
            </w:r>
          </w:p>
        </w:tc>
        <w:tc>
          <w:tcPr>
            <w:tcW w:w="1301" w:type="dxa"/>
            <w:tcBorders>
              <w:top w:val="nil"/>
              <w:left w:val="nil"/>
              <w:bottom w:val="single" w:sz="4" w:space="0" w:color="auto"/>
              <w:right w:val="single" w:sz="8" w:space="0" w:color="000000"/>
            </w:tcBorders>
            <w:shd w:val="clear" w:color="auto" w:fill="FFFFFF" w:themeFill="background1"/>
            <w:tcMar>
              <w:top w:w="100" w:type="dxa"/>
              <w:left w:w="100" w:type="dxa"/>
              <w:bottom w:w="100" w:type="dxa"/>
              <w:right w:w="100" w:type="dxa"/>
            </w:tcMar>
            <w:hideMark/>
          </w:tcPr>
          <w:p w:rsidR="00D921F3" w:rsidRPr="00D921F3" w:rsidRDefault="00D921F3" w:rsidP="00D921F3">
            <w:pPr>
              <w:pStyle w:val="BodyText"/>
              <w:rPr>
                <w:lang w:bidi="ar-SY"/>
              </w:rPr>
            </w:pPr>
            <w:r w:rsidRPr="00D921F3">
              <w:rPr>
                <w:lang w:bidi="ar-SY"/>
              </w:rPr>
              <w:t>72</w:t>
            </w:r>
          </w:p>
        </w:tc>
        <w:tc>
          <w:tcPr>
            <w:tcW w:w="5985" w:type="dxa"/>
            <w:tcBorders>
              <w:top w:val="nil"/>
              <w:left w:val="nil"/>
              <w:bottom w:val="single" w:sz="4" w:space="0" w:color="auto"/>
              <w:right w:val="single" w:sz="8" w:space="0" w:color="000000"/>
            </w:tcBorders>
            <w:shd w:val="clear" w:color="auto" w:fill="FFFFFF" w:themeFill="background1"/>
            <w:tcMar>
              <w:top w:w="100" w:type="dxa"/>
              <w:left w:w="100" w:type="dxa"/>
              <w:bottom w:w="100" w:type="dxa"/>
              <w:right w:w="100" w:type="dxa"/>
            </w:tcMar>
            <w:hideMark/>
          </w:tcPr>
          <w:p w:rsidR="00D921F3" w:rsidRPr="00D921F3" w:rsidRDefault="00125276" w:rsidP="0058023C">
            <w:pPr>
              <w:pStyle w:val="BodyText"/>
              <w:rPr>
                <w:lang w:bidi="ar-SY"/>
              </w:rPr>
            </w:pPr>
            <w:r>
              <w:rPr>
                <w:rFonts w:hint="cs"/>
                <w:rtl/>
                <w:lang w:bidi="ar-SY"/>
              </w:rPr>
              <w:t>ألبانيا، أستراليا، النمسا، جزر البهاما، بليز، البوسنة والهرسك، الرأس الأخضر، كندا، شيلي، كولومبيا، جزر كوك، كوت ديفوار، كرواتيا، الجمهورية التشيكية، الدانمرك، إكوادور، السلفادور، إستونيا، فيجي، فنلندا، فرنسا، غابون، ألمانيا، اليونان، هنغاريا، آيسلند</w:t>
            </w:r>
            <w:r>
              <w:rPr>
                <w:rFonts w:hint="eastAsia"/>
                <w:rtl/>
                <w:lang w:bidi="ar-SY"/>
              </w:rPr>
              <w:t>ا</w:t>
            </w:r>
            <w:r>
              <w:rPr>
                <w:rFonts w:hint="cs"/>
                <w:rtl/>
                <w:lang w:bidi="ar-SY"/>
              </w:rPr>
              <w:t xml:space="preserve">، </w:t>
            </w:r>
            <w:r w:rsidR="0058023C">
              <w:rPr>
                <w:rFonts w:hint="cs"/>
                <w:rtl/>
                <w:lang w:bidi="ar-SY"/>
              </w:rPr>
              <w:t>الهند، آيرلندا، إسرائيل، إيطاليا، جامايكا، اليابان، الكويت، قيرغيزستا</w:t>
            </w:r>
            <w:r w:rsidR="0058023C">
              <w:rPr>
                <w:rFonts w:hint="eastAsia"/>
                <w:rtl/>
                <w:lang w:bidi="ar-SY"/>
              </w:rPr>
              <w:t>ن</w:t>
            </w:r>
            <w:r w:rsidR="0058023C">
              <w:rPr>
                <w:rFonts w:hint="cs"/>
                <w:rtl/>
                <w:lang w:bidi="ar-SY"/>
              </w:rPr>
              <w:t>، لاتفيا، ليبريا، ليختنشتاين، ليتوانيا، لكسمبرغ، ملاوي، ماليزيا، مالطة، المكسيك، منغوليا، الجبل الأسود، هولندا، نيوزيلندا، نيجيريا، نيوي، النرويج، بولندا، البرتغال، جمهورية كوريا، جمهورية مولدوفا، رومانيا، سانت فنسنت وجزر غرينادين، سان تومي وبرينسيبي، صربيا، سيشل، سنغافورة، سلوفاكيا، إسبانيا، السويد، سويسرا، تايلند، جمهورية مقدونيا اليوغوسلافية السابقة، تركيا، أوغندا، المملكة المتحدة، الولايات المتحدة الأمريكية.</w:t>
            </w:r>
          </w:p>
        </w:tc>
      </w:tr>
      <w:tr w:rsidR="00D921F3" w:rsidRPr="00D921F3" w:rsidTr="00D921F3">
        <w:trPr>
          <w:trHeight w:val="2057"/>
        </w:trPr>
        <w:tc>
          <w:tcPr>
            <w:tcW w:w="196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rsidR="00D921F3" w:rsidRPr="00D921F3" w:rsidRDefault="0058023C" w:rsidP="00EC5117">
            <w:pPr>
              <w:pStyle w:val="BodyText"/>
              <w:rPr>
                <w:lang w:bidi="ar-SY"/>
              </w:rPr>
            </w:pPr>
            <w:r>
              <w:rPr>
                <w:rFonts w:hint="cs"/>
                <w:rtl/>
                <w:lang w:bidi="ar-SY"/>
              </w:rPr>
              <w:t>الأحكام العامة (</w:t>
            </w:r>
            <w:r w:rsidR="00EC5C25">
              <w:rPr>
                <w:rFonts w:hint="cs"/>
                <w:rtl/>
                <w:lang w:val="fr-CH" w:bidi="ar-SY"/>
              </w:rPr>
              <w:t>الاستخدام المنصف</w:t>
            </w:r>
            <w:r>
              <w:rPr>
                <w:rFonts w:hint="cs"/>
                <w:rtl/>
                <w:lang w:bidi="ar-SY"/>
              </w:rPr>
              <w:t xml:space="preserve">) التي تتيح إعداد نسخ </w:t>
            </w:r>
            <w:r w:rsidR="00EC5117">
              <w:rPr>
                <w:rFonts w:hint="cs"/>
                <w:rtl/>
                <w:lang w:bidi="ar-SY"/>
              </w:rPr>
              <w:t>بأنساق ميسّرة</w:t>
            </w:r>
          </w:p>
        </w:tc>
        <w:tc>
          <w:tcPr>
            <w:tcW w:w="1301" w:type="dxa"/>
            <w:tcBorders>
              <w:top w:val="single" w:sz="4" w:space="0" w:color="auto"/>
              <w:left w:val="nil"/>
              <w:bottom w:val="single" w:sz="4" w:space="0" w:color="auto"/>
              <w:right w:val="single" w:sz="8" w:space="0" w:color="000000"/>
            </w:tcBorders>
            <w:tcMar>
              <w:top w:w="100" w:type="dxa"/>
              <w:left w:w="100" w:type="dxa"/>
              <w:bottom w:w="100" w:type="dxa"/>
              <w:right w:w="100" w:type="dxa"/>
            </w:tcMar>
            <w:hideMark/>
          </w:tcPr>
          <w:p w:rsidR="00D921F3" w:rsidRPr="00D921F3" w:rsidRDefault="00D921F3" w:rsidP="00D921F3">
            <w:pPr>
              <w:pStyle w:val="BodyText"/>
              <w:rPr>
                <w:lang w:bidi="ar-SY"/>
              </w:rPr>
            </w:pPr>
            <w:r w:rsidRPr="00D921F3">
              <w:rPr>
                <w:lang w:bidi="ar-SY"/>
              </w:rPr>
              <w:t>6</w:t>
            </w:r>
          </w:p>
        </w:tc>
        <w:tc>
          <w:tcPr>
            <w:tcW w:w="5985" w:type="dxa"/>
            <w:tcBorders>
              <w:top w:val="single" w:sz="4" w:space="0" w:color="auto"/>
              <w:left w:val="nil"/>
              <w:bottom w:val="single" w:sz="4" w:space="0" w:color="auto"/>
              <w:right w:val="single" w:sz="8" w:space="0" w:color="000000"/>
            </w:tcBorders>
            <w:tcMar>
              <w:top w:w="100" w:type="dxa"/>
              <w:left w:w="100" w:type="dxa"/>
              <w:bottom w:w="100" w:type="dxa"/>
              <w:right w:w="100" w:type="dxa"/>
            </w:tcMar>
            <w:hideMark/>
          </w:tcPr>
          <w:p w:rsidR="00D921F3" w:rsidRPr="00D921F3" w:rsidRDefault="0058023C" w:rsidP="0058023C">
            <w:pPr>
              <w:pStyle w:val="BodyText"/>
              <w:rPr>
                <w:lang w:bidi="ar-SY"/>
              </w:rPr>
            </w:pPr>
            <w:r>
              <w:rPr>
                <w:rFonts w:hint="cs"/>
                <w:rtl/>
                <w:lang w:bidi="ar-SY"/>
              </w:rPr>
              <w:t>دومينيكا، إسرائيل، قيرغيزستا</w:t>
            </w:r>
            <w:r>
              <w:rPr>
                <w:rFonts w:hint="eastAsia"/>
                <w:rtl/>
                <w:lang w:bidi="ar-SY"/>
              </w:rPr>
              <w:t>ن</w:t>
            </w:r>
            <w:r>
              <w:rPr>
                <w:rFonts w:hint="cs"/>
                <w:rtl/>
                <w:lang w:bidi="ar-SY"/>
              </w:rPr>
              <w:t>، ميكرونيزيا، سري لانكا، الولايات المتحدة الأمريكية.</w:t>
            </w:r>
          </w:p>
        </w:tc>
      </w:tr>
      <w:tr w:rsidR="00D921F3" w:rsidRPr="00D921F3" w:rsidTr="00D921F3">
        <w:trPr>
          <w:trHeight w:val="1176"/>
        </w:trPr>
        <w:tc>
          <w:tcPr>
            <w:tcW w:w="19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D921F3" w:rsidRPr="00D921F3" w:rsidRDefault="0058023C" w:rsidP="00D921F3">
            <w:pPr>
              <w:pStyle w:val="BodyText"/>
              <w:rPr>
                <w:lang w:bidi="ar-SY"/>
              </w:rPr>
            </w:pPr>
            <w:r>
              <w:rPr>
                <w:rFonts w:hint="cs"/>
                <w:rtl/>
                <w:lang w:bidi="ar-SY"/>
              </w:rPr>
              <w:lastRenderedPageBreak/>
              <w:t>أحكام الاستيراد/ التصدير</w:t>
            </w:r>
          </w:p>
        </w:tc>
        <w:tc>
          <w:tcPr>
            <w:tcW w:w="1301"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D921F3" w:rsidRPr="00D921F3" w:rsidRDefault="00D921F3" w:rsidP="00D921F3">
            <w:pPr>
              <w:pStyle w:val="BodyText"/>
              <w:rPr>
                <w:lang w:bidi="ar-SY"/>
              </w:rPr>
            </w:pPr>
            <w:r w:rsidRPr="00D921F3">
              <w:rPr>
                <w:lang w:bidi="ar-SY"/>
              </w:rPr>
              <w:t>13</w:t>
            </w:r>
          </w:p>
        </w:tc>
        <w:tc>
          <w:tcPr>
            <w:tcW w:w="5985"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D921F3" w:rsidRPr="00D921F3" w:rsidRDefault="0058023C" w:rsidP="0058023C">
            <w:pPr>
              <w:pStyle w:val="BodyText"/>
              <w:rPr>
                <w:lang w:bidi="ar-SY"/>
              </w:rPr>
            </w:pPr>
            <w:r>
              <w:rPr>
                <w:rFonts w:hint="cs"/>
                <w:rtl/>
                <w:lang w:bidi="ar-SY"/>
              </w:rPr>
              <w:t>كندا (الاستيراد والتصدير)، جزر كوك (الاستيراد والتصدير)، إندونيسي</w:t>
            </w:r>
            <w:r>
              <w:rPr>
                <w:rFonts w:hint="eastAsia"/>
                <w:rtl/>
                <w:lang w:bidi="ar-SY"/>
              </w:rPr>
              <w:t>ا</w:t>
            </w:r>
            <w:r>
              <w:rPr>
                <w:rFonts w:hint="cs"/>
                <w:rtl/>
                <w:lang w:bidi="ar-SY"/>
              </w:rPr>
              <w:t xml:space="preserve"> (الاستيراد والتصدير)، اليابان (الاستيراد والتصدير)، ليبريا (الاستيراد)، موريشيوس (الاستيراد والتصدير)، النرويج (الاستيراد والتصدير)، روندا (الاستيراد)، سيشل (الاستيراد)، سنغافورة (الاستيراد والتصدير)، سلوفاكيا (الاستيراد والتصدير)، سويسرا (التصدير)، الولايات المتحدة الأمريكية (الاستيراد والتصدير).</w:t>
            </w:r>
          </w:p>
        </w:tc>
      </w:tr>
      <w:tr w:rsidR="00D921F3" w:rsidRPr="00D921F3" w:rsidTr="00D921F3">
        <w:trPr>
          <w:trHeight w:val="1740"/>
        </w:trPr>
        <w:tc>
          <w:tcPr>
            <w:tcW w:w="1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D921F3" w:rsidRPr="00D921F3" w:rsidRDefault="0058023C" w:rsidP="0058023C">
            <w:pPr>
              <w:pStyle w:val="BodyText"/>
              <w:rPr>
                <w:lang w:bidi="ar-SY"/>
              </w:rPr>
            </w:pPr>
            <w:r>
              <w:rPr>
                <w:rFonts w:hint="cs"/>
                <w:rtl/>
                <w:lang w:bidi="ar-SY"/>
              </w:rPr>
              <w:t>مكافحة التحايل على تدابير الحماية التكنولوجية- إعفاءات لفائدة ذوي الإعاقات</w:t>
            </w:r>
          </w:p>
        </w:tc>
        <w:tc>
          <w:tcPr>
            <w:tcW w:w="1301" w:type="dxa"/>
            <w:tcBorders>
              <w:top w:val="nil"/>
              <w:left w:val="nil"/>
              <w:bottom w:val="single" w:sz="8" w:space="0" w:color="000000"/>
              <w:right w:val="single" w:sz="8" w:space="0" w:color="000000"/>
            </w:tcBorders>
            <w:tcMar>
              <w:top w:w="100" w:type="dxa"/>
              <w:left w:w="100" w:type="dxa"/>
              <w:bottom w:w="100" w:type="dxa"/>
              <w:right w:w="100" w:type="dxa"/>
            </w:tcMar>
            <w:hideMark/>
          </w:tcPr>
          <w:p w:rsidR="00D921F3" w:rsidRPr="00D921F3" w:rsidRDefault="00D921F3" w:rsidP="00D921F3">
            <w:pPr>
              <w:pStyle w:val="BodyText"/>
              <w:rPr>
                <w:lang w:bidi="ar-SY"/>
              </w:rPr>
            </w:pPr>
            <w:r w:rsidRPr="00D921F3">
              <w:rPr>
                <w:lang w:bidi="ar-SY"/>
              </w:rPr>
              <w:t>23</w:t>
            </w:r>
          </w:p>
        </w:tc>
        <w:tc>
          <w:tcPr>
            <w:tcW w:w="5985" w:type="dxa"/>
            <w:tcBorders>
              <w:top w:val="nil"/>
              <w:left w:val="nil"/>
              <w:bottom w:val="single" w:sz="8" w:space="0" w:color="000000"/>
              <w:right w:val="single" w:sz="8" w:space="0" w:color="000000"/>
            </w:tcBorders>
            <w:tcMar>
              <w:top w:w="100" w:type="dxa"/>
              <w:left w:w="100" w:type="dxa"/>
              <w:bottom w:w="100" w:type="dxa"/>
              <w:right w:w="100" w:type="dxa"/>
            </w:tcMar>
            <w:hideMark/>
          </w:tcPr>
          <w:p w:rsidR="00D921F3" w:rsidRPr="00D921F3" w:rsidRDefault="0058023C" w:rsidP="0058023C">
            <w:pPr>
              <w:pStyle w:val="BodyText"/>
              <w:rPr>
                <w:lang w:bidi="ar-SY"/>
              </w:rPr>
            </w:pPr>
            <w:r>
              <w:rPr>
                <w:rFonts w:hint="cs"/>
                <w:rtl/>
                <w:lang w:bidi="ar-SY"/>
              </w:rPr>
              <w:t>الأرجنتين، أستراليا، بيلاروس، جزر كوك، كرواتيا، دانمرك، إكوادور، فرنسا، ألمانيا، اليونان، إندونيسيا، جمايكا، اليابان، ليبريا، ليتوانيا، ملاوي، هولندا، البرتغال، رومانيا، سنغافورة، سلوفاكيا، السويد، الولايات المتحدة الأمريكية.</w:t>
            </w:r>
          </w:p>
        </w:tc>
      </w:tr>
      <w:tr w:rsidR="00D921F3" w:rsidRPr="00D921F3" w:rsidTr="00D921F3">
        <w:trPr>
          <w:trHeight w:val="1740"/>
        </w:trPr>
        <w:tc>
          <w:tcPr>
            <w:tcW w:w="1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D921F3" w:rsidRPr="00276423" w:rsidRDefault="00276423" w:rsidP="00D921F3">
            <w:pPr>
              <w:pStyle w:val="BodyText"/>
              <w:rPr>
                <w:rtl/>
                <w:lang w:val="fr-CH" w:bidi="ar-SY"/>
              </w:rPr>
            </w:pPr>
            <w:r>
              <w:rPr>
                <w:rFonts w:hint="cs"/>
                <w:rtl/>
                <w:lang w:val="fr-CH" w:bidi="ar-SY"/>
              </w:rPr>
              <w:t>لا تشير بالتحديد إلى الإعاقات، لكنه</w:t>
            </w:r>
            <w:r w:rsidR="00EC5117">
              <w:rPr>
                <w:rFonts w:hint="cs"/>
                <w:rtl/>
                <w:lang w:val="fr-CH" w:bidi="ar-SY"/>
              </w:rPr>
              <w:t>ا</w:t>
            </w:r>
            <w:r>
              <w:rPr>
                <w:rFonts w:hint="cs"/>
                <w:rtl/>
                <w:lang w:val="fr-CH" w:bidi="ar-SY"/>
              </w:rPr>
              <w:t xml:space="preserve"> تسمح عموماً بتعديل مصنف أو ترجمته أو تغييره أو تطويره إلى مصنف آخر</w:t>
            </w:r>
          </w:p>
        </w:tc>
        <w:tc>
          <w:tcPr>
            <w:tcW w:w="1301" w:type="dxa"/>
            <w:tcBorders>
              <w:top w:val="nil"/>
              <w:left w:val="nil"/>
              <w:bottom w:val="single" w:sz="8" w:space="0" w:color="000000"/>
              <w:right w:val="single" w:sz="8" w:space="0" w:color="000000"/>
            </w:tcBorders>
            <w:tcMar>
              <w:top w:w="100" w:type="dxa"/>
              <w:left w:w="100" w:type="dxa"/>
              <w:bottom w:w="100" w:type="dxa"/>
              <w:right w:w="100" w:type="dxa"/>
            </w:tcMar>
            <w:hideMark/>
          </w:tcPr>
          <w:p w:rsidR="00D921F3" w:rsidRPr="00D921F3" w:rsidRDefault="00D921F3" w:rsidP="00D921F3">
            <w:pPr>
              <w:pStyle w:val="BodyText"/>
              <w:rPr>
                <w:lang w:bidi="ar-SY"/>
              </w:rPr>
            </w:pPr>
            <w:r w:rsidRPr="00D921F3">
              <w:rPr>
                <w:lang w:bidi="ar-SY"/>
              </w:rPr>
              <w:t>1</w:t>
            </w:r>
          </w:p>
        </w:tc>
        <w:tc>
          <w:tcPr>
            <w:tcW w:w="5985" w:type="dxa"/>
            <w:tcBorders>
              <w:top w:val="nil"/>
              <w:left w:val="nil"/>
              <w:bottom w:val="single" w:sz="8" w:space="0" w:color="000000"/>
              <w:right w:val="single" w:sz="8" w:space="0" w:color="000000"/>
            </w:tcBorders>
            <w:tcMar>
              <w:top w:w="100" w:type="dxa"/>
              <w:left w:w="100" w:type="dxa"/>
              <w:bottom w:w="100" w:type="dxa"/>
              <w:right w:w="100" w:type="dxa"/>
            </w:tcMar>
            <w:hideMark/>
          </w:tcPr>
          <w:p w:rsidR="00D921F3" w:rsidRPr="00D921F3" w:rsidRDefault="0058023C" w:rsidP="00D921F3">
            <w:pPr>
              <w:pStyle w:val="BodyText"/>
              <w:rPr>
                <w:lang w:bidi="ar-SY"/>
              </w:rPr>
            </w:pPr>
            <w:r>
              <w:rPr>
                <w:rFonts w:hint="cs"/>
                <w:rtl/>
                <w:lang w:bidi="ar-SY"/>
              </w:rPr>
              <w:t>الكويت</w:t>
            </w:r>
            <w:r w:rsidR="00D921F3" w:rsidRPr="00D921F3">
              <w:rPr>
                <w:lang w:bidi="ar-SY"/>
              </w:rPr>
              <w:t xml:space="preserve"> </w:t>
            </w:r>
          </w:p>
        </w:tc>
      </w:tr>
      <w:tr w:rsidR="00D921F3" w:rsidRPr="00D921F3" w:rsidTr="00D921F3">
        <w:trPr>
          <w:trHeight w:val="1280"/>
        </w:trPr>
        <w:tc>
          <w:tcPr>
            <w:tcW w:w="1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D921F3" w:rsidRPr="00276423" w:rsidRDefault="00276423" w:rsidP="00276423">
            <w:pPr>
              <w:pStyle w:val="BodyText"/>
              <w:rPr>
                <w:lang w:val="fr-CH" w:bidi="ar-SY"/>
              </w:rPr>
            </w:pPr>
            <w:r>
              <w:rPr>
                <w:rFonts w:hint="cs"/>
                <w:rtl/>
                <w:lang w:val="fr-CH" w:bidi="ar-SY"/>
              </w:rPr>
              <w:t>لا يمكن التأكد بسبب حاجز اللغة</w:t>
            </w:r>
          </w:p>
        </w:tc>
        <w:tc>
          <w:tcPr>
            <w:tcW w:w="1301" w:type="dxa"/>
            <w:tcBorders>
              <w:top w:val="nil"/>
              <w:left w:val="nil"/>
              <w:bottom w:val="single" w:sz="8" w:space="0" w:color="000000"/>
              <w:right w:val="single" w:sz="8" w:space="0" w:color="000000"/>
            </w:tcBorders>
            <w:tcMar>
              <w:top w:w="100" w:type="dxa"/>
              <w:left w:w="100" w:type="dxa"/>
              <w:bottom w:w="100" w:type="dxa"/>
              <w:right w:w="100" w:type="dxa"/>
            </w:tcMar>
            <w:hideMark/>
          </w:tcPr>
          <w:p w:rsidR="00D921F3" w:rsidRPr="00D921F3" w:rsidRDefault="00D921F3" w:rsidP="00D921F3">
            <w:pPr>
              <w:pStyle w:val="BodyText"/>
              <w:rPr>
                <w:lang w:bidi="ar-SY"/>
              </w:rPr>
            </w:pPr>
            <w:r w:rsidRPr="00D921F3">
              <w:rPr>
                <w:lang w:bidi="ar-SY"/>
              </w:rPr>
              <w:t>3</w:t>
            </w:r>
          </w:p>
        </w:tc>
        <w:tc>
          <w:tcPr>
            <w:tcW w:w="5985" w:type="dxa"/>
            <w:tcBorders>
              <w:top w:val="nil"/>
              <w:left w:val="nil"/>
              <w:bottom w:val="single" w:sz="8" w:space="0" w:color="000000"/>
              <w:right w:val="single" w:sz="8" w:space="0" w:color="000000"/>
            </w:tcBorders>
            <w:tcMar>
              <w:top w:w="100" w:type="dxa"/>
              <w:left w:w="100" w:type="dxa"/>
              <w:bottom w:w="100" w:type="dxa"/>
              <w:right w:w="100" w:type="dxa"/>
            </w:tcMar>
            <w:hideMark/>
          </w:tcPr>
          <w:p w:rsidR="00D921F3" w:rsidRPr="00D921F3" w:rsidRDefault="00276423" w:rsidP="00D921F3">
            <w:pPr>
              <w:pStyle w:val="BodyText"/>
              <w:rPr>
                <w:lang w:bidi="ar-SY"/>
              </w:rPr>
            </w:pPr>
            <w:r>
              <w:rPr>
                <w:rFonts w:hint="cs"/>
                <w:rtl/>
                <w:lang w:bidi="ar-SY"/>
              </w:rPr>
              <w:t>جمهورية أفريقيا الوسطى، الكرسي الرسولي، الاتحاد الروسي</w:t>
            </w:r>
          </w:p>
        </w:tc>
      </w:tr>
    </w:tbl>
    <w:p w:rsidR="00D921F3" w:rsidRDefault="00D921F3" w:rsidP="00D921F3">
      <w:pPr>
        <w:pStyle w:val="BodyText"/>
        <w:spacing w:before="0"/>
        <w:rPr>
          <w:rtl/>
          <w:lang w:bidi="ar-SY"/>
        </w:rPr>
      </w:pPr>
    </w:p>
    <w:p w:rsidR="00276423" w:rsidRPr="00276423" w:rsidRDefault="00276423" w:rsidP="00D158D5">
      <w:pPr>
        <w:pStyle w:val="BodyText"/>
        <w:rPr>
          <w:i/>
          <w:iCs/>
          <w:rtl/>
          <w:lang w:bidi="ar-SY"/>
        </w:rPr>
      </w:pPr>
      <w:r w:rsidRPr="00276423">
        <w:rPr>
          <w:rFonts w:hint="cs"/>
          <w:i/>
          <w:iCs/>
          <w:rtl/>
          <w:lang w:bidi="ar-SY"/>
        </w:rPr>
        <w:t>ملاحظة:</w:t>
      </w:r>
      <w:r>
        <w:rPr>
          <w:i/>
          <w:iCs/>
          <w:rtl/>
          <w:lang w:bidi="ar-SY"/>
        </w:rPr>
        <w:tab/>
      </w:r>
      <w:r w:rsidRPr="00276423">
        <w:rPr>
          <w:rFonts w:hint="cs"/>
          <w:i/>
          <w:iCs/>
          <w:rtl/>
          <w:lang w:bidi="ar-SY"/>
        </w:rPr>
        <w:t xml:space="preserve"> </w:t>
      </w:r>
      <w:r w:rsidR="009011FE">
        <w:rPr>
          <w:rFonts w:hint="cs"/>
          <w:i/>
          <w:iCs/>
          <w:rtl/>
          <w:lang w:bidi="ar-SY"/>
        </w:rPr>
        <w:t xml:space="preserve">تحتوي النسخة الإنجليزية على </w:t>
      </w:r>
      <w:r w:rsidRPr="00276423">
        <w:rPr>
          <w:rFonts w:hint="cs"/>
          <w:i/>
          <w:iCs/>
          <w:rtl/>
          <w:lang w:bidi="ar-SY"/>
        </w:rPr>
        <w:t xml:space="preserve">جدول </w:t>
      </w:r>
      <w:r w:rsidR="009011FE">
        <w:rPr>
          <w:rFonts w:hint="cs"/>
          <w:i/>
          <w:iCs/>
          <w:rtl/>
          <w:lang w:bidi="ar-SY"/>
        </w:rPr>
        <w:t>شامل ل</w:t>
      </w:r>
      <w:r w:rsidRPr="00276423">
        <w:rPr>
          <w:rFonts w:hint="cs"/>
          <w:i/>
          <w:iCs/>
          <w:rtl/>
          <w:lang w:bidi="ar-SY"/>
        </w:rPr>
        <w:t>جميع الدول الأعضاء في الويبو.</w:t>
      </w:r>
    </w:p>
    <w:p w:rsidR="00276423" w:rsidRPr="005A46AD" w:rsidRDefault="00276423" w:rsidP="009011FE">
      <w:pPr>
        <w:pStyle w:val="Endofdocument-Annex"/>
      </w:pPr>
      <w:r>
        <w:rPr>
          <w:rtl/>
        </w:rPr>
        <w:t>[</w:t>
      </w:r>
      <w:r>
        <w:rPr>
          <w:rFonts w:hint="cs"/>
          <w:rtl/>
        </w:rPr>
        <w:t xml:space="preserve">نهاية </w:t>
      </w:r>
      <w:r w:rsidRPr="009011FE">
        <w:rPr>
          <w:rFonts w:hint="cs"/>
          <w:rtl/>
        </w:rPr>
        <w:t>الوثيقة</w:t>
      </w:r>
      <w:r>
        <w:rPr>
          <w:rtl/>
        </w:rPr>
        <w:t>]</w:t>
      </w:r>
    </w:p>
    <w:p w:rsidR="0058023C" w:rsidRPr="00D921F3" w:rsidRDefault="0058023C" w:rsidP="00276423">
      <w:pPr>
        <w:pStyle w:val="BodyText"/>
        <w:spacing w:before="0"/>
        <w:rPr>
          <w:lang w:bidi="ar-SY"/>
        </w:rPr>
      </w:pPr>
    </w:p>
    <w:sectPr w:rsidR="0058023C" w:rsidRPr="00D921F3"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273" w:rsidRDefault="000E3273">
      <w:r>
        <w:separator/>
      </w:r>
    </w:p>
  </w:endnote>
  <w:endnote w:type="continuationSeparator" w:id="0">
    <w:p w:rsidR="000E3273" w:rsidRDefault="000E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273" w:rsidRDefault="000E3273" w:rsidP="009622BF">
      <w:bookmarkStart w:id="0" w:name="OLE_LINK1"/>
      <w:bookmarkStart w:id="1" w:name="OLE_LINK2"/>
      <w:r>
        <w:separator/>
      </w:r>
      <w:bookmarkEnd w:id="0"/>
      <w:bookmarkEnd w:id="1"/>
    </w:p>
  </w:footnote>
  <w:footnote w:type="continuationSeparator" w:id="0">
    <w:p w:rsidR="000E3273" w:rsidRDefault="000E3273" w:rsidP="009622BF">
      <w:r>
        <w:separator/>
      </w:r>
    </w:p>
  </w:footnote>
  <w:footnote w:id="1">
    <w:p w:rsidR="00B26DDD" w:rsidRDefault="00B26DDD" w:rsidP="00CB4AA1">
      <w:pPr>
        <w:pStyle w:val="FootnoteText"/>
        <w:rPr>
          <w:lang w:bidi="ar-SY"/>
        </w:rPr>
      </w:pPr>
      <w:r>
        <w:rPr>
          <w:rStyle w:val="FootnoteReference"/>
        </w:rPr>
        <w:footnoteRef/>
      </w:r>
      <w:r>
        <w:rPr>
          <w:rtl/>
        </w:rPr>
        <w:t xml:space="preserve"> </w:t>
      </w:r>
      <w:r>
        <w:rPr>
          <w:rFonts w:hint="cs"/>
          <w:rtl/>
          <w:lang w:bidi="ar-SY"/>
        </w:rPr>
        <w:t xml:space="preserve">إعداد أنساق ميسرة من المصنفات المحمية قد </w:t>
      </w:r>
      <w:r w:rsidR="00B568BF">
        <w:rPr>
          <w:rFonts w:hint="cs"/>
          <w:rtl/>
          <w:lang w:bidi="ar-SY"/>
        </w:rPr>
        <w:t xml:space="preserve">تتداخل مع </w:t>
      </w:r>
      <w:r>
        <w:rPr>
          <w:rFonts w:hint="cs"/>
          <w:rtl/>
          <w:lang w:bidi="ar-SY"/>
        </w:rPr>
        <w:t xml:space="preserve">حق النسخ وحق </w:t>
      </w:r>
      <w:r w:rsidR="00B568BF">
        <w:rPr>
          <w:rFonts w:hint="cs"/>
          <w:rtl/>
          <w:lang w:bidi="ar-SY"/>
        </w:rPr>
        <w:t xml:space="preserve">التوزيع </w:t>
      </w:r>
      <w:r>
        <w:rPr>
          <w:rFonts w:hint="cs"/>
          <w:rtl/>
          <w:lang w:bidi="ar-SY"/>
        </w:rPr>
        <w:t xml:space="preserve">على حد سواء. أولاً، فإن تغيير محتوى المصنفات المحمية الأصلي لجعلها ميسورة، هي مسألة تنتهك في كثير من الأحيان الحق الاستئثاري في النسخ. وثانياً، لا تكون جهود النفاذ فعالة إلاً في حالة توفيرها أو توزيعها على الأشخاص ذوي الإعاقات. لذا، فقد </w:t>
      </w:r>
      <w:r w:rsidR="00B568BF">
        <w:rPr>
          <w:rFonts w:hint="cs"/>
          <w:rtl/>
          <w:lang w:bidi="ar-SY"/>
        </w:rPr>
        <w:t xml:space="preserve">تتداخل </w:t>
      </w:r>
      <w:r>
        <w:rPr>
          <w:rFonts w:hint="cs"/>
          <w:rtl/>
          <w:lang w:bidi="ar-SY"/>
        </w:rPr>
        <w:t xml:space="preserve">جهود النفاذ أيضاً </w:t>
      </w:r>
      <w:r w:rsidR="00CB4AA1">
        <w:rPr>
          <w:rFonts w:hint="cs"/>
          <w:rtl/>
          <w:lang w:bidi="ar-SY"/>
        </w:rPr>
        <w:t>مع</w:t>
      </w:r>
      <w:r w:rsidR="00B568BF">
        <w:rPr>
          <w:rFonts w:hint="cs"/>
          <w:rtl/>
          <w:lang w:bidi="ar-SY"/>
        </w:rPr>
        <w:t xml:space="preserve"> </w:t>
      </w:r>
      <w:r>
        <w:rPr>
          <w:rFonts w:hint="cs"/>
          <w:rtl/>
          <w:lang w:bidi="ar-SY"/>
        </w:rPr>
        <w:t xml:space="preserve">الحق الاستئثاري في </w:t>
      </w:r>
      <w:r w:rsidR="00B568BF">
        <w:rPr>
          <w:rFonts w:hint="cs"/>
          <w:rtl/>
          <w:lang w:bidi="ar-SY"/>
        </w:rPr>
        <w:t>التوزيع</w:t>
      </w:r>
      <w:r>
        <w:rPr>
          <w:rFonts w:hint="cs"/>
          <w:rtl/>
          <w:lang w:bidi="ar-SY"/>
        </w:rPr>
        <w:t>.</w:t>
      </w:r>
    </w:p>
  </w:footnote>
  <w:footnote w:id="2">
    <w:p w:rsidR="00B26DDD" w:rsidRDefault="00B26DDD" w:rsidP="006C4527">
      <w:pPr>
        <w:pStyle w:val="FootnoteText"/>
        <w:rPr>
          <w:lang w:bidi="ar-SY"/>
        </w:rPr>
      </w:pPr>
      <w:r>
        <w:rPr>
          <w:rStyle w:val="FootnoteReference"/>
        </w:rPr>
        <w:footnoteRef/>
      </w:r>
      <w:r>
        <w:rPr>
          <w:rtl/>
        </w:rPr>
        <w:t xml:space="preserve"> </w:t>
      </w:r>
      <w:r>
        <w:rPr>
          <w:rFonts w:hint="cs"/>
          <w:rtl/>
        </w:rPr>
        <w:t xml:space="preserve">انظر مثلاً، لجنة </w:t>
      </w:r>
      <w:r w:rsidR="006C4527">
        <w:rPr>
          <w:rFonts w:hint="cs"/>
          <w:rtl/>
        </w:rPr>
        <w:t xml:space="preserve">الويبو </w:t>
      </w:r>
      <w:r>
        <w:rPr>
          <w:rFonts w:hint="cs"/>
          <w:rtl/>
        </w:rPr>
        <w:t>الدائمة المعنية بحق المؤلف والحقوق المجاورة، مشروع تقرير الأمانة للدورة الثلاثين، الصفحة 99 (14 سبتمبر 2015).</w:t>
      </w:r>
    </w:p>
  </w:footnote>
  <w:footnote w:id="3">
    <w:p w:rsidR="00B26DDD" w:rsidRDefault="00B26DDD" w:rsidP="006C4527">
      <w:pPr>
        <w:pStyle w:val="FootnoteText"/>
      </w:pPr>
      <w:r>
        <w:rPr>
          <w:rStyle w:val="FootnoteReference"/>
        </w:rPr>
        <w:footnoteRef/>
      </w:r>
      <w:r>
        <w:rPr>
          <w:rtl/>
        </w:rPr>
        <w:t xml:space="preserve"> </w:t>
      </w:r>
      <w:r>
        <w:rPr>
          <w:rFonts w:hint="cs"/>
          <w:rtl/>
        </w:rPr>
        <w:t xml:space="preserve">لجنة </w:t>
      </w:r>
      <w:r w:rsidR="006C4527">
        <w:rPr>
          <w:rFonts w:hint="cs"/>
          <w:rtl/>
        </w:rPr>
        <w:t xml:space="preserve">الويبو </w:t>
      </w:r>
      <w:r>
        <w:rPr>
          <w:rFonts w:hint="cs"/>
          <w:rtl/>
        </w:rPr>
        <w:t xml:space="preserve">الدائمة المعنية بحق المؤلف والحقوق المجاورة، </w:t>
      </w:r>
      <w:r w:rsidRPr="0035032A">
        <w:rPr>
          <w:rtl/>
        </w:rPr>
        <w:t>دراسة نطاق بشأن نفاذ الأشخاص ذوي الإعاقات إلى المصنفات المحمية بحق المؤلف</w:t>
      </w:r>
      <w:r>
        <w:rPr>
          <w:rFonts w:hint="cs"/>
          <w:rtl/>
        </w:rPr>
        <w:t xml:space="preserve"> (13-17 نوفمبر 2017).</w:t>
      </w:r>
    </w:p>
  </w:footnote>
  <w:footnote w:id="4">
    <w:p w:rsidR="00B26DDD" w:rsidRDefault="00B26DDD" w:rsidP="004271E8">
      <w:pPr>
        <w:pStyle w:val="FootnoteText"/>
      </w:pPr>
      <w:r>
        <w:rPr>
          <w:rStyle w:val="FootnoteReference"/>
        </w:rPr>
        <w:footnoteRef/>
      </w:r>
      <w:r>
        <w:rPr>
          <w:rtl/>
        </w:rPr>
        <w:t xml:space="preserve"> </w:t>
      </w:r>
      <w:r>
        <w:rPr>
          <w:rFonts w:hint="cs"/>
          <w:rtl/>
        </w:rPr>
        <w:t>منظمة الصحة العالمية، صحيفة الوقائع الخاصة بالعجز والصحة (نوفمبر 2016)،</w:t>
      </w:r>
      <w:hyperlink r:id="rId1" w:history="1">
        <w:r w:rsidRPr="002F50BD">
          <w:rPr>
            <w:rStyle w:val="Hyperlink"/>
            <w:color w:val="auto"/>
          </w:rPr>
          <w:t>https://www.who.int/ar/news-room/fact-sheets/detail/disability-and-health</w:t>
        </w:r>
      </w:hyperlink>
      <w:r>
        <w:rPr>
          <w:rFonts w:hint="cs"/>
          <w:rtl/>
        </w:rPr>
        <w:t>.</w:t>
      </w:r>
    </w:p>
  </w:footnote>
  <w:footnote w:id="5">
    <w:p w:rsidR="00B26DDD" w:rsidRPr="004271E8" w:rsidRDefault="00B26DDD">
      <w:pPr>
        <w:pStyle w:val="FootnoteText"/>
        <w:rPr>
          <w:rtl/>
          <w:lang w:val="fr-CH" w:bidi="ar-SY"/>
        </w:rPr>
      </w:pPr>
      <w:r>
        <w:rPr>
          <w:rStyle w:val="FootnoteReference"/>
        </w:rPr>
        <w:footnoteRef/>
      </w:r>
      <w:r>
        <w:rPr>
          <w:rtl/>
        </w:rPr>
        <w:t xml:space="preserve"> </w:t>
      </w:r>
      <w:r w:rsidRPr="004271E8">
        <w:rPr>
          <w:rFonts w:hint="cs"/>
          <w:i/>
          <w:iCs/>
          <w:rtl/>
          <w:lang w:val="fr-CH" w:bidi="ar-SY"/>
        </w:rPr>
        <w:t>مكرّر.</w:t>
      </w:r>
    </w:p>
  </w:footnote>
  <w:footnote w:id="6">
    <w:p w:rsidR="00B26DDD" w:rsidRPr="005E3680" w:rsidRDefault="00B26DDD" w:rsidP="005E3680">
      <w:pPr>
        <w:pStyle w:val="FootnoteText"/>
        <w:rPr>
          <w:i/>
          <w:iCs/>
          <w:lang w:val="fr-CH" w:bidi="ar-SY"/>
        </w:rPr>
      </w:pPr>
      <w:r>
        <w:rPr>
          <w:rStyle w:val="FootnoteReference"/>
        </w:rPr>
        <w:footnoteRef/>
      </w:r>
      <w:r>
        <w:rPr>
          <w:rtl/>
        </w:rPr>
        <w:t xml:space="preserve"> </w:t>
      </w:r>
      <w:r w:rsidRPr="004271E8">
        <w:rPr>
          <w:rFonts w:hint="cs"/>
          <w:i/>
          <w:iCs/>
          <w:rtl/>
          <w:lang w:val="fr-CH" w:bidi="ar-SY"/>
        </w:rPr>
        <w:t>مكرّر.</w:t>
      </w:r>
    </w:p>
  </w:footnote>
  <w:footnote w:id="7">
    <w:p w:rsidR="00B26DDD" w:rsidRDefault="00B26DDD" w:rsidP="005E3680">
      <w:pPr>
        <w:pStyle w:val="FootnoteText"/>
        <w:rPr>
          <w:lang w:bidi="ar-SY"/>
        </w:rPr>
      </w:pPr>
      <w:r>
        <w:rPr>
          <w:rStyle w:val="FootnoteReference"/>
        </w:rPr>
        <w:footnoteRef/>
      </w:r>
      <w:r>
        <w:rPr>
          <w:rtl/>
        </w:rPr>
        <w:t xml:space="preserve"> </w:t>
      </w:r>
      <w:r>
        <w:rPr>
          <w:rFonts w:hint="cs"/>
          <w:rtl/>
          <w:lang w:val="fr-CH" w:bidi="ar-SY"/>
        </w:rPr>
        <w:t xml:space="preserve">مركز البحوث والنهوض بالقانون </w:t>
      </w:r>
      <w:r>
        <w:rPr>
          <w:lang w:bidi="ar-SY"/>
        </w:rPr>
        <w:t>(CRPD)</w:t>
      </w:r>
      <w:r>
        <w:rPr>
          <w:rFonts w:hint="cs"/>
          <w:rtl/>
          <w:lang w:val="fr-CH" w:bidi="ar-SY"/>
        </w:rPr>
        <w:t>، الملحوظة 1، الديباجة.</w:t>
      </w:r>
    </w:p>
  </w:footnote>
  <w:footnote w:id="8">
    <w:p w:rsidR="00B26DDD" w:rsidRPr="00F36CF6" w:rsidRDefault="00B26DDD" w:rsidP="00F36CF6">
      <w:pPr>
        <w:pStyle w:val="FootnoteText"/>
        <w:rPr>
          <w:rtl/>
          <w:lang w:val="fr-CH" w:bidi="ar-SY"/>
        </w:rPr>
      </w:pPr>
      <w:r>
        <w:rPr>
          <w:rStyle w:val="FootnoteReference"/>
        </w:rPr>
        <w:footnoteRef/>
      </w:r>
      <w:r>
        <w:rPr>
          <w:rtl/>
        </w:rPr>
        <w:t xml:space="preserve"> </w:t>
      </w:r>
      <w:r w:rsidRPr="002F50BD">
        <w:rPr>
          <w:rFonts w:hint="cs"/>
          <w:i/>
          <w:iCs/>
          <w:rtl/>
        </w:rPr>
        <w:t>انظر</w:t>
      </w:r>
      <w:r>
        <w:rPr>
          <w:rFonts w:hint="cs"/>
          <w:rtl/>
        </w:rPr>
        <w:t xml:space="preserve"> </w:t>
      </w:r>
      <w:proofErr w:type="spellStart"/>
      <w:r>
        <w:t>Marit</w:t>
      </w:r>
      <w:proofErr w:type="spellEnd"/>
      <w:r>
        <w:t xml:space="preserve"> Rasmussen</w:t>
      </w:r>
      <w:r>
        <w:rPr>
          <w:rFonts w:hint="cs"/>
          <w:rtl/>
          <w:lang w:bidi="ar-SY"/>
        </w:rPr>
        <w:t xml:space="preserve"> و</w:t>
      </w:r>
      <w:r>
        <w:rPr>
          <w:lang w:bidi="ar-SY"/>
        </w:rPr>
        <w:t>Olivier Lewis</w:t>
      </w:r>
      <w:r>
        <w:rPr>
          <w:rFonts w:hint="cs"/>
          <w:rtl/>
          <w:lang w:val="fr-CH" w:bidi="ar-SY"/>
        </w:rPr>
        <w:t xml:space="preserve">، ملاحظة تمهيدية إلى اتفاقية الأمم المتحدة بشأن حقوق الأشخاص ذوي الإعاقات، </w:t>
      </w:r>
      <w:r w:rsidRPr="002F50BD">
        <w:rPr>
          <w:szCs w:val="40"/>
        </w:rPr>
        <w:t>46 I.L.M. 441</w:t>
      </w:r>
      <w:r w:rsidRPr="002F50BD">
        <w:rPr>
          <w:rFonts w:hint="cs"/>
          <w:szCs w:val="40"/>
          <w:rtl/>
        </w:rPr>
        <w:t xml:space="preserve"> </w:t>
      </w:r>
      <w:r>
        <w:rPr>
          <w:rFonts w:hint="cs"/>
          <w:sz w:val="20"/>
          <w:rtl/>
        </w:rPr>
        <w:t>(2007).</w:t>
      </w:r>
    </w:p>
  </w:footnote>
  <w:footnote w:id="9">
    <w:p w:rsidR="00B26DDD" w:rsidRPr="001D026D" w:rsidRDefault="00B26DDD">
      <w:pPr>
        <w:pStyle w:val="FootnoteText"/>
        <w:rPr>
          <w:sz w:val="22"/>
          <w:szCs w:val="22"/>
          <w:lang w:bidi="ar-SY"/>
        </w:rPr>
      </w:pPr>
      <w:r w:rsidRPr="001D026D">
        <w:rPr>
          <w:rStyle w:val="FootnoteReference"/>
        </w:rPr>
        <w:footnoteRef/>
      </w:r>
      <w:r w:rsidRPr="001D026D">
        <w:rPr>
          <w:rtl/>
        </w:rPr>
        <w:t xml:space="preserve"> </w:t>
      </w:r>
      <w:hyperlink r:id="rId2" w:history="1">
        <w:r w:rsidRPr="001D026D">
          <w:rPr>
            <w:rStyle w:val="Hyperlink"/>
            <w:color w:val="auto"/>
            <w:sz w:val="22"/>
            <w:szCs w:val="22"/>
            <w:u w:val="none"/>
          </w:rPr>
          <w:t>https://www.wipo.int/edocs/mdocs/copyright/en/sccr_35/sccr_35_3_rev.pdf</w:t>
        </w:r>
      </w:hyperlink>
      <w:r w:rsidRPr="001D026D">
        <w:rPr>
          <w:rFonts w:hint="cs"/>
          <w:sz w:val="22"/>
          <w:szCs w:val="22"/>
          <w:rtl/>
        </w:rPr>
        <w:t xml:space="preserve"> </w:t>
      </w:r>
    </w:p>
  </w:footnote>
  <w:footnote w:id="10">
    <w:p w:rsidR="00B26DDD" w:rsidRDefault="00B26DDD" w:rsidP="00B836EF">
      <w:pPr>
        <w:pStyle w:val="FootnoteText"/>
        <w:rPr>
          <w:lang w:bidi="ar-SY"/>
        </w:rPr>
      </w:pPr>
      <w:r>
        <w:rPr>
          <w:rStyle w:val="FootnoteReference"/>
        </w:rPr>
        <w:footnoteRef/>
      </w:r>
      <w:r>
        <w:rPr>
          <w:rtl/>
        </w:rPr>
        <w:t xml:space="preserve"> </w:t>
      </w:r>
      <w:r>
        <w:rPr>
          <w:rFonts w:hint="cs"/>
          <w:rtl/>
        </w:rPr>
        <w:t xml:space="preserve">قد تتعامل بعض البلدان مع المعاهدات على أنها ذاتية التنفيذ: </w:t>
      </w:r>
      <w:r w:rsidRPr="008B41E8">
        <w:rPr>
          <w:rFonts w:hint="cs"/>
          <w:i/>
          <w:iCs/>
          <w:rtl/>
        </w:rPr>
        <w:t>انظر</w:t>
      </w:r>
      <w:r>
        <w:rPr>
          <w:rFonts w:hint="cs"/>
          <w:rtl/>
        </w:rPr>
        <w:t xml:space="preserve"> </w:t>
      </w:r>
      <w:r w:rsidR="00B836EF">
        <w:rPr>
          <w:rFonts w:hint="cs"/>
          <w:rtl/>
        </w:rPr>
        <w:t>ردود</w:t>
      </w:r>
      <w:r>
        <w:rPr>
          <w:rFonts w:hint="cs"/>
          <w:rtl/>
        </w:rPr>
        <w:t xml:space="preserve"> الدول الأعضاء في الجدول 6 من </w:t>
      </w:r>
      <w:r w:rsidR="00B836EF">
        <w:rPr>
          <w:rFonts w:hint="cs"/>
          <w:rtl/>
        </w:rPr>
        <w:t>الملحق.</w:t>
      </w:r>
    </w:p>
  </w:footnote>
  <w:footnote w:id="11">
    <w:p w:rsidR="00B26DDD" w:rsidRDefault="00B26DDD" w:rsidP="007468E2">
      <w:pPr>
        <w:pStyle w:val="FootnoteText"/>
        <w:rPr>
          <w:lang w:bidi="ar-SY"/>
        </w:rPr>
      </w:pPr>
      <w:r>
        <w:rPr>
          <w:rStyle w:val="FootnoteReference"/>
        </w:rPr>
        <w:footnoteRef/>
      </w:r>
      <w:r>
        <w:rPr>
          <w:rtl/>
        </w:rPr>
        <w:t xml:space="preserve"> </w:t>
      </w:r>
      <w:r>
        <w:rPr>
          <w:rFonts w:hint="cs"/>
          <w:rtl/>
        </w:rPr>
        <w:t xml:space="preserve">جوديت سوليفان، </w:t>
      </w:r>
      <w:r w:rsidRPr="008B41E8">
        <w:rPr>
          <w:rFonts w:hint="cs"/>
          <w:i/>
          <w:iCs/>
          <w:rtl/>
        </w:rPr>
        <w:t>دراسة بشأن التقييدات والاستثناءات على حق المؤلف لفائدة ذوي الإعاقة البصرية،</w:t>
      </w:r>
      <w:r>
        <w:rPr>
          <w:rFonts w:hint="cs"/>
          <w:i/>
          <w:iCs/>
          <w:rtl/>
        </w:rPr>
        <w:t xml:space="preserve"> </w:t>
      </w:r>
      <w:r w:rsidRPr="008B41E8">
        <w:rPr>
          <w:rFonts w:hint="cs"/>
          <w:rtl/>
        </w:rPr>
        <w:t>الصفحة</w:t>
      </w:r>
      <w:r>
        <w:rPr>
          <w:rFonts w:hint="cs"/>
          <w:rtl/>
        </w:rPr>
        <w:t xml:space="preserve"> 16 (2006).</w:t>
      </w:r>
    </w:p>
  </w:footnote>
  <w:footnote w:id="12">
    <w:p w:rsidR="00B26DDD" w:rsidRDefault="00B26DDD" w:rsidP="007468E2">
      <w:pPr>
        <w:pStyle w:val="FootnoteText"/>
        <w:rPr>
          <w:lang w:bidi="ar-SY"/>
        </w:rPr>
      </w:pPr>
      <w:r>
        <w:rPr>
          <w:rStyle w:val="FootnoteReference"/>
        </w:rPr>
        <w:footnoteRef/>
      </w:r>
      <w:r>
        <w:rPr>
          <w:rtl/>
        </w:rPr>
        <w:t xml:space="preserve"> </w:t>
      </w:r>
      <w:r>
        <w:rPr>
          <w:rFonts w:hint="cs"/>
          <w:rtl/>
        </w:rPr>
        <w:t xml:space="preserve">توم سمونيت، </w:t>
      </w:r>
      <w:r w:rsidRPr="00545C03">
        <w:rPr>
          <w:rFonts w:hint="cs"/>
          <w:i/>
          <w:iCs/>
          <w:rtl/>
        </w:rPr>
        <w:t>التعلم الآلي يتيح سبلاً جديدة لمساعدة الأشخاص ذوي الإعاقات</w:t>
      </w:r>
      <w:r>
        <w:rPr>
          <w:rFonts w:hint="cs"/>
          <w:rtl/>
        </w:rPr>
        <w:t xml:space="preserve">، معهد ماساتشوستس للتكنولوجيا، مجلة التكنولوجيا (23 مارس 2017)، </w:t>
      </w:r>
      <w:r w:rsidRPr="00545C03">
        <w:t>https://www.technologyreview.com/s/603899/machine-learning-opens-up-new-ways-to-help-disabled-people/</w:t>
      </w:r>
      <w:r>
        <w:rPr>
          <w:rFonts w:hint="cs"/>
          <w:rtl/>
        </w:rPr>
        <w:t>.</w:t>
      </w:r>
    </w:p>
  </w:footnote>
  <w:footnote w:id="13">
    <w:p w:rsidR="00B26DDD" w:rsidRDefault="00B26DDD" w:rsidP="007468E2">
      <w:pPr>
        <w:pStyle w:val="FootnoteText"/>
        <w:rPr>
          <w:lang w:bidi="ar-SY"/>
        </w:rPr>
      </w:pPr>
      <w:r>
        <w:rPr>
          <w:rStyle w:val="FootnoteReference"/>
        </w:rPr>
        <w:footnoteRef/>
      </w:r>
      <w:r>
        <w:rPr>
          <w:rtl/>
        </w:rPr>
        <w:t xml:space="preserve"> </w:t>
      </w:r>
      <w:r>
        <w:rPr>
          <w:rFonts w:hint="cs"/>
          <w:rtl/>
        </w:rPr>
        <w:t xml:space="preserve">جوي شايدزيك، </w:t>
      </w:r>
      <w:r w:rsidRPr="00545C03">
        <w:rPr>
          <w:rFonts w:hint="cs"/>
          <w:i/>
          <w:iCs/>
          <w:rtl/>
        </w:rPr>
        <w:t>خمس طرق ليحول الذكاء الاصطناعي السحابي النفاذ الرقمي،</w:t>
      </w:r>
      <w:r>
        <w:rPr>
          <w:rFonts w:hint="cs"/>
          <w:rtl/>
        </w:rPr>
        <w:t xml:space="preserve"> </w:t>
      </w:r>
      <w:r w:rsidRPr="00545C03">
        <w:rPr>
          <w:i/>
        </w:rPr>
        <w:t>https://www.abilitynet.org.uk/news-blogs/5-ways-ai-could-transform-digital-accessibility</w:t>
      </w:r>
    </w:p>
  </w:footnote>
  <w:footnote w:id="14">
    <w:p w:rsidR="00B26DDD" w:rsidRPr="001D026D" w:rsidRDefault="00B26DDD" w:rsidP="007468E2">
      <w:pPr>
        <w:pStyle w:val="FootnoteText"/>
      </w:pPr>
      <w:r>
        <w:rPr>
          <w:rStyle w:val="FootnoteReference"/>
        </w:rPr>
        <w:footnoteRef/>
      </w:r>
      <w:r>
        <w:rPr>
          <w:rtl/>
        </w:rPr>
        <w:t xml:space="preserve"> </w:t>
      </w:r>
      <w:r>
        <w:rPr>
          <w:rFonts w:hint="cs"/>
          <w:rtl/>
        </w:rPr>
        <w:t xml:space="preserve">كلايتون لويس، آثار تطورات التعلم الآلي على الأشخاص ذوي الإعاقات المعرفية، معهد كولمان للإعاقات المعرفية (نوفمبر 2018)، </w:t>
      </w:r>
      <w:r w:rsidR="00E214C2">
        <w:rPr>
          <w:rStyle w:val="Hyperlink"/>
          <w:color w:val="auto"/>
          <w:u w:val="none"/>
        </w:rPr>
        <w:fldChar w:fldCharType="begin"/>
      </w:r>
      <w:r w:rsidR="00E214C2">
        <w:rPr>
          <w:rStyle w:val="Hyperlink"/>
          <w:color w:val="auto"/>
          <w:u w:val="none"/>
        </w:rPr>
        <w:instrText xml:space="preserve"> HYPERLINK "https://www.</w:instrText>
      </w:r>
      <w:r w:rsidR="00E214C2">
        <w:rPr>
          <w:rStyle w:val="Hyperlink"/>
          <w:color w:val="auto"/>
          <w:u w:val="none"/>
        </w:rPr>
        <w:instrText xml:space="preserve">colemaninstitute.org/wp-content/uploads/2018/12/white-paper-coleman-version-1.pdf" </w:instrText>
      </w:r>
      <w:r w:rsidR="00E214C2">
        <w:rPr>
          <w:rStyle w:val="Hyperlink"/>
          <w:color w:val="auto"/>
          <w:u w:val="none"/>
        </w:rPr>
        <w:fldChar w:fldCharType="separate"/>
      </w:r>
      <w:r w:rsidRPr="001D026D">
        <w:rPr>
          <w:rStyle w:val="Hyperlink"/>
          <w:color w:val="auto"/>
          <w:u w:val="none"/>
        </w:rPr>
        <w:t>https://www.colemaninstitute.org/wp-content/uploads/2018/12/white-paper-coleman-version-1.pdf</w:t>
      </w:r>
      <w:r w:rsidR="00E214C2">
        <w:rPr>
          <w:rStyle w:val="Hyperlink"/>
          <w:color w:val="auto"/>
          <w:u w:val="none"/>
        </w:rPr>
        <w:fldChar w:fldCharType="end"/>
      </w:r>
      <w:r w:rsidRPr="001D026D">
        <w:t>.</w:t>
      </w:r>
      <w:r w:rsidRPr="001D026D">
        <w:rPr>
          <w:rFonts w:hint="cs"/>
          <w:rtl/>
        </w:rPr>
        <w:t xml:space="preserve"> </w:t>
      </w:r>
    </w:p>
  </w:footnote>
  <w:footnote w:id="15">
    <w:p w:rsidR="00B26DDD" w:rsidRDefault="00B26DDD" w:rsidP="00800F69">
      <w:pPr>
        <w:pStyle w:val="FootnoteText"/>
        <w:spacing w:after="120" w:line="280" w:lineRule="exact"/>
        <w:rPr>
          <w:lang w:bidi="ar-SY"/>
        </w:rPr>
      </w:pPr>
      <w:r>
        <w:rPr>
          <w:rStyle w:val="FootnoteReference"/>
        </w:rPr>
        <w:footnoteRef/>
      </w:r>
      <w:r>
        <w:rPr>
          <w:rtl/>
        </w:rPr>
        <w:t xml:space="preserve"> </w:t>
      </w:r>
      <w:r>
        <w:rPr>
          <w:rFonts w:hint="cs"/>
          <w:rtl/>
          <w:lang w:bidi="ar-SY"/>
        </w:rPr>
        <w:t>مكرر.</w:t>
      </w:r>
    </w:p>
  </w:footnote>
  <w:footnote w:id="16">
    <w:p w:rsidR="00B26DDD" w:rsidRDefault="00B26DDD" w:rsidP="00D158D5">
      <w:pPr>
        <w:pStyle w:val="FootnoteText"/>
        <w:rPr>
          <w:lang w:bidi="ar-SY"/>
        </w:rPr>
      </w:pPr>
      <w:r>
        <w:rPr>
          <w:rStyle w:val="FootnoteReference"/>
        </w:rPr>
        <w:footnoteRef/>
      </w:r>
      <w:r>
        <w:rPr>
          <w:rtl/>
        </w:rPr>
        <w:t xml:space="preserve"> </w:t>
      </w:r>
      <w:r>
        <w:rPr>
          <w:rFonts w:hint="cs"/>
          <w:rtl/>
        </w:rPr>
        <w:t>قانون حق المؤلف</w:t>
      </w:r>
      <w:r w:rsidR="002354A2">
        <w:rPr>
          <w:rFonts w:hint="cs"/>
          <w:rtl/>
        </w:rPr>
        <w:t xml:space="preserve"> الصادر في</w:t>
      </w:r>
      <w:r>
        <w:rPr>
          <w:rFonts w:hint="cs"/>
          <w:rtl/>
        </w:rPr>
        <w:t xml:space="preserve"> 1968 (الموحد اعتباراً من 1 يناير 2019)، مُتاح على الرابط التالي: </w:t>
      </w:r>
      <w:r w:rsidRPr="006C45C0">
        <w:t>https://wipolex.wipo.int/en/text/501166</w:t>
      </w:r>
      <w:r>
        <w:rPr>
          <w:rFonts w:hint="cs"/>
          <w:rtl/>
        </w:rPr>
        <w:t xml:space="preserve"> </w:t>
      </w:r>
    </w:p>
  </w:footnote>
  <w:footnote w:id="17">
    <w:p w:rsidR="00B26DDD" w:rsidRDefault="00B26DDD" w:rsidP="00D158D5">
      <w:pPr>
        <w:pStyle w:val="FootnoteText"/>
        <w:rPr>
          <w:lang w:bidi="ar-SY"/>
        </w:rPr>
      </w:pPr>
      <w:r>
        <w:rPr>
          <w:rStyle w:val="FootnoteReference"/>
        </w:rPr>
        <w:footnoteRef/>
      </w:r>
      <w:r>
        <w:rPr>
          <w:rtl/>
        </w:rPr>
        <w:t xml:space="preserve"> </w:t>
      </w:r>
      <w:r w:rsidR="002354A2">
        <w:rPr>
          <w:rFonts w:hint="cs"/>
          <w:rtl/>
        </w:rPr>
        <w:t>قانون جمهورية أرمينيا الصادر في</w:t>
      </w:r>
      <w:r>
        <w:rPr>
          <w:rFonts w:hint="cs"/>
          <w:rtl/>
        </w:rPr>
        <w:t xml:space="preserve"> 15 يونيو 2006، بشأن حق المؤلف والحقوق المجاورة (على النحو المعدل في 30 سبتمبر 2013)، متاح على الرابط التالي: </w:t>
      </w:r>
      <w:r w:rsidRPr="0078272E">
        <w:t>available at http://www.wipo.int/wipolex/en/text.jsp?file_id=490086</w:t>
      </w:r>
    </w:p>
  </w:footnote>
  <w:footnote w:id="18">
    <w:p w:rsidR="0058662E" w:rsidRDefault="0058662E" w:rsidP="00D158D5">
      <w:pPr>
        <w:pStyle w:val="FootnoteText"/>
        <w:rPr>
          <w:lang w:bidi="ar-SY"/>
        </w:rPr>
      </w:pPr>
      <w:r>
        <w:rPr>
          <w:rStyle w:val="FootnoteReference"/>
        </w:rPr>
        <w:footnoteRef/>
      </w:r>
      <w:r>
        <w:rPr>
          <w:rtl/>
        </w:rPr>
        <w:t xml:space="preserve"> </w:t>
      </w:r>
      <w:r w:rsidRPr="00BF41A3">
        <w:t>17 U.S.C. § 107</w:t>
      </w:r>
    </w:p>
  </w:footnote>
  <w:footnote w:id="19">
    <w:p w:rsidR="00B26DDD" w:rsidRDefault="00B26DDD" w:rsidP="00D158D5">
      <w:pPr>
        <w:pStyle w:val="FootnoteText"/>
        <w:rPr>
          <w:lang w:bidi="ar-SY"/>
        </w:rPr>
      </w:pPr>
      <w:r>
        <w:rPr>
          <w:rStyle w:val="FootnoteReference"/>
        </w:rPr>
        <w:footnoteRef/>
      </w:r>
      <w:r>
        <w:rPr>
          <w:rtl/>
        </w:rPr>
        <w:t xml:space="preserve"> </w:t>
      </w:r>
      <w:r w:rsidRPr="002354A2">
        <w:rPr>
          <w:rFonts w:hint="cs"/>
          <w:i/>
          <w:iCs/>
          <w:rtl/>
        </w:rPr>
        <w:t xml:space="preserve">جولان ف. </w:t>
      </w:r>
      <w:r w:rsidRPr="002354A2">
        <w:rPr>
          <w:rFonts w:hint="cs"/>
          <w:i/>
          <w:iCs/>
          <w:rtl/>
        </w:rPr>
        <w:t>هولدر</w:t>
      </w:r>
      <w:r>
        <w:rPr>
          <w:rFonts w:hint="cs"/>
          <w:rtl/>
        </w:rPr>
        <w:t xml:space="preserve">، </w:t>
      </w:r>
      <w:r>
        <w:t>565 U.S. 302, 328</w:t>
      </w:r>
      <w:r w:rsidR="002354A2">
        <w:rPr>
          <w:rFonts w:hint="cs"/>
          <w:rtl/>
        </w:rPr>
        <w:t>، (2012) (اقتباس إ</w:t>
      </w:r>
      <w:r>
        <w:rPr>
          <w:rFonts w:hint="cs"/>
          <w:rtl/>
        </w:rPr>
        <w:t xml:space="preserve">لدريد ف اشكروفت، </w:t>
      </w:r>
      <w:r>
        <w:t>537 U.S. 186, 21</w:t>
      </w:r>
      <w:r>
        <w:rPr>
          <w:rFonts w:hint="cs"/>
          <w:rtl/>
        </w:rPr>
        <w:t xml:space="preserve"> (2013)</w:t>
      </w:r>
      <w:r w:rsidRPr="00D63E26">
        <w:rPr>
          <w:rFonts w:hint="cs"/>
          <w:rtl/>
          <w:lang w:bidi="ar-SA"/>
        </w:rPr>
        <w:t>)</w:t>
      </w:r>
    </w:p>
  </w:footnote>
  <w:footnote w:id="20">
    <w:p w:rsidR="00B26DDD" w:rsidRDefault="00B26DDD" w:rsidP="00D158D5">
      <w:pPr>
        <w:pStyle w:val="FootnoteText"/>
        <w:rPr>
          <w:lang w:bidi="ar-SY"/>
        </w:rPr>
      </w:pPr>
      <w:r>
        <w:rPr>
          <w:rStyle w:val="FootnoteReference"/>
        </w:rPr>
        <w:footnoteRef/>
      </w:r>
      <w:r>
        <w:rPr>
          <w:rtl/>
        </w:rPr>
        <w:t xml:space="preserve"> </w:t>
      </w:r>
      <w:r w:rsidRPr="00D63E26">
        <w:rPr>
          <w:i/>
        </w:rPr>
        <w:t>HathiTrust</w:t>
      </w:r>
      <w:r w:rsidRPr="00D63E26">
        <w:t>, 755 F.3d at 101-03.</w:t>
      </w:r>
    </w:p>
  </w:footnote>
  <w:footnote w:id="21">
    <w:p w:rsidR="0058662E" w:rsidRDefault="0058662E" w:rsidP="00D158D5">
      <w:pPr>
        <w:pStyle w:val="FootnoteText"/>
      </w:pPr>
      <w:r>
        <w:rPr>
          <w:rStyle w:val="FootnoteReference"/>
        </w:rPr>
        <w:footnoteRef/>
      </w:r>
      <w:r>
        <w:rPr>
          <w:rtl/>
        </w:rPr>
        <w:t xml:space="preserve"> </w:t>
      </w:r>
      <w:proofErr w:type="gramStart"/>
      <w:r w:rsidR="002354A2">
        <w:t>17</w:t>
      </w:r>
      <w:proofErr w:type="gramEnd"/>
      <w:r w:rsidR="002354A2">
        <w:t xml:space="preserve"> U.S.C. §§ 121, 121A.</w:t>
      </w:r>
    </w:p>
  </w:footnote>
  <w:footnote w:id="22">
    <w:p w:rsidR="002354A2" w:rsidRDefault="002354A2" w:rsidP="00D158D5">
      <w:pPr>
        <w:pStyle w:val="FootnoteText"/>
      </w:pPr>
      <w:r>
        <w:rPr>
          <w:rStyle w:val="FootnoteReference"/>
        </w:rPr>
        <w:footnoteRef/>
      </w:r>
      <w:r>
        <w:rPr>
          <w:rtl/>
        </w:rPr>
        <w:t xml:space="preserve"> </w:t>
      </w:r>
      <w:r>
        <w:t>P.L. 104–197, 110 Stat. 2394 (Sept. 16, 1996).</w:t>
      </w:r>
    </w:p>
  </w:footnote>
  <w:footnote w:id="23">
    <w:p w:rsidR="00B26DDD" w:rsidRDefault="00B26DDD" w:rsidP="00D158D5">
      <w:pPr>
        <w:pStyle w:val="FootnoteText"/>
        <w:rPr>
          <w:lang w:bidi="ar-SY"/>
        </w:rPr>
      </w:pPr>
      <w:r>
        <w:rPr>
          <w:rStyle w:val="FootnoteReference"/>
        </w:rPr>
        <w:footnoteRef/>
      </w:r>
      <w:r>
        <w:rPr>
          <w:rtl/>
        </w:rPr>
        <w:t xml:space="preserve"> </w:t>
      </w:r>
      <w:r>
        <w:rPr>
          <w:rFonts w:hint="cs"/>
          <w:rtl/>
        </w:rPr>
        <w:t xml:space="preserve">قانون تنفيذ معاهدة مراكش، </w:t>
      </w:r>
      <w:r>
        <w:t>P.L. 115-261, 132 Stat. 3667</w:t>
      </w:r>
      <w:r>
        <w:rPr>
          <w:rFonts w:hint="cs"/>
          <w:rtl/>
        </w:rPr>
        <w:t>، (9 أكتوبر 2018).</w:t>
      </w:r>
    </w:p>
  </w:footnote>
  <w:footnote w:id="24">
    <w:p w:rsidR="002354A2" w:rsidRDefault="002354A2" w:rsidP="00D158D5">
      <w:pPr>
        <w:pStyle w:val="FootnoteText"/>
      </w:pPr>
      <w:r>
        <w:rPr>
          <w:rStyle w:val="FootnoteReference"/>
        </w:rPr>
        <w:footnoteRef/>
      </w:r>
      <w:r>
        <w:rPr>
          <w:rtl/>
        </w:rPr>
        <w:t xml:space="preserve"> </w:t>
      </w:r>
      <w:r>
        <w:rPr>
          <w:rFonts w:hint="cs"/>
          <w:rtl/>
        </w:rPr>
        <w:t>قانون حق المؤلف، 2007، (بصيغته المعدلة في 28 يوليو 2011)، يتاح على الرابط</w:t>
      </w:r>
      <w:r w:rsidRPr="001D026D">
        <w:rPr>
          <w:rFonts w:hint="cs"/>
          <w:rtl/>
        </w:rPr>
        <w:t xml:space="preserve"> التالي </w:t>
      </w:r>
      <w:hyperlink r:id="rId3" w:history="1">
        <w:r w:rsidRPr="001D026D">
          <w:rPr>
            <w:rStyle w:val="Hyperlink"/>
            <w:color w:val="auto"/>
            <w:u w:val="none"/>
          </w:rPr>
          <w:t>https://wipolex.wipo.int/en/text/495410</w:t>
        </w:r>
      </w:hyperlink>
      <w:r w:rsidRPr="001D026D">
        <w:rPr>
          <w:rFonts w:hint="cs"/>
          <w:rtl/>
        </w:rPr>
        <w:t xml:space="preserve"> والمعدل بموجب قانون إتاحة المصنفات والأداء والإذاعة لفائدة الأشخاص ذوي الإعاقات (تعديلات القانون)، 2014 المتاح على الرابط التالي: </w:t>
      </w:r>
      <w:hyperlink r:id="rId4" w:history="1">
        <w:r w:rsidRPr="001D026D">
          <w:rPr>
            <w:rStyle w:val="Hyperlink"/>
            <w:noProof/>
            <w:color w:val="auto"/>
            <w:u w:val="none"/>
          </w:rPr>
          <w:t>http://www.wipo.int/edocs/lexdocs/laws/en/il/il035en.pdf</w:t>
        </w:r>
      </w:hyperlink>
      <w:r w:rsidRPr="001D026D">
        <w:rPr>
          <w:rFonts w:hint="cs"/>
          <w:rtl/>
        </w:rPr>
        <w:t>.</w:t>
      </w:r>
    </w:p>
  </w:footnote>
  <w:footnote w:id="25">
    <w:p w:rsidR="00B26DDD" w:rsidRDefault="00B26DDD" w:rsidP="00F906F3">
      <w:pPr>
        <w:pStyle w:val="FootnoteText"/>
        <w:rPr>
          <w:lang w:bidi="ar-SY"/>
        </w:rPr>
      </w:pPr>
      <w:r>
        <w:rPr>
          <w:rStyle w:val="FootnoteReference"/>
        </w:rPr>
        <w:footnoteRef/>
      </w:r>
      <w:r>
        <w:rPr>
          <w:rtl/>
        </w:rPr>
        <w:t xml:space="preserve"> </w:t>
      </w:r>
      <w:r>
        <w:rPr>
          <w:rFonts w:hint="cs"/>
          <w:rtl/>
        </w:rPr>
        <w:t>المادة 36 من القانون الأرجنتيني رقم 11.723، 28 سبتمبر 1933، بشأن النظام القانوني للملكية الفكرية (قانون حق المؤلف، بصيغته المعدّلة حتى القانون رقم 26.570، 25 نوفمبر 2009)</w:t>
      </w:r>
    </w:p>
  </w:footnote>
  <w:footnote w:id="26">
    <w:p w:rsidR="00B26DDD" w:rsidRPr="001D026D" w:rsidRDefault="00B26DDD" w:rsidP="00F906F3">
      <w:pPr>
        <w:pStyle w:val="FootnoteText"/>
        <w:rPr>
          <w:lang w:bidi="ar-SY"/>
        </w:rPr>
      </w:pPr>
      <w:r w:rsidRPr="001D026D">
        <w:rPr>
          <w:rStyle w:val="FootnoteReference"/>
        </w:rPr>
        <w:footnoteRef/>
      </w:r>
      <w:r w:rsidRPr="001D026D">
        <w:rPr>
          <w:rtl/>
        </w:rPr>
        <w:t xml:space="preserve"> </w:t>
      </w:r>
      <w:r w:rsidRPr="001D026D">
        <w:rPr>
          <w:rFonts w:hint="cs"/>
          <w:rtl/>
        </w:rPr>
        <w:t>المادة 22 من قانون جمهورية أرمينيا، الصادر في 15 يونيو 2006، بشأن حق المؤلف والحقوق المجاورة (بصيغ</w:t>
      </w:r>
      <w:r w:rsidR="002354A2" w:rsidRPr="001D026D">
        <w:rPr>
          <w:rFonts w:hint="cs"/>
          <w:rtl/>
        </w:rPr>
        <w:t>ته المعدلة في 30 سبتمبر 2013)، م</w:t>
      </w:r>
      <w:r w:rsidRPr="001D026D">
        <w:rPr>
          <w:rFonts w:hint="cs"/>
          <w:rtl/>
        </w:rPr>
        <w:t xml:space="preserve">تاح على الرابط التالي: </w:t>
      </w:r>
      <w:hyperlink r:id="rId5" w:history="1">
        <w:r w:rsidRPr="001D026D">
          <w:rPr>
            <w:rStyle w:val="Hyperlink"/>
            <w:color w:val="auto"/>
            <w:u w:val="none"/>
            <w:lang w:val="en-ZA"/>
          </w:rPr>
          <w:t>http://www.wipo.int/wipolex/en/text.jsp?file_id=490086</w:t>
        </w:r>
      </w:hyperlink>
      <w:r w:rsidRPr="001D026D">
        <w:rPr>
          <w:lang w:val="en-ZA"/>
        </w:rPr>
        <w:t>.</w:t>
      </w:r>
      <w:r w:rsidRPr="001D026D">
        <w:rPr>
          <w:rFonts w:hint="cs"/>
          <w:rtl/>
          <w:lang w:val="en-ZA"/>
        </w:rPr>
        <w:t>، وينص هذا القسم على الاستخدام المجاني للمواد لفائدة الأشخاص المكفوفين.</w:t>
      </w:r>
    </w:p>
  </w:footnote>
  <w:footnote w:id="27">
    <w:p w:rsidR="00B26DDD" w:rsidRPr="00F906F3" w:rsidRDefault="00B26DDD" w:rsidP="00D51348">
      <w:pPr>
        <w:pStyle w:val="FootnoteText"/>
        <w:rPr>
          <w:rtl/>
          <w:lang w:val="fr-CH" w:bidi="ar-SY"/>
        </w:rPr>
      </w:pPr>
      <w:r>
        <w:rPr>
          <w:rStyle w:val="FootnoteReference"/>
        </w:rPr>
        <w:footnoteRef/>
      </w:r>
      <w:r>
        <w:rPr>
          <w:rtl/>
        </w:rPr>
        <w:t xml:space="preserve"> </w:t>
      </w:r>
      <w:r w:rsidR="00D51348">
        <w:rPr>
          <w:rFonts w:hint="cs"/>
          <w:rtl/>
        </w:rPr>
        <w:t>المادة</w:t>
      </w:r>
      <w:r>
        <w:rPr>
          <w:rFonts w:hint="cs"/>
          <w:rtl/>
        </w:rPr>
        <w:t xml:space="preserve"> 52 (1) (</w:t>
      </w:r>
      <w:proofErr w:type="spellStart"/>
      <w:r>
        <w:t>zb</w:t>
      </w:r>
      <w:proofErr w:type="spellEnd"/>
      <w:r>
        <w:rPr>
          <w:rFonts w:hint="cs"/>
          <w:rtl/>
        </w:rPr>
        <w:t>) (</w:t>
      </w:r>
      <w:r w:rsidRPr="00F906F3">
        <w:rPr>
          <w:rtl/>
        </w:rPr>
        <w:t xml:space="preserve">تقديم </w:t>
      </w:r>
      <w:r>
        <w:rPr>
          <w:rFonts w:hint="cs"/>
          <w:rtl/>
        </w:rPr>
        <w:t>الأنساق</w:t>
      </w:r>
      <w:r w:rsidRPr="00F906F3">
        <w:rPr>
          <w:rtl/>
        </w:rPr>
        <w:t xml:space="preserve"> </w:t>
      </w:r>
      <w:r w:rsidR="002354A2">
        <w:rPr>
          <w:rFonts w:hint="cs"/>
          <w:rtl/>
        </w:rPr>
        <w:t>الميسّرة لفائدة</w:t>
      </w:r>
      <w:r w:rsidRPr="00F906F3">
        <w:rPr>
          <w:rtl/>
        </w:rPr>
        <w:t xml:space="preserve"> الأشخاص ذوي الإعاقات للاستخدام الخاص أو الشخصي أو للأغراض التعليمية أو البحث</w:t>
      </w:r>
      <w:r>
        <w:rPr>
          <w:rFonts w:hint="cs"/>
          <w:rtl/>
        </w:rPr>
        <w:t xml:space="preserve">) والقسم </w:t>
      </w:r>
      <w:r>
        <w:t>31B</w:t>
      </w:r>
      <w:r>
        <w:rPr>
          <w:rFonts w:hint="cs"/>
          <w:rtl/>
          <w:lang w:val="fr-CH" w:bidi="ar-SY"/>
        </w:rPr>
        <w:t xml:space="preserve"> (</w:t>
      </w:r>
      <w:r w:rsidRPr="00F906F3">
        <w:rPr>
          <w:rtl/>
          <w:lang w:val="fr-CH" w:bidi="ar-SY"/>
        </w:rPr>
        <w:t xml:space="preserve">التراخيص الإجبارية </w:t>
      </w:r>
      <w:r>
        <w:rPr>
          <w:rFonts w:hint="cs"/>
          <w:rtl/>
          <w:lang w:val="fr-CH" w:bidi="ar-SY"/>
        </w:rPr>
        <w:t>لإعداد</w:t>
      </w:r>
      <w:r w:rsidRPr="00F906F3">
        <w:rPr>
          <w:rtl/>
          <w:lang w:val="fr-CH" w:bidi="ar-SY"/>
        </w:rPr>
        <w:t xml:space="preserve"> وتوزيع </w:t>
      </w:r>
      <w:r>
        <w:rPr>
          <w:rFonts w:hint="cs"/>
          <w:rtl/>
          <w:lang w:val="fr-CH" w:bidi="ar-SY"/>
        </w:rPr>
        <w:t>الأنساق</w:t>
      </w:r>
      <w:r w:rsidRPr="00F906F3">
        <w:rPr>
          <w:rtl/>
          <w:lang w:val="fr-CH" w:bidi="ar-SY"/>
        </w:rPr>
        <w:t xml:space="preserve"> </w:t>
      </w:r>
      <w:r w:rsidR="002354A2">
        <w:rPr>
          <w:rFonts w:hint="cs"/>
          <w:rtl/>
          <w:lang w:val="fr-CH" w:bidi="ar-SY"/>
        </w:rPr>
        <w:t xml:space="preserve">الميسّرة </w:t>
      </w:r>
      <w:r w:rsidRPr="00F906F3">
        <w:rPr>
          <w:rtl/>
          <w:lang w:val="fr-CH" w:bidi="ar-SY"/>
        </w:rPr>
        <w:t>لأي غرض آخر على أساس تجاري</w:t>
      </w:r>
      <w:r>
        <w:rPr>
          <w:rFonts w:hint="cs"/>
          <w:rtl/>
          <w:lang w:val="fr-CH" w:bidi="ar-SY"/>
        </w:rPr>
        <w:t>).</w:t>
      </w:r>
    </w:p>
  </w:footnote>
  <w:footnote w:id="28">
    <w:p w:rsidR="00B26DDD" w:rsidRPr="00FE149B" w:rsidRDefault="00B26DDD" w:rsidP="00D51348">
      <w:pPr>
        <w:pStyle w:val="FootnoteText"/>
        <w:rPr>
          <w:lang w:bidi="ar-SY"/>
        </w:rPr>
      </w:pPr>
      <w:r>
        <w:rPr>
          <w:rStyle w:val="FootnoteReference"/>
        </w:rPr>
        <w:footnoteRef/>
      </w:r>
      <w:r>
        <w:rPr>
          <w:rtl/>
        </w:rPr>
        <w:t xml:space="preserve"> </w:t>
      </w:r>
      <w:r w:rsidR="00D51348">
        <w:rPr>
          <w:rFonts w:hint="cs"/>
          <w:rtl/>
          <w:lang w:bidi="ar-SY"/>
        </w:rPr>
        <w:t>المادة</w:t>
      </w:r>
      <w:r>
        <w:rPr>
          <w:rFonts w:hint="cs"/>
          <w:rtl/>
        </w:rPr>
        <w:t xml:space="preserve"> </w:t>
      </w:r>
      <w:r>
        <w:t>28A-E</w:t>
      </w:r>
      <w:r>
        <w:rPr>
          <w:rFonts w:hint="cs"/>
          <w:rtl/>
        </w:rPr>
        <w:t xml:space="preserve"> من </w:t>
      </w:r>
      <w:r w:rsidR="002354A2">
        <w:rPr>
          <w:rFonts w:hint="cs"/>
          <w:rtl/>
        </w:rPr>
        <w:t>ال</w:t>
      </w:r>
      <w:r>
        <w:rPr>
          <w:rFonts w:hint="cs"/>
          <w:rtl/>
        </w:rPr>
        <w:t xml:space="preserve">قانون </w:t>
      </w:r>
      <w:r w:rsidR="002354A2">
        <w:rPr>
          <w:rFonts w:hint="cs"/>
          <w:rtl/>
        </w:rPr>
        <w:t>الإسرائيلي لحق المؤلف</w:t>
      </w:r>
      <w:r>
        <w:rPr>
          <w:rFonts w:hint="cs"/>
          <w:rtl/>
        </w:rPr>
        <w:t xml:space="preserve">، 2007، </w:t>
      </w:r>
      <w:r w:rsidR="00D51348">
        <w:rPr>
          <w:rFonts w:hint="cs"/>
          <w:rtl/>
        </w:rPr>
        <w:t>التي</w:t>
      </w:r>
      <w:r>
        <w:rPr>
          <w:rFonts w:hint="cs"/>
          <w:rtl/>
        </w:rPr>
        <w:t xml:space="preserve"> نشأ</w:t>
      </w:r>
      <w:r w:rsidR="00D51348">
        <w:rPr>
          <w:rFonts w:hint="cs"/>
          <w:rtl/>
        </w:rPr>
        <w:t>ت</w:t>
      </w:r>
      <w:r>
        <w:rPr>
          <w:rFonts w:hint="cs"/>
          <w:rtl/>
        </w:rPr>
        <w:t xml:space="preserve"> عن </w:t>
      </w:r>
      <w:r w:rsidR="002354A2">
        <w:rPr>
          <w:rFonts w:hint="cs"/>
          <w:rtl/>
        </w:rPr>
        <w:t>تعديلات 2014 (إتاحة المصنفات و</w:t>
      </w:r>
      <w:r>
        <w:rPr>
          <w:rFonts w:hint="cs"/>
          <w:rtl/>
        </w:rPr>
        <w:t xml:space="preserve">الأداء والإذاعة، لفائدة الأشخاص ذوي الإعاقات (تعديلات القانون)، 2014، قانون مراكش لمعاقي البصر، قرار المحكمة العليا في إسرائيل في </w:t>
      </w:r>
      <w:r w:rsidR="002354A2">
        <w:rPr>
          <w:rFonts w:hint="cs"/>
          <w:rtl/>
        </w:rPr>
        <w:t>ال</w:t>
      </w:r>
      <w:r>
        <w:rPr>
          <w:rFonts w:hint="cs"/>
          <w:rtl/>
        </w:rPr>
        <w:t xml:space="preserve">قضية </w:t>
      </w:r>
      <w:r>
        <w:rPr>
          <w:szCs w:val="24"/>
        </w:rPr>
        <w:t>HCJ 8536/11</w:t>
      </w:r>
      <w:r>
        <w:rPr>
          <w:rFonts w:hint="cs"/>
          <w:rtl/>
        </w:rPr>
        <w:t xml:space="preserve"> - بين </w:t>
      </w:r>
      <w:proofErr w:type="spellStart"/>
      <w:r>
        <w:t>Bizchut</w:t>
      </w:r>
      <w:proofErr w:type="spellEnd"/>
      <w:r>
        <w:rPr>
          <w:rFonts w:hint="cs"/>
          <w:rtl/>
        </w:rPr>
        <w:t xml:space="preserve"> مركز حقوق الإنسان الإسرائيلي ووزارة التعليم (19 ديسمبر 2013) وقانون</w:t>
      </w:r>
      <w:r w:rsidR="002354A2">
        <w:rPr>
          <w:rFonts w:hint="cs"/>
          <w:rtl/>
        </w:rPr>
        <w:t xml:space="preserve"> عام</w:t>
      </w:r>
      <w:r>
        <w:rPr>
          <w:rFonts w:hint="cs"/>
          <w:rtl/>
        </w:rPr>
        <w:t xml:space="preserve"> 1998 بشأن الحقوق المتكافئة للأشخاص ذوي الإعاقة.</w:t>
      </w:r>
    </w:p>
  </w:footnote>
  <w:footnote w:id="29">
    <w:p w:rsidR="00B26DDD" w:rsidRDefault="00B26DDD" w:rsidP="009011FE">
      <w:pPr>
        <w:pStyle w:val="FootnoteText"/>
        <w:rPr>
          <w:lang w:bidi="ar-SY"/>
        </w:rPr>
      </w:pPr>
      <w:r>
        <w:rPr>
          <w:rStyle w:val="FootnoteReference"/>
        </w:rPr>
        <w:footnoteRef/>
      </w:r>
      <w:r>
        <w:rPr>
          <w:rtl/>
        </w:rPr>
        <w:t xml:space="preserve"> </w:t>
      </w:r>
      <w:r>
        <w:rPr>
          <w:rFonts w:hint="cs"/>
          <w:rtl/>
        </w:rPr>
        <w:t xml:space="preserve">سوني </w:t>
      </w:r>
      <w:r w:rsidR="009011FE">
        <w:rPr>
          <w:rFonts w:hint="cs"/>
          <w:rtl/>
        </w:rPr>
        <w:t>ضدّ</w:t>
      </w:r>
      <w:r>
        <w:rPr>
          <w:rFonts w:hint="cs"/>
          <w:rtl/>
        </w:rPr>
        <w:t xml:space="preserve">، </w:t>
      </w:r>
      <w:r w:rsidRPr="00547D5C">
        <w:rPr>
          <w:rtl/>
        </w:rPr>
        <w:t>يونيفرسال سيتي ستوديوس</w:t>
      </w:r>
      <w:r>
        <w:rPr>
          <w:rFonts w:hint="cs"/>
          <w:rtl/>
        </w:rPr>
        <w:t xml:space="preserve">، </w:t>
      </w:r>
      <w:bookmarkStart w:id="4" w:name="OLE_LINK8"/>
      <w:bookmarkStart w:id="5" w:name="OLE_LINK7"/>
      <w:r>
        <w:t>464 U.S. 417</w:t>
      </w:r>
      <w:bookmarkEnd w:id="4"/>
      <w:bookmarkEnd w:id="5"/>
      <w:r>
        <w:rPr>
          <w:rFonts w:hint="cs"/>
          <w:rtl/>
        </w:rPr>
        <w:t xml:space="preserve"> (1984)</w:t>
      </w:r>
    </w:p>
  </w:footnote>
  <w:footnote w:id="30">
    <w:p w:rsidR="00B26DDD" w:rsidRDefault="00B26DDD" w:rsidP="00E86E31">
      <w:pPr>
        <w:pStyle w:val="FootnoteText"/>
        <w:rPr>
          <w:lang w:bidi="ar-SY"/>
        </w:rPr>
      </w:pPr>
      <w:r>
        <w:rPr>
          <w:rStyle w:val="FootnoteReference"/>
        </w:rPr>
        <w:footnoteRef/>
      </w:r>
      <w:r>
        <w:rPr>
          <w:rtl/>
        </w:rPr>
        <w:t xml:space="preserve"> </w:t>
      </w:r>
      <w:proofErr w:type="spellStart"/>
      <w:r w:rsidRPr="00E86E31">
        <w:rPr>
          <w:i/>
        </w:rPr>
        <w:t>HathiTrust</w:t>
      </w:r>
      <w:proofErr w:type="spellEnd"/>
      <w:r w:rsidRPr="00E86E31">
        <w:t xml:space="preserve">, </w:t>
      </w:r>
      <w:bookmarkStart w:id="6" w:name="OLE_LINK12"/>
      <w:bookmarkStart w:id="7" w:name="OLE_LINK11"/>
      <w:r w:rsidRPr="00E86E31">
        <w:t>755 F.3d at 101-03</w:t>
      </w:r>
      <w:bookmarkEnd w:id="6"/>
      <w:bookmarkEnd w:id="7"/>
      <w:r w:rsidRPr="00E86E31">
        <w:t>.</w:t>
      </w:r>
    </w:p>
  </w:footnote>
  <w:footnote w:id="31">
    <w:p w:rsidR="00B26DDD" w:rsidRPr="001D026D" w:rsidRDefault="00B26DDD" w:rsidP="00E86E31">
      <w:pPr>
        <w:pStyle w:val="FootnoteText"/>
      </w:pPr>
      <w:r>
        <w:rPr>
          <w:rStyle w:val="FootnoteReference"/>
        </w:rPr>
        <w:footnoteRef/>
      </w:r>
      <w:r>
        <w:rPr>
          <w:rtl/>
        </w:rPr>
        <w:t xml:space="preserve"> </w:t>
      </w:r>
      <w:r>
        <w:rPr>
          <w:rFonts w:hint="cs"/>
          <w:rtl/>
        </w:rPr>
        <w:t>قانون حق المؤلف، 2007، (بصي</w:t>
      </w:r>
      <w:r w:rsidR="00EC5117">
        <w:rPr>
          <w:rFonts w:hint="cs"/>
          <w:rtl/>
        </w:rPr>
        <w:t xml:space="preserve">غته المعدلة في 28 يوليو </w:t>
      </w:r>
      <w:r w:rsidR="00EC5117" w:rsidRPr="001D026D">
        <w:rPr>
          <w:rFonts w:hint="cs"/>
          <w:rtl/>
        </w:rPr>
        <w:t>2011)، م</w:t>
      </w:r>
      <w:r w:rsidRPr="001D026D">
        <w:rPr>
          <w:rFonts w:hint="cs"/>
          <w:rtl/>
        </w:rPr>
        <w:t xml:space="preserve">تاح على الرابط التالي </w:t>
      </w:r>
      <w:hyperlink r:id="rId6" w:history="1">
        <w:r w:rsidRPr="001D026D">
          <w:rPr>
            <w:rStyle w:val="Hyperlink"/>
            <w:color w:val="auto"/>
            <w:u w:val="none"/>
          </w:rPr>
          <w:t>https://wipolex.wipo.int/en/text/495410</w:t>
        </w:r>
      </w:hyperlink>
      <w:r w:rsidR="00EC5117" w:rsidRPr="001D026D">
        <w:rPr>
          <w:rFonts w:hint="cs"/>
          <w:rtl/>
        </w:rPr>
        <w:t xml:space="preserve">، </w:t>
      </w:r>
      <w:r w:rsidRPr="001D026D">
        <w:rPr>
          <w:rFonts w:hint="cs"/>
          <w:rtl/>
        </w:rPr>
        <w:t>والمعدل بموجب قانون إتاحة المصنفات والأداء والإذاعة لفائدة الأشخاص ذوي الإع</w:t>
      </w:r>
      <w:r w:rsidR="00EC5117" w:rsidRPr="001D026D">
        <w:rPr>
          <w:rFonts w:hint="cs"/>
          <w:rtl/>
        </w:rPr>
        <w:t>اقات (تعديلات القانون)، 2014، م</w:t>
      </w:r>
      <w:r w:rsidRPr="001D026D">
        <w:rPr>
          <w:rFonts w:hint="cs"/>
          <w:rtl/>
        </w:rPr>
        <w:t xml:space="preserve">تاح على الرابط التالي: </w:t>
      </w:r>
      <w:hyperlink r:id="rId7" w:history="1">
        <w:r w:rsidRPr="001D026D">
          <w:rPr>
            <w:rStyle w:val="Hyperlink"/>
            <w:noProof/>
            <w:color w:val="auto"/>
            <w:u w:val="none"/>
          </w:rPr>
          <w:t>http://www.wipo.int/edocs/lexdocs/laws/en/il/il035en.pdf</w:t>
        </w:r>
      </w:hyperlink>
      <w:r w:rsidRPr="001D026D">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DDD" w:rsidRDefault="00B26DDD" w:rsidP="00BC12F5">
    <w:pPr>
      <w:bidi w:val="0"/>
      <w:rPr>
        <w:rFonts w:ascii="Arial" w:hAnsi="Arial" w:cs="Arial"/>
        <w:sz w:val="22"/>
        <w:szCs w:val="22"/>
      </w:rPr>
    </w:pPr>
    <w:r>
      <w:rPr>
        <w:rFonts w:ascii="Arial" w:hAnsi="Arial" w:cs="Arial"/>
        <w:sz w:val="22"/>
        <w:szCs w:val="22"/>
      </w:rPr>
      <w:t>SCCR/38/3</w:t>
    </w:r>
  </w:p>
  <w:p w:rsidR="00B26DDD" w:rsidRPr="00C50A61" w:rsidRDefault="00B26DDD"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E214C2">
      <w:rPr>
        <w:rFonts w:ascii="Arial" w:hAnsi="Arial" w:cs="Arial"/>
        <w:noProof/>
        <w:sz w:val="22"/>
        <w:szCs w:val="22"/>
        <w:lang w:bidi="ar-EG"/>
      </w:rPr>
      <w:t>12</w:t>
    </w:r>
    <w:r w:rsidRPr="00C50A61">
      <w:rPr>
        <w:rFonts w:ascii="Arial" w:hAnsi="Arial" w:cs="Arial"/>
        <w:sz w:val="22"/>
        <w:szCs w:val="22"/>
      </w:rPr>
      <w:fldChar w:fldCharType="end"/>
    </w:r>
  </w:p>
  <w:p w:rsidR="00B26DDD" w:rsidRPr="00C50A61" w:rsidRDefault="00B26DDD"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42B5D64"/>
    <w:multiLevelType w:val="hybridMultilevel"/>
    <w:tmpl w:val="D376F172"/>
    <w:lvl w:ilvl="0" w:tplc="0D62A91A">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8"/>
  </w:num>
  <w:num w:numId="7">
    <w:abstractNumId w:val="20"/>
  </w:num>
  <w:num w:numId="8">
    <w:abstractNumId w:val="35"/>
  </w:num>
  <w:num w:numId="9">
    <w:abstractNumId w:val="31"/>
  </w:num>
  <w:num w:numId="10">
    <w:abstractNumId w:val="39"/>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F3C"/>
    <w:rsid w:val="00000A0C"/>
    <w:rsid w:val="00002CBE"/>
    <w:rsid w:val="00003232"/>
    <w:rsid w:val="000033DA"/>
    <w:rsid w:val="00004AF1"/>
    <w:rsid w:val="0000579F"/>
    <w:rsid w:val="000074D1"/>
    <w:rsid w:val="000076BD"/>
    <w:rsid w:val="00007D99"/>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1D66"/>
    <w:rsid w:val="0003371F"/>
    <w:rsid w:val="00033D2C"/>
    <w:rsid w:val="00033E73"/>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0EF"/>
    <w:rsid w:val="00055FA2"/>
    <w:rsid w:val="000571DD"/>
    <w:rsid w:val="000575BC"/>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77765"/>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3EEC"/>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2B1A"/>
    <w:rsid w:val="000D5F67"/>
    <w:rsid w:val="000D5FB7"/>
    <w:rsid w:val="000D7E81"/>
    <w:rsid w:val="000E06A5"/>
    <w:rsid w:val="000E16EB"/>
    <w:rsid w:val="000E2D69"/>
    <w:rsid w:val="000E3273"/>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0699D"/>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76"/>
    <w:rsid w:val="001252B1"/>
    <w:rsid w:val="00126897"/>
    <w:rsid w:val="0012696D"/>
    <w:rsid w:val="00130E12"/>
    <w:rsid w:val="00130FC9"/>
    <w:rsid w:val="001310EE"/>
    <w:rsid w:val="0013191A"/>
    <w:rsid w:val="00131E8F"/>
    <w:rsid w:val="00134BF4"/>
    <w:rsid w:val="00135C24"/>
    <w:rsid w:val="00135E29"/>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83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D6A"/>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25FF"/>
    <w:rsid w:val="00192834"/>
    <w:rsid w:val="0019301D"/>
    <w:rsid w:val="0019454F"/>
    <w:rsid w:val="00194719"/>
    <w:rsid w:val="00194774"/>
    <w:rsid w:val="00195CE0"/>
    <w:rsid w:val="00196F7C"/>
    <w:rsid w:val="00197CA5"/>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26D"/>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4DC2"/>
    <w:rsid w:val="001F6545"/>
    <w:rsid w:val="001F66B5"/>
    <w:rsid w:val="001F6E3B"/>
    <w:rsid w:val="001F6F1C"/>
    <w:rsid w:val="001F6F36"/>
    <w:rsid w:val="001F76FD"/>
    <w:rsid w:val="002004C0"/>
    <w:rsid w:val="002012F2"/>
    <w:rsid w:val="002014D7"/>
    <w:rsid w:val="00202F07"/>
    <w:rsid w:val="00203030"/>
    <w:rsid w:val="00203D45"/>
    <w:rsid w:val="00204133"/>
    <w:rsid w:val="00205495"/>
    <w:rsid w:val="002061DE"/>
    <w:rsid w:val="0020627A"/>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4086"/>
    <w:rsid w:val="002269E0"/>
    <w:rsid w:val="00226B82"/>
    <w:rsid w:val="00227103"/>
    <w:rsid w:val="00227FD0"/>
    <w:rsid w:val="00230249"/>
    <w:rsid w:val="0023068C"/>
    <w:rsid w:val="00230D5F"/>
    <w:rsid w:val="00231BE3"/>
    <w:rsid w:val="002328E4"/>
    <w:rsid w:val="00232C51"/>
    <w:rsid w:val="00233414"/>
    <w:rsid w:val="00233D69"/>
    <w:rsid w:val="00234E82"/>
    <w:rsid w:val="002354A2"/>
    <w:rsid w:val="00235C9D"/>
    <w:rsid w:val="00235DAE"/>
    <w:rsid w:val="0023693F"/>
    <w:rsid w:val="00237484"/>
    <w:rsid w:val="002409F9"/>
    <w:rsid w:val="002412D4"/>
    <w:rsid w:val="0024220D"/>
    <w:rsid w:val="00242AD1"/>
    <w:rsid w:val="00242BD3"/>
    <w:rsid w:val="00242C02"/>
    <w:rsid w:val="00243155"/>
    <w:rsid w:val="00247783"/>
    <w:rsid w:val="002501BC"/>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4DBC"/>
    <w:rsid w:val="0027520A"/>
    <w:rsid w:val="00275419"/>
    <w:rsid w:val="00275A2D"/>
    <w:rsid w:val="00276423"/>
    <w:rsid w:val="0027655E"/>
    <w:rsid w:val="00276B93"/>
    <w:rsid w:val="00276C4C"/>
    <w:rsid w:val="002772A5"/>
    <w:rsid w:val="002806F8"/>
    <w:rsid w:val="002810B5"/>
    <w:rsid w:val="00281B81"/>
    <w:rsid w:val="00281F4F"/>
    <w:rsid w:val="00282B8D"/>
    <w:rsid w:val="00286744"/>
    <w:rsid w:val="002909B9"/>
    <w:rsid w:val="00292CEE"/>
    <w:rsid w:val="00292D22"/>
    <w:rsid w:val="0029470D"/>
    <w:rsid w:val="00297A0B"/>
    <w:rsid w:val="00297B80"/>
    <w:rsid w:val="002A076C"/>
    <w:rsid w:val="002A0B33"/>
    <w:rsid w:val="002A1059"/>
    <w:rsid w:val="002A1407"/>
    <w:rsid w:val="002A2BB5"/>
    <w:rsid w:val="002A3C9D"/>
    <w:rsid w:val="002A5403"/>
    <w:rsid w:val="002A6C9F"/>
    <w:rsid w:val="002A77F3"/>
    <w:rsid w:val="002B14F0"/>
    <w:rsid w:val="002B17FD"/>
    <w:rsid w:val="002B1F0F"/>
    <w:rsid w:val="002B5202"/>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36C2"/>
    <w:rsid w:val="002D4807"/>
    <w:rsid w:val="002D5DDC"/>
    <w:rsid w:val="002D5F16"/>
    <w:rsid w:val="002D62F1"/>
    <w:rsid w:val="002D6FD8"/>
    <w:rsid w:val="002D727B"/>
    <w:rsid w:val="002D7EAD"/>
    <w:rsid w:val="002E1169"/>
    <w:rsid w:val="002E1218"/>
    <w:rsid w:val="002E28F3"/>
    <w:rsid w:val="002E3218"/>
    <w:rsid w:val="002E6CFB"/>
    <w:rsid w:val="002E7615"/>
    <w:rsid w:val="002E7810"/>
    <w:rsid w:val="002E7A2A"/>
    <w:rsid w:val="002E7F16"/>
    <w:rsid w:val="002F1425"/>
    <w:rsid w:val="002F21BD"/>
    <w:rsid w:val="002F2EC8"/>
    <w:rsid w:val="002F4CE2"/>
    <w:rsid w:val="002F50BD"/>
    <w:rsid w:val="002F5F6A"/>
    <w:rsid w:val="002F60A4"/>
    <w:rsid w:val="002F6B0C"/>
    <w:rsid w:val="002F7325"/>
    <w:rsid w:val="002F77FC"/>
    <w:rsid w:val="003004A6"/>
    <w:rsid w:val="00300591"/>
    <w:rsid w:val="0030129C"/>
    <w:rsid w:val="003013E2"/>
    <w:rsid w:val="00301FE4"/>
    <w:rsid w:val="003037DF"/>
    <w:rsid w:val="00303E3A"/>
    <w:rsid w:val="00305417"/>
    <w:rsid w:val="00306127"/>
    <w:rsid w:val="0030641B"/>
    <w:rsid w:val="003067C8"/>
    <w:rsid w:val="00307B45"/>
    <w:rsid w:val="00310C06"/>
    <w:rsid w:val="00311453"/>
    <w:rsid w:val="003114C9"/>
    <w:rsid w:val="0031229D"/>
    <w:rsid w:val="003132DE"/>
    <w:rsid w:val="00314E12"/>
    <w:rsid w:val="003153CA"/>
    <w:rsid w:val="003166A5"/>
    <w:rsid w:val="00316C8C"/>
    <w:rsid w:val="003174C2"/>
    <w:rsid w:val="00317CE4"/>
    <w:rsid w:val="00320DF4"/>
    <w:rsid w:val="0032130D"/>
    <w:rsid w:val="00321918"/>
    <w:rsid w:val="003219A9"/>
    <w:rsid w:val="00321B00"/>
    <w:rsid w:val="00321C54"/>
    <w:rsid w:val="00321CC6"/>
    <w:rsid w:val="00321DCD"/>
    <w:rsid w:val="0032261F"/>
    <w:rsid w:val="003237A2"/>
    <w:rsid w:val="00324729"/>
    <w:rsid w:val="00325C8B"/>
    <w:rsid w:val="00325CBD"/>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2A"/>
    <w:rsid w:val="003503E2"/>
    <w:rsid w:val="00351DC1"/>
    <w:rsid w:val="003534EE"/>
    <w:rsid w:val="00355334"/>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0B90"/>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57B"/>
    <w:rsid w:val="00410B8F"/>
    <w:rsid w:val="00412057"/>
    <w:rsid w:val="004126C1"/>
    <w:rsid w:val="00413BA5"/>
    <w:rsid w:val="00414FD0"/>
    <w:rsid w:val="00415859"/>
    <w:rsid w:val="004171E4"/>
    <w:rsid w:val="00417E93"/>
    <w:rsid w:val="00422A2A"/>
    <w:rsid w:val="00424BB4"/>
    <w:rsid w:val="004258CD"/>
    <w:rsid w:val="004261D2"/>
    <w:rsid w:val="004271E8"/>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C98"/>
    <w:rsid w:val="00450EEE"/>
    <w:rsid w:val="004512B2"/>
    <w:rsid w:val="004528EE"/>
    <w:rsid w:val="00453360"/>
    <w:rsid w:val="00456409"/>
    <w:rsid w:val="004569C6"/>
    <w:rsid w:val="00456ADC"/>
    <w:rsid w:val="0045768F"/>
    <w:rsid w:val="00457769"/>
    <w:rsid w:val="004627AE"/>
    <w:rsid w:val="0046298E"/>
    <w:rsid w:val="00464608"/>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09CB"/>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D7365"/>
    <w:rsid w:val="004E1264"/>
    <w:rsid w:val="004E2CBC"/>
    <w:rsid w:val="004E3DD4"/>
    <w:rsid w:val="004E3E6A"/>
    <w:rsid w:val="004E5292"/>
    <w:rsid w:val="004E53D5"/>
    <w:rsid w:val="004E5C1A"/>
    <w:rsid w:val="004E6895"/>
    <w:rsid w:val="004E6C8C"/>
    <w:rsid w:val="004E6CC7"/>
    <w:rsid w:val="004E776F"/>
    <w:rsid w:val="004F111D"/>
    <w:rsid w:val="004F1843"/>
    <w:rsid w:val="004F1EEC"/>
    <w:rsid w:val="004F24C8"/>
    <w:rsid w:val="004F30D6"/>
    <w:rsid w:val="004F34A5"/>
    <w:rsid w:val="004F3E50"/>
    <w:rsid w:val="004F40D6"/>
    <w:rsid w:val="004F6925"/>
    <w:rsid w:val="004F722B"/>
    <w:rsid w:val="00503AE1"/>
    <w:rsid w:val="00503CA6"/>
    <w:rsid w:val="00503FAE"/>
    <w:rsid w:val="00504DC1"/>
    <w:rsid w:val="00505332"/>
    <w:rsid w:val="00505A57"/>
    <w:rsid w:val="00505D37"/>
    <w:rsid w:val="005100E1"/>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1A6"/>
    <w:rsid w:val="00541DD2"/>
    <w:rsid w:val="00543A63"/>
    <w:rsid w:val="00543AB5"/>
    <w:rsid w:val="005442C1"/>
    <w:rsid w:val="005457CF"/>
    <w:rsid w:val="00545976"/>
    <w:rsid w:val="00545C03"/>
    <w:rsid w:val="0054660F"/>
    <w:rsid w:val="00547628"/>
    <w:rsid w:val="00547D5C"/>
    <w:rsid w:val="005533C3"/>
    <w:rsid w:val="005536E6"/>
    <w:rsid w:val="00553AC3"/>
    <w:rsid w:val="00553DBA"/>
    <w:rsid w:val="00554335"/>
    <w:rsid w:val="0055540A"/>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023C"/>
    <w:rsid w:val="00581FF0"/>
    <w:rsid w:val="005825FC"/>
    <w:rsid w:val="00583437"/>
    <w:rsid w:val="00583CE0"/>
    <w:rsid w:val="00584311"/>
    <w:rsid w:val="00584B4A"/>
    <w:rsid w:val="00584DCB"/>
    <w:rsid w:val="00585A16"/>
    <w:rsid w:val="00585B98"/>
    <w:rsid w:val="005863D8"/>
    <w:rsid w:val="005865B2"/>
    <w:rsid w:val="0058662E"/>
    <w:rsid w:val="00586812"/>
    <w:rsid w:val="0058684D"/>
    <w:rsid w:val="00587BC2"/>
    <w:rsid w:val="005918E4"/>
    <w:rsid w:val="00591AF0"/>
    <w:rsid w:val="00591C6D"/>
    <w:rsid w:val="00591C71"/>
    <w:rsid w:val="00592392"/>
    <w:rsid w:val="00592484"/>
    <w:rsid w:val="0059283D"/>
    <w:rsid w:val="005928D3"/>
    <w:rsid w:val="0059293D"/>
    <w:rsid w:val="00592D5D"/>
    <w:rsid w:val="00594573"/>
    <w:rsid w:val="00594604"/>
    <w:rsid w:val="005955C0"/>
    <w:rsid w:val="00595B68"/>
    <w:rsid w:val="00595EAA"/>
    <w:rsid w:val="0059672B"/>
    <w:rsid w:val="00596EAE"/>
    <w:rsid w:val="005A0C60"/>
    <w:rsid w:val="005A255F"/>
    <w:rsid w:val="005A330E"/>
    <w:rsid w:val="005A46AD"/>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943"/>
    <w:rsid w:val="005C1D45"/>
    <w:rsid w:val="005C20E4"/>
    <w:rsid w:val="005C392D"/>
    <w:rsid w:val="005C3C9B"/>
    <w:rsid w:val="005C42AB"/>
    <w:rsid w:val="005C45C0"/>
    <w:rsid w:val="005C4EAD"/>
    <w:rsid w:val="005C5335"/>
    <w:rsid w:val="005C5D7B"/>
    <w:rsid w:val="005C5E29"/>
    <w:rsid w:val="005C62E1"/>
    <w:rsid w:val="005C6474"/>
    <w:rsid w:val="005C6A68"/>
    <w:rsid w:val="005C7AB5"/>
    <w:rsid w:val="005D0AE3"/>
    <w:rsid w:val="005D1103"/>
    <w:rsid w:val="005D276D"/>
    <w:rsid w:val="005D5912"/>
    <w:rsid w:val="005D794C"/>
    <w:rsid w:val="005D79F6"/>
    <w:rsid w:val="005D7A9F"/>
    <w:rsid w:val="005D7AA2"/>
    <w:rsid w:val="005E2154"/>
    <w:rsid w:val="005E2FC7"/>
    <w:rsid w:val="005E3680"/>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2FD"/>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48B"/>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4706"/>
    <w:rsid w:val="006575ED"/>
    <w:rsid w:val="006578FD"/>
    <w:rsid w:val="00660060"/>
    <w:rsid w:val="006609AA"/>
    <w:rsid w:val="00662EDE"/>
    <w:rsid w:val="00664C9F"/>
    <w:rsid w:val="00666548"/>
    <w:rsid w:val="00666A71"/>
    <w:rsid w:val="00667537"/>
    <w:rsid w:val="00667B2B"/>
    <w:rsid w:val="006701EF"/>
    <w:rsid w:val="00670865"/>
    <w:rsid w:val="00671AED"/>
    <w:rsid w:val="006725B5"/>
    <w:rsid w:val="00673521"/>
    <w:rsid w:val="00673702"/>
    <w:rsid w:val="00673767"/>
    <w:rsid w:val="00673F39"/>
    <w:rsid w:val="006746AC"/>
    <w:rsid w:val="0067571B"/>
    <w:rsid w:val="00675E37"/>
    <w:rsid w:val="006760B3"/>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527"/>
    <w:rsid w:val="006C45C0"/>
    <w:rsid w:val="006C480B"/>
    <w:rsid w:val="006C570B"/>
    <w:rsid w:val="006C572E"/>
    <w:rsid w:val="006C5997"/>
    <w:rsid w:val="006C5CD2"/>
    <w:rsid w:val="006D0636"/>
    <w:rsid w:val="006D06DC"/>
    <w:rsid w:val="006D47F4"/>
    <w:rsid w:val="006D6E46"/>
    <w:rsid w:val="006D7FA8"/>
    <w:rsid w:val="006E23C6"/>
    <w:rsid w:val="006E3A40"/>
    <w:rsid w:val="006E4601"/>
    <w:rsid w:val="006E5B86"/>
    <w:rsid w:val="006E63FF"/>
    <w:rsid w:val="006E652D"/>
    <w:rsid w:val="006E6753"/>
    <w:rsid w:val="006E7572"/>
    <w:rsid w:val="006F0AE6"/>
    <w:rsid w:val="006F2F22"/>
    <w:rsid w:val="006F434A"/>
    <w:rsid w:val="006F4DF6"/>
    <w:rsid w:val="006F733F"/>
    <w:rsid w:val="006F7974"/>
    <w:rsid w:val="00700A60"/>
    <w:rsid w:val="00700B39"/>
    <w:rsid w:val="00703976"/>
    <w:rsid w:val="00705027"/>
    <w:rsid w:val="007069ED"/>
    <w:rsid w:val="00710494"/>
    <w:rsid w:val="007117BD"/>
    <w:rsid w:val="007128C9"/>
    <w:rsid w:val="007148DE"/>
    <w:rsid w:val="00715129"/>
    <w:rsid w:val="007154CE"/>
    <w:rsid w:val="00715B25"/>
    <w:rsid w:val="00716020"/>
    <w:rsid w:val="00720860"/>
    <w:rsid w:val="00721087"/>
    <w:rsid w:val="00721530"/>
    <w:rsid w:val="00723422"/>
    <w:rsid w:val="007260FE"/>
    <w:rsid w:val="007269A7"/>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8E2"/>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126F"/>
    <w:rsid w:val="0076281A"/>
    <w:rsid w:val="00762ADE"/>
    <w:rsid w:val="0076365D"/>
    <w:rsid w:val="007642DC"/>
    <w:rsid w:val="007660E6"/>
    <w:rsid w:val="007661A9"/>
    <w:rsid w:val="007662C0"/>
    <w:rsid w:val="0076742F"/>
    <w:rsid w:val="00767712"/>
    <w:rsid w:val="0076792B"/>
    <w:rsid w:val="0077051A"/>
    <w:rsid w:val="007711D0"/>
    <w:rsid w:val="007712E6"/>
    <w:rsid w:val="00771D3D"/>
    <w:rsid w:val="007728AB"/>
    <w:rsid w:val="00772CFE"/>
    <w:rsid w:val="007730CF"/>
    <w:rsid w:val="00774756"/>
    <w:rsid w:val="00774DF7"/>
    <w:rsid w:val="00775181"/>
    <w:rsid w:val="007751B6"/>
    <w:rsid w:val="00775345"/>
    <w:rsid w:val="00776A33"/>
    <w:rsid w:val="00776F15"/>
    <w:rsid w:val="007779ED"/>
    <w:rsid w:val="00780B1A"/>
    <w:rsid w:val="007810D3"/>
    <w:rsid w:val="0078264A"/>
    <w:rsid w:val="0078272E"/>
    <w:rsid w:val="00783D11"/>
    <w:rsid w:val="00785E46"/>
    <w:rsid w:val="00787917"/>
    <w:rsid w:val="00791489"/>
    <w:rsid w:val="00791683"/>
    <w:rsid w:val="00792E3A"/>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3C"/>
    <w:rsid w:val="007D538F"/>
    <w:rsid w:val="007D668A"/>
    <w:rsid w:val="007E000F"/>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0F69"/>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317D"/>
    <w:rsid w:val="00844300"/>
    <w:rsid w:val="008458BD"/>
    <w:rsid w:val="00846956"/>
    <w:rsid w:val="00846CF1"/>
    <w:rsid w:val="00847622"/>
    <w:rsid w:val="008505B8"/>
    <w:rsid w:val="00851005"/>
    <w:rsid w:val="0085162F"/>
    <w:rsid w:val="00851ADD"/>
    <w:rsid w:val="00851B18"/>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77FD9"/>
    <w:rsid w:val="008803F5"/>
    <w:rsid w:val="008812BF"/>
    <w:rsid w:val="00881341"/>
    <w:rsid w:val="008822C9"/>
    <w:rsid w:val="00882931"/>
    <w:rsid w:val="00884939"/>
    <w:rsid w:val="008853E0"/>
    <w:rsid w:val="00885BE2"/>
    <w:rsid w:val="008863C8"/>
    <w:rsid w:val="00886D40"/>
    <w:rsid w:val="00887A0E"/>
    <w:rsid w:val="008907F3"/>
    <w:rsid w:val="008920C2"/>
    <w:rsid w:val="00892293"/>
    <w:rsid w:val="00895702"/>
    <w:rsid w:val="00897566"/>
    <w:rsid w:val="0089757B"/>
    <w:rsid w:val="008A1594"/>
    <w:rsid w:val="008A1757"/>
    <w:rsid w:val="008A1ADB"/>
    <w:rsid w:val="008A1CE6"/>
    <w:rsid w:val="008A1F25"/>
    <w:rsid w:val="008A2D4C"/>
    <w:rsid w:val="008A47FB"/>
    <w:rsid w:val="008A5234"/>
    <w:rsid w:val="008A5397"/>
    <w:rsid w:val="008A6861"/>
    <w:rsid w:val="008A7522"/>
    <w:rsid w:val="008A7B55"/>
    <w:rsid w:val="008B04C0"/>
    <w:rsid w:val="008B0578"/>
    <w:rsid w:val="008B170D"/>
    <w:rsid w:val="008B41E8"/>
    <w:rsid w:val="008B4941"/>
    <w:rsid w:val="008B4984"/>
    <w:rsid w:val="008B4F60"/>
    <w:rsid w:val="008B559A"/>
    <w:rsid w:val="008B598F"/>
    <w:rsid w:val="008B66A5"/>
    <w:rsid w:val="008B7908"/>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1FE"/>
    <w:rsid w:val="00901900"/>
    <w:rsid w:val="00901B7A"/>
    <w:rsid w:val="00901EE8"/>
    <w:rsid w:val="00901F6C"/>
    <w:rsid w:val="0090266B"/>
    <w:rsid w:val="00902F06"/>
    <w:rsid w:val="009035DB"/>
    <w:rsid w:val="00904671"/>
    <w:rsid w:val="00904FDD"/>
    <w:rsid w:val="00905BC5"/>
    <w:rsid w:val="009064AA"/>
    <w:rsid w:val="00912257"/>
    <w:rsid w:val="00913495"/>
    <w:rsid w:val="00913657"/>
    <w:rsid w:val="00913874"/>
    <w:rsid w:val="0091579C"/>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869"/>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821"/>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622"/>
    <w:rsid w:val="009E2C1A"/>
    <w:rsid w:val="009E2C39"/>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16ED"/>
    <w:rsid w:val="00A13947"/>
    <w:rsid w:val="00A13E2B"/>
    <w:rsid w:val="00A1562A"/>
    <w:rsid w:val="00A15901"/>
    <w:rsid w:val="00A1618E"/>
    <w:rsid w:val="00A161A1"/>
    <w:rsid w:val="00A20562"/>
    <w:rsid w:val="00A20F75"/>
    <w:rsid w:val="00A212B1"/>
    <w:rsid w:val="00A2620B"/>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2C78"/>
    <w:rsid w:val="00A53967"/>
    <w:rsid w:val="00A5455C"/>
    <w:rsid w:val="00A545EC"/>
    <w:rsid w:val="00A54C5F"/>
    <w:rsid w:val="00A54D3B"/>
    <w:rsid w:val="00A5578A"/>
    <w:rsid w:val="00A61365"/>
    <w:rsid w:val="00A61759"/>
    <w:rsid w:val="00A61B88"/>
    <w:rsid w:val="00A62C70"/>
    <w:rsid w:val="00A63982"/>
    <w:rsid w:val="00A65845"/>
    <w:rsid w:val="00A65A41"/>
    <w:rsid w:val="00A65DE0"/>
    <w:rsid w:val="00A666AA"/>
    <w:rsid w:val="00A671FC"/>
    <w:rsid w:val="00A71670"/>
    <w:rsid w:val="00A72154"/>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467"/>
    <w:rsid w:val="00AA47B8"/>
    <w:rsid w:val="00AA550A"/>
    <w:rsid w:val="00AA5EBD"/>
    <w:rsid w:val="00AA628B"/>
    <w:rsid w:val="00AA6DE4"/>
    <w:rsid w:val="00AA7408"/>
    <w:rsid w:val="00AA7D1F"/>
    <w:rsid w:val="00AB02C6"/>
    <w:rsid w:val="00AB246B"/>
    <w:rsid w:val="00AB2E96"/>
    <w:rsid w:val="00AB36D4"/>
    <w:rsid w:val="00AB474A"/>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6DDD"/>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4789B"/>
    <w:rsid w:val="00B507ED"/>
    <w:rsid w:val="00B508A7"/>
    <w:rsid w:val="00B51B77"/>
    <w:rsid w:val="00B52081"/>
    <w:rsid w:val="00B52695"/>
    <w:rsid w:val="00B52A82"/>
    <w:rsid w:val="00B545AF"/>
    <w:rsid w:val="00B55B09"/>
    <w:rsid w:val="00B56711"/>
    <w:rsid w:val="00B568BF"/>
    <w:rsid w:val="00B57EF2"/>
    <w:rsid w:val="00B604F3"/>
    <w:rsid w:val="00B6101C"/>
    <w:rsid w:val="00B615ED"/>
    <w:rsid w:val="00B63A9D"/>
    <w:rsid w:val="00B64888"/>
    <w:rsid w:val="00B672E3"/>
    <w:rsid w:val="00B675F9"/>
    <w:rsid w:val="00B70849"/>
    <w:rsid w:val="00B72C1C"/>
    <w:rsid w:val="00B73BB7"/>
    <w:rsid w:val="00B751C3"/>
    <w:rsid w:val="00B769E7"/>
    <w:rsid w:val="00B76AF5"/>
    <w:rsid w:val="00B76C0D"/>
    <w:rsid w:val="00B77D0D"/>
    <w:rsid w:val="00B80817"/>
    <w:rsid w:val="00B827E6"/>
    <w:rsid w:val="00B82A28"/>
    <w:rsid w:val="00B82B8D"/>
    <w:rsid w:val="00B82C97"/>
    <w:rsid w:val="00B836EF"/>
    <w:rsid w:val="00B83A12"/>
    <w:rsid w:val="00B851D5"/>
    <w:rsid w:val="00B85B06"/>
    <w:rsid w:val="00B90558"/>
    <w:rsid w:val="00B92958"/>
    <w:rsid w:val="00B93957"/>
    <w:rsid w:val="00B9404A"/>
    <w:rsid w:val="00B94877"/>
    <w:rsid w:val="00B9491F"/>
    <w:rsid w:val="00B96043"/>
    <w:rsid w:val="00B96F5D"/>
    <w:rsid w:val="00B9746B"/>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3A7B"/>
    <w:rsid w:val="00BB40DF"/>
    <w:rsid w:val="00BB5E2C"/>
    <w:rsid w:val="00BB6440"/>
    <w:rsid w:val="00BB7D9E"/>
    <w:rsid w:val="00BC12F5"/>
    <w:rsid w:val="00BC16AC"/>
    <w:rsid w:val="00BC2B7B"/>
    <w:rsid w:val="00BC3290"/>
    <w:rsid w:val="00BC3AE8"/>
    <w:rsid w:val="00BC3AF4"/>
    <w:rsid w:val="00BC43A8"/>
    <w:rsid w:val="00BC4B2F"/>
    <w:rsid w:val="00BC5C6D"/>
    <w:rsid w:val="00BC7120"/>
    <w:rsid w:val="00BC76A3"/>
    <w:rsid w:val="00BD00D1"/>
    <w:rsid w:val="00BD07A2"/>
    <w:rsid w:val="00BD2603"/>
    <w:rsid w:val="00BD2D40"/>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5F90"/>
    <w:rsid w:val="00BE707F"/>
    <w:rsid w:val="00BE7F5D"/>
    <w:rsid w:val="00BF0707"/>
    <w:rsid w:val="00BF164F"/>
    <w:rsid w:val="00BF1AAF"/>
    <w:rsid w:val="00BF203C"/>
    <w:rsid w:val="00BF268B"/>
    <w:rsid w:val="00BF40AB"/>
    <w:rsid w:val="00BF41A3"/>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0C31"/>
    <w:rsid w:val="00C222FF"/>
    <w:rsid w:val="00C2338E"/>
    <w:rsid w:val="00C23814"/>
    <w:rsid w:val="00C23FB0"/>
    <w:rsid w:val="00C24021"/>
    <w:rsid w:val="00C248AF"/>
    <w:rsid w:val="00C24B09"/>
    <w:rsid w:val="00C24BDE"/>
    <w:rsid w:val="00C24E9F"/>
    <w:rsid w:val="00C31362"/>
    <w:rsid w:val="00C32151"/>
    <w:rsid w:val="00C3217A"/>
    <w:rsid w:val="00C33057"/>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669B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61D8"/>
    <w:rsid w:val="00C974CB"/>
    <w:rsid w:val="00C97929"/>
    <w:rsid w:val="00C97B5E"/>
    <w:rsid w:val="00CA0049"/>
    <w:rsid w:val="00CA0980"/>
    <w:rsid w:val="00CA2A98"/>
    <w:rsid w:val="00CA2BAE"/>
    <w:rsid w:val="00CA34BA"/>
    <w:rsid w:val="00CA4503"/>
    <w:rsid w:val="00CA5A66"/>
    <w:rsid w:val="00CA6E74"/>
    <w:rsid w:val="00CA796A"/>
    <w:rsid w:val="00CB2575"/>
    <w:rsid w:val="00CB3677"/>
    <w:rsid w:val="00CB368F"/>
    <w:rsid w:val="00CB4AA1"/>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442"/>
    <w:rsid w:val="00D149E1"/>
    <w:rsid w:val="00D14A44"/>
    <w:rsid w:val="00D158D5"/>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222"/>
    <w:rsid w:val="00D45D8F"/>
    <w:rsid w:val="00D47077"/>
    <w:rsid w:val="00D47B96"/>
    <w:rsid w:val="00D50332"/>
    <w:rsid w:val="00D51348"/>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3E26"/>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0DB6"/>
    <w:rsid w:val="00D912D5"/>
    <w:rsid w:val="00D91AAF"/>
    <w:rsid w:val="00D921F3"/>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443C"/>
    <w:rsid w:val="00DB71DB"/>
    <w:rsid w:val="00DB71E1"/>
    <w:rsid w:val="00DB7B0F"/>
    <w:rsid w:val="00DB7CB3"/>
    <w:rsid w:val="00DC0D57"/>
    <w:rsid w:val="00DC16F7"/>
    <w:rsid w:val="00DC1CA3"/>
    <w:rsid w:val="00DC2641"/>
    <w:rsid w:val="00DC2B1E"/>
    <w:rsid w:val="00DC5BDB"/>
    <w:rsid w:val="00DC633C"/>
    <w:rsid w:val="00DC7481"/>
    <w:rsid w:val="00DC7591"/>
    <w:rsid w:val="00DD0839"/>
    <w:rsid w:val="00DD1957"/>
    <w:rsid w:val="00DD26D0"/>
    <w:rsid w:val="00DD47D5"/>
    <w:rsid w:val="00DD4E2A"/>
    <w:rsid w:val="00DD6729"/>
    <w:rsid w:val="00DD74A1"/>
    <w:rsid w:val="00DD7960"/>
    <w:rsid w:val="00DD7B0D"/>
    <w:rsid w:val="00DE0D26"/>
    <w:rsid w:val="00DE1F29"/>
    <w:rsid w:val="00DE3FEB"/>
    <w:rsid w:val="00DE4905"/>
    <w:rsid w:val="00DE510C"/>
    <w:rsid w:val="00DE7822"/>
    <w:rsid w:val="00DF081A"/>
    <w:rsid w:val="00DF265D"/>
    <w:rsid w:val="00DF2EB0"/>
    <w:rsid w:val="00DF3130"/>
    <w:rsid w:val="00DF31C1"/>
    <w:rsid w:val="00DF427A"/>
    <w:rsid w:val="00DF435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14C2"/>
    <w:rsid w:val="00E2389C"/>
    <w:rsid w:val="00E244CA"/>
    <w:rsid w:val="00E2512D"/>
    <w:rsid w:val="00E2548C"/>
    <w:rsid w:val="00E2662B"/>
    <w:rsid w:val="00E26736"/>
    <w:rsid w:val="00E268AC"/>
    <w:rsid w:val="00E27986"/>
    <w:rsid w:val="00E27D23"/>
    <w:rsid w:val="00E30A8A"/>
    <w:rsid w:val="00E31BC7"/>
    <w:rsid w:val="00E31E7F"/>
    <w:rsid w:val="00E35EF3"/>
    <w:rsid w:val="00E3612C"/>
    <w:rsid w:val="00E363CD"/>
    <w:rsid w:val="00E365C4"/>
    <w:rsid w:val="00E36C7F"/>
    <w:rsid w:val="00E36F3C"/>
    <w:rsid w:val="00E37652"/>
    <w:rsid w:val="00E3768F"/>
    <w:rsid w:val="00E402BC"/>
    <w:rsid w:val="00E41403"/>
    <w:rsid w:val="00E418C7"/>
    <w:rsid w:val="00E41BD7"/>
    <w:rsid w:val="00E428D6"/>
    <w:rsid w:val="00E4324C"/>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6E31"/>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117"/>
    <w:rsid w:val="00EC56B1"/>
    <w:rsid w:val="00EC5C25"/>
    <w:rsid w:val="00EC664F"/>
    <w:rsid w:val="00EC6749"/>
    <w:rsid w:val="00EC72F5"/>
    <w:rsid w:val="00EC7334"/>
    <w:rsid w:val="00EC752F"/>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0E7E"/>
    <w:rsid w:val="00EE270D"/>
    <w:rsid w:val="00EE4515"/>
    <w:rsid w:val="00EE6989"/>
    <w:rsid w:val="00EE7604"/>
    <w:rsid w:val="00EE7912"/>
    <w:rsid w:val="00EE7915"/>
    <w:rsid w:val="00EF0465"/>
    <w:rsid w:val="00EF13C5"/>
    <w:rsid w:val="00EF16D8"/>
    <w:rsid w:val="00EF18A0"/>
    <w:rsid w:val="00EF28EF"/>
    <w:rsid w:val="00EF2EB9"/>
    <w:rsid w:val="00EF40E7"/>
    <w:rsid w:val="00EF4529"/>
    <w:rsid w:val="00EF5B34"/>
    <w:rsid w:val="00EF657C"/>
    <w:rsid w:val="00F00392"/>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6CF6"/>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1F3"/>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06F3"/>
    <w:rsid w:val="00F91DA4"/>
    <w:rsid w:val="00F92728"/>
    <w:rsid w:val="00F937AF"/>
    <w:rsid w:val="00F94494"/>
    <w:rsid w:val="00F94C05"/>
    <w:rsid w:val="00F954EF"/>
    <w:rsid w:val="00F96483"/>
    <w:rsid w:val="00F9648C"/>
    <w:rsid w:val="00F96671"/>
    <w:rsid w:val="00F9680E"/>
    <w:rsid w:val="00F96E21"/>
    <w:rsid w:val="00F97774"/>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039"/>
    <w:rsid w:val="00FB36CA"/>
    <w:rsid w:val="00FB5344"/>
    <w:rsid w:val="00FB5A13"/>
    <w:rsid w:val="00FB72AC"/>
    <w:rsid w:val="00FB7706"/>
    <w:rsid w:val="00FB7EC9"/>
    <w:rsid w:val="00FB7F82"/>
    <w:rsid w:val="00FC0DAF"/>
    <w:rsid w:val="00FC11F5"/>
    <w:rsid w:val="00FC126D"/>
    <w:rsid w:val="00FC2B8A"/>
    <w:rsid w:val="00FC3387"/>
    <w:rsid w:val="00FC382F"/>
    <w:rsid w:val="00FC40E7"/>
    <w:rsid w:val="00FC4236"/>
    <w:rsid w:val="00FC615D"/>
    <w:rsid w:val="00FD01CC"/>
    <w:rsid w:val="00FD08AF"/>
    <w:rsid w:val="00FD0AF1"/>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49B"/>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854CAAB-EB1D-48E3-8893-F92BC65F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uiPriority w:val="99"/>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uiPriority w:val="99"/>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customStyle="1" w:styleId="WIPOBodyStyle">
    <w:name w:val="WIPO Body Style"/>
    <w:basedOn w:val="Normal"/>
    <w:rsid w:val="00547D5C"/>
    <w:pPr>
      <w:bidi w:val="0"/>
      <w:spacing w:after="80" w:line="280" w:lineRule="exact"/>
    </w:pPr>
    <w:rPr>
      <w:rFonts w:ascii="Arial" w:eastAsia="Arial" w:hAnsi="Arial" w:cs="Arial"/>
      <w:sz w:val="24"/>
      <w:szCs w:val="22"/>
      <w:lang w:eastAsia="en-ZA"/>
    </w:rPr>
  </w:style>
  <w:style w:type="paragraph" w:styleId="Quote">
    <w:name w:val="Quote"/>
    <w:basedOn w:val="Normal"/>
    <w:next w:val="Normal"/>
    <w:link w:val="QuoteChar"/>
    <w:uiPriority w:val="29"/>
    <w:qFormat/>
    <w:rsid w:val="0035032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032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774003">
      <w:bodyDiv w:val="1"/>
      <w:marLeft w:val="0"/>
      <w:marRight w:val="0"/>
      <w:marTop w:val="0"/>
      <w:marBottom w:val="0"/>
      <w:divBdr>
        <w:top w:val="none" w:sz="0" w:space="0" w:color="auto"/>
        <w:left w:val="none" w:sz="0" w:space="0" w:color="auto"/>
        <w:bottom w:val="none" w:sz="0" w:space="0" w:color="auto"/>
        <w:right w:val="none" w:sz="0" w:space="0" w:color="auto"/>
      </w:divBdr>
      <w:divsChild>
        <w:div w:id="343746717">
          <w:marLeft w:val="0"/>
          <w:marRight w:val="0"/>
          <w:marTop w:val="0"/>
          <w:marBottom w:val="0"/>
          <w:divBdr>
            <w:top w:val="none" w:sz="0" w:space="0" w:color="auto"/>
            <w:left w:val="none" w:sz="0" w:space="0" w:color="auto"/>
            <w:bottom w:val="none" w:sz="0" w:space="0" w:color="auto"/>
            <w:right w:val="none" w:sz="0" w:space="0" w:color="auto"/>
          </w:divBdr>
          <w:divsChild>
            <w:div w:id="1797530450">
              <w:marLeft w:val="0"/>
              <w:marRight w:val="0"/>
              <w:marTop w:val="0"/>
              <w:marBottom w:val="0"/>
              <w:divBdr>
                <w:top w:val="none" w:sz="0" w:space="0" w:color="auto"/>
                <w:left w:val="none" w:sz="0" w:space="0" w:color="auto"/>
                <w:bottom w:val="none" w:sz="0" w:space="0" w:color="auto"/>
                <w:right w:val="none" w:sz="0" w:space="0" w:color="auto"/>
              </w:divBdr>
              <w:divsChild>
                <w:div w:id="1275791924">
                  <w:marLeft w:val="0"/>
                  <w:marRight w:val="0"/>
                  <w:marTop w:val="0"/>
                  <w:marBottom w:val="0"/>
                  <w:divBdr>
                    <w:top w:val="none" w:sz="0" w:space="0" w:color="auto"/>
                    <w:left w:val="none" w:sz="0" w:space="0" w:color="auto"/>
                    <w:bottom w:val="none" w:sz="0" w:space="0" w:color="auto"/>
                    <w:right w:val="none" w:sz="0" w:space="0" w:color="auto"/>
                  </w:divBdr>
                  <w:divsChild>
                    <w:div w:id="313336453">
                      <w:marLeft w:val="0"/>
                      <w:marRight w:val="0"/>
                      <w:marTop w:val="0"/>
                      <w:marBottom w:val="0"/>
                      <w:divBdr>
                        <w:top w:val="none" w:sz="0" w:space="0" w:color="auto"/>
                        <w:left w:val="none" w:sz="0" w:space="0" w:color="auto"/>
                        <w:bottom w:val="none" w:sz="0" w:space="0" w:color="auto"/>
                        <w:right w:val="none" w:sz="0" w:space="0" w:color="auto"/>
                      </w:divBdr>
                      <w:divsChild>
                        <w:div w:id="1950358991">
                          <w:marLeft w:val="0"/>
                          <w:marRight w:val="0"/>
                          <w:marTop w:val="0"/>
                          <w:marBottom w:val="0"/>
                          <w:divBdr>
                            <w:top w:val="none" w:sz="0" w:space="0" w:color="auto"/>
                            <w:left w:val="none" w:sz="0" w:space="0" w:color="auto"/>
                            <w:bottom w:val="none" w:sz="0" w:space="0" w:color="auto"/>
                            <w:right w:val="none" w:sz="0" w:space="0" w:color="auto"/>
                          </w:divBdr>
                          <w:divsChild>
                            <w:div w:id="1120800523">
                              <w:marLeft w:val="0"/>
                              <w:marRight w:val="0"/>
                              <w:marTop w:val="0"/>
                              <w:marBottom w:val="150"/>
                              <w:divBdr>
                                <w:top w:val="none" w:sz="0" w:space="0" w:color="auto"/>
                                <w:left w:val="none" w:sz="0" w:space="0" w:color="auto"/>
                                <w:bottom w:val="none" w:sz="0" w:space="0" w:color="auto"/>
                                <w:right w:val="none" w:sz="0" w:space="0" w:color="auto"/>
                              </w:divBdr>
                              <w:divsChild>
                                <w:div w:id="218707713">
                                  <w:marLeft w:val="0"/>
                                  <w:marRight w:val="0"/>
                                  <w:marTop w:val="0"/>
                                  <w:marBottom w:val="300"/>
                                  <w:divBdr>
                                    <w:top w:val="single" w:sz="6" w:space="7" w:color="E3E3E3"/>
                                    <w:left w:val="single" w:sz="6" w:space="7" w:color="E3E3E3"/>
                                    <w:bottom w:val="single" w:sz="6" w:space="7" w:color="E3E3E3"/>
                                    <w:right w:val="single" w:sz="6" w:space="7" w:color="E3E3E3"/>
                                  </w:divBdr>
                                  <w:divsChild>
                                    <w:div w:id="136262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19191">
                              <w:marLeft w:val="0"/>
                              <w:marRight w:val="0"/>
                              <w:marTop w:val="0"/>
                              <w:marBottom w:val="150"/>
                              <w:divBdr>
                                <w:top w:val="none" w:sz="0" w:space="0" w:color="auto"/>
                                <w:left w:val="none" w:sz="0" w:space="0" w:color="auto"/>
                                <w:bottom w:val="none" w:sz="0" w:space="0" w:color="auto"/>
                                <w:right w:val="none" w:sz="0" w:space="0" w:color="auto"/>
                              </w:divBdr>
                              <w:divsChild>
                                <w:div w:id="817066493">
                                  <w:marLeft w:val="0"/>
                                  <w:marRight w:val="0"/>
                                  <w:marTop w:val="0"/>
                                  <w:marBottom w:val="0"/>
                                  <w:divBdr>
                                    <w:top w:val="none" w:sz="0" w:space="0" w:color="auto"/>
                                    <w:left w:val="none" w:sz="0" w:space="0" w:color="auto"/>
                                    <w:bottom w:val="none" w:sz="0" w:space="0" w:color="auto"/>
                                    <w:right w:val="none" w:sz="0" w:space="0" w:color="auto"/>
                                  </w:divBdr>
                                </w:div>
                                <w:div w:id="233786377">
                                  <w:marLeft w:val="0"/>
                                  <w:marRight w:val="0"/>
                                  <w:marTop w:val="0"/>
                                  <w:marBottom w:val="0"/>
                                  <w:divBdr>
                                    <w:top w:val="none" w:sz="0" w:space="0" w:color="auto"/>
                                    <w:left w:val="none" w:sz="0" w:space="0" w:color="auto"/>
                                    <w:bottom w:val="none" w:sz="0" w:space="0" w:color="auto"/>
                                    <w:right w:val="none" w:sz="0" w:space="0" w:color="auto"/>
                                  </w:divBdr>
                                </w:div>
                                <w:div w:id="3397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650439">
          <w:marLeft w:val="0"/>
          <w:marRight w:val="0"/>
          <w:marTop w:val="0"/>
          <w:marBottom w:val="0"/>
          <w:divBdr>
            <w:top w:val="none" w:sz="0" w:space="0" w:color="auto"/>
            <w:left w:val="none" w:sz="0" w:space="0" w:color="auto"/>
            <w:bottom w:val="none" w:sz="0" w:space="0" w:color="auto"/>
            <w:right w:val="none" w:sz="0" w:space="0" w:color="auto"/>
          </w:divBdr>
          <w:divsChild>
            <w:div w:id="1444299016">
              <w:marLeft w:val="0"/>
              <w:marRight w:val="0"/>
              <w:marTop w:val="0"/>
              <w:marBottom w:val="0"/>
              <w:divBdr>
                <w:top w:val="none" w:sz="0" w:space="0" w:color="auto"/>
                <w:left w:val="none" w:sz="0" w:space="0" w:color="auto"/>
                <w:bottom w:val="none" w:sz="0" w:space="0" w:color="auto"/>
                <w:right w:val="none" w:sz="0" w:space="0" w:color="auto"/>
              </w:divBdr>
              <w:divsChild>
                <w:div w:id="1874296589">
                  <w:marLeft w:val="0"/>
                  <w:marRight w:val="0"/>
                  <w:marTop w:val="0"/>
                  <w:marBottom w:val="0"/>
                  <w:divBdr>
                    <w:top w:val="none" w:sz="0" w:space="0" w:color="auto"/>
                    <w:left w:val="none" w:sz="0" w:space="0" w:color="auto"/>
                    <w:bottom w:val="none" w:sz="0" w:space="0" w:color="auto"/>
                    <w:right w:val="none" w:sz="0" w:space="0" w:color="auto"/>
                  </w:divBdr>
                  <w:divsChild>
                    <w:div w:id="898705310">
                      <w:marLeft w:val="0"/>
                      <w:marRight w:val="0"/>
                      <w:marTop w:val="0"/>
                      <w:marBottom w:val="0"/>
                      <w:divBdr>
                        <w:top w:val="none" w:sz="0" w:space="0" w:color="auto"/>
                        <w:left w:val="none" w:sz="0" w:space="0" w:color="auto"/>
                        <w:bottom w:val="none" w:sz="0" w:space="0" w:color="auto"/>
                        <w:right w:val="none" w:sz="0" w:space="0" w:color="auto"/>
                      </w:divBdr>
                    </w:div>
                  </w:divsChild>
                </w:div>
                <w:div w:id="1018236520">
                  <w:marLeft w:val="0"/>
                  <w:marRight w:val="0"/>
                  <w:marTop w:val="0"/>
                  <w:marBottom w:val="0"/>
                  <w:divBdr>
                    <w:top w:val="none" w:sz="0" w:space="0" w:color="auto"/>
                    <w:left w:val="none" w:sz="0" w:space="0" w:color="auto"/>
                    <w:bottom w:val="none" w:sz="0" w:space="0" w:color="auto"/>
                    <w:right w:val="none" w:sz="0" w:space="0" w:color="auto"/>
                  </w:divBdr>
                  <w:divsChild>
                    <w:div w:id="1153722400">
                      <w:marLeft w:val="0"/>
                      <w:marRight w:val="0"/>
                      <w:marTop w:val="0"/>
                      <w:marBottom w:val="0"/>
                      <w:divBdr>
                        <w:top w:val="none" w:sz="0" w:space="0" w:color="auto"/>
                        <w:left w:val="none" w:sz="0" w:space="0" w:color="auto"/>
                        <w:bottom w:val="none" w:sz="0" w:space="0" w:color="auto"/>
                        <w:right w:val="none" w:sz="0" w:space="0" w:color="auto"/>
                      </w:divBdr>
                    </w:div>
                  </w:divsChild>
                </w:div>
                <w:div w:id="885679977">
                  <w:marLeft w:val="0"/>
                  <w:marRight w:val="0"/>
                  <w:marTop w:val="0"/>
                  <w:marBottom w:val="0"/>
                  <w:divBdr>
                    <w:top w:val="none" w:sz="0" w:space="0" w:color="auto"/>
                    <w:left w:val="none" w:sz="0" w:space="0" w:color="auto"/>
                    <w:bottom w:val="none" w:sz="0" w:space="0" w:color="auto"/>
                    <w:right w:val="none" w:sz="0" w:space="0" w:color="auto"/>
                  </w:divBdr>
                  <w:divsChild>
                    <w:div w:id="789083773">
                      <w:marLeft w:val="0"/>
                      <w:marRight w:val="0"/>
                      <w:marTop w:val="0"/>
                      <w:marBottom w:val="0"/>
                      <w:divBdr>
                        <w:top w:val="none" w:sz="0" w:space="0" w:color="auto"/>
                        <w:left w:val="none" w:sz="0" w:space="0" w:color="auto"/>
                        <w:bottom w:val="none" w:sz="0" w:space="0" w:color="auto"/>
                        <w:right w:val="none" w:sz="0" w:space="0" w:color="auto"/>
                      </w:divBdr>
                    </w:div>
                  </w:divsChild>
                </w:div>
                <w:div w:id="15488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ipolex.wipo.int/en/text/495410" TargetMode="External"/><Relationship Id="rId7" Type="http://schemas.openxmlformats.org/officeDocument/2006/relationships/hyperlink" Target="http://www.wipo.int/edocs/lexdocs/laws/en/il/il035en.pdf" TargetMode="External"/><Relationship Id="rId2" Type="http://schemas.openxmlformats.org/officeDocument/2006/relationships/hyperlink" Target="https://www.wipo.int/edocs/mdocs/copyright/en/sccr_35/sccr_35_3_rev.pdf" TargetMode="External"/><Relationship Id="rId1" Type="http://schemas.openxmlformats.org/officeDocument/2006/relationships/hyperlink" Target="https://www.who.int/ar/news-room/fact-sheets/detail/disability-and-health" TargetMode="External"/><Relationship Id="rId6" Type="http://schemas.openxmlformats.org/officeDocument/2006/relationships/hyperlink" Target="https://wipolex.wipo.int/en/text/495410" TargetMode="External"/><Relationship Id="rId5" Type="http://schemas.openxmlformats.org/officeDocument/2006/relationships/hyperlink" Target="http://www.wipo.int/wipolex/en/text.jsp?file_id=490086" TargetMode="External"/><Relationship Id="rId4" Type="http://schemas.openxmlformats.org/officeDocument/2006/relationships/hyperlink" Target="http://www.wipo.int/edocs/lexdocs/laws/en/il/il035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9A8B4-2B76-4410-BD0B-20FBC4A1D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3143</Words>
  <Characters>17206</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WIPO/GRTKF/IC/37/INF/2_x000d_ (Arabic)</vt:lpstr>
    </vt:vector>
  </TitlesOfParts>
  <Company>World Intellectual Property Organization</Company>
  <LinksUpToDate>false</LinksUpToDate>
  <CharactersWithSpaces>20309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WIPO/GRTKF/IC/37/INF/2_x000d_ (Arabic)</dc:title>
  <dc:creator>MARTIN Souad</dc:creator>
  <cp:lastModifiedBy>HAIZEL Francesca</cp:lastModifiedBy>
  <cp:revision>2</cp:revision>
  <cp:lastPrinted>2019-03-27T17:13:00Z</cp:lastPrinted>
  <dcterms:created xsi:type="dcterms:W3CDTF">2019-03-29T09:01:00Z</dcterms:created>
  <dcterms:modified xsi:type="dcterms:W3CDTF">2019-03-29T09:01:00Z</dcterms:modified>
</cp:coreProperties>
</file>