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EA2663" w:rsidP="00EA2663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 w:rsidRPr="00EA266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SCCR/37</w:t>
      </w:r>
      <w:r w:rsidR="006230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5E5EE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5E5EE2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5E5EE2">
        <w:rPr>
          <w:b/>
          <w:bCs/>
          <w:sz w:val="30"/>
          <w:szCs w:val="30"/>
          <w:rtl/>
        </w:rPr>
        <w:t>19 نوفمبر 2018</w:t>
      </w:r>
    </w:p>
    <w:p w:rsidR="002E7810" w:rsidRPr="00FD6D15" w:rsidRDefault="00EA2663" w:rsidP="009B7572">
      <w:pPr>
        <w:pStyle w:val="Heading1"/>
        <w:spacing w:after="600" w:line="240" w:lineRule="auto"/>
        <w:rPr>
          <w:rtl/>
        </w:rPr>
      </w:pPr>
      <w:r w:rsidRPr="00EA2663">
        <w:rPr>
          <w:rtl/>
        </w:rPr>
        <w:t>اللجنة الدائمة المعنية بحق المؤلف والحقوق المجاورة</w:t>
      </w:r>
    </w:p>
    <w:p w:rsidR="002E7810" w:rsidRPr="002E7810" w:rsidRDefault="00EA2663" w:rsidP="00874721">
      <w:pPr>
        <w:rPr>
          <w:rFonts w:ascii="Arial Black" w:hAnsi="Arial Black" w:cs="PT Bold Heading"/>
          <w:sz w:val="30"/>
          <w:szCs w:val="30"/>
          <w:rtl/>
        </w:rPr>
      </w:pPr>
      <w:r w:rsidRPr="00EA2663">
        <w:rPr>
          <w:rFonts w:ascii="Arial Black" w:hAnsi="Arial Black" w:cs="PT Bold Heading"/>
          <w:sz w:val="30"/>
          <w:szCs w:val="30"/>
          <w:rtl/>
        </w:rPr>
        <w:t>الدورة السابعة والثلاثون</w:t>
      </w:r>
    </w:p>
    <w:p w:rsidR="002E7810" w:rsidRPr="002E7810" w:rsidRDefault="00EA2663" w:rsidP="00874721">
      <w:pPr>
        <w:spacing w:line="600" w:lineRule="auto"/>
        <w:rPr>
          <w:b/>
          <w:bCs/>
          <w:rtl/>
        </w:rPr>
      </w:pPr>
      <w:r w:rsidRPr="00EA2663">
        <w:rPr>
          <w:b/>
          <w:bCs/>
          <w:rtl/>
        </w:rPr>
        <w:t>جنيف، من 26 إلى 30 نوفمبر 2018</w:t>
      </w:r>
    </w:p>
    <w:p w:rsidR="002E7810" w:rsidRPr="002E7810" w:rsidRDefault="005E5EE2" w:rsidP="00367446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اقتراح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من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الولايات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المتحدة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الأمريكية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 w:rsidR="00367446">
        <w:rPr>
          <w:rFonts w:ascii="Arial Black" w:hAnsi="Arial Black" w:cs="PT Bold Heading" w:hint="cs"/>
          <w:sz w:val="26"/>
          <w:szCs w:val="26"/>
          <w:rtl/>
        </w:rPr>
        <w:t>بخصوص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نطاق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الحقوق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وتنفيذها،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مشروع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معاهدة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الويبو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بشأن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حماية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هيئات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البث</w:t>
      </w:r>
    </w:p>
    <w:p w:rsidR="003F7284" w:rsidRPr="00BB6440" w:rsidRDefault="00367446" w:rsidP="00367446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>وثيقة</w:t>
      </w:r>
      <w:r>
        <w:rPr>
          <w:rFonts w:hint="cs"/>
          <w:i/>
          <w:iCs/>
          <w:rtl/>
        </w:rPr>
        <w:t xml:space="preserve"> </w:t>
      </w:r>
      <w:r w:rsidR="005E5EE2">
        <w:rPr>
          <w:rFonts w:hint="eastAsia"/>
          <w:i/>
          <w:iCs/>
          <w:rtl/>
        </w:rPr>
        <w:t>قدمتها</w:t>
      </w:r>
      <w:r w:rsidR="005E5EE2">
        <w:rPr>
          <w:i/>
          <w:iCs/>
          <w:rtl/>
        </w:rPr>
        <w:t xml:space="preserve"> الولايات المتحدة الأمريكية</w:t>
      </w:r>
    </w:p>
    <w:p w:rsidR="005E5EE2" w:rsidRDefault="005E5EE2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E3612C" w:rsidRPr="005E5EE2" w:rsidRDefault="005E5EE2" w:rsidP="005E5EE2">
      <w:pPr>
        <w:pStyle w:val="BodyText"/>
        <w:spacing w:after="480"/>
        <w:jc w:val="center"/>
        <w:rPr>
          <w:sz w:val="40"/>
          <w:szCs w:val="40"/>
          <w:rtl/>
        </w:rPr>
      </w:pPr>
      <w:r w:rsidRPr="005E5EE2">
        <w:rPr>
          <w:rFonts w:hint="cs"/>
          <w:sz w:val="40"/>
          <w:szCs w:val="40"/>
          <w:rtl/>
        </w:rPr>
        <w:lastRenderedPageBreak/>
        <w:t>يُدرج في الجزء الثالث (الحقوق المزمع منحها) من نص الرئيس (</w:t>
      </w:r>
      <w:r w:rsidRPr="005E5EE2">
        <w:rPr>
          <w:sz w:val="40"/>
          <w:szCs w:val="40"/>
        </w:rPr>
        <w:t>SCCR/36/6</w:t>
      </w:r>
      <w:r w:rsidRPr="005E5EE2">
        <w:rPr>
          <w:rFonts w:hint="cs"/>
          <w:sz w:val="40"/>
          <w:szCs w:val="40"/>
          <w:rtl/>
        </w:rPr>
        <w:t>)</w:t>
      </w:r>
    </w:p>
    <w:p w:rsidR="005E5EE2" w:rsidRDefault="00DF43A9" w:rsidP="00BA64E2">
      <w:pPr>
        <w:pStyle w:val="NormalParaAR"/>
        <w:tabs>
          <w:tab w:val="left" w:pos="708"/>
          <w:tab w:val="left" w:pos="1435"/>
        </w:tabs>
        <w:ind w:left="715" w:hanging="720"/>
      </w:pPr>
      <w:r>
        <w:rPr>
          <w:rFonts w:hint="cs"/>
          <w:rtl/>
        </w:rPr>
        <w:t>(1)</w:t>
      </w:r>
      <w:r>
        <w:rPr>
          <w:rFonts w:hint="cs"/>
          <w:rtl/>
        </w:rPr>
        <w:tab/>
      </w:r>
      <w:r w:rsidR="005E5EE2">
        <w:rPr>
          <w:rFonts w:hint="cs"/>
          <w:rtl/>
        </w:rPr>
        <w:t>"1"</w:t>
      </w:r>
      <w:r w:rsidR="005E5EE2">
        <w:rPr>
          <w:rFonts w:hint="cs"/>
          <w:rtl/>
        </w:rPr>
        <w:tab/>
      </w:r>
      <w:r w:rsidR="005E5EE2" w:rsidRPr="00852280">
        <w:rPr>
          <w:rFonts w:hint="cs"/>
          <w:rtl/>
        </w:rPr>
        <w:t xml:space="preserve">تتمتع هيئات البث بالحق </w:t>
      </w:r>
      <w:r w:rsidR="005E5EE2">
        <w:rPr>
          <w:rFonts w:hint="cs"/>
          <w:rtl/>
        </w:rPr>
        <w:t xml:space="preserve">الاستئثاري </w:t>
      </w:r>
      <w:r w:rsidR="005E5EE2" w:rsidRPr="00852280">
        <w:rPr>
          <w:rFonts w:hint="cs"/>
          <w:rtl/>
        </w:rPr>
        <w:t xml:space="preserve">في التصريح </w:t>
      </w:r>
      <w:r w:rsidR="005E5EE2">
        <w:rPr>
          <w:rFonts w:hint="cs"/>
          <w:rtl/>
        </w:rPr>
        <w:t>ب</w:t>
      </w:r>
      <w:r w:rsidR="005E5EE2" w:rsidRPr="00852280">
        <w:rPr>
          <w:rFonts w:hint="cs"/>
          <w:rtl/>
        </w:rPr>
        <w:t xml:space="preserve">إعادة إرسال </w:t>
      </w:r>
      <w:r w:rsidR="005E5EE2">
        <w:rPr>
          <w:rFonts w:hint="cs"/>
          <w:rtl/>
        </w:rPr>
        <w:t xml:space="preserve">إشارتها الحاملة لبرنامج </w:t>
      </w:r>
      <w:r w:rsidR="005E5EE2" w:rsidRPr="00852280">
        <w:rPr>
          <w:rFonts w:hint="cs"/>
          <w:rtl/>
        </w:rPr>
        <w:t xml:space="preserve">إلى الجمهور </w:t>
      </w:r>
      <w:r w:rsidR="005E5EE2" w:rsidRPr="005E5EE2">
        <w:rPr>
          <w:rFonts w:hint="cs"/>
          <w:rtl/>
        </w:rPr>
        <w:t>بأية</w:t>
      </w:r>
      <w:r w:rsidR="00BA64E2">
        <w:rPr>
          <w:rFonts w:hint="eastAsia"/>
          <w:rtl/>
        </w:rPr>
        <w:t> </w:t>
      </w:r>
      <w:r w:rsidR="005E5EE2" w:rsidRPr="005E5EE2">
        <w:rPr>
          <w:rFonts w:hint="cs"/>
          <w:rtl/>
        </w:rPr>
        <w:t>وسيلة</w:t>
      </w:r>
      <w:r w:rsidR="005E5EE2" w:rsidRPr="00852280">
        <w:rPr>
          <w:rFonts w:hint="cs"/>
          <w:rtl/>
        </w:rPr>
        <w:t>.</w:t>
      </w:r>
    </w:p>
    <w:p w:rsidR="005E5EE2" w:rsidRDefault="0029791D" w:rsidP="00BA64E2">
      <w:pPr>
        <w:pStyle w:val="NormalParaAR"/>
        <w:tabs>
          <w:tab w:val="left" w:pos="708"/>
          <w:tab w:val="left" w:pos="1435"/>
        </w:tabs>
        <w:ind w:left="715" w:hanging="720"/>
        <w:rPr>
          <w:rtl/>
        </w:rPr>
      </w:pPr>
      <w:r>
        <w:rPr>
          <w:rtl/>
        </w:rPr>
        <w:tab/>
      </w:r>
      <w:r w:rsidR="00CC7A7E">
        <w:rPr>
          <w:rFonts w:hint="cs"/>
          <w:rtl/>
        </w:rPr>
        <w:t>"2"</w:t>
      </w:r>
      <w:r w:rsidR="00CC7A7E">
        <w:rPr>
          <w:rtl/>
        </w:rPr>
        <w:tab/>
      </w:r>
      <w:r w:rsidR="005E5EE2" w:rsidRPr="005E5EE2">
        <w:rPr>
          <w:rtl/>
        </w:rPr>
        <w:t>يجوز لأي طرف متعاقد أن يعلن، في إخطار يودعه لدى المدير العام للويبو، أنه لن يطبق أحكام الفقرة</w:t>
      </w:r>
      <w:r w:rsidR="003566EE">
        <w:rPr>
          <w:rFonts w:hint="cs"/>
          <w:rtl/>
        </w:rPr>
        <w:t> </w:t>
      </w:r>
      <w:r w:rsidR="005E5EE2" w:rsidRPr="005E5EE2">
        <w:rPr>
          <w:rtl/>
        </w:rPr>
        <w:t>(1)</w:t>
      </w:r>
      <w:r w:rsidR="00CC7A7E">
        <w:rPr>
          <w:rFonts w:hint="cs"/>
          <w:rtl/>
        </w:rPr>
        <w:t>"1"</w:t>
      </w:r>
      <w:r w:rsidR="005E5EE2" w:rsidRPr="005E5EE2">
        <w:rPr>
          <w:rtl/>
        </w:rPr>
        <w:t xml:space="preserve"> إلا على بعض </w:t>
      </w:r>
      <w:r w:rsidR="00BA64E2">
        <w:rPr>
          <w:rFonts w:hint="cs"/>
          <w:rtl/>
        </w:rPr>
        <w:t>حالات إعادة الإرسال</w:t>
      </w:r>
      <w:r w:rsidR="005E5EE2" w:rsidRPr="005E5EE2">
        <w:rPr>
          <w:rtl/>
        </w:rPr>
        <w:t>، أو أنه سيحد من نطاق تطبيقها بطريقة أخرى</w:t>
      </w:r>
      <w:r w:rsidR="00CC7A7E">
        <w:rPr>
          <w:rFonts w:hint="cs"/>
          <w:rtl/>
        </w:rPr>
        <w:t>، شرط أن يمنح ذلك الطرف المتعاقد حماية كافية وفعالة لهيئات البث ضد إعادة إرسال إشاراتها الحاملة للبرنامج إلى الجمهور بأية وسيلة، دون تصريح</w:t>
      </w:r>
      <w:r w:rsidR="00DF43A9">
        <w:rPr>
          <w:rFonts w:hint="cs"/>
          <w:rtl/>
        </w:rPr>
        <w:t xml:space="preserve"> منها</w:t>
      </w:r>
      <w:r w:rsidR="00CC7A7E">
        <w:rPr>
          <w:rFonts w:hint="cs"/>
          <w:rtl/>
        </w:rPr>
        <w:t xml:space="preserve">، من خلال </w:t>
      </w:r>
      <w:r w:rsidR="00DF43A9">
        <w:rPr>
          <w:rFonts w:hint="cs"/>
          <w:rtl/>
        </w:rPr>
        <w:t>الجمع بين الحق المنصوص عليه في المادة (1)"1" وحق المؤلف أو</w:t>
      </w:r>
      <w:r w:rsidR="003566EE">
        <w:rPr>
          <w:rFonts w:hint="eastAsia"/>
          <w:rtl/>
        </w:rPr>
        <w:t> </w:t>
      </w:r>
      <w:r w:rsidR="00DF43A9">
        <w:rPr>
          <w:rFonts w:hint="cs"/>
          <w:rtl/>
        </w:rPr>
        <w:t>الحقوق</w:t>
      </w:r>
      <w:r w:rsidR="003566EE">
        <w:rPr>
          <w:rFonts w:hint="eastAsia"/>
          <w:rtl/>
        </w:rPr>
        <w:t> </w:t>
      </w:r>
      <w:r w:rsidR="00DF43A9">
        <w:rPr>
          <w:rFonts w:hint="cs"/>
          <w:rtl/>
        </w:rPr>
        <w:t>المجاورة.</w:t>
      </w:r>
    </w:p>
    <w:p w:rsidR="00DF43A9" w:rsidRDefault="00784564" w:rsidP="00E613B8">
      <w:pPr>
        <w:pStyle w:val="NormalParaAR"/>
        <w:tabs>
          <w:tab w:val="left" w:pos="708"/>
          <w:tab w:val="left" w:pos="1435"/>
        </w:tabs>
        <w:ind w:left="715" w:hanging="720"/>
        <w:rPr>
          <w:rtl/>
        </w:rPr>
      </w:pPr>
      <w:r>
        <w:rPr>
          <w:rFonts w:hint="cs"/>
          <w:rtl/>
        </w:rPr>
        <w:t>(ض)</w:t>
      </w:r>
      <w:r>
        <w:rPr>
          <w:rtl/>
        </w:rPr>
        <w:tab/>
      </w:r>
      <w:r w:rsidR="00DF43A9">
        <w:rPr>
          <w:rFonts w:hint="cs"/>
          <w:rtl/>
        </w:rPr>
        <w:t>"1"</w:t>
      </w:r>
      <w:r w:rsidR="006A5541">
        <w:rPr>
          <w:rtl/>
        </w:rPr>
        <w:tab/>
      </w:r>
      <w:r w:rsidR="006A5541">
        <w:rPr>
          <w:rFonts w:hint="cs"/>
          <w:rtl/>
        </w:rPr>
        <w:t xml:space="preserve">ليس في المادة (1)"2" ما يشترط </w:t>
      </w:r>
      <w:r w:rsidR="00E613B8">
        <w:rPr>
          <w:rFonts w:hint="cs"/>
          <w:rtl/>
        </w:rPr>
        <w:t>توسيع</w:t>
      </w:r>
      <w:r w:rsidR="006A5541">
        <w:rPr>
          <w:rFonts w:hint="cs"/>
          <w:rtl/>
        </w:rPr>
        <w:t xml:space="preserve"> أو تغيير الحماية الممنوحة بموجب حق المؤلف أو الحقوق المجاورة للبرامج المحمولة بالإشارة، بما في ذلك أية استثناءات أو تقييدات منطبقة.</w:t>
      </w:r>
    </w:p>
    <w:p w:rsidR="00E613B8" w:rsidRDefault="00E613B8" w:rsidP="00B95C58">
      <w:pPr>
        <w:pStyle w:val="NormalParaAR"/>
        <w:tabs>
          <w:tab w:val="left" w:pos="708"/>
          <w:tab w:val="left" w:pos="1435"/>
        </w:tabs>
        <w:ind w:left="715" w:hanging="720"/>
        <w:rPr>
          <w:rtl/>
        </w:rPr>
      </w:pPr>
      <w:r>
        <w:rPr>
          <w:rtl/>
        </w:rPr>
        <w:tab/>
      </w:r>
      <w:r>
        <w:rPr>
          <w:rFonts w:hint="cs"/>
          <w:rtl/>
        </w:rPr>
        <w:t>"2"</w:t>
      </w:r>
      <w:r>
        <w:rPr>
          <w:rtl/>
        </w:rPr>
        <w:tab/>
      </w:r>
      <w:r w:rsidR="00B95C58" w:rsidRPr="00B95C58">
        <w:rPr>
          <w:rtl/>
        </w:rPr>
        <w:t xml:space="preserve">لا يجوز بأي حال تفسير هذه الاتفاقية بما يحد أو يمس بالحماية </w:t>
      </w:r>
      <w:r w:rsidR="00B95C58">
        <w:rPr>
          <w:rFonts w:hint="cs"/>
          <w:rtl/>
        </w:rPr>
        <w:t>المكفولة</w:t>
      </w:r>
      <w:r w:rsidR="00B95C58" w:rsidRPr="00B95C58">
        <w:rPr>
          <w:rtl/>
        </w:rPr>
        <w:t xml:space="preserve"> للمؤلفين </w:t>
      </w:r>
      <w:r w:rsidR="00BA64E2">
        <w:rPr>
          <w:rFonts w:hint="cs"/>
          <w:rtl/>
        </w:rPr>
        <w:t xml:space="preserve">أو </w:t>
      </w:r>
      <w:r w:rsidR="00B95C58">
        <w:rPr>
          <w:rFonts w:hint="cs"/>
          <w:rtl/>
        </w:rPr>
        <w:t>فناني الأداء</w:t>
      </w:r>
      <w:r w:rsidR="00BA64E2">
        <w:rPr>
          <w:rtl/>
        </w:rPr>
        <w:t xml:space="preserve"> </w:t>
      </w:r>
      <w:r w:rsidR="00BA64E2">
        <w:rPr>
          <w:rFonts w:hint="cs"/>
          <w:rtl/>
        </w:rPr>
        <w:t xml:space="preserve">أو </w:t>
      </w:r>
      <w:r w:rsidR="00B95C58" w:rsidRPr="00B95C58">
        <w:rPr>
          <w:rtl/>
        </w:rPr>
        <w:t xml:space="preserve">منتجي </w:t>
      </w:r>
      <w:r w:rsidR="00B95C58">
        <w:rPr>
          <w:rFonts w:hint="cs"/>
          <w:rtl/>
        </w:rPr>
        <w:t xml:space="preserve">التسجيلات الصوتية بمقتضى </w:t>
      </w:r>
      <w:r w:rsidR="00B95C58" w:rsidRPr="00B95C58">
        <w:rPr>
          <w:rtl/>
        </w:rPr>
        <w:t>القوانين الوطنية أو الاتفاقيات الدولية.</w:t>
      </w:r>
    </w:p>
    <w:p w:rsidR="00B95C58" w:rsidRDefault="00B95C58" w:rsidP="00BA64E2">
      <w:pPr>
        <w:pStyle w:val="NormalParaAR"/>
        <w:tabs>
          <w:tab w:val="left" w:pos="708"/>
          <w:tab w:val="left" w:pos="1435"/>
        </w:tabs>
        <w:ind w:left="715" w:hanging="720"/>
        <w:rPr>
          <w:rtl/>
        </w:rPr>
      </w:pPr>
      <w:r>
        <w:rPr>
          <w:rFonts w:hint="cs"/>
          <w:rtl/>
        </w:rPr>
        <w:t>(ظ)</w:t>
      </w:r>
      <w:r>
        <w:rPr>
          <w:rtl/>
        </w:rPr>
        <w:tab/>
      </w:r>
      <w:r>
        <w:rPr>
          <w:rFonts w:hint="cs"/>
          <w:rtl/>
        </w:rPr>
        <w:t>"1"</w:t>
      </w:r>
      <w:r>
        <w:rPr>
          <w:rtl/>
        </w:rPr>
        <w:tab/>
      </w:r>
      <w:r w:rsidR="0029791D">
        <w:rPr>
          <w:rtl/>
        </w:rPr>
        <w:t xml:space="preserve">الوسائل التي </w:t>
      </w:r>
      <w:r w:rsidR="0029791D" w:rsidRPr="00B95C58">
        <w:rPr>
          <w:rtl/>
        </w:rPr>
        <w:t>ت</w:t>
      </w:r>
      <w:r w:rsidR="0029791D">
        <w:rPr>
          <w:rFonts w:hint="cs"/>
          <w:rtl/>
        </w:rPr>
        <w:t>ُ</w:t>
      </w:r>
      <w:r w:rsidR="0029791D">
        <w:rPr>
          <w:rtl/>
        </w:rPr>
        <w:t>طبق</w:t>
      </w:r>
      <w:r w:rsidR="0029791D">
        <w:rPr>
          <w:rFonts w:hint="cs"/>
          <w:rtl/>
        </w:rPr>
        <w:t xml:space="preserve"> بها</w:t>
      </w:r>
      <w:r w:rsidR="0029791D" w:rsidRPr="00B95C58">
        <w:rPr>
          <w:rtl/>
        </w:rPr>
        <w:t xml:space="preserve"> </w:t>
      </w:r>
      <w:r w:rsidR="0029791D">
        <w:rPr>
          <w:rFonts w:hint="cs"/>
          <w:rtl/>
        </w:rPr>
        <w:t xml:space="preserve">هذه </w:t>
      </w:r>
      <w:r w:rsidR="0029791D" w:rsidRPr="00B95C58">
        <w:rPr>
          <w:rtl/>
        </w:rPr>
        <w:t xml:space="preserve">الاتفاقية </w:t>
      </w:r>
      <w:r w:rsidR="0029791D">
        <w:rPr>
          <w:rFonts w:hint="cs"/>
          <w:rtl/>
        </w:rPr>
        <w:t>من</w:t>
      </w:r>
      <w:r w:rsidRPr="00B95C58">
        <w:rPr>
          <w:rtl/>
        </w:rPr>
        <w:t xml:space="preserve"> اختصاص </w:t>
      </w:r>
      <w:r w:rsidR="0029791D">
        <w:rPr>
          <w:rFonts w:hint="cs"/>
          <w:rtl/>
        </w:rPr>
        <w:t>القانون</w:t>
      </w:r>
      <w:r w:rsidR="0029791D">
        <w:rPr>
          <w:rtl/>
        </w:rPr>
        <w:t xml:space="preserve"> الوطني</w:t>
      </w:r>
      <w:r w:rsidRPr="00B95C58">
        <w:rPr>
          <w:rtl/>
        </w:rPr>
        <w:t xml:space="preserve"> لكل </w:t>
      </w:r>
      <w:r w:rsidR="0029791D">
        <w:rPr>
          <w:rFonts w:hint="cs"/>
          <w:rtl/>
        </w:rPr>
        <w:t>طرف متعاقد</w:t>
      </w:r>
      <w:r w:rsidR="0029791D">
        <w:rPr>
          <w:rtl/>
        </w:rPr>
        <w:t xml:space="preserve"> </w:t>
      </w:r>
      <w:r w:rsidR="0029791D">
        <w:rPr>
          <w:rFonts w:hint="cs"/>
          <w:rtl/>
        </w:rPr>
        <w:t>وتشمل واحدا أو</w:t>
      </w:r>
      <w:r w:rsidR="0029791D">
        <w:rPr>
          <w:rFonts w:hint="eastAsia"/>
          <w:rtl/>
        </w:rPr>
        <w:t> </w:t>
      </w:r>
      <w:r w:rsidR="0029791D">
        <w:rPr>
          <w:rFonts w:hint="cs"/>
          <w:rtl/>
        </w:rPr>
        <w:t>أكثر مما يلي</w:t>
      </w:r>
      <w:r w:rsidRPr="00B95C58">
        <w:rPr>
          <w:rtl/>
        </w:rPr>
        <w:t xml:space="preserve">: الحماية عن طريق منح حق المؤلف أو حق </w:t>
      </w:r>
      <w:r w:rsidR="00BA64E2">
        <w:rPr>
          <w:rFonts w:hint="cs"/>
          <w:rtl/>
        </w:rPr>
        <w:t>محدّد</w:t>
      </w:r>
      <w:r w:rsidR="0029791D">
        <w:rPr>
          <w:rFonts w:hint="cs"/>
          <w:rtl/>
        </w:rPr>
        <w:t xml:space="preserve"> </w:t>
      </w:r>
      <w:r w:rsidR="0029791D">
        <w:rPr>
          <w:rtl/>
        </w:rPr>
        <w:t>آخر</w:t>
      </w:r>
      <w:r w:rsidR="0029791D">
        <w:rPr>
          <w:rFonts w:hint="cs"/>
          <w:rtl/>
        </w:rPr>
        <w:t>؛</w:t>
      </w:r>
      <w:r w:rsidRPr="00B95C58">
        <w:rPr>
          <w:rtl/>
        </w:rPr>
        <w:t xml:space="preserve"> والحماية عن طريق القانون الخاص بالمنافسة غير المشروعة</w:t>
      </w:r>
      <w:r w:rsidR="00055560">
        <w:rPr>
          <w:rFonts w:hint="cs"/>
          <w:rtl/>
        </w:rPr>
        <w:t xml:space="preserve"> أو التملك غير المشروع؛ والحماية عن طريق قانون الاتصالات السلكية وال</w:t>
      </w:r>
      <w:r w:rsidR="0029791D">
        <w:rPr>
          <w:rFonts w:hint="cs"/>
          <w:rtl/>
        </w:rPr>
        <w:t>لاسلكية</w:t>
      </w:r>
      <w:r w:rsidR="00BA64E2">
        <w:rPr>
          <w:rFonts w:hint="cs"/>
          <w:rtl/>
        </w:rPr>
        <w:t xml:space="preserve"> ولائحته</w:t>
      </w:r>
      <w:r w:rsidR="0029791D">
        <w:rPr>
          <w:rFonts w:hint="cs"/>
          <w:rtl/>
        </w:rPr>
        <w:t xml:space="preserve"> التنفيذية؛</w:t>
      </w:r>
      <w:r w:rsidRPr="00B95C58">
        <w:rPr>
          <w:rtl/>
        </w:rPr>
        <w:t xml:space="preserve"> </w:t>
      </w:r>
      <w:r w:rsidRPr="00B95C58">
        <w:rPr>
          <w:rtl/>
        </w:rPr>
        <w:lastRenderedPageBreak/>
        <w:t xml:space="preserve">والحماية عن طريق </w:t>
      </w:r>
      <w:r w:rsidR="0029791D">
        <w:rPr>
          <w:rFonts w:hint="cs"/>
          <w:rtl/>
        </w:rPr>
        <w:t>التدابير الإدارية؛ والحماية بموجب القانون الجنائي.</w:t>
      </w:r>
    </w:p>
    <w:p w:rsidR="0029791D" w:rsidRDefault="0029791D" w:rsidP="00AB39D7">
      <w:pPr>
        <w:pStyle w:val="NormalParaAR"/>
        <w:tabs>
          <w:tab w:val="left" w:pos="708"/>
          <w:tab w:val="left" w:pos="1435"/>
        </w:tabs>
        <w:ind w:left="715" w:hanging="720"/>
        <w:rPr>
          <w:rtl/>
        </w:rPr>
      </w:pPr>
      <w:r>
        <w:rPr>
          <w:rFonts w:hint="cs"/>
          <w:rtl/>
        </w:rPr>
        <w:t>(غ)</w:t>
      </w:r>
      <w:r>
        <w:rPr>
          <w:rtl/>
        </w:rPr>
        <w:tab/>
      </w:r>
      <w:r w:rsidR="003566EE">
        <w:rPr>
          <w:rFonts w:hint="cs"/>
          <w:rtl/>
        </w:rPr>
        <w:t>يتعين على الأطراف المتعاقدة التي تمنح الحماية لهيئات البث عن طريق الجمع بين الحق المنصوص عليه في المادة</w:t>
      </w:r>
      <w:r w:rsidR="003566EE">
        <w:rPr>
          <w:rFonts w:hint="eastAsia"/>
          <w:rtl/>
        </w:rPr>
        <w:t> </w:t>
      </w:r>
      <w:r w:rsidR="003566EE">
        <w:rPr>
          <w:rFonts w:hint="cs"/>
          <w:rtl/>
        </w:rPr>
        <w:t>(1)"1</w:t>
      </w:r>
      <w:r w:rsidR="00BA64E2">
        <w:rPr>
          <w:rFonts w:hint="cs"/>
          <w:rtl/>
        </w:rPr>
        <w:t>"</w:t>
      </w:r>
      <w:r w:rsidR="003566EE">
        <w:rPr>
          <w:rFonts w:hint="cs"/>
          <w:rtl/>
        </w:rPr>
        <w:t xml:space="preserve"> وحق المؤلف أو الحقوق المجاورة </w:t>
      </w:r>
      <w:r w:rsidR="00BA64E2">
        <w:rPr>
          <w:rFonts w:hint="cs"/>
          <w:rtl/>
        </w:rPr>
        <w:t>كما تسمح به</w:t>
      </w:r>
      <w:r w:rsidR="003566EE">
        <w:rPr>
          <w:rFonts w:hint="cs"/>
          <w:rtl/>
        </w:rPr>
        <w:t xml:space="preserve"> المادة (1)"2" أن تنص على أنه يجوز لهيئات البث إنفاذ الحقوق ضد إعادة إرسال الإشارة الحاملة للبرامج بدون تصريح، </w:t>
      </w:r>
      <w:r w:rsidR="00AB39D7">
        <w:rPr>
          <w:rFonts w:hint="cs"/>
          <w:rtl/>
        </w:rPr>
        <w:t>ما دام</w:t>
      </w:r>
      <w:r w:rsidR="00367446">
        <w:rPr>
          <w:rFonts w:hint="cs"/>
          <w:rtl/>
        </w:rPr>
        <w:t xml:space="preserve"> ل</w:t>
      </w:r>
      <w:r w:rsidR="003566EE">
        <w:rPr>
          <w:rFonts w:hint="cs"/>
          <w:rtl/>
        </w:rPr>
        <w:t xml:space="preserve">هيئات البث تصريح </w:t>
      </w:r>
      <w:r w:rsidR="00367446">
        <w:rPr>
          <w:rFonts w:hint="cs"/>
          <w:rtl/>
        </w:rPr>
        <w:t xml:space="preserve">بذلك </w:t>
      </w:r>
      <w:r w:rsidR="00AB39D7">
        <w:rPr>
          <w:rFonts w:hint="cs"/>
          <w:rtl/>
        </w:rPr>
        <w:t>من مالكي حق</w:t>
      </w:r>
      <w:r w:rsidR="003566EE">
        <w:rPr>
          <w:rFonts w:hint="cs"/>
          <w:rtl/>
        </w:rPr>
        <w:t xml:space="preserve"> المؤلف أو الحقوق المجاورة في البرامج</w:t>
      </w:r>
      <w:r w:rsidR="00367446">
        <w:rPr>
          <w:rFonts w:hint="cs"/>
          <w:rtl/>
        </w:rPr>
        <w:t xml:space="preserve"> بموجب القانون الوطني للطرف المتعاقد. [1]</w:t>
      </w:r>
    </w:p>
    <w:p w:rsidR="00367446" w:rsidRPr="005E5EE2" w:rsidRDefault="00367446" w:rsidP="00AB39D7">
      <w:pPr>
        <w:pStyle w:val="NormalParaAR"/>
        <w:tabs>
          <w:tab w:val="left" w:pos="708"/>
          <w:tab w:val="left" w:pos="1435"/>
        </w:tabs>
        <w:ind w:left="715" w:hanging="720"/>
      </w:pPr>
      <w:r>
        <w:rPr>
          <w:rFonts w:hint="cs"/>
          <w:rtl/>
        </w:rPr>
        <w:t>[1]</w:t>
      </w:r>
      <w:r>
        <w:rPr>
          <w:rtl/>
        </w:rPr>
        <w:tab/>
      </w:r>
      <w:r>
        <w:rPr>
          <w:rFonts w:hint="cs"/>
          <w:rtl/>
        </w:rPr>
        <w:t>بيان متفق عليه بشأن المادة (1)(غ): من المفهوم أنه يجوز للأطراف المتعاقدة فرض شروط تحدّد الظروف التي يجوز تحتها</w:t>
      </w:r>
      <w:r w:rsidR="00AB39D7">
        <w:rPr>
          <w:rFonts w:hint="cs"/>
          <w:rtl/>
        </w:rPr>
        <w:t xml:space="preserve"> لإحدى هيئات البث إنفاذ حق</w:t>
      </w:r>
      <w:r>
        <w:rPr>
          <w:rFonts w:hint="cs"/>
          <w:rtl/>
        </w:rPr>
        <w:t xml:space="preserve"> من حقوق المؤلف أو الحقوق المجاورة التي يملكها شخص بخلاف هيئة</w:t>
      </w:r>
      <w:r w:rsidR="00AB39D7">
        <w:rPr>
          <w:rFonts w:hint="eastAsia"/>
          <w:rtl/>
        </w:rPr>
        <w:t> </w:t>
      </w:r>
      <w:r>
        <w:rPr>
          <w:rFonts w:hint="cs"/>
          <w:rtl/>
        </w:rPr>
        <w:t>البث.</w:t>
      </w:r>
    </w:p>
    <w:p w:rsidR="00FD6D15" w:rsidRPr="00C41AE0" w:rsidRDefault="00367446" w:rsidP="00367446">
      <w:pPr>
        <w:pStyle w:val="Endofdocument-Annex"/>
        <w:rPr>
          <w:rtl/>
        </w:rPr>
      </w:pPr>
      <w:r>
        <w:rPr>
          <w:rFonts w:hint="cs"/>
          <w:rtl/>
        </w:rPr>
        <w:t>[نهاية الوثيقة]</w:t>
      </w:r>
    </w:p>
    <w:sectPr w:rsidR="00FD6D15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E2" w:rsidRDefault="005E5EE2">
      <w:r>
        <w:separator/>
      </w:r>
    </w:p>
  </w:endnote>
  <w:endnote w:type="continuationSeparator" w:id="0">
    <w:p w:rsidR="005E5EE2" w:rsidRDefault="005E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E2" w:rsidRDefault="005E5EE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E5EE2" w:rsidRDefault="005E5EE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E2" w:rsidRDefault="005E5EE2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SCCR/37/7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FB7FF6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C15177"/>
    <w:multiLevelType w:val="hybridMultilevel"/>
    <w:tmpl w:val="15141DCC"/>
    <w:lvl w:ilvl="0" w:tplc="41A833BC">
      <w:start w:val="1"/>
      <w:numFmt w:val="decimal"/>
      <w:lvlText w:val="(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4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3" w15:restartNumberingAfterBreak="0">
    <w:nsid w:val="34E44FB1"/>
    <w:multiLevelType w:val="hybridMultilevel"/>
    <w:tmpl w:val="E40AEAF8"/>
    <w:lvl w:ilvl="0" w:tplc="27CC2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AF5191E"/>
    <w:multiLevelType w:val="hybridMultilevel"/>
    <w:tmpl w:val="79CCF220"/>
    <w:lvl w:ilvl="0" w:tplc="B71C3674">
      <w:start w:val="10"/>
      <w:numFmt w:val="decimal"/>
      <w:lvlText w:val="(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9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0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2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3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4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7" w15:restartNumberingAfterBreak="0">
    <w:nsid w:val="64F8510D"/>
    <w:multiLevelType w:val="hybridMultilevel"/>
    <w:tmpl w:val="1054A24E"/>
    <w:lvl w:ilvl="0" w:tplc="B71C3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9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40"/>
  </w:num>
  <w:num w:numId="5">
    <w:abstractNumId w:val="8"/>
  </w:num>
  <w:num w:numId="6">
    <w:abstractNumId w:val="41"/>
  </w:num>
  <w:num w:numId="7">
    <w:abstractNumId w:val="21"/>
  </w:num>
  <w:num w:numId="8">
    <w:abstractNumId w:val="39"/>
  </w:num>
  <w:num w:numId="9">
    <w:abstractNumId w:val="34"/>
  </w:num>
  <w:num w:numId="10">
    <w:abstractNumId w:val="42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26"/>
  </w:num>
  <w:num w:numId="23">
    <w:abstractNumId w:val="13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1"/>
  </w:num>
  <w:num w:numId="30">
    <w:abstractNumId w:val="32"/>
  </w:num>
  <w:num w:numId="31">
    <w:abstractNumId w:val="22"/>
  </w:num>
  <w:num w:numId="32">
    <w:abstractNumId w:val="29"/>
  </w:num>
  <w:num w:numId="33">
    <w:abstractNumId w:val="38"/>
  </w:num>
  <w:num w:numId="34">
    <w:abstractNumId w:val="14"/>
  </w:num>
  <w:num w:numId="35">
    <w:abstractNumId w:val="36"/>
  </w:num>
  <w:num w:numId="36">
    <w:abstractNumId w:val="28"/>
  </w:num>
  <w:num w:numId="37">
    <w:abstractNumId w:val="35"/>
  </w:num>
  <w:num w:numId="38">
    <w:abstractNumId w:val="17"/>
  </w:num>
  <w:num w:numId="39">
    <w:abstractNumId w:val="31"/>
  </w:num>
  <w:num w:numId="40">
    <w:abstractNumId w:val="30"/>
  </w:num>
  <w:num w:numId="41">
    <w:abstractNumId w:val="19"/>
  </w:num>
  <w:num w:numId="42">
    <w:abstractNumId w:val="10"/>
  </w:num>
  <w:num w:numId="43">
    <w:abstractNumId w:val="24"/>
  </w:num>
  <w:num w:numId="44">
    <w:abstractNumId w:val="33"/>
  </w:num>
  <w:num w:numId="45">
    <w:abstractNumId w:val="12"/>
  </w:num>
  <w:num w:numId="46">
    <w:abstractNumId w:val="25"/>
  </w:num>
  <w:num w:numId="47">
    <w:abstractNumId w:val="2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E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560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614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91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6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67446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5EE2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541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4564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39D7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5C58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4E2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97B3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C7A7E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3A9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3B8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B7FF6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BAE4287-9B72-41BE-A08F-894CBF8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rsid w:val="005E5EE2"/>
    <w:pPr>
      <w:bidi/>
      <w:spacing w:after="240" w:line="3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4299-0339-4066-9095-D3D9C811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SCCR/37/7_x000d_ (Arabic)</vt:lpstr>
    </vt:vector>
  </TitlesOfParts>
  <Company>World Intellectual Property Organization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SCCR/37/7_x000d_ (Arabic)</dc:title>
  <dc:creator>MERZOUK Fawzi</dc:creator>
  <cp:lastModifiedBy>HAIZEL Francesca</cp:lastModifiedBy>
  <cp:revision>2</cp:revision>
  <cp:lastPrinted>2018-11-23T08:59:00Z</cp:lastPrinted>
  <dcterms:created xsi:type="dcterms:W3CDTF">2018-11-27T10:08:00Z</dcterms:created>
  <dcterms:modified xsi:type="dcterms:W3CDTF">2018-11-27T10:08:00Z</dcterms:modified>
</cp:coreProperties>
</file>