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A04A6" w:rsidRPr="002A04A6" w14:paraId="21AF67D0" w14:textId="77777777" w:rsidTr="004634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CB8698C" w14:textId="77777777" w:rsidR="002A04A6" w:rsidRPr="002A04A6" w:rsidRDefault="002A04A6" w:rsidP="0046347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B5FC2B" w14:textId="77777777" w:rsidR="002A04A6" w:rsidRPr="002A04A6" w:rsidRDefault="002A04A6" w:rsidP="0046347F">
            <w:pPr>
              <w:rPr>
                <w:lang w:val="fr-FR"/>
              </w:rPr>
            </w:pPr>
            <w:r w:rsidRPr="002A04A6">
              <w:rPr>
                <w:noProof/>
                <w:lang w:val="de-DE" w:eastAsia="de-DE"/>
              </w:rPr>
              <w:drawing>
                <wp:inline distT="0" distB="0" distL="0" distR="0" wp14:anchorId="731DB373" wp14:editId="557A349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97F56F" w14:textId="77777777" w:rsidR="002A04A6" w:rsidRPr="002A04A6" w:rsidRDefault="002A04A6" w:rsidP="0046347F">
            <w:pPr>
              <w:jc w:val="right"/>
              <w:rPr>
                <w:lang w:val="fr-FR"/>
              </w:rPr>
            </w:pPr>
            <w:r w:rsidRPr="002A04A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A04A6" w:rsidRPr="002A04A6" w14:paraId="47F7F203" w14:textId="77777777" w:rsidTr="0046347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12E4AC9" w14:textId="77777777" w:rsidR="002A04A6" w:rsidRPr="002A04A6" w:rsidRDefault="002A04A6" w:rsidP="0046347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04A6">
              <w:rPr>
                <w:rFonts w:ascii="Arial Black" w:hAnsi="Arial Black"/>
                <w:caps/>
                <w:sz w:val="15"/>
                <w:lang w:val="fr-FR"/>
              </w:rPr>
              <w:t>CWS/7/</w:t>
            </w:r>
            <w:bookmarkStart w:id="1" w:name="Code"/>
            <w:bookmarkEnd w:id="1"/>
            <w:r w:rsidRPr="002A04A6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2A04A6" w:rsidRPr="002A04A6" w14:paraId="05259FD4" w14:textId="77777777" w:rsidTr="0046347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0C33A3" w14:textId="3DC323FB" w:rsidR="002A04A6" w:rsidRPr="002A04A6" w:rsidRDefault="002A04A6" w:rsidP="0046347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04A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734A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A04A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2A04A6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2A04A6" w:rsidRPr="002A04A6" w14:paraId="04607555" w14:textId="77777777" w:rsidTr="0046347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F71308E" w14:textId="25FDAF26" w:rsidR="002A04A6" w:rsidRPr="002A04A6" w:rsidRDefault="002A04A6" w:rsidP="0046347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04A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734A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A04A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2A04A6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52221B" w:rsidRPr="002A04A6">
              <w:rPr>
                <w:rFonts w:ascii="Arial Black" w:hAnsi="Arial Black"/>
                <w:caps/>
                <w:sz w:val="15"/>
                <w:lang w:val="fr-FR"/>
              </w:rPr>
              <w:t>0</w:t>
            </w:r>
            <w:r w:rsidR="0052221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2221B" w:rsidRPr="002A04A6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52221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2221B" w:rsidRPr="002A04A6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2A04A6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14:paraId="21CBE3E3" w14:textId="77777777" w:rsidR="001E3E7C" w:rsidRDefault="001E3E7C" w:rsidP="002A04A6">
      <w:pPr>
        <w:rPr>
          <w:lang w:val="fr-FR"/>
        </w:rPr>
      </w:pPr>
    </w:p>
    <w:p w14:paraId="25F232C4" w14:textId="77777777" w:rsidR="001E3E7C" w:rsidRDefault="001E3E7C" w:rsidP="002A04A6">
      <w:pPr>
        <w:rPr>
          <w:lang w:val="fr-FR"/>
        </w:rPr>
      </w:pPr>
    </w:p>
    <w:p w14:paraId="57923EA0" w14:textId="77777777" w:rsidR="001E3E7C" w:rsidRDefault="001E3E7C" w:rsidP="002A04A6">
      <w:pPr>
        <w:rPr>
          <w:lang w:val="fr-FR"/>
        </w:rPr>
      </w:pPr>
    </w:p>
    <w:p w14:paraId="20796D86" w14:textId="77777777" w:rsidR="001E3E7C" w:rsidRDefault="001E3E7C" w:rsidP="002A04A6">
      <w:pPr>
        <w:rPr>
          <w:lang w:val="fr-FR"/>
        </w:rPr>
      </w:pPr>
    </w:p>
    <w:p w14:paraId="6D6B68A5" w14:textId="77777777" w:rsidR="001E3E7C" w:rsidRDefault="001E3E7C" w:rsidP="002A04A6">
      <w:pPr>
        <w:rPr>
          <w:lang w:val="fr-FR"/>
        </w:rPr>
      </w:pPr>
    </w:p>
    <w:p w14:paraId="5E37BA7F" w14:textId="46193E63" w:rsidR="001E3E7C" w:rsidRDefault="007734AE" w:rsidP="002A04A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Comité des normes de l’OMPI</w:t>
      </w:r>
      <w:r w:rsidR="002A04A6" w:rsidRPr="002A04A6">
        <w:rPr>
          <w:b/>
          <w:sz w:val="28"/>
          <w:szCs w:val="28"/>
          <w:lang w:val="fr-FR"/>
        </w:rPr>
        <w:t xml:space="preserve"> (CWS)</w:t>
      </w:r>
    </w:p>
    <w:p w14:paraId="1AFA7567" w14:textId="77777777" w:rsidR="001E3E7C" w:rsidRDefault="001E3E7C" w:rsidP="002A04A6">
      <w:pPr>
        <w:rPr>
          <w:lang w:val="fr-FR"/>
        </w:rPr>
      </w:pPr>
    </w:p>
    <w:p w14:paraId="1576AD0A" w14:textId="77777777" w:rsidR="001E3E7C" w:rsidRDefault="001E3E7C" w:rsidP="002A04A6">
      <w:pPr>
        <w:rPr>
          <w:lang w:val="fr-FR"/>
        </w:rPr>
      </w:pPr>
    </w:p>
    <w:p w14:paraId="1564C357" w14:textId="6544B79E" w:rsidR="001E3E7C" w:rsidRDefault="002A04A6" w:rsidP="002A04A6">
      <w:pPr>
        <w:rPr>
          <w:b/>
          <w:sz w:val="24"/>
          <w:szCs w:val="24"/>
          <w:lang w:val="fr-FR"/>
        </w:rPr>
      </w:pPr>
      <w:r w:rsidRPr="002A04A6">
        <w:rPr>
          <w:b/>
          <w:sz w:val="24"/>
          <w:szCs w:val="24"/>
          <w:lang w:val="fr-FR"/>
        </w:rPr>
        <w:t>Sept</w:t>
      </w:r>
      <w:r w:rsidR="00122BBC">
        <w:rPr>
          <w:b/>
          <w:sz w:val="24"/>
          <w:szCs w:val="24"/>
          <w:lang w:val="fr-FR"/>
        </w:rPr>
        <w:t>ième session</w:t>
      </w:r>
    </w:p>
    <w:p w14:paraId="71E7E2AB" w14:textId="004B4412" w:rsidR="001E3E7C" w:rsidRDefault="002A04A6" w:rsidP="002A04A6">
      <w:pPr>
        <w:rPr>
          <w:b/>
          <w:sz w:val="24"/>
          <w:szCs w:val="24"/>
          <w:lang w:val="fr-FR"/>
        </w:rPr>
      </w:pPr>
      <w:r w:rsidRPr="002A04A6">
        <w:rPr>
          <w:b/>
          <w:sz w:val="24"/>
          <w:szCs w:val="24"/>
          <w:lang w:val="fr-FR"/>
        </w:rPr>
        <w:t>Genève,</w:t>
      </w:r>
      <w:r w:rsidR="00122BBC">
        <w:rPr>
          <w:b/>
          <w:sz w:val="24"/>
          <w:szCs w:val="24"/>
          <w:lang w:val="fr-FR"/>
        </w:rPr>
        <w:t xml:space="preserve"> 1</w:t>
      </w:r>
      <w:r w:rsidR="00122BBC" w:rsidRPr="00122BBC">
        <w:rPr>
          <w:b/>
          <w:sz w:val="24"/>
          <w:szCs w:val="24"/>
          <w:vertAlign w:val="superscript"/>
          <w:lang w:val="fr-FR"/>
        </w:rPr>
        <w:t>er</w:t>
      </w:r>
      <w:r w:rsidR="00122BBC">
        <w:rPr>
          <w:b/>
          <w:sz w:val="24"/>
          <w:szCs w:val="24"/>
          <w:lang w:val="fr-FR"/>
        </w:rPr>
        <w:t> </w:t>
      </w:r>
      <w:r w:rsidRPr="002A04A6">
        <w:rPr>
          <w:b/>
          <w:sz w:val="24"/>
          <w:szCs w:val="24"/>
          <w:lang w:val="fr-FR"/>
        </w:rPr>
        <w:t xml:space="preserve">– </w:t>
      </w:r>
      <w:r w:rsidR="0052221B" w:rsidRPr="002A04A6">
        <w:rPr>
          <w:b/>
          <w:sz w:val="24"/>
          <w:szCs w:val="24"/>
          <w:lang w:val="fr-FR"/>
        </w:rPr>
        <w:t>5</w:t>
      </w:r>
      <w:r w:rsidR="0052221B">
        <w:rPr>
          <w:b/>
          <w:sz w:val="24"/>
          <w:szCs w:val="24"/>
          <w:lang w:val="fr-FR"/>
        </w:rPr>
        <w:t> </w:t>
      </w:r>
      <w:r w:rsidR="0052221B" w:rsidRPr="002A04A6">
        <w:rPr>
          <w:b/>
          <w:sz w:val="24"/>
          <w:szCs w:val="24"/>
          <w:lang w:val="fr-FR"/>
        </w:rPr>
        <w:t>juillet</w:t>
      </w:r>
      <w:r w:rsidR="0052221B">
        <w:rPr>
          <w:b/>
          <w:sz w:val="24"/>
          <w:szCs w:val="24"/>
          <w:lang w:val="fr-FR"/>
        </w:rPr>
        <w:t> </w:t>
      </w:r>
      <w:r w:rsidR="0052221B" w:rsidRPr="002A04A6">
        <w:rPr>
          <w:b/>
          <w:sz w:val="24"/>
          <w:szCs w:val="24"/>
          <w:lang w:val="fr-FR"/>
        </w:rPr>
        <w:t>20</w:t>
      </w:r>
      <w:r w:rsidRPr="002A04A6">
        <w:rPr>
          <w:b/>
          <w:sz w:val="24"/>
          <w:szCs w:val="24"/>
          <w:lang w:val="fr-FR"/>
        </w:rPr>
        <w:t>19</w:t>
      </w:r>
    </w:p>
    <w:p w14:paraId="67EFBE98" w14:textId="77777777" w:rsidR="001E3E7C" w:rsidRDefault="001E3E7C" w:rsidP="002A04A6">
      <w:pPr>
        <w:rPr>
          <w:lang w:val="fr-FR"/>
        </w:rPr>
      </w:pPr>
    </w:p>
    <w:p w14:paraId="736FAC73" w14:textId="77777777" w:rsidR="001E3E7C" w:rsidRDefault="001E3E7C" w:rsidP="002A04A6">
      <w:pPr>
        <w:rPr>
          <w:lang w:val="fr-FR"/>
        </w:rPr>
      </w:pPr>
    </w:p>
    <w:p w14:paraId="1E37B2D0" w14:textId="77777777" w:rsidR="001E3E7C" w:rsidRDefault="001E3E7C" w:rsidP="002A04A6">
      <w:pPr>
        <w:rPr>
          <w:lang w:val="fr-FR"/>
        </w:rPr>
      </w:pPr>
    </w:p>
    <w:p w14:paraId="24B8853C" w14:textId="3C63FBF2" w:rsidR="001E3E7C" w:rsidRDefault="002A04A6" w:rsidP="002A04A6">
      <w:pPr>
        <w:rPr>
          <w:caps/>
          <w:sz w:val="24"/>
          <w:lang w:val="fr-FR"/>
        </w:rPr>
      </w:pPr>
      <w:r w:rsidRPr="007734AE">
        <w:rPr>
          <w:caps/>
          <w:sz w:val="24"/>
          <w:lang w:val="fr-FR"/>
        </w:rPr>
        <w:t>Rapport de l</w:t>
      </w:r>
      <w:r w:rsidR="00122BBC" w:rsidRPr="007734AE">
        <w:rPr>
          <w:caps/>
          <w:sz w:val="24"/>
          <w:lang w:val="fr-FR"/>
        </w:rPr>
        <w:t>’</w:t>
      </w:r>
      <w:r w:rsidRPr="007734AE">
        <w:rPr>
          <w:caps/>
          <w:sz w:val="24"/>
          <w:lang w:val="fr-FR"/>
        </w:rPr>
        <w:t>Équipe d</w:t>
      </w:r>
      <w:r w:rsidR="00122BBC" w:rsidRPr="007734AE">
        <w:rPr>
          <w:caps/>
          <w:sz w:val="24"/>
          <w:lang w:val="fr-FR"/>
        </w:rPr>
        <w:t>’</w:t>
      </w:r>
      <w:r w:rsidRPr="007734AE">
        <w:rPr>
          <w:caps/>
          <w:sz w:val="24"/>
          <w:lang w:val="fr-FR"/>
        </w:rPr>
        <w:t xml:space="preserve">experts chargée de la transformation numérique sur la tâche </w:t>
      </w:r>
      <w:r w:rsidR="007734AE" w:rsidRPr="007734AE">
        <w:rPr>
          <w:caps/>
          <w:sz w:val="24"/>
          <w:lang w:val="fr-FR"/>
        </w:rPr>
        <w:t>n° </w:t>
      </w:r>
      <w:r w:rsidRPr="007734AE">
        <w:rPr>
          <w:caps/>
          <w:sz w:val="24"/>
          <w:lang w:val="fr-FR"/>
        </w:rPr>
        <w:t>62</w:t>
      </w:r>
    </w:p>
    <w:p w14:paraId="55DC214B" w14:textId="77777777" w:rsidR="001E3E7C" w:rsidRDefault="001E3E7C" w:rsidP="008B2CC1">
      <w:pPr>
        <w:rPr>
          <w:lang w:val="fr-FR"/>
        </w:rPr>
      </w:pPr>
    </w:p>
    <w:p w14:paraId="13594293" w14:textId="1EB1FC31" w:rsidR="001E3E7C" w:rsidRDefault="002A04A6" w:rsidP="002A04A6">
      <w:pPr>
        <w:rPr>
          <w:i/>
          <w:lang w:val="fr-FR"/>
        </w:rPr>
      </w:pPr>
      <w:bookmarkStart w:id="4" w:name="Prepared"/>
      <w:bookmarkEnd w:id="4"/>
      <w:r w:rsidRPr="007734AE">
        <w:rPr>
          <w:i/>
          <w:lang w:val="fr-FR"/>
        </w:rPr>
        <w:t>Document établi par le responsable de l</w:t>
      </w:r>
      <w:r w:rsidR="00122BBC" w:rsidRPr="007734AE">
        <w:rPr>
          <w:i/>
          <w:lang w:val="fr-FR"/>
        </w:rPr>
        <w:t>’</w:t>
      </w:r>
      <w:r w:rsidRPr="007734AE">
        <w:rPr>
          <w:i/>
          <w:lang w:val="fr-FR"/>
        </w:rPr>
        <w:t>Équipe d</w:t>
      </w:r>
      <w:r w:rsidR="00122BBC" w:rsidRPr="007734AE">
        <w:rPr>
          <w:i/>
          <w:lang w:val="fr-FR"/>
        </w:rPr>
        <w:t>’</w:t>
      </w:r>
      <w:r w:rsidRPr="007734AE">
        <w:rPr>
          <w:i/>
          <w:lang w:val="fr-FR"/>
        </w:rPr>
        <w:t>experts chargée de la transformation numérique</w:t>
      </w:r>
    </w:p>
    <w:p w14:paraId="625BAAFC" w14:textId="77777777" w:rsidR="001E3E7C" w:rsidRDefault="001E3E7C">
      <w:pPr>
        <w:rPr>
          <w:lang w:val="fr-FR"/>
        </w:rPr>
      </w:pPr>
    </w:p>
    <w:p w14:paraId="71BB7E7A" w14:textId="77777777" w:rsidR="001E3E7C" w:rsidRDefault="001E3E7C" w:rsidP="0053057A">
      <w:pPr>
        <w:rPr>
          <w:u w:val="single"/>
          <w:lang w:val="fr-FR"/>
        </w:rPr>
      </w:pPr>
    </w:p>
    <w:p w14:paraId="40F014F7" w14:textId="77777777" w:rsidR="001E3E7C" w:rsidRDefault="001E3E7C" w:rsidP="0053057A">
      <w:pPr>
        <w:rPr>
          <w:lang w:val="fr-FR"/>
        </w:rPr>
      </w:pPr>
    </w:p>
    <w:p w14:paraId="5561314E" w14:textId="3CDB2FC7" w:rsidR="001E3E7C" w:rsidRDefault="001E3E7C">
      <w:pPr>
        <w:rPr>
          <w:lang w:val="fr-FR"/>
        </w:rPr>
      </w:pPr>
    </w:p>
    <w:p w14:paraId="3FC4AB0D" w14:textId="77777777" w:rsidR="0050181C" w:rsidRDefault="0050181C">
      <w:pPr>
        <w:rPr>
          <w:lang w:val="fr-FR"/>
        </w:rPr>
      </w:pPr>
    </w:p>
    <w:p w14:paraId="70918F8B" w14:textId="77777777" w:rsidR="001E3E7C" w:rsidRDefault="00153EC9" w:rsidP="00890D9E">
      <w:pPr>
        <w:pStyle w:val="Heading2"/>
        <w:spacing w:before="0"/>
        <w:rPr>
          <w:caps w:val="0"/>
          <w:lang w:val="fr-FR"/>
        </w:rPr>
      </w:pPr>
      <w:r w:rsidRPr="002A04A6">
        <w:rPr>
          <w:caps w:val="0"/>
          <w:lang w:val="fr-FR"/>
        </w:rPr>
        <w:t>INTRODUCTION</w:t>
      </w:r>
    </w:p>
    <w:p w14:paraId="04532089" w14:textId="6E26CAB0" w:rsidR="001E3E7C" w:rsidRDefault="00207CD4" w:rsidP="00785CC0">
      <w:pPr>
        <w:pStyle w:val="ONUMFS"/>
        <w:rPr>
          <w:lang w:val="fr-FR"/>
        </w:rPr>
      </w:pPr>
      <w:r w:rsidRPr="007734AE">
        <w:rPr>
          <w:lang w:val="fr-FR"/>
        </w:rPr>
        <w:t>À la six</w:t>
      </w:r>
      <w:r w:rsidR="00122BBC" w:rsidRPr="007734AE">
        <w:rPr>
          <w:lang w:val="fr-FR"/>
        </w:rPr>
        <w:t>ième session</w:t>
      </w:r>
      <w:r w:rsidRPr="007734AE">
        <w:rPr>
          <w:lang w:val="fr-FR"/>
        </w:rPr>
        <w:t xml:space="preserve"> du </w:t>
      </w:r>
      <w:r w:rsidR="007734AE" w:rsidRPr="007734AE">
        <w:rPr>
          <w:lang w:val="fr-FR"/>
        </w:rPr>
        <w:t>Comité des normes de l’OMPI</w:t>
      </w:r>
      <w:r w:rsidRPr="007734AE">
        <w:rPr>
          <w:lang w:val="fr-FR"/>
        </w:rPr>
        <w:t xml:space="preserve"> (CWS), le comité a approuvé la nouvelle tâche n ° 62, dont la description est la suivante</w:t>
      </w:r>
      <w:r w:rsidR="007734AE" w:rsidRPr="007734AE">
        <w:rPr>
          <w:lang w:val="fr-FR"/>
        </w:rPr>
        <w:t> :</w:t>
      </w:r>
      <w:r w:rsidRPr="007734AE">
        <w:rPr>
          <w:lang w:val="fr-FR"/>
        </w:rPr>
        <w:t xml:space="preserve"> </w:t>
      </w:r>
      <w:r w:rsidR="0052221B" w:rsidRPr="007734AE">
        <w:rPr>
          <w:lang w:val="fr-FR"/>
        </w:rPr>
        <w:t>“</w:t>
      </w:r>
      <w:r w:rsidR="0052221B" w:rsidRPr="00207CD4">
        <w:rPr>
          <w:color w:val="000000"/>
          <w:lang w:val="fr-FR"/>
        </w:rPr>
        <w:t>E</w:t>
      </w:r>
      <w:r w:rsidRPr="00207CD4">
        <w:rPr>
          <w:color w:val="000000"/>
          <w:lang w:val="fr-FR"/>
        </w:rPr>
        <w:t xml:space="preserve">xamen </w:t>
      </w:r>
      <w:r w:rsidRPr="007734AE">
        <w:rPr>
          <w:lang w:val="fr-FR"/>
        </w:rPr>
        <w:t xml:space="preserve">des </w:t>
      </w:r>
      <w:r w:rsidR="005364F3" w:rsidRPr="007734AE">
        <w:rPr>
          <w:lang w:val="fr-FR"/>
        </w:rPr>
        <w:t>normes ST</w:t>
      </w:r>
      <w:r w:rsidRPr="007734AE">
        <w:rPr>
          <w:lang w:val="fr-FR"/>
        </w:rPr>
        <w:t>.6, ST.8</w:t>
      </w:r>
      <w:r w:rsidR="00C701C9" w:rsidRPr="007734AE">
        <w:rPr>
          <w:lang w:val="fr-FR"/>
        </w:rPr>
        <w:t>, ST</w:t>
      </w:r>
      <w:r w:rsidRPr="007734AE">
        <w:rPr>
          <w:lang w:val="fr-FR"/>
        </w:rPr>
        <w:t>.10, ST.11, ST.15, ST.17, ST.18, ST.63 et ST.81</w:t>
      </w:r>
      <w:r w:rsidRPr="00207CD4">
        <w:rPr>
          <w:color w:val="000000"/>
          <w:lang w:val="fr-FR"/>
        </w:rPr>
        <w:t xml:space="preserve"> de l</w:t>
      </w:r>
      <w:r w:rsidR="00122BBC">
        <w:rPr>
          <w:color w:val="000000"/>
          <w:lang w:val="fr-FR"/>
        </w:rPr>
        <w:t>’</w:t>
      </w:r>
      <w:r w:rsidRPr="00207CD4">
        <w:rPr>
          <w:color w:val="000000"/>
          <w:lang w:val="fr-FR"/>
        </w:rPr>
        <w:t>OMPI, au regard</w:t>
      </w:r>
      <w:r w:rsidRPr="007734AE">
        <w:rPr>
          <w:lang w:val="fr-FR"/>
        </w:rPr>
        <w:t xml:space="preserve"> de la publication</w:t>
      </w:r>
      <w:r w:rsidRPr="00207CD4">
        <w:rPr>
          <w:color w:val="000000"/>
          <w:lang w:val="fr-FR"/>
        </w:rPr>
        <w:t xml:space="preserve"> par voie</w:t>
      </w:r>
      <w:r w:rsidRPr="007734AE">
        <w:rPr>
          <w:lang w:val="fr-FR"/>
        </w:rPr>
        <w:t xml:space="preserve"> électronique </w:t>
      </w:r>
      <w:r w:rsidRPr="00207CD4">
        <w:rPr>
          <w:color w:val="000000"/>
          <w:lang w:val="fr-FR"/>
        </w:rPr>
        <w:t>des</w:t>
      </w:r>
      <w:r w:rsidRPr="007734AE">
        <w:rPr>
          <w:lang w:val="fr-FR"/>
        </w:rPr>
        <w:t xml:space="preserve"> document</w:t>
      </w:r>
      <w:r w:rsidRPr="00207CD4">
        <w:rPr>
          <w:color w:val="000000"/>
          <w:lang w:val="fr-FR"/>
        </w:rPr>
        <w:t>s</w:t>
      </w:r>
      <w:r w:rsidRPr="007734AE">
        <w:rPr>
          <w:lang w:val="fr-FR"/>
        </w:rPr>
        <w:t xml:space="preserve"> </w:t>
      </w:r>
      <w:r w:rsidRPr="00207CD4">
        <w:rPr>
          <w:color w:val="000000"/>
          <w:lang w:val="fr-FR"/>
        </w:rPr>
        <w:t xml:space="preserve">relatifs à la propriété intellectuelle et propositions de modification de </w:t>
      </w:r>
      <w:r w:rsidRPr="007734AE">
        <w:rPr>
          <w:lang w:val="fr-FR"/>
        </w:rPr>
        <w:t>ces normes le cas échéan</w:t>
      </w:r>
      <w:r w:rsidR="0052221B" w:rsidRPr="007734AE">
        <w:rPr>
          <w:lang w:val="fr-FR"/>
        </w:rPr>
        <w:t>t”</w:t>
      </w:r>
      <w:r w:rsidR="00804EFC" w:rsidRPr="002A04A6">
        <w:rPr>
          <w:lang w:val="fr-FR"/>
        </w:rPr>
        <w:t xml:space="preserve"> </w:t>
      </w:r>
      <w:r w:rsidR="008C5CDD" w:rsidRPr="002A04A6">
        <w:rPr>
          <w:lang w:val="fr-FR"/>
        </w:rPr>
        <w:t>(</w:t>
      </w:r>
      <w:r>
        <w:rPr>
          <w:lang w:val="fr-FR"/>
        </w:rPr>
        <w:t xml:space="preserve">voir les </w:t>
      </w:r>
      <w:r w:rsidR="0052221B">
        <w:rPr>
          <w:lang w:val="fr-FR"/>
        </w:rPr>
        <w:t>paragraphes </w:t>
      </w:r>
      <w:r w:rsidR="0052221B" w:rsidRPr="002A04A6">
        <w:rPr>
          <w:lang w:val="fr-FR"/>
        </w:rPr>
        <w:t>1</w:t>
      </w:r>
      <w:r w:rsidR="00E41BD8" w:rsidRPr="002A04A6">
        <w:rPr>
          <w:lang w:val="fr-FR"/>
        </w:rPr>
        <w:t>43</w:t>
      </w:r>
      <w:r w:rsidR="008C5CDD" w:rsidRPr="002A04A6">
        <w:rPr>
          <w:lang w:val="fr-FR"/>
        </w:rPr>
        <w:t xml:space="preserve"> </w:t>
      </w:r>
      <w:r>
        <w:rPr>
          <w:lang w:val="fr-FR"/>
        </w:rPr>
        <w:t>à</w:t>
      </w:r>
      <w:r w:rsidR="008C5CDD" w:rsidRPr="002A04A6">
        <w:rPr>
          <w:lang w:val="fr-FR"/>
        </w:rPr>
        <w:t xml:space="preserve"> 1</w:t>
      </w:r>
      <w:r w:rsidR="00E41BD8" w:rsidRPr="002A04A6">
        <w:rPr>
          <w:lang w:val="fr-FR"/>
        </w:rPr>
        <w:t>51</w:t>
      </w:r>
      <w:r w:rsidR="008C5CDD" w:rsidRPr="002A04A6">
        <w:rPr>
          <w:lang w:val="fr-FR"/>
        </w:rPr>
        <w:t xml:space="preserve"> </w:t>
      </w:r>
      <w:r>
        <w:rPr>
          <w:lang w:val="fr-FR"/>
        </w:rPr>
        <w:t>du</w:t>
      </w:r>
      <w:r w:rsidR="008C5CDD" w:rsidRPr="002A04A6">
        <w:rPr>
          <w:lang w:val="fr-FR"/>
        </w:rPr>
        <w:t xml:space="preserve"> </w:t>
      </w:r>
      <w:r w:rsidR="00C701C9" w:rsidRPr="002A04A6">
        <w:rPr>
          <w:lang w:val="fr-FR"/>
        </w:rPr>
        <w:t>document</w:t>
      </w:r>
      <w:r w:rsidR="00C701C9">
        <w:rPr>
          <w:lang w:val="fr-FR"/>
        </w:rPr>
        <w:t xml:space="preserve"> </w:t>
      </w:r>
      <w:r w:rsidR="00C701C9" w:rsidRPr="002A04A6">
        <w:rPr>
          <w:lang w:val="fr-FR"/>
        </w:rPr>
        <w:t>CW</w:t>
      </w:r>
      <w:r w:rsidR="008C5CDD" w:rsidRPr="002A04A6">
        <w:rPr>
          <w:lang w:val="fr-FR"/>
        </w:rPr>
        <w:t>S/6/34)</w:t>
      </w:r>
      <w:r w:rsidR="007734AE">
        <w:rPr>
          <w:lang w:val="fr-FR"/>
        </w:rPr>
        <w:t xml:space="preserve">.  </w:t>
      </w:r>
      <w:r w:rsidR="0052221B" w:rsidRPr="007734AE">
        <w:rPr>
          <w:lang w:val="fr-FR"/>
        </w:rPr>
        <w:t>Le</w:t>
      </w:r>
      <w:r w:rsidR="0052221B">
        <w:rPr>
          <w:lang w:val="fr-FR"/>
        </w:rPr>
        <w:t> </w:t>
      </w:r>
      <w:r w:rsidR="0052221B" w:rsidRPr="007734AE">
        <w:rPr>
          <w:lang w:val="fr-FR"/>
        </w:rPr>
        <w:t>CWS</w:t>
      </w:r>
      <w:r w:rsidRPr="007734AE">
        <w:rPr>
          <w:lang w:val="fr-FR"/>
        </w:rPr>
        <w:t xml:space="preserve"> a </w:t>
      </w:r>
      <w:r w:rsidRPr="00207CD4">
        <w:rPr>
          <w:color w:val="000000"/>
          <w:lang w:val="fr-FR"/>
        </w:rPr>
        <w:t>établi l</w:t>
      </w:r>
      <w:r w:rsidR="00122BBC">
        <w:rPr>
          <w:color w:val="000000"/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 xml:space="preserve">experts correspondante </w:t>
      </w:r>
      <w:r w:rsidRPr="00207CD4">
        <w:rPr>
          <w:color w:val="000000"/>
          <w:lang w:val="fr-FR"/>
        </w:rPr>
        <w:t xml:space="preserve">dénommée </w:t>
      </w:r>
      <w:r w:rsidR="0052221B" w:rsidRPr="007734AE">
        <w:rPr>
          <w:lang w:val="fr-FR"/>
        </w:rPr>
        <w:t>“É</w:t>
      </w:r>
      <w:r w:rsidRPr="007734AE">
        <w:rPr>
          <w:lang w:val="fr-FR"/>
        </w:rPr>
        <w:t>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 xml:space="preserve">experts chargée de la </w:t>
      </w:r>
      <w:r w:rsidRPr="00207CD4">
        <w:rPr>
          <w:color w:val="000000"/>
          <w:lang w:val="fr-FR"/>
        </w:rPr>
        <w:t>t</w:t>
      </w:r>
      <w:r w:rsidRPr="007734AE">
        <w:rPr>
          <w:lang w:val="fr-FR"/>
        </w:rPr>
        <w:t>ransformation numériqu</w:t>
      </w:r>
      <w:r w:rsidR="0052221B" w:rsidRPr="007734AE">
        <w:rPr>
          <w:lang w:val="fr-FR"/>
        </w:rPr>
        <w:t>e”</w:t>
      </w:r>
      <w:r w:rsidRPr="007734AE">
        <w:rPr>
          <w:lang w:val="fr-FR"/>
        </w:rPr>
        <w:t xml:space="preserve"> et a désigné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 xml:space="preserve">Office des brevets et des marques des </w:t>
      </w:r>
      <w:r w:rsidR="007734AE" w:rsidRPr="007734AE">
        <w:rPr>
          <w:lang w:val="fr-FR"/>
        </w:rPr>
        <w:t>États-Unis d’Amérique</w:t>
      </w:r>
      <w:r w:rsidRPr="007734AE">
        <w:rPr>
          <w:lang w:val="fr-FR"/>
        </w:rPr>
        <w:t xml:space="preserve"> (USPTO) comme responsable de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experts.</w:t>
      </w:r>
    </w:p>
    <w:p w14:paraId="0A0263B9" w14:textId="5B7E1622" w:rsidR="001E3E7C" w:rsidRDefault="003213D8" w:rsidP="00785CC0">
      <w:pPr>
        <w:pStyle w:val="ONUMFS"/>
        <w:rPr>
          <w:lang w:val="fr-FR"/>
        </w:rPr>
      </w:pPr>
      <w:r w:rsidRPr="007734AE">
        <w:rPr>
          <w:lang w:val="fr-FR"/>
        </w:rPr>
        <w:t xml:space="preserve">En </w:t>
      </w:r>
      <w:r w:rsidR="0052221B" w:rsidRPr="007734AE">
        <w:rPr>
          <w:lang w:val="fr-FR"/>
        </w:rPr>
        <w:t>novembre 20</w:t>
      </w:r>
      <w:r w:rsidRPr="007734AE">
        <w:rPr>
          <w:lang w:val="fr-FR"/>
        </w:rPr>
        <w:t xml:space="preserve">18, le Bureau </w:t>
      </w:r>
      <w:r w:rsidR="005364F3" w:rsidRPr="007734AE">
        <w:rPr>
          <w:lang w:val="fr-FR"/>
        </w:rPr>
        <w:t>i</w:t>
      </w:r>
      <w:r w:rsidRPr="007734AE">
        <w:rPr>
          <w:lang w:val="fr-FR"/>
        </w:rPr>
        <w:t>nternational a diffusé la circulaire</w:t>
      </w:r>
      <w:r w:rsidR="005364F3" w:rsidRPr="007734AE">
        <w:rPr>
          <w:lang w:val="fr-FR"/>
        </w:rPr>
        <w:t> </w:t>
      </w:r>
      <w:r w:rsidRPr="007734AE">
        <w:rPr>
          <w:lang w:val="fr-FR"/>
        </w:rPr>
        <w:t>C.CWS</w:t>
      </w:r>
      <w:r w:rsidRPr="003213D8">
        <w:rPr>
          <w:color w:val="000000"/>
          <w:lang w:val="fr-FR"/>
        </w:rPr>
        <w:t>.</w:t>
      </w:r>
      <w:r w:rsidRPr="007734AE">
        <w:rPr>
          <w:lang w:val="fr-FR"/>
        </w:rPr>
        <w:t xml:space="preserve">108 </w:t>
      </w:r>
      <w:r w:rsidRPr="003213D8">
        <w:rPr>
          <w:color w:val="000000"/>
          <w:lang w:val="fr-FR"/>
        </w:rPr>
        <w:t>invitant les membres</w:t>
      </w:r>
      <w:r w:rsidR="0052221B" w:rsidRPr="003213D8">
        <w:rPr>
          <w:color w:val="000000"/>
          <w:lang w:val="fr-FR"/>
        </w:rPr>
        <w:t xml:space="preserve"> du</w:t>
      </w:r>
      <w:r w:rsidR="0052221B">
        <w:rPr>
          <w:color w:val="000000"/>
          <w:lang w:val="fr-FR"/>
        </w:rPr>
        <w:t> </w:t>
      </w:r>
      <w:r w:rsidR="0052221B" w:rsidRPr="003213D8">
        <w:rPr>
          <w:color w:val="000000"/>
          <w:lang w:val="fr-FR"/>
        </w:rPr>
        <w:t>CWS</w:t>
      </w:r>
      <w:r w:rsidRPr="003213D8">
        <w:rPr>
          <w:color w:val="000000"/>
          <w:lang w:val="fr-FR"/>
        </w:rPr>
        <w:t xml:space="preserve"> souhaitant participer aux travaux de</w:t>
      </w:r>
      <w:r w:rsidRPr="007734AE">
        <w:rPr>
          <w:lang w:val="fr-FR"/>
        </w:rPr>
        <w:t xml:space="preserve">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 xml:space="preserve">experts chargée de la </w:t>
      </w:r>
      <w:r w:rsidRPr="003213D8">
        <w:rPr>
          <w:color w:val="000000"/>
          <w:lang w:val="fr-FR"/>
        </w:rPr>
        <w:t>t</w:t>
      </w:r>
      <w:r w:rsidRPr="007734AE">
        <w:rPr>
          <w:lang w:val="fr-FR"/>
        </w:rPr>
        <w:t>ransformation numérique</w:t>
      </w:r>
      <w:r w:rsidRPr="003213D8">
        <w:rPr>
          <w:color w:val="000000"/>
          <w:lang w:val="fr-FR"/>
        </w:rPr>
        <w:t xml:space="preserve"> à désigner leurs représentants</w:t>
      </w:r>
      <w:r w:rsidR="007734AE">
        <w:rPr>
          <w:color w:val="000000"/>
          <w:lang w:val="fr-FR"/>
        </w:rPr>
        <w:t xml:space="preserve">.  </w:t>
      </w:r>
      <w:r w:rsidRPr="003213D8">
        <w:rPr>
          <w:color w:val="000000"/>
          <w:lang w:val="fr-FR"/>
        </w:rPr>
        <w:t>L</w:t>
      </w:r>
      <w:r w:rsidRPr="007734AE">
        <w:rPr>
          <w:lang w:val="fr-FR"/>
        </w:rPr>
        <w:t>es représentants de 13</w:t>
      </w:r>
      <w:r w:rsidR="005364F3" w:rsidRPr="007734AE">
        <w:rPr>
          <w:lang w:val="fr-FR"/>
        </w:rPr>
        <w:t> </w:t>
      </w:r>
      <w:r w:rsidRPr="003213D8">
        <w:rPr>
          <w:color w:val="000000"/>
          <w:lang w:val="fr-FR"/>
        </w:rPr>
        <w:t>o</w:t>
      </w:r>
      <w:r w:rsidRPr="007734AE">
        <w:rPr>
          <w:lang w:val="fr-FR"/>
        </w:rPr>
        <w:t>ffices de propriété intellectuelle se sont portés volontaires pour</w:t>
      </w:r>
      <w:r w:rsidRPr="003213D8">
        <w:rPr>
          <w:color w:val="000000"/>
          <w:lang w:val="fr-FR"/>
        </w:rPr>
        <w:t xml:space="preserve"> participer aux travaux de</w:t>
      </w:r>
      <w:r w:rsidRPr="007734AE">
        <w:rPr>
          <w:lang w:val="fr-FR"/>
        </w:rPr>
        <w:t xml:space="preserve">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experts.</w:t>
      </w:r>
    </w:p>
    <w:p w14:paraId="77AC4186" w14:textId="645FDACF" w:rsidR="001E3E7C" w:rsidRDefault="003213D8" w:rsidP="003213D8">
      <w:pPr>
        <w:pStyle w:val="Heading2"/>
        <w:spacing w:before="0"/>
        <w:rPr>
          <w:caps w:val="0"/>
          <w:lang w:val="fr-FR"/>
        </w:rPr>
      </w:pPr>
      <w:r w:rsidRPr="007734AE">
        <w:rPr>
          <w:caps w:val="0"/>
          <w:lang w:val="fr-FR"/>
        </w:rPr>
        <w:t>RAPPORT SUR L</w:t>
      </w:r>
      <w:r w:rsidR="00122BBC" w:rsidRPr="007734AE">
        <w:rPr>
          <w:caps w:val="0"/>
          <w:lang w:val="fr-FR"/>
        </w:rPr>
        <w:t>’</w:t>
      </w:r>
      <w:r w:rsidRPr="007734AE">
        <w:rPr>
          <w:caps w:val="0"/>
          <w:lang w:val="fr-FR"/>
        </w:rPr>
        <w:t>ÉTAT D</w:t>
      </w:r>
      <w:r w:rsidR="00122BBC" w:rsidRPr="007734AE">
        <w:rPr>
          <w:caps w:val="0"/>
          <w:lang w:val="fr-FR"/>
        </w:rPr>
        <w:t>’</w:t>
      </w:r>
      <w:r w:rsidRPr="007734AE">
        <w:rPr>
          <w:caps w:val="0"/>
          <w:lang w:val="fr-FR"/>
        </w:rPr>
        <w:t xml:space="preserve">AVANCEMENT </w:t>
      </w:r>
      <w:r w:rsidRPr="003213D8">
        <w:rPr>
          <w:caps w:val="0"/>
          <w:color w:val="000000"/>
          <w:lang w:val="fr-FR"/>
        </w:rPr>
        <w:t>DES TRAVAUX</w:t>
      </w:r>
    </w:p>
    <w:p w14:paraId="7F502977" w14:textId="21EF00F2" w:rsidR="001E3E7C" w:rsidRDefault="003213D8" w:rsidP="00785CC0">
      <w:pPr>
        <w:pStyle w:val="ONUMFS"/>
        <w:rPr>
          <w:lang w:val="fr-FR"/>
        </w:rPr>
      </w:pPr>
      <w:r w:rsidRPr="007734AE">
        <w:rPr>
          <w:lang w:val="fr-FR"/>
        </w:rPr>
        <w:t>Le responsable de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 xml:space="preserve">experts a établi en </w:t>
      </w:r>
      <w:r w:rsidRPr="003213D8">
        <w:rPr>
          <w:color w:val="000000"/>
          <w:lang w:val="fr-FR"/>
        </w:rPr>
        <w:t xml:space="preserve">concertation </w:t>
      </w:r>
      <w:r w:rsidRPr="007734AE">
        <w:rPr>
          <w:lang w:val="fr-FR"/>
        </w:rPr>
        <w:t xml:space="preserve">avec le Bureau </w:t>
      </w:r>
      <w:r w:rsidR="005364F3" w:rsidRPr="007734AE">
        <w:rPr>
          <w:lang w:val="fr-FR"/>
        </w:rPr>
        <w:t>i</w:t>
      </w:r>
      <w:r w:rsidRPr="007734AE">
        <w:rPr>
          <w:lang w:val="fr-FR"/>
        </w:rPr>
        <w:t>nternational</w:t>
      </w:r>
      <w:r w:rsidRPr="003213D8">
        <w:rPr>
          <w:color w:val="000000"/>
          <w:lang w:val="fr-FR"/>
        </w:rPr>
        <w:t xml:space="preserve"> </w:t>
      </w:r>
      <w:r w:rsidRPr="007734AE">
        <w:rPr>
          <w:lang w:val="fr-FR"/>
        </w:rPr>
        <w:t xml:space="preserve">un projet de programme de travail </w:t>
      </w:r>
      <w:r w:rsidRPr="003213D8">
        <w:rPr>
          <w:color w:val="000000"/>
          <w:lang w:val="fr-FR"/>
        </w:rPr>
        <w:t>qu</w:t>
      </w:r>
      <w:r w:rsidR="00122BBC">
        <w:rPr>
          <w:color w:val="000000"/>
          <w:lang w:val="fr-FR"/>
        </w:rPr>
        <w:t>’</w:t>
      </w:r>
      <w:r w:rsidRPr="003213D8">
        <w:rPr>
          <w:color w:val="000000"/>
          <w:lang w:val="fr-FR"/>
        </w:rPr>
        <w:t xml:space="preserve">il </w:t>
      </w:r>
      <w:r w:rsidRPr="007734AE">
        <w:rPr>
          <w:lang w:val="fr-FR"/>
        </w:rPr>
        <w:t xml:space="preserve">a </w:t>
      </w:r>
      <w:r w:rsidRPr="003213D8">
        <w:rPr>
          <w:color w:val="000000"/>
          <w:lang w:val="fr-FR"/>
        </w:rPr>
        <w:t xml:space="preserve">transmis </w:t>
      </w:r>
      <w:r w:rsidRPr="007734AE">
        <w:rPr>
          <w:lang w:val="fr-FR"/>
        </w:rPr>
        <w:t>à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experts pour observations</w:t>
      </w:r>
      <w:r w:rsidR="007734AE" w:rsidRPr="007734AE">
        <w:rPr>
          <w:lang w:val="fr-FR"/>
        </w:rPr>
        <w:t xml:space="preserve">.  </w:t>
      </w:r>
      <w:r w:rsidRPr="003213D8">
        <w:rPr>
          <w:color w:val="000000"/>
          <w:lang w:val="fr-FR"/>
        </w:rPr>
        <w:t>L</w:t>
      </w:r>
      <w:r w:rsidR="00122BBC">
        <w:rPr>
          <w:color w:val="000000"/>
          <w:lang w:val="fr-FR"/>
        </w:rPr>
        <w:t>’</w:t>
      </w:r>
      <w:r w:rsidRPr="003213D8">
        <w:rPr>
          <w:color w:val="000000"/>
          <w:lang w:val="fr-FR"/>
        </w:rPr>
        <w:t xml:space="preserve">objectif du </w:t>
      </w:r>
      <w:r w:rsidRPr="007734AE">
        <w:rPr>
          <w:lang w:val="fr-FR"/>
        </w:rPr>
        <w:t xml:space="preserve">programme de travail </w:t>
      </w:r>
      <w:r w:rsidRPr="003213D8">
        <w:rPr>
          <w:color w:val="000000"/>
          <w:lang w:val="fr-FR"/>
        </w:rPr>
        <w:t>est le suivant</w:t>
      </w:r>
      <w:r w:rsidR="007734AE" w:rsidRPr="007734AE">
        <w:rPr>
          <w:lang w:val="fr-FR"/>
        </w:rPr>
        <w:t> :</w:t>
      </w:r>
    </w:p>
    <w:p w14:paraId="42D3B547" w14:textId="4D5552F3" w:rsidR="001E3E7C" w:rsidRDefault="003213D8" w:rsidP="003213D8">
      <w:pPr>
        <w:pStyle w:val="NoSpacing"/>
        <w:spacing w:after="220"/>
        <w:ind w:left="562"/>
        <w:rPr>
          <w:rFonts w:ascii="Arial" w:hAnsi="Arial" w:cs="Arial"/>
          <w:lang w:val="fr-FR"/>
        </w:rPr>
      </w:pPr>
      <w:r w:rsidRPr="003213D8">
        <w:rPr>
          <w:rFonts w:ascii="Arial" w:hAnsi="Arial" w:cs="Arial"/>
          <w:color w:val="000000"/>
          <w:lang w:val="fr-FR"/>
        </w:rPr>
        <w:lastRenderedPageBreak/>
        <w:t>A</w:t>
      </w:r>
      <w:r w:rsidRPr="007734AE">
        <w:rPr>
          <w:rFonts w:ascii="Arial" w:hAnsi="Arial" w:cs="Arial"/>
          <w:lang w:val="fr-FR"/>
        </w:rPr>
        <w:t xml:space="preserve">ctualiser les normes et </w:t>
      </w:r>
      <w:r w:rsidRPr="003213D8">
        <w:rPr>
          <w:rFonts w:ascii="Arial" w:hAnsi="Arial" w:cs="Arial"/>
          <w:color w:val="000000"/>
          <w:lang w:val="fr-FR"/>
        </w:rPr>
        <w:t xml:space="preserve">les </w:t>
      </w:r>
      <w:r w:rsidRPr="007734AE">
        <w:rPr>
          <w:rFonts w:ascii="Arial" w:hAnsi="Arial" w:cs="Arial"/>
          <w:lang w:val="fr-FR"/>
        </w:rPr>
        <w:t xml:space="preserve">pratiques </w:t>
      </w:r>
      <w:r w:rsidR="00EB3353">
        <w:rPr>
          <w:rFonts w:ascii="Arial" w:hAnsi="Arial" w:cs="Arial"/>
          <w:color w:val="000000"/>
          <w:lang w:val="fr-FR"/>
        </w:rPr>
        <w:t>existantes</w:t>
      </w:r>
      <w:r w:rsidRPr="003213D8">
        <w:rPr>
          <w:rFonts w:ascii="Arial" w:hAnsi="Arial" w:cs="Arial"/>
          <w:color w:val="000000"/>
          <w:lang w:val="fr-FR"/>
        </w:rPr>
        <w:t xml:space="preserve"> </w:t>
      </w:r>
      <w:r w:rsidRPr="007734AE">
        <w:rPr>
          <w:rFonts w:ascii="Arial" w:hAnsi="Arial" w:cs="Arial"/>
          <w:lang w:val="fr-FR"/>
        </w:rPr>
        <w:t>de l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 xml:space="preserve">OMPI </w:t>
      </w:r>
      <w:r w:rsidRPr="003213D8">
        <w:rPr>
          <w:rFonts w:ascii="Arial" w:hAnsi="Arial" w:cs="Arial"/>
          <w:color w:val="000000"/>
          <w:lang w:val="fr-FR"/>
        </w:rPr>
        <w:t>en ce qui concerne</w:t>
      </w:r>
      <w:r w:rsidRPr="007734AE">
        <w:rPr>
          <w:rFonts w:ascii="Arial" w:hAnsi="Arial" w:cs="Arial"/>
          <w:lang w:val="fr-FR"/>
        </w:rPr>
        <w:t xml:space="preserve"> </w:t>
      </w:r>
      <w:r w:rsidRPr="003213D8">
        <w:rPr>
          <w:rFonts w:ascii="Arial" w:hAnsi="Arial" w:cs="Arial"/>
          <w:color w:val="000000"/>
          <w:lang w:val="fr-FR"/>
        </w:rPr>
        <w:t xml:space="preserve">la </w:t>
      </w:r>
      <w:r w:rsidRPr="007734AE">
        <w:rPr>
          <w:rFonts w:ascii="Arial" w:hAnsi="Arial" w:cs="Arial"/>
          <w:lang w:val="fr-FR"/>
        </w:rPr>
        <w:t>publication d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>informations relatives aux droits de propriété intellectuelle dans l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>environnement numérique</w:t>
      </w:r>
      <w:r w:rsidR="007734AE" w:rsidRPr="007734AE">
        <w:rPr>
          <w:rFonts w:ascii="Arial" w:hAnsi="Arial" w:cs="Arial"/>
          <w:lang w:val="fr-FR"/>
        </w:rPr>
        <w:t xml:space="preserve">.  </w:t>
      </w:r>
      <w:r w:rsidRPr="003213D8">
        <w:rPr>
          <w:rFonts w:ascii="Arial" w:hAnsi="Arial" w:cs="Arial"/>
          <w:color w:val="000000"/>
          <w:lang w:val="fr-FR"/>
        </w:rPr>
        <w:t>Afin d</w:t>
      </w:r>
      <w:r w:rsidR="00122BBC">
        <w:rPr>
          <w:rFonts w:ascii="Arial" w:hAnsi="Arial" w:cs="Arial"/>
          <w:color w:val="000000"/>
          <w:lang w:val="fr-FR"/>
        </w:rPr>
        <w:t>’</w:t>
      </w:r>
      <w:r w:rsidRPr="007734AE">
        <w:rPr>
          <w:rFonts w:ascii="Arial" w:hAnsi="Arial" w:cs="Arial"/>
          <w:lang w:val="fr-FR"/>
        </w:rPr>
        <w:t>atteindre cet objectif, l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>équipe d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 xml:space="preserve">experts </w:t>
      </w:r>
      <w:r w:rsidRPr="003213D8">
        <w:rPr>
          <w:rFonts w:ascii="Arial" w:hAnsi="Arial" w:cs="Arial"/>
          <w:color w:val="000000"/>
          <w:lang w:val="fr-FR"/>
        </w:rPr>
        <w:t>va</w:t>
      </w:r>
      <w:r w:rsidR="007734AE">
        <w:rPr>
          <w:rFonts w:ascii="Arial" w:hAnsi="Arial" w:cs="Arial"/>
          <w:color w:val="000000"/>
          <w:lang w:val="fr-FR"/>
        </w:rPr>
        <w:t> :</w:t>
      </w:r>
    </w:p>
    <w:p w14:paraId="3E9FC3D4" w14:textId="2B8B3C26" w:rsidR="001E3E7C" w:rsidRDefault="003213D8" w:rsidP="003213D8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3213D8">
        <w:rPr>
          <w:rFonts w:ascii="Arial" w:hAnsi="Arial" w:cs="Arial"/>
          <w:color w:val="000000"/>
          <w:lang w:val="fr-FR"/>
        </w:rPr>
        <w:t>examiner</w:t>
      </w:r>
      <w:proofErr w:type="gramEnd"/>
      <w:r w:rsidRPr="003213D8">
        <w:rPr>
          <w:rFonts w:ascii="Arial" w:hAnsi="Arial" w:cs="Arial"/>
          <w:color w:val="000000"/>
          <w:lang w:val="fr-FR"/>
        </w:rPr>
        <w:t xml:space="preserve"> l</w:t>
      </w:r>
      <w:r w:rsidRPr="007734AE">
        <w:rPr>
          <w:rFonts w:ascii="Arial" w:hAnsi="Arial" w:cs="Arial"/>
          <w:lang w:val="fr-FR"/>
        </w:rPr>
        <w:t>es normes de l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 xml:space="preserve">OMPI </w:t>
      </w:r>
      <w:r w:rsidRPr="003213D8">
        <w:rPr>
          <w:rFonts w:ascii="Arial" w:hAnsi="Arial" w:cs="Arial"/>
          <w:color w:val="000000"/>
          <w:lang w:val="fr-FR"/>
        </w:rPr>
        <w:t>au regard</w:t>
      </w:r>
      <w:r w:rsidRPr="007734AE">
        <w:rPr>
          <w:rFonts w:ascii="Arial" w:hAnsi="Arial" w:cs="Arial"/>
          <w:lang w:val="fr-FR"/>
        </w:rPr>
        <w:t xml:space="preserve"> de la publication</w:t>
      </w:r>
      <w:r w:rsidRPr="003213D8">
        <w:rPr>
          <w:rFonts w:ascii="Arial" w:hAnsi="Arial" w:cs="Arial"/>
          <w:color w:val="000000"/>
          <w:lang w:val="fr-FR"/>
        </w:rPr>
        <w:t xml:space="preserve"> par voie</w:t>
      </w:r>
      <w:r w:rsidRPr="007734AE">
        <w:rPr>
          <w:rFonts w:ascii="Arial" w:hAnsi="Arial" w:cs="Arial"/>
          <w:lang w:val="fr-FR"/>
        </w:rPr>
        <w:t xml:space="preserve"> électronique de</w:t>
      </w:r>
      <w:r w:rsidRPr="003213D8">
        <w:rPr>
          <w:rFonts w:ascii="Arial" w:hAnsi="Arial" w:cs="Arial"/>
          <w:color w:val="000000"/>
          <w:lang w:val="fr-FR"/>
        </w:rPr>
        <w:t>s</w:t>
      </w:r>
      <w:r w:rsidRPr="007734AE">
        <w:rPr>
          <w:rFonts w:ascii="Arial" w:hAnsi="Arial" w:cs="Arial"/>
          <w:lang w:val="fr-FR"/>
        </w:rPr>
        <w:t xml:space="preserve"> document</w:t>
      </w:r>
      <w:r w:rsidRPr="003213D8">
        <w:rPr>
          <w:rFonts w:ascii="Arial" w:hAnsi="Arial" w:cs="Arial"/>
          <w:color w:val="000000"/>
          <w:lang w:val="fr-FR"/>
        </w:rPr>
        <w:t>s</w:t>
      </w:r>
      <w:r w:rsidRPr="007734AE">
        <w:rPr>
          <w:rFonts w:ascii="Arial" w:hAnsi="Arial" w:cs="Arial"/>
          <w:lang w:val="fr-FR"/>
        </w:rPr>
        <w:t xml:space="preserve"> </w:t>
      </w:r>
      <w:r w:rsidRPr="003213D8">
        <w:rPr>
          <w:rFonts w:ascii="Arial" w:hAnsi="Arial" w:cs="Arial"/>
          <w:color w:val="000000"/>
          <w:lang w:val="fr-FR"/>
        </w:rPr>
        <w:t>relatifs à la</w:t>
      </w:r>
      <w:r w:rsidRPr="007734AE">
        <w:rPr>
          <w:rFonts w:ascii="Arial" w:hAnsi="Arial" w:cs="Arial"/>
          <w:lang w:val="fr-FR"/>
        </w:rPr>
        <w:t xml:space="preserve"> propriété intellectuelle,</w:t>
      </w:r>
    </w:p>
    <w:p w14:paraId="31C02C74" w14:textId="713645B5" w:rsidR="001E3E7C" w:rsidRDefault="003213D8" w:rsidP="003213D8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3213D8">
        <w:rPr>
          <w:rFonts w:ascii="Arial" w:hAnsi="Arial" w:cs="Arial"/>
          <w:color w:val="000000"/>
          <w:lang w:val="fr-FR"/>
        </w:rPr>
        <w:t>e</w:t>
      </w:r>
      <w:r w:rsidRPr="007734AE">
        <w:rPr>
          <w:rFonts w:ascii="Arial" w:hAnsi="Arial" w:cs="Arial"/>
          <w:lang w:val="fr-FR"/>
        </w:rPr>
        <w:t>xaminer</w:t>
      </w:r>
      <w:proofErr w:type="gramEnd"/>
      <w:r w:rsidRPr="007734AE">
        <w:rPr>
          <w:rFonts w:ascii="Arial" w:hAnsi="Arial" w:cs="Arial"/>
          <w:lang w:val="fr-FR"/>
        </w:rPr>
        <w:t xml:space="preserve"> les pratiques en matière de publication pour améliorer la diffusion numérique de l</w:t>
      </w:r>
      <w:r w:rsidR="00122BBC" w:rsidRPr="007734AE">
        <w:rPr>
          <w:rFonts w:ascii="Arial" w:hAnsi="Arial" w:cs="Arial"/>
          <w:lang w:val="fr-FR"/>
        </w:rPr>
        <w:t>’</w:t>
      </w:r>
      <w:r w:rsidRPr="007734AE">
        <w:rPr>
          <w:rFonts w:ascii="Arial" w:hAnsi="Arial" w:cs="Arial"/>
          <w:lang w:val="fr-FR"/>
        </w:rPr>
        <w:t>information et</w:t>
      </w:r>
    </w:p>
    <w:p w14:paraId="32D631D1" w14:textId="77777777" w:rsidR="001E3E7C" w:rsidRDefault="003213D8" w:rsidP="003213D8">
      <w:pPr>
        <w:pStyle w:val="NoSpacing"/>
        <w:numPr>
          <w:ilvl w:val="0"/>
          <w:numId w:val="10"/>
        </w:numPr>
        <w:spacing w:after="220" w:line="360" w:lineRule="auto"/>
        <w:ind w:left="994"/>
        <w:rPr>
          <w:rFonts w:ascii="Arial" w:hAnsi="Arial" w:cs="Arial"/>
          <w:lang w:val="fr-FR"/>
        </w:rPr>
      </w:pPr>
      <w:r w:rsidRPr="003213D8">
        <w:rPr>
          <w:rFonts w:ascii="Arial" w:hAnsi="Arial" w:cs="Arial"/>
          <w:color w:val="000000"/>
          <w:lang w:val="fr-FR"/>
        </w:rPr>
        <w:t>p</w:t>
      </w:r>
      <w:r w:rsidRPr="007734AE">
        <w:rPr>
          <w:rFonts w:ascii="Arial" w:hAnsi="Arial" w:cs="Arial"/>
          <w:lang w:val="fr-FR"/>
        </w:rPr>
        <w:t>roposer des révisions de ces normes</w:t>
      </w:r>
      <w:r w:rsidRPr="003213D8">
        <w:rPr>
          <w:rFonts w:ascii="Arial" w:hAnsi="Arial" w:cs="Arial"/>
          <w:color w:val="000000"/>
          <w:lang w:val="fr-FR"/>
        </w:rPr>
        <w:t xml:space="preserve"> selon que de besoin</w:t>
      </w:r>
      <w:r>
        <w:rPr>
          <w:rFonts w:ascii="Arial" w:hAnsi="Arial" w:cs="Arial"/>
          <w:color w:val="000000"/>
          <w:lang w:val="fr-FR"/>
        </w:rPr>
        <w:t>.</w:t>
      </w:r>
    </w:p>
    <w:p w14:paraId="24FC9CDA" w14:textId="56CBBF06" w:rsidR="001E3E7C" w:rsidRDefault="003213D8" w:rsidP="00785CC0">
      <w:pPr>
        <w:pStyle w:val="ONUMFS"/>
        <w:rPr>
          <w:lang w:val="fr-FR"/>
        </w:rPr>
      </w:pPr>
      <w:r w:rsidRPr="007734AE">
        <w:rPr>
          <w:lang w:val="fr-FR"/>
        </w:rPr>
        <w:t xml:space="preserve">Le projet de </w:t>
      </w:r>
      <w:r w:rsidRPr="003213D8">
        <w:rPr>
          <w:color w:val="000000"/>
          <w:lang w:val="fr-FR"/>
        </w:rPr>
        <w:t>programme</w:t>
      </w:r>
      <w:r w:rsidRPr="007734AE">
        <w:rPr>
          <w:lang w:val="fr-FR"/>
        </w:rPr>
        <w:t xml:space="preserve"> de travail </w:t>
      </w:r>
      <w:r w:rsidRPr="003213D8">
        <w:rPr>
          <w:color w:val="000000"/>
          <w:lang w:val="fr-FR"/>
        </w:rPr>
        <w:t xml:space="preserve">comprend </w:t>
      </w:r>
      <w:r w:rsidRPr="007734AE">
        <w:rPr>
          <w:lang w:val="fr-FR"/>
        </w:rPr>
        <w:t>les étapes suivantes</w:t>
      </w:r>
      <w:r w:rsidR="007734AE" w:rsidRPr="007734AE">
        <w:rPr>
          <w:lang w:val="fr-FR"/>
        </w:rPr>
        <w:t> :</w:t>
      </w:r>
    </w:p>
    <w:p w14:paraId="24155A4A" w14:textId="77A7E5D5" w:rsidR="001E3E7C" w:rsidRDefault="003213D8" w:rsidP="003213D8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3213D8">
        <w:rPr>
          <w:rFonts w:ascii="Arial" w:hAnsi="Arial" w:cs="Arial"/>
          <w:color w:val="000000"/>
          <w:lang w:val="fr-FR"/>
        </w:rPr>
        <w:t>m</w:t>
      </w:r>
      <w:r w:rsidRPr="007734AE">
        <w:rPr>
          <w:rFonts w:ascii="Arial" w:hAnsi="Arial" w:cs="Arial"/>
          <w:lang w:val="fr-FR"/>
        </w:rPr>
        <w:t>ise</w:t>
      </w:r>
      <w:proofErr w:type="gramEnd"/>
      <w:r w:rsidRPr="007734AE">
        <w:rPr>
          <w:rFonts w:ascii="Arial" w:hAnsi="Arial" w:cs="Arial"/>
          <w:lang w:val="fr-FR"/>
        </w:rPr>
        <w:t xml:space="preserve"> en commun</w:t>
      </w:r>
      <w:r w:rsidRPr="003213D8">
        <w:rPr>
          <w:rFonts w:ascii="Arial" w:hAnsi="Arial" w:cs="Arial"/>
          <w:color w:val="000000"/>
          <w:lang w:val="fr-FR"/>
        </w:rPr>
        <w:t>, par les offices de propriété intellectuelle,</w:t>
      </w:r>
      <w:r w:rsidRPr="007734AE">
        <w:rPr>
          <w:rFonts w:ascii="Arial" w:hAnsi="Arial" w:cs="Arial"/>
          <w:lang w:val="fr-FR"/>
        </w:rPr>
        <w:t xml:space="preserve"> des pratiques </w:t>
      </w:r>
      <w:r w:rsidR="00CD6B17">
        <w:rPr>
          <w:rFonts w:ascii="Arial" w:hAnsi="Arial" w:cs="Arial"/>
          <w:color w:val="000000"/>
          <w:lang w:val="fr-FR"/>
        </w:rPr>
        <w:t>existantes</w:t>
      </w:r>
      <w:r w:rsidRPr="003213D8">
        <w:rPr>
          <w:rFonts w:ascii="Arial" w:hAnsi="Arial" w:cs="Arial"/>
          <w:color w:val="000000"/>
          <w:lang w:val="fr-FR"/>
        </w:rPr>
        <w:t xml:space="preserve"> </w:t>
      </w:r>
      <w:r w:rsidRPr="007734AE">
        <w:rPr>
          <w:rFonts w:ascii="Arial" w:hAnsi="Arial" w:cs="Arial"/>
          <w:lang w:val="fr-FR"/>
        </w:rPr>
        <w:t>en matière de publication électronique</w:t>
      </w:r>
      <w:r w:rsidRPr="003213D8">
        <w:rPr>
          <w:rFonts w:ascii="Arial" w:hAnsi="Arial" w:cs="Arial"/>
          <w:color w:val="000000"/>
          <w:lang w:val="fr-FR"/>
        </w:rPr>
        <w:t>,</w:t>
      </w:r>
    </w:p>
    <w:p w14:paraId="397D80C2" w14:textId="77777777" w:rsidR="001E3E7C" w:rsidRDefault="00D63876" w:rsidP="00D63876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r w:rsidRPr="00D63876">
        <w:rPr>
          <w:rFonts w:ascii="Arial" w:hAnsi="Arial" w:cs="Arial"/>
          <w:color w:val="000000"/>
          <w:lang w:val="fr-FR"/>
        </w:rPr>
        <w:t>examen des</w:t>
      </w:r>
      <w:r w:rsidRPr="007734AE">
        <w:rPr>
          <w:rFonts w:ascii="Arial" w:hAnsi="Arial" w:cs="Arial"/>
          <w:lang w:val="fr-FR"/>
        </w:rPr>
        <w:t xml:space="preserve"> </w:t>
      </w:r>
      <w:r w:rsidRPr="00D63876">
        <w:rPr>
          <w:rFonts w:ascii="Arial" w:hAnsi="Arial" w:cs="Arial"/>
          <w:color w:val="000000"/>
          <w:lang w:val="fr-FR"/>
        </w:rPr>
        <w:t xml:space="preserve">difficultés qui se posent actuellement par rapport </w:t>
      </w:r>
      <w:r w:rsidRPr="007734AE">
        <w:rPr>
          <w:rFonts w:ascii="Arial" w:hAnsi="Arial" w:cs="Arial"/>
          <w:lang w:val="fr-FR"/>
        </w:rPr>
        <w:t>au processus en cours</w:t>
      </w:r>
      <w:r w:rsidRPr="00D63876">
        <w:rPr>
          <w:rFonts w:ascii="Arial" w:hAnsi="Arial" w:cs="Arial"/>
          <w:color w:val="000000"/>
          <w:lang w:val="fr-FR"/>
        </w:rPr>
        <w:t>,</w:t>
      </w:r>
    </w:p>
    <w:p w14:paraId="7BCFE354" w14:textId="6B527654" w:rsidR="001E3E7C" w:rsidRDefault="00D63876" w:rsidP="00D63876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r w:rsidRPr="00D63876">
        <w:rPr>
          <w:rFonts w:ascii="Arial" w:hAnsi="Arial" w:cs="Arial"/>
          <w:color w:val="000000"/>
          <w:lang w:val="fr-FR"/>
        </w:rPr>
        <w:t>p</w:t>
      </w:r>
      <w:r w:rsidRPr="007734AE">
        <w:rPr>
          <w:rFonts w:ascii="Arial" w:hAnsi="Arial" w:cs="Arial"/>
          <w:lang w:val="fr-FR"/>
        </w:rPr>
        <w:t xml:space="preserve">artage et examen des </w:t>
      </w:r>
      <w:r w:rsidRPr="00D63876">
        <w:rPr>
          <w:rFonts w:ascii="Arial" w:hAnsi="Arial" w:cs="Arial"/>
          <w:color w:val="000000"/>
          <w:lang w:val="fr-FR"/>
        </w:rPr>
        <w:t xml:space="preserve">projets en matière </w:t>
      </w:r>
      <w:r w:rsidRPr="007734AE">
        <w:rPr>
          <w:rFonts w:ascii="Arial" w:hAnsi="Arial" w:cs="Arial"/>
          <w:lang w:val="fr-FR"/>
        </w:rPr>
        <w:t>de publication électronique</w:t>
      </w:r>
      <w:r w:rsidRPr="00D63876">
        <w:rPr>
          <w:rFonts w:ascii="Arial" w:hAnsi="Arial" w:cs="Arial"/>
          <w:color w:val="000000"/>
          <w:lang w:val="fr-FR"/>
        </w:rPr>
        <w:t>,</w:t>
      </w:r>
    </w:p>
    <w:p w14:paraId="4E4E7497" w14:textId="786E2CFA" w:rsidR="001E3E7C" w:rsidRDefault="00D63876" w:rsidP="00D63876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D63876">
        <w:rPr>
          <w:rFonts w:ascii="Arial" w:hAnsi="Arial" w:cs="Arial"/>
          <w:color w:val="000000"/>
          <w:lang w:val="fr-FR"/>
        </w:rPr>
        <w:t>définition</w:t>
      </w:r>
      <w:proofErr w:type="gramEnd"/>
      <w:r w:rsidRPr="00D63876">
        <w:rPr>
          <w:rFonts w:ascii="Arial" w:hAnsi="Arial" w:cs="Arial"/>
          <w:color w:val="000000"/>
          <w:lang w:val="fr-FR"/>
        </w:rPr>
        <w:t xml:space="preserve"> de la notion de publications électroniques et des critères applicables à celles</w:t>
      </w:r>
      <w:r w:rsidR="00122BBC">
        <w:rPr>
          <w:rFonts w:ascii="Arial" w:hAnsi="Arial" w:cs="Arial"/>
          <w:color w:val="000000"/>
          <w:lang w:val="fr-FR"/>
        </w:rPr>
        <w:t>-</w:t>
      </w:r>
      <w:r w:rsidRPr="00D63876">
        <w:rPr>
          <w:rFonts w:ascii="Arial" w:hAnsi="Arial" w:cs="Arial"/>
          <w:color w:val="000000"/>
          <w:lang w:val="fr-FR"/>
        </w:rPr>
        <w:t>ci,</w:t>
      </w:r>
    </w:p>
    <w:p w14:paraId="291BA423" w14:textId="275F72FB" w:rsidR="0052221B" w:rsidRDefault="00D63876" w:rsidP="00D63876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D63876">
        <w:rPr>
          <w:rFonts w:ascii="Arial" w:hAnsi="Arial" w:cs="Arial"/>
          <w:color w:val="000000"/>
          <w:lang w:val="fr-FR"/>
        </w:rPr>
        <w:t>examen</w:t>
      </w:r>
      <w:proofErr w:type="gramEnd"/>
      <w:r w:rsidRPr="00D63876">
        <w:rPr>
          <w:rFonts w:ascii="Arial" w:hAnsi="Arial" w:cs="Arial"/>
          <w:color w:val="000000"/>
          <w:lang w:val="fr-FR"/>
        </w:rPr>
        <w:t xml:space="preserve"> des </w:t>
      </w:r>
      <w:r w:rsidRPr="007734AE">
        <w:rPr>
          <w:rFonts w:ascii="Arial" w:hAnsi="Arial" w:cs="Arial"/>
          <w:lang w:val="fr-FR"/>
        </w:rPr>
        <w:t>types de fichier</w:t>
      </w:r>
      <w:r w:rsidRPr="00D63876">
        <w:rPr>
          <w:rFonts w:ascii="Arial" w:hAnsi="Arial" w:cs="Arial"/>
          <w:color w:val="000000"/>
          <w:lang w:val="fr-FR"/>
        </w:rPr>
        <w:t>s</w:t>
      </w:r>
      <w:r w:rsidR="007734AE" w:rsidRPr="007734AE">
        <w:rPr>
          <w:rFonts w:ascii="Arial" w:hAnsi="Arial" w:cs="Arial"/>
          <w:lang w:val="fr-FR"/>
        </w:rPr>
        <w:t> :</w:t>
      </w:r>
      <w:r w:rsidRPr="007734AE">
        <w:rPr>
          <w:rFonts w:ascii="Arial" w:hAnsi="Arial" w:cs="Arial"/>
          <w:lang w:val="fr-FR"/>
        </w:rPr>
        <w:t xml:space="preserve"> image, bib, texte intégral</w:t>
      </w:r>
      <w:r w:rsidRPr="00D63876">
        <w:rPr>
          <w:rFonts w:ascii="Arial" w:hAnsi="Arial" w:cs="Arial"/>
          <w:color w:val="000000"/>
          <w:lang w:val="fr-FR"/>
        </w:rPr>
        <w:t>,</w:t>
      </w:r>
    </w:p>
    <w:p w14:paraId="5D652118" w14:textId="58880B3E" w:rsidR="001E3E7C" w:rsidRDefault="00D63876" w:rsidP="00D63876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D63876">
        <w:rPr>
          <w:rFonts w:ascii="Arial" w:hAnsi="Arial" w:cs="Arial"/>
          <w:color w:val="000000"/>
          <w:lang w:val="fr-FR"/>
        </w:rPr>
        <w:t>définition</w:t>
      </w:r>
      <w:proofErr w:type="gramEnd"/>
      <w:r w:rsidRPr="00D63876">
        <w:rPr>
          <w:rFonts w:ascii="Arial" w:hAnsi="Arial" w:cs="Arial"/>
          <w:color w:val="000000"/>
          <w:lang w:val="fr-FR"/>
        </w:rPr>
        <w:t xml:space="preserve"> des</w:t>
      </w:r>
      <w:r w:rsidRPr="007734AE">
        <w:rPr>
          <w:rFonts w:ascii="Arial" w:hAnsi="Arial" w:cs="Arial"/>
          <w:lang w:val="fr-FR"/>
        </w:rPr>
        <w:t xml:space="preserve"> critères </w:t>
      </w:r>
      <w:r w:rsidRPr="00D63876">
        <w:rPr>
          <w:rFonts w:ascii="Arial" w:hAnsi="Arial" w:cs="Arial"/>
          <w:color w:val="000000"/>
          <w:lang w:val="fr-FR"/>
        </w:rPr>
        <w:t>concernant l</w:t>
      </w:r>
      <w:r w:rsidR="00122BBC">
        <w:rPr>
          <w:rFonts w:ascii="Arial" w:hAnsi="Arial" w:cs="Arial"/>
          <w:color w:val="000000"/>
          <w:lang w:val="fr-FR"/>
        </w:rPr>
        <w:t>’</w:t>
      </w:r>
      <w:r w:rsidRPr="007734AE">
        <w:rPr>
          <w:rFonts w:ascii="Arial" w:hAnsi="Arial" w:cs="Arial"/>
          <w:lang w:val="fr-FR"/>
        </w:rPr>
        <w:t>examen des normes</w:t>
      </w:r>
      <w:r w:rsidRPr="00D63876">
        <w:rPr>
          <w:rFonts w:ascii="Arial" w:hAnsi="Arial" w:cs="Arial"/>
          <w:color w:val="000000"/>
          <w:lang w:val="fr-FR"/>
        </w:rPr>
        <w:t>,</w:t>
      </w:r>
    </w:p>
    <w:p w14:paraId="0071F41B" w14:textId="51AEE346" w:rsidR="001E3E7C" w:rsidRDefault="00D63876" w:rsidP="00D63876">
      <w:pPr>
        <w:pStyle w:val="NoSpacing"/>
        <w:keepNext/>
        <w:keepLines/>
        <w:numPr>
          <w:ilvl w:val="0"/>
          <w:numId w:val="10"/>
        </w:numPr>
        <w:spacing w:line="360" w:lineRule="auto"/>
        <w:rPr>
          <w:rFonts w:ascii="Arial" w:hAnsi="Arial" w:cs="Arial"/>
          <w:lang w:val="fr-FR"/>
        </w:rPr>
      </w:pPr>
      <w:proofErr w:type="gramStart"/>
      <w:r w:rsidRPr="00D63876">
        <w:rPr>
          <w:rFonts w:ascii="Arial" w:hAnsi="Arial" w:cs="Arial"/>
          <w:color w:val="000000"/>
          <w:lang w:val="fr-FR"/>
        </w:rPr>
        <w:t>établissement</w:t>
      </w:r>
      <w:proofErr w:type="gramEnd"/>
      <w:r w:rsidRPr="00D63876">
        <w:rPr>
          <w:rFonts w:ascii="Arial" w:hAnsi="Arial" w:cs="Arial"/>
          <w:color w:val="000000"/>
          <w:lang w:val="fr-FR"/>
        </w:rPr>
        <w:t xml:space="preserve"> de l</w:t>
      </w:r>
      <w:r w:rsidR="00122BBC">
        <w:rPr>
          <w:rFonts w:ascii="Arial" w:hAnsi="Arial" w:cs="Arial"/>
          <w:color w:val="000000"/>
          <w:lang w:val="fr-FR"/>
        </w:rPr>
        <w:t>’</w:t>
      </w:r>
      <w:r w:rsidRPr="00D63876">
        <w:rPr>
          <w:rFonts w:ascii="Arial" w:hAnsi="Arial" w:cs="Arial"/>
          <w:color w:val="000000"/>
          <w:lang w:val="fr-FR"/>
        </w:rPr>
        <w:t>ordre d</w:t>
      </w:r>
      <w:r w:rsidR="00122BBC">
        <w:rPr>
          <w:rFonts w:ascii="Arial" w:hAnsi="Arial" w:cs="Arial"/>
          <w:color w:val="000000"/>
          <w:lang w:val="fr-FR"/>
        </w:rPr>
        <w:t>’</w:t>
      </w:r>
      <w:r w:rsidRPr="00D63876">
        <w:rPr>
          <w:rFonts w:ascii="Arial" w:hAnsi="Arial" w:cs="Arial"/>
          <w:color w:val="000000"/>
          <w:lang w:val="fr-FR"/>
        </w:rPr>
        <w:t>examen des</w:t>
      </w:r>
      <w:r w:rsidRPr="007734AE">
        <w:rPr>
          <w:rFonts w:ascii="Arial" w:hAnsi="Arial" w:cs="Arial"/>
          <w:lang w:val="fr-FR"/>
        </w:rPr>
        <w:t xml:space="preserve"> normes dans la description de </w:t>
      </w:r>
      <w:r w:rsidRPr="00D63876">
        <w:rPr>
          <w:rFonts w:ascii="Arial" w:hAnsi="Arial" w:cs="Arial"/>
          <w:color w:val="000000"/>
          <w:lang w:val="fr-FR"/>
        </w:rPr>
        <w:t xml:space="preserve">la </w:t>
      </w:r>
      <w:r w:rsidRPr="007734AE">
        <w:rPr>
          <w:rFonts w:ascii="Arial" w:hAnsi="Arial" w:cs="Arial"/>
          <w:lang w:val="fr-FR"/>
        </w:rPr>
        <w:t>tâche</w:t>
      </w:r>
      <w:r w:rsidRPr="00D63876">
        <w:rPr>
          <w:rFonts w:ascii="Arial" w:hAnsi="Arial" w:cs="Arial"/>
          <w:color w:val="000000"/>
          <w:lang w:val="fr-FR"/>
        </w:rPr>
        <w:t xml:space="preserve"> et</w:t>
      </w:r>
    </w:p>
    <w:p w14:paraId="710D113F" w14:textId="064BFFC7" w:rsidR="001E3E7C" w:rsidRDefault="00D63876" w:rsidP="00D63876">
      <w:pPr>
        <w:pStyle w:val="NoSpacing"/>
        <w:keepNext/>
        <w:keepLines/>
        <w:numPr>
          <w:ilvl w:val="0"/>
          <w:numId w:val="10"/>
        </w:numPr>
        <w:spacing w:after="220"/>
        <w:ind w:left="994"/>
        <w:rPr>
          <w:rFonts w:ascii="Arial" w:hAnsi="Arial" w:cs="Arial"/>
          <w:lang w:val="fr-FR"/>
        </w:rPr>
      </w:pPr>
      <w:proofErr w:type="gramStart"/>
      <w:r w:rsidRPr="00D63876">
        <w:rPr>
          <w:rFonts w:ascii="Arial" w:hAnsi="Arial" w:cs="Arial"/>
          <w:color w:val="000000"/>
          <w:lang w:val="fr-FR"/>
        </w:rPr>
        <w:t>début</w:t>
      </w:r>
      <w:proofErr w:type="gramEnd"/>
      <w:r w:rsidRPr="00D63876">
        <w:rPr>
          <w:rFonts w:ascii="Arial" w:hAnsi="Arial" w:cs="Arial"/>
          <w:color w:val="000000"/>
          <w:lang w:val="fr-FR"/>
        </w:rPr>
        <w:t xml:space="preserve"> de l</w:t>
      </w:r>
      <w:r w:rsidR="00122BBC">
        <w:rPr>
          <w:rFonts w:ascii="Arial" w:hAnsi="Arial" w:cs="Arial"/>
          <w:color w:val="000000"/>
          <w:lang w:val="fr-FR"/>
        </w:rPr>
        <w:t>’</w:t>
      </w:r>
      <w:r w:rsidRPr="00D63876">
        <w:rPr>
          <w:rFonts w:ascii="Arial" w:hAnsi="Arial" w:cs="Arial"/>
          <w:color w:val="000000"/>
          <w:lang w:val="fr-FR"/>
        </w:rPr>
        <w:t xml:space="preserve">examen et propositions </w:t>
      </w:r>
      <w:r w:rsidRPr="007734AE">
        <w:rPr>
          <w:rFonts w:ascii="Arial" w:hAnsi="Arial" w:cs="Arial"/>
          <w:lang w:val="fr-FR"/>
        </w:rPr>
        <w:t>de mise à jour des normes existantes</w:t>
      </w:r>
      <w:r w:rsidRPr="00D63876">
        <w:rPr>
          <w:rFonts w:ascii="Arial" w:hAnsi="Arial" w:cs="Arial"/>
          <w:color w:val="000000"/>
          <w:lang w:val="fr-FR"/>
        </w:rPr>
        <w:t xml:space="preserve"> selon que de besoin.</w:t>
      </w:r>
    </w:p>
    <w:p w14:paraId="5A982A92" w14:textId="6091C606" w:rsidR="001E3E7C" w:rsidRDefault="00D63876" w:rsidP="00785CC0">
      <w:pPr>
        <w:pStyle w:val="ONUMFS"/>
        <w:rPr>
          <w:lang w:val="fr-FR"/>
        </w:rPr>
      </w:pPr>
      <w:r w:rsidRPr="007734AE">
        <w:rPr>
          <w:lang w:val="fr-FR"/>
        </w:rPr>
        <w:t>Des discussions supplémentaires sont prévues sur l</w:t>
      </w:r>
      <w:r w:rsidRPr="00D63876">
        <w:rPr>
          <w:color w:val="000000"/>
          <w:lang w:val="fr-FR"/>
        </w:rPr>
        <w:t xml:space="preserve">a </w:t>
      </w:r>
      <w:r w:rsidR="0052221B" w:rsidRPr="00D63876">
        <w:rPr>
          <w:color w:val="000000"/>
          <w:lang w:val="fr-FR"/>
        </w:rPr>
        <w:t>page</w:t>
      </w:r>
      <w:r w:rsidR="0052221B">
        <w:rPr>
          <w:color w:val="000000"/>
          <w:lang w:val="fr-FR"/>
        </w:rPr>
        <w:t> </w:t>
      </w:r>
      <w:r w:rsidR="0052221B" w:rsidRPr="00D63876">
        <w:rPr>
          <w:color w:val="000000"/>
          <w:lang w:val="fr-FR"/>
        </w:rPr>
        <w:t>W</w:t>
      </w:r>
      <w:r w:rsidRPr="007734AE">
        <w:rPr>
          <w:lang w:val="fr-FR"/>
        </w:rPr>
        <w:t>iki de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experts entre la publication du présent document et la sept</w:t>
      </w:r>
      <w:r w:rsidR="00122BBC" w:rsidRPr="007734AE">
        <w:rPr>
          <w:lang w:val="fr-FR"/>
        </w:rPr>
        <w:t>ième session</w:t>
      </w:r>
      <w:r w:rsidR="0052221B" w:rsidRPr="007734AE">
        <w:rPr>
          <w:lang w:val="fr-FR"/>
        </w:rPr>
        <w:t xml:space="preserve"> du CWS</w:t>
      </w:r>
      <w:r w:rsidR="007734AE" w:rsidRPr="007734AE">
        <w:rPr>
          <w:lang w:val="fr-FR"/>
        </w:rPr>
        <w:t xml:space="preserve">.  </w:t>
      </w:r>
      <w:r w:rsidRPr="007734AE">
        <w:rPr>
          <w:lang w:val="fr-FR"/>
        </w:rPr>
        <w:t>Le responsable de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équipe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experts présentera des informations supplémentaires sur l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>état d</w:t>
      </w:r>
      <w:r w:rsidR="00122BBC" w:rsidRPr="007734AE">
        <w:rPr>
          <w:lang w:val="fr-FR"/>
        </w:rPr>
        <w:t>’</w:t>
      </w:r>
      <w:r w:rsidRPr="007734AE">
        <w:rPr>
          <w:lang w:val="fr-FR"/>
        </w:rPr>
        <w:t xml:space="preserve">avancement </w:t>
      </w:r>
      <w:r w:rsidRPr="00D63876">
        <w:rPr>
          <w:color w:val="000000"/>
          <w:lang w:val="fr-FR"/>
        </w:rPr>
        <w:t>des travaux dans le</w:t>
      </w:r>
      <w:r w:rsidRPr="007734AE">
        <w:rPr>
          <w:lang w:val="fr-FR"/>
        </w:rPr>
        <w:t xml:space="preserve"> rapport sur cette tâche.</w:t>
      </w:r>
    </w:p>
    <w:p w14:paraId="6FB494F2" w14:textId="77777777" w:rsidR="001E3E7C" w:rsidRDefault="00D63876" w:rsidP="00D63876">
      <w:pPr>
        <w:pStyle w:val="Heading2"/>
        <w:spacing w:before="0"/>
        <w:rPr>
          <w:caps w:val="0"/>
          <w:lang w:val="fr-FR"/>
        </w:rPr>
      </w:pPr>
      <w:r w:rsidRPr="007734AE">
        <w:rPr>
          <w:caps w:val="0"/>
          <w:lang w:val="fr-FR"/>
        </w:rPr>
        <w:t>PROGRAMME DE TRAVAIL</w:t>
      </w:r>
    </w:p>
    <w:p w14:paraId="62F4A6DA" w14:textId="10F538C3" w:rsidR="009E286B" w:rsidRPr="002A04A6" w:rsidRDefault="001E3E7C" w:rsidP="00785CC0">
      <w:pPr>
        <w:pStyle w:val="ONUMFS"/>
        <w:rPr>
          <w:lang w:val="fr-FR"/>
        </w:rPr>
      </w:pPr>
      <w:r w:rsidRPr="007734AE">
        <w:rPr>
          <w:lang w:val="fr-FR"/>
        </w:rPr>
        <w:t xml:space="preserve">Le calendrier </w:t>
      </w:r>
      <w:r w:rsidRPr="001E3E7C">
        <w:rPr>
          <w:color w:val="000000"/>
          <w:lang w:val="fr-FR"/>
        </w:rPr>
        <w:t xml:space="preserve">pour le programme </w:t>
      </w:r>
      <w:r w:rsidRPr="007734AE">
        <w:rPr>
          <w:lang w:val="fr-FR"/>
        </w:rPr>
        <w:t xml:space="preserve">de travail proposé </w:t>
      </w:r>
      <w:r w:rsidR="0052221B" w:rsidRPr="007734AE">
        <w:rPr>
          <w:lang w:val="fr-FR"/>
        </w:rPr>
        <w:t>pour 2019</w:t>
      </w:r>
      <w:r w:rsidR="00122BBC" w:rsidRPr="007734AE">
        <w:rPr>
          <w:lang w:val="fr-FR"/>
        </w:rPr>
        <w:t>-</w:t>
      </w:r>
      <w:r w:rsidRPr="007734AE">
        <w:rPr>
          <w:lang w:val="fr-FR"/>
        </w:rPr>
        <w:t>2020 est le suivant</w:t>
      </w:r>
      <w:r w:rsidR="007734AE" w:rsidRPr="007734AE">
        <w:rPr>
          <w:lang w:val="fr-FR"/>
        </w:rPr>
        <w:t> :</w:t>
      </w:r>
    </w:p>
    <w:tbl>
      <w:tblPr>
        <w:tblW w:w="9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5015"/>
        <w:gridCol w:w="2159"/>
      </w:tblGrid>
      <w:tr w:rsidR="00DF1EC0" w:rsidRPr="002A04A6" w14:paraId="19563F04" w14:textId="77777777" w:rsidTr="0050181C">
        <w:trPr>
          <w:cantSplit/>
          <w:tblHeader/>
          <w:jc w:val="center"/>
        </w:trPr>
        <w:tc>
          <w:tcPr>
            <w:tcW w:w="1522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66310C" w14:textId="3E6CEED3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32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4A134" w14:textId="47801C29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szCs w:val="22"/>
                <w:lang w:val="fr-FR" w:eastAsia="en-US"/>
              </w:rPr>
              <w:t>Mesures à prendre</w:t>
            </w:r>
          </w:p>
        </w:tc>
        <w:tc>
          <w:tcPr>
            <w:tcW w:w="2239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B19FC" w14:textId="41E6530C" w:rsidR="00DF1EC0" w:rsidRPr="002A04A6" w:rsidRDefault="001E3E7C" w:rsidP="001E3E7C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szCs w:val="22"/>
                <w:lang w:val="fr-FR" w:eastAsia="en-US"/>
              </w:rPr>
              <w:t>Calendrier provisoire</w:t>
            </w:r>
          </w:p>
        </w:tc>
      </w:tr>
      <w:tr w:rsidR="00DF1EC0" w:rsidRPr="002A04A6" w14:paraId="55130B59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C43DD" w14:textId="45B6DE71" w:rsidR="00DF1EC0" w:rsidRPr="002A04A6" w:rsidRDefault="001E3E7C" w:rsidP="001E3E7C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 xml:space="preserve">Série de discussions 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n° 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>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842CBB" w14:textId="11C654FD" w:rsidR="00DF1EC0" w:rsidRPr="002A04A6" w:rsidRDefault="000E3BBA" w:rsidP="003F0B69">
            <w:pPr>
              <w:rPr>
                <w:rFonts w:eastAsia="Times New Roman"/>
                <w:szCs w:val="22"/>
                <w:lang w:val="fr-FR" w:eastAsia="en-US"/>
              </w:rPr>
            </w:pPr>
            <w:r w:rsidRPr="000E3BBA">
              <w:rPr>
                <w:rFonts w:eastAsia="Times New Roman"/>
                <w:szCs w:val="22"/>
                <w:lang w:val="fr-FR" w:eastAsia="en-US"/>
              </w:rPr>
              <w:t xml:space="preserve">mise en commun, par les offices de propriété intellectuelle, des pratiques </w:t>
            </w:r>
            <w:r w:rsidR="003F0B69">
              <w:rPr>
                <w:rFonts w:eastAsia="Times New Roman"/>
                <w:szCs w:val="22"/>
                <w:lang w:val="fr-FR" w:eastAsia="en-US"/>
              </w:rPr>
              <w:t>existantes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 xml:space="preserve"> en mati</w:t>
            </w:r>
            <w:r>
              <w:rPr>
                <w:rFonts w:eastAsia="Times New Roman"/>
                <w:szCs w:val="22"/>
                <w:lang w:val="fr-FR" w:eastAsia="en-US"/>
              </w:rPr>
              <w:t xml:space="preserve">ère de publication électronique et 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examen des difficultés qui se posent actuellement par rapport au processus en cours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17143" w14:textId="49F10BE2" w:rsidR="00DF1EC0" w:rsidRPr="002A04A6" w:rsidRDefault="00DF1EC0" w:rsidP="001E3E7C">
            <w:pPr>
              <w:rPr>
                <w:rFonts w:eastAsia="Times New Roman"/>
                <w:szCs w:val="22"/>
                <w:lang w:val="fr-FR" w:eastAsia="en-US"/>
              </w:rPr>
            </w:pPr>
            <w:r w:rsidRPr="002A04A6">
              <w:rPr>
                <w:rFonts w:eastAsia="Times New Roman"/>
                <w:szCs w:val="22"/>
                <w:lang w:val="fr-FR" w:eastAsia="en-US"/>
              </w:rPr>
              <w:t xml:space="preserve">8 </w:t>
            </w:r>
            <w:r w:rsidR="001E3E7C">
              <w:rPr>
                <w:rFonts w:eastAsia="Times New Roman"/>
                <w:szCs w:val="22"/>
                <w:lang w:val="fr-FR" w:eastAsia="en-US"/>
              </w:rPr>
              <w:t>semaines</w:t>
            </w:r>
          </w:p>
        </w:tc>
      </w:tr>
      <w:tr w:rsidR="00DF1EC0" w:rsidRPr="002A04A6" w14:paraId="1BBFC9A6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069F4B" w14:textId="40563C12" w:rsidR="00DF1EC0" w:rsidRPr="002A04A6" w:rsidRDefault="001E3E7C" w:rsidP="001E3E7C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 xml:space="preserve">Série de discussions 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n° 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>2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19D7B0" w14:textId="3F4CA759" w:rsidR="00DF1EC0" w:rsidRPr="002A04A6" w:rsidRDefault="000E3BBA" w:rsidP="00DF1EC0">
            <w:pPr>
              <w:rPr>
                <w:rFonts w:eastAsia="Times New Roman"/>
                <w:szCs w:val="22"/>
                <w:lang w:val="fr-FR" w:eastAsia="en-US"/>
              </w:rPr>
            </w:pPr>
            <w:r w:rsidRPr="00D63876">
              <w:rPr>
                <w:color w:val="000000"/>
                <w:lang w:val="fr-FR"/>
              </w:rPr>
              <w:t>p</w:t>
            </w:r>
            <w:r w:rsidRPr="007734AE">
              <w:rPr>
                <w:lang w:val="fr-FR"/>
              </w:rPr>
              <w:t xml:space="preserve">artage et examen des </w:t>
            </w:r>
            <w:r w:rsidRPr="00D63876">
              <w:rPr>
                <w:color w:val="000000"/>
                <w:lang w:val="fr-FR"/>
              </w:rPr>
              <w:t xml:space="preserve">projets en matière </w:t>
            </w:r>
            <w:r w:rsidRPr="007734AE">
              <w:rPr>
                <w:lang w:val="fr-FR"/>
              </w:rPr>
              <w:t>de publication électronique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7453CE" w14:textId="0BD3E14C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  <w:r w:rsidRPr="002A04A6">
              <w:rPr>
                <w:rFonts w:eastAsia="Times New Roman"/>
                <w:szCs w:val="22"/>
                <w:lang w:val="fr-FR" w:eastAsia="en-US"/>
              </w:rPr>
              <w:t xml:space="preserve">4 </w:t>
            </w:r>
            <w:r w:rsidR="001E3E7C">
              <w:rPr>
                <w:rFonts w:eastAsia="Times New Roman"/>
                <w:szCs w:val="22"/>
                <w:lang w:val="fr-FR" w:eastAsia="en-US"/>
              </w:rPr>
              <w:t>semaines</w:t>
            </w:r>
          </w:p>
        </w:tc>
      </w:tr>
      <w:tr w:rsidR="00DF1EC0" w:rsidRPr="002A04A6" w14:paraId="1D5963A5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FEAB6D" w14:textId="302E570D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lastRenderedPageBreak/>
              <w:t xml:space="preserve">Série de discussions 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n° 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>3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03314B" w14:textId="4A40EEA2" w:rsidR="00DF1EC0" w:rsidRPr="002A04A6" w:rsidRDefault="000E3BBA" w:rsidP="000E3BBA">
            <w:pPr>
              <w:rPr>
                <w:rFonts w:eastAsia="Times New Roman"/>
                <w:szCs w:val="22"/>
                <w:lang w:val="fr-FR" w:eastAsia="en-US"/>
              </w:rPr>
            </w:pPr>
            <w:r w:rsidRPr="000E3BBA">
              <w:rPr>
                <w:rFonts w:eastAsia="Times New Roman"/>
                <w:szCs w:val="22"/>
                <w:lang w:val="fr-FR" w:eastAsia="en-US"/>
              </w:rPr>
              <w:t>définition de la notion de publications électroniques et des critères applicables à celles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-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ci</w:t>
            </w:r>
            <w:r>
              <w:rPr>
                <w:rFonts w:eastAsia="Times New Roman"/>
                <w:szCs w:val="22"/>
                <w:lang w:val="fr-FR" w:eastAsia="en-US"/>
              </w:rPr>
              <w:t xml:space="preserve"> et 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examen des types de fichiers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 :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 xml:space="preserve"> image, bib</w:t>
            </w:r>
            <w:r>
              <w:rPr>
                <w:rFonts w:eastAsia="Times New Roman"/>
                <w:szCs w:val="22"/>
                <w:lang w:val="fr-FR" w:eastAsia="en-US"/>
              </w:rPr>
              <w:t>liographique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, texte intégral</w:t>
            </w:r>
            <w:r>
              <w:rPr>
                <w:rFonts w:eastAsia="Times New Roman"/>
                <w:szCs w:val="22"/>
                <w:lang w:val="fr-FR" w:eastAsia="en-US"/>
              </w:rPr>
              <w:t>,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 xml:space="preserve"> XML, </w:t>
            </w:r>
            <w:r>
              <w:rPr>
                <w:rFonts w:eastAsia="Times New Roman"/>
                <w:szCs w:val="22"/>
                <w:lang w:val="fr-FR" w:eastAsia="en-US"/>
              </w:rPr>
              <w:t>représentation visuelle des données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86D9AC" w14:textId="6C2DA209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  <w:r w:rsidRPr="002A04A6">
              <w:rPr>
                <w:iCs/>
                <w:color w:val="000000"/>
                <w:szCs w:val="22"/>
                <w:lang w:val="fr-FR"/>
              </w:rPr>
              <w:t xml:space="preserve">4 </w:t>
            </w:r>
            <w:r w:rsidR="001E3E7C">
              <w:rPr>
                <w:rFonts w:eastAsia="Times New Roman"/>
                <w:szCs w:val="22"/>
                <w:lang w:val="fr-FR" w:eastAsia="en-US"/>
              </w:rPr>
              <w:t>semaines</w:t>
            </w:r>
          </w:p>
        </w:tc>
      </w:tr>
      <w:tr w:rsidR="00DF1EC0" w:rsidRPr="002A04A6" w14:paraId="3B4BD8DF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DC84F9" w14:textId="121AB702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 xml:space="preserve">Série de discussions 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n° 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>4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E63560" w14:textId="31199723" w:rsidR="00DF1EC0" w:rsidRPr="002A04A6" w:rsidRDefault="000E3BBA" w:rsidP="000E3BBA">
            <w:pPr>
              <w:rPr>
                <w:rFonts w:eastAsia="Times New Roman"/>
                <w:szCs w:val="22"/>
                <w:lang w:val="fr-FR" w:eastAsia="en-US"/>
              </w:rPr>
            </w:pPr>
            <w:r w:rsidRPr="000E3BBA">
              <w:rPr>
                <w:rFonts w:eastAsia="Times New Roman"/>
                <w:szCs w:val="22"/>
                <w:lang w:val="fr-FR" w:eastAsia="en-US"/>
              </w:rPr>
              <w:t>définition des critères concernant l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examen des normes</w:t>
            </w:r>
            <w:r>
              <w:rPr>
                <w:rFonts w:eastAsia="Times New Roman"/>
                <w:szCs w:val="22"/>
                <w:lang w:val="fr-FR" w:eastAsia="en-US"/>
              </w:rPr>
              <w:t xml:space="preserve"> et des résultats escomptés de l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>
              <w:rPr>
                <w:rFonts w:eastAsia="Times New Roman"/>
                <w:szCs w:val="22"/>
                <w:lang w:val="fr-FR" w:eastAsia="en-US"/>
              </w:rPr>
              <w:t>examen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9A7373" w14:textId="307DF10A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  <w:r w:rsidRPr="002A04A6">
              <w:rPr>
                <w:rFonts w:eastAsia="Times New Roman"/>
                <w:szCs w:val="22"/>
                <w:lang w:val="fr-FR" w:eastAsia="en-US"/>
              </w:rPr>
              <w:t xml:space="preserve">4 </w:t>
            </w:r>
            <w:r w:rsidR="001E3E7C">
              <w:rPr>
                <w:rFonts w:eastAsia="Times New Roman"/>
                <w:szCs w:val="22"/>
                <w:lang w:val="fr-FR" w:eastAsia="en-US"/>
              </w:rPr>
              <w:t>semaines</w:t>
            </w:r>
          </w:p>
        </w:tc>
      </w:tr>
      <w:tr w:rsidR="00DF1EC0" w:rsidRPr="002A04A6" w14:paraId="4DDADF2F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795DA" w14:textId="5929A5CC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 xml:space="preserve">Série de discussions 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n° 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>5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9CB4F3" w14:textId="2765ED60" w:rsidR="00DF1EC0" w:rsidRPr="000E3BBA" w:rsidRDefault="000E3BBA" w:rsidP="000E3BBA">
            <w:pPr>
              <w:rPr>
                <w:rFonts w:eastAsia="Times New Roman"/>
                <w:szCs w:val="22"/>
                <w:lang w:val="fr-FR" w:eastAsia="en-US"/>
              </w:rPr>
            </w:pPr>
            <w:r w:rsidRPr="000E3BBA">
              <w:rPr>
                <w:rFonts w:eastAsia="Times New Roman"/>
                <w:szCs w:val="22"/>
                <w:lang w:val="fr-FR" w:eastAsia="en-US"/>
              </w:rPr>
              <w:t>établissement de l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ordre d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Pr="000E3BBA">
              <w:rPr>
                <w:rFonts w:eastAsia="Times New Roman"/>
                <w:szCs w:val="22"/>
                <w:lang w:val="fr-FR" w:eastAsia="en-US"/>
              </w:rPr>
              <w:t>examen des normes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D67F34" w14:textId="27652DB1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  <w:r w:rsidRPr="002A04A6">
              <w:rPr>
                <w:rFonts w:eastAsia="Times New Roman"/>
                <w:szCs w:val="22"/>
                <w:lang w:val="fr-FR" w:eastAsia="en-US"/>
              </w:rPr>
              <w:t xml:space="preserve">4 </w:t>
            </w:r>
            <w:r w:rsidR="001E3E7C">
              <w:rPr>
                <w:rFonts w:eastAsia="Times New Roman"/>
                <w:szCs w:val="22"/>
                <w:lang w:val="fr-FR" w:eastAsia="en-US"/>
              </w:rPr>
              <w:t>semaines</w:t>
            </w:r>
          </w:p>
        </w:tc>
      </w:tr>
      <w:tr w:rsidR="00DF1EC0" w:rsidRPr="002A04A6" w14:paraId="5E560B21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8481EF" w14:textId="4AEEBED3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 xml:space="preserve">Série de discussions </w:t>
            </w:r>
            <w:r w:rsidR="007734AE">
              <w:rPr>
                <w:rFonts w:eastAsia="Times New Roman"/>
                <w:szCs w:val="22"/>
                <w:lang w:val="fr-FR" w:eastAsia="en-US"/>
              </w:rPr>
              <w:t>n° 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>6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799F1F" w14:textId="7ED8B776" w:rsidR="00DF1EC0" w:rsidRPr="002A04A6" w:rsidRDefault="00D11FF3" w:rsidP="00D11FF3">
            <w:pPr>
              <w:rPr>
                <w:rFonts w:eastAsia="Times New Roman"/>
                <w:szCs w:val="22"/>
                <w:lang w:val="fr-FR" w:eastAsia="en-US"/>
              </w:rPr>
            </w:pPr>
            <w:r w:rsidRPr="00D11FF3">
              <w:rPr>
                <w:rFonts w:eastAsia="Times New Roman"/>
                <w:szCs w:val="22"/>
                <w:lang w:val="fr-FR" w:eastAsia="en-US"/>
              </w:rPr>
              <w:t>début de l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Pr="00D11FF3">
              <w:rPr>
                <w:rFonts w:eastAsia="Times New Roman"/>
                <w:szCs w:val="22"/>
                <w:lang w:val="fr-FR" w:eastAsia="en-US"/>
              </w:rPr>
              <w:t xml:space="preserve">examen </w:t>
            </w:r>
            <w:r>
              <w:rPr>
                <w:rFonts w:eastAsia="Times New Roman"/>
                <w:szCs w:val="22"/>
                <w:lang w:val="fr-FR" w:eastAsia="en-US"/>
              </w:rPr>
              <w:t>et</w:t>
            </w:r>
            <w:r w:rsidRPr="00D11FF3">
              <w:rPr>
                <w:rFonts w:eastAsia="Times New Roman"/>
                <w:szCs w:val="22"/>
                <w:lang w:val="fr-FR" w:eastAsia="en-US"/>
              </w:rPr>
              <w:t xml:space="preserve"> mise à jour des normes existantes </w:t>
            </w:r>
            <w:r>
              <w:rPr>
                <w:rFonts w:eastAsia="Times New Roman"/>
                <w:szCs w:val="22"/>
                <w:lang w:val="fr-FR" w:eastAsia="en-US"/>
              </w:rPr>
              <w:t>aux fins de leur publication selon les orientations convenues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DA0DF4" w14:textId="736DC97A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  <w:r w:rsidRPr="002A04A6">
              <w:rPr>
                <w:rFonts w:eastAsia="Times New Roman"/>
                <w:szCs w:val="22"/>
                <w:lang w:val="fr-FR" w:eastAsia="en-US"/>
              </w:rPr>
              <w:t xml:space="preserve">4 </w:t>
            </w:r>
            <w:r w:rsidR="001E3E7C">
              <w:rPr>
                <w:rFonts w:eastAsia="Times New Roman"/>
                <w:szCs w:val="22"/>
                <w:lang w:val="fr-FR" w:eastAsia="en-US"/>
              </w:rPr>
              <w:t>semaines</w:t>
            </w:r>
          </w:p>
        </w:tc>
      </w:tr>
      <w:tr w:rsidR="00DF1EC0" w:rsidRPr="002A04A6" w14:paraId="2B39FBC2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D116D1" w14:textId="12A739B3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 xml:space="preserve">Série de discussions </w:t>
            </w:r>
            <w:r w:rsidR="00DF1EC0" w:rsidRPr="002A04A6">
              <w:rPr>
                <w:rFonts w:eastAsia="Times New Roman"/>
                <w:i/>
                <w:szCs w:val="22"/>
                <w:lang w:val="fr-FR" w:eastAsia="en-US"/>
              </w:rPr>
              <w:t>N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4096E4" w14:textId="73AFC9E5" w:rsidR="001E3E7C" w:rsidRDefault="005364F3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–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 xml:space="preserve"> 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analyse détaillée de chaque norme par ordre de priorité</w:t>
            </w:r>
          </w:p>
          <w:p w14:paraId="36655DC4" w14:textId="3898883E" w:rsidR="00DF1EC0" w:rsidRPr="002A04A6" w:rsidRDefault="005364F3" w:rsidP="004C3476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–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 xml:space="preserve"> 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élaboration de recommandations compte tenu de l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examen détaillé et des discussions avec les membres de l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équipe d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experts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CAFC32" w14:textId="3A1901CF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Selon que de besoin</w:t>
            </w:r>
          </w:p>
        </w:tc>
      </w:tr>
      <w:tr w:rsidR="00DF1EC0" w:rsidRPr="002A04A6" w14:paraId="2A78C82A" w14:textId="77777777" w:rsidTr="0050181C">
        <w:trPr>
          <w:cantSplit/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E9390A" w14:textId="5FB43511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Série de discussions</w:t>
            </w:r>
            <w:r w:rsidR="005364F3">
              <w:rPr>
                <w:rFonts w:eastAsia="Times New Roman"/>
                <w:szCs w:val="22"/>
                <w:lang w:val="fr-FR" w:eastAsia="en-US"/>
              </w:rPr>
              <w:t> </w:t>
            </w:r>
            <w:r w:rsidR="00DF1EC0" w:rsidRPr="002A04A6">
              <w:rPr>
                <w:rFonts w:eastAsia="Times New Roman"/>
                <w:i/>
                <w:szCs w:val="22"/>
                <w:lang w:val="fr-FR" w:eastAsia="en-US"/>
              </w:rPr>
              <w:t>N+1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F0C6B1" w14:textId="41046DCF" w:rsidR="001E3E7C" w:rsidRDefault="005364F3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–</w:t>
            </w:r>
            <w:r w:rsidR="00DF1EC0" w:rsidRPr="002A04A6">
              <w:rPr>
                <w:rFonts w:eastAsia="Times New Roman"/>
                <w:szCs w:val="22"/>
                <w:lang w:val="fr-FR" w:eastAsia="en-US"/>
              </w:rPr>
              <w:t xml:space="preserve"> 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élaboration d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="004C3476">
              <w:rPr>
                <w:rFonts w:eastAsia="Times New Roman"/>
                <w:szCs w:val="22"/>
                <w:lang w:val="fr-FR" w:eastAsia="en-US"/>
              </w:rPr>
              <w:t xml:space="preserve">une proposition pour </w:t>
            </w:r>
            <w:r w:rsidR="00040516">
              <w:rPr>
                <w:rFonts w:eastAsia="Times New Roman"/>
                <w:szCs w:val="22"/>
                <w:lang w:val="fr-FR" w:eastAsia="en-US"/>
              </w:rPr>
              <w:t xml:space="preserve">une prochaine 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session</w:t>
            </w:r>
            <w:r w:rsidR="0052221B">
              <w:rPr>
                <w:rFonts w:eastAsia="Times New Roman"/>
                <w:szCs w:val="22"/>
                <w:lang w:val="fr-FR" w:eastAsia="en-US"/>
              </w:rPr>
              <w:t xml:space="preserve"> du CWS</w:t>
            </w:r>
            <w:r w:rsidR="004C3476">
              <w:rPr>
                <w:rFonts w:eastAsia="Times New Roman"/>
                <w:szCs w:val="22"/>
                <w:lang w:val="fr-FR" w:eastAsia="en-US"/>
              </w:rPr>
              <w:t xml:space="preserve"> sur les modifications à apporter aux normes existantes selon que de besoin</w:t>
            </w:r>
          </w:p>
          <w:p w14:paraId="60F6E8A7" w14:textId="20FC89F4" w:rsidR="004C3476" w:rsidRDefault="005364F3" w:rsidP="004C3476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–</w:t>
            </w:r>
            <w:r w:rsidR="004C3476" w:rsidRPr="002A04A6">
              <w:rPr>
                <w:rFonts w:eastAsia="Times New Roman"/>
                <w:szCs w:val="22"/>
                <w:lang w:val="fr-FR" w:eastAsia="en-US"/>
              </w:rPr>
              <w:t xml:space="preserve"> 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élaboration d</w:t>
            </w:r>
            <w:r w:rsidR="00122BBC">
              <w:rPr>
                <w:rFonts w:eastAsia="Times New Roman"/>
                <w:szCs w:val="22"/>
                <w:lang w:val="fr-FR" w:eastAsia="en-US"/>
              </w:rPr>
              <w:t>’</w:t>
            </w:r>
            <w:r w:rsidR="004C3476">
              <w:rPr>
                <w:rFonts w:eastAsia="Times New Roman"/>
                <w:szCs w:val="22"/>
                <w:lang w:val="fr-FR" w:eastAsia="en-US"/>
              </w:rPr>
              <w:t xml:space="preserve">une proposition pour </w:t>
            </w:r>
            <w:r w:rsidR="00040516">
              <w:rPr>
                <w:rFonts w:eastAsia="Times New Roman"/>
                <w:szCs w:val="22"/>
                <w:lang w:val="fr-FR" w:eastAsia="en-US"/>
              </w:rPr>
              <w:t>une prochaine</w:t>
            </w:r>
            <w:r>
              <w:rPr>
                <w:rFonts w:eastAsia="Times New Roman"/>
                <w:szCs w:val="22"/>
                <w:lang w:val="fr-FR" w:eastAsia="en-US"/>
              </w:rPr>
              <w:t> </w:t>
            </w:r>
            <w:r w:rsidR="004C3476">
              <w:rPr>
                <w:rFonts w:eastAsia="Times New Roman"/>
                <w:szCs w:val="22"/>
                <w:lang w:val="fr-FR" w:eastAsia="en-US"/>
              </w:rPr>
              <w:t>session</w:t>
            </w:r>
            <w:r w:rsidR="0052221B">
              <w:rPr>
                <w:rFonts w:eastAsia="Times New Roman"/>
                <w:szCs w:val="22"/>
                <w:lang w:val="fr-FR" w:eastAsia="en-US"/>
              </w:rPr>
              <w:t xml:space="preserve"> du CWS</w:t>
            </w:r>
            <w:r w:rsidR="004C3476">
              <w:rPr>
                <w:rFonts w:eastAsia="Times New Roman"/>
                <w:szCs w:val="22"/>
                <w:lang w:val="fr-FR" w:eastAsia="en-US"/>
              </w:rPr>
              <w:t xml:space="preserve"> sur les nouvelles normes en matière de publication électronique selon que de besoin</w:t>
            </w:r>
          </w:p>
          <w:p w14:paraId="5B3E15D0" w14:textId="5E50E891" w:rsidR="00DF1EC0" w:rsidRPr="002A04A6" w:rsidRDefault="00DF1EC0" w:rsidP="00DF1EC0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D7BCF4" w14:textId="31AAFFCF" w:rsidR="00DF1EC0" w:rsidRPr="002A04A6" w:rsidRDefault="001E3E7C" w:rsidP="00DF1EC0">
            <w:pPr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Selon que de besoin</w:t>
            </w:r>
          </w:p>
        </w:tc>
      </w:tr>
    </w:tbl>
    <w:p w14:paraId="6C035AE0" w14:textId="77777777" w:rsidR="001E3E7C" w:rsidRDefault="001E3E7C" w:rsidP="00D65CAE">
      <w:pPr>
        <w:spacing w:after="60"/>
        <w:rPr>
          <w:iCs/>
          <w:color w:val="000000"/>
          <w:szCs w:val="22"/>
          <w:lang w:val="fr-FR"/>
        </w:rPr>
      </w:pPr>
    </w:p>
    <w:p w14:paraId="50BEAC7F" w14:textId="4A597F56" w:rsidR="001E3E7C" w:rsidRDefault="001E3E7C" w:rsidP="00062721">
      <w:pPr>
        <w:spacing w:after="220"/>
        <w:rPr>
          <w:iCs/>
          <w:color w:val="000000"/>
          <w:szCs w:val="22"/>
          <w:lang w:val="fr-FR"/>
        </w:rPr>
      </w:pPr>
      <w:r>
        <w:rPr>
          <w:iCs/>
          <w:color w:val="000000"/>
          <w:szCs w:val="22"/>
          <w:lang w:val="fr-FR"/>
        </w:rPr>
        <w:t>Répéter les séries</w:t>
      </w:r>
      <w:r w:rsidR="00913B32" w:rsidRPr="002A04A6">
        <w:rPr>
          <w:iCs/>
          <w:color w:val="000000"/>
          <w:szCs w:val="22"/>
          <w:lang w:val="fr-FR"/>
        </w:rPr>
        <w:t xml:space="preserve"> N</w:t>
      </w:r>
      <w:r>
        <w:rPr>
          <w:iCs/>
          <w:color w:val="000000"/>
          <w:szCs w:val="22"/>
          <w:lang w:val="fr-FR"/>
        </w:rPr>
        <w:t xml:space="preserve"> et</w:t>
      </w:r>
      <w:r w:rsidR="00913B32" w:rsidRPr="002A04A6">
        <w:rPr>
          <w:iCs/>
          <w:color w:val="000000"/>
          <w:szCs w:val="22"/>
          <w:lang w:val="fr-FR"/>
        </w:rPr>
        <w:t xml:space="preserve"> N+1 </w:t>
      </w:r>
      <w:r>
        <w:rPr>
          <w:iCs/>
          <w:color w:val="000000"/>
          <w:szCs w:val="22"/>
          <w:lang w:val="fr-FR"/>
        </w:rPr>
        <w:t>autant de fois que nécessaire pour examiner les normes correspondantes</w:t>
      </w:r>
      <w:r w:rsidR="00913B32" w:rsidRPr="002A04A6">
        <w:rPr>
          <w:iCs/>
          <w:color w:val="000000"/>
          <w:szCs w:val="22"/>
          <w:lang w:val="fr-FR"/>
        </w:rPr>
        <w:t>.</w:t>
      </w:r>
    </w:p>
    <w:p w14:paraId="282136E2" w14:textId="06425C88" w:rsidR="0052221B" w:rsidRPr="00731DFF" w:rsidRDefault="001E3E7C" w:rsidP="00785CC0">
      <w:pPr>
        <w:pStyle w:val="ONUMFS"/>
        <w:ind w:left="5533"/>
        <w:rPr>
          <w:i/>
          <w:lang w:val="fr-FR"/>
        </w:rPr>
      </w:pPr>
      <w:bookmarkStart w:id="5" w:name="_GoBack"/>
      <w:r w:rsidRPr="00731DFF">
        <w:rPr>
          <w:i/>
          <w:lang w:val="fr-FR"/>
        </w:rPr>
        <w:t>Le CWS est invité</w:t>
      </w:r>
    </w:p>
    <w:bookmarkEnd w:id="5"/>
    <w:p w14:paraId="4E2462E4" w14:textId="24749913" w:rsidR="001E3E7C" w:rsidRDefault="00C32CED" w:rsidP="001E3E7C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  <w:lang w:val="fr-FR"/>
        </w:rPr>
      </w:pPr>
      <w:r w:rsidRPr="002A04A6">
        <w:rPr>
          <w:i/>
          <w:szCs w:val="22"/>
          <w:lang w:val="fr-FR"/>
        </w:rPr>
        <w:tab/>
      </w:r>
      <w:r w:rsidR="001E3E7C" w:rsidRPr="007734AE">
        <w:rPr>
          <w:i/>
          <w:szCs w:val="22"/>
          <w:lang w:val="fr-FR"/>
        </w:rPr>
        <w:t>a)</w:t>
      </w:r>
      <w:r w:rsidR="001E3E7C" w:rsidRPr="007734AE">
        <w:rPr>
          <w:i/>
          <w:szCs w:val="22"/>
          <w:lang w:val="fr-FR"/>
        </w:rPr>
        <w:tab/>
        <w:t>à prendre note du contenu du présent document</w:t>
      </w:r>
      <w:r w:rsidR="001E3E7C" w:rsidRPr="001E3E7C">
        <w:rPr>
          <w:i/>
          <w:color w:val="000000"/>
          <w:szCs w:val="22"/>
          <w:lang w:val="fr-FR"/>
        </w:rPr>
        <w:t xml:space="preserve"> et</w:t>
      </w:r>
    </w:p>
    <w:p w14:paraId="4D363B57" w14:textId="78E2E32E" w:rsidR="001E3E7C" w:rsidRDefault="00C32CED" w:rsidP="001E3E7C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fr-FR"/>
        </w:rPr>
      </w:pPr>
      <w:r w:rsidRPr="002A04A6">
        <w:rPr>
          <w:i/>
          <w:szCs w:val="22"/>
          <w:lang w:val="fr-FR"/>
        </w:rPr>
        <w:tab/>
      </w:r>
      <w:r w:rsidR="001E3E7C" w:rsidRPr="007734AE">
        <w:rPr>
          <w:i/>
          <w:szCs w:val="22"/>
          <w:lang w:val="fr-FR"/>
        </w:rPr>
        <w:t>b)</w:t>
      </w:r>
      <w:r w:rsidR="001E3E7C" w:rsidRPr="001E3E7C">
        <w:rPr>
          <w:i/>
          <w:color w:val="000000"/>
          <w:szCs w:val="22"/>
          <w:lang w:val="fr-FR"/>
        </w:rPr>
        <w:tab/>
      </w:r>
      <w:r w:rsidR="001E3E7C" w:rsidRPr="007734AE">
        <w:rPr>
          <w:i/>
          <w:szCs w:val="22"/>
          <w:lang w:val="fr-FR"/>
        </w:rPr>
        <w:t>à prendre note du programme de travail de l</w:t>
      </w:r>
      <w:r w:rsidR="00122BBC" w:rsidRPr="007734AE">
        <w:rPr>
          <w:i/>
          <w:szCs w:val="22"/>
          <w:lang w:val="fr-FR"/>
        </w:rPr>
        <w:t>’</w:t>
      </w:r>
      <w:r w:rsidR="001E3E7C" w:rsidRPr="001E3E7C">
        <w:rPr>
          <w:i/>
          <w:color w:val="000000"/>
          <w:szCs w:val="22"/>
          <w:lang w:val="fr-FR"/>
        </w:rPr>
        <w:t>É</w:t>
      </w:r>
      <w:r w:rsidR="001E3E7C" w:rsidRPr="007734AE">
        <w:rPr>
          <w:i/>
          <w:szCs w:val="22"/>
          <w:lang w:val="fr-FR"/>
        </w:rPr>
        <w:t>quipe d</w:t>
      </w:r>
      <w:r w:rsidR="00122BBC" w:rsidRPr="007734AE">
        <w:rPr>
          <w:i/>
          <w:szCs w:val="22"/>
          <w:lang w:val="fr-FR"/>
        </w:rPr>
        <w:t>’</w:t>
      </w:r>
      <w:r w:rsidR="001E3E7C" w:rsidRPr="007734AE">
        <w:rPr>
          <w:i/>
          <w:szCs w:val="22"/>
          <w:lang w:val="fr-FR"/>
        </w:rPr>
        <w:t xml:space="preserve">experts chargée de la </w:t>
      </w:r>
      <w:r w:rsidR="001E3E7C" w:rsidRPr="001E3E7C">
        <w:rPr>
          <w:i/>
          <w:color w:val="000000"/>
          <w:szCs w:val="22"/>
          <w:lang w:val="fr-FR"/>
        </w:rPr>
        <w:t>t</w:t>
      </w:r>
      <w:r w:rsidR="001E3E7C" w:rsidRPr="007734AE">
        <w:rPr>
          <w:i/>
          <w:szCs w:val="22"/>
          <w:lang w:val="fr-FR"/>
        </w:rPr>
        <w:t xml:space="preserve">ransformation numérique et à encourager les offices de propriété </w:t>
      </w:r>
      <w:r w:rsidR="001E3E7C" w:rsidRPr="001E3E7C">
        <w:rPr>
          <w:i/>
          <w:color w:val="000000"/>
          <w:szCs w:val="22"/>
          <w:lang w:val="fr-FR"/>
        </w:rPr>
        <w:t xml:space="preserve">intellectuelle </w:t>
      </w:r>
      <w:r w:rsidR="001E3E7C" w:rsidRPr="007734AE">
        <w:rPr>
          <w:i/>
          <w:szCs w:val="22"/>
          <w:lang w:val="fr-FR"/>
        </w:rPr>
        <w:t>à participer aux discussions de l</w:t>
      </w:r>
      <w:r w:rsidR="00122BBC" w:rsidRPr="007734AE">
        <w:rPr>
          <w:i/>
          <w:szCs w:val="22"/>
          <w:lang w:val="fr-FR"/>
        </w:rPr>
        <w:t>’</w:t>
      </w:r>
      <w:r w:rsidR="001E3E7C" w:rsidRPr="007734AE">
        <w:rPr>
          <w:i/>
          <w:szCs w:val="22"/>
          <w:lang w:val="fr-FR"/>
        </w:rPr>
        <w:t>équipe d</w:t>
      </w:r>
      <w:r w:rsidR="00122BBC" w:rsidRPr="007734AE">
        <w:rPr>
          <w:i/>
          <w:szCs w:val="22"/>
          <w:lang w:val="fr-FR"/>
        </w:rPr>
        <w:t>’</w:t>
      </w:r>
      <w:r w:rsidR="001E3E7C" w:rsidRPr="007734AE">
        <w:rPr>
          <w:i/>
          <w:szCs w:val="22"/>
          <w:lang w:val="fr-FR"/>
        </w:rPr>
        <w:t>experts.</w:t>
      </w:r>
    </w:p>
    <w:p w14:paraId="348F6015" w14:textId="77777777" w:rsidR="001E3E7C" w:rsidRDefault="001E3E7C" w:rsidP="00B04BF3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fr-FR"/>
        </w:rPr>
      </w:pPr>
    </w:p>
    <w:p w14:paraId="7B65D98C" w14:textId="77777777" w:rsidR="001E3E7C" w:rsidRDefault="001E3E7C" w:rsidP="00153EC9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fr-FR"/>
        </w:rPr>
      </w:pPr>
    </w:p>
    <w:p w14:paraId="7999ECCD" w14:textId="77777777" w:rsidR="001E3E7C" w:rsidRDefault="00153EC9" w:rsidP="00153EC9">
      <w:pPr>
        <w:pStyle w:val="Endofdocument-Annex"/>
        <w:rPr>
          <w:lang w:val="fr-FR"/>
        </w:rPr>
      </w:pPr>
      <w:r w:rsidRPr="002A04A6">
        <w:rPr>
          <w:lang w:val="fr-FR"/>
        </w:rPr>
        <w:t>[</w:t>
      </w:r>
      <w:r w:rsidR="001E3E7C">
        <w:rPr>
          <w:lang w:val="fr-FR"/>
        </w:rPr>
        <w:t>Fin du</w:t>
      </w:r>
      <w:r w:rsidR="00187DCE" w:rsidRPr="002A04A6">
        <w:rPr>
          <w:lang w:val="fr-FR"/>
        </w:rPr>
        <w:t xml:space="preserve"> document</w:t>
      </w:r>
      <w:r w:rsidRPr="002A04A6">
        <w:rPr>
          <w:lang w:val="fr-FR"/>
        </w:rPr>
        <w:t>]</w:t>
      </w:r>
    </w:p>
    <w:sectPr w:rsidR="001E3E7C" w:rsidSect="005E46F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BD13" w14:textId="77777777" w:rsidR="005E46FD" w:rsidRDefault="005E46FD">
      <w:r>
        <w:separator/>
      </w:r>
    </w:p>
  </w:endnote>
  <w:endnote w:type="continuationSeparator" w:id="0">
    <w:p w14:paraId="1886812F" w14:textId="77777777" w:rsidR="005E46FD" w:rsidRDefault="005E46FD" w:rsidP="003B38C1">
      <w:r>
        <w:separator/>
      </w:r>
    </w:p>
    <w:p w14:paraId="7B169D45" w14:textId="77777777" w:rsidR="005E46FD" w:rsidRPr="003B38C1" w:rsidRDefault="005E46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F24B24" w14:textId="77777777" w:rsidR="005E46FD" w:rsidRPr="003B38C1" w:rsidRDefault="005E46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1678" w14:textId="77777777" w:rsidR="005E46FD" w:rsidRDefault="005E46FD">
      <w:r>
        <w:separator/>
      </w:r>
    </w:p>
  </w:footnote>
  <w:footnote w:type="continuationSeparator" w:id="0">
    <w:p w14:paraId="41D7EA33" w14:textId="77777777" w:rsidR="005E46FD" w:rsidRDefault="005E46FD" w:rsidP="008B60B2">
      <w:r>
        <w:separator/>
      </w:r>
    </w:p>
    <w:p w14:paraId="13408803" w14:textId="77777777" w:rsidR="005E46FD" w:rsidRPr="00ED77FB" w:rsidRDefault="005E46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E6EED87" w14:textId="77777777" w:rsidR="005E46FD" w:rsidRPr="00ED77FB" w:rsidRDefault="005E46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B31" w14:textId="77777777" w:rsidR="00EC4E49" w:rsidRDefault="005E46FD" w:rsidP="00477D6B">
    <w:pPr>
      <w:jc w:val="right"/>
    </w:pPr>
    <w:bookmarkStart w:id="6" w:name="Code2"/>
    <w:bookmarkEnd w:id="6"/>
    <w:r>
      <w:t>CWS/</w:t>
    </w:r>
    <w:r w:rsidR="00E41BD8">
      <w:t>7/10</w:t>
    </w:r>
  </w:p>
  <w:p w14:paraId="76D7D596" w14:textId="31BB455F" w:rsidR="00EC4E49" w:rsidRDefault="00EC4E49" w:rsidP="00477D6B">
    <w:pPr>
      <w:jc w:val="right"/>
    </w:pPr>
    <w:r>
      <w:t>page</w:t>
    </w:r>
    <w:r w:rsidR="00C701C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31DFF">
      <w:rPr>
        <w:noProof/>
      </w:rPr>
      <w:t>2</w:t>
    </w:r>
    <w:r>
      <w:fldChar w:fldCharType="end"/>
    </w:r>
  </w:p>
  <w:p w14:paraId="5129E3F0" w14:textId="77777777" w:rsidR="00EC4E49" w:rsidRDefault="00EC4E49" w:rsidP="00477D6B">
    <w:pPr>
      <w:jc w:val="right"/>
    </w:pPr>
  </w:p>
  <w:p w14:paraId="4F1A3F2F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F7A57"/>
    <w:multiLevelType w:val="hybridMultilevel"/>
    <w:tmpl w:val="505C2C74"/>
    <w:lvl w:ilvl="0" w:tplc="32567BC6">
      <w:start w:val="138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5144AE2"/>
    <w:multiLevelType w:val="hybridMultilevel"/>
    <w:tmpl w:val="4B94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7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E0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6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C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C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C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58861E4"/>
    <w:multiLevelType w:val="multilevel"/>
    <w:tmpl w:val="4AE6E7AA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3FB25CD"/>
    <w:multiLevelType w:val="hybridMultilevel"/>
    <w:tmpl w:val="D9E00FA4"/>
    <w:lvl w:ilvl="0" w:tplc="02167700">
      <w:start w:val="2"/>
      <w:numFmt w:val="bullet"/>
      <w:lvlText w:val="-"/>
      <w:lvlJc w:val="left"/>
      <w:pPr>
        <w:ind w:left="9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Brands, Designs &amp; DN\Brands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E46FD"/>
    <w:rsid w:val="00040516"/>
    <w:rsid w:val="00043CAA"/>
    <w:rsid w:val="00062721"/>
    <w:rsid w:val="00075432"/>
    <w:rsid w:val="00084C62"/>
    <w:rsid w:val="000968ED"/>
    <w:rsid w:val="000D3BD5"/>
    <w:rsid w:val="000E3BBA"/>
    <w:rsid w:val="000F4C87"/>
    <w:rsid w:val="000F5E56"/>
    <w:rsid w:val="00111C32"/>
    <w:rsid w:val="00114737"/>
    <w:rsid w:val="00122BBC"/>
    <w:rsid w:val="001362EE"/>
    <w:rsid w:val="00153EC9"/>
    <w:rsid w:val="001647D5"/>
    <w:rsid w:val="001832A6"/>
    <w:rsid w:val="00187DCE"/>
    <w:rsid w:val="00192C8F"/>
    <w:rsid w:val="001E3E7C"/>
    <w:rsid w:val="001E73E5"/>
    <w:rsid w:val="00207CD4"/>
    <w:rsid w:val="0021217E"/>
    <w:rsid w:val="002634C4"/>
    <w:rsid w:val="00270CEE"/>
    <w:rsid w:val="002928D3"/>
    <w:rsid w:val="002A04A6"/>
    <w:rsid w:val="002D6A65"/>
    <w:rsid w:val="002F1FE6"/>
    <w:rsid w:val="002F4E68"/>
    <w:rsid w:val="00312F7F"/>
    <w:rsid w:val="00316D57"/>
    <w:rsid w:val="003213D8"/>
    <w:rsid w:val="003473A1"/>
    <w:rsid w:val="00361450"/>
    <w:rsid w:val="00366EEB"/>
    <w:rsid w:val="003673CF"/>
    <w:rsid w:val="003845C1"/>
    <w:rsid w:val="00385643"/>
    <w:rsid w:val="00392EA9"/>
    <w:rsid w:val="003A6F89"/>
    <w:rsid w:val="003B37CF"/>
    <w:rsid w:val="003B38C1"/>
    <w:rsid w:val="003C0EF0"/>
    <w:rsid w:val="003D58AC"/>
    <w:rsid w:val="003F0B69"/>
    <w:rsid w:val="00411DAD"/>
    <w:rsid w:val="00423E3E"/>
    <w:rsid w:val="00427AF4"/>
    <w:rsid w:val="004647DA"/>
    <w:rsid w:val="00474062"/>
    <w:rsid w:val="00477D6B"/>
    <w:rsid w:val="004C3476"/>
    <w:rsid w:val="004E7438"/>
    <w:rsid w:val="0050181C"/>
    <w:rsid w:val="005019FF"/>
    <w:rsid w:val="0052221B"/>
    <w:rsid w:val="0053057A"/>
    <w:rsid w:val="005364F3"/>
    <w:rsid w:val="00560A29"/>
    <w:rsid w:val="00580B29"/>
    <w:rsid w:val="0058367A"/>
    <w:rsid w:val="005C6649"/>
    <w:rsid w:val="005E46FD"/>
    <w:rsid w:val="005E5D0A"/>
    <w:rsid w:val="005F0FB0"/>
    <w:rsid w:val="005F6481"/>
    <w:rsid w:val="00605827"/>
    <w:rsid w:val="006429AB"/>
    <w:rsid w:val="00646050"/>
    <w:rsid w:val="006713CA"/>
    <w:rsid w:val="00676C5C"/>
    <w:rsid w:val="006A7EC5"/>
    <w:rsid w:val="006C5C0E"/>
    <w:rsid w:val="006F7A08"/>
    <w:rsid w:val="00731DFF"/>
    <w:rsid w:val="00732738"/>
    <w:rsid w:val="0075447F"/>
    <w:rsid w:val="00761732"/>
    <w:rsid w:val="007734AE"/>
    <w:rsid w:val="00785CC0"/>
    <w:rsid w:val="007C2CB6"/>
    <w:rsid w:val="007D1613"/>
    <w:rsid w:val="007E0FFD"/>
    <w:rsid w:val="007E4C0E"/>
    <w:rsid w:val="007E5CC5"/>
    <w:rsid w:val="00804EFC"/>
    <w:rsid w:val="00811BA6"/>
    <w:rsid w:val="00890D9E"/>
    <w:rsid w:val="008A134B"/>
    <w:rsid w:val="008B2CC1"/>
    <w:rsid w:val="008B60B2"/>
    <w:rsid w:val="008B6DB9"/>
    <w:rsid w:val="008C0ABC"/>
    <w:rsid w:val="008C5CDD"/>
    <w:rsid w:val="0090731E"/>
    <w:rsid w:val="00913B32"/>
    <w:rsid w:val="00916EE2"/>
    <w:rsid w:val="00966A22"/>
    <w:rsid w:val="0096722F"/>
    <w:rsid w:val="00980843"/>
    <w:rsid w:val="00993BC8"/>
    <w:rsid w:val="00993D0F"/>
    <w:rsid w:val="009B5006"/>
    <w:rsid w:val="009B6B26"/>
    <w:rsid w:val="009C7DB0"/>
    <w:rsid w:val="009E2791"/>
    <w:rsid w:val="009E286B"/>
    <w:rsid w:val="009E3F6F"/>
    <w:rsid w:val="009F499F"/>
    <w:rsid w:val="00A37342"/>
    <w:rsid w:val="00A42DAF"/>
    <w:rsid w:val="00A45BD8"/>
    <w:rsid w:val="00A763DA"/>
    <w:rsid w:val="00A869B7"/>
    <w:rsid w:val="00AC205C"/>
    <w:rsid w:val="00AD03A3"/>
    <w:rsid w:val="00AF0A6B"/>
    <w:rsid w:val="00B04BF3"/>
    <w:rsid w:val="00B05A69"/>
    <w:rsid w:val="00B70A5E"/>
    <w:rsid w:val="00B9734B"/>
    <w:rsid w:val="00BA30E2"/>
    <w:rsid w:val="00C0065B"/>
    <w:rsid w:val="00C056A3"/>
    <w:rsid w:val="00C11BFE"/>
    <w:rsid w:val="00C32CED"/>
    <w:rsid w:val="00C426B4"/>
    <w:rsid w:val="00C5068F"/>
    <w:rsid w:val="00C5787E"/>
    <w:rsid w:val="00C701C9"/>
    <w:rsid w:val="00C86D74"/>
    <w:rsid w:val="00CA1B58"/>
    <w:rsid w:val="00CD04F1"/>
    <w:rsid w:val="00CD59F2"/>
    <w:rsid w:val="00CD6B17"/>
    <w:rsid w:val="00D11FF3"/>
    <w:rsid w:val="00D3124F"/>
    <w:rsid w:val="00D31D2C"/>
    <w:rsid w:val="00D45252"/>
    <w:rsid w:val="00D51B40"/>
    <w:rsid w:val="00D63876"/>
    <w:rsid w:val="00D65CAE"/>
    <w:rsid w:val="00D71B4D"/>
    <w:rsid w:val="00D93D55"/>
    <w:rsid w:val="00D97A95"/>
    <w:rsid w:val="00DC723F"/>
    <w:rsid w:val="00DF1EC0"/>
    <w:rsid w:val="00E15015"/>
    <w:rsid w:val="00E253DB"/>
    <w:rsid w:val="00E335FE"/>
    <w:rsid w:val="00E41BD8"/>
    <w:rsid w:val="00E56DA2"/>
    <w:rsid w:val="00EA7D6E"/>
    <w:rsid w:val="00EB3353"/>
    <w:rsid w:val="00EC4E49"/>
    <w:rsid w:val="00ED77FB"/>
    <w:rsid w:val="00EE45FA"/>
    <w:rsid w:val="00F66152"/>
    <w:rsid w:val="00FA17FC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600A7DF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153EC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53EC9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7E5CC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80B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B2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B2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0B29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DF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F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F5E6-65F4-434C-B75E-DB0E0A9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825</Words>
  <Characters>4542</Characters>
  <Application>Microsoft Office Word</Application>
  <DocSecurity>0</DocSecurity>
  <Lines>151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CWS/7/10 (in French)</vt:lpstr>
      <vt:lpstr>CWS/7/10 (in English)</vt:lpstr>
    </vt:vector>
  </TitlesOfParts>
  <Company>WIPO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CWS/7/10 (in French)</dc:title>
  <dc:subject>RAPPORT DE L’ÉQUIPE D’EXPERTS CHARGEE DE LA TRANSFORMATION NUMERIQUE SUR LA TACHE N° 62</dc:subject>
  <dc:creator>WIPO</dc:creator>
  <cp:keywords>CWS, WIPO</cp:keywords>
  <cp:lastModifiedBy>DRAKE Sophie</cp:lastModifiedBy>
  <cp:revision>10</cp:revision>
  <cp:lastPrinted>2019-05-21T09:03:00Z</cp:lastPrinted>
  <dcterms:created xsi:type="dcterms:W3CDTF">2019-05-21T13:35:00Z</dcterms:created>
  <dcterms:modified xsi:type="dcterms:W3CDTF">2019-05-27T07:33:00Z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