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0031E" w:rsidRPr="004E5AC7" w:rsidTr="0011477A">
        <w:trPr>
          <w:trHeight w:val="1977"/>
        </w:trPr>
        <w:tc>
          <w:tcPr>
            <w:tcW w:w="4594" w:type="dxa"/>
            <w:tcBorders>
              <w:bottom w:val="single" w:sz="4" w:space="0" w:color="auto"/>
            </w:tcBorders>
            <w:tcMar>
              <w:bottom w:w="170" w:type="dxa"/>
            </w:tcMar>
          </w:tcPr>
          <w:p w:rsidR="00A0031E" w:rsidRPr="004E5AC7" w:rsidRDefault="00A0031E" w:rsidP="0011477A">
            <w:pPr>
              <w:jc w:val="both"/>
            </w:pPr>
            <w:bookmarkStart w:id="0" w:name="TitleOfDoc"/>
            <w:bookmarkEnd w:id="0"/>
            <w:r>
              <w:rPr>
                <w:noProof/>
              </w:rPr>
              <w:drawing>
                <wp:anchor distT="0" distB="0" distL="114300" distR="114300" simplePos="0" relativeHeight="251659264" behindDoc="1" locked="0" layoutInCell="0" allowOverlap="1" wp14:anchorId="7FCA595F" wp14:editId="10D3A101">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0031E" w:rsidRPr="004E5AC7" w:rsidRDefault="00A0031E" w:rsidP="0011477A"/>
        </w:tc>
        <w:tc>
          <w:tcPr>
            <w:tcW w:w="425" w:type="dxa"/>
            <w:tcBorders>
              <w:bottom w:val="single" w:sz="4" w:space="0" w:color="auto"/>
            </w:tcBorders>
            <w:tcMar>
              <w:left w:w="0" w:type="dxa"/>
              <w:right w:w="0" w:type="dxa"/>
            </w:tcMar>
          </w:tcPr>
          <w:p w:rsidR="00A0031E" w:rsidRPr="004E5AC7" w:rsidRDefault="00A0031E" w:rsidP="0011477A">
            <w:pPr>
              <w:jc w:val="right"/>
            </w:pPr>
            <w:r w:rsidRPr="004E5AC7">
              <w:rPr>
                <w:b/>
                <w:sz w:val="40"/>
                <w:szCs w:val="40"/>
              </w:rPr>
              <w:t>C</w:t>
            </w:r>
          </w:p>
        </w:tc>
      </w:tr>
      <w:tr w:rsidR="00A0031E" w:rsidRPr="004E5AC7" w:rsidTr="0011477A">
        <w:trPr>
          <w:trHeight w:hRule="exact" w:val="340"/>
        </w:trPr>
        <w:tc>
          <w:tcPr>
            <w:tcW w:w="9356" w:type="dxa"/>
            <w:gridSpan w:val="3"/>
            <w:tcBorders>
              <w:top w:val="single" w:sz="4" w:space="0" w:color="auto"/>
            </w:tcBorders>
            <w:tcMar>
              <w:top w:w="170" w:type="dxa"/>
              <w:left w:w="0" w:type="dxa"/>
              <w:right w:w="0" w:type="dxa"/>
            </w:tcMar>
            <w:vAlign w:val="bottom"/>
          </w:tcPr>
          <w:p w:rsidR="00A0031E" w:rsidRPr="004E5AC7" w:rsidRDefault="00A0031E" w:rsidP="00A0031E">
            <w:pPr>
              <w:jc w:val="right"/>
              <w:rPr>
                <w:rFonts w:ascii="Arial Black" w:hAnsi="Arial Black"/>
                <w:caps/>
                <w:sz w:val="15"/>
              </w:rPr>
            </w:pPr>
            <w:r>
              <w:rPr>
                <w:rFonts w:ascii="Arial Black" w:hAnsi="Arial Black" w:hint="eastAsia"/>
                <w:caps/>
                <w:sz w:val="15"/>
              </w:rPr>
              <w:t>wipo</w:t>
            </w:r>
            <w:r w:rsidRPr="004E5AC7">
              <w:rPr>
                <w:rFonts w:ascii="Arial Black" w:hAnsi="Arial Black"/>
                <w:caps/>
                <w:sz w:val="15"/>
              </w:rPr>
              <w:t>/</w:t>
            </w:r>
            <w:r>
              <w:rPr>
                <w:rFonts w:ascii="Arial Black" w:hAnsi="Arial Black" w:hint="eastAsia"/>
                <w:caps/>
                <w:sz w:val="15"/>
              </w:rPr>
              <w:t>ace/9</w:t>
            </w:r>
            <w:r w:rsidRPr="004E5AC7">
              <w:rPr>
                <w:rFonts w:ascii="Arial Black" w:hAnsi="Arial Black"/>
                <w:caps/>
                <w:sz w:val="15"/>
              </w:rPr>
              <w:t>/</w:t>
            </w:r>
            <w:r>
              <w:rPr>
                <w:rFonts w:ascii="Arial Black" w:hAnsi="Arial Black" w:hint="eastAsia"/>
                <w:caps/>
                <w:sz w:val="15"/>
              </w:rPr>
              <w:t>9</w:t>
            </w:r>
            <w:bookmarkStart w:id="1" w:name="Code"/>
            <w:bookmarkEnd w:id="1"/>
          </w:p>
        </w:tc>
      </w:tr>
      <w:tr w:rsidR="00A0031E" w:rsidRPr="004E5AC7" w:rsidTr="0011477A">
        <w:trPr>
          <w:trHeight w:hRule="exact" w:val="170"/>
        </w:trPr>
        <w:tc>
          <w:tcPr>
            <w:tcW w:w="9356" w:type="dxa"/>
            <w:gridSpan w:val="3"/>
            <w:noWrap/>
            <w:tcMar>
              <w:left w:w="0" w:type="dxa"/>
              <w:right w:w="0" w:type="dxa"/>
            </w:tcMar>
            <w:vAlign w:val="bottom"/>
          </w:tcPr>
          <w:p w:rsidR="00A0031E" w:rsidRPr="004E5AC7" w:rsidRDefault="00A0031E" w:rsidP="0011477A">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A0031E" w:rsidRPr="004E5AC7" w:rsidTr="0011477A">
        <w:trPr>
          <w:trHeight w:hRule="exact" w:val="198"/>
        </w:trPr>
        <w:tc>
          <w:tcPr>
            <w:tcW w:w="9356" w:type="dxa"/>
            <w:gridSpan w:val="3"/>
            <w:tcMar>
              <w:left w:w="0" w:type="dxa"/>
              <w:right w:w="0" w:type="dxa"/>
            </w:tcMar>
            <w:vAlign w:val="bottom"/>
          </w:tcPr>
          <w:p w:rsidR="00A0031E" w:rsidRPr="004E5AC7" w:rsidRDefault="00A0031E" w:rsidP="00A0031E">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2013</w:t>
            </w:r>
            <w:r w:rsidRPr="004E5AC7">
              <w:rPr>
                <w:rFonts w:ascii="SimHei" w:eastAsia="SimHei" w:hAnsi="Times New Roman" w:hint="eastAsia"/>
                <w:b/>
                <w:sz w:val="15"/>
                <w:szCs w:val="15"/>
              </w:rPr>
              <w:t>年</w:t>
            </w:r>
            <w:r>
              <w:rPr>
                <w:rFonts w:ascii="Arial Black" w:eastAsia="SimHei" w:hAnsi="Arial Black" w:hint="eastAsia"/>
                <w:b/>
                <w:sz w:val="15"/>
                <w:szCs w:val="15"/>
                <w:lang w:val="pt-BR"/>
              </w:rPr>
              <w:t>1</w:t>
            </w:r>
            <w:r>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Pr>
                <w:rFonts w:ascii="Arial Black" w:eastAsia="SimHei" w:hAnsi="Arial Black" w:hint="eastAsia"/>
                <w:b/>
                <w:sz w:val="15"/>
                <w:szCs w:val="15"/>
              </w:rPr>
              <w:t>2</w:t>
            </w:r>
            <w:r>
              <w:rPr>
                <w:rFonts w:ascii="Arial Black" w:eastAsia="SimHei" w:hAnsi="Arial Black" w:hint="eastAsia"/>
                <w:b/>
                <w:sz w:val="15"/>
                <w:szCs w:val="15"/>
              </w:rPr>
              <w:t>0</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8227B7" w:rsidRDefault="00A0031E" w:rsidP="00A0031E">
      <w:pPr>
        <w:spacing w:line="360" w:lineRule="atLeast"/>
        <w:rPr>
          <w:rFonts w:ascii="SimHei" w:eastAsia="SimHei"/>
          <w:sz w:val="28"/>
          <w:szCs w:val="28"/>
        </w:rPr>
      </w:pPr>
      <w:r>
        <w:rPr>
          <w:rFonts w:ascii="SimHei" w:eastAsia="SimHei" w:hint="eastAsia"/>
          <w:sz w:val="28"/>
          <w:szCs w:val="28"/>
        </w:rPr>
        <w:t>执法咨询委员会</w:t>
      </w:r>
    </w:p>
    <w:p w:rsidR="00A0031E" w:rsidRPr="004E5AC7" w:rsidRDefault="00A0031E" w:rsidP="00A0031E">
      <w:pPr>
        <w:rPr>
          <w:szCs w:val="22"/>
        </w:rPr>
      </w:pPr>
    </w:p>
    <w:p w:rsidR="00A0031E" w:rsidRPr="004E5AC7" w:rsidRDefault="00A0031E" w:rsidP="00A0031E">
      <w:pPr>
        <w:rPr>
          <w:sz w:val="24"/>
          <w:szCs w:val="24"/>
        </w:rPr>
      </w:pPr>
    </w:p>
    <w:p w:rsidR="00A0031E" w:rsidRPr="008227B7" w:rsidRDefault="00A0031E" w:rsidP="00A0031E">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九</w:t>
      </w:r>
      <w:r w:rsidRPr="008227B7">
        <w:rPr>
          <w:rFonts w:ascii="KaiTi" w:eastAsia="KaiTi" w:hint="eastAsia"/>
          <w:b/>
          <w:sz w:val="24"/>
          <w:szCs w:val="24"/>
        </w:rPr>
        <w:t>届会议</w:t>
      </w:r>
    </w:p>
    <w:p w:rsidR="00A0031E" w:rsidRPr="008227B7" w:rsidRDefault="00A0031E" w:rsidP="00A0031E">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3</w:t>
      </w:r>
      <w:r w:rsidRPr="008227B7">
        <w:rPr>
          <w:rFonts w:ascii="KaiTi" w:eastAsia="KaiTi" w:hAnsi="KaiTi" w:hint="eastAsia"/>
          <w:b/>
          <w:sz w:val="24"/>
          <w:szCs w:val="24"/>
        </w:rPr>
        <w:t>月</w:t>
      </w:r>
      <w:r>
        <w:rPr>
          <w:rFonts w:ascii="KaiTi" w:eastAsia="KaiTi" w:hAnsi="KaiTi" w:hint="eastAsia"/>
          <w:sz w:val="24"/>
          <w:szCs w:val="24"/>
        </w:rPr>
        <w:t>3</w:t>
      </w:r>
      <w:r w:rsidRPr="008227B7">
        <w:rPr>
          <w:rFonts w:ascii="KaiTi" w:eastAsia="KaiTi" w:hAnsi="KaiTi" w:hint="eastAsia"/>
          <w:b/>
          <w:sz w:val="24"/>
          <w:szCs w:val="24"/>
        </w:rPr>
        <w:t>日至</w:t>
      </w:r>
      <w:r>
        <w:rPr>
          <w:rFonts w:ascii="KaiTi" w:eastAsia="KaiTi" w:hAnsi="KaiTi" w:hint="eastAsia"/>
          <w:sz w:val="24"/>
          <w:szCs w:val="24"/>
        </w:rPr>
        <w:t>5</w:t>
      </w:r>
      <w:r w:rsidRPr="008227B7">
        <w:rPr>
          <w:rFonts w:ascii="KaiTi" w:eastAsia="KaiTi" w:hAnsi="KaiTi" w:hint="eastAsia"/>
          <w:b/>
          <w:sz w:val="24"/>
          <w:szCs w:val="24"/>
        </w:rPr>
        <w:t>日，日内瓦</w:t>
      </w:r>
    </w:p>
    <w:p w:rsidR="00A0031E" w:rsidRPr="004E5AC7" w:rsidRDefault="00A0031E" w:rsidP="00A0031E">
      <w:bookmarkStart w:id="3" w:name="_GoBack"/>
      <w:bookmarkEnd w:id="3"/>
    </w:p>
    <w:p w:rsidR="00A0031E" w:rsidRPr="004E5AC7" w:rsidRDefault="00A0031E" w:rsidP="00A0031E"/>
    <w:p w:rsidR="00A0031E" w:rsidRPr="004E5AC7" w:rsidRDefault="00A0031E" w:rsidP="00A0031E"/>
    <w:p w:rsidR="00216CCF" w:rsidRPr="008B2CA1" w:rsidRDefault="00216CCF">
      <w:pPr>
        <w:rPr>
          <w:rFonts w:ascii="KaiTi" w:eastAsia="KaiTi" w:hAnsi="KaiTi" w:cs="Times New Roman"/>
          <w:kern w:val="2"/>
          <w:sz w:val="24"/>
          <w:szCs w:val="32"/>
          <w:vertAlign w:val="superscript"/>
        </w:rPr>
      </w:pPr>
      <w:r w:rsidRPr="008B2CA1">
        <w:rPr>
          <w:rFonts w:ascii="KaiTi" w:eastAsia="KaiTi" w:hAnsi="KaiTi" w:cs="Times New Roman" w:hint="eastAsia"/>
          <w:kern w:val="2"/>
          <w:sz w:val="24"/>
          <w:szCs w:val="32"/>
        </w:rPr>
        <w:t>通过替代性争议解决方案解决知识产权问题</w:t>
      </w:r>
      <w:r w:rsidRPr="008B2CA1">
        <w:rPr>
          <w:rFonts w:ascii="KaiTi" w:eastAsia="KaiTi" w:hAnsi="KaiTi" w:cs="Times New Roman"/>
          <w:kern w:val="2"/>
          <w:sz w:val="24"/>
          <w:szCs w:val="32"/>
          <w:vertAlign w:val="superscript"/>
        </w:rPr>
        <w:t>*</w:t>
      </w:r>
    </w:p>
    <w:p w:rsidR="00216CCF" w:rsidRDefault="00216CCF"/>
    <w:p w:rsidR="00216CCF" w:rsidRPr="008B2CA1" w:rsidRDefault="00216CCF" w:rsidP="008B2CA1">
      <w:pPr>
        <w:rPr>
          <w:rFonts w:ascii="KaiTi" w:eastAsia="KaiTi" w:hAnsi="STKaiti" w:cs="Times New Roman"/>
          <w:i/>
          <w:kern w:val="2"/>
          <w:sz w:val="21"/>
          <w:szCs w:val="24"/>
        </w:rPr>
      </w:pPr>
      <w:bookmarkStart w:id="4" w:name="Prepared"/>
      <w:bookmarkStart w:id="5" w:name="_CITRUS_END"/>
      <w:bookmarkEnd w:id="4"/>
      <w:r w:rsidRPr="008B2CA1">
        <w:rPr>
          <w:rFonts w:ascii="KaiTi" w:eastAsia="KaiTi" w:hAnsi="STKaiti" w:cs="Times New Roman" w:hint="eastAsia"/>
          <w:i/>
          <w:kern w:val="2"/>
          <w:sz w:val="21"/>
          <w:szCs w:val="24"/>
        </w:rPr>
        <w:t>美利坚合众国西加利福尼亚法学院创新问题解决中心共同主任</w:t>
      </w:r>
      <w:r w:rsidR="0054153F">
        <w:rPr>
          <w:rFonts w:ascii="KaiTi" w:eastAsia="KaiTi" w:hAnsi="STKaiti" w:cs="Times New Roman" w:hint="eastAsia"/>
          <w:i/>
          <w:kern w:val="2"/>
          <w:sz w:val="21"/>
          <w:szCs w:val="24"/>
        </w:rPr>
        <w:t xml:space="preserve">Thomas </w:t>
      </w:r>
      <w:proofErr w:type="spellStart"/>
      <w:r w:rsidR="0054153F">
        <w:rPr>
          <w:rFonts w:ascii="KaiTi" w:eastAsia="KaiTi" w:hAnsi="STKaiti" w:cs="Times New Roman" w:hint="eastAsia"/>
          <w:i/>
          <w:kern w:val="2"/>
          <w:sz w:val="21"/>
          <w:szCs w:val="24"/>
        </w:rPr>
        <w:t>D.</w:t>
      </w:r>
      <w:r w:rsidRPr="008B2CA1">
        <w:rPr>
          <w:rFonts w:ascii="KaiTi" w:eastAsia="KaiTi" w:hAnsi="STKaiti" w:cs="Times New Roman" w:hint="eastAsia"/>
          <w:i/>
          <w:kern w:val="2"/>
          <w:sz w:val="21"/>
          <w:szCs w:val="24"/>
        </w:rPr>
        <w:t>Barton</w:t>
      </w:r>
      <w:proofErr w:type="spellEnd"/>
      <w:r w:rsidRPr="008B2CA1">
        <w:rPr>
          <w:rFonts w:ascii="KaiTi" w:eastAsia="KaiTi" w:hAnsi="STKaiti" w:cs="Times New Roman" w:hint="eastAsia"/>
          <w:i/>
          <w:kern w:val="2"/>
          <w:sz w:val="21"/>
          <w:szCs w:val="24"/>
        </w:rPr>
        <w:t>教授</w:t>
      </w:r>
    </w:p>
    <w:p w:rsidR="00216CCF" w:rsidRPr="008B2CA1" w:rsidRDefault="00216CCF" w:rsidP="008B2CA1">
      <w:pPr>
        <w:rPr>
          <w:rFonts w:ascii="KaiTi" w:eastAsia="KaiTi" w:hAnsi="KaiTi" w:cs="Times New Roman"/>
          <w:kern w:val="2"/>
          <w:sz w:val="24"/>
          <w:szCs w:val="32"/>
          <w:vertAlign w:val="superscript"/>
        </w:rPr>
      </w:pPr>
      <w:r w:rsidRPr="008B2CA1">
        <w:rPr>
          <w:rFonts w:ascii="KaiTi" w:eastAsia="KaiTi" w:hAnsi="STKaiti" w:cs="Times New Roman" w:hint="eastAsia"/>
          <w:i/>
          <w:kern w:val="2"/>
          <w:sz w:val="21"/>
          <w:szCs w:val="24"/>
        </w:rPr>
        <w:t>以及中心共同主任</w:t>
      </w:r>
      <w:r w:rsidR="0054153F">
        <w:rPr>
          <w:rFonts w:ascii="KaiTi" w:eastAsia="KaiTi" w:hAnsi="STKaiti" w:cs="Times New Roman"/>
          <w:i/>
          <w:kern w:val="2"/>
          <w:sz w:val="21"/>
          <w:szCs w:val="24"/>
        </w:rPr>
        <w:t xml:space="preserve">James </w:t>
      </w:r>
      <w:proofErr w:type="spellStart"/>
      <w:r w:rsidR="0054153F">
        <w:rPr>
          <w:rFonts w:ascii="KaiTi" w:eastAsia="KaiTi" w:hAnsi="STKaiti" w:cs="Times New Roman"/>
          <w:i/>
          <w:kern w:val="2"/>
          <w:sz w:val="21"/>
          <w:szCs w:val="24"/>
        </w:rPr>
        <w:t>M.</w:t>
      </w:r>
      <w:r w:rsidRPr="008B2CA1">
        <w:rPr>
          <w:rFonts w:ascii="KaiTi" w:eastAsia="KaiTi" w:hAnsi="STKaiti" w:cs="Times New Roman"/>
          <w:i/>
          <w:kern w:val="2"/>
          <w:sz w:val="21"/>
          <w:szCs w:val="24"/>
        </w:rPr>
        <w:t>Cooper</w:t>
      </w:r>
      <w:proofErr w:type="spellEnd"/>
      <w:r w:rsidRPr="008B2CA1">
        <w:rPr>
          <w:rFonts w:ascii="KaiTi" w:eastAsia="KaiTi" w:hAnsi="STKaiti" w:cs="Times New Roman" w:hint="eastAsia"/>
          <w:i/>
          <w:kern w:val="2"/>
          <w:sz w:val="21"/>
          <w:szCs w:val="24"/>
        </w:rPr>
        <w:t>教授编拟</w:t>
      </w:r>
      <w:r w:rsidRPr="008B2CA1">
        <w:rPr>
          <w:rFonts w:ascii="KaiTi" w:eastAsia="KaiTi" w:hAnsi="KaiTi" w:cs="Times New Roman"/>
          <w:kern w:val="2"/>
          <w:sz w:val="24"/>
          <w:szCs w:val="32"/>
          <w:vertAlign w:val="superscript"/>
        </w:rPr>
        <w:t>**</w:t>
      </w:r>
    </w:p>
    <w:p w:rsidR="00216CCF" w:rsidRDefault="00216CCF">
      <w:pPr>
        <w:tabs>
          <w:tab w:val="center" w:pos="4680"/>
        </w:tabs>
        <w:rPr>
          <w:i/>
          <w:color w:val="000000"/>
          <w:szCs w:val="22"/>
        </w:rPr>
      </w:pPr>
    </w:p>
    <w:bookmarkEnd w:id="5"/>
    <w:p w:rsidR="00216CCF" w:rsidRDefault="00216CCF">
      <w:pPr>
        <w:tabs>
          <w:tab w:val="center" w:pos="4680"/>
        </w:tabs>
        <w:rPr>
          <w:rFonts w:eastAsia="Times New Roman"/>
          <w:b/>
          <w:szCs w:val="22"/>
        </w:rPr>
      </w:pPr>
    </w:p>
    <w:p w:rsidR="00216CCF" w:rsidRDefault="00216CCF">
      <w:pPr>
        <w:tabs>
          <w:tab w:val="center" w:pos="4680"/>
        </w:tabs>
        <w:rPr>
          <w:rFonts w:eastAsiaTheme="minorEastAsia"/>
          <w:szCs w:val="22"/>
        </w:rPr>
      </w:pPr>
    </w:p>
    <w:p w:rsidR="008B2CA1" w:rsidRPr="008B2CA1" w:rsidRDefault="008B2CA1">
      <w:pPr>
        <w:tabs>
          <w:tab w:val="center" w:pos="4680"/>
        </w:tabs>
        <w:rPr>
          <w:rFonts w:eastAsiaTheme="minorEastAsia"/>
          <w:szCs w:val="22"/>
        </w:rPr>
      </w:pPr>
    </w:p>
    <w:p w:rsidR="00216CCF" w:rsidRPr="00556F58" w:rsidRDefault="008075E4" w:rsidP="00556F58">
      <w:pPr>
        <w:pStyle w:val="1"/>
        <w:adjustRightInd w:val="0"/>
        <w:spacing w:before="0" w:afterLines="100" w:after="240" w:line="340" w:lineRule="atLeast"/>
        <w:rPr>
          <w:rFonts w:ascii="SimHei" w:eastAsia="SimHei" w:hAnsi="SimHei"/>
          <w:b w:val="0"/>
          <w:sz w:val="21"/>
          <w:szCs w:val="21"/>
        </w:rPr>
      </w:pPr>
      <w:r w:rsidRPr="00556F58">
        <w:rPr>
          <w:rFonts w:ascii="SimHei" w:eastAsia="SimHei" w:hAnsi="SimHei" w:hint="eastAsia"/>
          <w:b w:val="0"/>
          <w:sz w:val="21"/>
          <w:szCs w:val="21"/>
        </w:rPr>
        <w:t>一、</w:t>
      </w:r>
      <w:r w:rsidR="00216CCF" w:rsidRPr="00556F58">
        <w:rPr>
          <w:rFonts w:ascii="SimHei" w:eastAsia="SimHei" w:hAnsi="SimHei" w:hint="eastAsia"/>
          <w:b w:val="0"/>
          <w:sz w:val="21"/>
          <w:szCs w:val="21"/>
        </w:rPr>
        <w:t>导</w:t>
      </w:r>
      <w:r w:rsidRPr="00556F58">
        <w:rPr>
          <w:rFonts w:ascii="SimHei" w:eastAsia="SimHei" w:hAnsi="SimHei" w:hint="eastAsia"/>
          <w:b w:val="0"/>
          <w:sz w:val="21"/>
          <w:szCs w:val="21"/>
        </w:rPr>
        <w:t xml:space="preserve">  </w:t>
      </w:r>
      <w:r w:rsidR="00216CCF" w:rsidRPr="00556F58">
        <w:rPr>
          <w:rFonts w:ascii="SimHei" w:eastAsia="SimHei" w:hAnsi="SimHei" w:hint="eastAsia"/>
          <w:b w:val="0"/>
          <w:sz w:val="21"/>
          <w:szCs w:val="21"/>
        </w:rPr>
        <w:t>言</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下文对一些用于国内或国际场合解决知识产权(IP)争议的替代性争议解决方案(ADR)方法进行了简要说明。其包括预防、私下讨论和协商、向顾问咨询或中立的、早期中立的评估、调解、在线和解程序、仲裁、专家决定、以及以法庭为中心的和解方式。</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这些替代性方法并不相互抵触，相反能够结合起来用于有效地解决问题。运用这些方法的基本顺序如下：</w:t>
      </w:r>
    </w:p>
    <w:p w:rsidR="00216CCF" w:rsidRPr="008075E4" w:rsidRDefault="00216CCF" w:rsidP="00556F58">
      <w:pPr>
        <w:pStyle w:val="ONUMFS"/>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首先，要预防问题的出现。</w:t>
      </w:r>
    </w:p>
    <w:p w:rsidR="00216CCF" w:rsidRPr="008075E4" w:rsidRDefault="00216CCF" w:rsidP="00556F58">
      <w:pPr>
        <w:pStyle w:val="ONUMFS"/>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但是如果问题已然出现，那么就应利用自助办法：试图找到好的建议并启动双方私下的协商。</w:t>
      </w:r>
    </w:p>
    <w:p w:rsidR="00216CCF" w:rsidRPr="008075E4" w:rsidRDefault="00216CCF" w:rsidP="00556F58">
      <w:pPr>
        <w:pStyle w:val="ONUMFS"/>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第三，如果协商无效，应请第三方通过评估或调解来促进协商的进行。</w:t>
      </w:r>
    </w:p>
    <w:p w:rsidR="00216CCF" w:rsidRPr="008075E4" w:rsidRDefault="00216CCF" w:rsidP="00556F58">
      <w:pPr>
        <w:pStyle w:val="ONUMFS"/>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第四，如果这也无效，那么应授权第三方来通过专家决定、仲裁、专门法庭或传统诉讼来对该问题</w:t>
      </w:r>
      <w:proofErr w:type="gramStart"/>
      <w:r w:rsidRPr="008075E4">
        <w:rPr>
          <w:rFonts w:ascii="SimSun" w:hAnsi="SimSun" w:hint="eastAsia"/>
          <w:sz w:val="21"/>
          <w:szCs w:val="21"/>
        </w:rPr>
        <w:t>作出</w:t>
      </w:r>
      <w:proofErr w:type="gramEnd"/>
      <w:r w:rsidRPr="008075E4">
        <w:rPr>
          <w:rFonts w:ascii="SimSun" w:hAnsi="SimSun" w:hint="eastAsia"/>
          <w:sz w:val="21"/>
          <w:szCs w:val="21"/>
        </w:rPr>
        <w:t>裁决。</w:t>
      </w:r>
    </w:p>
    <w:p w:rsidR="00216CCF" w:rsidRPr="00556F58" w:rsidRDefault="008075E4" w:rsidP="00556F58">
      <w:pPr>
        <w:pStyle w:val="1"/>
        <w:adjustRightInd w:val="0"/>
        <w:spacing w:before="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lastRenderedPageBreak/>
        <w:t>二、</w:t>
      </w:r>
      <w:r w:rsidR="00216CCF" w:rsidRPr="00556F58">
        <w:rPr>
          <w:rFonts w:ascii="SimHei" w:eastAsia="SimHei" w:hAnsi="SimHei" w:hint="eastAsia"/>
          <w:b w:val="0"/>
          <w:sz w:val="21"/>
          <w:szCs w:val="21"/>
        </w:rPr>
        <w:t>预</w:t>
      </w:r>
      <w:r w:rsidRPr="00556F58">
        <w:rPr>
          <w:rFonts w:ascii="SimHei" w:eastAsia="SimHei" w:hAnsi="SimHei" w:hint="eastAsia"/>
          <w:b w:val="0"/>
          <w:sz w:val="21"/>
          <w:szCs w:val="21"/>
        </w:rPr>
        <w:t xml:space="preserve">  </w:t>
      </w:r>
      <w:r w:rsidR="00216CCF" w:rsidRPr="00556F58">
        <w:rPr>
          <w:rFonts w:ascii="SimHei" w:eastAsia="SimHei" w:hAnsi="SimHei" w:hint="eastAsia"/>
          <w:b w:val="0"/>
          <w:sz w:val="21"/>
          <w:szCs w:val="21"/>
        </w:rPr>
        <w:t>防</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技术上而言，预防并非属于替代性争议解决方案，因为有效的预防意味着甚至都没有争议</w:t>
      </w:r>
      <w:r w:rsidRPr="008075E4">
        <w:rPr>
          <w:rFonts w:ascii="SimSun" w:hAnsi="SimSun"/>
          <w:sz w:val="21"/>
          <w:szCs w:val="21"/>
          <w:vertAlign w:val="superscript"/>
        </w:rPr>
        <w:footnoteReference w:id="2"/>
      </w:r>
      <w:r w:rsidR="00F06C72">
        <w:rPr>
          <w:rFonts w:ascii="SimSun" w:hAnsi="SimSun" w:hint="eastAsia"/>
          <w:sz w:val="21"/>
          <w:szCs w:val="21"/>
        </w:rPr>
        <w:t>。</w:t>
      </w:r>
      <w:r w:rsidRPr="008075E4">
        <w:rPr>
          <w:rFonts w:ascii="SimSun" w:hAnsi="SimSun" w:hint="eastAsia"/>
          <w:sz w:val="21"/>
          <w:szCs w:val="21"/>
        </w:rPr>
        <w:t>但是应当积极地考虑预防性措施，并且在提供和保护知识产权的法律制度中对其加以规定。相对来讲，预防性措施往往成本低廉。一旦产生问题或争议，解决这些问题的程序会更加昂贵，风险也更高。此外，有效开展预防性措施需要在实质上明确制度中其他所有方面，并力求对这些方面如何共同发挥作用加以理解和沟通。这些努力本身往往会揭示出那些能够消除的难点，同时也会搭建起一个沟通网络，进行即时反馈并改进制度。</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最佳的预防性措施包括分散式的自我纠正行为：令尽可能多的人具备知识和手段，来迅速且低成本地调整其行为，从而避免侵犯他人权利。但是预防往往始自对既定制度内部的纠纷或争议源进行一次组织管理严密的专家评估。对长期存在的问题加以修正，以减少非常态的可能。最后，提供资源，以便制度的使用者能够根据其对制度的规则和价值的理解</w:t>
      </w:r>
      <w:proofErr w:type="gramStart"/>
      <w:r w:rsidRPr="008075E4">
        <w:rPr>
          <w:rFonts w:ascii="SimSun" w:hAnsi="SimSun" w:hint="eastAsia"/>
          <w:sz w:val="21"/>
          <w:szCs w:val="21"/>
        </w:rPr>
        <w:t>来作</w:t>
      </w:r>
      <w:proofErr w:type="gramEnd"/>
      <w:r w:rsidRPr="008075E4">
        <w:rPr>
          <w:rFonts w:ascii="SimSun" w:hAnsi="SimSun" w:hint="eastAsia"/>
          <w:sz w:val="21"/>
          <w:szCs w:val="21"/>
        </w:rPr>
        <w:t>出其自身的调整。</w:t>
      </w:r>
    </w:p>
    <w:p w:rsidR="00216CCF" w:rsidRPr="008075E4" w:rsidRDefault="00216CCF" w:rsidP="001E1A3F">
      <w:pPr>
        <w:tabs>
          <w:tab w:val="left" w:pos="600"/>
        </w:tabs>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美国专利商标局(USPTO)已经切实启动了预防教育，从而在知识产权问题预防方面发挥重要作用。其工作凸显了有效预防的各项原则：</w:t>
      </w:r>
    </w:p>
    <w:p w:rsidR="00216CCF" w:rsidRPr="008075E4" w:rsidRDefault="00216CCF" w:rsidP="00556F58">
      <w:pPr>
        <w:pStyle w:val="ONUMFS"/>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首先，USPTO提供可检索的现有专利和商标数据库，以便使人们能够避免侵权。</w:t>
      </w:r>
    </w:p>
    <w:p w:rsidR="00216CCF" w:rsidRPr="008075E4" w:rsidRDefault="00216CCF" w:rsidP="00556F58">
      <w:pPr>
        <w:pStyle w:val="ONUMFS"/>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第二，USPTO网站提供知识产权特性、申请程序和执法相关的信息。一个很好的例子就是，USPTO网站上公布的关于商标注册和申请程序的“商标信息网络”视频，富有建设性和创造性。这些视频易于理解和接受，能够为人们提供信息，指导人们免去麻烦、节省支出，并保障其权利。</w:t>
      </w:r>
    </w:p>
    <w:p w:rsidR="00216CCF" w:rsidRPr="00556F58" w:rsidRDefault="00216CCF" w:rsidP="00D71A41">
      <w:pPr>
        <w:pStyle w:val="ONUMFS"/>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sidRPr="00556F58">
        <w:rPr>
          <w:rFonts w:ascii="SimSun" w:hAnsi="SimSun" w:hint="eastAsia"/>
          <w:sz w:val="21"/>
          <w:szCs w:val="21"/>
        </w:rPr>
        <w:t>最后，对“常见问题”</w:t>
      </w:r>
      <w:proofErr w:type="gramStart"/>
      <w:r w:rsidRPr="00556F58">
        <w:rPr>
          <w:rFonts w:ascii="SimSun" w:hAnsi="SimSun" w:hint="eastAsia"/>
          <w:sz w:val="21"/>
          <w:szCs w:val="21"/>
        </w:rPr>
        <w:t>作出</w:t>
      </w:r>
      <w:proofErr w:type="gramEnd"/>
      <w:r w:rsidRPr="00556F58">
        <w:rPr>
          <w:rFonts w:ascii="SimSun" w:hAnsi="SimSun" w:hint="eastAsia"/>
          <w:sz w:val="21"/>
          <w:szCs w:val="21"/>
        </w:rPr>
        <w:t>解答的非正式且十分实际的方式正是通过一种有效</w:t>
      </w:r>
      <w:proofErr w:type="gramStart"/>
      <w:r w:rsidRPr="00556F58">
        <w:rPr>
          <w:rFonts w:ascii="SimSun" w:hAnsi="SimSun" w:hint="eastAsia"/>
          <w:sz w:val="21"/>
          <w:szCs w:val="21"/>
        </w:rPr>
        <w:t>且甚至</w:t>
      </w:r>
      <w:proofErr w:type="gramEnd"/>
      <w:r w:rsidRPr="00556F58">
        <w:rPr>
          <w:rFonts w:ascii="SimSun" w:hAnsi="SimSun" w:hint="eastAsia"/>
          <w:sz w:val="21"/>
          <w:szCs w:val="21"/>
        </w:rPr>
        <w:t>会受到人们欢迎的方式来向公众提供法律信息。</w:t>
      </w:r>
    </w:p>
    <w:p w:rsidR="00216CCF" w:rsidRPr="00556F58" w:rsidRDefault="008075E4" w:rsidP="00556F58">
      <w:pPr>
        <w:pStyle w:val="1"/>
        <w:adjustRightInd w:val="0"/>
        <w:spacing w:beforeLines="10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t>三、</w:t>
      </w:r>
      <w:r w:rsidR="00216CCF" w:rsidRPr="00556F58">
        <w:rPr>
          <w:rFonts w:ascii="SimHei" w:eastAsia="SimHei" w:hAnsi="SimHei" w:hint="eastAsia"/>
          <w:b w:val="0"/>
          <w:sz w:val="21"/>
          <w:szCs w:val="21"/>
        </w:rPr>
        <w:t>私下讨论和协商</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私下讨论和协商是问题发生后“自助”解决争议当事各方之间问题的第一步。在此阶段，律师或是公共机构都无须直接参与，但是不应忽视当事各方之间私下沟通的权利。</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公共机构可有助于促进这些协商。公共的知识产权权利认证机构可以作为一种便于获取的资源，来明确当事一方或另一方的初始权利，从而为私下协商提供便利。如果能够向错误一方指出一种便捷的信息源来表明法律权利，那么就能在无需第三方介入的情况下快速地消除无意侵权或滥用行为。声明一项权利有时也能明确哪一方必须为另一方</w:t>
      </w:r>
      <w:proofErr w:type="gramStart"/>
      <w:r w:rsidRPr="008075E4">
        <w:rPr>
          <w:rFonts w:ascii="SimSun" w:hAnsi="SimSun" w:hint="eastAsia"/>
          <w:sz w:val="21"/>
          <w:szCs w:val="21"/>
        </w:rPr>
        <w:t>作出</w:t>
      </w:r>
      <w:proofErr w:type="gramEnd"/>
      <w:r w:rsidRPr="008075E4">
        <w:rPr>
          <w:rFonts w:ascii="SimSun" w:hAnsi="SimSun" w:hint="eastAsia"/>
          <w:sz w:val="21"/>
          <w:szCs w:val="21"/>
        </w:rPr>
        <w:t>赔偿。</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如果简单的双方协商无效，那么第三方</w:t>
      </w:r>
      <w:r w:rsidR="00970986">
        <w:rPr>
          <w:rFonts w:ascii="SimSun" w:hAnsi="SimSun" w:hint="eastAsia"/>
          <w:sz w:val="21"/>
          <w:szCs w:val="21"/>
        </w:rPr>
        <w:t>——</w:t>
      </w:r>
      <w:r w:rsidRPr="008075E4">
        <w:rPr>
          <w:rFonts w:ascii="SimSun" w:hAnsi="SimSun" w:hint="eastAsia"/>
          <w:sz w:val="21"/>
          <w:szCs w:val="21"/>
        </w:rPr>
        <w:t>无论是个人还是机构</w:t>
      </w:r>
      <w:r w:rsidR="00970986">
        <w:rPr>
          <w:rFonts w:ascii="SimSun" w:hAnsi="SimSun" w:hint="eastAsia"/>
          <w:sz w:val="21"/>
          <w:szCs w:val="21"/>
        </w:rPr>
        <w:t>——</w:t>
      </w:r>
      <w:r w:rsidRPr="008075E4">
        <w:rPr>
          <w:rFonts w:ascii="SimSun" w:hAnsi="SimSun" w:hint="eastAsia"/>
          <w:sz w:val="21"/>
          <w:szCs w:val="21"/>
        </w:rPr>
        <w:t>在帮助人们解决其争议中能够发挥以下部分或全部作用：</w:t>
      </w:r>
    </w:p>
    <w:p w:rsidR="00216CCF" w:rsidRPr="008075E4" w:rsidRDefault="00216CCF" w:rsidP="00556F58">
      <w:pPr>
        <w:pStyle w:val="ONUME"/>
        <w:tabs>
          <w:tab w:val="clear" w:pos="1701"/>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就所涉问题的实质内容或当事各方如何通过程序来加以解决，为当事各方提供建议；</w:t>
      </w:r>
    </w:p>
    <w:p w:rsidR="00216CCF" w:rsidRPr="008075E4" w:rsidRDefault="00216CCF" w:rsidP="00556F58">
      <w:pPr>
        <w:pStyle w:val="ONUME"/>
        <w:tabs>
          <w:tab w:val="clear" w:pos="1701"/>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如果该问题会由法官或陪审团作为传统法律案件加以审判，则对该问题可能的处理结果加以评估；</w:t>
      </w:r>
    </w:p>
    <w:p w:rsidR="00216CCF" w:rsidRPr="008075E4" w:rsidRDefault="00216CCF" w:rsidP="00556F58">
      <w:pPr>
        <w:pStyle w:val="ONUME"/>
        <w:tabs>
          <w:tab w:val="clear" w:pos="1701"/>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lastRenderedPageBreak/>
        <w:t>为争议当事各方之间更好的进行沟通提供便利，从而促进自助，以便当事各方能够找到各自的解决方案，同时也可能改善其未来的沟通；以及</w:t>
      </w:r>
    </w:p>
    <w:p w:rsidR="00216CCF" w:rsidRPr="008075E4" w:rsidRDefault="00216CCF" w:rsidP="00556F58">
      <w:pPr>
        <w:pStyle w:val="ONUME"/>
        <w:tabs>
          <w:tab w:val="clear" w:pos="1701"/>
          <w:tab w:val="num"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就该问题</w:t>
      </w:r>
      <w:proofErr w:type="gramStart"/>
      <w:r w:rsidRPr="008075E4">
        <w:rPr>
          <w:rFonts w:ascii="SimSun" w:hAnsi="SimSun" w:hint="eastAsia"/>
          <w:sz w:val="21"/>
          <w:szCs w:val="21"/>
        </w:rPr>
        <w:t>作出</w:t>
      </w:r>
      <w:proofErr w:type="gramEnd"/>
      <w:r w:rsidRPr="008075E4">
        <w:rPr>
          <w:rFonts w:ascii="SimSun" w:hAnsi="SimSun" w:hint="eastAsia"/>
          <w:sz w:val="21"/>
          <w:szCs w:val="21"/>
        </w:rPr>
        <w:t>决定，即</w:t>
      </w:r>
      <w:proofErr w:type="gramStart"/>
      <w:r w:rsidRPr="008075E4">
        <w:rPr>
          <w:rFonts w:ascii="SimSun" w:hAnsi="SimSun" w:hint="eastAsia"/>
          <w:sz w:val="21"/>
          <w:szCs w:val="21"/>
        </w:rPr>
        <w:t>作出</w:t>
      </w:r>
      <w:proofErr w:type="gramEnd"/>
      <w:r w:rsidRPr="008075E4">
        <w:rPr>
          <w:rFonts w:ascii="SimSun" w:hAnsi="SimSun" w:hint="eastAsia"/>
          <w:sz w:val="21"/>
          <w:szCs w:val="21"/>
        </w:rPr>
        <w:t>专家决定、宣布仲裁决定或</w:t>
      </w:r>
      <w:proofErr w:type="gramStart"/>
      <w:r w:rsidRPr="008075E4">
        <w:rPr>
          <w:rFonts w:ascii="SimSun" w:hAnsi="SimSun" w:hint="eastAsia"/>
          <w:sz w:val="21"/>
          <w:szCs w:val="21"/>
        </w:rPr>
        <w:t>作出</w:t>
      </w:r>
      <w:proofErr w:type="gramEnd"/>
      <w:r w:rsidRPr="008075E4">
        <w:rPr>
          <w:rFonts w:ascii="SimSun" w:hAnsi="SimSun" w:hint="eastAsia"/>
          <w:sz w:val="21"/>
          <w:szCs w:val="21"/>
        </w:rPr>
        <w:t>传统的法律判决。</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hint="eastAsia"/>
          <w:sz w:val="21"/>
          <w:szCs w:val="21"/>
        </w:rPr>
        <w:t>这四项职能中的每一项(建议、评估、提供便利、以及</w:t>
      </w:r>
      <w:proofErr w:type="gramStart"/>
      <w:r w:rsidRPr="008075E4">
        <w:rPr>
          <w:rFonts w:ascii="SimSun" w:hAnsi="SimSun" w:hint="eastAsia"/>
          <w:sz w:val="21"/>
          <w:szCs w:val="21"/>
        </w:rPr>
        <w:t>作出</w:t>
      </w:r>
      <w:proofErr w:type="gramEnd"/>
      <w:r w:rsidRPr="008075E4">
        <w:rPr>
          <w:rFonts w:ascii="SimSun" w:hAnsi="SimSun" w:hint="eastAsia"/>
          <w:sz w:val="21"/>
          <w:szCs w:val="21"/>
        </w:rPr>
        <w:t>决定)都在其他的第三方ADR机制中发挥着不同的作用。</w:t>
      </w:r>
    </w:p>
    <w:p w:rsidR="00216CCF" w:rsidRPr="00556F58" w:rsidRDefault="008075E4" w:rsidP="00556F58">
      <w:pPr>
        <w:pStyle w:val="1"/>
        <w:adjustRightInd w:val="0"/>
        <w:spacing w:beforeLines="10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t>四、</w:t>
      </w:r>
      <w:r w:rsidR="00216CCF" w:rsidRPr="00556F58">
        <w:rPr>
          <w:rFonts w:ascii="SimHei" w:eastAsia="SimHei" w:hAnsi="SimHei" w:hint="eastAsia"/>
          <w:b w:val="0"/>
          <w:sz w:val="21"/>
          <w:szCs w:val="21"/>
        </w:rPr>
        <w:t>向顾问咨询或保持中立</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大型建筑业项目中常见的顾问或常设的中立职能</w:t>
      </w:r>
      <w:r w:rsidRPr="008075E4">
        <w:rPr>
          <w:rFonts w:ascii="SimSun" w:hAnsi="SimSun"/>
          <w:sz w:val="21"/>
          <w:szCs w:val="21"/>
          <w:vertAlign w:val="superscript"/>
        </w:rPr>
        <w:footnoteReference w:id="3"/>
      </w:r>
      <w:r w:rsidR="00F06C72">
        <w:rPr>
          <w:rFonts w:ascii="SimSun" w:hAnsi="SimSun" w:hint="eastAsia"/>
          <w:sz w:val="21"/>
          <w:szCs w:val="21"/>
        </w:rPr>
        <w:t>，</w:t>
      </w:r>
      <w:r w:rsidRPr="008075E4">
        <w:rPr>
          <w:rFonts w:ascii="SimSun" w:hAnsi="SimSun" w:hint="eastAsia"/>
          <w:sz w:val="21"/>
          <w:szCs w:val="21"/>
        </w:rPr>
        <w:t>也能够被应用于各种知识产权纠纷中。对于复杂的多方许可协议或合资企业，其中当事各方明白它们会有一系列不可知的意外事件，这种方式会特别有效。</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其工作流程如下：在重大项目或合资企业启动时，当事各方商定任命一名指定的专家在产生问题时为当事各方提供不具法律约束力的建议。该顾问会告知其有关该项目的具体内容，并定期报告进展情况。这种主动的信息收集功能可以确保中立方能够了解所涉当事各方，并能够在需要建议的情况下迅速</w:t>
      </w:r>
      <w:proofErr w:type="gramStart"/>
      <w:r w:rsidRPr="008075E4">
        <w:rPr>
          <w:rFonts w:ascii="SimSun" w:hAnsi="SimSun" w:hint="eastAsia"/>
          <w:sz w:val="21"/>
          <w:szCs w:val="21"/>
        </w:rPr>
        <w:t>作出</w:t>
      </w:r>
      <w:proofErr w:type="gramEnd"/>
      <w:r w:rsidRPr="008075E4">
        <w:rPr>
          <w:rFonts w:ascii="SimSun" w:hAnsi="SimSun" w:hint="eastAsia"/>
          <w:sz w:val="21"/>
          <w:szCs w:val="21"/>
        </w:rPr>
        <w:t>反应。</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经验表明，指定一名常设的中</w:t>
      </w:r>
      <w:proofErr w:type="gramStart"/>
      <w:r w:rsidRPr="008075E4">
        <w:rPr>
          <w:rFonts w:ascii="SimSun" w:hAnsi="SimSun" w:hint="eastAsia"/>
          <w:sz w:val="21"/>
          <w:szCs w:val="21"/>
        </w:rPr>
        <w:t>立方来</w:t>
      </w:r>
      <w:proofErr w:type="gramEnd"/>
      <w:r w:rsidRPr="008075E4">
        <w:rPr>
          <w:rFonts w:ascii="SimSun" w:hAnsi="SimSun" w:hint="eastAsia"/>
          <w:sz w:val="21"/>
          <w:szCs w:val="21"/>
        </w:rPr>
        <w:t>就争议提供建议，能够有效降低争议的发生频率和严重程度。尽管与直觉相反，但是一旦某人被正式指定为顾问并私下为当事各方所认识，双方反而都不太愿意诉诸这名顾问。相反地，当事一方会更倾向于与该项目中的相对一方采取联系，而这两方可能存在着分歧或之前就有争议。然后可以开展非正式协商来解决这一问题，从而无需与常设的中</w:t>
      </w:r>
      <w:proofErr w:type="gramStart"/>
      <w:r w:rsidRPr="008075E4">
        <w:rPr>
          <w:rFonts w:ascii="SimSun" w:hAnsi="SimSun" w:hint="eastAsia"/>
          <w:sz w:val="21"/>
          <w:szCs w:val="21"/>
        </w:rPr>
        <w:t>立方来</w:t>
      </w:r>
      <w:proofErr w:type="gramEnd"/>
      <w:r w:rsidRPr="008075E4">
        <w:rPr>
          <w:rFonts w:ascii="SimSun" w:hAnsi="SimSun" w:hint="eastAsia"/>
          <w:sz w:val="21"/>
          <w:szCs w:val="21"/>
        </w:rPr>
        <w:t>开展协商。</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像USPTO或版权局这样的机构能否来提供这种服务呢？对于一些项目而言，这很有可能，行政机构要比辅助法庭远远更具可行性。美国政府知识产权机构以及其他国家这方面的机构都是专家机构且得到尊重，其公共地位对于推动预防措施的落实特别有效。此外，这些机构是提供独立、客观专门技能的智囊库，能够提供可作为常设中立方的个人清单。提供发挥这种作用的人员</w:t>
      </w:r>
      <w:r w:rsidR="00F06C72">
        <w:rPr>
          <w:rFonts w:ascii="SimSun" w:hAnsi="SimSun" w:hint="eastAsia"/>
          <w:sz w:val="21"/>
          <w:szCs w:val="21"/>
        </w:rPr>
        <w:t>——</w:t>
      </w:r>
      <w:r w:rsidRPr="008075E4">
        <w:rPr>
          <w:rFonts w:ascii="SimSun" w:hAnsi="SimSun" w:hint="eastAsia"/>
          <w:sz w:val="21"/>
          <w:szCs w:val="21"/>
        </w:rPr>
        <w:t>无论是该机构的长期雇员还是清单上所列的私人顾问</w:t>
      </w:r>
      <w:r w:rsidR="00F06C72">
        <w:rPr>
          <w:rFonts w:ascii="SimSun" w:hAnsi="SimSun" w:hint="eastAsia"/>
          <w:sz w:val="21"/>
          <w:szCs w:val="21"/>
        </w:rPr>
        <w:t>——</w:t>
      </w:r>
      <w:r w:rsidRPr="008075E4">
        <w:rPr>
          <w:rFonts w:ascii="SimSun" w:hAnsi="SimSun" w:hint="eastAsia"/>
          <w:sz w:val="21"/>
          <w:szCs w:val="21"/>
        </w:rPr>
        <w:t>对于政府和公众来说是种双赢的作法。</w:t>
      </w:r>
    </w:p>
    <w:p w:rsidR="00216CCF" w:rsidRPr="008075E4" w:rsidRDefault="00216CCF" w:rsidP="00556F58">
      <w:pPr>
        <w:pStyle w:val="ONUME"/>
        <w:numPr>
          <w:ilvl w:val="0"/>
          <w:numId w:val="11"/>
        </w:numPr>
        <w:tabs>
          <w:tab w:val="left"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其还能为公众提供一种附加服务，但这种服务应符合这些机构的使命；</w:t>
      </w:r>
    </w:p>
    <w:p w:rsidR="00216CCF" w:rsidRPr="008075E4" w:rsidRDefault="00216CCF" w:rsidP="00556F58">
      <w:pPr>
        <w:pStyle w:val="ONUME"/>
        <w:numPr>
          <w:ilvl w:val="0"/>
          <w:numId w:val="11"/>
        </w:numPr>
        <w:tabs>
          <w:tab w:val="left" w:pos="1134"/>
        </w:tabs>
        <w:adjustRightInd w:val="0"/>
        <w:spacing w:afterLines="50" w:after="120" w:line="340" w:lineRule="atLeast"/>
        <w:ind w:left="567"/>
        <w:jc w:val="both"/>
        <w:rPr>
          <w:rFonts w:ascii="SimSun" w:hAnsi="SimSun"/>
          <w:sz w:val="21"/>
          <w:szCs w:val="21"/>
        </w:rPr>
      </w:pPr>
      <w:r w:rsidRPr="008075E4">
        <w:rPr>
          <w:rFonts w:ascii="SimSun" w:hAnsi="SimSun" w:hint="eastAsia"/>
          <w:sz w:val="21"/>
          <w:szCs w:val="21"/>
        </w:rPr>
        <w:t>提供常设中立方服务能够为各机构带来额外的资金资源(近期《美国发明法案》使得这种可能更具现实意义)；以及</w:t>
      </w:r>
    </w:p>
    <w:p w:rsidR="00216CCF" w:rsidRPr="00556F58" w:rsidRDefault="00216CCF" w:rsidP="005B16D1">
      <w:pPr>
        <w:pStyle w:val="ONUME"/>
        <w:numPr>
          <w:ilvl w:val="0"/>
          <w:numId w:val="11"/>
        </w:numPr>
        <w:tabs>
          <w:tab w:val="left" w:pos="1134"/>
        </w:tabs>
        <w:adjustRightInd w:val="0"/>
        <w:spacing w:afterLines="50" w:after="120" w:line="340" w:lineRule="atLeast"/>
        <w:ind w:left="567"/>
        <w:jc w:val="both"/>
        <w:rPr>
          <w:rFonts w:ascii="SimSun" w:hAnsi="SimSun"/>
          <w:sz w:val="21"/>
          <w:szCs w:val="21"/>
        </w:rPr>
      </w:pPr>
      <w:r w:rsidRPr="00556F58">
        <w:rPr>
          <w:rFonts w:ascii="SimSun" w:hAnsi="SimSun" w:hint="eastAsia"/>
          <w:sz w:val="21"/>
          <w:szCs w:val="21"/>
        </w:rPr>
        <w:t>这还可以是一种双方的学习体验，向私营当事各方推广知识产权知识的同时，也令常设中</w:t>
      </w:r>
      <w:proofErr w:type="gramStart"/>
      <w:r w:rsidRPr="00556F58">
        <w:rPr>
          <w:rFonts w:ascii="SimSun" w:hAnsi="SimSun" w:hint="eastAsia"/>
          <w:sz w:val="21"/>
          <w:szCs w:val="21"/>
        </w:rPr>
        <w:t>立方(</w:t>
      </w:r>
      <w:proofErr w:type="gramEnd"/>
      <w:r w:rsidRPr="00556F58">
        <w:rPr>
          <w:rFonts w:ascii="SimSun" w:hAnsi="SimSun" w:hint="eastAsia"/>
          <w:sz w:val="21"/>
          <w:szCs w:val="21"/>
        </w:rPr>
        <w:t>以及不直接地令公共机构)了解该领域的最新技术发展。</w:t>
      </w:r>
    </w:p>
    <w:p w:rsidR="00216CCF" w:rsidRPr="00556F58" w:rsidRDefault="008075E4" w:rsidP="00556F58">
      <w:pPr>
        <w:pStyle w:val="1"/>
        <w:adjustRightInd w:val="0"/>
        <w:spacing w:beforeLines="10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lastRenderedPageBreak/>
        <w:t>五、</w:t>
      </w:r>
      <w:r w:rsidR="00216CCF" w:rsidRPr="00556F58">
        <w:rPr>
          <w:rFonts w:ascii="SimHei" w:eastAsia="SimHei" w:hAnsi="SimHei" w:hint="eastAsia"/>
          <w:b w:val="0"/>
          <w:sz w:val="21"/>
          <w:szCs w:val="21"/>
        </w:rPr>
        <w:t>早期中立评估</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早期中立评估(ENE)机制已被成功地应用于解决各类法律问题，因而也特别可能适用于解决知识产权问题。顾名思义，ENE是：如果要提起法律诉讼，则由双方都同意的专家来就争议的结果(以及可能的成本)</w:t>
      </w:r>
      <w:proofErr w:type="gramStart"/>
      <w:r w:rsidRPr="008075E4">
        <w:rPr>
          <w:rFonts w:ascii="SimSun" w:hAnsi="SimSun" w:hint="eastAsia"/>
          <w:sz w:val="21"/>
          <w:szCs w:val="21"/>
        </w:rPr>
        <w:t>来作</w:t>
      </w:r>
      <w:proofErr w:type="gramEnd"/>
      <w:r w:rsidRPr="008075E4">
        <w:rPr>
          <w:rFonts w:ascii="SimSun" w:hAnsi="SimSun" w:hint="eastAsia"/>
          <w:sz w:val="21"/>
          <w:szCs w:val="21"/>
        </w:rPr>
        <w:t>出评估</w:t>
      </w:r>
      <w:r w:rsidRPr="008075E4">
        <w:rPr>
          <w:rFonts w:ascii="SimSun" w:hAnsi="SimSun"/>
          <w:sz w:val="21"/>
          <w:szCs w:val="21"/>
          <w:vertAlign w:val="superscript"/>
        </w:rPr>
        <w:footnoteReference w:id="4"/>
      </w:r>
      <w:r w:rsidR="00F06C72">
        <w:rPr>
          <w:rFonts w:ascii="SimSun" w:hAnsi="SimSun" w:hint="eastAsia"/>
          <w:sz w:val="21"/>
          <w:szCs w:val="21"/>
        </w:rPr>
        <w:t>。</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典型的ENE不会对争议</w:t>
      </w:r>
      <w:proofErr w:type="gramStart"/>
      <w:r w:rsidRPr="008075E4">
        <w:rPr>
          <w:rFonts w:ascii="SimSun" w:hAnsi="SimSun" w:hint="eastAsia"/>
          <w:sz w:val="21"/>
          <w:szCs w:val="21"/>
        </w:rPr>
        <w:t>作出</w:t>
      </w:r>
      <w:proofErr w:type="gramEnd"/>
      <w:r w:rsidRPr="008075E4">
        <w:rPr>
          <w:rFonts w:ascii="SimSun" w:hAnsi="SimSun" w:hint="eastAsia"/>
          <w:sz w:val="21"/>
          <w:szCs w:val="21"/>
        </w:rPr>
        <w:t>裁决，也不会直接为争议当事各方之间的协商带来便利。但是ENE往往会促进当事各方之间开展更有效的私下协商，无论这些私下协商在哪个阶段遭到在法庭上各自持有不现实预期想法的当事一方或双方的阻碍。一旦人们从一个中立而有见识的来源处获得一种实际的评估结果，这就会缩小议价的区间，从而实现一种双方都能接受的共识。</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ENE成功的关键在于找到具备可信度和专门技能的人员。但是，像美国专利商标局和版权局这样的公共机构还是很适于提供ENE</w:t>
      </w:r>
      <w:proofErr w:type="gramStart"/>
      <w:r w:rsidRPr="008075E4">
        <w:rPr>
          <w:rFonts w:ascii="SimSun" w:hAnsi="SimSun" w:hint="eastAsia"/>
          <w:sz w:val="21"/>
          <w:szCs w:val="21"/>
        </w:rPr>
        <w:t>来作</w:t>
      </w:r>
      <w:proofErr w:type="gramEnd"/>
      <w:r w:rsidRPr="008075E4">
        <w:rPr>
          <w:rFonts w:ascii="SimSun" w:hAnsi="SimSun" w:hint="eastAsia"/>
          <w:sz w:val="21"/>
          <w:szCs w:val="21"/>
        </w:rPr>
        <w:t>为初始ADR机制</w:t>
      </w:r>
      <w:r w:rsidRPr="00F06C72">
        <w:rPr>
          <w:rFonts w:ascii="SimSun" w:hAnsi="SimSun"/>
          <w:sz w:val="21"/>
          <w:szCs w:val="21"/>
          <w:vertAlign w:val="superscript"/>
        </w:rPr>
        <w:footnoteReference w:id="5"/>
      </w:r>
      <w:r w:rsidR="00F06C72">
        <w:rPr>
          <w:rFonts w:ascii="SimSun" w:hAnsi="SimSun" w:hint="eastAsia"/>
          <w:sz w:val="21"/>
          <w:szCs w:val="21"/>
        </w:rPr>
        <w:t>。</w:t>
      </w:r>
      <w:r w:rsidRPr="008075E4">
        <w:rPr>
          <w:rFonts w:ascii="SimSun" w:hAnsi="SimSun" w:hint="eastAsia"/>
          <w:sz w:val="21"/>
          <w:szCs w:val="21"/>
        </w:rPr>
        <w:t>这些机构的工作人员具备专业技能，同时也具备很好的法律背景，能够作为有效可信的评估人员。对于希望获得兼职或提早退休机会的富有经验的知识产权律师而言，这项工作特别有前景。</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典型ENE的评估职能甚至也能够与更强有力的咨询职能相结合，其类似于常设中立方的作用。如果当事各方仍能够采取其他做法的话，这种咨询职能会涉及到问题的实质。或者，ENE这种额外的咨询职能也可涉及到另外的程序选项。换言之，如果适当地了解了各种ADR可能性，在私下和解无效的情况下，ENE可作为一名顾问来就当事各方下一步可能会采取的程序提出建议。</w:t>
      </w:r>
    </w:p>
    <w:p w:rsidR="00216CCF" w:rsidRPr="00556F58" w:rsidRDefault="008075E4" w:rsidP="00556F58">
      <w:pPr>
        <w:pStyle w:val="1"/>
        <w:adjustRightInd w:val="0"/>
        <w:spacing w:beforeLines="10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t>六、</w:t>
      </w:r>
      <w:r w:rsidR="00216CCF" w:rsidRPr="00556F58">
        <w:rPr>
          <w:rFonts w:ascii="SimHei" w:eastAsia="SimHei" w:hAnsi="SimHei" w:hint="eastAsia"/>
          <w:b w:val="0"/>
          <w:sz w:val="21"/>
          <w:szCs w:val="21"/>
        </w:rPr>
        <w:t>调</w:t>
      </w:r>
      <w:r w:rsidRPr="00556F58">
        <w:rPr>
          <w:rFonts w:ascii="SimHei" w:eastAsia="SimHei" w:hAnsi="SimHei" w:hint="eastAsia"/>
          <w:b w:val="0"/>
          <w:sz w:val="21"/>
          <w:szCs w:val="21"/>
        </w:rPr>
        <w:t xml:space="preserve">  </w:t>
      </w:r>
      <w:r w:rsidR="00216CCF" w:rsidRPr="00556F58">
        <w:rPr>
          <w:rFonts w:ascii="SimHei" w:eastAsia="SimHei" w:hAnsi="SimHei" w:hint="eastAsia"/>
          <w:b w:val="0"/>
          <w:sz w:val="21"/>
          <w:szCs w:val="21"/>
        </w:rPr>
        <w:t>解</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调解主要用于促进当事各方之间进行更好的沟通，以便实现和解。调解员也可能发挥评估人员的作用，但是一些调解员并不同意将这种职责纳入其原本职责中。总之，调解的明确目的在于解决争议，使得当事各方能够签订一份正式的书面协议，从而将其作为私人合同来加以落实。调解员善于沟通，能够帮助当事各方明确利益所在，从而找到利益的共同之处。总体而言，调解工作使得创造性的解决方案以及更好地保护当事各方间的关系成为可能</w:t>
      </w:r>
      <w:r w:rsidRPr="008075E4">
        <w:rPr>
          <w:rFonts w:ascii="SimSun" w:hAnsi="SimSun"/>
          <w:sz w:val="21"/>
          <w:szCs w:val="21"/>
          <w:vertAlign w:val="superscript"/>
        </w:rPr>
        <w:footnoteReference w:id="6"/>
      </w:r>
      <w:r w:rsidR="00F06C72">
        <w:rPr>
          <w:rFonts w:ascii="SimSun" w:hAnsi="SimSun" w:hint="eastAsia"/>
          <w:sz w:val="21"/>
          <w:szCs w:val="21"/>
        </w:rPr>
        <w:t>。</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调解普遍被认为会带来的优势包括：保持当事各方克制、补偿的灵活性、快速提供解决方案、保密性、低成本、以及保持或改进当事各方关系的可能性。尽管有着这些优势，知识产权争议方似乎</w:t>
      </w:r>
      <w:r w:rsidRPr="008075E4">
        <w:rPr>
          <w:rFonts w:ascii="SimSun" w:hAnsi="SimSun" w:hint="eastAsia"/>
          <w:sz w:val="21"/>
          <w:szCs w:val="21"/>
        </w:rPr>
        <w:lastRenderedPageBreak/>
        <w:t>并不很乐于接受调解。例如，某些文化会抵触调解，因为这种做法缺少国家的行政参与</w:t>
      </w:r>
      <w:r w:rsidRPr="008075E4">
        <w:rPr>
          <w:rFonts w:ascii="SimSun" w:hAnsi="SimSun"/>
          <w:sz w:val="21"/>
          <w:szCs w:val="21"/>
          <w:vertAlign w:val="superscript"/>
        </w:rPr>
        <w:footnoteReference w:id="7"/>
      </w:r>
      <w:r w:rsidR="00F06C72">
        <w:rPr>
          <w:rFonts w:ascii="SimSun" w:hAnsi="SimSun" w:hint="eastAsia"/>
          <w:sz w:val="21"/>
          <w:szCs w:val="21"/>
        </w:rPr>
        <w:t>。</w:t>
      </w:r>
      <w:r w:rsidRPr="008075E4">
        <w:rPr>
          <w:rFonts w:ascii="SimSun" w:hAnsi="SimSun" w:hint="eastAsia"/>
          <w:sz w:val="21"/>
          <w:szCs w:val="21"/>
        </w:rPr>
        <w:t>而在其他的法律传统中，抵触的原因更多是出于所涉及的事实情形非常复杂以及某些知识产权法律非常技术性。当事各方会怀疑调解</w:t>
      </w:r>
      <w:proofErr w:type="gramStart"/>
      <w:r w:rsidRPr="008075E4">
        <w:rPr>
          <w:rFonts w:ascii="SimSun" w:hAnsi="SimSun" w:hint="eastAsia"/>
          <w:sz w:val="21"/>
          <w:szCs w:val="21"/>
        </w:rPr>
        <w:t>员能否</w:t>
      </w:r>
      <w:proofErr w:type="gramEnd"/>
      <w:r w:rsidRPr="008075E4">
        <w:rPr>
          <w:rFonts w:ascii="SimSun" w:hAnsi="SimSun" w:hint="eastAsia"/>
          <w:sz w:val="21"/>
          <w:szCs w:val="21"/>
        </w:rPr>
        <w:t>理解问题以及是否有效。但是如果当事各方(如通过世界知识产权组织(WIPO)或美国一些地方法院</w:t>
      </w:r>
      <w:r w:rsidRPr="008075E4">
        <w:rPr>
          <w:rFonts w:ascii="SimSun" w:hAnsi="SimSun"/>
          <w:sz w:val="21"/>
          <w:szCs w:val="21"/>
          <w:vertAlign w:val="superscript"/>
        </w:rPr>
        <w:footnoteReference w:id="8"/>
      </w:r>
      <w:r w:rsidRPr="008075E4">
        <w:rPr>
          <w:rFonts w:ascii="SimSun" w:hAnsi="SimSun" w:hint="eastAsia"/>
          <w:sz w:val="21"/>
          <w:szCs w:val="21"/>
        </w:rPr>
        <w:t>)所触及的调解员是知识产权方面的专家，那么调解工作似乎会更易于被接受</w:t>
      </w:r>
      <w:r w:rsidRPr="008075E4">
        <w:rPr>
          <w:rFonts w:ascii="SimSun" w:hAnsi="SimSun"/>
          <w:sz w:val="21"/>
          <w:szCs w:val="21"/>
          <w:vertAlign w:val="superscript"/>
        </w:rPr>
        <w:footnoteReference w:id="9"/>
      </w:r>
      <w:r w:rsidR="00F06C72">
        <w:rPr>
          <w:rFonts w:ascii="SimSun" w:hAnsi="SimSun" w:hint="eastAsia"/>
          <w:sz w:val="21"/>
          <w:szCs w:val="21"/>
        </w:rPr>
        <w:t>。</w:t>
      </w:r>
    </w:p>
    <w:p w:rsidR="00216CCF" w:rsidRPr="00556F58" w:rsidRDefault="008075E4" w:rsidP="00556F58">
      <w:pPr>
        <w:pStyle w:val="1"/>
        <w:adjustRightInd w:val="0"/>
        <w:spacing w:beforeLines="10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t>七、</w:t>
      </w:r>
      <w:r w:rsidR="00216CCF" w:rsidRPr="00556F58">
        <w:rPr>
          <w:rFonts w:ascii="SimHei" w:eastAsia="SimHei" w:hAnsi="SimHei" w:hint="eastAsia"/>
          <w:b w:val="0"/>
          <w:sz w:val="21"/>
          <w:szCs w:val="21"/>
        </w:rPr>
        <w:t>在线和解程序</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由于这种做法能够极大地降低成本，法律专业人员和在线技术人员已经尝试进行了多年的在线和解办法来解决法律问题。这些工作也取得了多方面的结果。</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知识产权相关在线ADR程序的一个成功实例就是统一域名解决政策(UDRP)程序。UDRP很大程度上是由WIPO应</w:t>
      </w:r>
      <w:r w:rsidRPr="008075E4">
        <w:rPr>
          <w:rFonts w:ascii="SimSun" w:hAnsi="SimSun"/>
          <w:sz w:val="21"/>
          <w:szCs w:val="21"/>
        </w:rPr>
        <w:t>互联网</w:t>
      </w:r>
      <w:r w:rsidRPr="008075E4">
        <w:rPr>
          <w:rFonts w:ascii="SimSun" w:hAnsi="SimSun" w:hint="eastAsia"/>
          <w:sz w:val="21"/>
          <w:szCs w:val="21"/>
        </w:rPr>
        <w:t>域名</w:t>
      </w:r>
      <w:r w:rsidRPr="008075E4">
        <w:rPr>
          <w:rFonts w:ascii="SimSun" w:hAnsi="SimSun"/>
          <w:sz w:val="21"/>
          <w:szCs w:val="21"/>
        </w:rPr>
        <w:t>与数字地址分配</w:t>
      </w:r>
      <w:r w:rsidRPr="008075E4">
        <w:rPr>
          <w:rFonts w:ascii="SimSun" w:hAnsi="SimSun" w:hint="eastAsia"/>
          <w:sz w:val="21"/>
          <w:szCs w:val="21"/>
        </w:rPr>
        <w:t>公司(ICANN)的要求所开发的，用于解决“域名抢注”问题或互联网域名商标纠纷。</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UDRP是用来解决域名抢注问题的一种有效而低成本的解决方式。但是其成功并不能简单复制。这是因为问题本身的特征以及UDRP程序之间的有效契合。首先，从法律和事实两方面来看，域名抢注问题是一个相对简单的问题。这缩小了调查的范围，降低了作证需求；其还意味着准备工作相对简单。当事一方或另一方几乎无需“开示”重要信息。其次，赔偿也很方便。只需就域名的使用</w:t>
      </w:r>
      <w:proofErr w:type="gramStart"/>
      <w:r w:rsidRPr="008075E4">
        <w:rPr>
          <w:rFonts w:ascii="SimSun" w:hAnsi="SimSun" w:hint="eastAsia"/>
          <w:sz w:val="21"/>
          <w:szCs w:val="21"/>
        </w:rPr>
        <w:t>作出</w:t>
      </w:r>
      <w:proofErr w:type="gramEnd"/>
      <w:r w:rsidRPr="008075E4">
        <w:rPr>
          <w:rFonts w:ascii="SimSun" w:hAnsi="SimSun" w:hint="eastAsia"/>
          <w:sz w:val="21"/>
          <w:szCs w:val="21"/>
        </w:rPr>
        <w:t>“有效/无效”的二选</w:t>
      </w:r>
      <w:proofErr w:type="gramStart"/>
      <w:r w:rsidRPr="008075E4">
        <w:rPr>
          <w:rFonts w:ascii="SimSun" w:hAnsi="SimSun" w:hint="eastAsia"/>
          <w:sz w:val="21"/>
          <w:szCs w:val="21"/>
        </w:rPr>
        <w:t>一</w:t>
      </w:r>
      <w:proofErr w:type="gramEnd"/>
      <w:r w:rsidRPr="008075E4">
        <w:rPr>
          <w:rFonts w:ascii="SimSun" w:hAnsi="SimSun" w:hint="eastAsia"/>
          <w:sz w:val="21"/>
          <w:szCs w:val="21"/>
        </w:rPr>
        <w:t>裁决；无需计算赔偿金额。</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最后，UDRP得益于参与度和裁决实施的保障。在问题产生后，不必依赖于被告方同意参与该程序，其参与事先作为注册域名的一项要求而得到保障。通过与商定遵照UDRP决定的互联网域名注册机构的合作，裁决的实施也几乎得到保障。对裁决也鲜有上诉至法庭的。</w:t>
      </w:r>
    </w:p>
    <w:p w:rsidR="00216CCF" w:rsidRPr="00556F58" w:rsidRDefault="008075E4" w:rsidP="00556F58">
      <w:pPr>
        <w:pStyle w:val="1"/>
        <w:adjustRightInd w:val="0"/>
        <w:spacing w:beforeLines="10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lastRenderedPageBreak/>
        <w:t>八、</w:t>
      </w:r>
      <w:r w:rsidR="00216CCF" w:rsidRPr="00556F58">
        <w:rPr>
          <w:rFonts w:ascii="SimHei" w:eastAsia="SimHei" w:hAnsi="SimHei" w:hint="eastAsia"/>
          <w:b w:val="0"/>
          <w:sz w:val="21"/>
          <w:szCs w:val="21"/>
        </w:rPr>
        <w:t>仲</w:t>
      </w:r>
      <w:r w:rsidR="00556F58" w:rsidRPr="00556F58">
        <w:rPr>
          <w:rFonts w:ascii="SimHei" w:eastAsia="SimHei" w:hAnsi="SimHei" w:hint="eastAsia"/>
          <w:b w:val="0"/>
          <w:sz w:val="21"/>
          <w:szCs w:val="21"/>
        </w:rPr>
        <w:t xml:space="preserve">  </w:t>
      </w:r>
      <w:proofErr w:type="gramStart"/>
      <w:r w:rsidR="00216CCF" w:rsidRPr="00556F58">
        <w:rPr>
          <w:rFonts w:ascii="SimHei" w:eastAsia="SimHei" w:hAnsi="SimHei" w:hint="eastAsia"/>
          <w:b w:val="0"/>
          <w:sz w:val="21"/>
          <w:szCs w:val="21"/>
        </w:rPr>
        <w:t>裁</w:t>
      </w:r>
      <w:proofErr w:type="gramEnd"/>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作为一种ADR方法，美国国家仲裁和国际仲裁都得到了长期的认可。仲裁是一种灵活的程序，私营的第三方能够参与决定争议的实质问题所在。通过规定在争议出现时要求进行仲裁的已有合同条款或规定在争议出现时诉诸仲裁的协议，当事各方能够参与制定用于某一特定仲裁的程序。</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从普通法程序的观点来看，在商定诉诸仲裁程序的协议中，当事各方能够用来裁定的共同可变因素包括：采用关于证据的规定；遵照在先判例；事实开示的范围；进行口头介绍；以及仲裁决定是否会附有一份仲裁员出具的书面理由。此外，通过规定其仲裁的合同，当事各方也可规定适用于其仲裁行为的实体法律。例如，在所适用的一般性法律之外，当事各方也可商定，可由当事各方的传统来决定其解决方案；或由行业惯例；或特定国家的法律；或甚至允许仲裁员酌情采用公平原则。</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所以用于解决知识产权纠纷的私下仲裁是具有众多优势的。可以依照所涉主题的专门技能以及公平行事的声誉来遴选仲裁员(或仲裁委员会)；仲裁程序可保密，甚至关于是否进行了仲裁也可保密；当事各方可选择仲裁所在地和所依据的法律；仲裁决定或“裁决”可以具有权威性，并只能就有限的问题向法院提出上诉</w:t>
      </w:r>
      <w:r w:rsidRPr="008075E4">
        <w:rPr>
          <w:rFonts w:ascii="SimSun" w:hAnsi="SimSun"/>
          <w:sz w:val="21"/>
          <w:szCs w:val="21"/>
          <w:vertAlign w:val="superscript"/>
        </w:rPr>
        <w:footnoteReference w:id="10"/>
      </w:r>
      <w:r w:rsidR="00F06C72">
        <w:rPr>
          <w:rFonts w:ascii="SimSun" w:hAnsi="SimSun" w:hint="eastAsia"/>
          <w:sz w:val="21"/>
          <w:szCs w:val="21"/>
        </w:rPr>
        <w:t>；</w:t>
      </w:r>
      <w:r w:rsidRPr="008075E4">
        <w:rPr>
          <w:rFonts w:ascii="SimSun" w:hAnsi="SimSun" w:hint="eastAsia"/>
          <w:sz w:val="21"/>
          <w:szCs w:val="21"/>
        </w:rPr>
        <w:t>以及仲裁决定通过《纽约公约》</w:t>
      </w:r>
      <w:r w:rsidRPr="008075E4">
        <w:rPr>
          <w:rFonts w:ascii="SimSun" w:hAnsi="SimSun"/>
          <w:sz w:val="21"/>
          <w:szCs w:val="21"/>
          <w:vertAlign w:val="superscript"/>
        </w:rPr>
        <w:footnoteReference w:id="11"/>
      </w:r>
      <w:r w:rsidRPr="008075E4">
        <w:rPr>
          <w:rFonts w:ascii="SimSun" w:hAnsi="SimSun" w:hint="eastAsia"/>
          <w:sz w:val="21"/>
          <w:szCs w:val="21"/>
        </w:rPr>
        <w:t>(经多数国家所批准)可在全球范围内执行。如上所述的最后一项优势非常重要。跨越各国的法律制度来执行法庭判决往往会在法律和政策方面面临问题，同时也耗费时间和资金。</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但是，仲裁可能存在的一个局限在于其对知识产权承认或有效性产生影响的能力存在质疑</w:t>
      </w:r>
      <w:r w:rsidRPr="008075E4">
        <w:rPr>
          <w:rFonts w:ascii="SimSun" w:hAnsi="SimSun"/>
          <w:sz w:val="21"/>
          <w:szCs w:val="21"/>
          <w:vertAlign w:val="superscript"/>
        </w:rPr>
        <w:footnoteReference w:id="12"/>
      </w:r>
      <w:r w:rsidR="00F06C72">
        <w:rPr>
          <w:rFonts w:ascii="SimSun" w:hAnsi="SimSun" w:hint="eastAsia"/>
          <w:sz w:val="21"/>
          <w:szCs w:val="21"/>
        </w:rPr>
        <w:t>。</w:t>
      </w:r>
      <w:r w:rsidRPr="008075E4">
        <w:rPr>
          <w:rFonts w:ascii="SimSun" w:hAnsi="SimSun" w:hint="eastAsia"/>
          <w:sz w:val="21"/>
          <w:szCs w:val="21"/>
        </w:rPr>
        <w:t>多数知识产权问题在多数国家都可通过仲裁解决，但并非都是如此</w:t>
      </w:r>
      <w:r w:rsidRPr="008075E4">
        <w:rPr>
          <w:rFonts w:ascii="SimSun" w:hAnsi="SimSun"/>
          <w:sz w:val="21"/>
          <w:szCs w:val="21"/>
          <w:vertAlign w:val="superscript"/>
        </w:rPr>
        <w:footnoteReference w:id="13"/>
      </w:r>
      <w:r w:rsidR="00F06C72">
        <w:rPr>
          <w:rFonts w:ascii="SimSun" w:hAnsi="SimSun" w:hint="eastAsia"/>
          <w:sz w:val="21"/>
          <w:szCs w:val="21"/>
        </w:rPr>
        <w:t>。</w:t>
      </w:r>
      <w:r w:rsidRPr="008075E4">
        <w:rPr>
          <w:rFonts w:ascii="SimSun" w:hAnsi="SimSun" w:hint="eastAsia"/>
          <w:sz w:val="21"/>
          <w:szCs w:val="21"/>
        </w:rPr>
        <w:t>一些国家不愿意对知识产权的有效性或适当承认权利加以仲裁反映出一种深切的担忧。知识产权本质上是独占性的，与生俱来带有反竞争效应或保护当地企业的可能。私下仲裁可能会对流入公共机构的信息加以限制，从而限制公共管理机能的发挥</w:t>
      </w:r>
      <w:r w:rsidRPr="008075E4">
        <w:rPr>
          <w:rFonts w:ascii="SimSun" w:hAnsi="SimSun"/>
          <w:sz w:val="21"/>
          <w:szCs w:val="21"/>
          <w:vertAlign w:val="superscript"/>
        </w:rPr>
        <w:footnoteReference w:id="14"/>
      </w:r>
      <w:r w:rsidR="00F06C72">
        <w:rPr>
          <w:rFonts w:ascii="SimSun" w:hAnsi="SimSun" w:hint="eastAsia"/>
          <w:sz w:val="21"/>
          <w:szCs w:val="21"/>
        </w:rPr>
        <w:t>。</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仲裁的两个附加特征会加剧这种公共权力向私人权力的转移：无需实质审查对仲裁决定进行保密和法庭执法。仲裁几乎可以是完全得到保密的，这一点往往会作为其主要吸引力的一方面被加以讨</w:t>
      </w:r>
      <w:r w:rsidRPr="008075E4">
        <w:rPr>
          <w:rFonts w:ascii="SimSun" w:hAnsi="SimSun" w:hint="eastAsia"/>
          <w:sz w:val="21"/>
          <w:szCs w:val="21"/>
        </w:rPr>
        <w:lastRenderedPageBreak/>
        <w:t>论。当事各方可私下商定保密的不同级别。他们可以在仲裁员面前说明裁定理由；或商定不对当事各方之外进行披露；或可以对裁定条款加以保密；甚至还可以防止公众了解到进行了仲裁这一事实。关于知识产权的公共政策发展某种程度上丧失了有关效果或趋势的信息。类似地，法律发展，特别是普通法司法管辖区的法律发展，受到了较少一些广为传播的裁决的阻碍，否则这些裁决会有助于对知识产权立法或司法学说加以解释。</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《纽约公约》或那些规定了对仲裁决定的实质问题无需法庭审查的相应的国内法规</w:t>
      </w:r>
      <w:r w:rsidRPr="008075E4">
        <w:rPr>
          <w:rFonts w:ascii="SimSun" w:hAnsi="SimSun"/>
          <w:sz w:val="21"/>
          <w:szCs w:val="21"/>
          <w:vertAlign w:val="superscript"/>
        </w:rPr>
        <w:footnoteReference w:id="15"/>
      </w:r>
      <w:r w:rsidRPr="008075E4">
        <w:rPr>
          <w:rFonts w:ascii="SimSun" w:hAnsi="SimSun" w:hint="eastAsia"/>
          <w:sz w:val="21"/>
          <w:szCs w:val="21"/>
        </w:rPr>
        <w:t>也限制了公众对知识产权问题的影响力。但是</w:t>
      </w:r>
      <w:r w:rsidRPr="008075E4">
        <w:rPr>
          <w:rFonts w:ascii="SimSun" w:hAnsi="SimSun"/>
          <w:sz w:val="21"/>
          <w:szCs w:val="21"/>
        </w:rPr>
        <w:t xml:space="preserve">Philip </w:t>
      </w:r>
      <w:proofErr w:type="spellStart"/>
      <w:r w:rsidRPr="008075E4">
        <w:rPr>
          <w:rFonts w:ascii="SimSun" w:hAnsi="SimSun"/>
          <w:sz w:val="21"/>
          <w:szCs w:val="21"/>
        </w:rPr>
        <w:t>McConaughay</w:t>
      </w:r>
      <w:proofErr w:type="spellEnd"/>
      <w:r w:rsidRPr="008075E4">
        <w:rPr>
          <w:rFonts w:ascii="SimSun" w:hAnsi="SimSun" w:hint="eastAsia"/>
          <w:sz w:val="21"/>
          <w:szCs w:val="21"/>
        </w:rPr>
        <w:t>教授已指出，法院对仲裁决定的</w:t>
      </w:r>
      <w:r w:rsidR="00396882" w:rsidRPr="008075E4">
        <w:rPr>
          <w:rFonts w:ascii="SimSun" w:hAnsi="SimSun" w:hint="eastAsia"/>
          <w:sz w:val="21"/>
          <w:szCs w:val="21"/>
        </w:rPr>
        <w:t>实质问题的</w:t>
      </w:r>
      <w:r w:rsidRPr="008075E4">
        <w:rPr>
          <w:rFonts w:ascii="SimSun" w:hAnsi="SimSun" w:hint="eastAsia"/>
          <w:sz w:val="21"/>
          <w:szCs w:val="21"/>
        </w:rPr>
        <w:t>“二次审查”所带来的困境或在执行裁决之前施以其他质量控制措施</w:t>
      </w:r>
      <w:r w:rsidRPr="008075E4">
        <w:rPr>
          <w:rFonts w:ascii="SimSun" w:hAnsi="SimSun"/>
          <w:sz w:val="21"/>
          <w:szCs w:val="21"/>
          <w:vertAlign w:val="superscript"/>
        </w:rPr>
        <w:footnoteReference w:id="16"/>
      </w:r>
      <w:r w:rsidR="00F06C72">
        <w:rPr>
          <w:rFonts w:ascii="SimSun" w:hAnsi="SimSun" w:hint="eastAsia"/>
          <w:sz w:val="21"/>
          <w:szCs w:val="21"/>
        </w:rPr>
        <w:t>。</w:t>
      </w:r>
      <w:r w:rsidRPr="008075E4">
        <w:rPr>
          <w:rFonts w:ascii="SimSun" w:hAnsi="SimSun" w:hint="eastAsia"/>
          <w:sz w:val="21"/>
          <w:szCs w:val="21"/>
        </w:rPr>
        <w:t>通过二次审查，特定的经济和社会政策就能够得到更强的管控，也能够进一步发展西方法律中一致性和</w:t>
      </w:r>
      <w:proofErr w:type="gramStart"/>
      <w:r w:rsidRPr="008075E4">
        <w:rPr>
          <w:rFonts w:ascii="SimSun" w:hAnsi="SimSun" w:hint="eastAsia"/>
          <w:sz w:val="21"/>
          <w:szCs w:val="21"/>
        </w:rPr>
        <w:t>可</w:t>
      </w:r>
      <w:proofErr w:type="gramEnd"/>
      <w:r w:rsidRPr="008075E4">
        <w:rPr>
          <w:rFonts w:ascii="SimSun" w:hAnsi="SimSun" w:hint="eastAsia"/>
          <w:sz w:val="21"/>
          <w:szCs w:val="21"/>
        </w:rPr>
        <w:t>预测性的理想化概念</w:t>
      </w:r>
      <w:r w:rsidRPr="008075E4">
        <w:rPr>
          <w:rFonts w:ascii="SimSun" w:hAnsi="SimSun"/>
          <w:sz w:val="21"/>
          <w:szCs w:val="21"/>
          <w:vertAlign w:val="superscript"/>
        </w:rPr>
        <w:footnoteReference w:id="17"/>
      </w:r>
      <w:r w:rsidR="00F06C72">
        <w:rPr>
          <w:rFonts w:ascii="SimSun" w:hAnsi="SimSun" w:hint="eastAsia"/>
          <w:sz w:val="21"/>
          <w:szCs w:val="21"/>
        </w:rPr>
        <w:t>。</w:t>
      </w:r>
      <w:r w:rsidRPr="008075E4">
        <w:rPr>
          <w:rFonts w:ascii="SimSun" w:hAnsi="SimSun" w:hint="eastAsia"/>
          <w:sz w:val="21"/>
          <w:szCs w:val="21"/>
        </w:rPr>
        <w:t>另一方面，二次审查可能会伤及仲裁的灵活性，这会转而降低仲裁作为法院外解决方案的吸引力</w:t>
      </w:r>
      <w:r w:rsidRPr="008075E4">
        <w:rPr>
          <w:rFonts w:ascii="SimSun" w:hAnsi="SimSun"/>
          <w:sz w:val="21"/>
          <w:szCs w:val="21"/>
          <w:vertAlign w:val="superscript"/>
        </w:rPr>
        <w:footnoteReference w:id="18"/>
      </w:r>
      <w:r w:rsidR="00F06C72">
        <w:rPr>
          <w:rFonts w:ascii="SimSun" w:hAnsi="SimSun" w:hint="eastAsia"/>
          <w:sz w:val="21"/>
          <w:szCs w:val="21"/>
        </w:rPr>
        <w:t>。</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提高法院对仲裁决定的实质问题审查的级别，会有助于保护竞争市场中的公共利益以及知识产权的适当获取，也会保持人们对司法手段是支持裁决这一认识的信心。</w:t>
      </w:r>
      <w:r w:rsidR="00F06C72">
        <w:rPr>
          <w:rFonts w:ascii="SimSun" w:hAnsi="SimSun" w:hint="eastAsia"/>
          <w:sz w:val="21"/>
          <w:szCs w:val="21"/>
        </w:rPr>
        <w:t>但</w:t>
      </w:r>
      <w:r w:rsidRPr="008075E4">
        <w:rPr>
          <w:rFonts w:ascii="SimSun" w:hAnsi="SimSun" w:hint="eastAsia"/>
          <w:sz w:val="21"/>
          <w:szCs w:val="21"/>
        </w:rPr>
        <w:t>过于强化的法庭监管都会弱化保密性、清晰度和效率。解决这一困境的可能手段就是加强法院或行政机构在提供仲裁员、针对仲裁员应如何开展工作制定规定模板等方面的作用。</w:t>
      </w:r>
    </w:p>
    <w:p w:rsidR="00216CCF" w:rsidRPr="00556F58" w:rsidRDefault="008075E4" w:rsidP="00556F58">
      <w:pPr>
        <w:pStyle w:val="1"/>
        <w:adjustRightInd w:val="0"/>
        <w:spacing w:beforeLines="10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t>九、</w:t>
      </w:r>
      <w:r w:rsidR="00216CCF" w:rsidRPr="00556F58">
        <w:rPr>
          <w:rFonts w:ascii="SimHei" w:eastAsia="SimHei" w:hAnsi="SimHei" w:hint="eastAsia"/>
          <w:b w:val="0"/>
          <w:sz w:val="21"/>
          <w:szCs w:val="21"/>
        </w:rPr>
        <w:t>专家决定</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专家决定是WIPO所提供的一项服务</w:t>
      </w:r>
      <w:r w:rsidRPr="008075E4">
        <w:rPr>
          <w:rFonts w:ascii="SimSun" w:hAnsi="SimSun"/>
          <w:sz w:val="21"/>
          <w:szCs w:val="21"/>
          <w:vertAlign w:val="superscript"/>
        </w:rPr>
        <w:footnoteReference w:id="19"/>
      </w:r>
      <w:r w:rsidR="00F06C72">
        <w:rPr>
          <w:rFonts w:ascii="SimSun" w:hAnsi="SimSun" w:hint="eastAsia"/>
          <w:sz w:val="21"/>
          <w:szCs w:val="21"/>
        </w:rPr>
        <w:t>。</w:t>
      </w:r>
      <w:r w:rsidRPr="008075E4">
        <w:rPr>
          <w:rFonts w:ascii="SimSun" w:hAnsi="SimSun" w:hint="eastAsia"/>
          <w:sz w:val="21"/>
          <w:szCs w:val="21"/>
        </w:rPr>
        <w:t>其过程就是一个简化的仲裁程序，依赖于某些在线沟通方式和作为第三方决策者的知识产权专家，该专家可由当事各方来选定，也可由WIPO来指定。</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与仲裁相比，WIPO专家决定是一种“法律结构”松散的过程，特别适用于较窄的技术、科学或商业问题，如知识产权评估或专利权利要求的范围</w:t>
      </w:r>
      <w:r w:rsidRPr="008075E4">
        <w:rPr>
          <w:rFonts w:ascii="SimSun" w:hAnsi="SimSun"/>
          <w:sz w:val="21"/>
          <w:szCs w:val="21"/>
          <w:vertAlign w:val="superscript"/>
        </w:rPr>
        <w:footnoteReference w:id="20"/>
      </w:r>
      <w:r w:rsidR="00F06C72">
        <w:rPr>
          <w:rFonts w:ascii="SimSun" w:hAnsi="SimSun" w:hint="eastAsia"/>
          <w:sz w:val="21"/>
          <w:szCs w:val="21"/>
        </w:rPr>
        <w:t>。</w:t>
      </w:r>
    </w:p>
    <w:p w:rsidR="00216CCF" w:rsidRPr="00556F58" w:rsidRDefault="008075E4" w:rsidP="00556F58">
      <w:pPr>
        <w:pStyle w:val="1"/>
        <w:adjustRightInd w:val="0"/>
        <w:spacing w:beforeLines="10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lastRenderedPageBreak/>
        <w:t>十、</w:t>
      </w:r>
      <w:r w:rsidR="00216CCF" w:rsidRPr="00556F58">
        <w:rPr>
          <w:rFonts w:ascii="SimHei" w:eastAsia="SimHei" w:hAnsi="SimHei" w:hint="eastAsia"/>
          <w:b w:val="0"/>
          <w:sz w:val="21"/>
          <w:szCs w:val="21"/>
        </w:rPr>
        <w:t>以法庭为中心的和解</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以法庭为中心的和解方法往往并不专门适用于知识产权案件，但是也肯定可用于解决知识产权争议。最通常的方法就是法庭下令举行和解会议，被分配以一件正式案件的法官会要求律师(也可能要求当事各方)非正式地出席，来讨论可能的和解办法。法官可能会强势地促成和解方案，也可能不会。即便未能达成一项全面的和解方案，一些问题也会得到解决。</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但是，对于知识产权案件特别有前景的一点是，可以利用地方法官或指定一名专门法官。其作用有些类似ENE的作用</w:t>
      </w:r>
      <w:r w:rsidRPr="008075E4">
        <w:rPr>
          <w:rFonts w:ascii="SimSun" w:hAnsi="SimSun"/>
          <w:sz w:val="21"/>
          <w:szCs w:val="21"/>
          <w:vertAlign w:val="superscript"/>
        </w:rPr>
        <w:footnoteReference w:id="21"/>
      </w:r>
      <w:r w:rsidR="00F06C72">
        <w:rPr>
          <w:rFonts w:ascii="SimSun" w:hAnsi="SimSun" w:hint="eastAsia"/>
          <w:sz w:val="21"/>
          <w:szCs w:val="21"/>
        </w:rPr>
        <w:t>，</w:t>
      </w:r>
      <w:r w:rsidRPr="008075E4">
        <w:rPr>
          <w:rFonts w:ascii="SimSun" w:hAnsi="SimSun" w:hint="eastAsia"/>
          <w:sz w:val="21"/>
          <w:szCs w:val="21"/>
        </w:rPr>
        <w:t>但是具有更强的职权。</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与法庭直接相关的一种更为奇异的方法就是“小型审判”，争议当事各方的律师能够在所有各方面前发表简要的抗辩。在这种小型审判中，没有法官或陪审团，但是会有一个中</w:t>
      </w:r>
      <w:proofErr w:type="gramStart"/>
      <w:r w:rsidRPr="008075E4">
        <w:rPr>
          <w:rFonts w:ascii="SimSun" w:hAnsi="SimSun" w:hint="eastAsia"/>
          <w:sz w:val="21"/>
          <w:szCs w:val="21"/>
        </w:rPr>
        <w:t>立方来</w:t>
      </w:r>
      <w:proofErr w:type="gramEnd"/>
      <w:r w:rsidRPr="008075E4">
        <w:rPr>
          <w:rFonts w:ascii="SimSun" w:hAnsi="SimSun" w:hint="eastAsia"/>
          <w:sz w:val="21"/>
          <w:szCs w:val="21"/>
        </w:rPr>
        <w:t>控制整个过程</w:t>
      </w:r>
      <w:r w:rsidRPr="008075E4">
        <w:rPr>
          <w:rFonts w:ascii="SimSun" w:hAnsi="SimSun"/>
          <w:sz w:val="21"/>
          <w:szCs w:val="21"/>
          <w:vertAlign w:val="superscript"/>
        </w:rPr>
        <w:footnoteReference w:id="22"/>
      </w:r>
      <w:r w:rsidR="00F06C72">
        <w:rPr>
          <w:rFonts w:ascii="SimSun" w:hAnsi="SimSun" w:hint="eastAsia"/>
          <w:sz w:val="21"/>
          <w:szCs w:val="21"/>
        </w:rPr>
        <w:t>。</w:t>
      </w:r>
      <w:r w:rsidRPr="008075E4">
        <w:rPr>
          <w:rFonts w:ascii="SimSun" w:hAnsi="SimSun" w:hint="eastAsia"/>
          <w:sz w:val="21"/>
          <w:szCs w:val="21"/>
        </w:rPr>
        <w:t>这种ADR方法背后的原理在于当事一方可首次听取另一方是如何从法律方面来看到该争议的。听取了这些抗辩意见后，当事各方本身会更愿意来就私下和解进行协商。但是另一方面，律师也会担心这样做是否会过多地透露出其在庭审中想要采取的策略</w:t>
      </w:r>
      <w:r w:rsidRPr="008075E4">
        <w:rPr>
          <w:rFonts w:ascii="SimSun" w:hAnsi="SimSun"/>
          <w:sz w:val="21"/>
          <w:szCs w:val="21"/>
          <w:vertAlign w:val="superscript"/>
        </w:rPr>
        <w:footnoteReference w:id="23"/>
      </w:r>
      <w:r w:rsidR="00F06C72">
        <w:rPr>
          <w:rFonts w:ascii="SimSun" w:hAnsi="SimSun" w:hint="eastAsia"/>
          <w:sz w:val="21"/>
          <w:szCs w:val="21"/>
        </w:rPr>
        <w:t>。</w:t>
      </w:r>
    </w:p>
    <w:p w:rsidR="00216CCF" w:rsidRPr="00F06C72"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尽管如此，一些人认为这种小型审判具有相当大的前景</w:t>
      </w:r>
      <w:r w:rsidRPr="008075E4">
        <w:rPr>
          <w:rStyle w:val="af"/>
          <w:rFonts w:ascii="SimSun" w:hAnsi="SimSun" w:cs="Times New Roman"/>
          <w:sz w:val="21"/>
          <w:szCs w:val="21"/>
        </w:rPr>
        <w:footnoteReference w:id="24"/>
      </w:r>
      <w:r w:rsidR="00F06C72">
        <w:rPr>
          <w:rFonts w:ascii="SimSun" w:hAnsi="SimSun" w:hint="eastAsia"/>
          <w:sz w:val="21"/>
          <w:szCs w:val="21"/>
        </w:rPr>
        <w:t>。</w:t>
      </w:r>
      <w:r w:rsidRPr="008075E4">
        <w:rPr>
          <w:rFonts w:ascii="SimSun" w:hAnsi="SimSun" w:hint="eastAsia"/>
          <w:sz w:val="21"/>
          <w:szCs w:val="21"/>
        </w:rPr>
        <w:t>小型审判与其他的ADR方法不同，它会在创新解决方案和关系方面带来一些特别的可能性</w:t>
      </w:r>
      <w:r w:rsidRPr="008075E4">
        <w:rPr>
          <w:rFonts w:ascii="SimSun" w:hAnsi="SimSun"/>
          <w:sz w:val="21"/>
          <w:szCs w:val="21"/>
          <w:vertAlign w:val="superscript"/>
        </w:rPr>
        <w:footnoteReference w:id="25"/>
      </w:r>
      <w:r w:rsidR="00F06C72">
        <w:rPr>
          <w:rFonts w:ascii="SimSun" w:hAnsi="SimSun" w:hint="eastAsia"/>
          <w:sz w:val="21"/>
          <w:szCs w:val="21"/>
        </w:rPr>
        <w:t>。</w:t>
      </w:r>
    </w:p>
    <w:p w:rsidR="00216CCF" w:rsidRPr="00556F58" w:rsidRDefault="008075E4" w:rsidP="00556F58">
      <w:pPr>
        <w:pStyle w:val="1"/>
        <w:adjustRightInd w:val="0"/>
        <w:spacing w:beforeLines="100" w:afterLines="100" w:after="240" w:line="340" w:lineRule="atLeast"/>
        <w:jc w:val="both"/>
        <w:rPr>
          <w:rFonts w:ascii="SimHei" w:eastAsia="SimHei" w:hAnsi="SimHei"/>
          <w:b w:val="0"/>
          <w:sz w:val="21"/>
          <w:szCs w:val="21"/>
        </w:rPr>
      </w:pPr>
      <w:r w:rsidRPr="00556F58">
        <w:rPr>
          <w:rFonts w:ascii="SimHei" w:eastAsia="SimHei" w:hAnsi="SimHei" w:hint="eastAsia"/>
          <w:b w:val="0"/>
          <w:sz w:val="21"/>
          <w:szCs w:val="21"/>
        </w:rPr>
        <w:t>十一、</w:t>
      </w:r>
      <w:r w:rsidR="00216CCF" w:rsidRPr="00556F58">
        <w:rPr>
          <w:rFonts w:ascii="SimHei" w:eastAsia="SimHei" w:hAnsi="SimHei" w:hint="eastAsia"/>
          <w:b w:val="0"/>
          <w:sz w:val="21"/>
          <w:szCs w:val="21"/>
        </w:rPr>
        <w:t>结</w:t>
      </w:r>
      <w:r w:rsidRPr="00556F58">
        <w:rPr>
          <w:rFonts w:ascii="SimHei" w:eastAsia="SimHei" w:hAnsi="SimHei" w:hint="eastAsia"/>
          <w:b w:val="0"/>
          <w:sz w:val="21"/>
          <w:szCs w:val="21"/>
        </w:rPr>
        <w:t xml:space="preserve">  </w:t>
      </w:r>
      <w:r w:rsidR="00216CCF" w:rsidRPr="00556F58">
        <w:rPr>
          <w:rFonts w:ascii="SimHei" w:eastAsia="SimHei" w:hAnsi="SimHei" w:hint="eastAsia"/>
          <w:b w:val="0"/>
          <w:sz w:val="21"/>
          <w:szCs w:val="21"/>
        </w:rPr>
        <w:t>论</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知识产权执法应当对法律认可为合法的权利予以保护，并为其未来的使用提供便利。如果要实现社会发明和创造力的根本目标，那么知识产权法律的三项职能</w:t>
      </w:r>
      <w:proofErr w:type="gramStart"/>
      <w:r w:rsidRPr="008075E4">
        <w:rPr>
          <w:rFonts w:ascii="SimSun" w:hAnsi="SimSun" w:hint="eastAsia"/>
          <w:sz w:val="21"/>
          <w:szCs w:val="21"/>
        </w:rPr>
        <w:t>—权利</w:t>
      </w:r>
      <w:proofErr w:type="gramEnd"/>
      <w:r w:rsidRPr="008075E4">
        <w:rPr>
          <w:rFonts w:ascii="SimSun" w:hAnsi="SimSun" w:hint="eastAsia"/>
          <w:sz w:val="21"/>
          <w:szCs w:val="21"/>
        </w:rPr>
        <w:t>承认、执法和提供便利</w:t>
      </w:r>
      <w:proofErr w:type="gramStart"/>
      <w:r w:rsidRPr="008075E4">
        <w:rPr>
          <w:rFonts w:ascii="SimSun" w:hAnsi="SimSun" w:hint="eastAsia"/>
          <w:sz w:val="21"/>
          <w:szCs w:val="21"/>
        </w:rPr>
        <w:t>—必须</w:t>
      </w:r>
      <w:proofErr w:type="gramEnd"/>
      <w:r w:rsidRPr="008075E4">
        <w:rPr>
          <w:rFonts w:ascii="SimSun" w:hAnsi="SimSun" w:hint="eastAsia"/>
          <w:sz w:val="21"/>
          <w:szCs w:val="21"/>
        </w:rPr>
        <w:t>得到适当的平衡。随着全球化和数字化的推进，制定有效、高效和多产的执法程序变得愈加困难，但同时也显得更为至关重要。</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审判必须保持中心的地位。其透明度、清晰度、职权、先例以及将公共监管意见带入知识产权争议的能力，这些都使得审判成为一种无法衡量价值的资源。但是其不断上升成本、延迟、不确定的专门技能、以及可能会对关系造成的损害也为其他的方法营造出了一个私营市场。</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这一市场带来了程序方面出色的创新。下一个阶段就是在公共机构和国际组织内加大ADR方法的使用力度。这不应、同时也不会替代这些方法的单纯私下使用。但是，将这些替换性作法纳入公共</w:t>
      </w:r>
      <w:r w:rsidRPr="008075E4">
        <w:rPr>
          <w:rFonts w:ascii="SimSun" w:hAnsi="SimSun" w:hint="eastAsia"/>
          <w:sz w:val="21"/>
          <w:szCs w:val="21"/>
        </w:rPr>
        <w:lastRenderedPageBreak/>
        <w:t>法律体系和权利承认机构中，可能会提高ADR方法本身的质量和一致性，也会使得将公共价值纳入知识产权争议解决方案中变得更加便捷。其会进一步促进ADR方法的设计创新，并将知识产权法律从业者在适应这些程序方面的经验用于在特定环境下解决特定的问题。</w:t>
      </w:r>
    </w:p>
    <w:p w:rsidR="00216CCF" w:rsidRPr="008075E4" w:rsidRDefault="00216CCF" w:rsidP="00556F58">
      <w:pPr>
        <w:adjustRightInd w:val="0"/>
        <w:spacing w:afterLines="50" w:after="120" w:line="340" w:lineRule="atLeast"/>
        <w:jc w:val="both"/>
        <w:rPr>
          <w:rFonts w:ascii="SimSun" w:hAnsi="SimSun"/>
          <w:sz w:val="21"/>
          <w:szCs w:val="21"/>
        </w:rPr>
      </w:pPr>
      <w:r w:rsidRPr="008075E4">
        <w:rPr>
          <w:rFonts w:ascii="SimSun" w:hAnsi="SimSun"/>
          <w:sz w:val="21"/>
          <w:szCs w:val="21"/>
        </w:rPr>
        <w:fldChar w:fldCharType="begin"/>
      </w:r>
      <w:r w:rsidRPr="008075E4">
        <w:rPr>
          <w:rFonts w:ascii="SimSun" w:hAnsi="SimSun"/>
          <w:sz w:val="21"/>
          <w:szCs w:val="21"/>
        </w:rPr>
        <w:instrText xml:space="preserve"> AUTONUM  </w:instrText>
      </w:r>
      <w:r w:rsidRPr="008075E4">
        <w:rPr>
          <w:rFonts w:ascii="SimSun" w:hAnsi="SimSun"/>
          <w:sz w:val="21"/>
          <w:szCs w:val="21"/>
        </w:rPr>
        <w:fldChar w:fldCharType="end"/>
      </w:r>
      <w:r w:rsidR="008075E4">
        <w:rPr>
          <w:rFonts w:ascii="SimSun" w:hAnsi="SimSun"/>
          <w:sz w:val="21"/>
          <w:szCs w:val="21"/>
        </w:rPr>
        <w:t>.</w:t>
      </w:r>
      <w:r w:rsidR="008075E4">
        <w:rPr>
          <w:rFonts w:ascii="SimSun" w:hAnsi="SimSun"/>
          <w:sz w:val="21"/>
          <w:szCs w:val="21"/>
        </w:rPr>
        <w:tab/>
      </w:r>
      <w:r w:rsidRPr="008075E4">
        <w:rPr>
          <w:rFonts w:ascii="SimSun" w:hAnsi="SimSun" w:hint="eastAsia"/>
          <w:sz w:val="21"/>
          <w:szCs w:val="21"/>
        </w:rPr>
        <w:t>最后，提供一种更加广泛、灵活且低成本的知识产权维权制度会使得知识产权普遍更加地便于理解和获得。通过提升效率和各方参与，会鼓励更多的创新者为其发明和表达寻求法律认可；一旦这些权利得到保障，这些想法就能为创新者、公众以及基于这些权利来进行新的发明创造的人们提供更好的应用。</w:t>
      </w:r>
    </w:p>
    <w:p w:rsidR="008075E4" w:rsidRDefault="008075E4" w:rsidP="00556F58">
      <w:pPr>
        <w:pStyle w:val="Endofdocument-Annex"/>
        <w:adjustRightInd w:val="0"/>
        <w:spacing w:afterLines="50" w:after="120" w:line="340" w:lineRule="atLeast"/>
        <w:jc w:val="both"/>
        <w:rPr>
          <w:rFonts w:ascii="SimSun" w:hAnsi="SimSun"/>
          <w:sz w:val="21"/>
          <w:szCs w:val="21"/>
        </w:rPr>
      </w:pPr>
    </w:p>
    <w:p w:rsidR="00216CCF" w:rsidRPr="008075E4" w:rsidRDefault="00216CCF" w:rsidP="00556F58">
      <w:pPr>
        <w:pStyle w:val="Endofdocument-Annex"/>
        <w:adjustRightInd w:val="0"/>
        <w:spacing w:afterLines="50" w:after="120" w:line="340" w:lineRule="atLeast"/>
        <w:jc w:val="both"/>
        <w:rPr>
          <w:rFonts w:ascii="KaiTi" w:eastAsia="KaiTi" w:hAnsi="KaiTi"/>
          <w:sz w:val="21"/>
          <w:szCs w:val="21"/>
        </w:rPr>
      </w:pPr>
      <w:r w:rsidRPr="008075E4">
        <w:rPr>
          <w:rFonts w:ascii="KaiTi" w:eastAsia="KaiTi" w:hAnsi="KaiTi"/>
          <w:sz w:val="21"/>
          <w:szCs w:val="21"/>
        </w:rPr>
        <w:t>[</w:t>
      </w:r>
      <w:r w:rsidRPr="008075E4">
        <w:rPr>
          <w:rFonts w:ascii="KaiTi" w:eastAsia="KaiTi" w:hAnsi="KaiTi" w:hint="eastAsia"/>
          <w:sz w:val="21"/>
          <w:szCs w:val="21"/>
        </w:rPr>
        <w:t>文件完</w:t>
      </w:r>
      <w:r w:rsidRPr="008075E4">
        <w:rPr>
          <w:rFonts w:ascii="KaiTi" w:eastAsia="KaiTi" w:hAnsi="KaiTi"/>
          <w:sz w:val="21"/>
          <w:szCs w:val="21"/>
        </w:rPr>
        <w:t>]</w:t>
      </w:r>
    </w:p>
    <w:sectPr w:rsidR="00216CCF" w:rsidRPr="008075E4">
      <w:headerReference w:type="default" r:id="rId10"/>
      <w:footerReference w:type="first" r:id="rId11"/>
      <w:endnotePr>
        <w:numFmt w:val="chicago"/>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CF" w:rsidRDefault="00216CCF">
      <w:r>
        <w:separator/>
      </w:r>
    </w:p>
  </w:endnote>
  <w:endnote w:type="continuationSeparator" w:id="0">
    <w:p w:rsidR="00216CCF" w:rsidRDefault="00216CCF">
      <w:r>
        <w:separator/>
      </w:r>
    </w:p>
    <w:p w:rsidR="00216CCF" w:rsidRDefault="00216CCF">
      <w:pPr>
        <w:spacing w:after="60"/>
        <w:rPr>
          <w:sz w:val="17"/>
        </w:rPr>
      </w:pPr>
      <w:r>
        <w:rPr>
          <w:sz w:val="17"/>
        </w:rPr>
        <w:t>[Endnote continued from previous page]</w:t>
      </w:r>
    </w:p>
  </w:endnote>
  <w:endnote w:type="continuationNotice" w:id="1">
    <w:p w:rsidR="00216CCF" w:rsidRDefault="00216CCF">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3F" w:rsidRPr="0054153F" w:rsidRDefault="0054153F" w:rsidP="0054153F">
    <w:pPr>
      <w:pStyle w:val="a8"/>
      <w:tabs>
        <w:tab w:val="clear" w:pos="4320"/>
        <w:tab w:val="left" w:pos="1680"/>
      </w:tabs>
      <w:rPr>
        <w:sz w:val="18"/>
        <w:szCs w:val="18"/>
        <w:u w:val="single"/>
      </w:rPr>
    </w:pPr>
  </w:p>
  <w:p w:rsidR="00216CCF" w:rsidRPr="005B16D1" w:rsidRDefault="00216CCF" w:rsidP="008075E4">
    <w:pPr>
      <w:pStyle w:val="a8"/>
      <w:tabs>
        <w:tab w:val="clear" w:pos="4320"/>
        <w:tab w:val="left" w:pos="480"/>
      </w:tabs>
      <w:spacing w:afterLines="30" w:after="72" w:line="320" w:lineRule="atLeast"/>
      <w:rPr>
        <w:rFonts w:ascii="SimSun" w:hAnsi="SimSun"/>
        <w:sz w:val="18"/>
        <w:szCs w:val="18"/>
      </w:rPr>
    </w:pPr>
    <w:r w:rsidRPr="005B16D1">
      <w:rPr>
        <w:rFonts w:ascii="SimSun" w:hAnsi="SimSun"/>
        <w:sz w:val="18"/>
        <w:szCs w:val="18"/>
        <w:vertAlign w:val="superscript"/>
      </w:rPr>
      <w:t>*</w:t>
    </w:r>
    <w:r w:rsidR="0054153F" w:rsidRPr="005B16D1">
      <w:rPr>
        <w:rFonts w:ascii="SimSun" w:hAnsi="SimSun"/>
        <w:sz w:val="18"/>
        <w:szCs w:val="18"/>
      </w:rPr>
      <w:tab/>
    </w:r>
    <w:r w:rsidRPr="005B16D1">
      <w:rPr>
        <w:rFonts w:ascii="SimSun" w:hAnsi="SimSun" w:hint="eastAsia"/>
        <w:sz w:val="18"/>
        <w:szCs w:val="18"/>
      </w:rPr>
      <w:t>本文为美国专利商标局所编拟报告的删节版。</w:t>
    </w:r>
  </w:p>
  <w:p w:rsidR="00216CCF" w:rsidRPr="005B16D1" w:rsidRDefault="00216CCF" w:rsidP="008075E4">
    <w:pPr>
      <w:pStyle w:val="a8"/>
      <w:tabs>
        <w:tab w:val="clear" w:pos="4320"/>
        <w:tab w:val="left" w:pos="480"/>
      </w:tabs>
      <w:spacing w:afterLines="30" w:after="72" w:line="320" w:lineRule="atLeast"/>
      <w:rPr>
        <w:rFonts w:ascii="SimSun" w:hAnsi="SimSun"/>
        <w:sz w:val="18"/>
        <w:szCs w:val="18"/>
      </w:rPr>
    </w:pPr>
    <w:r w:rsidRPr="005B16D1">
      <w:rPr>
        <w:rFonts w:ascii="SimSun" w:hAnsi="SimSun"/>
        <w:sz w:val="18"/>
        <w:szCs w:val="18"/>
        <w:vertAlign w:val="superscript"/>
      </w:rPr>
      <w:t>**</w:t>
    </w:r>
    <w:r w:rsidR="0054153F" w:rsidRPr="005B16D1">
      <w:rPr>
        <w:rFonts w:ascii="SimSun" w:hAnsi="SimSun"/>
        <w:sz w:val="18"/>
        <w:szCs w:val="18"/>
      </w:rPr>
      <w:tab/>
    </w:r>
    <w:r w:rsidRPr="005B16D1">
      <w:rPr>
        <w:rFonts w:ascii="SimSun" w:hAnsi="SimSun" w:hint="eastAsia"/>
        <w:sz w:val="18"/>
        <w:szCs w:val="18"/>
      </w:rPr>
      <w:t>本文所表达的观点只代表作者观点，并不代表秘书处或WIPO任何成员国的观点。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CF" w:rsidRDefault="00216CCF">
      <w:r>
        <w:separator/>
      </w:r>
    </w:p>
  </w:footnote>
  <w:footnote w:type="continuationSeparator" w:id="0">
    <w:p w:rsidR="00216CCF" w:rsidRDefault="00216CCF">
      <w:r>
        <w:separator/>
      </w:r>
    </w:p>
    <w:p w:rsidR="00216CCF" w:rsidRDefault="00216CCF">
      <w:pPr>
        <w:spacing w:after="60"/>
        <w:rPr>
          <w:sz w:val="17"/>
          <w:szCs w:val="17"/>
        </w:rPr>
      </w:pPr>
      <w:r>
        <w:rPr>
          <w:sz w:val="17"/>
          <w:szCs w:val="17"/>
        </w:rPr>
        <w:t>[</w:t>
      </w:r>
      <w:r w:rsidR="00F06C72">
        <w:rPr>
          <w:rFonts w:hint="eastAsia"/>
          <w:sz w:val="17"/>
          <w:szCs w:val="17"/>
        </w:rPr>
        <w:t>脚注接上页</w:t>
      </w:r>
      <w:r>
        <w:rPr>
          <w:sz w:val="17"/>
          <w:szCs w:val="17"/>
        </w:rPr>
        <w:t>]</w:t>
      </w:r>
    </w:p>
  </w:footnote>
  <w:footnote w:type="continuationNotice" w:id="1">
    <w:p w:rsidR="00216CCF" w:rsidRDefault="00216CCF">
      <w:pPr>
        <w:spacing w:before="60"/>
        <w:jc w:val="right"/>
        <w:rPr>
          <w:sz w:val="17"/>
          <w:szCs w:val="17"/>
        </w:rPr>
      </w:pPr>
      <w:r>
        <w:rPr>
          <w:sz w:val="17"/>
          <w:szCs w:val="17"/>
        </w:rPr>
        <w:t>[</w:t>
      </w:r>
      <w:r w:rsidR="00F06C72">
        <w:rPr>
          <w:rFonts w:hint="eastAsia"/>
          <w:sz w:val="17"/>
          <w:szCs w:val="17"/>
        </w:rPr>
        <w:t>脚注转下页</w:t>
      </w:r>
      <w:r>
        <w:rPr>
          <w:sz w:val="17"/>
          <w:szCs w:val="17"/>
        </w:rPr>
        <w:t>]</w:t>
      </w:r>
    </w:p>
  </w:footnote>
  <w:footnote w:id="2">
    <w:p w:rsidR="00216CCF" w:rsidRPr="00556F58" w:rsidRDefault="00216CCF" w:rsidP="00556F58">
      <w:pPr>
        <w:pStyle w:val="a9"/>
        <w:adjustRightInd w:val="0"/>
        <w:spacing w:afterLines="30" w:after="72" w:line="320" w:lineRule="atLeast"/>
        <w:jc w:val="both"/>
        <w:rPr>
          <w:rFonts w:ascii="SimSun" w:hAnsi="SimSun"/>
        </w:rPr>
      </w:pPr>
      <w:r w:rsidRPr="00556F58">
        <w:rPr>
          <w:rFonts w:ascii="SimSun" w:hAnsi="SimSun"/>
          <w:szCs w:val="18"/>
          <w:vertAlign w:val="superscript"/>
        </w:rPr>
        <w:footnoteRef/>
      </w:r>
      <w:r w:rsidR="00556F58" w:rsidRPr="00556F58">
        <w:rPr>
          <w:rFonts w:ascii="SimSun" w:hAnsi="SimSun" w:hint="eastAsia"/>
          <w:szCs w:val="18"/>
        </w:rPr>
        <w:tab/>
      </w:r>
      <w:proofErr w:type="gramStart"/>
      <w:r w:rsidRPr="005B16D1">
        <w:rPr>
          <w:rFonts w:ascii="KaiTi" w:eastAsia="KaiTi" w:hAnsi="KaiTi" w:hint="eastAsia"/>
          <w:i/>
          <w:szCs w:val="18"/>
        </w:rPr>
        <w:t>通常请</w:t>
      </w:r>
      <w:proofErr w:type="gramEnd"/>
      <w:r w:rsidRPr="005B16D1">
        <w:rPr>
          <w:rFonts w:ascii="KaiTi" w:eastAsia="KaiTi" w:hAnsi="KaiTi" w:hint="eastAsia"/>
          <w:i/>
          <w:szCs w:val="18"/>
        </w:rPr>
        <w:t>参见</w:t>
      </w:r>
      <w:r w:rsidRPr="00556F58">
        <w:rPr>
          <w:rFonts w:ascii="SimSun" w:hAnsi="SimSun"/>
          <w:szCs w:val="18"/>
        </w:rPr>
        <w:t xml:space="preserve">Thomas D. Barton, </w:t>
      </w:r>
      <w:r w:rsidRPr="00556F58">
        <w:rPr>
          <w:rFonts w:ascii="SimSun" w:hAnsi="SimSun"/>
          <w:smallCaps/>
          <w:szCs w:val="18"/>
        </w:rPr>
        <w:t>Preventive Law and Problem-Solving: Lawyering for the Future (2009)</w:t>
      </w:r>
      <w:r w:rsidRPr="00556F58">
        <w:rPr>
          <w:rFonts w:ascii="SimSun" w:hAnsi="SimSun" w:hint="eastAsia"/>
          <w:smallCaps/>
          <w:szCs w:val="18"/>
        </w:rPr>
        <w:t>。</w:t>
      </w:r>
    </w:p>
  </w:footnote>
  <w:footnote w:id="3">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Fonts w:ascii="SimSun" w:hAnsi="SimSun"/>
          <w:szCs w:val="18"/>
          <w:vertAlign w:val="superscript"/>
        </w:rPr>
        <w:footnoteRef/>
      </w:r>
      <w:r w:rsidR="00556F58">
        <w:rPr>
          <w:rFonts w:ascii="SimSun" w:hAnsi="SimSun" w:hint="eastAsia"/>
          <w:szCs w:val="18"/>
        </w:rPr>
        <w:tab/>
      </w:r>
      <w:r w:rsidRPr="00556F58">
        <w:rPr>
          <w:rFonts w:ascii="SimSun" w:hAnsi="SimSun"/>
          <w:i/>
          <w:szCs w:val="18"/>
        </w:rPr>
        <w:t>James</w:t>
      </w:r>
      <w:r w:rsidRPr="00556F58">
        <w:rPr>
          <w:rFonts w:ascii="SimSun" w:hAnsi="SimSun"/>
          <w:szCs w:val="18"/>
        </w:rPr>
        <w:t xml:space="preserve"> P. </w:t>
      </w:r>
      <w:r w:rsidRPr="001E1A3F">
        <w:rPr>
          <w:rFonts w:ascii="SimSun" w:hAnsi="SimSun"/>
          <w:i/>
          <w:szCs w:val="18"/>
        </w:rPr>
        <w:t>Groton</w:t>
      </w:r>
      <w:r w:rsidRPr="00556F58">
        <w:rPr>
          <w:rFonts w:ascii="SimSun" w:hAnsi="SimSun"/>
          <w:szCs w:val="18"/>
        </w:rPr>
        <w:t xml:space="preserve">, </w:t>
      </w:r>
      <w:r w:rsidRPr="00556F58">
        <w:rPr>
          <w:rFonts w:ascii="SimSun" w:hAnsi="SimSun"/>
          <w:i/>
          <w:szCs w:val="18"/>
        </w:rPr>
        <w:t>Preventive Practices: Lessons from the Construction Industry in</w:t>
      </w:r>
      <w:r w:rsidRPr="00556F58">
        <w:rPr>
          <w:rFonts w:ascii="SimSun" w:hAnsi="SimSun"/>
          <w:szCs w:val="18"/>
        </w:rPr>
        <w:t xml:space="preserve"> Barton, </w:t>
      </w:r>
      <w:r w:rsidRPr="00556F58">
        <w:rPr>
          <w:rFonts w:ascii="SimSun" w:hAnsi="SimSun"/>
          <w:i/>
          <w:szCs w:val="18"/>
        </w:rPr>
        <w:t>supra</w:t>
      </w:r>
      <w:r w:rsidRPr="00556F58">
        <w:rPr>
          <w:rFonts w:ascii="SimSun" w:hAnsi="SimSun"/>
          <w:szCs w:val="18"/>
        </w:rPr>
        <w:t xml:space="preserve"> note 1, at 75–88</w:t>
      </w:r>
      <w:r w:rsidRPr="00556F58">
        <w:rPr>
          <w:rFonts w:ascii="SimSun" w:hAnsi="SimSun" w:hint="eastAsia"/>
          <w:szCs w:val="18"/>
        </w:rPr>
        <w:t>。</w:t>
      </w:r>
    </w:p>
  </w:footnote>
  <w:footnote w:id="4">
    <w:p w:rsidR="00216CCF" w:rsidRPr="00556F58" w:rsidRDefault="00216CCF" w:rsidP="001E1A3F">
      <w:pPr>
        <w:pStyle w:val="a9"/>
        <w:tabs>
          <w:tab w:val="left" w:pos="480"/>
        </w:tabs>
        <w:adjustRightInd w:val="0"/>
        <w:spacing w:afterLines="30" w:after="72" w:line="320" w:lineRule="atLeast"/>
        <w:jc w:val="both"/>
        <w:rPr>
          <w:rFonts w:ascii="SimSun" w:hAnsi="SimSun"/>
          <w:szCs w:val="18"/>
        </w:rPr>
      </w:pPr>
      <w:r w:rsidRPr="00556F58">
        <w:rPr>
          <w:rFonts w:ascii="SimSun" w:hAnsi="SimSun"/>
          <w:szCs w:val="18"/>
          <w:vertAlign w:val="superscript"/>
        </w:rPr>
        <w:footnoteRef/>
      </w:r>
      <w:r w:rsidR="00556F58">
        <w:rPr>
          <w:rFonts w:ascii="SimSun" w:hAnsi="SimSun" w:hint="eastAsia"/>
          <w:szCs w:val="18"/>
        </w:rPr>
        <w:tab/>
      </w:r>
      <w:r w:rsidRPr="00166B26">
        <w:rPr>
          <w:rFonts w:ascii="KaiTi" w:eastAsia="KaiTi" w:hAnsi="KaiTi" w:hint="eastAsia"/>
          <w:i/>
          <w:szCs w:val="18"/>
        </w:rPr>
        <w:t>根据</w:t>
      </w:r>
      <w:r w:rsidRPr="001E1A3F">
        <w:rPr>
          <w:rFonts w:ascii="SimSun" w:hAnsi="SimSun"/>
          <w:i/>
          <w:szCs w:val="18"/>
        </w:rPr>
        <w:t>Kenneth</w:t>
      </w:r>
      <w:r w:rsidRPr="00166B26">
        <w:rPr>
          <w:rFonts w:ascii="KaiTi" w:eastAsia="KaiTi" w:hAnsi="KaiTi"/>
          <w:szCs w:val="18"/>
        </w:rPr>
        <w:t xml:space="preserve"> B. Germaine, </w:t>
      </w:r>
      <w:r w:rsidRPr="00166B26">
        <w:rPr>
          <w:rFonts w:ascii="KaiTi" w:eastAsia="KaiTi" w:hAnsi="KaiTi"/>
          <w:i/>
          <w:szCs w:val="18"/>
        </w:rPr>
        <w:t xml:space="preserve">Getting a Grip on a Trademark/Trade Dress Case Before It Gets a Grip on the Budget: Using Subject-Savvy Early Neutral Evaluators to Grapple with Difficult Dilemmas, </w:t>
      </w:r>
      <w:r w:rsidRPr="00556F58">
        <w:rPr>
          <w:rFonts w:ascii="SimSun" w:hAnsi="SimSun"/>
          <w:smallCaps/>
          <w:szCs w:val="18"/>
        </w:rPr>
        <w:t>PLI Order No. 18666 June-July, 2009 Understanding Trademark Law 2009</w:t>
      </w:r>
      <w:r w:rsidRPr="00556F58">
        <w:rPr>
          <w:rFonts w:ascii="SimSun" w:hAnsi="SimSun"/>
          <w:szCs w:val="18"/>
        </w:rPr>
        <w:t xml:space="preserve"> 389, 391</w:t>
      </w:r>
      <w:r w:rsidRPr="00556F58">
        <w:rPr>
          <w:rFonts w:ascii="SimSun" w:hAnsi="SimSun" w:hint="eastAsia"/>
          <w:szCs w:val="18"/>
        </w:rPr>
        <w:t>：</w:t>
      </w:r>
    </w:p>
    <w:p w:rsidR="00216CCF" w:rsidRPr="00556F58" w:rsidRDefault="00216CCF" w:rsidP="00556F58">
      <w:pPr>
        <w:tabs>
          <w:tab w:val="left" w:pos="0"/>
          <w:tab w:val="left" w:pos="432"/>
          <w:tab w:val="left" w:pos="1152"/>
          <w:tab w:val="left" w:pos="1872"/>
          <w:tab w:val="left" w:pos="2592"/>
          <w:tab w:val="left" w:pos="3312"/>
          <w:tab w:val="left" w:pos="4032"/>
          <w:tab w:val="left" w:pos="4752"/>
          <w:tab w:val="left" w:pos="5472"/>
          <w:tab w:val="left" w:pos="5904"/>
        </w:tabs>
        <w:adjustRightInd w:val="0"/>
        <w:spacing w:afterLines="30" w:after="72" w:line="320" w:lineRule="atLeast"/>
        <w:ind w:left="720"/>
        <w:jc w:val="both"/>
        <w:rPr>
          <w:rFonts w:ascii="SimSun" w:hAnsi="SimSun"/>
        </w:rPr>
      </w:pPr>
      <w:r w:rsidRPr="00556F58">
        <w:rPr>
          <w:rFonts w:ascii="SimSun" w:hAnsi="SimSun"/>
          <w:sz w:val="18"/>
          <w:szCs w:val="18"/>
        </w:rPr>
        <w:t>E</w:t>
      </w:r>
      <w:r w:rsidRPr="00556F58">
        <w:rPr>
          <w:rFonts w:ascii="SimSun" w:hAnsi="SimSun" w:hint="eastAsia"/>
          <w:sz w:val="18"/>
          <w:szCs w:val="18"/>
        </w:rPr>
        <w:t>NE在各类知识产权争议中可以作为一种有效的</w:t>
      </w:r>
      <w:r w:rsidRPr="00166B26">
        <w:rPr>
          <w:rFonts w:ascii="KaiTi" w:eastAsia="KaiTi" w:hAnsi="KaiTi" w:hint="eastAsia"/>
          <w:i/>
          <w:sz w:val="18"/>
          <w:szCs w:val="18"/>
        </w:rPr>
        <w:t>评估</w:t>
      </w:r>
      <w:r w:rsidRPr="00556F58">
        <w:rPr>
          <w:rFonts w:ascii="SimSun" w:hAnsi="SimSun" w:hint="eastAsia"/>
          <w:sz w:val="18"/>
          <w:szCs w:val="18"/>
        </w:rPr>
        <w:t>技能。ENE通过一名公正的第三方—一名深入参与法律问题并擅长倾听各方意见的</w:t>
      </w:r>
      <w:proofErr w:type="gramStart"/>
      <w:r w:rsidRPr="00556F58">
        <w:rPr>
          <w:rFonts w:ascii="SimSun" w:hAnsi="SimSun" w:hint="eastAsia"/>
          <w:sz w:val="18"/>
          <w:szCs w:val="18"/>
        </w:rPr>
        <w:t>人—来帮助</w:t>
      </w:r>
      <w:proofErr w:type="gramEnd"/>
      <w:r w:rsidRPr="00556F58">
        <w:rPr>
          <w:rFonts w:ascii="SimSun" w:hAnsi="SimSun" w:hint="eastAsia"/>
          <w:sz w:val="18"/>
          <w:szCs w:val="18"/>
        </w:rPr>
        <w:t>双方—或在单方面的情况下，帮助单一当事方—在支付巨额诉讼费</w:t>
      </w:r>
      <w:proofErr w:type="gramStart"/>
      <w:r w:rsidRPr="00556F58">
        <w:rPr>
          <w:rFonts w:ascii="SimSun" w:hAnsi="SimSun" w:hint="eastAsia"/>
          <w:sz w:val="18"/>
          <w:szCs w:val="18"/>
        </w:rPr>
        <w:t>用之前</w:t>
      </w:r>
      <w:proofErr w:type="gramEnd"/>
      <w:r w:rsidRPr="00556F58">
        <w:rPr>
          <w:rFonts w:ascii="SimSun" w:hAnsi="SimSun" w:hint="eastAsia"/>
          <w:sz w:val="18"/>
          <w:szCs w:val="18"/>
        </w:rPr>
        <w:t>先对其优势/劣势加以了解。实际上，根据已有的权利主张和信息，可以很早地启动ENE，从而就可能避免用于“开示”的巨额支出。作为一名公正的中立方，ENE专业人员能够从与争议各方不同的角度来看待问题，从而能够指出争议各方可能</w:t>
      </w:r>
      <w:proofErr w:type="gramStart"/>
      <w:r w:rsidRPr="00556F58">
        <w:rPr>
          <w:rFonts w:ascii="SimSun" w:hAnsi="SimSun" w:hint="eastAsia"/>
          <w:sz w:val="18"/>
          <w:szCs w:val="18"/>
        </w:rPr>
        <w:t>无法一</w:t>
      </w:r>
      <w:proofErr w:type="gramEnd"/>
      <w:r w:rsidRPr="00556F58">
        <w:rPr>
          <w:rFonts w:ascii="SimSun" w:hAnsi="SimSun" w:hint="eastAsia"/>
          <w:sz w:val="18"/>
          <w:szCs w:val="18"/>
        </w:rPr>
        <w:t>眼看出的问题和可能的解决方案。</w:t>
      </w:r>
    </w:p>
  </w:footnote>
  <w:footnote w:id="5">
    <w:p w:rsidR="00216CCF" w:rsidRPr="00556F58" w:rsidRDefault="00216CCF" w:rsidP="001E1A3F">
      <w:pPr>
        <w:pStyle w:val="a9"/>
        <w:tabs>
          <w:tab w:val="left" w:pos="480"/>
        </w:tabs>
        <w:adjustRightInd w:val="0"/>
        <w:spacing w:afterLines="30" w:after="72" w:line="320" w:lineRule="atLeast"/>
        <w:jc w:val="both"/>
        <w:rPr>
          <w:rFonts w:ascii="SimSun" w:hAnsi="SimSun"/>
          <w:i/>
          <w:szCs w:val="18"/>
        </w:rPr>
      </w:pPr>
      <w:r w:rsidRPr="00556F58">
        <w:rPr>
          <w:rFonts w:ascii="SimSun" w:hAnsi="SimSun"/>
          <w:szCs w:val="18"/>
          <w:vertAlign w:val="superscript"/>
        </w:rPr>
        <w:footnoteRef/>
      </w:r>
      <w:r w:rsidR="00556F58">
        <w:rPr>
          <w:rFonts w:ascii="SimSun" w:hAnsi="SimSun" w:hint="eastAsia"/>
          <w:szCs w:val="18"/>
        </w:rPr>
        <w:tab/>
      </w:r>
      <w:r w:rsidRPr="00556F58">
        <w:rPr>
          <w:rFonts w:ascii="SimSun" w:hAnsi="SimSun"/>
          <w:i/>
          <w:szCs w:val="18"/>
        </w:rPr>
        <w:t xml:space="preserve">Id., </w:t>
      </w:r>
      <w:r w:rsidRPr="00556F58">
        <w:rPr>
          <w:rFonts w:ascii="SimSun" w:hAnsi="SimSun"/>
          <w:szCs w:val="18"/>
        </w:rPr>
        <w:t>at 3</w:t>
      </w:r>
      <w:r w:rsidRPr="00556F58">
        <w:rPr>
          <w:rFonts w:ascii="SimSun" w:hAnsi="SimSun"/>
          <w:i/>
          <w:szCs w:val="18"/>
        </w:rPr>
        <w:t>91-92</w:t>
      </w:r>
      <w:r w:rsidRPr="00556F58">
        <w:rPr>
          <w:rFonts w:ascii="SimSun" w:hAnsi="SimSun" w:hint="eastAsia"/>
          <w:i/>
          <w:szCs w:val="18"/>
        </w:rPr>
        <w:t>。</w:t>
      </w:r>
    </w:p>
  </w:footnote>
  <w:footnote w:id="6">
    <w:p w:rsidR="00216CCF" w:rsidRPr="00166B26" w:rsidRDefault="00216CCF" w:rsidP="001E1A3F">
      <w:pPr>
        <w:pStyle w:val="a9"/>
        <w:tabs>
          <w:tab w:val="left" w:pos="480"/>
        </w:tabs>
        <w:adjustRightInd w:val="0"/>
        <w:spacing w:afterLines="30" w:after="72" w:line="320" w:lineRule="atLeast"/>
        <w:jc w:val="both"/>
        <w:rPr>
          <w:rFonts w:ascii="KaiTi" w:eastAsia="KaiTi" w:hAnsi="KaiTi"/>
          <w:i/>
          <w:szCs w:val="18"/>
        </w:rPr>
      </w:pPr>
      <w:r w:rsidRPr="00166B26">
        <w:rPr>
          <w:rFonts w:ascii="SimSun" w:hAnsi="SimSun"/>
          <w:szCs w:val="18"/>
          <w:vertAlign w:val="superscript"/>
        </w:rPr>
        <w:footnoteRef/>
      </w:r>
      <w:r w:rsidR="00556F58">
        <w:rPr>
          <w:rFonts w:ascii="SimSun" w:hAnsi="SimSun" w:hint="eastAsia"/>
          <w:i/>
          <w:szCs w:val="18"/>
        </w:rPr>
        <w:tab/>
      </w:r>
      <w:r w:rsidRPr="00166B26">
        <w:rPr>
          <w:rFonts w:ascii="KaiTi" w:eastAsia="KaiTi" w:hAnsi="KaiTi"/>
          <w:i/>
          <w:szCs w:val="18"/>
        </w:rPr>
        <w:t xml:space="preserve">Max </w:t>
      </w:r>
      <w:proofErr w:type="spellStart"/>
      <w:r w:rsidRPr="001E1A3F">
        <w:rPr>
          <w:rFonts w:ascii="SimSun" w:hAnsi="SimSun"/>
          <w:i/>
          <w:szCs w:val="18"/>
        </w:rPr>
        <w:t>Vilenchik</w:t>
      </w:r>
      <w:proofErr w:type="spellEnd"/>
      <w:r w:rsidRPr="00166B26">
        <w:rPr>
          <w:rFonts w:ascii="KaiTi" w:eastAsia="KaiTi" w:hAnsi="KaiTi"/>
          <w:i/>
          <w:szCs w:val="18"/>
        </w:rPr>
        <w:t>, Expanding the Brand: The Case for Greater Enforcement of Mandatory Mediation in Trademark Disputes, 12 Cardozo Journal of Conflict Resolution 281, 291 (2010)</w:t>
      </w:r>
      <w:r w:rsidRPr="00166B26">
        <w:rPr>
          <w:rFonts w:ascii="KaiTi" w:eastAsia="KaiTi" w:hAnsi="KaiTi" w:hint="eastAsia"/>
          <w:i/>
          <w:szCs w:val="18"/>
        </w:rPr>
        <w:t>。</w:t>
      </w:r>
    </w:p>
  </w:footnote>
  <w:footnote w:id="7">
    <w:p w:rsidR="00216CCF" w:rsidRPr="00556F58" w:rsidRDefault="00216CCF" w:rsidP="001E1A3F">
      <w:pPr>
        <w:pStyle w:val="a9"/>
        <w:tabs>
          <w:tab w:val="left" w:pos="480"/>
        </w:tabs>
        <w:adjustRightInd w:val="0"/>
        <w:spacing w:afterLines="30" w:after="72" w:line="320" w:lineRule="atLeast"/>
        <w:jc w:val="both"/>
        <w:rPr>
          <w:rFonts w:ascii="SimSun" w:hAnsi="SimSun"/>
          <w:i/>
          <w:szCs w:val="18"/>
        </w:rPr>
      </w:pPr>
      <w:r w:rsidRPr="00166B26">
        <w:rPr>
          <w:rFonts w:ascii="SimSun" w:hAnsi="SimSun"/>
          <w:szCs w:val="18"/>
          <w:vertAlign w:val="superscript"/>
        </w:rPr>
        <w:footnoteRef/>
      </w:r>
      <w:r w:rsidR="00556F58">
        <w:rPr>
          <w:rFonts w:ascii="SimSun" w:hAnsi="SimSun" w:hint="eastAsia"/>
          <w:i/>
          <w:szCs w:val="18"/>
        </w:rPr>
        <w:tab/>
      </w:r>
      <w:r w:rsidRPr="00556F58">
        <w:rPr>
          <w:rFonts w:ascii="SimSun" w:hAnsi="SimSun"/>
          <w:i/>
          <w:szCs w:val="18"/>
        </w:rPr>
        <w:t xml:space="preserve">Karin </w:t>
      </w:r>
      <w:proofErr w:type="spellStart"/>
      <w:r w:rsidRPr="00556F58">
        <w:rPr>
          <w:rFonts w:ascii="SimSun" w:hAnsi="SimSun"/>
          <w:i/>
          <w:szCs w:val="18"/>
        </w:rPr>
        <w:t>Klempp</w:t>
      </w:r>
      <w:proofErr w:type="spellEnd"/>
      <w:r w:rsidRPr="00556F58">
        <w:rPr>
          <w:rFonts w:ascii="SimSun" w:hAnsi="SimSun"/>
          <w:i/>
          <w:szCs w:val="18"/>
        </w:rPr>
        <w:t>, Lawyer, personal communication, March 9, 2012 concerning Brazilian culture</w:t>
      </w:r>
      <w:r w:rsidRPr="00556F58">
        <w:rPr>
          <w:rFonts w:ascii="SimSun" w:hAnsi="SimSun" w:hint="eastAsia"/>
          <w:i/>
          <w:szCs w:val="18"/>
        </w:rPr>
        <w:t>。</w:t>
      </w:r>
    </w:p>
  </w:footnote>
  <w:footnote w:id="8">
    <w:p w:rsidR="00216CCF" w:rsidRPr="00556F58" w:rsidRDefault="00216CCF" w:rsidP="001E1A3F">
      <w:pPr>
        <w:pStyle w:val="a9"/>
        <w:tabs>
          <w:tab w:val="left" w:pos="480"/>
        </w:tabs>
        <w:adjustRightInd w:val="0"/>
        <w:spacing w:afterLines="30" w:after="72" w:line="320" w:lineRule="atLeast"/>
        <w:jc w:val="both"/>
        <w:rPr>
          <w:rFonts w:ascii="SimSun" w:hAnsi="SimSun"/>
          <w:i/>
          <w:szCs w:val="18"/>
        </w:rPr>
      </w:pPr>
      <w:r w:rsidRPr="00166B26">
        <w:rPr>
          <w:rFonts w:ascii="SimSun" w:hAnsi="SimSun"/>
          <w:szCs w:val="18"/>
          <w:vertAlign w:val="superscript"/>
        </w:rPr>
        <w:footnoteRef/>
      </w:r>
      <w:r w:rsidR="00556F58">
        <w:rPr>
          <w:rFonts w:ascii="SimSun" w:hAnsi="SimSun" w:hint="eastAsia"/>
          <w:i/>
          <w:szCs w:val="18"/>
        </w:rPr>
        <w:tab/>
      </w:r>
      <w:proofErr w:type="spellStart"/>
      <w:r w:rsidRPr="00556F58">
        <w:rPr>
          <w:rFonts w:ascii="SimSun" w:hAnsi="SimSun"/>
          <w:i/>
          <w:szCs w:val="18"/>
        </w:rPr>
        <w:t>Vilenchik</w:t>
      </w:r>
      <w:proofErr w:type="spellEnd"/>
      <w:r w:rsidRPr="00556F58">
        <w:rPr>
          <w:rFonts w:ascii="SimSun" w:hAnsi="SimSun"/>
          <w:i/>
          <w:szCs w:val="18"/>
        </w:rPr>
        <w:t>, supra note 5, at 290</w:t>
      </w:r>
      <w:r w:rsidRPr="00556F58">
        <w:rPr>
          <w:rFonts w:ascii="SimSun" w:hAnsi="SimSun" w:hint="eastAsia"/>
          <w:i/>
          <w:szCs w:val="18"/>
        </w:rPr>
        <w:t>。</w:t>
      </w:r>
    </w:p>
  </w:footnote>
  <w:footnote w:id="9">
    <w:p w:rsidR="00216CCF" w:rsidRPr="00556F58" w:rsidRDefault="00216CCF" w:rsidP="001E1A3F">
      <w:pPr>
        <w:pStyle w:val="a9"/>
        <w:tabs>
          <w:tab w:val="left" w:pos="480"/>
        </w:tabs>
        <w:adjustRightInd w:val="0"/>
        <w:spacing w:afterLines="30" w:after="72" w:line="320" w:lineRule="atLeast"/>
        <w:jc w:val="both"/>
        <w:rPr>
          <w:rFonts w:ascii="SimSun" w:hAnsi="SimSun"/>
          <w:szCs w:val="18"/>
        </w:rPr>
      </w:pPr>
      <w:r w:rsidRPr="00166B26">
        <w:rPr>
          <w:rFonts w:ascii="SimSun" w:hAnsi="SimSun"/>
          <w:szCs w:val="18"/>
          <w:vertAlign w:val="superscript"/>
        </w:rPr>
        <w:footnoteRef/>
      </w:r>
      <w:r w:rsidR="00556F58">
        <w:rPr>
          <w:rFonts w:ascii="SimSun" w:hAnsi="SimSun" w:hint="eastAsia"/>
          <w:i/>
          <w:szCs w:val="18"/>
        </w:rPr>
        <w:tab/>
      </w:r>
      <w:r w:rsidRPr="00166B26">
        <w:rPr>
          <w:rFonts w:ascii="KaiTi" w:eastAsia="KaiTi" w:hAnsi="KaiTi" w:hint="eastAsia"/>
          <w:i/>
          <w:szCs w:val="18"/>
        </w:rPr>
        <w:t>一家</w:t>
      </w:r>
      <w:r w:rsidRPr="001E1A3F">
        <w:rPr>
          <w:rFonts w:ascii="SimSun" w:hAnsi="SimSun" w:hint="eastAsia"/>
          <w:i/>
          <w:szCs w:val="18"/>
        </w:rPr>
        <w:t>地方法院</w:t>
      </w:r>
      <w:r w:rsidRPr="00166B26">
        <w:rPr>
          <w:rFonts w:ascii="KaiTi" w:eastAsia="KaiTi" w:hAnsi="KaiTi" w:hint="eastAsia"/>
          <w:i/>
          <w:szCs w:val="18"/>
        </w:rPr>
        <w:t>是这样</w:t>
      </w:r>
      <w:r w:rsidRPr="00556F58">
        <w:rPr>
          <w:rFonts w:ascii="SimSun" w:hAnsi="SimSun" w:hint="eastAsia"/>
          <w:szCs w:val="18"/>
        </w:rPr>
        <w:t>开展调解的：</w:t>
      </w:r>
    </w:p>
    <w:p w:rsidR="00216CCF" w:rsidRPr="00556F58" w:rsidRDefault="00216CCF" w:rsidP="00556F58">
      <w:pPr>
        <w:tabs>
          <w:tab w:val="left" w:pos="0"/>
          <w:tab w:val="left" w:pos="432"/>
          <w:tab w:val="left" w:pos="1152"/>
          <w:tab w:val="left" w:pos="1872"/>
          <w:tab w:val="left" w:pos="2592"/>
          <w:tab w:val="left" w:pos="3312"/>
          <w:tab w:val="left" w:pos="4032"/>
          <w:tab w:val="left" w:pos="4752"/>
          <w:tab w:val="left" w:pos="5472"/>
          <w:tab w:val="left" w:pos="5904"/>
        </w:tabs>
        <w:adjustRightInd w:val="0"/>
        <w:spacing w:afterLines="30" w:after="72" w:line="320" w:lineRule="atLeast"/>
        <w:ind w:left="432"/>
        <w:jc w:val="both"/>
        <w:rPr>
          <w:rFonts w:ascii="SimSun" w:hAnsi="SimSun"/>
          <w:sz w:val="18"/>
          <w:szCs w:val="18"/>
        </w:rPr>
      </w:pPr>
      <w:r w:rsidRPr="00556F58">
        <w:rPr>
          <w:rFonts w:ascii="SimSun" w:hAnsi="SimSun" w:hint="eastAsia"/>
          <w:sz w:val="18"/>
          <w:szCs w:val="18"/>
        </w:rPr>
        <w:t>在那些将ADR用于专利问题的法院似乎有效使用ADR</w:t>
      </w:r>
      <w:r w:rsidRPr="00556F58">
        <w:rPr>
          <w:rFonts w:ascii="SimSun" w:hAnsi="SimSun" w:hint="eastAsia"/>
          <w:sz w:val="18"/>
          <w:szCs w:val="18"/>
        </w:rPr>
        <w:t>。美国特拉华地方法院在专利诉讼界以具备处理专利案件方面的专业知识而著称。该地方法院很大程度上依赖于调解的ADR职能。该法院的一些法官会要求各方与地方法官</w:t>
      </w:r>
      <w:proofErr w:type="spellStart"/>
      <w:r w:rsidRPr="00556F58">
        <w:rPr>
          <w:rFonts w:ascii="SimSun" w:hAnsi="SimSun"/>
          <w:sz w:val="18"/>
          <w:szCs w:val="18"/>
        </w:rPr>
        <w:t>Trostle</w:t>
      </w:r>
      <w:proofErr w:type="spellEnd"/>
      <w:r w:rsidRPr="00556F58">
        <w:rPr>
          <w:rFonts w:ascii="SimSun" w:hAnsi="SimSun" w:hint="eastAsia"/>
          <w:sz w:val="18"/>
          <w:szCs w:val="18"/>
        </w:rPr>
        <w:t>会面来讨论调解，将其作为其协商令的一部分，而其他的法官则只建议这种做法。</w:t>
      </w:r>
    </w:p>
    <w:p w:rsidR="00216CCF" w:rsidRPr="00556F58" w:rsidRDefault="00216CCF" w:rsidP="00556F58">
      <w:pPr>
        <w:tabs>
          <w:tab w:val="left" w:pos="0"/>
          <w:tab w:val="left" w:pos="432"/>
          <w:tab w:val="left" w:pos="1152"/>
          <w:tab w:val="left" w:pos="1872"/>
          <w:tab w:val="left" w:pos="2592"/>
          <w:tab w:val="left" w:pos="3312"/>
          <w:tab w:val="left" w:pos="4032"/>
          <w:tab w:val="left" w:pos="4752"/>
          <w:tab w:val="left" w:pos="5472"/>
          <w:tab w:val="left" w:pos="5904"/>
        </w:tabs>
        <w:adjustRightInd w:val="0"/>
        <w:spacing w:afterLines="30" w:after="72" w:line="320" w:lineRule="atLeast"/>
        <w:ind w:left="432"/>
        <w:jc w:val="both"/>
        <w:rPr>
          <w:rFonts w:ascii="SimSun" w:hAnsi="SimSun"/>
          <w:sz w:val="18"/>
          <w:szCs w:val="18"/>
        </w:rPr>
      </w:pPr>
      <w:r w:rsidRPr="00556F58">
        <w:rPr>
          <w:rFonts w:ascii="SimSun" w:hAnsi="SimSun" w:hint="eastAsia"/>
          <w:sz w:val="18"/>
          <w:szCs w:val="18"/>
        </w:rPr>
        <w:t>在为期一天的调解过程中，地方法官</w:t>
      </w:r>
      <w:proofErr w:type="spellStart"/>
      <w:r w:rsidRPr="00556F58">
        <w:rPr>
          <w:rFonts w:ascii="SimSun" w:hAnsi="SimSun"/>
          <w:sz w:val="18"/>
          <w:szCs w:val="18"/>
        </w:rPr>
        <w:t>Trostle</w:t>
      </w:r>
      <w:proofErr w:type="spellEnd"/>
      <w:r w:rsidRPr="00556F58">
        <w:rPr>
          <w:rFonts w:ascii="SimSun" w:hAnsi="SimSun" w:hint="eastAsia"/>
          <w:sz w:val="18"/>
          <w:szCs w:val="18"/>
        </w:rPr>
        <w:t>鼓励各方探求各种创新的解决方案，并为各方提供框架来在非敌对的氛围中继续开展讨论。在一天的调解后，各方往往会继续通过电话会议的方式与</w:t>
      </w:r>
      <w:proofErr w:type="spellStart"/>
      <w:r w:rsidRPr="00556F58">
        <w:rPr>
          <w:rFonts w:ascii="SimSun" w:hAnsi="SimSun" w:hint="eastAsia"/>
          <w:sz w:val="18"/>
          <w:szCs w:val="18"/>
        </w:rPr>
        <w:t>Trostle</w:t>
      </w:r>
      <w:proofErr w:type="spellEnd"/>
      <w:r w:rsidRPr="00556F58">
        <w:rPr>
          <w:rFonts w:ascii="SimSun" w:hAnsi="SimSun" w:hint="eastAsia"/>
          <w:sz w:val="18"/>
          <w:szCs w:val="18"/>
        </w:rPr>
        <w:t>进行协商。由于这种程序并不复杂，因此获得了很大的成功。根据地方法官</w:t>
      </w:r>
      <w:r w:rsidRPr="00556F58">
        <w:rPr>
          <w:rFonts w:ascii="SimSun" w:hAnsi="SimSun"/>
          <w:sz w:val="18"/>
          <w:szCs w:val="18"/>
        </w:rPr>
        <w:t xml:space="preserve"> </w:t>
      </w:r>
      <w:proofErr w:type="spellStart"/>
      <w:r w:rsidRPr="00556F58">
        <w:rPr>
          <w:rFonts w:ascii="SimSun" w:hAnsi="SimSun"/>
          <w:sz w:val="18"/>
          <w:szCs w:val="18"/>
        </w:rPr>
        <w:t>Trostle</w:t>
      </w:r>
      <w:proofErr w:type="spellEnd"/>
      <w:r w:rsidRPr="00556F58">
        <w:rPr>
          <w:rFonts w:ascii="SimSun" w:hAnsi="SimSun" w:hint="eastAsia"/>
          <w:sz w:val="18"/>
          <w:szCs w:val="18"/>
        </w:rPr>
        <w:t>的数据，大约65%至70%的专利案件通过调解直接得到解决。</w:t>
      </w:r>
    </w:p>
    <w:p w:rsidR="00216CCF" w:rsidRPr="00556F58" w:rsidRDefault="00216CCF" w:rsidP="00556F58">
      <w:pPr>
        <w:pStyle w:val="a9"/>
        <w:adjustRightInd w:val="0"/>
        <w:spacing w:afterLines="30" w:after="72" w:line="320" w:lineRule="atLeast"/>
        <w:jc w:val="both"/>
        <w:rPr>
          <w:rFonts w:ascii="SimSun" w:hAnsi="SimSun"/>
        </w:rPr>
      </w:pPr>
      <w:r w:rsidRPr="00556F58">
        <w:rPr>
          <w:rFonts w:ascii="SimSun" w:hAnsi="SimSun"/>
          <w:szCs w:val="18"/>
        </w:rPr>
        <w:t xml:space="preserve">Thomas Hitter, </w:t>
      </w:r>
      <w:r w:rsidRPr="00166B26">
        <w:rPr>
          <w:rFonts w:ascii="KaiTi" w:eastAsia="KaiTi" w:hAnsi="KaiTi"/>
          <w:i/>
          <w:szCs w:val="18"/>
        </w:rPr>
        <w:t xml:space="preserve">What is So Special </w:t>
      </w:r>
      <w:proofErr w:type="gramStart"/>
      <w:r w:rsidRPr="00166B26">
        <w:rPr>
          <w:rFonts w:ascii="KaiTi" w:eastAsia="KaiTi" w:hAnsi="KaiTi"/>
          <w:i/>
          <w:szCs w:val="18"/>
        </w:rPr>
        <w:t>About</w:t>
      </w:r>
      <w:proofErr w:type="gramEnd"/>
      <w:r w:rsidRPr="00166B26">
        <w:rPr>
          <w:rFonts w:ascii="KaiTi" w:eastAsia="KaiTi" w:hAnsi="KaiTi"/>
          <w:i/>
          <w:szCs w:val="18"/>
        </w:rPr>
        <w:t xml:space="preserve"> the Federal Circuit?  A Recommendation for ADR Use in the Federal Circuit, </w:t>
      </w:r>
      <w:r w:rsidRPr="00556F58">
        <w:rPr>
          <w:rFonts w:ascii="SimSun" w:hAnsi="SimSun"/>
          <w:szCs w:val="18"/>
        </w:rPr>
        <w:t xml:space="preserve">13 </w:t>
      </w:r>
      <w:r w:rsidRPr="00556F58">
        <w:rPr>
          <w:rFonts w:ascii="SimSun" w:hAnsi="SimSun"/>
          <w:smallCaps/>
          <w:szCs w:val="18"/>
        </w:rPr>
        <w:t>Federal Circuit Bar Journal</w:t>
      </w:r>
      <w:r w:rsidRPr="00556F58">
        <w:rPr>
          <w:rFonts w:ascii="SimSun" w:hAnsi="SimSun"/>
          <w:szCs w:val="18"/>
        </w:rPr>
        <w:t xml:space="preserve"> 441, 465-66 (2004)</w:t>
      </w:r>
      <w:r w:rsidRPr="00556F58">
        <w:rPr>
          <w:rFonts w:ascii="SimSun" w:hAnsi="SimSun" w:hint="eastAsia"/>
          <w:szCs w:val="18"/>
        </w:rPr>
        <w:t>。</w:t>
      </w:r>
    </w:p>
  </w:footnote>
  <w:footnote w:id="10">
    <w:p w:rsidR="00216CCF" w:rsidRPr="00556F58" w:rsidRDefault="00216CCF" w:rsidP="001E1A3F">
      <w:pPr>
        <w:pStyle w:val="a9"/>
        <w:tabs>
          <w:tab w:val="left" w:pos="480"/>
        </w:tabs>
        <w:adjustRightInd w:val="0"/>
        <w:spacing w:afterLines="30" w:after="72" w:line="320" w:lineRule="atLeast"/>
        <w:jc w:val="both"/>
        <w:rPr>
          <w:rFonts w:ascii="SimSun" w:hAnsi="SimSun"/>
          <w:i/>
          <w:szCs w:val="18"/>
        </w:rPr>
      </w:pPr>
      <w:r w:rsidRPr="00556F58">
        <w:rPr>
          <w:rFonts w:ascii="SimSun" w:hAnsi="SimSun"/>
          <w:szCs w:val="18"/>
          <w:vertAlign w:val="superscript"/>
        </w:rPr>
        <w:footnoteRef/>
      </w:r>
      <w:r w:rsidR="00556F58">
        <w:rPr>
          <w:rFonts w:ascii="SimSun" w:hAnsi="SimSun" w:hint="eastAsia"/>
          <w:szCs w:val="18"/>
        </w:rPr>
        <w:tab/>
      </w:r>
      <w:r w:rsidRPr="00166B26">
        <w:rPr>
          <w:rFonts w:ascii="KaiTi" w:eastAsia="KaiTi" w:hAnsi="KaiTi"/>
          <w:i/>
          <w:szCs w:val="18"/>
        </w:rPr>
        <w:t xml:space="preserve">Scott H. </w:t>
      </w:r>
      <w:proofErr w:type="spellStart"/>
      <w:r w:rsidRPr="00166B26">
        <w:rPr>
          <w:rFonts w:ascii="KaiTi" w:eastAsia="KaiTi" w:hAnsi="KaiTi"/>
          <w:i/>
          <w:szCs w:val="18"/>
        </w:rPr>
        <w:t>Blackmand</w:t>
      </w:r>
      <w:proofErr w:type="spellEnd"/>
      <w:r w:rsidRPr="00166B26">
        <w:rPr>
          <w:rFonts w:ascii="KaiTi" w:eastAsia="KaiTi" w:hAnsi="KaiTi"/>
          <w:i/>
          <w:szCs w:val="18"/>
        </w:rPr>
        <w:t>, Alternative Dispute Resolution in Commercial Intellectual Property Disputes, 47 American University Law Review 1709, 1732--33 (1998</w:t>
      </w:r>
      <w:proofErr w:type="gramStart"/>
      <w:r w:rsidRPr="00166B26">
        <w:rPr>
          <w:rFonts w:ascii="KaiTi" w:eastAsia="KaiTi" w:hAnsi="KaiTi"/>
          <w:i/>
          <w:szCs w:val="18"/>
        </w:rPr>
        <w:t>)</w:t>
      </w:r>
      <w:r w:rsidRPr="00166B26">
        <w:rPr>
          <w:rFonts w:ascii="KaiTi" w:eastAsia="KaiTi" w:hAnsi="KaiTi" w:hint="eastAsia"/>
          <w:i/>
          <w:szCs w:val="18"/>
        </w:rPr>
        <w:t>。</w:t>
      </w:r>
      <w:proofErr w:type="gramEnd"/>
      <w:r w:rsidRPr="00166B26">
        <w:rPr>
          <w:rFonts w:ascii="KaiTi" w:eastAsia="KaiTi" w:hAnsi="KaiTi" w:hint="eastAsia"/>
          <w:i/>
          <w:szCs w:val="18"/>
        </w:rPr>
        <w:t>还可参见</w:t>
      </w:r>
      <w:r w:rsidRPr="00166B26">
        <w:rPr>
          <w:rFonts w:ascii="KaiTi" w:eastAsia="KaiTi" w:hAnsi="KaiTi"/>
          <w:i/>
          <w:szCs w:val="18"/>
        </w:rPr>
        <w:t>Julia A. Martin, Arbitrating in the Alps Rather than Litigating in Los Angeles: The Advantages of International Intellectual Property–Specific Alternative Dispute Resolution, 49 Stanford Law Review 917, 953-54 (1997)</w:t>
      </w:r>
      <w:r w:rsidRPr="00166B26">
        <w:rPr>
          <w:rFonts w:ascii="KaiTi" w:eastAsia="KaiTi" w:hAnsi="KaiTi" w:hint="eastAsia"/>
          <w:i/>
          <w:szCs w:val="18"/>
        </w:rPr>
        <w:t>。</w:t>
      </w:r>
    </w:p>
  </w:footnote>
  <w:footnote w:id="11">
    <w:p w:rsidR="00216CCF" w:rsidRPr="00556F58" w:rsidRDefault="00216CCF" w:rsidP="001E1A3F">
      <w:pPr>
        <w:pStyle w:val="a9"/>
        <w:tabs>
          <w:tab w:val="left" w:pos="480"/>
        </w:tabs>
        <w:adjustRightInd w:val="0"/>
        <w:spacing w:afterLines="30" w:after="72" w:line="320" w:lineRule="atLeast"/>
        <w:jc w:val="both"/>
        <w:rPr>
          <w:rFonts w:ascii="SimSun" w:hAnsi="SimSun"/>
          <w:i/>
          <w:szCs w:val="18"/>
        </w:rPr>
      </w:pPr>
      <w:r w:rsidRPr="00166B26">
        <w:rPr>
          <w:rFonts w:ascii="SimSun" w:hAnsi="SimSun"/>
          <w:szCs w:val="18"/>
          <w:vertAlign w:val="superscript"/>
        </w:rPr>
        <w:footnoteRef/>
      </w:r>
      <w:r w:rsidR="00556F58">
        <w:rPr>
          <w:rFonts w:ascii="SimSun" w:hAnsi="SimSun" w:hint="eastAsia"/>
          <w:i/>
          <w:szCs w:val="18"/>
        </w:rPr>
        <w:tab/>
      </w:r>
      <w:r w:rsidRPr="00166B26">
        <w:rPr>
          <w:rFonts w:ascii="KaiTi" w:eastAsia="KaiTi" w:hAnsi="KaiTi" w:hint="eastAsia"/>
          <w:i/>
          <w:szCs w:val="18"/>
        </w:rPr>
        <w:t>1958年《关于承认和执行外国仲裁裁决的联合国公约》</w:t>
      </w:r>
      <w:r w:rsidRPr="00166B26">
        <w:rPr>
          <w:rFonts w:ascii="KaiTi" w:eastAsia="KaiTi" w:hAnsi="KaiTi"/>
          <w:i/>
          <w:szCs w:val="18"/>
        </w:rPr>
        <w:t>(</w:t>
      </w:r>
      <w:r w:rsidRPr="00166B26">
        <w:rPr>
          <w:rFonts w:ascii="KaiTi" w:eastAsia="KaiTi" w:hAnsi="KaiTi" w:hint="eastAsia"/>
          <w:i/>
          <w:szCs w:val="18"/>
        </w:rPr>
        <w:t>《纽约公约》</w:t>
      </w:r>
      <w:r w:rsidRPr="00166B26">
        <w:rPr>
          <w:rFonts w:ascii="KaiTi" w:eastAsia="KaiTi" w:hAnsi="KaiTi"/>
          <w:i/>
          <w:szCs w:val="18"/>
        </w:rPr>
        <w:t>), 330 U.N.T.S. 3, 21 U.S.T. 2517, TIAS 6997 (1958</w:t>
      </w:r>
      <w:r w:rsidRPr="00166B26">
        <w:rPr>
          <w:rFonts w:ascii="KaiTi" w:eastAsia="KaiTi" w:hAnsi="KaiTi" w:hint="eastAsia"/>
          <w:i/>
          <w:szCs w:val="18"/>
        </w:rPr>
        <w:t>年6月10日</w:t>
      </w:r>
      <w:proofErr w:type="gramStart"/>
      <w:r w:rsidRPr="00166B26">
        <w:rPr>
          <w:rFonts w:ascii="KaiTi" w:eastAsia="KaiTi" w:hAnsi="KaiTi"/>
          <w:i/>
          <w:szCs w:val="18"/>
        </w:rPr>
        <w:t>)</w:t>
      </w:r>
      <w:r w:rsidRPr="00166B26">
        <w:rPr>
          <w:rFonts w:ascii="KaiTi" w:eastAsia="KaiTi" w:hAnsi="KaiTi" w:hint="eastAsia"/>
          <w:i/>
          <w:szCs w:val="18"/>
        </w:rPr>
        <w:t>。</w:t>
      </w:r>
      <w:proofErr w:type="gramEnd"/>
    </w:p>
  </w:footnote>
  <w:footnote w:id="12">
    <w:p w:rsidR="00216CCF" w:rsidRPr="00556F58" w:rsidRDefault="00216CCF" w:rsidP="00556F58">
      <w:pPr>
        <w:pStyle w:val="a9"/>
        <w:adjustRightInd w:val="0"/>
        <w:spacing w:afterLines="30" w:after="72" w:line="320" w:lineRule="atLeast"/>
        <w:jc w:val="both"/>
        <w:rPr>
          <w:rFonts w:ascii="SimSun" w:hAnsi="SimSun"/>
          <w:i/>
          <w:szCs w:val="18"/>
        </w:rPr>
      </w:pPr>
      <w:r w:rsidRPr="00166B26">
        <w:rPr>
          <w:rFonts w:ascii="SimSun" w:hAnsi="SimSun"/>
          <w:szCs w:val="18"/>
          <w:vertAlign w:val="superscript"/>
        </w:rPr>
        <w:footnoteRef/>
      </w:r>
      <w:r w:rsidR="00556F58">
        <w:rPr>
          <w:rFonts w:ascii="SimSun" w:hAnsi="SimSun" w:hint="eastAsia"/>
          <w:i/>
          <w:szCs w:val="18"/>
        </w:rPr>
        <w:tab/>
      </w:r>
      <w:proofErr w:type="gramStart"/>
      <w:r w:rsidRPr="00166B26">
        <w:rPr>
          <w:rFonts w:ascii="KaiTi" w:eastAsia="KaiTi" w:hAnsi="KaiTi" w:hint="eastAsia"/>
          <w:i/>
          <w:szCs w:val="18"/>
        </w:rPr>
        <w:t>通常请</w:t>
      </w:r>
      <w:proofErr w:type="gramEnd"/>
      <w:r w:rsidRPr="00166B26">
        <w:rPr>
          <w:rFonts w:ascii="KaiTi" w:eastAsia="KaiTi" w:hAnsi="KaiTi" w:hint="eastAsia"/>
          <w:i/>
          <w:szCs w:val="18"/>
        </w:rPr>
        <w:t>参见</w:t>
      </w:r>
      <w:r w:rsidRPr="00166B26">
        <w:rPr>
          <w:rFonts w:ascii="KaiTi" w:eastAsia="KaiTi" w:hAnsi="KaiTi"/>
          <w:i/>
          <w:szCs w:val="18"/>
        </w:rPr>
        <w:t xml:space="preserve"> M. A. Smith, </w:t>
      </w:r>
      <w:proofErr w:type="gramStart"/>
      <w:r w:rsidRPr="00166B26">
        <w:rPr>
          <w:rFonts w:ascii="KaiTi" w:eastAsia="KaiTi" w:hAnsi="KaiTi"/>
          <w:i/>
          <w:szCs w:val="18"/>
        </w:rPr>
        <w:t>et</w:t>
      </w:r>
      <w:proofErr w:type="gramEnd"/>
      <w:r w:rsidRPr="00166B26">
        <w:rPr>
          <w:rFonts w:ascii="KaiTi" w:eastAsia="KaiTi" w:hAnsi="KaiTi"/>
          <w:i/>
          <w:szCs w:val="18"/>
        </w:rPr>
        <w:t>. al., Arbitration of Patent Infringement and Validity Issues Worldwide,</w:t>
      </w:r>
      <w:r w:rsidRPr="00556F58">
        <w:rPr>
          <w:rFonts w:ascii="SimSun" w:hAnsi="SimSun"/>
          <w:i/>
          <w:szCs w:val="18"/>
        </w:rPr>
        <w:t xml:space="preserve"> </w:t>
      </w:r>
      <w:r w:rsidRPr="00166B26">
        <w:rPr>
          <w:rFonts w:ascii="KaiTi" w:eastAsia="KaiTi" w:hAnsi="KaiTi"/>
          <w:i/>
          <w:szCs w:val="18"/>
        </w:rPr>
        <w:t>Harvard Journal of Law and Technology 299 (2006</w:t>
      </w:r>
      <w:proofErr w:type="gramStart"/>
      <w:r w:rsidRPr="00166B26">
        <w:rPr>
          <w:rFonts w:ascii="KaiTi" w:eastAsia="KaiTi" w:hAnsi="KaiTi"/>
          <w:i/>
          <w:szCs w:val="18"/>
        </w:rPr>
        <w:t>)</w:t>
      </w:r>
      <w:r w:rsidRPr="00166B26">
        <w:rPr>
          <w:rFonts w:ascii="KaiTi" w:eastAsia="KaiTi" w:hAnsi="KaiTi" w:hint="eastAsia"/>
          <w:i/>
          <w:szCs w:val="18"/>
        </w:rPr>
        <w:t>。</w:t>
      </w:r>
      <w:proofErr w:type="gramEnd"/>
    </w:p>
  </w:footnote>
  <w:footnote w:id="13">
    <w:p w:rsidR="00216CCF" w:rsidRPr="00556F58" w:rsidRDefault="00216CCF" w:rsidP="001E1A3F">
      <w:pPr>
        <w:pStyle w:val="a9"/>
        <w:tabs>
          <w:tab w:val="left" w:pos="480"/>
        </w:tabs>
        <w:adjustRightInd w:val="0"/>
        <w:spacing w:afterLines="30" w:after="72" w:line="320" w:lineRule="atLeast"/>
        <w:jc w:val="both"/>
        <w:rPr>
          <w:rFonts w:ascii="SimSun" w:hAnsi="SimSun"/>
          <w:i/>
          <w:szCs w:val="18"/>
        </w:rPr>
      </w:pPr>
      <w:r w:rsidRPr="00166B26">
        <w:rPr>
          <w:rFonts w:ascii="SimSun" w:hAnsi="SimSun"/>
          <w:szCs w:val="18"/>
          <w:vertAlign w:val="superscript"/>
        </w:rPr>
        <w:footnoteRef/>
      </w:r>
      <w:r w:rsidR="00556F58">
        <w:rPr>
          <w:rFonts w:ascii="SimSun" w:hAnsi="SimSun" w:hint="eastAsia"/>
          <w:i/>
          <w:szCs w:val="18"/>
        </w:rPr>
        <w:tab/>
      </w:r>
      <w:r w:rsidR="00166B26">
        <w:rPr>
          <w:rFonts w:ascii="SimSun" w:hAnsi="SimSun"/>
          <w:i/>
          <w:szCs w:val="18"/>
        </w:rPr>
        <w:t>Id.</w:t>
      </w:r>
      <w:r w:rsidRPr="00166B26">
        <w:rPr>
          <w:rFonts w:ascii="KaiTi" w:eastAsia="KaiTi" w:hAnsi="KaiTi" w:hint="eastAsia"/>
          <w:i/>
          <w:szCs w:val="18"/>
        </w:rPr>
        <w:t>也请参见</w:t>
      </w:r>
      <w:r w:rsidRPr="00166B26">
        <w:rPr>
          <w:rFonts w:ascii="KaiTi" w:eastAsia="KaiTi" w:hAnsi="KaiTi"/>
          <w:i/>
          <w:szCs w:val="18"/>
        </w:rPr>
        <w:t>Martin, supra note 9, at 944-46</w:t>
      </w:r>
      <w:r w:rsidRPr="00166B26">
        <w:rPr>
          <w:rFonts w:ascii="KaiTi" w:eastAsia="KaiTi" w:hAnsi="KaiTi" w:hint="eastAsia"/>
          <w:i/>
          <w:szCs w:val="18"/>
        </w:rPr>
        <w:t>。</w:t>
      </w:r>
    </w:p>
  </w:footnote>
  <w:footnote w:id="14">
    <w:p w:rsidR="00216CCF" w:rsidRPr="00556F58" w:rsidRDefault="00216CCF" w:rsidP="001E1A3F">
      <w:pPr>
        <w:pStyle w:val="a9"/>
        <w:tabs>
          <w:tab w:val="left" w:pos="480"/>
        </w:tabs>
        <w:adjustRightInd w:val="0"/>
        <w:spacing w:afterLines="30" w:after="72" w:line="320" w:lineRule="atLeast"/>
        <w:jc w:val="both"/>
        <w:rPr>
          <w:rFonts w:ascii="SimSun" w:hAnsi="SimSun"/>
          <w:i/>
          <w:szCs w:val="18"/>
        </w:rPr>
      </w:pPr>
      <w:r w:rsidRPr="00166B26">
        <w:rPr>
          <w:rFonts w:ascii="SimSun" w:hAnsi="SimSun"/>
          <w:szCs w:val="18"/>
          <w:vertAlign w:val="superscript"/>
        </w:rPr>
        <w:footnoteRef/>
      </w:r>
      <w:r w:rsidR="00556F58">
        <w:rPr>
          <w:rFonts w:ascii="SimSun" w:hAnsi="SimSun" w:hint="eastAsia"/>
          <w:i/>
          <w:szCs w:val="18"/>
        </w:rPr>
        <w:tab/>
      </w:r>
      <w:r w:rsidRPr="00166B26">
        <w:rPr>
          <w:rFonts w:ascii="KaiTi" w:eastAsia="KaiTi" w:hAnsi="KaiTi" w:hint="eastAsia"/>
          <w:i/>
          <w:szCs w:val="18"/>
        </w:rPr>
        <w:t>尽管ADR为解决专利和知识产权争议提供了经济方面的激励机制，仍有人担心其会有碍于公共利益。专利是“反垄断权一般性规则的一种例外，是自由开放市场的准入权。”专利是授予特定人的一种权利，从而将其他人排除在外。因此，非常希望与专利相关的独占权能</w:t>
      </w:r>
      <w:proofErr w:type="gramStart"/>
      <w:r w:rsidRPr="00166B26">
        <w:rPr>
          <w:rFonts w:ascii="KaiTi" w:eastAsia="KaiTi" w:hAnsi="KaiTi" w:hint="eastAsia"/>
          <w:i/>
          <w:szCs w:val="18"/>
        </w:rPr>
        <w:t>够仅仅</w:t>
      </w:r>
      <w:proofErr w:type="gramEnd"/>
      <w:r w:rsidRPr="00166B26">
        <w:rPr>
          <w:rFonts w:ascii="KaiTi" w:eastAsia="KaiTi" w:hAnsi="KaiTi" w:hint="eastAsia"/>
          <w:i/>
          <w:szCs w:val="18"/>
        </w:rPr>
        <w:t>授予那些开展了有效研究的人。与政府合同和雇员纠纷不同，争议各方之外的人关心的是一项专利有效性的结果—特别是专利持有人的竞争者。司法审查和开</w:t>
      </w:r>
      <w:proofErr w:type="gramStart"/>
      <w:r w:rsidRPr="00166B26">
        <w:rPr>
          <w:rFonts w:ascii="KaiTi" w:eastAsia="KaiTi" w:hAnsi="KaiTi" w:hint="eastAsia"/>
          <w:i/>
          <w:szCs w:val="18"/>
        </w:rPr>
        <w:t>示程序</w:t>
      </w:r>
      <w:proofErr w:type="gramEnd"/>
      <w:r w:rsidRPr="00166B26">
        <w:rPr>
          <w:rFonts w:ascii="KaiTi" w:eastAsia="KaiTi" w:hAnsi="KaiTi" w:hint="eastAsia"/>
          <w:i/>
          <w:szCs w:val="18"/>
        </w:rPr>
        <w:t>中的全面披露被用来通过授予有效的财产权利来保护社会和经济利益。</w:t>
      </w:r>
      <w:r w:rsidRPr="00166B26">
        <w:rPr>
          <w:rFonts w:ascii="KaiTi" w:eastAsia="KaiTi" w:hAnsi="KaiTi"/>
          <w:i/>
          <w:szCs w:val="18"/>
        </w:rPr>
        <w:t>Hitter, supra note 8, at 463</w:t>
      </w:r>
      <w:r w:rsidRPr="00166B26">
        <w:rPr>
          <w:rFonts w:ascii="KaiTi" w:eastAsia="KaiTi" w:hAnsi="KaiTi" w:hint="eastAsia"/>
          <w:i/>
          <w:szCs w:val="18"/>
        </w:rPr>
        <w:t>。</w:t>
      </w:r>
    </w:p>
  </w:footnote>
  <w:footnote w:id="15">
    <w:p w:rsidR="00216CCF" w:rsidRPr="00556F58" w:rsidRDefault="00216CCF" w:rsidP="001E1A3F">
      <w:pPr>
        <w:pStyle w:val="a9"/>
        <w:tabs>
          <w:tab w:val="left" w:pos="480"/>
        </w:tabs>
        <w:adjustRightInd w:val="0"/>
        <w:spacing w:afterLines="30" w:after="72" w:line="320" w:lineRule="atLeast"/>
        <w:jc w:val="both"/>
        <w:rPr>
          <w:rFonts w:ascii="SimSun" w:hAnsi="SimSun"/>
          <w:i/>
          <w:szCs w:val="18"/>
        </w:rPr>
      </w:pPr>
      <w:r w:rsidRPr="00166B26">
        <w:rPr>
          <w:rFonts w:ascii="SimSun" w:hAnsi="SimSun"/>
          <w:szCs w:val="18"/>
          <w:vertAlign w:val="superscript"/>
        </w:rPr>
        <w:footnoteRef/>
      </w:r>
      <w:r w:rsidR="00556F58">
        <w:rPr>
          <w:rFonts w:ascii="SimSun" w:hAnsi="SimSun" w:hint="eastAsia"/>
          <w:i/>
          <w:szCs w:val="18"/>
        </w:rPr>
        <w:tab/>
      </w:r>
      <w:r w:rsidRPr="00166B26">
        <w:rPr>
          <w:rFonts w:ascii="KaiTi" w:eastAsia="KaiTi" w:hAnsi="KaiTi"/>
          <w:i/>
          <w:szCs w:val="18"/>
        </w:rPr>
        <w:t>Lucille M. Ponte &amp; Erika M. Brown, Resolving Information Technology Disputes After NAFTA: A Practical Comparison of Domestic and International Arbitration, 7 Tulane Journal of International &amp; Comparative Law 43, 63-65 (1999</w:t>
      </w:r>
      <w:proofErr w:type="gramStart"/>
      <w:r w:rsidRPr="00166B26">
        <w:rPr>
          <w:rFonts w:ascii="KaiTi" w:eastAsia="KaiTi" w:hAnsi="KaiTi"/>
          <w:i/>
          <w:szCs w:val="18"/>
        </w:rPr>
        <w:t>)</w:t>
      </w:r>
      <w:r w:rsidRPr="00166B26">
        <w:rPr>
          <w:rFonts w:ascii="KaiTi" w:eastAsia="KaiTi" w:hAnsi="KaiTi" w:hint="eastAsia"/>
          <w:i/>
          <w:szCs w:val="18"/>
        </w:rPr>
        <w:t>。</w:t>
      </w:r>
      <w:proofErr w:type="gramEnd"/>
    </w:p>
  </w:footnote>
  <w:footnote w:id="16">
    <w:p w:rsidR="00216CCF" w:rsidRPr="00942D68" w:rsidRDefault="00216CCF" w:rsidP="001E1A3F">
      <w:pPr>
        <w:pStyle w:val="a9"/>
        <w:tabs>
          <w:tab w:val="left" w:pos="480"/>
        </w:tabs>
        <w:adjustRightInd w:val="0"/>
        <w:spacing w:afterLines="30" w:after="72" w:line="320" w:lineRule="atLeast"/>
        <w:jc w:val="both"/>
        <w:rPr>
          <w:rFonts w:ascii="SimSun" w:hAnsi="SimSun"/>
          <w:szCs w:val="18"/>
        </w:rPr>
      </w:pPr>
      <w:r w:rsidRPr="00166B26">
        <w:rPr>
          <w:rFonts w:ascii="SimSun" w:hAnsi="SimSun"/>
          <w:szCs w:val="18"/>
          <w:vertAlign w:val="superscript"/>
        </w:rPr>
        <w:footnoteRef/>
      </w:r>
      <w:r w:rsidR="00556F58">
        <w:rPr>
          <w:rFonts w:ascii="SimSun" w:hAnsi="SimSun" w:hint="eastAsia"/>
          <w:i/>
          <w:szCs w:val="18"/>
        </w:rPr>
        <w:tab/>
      </w:r>
      <w:r w:rsidRPr="00942D68">
        <w:rPr>
          <w:rFonts w:ascii="SimSun" w:hAnsi="SimSun" w:hint="eastAsia"/>
          <w:szCs w:val="18"/>
        </w:rPr>
        <w:t>“对[仲裁]违法可能性表达过担忧的主要评论者们提出各类建议，敦促对程序进行大规模改革，以增加国际仲裁获得适当法律成果的可能性”，</w:t>
      </w:r>
      <w:r w:rsidRPr="00942D68">
        <w:rPr>
          <w:rFonts w:ascii="SimSun" w:hAnsi="SimSun"/>
          <w:szCs w:val="18"/>
        </w:rPr>
        <w:t xml:space="preserve">Philip J. </w:t>
      </w:r>
      <w:proofErr w:type="spellStart"/>
      <w:r w:rsidRPr="00942D68">
        <w:rPr>
          <w:rFonts w:ascii="SimSun" w:hAnsi="SimSun"/>
          <w:szCs w:val="18"/>
        </w:rPr>
        <w:t>McConnaughay</w:t>
      </w:r>
      <w:proofErr w:type="spellEnd"/>
      <w:r w:rsidRPr="00942D68">
        <w:rPr>
          <w:rFonts w:ascii="SimSun" w:hAnsi="SimSun" w:hint="eastAsia"/>
          <w:szCs w:val="18"/>
        </w:rPr>
        <w:t>对这些建议总结如下：</w:t>
      </w:r>
    </w:p>
    <w:p w:rsidR="00216CCF" w:rsidRPr="00942D68" w:rsidRDefault="00216CCF" w:rsidP="001E1A3F">
      <w:pPr>
        <w:tabs>
          <w:tab w:val="left" w:pos="0"/>
        </w:tabs>
        <w:adjustRightInd w:val="0"/>
        <w:spacing w:afterLines="30" w:after="72" w:line="320" w:lineRule="atLeast"/>
        <w:ind w:left="480"/>
        <w:jc w:val="both"/>
        <w:rPr>
          <w:rFonts w:ascii="SimSun" w:hAnsi="SimSun"/>
          <w:sz w:val="18"/>
          <w:szCs w:val="18"/>
        </w:rPr>
      </w:pPr>
      <w:r w:rsidRPr="00942D68">
        <w:rPr>
          <w:rFonts w:ascii="SimSun" w:hAnsi="SimSun" w:hint="eastAsia"/>
          <w:sz w:val="18"/>
          <w:szCs w:val="18"/>
        </w:rPr>
        <w:t>拟议的改革扩展到强制性和非强制性法律案件等情况。这些建议都呼吁增加仲裁过程的透明度、程序规则更加统一、证据规则标准、仲裁选项合理、并公开仲裁选项和决定。一些评论者甚至提出，通过将上述改革措施纳入审判制度，设立单一的中立国际机构来管理所有的国际商业仲裁。</w:t>
      </w:r>
    </w:p>
    <w:p w:rsidR="00216CCF" w:rsidRPr="00556F58" w:rsidRDefault="00216CCF" w:rsidP="0055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Lines="30" w:after="72" w:line="320" w:lineRule="atLeast"/>
        <w:jc w:val="both"/>
        <w:rPr>
          <w:rFonts w:ascii="SimSun" w:hAnsi="SimSun"/>
        </w:rPr>
      </w:pPr>
      <w:r w:rsidRPr="00556F58">
        <w:rPr>
          <w:rFonts w:ascii="SimSun" w:hAnsi="SimSun"/>
          <w:sz w:val="18"/>
          <w:szCs w:val="18"/>
        </w:rPr>
        <w:t xml:space="preserve">Philip J. </w:t>
      </w:r>
      <w:proofErr w:type="spellStart"/>
      <w:r w:rsidRPr="00556F58">
        <w:rPr>
          <w:rFonts w:ascii="SimSun" w:hAnsi="SimSun"/>
          <w:sz w:val="18"/>
          <w:szCs w:val="18"/>
        </w:rPr>
        <w:t>McConnaughay</w:t>
      </w:r>
      <w:proofErr w:type="spellEnd"/>
      <w:r w:rsidRPr="00556F58">
        <w:rPr>
          <w:rFonts w:ascii="SimSun" w:hAnsi="SimSun"/>
          <w:sz w:val="18"/>
          <w:szCs w:val="18"/>
        </w:rPr>
        <w:t xml:space="preserve">, </w:t>
      </w:r>
      <w:r w:rsidRPr="00556F58">
        <w:rPr>
          <w:rFonts w:ascii="SimSun" w:hAnsi="SimSun"/>
          <w:i/>
          <w:sz w:val="18"/>
          <w:szCs w:val="18"/>
        </w:rPr>
        <w:t>The Risks and Virtues of Lawlessness: A “Second Look” at International Commercial Arbitration,</w:t>
      </w:r>
      <w:r w:rsidRPr="00556F58">
        <w:rPr>
          <w:rFonts w:ascii="SimSun" w:hAnsi="SimSun"/>
          <w:sz w:val="18"/>
          <w:szCs w:val="18"/>
        </w:rPr>
        <w:t xml:space="preserve"> 93 </w:t>
      </w:r>
      <w:r w:rsidRPr="00556F58">
        <w:rPr>
          <w:rFonts w:ascii="SimSun" w:hAnsi="SimSun"/>
          <w:smallCaps/>
          <w:sz w:val="18"/>
          <w:szCs w:val="18"/>
        </w:rPr>
        <w:t>Northwestern University Law Review</w:t>
      </w:r>
      <w:r w:rsidRPr="00556F58">
        <w:rPr>
          <w:rFonts w:ascii="SimSun" w:hAnsi="SimSun"/>
          <w:sz w:val="18"/>
          <w:szCs w:val="18"/>
        </w:rPr>
        <w:t xml:space="preserve"> 453, 457–58 (1999</w:t>
      </w:r>
      <w:proofErr w:type="gramStart"/>
      <w:r w:rsidRPr="00556F58">
        <w:rPr>
          <w:rFonts w:ascii="SimSun" w:hAnsi="SimSun"/>
          <w:sz w:val="18"/>
          <w:szCs w:val="18"/>
        </w:rPr>
        <w:t>)</w:t>
      </w:r>
      <w:r w:rsidRPr="00556F58">
        <w:rPr>
          <w:rFonts w:ascii="SimSun" w:hAnsi="SimSun" w:hint="eastAsia"/>
          <w:sz w:val="18"/>
          <w:szCs w:val="18"/>
        </w:rPr>
        <w:t>。</w:t>
      </w:r>
      <w:proofErr w:type="gramEnd"/>
    </w:p>
  </w:footnote>
  <w:footnote w:id="17">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Fonts w:ascii="SimSun" w:hAnsi="SimSun"/>
          <w:szCs w:val="18"/>
          <w:vertAlign w:val="superscript"/>
        </w:rPr>
        <w:footnoteRef/>
      </w:r>
      <w:r w:rsidR="00556F58">
        <w:rPr>
          <w:rFonts w:ascii="SimSun" w:hAnsi="SimSun" w:hint="eastAsia"/>
          <w:szCs w:val="18"/>
        </w:rPr>
        <w:tab/>
      </w:r>
      <w:r w:rsidRPr="00556F58">
        <w:rPr>
          <w:rFonts w:ascii="SimSun" w:hAnsi="SimSun"/>
          <w:i/>
          <w:szCs w:val="18"/>
        </w:rPr>
        <w:t xml:space="preserve">Id. </w:t>
      </w:r>
      <w:r w:rsidRPr="00556F58">
        <w:rPr>
          <w:rFonts w:ascii="SimSun" w:hAnsi="SimSun"/>
          <w:szCs w:val="18"/>
        </w:rPr>
        <w:t xml:space="preserve">at </w:t>
      </w:r>
      <w:r w:rsidRPr="00556F58">
        <w:rPr>
          <w:rFonts w:ascii="SimSun" w:hAnsi="SimSun"/>
          <w:i/>
          <w:szCs w:val="18"/>
        </w:rPr>
        <w:t>458</w:t>
      </w:r>
      <w:r w:rsidRPr="00556F58">
        <w:rPr>
          <w:rFonts w:ascii="SimSun" w:hAnsi="SimSun"/>
          <w:szCs w:val="18"/>
        </w:rPr>
        <w:t>–45</w:t>
      </w:r>
      <w:r w:rsidRPr="00556F58">
        <w:rPr>
          <w:rFonts w:ascii="SimSun" w:hAnsi="SimSun" w:hint="eastAsia"/>
          <w:szCs w:val="18"/>
        </w:rPr>
        <w:t>。</w:t>
      </w:r>
    </w:p>
  </w:footnote>
  <w:footnote w:id="18">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Fonts w:ascii="SimSun" w:hAnsi="SimSun"/>
          <w:szCs w:val="18"/>
          <w:vertAlign w:val="superscript"/>
        </w:rPr>
        <w:footnoteRef/>
      </w:r>
      <w:r w:rsidR="00556F58">
        <w:rPr>
          <w:rFonts w:ascii="SimSun" w:hAnsi="SimSun" w:hint="eastAsia"/>
          <w:szCs w:val="18"/>
        </w:rPr>
        <w:tab/>
      </w:r>
      <w:r w:rsidRPr="00556F58">
        <w:rPr>
          <w:rFonts w:ascii="SimSun" w:hAnsi="SimSun"/>
          <w:i/>
          <w:szCs w:val="18"/>
        </w:rPr>
        <w:t>Id.,</w:t>
      </w:r>
      <w:r w:rsidRPr="00556F58">
        <w:rPr>
          <w:rFonts w:ascii="SimSun" w:hAnsi="SimSun"/>
          <w:szCs w:val="18"/>
        </w:rPr>
        <w:t xml:space="preserve"> at </w:t>
      </w:r>
      <w:r w:rsidRPr="00556F58">
        <w:rPr>
          <w:rFonts w:ascii="SimSun" w:hAnsi="SimSun"/>
          <w:i/>
          <w:szCs w:val="18"/>
        </w:rPr>
        <w:t>458</w:t>
      </w:r>
      <w:r w:rsidRPr="00556F58">
        <w:rPr>
          <w:rFonts w:ascii="SimSun" w:hAnsi="SimSun" w:hint="eastAsia"/>
          <w:szCs w:val="18"/>
        </w:rPr>
        <w:t>：“</w:t>
      </w:r>
      <w:proofErr w:type="gramStart"/>
      <w:r w:rsidRPr="00556F58">
        <w:rPr>
          <w:rFonts w:ascii="SimSun" w:hAnsi="SimSun" w:hint="eastAsia"/>
          <w:szCs w:val="18"/>
        </w:rPr>
        <w:t>针对[</w:t>
      </w:r>
      <w:proofErr w:type="gramEnd"/>
      <w:r w:rsidRPr="00556F58">
        <w:rPr>
          <w:rFonts w:ascii="SimSun" w:hAnsi="SimSun" w:hint="eastAsia"/>
          <w:szCs w:val="18"/>
        </w:rPr>
        <w:t>亚洲和大部分发展中国家]参与者的商业争议解决方案的成功往往正表明了仲裁改革支持者希望予以取代的那些仲裁‘违法性’特征可得到应用：谨慎保密、程序和证据的全面灵活性、缺乏合理意见以及公布的仲裁决定归咎于违法、谴责和过错。”</w:t>
      </w:r>
    </w:p>
  </w:footnote>
  <w:footnote w:id="19">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Fonts w:ascii="SimSun" w:hAnsi="SimSun"/>
          <w:szCs w:val="18"/>
          <w:vertAlign w:val="superscript"/>
        </w:rPr>
        <w:footnoteRef/>
      </w:r>
      <w:r w:rsidR="00556F58">
        <w:rPr>
          <w:rFonts w:ascii="SimSun" w:hAnsi="SimSun" w:hint="eastAsia"/>
          <w:szCs w:val="18"/>
        </w:rPr>
        <w:tab/>
      </w:r>
      <w:r w:rsidRPr="00556F58">
        <w:rPr>
          <w:rFonts w:ascii="SimSun" w:hAnsi="SimSun"/>
          <w:szCs w:val="18"/>
        </w:rPr>
        <w:t>WIPO</w:t>
      </w:r>
      <w:r w:rsidRPr="00556F58">
        <w:rPr>
          <w:rFonts w:ascii="SimSun" w:hAnsi="SimSun" w:hint="eastAsia"/>
          <w:szCs w:val="18"/>
        </w:rPr>
        <w:t>，</w:t>
      </w:r>
      <w:r w:rsidRPr="00556F58">
        <w:rPr>
          <w:rFonts w:ascii="SimSun" w:hAnsi="SimSun"/>
          <w:i/>
          <w:szCs w:val="18"/>
        </w:rPr>
        <w:t>Expert</w:t>
      </w:r>
      <w:r w:rsidRPr="00556F58">
        <w:rPr>
          <w:rFonts w:ascii="SimSun" w:hAnsi="SimSun"/>
          <w:szCs w:val="18"/>
        </w:rPr>
        <w:t xml:space="preserve"> Determination</w:t>
      </w:r>
      <w:r w:rsidRPr="00556F58">
        <w:rPr>
          <w:rFonts w:ascii="SimSun" w:hAnsi="SimSun" w:hint="eastAsia"/>
          <w:szCs w:val="18"/>
        </w:rPr>
        <w:t>，</w:t>
      </w:r>
      <w:r w:rsidRPr="00942D68">
        <w:rPr>
          <w:rFonts w:ascii="KaiTi" w:eastAsia="KaiTi" w:hAnsi="KaiTi" w:hint="eastAsia"/>
          <w:i/>
          <w:szCs w:val="18"/>
        </w:rPr>
        <w:t>参见</w:t>
      </w:r>
      <w:hyperlink r:id="rId1" w:history="1">
        <w:r w:rsidRPr="00556F58">
          <w:rPr>
            <w:rStyle w:val="ae"/>
            <w:rFonts w:ascii="SimSun" w:hAnsi="SimSun"/>
            <w:szCs w:val="18"/>
          </w:rPr>
          <w:t>http://www.wipo.int/amc/en/expert-determination/,</w:t>
        </w:r>
      </w:hyperlink>
      <w:r w:rsidRPr="00556F58">
        <w:rPr>
          <w:rFonts w:ascii="SimSun" w:hAnsi="SimSun"/>
          <w:szCs w:val="18"/>
        </w:rPr>
        <w:t xml:space="preserve"> (</w:t>
      </w:r>
      <w:r w:rsidRPr="00556F58">
        <w:rPr>
          <w:rFonts w:ascii="SimSun" w:hAnsi="SimSun" w:hint="eastAsia"/>
          <w:szCs w:val="18"/>
        </w:rPr>
        <w:t>最近访问于</w:t>
      </w:r>
      <w:r w:rsidRPr="00556F58">
        <w:rPr>
          <w:rFonts w:ascii="SimSun" w:hAnsi="SimSun"/>
          <w:szCs w:val="18"/>
        </w:rPr>
        <w:t>2013</w:t>
      </w:r>
      <w:r w:rsidRPr="00556F58">
        <w:rPr>
          <w:rFonts w:ascii="SimSun" w:hAnsi="SimSun" w:hint="eastAsia"/>
          <w:szCs w:val="18"/>
        </w:rPr>
        <w:t>年11月21日</w:t>
      </w:r>
      <w:r w:rsidRPr="00556F58">
        <w:rPr>
          <w:rFonts w:ascii="SimSun" w:hAnsi="SimSun"/>
          <w:szCs w:val="18"/>
        </w:rPr>
        <w:t>)</w:t>
      </w:r>
      <w:r w:rsidRPr="00556F58">
        <w:rPr>
          <w:rFonts w:ascii="SimSun" w:hAnsi="SimSun" w:hint="eastAsia"/>
          <w:szCs w:val="18"/>
        </w:rPr>
        <w:t>。</w:t>
      </w:r>
    </w:p>
  </w:footnote>
  <w:footnote w:id="20">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Fonts w:ascii="SimSun" w:hAnsi="SimSun"/>
          <w:szCs w:val="18"/>
          <w:vertAlign w:val="superscript"/>
        </w:rPr>
        <w:footnoteRef/>
      </w:r>
      <w:r w:rsidR="00556F58">
        <w:rPr>
          <w:rFonts w:ascii="SimSun" w:hAnsi="SimSun" w:hint="eastAsia"/>
          <w:szCs w:val="18"/>
        </w:rPr>
        <w:tab/>
      </w:r>
      <w:r w:rsidRPr="00556F58">
        <w:rPr>
          <w:rFonts w:ascii="SimSun" w:hAnsi="SimSun"/>
          <w:szCs w:val="18"/>
        </w:rPr>
        <w:t>WIPO</w:t>
      </w:r>
      <w:r w:rsidRPr="00556F58">
        <w:rPr>
          <w:rFonts w:ascii="SimSun" w:hAnsi="SimSun" w:hint="eastAsia"/>
          <w:szCs w:val="18"/>
        </w:rPr>
        <w:t>仲裁与调解中心，</w:t>
      </w:r>
      <w:r w:rsidRPr="00942D68">
        <w:rPr>
          <w:rFonts w:ascii="KaiTi" w:eastAsia="KaiTi" w:hAnsi="KaiTi"/>
          <w:i/>
          <w:szCs w:val="18"/>
        </w:rPr>
        <w:t xml:space="preserve">Why Mediate/Arbitrate Intellectual Property Disputes? </w:t>
      </w:r>
      <w:r w:rsidRPr="00556F58">
        <w:rPr>
          <w:rFonts w:ascii="SimSun" w:hAnsi="SimSun"/>
          <w:szCs w:val="18"/>
        </w:rPr>
        <w:t xml:space="preserve">42 </w:t>
      </w:r>
      <w:r w:rsidRPr="00556F58">
        <w:rPr>
          <w:rFonts w:ascii="SimSun" w:hAnsi="SimSun"/>
          <w:smallCaps/>
          <w:szCs w:val="18"/>
        </w:rPr>
        <w:t xml:space="preserve">les </w:t>
      </w:r>
      <w:proofErr w:type="spellStart"/>
      <w:r w:rsidRPr="00556F58">
        <w:rPr>
          <w:rFonts w:ascii="SimSun" w:hAnsi="SimSun"/>
          <w:smallCaps/>
          <w:szCs w:val="18"/>
        </w:rPr>
        <w:t>Nouvelles</w:t>
      </w:r>
      <w:proofErr w:type="spellEnd"/>
      <w:r w:rsidRPr="00556F58">
        <w:rPr>
          <w:rFonts w:ascii="SimSun" w:hAnsi="SimSun"/>
          <w:szCs w:val="18"/>
        </w:rPr>
        <w:t xml:space="preserve"> 301, 303 (2007)</w:t>
      </w:r>
      <w:r w:rsidRPr="00556F58">
        <w:rPr>
          <w:rFonts w:ascii="SimSun" w:hAnsi="SimSun" w:hint="eastAsia"/>
          <w:szCs w:val="18"/>
        </w:rPr>
        <w:t>。</w:t>
      </w:r>
    </w:p>
  </w:footnote>
  <w:footnote w:id="21">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Fonts w:ascii="SimSun" w:hAnsi="SimSun"/>
          <w:szCs w:val="18"/>
          <w:vertAlign w:val="superscript"/>
        </w:rPr>
        <w:footnoteRef/>
      </w:r>
      <w:r w:rsidR="00556F58">
        <w:rPr>
          <w:rFonts w:ascii="SimSun" w:hAnsi="SimSun" w:hint="eastAsia"/>
          <w:szCs w:val="18"/>
        </w:rPr>
        <w:tab/>
      </w:r>
      <w:r w:rsidRPr="00556F58">
        <w:rPr>
          <w:rFonts w:ascii="SimSun" w:hAnsi="SimSun"/>
          <w:szCs w:val="18"/>
        </w:rPr>
        <w:t xml:space="preserve">Kevin R. </w:t>
      </w:r>
      <w:r w:rsidRPr="00556F58">
        <w:rPr>
          <w:rFonts w:ascii="SimSun" w:hAnsi="SimSun"/>
          <w:i/>
          <w:szCs w:val="18"/>
        </w:rPr>
        <w:t>Casey</w:t>
      </w:r>
      <w:r w:rsidRPr="00556F58">
        <w:rPr>
          <w:rFonts w:ascii="SimSun" w:hAnsi="SimSun"/>
          <w:szCs w:val="18"/>
        </w:rPr>
        <w:t xml:space="preserve">, </w:t>
      </w:r>
      <w:r w:rsidRPr="00942D68">
        <w:rPr>
          <w:rFonts w:ascii="KaiTi" w:eastAsia="KaiTi" w:hAnsi="KaiTi"/>
          <w:i/>
          <w:szCs w:val="18"/>
        </w:rPr>
        <w:t>Alternative Dispute Resolution and Patent Law</w:t>
      </w:r>
      <w:r w:rsidRPr="00942D68">
        <w:rPr>
          <w:rFonts w:ascii="KaiTi" w:eastAsia="KaiTi" w:hAnsi="KaiTi"/>
          <w:szCs w:val="18"/>
        </w:rPr>
        <w:t xml:space="preserve">, </w:t>
      </w:r>
      <w:r w:rsidRPr="00556F58">
        <w:rPr>
          <w:rFonts w:ascii="SimSun" w:hAnsi="SimSun"/>
          <w:szCs w:val="18"/>
        </w:rPr>
        <w:t xml:space="preserve">3 </w:t>
      </w:r>
      <w:r w:rsidRPr="00556F58">
        <w:rPr>
          <w:rFonts w:ascii="SimSun" w:hAnsi="SimSun"/>
          <w:smallCaps/>
          <w:szCs w:val="18"/>
        </w:rPr>
        <w:t xml:space="preserve">Federal </w:t>
      </w:r>
      <w:proofErr w:type="gramStart"/>
      <w:r w:rsidRPr="00556F58">
        <w:rPr>
          <w:rFonts w:ascii="SimSun" w:hAnsi="SimSun"/>
          <w:smallCaps/>
          <w:szCs w:val="18"/>
        </w:rPr>
        <w:t>Circuit  Bar</w:t>
      </w:r>
      <w:proofErr w:type="gramEnd"/>
      <w:r w:rsidRPr="00556F58">
        <w:rPr>
          <w:rFonts w:ascii="SimSun" w:hAnsi="SimSun"/>
          <w:smallCaps/>
          <w:szCs w:val="18"/>
        </w:rPr>
        <w:t xml:space="preserve"> Journal 1, 11-13 (1993)</w:t>
      </w:r>
      <w:r w:rsidRPr="00556F58">
        <w:rPr>
          <w:rFonts w:ascii="SimSun" w:hAnsi="SimSun" w:hint="eastAsia"/>
          <w:smallCaps/>
          <w:szCs w:val="18"/>
        </w:rPr>
        <w:t>。</w:t>
      </w:r>
    </w:p>
  </w:footnote>
  <w:footnote w:id="22">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Fonts w:ascii="SimSun" w:hAnsi="SimSun"/>
          <w:szCs w:val="18"/>
          <w:vertAlign w:val="superscript"/>
        </w:rPr>
        <w:footnoteRef/>
      </w:r>
      <w:r w:rsidR="00166B26">
        <w:rPr>
          <w:rFonts w:ascii="SimSun" w:hAnsi="SimSun" w:hint="eastAsia"/>
          <w:szCs w:val="18"/>
        </w:rPr>
        <w:tab/>
      </w:r>
      <w:r w:rsidRPr="00942D68">
        <w:rPr>
          <w:rFonts w:ascii="KaiTi" w:eastAsia="KaiTi" w:hAnsi="KaiTi" w:hint="eastAsia"/>
          <w:i/>
          <w:szCs w:val="18"/>
        </w:rPr>
        <w:t>参见</w:t>
      </w:r>
      <w:proofErr w:type="spellStart"/>
      <w:r w:rsidRPr="00942D68">
        <w:rPr>
          <w:rFonts w:ascii="KaiTi" w:eastAsia="KaiTi" w:hAnsi="KaiTi"/>
          <w:i/>
          <w:szCs w:val="18"/>
        </w:rPr>
        <w:t>Blackmand</w:t>
      </w:r>
      <w:proofErr w:type="spellEnd"/>
      <w:r w:rsidRPr="00942D68">
        <w:rPr>
          <w:rFonts w:ascii="KaiTi" w:eastAsia="KaiTi" w:hAnsi="KaiTi"/>
          <w:i/>
          <w:szCs w:val="18"/>
        </w:rPr>
        <w:t xml:space="preserve">, </w:t>
      </w:r>
      <w:r w:rsidRPr="00556F58">
        <w:rPr>
          <w:rFonts w:ascii="SimSun" w:hAnsi="SimSun"/>
          <w:i/>
          <w:szCs w:val="18"/>
        </w:rPr>
        <w:t xml:space="preserve">supra </w:t>
      </w:r>
      <w:r w:rsidRPr="00556F58">
        <w:rPr>
          <w:rFonts w:ascii="SimSun" w:hAnsi="SimSun"/>
          <w:szCs w:val="18"/>
        </w:rPr>
        <w:t xml:space="preserve">note 9, at 1715; Thomas J. </w:t>
      </w:r>
      <w:proofErr w:type="spellStart"/>
      <w:r w:rsidRPr="00556F58">
        <w:rPr>
          <w:rFonts w:ascii="SimSun" w:hAnsi="SimSun"/>
          <w:szCs w:val="18"/>
        </w:rPr>
        <w:t>Klitgaard</w:t>
      </w:r>
      <w:proofErr w:type="spellEnd"/>
      <w:r w:rsidRPr="00556F58">
        <w:rPr>
          <w:rFonts w:ascii="SimSun" w:hAnsi="SimSun"/>
          <w:szCs w:val="18"/>
        </w:rPr>
        <w:t xml:space="preserve"> &amp; William E. </w:t>
      </w:r>
      <w:proofErr w:type="spellStart"/>
      <w:r w:rsidRPr="00556F58">
        <w:rPr>
          <w:rFonts w:ascii="SimSun" w:hAnsi="SimSun"/>
          <w:szCs w:val="18"/>
        </w:rPr>
        <w:t>Mussman</w:t>
      </w:r>
      <w:proofErr w:type="spellEnd"/>
      <w:r w:rsidRPr="00556F58">
        <w:rPr>
          <w:rFonts w:ascii="SimSun" w:hAnsi="SimSun"/>
          <w:szCs w:val="18"/>
        </w:rPr>
        <w:t xml:space="preserve">, </w:t>
      </w:r>
      <w:r w:rsidRPr="00942D68">
        <w:rPr>
          <w:rFonts w:ascii="KaiTi" w:eastAsia="KaiTi" w:hAnsi="KaiTi"/>
          <w:i/>
          <w:szCs w:val="18"/>
        </w:rPr>
        <w:t xml:space="preserve">High Technology Disputes: The </w:t>
      </w:r>
      <w:proofErr w:type="spellStart"/>
      <w:r w:rsidRPr="00942D68">
        <w:rPr>
          <w:rFonts w:ascii="KaiTi" w:eastAsia="KaiTi" w:hAnsi="KaiTi"/>
          <w:i/>
          <w:szCs w:val="18"/>
        </w:rPr>
        <w:t>Minitrial</w:t>
      </w:r>
      <w:proofErr w:type="spellEnd"/>
      <w:r w:rsidRPr="00942D68">
        <w:rPr>
          <w:rFonts w:ascii="KaiTi" w:eastAsia="KaiTi" w:hAnsi="KaiTi"/>
          <w:i/>
          <w:szCs w:val="18"/>
        </w:rPr>
        <w:t xml:space="preserve"> as the Emerging Solution, </w:t>
      </w:r>
      <w:r w:rsidRPr="00556F58">
        <w:rPr>
          <w:rFonts w:ascii="SimSun" w:hAnsi="SimSun"/>
          <w:szCs w:val="18"/>
        </w:rPr>
        <w:t xml:space="preserve">8 </w:t>
      </w:r>
      <w:r w:rsidRPr="00556F58">
        <w:rPr>
          <w:rFonts w:ascii="SimSun" w:hAnsi="SimSun"/>
          <w:smallCaps/>
          <w:szCs w:val="18"/>
        </w:rPr>
        <w:t>Santa Clara Computer &amp; High Tech Law Journal</w:t>
      </w:r>
      <w:r w:rsidRPr="00556F58">
        <w:rPr>
          <w:rFonts w:ascii="SimSun" w:hAnsi="SimSun"/>
          <w:szCs w:val="18"/>
        </w:rPr>
        <w:t xml:space="preserve"> 1, 2 (1992)</w:t>
      </w:r>
      <w:r w:rsidRPr="00556F58">
        <w:rPr>
          <w:rFonts w:ascii="SimSun" w:hAnsi="SimSun" w:hint="eastAsia"/>
          <w:szCs w:val="18"/>
        </w:rPr>
        <w:t>。</w:t>
      </w:r>
    </w:p>
  </w:footnote>
  <w:footnote w:id="23">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Fonts w:ascii="SimSun" w:hAnsi="SimSun"/>
          <w:szCs w:val="18"/>
          <w:vertAlign w:val="superscript"/>
        </w:rPr>
        <w:footnoteRef/>
      </w:r>
      <w:r w:rsidR="00166B26">
        <w:rPr>
          <w:rFonts w:ascii="SimSun" w:hAnsi="SimSun" w:hint="eastAsia"/>
          <w:szCs w:val="18"/>
        </w:rPr>
        <w:tab/>
      </w:r>
      <w:r w:rsidRPr="00556F58">
        <w:rPr>
          <w:rFonts w:ascii="SimSun" w:hAnsi="SimSun"/>
          <w:szCs w:val="18"/>
        </w:rPr>
        <w:t xml:space="preserve">Richard </w:t>
      </w:r>
      <w:proofErr w:type="spellStart"/>
      <w:r w:rsidRPr="00556F58">
        <w:rPr>
          <w:rFonts w:ascii="SimSun" w:hAnsi="SimSun"/>
          <w:i/>
          <w:szCs w:val="18"/>
        </w:rPr>
        <w:t>Naiberg</w:t>
      </w:r>
      <w:proofErr w:type="spellEnd"/>
      <w:r w:rsidRPr="00556F58">
        <w:rPr>
          <w:rFonts w:ascii="SimSun" w:hAnsi="SimSun"/>
          <w:szCs w:val="18"/>
        </w:rPr>
        <w:t>, personal communication, March 9, 2012</w:t>
      </w:r>
      <w:r w:rsidRPr="00556F58">
        <w:rPr>
          <w:rFonts w:ascii="SimSun" w:hAnsi="SimSun" w:hint="eastAsia"/>
          <w:szCs w:val="18"/>
        </w:rPr>
        <w:t>。</w:t>
      </w:r>
    </w:p>
  </w:footnote>
  <w:footnote w:id="24">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Style w:val="af"/>
          <w:rFonts w:ascii="SimSun" w:hAnsi="SimSun" w:cs="Times New Roman"/>
        </w:rPr>
        <w:footnoteRef/>
      </w:r>
      <w:r w:rsidR="00166B26">
        <w:rPr>
          <w:rFonts w:ascii="SimSun" w:hAnsi="SimSun" w:hint="eastAsia"/>
        </w:rPr>
        <w:tab/>
      </w:r>
      <w:r w:rsidRPr="00556F58">
        <w:rPr>
          <w:rFonts w:ascii="SimSun" w:hAnsi="SimSun"/>
          <w:szCs w:val="18"/>
        </w:rPr>
        <w:t xml:space="preserve">Casey, </w:t>
      </w:r>
      <w:r w:rsidRPr="00556F58">
        <w:rPr>
          <w:rFonts w:ascii="SimSun" w:hAnsi="SimSun"/>
          <w:i/>
          <w:szCs w:val="18"/>
        </w:rPr>
        <w:t>supra</w:t>
      </w:r>
      <w:r w:rsidRPr="00556F58">
        <w:rPr>
          <w:rFonts w:ascii="SimSun" w:hAnsi="SimSun"/>
          <w:szCs w:val="18"/>
        </w:rPr>
        <w:t xml:space="preserve"> note 20, at 1</w:t>
      </w:r>
      <w:r w:rsidRPr="00556F58">
        <w:rPr>
          <w:rFonts w:ascii="SimSun" w:hAnsi="SimSun" w:hint="eastAsia"/>
          <w:szCs w:val="18"/>
        </w:rPr>
        <w:t>。</w:t>
      </w:r>
    </w:p>
  </w:footnote>
  <w:footnote w:id="25">
    <w:p w:rsidR="00216CCF" w:rsidRPr="00556F58" w:rsidRDefault="00216CCF" w:rsidP="001E1A3F">
      <w:pPr>
        <w:pStyle w:val="a9"/>
        <w:tabs>
          <w:tab w:val="left" w:pos="480"/>
        </w:tabs>
        <w:adjustRightInd w:val="0"/>
        <w:spacing w:afterLines="30" w:after="72" w:line="320" w:lineRule="atLeast"/>
        <w:jc w:val="both"/>
        <w:rPr>
          <w:rFonts w:ascii="SimSun" w:hAnsi="SimSun"/>
        </w:rPr>
      </w:pPr>
      <w:r w:rsidRPr="00556F58">
        <w:rPr>
          <w:rFonts w:ascii="SimSun" w:hAnsi="SimSun"/>
          <w:szCs w:val="18"/>
          <w:vertAlign w:val="superscript"/>
        </w:rPr>
        <w:footnoteRef/>
      </w:r>
      <w:r w:rsidR="00166B26">
        <w:rPr>
          <w:rFonts w:ascii="SimSun" w:hAnsi="SimSun" w:hint="eastAsia"/>
          <w:szCs w:val="18"/>
        </w:rPr>
        <w:tab/>
      </w:r>
      <w:proofErr w:type="spellStart"/>
      <w:r w:rsidRPr="00556F58">
        <w:rPr>
          <w:rFonts w:ascii="SimSun" w:hAnsi="SimSun"/>
          <w:szCs w:val="18"/>
        </w:rPr>
        <w:t>Klitgaard</w:t>
      </w:r>
      <w:proofErr w:type="spellEnd"/>
      <w:r w:rsidRPr="00556F58">
        <w:rPr>
          <w:rFonts w:ascii="SimSun" w:hAnsi="SimSun"/>
          <w:szCs w:val="18"/>
        </w:rPr>
        <w:t xml:space="preserve"> &amp; </w:t>
      </w:r>
      <w:proofErr w:type="spellStart"/>
      <w:r w:rsidRPr="00556F58">
        <w:rPr>
          <w:rFonts w:ascii="SimSun" w:hAnsi="SimSun"/>
          <w:szCs w:val="18"/>
        </w:rPr>
        <w:t>Mussman</w:t>
      </w:r>
      <w:proofErr w:type="spellEnd"/>
      <w:r w:rsidRPr="00556F58">
        <w:rPr>
          <w:rFonts w:ascii="SimSun" w:hAnsi="SimSun"/>
          <w:szCs w:val="18"/>
        </w:rPr>
        <w:t xml:space="preserve">, </w:t>
      </w:r>
      <w:r w:rsidRPr="00556F58">
        <w:rPr>
          <w:rFonts w:ascii="SimSun" w:hAnsi="SimSun"/>
          <w:i/>
          <w:szCs w:val="18"/>
        </w:rPr>
        <w:t>supra</w:t>
      </w:r>
      <w:r w:rsidRPr="00556F58">
        <w:rPr>
          <w:rFonts w:ascii="SimSun" w:hAnsi="SimSun"/>
          <w:szCs w:val="18"/>
        </w:rPr>
        <w:t xml:space="preserve"> note 21, at 3-4</w:t>
      </w:r>
      <w:r w:rsidRPr="00556F58">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CF" w:rsidRPr="0054153F" w:rsidRDefault="00216CCF">
    <w:pPr>
      <w:jc w:val="right"/>
      <w:rPr>
        <w:rFonts w:ascii="SimSun" w:hAnsi="SimSun"/>
        <w:sz w:val="21"/>
        <w:szCs w:val="21"/>
      </w:rPr>
    </w:pPr>
    <w:bookmarkStart w:id="6" w:name="Code2"/>
    <w:bookmarkEnd w:id="6"/>
    <w:r w:rsidRPr="0054153F">
      <w:rPr>
        <w:rFonts w:ascii="SimSun" w:hAnsi="SimSun"/>
        <w:sz w:val="21"/>
        <w:szCs w:val="21"/>
      </w:rPr>
      <w:t>WIPO/ACE/9/9</w:t>
    </w:r>
  </w:p>
  <w:p w:rsidR="00216CCF" w:rsidRDefault="00216CCF">
    <w:pPr>
      <w:jc w:val="right"/>
      <w:rPr>
        <w:rFonts w:ascii="SimSun" w:hAnsi="SimSun"/>
        <w:sz w:val="21"/>
        <w:szCs w:val="21"/>
      </w:rPr>
    </w:pPr>
    <w:r w:rsidRPr="0054153F">
      <w:rPr>
        <w:rFonts w:ascii="SimSun" w:hAnsi="SimSun" w:hint="eastAsia"/>
        <w:sz w:val="21"/>
        <w:szCs w:val="21"/>
      </w:rPr>
      <w:t>第</w:t>
    </w:r>
    <w:r w:rsidRPr="0054153F">
      <w:rPr>
        <w:rFonts w:ascii="SimSun" w:hAnsi="SimSun"/>
        <w:sz w:val="21"/>
        <w:szCs w:val="21"/>
      </w:rPr>
      <w:fldChar w:fldCharType="begin"/>
    </w:r>
    <w:r w:rsidRPr="0054153F">
      <w:rPr>
        <w:rFonts w:ascii="SimSun" w:hAnsi="SimSun"/>
        <w:sz w:val="21"/>
        <w:szCs w:val="21"/>
      </w:rPr>
      <w:instrText xml:space="preserve"> PAGE  \* MERGEFORMAT </w:instrText>
    </w:r>
    <w:r w:rsidRPr="0054153F">
      <w:rPr>
        <w:rFonts w:ascii="SimSun" w:hAnsi="SimSun"/>
        <w:sz w:val="21"/>
        <w:szCs w:val="21"/>
      </w:rPr>
      <w:fldChar w:fldCharType="separate"/>
    </w:r>
    <w:r w:rsidR="00A0031E">
      <w:rPr>
        <w:rFonts w:ascii="SimSun" w:hAnsi="SimSun"/>
        <w:noProof/>
        <w:sz w:val="21"/>
        <w:szCs w:val="21"/>
      </w:rPr>
      <w:t>9</w:t>
    </w:r>
    <w:r w:rsidRPr="0054153F">
      <w:rPr>
        <w:rFonts w:ascii="SimSun" w:hAnsi="SimSun"/>
        <w:sz w:val="21"/>
        <w:szCs w:val="21"/>
      </w:rPr>
      <w:fldChar w:fldCharType="end"/>
    </w:r>
    <w:r w:rsidRPr="0054153F">
      <w:rPr>
        <w:rFonts w:ascii="SimSun" w:hAnsi="SimSun" w:hint="eastAsia"/>
        <w:sz w:val="21"/>
        <w:szCs w:val="21"/>
      </w:rPr>
      <w:t>页</w:t>
    </w:r>
  </w:p>
  <w:p w:rsidR="0054153F" w:rsidRPr="0054153F" w:rsidRDefault="0054153F">
    <w:pPr>
      <w:jc w:val="right"/>
      <w:rPr>
        <w:rFonts w:ascii="SimSun" w:hAnsi="SimSun"/>
        <w:sz w:val="21"/>
        <w:szCs w:val="21"/>
      </w:rPr>
    </w:pPr>
  </w:p>
  <w:p w:rsidR="00216CCF" w:rsidRDefault="00216CC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265CEE90"/>
    <w:lvl w:ilvl="0">
      <w:start w:val="1"/>
      <w:numFmt w:val="lowerLetter"/>
      <w:pStyle w:val="ONUME"/>
      <w:lvlText w:val="%1)"/>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0108D5F0"/>
    <w:lvl w:ilvl="0">
      <w:start w:val="1"/>
      <w:numFmt w:val="bullet"/>
      <w:pStyle w:val="ONUMFS"/>
      <w:lvlText w:val=""/>
      <w:lvlJc w:val="left"/>
      <w:pPr>
        <w:tabs>
          <w:tab w:val="num" w:pos="567"/>
        </w:tabs>
      </w:pPr>
      <w:rPr>
        <w:rFonts w:ascii="Symbol" w:hAnsi="Symbol"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85323FC"/>
    <w:multiLevelType w:val="hybridMultilevel"/>
    <w:tmpl w:val="2F32EAC0"/>
    <w:lvl w:ilvl="0" w:tplc="71367F32">
      <w:start w:val="1"/>
      <w:numFmt w:val="decimal"/>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DDD07FB"/>
    <w:multiLevelType w:val="multilevel"/>
    <w:tmpl w:val="ED2A2BB4"/>
    <w:lvl w:ilvl="0">
      <w:start w:val="1"/>
      <w:numFmt w:val="decimal"/>
      <w:lvlText w:val="%1)"/>
      <w:lvlJc w:val="left"/>
      <w:pPr>
        <w:ind w:left="360" w:hanging="360"/>
      </w:pPr>
      <w:rPr>
        <w:rFonts w:cs="Times New Roman" w:hint="default"/>
      </w:rPr>
    </w:lvl>
    <w:lvl w:ilvl="1">
      <w:start w:val="1"/>
      <w:numFmt w:val="lowerLetter"/>
      <w:lvlText w:val="%2)"/>
      <w:lvlJc w:val="left"/>
      <w:pPr>
        <w:ind w:left="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3"/>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8193"/>
  </w:hdrShapeDefaults>
  <w:footnotePr>
    <w:footnote w:id="-1"/>
    <w:footnote w:id="0"/>
    <w:footnote w:id="1"/>
  </w:footnotePr>
  <w:endnotePr>
    <w:pos w:val="sectEnd"/>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82"/>
    <w:rsid w:val="00166B26"/>
    <w:rsid w:val="001E1A3F"/>
    <w:rsid w:val="00216CCF"/>
    <w:rsid w:val="00396882"/>
    <w:rsid w:val="0054153F"/>
    <w:rsid w:val="00556F58"/>
    <w:rsid w:val="005B16D1"/>
    <w:rsid w:val="008075E4"/>
    <w:rsid w:val="008B2CA1"/>
    <w:rsid w:val="00942D68"/>
    <w:rsid w:val="00970986"/>
    <w:rsid w:val="00A0031E"/>
    <w:rsid w:val="00C07345"/>
    <w:rsid w:val="00D71A41"/>
    <w:rsid w:val="00F0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semiHidden/>
    <w:rPr>
      <w:sz w:val="18"/>
    </w:rPr>
  </w:style>
  <w:style w:type="paragraph" w:styleId="aa">
    <w:name w:val="header"/>
    <w:basedOn w:val="a0"/>
    <w:semiHidden/>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semiHidden/>
    <w:rPr>
      <w:color w:val="0000FF"/>
      <w:u w:val="single"/>
    </w:rPr>
  </w:style>
  <w:style w:type="character" w:styleId="af">
    <w:name w:val="footnote reference"/>
    <w:aliases w:val="Footnote Reference Superscript"/>
    <w:semiHidden/>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semiHidden/>
    <w:rPr>
      <w:sz w:val="18"/>
    </w:rPr>
  </w:style>
  <w:style w:type="paragraph" w:styleId="aa">
    <w:name w:val="header"/>
    <w:basedOn w:val="a0"/>
    <w:semiHidden/>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semiHidden/>
    <w:rPr>
      <w:color w:val="0000FF"/>
      <w:u w:val="single"/>
    </w:rPr>
  </w:style>
  <w:style w:type="character" w:styleId="af">
    <w:name w:val="footnote reference"/>
    <w:aliases w:val="Footnote Reference Superscript"/>
    <w:semiHidden/>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amc/en/expert-determina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34DC-B74F-4A06-B945-09BCBE5D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6524</Words>
  <Characters>822</Characters>
  <Application>Microsoft Office Word</Application>
  <DocSecurity>0</DocSecurity>
  <Lines>35</Lines>
  <Paragraphs>179</Paragraphs>
  <ScaleCrop>false</ScaleCrop>
  <Company/>
  <LinksUpToDate>false</LinksUpToDate>
  <CharactersWithSpaces>7167</CharactersWithSpaces>
  <SharedDoc>false</SharedDoc>
  <HLinks>
    <vt:vector size="6" baseType="variant">
      <vt:variant>
        <vt:i4>1179655</vt:i4>
      </vt:variant>
      <vt:variant>
        <vt:i4>0</vt:i4>
      </vt:variant>
      <vt:variant>
        <vt:i4>0</vt:i4>
      </vt:variant>
      <vt:variant>
        <vt:i4>5</vt:i4>
      </vt:variant>
      <vt:variant>
        <vt:lpwstr>http://www.wipo.int/amc/en/expert-determination/,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2014-01-14T14:15:00Z</dcterms:created>
  <dcterms:modified xsi:type="dcterms:W3CDTF">2014-01-14T17:00:00Z</dcterms:modified>
</cp:coreProperties>
</file>