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7F293E" w:rsidRDefault="001667B6" w:rsidP="001667B6">
            <w:pPr>
              <w:bidi/>
              <w:rPr>
                <w:rFonts w:ascii="Arabic Typesetting" w:hAnsi="Arabic Typesetting" w:cs="Arabic Typesetting"/>
                <w:sz w:val="36"/>
                <w:szCs w:val="36"/>
                <w:lang w:val="tr-TR"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B31B09">
            <w:pPr>
              <w:pStyle w:val="DocumentCodeAR"/>
              <w:bidi/>
              <w:rPr>
                <w:rtl/>
              </w:rPr>
            </w:pPr>
            <w:r>
              <w:t>H/LD/WG/4/</w:t>
            </w:r>
            <w:r w:rsidR="00B31B09">
              <w:t>3</w:t>
            </w:r>
          </w:p>
        </w:tc>
      </w:tr>
      <w:tr w:rsidR="001667B6" w:rsidTr="00BF164F">
        <w:tc>
          <w:tcPr>
            <w:tcW w:w="9571" w:type="dxa"/>
            <w:gridSpan w:val="3"/>
          </w:tcPr>
          <w:p w:rsidR="001667B6" w:rsidRPr="00B6101C" w:rsidRDefault="00B6101C" w:rsidP="001E706E">
            <w:pPr>
              <w:pStyle w:val="DocumentLanguageAR"/>
              <w:bidi/>
              <w:rPr>
                <w:rtl/>
              </w:rPr>
            </w:pPr>
            <w:r w:rsidRPr="00B6101C">
              <w:rPr>
                <w:rFonts w:hint="cs"/>
                <w:rtl/>
              </w:rPr>
              <w:t xml:space="preserve">الأصل: </w:t>
            </w:r>
            <w:r w:rsidR="001E706E">
              <w:rPr>
                <w:rFonts w:hint="cs"/>
                <w:rtl/>
              </w:rPr>
              <w:t>بالإنكليزية</w:t>
            </w:r>
          </w:p>
        </w:tc>
      </w:tr>
      <w:tr w:rsidR="001667B6" w:rsidTr="00BF164F">
        <w:tc>
          <w:tcPr>
            <w:tcW w:w="9571" w:type="dxa"/>
            <w:gridSpan w:val="3"/>
          </w:tcPr>
          <w:p w:rsidR="001667B6" w:rsidRPr="00B6101C" w:rsidRDefault="00B6101C" w:rsidP="001E706E">
            <w:pPr>
              <w:pStyle w:val="DocumentDateAR"/>
              <w:bidi/>
              <w:rPr>
                <w:rtl/>
              </w:rPr>
            </w:pPr>
            <w:r w:rsidRPr="00B6101C">
              <w:rPr>
                <w:rFonts w:hint="cs"/>
                <w:rtl/>
              </w:rPr>
              <w:t xml:space="preserve">التاريخ: </w:t>
            </w:r>
            <w:r w:rsidR="001E706E">
              <w:rPr>
                <w:rFonts w:hint="cs"/>
                <w:rtl/>
              </w:rPr>
              <w:t>15</w:t>
            </w:r>
            <w:r w:rsidRPr="00B6101C">
              <w:rPr>
                <w:rFonts w:hint="cs"/>
                <w:rtl/>
              </w:rPr>
              <w:t xml:space="preserve"> </w:t>
            </w:r>
            <w:r w:rsidR="001E706E">
              <w:rPr>
                <w:rFonts w:hint="cs"/>
                <w:rtl/>
              </w:rPr>
              <w:t>أبريل</w:t>
            </w:r>
            <w:r w:rsidRPr="00B6101C">
              <w:rPr>
                <w:rFonts w:hint="cs"/>
                <w:rtl/>
              </w:rPr>
              <w:t xml:space="preserve"> </w:t>
            </w:r>
            <w:r w:rsidR="00190B6D">
              <w:rPr>
                <w:rFonts w:hint="cs"/>
                <w:rtl/>
              </w:rPr>
              <w:t>201</w:t>
            </w:r>
            <w:r w:rsidR="005457EB">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457EB">
      <w:pPr>
        <w:pStyle w:val="MeetingSessionAR"/>
        <w:bidi/>
        <w:rPr>
          <w:rFonts w:ascii="Cambria Math" w:hAnsi="Cambria Math"/>
        </w:rPr>
      </w:pPr>
      <w:r w:rsidRPr="00783D11">
        <w:rPr>
          <w:rFonts w:ascii="Cambria Math" w:hAnsi="Cambria Math"/>
          <w:rtl/>
        </w:rPr>
        <w:t xml:space="preserve">الدورة </w:t>
      </w:r>
      <w:r w:rsidR="005457EB">
        <w:rPr>
          <w:rFonts w:ascii="Cambria Math" w:hAnsi="Cambria Math" w:hint="cs"/>
          <w:rtl/>
        </w:rPr>
        <w:t>الرابعة</w:t>
      </w:r>
    </w:p>
    <w:p w:rsidR="00D61541" w:rsidRPr="00D61541" w:rsidRDefault="00D61541" w:rsidP="00B40959">
      <w:pPr>
        <w:pStyle w:val="MeetingDatesAR"/>
        <w:bidi/>
        <w:rPr>
          <w:rtl/>
        </w:rPr>
      </w:pPr>
      <w:r w:rsidRPr="00D61541">
        <w:rPr>
          <w:rFonts w:hint="cs"/>
          <w:rtl/>
        </w:rPr>
        <w:t xml:space="preserve">جنيف، من </w:t>
      </w:r>
      <w:r w:rsidR="00B40959">
        <w:rPr>
          <w:rFonts w:hint="cs"/>
          <w:rtl/>
        </w:rPr>
        <w:t>16</w:t>
      </w:r>
      <w:r w:rsidR="00983389">
        <w:rPr>
          <w:rFonts w:hint="cs"/>
          <w:rtl/>
        </w:rPr>
        <w:t xml:space="preserve"> </w:t>
      </w:r>
      <w:r w:rsidR="00100F97">
        <w:rPr>
          <w:rFonts w:hint="cs"/>
          <w:rtl/>
        </w:rPr>
        <w:t xml:space="preserve">إلى </w:t>
      </w:r>
      <w:r w:rsidR="00B40959">
        <w:rPr>
          <w:rFonts w:hint="cs"/>
          <w:rtl/>
        </w:rPr>
        <w:t>18</w:t>
      </w:r>
      <w:r w:rsidR="00783D11">
        <w:rPr>
          <w:rFonts w:hint="cs"/>
          <w:rtl/>
        </w:rPr>
        <w:t xml:space="preserve"> </w:t>
      </w:r>
      <w:r w:rsidR="00B40959">
        <w:rPr>
          <w:rFonts w:hint="cs"/>
          <w:rtl/>
        </w:rPr>
        <w:t>يونيو</w:t>
      </w:r>
      <w:r w:rsidR="005457EB">
        <w:rPr>
          <w:rFonts w:hint="cs"/>
          <w:rtl/>
        </w:rPr>
        <w:t xml:space="preserve"> </w:t>
      </w:r>
      <w:r w:rsidR="00100F97">
        <w:rPr>
          <w:rFonts w:hint="cs"/>
          <w:rtl/>
        </w:rPr>
        <w:t>201</w:t>
      </w:r>
      <w:r w:rsidR="005457EB">
        <w:rPr>
          <w:rFonts w:hint="cs"/>
          <w:rtl/>
        </w:rPr>
        <w:t>4</w:t>
      </w:r>
    </w:p>
    <w:p w:rsidR="00D61541" w:rsidRDefault="00D61541" w:rsidP="00D61541">
      <w:pPr>
        <w:bidi/>
        <w:spacing w:line="360" w:lineRule="exact"/>
        <w:rPr>
          <w:rFonts w:ascii="Arabic Typesetting" w:hAnsi="Arabic Typesetting" w:cs="Arabic Typesetting"/>
          <w:sz w:val="36"/>
          <w:szCs w:val="36"/>
          <w:rtl/>
          <w:lang w:bidi="ar-EG"/>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D3F45" w:rsidP="009A2BFD">
      <w:pPr>
        <w:pStyle w:val="DocumentTitleAR"/>
        <w:bidi/>
        <w:rPr>
          <w:rtl/>
        </w:rPr>
      </w:pPr>
      <w:r w:rsidRPr="008237BD">
        <w:rPr>
          <w:rFonts w:hint="cs"/>
          <w:rtl/>
        </w:rPr>
        <w:t>الإتاحة العلنية للمعلومات المت</w:t>
      </w:r>
      <w:r w:rsidR="007F006C" w:rsidRPr="008237BD">
        <w:rPr>
          <w:rFonts w:hint="cs"/>
          <w:rtl/>
        </w:rPr>
        <w:t>ع</w:t>
      </w:r>
      <w:r w:rsidRPr="008237BD">
        <w:rPr>
          <w:rFonts w:hint="cs"/>
          <w:rtl/>
        </w:rPr>
        <w:t>ل</w:t>
      </w:r>
      <w:r w:rsidR="007F006C" w:rsidRPr="008237BD">
        <w:rPr>
          <w:rFonts w:hint="cs"/>
          <w:rtl/>
        </w:rPr>
        <w:t>ق</w:t>
      </w:r>
      <w:r w:rsidRPr="008237BD">
        <w:rPr>
          <w:rFonts w:hint="cs"/>
          <w:rtl/>
        </w:rPr>
        <w:t xml:space="preserve">ة بالتعديلات المدخلة على التصاميم الصناعية موضوع التسجيلات الدولية </w:t>
      </w:r>
      <w:r w:rsidR="009A2BFD" w:rsidRPr="008237BD">
        <w:rPr>
          <w:rFonts w:hint="cs"/>
          <w:rtl/>
        </w:rPr>
        <w:t>بعد اتخاذ</w:t>
      </w:r>
      <w:r w:rsidRPr="008237BD">
        <w:rPr>
          <w:rFonts w:hint="cs"/>
          <w:rtl/>
        </w:rPr>
        <w:t xml:space="preserve"> إجراءات لدى المكاتب</w:t>
      </w:r>
    </w:p>
    <w:p w:rsidR="00D61541" w:rsidRPr="00D61541" w:rsidRDefault="00D61541" w:rsidP="001F011A">
      <w:pPr>
        <w:pStyle w:val="PreparedbyAR"/>
        <w:tabs>
          <w:tab w:val="left" w:pos="3435"/>
        </w:tabs>
        <w:bidi/>
        <w:rPr>
          <w:rtl/>
        </w:rPr>
      </w:pPr>
      <w:r w:rsidRPr="00D61541">
        <w:rPr>
          <w:rFonts w:hint="cs"/>
          <w:rtl/>
        </w:rPr>
        <w:t xml:space="preserve">من </w:t>
      </w:r>
      <w:r w:rsidRPr="00931859">
        <w:rPr>
          <w:rFonts w:hint="cs"/>
          <w:rtl/>
        </w:rPr>
        <w:t>إعداد</w:t>
      </w:r>
      <w:r w:rsidR="00DD3F45">
        <w:rPr>
          <w:rFonts w:hint="cs"/>
          <w:rtl/>
        </w:rPr>
        <w:t xml:space="preserve"> المكتب الدولي</w:t>
      </w:r>
    </w:p>
    <w:p w:rsidR="00D61541" w:rsidRPr="00DD3F45" w:rsidRDefault="00DD3F45" w:rsidP="004527FF">
      <w:pPr>
        <w:pStyle w:val="NormalParaAR"/>
        <w:keepNext/>
        <w:rPr>
          <w:b/>
          <w:bCs/>
          <w:sz w:val="40"/>
          <w:szCs w:val="40"/>
          <w:rtl/>
        </w:rPr>
      </w:pPr>
      <w:r w:rsidRPr="00DD3F45">
        <w:rPr>
          <w:rFonts w:hint="cs"/>
          <w:b/>
          <w:bCs/>
          <w:sz w:val="40"/>
          <w:szCs w:val="40"/>
          <w:rtl/>
        </w:rPr>
        <w:t>أولا</w:t>
      </w:r>
      <w:r>
        <w:rPr>
          <w:rFonts w:hint="cs"/>
          <w:b/>
          <w:bCs/>
          <w:sz w:val="40"/>
          <w:szCs w:val="40"/>
          <w:rtl/>
        </w:rPr>
        <w:tab/>
      </w:r>
      <w:proofErr w:type="gramStart"/>
      <w:r w:rsidRPr="00DD3F45">
        <w:rPr>
          <w:rFonts w:hint="cs"/>
          <w:b/>
          <w:bCs/>
          <w:sz w:val="40"/>
          <w:szCs w:val="40"/>
          <w:rtl/>
        </w:rPr>
        <w:t>مقدمة</w:t>
      </w:r>
      <w:proofErr w:type="gramEnd"/>
    </w:p>
    <w:p w:rsidR="005457EB" w:rsidRDefault="007670D8" w:rsidP="009A2BFD">
      <w:pPr>
        <w:pStyle w:val="NumberedParaAR"/>
      </w:pPr>
      <w:r>
        <w:rPr>
          <w:rFonts w:hint="cs"/>
          <w:rtl/>
        </w:rPr>
        <w:t xml:space="preserve">ناقش الفريق العامل المعني بالتطوير القانوني لنظام لاهاي بشأن التسجيل الدولي للتصاميم الصناعية (المشار إليهما فيما يلي بعبارتي "الفريق العامل" و"نظام لاهاي" على التوالي)، في دورته الثالثة التي عقدت من 28 إلى 30 أكتوبر 2013، إمكانية استحداث آلية في نظام لاهاي تضمن الإتاحة العلنية للمعلومات المتعلقة بالتعديلات المدخلة على التصاميم الصناعية موضوع التسجيلات الدولية </w:t>
      </w:r>
      <w:r w:rsidR="009A2BFD" w:rsidRPr="008237BD">
        <w:rPr>
          <w:rFonts w:hint="cs"/>
          <w:rtl/>
        </w:rPr>
        <w:t>بعد</w:t>
      </w:r>
      <w:r w:rsidR="009A2BFD">
        <w:rPr>
          <w:rFonts w:hint="cs"/>
          <w:rtl/>
        </w:rPr>
        <w:t xml:space="preserve"> اتخاذ </w:t>
      </w:r>
      <w:r w:rsidR="00843627">
        <w:rPr>
          <w:rFonts w:hint="cs"/>
          <w:rtl/>
        </w:rPr>
        <w:t>إجراءات لدى مكاتب الأطراف المتعاقدة المعينة</w:t>
      </w:r>
      <w:r w:rsidR="00650AAF">
        <w:rPr>
          <w:rStyle w:val="FootnoteReference"/>
          <w:rtl/>
        </w:rPr>
        <w:footnoteReference w:id="1"/>
      </w:r>
      <w:r w:rsidR="00843627">
        <w:rPr>
          <w:rFonts w:hint="cs"/>
          <w:rtl/>
        </w:rPr>
        <w:t>.</w:t>
      </w:r>
    </w:p>
    <w:p w:rsidR="00F150D3" w:rsidRDefault="003F518C" w:rsidP="00F849DF">
      <w:pPr>
        <w:pStyle w:val="NumberedParaAR"/>
      </w:pPr>
      <w:r>
        <w:rPr>
          <w:rFonts w:hint="cs"/>
          <w:rtl/>
        </w:rPr>
        <w:t>واتفق الفريق العامل على أن التعديلات المدخلة على التصاميم الصناعية بعد اتخاذ إجراءات لدى المكاتب ينبغي إتاحتها علنا</w:t>
      </w:r>
      <w:r w:rsidR="00CA5A71">
        <w:rPr>
          <w:rFonts w:hint="cs"/>
          <w:rtl/>
        </w:rPr>
        <w:t xml:space="preserve"> على نحو مركزي. وطلب الفريق العامل أيضا من المكتب الدولي أن يعد وثيقة تحلل إمكانية استحداث آلية </w:t>
      </w:r>
      <w:r w:rsidR="007D41F0" w:rsidRPr="0015763C">
        <w:rPr>
          <w:rFonts w:hint="cs"/>
          <w:rtl/>
        </w:rPr>
        <w:t xml:space="preserve">للموافاة </w:t>
      </w:r>
      <w:r w:rsidR="0015763C" w:rsidRPr="0015763C">
        <w:rPr>
          <w:rFonts w:hint="cs"/>
          <w:rtl/>
        </w:rPr>
        <w:t xml:space="preserve">بالتعليقات </w:t>
      </w:r>
      <w:r w:rsidR="007D41F0" w:rsidRPr="0015763C">
        <w:rPr>
          <w:rFonts w:hint="cs"/>
          <w:rtl/>
        </w:rPr>
        <w:t>النقدي</w:t>
      </w:r>
      <w:r w:rsidR="009E7463" w:rsidRPr="0015763C">
        <w:rPr>
          <w:rFonts w:hint="cs"/>
          <w:rtl/>
        </w:rPr>
        <w:t>ة</w:t>
      </w:r>
      <w:r w:rsidR="00E0241B">
        <w:rPr>
          <w:rFonts w:hint="cs"/>
          <w:rtl/>
        </w:rPr>
        <w:t xml:space="preserve"> </w:t>
      </w:r>
      <w:r w:rsidR="00CA5A71">
        <w:rPr>
          <w:rFonts w:hint="cs"/>
          <w:rtl/>
        </w:rPr>
        <w:t xml:space="preserve">في نظام لاهاي </w:t>
      </w:r>
      <w:r w:rsidR="00AD16D3" w:rsidRPr="0015763C">
        <w:rPr>
          <w:rFonts w:hint="cs"/>
          <w:rtl/>
        </w:rPr>
        <w:t>لهذا الغرض</w:t>
      </w:r>
      <w:r w:rsidR="00AD16D3">
        <w:rPr>
          <w:rFonts w:hint="cs"/>
          <w:rtl/>
        </w:rPr>
        <w:t xml:space="preserve"> (ونشير إليها فيما يلي بعبارة "آلية </w:t>
      </w:r>
      <w:r w:rsidR="0015763C">
        <w:rPr>
          <w:rFonts w:hint="cs"/>
          <w:rtl/>
        </w:rPr>
        <w:t>التعليقات النقدية</w:t>
      </w:r>
      <w:r w:rsidR="00AD16D3">
        <w:rPr>
          <w:rFonts w:hint="cs"/>
          <w:rtl/>
        </w:rPr>
        <w:t xml:space="preserve">" لغرض هذه الوثيقة). </w:t>
      </w:r>
      <w:r w:rsidR="001B6E3E" w:rsidRPr="007234C3">
        <w:rPr>
          <w:rFonts w:hint="cs"/>
          <w:rtl/>
        </w:rPr>
        <w:t>ووفقا</w:t>
      </w:r>
      <w:r w:rsidR="001B6E3E">
        <w:rPr>
          <w:rFonts w:hint="cs"/>
          <w:rtl/>
        </w:rPr>
        <w:t xml:space="preserve"> لذلك، تؤخذ في الاعتبار التعليقات الصادرة في الدورة الثالثة للفريق العامل، وكذلك الآلية المتبعة في ظل نظام مدريد للتسجيل الدولي للعلامات (والمشار إليه فيما يلي بعبارة "نظام مدريد") والمعلومات المتاحة في قاعدة بيانات </w:t>
      </w:r>
      <w:r w:rsidR="001B6E3E" w:rsidRPr="00327581">
        <w:rPr>
          <w:rFonts w:hint="cs"/>
          <w:rtl/>
        </w:rPr>
        <w:t>رومارين</w:t>
      </w:r>
      <w:r w:rsidR="001B6E3E">
        <w:rPr>
          <w:rFonts w:hint="cs"/>
          <w:rtl/>
          <w:lang w:val="tr-TR" w:bidi="ar-EG"/>
        </w:rPr>
        <w:t>.</w:t>
      </w:r>
    </w:p>
    <w:p w:rsidR="00DA26D5" w:rsidRDefault="005A57D9" w:rsidP="003F22D0">
      <w:pPr>
        <w:pStyle w:val="NumberedParaAR"/>
      </w:pPr>
      <w:r>
        <w:rPr>
          <w:rFonts w:hint="cs"/>
          <w:rtl/>
        </w:rPr>
        <w:lastRenderedPageBreak/>
        <w:t xml:space="preserve">ويُذكر أن المادة 14(2)(ج) من </w:t>
      </w:r>
      <w:r w:rsidR="00580A4E">
        <w:rPr>
          <w:rFonts w:hint="cs"/>
          <w:rtl/>
        </w:rPr>
        <w:t>وثيقة</w:t>
      </w:r>
      <w:r>
        <w:rPr>
          <w:rFonts w:hint="cs"/>
          <w:rtl/>
        </w:rPr>
        <w:t xml:space="preserve"> 1999 تنص على أن </w:t>
      </w:r>
      <w:r w:rsidR="00C404DC" w:rsidRPr="00785F8D">
        <w:rPr>
          <w:rFonts w:hint="cs"/>
          <w:rtl/>
        </w:rPr>
        <w:t>أثر</w:t>
      </w:r>
      <w:r w:rsidR="00C404DC">
        <w:rPr>
          <w:rFonts w:hint="cs"/>
          <w:rtl/>
        </w:rPr>
        <w:t xml:space="preserve"> </w:t>
      </w:r>
      <w:r w:rsidR="005B1F73">
        <w:rPr>
          <w:rFonts w:hint="cs"/>
          <w:rtl/>
        </w:rPr>
        <w:t xml:space="preserve">التسجيل الدولي </w:t>
      </w:r>
      <w:r w:rsidR="00C404DC">
        <w:rPr>
          <w:rFonts w:hint="cs"/>
          <w:rtl/>
        </w:rPr>
        <w:t xml:space="preserve">بموجب المادة 14(1) و(2)(أ) و(ب) </w:t>
      </w:r>
      <w:r w:rsidR="00852B77">
        <w:rPr>
          <w:rFonts w:hint="cs"/>
          <w:rtl/>
        </w:rPr>
        <w:t xml:space="preserve">ينطبق </w:t>
      </w:r>
      <w:r w:rsidR="00C404DC">
        <w:rPr>
          <w:rFonts w:hint="cs"/>
          <w:rtl/>
        </w:rPr>
        <w:t xml:space="preserve">على التصميم الصناعي كما تسلمه مكتب الطرف المتعاقد المعين من المكتب الدولي، أو "كما عُدل </w:t>
      </w:r>
      <w:r w:rsidR="006540EC">
        <w:rPr>
          <w:rFonts w:hint="cs"/>
          <w:rtl/>
        </w:rPr>
        <w:t xml:space="preserve">في </w:t>
      </w:r>
      <w:r w:rsidR="00C404DC">
        <w:rPr>
          <w:rFonts w:hint="cs"/>
          <w:rtl/>
        </w:rPr>
        <w:t xml:space="preserve">إجراء ما لدى ذلك </w:t>
      </w:r>
      <w:r w:rsidR="003F22D0">
        <w:rPr>
          <w:rFonts w:hint="cs"/>
          <w:rtl/>
        </w:rPr>
        <w:t>المكتب</w:t>
      </w:r>
      <w:r w:rsidR="00C404DC">
        <w:rPr>
          <w:rFonts w:hint="cs"/>
          <w:rtl/>
        </w:rPr>
        <w:t>"</w:t>
      </w:r>
      <w:r w:rsidR="002406C2">
        <w:rPr>
          <w:rFonts w:hint="cs"/>
          <w:rtl/>
        </w:rPr>
        <w:t xml:space="preserve"> حيثما ينطبق ذلك</w:t>
      </w:r>
      <w:r w:rsidR="00D955F9">
        <w:rPr>
          <w:rFonts w:hint="cs"/>
          <w:rtl/>
        </w:rPr>
        <w:t xml:space="preserve">. </w:t>
      </w:r>
      <w:r w:rsidR="00B90CBC">
        <w:rPr>
          <w:rFonts w:hint="cs"/>
          <w:rtl/>
        </w:rPr>
        <w:t xml:space="preserve">ويتمثل هدف هذه الوثيقة في وضع آلية </w:t>
      </w:r>
      <w:r w:rsidR="0089459A">
        <w:rPr>
          <w:rFonts w:hint="cs"/>
          <w:rtl/>
        </w:rPr>
        <w:t>ل</w:t>
      </w:r>
      <w:r w:rsidR="00537A06">
        <w:rPr>
          <w:rFonts w:hint="cs"/>
          <w:rtl/>
        </w:rPr>
        <w:t>لموافاة با</w:t>
      </w:r>
      <w:r w:rsidR="0089459A">
        <w:rPr>
          <w:rFonts w:hint="cs"/>
          <w:rtl/>
        </w:rPr>
        <w:t xml:space="preserve">لتعليقات النقدية </w:t>
      </w:r>
      <w:r w:rsidR="00B90CBC">
        <w:rPr>
          <w:rFonts w:hint="cs"/>
          <w:rtl/>
        </w:rPr>
        <w:t>لكي تقوم مكاتب الأطراف المتعاقدة المعينة ب</w:t>
      </w:r>
      <w:r w:rsidR="00F7614D">
        <w:rPr>
          <w:rFonts w:hint="cs"/>
          <w:rtl/>
        </w:rPr>
        <w:t>تبليغ هذه التعديلات</w:t>
      </w:r>
      <w:r w:rsidR="00B90CBC">
        <w:rPr>
          <w:rFonts w:hint="cs"/>
          <w:rtl/>
        </w:rPr>
        <w:t xml:space="preserve"> </w:t>
      </w:r>
      <w:r w:rsidR="00E164B4">
        <w:rPr>
          <w:rFonts w:hint="cs"/>
          <w:rtl/>
        </w:rPr>
        <w:t>إلى ا</w:t>
      </w:r>
      <w:r w:rsidR="00B90CBC">
        <w:rPr>
          <w:rFonts w:hint="cs"/>
          <w:rtl/>
        </w:rPr>
        <w:t>لمكتب الدولي ولكي يتيح المكتب الدولي هذه التعديلات علنا على نحو مركزي.</w:t>
      </w:r>
    </w:p>
    <w:p w:rsidR="00B90CBC" w:rsidRPr="00B90CBC" w:rsidRDefault="00B90CBC" w:rsidP="004527FF">
      <w:pPr>
        <w:pStyle w:val="NumberedParaAR"/>
        <w:keepNext/>
        <w:numPr>
          <w:ilvl w:val="0"/>
          <w:numId w:val="0"/>
        </w:numPr>
        <w:rPr>
          <w:b/>
          <w:bCs/>
          <w:sz w:val="40"/>
          <w:szCs w:val="40"/>
          <w:rtl/>
        </w:rPr>
      </w:pPr>
      <w:r w:rsidRPr="00B90CBC">
        <w:rPr>
          <w:rFonts w:hint="cs"/>
          <w:b/>
          <w:bCs/>
          <w:sz w:val="40"/>
          <w:szCs w:val="40"/>
          <w:rtl/>
        </w:rPr>
        <w:t>ثانيا</w:t>
      </w:r>
      <w:r w:rsidRPr="00B90CBC">
        <w:rPr>
          <w:rFonts w:hint="cs"/>
          <w:b/>
          <w:bCs/>
          <w:sz w:val="40"/>
          <w:szCs w:val="40"/>
          <w:rtl/>
        </w:rPr>
        <w:tab/>
        <w:t xml:space="preserve">الآلية المعتمدة </w:t>
      </w:r>
      <w:r w:rsidRPr="00DA5B60">
        <w:rPr>
          <w:rFonts w:hint="cs"/>
          <w:b/>
          <w:bCs/>
          <w:sz w:val="40"/>
          <w:szCs w:val="40"/>
          <w:rtl/>
        </w:rPr>
        <w:t>في</w:t>
      </w:r>
      <w:r w:rsidRPr="00B90CBC">
        <w:rPr>
          <w:rFonts w:hint="cs"/>
          <w:b/>
          <w:bCs/>
          <w:sz w:val="40"/>
          <w:szCs w:val="40"/>
          <w:rtl/>
        </w:rPr>
        <w:t xml:space="preserve"> نظام مدريد</w:t>
      </w:r>
    </w:p>
    <w:p w:rsidR="00B90CBC" w:rsidRPr="00B90CBC" w:rsidRDefault="00B90CBC" w:rsidP="00B90CBC">
      <w:pPr>
        <w:pStyle w:val="NumberedParaAR"/>
        <w:keepNext/>
        <w:numPr>
          <w:ilvl w:val="0"/>
          <w:numId w:val="0"/>
        </w:numPr>
        <w:rPr>
          <w:sz w:val="40"/>
          <w:szCs w:val="40"/>
        </w:rPr>
      </w:pPr>
      <w:r w:rsidRPr="00B90CBC">
        <w:rPr>
          <w:rFonts w:hint="cs"/>
          <w:sz w:val="40"/>
          <w:szCs w:val="40"/>
          <w:rtl/>
        </w:rPr>
        <w:t>الإطار القانوني</w:t>
      </w:r>
    </w:p>
    <w:p w:rsidR="00B90CBC" w:rsidRDefault="00F16981" w:rsidP="00F03DD3">
      <w:pPr>
        <w:pStyle w:val="NumberedParaAR"/>
      </w:pPr>
      <w:r>
        <w:rPr>
          <w:rFonts w:hint="cs"/>
          <w:rtl/>
        </w:rPr>
        <w:t xml:space="preserve">يتحدد نطاق حق العلامة التجارية، بصفة عامة، </w:t>
      </w:r>
      <w:r w:rsidR="00997B20">
        <w:rPr>
          <w:rFonts w:hint="cs"/>
          <w:rtl/>
        </w:rPr>
        <w:t xml:space="preserve">بالعلامة نفسها وقائمة بالسلع </w:t>
      </w:r>
      <w:r w:rsidR="00F03DD3">
        <w:rPr>
          <w:rFonts w:hint="cs"/>
          <w:rtl/>
        </w:rPr>
        <w:t>و</w:t>
      </w:r>
      <w:r w:rsidR="00997B20">
        <w:rPr>
          <w:rFonts w:hint="cs"/>
          <w:rtl/>
        </w:rPr>
        <w:t xml:space="preserve">الخدمات </w:t>
      </w:r>
      <w:r w:rsidR="00F03DD3">
        <w:rPr>
          <w:rFonts w:hint="cs"/>
          <w:rtl/>
        </w:rPr>
        <w:t xml:space="preserve">التي يتم تسجيل العلامة التجارية أو استخدامها </w:t>
      </w:r>
      <w:r w:rsidR="000A6A08">
        <w:rPr>
          <w:rFonts w:hint="cs"/>
          <w:rtl/>
        </w:rPr>
        <w:t>من أج</w:t>
      </w:r>
      <w:r w:rsidR="00F03DD3">
        <w:rPr>
          <w:rFonts w:hint="cs"/>
          <w:rtl/>
        </w:rPr>
        <w:t xml:space="preserve">لها. </w:t>
      </w:r>
      <w:r w:rsidR="006A089D">
        <w:rPr>
          <w:rFonts w:hint="cs"/>
          <w:rtl/>
        </w:rPr>
        <w:t>ووفقا لنظام مدريد، قد تُمنح الحماية لعلامة تجارية موضوع تسجيل دولي</w:t>
      </w:r>
      <w:r w:rsidR="004D4E4A">
        <w:rPr>
          <w:rFonts w:hint="cs"/>
          <w:rtl/>
        </w:rPr>
        <w:t xml:space="preserve"> لقائمة السلع والخدمات حسب تعديلها </w:t>
      </w:r>
      <w:r w:rsidR="004D4E4A" w:rsidRPr="000D03AA">
        <w:rPr>
          <w:rFonts w:hint="cs"/>
          <w:rtl/>
        </w:rPr>
        <w:t>بعد</w:t>
      </w:r>
      <w:r w:rsidR="004D4E4A">
        <w:rPr>
          <w:rFonts w:hint="cs"/>
          <w:rtl/>
        </w:rPr>
        <w:t xml:space="preserve"> اتخاذ إجراء ما لدى مكتب أحد الأطراف المتعاقدة المعينة</w:t>
      </w:r>
      <w:r w:rsidR="00CF588C">
        <w:rPr>
          <w:rStyle w:val="FootnoteReference"/>
          <w:rtl/>
        </w:rPr>
        <w:footnoteReference w:id="2"/>
      </w:r>
      <w:r w:rsidR="004D4E4A">
        <w:rPr>
          <w:rFonts w:hint="cs"/>
          <w:rtl/>
        </w:rPr>
        <w:t>.</w:t>
      </w:r>
    </w:p>
    <w:p w:rsidR="00F15EA9" w:rsidRDefault="008E335D" w:rsidP="009850DC">
      <w:pPr>
        <w:pStyle w:val="NumberedParaAR"/>
      </w:pPr>
      <w:r w:rsidRPr="00FB4BE8">
        <w:rPr>
          <w:rFonts w:hint="cs"/>
          <w:rtl/>
        </w:rPr>
        <w:t>وتنص</w:t>
      </w:r>
      <w:r>
        <w:rPr>
          <w:rFonts w:hint="cs"/>
          <w:rtl/>
        </w:rPr>
        <w:t xml:space="preserve"> القاعدة 18(ثالثا) من اللائحة التنفيذية المشتركة </w:t>
      </w:r>
      <w:r w:rsidR="009850DC">
        <w:rPr>
          <w:rFonts w:hint="cs"/>
          <w:rtl/>
        </w:rPr>
        <w:t xml:space="preserve">بين </w:t>
      </w:r>
      <w:r>
        <w:rPr>
          <w:rFonts w:hint="cs"/>
          <w:rtl/>
        </w:rPr>
        <w:t xml:space="preserve">اتفاق </w:t>
      </w:r>
      <w:r w:rsidR="009850DC">
        <w:rPr>
          <w:rFonts w:hint="cs"/>
          <w:rtl/>
        </w:rPr>
        <w:t xml:space="preserve">وبروتوكول </w:t>
      </w:r>
      <w:r>
        <w:rPr>
          <w:rFonts w:hint="cs"/>
          <w:rtl/>
        </w:rPr>
        <w:t xml:space="preserve">مدريد </w:t>
      </w:r>
      <w:r w:rsidRPr="003106E6">
        <w:rPr>
          <w:rFonts w:hint="cs"/>
          <w:rtl/>
        </w:rPr>
        <w:t>بشأن</w:t>
      </w:r>
      <w:r>
        <w:rPr>
          <w:rFonts w:hint="cs"/>
          <w:rtl/>
        </w:rPr>
        <w:t xml:space="preserve"> التسجيل الدولي للعلامات (والمشار إليها فيما يلي بعبارات "اللائحة التنفيذية المشتركة لنظام مدريد" و"اتفاق مدريد" و"بروتوكول مدريد" على التوالي) </w:t>
      </w:r>
      <w:r w:rsidR="007E3921">
        <w:rPr>
          <w:rFonts w:hint="cs"/>
          <w:rtl/>
        </w:rPr>
        <w:t xml:space="preserve">على آلية </w:t>
      </w:r>
      <w:r w:rsidR="00286DB3">
        <w:rPr>
          <w:rFonts w:hint="cs"/>
          <w:rtl/>
        </w:rPr>
        <w:t>ل</w:t>
      </w:r>
      <w:r w:rsidR="00FF1FB2">
        <w:rPr>
          <w:rFonts w:hint="cs"/>
          <w:rtl/>
        </w:rPr>
        <w:t xml:space="preserve">لتعليقات النقدية </w:t>
      </w:r>
      <w:r w:rsidR="00307ECA">
        <w:rPr>
          <w:rFonts w:hint="cs"/>
          <w:rtl/>
        </w:rPr>
        <w:t xml:space="preserve">بشأن </w:t>
      </w:r>
      <w:r w:rsidR="007E3921">
        <w:rPr>
          <w:rFonts w:hint="cs"/>
          <w:rtl/>
        </w:rPr>
        <w:t>تعديل قائمة السلع والخدمات</w:t>
      </w:r>
      <w:r w:rsidR="00236C3B">
        <w:rPr>
          <w:rFonts w:hint="cs"/>
          <w:rtl/>
        </w:rPr>
        <w:t xml:space="preserve"> على هذا النحو</w:t>
      </w:r>
      <w:r w:rsidR="00B66085">
        <w:rPr>
          <w:rStyle w:val="FootnoteReference"/>
          <w:rtl/>
        </w:rPr>
        <w:footnoteReference w:id="3"/>
      </w:r>
      <w:r w:rsidR="007E3921">
        <w:rPr>
          <w:rFonts w:hint="cs"/>
          <w:rtl/>
        </w:rPr>
        <w:t>.</w:t>
      </w:r>
    </w:p>
    <w:p w:rsidR="00A852EE" w:rsidRDefault="00825ADC" w:rsidP="00825ADC">
      <w:pPr>
        <w:pStyle w:val="NumberedParaAR"/>
      </w:pPr>
      <w:r>
        <w:rPr>
          <w:rFonts w:hint="cs"/>
          <w:rtl/>
        </w:rPr>
        <w:t>وإذا أبلغ مكتب الطرف المتعاقد المعين إخطارا بالرفض المؤقت وفقا للمادة 5(1) من اتفاق مدريد أو بروتوكول مدريد، فإن المكتب يجب أن يرسل إلى المكتب الدولي أحد البيانين التاليين فور استكمال كل الإجراءات لدى ذلك المكتب:</w:t>
      </w:r>
    </w:p>
    <w:p w:rsidR="00825ADC" w:rsidRDefault="00825ADC" w:rsidP="00825ADC">
      <w:pPr>
        <w:pStyle w:val="NumberedParaAR"/>
        <w:numPr>
          <w:ilvl w:val="0"/>
          <w:numId w:val="0"/>
        </w:numPr>
        <w:ind w:left="567"/>
        <w:rPr>
          <w:rtl/>
        </w:rPr>
      </w:pPr>
      <w:r>
        <w:rPr>
          <w:rFonts w:hint="cs"/>
          <w:rtl/>
        </w:rPr>
        <w:t>-</w:t>
      </w:r>
      <w:r>
        <w:rPr>
          <w:rFonts w:hint="cs"/>
          <w:rtl/>
        </w:rPr>
        <w:tab/>
        <w:t>بيان بمنح الحماية عقب رفض مؤقت وفقا للقاعدة 18(ثالثا)(2)،</w:t>
      </w:r>
    </w:p>
    <w:p w:rsidR="00BC3A3F" w:rsidRDefault="00BC3A3F" w:rsidP="00BC3A3F">
      <w:pPr>
        <w:pStyle w:val="NumberedParaAR"/>
        <w:numPr>
          <w:ilvl w:val="0"/>
          <w:numId w:val="0"/>
        </w:numPr>
        <w:ind w:left="567"/>
      </w:pPr>
      <w:r>
        <w:rPr>
          <w:rFonts w:hint="cs"/>
          <w:rtl/>
        </w:rPr>
        <w:t>-</w:t>
      </w:r>
      <w:r>
        <w:rPr>
          <w:rFonts w:hint="cs"/>
          <w:rtl/>
        </w:rPr>
        <w:tab/>
        <w:t>أو تأكيد الرفض المؤقت الكلي وفقا للقاعدة 18(ثالثا)(3).</w:t>
      </w:r>
    </w:p>
    <w:p w:rsidR="00825ADC" w:rsidRDefault="009A71FC" w:rsidP="00C66AC7">
      <w:pPr>
        <w:pStyle w:val="NumberedParaAR"/>
      </w:pPr>
      <w:r>
        <w:rPr>
          <w:rFonts w:hint="cs"/>
          <w:rtl/>
          <w:lang w:bidi="ar-EG"/>
        </w:rPr>
        <w:lastRenderedPageBreak/>
        <w:t xml:space="preserve">وفي حال تعديل قائمة السلع والخدمات، يجب أن يوضح بيان بمنح الحماية السلع والخدمات التي مُنحت الحماية في الطرف المتعاقد المعني، </w:t>
      </w:r>
      <w:r w:rsidRPr="007A043D">
        <w:rPr>
          <w:rFonts w:hint="cs"/>
          <w:rtl/>
          <w:lang w:bidi="ar-EG"/>
        </w:rPr>
        <w:t>وفقا</w:t>
      </w:r>
      <w:r>
        <w:rPr>
          <w:rFonts w:hint="cs"/>
          <w:rtl/>
          <w:lang w:bidi="ar-EG"/>
        </w:rPr>
        <w:t xml:space="preserve"> للفقرة الفرعية "2" من القاعدة 18(ثالثا)(2). </w:t>
      </w:r>
      <w:r w:rsidR="00C66AC7">
        <w:rPr>
          <w:rFonts w:hint="cs"/>
          <w:rtl/>
          <w:lang w:bidi="ar-EG"/>
        </w:rPr>
        <w:t>ووفقا لذلك</w:t>
      </w:r>
      <w:r w:rsidR="0049219F">
        <w:rPr>
          <w:rFonts w:hint="cs"/>
          <w:rtl/>
          <w:lang w:bidi="ar-EG"/>
        </w:rPr>
        <w:t>، يبلَّغ المكتب الدولي بأي تعديل في قائمة السلع والخدمات.</w:t>
      </w:r>
    </w:p>
    <w:p w:rsidR="0049219F" w:rsidRDefault="00B93438" w:rsidP="00016619">
      <w:pPr>
        <w:pStyle w:val="NumberedParaAR"/>
      </w:pPr>
      <w:r>
        <w:rPr>
          <w:rFonts w:hint="cs"/>
          <w:rtl/>
        </w:rPr>
        <w:t xml:space="preserve">ولا تتضمن اللائحة التنفيذية المشتركة لنظام مدريد من جهتها أي نص يشترط توضيح السلع والخدمات التي تُمنح لها الحماية في الطرف المتعاقد المعني، في حال عدم </w:t>
      </w:r>
      <w:r w:rsidR="00016619">
        <w:rPr>
          <w:rFonts w:hint="cs"/>
          <w:rtl/>
        </w:rPr>
        <w:t>تبليغ</w:t>
      </w:r>
      <w:r>
        <w:rPr>
          <w:rFonts w:hint="cs"/>
          <w:rtl/>
        </w:rPr>
        <w:t xml:space="preserve"> أي إخطار بالرفض المؤقت (انظر القاعدة 18(ثالثا)(1)). </w:t>
      </w:r>
      <w:r w:rsidR="001F6DDE">
        <w:rPr>
          <w:rFonts w:hint="cs"/>
          <w:rtl/>
        </w:rPr>
        <w:t xml:space="preserve">وقد يفسَّر هذا بافتراض </w:t>
      </w:r>
      <w:r w:rsidR="001F6DDE" w:rsidRPr="0070594A">
        <w:rPr>
          <w:rFonts w:hint="cs"/>
          <w:rtl/>
        </w:rPr>
        <w:t>ضمني</w:t>
      </w:r>
      <w:r w:rsidR="001F6DDE">
        <w:rPr>
          <w:rFonts w:hint="cs"/>
          <w:rtl/>
        </w:rPr>
        <w:t xml:space="preserve"> مفاده أن </w:t>
      </w:r>
      <w:r w:rsidR="00F774E1">
        <w:rPr>
          <w:rFonts w:hint="cs"/>
          <w:rtl/>
          <w:lang w:bidi="ar-EG"/>
        </w:rPr>
        <w:t xml:space="preserve">تعديل قائمة السلع والخدمات يحدث </w:t>
      </w:r>
      <w:r w:rsidR="00F774E1" w:rsidRPr="00945416">
        <w:rPr>
          <w:rFonts w:hint="cs"/>
          <w:rtl/>
          <w:lang w:bidi="ar-EG"/>
        </w:rPr>
        <w:t>عادة</w:t>
      </w:r>
      <w:r w:rsidR="00F774E1">
        <w:rPr>
          <w:rFonts w:hint="cs"/>
          <w:rtl/>
          <w:lang w:bidi="ar-EG"/>
        </w:rPr>
        <w:t xml:space="preserve"> بعد الرفض المؤقت.</w:t>
      </w:r>
    </w:p>
    <w:p w:rsidR="00D04CF7" w:rsidRDefault="00BD7F4A" w:rsidP="009A71FC">
      <w:pPr>
        <w:pStyle w:val="NumberedParaAR"/>
      </w:pPr>
      <w:r>
        <w:rPr>
          <w:rFonts w:hint="cs"/>
          <w:rtl/>
          <w:lang w:bidi="ar-EG"/>
        </w:rPr>
        <w:t xml:space="preserve">وإذا تسلم المكتب الدولي البيان المشار إليه في القاعدة 18(ثالثا)(2) أعلاه، فإنه يخزنه بنسق </w:t>
      </w:r>
      <w:r>
        <w:rPr>
          <w:lang w:bidi="ar-EG"/>
        </w:rPr>
        <w:t>PDF</w:t>
      </w:r>
      <w:r>
        <w:rPr>
          <w:rFonts w:hint="cs"/>
          <w:rtl/>
          <w:lang w:bidi="ar-EG"/>
        </w:rPr>
        <w:t xml:space="preserve"> ويتيحه في </w:t>
      </w:r>
      <w:r w:rsidRPr="00510406">
        <w:rPr>
          <w:rFonts w:hint="cs"/>
          <w:rtl/>
          <w:lang w:bidi="ar-EG"/>
        </w:rPr>
        <w:t>الجريدة</w:t>
      </w:r>
      <w:r>
        <w:rPr>
          <w:rFonts w:hint="cs"/>
          <w:rtl/>
          <w:lang w:bidi="ar-EG"/>
        </w:rPr>
        <w:t xml:space="preserve"> وفي رومارين.</w:t>
      </w:r>
    </w:p>
    <w:p w:rsidR="007417F4" w:rsidRPr="007417F4" w:rsidRDefault="007417F4" w:rsidP="007417F4">
      <w:pPr>
        <w:pStyle w:val="NumberedParaAR"/>
        <w:keepNext/>
        <w:numPr>
          <w:ilvl w:val="0"/>
          <w:numId w:val="0"/>
        </w:numPr>
        <w:rPr>
          <w:sz w:val="40"/>
          <w:szCs w:val="40"/>
        </w:rPr>
      </w:pPr>
      <w:r w:rsidRPr="007417F4">
        <w:rPr>
          <w:rFonts w:hint="cs"/>
          <w:sz w:val="40"/>
          <w:szCs w:val="40"/>
          <w:rtl/>
          <w:lang w:bidi="ar-EG"/>
        </w:rPr>
        <w:t>جريدة مدريد ورومارين</w:t>
      </w:r>
    </w:p>
    <w:p w:rsidR="007417F4" w:rsidRDefault="001C6E91" w:rsidP="00917661">
      <w:pPr>
        <w:pStyle w:val="NumberedParaAR"/>
      </w:pPr>
      <w:r>
        <w:rPr>
          <w:rFonts w:hint="cs"/>
          <w:rtl/>
        </w:rPr>
        <w:t xml:space="preserve">الجريدة هي </w:t>
      </w:r>
      <w:r w:rsidR="0070519B">
        <w:rPr>
          <w:rFonts w:hint="cs"/>
          <w:rtl/>
        </w:rPr>
        <w:t>المرفق و</w:t>
      </w:r>
      <w:r>
        <w:rPr>
          <w:rFonts w:hint="cs"/>
          <w:rtl/>
        </w:rPr>
        <w:t xml:space="preserve">المصدر الرسمي الوحيد لنشر البيانات </w:t>
      </w:r>
      <w:r w:rsidR="00F47B36">
        <w:rPr>
          <w:rFonts w:hint="cs"/>
          <w:rtl/>
        </w:rPr>
        <w:t xml:space="preserve">الملائمة </w:t>
      </w:r>
      <w:r>
        <w:rPr>
          <w:rFonts w:hint="cs"/>
          <w:rtl/>
        </w:rPr>
        <w:t xml:space="preserve">الموضحة في القاعدة 32(1) من اللائحة التنفيذية المشتركة لنظام مدريد. </w:t>
      </w:r>
      <w:r w:rsidR="004A2034">
        <w:rPr>
          <w:rFonts w:hint="cs"/>
          <w:rtl/>
        </w:rPr>
        <w:t>وغرضها هو نشر تلك البيانات الوجيهة في الوقت الملائم</w:t>
      </w:r>
      <w:r w:rsidR="00C801B4">
        <w:rPr>
          <w:rFonts w:hint="cs"/>
          <w:rtl/>
        </w:rPr>
        <w:t>،</w:t>
      </w:r>
      <w:r w:rsidR="004A2034">
        <w:rPr>
          <w:rFonts w:hint="cs"/>
          <w:rtl/>
        </w:rPr>
        <w:t xml:space="preserve"> </w:t>
      </w:r>
      <w:r w:rsidR="00C801B4">
        <w:rPr>
          <w:rFonts w:hint="cs"/>
          <w:rtl/>
        </w:rPr>
        <w:t xml:space="preserve">أي بعد تدوين </w:t>
      </w:r>
      <w:r w:rsidR="00C801B4" w:rsidRPr="00917661">
        <w:rPr>
          <w:rFonts w:hint="cs"/>
          <w:rtl/>
        </w:rPr>
        <w:t>المعاملة</w:t>
      </w:r>
      <w:r w:rsidR="00C801B4">
        <w:rPr>
          <w:rFonts w:hint="cs"/>
          <w:rtl/>
        </w:rPr>
        <w:t xml:space="preserve"> في السجل الدولي مباشرة. </w:t>
      </w:r>
      <w:r w:rsidR="0002182B">
        <w:rPr>
          <w:rFonts w:hint="cs"/>
          <w:rtl/>
        </w:rPr>
        <w:t xml:space="preserve">ويمكن البحث في الجريدة باستخدام رقم التسجيل الدولي </w:t>
      </w:r>
      <w:r w:rsidR="00167571">
        <w:rPr>
          <w:rFonts w:hint="cs"/>
          <w:rtl/>
        </w:rPr>
        <w:t xml:space="preserve">أو اسم صاحب التسجيل الدولي أو اسم العلامة التجارية. </w:t>
      </w:r>
      <w:r w:rsidR="00E4571F">
        <w:rPr>
          <w:rFonts w:hint="cs"/>
          <w:rtl/>
        </w:rPr>
        <w:t xml:space="preserve">ويمكن أيضا تصفحها </w:t>
      </w:r>
      <w:r w:rsidR="005D0C1D">
        <w:rPr>
          <w:rFonts w:hint="cs"/>
          <w:rtl/>
        </w:rPr>
        <w:t xml:space="preserve">حسب الفصول؛ والقراء مدعوون لاختيار </w:t>
      </w:r>
      <w:r w:rsidR="005D0C1D" w:rsidRPr="00917661">
        <w:rPr>
          <w:rFonts w:hint="cs"/>
          <w:rtl/>
        </w:rPr>
        <w:t>المعاملة</w:t>
      </w:r>
      <w:r w:rsidR="005D0C1D">
        <w:rPr>
          <w:rFonts w:hint="cs"/>
          <w:rtl/>
        </w:rPr>
        <w:t xml:space="preserve"> التي تعنيهم. </w:t>
      </w:r>
      <w:r w:rsidR="00206900">
        <w:rPr>
          <w:rFonts w:hint="cs"/>
          <w:rtl/>
        </w:rPr>
        <w:t xml:space="preserve">فمثلا، إذا اختير "بيان </w:t>
      </w:r>
      <w:r w:rsidR="00BC4A1C">
        <w:rPr>
          <w:rFonts w:hint="cs"/>
          <w:rtl/>
        </w:rPr>
        <w:t>ب</w:t>
      </w:r>
      <w:r w:rsidR="00206900">
        <w:rPr>
          <w:rFonts w:hint="cs"/>
          <w:rtl/>
        </w:rPr>
        <w:t>منح الحماية عقب رفض مؤقت (القاعدة 18(ثالثا)(2))"</w:t>
      </w:r>
      <w:r w:rsidR="00CD2A13">
        <w:rPr>
          <w:rFonts w:hint="cs"/>
          <w:rtl/>
        </w:rPr>
        <w:t xml:space="preserve">، تُعرض قائمة بالسجلات الدولية التي نُشر البيان المذكور بشأنها في نسخة معينة. </w:t>
      </w:r>
      <w:r w:rsidR="0092410A">
        <w:rPr>
          <w:rFonts w:hint="cs"/>
          <w:rtl/>
        </w:rPr>
        <w:t xml:space="preserve">ويستطيع القراء أيضا الاطلاع على وثيقة بنسق </w:t>
      </w:r>
      <w:r w:rsidR="0092410A">
        <w:t>PDF</w:t>
      </w:r>
      <w:r w:rsidR="0092410A">
        <w:rPr>
          <w:rFonts w:hint="cs"/>
          <w:rtl/>
          <w:lang w:bidi="ar-EG"/>
        </w:rPr>
        <w:t xml:space="preserve"> تتضمن البيان الصادر عن مكتب الطرف المتعاقد المعين المعني والذي ينبغي أن يتضمن قائمة معدَّلة بالسلع والخدمات.</w:t>
      </w:r>
    </w:p>
    <w:p w:rsidR="0092410A" w:rsidRDefault="00630F15" w:rsidP="00917661">
      <w:pPr>
        <w:pStyle w:val="NumberedParaAR"/>
      </w:pPr>
      <w:r>
        <w:rPr>
          <w:rFonts w:hint="cs"/>
          <w:rtl/>
        </w:rPr>
        <w:t xml:space="preserve">والجريدة مصممة بحيث تعرض فقط </w:t>
      </w:r>
      <w:r w:rsidRPr="00917661">
        <w:rPr>
          <w:rFonts w:hint="cs"/>
          <w:rtl/>
        </w:rPr>
        <w:t>المعاملات</w:t>
      </w:r>
      <w:r>
        <w:rPr>
          <w:rFonts w:hint="cs"/>
          <w:rtl/>
        </w:rPr>
        <w:t xml:space="preserve"> المدونة والمعالجة للنشر في نسخة معينة (</w:t>
      </w:r>
      <w:r w:rsidRPr="00013B26">
        <w:rPr>
          <w:rFonts w:hint="cs"/>
          <w:rtl/>
        </w:rPr>
        <w:t xml:space="preserve">مجموعات أسبوعية ومعلومات </w:t>
      </w:r>
      <w:r w:rsidRPr="00FE04FC">
        <w:rPr>
          <w:rFonts w:hint="cs"/>
          <w:rtl/>
        </w:rPr>
        <w:t>فردية</w:t>
      </w:r>
      <w:r>
        <w:rPr>
          <w:rFonts w:hint="cs"/>
          <w:rtl/>
        </w:rPr>
        <w:t xml:space="preserve">). </w:t>
      </w:r>
      <w:r w:rsidR="00A63F51">
        <w:rPr>
          <w:rFonts w:hint="cs"/>
          <w:rtl/>
        </w:rPr>
        <w:t>أما قاعدة بيانات رومارين</w:t>
      </w:r>
      <w:r w:rsidR="0088174F">
        <w:rPr>
          <w:rStyle w:val="FootnoteReference"/>
          <w:rtl/>
        </w:rPr>
        <w:footnoteReference w:id="4"/>
      </w:r>
      <w:r w:rsidR="00A63F51">
        <w:rPr>
          <w:rFonts w:hint="cs"/>
          <w:rtl/>
        </w:rPr>
        <w:t xml:space="preserve"> فتحتوي على </w:t>
      </w:r>
      <w:r w:rsidR="00632B92">
        <w:rPr>
          <w:rFonts w:hint="cs"/>
          <w:rtl/>
        </w:rPr>
        <w:t xml:space="preserve">معلومات تتعلق بكل التسجيلات الدولية السارية حاليا في السجل الدولي أو التي انتهت في خلال الأشهر الستة الماضية. </w:t>
      </w:r>
      <w:r w:rsidR="000E0215">
        <w:rPr>
          <w:rFonts w:hint="cs"/>
          <w:rtl/>
        </w:rPr>
        <w:t xml:space="preserve">وهي تتضمن </w:t>
      </w:r>
      <w:r w:rsidR="00F31297">
        <w:rPr>
          <w:rFonts w:hint="cs"/>
          <w:rtl/>
        </w:rPr>
        <w:t>ال</w:t>
      </w:r>
      <w:r w:rsidR="000E0215">
        <w:rPr>
          <w:rFonts w:hint="cs"/>
          <w:rtl/>
        </w:rPr>
        <w:t xml:space="preserve">بيانات </w:t>
      </w:r>
      <w:r w:rsidR="00F31297">
        <w:rPr>
          <w:rFonts w:hint="cs"/>
          <w:rtl/>
        </w:rPr>
        <w:t>ال</w:t>
      </w:r>
      <w:r w:rsidR="000E0215">
        <w:rPr>
          <w:rFonts w:hint="cs"/>
          <w:rtl/>
        </w:rPr>
        <w:t xml:space="preserve">متعلقة بإخطارات الرفض وبيانات منح الحماية وما إلى ذلك، </w:t>
      </w:r>
      <w:r w:rsidR="00F31297">
        <w:rPr>
          <w:rFonts w:hint="cs"/>
          <w:rtl/>
        </w:rPr>
        <w:t xml:space="preserve">والتي ترسلها مكاتب الأطراف المتعاقدة المعينة إلى المكتب الدولي. </w:t>
      </w:r>
      <w:r w:rsidR="00441120">
        <w:rPr>
          <w:rFonts w:hint="cs"/>
          <w:rtl/>
        </w:rPr>
        <w:t xml:space="preserve">وتسهل رومارين </w:t>
      </w:r>
      <w:r w:rsidR="00C16C23">
        <w:rPr>
          <w:rFonts w:hint="cs"/>
          <w:rtl/>
        </w:rPr>
        <w:t xml:space="preserve">قيام مستخدمي </w:t>
      </w:r>
      <w:r w:rsidR="00441120">
        <w:rPr>
          <w:rFonts w:hint="cs"/>
          <w:rtl/>
        </w:rPr>
        <w:t xml:space="preserve">نظام مدريد بالبحث في التسجيلات الدولية. </w:t>
      </w:r>
      <w:r w:rsidR="00CE1476">
        <w:rPr>
          <w:rFonts w:hint="cs"/>
          <w:rtl/>
        </w:rPr>
        <w:t>ويمكن أن يطلع المستخدمون على نسخة</w:t>
      </w:r>
      <w:r w:rsidR="00522F16">
        <w:rPr>
          <w:rFonts w:hint="cs"/>
          <w:rtl/>
        </w:rPr>
        <w:t xml:space="preserve"> بالمسح الضوئي</w:t>
      </w:r>
      <w:r w:rsidR="00CE1476">
        <w:rPr>
          <w:rFonts w:hint="cs"/>
          <w:rtl/>
        </w:rPr>
        <w:t xml:space="preserve"> </w:t>
      </w:r>
      <w:r w:rsidR="001046DF">
        <w:rPr>
          <w:rFonts w:hint="cs"/>
          <w:rtl/>
        </w:rPr>
        <w:t>من كل إخطار أو بيان أرسلته مكاتب الأطراف المتعاقدة المعينة إلى المكتب الدولي فيما يتعلق بتسجيل دولي معين.</w:t>
      </w:r>
    </w:p>
    <w:p w:rsidR="00C73C2B" w:rsidRPr="00C73C2B" w:rsidRDefault="00C73C2B" w:rsidP="004527FF">
      <w:pPr>
        <w:pStyle w:val="NumberedParaAR"/>
        <w:keepNext/>
        <w:numPr>
          <w:ilvl w:val="0"/>
          <w:numId w:val="0"/>
        </w:numPr>
        <w:rPr>
          <w:b/>
          <w:bCs/>
          <w:sz w:val="40"/>
          <w:szCs w:val="40"/>
          <w:rtl/>
        </w:rPr>
      </w:pPr>
      <w:r w:rsidRPr="00C73C2B">
        <w:rPr>
          <w:rFonts w:hint="cs"/>
          <w:b/>
          <w:bCs/>
          <w:sz w:val="40"/>
          <w:szCs w:val="40"/>
          <w:rtl/>
        </w:rPr>
        <w:t>ثالثا</w:t>
      </w:r>
      <w:r w:rsidRPr="00C73C2B">
        <w:rPr>
          <w:rFonts w:hint="cs"/>
          <w:b/>
          <w:bCs/>
          <w:sz w:val="40"/>
          <w:szCs w:val="40"/>
          <w:rtl/>
        </w:rPr>
        <w:tab/>
      </w:r>
      <w:proofErr w:type="gramStart"/>
      <w:r w:rsidRPr="00C73C2B">
        <w:rPr>
          <w:rFonts w:hint="cs"/>
          <w:b/>
          <w:bCs/>
          <w:sz w:val="40"/>
          <w:szCs w:val="40"/>
          <w:rtl/>
        </w:rPr>
        <w:t>التحليل</w:t>
      </w:r>
      <w:proofErr w:type="gramEnd"/>
    </w:p>
    <w:p w:rsidR="00C73C2B" w:rsidRPr="00C73C2B" w:rsidRDefault="00C73C2B" w:rsidP="00C73C2B">
      <w:pPr>
        <w:pStyle w:val="NumberedParaAR"/>
        <w:keepNext/>
        <w:numPr>
          <w:ilvl w:val="0"/>
          <w:numId w:val="0"/>
        </w:numPr>
        <w:rPr>
          <w:sz w:val="40"/>
          <w:szCs w:val="40"/>
        </w:rPr>
      </w:pPr>
      <w:r w:rsidRPr="00C73C2B">
        <w:rPr>
          <w:rFonts w:hint="cs"/>
          <w:sz w:val="40"/>
          <w:szCs w:val="40"/>
          <w:rtl/>
        </w:rPr>
        <w:t>أنواع تعديلات التصاميم الصناعية</w:t>
      </w:r>
    </w:p>
    <w:p w:rsidR="00C73C2B" w:rsidRDefault="00227A6B" w:rsidP="00B760D5">
      <w:pPr>
        <w:pStyle w:val="NumberedParaAR"/>
      </w:pPr>
      <w:r>
        <w:rPr>
          <w:rFonts w:hint="cs"/>
          <w:rtl/>
        </w:rPr>
        <w:t xml:space="preserve">يُذكر أنه في سبيل </w:t>
      </w:r>
      <w:r w:rsidRPr="00570479">
        <w:rPr>
          <w:rFonts w:hint="cs"/>
          <w:rtl/>
        </w:rPr>
        <w:t>إذكاء</w:t>
      </w:r>
      <w:r>
        <w:rPr>
          <w:rFonts w:hint="cs"/>
          <w:rtl/>
        </w:rPr>
        <w:t xml:space="preserve"> المناقشات في الدورة الثالثة للفريق العامل، أعد المكتب الدولي استبيانا بغية جمع معلومات عن التع</w:t>
      </w:r>
      <w:r w:rsidR="00AD5DE8">
        <w:rPr>
          <w:rFonts w:hint="cs"/>
          <w:rtl/>
        </w:rPr>
        <w:t>ديلات المحتمل إدخالها</w:t>
      </w:r>
      <w:r>
        <w:rPr>
          <w:rFonts w:hint="cs"/>
          <w:rtl/>
        </w:rPr>
        <w:t xml:space="preserve"> لدى مكاتب الدول الأعضاء الحالية والمحتملة في اتحاد لاهاي</w:t>
      </w:r>
      <w:r w:rsidR="00C37D6D">
        <w:rPr>
          <w:rStyle w:val="FootnoteReference"/>
          <w:rtl/>
        </w:rPr>
        <w:footnoteReference w:id="5"/>
      </w:r>
      <w:r>
        <w:rPr>
          <w:rFonts w:hint="cs"/>
          <w:rtl/>
        </w:rPr>
        <w:t xml:space="preserve">. </w:t>
      </w:r>
      <w:r w:rsidR="00EA1C8D">
        <w:rPr>
          <w:rFonts w:hint="cs"/>
          <w:rtl/>
          <w:lang w:bidi="ar-EG"/>
        </w:rPr>
        <w:t xml:space="preserve">وكان الغرض من الاستبيان هو التوصل إلى فهم أفضل لأنواع التعديلات </w:t>
      </w:r>
      <w:r w:rsidR="005B6A18">
        <w:rPr>
          <w:rFonts w:hint="cs"/>
          <w:rtl/>
          <w:lang w:bidi="ar-EG"/>
        </w:rPr>
        <w:t xml:space="preserve">المسموح بإدخالها على التصاميم الصناعية لدى المكاتب، </w:t>
      </w:r>
      <w:r w:rsidR="000B0E29" w:rsidRPr="00255471">
        <w:rPr>
          <w:rFonts w:hint="cs"/>
          <w:rtl/>
          <w:lang w:bidi="ar-EG"/>
        </w:rPr>
        <w:t>ومدى تكرارها</w:t>
      </w:r>
      <w:r w:rsidR="000B0E29">
        <w:rPr>
          <w:rFonts w:hint="cs"/>
          <w:rtl/>
          <w:lang w:bidi="ar-EG"/>
        </w:rPr>
        <w:t xml:space="preserve">، </w:t>
      </w:r>
      <w:r w:rsidR="000B0E29">
        <w:rPr>
          <w:rFonts w:hint="cs"/>
          <w:rtl/>
          <w:lang w:bidi="ar-EG"/>
        </w:rPr>
        <w:lastRenderedPageBreak/>
        <w:t xml:space="preserve">والإجراءات المتعلقة بهذه التعديلات، وكيف تتاح علنا. </w:t>
      </w:r>
      <w:r w:rsidR="00190B7D">
        <w:rPr>
          <w:rFonts w:hint="cs"/>
          <w:rtl/>
          <w:lang w:bidi="ar-EG"/>
        </w:rPr>
        <w:t xml:space="preserve">وقد تلقى المكتب الدولي ردودا على الاستبيان من 39 مكتبا، منها 25 مكتبا </w:t>
      </w:r>
      <w:r w:rsidR="00B760D5">
        <w:rPr>
          <w:rFonts w:hint="cs"/>
          <w:rtl/>
          <w:lang w:bidi="ar-EG"/>
        </w:rPr>
        <w:t>لدى</w:t>
      </w:r>
      <w:r w:rsidR="00190B7D">
        <w:rPr>
          <w:rFonts w:hint="cs"/>
          <w:rtl/>
          <w:lang w:bidi="ar-EG"/>
        </w:rPr>
        <w:t xml:space="preserve"> أعضاء اتحاد لاهاي</w:t>
      </w:r>
      <w:r w:rsidR="00FD5265">
        <w:rPr>
          <w:rStyle w:val="FootnoteReference"/>
          <w:rtl/>
          <w:lang w:bidi="ar-EG"/>
        </w:rPr>
        <w:footnoteReference w:id="6"/>
      </w:r>
      <w:r w:rsidR="00190B7D">
        <w:rPr>
          <w:rFonts w:hint="cs"/>
          <w:rtl/>
          <w:lang w:bidi="ar-EG"/>
        </w:rPr>
        <w:t>.</w:t>
      </w:r>
    </w:p>
    <w:p w:rsidR="004A3617" w:rsidRDefault="008372D0" w:rsidP="00A351BB">
      <w:pPr>
        <w:pStyle w:val="NumberedParaAR"/>
      </w:pPr>
      <w:r>
        <w:rPr>
          <w:rFonts w:hint="cs"/>
          <w:rtl/>
        </w:rPr>
        <w:t xml:space="preserve">وطبقا للإجابات التي تسلمها المكتب الدولي فيما يتعلق بالأنواع المختلفة للتعديلات، فإن 22 مكتبا تسمح بتعديل المناظر أو تقديم مناظر إضافية. </w:t>
      </w:r>
      <w:r w:rsidR="00126B9F">
        <w:rPr>
          <w:rFonts w:hint="cs"/>
          <w:rtl/>
        </w:rPr>
        <w:t xml:space="preserve">وفيما يتعلق بمحتويات التعديلات المسموح بإدخالها على الرسوم، فإنه يمكن وفقا لشروط معينة </w:t>
      </w:r>
      <w:r w:rsidR="001D2BA4">
        <w:rPr>
          <w:rFonts w:hint="cs"/>
          <w:rtl/>
        </w:rPr>
        <w:t xml:space="preserve">حذف </w:t>
      </w:r>
      <w:r w:rsidR="00126B9F">
        <w:rPr>
          <w:rFonts w:hint="cs"/>
          <w:rtl/>
        </w:rPr>
        <w:t xml:space="preserve">بعض العناصر؛ </w:t>
      </w:r>
      <w:r w:rsidR="00D14685">
        <w:rPr>
          <w:rFonts w:hint="cs"/>
          <w:rtl/>
        </w:rPr>
        <w:t xml:space="preserve">فمثلا، إذا كان منظر ما يتضمن أعلاما أو رموزا رسمية أخرى أو علامات تجارية، جاز حذفها إذا لم يتسبب ذلك في تغيير الانطباع العام للتصميم. </w:t>
      </w:r>
      <w:r w:rsidR="00A351BB">
        <w:rPr>
          <w:rFonts w:hint="cs"/>
          <w:rtl/>
        </w:rPr>
        <w:t xml:space="preserve">ويمكن </w:t>
      </w:r>
      <w:r w:rsidR="00A351BB" w:rsidRPr="00A1435F">
        <w:rPr>
          <w:rFonts w:hint="cs"/>
          <w:rtl/>
        </w:rPr>
        <w:t>التخلي عن</w:t>
      </w:r>
      <w:r w:rsidR="00A351BB">
        <w:rPr>
          <w:rFonts w:hint="cs"/>
          <w:rtl/>
        </w:rPr>
        <w:t xml:space="preserve"> بعض العناصر التي لم يمكن منح الحماية لها، وذلك عن طريق عرضها بخطوط منقطة أو عن طريق إعلان أو بكلتا الطريقتين.</w:t>
      </w:r>
    </w:p>
    <w:p w:rsidR="00A351BB" w:rsidRDefault="00DD5611" w:rsidP="002502E2">
      <w:pPr>
        <w:pStyle w:val="NumberedParaAR"/>
      </w:pPr>
      <w:r>
        <w:rPr>
          <w:rFonts w:hint="cs"/>
          <w:rtl/>
        </w:rPr>
        <w:t xml:space="preserve">وكشفت الدراسة الاستقصائية أيضا عن أن 10 مكاتب </w:t>
      </w:r>
      <w:r w:rsidR="007941EE">
        <w:rPr>
          <w:rFonts w:hint="cs"/>
          <w:rtl/>
        </w:rPr>
        <w:t xml:space="preserve">تسمح بتعديل الوصف أو تقديم وصف إضافي، ويشمل ذلك تقديم </w:t>
      </w:r>
      <w:r w:rsidR="002502E2">
        <w:rPr>
          <w:rFonts w:hint="cs"/>
          <w:rtl/>
        </w:rPr>
        <w:t>تخلٍّ</w:t>
      </w:r>
      <w:r w:rsidR="007941EE">
        <w:rPr>
          <w:rFonts w:hint="cs"/>
          <w:rtl/>
        </w:rPr>
        <w:t xml:space="preserve">. </w:t>
      </w:r>
      <w:r w:rsidR="00815BEE">
        <w:rPr>
          <w:rFonts w:hint="cs"/>
          <w:rtl/>
        </w:rPr>
        <w:t xml:space="preserve">وتسمح ستة مكاتب بتعديل نوع التصميم الصناعي؛ </w:t>
      </w:r>
      <w:r w:rsidR="00815BEE" w:rsidRPr="005166FF">
        <w:rPr>
          <w:rFonts w:hint="cs"/>
          <w:rtl/>
        </w:rPr>
        <w:t xml:space="preserve">من حيث كونه </w:t>
      </w:r>
      <w:r w:rsidR="005166FF" w:rsidRPr="005166FF">
        <w:rPr>
          <w:rFonts w:hint="cs"/>
          <w:rtl/>
        </w:rPr>
        <w:t xml:space="preserve">مثلا </w:t>
      </w:r>
      <w:r w:rsidR="00815BEE" w:rsidRPr="005166FF">
        <w:rPr>
          <w:rFonts w:hint="cs"/>
          <w:rtl/>
        </w:rPr>
        <w:t>تصميما جزئيا أو رئيسيا أو مرتبطا</w:t>
      </w:r>
      <w:r w:rsidR="00815BEE">
        <w:rPr>
          <w:rFonts w:hint="cs"/>
          <w:rtl/>
        </w:rPr>
        <w:t xml:space="preserve">. </w:t>
      </w:r>
      <w:r w:rsidR="00775750">
        <w:rPr>
          <w:rFonts w:hint="cs"/>
          <w:rtl/>
        </w:rPr>
        <w:t>وذُكر أيضا تعديل بيانات المنتج</w:t>
      </w:r>
      <w:r w:rsidR="00586F2B">
        <w:rPr>
          <w:rFonts w:hint="cs"/>
          <w:rtl/>
        </w:rPr>
        <w:t>ات</w:t>
      </w:r>
      <w:r w:rsidR="00775750">
        <w:rPr>
          <w:rFonts w:hint="cs"/>
          <w:rtl/>
        </w:rPr>
        <w:t xml:space="preserve"> أو تعديل المطالبات.</w:t>
      </w:r>
    </w:p>
    <w:p w:rsidR="00903EC5" w:rsidRDefault="00EF4BE0" w:rsidP="001863E1">
      <w:pPr>
        <w:pStyle w:val="NumberedParaAR"/>
      </w:pPr>
      <w:r>
        <w:rPr>
          <w:rFonts w:hint="cs"/>
          <w:rtl/>
        </w:rPr>
        <w:t>ويمكن أن تتعلق كل هذه الأنواع للتعديلات بنطاق حق التصميم وفقا للقانون ال</w:t>
      </w:r>
      <w:r w:rsidR="001863E1">
        <w:rPr>
          <w:rFonts w:hint="cs"/>
          <w:rtl/>
        </w:rPr>
        <w:t xml:space="preserve">مطبق </w:t>
      </w:r>
      <w:r>
        <w:rPr>
          <w:rFonts w:hint="cs"/>
          <w:rtl/>
        </w:rPr>
        <w:t>لدى الطرف المتعاقد المعين الذي يقبل مكتبه أنواع التعديلات المعنية.</w:t>
      </w:r>
    </w:p>
    <w:p w:rsidR="00823A81" w:rsidRPr="00C43063" w:rsidRDefault="00C43063" w:rsidP="00C43063">
      <w:pPr>
        <w:pStyle w:val="NumberedParaAR"/>
        <w:keepNext/>
        <w:numPr>
          <w:ilvl w:val="0"/>
          <w:numId w:val="0"/>
        </w:numPr>
        <w:rPr>
          <w:sz w:val="40"/>
          <w:szCs w:val="40"/>
        </w:rPr>
      </w:pPr>
      <w:r w:rsidRPr="00C43063">
        <w:rPr>
          <w:rFonts w:hint="cs"/>
          <w:sz w:val="40"/>
          <w:szCs w:val="40"/>
          <w:rtl/>
        </w:rPr>
        <w:t>توقيت التعديل لدى المكاتب</w:t>
      </w:r>
    </w:p>
    <w:p w:rsidR="00C43063" w:rsidRDefault="00340BAD" w:rsidP="0059522A">
      <w:pPr>
        <w:pStyle w:val="NumberedParaAR"/>
      </w:pPr>
      <w:r>
        <w:rPr>
          <w:rFonts w:hint="cs"/>
          <w:rtl/>
        </w:rPr>
        <w:t xml:space="preserve">يتمثل أحد </w:t>
      </w:r>
      <w:r w:rsidRPr="00DF5526">
        <w:rPr>
          <w:rFonts w:hint="cs"/>
          <w:rtl/>
        </w:rPr>
        <w:t>الدواعي</w:t>
      </w:r>
      <w:r>
        <w:rPr>
          <w:rFonts w:hint="cs"/>
          <w:rtl/>
        </w:rPr>
        <w:t xml:space="preserve"> </w:t>
      </w:r>
      <w:r w:rsidRPr="00DF5526">
        <w:rPr>
          <w:rFonts w:hint="cs"/>
          <w:rtl/>
        </w:rPr>
        <w:t>النمطية</w:t>
      </w:r>
      <w:r>
        <w:rPr>
          <w:rFonts w:hint="cs"/>
          <w:rtl/>
        </w:rPr>
        <w:t xml:space="preserve"> لتعديل التصاميم الصناعية في التغلب على أسباب الرفض. </w:t>
      </w:r>
      <w:r w:rsidR="0059522A">
        <w:rPr>
          <w:rFonts w:hint="cs"/>
          <w:rtl/>
        </w:rPr>
        <w:t xml:space="preserve">ويمكن أن تتم التعديلات من هذا القبيل في إجراء يتخذ </w:t>
      </w:r>
      <w:r w:rsidR="00CB53E1">
        <w:rPr>
          <w:rFonts w:hint="cs"/>
          <w:rtl/>
        </w:rPr>
        <w:t xml:space="preserve">لدى المكتب عادة في غضون فترة محددة عقب إخطار الرفض. </w:t>
      </w:r>
      <w:r w:rsidR="00F61E1F">
        <w:rPr>
          <w:rFonts w:hint="cs"/>
          <w:rtl/>
        </w:rPr>
        <w:t xml:space="preserve">إلا أنه من المعلوم أن كثيرا من الأنظمة القانونية تسمح للمودع بتعديل التصميم الصناعي بعد الإيداع مباشرة، وذلك بهدف </w:t>
      </w:r>
      <w:r w:rsidR="00E9731E" w:rsidRPr="00F43C9D">
        <w:rPr>
          <w:rFonts w:hint="cs"/>
          <w:rtl/>
        </w:rPr>
        <w:t>بدء معالجة</w:t>
      </w:r>
      <w:r w:rsidR="00E9731E">
        <w:rPr>
          <w:rFonts w:hint="cs"/>
          <w:rtl/>
        </w:rPr>
        <w:t xml:space="preserve"> وثيقة الطلب واستباق احتمال الرفض.</w:t>
      </w:r>
    </w:p>
    <w:p w:rsidR="00E9731E" w:rsidRDefault="00431FAB" w:rsidP="00EF2405">
      <w:pPr>
        <w:pStyle w:val="NumberedParaAR"/>
      </w:pPr>
      <w:r>
        <w:rPr>
          <w:rFonts w:hint="cs"/>
          <w:rtl/>
        </w:rPr>
        <w:t xml:space="preserve">ووفقا لنظام مدريد، يجوز للمودع أن يطلب الحماية في "أطراف متعاقدة أخرى" لعلامة تجارية سُجلت بالفعل، أو أودع طلب لتسجيلها، لدى مكتب الطرف المتعاقد الذي </w:t>
      </w:r>
      <w:r w:rsidR="00EF2405">
        <w:rPr>
          <w:rFonts w:hint="cs"/>
          <w:rtl/>
        </w:rPr>
        <w:t xml:space="preserve">توجد بينه وبين </w:t>
      </w:r>
      <w:r>
        <w:rPr>
          <w:rFonts w:hint="cs"/>
          <w:rtl/>
        </w:rPr>
        <w:t xml:space="preserve">المودع صلة معينة ("مكتب </w:t>
      </w:r>
      <w:r w:rsidRPr="008309A4">
        <w:rPr>
          <w:rFonts w:hint="cs"/>
          <w:rtl/>
        </w:rPr>
        <w:t>المنشأ</w:t>
      </w:r>
      <w:r>
        <w:rPr>
          <w:rFonts w:hint="cs"/>
          <w:rtl/>
        </w:rPr>
        <w:t xml:space="preserve">"). </w:t>
      </w:r>
      <w:r w:rsidR="008F0142">
        <w:rPr>
          <w:rFonts w:hint="cs"/>
          <w:rtl/>
        </w:rPr>
        <w:t xml:space="preserve">ولا وجود لمفهوم مكتب </w:t>
      </w:r>
      <w:r w:rsidR="008F0142" w:rsidRPr="008309A4">
        <w:rPr>
          <w:rFonts w:hint="cs"/>
          <w:rtl/>
        </w:rPr>
        <w:t>المنشأ</w:t>
      </w:r>
      <w:r w:rsidR="008F0142">
        <w:rPr>
          <w:rFonts w:hint="cs"/>
          <w:rtl/>
        </w:rPr>
        <w:t xml:space="preserve"> في ظل نظام لاهاي. </w:t>
      </w:r>
      <w:r w:rsidR="00BE336E">
        <w:rPr>
          <w:rFonts w:hint="cs"/>
          <w:rtl/>
        </w:rPr>
        <w:t>ويجوز للمودع، وهو ما يفعله غالبا، أن يعيّن الطرف المتعاقد الخاص به في طلب دولي ("</w:t>
      </w:r>
      <w:r w:rsidR="00A879CE" w:rsidRPr="00A72DC1">
        <w:rPr>
          <w:rFonts w:hint="cs"/>
          <w:rtl/>
        </w:rPr>
        <w:t>ال</w:t>
      </w:r>
      <w:r w:rsidR="00BE336E" w:rsidRPr="00A72DC1">
        <w:rPr>
          <w:rFonts w:hint="cs"/>
          <w:rtl/>
        </w:rPr>
        <w:t xml:space="preserve">تعيين </w:t>
      </w:r>
      <w:r w:rsidR="00A879CE" w:rsidRPr="00A72DC1">
        <w:rPr>
          <w:rFonts w:hint="cs"/>
          <w:rtl/>
        </w:rPr>
        <w:t>ال</w:t>
      </w:r>
      <w:r w:rsidR="00BE336E" w:rsidRPr="00A72DC1">
        <w:rPr>
          <w:rFonts w:hint="cs"/>
          <w:rtl/>
        </w:rPr>
        <w:t>ذاتي</w:t>
      </w:r>
      <w:r w:rsidR="00BE336E">
        <w:rPr>
          <w:rFonts w:hint="cs"/>
          <w:rtl/>
        </w:rPr>
        <w:t>")</w:t>
      </w:r>
      <w:r w:rsidR="00AC24C9">
        <w:rPr>
          <w:rStyle w:val="FootnoteReference"/>
          <w:rtl/>
        </w:rPr>
        <w:footnoteReference w:id="7"/>
      </w:r>
      <w:r w:rsidR="00BE336E">
        <w:rPr>
          <w:rFonts w:hint="cs"/>
          <w:rtl/>
        </w:rPr>
        <w:t xml:space="preserve">. </w:t>
      </w:r>
      <w:r w:rsidR="003A7EEF">
        <w:rPr>
          <w:rFonts w:hint="cs"/>
          <w:rtl/>
        </w:rPr>
        <w:t xml:space="preserve">وقد يكون الطلب الدولي غالبا </w:t>
      </w:r>
      <w:r w:rsidR="003A7EEF" w:rsidRPr="00E6630E">
        <w:rPr>
          <w:rFonts w:hint="cs"/>
          <w:rtl/>
        </w:rPr>
        <w:t>إيداعا أول</w:t>
      </w:r>
      <w:r w:rsidR="003A7EEF">
        <w:rPr>
          <w:rFonts w:hint="cs"/>
          <w:rtl/>
        </w:rPr>
        <w:t xml:space="preserve"> بالمعنى الذي تشير إليه المادة 4 من اتفاقية باريس لحماية الملكية الصناعية.</w:t>
      </w:r>
    </w:p>
    <w:p w:rsidR="003A7EEF" w:rsidRDefault="00B90D5B" w:rsidP="005658A4">
      <w:pPr>
        <w:pStyle w:val="NumberedParaAR"/>
      </w:pPr>
      <w:r>
        <w:rPr>
          <w:rFonts w:hint="cs"/>
          <w:rtl/>
        </w:rPr>
        <w:t xml:space="preserve">ويترتب على ذلك أنه، وفقا لنظام لاهاي، وعقب الطلب الدولي، يمكن أن يتم إجراء معين </w:t>
      </w:r>
      <w:r>
        <w:rPr>
          <w:rtl/>
        </w:rPr>
        <w:t>–</w:t>
      </w:r>
      <w:r>
        <w:rPr>
          <w:rFonts w:hint="cs"/>
          <w:rtl/>
        </w:rPr>
        <w:t xml:space="preserve"> كالفحص </w:t>
      </w:r>
      <w:r w:rsidRPr="001E1C26">
        <w:rPr>
          <w:rFonts w:hint="cs"/>
          <w:rtl/>
        </w:rPr>
        <w:t>التلقائي</w:t>
      </w:r>
      <w:r>
        <w:rPr>
          <w:rFonts w:hint="cs"/>
          <w:rtl/>
        </w:rPr>
        <w:t xml:space="preserve"> مثلا </w:t>
      </w:r>
      <w:r>
        <w:rPr>
          <w:rtl/>
        </w:rPr>
        <w:t>–</w:t>
      </w:r>
      <w:r>
        <w:rPr>
          <w:rFonts w:hint="cs"/>
          <w:rtl/>
        </w:rPr>
        <w:t xml:space="preserve"> في الطرف المتعاقد الذي يقيم فيه المودع والذي يعرف المودع إجراءاته الوطنية. </w:t>
      </w:r>
      <w:r w:rsidR="006961E5">
        <w:rPr>
          <w:rFonts w:hint="cs"/>
          <w:rtl/>
        </w:rPr>
        <w:t xml:space="preserve">ولذلك فإن المودع (صاحب التسجيل الدولي) قد يرغب في بعض الحالات في الاتصال بمكتب هذا الطرف المتعاقد بغية تعديل التصميم الصناعي. </w:t>
      </w:r>
      <w:r w:rsidR="00A76954">
        <w:rPr>
          <w:rFonts w:hint="cs"/>
          <w:rtl/>
        </w:rPr>
        <w:t xml:space="preserve">ويمكن إيداع هذا التعديل باللغة المحلية، دون تعيين </w:t>
      </w:r>
      <w:r w:rsidR="00A76954" w:rsidRPr="005658A4">
        <w:rPr>
          <w:rFonts w:hint="cs"/>
          <w:rtl/>
        </w:rPr>
        <w:t>وكيل</w:t>
      </w:r>
      <w:r w:rsidR="00A76954">
        <w:rPr>
          <w:rFonts w:hint="cs"/>
          <w:rtl/>
        </w:rPr>
        <w:t xml:space="preserve">. </w:t>
      </w:r>
      <w:r w:rsidR="009C6DB3">
        <w:rPr>
          <w:rFonts w:hint="cs"/>
          <w:rtl/>
        </w:rPr>
        <w:t xml:space="preserve">وليس هذا الوضع واردا في نظام مدريد. </w:t>
      </w:r>
      <w:r w:rsidR="0052513E">
        <w:rPr>
          <w:rFonts w:hint="cs"/>
          <w:rtl/>
        </w:rPr>
        <w:t>إلا أن التعديل، نظريا، يمكن طلبه مباشرة من مكتب أي طرف متعاقد معين يقبله.</w:t>
      </w:r>
    </w:p>
    <w:p w:rsidR="00360AE3" w:rsidRDefault="00BF6A0E" w:rsidP="002D70D3">
      <w:pPr>
        <w:pStyle w:val="NumberedParaAR"/>
      </w:pPr>
      <w:r>
        <w:rPr>
          <w:rFonts w:hint="cs"/>
          <w:rtl/>
        </w:rPr>
        <w:t xml:space="preserve">وإذا قبل المكتب التعديل (قبل الإخطار بالرفض)، ولم يجد المكتب أية أسباب للرفض، فإن النتيجة المحتملة هي منح الحماية في النهاية للتصميم الصناعي كما هو معدل، </w:t>
      </w:r>
      <w:r w:rsidR="009078E3" w:rsidRPr="00694000">
        <w:rPr>
          <w:rFonts w:hint="cs"/>
          <w:rtl/>
        </w:rPr>
        <w:t>في حال عدم إرسال</w:t>
      </w:r>
      <w:r w:rsidR="009078E3">
        <w:rPr>
          <w:rFonts w:hint="cs"/>
          <w:rtl/>
        </w:rPr>
        <w:t xml:space="preserve"> إخطار بالرفض إلى المكتب الدولي. </w:t>
      </w:r>
      <w:r w:rsidR="00D50F51">
        <w:rPr>
          <w:rFonts w:hint="cs"/>
          <w:rtl/>
        </w:rPr>
        <w:t xml:space="preserve">لذلك فإن الفريق </w:t>
      </w:r>
      <w:r w:rsidR="00D50F51">
        <w:rPr>
          <w:rFonts w:hint="cs"/>
          <w:rtl/>
        </w:rPr>
        <w:lastRenderedPageBreak/>
        <w:t>العامل قد يرغب في النظر فيما إذا كان التعديل المنفذ في الحالات المذكورة</w:t>
      </w:r>
      <w:r w:rsidR="00837B40">
        <w:rPr>
          <w:rFonts w:hint="cs"/>
          <w:rtl/>
        </w:rPr>
        <w:t xml:space="preserve"> أعلاه ينبغي أن يكون أيضا موضوع</w:t>
      </w:r>
      <w:r w:rsidR="00D50F51">
        <w:rPr>
          <w:rFonts w:hint="cs"/>
          <w:rtl/>
        </w:rPr>
        <w:t xml:space="preserve"> آلية </w:t>
      </w:r>
      <w:r w:rsidR="002D70D3">
        <w:rPr>
          <w:rFonts w:hint="cs"/>
          <w:rtl/>
        </w:rPr>
        <w:t>التعليقات النقدية</w:t>
      </w:r>
      <w:r w:rsidR="00D50F51">
        <w:rPr>
          <w:rFonts w:hint="cs"/>
          <w:rtl/>
        </w:rPr>
        <w:t>.</w:t>
      </w:r>
    </w:p>
    <w:p w:rsidR="00837B40" w:rsidRPr="00837B40" w:rsidRDefault="00C75F45" w:rsidP="00FF1B25">
      <w:pPr>
        <w:pStyle w:val="NumberedParaAR"/>
        <w:keepNext/>
        <w:numPr>
          <w:ilvl w:val="0"/>
          <w:numId w:val="0"/>
        </w:numPr>
        <w:rPr>
          <w:sz w:val="40"/>
          <w:szCs w:val="40"/>
        </w:rPr>
      </w:pPr>
      <w:r w:rsidRPr="00FF1B25">
        <w:rPr>
          <w:rFonts w:hint="cs"/>
          <w:sz w:val="40"/>
          <w:szCs w:val="40"/>
          <w:rtl/>
        </w:rPr>
        <w:t>تبليغ</w:t>
      </w:r>
      <w:r>
        <w:rPr>
          <w:rFonts w:hint="cs"/>
          <w:sz w:val="40"/>
          <w:szCs w:val="40"/>
          <w:rtl/>
        </w:rPr>
        <w:t xml:space="preserve"> التعديلات</w:t>
      </w:r>
      <w:r w:rsidR="00837B40" w:rsidRPr="00837B40">
        <w:rPr>
          <w:rFonts w:hint="cs"/>
          <w:sz w:val="40"/>
          <w:szCs w:val="40"/>
          <w:rtl/>
        </w:rPr>
        <w:t xml:space="preserve"> </w:t>
      </w:r>
      <w:r w:rsidR="00FF1B25">
        <w:rPr>
          <w:rFonts w:hint="cs"/>
          <w:sz w:val="40"/>
          <w:szCs w:val="40"/>
          <w:rtl/>
        </w:rPr>
        <w:t>إلى ا</w:t>
      </w:r>
      <w:r>
        <w:rPr>
          <w:rFonts w:hint="cs"/>
          <w:sz w:val="40"/>
          <w:szCs w:val="40"/>
          <w:rtl/>
        </w:rPr>
        <w:t>لمكتب الدولي</w:t>
      </w:r>
    </w:p>
    <w:p w:rsidR="00837B40" w:rsidRDefault="00976479" w:rsidP="002D70D3">
      <w:pPr>
        <w:pStyle w:val="NumberedParaAR"/>
      </w:pPr>
      <w:r>
        <w:rPr>
          <w:rFonts w:hint="cs"/>
          <w:rtl/>
        </w:rPr>
        <w:t xml:space="preserve">ترمي آلية </w:t>
      </w:r>
      <w:r w:rsidR="002D70D3">
        <w:rPr>
          <w:rFonts w:hint="cs"/>
          <w:rtl/>
        </w:rPr>
        <w:t xml:space="preserve">التعليقات النقدية </w:t>
      </w:r>
      <w:r>
        <w:rPr>
          <w:rFonts w:hint="cs"/>
          <w:rtl/>
        </w:rPr>
        <w:t>إلى جمع المعلومات المتعلقة بالتعديلات المدخلة على التصميم الصناعي الذي منح</w:t>
      </w:r>
      <w:r w:rsidR="00EA08E3">
        <w:rPr>
          <w:rFonts w:hint="cs"/>
          <w:rtl/>
        </w:rPr>
        <w:t xml:space="preserve"> ل</w:t>
      </w:r>
      <w:r>
        <w:rPr>
          <w:rFonts w:hint="cs"/>
          <w:rtl/>
        </w:rPr>
        <w:t xml:space="preserve">ه الطرف المتعاقد المعين الحماية. </w:t>
      </w:r>
      <w:r w:rsidR="00F0748C">
        <w:rPr>
          <w:rFonts w:hint="cs"/>
          <w:rtl/>
        </w:rPr>
        <w:t xml:space="preserve">ولذلك، فإن </w:t>
      </w:r>
      <w:r w:rsidR="00742D35">
        <w:rPr>
          <w:rFonts w:hint="cs"/>
          <w:rtl/>
        </w:rPr>
        <w:t xml:space="preserve">المكتب الدولي لن </w:t>
      </w:r>
      <w:r w:rsidR="00742D35" w:rsidRPr="00A32A90">
        <w:rPr>
          <w:rFonts w:hint="cs"/>
          <w:rtl/>
        </w:rPr>
        <w:t>يشترط تقديم</w:t>
      </w:r>
      <w:r w:rsidR="00742D35">
        <w:rPr>
          <w:rFonts w:hint="cs"/>
          <w:rtl/>
        </w:rPr>
        <w:t xml:space="preserve"> هذه المعلومات إلا إذا توصل المكتب إلى نتيجة إيجابية </w:t>
      </w:r>
      <w:r w:rsidR="00A32A90">
        <w:rPr>
          <w:rFonts w:hint="cs"/>
          <w:rtl/>
        </w:rPr>
        <w:t>في قراره</w:t>
      </w:r>
      <w:r w:rsidR="00340679">
        <w:rPr>
          <w:rFonts w:hint="cs"/>
          <w:rtl/>
        </w:rPr>
        <w:t xml:space="preserve"> النهائي</w:t>
      </w:r>
      <w:r w:rsidR="00302AB4">
        <w:rPr>
          <w:rFonts w:hint="cs"/>
          <w:rtl/>
        </w:rPr>
        <w:t xml:space="preserve">، </w:t>
      </w:r>
      <w:r w:rsidR="002B62EF">
        <w:rPr>
          <w:rFonts w:hint="cs"/>
          <w:rtl/>
        </w:rPr>
        <w:t>وهي النتيجة المتمثلة في منح الحماية للتصميم الصناعي كما هو معدل.</w:t>
      </w:r>
    </w:p>
    <w:p w:rsidR="002B62EF" w:rsidRDefault="00E73C0C" w:rsidP="004C4A8E">
      <w:pPr>
        <w:pStyle w:val="NumberedParaAR"/>
      </w:pPr>
      <w:r>
        <w:rPr>
          <w:rFonts w:hint="cs"/>
          <w:rtl/>
        </w:rPr>
        <w:t xml:space="preserve">ومن ثم، فإنه في الإطار القانوني لنظام لاهاي، يمكن للتبليغ السليم للمعلومات المتعلقة بالتعديلات أن يتألف من بيان بمنح الحماية كما هو منصوص عليه في القاعدة 18(ثانيا)(1) و(2) من اللائحة التنفيذية المشتركة </w:t>
      </w:r>
      <w:r w:rsidR="004C4A8E">
        <w:rPr>
          <w:rFonts w:hint="cs"/>
          <w:rtl/>
        </w:rPr>
        <w:t>ل</w:t>
      </w:r>
      <w:r w:rsidR="003A2BAA">
        <w:rPr>
          <w:rFonts w:hint="cs"/>
          <w:rtl/>
        </w:rPr>
        <w:t>وثيقة</w:t>
      </w:r>
      <w:r>
        <w:rPr>
          <w:rFonts w:hint="cs"/>
          <w:rtl/>
        </w:rPr>
        <w:t xml:space="preserve"> 1999 </w:t>
      </w:r>
      <w:r w:rsidR="003A2BAA">
        <w:rPr>
          <w:rFonts w:hint="cs"/>
          <w:rtl/>
        </w:rPr>
        <w:t xml:space="preserve">ووثيقة </w:t>
      </w:r>
      <w:r>
        <w:rPr>
          <w:rFonts w:hint="cs"/>
          <w:rtl/>
        </w:rPr>
        <w:t>1960 لاتفاق لاهاي (والمشار إليها فيما يلي بعبارة "اللائحة التنفيذية المشتركة")</w:t>
      </w:r>
      <w:r w:rsidR="008216C7">
        <w:rPr>
          <w:rFonts w:hint="cs"/>
          <w:rtl/>
        </w:rPr>
        <w:t xml:space="preserve"> وإخطار بسحب الرفض كما هو منصوص عليه في القاعدة 18(4).</w:t>
      </w:r>
    </w:p>
    <w:p w:rsidR="006438B0" w:rsidRDefault="0002343E" w:rsidP="001863E1">
      <w:pPr>
        <w:pStyle w:val="NumberedParaAR"/>
      </w:pPr>
      <w:r>
        <w:rPr>
          <w:rFonts w:hint="cs"/>
          <w:rtl/>
        </w:rPr>
        <w:t xml:space="preserve">ويعتبر إصدار بيان بمنح الحماية وفقا للقاعدة 18(ثانيا)(2) وإخطار بسحب الرفض وفقا للقاعدة 18(4) إلزاميا. </w:t>
      </w:r>
      <w:r w:rsidR="00B93210">
        <w:rPr>
          <w:rFonts w:hint="cs"/>
          <w:rtl/>
        </w:rPr>
        <w:t xml:space="preserve">وفي هذا الصدد، يُذكر أن المادة 12(4) من </w:t>
      </w:r>
      <w:r w:rsidR="00EA7A3E">
        <w:rPr>
          <w:rFonts w:hint="cs"/>
          <w:rtl/>
        </w:rPr>
        <w:t>وثيقة</w:t>
      </w:r>
      <w:r w:rsidR="00B93210">
        <w:rPr>
          <w:rFonts w:hint="cs"/>
          <w:rtl/>
        </w:rPr>
        <w:t xml:space="preserve"> 1999 تنص على أن</w:t>
      </w:r>
      <w:r w:rsidR="006438B0">
        <w:rPr>
          <w:rFonts w:hint="cs"/>
          <w:rtl/>
        </w:rPr>
        <w:t>ه</w:t>
      </w:r>
      <w:r w:rsidR="00B93210">
        <w:rPr>
          <w:rFonts w:hint="cs"/>
          <w:rtl/>
        </w:rPr>
        <w:t xml:space="preserve"> "</w:t>
      </w:r>
      <w:r w:rsidR="006438B0">
        <w:rPr>
          <w:rFonts w:hint="cs"/>
          <w:rtl/>
        </w:rPr>
        <w:t>يجوز للمكتب الذي بلغ الرفض أن يسحبه، جزئيا أو كليا، في أي وقت كان</w:t>
      </w:r>
      <w:r w:rsidR="00706F3B">
        <w:rPr>
          <w:rFonts w:hint="cs"/>
          <w:rtl/>
        </w:rPr>
        <w:t>"،</w:t>
      </w:r>
      <w:r w:rsidR="006438B0">
        <w:rPr>
          <w:rFonts w:hint="cs"/>
          <w:rtl/>
          <w:lang w:bidi="ar-EG"/>
        </w:rPr>
        <w:t xml:space="preserve"> </w:t>
      </w:r>
      <w:r w:rsidR="00B83B3E">
        <w:rPr>
          <w:rFonts w:hint="cs"/>
          <w:rtl/>
          <w:lang w:bidi="ar-EG"/>
        </w:rPr>
        <w:t xml:space="preserve">وأن المادة 14(2)(ب) تنص على الأثر </w:t>
      </w:r>
      <w:r w:rsidR="00527300">
        <w:rPr>
          <w:rFonts w:hint="cs"/>
          <w:rtl/>
          <w:lang w:bidi="ar-EG"/>
        </w:rPr>
        <w:t>باعتباره منح الحماية وفقا للقانون ال</w:t>
      </w:r>
      <w:r w:rsidR="001863E1">
        <w:rPr>
          <w:rFonts w:hint="cs"/>
          <w:rtl/>
          <w:lang w:bidi="ar-EG"/>
        </w:rPr>
        <w:t xml:space="preserve">مطبق </w:t>
      </w:r>
      <w:r w:rsidR="0036275B">
        <w:rPr>
          <w:rFonts w:hint="cs"/>
          <w:rtl/>
          <w:lang w:bidi="ar-EG"/>
        </w:rPr>
        <w:t xml:space="preserve">إذا </w:t>
      </w:r>
      <w:r w:rsidR="005B3EEB">
        <w:rPr>
          <w:rFonts w:hint="cs"/>
          <w:rtl/>
          <w:lang w:bidi="ar-EG"/>
        </w:rPr>
        <w:t>بلغ المكتب رفض</w:t>
      </w:r>
      <w:r w:rsidR="0036275B">
        <w:rPr>
          <w:rFonts w:hint="cs"/>
          <w:rtl/>
          <w:lang w:bidi="ar-EG"/>
        </w:rPr>
        <w:t>ا</w:t>
      </w:r>
      <w:r w:rsidR="005B3EEB">
        <w:rPr>
          <w:rFonts w:hint="cs"/>
          <w:rtl/>
          <w:lang w:bidi="ar-EG"/>
        </w:rPr>
        <w:t xml:space="preserve"> </w:t>
      </w:r>
      <w:r w:rsidR="00F45FEE">
        <w:rPr>
          <w:rFonts w:hint="cs"/>
          <w:rtl/>
          <w:lang w:bidi="ar-EG"/>
        </w:rPr>
        <w:t>و</w:t>
      </w:r>
      <w:r w:rsidR="005B3EEB">
        <w:rPr>
          <w:rFonts w:hint="cs"/>
          <w:rtl/>
          <w:lang w:bidi="ar-EG"/>
        </w:rPr>
        <w:t xml:space="preserve">سحب ذلك الرفض </w:t>
      </w:r>
      <w:r w:rsidR="007A6E72">
        <w:rPr>
          <w:rFonts w:hint="cs"/>
          <w:rtl/>
          <w:lang w:bidi="ar-EG"/>
        </w:rPr>
        <w:t xml:space="preserve">لاحقا </w:t>
      </w:r>
      <w:r w:rsidR="005B3EEB">
        <w:rPr>
          <w:rFonts w:hint="cs"/>
          <w:rtl/>
          <w:lang w:bidi="ar-EG"/>
        </w:rPr>
        <w:t>جزئيا أو كليا.</w:t>
      </w:r>
    </w:p>
    <w:p w:rsidR="00B71E46" w:rsidRDefault="00572575" w:rsidP="00720F0A">
      <w:pPr>
        <w:pStyle w:val="NumberedParaAR"/>
      </w:pPr>
      <w:r>
        <w:rPr>
          <w:rFonts w:hint="cs"/>
          <w:rtl/>
        </w:rPr>
        <w:t xml:space="preserve">وتتفق القاعدتان 18(4) و18(ثانيا)(2) مع حكمي </w:t>
      </w:r>
      <w:r w:rsidR="00EA7A3E">
        <w:rPr>
          <w:rFonts w:hint="cs"/>
          <w:rtl/>
        </w:rPr>
        <w:t>وثيقة</w:t>
      </w:r>
      <w:r>
        <w:rPr>
          <w:rFonts w:hint="cs"/>
          <w:rtl/>
        </w:rPr>
        <w:t xml:space="preserve"> 1999 المذكورين أعلاه، </w:t>
      </w:r>
      <w:r w:rsidR="001B14BA">
        <w:rPr>
          <w:rFonts w:hint="cs"/>
          <w:rtl/>
          <w:lang w:bidi="ar-EG"/>
        </w:rPr>
        <w:t xml:space="preserve">والموضوعين بقصد أن يوضح السجل الدولي القرار النهائي بشأن وضع التصميم الصناعي إذا سُحب الرفض جزئيا أو كليا. </w:t>
      </w:r>
      <w:r w:rsidR="001025FC">
        <w:rPr>
          <w:rFonts w:hint="cs"/>
          <w:rtl/>
          <w:lang w:bidi="ar-EG"/>
        </w:rPr>
        <w:t xml:space="preserve">والفرق الوحيد بين هاتين القاعدتين هو "شكل" </w:t>
      </w:r>
      <w:r w:rsidR="003B058B">
        <w:rPr>
          <w:rFonts w:hint="cs"/>
          <w:rtl/>
          <w:lang w:bidi="ar-EG"/>
        </w:rPr>
        <w:t>التبليغ</w:t>
      </w:r>
      <w:r w:rsidR="00F61CEA">
        <w:rPr>
          <w:rStyle w:val="FootnoteReference"/>
          <w:rtl/>
          <w:lang w:bidi="ar-EG"/>
        </w:rPr>
        <w:footnoteReference w:id="8"/>
      </w:r>
      <w:r w:rsidR="001025FC">
        <w:rPr>
          <w:rFonts w:hint="cs"/>
          <w:rtl/>
          <w:lang w:bidi="ar-EG"/>
        </w:rPr>
        <w:t xml:space="preserve">. </w:t>
      </w:r>
      <w:r w:rsidR="00FD73E7">
        <w:rPr>
          <w:rFonts w:hint="cs"/>
          <w:rtl/>
          <w:lang w:bidi="ar-EG"/>
        </w:rPr>
        <w:t xml:space="preserve">ولا تنص وثيقة لاهاي (1960) على سحب الرفض. </w:t>
      </w:r>
      <w:r w:rsidR="00BC693B">
        <w:rPr>
          <w:rFonts w:hint="cs"/>
          <w:rtl/>
          <w:lang w:bidi="ar-EG"/>
        </w:rPr>
        <w:t xml:space="preserve">إلا أن الرفض يمكن، </w:t>
      </w:r>
      <w:r w:rsidR="00720F0A">
        <w:rPr>
          <w:rFonts w:hint="cs"/>
          <w:rtl/>
          <w:lang w:bidi="ar-EG"/>
        </w:rPr>
        <w:t>بطبيعة الحال</w:t>
      </w:r>
      <w:r w:rsidR="00BC693B">
        <w:rPr>
          <w:rFonts w:hint="cs"/>
          <w:rtl/>
          <w:lang w:bidi="ar-EG"/>
        </w:rPr>
        <w:t xml:space="preserve">، أن يُسحب وفقا للوثيقة المذكورة ويمكن أن تطبق القاعدة 18(4) أو 18(ثانيا)(2) </w:t>
      </w:r>
      <w:r w:rsidR="002461EE">
        <w:rPr>
          <w:rFonts w:hint="cs"/>
          <w:rtl/>
          <w:lang w:bidi="ar-EG"/>
        </w:rPr>
        <w:t>وفقا ل</w:t>
      </w:r>
      <w:r w:rsidR="00BC693B">
        <w:rPr>
          <w:rFonts w:hint="cs"/>
          <w:rtl/>
          <w:lang w:bidi="ar-EG"/>
        </w:rPr>
        <w:t xml:space="preserve">ذلك، </w:t>
      </w:r>
      <w:r w:rsidR="00E641D6">
        <w:rPr>
          <w:rFonts w:hint="cs"/>
          <w:rtl/>
          <w:lang w:bidi="ar-EG"/>
        </w:rPr>
        <w:t xml:space="preserve">حسب </w:t>
      </w:r>
      <w:r w:rsidR="00E641D6" w:rsidRPr="00633B80">
        <w:rPr>
          <w:rFonts w:hint="cs"/>
          <w:rtl/>
          <w:lang w:bidi="ar-EG"/>
        </w:rPr>
        <w:t>تقدير</w:t>
      </w:r>
      <w:r w:rsidR="00E641D6">
        <w:rPr>
          <w:rFonts w:hint="cs"/>
          <w:rtl/>
          <w:lang w:bidi="ar-EG"/>
        </w:rPr>
        <w:t xml:space="preserve"> مكتب </w:t>
      </w:r>
      <w:r w:rsidR="00936C78">
        <w:rPr>
          <w:rFonts w:hint="cs"/>
          <w:rtl/>
          <w:lang w:bidi="ar-EG"/>
        </w:rPr>
        <w:t xml:space="preserve">أحد الأطراف </w:t>
      </w:r>
      <w:r w:rsidR="00E641D6">
        <w:rPr>
          <w:rFonts w:hint="cs"/>
          <w:rtl/>
          <w:lang w:bidi="ar-EG"/>
        </w:rPr>
        <w:t>المتعاقد</w:t>
      </w:r>
      <w:r w:rsidR="00936C78">
        <w:rPr>
          <w:rFonts w:hint="cs"/>
          <w:rtl/>
          <w:lang w:bidi="ar-EG"/>
        </w:rPr>
        <w:t>ة</w:t>
      </w:r>
      <w:r w:rsidR="00E641D6">
        <w:rPr>
          <w:rFonts w:hint="cs"/>
          <w:rtl/>
          <w:lang w:bidi="ar-EG"/>
        </w:rPr>
        <w:t xml:space="preserve"> المعين</w:t>
      </w:r>
      <w:r w:rsidR="00936C78">
        <w:rPr>
          <w:rFonts w:hint="cs"/>
          <w:rtl/>
          <w:lang w:bidi="ar-EG"/>
        </w:rPr>
        <w:t>ة</w:t>
      </w:r>
      <w:r w:rsidR="00E641D6">
        <w:rPr>
          <w:rFonts w:hint="cs"/>
          <w:rtl/>
          <w:lang w:bidi="ar-EG"/>
        </w:rPr>
        <w:t>.</w:t>
      </w:r>
    </w:p>
    <w:p w:rsidR="00E3524C" w:rsidRDefault="004675F9" w:rsidP="0057318D">
      <w:pPr>
        <w:pStyle w:val="NumberedParaAR"/>
      </w:pPr>
      <w:r>
        <w:rPr>
          <w:rFonts w:hint="cs"/>
          <w:rtl/>
          <w:lang w:bidi="ar-EG"/>
        </w:rPr>
        <w:t xml:space="preserve">ويعتبر إصدار بيان منح الحماية وفقا للقاعدة 18(ثانيا)(1) اختياريا. ويتمثل الغرض من إرسال هذا البيان الإيجابي في خلال فترة الرفض </w:t>
      </w:r>
      <w:r w:rsidR="000E0E52">
        <w:rPr>
          <w:rFonts w:hint="cs"/>
          <w:rtl/>
          <w:lang w:bidi="ar-EG"/>
        </w:rPr>
        <w:t xml:space="preserve">المطبقة </w:t>
      </w:r>
      <w:r>
        <w:rPr>
          <w:rFonts w:hint="cs"/>
          <w:rtl/>
          <w:lang w:bidi="ar-EG"/>
        </w:rPr>
        <w:t xml:space="preserve">في إخطار صاحب التسجيل الدولي بأن الحماية مُنحت (أو سوف تُمنح) في الطرف المتعاقد المعين فور استكمال إجراء معين لدى المكتب. </w:t>
      </w:r>
      <w:r w:rsidR="00496352" w:rsidRPr="00606A85">
        <w:rPr>
          <w:rFonts w:hint="cs"/>
          <w:rtl/>
          <w:lang w:bidi="ar-EG"/>
        </w:rPr>
        <w:t>وفيما عدا ذلك</w:t>
      </w:r>
      <w:r w:rsidR="00496352">
        <w:rPr>
          <w:rFonts w:hint="cs"/>
          <w:rtl/>
          <w:lang w:bidi="ar-EG"/>
        </w:rPr>
        <w:t xml:space="preserve">، فإن </w:t>
      </w:r>
      <w:r w:rsidR="00496352">
        <w:rPr>
          <w:rFonts w:hint="cs"/>
          <w:rtl/>
        </w:rPr>
        <w:t>وضع التصميم الصناعي في ذلك الطرف المتعاقد المعين يتحدد وفقا لمبدأ "</w:t>
      </w:r>
      <w:r w:rsidR="00496352" w:rsidRPr="009E4853">
        <w:rPr>
          <w:rFonts w:hint="cs"/>
          <w:rtl/>
        </w:rPr>
        <w:t>القبول الضمني</w:t>
      </w:r>
      <w:r w:rsidR="00496352">
        <w:rPr>
          <w:rFonts w:hint="cs"/>
          <w:rtl/>
        </w:rPr>
        <w:t xml:space="preserve">"، </w:t>
      </w:r>
      <w:r w:rsidR="00E83CA6">
        <w:rPr>
          <w:rFonts w:hint="cs"/>
          <w:rtl/>
        </w:rPr>
        <w:t xml:space="preserve">والذي يعني أنه </w:t>
      </w:r>
      <w:r w:rsidR="00082CBB">
        <w:rPr>
          <w:rFonts w:hint="cs"/>
          <w:rtl/>
        </w:rPr>
        <w:t xml:space="preserve">لا يوجد </w:t>
      </w:r>
      <w:r w:rsidR="00E5605B">
        <w:rPr>
          <w:rFonts w:hint="cs"/>
          <w:rtl/>
        </w:rPr>
        <w:t xml:space="preserve">أي </w:t>
      </w:r>
      <w:r w:rsidR="00082CBB">
        <w:rPr>
          <w:rFonts w:hint="cs"/>
          <w:rtl/>
        </w:rPr>
        <w:t xml:space="preserve">رفض أرسِل </w:t>
      </w:r>
      <w:r w:rsidR="00E83CA6">
        <w:rPr>
          <w:rFonts w:hint="cs"/>
          <w:rtl/>
        </w:rPr>
        <w:t xml:space="preserve">في خلال فترة الرفض </w:t>
      </w:r>
      <w:r w:rsidR="00C61B9B">
        <w:rPr>
          <w:rFonts w:hint="cs"/>
          <w:rtl/>
        </w:rPr>
        <w:t>المطبقة</w:t>
      </w:r>
      <w:r w:rsidR="00E83CA6">
        <w:rPr>
          <w:rFonts w:hint="cs"/>
          <w:rtl/>
        </w:rPr>
        <w:t xml:space="preserve">، </w:t>
      </w:r>
      <w:r w:rsidR="0057318D">
        <w:rPr>
          <w:rFonts w:hint="cs"/>
          <w:rtl/>
        </w:rPr>
        <w:t xml:space="preserve">ويعتبر التسجيل الدولي له </w:t>
      </w:r>
      <w:r w:rsidR="00847108">
        <w:rPr>
          <w:rFonts w:hint="cs"/>
          <w:rtl/>
        </w:rPr>
        <w:t xml:space="preserve">نفس أثر منح الحماية للتصميم الصناعي وفقا لقانون ذلك الطرف المتعاقد، </w:t>
      </w:r>
      <w:r w:rsidR="0076697E" w:rsidRPr="00315C5C">
        <w:rPr>
          <w:rFonts w:hint="cs"/>
          <w:rtl/>
        </w:rPr>
        <w:t>في موعد أقصاه</w:t>
      </w:r>
      <w:r w:rsidR="0076697E">
        <w:rPr>
          <w:rFonts w:hint="cs"/>
          <w:rtl/>
        </w:rPr>
        <w:t xml:space="preserve"> من تاريخ انتهاء فترة الرفض أو الوقت المحدد في الإعلان الصادر وفقا للقاعدة 18(1)(ج)"1" أو "2".</w:t>
      </w:r>
    </w:p>
    <w:p w:rsidR="000817BB" w:rsidRDefault="005C2B9E" w:rsidP="005C2B9E">
      <w:pPr>
        <w:pStyle w:val="NumberedParaAR"/>
      </w:pPr>
      <w:r>
        <w:rPr>
          <w:rFonts w:hint="cs"/>
          <w:rtl/>
        </w:rPr>
        <w:t>إلا أن الحماية، كما هو موضح في الفقرة 19 أعلاه، يمكن أن تُمنح للتصميم الصناعي كما عدله صاحب التسجيل الدولي الذي لم يتسلم إخطارا بالرفض عن طريق المكتب الدولي.</w:t>
      </w:r>
    </w:p>
    <w:p w:rsidR="005C2B9E" w:rsidRDefault="00503019" w:rsidP="002D70D3">
      <w:pPr>
        <w:pStyle w:val="NumberedParaAR"/>
      </w:pPr>
      <w:r>
        <w:rPr>
          <w:rFonts w:hint="cs"/>
          <w:rtl/>
        </w:rPr>
        <w:t xml:space="preserve">وهكذا، فإن آلية </w:t>
      </w:r>
      <w:r w:rsidR="002D70D3">
        <w:rPr>
          <w:rFonts w:hint="cs"/>
          <w:rtl/>
        </w:rPr>
        <w:t xml:space="preserve">التعليقات النقدية </w:t>
      </w:r>
      <w:r>
        <w:rPr>
          <w:rFonts w:hint="cs"/>
          <w:rtl/>
        </w:rPr>
        <w:t xml:space="preserve">إذا كانت ستعتمد كليا على بيان منح الحماية وفقا للقاعدة 18(ثانيا)(1) و(2) وإخطار سحب الرفض وفقا للقاعدة 18(4) </w:t>
      </w:r>
      <w:r w:rsidR="009B4311">
        <w:rPr>
          <w:rFonts w:hint="cs"/>
          <w:rtl/>
        </w:rPr>
        <w:t>كطريقتين</w:t>
      </w:r>
      <w:r>
        <w:rPr>
          <w:rFonts w:hint="cs"/>
          <w:rtl/>
        </w:rPr>
        <w:t xml:space="preserve"> للتبليغ، </w:t>
      </w:r>
      <w:r w:rsidR="00EA5146">
        <w:rPr>
          <w:rFonts w:hint="cs"/>
          <w:rtl/>
        </w:rPr>
        <w:t>فإن المكتب الدولي سيحتاج إلى أن يتسلم بيانا بمنح الحماية وفقا للقاعدة 18(ثانيا)(1) إذا كان هناك تعديل في إجراء لدى المكتب.</w:t>
      </w:r>
    </w:p>
    <w:p w:rsidR="00E450AE" w:rsidRDefault="000B5141" w:rsidP="001E426E">
      <w:pPr>
        <w:pStyle w:val="NumberedParaAR"/>
      </w:pPr>
      <w:r>
        <w:rPr>
          <w:rFonts w:hint="cs"/>
          <w:rtl/>
        </w:rPr>
        <w:lastRenderedPageBreak/>
        <w:t xml:space="preserve">وبالإضافة إلى ذلك، فإن الفترة </w:t>
      </w:r>
      <w:r w:rsidR="007C0ED5">
        <w:rPr>
          <w:rFonts w:hint="cs"/>
          <w:rtl/>
        </w:rPr>
        <w:t xml:space="preserve">المطبقة </w:t>
      </w:r>
      <w:r>
        <w:rPr>
          <w:rFonts w:hint="cs"/>
          <w:rtl/>
        </w:rPr>
        <w:t xml:space="preserve">والتي يمكن إصدار البيان المذكور أعلاه </w:t>
      </w:r>
      <w:r w:rsidR="00222CDD">
        <w:rPr>
          <w:rFonts w:hint="cs"/>
          <w:rtl/>
        </w:rPr>
        <w:t xml:space="preserve">خلالها </w:t>
      </w:r>
      <w:r>
        <w:rPr>
          <w:rFonts w:hint="cs"/>
          <w:rtl/>
        </w:rPr>
        <w:t xml:space="preserve">قد يلزم مراجعتها لأغراض </w:t>
      </w:r>
      <w:r w:rsidR="00E16538">
        <w:rPr>
          <w:rFonts w:hint="cs"/>
          <w:rtl/>
        </w:rPr>
        <w:t xml:space="preserve">تعيين طرف متعاقد اختار الفقرة الفرعية "1" أو "2" من القاعدة 18(1)(ج). </w:t>
      </w:r>
      <w:r w:rsidR="00A5485F">
        <w:rPr>
          <w:rFonts w:hint="cs"/>
          <w:rtl/>
        </w:rPr>
        <w:t xml:space="preserve">وإذا أصدر الطرف المتعاقد إعلانا وفقا لأي من القاعدتين المذكورتين أعلاه، </w:t>
      </w:r>
      <w:r w:rsidR="00B509B3">
        <w:rPr>
          <w:rFonts w:hint="cs"/>
          <w:rtl/>
        </w:rPr>
        <w:t xml:space="preserve">فإن التسجيل الدولي قد يحدث الأثر المشار إليه في المادة 14(2)(أ) من وثيقة 1999 بعد تاريخ انتهاء فترة الرفض </w:t>
      </w:r>
      <w:r w:rsidR="001E426E">
        <w:rPr>
          <w:rFonts w:hint="cs"/>
          <w:rtl/>
        </w:rPr>
        <w:t xml:space="preserve">المطبقة </w:t>
      </w:r>
      <w:r w:rsidR="00B509B3">
        <w:rPr>
          <w:rFonts w:hint="cs"/>
          <w:rtl/>
        </w:rPr>
        <w:t xml:space="preserve">في </w:t>
      </w:r>
      <w:r w:rsidR="0031039F">
        <w:rPr>
          <w:rFonts w:hint="cs"/>
          <w:rtl/>
        </w:rPr>
        <w:t xml:space="preserve">أراضي </w:t>
      </w:r>
      <w:r w:rsidR="00B509B3">
        <w:rPr>
          <w:rFonts w:hint="cs"/>
          <w:rtl/>
        </w:rPr>
        <w:t xml:space="preserve">ذلك الطرف المتعاقد. </w:t>
      </w:r>
      <w:r w:rsidR="00BE6806">
        <w:rPr>
          <w:rFonts w:hint="cs"/>
          <w:rtl/>
        </w:rPr>
        <w:t>ويترتب على ذلك أن المكتب، في بعض الحالات، قد يكون في وضع يؤهله لتأكيد أن الحماية مُنحت للتصميم الصناعي كما عُدل، ولتبليغ المعلومات المتعلقة بالتعديلات، وذلك فقط بعد تاريخ انتهاء فترة الرفض.</w:t>
      </w:r>
    </w:p>
    <w:p w:rsidR="00DF551D" w:rsidRDefault="00C85CDC" w:rsidP="003029C8">
      <w:pPr>
        <w:pStyle w:val="NumberedParaAR"/>
      </w:pPr>
      <w:r>
        <w:rPr>
          <w:rFonts w:hint="cs"/>
          <w:rtl/>
        </w:rPr>
        <w:t xml:space="preserve">وكما هو موضح </w:t>
      </w:r>
      <w:r w:rsidR="005E51B4">
        <w:rPr>
          <w:rFonts w:hint="cs"/>
          <w:rtl/>
        </w:rPr>
        <w:t xml:space="preserve">أعلاه في الفقرات من 12 إلى 15، فإن هناك تفاوتا في نوع التعديلات المحتملة. </w:t>
      </w:r>
      <w:r w:rsidR="002D79CF">
        <w:rPr>
          <w:rFonts w:hint="cs"/>
          <w:rtl/>
        </w:rPr>
        <w:t xml:space="preserve">وقد يؤثر هذا على نطاق حق التصميم وفقا للقانون </w:t>
      </w:r>
      <w:r w:rsidR="00652BD0">
        <w:rPr>
          <w:rFonts w:hint="cs"/>
          <w:rtl/>
        </w:rPr>
        <w:t xml:space="preserve">المطبق </w:t>
      </w:r>
      <w:r w:rsidR="00C40C6B">
        <w:rPr>
          <w:rFonts w:hint="cs"/>
          <w:rtl/>
        </w:rPr>
        <w:t xml:space="preserve">لدى </w:t>
      </w:r>
      <w:r w:rsidR="002D79CF">
        <w:rPr>
          <w:rFonts w:hint="cs"/>
          <w:rtl/>
        </w:rPr>
        <w:t xml:space="preserve">الطرف المتعاقد المعني. </w:t>
      </w:r>
      <w:r w:rsidR="0027525D">
        <w:rPr>
          <w:rFonts w:hint="cs"/>
          <w:rtl/>
        </w:rPr>
        <w:t xml:space="preserve">وما دام التعديل يؤثر على نطاق حق التصميم، </w:t>
      </w:r>
      <w:r w:rsidR="003029C8">
        <w:rPr>
          <w:rFonts w:hint="cs"/>
          <w:rtl/>
        </w:rPr>
        <w:t>من أجل طرف ثالث</w:t>
      </w:r>
      <w:r w:rsidR="00252BFC">
        <w:rPr>
          <w:rFonts w:hint="cs"/>
          <w:rtl/>
        </w:rPr>
        <w:t xml:space="preserve">، </w:t>
      </w:r>
      <w:r w:rsidR="00DC6315">
        <w:rPr>
          <w:rFonts w:hint="cs"/>
          <w:rtl/>
        </w:rPr>
        <w:t xml:space="preserve">فإنه قد يفضَّل لكل العناصر المعدَّلة أن تدرَج في </w:t>
      </w:r>
      <w:r w:rsidR="00A36A87">
        <w:rPr>
          <w:rFonts w:hint="cs"/>
          <w:rtl/>
        </w:rPr>
        <w:t>تبليغ</w:t>
      </w:r>
      <w:r w:rsidR="00DC6315">
        <w:rPr>
          <w:rFonts w:hint="cs"/>
          <w:rtl/>
        </w:rPr>
        <w:t xml:space="preserve"> إلى المكتب الدولي.</w:t>
      </w:r>
    </w:p>
    <w:p w:rsidR="004C2A1E" w:rsidRDefault="00F557B4" w:rsidP="00103027">
      <w:pPr>
        <w:pStyle w:val="NumberedParaAR"/>
      </w:pPr>
      <w:r>
        <w:rPr>
          <w:rFonts w:hint="cs"/>
          <w:rtl/>
        </w:rPr>
        <w:t xml:space="preserve">أما فيما يتعلق بموضوع المعلومات المتعلقة بالتعديلات، فإن المكتب، في بعض الحالات، أو وفقا للقانون </w:t>
      </w:r>
      <w:r w:rsidR="00652BD0">
        <w:rPr>
          <w:rFonts w:hint="cs"/>
          <w:rtl/>
        </w:rPr>
        <w:t xml:space="preserve">المطبق </w:t>
      </w:r>
      <w:r>
        <w:rPr>
          <w:rFonts w:hint="cs"/>
          <w:rtl/>
        </w:rPr>
        <w:t xml:space="preserve">و/ أو ممارساته، قد يرغب في إخطار المكتب الدولي بكل المعلومات المتعلقة بالتصميم الصناعي كما هو معدل، أي </w:t>
      </w:r>
      <w:r w:rsidR="002802D9">
        <w:rPr>
          <w:rFonts w:hint="cs"/>
          <w:rtl/>
        </w:rPr>
        <w:t xml:space="preserve">نسخ التصميم وكل العناصر الأخرى ذات الأهمية، وذلك بدلا من توضيح العنصر المعدل (أو العناصر المعدلة) بشكل منفصل. </w:t>
      </w:r>
      <w:r w:rsidR="00C2013A">
        <w:rPr>
          <w:rFonts w:hint="cs"/>
          <w:rtl/>
        </w:rPr>
        <w:t xml:space="preserve">وهكذا، فإنه قد يكون من الأفضل للمكتب أن يدرج في </w:t>
      </w:r>
      <w:r w:rsidR="00103027">
        <w:rPr>
          <w:rFonts w:hint="cs"/>
          <w:rtl/>
        </w:rPr>
        <w:t>تبليغ</w:t>
      </w:r>
      <w:r w:rsidR="00C2013A">
        <w:rPr>
          <w:rFonts w:hint="cs"/>
          <w:rtl/>
        </w:rPr>
        <w:t>ه إما كل العناصر المعدلة أو كل المعلومات المتعلقة بالتصميم الصناعي كما هو معدل، وذلك حسب تقديره.</w:t>
      </w:r>
    </w:p>
    <w:p w:rsidR="00AD14BB" w:rsidRPr="00AD14BB" w:rsidRDefault="00AD14BB" w:rsidP="00AD14BB">
      <w:pPr>
        <w:pStyle w:val="NumberedParaAR"/>
        <w:keepNext/>
        <w:numPr>
          <w:ilvl w:val="0"/>
          <w:numId w:val="0"/>
        </w:numPr>
        <w:rPr>
          <w:sz w:val="40"/>
          <w:szCs w:val="40"/>
        </w:rPr>
      </w:pPr>
      <w:r w:rsidRPr="00AD14BB">
        <w:rPr>
          <w:rFonts w:hint="cs"/>
          <w:sz w:val="40"/>
          <w:szCs w:val="40"/>
          <w:rtl/>
        </w:rPr>
        <w:t>الإتاحة العلنية للمعلومات المتعلقة بالتعديلات</w:t>
      </w:r>
    </w:p>
    <w:p w:rsidR="00AD14BB" w:rsidRDefault="008459EF" w:rsidP="00BA64B8">
      <w:pPr>
        <w:pStyle w:val="NumberedParaAR"/>
      </w:pPr>
      <w:r>
        <w:rPr>
          <w:rFonts w:hint="cs"/>
          <w:rtl/>
        </w:rPr>
        <w:t xml:space="preserve">يدوَّن سحب أي رفض صادر وفقا للقاعدة 18(4) وأي بيان بمنح الحماية صادر وفقا للقاعدة 18(ثانيا)(1) أو (2) في السجل الدولي ويُنشر في </w:t>
      </w:r>
      <w:r w:rsidRPr="00BA64B8">
        <w:rPr>
          <w:rFonts w:hint="cs"/>
          <w:rtl/>
        </w:rPr>
        <w:t>نشرة التصاميم الدولية</w:t>
      </w:r>
      <w:r>
        <w:rPr>
          <w:rFonts w:hint="cs"/>
          <w:i/>
          <w:sz w:val="30"/>
          <w:szCs w:val="28"/>
          <w:rtl/>
        </w:rPr>
        <w:t xml:space="preserve"> </w:t>
      </w:r>
      <w:r>
        <w:rPr>
          <w:rFonts w:hint="cs"/>
          <w:rtl/>
        </w:rPr>
        <w:t>(المشار إليها فيما يلي بكلمة "</w:t>
      </w:r>
      <w:r w:rsidRPr="00C85368">
        <w:rPr>
          <w:rFonts w:hint="cs"/>
          <w:rtl/>
        </w:rPr>
        <w:t>النشرة</w:t>
      </w:r>
      <w:r>
        <w:rPr>
          <w:rFonts w:hint="cs"/>
          <w:rtl/>
        </w:rPr>
        <w:t>")</w:t>
      </w:r>
      <w:r w:rsidR="00C45765">
        <w:rPr>
          <w:rStyle w:val="FootnoteReference"/>
          <w:rtl/>
        </w:rPr>
        <w:footnoteReference w:id="9"/>
      </w:r>
      <w:r w:rsidR="000365E5">
        <w:rPr>
          <w:rFonts w:hint="cs"/>
          <w:rtl/>
        </w:rPr>
        <w:t xml:space="preserve">. </w:t>
      </w:r>
      <w:r w:rsidR="00725FB5">
        <w:rPr>
          <w:rFonts w:hint="cs"/>
          <w:rtl/>
        </w:rPr>
        <w:t xml:space="preserve">وهكذا، فإن </w:t>
      </w:r>
      <w:r w:rsidR="00D11099">
        <w:rPr>
          <w:rFonts w:hint="cs"/>
          <w:rtl/>
        </w:rPr>
        <w:t>المعلومات لا يمكن أن يحصل عليها صاحب التسجيل الدولي</w:t>
      </w:r>
      <w:r w:rsidR="00D11099" w:rsidRPr="00D11099">
        <w:rPr>
          <w:rFonts w:hint="cs"/>
          <w:rtl/>
        </w:rPr>
        <w:t xml:space="preserve"> </w:t>
      </w:r>
      <w:r w:rsidR="00D11099">
        <w:rPr>
          <w:rFonts w:hint="cs"/>
          <w:rtl/>
        </w:rPr>
        <w:t xml:space="preserve">فحسب، بل يمكن أن يحصل عليها الغير أيضا. إلا أن النشرة لا تمكن الغير إلا من معرفة أن الرفض قد سُحب، </w:t>
      </w:r>
      <w:r w:rsidR="00F45165">
        <w:rPr>
          <w:rFonts w:hint="cs"/>
          <w:rtl/>
        </w:rPr>
        <w:t xml:space="preserve">أو أن هناك بيانا بمنح الحماية قد أصدر، </w:t>
      </w:r>
      <w:r w:rsidR="008778C1">
        <w:rPr>
          <w:rFonts w:hint="cs"/>
          <w:rtl/>
        </w:rPr>
        <w:t>و</w:t>
      </w:r>
      <w:r w:rsidR="008B3EFB">
        <w:rPr>
          <w:rFonts w:hint="cs"/>
          <w:rtl/>
        </w:rPr>
        <w:t>في حالة قبول بعض التصاميم الصناعية</w:t>
      </w:r>
      <w:r w:rsidR="008778C1">
        <w:rPr>
          <w:rFonts w:hint="cs"/>
          <w:rtl/>
        </w:rPr>
        <w:t xml:space="preserve"> فقط</w:t>
      </w:r>
      <w:r w:rsidR="008B3EFB">
        <w:rPr>
          <w:rFonts w:hint="cs"/>
          <w:rtl/>
        </w:rPr>
        <w:t xml:space="preserve">، تمكنه من معرفة أعداد التصاميم الصناعية المقبولة. </w:t>
      </w:r>
      <w:r w:rsidR="00765E49">
        <w:rPr>
          <w:rFonts w:hint="cs"/>
          <w:rtl/>
        </w:rPr>
        <w:t xml:space="preserve">وفي الوقت الحاضر، لا تتوفر </w:t>
      </w:r>
      <w:r w:rsidR="00350015">
        <w:rPr>
          <w:rFonts w:hint="cs"/>
          <w:rtl/>
        </w:rPr>
        <w:t xml:space="preserve">عن طريق </w:t>
      </w:r>
      <w:r w:rsidR="00765E49">
        <w:rPr>
          <w:rFonts w:hint="cs"/>
          <w:rtl/>
        </w:rPr>
        <w:t>النشر</w:t>
      </w:r>
      <w:r w:rsidR="001A5924">
        <w:rPr>
          <w:rFonts w:hint="cs"/>
          <w:rtl/>
        </w:rPr>
        <w:t>ة</w:t>
      </w:r>
      <w:r w:rsidR="00765E49">
        <w:rPr>
          <w:rFonts w:hint="cs"/>
          <w:rtl/>
        </w:rPr>
        <w:t xml:space="preserve"> نسخة</w:t>
      </w:r>
      <w:r w:rsidR="00522F16">
        <w:rPr>
          <w:rFonts w:hint="cs"/>
          <w:rtl/>
        </w:rPr>
        <w:t xml:space="preserve"> بالمسح الضوئي</w:t>
      </w:r>
      <w:r w:rsidR="00765E49">
        <w:rPr>
          <w:rFonts w:hint="cs"/>
          <w:rtl/>
        </w:rPr>
        <w:t xml:space="preserve"> </w:t>
      </w:r>
      <w:r w:rsidR="00765E49">
        <w:rPr>
          <w:rFonts w:hint="cs"/>
          <w:rtl/>
          <w:lang w:bidi="ar-EG"/>
        </w:rPr>
        <w:t>من مثل هذه الإخطارات أو البيانات المتسلمة من المكاتب.</w:t>
      </w:r>
    </w:p>
    <w:p w:rsidR="001C2469" w:rsidRDefault="00D310B0" w:rsidP="00E27FD8">
      <w:pPr>
        <w:pStyle w:val="NumberedParaAR"/>
      </w:pPr>
      <w:r>
        <w:rPr>
          <w:rFonts w:hint="cs"/>
          <w:rtl/>
        </w:rPr>
        <w:t xml:space="preserve">وكما هو موضح أعلاه في الفقرتين 28 و29، </w:t>
      </w:r>
      <w:r w:rsidR="009F033D">
        <w:rPr>
          <w:rFonts w:hint="cs"/>
          <w:rtl/>
        </w:rPr>
        <w:t>يمكن تبليغ أنواع مختلفة من التعديلات</w:t>
      </w:r>
      <w:r w:rsidR="00E27FD8" w:rsidRPr="00E27FD8">
        <w:rPr>
          <w:rFonts w:hint="cs"/>
          <w:rtl/>
        </w:rPr>
        <w:t xml:space="preserve"> </w:t>
      </w:r>
      <w:r w:rsidR="00E27FD8">
        <w:rPr>
          <w:rFonts w:hint="cs"/>
          <w:rtl/>
        </w:rPr>
        <w:t>إلى المكتب الدولي</w:t>
      </w:r>
      <w:r w:rsidR="009F033D">
        <w:rPr>
          <w:rFonts w:hint="cs"/>
          <w:rtl/>
        </w:rPr>
        <w:t xml:space="preserve">. </w:t>
      </w:r>
      <w:r w:rsidR="00CC0B37">
        <w:rPr>
          <w:rFonts w:hint="cs"/>
          <w:rtl/>
        </w:rPr>
        <w:t xml:space="preserve">وعلاوة على ذلك، فإن موضوع المعلومات المتعلقة بالتعديلات (سواء كل العناصر المعدلة أو كل المعلومات المتعلقة بالتصميم الصناعي كما هو معدل) </w:t>
      </w:r>
      <w:r w:rsidR="000D766C">
        <w:rPr>
          <w:rFonts w:hint="cs"/>
          <w:rtl/>
        </w:rPr>
        <w:t xml:space="preserve">ينبغي أن تكون حسب تقدير المكتب الذي يبلغها. </w:t>
      </w:r>
      <w:r w:rsidR="00F92C9C">
        <w:rPr>
          <w:rFonts w:hint="cs"/>
          <w:rtl/>
        </w:rPr>
        <w:t xml:space="preserve">وبالتالي، فإن المعلومات المتعلقة بالتعديلات التي يمكن أن يتسلمها المكتب الدولي قد لا تكون دائما من أنواع البيانات التي يمكن بسهولة وعلى نحو منهجي </w:t>
      </w:r>
      <w:r w:rsidR="00F92C9C" w:rsidRPr="00194C21">
        <w:rPr>
          <w:rFonts w:hint="cs"/>
          <w:rtl/>
        </w:rPr>
        <w:t>أخذها</w:t>
      </w:r>
      <w:r w:rsidR="00F92C9C">
        <w:rPr>
          <w:rFonts w:hint="cs"/>
          <w:rtl/>
        </w:rPr>
        <w:t xml:space="preserve"> ودمجها في قاعدة البيانات.</w:t>
      </w:r>
    </w:p>
    <w:p w:rsidR="00F92C9C" w:rsidRDefault="00A22002" w:rsidP="00F04E0D">
      <w:pPr>
        <w:pStyle w:val="NumberedParaAR"/>
      </w:pPr>
      <w:r>
        <w:rPr>
          <w:rFonts w:hint="cs"/>
          <w:rtl/>
        </w:rPr>
        <w:t xml:space="preserve">وهكذا، فإن أكثر الحلول تأكيدا وواقعية لتحقيق الإتاحة العلنية للمعلومات المتعلقة بالتعديلات </w:t>
      </w:r>
      <w:r w:rsidR="008B5041">
        <w:rPr>
          <w:rFonts w:hint="cs"/>
          <w:rtl/>
        </w:rPr>
        <w:t xml:space="preserve">قد يتمثل في مجرد </w:t>
      </w:r>
      <w:r w:rsidR="008B5041" w:rsidRPr="00825009">
        <w:rPr>
          <w:rFonts w:hint="cs"/>
          <w:rtl/>
        </w:rPr>
        <w:t>تحميل</w:t>
      </w:r>
      <w:r w:rsidR="008B5041">
        <w:rPr>
          <w:rFonts w:hint="cs"/>
          <w:rtl/>
        </w:rPr>
        <w:t xml:space="preserve"> نسخة </w:t>
      </w:r>
      <w:r w:rsidR="00F04E0D">
        <w:rPr>
          <w:rFonts w:hint="cs"/>
          <w:rtl/>
        </w:rPr>
        <w:t xml:space="preserve">بالمسح الضوئي </w:t>
      </w:r>
      <w:r w:rsidR="00350015">
        <w:rPr>
          <w:rFonts w:hint="cs"/>
          <w:rtl/>
        </w:rPr>
        <w:t>من الإخطار أو البيان كما ورد من المكتب وإتاحتها عن طريق النشرة.</w:t>
      </w:r>
    </w:p>
    <w:p w:rsidR="008E2E31" w:rsidRDefault="00FD06AC" w:rsidP="00D51FFE">
      <w:pPr>
        <w:pStyle w:val="NumberedParaAR"/>
      </w:pPr>
      <w:r>
        <w:rPr>
          <w:rFonts w:hint="cs"/>
          <w:rtl/>
        </w:rPr>
        <w:t>وعلاوة على ذلك، فإن قاعدة بيانات لاهاي إكسبريس</w:t>
      </w:r>
      <w:r w:rsidR="004A6707">
        <w:rPr>
          <w:rStyle w:val="FootnoteReference"/>
          <w:rtl/>
        </w:rPr>
        <w:footnoteReference w:id="10"/>
      </w:r>
      <w:r>
        <w:rPr>
          <w:rFonts w:hint="cs"/>
          <w:rtl/>
        </w:rPr>
        <w:t xml:space="preserve"> </w:t>
      </w:r>
      <w:r w:rsidR="002846D6">
        <w:rPr>
          <w:rFonts w:hint="cs"/>
          <w:rtl/>
          <w:lang w:bidi="ar-EG"/>
        </w:rPr>
        <w:t>(</w:t>
      </w:r>
      <w:r>
        <w:t>Hague Express</w:t>
      </w:r>
      <w:r w:rsidR="002846D6">
        <w:rPr>
          <w:rFonts w:hint="cs"/>
          <w:rtl/>
          <w:lang w:bidi="ar-EG"/>
        </w:rPr>
        <w:t>)</w:t>
      </w:r>
      <w:r>
        <w:rPr>
          <w:rFonts w:hint="cs"/>
          <w:rtl/>
          <w:lang w:bidi="ar-EG"/>
        </w:rPr>
        <w:t xml:space="preserve"> </w:t>
      </w:r>
      <w:r w:rsidR="002846D6">
        <w:rPr>
          <w:rFonts w:hint="cs"/>
          <w:rtl/>
          <w:lang w:bidi="ar-EG"/>
        </w:rPr>
        <w:t xml:space="preserve">(والمشار إليها فيما يلي بعبارة "لاهاي إكسبريس") </w:t>
      </w:r>
      <w:r w:rsidR="004F616F">
        <w:rPr>
          <w:rFonts w:hint="cs"/>
          <w:rtl/>
          <w:lang w:bidi="ar-EG"/>
        </w:rPr>
        <w:t xml:space="preserve">تخضع حاليا </w:t>
      </w:r>
      <w:r w:rsidR="00D51FFE">
        <w:rPr>
          <w:rFonts w:hint="cs"/>
          <w:rtl/>
          <w:lang w:bidi="ar-EG"/>
        </w:rPr>
        <w:t xml:space="preserve">لبعض التعديلات </w:t>
      </w:r>
      <w:r w:rsidR="004F616F">
        <w:rPr>
          <w:rFonts w:hint="cs"/>
          <w:rtl/>
          <w:lang w:bidi="ar-EG"/>
        </w:rPr>
        <w:t xml:space="preserve">لكي تزود المستخدمين بمزيد من المعلومات، ولا سيما عن طريق تضمينها كل </w:t>
      </w:r>
      <w:r w:rsidR="004F616F" w:rsidRPr="00330350">
        <w:rPr>
          <w:rFonts w:hint="cs"/>
          <w:rtl/>
          <w:lang w:bidi="ar-EG"/>
        </w:rPr>
        <w:t>المعاملات</w:t>
      </w:r>
      <w:r w:rsidR="004F616F">
        <w:rPr>
          <w:rFonts w:hint="cs"/>
          <w:rtl/>
          <w:lang w:bidi="ar-EG"/>
        </w:rPr>
        <w:t xml:space="preserve"> التي تؤثر على التسجيلات الدولية. </w:t>
      </w:r>
      <w:r w:rsidR="00DD2BEB">
        <w:rPr>
          <w:rFonts w:hint="cs"/>
          <w:rtl/>
        </w:rPr>
        <w:t xml:space="preserve">وينبغي أيضا أن تتاح عبر لاهاي إكسبريس نسخة بالمسح الضوئي من أي </w:t>
      </w:r>
      <w:r w:rsidR="00DD2BEB">
        <w:rPr>
          <w:rFonts w:hint="cs"/>
          <w:rtl/>
        </w:rPr>
        <w:lastRenderedPageBreak/>
        <w:t>إخطار بالرفض أو إخطار بسحب الرفض، أو أي بيان بمنح الحماية يرد من أي مكتب، وذلك في نفس وقت نشرها في النشرة.</w:t>
      </w:r>
    </w:p>
    <w:p w:rsidR="008D7B9B" w:rsidRPr="008D7B9B" w:rsidRDefault="008D7B9B" w:rsidP="004F4382">
      <w:pPr>
        <w:pStyle w:val="NumberedParaAR"/>
        <w:keepNext/>
        <w:numPr>
          <w:ilvl w:val="0"/>
          <w:numId w:val="0"/>
        </w:numPr>
        <w:rPr>
          <w:sz w:val="40"/>
          <w:szCs w:val="40"/>
        </w:rPr>
      </w:pPr>
      <w:r w:rsidRPr="008D7B9B">
        <w:rPr>
          <w:rFonts w:hint="cs"/>
          <w:sz w:val="40"/>
          <w:szCs w:val="40"/>
          <w:rtl/>
        </w:rPr>
        <w:t xml:space="preserve">التاريخ </w:t>
      </w:r>
      <w:r w:rsidR="004F4382">
        <w:rPr>
          <w:rFonts w:hint="cs"/>
          <w:sz w:val="40"/>
          <w:szCs w:val="40"/>
          <w:rtl/>
        </w:rPr>
        <w:t>الفعلي ل</w:t>
      </w:r>
      <w:r w:rsidRPr="008D7B9B">
        <w:rPr>
          <w:rFonts w:hint="cs"/>
          <w:sz w:val="40"/>
          <w:szCs w:val="40"/>
          <w:rtl/>
        </w:rPr>
        <w:t>منح الحماية</w:t>
      </w:r>
    </w:p>
    <w:p w:rsidR="008D7B9B" w:rsidRDefault="00D71796" w:rsidP="00F845E9">
      <w:pPr>
        <w:pStyle w:val="NumberedParaAR"/>
      </w:pPr>
      <w:r>
        <w:rPr>
          <w:rFonts w:hint="cs"/>
          <w:rtl/>
        </w:rPr>
        <w:t xml:space="preserve">يُذكر أن المادة 14(2)(ب) تنص على أنه إذا بلغ مكتب أحد الأطراف المتعاقدة المعينة رفضا ثم </w:t>
      </w:r>
      <w:r w:rsidR="009B15A8">
        <w:rPr>
          <w:rFonts w:hint="cs"/>
          <w:rtl/>
        </w:rPr>
        <w:t>سحب ذلك الرفض</w:t>
      </w:r>
      <w:r>
        <w:rPr>
          <w:rFonts w:hint="cs"/>
          <w:rtl/>
        </w:rPr>
        <w:t xml:space="preserve"> </w:t>
      </w:r>
      <w:r w:rsidR="009B15A8">
        <w:rPr>
          <w:rFonts w:hint="cs"/>
          <w:rtl/>
        </w:rPr>
        <w:t xml:space="preserve">جزئيا أو كليا كان للتسجيل الدولي في ذلك الطرف المتعاقد نفس أثر منح الحماية وفقا للقانون </w:t>
      </w:r>
      <w:r w:rsidR="00F845E9">
        <w:rPr>
          <w:rFonts w:hint="cs"/>
          <w:rtl/>
        </w:rPr>
        <w:t xml:space="preserve">المطبق </w:t>
      </w:r>
      <w:r w:rsidR="009B15A8" w:rsidRPr="009666DF">
        <w:rPr>
          <w:rFonts w:hint="cs"/>
          <w:rtl/>
        </w:rPr>
        <w:t>في موعد أقصاه</w:t>
      </w:r>
      <w:r w:rsidR="009B15A8">
        <w:rPr>
          <w:rFonts w:hint="cs"/>
          <w:rtl/>
        </w:rPr>
        <w:t xml:space="preserve"> من تاريخ سحب الرفض.</w:t>
      </w:r>
    </w:p>
    <w:p w:rsidR="004673A3" w:rsidRDefault="007E520B" w:rsidP="00E7180D">
      <w:pPr>
        <w:pStyle w:val="NumberedParaAR"/>
      </w:pPr>
      <w:r>
        <w:rPr>
          <w:rFonts w:hint="cs"/>
          <w:rtl/>
        </w:rPr>
        <w:t xml:space="preserve">وفي هذا الصدد، تشترط القاعدتان 18(4) و18(ثانيا)(2) على التوالي توضيح "التاريخ الذي سُحب فيه الرفض" وتوضيح "تاريخ البيان". </w:t>
      </w:r>
      <w:r w:rsidR="00E7180D">
        <w:rPr>
          <w:rFonts w:hint="cs"/>
          <w:rtl/>
        </w:rPr>
        <w:t>ووفقا للمادة 14(2)(ب)، يشير هذا</w:t>
      </w:r>
      <w:r w:rsidR="00AF1B4F">
        <w:rPr>
          <w:rFonts w:hint="cs"/>
          <w:rtl/>
        </w:rPr>
        <w:t>ن</w:t>
      </w:r>
      <w:r w:rsidR="00E7180D">
        <w:rPr>
          <w:rFonts w:hint="cs"/>
          <w:rtl/>
        </w:rPr>
        <w:t xml:space="preserve"> التاريخان إلى أن التسجيل الدولي </w:t>
      </w:r>
      <w:r w:rsidR="00C82F88">
        <w:rPr>
          <w:rFonts w:hint="cs"/>
          <w:rtl/>
        </w:rPr>
        <w:t xml:space="preserve">قد </w:t>
      </w:r>
      <w:r w:rsidR="00E7180D">
        <w:rPr>
          <w:rFonts w:hint="cs"/>
          <w:rtl/>
        </w:rPr>
        <w:t xml:space="preserve">أحدث </w:t>
      </w:r>
      <w:r w:rsidR="00290013">
        <w:rPr>
          <w:rFonts w:hint="cs"/>
          <w:rtl/>
        </w:rPr>
        <w:t xml:space="preserve">نفس </w:t>
      </w:r>
      <w:r w:rsidR="004F08E3">
        <w:rPr>
          <w:rFonts w:hint="cs"/>
          <w:rtl/>
        </w:rPr>
        <w:t xml:space="preserve">أثر منح الحماية في ذلك الطرف المتعاقد في هذين التاريخين أو قبلهما. </w:t>
      </w:r>
      <w:r w:rsidR="000348D8">
        <w:rPr>
          <w:rFonts w:hint="cs"/>
          <w:rtl/>
        </w:rPr>
        <w:t>إلا أن التاريخ الدقيق الذي أحدث فيه التسجيل الدولي الأثر المذكور ليس واضحا.</w:t>
      </w:r>
    </w:p>
    <w:p w:rsidR="000348D8" w:rsidRDefault="0011227F" w:rsidP="004B26CF">
      <w:pPr>
        <w:pStyle w:val="NumberedParaAR"/>
      </w:pPr>
      <w:r>
        <w:rPr>
          <w:rFonts w:hint="cs"/>
          <w:rtl/>
        </w:rPr>
        <w:t xml:space="preserve">وعلاوة على ذلك، فإن المادة 14(2)(أ) تنص على أنه في كل طرف متعاقد معين لم يبلغ مكتبه رفضا يكون للتسجيل الدولي نفس أثر منح الحماية وفقا للقانون </w:t>
      </w:r>
      <w:r w:rsidR="00F845E9">
        <w:rPr>
          <w:rFonts w:hint="cs"/>
          <w:rtl/>
        </w:rPr>
        <w:t xml:space="preserve">المطبق </w:t>
      </w:r>
      <w:r w:rsidRPr="00A9421D">
        <w:rPr>
          <w:rFonts w:hint="cs"/>
          <w:rtl/>
        </w:rPr>
        <w:t>في موعد أقصاه</w:t>
      </w:r>
      <w:r>
        <w:rPr>
          <w:rFonts w:hint="cs"/>
          <w:rtl/>
        </w:rPr>
        <w:t xml:space="preserve"> من تاريخ </w:t>
      </w:r>
      <w:r w:rsidR="006A3206">
        <w:rPr>
          <w:rFonts w:hint="cs"/>
          <w:rtl/>
        </w:rPr>
        <w:t>انتهاء فترة الرفض</w:t>
      </w:r>
      <w:r w:rsidR="00EA3004">
        <w:rPr>
          <w:rFonts w:hint="cs"/>
          <w:rtl/>
        </w:rPr>
        <w:t xml:space="preserve">، </w:t>
      </w:r>
      <w:r w:rsidR="006A3206">
        <w:rPr>
          <w:rFonts w:hint="cs"/>
          <w:rtl/>
        </w:rPr>
        <w:t>و</w:t>
      </w:r>
      <w:r w:rsidR="00EA3004">
        <w:rPr>
          <w:rFonts w:hint="cs"/>
          <w:rtl/>
        </w:rPr>
        <w:t xml:space="preserve">إذا كان الطرف المتعاقد قد أصدر إعلانا </w:t>
      </w:r>
      <w:r w:rsidR="004467F9">
        <w:rPr>
          <w:rFonts w:hint="cs"/>
          <w:rtl/>
        </w:rPr>
        <w:t xml:space="preserve">مناظرا </w:t>
      </w:r>
      <w:r w:rsidR="00705FEE">
        <w:rPr>
          <w:rFonts w:hint="cs"/>
          <w:rtl/>
        </w:rPr>
        <w:t xml:space="preserve">وفقا للائحة التنفيذية، </w:t>
      </w:r>
      <w:r w:rsidR="004B26CF">
        <w:rPr>
          <w:rFonts w:hint="cs"/>
          <w:rtl/>
        </w:rPr>
        <w:t xml:space="preserve">يكون للتسجيل الدولي نفس الأثر </w:t>
      </w:r>
      <w:r w:rsidR="00705FEE" w:rsidRPr="00A9421D">
        <w:rPr>
          <w:rFonts w:hint="cs"/>
          <w:rtl/>
        </w:rPr>
        <w:t>في موعد أقصاه</w:t>
      </w:r>
      <w:r w:rsidR="00705FEE">
        <w:rPr>
          <w:rFonts w:hint="cs"/>
          <w:rtl/>
        </w:rPr>
        <w:t xml:space="preserve"> الوقت المحدد في ذلك الإعلان. </w:t>
      </w:r>
      <w:r w:rsidR="0071770D">
        <w:rPr>
          <w:rFonts w:hint="cs"/>
          <w:rtl/>
        </w:rPr>
        <w:t>ولذلك</w:t>
      </w:r>
      <w:r w:rsidR="008C7F96">
        <w:rPr>
          <w:rFonts w:hint="cs"/>
          <w:rtl/>
        </w:rPr>
        <w:t>، تنص اللائحة التنفيذية المشتركة على خيارين: القاعدة 18(1)(ج)"1" و"2".</w:t>
      </w:r>
    </w:p>
    <w:p w:rsidR="00B23178" w:rsidRDefault="00290013" w:rsidP="00F845E9">
      <w:pPr>
        <w:pStyle w:val="NumberedParaAR"/>
      </w:pPr>
      <w:r>
        <w:rPr>
          <w:rFonts w:hint="cs"/>
          <w:rtl/>
        </w:rPr>
        <w:t xml:space="preserve">ويتوقف التاريخ الذي يُحدث فيه التسجيل الدولي نفس أثر منح الحماية </w:t>
      </w:r>
      <w:r w:rsidR="00E230EE">
        <w:rPr>
          <w:rFonts w:hint="cs"/>
          <w:rtl/>
        </w:rPr>
        <w:t xml:space="preserve">في الطرف المتعاقد المعني على القانون </w:t>
      </w:r>
      <w:r w:rsidR="00F845E9">
        <w:rPr>
          <w:rFonts w:hint="cs"/>
          <w:rtl/>
        </w:rPr>
        <w:t xml:space="preserve">المطبق </w:t>
      </w:r>
      <w:r w:rsidR="00E230EE">
        <w:rPr>
          <w:rFonts w:hint="cs"/>
          <w:rtl/>
        </w:rPr>
        <w:t xml:space="preserve">لديه، </w:t>
      </w:r>
      <w:r w:rsidR="00AC276D">
        <w:rPr>
          <w:rFonts w:hint="cs"/>
          <w:rtl/>
        </w:rPr>
        <w:t xml:space="preserve">ولكنه يجب أن يتوافق مع المادة 14(2)(أ). إلا أنه في الإطار القانوني الحالي لنظام لاهاي </w:t>
      </w:r>
      <w:r w:rsidR="00CE683E">
        <w:rPr>
          <w:rFonts w:hint="cs"/>
          <w:rtl/>
        </w:rPr>
        <w:t xml:space="preserve">لا يستطيع صاحب التسجيل الدولي ولا غيره أن يعرف التاريخ الدقيق الذي أحدث فيه التسجيل الدولي نفس أثر منح الحماية في طرف متعاقد معين لم يصدر مكتبه رفضا. </w:t>
      </w:r>
      <w:r w:rsidR="00200FEC">
        <w:rPr>
          <w:rFonts w:hint="cs"/>
          <w:rtl/>
        </w:rPr>
        <w:t xml:space="preserve">ولا توجد طريقة أخرى غير الاعتماد على مبدأ "القبول </w:t>
      </w:r>
      <w:r w:rsidR="00200FEC" w:rsidRPr="002567DD">
        <w:rPr>
          <w:rFonts w:hint="cs"/>
          <w:rtl/>
        </w:rPr>
        <w:t>الضمني</w:t>
      </w:r>
      <w:r w:rsidR="00200FEC">
        <w:rPr>
          <w:rFonts w:hint="cs"/>
          <w:rtl/>
        </w:rPr>
        <w:t>" المذكور في الفقرة 24 من هذه الوثيقة.</w:t>
      </w:r>
    </w:p>
    <w:p w:rsidR="00A23B48" w:rsidRDefault="002F7523" w:rsidP="00331277">
      <w:pPr>
        <w:pStyle w:val="NumberedParaAR"/>
      </w:pPr>
      <w:r>
        <w:rPr>
          <w:rFonts w:hint="cs"/>
          <w:rtl/>
        </w:rPr>
        <w:t xml:space="preserve">وبالإضافة إلى ذلك، </w:t>
      </w:r>
      <w:r w:rsidR="005305E9">
        <w:rPr>
          <w:rFonts w:hint="cs"/>
          <w:rtl/>
        </w:rPr>
        <w:t xml:space="preserve">فإن القاعدة 18(ثانيا)(1)، بنصها الحالي، </w:t>
      </w:r>
      <w:r w:rsidR="0060282B">
        <w:rPr>
          <w:rFonts w:hint="cs"/>
          <w:rtl/>
        </w:rPr>
        <w:t xml:space="preserve">لا تشترط أن يُدرج في البيان التاريخ الذي أحدث فيه التسجيل الدولي نفس أثر منح الحماية وفقا للقانون </w:t>
      </w:r>
      <w:r w:rsidR="00331277">
        <w:rPr>
          <w:rFonts w:hint="cs"/>
          <w:rtl/>
        </w:rPr>
        <w:t>المطبق</w:t>
      </w:r>
      <w:r w:rsidR="0060282B">
        <w:rPr>
          <w:rFonts w:hint="cs"/>
          <w:rtl/>
        </w:rPr>
        <w:t xml:space="preserve">. </w:t>
      </w:r>
      <w:r w:rsidR="00283756">
        <w:rPr>
          <w:rFonts w:hint="cs"/>
          <w:rtl/>
        </w:rPr>
        <w:t xml:space="preserve">ولذلك، فإن حالة عدم اليقين </w:t>
      </w:r>
      <w:r w:rsidR="007A0F03">
        <w:rPr>
          <w:rFonts w:hint="cs"/>
          <w:rtl/>
        </w:rPr>
        <w:t>تبقى قائمة حتى إذا أُصدر بيان بمنح الحماية وفقا للقاعدة 18(ثانيا)(1).</w:t>
      </w:r>
    </w:p>
    <w:p w:rsidR="00176CE8" w:rsidRDefault="00C63DB8" w:rsidP="00E975CA">
      <w:pPr>
        <w:pStyle w:val="NumberedParaAR"/>
      </w:pPr>
      <w:r>
        <w:rPr>
          <w:rFonts w:hint="cs"/>
          <w:rtl/>
        </w:rPr>
        <w:t xml:space="preserve">ليس التاريخ الذي أحدث فيه التسجيل الدولي نفس أثر منح الحماية وفقا للقانون المعني هو موضوع التعديل في حد ذاته، </w:t>
      </w:r>
      <w:r w:rsidR="001127F0">
        <w:rPr>
          <w:rFonts w:hint="cs"/>
          <w:rtl/>
        </w:rPr>
        <w:t xml:space="preserve">ولكن ذلك التاريخ يبدو مهما ليس لصاحب التسجيل الدولي فحسب، بل لغيره أيضا. </w:t>
      </w:r>
      <w:r w:rsidR="00E975CA">
        <w:rPr>
          <w:rFonts w:hint="cs"/>
          <w:rtl/>
        </w:rPr>
        <w:t xml:space="preserve">ولذلك، فقد يمكن اغتنام الفرصة لتمكين المكتب من الإخطار بذلك التاريخ عن طريق إخطار بسحب الرفض يصدر </w:t>
      </w:r>
      <w:r w:rsidR="00E975CA" w:rsidRPr="00416580">
        <w:rPr>
          <w:rFonts w:hint="cs"/>
          <w:rtl/>
        </w:rPr>
        <w:t>وفقا</w:t>
      </w:r>
      <w:r w:rsidR="00E975CA">
        <w:rPr>
          <w:rFonts w:hint="cs"/>
          <w:rtl/>
        </w:rPr>
        <w:t xml:space="preserve"> للقاعدة 18(4) أو بيان بمنح الحماية يصدر </w:t>
      </w:r>
      <w:r w:rsidR="00E975CA" w:rsidRPr="00416580">
        <w:rPr>
          <w:rFonts w:hint="cs"/>
          <w:rtl/>
        </w:rPr>
        <w:t>وفقا</w:t>
      </w:r>
      <w:r w:rsidR="00E975CA">
        <w:rPr>
          <w:rFonts w:hint="cs"/>
          <w:rtl/>
        </w:rPr>
        <w:t xml:space="preserve"> للقاعدة 18(ثانيا)(1) أو (2).</w:t>
      </w:r>
    </w:p>
    <w:p w:rsidR="00942B7B" w:rsidRPr="00652AE6" w:rsidRDefault="00953860" w:rsidP="00953860">
      <w:pPr>
        <w:pStyle w:val="NumberedParaAR"/>
        <w:keepNext/>
        <w:numPr>
          <w:ilvl w:val="0"/>
          <w:numId w:val="0"/>
        </w:numPr>
        <w:rPr>
          <w:sz w:val="40"/>
          <w:szCs w:val="40"/>
        </w:rPr>
      </w:pPr>
      <w:r w:rsidRPr="00953860">
        <w:rPr>
          <w:rFonts w:hint="cs"/>
          <w:sz w:val="40"/>
          <w:szCs w:val="40"/>
          <w:rtl/>
        </w:rPr>
        <w:t xml:space="preserve">اختيار </w:t>
      </w:r>
      <w:r w:rsidR="00652AE6" w:rsidRPr="00652AE6">
        <w:rPr>
          <w:rFonts w:hint="cs"/>
          <w:sz w:val="40"/>
          <w:szCs w:val="40"/>
          <w:rtl/>
        </w:rPr>
        <w:t xml:space="preserve">الأطراف المتعاقدة </w:t>
      </w:r>
      <w:r>
        <w:rPr>
          <w:rFonts w:hint="cs"/>
          <w:sz w:val="40"/>
          <w:szCs w:val="40"/>
          <w:rtl/>
        </w:rPr>
        <w:t>ل</w:t>
      </w:r>
      <w:r w:rsidR="00652AE6" w:rsidRPr="00652AE6">
        <w:rPr>
          <w:rFonts w:hint="cs"/>
          <w:sz w:val="40"/>
          <w:szCs w:val="40"/>
          <w:rtl/>
        </w:rPr>
        <w:t>لقاعدة 18(1)(ج)"1" أو "2"</w:t>
      </w:r>
    </w:p>
    <w:p w:rsidR="00652AE6" w:rsidRDefault="009D1FE4" w:rsidP="00331277">
      <w:pPr>
        <w:pStyle w:val="NumberedParaAR"/>
      </w:pPr>
      <w:r>
        <w:rPr>
          <w:rFonts w:hint="cs"/>
          <w:rtl/>
        </w:rPr>
        <w:t xml:space="preserve">ينبغي تذكر أنه، كما هو موضح سلفا في الفقرة 27، لكي </w:t>
      </w:r>
      <w:r w:rsidRPr="00CC6333">
        <w:rPr>
          <w:rFonts w:hint="cs"/>
          <w:rtl/>
        </w:rPr>
        <w:t>تؤدي</w:t>
      </w:r>
      <w:r>
        <w:rPr>
          <w:rFonts w:hint="cs"/>
          <w:rtl/>
        </w:rPr>
        <w:t xml:space="preserve"> آلية </w:t>
      </w:r>
      <w:r w:rsidR="002D70D3">
        <w:rPr>
          <w:rFonts w:hint="cs"/>
          <w:rtl/>
        </w:rPr>
        <w:t xml:space="preserve">التعليقات النقدية </w:t>
      </w:r>
      <w:r>
        <w:rPr>
          <w:rFonts w:hint="cs"/>
          <w:rtl/>
        </w:rPr>
        <w:t xml:space="preserve">عملها، </w:t>
      </w:r>
      <w:r w:rsidR="009E1894">
        <w:rPr>
          <w:rFonts w:hint="cs"/>
          <w:rtl/>
        </w:rPr>
        <w:t xml:space="preserve">قد يلزم مراجعة الفترة </w:t>
      </w:r>
      <w:r w:rsidR="00331277">
        <w:rPr>
          <w:rFonts w:hint="cs"/>
          <w:rtl/>
        </w:rPr>
        <w:t xml:space="preserve">المطبقة </w:t>
      </w:r>
      <w:r w:rsidR="00ED6CE5">
        <w:rPr>
          <w:rFonts w:hint="cs"/>
          <w:rtl/>
        </w:rPr>
        <w:t xml:space="preserve">والتي يمكن خلالها إصدار بيان بمنح الحماية وفقا للقاعدة 18(ثانيا)(1)، لغرض تعيين </w:t>
      </w:r>
      <w:r w:rsidR="007F1A05">
        <w:rPr>
          <w:rFonts w:hint="cs"/>
          <w:rtl/>
        </w:rPr>
        <w:t xml:space="preserve">طرف متعاقد </w:t>
      </w:r>
      <w:r w:rsidR="007F1A05" w:rsidRPr="00CC6333">
        <w:rPr>
          <w:rFonts w:hint="cs"/>
          <w:rtl/>
        </w:rPr>
        <w:t>اختار</w:t>
      </w:r>
      <w:r w:rsidR="007F1A05">
        <w:rPr>
          <w:rFonts w:hint="cs"/>
          <w:rtl/>
        </w:rPr>
        <w:t xml:space="preserve"> القاعدة 18(1)(ج)"1" أو "2".</w:t>
      </w:r>
    </w:p>
    <w:p w:rsidR="001E3844" w:rsidRDefault="00AD597B" w:rsidP="000B7AF5">
      <w:pPr>
        <w:pStyle w:val="NumberedParaAR"/>
      </w:pPr>
      <w:r>
        <w:rPr>
          <w:rFonts w:hint="cs"/>
          <w:rtl/>
        </w:rPr>
        <w:t xml:space="preserve">وفي هذا الصدد، يُذكر أن القاعدة 18(1)(ج)"1" تنص على فترة قصوى قدرها ستة أشهر </w:t>
      </w:r>
      <w:r w:rsidR="000B7AF5">
        <w:rPr>
          <w:rFonts w:hint="cs"/>
          <w:rtl/>
        </w:rPr>
        <w:t xml:space="preserve">تبدأ </w:t>
      </w:r>
      <w:r>
        <w:rPr>
          <w:rFonts w:hint="cs"/>
          <w:rtl/>
        </w:rPr>
        <w:t xml:space="preserve">من تاريخ انتهاء </w:t>
      </w:r>
      <w:r w:rsidRPr="0000270E">
        <w:rPr>
          <w:rFonts w:hint="cs"/>
          <w:rtl/>
        </w:rPr>
        <w:t>فترة</w:t>
      </w:r>
      <w:r>
        <w:rPr>
          <w:rFonts w:hint="cs"/>
          <w:rtl/>
        </w:rPr>
        <w:t xml:space="preserve"> الرفض </w:t>
      </w:r>
      <w:r w:rsidR="00331277">
        <w:rPr>
          <w:rFonts w:hint="cs"/>
          <w:rtl/>
        </w:rPr>
        <w:t>المطبقة</w:t>
      </w:r>
      <w:r>
        <w:rPr>
          <w:rFonts w:hint="cs"/>
          <w:rtl/>
        </w:rPr>
        <w:t xml:space="preserve">. </w:t>
      </w:r>
      <w:r w:rsidR="00901C59">
        <w:rPr>
          <w:rFonts w:hint="cs"/>
          <w:rtl/>
        </w:rPr>
        <w:t xml:space="preserve">ويترتب على ذلك أنه، في بعض الحالات، يمكن للتسجيل الدولي أن يحدث نفس أثر منح الحماية قبل </w:t>
      </w:r>
      <w:r w:rsidR="00901C59" w:rsidRPr="00CC6333">
        <w:rPr>
          <w:rFonts w:hint="cs"/>
          <w:rtl/>
        </w:rPr>
        <w:t>انقضاء</w:t>
      </w:r>
      <w:r w:rsidR="00901C59">
        <w:rPr>
          <w:rFonts w:hint="cs"/>
          <w:rtl/>
        </w:rPr>
        <w:t xml:space="preserve"> </w:t>
      </w:r>
      <w:r w:rsidR="00901C59">
        <w:rPr>
          <w:rFonts w:hint="cs"/>
          <w:rtl/>
        </w:rPr>
        <w:lastRenderedPageBreak/>
        <w:t xml:space="preserve">فترة 18 شهرا </w:t>
      </w:r>
      <w:r w:rsidR="0050011B">
        <w:rPr>
          <w:rFonts w:hint="cs"/>
          <w:rtl/>
        </w:rPr>
        <w:t xml:space="preserve">التي </w:t>
      </w:r>
      <w:r w:rsidR="00C50900" w:rsidRPr="0050011B">
        <w:rPr>
          <w:rFonts w:hint="cs"/>
          <w:rtl/>
        </w:rPr>
        <w:t>تبدأ</w:t>
      </w:r>
      <w:r w:rsidR="00C50900">
        <w:rPr>
          <w:rFonts w:hint="cs"/>
          <w:rtl/>
        </w:rPr>
        <w:t xml:space="preserve"> من نشر التسجيل الدولي في النشرة</w:t>
      </w:r>
      <w:r w:rsidR="0050011B" w:rsidRPr="0050011B">
        <w:rPr>
          <w:rFonts w:hint="cs"/>
          <w:rtl/>
        </w:rPr>
        <w:t xml:space="preserve"> </w:t>
      </w:r>
      <w:r w:rsidR="0050011B">
        <w:rPr>
          <w:rFonts w:hint="cs"/>
          <w:rtl/>
        </w:rPr>
        <w:t>مباشرة</w:t>
      </w:r>
      <w:r w:rsidR="00C50900">
        <w:rPr>
          <w:rFonts w:hint="cs"/>
          <w:rtl/>
        </w:rPr>
        <w:t>، أي فترة الرفض البالغة 12 شهرا مضافا إليها فترة الأشهر الستة المسموح بها وفقا لتلك القاعدة.</w:t>
      </w:r>
    </w:p>
    <w:p w:rsidR="00A26534" w:rsidRDefault="009A1AF9" w:rsidP="00C50900">
      <w:pPr>
        <w:pStyle w:val="NumberedParaAR"/>
      </w:pPr>
      <w:r>
        <w:rPr>
          <w:rFonts w:hint="cs"/>
          <w:rtl/>
        </w:rPr>
        <w:t>وعلاوة على ذلك، فإن القاعدة 18(1)(ج)"2" لا تحدد أي إطار زمني، حتى رغم أن تطبيقها ينبغي أن يكون محدودا بظروف استثنائية معينة</w:t>
      </w:r>
      <w:r w:rsidR="00257A64">
        <w:rPr>
          <w:rStyle w:val="FootnoteReference"/>
          <w:rtl/>
        </w:rPr>
        <w:footnoteReference w:id="11"/>
      </w:r>
      <w:r>
        <w:rPr>
          <w:rFonts w:hint="cs"/>
          <w:rtl/>
        </w:rPr>
        <w:t>.</w:t>
      </w:r>
    </w:p>
    <w:p w:rsidR="005C1041" w:rsidRDefault="000E4D11" w:rsidP="009F5028">
      <w:pPr>
        <w:pStyle w:val="NumberedParaAR"/>
      </w:pPr>
      <w:r>
        <w:rPr>
          <w:rFonts w:hint="cs"/>
          <w:rtl/>
        </w:rPr>
        <w:t xml:space="preserve">وفي ضوء ما سبق، </w:t>
      </w:r>
      <w:r w:rsidR="006C08A1">
        <w:rPr>
          <w:rFonts w:hint="cs"/>
          <w:rtl/>
        </w:rPr>
        <w:t xml:space="preserve">قد يكون من الملائم تعديل الفترة </w:t>
      </w:r>
      <w:r w:rsidR="0004700E">
        <w:rPr>
          <w:rFonts w:hint="cs"/>
          <w:rtl/>
        </w:rPr>
        <w:t xml:space="preserve">المطبقة </w:t>
      </w:r>
      <w:r w:rsidR="006C08A1">
        <w:rPr>
          <w:rFonts w:hint="cs"/>
          <w:rtl/>
        </w:rPr>
        <w:t xml:space="preserve">المشار إليها في القاعدة 18(ثانيا)(1) بما يتماشى والقاعدة 18(1)(ج)"1" و"2"، </w:t>
      </w:r>
      <w:r w:rsidR="009F5028">
        <w:rPr>
          <w:rFonts w:hint="cs"/>
          <w:rtl/>
        </w:rPr>
        <w:t xml:space="preserve">إذا انطبقت </w:t>
      </w:r>
      <w:r w:rsidR="00D91528">
        <w:rPr>
          <w:rFonts w:hint="cs"/>
          <w:rtl/>
        </w:rPr>
        <w:t xml:space="preserve">أي من هاتين القاعدتين. </w:t>
      </w:r>
      <w:r w:rsidR="006F3D46">
        <w:rPr>
          <w:rFonts w:hint="cs"/>
          <w:rtl/>
        </w:rPr>
        <w:t xml:space="preserve">وإلا فإنه لا يمكن تبليغ المكتب الدولي أية معلومات متعلقة بالتعديلات المدخلة على التصميم الصناعي بعد فترة الرفض </w:t>
      </w:r>
      <w:r w:rsidR="0004700E">
        <w:rPr>
          <w:rFonts w:hint="cs"/>
          <w:rtl/>
        </w:rPr>
        <w:t>المطبقة</w:t>
      </w:r>
      <w:r w:rsidR="006F3D46">
        <w:rPr>
          <w:rFonts w:hint="cs"/>
          <w:rtl/>
        </w:rPr>
        <w:t xml:space="preserve">. </w:t>
      </w:r>
      <w:r w:rsidR="004B3CD5">
        <w:rPr>
          <w:rFonts w:hint="cs"/>
          <w:rtl/>
        </w:rPr>
        <w:t xml:space="preserve">وبالعكس، فإنه لو كان قد أُرسل إخطار بالرفض إلى المكتب الدولي، فإن تطبيق القاعدة 18(1)(ج)"1" أو "2" </w:t>
      </w:r>
      <w:r w:rsidR="002873B1">
        <w:rPr>
          <w:rFonts w:hint="cs"/>
          <w:rtl/>
        </w:rPr>
        <w:t xml:space="preserve">يكون موضع نظر. </w:t>
      </w:r>
      <w:r w:rsidR="00C973F3">
        <w:rPr>
          <w:rFonts w:hint="cs"/>
          <w:rtl/>
        </w:rPr>
        <w:t xml:space="preserve">وينبغي تبليغ المكتب الدولي المعلومات المتعلقة بالتعديلات المدخلة على التصميم الصناعي </w:t>
      </w:r>
      <w:r w:rsidR="00C973F3" w:rsidRPr="00BA26D6">
        <w:rPr>
          <w:rFonts w:hint="cs"/>
          <w:rtl/>
        </w:rPr>
        <w:t>وفقا</w:t>
      </w:r>
      <w:r w:rsidR="00C973F3">
        <w:rPr>
          <w:rFonts w:hint="cs"/>
          <w:rtl/>
        </w:rPr>
        <w:t xml:space="preserve"> للقاعدة 18(4) أو القاعدة 18(ثانيا)(2) </w:t>
      </w:r>
      <w:r w:rsidR="002A15ED">
        <w:rPr>
          <w:rFonts w:hint="cs"/>
          <w:rtl/>
        </w:rPr>
        <w:t xml:space="preserve">(شريطة تعديل هاتين القاعدتين على النحو المقترح)، </w:t>
      </w:r>
      <w:r w:rsidR="00A86431">
        <w:rPr>
          <w:rFonts w:hint="cs"/>
          <w:rtl/>
        </w:rPr>
        <w:t>وكلتاهما غير محددتين بأي إطار زمني.</w:t>
      </w:r>
    </w:p>
    <w:p w:rsidR="0045725E" w:rsidRDefault="00007DBE" w:rsidP="0004700E">
      <w:pPr>
        <w:pStyle w:val="NumberedParaAR"/>
      </w:pPr>
      <w:r>
        <w:rPr>
          <w:rFonts w:hint="cs"/>
          <w:rtl/>
        </w:rPr>
        <w:t xml:space="preserve">وفيما يتعلق بمراجعة الفترة </w:t>
      </w:r>
      <w:r w:rsidR="0004700E">
        <w:rPr>
          <w:rFonts w:hint="cs"/>
          <w:rtl/>
        </w:rPr>
        <w:t xml:space="preserve">المطبقة </w:t>
      </w:r>
      <w:r>
        <w:rPr>
          <w:rFonts w:hint="cs"/>
          <w:rtl/>
        </w:rPr>
        <w:t>المذكورة، قد يرغب الفريق العامل في أن ينظر أيضا في جعلها ملزمة لمكتب الطرف المتعاقد المعين الذي يكون قد أصدر إعلانا وفقا للقاعدة 18(1)(ج)"1" أو "2" ليصدر بيانا بمنح الحماية وفقا للقاعدة 18(ثانيا)(1)، حتى إذا لم يكن هناك أية تعديلات مدخلة على التصميم الصناعي.</w:t>
      </w:r>
    </w:p>
    <w:p w:rsidR="00021B55" w:rsidRDefault="00D56C43" w:rsidP="004B5D68">
      <w:pPr>
        <w:pStyle w:val="NumberedParaAR"/>
      </w:pPr>
      <w:r>
        <w:rPr>
          <w:rFonts w:hint="cs"/>
          <w:rtl/>
        </w:rPr>
        <w:t xml:space="preserve">وفي هذا الصدد، تشير القاعدة 18(1)(ج)"2" إلى الوضع التالي: "إذا كان القرار المتعلق بمنح الحماية لم يبلَّغ عن غير قصد في خلال فترة الرفض </w:t>
      </w:r>
      <w:r w:rsidR="0004700E">
        <w:rPr>
          <w:rFonts w:hint="cs"/>
          <w:rtl/>
        </w:rPr>
        <w:t>المطبقة</w:t>
      </w:r>
      <w:r>
        <w:rPr>
          <w:rFonts w:hint="cs"/>
          <w:rtl/>
        </w:rPr>
        <w:t xml:space="preserve">". </w:t>
      </w:r>
      <w:r w:rsidR="008142F6">
        <w:rPr>
          <w:rFonts w:hint="cs"/>
          <w:rtl/>
        </w:rPr>
        <w:t>ومن ثم فإنه يُفترض أن الطرف المتعاقد المستعد لإرسال بيان بمنح الحماية وفقا للقاعدة 18(ثانيا)(1)</w:t>
      </w:r>
      <w:r w:rsidR="008142F6" w:rsidRPr="008142F6">
        <w:rPr>
          <w:rFonts w:hint="cs"/>
          <w:rtl/>
        </w:rPr>
        <w:t xml:space="preserve"> </w:t>
      </w:r>
      <w:r w:rsidR="008142F6">
        <w:rPr>
          <w:rFonts w:hint="cs"/>
          <w:rtl/>
        </w:rPr>
        <w:t xml:space="preserve">فقط </w:t>
      </w:r>
      <w:r w:rsidR="004A614D">
        <w:rPr>
          <w:rFonts w:hint="cs"/>
          <w:rtl/>
        </w:rPr>
        <w:t xml:space="preserve">هو الذي قد يصدر الإعلان المذكور. </w:t>
      </w:r>
      <w:r w:rsidR="000371E7">
        <w:rPr>
          <w:rFonts w:hint="cs"/>
          <w:rtl/>
        </w:rPr>
        <w:t xml:space="preserve">وبعبارة أخرى، فإن الإرسال </w:t>
      </w:r>
      <w:r w:rsidR="004B5D68">
        <w:rPr>
          <w:rFonts w:hint="cs"/>
          <w:rtl/>
        </w:rPr>
        <w:t xml:space="preserve">النظامي </w:t>
      </w:r>
      <w:r w:rsidR="000371E7">
        <w:rPr>
          <w:rFonts w:hint="cs"/>
          <w:rtl/>
        </w:rPr>
        <w:t xml:space="preserve">للبيان المذكور، </w:t>
      </w:r>
      <w:r w:rsidR="00A33AB2">
        <w:rPr>
          <w:rFonts w:hint="cs"/>
          <w:rtl/>
        </w:rPr>
        <w:t>أو إرسال نوع مماثل مباشرة إلى صاحب التسجيل الدولي في</w:t>
      </w:r>
      <w:r w:rsidR="004B5D68">
        <w:rPr>
          <w:rFonts w:hint="cs"/>
          <w:rtl/>
        </w:rPr>
        <w:t xml:space="preserve"> حال</w:t>
      </w:r>
      <w:r w:rsidR="00A33AB2">
        <w:rPr>
          <w:rFonts w:hint="cs"/>
          <w:rtl/>
        </w:rPr>
        <w:t xml:space="preserve"> عدم تبليغ هذا البيان</w:t>
      </w:r>
      <w:r w:rsidR="00752491">
        <w:rPr>
          <w:rFonts w:hint="cs"/>
          <w:rtl/>
        </w:rPr>
        <w:t xml:space="preserve"> عبر المكتب الدولي،</w:t>
      </w:r>
      <w:r w:rsidR="00AD5A8C">
        <w:rPr>
          <w:rFonts w:hint="cs"/>
          <w:rtl/>
        </w:rPr>
        <w:t xml:space="preserve"> أمر </w:t>
      </w:r>
      <w:r w:rsidR="00F150CC">
        <w:rPr>
          <w:rFonts w:hint="cs"/>
          <w:rtl/>
        </w:rPr>
        <w:t>بديهي</w:t>
      </w:r>
      <w:r w:rsidR="002E1E65">
        <w:rPr>
          <w:rStyle w:val="FootnoteReference"/>
          <w:rtl/>
          <w:lang w:bidi="ar-EG"/>
        </w:rPr>
        <w:footnoteReference w:id="12"/>
      </w:r>
      <w:r w:rsidR="00752491">
        <w:rPr>
          <w:rFonts w:hint="cs"/>
          <w:rtl/>
          <w:lang w:bidi="ar-EG"/>
        </w:rPr>
        <w:t>.</w:t>
      </w:r>
    </w:p>
    <w:p w:rsidR="00CD51D6" w:rsidRDefault="001847D2" w:rsidP="0055341D">
      <w:pPr>
        <w:pStyle w:val="NumberedParaAR"/>
      </w:pPr>
      <w:r>
        <w:rPr>
          <w:rFonts w:hint="cs"/>
          <w:rtl/>
          <w:lang w:bidi="ar-EG"/>
        </w:rPr>
        <w:t xml:space="preserve">وفيما يتعلق بالقاعدة 18(1)(ج)"1"، فإن مكتب الطرف المتعاقد المعين </w:t>
      </w:r>
      <w:r w:rsidR="00CA7419">
        <w:rPr>
          <w:rFonts w:hint="cs"/>
          <w:rtl/>
          <w:lang w:bidi="ar-EG"/>
        </w:rPr>
        <w:t xml:space="preserve">الذي </w:t>
      </w:r>
      <w:r>
        <w:rPr>
          <w:rFonts w:hint="cs"/>
          <w:rtl/>
          <w:lang w:bidi="ar-EG"/>
        </w:rPr>
        <w:t xml:space="preserve">أصدر هذا الإعلان </w:t>
      </w:r>
      <w:r w:rsidR="00CA7419">
        <w:rPr>
          <w:rFonts w:hint="cs"/>
          <w:rtl/>
          <w:lang w:bidi="ar-EG"/>
        </w:rPr>
        <w:t xml:space="preserve">إذا لم يصدر بيانا بمنح الحماية وفقا للقاعدة 18(ثانيا)(1)، </w:t>
      </w:r>
      <w:r w:rsidR="00515EB9">
        <w:rPr>
          <w:rFonts w:hint="cs"/>
          <w:rtl/>
          <w:lang w:bidi="ar-EG"/>
        </w:rPr>
        <w:t xml:space="preserve">فلن يكون في وسع صاحب التسجيل الدولي ولا غيره معرفة الوقت الذي كان التسجيل الدولي قد أحدث فيه، أو قد يُحدث فيه، نفس أثر منح الحماية، </w:t>
      </w:r>
      <w:r w:rsidR="0055341D">
        <w:rPr>
          <w:rFonts w:hint="cs"/>
          <w:rtl/>
          <w:lang w:bidi="ar-EG"/>
        </w:rPr>
        <w:t>حتى بعد انتهاء فترة الرفض. ويمكن أن يستمر هذا الوضع حتى انقضاء فترة 18 شهرا المحتسبة بدءا من وقت نشر التسجيل الدولي بصورة إجمالية</w:t>
      </w:r>
      <w:r w:rsidR="00973633">
        <w:rPr>
          <w:rStyle w:val="FootnoteReference"/>
          <w:rtl/>
          <w:lang w:bidi="ar-EG"/>
        </w:rPr>
        <w:footnoteReference w:id="13"/>
      </w:r>
      <w:r w:rsidR="0055341D">
        <w:rPr>
          <w:rFonts w:hint="cs"/>
          <w:rtl/>
          <w:lang w:bidi="ar-EG"/>
        </w:rPr>
        <w:t>.</w:t>
      </w:r>
    </w:p>
    <w:p w:rsidR="00153291" w:rsidRPr="00153291" w:rsidRDefault="00153291" w:rsidP="00153291">
      <w:pPr>
        <w:pStyle w:val="NumberedParaAR"/>
        <w:keepNext/>
        <w:numPr>
          <w:ilvl w:val="0"/>
          <w:numId w:val="0"/>
        </w:numPr>
        <w:rPr>
          <w:sz w:val="40"/>
          <w:szCs w:val="40"/>
        </w:rPr>
      </w:pPr>
      <w:r w:rsidRPr="00153291">
        <w:rPr>
          <w:rFonts w:hint="cs"/>
          <w:sz w:val="40"/>
          <w:szCs w:val="40"/>
          <w:rtl/>
          <w:lang w:bidi="ar-EG"/>
        </w:rPr>
        <w:t>بيان واحد للتصميم الواحد</w:t>
      </w:r>
    </w:p>
    <w:p w:rsidR="00153291" w:rsidRDefault="00667016" w:rsidP="00025ADC">
      <w:pPr>
        <w:pStyle w:val="NumberedParaAR"/>
      </w:pPr>
      <w:r>
        <w:rPr>
          <w:rFonts w:hint="cs"/>
          <w:rtl/>
          <w:lang w:bidi="ar-EG"/>
        </w:rPr>
        <w:t xml:space="preserve">يُذكر أن إحدى أهم مزايا نظام لاهاي هي إمكانية أن يدرَج في طلب دولي واحد ما يصل إلى 100 تصميم صناعي </w:t>
      </w:r>
      <w:r w:rsidR="00931228">
        <w:rPr>
          <w:rFonts w:hint="cs"/>
          <w:rtl/>
          <w:lang w:bidi="ar-EG"/>
        </w:rPr>
        <w:t xml:space="preserve">من نفس الفئة حسب تصنيف لوكارنو. </w:t>
      </w:r>
      <w:r w:rsidR="00025ADC">
        <w:rPr>
          <w:rFonts w:hint="cs"/>
          <w:rtl/>
          <w:lang w:bidi="ar-EG"/>
        </w:rPr>
        <w:t>إلا أن القاعدة 18(ثانيا)(1) بشكلها الحالي، وبخلاف القاعدتين 18(4) و18(ثانيا)(2)، لا تسمح صراحة للمكتب بإرسال بيان واحد لمنح الحماية لكل من التصاميم الصناعية موضوع التسجيل الدولي.</w:t>
      </w:r>
    </w:p>
    <w:p w:rsidR="00C759C5" w:rsidRDefault="00F433E5" w:rsidP="00401FE8">
      <w:pPr>
        <w:pStyle w:val="NumberedParaAR"/>
      </w:pPr>
      <w:r>
        <w:rPr>
          <w:rFonts w:hint="cs"/>
          <w:rtl/>
          <w:lang w:bidi="ar-EG"/>
        </w:rPr>
        <w:t xml:space="preserve">ويتمثل الغرض من إرسال بيان بمنح الحماية وفقا للقاعدة 18(ثانيا)(1) في إخطار صاحب التسجيل الدولي بأن الحماية مُنحت (أو سوف تُمنح) لدى الطرف المتعاقد المعين فور استكمال إجراء معين لدى المكتب. </w:t>
      </w:r>
      <w:r w:rsidR="00401FE8">
        <w:rPr>
          <w:rFonts w:hint="cs"/>
          <w:rtl/>
          <w:lang w:bidi="ar-EG"/>
        </w:rPr>
        <w:t>وقد يتمكن الغير أيضا من معرفة هذا عن طريق نشر بيان منح الحماية في النشرة.</w:t>
      </w:r>
    </w:p>
    <w:p w:rsidR="00427243" w:rsidRDefault="00427243" w:rsidP="00B7147A">
      <w:pPr>
        <w:pStyle w:val="NumberedParaAR"/>
      </w:pPr>
      <w:r>
        <w:rPr>
          <w:rFonts w:hint="cs"/>
          <w:rtl/>
          <w:lang w:bidi="ar-EG"/>
        </w:rPr>
        <w:lastRenderedPageBreak/>
        <w:t>ولذلك ينبغي أن يكون مكتب الطرف المتعاقد المعين قادرا على إرسال بيان بمنح الحماية فور استكمال الإجراء لأي من التصاميم الصناعية.</w:t>
      </w:r>
    </w:p>
    <w:p w:rsidR="00720C45" w:rsidRPr="00720C45" w:rsidRDefault="00720C45" w:rsidP="00720C45">
      <w:pPr>
        <w:pStyle w:val="NumberedParaAR"/>
        <w:keepNext/>
        <w:numPr>
          <w:ilvl w:val="0"/>
          <w:numId w:val="0"/>
        </w:numPr>
        <w:rPr>
          <w:b/>
          <w:bCs/>
          <w:sz w:val="40"/>
          <w:szCs w:val="40"/>
        </w:rPr>
      </w:pPr>
      <w:r w:rsidRPr="00720C45">
        <w:rPr>
          <w:rFonts w:hint="cs"/>
          <w:b/>
          <w:bCs/>
          <w:sz w:val="40"/>
          <w:szCs w:val="40"/>
          <w:rtl/>
        </w:rPr>
        <w:t>رابعا -</w:t>
      </w:r>
      <w:r w:rsidRPr="00720C45">
        <w:rPr>
          <w:rFonts w:hint="cs"/>
          <w:b/>
          <w:bCs/>
          <w:sz w:val="40"/>
          <w:szCs w:val="40"/>
          <w:rtl/>
        </w:rPr>
        <w:tab/>
        <w:t>اقتراح إدخال تعديلات على اللائحة التنفيذية المشتركة</w:t>
      </w:r>
    </w:p>
    <w:p w:rsidR="00720C45" w:rsidRDefault="00C55F9D" w:rsidP="0064473E">
      <w:pPr>
        <w:pStyle w:val="NumberedParaAR"/>
      </w:pPr>
      <w:r>
        <w:rPr>
          <w:rFonts w:hint="cs"/>
          <w:rtl/>
        </w:rPr>
        <w:t xml:space="preserve">تتطلب </w:t>
      </w:r>
      <w:r w:rsidR="00056E30">
        <w:rPr>
          <w:rFonts w:hint="cs"/>
          <w:rtl/>
        </w:rPr>
        <w:t xml:space="preserve">المسائل </w:t>
      </w:r>
      <w:r>
        <w:rPr>
          <w:rFonts w:hint="cs"/>
          <w:rtl/>
        </w:rPr>
        <w:t xml:space="preserve">التي تناولتها الفقرات السابقة </w:t>
      </w:r>
      <w:r w:rsidR="004818E1">
        <w:rPr>
          <w:rFonts w:hint="cs"/>
          <w:rtl/>
        </w:rPr>
        <w:t xml:space="preserve">إدخال تعديلات على القاعدتين 18 و18(ثانيا) من اللائحة التنفيذية </w:t>
      </w:r>
      <w:r w:rsidR="0064473E">
        <w:rPr>
          <w:rFonts w:hint="cs"/>
          <w:rtl/>
        </w:rPr>
        <w:t xml:space="preserve">المشتركة </w:t>
      </w:r>
      <w:r w:rsidR="004818E1">
        <w:rPr>
          <w:rFonts w:hint="cs"/>
          <w:rtl/>
        </w:rPr>
        <w:t>على النحو المقترح فيما يلي.</w:t>
      </w:r>
    </w:p>
    <w:p w:rsidR="004818E1" w:rsidRPr="004818E1" w:rsidRDefault="004818E1" w:rsidP="004818E1">
      <w:pPr>
        <w:pStyle w:val="NumberedParaAR"/>
        <w:keepNext/>
        <w:numPr>
          <w:ilvl w:val="0"/>
          <w:numId w:val="0"/>
        </w:numPr>
        <w:rPr>
          <w:sz w:val="40"/>
          <w:szCs w:val="40"/>
        </w:rPr>
      </w:pPr>
      <w:r w:rsidRPr="004818E1">
        <w:rPr>
          <w:rFonts w:hint="cs"/>
          <w:sz w:val="40"/>
          <w:szCs w:val="40"/>
          <w:rtl/>
        </w:rPr>
        <w:t>القاعدة 18(4)</w:t>
      </w:r>
    </w:p>
    <w:p w:rsidR="004818E1" w:rsidRDefault="00684E18" w:rsidP="0004700E">
      <w:pPr>
        <w:pStyle w:val="NumberedParaAR"/>
      </w:pPr>
      <w:r>
        <w:rPr>
          <w:rFonts w:hint="cs"/>
          <w:rtl/>
        </w:rPr>
        <w:t xml:space="preserve">تنص القاعدة 18(4) على الإخطار بسحب الرفض. </w:t>
      </w:r>
      <w:r w:rsidR="00C24948">
        <w:rPr>
          <w:rFonts w:hint="cs"/>
          <w:rtl/>
        </w:rPr>
        <w:t xml:space="preserve">وتتناول الفقرة الفرعية (ب) محتوياته. وتشترط الفقرة الفرعية الجديدة المقترحة (ب)"4" توضيح التاريخ الذي أحدث فيه التسجيل الدولي نفس أثر منح الحماية وفقا للقانون </w:t>
      </w:r>
      <w:r w:rsidR="0004700E">
        <w:rPr>
          <w:rFonts w:hint="cs"/>
          <w:rtl/>
        </w:rPr>
        <w:t>المطبق</w:t>
      </w:r>
      <w:r w:rsidR="00C24948">
        <w:rPr>
          <w:rFonts w:hint="cs"/>
          <w:rtl/>
        </w:rPr>
        <w:t>، والذي قد يختلف عن التاريخ الذي سُحب فيه الرفض.</w:t>
      </w:r>
    </w:p>
    <w:p w:rsidR="00AA411C" w:rsidRDefault="003A2133" w:rsidP="0004700E">
      <w:pPr>
        <w:pStyle w:val="NumberedParaAR"/>
      </w:pPr>
      <w:r>
        <w:rPr>
          <w:rFonts w:hint="cs"/>
          <w:rtl/>
        </w:rPr>
        <w:t xml:space="preserve">وإذا كان الطرف المتعاقد معينا وفقا لوثيقة 1999، فإن تاريخ منح الحماية ينبغي أن يكون هو نفس تاريخ سحب الرفض أو تاريخا سابقا عليه وفقا للمادة 14(2)(ب) من وثيقة 1999. </w:t>
      </w:r>
      <w:r w:rsidR="005556DF">
        <w:rPr>
          <w:rFonts w:hint="cs"/>
          <w:rtl/>
        </w:rPr>
        <w:t xml:space="preserve">وإذا كان الطرف المتعاقد معينا وفقا لوثيقة 1960، </w:t>
      </w:r>
      <w:r w:rsidR="00BA2EF4">
        <w:rPr>
          <w:rFonts w:hint="cs"/>
          <w:rtl/>
        </w:rPr>
        <w:t xml:space="preserve">فإن تاريخ منح الحماية ينبغي أن يكون تاريخ التسجيل الدولي، وفقا </w:t>
      </w:r>
      <w:r w:rsidR="00BA2EF4" w:rsidRPr="00A0086B">
        <w:rPr>
          <w:rFonts w:hint="cs"/>
          <w:rtl/>
        </w:rPr>
        <w:t>للجملة</w:t>
      </w:r>
      <w:r w:rsidR="00BA2EF4">
        <w:rPr>
          <w:rFonts w:hint="cs"/>
          <w:rtl/>
        </w:rPr>
        <w:t xml:space="preserve"> الثانية من المادة 8(1) من وثيقة 1960. </w:t>
      </w:r>
      <w:r w:rsidR="00EB1FA8" w:rsidRPr="00A918CE">
        <w:rPr>
          <w:rFonts w:hint="cs"/>
          <w:rtl/>
        </w:rPr>
        <w:t>وفيما عدا ذلك</w:t>
      </w:r>
      <w:r w:rsidR="00EB1FA8">
        <w:rPr>
          <w:rFonts w:hint="cs"/>
          <w:rtl/>
        </w:rPr>
        <w:t xml:space="preserve">، فإنه إذا كان الطرف المتعاقد دولة تجري فحصا للجدة، فإن تاريخ منح الحماية يمكن أن يتحدد وفقا للقانون </w:t>
      </w:r>
      <w:r w:rsidR="0004700E">
        <w:rPr>
          <w:rFonts w:hint="cs"/>
          <w:rtl/>
        </w:rPr>
        <w:t xml:space="preserve">المطبق </w:t>
      </w:r>
      <w:r w:rsidR="00EB1FA8">
        <w:rPr>
          <w:rFonts w:hint="cs"/>
          <w:rtl/>
        </w:rPr>
        <w:t>ولكنه لا يجوز أن يكون بعد انته</w:t>
      </w:r>
      <w:r w:rsidR="0026444F">
        <w:rPr>
          <w:rFonts w:hint="cs"/>
          <w:rtl/>
        </w:rPr>
        <w:t xml:space="preserve">اء فترة الرفض البالغة ستة أشهر، وفقا </w:t>
      </w:r>
      <w:r w:rsidR="0026444F" w:rsidRPr="00A0086B">
        <w:rPr>
          <w:rFonts w:hint="cs"/>
          <w:rtl/>
        </w:rPr>
        <w:t>للجملة</w:t>
      </w:r>
      <w:r w:rsidR="0026444F">
        <w:rPr>
          <w:rFonts w:hint="cs"/>
          <w:rtl/>
        </w:rPr>
        <w:t xml:space="preserve"> الثالثة من المادة 8(1) من وثيقة 1960.</w:t>
      </w:r>
    </w:p>
    <w:p w:rsidR="00A30149" w:rsidRDefault="00B82D8E" w:rsidP="00C5138A">
      <w:pPr>
        <w:pStyle w:val="NumberedParaAR"/>
      </w:pPr>
      <w:r>
        <w:rPr>
          <w:rFonts w:hint="cs"/>
          <w:rtl/>
        </w:rPr>
        <w:t xml:space="preserve">وتشترط الفقرة الفرعية الجديدة المقترحة (ج) أن يتضمن إخطار سحب الرفض أو </w:t>
      </w:r>
      <w:r w:rsidR="00C5138A">
        <w:rPr>
          <w:rFonts w:hint="cs"/>
          <w:rtl/>
        </w:rPr>
        <w:t xml:space="preserve">يبيّن </w:t>
      </w:r>
      <w:r>
        <w:rPr>
          <w:rFonts w:hint="cs"/>
          <w:rtl/>
        </w:rPr>
        <w:t xml:space="preserve">كل العناصر المعدَّلة أو كل المعلومات المتعلقة بالتصاميم الصناعية كما هي معدَّلة، حسب تقدير المكتب، إذا كانت التصاميم الصناعية المعنية معدلة في إجراء لدى المكتب. </w:t>
      </w:r>
      <w:r w:rsidR="009078A1">
        <w:rPr>
          <w:rFonts w:hint="cs"/>
          <w:rtl/>
        </w:rPr>
        <w:t xml:space="preserve">وينبغي أن تؤدي هذه الفقرة الفرعية (ج) عمل النص الرئيسي لتنفيذ آلية </w:t>
      </w:r>
      <w:r w:rsidR="002D70D3">
        <w:rPr>
          <w:rFonts w:hint="cs"/>
          <w:rtl/>
        </w:rPr>
        <w:t xml:space="preserve">التعليقات النقدية </w:t>
      </w:r>
      <w:r w:rsidR="009078A1">
        <w:rPr>
          <w:rFonts w:hint="cs"/>
          <w:rtl/>
        </w:rPr>
        <w:t xml:space="preserve">المقترحة على النحو </w:t>
      </w:r>
      <w:r w:rsidR="006F517E">
        <w:rPr>
          <w:rFonts w:hint="cs"/>
          <w:rtl/>
        </w:rPr>
        <w:t xml:space="preserve">المجمل </w:t>
      </w:r>
      <w:r w:rsidR="009078A1">
        <w:rPr>
          <w:rFonts w:hint="cs"/>
          <w:rtl/>
        </w:rPr>
        <w:t xml:space="preserve">في هذه الوثيقة. </w:t>
      </w:r>
      <w:r w:rsidR="00EA6630">
        <w:rPr>
          <w:rFonts w:hint="cs"/>
          <w:rtl/>
        </w:rPr>
        <w:t xml:space="preserve">وهي تشير إلى "التسجيل الدولي"، في مقابل "التصميم الصناعي"، نظرا إلى أن التعديل قد </w:t>
      </w:r>
      <w:r w:rsidR="00EA6630" w:rsidRPr="002E79FA">
        <w:rPr>
          <w:rFonts w:hint="cs"/>
          <w:rtl/>
        </w:rPr>
        <w:t>يتعلق</w:t>
      </w:r>
      <w:r w:rsidR="00EA6630">
        <w:rPr>
          <w:rFonts w:hint="cs"/>
          <w:rtl/>
        </w:rPr>
        <w:t xml:space="preserve"> بأي عنصر ذي أهمية متعلق بالتسجيل الدولي</w:t>
      </w:r>
      <w:r w:rsidR="007F306F">
        <w:rPr>
          <w:rFonts w:hint="cs"/>
          <w:rtl/>
        </w:rPr>
        <w:t xml:space="preserve"> </w:t>
      </w:r>
      <w:r w:rsidR="007F306F">
        <w:rPr>
          <w:rtl/>
        </w:rPr>
        <w:t>–</w:t>
      </w:r>
      <w:r w:rsidR="00EA6630">
        <w:rPr>
          <w:rFonts w:hint="cs"/>
          <w:rtl/>
        </w:rPr>
        <w:t xml:space="preserve"> مثل "الوصف"</w:t>
      </w:r>
      <w:r w:rsidR="007F306F">
        <w:rPr>
          <w:rFonts w:hint="cs"/>
          <w:rtl/>
        </w:rPr>
        <w:t xml:space="preserve"> </w:t>
      </w:r>
      <w:r w:rsidR="007F306F">
        <w:rPr>
          <w:rtl/>
        </w:rPr>
        <w:t>–</w:t>
      </w:r>
      <w:r w:rsidR="007F306F">
        <w:rPr>
          <w:rFonts w:hint="cs"/>
          <w:rtl/>
        </w:rPr>
        <w:t xml:space="preserve"> </w:t>
      </w:r>
      <w:r w:rsidR="00EA6630">
        <w:rPr>
          <w:rFonts w:hint="cs"/>
          <w:rtl/>
        </w:rPr>
        <w:t>ليس هو التصميم الصناعي في حد ذاته.</w:t>
      </w:r>
    </w:p>
    <w:p w:rsidR="007F306F" w:rsidRDefault="00B46860" w:rsidP="00196211">
      <w:pPr>
        <w:pStyle w:val="NumberedParaAR"/>
      </w:pPr>
      <w:r>
        <w:rPr>
          <w:rFonts w:hint="cs"/>
          <w:rtl/>
        </w:rPr>
        <w:t xml:space="preserve">وإذا كانت المعلومات المتعلقة بالتعديلات تتعلق بأحد العناصر في محتويات التسجيل الدولي، فإن الإخطار ينبغي أن يوضح العنصر الذي يتعلق به التعديل. </w:t>
      </w:r>
      <w:r w:rsidR="00835B2A">
        <w:rPr>
          <w:rFonts w:hint="cs"/>
          <w:rtl/>
        </w:rPr>
        <w:t xml:space="preserve">فمثلا، إذا كانت إحدى </w:t>
      </w:r>
      <w:r w:rsidR="00835B2A" w:rsidRPr="00F97C9C">
        <w:rPr>
          <w:rFonts w:hint="cs"/>
          <w:rtl/>
        </w:rPr>
        <w:t>النسخ</w:t>
      </w:r>
      <w:r w:rsidR="00835B2A">
        <w:rPr>
          <w:rFonts w:hint="cs"/>
          <w:rtl/>
        </w:rPr>
        <w:t xml:space="preserve"> قد استعيض عنها </w:t>
      </w:r>
      <w:r w:rsidR="00835B2A" w:rsidRPr="00F97C9C">
        <w:rPr>
          <w:rFonts w:hint="cs"/>
          <w:rtl/>
        </w:rPr>
        <w:t>بنسخة</w:t>
      </w:r>
      <w:r w:rsidR="00835B2A">
        <w:rPr>
          <w:rFonts w:hint="cs"/>
          <w:rtl/>
        </w:rPr>
        <w:t xml:space="preserve"> جديدة في إجراء لدى المكتب، </w:t>
      </w:r>
      <w:r w:rsidR="00B461E1">
        <w:rPr>
          <w:rFonts w:hint="cs"/>
          <w:rtl/>
        </w:rPr>
        <w:t xml:space="preserve">فإن الإخطار ينبغي أن يذكر رقم </w:t>
      </w:r>
      <w:r w:rsidR="00B461E1" w:rsidRPr="00F97C9C">
        <w:rPr>
          <w:rFonts w:hint="cs"/>
          <w:rtl/>
        </w:rPr>
        <w:t>النسخة</w:t>
      </w:r>
      <w:r w:rsidR="00B461E1">
        <w:rPr>
          <w:rFonts w:hint="cs"/>
          <w:rtl/>
        </w:rPr>
        <w:t xml:space="preserve"> المستبدلة ويتضمن </w:t>
      </w:r>
      <w:r w:rsidR="00B461E1" w:rsidRPr="00F97C9C">
        <w:rPr>
          <w:rFonts w:hint="cs"/>
          <w:rtl/>
        </w:rPr>
        <w:t>النسخة</w:t>
      </w:r>
      <w:r w:rsidR="00B461E1">
        <w:rPr>
          <w:rFonts w:hint="cs"/>
          <w:rtl/>
        </w:rPr>
        <w:t xml:space="preserve"> الجديدة. وكإجراء بديل، يمكن أن يدرج المكتب في الإخطار كل المعلومات المتعلقة بالتصميم الصناعي كما هو معدل ومقبول. </w:t>
      </w:r>
      <w:r w:rsidR="00B808B1">
        <w:rPr>
          <w:rFonts w:hint="cs"/>
          <w:rtl/>
        </w:rPr>
        <w:t xml:space="preserve">فمثلا، إذا نُشر التصميم الصناعي بأكمله كما هو معدل ومقبول مع كل المعلومات </w:t>
      </w:r>
      <w:r w:rsidR="004A0B7E">
        <w:rPr>
          <w:rFonts w:hint="cs"/>
          <w:rtl/>
        </w:rPr>
        <w:t xml:space="preserve">المتعلقة به في </w:t>
      </w:r>
      <w:r w:rsidR="004A0B7E" w:rsidRPr="00F97C9C">
        <w:rPr>
          <w:rFonts w:hint="cs"/>
          <w:rtl/>
        </w:rPr>
        <w:t>الجريدة الوطنية</w:t>
      </w:r>
      <w:r w:rsidR="004A0B7E">
        <w:rPr>
          <w:rFonts w:hint="cs"/>
          <w:rtl/>
        </w:rPr>
        <w:t xml:space="preserve">، فإن الإخطار يمكن أن يتضمن </w:t>
      </w:r>
      <w:r w:rsidR="00196211">
        <w:rPr>
          <w:rFonts w:hint="cs"/>
          <w:rtl/>
        </w:rPr>
        <w:t xml:space="preserve">مستخرجه </w:t>
      </w:r>
      <w:r w:rsidR="004A0B7E">
        <w:rPr>
          <w:rFonts w:hint="cs"/>
          <w:rtl/>
        </w:rPr>
        <w:t>فقط.</w:t>
      </w:r>
    </w:p>
    <w:p w:rsidR="004A0B7E" w:rsidRPr="00BA6BB8" w:rsidRDefault="00BA6BB8" w:rsidP="00BA6BB8">
      <w:pPr>
        <w:pStyle w:val="NumberedParaAR"/>
        <w:keepNext/>
        <w:numPr>
          <w:ilvl w:val="0"/>
          <w:numId w:val="0"/>
        </w:numPr>
        <w:rPr>
          <w:sz w:val="40"/>
          <w:szCs w:val="40"/>
        </w:rPr>
      </w:pPr>
      <w:r w:rsidRPr="00BA6BB8">
        <w:rPr>
          <w:rFonts w:hint="cs"/>
          <w:sz w:val="40"/>
          <w:szCs w:val="40"/>
          <w:rtl/>
        </w:rPr>
        <w:t>القاعدة 18(ثانيا)(2)</w:t>
      </w:r>
    </w:p>
    <w:p w:rsidR="004A0B7E" w:rsidRDefault="007060C5" w:rsidP="00B62897">
      <w:pPr>
        <w:pStyle w:val="NumberedParaAR"/>
      </w:pPr>
      <w:r>
        <w:rPr>
          <w:rFonts w:hint="cs"/>
          <w:rtl/>
        </w:rPr>
        <w:t xml:space="preserve">تنص القاعدة 18(ثانيا)(2) على بيان بمنح الحماية عقب الرفض. حيث يمكن للمكتب الذي بلغ إخطارا بالرفض أن يرسل بيانا بمنح الحماية </w:t>
      </w:r>
      <w:r w:rsidRPr="007876A5">
        <w:rPr>
          <w:rFonts w:hint="cs"/>
          <w:rtl/>
        </w:rPr>
        <w:t>وفقا</w:t>
      </w:r>
      <w:r>
        <w:rPr>
          <w:rFonts w:hint="cs"/>
          <w:rtl/>
        </w:rPr>
        <w:t xml:space="preserve"> لهذه القاعدة، </w:t>
      </w:r>
      <w:r w:rsidR="005150F6">
        <w:rPr>
          <w:rFonts w:hint="cs"/>
          <w:rtl/>
        </w:rPr>
        <w:t xml:space="preserve">بدلا من الإخطار بسحب الرفض وفقا للقاعدة 18(4). وبناء على ذلك، فإن الفقرة الفرعية (ب) من القاعدة 18(ثانيا)(2) والتي تنص على محتويات البيان </w:t>
      </w:r>
      <w:r w:rsidR="00B62897">
        <w:rPr>
          <w:rFonts w:hint="cs"/>
          <w:rtl/>
        </w:rPr>
        <w:t>تتفق مع</w:t>
      </w:r>
      <w:r w:rsidR="00800E69">
        <w:rPr>
          <w:rFonts w:hint="cs"/>
          <w:rtl/>
        </w:rPr>
        <w:t xml:space="preserve"> الفقرة الفرعية (ب) من القاعدة 18(4). </w:t>
      </w:r>
      <w:r w:rsidR="00911589">
        <w:rPr>
          <w:rFonts w:hint="cs"/>
          <w:rtl/>
        </w:rPr>
        <w:t>ولذلك، فإن نفس التعديلات يُقترح أن تضيف بندا جديدا برقم "4" في الفقرة الفرعية (ب)، بالإضافة إلى إنشاء فقرة فرعية جديدة برقم (ج) لنفس الشرط الجديد.</w:t>
      </w:r>
    </w:p>
    <w:p w:rsidR="001A2A50" w:rsidRPr="001A2A50" w:rsidRDefault="001A2A50" w:rsidP="001A2A50">
      <w:pPr>
        <w:pStyle w:val="NumberedParaAR"/>
        <w:keepNext/>
        <w:numPr>
          <w:ilvl w:val="0"/>
          <w:numId w:val="0"/>
        </w:numPr>
        <w:rPr>
          <w:sz w:val="40"/>
          <w:szCs w:val="40"/>
        </w:rPr>
      </w:pPr>
      <w:r w:rsidRPr="001A2A50">
        <w:rPr>
          <w:rFonts w:hint="cs"/>
          <w:sz w:val="40"/>
          <w:szCs w:val="40"/>
          <w:rtl/>
        </w:rPr>
        <w:lastRenderedPageBreak/>
        <w:t>القاعدة 18(ثانيا)(1)</w:t>
      </w:r>
    </w:p>
    <w:p w:rsidR="001A2A50" w:rsidRDefault="006B550D" w:rsidP="00056BD0">
      <w:pPr>
        <w:pStyle w:val="NumberedParaAR"/>
      </w:pPr>
      <w:r>
        <w:rPr>
          <w:rFonts w:hint="cs"/>
          <w:rtl/>
        </w:rPr>
        <w:t xml:space="preserve">تنص القاعدة 18(ثانيا)(1) على بيان بمنح الحماية في حال عدم تبليغ إخطار بالرفض. </w:t>
      </w:r>
      <w:r w:rsidR="00BF44CB">
        <w:rPr>
          <w:rFonts w:hint="cs"/>
          <w:rtl/>
        </w:rPr>
        <w:t xml:space="preserve">ومن المقترح استحداث فقرتين فرعيتين جديدتين برقمي (ب)"4" و(ج) بما يتماشى والتعديلات المقترح إدخالها على القاعدتين 18(4) و18(ثانيا)(2). </w:t>
      </w:r>
      <w:r w:rsidR="00A07B8B">
        <w:rPr>
          <w:rFonts w:hint="cs"/>
          <w:rtl/>
        </w:rPr>
        <w:t>إلا أن صياغة البند الجديد المقترح رقم "4" في الفقرة الفرعية (ب) من هذه القاعدة مختلف</w:t>
      </w:r>
      <w:r w:rsidR="008B5801">
        <w:rPr>
          <w:rFonts w:hint="cs"/>
          <w:rtl/>
        </w:rPr>
        <w:t>ة</w:t>
      </w:r>
      <w:r w:rsidR="00A07B8B">
        <w:rPr>
          <w:rFonts w:hint="cs"/>
          <w:rtl/>
        </w:rPr>
        <w:t xml:space="preserve"> قليلا عن البندين المقترحين المقابلين في القاعدة 18(4)(ب) والقاعدة 18(ثانيا)(2)(ب) على التوالي. </w:t>
      </w:r>
      <w:r w:rsidR="00D37A63">
        <w:rPr>
          <w:rFonts w:hint="cs"/>
          <w:rtl/>
        </w:rPr>
        <w:t>ويرجع هذا إلى الشروط المختلفة المنصوص عليها في المادة 14(2)(أ) و(ب) على التوالي في وثيقة 1999.</w:t>
      </w:r>
      <w:r w:rsidR="00F64AFF">
        <w:rPr>
          <w:rFonts w:hint="cs"/>
          <w:rtl/>
        </w:rPr>
        <w:t xml:space="preserve"> وتنص المادة 14(2)(أ) على أن التسجيل الدولي له نفس أثر منح الحماية وفقا للقانون الدولي </w:t>
      </w:r>
      <w:r w:rsidR="00F64AFF" w:rsidRPr="00E81528">
        <w:rPr>
          <w:rFonts w:hint="cs"/>
          <w:rtl/>
        </w:rPr>
        <w:t>في موعد أقصاه</w:t>
      </w:r>
      <w:r w:rsidR="00F64AFF">
        <w:rPr>
          <w:rFonts w:hint="cs"/>
          <w:rtl/>
        </w:rPr>
        <w:t xml:space="preserve"> من تاريخ </w:t>
      </w:r>
      <w:r w:rsidR="009161A5">
        <w:rPr>
          <w:rFonts w:hint="cs"/>
          <w:rtl/>
        </w:rPr>
        <w:t xml:space="preserve">انتهاء فترة الرفض، </w:t>
      </w:r>
      <w:r w:rsidR="004074E7">
        <w:rPr>
          <w:rFonts w:hint="cs"/>
          <w:rtl/>
        </w:rPr>
        <w:t xml:space="preserve">في حين </w:t>
      </w:r>
      <w:r w:rsidR="00D10924">
        <w:rPr>
          <w:rFonts w:hint="cs"/>
          <w:rtl/>
        </w:rPr>
        <w:t xml:space="preserve">أنه من المفترض، وفقا للقاعدة 18(ثانيا)(1)، أن يرسل المكتب بيانا بمنح الحماية قبل تاريخ انتهاء فترة الرفض، ويفضل أن يفعل ذلك فور توصله إلى نتيجة إيجابية. </w:t>
      </w:r>
      <w:r w:rsidR="00056BD0">
        <w:rPr>
          <w:rFonts w:hint="cs"/>
          <w:rtl/>
        </w:rPr>
        <w:t xml:space="preserve">وينبغي لهذه المرونة في النص المقترح أيضا أن تتوافق مع </w:t>
      </w:r>
      <w:r w:rsidR="00056BD0" w:rsidRPr="00415B42">
        <w:rPr>
          <w:rFonts w:hint="cs"/>
          <w:rtl/>
        </w:rPr>
        <w:t>الجملة</w:t>
      </w:r>
      <w:r w:rsidR="00056BD0">
        <w:rPr>
          <w:rFonts w:hint="cs"/>
          <w:rtl/>
        </w:rPr>
        <w:t xml:space="preserve"> الثالثة من المادة 8(1) من وثيقة 1960.</w:t>
      </w:r>
    </w:p>
    <w:p w:rsidR="008D36D7" w:rsidRDefault="006F1AC3" w:rsidP="00B94B87">
      <w:pPr>
        <w:pStyle w:val="NumberedParaAR"/>
      </w:pPr>
      <w:r>
        <w:rPr>
          <w:rFonts w:hint="cs"/>
          <w:rtl/>
        </w:rPr>
        <w:t xml:space="preserve">وإذا لم يكن التسجيل الدولي، في وقت إرسال البيان، قد أحدث نفس أثر منح الحماية بعد، </w:t>
      </w:r>
      <w:r w:rsidR="00574B4F">
        <w:rPr>
          <w:rFonts w:hint="cs"/>
          <w:rtl/>
        </w:rPr>
        <w:t xml:space="preserve">فإن المكتب ينبغي أن يوضح التاريخ الذي سيُحدث فيه التسجيل الدولي نفس أثر منح الحماية وفقا للقانون </w:t>
      </w:r>
      <w:r w:rsidR="00E52C1A">
        <w:rPr>
          <w:rFonts w:hint="cs"/>
          <w:rtl/>
        </w:rPr>
        <w:t>المطبق</w:t>
      </w:r>
      <w:r w:rsidR="00574B4F">
        <w:rPr>
          <w:rFonts w:hint="cs"/>
          <w:rtl/>
        </w:rPr>
        <w:t xml:space="preserve">، </w:t>
      </w:r>
      <w:r w:rsidR="009C42FD">
        <w:rPr>
          <w:rFonts w:hint="cs"/>
          <w:rtl/>
        </w:rPr>
        <w:t>وفقا</w:t>
      </w:r>
      <w:r w:rsidR="004B6A50">
        <w:rPr>
          <w:rFonts w:hint="cs"/>
          <w:rtl/>
        </w:rPr>
        <w:t xml:space="preserve"> </w:t>
      </w:r>
      <w:r w:rsidR="009C42FD">
        <w:rPr>
          <w:rFonts w:hint="cs"/>
          <w:rtl/>
        </w:rPr>
        <w:t>ل</w:t>
      </w:r>
      <w:r w:rsidR="004B6A50">
        <w:rPr>
          <w:rFonts w:hint="cs"/>
          <w:rtl/>
        </w:rPr>
        <w:t xml:space="preserve">لفقرة </w:t>
      </w:r>
      <w:r w:rsidR="00574B4F">
        <w:rPr>
          <w:rFonts w:hint="cs"/>
          <w:rtl/>
        </w:rPr>
        <w:t xml:space="preserve">الفرعية الجديدة المقترحة (ب)"4". </w:t>
      </w:r>
      <w:r w:rsidR="00440B12">
        <w:rPr>
          <w:rFonts w:hint="cs"/>
          <w:rtl/>
        </w:rPr>
        <w:t xml:space="preserve">وينبغي أن يكون هذا التاريخ، </w:t>
      </w:r>
      <w:r w:rsidR="00B94B87">
        <w:rPr>
          <w:rFonts w:hint="cs"/>
          <w:rtl/>
        </w:rPr>
        <w:t>ب</w:t>
      </w:r>
      <w:r w:rsidR="00903CD4">
        <w:rPr>
          <w:rFonts w:hint="cs"/>
          <w:rtl/>
        </w:rPr>
        <w:t>حد أقصى</w:t>
      </w:r>
      <w:r w:rsidR="00440B12">
        <w:rPr>
          <w:rFonts w:hint="cs"/>
          <w:rtl/>
        </w:rPr>
        <w:t xml:space="preserve">، هو تاريخ انتهاء فترة الرفض </w:t>
      </w:r>
      <w:r w:rsidR="00E52C1A">
        <w:rPr>
          <w:rFonts w:hint="cs"/>
          <w:rtl/>
        </w:rPr>
        <w:t>المطبقة</w:t>
      </w:r>
      <w:r w:rsidR="00440B12">
        <w:rPr>
          <w:rFonts w:hint="cs"/>
          <w:rtl/>
        </w:rPr>
        <w:t>، أو الوقت المحدد في الإعلان وفقا للقاعدة 18(1)(ج)"1"، إذا كان التعيين محكوما بالوثيقة 1999، ويخضع للإعلان.</w:t>
      </w:r>
    </w:p>
    <w:p w:rsidR="00F74ED6" w:rsidRDefault="00C5761D" w:rsidP="00440B12">
      <w:pPr>
        <w:pStyle w:val="NumberedParaAR"/>
      </w:pPr>
      <w:r>
        <w:rPr>
          <w:rFonts w:hint="cs"/>
          <w:rtl/>
        </w:rPr>
        <w:t xml:space="preserve">والمقصود من إدراج البند الجديد المقترح رقم "3" في الفقرة الفرعية (ب)، وكذلك التعديل المقترح في الفقرة الفرعية (أ)، هو توضيح أن المكتب يجوز أن يرسل بيانا بمنح الحماية يتعلق فقط بواحد من الرسوم الصناعية موضوع التسجيل الدولي أو </w:t>
      </w:r>
      <w:r w:rsidR="00EA5486">
        <w:rPr>
          <w:rFonts w:hint="cs"/>
          <w:rtl/>
        </w:rPr>
        <w:t>ب</w:t>
      </w:r>
      <w:r>
        <w:rPr>
          <w:rFonts w:hint="cs"/>
          <w:rtl/>
        </w:rPr>
        <w:t>بعضها.</w:t>
      </w:r>
    </w:p>
    <w:p w:rsidR="00BF613C" w:rsidRDefault="00BF613C" w:rsidP="00C20CF4">
      <w:pPr>
        <w:pStyle w:val="NumberedParaAR"/>
      </w:pPr>
      <w:r>
        <w:rPr>
          <w:rFonts w:hint="cs"/>
          <w:rtl/>
        </w:rPr>
        <w:t xml:space="preserve">وبالإضافة إلى ذلك، </w:t>
      </w:r>
      <w:r w:rsidR="00D1196A">
        <w:rPr>
          <w:rFonts w:hint="cs"/>
          <w:rtl/>
        </w:rPr>
        <w:t xml:space="preserve">فإن كلا الفقرتين (1) و(2) من القاعدة 18(ثانيا) تشيران في الواقع إلى نفس إخطار الرفض. </w:t>
      </w:r>
      <w:r w:rsidR="00D93C0B">
        <w:rPr>
          <w:rFonts w:hint="cs"/>
          <w:rtl/>
        </w:rPr>
        <w:t xml:space="preserve">ولذلك </w:t>
      </w:r>
      <w:r w:rsidR="00C20CF4">
        <w:rPr>
          <w:rFonts w:hint="cs"/>
          <w:rtl/>
        </w:rPr>
        <w:t xml:space="preserve">تُغتنم </w:t>
      </w:r>
      <w:r w:rsidR="00D93C0B">
        <w:rPr>
          <w:rFonts w:hint="cs"/>
          <w:rtl/>
        </w:rPr>
        <w:t xml:space="preserve">الفرصة </w:t>
      </w:r>
      <w:r w:rsidR="00D93C0B" w:rsidRPr="00F2625A">
        <w:rPr>
          <w:rFonts w:hint="cs"/>
          <w:rtl/>
        </w:rPr>
        <w:t>لحذف</w:t>
      </w:r>
      <w:r w:rsidR="00D93C0B">
        <w:rPr>
          <w:rFonts w:hint="cs"/>
          <w:rtl/>
        </w:rPr>
        <w:t xml:space="preserve"> مصطلح "مؤقت" من عنوان القاعدة 18(ثانيا)(1) تجنبا لأي لبس.</w:t>
      </w:r>
    </w:p>
    <w:p w:rsidR="000A35CF" w:rsidRDefault="0075568B" w:rsidP="00152D58">
      <w:pPr>
        <w:pStyle w:val="NumberedParaAR"/>
      </w:pPr>
      <w:r w:rsidRPr="005E3261">
        <w:rPr>
          <w:rFonts w:hint="cs"/>
          <w:rtl/>
        </w:rPr>
        <w:t>وتتوافق</w:t>
      </w:r>
      <w:r>
        <w:rPr>
          <w:rFonts w:hint="cs"/>
          <w:rtl/>
        </w:rPr>
        <w:t xml:space="preserve"> </w:t>
      </w:r>
      <w:r w:rsidR="00772E4A">
        <w:rPr>
          <w:rFonts w:hint="cs"/>
          <w:rtl/>
        </w:rPr>
        <w:t xml:space="preserve">الفقرة الفرعية الجديدة المقترحة </w:t>
      </w:r>
      <w:r>
        <w:rPr>
          <w:rFonts w:hint="cs"/>
          <w:rtl/>
        </w:rPr>
        <w:t xml:space="preserve">رقم (ج) مع الفقرة الفرعية الجديدة رقم (ج) في القاعدة 18(4) والقاعدة 18(ثانيا)(2) على التوالي. </w:t>
      </w:r>
      <w:r w:rsidR="00D1599D">
        <w:rPr>
          <w:rFonts w:hint="cs"/>
          <w:rtl/>
        </w:rPr>
        <w:t>إلا أن هذه الفقرة الفرعية، بخلاف الفقرتين الفرعيتين الأخيرتين</w:t>
      </w:r>
      <w:r w:rsidR="003D30C4">
        <w:rPr>
          <w:rFonts w:hint="cs"/>
          <w:rtl/>
        </w:rPr>
        <w:t xml:space="preserve">، تشير إلى "التعديلات </w:t>
      </w:r>
      <w:r w:rsidR="00152D58">
        <w:rPr>
          <w:rFonts w:hint="cs"/>
          <w:rtl/>
        </w:rPr>
        <w:t xml:space="preserve">في إجراء يتخذه </w:t>
      </w:r>
      <w:r w:rsidR="007E5756">
        <w:rPr>
          <w:rFonts w:hint="cs"/>
          <w:rtl/>
        </w:rPr>
        <w:t xml:space="preserve">صاحب التسجيل الدولي لدى المكتب". </w:t>
      </w:r>
      <w:r w:rsidR="008D3833">
        <w:rPr>
          <w:rFonts w:hint="cs"/>
          <w:rtl/>
        </w:rPr>
        <w:t xml:space="preserve">وتنطبق القاعدة 18(4) أو القاعدة 18(ثانيا)(2) إذا بلغ المكتب إخطارا بالرفض وقرر سحب الرفض جزئيا أو كليا. </w:t>
      </w:r>
      <w:r w:rsidR="00C243D0">
        <w:rPr>
          <w:rFonts w:hint="cs"/>
          <w:rtl/>
        </w:rPr>
        <w:t>ومن ثم فإنه من الواضح بجلاء أن صاحب التسجيل الدولي كان طرفا في إجراء نتجت عنه التعديلات المعنية.</w:t>
      </w:r>
      <w:r w:rsidR="00496423">
        <w:rPr>
          <w:rFonts w:hint="cs"/>
          <w:rtl/>
        </w:rPr>
        <w:t xml:space="preserve"> وعلى العكس، فإن القاعدة 18(ثانيا)(1) تنطبق إذا لم يبلغ المكتب إخطارا بالرفض. </w:t>
      </w:r>
      <w:r w:rsidR="00C10E91" w:rsidRPr="00D25207">
        <w:rPr>
          <w:rFonts w:hint="cs"/>
          <w:rtl/>
        </w:rPr>
        <w:t>وليست</w:t>
      </w:r>
      <w:r w:rsidR="00C10E91">
        <w:rPr>
          <w:rFonts w:hint="cs"/>
          <w:rtl/>
        </w:rPr>
        <w:t xml:space="preserve"> الصياغة المقترحة </w:t>
      </w:r>
      <w:r w:rsidR="00C10E91" w:rsidRPr="00D25207">
        <w:rPr>
          <w:rFonts w:hint="cs"/>
          <w:rtl/>
        </w:rPr>
        <w:t>إلا</w:t>
      </w:r>
      <w:r w:rsidR="00C10E91">
        <w:rPr>
          <w:rFonts w:hint="cs"/>
          <w:rtl/>
        </w:rPr>
        <w:t xml:space="preserve"> للتأكيد على أن التعديلات المعنية ينبغي أن تمثل نتيجة للعمل الاختياري لصاحب التسجيل الدولي أو موافقته. </w:t>
      </w:r>
      <w:r w:rsidR="008C057C">
        <w:rPr>
          <w:rFonts w:hint="cs"/>
          <w:rtl/>
        </w:rPr>
        <w:t>ونفس التعبير مستخدم أيضا في الفقرة الفرعية الجديدة المقترحة رقم (د) لنفس السبب.</w:t>
      </w:r>
    </w:p>
    <w:p w:rsidR="008C057C" w:rsidRDefault="008C701C" w:rsidP="00CC0161">
      <w:pPr>
        <w:pStyle w:val="NumberedParaAR"/>
      </w:pPr>
      <w:r>
        <w:rPr>
          <w:rFonts w:hint="cs"/>
          <w:rtl/>
        </w:rPr>
        <w:t xml:space="preserve">وترمي الفقرة الفرعية الجديدة المقترحة رقم (د) إلى إلزام المكتب بإرسال بيان بمنح الحماية إذا كان طرفه المتعاقد قد أصدر إعلانا وفقا للقاعدة 18(1)(ج)"1" أو "2". وتلزم هذه الفقرة الفرعية الجديدة أيضا المكتب بإرسال البيان إذا مُنحت الحماية للتصميم الصناعي عقب تعديلات في إجراء لدى المكتب. </w:t>
      </w:r>
      <w:r w:rsidR="009B620D">
        <w:rPr>
          <w:rFonts w:hint="cs"/>
          <w:rtl/>
        </w:rPr>
        <w:t xml:space="preserve">والهدف من هذا هو ضمان تحقيق آلية </w:t>
      </w:r>
      <w:r w:rsidR="00CC0161">
        <w:rPr>
          <w:rFonts w:hint="cs"/>
          <w:rtl/>
        </w:rPr>
        <w:t xml:space="preserve">التعليقات النقدية </w:t>
      </w:r>
      <w:r w:rsidR="009B620D">
        <w:rPr>
          <w:rFonts w:hint="cs"/>
          <w:rtl/>
        </w:rPr>
        <w:t xml:space="preserve">لغرضها في جميع </w:t>
      </w:r>
      <w:r w:rsidR="009B620D" w:rsidRPr="005F2563">
        <w:rPr>
          <w:rFonts w:hint="cs"/>
          <w:rtl/>
        </w:rPr>
        <w:t>الحالات</w:t>
      </w:r>
      <w:r w:rsidR="009B620D">
        <w:rPr>
          <w:rFonts w:hint="cs"/>
          <w:rtl/>
        </w:rPr>
        <w:t>.</w:t>
      </w:r>
    </w:p>
    <w:p w:rsidR="009B620D" w:rsidRDefault="00A115FE" w:rsidP="003A47A7">
      <w:pPr>
        <w:pStyle w:val="NumberedParaAR"/>
      </w:pPr>
      <w:r>
        <w:rPr>
          <w:rFonts w:hint="cs"/>
          <w:rtl/>
        </w:rPr>
        <w:t xml:space="preserve">ويُقترح استحداث الفقرة الفرعية الجديدة (ه) لتوضيح أن الفترة </w:t>
      </w:r>
      <w:r w:rsidR="003A47A7">
        <w:rPr>
          <w:rFonts w:hint="cs"/>
          <w:rtl/>
        </w:rPr>
        <w:t xml:space="preserve">المطبقة </w:t>
      </w:r>
      <w:r>
        <w:rPr>
          <w:rFonts w:hint="cs"/>
          <w:rtl/>
        </w:rPr>
        <w:t>والتي يجوز خلالها إرسال بيان منح الحماية تمدد</w:t>
      </w:r>
      <w:r w:rsidR="001A498D">
        <w:rPr>
          <w:rFonts w:hint="cs"/>
          <w:rtl/>
        </w:rPr>
        <w:t>،</w:t>
      </w:r>
      <w:r>
        <w:rPr>
          <w:rFonts w:hint="cs"/>
          <w:rtl/>
        </w:rPr>
        <w:t xml:space="preserve"> إذا انطبقت إحدى القاعدتين 18(1)(ج)"1" أو "2"، </w:t>
      </w:r>
      <w:r w:rsidRPr="00536A20">
        <w:rPr>
          <w:rFonts w:hint="cs"/>
          <w:rtl/>
        </w:rPr>
        <w:t>حسب الحال</w:t>
      </w:r>
      <w:r>
        <w:rPr>
          <w:rFonts w:hint="cs"/>
          <w:rtl/>
        </w:rPr>
        <w:t xml:space="preserve">. </w:t>
      </w:r>
      <w:r w:rsidR="00237916">
        <w:rPr>
          <w:rFonts w:hint="cs"/>
          <w:rtl/>
        </w:rPr>
        <w:t xml:space="preserve">وقد يكون هذا التعديل ضروريا </w:t>
      </w:r>
      <w:r w:rsidR="00237916" w:rsidRPr="001552B9">
        <w:rPr>
          <w:rFonts w:hint="cs"/>
          <w:rtl/>
        </w:rPr>
        <w:t>جنبا إلى جنب</w:t>
      </w:r>
      <w:r w:rsidR="00237916">
        <w:rPr>
          <w:rFonts w:hint="cs"/>
          <w:rtl/>
        </w:rPr>
        <w:t xml:space="preserve"> مع اقتراح إنشاء الفقرة الفرعية الجديدة (د).</w:t>
      </w:r>
    </w:p>
    <w:p w:rsidR="00B34D9D" w:rsidRDefault="00B34D9D" w:rsidP="00550553">
      <w:pPr>
        <w:pStyle w:val="DecisionParaAR"/>
      </w:pPr>
      <w:r>
        <w:rPr>
          <w:rFonts w:hint="cs"/>
          <w:rtl/>
        </w:rPr>
        <w:lastRenderedPageBreak/>
        <w:t xml:space="preserve">إن الفريق العامل مدعو لتوضيح ما إذا كان </w:t>
      </w:r>
      <w:r w:rsidRPr="00FD3426">
        <w:rPr>
          <w:rFonts w:hint="cs"/>
          <w:rtl/>
        </w:rPr>
        <w:t>يؤيد</w:t>
      </w:r>
      <w:r>
        <w:rPr>
          <w:rFonts w:hint="cs"/>
          <w:rtl/>
        </w:rPr>
        <w:t xml:space="preserve"> </w:t>
      </w:r>
      <w:r w:rsidRPr="00FD3426">
        <w:rPr>
          <w:rFonts w:hint="cs"/>
          <w:rtl/>
        </w:rPr>
        <w:t>طريقة</w:t>
      </w:r>
      <w:r>
        <w:rPr>
          <w:rFonts w:hint="cs"/>
          <w:rtl/>
        </w:rPr>
        <w:t xml:space="preserve"> الإتاحة العلنية للتعديلات على النحو الموضح في الفقرتين 32 و33.</w:t>
      </w:r>
    </w:p>
    <w:p w:rsidR="00B34D9D" w:rsidRDefault="003D6B82" w:rsidP="00550553">
      <w:pPr>
        <w:pStyle w:val="DecisionParaAR"/>
      </w:pPr>
      <w:r>
        <w:rPr>
          <w:rFonts w:hint="cs"/>
          <w:rtl/>
        </w:rPr>
        <w:t xml:space="preserve">إن الفريق العامل مدعو لتوضيح </w:t>
      </w:r>
      <w:r w:rsidR="000A0044">
        <w:rPr>
          <w:rFonts w:hint="cs"/>
          <w:rtl/>
        </w:rPr>
        <w:t xml:space="preserve">ما إذا كان </w:t>
      </w:r>
      <w:r w:rsidR="000A0044" w:rsidRPr="00FD3426">
        <w:rPr>
          <w:rFonts w:hint="cs"/>
          <w:rtl/>
        </w:rPr>
        <w:t>يؤيد</w:t>
      </w:r>
      <w:r w:rsidR="00825FA5">
        <w:rPr>
          <w:rFonts w:hint="cs"/>
          <w:rtl/>
        </w:rPr>
        <w:t xml:space="preserve"> أن يقدَّم</w:t>
      </w:r>
      <w:r w:rsidR="000A0044">
        <w:rPr>
          <w:rFonts w:hint="cs"/>
          <w:rtl/>
        </w:rPr>
        <w:t xml:space="preserve">، في الوقت المناسب، </w:t>
      </w:r>
      <w:r w:rsidR="00825FA5">
        <w:rPr>
          <w:rFonts w:hint="cs"/>
          <w:rtl/>
        </w:rPr>
        <w:t xml:space="preserve">اقتراح لتعديل اللائحة التنفيذية المشتركة فيما يتعلق بالقاعدة 18(4) والقاعدة 18(ثانيا)(1) و(2)، على النحو الوارد في المشروع المرفق بهذه الوثيقة، على أن يكون تاريخ دخول حيز النفاذ هو 1 يناير 2015، لتعتمده جمعية اتحاد لاهاي وللتعليق على </w:t>
      </w:r>
      <w:r w:rsidR="001B0323">
        <w:rPr>
          <w:rFonts w:hint="cs"/>
          <w:rtl/>
        </w:rPr>
        <w:t>المشروع المذكور.</w:t>
      </w:r>
    </w:p>
    <w:p w:rsidR="007E4E9D" w:rsidRDefault="007E4E9D" w:rsidP="00550553">
      <w:pPr>
        <w:pStyle w:val="EndofDocumentAR"/>
        <w:rPr>
          <w:rtl/>
        </w:rPr>
      </w:pPr>
      <w:r>
        <w:rPr>
          <w:rFonts w:hint="cs"/>
          <w:rtl/>
        </w:rPr>
        <w:t>[يلي ذلك المرفق]</w:t>
      </w:r>
    </w:p>
    <w:p w:rsidR="007E4E9D" w:rsidRDefault="007E4E9D" w:rsidP="007E4E9D">
      <w:pPr>
        <w:pStyle w:val="NumberedParaAR"/>
        <w:numPr>
          <w:ilvl w:val="0"/>
          <w:numId w:val="0"/>
        </w:numPr>
        <w:rPr>
          <w:rtl/>
        </w:rPr>
      </w:pPr>
    </w:p>
    <w:p w:rsidR="00224FC0" w:rsidRDefault="00224FC0" w:rsidP="007E4E9D">
      <w:pPr>
        <w:pStyle w:val="NumberedParaAR"/>
        <w:numPr>
          <w:ilvl w:val="0"/>
          <w:numId w:val="0"/>
        </w:numPr>
        <w:rPr>
          <w:rtl/>
        </w:rPr>
        <w:sectPr w:rsidR="00224FC0" w:rsidSect="00EB7752">
          <w:headerReference w:type="default" r:id="rId10"/>
          <w:pgSz w:w="11907" w:h="16840" w:code="9"/>
          <w:pgMar w:top="567" w:right="1418" w:bottom="1418" w:left="1134" w:header="510" w:footer="1021" w:gutter="0"/>
          <w:cols w:space="720"/>
          <w:titlePg/>
          <w:docGrid w:linePitch="299"/>
        </w:sectPr>
      </w:pPr>
    </w:p>
    <w:p w:rsidR="007E4E9D" w:rsidRDefault="007E4E9D" w:rsidP="007E4E9D">
      <w:pPr>
        <w:pStyle w:val="NumberedParaAR"/>
        <w:numPr>
          <w:ilvl w:val="0"/>
          <w:numId w:val="0"/>
        </w:numPr>
        <w:rPr>
          <w:rtl/>
          <w:lang w:bidi="ar-EG"/>
        </w:rPr>
      </w:pPr>
    </w:p>
    <w:p w:rsidR="00224FC0" w:rsidRPr="004B1856" w:rsidRDefault="004B1856" w:rsidP="004B1856">
      <w:pPr>
        <w:pStyle w:val="NumberedParaAR"/>
        <w:keepNext/>
        <w:numPr>
          <w:ilvl w:val="0"/>
          <w:numId w:val="0"/>
        </w:numPr>
        <w:jc w:val="center"/>
        <w:rPr>
          <w:b/>
          <w:bCs/>
          <w:sz w:val="40"/>
          <w:szCs w:val="40"/>
          <w:rtl/>
        </w:rPr>
      </w:pPr>
      <w:r w:rsidRPr="004B1856">
        <w:rPr>
          <w:rFonts w:hint="cs"/>
          <w:b/>
          <w:bCs/>
          <w:sz w:val="40"/>
          <w:szCs w:val="40"/>
          <w:rtl/>
        </w:rPr>
        <w:t>اللائحة التنفيذية المشتركة</w:t>
      </w:r>
      <w:r w:rsidRPr="004B1856">
        <w:rPr>
          <w:rFonts w:hint="cs"/>
          <w:b/>
          <w:bCs/>
          <w:sz w:val="40"/>
          <w:szCs w:val="40"/>
          <w:rtl/>
        </w:rPr>
        <w:br/>
      </w:r>
      <w:r w:rsidRPr="009A5121">
        <w:rPr>
          <w:rFonts w:hint="cs"/>
          <w:b/>
          <w:bCs/>
          <w:sz w:val="40"/>
          <w:szCs w:val="40"/>
          <w:rtl/>
        </w:rPr>
        <w:t>لوثيقة</w:t>
      </w:r>
      <w:r w:rsidRPr="004B1856">
        <w:rPr>
          <w:rFonts w:hint="cs"/>
          <w:b/>
          <w:bCs/>
          <w:sz w:val="40"/>
          <w:szCs w:val="40"/>
          <w:rtl/>
        </w:rPr>
        <w:t xml:space="preserve"> 1999 ووثيقة 1960</w:t>
      </w:r>
      <w:r w:rsidRPr="004B1856">
        <w:rPr>
          <w:rFonts w:hint="cs"/>
          <w:b/>
          <w:bCs/>
          <w:sz w:val="40"/>
          <w:szCs w:val="40"/>
          <w:rtl/>
        </w:rPr>
        <w:br/>
        <w:t>لاتفاق لاهاي</w:t>
      </w:r>
    </w:p>
    <w:p w:rsidR="004B1856" w:rsidRPr="004B1856" w:rsidRDefault="004B1856" w:rsidP="00EB641D">
      <w:pPr>
        <w:pStyle w:val="NumberedParaAR"/>
        <w:keepNext/>
        <w:numPr>
          <w:ilvl w:val="0"/>
          <w:numId w:val="0"/>
        </w:numPr>
        <w:jc w:val="center"/>
        <w:rPr>
          <w:sz w:val="40"/>
          <w:szCs w:val="40"/>
          <w:rtl/>
        </w:rPr>
      </w:pPr>
      <w:r w:rsidRPr="004B1856">
        <w:rPr>
          <w:rFonts w:hint="cs"/>
          <w:sz w:val="40"/>
          <w:szCs w:val="40"/>
          <w:rtl/>
        </w:rPr>
        <w:t>(</w:t>
      </w:r>
      <w:r w:rsidR="00EB641D">
        <w:rPr>
          <w:rFonts w:hint="cs"/>
          <w:sz w:val="40"/>
          <w:szCs w:val="40"/>
          <w:rtl/>
        </w:rPr>
        <w:t xml:space="preserve">النص النافذ </w:t>
      </w:r>
      <w:r w:rsidRPr="004B1856">
        <w:rPr>
          <w:rFonts w:hint="cs"/>
          <w:sz w:val="40"/>
          <w:szCs w:val="40"/>
          <w:rtl/>
        </w:rPr>
        <w:t>اعتبارا من [1 يناير 2015])</w:t>
      </w:r>
    </w:p>
    <w:p w:rsidR="004B1856" w:rsidRPr="008C3169" w:rsidRDefault="008C3169" w:rsidP="00A306EF">
      <w:pPr>
        <w:pStyle w:val="NumberedParaAR"/>
        <w:keepNext/>
        <w:numPr>
          <w:ilvl w:val="0"/>
          <w:numId w:val="0"/>
        </w:numPr>
        <w:jc w:val="center"/>
        <w:rPr>
          <w:i/>
          <w:iCs/>
          <w:rtl/>
        </w:rPr>
      </w:pPr>
      <w:r w:rsidRPr="008C3169">
        <w:rPr>
          <w:rFonts w:hint="cs"/>
          <w:i/>
          <w:iCs/>
          <w:rtl/>
        </w:rPr>
        <w:t>القاعدة 18</w:t>
      </w:r>
    </w:p>
    <w:p w:rsidR="008C3169" w:rsidRPr="008C3169" w:rsidRDefault="008C3169" w:rsidP="00A306EF">
      <w:pPr>
        <w:pStyle w:val="NumberedParaAR"/>
        <w:keepNext/>
        <w:numPr>
          <w:ilvl w:val="0"/>
          <w:numId w:val="0"/>
        </w:numPr>
        <w:jc w:val="center"/>
        <w:rPr>
          <w:i/>
          <w:iCs/>
          <w:rtl/>
        </w:rPr>
      </w:pPr>
      <w:r w:rsidRPr="008C3169">
        <w:rPr>
          <w:rFonts w:hint="cs"/>
          <w:i/>
          <w:iCs/>
          <w:rtl/>
        </w:rPr>
        <w:t>الإخطار بالرفض</w:t>
      </w:r>
    </w:p>
    <w:p w:rsidR="008C3169" w:rsidRDefault="00A306EF" w:rsidP="007E4E9D">
      <w:pPr>
        <w:pStyle w:val="NumberedParaAR"/>
        <w:numPr>
          <w:ilvl w:val="0"/>
          <w:numId w:val="0"/>
        </w:numPr>
        <w:rPr>
          <w:rtl/>
          <w:lang w:bidi="ar-EG"/>
        </w:rPr>
      </w:pPr>
      <w:r>
        <w:rPr>
          <w:rFonts w:hint="cs"/>
          <w:rtl/>
          <w:lang w:bidi="ar-EG"/>
        </w:rPr>
        <w:t>[...]</w:t>
      </w:r>
    </w:p>
    <w:p w:rsidR="00A306EF" w:rsidRDefault="00A306EF" w:rsidP="00A306EF">
      <w:pPr>
        <w:pStyle w:val="NumberedParaAR"/>
        <w:numPr>
          <w:ilvl w:val="0"/>
          <w:numId w:val="0"/>
        </w:numPr>
        <w:rPr>
          <w:rtl/>
          <w:lang w:bidi="ar-EG"/>
        </w:rPr>
      </w:pPr>
      <w:r>
        <w:rPr>
          <w:rtl/>
          <w:lang w:bidi="ar-EG"/>
        </w:rPr>
        <w:tab/>
        <w:t>(4)</w:t>
      </w:r>
      <w:r>
        <w:rPr>
          <w:rtl/>
          <w:lang w:bidi="ar-EG"/>
        </w:rPr>
        <w:tab/>
        <w:t>[</w:t>
      </w:r>
      <w:r w:rsidRPr="00A306EF">
        <w:rPr>
          <w:i/>
          <w:iCs/>
          <w:rtl/>
          <w:lang w:bidi="ar-EG"/>
        </w:rPr>
        <w:t>الإخطار بسحب الرفض</w:t>
      </w:r>
      <w:r>
        <w:rPr>
          <w:rtl/>
          <w:lang w:bidi="ar-EG"/>
        </w:rPr>
        <w:t>] (أ) يجب أن يتعلق إخطار سحب الرفض بتسجيل دولي واحد ويجب أن يكون مؤرخا وموّقعا من المكتب الذي وجّه الإخطار.</w:t>
      </w:r>
    </w:p>
    <w:p w:rsidR="00A306EF" w:rsidRDefault="00A306EF" w:rsidP="00F97941">
      <w:pPr>
        <w:pStyle w:val="NumberedParaAR"/>
        <w:numPr>
          <w:ilvl w:val="0"/>
          <w:numId w:val="0"/>
        </w:numPr>
        <w:ind w:firstLine="1134"/>
        <w:rPr>
          <w:rtl/>
          <w:lang w:bidi="ar-EG"/>
        </w:rPr>
      </w:pPr>
      <w:r>
        <w:rPr>
          <w:rtl/>
          <w:lang w:bidi="ar-EG"/>
        </w:rPr>
        <w:t>(ب)</w:t>
      </w:r>
      <w:r>
        <w:rPr>
          <w:rtl/>
          <w:lang w:bidi="ar-EG"/>
        </w:rPr>
        <w:tab/>
        <w:t>يجب أن يتضمن الإخطار أو يبيّن ما يلي:</w:t>
      </w:r>
    </w:p>
    <w:p w:rsidR="00A306EF" w:rsidRDefault="00A306EF" w:rsidP="00F97941">
      <w:pPr>
        <w:pStyle w:val="NumberedParaAR"/>
        <w:numPr>
          <w:ilvl w:val="0"/>
          <w:numId w:val="0"/>
        </w:numPr>
        <w:ind w:firstLine="1701"/>
        <w:rPr>
          <w:rtl/>
          <w:lang w:bidi="ar-EG"/>
        </w:rPr>
      </w:pPr>
      <w:r>
        <w:rPr>
          <w:rtl/>
          <w:lang w:bidi="ar-EG"/>
        </w:rPr>
        <w:t>"1"</w:t>
      </w:r>
      <w:r>
        <w:rPr>
          <w:rtl/>
          <w:lang w:bidi="ar-EG"/>
        </w:rPr>
        <w:tab/>
        <w:t>المكتب الذي وجّه الإخطار،</w:t>
      </w:r>
    </w:p>
    <w:p w:rsidR="00A306EF" w:rsidRDefault="00A306EF" w:rsidP="00F97941">
      <w:pPr>
        <w:pStyle w:val="NumberedParaAR"/>
        <w:numPr>
          <w:ilvl w:val="0"/>
          <w:numId w:val="0"/>
        </w:numPr>
        <w:ind w:firstLine="1701"/>
        <w:rPr>
          <w:rtl/>
          <w:lang w:bidi="ar-EG"/>
        </w:rPr>
      </w:pPr>
      <w:r>
        <w:rPr>
          <w:rtl/>
          <w:lang w:bidi="ar-EG"/>
        </w:rPr>
        <w:t>"2"</w:t>
      </w:r>
      <w:r>
        <w:rPr>
          <w:rtl/>
          <w:lang w:bidi="ar-EG"/>
        </w:rPr>
        <w:tab/>
        <w:t>ورقم التسجيل الدولي،</w:t>
      </w:r>
    </w:p>
    <w:p w:rsidR="00A306EF" w:rsidRDefault="00A306EF" w:rsidP="002E2388">
      <w:pPr>
        <w:pStyle w:val="NumberedParaAR"/>
        <w:numPr>
          <w:ilvl w:val="0"/>
          <w:numId w:val="0"/>
        </w:numPr>
        <w:ind w:firstLine="1701"/>
        <w:rPr>
          <w:rtl/>
          <w:lang w:bidi="ar-EG"/>
        </w:rPr>
      </w:pPr>
      <w:r>
        <w:rPr>
          <w:rtl/>
          <w:lang w:bidi="ar-EG"/>
        </w:rPr>
        <w:t>"3"</w:t>
      </w:r>
      <w:r>
        <w:rPr>
          <w:rtl/>
          <w:lang w:bidi="ar-EG"/>
        </w:rPr>
        <w:tab/>
      </w:r>
      <w:r w:rsidR="009C5BE7">
        <w:rPr>
          <w:rFonts w:hint="cs"/>
          <w:rtl/>
          <w:lang w:bidi="ar-EG"/>
        </w:rPr>
        <w:t xml:space="preserve">والتصاميم </w:t>
      </w:r>
      <w:r>
        <w:rPr>
          <w:rtl/>
          <w:lang w:bidi="ar-EG"/>
        </w:rPr>
        <w:t xml:space="preserve">الصناعية التي يشملها سحب الرفض أو لا يشملها إذا لم يكن سحب الرفض يشمل كل </w:t>
      </w:r>
      <w:r w:rsidR="002E2388">
        <w:rPr>
          <w:rFonts w:hint="cs"/>
          <w:rtl/>
          <w:lang w:bidi="ar-EG"/>
        </w:rPr>
        <w:t>التصاميم</w:t>
      </w:r>
      <w:r>
        <w:rPr>
          <w:rtl/>
          <w:lang w:bidi="ar-EG"/>
        </w:rPr>
        <w:t>،</w:t>
      </w:r>
    </w:p>
    <w:p w:rsidR="00F97941" w:rsidRPr="00267F8C" w:rsidRDefault="00F97941" w:rsidP="002F7BAB">
      <w:pPr>
        <w:pStyle w:val="NumberedParaAR"/>
        <w:numPr>
          <w:ilvl w:val="0"/>
          <w:numId w:val="0"/>
        </w:numPr>
        <w:ind w:firstLine="1701"/>
        <w:rPr>
          <w:u w:val="single"/>
          <w:rtl/>
          <w:lang w:bidi="ar-EG"/>
        </w:rPr>
      </w:pPr>
      <w:r w:rsidRPr="00267F8C">
        <w:rPr>
          <w:rFonts w:hint="cs"/>
          <w:u w:val="single"/>
          <w:rtl/>
          <w:lang w:bidi="ar-EG"/>
        </w:rPr>
        <w:t>"4"</w:t>
      </w:r>
      <w:r w:rsidRPr="00267F8C">
        <w:rPr>
          <w:rFonts w:hint="cs"/>
          <w:u w:val="single"/>
          <w:rtl/>
          <w:lang w:bidi="ar-EG"/>
        </w:rPr>
        <w:tab/>
      </w:r>
      <w:r w:rsidR="004D156B" w:rsidRPr="00267F8C">
        <w:rPr>
          <w:rFonts w:hint="cs"/>
          <w:u w:val="single"/>
          <w:rtl/>
          <w:lang w:bidi="ar-EG"/>
        </w:rPr>
        <w:t xml:space="preserve">والتاريخ الذي أحدث فيه التسجيل الدولي نفس أثر منح الحماية وفقا للقانون </w:t>
      </w:r>
      <w:r w:rsidR="002F7BAB">
        <w:rPr>
          <w:rFonts w:hint="cs"/>
          <w:u w:val="single"/>
          <w:rtl/>
          <w:lang w:bidi="ar-EG"/>
        </w:rPr>
        <w:t>المطبق</w:t>
      </w:r>
      <w:r w:rsidR="004D156B" w:rsidRPr="00267F8C">
        <w:rPr>
          <w:rFonts w:hint="cs"/>
          <w:u w:val="single"/>
          <w:rtl/>
          <w:lang w:bidi="ar-EG"/>
        </w:rPr>
        <w:t>،</w:t>
      </w:r>
    </w:p>
    <w:p w:rsidR="00A306EF" w:rsidRDefault="00A306EF" w:rsidP="00267F8C">
      <w:pPr>
        <w:pStyle w:val="NumberedParaAR"/>
        <w:numPr>
          <w:ilvl w:val="0"/>
          <w:numId w:val="0"/>
        </w:numPr>
        <w:ind w:firstLine="1701"/>
        <w:rPr>
          <w:rtl/>
          <w:lang w:bidi="ar-EG"/>
        </w:rPr>
      </w:pPr>
      <w:r>
        <w:rPr>
          <w:rtl/>
          <w:lang w:bidi="ar-EG"/>
        </w:rPr>
        <w:t>"</w:t>
      </w:r>
      <w:r w:rsidR="00267F8C">
        <w:rPr>
          <w:rFonts w:hint="cs"/>
          <w:rtl/>
          <w:lang w:bidi="ar-EG"/>
        </w:rPr>
        <w:t>5</w:t>
      </w:r>
      <w:r>
        <w:rPr>
          <w:rtl/>
          <w:lang w:bidi="ar-EG"/>
        </w:rPr>
        <w:t>"</w:t>
      </w:r>
      <w:r>
        <w:rPr>
          <w:rtl/>
          <w:lang w:bidi="ar-EG"/>
        </w:rPr>
        <w:tab/>
        <w:t>وتاريخ سحب الرفض.</w:t>
      </w:r>
    </w:p>
    <w:p w:rsidR="00A306EF" w:rsidRPr="0088546D" w:rsidRDefault="00875C7F" w:rsidP="00875C7F">
      <w:pPr>
        <w:pStyle w:val="NumberedParaAR"/>
        <w:numPr>
          <w:ilvl w:val="0"/>
          <w:numId w:val="0"/>
        </w:numPr>
        <w:ind w:firstLine="1134"/>
        <w:rPr>
          <w:u w:val="single"/>
          <w:rtl/>
          <w:lang w:bidi="ar-EG"/>
        </w:rPr>
      </w:pPr>
      <w:r w:rsidRPr="0088546D">
        <w:rPr>
          <w:rFonts w:hint="cs"/>
          <w:u w:val="single"/>
          <w:rtl/>
          <w:lang w:bidi="ar-EG"/>
        </w:rPr>
        <w:t>(ج)</w:t>
      </w:r>
      <w:r w:rsidRPr="0088546D">
        <w:rPr>
          <w:rFonts w:hint="cs"/>
          <w:u w:val="single"/>
          <w:rtl/>
          <w:lang w:bidi="ar-EG"/>
        </w:rPr>
        <w:tab/>
      </w:r>
      <w:r w:rsidR="000F0B6B" w:rsidRPr="0088546D">
        <w:rPr>
          <w:rFonts w:hint="cs"/>
          <w:u w:val="single"/>
          <w:rtl/>
          <w:lang w:bidi="ar-EG"/>
        </w:rPr>
        <w:t xml:space="preserve">يجب أن يتضمن الإخطار أيضا أو يبيّن كل التعديلات إذا عُدل التسجيل الدولي </w:t>
      </w:r>
      <w:r w:rsidR="000F0B6B" w:rsidRPr="00B22F44">
        <w:rPr>
          <w:rFonts w:hint="cs"/>
          <w:u w:val="single"/>
          <w:rtl/>
          <w:lang w:bidi="ar-EG"/>
        </w:rPr>
        <w:t>في إجراء</w:t>
      </w:r>
      <w:r w:rsidR="000F0B6B" w:rsidRPr="0088546D">
        <w:rPr>
          <w:rFonts w:hint="cs"/>
          <w:u w:val="single"/>
          <w:rtl/>
          <w:lang w:bidi="ar-EG"/>
        </w:rPr>
        <w:t xml:space="preserve"> لدى المكتب.</w:t>
      </w:r>
    </w:p>
    <w:p w:rsidR="00A306EF" w:rsidRDefault="00A306EF" w:rsidP="007E4E9D">
      <w:pPr>
        <w:pStyle w:val="NumberedParaAR"/>
        <w:numPr>
          <w:ilvl w:val="0"/>
          <w:numId w:val="0"/>
        </w:numPr>
        <w:rPr>
          <w:rtl/>
          <w:lang w:bidi="ar-EG"/>
        </w:rPr>
      </w:pPr>
      <w:r>
        <w:rPr>
          <w:rFonts w:hint="cs"/>
          <w:rtl/>
          <w:lang w:bidi="ar-EG"/>
        </w:rPr>
        <w:t>[...]</w:t>
      </w:r>
    </w:p>
    <w:p w:rsidR="0088546D" w:rsidRPr="0099386D" w:rsidRDefault="0088546D" w:rsidP="0099386D">
      <w:pPr>
        <w:pStyle w:val="NumberedParaAR"/>
        <w:keepNext/>
        <w:numPr>
          <w:ilvl w:val="0"/>
          <w:numId w:val="0"/>
        </w:numPr>
        <w:jc w:val="center"/>
        <w:rPr>
          <w:i/>
          <w:iCs/>
          <w:rtl/>
          <w:lang w:bidi="ar-EG"/>
        </w:rPr>
      </w:pPr>
      <w:r w:rsidRPr="0099386D">
        <w:rPr>
          <w:rFonts w:hint="cs"/>
          <w:i/>
          <w:iCs/>
          <w:rtl/>
          <w:lang w:bidi="ar-EG"/>
        </w:rPr>
        <w:t>القاعدة 18(ثانيا)</w:t>
      </w:r>
    </w:p>
    <w:p w:rsidR="0088546D" w:rsidRPr="0099386D" w:rsidRDefault="0099386D" w:rsidP="0099386D">
      <w:pPr>
        <w:pStyle w:val="NumberedParaAR"/>
        <w:keepNext/>
        <w:numPr>
          <w:ilvl w:val="0"/>
          <w:numId w:val="0"/>
        </w:numPr>
        <w:jc w:val="center"/>
        <w:rPr>
          <w:i/>
          <w:iCs/>
          <w:rtl/>
          <w:lang w:bidi="ar-EG"/>
        </w:rPr>
      </w:pPr>
      <w:r w:rsidRPr="0099386D">
        <w:rPr>
          <w:rFonts w:hint="cs"/>
          <w:i/>
          <w:iCs/>
          <w:rtl/>
          <w:lang w:bidi="ar-EG"/>
        </w:rPr>
        <w:t>بيان بمنح الحماية</w:t>
      </w:r>
    </w:p>
    <w:p w:rsidR="000B57D6" w:rsidRDefault="000B57D6" w:rsidP="00AD465C">
      <w:pPr>
        <w:pStyle w:val="NumberedParaAR"/>
        <w:numPr>
          <w:ilvl w:val="0"/>
          <w:numId w:val="0"/>
        </w:numPr>
        <w:rPr>
          <w:rtl/>
          <w:lang w:bidi="ar-EG"/>
        </w:rPr>
      </w:pPr>
      <w:r>
        <w:rPr>
          <w:rtl/>
          <w:lang w:bidi="ar-EG"/>
        </w:rPr>
        <w:tab/>
        <w:t>(1)</w:t>
      </w:r>
      <w:r>
        <w:rPr>
          <w:rtl/>
          <w:lang w:bidi="ar-EG"/>
        </w:rPr>
        <w:tab/>
        <w:t>[</w:t>
      </w:r>
      <w:r w:rsidRPr="00325726">
        <w:rPr>
          <w:i/>
          <w:iCs/>
          <w:rtl/>
          <w:lang w:bidi="ar-EG"/>
        </w:rPr>
        <w:t>بيان بمنح الحماية في حال لم يبلّغ أي إخطار بالرفض</w:t>
      </w:r>
      <w:r>
        <w:rPr>
          <w:rtl/>
          <w:lang w:bidi="ar-EG"/>
        </w:rPr>
        <w:t xml:space="preserve">] (أ) يجوز للمكتب الذي لم يبلّغ إخطارا بالرفض أن يرسل إلى المكتب الدولي، خلال الفترة المطبقة بناء على القاعدة 18(1)(أ) أو (ب)، بيانا بأن الحماية ممنوحة </w:t>
      </w:r>
      <w:r w:rsidR="00AD465C">
        <w:rPr>
          <w:rFonts w:hint="cs"/>
          <w:rtl/>
          <w:lang w:bidi="ar-EG"/>
        </w:rPr>
        <w:t xml:space="preserve">للتصاميم </w:t>
      </w:r>
      <w:r>
        <w:rPr>
          <w:rtl/>
          <w:lang w:bidi="ar-EG"/>
        </w:rPr>
        <w:t>الصناعية</w:t>
      </w:r>
      <w:r w:rsidR="002E6137" w:rsidRPr="002E6137">
        <w:rPr>
          <w:rFonts w:hint="cs"/>
          <w:u w:val="single"/>
          <w:rtl/>
          <w:lang w:bidi="ar-EG"/>
        </w:rPr>
        <w:t xml:space="preserve">، أو بعض التصاميم الصناعية، </w:t>
      </w:r>
      <w:r w:rsidR="00A70946" w:rsidRPr="00A70946">
        <w:rPr>
          <w:rFonts w:hint="cs"/>
          <w:u w:val="single"/>
          <w:rtl/>
          <w:lang w:bidi="ar-EG"/>
        </w:rPr>
        <w:t>حسب الحال</w:t>
      </w:r>
      <w:r w:rsidR="002E6137" w:rsidRPr="002E6137">
        <w:rPr>
          <w:rFonts w:hint="cs"/>
          <w:u w:val="single"/>
          <w:rtl/>
          <w:lang w:bidi="ar-EG"/>
        </w:rPr>
        <w:t>،</w:t>
      </w:r>
      <w:r>
        <w:rPr>
          <w:rtl/>
          <w:lang w:bidi="ar-EG"/>
        </w:rPr>
        <w:t xml:space="preserve"> محل التسجيل الدولي لدى الطرف المتعاقد المعني، علما بأن منح الحماية، في حال تطبيق القاعدة 12(3)، يكون رهنا بتسديد الدفعة الثانية من رسم التعيين الفردي.</w:t>
      </w:r>
    </w:p>
    <w:p w:rsidR="000B57D6" w:rsidRDefault="000B57D6" w:rsidP="003C2E91">
      <w:pPr>
        <w:pStyle w:val="NumberedParaAR"/>
        <w:numPr>
          <w:ilvl w:val="0"/>
          <w:numId w:val="0"/>
        </w:numPr>
        <w:ind w:firstLine="1134"/>
        <w:rPr>
          <w:rtl/>
          <w:lang w:bidi="ar-EG"/>
        </w:rPr>
      </w:pPr>
      <w:r>
        <w:rPr>
          <w:rtl/>
          <w:lang w:bidi="ar-EG"/>
        </w:rPr>
        <w:lastRenderedPageBreak/>
        <w:t>(ب)</w:t>
      </w:r>
      <w:r>
        <w:rPr>
          <w:rtl/>
          <w:lang w:bidi="ar-EG"/>
        </w:rPr>
        <w:tab/>
        <w:t>يرد في البيان ذكر ما يلي:</w:t>
      </w:r>
    </w:p>
    <w:p w:rsidR="000B57D6" w:rsidRDefault="000B57D6" w:rsidP="005D3CE0">
      <w:pPr>
        <w:pStyle w:val="NumberedParaAR"/>
        <w:numPr>
          <w:ilvl w:val="0"/>
          <w:numId w:val="0"/>
        </w:numPr>
        <w:ind w:firstLine="1701"/>
        <w:rPr>
          <w:rtl/>
          <w:lang w:bidi="ar-EG"/>
        </w:rPr>
      </w:pPr>
      <w:r>
        <w:rPr>
          <w:rtl/>
          <w:lang w:bidi="ar-EG"/>
        </w:rPr>
        <w:t>"1"</w:t>
      </w:r>
      <w:r>
        <w:rPr>
          <w:rtl/>
          <w:lang w:bidi="ar-EG"/>
        </w:rPr>
        <w:tab/>
        <w:t>المكتب الذي وجّه البيان،</w:t>
      </w:r>
    </w:p>
    <w:p w:rsidR="000B57D6" w:rsidRDefault="000B57D6" w:rsidP="005D3CE0">
      <w:pPr>
        <w:pStyle w:val="NumberedParaAR"/>
        <w:numPr>
          <w:ilvl w:val="0"/>
          <w:numId w:val="0"/>
        </w:numPr>
        <w:ind w:firstLine="1701"/>
        <w:rPr>
          <w:rtl/>
          <w:lang w:bidi="ar-EG"/>
        </w:rPr>
      </w:pPr>
      <w:r>
        <w:rPr>
          <w:rtl/>
          <w:lang w:bidi="ar-EG"/>
        </w:rPr>
        <w:t>"2"</w:t>
      </w:r>
      <w:r>
        <w:rPr>
          <w:rtl/>
          <w:lang w:bidi="ar-EG"/>
        </w:rPr>
        <w:tab/>
        <w:t>ورقم التسجيل الدولي،</w:t>
      </w:r>
    </w:p>
    <w:p w:rsidR="009B32B8" w:rsidRPr="00A7344C" w:rsidRDefault="009B32B8" w:rsidP="00CD0AD9">
      <w:pPr>
        <w:pStyle w:val="NumberedParaAR"/>
        <w:numPr>
          <w:ilvl w:val="0"/>
          <w:numId w:val="0"/>
        </w:numPr>
        <w:ind w:firstLine="1701"/>
        <w:rPr>
          <w:u w:val="single"/>
          <w:rtl/>
          <w:lang w:bidi="ar-EG"/>
        </w:rPr>
      </w:pPr>
      <w:r>
        <w:rPr>
          <w:rFonts w:hint="cs"/>
          <w:rtl/>
          <w:lang w:bidi="ar-EG"/>
        </w:rPr>
        <w:t>"3"</w:t>
      </w:r>
      <w:r>
        <w:rPr>
          <w:rFonts w:hint="cs"/>
          <w:rtl/>
          <w:lang w:bidi="ar-EG"/>
        </w:rPr>
        <w:tab/>
      </w:r>
      <w:r w:rsidR="008D69C6" w:rsidRPr="00CD0AD9">
        <w:rPr>
          <w:rFonts w:hint="cs"/>
          <w:u w:val="single"/>
          <w:rtl/>
          <w:lang w:bidi="ar-EG"/>
        </w:rPr>
        <w:t xml:space="preserve">والتصاميم </w:t>
      </w:r>
      <w:r w:rsidR="008D69C6" w:rsidRPr="00CD0AD9">
        <w:rPr>
          <w:u w:val="single"/>
          <w:rtl/>
          <w:lang w:bidi="ar-EG"/>
        </w:rPr>
        <w:t xml:space="preserve">الصناعية التي يشملها التسجيل الدولي إذا لم يكن البيان يشمل كل </w:t>
      </w:r>
      <w:r w:rsidR="008D69C6" w:rsidRPr="00CD0AD9">
        <w:rPr>
          <w:rFonts w:hint="cs"/>
          <w:u w:val="single"/>
          <w:rtl/>
          <w:lang w:bidi="ar-EG"/>
        </w:rPr>
        <w:t>التصاميم</w:t>
      </w:r>
      <w:r w:rsidR="008D69C6" w:rsidRPr="00CD0AD9">
        <w:rPr>
          <w:u w:val="single"/>
          <w:rtl/>
          <w:lang w:bidi="ar-EG"/>
        </w:rPr>
        <w:t>،</w:t>
      </w:r>
    </w:p>
    <w:p w:rsidR="009B32B8" w:rsidRPr="00A140A3" w:rsidRDefault="009B32B8" w:rsidP="002F7BAB">
      <w:pPr>
        <w:pStyle w:val="NumberedParaAR"/>
        <w:numPr>
          <w:ilvl w:val="0"/>
          <w:numId w:val="0"/>
        </w:numPr>
        <w:ind w:firstLine="1701"/>
        <w:rPr>
          <w:u w:val="single"/>
          <w:rtl/>
          <w:lang w:bidi="ar-EG"/>
        </w:rPr>
      </w:pPr>
      <w:r w:rsidRPr="00A140A3">
        <w:rPr>
          <w:rFonts w:hint="cs"/>
          <w:u w:val="single"/>
          <w:rtl/>
          <w:lang w:bidi="ar-EG"/>
        </w:rPr>
        <w:t>"4"</w:t>
      </w:r>
      <w:r w:rsidRPr="00A140A3">
        <w:rPr>
          <w:rFonts w:hint="cs"/>
          <w:u w:val="single"/>
          <w:rtl/>
          <w:lang w:bidi="ar-EG"/>
        </w:rPr>
        <w:tab/>
      </w:r>
      <w:r w:rsidR="00323A7C" w:rsidRPr="00A140A3">
        <w:rPr>
          <w:rFonts w:hint="cs"/>
          <w:u w:val="single"/>
          <w:rtl/>
          <w:lang w:bidi="ar-EG"/>
        </w:rPr>
        <w:t xml:space="preserve">والتاريخ </w:t>
      </w:r>
      <w:r w:rsidR="00A140A3" w:rsidRPr="00A140A3">
        <w:rPr>
          <w:rFonts w:hint="cs"/>
          <w:u w:val="single"/>
          <w:rtl/>
          <w:lang w:bidi="ar-EG"/>
        </w:rPr>
        <w:t xml:space="preserve">الذي أحدث فيه التسجيل الدولي، أو سيُحدث فيه، نفس أثر منح الحماية وفقا للقانون </w:t>
      </w:r>
      <w:r w:rsidR="002F7BAB">
        <w:rPr>
          <w:rFonts w:hint="cs"/>
          <w:u w:val="single"/>
          <w:rtl/>
          <w:lang w:bidi="ar-EG"/>
        </w:rPr>
        <w:t>المطبق</w:t>
      </w:r>
      <w:r w:rsidR="00A140A3" w:rsidRPr="00A140A3">
        <w:rPr>
          <w:rFonts w:hint="cs"/>
          <w:u w:val="single"/>
          <w:rtl/>
          <w:lang w:bidi="ar-EG"/>
        </w:rPr>
        <w:t>،</w:t>
      </w:r>
    </w:p>
    <w:p w:rsidR="009B32B8" w:rsidRDefault="000B57D6" w:rsidP="009B32B8">
      <w:pPr>
        <w:pStyle w:val="NumberedParaAR"/>
        <w:numPr>
          <w:ilvl w:val="0"/>
          <w:numId w:val="0"/>
        </w:numPr>
        <w:ind w:firstLine="1701"/>
        <w:rPr>
          <w:rtl/>
          <w:lang w:bidi="ar-EG"/>
        </w:rPr>
      </w:pPr>
      <w:r w:rsidRPr="00A140A3">
        <w:rPr>
          <w:u w:val="single"/>
          <w:rtl/>
          <w:lang w:bidi="ar-EG"/>
        </w:rPr>
        <w:t>"</w:t>
      </w:r>
      <w:r w:rsidR="009B32B8" w:rsidRPr="00A140A3">
        <w:rPr>
          <w:rFonts w:hint="cs"/>
          <w:u w:val="single"/>
          <w:rtl/>
          <w:lang w:bidi="ar-EG"/>
        </w:rPr>
        <w:t>5</w:t>
      </w:r>
      <w:r w:rsidRPr="00A140A3">
        <w:rPr>
          <w:u w:val="single"/>
          <w:rtl/>
          <w:lang w:bidi="ar-EG"/>
        </w:rPr>
        <w:t>"</w:t>
      </w:r>
      <w:r w:rsidRPr="00A140A3">
        <w:rPr>
          <w:u w:val="single"/>
          <w:rtl/>
          <w:lang w:bidi="ar-EG"/>
        </w:rPr>
        <w:tab/>
      </w:r>
      <w:r>
        <w:rPr>
          <w:rtl/>
          <w:lang w:bidi="ar-EG"/>
        </w:rPr>
        <w:t>وتاريخ البيان.</w:t>
      </w:r>
    </w:p>
    <w:p w:rsidR="009B32B8" w:rsidRPr="00EE6BC7" w:rsidRDefault="009777E0" w:rsidP="00CC0072">
      <w:pPr>
        <w:pStyle w:val="NumberedParaAR"/>
        <w:numPr>
          <w:ilvl w:val="0"/>
          <w:numId w:val="0"/>
        </w:numPr>
        <w:ind w:firstLine="1134"/>
        <w:rPr>
          <w:u w:val="single"/>
          <w:rtl/>
          <w:lang w:bidi="ar-EG"/>
        </w:rPr>
      </w:pPr>
      <w:r w:rsidRPr="00EE6BC7">
        <w:rPr>
          <w:rFonts w:hint="cs"/>
          <w:u w:val="single"/>
          <w:rtl/>
          <w:lang w:bidi="ar-EG"/>
        </w:rPr>
        <w:t>(ج)</w:t>
      </w:r>
      <w:r w:rsidRPr="00EE6BC7">
        <w:rPr>
          <w:rFonts w:hint="cs"/>
          <w:u w:val="single"/>
          <w:rtl/>
          <w:lang w:bidi="ar-EG"/>
        </w:rPr>
        <w:tab/>
      </w:r>
      <w:r w:rsidR="00EE6BC7" w:rsidRPr="00EE6BC7">
        <w:rPr>
          <w:rFonts w:hint="cs"/>
          <w:u w:val="single"/>
          <w:rtl/>
          <w:lang w:bidi="ar-EG"/>
        </w:rPr>
        <w:t xml:space="preserve">ويجب أن يتضمن البيان أيضا أو يبيّن كل التعديلات إذا عُدل التسجيل الدولي في إجراء </w:t>
      </w:r>
      <w:r w:rsidR="00CC0072">
        <w:rPr>
          <w:rFonts w:hint="cs"/>
          <w:u w:val="single"/>
          <w:rtl/>
          <w:lang w:bidi="ar-EG"/>
        </w:rPr>
        <w:t xml:space="preserve">اتخذه </w:t>
      </w:r>
      <w:r w:rsidR="00CC0072" w:rsidRPr="00EE6BC7">
        <w:rPr>
          <w:rFonts w:hint="cs"/>
          <w:u w:val="single"/>
          <w:rtl/>
          <w:lang w:bidi="ar-EG"/>
        </w:rPr>
        <w:t xml:space="preserve">صاحب التسجيل الدولي </w:t>
      </w:r>
      <w:r w:rsidR="00EE6BC7" w:rsidRPr="00EE6BC7">
        <w:rPr>
          <w:rFonts w:hint="cs"/>
          <w:u w:val="single"/>
          <w:rtl/>
          <w:lang w:bidi="ar-EG"/>
        </w:rPr>
        <w:t>لدى المكتب.</w:t>
      </w:r>
    </w:p>
    <w:p w:rsidR="00EE6BC7" w:rsidRPr="003360B0" w:rsidRDefault="00EE6BC7" w:rsidP="00E414A6">
      <w:pPr>
        <w:pStyle w:val="NumberedParaAR"/>
        <w:numPr>
          <w:ilvl w:val="0"/>
          <w:numId w:val="0"/>
        </w:numPr>
        <w:ind w:firstLine="1134"/>
        <w:rPr>
          <w:u w:val="single"/>
          <w:rtl/>
          <w:lang w:bidi="ar-EG"/>
        </w:rPr>
      </w:pPr>
      <w:r w:rsidRPr="003360B0">
        <w:rPr>
          <w:rFonts w:hint="cs"/>
          <w:u w:val="single"/>
          <w:rtl/>
          <w:lang w:bidi="ar-EG"/>
        </w:rPr>
        <w:t>(د)</w:t>
      </w:r>
      <w:r w:rsidRPr="003360B0">
        <w:rPr>
          <w:rFonts w:hint="cs"/>
          <w:u w:val="single"/>
          <w:rtl/>
          <w:lang w:bidi="ar-EG"/>
        </w:rPr>
        <w:tab/>
      </w:r>
      <w:r w:rsidR="00882F13" w:rsidRPr="003360B0">
        <w:rPr>
          <w:rFonts w:hint="cs"/>
          <w:u w:val="single"/>
          <w:rtl/>
          <w:lang w:bidi="ar-EG"/>
        </w:rPr>
        <w:t xml:space="preserve">رغم ما ذُكر في الفقرة الفرعية (أ)، </w:t>
      </w:r>
      <w:r w:rsidR="00FB546F" w:rsidRPr="003360B0">
        <w:rPr>
          <w:rFonts w:hint="cs"/>
          <w:u w:val="single"/>
          <w:rtl/>
          <w:lang w:bidi="ar-EG"/>
        </w:rPr>
        <w:t xml:space="preserve">فإنه إذا انطبقت القاعدة 18(1)(ج)"1" أو "2"، حسب الحال، أو إذا مُنحت الحماية للتصاميم الصناعية </w:t>
      </w:r>
      <w:r w:rsidR="00FB546F" w:rsidRPr="00E414A6">
        <w:rPr>
          <w:rFonts w:hint="cs"/>
          <w:u w:val="single"/>
          <w:rtl/>
          <w:lang w:bidi="ar-EG"/>
        </w:rPr>
        <w:t>عقب إدخال</w:t>
      </w:r>
      <w:r w:rsidR="00E414A6">
        <w:rPr>
          <w:rFonts w:hint="cs"/>
          <w:u w:val="single"/>
          <w:rtl/>
          <w:lang w:bidi="ar-EG"/>
        </w:rPr>
        <w:t xml:space="preserve"> تعديلات في إجراء اتخذه </w:t>
      </w:r>
      <w:r w:rsidR="00E414A6" w:rsidRPr="003360B0">
        <w:rPr>
          <w:rFonts w:hint="cs"/>
          <w:u w:val="single"/>
          <w:rtl/>
          <w:lang w:bidi="ar-EG"/>
        </w:rPr>
        <w:t>صاحب التسجيل الدولي</w:t>
      </w:r>
      <w:r w:rsidR="00E414A6">
        <w:rPr>
          <w:rFonts w:hint="cs"/>
          <w:u w:val="single"/>
          <w:rtl/>
          <w:lang w:bidi="ar-EG"/>
        </w:rPr>
        <w:t xml:space="preserve"> لدى المكتب</w:t>
      </w:r>
      <w:r w:rsidR="00827C71" w:rsidRPr="003360B0">
        <w:rPr>
          <w:rFonts w:hint="cs"/>
          <w:u w:val="single"/>
          <w:rtl/>
          <w:lang w:bidi="ar-EG"/>
        </w:rPr>
        <w:t xml:space="preserve">، </w:t>
      </w:r>
      <w:r w:rsidR="003360B0" w:rsidRPr="003360B0">
        <w:rPr>
          <w:rFonts w:hint="cs"/>
          <w:u w:val="single"/>
          <w:rtl/>
          <w:lang w:bidi="ar-EG"/>
        </w:rPr>
        <w:t>فإن المكتب المذكور يجب أن يرسل إلى المكتب الدولي البيان المشار إليه في الفقرة الفرعية (أ).</w:t>
      </w:r>
    </w:p>
    <w:p w:rsidR="003360B0" w:rsidRPr="00835EC0" w:rsidRDefault="007B1F16" w:rsidP="00640B19">
      <w:pPr>
        <w:pStyle w:val="NumberedParaAR"/>
        <w:numPr>
          <w:ilvl w:val="0"/>
          <w:numId w:val="0"/>
        </w:numPr>
        <w:ind w:firstLine="1134"/>
        <w:rPr>
          <w:u w:val="single"/>
          <w:rtl/>
          <w:lang w:bidi="ar-EG"/>
        </w:rPr>
      </w:pPr>
      <w:r w:rsidRPr="00835EC0">
        <w:rPr>
          <w:rFonts w:hint="cs"/>
          <w:u w:val="single"/>
          <w:rtl/>
          <w:lang w:bidi="ar-EG"/>
        </w:rPr>
        <w:t>(ه)</w:t>
      </w:r>
      <w:r w:rsidRPr="00835EC0">
        <w:rPr>
          <w:rFonts w:hint="cs"/>
          <w:u w:val="single"/>
          <w:rtl/>
          <w:lang w:bidi="ar-EG"/>
        </w:rPr>
        <w:tab/>
      </w:r>
      <w:r w:rsidR="004561AF" w:rsidRPr="00835EC0">
        <w:rPr>
          <w:rFonts w:hint="cs"/>
          <w:u w:val="single"/>
          <w:rtl/>
          <w:lang w:bidi="ar-EG"/>
        </w:rPr>
        <w:t xml:space="preserve">يجب أن تكون الفترة المطبقة المشار إليها في الفقرة الفرعية (أ) هي الفترة المسموح بها </w:t>
      </w:r>
      <w:r w:rsidR="00640B19">
        <w:rPr>
          <w:rFonts w:hint="cs"/>
          <w:u w:val="single"/>
          <w:rtl/>
          <w:lang w:bidi="ar-EG"/>
        </w:rPr>
        <w:t>وفقا ل</w:t>
      </w:r>
      <w:r w:rsidR="004561AF" w:rsidRPr="00835EC0">
        <w:rPr>
          <w:rFonts w:hint="cs"/>
          <w:u w:val="single"/>
          <w:rtl/>
          <w:lang w:bidi="ar-EG"/>
        </w:rPr>
        <w:t xml:space="preserve">لقاعدة 18(1)(ج)"1" أو "2"، حسب الحال، </w:t>
      </w:r>
      <w:r w:rsidR="00835EC0" w:rsidRPr="00835EC0">
        <w:rPr>
          <w:rFonts w:hint="cs"/>
          <w:u w:val="single"/>
          <w:rtl/>
          <w:lang w:bidi="ar-EG"/>
        </w:rPr>
        <w:t xml:space="preserve">لكي تُحدث نفس أثر منح الحماية وفقا للقانون </w:t>
      </w:r>
      <w:r w:rsidR="002F7BAB">
        <w:rPr>
          <w:rFonts w:hint="cs"/>
          <w:u w:val="single"/>
          <w:rtl/>
          <w:lang w:bidi="ar-EG"/>
        </w:rPr>
        <w:t>المطبق</w:t>
      </w:r>
      <w:r w:rsidR="00835EC0" w:rsidRPr="00835EC0">
        <w:rPr>
          <w:rFonts w:hint="cs"/>
          <w:u w:val="single"/>
          <w:rtl/>
          <w:lang w:bidi="ar-EG"/>
        </w:rPr>
        <w:t>، فيما يتعلق بتعيين طرف متعاقد أصدر إعلانا وفقا لأي من القاعدتين المذكورتين.</w:t>
      </w:r>
    </w:p>
    <w:p w:rsidR="000B57D6" w:rsidRDefault="000B57D6" w:rsidP="00C92326">
      <w:pPr>
        <w:pStyle w:val="NumberedParaAR"/>
        <w:numPr>
          <w:ilvl w:val="0"/>
          <w:numId w:val="0"/>
        </w:numPr>
        <w:rPr>
          <w:rtl/>
          <w:lang w:bidi="ar-EG"/>
        </w:rPr>
      </w:pPr>
      <w:r>
        <w:rPr>
          <w:rtl/>
          <w:lang w:bidi="ar-EG"/>
        </w:rPr>
        <w:tab/>
        <w:t>(2)</w:t>
      </w:r>
      <w:r>
        <w:rPr>
          <w:rtl/>
          <w:lang w:bidi="ar-EG"/>
        </w:rPr>
        <w:tab/>
        <w:t>[</w:t>
      </w:r>
      <w:r w:rsidRPr="00065C01">
        <w:rPr>
          <w:i/>
          <w:iCs/>
          <w:rtl/>
          <w:lang w:bidi="ar-EG"/>
        </w:rPr>
        <w:t>بيان بمنح الحماية عقب الرفض</w:t>
      </w:r>
      <w:r>
        <w:rPr>
          <w:rtl/>
          <w:lang w:bidi="ar-EG"/>
        </w:rPr>
        <w:t xml:space="preserve">] (أ) يجوز للمكتب الذي بلّغ إخطارا بالرفض وقرر سحب الرفض إما كليا وإما جزئيا، بدلا من أن يخطر بسحب الرفض وفقا للقاعدة 18(4)(أ)، أن يرسل إلى المكتب الدولي بيانا بأن الحماية ممنوحة </w:t>
      </w:r>
      <w:r w:rsidR="00C92326">
        <w:rPr>
          <w:rFonts w:hint="cs"/>
          <w:rtl/>
          <w:lang w:bidi="ar-EG"/>
        </w:rPr>
        <w:t xml:space="preserve">للتصاميم </w:t>
      </w:r>
      <w:r>
        <w:rPr>
          <w:rtl/>
          <w:lang w:bidi="ar-EG"/>
        </w:rPr>
        <w:t>الصناعية كلها أو بعضها، حسب الحال، مما هو محل التسجيل الدولي لدى الطرف المتعاقد المعني، علما بأن منح الحماية يكون رهنا بتسديد الدفعة الثانية من رسم التعيين الفردي في حال تطبيق القاعدة 12(3).</w:t>
      </w:r>
    </w:p>
    <w:p w:rsidR="000B57D6" w:rsidRDefault="000B57D6" w:rsidP="0030107E">
      <w:pPr>
        <w:pStyle w:val="NumberedParaAR"/>
        <w:numPr>
          <w:ilvl w:val="0"/>
          <w:numId w:val="0"/>
        </w:numPr>
        <w:ind w:firstLine="1134"/>
        <w:rPr>
          <w:rtl/>
          <w:lang w:bidi="ar-EG"/>
        </w:rPr>
      </w:pPr>
      <w:r>
        <w:rPr>
          <w:rtl/>
          <w:lang w:bidi="ar-EG"/>
        </w:rPr>
        <w:t>(ب)</w:t>
      </w:r>
      <w:r>
        <w:rPr>
          <w:rtl/>
          <w:lang w:bidi="ar-EG"/>
        </w:rPr>
        <w:tab/>
        <w:t>يرد في البيان ذكر ما يلي:</w:t>
      </w:r>
    </w:p>
    <w:p w:rsidR="000B57D6" w:rsidRDefault="000B57D6" w:rsidP="0030107E">
      <w:pPr>
        <w:pStyle w:val="NumberedParaAR"/>
        <w:numPr>
          <w:ilvl w:val="0"/>
          <w:numId w:val="0"/>
        </w:numPr>
        <w:ind w:firstLine="1701"/>
        <w:rPr>
          <w:rtl/>
          <w:lang w:bidi="ar-EG"/>
        </w:rPr>
      </w:pPr>
      <w:r>
        <w:rPr>
          <w:rtl/>
          <w:lang w:bidi="ar-EG"/>
        </w:rPr>
        <w:t>"1"</w:t>
      </w:r>
      <w:r>
        <w:rPr>
          <w:rtl/>
          <w:lang w:bidi="ar-EG"/>
        </w:rPr>
        <w:tab/>
        <w:t>المكتب الذي وجّه الإخطار،</w:t>
      </w:r>
    </w:p>
    <w:p w:rsidR="000B57D6" w:rsidRDefault="000B57D6" w:rsidP="0030107E">
      <w:pPr>
        <w:pStyle w:val="NumberedParaAR"/>
        <w:numPr>
          <w:ilvl w:val="0"/>
          <w:numId w:val="0"/>
        </w:numPr>
        <w:ind w:firstLine="1701"/>
        <w:rPr>
          <w:rtl/>
          <w:lang w:bidi="ar-EG"/>
        </w:rPr>
      </w:pPr>
      <w:r>
        <w:rPr>
          <w:rtl/>
          <w:lang w:bidi="ar-EG"/>
        </w:rPr>
        <w:t>"2"</w:t>
      </w:r>
      <w:r>
        <w:rPr>
          <w:rtl/>
          <w:lang w:bidi="ar-EG"/>
        </w:rPr>
        <w:tab/>
        <w:t>ورقم التسجيل الدولي،</w:t>
      </w:r>
    </w:p>
    <w:p w:rsidR="000B57D6" w:rsidRDefault="000B57D6" w:rsidP="0030107E">
      <w:pPr>
        <w:pStyle w:val="NumberedParaAR"/>
        <w:numPr>
          <w:ilvl w:val="0"/>
          <w:numId w:val="0"/>
        </w:numPr>
        <w:ind w:firstLine="1701"/>
        <w:rPr>
          <w:rtl/>
          <w:lang w:bidi="ar-EG"/>
        </w:rPr>
      </w:pPr>
      <w:r>
        <w:rPr>
          <w:rtl/>
          <w:lang w:bidi="ar-EG"/>
        </w:rPr>
        <w:t>"3"</w:t>
      </w:r>
      <w:r>
        <w:rPr>
          <w:rtl/>
          <w:lang w:bidi="ar-EG"/>
        </w:rPr>
        <w:tab/>
      </w:r>
      <w:r w:rsidR="0082390E">
        <w:rPr>
          <w:rFonts w:hint="cs"/>
          <w:rtl/>
          <w:lang w:bidi="ar-EG"/>
        </w:rPr>
        <w:t xml:space="preserve">والتصاميم </w:t>
      </w:r>
      <w:r>
        <w:rPr>
          <w:rtl/>
          <w:lang w:bidi="ar-EG"/>
        </w:rPr>
        <w:t xml:space="preserve">الصناعية التي يشملها التسجيل الدولي أو لا يشملها إذا لم يكن البيان يشمل كل </w:t>
      </w:r>
      <w:r w:rsidR="0044701C">
        <w:rPr>
          <w:rFonts w:hint="cs"/>
          <w:rtl/>
          <w:lang w:bidi="ar-EG"/>
        </w:rPr>
        <w:t>التصاميم</w:t>
      </w:r>
      <w:r>
        <w:rPr>
          <w:rtl/>
          <w:lang w:bidi="ar-EG"/>
        </w:rPr>
        <w:t>،</w:t>
      </w:r>
    </w:p>
    <w:p w:rsidR="003B3BAC" w:rsidRPr="00737C15" w:rsidRDefault="003B3BAC" w:rsidP="002F7BAB">
      <w:pPr>
        <w:pStyle w:val="NumberedParaAR"/>
        <w:numPr>
          <w:ilvl w:val="0"/>
          <w:numId w:val="0"/>
        </w:numPr>
        <w:ind w:firstLine="1701"/>
        <w:rPr>
          <w:u w:val="single"/>
          <w:rtl/>
          <w:lang w:bidi="ar-EG"/>
        </w:rPr>
      </w:pPr>
      <w:r>
        <w:rPr>
          <w:rFonts w:hint="cs"/>
          <w:rtl/>
          <w:lang w:bidi="ar-EG"/>
        </w:rPr>
        <w:t>"4"</w:t>
      </w:r>
      <w:r>
        <w:rPr>
          <w:rFonts w:hint="cs"/>
          <w:rtl/>
          <w:lang w:bidi="ar-EG"/>
        </w:rPr>
        <w:tab/>
      </w:r>
      <w:r w:rsidR="00737C15" w:rsidRPr="00737C15">
        <w:rPr>
          <w:rFonts w:hint="cs"/>
          <w:u w:val="single"/>
          <w:rtl/>
          <w:lang w:bidi="ar-EG"/>
        </w:rPr>
        <w:t xml:space="preserve">والتاريخ الذي أحدث فيه التسجيل الدولي نفس أثر منح الحماية وفقا للقانون </w:t>
      </w:r>
      <w:r w:rsidR="002F7BAB">
        <w:rPr>
          <w:rFonts w:hint="cs"/>
          <w:u w:val="single"/>
          <w:rtl/>
          <w:lang w:bidi="ar-EG"/>
        </w:rPr>
        <w:t>المطبق</w:t>
      </w:r>
      <w:r w:rsidR="00737C15" w:rsidRPr="00737C15">
        <w:rPr>
          <w:rFonts w:hint="cs"/>
          <w:u w:val="single"/>
          <w:rtl/>
          <w:lang w:bidi="ar-EG"/>
        </w:rPr>
        <w:t>،</w:t>
      </w:r>
    </w:p>
    <w:p w:rsidR="0099386D" w:rsidRDefault="00737C15" w:rsidP="0030107E">
      <w:pPr>
        <w:pStyle w:val="NumberedParaAR"/>
        <w:numPr>
          <w:ilvl w:val="0"/>
          <w:numId w:val="0"/>
        </w:numPr>
        <w:ind w:firstLine="1701"/>
        <w:rPr>
          <w:rtl/>
          <w:lang w:bidi="ar-EG"/>
        </w:rPr>
      </w:pPr>
      <w:r w:rsidRPr="00737C15">
        <w:rPr>
          <w:rFonts w:hint="cs"/>
          <w:u w:val="single"/>
          <w:rtl/>
          <w:lang w:bidi="ar-EG"/>
        </w:rPr>
        <w:t>"5"</w:t>
      </w:r>
      <w:r w:rsidRPr="00737C15">
        <w:rPr>
          <w:rFonts w:hint="cs"/>
          <w:u w:val="single"/>
          <w:rtl/>
          <w:lang w:bidi="ar-EG"/>
        </w:rPr>
        <w:tab/>
      </w:r>
      <w:r w:rsidR="000B57D6">
        <w:rPr>
          <w:rtl/>
          <w:lang w:bidi="ar-EG"/>
        </w:rPr>
        <w:t>وتاريخ البيان.</w:t>
      </w:r>
    </w:p>
    <w:p w:rsidR="0030107E" w:rsidRPr="00572CCA" w:rsidRDefault="00737C15" w:rsidP="00737C15">
      <w:pPr>
        <w:pStyle w:val="NumberedParaAR"/>
        <w:numPr>
          <w:ilvl w:val="0"/>
          <w:numId w:val="0"/>
        </w:numPr>
        <w:ind w:firstLine="1134"/>
        <w:rPr>
          <w:u w:val="single"/>
          <w:rtl/>
          <w:lang w:bidi="ar-EG"/>
        </w:rPr>
      </w:pPr>
      <w:r w:rsidRPr="00572CCA">
        <w:rPr>
          <w:rFonts w:hint="cs"/>
          <w:u w:val="single"/>
          <w:rtl/>
          <w:lang w:bidi="ar-EG"/>
        </w:rPr>
        <w:lastRenderedPageBreak/>
        <w:t>(ج)</w:t>
      </w:r>
      <w:r w:rsidRPr="00572CCA">
        <w:rPr>
          <w:rFonts w:hint="cs"/>
          <w:u w:val="single"/>
          <w:rtl/>
          <w:lang w:bidi="ar-EG"/>
        </w:rPr>
        <w:tab/>
      </w:r>
      <w:r w:rsidR="00572CCA" w:rsidRPr="00572CCA">
        <w:rPr>
          <w:rFonts w:hint="cs"/>
          <w:u w:val="single"/>
          <w:rtl/>
          <w:lang w:bidi="ar-EG"/>
        </w:rPr>
        <w:t>ويجب أن يتضمن البيان أيضا أو يبيّن كل التعديلات إذا عُدل التسجيل الدولي في إجراء لدى المكتب.</w:t>
      </w:r>
    </w:p>
    <w:p w:rsidR="00737C15" w:rsidRDefault="00572CCA" w:rsidP="000B57D6">
      <w:pPr>
        <w:pStyle w:val="NumberedParaAR"/>
        <w:numPr>
          <w:ilvl w:val="0"/>
          <w:numId w:val="0"/>
        </w:numPr>
        <w:rPr>
          <w:rtl/>
          <w:lang w:bidi="ar-EG"/>
        </w:rPr>
      </w:pPr>
      <w:r>
        <w:rPr>
          <w:rFonts w:hint="cs"/>
          <w:rtl/>
          <w:lang w:bidi="ar-EG"/>
        </w:rPr>
        <w:t>[...]</w:t>
      </w:r>
    </w:p>
    <w:p w:rsidR="00572CCA" w:rsidRDefault="00572CCA" w:rsidP="009B09A1">
      <w:pPr>
        <w:pStyle w:val="EndofDocumentAR"/>
        <w:rPr>
          <w:lang w:bidi="ar-EG"/>
        </w:rPr>
      </w:pPr>
      <w:bookmarkStart w:id="2" w:name="_GoBack"/>
      <w:bookmarkEnd w:id="2"/>
      <w:r>
        <w:rPr>
          <w:rFonts w:hint="cs"/>
          <w:rtl/>
          <w:lang w:bidi="ar-EG"/>
        </w:rPr>
        <w:t>[نهاية المرفق والوثيقة]</w:t>
      </w:r>
    </w:p>
    <w:sectPr w:rsidR="00572CCA" w:rsidSect="0052666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A0" w:rsidRDefault="00E101A0">
      <w:r>
        <w:separator/>
      </w:r>
    </w:p>
  </w:endnote>
  <w:endnote w:type="continuationSeparator" w:id="0">
    <w:p w:rsidR="00E101A0" w:rsidRDefault="00E1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A0" w:rsidRDefault="00E101A0" w:rsidP="009622BF">
      <w:pPr>
        <w:bidi/>
      </w:pPr>
      <w:bookmarkStart w:id="0" w:name="OLE_LINK1"/>
      <w:bookmarkStart w:id="1" w:name="OLE_LINK2"/>
      <w:r>
        <w:separator/>
      </w:r>
      <w:bookmarkEnd w:id="0"/>
      <w:bookmarkEnd w:id="1"/>
    </w:p>
  </w:footnote>
  <w:footnote w:type="continuationSeparator" w:id="0">
    <w:p w:rsidR="00E101A0" w:rsidRDefault="00E101A0" w:rsidP="009622BF">
      <w:pPr>
        <w:bidi/>
      </w:pPr>
      <w:r>
        <w:separator/>
      </w:r>
    </w:p>
  </w:footnote>
  <w:footnote w:id="1">
    <w:p w:rsidR="00650AAF" w:rsidRPr="00650AAF" w:rsidRDefault="00650AAF" w:rsidP="00B86B0A">
      <w:pPr>
        <w:pStyle w:val="FootnoteText"/>
        <w:rPr>
          <w:lang w:bidi="ar-EG"/>
        </w:rPr>
      </w:pPr>
      <w:r>
        <w:rPr>
          <w:rStyle w:val="FootnoteReference"/>
        </w:rPr>
        <w:footnoteRef/>
      </w:r>
      <w:r w:rsidR="0021023A">
        <w:rPr>
          <w:rFonts w:hint="cs"/>
          <w:rtl/>
          <w:lang w:bidi="ar-EG"/>
        </w:rPr>
        <w:tab/>
      </w:r>
      <w:r>
        <w:rPr>
          <w:rFonts w:hint="cs"/>
          <w:rtl/>
          <w:lang w:bidi="ar-EG"/>
        </w:rPr>
        <w:t xml:space="preserve">انظر </w:t>
      </w:r>
      <w:r w:rsidR="00E220B8">
        <w:rPr>
          <w:rFonts w:hint="cs"/>
          <w:rtl/>
          <w:lang w:bidi="ar-EG"/>
        </w:rPr>
        <w:t xml:space="preserve">الوثيقتين </w:t>
      </w:r>
      <w:r w:rsidR="00157880" w:rsidRPr="00157880">
        <w:rPr>
          <w:lang w:bidi="ar-EG"/>
        </w:rPr>
        <w:t>H/LD/WG/3/5</w:t>
      </w:r>
      <w:r>
        <w:rPr>
          <w:rFonts w:hint="cs"/>
          <w:rtl/>
          <w:lang w:bidi="ar-EG"/>
        </w:rPr>
        <w:t>، بعنوان "</w:t>
      </w:r>
      <w:r w:rsidR="001D7E09" w:rsidRPr="007234C3">
        <w:rPr>
          <w:rFonts w:hint="cs"/>
          <w:rtl/>
          <w:lang w:bidi="ar-EG"/>
        </w:rPr>
        <w:t xml:space="preserve">الإتاحة العلنية للمعلومات المتعلقة بالتعديلات المدخلة على التصاميم الصناعية موضوع التسجيلات الدولية </w:t>
      </w:r>
      <w:r w:rsidR="009A2BFD" w:rsidRPr="007234C3">
        <w:rPr>
          <w:rFonts w:hint="cs"/>
          <w:rtl/>
          <w:lang w:bidi="ar-EG"/>
        </w:rPr>
        <w:t xml:space="preserve">بعد اتخاذ </w:t>
      </w:r>
      <w:r w:rsidR="001D7E09" w:rsidRPr="007234C3">
        <w:rPr>
          <w:rFonts w:hint="cs"/>
          <w:rtl/>
          <w:lang w:bidi="ar-EG"/>
        </w:rPr>
        <w:t>إجراءت لدى مكاتب الأطراف المتعاقدة المعينة</w:t>
      </w:r>
      <w:r>
        <w:rPr>
          <w:rFonts w:hint="cs"/>
          <w:rtl/>
          <w:lang w:bidi="ar-EG"/>
        </w:rPr>
        <w:t>"</w:t>
      </w:r>
      <w:r w:rsidR="001D7E09">
        <w:rPr>
          <w:rFonts w:hint="cs"/>
          <w:rtl/>
          <w:lang w:bidi="ar-EG"/>
        </w:rPr>
        <w:t xml:space="preserve"> و</w:t>
      </w:r>
      <w:r w:rsidR="0086283A" w:rsidRPr="0086283A">
        <w:rPr>
          <w:lang w:bidi="ar-EG"/>
        </w:rPr>
        <w:t>H/LD/WG/3/8 Prov</w:t>
      </w:r>
      <w:r w:rsidR="0086283A">
        <w:rPr>
          <w:lang w:bidi="ar-EG"/>
        </w:rPr>
        <w:t>.</w:t>
      </w:r>
      <w:r w:rsidR="001D7E09">
        <w:rPr>
          <w:rFonts w:hint="cs"/>
          <w:rtl/>
          <w:lang w:bidi="ar-EG"/>
        </w:rPr>
        <w:t xml:space="preserve">، </w:t>
      </w:r>
      <w:r w:rsidR="0086283A">
        <w:rPr>
          <w:rFonts w:hint="cs"/>
          <w:rtl/>
          <w:lang w:bidi="ar-EG"/>
        </w:rPr>
        <w:t xml:space="preserve">بعنوان "مشروع التقرير"، الفقرات من 85 إلى 102، وهما متاحتان </w:t>
      </w:r>
      <w:r w:rsidR="00B86B0A">
        <w:rPr>
          <w:rFonts w:hint="cs"/>
          <w:rtl/>
          <w:lang w:bidi="ar-EG"/>
        </w:rPr>
        <w:t xml:space="preserve">في </w:t>
      </w:r>
      <w:r w:rsidR="0086283A">
        <w:rPr>
          <w:rFonts w:hint="cs"/>
          <w:rtl/>
          <w:lang w:bidi="ar-EG"/>
        </w:rPr>
        <w:t xml:space="preserve">الموقع الإلكتروني للويبو </w:t>
      </w:r>
      <w:r w:rsidR="00B86B0A">
        <w:rPr>
          <w:rFonts w:hint="cs"/>
          <w:rtl/>
          <w:lang w:bidi="ar-EG"/>
        </w:rPr>
        <w:t xml:space="preserve">على </w:t>
      </w:r>
      <w:r w:rsidR="0086283A">
        <w:rPr>
          <w:rFonts w:hint="cs"/>
          <w:rtl/>
          <w:lang w:bidi="ar-EG"/>
        </w:rPr>
        <w:t xml:space="preserve">العنوان التالي: </w:t>
      </w:r>
      <w:r w:rsidR="009255B2" w:rsidRPr="009255B2">
        <w:rPr>
          <w:lang w:bidi="ar-EG"/>
        </w:rPr>
        <w:t>http://www.wipo.int/meetings/en/details.jsp?meeting_id=29704</w:t>
      </w:r>
      <w:r w:rsidR="0086283A">
        <w:rPr>
          <w:rFonts w:hint="cs"/>
          <w:rtl/>
          <w:lang w:bidi="ar-EG"/>
        </w:rPr>
        <w:t>.</w:t>
      </w:r>
    </w:p>
  </w:footnote>
  <w:footnote w:id="2">
    <w:p w:rsidR="00CF588C" w:rsidRDefault="00CF588C" w:rsidP="00D44726">
      <w:pPr>
        <w:pStyle w:val="FootnoteText"/>
        <w:rPr>
          <w:rtl/>
          <w:lang w:bidi="ar-EG"/>
        </w:rPr>
      </w:pPr>
      <w:r>
        <w:rPr>
          <w:rStyle w:val="FootnoteReference"/>
        </w:rPr>
        <w:footnoteRef/>
      </w:r>
      <w:r w:rsidR="0021023A">
        <w:rPr>
          <w:rFonts w:hint="cs"/>
          <w:rtl/>
        </w:rPr>
        <w:tab/>
      </w:r>
      <w:r>
        <w:rPr>
          <w:rFonts w:hint="cs"/>
          <w:rtl/>
        </w:rPr>
        <w:t xml:space="preserve">وفقا لنظام مدريد، </w:t>
      </w:r>
      <w:r w:rsidR="00562AE0">
        <w:rPr>
          <w:rFonts w:hint="cs"/>
          <w:rtl/>
        </w:rPr>
        <w:t xml:space="preserve">يمكن أيضا تعديل </w:t>
      </w:r>
      <w:r w:rsidR="00294239">
        <w:rPr>
          <w:rFonts w:hint="cs"/>
          <w:rtl/>
        </w:rPr>
        <w:t xml:space="preserve">قائمة السلع والخدمات عن طريق التقدم إلى المكتب الدولي بطلب </w:t>
      </w:r>
      <w:r w:rsidR="00AF4F16">
        <w:rPr>
          <w:rFonts w:hint="cs"/>
          <w:rtl/>
        </w:rPr>
        <w:t xml:space="preserve">ليدون في السجل الدولي </w:t>
      </w:r>
      <w:r w:rsidR="00062F44">
        <w:rPr>
          <w:rFonts w:hint="cs"/>
          <w:rtl/>
        </w:rPr>
        <w:t xml:space="preserve">تقييدا لقائمة السلع والخدمات، وفقا للقاعدة 25(1)(أ)"2" من اللائحة التنفيذية </w:t>
      </w:r>
      <w:r w:rsidR="00D44726">
        <w:rPr>
          <w:rFonts w:hint="cs"/>
          <w:rtl/>
        </w:rPr>
        <w:t>المشتركة لنظام مدريد</w:t>
      </w:r>
      <w:r w:rsidR="004B3F34">
        <w:rPr>
          <w:rFonts w:hint="cs"/>
          <w:rtl/>
        </w:rPr>
        <w:t xml:space="preserve">. ويمكن أن يتعلق هذا التقييد بكل الأطراف المتعاقدة المعينة أو بعضها </w:t>
      </w:r>
      <w:r w:rsidR="004A1E93">
        <w:rPr>
          <w:rFonts w:hint="cs"/>
          <w:rtl/>
        </w:rPr>
        <w:t xml:space="preserve">حسب </w:t>
      </w:r>
      <w:r w:rsidR="004A1E93" w:rsidRPr="00535BD7">
        <w:rPr>
          <w:rFonts w:hint="cs"/>
          <w:rtl/>
        </w:rPr>
        <w:t>تقدير</w:t>
      </w:r>
      <w:r w:rsidR="004A1E93">
        <w:rPr>
          <w:rFonts w:hint="cs"/>
          <w:rtl/>
        </w:rPr>
        <w:t xml:space="preserve"> صاحب التسجيل الدولي.</w:t>
      </w:r>
    </w:p>
  </w:footnote>
  <w:footnote w:id="3">
    <w:p w:rsidR="00B66085" w:rsidRDefault="00B66085">
      <w:pPr>
        <w:pStyle w:val="FootnoteText"/>
        <w:rPr>
          <w:rtl/>
          <w:lang w:bidi="ar-EG"/>
        </w:rPr>
      </w:pPr>
      <w:r>
        <w:rPr>
          <w:rStyle w:val="FootnoteReference"/>
        </w:rPr>
        <w:footnoteRef/>
      </w:r>
      <w:r w:rsidR="0021023A">
        <w:rPr>
          <w:rFonts w:hint="cs"/>
          <w:rtl/>
        </w:rPr>
        <w:tab/>
      </w:r>
      <w:r w:rsidR="005F3540">
        <w:rPr>
          <w:rFonts w:hint="cs"/>
          <w:rtl/>
          <w:lang w:bidi="ar-EG"/>
        </w:rPr>
        <w:t xml:space="preserve">تنص </w:t>
      </w:r>
      <w:r w:rsidR="00C116B3">
        <w:rPr>
          <w:rFonts w:hint="cs"/>
          <w:rtl/>
          <w:lang w:bidi="ar-EG"/>
        </w:rPr>
        <w:t>القاعدة 18(ثالثا)</w:t>
      </w:r>
      <w:r w:rsidR="005F3540">
        <w:rPr>
          <w:rFonts w:hint="cs"/>
          <w:rtl/>
          <w:lang w:bidi="ar-EG"/>
        </w:rPr>
        <w:t xml:space="preserve"> من اللائحة التنفيذية المشتركة لنظام مدريد</w:t>
      </w:r>
      <w:r w:rsidR="00C116B3">
        <w:rPr>
          <w:rFonts w:hint="cs"/>
          <w:rtl/>
          <w:lang w:bidi="ar-EG"/>
        </w:rPr>
        <w:t>، "</w:t>
      </w:r>
      <w:r w:rsidR="005F3540">
        <w:rPr>
          <w:rFonts w:hint="cs"/>
          <w:rtl/>
          <w:lang w:bidi="ar-EG"/>
        </w:rPr>
        <w:t>البتّ النهائي في وضع العلامة في طرف متعاقد معيّن"، على ما يلي:</w:t>
      </w:r>
    </w:p>
    <w:p w:rsidR="005F3540" w:rsidRDefault="007E142E" w:rsidP="0021023A">
      <w:pPr>
        <w:pStyle w:val="FootnoteText"/>
        <w:ind w:left="567" w:firstLine="567"/>
        <w:rPr>
          <w:lang w:bidi="ar-EG"/>
        </w:rPr>
      </w:pPr>
      <w:r w:rsidRPr="007E142E">
        <w:rPr>
          <w:rFonts w:hint="cs"/>
          <w:rtl/>
          <w:lang w:bidi="ar-EG"/>
        </w:rPr>
        <w:t>(1)</w:t>
      </w:r>
      <w:r>
        <w:rPr>
          <w:rFonts w:hint="cs"/>
          <w:i/>
          <w:iCs/>
          <w:rtl/>
          <w:lang w:bidi="ar-EG"/>
        </w:rPr>
        <w:t xml:space="preserve"> [بيان بمنح الحماية في حال عدم تبليغ أي إخطار بالرفض المؤقت]</w:t>
      </w:r>
      <w:r>
        <w:rPr>
          <w:rFonts w:hint="cs"/>
          <w:rtl/>
          <w:lang w:bidi="ar-EG"/>
        </w:rPr>
        <w:t xml:space="preserve"> في حال كانت كل الإجراءات أمام المكتب قد استكملت، قبل انقضاء المهلة المطبقة بناء على المادة 5(2) من الاتفاق أو المادة 5(2)(أ) أو (ب) أو (ج) من البروتوكول، ولم يكن للمكتب أي سبب لرفض الحماية، فإنه يتعين على ذلك المكتب أن يرسل إلى المكتب الدولي، في أقرب وقت ممكن وقبل انقضاء تلك المهلة، بيانا بمنح الحماية للعلامة موضع التسجيل الدولي في الطرف المتعاقد المعني.</w:t>
      </w:r>
    </w:p>
    <w:p w:rsidR="007E142E" w:rsidRDefault="007E142E" w:rsidP="0021023A">
      <w:pPr>
        <w:pStyle w:val="FootnoteText"/>
        <w:ind w:left="567" w:firstLine="567"/>
        <w:rPr>
          <w:rtl/>
          <w:lang w:bidi="ar-EG"/>
        </w:rPr>
      </w:pPr>
      <w:r>
        <w:rPr>
          <w:rFonts w:hint="cs"/>
          <w:rtl/>
          <w:lang w:bidi="ar-EG"/>
        </w:rPr>
        <w:t xml:space="preserve">(2) </w:t>
      </w:r>
      <w:r w:rsidR="007F65A8">
        <w:rPr>
          <w:rFonts w:hint="cs"/>
          <w:i/>
          <w:iCs/>
          <w:rtl/>
          <w:lang w:bidi="ar-EG"/>
        </w:rPr>
        <w:t>[بيان بمنح الحماية عقب الرفض المؤقت]</w:t>
      </w:r>
      <w:r w:rsidR="007F65A8">
        <w:rPr>
          <w:rFonts w:hint="cs"/>
          <w:rtl/>
          <w:lang w:bidi="ar-EG"/>
        </w:rPr>
        <w:t xml:space="preserve"> ما لم يرسل بيانا بناء على الفقرة (3)، يتعين على المكتب الذي يبلّغ إخطارا بالرفض المؤقت، فور أن تُستكمل كل الإجراءات لديه فيما يتعلق بحماية العلامة، أن يرسل إلى المكتب الدولي أحد البيانين التاليين:</w:t>
      </w:r>
    </w:p>
    <w:p w:rsidR="007F65A8" w:rsidRDefault="007F65A8" w:rsidP="0021023A">
      <w:pPr>
        <w:pStyle w:val="FootnoteText"/>
        <w:ind w:left="566" w:firstLine="1135"/>
        <w:rPr>
          <w:rtl/>
          <w:lang w:bidi="ar-EG"/>
        </w:rPr>
      </w:pPr>
      <w:r>
        <w:rPr>
          <w:rFonts w:hint="cs"/>
          <w:rtl/>
          <w:lang w:bidi="ar-EG"/>
        </w:rPr>
        <w:t>"1" بيانا مفاده أن الرفض المؤقت قد سُحب وأن الحماية قد مُنحت للعلامة في الطرف المتعاقد المعني بالنسبة إلى جميع السلع والخدمات التي طُلبت لها الحماية،</w:t>
      </w:r>
    </w:p>
    <w:p w:rsidR="007F65A8" w:rsidRDefault="007F65A8" w:rsidP="0021023A">
      <w:pPr>
        <w:pStyle w:val="FootnoteText"/>
        <w:ind w:left="566" w:firstLine="1135"/>
        <w:rPr>
          <w:rtl/>
          <w:lang w:bidi="ar-EG"/>
        </w:rPr>
      </w:pPr>
      <w:r>
        <w:rPr>
          <w:rFonts w:hint="cs"/>
          <w:rtl/>
          <w:lang w:bidi="ar-EG"/>
        </w:rPr>
        <w:t>"2" أو بيانا يحدّد السلع والخدمات التي مُنحت لها حماية العلامة في الطرف المتعاقد المعني.</w:t>
      </w:r>
    </w:p>
    <w:p w:rsidR="007F65A8" w:rsidRDefault="007F65A8" w:rsidP="0021023A">
      <w:pPr>
        <w:pStyle w:val="FootnoteText"/>
        <w:ind w:left="567" w:firstLine="567"/>
        <w:rPr>
          <w:rtl/>
          <w:lang w:bidi="ar-EG"/>
        </w:rPr>
      </w:pPr>
      <w:r>
        <w:rPr>
          <w:rFonts w:hint="cs"/>
          <w:rtl/>
          <w:lang w:bidi="ar-EG"/>
        </w:rPr>
        <w:t xml:space="preserve">(3) </w:t>
      </w:r>
      <w:r>
        <w:rPr>
          <w:rFonts w:hint="cs"/>
          <w:i/>
          <w:iCs/>
          <w:rtl/>
          <w:lang w:bidi="ar-EG"/>
        </w:rPr>
        <w:t>[تأكيد الرفض المؤقت الكلي]</w:t>
      </w:r>
      <w:r>
        <w:rPr>
          <w:rFonts w:hint="cs"/>
          <w:rtl/>
          <w:lang w:bidi="ar-EG"/>
        </w:rPr>
        <w:t xml:space="preserve"> يتعين على المكتب الذي يكون قد أرسل إلى المكتب الدولي إخطارا بالرفض المؤقت الكلي، فور أن تُستكمل كل الإجراءات لديه فيما يتعلق بحماية العلامة وبعد أن يكون المكتب قد قرّر تأكيد رفض حماية العلامة في الطرف المتعاقد المعني بالنسبة إلى جميع السلع والخدمات، أن يرسل إلى المكتب الدولي بيانا يفيد ذلك.</w:t>
      </w:r>
    </w:p>
    <w:p w:rsidR="007F65A8" w:rsidRDefault="007F65A8" w:rsidP="0021023A">
      <w:pPr>
        <w:pStyle w:val="FootnoteText"/>
        <w:ind w:left="567" w:firstLine="567"/>
        <w:rPr>
          <w:rtl/>
          <w:lang w:bidi="ar-EG"/>
        </w:rPr>
      </w:pPr>
      <w:r>
        <w:rPr>
          <w:rFonts w:hint="cs"/>
          <w:rtl/>
          <w:lang w:bidi="ar-EG"/>
        </w:rPr>
        <w:t xml:space="preserve">(4) </w:t>
      </w:r>
      <w:r>
        <w:rPr>
          <w:rFonts w:hint="cs"/>
          <w:i/>
          <w:iCs/>
          <w:rtl/>
          <w:lang w:bidi="ar-EG"/>
        </w:rPr>
        <w:t>[قرار جديد]</w:t>
      </w:r>
      <w:r>
        <w:rPr>
          <w:rFonts w:hint="cs"/>
          <w:rtl/>
          <w:lang w:bidi="ar-EG"/>
        </w:rPr>
        <w:t xml:space="preserve"> في حال كان للقرار الجديد أثر في حماية العلامة بعد إرسال بيان وفقا للفقرة (2) أو الفقرة (3)، يتعيّن على المكتب، في حدود علمه بذلك القرار، أن يرسل إلى المكتب الدولي بيانا آخر </w:t>
      </w:r>
      <w:r w:rsidR="00053459">
        <w:rPr>
          <w:rFonts w:hint="cs"/>
          <w:rtl/>
          <w:lang w:bidi="ar-EG"/>
        </w:rPr>
        <w:t>ي</w:t>
      </w:r>
      <w:r>
        <w:rPr>
          <w:rFonts w:hint="cs"/>
          <w:rtl/>
          <w:lang w:bidi="ar-EG"/>
        </w:rPr>
        <w:t>بيّن فيه السلع والخدمات التي من أجلها تُحمى العلامة في الطرف المتعاقد المعني.</w:t>
      </w:r>
    </w:p>
    <w:p w:rsidR="007F65A8" w:rsidRPr="007F65A8" w:rsidRDefault="007F65A8" w:rsidP="0021023A">
      <w:pPr>
        <w:pStyle w:val="FootnoteText"/>
        <w:ind w:left="567" w:firstLine="567"/>
        <w:rPr>
          <w:lang w:bidi="ar-EG"/>
        </w:rPr>
      </w:pPr>
      <w:r>
        <w:rPr>
          <w:rFonts w:hint="cs"/>
          <w:rtl/>
          <w:lang w:bidi="ar-EG"/>
        </w:rPr>
        <w:t xml:space="preserve">(5) </w:t>
      </w:r>
      <w:r>
        <w:rPr>
          <w:rFonts w:hint="cs"/>
          <w:i/>
          <w:iCs/>
          <w:rtl/>
          <w:lang w:bidi="ar-EG"/>
        </w:rPr>
        <w:t>[التدوين وإبلاغ صاحب التسجيل الدولي ونقل النسخ]</w:t>
      </w:r>
      <w:r>
        <w:rPr>
          <w:rFonts w:hint="cs"/>
          <w:rtl/>
          <w:lang w:bidi="ar-EG"/>
        </w:rPr>
        <w:t xml:space="preserve"> على المكتب الدولي أن يدوّن أي بيان يستلمه بناء على هذه القاعدة في السجل الدولي، ويبلغ ذلك لصاحب التسجيل الدولي؛ وفي حال كان الب</w:t>
      </w:r>
      <w:r w:rsidR="009F5CAC">
        <w:rPr>
          <w:rFonts w:hint="cs"/>
          <w:rtl/>
          <w:lang w:bidi="ar-EG"/>
        </w:rPr>
        <w:t>يان قد بلِّغ، أو من الممك</w:t>
      </w:r>
      <w:r>
        <w:rPr>
          <w:rFonts w:hint="cs"/>
          <w:rtl/>
          <w:lang w:bidi="ar-EG"/>
        </w:rPr>
        <w:t xml:space="preserve">ن </w:t>
      </w:r>
      <w:r w:rsidR="009F5CAC">
        <w:rPr>
          <w:rFonts w:hint="cs"/>
          <w:rtl/>
          <w:lang w:bidi="ar-EG"/>
        </w:rPr>
        <w:t>نسخه، في شكل وثيقة محدّدة، فعليه أن ينقل نسخة عن تلك الوثيقة إلى صاحب التسجيل الدولي.</w:t>
      </w:r>
    </w:p>
  </w:footnote>
  <w:footnote w:id="4">
    <w:p w:rsidR="0088174F" w:rsidRDefault="0088174F" w:rsidP="00AC6533">
      <w:pPr>
        <w:pStyle w:val="FootnoteText"/>
        <w:rPr>
          <w:rtl/>
          <w:lang w:bidi="ar-EG"/>
        </w:rPr>
      </w:pPr>
      <w:r>
        <w:rPr>
          <w:rStyle w:val="FootnoteReference"/>
        </w:rPr>
        <w:footnoteRef/>
      </w:r>
      <w:r>
        <w:rPr>
          <w:rtl/>
        </w:rPr>
        <w:t xml:space="preserve"> </w:t>
      </w:r>
      <w:r>
        <w:rPr>
          <w:rFonts w:hint="cs"/>
          <w:rtl/>
          <w:lang w:bidi="ar-EG"/>
        </w:rPr>
        <w:t>كلمة "رومارين" هي اختصار "</w:t>
      </w:r>
      <w:r w:rsidR="00512A4C" w:rsidRPr="00512A4C">
        <w:rPr>
          <w:rtl/>
          <w:lang w:bidi="ar-EG"/>
        </w:rPr>
        <w:t>قرص بذاكرة للقراءة فقط يحتوي على معلومات العلامات السارية بناء على نظام مدريد</w:t>
      </w:r>
      <w:r w:rsidR="00512A4C">
        <w:rPr>
          <w:rFonts w:hint="cs"/>
          <w:rtl/>
          <w:lang w:bidi="ar-EG"/>
        </w:rPr>
        <w:t xml:space="preserve">". </w:t>
      </w:r>
      <w:r w:rsidR="008B5B9E">
        <w:rPr>
          <w:rFonts w:hint="cs"/>
          <w:rtl/>
          <w:lang w:bidi="ar-EG"/>
        </w:rPr>
        <w:t>وه</w:t>
      </w:r>
      <w:r w:rsidR="00AC6533">
        <w:rPr>
          <w:rFonts w:hint="cs"/>
          <w:rtl/>
          <w:lang w:bidi="ar-EG"/>
        </w:rPr>
        <w:t xml:space="preserve">ي قاعدة بيانات </w:t>
      </w:r>
      <w:r w:rsidR="008B5B9E">
        <w:rPr>
          <w:rFonts w:hint="cs"/>
          <w:rtl/>
          <w:lang w:bidi="ar-EG"/>
        </w:rPr>
        <w:t>متاح</w:t>
      </w:r>
      <w:r w:rsidR="00AC6533">
        <w:rPr>
          <w:rFonts w:hint="cs"/>
          <w:rtl/>
          <w:lang w:bidi="ar-EG"/>
        </w:rPr>
        <w:t>ة</w:t>
      </w:r>
      <w:r w:rsidR="003D249A">
        <w:rPr>
          <w:rFonts w:hint="cs"/>
          <w:rtl/>
          <w:lang w:bidi="ar-EG"/>
        </w:rPr>
        <w:t xml:space="preserve"> على </w:t>
      </w:r>
      <w:r w:rsidR="001D3A3D">
        <w:rPr>
          <w:rFonts w:hint="cs"/>
          <w:rtl/>
          <w:lang w:bidi="ar-EG"/>
        </w:rPr>
        <w:t>ال</w:t>
      </w:r>
      <w:r w:rsidR="003D249A">
        <w:rPr>
          <w:rFonts w:hint="cs"/>
          <w:rtl/>
          <w:lang w:bidi="ar-EG"/>
        </w:rPr>
        <w:t>عنوان</w:t>
      </w:r>
      <w:r w:rsidR="001D3A3D">
        <w:rPr>
          <w:rFonts w:hint="cs"/>
          <w:rtl/>
          <w:lang w:bidi="ar-EG"/>
        </w:rPr>
        <w:t xml:space="preserve"> التالي: </w:t>
      </w:r>
      <w:r w:rsidR="00D52902" w:rsidRPr="00D52902">
        <w:rPr>
          <w:lang w:bidi="ar-EG"/>
        </w:rPr>
        <w:t>http://www.wipo.int/romarin</w:t>
      </w:r>
      <w:r w:rsidR="003D249A">
        <w:rPr>
          <w:rFonts w:hint="cs"/>
          <w:rtl/>
          <w:lang w:bidi="ar-EG"/>
        </w:rPr>
        <w:t>.</w:t>
      </w:r>
    </w:p>
  </w:footnote>
  <w:footnote w:id="5">
    <w:p w:rsidR="00C37D6D" w:rsidRPr="00C37D6D" w:rsidRDefault="00C37D6D">
      <w:pPr>
        <w:pStyle w:val="FootnoteText"/>
        <w:rPr>
          <w:rtl/>
          <w:lang w:bidi="ar-EG"/>
        </w:rPr>
      </w:pPr>
      <w:r>
        <w:rPr>
          <w:rStyle w:val="FootnoteReference"/>
        </w:rPr>
        <w:footnoteRef/>
      </w:r>
      <w:r>
        <w:rPr>
          <w:rtl/>
        </w:rPr>
        <w:t xml:space="preserve"> </w:t>
      </w:r>
      <w:r>
        <w:rPr>
          <w:rFonts w:hint="cs"/>
          <w:rtl/>
          <w:lang w:bidi="ar-EG"/>
        </w:rPr>
        <w:t xml:space="preserve">أُرفق الاستبيان بتعميم الويبو رقم </w:t>
      </w:r>
      <w:r>
        <w:rPr>
          <w:lang w:bidi="ar-EG"/>
        </w:rPr>
        <w:t>C.H 99</w:t>
      </w:r>
      <w:r>
        <w:rPr>
          <w:rFonts w:hint="cs"/>
          <w:rtl/>
          <w:lang w:bidi="ar-EG"/>
        </w:rPr>
        <w:t>، الصادر في 3 مايو 2013، والموجه إلى مكاتب الملكية الصناعية في الدول الأعضاء في الويبو، ومكتب التنسيق في السوق الداخلية (العلامات التجارية والتصاميم) (</w:t>
      </w:r>
      <w:r w:rsidRPr="00ED523A">
        <w:rPr>
          <w:lang w:bidi="ar-EG"/>
        </w:rPr>
        <w:t>OHIM</w:t>
      </w:r>
      <w:r>
        <w:rPr>
          <w:rFonts w:hint="cs"/>
          <w:rtl/>
          <w:lang w:bidi="ar-EG"/>
        </w:rPr>
        <w:t xml:space="preserve">)، </w:t>
      </w:r>
      <w:r w:rsidR="00B64C7F">
        <w:rPr>
          <w:rFonts w:hint="cs"/>
          <w:rtl/>
          <w:lang w:bidi="ar-EG"/>
        </w:rPr>
        <w:t>ومكتب بنيلوكس للملكية الفكرية (</w:t>
      </w:r>
      <w:r w:rsidR="00B64C7F">
        <w:rPr>
          <w:lang w:val="tr-TR" w:bidi="ar-EG"/>
        </w:rPr>
        <w:t>BOIP</w:t>
      </w:r>
      <w:r w:rsidR="00B64C7F">
        <w:rPr>
          <w:rFonts w:hint="cs"/>
          <w:rtl/>
          <w:lang w:bidi="ar-EG"/>
        </w:rPr>
        <w:t>)، والمكتب الإقليمي للمنظمة الأفريقية للملكية الفكرية (</w:t>
      </w:r>
      <w:r w:rsidR="00B64C7F">
        <w:rPr>
          <w:lang w:val="tr-TR" w:bidi="ar-EG"/>
        </w:rPr>
        <w:t>OAPI</w:t>
      </w:r>
      <w:r w:rsidR="00B64C7F">
        <w:rPr>
          <w:rFonts w:hint="cs"/>
          <w:rtl/>
          <w:lang w:bidi="ar-EG"/>
        </w:rPr>
        <w:t>).</w:t>
      </w:r>
    </w:p>
  </w:footnote>
  <w:footnote w:id="6">
    <w:p w:rsidR="00FD5265" w:rsidRDefault="00FD5265" w:rsidP="00B324A4">
      <w:pPr>
        <w:pStyle w:val="FootnoteText"/>
        <w:rPr>
          <w:rtl/>
          <w:lang w:bidi="ar-EG"/>
        </w:rPr>
      </w:pPr>
      <w:r>
        <w:rPr>
          <w:rStyle w:val="FootnoteReference"/>
        </w:rPr>
        <w:footnoteRef/>
      </w:r>
      <w:r>
        <w:rPr>
          <w:rtl/>
        </w:rPr>
        <w:t xml:space="preserve"> </w:t>
      </w:r>
      <w:r>
        <w:rPr>
          <w:rFonts w:hint="cs"/>
          <w:rtl/>
          <w:lang w:bidi="ar-EG"/>
        </w:rPr>
        <w:t xml:space="preserve">انظر الوثيقة </w:t>
      </w:r>
      <w:r w:rsidRPr="00FD5265">
        <w:rPr>
          <w:lang w:bidi="ar-EG"/>
        </w:rPr>
        <w:t>H/LD/WG/3/5</w:t>
      </w:r>
      <w:r>
        <w:rPr>
          <w:rFonts w:hint="cs"/>
          <w:rtl/>
          <w:lang w:bidi="ar-EG"/>
        </w:rPr>
        <w:t xml:space="preserve">، المتاحة </w:t>
      </w:r>
      <w:r w:rsidR="00B324A4">
        <w:rPr>
          <w:rFonts w:hint="cs"/>
          <w:rtl/>
          <w:lang w:bidi="ar-EG"/>
        </w:rPr>
        <w:t xml:space="preserve">في </w:t>
      </w:r>
      <w:r>
        <w:rPr>
          <w:rFonts w:hint="cs"/>
          <w:rtl/>
          <w:lang w:bidi="ar-EG"/>
        </w:rPr>
        <w:t xml:space="preserve">موقع الويبو الإلكتروني </w:t>
      </w:r>
      <w:r w:rsidR="00B324A4">
        <w:rPr>
          <w:rFonts w:hint="cs"/>
          <w:rtl/>
          <w:lang w:bidi="ar-EG"/>
        </w:rPr>
        <w:t xml:space="preserve">على </w:t>
      </w:r>
      <w:r w:rsidR="00752386">
        <w:rPr>
          <w:rFonts w:hint="cs"/>
          <w:rtl/>
          <w:lang w:bidi="ar-EG"/>
        </w:rPr>
        <w:t>ال</w:t>
      </w:r>
      <w:r w:rsidR="00B324A4">
        <w:rPr>
          <w:rFonts w:hint="cs"/>
          <w:rtl/>
          <w:lang w:bidi="ar-EG"/>
        </w:rPr>
        <w:t>عنوان</w:t>
      </w:r>
      <w:r w:rsidR="00752386">
        <w:rPr>
          <w:rFonts w:hint="cs"/>
          <w:rtl/>
          <w:lang w:bidi="ar-EG"/>
        </w:rPr>
        <w:t xml:space="preserve"> التالي</w:t>
      </w:r>
      <w:r w:rsidR="00B324A4">
        <w:rPr>
          <w:rFonts w:hint="cs"/>
          <w:rtl/>
          <w:lang w:bidi="ar-EG"/>
        </w:rPr>
        <w:t xml:space="preserve">: </w:t>
      </w:r>
      <w:r w:rsidR="00CB1001" w:rsidRPr="00CB1001">
        <w:rPr>
          <w:lang w:bidi="ar-EG"/>
        </w:rPr>
        <w:t>http://www.wipo.int/meetings/en/doc_details.jsp?doc_id=247303</w:t>
      </w:r>
      <w:r w:rsidR="00B324A4">
        <w:rPr>
          <w:rFonts w:hint="cs"/>
          <w:rtl/>
          <w:lang w:bidi="ar-EG"/>
        </w:rPr>
        <w:t>.</w:t>
      </w:r>
    </w:p>
  </w:footnote>
  <w:footnote w:id="7">
    <w:p w:rsidR="00AC24C9" w:rsidRDefault="00AC24C9" w:rsidP="00AC24C9">
      <w:pPr>
        <w:pStyle w:val="FootnoteText"/>
        <w:rPr>
          <w:rtl/>
          <w:lang w:bidi="ar-EG"/>
        </w:rPr>
      </w:pPr>
      <w:r>
        <w:rPr>
          <w:rStyle w:val="FootnoteReference"/>
        </w:rPr>
        <w:footnoteRef/>
      </w:r>
      <w:r>
        <w:rPr>
          <w:rtl/>
        </w:rPr>
        <w:t xml:space="preserve"> </w:t>
      </w:r>
      <w:r>
        <w:rPr>
          <w:rFonts w:hint="cs"/>
          <w:rtl/>
        </w:rPr>
        <w:t xml:space="preserve">يجوز </w:t>
      </w:r>
      <w:r>
        <w:rPr>
          <w:rFonts w:hint="cs"/>
          <w:rtl/>
          <w:lang w:bidi="ar-EG"/>
        </w:rPr>
        <w:t xml:space="preserve">للطرف المتعاقد الذي مكتبه مكتب </w:t>
      </w:r>
      <w:r w:rsidRPr="00537D62">
        <w:rPr>
          <w:rFonts w:hint="cs"/>
          <w:rtl/>
          <w:lang w:bidi="ar-EG"/>
        </w:rPr>
        <w:t>فاحص</w:t>
      </w:r>
      <w:r>
        <w:rPr>
          <w:rFonts w:hint="cs"/>
          <w:rtl/>
          <w:lang w:bidi="ar-EG"/>
        </w:rPr>
        <w:t xml:space="preserve"> أن يحظر هذا التعيين </w:t>
      </w:r>
      <w:r w:rsidRPr="0082011A">
        <w:rPr>
          <w:rFonts w:hint="cs"/>
          <w:rtl/>
          <w:lang w:bidi="ar-EG"/>
        </w:rPr>
        <w:t>الذاتي</w:t>
      </w:r>
      <w:r>
        <w:rPr>
          <w:rFonts w:hint="cs"/>
          <w:rtl/>
          <w:lang w:bidi="ar-EG"/>
        </w:rPr>
        <w:t xml:space="preserve"> وفقا للمادة 14(3)(أ) من قانون 1999. إلا أنه لا يوجد أي طرف متعاقد أصدر هذا الإعلان.</w:t>
      </w:r>
    </w:p>
  </w:footnote>
  <w:footnote w:id="8">
    <w:p w:rsidR="00F61CEA" w:rsidRDefault="00F61CEA" w:rsidP="00C70420">
      <w:pPr>
        <w:pStyle w:val="FootnoteText"/>
        <w:rPr>
          <w:lang w:bidi="ar-EG"/>
        </w:rPr>
      </w:pPr>
      <w:r>
        <w:rPr>
          <w:rStyle w:val="FootnoteReference"/>
        </w:rPr>
        <w:footnoteRef/>
      </w:r>
      <w:r>
        <w:rPr>
          <w:rtl/>
        </w:rPr>
        <w:t xml:space="preserve"> </w:t>
      </w:r>
      <w:r w:rsidR="00BD6152">
        <w:rPr>
          <w:rFonts w:hint="cs"/>
          <w:rtl/>
          <w:lang w:bidi="ar-EG"/>
        </w:rPr>
        <w:t xml:space="preserve">عند اعتماد المادة 12(4) والمادة 14(2)(ب) والقاعدة 18(4)، </w:t>
      </w:r>
      <w:r w:rsidR="007B7A37">
        <w:rPr>
          <w:rFonts w:hint="cs"/>
          <w:rtl/>
          <w:lang w:bidi="ar-EG"/>
        </w:rPr>
        <w:t xml:space="preserve">فهم المؤتمر الدبلوماسي أن سحب الرفض من قبل المكتب الذي بلغ إخطارا بالرفض يمكن أن يتم في شكل بيان مفاده أن المكتب المعني قرر قبول آثار التسجيل الدولي فيما يتعلق بكل التصاميم الصناعية التي كانت موضوع إخطار الرفض أو </w:t>
      </w:r>
      <w:r w:rsidR="00C70420">
        <w:rPr>
          <w:rFonts w:hint="cs"/>
          <w:rtl/>
          <w:lang w:bidi="ar-EG"/>
        </w:rPr>
        <w:t>ب</w:t>
      </w:r>
      <w:r w:rsidR="007B7A37">
        <w:rPr>
          <w:rFonts w:hint="cs"/>
          <w:rtl/>
          <w:lang w:bidi="ar-EG"/>
        </w:rPr>
        <w:t xml:space="preserve">بعض هذه التصاميم. </w:t>
      </w:r>
      <w:r w:rsidR="00C70420">
        <w:rPr>
          <w:rFonts w:hint="cs"/>
          <w:rtl/>
          <w:lang w:bidi="ar-EG"/>
        </w:rPr>
        <w:t>وكان من المفهوم أيضا أن أي مكتب يستطيع، في خلال الفترة المسموح بها لتبليغ إخطار بالرفض، أن يرسل بيانا مفاده أنه قرر قبول آثار التسجيل الدولي حتى إذا لم يكن قد بلغ إخطارا بالرفض.</w:t>
      </w:r>
    </w:p>
  </w:footnote>
  <w:footnote w:id="9">
    <w:p w:rsidR="00C45765" w:rsidRDefault="00C45765">
      <w:pPr>
        <w:pStyle w:val="FootnoteText"/>
        <w:rPr>
          <w:rtl/>
          <w:lang w:bidi="ar-EG"/>
        </w:rPr>
      </w:pPr>
      <w:r>
        <w:rPr>
          <w:rStyle w:val="FootnoteReference"/>
        </w:rPr>
        <w:footnoteRef/>
      </w:r>
      <w:r>
        <w:rPr>
          <w:rtl/>
        </w:rPr>
        <w:t xml:space="preserve"> </w:t>
      </w:r>
      <w:r>
        <w:rPr>
          <w:rFonts w:hint="cs"/>
          <w:rtl/>
          <w:lang w:bidi="ar-EG"/>
        </w:rPr>
        <w:t>انظر القواعد 18(5) و18(ثانيا)(3) و26(1)"2" من اللائحة التنفيذية المشتركة.</w:t>
      </w:r>
    </w:p>
  </w:footnote>
  <w:footnote w:id="10">
    <w:p w:rsidR="004A6707" w:rsidRPr="004A6707" w:rsidRDefault="004A6707">
      <w:pPr>
        <w:pStyle w:val="FootnoteText"/>
        <w:rPr>
          <w:rtl/>
          <w:lang w:bidi="ar-EG"/>
        </w:rPr>
      </w:pPr>
      <w:r>
        <w:rPr>
          <w:rStyle w:val="FootnoteReference"/>
        </w:rPr>
        <w:footnoteRef/>
      </w:r>
      <w:r>
        <w:rPr>
          <w:rtl/>
        </w:rPr>
        <w:t xml:space="preserve"> </w:t>
      </w:r>
      <w:r>
        <w:rPr>
          <w:rFonts w:hint="cs"/>
          <w:rtl/>
          <w:lang w:bidi="ar-EG"/>
        </w:rPr>
        <w:t xml:space="preserve">تحتوي قاعدة بيانات لاهاي إكسبريس على كل التسجيلات الدولية التي دُونت في السجل الدولي ونُشرت في النشرة اعتبارا من العدد رقم </w:t>
      </w:r>
      <w:r>
        <w:rPr>
          <w:lang w:bidi="ar-EG"/>
        </w:rPr>
        <w:t>1/1999</w:t>
      </w:r>
      <w:r>
        <w:rPr>
          <w:rFonts w:hint="cs"/>
          <w:rtl/>
          <w:lang w:bidi="ar-EG"/>
        </w:rPr>
        <w:t>.</w:t>
      </w:r>
    </w:p>
  </w:footnote>
  <w:footnote w:id="11">
    <w:p w:rsidR="00257A64" w:rsidRDefault="00257A64" w:rsidP="00B87682">
      <w:pPr>
        <w:pStyle w:val="FootnoteText"/>
        <w:rPr>
          <w:rtl/>
          <w:lang w:bidi="ar-EG"/>
        </w:rPr>
      </w:pPr>
      <w:r>
        <w:rPr>
          <w:rStyle w:val="FootnoteReference"/>
        </w:rPr>
        <w:footnoteRef/>
      </w:r>
      <w:r>
        <w:rPr>
          <w:rtl/>
        </w:rPr>
        <w:t xml:space="preserve"> </w:t>
      </w:r>
      <w:r>
        <w:rPr>
          <w:rFonts w:hint="cs"/>
          <w:rtl/>
          <w:lang w:bidi="ar-EG"/>
        </w:rPr>
        <w:t>انظر الفقرة 909 من "</w:t>
      </w:r>
      <w:r w:rsidR="0026161B">
        <w:rPr>
          <w:rFonts w:hint="cs"/>
          <w:rtl/>
          <w:lang w:bidi="ar-EG"/>
        </w:rPr>
        <w:t>المحاضر الموجزة</w:t>
      </w:r>
      <w:r>
        <w:rPr>
          <w:rFonts w:hint="cs"/>
          <w:rtl/>
          <w:lang w:bidi="ar-EG"/>
        </w:rPr>
        <w:t xml:space="preserve">" </w:t>
      </w:r>
      <w:r w:rsidR="00B87682">
        <w:rPr>
          <w:rFonts w:hint="cs"/>
          <w:rtl/>
          <w:lang w:bidi="ar-EG"/>
        </w:rPr>
        <w:t>ل</w:t>
      </w:r>
      <w:r>
        <w:rPr>
          <w:rFonts w:hint="cs"/>
          <w:rtl/>
          <w:lang w:bidi="ar-EG"/>
        </w:rPr>
        <w:t xml:space="preserve">لمؤتمر الدبلوماسي لاعتماد </w:t>
      </w:r>
      <w:r w:rsidRPr="009A5577">
        <w:rPr>
          <w:rFonts w:hint="cs"/>
          <w:rtl/>
          <w:lang w:bidi="ar-EG"/>
        </w:rPr>
        <w:t xml:space="preserve">وثيقة جديدة لاتفاق لاهاي </w:t>
      </w:r>
      <w:r w:rsidR="009A5577" w:rsidRPr="009A5577">
        <w:rPr>
          <w:rFonts w:hint="cs"/>
          <w:rtl/>
          <w:lang w:bidi="ar-EG"/>
        </w:rPr>
        <w:t xml:space="preserve">بشأن </w:t>
      </w:r>
      <w:r w:rsidRPr="009A5577">
        <w:rPr>
          <w:rFonts w:hint="cs"/>
          <w:rtl/>
          <w:lang w:bidi="ar-EG"/>
        </w:rPr>
        <w:t>الإيداع الدولي للتصاميم الصناعية</w:t>
      </w:r>
      <w:r>
        <w:rPr>
          <w:rFonts w:hint="cs"/>
          <w:rtl/>
          <w:lang w:bidi="ar-EG"/>
        </w:rPr>
        <w:t xml:space="preserve"> (سجلات المؤتمر الدبلوماسي، ص 493).</w:t>
      </w:r>
    </w:p>
  </w:footnote>
  <w:footnote w:id="12">
    <w:p w:rsidR="002E1E65" w:rsidRDefault="002E1E65" w:rsidP="00E25B9F">
      <w:pPr>
        <w:pStyle w:val="FootnoteText"/>
        <w:rPr>
          <w:rtl/>
          <w:lang w:bidi="ar-EG"/>
        </w:rPr>
      </w:pPr>
      <w:r>
        <w:rPr>
          <w:rStyle w:val="FootnoteReference"/>
        </w:rPr>
        <w:footnoteRef/>
      </w:r>
      <w:r>
        <w:rPr>
          <w:rtl/>
        </w:rPr>
        <w:t xml:space="preserve"> </w:t>
      </w:r>
      <w:r>
        <w:rPr>
          <w:rFonts w:hint="cs"/>
          <w:rtl/>
          <w:lang w:bidi="ar-EG"/>
        </w:rPr>
        <w:t xml:space="preserve">أصدرت جمهورية كوريا وحدها إعلانا وفقا للقاعدة 18(1)(ج)"2". وسوف تدخل وثيقة 1999 حيز النفاذ </w:t>
      </w:r>
      <w:r w:rsidR="00E25B9F">
        <w:rPr>
          <w:rFonts w:hint="cs"/>
          <w:rtl/>
          <w:lang w:bidi="ar-EG"/>
        </w:rPr>
        <w:t xml:space="preserve">في ذلك البلد </w:t>
      </w:r>
      <w:r>
        <w:rPr>
          <w:rFonts w:hint="cs"/>
          <w:rtl/>
          <w:lang w:bidi="ar-EG"/>
        </w:rPr>
        <w:t>في 1 يوليو 2014.</w:t>
      </w:r>
    </w:p>
  </w:footnote>
  <w:footnote w:id="13">
    <w:p w:rsidR="00973633" w:rsidRDefault="00973633">
      <w:pPr>
        <w:pStyle w:val="FootnoteText"/>
        <w:rPr>
          <w:rtl/>
          <w:lang w:bidi="ar-EG"/>
        </w:rPr>
      </w:pPr>
      <w:r>
        <w:rPr>
          <w:rStyle w:val="FootnoteReference"/>
        </w:rPr>
        <w:footnoteRef/>
      </w:r>
      <w:r>
        <w:rPr>
          <w:rtl/>
        </w:rPr>
        <w:t xml:space="preserve"> </w:t>
      </w:r>
      <w:r>
        <w:rPr>
          <w:rFonts w:hint="cs"/>
          <w:rtl/>
          <w:lang w:bidi="ar-EG"/>
        </w:rPr>
        <w:t>أصدرت إسبانيا وتركيا إعلانا وفقا للقاعدة 18(1)(ج)"1".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1F011A" w:rsidRDefault="005457EB" w:rsidP="004527FF">
    <w:pPr>
      <w:rPr>
        <w:szCs w:val="22"/>
      </w:rPr>
    </w:pPr>
    <w:r w:rsidRPr="001F011A">
      <w:rPr>
        <w:szCs w:val="22"/>
      </w:rPr>
      <w:t>H</w:t>
    </w:r>
    <w:r w:rsidR="00772E46" w:rsidRPr="001F011A">
      <w:rPr>
        <w:szCs w:val="22"/>
      </w:rPr>
      <w:t>/</w:t>
    </w:r>
    <w:r w:rsidRPr="001F011A">
      <w:rPr>
        <w:szCs w:val="22"/>
      </w:rPr>
      <w:t>LD/WG</w:t>
    </w:r>
    <w:r w:rsidR="002F77FC" w:rsidRPr="001F011A">
      <w:rPr>
        <w:szCs w:val="22"/>
      </w:rPr>
      <w:t>/</w:t>
    </w:r>
    <w:r w:rsidRPr="001F011A">
      <w:rPr>
        <w:szCs w:val="22"/>
      </w:rPr>
      <w:t>4</w:t>
    </w:r>
    <w:r w:rsidR="001F011A" w:rsidRPr="001F011A">
      <w:rPr>
        <w:szCs w:val="22"/>
      </w:rPr>
      <w:t>/</w:t>
    </w:r>
    <w:r w:rsidR="004527FF">
      <w:rPr>
        <w:szCs w:val="22"/>
      </w:rPr>
      <w:t>3</w:t>
    </w:r>
  </w:p>
  <w:p w:rsidR="002F77FC" w:rsidRDefault="002F77FC" w:rsidP="00D61541">
    <w:r>
      <w:fldChar w:fldCharType="begin"/>
    </w:r>
    <w:r>
      <w:instrText xml:space="preserve"> PAGE  \* MERGEFORMAT </w:instrText>
    </w:r>
    <w:r>
      <w:fldChar w:fldCharType="separate"/>
    </w:r>
    <w:r w:rsidR="002271A0">
      <w:rPr>
        <w:noProof/>
      </w:rPr>
      <w:t>11</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63" w:rsidRDefault="00526663" w:rsidP="000C5641">
    <w:pPr>
      <w:rPr>
        <w:szCs w:val="22"/>
      </w:rPr>
    </w:pPr>
    <w:r w:rsidRPr="001F011A">
      <w:rPr>
        <w:szCs w:val="22"/>
      </w:rPr>
      <w:t>H/LD/WG/4/</w:t>
    </w:r>
    <w:r w:rsidR="000C5641">
      <w:rPr>
        <w:szCs w:val="22"/>
      </w:rPr>
      <w:t>3</w:t>
    </w:r>
  </w:p>
  <w:p w:rsidR="00526663" w:rsidRPr="001F011A" w:rsidRDefault="00526663" w:rsidP="001F011A">
    <w:pPr>
      <w:rPr>
        <w:szCs w:val="22"/>
      </w:rPr>
    </w:pPr>
    <w:r>
      <w:rPr>
        <w:szCs w:val="22"/>
      </w:rPr>
      <w:t>Annex</w:t>
    </w:r>
  </w:p>
  <w:p w:rsidR="00526663" w:rsidRDefault="00526663" w:rsidP="00D61541">
    <w:r>
      <w:fldChar w:fldCharType="begin"/>
    </w:r>
    <w:r>
      <w:instrText xml:space="preserve"> PAGE  \* MERGEFORMAT </w:instrText>
    </w:r>
    <w:r>
      <w:fldChar w:fldCharType="separate"/>
    </w:r>
    <w:r w:rsidR="002271A0">
      <w:rPr>
        <w:noProof/>
      </w:rPr>
      <w:t>2</w:t>
    </w:r>
    <w:r>
      <w:fldChar w:fldCharType="end"/>
    </w:r>
  </w:p>
  <w:p w:rsidR="00526663" w:rsidRDefault="0052666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63" w:rsidRPr="001F011A" w:rsidRDefault="00526663" w:rsidP="000C5641">
    <w:pPr>
      <w:rPr>
        <w:szCs w:val="22"/>
      </w:rPr>
    </w:pPr>
    <w:r w:rsidRPr="001F011A">
      <w:rPr>
        <w:szCs w:val="22"/>
      </w:rPr>
      <w:t>H/LD/WG/4/</w:t>
    </w:r>
    <w:r w:rsidR="000C5641">
      <w:rPr>
        <w:szCs w:val="22"/>
      </w:rPr>
      <w:t>3</w:t>
    </w:r>
  </w:p>
  <w:p w:rsidR="00526663" w:rsidRDefault="00526663">
    <w:pPr>
      <w:pStyle w:val="Header"/>
    </w:pPr>
    <w:r>
      <w:t>ANNEX</w:t>
    </w:r>
  </w:p>
  <w:p w:rsidR="00526663" w:rsidRPr="00526663" w:rsidRDefault="00526663">
    <w:pPr>
      <w:pStyle w:val="Header"/>
      <w:rPr>
        <w:rFonts w:ascii="Arabic Typesetting" w:hAnsi="Arabic Typesetting" w:cs="Arabic Typesetting"/>
        <w:sz w:val="36"/>
        <w:szCs w:val="36"/>
        <w:rtl/>
        <w:lang w:bidi="ar-EG"/>
      </w:rPr>
    </w:pPr>
    <w:r w:rsidRPr="00526663">
      <w:rPr>
        <w:rFonts w:ascii="Arabic Typesetting" w:hAnsi="Arabic Typesetting" w:cs="Arabic Typesetting" w:hint="cs"/>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031A8F"/>
    <w:multiLevelType w:val="hybridMultilevel"/>
    <w:tmpl w:val="CCEE6C86"/>
    <w:lvl w:ilvl="0" w:tplc="137CE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10"/>
    <w:rsid w:val="0000270E"/>
    <w:rsid w:val="00002CBE"/>
    <w:rsid w:val="00003232"/>
    <w:rsid w:val="000033DA"/>
    <w:rsid w:val="0000579F"/>
    <w:rsid w:val="000074D1"/>
    <w:rsid w:val="000076BD"/>
    <w:rsid w:val="00007DBE"/>
    <w:rsid w:val="00010481"/>
    <w:rsid w:val="00010671"/>
    <w:rsid w:val="000114E2"/>
    <w:rsid w:val="00013347"/>
    <w:rsid w:val="00013B26"/>
    <w:rsid w:val="00013D73"/>
    <w:rsid w:val="000142E1"/>
    <w:rsid w:val="000146BD"/>
    <w:rsid w:val="00014B68"/>
    <w:rsid w:val="0001645D"/>
    <w:rsid w:val="00016619"/>
    <w:rsid w:val="00017A43"/>
    <w:rsid w:val="00020755"/>
    <w:rsid w:val="0002157B"/>
    <w:rsid w:val="0002182B"/>
    <w:rsid w:val="00021B55"/>
    <w:rsid w:val="00023101"/>
    <w:rsid w:val="0002343E"/>
    <w:rsid w:val="0002407C"/>
    <w:rsid w:val="0002476F"/>
    <w:rsid w:val="00024E17"/>
    <w:rsid w:val="000258DB"/>
    <w:rsid w:val="000259E5"/>
    <w:rsid w:val="00025ADC"/>
    <w:rsid w:val="00031B2C"/>
    <w:rsid w:val="00033D2C"/>
    <w:rsid w:val="000348D8"/>
    <w:rsid w:val="00035CE8"/>
    <w:rsid w:val="00036041"/>
    <w:rsid w:val="000365E5"/>
    <w:rsid w:val="000371E7"/>
    <w:rsid w:val="00040637"/>
    <w:rsid w:val="00040688"/>
    <w:rsid w:val="0004070F"/>
    <w:rsid w:val="0004115B"/>
    <w:rsid w:val="00042F2D"/>
    <w:rsid w:val="000432B2"/>
    <w:rsid w:val="000432CF"/>
    <w:rsid w:val="000438A8"/>
    <w:rsid w:val="00044AC0"/>
    <w:rsid w:val="00045B68"/>
    <w:rsid w:val="00045E69"/>
    <w:rsid w:val="00046EDC"/>
    <w:rsid w:val="0004700E"/>
    <w:rsid w:val="00047497"/>
    <w:rsid w:val="000500C9"/>
    <w:rsid w:val="0005014C"/>
    <w:rsid w:val="000508E2"/>
    <w:rsid w:val="00050A69"/>
    <w:rsid w:val="00050C55"/>
    <w:rsid w:val="00050F28"/>
    <w:rsid w:val="00053459"/>
    <w:rsid w:val="00053836"/>
    <w:rsid w:val="00054659"/>
    <w:rsid w:val="00055FA2"/>
    <w:rsid w:val="00056BD0"/>
    <w:rsid w:val="00056E30"/>
    <w:rsid w:val="000571DD"/>
    <w:rsid w:val="00061FF5"/>
    <w:rsid w:val="00062502"/>
    <w:rsid w:val="00062F44"/>
    <w:rsid w:val="00063C91"/>
    <w:rsid w:val="000640E7"/>
    <w:rsid w:val="00065B70"/>
    <w:rsid w:val="00065C01"/>
    <w:rsid w:val="00066DC7"/>
    <w:rsid w:val="0006794A"/>
    <w:rsid w:val="00067F31"/>
    <w:rsid w:val="00071138"/>
    <w:rsid w:val="000717BF"/>
    <w:rsid w:val="00072D58"/>
    <w:rsid w:val="00072D7C"/>
    <w:rsid w:val="00073402"/>
    <w:rsid w:val="00075745"/>
    <w:rsid w:val="00075A04"/>
    <w:rsid w:val="00075D39"/>
    <w:rsid w:val="000760C3"/>
    <w:rsid w:val="000763A4"/>
    <w:rsid w:val="00076901"/>
    <w:rsid w:val="000817BB"/>
    <w:rsid w:val="0008237C"/>
    <w:rsid w:val="00082CBB"/>
    <w:rsid w:val="000833C3"/>
    <w:rsid w:val="0008421F"/>
    <w:rsid w:val="0008451C"/>
    <w:rsid w:val="00085A0B"/>
    <w:rsid w:val="000863B7"/>
    <w:rsid w:val="000863E8"/>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044"/>
    <w:rsid w:val="000A12BC"/>
    <w:rsid w:val="000A1306"/>
    <w:rsid w:val="000A1521"/>
    <w:rsid w:val="000A2FC1"/>
    <w:rsid w:val="000A35CF"/>
    <w:rsid w:val="000A3A57"/>
    <w:rsid w:val="000A5408"/>
    <w:rsid w:val="000A5FE9"/>
    <w:rsid w:val="000A6307"/>
    <w:rsid w:val="000A6510"/>
    <w:rsid w:val="000A6A08"/>
    <w:rsid w:val="000B0BB4"/>
    <w:rsid w:val="000B0E29"/>
    <w:rsid w:val="000B1045"/>
    <w:rsid w:val="000B16BB"/>
    <w:rsid w:val="000B1BAE"/>
    <w:rsid w:val="000B1F3A"/>
    <w:rsid w:val="000B29B3"/>
    <w:rsid w:val="000B3889"/>
    <w:rsid w:val="000B3B3B"/>
    <w:rsid w:val="000B42E7"/>
    <w:rsid w:val="000B5141"/>
    <w:rsid w:val="000B57D6"/>
    <w:rsid w:val="000B70B7"/>
    <w:rsid w:val="000B73E6"/>
    <w:rsid w:val="000B7759"/>
    <w:rsid w:val="000B7AF5"/>
    <w:rsid w:val="000C111E"/>
    <w:rsid w:val="000C1E3C"/>
    <w:rsid w:val="000C1FB4"/>
    <w:rsid w:val="000C2A3E"/>
    <w:rsid w:val="000C2CE8"/>
    <w:rsid w:val="000C335E"/>
    <w:rsid w:val="000C4651"/>
    <w:rsid w:val="000C46EC"/>
    <w:rsid w:val="000C484D"/>
    <w:rsid w:val="000C523D"/>
    <w:rsid w:val="000C52A5"/>
    <w:rsid w:val="000C563F"/>
    <w:rsid w:val="000C5641"/>
    <w:rsid w:val="000C5DF9"/>
    <w:rsid w:val="000C5F21"/>
    <w:rsid w:val="000C662C"/>
    <w:rsid w:val="000C733A"/>
    <w:rsid w:val="000C76B0"/>
    <w:rsid w:val="000D03AA"/>
    <w:rsid w:val="000D0C07"/>
    <w:rsid w:val="000D0C7C"/>
    <w:rsid w:val="000D1A1D"/>
    <w:rsid w:val="000D5FB7"/>
    <w:rsid w:val="000D766C"/>
    <w:rsid w:val="000E0215"/>
    <w:rsid w:val="000E06A5"/>
    <w:rsid w:val="000E0E52"/>
    <w:rsid w:val="000E16EB"/>
    <w:rsid w:val="000E3F3B"/>
    <w:rsid w:val="000E4D11"/>
    <w:rsid w:val="000E4DCC"/>
    <w:rsid w:val="000E591F"/>
    <w:rsid w:val="000E5A23"/>
    <w:rsid w:val="000E6045"/>
    <w:rsid w:val="000E7872"/>
    <w:rsid w:val="000E7DDF"/>
    <w:rsid w:val="000F0772"/>
    <w:rsid w:val="000F0B6B"/>
    <w:rsid w:val="000F0BE5"/>
    <w:rsid w:val="000F0F0D"/>
    <w:rsid w:val="000F1B52"/>
    <w:rsid w:val="000F1C70"/>
    <w:rsid w:val="000F1EAA"/>
    <w:rsid w:val="000F1EC0"/>
    <w:rsid w:val="000F21C1"/>
    <w:rsid w:val="000F30D5"/>
    <w:rsid w:val="000F33C5"/>
    <w:rsid w:val="000F3ACF"/>
    <w:rsid w:val="000F49FA"/>
    <w:rsid w:val="000F58C4"/>
    <w:rsid w:val="000F5E56"/>
    <w:rsid w:val="000F70F9"/>
    <w:rsid w:val="001007AB"/>
    <w:rsid w:val="00100F97"/>
    <w:rsid w:val="001012E0"/>
    <w:rsid w:val="001016F2"/>
    <w:rsid w:val="001024C1"/>
    <w:rsid w:val="001025FC"/>
    <w:rsid w:val="00103027"/>
    <w:rsid w:val="0010385D"/>
    <w:rsid w:val="001042E0"/>
    <w:rsid w:val="001046DF"/>
    <w:rsid w:val="00104C51"/>
    <w:rsid w:val="0010597B"/>
    <w:rsid w:val="001077C8"/>
    <w:rsid w:val="00110107"/>
    <w:rsid w:val="00110531"/>
    <w:rsid w:val="00110794"/>
    <w:rsid w:val="0011227F"/>
    <w:rsid w:val="00112524"/>
    <w:rsid w:val="001127F0"/>
    <w:rsid w:val="00113769"/>
    <w:rsid w:val="00114141"/>
    <w:rsid w:val="00114827"/>
    <w:rsid w:val="00115266"/>
    <w:rsid w:val="001154FB"/>
    <w:rsid w:val="00115B51"/>
    <w:rsid w:val="0011608F"/>
    <w:rsid w:val="001171EF"/>
    <w:rsid w:val="001173C5"/>
    <w:rsid w:val="00121092"/>
    <w:rsid w:val="00121AA0"/>
    <w:rsid w:val="00121FE6"/>
    <w:rsid w:val="00123F16"/>
    <w:rsid w:val="0012405D"/>
    <w:rsid w:val="001252B1"/>
    <w:rsid w:val="00126897"/>
    <w:rsid w:val="0012696D"/>
    <w:rsid w:val="00126B9F"/>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D58"/>
    <w:rsid w:val="00153291"/>
    <w:rsid w:val="00153A62"/>
    <w:rsid w:val="00153CD7"/>
    <w:rsid w:val="00154023"/>
    <w:rsid w:val="001550DF"/>
    <w:rsid w:val="001552B9"/>
    <w:rsid w:val="00155CEA"/>
    <w:rsid w:val="00156153"/>
    <w:rsid w:val="001563D9"/>
    <w:rsid w:val="00156428"/>
    <w:rsid w:val="001568F4"/>
    <w:rsid w:val="001572CE"/>
    <w:rsid w:val="0015763C"/>
    <w:rsid w:val="00157880"/>
    <w:rsid w:val="001603F7"/>
    <w:rsid w:val="00160C95"/>
    <w:rsid w:val="00162777"/>
    <w:rsid w:val="0016337E"/>
    <w:rsid w:val="00164691"/>
    <w:rsid w:val="00164BD2"/>
    <w:rsid w:val="0016550A"/>
    <w:rsid w:val="00165AC3"/>
    <w:rsid w:val="001665F3"/>
    <w:rsid w:val="001667B6"/>
    <w:rsid w:val="001668D4"/>
    <w:rsid w:val="00166A09"/>
    <w:rsid w:val="00167571"/>
    <w:rsid w:val="00167809"/>
    <w:rsid w:val="00167F30"/>
    <w:rsid w:val="00171844"/>
    <w:rsid w:val="0017385A"/>
    <w:rsid w:val="00175448"/>
    <w:rsid w:val="001757AF"/>
    <w:rsid w:val="00175825"/>
    <w:rsid w:val="0017666F"/>
    <w:rsid w:val="00176CE8"/>
    <w:rsid w:val="00176D64"/>
    <w:rsid w:val="00176E2C"/>
    <w:rsid w:val="00177DBF"/>
    <w:rsid w:val="00182417"/>
    <w:rsid w:val="0018242F"/>
    <w:rsid w:val="0018414E"/>
    <w:rsid w:val="001847D2"/>
    <w:rsid w:val="00185718"/>
    <w:rsid w:val="001857AF"/>
    <w:rsid w:val="00185BBE"/>
    <w:rsid w:val="001863E1"/>
    <w:rsid w:val="00186606"/>
    <w:rsid w:val="00190B6D"/>
    <w:rsid w:val="00190B7D"/>
    <w:rsid w:val="00191E75"/>
    <w:rsid w:val="00192022"/>
    <w:rsid w:val="0019301D"/>
    <w:rsid w:val="0019454F"/>
    <w:rsid w:val="00194719"/>
    <w:rsid w:val="00194774"/>
    <w:rsid w:val="00194C21"/>
    <w:rsid w:val="00195CE0"/>
    <w:rsid w:val="00196211"/>
    <w:rsid w:val="00196EAE"/>
    <w:rsid w:val="001A098F"/>
    <w:rsid w:val="001A10CB"/>
    <w:rsid w:val="001A110B"/>
    <w:rsid w:val="001A149A"/>
    <w:rsid w:val="001A2A50"/>
    <w:rsid w:val="001A2AB7"/>
    <w:rsid w:val="001A498D"/>
    <w:rsid w:val="001A4A9C"/>
    <w:rsid w:val="001A5924"/>
    <w:rsid w:val="001A6B88"/>
    <w:rsid w:val="001A6C33"/>
    <w:rsid w:val="001A6E68"/>
    <w:rsid w:val="001B0323"/>
    <w:rsid w:val="001B14BA"/>
    <w:rsid w:val="001B3131"/>
    <w:rsid w:val="001B4B2F"/>
    <w:rsid w:val="001B6E3E"/>
    <w:rsid w:val="001B7C00"/>
    <w:rsid w:val="001C09D2"/>
    <w:rsid w:val="001C0E95"/>
    <w:rsid w:val="001C1620"/>
    <w:rsid w:val="001C18B2"/>
    <w:rsid w:val="001C1994"/>
    <w:rsid w:val="001C2469"/>
    <w:rsid w:val="001C2933"/>
    <w:rsid w:val="001C5EEE"/>
    <w:rsid w:val="001C6A73"/>
    <w:rsid w:val="001C6E91"/>
    <w:rsid w:val="001C73C2"/>
    <w:rsid w:val="001D0474"/>
    <w:rsid w:val="001D141D"/>
    <w:rsid w:val="001D1EBD"/>
    <w:rsid w:val="001D2184"/>
    <w:rsid w:val="001D24F3"/>
    <w:rsid w:val="001D2678"/>
    <w:rsid w:val="001D2BA4"/>
    <w:rsid w:val="001D2DC4"/>
    <w:rsid w:val="001D3A3D"/>
    <w:rsid w:val="001D6A48"/>
    <w:rsid w:val="001D7E09"/>
    <w:rsid w:val="001E1043"/>
    <w:rsid w:val="001E10E1"/>
    <w:rsid w:val="001E175F"/>
    <w:rsid w:val="001E19F7"/>
    <w:rsid w:val="001E1C26"/>
    <w:rsid w:val="001E2669"/>
    <w:rsid w:val="001E3844"/>
    <w:rsid w:val="001E3FB9"/>
    <w:rsid w:val="001E4083"/>
    <w:rsid w:val="001E426E"/>
    <w:rsid w:val="001E5588"/>
    <w:rsid w:val="001E56CB"/>
    <w:rsid w:val="001E56FC"/>
    <w:rsid w:val="001E582D"/>
    <w:rsid w:val="001E6318"/>
    <w:rsid w:val="001E706E"/>
    <w:rsid w:val="001F011A"/>
    <w:rsid w:val="001F0AD5"/>
    <w:rsid w:val="001F0C0A"/>
    <w:rsid w:val="001F1509"/>
    <w:rsid w:val="001F18E7"/>
    <w:rsid w:val="001F3A75"/>
    <w:rsid w:val="001F3A9D"/>
    <w:rsid w:val="001F3FDB"/>
    <w:rsid w:val="001F6545"/>
    <w:rsid w:val="001F66B5"/>
    <w:rsid w:val="001F6DDE"/>
    <w:rsid w:val="001F6F36"/>
    <w:rsid w:val="001F76FD"/>
    <w:rsid w:val="002004C0"/>
    <w:rsid w:val="00200FEC"/>
    <w:rsid w:val="002011E7"/>
    <w:rsid w:val="002012F2"/>
    <w:rsid w:val="002014D7"/>
    <w:rsid w:val="00202F07"/>
    <w:rsid w:val="00203030"/>
    <w:rsid w:val="00203D45"/>
    <w:rsid w:val="00205495"/>
    <w:rsid w:val="002061DE"/>
    <w:rsid w:val="002065E2"/>
    <w:rsid w:val="00206900"/>
    <w:rsid w:val="00206C61"/>
    <w:rsid w:val="00206F30"/>
    <w:rsid w:val="002072D8"/>
    <w:rsid w:val="00207616"/>
    <w:rsid w:val="00207F10"/>
    <w:rsid w:val="0021023A"/>
    <w:rsid w:val="002112E6"/>
    <w:rsid w:val="00213213"/>
    <w:rsid w:val="0021457F"/>
    <w:rsid w:val="0021505D"/>
    <w:rsid w:val="00215CBE"/>
    <w:rsid w:val="0021604B"/>
    <w:rsid w:val="00216545"/>
    <w:rsid w:val="00216FE8"/>
    <w:rsid w:val="00220227"/>
    <w:rsid w:val="0022176B"/>
    <w:rsid w:val="00222760"/>
    <w:rsid w:val="00222782"/>
    <w:rsid w:val="00222CDD"/>
    <w:rsid w:val="0022360A"/>
    <w:rsid w:val="00224FC0"/>
    <w:rsid w:val="00226B82"/>
    <w:rsid w:val="00227103"/>
    <w:rsid w:val="002271A0"/>
    <w:rsid w:val="00227A6B"/>
    <w:rsid w:val="00227C9B"/>
    <w:rsid w:val="00230249"/>
    <w:rsid w:val="00230D5F"/>
    <w:rsid w:val="00231BE3"/>
    <w:rsid w:val="002322B8"/>
    <w:rsid w:val="00232C51"/>
    <w:rsid w:val="00233414"/>
    <w:rsid w:val="00233D69"/>
    <w:rsid w:val="00234E82"/>
    <w:rsid w:val="00235C9D"/>
    <w:rsid w:val="00236C3B"/>
    <w:rsid w:val="002378EE"/>
    <w:rsid w:val="00237916"/>
    <w:rsid w:val="002406C2"/>
    <w:rsid w:val="002411A5"/>
    <w:rsid w:val="002412D4"/>
    <w:rsid w:val="0024220D"/>
    <w:rsid w:val="00242BD3"/>
    <w:rsid w:val="00242C02"/>
    <w:rsid w:val="00243155"/>
    <w:rsid w:val="002461EE"/>
    <w:rsid w:val="00246E87"/>
    <w:rsid w:val="00247652"/>
    <w:rsid w:val="00247783"/>
    <w:rsid w:val="002502E2"/>
    <w:rsid w:val="0025172C"/>
    <w:rsid w:val="00252BFC"/>
    <w:rsid w:val="00252CF8"/>
    <w:rsid w:val="00252E2E"/>
    <w:rsid w:val="00253210"/>
    <w:rsid w:val="0025353E"/>
    <w:rsid w:val="00253DE1"/>
    <w:rsid w:val="0025425F"/>
    <w:rsid w:val="00254468"/>
    <w:rsid w:val="00254DE4"/>
    <w:rsid w:val="00255471"/>
    <w:rsid w:val="002559DA"/>
    <w:rsid w:val="00255ADB"/>
    <w:rsid w:val="002567DD"/>
    <w:rsid w:val="00256955"/>
    <w:rsid w:val="00257A64"/>
    <w:rsid w:val="0026071A"/>
    <w:rsid w:val="0026161B"/>
    <w:rsid w:val="00261B27"/>
    <w:rsid w:val="00262B5A"/>
    <w:rsid w:val="0026444F"/>
    <w:rsid w:val="0026520E"/>
    <w:rsid w:val="00266486"/>
    <w:rsid w:val="00266B0A"/>
    <w:rsid w:val="00266C61"/>
    <w:rsid w:val="0026749A"/>
    <w:rsid w:val="00267F8C"/>
    <w:rsid w:val="00270E72"/>
    <w:rsid w:val="0027167E"/>
    <w:rsid w:val="00271F24"/>
    <w:rsid w:val="00272503"/>
    <w:rsid w:val="00272F3A"/>
    <w:rsid w:val="002736FD"/>
    <w:rsid w:val="00273941"/>
    <w:rsid w:val="00273D91"/>
    <w:rsid w:val="002743E2"/>
    <w:rsid w:val="00274410"/>
    <w:rsid w:val="0027447E"/>
    <w:rsid w:val="0027520A"/>
    <w:rsid w:val="0027525D"/>
    <w:rsid w:val="00275419"/>
    <w:rsid w:val="00275A2D"/>
    <w:rsid w:val="0027655E"/>
    <w:rsid w:val="002772A5"/>
    <w:rsid w:val="002802D9"/>
    <w:rsid w:val="002806F8"/>
    <w:rsid w:val="002810B5"/>
    <w:rsid w:val="00281F4F"/>
    <w:rsid w:val="00283756"/>
    <w:rsid w:val="002846D6"/>
    <w:rsid w:val="00286744"/>
    <w:rsid w:val="00286DB3"/>
    <w:rsid w:val="002873B1"/>
    <w:rsid w:val="002877B3"/>
    <w:rsid w:val="00290013"/>
    <w:rsid w:val="002909B9"/>
    <w:rsid w:val="00292CEE"/>
    <w:rsid w:val="00292D22"/>
    <w:rsid w:val="002931D1"/>
    <w:rsid w:val="00294239"/>
    <w:rsid w:val="0029470D"/>
    <w:rsid w:val="00297B80"/>
    <w:rsid w:val="002A076C"/>
    <w:rsid w:val="002A083E"/>
    <w:rsid w:val="002A1059"/>
    <w:rsid w:val="002A15ED"/>
    <w:rsid w:val="002A325C"/>
    <w:rsid w:val="002A3C9D"/>
    <w:rsid w:val="002A5403"/>
    <w:rsid w:val="002A6C9F"/>
    <w:rsid w:val="002A77F3"/>
    <w:rsid w:val="002B14F0"/>
    <w:rsid w:val="002B1F0F"/>
    <w:rsid w:val="002B5051"/>
    <w:rsid w:val="002B53D3"/>
    <w:rsid w:val="002B6202"/>
    <w:rsid w:val="002B62EF"/>
    <w:rsid w:val="002C014C"/>
    <w:rsid w:val="002C060C"/>
    <w:rsid w:val="002C0BA6"/>
    <w:rsid w:val="002C12A7"/>
    <w:rsid w:val="002C2B6F"/>
    <w:rsid w:val="002C314F"/>
    <w:rsid w:val="002C4AD1"/>
    <w:rsid w:val="002C6076"/>
    <w:rsid w:val="002C7D29"/>
    <w:rsid w:val="002D0298"/>
    <w:rsid w:val="002D1662"/>
    <w:rsid w:val="002D1DE5"/>
    <w:rsid w:val="002D2417"/>
    <w:rsid w:val="002D325A"/>
    <w:rsid w:val="002D3506"/>
    <w:rsid w:val="002D3670"/>
    <w:rsid w:val="002D4807"/>
    <w:rsid w:val="002D5DDC"/>
    <w:rsid w:val="002D5F16"/>
    <w:rsid w:val="002D62F1"/>
    <w:rsid w:val="002D6FD8"/>
    <w:rsid w:val="002D70D3"/>
    <w:rsid w:val="002D727B"/>
    <w:rsid w:val="002D79CF"/>
    <w:rsid w:val="002D7EAD"/>
    <w:rsid w:val="002E1169"/>
    <w:rsid w:val="002E1218"/>
    <w:rsid w:val="002E1E65"/>
    <w:rsid w:val="002E2388"/>
    <w:rsid w:val="002E28F3"/>
    <w:rsid w:val="002E4C14"/>
    <w:rsid w:val="002E6137"/>
    <w:rsid w:val="002E7615"/>
    <w:rsid w:val="002E79FA"/>
    <w:rsid w:val="002E7A2A"/>
    <w:rsid w:val="002E7F16"/>
    <w:rsid w:val="002F1425"/>
    <w:rsid w:val="002F2EC8"/>
    <w:rsid w:val="002F4CE2"/>
    <w:rsid w:val="002F5F6A"/>
    <w:rsid w:val="002F60A4"/>
    <w:rsid w:val="002F6B0C"/>
    <w:rsid w:val="002F7523"/>
    <w:rsid w:val="002F77FC"/>
    <w:rsid w:val="002F7A91"/>
    <w:rsid w:val="002F7BAB"/>
    <w:rsid w:val="003004A6"/>
    <w:rsid w:val="0030107E"/>
    <w:rsid w:val="0030129C"/>
    <w:rsid w:val="003013E2"/>
    <w:rsid w:val="00301FE4"/>
    <w:rsid w:val="003029C8"/>
    <w:rsid w:val="00302AB4"/>
    <w:rsid w:val="00303E3A"/>
    <w:rsid w:val="00305417"/>
    <w:rsid w:val="00306127"/>
    <w:rsid w:val="0030641B"/>
    <w:rsid w:val="003067C8"/>
    <w:rsid w:val="00307ECA"/>
    <w:rsid w:val="0031039F"/>
    <w:rsid w:val="003106E6"/>
    <w:rsid w:val="00311453"/>
    <w:rsid w:val="003114C9"/>
    <w:rsid w:val="0031216E"/>
    <w:rsid w:val="0031229D"/>
    <w:rsid w:val="00314E12"/>
    <w:rsid w:val="00315C5C"/>
    <w:rsid w:val="003166A5"/>
    <w:rsid w:val="00316C8C"/>
    <w:rsid w:val="003174C2"/>
    <w:rsid w:val="00317CE4"/>
    <w:rsid w:val="00320DF4"/>
    <w:rsid w:val="003219A9"/>
    <w:rsid w:val="00321B00"/>
    <w:rsid w:val="00321C54"/>
    <w:rsid w:val="00321DCD"/>
    <w:rsid w:val="0032261F"/>
    <w:rsid w:val="003237A2"/>
    <w:rsid w:val="00323A7C"/>
    <w:rsid w:val="00324729"/>
    <w:rsid w:val="00325726"/>
    <w:rsid w:val="00325C8B"/>
    <w:rsid w:val="00326B3B"/>
    <w:rsid w:val="00327011"/>
    <w:rsid w:val="00327581"/>
    <w:rsid w:val="00330350"/>
    <w:rsid w:val="00331277"/>
    <w:rsid w:val="00334127"/>
    <w:rsid w:val="00335CA6"/>
    <w:rsid w:val="003360B0"/>
    <w:rsid w:val="003365F0"/>
    <w:rsid w:val="00336C50"/>
    <w:rsid w:val="00337388"/>
    <w:rsid w:val="0034007D"/>
    <w:rsid w:val="00340679"/>
    <w:rsid w:val="00340BAD"/>
    <w:rsid w:val="003433E5"/>
    <w:rsid w:val="00344082"/>
    <w:rsid w:val="0034582C"/>
    <w:rsid w:val="00345916"/>
    <w:rsid w:val="00345CAC"/>
    <w:rsid w:val="0034789E"/>
    <w:rsid w:val="00350015"/>
    <w:rsid w:val="003501DA"/>
    <w:rsid w:val="003503E2"/>
    <w:rsid w:val="00351DC1"/>
    <w:rsid w:val="003534EE"/>
    <w:rsid w:val="0035665A"/>
    <w:rsid w:val="003600A2"/>
    <w:rsid w:val="00360AE3"/>
    <w:rsid w:val="003612D8"/>
    <w:rsid w:val="0036275B"/>
    <w:rsid w:val="003637B6"/>
    <w:rsid w:val="00363F89"/>
    <w:rsid w:val="00363FB0"/>
    <w:rsid w:val="003646D6"/>
    <w:rsid w:val="00364FC6"/>
    <w:rsid w:val="0036541D"/>
    <w:rsid w:val="00370504"/>
    <w:rsid w:val="00371814"/>
    <w:rsid w:val="00372BAE"/>
    <w:rsid w:val="00372EE9"/>
    <w:rsid w:val="00373F07"/>
    <w:rsid w:val="0037476E"/>
    <w:rsid w:val="00374A60"/>
    <w:rsid w:val="00375181"/>
    <w:rsid w:val="003764C0"/>
    <w:rsid w:val="003767A4"/>
    <w:rsid w:val="003774F6"/>
    <w:rsid w:val="003802FF"/>
    <w:rsid w:val="00380A44"/>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133"/>
    <w:rsid w:val="003A26CD"/>
    <w:rsid w:val="003A2BAA"/>
    <w:rsid w:val="003A37F7"/>
    <w:rsid w:val="003A47A7"/>
    <w:rsid w:val="003A54E9"/>
    <w:rsid w:val="003A5E7C"/>
    <w:rsid w:val="003A78C7"/>
    <w:rsid w:val="003A7E9A"/>
    <w:rsid w:val="003A7EEF"/>
    <w:rsid w:val="003B058B"/>
    <w:rsid w:val="003B0A06"/>
    <w:rsid w:val="003B15FE"/>
    <w:rsid w:val="003B1C41"/>
    <w:rsid w:val="003B3BAC"/>
    <w:rsid w:val="003B46AD"/>
    <w:rsid w:val="003B5786"/>
    <w:rsid w:val="003B5C96"/>
    <w:rsid w:val="003B65FB"/>
    <w:rsid w:val="003B6A26"/>
    <w:rsid w:val="003C218D"/>
    <w:rsid w:val="003C2E91"/>
    <w:rsid w:val="003C3D89"/>
    <w:rsid w:val="003C3EE2"/>
    <w:rsid w:val="003C4224"/>
    <w:rsid w:val="003C426D"/>
    <w:rsid w:val="003C4877"/>
    <w:rsid w:val="003C4B42"/>
    <w:rsid w:val="003C4E91"/>
    <w:rsid w:val="003C6D76"/>
    <w:rsid w:val="003C72F6"/>
    <w:rsid w:val="003D073C"/>
    <w:rsid w:val="003D0791"/>
    <w:rsid w:val="003D1130"/>
    <w:rsid w:val="003D249A"/>
    <w:rsid w:val="003D2A21"/>
    <w:rsid w:val="003D30C4"/>
    <w:rsid w:val="003D37D4"/>
    <w:rsid w:val="003D47A7"/>
    <w:rsid w:val="003D56B5"/>
    <w:rsid w:val="003D5DCC"/>
    <w:rsid w:val="003D6B82"/>
    <w:rsid w:val="003D6B84"/>
    <w:rsid w:val="003D76A8"/>
    <w:rsid w:val="003E1A49"/>
    <w:rsid w:val="003E2D01"/>
    <w:rsid w:val="003E330E"/>
    <w:rsid w:val="003E3AE3"/>
    <w:rsid w:val="003E5733"/>
    <w:rsid w:val="003E5E27"/>
    <w:rsid w:val="003E6FD2"/>
    <w:rsid w:val="003E788F"/>
    <w:rsid w:val="003E7A97"/>
    <w:rsid w:val="003E7D3A"/>
    <w:rsid w:val="003F0950"/>
    <w:rsid w:val="003F09C9"/>
    <w:rsid w:val="003F22D0"/>
    <w:rsid w:val="003F3AA7"/>
    <w:rsid w:val="003F4C37"/>
    <w:rsid w:val="003F518C"/>
    <w:rsid w:val="003F67AE"/>
    <w:rsid w:val="003F6BBB"/>
    <w:rsid w:val="003F719F"/>
    <w:rsid w:val="0040033D"/>
    <w:rsid w:val="004007E1"/>
    <w:rsid w:val="00400B1F"/>
    <w:rsid w:val="00401FE8"/>
    <w:rsid w:val="004032D2"/>
    <w:rsid w:val="00403C4F"/>
    <w:rsid w:val="0040557D"/>
    <w:rsid w:val="004058B4"/>
    <w:rsid w:val="00405C45"/>
    <w:rsid w:val="004062EF"/>
    <w:rsid w:val="004062F0"/>
    <w:rsid w:val="00406CB5"/>
    <w:rsid w:val="004074E7"/>
    <w:rsid w:val="004079B4"/>
    <w:rsid w:val="00410B8F"/>
    <w:rsid w:val="00412057"/>
    <w:rsid w:val="004126C1"/>
    <w:rsid w:val="004136CE"/>
    <w:rsid w:val="00413BA5"/>
    <w:rsid w:val="00414FD0"/>
    <w:rsid w:val="00415B42"/>
    <w:rsid w:val="00416580"/>
    <w:rsid w:val="00417E93"/>
    <w:rsid w:val="00422A2A"/>
    <w:rsid w:val="00424BB4"/>
    <w:rsid w:val="004258CD"/>
    <w:rsid w:val="004261D2"/>
    <w:rsid w:val="00427243"/>
    <w:rsid w:val="004303D1"/>
    <w:rsid w:val="00431FAB"/>
    <w:rsid w:val="004320B6"/>
    <w:rsid w:val="00433C0A"/>
    <w:rsid w:val="004349FA"/>
    <w:rsid w:val="00436288"/>
    <w:rsid w:val="004406BD"/>
    <w:rsid w:val="00440B12"/>
    <w:rsid w:val="00441120"/>
    <w:rsid w:val="00442580"/>
    <w:rsid w:val="00442FBE"/>
    <w:rsid w:val="004433B1"/>
    <w:rsid w:val="00443571"/>
    <w:rsid w:val="004444E3"/>
    <w:rsid w:val="004447FD"/>
    <w:rsid w:val="00445032"/>
    <w:rsid w:val="004450CB"/>
    <w:rsid w:val="004467F9"/>
    <w:rsid w:val="00446967"/>
    <w:rsid w:val="00446AB6"/>
    <w:rsid w:val="0044701C"/>
    <w:rsid w:val="004500A5"/>
    <w:rsid w:val="00450EEE"/>
    <w:rsid w:val="004512B2"/>
    <w:rsid w:val="004527FF"/>
    <w:rsid w:val="004528EE"/>
    <w:rsid w:val="00453360"/>
    <w:rsid w:val="004561AF"/>
    <w:rsid w:val="00456409"/>
    <w:rsid w:val="004569C6"/>
    <w:rsid w:val="00456ADC"/>
    <w:rsid w:val="0045725E"/>
    <w:rsid w:val="0045768F"/>
    <w:rsid w:val="00457769"/>
    <w:rsid w:val="004627AE"/>
    <w:rsid w:val="0046298E"/>
    <w:rsid w:val="004647BB"/>
    <w:rsid w:val="0046482B"/>
    <w:rsid w:val="004648E0"/>
    <w:rsid w:val="004673A3"/>
    <w:rsid w:val="004675F9"/>
    <w:rsid w:val="00472043"/>
    <w:rsid w:val="00472F56"/>
    <w:rsid w:val="0047335E"/>
    <w:rsid w:val="00473CA1"/>
    <w:rsid w:val="0047572C"/>
    <w:rsid w:val="00476407"/>
    <w:rsid w:val="004773F7"/>
    <w:rsid w:val="004818E1"/>
    <w:rsid w:val="00481F5F"/>
    <w:rsid w:val="004821D0"/>
    <w:rsid w:val="00482CB2"/>
    <w:rsid w:val="00483D06"/>
    <w:rsid w:val="00485A4A"/>
    <w:rsid w:val="00485CF7"/>
    <w:rsid w:val="004862C2"/>
    <w:rsid w:val="004863F7"/>
    <w:rsid w:val="00486FFC"/>
    <w:rsid w:val="00490ED4"/>
    <w:rsid w:val="00491B91"/>
    <w:rsid w:val="00491C21"/>
    <w:rsid w:val="00491C66"/>
    <w:rsid w:val="0049219F"/>
    <w:rsid w:val="004935D6"/>
    <w:rsid w:val="00493FC3"/>
    <w:rsid w:val="00494195"/>
    <w:rsid w:val="004945FB"/>
    <w:rsid w:val="00496352"/>
    <w:rsid w:val="00496423"/>
    <w:rsid w:val="00497356"/>
    <w:rsid w:val="004A076F"/>
    <w:rsid w:val="004A0B7E"/>
    <w:rsid w:val="004A16DC"/>
    <w:rsid w:val="004A1DC1"/>
    <w:rsid w:val="004A1E93"/>
    <w:rsid w:val="004A2034"/>
    <w:rsid w:val="004A31A2"/>
    <w:rsid w:val="004A3617"/>
    <w:rsid w:val="004A48A7"/>
    <w:rsid w:val="004A614D"/>
    <w:rsid w:val="004A655D"/>
    <w:rsid w:val="004A6707"/>
    <w:rsid w:val="004B01B1"/>
    <w:rsid w:val="004B08D1"/>
    <w:rsid w:val="004B10E6"/>
    <w:rsid w:val="004B1856"/>
    <w:rsid w:val="004B198F"/>
    <w:rsid w:val="004B26CF"/>
    <w:rsid w:val="004B357D"/>
    <w:rsid w:val="004B3CD5"/>
    <w:rsid w:val="004B3F34"/>
    <w:rsid w:val="004B46D0"/>
    <w:rsid w:val="004B57B0"/>
    <w:rsid w:val="004B5D68"/>
    <w:rsid w:val="004B60CE"/>
    <w:rsid w:val="004B61C9"/>
    <w:rsid w:val="004B6A50"/>
    <w:rsid w:val="004C0B26"/>
    <w:rsid w:val="004C12FE"/>
    <w:rsid w:val="004C1D57"/>
    <w:rsid w:val="004C2A1E"/>
    <w:rsid w:val="004C2F7C"/>
    <w:rsid w:val="004C34F8"/>
    <w:rsid w:val="004C375F"/>
    <w:rsid w:val="004C482F"/>
    <w:rsid w:val="004C49C9"/>
    <w:rsid w:val="004C4A8E"/>
    <w:rsid w:val="004C4DFB"/>
    <w:rsid w:val="004C627F"/>
    <w:rsid w:val="004C76C1"/>
    <w:rsid w:val="004C7DDE"/>
    <w:rsid w:val="004D0D1A"/>
    <w:rsid w:val="004D156B"/>
    <w:rsid w:val="004D169F"/>
    <w:rsid w:val="004D18CF"/>
    <w:rsid w:val="004D30CE"/>
    <w:rsid w:val="004D4071"/>
    <w:rsid w:val="004D421A"/>
    <w:rsid w:val="004D4CCF"/>
    <w:rsid w:val="004D4D0C"/>
    <w:rsid w:val="004D4E4A"/>
    <w:rsid w:val="004D6144"/>
    <w:rsid w:val="004D678F"/>
    <w:rsid w:val="004E1264"/>
    <w:rsid w:val="004E2CBC"/>
    <w:rsid w:val="004E3DD4"/>
    <w:rsid w:val="004E4453"/>
    <w:rsid w:val="004E5C1A"/>
    <w:rsid w:val="004E6C8C"/>
    <w:rsid w:val="004E6CC7"/>
    <w:rsid w:val="004E776F"/>
    <w:rsid w:val="004F08E3"/>
    <w:rsid w:val="004F111D"/>
    <w:rsid w:val="004F1843"/>
    <w:rsid w:val="004F1EEC"/>
    <w:rsid w:val="004F24C8"/>
    <w:rsid w:val="004F30D6"/>
    <w:rsid w:val="004F34A5"/>
    <w:rsid w:val="004F40D6"/>
    <w:rsid w:val="004F4382"/>
    <w:rsid w:val="004F616F"/>
    <w:rsid w:val="004F6925"/>
    <w:rsid w:val="0050011B"/>
    <w:rsid w:val="00503019"/>
    <w:rsid w:val="00503AE1"/>
    <w:rsid w:val="00503CA6"/>
    <w:rsid w:val="00503FAE"/>
    <w:rsid w:val="00504DC1"/>
    <w:rsid w:val="00504F6D"/>
    <w:rsid w:val="00505332"/>
    <w:rsid w:val="00505A57"/>
    <w:rsid w:val="00505D37"/>
    <w:rsid w:val="00510406"/>
    <w:rsid w:val="005104E8"/>
    <w:rsid w:val="005107DB"/>
    <w:rsid w:val="00510DB0"/>
    <w:rsid w:val="005119F6"/>
    <w:rsid w:val="00511B7D"/>
    <w:rsid w:val="00511D00"/>
    <w:rsid w:val="00512A4C"/>
    <w:rsid w:val="005137E7"/>
    <w:rsid w:val="005150F6"/>
    <w:rsid w:val="00515EB9"/>
    <w:rsid w:val="00516256"/>
    <w:rsid w:val="005162CF"/>
    <w:rsid w:val="005166FF"/>
    <w:rsid w:val="00517A63"/>
    <w:rsid w:val="00517C8D"/>
    <w:rsid w:val="00517FD1"/>
    <w:rsid w:val="005219E6"/>
    <w:rsid w:val="00521B4A"/>
    <w:rsid w:val="0052212E"/>
    <w:rsid w:val="005228B3"/>
    <w:rsid w:val="00522E91"/>
    <w:rsid w:val="00522F16"/>
    <w:rsid w:val="0052302D"/>
    <w:rsid w:val="005236A5"/>
    <w:rsid w:val="0052513E"/>
    <w:rsid w:val="00526479"/>
    <w:rsid w:val="00526663"/>
    <w:rsid w:val="005266BD"/>
    <w:rsid w:val="00527300"/>
    <w:rsid w:val="0052772D"/>
    <w:rsid w:val="00530442"/>
    <w:rsid w:val="005305E9"/>
    <w:rsid w:val="0053371C"/>
    <w:rsid w:val="00534AF0"/>
    <w:rsid w:val="00534DE5"/>
    <w:rsid w:val="00535060"/>
    <w:rsid w:val="00535738"/>
    <w:rsid w:val="00535BD7"/>
    <w:rsid w:val="00536A20"/>
    <w:rsid w:val="00537A06"/>
    <w:rsid w:val="00537D62"/>
    <w:rsid w:val="005409EB"/>
    <w:rsid w:val="00540F30"/>
    <w:rsid w:val="00541DD2"/>
    <w:rsid w:val="00541F9F"/>
    <w:rsid w:val="00543A63"/>
    <w:rsid w:val="00543AB5"/>
    <w:rsid w:val="005457CF"/>
    <w:rsid w:val="005457EB"/>
    <w:rsid w:val="00545976"/>
    <w:rsid w:val="0054660F"/>
    <w:rsid w:val="00547628"/>
    <w:rsid w:val="00550553"/>
    <w:rsid w:val="005533C3"/>
    <w:rsid w:val="0055341D"/>
    <w:rsid w:val="005536E6"/>
    <w:rsid w:val="00553AC3"/>
    <w:rsid w:val="00553DBA"/>
    <w:rsid w:val="00554335"/>
    <w:rsid w:val="00555631"/>
    <w:rsid w:val="005556DF"/>
    <w:rsid w:val="0055621D"/>
    <w:rsid w:val="0055764D"/>
    <w:rsid w:val="00560C6A"/>
    <w:rsid w:val="00560F85"/>
    <w:rsid w:val="005610A0"/>
    <w:rsid w:val="0056248F"/>
    <w:rsid w:val="00562AE0"/>
    <w:rsid w:val="00564985"/>
    <w:rsid w:val="00565379"/>
    <w:rsid w:val="005658A4"/>
    <w:rsid w:val="005674C3"/>
    <w:rsid w:val="00567990"/>
    <w:rsid w:val="00567C4C"/>
    <w:rsid w:val="00567F59"/>
    <w:rsid w:val="00570479"/>
    <w:rsid w:val="00570B8B"/>
    <w:rsid w:val="00572575"/>
    <w:rsid w:val="005728C8"/>
    <w:rsid w:val="00572CCA"/>
    <w:rsid w:val="0057318D"/>
    <w:rsid w:val="005733AD"/>
    <w:rsid w:val="0057381A"/>
    <w:rsid w:val="00573ABD"/>
    <w:rsid w:val="00574B4F"/>
    <w:rsid w:val="00574B91"/>
    <w:rsid w:val="00574E5C"/>
    <w:rsid w:val="005750F7"/>
    <w:rsid w:val="0057512C"/>
    <w:rsid w:val="00576319"/>
    <w:rsid w:val="0057648C"/>
    <w:rsid w:val="00576AF3"/>
    <w:rsid w:val="00580A4E"/>
    <w:rsid w:val="00581FF0"/>
    <w:rsid w:val="005825FC"/>
    <w:rsid w:val="00583437"/>
    <w:rsid w:val="00583CE0"/>
    <w:rsid w:val="00584B4A"/>
    <w:rsid w:val="00584DCB"/>
    <w:rsid w:val="00585637"/>
    <w:rsid w:val="00585A16"/>
    <w:rsid w:val="00585B98"/>
    <w:rsid w:val="005863D8"/>
    <w:rsid w:val="005865B2"/>
    <w:rsid w:val="00586812"/>
    <w:rsid w:val="00586F2B"/>
    <w:rsid w:val="00587BC2"/>
    <w:rsid w:val="00590E6C"/>
    <w:rsid w:val="005918E4"/>
    <w:rsid w:val="00591C6D"/>
    <w:rsid w:val="00591C71"/>
    <w:rsid w:val="00592392"/>
    <w:rsid w:val="00592484"/>
    <w:rsid w:val="0059283D"/>
    <w:rsid w:val="005928D3"/>
    <w:rsid w:val="00592D5D"/>
    <w:rsid w:val="0059522A"/>
    <w:rsid w:val="005955C0"/>
    <w:rsid w:val="00595B68"/>
    <w:rsid w:val="00595EAA"/>
    <w:rsid w:val="0059672B"/>
    <w:rsid w:val="005A0C60"/>
    <w:rsid w:val="005A255F"/>
    <w:rsid w:val="005A330E"/>
    <w:rsid w:val="005A5554"/>
    <w:rsid w:val="005A5651"/>
    <w:rsid w:val="005A57D9"/>
    <w:rsid w:val="005A6AFE"/>
    <w:rsid w:val="005A7BF3"/>
    <w:rsid w:val="005A7DE0"/>
    <w:rsid w:val="005B0AEF"/>
    <w:rsid w:val="005B1F73"/>
    <w:rsid w:val="005B37D9"/>
    <w:rsid w:val="005B3EEB"/>
    <w:rsid w:val="005B445B"/>
    <w:rsid w:val="005B474E"/>
    <w:rsid w:val="005B489A"/>
    <w:rsid w:val="005B63A6"/>
    <w:rsid w:val="005B64D1"/>
    <w:rsid w:val="005B6A18"/>
    <w:rsid w:val="005B6A88"/>
    <w:rsid w:val="005B6E05"/>
    <w:rsid w:val="005B7F42"/>
    <w:rsid w:val="005C1041"/>
    <w:rsid w:val="005C19D0"/>
    <w:rsid w:val="005C1D45"/>
    <w:rsid w:val="005C2587"/>
    <w:rsid w:val="005C2B9E"/>
    <w:rsid w:val="005C3C9B"/>
    <w:rsid w:val="005C427A"/>
    <w:rsid w:val="005C42AB"/>
    <w:rsid w:val="005C45C0"/>
    <w:rsid w:val="005C5335"/>
    <w:rsid w:val="005C5D7B"/>
    <w:rsid w:val="005C5E29"/>
    <w:rsid w:val="005C6474"/>
    <w:rsid w:val="005C6A68"/>
    <w:rsid w:val="005C76E1"/>
    <w:rsid w:val="005D0AE3"/>
    <w:rsid w:val="005D0C1D"/>
    <w:rsid w:val="005D1103"/>
    <w:rsid w:val="005D276D"/>
    <w:rsid w:val="005D3CE0"/>
    <w:rsid w:val="005D5912"/>
    <w:rsid w:val="005D794C"/>
    <w:rsid w:val="005D7A9F"/>
    <w:rsid w:val="005D7AA2"/>
    <w:rsid w:val="005E2154"/>
    <w:rsid w:val="005E2FC7"/>
    <w:rsid w:val="005E3261"/>
    <w:rsid w:val="005E37B9"/>
    <w:rsid w:val="005E427F"/>
    <w:rsid w:val="005E4574"/>
    <w:rsid w:val="005E4BBE"/>
    <w:rsid w:val="005E4C97"/>
    <w:rsid w:val="005E5014"/>
    <w:rsid w:val="005E51B4"/>
    <w:rsid w:val="005E684F"/>
    <w:rsid w:val="005E77BA"/>
    <w:rsid w:val="005F0112"/>
    <w:rsid w:val="005F03E3"/>
    <w:rsid w:val="005F0829"/>
    <w:rsid w:val="005F2563"/>
    <w:rsid w:val="005F32BE"/>
    <w:rsid w:val="005F34FB"/>
    <w:rsid w:val="005F3540"/>
    <w:rsid w:val="005F39A0"/>
    <w:rsid w:val="005F6B68"/>
    <w:rsid w:val="005F6F2E"/>
    <w:rsid w:val="005F7D85"/>
    <w:rsid w:val="00600541"/>
    <w:rsid w:val="00601A1F"/>
    <w:rsid w:val="00602655"/>
    <w:rsid w:val="0060282B"/>
    <w:rsid w:val="00603B68"/>
    <w:rsid w:val="00603CB7"/>
    <w:rsid w:val="00604886"/>
    <w:rsid w:val="00605297"/>
    <w:rsid w:val="00605CB9"/>
    <w:rsid w:val="00606454"/>
    <w:rsid w:val="006065BF"/>
    <w:rsid w:val="00606A85"/>
    <w:rsid w:val="00607C00"/>
    <w:rsid w:val="00610430"/>
    <w:rsid w:val="00611858"/>
    <w:rsid w:val="0061345A"/>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15"/>
    <w:rsid w:val="00630FCD"/>
    <w:rsid w:val="006319C2"/>
    <w:rsid w:val="00631FF6"/>
    <w:rsid w:val="006326AB"/>
    <w:rsid w:val="0063292C"/>
    <w:rsid w:val="00632B92"/>
    <w:rsid w:val="0063312C"/>
    <w:rsid w:val="00633B80"/>
    <w:rsid w:val="00633DBC"/>
    <w:rsid w:val="00634CA3"/>
    <w:rsid w:val="006351AD"/>
    <w:rsid w:val="00635A2A"/>
    <w:rsid w:val="00636A63"/>
    <w:rsid w:val="00636C79"/>
    <w:rsid w:val="00636DCB"/>
    <w:rsid w:val="00636DE3"/>
    <w:rsid w:val="00636F89"/>
    <w:rsid w:val="0063700D"/>
    <w:rsid w:val="00637470"/>
    <w:rsid w:val="00637E13"/>
    <w:rsid w:val="00640B19"/>
    <w:rsid w:val="00640D89"/>
    <w:rsid w:val="00640F58"/>
    <w:rsid w:val="00641203"/>
    <w:rsid w:val="00641776"/>
    <w:rsid w:val="006438B0"/>
    <w:rsid w:val="0064473E"/>
    <w:rsid w:val="0064656E"/>
    <w:rsid w:val="00646DF5"/>
    <w:rsid w:val="00650397"/>
    <w:rsid w:val="006507E8"/>
    <w:rsid w:val="00650AAF"/>
    <w:rsid w:val="00650C73"/>
    <w:rsid w:val="00651143"/>
    <w:rsid w:val="00651959"/>
    <w:rsid w:val="00651E6A"/>
    <w:rsid w:val="00652AE6"/>
    <w:rsid w:val="00652BD0"/>
    <w:rsid w:val="00653149"/>
    <w:rsid w:val="006531E4"/>
    <w:rsid w:val="006540EC"/>
    <w:rsid w:val="00654505"/>
    <w:rsid w:val="006575ED"/>
    <w:rsid w:val="006578FD"/>
    <w:rsid w:val="00660060"/>
    <w:rsid w:val="006609AA"/>
    <w:rsid w:val="00662EDE"/>
    <w:rsid w:val="00664C9F"/>
    <w:rsid w:val="00666548"/>
    <w:rsid w:val="00666A71"/>
    <w:rsid w:val="00667016"/>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E18"/>
    <w:rsid w:val="006868CA"/>
    <w:rsid w:val="00686E32"/>
    <w:rsid w:val="0069087A"/>
    <w:rsid w:val="00690B4B"/>
    <w:rsid w:val="00690BE4"/>
    <w:rsid w:val="00691077"/>
    <w:rsid w:val="00691982"/>
    <w:rsid w:val="00691BB0"/>
    <w:rsid w:val="00692777"/>
    <w:rsid w:val="00692BE0"/>
    <w:rsid w:val="00692C98"/>
    <w:rsid w:val="0069324E"/>
    <w:rsid w:val="00694000"/>
    <w:rsid w:val="00694487"/>
    <w:rsid w:val="00695815"/>
    <w:rsid w:val="0069581B"/>
    <w:rsid w:val="006958D7"/>
    <w:rsid w:val="006961E5"/>
    <w:rsid w:val="00696601"/>
    <w:rsid w:val="006977FA"/>
    <w:rsid w:val="006A089D"/>
    <w:rsid w:val="006A20FB"/>
    <w:rsid w:val="006A2854"/>
    <w:rsid w:val="006A3206"/>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50D"/>
    <w:rsid w:val="006B643D"/>
    <w:rsid w:val="006B79A4"/>
    <w:rsid w:val="006C08A1"/>
    <w:rsid w:val="006C1254"/>
    <w:rsid w:val="006C2DC5"/>
    <w:rsid w:val="006C480B"/>
    <w:rsid w:val="006C570B"/>
    <w:rsid w:val="006C572E"/>
    <w:rsid w:val="006C5997"/>
    <w:rsid w:val="006C5CD2"/>
    <w:rsid w:val="006D0636"/>
    <w:rsid w:val="006D06DC"/>
    <w:rsid w:val="006D1FB7"/>
    <w:rsid w:val="006D54A7"/>
    <w:rsid w:val="006D6E46"/>
    <w:rsid w:val="006D7FA8"/>
    <w:rsid w:val="006E4601"/>
    <w:rsid w:val="006E5B86"/>
    <w:rsid w:val="006E63FF"/>
    <w:rsid w:val="006E652D"/>
    <w:rsid w:val="006E7572"/>
    <w:rsid w:val="006F1AC3"/>
    <w:rsid w:val="006F2F22"/>
    <w:rsid w:val="006F3D46"/>
    <w:rsid w:val="006F434A"/>
    <w:rsid w:val="006F517E"/>
    <w:rsid w:val="006F7974"/>
    <w:rsid w:val="00700A60"/>
    <w:rsid w:val="00703667"/>
    <w:rsid w:val="00705027"/>
    <w:rsid w:val="0070519B"/>
    <w:rsid w:val="0070594A"/>
    <w:rsid w:val="00705FEE"/>
    <w:rsid w:val="007060C5"/>
    <w:rsid w:val="00706F3B"/>
    <w:rsid w:val="00707DA1"/>
    <w:rsid w:val="00710494"/>
    <w:rsid w:val="007117BD"/>
    <w:rsid w:val="007123A6"/>
    <w:rsid w:val="00715129"/>
    <w:rsid w:val="007154CE"/>
    <w:rsid w:val="00715B25"/>
    <w:rsid w:val="00716020"/>
    <w:rsid w:val="0071770D"/>
    <w:rsid w:val="00720860"/>
    <w:rsid w:val="00720C45"/>
    <w:rsid w:val="00720F0A"/>
    <w:rsid w:val="00721087"/>
    <w:rsid w:val="00721530"/>
    <w:rsid w:val="007225D3"/>
    <w:rsid w:val="00723422"/>
    <w:rsid w:val="007234C3"/>
    <w:rsid w:val="00725FB5"/>
    <w:rsid w:val="007260FE"/>
    <w:rsid w:val="00726DD6"/>
    <w:rsid w:val="0073076E"/>
    <w:rsid w:val="00731B6A"/>
    <w:rsid w:val="00733416"/>
    <w:rsid w:val="0073377E"/>
    <w:rsid w:val="00733E05"/>
    <w:rsid w:val="00735C8A"/>
    <w:rsid w:val="00735FE2"/>
    <w:rsid w:val="0073719A"/>
    <w:rsid w:val="00737C15"/>
    <w:rsid w:val="00737C62"/>
    <w:rsid w:val="00737C91"/>
    <w:rsid w:val="0074130E"/>
    <w:rsid w:val="007417F4"/>
    <w:rsid w:val="00742D35"/>
    <w:rsid w:val="00743937"/>
    <w:rsid w:val="00744889"/>
    <w:rsid w:val="00744910"/>
    <w:rsid w:val="00745BA4"/>
    <w:rsid w:val="00745E8A"/>
    <w:rsid w:val="007462E8"/>
    <w:rsid w:val="00746F2D"/>
    <w:rsid w:val="0074734F"/>
    <w:rsid w:val="00750177"/>
    <w:rsid w:val="0075057F"/>
    <w:rsid w:val="0075066D"/>
    <w:rsid w:val="00752386"/>
    <w:rsid w:val="00752491"/>
    <w:rsid w:val="00752AEC"/>
    <w:rsid w:val="00752FBA"/>
    <w:rsid w:val="00753324"/>
    <w:rsid w:val="0075458D"/>
    <w:rsid w:val="007554A9"/>
    <w:rsid w:val="0075568B"/>
    <w:rsid w:val="007556F5"/>
    <w:rsid w:val="00757105"/>
    <w:rsid w:val="00757B82"/>
    <w:rsid w:val="0076281A"/>
    <w:rsid w:val="00762ADE"/>
    <w:rsid w:val="0076365D"/>
    <w:rsid w:val="007642DC"/>
    <w:rsid w:val="00765E49"/>
    <w:rsid w:val="007660E6"/>
    <w:rsid w:val="007661A9"/>
    <w:rsid w:val="007662C0"/>
    <w:rsid w:val="0076697E"/>
    <w:rsid w:val="007670D8"/>
    <w:rsid w:val="0076742F"/>
    <w:rsid w:val="00767712"/>
    <w:rsid w:val="007711D0"/>
    <w:rsid w:val="007712E6"/>
    <w:rsid w:val="00771D3D"/>
    <w:rsid w:val="007728AB"/>
    <w:rsid w:val="00772CFE"/>
    <w:rsid w:val="00772E46"/>
    <w:rsid w:val="00772E4A"/>
    <w:rsid w:val="007730CF"/>
    <w:rsid w:val="00774756"/>
    <w:rsid w:val="00775181"/>
    <w:rsid w:val="007751B6"/>
    <w:rsid w:val="00775345"/>
    <w:rsid w:val="00775750"/>
    <w:rsid w:val="00776A33"/>
    <w:rsid w:val="00776F15"/>
    <w:rsid w:val="007779ED"/>
    <w:rsid w:val="00780B1A"/>
    <w:rsid w:val="007810D3"/>
    <w:rsid w:val="0078264A"/>
    <w:rsid w:val="00782969"/>
    <w:rsid w:val="00783D11"/>
    <w:rsid w:val="00785E46"/>
    <w:rsid w:val="00785F8D"/>
    <w:rsid w:val="007876A5"/>
    <w:rsid w:val="00787917"/>
    <w:rsid w:val="00787CF4"/>
    <w:rsid w:val="00791489"/>
    <w:rsid w:val="00791683"/>
    <w:rsid w:val="0079268E"/>
    <w:rsid w:val="00792F0C"/>
    <w:rsid w:val="007938F4"/>
    <w:rsid w:val="007941EE"/>
    <w:rsid w:val="00795460"/>
    <w:rsid w:val="00796CF7"/>
    <w:rsid w:val="007A0313"/>
    <w:rsid w:val="007A043D"/>
    <w:rsid w:val="007A0A83"/>
    <w:rsid w:val="007A0F03"/>
    <w:rsid w:val="007A4BB3"/>
    <w:rsid w:val="007A6307"/>
    <w:rsid w:val="007A6822"/>
    <w:rsid w:val="007A6E72"/>
    <w:rsid w:val="007A724D"/>
    <w:rsid w:val="007A749D"/>
    <w:rsid w:val="007A7B37"/>
    <w:rsid w:val="007B024C"/>
    <w:rsid w:val="007B1C4C"/>
    <w:rsid w:val="007B1F16"/>
    <w:rsid w:val="007B2800"/>
    <w:rsid w:val="007B38F7"/>
    <w:rsid w:val="007B40D4"/>
    <w:rsid w:val="007B4511"/>
    <w:rsid w:val="007B4BAA"/>
    <w:rsid w:val="007B5C86"/>
    <w:rsid w:val="007B6071"/>
    <w:rsid w:val="007B6540"/>
    <w:rsid w:val="007B69A2"/>
    <w:rsid w:val="007B7A37"/>
    <w:rsid w:val="007C09C4"/>
    <w:rsid w:val="007C0ED5"/>
    <w:rsid w:val="007C25E9"/>
    <w:rsid w:val="007C2F78"/>
    <w:rsid w:val="007C34C5"/>
    <w:rsid w:val="007C4079"/>
    <w:rsid w:val="007C4827"/>
    <w:rsid w:val="007C4A20"/>
    <w:rsid w:val="007D0733"/>
    <w:rsid w:val="007D0B7F"/>
    <w:rsid w:val="007D1266"/>
    <w:rsid w:val="007D1B94"/>
    <w:rsid w:val="007D3334"/>
    <w:rsid w:val="007D3D22"/>
    <w:rsid w:val="007D41F0"/>
    <w:rsid w:val="007D458D"/>
    <w:rsid w:val="007D4E8C"/>
    <w:rsid w:val="007D538F"/>
    <w:rsid w:val="007D668A"/>
    <w:rsid w:val="007E09E2"/>
    <w:rsid w:val="007E0FF5"/>
    <w:rsid w:val="007E1012"/>
    <w:rsid w:val="007E142E"/>
    <w:rsid w:val="007E17CD"/>
    <w:rsid w:val="007E24ED"/>
    <w:rsid w:val="007E374B"/>
    <w:rsid w:val="007E3921"/>
    <w:rsid w:val="007E39DE"/>
    <w:rsid w:val="007E3F53"/>
    <w:rsid w:val="007E4271"/>
    <w:rsid w:val="007E4E9D"/>
    <w:rsid w:val="007E520B"/>
    <w:rsid w:val="007E5756"/>
    <w:rsid w:val="007E67C8"/>
    <w:rsid w:val="007E7997"/>
    <w:rsid w:val="007E7B47"/>
    <w:rsid w:val="007F006C"/>
    <w:rsid w:val="007F04EF"/>
    <w:rsid w:val="007F1A05"/>
    <w:rsid w:val="007F293E"/>
    <w:rsid w:val="007F306F"/>
    <w:rsid w:val="007F342F"/>
    <w:rsid w:val="007F38D1"/>
    <w:rsid w:val="007F56BB"/>
    <w:rsid w:val="007F63CE"/>
    <w:rsid w:val="007F65A8"/>
    <w:rsid w:val="007F6624"/>
    <w:rsid w:val="007F6EA4"/>
    <w:rsid w:val="007F7FC7"/>
    <w:rsid w:val="008002A5"/>
    <w:rsid w:val="0080050E"/>
    <w:rsid w:val="00800E69"/>
    <w:rsid w:val="00801329"/>
    <w:rsid w:val="00801424"/>
    <w:rsid w:val="0080177F"/>
    <w:rsid w:val="00801AA4"/>
    <w:rsid w:val="00801B7E"/>
    <w:rsid w:val="008021B9"/>
    <w:rsid w:val="00802381"/>
    <w:rsid w:val="00806466"/>
    <w:rsid w:val="00806E68"/>
    <w:rsid w:val="00807FC3"/>
    <w:rsid w:val="00810034"/>
    <w:rsid w:val="008114CF"/>
    <w:rsid w:val="008117CC"/>
    <w:rsid w:val="00811AB3"/>
    <w:rsid w:val="0081421D"/>
    <w:rsid w:val="008142F6"/>
    <w:rsid w:val="00814ADB"/>
    <w:rsid w:val="00815BEE"/>
    <w:rsid w:val="00815C5D"/>
    <w:rsid w:val="0081618F"/>
    <w:rsid w:val="008174D1"/>
    <w:rsid w:val="008178B2"/>
    <w:rsid w:val="0082011A"/>
    <w:rsid w:val="0082165E"/>
    <w:rsid w:val="008216C7"/>
    <w:rsid w:val="00822136"/>
    <w:rsid w:val="00822AAF"/>
    <w:rsid w:val="00822F01"/>
    <w:rsid w:val="008232A6"/>
    <w:rsid w:val="008237BD"/>
    <w:rsid w:val="00823898"/>
    <w:rsid w:val="0082390E"/>
    <w:rsid w:val="008239D1"/>
    <w:rsid w:val="00823A81"/>
    <w:rsid w:val="00824071"/>
    <w:rsid w:val="008246B2"/>
    <w:rsid w:val="0082488A"/>
    <w:rsid w:val="00824C08"/>
    <w:rsid w:val="00825009"/>
    <w:rsid w:val="008250F6"/>
    <w:rsid w:val="00825ADC"/>
    <w:rsid w:val="00825FA5"/>
    <w:rsid w:val="00826560"/>
    <w:rsid w:val="00826CBB"/>
    <w:rsid w:val="00827180"/>
    <w:rsid w:val="0082770D"/>
    <w:rsid w:val="00827B6D"/>
    <w:rsid w:val="00827C71"/>
    <w:rsid w:val="00827C90"/>
    <w:rsid w:val="00827E3D"/>
    <w:rsid w:val="0083004E"/>
    <w:rsid w:val="008309A4"/>
    <w:rsid w:val="00831EAF"/>
    <w:rsid w:val="00832288"/>
    <w:rsid w:val="008326D6"/>
    <w:rsid w:val="008327E0"/>
    <w:rsid w:val="008337EA"/>
    <w:rsid w:val="00833839"/>
    <w:rsid w:val="00833958"/>
    <w:rsid w:val="00833B4A"/>
    <w:rsid w:val="00833D15"/>
    <w:rsid w:val="008344C4"/>
    <w:rsid w:val="008348DA"/>
    <w:rsid w:val="00835621"/>
    <w:rsid w:val="00835B2A"/>
    <w:rsid w:val="00835EC0"/>
    <w:rsid w:val="008362AE"/>
    <w:rsid w:val="008372D0"/>
    <w:rsid w:val="00837719"/>
    <w:rsid w:val="00837B40"/>
    <w:rsid w:val="00840419"/>
    <w:rsid w:val="00840A24"/>
    <w:rsid w:val="00840F1B"/>
    <w:rsid w:val="0084117A"/>
    <w:rsid w:val="00842827"/>
    <w:rsid w:val="00842965"/>
    <w:rsid w:val="00843627"/>
    <w:rsid w:val="00844300"/>
    <w:rsid w:val="008458BD"/>
    <w:rsid w:val="008459EF"/>
    <w:rsid w:val="00846956"/>
    <w:rsid w:val="00846CF1"/>
    <w:rsid w:val="00847108"/>
    <w:rsid w:val="00847622"/>
    <w:rsid w:val="008505B8"/>
    <w:rsid w:val="00851005"/>
    <w:rsid w:val="00851ADD"/>
    <w:rsid w:val="00852B77"/>
    <w:rsid w:val="00855CA6"/>
    <w:rsid w:val="00857CDA"/>
    <w:rsid w:val="00860323"/>
    <w:rsid w:val="00860F4F"/>
    <w:rsid w:val="008610B9"/>
    <w:rsid w:val="00862656"/>
    <w:rsid w:val="0086283A"/>
    <w:rsid w:val="00863013"/>
    <w:rsid w:val="00863F67"/>
    <w:rsid w:val="0086483A"/>
    <w:rsid w:val="0087049C"/>
    <w:rsid w:val="00870AAD"/>
    <w:rsid w:val="00870EDE"/>
    <w:rsid w:val="00871DA0"/>
    <w:rsid w:val="00872030"/>
    <w:rsid w:val="00873973"/>
    <w:rsid w:val="00875C28"/>
    <w:rsid w:val="00875C7F"/>
    <w:rsid w:val="00875E75"/>
    <w:rsid w:val="0087658F"/>
    <w:rsid w:val="0087762E"/>
    <w:rsid w:val="00877823"/>
    <w:rsid w:val="008778C1"/>
    <w:rsid w:val="008803F5"/>
    <w:rsid w:val="008812BF"/>
    <w:rsid w:val="00881341"/>
    <w:rsid w:val="0088174F"/>
    <w:rsid w:val="0088186B"/>
    <w:rsid w:val="00882756"/>
    <w:rsid w:val="00882931"/>
    <w:rsid w:val="00882F13"/>
    <w:rsid w:val="00884939"/>
    <w:rsid w:val="008853E0"/>
    <w:rsid w:val="0088546D"/>
    <w:rsid w:val="008859AA"/>
    <w:rsid w:val="00885BE2"/>
    <w:rsid w:val="008863C8"/>
    <w:rsid w:val="00886D40"/>
    <w:rsid w:val="00887A0E"/>
    <w:rsid w:val="008907F3"/>
    <w:rsid w:val="00891B92"/>
    <w:rsid w:val="008920C2"/>
    <w:rsid w:val="0089459A"/>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EFB"/>
    <w:rsid w:val="008B4941"/>
    <w:rsid w:val="008B4984"/>
    <w:rsid w:val="008B4F60"/>
    <w:rsid w:val="008B5041"/>
    <w:rsid w:val="008B559A"/>
    <w:rsid w:val="008B5801"/>
    <w:rsid w:val="008B598F"/>
    <w:rsid w:val="008B5B9E"/>
    <w:rsid w:val="008B66A5"/>
    <w:rsid w:val="008B7F4A"/>
    <w:rsid w:val="008C057C"/>
    <w:rsid w:val="008C0D2E"/>
    <w:rsid w:val="008C1056"/>
    <w:rsid w:val="008C2729"/>
    <w:rsid w:val="008C3169"/>
    <w:rsid w:val="008C3347"/>
    <w:rsid w:val="008C39D6"/>
    <w:rsid w:val="008C3B96"/>
    <w:rsid w:val="008C43BF"/>
    <w:rsid w:val="008C532F"/>
    <w:rsid w:val="008C60C3"/>
    <w:rsid w:val="008C701C"/>
    <w:rsid w:val="008C7736"/>
    <w:rsid w:val="008C7F96"/>
    <w:rsid w:val="008D0948"/>
    <w:rsid w:val="008D2BE6"/>
    <w:rsid w:val="008D311C"/>
    <w:rsid w:val="008D31D2"/>
    <w:rsid w:val="008D36D7"/>
    <w:rsid w:val="008D3833"/>
    <w:rsid w:val="008D3CC5"/>
    <w:rsid w:val="008D564A"/>
    <w:rsid w:val="008D5E47"/>
    <w:rsid w:val="008D69C6"/>
    <w:rsid w:val="008D7B9B"/>
    <w:rsid w:val="008D7D8C"/>
    <w:rsid w:val="008E004E"/>
    <w:rsid w:val="008E04FB"/>
    <w:rsid w:val="008E2E31"/>
    <w:rsid w:val="008E335D"/>
    <w:rsid w:val="008E3CAD"/>
    <w:rsid w:val="008E3E79"/>
    <w:rsid w:val="008E5282"/>
    <w:rsid w:val="008E5E2C"/>
    <w:rsid w:val="008E78F1"/>
    <w:rsid w:val="008F0142"/>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C59"/>
    <w:rsid w:val="00901EE8"/>
    <w:rsid w:val="00901F6C"/>
    <w:rsid w:val="0090266B"/>
    <w:rsid w:val="00902F06"/>
    <w:rsid w:val="009035DB"/>
    <w:rsid w:val="00903CD4"/>
    <w:rsid w:val="00903EC5"/>
    <w:rsid w:val="00904671"/>
    <w:rsid w:val="00905BC5"/>
    <w:rsid w:val="009064AA"/>
    <w:rsid w:val="009078A1"/>
    <w:rsid w:val="009078E3"/>
    <w:rsid w:val="00911589"/>
    <w:rsid w:val="00912257"/>
    <w:rsid w:val="00913495"/>
    <w:rsid w:val="00913874"/>
    <w:rsid w:val="009161A5"/>
    <w:rsid w:val="009163CC"/>
    <w:rsid w:val="0091674C"/>
    <w:rsid w:val="00916862"/>
    <w:rsid w:val="00916B2A"/>
    <w:rsid w:val="00916D96"/>
    <w:rsid w:val="009174F7"/>
    <w:rsid w:val="00917661"/>
    <w:rsid w:val="00917E76"/>
    <w:rsid w:val="0092002B"/>
    <w:rsid w:val="00920167"/>
    <w:rsid w:val="00921BB8"/>
    <w:rsid w:val="00921D28"/>
    <w:rsid w:val="00922034"/>
    <w:rsid w:val="0092266C"/>
    <w:rsid w:val="0092410A"/>
    <w:rsid w:val="009241E8"/>
    <w:rsid w:val="009255B2"/>
    <w:rsid w:val="00925956"/>
    <w:rsid w:val="00925DD2"/>
    <w:rsid w:val="00926344"/>
    <w:rsid w:val="00926929"/>
    <w:rsid w:val="00927301"/>
    <w:rsid w:val="00927E9D"/>
    <w:rsid w:val="00931228"/>
    <w:rsid w:val="00931859"/>
    <w:rsid w:val="0093205C"/>
    <w:rsid w:val="00933A75"/>
    <w:rsid w:val="009343F5"/>
    <w:rsid w:val="0093456A"/>
    <w:rsid w:val="009345AE"/>
    <w:rsid w:val="00935301"/>
    <w:rsid w:val="009357FA"/>
    <w:rsid w:val="00936C78"/>
    <w:rsid w:val="00936F64"/>
    <w:rsid w:val="00937B8E"/>
    <w:rsid w:val="00940C5B"/>
    <w:rsid w:val="009411F7"/>
    <w:rsid w:val="009417F1"/>
    <w:rsid w:val="00941A84"/>
    <w:rsid w:val="0094204A"/>
    <w:rsid w:val="00942B7B"/>
    <w:rsid w:val="009443ED"/>
    <w:rsid w:val="00945416"/>
    <w:rsid w:val="00945DBF"/>
    <w:rsid w:val="00946042"/>
    <w:rsid w:val="00946AB3"/>
    <w:rsid w:val="00947074"/>
    <w:rsid w:val="0094752A"/>
    <w:rsid w:val="00947D01"/>
    <w:rsid w:val="009503EA"/>
    <w:rsid w:val="0095112D"/>
    <w:rsid w:val="00952124"/>
    <w:rsid w:val="00953860"/>
    <w:rsid w:val="00956244"/>
    <w:rsid w:val="00956A06"/>
    <w:rsid w:val="00957435"/>
    <w:rsid w:val="009578D0"/>
    <w:rsid w:val="009600C6"/>
    <w:rsid w:val="00960D80"/>
    <w:rsid w:val="00961AD7"/>
    <w:rsid w:val="009621CE"/>
    <w:rsid w:val="009622BF"/>
    <w:rsid w:val="00964535"/>
    <w:rsid w:val="009651B8"/>
    <w:rsid w:val="009653F3"/>
    <w:rsid w:val="0096587A"/>
    <w:rsid w:val="009666DF"/>
    <w:rsid w:val="009666E7"/>
    <w:rsid w:val="00967278"/>
    <w:rsid w:val="00971568"/>
    <w:rsid w:val="009728F2"/>
    <w:rsid w:val="00972BEF"/>
    <w:rsid w:val="00973633"/>
    <w:rsid w:val="00973BCF"/>
    <w:rsid w:val="009744BC"/>
    <w:rsid w:val="00974E60"/>
    <w:rsid w:val="00975896"/>
    <w:rsid w:val="00975DF1"/>
    <w:rsid w:val="00976479"/>
    <w:rsid w:val="00976AFE"/>
    <w:rsid w:val="009777E0"/>
    <w:rsid w:val="00983389"/>
    <w:rsid w:val="00983CEA"/>
    <w:rsid w:val="00984198"/>
    <w:rsid w:val="00984E04"/>
    <w:rsid w:val="009850DC"/>
    <w:rsid w:val="00986194"/>
    <w:rsid w:val="009861D2"/>
    <w:rsid w:val="00986E53"/>
    <w:rsid w:val="00987CE5"/>
    <w:rsid w:val="0099386D"/>
    <w:rsid w:val="00993CF0"/>
    <w:rsid w:val="0099428D"/>
    <w:rsid w:val="009949A7"/>
    <w:rsid w:val="00995CDC"/>
    <w:rsid w:val="009975CA"/>
    <w:rsid w:val="00997B20"/>
    <w:rsid w:val="009A0C15"/>
    <w:rsid w:val="009A1088"/>
    <w:rsid w:val="009A1388"/>
    <w:rsid w:val="009A14CB"/>
    <w:rsid w:val="009A1AF9"/>
    <w:rsid w:val="009A27C7"/>
    <w:rsid w:val="009A2961"/>
    <w:rsid w:val="009A2BFD"/>
    <w:rsid w:val="009A344A"/>
    <w:rsid w:val="009A41C7"/>
    <w:rsid w:val="009A4F5A"/>
    <w:rsid w:val="009A5121"/>
    <w:rsid w:val="009A5577"/>
    <w:rsid w:val="009A5C82"/>
    <w:rsid w:val="009A5DD1"/>
    <w:rsid w:val="009A71FC"/>
    <w:rsid w:val="009B010D"/>
    <w:rsid w:val="009B09A1"/>
    <w:rsid w:val="009B0AAB"/>
    <w:rsid w:val="009B0D3E"/>
    <w:rsid w:val="009B15A8"/>
    <w:rsid w:val="009B2AD1"/>
    <w:rsid w:val="009B3224"/>
    <w:rsid w:val="009B32B8"/>
    <w:rsid w:val="009B3A61"/>
    <w:rsid w:val="009B4311"/>
    <w:rsid w:val="009B528E"/>
    <w:rsid w:val="009B54FE"/>
    <w:rsid w:val="009B620D"/>
    <w:rsid w:val="009B718D"/>
    <w:rsid w:val="009B77DD"/>
    <w:rsid w:val="009C13BF"/>
    <w:rsid w:val="009C2943"/>
    <w:rsid w:val="009C42FD"/>
    <w:rsid w:val="009C4B2C"/>
    <w:rsid w:val="009C4CB3"/>
    <w:rsid w:val="009C4F15"/>
    <w:rsid w:val="009C511C"/>
    <w:rsid w:val="009C5416"/>
    <w:rsid w:val="009C587B"/>
    <w:rsid w:val="009C5BE7"/>
    <w:rsid w:val="009C64C5"/>
    <w:rsid w:val="009C6DB3"/>
    <w:rsid w:val="009C6F87"/>
    <w:rsid w:val="009C7166"/>
    <w:rsid w:val="009C742C"/>
    <w:rsid w:val="009D1FE4"/>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894"/>
    <w:rsid w:val="009E1DF8"/>
    <w:rsid w:val="009E2C1A"/>
    <w:rsid w:val="009E2C4B"/>
    <w:rsid w:val="009E2E0C"/>
    <w:rsid w:val="009E3218"/>
    <w:rsid w:val="009E3248"/>
    <w:rsid w:val="009E3BED"/>
    <w:rsid w:val="009E4506"/>
    <w:rsid w:val="009E455E"/>
    <w:rsid w:val="009E4853"/>
    <w:rsid w:val="009E487A"/>
    <w:rsid w:val="009E4FFB"/>
    <w:rsid w:val="009E65D2"/>
    <w:rsid w:val="009E7463"/>
    <w:rsid w:val="009F033D"/>
    <w:rsid w:val="009F045D"/>
    <w:rsid w:val="009F1098"/>
    <w:rsid w:val="009F1458"/>
    <w:rsid w:val="009F1D3A"/>
    <w:rsid w:val="009F2C2E"/>
    <w:rsid w:val="009F4190"/>
    <w:rsid w:val="009F4911"/>
    <w:rsid w:val="009F5028"/>
    <w:rsid w:val="009F513E"/>
    <w:rsid w:val="009F5241"/>
    <w:rsid w:val="009F5CAC"/>
    <w:rsid w:val="009F6807"/>
    <w:rsid w:val="009F68DF"/>
    <w:rsid w:val="009F6A24"/>
    <w:rsid w:val="00A0042C"/>
    <w:rsid w:val="00A00495"/>
    <w:rsid w:val="00A0086B"/>
    <w:rsid w:val="00A01925"/>
    <w:rsid w:val="00A019B4"/>
    <w:rsid w:val="00A01DEB"/>
    <w:rsid w:val="00A06D32"/>
    <w:rsid w:val="00A07545"/>
    <w:rsid w:val="00A07B8B"/>
    <w:rsid w:val="00A115FE"/>
    <w:rsid w:val="00A13947"/>
    <w:rsid w:val="00A13E2B"/>
    <w:rsid w:val="00A140A3"/>
    <w:rsid w:val="00A1435F"/>
    <w:rsid w:val="00A1562A"/>
    <w:rsid w:val="00A15901"/>
    <w:rsid w:val="00A1618E"/>
    <w:rsid w:val="00A161A1"/>
    <w:rsid w:val="00A20562"/>
    <w:rsid w:val="00A20F75"/>
    <w:rsid w:val="00A212B1"/>
    <w:rsid w:val="00A21375"/>
    <w:rsid w:val="00A22002"/>
    <w:rsid w:val="00A23B48"/>
    <w:rsid w:val="00A26534"/>
    <w:rsid w:val="00A26FFF"/>
    <w:rsid w:val="00A27028"/>
    <w:rsid w:val="00A30149"/>
    <w:rsid w:val="00A305FC"/>
    <w:rsid w:val="00A306EF"/>
    <w:rsid w:val="00A316EC"/>
    <w:rsid w:val="00A31804"/>
    <w:rsid w:val="00A318AE"/>
    <w:rsid w:val="00A318C5"/>
    <w:rsid w:val="00A320BA"/>
    <w:rsid w:val="00A32283"/>
    <w:rsid w:val="00A32342"/>
    <w:rsid w:val="00A325EC"/>
    <w:rsid w:val="00A32A90"/>
    <w:rsid w:val="00A32B81"/>
    <w:rsid w:val="00A337E5"/>
    <w:rsid w:val="00A33AB2"/>
    <w:rsid w:val="00A351BB"/>
    <w:rsid w:val="00A3658D"/>
    <w:rsid w:val="00A36A87"/>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737"/>
    <w:rsid w:val="00A53967"/>
    <w:rsid w:val="00A5455C"/>
    <w:rsid w:val="00A545EC"/>
    <w:rsid w:val="00A5485F"/>
    <w:rsid w:val="00A54C5F"/>
    <w:rsid w:val="00A54D3B"/>
    <w:rsid w:val="00A5578A"/>
    <w:rsid w:val="00A61365"/>
    <w:rsid w:val="00A61759"/>
    <w:rsid w:val="00A61B6E"/>
    <w:rsid w:val="00A61B88"/>
    <w:rsid w:val="00A62C70"/>
    <w:rsid w:val="00A63982"/>
    <w:rsid w:val="00A63F51"/>
    <w:rsid w:val="00A65845"/>
    <w:rsid w:val="00A65A41"/>
    <w:rsid w:val="00A666AA"/>
    <w:rsid w:val="00A671FC"/>
    <w:rsid w:val="00A70946"/>
    <w:rsid w:val="00A71670"/>
    <w:rsid w:val="00A72874"/>
    <w:rsid w:val="00A72DC1"/>
    <w:rsid w:val="00A72E48"/>
    <w:rsid w:val="00A7344C"/>
    <w:rsid w:val="00A7359C"/>
    <w:rsid w:val="00A73616"/>
    <w:rsid w:val="00A76648"/>
    <w:rsid w:val="00A76954"/>
    <w:rsid w:val="00A76DF7"/>
    <w:rsid w:val="00A77523"/>
    <w:rsid w:val="00A83454"/>
    <w:rsid w:val="00A841C6"/>
    <w:rsid w:val="00A843FC"/>
    <w:rsid w:val="00A84DA5"/>
    <w:rsid w:val="00A852EE"/>
    <w:rsid w:val="00A85302"/>
    <w:rsid w:val="00A85F15"/>
    <w:rsid w:val="00A86119"/>
    <w:rsid w:val="00A86431"/>
    <w:rsid w:val="00A8649F"/>
    <w:rsid w:val="00A86D25"/>
    <w:rsid w:val="00A877BD"/>
    <w:rsid w:val="00A8786B"/>
    <w:rsid w:val="00A879CE"/>
    <w:rsid w:val="00A902DC"/>
    <w:rsid w:val="00A903F1"/>
    <w:rsid w:val="00A905CC"/>
    <w:rsid w:val="00A90974"/>
    <w:rsid w:val="00A918CE"/>
    <w:rsid w:val="00A9197E"/>
    <w:rsid w:val="00A92065"/>
    <w:rsid w:val="00A92184"/>
    <w:rsid w:val="00A9334F"/>
    <w:rsid w:val="00A93D6F"/>
    <w:rsid w:val="00A9421D"/>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11C"/>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4C9"/>
    <w:rsid w:val="00AC276D"/>
    <w:rsid w:val="00AC2FD0"/>
    <w:rsid w:val="00AC3DBD"/>
    <w:rsid w:val="00AC3E54"/>
    <w:rsid w:val="00AC5E85"/>
    <w:rsid w:val="00AC6533"/>
    <w:rsid w:val="00AD03D8"/>
    <w:rsid w:val="00AD0D5F"/>
    <w:rsid w:val="00AD14BB"/>
    <w:rsid w:val="00AD16D3"/>
    <w:rsid w:val="00AD34CF"/>
    <w:rsid w:val="00AD36C8"/>
    <w:rsid w:val="00AD37C9"/>
    <w:rsid w:val="00AD465C"/>
    <w:rsid w:val="00AD47D3"/>
    <w:rsid w:val="00AD597B"/>
    <w:rsid w:val="00AD5A8C"/>
    <w:rsid w:val="00AD5DE8"/>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4F"/>
    <w:rsid w:val="00AF1B7B"/>
    <w:rsid w:val="00AF3291"/>
    <w:rsid w:val="00AF395E"/>
    <w:rsid w:val="00AF4D6A"/>
    <w:rsid w:val="00AF4F16"/>
    <w:rsid w:val="00AF5D2C"/>
    <w:rsid w:val="00AF5D6E"/>
    <w:rsid w:val="00AF6318"/>
    <w:rsid w:val="00AF704E"/>
    <w:rsid w:val="00B0017C"/>
    <w:rsid w:val="00B0072E"/>
    <w:rsid w:val="00B03B63"/>
    <w:rsid w:val="00B0513A"/>
    <w:rsid w:val="00B05222"/>
    <w:rsid w:val="00B0620B"/>
    <w:rsid w:val="00B072A3"/>
    <w:rsid w:val="00B07FCD"/>
    <w:rsid w:val="00B1149C"/>
    <w:rsid w:val="00B11F60"/>
    <w:rsid w:val="00B121EF"/>
    <w:rsid w:val="00B127AA"/>
    <w:rsid w:val="00B130CB"/>
    <w:rsid w:val="00B14D9D"/>
    <w:rsid w:val="00B14EF5"/>
    <w:rsid w:val="00B15EAC"/>
    <w:rsid w:val="00B16048"/>
    <w:rsid w:val="00B2028C"/>
    <w:rsid w:val="00B21771"/>
    <w:rsid w:val="00B2191C"/>
    <w:rsid w:val="00B21B30"/>
    <w:rsid w:val="00B22296"/>
    <w:rsid w:val="00B2231E"/>
    <w:rsid w:val="00B22E76"/>
    <w:rsid w:val="00B22F44"/>
    <w:rsid w:val="00B23016"/>
    <w:rsid w:val="00B23178"/>
    <w:rsid w:val="00B23771"/>
    <w:rsid w:val="00B24EA8"/>
    <w:rsid w:val="00B26625"/>
    <w:rsid w:val="00B26A5A"/>
    <w:rsid w:val="00B2713B"/>
    <w:rsid w:val="00B2769B"/>
    <w:rsid w:val="00B307D2"/>
    <w:rsid w:val="00B31B09"/>
    <w:rsid w:val="00B324A4"/>
    <w:rsid w:val="00B3398B"/>
    <w:rsid w:val="00B33B1E"/>
    <w:rsid w:val="00B34D9D"/>
    <w:rsid w:val="00B362D9"/>
    <w:rsid w:val="00B36B99"/>
    <w:rsid w:val="00B36D20"/>
    <w:rsid w:val="00B36F67"/>
    <w:rsid w:val="00B40633"/>
    <w:rsid w:val="00B40959"/>
    <w:rsid w:val="00B44049"/>
    <w:rsid w:val="00B442D1"/>
    <w:rsid w:val="00B44318"/>
    <w:rsid w:val="00B44C4B"/>
    <w:rsid w:val="00B461E1"/>
    <w:rsid w:val="00B46860"/>
    <w:rsid w:val="00B477CB"/>
    <w:rsid w:val="00B508A7"/>
    <w:rsid w:val="00B509B3"/>
    <w:rsid w:val="00B52081"/>
    <w:rsid w:val="00B52695"/>
    <w:rsid w:val="00B545AF"/>
    <w:rsid w:val="00B55B09"/>
    <w:rsid w:val="00B56711"/>
    <w:rsid w:val="00B57EF2"/>
    <w:rsid w:val="00B604F3"/>
    <w:rsid w:val="00B6101C"/>
    <w:rsid w:val="00B615ED"/>
    <w:rsid w:val="00B62897"/>
    <w:rsid w:val="00B63A9D"/>
    <w:rsid w:val="00B64888"/>
    <w:rsid w:val="00B64C7F"/>
    <w:rsid w:val="00B66085"/>
    <w:rsid w:val="00B672E3"/>
    <w:rsid w:val="00B675F9"/>
    <w:rsid w:val="00B70849"/>
    <w:rsid w:val="00B7147A"/>
    <w:rsid w:val="00B71E46"/>
    <w:rsid w:val="00B72C1C"/>
    <w:rsid w:val="00B73BB7"/>
    <w:rsid w:val="00B751C3"/>
    <w:rsid w:val="00B760D5"/>
    <w:rsid w:val="00B76C0D"/>
    <w:rsid w:val="00B77D0D"/>
    <w:rsid w:val="00B80817"/>
    <w:rsid w:val="00B808B1"/>
    <w:rsid w:val="00B827E6"/>
    <w:rsid w:val="00B82A28"/>
    <w:rsid w:val="00B82B8D"/>
    <w:rsid w:val="00B82C97"/>
    <w:rsid w:val="00B82D8E"/>
    <w:rsid w:val="00B83B3E"/>
    <w:rsid w:val="00B84854"/>
    <w:rsid w:val="00B851D5"/>
    <w:rsid w:val="00B85B06"/>
    <w:rsid w:val="00B86B0A"/>
    <w:rsid w:val="00B87682"/>
    <w:rsid w:val="00B90558"/>
    <w:rsid w:val="00B90CBC"/>
    <w:rsid w:val="00B90D5B"/>
    <w:rsid w:val="00B92958"/>
    <w:rsid w:val="00B93210"/>
    <w:rsid w:val="00B93438"/>
    <w:rsid w:val="00B93957"/>
    <w:rsid w:val="00B9404A"/>
    <w:rsid w:val="00B94877"/>
    <w:rsid w:val="00B9491F"/>
    <w:rsid w:val="00B94B87"/>
    <w:rsid w:val="00B96043"/>
    <w:rsid w:val="00B96F5D"/>
    <w:rsid w:val="00BA02F9"/>
    <w:rsid w:val="00BA1542"/>
    <w:rsid w:val="00BA164B"/>
    <w:rsid w:val="00BA1987"/>
    <w:rsid w:val="00BA2682"/>
    <w:rsid w:val="00BA26D6"/>
    <w:rsid w:val="00BA2EF4"/>
    <w:rsid w:val="00BA31E4"/>
    <w:rsid w:val="00BA3959"/>
    <w:rsid w:val="00BA47CC"/>
    <w:rsid w:val="00BA524B"/>
    <w:rsid w:val="00BA54F7"/>
    <w:rsid w:val="00BA576C"/>
    <w:rsid w:val="00BA6205"/>
    <w:rsid w:val="00BA64B8"/>
    <w:rsid w:val="00BA6BB8"/>
    <w:rsid w:val="00BA6CE5"/>
    <w:rsid w:val="00BA6F38"/>
    <w:rsid w:val="00BB1388"/>
    <w:rsid w:val="00BB2683"/>
    <w:rsid w:val="00BB40DF"/>
    <w:rsid w:val="00BB5E2C"/>
    <w:rsid w:val="00BB71A8"/>
    <w:rsid w:val="00BB7D9E"/>
    <w:rsid w:val="00BC16AC"/>
    <w:rsid w:val="00BC2B7B"/>
    <w:rsid w:val="00BC336E"/>
    <w:rsid w:val="00BC3A3F"/>
    <w:rsid w:val="00BC3AE8"/>
    <w:rsid w:val="00BC3AF4"/>
    <w:rsid w:val="00BC43A8"/>
    <w:rsid w:val="00BC4A1C"/>
    <w:rsid w:val="00BC5C6D"/>
    <w:rsid w:val="00BC693B"/>
    <w:rsid w:val="00BC7120"/>
    <w:rsid w:val="00BC76A3"/>
    <w:rsid w:val="00BD00D1"/>
    <w:rsid w:val="00BD07A2"/>
    <w:rsid w:val="00BD2603"/>
    <w:rsid w:val="00BD4EEC"/>
    <w:rsid w:val="00BD4F34"/>
    <w:rsid w:val="00BD537C"/>
    <w:rsid w:val="00BD6152"/>
    <w:rsid w:val="00BD6F5B"/>
    <w:rsid w:val="00BD7662"/>
    <w:rsid w:val="00BD7F4A"/>
    <w:rsid w:val="00BE05ED"/>
    <w:rsid w:val="00BE336E"/>
    <w:rsid w:val="00BE350E"/>
    <w:rsid w:val="00BE3801"/>
    <w:rsid w:val="00BE38CF"/>
    <w:rsid w:val="00BE394B"/>
    <w:rsid w:val="00BE48A8"/>
    <w:rsid w:val="00BE528F"/>
    <w:rsid w:val="00BE5850"/>
    <w:rsid w:val="00BE58D4"/>
    <w:rsid w:val="00BE58D6"/>
    <w:rsid w:val="00BE5CA6"/>
    <w:rsid w:val="00BE6806"/>
    <w:rsid w:val="00BE707F"/>
    <w:rsid w:val="00BE7F5D"/>
    <w:rsid w:val="00BF0707"/>
    <w:rsid w:val="00BF164F"/>
    <w:rsid w:val="00BF1AAF"/>
    <w:rsid w:val="00BF268B"/>
    <w:rsid w:val="00BF44CB"/>
    <w:rsid w:val="00BF4D03"/>
    <w:rsid w:val="00BF4E10"/>
    <w:rsid w:val="00BF4E85"/>
    <w:rsid w:val="00BF54BD"/>
    <w:rsid w:val="00BF5892"/>
    <w:rsid w:val="00BF613C"/>
    <w:rsid w:val="00BF6A0E"/>
    <w:rsid w:val="00C01804"/>
    <w:rsid w:val="00C026BC"/>
    <w:rsid w:val="00C02AD4"/>
    <w:rsid w:val="00C03869"/>
    <w:rsid w:val="00C07988"/>
    <w:rsid w:val="00C07C5E"/>
    <w:rsid w:val="00C10068"/>
    <w:rsid w:val="00C10AC5"/>
    <w:rsid w:val="00C10E91"/>
    <w:rsid w:val="00C116B3"/>
    <w:rsid w:val="00C12DAD"/>
    <w:rsid w:val="00C12E17"/>
    <w:rsid w:val="00C14741"/>
    <w:rsid w:val="00C1544B"/>
    <w:rsid w:val="00C1665A"/>
    <w:rsid w:val="00C16C23"/>
    <w:rsid w:val="00C1739F"/>
    <w:rsid w:val="00C177FF"/>
    <w:rsid w:val="00C2013A"/>
    <w:rsid w:val="00C20CF4"/>
    <w:rsid w:val="00C222FF"/>
    <w:rsid w:val="00C2338E"/>
    <w:rsid w:val="00C23FB0"/>
    <w:rsid w:val="00C24021"/>
    <w:rsid w:val="00C243D0"/>
    <w:rsid w:val="00C248AF"/>
    <w:rsid w:val="00C24948"/>
    <w:rsid w:val="00C24B09"/>
    <w:rsid w:val="00C24BDE"/>
    <w:rsid w:val="00C24E9F"/>
    <w:rsid w:val="00C304A6"/>
    <w:rsid w:val="00C320C6"/>
    <w:rsid w:val="00C32151"/>
    <w:rsid w:val="00C3217A"/>
    <w:rsid w:val="00C327BF"/>
    <w:rsid w:val="00C33551"/>
    <w:rsid w:val="00C3357D"/>
    <w:rsid w:val="00C33BE9"/>
    <w:rsid w:val="00C33C13"/>
    <w:rsid w:val="00C348C7"/>
    <w:rsid w:val="00C3577D"/>
    <w:rsid w:val="00C35B2A"/>
    <w:rsid w:val="00C36742"/>
    <w:rsid w:val="00C374AD"/>
    <w:rsid w:val="00C37D6D"/>
    <w:rsid w:val="00C404DC"/>
    <w:rsid w:val="00C40C6B"/>
    <w:rsid w:val="00C40DE4"/>
    <w:rsid w:val="00C40E63"/>
    <w:rsid w:val="00C41A06"/>
    <w:rsid w:val="00C4261B"/>
    <w:rsid w:val="00C42BFB"/>
    <w:rsid w:val="00C43063"/>
    <w:rsid w:val="00C44DDC"/>
    <w:rsid w:val="00C45765"/>
    <w:rsid w:val="00C50900"/>
    <w:rsid w:val="00C5128B"/>
    <w:rsid w:val="00C5138A"/>
    <w:rsid w:val="00C51423"/>
    <w:rsid w:val="00C5294D"/>
    <w:rsid w:val="00C52F83"/>
    <w:rsid w:val="00C54051"/>
    <w:rsid w:val="00C54C1B"/>
    <w:rsid w:val="00C54DBA"/>
    <w:rsid w:val="00C55F9D"/>
    <w:rsid w:val="00C5761D"/>
    <w:rsid w:val="00C57ED3"/>
    <w:rsid w:val="00C61640"/>
    <w:rsid w:val="00C61AA7"/>
    <w:rsid w:val="00C61B8E"/>
    <w:rsid w:val="00C61B9B"/>
    <w:rsid w:val="00C63DB8"/>
    <w:rsid w:val="00C66782"/>
    <w:rsid w:val="00C668DE"/>
    <w:rsid w:val="00C66AC7"/>
    <w:rsid w:val="00C70420"/>
    <w:rsid w:val="00C7044F"/>
    <w:rsid w:val="00C720F8"/>
    <w:rsid w:val="00C7294B"/>
    <w:rsid w:val="00C73C2B"/>
    <w:rsid w:val="00C75139"/>
    <w:rsid w:val="00C7525C"/>
    <w:rsid w:val="00C759C5"/>
    <w:rsid w:val="00C75F45"/>
    <w:rsid w:val="00C76A82"/>
    <w:rsid w:val="00C76CF7"/>
    <w:rsid w:val="00C801B4"/>
    <w:rsid w:val="00C82F88"/>
    <w:rsid w:val="00C83A4C"/>
    <w:rsid w:val="00C8533B"/>
    <w:rsid w:val="00C85368"/>
    <w:rsid w:val="00C858BA"/>
    <w:rsid w:val="00C85CDC"/>
    <w:rsid w:val="00C86977"/>
    <w:rsid w:val="00C916C8"/>
    <w:rsid w:val="00C92326"/>
    <w:rsid w:val="00C9398D"/>
    <w:rsid w:val="00C939EE"/>
    <w:rsid w:val="00C93C6E"/>
    <w:rsid w:val="00C93F93"/>
    <w:rsid w:val="00C94D44"/>
    <w:rsid w:val="00C95EEE"/>
    <w:rsid w:val="00C973F3"/>
    <w:rsid w:val="00C974CB"/>
    <w:rsid w:val="00C97929"/>
    <w:rsid w:val="00CA0049"/>
    <w:rsid w:val="00CA0980"/>
    <w:rsid w:val="00CA2A98"/>
    <w:rsid w:val="00CA2BAE"/>
    <w:rsid w:val="00CA34BA"/>
    <w:rsid w:val="00CA4503"/>
    <w:rsid w:val="00CA5A66"/>
    <w:rsid w:val="00CA5A71"/>
    <w:rsid w:val="00CA651B"/>
    <w:rsid w:val="00CA7419"/>
    <w:rsid w:val="00CA796A"/>
    <w:rsid w:val="00CB1001"/>
    <w:rsid w:val="00CB2575"/>
    <w:rsid w:val="00CB3677"/>
    <w:rsid w:val="00CB368F"/>
    <w:rsid w:val="00CB4C42"/>
    <w:rsid w:val="00CB4DFA"/>
    <w:rsid w:val="00CB53E1"/>
    <w:rsid w:val="00CB79E4"/>
    <w:rsid w:val="00CB7BD7"/>
    <w:rsid w:val="00CC0072"/>
    <w:rsid w:val="00CC0161"/>
    <w:rsid w:val="00CC0B37"/>
    <w:rsid w:val="00CC1C37"/>
    <w:rsid w:val="00CC4CB6"/>
    <w:rsid w:val="00CC4DB0"/>
    <w:rsid w:val="00CC5038"/>
    <w:rsid w:val="00CC50A9"/>
    <w:rsid w:val="00CC5326"/>
    <w:rsid w:val="00CC6333"/>
    <w:rsid w:val="00CC7426"/>
    <w:rsid w:val="00CC7910"/>
    <w:rsid w:val="00CD0AD9"/>
    <w:rsid w:val="00CD0C20"/>
    <w:rsid w:val="00CD297A"/>
    <w:rsid w:val="00CD2A13"/>
    <w:rsid w:val="00CD3DB0"/>
    <w:rsid w:val="00CD4129"/>
    <w:rsid w:val="00CD51D6"/>
    <w:rsid w:val="00CD5DBB"/>
    <w:rsid w:val="00CD675D"/>
    <w:rsid w:val="00CD67E7"/>
    <w:rsid w:val="00CD7388"/>
    <w:rsid w:val="00CE130A"/>
    <w:rsid w:val="00CE1476"/>
    <w:rsid w:val="00CE23CD"/>
    <w:rsid w:val="00CE247A"/>
    <w:rsid w:val="00CE2A1A"/>
    <w:rsid w:val="00CE2F05"/>
    <w:rsid w:val="00CE4A51"/>
    <w:rsid w:val="00CE4F80"/>
    <w:rsid w:val="00CE50E4"/>
    <w:rsid w:val="00CE51E8"/>
    <w:rsid w:val="00CE56A1"/>
    <w:rsid w:val="00CE64A5"/>
    <w:rsid w:val="00CE669E"/>
    <w:rsid w:val="00CE66B5"/>
    <w:rsid w:val="00CE683E"/>
    <w:rsid w:val="00CE6BFE"/>
    <w:rsid w:val="00CE7031"/>
    <w:rsid w:val="00CE7258"/>
    <w:rsid w:val="00CF03FF"/>
    <w:rsid w:val="00CF0B9B"/>
    <w:rsid w:val="00CF0F7C"/>
    <w:rsid w:val="00CF13B8"/>
    <w:rsid w:val="00CF285E"/>
    <w:rsid w:val="00CF3739"/>
    <w:rsid w:val="00CF5597"/>
    <w:rsid w:val="00CF57B4"/>
    <w:rsid w:val="00CF584C"/>
    <w:rsid w:val="00CF588C"/>
    <w:rsid w:val="00CF5CA5"/>
    <w:rsid w:val="00CF658A"/>
    <w:rsid w:val="00CF66B6"/>
    <w:rsid w:val="00D007D6"/>
    <w:rsid w:val="00D01A9F"/>
    <w:rsid w:val="00D01CED"/>
    <w:rsid w:val="00D01E38"/>
    <w:rsid w:val="00D022B5"/>
    <w:rsid w:val="00D039B5"/>
    <w:rsid w:val="00D04AA9"/>
    <w:rsid w:val="00D04CF7"/>
    <w:rsid w:val="00D04F76"/>
    <w:rsid w:val="00D053D2"/>
    <w:rsid w:val="00D07D07"/>
    <w:rsid w:val="00D10924"/>
    <w:rsid w:val="00D10F87"/>
    <w:rsid w:val="00D11099"/>
    <w:rsid w:val="00D1149D"/>
    <w:rsid w:val="00D1196A"/>
    <w:rsid w:val="00D11B8E"/>
    <w:rsid w:val="00D11D8D"/>
    <w:rsid w:val="00D12B12"/>
    <w:rsid w:val="00D12DD7"/>
    <w:rsid w:val="00D13A8C"/>
    <w:rsid w:val="00D14685"/>
    <w:rsid w:val="00D149E1"/>
    <w:rsid w:val="00D14A44"/>
    <w:rsid w:val="00D1599D"/>
    <w:rsid w:val="00D15BCC"/>
    <w:rsid w:val="00D1628F"/>
    <w:rsid w:val="00D21D89"/>
    <w:rsid w:val="00D22522"/>
    <w:rsid w:val="00D22657"/>
    <w:rsid w:val="00D228DF"/>
    <w:rsid w:val="00D23557"/>
    <w:rsid w:val="00D2427F"/>
    <w:rsid w:val="00D24BB7"/>
    <w:rsid w:val="00D2506D"/>
    <w:rsid w:val="00D25207"/>
    <w:rsid w:val="00D263AE"/>
    <w:rsid w:val="00D2783F"/>
    <w:rsid w:val="00D27855"/>
    <w:rsid w:val="00D27E5A"/>
    <w:rsid w:val="00D31021"/>
    <w:rsid w:val="00D310B0"/>
    <w:rsid w:val="00D329B9"/>
    <w:rsid w:val="00D33412"/>
    <w:rsid w:val="00D3482C"/>
    <w:rsid w:val="00D3664C"/>
    <w:rsid w:val="00D3683A"/>
    <w:rsid w:val="00D379C5"/>
    <w:rsid w:val="00D37A63"/>
    <w:rsid w:val="00D37C36"/>
    <w:rsid w:val="00D40559"/>
    <w:rsid w:val="00D405B8"/>
    <w:rsid w:val="00D41493"/>
    <w:rsid w:val="00D4200A"/>
    <w:rsid w:val="00D4267F"/>
    <w:rsid w:val="00D441E9"/>
    <w:rsid w:val="00D44425"/>
    <w:rsid w:val="00D44726"/>
    <w:rsid w:val="00D44FC8"/>
    <w:rsid w:val="00D45D8F"/>
    <w:rsid w:val="00D50332"/>
    <w:rsid w:val="00D50E2D"/>
    <w:rsid w:val="00D50F51"/>
    <w:rsid w:val="00D51FFE"/>
    <w:rsid w:val="00D52902"/>
    <w:rsid w:val="00D52B95"/>
    <w:rsid w:val="00D5362B"/>
    <w:rsid w:val="00D53A09"/>
    <w:rsid w:val="00D54AAB"/>
    <w:rsid w:val="00D552F9"/>
    <w:rsid w:val="00D56C43"/>
    <w:rsid w:val="00D56EDF"/>
    <w:rsid w:val="00D56F08"/>
    <w:rsid w:val="00D57361"/>
    <w:rsid w:val="00D61406"/>
    <w:rsid w:val="00D61541"/>
    <w:rsid w:val="00D61575"/>
    <w:rsid w:val="00D621B7"/>
    <w:rsid w:val="00D6294E"/>
    <w:rsid w:val="00D63C9A"/>
    <w:rsid w:val="00D640BC"/>
    <w:rsid w:val="00D654D5"/>
    <w:rsid w:val="00D65A9D"/>
    <w:rsid w:val="00D65CB5"/>
    <w:rsid w:val="00D65CEF"/>
    <w:rsid w:val="00D677BB"/>
    <w:rsid w:val="00D70544"/>
    <w:rsid w:val="00D71463"/>
    <w:rsid w:val="00D71796"/>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102"/>
    <w:rsid w:val="00D84719"/>
    <w:rsid w:val="00D856EA"/>
    <w:rsid w:val="00D85ACD"/>
    <w:rsid w:val="00D86460"/>
    <w:rsid w:val="00D90AC8"/>
    <w:rsid w:val="00D912D5"/>
    <w:rsid w:val="00D91528"/>
    <w:rsid w:val="00D91AAF"/>
    <w:rsid w:val="00D93C0B"/>
    <w:rsid w:val="00D94564"/>
    <w:rsid w:val="00D9536E"/>
    <w:rsid w:val="00D955F9"/>
    <w:rsid w:val="00D97426"/>
    <w:rsid w:val="00D97568"/>
    <w:rsid w:val="00DA06B0"/>
    <w:rsid w:val="00DA26D5"/>
    <w:rsid w:val="00DA29BA"/>
    <w:rsid w:val="00DA3249"/>
    <w:rsid w:val="00DA38CE"/>
    <w:rsid w:val="00DA4B01"/>
    <w:rsid w:val="00DA5322"/>
    <w:rsid w:val="00DA55AC"/>
    <w:rsid w:val="00DA5600"/>
    <w:rsid w:val="00DA5B60"/>
    <w:rsid w:val="00DA608B"/>
    <w:rsid w:val="00DA7413"/>
    <w:rsid w:val="00DB0066"/>
    <w:rsid w:val="00DB0F9E"/>
    <w:rsid w:val="00DB1307"/>
    <w:rsid w:val="00DB1640"/>
    <w:rsid w:val="00DB1E1A"/>
    <w:rsid w:val="00DB2AF6"/>
    <w:rsid w:val="00DB364F"/>
    <w:rsid w:val="00DB39E7"/>
    <w:rsid w:val="00DB3B3E"/>
    <w:rsid w:val="00DB54A2"/>
    <w:rsid w:val="00DB71DB"/>
    <w:rsid w:val="00DB71E1"/>
    <w:rsid w:val="00DB7B0F"/>
    <w:rsid w:val="00DB7CB3"/>
    <w:rsid w:val="00DC0957"/>
    <w:rsid w:val="00DC0D57"/>
    <w:rsid w:val="00DC16F7"/>
    <w:rsid w:val="00DC1CA3"/>
    <w:rsid w:val="00DC2641"/>
    <w:rsid w:val="00DC2B1E"/>
    <w:rsid w:val="00DC4BD2"/>
    <w:rsid w:val="00DC6315"/>
    <w:rsid w:val="00DC7481"/>
    <w:rsid w:val="00DC7591"/>
    <w:rsid w:val="00DC7C73"/>
    <w:rsid w:val="00DD0839"/>
    <w:rsid w:val="00DD26D0"/>
    <w:rsid w:val="00DD2AD1"/>
    <w:rsid w:val="00DD2BEB"/>
    <w:rsid w:val="00DD3F45"/>
    <w:rsid w:val="00DD47D5"/>
    <w:rsid w:val="00DD5611"/>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51D"/>
    <w:rsid w:val="00DF5526"/>
    <w:rsid w:val="00DF5A8C"/>
    <w:rsid w:val="00DF71D8"/>
    <w:rsid w:val="00E00CCA"/>
    <w:rsid w:val="00E01623"/>
    <w:rsid w:val="00E0241B"/>
    <w:rsid w:val="00E03FE3"/>
    <w:rsid w:val="00E06951"/>
    <w:rsid w:val="00E101A0"/>
    <w:rsid w:val="00E10C94"/>
    <w:rsid w:val="00E10EC4"/>
    <w:rsid w:val="00E118D7"/>
    <w:rsid w:val="00E13F46"/>
    <w:rsid w:val="00E15BD4"/>
    <w:rsid w:val="00E16458"/>
    <w:rsid w:val="00E164B4"/>
    <w:rsid w:val="00E16538"/>
    <w:rsid w:val="00E16A48"/>
    <w:rsid w:val="00E16FB6"/>
    <w:rsid w:val="00E17001"/>
    <w:rsid w:val="00E17814"/>
    <w:rsid w:val="00E17C87"/>
    <w:rsid w:val="00E17CEF"/>
    <w:rsid w:val="00E20FBC"/>
    <w:rsid w:val="00E220B8"/>
    <w:rsid w:val="00E230EE"/>
    <w:rsid w:val="00E244CA"/>
    <w:rsid w:val="00E2512D"/>
    <w:rsid w:val="00E2548C"/>
    <w:rsid w:val="00E25B9F"/>
    <w:rsid w:val="00E2662B"/>
    <w:rsid w:val="00E26736"/>
    <w:rsid w:val="00E268AC"/>
    <w:rsid w:val="00E27986"/>
    <w:rsid w:val="00E27D23"/>
    <w:rsid w:val="00E27FD8"/>
    <w:rsid w:val="00E30A8A"/>
    <w:rsid w:val="00E31BC7"/>
    <w:rsid w:val="00E31E7F"/>
    <w:rsid w:val="00E3524C"/>
    <w:rsid w:val="00E3543A"/>
    <w:rsid w:val="00E363CD"/>
    <w:rsid w:val="00E365C4"/>
    <w:rsid w:val="00E36C7F"/>
    <w:rsid w:val="00E3737B"/>
    <w:rsid w:val="00E37652"/>
    <w:rsid w:val="00E3768F"/>
    <w:rsid w:val="00E402BC"/>
    <w:rsid w:val="00E41403"/>
    <w:rsid w:val="00E414A6"/>
    <w:rsid w:val="00E418C7"/>
    <w:rsid w:val="00E41BD7"/>
    <w:rsid w:val="00E42428"/>
    <w:rsid w:val="00E428D6"/>
    <w:rsid w:val="00E43284"/>
    <w:rsid w:val="00E445C9"/>
    <w:rsid w:val="00E447C5"/>
    <w:rsid w:val="00E450AE"/>
    <w:rsid w:val="00E450C1"/>
    <w:rsid w:val="00E4547F"/>
    <w:rsid w:val="00E4571F"/>
    <w:rsid w:val="00E4574F"/>
    <w:rsid w:val="00E46B7D"/>
    <w:rsid w:val="00E5091C"/>
    <w:rsid w:val="00E50E42"/>
    <w:rsid w:val="00E51009"/>
    <w:rsid w:val="00E511AB"/>
    <w:rsid w:val="00E51350"/>
    <w:rsid w:val="00E51C5E"/>
    <w:rsid w:val="00E523FB"/>
    <w:rsid w:val="00E528AF"/>
    <w:rsid w:val="00E52C1A"/>
    <w:rsid w:val="00E53629"/>
    <w:rsid w:val="00E5372C"/>
    <w:rsid w:val="00E537A9"/>
    <w:rsid w:val="00E541BF"/>
    <w:rsid w:val="00E541C7"/>
    <w:rsid w:val="00E5480C"/>
    <w:rsid w:val="00E54AB7"/>
    <w:rsid w:val="00E55131"/>
    <w:rsid w:val="00E55F3E"/>
    <w:rsid w:val="00E5605B"/>
    <w:rsid w:val="00E56392"/>
    <w:rsid w:val="00E5712F"/>
    <w:rsid w:val="00E601DA"/>
    <w:rsid w:val="00E60547"/>
    <w:rsid w:val="00E609FF"/>
    <w:rsid w:val="00E60EF2"/>
    <w:rsid w:val="00E61AA8"/>
    <w:rsid w:val="00E6247F"/>
    <w:rsid w:val="00E62E59"/>
    <w:rsid w:val="00E63E99"/>
    <w:rsid w:val="00E641D6"/>
    <w:rsid w:val="00E6454D"/>
    <w:rsid w:val="00E65301"/>
    <w:rsid w:val="00E6598A"/>
    <w:rsid w:val="00E6630E"/>
    <w:rsid w:val="00E667A7"/>
    <w:rsid w:val="00E679B3"/>
    <w:rsid w:val="00E7180D"/>
    <w:rsid w:val="00E7190A"/>
    <w:rsid w:val="00E71CAD"/>
    <w:rsid w:val="00E71E5C"/>
    <w:rsid w:val="00E7245E"/>
    <w:rsid w:val="00E73831"/>
    <w:rsid w:val="00E73B66"/>
    <w:rsid w:val="00E73C0C"/>
    <w:rsid w:val="00E7498E"/>
    <w:rsid w:val="00E74BB9"/>
    <w:rsid w:val="00E74FF5"/>
    <w:rsid w:val="00E7584A"/>
    <w:rsid w:val="00E760D0"/>
    <w:rsid w:val="00E76D85"/>
    <w:rsid w:val="00E77C2E"/>
    <w:rsid w:val="00E80A1A"/>
    <w:rsid w:val="00E81528"/>
    <w:rsid w:val="00E8292A"/>
    <w:rsid w:val="00E82DE7"/>
    <w:rsid w:val="00E83345"/>
    <w:rsid w:val="00E83CA6"/>
    <w:rsid w:val="00E84116"/>
    <w:rsid w:val="00E84C5C"/>
    <w:rsid w:val="00E85533"/>
    <w:rsid w:val="00E86343"/>
    <w:rsid w:val="00E866CD"/>
    <w:rsid w:val="00E877ED"/>
    <w:rsid w:val="00E901FD"/>
    <w:rsid w:val="00E90C4B"/>
    <w:rsid w:val="00E90E48"/>
    <w:rsid w:val="00E91964"/>
    <w:rsid w:val="00E91FB1"/>
    <w:rsid w:val="00E94468"/>
    <w:rsid w:val="00E94630"/>
    <w:rsid w:val="00E94A0E"/>
    <w:rsid w:val="00E96226"/>
    <w:rsid w:val="00E96DDE"/>
    <w:rsid w:val="00E9731E"/>
    <w:rsid w:val="00E975CA"/>
    <w:rsid w:val="00EA04AE"/>
    <w:rsid w:val="00EA062F"/>
    <w:rsid w:val="00EA08E3"/>
    <w:rsid w:val="00EA17A9"/>
    <w:rsid w:val="00EA1C8D"/>
    <w:rsid w:val="00EA1DF0"/>
    <w:rsid w:val="00EA2A32"/>
    <w:rsid w:val="00EA3004"/>
    <w:rsid w:val="00EA311B"/>
    <w:rsid w:val="00EA36CA"/>
    <w:rsid w:val="00EA3D9C"/>
    <w:rsid w:val="00EA43C0"/>
    <w:rsid w:val="00EA4CB0"/>
    <w:rsid w:val="00EA5146"/>
    <w:rsid w:val="00EA5486"/>
    <w:rsid w:val="00EA566F"/>
    <w:rsid w:val="00EA6630"/>
    <w:rsid w:val="00EA7A3E"/>
    <w:rsid w:val="00EB1FA8"/>
    <w:rsid w:val="00EB2857"/>
    <w:rsid w:val="00EB30B7"/>
    <w:rsid w:val="00EB3F8A"/>
    <w:rsid w:val="00EB416F"/>
    <w:rsid w:val="00EB43B9"/>
    <w:rsid w:val="00EB4482"/>
    <w:rsid w:val="00EB4C01"/>
    <w:rsid w:val="00EB4D59"/>
    <w:rsid w:val="00EB4E58"/>
    <w:rsid w:val="00EB573D"/>
    <w:rsid w:val="00EB583A"/>
    <w:rsid w:val="00EB641D"/>
    <w:rsid w:val="00EB7752"/>
    <w:rsid w:val="00EC0725"/>
    <w:rsid w:val="00EC0889"/>
    <w:rsid w:val="00EC0C13"/>
    <w:rsid w:val="00EC148C"/>
    <w:rsid w:val="00EC2D7D"/>
    <w:rsid w:val="00EC36AD"/>
    <w:rsid w:val="00EC3BCF"/>
    <w:rsid w:val="00EC56B1"/>
    <w:rsid w:val="00EC649C"/>
    <w:rsid w:val="00EC664F"/>
    <w:rsid w:val="00EC6749"/>
    <w:rsid w:val="00EC72F5"/>
    <w:rsid w:val="00EC7334"/>
    <w:rsid w:val="00ED1877"/>
    <w:rsid w:val="00ED247F"/>
    <w:rsid w:val="00ED27E4"/>
    <w:rsid w:val="00ED2F27"/>
    <w:rsid w:val="00ED3370"/>
    <w:rsid w:val="00ED33C6"/>
    <w:rsid w:val="00ED4D96"/>
    <w:rsid w:val="00ED523A"/>
    <w:rsid w:val="00ED5A40"/>
    <w:rsid w:val="00ED5F21"/>
    <w:rsid w:val="00ED602C"/>
    <w:rsid w:val="00ED62B5"/>
    <w:rsid w:val="00ED6CE5"/>
    <w:rsid w:val="00ED6DDB"/>
    <w:rsid w:val="00ED7985"/>
    <w:rsid w:val="00EE270D"/>
    <w:rsid w:val="00EE6989"/>
    <w:rsid w:val="00EE6BC7"/>
    <w:rsid w:val="00EE6C77"/>
    <w:rsid w:val="00EE7604"/>
    <w:rsid w:val="00EE7912"/>
    <w:rsid w:val="00EE7915"/>
    <w:rsid w:val="00EF0465"/>
    <w:rsid w:val="00EF13C5"/>
    <w:rsid w:val="00EF16D8"/>
    <w:rsid w:val="00EF2405"/>
    <w:rsid w:val="00EF28EF"/>
    <w:rsid w:val="00EF2EB9"/>
    <w:rsid w:val="00EF40E7"/>
    <w:rsid w:val="00EF4529"/>
    <w:rsid w:val="00EF4BE0"/>
    <w:rsid w:val="00EF5B34"/>
    <w:rsid w:val="00EF657C"/>
    <w:rsid w:val="00F004D1"/>
    <w:rsid w:val="00F00C0D"/>
    <w:rsid w:val="00F0128B"/>
    <w:rsid w:val="00F02663"/>
    <w:rsid w:val="00F03369"/>
    <w:rsid w:val="00F03DD3"/>
    <w:rsid w:val="00F04E0D"/>
    <w:rsid w:val="00F04E62"/>
    <w:rsid w:val="00F050AA"/>
    <w:rsid w:val="00F05E6D"/>
    <w:rsid w:val="00F0720D"/>
    <w:rsid w:val="00F0748C"/>
    <w:rsid w:val="00F11800"/>
    <w:rsid w:val="00F11B61"/>
    <w:rsid w:val="00F12CD6"/>
    <w:rsid w:val="00F135D6"/>
    <w:rsid w:val="00F13922"/>
    <w:rsid w:val="00F13DBC"/>
    <w:rsid w:val="00F150CC"/>
    <w:rsid w:val="00F150D3"/>
    <w:rsid w:val="00F15EA9"/>
    <w:rsid w:val="00F15FCF"/>
    <w:rsid w:val="00F16613"/>
    <w:rsid w:val="00F16981"/>
    <w:rsid w:val="00F1738D"/>
    <w:rsid w:val="00F20706"/>
    <w:rsid w:val="00F21496"/>
    <w:rsid w:val="00F21E77"/>
    <w:rsid w:val="00F24D27"/>
    <w:rsid w:val="00F2520C"/>
    <w:rsid w:val="00F25BCB"/>
    <w:rsid w:val="00F25ECC"/>
    <w:rsid w:val="00F2625A"/>
    <w:rsid w:val="00F264C1"/>
    <w:rsid w:val="00F26D7F"/>
    <w:rsid w:val="00F27305"/>
    <w:rsid w:val="00F30790"/>
    <w:rsid w:val="00F31297"/>
    <w:rsid w:val="00F31570"/>
    <w:rsid w:val="00F33355"/>
    <w:rsid w:val="00F34363"/>
    <w:rsid w:val="00F34CE9"/>
    <w:rsid w:val="00F354B9"/>
    <w:rsid w:val="00F35705"/>
    <w:rsid w:val="00F35B93"/>
    <w:rsid w:val="00F365E8"/>
    <w:rsid w:val="00F37CFD"/>
    <w:rsid w:val="00F37D33"/>
    <w:rsid w:val="00F40178"/>
    <w:rsid w:val="00F40DB9"/>
    <w:rsid w:val="00F40ED1"/>
    <w:rsid w:val="00F415A3"/>
    <w:rsid w:val="00F41778"/>
    <w:rsid w:val="00F41B3E"/>
    <w:rsid w:val="00F421D1"/>
    <w:rsid w:val="00F4323B"/>
    <w:rsid w:val="00F433E5"/>
    <w:rsid w:val="00F43B8E"/>
    <w:rsid w:val="00F43C9D"/>
    <w:rsid w:val="00F45165"/>
    <w:rsid w:val="00F45196"/>
    <w:rsid w:val="00F45D51"/>
    <w:rsid w:val="00F45F5E"/>
    <w:rsid w:val="00F45FEE"/>
    <w:rsid w:val="00F46842"/>
    <w:rsid w:val="00F4765F"/>
    <w:rsid w:val="00F479B5"/>
    <w:rsid w:val="00F47A1B"/>
    <w:rsid w:val="00F47B36"/>
    <w:rsid w:val="00F47C4B"/>
    <w:rsid w:val="00F53775"/>
    <w:rsid w:val="00F539A6"/>
    <w:rsid w:val="00F557B4"/>
    <w:rsid w:val="00F55E0E"/>
    <w:rsid w:val="00F5611D"/>
    <w:rsid w:val="00F56E3E"/>
    <w:rsid w:val="00F572DA"/>
    <w:rsid w:val="00F578A8"/>
    <w:rsid w:val="00F57EEB"/>
    <w:rsid w:val="00F57F67"/>
    <w:rsid w:val="00F60996"/>
    <w:rsid w:val="00F60B5D"/>
    <w:rsid w:val="00F611E4"/>
    <w:rsid w:val="00F613D4"/>
    <w:rsid w:val="00F61CEA"/>
    <w:rsid w:val="00F61E1F"/>
    <w:rsid w:val="00F61FE7"/>
    <w:rsid w:val="00F62AFE"/>
    <w:rsid w:val="00F633E5"/>
    <w:rsid w:val="00F64A3A"/>
    <w:rsid w:val="00F64AFF"/>
    <w:rsid w:val="00F64C45"/>
    <w:rsid w:val="00F64F35"/>
    <w:rsid w:val="00F64FC4"/>
    <w:rsid w:val="00F65DE3"/>
    <w:rsid w:val="00F67E6A"/>
    <w:rsid w:val="00F70472"/>
    <w:rsid w:val="00F71430"/>
    <w:rsid w:val="00F71A8A"/>
    <w:rsid w:val="00F74ED6"/>
    <w:rsid w:val="00F75896"/>
    <w:rsid w:val="00F7614D"/>
    <w:rsid w:val="00F76666"/>
    <w:rsid w:val="00F76ECB"/>
    <w:rsid w:val="00F76EF7"/>
    <w:rsid w:val="00F774E1"/>
    <w:rsid w:val="00F776B7"/>
    <w:rsid w:val="00F77758"/>
    <w:rsid w:val="00F77BDB"/>
    <w:rsid w:val="00F8031F"/>
    <w:rsid w:val="00F80C5C"/>
    <w:rsid w:val="00F818A5"/>
    <w:rsid w:val="00F8197C"/>
    <w:rsid w:val="00F82610"/>
    <w:rsid w:val="00F845E9"/>
    <w:rsid w:val="00F8465D"/>
    <w:rsid w:val="00F848B3"/>
    <w:rsid w:val="00F849DF"/>
    <w:rsid w:val="00F85755"/>
    <w:rsid w:val="00F86A0B"/>
    <w:rsid w:val="00F87431"/>
    <w:rsid w:val="00F8765C"/>
    <w:rsid w:val="00F87A53"/>
    <w:rsid w:val="00F9031B"/>
    <w:rsid w:val="00F91DA4"/>
    <w:rsid w:val="00F92728"/>
    <w:rsid w:val="00F92C9C"/>
    <w:rsid w:val="00F937AF"/>
    <w:rsid w:val="00F94494"/>
    <w:rsid w:val="00F96483"/>
    <w:rsid w:val="00F9648C"/>
    <w:rsid w:val="00F96671"/>
    <w:rsid w:val="00F9680E"/>
    <w:rsid w:val="00F96E21"/>
    <w:rsid w:val="00F97941"/>
    <w:rsid w:val="00F97C9C"/>
    <w:rsid w:val="00FA00AF"/>
    <w:rsid w:val="00FA0A0A"/>
    <w:rsid w:val="00FA0C9D"/>
    <w:rsid w:val="00FA169B"/>
    <w:rsid w:val="00FA2C4B"/>
    <w:rsid w:val="00FA5CC6"/>
    <w:rsid w:val="00FA64D5"/>
    <w:rsid w:val="00FA6570"/>
    <w:rsid w:val="00FA6760"/>
    <w:rsid w:val="00FA70F6"/>
    <w:rsid w:val="00FA7420"/>
    <w:rsid w:val="00FA756C"/>
    <w:rsid w:val="00FA75E4"/>
    <w:rsid w:val="00FA776B"/>
    <w:rsid w:val="00FB0AB1"/>
    <w:rsid w:val="00FB2BEF"/>
    <w:rsid w:val="00FB36CA"/>
    <w:rsid w:val="00FB4BE8"/>
    <w:rsid w:val="00FB546F"/>
    <w:rsid w:val="00FB72AC"/>
    <w:rsid w:val="00FB7706"/>
    <w:rsid w:val="00FB7EC9"/>
    <w:rsid w:val="00FB7F82"/>
    <w:rsid w:val="00FC0DAF"/>
    <w:rsid w:val="00FC11F5"/>
    <w:rsid w:val="00FC126D"/>
    <w:rsid w:val="00FC3387"/>
    <w:rsid w:val="00FC382F"/>
    <w:rsid w:val="00FC4236"/>
    <w:rsid w:val="00FC615D"/>
    <w:rsid w:val="00FD01CC"/>
    <w:rsid w:val="00FD06AC"/>
    <w:rsid w:val="00FD08AF"/>
    <w:rsid w:val="00FD1E7A"/>
    <w:rsid w:val="00FD2672"/>
    <w:rsid w:val="00FD28F4"/>
    <w:rsid w:val="00FD2CE2"/>
    <w:rsid w:val="00FD3426"/>
    <w:rsid w:val="00FD468A"/>
    <w:rsid w:val="00FD4A1E"/>
    <w:rsid w:val="00FD5265"/>
    <w:rsid w:val="00FD66A9"/>
    <w:rsid w:val="00FD6712"/>
    <w:rsid w:val="00FD6853"/>
    <w:rsid w:val="00FD6E54"/>
    <w:rsid w:val="00FD73E7"/>
    <w:rsid w:val="00FE01B5"/>
    <w:rsid w:val="00FE03BB"/>
    <w:rsid w:val="00FE04FC"/>
    <w:rsid w:val="00FE0BF0"/>
    <w:rsid w:val="00FE15A2"/>
    <w:rsid w:val="00FE3B20"/>
    <w:rsid w:val="00FE3B37"/>
    <w:rsid w:val="00FE4B40"/>
    <w:rsid w:val="00FE5DC4"/>
    <w:rsid w:val="00FE6E94"/>
    <w:rsid w:val="00FE76CB"/>
    <w:rsid w:val="00FE7BD8"/>
    <w:rsid w:val="00FF1196"/>
    <w:rsid w:val="00FF12EF"/>
    <w:rsid w:val="00FF1B25"/>
    <w:rsid w:val="00FF1D76"/>
    <w:rsid w:val="00FF1FB2"/>
    <w:rsid w:val="00FF2451"/>
    <w:rsid w:val="00FF309E"/>
    <w:rsid w:val="00FF3EE6"/>
    <w:rsid w:val="00FF434C"/>
    <w:rsid w:val="00FF55F5"/>
    <w:rsid w:val="00FF682B"/>
    <w:rsid w:val="00FF71AF"/>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9255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925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LD_WG_4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1FCA-62AF-431A-96CC-F770900C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H_LD_WG_4_A.dotx</Template>
  <TotalTime>6</TotalTime>
  <Pages>14</Pages>
  <Words>4723</Words>
  <Characters>23171</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H/LD/WG/4/-- (Arabic)</vt:lpstr>
    </vt:vector>
  </TitlesOfParts>
  <Company>World Intellectual Property Organization</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 (Arabic)</dc:title>
  <dc:creator>YOUSSEF Randa</dc:creator>
  <cp:lastModifiedBy>YOUSSEF Randa</cp:lastModifiedBy>
  <cp:revision>5</cp:revision>
  <cp:lastPrinted>2014-05-19T14:38:00Z</cp:lastPrinted>
  <dcterms:created xsi:type="dcterms:W3CDTF">2014-05-18T11:35:00Z</dcterms:created>
  <dcterms:modified xsi:type="dcterms:W3CDTF">2014-05-19T14:39:00Z</dcterms:modified>
</cp:coreProperties>
</file>