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07" w:rsidRPr="00D95727" w:rsidRDefault="00C328FA" w:rsidP="00D16F07">
      <w:pPr>
        <w:ind w:left="-360"/>
        <w:jc w:val="center"/>
        <w:outlineLvl w:val="0"/>
        <w:rPr>
          <w:rFonts w:ascii="Arial" w:hAnsi="Arial" w:cs="Arial"/>
          <w:b/>
          <w:sz w:val="28"/>
          <w:szCs w:val="28"/>
          <w:lang w:val="es-ES"/>
        </w:rPr>
      </w:pPr>
      <w:r w:rsidRPr="00D95727">
        <w:rPr>
          <w:rFonts w:ascii="Arial" w:hAnsi="Arial" w:cs="Arial"/>
          <w:b/>
          <w:sz w:val="28"/>
          <w:szCs w:val="28"/>
          <w:lang w:val="es-ES"/>
        </w:rPr>
        <w:t>Nota informativa</w:t>
      </w:r>
      <w:r w:rsidR="00D16F07" w:rsidRPr="00D95727">
        <w:rPr>
          <w:rStyle w:val="FootnoteReference"/>
          <w:rFonts w:ascii="Arial" w:hAnsi="Arial" w:cs="Arial"/>
          <w:b/>
          <w:sz w:val="28"/>
          <w:szCs w:val="28"/>
          <w:lang w:val="es-ES"/>
        </w:rPr>
        <w:footnoteReference w:id="1"/>
      </w:r>
    </w:p>
    <w:p w:rsidR="00D16F07" w:rsidRPr="00D95727" w:rsidRDefault="00D16F07" w:rsidP="007330CE">
      <w:pPr>
        <w:ind w:left="-360"/>
        <w:jc w:val="center"/>
        <w:rPr>
          <w:rFonts w:ascii="Arial" w:hAnsi="Arial" w:cs="Arial"/>
          <w:b/>
          <w:sz w:val="28"/>
          <w:szCs w:val="28"/>
          <w:lang w:val="es-ES"/>
        </w:rPr>
      </w:pPr>
    </w:p>
    <w:p w:rsidR="00D16F07" w:rsidRPr="00D95727" w:rsidRDefault="00DF2C48" w:rsidP="007330CE">
      <w:pPr>
        <w:ind w:left="-360"/>
        <w:jc w:val="center"/>
        <w:rPr>
          <w:rFonts w:ascii="Arial" w:hAnsi="Arial" w:cs="Arial"/>
          <w:b/>
          <w:sz w:val="28"/>
          <w:szCs w:val="28"/>
          <w:lang w:val="es-ES"/>
        </w:rPr>
      </w:pPr>
      <w:r w:rsidRPr="00D95727">
        <w:rPr>
          <w:rFonts w:ascii="Arial" w:hAnsi="Arial" w:cs="Arial"/>
          <w:b/>
          <w:sz w:val="28"/>
          <w:szCs w:val="28"/>
          <w:lang w:val="es-ES"/>
        </w:rPr>
        <w:t>para la trigésima cuarta ses</w:t>
      </w:r>
      <w:r w:rsidR="00416FE9" w:rsidRPr="00D95727">
        <w:rPr>
          <w:rFonts w:ascii="Arial" w:hAnsi="Arial" w:cs="Arial"/>
          <w:b/>
          <w:sz w:val="28"/>
          <w:szCs w:val="28"/>
          <w:lang w:val="es-ES"/>
        </w:rPr>
        <w:t>ió</w:t>
      </w:r>
      <w:r w:rsidRPr="00D95727">
        <w:rPr>
          <w:rFonts w:ascii="Arial" w:hAnsi="Arial" w:cs="Arial"/>
          <w:b/>
          <w:sz w:val="28"/>
          <w:szCs w:val="28"/>
          <w:lang w:val="es-ES"/>
        </w:rPr>
        <w:t>n del</w:t>
      </w:r>
      <w:r w:rsidR="00F515BE" w:rsidRPr="00D95727">
        <w:rPr>
          <w:rFonts w:ascii="Arial" w:hAnsi="Arial" w:cs="Arial"/>
          <w:b/>
          <w:sz w:val="28"/>
          <w:szCs w:val="28"/>
          <w:lang w:val="es-ES"/>
        </w:rPr>
        <w:t xml:space="preserve"> </w:t>
      </w:r>
      <w:r w:rsidRPr="00D95727">
        <w:rPr>
          <w:rFonts w:ascii="Arial" w:hAnsi="Arial" w:cs="Arial"/>
          <w:b/>
          <w:sz w:val="28"/>
          <w:szCs w:val="28"/>
          <w:lang w:val="es-ES"/>
        </w:rPr>
        <w:t>CIG</w:t>
      </w:r>
    </w:p>
    <w:p w:rsidR="00D16F07" w:rsidRPr="00D95727" w:rsidRDefault="00D16F07" w:rsidP="007330CE">
      <w:pPr>
        <w:ind w:left="-360"/>
        <w:jc w:val="center"/>
        <w:rPr>
          <w:rFonts w:ascii="Arial" w:hAnsi="Arial" w:cs="Arial"/>
          <w:b/>
          <w:sz w:val="28"/>
          <w:szCs w:val="28"/>
          <w:lang w:val="es-ES"/>
        </w:rPr>
      </w:pPr>
    </w:p>
    <w:p w:rsidR="00D16F07" w:rsidRPr="00D95727" w:rsidRDefault="00BB3BCB" w:rsidP="00D16F07">
      <w:pPr>
        <w:ind w:left="-360"/>
        <w:jc w:val="center"/>
        <w:rPr>
          <w:rFonts w:ascii="Arial" w:hAnsi="Arial" w:cs="Arial"/>
          <w:b/>
          <w:sz w:val="28"/>
          <w:szCs w:val="28"/>
          <w:lang w:val="es-ES"/>
        </w:rPr>
      </w:pPr>
      <w:r w:rsidRPr="00D95727">
        <w:rPr>
          <w:rFonts w:ascii="Arial" w:hAnsi="Arial" w:cs="Arial"/>
          <w:b/>
          <w:sz w:val="28"/>
          <w:szCs w:val="28"/>
          <w:lang w:val="es-ES"/>
        </w:rPr>
        <w:t>DELIBER</w:t>
      </w:r>
      <w:bookmarkStart w:id="0" w:name="_GoBack"/>
      <w:bookmarkEnd w:id="0"/>
      <w:r w:rsidRPr="00D95727">
        <w:rPr>
          <w:rFonts w:ascii="Arial" w:hAnsi="Arial" w:cs="Arial"/>
          <w:b/>
          <w:sz w:val="28"/>
          <w:szCs w:val="28"/>
          <w:lang w:val="es-ES"/>
        </w:rPr>
        <w:t xml:space="preserve">ACIONES </w:t>
      </w:r>
      <w:r w:rsidR="00CA043B" w:rsidRPr="00D95727">
        <w:rPr>
          <w:rFonts w:ascii="Arial" w:hAnsi="Arial" w:cs="Arial"/>
          <w:b/>
          <w:sz w:val="28"/>
          <w:szCs w:val="28"/>
          <w:lang w:val="es-ES"/>
        </w:rPr>
        <w:t xml:space="preserve">EN EL MARCO DEL PUNTO 8 DEL ORDEN DEL DÍA </w:t>
      </w:r>
    </w:p>
    <w:p w:rsidR="00D16F07" w:rsidRPr="00D95727" w:rsidRDefault="00C328FA" w:rsidP="00D16F07">
      <w:pPr>
        <w:ind w:left="-360"/>
        <w:jc w:val="center"/>
        <w:rPr>
          <w:rFonts w:ascii="Arial" w:hAnsi="Arial" w:cs="Arial"/>
          <w:b/>
          <w:sz w:val="28"/>
          <w:szCs w:val="28"/>
          <w:lang w:val="es-ES"/>
        </w:rPr>
      </w:pPr>
      <w:r w:rsidRPr="00D95727">
        <w:rPr>
          <w:rFonts w:ascii="Arial" w:hAnsi="Arial" w:cs="Arial"/>
          <w:b/>
          <w:sz w:val="28"/>
          <w:szCs w:val="28"/>
          <w:lang w:val="es-ES"/>
        </w:rPr>
        <w:t>BALANCE DE LOS PROGRESOS Y RECOMENDACIÓN A LA ASAMBLEA GENERAL</w:t>
      </w:r>
    </w:p>
    <w:p w:rsidR="00D16F07" w:rsidRPr="00D95727" w:rsidRDefault="00D16F07" w:rsidP="007330CE">
      <w:pPr>
        <w:ind w:left="-360"/>
        <w:jc w:val="center"/>
        <w:rPr>
          <w:rFonts w:ascii="Arial" w:hAnsi="Arial" w:cs="Arial"/>
          <w:sz w:val="22"/>
          <w:szCs w:val="22"/>
          <w:lang w:val="es-ES"/>
        </w:rPr>
      </w:pPr>
    </w:p>
    <w:p w:rsidR="00D16F07" w:rsidRPr="00D95727" w:rsidRDefault="00D16F07" w:rsidP="00D16F07">
      <w:pPr>
        <w:ind w:left="-360"/>
        <w:jc w:val="center"/>
        <w:outlineLvl w:val="0"/>
        <w:rPr>
          <w:rFonts w:ascii="Arial" w:hAnsi="Arial" w:cs="Arial"/>
          <w:sz w:val="22"/>
          <w:szCs w:val="22"/>
          <w:lang w:val="es-ES"/>
        </w:rPr>
      </w:pPr>
      <w:r w:rsidRPr="00D95727">
        <w:rPr>
          <w:rFonts w:ascii="Arial" w:hAnsi="Arial" w:cs="Arial"/>
          <w:sz w:val="22"/>
          <w:szCs w:val="22"/>
          <w:lang w:val="es-ES"/>
        </w:rPr>
        <w:t>preparada por el Sr</w:t>
      </w:r>
      <w:r w:rsidR="00F515BE" w:rsidRPr="00D95727">
        <w:rPr>
          <w:rFonts w:ascii="Arial" w:hAnsi="Arial" w:cs="Arial"/>
          <w:sz w:val="22"/>
          <w:szCs w:val="22"/>
          <w:lang w:val="es-ES"/>
        </w:rPr>
        <w:t>. </w:t>
      </w:r>
      <w:r w:rsidRPr="00D95727">
        <w:rPr>
          <w:rFonts w:ascii="Arial" w:hAnsi="Arial" w:cs="Arial"/>
          <w:sz w:val="22"/>
          <w:szCs w:val="22"/>
          <w:lang w:val="es-ES"/>
        </w:rPr>
        <w:t>Ian Goss, presidente del CIG</w:t>
      </w:r>
    </w:p>
    <w:p w:rsidR="00D16F07" w:rsidRPr="00D95727" w:rsidRDefault="00D16F07" w:rsidP="005E280F">
      <w:pPr>
        <w:rPr>
          <w:rFonts w:ascii="Arial" w:hAnsi="Arial" w:cs="Arial"/>
          <w:sz w:val="22"/>
          <w:szCs w:val="22"/>
          <w:lang w:val="es-ES"/>
        </w:rPr>
      </w:pPr>
    </w:p>
    <w:p w:rsidR="00D16F07" w:rsidRPr="00D95727" w:rsidRDefault="00D16F07" w:rsidP="005E280F">
      <w:pPr>
        <w:rPr>
          <w:rFonts w:ascii="Arial" w:hAnsi="Arial" w:cs="Arial"/>
          <w:sz w:val="22"/>
          <w:szCs w:val="22"/>
          <w:lang w:val="es-ES"/>
        </w:rPr>
      </w:pPr>
    </w:p>
    <w:p w:rsidR="00D16F07" w:rsidRPr="00D95727" w:rsidRDefault="00D16F07" w:rsidP="00D16F07">
      <w:pPr>
        <w:outlineLvl w:val="0"/>
        <w:rPr>
          <w:rFonts w:ascii="Arial" w:hAnsi="Arial" w:cs="Arial"/>
          <w:b/>
          <w:sz w:val="22"/>
          <w:szCs w:val="22"/>
          <w:u w:val="single"/>
          <w:lang w:val="es-ES"/>
        </w:rPr>
      </w:pPr>
      <w:r w:rsidRPr="00D95727">
        <w:rPr>
          <w:rFonts w:ascii="Arial" w:hAnsi="Arial" w:cs="Arial"/>
          <w:b/>
          <w:sz w:val="22"/>
          <w:szCs w:val="22"/>
          <w:u w:val="single"/>
          <w:lang w:val="es-ES"/>
        </w:rPr>
        <w:t>Introducción</w:t>
      </w:r>
    </w:p>
    <w:p w:rsidR="00D16F07" w:rsidRPr="00D95727" w:rsidRDefault="00D16F07" w:rsidP="007330CE">
      <w:pPr>
        <w:rPr>
          <w:rFonts w:ascii="Arial" w:hAnsi="Arial" w:cs="Arial"/>
          <w:sz w:val="22"/>
          <w:szCs w:val="22"/>
          <w:lang w:val="es-ES"/>
        </w:rPr>
      </w:pPr>
    </w:p>
    <w:p w:rsidR="00D16F07" w:rsidRPr="00D95727" w:rsidRDefault="000F725D" w:rsidP="00896FA7">
      <w:pPr>
        <w:pStyle w:val="Default"/>
        <w:spacing w:after="269"/>
        <w:rPr>
          <w:color w:val="auto"/>
          <w:sz w:val="22"/>
          <w:szCs w:val="22"/>
          <w:lang w:val="es-ES"/>
        </w:rPr>
      </w:pPr>
      <w:r w:rsidRPr="00D95727">
        <w:rPr>
          <w:color w:val="auto"/>
          <w:sz w:val="22"/>
          <w:szCs w:val="22"/>
          <w:lang w:val="es-ES"/>
        </w:rPr>
        <w:t>Al concluir la trigésima cuarta sesión del Comité Intergubernamental sobre Propiedad Intelectual y Recursos Genéticos, Conocimientos Tradicionales y Folclore (el CIG), el Comité habrá completado</w:t>
      </w:r>
      <w:r w:rsidR="00F515BE" w:rsidRPr="00D95727">
        <w:rPr>
          <w:color w:val="auto"/>
          <w:sz w:val="22"/>
          <w:szCs w:val="22"/>
          <w:lang w:val="es-ES"/>
        </w:rPr>
        <w:t xml:space="preserve"> </w:t>
      </w:r>
      <w:r w:rsidR="00A61670" w:rsidRPr="00D95727">
        <w:rPr>
          <w:color w:val="auto"/>
          <w:sz w:val="22"/>
          <w:szCs w:val="22"/>
          <w:lang w:val="es-ES"/>
        </w:rPr>
        <w:t>el</w:t>
      </w:r>
      <w:r w:rsidRPr="00D95727">
        <w:rPr>
          <w:color w:val="auto"/>
          <w:sz w:val="22"/>
          <w:szCs w:val="22"/>
          <w:lang w:val="es-ES"/>
        </w:rPr>
        <w:t xml:space="preserve"> programa de trabajo </w:t>
      </w:r>
      <w:r w:rsidR="00A61670" w:rsidRPr="00D95727">
        <w:rPr>
          <w:color w:val="auto"/>
          <w:sz w:val="22"/>
          <w:szCs w:val="22"/>
          <w:lang w:val="es-ES"/>
        </w:rPr>
        <w:t>que se le había asignado</w:t>
      </w:r>
      <w:r w:rsidRPr="00D95727">
        <w:rPr>
          <w:color w:val="auto"/>
          <w:sz w:val="22"/>
          <w:szCs w:val="22"/>
          <w:lang w:val="es-ES"/>
        </w:rPr>
        <w:t xml:space="preserve"> </w:t>
      </w:r>
      <w:r w:rsidR="001B3683" w:rsidRPr="00D95727">
        <w:rPr>
          <w:color w:val="auto"/>
          <w:sz w:val="22"/>
          <w:szCs w:val="22"/>
          <w:lang w:val="es-ES"/>
        </w:rPr>
        <w:t>en el marco d</w:t>
      </w:r>
      <w:r w:rsidRPr="00D95727">
        <w:rPr>
          <w:color w:val="auto"/>
          <w:sz w:val="22"/>
          <w:szCs w:val="22"/>
          <w:lang w:val="es-ES"/>
        </w:rPr>
        <w:t xml:space="preserve">el </w:t>
      </w:r>
      <w:r w:rsidR="007349EE" w:rsidRPr="00D95727">
        <w:rPr>
          <w:color w:val="auto"/>
          <w:sz w:val="22"/>
          <w:szCs w:val="22"/>
          <w:lang w:val="es-ES"/>
        </w:rPr>
        <w:t>actual</w:t>
      </w:r>
      <w:r w:rsidRPr="00D95727">
        <w:rPr>
          <w:color w:val="auto"/>
          <w:sz w:val="22"/>
          <w:szCs w:val="22"/>
          <w:lang w:val="es-ES"/>
        </w:rPr>
        <w:t xml:space="preserve"> mandato del CIG para el bienio</w:t>
      </w:r>
      <w:r w:rsidR="00A61670" w:rsidRPr="00D95727">
        <w:rPr>
          <w:color w:val="auto"/>
          <w:sz w:val="22"/>
          <w:szCs w:val="22"/>
          <w:lang w:val="es-ES"/>
        </w:rPr>
        <w:t xml:space="preserve"> </w:t>
      </w:r>
      <w:r w:rsidR="00896FA7" w:rsidRPr="00D95727">
        <w:rPr>
          <w:color w:val="auto"/>
          <w:sz w:val="22"/>
          <w:szCs w:val="22"/>
          <w:lang w:val="es-ES"/>
        </w:rPr>
        <w:t>2016/2017.</w:t>
      </w:r>
    </w:p>
    <w:p w:rsidR="00D16F07" w:rsidRPr="00D95727" w:rsidRDefault="00C86EB5" w:rsidP="00D16F07">
      <w:pPr>
        <w:pStyle w:val="Default"/>
        <w:spacing w:after="269"/>
        <w:rPr>
          <w:i/>
          <w:color w:val="auto"/>
          <w:sz w:val="22"/>
          <w:szCs w:val="22"/>
          <w:u w:val="single"/>
          <w:lang w:val="es-ES"/>
        </w:rPr>
      </w:pPr>
      <w:r w:rsidRPr="00D95727">
        <w:rPr>
          <w:color w:val="auto"/>
          <w:sz w:val="22"/>
          <w:szCs w:val="22"/>
          <w:lang w:val="es-ES"/>
        </w:rPr>
        <w:t>De conformidad con ese mandato, se pidió al Comité que, en 2017, presente a la Asamblea General de la OMPI:</w:t>
      </w:r>
      <w:r w:rsidR="00684746" w:rsidRPr="00D95727">
        <w:rPr>
          <w:color w:val="auto"/>
          <w:sz w:val="22"/>
          <w:szCs w:val="22"/>
          <w:lang w:val="es-ES"/>
        </w:rPr>
        <w:t xml:space="preserve">  </w:t>
      </w:r>
      <w:r w:rsidR="00896FA7" w:rsidRPr="00D95727">
        <w:rPr>
          <w:color w:val="auto"/>
          <w:sz w:val="22"/>
          <w:szCs w:val="22"/>
          <w:u w:val="single"/>
          <w:lang w:val="es-ES"/>
        </w:rPr>
        <w:t>“</w:t>
      </w:r>
      <w:r w:rsidRPr="00D95727">
        <w:rPr>
          <w:i/>
          <w:color w:val="auto"/>
          <w:sz w:val="22"/>
          <w:szCs w:val="22"/>
          <w:u w:val="single"/>
          <w:lang w:val="es-ES"/>
        </w:rPr>
        <w:t>los resultados de los trabajos relativos al establecimiento de uno o varios instrumentos jurídicos internacionales en relación con la P.I</w:t>
      </w:r>
      <w:r w:rsidR="00684746" w:rsidRPr="00D95727">
        <w:rPr>
          <w:i/>
          <w:color w:val="auto"/>
          <w:sz w:val="22"/>
          <w:szCs w:val="22"/>
          <w:u w:val="single"/>
          <w:lang w:val="es-ES"/>
        </w:rPr>
        <w:t>.</w:t>
      </w:r>
      <w:r w:rsidR="00F515BE" w:rsidRPr="00D95727">
        <w:rPr>
          <w:i/>
          <w:color w:val="auto"/>
          <w:sz w:val="22"/>
          <w:szCs w:val="22"/>
          <w:u w:val="single"/>
          <w:lang w:val="es-ES"/>
        </w:rPr>
        <w:t xml:space="preserve"> </w:t>
      </w:r>
      <w:r w:rsidRPr="00D95727">
        <w:rPr>
          <w:i/>
          <w:color w:val="auto"/>
          <w:sz w:val="22"/>
          <w:szCs w:val="22"/>
          <w:u w:val="single"/>
          <w:lang w:val="es-ES"/>
        </w:rPr>
        <w:t xml:space="preserve">que aseguren la protección eficaz y equilibrada de los </w:t>
      </w:r>
      <w:r w:rsidR="007A6DD9" w:rsidRPr="00D95727">
        <w:rPr>
          <w:i/>
          <w:color w:val="auto"/>
          <w:sz w:val="22"/>
          <w:szCs w:val="22"/>
          <w:u w:val="single"/>
          <w:lang w:val="es-ES"/>
        </w:rPr>
        <w:t>[recursos genéticos (</w:t>
      </w:r>
      <w:r w:rsidRPr="00D95727">
        <w:rPr>
          <w:i/>
          <w:color w:val="auto"/>
          <w:sz w:val="22"/>
          <w:szCs w:val="22"/>
          <w:u w:val="single"/>
          <w:lang w:val="es-ES"/>
        </w:rPr>
        <w:t>RR.GG.</w:t>
      </w:r>
      <w:r w:rsidR="007A6DD9" w:rsidRPr="00D95727">
        <w:rPr>
          <w:i/>
          <w:color w:val="auto"/>
          <w:sz w:val="22"/>
          <w:szCs w:val="22"/>
          <w:u w:val="single"/>
          <w:lang w:val="es-ES"/>
        </w:rPr>
        <w:t>)</w:t>
      </w:r>
      <w:r w:rsidRPr="00D95727">
        <w:rPr>
          <w:i/>
          <w:color w:val="auto"/>
          <w:sz w:val="22"/>
          <w:szCs w:val="22"/>
          <w:u w:val="single"/>
          <w:lang w:val="es-ES"/>
        </w:rPr>
        <w:t xml:space="preserve">, los </w:t>
      </w:r>
      <w:r w:rsidR="007A6DD9" w:rsidRPr="00D95727">
        <w:rPr>
          <w:i/>
          <w:color w:val="auto"/>
          <w:sz w:val="22"/>
          <w:szCs w:val="22"/>
          <w:u w:val="single"/>
          <w:lang w:val="es-ES"/>
        </w:rPr>
        <w:t>conocimientos tradicionales (</w:t>
      </w:r>
      <w:r w:rsidRPr="00D95727">
        <w:rPr>
          <w:i/>
          <w:color w:val="auto"/>
          <w:sz w:val="22"/>
          <w:szCs w:val="22"/>
          <w:u w:val="single"/>
          <w:lang w:val="es-ES"/>
        </w:rPr>
        <w:t>CC.TT</w:t>
      </w:r>
      <w:r w:rsidR="00684746" w:rsidRPr="00D95727">
        <w:rPr>
          <w:i/>
          <w:color w:val="auto"/>
          <w:sz w:val="22"/>
          <w:szCs w:val="22"/>
          <w:u w:val="single"/>
          <w:lang w:val="es-ES"/>
        </w:rPr>
        <w:t>.</w:t>
      </w:r>
      <w:r w:rsidR="007A6DD9" w:rsidRPr="00D95727">
        <w:rPr>
          <w:i/>
          <w:color w:val="auto"/>
          <w:sz w:val="22"/>
          <w:szCs w:val="22"/>
          <w:u w:val="single"/>
          <w:lang w:val="es-ES"/>
        </w:rPr>
        <w:t>)</w:t>
      </w:r>
      <w:r w:rsidR="00F515BE" w:rsidRPr="00D95727">
        <w:rPr>
          <w:i/>
          <w:color w:val="auto"/>
          <w:sz w:val="22"/>
          <w:szCs w:val="22"/>
          <w:u w:val="single"/>
          <w:lang w:val="es-ES"/>
        </w:rPr>
        <w:t xml:space="preserve"> </w:t>
      </w:r>
      <w:r w:rsidRPr="00D95727">
        <w:rPr>
          <w:i/>
          <w:color w:val="auto"/>
          <w:sz w:val="22"/>
          <w:szCs w:val="22"/>
          <w:u w:val="single"/>
          <w:lang w:val="es-ES"/>
        </w:rPr>
        <w:t xml:space="preserve">y las </w:t>
      </w:r>
      <w:r w:rsidR="007A6DD9" w:rsidRPr="00D95727">
        <w:rPr>
          <w:i/>
          <w:color w:val="auto"/>
          <w:sz w:val="22"/>
          <w:szCs w:val="22"/>
          <w:u w:val="single"/>
          <w:lang w:val="es-ES"/>
        </w:rPr>
        <w:t>expresiones culturales tradicionales (</w:t>
      </w:r>
      <w:r w:rsidRPr="00D95727">
        <w:rPr>
          <w:i/>
          <w:color w:val="auto"/>
          <w:sz w:val="22"/>
          <w:szCs w:val="22"/>
          <w:u w:val="single"/>
          <w:lang w:val="es-ES"/>
        </w:rPr>
        <w:t>ECT</w:t>
      </w:r>
      <w:r w:rsidR="007A6DD9" w:rsidRPr="00D95727">
        <w:rPr>
          <w:i/>
          <w:color w:val="auto"/>
          <w:sz w:val="22"/>
          <w:szCs w:val="22"/>
          <w:u w:val="single"/>
          <w:lang w:val="es-ES"/>
        </w:rPr>
        <w:t>)]</w:t>
      </w:r>
      <w:r w:rsidRPr="00D95727">
        <w:rPr>
          <w:i/>
          <w:color w:val="auto"/>
          <w:sz w:val="22"/>
          <w:szCs w:val="22"/>
          <w:u w:val="single"/>
          <w:lang w:val="es-ES"/>
        </w:rPr>
        <w:t>.”</w:t>
      </w:r>
      <w:r w:rsidR="00684746" w:rsidRPr="00D95727">
        <w:rPr>
          <w:i/>
          <w:color w:val="auto"/>
          <w:sz w:val="22"/>
          <w:szCs w:val="22"/>
          <w:u w:val="single"/>
          <w:lang w:val="es-ES"/>
        </w:rPr>
        <w:t xml:space="preserve"> </w:t>
      </w:r>
      <w:r w:rsidR="007323AB" w:rsidRPr="00D95727">
        <w:rPr>
          <w:i/>
          <w:color w:val="auto"/>
          <w:sz w:val="22"/>
          <w:szCs w:val="22"/>
          <w:u w:val="single"/>
          <w:lang w:val="es-ES"/>
        </w:rPr>
        <w:t xml:space="preserve"> </w:t>
      </w:r>
      <w:r w:rsidR="00643635" w:rsidRPr="00D95727">
        <w:rPr>
          <w:i/>
          <w:color w:val="auto"/>
          <w:sz w:val="22"/>
          <w:szCs w:val="22"/>
          <w:u w:val="single"/>
          <w:lang w:val="es-ES"/>
        </w:rPr>
        <w:t>En </w:t>
      </w:r>
      <w:r w:rsidR="00D16F07" w:rsidRPr="00D95727">
        <w:rPr>
          <w:i/>
          <w:color w:val="auto"/>
          <w:sz w:val="22"/>
          <w:szCs w:val="22"/>
          <w:u w:val="single"/>
          <w:lang w:val="es-ES"/>
        </w:rPr>
        <w:t>2017, la Asamblea General ponderará los avances efectuados y tomará una decisión en el sentido de convocar una conferencia diplomática o de</w:t>
      </w:r>
      <w:r w:rsidR="00AA1F4E" w:rsidRPr="00D95727">
        <w:rPr>
          <w:i/>
          <w:color w:val="auto"/>
          <w:sz w:val="22"/>
          <w:szCs w:val="22"/>
          <w:u w:val="single"/>
          <w:lang w:val="es-ES"/>
        </w:rPr>
        <w:t xml:space="preserve"> proseguir las negociaciones</w:t>
      </w:r>
      <w:r w:rsidR="00F515BE" w:rsidRPr="00D95727">
        <w:rPr>
          <w:i/>
          <w:color w:val="auto"/>
          <w:sz w:val="22"/>
          <w:szCs w:val="22"/>
          <w:u w:val="single"/>
          <w:lang w:val="es-ES"/>
        </w:rPr>
        <w:t xml:space="preserve">.  </w:t>
      </w:r>
      <w:r w:rsidR="00D16F07" w:rsidRPr="00D95727">
        <w:rPr>
          <w:i/>
          <w:color w:val="auto"/>
          <w:sz w:val="22"/>
          <w:szCs w:val="22"/>
          <w:u w:val="single"/>
          <w:lang w:val="es-ES"/>
        </w:rPr>
        <w:t>También examinará la necesidad de celebrar más reuniones tomando en consideración el proceso presupuestario.</w:t>
      </w:r>
    </w:p>
    <w:p w:rsidR="00D16F07" w:rsidRPr="00D95727" w:rsidRDefault="0043760B" w:rsidP="00D16F07">
      <w:pPr>
        <w:pStyle w:val="Default"/>
        <w:rPr>
          <w:color w:val="auto"/>
          <w:sz w:val="22"/>
          <w:szCs w:val="22"/>
          <w:lang w:val="es-ES"/>
        </w:rPr>
      </w:pPr>
      <w:r w:rsidRPr="00D95727">
        <w:rPr>
          <w:color w:val="auto"/>
          <w:sz w:val="22"/>
          <w:szCs w:val="22"/>
          <w:lang w:val="es-ES"/>
        </w:rPr>
        <w:t xml:space="preserve">De conformidad con el </w:t>
      </w:r>
      <w:r w:rsidR="00A61670" w:rsidRPr="00D95727">
        <w:rPr>
          <w:color w:val="auto"/>
          <w:sz w:val="22"/>
          <w:szCs w:val="22"/>
          <w:lang w:val="es-ES"/>
        </w:rPr>
        <w:t>mandato,</w:t>
      </w:r>
      <w:r w:rsidR="00A61670" w:rsidRPr="00D95727">
        <w:rPr>
          <w:i/>
          <w:color w:val="auto"/>
          <w:sz w:val="22"/>
          <w:szCs w:val="22"/>
          <w:u w:val="single"/>
          <w:lang w:val="es-ES"/>
        </w:rPr>
        <w:t xml:space="preserve"> "el</w:t>
      </w:r>
      <w:r w:rsidR="00262341" w:rsidRPr="00D95727">
        <w:rPr>
          <w:i/>
          <w:color w:val="auto"/>
          <w:sz w:val="22"/>
          <w:szCs w:val="22"/>
          <w:u w:val="single"/>
          <w:lang w:val="es-ES"/>
        </w:rPr>
        <w:t xml:space="preserve"> </w:t>
      </w:r>
      <w:r w:rsidR="00D16F07" w:rsidRPr="00D95727">
        <w:rPr>
          <w:i/>
          <w:color w:val="auto"/>
          <w:sz w:val="22"/>
          <w:szCs w:val="22"/>
          <w:u w:val="single"/>
          <w:lang w:val="es-ES"/>
        </w:rPr>
        <w:t>Comité podrá considerar asimismo la conversión del Comité en un comité permanente y, de haberse convenido, formular una recomendación a ese respecto a la Asamblea General en 2016 o 2017.</w:t>
      </w:r>
      <w:r w:rsidR="00262341" w:rsidRPr="00D95727">
        <w:rPr>
          <w:i/>
          <w:color w:val="auto"/>
          <w:sz w:val="22"/>
          <w:szCs w:val="22"/>
          <w:u w:val="single"/>
          <w:lang w:val="es-ES"/>
        </w:rPr>
        <w:t>”</w:t>
      </w:r>
    </w:p>
    <w:p w:rsidR="00D16F07" w:rsidRPr="00D95727" w:rsidRDefault="00D16F07" w:rsidP="009D1707">
      <w:pPr>
        <w:pStyle w:val="Default"/>
        <w:rPr>
          <w:color w:val="auto"/>
          <w:sz w:val="22"/>
          <w:szCs w:val="22"/>
          <w:lang w:val="es-ES"/>
        </w:rPr>
      </w:pPr>
    </w:p>
    <w:p w:rsidR="00D16F07" w:rsidRPr="00D95727" w:rsidRDefault="005A4543" w:rsidP="009D1707">
      <w:pPr>
        <w:pStyle w:val="Default"/>
        <w:rPr>
          <w:color w:val="auto"/>
          <w:sz w:val="22"/>
          <w:szCs w:val="22"/>
          <w:lang w:val="es-ES"/>
        </w:rPr>
      </w:pPr>
      <w:r w:rsidRPr="00D95727">
        <w:rPr>
          <w:color w:val="auto"/>
          <w:sz w:val="22"/>
          <w:szCs w:val="22"/>
          <w:lang w:val="es-ES"/>
        </w:rPr>
        <w:t>En el mandato se declara asimismo</w:t>
      </w:r>
      <w:r w:rsidR="00695548" w:rsidRPr="00D95727">
        <w:rPr>
          <w:color w:val="auto"/>
          <w:sz w:val="22"/>
          <w:szCs w:val="22"/>
          <w:lang w:val="es-ES"/>
        </w:rPr>
        <w:t xml:space="preserve"> (</w:t>
      </w:r>
      <w:r w:rsidRPr="00D95727">
        <w:rPr>
          <w:color w:val="auto"/>
          <w:sz w:val="22"/>
          <w:szCs w:val="22"/>
          <w:lang w:val="es-ES"/>
        </w:rPr>
        <w:t>e</w:t>
      </w:r>
      <w:r w:rsidR="00695548" w:rsidRPr="00D95727">
        <w:rPr>
          <w:color w:val="auto"/>
          <w:sz w:val="22"/>
          <w:szCs w:val="22"/>
          <w:lang w:val="es-ES"/>
        </w:rPr>
        <w:t xml:space="preserve">n </w:t>
      </w:r>
      <w:r w:rsidRPr="00D95727">
        <w:rPr>
          <w:color w:val="auto"/>
          <w:sz w:val="22"/>
          <w:szCs w:val="22"/>
          <w:lang w:val="es-ES"/>
        </w:rPr>
        <w:t xml:space="preserve">el </w:t>
      </w:r>
      <w:r w:rsidR="00695548" w:rsidRPr="00D95727">
        <w:rPr>
          <w:color w:val="auto"/>
          <w:sz w:val="22"/>
          <w:szCs w:val="22"/>
          <w:lang w:val="es-ES"/>
        </w:rPr>
        <w:t>“</w:t>
      </w:r>
      <w:r w:rsidRPr="00D95727">
        <w:rPr>
          <w:color w:val="auto"/>
          <w:sz w:val="22"/>
          <w:szCs w:val="22"/>
          <w:lang w:val="es-ES"/>
        </w:rPr>
        <w:t>Programa de trabajo</w:t>
      </w:r>
      <w:r w:rsidR="00695548" w:rsidRPr="00D95727">
        <w:rPr>
          <w:color w:val="auto"/>
          <w:sz w:val="22"/>
          <w:szCs w:val="22"/>
          <w:lang w:val="es-ES"/>
        </w:rPr>
        <w:t xml:space="preserve">” </w:t>
      </w:r>
      <w:r w:rsidRPr="00D95727">
        <w:rPr>
          <w:color w:val="auto"/>
          <w:sz w:val="22"/>
          <w:szCs w:val="22"/>
          <w:lang w:val="es-ES"/>
        </w:rPr>
        <w:t>que figura tras la parte descriptiva del mandato</w:t>
      </w:r>
      <w:r w:rsidR="00695548" w:rsidRPr="00D95727">
        <w:rPr>
          <w:color w:val="auto"/>
          <w:sz w:val="22"/>
          <w:szCs w:val="22"/>
          <w:lang w:val="es-ES"/>
        </w:rPr>
        <w:t xml:space="preserve">) </w:t>
      </w:r>
      <w:r w:rsidRPr="00D95727">
        <w:rPr>
          <w:color w:val="auto"/>
          <w:sz w:val="22"/>
          <w:szCs w:val="22"/>
          <w:lang w:val="es-ES"/>
        </w:rPr>
        <w:t>que la</w:t>
      </w:r>
      <w:r w:rsidR="00695548" w:rsidRPr="00D95727">
        <w:rPr>
          <w:color w:val="auto"/>
          <w:sz w:val="22"/>
          <w:szCs w:val="22"/>
          <w:lang w:val="es-ES"/>
        </w:rPr>
        <w:t xml:space="preserve"> 34</w:t>
      </w:r>
      <w:r w:rsidRPr="00D95727">
        <w:rPr>
          <w:color w:val="auto"/>
          <w:sz w:val="22"/>
          <w:szCs w:val="22"/>
          <w:lang w:val="es-ES"/>
        </w:rPr>
        <w:t>ª sesión del CIG será una sesión de</w:t>
      </w:r>
      <w:r w:rsidR="00A61670" w:rsidRPr="00D95727">
        <w:rPr>
          <w:color w:val="auto"/>
          <w:sz w:val="22"/>
          <w:szCs w:val="22"/>
          <w:lang w:val="es-ES"/>
        </w:rPr>
        <w:t xml:space="preserve"> </w:t>
      </w:r>
      <w:r w:rsidR="001A110B" w:rsidRPr="00D95727">
        <w:rPr>
          <w:i/>
          <w:iCs/>
          <w:color w:val="auto"/>
          <w:sz w:val="22"/>
          <w:szCs w:val="22"/>
          <w:lang w:val="es-ES"/>
        </w:rPr>
        <w:t>“</w:t>
      </w:r>
      <w:r w:rsidRPr="00D95727">
        <w:rPr>
          <w:i/>
          <w:iCs/>
          <w:color w:val="auto"/>
          <w:sz w:val="22"/>
          <w:szCs w:val="22"/>
          <w:lang w:val="es-ES"/>
        </w:rPr>
        <w:t>evaluación y formulación de una recomendación a la Asamblea General”</w:t>
      </w:r>
      <w:r w:rsidR="001A110B" w:rsidRPr="00D95727">
        <w:rPr>
          <w:i/>
          <w:color w:val="auto"/>
          <w:sz w:val="22"/>
          <w:szCs w:val="22"/>
          <w:lang w:val="es-ES"/>
        </w:rPr>
        <w:t>.</w:t>
      </w:r>
    </w:p>
    <w:p w:rsidR="00D16F07" w:rsidRPr="00D95727" w:rsidRDefault="00D16F07" w:rsidP="007330CE">
      <w:pPr>
        <w:rPr>
          <w:rFonts w:ascii="Arial" w:hAnsi="Arial" w:cs="Arial"/>
          <w:sz w:val="22"/>
          <w:szCs w:val="22"/>
          <w:lang w:val="es-ES"/>
        </w:rPr>
      </w:pPr>
    </w:p>
    <w:p w:rsidR="00647230" w:rsidRPr="00D95727" w:rsidRDefault="00647230" w:rsidP="007330CE">
      <w:pPr>
        <w:rPr>
          <w:rFonts w:ascii="Arial" w:hAnsi="Arial" w:cs="Arial"/>
          <w:sz w:val="22"/>
          <w:szCs w:val="22"/>
          <w:lang w:val="es-ES"/>
        </w:rPr>
      </w:pPr>
      <w:r w:rsidRPr="00D95727">
        <w:rPr>
          <w:rFonts w:ascii="Arial" w:hAnsi="Arial" w:cs="Arial"/>
          <w:sz w:val="22"/>
          <w:szCs w:val="22"/>
          <w:lang w:val="es-ES"/>
        </w:rPr>
        <w:t>Con objeto de ayudar a los Estados miembros en los preparativos de la trigésima cuarta sesión del CIG, he preparado esta breve nota informativa, la cual incluye:</w:t>
      </w:r>
    </w:p>
    <w:p w:rsidR="00D16F07" w:rsidRPr="00D95727" w:rsidRDefault="00D16F07" w:rsidP="007330CE">
      <w:pPr>
        <w:rPr>
          <w:rFonts w:ascii="Arial" w:hAnsi="Arial" w:cs="Arial"/>
          <w:sz w:val="22"/>
          <w:szCs w:val="22"/>
          <w:lang w:val="es-ES"/>
        </w:rPr>
      </w:pPr>
    </w:p>
    <w:p w:rsidR="00D16F07" w:rsidRPr="00D95727" w:rsidRDefault="002471C8" w:rsidP="0024406F">
      <w:pPr>
        <w:numPr>
          <w:ilvl w:val="0"/>
          <w:numId w:val="2"/>
        </w:numPr>
        <w:ind w:left="720" w:hanging="450"/>
        <w:rPr>
          <w:rFonts w:ascii="Arial" w:hAnsi="Arial" w:cs="Arial"/>
          <w:sz w:val="22"/>
          <w:szCs w:val="22"/>
          <w:lang w:val="es-ES"/>
        </w:rPr>
      </w:pPr>
      <w:r w:rsidRPr="00D95727">
        <w:rPr>
          <w:rFonts w:ascii="Arial" w:hAnsi="Arial" w:cs="Arial"/>
          <w:sz w:val="22"/>
          <w:szCs w:val="22"/>
          <w:lang w:val="es-ES"/>
        </w:rPr>
        <w:t xml:space="preserve">Cuestiones esenciales que </w:t>
      </w:r>
      <w:r w:rsidR="00BB7C11" w:rsidRPr="00D95727">
        <w:rPr>
          <w:rFonts w:ascii="Arial" w:hAnsi="Arial" w:cs="Arial"/>
          <w:sz w:val="22"/>
          <w:szCs w:val="22"/>
          <w:lang w:val="es-ES"/>
        </w:rPr>
        <w:t>podrían examinar</w:t>
      </w:r>
      <w:r w:rsidRPr="00D95727">
        <w:rPr>
          <w:rFonts w:ascii="Arial" w:hAnsi="Arial" w:cs="Arial"/>
          <w:sz w:val="22"/>
          <w:szCs w:val="22"/>
          <w:lang w:val="es-ES"/>
        </w:rPr>
        <w:t xml:space="preserve"> los miembros en relación con la labor futura</w:t>
      </w:r>
      <w:r w:rsidR="00F3314D" w:rsidRPr="00D95727">
        <w:rPr>
          <w:rFonts w:ascii="Arial" w:hAnsi="Arial" w:cs="Arial"/>
          <w:sz w:val="22"/>
          <w:szCs w:val="22"/>
          <w:lang w:val="es-ES"/>
        </w:rPr>
        <w:t>;</w:t>
      </w:r>
    </w:p>
    <w:p w:rsidR="00D16F07" w:rsidRPr="00D95727" w:rsidRDefault="00A61670" w:rsidP="0024406F">
      <w:pPr>
        <w:numPr>
          <w:ilvl w:val="0"/>
          <w:numId w:val="2"/>
        </w:numPr>
        <w:ind w:left="720" w:hanging="450"/>
        <w:rPr>
          <w:rFonts w:ascii="Arial" w:hAnsi="Arial" w:cs="Arial"/>
          <w:sz w:val="22"/>
          <w:szCs w:val="22"/>
          <w:lang w:val="es-ES"/>
        </w:rPr>
      </w:pPr>
      <w:r w:rsidRPr="00D95727">
        <w:rPr>
          <w:rFonts w:ascii="Arial" w:hAnsi="Arial" w:cs="Arial"/>
          <w:sz w:val="22"/>
          <w:szCs w:val="22"/>
          <w:lang w:val="es-ES"/>
        </w:rPr>
        <w:t>Un resumen</w:t>
      </w:r>
      <w:r w:rsidR="001B3683" w:rsidRPr="00D95727">
        <w:rPr>
          <w:rFonts w:ascii="Arial" w:hAnsi="Arial" w:cs="Arial"/>
          <w:sz w:val="22"/>
          <w:szCs w:val="22"/>
          <w:lang w:val="es-ES"/>
        </w:rPr>
        <w:t xml:space="preserve"> en el que figuran los calendarios y </w:t>
      </w:r>
      <w:r w:rsidR="009D6383" w:rsidRPr="00D95727">
        <w:rPr>
          <w:rFonts w:ascii="Arial" w:hAnsi="Arial" w:cs="Arial"/>
          <w:sz w:val="22"/>
          <w:szCs w:val="22"/>
          <w:lang w:val="es-ES"/>
        </w:rPr>
        <w:t>las principales decisiones</w:t>
      </w:r>
      <w:r w:rsidR="001B3683" w:rsidRPr="00D95727">
        <w:rPr>
          <w:rFonts w:ascii="Arial" w:hAnsi="Arial" w:cs="Arial"/>
          <w:sz w:val="22"/>
          <w:szCs w:val="22"/>
          <w:lang w:val="es-ES"/>
        </w:rPr>
        <w:t xml:space="preserve"> desde el inicio de las deliberaciones del CIG, </w:t>
      </w:r>
      <w:r w:rsidR="00684746" w:rsidRPr="00D95727">
        <w:rPr>
          <w:rFonts w:ascii="Arial" w:hAnsi="Arial" w:cs="Arial"/>
          <w:sz w:val="22"/>
          <w:szCs w:val="22"/>
          <w:lang w:val="es-ES"/>
        </w:rPr>
        <w:t>teniendo</w:t>
      </w:r>
      <w:r w:rsidR="001B3683" w:rsidRPr="00D95727">
        <w:rPr>
          <w:rFonts w:ascii="Arial" w:hAnsi="Arial" w:cs="Arial"/>
          <w:sz w:val="22"/>
          <w:szCs w:val="22"/>
          <w:lang w:val="es-ES"/>
        </w:rPr>
        <w:t xml:space="preserve"> en cuenta los foros internacionales conexos</w:t>
      </w:r>
      <w:r w:rsidR="00F3314D" w:rsidRPr="00D95727">
        <w:rPr>
          <w:rFonts w:ascii="Arial" w:hAnsi="Arial" w:cs="Arial"/>
          <w:sz w:val="22"/>
          <w:szCs w:val="22"/>
          <w:lang w:val="es-ES"/>
        </w:rPr>
        <w:t>;</w:t>
      </w:r>
    </w:p>
    <w:p w:rsidR="00D16F07" w:rsidRPr="00D95727" w:rsidRDefault="00383654" w:rsidP="0024406F">
      <w:pPr>
        <w:numPr>
          <w:ilvl w:val="0"/>
          <w:numId w:val="2"/>
        </w:numPr>
        <w:ind w:left="720" w:hanging="450"/>
        <w:rPr>
          <w:rFonts w:ascii="Arial" w:hAnsi="Arial" w:cs="Arial"/>
          <w:sz w:val="22"/>
          <w:szCs w:val="22"/>
          <w:lang w:val="es-ES"/>
        </w:rPr>
      </w:pPr>
      <w:r w:rsidRPr="00D95727">
        <w:rPr>
          <w:rFonts w:ascii="Arial" w:hAnsi="Arial" w:cs="Arial"/>
          <w:sz w:val="22"/>
          <w:szCs w:val="22"/>
          <w:lang w:val="es-ES"/>
        </w:rPr>
        <w:t>Un</w:t>
      </w:r>
      <w:r w:rsidR="005646C7" w:rsidRPr="00D95727">
        <w:rPr>
          <w:rFonts w:ascii="Arial" w:hAnsi="Arial" w:cs="Arial"/>
          <w:sz w:val="22"/>
          <w:szCs w:val="22"/>
          <w:lang w:val="es-ES"/>
        </w:rPr>
        <w:t xml:space="preserve"> </w:t>
      </w:r>
      <w:r w:rsidR="00684AB7" w:rsidRPr="00D95727">
        <w:rPr>
          <w:rFonts w:ascii="Arial" w:hAnsi="Arial" w:cs="Arial"/>
          <w:sz w:val="22"/>
          <w:szCs w:val="22"/>
          <w:lang w:val="es-ES"/>
        </w:rPr>
        <w:t>panor</w:t>
      </w:r>
      <w:r w:rsidR="00684746" w:rsidRPr="00D95727">
        <w:rPr>
          <w:rFonts w:ascii="Arial" w:hAnsi="Arial" w:cs="Arial"/>
          <w:sz w:val="22"/>
          <w:szCs w:val="22"/>
          <w:lang w:val="es-ES"/>
        </w:rPr>
        <w:t>a</w:t>
      </w:r>
      <w:r w:rsidR="00684AB7" w:rsidRPr="00D95727">
        <w:rPr>
          <w:rFonts w:ascii="Arial" w:hAnsi="Arial" w:cs="Arial"/>
          <w:sz w:val="22"/>
          <w:szCs w:val="22"/>
          <w:lang w:val="es-ES"/>
        </w:rPr>
        <w:t>ma general de la situación</w:t>
      </w:r>
      <w:r w:rsidR="00684746" w:rsidRPr="00D95727">
        <w:rPr>
          <w:rFonts w:ascii="Arial" w:hAnsi="Arial" w:cs="Arial"/>
          <w:sz w:val="22"/>
          <w:szCs w:val="22"/>
          <w:lang w:val="es-ES"/>
        </w:rPr>
        <w:t xml:space="preserve"> </w:t>
      </w:r>
      <w:r w:rsidR="006E15D4" w:rsidRPr="00D95727">
        <w:rPr>
          <w:rFonts w:ascii="Arial" w:hAnsi="Arial" w:cs="Arial"/>
          <w:sz w:val="22"/>
          <w:szCs w:val="22"/>
          <w:lang w:val="es-ES"/>
        </w:rPr>
        <w:t>de</w:t>
      </w:r>
      <w:r w:rsidRPr="00D95727">
        <w:rPr>
          <w:rFonts w:ascii="Arial" w:hAnsi="Arial" w:cs="Arial"/>
          <w:sz w:val="22"/>
          <w:szCs w:val="22"/>
          <w:lang w:val="es-ES"/>
        </w:rPr>
        <w:t xml:space="preserve"> las negociaciones en curso desde que se </w:t>
      </w:r>
      <w:r w:rsidR="006E15D4" w:rsidRPr="00D95727">
        <w:rPr>
          <w:rFonts w:ascii="Arial" w:hAnsi="Arial" w:cs="Arial"/>
          <w:sz w:val="22"/>
          <w:szCs w:val="22"/>
          <w:lang w:val="es-ES"/>
        </w:rPr>
        <w:t>emprendieron</w:t>
      </w:r>
      <w:r w:rsidRPr="00D95727">
        <w:rPr>
          <w:rFonts w:ascii="Arial" w:hAnsi="Arial" w:cs="Arial"/>
          <w:sz w:val="22"/>
          <w:szCs w:val="22"/>
          <w:lang w:val="es-ES"/>
        </w:rPr>
        <w:t xml:space="preserve"> las negociaciones basadas en textos en</w:t>
      </w:r>
      <w:r w:rsidR="006D70FE" w:rsidRPr="00D95727">
        <w:rPr>
          <w:rFonts w:ascii="Arial" w:hAnsi="Arial" w:cs="Arial"/>
          <w:sz w:val="22"/>
          <w:szCs w:val="22"/>
          <w:lang w:val="es-ES"/>
        </w:rPr>
        <w:t xml:space="preserve"> 2010</w:t>
      </w:r>
      <w:r w:rsidR="00F3314D" w:rsidRPr="00D95727">
        <w:rPr>
          <w:rFonts w:ascii="Arial" w:hAnsi="Arial" w:cs="Arial"/>
          <w:sz w:val="22"/>
          <w:szCs w:val="22"/>
          <w:lang w:val="es-ES"/>
        </w:rPr>
        <w:t xml:space="preserve">; </w:t>
      </w:r>
      <w:r w:rsidR="007323AB" w:rsidRPr="00D95727">
        <w:rPr>
          <w:rFonts w:ascii="Arial" w:hAnsi="Arial" w:cs="Arial"/>
          <w:sz w:val="22"/>
          <w:szCs w:val="22"/>
          <w:lang w:val="es-ES"/>
        </w:rPr>
        <w:t xml:space="preserve"> </w:t>
      </w:r>
      <w:r w:rsidRPr="00D95727">
        <w:rPr>
          <w:rFonts w:ascii="Arial" w:hAnsi="Arial" w:cs="Arial"/>
          <w:sz w:val="22"/>
          <w:szCs w:val="22"/>
          <w:lang w:val="es-ES"/>
        </w:rPr>
        <w:t>y</w:t>
      </w:r>
    </w:p>
    <w:p w:rsidR="00D16F07" w:rsidRPr="00D95727" w:rsidRDefault="002858DC" w:rsidP="0024406F">
      <w:pPr>
        <w:numPr>
          <w:ilvl w:val="0"/>
          <w:numId w:val="2"/>
        </w:numPr>
        <w:ind w:left="720" w:hanging="450"/>
        <w:rPr>
          <w:rFonts w:ascii="Arial" w:hAnsi="Arial" w:cs="Arial"/>
          <w:sz w:val="22"/>
          <w:szCs w:val="22"/>
          <w:lang w:val="es-ES"/>
        </w:rPr>
      </w:pPr>
      <w:r w:rsidRPr="00D95727">
        <w:rPr>
          <w:rFonts w:ascii="Arial" w:hAnsi="Arial" w:cs="Arial"/>
          <w:sz w:val="22"/>
          <w:szCs w:val="22"/>
          <w:lang w:val="es-ES"/>
        </w:rPr>
        <w:t>Un examen de las opciones disponibles para ponderar los avances y formular una recomendación</w:t>
      </w:r>
      <w:r w:rsidR="00096086" w:rsidRPr="00D95727">
        <w:rPr>
          <w:rFonts w:ascii="Arial" w:hAnsi="Arial" w:cs="Arial"/>
          <w:sz w:val="22"/>
          <w:szCs w:val="22"/>
          <w:lang w:val="es-ES"/>
        </w:rPr>
        <w:t>.</w:t>
      </w:r>
    </w:p>
    <w:p w:rsidR="00D16F07" w:rsidRPr="00D95727" w:rsidRDefault="00D16F07" w:rsidP="00F7231C">
      <w:pPr>
        <w:rPr>
          <w:rFonts w:ascii="Arial" w:hAnsi="Arial" w:cs="Arial"/>
          <w:sz w:val="22"/>
          <w:szCs w:val="22"/>
          <w:lang w:val="es-ES"/>
        </w:rPr>
      </w:pPr>
    </w:p>
    <w:p w:rsidR="00D16F07" w:rsidRPr="00D95727" w:rsidRDefault="00D16F07" w:rsidP="007330CE">
      <w:pPr>
        <w:rPr>
          <w:rFonts w:ascii="Arial" w:hAnsi="Arial" w:cs="Arial"/>
          <w:sz w:val="22"/>
          <w:szCs w:val="22"/>
          <w:lang w:val="es-ES"/>
        </w:rPr>
      </w:pPr>
      <w:r w:rsidRPr="00D95727">
        <w:rPr>
          <w:rFonts w:ascii="Arial" w:hAnsi="Arial" w:cs="Arial"/>
          <w:sz w:val="22"/>
          <w:szCs w:val="22"/>
          <w:lang w:val="es-ES"/>
        </w:rPr>
        <w:lastRenderedPageBreak/>
        <w:t>La presente nota es expositiva y no tiene carácter oficial</w:t>
      </w:r>
      <w:r w:rsidR="00F515BE" w:rsidRPr="00D95727">
        <w:rPr>
          <w:rFonts w:ascii="Arial" w:hAnsi="Arial" w:cs="Arial"/>
          <w:sz w:val="22"/>
          <w:szCs w:val="22"/>
          <w:lang w:val="es-ES"/>
        </w:rPr>
        <w:t xml:space="preserve">.  </w:t>
      </w:r>
      <w:r w:rsidRPr="00D95727">
        <w:rPr>
          <w:rFonts w:ascii="Arial" w:hAnsi="Arial" w:cs="Arial"/>
          <w:b/>
          <w:sz w:val="22"/>
          <w:szCs w:val="22"/>
          <w:lang w:val="es-ES"/>
        </w:rPr>
        <w:t>Quiero señalar que toda opinión que figure en esta nota es solo mía, sin perjuicio de las posturas de los Estados miembros sobre las cuestiones que se comentan</w:t>
      </w:r>
      <w:r w:rsidRPr="00D95727">
        <w:rPr>
          <w:rFonts w:ascii="Arial" w:hAnsi="Arial" w:cs="Arial"/>
          <w:sz w:val="22"/>
          <w:szCs w:val="22"/>
          <w:lang w:val="es-ES"/>
        </w:rPr>
        <w:t>.</w:t>
      </w:r>
    </w:p>
    <w:p w:rsidR="004876E5" w:rsidRPr="00D95727" w:rsidRDefault="004876E5" w:rsidP="007330CE">
      <w:pPr>
        <w:rPr>
          <w:rFonts w:ascii="Arial" w:hAnsi="Arial" w:cs="Arial"/>
          <w:sz w:val="22"/>
          <w:szCs w:val="22"/>
          <w:lang w:val="es-ES"/>
        </w:rPr>
      </w:pPr>
    </w:p>
    <w:p w:rsidR="00D16F07" w:rsidRPr="00D95727" w:rsidRDefault="00CA043B" w:rsidP="006170CC">
      <w:pPr>
        <w:outlineLvl w:val="0"/>
        <w:rPr>
          <w:rFonts w:ascii="Arial" w:hAnsi="Arial" w:cs="Arial"/>
          <w:sz w:val="22"/>
          <w:szCs w:val="22"/>
          <w:lang w:val="es-ES"/>
        </w:rPr>
      </w:pPr>
      <w:r w:rsidRPr="00D95727">
        <w:rPr>
          <w:rFonts w:ascii="Arial" w:hAnsi="Arial" w:cs="Arial"/>
          <w:b/>
          <w:sz w:val="22"/>
          <w:szCs w:val="22"/>
          <w:u w:val="single"/>
          <w:lang w:val="es-ES"/>
        </w:rPr>
        <w:t>Cuestiones esenciales</w:t>
      </w:r>
      <w:r w:rsidR="000315C3" w:rsidRPr="00D95727">
        <w:rPr>
          <w:rFonts w:ascii="Arial" w:hAnsi="Arial" w:cs="Arial"/>
          <w:b/>
          <w:sz w:val="22"/>
          <w:szCs w:val="22"/>
          <w:u w:val="single"/>
          <w:lang w:val="es-ES"/>
        </w:rPr>
        <w:t xml:space="preserve"> – </w:t>
      </w:r>
      <w:r w:rsidRPr="00D95727">
        <w:rPr>
          <w:rFonts w:ascii="Arial" w:hAnsi="Arial" w:cs="Arial"/>
          <w:b/>
          <w:sz w:val="22"/>
          <w:szCs w:val="22"/>
          <w:u w:val="single"/>
          <w:lang w:val="es-ES"/>
        </w:rPr>
        <w:t>Labor futura</w:t>
      </w:r>
    </w:p>
    <w:p w:rsidR="00D16F07" w:rsidRPr="00D95727" w:rsidRDefault="00D16F07" w:rsidP="007330CE">
      <w:pPr>
        <w:rPr>
          <w:rFonts w:ascii="Arial" w:hAnsi="Arial" w:cs="Arial"/>
          <w:sz w:val="22"/>
          <w:szCs w:val="22"/>
          <w:lang w:val="es-ES"/>
        </w:rPr>
      </w:pPr>
    </w:p>
    <w:p w:rsidR="00D16F07" w:rsidRPr="00D95727" w:rsidRDefault="0085610C" w:rsidP="00A42148">
      <w:pPr>
        <w:rPr>
          <w:rFonts w:ascii="Arial" w:hAnsi="Arial" w:cs="Arial"/>
          <w:sz w:val="22"/>
          <w:szCs w:val="22"/>
          <w:lang w:val="es-ES"/>
        </w:rPr>
      </w:pPr>
      <w:r w:rsidRPr="00D95727">
        <w:rPr>
          <w:rFonts w:ascii="Arial" w:hAnsi="Arial" w:cs="Arial"/>
          <w:sz w:val="22"/>
          <w:szCs w:val="22"/>
          <w:lang w:val="es-ES"/>
        </w:rPr>
        <w:t xml:space="preserve">Al examinar la labor futura puede ser útil estructurar las deliberaciones en torno a </w:t>
      </w:r>
      <w:r w:rsidR="009A0645" w:rsidRPr="00D95727">
        <w:rPr>
          <w:rFonts w:ascii="Arial" w:hAnsi="Arial" w:cs="Arial"/>
          <w:sz w:val="22"/>
          <w:szCs w:val="22"/>
          <w:lang w:val="es-ES"/>
        </w:rPr>
        <w:t xml:space="preserve">una serie de </w:t>
      </w:r>
      <w:r w:rsidRPr="00D95727">
        <w:rPr>
          <w:rFonts w:ascii="Arial" w:hAnsi="Arial" w:cs="Arial"/>
          <w:sz w:val="22"/>
          <w:szCs w:val="22"/>
          <w:lang w:val="es-ES"/>
        </w:rPr>
        <w:t xml:space="preserve">cuestiones específicas que </w:t>
      </w:r>
      <w:r w:rsidR="00727F6A" w:rsidRPr="00D95727">
        <w:rPr>
          <w:rFonts w:ascii="Arial" w:hAnsi="Arial" w:cs="Arial"/>
          <w:sz w:val="22"/>
          <w:szCs w:val="22"/>
          <w:lang w:val="es-ES"/>
        </w:rPr>
        <w:t>los miembros tal vez estimen oportuno examinar</w:t>
      </w:r>
      <w:r w:rsidR="00F515BE" w:rsidRPr="00D95727">
        <w:rPr>
          <w:rFonts w:ascii="Arial" w:hAnsi="Arial" w:cs="Arial"/>
          <w:sz w:val="22"/>
          <w:szCs w:val="22"/>
          <w:lang w:val="es-ES"/>
        </w:rPr>
        <w:t xml:space="preserve">.  </w:t>
      </w:r>
      <w:r w:rsidR="00AB21DA" w:rsidRPr="00D95727">
        <w:rPr>
          <w:rFonts w:ascii="Arial" w:hAnsi="Arial" w:cs="Arial"/>
          <w:sz w:val="22"/>
          <w:szCs w:val="22"/>
          <w:lang w:val="es-ES"/>
        </w:rPr>
        <w:t xml:space="preserve">Estas cuestiones vienen </w:t>
      </w:r>
      <w:r w:rsidR="00096086" w:rsidRPr="00D95727">
        <w:rPr>
          <w:rFonts w:ascii="Arial" w:hAnsi="Arial" w:cs="Arial"/>
          <w:sz w:val="22"/>
          <w:szCs w:val="22"/>
          <w:lang w:val="es-ES"/>
        </w:rPr>
        <w:t>marcadas</w:t>
      </w:r>
      <w:r w:rsidR="00AB21DA" w:rsidRPr="00D95727">
        <w:rPr>
          <w:rFonts w:ascii="Arial" w:hAnsi="Arial" w:cs="Arial"/>
          <w:sz w:val="22"/>
          <w:szCs w:val="22"/>
          <w:lang w:val="es-ES"/>
        </w:rPr>
        <w:t xml:space="preserve"> por </w:t>
      </w:r>
      <w:r w:rsidRPr="00D95727">
        <w:rPr>
          <w:rFonts w:ascii="Arial" w:hAnsi="Arial" w:cs="Arial"/>
          <w:sz w:val="22"/>
          <w:szCs w:val="22"/>
          <w:lang w:val="es-ES"/>
        </w:rPr>
        <w:t xml:space="preserve">las decisiones que </w:t>
      </w:r>
      <w:r w:rsidR="00AB21DA" w:rsidRPr="00D95727">
        <w:rPr>
          <w:rFonts w:ascii="Arial" w:hAnsi="Arial" w:cs="Arial"/>
          <w:sz w:val="22"/>
          <w:szCs w:val="22"/>
          <w:lang w:val="es-ES"/>
        </w:rPr>
        <w:t xml:space="preserve">va a </w:t>
      </w:r>
      <w:r w:rsidR="00727F6A" w:rsidRPr="00D95727">
        <w:rPr>
          <w:rFonts w:ascii="Arial" w:hAnsi="Arial" w:cs="Arial"/>
          <w:sz w:val="22"/>
          <w:szCs w:val="22"/>
          <w:lang w:val="es-ES"/>
        </w:rPr>
        <w:t>considerar</w:t>
      </w:r>
      <w:r w:rsidRPr="00D95727">
        <w:rPr>
          <w:rFonts w:ascii="Arial" w:hAnsi="Arial" w:cs="Arial"/>
          <w:sz w:val="22"/>
          <w:szCs w:val="22"/>
          <w:lang w:val="es-ES"/>
        </w:rPr>
        <w:t xml:space="preserve"> la Asamblea General</w:t>
      </w:r>
      <w:r w:rsidR="00F515BE" w:rsidRPr="00D95727">
        <w:rPr>
          <w:rFonts w:ascii="Arial" w:hAnsi="Arial" w:cs="Arial"/>
          <w:sz w:val="22"/>
          <w:szCs w:val="22"/>
          <w:lang w:val="es-ES"/>
        </w:rPr>
        <w:t>.</w:t>
      </w:r>
    </w:p>
    <w:p w:rsidR="00D16F07" w:rsidRPr="00D95727" w:rsidRDefault="00D16F07" w:rsidP="00A42148">
      <w:pPr>
        <w:rPr>
          <w:rFonts w:ascii="Arial" w:hAnsi="Arial" w:cs="Arial"/>
          <w:sz w:val="22"/>
          <w:szCs w:val="22"/>
          <w:lang w:val="es-ES"/>
        </w:rPr>
      </w:pPr>
    </w:p>
    <w:p w:rsidR="00D16F07" w:rsidRPr="00D95727" w:rsidRDefault="001757ED" w:rsidP="00A42148">
      <w:pPr>
        <w:rPr>
          <w:rFonts w:ascii="Arial" w:hAnsi="Arial" w:cs="Arial"/>
          <w:sz w:val="22"/>
          <w:szCs w:val="22"/>
          <w:lang w:val="es-ES"/>
        </w:rPr>
      </w:pPr>
      <w:r w:rsidRPr="00D95727">
        <w:rPr>
          <w:rFonts w:ascii="Arial" w:hAnsi="Arial" w:cs="Arial"/>
          <w:sz w:val="22"/>
          <w:szCs w:val="22"/>
          <w:lang w:val="es-ES"/>
        </w:rPr>
        <w:t xml:space="preserve">Recuerdo que la Asamblea General </w:t>
      </w:r>
      <w:r w:rsidRPr="00D95727">
        <w:rPr>
          <w:rFonts w:ascii="Arial" w:hAnsi="Arial" w:cs="Arial"/>
          <w:b/>
          <w:sz w:val="22"/>
          <w:szCs w:val="22"/>
          <w:lang w:val="es-ES"/>
        </w:rPr>
        <w:t xml:space="preserve">ponderará los avances efectuados y tomará una </w:t>
      </w:r>
      <w:r w:rsidRPr="00D95727">
        <w:rPr>
          <w:rFonts w:ascii="Arial" w:hAnsi="Arial" w:cs="Arial"/>
          <w:b/>
          <w:i/>
          <w:sz w:val="22"/>
          <w:szCs w:val="22"/>
          <w:lang w:val="es-ES"/>
        </w:rPr>
        <w:t>decisión en el sentido de</w:t>
      </w:r>
      <w:r w:rsidRPr="00D95727">
        <w:rPr>
          <w:rFonts w:ascii="Arial" w:hAnsi="Arial" w:cs="Arial"/>
          <w:b/>
          <w:sz w:val="22"/>
          <w:szCs w:val="22"/>
          <w:lang w:val="es-ES"/>
        </w:rPr>
        <w:t>:</w:t>
      </w:r>
    </w:p>
    <w:p w:rsidR="001757ED" w:rsidRPr="00D95727" w:rsidRDefault="001757ED" w:rsidP="00A42148">
      <w:pPr>
        <w:rPr>
          <w:rFonts w:ascii="Arial" w:hAnsi="Arial" w:cs="Arial"/>
          <w:b/>
          <w:i/>
          <w:sz w:val="22"/>
          <w:szCs w:val="22"/>
          <w:lang w:val="es-ES"/>
        </w:rPr>
      </w:pPr>
    </w:p>
    <w:p w:rsidR="00D16F07" w:rsidRPr="00D95727" w:rsidRDefault="001757ED" w:rsidP="001757ED">
      <w:pPr>
        <w:numPr>
          <w:ilvl w:val="0"/>
          <w:numId w:val="7"/>
        </w:num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lang w:val="es-ES"/>
        </w:rPr>
      </w:pPr>
      <w:r w:rsidRPr="00D95727">
        <w:rPr>
          <w:rFonts w:ascii="Arial" w:hAnsi="Arial" w:cs="Arial"/>
          <w:b/>
          <w:i/>
          <w:sz w:val="22"/>
          <w:szCs w:val="22"/>
          <w:lang w:val="es-ES"/>
        </w:rPr>
        <w:t>Convocar una conferencia diplomática;  o</w:t>
      </w:r>
    </w:p>
    <w:p w:rsidR="00D16F07" w:rsidRPr="00D95727" w:rsidRDefault="00F17AEE" w:rsidP="0024406F">
      <w:pPr>
        <w:numPr>
          <w:ilvl w:val="0"/>
          <w:numId w:val="7"/>
        </w:num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lang w:val="es-ES"/>
        </w:rPr>
      </w:pPr>
      <w:r w:rsidRPr="00D95727">
        <w:rPr>
          <w:rFonts w:ascii="Arial" w:hAnsi="Arial" w:cs="Arial"/>
          <w:b/>
          <w:i/>
          <w:sz w:val="22"/>
          <w:szCs w:val="22"/>
          <w:lang w:val="es-ES"/>
        </w:rPr>
        <w:t>proseguir</w:t>
      </w:r>
      <w:r w:rsidR="001757ED" w:rsidRPr="00D95727">
        <w:rPr>
          <w:rFonts w:ascii="Arial" w:hAnsi="Arial" w:cs="Arial"/>
          <w:b/>
          <w:i/>
          <w:sz w:val="22"/>
          <w:szCs w:val="22"/>
          <w:lang w:val="es-ES"/>
        </w:rPr>
        <w:t xml:space="preserve"> las negociaciones</w:t>
      </w:r>
      <w:r w:rsidR="00A42148" w:rsidRPr="00D95727">
        <w:rPr>
          <w:rFonts w:ascii="Arial" w:hAnsi="Arial" w:cs="Arial"/>
          <w:b/>
          <w:i/>
          <w:sz w:val="22"/>
          <w:szCs w:val="22"/>
          <w:lang w:val="es-ES"/>
        </w:rPr>
        <w:t xml:space="preserve">; </w:t>
      </w:r>
      <w:r w:rsidR="001757ED" w:rsidRPr="00D95727">
        <w:rPr>
          <w:rFonts w:ascii="Arial" w:hAnsi="Arial" w:cs="Arial"/>
          <w:b/>
          <w:i/>
          <w:sz w:val="22"/>
          <w:szCs w:val="22"/>
          <w:lang w:val="es-ES"/>
        </w:rPr>
        <w:t xml:space="preserve"> y</w:t>
      </w:r>
    </w:p>
    <w:p w:rsidR="00D16F07" w:rsidRPr="00D95727" w:rsidRDefault="00F17AEE" w:rsidP="00D16F07">
      <w:pPr>
        <w:numPr>
          <w:ilvl w:val="0"/>
          <w:numId w:val="7"/>
        </w:num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lang w:val="es-ES"/>
        </w:rPr>
      </w:pPr>
      <w:r w:rsidRPr="00D95727">
        <w:rPr>
          <w:rFonts w:ascii="Arial" w:hAnsi="Arial" w:cs="Arial"/>
          <w:b/>
          <w:i/>
          <w:sz w:val="22"/>
          <w:szCs w:val="22"/>
          <w:lang w:val="es-ES"/>
        </w:rPr>
        <w:t>e</w:t>
      </w:r>
      <w:r w:rsidR="00D16F07" w:rsidRPr="00D95727">
        <w:rPr>
          <w:rFonts w:ascii="Arial" w:hAnsi="Arial" w:cs="Arial"/>
          <w:b/>
          <w:i/>
          <w:sz w:val="22"/>
          <w:szCs w:val="22"/>
          <w:lang w:val="es-ES"/>
        </w:rPr>
        <w:t>xaminar la necesidad de celebrar más reuniones tomando en consideración el proceso presupuestario.</w:t>
      </w:r>
    </w:p>
    <w:p w:rsidR="00D16F07" w:rsidRPr="00D95727" w:rsidRDefault="00D16F07" w:rsidP="00A42148">
      <w:pPr>
        <w:rPr>
          <w:rFonts w:ascii="Arial" w:hAnsi="Arial" w:cs="Arial"/>
          <w:sz w:val="22"/>
          <w:szCs w:val="22"/>
          <w:lang w:val="es-ES"/>
        </w:rPr>
      </w:pPr>
    </w:p>
    <w:p w:rsidR="00D16F07" w:rsidRPr="00D95727" w:rsidRDefault="00B15384" w:rsidP="00A42148">
      <w:pPr>
        <w:rPr>
          <w:rFonts w:ascii="Arial" w:hAnsi="Arial" w:cs="Arial"/>
          <w:sz w:val="22"/>
          <w:szCs w:val="22"/>
          <w:lang w:val="es-ES"/>
        </w:rPr>
      </w:pPr>
      <w:r w:rsidRPr="00D95727">
        <w:rPr>
          <w:rFonts w:ascii="Arial" w:hAnsi="Arial" w:cs="Arial"/>
          <w:sz w:val="22"/>
          <w:szCs w:val="22"/>
          <w:lang w:val="es-ES"/>
        </w:rPr>
        <w:t>L</w:t>
      </w:r>
      <w:r w:rsidR="00486CBF" w:rsidRPr="00D95727">
        <w:rPr>
          <w:rFonts w:ascii="Arial" w:hAnsi="Arial" w:cs="Arial"/>
          <w:sz w:val="22"/>
          <w:szCs w:val="22"/>
          <w:lang w:val="es-ES"/>
        </w:rPr>
        <w:t xml:space="preserve">as deliberaciones en torno a estas cuestiones se </w:t>
      </w:r>
      <w:r w:rsidR="00DE40FB" w:rsidRPr="00D95727">
        <w:rPr>
          <w:rFonts w:ascii="Arial" w:hAnsi="Arial" w:cs="Arial"/>
          <w:sz w:val="22"/>
          <w:szCs w:val="22"/>
          <w:lang w:val="es-ES"/>
        </w:rPr>
        <w:t>basarán</w:t>
      </w:r>
      <w:r w:rsidRPr="00D95727">
        <w:rPr>
          <w:rFonts w:ascii="Arial" w:hAnsi="Arial" w:cs="Arial"/>
          <w:sz w:val="22"/>
          <w:szCs w:val="22"/>
          <w:lang w:val="es-ES"/>
        </w:rPr>
        <w:t xml:space="preserve"> en</w:t>
      </w:r>
      <w:r w:rsidR="00486CBF" w:rsidRPr="00D95727">
        <w:rPr>
          <w:rFonts w:ascii="Arial" w:hAnsi="Arial" w:cs="Arial"/>
          <w:sz w:val="22"/>
          <w:szCs w:val="22"/>
          <w:lang w:val="es-ES"/>
        </w:rPr>
        <w:t xml:space="preserve"> las opiniones de los Estados miembros sobre </w:t>
      </w:r>
      <w:r w:rsidRPr="00D95727">
        <w:rPr>
          <w:rFonts w:ascii="Arial" w:hAnsi="Arial" w:cs="Arial"/>
          <w:sz w:val="22"/>
          <w:szCs w:val="22"/>
          <w:lang w:val="es-ES"/>
        </w:rPr>
        <w:t>el grado de</w:t>
      </w:r>
      <w:r w:rsidR="00486CBF" w:rsidRPr="00D95727">
        <w:rPr>
          <w:rFonts w:ascii="Arial" w:hAnsi="Arial" w:cs="Arial"/>
          <w:sz w:val="22"/>
          <w:szCs w:val="22"/>
          <w:lang w:val="es-ES"/>
        </w:rPr>
        <w:t xml:space="preserve"> madurez de los distintos documentos de trabajo en </w:t>
      </w:r>
      <w:r w:rsidRPr="00D95727">
        <w:rPr>
          <w:rFonts w:ascii="Arial" w:hAnsi="Arial" w:cs="Arial"/>
          <w:sz w:val="22"/>
          <w:szCs w:val="22"/>
          <w:lang w:val="es-ES"/>
        </w:rPr>
        <w:t>aspectos como:</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w:t>
      </w:r>
      <w:r w:rsidR="000D6648" w:rsidRPr="00D95727">
        <w:rPr>
          <w:rFonts w:ascii="Arial" w:hAnsi="Arial" w:cs="Arial"/>
          <w:sz w:val="22"/>
          <w:szCs w:val="22"/>
          <w:lang w:val="es-ES"/>
        </w:rPr>
        <w:t xml:space="preserve">la </w:t>
      </w:r>
      <w:r w:rsidR="00486CBF" w:rsidRPr="00D95727">
        <w:rPr>
          <w:rFonts w:ascii="Arial" w:hAnsi="Arial" w:cs="Arial"/>
          <w:sz w:val="22"/>
          <w:szCs w:val="22"/>
          <w:lang w:val="es-ES"/>
        </w:rPr>
        <w:t xml:space="preserve">solución de las cuestiones esenciales; </w:t>
      </w:r>
      <w:r w:rsidR="007323AB" w:rsidRPr="00D95727">
        <w:rPr>
          <w:rFonts w:ascii="Arial" w:hAnsi="Arial" w:cs="Arial"/>
          <w:sz w:val="22"/>
          <w:szCs w:val="22"/>
          <w:lang w:val="es-ES"/>
        </w:rPr>
        <w:t xml:space="preserve"> </w:t>
      </w:r>
      <w:r w:rsidR="00486CBF" w:rsidRPr="00D95727">
        <w:rPr>
          <w:rFonts w:ascii="Arial" w:hAnsi="Arial" w:cs="Arial"/>
          <w:sz w:val="22"/>
          <w:szCs w:val="22"/>
          <w:lang w:val="es-ES"/>
        </w:rPr>
        <w:t>la form</w:t>
      </w:r>
      <w:r w:rsidRPr="00D95727">
        <w:rPr>
          <w:rFonts w:ascii="Arial" w:hAnsi="Arial" w:cs="Arial"/>
          <w:sz w:val="22"/>
          <w:szCs w:val="22"/>
          <w:lang w:val="es-ES"/>
        </w:rPr>
        <w:t>a</w:t>
      </w:r>
      <w:r w:rsidR="000D6648" w:rsidRPr="00D95727">
        <w:rPr>
          <w:rFonts w:ascii="Arial" w:hAnsi="Arial" w:cs="Arial"/>
          <w:sz w:val="22"/>
          <w:szCs w:val="22"/>
          <w:lang w:val="es-ES"/>
        </w:rPr>
        <w:t xml:space="preserve"> </w:t>
      </w:r>
      <w:r w:rsidR="00486CBF" w:rsidRPr="00D95727">
        <w:rPr>
          <w:rFonts w:ascii="Arial" w:hAnsi="Arial" w:cs="Arial"/>
          <w:sz w:val="22"/>
          <w:szCs w:val="22"/>
          <w:lang w:val="es-ES"/>
        </w:rPr>
        <w:t>del</w:t>
      </w:r>
      <w:r w:rsidR="000D6648" w:rsidRPr="00D95727">
        <w:rPr>
          <w:rFonts w:ascii="Arial" w:hAnsi="Arial" w:cs="Arial"/>
          <w:sz w:val="22"/>
          <w:szCs w:val="22"/>
          <w:lang w:val="es-ES"/>
        </w:rPr>
        <w:t xml:space="preserve"> instrumento o instrumento</w:t>
      </w:r>
      <w:r w:rsidR="00486CBF" w:rsidRPr="00D95727">
        <w:rPr>
          <w:rFonts w:ascii="Arial" w:hAnsi="Arial" w:cs="Arial"/>
          <w:sz w:val="22"/>
          <w:szCs w:val="22"/>
          <w:lang w:val="es-ES"/>
        </w:rPr>
        <w:t xml:space="preserve">s; </w:t>
      </w:r>
      <w:r w:rsidR="007323AB" w:rsidRPr="00D95727">
        <w:rPr>
          <w:rFonts w:ascii="Arial" w:hAnsi="Arial" w:cs="Arial"/>
          <w:sz w:val="22"/>
          <w:szCs w:val="22"/>
          <w:lang w:val="es-ES"/>
        </w:rPr>
        <w:t xml:space="preserve"> </w:t>
      </w:r>
      <w:r w:rsidR="00486CBF" w:rsidRPr="00D95727">
        <w:rPr>
          <w:rFonts w:ascii="Arial" w:hAnsi="Arial" w:cs="Arial"/>
          <w:sz w:val="22"/>
          <w:szCs w:val="22"/>
          <w:lang w:val="es-ES"/>
        </w:rPr>
        <w:t xml:space="preserve">y la disposición actual </w:t>
      </w:r>
      <w:r w:rsidR="00DE40FB" w:rsidRPr="00D95727">
        <w:rPr>
          <w:rFonts w:ascii="Arial" w:hAnsi="Arial" w:cs="Arial"/>
          <w:sz w:val="22"/>
          <w:szCs w:val="22"/>
          <w:lang w:val="es-ES"/>
        </w:rPr>
        <w:t>a</w:t>
      </w:r>
      <w:r w:rsidR="00486CBF" w:rsidRPr="00D95727">
        <w:rPr>
          <w:rFonts w:ascii="Arial" w:hAnsi="Arial" w:cs="Arial"/>
          <w:sz w:val="22"/>
          <w:szCs w:val="22"/>
          <w:lang w:val="es-ES"/>
        </w:rPr>
        <w:t xml:space="preserve"> </w:t>
      </w:r>
      <w:r w:rsidR="007054AD" w:rsidRPr="00D95727">
        <w:rPr>
          <w:rFonts w:ascii="Arial" w:hAnsi="Arial" w:cs="Arial"/>
          <w:sz w:val="22"/>
          <w:szCs w:val="22"/>
          <w:lang w:val="es-ES"/>
        </w:rPr>
        <w:t xml:space="preserve">adoptar </w:t>
      </w:r>
      <w:r w:rsidR="00DE40FB" w:rsidRPr="00D95727">
        <w:rPr>
          <w:rFonts w:ascii="Arial" w:hAnsi="Arial" w:cs="Arial"/>
          <w:sz w:val="22"/>
          <w:szCs w:val="22"/>
          <w:lang w:val="es-ES"/>
        </w:rPr>
        <w:t xml:space="preserve">ciertas </w:t>
      </w:r>
      <w:r w:rsidR="00486CBF" w:rsidRPr="00D95727">
        <w:rPr>
          <w:rFonts w:ascii="Arial" w:hAnsi="Arial" w:cs="Arial"/>
          <w:sz w:val="22"/>
          <w:szCs w:val="22"/>
          <w:lang w:val="es-ES"/>
        </w:rPr>
        <w:t>decisiones</w:t>
      </w:r>
      <w:r w:rsidR="000D6648" w:rsidRPr="00D95727">
        <w:rPr>
          <w:rFonts w:ascii="Arial" w:hAnsi="Arial" w:cs="Arial"/>
          <w:sz w:val="22"/>
          <w:szCs w:val="22"/>
          <w:lang w:val="es-ES"/>
        </w:rPr>
        <w:t xml:space="preserve"> </w:t>
      </w:r>
      <w:r w:rsidR="00486CBF" w:rsidRPr="00D95727">
        <w:rPr>
          <w:rFonts w:ascii="Arial" w:hAnsi="Arial" w:cs="Arial"/>
          <w:sz w:val="22"/>
          <w:szCs w:val="22"/>
          <w:lang w:val="es-ES"/>
        </w:rPr>
        <w:t>políticas, por ejemplo en</w:t>
      </w:r>
      <w:r w:rsidR="00DE40FB" w:rsidRPr="00D95727">
        <w:rPr>
          <w:rFonts w:ascii="Arial" w:hAnsi="Arial" w:cs="Arial"/>
          <w:sz w:val="22"/>
          <w:szCs w:val="22"/>
          <w:lang w:val="es-ES"/>
        </w:rPr>
        <w:t xml:space="preserve"> el marco de</w:t>
      </w:r>
      <w:r w:rsidR="00486CBF" w:rsidRPr="00D95727">
        <w:rPr>
          <w:rFonts w:ascii="Arial" w:hAnsi="Arial" w:cs="Arial"/>
          <w:sz w:val="22"/>
          <w:szCs w:val="22"/>
          <w:lang w:val="es-ES"/>
        </w:rPr>
        <w:t xml:space="preserve"> una conferencia diplomática.</w:t>
      </w:r>
    </w:p>
    <w:p w:rsidR="00D16F07" w:rsidRPr="00D95727" w:rsidRDefault="00D16F07" w:rsidP="00A42148">
      <w:pPr>
        <w:rPr>
          <w:rFonts w:ascii="Arial" w:hAnsi="Arial" w:cs="Arial"/>
          <w:sz w:val="22"/>
          <w:szCs w:val="22"/>
          <w:lang w:val="es-ES"/>
        </w:rPr>
      </w:pPr>
    </w:p>
    <w:p w:rsidR="00D16F07" w:rsidRPr="00D95727" w:rsidRDefault="007054AD" w:rsidP="00A42148">
      <w:pPr>
        <w:rPr>
          <w:rFonts w:ascii="Arial" w:hAnsi="Arial" w:cs="Arial"/>
          <w:sz w:val="22"/>
          <w:szCs w:val="22"/>
          <w:lang w:val="es-ES"/>
        </w:rPr>
      </w:pPr>
      <w:r w:rsidRPr="00D95727">
        <w:rPr>
          <w:rFonts w:ascii="Arial" w:hAnsi="Arial" w:cs="Arial"/>
          <w:sz w:val="22"/>
          <w:szCs w:val="22"/>
          <w:lang w:val="es-ES"/>
        </w:rPr>
        <w:t xml:space="preserve">A continuación se enumeran otras cuestiones </w:t>
      </w:r>
      <w:r w:rsidR="00DE40FB" w:rsidRPr="00D95727">
        <w:rPr>
          <w:rFonts w:ascii="Arial" w:hAnsi="Arial" w:cs="Arial"/>
          <w:sz w:val="22"/>
          <w:szCs w:val="22"/>
          <w:lang w:val="es-ES"/>
        </w:rPr>
        <w:t>conexas</w:t>
      </w:r>
      <w:r w:rsidRPr="00D95727">
        <w:rPr>
          <w:rFonts w:ascii="Arial" w:hAnsi="Arial" w:cs="Arial"/>
          <w:sz w:val="22"/>
          <w:szCs w:val="22"/>
          <w:lang w:val="es-ES"/>
        </w:rPr>
        <w:t xml:space="preserve"> que los Estados miembros </w:t>
      </w:r>
      <w:r w:rsidR="001A75BC" w:rsidRPr="00D95727">
        <w:rPr>
          <w:rFonts w:ascii="Arial" w:hAnsi="Arial" w:cs="Arial"/>
          <w:sz w:val="22"/>
          <w:szCs w:val="22"/>
          <w:lang w:val="es-ES"/>
        </w:rPr>
        <w:t>tal vez estimen oportuno</w:t>
      </w:r>
      <w:r w:rsidRPr="00D95727">
        <w:rPr>
          <w:rFonts w:ascii="Arial" w:hAnsi="Arial" w:cs="Arial"/>
          <w:sz w:val="22"/>
          <w:szCs w:val="22"/>
          <w:lang w:val="es-ES"/>
        </w:rPr>
        <w:t xml:space="preserve"> examinar, en función de sus opiniones sobre lo anterior</w:t>
      </w:r>
      <w:r w:rsidR="00F12F6A" w:rsidRPr="00D95727">
        <w:rPr>
          <w:rFonts w:ascii="Arial" w:hAnsi="Arial" w:cs="Arial"/>
          <w:sz w:val="22"/>
          <w:szCs w:val="22"/>
          <w:lang w:val="es-ES"/>
        </w:rPr>
        <w:t>:</w:t>
      </w:r>
    </w:p>
    <w:p w:rsidR="00D16F07" w:rsidRPr="00D95727" w:rsidRDefault="00D16F07" w:rsidP="00A42148">
      <w:pPr>
        <w:rPr>
          <w:rFonts w:ascii="Arial" w:hAnsi="Arial" w:cs="Arial"/>
          <w:sz w:val="22"/>
          <w:szCs w:val="22"/>
          <w:lang w:val="es-ES"/>
        </w:rPr>
      </w:pPr>
    </w:p>
    <w:p w:rsidR="00D16F07" w:rsidRPr="00D95727" w:rsidRDefault="008516DF" w:rsidP="0024406F">
      <w:pPr>
        <w:numPr>
          <w:ilvl w:val="0"/>
          <w:numId w:val="6"/>
        </w:numPr>
        <w:rPr>
          <w:rFonts w:ascii="Arial" w:hAnsi="Arial" w:cs="Arial"/>
          <w:sz w:val="22"/>
          <w:szCs w:val="22"/>
          <w:lang w:val="es-ES"/>
        </w:rPr>
      </w:pPr>
      <w:r w:rsidRPr="00D95727">
        <w:rPr>
          <w:rFonts w:ascii="Arial" w:hAnsi="Arial" w:cs="Arial"/>
          <w:sz w:val="22"/>
          <w:szCs w:val="22"/>
          <w:lang w:val="es-ES"/>
        </w:rPr>
        <w:t>¿Cuáles son las prioridades y los principales resultados concreto</w:t>
      </w:r>
      <w:r w:rsidR="00EC2624" w:rsidRPr="00D95727">
        <w:rPr>
          <w:rFonts w:ascii="Arial" w:hAnsi="Arial" w:cs="Arial"/>
          <w:sz w:val="22"/>
          <w:szCs w:val="22"/>
          <w:lang w:val="es-ES"/>
        </w:rPr>
        <w:t>s</w:t>
      </w:r>
      <w:r w:rsidR="00A034C0" w:rsidRPr="00D95727">
        <w:rPr>
          <w:rFonts w:ascii="Arial" w:hAnsi="Arial" w:cs="Arial"/>
          <w:sz w:val="22"/>
          <w:szCs w:val="22"/>
          <w:lang w:val="es-ES"/>
        </w:rPr>
        <w:t xml:space="preserve"> o </w:t>
      </w:r>
      <w:r w:rsidR="00EC2624" w:rsidRPr="00D95727">
        <w:rPr>
          <w:rFonts w:ascii="Arial" w:hAnsi="Arial" w:cs="Arial"/>
          <w:sz w:val="22"/>
          <w:szCs w:val="22"/>
          <w:lang w:val="es-ES"/>
        </w:rPr>
        <w:t>efectos directo</w:t>
      </w:r>
      <w:r w:rsidRPr="00D95727">
        <w:rPr>
          <w:rFonts w:ascii="Arial" w:hAnsi="Arial" w:cs="Arial"/>
          <w:sz w:val="22"/>
          <w:szCs w:val="22"/>
          <w:lang w:val="es-ES"/>
        </w:rPr>
        <w:t>s</w:t>
      </w:r>
      <w:r w:rsidR="0030646A" w:rsidRPr="00D95727">
        <w:rPr>
          <w:rFonts w:ascii="Arial" w:hAnsi="Arial" w:cs="Arial"/>
          <w:sz w:val="22"/>
          <w:szCs w:val="22"/>
          <w:lang w:val="es-ES"/>
        </w:rPr>
        <w:t xml:space="preserve"> </w:t>
      </w:r>
      <w:r w:rsidRPr="00D95727">
        <w:rPr>
          <w:rFonts w:ascii="Arial" w:hAnsi="Arial" w:cs="Arial"/>
          <w:sz w:val="22"/>
          <w:szCs w:val="22"/>
          <w:lang w:val="es-ES"/>
        </w:rPr>
        <w:t>de la labor futura</w:t>
      </w:r>
      <w:r w:rsidR="004736FE" w:rsidRPr="00D95727">
        <w:rPr>
          <w:rFonts w:ascii="Arial" w:hAnsi="Arial" w:cs="Arial"/>
          <w:sz w:val="22"/>
          <w:szCs w:val="22"/>
          <w:lang w:val="es-ES"/>
        </w:rPr>
        <w:t>?</w:t>
      </w:r>
    </w:p>
    <w:p w:rsidR="00D16F07" w:rsidRPr="00D95727" w:rsidRDefault="002B34AF" w:rsidP="0024406F">
      <w:pPr>
        <w:numPr>
          <w:ilvl w:val="0"/>
          <w:numId w:val="6"/>
        </w:numPr>
        <w:rPr>
          <w:rFonts w:ascii="Arial" w:hAnsi="Arial" w:cs="Arial"/>
          <w:sz w:val="22"/>
          <w:szCs w:val="22"/>
          <w:lang w:val="es-ES"/>
        </w:rPr>
      </w:pPr>
      <w:r w:rsidRPr="00D95727">
        <w:rPr>
          <w:rFonts w:ascii="Arial" w:hAnsi="Arial" w:cs="Arial"/>
          <w:sz w:val="22"/>
          <w:szCs w:val="22"/>
          <w:lang w:val="es-ES"/>
        </w:rPr>
        <w:t>¿Deben incorporarse actividades de apoyo</w:t>
      </w:r>
      <w:r w:rsidR="0030646A" w:rsidRPr="00D95727">
        <w:rPr>
          <w:rFonts w:ascii="Arial" w:hAnsi="Arial" w:cs="Arial"/>
          <w:sz w:val="22"/>
          <w:szCs w:val="22"/>
          <w:lang w:val="es-ES"/>
        </w:rPr>
        <w:t xml:space="preserve"> </w:t>
      </w:r>
      <w:r w:rsidRPr="00D95727">
        <w:rPr>
          <w:rFonts w:ascii="Arial" w:hAnsi="Arial" w:cs="Arial"/>
          <w:sz w:val="22"/>
          <w:szCs w:val="22"/>
          <w:lang w:val="es-ES"/>
        </w:rPr>
        <w:t xml:space="preserve">en la labor futura, como por ejemplo </w:t>
      </w:r>
      <w:r w:rsidR="00EC2624" w:rsidRPr="00D95727">
        <w:rPr>
          <w:rFonts w:ascii="Arial" w:hAnsi="Arial" w:cs="Arial"/>
          <w:sz w:val="22"/>
          <w:szCs w:val="22"/>
          <w:lang w:val="es-ES"/>
        </w:rPr>
        <w:t xml:space="preserve">seminarios, estudios, talleres o grupos de trabajo, </w:t>
      </w:r>
      <w:r w:rsidRPr="00D95727">
        <w:rPr>
          <w:rFonts w:ascii="Arial" w:hAnsi="Arial" w:cs="Arial"/>
          <w:sz w:val="22"/>
          <w:szCs w:val="22"/>
          <w:lang w:val="es-ES"/>
        </w:rPr>
        <w:t>y en su caso cuáles</w:t>
      </w:r>
      <w:r w:rsidR="00FA57B4" w:rsidRPr="00D95727">
        <w:rPr>
          <w:rFonts w:ascii="Arial" w:hAnsi="Arial" w:cs="Arial"/>
          <w:sz w:val="22"/>
          <w:szCs w:val="22"/>
          <w:lang w:val="es-ES"/>
        </w:rPr>
        <w:t>?</w:t>
      </w:r>
    </w:p>
    <w:p w:rsidR="00D16F07" w:rsidRPr="00D95727" w:rsidRDefault="002B34AF" w:rsidP="0024406F">
      <w:pPr>
        <w:numPr>
          <w:ilvl w:val="0"/>
          <w:numId w:val="6"/>
        </w:numPr>
        <w:rPr>
          <w:rFonts w:ascii="Arial" w:hAnsi="Arial" w:cs="Arial"/>
          <w:sz w:val="22"/>
          <w:szCs w:val="22"/>
          <w:lang w:val="es-ES"/>
        </w:rPr>
      </w:pPr>
      <w:r w:rsidRPr="00D95727">
        <w:rPr>
          <w:rFonts w:ascii="Arial" w:hAnsi="Arial" w:cs="Arial"/>
          <w:sz w:val="22"/>
          <w:szCs w:val="22"/>
          <w:lang w:val="es-ES"/>
        </w:rPr>
        <w:t xml:space="preserve">¿Debe </w:t>
      </w:r>
      <w:r w:rsidR="006F6F89" w:rsidRPr="00D95727">
        <w:rPr>
          <w:rFonts w:ascii="Arial" w:hAnsi="Arial" w:cs="Arial"/>
          <w:sz w:val="22"/>
          <w:szCs w:val="22"/>
          <w:lang w:val="es-ES"/>
        </w:rPr>
        <w:t>fijarse</w:t>
      </w:r>
      <w:r w:rsidRPr="00D95727">
        <w:rPr>
          <w:rFonts w:ascii="Arial" w:hAnsi="Arial" w:cs="Arial"/>
          <w:sz w:val="22"/>
          <w:szCs w:val="22"/>
          <w:lang w:val="es-ES"/>
        </w:rPr>
        <w:t xml:space="preserve"> un calendario u hoja de ruta específico para </w:t>
      </w:r>
      <w:r w:rsidR="006F6F89" w:rsidRPr="00D95727">
        <w:rPr>
          <w:rFonts w:ascii="Arial" w:hAnsi="Arial" w:cs="Arial"/>
          <w:sz w:val="22"/>
          <w:szCs w:val="22"/>
          <w:lang w:val="es-ES"/>
        </w:rPr>
        <w:t>la labor</w:t>
      </w:r>
      <w:r w:rsidRPr="00D95727">
        <w:rPr>
          <w:rFonts w:ascii="Arial" w:hAnsi="Arial" w:cs="Arial"/>
          <w:sz w:val="22"/>
          <w:szCs w:val="22"/>
          <w:lang w:val="es-ES"/>
        </w:rPr>
        <w:t xml:space="preserve"> futura, y en particular una fecha para </w:t>
      </w:r>
      <w:r w:rsidR="00A034C0" w:rsidRPr="00D95727">
        <w:rPr>
          <w:rFonts w:ascii="Arial" w:hAnsi="Arial" w:cs="Arial"/>
          <w:sz w:val="22"/>
          <w:szCs w:val="22"/>
          <w:lang w:val="es-ES"/>
        </w:rPr>
        <w:t>una</w:t>
      </w:r>
      <w:r w:rsidRPr="00D95727">
        <w:rPr>
          <w:rFonts w:ascii="Arial" w:hAnsi="Arial" w:cs="Arial"/>
          <w:sz w:val="22"/>
          <w:szCs w:val="22"/>
          <w:lang w:val="es-ES"/>
        </w:rPr>
        <w:t xml:space="preserve"> conferencia diplomática</w:t>
      </w:r>
      <w:r w:rsidR="00D63F45" w:rsidRPr="00D95727">
        <w:rPr>
          <w:rFonts w:ascii="Arial" w:hAnsi="Arial" w:cs="Arial"/>
          <w:sz w:val="22"/>
          <w:szCs w:val="22"/>
          <w:lang w:val="es-ES"/>
        </w:rPr>
        <w:t>?</w:t>
      </w:r>
      <w:r w:rsidR="00A034C0" w:rsidRPr="00D95727">
        <w:rPr>
          <w:rFonts w:ascii="Arial" w:hAnsi="Arial" w:cs="Arial"/>
          <w:sz w:val="22"/>
          <w:szCs w:val="22"/>
          <w:lang w:val="es-ES"/>
        </w:rPr>
        <w:t xml:space="preserve"> </w:t>
      </w:r>
      <w:r w:rsidRPr="00D95727">
        <w:rPr>
          <w:rFonts w:ascii="Arial" w:hAnsi="Arial" w:cs="Arial"/>
          <w:sz w:val="22"/>
          <w:szCs w:val="22"/>
          <w:lang w:val="es-ES"/>
        </w:rPr>
        <w:t xml:space="preserve">¿Debe </w:t>
      </w:r>
      <w:r w:rsidR="00A034C0" w:rsidRPr="00D95727">
        <w:rPr>
          <w:rFonts w:ascii="Arial" w:hAnsi="Arial" w:cs="Arial"/>
          <w:sz w:val="22"/>
          <w:szCs w:val="22"/>
          <w:lang w:val="es-ES"/>
        </w:rPr>
        <w:t>ser acordada o establecida</w:t>
      </w:r>
      <w:r w:rsidR="00A42148" w:rsidRPr="00D95727">
        <w:rPr>
          <w:rFonts w:ascii="Arial" w:hAnsi="Arial" w:cs="Arial"/>
          <w:sz w:val="22"/>
          <w:szCs w:val="22"/>
          <w:lang w:val="es-ES"/>
        </w:rPr>
        <w:t>?</w:t>
      </w:r>
    </w:p>
    <w:p w:rsidR="00D16F07" w:rsidRPr="00D95727" w:rsidRDefault="006F6F89" w:rsidP="0024406F">
      <w:pPr>
        <w:numPr>
          <w:ilvl w:val="0"/>
          <w:numId w:val="6"/>
        </w:numPr>
        <w:rPr>
          <w:rFonts w:ascii="Arial" w:hAnsi="Arial" w:cs="Arial"/>
          <w:sz w:val="22"/>
          <w:szCs w:val="22"/>
          <w:lang w:val="es-ES"/>
        </w:rPr>
      </w:pPr>
      <w:r w:rsidRPr="00D95727">
        <w:rPr>
          <w:rFonts w:ascii="Arial" w:hAnsi="Arial" w:cs="Arial"/>
          <w:sz w:val="22"/>
          <w:szCs w:val="22"/>
          <w:lang w:val="es-ES"/>
        </w:rPr>
        <w:t xml:space="preserve">¿Debe </w:t>
      </w:r>
      <w:r w:rsidR="00A034C0" w:rsidRPr="00D95727">
        <w:rPr>
          <w:rFonts w:ascii="Arial" w:hAnsi="Arial" w:cs="Arial"/>
          <w:sz w:val="22"/>
          <w:szCs w:val="22"/>
          <w:lang w:val="es-ES"/>
        </w:rPr>
        <w:t>fijarse</w:t>
      </w:r>
      <w:r w:rsidRPr="00D95727">
        <w:rPr>
          <w:rFonts w:ascii="Arial" w:hAnsi="Arial" w:cs="Arial"/>
          <w:sz w:val="22"/>
          <w:szCs w:val="22"/>
          <w:lang w:val="es-ES"/>
        </w:rPr>
        <w:t xml:space="preserve"> una fecha concreta para la finalización de la labor del Comité</w:t>
      </w:r>
      <w:r w:rsidR="00363008" w:rsidRPr="00D95727">
        <w:rPr>
          <w:rFonts w:ascii="Arial" w:hAnsi="Arial" w:cs="Arial"/>
          <w:sz w:val="22"/>
          <w:szCs w:val="22"/>
          <w:lang w:val="es-ES"/>
        </w:rPr>
        <w:t>?</w:t>
      </w:r>
    </w:p>
    <w:p w:rsidR="00D16F07" w:rsidRPr="00D95727" w:rsidRDefault="006F6F89" w:rsidP="0024406F">
      <w:pPr>
        <w:numPr>
          <w:ilvl w:val="0"/>
          <w:numId w:val="6"/>
        </w:numPr>
        <w:rPr>
          <w:rFonts w:ascii="Arial" w:hAnsi="Arial" w:cs="Arial"/>
          <w:sz w:val="22"/>
          <w:szCs w:val="22"/>
          <w:lang w:val="es-ES"/>
        </w:rPr>
      </w:pPr>
      <w:r w:rsidRPr="00D95727">
        <w:rPr>
          <w:rFonts w:ascii="Arial" w:hAnsi="Arial" w:cs="Arial"/>
          <w:sz w:val="22"/>
          <w:szCs w:val="22"/>
          <w:lang w:val="es-ES"/>
        </w:rPr>
        <w:t xml:space="preserve">¿Debe avanzarse en </w:t>
      </w:r>
      <w:r w:rsidR="000D6841" w:rsidRPr="00D95727">
        <w:rPr>
          <w:rFonts w:ascii="Arial" w:hAnsi="Arial" w:cs="Arial"/>
          <w:sz w:val="22"/>
          <w:szCs w:val="22"/>
          <w:lang w:val="es-ES"/>
        </w:rPr>
        <w:t>tod</w:t>
      </w:r>
      <w:r w:rsidR="007B6B48" w:rsidRPr="00D95727">
        <w:rPr>
          <w:rFonts w:ascii="Arial" w:hAnsi="Arial" w:cs="Arial"/>
          <w:sz w:val="22"/>
          <w:szCs w:val="22"/>
          <w:lang w:val="es-ES"/>
        </w:rPr>
        <w:t>a</w:t>
      </w:r>
      <w:r w:rsidR="000D6841" w:rsidRPr="00D95727">
        <w:rPr>
          <w:rFonts w:ascii="Arial" w:hAnsi="Arial" w:cs="Arial"/>
          <w:sz w:val="22"/>
          <w:szCs w:val="22"/>
          <w:lang w:val="es-ES"/>
        </w:rPr>
        <w:t>s l</w:t>
      </w:r>
      <w:r w:rsidR="007B6B48" w:rsidRPr="00D95727">
        <w:rPr>
          <w:rFonts w:ascii="Arial" w:hAnsi="Arial" w:cs="Arial"/>
          <w:sz w:val="22"/>
          <w:szCs w:val="22"/>
          <w:lang w:val="es-ES"/>
        </w:rPr>
        <w:t>a</w:t>
      </w:r>
      <w:r w:rsidR="000D6841" w:rsidRPr="00D95727">
        <w:rPr>
          <w:rFonts w:ascii="Arial" w:hAnsi="Arial" w:cs="Arial"/>
          <w:sz w:val="22"/>
          <w:szCs w:val="22"/>
          <w:lang w:val="es-ES"/>
        </w:rPr>
        <w:t>s m</w:t>
      </w:r>
      <w:r w:rsidR="007B6B48" w:rsidRPr="00D95727">
        <w:rPr>
          <w:rFonts w:ascii="Arial" w:hAnsi="Arial" w:cs="Arial"/>
          <w:sz w:val="22"/>
          <w:szCs w:val="22"/>
          <w:lang w:val="es-ES"/>
        </w:rPr>
        <w:t>ateri</w:t>
      </w:r>
      <w:r w:rsidR="000D6841" w:rsidRPr="00D95727">
        <w:rPr>
          <w:rFonts w:ascii="Arial" w:hAnsi="Arial" w:cs="Arial"/>
          <w:sz w:val="22"/>
          <w:szCs w:val="22"/>
          <w:lang w:val="es-ES"/>
        </w:rPr>
        <w:t>as</w:t>
      </w:r>
      <w:r w:rsidR="00A034C0" w:rsidRPr="00D95727">
        <w:rPr>
          <w:rFonts w:ascii="Arial" w:hAnsi="Arial" w:cs="Arial"/>
          <w:sz w:val="22"/>
          <w:szCs w:val="22"/>
          <w:lang w:val="es-ES"/>
        </w:rPr>
        <w:t xml:space="preserve"> </w:t>
      </w:r>
      <w:r w:rsidR="000D6841" w:rsidRPr="00D95727">
        <w:rPr>
          <w:rFonts w:ascii="Arial" w:hAnsi="Arial" w:cs="Arial"/>
          <w:sz w:val="22"/>
          <w:szCs w:val="22"/>
          <w:lang w:val="es-ES"/>
        </w:rPr>
        <w:t>de forma paralela y siguiendo calendarios similares?</w:t>
      </w:r>
    </w:p>
    <w:p w:rsidR="00D16F07" w:rsidRPr="00D95727" w:rsidRDefault="000D6841" w:rsidP="0024406F">
      <w:pPr>
        <w:numPr>
          <w:ilvl w:val="0"/>
          <w:numId w:val="6"/>
        </w:numPr>
        <w:rPr>
          <w:rFonts w:ascii="Arial" w:hAnsi="Arial" w:cs="Arial"/>
          <w:sz w:val="22"/>
          <w:szCs w:val="22"/>
          <w:lang w:val="es-ES"/>
        </w:rPr>
      </w:pPr>
      <w:r w:rsidRPr="00D95727">
        <w:rPr>
          <w:rFonts w:ascii="Arial" w:hAnsi="Arial" w:cs="Arial"/>
          <w:sz w:val="22"/>
          <w:szCs w:val="22"/>
          <w:lang w:val="es-ES"/>
        </w:rPr>
        <w:t xml:space="preserve">Si se adopta un enfoque </w:t>
      </w:r>
      <w:r w:rsidR="00A034C0" w:rsidRPr="00D95727">
        <w:rPr>
          <w:rFonts w:ascii="Arial" w:hAnsi="Arial" w:cs="Arial"/>
          <w:sz w:val="22"/>
          <w:szCs w:val="22"/>
          <w:lang w:val="es-ES"/>
        </w:rPr>
        <w:t>progresivo</w:t>
      </w:r>
      <w:r w:rsidRPr="00D95727">
        <w:rPr>
          <w:rFonts w:ascii="Arial" w:hAnsi="Arial" w:cs="Arial"/>
          <w:sz w:val="22"/>
          <w:szCs w:val="22"/>
          <w:lang w:val="es-ES"/>
        </w:rPr>
        <w:t xml:space="preserve">, ¿cuál es el mejor modo de </w:t>
      </w:r>
      <w:r w:rsidR="00A034C0" w:rsidRPr="00D95727">
        <w:rPr>
          <w:rFonts w:ascii="Arial" w:hAnsi="Arial" w:cs="Arial"/>
          <w:sz w:val="22"/>
          <w:szCs w:val="22"/>
          <w:lang w:val="es-ES"/>
        </w:rPr>
        <w:t xml:space="preserve">garantizar </w:t>
      </w:r>
      <w:r w:rsidRPr="00D95727">
        <w:rPr>
          <w:rFonts w:ascii="Arial" w:hAnsi="Arial" w:cs="Arial"/>
          <w:sz w:val="22"/>
          <w:szCs w:val="22"/>
          <w:lang w:val="es-ES"/>
        </w:rPr>
        <w:t>la continuidad de la labor en tod</w:t>
      </w:r>
      <w:r w:rsidR="007B6B48" w:rsidRPr="00D95727">
        <w:rPr>
          <w:rFonts w:ascii="Arial" w:hAnsi="Arial" w:cs="Arial"/>
          <w:sz w:val="22"/>
          <w:szCs w:val="22"/>
          <w:lang w:val="es-ES"/>
        </w:rPr>
        <w:t>a</w:t>
      </w:r>
      <w:r w:rsidRPr="00D95727">
        <w:rPr>
          <w:rFonts w:ascii="Arial" w:hAnsi="Arial" w:cs="Arial"/>
          <w:sz w:val="22"/>
          <w:szCs w:val="22"/>
          <w:lang w:val="es-ES"/>
        </w:rPr>
        <w:t>s l</w:t>
      </w:r>
      <w:r w:rsidR="007B6B48" w:rsidRPr="00D95727">
        <w:rPr>
          <w:rFonts w:ascii="Arial" w:hAnsi="Arial" w:cs="Arial"/>
          <w:sz w:val="22"/>
          <w:szCs w:val="22"/>
          <w:lang w:val="es-ES"/>
        </w:rPr>
        <w:t>a</w:t>
      </w:r>
      <w:r w:rsidRPr="00D95727">
        <w:rPr>
          <w:rFonts w:ascii="Arial" w:hAnsi="Arial" w:cs="Arial"/>
          <w:sz w:val="22"/>
          <w:szCs w:val="22"/>
          <w:lang w:val="es-ES"/>
        </w:rPr>
        <w:t xml:space="preserve">s </w:t>
      </w:r>
      <w:r w:rsidR="007B6B48" w:rsidRPr="00D95727">
        <w:rPr>
          <w:rFonts w:ascii="Arial" w:hAnsi="Arial" w:cs="Arial"/>
          <w:sz w:val="22"/>
          <w:szCs w:val="22"/>
          <w:lang w:val="es-ES"/>
        </w:rPr>
        <w:t>materias</w:t>
      </w:r>
      <w:r w:rsidR="0047715F" w:rsidRPr="00D95727">
        <w:rPr>
          <w:rFonts w:ascii="Arial" w:hAnsi="Arial" w:cs="Arial"/>
          <w:sz w:val="22"/>
          <w:szCs w:val="22"/>
          <w:lang w:val="es-ES"/>
        </w:rPr>
        <w:t>?</w:t>
      </w:r>
    </w:p>
    <w:p w:rsidR="00D16F07" w:rsidRPr="00D95727" w:rsidRDefault="000D6841" w:rsidP="0024406F">
      <w:pPr>
        <w:numPr>
          <w:ilvl w:val="0"/>
          <w:numId w:val="6"/>
        </w:numPr>
        <w:rPr>
          <w:rFonts w:ascii="Arial" w:hAnsi="Arial" w:cs="Arial"/>
          <w:sz w:val="22"/>
          <w:szCs w:val="22"/>
          <w:lang w:val="es-ES"/>
        </w:rPr>
      </w:pPr>
      <w:r w:rsidRPr="00D95727">
        <w:rPr>
          <w:rFonts w:ascii="Arial" w:hAnsi="Arial" w:cs="Arial"/>
          <w:sz w:val="22"/>
          <w:szCs w:val="22"/>
          <w:lang w:val="es-ES"/>
        </w:rPr>
        <w:t>¿Qué mecanismos de gobernanza deben establecerse para la labor futura?</w:t>
      </w:r>
      <w:r w:rsidR="00BD0B70" w:rsidRPr="00D95727">
        <w:rPr>
          <w:rFonts w:ascii="Arial" w:hAnsi="Arial" w:cs="Arial"/>
          <w:sz w:val="22"/>
          <w:szCs w:val="22"/>
          <w:lang w:val="es-ES"/>
        </w:rPr>
        <w:t xml:space="preserve">  P</w:t>
      </w:r>
      <w:r w:rsidRPr="00D95727">
        <w:rPr>
          <w:rFonts w:ascii="Arial" w:hAnsi="Arial" w:cs="Arial"/>
          <w:sz w:val="22"/>
          <w:szCs w:val="22"/>
          <w:lang w:val="es-ES"/>
        </w:rPr>
        <w:t>or ejemplo</w:t>
      </w:r>
      <w:r w:rsidR="00FF4A93" w:rsidRPr="00D95727">
        <w:rPr>
          <w:rFonts w:ascii="Arial" w:hAnsi="Arial" w:cs="Arial"/>
          <w:sz w:val="22"/>
          <w:szCs w:val="22"/>
          <w:lang w:val="es-ES"/>
        </w:rPr>
        <w:t>:</w:t>
      </w:r>
    </w:p>
    <w:p w:rsidR="00D16F07" w:rsidRPr="00D95727" w:rsidRDefault="000D6841" w:rsidP="0024406F">
      <w:pPr>
        <w:numPr>
          <w:ilvl w:val="1"/>
          <w:numId w:val="6"/>
        </w:numPr>
        <w:rPr>
          <w:rFonts w:ascii="Arial" w:hAnsi="Arial" w:cs="Arial"/>
          <w:sz w:val="22"/>
          <w:szCs w:val="22"/>
          <w:lang w:val="es-ES"/>
        </w:rPr>
      </w:pPr>
      <w:r w:rsidRPr="00D95727">
        <w:rPr>
          <w:rFonts w:ascii="Arial" w:hAnsi="Arial" w:cs="Arial"/>
          <w:sz w:val="22"/>
          <w:szCs w:val="22"/>
          <w:lang w:val="es-ES"/>
        </w:rPr>
        <w:t xml:space="preserve">Un </w:t>
      </w:r>
      <w:r w:rsidR="007B35CF" w:rsidRPr="00D95727">
        <w:rPr>
          <w:rFonts w:ascii="Arial" w:hAnsi="Arial" w:cs="Arial"/>
          <w:sz w:val="22"/>
          <w:szCs w:val="22"/>
          <w:lang w:val="es-ES"/>
        </w:rPr>
        <w:t xml:space="preserve">CIG con un </w:t>
      </w:r>
      <w:r w:rsidRPr="00D95727">
        <w:rPr>
          <w:rFonts w:ascii="Arial" w:hAnsi="Arial" w:cs="Arial"/>
          <w:sz w:val="22"/>
          <w:szCs w:val="22"/>
          <w:lang w:val="es-ES"/>
        </w:rPr>
        <w:t xml:space="preserve">mandato finito </w:t>
      </w:r>
      <w:r w:rsidR="00363008" w:rsidRPr="00D95727">
        <w:rPr>
          <w:rFonts w:ascii="Arial" w:hAnsi="Arial" w:cs="Arial"/>
          <w:sz w:val="22"/>
          <w:szCs w:val="22"/>
          <w:lang w:val="es-ES"/>
        </w:rPr>
        <w:t xml:space="preserve">(1 </w:t>
      </w:r>
      <w:r w:rsidR="007B35CF" w:rsidRPr="00D95727">
        <w:rPr>
          <w:rFonts w:ascii="Arial" w:hAnsi="Arial" w:cs="Arial"/>
          <w:sz w:val="22"/>
          <w:szCs w:val="22"/>
          <w:lang w:val="es-ES"/>
        </w:rPr>
        <w:t>año</w:t>
      </w:r>
      <w:r w:rsidR="00363008" w:rsidRPr="00D95727">
        <w:rPr>
          <w:rFonts w:ascii="Arial" w:hAnsi="Arial" w:cs="Arial"/>
          <w:sz w:val="22"/>
          <w:szCs w:val="22"/>
          <w:lang w:val="es-ES"/>
        </w:rPr>
        <w:t xml:space="preserve">, 2 </w:t>
      </w:r>
      <w:r w:rsidR="007B35CF" w:rsidRPr="00D95727">
        <w:rPr>
          <w:rFonts w:ascii="Arial" w:hAnsi="Arial" w:cs="Arial"/>
          <w:sz w:val="22"/>
          <w:szCs w:val="22"/>
          <w:lang w:val="es-ES"/>
        </w:rPr>
        <w:t>años</w:t>
      </w:r>
      <w:r w:rsidR="00363008" w:rsidRPr="00D95727">
        <w:rPr>
          <w:rFonts w:ascii="Arial" w:hAnsi="Arial" w:cs="Arial"/>
          <w:sz w:val="22"/>
          <w:szCs w:val="22"/>
          <w:lang w:val="es-ES"/>
        </w:rPr>
        <w:t xml:space="preserve">, 3 </w:t>
      </w:r>
      <w:r w:rsidR="007B35CF" w:rsidRPr="00D95727">
        <w:rPr>
          <w:rFonts w:ascii="Arial" w:hAnsi="Arial" w:cs="Arial"/>
          <w:sz w:val="22"/>
          <w:szCs w:val="22"/>
          <w:lang w:val="es-ES"/>
        </w:rPr>
        <w:t>años</w:t>
      </w:r>
      <w:r w:rsidR="00363008" w:rsidRPr="00D95727">
        <w:rPr>
          <w:rFonts w:ascii="Arial" w:hAnsi="Arial" w:cs="Arial"/>
          <w:sz w:val="22"/>
          <w:szCs w:val="22"/>
          <w:lang w:val="es-ES"/>
        </w:rPr>
        <w:t>)</w:t>
      </w:r>
    </w:p>
    <w:p w:rsidR="00D16F07" w:rsidRPr="00D95727" w:rsidRDefault="007B35CF" w:rsidP="0024406F">
      <w:pPr>
        <w:numPr>
          <w:ilvl w:val="1"/>
          <w:numId w:val="6"/>
        </w:numPr>
        <w:rPr>
          <w:rFonts w:ascii="Arial" w:hAnsi="Arial" w:cs="Arial"/>
          <w:sz w:val="22"/>
          <w:szCs w:val="22"/>
          <w:lang w:val="es-ES"/>
        </w:rPr>
      </w:pPr>
      <w:r w:rsidRPr="00D95727">
        <w:rPr>
          <w:rFonts w:ascii="Arial" w:hAnsi="Arial" w:cs="Arial"/>
          <w:sz w:val="22"/>
          <w:szCs w:val="22"/>
          <w:lang w:val="es-ES"/>
        </w:rPr>
        <w:t>Un comité permanente</w:t>
      </w:r>
    </w:p>
    <w:p w:rsidR="00D16F07" w:rsidRPr="00D95727" w:rsidRDefault="007B35CF" w:rsidP="0024406F">
      <w:pPr>
        <w:numPr>
          <w:ilvl w:val="1"/>
          <w:numId w:val="6"/>
        </w:numPr>
        <w:rPr>
          <w:rFonts w:ascii="Arial" w:hAnsi="Arial" w:cs="Arial"/>
          <w:sz w:val="22"/>
          <w:szCs w:val="22"/>
          <w:lang w:val="es-ES"/>
        </w:rPr>
      </w:pPr>
      <w:r w:rsidRPr="00D95727">
        <w:rPr>
          <w:rFonts w:ascii="Arial" w:hAnsi="Arial" w:cs="Arial"/>
          <w:sz w:val="22"/>
          <w:szCs w:val="22"/>
          <w:lang w:val="es-ES"/>
        </w:rPr>
        <w:t xml:space="preserve">Un CIG seguido </w:t>
      </w:r>
      <w:r w:rsidR="00AA784D" w:rsidRPr="00D95727">
        <w:rPr>
          <w:rFonts w:ascii="Arial" w:hAnsi="Arial" w:cs="Arial"/>
          <w:sz w:val="22"/>
          <w:szCs w:val="22"/>
          <w:lang w:val="es-ES"/>
        </w:rPr>
        <w:t>por</w:t>
      </w:r>
      <w:r w:rsidRPr="00D95727">
        <w:rPr>
          <w:rFonts w:ascii="Arial" w:hAnsi="Arial" w:cs="Arial"/>
          <w:sz w:val="22"/>
          <w:szCs w:val="22"/>
          <w:lang w:val="es-ES"/>
        </w:rPr>
        <w:t xml:space="preserve"> la creación de un comité </w:t>
      </w:r>
      <w:r w:rsidR="00AA784D" w:rsidRPr="00D95727">
        <w:rPr>
          <w:rFonts w:ascii="Arial" w:hAnsi="Arial" w:cs="Arial"/>
          <w:sz w:val="22"/>
          <w:szCs w:val="22"/>
          <w:lang w:val="es-ES"/>
        </w:rPr>
        <w:t xml:space="preserve">permanente </w:t>
      </w:r>
      <w:r w:rsidR="00BD0B70" w:rsidRPr="00D95727">
        <w:rPr>
          <w:rFonts w:ascii="Arial" w:hAnsi="Arial" w:cs="Arial"/>
          <w:sz w:val="22"/>
          <w:szCs w:val="22"/>
          <w:lang w:val="es-ES"/>
        </w:rPr>
        <w:t>una vez concluida</w:t>
      </w:r>
      <w:r w:rsidR="00AA784D" w:rsidRPr="00D95727">
        <w:rPr>
          <w:rFonts w:ascii="Arial" w:hAnsi="Arial" w:cs="Arial"/>
          <w:sz w:val="22"/>
          <w:szCs w:val="22"/>
          <w:lang w:val="es-ES"/>
        </w:rPr>
        <w:t xml:space="preserve"> con éxito una conferencia diplomática sobre una o más </w:t>
      </w:r>
      <w:r w:rsidR="007B6B48" w:rsidRPr="00D95727">
        <w:rPr>
          <w:rFonts w:ascii="Arial" w:hAnsi="Arial" w:cs="Arial"/>
          <w:sz w:val="22"/>
          <w:szCs w:val="22"/>
          <w:lang w:val="es-ES"/>
        </w:rPr>
        <w:t>esferas de materias.</w:t>
      </w:r>
    </w:p>
    <w:p w:rsidR="00D16F07" w:rsidRPr="00D95727" w:rsidRDefault="00AA784D" w:rsidP="0024406F">
      <w:pPr>
        <w:numPr>
          <w:ilvl w:val="0"/>
          <w:numId w:val="6"/>
        </w:numPr>
        <w:rPr>
          <w:rFonts w:ascii="Arial" w:hAnsi="Arial" w:cs="Arial"/>
          <w:sz w:val="22"/>
          <w:szCs w:val="22"/>
          <w:lang w:val="es-ES"/>
        </w:rPr>
      </w:pPr>
      <w:r w:rsidRPr="00D95727">
        <w:rPr>
          <w:rFonts w:ascii="Arial" w:hAnsi="Arial" w:cs="Arial"/>
          <w:sz w:val="22"/>
          <w:szCs w:val="22"/>
          <w:lang w:val="es-ES"/>
        </w:rPr>
        <w:t>¿Qué nivel de recursos debe asignarse a la labor futura, y en particular qué número de sesiones y días? (</w:t>
      </w:r>
      <w:r w:rsidR="00F374C7" w:rsidRPr="00D95727">
        <w:rPr>
          <w:rFonts w:ascii="Arial" w:hAnsi="Arial" w:cs="Arial"/>
          <w:sz w:val="22"/>
          <w:szCs w:val="22"/>
          <w:lang w:val="es-ES"/>
        </w:rPr>
        <w:t>Cabe observar</w:t>
      </w:r>
      <w:r w:rsidRPr="00D95727">
        <w:rPr>
          <w:rFonts w:ascii="Arial" w:hAnsi="Arial" w:cs="Arial"/>
          <w:sz w:val="22"/>
          <w:szCs w:val="22"/>
          <w:lang w:val="es-ES"/>
        </w:rPr>
        <w:t xml:space="preserve">, sin embargo, </w:t>
      </w:r>
      <w:r w:rsidR="008E4294" w:rsidRPr="00D95727">
        <w:rPr>
          <w:rFonts w:ascii="Arial" w:hAnsi="Arial" w:cs="Arial"/>
          <w:sz w:val="22"/>
          <w:szCs w:val="22"/>
          <w:lang w:val="es-ES"/>
        </w:rPr>
        <w:t>que</w:t>
      </w:r>
      <w:r w:rsidRPr="00D95727">
        <w:rPr>
          <w:rFonts w:ascii="Arial" w:hAnsi="Arial" w:cs="Arial"/>
          <w:sz w:val="22"/>
          <w:szCs w:val="22"/>
          <w:lang w:val="es-ES"/>
        </w:rPr>
        <w:t xml:space="preserve"> en </w:t>
      </w:r>
      <w:r w:rsidR="008E4294" w:rsidRPr="00D95727">
        <w:rPr>
          <w:rFonts w:ascii="Arial" w:hAnsi="Arial" w:cs="Arial"/>
          <w:sz w:val="22"/>
          <w:szCs w:val="22"/>
          <w:lang w:val="es-ES"/>
        </w:rPr>
        <w:t>esta</w:t>
      </w:r>
      <w:r w:rsidRPr="00D95727">
        <w:rPr>
          <w:rFonts w:ascii="Arial" w:hAnsi="Arial" w:cs="Arial"/>
          <w:sz w:val="22"/>
          <w:szCs w:val="22"/>
          <w:lang w:val="es-ES"/>
        </w:rPr>
        <w:t xml:space="preserve"> fase</w:t>
      </w:r>
      <w:r w:rsidR="00CC6715" w:rsidRPr="00D95727">
        <w:rPr>
          <w:rFonts w:ascii="Arial" w:hAnsi="Arial" w:cs="Arial"/>
          <w:sz w:val="22"/>
          <w:szCs w:val="22"/>
          <w:lang w:val="es-ES"/>
        </w:rPr>
        <w:t xml:space="preserve"> </w:t>
      </w:r>
      <w:r w:rsidR="00F374C7" w:rsidRPr="00D95727">
        <w:rPr>
          <w:rFonts w:ascii="Arial" w:hAnsi="Arial" w:cs="Arial"/>
          <w:sz w:val="22"/>
          <w:szCs w:val="22"/>
          <w:lang w:val="es-ES"/>
        </w:rPr>
        <w:t xml:space="preserve">se podrían mantener los recursos en los niveles actuales </w:t>
      </w:r>
      <w:r w:rsidRPr="00D95727">
        <w:rPr>
          <w:rFonts w:ascii="Arial" w:hAnsi="Arial" w:cs="Arial"/>
          <w:sz w:val="22"/>
          <w:szCs w:val="22"/>
          <w:lang w:val="es-ES"/>
        </w:rPr>
        <w:t>para que el Comité del Programa y Presupuesto pueda examinar el proyec</w:t>
      </w:r>
      <w:r w:rsidR="008E4294" w:rsidRPr="00D95727">
        <w:rPr>
          <w:rFonts w:ascii="Arial" w:hAnsi="Arial" w:cs="Arial"/>
          <w:sz w:val="22"/>
          <w:szCs w:val="22"/>
          <w:lang w:val="es-ES"/>
        </w:rPr>
        <w:t>to de p</w:t>
      </w:r>
      <w:r w:rsidRPr="00D95727">
        <w:rPr>
          <w:rFonts w:ascii="Arial" w:hAnsi="Arial" w:cs="Arial"/>
          <w:sz w:val="22"/>
          <w:szCs w:val="22"/>
          <w:lang w:val="es-ES"/>
        </w:rPr>
        <w:t xml:space="preserve">resupuesto por programas </w:t>
      </w:r>
      <w:r w:rsidR="008E1572" w:rsidRPr="00D95727">
        <w:rPr>
          <w:rFonts w:ascii="Arial" w:hAnsi="Arial" w:cs="Arial"/>
          <w:sz w:val="22"/>
          <w:szCs w:val="22"/>
          <w:lang w:val="es-ES"/>
        </w:rPr>
        <w:t>para </w:t>
      </w:r>
      <w:r w:rsidRPr="00D95727">
        <w:rPr>
          <w:rFonts w:ascii="Arial" w:hAnsi="Arial" w:cs="Arial"/>
          <w:sz w:val="22"/>
          <w:szCs w:val="22"/>
          <w:lang w:val="es-ES"/>
        </w:rPr>
        <w:t xml:space="preserve">2018/2019 sin tener que </w:t>
      </w:r>
      <w:r w:rsidR="00F374C7" w:rsidRPr="00D95727">
        <w:rPr>
          <w:rFonts w:ascii="Arial" w:hAnsi="Arial" w:cs="Arial"/>
          <w:sz w:val="22"/>
          <w:szCs w:val="22"/>
          <w:lang w:val="es-ES"/>
        </w:rPr>
        <w:t>entrar en</w:t>
      </w:r>
      <w:r w:rsidRPr="00D95727">
        <w:rPr>
          <w:rFonts w:ascii="Arial" w:hAnsi="Arial" w:cs="Arial"/>
          <w:sz w:val="22"/>
          <w:szCs w:val="22"/>
          <w:lang w:val="es-ES"/>
        </w:rPr>
        <w:t xml:space="preserve"> cuestiones </w:t>
      </w:r>
      <w:r w:rsidR="00CC6715" w:rsidRPr="00D95727">
        <w:rPr>
          <w:rFonts w:ascii="Arial" w:hAnsi="Arial" w:cs="Arial"/>
          <w:sz w:val="22"/>
          <w:szCs w:val="22"/>
          <w:lang w:val="es-ES"/>
        </w:rPr>
        <w:t xml:space="preserve">complejas </w:t>
      </w:r>
      <w:r w:rsidRPr="00D95727">
        <w:rPr>
          <w:rFonts w:ascii="Arial" w:hAnsi="Arial" w:cs="Arial"/>
          <w:sz w:val="22"/>
          <w:szCs w:val="22"/>
          <w:lang w:val="es-ES"/>
        </w:rPr>
        <w:t>que deben decidirse en la Asamblea General).</w:t>
      </w:r>
    </w:p>
    <w:p w:rsidR="00D16F07" w:rsidRPr="00D95727" w:rsidRDefault="00F374C7" w:rsidP="0024406F">
      <w:pPr>
        <w:numPr>
          <w:ilvl w:val="0"/>
          <w:numId w:val="6"/>
        </w:numPr>
        <w:rPr>
          <w:rFonts w:ascii="Arial" w:hAnsi="Arial" w:cs="Arial"/>
          <w:sz w:val="22"/>
          <w:szCs w:val="22"/>
          <w:lang w:val="es-ES"/>
        </w:rPr>
      </w:pPr>
      <w:r w:rsidRPr="00D95727">
        <w:rPr>
          <w:rFonts w:ascii="Arial" w:hAnsi="Arial" w:cs="Arial"/>
          <w:sz w:val="22"/>
          <w:szCs w:val="22"/>
          <w:lang w:val="es-ES"/>
        </w:rPr>
        <w:t xml:space="preserve">¿Reporta algún beneficio </w:t>
      </w:r>
      <w:r w:rsidR="00CC6715" w:rsidRPr="00D95727">
        <w:rPr>
          <w:rFonts w:ascii="Arial" w:hAnsi="Arial" w:cs="Arial"/>
          <w:sz w:val="22"/>
          <w:szCs w:val="22"/>
          <w:lang w:val="es-ES"/>
        </w:rPr>
        <w:t>organizar</w:t>
      </w:r>
      <w:r w:rsidRPr="00D95727">
        <w:rPr>
          <w:rFonts w:ascii="Arial" w:hAnsi="Arial" w:cs="Arial"/>
          <w:sz w:val="22"/>
          <w:szCs w:val="22"/>
          <w:lang w:val="es-ES"/>
        </w:rPr>
        <w:t xml:space="preserve"> un taller o una reunión fuera de Ginebra o</w:t>
      </w:r>
      <w:r w:rsidR="00CC6715" w:rsidRPr="00D95727">
        <w:rPr>
          <w:rFonts w:ascii="Arial" w:hAnsi="Arial" w:cs="Arial"/>
          <w:sz w:val="22"/>
          <w:szCs w:val="22"/>
          <w:lang w:val="es-ES"/>
        </w:rPr>
        <w:t xml:space="preserve"> </w:t>
      </w:r>
      <w:r w:rsidRPr="00D95727">
        <w:rPr>
          <w:rFonts w:ascii="Arial" w:hAnsi="Arial" w:cs="Arial"/>
          <w:sz w:val="22"/>
          <w:szCs w:val="22"/>
          <w:lang w:val="es-ES"/>
        </w:rPr>
        <w:t xml:space="preserve">reuniones regionales </w:t>
      </w:r>
      <w:r w:rsidR="000A68A0" w:rsidRPr="00D95727">
        <w:rPr>
          <w:rFonts w:ascii="Arial" w:hAnsi="Arial" w:cs="Arial"/>
          <w:sz w:val="22"/>
          <w:szCs w:val="22"/>
          <w:lang w:val="es-ES"/>
        </w:rPr>
        <w:t xml:space="preserve">a los efectos </w:t>
      </w:r>
      <w:r w:rsidRPr="00D95727">
        <w:rPr>
          <w:rFonts w:ascii="Arial" w:hAnsi="Arial" w:cs="Arial"/>
          <w:sz w:val="22"/>
          <w:szCs w:val="22"/>
          <w:lang w:val="es-ES"/>
        </w:rPr>
        <w:t xml:space="preserve">de </w:t>
      </w:r>
      <w:r w:rsidR="000A68A0" w:rsidRPr="00D95727">
        <w:rPr>
          <w:rFonts w:ascii="Arial" w:hAnsi="Arial" w:cs="Arial"/>
          <w:sz w:val="22"/>
          <w:szCs w:val="22"/>
          <w:lang w:val="es-ES"/>
        </w:rPr>
        <w:t xml:space="preserve">lograr una mayor implicación </w:t>
      </w:r>
      <w:r w:rsidR="00CC6715" w:rsidRPr="00D95727">
        <w:rPr>
          <w:rFonts w:ascii="Arial" w:hAnsi="Arial" w:cs="Arial"/>
          <w:sz w:val="22"/>
          <w:szCs w:val="22"/>
          <w:lang w:val="es-ES"/>
        </w:rPr>
        <w:t>de instancias políticas con base en las</w:t>
      </w:r>
      <w:r w:rsidR="002A4FEC" w:rsidRPr="00D95727">
        <w:rPr>
          <w:rFonts w:ascii="Arial" w:hAnsi="Arial" w:cs="Arial"/>
          <w:sz w:val="22"/>
          <w:szCs w:val="22"/>
          <w:lang w:val="es-ES"/>
        </w:rPr>
        <w:t xml:space="preserve"> capitales</w:t>
      </w:r>
      <w:r w:rsidR="004736FE" w:rsidRPr="00D95727">
        <w:rPr>
          <w:rFonts w:ascii="Arial" w:hAnsi="Arial" w:cs="Arial"/>
          <w:sz w:val="22"/>
          <w:szCs w:val="22"/>
          <w:lang w:val="es-ES"/>
        </w:rPr>
        <w:t xml:space="preserve">? </w:t>
      </w:r>
    </w:p>
    <w:p w:rsidR="00D16F07" w:rsidRPr="00D95727" w:rsidRDefault="00D16F07" w:rsidP="007330CE">
      <w:pPr>
        <w:rPr>
          <w:rFonts w:ascii="Arial" w:hAnsi="Arial" w:cs="Arial"/>
          <w:sz w:val="22"/>
          <w:szCs w:val="22"/>
          <w:lang w:val="es-ES"/>
        </w:rPr>
      </w:pPr>
    </w:p>
    <w:p w:rsidR="00D16F07" w:rsidRPr="00D95727" w:rsidRDefault="00F7026B" w:rsidP="00330B2E">
      <w:pPr>
        <w:keepNext/>
        <w:outlineLvl w:val="0"/>
        <w:rPr>
          <w:rFonts w:ascii="Arial" w:hAnsi="Arial" w:cs="Arial"/>
          <w:b/>
          <w:sz w:val="22"/>
          <w:szCs w:val="22"/>
          <w:u w:val="single"/>
          <w:lang w:val="es-ES"/>
        </w:rPr>
      </w:pPr>
      <w:r w:rsidRPr="00D95727">
        <w:rPr>
          <w:rFonts w:ascii="Arial" w:hAnsi="Arial" w:cs="Arial"/>
          <w:b/>
          <w:sz w:val="22"/>
          <w:szCs w:val="22"/>
          <w:u w:val="single"/>
          <w:lang w:val="es-ES"/>
        </w:rPr>
        <w:lastRenderedPageBreak/>
        <w:t>Lecciones extraídas del mandato actual</w:t>
      </w:r>
    </w:p>
    <w:p w:rsidR="00D16F07" w:rsidRPr="00D95727" w:rsidRDefault="00D16F07" w:rsidP="00330B2E">
      <w:pPr>
        <w:keepNext/>
        <w:rPr>
          <w:rFonts w:ascii="Arial" w:hAnsi="Arial" w:cs="Arial"/>
          <w:sz w:val="22"/>
          <w:szCs w:val="22"/>
          <w:lang w:val="es-ES"/>
        </w:rPr>
      </w:pPr>
    </w:p>
    <w:p w:rsidR="00D16F07" w:rsidRPr="00D95727" w:rsidRDefault="002F0864" w:rsidP="00330B2E">
      <w:pPr>
        <w:keepNext/>
        <w:rPr>
          <w:rFonts w:ascii="Arial" w:hAnsi="Arial" w:cs="Arial"/>
          <w:sz w:val="22"/>
          <w:szCs w:val="22"/>
          <w:lang w:val="es-ES"/>
        </w:rPr>
      </w:pPr>
      <w:r w:rsidRPr="00D95727">
        <w:rPr>
          <w:rFonts w:ascii="Arial" w:hAnsi="Arial" w:cs="Arial"/>
          <w:sz w:val="22"/>
          <w:szCs w:val="22"/>
          <w:lang w:val="es-ES"/>
        </w:rPr>
        <w:t xml:space="preserve">Además de las cuestiones anteriores, los Estados miembros </w:t>
      </w:r>
      <w:r w:rsidR="001A75BC" w:rsidRPr="00D95727">
        <w:rPr>
          <w:rFonts w:ascii="Arial" w:hAnsi="Arial" w:cs="Arial"/>
          <w:sz w:val="22"/>
          <w:szCs w:val="22"/>
          <w:lang w:val="es-ES"/>
        </w:rPr>
        <w:t>tal vez estimen oportuno</w:t>
      </w:r>
      <w:r w:rsidRPr="00D95727">
        <w:rPr>
          <w:rFonts w:ascii="Arial" w:hAnsi="Arial" w:cs="Arial"/>
          <w:sz w:val="22"/>
          <w:szCs w:val="22"/>
          <w:lang w:val="es-ES"/>
        </w:rPr>
        <w:t xml:space="preserve"> examinar las lecciones extraídas de la labor que ha </w:t>
      </w:r>
      <w:r w:rsidR="007E3615" w:rsidRPr="00D95727">
        <w:rPr>
          <w:rFonts w:ascii="Arial" w:hAnsi="Arial" w:cs="Arial"/>
          <w:sz w:val="22"/>
          <w:szCs w:val="22"/>
          <w:lang w:val="es-ES"/>
        </w:rPr>
        <w:t>llevado a cabo</w:t>
      </w:r>
      <w:r w:rsidRPr="00D95727">
        <w:rPr>
          <w:rFonts w:ascii="Arial" w:hAnsi="Arial" w:cs="Arial"/>
          <w:sz w:val="22"/>
          <w:szCs w:val="22"/>
          <w:lang w:val="es-ES"/>
        </w:rPr>
        <w:t xml:space="preserve"> el Comité durante el </w:t>
      </w:r>
      <w:r w:rsidR="007E3615" w:rsidRPr="00D95727">
        <w:rPr>
          <w:rFonts w:ascii="Arial" w:hAnsi="Arial" w:cs="Arial"/>
          <w:sz w:val="22"/>
          <w:szCs w:val="22"/>
          <w:lang w:val="es-ES"/>
        </w:rPr>
        <w:t xml:space="preserve">vigente </w:t>
      </w:r>
      <w:r w:rsidRPr="00D95727">
        <w:rPr>
          <w:rFonts w:ascii="Arial" w:hAnsi="Arial" w:cs="Arial"/>
          <w:sz w:val="22"/>
          <w:szCs w:val="22"/>
          <w:lang w:val="es-ES"/>
        </w:rPr>
        <w:t>mandato</w:t>
      </w:r>
      <w:r w:rsidR="00F515BE" w:rsidRPr="00D95727">
        <w:rPr>
          <w:rFonts w:ascii="Arial" w:hAnsi="Arial" w:cs="Arial"/>
          <w:sz w:val="22"/>
          <w:szCs w:val="22"/>
          <w:lang w:val="es-ES"/>
        </w:rPr>
        <w:t xml:space="preserve">.  </w:t>
      </w:r>
      <w:r w:rsidR="007E3615" w:rsidRPr="00D95727">
        <w:rPr>
          <w:rFonts w:ascii="Arial" w:hAnsi="Arial" w:cs="Arial"/>
          <w:sz w:val="22"/>
          <w:szCs w:val="22"/>
          <w:lang w:val="es-ES"/>
        </w:rPr>
        <w:t>En mi opinión</w:t>
      </w:r>
      <w:r w:rsidRPr="00D95727">
        <w:rPr>
          <w:rFonts w:ascii="Arial" w:hAnsi="Arial" w:cs="Arial"/>
          <w:sz w:val="22"/>
          <w:szCs w:val="22"/>
          <w:lang w:val="es-ES"/>
        </w:rPr>
        <w:t xml:space="preserve">, uno de los aspectos </w:t>
      </w:r>
      <w:r w:rsidR="007E3615" w:rsidRPr="00D95727">
        <w:rPr>
          <w:rFonts w:ascii="Arial" w:hAnsi="Arial" w:cs="Arial"/>
          <w:sz w:val="22"/>
          <w:szCs w:val="22"/>
          <w:lang w:val="es-ES"/>
        </w:rPr>
        <w:t xml:space="preserve">más </w:t>
      </w:r>
      <w:r w:rsidRPr="00D95727">
        <w:rPr>
          <w:rFonts w:ascii="Arial" w:hAnsi="Arial" w:cs="Arial"/>
          <w:sz w:val="22"/>
          <w:szCs w:val="22"/>
          <w:lang w:val="es-ES"/>
        </w:rPr>
        <w:t xml:space="preserve">positivos ha sido la posibilidad de </w:t>
      </w:r>
      <w:r w:rsidR="00AB518A" w:rsidRPr="00D95727">
        <w:rPr>
          <w:rFonts w:ascii="Arial" w:hAnsi="Arial" w:cs="Arial"/>
          <w:sz w:val="22"/>
          <w:szCs w:val="22"/>
          <w:lang w:val="es-ES"/>
        </w:rPr>
        <w:t>centrarnos en</w:t>
      </w:r>
      <w:r w:rsidRPr="00D95727">
        <w:rPr>
          <w:rFonts w:ascii="Arial" w:hAnsi="Arial" w:cs="Arial"/>
          <w:sz w:val="22"/>
          <w:szCs w:val="22"/>
          <w:lang w:val="es-ES"/>
        </w:rPr>
        <w:t xml:space="preserve"> nuestra labor a lo largo del bienio sin</w:t>
      </w:r>
      <w:r w:rsidR="00713CE2" w:rsidRPr="00D95727">
        <w:rPr>
          <w:rFonts w:ascii="Arial" w:hAnsi="Arial" w:cs="Arial"/>
          <w:sz w:val="22"/>
          <w:szCs w:val="22"/>
          <w:lang w:val="es-ES"/>
        </w:rPr>
        <w:t xml:space="preserve"> </w:t>
      </w:r>
      <w:r w:rsidR="00AB518A" w:rsidRPr="00D95727">
        <w:rPr>
          <w:rFonts w:ascii="Arial" w:hAnsi="Arial" w:cs="Arial"/>
          <w:sz w:val="22"/>
          <w:szCs w:val="22"/>
          <w:lang w:val="es-ES"/>
        </w:rPr>
        <w:t>tener que</w:t>
      </w:r>
      <w:r w:rsidRPr="00D95727">
        <w:rPr>
          <w:rFonts w:ascii="Arial" w:hAnsi="Arial" w:cs="Arial"/>
          <w:sz w:val="22"/>
          <w:szCs w:val="22"/>
          <w:lang w:val="es-ES"/>
        </w:rPr>
        <w:t xml:space="preserve"> renegociar</w:t>
      </w:r>
      <w:r w:rsidR="00AB518A" w:rsidRPr="00D95727">
        <w:rPr>
          <w:rFonts w:ascii="Arial" w:hAnsi="Arial" w:cs="Arial"/>
          <w:sz w:val="22"/>
          <w:szCs w:val="22"/>
          <w:lang w:val="es-ES"/>
        </w:rPr>
        <w:t xml:space="preserve"> </w:t>
      </w:r>
      <w:r w:rsidRPr="00D95727">
        <w:rPr>
          <w:rFonts w:ascii="Arial" w:hAnsi="Arial" w:cs="Arial"/>
          <w:sz w:val="22"/>
          <w:szCs w:val="22"/>
          <w:lang w:val="es-ES"/>
        </w:rPr>
        <w:t>nuestro programa de trabajo o solicitar orientaciones a la Asamblea General</w:t>
      </w:r>
      <w:r w:rsidR="00AB518A" w:rsidRPr="00D95727">
        <w:rPr>
          <w:rFonts w:ascii="Arial" w:hAnsi="Arial" w:cs="Arial"/>
          <w:sz w:val="22"/>
          <w:szCs w:val="22"/>
          <w:lang w:val="es-ES"/>
        </w:rPr>
        <w:t xml:space="preserve"> cada año</w:t>
      </w:r>
      <w:r w:rsidR="00713CE2" w:rsidRPr="00D95727">
        <w:rPr>
          <w:rFonts w:ascii="Arial" w:hAnsi="Arial" w:cs="Arial"/>
          <w:sz w:val="22"/>
          <w:szCs w:val="22"/>
          <w:lang w:val="es-ES"/>
        </w:rPr>
        <w:t xml:space="preserve">, lo que ha contribuido de manera muy constructiva a </w:t>
      </w:r>
      <w:r w:rsidRPr="00D95727">
        <w:rPr>
          <w:rFonts w:ascii="Arial" w:hAnsi="Arial" w:cs="Arial"/>
          <w:sz w:val="22"/>
          <w:szCs w:val="22"/>
          <w:lang w:val="es-ES"/>
        </w:rPr>
        <w:t xml:space="preserve">dar continuidad a nuestra labor y a que no nos </w:t>
      </w:r>
      <w:r w:rsidR="00713CE2" w:rsidRPr="00D95727">
        <w:rPr>
          <w:rFonts w:ascii="Arial" w:hAnsi="Arial" w:cs="Arial"/>
          <w:sz w:val="22"/>
          <w:szCs w:val="22"/>
          <w:lang w:val="es-ES"/>
        </w:rPr>
        <w:t>distrajéramos con</w:t>
      </w:r>
      <w:r w:rsidRPr="00D95727">
        <w:rPr>
          <w:rFonts w:ascii="Arial" w:hAnsi="Arial" w:cs="Arial"/>
          <w:sz w:val="22"/>
          <w:szCs w:val="22"/>
          <w:lang w:val="es-ES"/>
        </w:rPr>
        <w:t xml:space="preserve"> debates de procedimiento</w:t>
      </w:r>
      <w:r w:rsidR="00F515BE" w:rsidRPr="00D95727">
        <w:rPr>
          <w:rFonts w:ascii="Arial" w:hAnsi="Arial" w:cs="Arial"/>
          <w:sz w:val="22"/>
          <w:szCs w:val="22"/>
          <w:lang w:val="es-ES"/>
        </w:rPr>
        <w:t xml:space="preserve">.  </w:t>
      </w:r>
      <w:r w:rsidR="00582F2E" w:rsidRPr="00D95727">
        <w:rPr>
          <w:rFonts w:ascii="Arial" w:hAnsi="Arial" w:cs="Arial"/>
          <w:sz w:val="22"/>
          <w:szCs w:val="22"/>
          <w:lang w:val="es-ES"/>
        </w:rPr>
        <w:t xml:space="preserve">La labor del Comité ha </w:t>
      </w:r>
      <w:r w:rsidR="00713CE2" w:rsidRPr="00D95727">
        <w:rPr>
          <w:rFonts w:ascii="Arial" w:hAnsi="Arial" w:cs="Arial"/>
          <w:sz w:val="22"/>
          <w:szCs w:val="22"/>
          <w:lang w:val="es-ES"/>
        </w:rPr>
        <w:t>encontrado</w:t>
      </w:r>
      <w:r w:rsidR="00582F2E" w:rsidRPr="00D95727">
        <w:rPr>
          <w:rFonts w:ascii="Arial" w:hAnsi="Arial" w:cs="Arial"/>
          <w:sz w:val="22"/>
          <w:szCs w:val="22"/>
          <w:lang w:val="es-ES"/>
        </w:rPr>
        <w:t xml:space="preserve"> también </w:t>
      </w:r>
      <w:r w:rsidR="00713CE2" w:rsidRPr="00D95727">
        <w:rPr>
          <w:rFonts w:ascii="Arial" w:hAnsi="Arial" w:cs="Arial"/>
          <w:sz w:val="22"/>
          <w:szCs w:val="22"/>
          <w:lang w:val="es-ES"/>
        </w:rPr>
        <w:t>un gran apoyo en</w:t>
      </w:r>
      <w:r w:rsidR="00582F2E" w:rsidRPr="00D95727">
        <w:rPr>
          <w:rFonts w:ascii="Arial" w:hAnsi="Arial" w:cs="Arial"/>
          <w:sz w:val="22"/>
          <w:szCs w:val="22"/>
          <w:lang w:val="es-ES"/>
        </w:rPr>
        <w:t xml:space="preserve"> los seminarios </w:t>
      </w:r>
      <w:r w:rsidR="00713CE2" w:rsidRPr="00D95727">
        <w:rPr>
          <w:rFonts w:ascii="Arial" w:hAnsi="Arial" w:cs="Arial"/>
          <w:sz w:val="22"/>
          <w:szCs w:val="22"/>
          <w:lang w:val="es-ES"/>
        </w:rPr>
        <w:t>que ha organizado</w:t>
      </w:r>
      <w:r w:rsidR="00582F2E" w:rsidRPr="00D95727">
        <w:rPr>
          <w:rFonts w:ascii="Arial" w:hAnsi="Arial" w:cs="Arial"/>
          <w:sz w:val="22"/>
          <w:szCs w:val="22"/>
          <w:lang w:val="es-ES"/>
        </w:rPr>
        <w:t xml:space="preserve"> la Secretaría de la OMPI sobre </w:t>
      </w:r>
      <w:r w:rsidR="00AB518A" w:rsidRPr="00D95727">
        <w:rPr>
          <w:rFonts w:ascii="Arial" w:hAnsi="Arial" w:cs="Arial"/>
          <w:sz w:val="22"/>
          <w:szCs w:val="22"/>
          <w:lang w:val="es-ES"/>
        </w:rPr>
        <w:t>las distintas materias y</w:t>
      </w:r>
      <w:r w:rsidR="00582F2E" w:rsidRPr="00D95727">
        <w:rPr>
          <w:rFonts w:ascii="Arial" w:hAnsi="Arial" w:cs="Arial"/>
          <w:sz w:val="22"/>
          <w:szCs w:val="22"/>
          <w:lang w:val="es-ES"/>
        </w:rPr>
        <w:t xml:space="preserve"> </w:t>
      </w:r>
      <w:r w:rsidR="00C63364" w:rsidRPr="00D95727">
        <w:rPr>
          <w:rFonts w:ascii="Arial" w:hAnsi="Arial" w:cs="Arial"/>
          <w:sz w:val="22"/>
          <w:szCs w:val="22"/>
          <w:lang w:val="es-ES"/>
        </w:rPr>
        <w:t>en los diversos</w:t>
      </w:r>
      <w:r w:rsidR="00582F2E" w:rsidRPr="00D95727">
        <w:rPr>
          <w:rFonts w:ascii="Arial" w:hAnsi="Arial" w:cs="Arial"/>
          <w:sz w:val="22"/>
          <w:szCs w:val="22"/>
          <w:lang w:val="es-ES"/>
        </w:rPr>
        <w:t xml:space="preserve"> talleres informales </w:t>
      </w:r>
      <w:r w:rsidR="00C63364" w:rsidRPr="00D95727">
        <w:rPr>
          <w:rFonts w:ascii="Arial" w:hAnsi="Arial" w:cs="Arial"/>
          <w:sz w:val="22"/>
          <w:szCs w:val="22"/>
          <w:lang w:val="es-ES"/>
        </w:rPr>
        <w:t xml:space="preserve">que han </w:t>
      </w:r>
      <w:r w:rsidR="00AB518A" w:rsidRPr="00D95727">
        <w:rPr>
          <w:rFonts w:ascii="Arial" w:hAnsi="Arial" w:cs="Arial"/>
          <w:sz w:val="22"/>
          <w:szCs w:val="22"/>
          <w:lang w:val="es-ES"/>
        </w:rPr>
        <w:t>ofrecido</w:t>
      </w:r>
      <w:r w:rsidR="00C63364" w:rsidRPr="00D95727">
        <w:rPr>
          <w:rFonts w:ascii="Arial" w:hAnsi="Arial" w:cs="Arial"/>
          <w:sz w:val="22"/>
          <w:szCs w:val="22"/>
          <w:lang w:val="es-ES"/>
        </w:rPr>
        <w:t xml:space="preserve"> los</w:t>
      </w:r>
      <w:r w:rsidR="00582F2E" w:rsidRPr="00D95727">
        <w:rPr>
          <w:rFonts w:ascii="Arial" w:hAnsi="Arial" w:cs="Arial"/>
          <w:sz w:val="22"/>
          <w:szCs w:val="22"/>
          <w:lang w:val="es-ES"/>
        </w:rPr>
        <w:t xml:space="preserve"> Estados miembros antes de las </w:t>
      </w:r>
      <w:r w:rsidR="00C83512" w:rsidRPr="00D95727">
        <w:rPr>
          <w:rFonts w:ascii="Arial" w:hAnsi="Arial" w:cs="Arial"/>
          <w:sz w:val="22"/>
          <w:szCs w:val="22"/>
          <w:lang w:val="es-ES"/>
        </w:rPr>
        <w:t>sesiones del</w:t>
      </w:r>
      <w:r w:rsidR="00582F2E" w:rsidRPr="00D95727">
        <w:rPr>
          <w:rFonts w:ascii="Arial" w:hAnsi="Arial" w:cs="Arial"/>
          <w:sz w:val="22"/>
          <w:szCs w:val="22"/>
          <w:lang w:val="es-ES"/>
        </w:rPr>
        <w:t xml:space="preserve"> CIG</w:t>
      </w:r>
      <w:r w:rsidR="00AB518A" w:rsidRPr="00D95727">
        <w:rPr>
          <w:rFonts w:ascii="Arial" w:hAnsi="Arial" w:cs="Arial"/>
          <w:sz w:val="22"/>
          <w:szCs w:val="22"/>
          <w:lang w:val="es-ES"/>
        </w:rPr>
        <w:t>, que han proporcionado</w:t>
      </w:r>
      <w:r w:rsidR="00582F2E" w:rsidRPr="00D95727">
        <w:rPr>
          <w:rFonts w:ascii="Arial" w:hAnsi="Arial" w:cs="Arial"/>
          <w:sz w:val="22"/>
          <w:szCs w:val="22"/>
          <w:lang w:val="es-ES"/>
        </w:rPr>
        <w:t xml:space="preserve"> un contexto menos formal para deliberar y </w:t>
      </w:r>
      <w:r w:rsidR="00C83512" w:rsidRPr="00D95727">
        <w:rPr>
          <w:rFonts w:ascii="Arial" w:hAnsi="Arial" w:cs="Arial"/>
          <w:sz w:val="22"/>
          <w:szCs w:val="22"/>
          <w:lang w:val="es-ES"/>
        </w:rPr>
        <w:t>alcanzar punto</w:t>
      </w:r>
      <w:r w:rsidR="00AB518A" w:rsidRPr="00D95727">
        <w:rPr>
          <w:rFonts w:ascii="Arial" w:hAnsi="Arial" w:cs="Arial"/>
          <w:sz w:val="22"/>
          <w:szCs w:val="22"/>
          <w:lang w:val="es-ES"/>
        </w:rPr>
        <w:t>s</w:t>
      </w:r>
      <w:r w:rsidR="00C83512" w:rsidRPr="00D95727">
        <w:rPr>
          <w:rFonts w:ascii="Arial" w:hAnsi="Arial" w:cs="Arial"/>
          <w:sz w:val="22"/>
          <w:szCs w:val="22"/>
          <w:lang w:val="es-ES"/>
        </w:rPr>
        <w:t xml:space="preserve"> de vista com</w:t>
      </w:r>
      <w:r w:rsidR="00AB518A" w:rsidRPr="00D95727">
        <w:rPr>
          <w:rFonts w:ascii="Arial" w:hAnsi="Arial" w:cs="Arial"/>
          <w:sz w:val="22"/>
          <w:szCs w:val="22"/>
          <w:lang w:val="es-ES"/>
        </w:rPr>
        <w:t>unes</w:t>
      </w:r>
      <w:r w:rsidR="00582F2E" w:rsidRPr="00D95727">
        <w:rPr>
          <w:rFonts w:ascii="Arial" w:hAnsi="Arial" w:cs="Arial"/>
          <w:sz w:val="22"/>
          <w:szCs w:val="22"/>
          <w:lang w:val="es-ES"/>
        </w:rPr>
        <w:t xml:space="preserve"> sobre </w:t>
      </w:r>
      <w:r w:rsidR="00C83512" w:rsidRPr="00D95727">
        <w:rPr>
          <w:rFonts w:ascii="Arial" w:hAnsi="Arial" w:cs="Arial"/>
          <w:sz w:val="22"/>
          <w:szCs w:val="22"/>
          <w:lang w:val="es-ES"/>
        </w:rPr>
        <w:t xml:space="preserve">las </w:t>
      </w:r>
      <w:r w:rsidR="00582F2E" w:rsidRPr="00D95727">
        <w:rPr>
          <w:rFonts w:ascii="Arial" w:hAnsi="Arial" w:cs="Arial"/>
          <w:sz w:val="22"/>
          <w:szCs w:val="22"/>
          <w:lang w:val="es-ES"/>
        </w:rPr>
        <w:t>cuestiones esenciales</w:t>
      </w:r>
      <w:r w:rsidR="00C83512" w:rsidRPr="00D95727">
        <w:rPr>
          <w:rFonts w:ascii="Arial" w:hAnsi="Arial" w:cs="Arial"/>
          <w:sz w:val="22"/>
          <w:szCs w:val="22"/>
          <w:lang w:val="es-ES"/>
        </w:rPr>
        <w:t>,</w:t>
      </w:r>
      <w:r w:rsidR="00582F2E" w:rsidRPr="00D95727">
        <w:rPr>
          <w:rFonts w:ascii="Arial" w:hAnsi="Arial" w:cs="Arial"/>
          <w:sz w:val="22"/>
          <w:szCs w:val="22"/>
          <w:lang w:val="es-ES"/>
        </w:rPr>
        <w:t xml:space="preserve"> y </w:t>
      </w:r>
      <w:r w:rsidR="001732BF" w:rsidRPr="00D95727">
        <w:rPr>
          <w:rFonts w:ascii="Arial" w:hAnsi="Arial" w:cs="Arial"/>
          <w:sz w:val="22"/>
          <w:szCs w:val="22"/>
          <w:lang w:val="es-ES"/>
        </w:rPr>
        <w:t>han facilitado</w:t>
      </w:r>
      <w:r w:rsidR="00AB518A" w:rsidRPr="00D95727">
        <w:rPr>
          <w:rFonts w:ascii="Arial" w:hAnsi="Arial" w:cs="Arial"/>
          <w:sz w:val="22"/>
          <w:szCs w:val="22"/>
          <w:lang w:val="es-ES"/>
        </w:rPr>
        <w:t xml:space="preserve"> que se reduzcan</w:t>
      </w:r>
      <w:r w:rsidR="00582F2E" w:rsidRPr="00D95727">
        <w:rPr>
          <w:rFonts w:ascii="Arial" w:hAnsi="Arial" w:cs="Arial"/>
          <w:sz w:val="22"/>
          <w:szCs w:val="22"/>
          <w:lang w:val="es-ES"/>
        </w:rPr>
        <w:t xml:space="preserve"> las </w:t>
      </w:r>
      <w:r w:rsidR="00C83512" w:rsidRPr="00D95727">
        <w:rPr>
          <w:rFonts w:ascii="Arial" w:hAnsi="Arial" w:cs="Arial"/>
          <w:sz w:val="22"/>
          <w:szCs w:val="22"/>
          <w:lang w:val="es-ES"/>
        </w:rPr>
        <w:t>diferencias</w:t>
      </w:r>
      <w:r w:rsidR="00582F2E" w:rsidRPr="00D95727">
        <w:rPr>
          <w:rFonts w:ascii="Arial" w:hAnsi="Arial" w:cs="Arial"/>
          <w:sz w:val="22"/>
          <w:szCs w:val="22"/>
          <w:lang w:val="es-ES"/>
        </w:rPr>
        <w:t xml:space="preserve"> que </w:t>
      </w:r>
      <w:r w:rsidR="00C83512" w:rsidRPr="00D95727">
        <w:rPr>
          <w:rFonts w:ascii="Arial" w:hAnsi="Arial" w:cs="Arial"/>
          <w:sz w:val="22"/>
          <w:szCs w:val="22"/>
          <w:lang w:val="es-ES"/>
        </w:rPr>
        <w:t>reflejan</w:t>
      </w:r>
      <w:r w:rsidR="00AB518A" w:rsidRPr="00D95727">
        <w:rPr>
          <w:rFonts w:ascii="Arial" w:hAnsi="Arial" w:cs="Arial"/>
          <w:sz w:val="22"/>
          <w:szCs w:val="22"/>
          <w:lang w:val="es-ES"/>
        </w:rPr>
        <w:t xml:space="preserve"> </w:t>
      </w:r>
      <w:r w:rsidR="00C83512" w:rsidRPr="00D95727">
        <w:rPr>
          <w:rFonts w:ascii="Arial" w:hAnsi="Arial" w:cs="Arial"/>
          <w:sz w:val="22"/>
          <w:szCs w:val="22"/>
          <w:lang w:val="es-ES"/>
        </w:rPr>
        <w:t>los textos en áreas</w:t>
      </w:r>
      <w:r w:rsidR="00582F2E" w:rsidRPr="00D95727">
        <w:rPr>
          <w:rFonts w:ascii="Arial" w:hAnsi="Arial" w:cs="Arial"/>
          <w:sz w:val="22"/>
          <w:szCs w:val="22"/>
          <w:lang w:val="es-ES"/>
        </w:rPr>
        <w:t xml:space="preserve"> esenciales</w:t>
      </w:r>
      <w:r w:rsidR="00C83512" w:rsidRPr="00D95727">
        <w:rPr>
          <w:rFonts w:ascii="Arial" w:hAnsi="Arial" w:cs="Arial"/>
          <w:sz w:val="22"/>
          <w:szCs w:val="22"/>
          <w:lang w:val="es-ES"/>
        </w:rPr>
        <w:t xml:space="preserve">, </w:t>
      </w:r>
      <w:r w:rsidR="00582F2E" w:rsidRPr="00D95727">
        <w:rPr>
          <w:rFonts w:ascii="Arial" w:hAnsi="Arial" w:cs="Arial"/>
          <w:sz w:val="22"/>
          <w:szCs w:val="22"/>
          <w:lang w:val="es-ES"/>
        </w:rPr>
        <w:t>aunque todavía hay que alcanzar una mayor convergencia</w:t>
      </w:r>
      <w:r w:rsidR="00F515BE" w:rsidRPr="00D95727">
        <w:rPr>
          <w:rFonts w:ascii="Arial" w:hAnsi="Arial" w:cs="Arial"/>
          <w:sz w:val="22"/>
          <w:szCs w:val="22"/>
          <w:lang w:val="es-ES"/>
        </w:rPr>
        <w:t xml:space="preserve">.  </w:t>
      </w:r>
    </w:p>
    <w:p w:rsidR="00D16F07" w:rsidRPr="00D95727" w:rsidRDefault="00D16F07" w:rsidP="007330CE">
      <w:pPr>
        <w:rPr>
          <w:rFonts w:ascii="Arial" w:hAnsi="Arial" w:cs="Arial"/>
          <w:sz w:val="22"/>
          <w:szCs w:val="22"/>
          <w:lang w:val="es-ES"/>
        </w:rPr>
      </w:pPr>
    </w:p>
    <w:p w:rsidR="00D16F07" w:rsidRPr="00D95727" w:rsidRDefault="007916C6" w:rsidP="007330CE">
      <w:pPr>
        <w:rPr>
          <w:rFonts w:ascii="Arial" w:hAnsi="Arial" w:cs="Arial"/>
          <w:sz w:val="22"/>
          <w:szCs w:val="22"/>
          <w:lang w:val="es-ES"/>
        </w:rPr>
      </w:pPr>
      <w:r w:rsidRPr="00D95727">
        <w:rPr>
          <w:rFonts w:ascii="Arial" w:hAnsi="Arial" w:cs="Arial"/>
          <w:sz w:val="22"/>
          <w:szCs w:val="22"/>
          <w:lang w:val="es-ES"/>
        </w:rPr>
        <w:t xml:space="preserve">También podríamos examinar si el mandato </w:t>
      </w:r>
      <w:r w:rsidR="001732BF" w:rsidRPr="00D95727">
        <w:rPr>
          <w:rFonts w:ascii="Arial" w:hAnsi="Arial" w:cs="Arial"/>
          <w:sz w:val="22"/>
          <w:szCs w:val="22"/>
          <w:lang w:val="es-ES"/>
        </w:rPr>
        <w:t xml:space="preserve">en sí mismo </w:t>
      </w:r>
      <w:r w:rsidRPr="00D95727">
        <w:rPr>
          <w:rFonts w:ascii="Arial" w:hAnsi="Arial" w:cs="Arial"/>
          <w:sz w:val="22"/>
          <w:szCs w:val="22"/>
          <w:lang w:val="es-ES"/>
        </w:rPr>
        <w:t>era suficientemente claro</w:t>
      </w:r>
      <w:r w:rsidR="001732BF" w:rsidRPr="00D95727">
        <w:rPr>
          <w:rFonts w:ascii="Arial" w:hAnsi="Arial" w:cs="Arial"/>
          <w:sz w:val="22"/>
          <w:szCs w:val="22"/>
          <w:lang w:val="es-ES"/>
        </w:rPr>
        <w:t xml:space="preserve"> en cuanto a</w:t>
      </w:r>
      <w:r w:rsidRPr="00D95727">
        <w:rPr>
          <w:rFonts w:ascii="Arial" w:hAnsi="Arial" w:cs="Arial"/>
          <w:sz w:val="22"/>
          <w:szCs w:val="22"/>
          <w:lang w:val="es-ES"/>
        </w:rPr>
        <w:t xml:space="preserve"> la finalidad y </w:t>
      </w:r>
      <w:r w:rsidR="00F24DD4" w:rsidRPr="00D95727">
        <w:rPr>
          <w:rFonts w:ascii="Arial" w:hAnsi="Arial" w:cs="Arial"/>
          <w:sz w:val="22"/>
          <w:szCs w:val="22"/>
          <w:lang w:val="es-ES"/>
        </w:rPr>
        <w:t>el enfoque</w:t>
      </w:r>
      <w:r w:rsidR="001732BF" w:rsidRPr="00D95727">
        <w:rPr>
          <w:rFonts w:ascii="Arial" w:hAnsi="Arial" w:cs="Arial"/>
          <w:sz w:val="22"/>
          <w:szCs w:val="22"/>
          <w:lang w:val="es-ES"/>
        </w:rPr>
        <w:t xml:space="preserve"> </w:t>
      </w:r>
      <w:r w:rsidRPr="00D95727">
        <w:rPr>
          <w:rFonts w:ascii="Arial" w:hAnsi="Arial" w:cs="Arial"/>
          <w:sz w:val="22"/>
          <w:szCs w:val="22"/>
          <w:lang w:val="es-ES"/>
        </w:rPr>
        <w:t>de nuestra labor</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El mandato actual </w:t>
      </w:r>
      <w:r w:rsidR="001732BF" w:rsidRPr="00D95727">
        <w:rPr>
          <w:rFonts w:ascii="Arial" w:hAnsi="Arial" w:cs="Arial"/>
          <w:sz w:val="22"/>
          <w:szCs w:val="22"/>
          <w:lang w:val="es-ES"/>
        </w:rPr>
        <w:t>señala</w:t>
      </w:r>
      <w:r w:rsidRPr="00D95727">
        <w:rPr>
          <w:rFonts w:ascii="Arial" w:hAnsi="Arial" w:cs="Arial"/>
          <w:sz w:val="22"/>
          <w:szCs w:val="22"/>
          <w:lang w:val="es-ES"/>
        </w:rPr>
        <w:t xml:space="preserve"> dos </w:t>
      </w:r>
      <w:r w:rsidR="00174571" w:rsidRPr="00D95727">
        <w:rPr>
          <w:rFonts w:ascii="Arial" w:hAnsi="Arial" w:cs="Arial"/>
          <w:sz w:val="22"/>
          <w:szCs w:val="22"/>
          <w:lang w:val="es-ES"/>
        </w:rPr>
        <w:t>centros de interés</w:t>
      </w:r>
      <w:r w:rsidR="001732BF" w:rsidRPr="00D95727">
        <w:rPr>
          <w:rFonts w:ascii="Arial" w:hAnsi="Arial" w:cs="Arial"/>
          <w:sz w:val="22"/>
          <w:szCs w:val="22"/>
          <w:lang w:val="es-ES"/>
        </w:rPr>
        <w:t xml:space="preserve"> </w:t>
      </w:r>
      <w:r w:rsidR="008B7FFC" w:rsidRPr="00D95727">
        <w:rPr>
          <w:rFonts w:ascii="Arial" w:hAnsi="Arial" w:cs="Arial"/>
          <w:sz w:val="22"/>
          <w:szCs w:val="22"/>
          <w:lang w:val="es-ES"/>
        </w:rPr>
        <w:t>(el subrayado es mío):</w:t>
      </w:r>
    </w:p>
    <w:p w:rsidR="00D16F07" w:rsidRPr="00D95727" w:rsidRDefault="00D16F07" w:rsidP="007330CE">
      <w:pPr>
        <w:rPr>
          <w:rFonts w:ascii="Arial" w:hAnsi="Arial" w:cs="Arial"/>
          <w:sz w:val="22"/>
          <w:szCs w:val="22"/>
          <w:lang w:val="es-ES"/>
        </w:rPr>
      </w:pPr>
    </w:p>
    <w:p w:rsidR="00D16F07" w:rsidRPr="00D95727" w:rsidRDefault="00EB5778" w:rsidP="008B7FFC">
      <w:pPr>
        <w:numPr>
          <w:ilvl w:val="0"/>
          <w:numId w:val="15"/>
        </w:numPr>
        <w:rPr>
          <w:rFonts w:ascii="Arial" w:hAnsi="Arial" w:cs="Arial"/>
          <w:i/>
          <w:sz w:val="22"/>
          <w:szCs w:val="22"/>
          <w:lang w:val="es-ES"/>
        </w:rPr>
      </w:pPr>
      <w:r w:rsidRPr="00D95727">
        <w:rPr>
          <w:i/>
          <w:sz w:val="22"/>
          <w:szCs w:val="22"/>
          <w:u w:val="single"/>
          <w:lang w:val="es-ES"/>
        </w:rPr>
        <w:t>[</w:t>
      </w:r>
      <w:r w:rsidR="00907A4C" w:rsidRPr="00D95727">
        <w:rPr>
          <w:rFonts w:ascii="Arial" w:hAnsi="Arial" w:cs="Arial"/>
          <w:i/>
          <w:sz w:val="22"/>
          <w:szCs w:val="22"/>
          <w:lang w:val="es-ES"/>
        </w:rPr>
        <w:t>…</w:t>
      </w:r>
      <w:r w:rsidRPr="00D95727">
        <w:rPr>
          <w:i/>
          <w:sz w:val="22"/>
          <w:szCs w:val="22"/>
          <w:lang w:val="es-ES"/>
        </w:rPr>
        <w:t>]</w:t>
      </w:r>
      <w:r w:rsidR="001732BF" w:rsidRPr="00D95727">
        <w:rPr>
          <w:i/>
          <w:sz w:val="22"/>
          <w:szCs w:val="22"/>
          <w:lang w:val="es-ES"/>
        </w:rPr>
        <w:t xml:space="preserve"> [</w:t>
      </w:r>
      <w:r w:rsidR="008B7FFC" w:rsidRPr="00D95727">
        <w:rPr>
          <w:rFonts w:ascii="Arial" w:hAnsi="Arial" w:cs="Arial"/>
          <w:i/>
          <w:sz w:val="22"/>
          <w:szCs w:val="22"/>
          <w:lang w:val="es-ES"/>
        </w:rPr>
        <w:t>seguir</w:t>
      </w:r>
      <w:r w:rsidR="001732BF" w:rsidRPr="00D95727">
        <w:rPr>
          <w:rFonts w:ascii="Arial" w:hAnsi="Arial" w:cs="Arial"/>
          <w:i/>
          <w:sz w:val="22"/>
          <w:szCs w:val="22"/>
          <w:lang w:val="es-ES"/>
        </w:rPr>
        <w:t>]</w:t>
      </w:r>
      <w:r w:rsidR="008B7FFC" w:rsidRPr="00D95727">
        <w:rPr>
          <w:rFonts w:ascii="Arial" w:hAnsi="Arial" w:cs="Arial"/>
          <w:i/>
          <w:sz w:val="22"/>
          <w:szCs w:val="22"/>
          <w:lang w:val="es-ES"/>
        </w:rPr>
        <w:t xml:space="preserve"> agilizando su labor, </w:t>
      </w:r>
      <w:r w:rsidR="008B7FFC" w:rsidRPr="00D95727">
        <w:rPr>
          <w:rFonts w:ascii="Arial" w:hAnsi="Arial" w:cs="Arial"/>
          <w:i/>
          <w:sz w:val="22"/>
          <w:szCs w:val="22"/>
          <w:u w:val="single"/>
          <w:lang w:val="es-ES"/>
        </w:rPr>
        <w:t>con miras a reducir los actuales desequilibrios y sobre la base de una participación abierta y plena, comprendidas las negociaciones basadas en textos, con objeto de alcanzar un acuerdo sobre uno o varios instrumentos jurídicos internacionales</w:t>
      </w:r>
      <w:r w:rsidR="008B7FFC" w:rsidRPr="00D95727">
        <w:rPr>
          <w:rFonts w:ascii="Arial" w:hAnsi="Arial" w:cs="Arial"/>
          <w:i/>
          <w:sz w:val="22"/>
          <w:szCs w:val="22"/>
          <w:lang w:val="es-ES"/>
        </w:rPr>
        <w:t xml:space="preserve">, sin prejuzgar la naturaleza del resultado o resultados, en relación con la propiedad intelectual que aseguren la protección eficaz y equilibrada de los </w:t>
      </w:r>
      <w:r w:rsidR="00F24DD4" w:rsidRPr="00D95727">
        <w:rPr>
          <w:rFonts w:ascii="Arial" w:hAnsi="Arial" w:cs="Arial"/>
          <w:i/>
          <w:sz w:val="22"/>
          <w:szCs w:val="22"/>
          <w:lang w:val="es-ES"/>
        </w:rPr>
        <w:t>[</w:t>
      </w:r>
      <w:r w:rsidR="008B7FFC" w:rsidRPr="00D95727">
        <w:rPr>
          <w:rFonts w:ascii="Arial" w:hAnsi="Arial" w:cs="Arial"/>
          <w:i/>
          <w:sz w:val="22"/>
          <w:szCs w:val="22"/>
          <w:lang w:val="es-ES"/>
        </w:rPr>
        <w:t>RR.GG., los CC.TT</w:t>
      </w:r>
      <w:r w:rsidR="00F515BE" w:rsidRPr="00D95727">
        <w:rPr>
          <w:rFonts w:ascii="Arial" w:hAnsi="Arial" w:cs="Arial"/>
          <w:i/>
          <w:sz w:val="22"/>
          <w:szCs w:val="22"/>
          <w:lang w:val="es-ES"/>
        </w:rPr>
        <w:t xml:space="preserve">. </w:t>
      </w:r>
      <w:r w:rsidR="008B7FFC" w:rsidRPr="00D95727">
        <w:rPr>
          <w:rFonts w:ascii="Arial" w:hAnsi="Arial" w:cs="Arial"/>
          <w:i/>
          <w:sz w:val="22"/>
          <w:szCs w:val="22"/>
          <w:lang w:val="es-ES"/>
        </w:rPr>
        <w:t>y las ECT</w:t>
      </w:r>
      <w:r w:rsidR="00F24DD4" w:rsidRPr="00D95727">
        <w:rPr>
          <w:rFonts w:ascii="Arial" w:hAnsi="Arial" w:cs="Arial"/>
          <w:i/>
          <w:sz w:val="22"/>
          <w:szCs w:val="22"/>
          <w:lang w:val="es-ES"/>
        </w:rPr>
        <w:t>]</w:t>
      </w:r>
      <w:r w:rsidR="00907A4C" w:rsidRPr="00D95727">
        <w:rPr>
          <w:rFonts w:ascii="Arial" w:hAnsi="Arial" w:cs="Arial"/>
          <w:i/>
          <w:sz w:val="22"/>
          <w:szCs w:val="22"/>
          <w:lang w:val="es-ES"/>
        </w:rPr>
        <w:t>.</w:t>
      </w:r>
    </w:p>
    <w:p w:rsidR="00D16F07" w:rsidRPr="00D95727" w:rsidRDefault="00D16F07" w:rsidP="00BB2469">
      <w:pPr>
        <w:ind w:left="784"/>
        <w:rPr>
          <w:rFonts w:ascii="Arial" w:hAnsi="Arial" w:cs="Arial"/>
          <w:i/>
          <w:sz w:val="22"/>
          <w:szCs w:val="22"/>
          <w:lang w:val="es-ES"/>
        </w:rPr>
      </w:pPr>
    </w:p>
    <w:p w:rsidR="00D16F07" w:rsidRPr="00D95727" w:rsidRDefault="00D16F07" w:rsidP="00D16F07">
      <w:pPr>
        <w:numPr>
          <w:ilvl w:val="0"/>
          <w:numId w:val="15"/>
        </w:numPr>
        <w:rPr>
          <w:rFonts w:ascii="Arial" w:hAnsi="Arial" w:cs="Arial"/>
          <w:i/>
          <w:sz w:val="22"/>
          <w:szCs w:val="22"/>
          <w:lang w:val="es-ES"/>
        </w:rPr>
      </w:pPr>
      <w:r w:rsidRPr="00D95727">
        <w:rPr>
          <w:rFonts w:ascii="Arial" w:hAnsi="Arial" w:cs="Arial"/>
          <w:i/>
          <w:sz w:val="22"/>
          <w:szCs w:val="22"/>
          <w:lang w:val="es-ES"/>
        </w:rPr>
        <w:t xml:space="preserve">En el bienio 2016/17, las actividades del Comité </w:t>
      </w:r>
      <w:r w:rsidRPr="00D95727">
        <w:rPr>
          <w:rFonts w:ascii="Arial" w:hAnsi="Arial" w:cs="Arial"/>
          <w:i/>
          <w:sz w:val="22"/>
          <w:szCs w:val="22"/>
          <w:u w:val="single"/>
          <w:lang w:val="es-ES"/>
        </w:rPr>
        <w:t>tendrán como punto de partida la labor que ya ha efectuado, centrándose primordialmente en alcanzar un entendimiento común sobre las cuestiones esenciales</w:t>
      </w:r>
      <w:r w:rsidRPr="00D95727">
        <w:rPr>
          <w:rFonts w:ascii="Arial" w:hAnsi="Arial" w:cs="Arial"/>
          <w:i/>
          <w:sz w:val="22"/>
          <w:szCs w:val="22"/>
          <w:lang w:val="es-ES"/>
        </w:rPr>
        <w:t>, como la definición de apropiación indebida, beneficiarios, materia objeto de protección, objetivos y qué materia de los CC.TT./ECT cumplen los criterios para ser objeto de protección en el plano internacional, incluido el examen de las excepciones y limitaciones y la relación con el dominio público</w:t>
      </w:r>
      <w:r w:rsidRPr="00D95727">
        <w:rPr>
          <w:rFonts w:ascii="Arial" w:hAnsi="Arial" w:cs="Arial"/>
          <w:sz w:val="22"/>
          <w:szCs w:val="22"/>
          <w:lang w:val="es-ES"/>
        </w:rPr>
        <w:t>.</w:t>
      </w:r>
    </w:p>
    <w:p w:rsidR="00BE0C0A" w:rsidRPr="00D95727" w:rsidRDefault="00BE0C0A" w:rsidP="00BE0C0A">
      <w:pPr>
        <w:ind w:left="784"/>
        <w:rPr>
          <w:rFonts w:ascii="Arial" w:hAnsi="Arial" w:cs="Arial"/>
          <w:i/>
          <w:sz w:val="22"/>
          <w:szCs w:val="22"/>
          <w:lang w:val="es-ES"/>
        </w:rPr>
      </w:pPr>
    </w:p>
    <w:p w:rsidR="00D16F07" w:rsidRPr="00D95727" w:rsidRDefault="00174571" w:rsidP="00D079D8">
      <w:pPr>
        <w:rPr>
          <w:rFonts w:ascii="Arial" w:hAnsi="Arial" w:cs="Arial"/>
          <w:sz w:val="22"/>
          <w:szCs w:val="22"/>
          <w:lang w:val="es-ES"/>
        </w:rPr>
      </w:pPr>
      <w:r w:rsidRPr="00D95727">
        <w:rPr>
          <w:rFonts w:ascii="Arial" w:hAnsi="Arial" w:cs="Arial"/>
          <w:sz w:val="22"/>
          <w:szCs w:val="22"/>
          <w:lang w:val="es-ES"/>
        </w:rPr>
        <w:t xml:space="preserve">Los miembros </w:t>
      </w:r>
      <w:r w:rsidR="001A75BC" w:rsidRPr="00D95727">
        <w:rPr>
          <w:rFonts w:ascii="Arial" w:hAnsi="Arial" w:cs="Arial"/>
          <w:sz w:val="22"/>
          <w:szCs w:val="22"/>
          <w:lang w:val="es-ES"/>
        </w:rPr>
        <w:t xml:space="preserve">tal vez estimen oportuno considerar </w:t>
      </w:r>
      <w:r w:rsidR="00C17069" w:rsidRPr="00D95727">
        <w:rPr>
          <w:rFonts w:ascii="Arial" w:hAnsi="Arial" w:cs="Arial"/>
          <w:sz w:val="22"/>
          <w:szCs w:val="22"/>
          <w:lang w:val="es-ES"/>
        </w:rPr>
        <w:t>la posibilidad de que</w:t>
      </w:r>
      <w:r w:rsidRPr="00D95727">
        <w:rPr>
          <w:rFonts w:ascii="Arial" w:hAnsi="Arial" w:cs="Arial"/>
          <w:sz w:val="22"/>
          <w:szCs w:val="22"/>
          <w:lang w:val="es-ES"/>
        </w:rPr>
        <w:t xml:space="preserve"> el mandato </w:t>
      </w:r>
      <w:r w:rsidR="00C17069" w:rsidRPr="00D95727">
        <w:rPr>
          <w:rFonts w:ascii="Arial" w:hAnsi="Arial" w:cs="Arial"/>
          <w:sz w:val="22"/>
          <w:szCs w:val="22"/>
          <w:lang w:val="es-ES"/>
        </w:rPr>
        <w:t>formule</w:t>
      </w:r>
      <w:r w:rsidRPr="00D95727">
        <w:rPr>
          <w:rFonts w:ascii="Arial" w:hAnsi="Arial" w:cs="Arial"/>
          <w:sz w:val="22"/>
          <w:szCs w:val="22"/>
          <w:lang w:val="es-ES"/>
        </w:rPr>
        <w:t xml:space="preserve"> un único </w:t>
      </w:r>
      <w:r w:rsidR="001732BF" w:rsidRPr="00D95727">
        <w:rPr>
          <w:rFonts w:ascii="Arial" w:hAnsi="Arial" w:cs="Arial"/>
          <w:sz w:val="22"/>
          <w:szCs w:val="22"/>
          <w:lang w:val="es-ES"/>
        </w:rPr>
        <w:t>propósito</w:t>
      </w:r>
      <w:r w:rsidRPr="00D95727">
        <w:rPr>
          <w:rFonts w:ascii="Arial" w:hAnsi="Arial" w:cs="Arial"/>
          <w:sz w:val="22"/>
          <w:szCs w:val="22"/>
          <w:lang w:val="es-ES"/>
        </w:rPr>
        <w:t xml:space="preserve"> o fin, </w:t>
      </w:r>
      <w:r w:rsidR="00C17069" w:rsidRPr="00D95727">
        <w:rPr>
          <w:rFonts w:ascii="Arial" w:hAnsi="Arial" w:cs="Arial"/>
          <w:sz w:val="22"/>
          <w:szCs w:val="22"/>
          <w:lang w:val="es-ES"/>
        </w:rPr>
        <w:t>sin entrar a definir</w:t>
      </w:r>
      <w:r w:rsidRPr="00D95727">
        <w:rPr>
          <w:rFonts w:ascii="Arial" w:hAnsi="Arial" w:cs="Arial"/>
          <w:sz w:val="22"/>
          <w:szCs w:val="22"/>
          <w:lang w:val="es-ES"/>
        </w:rPr>
        <w:t xml:space="preserve"> múltiples “centros de interés”</w:t>
      </w:r>
      <w:r w:rsidR="00F515BE" w:rsidRPr="00D95727">
        <w:rPr>
          <w:rFonts w:ascii="Arial" w:hAnsi="Arial" w:cs="Arial"/>
          <w:sz w:val="22"/>
          <w:szCs w:val="22"/>
          <w:lang w:val="es-ES"/>
        </w:rPr>
        <w:t xml:space="preserve">.  </w:t>
      </w:r>
      <w:r w:rsidR="00C17069" w:rsidRPr="00D95727">
        <w:rPr>
          <w:rFonts w:ascii="Arial" w:hAnsi="Arial" w:cs="Arial"/>
          <w:sz w:val="22"/>
          <w:szCs w:val="22"/>
          <w:lang w:val="es-ES"/>
        </w:rPr>
        <w:t>Estos últimos se podrían seguir articulando en apoyo d</w:t>
      </w:r>
      <w:r w:rsidR="00163302" w:rsidRPr="00D95727">
        <w:rPr>
          <w:rFonts w:ascii="Arial" w:hAnsi="Arial" w:cs="Arial"/>
          <w:sz w:val="22"/>
          <w:szCs w:val="22"/>
          <w:lang w:val="es-ES"/>
        </w:rPr>
        <w:t>e</w:t>
      </w:r>
      <w:r w:rsidR="00C17069" w:rsidRPr="00D95727">
        <w:rPr>
          <w:rFonts w:ascii="Arial" w:hAnsi="Arial" w:cs="Arial"/>
          <w:sz w:val="22"/>
          <w:szCs w:val="22"/>
          <w:lang w:val="es-ES"/>
        </w:rPr>
        <w:t xml:space="preserve"> dicho</w:t>
      </w:r>
      <w:r w:rsidR="00163302" w:rsidRPr="00D95727">
        <w:rPr>
          <w:rFonts w:ascii="Arial" w:hAnsi="Arial" w:cs="Arial"/>
          <w:sz w:val="22"/>
          <w:szCs w:val="22"/>
          <w:lang w:val="es-ES"/>
        </w:rPr>
        <w:t xml:space="preserve"> </w:t>
      </w:r>
      <w:r w:rsidR="00372482" w:rsidRPr="00D95727">
        <w:rPr>
          <w:rFonts w:ascii="Arial" w:hAnsi="Arial" w:cs="Arial"/>
          <w:sz w:val="22"/>
          <w:szCs w:val="22"/>
          <w:lang w:val="es-ES"/>
        </w:rPr>
        <w:t>propósito o fin</w:t>
      </w:r>
      <w:r w:rsidR="00C17069" w:rsidRPr="00D95727">
        <w:rPr>
          <w:rFonts w:ascii="Arial" w:hAnsi="Arial" w:cs="Arial"/>
          <w:sz w:val="22"/>
          <w:szCs w:val="22"/>
          <w:lang w:val="es-ES"/>
        </w:rPr>
        <w:t>,</w:t>
      </w:r>
      <w:r w:rsidR="00163302" w:rsidRPr="00D95727">
        <w:rPr>
          <w:rFonts w:ascii="Arial" w:hAnsi="Arial" w:cs="Arial"/>
          <w:sz w:val="22"/>
          <w:szCs w:val="22"/>
          <w:lang w:val="es-ES"/>
        </w:rPr>
        <w:t xml:space="preserve"> pero de forma subordinada.</w:t>
      </w:r>
    </w:p>
    <w:p w:rsidR="00D16F07" w:rsidRPr="00D95727" w:rsidRDefault="00D16F07" w:rsidP="00D079D8">
      <w:pPr>
        <w:rPr>
          <w:rFonts w:ascii="Arial" w:hAnsi="Arial" w:cs="Arial"/>
          <w:sz w:val="22"/>
          <w:szCs w:val="22"/>
          <w:lang w:val="es-ES"/>
        </w:rPr>
      </w:pPr>
    </w:p>
    <w:p w:rsidR="00D16F07" w:rsidRPr="00D95727" w:rsidRDefault="00C331F4" w:rsidP="00D079D8">
      <w:pPr>
        <w:rPr>
          <w:rFonts w:ascii="Arial" w:hAnsi="Arial" w:cs="Arial"/>
          <w:sz w:val="22"/>
          <w:szCs w:val="22"/>
          <w:lang w:val="es-ES"/>
        </w:rPr>
      </w:pPr>
      <w:r w:rsidRPr="00D95727">
        <w:rPr>
          <w:rFonts w:ascii="Arial" w:hAnsi="Arial" w:cs="Arial"/>
          <w:sz w:val="22"/>
          <w:szCs w:val="22"/>
          <w:lang w:val="es-ES"/>
        </w:rPr>
        <w:t>En cuanto a</w:t>
      </w:r>
      <w:r w:rsidR="00C17069" w:rsidRPr="00D95727">
        <w:rPr>
          <w:rFonts w:ascii="Arial" w:hAnsi="Arial" w:cs="Arial"/>
          <w:sz w:val="22"/>
          <w:szCs w:val="22"/>
          <w:lang w:val="es-ES"/>
        </w:rPr>
        <w:t xml:space="preserve"> nuestros métodos de trabajo, </w:t>
      </w:r>
      <w:r w:rsidRPr="00D95727">
        <w:rPr>
          <w:rFonts w:ascii="Arial" w:hAnsi="Arial" w:cs="Arial"/>
          <w:sz w:val="22"/>
          <w:szCs w:val="22"/>
          <w:lang w:val="es-ES"/>
        </w:rPr>
        <w:t xml:space="preserve">no han variado </w:t>
      </w:r>
      <w:r w:rsidR="00D34C90" w:rsidRPr="00D95727">
        <w:rPr>
          <w:rFonts w:ascii="Arial" w:hAnsi="Arial" w:cs="Arial"/>
          <w:sz w:val="22"/>
          <w:szCs w:val="22"/>
          <w:lang w:val="es-ES"/>
        </w:rPr>
        <w:t>sustancialmente</w:t>
      </w:r>
      <w:r w:rsidR="005646C7" w:rsidRPr="00D95727">
        <w:rPr>
          <w:rFonts w:ascii="Arial" w:hAnsi="Arial" w:cs="Arial"/>
          <w:sz w:val="22"/>
          <w:szCs w:val="22"/>
          <w:lang w:val="es-ES"/>
        </w:rPr>
        <w:t xml:space="preserve"> </w:t>
      </w:r>
      <w:r w:rsidR="00D34C90" w:rsidRPr="00D95727">
        <w:rPr>
          <w:rFonts w:ascii="Arial" w:hAnsi="Arial" w:cs="Arial"/>
          <w:sz w:val="22"/>
          <w:szCs w:val="22"/>
          <w:lang w:val="es-ES"/>
        </w:rPr>
        <w:t>respecto a</w:t>
      </w:r>
      <w:r w:rsidR="00372482" w:rsidRPr="00D95727">
        <w:rPr>
          <w:rFonts w:ascii="Arial" w:hAnsi="Arial" w:cs="Arial"/>
          <w:sz w:val="22"/>
          <w:szCs w:val="22"/>
          <w:lang w:val="es-ES"/>
        </w:rPr>
        <w:t>l mandato anterior</w:t>
      </w:r>
      <w:r w:rsidRPr="00D95727">
        <w:rPr>
          <w:rFonts w:ascii="Arial" w:hAnsi="Arial" w:cs="Arial"/>
          <w:sz w:val="22"/>
          <w:szCs w:val="22"/>
          <w:lang w:val="es-ES"/>
        </w:rPr>
        <w:t xml:space="preserve"> y se siguen basando en reuniones plenarias </w:t>
      </w:r>
      <w:r w:rsidR="00D34C90" w:rsidRPr="00D95727">
        <w:rPr>
          <w:rFonts w:ascii="Arial" w:hAnsi="Arial" w:cs="Arial"/>
          <w:sz w:val="22"/>
          <w:szCs w:val="22"/>
          <w:lang w:val="es-ES"/>
        </w:rPr>
        <w:t>y oficiosas</w:t>
      </w:r>
      <w:r w:rsidR="00372482" w:rsidRPr="00D95727">
        <w:rPr>
          <w:rFonts w:ascii="Arial" w:hAnsi="Arial" w:cs="Arial"/>
          <w:sz w:val="22"/>
          <w:szCs w:val="22"/>
          <w:lang w:val="es-ES"/>
        </w:rPr>
        <w:t>,</w:t>
      </w:r>
      <w:r w:rsidRPr="00D95727">
        <w:rPr>
          <w:rFonts w:ascii="Arial" w:hAnsi="Arial" w:cs="Arial"/>
          <w:sz w:val="22"/>
          <w:szCs w:val="22"/>
          <w:lang w:val="es-ES"/>
        </w:rPr>
        <w:t xml:space="preserve"> el </w:t>
      </w:r>
      <w:r w:rsidR="00D34C90" w:rsidRPr="00D95727">
        <w:rPr>
          <w:rFonts w:ascii="Arial" w:hAnsi="Arial" w:cs="Arial"/>
          <w:sz w:val="22"/>
          <w:szCs w:val="22"/>
          <w:lang w:val="es-ES"/>
        </w:rPr>
        <w:t>producto</w:t>
      </w:r>
      <w:r w:rsidRPr="00D95727">
        <w:rPr>
          <w:rFonts w:ascii="Arial" w:hAnsi="Arial" w:cs="Arial"/>
          <w:sz w:val="22"/>
          <w:szCs w:val="22"/>
          <w:lang w:val="es-ES"/>
        </w:rPr>
        <w:t xml:space="preserve"> de </w:t>
      </w:r>
      <w:r w:rsidR="00372482" w:rsidRPr="00D95727">
        <w:rPr>
          <w:rFonts w:ascii="Arial" w:hAnsi="Arial" w:cs="Arial"/>
          <w:sz w:val="22"/>
          <w:szCs w:val="22"/>
          <w:lang w:val="es-ES"/>
        </w:rPr>
        <w:t>cuyos debates</w:t>
      </w:r>
      <w:r w:rsidRPr="00D95727">
        <w:rPr>
          <w:rFonts w:ascii="Arial" w:hAnsi="Arial" w:cs="Arial"/>
          <w:sz w:val="22"/>
          <w:szCs w:val="22"/>
          <w:lang w:val="es-ES"/>
        </w:rPr>
        <w:t xml:space="preserve"> </w:t>
      </w:r>
      <w:r w:rsidR="00372482" w:rsidRPr="00D95727">
        <w:rPr>
          <w:rFonts w:ascii="Arial" w:hAnsi="Arial" w:cs="Arial"/>
          <w:sz w:val="22"/>
          <w:szCs w:val="22"/>
          <w:lang w:val="es-ES"/>
        </w:rPr>
        <w:t>se recoge</w:t>
      </w:r>
      <w:r w:rsidRPr="00D95727">
        <w:rPr>
          <w:rFonts w:ascii="Arial" w:hAnsi="Arial" w:cs="Arial"/>
          <w:sz w:val="22"/>
          <w:szCs w:val="22"/>
          <w:lang w:val="es-ES"/>
        </w:rPr>
        <w:t xml:space="preserve"> en un documento “consolidado” o “Rev</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2” elaborado por </w:t>
      </w:r>
      <w:r w:rsidR="00727F6A" w:rsidRPr="00D95727">
        <w:rPr>
          <w:rFonts w:ascii="Arial" w:hAnsi="Arial" w:cs="Arial"/>
          <w:sz w:val="22"/>
          <w:szCs w:val="22"/>
          <w:lang w:val="es-ES"/>
        </w:rPr>
        <w:t xml:space="preserve">los </w:t>
      </w:r>
      <w:r w:rsidRPr="00D95727">
        <w:rPr>
          <w:rFonts w:ascii="Arial" w:hAnsi="Arial" w:cs="Arial"/>
          <w:sz w:val="22"/>
          <w:szCs w:val="22"/>
          <w:lang w:val="es-ES"/>
        </w:rPr>
        <w:t>facilitado</w:t>
      </w:r>
      <w:r w:rsidR="00931BC9" w:rsidRPr="00D95727">
        <w:rPr>
          <w:rFonts w:ascii="Arial" w:hAnsi="Arial" w:cs="Arial"/>
          <w:sz w:val="22"/>
          <w:szCs w:val="22"/>
          <w:lang w:val="es-ES"/>
        </w:rPr>
        <w:t>res</w:t>
      </w:r>
      <w:r w:rsidR="00372482" w:rsidRPr="00D95727">
        <w:rPr>
          <w:rFonts w:ascii="Arial" w:hAnsi="Arial" w:cs="Arial"/>
          <w:sz w:val="22"/>
          <w:szCs w:val="22"/>
          <w:lang w:val="es-ES"/>
        </w:rPr>
        <w:t xml:space="preserve"> </w:t>
      </w:r>
      <w:r w:rsidR="00931BC9" w:rsidRPr="00D95727">
        <w:rPr>
          <w:rFonts w:ascii="Arial" w:hAnsi="Arial" w:cs="Arial"/>
          <w:sz w:val="22"/>
          <w:szCs w:val="22"/>
          <w:lang w:val="es-ES"/>
        </w:rPr>
        <w:t xml:space="preserve">y del que el Comité toma nota, aunque no </w:t>
      </w:r>
      <w:r w:rsidR="0068688C" w:rsidRPr="00D95727">
        <w:rPr>
          <w:rFonts w:ascii="Arial" w:hAnsi="Arial" w:cs="Arial"/>
          <w:sz w:val="22"/>
          <w:szCs w:val="22"/>
          <w:lang w:val="es-ES"/>
        </w:rPr>
        <w:t>cuente con su aprobación</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A fecha de hoy, el Comité no ha llegado a un acuerdo sobre el </w:t>
      </w:r>
      <w:r w:rsidR="008917C8" w:rsidRPr="00D95727">
        <w:rPr>
          <w:rFonts w:ascii="Arial" w:hAnsi="Arial" w:cs="Arial"/>
          <w:sz w:val="22"/>
          <w:szCs w:val="22"/>
          <w:lang w:val="es-ES"/>
        </w:rPr>
        <w:t>uso</w:t>
      </w:r>
      <w:r w:rsidRPr="00D95727">
        <w:rPr>
          <w:rFonts w:ascii="Arial" w:hAnsi="Arial" w:cs="Arial"/>
          <w:sz w:val="22"/>
          <w:szCs w:val="22"/>
          <w:lang w:val="es-ES"/>
        </w:rPr>
        <w:t xml:space="preserve"> de grupos de trabajo o de expertos</w:t>
      </w:r>
      <w:r w:rsidR="0068688C" w:rsidRPr="00D95727">
        <w:rPr>
          <w:rFonts w:ascii="Arial" w:hAnsi="Arial" w:cs="Arial"/>
          <w:sz w:val="22"/>
          <w:szCs w:val="22"/>
          <w:lang w:val="es-ES"/>
        </w:rPr>
        <w:t>,</w:t>
      </w:r>
      <w:r w:rsidRPr="00D95727">
        <w:rPr>
          <w:rFonts w:ascii="Arial" w:hAnsi="Arial" w:cs="Arial"/>
          <w:sz w:val="22"/>
          <w:szCs w:val="22"/>
          <w:lang w:val="es-ES"/>
        </w:rPr>
        <w:t xml:space="preserve"> </w:t>
      </w:r>
      <w:r w:rsidR="00372482" w:rsidRPr="00D95727">
        <w:rPr>
          <w:rFonts w:ascii="Arial" w:hAnsi="Arial" w:cs="Arial"/>
          <w:sz w:val="22"/>
          <w:szCs w:val="22"/>
          <w:lang w:val="es-ES"/>
        </w:rPr>
        <w:t>así como</w:t>
      </w:r>
      <w:r w:rsidRPr="00D95727">
        <w:rPr>
          <w:rFonts w:ascii="Arial" w:hAnsi="Arial" w:cs="Arial"/>
          <w:sz w:val="22"/>
          <w:szCs w:val="22"/>
          <w:lang w:val="es-ES"/>
        </w:rPr>
        <w:t xml:space="preserve"> de estudios producidos o encargados</w:t>
      </w:r>
      <w:r w:rsidR="008917C8" w:rsidRPr="00D95727">
        <w:rPr>
          <w:rFonts w:ascii="Arial" w:hAnsi="Arial" w:cs="Arial"/>
          <w:sz w:val="22"/>
          <w:szCs w:val="22"/>
          <w:lang w:val="es-ES"/>
        </w:rPr>
        <w:t>, como instrumentos de apoyo</w:t>
      </w:r>
      <w:r w:rsidR="00F515BE" w:rsidRPr="00D95727">
        <w:rPr>
          <w:rFonts w:ascii="Arial" w:hAnsi="Arial" w:cs="Arial"/>
          <w:sz w:val="22"/>
          <w:szCs w:val="22"/>
          <w:lang w:val="es-ES"/>
        </w:rPr>
        <w:t xml:space="preserve">.  </w:t>
      </w:r>
      <w:r w:rsidR="008917C8" w:rsidRPr="00D95727">
        <w:rPr>
          <w:rFonts w:ascii="Arial" w:hAnsi="Arial" w:cs="Arial"/>
          <w:sz w:val="22"/>
          <w:szCs w:val="22"/>
          <w:lang w:val="es-ES"/>
        </w:rPr>
        <w:t>Tal vez</w:t>
      </w:r>
      <w:r w:rsidRPr="00D95727">
        <w:rPr>
          <w:rFonts w:ascii="Arial" w:hAnsi="Arial" w:cs="Arial"/>
          <w:sz w:val="22"/>
          <w:szCs w:val="22"/>
          <w:lang w:val="es-ES"/>
        </w:rPr>
        <w:t xml:space="preserve"> los miembros </w:t>
      </w:r>
      <w:r w:rsidR="008917C8" w:rsidRPr="00D95727">
        <w:rPr>
          <w:rFonts w:ascii="Arial" w:hAnsi="Arial" w:cs="Arial"/>
          <w:sz w:val="22"/>
          <w:szCs w:val="22"/>
          <w:lang w:val="es-ES"/>
        </w:rPr>
        <w:t>estimen oportuno</w:t>
      </w:r>
      <w:r w:rsidR="00372482" w:rsidRPr="00D95727">
        <w:rPr>
          <w:rFonts w:ascii="Arial" w:hAnsi="Arial" w:cs="Arial"/>
          <w:sz w:val="22"/>
          <w:szCs w:val="22"/>
          <w:lang w:val="es-ES"/>
        </w:rPr>
        <w:t xml:space="preserve"> examinar es</w:t>
      </w:r>
      <w:r w:rsidRPr="00D95727">
        <w:rPr>
          <w:rFonts w:ascii="Arial" w:hAnsi="Arial" w:cs="Arial"/>
          <w:sz w:val="22"/>
          <w:szCs w:val="22"/>
          <w:lang w:val="es-ES"/>
        </w:rPr>
        <w:t xml:space="preserve">a </w:t>
      </w:r>
      <w:r w:rsidR="008917C8" w:rsidRPr="00D95727">
        <w:rPr>
          <w:rFonts w:ascii="Arial" w:hAnsi="Arial" w:cs="Arial"/>
          <w:sz w:val="22"/>
          <w:szCs w:val="22"/>
          <w:lang w:val="es-ES"/>
        </w:rPr>
        <w:t xml:space="preserve">posibilidad </w:t>
      </w:r>
      <w:r w:rsidR="00372482" w:rsidRPr="00D95727">
        <w:rPr>
          <w:rFonts w:ascii="Arial" w:hAnsi="Arial" w:cs="Arial"/>
          <w:sz w:val="22"/>
          <w:szCs w:val="22"/>
          <w:lang w:val="es-ES"/>
        </w:rPr>
        <w:t>con miras</w:t>
      </w:r>
      <w:r w:rsidR="008917C8" w:rsidRPr="00D95727">
        <w:rPr>
          <w:rFonts w:ascii="Arial" w:hAnsi="Arial" w:cs="Arial"/>
          <w:sz w:val="22"/>
          <w:szCs w:val="22"/>
          <w:lang w:val="es-ES"/>
        </w:rPr>
        <w:t xml:space="preserve"> a abordar las </w:t>
      </w:r>
      <w:r w:rsidRPr="00D95727">
        <w:rPr>
          <w:rFonts w:ascii="Arial" w:hAnsi="Arial" w:cs="Arial"/>
          <w:sz w:val="22"/>
          <w:szCs w:val="22"/>
          <w:lang w:val="es-ES"/>
        </w:rPr>
        <w:t xml:space="preserve">cuestiones </w:t>
      </w:r>
      <w:r w:rsidR="00372482" w:rsidRPr="00D95727">
        <w:rPr>
          <w:rFonts w:ascii="Arial" w:hAnsi="Arial" w:cs="Arial"/>
          <w:sz w:val="22"/>
          <w:szCs w:val="22"/>
          <w:lang w:val="es-ES"/>
        </w:rPr>
        <w:t>esenciales</w:t>
      </w:r>
      <w:r w:rsidRPr="00D95727">
        <w:rPr>
          <w:rFonts w:ascii="Arial" w:hAnsi="Arial" w:cs="Arial"/>
          <w:sz w:val="22"/>
          <w:szCs w:val="22"/>
          <w:lang w:val="es-ES"/>
        </w:rPr>
        <w:t xml:space="preserve"> sin resolver, teniendo en cuenta que la finalidad </w:t>
      </w:r>
      <w:r w:rsidR="008917C8" w:rsidRPr="00D95727">
        <w:rPr>
          <w:rFonts w:ascii="Arial" w:hAnsi="Arial" w:cs="Arial"/>
          <w:sz w:val="22"/>
          <w:szCs w:val="22"/>
          <w:lang w:val="es-ES"/>
        </w:rPr>
        <w:t xml:space="preserve">explícita </w:t>
      </w:r>
      <w:r w:rsidRPr="00D95727">
        <w:rPr>
          <w:rFonts w:ascii="Arial" w:hAnsi="Arial" w:cs="Arial"/>
          <w:sz w:val="22"/>
          <w:szCs w:val="22"/>
          <w:lang w:val="es-ES"/>
        </w:rPr>
        <w:t xml:space="preserve">de estos mecanismos o procesos </w:t>
      </w:r>
      <w:r w:rsidR="008917C8" w:rsidRPr="00D95727">
        <w:rPr>
          <w:rFonts w:ascii="Arial" w:hAnsi="Arial" w:cs="Arial"/>
          <w:sz w:val="22"/>
          <w:szCs w:val="22"/>
          <w:lang w:val="es-ES"/>
        </w:rPr>
        <w:t>sería</w:t>
      </w:r>
      <w:r w:rsidR="008D166F" w:rsidRPr="00D95727">
        <w:rPr>
          <w:rFonts w:ascii="Arial" w:hAnsi="Arial" w:cs="Arial"/>
          <w:sz w:val="22"/>
          <w:szCs w:val="22"/>
          <w:lang w:val="es-ES"/>
        </w:rPr>
        <w:t xml:space="preserve"> </w:t>
      </w:r>
      <w:r w:rsidR="008917C8" w:rsidRPr="00D95727">
        <w:rPr>
          <w:rFonts w:ascii="Arial" w:hAnsi="Arial" w:cs="Arial"/>
          <w:sz w:val="22"/>
          <w:szCs w:val="22"/>
          <w:lang w:val="es-ES"/>
        </w:rPr>
        <w:t>agilizar</w:t>
      </w:r>
      <w:r w:rsidRPr="00D95727">
        <w:rPr>
          <w:rFonts w:ascii="Arial" w:hAnsi="Arial" w:cs="Arial"/>
          <w:sz w:val="22"/>
          <w:szCs w:val="22"/>
          <w:lang w:val="es-ES"/>
        </w:rPr>
        <w:t xml:space="preserve"> y no retrasar las negociaciones.</w:t>
      </w:r>
    </w:p>
    <w:p w:rsidR="00D16F07" w:rsidRPr="00D95727" w:rsidRDefault="00D16F07" w:rsidP="00D079D8">
      <w:pPr>
        <w:rPr>
          <w:rFonts w:ascii="Arial" w:hAnsi="Arial" w:cs="Arial"/>
          <w:sz w:val="22"/>
          <w:szCs w:val="22"/>
          <w:lang w:val="es-ES"/>
        </w:rPr>
      </w:pPr>
    </w:p>
    <w:p w:rsidR="00D16F07" w:rsidRPr="00D95727" w:rsidRDefault="006E5EF9" w:rsidP="00D079D8">
      <w:pPr>
        <w:rPr>
          <w:rFonts w:ascii="Arial" w:hAnsi="Arial" w:cs="Arial"/>
          <w:sz w:val="22"/>
          <w:szCs w:val="22"/>
          <w:lang w:val="es-ES"/>
        </w:rPr>
      </w:pPr>
      <w:r w:rsidRPr="00D95727">
        <w:rPr>
          <w:rFonts w:ascii="Arial" w:hAnsi="Arial" w:cs="Arial"/>
          <w:sz w:val="22"/>
          <w:szCs w:val="22"/>
          <w:lang w:val="es-ES"/>
        </w:rPr>
        <w:t xml:space="preserve">Un aspecto que </w:t>
      </w:r>
      <w:r w:rsidR="00372482" w:rsidRPr="00D95727">
        <w:rPr>
          <w:rFonts w:ascii="Arial" w:hAnsi="Arial" w:cs="Arial"/>
          <w:sz w:val="22"/>
          <w:szCs w:val="22"/>
          <w:lang w:val="es-ES"/>
        </w:rPr>
        <w:t xml:space="preserve">sí </w:t>
      </w:r>
      <w:r w:rsidRPr="00D95727">
        <w:rPr>
          <w:rFonts w:ascii="Arial" w:hAnsi="Arial" w:cs="Arial"/>
          <w:sz w:val="22"/>
          <w:szCs w:val="22"/>
          <w:lang w:val="es-ES"/>
        </w:rPr>
        <w:t>ha variado respecto a mandatos previos ha sido la distribución de una nota informativa del presidente antes de cada sesión con el fin de ayudar a los miembros en sus preparativos</w:t>
      </w:r>
      <w:r w:rsidR="00F515BE" w:rsidRPr="00D95727">
        <w:rPr>
          <w:rFonts w:ascii="Arial" w:hAnsi="Arial" w:cs="Arial"/>
          <w:sz w:val="22"/>
          <w:szCs w:val="22"/>
          <w:lang w:val="es-ES"/>
        </w:rPr>
        <w:t xml:space="preserve">.  </w:t>
      </w:r>
      <w:r w:rsidRPr="00D95727">
        <w:rPr>
          <w:rFonts w:ascii="Arial" w:hAnsi="Arial" w:cs="Arial"/>
          <w:sz w:val="22"/>
          <w:szCs w:val="22"/>
          <w:lang w:val="es-ES"/>
        </w:rPr>
        <w:t>Tal vez los miembros estimen oportuno valorar la utilidad de estas notas</w:t>
      </w:r>
      <w:r w:rsidR="00F515BE" w:rsidRPr="00D95727">
        <w:rPr>
          <w:rFonts w:ascii="Arial" w:hAnsi="Arial" w:cs="Arial"/>
          <w:sz w:val="22"/>
          <w:szCs w:val="22"/>
          <w:lang w:val="es-ES"/>
        </w:rPr>
        <w:t xml:space="preserve">.  </w:t>
      </w:r>
    </w:p>
    <w:p w:rsidR="00D16F07" w:rsidRPr="00D95727" w:rsidRDefault="00D16F07" w:rsidP="00D079D8">
      <w:pPr>
        <w:rPr>
          <w:rFonts w:ascii="Arial" w:hAnsi="Arial" w:cs="Arial"/>
          <w:sz w:val="22"/>
          <w:szCs w:val="22"/>
          <w:lang w:val="es-ES"/>
        </w:rPr>
      </w:pPr>
    </w:p>
    <w:p w:rsidR="00D16F07" w:rsidRPr="00D95727" w:rsidRDefault="006E5EF9" w:rsidP="00D079D8">
      <w:pPr>
        <w:rPr>
          <w:rFonts w:ascii="Arial" w:hAnsi="Arial" w:cs="Arial"/>
          <w:sz w:val="22"/>
          <w:szCs w:val="22"/>
          <w:lang w:val="es-ES"/>
        </w:rPr>
      </w:pPr>
      <w:r w:rsidRPr="00D95727">
        <w:rPr>
          <w:rFonts w:ascii="Arial" w:hAnsi="Arial" w:cs="Arial"/>
          <w:sz w:val="22"/>
          <w:szCs w:val="22"/>
          <w:lang w:val="es-ES"/>
        </w:rPr>
        <w:t>Es posible que los  miembr</w:t>
      </w:r>
      <w:r w:rsidR="00956A75" w:rsidRPr="00D95727">
        <w:rPr>
          <w:rFonts w:ascii="Arial" w:hAnsi="Arial" w:cs="Arial"/>
          <w:sz w:val="22"/>
          <w:szCs w:val="22"/>
          <w:lang w:val="es-ES"/>
        </w:rPr>
        <w:t>o</w:t>
      </w:r>
      <w:r w:rsidRPr="00D95727">
        <w:rPr>
          <w:rFonts w:ascii="Arial" w:hAnsi="Arial" w:cs="Arial"/>
          <w:sz w:val="22"/>
          <w:szCs w:val="22"/>
          <w:lang w:val="es-ES"/>
        </w:rPr>
        <w:t xml:space="preserve">s también deseen considerar </w:t>
      </w:r>
      <w:r w:rsidR="00956A75" w:rsidRPr="00D95727">
        <w:rPr>
          <w:rFonts w:ascii="Arial" w:hAnsi="Arial" w:cs="Arial"/>
          <w:sz w:val="22"/>
          <w:szCs w:val="22"/>
          <w:lang w:val="es-ES"/>
        </w:rPr>
        <w:t>si es el momento oportuno para</w:t>
      </w:r>
      <w:r w:rsidRPr="00D95727">
        <w:rPr>
          <w:rFonts w:ascii="Arial" w:hAnsi="Arial" w:cs="Arial"/>
          <w:sz w:val="22"/>
          <w:szCs w:val="22"/>
          <w:lang w:val="es-ES"/>
        </w:rPr>
        <w:t xml:space="preserve"> examinar y racionalizar los documentos de trabajo</w:t>
      </w:r>
      <w:r w:rsidR="00372482" w:rsidRPr="00D95727">
        <w:rPr>
          <w:rFonts w:ascii="Arial" w:hAnsi="Arial" w:cs="Arial"/>
          <w:sz w:val="22"/>
          <w:szCs w:val="22"/>
          <w:lang w:val="es-ES"/>
        </w:rPr>
        <w:t xml:space="preserve"> </w:t>
      </w:r>
      <w:r w:rsidR="00956A75" w:rsidRPr="00D95727">
        <w:rPr>
          <w:rFonts w:ascii="Arial" w:hAnsi="Arial" w:cs="Arial"/>
          <w:sz w:val="22"/>
          <w:szCs w:val="22"/>
          <w:lang w:val="es-ES"/>
        </w:rPr>
        <w:t>consolidados</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En </w:t>
      </w:r>
      <w:r w:rsidR="00372482" w:rsidRPr="00D95727">
        <w:rPr>
          <w:rFonts w:ascii="Arial" w:hAnsi="Arial" w:cs="Arial"/>
          <w:sz w:val="22"/>
          <w:szCs w:val="22"/>
          <w:lang w:val="es-ES"/>
        </w:rPr>
        <w:t>dichos</w:t>
      </w:r>
      <w:r w:rsidRPr="00D95727">
        <w:rPr>
          <w:rFonts w:ascii="Arial" w:hAnsi="Arial" w:cs="Arial"/>
          <w:sz w:val="22"/>
          <w:szCs w:val="22"/>
          <w:lang w:val="es-ES"/>
        </w:rPr>
        <w:t xml:space="preserve"> textos se producen importantes duplicaciones en algunas áreas y se emplea</w:t>
      </w:r>
      <w:r w:rsidR="00956A75" w:rsidRPr="00D95727">
        <w:rPr>
          <w:rFonts w:ascii="Arial" w:hAnsi="Arial" w:cs="Arial"/>
          <w:sz w:val="22"/>
          <w:szCs w:val="22"/>
          <w:lang w:val="es-ES"/>
        </w:rPr>
        <w:t>n formulaciones</w:t>
      </w:r>
      <w:r w:rsidRPr="00D95727">
        <w:rPr>
          <w:rFonts w:ascii="Arial" w:hAnsi="Arial" w:cs="Arial"/>
          <w:sz w:val="22"/>
          <w:szCs w:val="22"/>
          <w:lang w:val="es-ES"/>
        </w:rPr>
        <w:t xml:space="preserve"> que </w:t>
      </w:r>
      <w:r w:rsidR="00956A75" w:rsidRPr="00D95727">
        <w:rPr>
          <w:rFonts w:ascii="Arial" w:hAnsi="Arial" w:cs="Arial"/>
          <w:sz w:val="22"/>
          <w:szCs w:val="22"/>
          <w:lang w:val="es-ES"/>
        </w:rPr>
        <w:lastRenderedPageBreak/>
        <w:t>pueden estar alejadas de la dirección que han tomado</w:t>
      </w:r>
      <w:r w:rsidR="00372482" w:rsidRPr="00D95727">
        <w:rPr>
          <w:rFonts w:ascii="Arial" w:hAnsi="Arial" w:cs="Arial"/>
          <w:sz w:val="22"/>
          <w:szCs w:val="22"/>
          <w:lang w:val="es-ES"/>
        </w:rPr>
        <w:t xml:space="preserve"> </w:t>
      </w:r>
      <w:r w:rsidR="00956A75" w:rsidRPr="00D95727">
        <w:rPr>
          <w:rFonts w:ascii="Arial" w:hAnsi="Arial" w:cs="Arial"/>
          <w:sz w:val="22"/>
          <w:szCs w:val="22"/>
          <w:lang w:val="es-ES"/>
        </w:rPr>
        <w:t>los debates</w:t>
      </w:r>
      <w:r w:rsidR="00F515BE" w:rsidRPr="00D95727">
        <w:rPr>
          <w:rFonts w:ascii="Arial" w:hAnsi="Arial" w:cs="Arial"/>
          <w:sz w:val="22"/>
          <w:szCs w:val="22"/>
          <w:lang w:val="es-ES"/>
        </w:rPr>
        <w:t xml:space="preserve">.  </w:t>
      </w:r>
      <w:r w:rsidRPr="00D95727">
        <w:rPr>
          <w:rFonts w:ascii="Arial" w:hAnsi="Arial" w:cs="Arial"/>
          <w:sz w:val="22"/>
          <w:szCs w:val="22"/>
          <w:lang w:val="es-ES"/>
        </w:rPr>
        <w:t>La elaboración de</w:t>
      </w:r>
      <w:r w:rsidR="00066474" w:rsidRPr="00D95727">
        <w:rPr>
          <w:rFonts w:ascii="Arial" w:hAnsi="Arial" w:cs="Arial"/>
          <w:sz w:val="22"/>
          <w:szCs w:val="22"/>
          <w:lang w:val="es-ES"/>
        </w:rPr>
        <w:t xml:space="preserve"> </w:t>
      </w:r>
      <w:r w:rsidR="001516DA" w:rsidRPr="00D95727">
        <w:rPr>
          <w:rFonts w:ascii="Arial" w:hAnsi="Arial" w:cs="Arial"/>
          <w:sz w:val="22"/>
          <w:szCs w:val="22"/>
          <w:lang w:val="es-ES"/>
        </w:rPr>
        <w:t>un texto o</w:t>
      </w:r>
      <w:r w:rsidRPr="00D95727">
        <w:rPr>
          <w:rFonts w:ascii="Arial" w:hAnsi="Arial" w:cs="Arial"/>
          <w:sz w:val="22"/>
          <w:szCs w:val="22"/>
          <w:lang w:val="es-ES"/>
        </w:rPr>
        <w:t xml:space="preserve"> textos más breves y sencillos facilitaría las negociaciones del Comité</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Esta labor podría </w:t>
      </w:r>
      <w:r w:rsidR="00066474" w:rsidRPr="00D95727">
        <w:rPr>
          <w:rFonts w:ascii="Arial" w:hAnsi="Arial" w:cs="Arial"/>
          <w:sz w:val="22"/>
          <w:szCs w:val="22"/>
          <w:lang w:val="es-ES"/>
        </w:rPr>
        <w:t>dejarse en manos</w:t>
      </w:r>
      <w:r w:rsidRPr="00D95727">
        <w:rPr>
          <w:rFonts w:ascii="Arial" w:hAnsi="Arial" w:cs="Arial"/>
          <w:sz w:val="22"/>
          <w:szCs w:val="22"/>
          <w:lang w:val="es-ES"/>
        </w:rPr>
        <w:t xml:space="preserve"> de un grupo de trabajo </w:t>
      </w:r>
      <w:r w:rsidR="001516DA" w:rsidRPr="00D95727">
        <w:rPr>
          <w:rFonts w:ascii="Arial" w:hAnsi="Arial" w:cs="Arial"/>
          <w:sz w:val="22"/>
          <w:szCs w:val="22"/>
          <w:lang w:val="es-ES"/>
        </w:rPr>
        <w:t>integrado por</w:t>
      </w:r>
      <w:r w:rsidRPr="00D95727">
        <w:rPr>
          <w:rFonts w:ascii="Arial" w:hAnsi="Arial" w:cs="Arial"/>
          <w:sz w:val="22"/>
          <w:szCs w:val="22"/>
          <w:lang w:val="es-ES"/>
        </w:rPr>
        <w:t xml:space="preserve"> experto</w:t>
      </w:r>
      <w:r w:rsidR="001516DA" w:rsidRPr="00D95727">
        <w:rPr>
          <w:rFonts w:ascii="Arial" w:hAnsi="Arial" w:cs="Arial"/>
          <w:sz w:val="22"/>
          <w:szCs w:val="22"/>
          <w:lang w:val="es-ES"/>
        </w:rPr>
        <w:t>s,</w:t>
      </w:r>
      <w:r w:rsidRPr="00D95727">
        <w:rPr>
          <w:rFonts w:ascii="Arial" w:hAnsi="Arial" w:cs="Arial"/>
          <w:sz w:val="22"/>
          <w:szCs w:val="22"/>
          <w:lang w:val="es-ES"/>
        </w:rPr>
        <w:t xml:space="preserve"> o </w:t>
      </w:r>
      <w:r w:rsidR="00066474" w:rsidRPr="00D95727">
        <w:rPr>
          <w:rFonts w:ascii="Arial" w:hAnsi="Arial" w:cs="Arial"/>
          <w:sz w:val="22"/>
          <w:szCs w:val="22"/>
          <w:lang w:val="es-ES"/>
        </w:rPr>
        <w:t xml:space="preserve">realizarse a través de un </w:t>
      </w:r>
      <w:r w:rsidRPr="00D95727">
        <w:rPr>
          <w:rFonts w:ascii="Arial" w:hAnsi="Arial" w:cs="Arial"/>
          <w:sz w:val="22"/>
          <w:szCs w:val="22"/>
          <w:lang w:val="es-ES"/>
        </w:rPr>
        <w:t xml:space="preserve">texto </w:t>
      </w:r>
      <w:r w:rsidR="001516DA" w:rsidRPr="00D95727">
        <w:rPr>
          <w:rFonts w:ascii="Arial" w:hAnsi="Arial" w:cs="Arial"/>
          <w:sz w:val="22"/>
          <w:szCs w:val="22"/>
          <w:lang w:val="es-ES"/>
        </w:rPr>
        <w:t>o textos</w:t>
      </w:r>
      <w:r w:rsidR="00066474" w:rsidRPr="00D95727">
        <w:rPr>
          <w:rFonts w:ascii="Arial" w:hAnsi="Arial" w:cs="Arial"/>
          <w:sz w:val="22"/>
          <w:szCs w:val="22"/>
          <w:lang w:val="es-ES"/>
        </w:rPr>
        <w:t xml:space="preserve"> </w:t>
      </w:r>
      <w:r w:rsidRPr="00D95727">
        <w:rPr>
          <w:rFonts w:ascii="Arial" w:hAnsi="Arial" w:cs="Arial"/>
          <w:sz w:val="22"/>
          <w:szCs w:val="22"/>
          <w:lang w:val="es-ES"/>
        </w:rPr>
        <w:t>del presidente</w:t>
      </w:r>
      <w:r w:rsidR="00F515BE" w:rsidRPr="00D95727">
        <w:rPr>
          <w:rFonts w:ascii="Arial" w:hAnsi="Arial" w:cs="Arial"/>
          <w:sz w:val="22"/>
          <w:szCs w:val="22"/>
          <w:lang w:val="es-ES"/>
        </w:rPr>
        <w:t xml:space="preserve">.  </w:t>
      </w:r>
      <w:r w:rsidR="00066474" w:rsidRPr="00D95727">
        <w:rPr>
          <w:rFonts w:ascii="Arial" w:hAnsi="Arial" w:cs="Arial"/>
          <w:sz w:val="22"/>
          <w:szCs w:val="22"/>
          <w:lang w:val="es-ES"/>
        </w:rPr>
        <w:t>Obviamente, todos los textos racionalizados que pudieran</w:t>
      </w:r>
      <w:r w:rsidRPr="00D95727">
        <w:rPr>
          <w:rFonts w:ascii="Arial" w:hAnsi="Arial" w:cs="Arial"/>
          <w:sz w:val="22"/>
          <w:szCs w:val="22"/>
          <w:lang w:val="es-ES"/>
        </w:rPr>
        <w:t xml:space="preserve"> elaborarse</w:t>
      </w:r>
      <w:r w:rsidR="00066474" w:rsidRPr="00D95727">
        <w:rPr>
          <w:rFonts w:ascii="Arial" w:hAnsi="Arial" w:cs="Arial"/>
          <w:sz w:val="22"/>
          <w:szCs w:val="22"/>
          <w:lang w:val="es-ES"/>
        </w:rPr>
        <w:t xml:space="preserve"> deberían someterse al examen del CIG</w:t>
      </w:r>
      <w:r w:rsidRPr="00D95727">
        <w:rPr>
          <w:rFonts w:ascii="Arial" w:hAnsi="Arial" w:cs="Arial"/>
          <w:sz w:val="22"/>
          <w:szCs w:val="22"/>
          <w:lang w:val="es-ES"/>
        </w:rPr>
        <w:t>.</w:t>
      </w:r>
    </w:p>
    <w:p w:rsidR="00D16F07" w:rsidRPr="00D95727" w:rsidRDefault="00D16F07" w:rsidP="00D079D8">
      <w:pPr>
        <w:rPr>
          <w:rFonts w:ascii="Arial" w:hAnsi="Arial" w:cs="Arial"/>
          <w:sz w:val="22"/>
          <w:szCs w:val="22"/>
          <w:lang w:val="es-ES"/>
        </w:rPr>
      </w:pPr>
    </w:p>
    <w:p w:rsidR="00D16F07" w:rsidRPr="00D95727" w:rsidRDefault="007F28D2" w:rsidP="006170CC">
      <w:pPr>
        <w:outlineLvl w:val="0"/>
        <w:rPr>
          <w:rFonts w:ascii="Arial" w:hAnsi="Arial" w:cs="Arial"/>
          <w:b/>
          <w:sz w:val="22"/>
          <w:szCs w:val="22"/>
          <w:u w:val="single"/>
          <w:lang w:val="es-ES"/>
        </w:rPr>
      </w:pPr>
      <w:r w:rsidRPr="00D95727">
        <w:rPr>
          <w:rFonts w:ascii="Arial" w:hAnsi="Arial" w:cs="Arial"/>
          <w:b/>
          <w:sz w:val="22"/>
          <w:szCs w:val="22"/>
          <w:u w:val="single"/>
          <w:lang w:val="es-ES"/>
        </w:rPr>
        <w:t>Resumen de los debates/negociaciones del</w:t>
      </w:r>
      <w:r w:rsidR="004736FE" w:rsidRPr="00D95727">
        <w:rPr>
          <w:rFonts w:ascii="Arial" w:hAnsi="Arial" w:cs="Arial"/>
          <w:b/>
          <w:sz w:val="22"/>
          <w:szCs w:val="22"/>
          <w:u w:val="single"/>
          <w:lang w:val="es-ES"/>
        </w:rPr>
        <w:t xml:space="preserve"> C</w:t>
      </w:r>
      <w:r w:rsidRPr="00D95727">
        <w:rPr>
          <w:rFonts w:ascii="Arial" w:hAnsi="Arial" w:cs="Arial"/>
          <w:b/>
          <w:sz w:val="22"/>
          <w:szCs w:val="22"/>
          <w:u w:val="single"/>
          <w:lang w:val="es-ES"/>
        </w:rPr>
        <w:t>IG</w:t>
      </w:r>
    </w:p>
    <w:p w:rsidR="00D16F07" w:rsidRPr="00D95727" w:rsidRDefault="00D16F07" w:rsidP="007330CE">
      <w:pPr>
        <w:rPr>
          <w:rFonts w:ascii="Arial" w:hAnsi="Arial" w:cs="Arial"/>
          <w:b/>
          <w:sz w:val="22"/>
          <w:szCs w:val="22"/>
          <w:u w:val="single"/>
          <w:lang w:val="es-ES"/>
        </w:rPr>
      </w:pPr>
    </w:p>
    <w:p w:rsidR="00D16F07" w:rsidRPr="00D95727" w:rsidRDefault="00F20E08" w:rsidP="007330CE">
      <w:pPr>
        <w:rPr>
          <w:rFonts w:ascii="Arial" w:hAnsi="Arial" w:cs="Arial"/>
          <w:sz w:val="22"/>
          <w:szCs w:val="22"/>
          <w:lang w:val="es-ES"/>
        </w:rPr>
      </w:pPr>
      <w:r w:rsidRPr="00D95727">
        <w:rPr>
          <w:rFonts w:ascii="Arial" w:hAnsi="Arial" w:cs="Arial"/>
          <w:sz w:val="22"/>
          <w:szCs w:val="22"/>
          <w:lang w:val="es-ES"/>
        </w:rPr>
        <w:t xml:space="preserve">En el Anexo II se adjunta un calendario </w:t>
      </w:r>
      <w:r w:rsidR="004B6AC7" w:rsidRPr="00D95727">
        <w:rPr>
          <w:rFonts w:ascii="Arial" w:hAnsi="Arial" w:cs="Arial"/>
          <w:sz w:val="22"/>
          <w:szCs w:val="22"/>
          <w:lang w:val="es-ES"/>
        </w:rPr>
        <w:t xml:space="preserve">en el </w:t>
      </w:r>
      <w:r w:rsidRPr="00D95727">
        <w:rPr>
          <w:rFonts w:ascii="Arial" w:hAnsi="Arial" w:cs="Arial"/>
          <w:sz w:val="22"/>
          <w:szCs w:val="22"/>
          <w:lang w:val="es-ES"/>
        </w:rPr>
        <w:t xml:space="preserve">que </w:t>
      </w:r>
      <w:r w:rsidR="004B6AC7" w:rsidRPr="00D95727">
        <w:rPr>
          <w:rFonts w:ascii="Arial" w:hAnsi="Arial" w:cs="Arial"/>
          <w:sz w:val="22"/>
          <w:szCs w:val="22"/>
          <w:lang w:val="es-ES"/>
        </w:rPr>
        <w:t xml:space="preserve">se </w:t>
      </w:r>
      <w:r w:rsidRPr="00D95727">
        <w:rPr>
          <w:rFonts w:ascii="Arial" w:hAnsi="Arial" w:cs="Arial"/>
          <w:sz w:val="22"/>
          <w:szCs w:val="22"/>
          <w:lang w:val="es-ES"/>
        </w:rPr>
        <w:t>resume</w:t>
      </w:r>
      <w:r w:rsidR="004B6AC7" w:rsidRPr="00D95727">
        <w:rPr>
          <w:rFonts w:ascii="Arial" w:hAnsi="Arial" w:cs="Arial"/>
          <w:sz w:val="22"/>
          <w:szCs w:val="22"/>
          <w:lang w:val="es-ES"/>
        </w:rPr>
        <w:t>n</w:t>
      </w:r>
      <w:r w:rsidRPr="00D95727">
        <w:rPr>
          <w:rFonts w:ascii="Arial" w:hAnsi="Arial" w:cs="Arial"/>
          <w:sz w:val="22"/>
          <w:szCs w:val="22"/>
          <w:lang w:val="es-ES"/>
        </w:rPr>
        <w:t xml:space="preserve"> los </w:t>
      </w:r>
      <w:r w:rsidR="00066474" w:rsidRPr="00D95727">
        <w:rPr>
          <w:rFonts w:ascii="Arial" w:hAnsi="Arial" w:cs="Arial"/>
          <w:sz w:val="22"/>
          <w:szCs w:val="22"/>
          <w:lang w:val="es-ES"/>
        </w:rPr>
        <w:t>avances</w:t>
      </w:r>
      <w:r w:rsidR="005646C7" w:rsidRPr="00D95727">
        <w:rPr>
          <w:rFonts w:ascii="Arial" w:hAnsi="Arial" w:cs="Arial"/>
          <w:sz w:val="22"/>
          <w:szCs w:val="22"/>
          <w:lang w:val="es-ES"/>
        </w:rPr>
        <w:t xml:space="preserve"> </w:t>
      </w:r>
      <w:r w:rsidR="00066474" w:rsidRPr="00D95727">
        <w:rPr>
          <w:rFonts w:ascii="Arial" w:hAnsi="Arial" w:cs="Arial"/>
          <w:sz w:val="22"/>
          <w:szCs w:val="22"/>
          <w:lang w:val="es-ES"/>
        </w:rPr>
        <w:t>logrados</w:t>
      </w:r>
      <w:r w:rsidRPr="00D95727">
        <w:rPr>
          <w:rFonts w:ascii="Arial" w:hAnsi="Arial" w:cs="Arial"/>
          <w:sz w:val="22"/>
          <w:szCs w:val="22"/>
          <w:lang w:val="es-ES"/>
        </w:rPr>
        <w:t xml:space="preserve"> en relación con la protección de los RR.GG., los CC.TT</w:t>
      </w:r>
      <w:r w:rsidR="00066474"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y las ECT, en particular la labor realizada por el CIG desde el inicio de sus actividades en 2001, así como los principales instrumentos regionales e internacionales</w:t>
      </w:r>
      <w:r w:rsidR="00F515BE" w:rsidRPr="00D95727">
        <w:rPr>
          <w:rFonts w:ascii="Arial" w:hAnsi="Arial" w:cs="Arial"/>
          <w:sz w:val="22"/>
          <w:szCs w:val="22"/>
          <w:lang w:val="es-ES"/>
        </w:rPr>
        <w:t xml:space="preserve">.  </w:t>
      </w:r>
      <w:r w:rsidR="004B6AC7" w:rsidRPr="00D95727">
        <w:rPr>
          <w:rFonts w:ascii="Arial" w:hAnsi="Arial" w:cs="Arial"/>
          <w:sz w:val="22"/>
          <w:szCs w:val="22"/>
          <w:lang w:val="es-ES"/>
        </w:rPr>
        <w:t>Con ello se trata de</w:t>
      </w:r>
      <w:r w:rsidR="00213D24" w:rsidRPr="00D95727">
        <w:rPr>
          <w:rFonts w:ascii="Arial" w:hAnsi="Arial" w:cs="Arial"/>
          <w:sz w:val="22"/>
          <w:szCs w:val="22"/>
          <w:lang w:val="es-ES"/>
        </w:rPr>
        <w:t xml:space="preserve"> </w:t>
      </w:r>
      <w:r w:rsidR="004B6AC7" w:rsidRPr="00D95727">
        <w:rPr>
          <w:rFonts w:ascii="Arial" w:hAnsi="Arial" w:cs="Arial"/>
          <w:sz w:val="22"/>
          <w:szCs w:val="22"/>
          <w:lang w:val="es-ES"/>
        </w:rPr>
        <w:t xml:space="preserve">contextualizar nuestras deliberaciones y poner de relieve los notables cambios que ha experimentado </w:t>
      </w:r>
      <w:r w:rsidR="00C913A9" w:rsidRPr="00D95727">
        <w:rPr>
          <w:rFonts w:ascii="Arial" w:hAnsi="Arial" w:cs="Arial"/>
          <w:sz w:val="22"/>
          <w:szCs w:val="22"/>
          <w:lang w:val="es-ES"/>
        </w:rPr>
        <w:t>el contexto mu</w:t>
      </w:r>
      <w:r w:rsidR="00213D24" w:rsidRPr="00D95727">
        <w:rPr>
          <w:rFonts w:ascii="Arial" w:hAnsi="Arial" w:cs="Arial"/>
          <w:sz w:val="22"/>
          <w:szCs w:val="22"/>
          <w:lang w:val="es-ES"/>
        </w:rPr>
        <w:t xml:space="preserve">ltilateral desde el inicio de los debates y, más adelante, de las negociaciones </w:t>
      </w:r>
      <w:r w:rsidR="00C913A9" w:rsidRPr="00D95727">
        <w:rPr>
          <w:rFonts w:ascii="Arial" w:hAnsi="Arial" w:cs="Arial"/>
          <w:sz w:val="22"/>
          <w:szCs w:val="22"/>
          <w:lang w:val="es-ES"/>
        </w:rPr>
        <w:t>que se llevan a cabo</w:t>
      </w:r>
      <w:r w:rsidR="00066474" w:rsidRPr="00D95727">
        <w:rPr>
          <w:rFonts w:ascii="Arial" w:hAnsi="Arial" w:cs="Arial"/>
          <w:sz w:val="22"/>
          <w:szCs w:val="22"/>
          <w:lang w:val="es-ES"/>
        </w:rPr>
        <w:t xml:space="preserve"> </w:t>
      </w:r>
      <w:r w:rsidR="00213D24" w:rsidRPr="00D95727">
        <w:rPr>
          <w:rFonts w:ascii="Arial" w:hAnsi="Arial" w:cs="Arial"/>
          <w:sz w:val="22"/>
          <w:szCs w:val="22"/>
          <w:lang w:val="es-ES"/>
        </w:rPr>
        <w:t xml:space="preserve">en el </w:t>
      </w:r>
      <w:r w:rsidR="00066474" w:rsidRPr="00D95727">
        <w:rPr>
          <w:rFonts w:ascii="Arial" w:hAnsi="Arial" w:cs="Arial"/>
          <w:sz w:val="22"/>
          <w:szCs w:val="22"/>
          <w:lang w:val="es-ES"/>
        </w:rPr>
        <w:t xml:space="preserve">marco del </w:t>
      </w:r>
      <w:r w:rsidR="00213D24" w:rsidRPr="00D95727">
        <w:rPr>
          <w:rFonts w:ascii="Arial" w:hAnsi="Arial" w:cs="Arial"/>
          <w:sz w:val="22"/>
          <w:szCs w:val="22"/>
          <w:lang w:val="es-ES"/>
        </w:rPr>
        <w:t>CIG.</w:t>
      </w:r>
    </w:p>
    <w:p w:rsidR="00D16F07" w:rsidRPr="00D95727" w:rsidRDefault="00D16F07" w:rsidP="007330CE">
      <w:pPr>
        <w:rPr>
          <w:rFonts w:ascii="Arial" w:hAnsi="Arial" w:cs="Arial"/>
          <w:sz w:val="22"/>
          <w:szCs w:val="22"/>
          <w:lang w:val="es-ES"/>
        </w:rPr>
      </w:pPr>
    </w:p>
    <w:p w:rsidR="00D16F07" w:rsidRPr="00D95727" w:rsidRDefault="00C913A9" w:rsidP="007330CE">
      <w:pPr>
        <w:rPr>
          <w:rFonts w:ascii="Arial" w:hAnsi="Arial" w:cs="Arial"/>
          <w:b/>
          <w:sz w:val="22"/>
          <w:szCs w:val="22"/>
          <w:u w:val="single"/>
          <w:lang w:val="es-ES"/>
        </w:rPr>
      </w:pPr>
      <w:r w:rsidRPr="00D95727">
        <w:rPr>
          <w:rFonts w:ascii="Arial" w:hAnsi="Arial" w:cs="Arial"/>
          <w:sz w:val="22"/>
          <w:szCs w:val="22"/>
          <w:lang w:val="es-ES"/>
        </w:rPr>
        <w:t xml:space="preserve">Por otro lado, cabe señalar que en torno a 130 países y organizaciones regionales han </w:t>
      </w:r>
      <w:r w:rsidR="00684AB7" w:rsidRPr="00D95727">
        <w:rPr>
          <w:rFonts w:ascii="Arial" w:hAnsi="Arial" w:cs="Arial"/>
          <w:sz w:val="22"/>
          <w:szCs w:val="22"/>
          <w:lang w:val="es-ES"/>
        </w:rPr>
        <w:t>adoptado</w:t>
      </w:r>
      <w:r w:rsidRPr="00D95727">
        <w:rPr>
          <w:rFonts w:ascii="Arial" w:hAnsi="Arial" w:cs="Arial"/>
          <w:sz w:val="22"/>
          <w:szCs w:val="22"/>
          <w:lang w:val="es-ES"/>
        </w:rPr>
        <w:t xml:space="preserve"> leyes u otros instrumentos que abordan de un modo u otro la protección de los CC.TT</w:t>
      </w:r>
      <w:r w:rsidR="00F515BE" w:rsidRPr="00D95727">
        <w:rPr>
          <w:rFonts w:ascii="Arial" w:hAnsi="Arial" w:cs="Arial"/>
          <w:sz w:val="22"/>
          <w:szCs w:val="22"/>
          <w:lang w:val="es-ES"/>
        </w:rPr>
        <w:t xml:space="preserve">.  </w:t>
      </w:r>
      <w:r w:rsidR="00E4048A" w:rsidRPr="00D95727">
        <w:rPr>
          <w:rFonts w:ascii="Arial" w:hAnsi="Arial" w:cs="Arial"/>
          <w:sz w:val="22"/>
          <w:szCs w:val="22"/>
          <w:lang w:val="es-ES"/>
        </w:rPr>
        <w:t xml:space="preserve">y las ECT, </w:t>
      </w:r>
      <w:r w:rsidRPr="00D95727">
        <w:rPr>
          <w:rFonts w:ascii="Arial" w:hAnsi="Arial" w:cs="Arial"/>
          <w:sz w:val="22"/>
          <w:szCs w:val="22"/>
          <w:lang w:val="es-ES"/>
        </w:rPr>
        <w:t xml:space="preserve">o que </w:t>
      </w:r>
      <w:r w:rsidR="00684AB7" w:rsidRPr="00D95727">
        <w:rPr>
          <w:rFonts w:ascii="Arial" w:hAnsi="Arial" w:cs="Arial"/>
          <w:sz w:val="22"/>
          <w:szCs w:val="22"/>
          <w:lang w:val="es-ES"/>
        </w:rPr>
        <w:t>incorporan</w:t>
      </w:r>
      <w:r w:rsidRPr="00D95727">
        <w:rPr>
          <w:rFonts w:ascii="Arial" w:hAnsi="Arial" w:cs="Arial"/>
          <w:sz w:val="22"/>
          <w:szCs w:val="22"/>
          <w:lang w:val="es-ES"/>
        </w:rPr>
        <w:t xml:space="preserve"> un requisito de </w:t>
      </w:r>
      <w:r w:rsidR="00684AB7" w:rsidRPr="00D95727">
        <w:rPr>
          <w:rFonts w:ascii="Arial" w:hAnsi="Arial" w:cs="Arial"/>
          <w:sz w:val="22"/>
          <w:szCs w:val="22"/>
          <w:lang w:val="es-ES"/>
        </w:rPr>
        <w:t>divulgación</w:t>
      </w:r>
      <w:r w:rsidRPr="00D95727">
        <w:rPr>
          <w:rFonts w:ascii="Arial" w:hAnsi="Arial" w:cs="Arial"/>
          <w:sz w:val="22"/>
          <w:szCs w:val="22"/>
          <w:lang w:val="es-ES"/>
        </w:rPr>
        <w:t xml:space="preserve"> en relación con los RR.GG</w:t>
      </w:r>
      <w:r w:rsidR="00F515BE" w:rsidRPr="00D95727">
        <w:rPr>
          <w:rFonts w:ascii="Arial" w:hAnsi="Arial" w:cs="Arial"/>
          <w:sz w:val="22"/>
          <w:szCs w:val="22"/>
          <w:lang w:val="es-ES"/>
        </w:rPr>
        <w:t xml:space="preserve">.  </w:t>
      </w:r>
      <w:r w:rsidRPr="00D95727">
        <w:rPr>
          <w:rFonts w:ascii="Arial" w:hAnsi="Arial" w:cs="Arial"/>
          <w:sz w:val="22"/>
          <w:szCs w:val="22"/>
          <w:lang w:val="es-ES"/>
        </w:rPr>
        <w:t>o los CC.TT</w:t>
      </w:r>
      <w:r w:rsidR="00F515BE" w:rsidRPr="00D95727">
        <w:rPr>
          <w:rFonts w:ascii="Arial" w:hAnsi="Arial" w:cs="Arial"/>
          <w:sz w:val="22"/>
          <w:szCs w:val="22"/>
          <w:lang w:val="es-ES"/>
        </w:rPr>
        <w:t xml:space="preserve">.  </w:t>
      </w:r>
      <w:r w:rsidR="00684AB7" w:rsidRPr="00D95727">
        <w:rPr>
          <w:rFonts w:ascii="Arial" w:hAnsi="Arial" w:cs="Arial"/>
          <w:sz w:val="22"/>
          <w:szCs w:val="22"/>
          <w:lang w:val="es-ES"/>
        </w:rPr>
        <w:t>asociados</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Pueden consultarse los detalles de estas leyes e instrumentos en las páginas web de la División de Conocimientos Tradicionales de la OMPI, en </w:t>
      </w:r>
      <w:r w:rsidR="00E4048A" w:rsidRPr="00D95727">
        <w:rPr>
          <w:rFonts w:ascii="Arial" w:hAnsi="Arial" w:cs="Arial"/>
          <w:sz w:val="22"/>
          <w:szCs w:val="22"/>
          <w:lang w:val="es-ES"/>
        </w:rPr>
        <w:t>http://www.wipo.int/tk/es</w:t>
      </w:r>
      <w:r w:rsidR="00891C6B" w:rsidRPr="00D95727">
        <w:rPr>
          <w:rFonts w:ascii="Arial" w:hAnsi="Arial" w:cs="Arial"/>
          <w:sz w:val="22"/>
          <w:szCs w:val="22"/>
          <w:lang w:val="es-ES"/>
        </w:rPr>
        <w:t>/</w:t>
      </w:r>
      <w:r w:rsidR="00CC0E6B" w:rsidRPr="00D95727">
        <w:rPr>
          <w:rFonts w:ascii="Arial" w:hAnsi="Arial" w:cs="Arial"/>
          <w:sz w:val="22"/>
          <w:szCs w:val="22"/>
          <w:lang w:val="es-ES"/>
        </w:rPr>
        <w:t>.</w:t>
      </w:r>
    </w:p>
    <w:p w:rsidR="00D16F07" w:rsidRPr="00D95727" w:rsidRDefault="00D16F07" w:rsidP="007330CE">
      <w:pPr>
        <w:rPr>
          <w:rFonts w:ascii="Arial" w:hAnsi="Arial" w:cs="Arial"/>
          <w:b/>
          <w:sz w:val="22"/>
          <w:szCs w:val="22"/>
          <w:u w:val="single"/>
          <w:lang w:val="es-ES"/>
        </w:rPr>
      </w:pPr>
    </w:p>
    <w:p w:rsidR="00D16F07" w:rsidRPr="00D95727" w:rsidRDefault="00684AB7" w:rsidP="006170CC">
      <w:pPr>
        <w:outlineLvl w:val="0"/>
        <w:rPr>
          <w:rFonts w:ascii="Arial" w:hAnsi="Arial" w:cs="Arial"/>
          <w:b/>
          <w:sz w:val="22"/>
          <w:szCs w:val="22"/>
          <w:u w:val="single"/>
          <w:lang w:val="es-ES"/>
        </w:rPr>
      </w:pPr>
      <w:r w:rsidRPr="00D95727">
        <w:rPr>
          <w:rFonts w:ascii="Arial" w:hAnsi="Arial" w:cs="Arial"/>
          <w:b/>
          <w:sz w:val="22"/>
          <w:szCs w:val="22"/>
          <w:u w:val="single"/>
          <w:lang w:val="es-ES"/>
        </w:rPr>
        <w:t>Panorama general de la situación de las negociaciones en curso</w:t>
      </w:r>
    </w:p>
    <w:p w:rsidR="00D16F07" w:rsidRPr="00D95727" w:rsidRDefault="00D16F07" w:rsidP="00376B5E">
      <w:pPr>
        <w:rPr>
          <w:rFonts w:ascii="Arial" w:hAnsi="Arial" w:cs="Arial"/>
          <w:b/>
          <w:sz w:val="22"/>
          <w:szCs w:val="22"/>
          <w:lang w:val="es-ES"/>
        </w:rPr>
      </w:pPr>
    </w:p>
    <w:p w:rsidR="00D16F07" w:rsidRPr="00D95727" w:rsidRDefault="00D16F07" w:rsidP="00D16F07">
      <w:pPr>
        <w:outlineLvl w:val="0"/>
        <w:rPr>
          <w:rFonts w:ascii="Arial" w:hAnsi="Arial" w:cs="Arial"/>
          <w:b/>
          <w:i/>
          <w:sz w:val="22"/>
          <w:szCs w:val="22"/>
          <w:lang w:val="es-ES"/>
        </w:rPr>
      </w:pPr>
      <w:r w:rsidRPr="00D95727">
        <w:rPr>
          <w:rFonts w:ascii="Arial" w:hAnsi="Arial" w:cs="Arial"/>
          <w:b/>
          <w:i/>
          <w:sz w:val="22"/>
          <w:szCs w:val="22"/>
          <w:lang w:val="es-ES"/>
        </w:rPr>
        <w:t>Recursos genéticos</w:t>
      </w:r>
    </w:p>
    <w:p w:rsidR="00D16F07" w:rsidRPr="00D95727" w:rsidRDefault="00D16F07" w:rsidP="00376B5E">
      <w:pPr>
        <w:rPr>
          <w:rFonts w:ascii="Arial" w:hAnsi="Arial" w:cs="Arial"/>
          <w:b/>
          <w:sz w:val="22"/>
          <w:szCs w:val="22"/>
          <w:lang w:val="es-ES"/>
        </w:rPr>
      </w:pPr>
    </w:p>
    <w:p w:rsidR="00D16F07" w:rsidRPr="00D95727" w:rsidRDefault="00272DDF" w:rsidP="00376B5E">
      <w:pPr>
        <w:rPr>
          <w:rFonts w:ascii="Arial" w:hAnsi="Arial" w:cs="Arial"/>
          <w:sz w:val="22"/>
          <w:szCs w:val="22"/>
          <w:lang w:val="es-ES"/>
        </w:rPr>
      </w:pPr>
      <w:r w:rsidRPr="00D95727">
        <w:rPr>
          <w:rFonts w:ascii="Arial" w:hAnsi="Arial" w:cs="Arial"/>
          <w:sz w:val="22"/>
          <w:szCs w:val="22"/>
          <w:lang w:val="es-ES"/>
        </w:rPr>
        <w:t xml:space="preserve">El </w:t>
      </w:r>
      <w:r w:rsidR="003814E5" w:rsidRPr="00D95727">
        <w:rPr>
          <w:rFonts w:ascii="Arial" w:hAnsi="Arial" w:cs="Arial"/>
          <w:sz w:val="22"/>
          <w:szCs w:val="22"/>
          <w:lang w:val="es-ES"/>
        </w:rPr>
        <w:t>20 de febrero de 2012</w:t>
      </w:r>
      <w:r w:rsidR="004B6AC7" w:rsidRPr="00D95727">
        <w:rPr>
          <w:rFonts w:ascii="Arial" w:hAnsi="Arial" w:cs="Arial"/>
          <w:sz w:val="22"/>
          <w:szCs w:val="22"/>
          <w:lang w:val="es-ES"/>
        </w:rPr>
        <w:t xml:space="preserve"> </w:t>
      </w:r>
      <w:r w:rsidR="009B78F0" w:rsidRPr="00D95727">
        <w:rPr>
          <w:rFonts w:ascii="Arial" w:hAnsi="Arial" w:cs="Arial"/>
          <w:sz w:val="22"/>
          <w:szCs w:val="22"/>
          <w:lang w:val="es-ES"/>
        </w:rPr>
        <w:t>el CIG</w:t>
      </w:r>
      <w:r w:rsidR="003814E5" w:rsidRPr="00D95727">
        <w:rPr>
          <w:rFonts w:ascii="Arial" w:hAnsi="Arial" w:cs="Arial"/>
          <w:sz w:val="22"/>
          <w:szCs w:val="22"/>
          <w:lang w:val="es-ES"/>
        </w:rPr>
        <w:t xml:space="preserve"> elaboró el primer </w:t>
      </w:r>
      <w:r w:rsidRPr="00D95727">
        <w:rPr>
          <w:rFonts w:ascii="Arial" w:hAnsi="Arial" w:cs="Arial"/>
          <w:sz w:val="22"/>
          <w:szCs w:val="22"/>
          <w:lang w:val="es-ES"/>
        </w:rPr>
        <w:t xml:space="preserve">documento consolidado </w:t>
      </w:r>
      <w:r w:rsidR="009B78F0" w:rsidRPr="00D95727">
        <w:rPr>
          <w:rFonts w:ascii="Arial" w:hAnsi="Arial" w:cs="Arial"/>
          <w:sz w:val="22"/>
          <w:szCs w:val="22"/>
          <w:lang w:val="es-ES"/>
        </w:rPr>
        <w:t>relativo a</w:t>
      </w:r>
      <w:r w:rsidRPr="00D95727">
        <w:rPr>
          <w:rFonts w:ascii="Arial" w:hAnsi="Arial" w:cs="Arial"/>
          <w:sz w:val="22"/>
          <w:szCs w:val="22"/>
          <w:lang w:val="es-ES"/>
        </w:rPr>
        <w:t xml:space="preserve"> los RR.GG</w:t>
      </w:r>
      <w:r w:rsidR="009B78F0" w:rsidRPr="00D95727">
        <w:rPr>
          <w:rFonts w:ascii="Arial" w:hAnsi="Arial" w:cs="Arial"/>
          <w:sz w:val="22"/>
          <w:szCs w:val="22"/>
          <w:lang w:val="es-ES"/>
        </w:rPr>
        <w:t>.</w:t>
      </w:r>
      <w:r w:rsidRPr="00D95727">
        <w:rPr>
          <w:rFonts w:ascii="Arial" w:hAnsi="Arial" w:cs="Arial"/>
          <w:sz w:val="22"/>
          <w:szCs w:val="22"/>
          <w:lang w:val="es-ES"/>
        </w:rPr>
        <w:t xml:space="preserve">, </w:t>
      </w:r>
      <w:r w:rsidR="009B78F0" w:rsidRPr="00D95727">
        <w:rPr>
          <w:rFonts w:ascii="Arial" w:hAnsi="Arial" w:cs="Arial"/>
          <w:sz w:val="22"/>
          <w:szCs w:val="22"/>
          <w:lang w:val="es-ES"/>
        </w:rPr>
        <w:t>en el que trataba de resumir</w:t>
      </w:r>
      <w:r w:rsidRPr="00D95727">
        <w:rPr>
          <w:rFonts w:ascii="Arial" w:hAnsi="Arial" w:cs="Arial"/>
          <w:sz w:val="22"/>
          <w:szCs w:val="22"/>
          <w:lang w:val="es-ES"/>
        </w:rPr>
        <w:t xml:space="preserve"> las </w:t>
      </w:r>
      <w:r w:rsidR="009B78F0" w:rsidRPr="00D95727">
        <w:rPr>
          <w:rFonts w:ascii="Arial" w:hAnsi="Arial" w:cs="Arial"/>
          <w:sz w:val="22"/>
          <w:szCs w:val="22"/>
          <w:lang w:val="es-ES"/>
        </w:rPr>
        <w:t>diferentes</w:t>
      </w:r>
      <w:r w:rsidRPr="00D95727">
        <w:rPr>
          <w:rFonts w:ascii="Arial" w:hAnsi="Arial" w:cs="Arial"/>
          <w:sz w:val="22"/>
          <w:szCs w:val="22"/>
          <w:lang w:val="es-ES"/>
        </w:rPr>
        <w:t xml:space="preserve"> propuestas y </w:t>
      </w:r>
      <w:r w:rsidR="009B78F0" w:rsidRPr="00D95727">
        <w:rPr>
          <w:rFonts w:ascii="Arial" w:hAnsi="Arial" w:cs="Arial"/>
          <w:sz w:val="22"/>
          <w:szCs w:val="22"/>
          <w:lang w:val="es-ES"/>
        </w:rPr>
        <w:t>posturas</w:t>
      </w:r>
      <w:r w:rsidRPr="00D95727">
        <w:rPr>
          <w:rFonts w:ascii="Arial" w:hAnsi="Arial" w:cs="Arial"/>
          <w:sz w:val="22"/>
          <w:szCs w:val="22"/>
          <w:lang w:val="es-ES"/>
        </w:rPr>
        <w:t xml:space="preserve"> </w:t>
      </w:r>
      <w:r w:rsidR="009B78F0" w:rsidRPr="00D95727">
        <w:rPr>
          <w:rFonts w:ascii="Arial" w:hAnsi="Arial" w:cs="Arial"/>
          <w:sz w:val="22"/>
          <w:szCs w:val="22"/>
          <w:lang w:val="es-ES"/>
        </w:rPr>
        <w:t>que figuraban</w:t>
      </w:r>
      <w:r w:rsidRPr="00D95727">
        <w:rPr>
          <w:rFonts w:ascii="Arial" w:hAnsi="Arial" w:cs="Arial"/>
          <w:sz w:val="22"/>
          <w:szCs w:val="22"/>
          <w:lang w:val="es-ES"/>
        </w:rPr>
        <w:t xml:space="preserve"> en </w:t>
      </w:r>
      <w:r w:rsidR="009B78F0" w:rsidRPr="00D95727">
        <w:rPr>
          <w:rFonts w:ascii="Arial" w:hAnsi="Arial" w:cs="Arial"/>
          <w:sz w:val="22"/>
          <w:szCs w:val="22"/>
          <w:lang w:val="es-ES"/>
        </w:rPr>
        <w:t>su</w:t>
      </w:r>
      <w:r w:rsidRPr="00D95727">
        <w:rPr>
          <w:rFonts w:ascii="Arial" w:hAnsi="Arial" w:cs="Arial"/>
          <w:sz w:val="22"/>
          <w:szCs w:val="22"/>
          <w:lang w:val="es-ES"/>
        </w:rPr>
        <w:t xml:space="preserve">s documentos de trabajo y </w:t>
      </w:r>
      <w:r w:rsidR="003814E5" w:rsidRPr="00D95727">
        <w:rPr>
          <w:rFonts w:ascii="Arial" w:hAnsi="Arial" w:cs="Arial"/>
          <w:sz w:val="22"/>
          <w:szCs w:val="22"/>
          <w:lang w:val="es-ES"/>
        </w:rPr>
        <w:t xml:space="preserve">en </w:t>
      </w:r>
      <w:r w:rsidRPr="00D95727">
        <w:rPr>
          <w:rFonts w:ascii="Arial" w:hAnsi="Arial" w:cs="Arial"/>
          <w:sz w:val="22"/>
          <w:szCs w:val="22"/>
          <w:lang w:val="es-ES"/>
        </w:rPr>
        <w:t>las propuestas de los Estados miembros</w:t>
      </w:r>
      <w:r w:rsidR="00F515BE" w:rsidRPr="00D95727">
        <w:rPr>
          <w:rFonts w:ascii="Arial" w:hAnsi="Arial" w:cs="Arial"/>
          <w:sz w:val="22"/>
          <w:szCs w:val="22"/>
          <w:lang w:val="es-ES"/>
        </w:rPr>
        <w:t xml:space="preserve">.  </w:t>
      </w:r>
      <w:r w:rsidR="009B78F0" w:rsidRPr="00D95727">
        <w:rPr>
          <w:rFonts w:ascii="Arial" w:hAnsi="Arial" w:cs="Arial"/>
          <w:sz w:val="22"/>
          <w:szCs w:val="22"/>
          <w:lang w:val="es-ES"/>
        </w:rPr>
        <w:t>Est</w:t>
      </w:r>
      <w:r w:rsidR="003814E5" w:rsidRPr="00D95727">
        <w:rPr>
          <w:rFonts w:ascii="Arial" w:hAnsi="Arial" w:cs="Arial"/>
          <w:sz w:val="22"/>
          <w:szCs w:val="22"/>
          <w:lang w:val="es-ES"/>
        </w:rPr>
        <w:t>e documento inicial</w:t>
      </w:r>
      <w:r w:rsidRPr="00D95727">
        <w:rPr>
          <w:rFonts w:ascii="Arial" w:hAnsi="Arial" w:cs="Arial"/>
          <w:sz w:val="22"/>
          <w:szCs w:val="22"/>
          <w:lang w:val="es-ES"/>
        </w:rPr>
        <w:t xml:space="preserve"> ha </w:t>
      </w:r>
      <w:r w:rsidR="009B78F0" w:rsidRPr="00D95727">
        <w:rPr>
          <w:rFonts w:ascii="Arial" w:hAnsi="Arial" w:cs="Arial"/>
          <w:sz w:val="22"/>
          <w:szCs w:val="22"/>
          <w:lang w:val="es-ES"/>
        </w:rPr>
        <w:t>pasado desde entonces por un proceso de</w:t>
      </w:r>
      <w:r w:rsidRPr="00D95727">
        <w:rPr>
          <w:rFonts w:ascii="Arial" w:hAnsi="Arial" w:cs="Arial"/>
          <w:sz w:val="22"/>
          <w:szCs w:val="22"/>
          <w:lang w:val="es-ES"/>
        </w:rPr>
        <w:t xml:space="preserve"> reelaboración</w:t>
      </w:r>
      <w:r w:rsidR="009B78F0" w:rsidRPr="00D95727">
        <w:rPr>
          <w:rFonts w:ascii="Arial" w:hAnsi="Arial" w:cs="Arial"/>
          <w:sz w:val="22"/>
          <w:szCs w:val="22"/>
          <w:lang w:val="es-ES"/>
        </w:rPr>
        <w:t xml:space="preserve"> sustancial hasta reflejar</w:t>
      </w:r>
      <w:r w:rsidRPr="00D95727">
        <w:rPr>
          <w:rFonts w:ascii="Arial" w:hAnsi="Arial" w:cs="Arial"/>
          <w:sz w:val="22"/>
          <w:szCs w:val="22"/>
          <w:lang w:val="es-ES"/>
        </w:rPr>
        <w:t xml:space="preserve"> </w:t>
      </w:r>
      <w:r w:rsidR="009B78F0" w:rsidRPr="00D95727">
        <w:rPr>
          <w:rFonts w:ascii="Arial" w:hAnsi="Arial" w:cs="Arial"/>
          <w:sz w:val="22"/>
          <w:szCs w:val="22"/>
          <w:lang w:val="es-ES"/>
        </w:rPr>
        <w:t xml:space="preserve">actualmente </w:t>
      </w:r>
      <w:r w:rsidRPr="00D95727">
        <w:rPr>
          <w:rFonts w:ascii="Arial" w:hAnsi="Arial" w:cs="Arial"/>
          <w:sz w:val="22"/>
          <w:szCs w:val="22"/>
          <w:lang w:val="es-ES"/>
        </w:rPr>
        <w:t xml:space="preserve">dos propuestas </w:t>
      </w:r>
      <w:r w:rsidR="009B78F0" w:rsidRPr="00D95727">
        <w:rPr>
          <w:rFonts w:ascii="Arial" w:hAnsi="Arial" w:cs="Arial"/>
          <w:sz w:val="22"/>
          <w:szCs w:val="22"/>
          <w:lang w:val="es-ES"/>
        </w:rPr>
        <w:t>de carácter general</w:t>
      </w:r>
      <w:r w:rsidR="003814E5" w:rsidRPr="00D95727">
        <w:rPr>
          <w:rFonts w:ascii="Arial" w:hAnsi="Arial" w:cs="Arial"/>
          <w:sz w:val="22"/>
          <w:szCs w:val="22"/>
          <w:lang w:val="es-ES"/>
        </w:rPr>
        <w:t xml:space="preserve"> </w:t>
      </w:r>
      <w:r w:rsidRPr="00D95727">
        <w:rPr>
          <w:rFonts w:ascii="Arial" w:hAnsi="Arial" w:cs="Arial"/>
          <w:sz w:val="22"/>
          <w:szCs w:val="22"/>
          <w:lang w:val="es-ES"/>
        </w:rPr>
        <w:t xml:space="preserve">para </w:t>
      </w:r>
      <w:r w:rsidR="003814E5" w:rsidRPr="00D95727">
        <w:rPr>
          <w:rFonts w:ascii="Arial" w:hAnsi="Arial" w:cs="Arial"/>
          <w:sz w:val="22"/>
          <w:szCs w:val="22"/>
          <w:lang w:val="es-ES"/>
        </w:rPr>
        <w:t>abordar</w:t>
      </w:r>
      <w:r w:rsidRPr="00D95727">
        <w:rPr>
          <w:rFonts w:ascii="Arial" w:hAnsi="Arial" w:cs="Arial"/>
          <w:sz w:val="22"/>
          <w:szCs w:val="22"/>
          <w:lang w:val="es-ES"/>
        </w:rPr>
        <w:t xml:space="preserve"> los objetivos de política que se exponen en el texto, </w:t>
      </w:r>
      <w:r w:rsidR="009B78F0" w:rsidRPr="00D95727">
        <w:rPr>
          <w:rFonts w:ascii="Arial" w:hAnsi="Arial" w:cs="Arial"/>
          <w:sz w:val="22"/>
          <w:szCs w:val="22"/>
          <w:lang w:val="es-ES"/>
        </w:rPr>
        <w:t>sobre las cuales</w:t>
      </w:r>
      <w:r w:rsidRPr="00D95727">
        <w:rPr>
          <w:rFonts w:ascii="Arial" w:hAnsi="Arial" w:cs="Arial"/>
          <w:sz w:val="22"/>
          <w:szCs w:val="22"/>
          <w:lang w:val="es-ES"/>
        </w:rPr>
        <w:t xml:space="preserve"> no existe acuerdo</w:t>
      </w:r>
      <w:r w:rsidR="00F515BE" w:rsidRPr="00D95727">
        <w:rPr>
          <w:rFonts w:ascii="Arial" w:hAnsi="Arial" w:cs="Arial"/>
          <w:sz w:val="22"/>
          <w:szCs w:val="22"/>
          <w:lang w:val="es-ES"/>
        </w:rPr>
        <w:t xml:space="preserve">.  </w:t>
      </w:r>
      <w:r w:rsidR="007E698B" w:rsidRPr="00D95727">
        <w:rPr>
          <w:rFonts w:ascii="Arial" w:hAnsi="Arial" w:cs="Arial"/>
          <w:sz w:val="22"/>
          <w:szCs w:val="22"/>
          <w:lang w:val="es-ES"/>
        </w:rPr>
        <w:t>Los siguientes son algunos de</w:t>
      </w:r>
      <w:r w:rsidR="001A3B3C" w:rsidRPr="00D95727">
        <w:rPr>
          <w:rFonts w:ascii="Arial" w:hAnsi="Arial" w:cs="Arial"/>
          <w:sz w:val="22"/>
          <w:szCs w:val="22"/>
          <w:lang w:val="es-ES"/>
        </w:rPr>
        <w:t xml:space="preserve"> l</w:t>
      </w:r>
      <w:r w:rsidRPr="00D95727">
        <w:rPr>
          <w:rFonts w:ascii="Arial" w:hAnsi="Arial" w:cs="Arial"/>
          <w:sz w:val="22"/>
          <w:szCs w:val="22"/>
          <w:lang w:val="es-ES"/>
        </w:rPr>
        <w:t xml:space="preserve">os elementos </w:t>
      </w:r>
      <w:r w:rsidR="009B78F0" w:rsidRPr="00D95727">
        <w:rPr>
          <w:rFonts w:ascii="Arial" w:hAnsi="Arial" w:cs="Arial"/>
          <w:sz w:val="22"/>
          <w:szCs w:val="22"/>
          <w:lang w:val="es-ES"/>
        </w:rPr>
        <w:t>esenciales</w:t>
      </w:r>
      <w:r w:rsidRPr="00D95727">
        <w:rPr>
          <w:rFonts w:ascii="Arial" w:hAnsi="Arial" w:cs="Arial"/>
          <w:sz w:val="22"/>
          <w:szCs w:val="22"/>
          <w:lang w:val="es-ES"/>
        </w:rPr>
        <w:t xml:space="preserve"> de política </w:t>
      </w:r>
      <w:r w:rsidR="001A3B3C" w:rsidRPr="00D95727">
        <w:rPr>
          <w:rFonts w:ascii="Arial" w:hAnsi="Arial" w:cs="Arial"/>
          <w:sz w:val="22"/>
          <w:szCs w:val="22"/>
          <w:lang w:val="es-ES"/>
        </w:rPr>
        <w:t xml:space="preserve">que se encuentran implicados en </w:t>
      </w:r>
      <w:r w:rsidRPr="00D95727">
        <w:rPr>
          <w:rFonts w:ascii="Arial" w:hAnsi="Arial" w:cs="Arial"/>
          <w:sz w:val="22"/>
          <w:szCs w:val="22"/>
          <w:lang w:val="es-ES"/>
        </w:rPr>
        <w:t>e</w:t>
      </w:r>
      <w:r w:rsidR="001A3B3C" w:rsidRPr="00D95727">
        <w:rPr>
          <w:rFonts w:ascii="Arial" w:hAnsi="Arial" w:cs="Arial"/>
          <w:sz w:val="22"/>
          <w:szCs w:val="22"/>
          <w:lang w:val="es-ES"/>
        </w:rPr>
        <w:t>s</w:t>
      </w:r>
      <w:r w:rsidRPr="00D95727">
        <w:rPr>
          <w:rFonts w:ascii="Arial" w:hAnsi="Arial" w:cs="Arial"/>
          <w:sz w:val="22"/>
          <w:szCs w:val="22"/>
          <w:lang w:val="es-ES"/>
        </w:rPr>
        <w:t xml:space="preserve">as </w:t>
      </w:r>
      <w:r w:rsidR="009B78F0" w:rsidRPr="00D95727">
        <w:rPr>
          <w:rFonts w:ascii="Arial" w:hAnsi="Arial" w:cs="Arial"/>
          <w:sz w:val="22"/>
          <w:szCs w:val="22"/>
          <w:lang w:val="es-ES"/>
        </w:rPr>
        <w:t>posturas</w:t>
      </w:r>
      <w:r w:rsidRPr="00D95727">
        <w:rPr>
          <w:rFonts w:ascii="Arial" w:hAnsi="Arial" w:cs="Arial"/>
          <w:sz w:val="22"/>
          <w:szCs w:val="22"/>
          <w:lang w:val="es-ES"/>
        </w:rPr>
        <w:t xml:space="preserve"> alternativas (</w:t>
      </w:r>
      <w:r w:rsidR="007E698B" w:rsidRPr="00D95727">
        <w:rPr>
          <w:rFonts w:ascii="Arial" w:hAnsi="Arial" w:cs="Arial"/>
          <w:sz w:val="22"/>
          <w:szCs w:val="22"/>
          <w:u w:val="single"/>
          <w:lang w:val="es-ES"/>
        </w:rPr>
        <w:t>la interpretación es mía</w:t>
      </w:r>
      <w:r w:rsidR="00773664" w:rsidRPr="00D95727">
        <w:rPr>
          <w:rFonts w:ascii="Arial" w:hAnsi="Arial" w:cs="Arial"/>
          <w:sz w:val="22"/>
          <w:szCs w:val="22"/>
          <w:lang w:val="es-ES"/>
        </w:rPr>
        <w:t>)</w:t>
      </w:r>
      <w:r w:rsidR="008861FC" w:rsidRPr="00D95727">
        <w:rPr>
          <w:rFonts w:ascii="Arial" w:hAnsi="Arial" w:cs="Arial"/>
          <w:sz w:val="22"/>
          <w:szCs w:val="22"/>
          <w:lang w:val="es-ES"/>
        </w:rPr>
        <w:t>:</w:t>
      </w:r>
    </w:p>
    <w:p w:rsidR="00D16F07" w:rsidRPr="00D95727" w:rsidRDefault="00D16F07" w:rsidP="00376B5E">
      <w:pPr>
        <w:rPr>
          <w:rFonts w:ascii="Arial" w:hAnsi="Arial" w:cs="Arial"/>
          <w:sz w:val="22"/>
          <w:szCs w:val="22"/>
          <w:lang w:val="es-ES"/>
        </w:rPr>
      </w:pPr>
    </w:p>
    <w:p w:rsidR="00D16F07" w:rsidRPr="00D95727" w:rsidRDefault="007E698B" w:rsidP="001A3B3C">
      <w:pPr>
        <w:numPr>
          <w:ilvl w:val="0"/>
          <w:numId w:val="8"/>
        </w:numPr>
        <w:rPr>
          <w:rFonts w:ascii="Arial" w:hAnsi="Arial" w:cs="Arial"/>
          <w:i/>
          <w:sz w:val="22"/>
          <w:szCs w:val="22"/>
          <w:lang w:val="es-ES"/>
        </w:rPr>
      </w:pPr>
      <w:r w:rsidRPr="00D95727">
        <w:rPr>
          <w:rFonts w:ascii="Arial" w:hAnsi="Arial" w:cs="Arial"/>
          <w:i/>
          <w:sz w:val="22"/>
          <w:szCs w:val="22"/>
          <w:lang w:val="es-ES"/>
        </w:rPr>
        <w:t xml:space="preserve">Aumentar la </w:t>
      </w:r>
      <w:r w:rsidR="001A3B3C" w:rsidRPr="00D95727">
        <w:rPr>
          <w:rFonts w:ascii="Arial" w:hAnsi="Arial" w:cs="Arial"/>
          <w:i/>
          <w:sz w:val="22"/>
          <w:szCs w:val="22"/>
          <w:lang w:val="es-ES"/>
        </w:rPr>
        <w:t>transparencia del sistema [de P.I.] [patentes] en relación con los RR.GG</w:t>
      </w:r>
      <w:r w:rsidR="00F515BE" w:rsidRPr="00D95727">
        <w:rPr>
          <w:rFonts w:ascii="Arial" w:hAnsi="Arial" w:cs="Arial"/>
          <w:i/>
          <w:sz w:val="22"/>
          <w:szCs w:val="22"/>
          <w:lang w:val="es-ES"/>
        </w:rPr>
        <w:t xml:space="preserve">.  </w:t>
      </w:r>
      <w:r w:rsidR="001A3B3C" w:rsidRPr="00D95727">
        <w:rPr>
          <w:rFonts w:ascii="Arial" w:hAnsi="Arial" w:cs="Arial"/>
          <w:i/>
          <w:sz w:val="22"/>
          <w:szCs w:val="22"/>
          <w:lang w:val="es-ES"/>
        </w:rPr>
        <w:t>y los CC.TT</w:t>
      </w:r>
      <w:r w:rsidR="009B78F0" w:rsidRPr="00D95727">
        <w:rPr>
          <w:rFonts w:ascii="Arial" w:hAnsi="Arial" w:cs="Arial"/>
          <w:i/>
          <w:sz w:val="22"/>
          <w:szCs w:val="22"/>
          <w:lang w:val="es-ES"/>
        </w:rPr>
        <w:t>.</w:t>
      </w:r>
      <w:r w:rsidR="00F515BE" w:rsidRPr="00D95727">
        <w:rPr>
          <w:rFonts w:ascii="Arial" w:hAnsi="Arial" w:cs="Arial"/>
          <w:i/>
          <w:sz w:val="22"/>
          <w:szCs w:val="22"/>
          <w:lang w:val="es-ES"/>
        </w:rPr>
        <w:t xml:space="preserve"> </w:t>
      </w:r>
      <w:r w:rsidR="001A3B3C" w:rsidRPr="00D95727">
        <w:rPr>
          <w:rFonts w:ascii="Arial" w:hAnsi="Arial" w:cs="Arial"/>
          <w:i/>
          <w:sz w:val="22"/>
          <w:szCs w:val="22"/>
          <w:lang w:val="es-ES"/>
        </w:rPr>
        <w:t xml:space="preserve">asociados </w:t>
      </w:r>
      <w:r w:rsidRPr="00D95727">
        <w:rPr>
          <w:rFonts w:ascii="Arial" w:hAnsi="Arial" w:cs="Arial"/>
          <w:i/>
          <w:sz w:val="22"/>
          <w:szCs w:val="22"/>
          <w:lang w:val="es-ES"/>
        </w:rPr>
        <w:t>a los RR.GG</w:t>
      </w:r>
      <w:r w:rsidR="001A3B3C" w:rsidRPr="00D95727">
        <w:rPr>
          <w:rFonts w:ascii="Arial" w:hAnsi="Arial" w:cs="Arial"/>
          <w:i/>
          <w:sz w:val="22"/>
          <w:szCs w:val="22"/>
          <w:lang w:val="es-ES"/>
        </w:rPr>
        <w:t>.</w:t>
      </w:r>
    </w:p>
    <w:p w:rsidR="00D16F07" w:rsidRPr="00D95727" w:rsidRDefault="007E3784" w:rsidP="007E3784">
      <w:pPr>
        <w:numPr>
          <w:ilvl w:val="0"/>
          <w:numId w:val="8"/>
        </w:numPr>
        <w:rPr>
          <w:i/>
          <w:sz w:val="22"/>
          <w:szCs w:val="22"/>
          <w:lang w:val="es-ES"/>
        </w:rPr>
      </w:pPr>
      <w:r w:rsidRPr="00D95727">
        <w:rPr>
          <w:rFonts w:ascii="Arial" w:hAnsi="Arial" w:cs="Arial"/>
          <w:i/>
          <w:sz w:val="22"/>
          <w:szCs w:val="22"/>
          <w:lang w:val="es-ES"/>
        </w:rPr>
        <w:t>Facilitar la complementariedad con otros acuerdos internacionales</w:t>
      </w:r>
      <w:r w:rsidR="009B78F0" w:rsidRPr="00D95727">
        <w:rPr>
          <w:rFonts w:ascii="Arial" w:hAnsi="Arial" w:cs="Arial"/>
          <w:i/>
          <w:sz w:val="22"/>
          <w:szCs w:val="22"/>
          <w:lang w:val="es-ES"/>
        </w:rPr>
        <w:t xml:space="preserve"> </w:t>
      </w:r>
      <w:r w:rsidRPr="00D95727">
        <w:rPr>
          <w:rFonts w:ascii="Arial" w:hAnsi="Arial" w:cs="Arial"/>
          <w:i/>
          <w:sz w:val="22"/>
          <w:szCs w:val="22"/>
          <w:lang w:val="es-ES"/>
        </w:rPr>
        <w:t>en relación con los RR.GG</w:t>
      </w:r>
      <w:r w:rsidR="00F515BE" w:rsidRPr="00D95727">
        <w:rPr>
          <w:rFonts w:ascii="Arial" w:hAnsi="Arial" w:cs="Arial"/>
          <w:i/>
          <w:sz w:val="22"/>
          <w:szCs w:val="22"/>
          <w:lang w:val="es-ES"/>
        </w:rPr>
        <w:t xml:space="preserve">. </w:t>
      </w:r>
      <w:r w:rsidRPr="00D95727">
        <w:rPr>
          <w:rFonts w:ascii="Arial" w:hAnsi="Arial" w:cs="Arial"/>
          <w:i/>
          <w:sz w:val="22"/>
          <w:szCs w:val="22"/>
          <w:lang w:val="es-ES"/>
        </w:rPr>
        <w:t>y los CC.TT</w:t>
      </w:r>
      <w:r w:rsidR="00F515BE" w:rsidRPr="00D95727">
        <w:rPr>
          <w:rFonts w:ascii="Arial" w:hAnsi="Arial" w:cs="Arial"/>
          <w:i/>
          <w:sz w:val="22"/>
          <w:szCs w:val="22"/>
          <w:lang w:val="es-ES"/>
        </w:rPr>
        <w:t xml:space="preserve">. </w:t>
      </w:r>
      <w:r w:rsidRPr="00D95727">
        <w:rPr>
          <w:rFonts w:ascii="Arial" w:hAnsi="Arial" w:cs="Arial"/>
          <w:i/>
          <w:sz w:val="22"/>
          <w:szCs w:val="22"/>
          <w:lang w:val="es-ES"/>
        </w:rPr>
        <w:t xml:space="preserve">asociados </w:t>
      </w:r>
      <w:r w:rsidR="007E698B" w:rsidRPr="00D95727">
        <w:rPr>
          <w:rFonts w:ascii="Arial" w:hAnsi="Arial" w:cs="Arial"/>
          <w:i/>
          <w:sz w:val="22"/>
          <w:szCs w:val="22"/>
          <w:lang w:val="es-ES"/>
        </w:rPr>
        <w:t>a los RR.GG</w:t>
      </w:r>
      <w:r w:rsidRPr="00D95727">
        <w:rPr>
          <w:rFonts w:ascii="Arial" w:hAnsi="Arial" w:cs="Arial"/>
          <w:i/>
          <w:sz w:val="22"/>
          <w:szCs w:val="22"/>
          <w:lang w:val="es-ES"/>
        </w:rPr>
        <w:t>.</w:t>
      </w:r>
    </w:p>
    <w:p w:rsidR="00D16F07" w:rsidRPr="00D95727" w:rsidRDefault="007E3784" w:rsidP="007E3784">
      <w:pPr>
        <w:numPr>
          <w:ilvl w:val="0"/>
          <w:numId w:val="8"/>
        </w:numPr>
        <w:rPr>
          <w:rFonts w:ascii="Arial" w:hAnsi="Arial" w:cs="Arial"/>
          <w:i/>
          <w:sz w:val="22"/>
          <w:szCs w:val="22"/>
          <w:lang w:val="es-ES"/>
        </w:rPr>
      </w:pPr>
      <w:r w:rsidRPr="00D95727">
        <w:rPr>
          <w:rFonts w:ascii="Arial" w:hAnsi="Arial" w:cs="Arial"/>
          <w:i/>
          <w:sz w:val="22"/>
          <w:szCs w:val="22"/>
          <w:lang w:val="es-ES"/>
        </w:rPr>
        <w:t>Facilitar la posibilidad de acceso y de participación en los beneficios a través de la divulgación del país de origen o de la fuente en sistemas separados, como el CDB.</w:t>
      </w:r>
    </w:p>
    <w:p w:rsidR="00D16F07" w:rsidRPr="00D95727" w:rsidRDefault="00134CCE" w:rsidP="00134CCE">
      <w:pPr>
        <w:numPr>
          <w:ilvl w:val="0"/>
          <w:numId w:val="8"/>
        </w:numPr>
        <w:rPr>
          <w:rFonts w:ascii="Arial" w:hAnsi="Arial" w:cs="Arial"/>
          <w:i/>
          <w:sz w:val="22"/>
          <w:szCs w:val="22"/>
          <w:lang w:val="es-ES"/>
        </w:rPr>
      </w:pPr>
      <w:r w:rsidRPr="00D95727">
        <w:rPr>
          <w:rFonts w:ascii="Arial" w:hAnsi="Arial" w:cs="Arial"/>
          <w:i/>
          <w:sz w:val="22"/>
          <w:szCs w:val="22"/>
          <w:lang w:val="es-ES"/>
        </w:rPr>
        <w:t xml:space="preserve">Garantizar que las oficinas de </w:t>
      </w:r>
      <w:r w:rsidR="0096429C" w:rsidRPr="00D95727">
        <w:rPr>
          <w:rFonts w:ascii="Arial" w:hAnsi="Arial" w:cs="Arial"/>
          <w:i/>
          <w:sz w:val="22"/>
          <w:szCs w:val="22"/>
          <w:lang w:val="es-ES"/>
        </w:rPr>
        <w:t>P.I./</w:t>
      </w:r>
      <w:r w:rsidRPr="00D95727">
        <w:rPr>
          <w:rFonts w:ascii="Arial" w:hAnsi="Arial" w:cs="Arial"/>
          <w:i/>
          <w:sz w:val="22"/>
          <w:szCs w:val="22"/>
          <w:lang w:val="es-ES"/>
        </w:rPr>
        <w:t>patentes</w:t>
      </w:r>
      <w:r w:rsidR="009B78F0" w:rsidRPr="00D95727">
        <w:rPr>
          <w:rFonts w:ascii="Arial" w:hAnsi="Arial" w:cs="Arial"/>
          <w:i/>
          <w:sz w:val="22"/>
          <w:szCs w:val="22"/>
          <w:lang w:val="es-ES"/>
        </w:rPr>
        <w:t xml:space="preserve"> </w:t>
      </w:r>
      <w:r w:rsidRPr="00D95727">
        <w:rPr>
          <w:rFonts w:ascii="Arial" w:hAnsi="Arial" w:cs="Arial"/>
          <w:i/>
          <w:sz w:val="22"/>
          <w:szCs w:val="22"/>
          <w:lang w:val="es-ES"/>
        </w:rPr>
        <w:t xml:space="preserve">tengan acceso a la información apropiada sobre </w:t>
      </w:r>
      <w:r w:rsidR="007E698B" w:rsidRPr="00D95727">
        <w:rPr>
          <w:rFonts w:ascii="Arial" w:hAnsi="Arial" w:cs="Arial"/>
          <w:i/>
          <w:sz w:val="22"/>
          <w:szCs w:val="22"/>
          <w:lang w:val="es-ES"/>
        </w:rPr>
        <w:t xml:space="preserve">los </w:t>
      </w:r>
      <w:r w:rsidRPr="00D95727">
        <w:rPr>
          <w:rFonts w:ascii="Arial" w:hAnsi="Arial" w:cs="Arial"/>
          <w:i/>
          <w:sz w:val="22"/>
          <w:szCs w:val="22"/>
          <w:lang w:val="es-ES"/>
        </w:rPr>
        <w:t>RR.GG</w:t>
      </w:r>
      <w:r w:rsidR="00F515BE" w:rsidRPr="00D95727">
        <w:rPr>
          <w:rFonts w:ascii="Arial" w:hAnsi="Arial" w:cs="Arial"/>
          <w:i/>
          <w:sz w:val="22"/>
          <w:szCs w:val="22"/>
          <w:lang w:val="es-ES"/>
        </w:rPr>
        <w:t xml:space="preserve">. </w:t>
      </w:r>
      <w:r w:rsidRPr="00D95727">
        <w:rPr>
          <w:rFonts w:ascii="Arial" w:hAnsi="Arial" w:cs="Arial"/>
          <w:i/>
          <w:sz w:val="22"/>
          <w:szCs w:val="22"/>
          <w:lang w:val="es-ES"/>
        </w:rPr>
        <w:t xml:space="preserve">y </w:t>
      </w:r>
      <w:r w:rsidR="00845F1F" w:rsidRPr="00D95727">
        <w:rPr>
          <w:rFonts w:ascii="Arial" w:hAnsi="Arial" w:cs="Arial"/>
          <w:i/>
          <w:sz w:val="22"/>
          <w:szCs w:val="22"/>
          <w:lang w:val="es-ES"/>
        </w:rPr>
        <w:t xml:space="preserve">los </w:t>
      </w:r>
      <w:r w:rsidRPr="00D95727">
        <w:rPr>
          <w:rFonts w:ascii="Arial" w:hAnsi="Arial" w:cs="Arial"/>
          <w:i/>
          <w:sz w:val="22"/>
          <w:szCs w:val="22"/>
          <w:lang w:val="es-ES"/>
        </w:rPr>
        <w:t>CC.TT</w:t>
      </w:r>
      <w:r w:rsidR="00F515BE" w:rsidRPr="00D95727">
        <w:rPr>
          <w:rFonts w:ascii="Arial" w:hAnsi="Arial" w:cs="Arial"/>
          <w:i/>
          <w:sz w:val="22"/>
          <w:szCs w:val="22"/>
          <w:lang w:val="es-ES"/>
        </w:rPr>
        <w:t xml:space="preserve">. </w:t>
      </w:r>
      <w:r w:rsidRPr="00D95727">
        <w:rPr>
          <w:rFonts w:ascii="Arial" w:hAnsi="Arial" w:cs="Arial"/>
          <w:i/>
          <w:sz w:val="22"/>
          <w:szCs w:val="22"/>
          <w:lang w:val="es-ES"/>
        </w:rPr>
        <w:t xml:space="preserve">asociados a </w:t>
      </w:r>
      <w:r w:rsidR="007E698B" w:rsidRPr="00D95727">
        <w:rPr>
          <w:rFonts w:ascii="Arial" w:hAnsi="Arial" w:cs="Arial"/>
          <w:i/>
          <w:sz w:val="22"/>
          <w:szCs w:val="22"/>
          <w:lang w:val="es-ES"/>
        </w:rPr>
        <w:t xml:space="preserve">los RR.GG. </w:t>
      </w:r>
      <w:r w:rsidRPr="00D95727">
        <w:rPr>
          <w:rFonts w:ascii="Arial" w:hAnsi="Arial" w:cs="Arial"/>
          <w:i/>
          <w:sz w:val="22"/>
          <w:szCs w:val="22"/>
          <w:lang w:val="es-ES"/>
        </w:rPr>
        <w:t>para evitar la concesión de derechos</w:t>
      </w:r>
      <w:r w:rsidR="009B78F0" w:rsidRPr="00D95727">
        <w:rPr>
          <w:rFonts w:ascii="Arial" w:hAnsi="Arial" w:cs="Arial"/>
          <w:i/>
          <w:sz w:val="22"/>
          <w:szCs w:val="22"/>
          <w:lang w:val="es-ES"/>
        </w:rPr>
        <w:t xml:space="preserve"> </w:t>
      </w:r>
      <w:r w:rsidR="005B3068" w:rsidRPr="00D95727">
        <w:rPr>
          <w:rFonts w:ascii="Arial" w:hAnsi="Arial" w:cs="Arial"/>
          <w:i/>
          <w:sz w:val="22"/>
          <w:szCs w:val="22"/>
          <w:lang w:val="es-ES"/>
        </w:rPr>
        <w:t>erróneos</w:t>
      </w:r>
      <w:r w:rsidR="009B78F0" w:rsidRPr="00D95727">
        <w:rPr>
          <w:rFonts w:ascii="Arial" w:hAnsi="Arial" w:cs="Arial"/>
          <w:i/>
          <w:sz w:val="22"/>
          <w:szCs w:val="22"/>
          <w:lang w:val="es-ES"/>
        </w:rPr>
        <w:t xml:space="preserve"> </w:t>
      </w:r>
      <w:r w:rsidRPr="00D95727">
        <w:rPr>
          <w:rFonts w:ascii="Arial" w:hAnsi="Arial" w:cs="Arial"/>
          <w:i/>
          <w:sz w:val="22"/>
          <w:szCs w:val="22"/>
          <w:lang w:val="es-ES"/>
        </w:rPr>
        <w:t xml:space="preserve">de </w:t>
      </w:r>
      <w:r w:rsidR="00161F42" w:rsidRPr="00D95727">
        <w:rPr>
          <w:rFonts w:ascii="Arial" w:hAnsi="Arial" w:cs="Arial"/>
          <w:i/>
          <w:sz w:val="22"/>
          <w:szCs w:val="22"/>
          <w:lang w:val="es-ES"/>
        </w:rPr>
        <w:t>P.I.</w:t>
      </w:r>
      <w:r w:rsidRPr="00D95727">
        <w:rPr>
          <w:rFonts w:ascii="Arial" w:hAnsi="Arial" w:cs="Arial"/>
          <w:i/>
          <w:sz w:val="22"/>
          <w:szCs w:val="22"/>
          <w:lang w:val="es-ES"/>
        </w:rPr>
        <w:t>/p</w:t>
      </w:r>
      <w:r w:rsidR="00161F42" w:rsidRPr="00D95727">
        <w:rPr>
          <w:rFonts w:ascii="Arial" w:hAnsi="Arial" w:cs="Arial"/>
          <w:i/>
          <w:sz w:val="22"/>
          <w:szCs w:val="22"/>
          <w:lang w:val="es-ES"/>
        </w:rPr>
        <w:t>atente</w:t>
      </w:r>
      <w:r w:rsidR="008861FC" w:rsidRPr="00D95727">
        <w:rPr>
          <w:rFonts w:ascii="Arial" w:hAnsi="Arial" w:cs="Arial"/>
          <w:i/>
          <w:sz w:val="22"/>
          <w:szCs w:val="22"/>
          <w:lang w:val="es-ES"/>
        </w:rPr>
        <w:t>.</w:t>
      </w:r>
    </w:p>
    <w:p w:rsidR="00D16F07" w:rsidRPr="00D95727" w:rsidRDefault="00D16F07" w:rsidP="00A81455">
      <w:pPr>
        <w:rPr>
          <w:rFonts w:ascii="Arial" w:hAnsi="Arial" w:cs="Arial"/>
          <w:sz w:val="22"/>
          <w:szCs w:val="22"/>
          <w:lang w:val="es-ES"/>
        </w:rPr>
      </w:pPr>
    </w:p>
    <w:p w:rsidR="00D16F07" w:rsidRPr="00D95727" w:rsidRDefault="008F3BFE" w:rsidP="00376B5E">
      <w:pPr>
        <w:rPr>
          <w:rFonts w:ascii="Arial" w:hAnsi="Arial" w:cs="Arial"/>
          <w:sz w:val="22"/>
          <w:szCs w:val="22"/>
          <w:lang w:val="es-ES"/>
        </w:rPr>
      </w:pPr>
      <w:r w:rsidRPr="00D95727">
        <w:rPr>
          <w:rFonts w:ascii="Arial" w:hAnsi="Arial" w:cs="Arial"/>
          <w:sz w:val="22"/>
          <w:szCs w:val="22"/>
          <w:lang w:val="es-ES"/>
        </w:rPr>
        <w:t xml:space="preserve">Los dos enfoques generales que se </w:t>
      </w:r>
      <w:r w:rsidR="005A3F75" w:rsidRPr="00D95727">
        <w:rPr>
          <w:rFonts w:ascii="Arial" w:hAnsi="Arial" w:cs="Arial"/>
          <w:sz w:val="22"/>
          <w:szCs w:val="22"/>
          <w:lang w:val="es-ES"/>
        </w:rPr>
        <w:t>recogen</w:t>
      </w:r>
      <w:r w:rsidRPr="00D95727">
        <w:rPr>
          <w:rFonts w:ascii="Arial" w:hAnsi="Arial" w:cs="Arial"/>
          <w:sz w:val="22"/>
          <w:szCs w:val="22"/>
          <w:lang w:val="es-ES"/>
        </w:rPr>
        <w:t xml:space="preserve"> en el documento de trabajo son los siguientes</w:t>
      </w:r>
      <w:r w:rsidR="008861FC" w:rsidRPr="00D95727">
        <w:rPr>
          <w:rFonts w:ascii="Arial" w:hAnsi="Arial" w:cs="Arial"/>
          <w:sz w:val="22"/>
          <w:szCs w:val="22"/>
          <w:lang w:val="es-ES"/>
        </w:rPr>
        <w:t xml:space="preserve">: </w:t>
      </w:r>
    </w:p>
    <w:p w:rsidR="00D16F07" w:rsidRPr="00D95727" w:rsidRDefault="00D16F07" w:rsidP="00376B5E">
      <w:pPr>
        <w:rPr>
          <w:rFonts w:ascii="Arial" w:hAnsi="Arial" w:cs="Arial"/>
          <w:sz w:val="22"/>
          <w:szCs w:val="22"/>
          <w:lang w:val="es-ES"/>
        </w:rPr>
      </w:pPr>
    </w:p>
    <w:p w:rsidR="00D16F07" w:rsidRPr="00D95727" w:rsidRDefault="00425B13" w:rsidP="00425B13">
      <w:pPr>
        <w:numPr>
          <w:ilvl w:val="0"/>
          <w:numId w:val="9"/>
        </w:numPr>
        <w:rPr>
          <w:rFonts w:ascii="Arial" w:hAnsi="Arial" w:cs="Arial"/>
          <w:sz w:val="22"/>
          <w:szCs w:val="22"/>
          <w:lang w:val="es-ES"/>
        </w:rPr>
      </w:pPr>
      <w:r w:rsidRPr="00D95727">
        <w:rPr>
          <w:rFonts w:ascii="Arial" w:hAnsi="Arial" w:cs="Arial"/>
          <w:b/>
          <w:sz w:val="22"/>
          <w:szCs w:val="22"/>
          <w:lang w:val="es-ES"/>
        </w:rPr>
        <w:t>Normativ</w:t>
      </w:r>
      <w:r w:rsidR="008F3BFE" w:rsidRPr="00D95727">
        <w:rPr>
          <w:rFonts w:ascii="Arial" w:hAnsi="Arial" w:cs="Arial"/>
          <w:b/>
          <w:sz w:val="22"/>
          <w:szCs w:val="22"/>
          <w:lang w:val="es-ES"/>
        </w:rPr>
        <w:t>o</w:t>
      </w:r>
      <w:r w:rsidRPr="00D95727">
        <w:rPr>
          <w:rFonts w:ascii="Arial" w:hAnsi="Arial" w:cs="Arial"/>
          <w:b/>
          <w:sz w:val="22"/>
          <w:szCs w:val="22"/>
          <w:lang w:val="es-ES"/>
        </w:rPr>
        <w:t xml:space="preserve"> – </w:t>
      </w:r>
      <w:r w:rsidR="008F3BFE" w:rsidRPr="00D95727">
        <w:rPr>
          <w:rFonts w:ascii="Arial" w:hAnsi="Arial" w:cs="Arial"/>
          <w:b/>
          <w:sz w:val="22"/>
          <w:szCs w:val="22"/>
          <w:lang w:val="es-ES"/>
        </w:rPr>
        <w:t>Requisito de divulgación</w:t>
      </w:r>
      <w:r w:rsidR="00F515BE" w:rsidRPr="00D95727">
        <w:rPr>
          <w:rFonts w:ascii="Arial" w:hAnsi="Arial" w:cs="Arial"/>
          <w:b/>
          <w:sz w:val="22"/>
          <w:szCs w:val="22"/>
          <w:lang w:val="es-ES"/>
        </w:rPr>
        <w:t xml:space="preserve">.  </w:t>
      </w:r>
      <w:r w:rsidR="005A3F75" w:rsidRPr="00D95727">
        <w:rPr>
          <w:rFonts w:ascii="Arial" w:hAnsi="Arial" w:cs="Arial"/>
          <w:sz w:val="22"/>
          <w:szCs w:val="22"/>
          <w:lang w:val="es-ES"/>
        </w:rPr>
        <w:t>Incorporación</w:t>
      </w:r>
      <w:r w:rsidR="008F3BFE" w:rsidRPr="00D95727">
        <w:rPr>
          <w:rFonts w:ascii="Arial" w:hAnsi="Arial" w:cs="Arial"/>
          <w:sz w:val="22"/>
          <w:szCs w:val="22"/>
          <w:lang w:val="es-ES"/>
        </w:rPr>
        <w:t xml:space="preserve"> de un requisito de divulgación en </w:t>
      </w:r>
      <w:r w:rsidR="00184465" w:rsidRPr="00D95727">
        <w:rPr>
          <w:rFonts w:ascii="Arial" w:hAnsi="Arial" w:cs="Arial"/>
          <w:sz w:val="22"/>
          <w:szCs w:val="22"/>
          <w:lang w:val="es-ES"/>
        </w:rPr>
        <w:t>las</w:t>
      </w:r>
      <w:r w:rsidR="008F3BFE" w:rsidRPr="00D95727">
        <w:rPr>
          <w:rFonts w:ascii="Arial" w:hAnsi="Arial" w:cs="Arial"/>
          <w:sz w:val="22"/>
          <w:szCs w:val="22"/>
          <w:lang w:val="es-ES"/>
        </w:rPr>
        <w:t xml:space="preserve"> solicitud</w:t>
      </w:r>
      <w:r w:rsidR="00184465" w:rsidRPr="00D95727">
        <w:rPr>
          <w:rFonts w:ascii="Arial" w:hAnsi="Arial" w:cs="Arial"/>
          <w:sz w:val="22"/>
          <w:szCs w:val="22"/>
          <w:lang w:val="es-ES"/>
        </w:rPr>
        <w:t>es</w:t>
      </w:r>
      <w:r w:rsidR="008F3BFE" w:rsidRPr="00D95727">
        <w:rPr>
          <w:rFonts w:ascii="Arial" w:hAnsi="Arial" w:cs="Arial"/>
          <w:sz w:val="22"/>
          <w:szCs w:val="22"/>
          <w:lang w:val="es-ES"/>
        </w:rPr>
        <w:t xml:space="preserve"> de</w:t>
      </w:r>
      <w:r w:rsidR="00E4048A" w:rsidRPr="00D95727">
        <w:rPr>
          <w:rFonts w:ascii="Arial" w:hAnsi="Arial" w:cs="Arial"/>
          <w:sz w:val="22"/>
          <w:szCs w:val="22"/>
          <w:lang w:val="es-ES"/>
        </w:rPr>
        <w:t xml:space="preserve"> títulos de</w:t>
      </w:r>
      <w:r w:rsidR="008F3BFE" w:rsidRPr="00D95727">
        <w:rPr>
          <w:rFonts w:ascii="Arial" w:hAnsi="Arial" w:cs="Arial"/>
          <w:sz w:val="22"/>
          <w:szCs w:val="22"/>
          <w:lang w:val="es-ES"/>
        </w:rPr>
        <w:t xml:space="preserve"> P.I./patente</w:t>
      </w:r>
      <w:r w:rsidR="00184465" w:rsidRPr="00D95727">
        <w:rPr>
          <w:rFonts w:ascii="Arial" w:hAnsi="Arial" w:cs="Arial"/>
          <w:sz w:val="22"/>
          <w:szCs w:val="22"/>
          <w:lang w:val="es-ES"/>
        </w:rPr>
        <w:t xml:space="preserve"> relativo</w:t>
      </w:r>
      <w:r w:rsidR="00845F1F" w:rsidRPr="00D95727">
        <w:rPr>
          <w:rFonts w:ascii="Arial" w:hAnsi="Arial" w:cs="Arial"/>
          <w:sz w:val="22"/>
          <w:szCs w:val="22"/>
          <w:lang w:val="es-ES"/>
        </w:rPr>
        <w:t xml:space="preserve"> a la divulgación de información (por ejemplo, </w:t>
      </w:r>
      <w:r w:rsidR="00257BCC" w:rsidRPr="00D95727">
        <w:rPr>
          <w:rFonts w:ascii="Arial" w:hAnsi="Arial" w:cs="Arial"/>
          <w:sz w:val="22"/>
          <w:szCs w:val="22"/>
          <w:lang w:val="es-ES"/>
        </w:rPr>
        <w:t>sobre e</w:t>
      </w:r>
      <w:r w:rsidR="00845F1F" w:rsidRPr="00D95727">
        <w:rPr>
          <w:rFonts w:ascii="Arial" w:hAnsi="Arial" w:cs="Arial"/>
          <w:sz w:val="22"/>
          <w:szCs w:val="22"/>
          <w:lang w:val="es-ES"/>
        </w:rPr>
        <w:t>l país de origen o la fuente de los RR.GG</w:t>
      </w:r>
      <w:r w:rsidR="00F515BE" w:rsidRPr="00D95727">
        <w:rPr>
          <w:rFonts w:ascii="Arial" w:hAnsi="Arial" w:cs="Arial"/>
          <w:sz w:val="22"/>
          <w:szCs w:val="22"/>
          <w:lang w:val="es-ES"/>
        </w:rPr>
        <w:t xml:space="preserve">. </w:t>
      </w:r>
      <w:r w:rsidR="00845F1F" w:rsidRPr="00D95727">
        <w:rPr>
          <w:rFonts w:ascii="Arial" w:hAnsi="Arial" w:cs="Arial"/>
          <w:sz w:val="22"/>
          <w:szCs w:val="22"/>
          <w:lang w:val="es-ES"/>
        </w:rPr>
        <w:t xml:space="preserve">y </w:t>
      </w:r>
      <w:r w:rsidR="00257BCC" w:rsidRPr="00D95727">
        <w:rPr>
          <w:rFonts w:ascii="Arial" w:hAnsi="Arial" w:cs="Arial"/>
          <w:sz w:val="22"/>
          <w:szCs w:val="22"/>
          <w:lang w:val="es-ES"/>
        </w:rPr>
        <w:t xml:space="preserve">los </w:t>
      </w:r>
      <w:r w:rsidR="00845F1F" w:rsidRPr="00D95727">
        <w:rPr>
          <w:rFonts w:ascii="Arial" w:hAnsi="Arial" w:cs="Arial"/>
          <w:sz w:val="22"/>
          <w:szCs w:val="22"/>
          <w:lang w:val="es-ES"/>
        </w:rPr>
        <w:t>CC.TT</w:t>
      </w:r>
      <w:r w:rsidR="00F515BE" w:rsidRPr="00D95727">
        <w:rPr>
          <w:rFonts w:ascii="Arial" w:hAnsi="Arial" w:cs="Arial"/>
          <w:sz w:val="22"/>
          <w:szCs w:val="22"/>
          <w:lang w:val="es-ES"/>
        </w:rPr>
        <w:t xml:space="preserve">. </w:t>
      </w:r>
      <w:r w:rsidR="005A3F75" w:rsidRPr="00D95727">
        <w:rPr>
          <w:rFonts w:ascii="Arial" w:hAnsi="Arial" w:cs="Arial"/>
          <w:sz w:val="22"/>
          <w:szCs w:val="22"/>
          <w:lang w:val="es-ES"/>
        </w:rPr>
        <w:t>asociados a los RR.GG.</w:t>
      </w:r>
      <w:r w:rsidR="00845F1F" w:rsidRPr="00D95727">
        <w:rPr>
          <w:rFonts w:ascii="Arial" w:hAnsi="Arial" w:cs="Arial"/>
          <w:sz w:val="22"/>
          <w:szCs w:val="22"/>
          <w:lang w:val="es-ES"/>
        </w:rPr>
        <w:t xml:space="preserve">) </w:t>
      </w:r>
      <w:r w:rsidR="00015D0E" w:rsidRPr="00D95727">
        <w:rPr>
          <w:rFonts w:ascii="Arial" w:hAnsi="Arial" w:cs="Arial"/>
          <w:sz w:val="22"/>
          <w:szCs w:val="22"/>
          <w:lang w:val="es-ES"/>
        </w:rPr>
        <w:t>cuando</w:t>
      </w:r>
      <w:r w:rsidR="00845F1F" w:rsidRPr="00D95727">
        <w:rPr>
          <w:rFonts w:ascii="Arial" w:hAnsi="Arial" w:cs="Arial"/>
          <w:sz w:val="22"/>
          <w:szCs w:val="22"/>
          <w:lang w:val="es-ES"/>
        </w:rPr>
        <w:t xml:space="preserve"> la materia o</w:t>
      </w:r>
      <w:r w:rsidR="00015D0E" w:rsidRPr="00D95727">
        <w:rPr>
          <w:rFonts w:ascii="Arial" w:hAnsi="Arial" w:cs="Arial"/>
          <w:sz w:val="22"/>
          <w:szCs w:val="22"/>
          <w:lang w:val="es-ES"/>
        </w:rPr>
        <w:t xml:space="preserve"> la</w:t>
      </w:r>
      <w:r w:rsidR="00845F1F" w:rsidRPr="00D95727">
        <w:rPr>
          <w:rFonts w:ascii="Arial" w:hAnsi="Arial" w:cs="Arial"/>
          <w:sz w:val="22"/>
          <w:szCs w:val="22"/>
          <w:lang w:val="es-ES"/>
        </w:rPr>
        <w:t xml:space="preserve"> invención </w:t>
      </w:r>
      <w:r w:rsidR="00015D0E" w:rsidRPr="00D95727">
        <w:rPr>
          <w:rFonts w:ascii="Arial" w:hAnsi="Arial" w:cs="Arial"/>
          <w:sz w:val="22"/>
          <w:szCs w:val="22"/>
          <w:lang w:val="es-ES"/>
        </w:rPr>
        <w:t>reivindicada</w:t>
      </w:r>
      <w:r w:rsidR="009B78F0" w:rsidRPr="00D95727">
        <w:rPr>
          <w:rFonts w:ascii="Arial" w:hAnsi="Arial" w:cs="Arial"/>
          <w:sz w:val="22"/>
          <w:szCs w:val="22"/>
          <w:lang w:val="es-ES"/>
        </w:rPr>
        <w:t xml:space="preserve"> </w:t>
      </w:r>
      <w:r w:rsidR="00015D0E" w:rsidRPr="00D95727">
        <w:rPr>
          <w:rFonts w:ascii="Arial" w:hAnsi="Arial" w:cs="Arial"/>
          <w:sz w:val="22"/>
          <w:szCs w:val="22"/>
          <w:lang w:val="es-ES"/>
        </w:rPr>
        <w:t>implica</w:t>
      </w:r>
      <w:r w:rsidR="00845F1F" w:rsidRPr="00D95727">
        <w:rPr>
          <w:rFonts w:ascii="Arial" w:hAnsi="Arial" w:cs="Arial"/>
          <w:sz w:val="22"/>
          <w:szCs w:val="22"/>
          <w:lang w:val="es-ES"/>
        </w:rPr>
        <w:t xml:space="preserve"> la utilización de RR.GG</w:t>
      </w:r>
      <w:r w:rsidR="00F515BE" w:rsidRPr="00D95727">
        <w:rPr>
          <w:rFonts w:ascii="Arial" w:hAnsi="Arial" w:cs="Arial"/>
          <w:sz w:val="22"/>
          <w:szCs w:val="22"/>
          <w:lang w:val="es-ES"/>
        </w:rPr>
        <w:t xml:space="preserve">. </w:t>
      </w:r>
      <w:r w:rsidR="00845F1F" w:rsidRPr="00D95727">
        <w:rPr>
          <w:rFonts w:ascii="Arial" w:hAnsi="Arial" w:cs="Arial"/>
          <w:sz w:val="22"/>
          <w:szCs w:val="22"/>
          <w:lang w:val="es-ES"/>
        </w:rPr>
        <w:t>y CC.TT</w:t>
      </w:r>
      <w:r w:rsidR="005A3F75" w:rsidRPr="00D95727">
        <w:rPr>
          <w:rFonts w:ascii="Arial" w:hAnsi="Arial" w:cs="Arial"/>
          <w:sz w:val="22"/>
          <w:szCs w:val="22"/>
          <w:lang w:val="es-ES"/>
        </w:rPr>
        <w:t>. asociados a los RR.GG.</w:t>
      </w:r>
      <w:r w:rsidR="00845F1F" w:rsidRPr="00D95727">
        <w:rPr>
          <w:rFonts w:ascii="Arial" w:hAnsi="Arial" w:cs="Arial"/>
          <w:sz w:val="22"/>
          <w:szCs w:val="22"/>
          <w:lang w:val="es-ES"/>
        </w:rPr>
        <w:t xml:space="preserve">, o se basa directamente en </w:t>
      </w:r>
      <w:r w:rsidR="00015D0E" w:rsidRPr="00D95727">
        <w:rPr>
          <w:rFonts w:ascii="Arial" w:hAnsi="Arial" w:cs="Arial"/>
          <w:sz w:val="22"/>
          <w:szCs w:val="22"/>
          <w:lang w:val="es-ES"/>
        </w:rPr>
        <w:t>el</w:t>
      </w:r>
      <w:r w:rsidR="00845F1F" w:rsidRPr="00D95727">
        <w:rPr>
          <w:rFonts w:ascii="Arial" w:hAnsi="Arial" w:cs="Arial"/>
          <w:sz w:val="22"/>
          <w:szCs w:val="22"/>
          <w:lang w:val="es-ES"/>
        </w:rPr>
        <w:t>los</w:t>
      </w:r>
      <w:r w:rsidR="00F515BE" w:rsidRPr="00D95727">
        <w:rPr>
          <w:rFonts w:ascii="Arial" w:hAnsi="Arial" w:cs="Arial"/>
          <w:sz w:val="22"/>
          <w:szCs w:val="22"/>
          <w:lang w:val="es-ES"/>
        </w:rPr>
        <w:t xml:space="preserve">.  </w:t>
      </w:r>
      <w:r w:rsidR="005A3F75" w:rsidRPr="00D95727">
        <w:rPr>
          <w:rFonts w:ascii="Arial" w:hAnsi="Arial" w:cs="Arial"/>
          <w:sz w:val="22"/>
          <w:szCs w:val="22"/>
          <w:lang w:val="es-ES"/>
        </w:rPr>
        <w:t>En el marco</w:t>
      </w:r>
      <w:r w:rsidR="00391ED0" w:rsidRPr="00D95727">
        <w:rPr>
          <w:rFonts w:ascii="Arial" w:hAnsi="Arial" w:cs="Arial"/>
          <w:sz w:val="22"/>
          <w:szCs w:val="22"/>
          <w:lang w:val="es-ES"/>
        </w:rPr>
        <w:t xml:space="preserve"> de</w:t>
      </w:r>
      <w:r w:rsidR="00845F1F" w:rsidRPr="00D95727">
        <w:rPr>
          <w:rFonts w:ascii="Arial" w:hAnsi="Arial" w:cs="Arial"/>
          <w:sz w:val="22"/>
          <w:szCs w:val="22"/>
          <w:lang w:val="es-ES"/>
        </w:rPr>
        <w:t xml:space="preserve"> este enfoque, las medidas no normativas se consideran medidas complementarias y no un enfoque alternativo para abordar los objetivos de política.</w:t>
      </w:r>
    </w:p>
    <w:p w:rsidR="00D16F07" w:rsidRPr="00D95727" w:rsidRDefault="008F3BFE" w:rsidP="0024406F">
      <w:pPr>
        <w:numPr>
          <w:ilvl w:val="0"/>
          <w:numId w:val="9"/>
        </w:numPr>
        <w:rPr>
          <w:rFonts w:ascii="Arial" w:hAnsi="Arial" w:cs="Arial"/>
          <w:sz w:val="22"/>
          <w:szCs w:val="22"/>
          <w:lang w:val="es-ES"/>
        </w:rPr>
      </w:pPr>
      <w:r w:rsidRPr="00D95727">
        <w:rPr>
          <w:rFonts w:ascii="Arial" w:hAnsi="Arial" w:cs="Arial"/>
          <w:b/>
          <w:sz w:val="22"/>
          <w:szCs w:val="22"/>
          <w:lang w:val="es-ES"/>
        </w:rPr>
        <w:lastRenderedPageBreak/>
        <w:t>No normativo</w:t>
      </w:r>
      <w:r w:rsidR="008861FC" w:rsidRPr="00D95727">
        <w:rPr>
          <w:rFonts w:ascii="Arial" w:hAnsi="Arial" w:cs="Arial"/>
          <w:b/>
          <w:sz w:val="22"/>
          <w:szCs w:val="22"/>
          <w:lang w:val="es-ES"/>
        </w:rPr>
        <w:t>.</w:t>
      </w:r>
      <w:r w:rsidR="005A3F75" w:rsidRPr="00D95727">
        <w:rPr>
          <w:rFonts w:ascii="Arial" w:hAnsi="Arial" w:cs="Arial"/>
          <w:b/>
          <w:sz w:val="22"/>
          <w:szCs w:val="22"/>
          <w:lang w:val="es-ES"/>
        </w:rPr>
        <w:t xml:space="preserve"> </w:t>
      </w:r>
      <w:r w:rsidR="007323AB" w:rsidRPr="00D95727">
        <w:rPr>
          <w:rFonts w:ascii="Arial" w:hAnsi="Arial" w:cs="Arial"/>
          <w:b/>
          <w:sz w:val="22"/>
          <w:szCs w:val="22"/>
          <w:lang w:val="es-ES"/>
        </w:rPr>
        <w:t xml:space="preserve"> </w:t>
      </w:r>
      <w:r w:rsidR="003F78C4" w:rsidRPr="00D95727">
        <w:rPr>
          <w:rFonts w:ascii="Arial" w:hAnsi="Arial" w:cs="Arial"/>
          <w:sz w:val="22"/>
          <w:szCs w:val="22"/>
          <w:lang w:val="es-ES"/>
        </w:rPr>
        <w:t xml:space="preserve">El enfoque no normativo incorpora medidas </w:t>
      </w:r>
      <w:r w:rsidR="000C751B" w:rsidRPr="00D95727">
        <w:rPr>
          <w:rFonts w:ascii="Arial" w:hAnsi="Arial" w:cs="Arial"/>
          <w:sz w:val="22"/>
          <w:szCs w:val="22"/>
          <w:lang w:val="es-ES"/>
        </w:rPr>
        <w:t>preventivas</w:t>
      </w:r>
      <w:r w:rsidR="003F78C4" w:rsidRPr="00D95727">
        <w:rPr>
          <w:rFonts w:ascii="Arial" w:hAnsi="Arial" w:cs="Arial"/>
          <w:sz w:val="22"/>
          <w:szCs w:val="22"/>
          <w:lang w:val="es-ES"/>
        </w:rPr>
        <w:t xml:space="preserve"> como bases de datos, códigos</w:t>
      </w:r>
      <w:r w:rsidR="000C751B" w:rsidRPr="00D95727">
        <w:rPr>
          <w:rFonts w:ascii="Arial" w:hAnsi="Arial" w:cs="Arial"/>
          <w:sz w:val="22"/>
          <w:szCs w:val="22"/>
          <w:lang w:val="es-ES"/>
        </w:rPr>
        <w:t xml:space="preserve"> de conducta</w:t>
      </w:r>
      <w:r w:rsidR="003F78C4" w:rsidRPr="00D95727">
        <w:rPr>
          <w:rFonts w:ascii="Arial" w:hAnsi="Arial" w:cs="Arial"/>
          <w:sz w:val="22"/>
          <w:szCs w:val="22"/>
          <w:lang w:val="es-ES"/>
        </w:rPr>
        <w:t xml:space="preserve"> voluntarios y </w:t>
      </w:r>
      <w:r w:rsidR="000C751B" w:rsidRPr="00D95727">
        <w:rPr>
          <w:rFonts w:ascii="Arial" w:hAnsi="Arial" w:cs="Arial"/>
          <w:sz w:val="22"/>
          <w:szCs w:val="22"/>
          <w:lang w:val="es-ES"/>
        </w:rPr>
        <w:t>directrices</w:t>
      </w:r>
      <w:r w:rsidR="003F78C4" w:rsidRPr="00D95727">
        <w:rPr>
          <w:rFonts w:ascii="Arial" w:hAnsi="Arial" w:cs="Arial"/>
          <w:sz w:val="22"/>
          <w:szCs w:val="22"/>
          <w:lang w:val="es-ES"/>
        </w:rPr>
        <w:t xml:space="preserve"> para las oficinas de P.I./patentes</w:t>
      </w:r>
      <w:r w:rsidR="000C751B" w:rsidRPr="00D95727">
        <w:rPr>
          <w:rFonts w:ascii="Arial" w:hAnsi="Arial" w:cs="Arial"/>
          <w:sz w:val="22"/>
          <w:szCs w:val="22"/>
          <w:lang w:val="es-ES"/>
        </w:rPr>
        <w:t xml:space="preserve">, mecanismos de resolución de controversias con intervención de un tercero </w:t>
      </w:r>
      <w:r w:rsidR="00C7112D" w:rsidRPr="00D95727">
        <w:rPr>
          <w:rFonts w:ascii="Arial" w:hAnsi="Arial" w:cs="Arial"/>
          <w:sz w:val="22"/>
          <w:szCs w:val="22"/>
          <w:lang w:val="es-ES"/>
        </w:rPr>
        <w:t>y regí</w:t>
      </w:r>
      <w:r w:rsidR="000C751B" w:rsidRPr="00D95727">
        <w:rPr>
          <w:rFonts w:ascii="Arial" w:hAnsi="Arial" w:cs="Arial"/>
          <w:sz w:val="22"/>
          <w:szCs w:val="22"/>
          <w:lang w:val="es-ES"/>
        </w:rPr>
        <w:t>menes de diligencia debida</w:t>
      </w:r>
      <w:r w:rsidR="00C7112D" w:rsidRPr="00D95727">
        <w:rPr>
          <w:rFonts w:ascii="Arial" w:hAnsi="Arial" w:cs="Arial"/>
          <w:sz w:val="22"/>
          <w:szCs w:val="22"/>
          <w:lang w:val="es-ES"/>
        </w:rPr>
        <w:t xml:space="preserve"> </w:t>
      </w:r>
      <w:r w:rsidR="00C05798" w:rsidRPr="00D95727">
        <w:rPr>
          <w:rFonts w:ascii="Arial" w:hAnsi="Arial" w:cs="Arial"/>
          <w:sz w:val="22"/>
          <w:szCs w:val="22"/>
          <w:lang w:val="es-ES"/>
        </w:rPr>
        <w:t>para</w:t>
      </w:r>
      <w:r w:rsidR="000C751B" w:rsidRPr="00D95727">
        <w:rPr>
          <w:rFonts w:ascii="Arial" w:hAnsi="Arial" w:cs="Arial"/>
          <w:sz w:val="22"/>
          <w:szCs w:val="22"/>
          <w:lang w:val="es-ES"/>
        </w:rPr>
        <w:t xml:space="preserve"> las oficinas de patentes </w:t>
      </w:r>
      <w:r w:rsidR="00C05798" w:rsidRPr="00D95727">
        <w:rPr>
          <w:rFonts w:ascii="Arial" w:hAnsi="Arial" w:cs="Arial"/>
          <w:sz w:val="22"/>
          <w:szCs w:val="22"/>
          <w:lang w:val="es-ES"/>
        </w:rPr>
        <w:t>en virtud de</w:t>
      </w:r>
      <w:r w:rsidR="000C751B" w:rsidRPr="00D95727">
        <w:rPr>
          <w:rFonts w:ascii="Arial" w:hAnsi="Arial" w:cs="Arial"/>
          <w:sz w:val="22"/>
          <w:szCs w:val="22"/>
          <w:lang w:val="es-ES"/>
        </w:rPr>
        <w:t xml:space="preserve"> la </w:t>
      </w:r>
      <w:r w:rsidR="00C7112D" w:rsidRPr="00D95727">
        <w:rPr>
          <w:rFonts w:ascii="Arial" w:hAnsi="Arial" w:cs="Arial"/>
          <w:sz w:val="22"/>
          <w:szCs w:val="22"/>
          <w:lang w:val="es-ES"/>
        </w:rPr>
        <w:t>legislación</w:t>
      </w:r>
      <w:r w:rsidR="000C751B" w:rsidRPr="00D95727">
        <w:rPr>
          <w:rFonts w:ascii="Arial" w:hAnsi="Arial" w:cs="Arial"/>
          <w:sz w:val="22"/>
          <w:szCs w:val="22"/>
          <w:lang w:val="es-ES"/>
        </w:rPr>
        <w:t xml:space="preserve"> nacional para garantizar el cumplimiento de los regímenes pertinentes</w:t>
      </w:r>
      <w:r w:rsidR="00C05798" w:rsidRPr="00D95727">
        <w:rPr>
          <w:rFonts w:ascii="Arial" w:hAnsi="Arial" w:cs="Arial"/>
          <w:sz w:val="22"/>
          <w:szCs w:val="22"/>
          <w:lang w:val="es-ES"/>
        </w:rPr>
        <w:t xml:space="preserve"> en materia</w:t>
      </w:r>
      <w:r w:rsidR="000C751B" w:rsidRPr="00D95727">
        <w:rPr>
          <w:rFonts w:ascii="Arial" w:hAnsi="Arial" w:cs="Arial"/>
          <w:sz w:val="22"/>
          <w:szCs w:val="22"/>
          <w:lang w:val="es-ES"/>
        </w:rPr>
        <w:t xml:space="preserve"> de </w:t>
      </w:r>
      <w:r w:rsidR="00C05798" w:rsidRPr="00D95727">
        <w:rPr>
          <w:rFonts w:ascii="Arial" w:hAnsi="Arial" w:cs="Arial"/>
          <w:sz w:val="22"/>
          <w:szCs w:val="22"/>
          <w:lang w:val="es-ES"/>
        </w:rPr>
        <w:t>acceso y participación en los beneficios</w:t>
      </w:r>
      <w:r w:rsidR="000C751B" w:rsidRPr="00D95727">
        <w:rPr>
          <w:rFonts w:ascii="Arial" w:hAnsi="Arial" w:cs="Arial"/>
          <w:sz w:val="22"/>
          <w:szCs w:val="22"/>
          <w:lang w:val="es-ES"/>
        </w:rPr>
        <w:t>.</w:t>
      </w:r>
    </w:p>
    <w:p w:rsidR="00D16F07" w:rsidRPr="00D95727" w:rsidRDefault="00D16F07" w:rsidP="00BD16DB">
      <w:pPr>
        <w:rPr>
          <w:rFonts w:ascii="Arial" w:hAnsi="Arial" w:cs="Arial"/>
          <w:sz w:val="22"/>
          <w:szCs w:val="22"/>
          <w:lang w:val="es-ES"/>
        </w:rPr>
      </w:pPr>
    </w:p>
    <w:p w:rsidR="00D16F07" w:rsidRPr="00D95727" w:rsidRDefault="00C05798" w:rsidP="00F207D4">
      <w:pPr>
        <w:rPr>
          <w:rFonts w:ascii="Arial" w:hAnsi="Arial" w:cs="Arial"/>
          <w:sz w:val="22"/>
          <w:szCs w:val="22"/>
          <w:lang w:val="es-ES"/>
        </w:rPr>
      </w:pPr>
      <w:r w:rsidRPr="00D95727">
        <w:rPr>
          <w:rFonts w:ascii="Arial" w:hAnsi="Arial" w:cs="Arial"/>
          <w:sz w:val="22"/>
          <w:szCs w:val="22"/>
          <w:lang w:val="es-ES"/>
        </w:rPr>
        <w:t xml:space="preserve">En </w:t>
      </w:r>
      <w:r w:rsidR="002F0B46" w:rsidRPr="00D95727">
        <w:rPr>
          <w:rFonts w:ascii="Arial" w:hAnsi="Arial" w:cs="Arial"/>
          <w:sz w:val="22"/>
          <w:szCs w:val="22"/>
          <w:lang w:val="es-ES"/>
        </w:rPr>
        <w:t>lo que se refiere a</w:t>
      </w:r>
      <w:r w:rsidR="005800A7" w:rsidRPr="00D95727">
        <w:rPr>
          <w:rFonts w:ascii="Arial" w:hAnsi="Arial" w:cs="Arial"/>
          <w:sz w:val="22"/>
          <w:szCs w:val="22"/>
          <w:lang w:val="es-ES"/>
        </w:rPr>
        <w:t xml:space="preserve"> </w:t>
      </w:r>
      <w:r w:rsidRPr="00D95727">
        <w:rPr>
          <w:rFonts w:ascii="Arial" w:hAnsi="Arial" w:cs="Arial"/>
          <w:sz w:val="22"/>
          <w:szCs w:val="22"/>
          <w:lang w:val="es-ES"/>
        </w:rPr>
        <w:t xml:space="preserve">la divulgación, el enfoque se ha perfeccionado </w:t>
      </w:r>
      <w:r w:rsidR="002F0B46" w:rsidRPr="00D95727">
        <w:rPr>
          <w:rFonts w:ascii="Arial" w:hAnsi="Arial" w:cs="Arial"/>
          <w:sz w:val="22"/>
          <w:szCs w:val="22"/>
          <w:lang w:val="es-ES"/>
        </w:rPr>
        <w:t>considerablemente</w:t>
      </w:r>
      <w:r w:rsidR="005800A7" w:rsidRPr="00D95727">
        <w:rPr>
          <w:rFonts w:ascii="Arial" w:hAnsi="Arial" w:cs="Arial"/>
          <w:sz w:val="22"/>
          <w:szCs w:val="22"/>
          <w:lang w:val="es-ES"/>
        </w:rPr>
        <w:t xml:space="preserve"> </w:t>
      </w:r>
      <w:r w:rsidR="002F0B46" w:rsidRPr="00D95727">
        <w:rPr>
          <w:rFonts w:ascii="Arial" w:hAnsi="Arial" w:cs="Arial"/>
          <w:sz w:val="22"/>
          <w:szCs w:val="22"/>
          <w:lang w:val="es-ES"/>
        </w:rPr>
        <w:t>mediante</w:t>
      </w:r>
      <w:r w:rsidRPr="00D95727">
        <w:rPr>
          <w:rFonts w:ascii="Arial" w:hAnsi="Arial" w:cs="Arial"/>
          <w:sz w:val="22"/>
          <w:szCs w:val="22"/>
          <w:lang w:val="es-ES"/>
        </w:rPr>
        <w:t xml:space="preserve"> la </w:t>
      </w:r>
      <w:r w:rsidR="006A1303" w:rsidRPr="00D95727">
        <w:rPr>
          <w:rFonts w:ascii="Arial" w:hAnsi="Arial" w:cs="Arial"/>
          <w:sz w:val="22"/>
          <w:szCs w:val="22"/>
          <w:lang w:val="es-ES"/>
        </w:rPr>
        <w:t>inclusión</w:t>
      </w:r>
      <w:r w:rsidRPr="00D95727">
        <w:rPr>
          <w:rFonts w:ascii="Arial" w:hAnsi="Arial" w:cs="Arial"/>
          <w:sz w:val="22"/>
          <w:szCs w:val="22"/>
          <w:lang w:val="es-ES"/>
        </w:rPr>
        <w:t xml:space="preserve"> de un </w:t>
      </w:r>
      <w:r w:rsidR="002F0B46" w:rsidRPr="00D95727">
        <w:rPr>
          <w:rFonts w:ascii="Arial" w:hAnsi="Arial" w:cs="Arial"/>
          <w:sz w:val="22"/>
          <w:szCs w:val="22"/>
          <w:lang w:val="es-ES"/>
        </w:rPr>
        <w:t>mecanismo</w:t>
      </w:r>
      <w:r w:rsidRPr="00D95727">
        <w:rPr>
          <w:rFonts w:ascii="Arial" w:hAnsi="Arial" w:cs="Arial"/>
          <w:sz w:val="22"/>
          <w:szCs w:val="22"/>
          <w:lang w:val="es-ES"/>
        </w:rPr>
        <w:t xml:space="preserve"> administrativo opcional que persigue garantizar la transparencia en el marco del sistema de P.I./patentes en lugar de un simp</w:t>
      </w:r>
      <w:r w:rsidR="002F0B46" w:rsidRPr="00D95727">
        <w:rPr>
          <w:rFonts w:ascii="Arial" w:hAnsi="Arial" w:cs="Arial"/>
          <w:sz w:val="22"/>
          <w:szCs w:val="22"/>
          <w:lang w:val="es-ES"/>
        </w:rPr>
        <w:t>le r</w:t>
      </w:r>
      <w:r w:rsidRPr="00D95727">
        <w:rPr>
          <w:rFonts w:ascii="Arial" w:hAnsi="Arial" w:cs="Arial"/>
          <w:sz w:val="22"/>
          <w:szCs w:val="22"/>
          <w:lang w:val="es-ES"/>
        </w:rPr>
        <w:t>égimen basado en un requisito sustan</w:t>
      </w:r>
      <w:r w:rsidR="002F0B46" w:rsidRPr="00D95727">
        <w:rPr>
          <w:rFonts w:ascii="Arial" w:hAnsi="Arial" w:cs="Arial"/>
          <w:sz w:val="22"/>
          <w:szCs w:val="22"/>
          <w:lang w:val="es-ES"/>
        </w:rPr>
        <w:t>tivo</w:t>
      </w:r>
      <w:r w:rsidRPr="00D95727">
        <w:rPr>
          <w:rFonts w:ascii="Arial" w:hAnsi="Arial" w:cs="Arial"/>
          <w:sz w:val="22"/>
          <w:szCs w:val="22"/>
          <w:lang w:val="es-ES"/>
        </w:rPr>
        <w:t xml:space="preserve"> de patentabilidad.</w:t>
      </w:r>
    </w:p>
    <w:p w:rsidR="00D16F07" w:rsidRPr="00D95727" w:rsidRDefault="00D16F07" w:rsidP="00F207D4">
      <w:pPr>
        <w:rPr>
          <w:rFonts w:ascii="Arial" w:hAnsi="Arial" w:cs="Arial"/>
          <w:sz w:val="22"/>
          <w:szCs w:val="22"/>
          <w:lang w:val="es-ES"/>
        </w:rPr>
      </w:pPr>
    </w:p>
    <w:p w:rsidR="00D16F07" w:rsidRPr="00D95727" w:rsidRDefault="006A1303" w:rsidP="00376B5E">
      <w:pPr>
        <w:rPr>
          <w:rFonts w:ascii="Arial" w:hAnsi="Arial" w:cs="Arial"/>
          <w:sz w:val="22"/>
          <w:szCs w:val="22"/>
          <w:lang w:val="es-ES"/>
        </w:rPr>
      </w:pPr>
      <w:r w:rsidRPr="00D95727">
        <w:rPr>
          <w:rFonts w:ascii="Arial" w:hAnsi="Arial" w:cs="Arial"/>
          <w:sz w:val="22"/>
          <w:szCs w:val="22"/>
          <w:lang w:val="es-ES"/>
        </w:rPr>
        <w:t>Además del documento de trabajo consolidado, se han sometido otros tres documentos a la consideración del Comité</w:t>
      </w:r>
      <w:r w:rsidR="00261AFD" w:rsidRPr="00D95727">
        <w:rPr>
          <w:rFonts w:ascii="Arial" w:hAnsi="Arial" w:cs="Arial"/>
          <w:sz w:val="22"/>
          <w:szCs w:val="22"/>
          <w:lang w:val="es-ES"/>
        </w:rPr>
        <w:t>:</w:t>
      </w:r>
    </w:p>
    <w:p w:rsidR="00D16F07" w:rsidRPr="00D95727" w:rsidRDefault="00D16F07" w:rsidP="00376B5E">
      <w:pPr>
        <w:rPr>
          <w:rFonts w:ascii="Arial" w:hAnsi="Arial" w:cs="Arial"/>
          <w:sz w:val="22"/>
          <w:szCs w:val="22"/>
          <w:lang w:val="es-ES"/>
        </w:rPr>
      </w:pPr>
    </w:p>
    <w:p w:rsidR="00D16F07" w:rsidRPr="00D95727" w:rsidRDefault="00D16F07" w:rsidP="00D16F07">
      <w:pPr>
        <w:numPr>
          <w:ilvl w:val="0"/>
          <w:numId w:val="10"/>
        </w:numPr>
        <w:rPr>
          <w:rFonts w:ascii="Arial" w:hAnsi="Arial" w:cs="Arial"/>
          <w:sz w:val="22"/>
          <w:szCs w:val="22"/>
          <w:lang w:val="es-ES"/>
        </w:rPr>
      </w:pPr>
      <w:r w:rsidRPr="00D95727">
        <w:rPr>
          <w:rFonts w:ascii="Arial" w:hAnsi="Arial" w:cs="Arial"/>
          <w:i/>
          <w:sz w:val="22"/>
          <w:szCs w:val="22"/>
          <w:lang w:val="es-ES"/>
        </w:rPr>
        <w:t>Recomendación conjunta sobre los recursos genéticos y los conocimientos tradicionales conexos</w:t>
      </w:r>
      <w:r w:rsidR="005A4543" w:rsidRPr="00D95727">
        <w:rPr>
          <w:rFonts w:ascii="Arial" w:hAnsi="Arial" w:cs="Arial"/>
          <w:sz w:val="22"/>
          <w:szCs w:val="22"/>
          <w:lang w:val="es-ES"/>
        </w:rPr>
        <w:t>, documento presentado por las d</w:t>
      </w:r>
      <w:r w:rsidRPr="00D95727">
        <w:rPr>
          <w:rFonts w:ascii="Arial" w:hAnsi="Arial" w:cs="Arial"/>
          <w:sz w:val="22"/>
          <w:szCs w:val="22"/>
          <w:lang w:val="es-ES"/>
        </w:rPr>
        <w:t>elegaciones del Canadá, el Japón, la República de Corea y los Estados Unidos de América;</w:t>
      </w:r>
      <w:r w:rsidRPr="00D95727">
        <w:rPr>
          <w:rStyle w:val="FootnoteReference"/>
          <w:rFonts w:ascii="Arial" w:hAnsi="Arial" w:cs="Arial"/>
          <w:sz w:val="22"/>
          <w:szCs w:val="22"/>
          <w:lang w:val="es-ES"/>
        </w:rPr>
        <w:footnoteReference w:id="2"/>
      </w:r>
    </w:p>
    <w:p w:rsidR="00D16F07" w:rsidRPr="00D95727" w:rsidRDefault="00D16F07" w:rsidP="00D16F07">
      <w:pPr>
        <w:numPr>
          <w:ilvl w:val="0"/>
          <w:numId w:val="10"/>
        </w:numPr>
        <w:rPr>
          <w:rFonts w:ascii="Arial" w:hAnsi="Arial" w:cs="Arial"/>
          <w:sz w:val="22"/>
          <w:szCs w:val="22"/>
          <w:lang w:val="es-ES"/>
        </w:rPr>
      </w:pPr>
      <w:r w:rsidRPr="00D95727">
        <w:rPr>
          <w:rFonts w:ascii="Arial" w:hAnsi="Arial" w:cs="Arial"/>
          <w:i/>
          <w:sz w:val="22"/>
          <w:szCs w:val="22"/>
          <w:lang w:val="es-ES"/>
        </w:rPr>
        <w:t>Recomendación conjunta sobre el uso de bases de datos para la protección preventiva de los recursos genéticos y los conocimientos tradicionales conexos</w:t>
      </w:r>
      <w:r w:rsidR="005A4543" w:rsidRPr="00D95727">
        <w:rPr>
          <w:rFonts w:ascii="Arial" w:hAnsi="Arial" w:cs="Arial"/>
          <w:sz w:val="22"/>
          <w:szCs w:val="22"/>
          <w:lang w:val="es-ES"/>
        </w:rPr>
        <w:t>, documento presentado por las d</w:t>
      </w:r>
      <w:r w:rsidRPr="00D95727">
        <w:rPr>
          <w:rFonts w:ascii="Arial" w:hAnsi="Arial" w:cs="Arial"/>
          <w:sz w:val="22"/>
          <w:szCs w:val="22"/>
          <w:lang w:val="es-ES"/>
        </w:rPr>
        <w:t>elegaciones del Canadá, el Japón, la República de Corea y</w:t>
      </w:r>
      <w:r w:rsidR="00AC49F7" w:rsidRPr="00D95727">
        <w:rPr>
          <w:rFonts w:ascii="Arial" w:hAnsi="Arial" w:cs="Arial"/>
          <w:sz w:val="22"/>
          <w:szCs w:val="22"/>
          <w:lang w:val="es-ES"/>
        </w:rPr>
        <w:t xml:space="preserve"> los Estados Unidos de América;</w:t>
      </w:r>
      <w:r w:rsidRPr="00D95727">
        <w:rPr>
          <w:rStyle w:val="FootnoteReference"/>
          <w:rFonts w:ascii="Arial" w:hAnsi="Arial" w:cs="Arial"/>
          <w:sz w:val="22"/>
          <w:szCs w:val="22"/>
          <w:lang w:val="es-ES"/>
        </w:rPr>
        <w:footnoteReference w:id="3"/>
      </w:r>
    </w:p>
    <w:p w:rsidR="00D16F07" w:rsidRPr="00D95727" w:rsidRDefault="00D16F07" w:rsidP="00D16F07">
      <w:pPr>
        <w:numPr>
          <w:ilvl w:val="0"/>
          <w:numId w:val="10"/>
        </w:numPr>
        <w:rPr>
          <w:rFonts w:ascii="Arial" w:hAnsi="Arial" w:cs="Arial"/>
          <w:sz w:val="22"/>
          <w:szCs w:val="22"/>
          <w:lang w:val="es-ES"/>
        </w:rPr>
      </w:pPr>
      <w:r w:rsidRPr="00D95727">
        <w:rPr>
          <w:rFonts w:ascii="Arial" w:hAnsi="Arial" w:cs="Arial"/>
          <w:i/>
          <w:sz w:val="22"/>
          <w:szCs w:val="22"/>
          <w:lang w:val="es-ES"/>
        </w:rPr>
        <w:t>Propuesta de mandato del estudio por la Secretaría de la OMPI sobre medidas para evitar la concesión errónea de patentes y fomentar el cumplimiento de los regímenes vigentes de acceso y participación en los beneficios</w:t>
      </w:r>
      <w:r w:rsidRPr="00D95727">
        <w:rPr>
          <w:rFonts w:ascii="Arial" w:hAnsi="Arial" w:cs="Arial"/>
          <w:sz w:val="22"/>
          <w:szCs w:val="22"/>
          <w:lang w:val="es-ES"/>
        </w:rPr>
        <w:t xml:space="preserve">, documento presentado por las </w:t>
      </w:r>
      <w:r w:rsidR="005A4543" w:rsidRPr="00D95727">
        <w:rPr>
          <w:rFonts w:ascii="Arial" w:hAnsi="Arial" w:cs="Arial"/>
          <w:sz w:val="22"/>
          <w:szCs w:val="22"/>
          <w:lang w:val="es-ES"/>
        </w:rPr>
        <w:t>d</w:t>
      </w:r>
      <w:r w:rsidRPr="00D95727">
        <w:rPr>
          <w:rFonts w:ascii="Arial" w:hAnsi="Arial" w:cs="Arial"/>
          <w:sz w:val="22"/>
          <w:szCs w:val="22"/>
          <w:lang w:val="es-ES"/>
        </w:rPr>
        <w:t>elegaciones del Canadá, el Japón, Noruega, la República de Corea, la Federación de Rusia y los Estados Unidos de América.</w:t>
      </w:r>
      <w:r w:rsidRPr="00D95727">
        <w:rPr>
          <w:rStyle w:val="FootnoteReference"/>
          <w:rFonts w:ascii="Arial" w:hAnsi="Arial" w:cs="Arial"/>
          <w:sz w:val="22"/>
          <w:szCs w:val="22"/>
          <w:lang w:val="es-ES"/>
        </w:rPr>
        <w:footnoteReference w:id="4"/>
      </w:r>
    </w:p>
    <w:p w:rsidR="00D16F07" w:rsidRPr="00D95727" w:rsidRDefault="00D16F07" w:rsidP="00376B5E">
      <w:pPr>
        <w:rPr>
          <w:rFonts w:ascii="Arial" w:hAnsi="Arial" w:cs="Arial"/>
          <w:sz w:val="22"/>
          <w:szCs w:val="22"/>
          <w:lang w:val="es-ES"/>
        </w:rPr>
      </w:pPr>
    </w:p>
    <w:p w:rsidR="00D16F07" w:rsidRPr="00D95727" w:rsidRDefault="00D14AEE" w:rsidP="007F38B4">
      <w:pPr>
        <w:rPr>
          <w:rFonts w:ascii="Arial" w:hAnsi="Arial" w:cs="Arial"/>
          <w:sz w:val="22"/>
          <w:szCs w:val="22"/>
          <w:lang w:val="es-ES"/>
        </w:rPr>
      </w:pPr>
      <w:r w:rsidRPr="00D95727">
        <w:rPr>
          <w:rFonts w:ascii="Arial" w:hAnsi="Arial" w:cs="Arial"/>
          <w:sz w:val="22"/>
          <w:szCs w:val="22"/>
          <w:lang w:val="es-ES"/>
        </w:rPr>
        <w:t xml:space="preserve">En </w:t>
      </w:r>
      <w:r w:rsidR="005F4DB6" w:rsidRPr="00D95727">
        <w:rPr>
          <w:rFonts w:ascii="Arial" w:hAnsi="Arial" w:cs="Arial"/>
          <w:sz w:val="22"/>
          <w:szCs w:val="22"/>
          <w:lang w:val="es-ES"/>
        </w:rPr>
        <w:t xml:space="preserve">dos de </w:t>
      </w:r>
      <w:r w:rsidR="003C60CE" w:rsidRPr="00D95727">
        <w:rPr>
          <w:rFonts w:ascii="Arial" w:hAnsi="Arial" w:cs="Arial"/>
          <w:sz w:val="22"/>
          <w:szCs w:val="22"/>
          <w:lang w:val="es-ES"/>
        </w:rPr>
        <w:t>los</w:t>
      </w:r>
      <w:r w:rsidR="005F4DB6" w:rsidRPr="00D95727">
        <w:rPr>
          <w:rFonts w:ascii="Arial" w:hAnsi="Arial" w:cs="Arial"/>
          <w:sz w:val="22"/>
          <w:szCs w:val="22"/>
          <w:lang w:val="es-ES"/>
        </w:rPr>
        <w:t xml:space="preserve"> documentos</w:t>
      </w:r>
      <w:r w:rsidR="003C60CE" w:rsidRPr="00D95727">
        <w:rPr>
          <w:rFonts w:ascii="Arial" w:hAnsi="Arial" w:cs="Arial"/>
          <w:sz w:val="22"/>
          <w:szCs w:val="22"/>
          <w:lang w:val="es-ES"/>
        </w:rPr>
        <w:t xml:space="preserve"> indicados</w:t>
      </w:r>
      <w:r w:rsidR="005F4DB6" w:rsidRPr="00D95727">
        <w:rPr>
          <w:rFonts w:ascii="Arial" w:hAnsi="Arial" w:cs="Arial"/>
          <w:sz w:val="22"/>
          <w:szCs w:val="22"/>
          <w:lang w:val="es-ES"/>
        </w:rPr>
        <w:t xml:space="preserve"> </w:t>
      </w:r>
      <w:r w:rsidRPr="00D95727">
        <w:rPr>
          <w:rFonts w:ascii="Arial" w:hAnsi="Arial" w:cs="Arial"/>
          <w:sz w:val="22"/>
          <w:szCs w:val="22"/>
          <w:lang w:val="es-ES"/>
        </w:rPr>
        <w:t xml:space="preserve">se </w:t>
      </w:r>
      <w:r w:rsidR="005F4DB6" w:rsidRPr="00D95727">
        <w:rPr>
          <w:rFonts w:ascii="Arial" w:hAnsi="Arial" w:cs="Arial"/>
          <w:sz w:val="22"/>
          <w:szCs w:val="22"/>
          <w:lang w:val="es-ES"/>
        </w:rPr>
        <w:t xml:space="preserve">exponen con más detalle las propuestas no normativas </w:t>
      </w:r>
      <w:r w:rsidRPr="00D95727">
        <w:rPr>
          <w:rFonts w:ascii="Arial" w:hAnsi="Arial" w:cs="Arial"/>
          <w:sz w:val="22"/>
          <w:szCs w:val="22"/>
          <w:lang w:val="es-ES"/>
        </w:rPr>
        <w:t>que se presentan</w:t>
      </w:r>
      <w:r w:rsidR="005F4DB6" w:rsidRPr="00D95727">
        <w:rPr>
          <w:rFonts w:ascii="Arial" w:hAnsi="Arial" w:cs="Arial"/>
          <w:sz w:val="22"/>
          <w:szCs w:val="22"/>
          <w:lang w:val="es-ES"/>
        </w:rPr>
        <w:t xml:space="preserve"> en el documento consolidado, </w:t>
      </w:r>
      <w:r w:rsidRPr="00D95727">
        <w:rPr>
          <w:rFonts w:ascii="Arial" w:hAnsi="Arial" w:cs="Arial"/>
          <w:sz w:val="22"/>
          <w:szCs w:val="22"/>
          <w:lang w:val="es-ES"/>
        </w:rPr>
        <w:t xml:space="preserve">a pesar de lo cual </w:t>
      </w:r>
      <w:r w:rsidR="005F4DB6" w:rsidRPr="00D95727">
        <w:rPr>
          <w:rFonts w:ascii="Arial" w:hAnsi="Arial" w:cs="Arial"/>
          <w:sz w:val="22"/>
          <w:szCs w:val="22"/>
          <w:lang w:val="es-ES"/>
        </w:rPr>
        <w:t xml:space="preserve">pueden </w:t>
      </w:r>
      <w:r w:rsidRPr="00D95727">
        <w:rPr>
          <w:rFonts w:ascii="Arial" w:hAnsi="Arial" w:cs="Arial"/>
          <w:sz w:val="22"/>
          <w:szCs w:val="22"/>
          <w:lang w:val="es-ES"/>
        </w:rPr>
        <w:t>tratarse</w:t>
      </w:r>
      <w:r w:rsidR="005F4DB6" w:rsidRPr="00D95727">
        <w:rPr>
          <w:rFonts w:ascii="Arial" w:hAnsi="Arial" w:cs="Arial"/>
          <w:sz w:val="22"/>
          <w:szCs w:val="22"/>
          <w:lang w:val="es-ES"/>
        </w:rPr>
        <w:t xml:space="preserve"> como recomendaciones independientes sometidas a la consideración del Comité</w:t>
      </w:r>
      <w:r w:rsidR="00F515BE" w:rsidRPr="00D95727">
        <w:rPr>
          <w:rFonts w:ascii="Arial" w:hAnsi="Arial" w:cs="Arial"/>
          <w:sz w:val="22"/>
          <w:szCs w:val="22"/>
          <w:lang w:val="es-ES"/>
        </w:rPr>
        <w:t xml:space="preserve">.  </w:t>
      </w:r>
      <w:r w:rsidR="005F4DB6" w:rsidRPr="00D95727">
        <w:rPr>
          <w:rFonts w:ascii="Arial" w:hAnsi="Arial" w:cs="Arial"/>
          <w:sz w:val="22"/>
          <w:szCs w:val="22"/>
          <w:lang w:val="es-ES"/>
        </w:rPr>
        <w:t>La tercer</w:t>
      </w:r>
      <w:r w:rsidRPr="00D95727">
        <w:rPr>
          <w:rFonts w:ascii="Arial" w:hAnsi="Arial" w:cs="Arial"/>
          <w:sz w:val="22"/>
          <w:szCs w:val="22"/>
          <w:lang w:val="es-ES"/>
        </w:rPr>
        <w:t>a</w:t>
      </w:r>
      <w:r w:rsidR="003C60CE" w:rsidRPr="00D95727">
        <w:rPr>
          <w:rFonts w:ascii="Arial" w:hAnsi="Arial" w:cs="Arial"/>
          <w:sz w:val="22"/>
          <w:szCs w:val="22"/>
          <w:lang w:val="es-ES"/>
        </w:rPr>
        <w:t xml:space="preserve"> </w:t>
      </w:r>
      <w:r w:rsidRPr="00D95727">
        <w:rPr>
          <w:rFonts w:ascii="Arial" w:hAnsi="Arial" w:cs="Arial"/>
          <w:sz w:val="22"/>
          <w:szCs w:val="22"/>
          <w:lang w:val="es-ES"/>
        </w:rPr>
        <w:t>p</w:t>
      </w:r>
      <w:r w:rsidR="005F4DB6" w:rsidRPr="00D95727">
        <w:rPr>
          <w:rFonts w:ascii="Arial" w:hAnsi="Arial" w:cs="Arial"/>
          <w:sz w:val="22"/>
          <w:szCs w:val="22"/>
          <w:lang w:val="es-ES"/>
        </w:rPr>
        <w:t xml:space="preserve">ropuesta recomienda un estudio para </w:t>
      </w:r>
      <w:r w:rsidRPr="00D95727">
        <w:rPr>
          <w:rFonts w:ascii="Arial" w:hAnsi="Arial" w:cs="Arial"/>
          <w:sz w:val="22"/>
          <w:szCs w:val="22"/>
          <w:lang w:val="es-ES"/>
        </w:rPr>
        <w:t>ayudar</w:t>
      </w:r>
      <w:r w:rsidR="005F4DB6" w:rsidRPr="00D95727">
        <w:rPr>
          <w:rFonts w:ascii="Arial" w:hAnsi="Arial" w:cs="Arial"/>
          <w:sz w:val="22"/>
          <w:szCs w:val="22"/>
          <w:lang w:val="es-ES"/>
        </w:rPr>
        <w:t xml:space="preserve"> a los miembros en sus deliberaciones</w:t>
      </w:r>
      <w:r w:rsidRPr="00D95727">
        <w:rPr>
          <w:rFonts w:ascii="Arial" w:hAnsi="Arial" w:cs="Arial"/>
          <w:sz w:val="22"/>
          <w:szCs w:val="22"/>
          <w:lang w:val="es-ES"/>
        </w:rPr>
        <w:t xml:space="preserve">, haciendo especial hincapié en el aprendizaje </w:t>
      </w:r>
      <w:r w:rsidR="005F4DB6" w:rsidRPr="00D95727">
        <w:rPr>
          <w:rFonts w:ascii="Arial" w:hAnsi="Arial" w:cs="Arial"/>
          <w:sz w:val="22"/>
          <w:szCs w:val="22"/>
          <w:lang w:val="es-ES"/>
        </w:rPr>
        <w:t>de las experiencias nacionales</w:t>
      </w:r>
      <w:r w:rsidR="00F515BE" w:rsidRPr="00D95727">
        <w:rPr>
          <w:rFonts w:ascii="Arial" w:hAnsi="Arial" w:cs="Arial"/>
          <w:sz w:val="22"/>
          <w:szCs w:val="22"/>
          <w:lang w:val="es-ES"/>
        </w:rPr>
        <w:t xml:space="preserve">.  </w:t>
      </w:r>
      <w:r w:rsidR="005F4DB6" w:rsidRPr="00D95727">
        <w:rPr>
          <w:rFonts w:ascii="Arial" w:hAnsi="Arial" w:cs="Arial"/>
          <w:sz w:val="22"/>
          <w:szCs w:val="22"/>
          <w:lang w:val="es-ES"/>
        </w:rPr>
        <w:t xml:space="preserve">Además de estos documentos, en </w:t>
      </w:r>
      <w:r w:rsidRPr="00D95727">
        <w:rPr>
          <w:rFonts w:ascii="Arial" w:hAnsi="Arial" w:cs="Arial"/>
          <w:sz w:val="22"/>
          <w:szCs w:val="22"/>
          <w:lang w:val="es-ES"/>
        </w:rPr>
        <w:t xml:space="preserve">la </w:t>
      </w:r>
      <w:r w:rsidR="00E4048A" w:rsidRPr="00D95727">
        <w:rPr>
          <w:rFonts w:ascii="Arial" w:hAnsi="Arial" w:cs="Arial"/>
          <w:sz w:val="22"/>
          <w:szCs w:val="22"/>
          <w:lang w:val="es-ES"/>
        </w:rPr>
        <w:t>29ª</w:t>
      </w:r>
      <w:r w:rsidRPr="00D95727">
        <w:rPr>
          <w:rFonts w:ascii="Arial" w:hAnsi="Arial" w:cs="Arial"/>
          <w:sz w:val="22"/>
          <w:szCs w:val="22"/>
          <w:lang w:val="es-ES"/>
        </w:rPr>
        <w:t xml:space="preserve"> sesión del</w:t>
      </w:r>
      <w:r w:rsidR="005F4DB6" w:rsidRPr="00D95727">
        <w:rPr>
          <w:rFonts w:ascii="Arial" w:hAnsi="Arial" w:cs="Arial"/>
          <w:sz w:val="22"/>
          <w:szCs w:val="22"/>
          <w:lang w:val="es-ES"/>
        </w:rPr>
        <w:t xml:space="preserve"> CIG la UE se refirió una vez más a la propuesta de divulgación que había planteado por primera vez en </w:t>
      </w:r>
      <w:r w:rsidRPr="00D95727">
        <w:rPr>
          <w:rFonts w:ascii="Arial" w:hAnsi="Arial" w:cs="Arial"/>
          <w:sz w:val="22"/>
          <w:szCs w:val="22"/>
          <w:lang w:val="es-ES"/>
        </w:rPr>
        <w:t xml:space="preserve">la </w:t>
      </w:r>
      <w:r w:rsidR="00E4048A" w:rsidRPr="00D95727">
        <w:rPr>
          <w:rFonts w:ascii="Arial" w:hAnsi="Arial" w:cs="Arial"/>
          <w:sz w:val="22"/>
          <w:szCs w:val="22"/>
          <w:lang w:val="es-ES"/>
        </w:rPr>
        <w:t xml:space="preserve">8ª </w:t>
      </w:r>
      <w:r w:rsidRPr="00D95727">
        <w:rPr>
          <w:rFonts w:ascii="Arial" w:hAnsi="Arial" w:cs="Arial"/>
          <w:sz w:val="22"/>
          <w:szCs w:val="22"/>
          <w:lang w:val="es-ES"/>
        </w:rPr>
        <w:t>sesión del</w:t>
      </w:r>
      <w:r w:rsidR="006C2397">
        <w:rPr>
          <w:rFonts w:ascii="Arial" w:hAnsi="Arial" w:cs="Arial"/>
          <w:sz w:val="22"/>
          <w:szCs w:val="22"/>
          <w:lang w:val="es-ES"/>
        </w:rPr>
        <w:t xml:space="preserve"> CIG de </w:t>
      </w:r>
      <w:r w:rsidR="005F4DB6" w:rsidRPr="00D95727">
        <w:rPr>
          <w:rFonts w:ascii="Arial" w:hAnsi="Arial" w:cs="Arial"/>
          <w:sz w:val="22"/>
          <w:szCs w:val="22"/>
          <w:lang w:val="es-ES"/>
        </w:rPr>
        <w:t>2005</w:t>
      </w:r>
      <w:r w:rsidR="003C60CE" w:rsidRPr="00D95727">
        <w:rPr>
          <w:rFonts w:ascii="Arial" w:hAnsi="Arial" w:cs="Arial"/>
          <w:sz w:val="22"/>
          <w:szCs w:val="22"/>
          <w:lang w:val="es-ES"/>
        </w:rPr>
        <w:t xml:space="preserve"> </w:t>
      </w:r>
      <w:r w:rsidR="005F4DB6" w:rsidRPr="00D95727">
        <w:rPr>
          <w:rFonts w:ascii="Arial" w:hAnsi="Arial" w:cs="Arial"/>
          <w:sz w:val="22"/>
          <w:szCs w:val="22"/>
          <w:lang w:val="es-ES"/>
        </w:rPr>
        <w:t>(véase el informe</w:t>
      </w:r>
      <w:r w:rsidRPr="00D95727">
        <w:rPr>
          <w:rFonts w:ascii="Arial" w:hAnsi="Arial" w:cs="Arial"/>
          <w:sz w:val="22"/>
          <w:szCs w:val="22"/>
          <w:lang w:val="es-ES"/>
        </w:rPr>
        <w:t xml:space="preserve"> de</w:t>
      </w:r>
      <w:r w:rsidR="003C60CE" w:rsidRPr="00D95727">
        <w:rPr>
          <w:rFonts w:ascii="Arial" w:hAnsi="Arial" w:cs="Arial"/>
          <w:sz w:val="22"/>
          <w:szCs w:val="22"/>
          <w:lang w:val="es-ES"/>
        </w:rPr>
        <w:t xml:space="preserve"> </w:t>
      </w:r>
      <w:r w:rsidRPr="00D95727">
        <w:rPr>
          <w:rFonts w:ascii="Arial" w:hAnsi="Arial" w:cs="Arial"/>
          <w:sz w:val="22"/>
          <w:szCs w:val="22"/>
          <w:lang w:val="es-ES"/>
        </w:rPr>
        <w:t xml:space="preserve">la </w:t>
      </w:r>
      <w:r w:rsidR="00E4048A" w:rsidRPr="00D95727">
        <w:rPr>
          <w:rFonts w:ascii="Arial" w:hAnsi="Arial" w:cs="Arial"/>
          <w:sz w:val="22"/>
          <w:szCs w:val="22"/>
          <w:lang w:val="es-ES"/>
        </w:rPr>
        <w:t xml:space="preserve">29ª sesión </w:t>
      </w:r>
      <w:r w:rsidRPr="00D95727">
        <w:rPr>
          <w:rFonts w:ascii="Arial" w:hAnsi="Arial" w:cs="Arial"/>
          <w:sz w:val="22"/>
          <w:szCs w:val="22"/>
          <w:lang w:val="es-ES"/>
        </w:rPr>
        <w:t>del CIG</w:t>
      </w:r>
      <w:r w:rsidR="005F4DB6" w:rsidRPr="00D95727">
        <w:rPr>
          <w:rFonts w:ascii="Arial" w:hAnsi="Arial" w:cs="Arial"/>
          <w:sz w:val="22"/>
          <w:szCs w:val="22"/>
          <w:lang w:val="es-ES"/>
        </w:rPr>
        <w:t>, párrafos</w:t>
      </w:r>
      <w:r w:rsidR="00772BBD" w:rsidRPr="00D95727">
        <w:rPr>
          <w:rFonts w:ascii="Arial" w:hAnsi="Arial" w:cs="Arial"/>
          <w:sz w:val="22"/>
          <w:szCs w:val="22"/>
          <w:lang w:val="es-ES"/>
        </w:rPr>
        <w:t xml:space="preserve"> 177 </w:t>
      </w:r>
      <w:r w:rsidR="005F4DB6" w:rsidRPr="00D95727">
        <w:rPr>
          <w:rFonts w:ascii="Arial" w:hAnsi="Arial" w:cs="Arial"/>
          <w:sz w:val="22"/>
          <w:szCs w:val="22"/>
          <w:lang w:val="es-ES"/>
        </w:rPr>
        <w:t>a</w:t>
      </w:r>
      <w:r w:rsidR="00772BBD" w:rsidRPr="00D95727">
        <w:rPr>
          <w:rFonts w:ascii="Arial" w:hAnsi="Arial" w:cs="Arial"/>
          <w:sz w:val="22"/>
          <w:szCs w:val="22"/>
          <w:lang w:val="es-ES"/>
        </w:rPr>
        <w:t xml:space="preserve"> 197)</w:t>
      </w:r>
      <w:r w:rsidR="00CE1DC3" w:rsidRPr="00D95727">
        <w:rPr>
          <w:rFonts w:ascii="Arial" w:hAnsi="Arial" w:cs="Arial"/>
          <w:sz w:val="22"/>
          <w:szCs w:val="22"/>
          <w:lang w:val="es-ES"/>
        </w:rPr>
        <w:t>.</w:t>
      </w:r>
      <w:r w:rsidR="0047715F" w:rsidRPr="00D95727">
        <w:rPr>
          <w:rStyle w:val="FootnoteReference"/>
          <w:rFonts w:ascii="Arial" w:hAnsi="Arial" w:cs="Arial"/>
          <w:sz w:val="22"/>
          <w:szCs w:val="22"/>
          <w:lang w:val="es-ES"/>
        </w:rPr>
        <w:footnoteReference w:id="5"/>
      </w:r>
    </w:p>
    <w:p w:rsidR="00D16F07" w:rsidRPr="00D95727" w:rsidRDefault="00D16F07" w:rsidP="007F38B4">
      <w:pPr>
        <w:rPr>
          <w:rFonts w:ascii="Arial" w:hAnsi="Arial" w:cs="Arial"/>
          <w:sz w:val="22"/>
          <w:szCs w:val="22"/>
          <w:lang w:val="es-ES"/>
        </w:rPr>
      </w:pPr>
    </w:p>
    <w:p w:rsidR="00D16F07" w:rsidRPr="00D95727" w:rsidRDefault="00D16F07" w:rsidP="00D16F07">
      <w:pPr>
        <w:outlineLvl w:val="0"/>
        <w:rPr>
          <w:rFonts w:ascii="Arial" w:hAnsi="Arial" w:cs="Arial"/>
          <w:b/>
          <w:i/>
          <w:sz w:val="22"/>
          <w:szCs w:val="22"/>
          <w:lang w:val="es-ES"/>
        </w:rPr>
      </w:pPr>
      <w:r w:rsidRPr="00D95727">
        <w:rPr>
          <w:rFonts w:ascii="Arial" w:hAnsi="Arial" w:cs="Arial"/>
          <w:b/>
          <w:i/>
          <w:sz w:val="22"/>
          <w:szCs w:val="22"/>
          <w:lang w:val="es-ES"/>
        </w:rPr>
        <w:t>Conocimientos tradicionales</w:t>
      </w:r>
    </w:p>
    <w:p w:rsidR="00D16F07" w:rsidRPr="00D95727" w:rsidRDefault="00D16F07" w:rsidP="00376B5E">
      <w:pPr>
        <w:rPr>
          <w:rFonts w:ascii="Arial" w:hAnsi="Arial" w:cs="Arial"/>
          <w:b/>
          <w:sz w:val="22"/>
          <w:szCs w:val="22"/>
          <w:lang w:val="es-ES"/>
        </w:rPr>
      </w:pPr>
    </w:p>
    <w:p w:rsidR="00D16F07" w:rsidRPr="00D95727" w:rsidRDefault="0093416A" w:rsidP="00BD5927">
      <w:pPr>
        <w:rPr>
          <w:rFonts w:ascii="Arial" w:hAnsi="Arial" w:cs="Arial"/>
          <w:i/>
          <w:sz w:val="22"/>
          <w:szCs w:val="22"/>
          <w:lang w:val="es-ES"/>
        </w:rPr>
      </w:pPr>
      <w:r w:rsidRPr="00D95727">
        <w:rPr>
          <w:rFonts w:ascii="Arial" w:hAnsi="Arial" w:cs="Arial"/>
          <w:sz w:val="22"/>
          <w:szCs w:val="22"/>
          <w:lang w:val="es-ES"/>
        </w:rPr>
        <w:t xml:space="preserve">El texto </w:t>
      </w:r>
      <w:r w:rsidR="00D552E3" w:rsidRPr="00D95727">
        <w:rPr>
          <w:rFonts w:ascii="Arial" w:hAnsi="Arial" w:cs="Arial"/>
          <w:sz w:val="22"/>
          <w:szCs w:val="22"/>
          <w:lang w:val="es-ES"/>
        </w:rPr>
        <w:t>relativo a los CC.TT.</w:t>
      </w:r>
      <w:r w:rsidR="003C60CE" w:rsidRPr="00D95727">
        <w:rPr>
          <w:rFonts w:ascii="Arial" w:hAnsi="Arial" w:cs="Arial"/>
          <w:sz w:val="22"/>
          <w:szCs w:val="22"/>
          <w:lang w:val="es-ES"/>
        </w:rPr>
        <w:t xml:space="preserve"> </w:t>
      </w:r>
      <w:r w:rsidRPr="00D95727">
        <w:rPr>
          <w:rFonts w:ascii="Arial" w:hAnsi="Arial" w:cs="Arial"/>
          <w:sz w:val="22"/>
          <w:szCs w:val="22"/>
          <w:lang w:val="es-ES"/>
        </w:rPr>
        <w:t xml:space="preserve">se basa en un proyecto de documento de “objetivos y principios” </w:t>
      </w:r>
      <w:r w:rsidR="003C60CE" w:rsidRPr="00D95727">
        <w:rPr>
          <w:rFonts w:ascii="Arial" w:hAnsi="Arial" w:cs="Arial"/>
          <w:sz w:val="22"/>
          <w:szCs w:val="22"/>
          <w:lang w:val="es-ES"/>
        </w:rPr>
        <w:t xml:space="preserve">que </w:t>
      </w:r>
      <w:r w:rsidRPr="00D95727">
        <w:rPr>
          <w:rFonts w:ascii="Arial" w:hAnsi="Arial" w:cs="Arial"/>
          <w:sz w:val="22"/>
          <w:szCs w:val="22"/>
          <w:lang w:val="es-ES"/>
        </w:rPr>
        <w:t xml:space="preserve">la Secretaría del CIG </w:t>
      </w:r>
      <w:r w:rsidR="003C60CE" w:rsidRPr="00D95727">
        <w:rPr>
          <w:rFonts w:ascii="Arial" w:hAnsi="Arial" w:cs="Arial"/>
          <w:sz w:val="22"/>
          <w:szCs w:val="22"/>
          <w:lang w:val="es-ES"/>
        </w:rPr>
        <w:t xml:space="preserve">publicó </w:t>
      </w:r>
      <w:r w:rsidRPr="00D95727">
        <w:rPr>
          <w:rFonts w:ascii="Arial" w:hAnsi="Arial" w:cs="Arial"/>
          <w:sz w:val="22"/>
          <w:szCs w:val="22"/>
          <w:lang w:val="es-ES"/>
        </w:rPr>
        <w:t xml:space="preserve">en 2005 para </w:t>
      </w:r>
      <w:r w:rsidR="0091555E" w:rsidRPr="00D95727">
        <w:rPr>
          <w:rFonts w:ascii="Arial" w:hAnsi="Arial" w:cs="Arial"/>
          <w:sz w:val="22"/>
          <w:szCs w:val="22"/>
          <w:lang w:val="es-ES"/>
        </w:rPr>
        <w:t>apoyar</w:t>
      </w:r>
      <w:r w:rsidRPr="00D95727">
        <w:rPr>
          <w:rFonts w:ascii="Arial" w:hAnsi="Arial" w:cs="Arial"/>
          <w:sz w:val="22"/>
          <w:szCs w:val="22"/>
          <w:lang w:val="es-ES"/>
        </w:rPr>
        <w:t xml:space="preserve"> los debates en el seno del Comité</w:t>
      </w:r>
      <w:r w:rsidR="00F515BE" w:rsidRPr="00D95727">
        <w:rPr>
          <w:rFonts w:ascii="Arial" w:hAnsi="Arial" w:cs="Arial"/>
          <w:sz w:val="22"/>
          <w:szCs w:val="22"/>
          <w:lang w:val="es-ES"/>
        </w:rPr>
        <w:t xml:space="preserve">.  </w:t>
      </w:r>
      <w:r w:rsidR="00BD55B7" w:rsidRPr="00D95727">
        <w:rPr>
          <w:rFonts w:ascii="Arial" w:hAnsi="Arial" w:cs="Arial"/>
          <w:sz w:val="22"/>
          <w:szCs w:val="22"/>
          <w:lang w:val="es-ES"/>
        </w:rPr>
        <w:t>En 2011 un</w:t>
      </w:r>
      <w:r w:rsidR="003C60CE" w:rsidRPr="00D95727">
        <w:rPr>
          <w:rFonts w:ascii="Arial" w:hAnsi="Arial" w:cs="Arial"/>
          <w:sz w:val="22"/>
          <w:szCs w:val="22"/>
          <w:lang w:val="es-ES"/>
        </w:rPr>
        <w:t xml:space="preserve"> </w:t>
      </w:r>
      <w:r w:rsidR="00BD55B7" w:rsidRPr="00D95727">
        <w:rPr>
          <w:rFonts w:ascii="Arial" w:hAnsi="Arial" w:cs="Arial"/>
          <w:sz w:val="22"/>
          <w:szCs w:val="22"/>
          <w:lang w:val="es-ES"/>
        </w:rPr>
        <w:t>grupo de trabajo entre sesiones</w:t>
      </w:r>
      <w:r w:rsidR="003C60CE" w:rsidRPr="00D95727">
        <w:rPr>
          <w:rFonts w:ascii="Arial" w:hAnsi="Arial" w:cs="Arial"/>
          <w:sz w:val="22"/>
          <w:szCs w:val="22"/>
          <w:lang w:val="es-ES"/>
        </w:rPr>
        <w:t xml:space="preserve"> reelaboró</w:t>
      </w:r>
      <w:r w:rsidR="00BD55B7" w:rsidRPr="00D95727">
        <w:rPr>
          <w:rFonts w:ascii="Arial" w:hAnsi="Arial" w:cs="Arial"/>
          <w:sz w:val="22"/>
          <w:szCs w:val="22"/>
          <w:lang w:val="es-ES"/>
        </w:rPr>
        <w:t xml:space="preserve"> ese documento </w:t>
      </w:r>
      <w:r w:rsidR="00876CC7" w:rsidRPr="00D95727">
        <w:rPr>
          <w:rFonts w:ascii="Arial" w:hAnsi="Arial" w:cs="Arial"/>
          <w:sz w:val="22"/>
          <w:szCs w:val="22"/>
          <w:lang w:val="es-ES"/>
        </w:rPr>
        <w:t xml:space="preserve">para </w:t>
      </w:r>
      <w:r w:rsidR="00BD55B7" w:rsidRPr="00D95727">
        <w:rPr>
          <w:rFonts w:ascii="Arial" w:hAnsi="Arial" w:cs="Arial"/>
          <w:sz w:val="22"/>
          <w:szCs w:val="22"/>
          <w:lang w:val="es-ES"/>
        </w:rPr>
        <w:t>adecuarlo</w:t>
      </w:r>
      <w:r w:rsidR="003C60CE" w:rsidRPr="00D95727">
        <w:rPr>
          <w:rFonts w:ascii="Arial" w:hAnsi="Arial" w:cs="Arial"/>
          <w:sz w:val="22"/>
          <w:szCs w:val="22"/>
          <w:lang w:val="es-ES"/>
        </w:rPr>
        <w:t xml:space="preserve"> </w:t>
      </w:r>
      <w:r w:rsidR="00BD55B7" w:rsidRPr="00D95727">
        <w:rPr>
          <w:rFonts w:ascii="Arial" w:hAnsi="Arial" w:cs="Arial"/>
          <w:sz w:val="22"/>
          <w:szCs w:val="22"/>
          <w:lang w:val="es-ES"/>
        </w:rPr>
        <w:t xml:space="preserve">al </w:t>
      </w:r>
      <w:r w:rsidRPr="00D95727">
        <w:rPr>
          <w:rFonts w:ascii="Arial" w:hAnsi="Arial" w:cs="Arial"/>
          <w:sz w:val="22"/>
          <w:szCs w:val="22"/>
          <w:lang w:val="es-ES"/>
        </w:rPr>
        <w:t>mandato revisado</w:t>
      </w:r>
      <w:r w:rsidR="003C60CE" w:rsidRPr="00D95727">
        <w:rPr>
          <w:rFonts w:ascii="Arial" w:hAnsi="Arial" w:cs="Arial"/>
          <w:sz w:val="22"/>
          <w:szCs w:val="22"/>
          <w:lang w:val="es-ES"/>
        </w:rPr>
        <w:t xml:space="preserve"> </w:t>
      </w:r>
      <w:r w:rsidR="00BD55B7" w:rsidRPr="00D95727">
        <w:rPr>
          <w:rFonts w:ascii="Arial" w:hAnsi="Arial" w:cs="Arial"/>
          <w:sz w:val="22"/>
          <w:szCs w:val="22"/>
          <w:lang w:val="es-ES"/>
        </w:rPr>
        <w:t>en vigor des</w:t>
      </w:r>
      <w:r w:rsidRPr="00D95727">
        <w:rPr>
          <w:rFonts w:ascii="Arial" w:hAnsi="Arial" w:cs="Arial"/>
          <w:sz w:val="22"/>
          <w:szCs w:val="22"/>
          <w:lang w:val="es-ES"/>
        </w:rPr>
        <w:t>de</w:t>
      </w:r>
      <w:r w:rsidR="003C60CE" w:rsidRPr="00D95727">
        <w:rPr>
          <w:rFonts w:ascii="Arial" w:hAnsi="Arial" w:cs="Arial"/>
          <w:sz w:val="22"/>
          <w:szCs w:val="22"/>
          <w:lang w:val="es-ES"/>
        </w:rPr>
        <w:t xml:space="preserve"> </w:t>
      </w:r>
      <w:r w:rsidR="00381639" w:rsidRPr="00D95727">
        <w:rPr>
          <w:rFonts w:ascii="Arial" w:hAnsi="Arial" w:cs="Arial"/>
          <w:sz w:val="22"/>
          <w:szCs w:val="22"/>
          <w:lang w:val="es-ES"/>
        </w:rPr>
        <w:t>2010</w:t>
      </w:r>
      <w:r w:rsidR="008D4AFA" w:rsidRPr="00D95727">
        <w:rPr>
          <w:rFonts w:ascii="Arial" w:hAnsi="Arial" w:cs="Arial"/>
          <w:sz w:val="22"/>
          <w:szCs w:val="22"/>
          <w:lang w:val="es-ES"/>
        </w:rPr>
        <w:t>:“</w:t>
      </w:r>
      <w:r w:rsidR="00CC0E6B" w:rsidRPr="00D95727">
        <w:rPr>
          <w:i/>
          <w:sz w:val="22"/>
          <w:szCs w:val="22"/>
          <w:u w:val="single"/>
          <w:lang w:val="es-ES"/>
        </w:rPr>
        <w:t>[</w:t>
      </w:r>
      <w:r w:rsidR="00CC0E6B" w:rsidRPr="00D95727">
        <w:rPr>
          <w:rFonts w:ascii="Arial" w:hAnsi="Arial" w:cs="Arial"/>
          <w:i/>
          <w:sz w:val="22"/>
          <w:szCs w:val="22"/>
          <w:lang w:val="es-ES"/>
        </w:rPr>
        <w:t>…</w:t>
      </w:r>
      <w:r w:rsidR="00CC0E6B" w:rsidRPr="00D95727">
        <w:rPr>
          <w:i/>
          <w:sz w:val="22"/>
          <w:szCs w:val="22"/>
          <w:lang w:val="es-ES"/>
        </w:rPr>
        <w:t>]</w:t>
      </w:r>
      <w:r w:rsidR="003C60CE" w:rsidRPr="00D95727">
        <w:rPr>
          <w:i/>
          <w:sz w:val="22"/>
          <w:szCs w:val="22"/>
          <w:lang w:val="es-ES"/>
        </w:rPr>
        <w:t xml:space="preserve"> </w:t>
      </w:r>
      <w:r w:rsidR="00D552E3" w:rsidRPr="00D95727">
        <w:rPr>
          <w:rFonts w:ascii="Arial" w:hAnsi="Arial" w:cs="Arial"/>
          <w:i/>
          <w:sz w:val="22"/>
          <w:szCs w:val="22"/>
          <w:lang w:val="es-ES"/>
        </w:rPr>
        <w:t>negociaciones basadas en textos encaminadas a la consecución de un acuerdo sobre el texto o los textos de uno o varios instrumentos jurídicos internacionales que aseguren la protección efectiva de los</w:t>
      </w:r>
      <w:r w:rsidR="003C60CE" w:rsidRPr="00D95727">
        <w:rPr>
          <w:rFonts w:ascii="Arial" w:hAnsi="Arial" w:cs="Arial"/>
          <w:i/>
          <w:sz w:val="22"/>
          <w:szCs w:val="22"/>
          <w:lang w:val="es-ES"/>
        </w:rPr>
        <w:t xml:space="preserve"> </w:t>
      </w:r>
      <w:r w:rsidR="00D552E3" w:rsidRPr="00D95727">
        <w:rPr>
          <w:rFonts w:ascii="Arial" w:hAnsi="Arial" w:cs="Arial"/>
          <w:i/>
          <w:sz w:val="22"/>
          <w:szCs w:val="22"/>
          <w:lang w:val="es-ES"/>
        </w:rPr>
        <w:t>CC.TT</w:t>
      </w:r>
      <w:r w:rsidR="00B1434A" w:rsidRPr="00D95727">
        <w:rPr>
          <w:rFonts w:ascii="Arial" w:hAnsi="Arial" w:cs="Arial"/>
          <w:i/>
          <w:sz w:val="22"/>
          <w:szCs w:val="22"/>
          <w:lang w:val="es-ES"/>
        </w:rPr>
        <w:t>…</w:t>
      </w:r>
      <w:r w:rsidR="008D4AFA" w:rsidRPr="00D95727">
        <w:rPr>
          <w:rFonts w:ascii="Arial" w:hAnsi="Arial" w:cs="Arial"/>
          <w:i/>
          <w:sz w:val="22"/>
          <w:szCs w:val="22"/>
          <w:lang w:val="es-ES"/>
        </w:rPr>
        <w:t>.</w:t>
      </w:r>
      <w:r w:rsidR="005D14A5" w:rsidRPr="00D95727">
        <w:rPr>
          <w:rFonts w:ascii="Arial" w:hAnsi="Arial" w:cs="Arial"/>
          <w:i/>
          <w:sz w:val="22"/>
          <w:szCs w:val="22"/>
          <w:lang w:val="es-ES"/>
        </w:rPr>
        <w:t>”</w:t>
      </w:r>
    </w:p>
    <w:p w:rsidR="00D16F07" w:rsidRPr="00D95727" w:rsidRDefault="00D16F07" w:rsidP="008D4AFA">
      <w:pPr>
        <w:rPr>
          <w:rFonts w:ascii="Arial" w:hAnsi="Arial" w:cs="Arial"/>
          <w:sz w:val="22"/>
          <w:szCs w:val="22"/>
          <w:lang w:val="es-ES"/>
        </w:rPr>
      </w:pPr>
    </w:p>
    <w:p w:rsidR="00D16F07" w:rsidRPr="00D95727" w:rsidRDefault="00BD55B7" w:rsidP="008D4AFA">
      <w:pPr>
        <w:rPr>
          <w:rFonts w:ascii="Arial" w:hAnsi="Arial" w:cs="Arial"/>
          <w:sz w:val="22"/>
          <w:szCs w:val="22"/>
          <w:lang w:val="es-ES"/>
        </w:rPr>
      </w:pPr>
      <w:r w:rsidRPr="00D95727">
        <w:rPr>
          <w:rFonts w:ascii="Arial" w:hAnsi="Arial" w:cs="Arial"/>
          <w:sz w:val="22"/>
          <w:szCs w:val="22"/>
          <w:lang w:val="es-ES"/>
        </w:rPr>
        <w:t xml:space="preserve">El grupo de trabajo elaboró un texto que </w:t>
      </w:r>
      <w:r w:rsidR="005967D2" w:rsidRPr="00D95727">
        <w:rPr>
          <w:rFonts w:ascii="Arial" w:hAnsi="Arial" w:cs="Arial"/>
          <w:sz w:val="22"/>
          <w:szCs w:val="22"/>
          <w:lang w:val="es-ES"/>
        </w:rPr>
        <w:t xml:space="preserve">sirvió de base para </w:t>
      </w:r>
      <w:r w:rsidRPr="00D95727">
        <w:rPr>
          <w:rFonts w:ascii="Arial" w:hAnsi="Arial" w:cs="Arial"/>
          <w:sz w:val="22"/>
          <w:szCs w:val="22"/>
          <w:lang w:val="es-ES"/>
        </w:rPr>
        <w:t xml:space="preserve">el documento de trabajo actual en materia de CC.TT., que recoge las opiniones y </w:t>
      </w:r>
      <w:r w:rsidR="005967D2" w:rsidRPr="00D95727">
        <w:rPr>
          <w:rFonts w:ascii="Arial" w:hAnsi="Arial" w:cs="Arial"/>
          <w:sz w:val="22"/>
          <w:szCs w:val="22"/>
          <w:lang w:val="es-ES"/>
        </w:rPr>
        <w:t>posturas</w:t>
      </w:r>
      <w:r w:rsidR="003C60CE" w:rsidRPr="00D95727">
        <w:rPr>
          <w:rFonts w:ascii="Arial" w:hAnsi="Arial" w:cs="Arial"/>
          <w:sz w:val="22"/>
          <w:szCs w:val="22"/>
          <w:lang w:val="es-ES"/>
        </w:rPr>
        <w:t xml:space="preserve"> </w:t>
      </w:r>
      <w:r w:rsidRPr="00D95727">
        <w:rPr>
          <w:rFonts w:ascii="Arial" w:hAnsi="Arial" w:cs="Arial"/>
          <w:sz w:val="22"/>
          <w:szCs w:val="22"/>
          <w:lang w:val="es-ES"/>
        </w:rPr>
        <w:t>de los Estados miembros desde que se iniciaron las negociaciones basadas en textos en 2010</w:t>
      </w:r>
      <w:r w:rsidR="00F515BE" w:rsidRPr="00D95727">
        <w:rPr>
          <w:rFonts w:ascii="Arial" w:hAnsi="Arial" w:cs="Arial"/>
          <w:sz w:val="22"/>
          <w:szCs w:val="22"/>
          <w:lang w:val="es-ES"/>
        </w:rPr>
        <w:t xml:space="preserve">.  </w:t>
      </w:r>
      <w:r w:rsidR="005967D2" w:rsidRPr="00D95727">
        <w:rPr>
          <w:rFonts w:ascii="Arial" w:hAnsi="Arial" w:cs="Arial"/>
          <w:sz w:val="22"/>
          <w:szCs w:val="22"/>
          <w:lang w:val="es-ES"/>
        </w:rPr>
        <w:t>A lo largo de</w:t>
      </w:r>
      <w:r w:rsidRPr="00D95727">
        <w:rPr>
          <w:rFonts w:ascii="Arial" w:hAnsi="Arial" w:cs="Arial"/>
          <w:sz w:val="22"/>
          <w:szCs w:val="22"/>
          <w:lang w:val="es-ES"/>
        </w:rPr>
        <w:t xml:space="preserve"> este </w:t>
      </w:r>
      <w:r w:rsidR="005967D2" w:rsidRPr="00D95727">
        <w:rPr>
          <w:rFonts w:ascii="Arial" w:hAnsi="Arial" w:cs="Arial"/>
          <w:sz w:val="22"/>
          <w:szCs w:val="22"/>
          <w:lang w:val="es-ES"/>
        </w:rPr>
        <w:t>periodo</w:t>
      </w:r>
      <w:r w:rsidRPr="00D95727">
        <w:rPr>
          <w:rFonts w:ascii="Arial" w:hAnsi="Arial" w:cs="Arial"/>
          <w:sz w:val="22"/>
          <w:szCs w:val="22"/>
          <w:lang w:val="es-ES"/>
        </w:rPr>
        <w:t xml:space="preserve"> los debates relativos a los CC.TT</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se han centrado principalmente en los objetivos de </w:t>
      </w:r>
      <w:r w:rsidRPr="00D95727">
        <w:rPr>
          <w:rFonts w:ascii="Arial" w:hAnsi="Arial" w:cs="Arial"/>
          <w:sz w:val="22"/>
          <w:szCs w:val="22"/>
          <w:lang w:val="es-ES"/>
        </w:rPr>
        <w:lastRenderedPageBreak/>
        <w:t>política;</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w:t>
      </w:r>
      <w:r w:rsidR="005967D2" w:rsidRPr="00D95727">
        <w:rPr>
          <w:rFonts w:ascii="Arial" w:hAnsi="Arial" w:cs="Arial"/>
          <w:sz w:val="22"/>
          <w:szCs w:val="22"/>
          <w:lang w:val="es-ES"/>
        </w:rPr>
        <w:t>la materia</w:t>
      </w:r>
      <w:r w:rsidR="00F427E7" w:rsidRPr="00D95727">
        <w:rPr>
          <w:rFonts w:ascii="Arial" w:hAnsi="Arial" w:cs="Arial"/>
          <w:sz w:val="22"/>
          <w:szCs w:val="22"/>
          <w:lang w:val="es-ES"/>
        </w:rPr>
        <w:t xml:space="preserve"> objeto de protección</w:t>
      </w:r>
      <w:r w:rsidRPr="00D95727">
        <w:rPr>
          <w:rFonts w:ascii="Arial" w:hAnsi="Arial" w:cs="Arial"/>
          <w:sz w:val="22"/>
          <w:szCs w:val="22"/>
          <w:lang w:val="es-ES"/>
        </w:rPr>
        <w:t xml:space="preserve">, en </w:t>
      </w:r>
      <w:r w:rsidR="005967D2" w:rsidRPr="00D95727">
        <w:rPr>
          <w:rFonts w:ascii="Arial" w:hAnsi="Arial" w:cs="Arial"/>
          <w:sz w:val="22"/>
          <w:szCs w:val="22"/>
          <w:lang w:val="es-ES"/>
        </w:rPr>
        <w:t>particular</w:t>
      </w:r>
      <w:r w:rsidRPr="00D95727">
        <w:rPr>
          <w:rFonts w:ascii="Arial" w:hAnsi="Arial" w:cs="Arial"/>
          <w:sz w:val="22"/>
          <w:szCs w:val="22"/>
          <w:lang w:val="es-ES"/>
        </w:rPr>
        <w:t xml:space="preserve"> los criterios de </w:t>
      </w:r>
      <w:r w:rsidR="005967D2" w:rsidRPr="00D95727">
        <w:rPr>
          <w:rFonts w:ascii="Arial" w:hAnsi="Arial" w:cs="Arial"/>
          <w:sz w:val="22"/>
          <w:szCs w:val="22"/>
          <w:lang w:val="es-ES"/>
        </w:rPr>
        <w:t>admisibilidad</w:t>
      </w:r>
      <w:r w:rsidRPr="00D95727">
        <w:rPr>
          <w:rFonts w:ascii="Arial" w:hAnsi="Arial" w:cs="Arial"/>
          <w:sz w:val="22"/>
          <w:szCs w:val="22"/>
          <w:lang w:val="es-ES"/>
        </w:rPr>
        <w:t>;</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los beneficiarios; </w:t>
      </w:r>
      <w:r w:rsidR="007323AB" w:rsidRPr="00D95727">
        <w:rPr>
          <w:rFonts w:ascii="Arial" w:hAnsi="Arial" w:cs="Arial"/>
          <w:sz w:val="22"/>
          <w:szCs w:val="22"/>
          <w:lang w:val="es-ES"/>
        </w:rPr>
        <w:t xml:space="preserve"> </w:t>
      </w:r>
      <w:r w:rsidRPr="00D95727">
        <w:rPr>
          <w:rFonts w:ascii="Arial" w:hAnsi="Arial" w:cs="Arial"/>
          <w:sz w:val="22"/>
          <w:szCs w:val="22"/>
          <w:lang w:val="es-ES"/>
        </w:rPr>
        <w:t>el alcance de la protección;</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las excepciones y limitaciones;</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las sanciones y </w:t>
      </w:r>
      <w:r w:rsidR="005967D2" w:rsidRPr="00D95727">
        <w:rPr>
          <w:rFonts w:ascii="Arial" w:hAnsi="Arial" w:cs="Arial"/>
          <w:sz w:val="22"/>
          <w:szCs w:val="22"/>
          <w:lang w:val="es-ES"/>
        </w:rPr>
        <w:t>recursos</w:t>
      </w:r>
      <w:r w:rsidRPr="00D95727">
        <w:rPr>
          <w:rFonts w:ascii="Arial" w:hAnsi="Arial" w:cs="Arial"/>
          <w:sz w:val="22"/>
          <w:szCs w:val="22"/>
          <w:lang w:val="es-ES"/>
        </w:rPr>
        <w:t>;</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la relación con el dominio </w:t>
      </w:r>
      <w:r w:rsidR="00F427E7" w:rsidRPr="00D95727">
        <w:rPr>
          <w:rFonts w:ascii="Arial" w:hAnsi="Arial" w:cs="Arial"/>
          <w:sz w:val="22"/>
          <w:szCs w:val="22"/>
          <w:lang w:val="es-ES"/>
        </w:rPr>
        <w:t>público</w:t>
      </w:r>
      <w:r w:rsidRPr="00D95727">
        <w:rPr>
          <w:rFonts w:ascii="Arial" w:hAnsi="Arial" w:cs="Arial"/>
          <w:sz w:val="22"/>
          <w:szCs w:val="22"/>
          <w:lang w:val="es-ES"/>
        </w:rPr>
        <w:t>;</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y </w:t>
      </w:r>
      <w:r w:rsidR="005967D2" w:rsidRPr="00D95727">
        <w:rPr>
          <w:rFonts w:ascii="Arial" w:hAnsi="Arial" w:cs="Arial"/>
          <w:sz w:val="22"/>
          <w:szCs w:val="22"/>
          <w:lang w:val="es-ES"/>
        </w:rPr>
        <w:t>los términos utilizados</w:t>
      </w:r>
      <w:r w:rsidRPr="00D95727">
        <w:rPr>
          <w:rFonts w:ascii="Arial" w:hAnsi="Arial" w:cs="Arial"/>
          <w:sz w:val="22"/>
          <w:szCs w:val="22"/>
          <w:lang w:val="es-ES"/>
        </w:rPr>
        <w:t>, en particular las definiciones de CC.TT., apropiación indebida, utilización y dominio público.</w:t>
      </w:r>
    </w:p>
    <w:p w:rsidR="00D16F07" w:rsidRPr="00D95727" w:rsidRDefault="00D16F07" w:rsidP="008D4AFA">
      <w:pPr>
        <w:rPr>
          <w:rFonts w:ascii="Arial" w:hAnsi="Arial" w:cs="Arial"/>
          <w:sz w:val="22"/>
          <w:szCs w:val="22"/>
          <w:lang w:val="es-ES"/>
        </w:rPr>
      </w:pPr>
    </w:p>
    <w:p w:rsidR="00D16F07" w:rsidRPr="00D95727" w:rsidRDefault="0054176F" w:rsidP="008D4AFA">
      <w:pPr>
        <w:rPr>
          <w:rFonts w:ascii="Arial" w:hAnsi="Arial" w:cs="Arial"/>
          <w:sz w:val="22"/>
          <w:szCs w:val="22"/>
          <w:lang w:val="es-ES"/>
        </w:rPr>
      </w:pPr>
      <w:r w:rsidRPr="00D95727">
        <w:rPr>
          <w:rFonts w:ascii="Arial" w:hAnsi="Arial" w:cs="Arial"/>
          <w:sz w:val="22"/>
          <w:szCs w:val="22"/>
          <w:lang w:val="es-ES"/>
        </w:rPr>
        <w:t xml:space="preserve">El documento de trabajo actual recoge diversas posturas alternativas que reflejan las distintas formas de entender los objetivos de política del instrumento y los distintos enfoques sobre su ejecución, como </w:t>
      </w:r>
      <w:r w:rsidR="002408BB" w:rsidRPr="00D95727">
        <w:rPr>
          <w:rFonts w:ascii="Arial" w:hAnsi="Arial" w:cs="Arial"/>
          <w:sz w:val="22"/>
          <w:szCs w:val="22"/>
          <w:lang w:val="es-ES"/>
        </w:rPr>
        <w:t xml:space="preserve">por ejemplo </w:t>
      </w:r>
      <w:r w:rsidRPr="00D95727">
        <w:rPr>
          <w:rFonts w:ascii="Arial" w:hAnsi="Arial" w:cs="Arial"/>
          <w:sz w:val="22"/>
          <w:szCs w:val="22"/>
          <w:lang w:val="es-ES"/>
        </w:rPr>
        <w:t>“derechos” y/o “medidas”</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Esas discrepancias corresponden en parte a las dos formas de formular los objetivos que conviven en el documento de trabajo (véase más abajo </w:t>
      </w:r>
      <w:r w:rsidRPr="00D95727">
        <w:rPr>
          <w:rFonts w:ascii="Arial" w:hAnsi="Arial" w:cs="Arial"/>
          <w:sz w:val="22"/>
          <w:szCs w:val="22"/>
          <w:u w:val="single"/>
          <w:lang w:val="es-ES"/>
        </w:rPr>
        <w:t>mi interpretación de esas posturas alternativas</w:t>
      </w:r>
      <w:r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El primer conjunto de objetivos</w:t>
      </w:r>
      <w:r w:rsidR="002408BB" w:rsidRPr="00D95727">
        <w:rPr>
          <w:rFonts w:ascii="Arial" w:hAnsi="Arial" w:cs="Arial"/>
          <w:sz w:val="22"/>
          <w:szCs w:val="22"/>
          <w:lang w:val="es-ES"/>
        </w:rPr>
        <w:t xml:space="preserve"> </w:t>
      </w:r>
      <w:r w:rsidR="001C6198" w:rsidRPr="00D95727">
        <w:rPr>
          <w:rFonts w:ascii="Arial" w:hAnsi="Arial" w:cs="Arial"/>
          <w:sz w:val="22"/>
          <w:szCs w:val="22"/>
          <w:lang w:val="es-ES"/>
        </w:rPr>
        <w:t>está planeado desde la perspectiva</w:t>
      </w:r>
      <w:r w:rsidRPr="00D95727">
        <w:rPr>
          <w:rFonts w:ascii="Arial" w:hAnsi="Arial" w:cs="Arial"/>
          <w:sz w:val="22"/>
          <w:szCs w:val="22"/>
          <w:lang w:val="es-ES"/>
        </w:rPr>
        <w:t xml:space="preserve"> de las comunidades locales</w:t>
      </w:r>
      <w:r w:rsidR="001C6198" w:rsidRPr="00D95727">
        <w:rPr>
          <w:rFonts w:ascii="Arial" w:hAnsi="Arial" w:cs="Arial"/>
          <w:sz w:val="22"/>
          <w:szCs w:val="22"/>
          <w:lang w:val="es-ES"/>
        </w:rPr>
        <w:t xml:space="preserve"> e indígenas</w:t>
      </w:r>
      <w:r w:rsidRPr="00D95727">
        <w:rPr>
          <w:rFonts w:ascii="Arial" w:hAnsi="Arial" w:cs="Arial"/>
          <w:sz w:val="22"/>
          <w:szCs w:val="22"/>
          <w:lang w:val="es-ES"/>
        </w:rPr>
        <w:t xml:space="preserve"> y otr</w:t>
      </w:r>
      <w:r w:rsidR="001C6198" w:rsidRPr="00D95727">
        <w:rPr>
          <w:rFonts w:ascii="Arial" w:hAnsi="Arial" w:cs="Arial"/>
          <w:sz w:val="22"/>
          <w:szCs w:val="22"/>
          <w:lang w:val="es-ES"/>
        </w:rPr>
        <w:t>a</w:t>
      </w:r>
      <w:r w:rsidRPr="00D95727">
        <w:rPr>
          <w:rFonts w:ascii="Arial" w:hAnsi="Arial" w:cs="Arial"/>
          <w:sz w:val="22"/>
          <w:szCs w:val="22"/>
          <w:lang w:val="es-ES"/>
        </w:rPr>
        <w:t xml:space="preserve">s </w:t>
      </w:r>
      <w:r w:rsidR="001C6198" w:rsidRPr="00D95727">
        <w:rPr>
          <w:rFonts w:ascii="Arial" w:hAnsi="Arial" w:cs="Arial"/>
          <w:sz w:val="22"/>
          <w:szCs w:val="22"/>
          <w:lang w:val="es-ES"/>
        </w:rPr>
        <w:t xml:space="preserve">instancias </w:t>
      </w:r>
      <w:r w:rsidRPr="00D95727">
        <w:rPr>
          <w:rFonts w:ascii="Arial" w:hAnsi="Arial" w:cs="Arial"/>
          <w:sz w:val="22"/>
          <w:szCs w:val="22"/>
          <w:lang w:val="es-ES"/>
        </w:rPr>
        <w:t xml:space="preserve">que pueden considerarse </w:t>
      </w:r>
      <w:r w:rsidR="001C6198" w:rsidRPr="00D95727">
        <w:rPr>
          <w:rFonts w:ascii="Arial" w:hAnsi="Arial" w:cs="Arial"/>
          <w:sz w:val="22"/>
          <w:szCs w:val="22"/>
          <w:lang w:val="es-ES"/>
        </w:rPr>
        <w:t>poseedoras</w:t>
      </w:r>
      <w:r w:rsidRPr="00D95727">
        <w:rPr>
          <w:rFonts w:ascii="Arial" w:hAnsi="Arial" w:cs="Arial"/>
          <w:sz w:val="22"/>
          <w:szCs w:val="22"/>
          <w:lang w:val="es-ES"/>
        </w:rPr>
        <w:t xml:space="preserve"> de CC.TT., </w:t>
      </w:r>
      <w:r w:rsidR="001C6198" w:rsidRPr="00D95727">
        <w:rPr>
          <w:rFonts w:ascii="Arial" w:hAnsi="Arial" w:cs="Arial"/>
          <w:sz w:val="22"/>
          <w:szCs w:val="22"/>
          <w:lang w:val="es-ES"/>
        </w:rPr>
        <w:t>mientras que</w:t>
      </w:r>
      <w:r w:rsidRPr="00D95727">
        <w:rPr>
          <w:rFonts w:ascii="Arial" w:hAnsi="Arial" w:cs="Arial"/>
          <w:sz w:val="22"/>
          <w:szCs w:val="22"/>
          <w:lang w:val="es-ES"/>
        </w:rPr>
        <w:t xml:space="preserve"> el segundo </w:t>
      </w:r>
      <w:r w:rsidR="001C6198" w:rsidRPr="00D95727">
        <w:rPr>
          <w:rFonts w:ascii="Arial" w:hAnsi="Arial" w:cs="Arial"/>
          <w:sz w:val="22"/>
          <w:szCs w:val="22"/>
          <w:lang w:val="es-ES"/>
        </w:rPr>
        <w:t>está planteado desde</w:t>
      </w:r>
      <w:r w:rsidRPr="00D95727">
        <w:rPr>
          <w:rFonts w:ascii="Arial" w:hAnsi="Arial" w:cs="Arial"/>
          <w:sz w:val="22"/>
          <w:szCs w:val="22"/>
          <w:lang w:val="es-ES"/>
        </w:rPr>
        <w:t xml:space="preserve"> la perspectiva de un sistema de innovación más amplio orientado </w:t>
      </w:r>
      <w:r w:rsidR="001C6198" w:rsidRPr="00D95727">
        <w:rPr>
          <w:rFonts w:ascii="Arial" w:hAnsi="Arial" w:cs="Arial"/>
          <w:sz w:val="22"/>
          <w:szCs w:val="22"/>
          <w:lang w:val="es-ES"/>
        </w:rPr>
        <w:t>a promo</w:t>
      </w:r>
      <w:r w:rsidR="00DF1B16" w:rsidRPr="00D95727">
        <w:rPr>
          <w:rFonts w:ascii="Arial" w:hAnsi="Arial" w:cs="Arial"/>
          <w:sz w:val="22"/>
          <w:szCs w:val="22"/>
          <w:lang w:val="es-ES"/>
        </w:rPr>
        <w:t>ver</w:t>
      </w:r>
      <w:r w:rsidRPr="00D95727">
        <w:rPr>
          <w:rFonts w:ascii="Arial" w:hAnsi="Arial" w:cs="Arial"/>
          <w:sz w:val="22"/>
          <w:szCs w:val="22"/>
          <w:lang w:val="es-ES"/>
        </w:rPr>
        <w:t xml:space="preserve"> la innovación, transferencia y </w:t>
      </w:r>
      <w:r w:rsidR="001C6198" w:rsidRPr="00D95727">
        <w:rPr>
          <w:rFonts w:ascii="Arial" w:hAnsi="Arial" w:cs="Arial"/>
          <w:sz w:val="22"/>
          <w:szCs w:val="22"/>
          <w:lang w:val="es-ES"/>
        </w:rPr>
        <w:t>difusión</w:t>
      </w:r>
      <w:r w:rsidRPr="00D95727">
        <w:rPr>
          <w:rFonts w:ascii="Arial" w:hAnsi="Arial" w:cs="Arial"/>
          <w:sz w:val="22"/>
          <w:szCs w:val="22"/>
          <w:lang w:val="es-ES"/>
        </w:rPr>
        <w:t xml:space="preserve"> de </w:t>
      </w:r>
      <w:r w:rsidR="001C6198" w:rsidRPr="00D95727">
        <w:rPr>
          <w:rFonts w:ascii="Arial" w:hAnsi="Arial" w:cs="Arial"/>
          <w:sz w:val="22"/>
          <w:szCs w:val="22"/>
          <w:lang w:val="es-ES"/>
        </w:rPr>
        <w:t xml:space="preserve">los </w:t>
      </w:r>
      <w:r w:rsidRPr="00D95727">
        <w:rPr>
          <w:rFonts w:ascii="Arial" w:hAnsi="Arial" w:cs="Arial"/>
          <w:sz w:val="22"/>
          <w:szCs w:val="22"/>
          <w:lang w:val="es-ES"/>
        </w:rPr>
        <w:t>conocimientos, prote</w:t>
      </w:r>
      <w:r w:rsidR="00DF1B16" w:rsidRPr="00D95727">
        <w:rPr>
          <w:rFonts w:ascii="Arial" w:hAnsi="Arial" w:cs="Arial"/>
          <w:sz w:val="22"/>
          <w:szCs w:val="22"/>
          <w:lang w:val="es-ES"/>
        </w:rPr>
        <w:t xml:space="preserve">ger </w:t>
      </w:r>
      <w:r w:rsidRPr="00D95727">
        <w:rPr>
          <w:rFonts w:ascii="Arial" w:hAnsi="Arial" w:cs="Arial"/>
          <w:sz w:val="22"/>
          <w:szCs w:val="22"/>
          <w:lang w:val="es-ES"/>
        </w:rPr>
        <w:t xml:space="preserve">el dominio público y </w:t>
      </w:r>
      <w:r w:rsidR="00DF1B16" w:rsidRPr="00D95727">
        <w:rPr>
          <w:rFonts w:ascii="Arial" w:hAnsi="Arial" w:cs="Arial"/>
          <w:sz w:val="22"/>
          <w:szCs w:val="22"/>
          <w:lang w:val="es-ES"/>
        </w:rPr>
        <w:t>evitar</w:t>
      </w:r>
      <w:r w:rsidRPr="00D95727">
        <w:rPr>
          <w:rFonts w:ascii="Arial" w:hAnsi="Arial" w:cs="Arial"/>
          <w:sz w:val="22"/>
          <w:szCs w:val="22"/>
          <w:lang w:val="es-ES"/>
        </w:rPr>
        <w:t xml:space="preserve"> la concesión de derechos </w:t>
      </w:r>
      <w:r w:rsidR="0049300F" w:rsidRPr="00D95727">
        <w:rPr>
          <w:rFonts w:ascii="Arial" w:hAnsi="Arial" w:cs="Arial"/>
          <w:sz w:val="22"/>
          <w:szCs w:val="22"/>
          <w:lang w:val="es-ES"/>
        </w:rPr>
        <w:t xml:space="preserve">erróneos </w:t>
      </w:r>
      <w:r w:rsidRPr="00D95727">
        <w:rPr>
          <w:rFonts w:ascii="Arial" w:hAnsi="Arial" w:cs="Arial"/>
          <w:sz w:val="22"/>
          <w:szCs w:val="22"/>
          <w:lang w:val="es-ES"/>
        </w:rPr>
        <w:t xml:space="preserve">de </w:t>
      </w:r>
      <w:r w:rsidR="002408BB" w:rsidRPr="00D95727">
        <w:rPr>
          <w:rFonts w:ascii="Arial" w:hAnsi="Arial" w:cs="Arial"/>
          <w:sz w:val="22"/>
          <w:szCs w:val="22"/>
          <w:lang w:val="es-ES"/>
        </w:rPr>
        <w:t>P.I.</w:t>
      </w:r>
      <w:r w:rsidR="00E4048A" w:rsidRPr="00D95727">
        <w:rPr>
          <w:rFonts w:ascii="Arial" w:hAnsi="Arial" w:cs="Arial"/>
          <w:sz w:val="22"/>
          <w:szCs w:val="22"/>
          <w:lang w:val="es-ES"/>
        </w:rPr>
        <w:t>/patente</w:t>
      </w:r>
      <w:r w:rsidRPr="00D95727">
        <w:rPr>
          <w:rFonts w:ascii="Arial" w:hAnsi="Arial" w:cs="Arial"/>
          <w:sz w:val="22"/>
          <w:szCs w:val="22"/>
          <w:lang w:val="es-ES"/>
        </w:rPr>
        <w:t xml:space="preserve"> relativos a CC.TT.</w:t>
      </w:r>
    </w:p>
    <w:p w:rsidR="00D16F07" w:rsidRPr="00D95727" w:rsidRDefault="00D16F07" w:rsidP="008D4AFA">
      <w:pPr>
        <w:rPr>
          <w:rFonts w:ascii="Arial" w:hAnsi="Arial" w:cs="Arial"/>
          <w:sz w:val="22"/>
          <w:szCs w:val="22"/>
          <w:lang w:val="es-ES"/>
        </w:rPr>
      </w:pPr>
    </w:p>
    <w:p w:rsidR="00D16F07" w:rsidRPr="00D95727" w:rsidRDefault="00D16F07" w:rsidP="00D16F07">
      <w:pPr>
        <w:rPr>
          <w:rFonts w:ascii="Arial" w:hAnsi="Arial" w:cs="Arial"/>
          <w:i/>
          <w:sz w:val="22"/>
          <w:szCs w:val="22"/>
          <w:lang w:val="es-ES"/>
        </w:rPr>
      </w:pPr>
      <w:r w:rsidRPr="00D95727">
        <w:rPr>
          <w:rFonts w:ascii="Arial" w:hAnsi="Arial" w:cs="Arial"/>
          <w:i/>
          <w:sz w:val="22"/>
          <w:szCs w:val="22"/>
          <w:lang w:val="es-ES"/>
        </w:rPr>
        <w:t>Alt 1</w:t>
      </w:r>
      <w:r w:rsidR="009711DB" w:rsidRPr="00D95727">
        <w:rPr>
          <w:rFonts w:ascii="Arial" w:hAnsi="Arial" w:cs="Arial"/>
          <w:i/>
          <w:sz w:val="22"/>
          <w:szCs w:val="22"/>
          <w:lang w:val="es-ES"/>
        </w:rPr>
        <w:br/>
      </w:r>
    </w:p>
    <w:p w:rsidR="00D16F07" w:rsidRPr="00D95727" w:rsidRDefault="00D16F07" w:rsidP="00D16F07">
      <w:pPr>
        <w:rPr>
          <w:rFonts w:ascii="Arial" w:hAnsi="Arial" w:cs="Arial"/>
          <w:i/>
          <w:sz w:val="22"/>
          <w:szCs w:val="22"/>
          <w:lang w:val="es-ES"/>
        </w:rPr>
      </w:pPr>
      <w:r w:rsidRPr="00D95727">
        <w:rPr>
          <w:rFonts w:ascii="Arial" w:hAnsi="Arial" w:cs="Arial"/>
          <w:i/>
          <w:sz w:val="22"/>
          <w:szCs w:val="22"/>
          <w:lang w:val="es-ES"/>
        </w:rPr>
        <w:t>El presente instrumento deberá tender a:</w:t>
      </w:r>
    </w:p>
    <w:p w:rsidR="00D16F07" w:rsidRPr="00D95727" w:rsidRDefault="00D16F07" w:rsidP="008D4AFA">
      <w:pPr>
        <w:rPr>
          <w:rFonts w:ascii="Arial" w:hAnsi="Arial" w:cs="Arial"/>
          <w:i/>
          <w:sz w:val="22"/>
          <w:szCs w:val="22"/>
          <w:lang w:val="es-ES"/>
        </w:rPr>
      </w:pPr>
    </w:p>
    <w:p w:rsidR="00D16F07" w:rsidRPr="00D95727" w:rsidRDefault="00D16F07" w:rsidP="00EC2A4C">
      <w:pPr>
        <w:tabs>
          <w:tab w:val="left" w:pos="567"/>
        </w:tabs>
        <w:rPr>
          <w:rFonts w:ascii="Arial" w:hAnsi="Arial" w:cs="Arial"/>
          <w:i/>
          <w:sz w:val="22"/>
          <w:szCs w:val="22"/>
          <w:lang w:val="es-ES"/>
        </w:rPr>
      </w:pPr>
      <w:r w:rsidRPr="00D95727">
        <w:rPr>
          <w:rFonts w:ascii="Arial" w:hAnsi="Arial" w:cs="Arial"/>
          <w:i/>
          <w:sz w:val="22"/>
          <w:szCs w:val="22"/>
          <w:lang w:val="es-ES"/>
        </w:rPr>
        <w:t>1.</w:t>
      </w:r>
      <w:r w:rsidRPr="00D95727">
        <w:rPr>
          <w:rFonts w:ascii="Arial" w:hAnsi="Arial" w:cs="Arial"/>
          <w:i/>
          <w:sz w:val="22"/>
          <w:szCs w:val="22"/>
          <w:lang w:val="es-ES"/>
        </w:rPr>
        <w:tab/>
        <w:t>Proporcionar a los beneficiarios los medios para:</w:t>
      </w:r>
    </w:p>
    <w:p w:rsidR="00D16F07" w:rsidRPr="00D95727" w:rsidRDefault="00D16F07" w:rsidP="001F4D4E">
      <w:pPr>
        <w:rPr>
          <w:rFonts w:ascii="Arial" w:hAnsi="Arial" w:cs="Arial"/>
          <w:i/>
          <w:sz w:val="22"/>
          <w:szCs w:val="22"/>
          <w:lang w:val="es-ES"/>
        </w:rPr>
      </w:pPr>
    </w:p>
    <w:p w:rsidR="00D16F07" w:rsidRPr="00D95727" w:rsidRDefault="00D16F07" w:rsidP="00EC2A4C">
      <w:pPr>
        <w:numPr>
          <w:ilvl w:val="0"/>
          <w:numId w:val="24"/>
        </w:numPr>
        <w:ind w:left="1134" w:hanging="567"/>
        <w:rPr>
          <w:rFonts w:ascii="Arial" w:hAnsi="Arial" w:cs="Arial"/>
          <w:i/>
          <w:sz w:val="22"/>
          <w:szCs w:val="22"/>
          <w:lang w:val="es-ES"/>
        </w:rPr>
      </w:pPr>
      <w:r w:rsidRPr="00D95727">
        <w:rPr>
          <w:rFonts w:ascii="Arial" w:hAnsi="Arial" w:cs="Arial"/>
          <w:i/>
          <w:sz w:val="22"/>
          <w:szCs w:val="22"/>
          <w:lang w:val="es-ES"/>
        </w:rPr>
        <w:t>impedir [la apropiación indebida/la apropiación ilegal, el uso indebido y el uso no autorizado] de sus conocimientos tradicionales;</w:t>
      </w:r>
    </w:p>
    <w:p w:rsidR="00D16F07" w:rsidRPr="00D95727" w:rsidRDefault="00D16F07" w:rsidP="00EC2A4C">
      <w:pPr>
        <w:numPr>
          <w:ilvl w:val="0"/>
          <w:numId w:val="24"/>
        </w:numPr>
        <w:ind w:left="1134" w:hanging="567"/>
        <w:rPr>
          <w:rFonts w:ascii="Arial" w:hAnsi="Arial" w:cs="Arial"/>
          <w:i/>
          <w:sz w:val="22"/>
          <w:szCs w:val="22"/>
          <w:lang w:val="es-ES"/>
        </w:rPr>
      </w:pPr>
      <w:r w:rsidRPr="00D95727">
        <w:rPr>
          <w:rFonts w:ascii="Arial" w:hAnsi="Arial" w:cs="Arial"/>
          <w:i/>
          <w:sz w:val="22"/>
          <w:szCs w:val="22"/>
          <w:lang w:val="es-ES"/>
        </w:rPr>
        <w:t>[controlar las maneras en que se utilizan sus conocimientos tradicionales más allá del contexto tradicional y consuetudinario;]</w:t>
      </w:r>
    </w:p>
    <w:p w:rsidR="00D16F07" w:rsidRPr="00D95727" w:rsidRDefault="00D16F07" w:rsidP="00EC2A4C">
      <w:pPr>
        <w:numPr>
          <w:ilvl w:val="0"/>
          <w:numId w:val="24"/>
        </w:numPr>
        <w:ind w:left="1134" w:hanging="567"/>
        <w:rPr>
          <w:rFonts w:ascii="Arial" w:hAnsi="Arial" w:cs="Arial"/>
          <w:i/>
          <w:sz w:val="22"/>
          <w:szCs w:val="22"/>
          <w:lang w:val="es-ES"/>
        </w:rPr>
      </w:pPr>
      <w:r w:rsidRPr="00D95727">
        <w:rPr>
          <w:rFonts w:ascii="Arial" w:hAnsi="Arial" w:cs="Arial"/>
          <w:i/>
          <w:sz w:val="22"/>
          <w:szCs w:val="22"/>
          <w:lang w:val="es-ES"/>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D16F07" w:rsidRPr="00D95727" w:rsidRDefault="00D16F07" w:rsidP="00EC2A4C">
      <w:pPr>
        <w:numPr>
          <w:ilvl w:val="0"/>
          <w:numId w:val="24"/>
        </w:numPr>
        <w:ind w:left="1134" w:hanging="567"/>
        <w:rPr>
          <w:rFonts w:ascii="Arial" w:hAnsi="Arial" w:cs="Arial"/>
          <w:i/>
          <w:sz w:val="22"/>
          <w:szCs w:val="22"/>
          <w:lang w:val="es-ES"/>
        </w:rPr>
      </w:pPr>
      <w:r w:rsidRPr="00D95727">
        <w:rPr>
          <w:rFonts w:ascii="Arial" w:hAnsi="Arial" w:cs="Arial"/>
          <w:i/>
          <w:sz w:val="22"/>
          <w:szCs w:val="22"/>
          <w:lang w:val="es-ES"/>
        </w:rPr>
        <w:t>fomentar y proteger la creación y la innovación basadas en la tradición, con independencia de que se comercialicen o no.</w:t>
      </w:r>
    </w:p>
    <w:p w:rsidR="00D16F07" w:rsidRPr="00D95727" w:rsidRDefault="009711DB" w:rsidP="00D16F07">
      <w:pPr>
        <w:pStyle w:val="NormalWeb"/>
        <w:rPr>
          <w:rFonts w:ascii="Arial" w:hAnsi="Arial" w:cs="Arial"/>
          <w:i/>
          <w:sz w:val="22"/>
          <w:szCs w:val="22"/>
          <w:lang w:val="es-ES"/>
        </w:rPr>
      </w:pPr>
      <w:r w:rsidRPr="00D95727">
        <w:rPr>
          <w:rFonts w:ascii="Arial" w:hAnsi="Arial" w:cs="Arial"/>
          <w:i/>
          <w:sz w:val="22"/>
          <w:szCs w:val="22"/>
          <w:lang w:val="es-ES"/>
        </w:rPr>
        <w:t>Alternativa</w:t>
      </w:r>
      <w:r w:rsidRPr="00D95727">
        <w:rPr>
          <w:rFonts w:ascii="Arial" w:hAnsi="Arial" w:cs="Arial"/>
          <w:i/>
          <w:sz w:val="22"/>
          <w:szCs w:val="22"/>
          <w:lang w:val="es-ES"/>
        </w:rPr>
        <w:br/>
        <w:t xml:space="preserve">d) </w:t>
      </w:r>
      <w:r w:rsidR="00D16F07" w:rsidRPr="00D95727">
        <w:rPr>
          <w:rFonts w:ascii="Arial" w:hAnsi="Arial" w:cs="Arial"/>
          <w:i/>
          <w:sz w:val="22"/>
          <w:szCs w:val="22"/>
          <w:lang w:val="es-ES"/>
        </w:rPr>
        <w:t>fomentar y proteger la creación y la innovación, con independencia de que se comercialicen o no.</w:t>
      </w:r>
    </w:p>
    <w:p w:rsidR="00D16F07" w:rsidRPr="00D95727" w:rsidRDefault="009711DB" w:rsidP="00D16F07">
      <w:pPr>
        <w:pStyle w:val="NormalWeb"/>
        <w:rPr>
          <w:i/>
          <w:lang w:val="es-ES"/>
        </w:rPr>
      </w:pPr>
      <w:r w:rsidRPr="00D95727">
        <w:rPr>
          <w:rFonts w:ascii="Arial" w:hAnsi="Arial" w:cs="Arial"/>
          <w:i/>
          <w:sz w:val="22"/>
          <w:szCs w:val="22"/>
          <w:lang w:val="es-ES"/>
        </w:rPr>
        <w:t>[2</w:t>
      </w:r>
      <w:r w:rsidR="00F515BE" w:rsidRPr="00D95727">
        <w:rPr>
          <w:rFonts w:ascii="Arial" w:hAnsi="Arial" w:cs="Arial"/>
          <w:i/>
          <w:sz w:val="22"/>
          <w:szCs w:val="22"/>
          <w:lang w:val="es-ES"/>
        </w:rPr>
        <w:t xml:space="preserve">.  </w:t>
      </w:r>
      <w:r w:rsidR="00D16F07" w:rsidRPr="00D95727">
        <w:rPr>
          <w:rFonts w:ascii="Arial" w:hAnsi="Arial" w:cs="Arial"/>
          <w:i/>
          <w:sz w:val="22"/>
          <w:szCs w:val="22"/>
          <w:lang w:val="es-ES"/>
        </w:rPr>
        <w:t>Ayudar a impedir la concesión de derechos erróneos de propiedad intelectual/[de patente] sobre [conocimientos tradicionales y [[conocimientos tradicionales] [asociados a] recursos genéticos].]</w:t>
      </w:r>
    </w:p>
    <w:p w:rsidR="00D16F07" w:rsidRPr="00D95727" w:rsidRDefault="00D16F07" w:rsidP="0068494C">
      <w:pPr>
        <w:rPr>
          <w:rFonts w:ascii="Arial" w:hAnsi="Arial" w:cs="Arial"/>
          <w:i/>
          <w:sz w:val="22"/>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Alt 4</w:t>
      </w:r>
    </w:p>
    <w:p w:rsidR="00D16F07" w:rsidRPr="00D95727" w:rsidRDefault="00D16F07" w:rsidP="006170CC">
      <w:pPr>
        <w:outlineLvl w:val="0"/>
        <w:rPr>
          <w:rFonts w:ascii="Arial" w:hAnsi="Arial" w:cs="Arial"/>
          <w:i/>
          <w:sz w:val="22"/>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Los objetivos del presente instrumento son:</w:t>
      </w:r>
    </w:p>
    <w:p w:rsidR="00D16F07" w:rsidRPr="00D95727" w:rsidRDefault="00D16F07" w:rsidP="001F4D4E">
      <w:pPr>
        <w:rPr>
          <w:rFonts w:ascii="Arial" w:hAnsi="Arial" w:cs="Arial"/>
          <w:i/>
          <w:sz w:val="22"/>
          <w:szCs w:val="22"/>
          <w:lang w:val="es-ES"/>
        </w:rPr>
      </w:pPr>
    </w:p>
    <w:p w:rsidR="00BB3BCB" w:rsidRPr="00D95727" w:rsidRDefault="00D16F07" w:rsidP="00EC2A4C">
      <w:pPr>
        <w:pStyle w:val="ListParagraph"/>
        <w:numPr>
          <w:ilvl w:val="0"/>
          <w:numId w:val="29"/>
        </w:numPr>
        <w:ind w:hanging="513"/>
        <w:rPr>
          <w:rFonts w:ascii="Arial" w:hAnsi="Arial" w:cs="Arial"/>
          <w:i/>
          <w:sz w:val="22"/>
          <w:szCs w:val="22"/>
          <w:lang w:val="es-ES"/>
        </w:rPr>
      </w:pPr>
      <w:r w:rsidRPr="00D95727">
        <w:rPr>
          <w:rFonts w:ascii="Arial" w:hAnsi="Arial" w:cs="Arial"/>
          <w:i/>
          <w:sz w:val="22"/>
          <w:szCs w:val="22"/>
          <w:lang w:val="es-ES"/>
        </w:rPr>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BB3BCB" w:rsidRPr="00D95727" w:rsidRDefault="00BB3BCB" w:rsidP="00BB3BCB">
      <w:pPr>
        <w:pStyle w:val="ListParagraph"/>
        <w:ind w:left="1080"/>
        <w:rPr>
          <w:rFonts w:ascii="Arial" w:hAnsi="Arial" w:cs="Arial"/>
          <w:i/>
          <w:sz w:val="22"/>
          <w:szCs w:val="22"/>
          <w:lang w:val="es-ES"/>
        </w:rPr>
      </w:pPr>
    </w:p>
    <w:p w:rsidR="00BB3BCB" w:rsidRPr="00D95727" w:rsidRDefault="00D16F07" w:rsidP="00EC2A4C">
      <w:pPr>
        <w:pStyle w:val="ListParagraph"/>
        <w:numPr>
          <w:ilvl w:val="0"/>
          <w:numId w:val="29"/>
        </w:numPr>
        <w:ind w:hanging="513"/>
        <w:rPr>
          <w:rFonts w:ascii="Arial" w:hAnsi="Arial" w:cs="Arial"/>
          <w:i/>
          <w:sz w:val="22"/>
          <w:szCs w:val="22"/>
          <w:lang w:val="es-ES"/>
        </w:rPr>
      </w:pPr>
      <w:r w:rsidRPr="00D95727">
        <w:rPr>
          <w:rFonts w:ascii="Arial" w:hAnsi="Arial" w:cs="Arial"/>
          <w:i/>
          <w:sz w:val="22"/>
          <w:szCs w:val="22"/>
          <w:lang w:val="es-ES"/>
        </w:rPr>
        <w:t>reconocer el valor de un dominio público dinámico, el conjunto de conocimientos que está disponible para que lo usen todos y que es esencial para la creatividad y la innovación, y la necesidad de proteger, preservar y fomentar el dominio público;  y</w:t>
      </w:r>
    </w:p>
    <w:p w:rsidR="00BB3BCB" w:rsidRPr="00D95727" w:rsidRDefault="00BB3BCB" w:rsidP="00BB3BCB">
      <w:pPr>
        <w:rPr>
          <w:rFonts w:ascii="Arial" w:hAnsi="Arial" w:cs="Arial"/>
          <w:i/>
          <w:sz w:val="22"/>
          <w:szCs w:val="22"/>
          <w:lang w:val="es-ES"/>
        </w:rPr>
      </w:pPr>
    </w:p>
    <w:p w:rsidR="00D16F07" w:rsidRPr="00D95727" w:rsidRDefault="00D16F07" w:rsidP="00EC2A4C">
      <w:pPr>
        <w:pStyle w:val="ListParagraph"/>
        <w:numPr>
          <w:ilvl w:val="0"/>
          <w:numId w:val="29"/>
        </w:numPr>
        <w:ind w:hanging="513"/>
        <w:rPr>
          <w:rFonts w:ascii="Arial" w:hAnsi="Arial" w:cs="Arial"/>
          <w:i/>
          <w:sz w:val="22"/>
          <w:szCs w:val="22"/>
          <w:lang w:val="es-ES"/>
        </w:rPr>
      </w:pPr>
      <w:r w:rsidRPr="00D95727">
        <w:rPr>
          <w:rFonts w:ascii="Arial" w:hAnsi="Arial" w:cs="Arial"/>
          <w:sz w:val="22"/>
          <w:szCs w:val="22"/>
          <w:lang w:val="es-ES"/>
        </w:rPr>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D16F07" w:rsidRPr="00D95727" w:rsidRDefault="00D16F07" w:rsidP="00C12271">
      <w:pPr>
        <w:rPr>
          <w:rFonts w:ascii="Arial" w:hAnsi="Arial" w:cs="Arial"/>
          <w:sz w:val="22"/>
          <w:szCs w:val="22"/>
          <w:lang w:val="es-ES"/>
        </w:rPr>
      </w:pPr>
    </w:p>
    <w:p w:rsidR="00D16F07" w:rsidRPr="00D95727" w:rsidRDefault="007A1102" w:rsidP="00C12271">
      <w:pPr>
        <w:rPr>
          <w:rFonts w:ascii="Arial" w:hAnsi="Arial" w:cs="Arial"/>
          <w:sz w:val="22"/>
          <w:szCs w:val="22"/>
          <w:lang w:val="es-ES"/>
        </w:rPr>
      </w:pPr>
      <w:r w:rsidRPr="00D95727">
        <w:rPr>
          <w:rFonts w:ascii="Arial" w:hAnsi="Arial" w:cs="Arial"/>
          <w:sz w:val="22"/>
          <w:szCs w:val="22"/>
          <w:lang w:val="es-ES"/>
        </w:rPr>
        <w:t>Además del documento de trabajo, se han sometido otros cinco documentos</w:t>
      </w:r>
      <w:r w:rsidR="002408BB" w:rsidRPr="00D95727">
        <w:rPr>
          <w:rFonts w:ascii="Arial" w:hAnsi="Arial" w:cs="Arial"/>
          <w:sz w:val="22"/>
          <w:szCs w:val="22"/>
          <w:lang w:val="es-ES"/>
        </w:rPr>
        <w:t xml:space="preserve"> </w:t>
      </w:r>
      <w:r w:rsidRPr="00D95727">
        <w:rPr>
          <w:rFonts w:ascii="Arial" w:hAnsi="Arial" w:cs="Arial"/>
          <w:sz w:val="22"/>
          <w:szCs w:val="22"/>
          <w:lang w:val="es-ES"/>
        </w:rPr>
        <w:t>a la consideración del Comité en el curso de los debates en torno a los CC.TT.</w:t>
      </w:r>
      <w:r w:rsidR="00AD1A58" w:rsidRPr="00D95727">
        <w:rPr>
          <w:rFonts w:ascii="Arial" w:hAnsi="Arial" w:cs="Arial"/>
          <w:sz w:val="22"/>
          <w:szCs w:val="22"/>
          <w:lang w:val="es-ES"/>
        </w:rPr>
        <w:t>:</w:t>
      </w:r>
    </w:p>
    <w:p w:rsidR="00D16F07" w:rsidRPr="00D95727" w:rsidRDefault="00D16F07" w:rsidP="00C12271">
      <w:pPr>
        <w:rPr>
          <w:rFonts w:ascii="Arial" w:hAnsi="Arial" w:cs="Arial"/>
          <w:sz w:val="22"/>
          <w:szCs w:val="22"/>
          <w:lang w:val="es-ES"/>
        </w:rPr>
      </w:pPr>
    </w:p>
    <w:p w:rsidR="00D16F07" w:rsidRPr="00D95727" w:rsidRDefault="00D16F07" w:rsidP="00D16F07">
      <w:pPr>
        <w:numPr>
          <w:ilvl w:val="0"/>
          <w:numId w:val="1"/>
        </w:numPr>
        <w:rPr>
          <w:rFonts w:ascii="Arial" w:hAnsi="Arial" w:cs="Arial"/>
          <w:sz w:val="22"/>
          <w:szCs w:val="22"/>
          <w:lang w:val="es-ES"/>
        </w:rPr>
      </w:pPr>
      <w:r w:rsidRPr="00D95727">
        <w:rPr>
          <w:rFonts w:ascii="Arial" w:hAnsi="Arial" w:cs="Arial"/>
          <w:i/>
          <w:sz w:val="22"/>
          <w:szCs w:val="22"/>
          <w:lang w:val="es-ES"/>
        </w:rPr>
        <w:t>Recomendación conjunta sobre los recursos genéticos y los conocimientos tradicionales conexos</w:t>
      </w:r>
      <w:r w:rsidRPr="00D95727">
        <w:rPr>
          <w:rFonts w:ascii="Arial" w:hAnsi="Arial" w:cs="Arial"/>
          <w:sz w:val="22"/>
          <w:szCs w:val="22"/>
          <w:lang w:val="es-ES"/>
        </w:rPr>
        <w:t xml:space="preserve">, documento </w:t>
      </w:r>
      <w:r w:rsidR="005A4543" w:rsidRPr="00D95727">
        <w:rPr>
          <w:rFonts w:ascii="Arial" w:hAnsi="Arial" w:cs="Arial"/>
          <w:sz w:val="22"/>
          <w:szCs w:val="22"/>
          <w:lang w:val="es-ES"/>
        </w:rPr>
        <w:t>presentado por las d</w:t>
      </w:r>
      <w:r w:rsidRPr="00D95727">
        <w:rPr>
          <w:rFonts w:ascii="Arial" w:hAnsi="Arial" w:cs="Arial"/>
          <w:sz w:val="22"/>
          <w:szCs w:val="22"/>
          <w:lang w:val="es-ES"/>
        </w:rPr>
        <w:t>elegaciones del Canadá, el Japón, la República de Corea y los Estados Unidos de América;</w:t>
      </w:r>
      <w:r w:rsidRPr="00D95727">
        <w:rPr>
          <w:rStyle w:val="FootnoteReference"/>
          <w:rFonts w:ascii="Arial" w:hAnsi="Arial" w:cs="Arial"/>
          <w:sz w:val="22"/>
          <w:szCs w:val="22"/>
          <w:lang w:val="es-ES"/>
        </w:rPr>
        <w:footnoteReference w:id="6"/>
      </w:r>
    </w:p>
    <w:p w:rsidR="00D16F07" w:rsidRPr="00D95727" w:rsidRDefault="00D16F07" w:rsidP="00D16F07">
      <w:pPr>
        <w:numPr>
          <w:ilvl w:val="0"/>
          <w:numId w:val="1"/>
        </w:numPr>
        <w:rPr>
          <w:rFonts w:ascii="Arial" w:hAnsi="Arial" w:cs="Arial"/>
          <w:sz w:val="22"/>
          <w:szCs w:val="22"/>
          <w:lang w:val="es-ES"/>
        </w:rPr>
      </w:pPr>
      <w:r w:rsidRPr="00D95727">
        <w:rPr>
          <w:rFonts w:ascii="Arial" w:hAnsi="Arial" w:cs="Arial"/>
          <w:i/>
          <w:sz w:val="22"/>
          <w:szCs w:val="22"/>
          <w:lang w:val="es-ES"/>
        </w:rPr>
        <w:t>Recomendación conjunta sobre el uso de bases de datos para la protección preventiva de los recursos genéticos y los conocimientos tradicionales conexos</w:t>
      </w:r>
      <w:r w:rsidR="005A4543" w:rsidRPr="00D95727">
        <w:rPr>
          <w:rFonts w:ascii="Arial" w:hAnsi="Arial" w:cs="Arial"/>
          <w:sz w:val="22"/>
          <w:szCs w:val="22"/>
          <w:lang w:val="es-ES"/>
        </w:rPr>
        <w:t>, documento presentado por las d</w:t>
      </w:r>
      <w:r w:rsidRPr="00D95727">
        <w:rPr>
          <w:rFonts w:ascii="Arial" w:hAnsi="Arial" w:cs="Arial"/>
          <w:sz w:val="22"/>
          <w:szCs w:val="22"/>
          <w:lang w:val="es-ES"/>
        </w:rPr>
        <w:t>elegaciones del Canadá, el Japón, la República de Corea y los Estados Unidos de América;</w:t>
      </w:r>
      <w:r w:rsidRPr="00D95727">
        <w:rPr>
          <w:rStyle w:val="FootnoteReference"/>
          <w:rFonts w:ascii="Arial" w:hAnsi="Arial" w:cs="Arial"/>
          <w:sz w:val="22"/>
          <w:szCs w:val="22"/>
          <w:lang w:val="es-ES"/>
        </w:rPr>
        <w:footnoteReference w:id="7"/>
      </w:r>
    </w:p>
    <w:p w:rsidR="00D16F07" w:rsidRPr="00D95727" w:rsidRDefault="00D16F07" w:rsidP="00D16F07">
      <w:pPr>
        <w:numPr>
          <w:ilvl w:val="0"/>
          <w:numId w:val="1"/>
        </w:numPr>
        <w:rPr>
          <w:rFonts w:ascii="Arial" w:hAnsi="Arial" w:cs="Arial"/>
          <w:sz w:val="22"/>
          <w:szCs w:val="22"/>
          <w:lang w:val="es-ES"/>
        </w:rPr>
      </w:pPr>
      <w:r w:rsidRPr="00D95727">
        <w:rPr>
          <w:rFonts w:ascii="Arial" w:hAnsi="Arial" w:cs="Arial"/>
          <w:i/>
          <w:sz w:val="22"/>
          <w:szCs w:val="22"/>
          <w:lang w:val="es-ES"/>
        </w:rPr>
        <w:t>Propuesta de mandato del estudio por la Secretaría de la OMPI sobre medidas para evitar la concesión errónea de patentes y fomentar el cumplimiento de los regímenes vigentes de acceso y participación en los beneficios</w:t>
      </w:r>
      <w:r w:rsidRPr="00D95727">
        <w:rPr>
          <w:rFonts w:ascii="Arial" w:hAnsi="Arial" w:cs="Arial"/>
          <w:sz w:val="22"/>
          <w:szCs w:val="22"/>
          <w:lang w:val="es-ES"/>
        </w:rPr>
        <w:t>, documento presentado por las Delegaciones del Canadá, el Japón, Noruega, la República de Corea, la Federación de Rusia y los Estados Unidos de América.</w:t>
      </w:r>
      <w:r w:rsidRPr="00D95727">
        <w:rPr>
          <w:rStyle w:val="FootnoteReference"/>
          <w:rFonts w:ascii="Arial" w:hAnsi="Arial" w:cs="Arial"/>
          <w:sz w:val="22"/>
          <w:szCs w:val="22"/>
          <w:lang w:val="es-ES"/>
        </w:rPr>
        <w:footnoteReference w:id="8"/>
      </w:r>
    </w:p>
    <w:p w:rsidR="00D16F07" w:rsidRPr="00D95727" w:rsidRDefault="00C76F17" w:rsidP="00C76F17">
      <w:pPr>
        <w:numPr>
          <w:ilvl w:val="0"/>
          <w:numId w:val="1"/>
        </w:numPr>
        <w:rPr>
          <w:rFonts w:ascii="Arial" w:hAnsi="Arial" w:cs="Arial"/>
          <w:sz w:val="22"/>
          <w:szCs w:val="22"/>
          <w:lang w:val="es-ES"/>
        </w:rPr>
      </w:pPr>
      <w:r w:rsidRPr="00D95727">
        <w:rPr>
          <w:rFonts w:ascii="Arial" w:hAnsi="Arial" w:cs="Arial"/>
          <w:i/>
          <w:sz w:val="22"/>
          <w:szCs w:val="22"/>
          <w:lang w:val="es-ES"/>
        </w:rPr>
        <w:t>Propuesta de mandato de un estudio</w:t>
      </w:r>
      <w:r w:rsidRPr="00D95727">
        <w:rPr>
          <w:rFonts w:ascii="Arial" w:hAnsi="Arial" w:cs="Arial"/>
          <w:sz w:val="22"/>
          <w:szCs w:val="22"/>
          <w:lang w:val="es-ES"/>
        </w:rPr>
        <w:t>, documento presentad</w:t>
      </w:r>
      <w:r w:rsidR="00FD3892" w:rsidRPr="00D95727">
        <w:rPr>
          <w:rFonts w:ascii="Arial" w:hAnsi="Arial" w:cs="Arial"/>
          <w:sz w:val="22"/>
          <w:szCs w:val="22"/>
          <w:lang w:val="es-ES"/>
        </w:rPr>
        <w:t>o</w:t>
      </w:r>
      <w:r w:rsidRPr="00D95727">
        <w:rPr>
          <w:rFonts w:ascii="Arial" w:hAnsi="Arial" w:cs="Arial"/>
          <w:sz w:val="22"/>
          <w:szCs w:val="22"/>
          <w:lang w:val="es-ES"/>
        </w:rPr>
        <w:t xml:space="preserve"> por la delegación permanente de la Unión Europea en Ginebra, en nombre de la Unión Europea y sus Estados miembros</w:t>
      </w:r>
      <w:r w:rsidR="001D3E29" w:rsidRPr="00D95727">
        <w:rPr>
          <w:rFonts w:ascii="Arial" w:hAnsi="Arial" w:cs="Arial"/>
          <w:sz w:val="22"/>
          <w:szCs w:val="22"/>
          <w:lang w:val="es-ES"/>
        </w:rPr>
        <w:t>;</w:t>
      </w:r>
      <w:r w:rsidR="00AD1A58" w:rsidRPr="00D95727">
        <w:rPr>
          <w:rStyle w:val="FootnoteReference"/>
          <w:rFonts w:ascii="Arial" w:hAnsi="Arial" w:cs="Arial"/>
          <w:sz w:val="22"/>
          <w:szCs w:val="22"/>
          <w:lang w:val="es-ES"/>
        </w:rPr>
        <w:footnoteReference w:id="9"/>
      </w:r>
    </w:p>
    <w:p w:rsidR="00D16F07" w:rsidRPr="00D95727" w:rsidRDefault="00C76F17" w:rsidP="00C76F17">
      <w:pPr>
        <w:numPr>
          <w:ilvl w:val="0"/>
          <w:numId w:val="1"/>
        </w:numPr>
        <w:rPr>
          <w:rFonts w:ascii="Arial" w:hAnsi="Arial" w:cs="Arial"/>
          <w:i/>
          <w:sz w:val="22"/>
          <w:szCs w:val="22"/>
          <w:lang w:val="es-ES"/>
        </w:rPr>
      </w:pPr>
      <w:r w:rsidRPr="00D95727">
        <w:rPr>
          <w:rFonts w:ascii="Arial" w:hAnsi="Arial" w:cs="Arial"/>
          <w:i/>
          <w:sz w:val="22"/>
          <w:szCs w:val="22"/>
          <w:lang w:val="es-ES"/>
        </w:rPr>
        <w:t>Selección de ejemplos de conocimientos tradicionales para estimular un debate sobre las materias que deben ser objeto de protección y las materias que no se prevé proteger</w:t>
      </w:r>
      <w:r w:rsidRPr="00D95727">
        <w:rPr>
          <w:rFonts w:ascii="Arial" w:hAnsi="Arial" w:cs="Arial"/>
          <w:sz w:val="22"/>
          <w:szCs w:val="22"/>
          <w:lang w:val="es-ES"/>
        </w:rPr>
        <w:t>, documento presentado por la Delegación de los Estados Unidos de América</w:t>
      </w:r>
      <w:r w:rsidR="00AD1A58" w:rsidRPr="00D95727">
        <w:rPr>
          <w:rFonts w:ascii="Arial" w:hAnsi="Arial" w:cs="Arial"/>
          <w:sz w:val="22"/>
          <w:szCs w:val="22"/>
          <w:lang w:val="es-ES"/>
        </w:rPr>
        <w:t>.</w:t>
      </w:r>
      <w:r w:rsidR="00AD1A58" w:rsidRPr="00D95727">
        <w:rPr>
          <w:rStyle w:val="FootnoteReference"/>
          <w:rFonts w:ascii="Arial" w:hAnsi="Arial" w:cs="Arial"/>
          <w:sz w:val="22"/>
          <w:szCs w:val="22"/>
          <w:lang w:val="es-ES"/>
        </w:rPr>
        <w:footnoteReference w:id="10"/>
      </w:r>
    </w:p>
    <w:p w:rsidR="00D16F07" w:rsidRPr="00D95727" w:rsidRDefault="00D16F07" w:rsidP="00C12271">
      <w:pPr>
        <w:rPr>
          <w:rFonts w:ascii="Arial" w:hAnsi="Arial" w:cs="Arial"/>
          <w:sz w:val="22"/>
          <w:szCs w:val="22"/>
          <w:lang w:val="es-ES"/>
        </w:rPr>
      </w:pPr>
    </w:p>
    <w:p w:rsidR="00D16F07" w:rsidRPr="00D95727" w:rsidRDefault="00FD3892" w:rsidP="00C54505">
      <w:pPr>
        <w:rPr>
          <w:rFonts w:ascii="Arial" w:hAnsi="Arial" w:cs="Arial"/>
          <w:sz w:val="22"/>
          <w:szCs w:val="22"/>
          <w:lang w:val="es-ES"/>
        </w:rPr>
      </w:pPr>
      <w:bookmarkStart w:id="1" w:name="Prepared"/>
      <w:bookmarkEnd w:id="1"/>
      <w:r w:rsidRPr="00D95727">
        <w:rPr>
          <w:rFonts w:ascii="Arial" w:hAnsi="Arial" w:cs="Arial"/>
          <w:sz w:val="22"/>
          <w:szCs w:val="22"/>
          <w:lang w:val="es-ES"/>
        </w:rPr>
        <w:t xml:space="preserve">Los tres primeros documentos también </w:t>
      </w:r>
      <w:r w:rsidR="00CE793A" w:rsidRPr="00D95727">
        <w:rPr>
          <w:rFonts w:ascii="Arial" w:hAnsi="Arial" w:cs="Arial"/>
          <w:sz w:val="22"/>
          <w:szCs w:val="22"/>
          <w:lang w:val="es-ES"/>
        </w:rPr>
        <w:t>tenían por objeto</w:t>
      </w:r>
      <w:r w:rsidR="00FC5152" w:rsidRPr="00D95727">
        <w:rPr>
          <w:rFonts w:ascii="Arial" w:hAnsi="Arial" w:cs="Arial"/>
          <w:sz w:val="22"/>
          <w:szCs w:val="22"/>
          <w:lang w:val="es-ES"/>
        </w:rPr>
        <w:t xml:space="preserve"> apoyar</w:t>
      </w:r>
      <w:r w:rsidRPr="00D95727">
        <w:rPr>
          <w:rFonts w:ascii="Arial" w:hAnsi="Arial" w:cs="Arial"/>
          <w:sz w:val="22"/>
          <w:szCs w:val="22"/>
          <w:lang w:val="es-ES"/>
        </w:rPr>
        <w:t xml:space="preserve"> los debates </w:t>
      </w:r>
      <w:r w:rsidR="00FC5152" w:rsidRPr="00D95727">
        <w:rPr>
          <w:rFonts w:ascii="Arial" w:hAnsi="Arial" w:cs="Arial"/>
          <w:sz w:val="22"/>
          <w:szCs w:val="22"/>
          <w:lang w:val="es-ES"/>
        </w:rPr>
        <w:t>en torno a los</w:t>
      </w:r>
      <w:r w:rsidRPr="00D95727">
        <w:rPr>
          <w:rFonts w:ascii="Arial" w:hAnsi="Arial" w:cs="Arial"/>
          <w:sz w:val="22"/>
          <w:szCs w:val="22"/>
          <w:lang w:val="es-ES"/>
        </w:rPr>
        <w:t xml:space="preserve"> RR.GG</w:t>
      </w:r>
      <w:r w:rsidR="00CE793A" w:rsidRPr="00D95727">
        <w:rPr>
          <w:rFonts w:ascii="Arial" w:hAnsi="Arial" w:cs="Arial"/>
          <w:sz w:val="22"/>
          <w:szCs w:val="22"/>
          <w:lang w:val="es-ES"/>
        </w:rPr>
        <w:t xml:space="preserve">. </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El documento de la UE se presentó por primera vez en la </w:t>
      </w:r>
      <w:r w:rsidR="00E4048A" w:rsidRPr="00D95727">
        <w:rPr>
          <w:rFonts w:ascii="Arial" w:hAnsi="Arial" w:cs="Arial"/>
          <w:sz w:val="22"/>
          <w:szCs w:val="22"/>
          <w:lang w:val="es-ES"/>
        </w:rPr>
        <w:t>30ª</w:t>
      </w:r>
      <w:r w:rsidR="00CE793A" w:rsidRPr="00D95727">
        <w:rPr>
          <w:rFonts w:ascii="Arial" w:hAnsi="Arial" w:cs="Arial"/>
          <w:sz w:val="22"/>
          <w:szCs w:val="22"/>
          <w:lang w:val="es-ES"/>
        </w:rPr>
        <w:t xml:space="preserve"> </w:t>
      </w:r>
      <w:r w:rsidRPr="00D95727">
        <w:rPr>
          <w:rFonts w:ascii="Arial" w:hAnsi="Arial" w:cs="Arial"/>
          <w:sz w:val="22"/>
          <w:szCs w:val="22"/>
          <w:lang w:val="es-ES"/>
        </w:rPr>
        <w:t xml:space="preserve">sesión del CIG y </w:t>
      </w:r>
      <w:r w:rsidR="00FC5152" w:rsidRPr="00D95727">
        <w:rPr>
          <w:rFonts w:ascii="Arial" w:hAnsi="Arial" w:cs="Arial"/>
          <w:sz w:val="22"/>
          <w:szCs w:val="22"/>
          <w:lang w:val="es-ES"/>
        </w:rPr>
        <w:t>se ocupa</w:t>
      </w:r>
      <w:r w:rsidR="002408BB" w:rsidRPr="00D95727">
        <w:rPr>
          <w:rFonts w:ascii="Arial" w:hAnsi="Arial" w:cs="Arial"/>
          <w:sz w:val="22"/>
          <w:szCs w:val="22"/>
          <w:lang w:val="es-ES"/>
        </w:rPr>
        <w:t xml:space="preserve"> </w:t>
      </w:r>
      <w:r w:rsidR="00FC5152" w:rsidRPr="00D95727">
        <w:rPr>
          <w:rFonts w:ascii="Arial" w:hAnsi="Arial" w:cs="Arial"/>
          <w:sz w:val="22"/>
          <w:szCs w:val="22"/>
          <w:lang w:val="es-ES"/>
        </w:rPr>
        <w:t>específicamente</w:t>
      </w:r>
      <w:r w:rsidR="002408BB" w:rsidRPr="00D95727">
        <w:rPr>
          <w:rFonts w:ascii="Arial" w:hAnsi="Arial" w:cs="Arial"/>
          <w:sz w:val="22"/>
          <w:szCs w:val="22"/>
          <w:lang w:val="es-ES"/>
        </w:rPr>
        <w:t xml:space="preserve"> </w:t>
      </w:r>
      <w:r w:rsidR="00FC5152" w:rsidRPr="00D95727">
        <w:rPr>
          <w:rFonts w:ascii="Arial" w:hAnsi="Arial" w:cs="Arial"/>
          <w:sz w:val="22"/>
          <w:szCs w:val="22"/>
          <w:lang w:val="es-ES"/>
        </w:rPr>
        <w:t>de</w:t>
      </w:r>
      <w:r w:rsidRPr="00D95727">
        <w:rPr>
          <w:rFonts w:ascii="Arial" w:hAnsi="Arial" w:cs="Arial"/>
          <w:sz w:val="22"/>
          <w:szCs w:val="22"/>
          <w:lang w:val="es-ES"/>
        </w:rPr>
        <w:t xml:space="preserve"> los CC.TT</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El último documento se presentó en la </w:t>
      </w:r>
      <w:r w:rsidR="00E4048A" w:rsidRPr="00D95727">
        <w:rPr>
          <w:rFonts w:ascii="Arial" w:hAnsi="Arial" w:cs="Arial"/>
          <w:sz w:val="22"/>
          <w:szCs w:val="22"/>
          <w:lang w:val="es-ES"/>
        </w:rPr>
        <w:t xml:space="preserve">32ª </w:t>
      </w:r>
      <w:r w:rsidRPr="00D95727">
        <w:rPr>
          <w:rFonts w:ascii="Arial" w:hAnsi="Arial" w:cs="Arial"/>
          <w:sz w:val="22"/>
          <w:szCs w:val="22"/>
          <w:lang w:val="es-ES"/>
        </w:rPr>
        <w:t>sesión del CIG</w:t>
      </w:r>
      <w:r w:rsidR="00F515BE" w:rsidRPr="00D95727">
        <w:rPr>
          <w:rFonts w:ascii="Arial" w:hAnsi="Arial" w:cs="Arial"/>
          <w:sz w:val="22"/>
          <w:szCs w:val="22"/>
          <w:lang w:val="es-ES"/>
        </w:rPr>
        <w:t xml:space="preserve">.  </w:t>
      </w:r>
      <w:r w:rsidRPr="00D95727">
        <w:rPr>
          <w:rFonts w:ascii="Arial" w:hAnsi="Arial" w:cs="Arial"/>
          <w:sz w:val="22"/>
          <w:szCs w:val="22"/>
          <w:lang w:val="es-ES"/>
        </w:rPr>
        <w:t>Al igual que en el caso de los RR.GG., los dos primeros documentos puede</w:t>
      </w:r>
      <w:r w:rsidR="00FC5152" w:rsidRPr="00D95727">
        <w:rPr>
          <w:rFonts w:ascii="Arial" w:hAnsi="Arial" w:cs="Arial"/>
          <w:sz w:val="22"/>
          <w:szCs w:val="22"/>
          <w:lang w:val="es-ES"/>
        </w:rPr>
        <w:t>n</w:t>
      </w:r>
      <w:r w:rsidRPr="00D95727">
        <w:rPr>
          <w:rFonts w:ascii="Arial" w:hAnsi="Arial" w:cs="Arial"/>
          <w:sz w:val="22"/>
          <w:szCs w:val="22"/>
          <w:lang w:val="es-ES"/>
        </w:rPr>
        <w:t xml:space="preserve"> tratarse como propuestas independientes sometidas a la consideración de los Estados miembros</w:t>
      </w:r>
      <w:r w:rsidR="00F515BE" w:rsidRPr="00D95727">
        <w:rPr>
          <w:rFonts w:ascii="Arial" w:hAnsi="Arial" w:cs="Arial"/>
          <w:sz w:val="22"/>
          <w:szCs w:val="22"/>
          <w:lang w:val="es-ES"/>
        </w:rPr>
        <w:t xml:space="preserve">.  </w:t>
      </w:r>
      <w:r w:rsidRPr="00D95727">
        <w:rPr>
          <w:rFonts w:ascii="Arial" w:hAnsi="Arial" w:cs="Arial"/>
          <w:sz w:val="22"/>
          <w:szCs w:val="22"/>
          <w:lang w:val="es-ES"/>
        </w:rPr>
        <w:t>El tercer y cuarto documentos</w:t>
      </w:r>
      <w:r w:rsidR="00FC5152" w:rsidRPr="00D95727">
        <w:rPr>
          <w:rFonts w:ascii="Arial" w:hAnsi="Arial" w:cs="Arial"/>
          <w:sz w:val="22"/>
          <w:szCs w:val="22"/>
          <w:lang w:val="es-ES"/>
        </w:rPr>
        <w:t xml:space="preserve"> recomiendan </w:t>
      </w:r>
      <w:r w:rsidR="005C3147" w:rsidRPr="00D95727">
        <w:rPr>
          <w:rFonts w:ascii="Arial" w:hAnsi="Arial" w:cs="Arial"/>
          <w:sz w:val="22"/>
          <w:szCs w:val="22"/>
          <w:lang w:val="es-ES"/>
        </w:rPr>
        <w:t>la elaboración de</w:t>
      </w:r>
      <w:r w:rsidR="00FC5152" w:rsidRPr="00D95727">
        <w:rPr>
          <w:rFonts w:ascii="Arial" w:hAnsi="Arial" w:cs="Arial"/>
          <w:sz w:val="22"/>
          <w:szCs w:val="22"/>
          <w:lang w:val="es-ES"/>
        </w:rPr>
        <w:t xml:space="preserve"> estudios para </w:t>
      </w:r>
      <w:r w:rsidR="005C3147" w:rsidRPr="00D95727">
        <w:rPr>
          <w:rFonts w:ascii="Arial" w:hAnsi="Arial" w:cs="Arial"/>
          <w:sz w:val="22"/>
          <w:szCs w:val="22"/>
          <w:lang w:val="es-ES"/>
        </w:rPr>
        <w:t>facilitar</w:t>
      </w:r>
      <w:r w:rsidR="00FC5152" w:rsidRPr="00D95727">
        <w:rPr>
          <w:rFonts w:ascii="Arial" w:hAnsi="Arial" w:cs="Arial"/>
          <w:sz w:val="22"/>
          <w:szCs w:val="22"/>
          <w:lang w:val="es-ES"/>
        </w:rPr>
        <w:t xml:space="preserve"> la labor del Comité, sobre todo con miras al aprendizaje de las experiencias nacionales.</w:t>
      </w:r>
    </w:p>
    <w:p w:rsidR="00D16F07" w:rsidRPr="00D95727" w:rsidRDefault="00D16F07" w:rsidP="005E280F">
      <w:pPr>
        <w:rPr>
          <w:rFonts w:ascii="Arial" w:hAnsi="Arial" w:cs="Arial"/>
          <w:sz w:val="22"/>
          <w:szCs w:val="22"/>
          <w:lang w:val="es-ES"/>
        </w:rPr>
      </w:pPr>
    </w:p>
    <w:p w:rsidR="00D16F07" w:rsidRPr="00D95727" w:rsidRDefault="00D16F07" w:rsidP="00D16F07">
      <w:pPr>
        <w:outlineLvl w:val="0"/>
        <w:rPr>
          <w:rFonts w:ascii="Arial" w:hAnsi="Arial" w:cs="Arial"/>
          <w:b/>
          <w:i/>
          <w:sz w:val="22"/>
          <w:szCs w:val="22"/>
          <w:lang w:val="es-ES"/>
        </w:rPr>
      </w:pPr>
      <w:r w:rsidRPr="00D95727">
        <w:rPr>
          <w:rFonts w:ascii="Arial" w:hAnsi="Arial" w:cs="Arial"/>
          <w:b/>
          <w:i/>
          <w:sz w:val="22"/>
          <w:szCs w:val="22"/>
          <w:lang w:val="es-ES"/>
        </w:rPr>
        <w:t>Expresiones culturales tradicionales</w:t>
      </w:r>
    </w:p>
    <w:p w:rsidR="00D16F07" w:rsidRPr="00D95727" w:rsidRDefault="00D16F07" w:rsidP="003F4D5C">
      <w:pPr>
        <w:rPr>
          <w:rFonts w:ascii="Arial" w:hAnsi="Arial" w:cs="Arial"/>
          <w:b/>
          <w:i/>
          <w:sz w:val="22"/>
          <w:szCs w:val="22"/>
          <w:lang w:val="es-ES"/>
        </w:rPr>
      </w:pPr>
    </w:p>
    <w:p w:rsidR="00D16F07" w:rsidRPr="00D95727" w:rsidRDefault="00D83199" w:rsidP="00D83199">
      <w:pPr>
        <w:rPr>
          <w:rFonts w:ascii="Arial" w:hAnsi="Arial" w:cs="Arial"/>
          <w:sz w:val="22"/>
          <w:szCs w:val="22"/>
          <w:lang w:val="es-ES"/>
        </w:rPr>
      </w:pPr>
      <w:r w:rsidRPr="00D95727">
        <w:rPr>
          <w:rFonts w:ascii="Arial" w:hAnsi="Arial" w:cs="Arial"/>
          <w:sz w:val="22"/>
          <w:szCs w:val="22"/>
          <w:lang w:val="es-ES"/>
        </w:rPr>
        <w:t xml:space="preserve">Los debates en torno a las ECT todavía están en curso y </w:t>
      </w:r>
      <w:r w:rsidR="00CE793A" w:rsidRPr="00D95727">
        <w:rPr>
          <w:rFonts w:ascii="Arial" w:hAnsi="Arial" w:cs="Arial"/>
          <w:sz w:val="22"/>
          <w:szCs w:val="22"/>
          <w:lang w:val="es-ES"/>
        </w:rPr>
        <w:t xml:space="preserve">se verán afectados por los resultados </w:t>
      </w:r>
      <w:r w:rsidRPr="00D95727">
        <w:rPr>
          <w:rFonts w:ascii="Arial" w:hAnsi="Arial" w:cs="Arial"/>
          <w:sz w:val="22"/>
          <w:szCs w:val="22"/>
          <w:lang w:val="es-ES"/>
        </w:rPr>
        <w:t xml:space="preserve">la </w:t>
      </w:r>
      <w:r w:rsidR="00E4048A" w:rsidRPr="00D95727">
        <w:rPr>
          <w:rFonts w:ascii="Arial" w:hAnsi="Arial" w:cs="Arial"/>
          <w:sz w:val="22"/>
          <w:szCs w:val="22"/>
          <w:lang w:val="es-ES"/>
        </w:rPr>
        <w:t xml:space="preserve">34ª </w:t>
      </w:r>
      <w:r w:rsidRPr="00D95727">
        <w:rPr>
          <w:rFonts w:ascii="Arial" w:hAnsi="Arial" w:cs="Arial"/>
          <w:sz w:val="22"/>
          <w:szCs w:val="22"/>
          <w:lang w:val="es-ES"/>
        </w:rPr>
        <w:t xml:space="preserve">sesión del CIG, pero merece la pena examinar </w:t>
      </w:r>
      <w:r w:rsidR="00BA3E50" w:rsidRPr="00D95727">
        <w:rPr>
          <w:rFonts w:ascii="Arial" w:hAnsi="Arial" w:cs="Arial"/>
          <w:sz w:val="22"/>
          <w:szCs w:val="22"/>
          <w:lang w:val="es-ES"/>
        </w:rPr>
        <w:t>los antecedentes</w:t>
      </w:r>
      <w:r w:rsidRPr="00D95727">
        <w:rPr>
          <w:rFonts w:ascii="Arial" w:hAnsi="Arial" w:cs="Arial"/>
          <w:sz w:val="22"/>
          <w:szCs w:val="22"/>
          <w:lang w:val="es-ES"/>
        </w:rPr>
        <w:t xml:space="preserve"> y la situación actual de las negociaciones</w:t>
      </w:r>
      <w:r w:rsidR="00CE793A" w:rsidRPr="00D95727">
        <w:rPr>
          <w:rFonts w:ascii="Arial" w:hAnsi="Arial" w:cs="Arial"/>
          <w:sz w:val="22"/>
          <w:szCs w:val="22"/>
          <w:lang w:val="es-ES"/>
        </w:rPr>
        <w:t xml:space="preserve"> de cara a abordar la cuestión de la labor futura</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Al igual que en el caso de los CC.TT., el texto relativo a los ECT tiene su origen en un proyecto de documento de “objetivos y principios” </w:t>
      </w:r>
      <w:r w:rsidR="002937F6" w:rsidRPr="00D95727">
        <w:rPr>
          <w:rFonts w:ascii="Arial" w:hAnsi="Arial" w:cs="Arial"/>
          <w:sz w:val="22"/>
          <w:szCs w:val="22"/>
          <w:lang w:val="es-ES"/>
        </w:rPr>
        <w:t>que</w:t>
      </w:r>
      <w:r w:rsidRPr="00D95727">
        <w:rPr>
          <w:rFonts w:ascii="Arial" w:hAnsi="Arial" w:cs="Arial"/>
          <w:sz w:val="22"/>
          <w:szCs w:val="22"/>
          <w:lang w:val="es-ES"/>
        </w:rPr>
        <w:t xml:space="preserve"> la Secretaría del CIG </w:t>
      </w:r>
      <w:r w:rsidR="002937F6" w:rsidRPr="00D95727">
        <w:rPr>
          <w:rFonts w:ascii="Arial" w:hAnsi="Arial" w:cs="Arial"/>
          <w:sz w:val="22"/>
          <w:szCs w:val="22"/>
          <w:lang w:val="es-ES"/>
        </w:rPr>
        <w:t xml:space="preserve">publicó </w:t>
      </w:r>
      <w:r w:rsidR="005E280F" w:rsidRPr="00D95727">
        <w:rPr>
          <w:rFonts w:ascii="Arial" w:hAnsi="Arial" w:cs="Arial"/>
          <w:sz w:val="22"/>
          <w:szCs w:val="22"/>
          <w:lang w:val="es-ES"/>
        </w:rPr>
        <w:t>en </w:t>
      </w:r>
      <w:r w:rsidRPr="00D95727">
        <w:rPr>
          <w:rFonts w:ascii="Arial" w:hAnsi="Arial" w:cs="Arial"/>
          <w:sz w:val="22"/>
          <w:szCs w:val="22"/>
          <w:lang w:val="es-ES"/>
        </w:rPr>
        <w:t xml:space="preserve">2005 para </w:t>
      </w:r>
      <w:r w:rsidR="0091555E" w:rsidRPr="00D95727">
        <w:rPr>
          <w:rFonts w:ascii="Arial" w:hAnsi="Arial" w:cs="Arial"/>
          <w:sz w:val="22"/>
          <w:szCs w:val="22"/>
          <w:lang w:val="es-ES"/>
        </w:rPr>
        <w:t>apoyar</w:t>
      </w:r>
      <w:r w:rsidR="002937F6" w:rsidRPr="00D95727">
        <w:rPr>
          <w:rFonts w:ascii="Arial" w:hAnsi="Arial" w:cs="Arial"/>
          <w:sz w:val="22"/>
          <w:szCs w:val="22"/>
          <w:lang w:val="es-ES"/>
        </w:rPr>
        <w:t xml:space="preserve"> </w:t>
      </w:r>
      <w:r w:rsidRPr="00D95727">
        <w:rPr>
          <w:rFonts w:ascii="Arial" w:hAnsi="Arial" w:cs="Arial"/>
          <w:sz w:val="22"/>
          <w:szCs w:val="22"/>
          <w:lang w:val="es-ES"/>
        </w:rPr>
        <w:t>los debates en el seno del Comité, y que</w:t>
      </w:r>
      <w:r w:rsidR="00066F04" w:rsidRPr="00D95727">
        <w:rPr>
          <w:rFonts w:ascii="Arial" w:hAnsi="Arial" w:cs="Arial"/>
          <w:sz w:val="22"/>
          <w:szCs w:val="22"/>
          <w:lang w:val="es-ES"/>
        </w:rPr>
        <w:t xml:space="preserve"> fue</w:t>
      </w:r>
      <w:r w:rsidR="00CE793A" w:rsidRPr="00D95727">
        <w:rPr>
          <w:rFonts w:ascii="Arial" w:hAnsi="Arial" w:cs="Arial"/>
          <w:sz w:val="22"/>
          <w:szCs w:val="22"/>
          <w:lang w:val="es-ES"/>
        </w:rPr>
        <w:t xml:space="preserve"> </w:t>
      </w:r>
      <w:r w:rsidR="00066F04" w:rsidRPr="00D95727">
        <w:rPr>
          <w:rFonts w:ascii="Arial" w:hAnsi="Arial" w:cs="Arial"/>
          <w:sz w:val="22"/>
          <w:szCs w:val="22"/>
          <w:lang w:val="es-ES"/>
        </w:rPr>
        <w:t>posteriormente revisado por</w:t>
      </w:r>
      <w:r w:rsidRPr="00D95727">
        <w:rPr>
          <w:rFonts w:ascii="Arial" w:hAnsi="Arial" w:cs="Arial"/>
          <w:sz w:val="22"/>
          <w:szCs w:val="22"/>
          <w:lang w:val="es-ES"/>
        </w:rPr>
        <w:t xml:space="preserve"> un grupo de trabajo entre sesiones </w:t>
      </w:r>
      <w:r w:rsidR="00066F04" w:rsidRPr="00D95727">
        <w:rPr>
          <w:rFonts w:ascii="Arial" w:hAnsi="Arial" w:cs="Arial"/>
          <w:sz w:val="22"/>
          <w:szCs w:val="22"/>
          <w:lang w:val="es-ES"/>
        </w:rPr>
        <w:t>que desarrolló su labor en</w:t>
      </w:r>
      <w:r w:rsidR="00CE793A" w:rsidRPr="00D95727">
        <w:rPr>
          <w:rFonts w:ascii="Arial" w:hAnsi="Arial" w:cs="Arial"/>
          <w:sz w:val="22"/>
          <w:szCs w:val="22"/>
          <w:lang w:val="es-ES"/>
        </w:rPr>
        <w:t xml:space="preserve"> </w:t>
      </w:r>
      <w:r w:rsidRPr="00D95727">
        <w:rPr>
          <w:rFonts w:ascii="Arial" w:hAnsi="Arial" w:cs="Arial"/>
          <w:sz w:val="22"/>
          <w:szCs w:val="22"/>
          <w:lang w:val="es-ES"/>
        </w:rPr>
        <w:t>2010.</w:t>
      </w:r>
      <w:r w:rsidR="002937F6" w:rsidRPr="00D95727">
        <w:rPr>
          <w:rFonts w:ascii="Arial" w:hAnsi="Arial" w:cs="Arial"/>
          <w:sz w:val="22"/>
          <w:szCs w:val="22"/>
          <w:lang w:val="es-ES"/>
        </w:rPr>
        <w:t xml:space="preserve">  </w:t>
      </w:r>
      <w:r w:rsidR="00066F04" w:rsidRPr="00D95727">
        <w:rPr>
          <w:rFonts w:ascii="Arial" w:hAnsi="Arial" w:cs="Arial"/>
          <w:sz w:val="22"/>
          <w:szCs w:val="22"/>
          <w:lang w:val="es-ES"/>
        </w:rPr>
        <w:t>El resultado</w:t>
      </w:r>
      <w:r w:rsidR="00CE793A" w:rsidRPr="00D95727">
        <w:rPr>
          <w:rFonts w:ascii="Arial" w:hAnsi="Arial" w:cs="Arial"/>
          <w:sz w:val="22"/>
          <w:szCs w:val="22"/>
          <w:lang w:val="es-ES"/>
        </w:rPr>
        <w:t xml:space="preserve"> </w:t>
      </w:r>
      <w:r w:rsidR="00066F04" w:rsidRPr="00D95727">
        <w:rPr>
          <w:rFonts w:ascii="Arial" w:hAnsi="Arial" w:cs="Arial"/>
          <w:sz w:val="22"/>
          <w:szCs w:val="22"/>
          <w:lang w:val="es-ES"/>
        </w:rPr>
        <w:t>ha constituido</w:t>
      </w:r>
      <w:r w:rsidRPr="00D95727">
        <w:rPr>
          <w:rFonts w:ascii="Arial" w:hAnsi="Arial" w:cs="Arial"/>
          <w:sz w:val="22"/>
          <w:szCs w:val="22"/>
          <w:lang w:val="es-ES"/>
        </w:rPr>
        <w:t xml:space="preserve"> el texto de trabajo primario </w:t>
      </w:r>
      <w:r w:rsidR="00066F04" w:rsidRPr="00D95727">
        <w:rPr>
          <w:rFonts w:ascii="Arial" w:hAnsi="Arial" w:cs="Arial"/>
          <w:sz w:val="22"/>
          <w:szCs w:val="22"/>
          <w:lang w:val="es-ES"/>
        </w:rPr>
        <w:t>de</w:t>
      </w:r>
      <w:r w:rsidRPr="00D95727">
        <w:rPr>
          <w:rFonts w:ascii="Arial" w:hAnsi="Arial" w:cs="Arial"/>
          <w:sz w:val="22"/>
          <w:szCs w:val="22"/>
          <w:lang w:val="es-ES"/>
        </w:rPr>
        <w:t xml:space="preserve"> las negociaciones </w:t>
      </w:r>
      <w:r w:rsidR="008D0C06" w:rsidRPr="00D95727">
        <w:rPr>
          <w:rFonts w:ascii="Arial" w:hAnsi="Arial" w:cs="Arial"/>
          <w:sz w:val="22"/>
          <w:szCs w:val="22"/>
          <w:lang w:val="es-ES"/>
        </w:rPr>
        <w:t xml:space="preserve">posteriores </w:t>
      </w:r>
      <w:r w:rsidRPr="00D95727">
        <w:rPr>
          <w:rFonts w:ascii="Arial" w:hAnsi="Arial" w:cs="Arial"/>
          <w:sz w:val="22"/>
          <w:szCs w:val="22"/>
          <w:lang w:val="es-ES"/>
        </w:rPr>
        <w:t xml:space="preserve">basadas en textos y recoge las opiniones y posturas de los Estados miembros desde que se </w:t>
      </w:r>
      <w:r w:rsidR="008D0C06" w:rsidRPr="00D95727">
        <w:rPr>
          <w:rFonts w:ascii="Arial" w:hAnsi="Arial" w:cs="Arial"/>
          <w:sz w:val="22"/>
          <w:szCs w:val="22"/>
          <w:lang w:val="es-ES"/>
        </w:rPr>
        <w:t>emprendieron</w:t>
      </w:r>
      <w:r w:rsidRPr="00D95727">
        <w:rPr>
          <w:rFonts w:ascii="Arial" w:hAnsi="Arial" w:cs="Arial"/>
          <w:sz w:val="22"/>
          <w:szCs w:val="22"/>
          <w:lang w:val="es-ES"/>
        </w:rPr>
        <w:t xml:space="preserve"> </w:t>
      </w:r>
      <w:r w:rsidR="005E280F" w:rsidRPr="00D95727">
        <w:rPr>
          <w:rFonts w:ascii="Arial" w:hAnsi="Arial" w:cs="Arial"/>
          <w:sz w:val="22"/>
          <w:szCs w:val="22"/>
          <w:lang w:val="es-ES"/>
        </w:rPr>
        <w:t>en </w:t>
      </w:r>
      <w:r w:rsidR="002937F6" w:rsidRPr="00D95727">
        <w:rPr>
          <w:rFonts w:ascii="Arial" w:hAnsi="Arial" w:cs="Arial"/>
          <w:sz w:val="22"/>
          <w:szCs w:val="22"/>
          <w:lang w:val="es-ES"/>
        </w:rPr>
        <w:t xml:space="preserve">2010 </w:t>
      </w:r>
      <w:r w:rsidRPr="00D95727">
        <w:rPr>
          <w:rFonts w:ascii="Arial" w:hAnsi="Arial" w:cs="Arial"/>
          <w:sz w:val="22"/>
          <w:szCs w:val="22"/>
          <w:lang w:val="es-ES"/>
        </w:rPr>
        <w:t>las negociaciones basadas en textos sobre las ECT.</w:t>
      </w:r>
    </w:p>
    <w:p w:rsidR="00D83199" w:rsidRPr="00D95727" w:rsidRDefault="00D83199" w:rsidP="00D83199">
      <w:pPr>
        <w:rPr>
          <w:rFonts w:ascii="Arial" w:hAnsi="Arial" w:cs="Arial"/>
          <w:sz w:val="22"/>
          <w:szCs w:val="22"/>
          <w:lang w:val="es-ES"/>
        </w:rPr>
      </w:pPr>
    </w:p>
    <w:p w:rsidR="00D16F07" w:rsidRPr="00D95727" w:rsidRDefault="008D0C06" w:rsidP="003F4D5C">
      <w:pPr>
        <w:rPr>
          <w:rFonts w:ascii="Arial" w:hAnsi="Arial" w:cs="Arial"/>
          <w:sz w:val="22"/>
          <w:szCs w:val="22"/>
          <w:lang w:val="es-ES"/>
        </w:rPr>
      </w:pPr>
      <w:r w:rsidRPr="00D95727">
        <w:rPr>
          <w:rFonts w:ascii="Arial" w:hAnsi="Arial" w:cs="Arial"/>
          <w:sz w:val="22"/>
          <w:szCs w:val="22"/>
          <w:lang w:val="es-ES"/>
        </w:rPr>
        <w:lastRenderedPageBreak/>
        <w:t xml:space="preserve">A lo largo de este periodo, </w:t>
      </w:r>
      <w:r w:rsidR="008E7674" w:rsidRPr="00D95727">
        <w:rPr>
          <w:rFonts w:ascii="Arial" w:hAnsi="Arial" w:cs="Arial"/>
          <w:sz w:val="22"/>
          <w:szCs w:val="22"/>
          <w:lang w:val="es-ES"/>
        </w:rPr>
        <w:t>e</w:t>
      </w:r>
      <w:r w:rsidR="00CB513F" w:rsidRPr="00D95727">
        <w:rPr>
          <w:rFonts w:ascii="Arial" w:hAnsi="Arial" w:cs="Arial"/>
          <w:sz w:val="22"/>
          <w:szCs w:val="22"/>
          <w:lang w:val="es-ES"/>
        </w:rPr>
        <w:t xml:space="preserve"> igual que </w:t>
      </w:r>
      <w:r w:rsidR="008E7674" w:rsidRPr="00D95727">
        <w:rPr>
          <w:rFonts w:ascii="Arial" w:hAnsi="Arial" w:cs="Arial"/>
          <w:sz w:val="22"/>
          <w:szCs w:val="22"/>
          <w:lang w:val="es-ES"/>
        </w:rPr>
        <w:t>ha ocurrido con</w:t>
      </w:r>
      <w:r w:rsidR="00CB513F" w:rsidRPr="00D95727">
        <w:rPr>
          <w:rFonts w:ascii="Arial" w:hAnsi="Arial" w:cs="Arial"/>
          <w:sz w:val="22"/>
          <w:szCs w:val="22"/>
          <w:lang w:val="es-ES"/>
        </w:rPr>
        <w:t xml:space="preserve"> l</w:t>
      </w:r>
      <w:r w:rsidRPr="00D95727">
        <w:rPr>
          <w:rFonts w:ascii="Arial" w:hAnsi="Arial" w:cs="Arial"/>
          <w:sz w:val="22"/>
          <w:szCs w:val="22"/>
          <w:lang w:val="es-ES"/>
        </w:rPr>
        <w:t xml:space="preserve">os CC.TT., los debates </w:t>
      </w:r>
      <w:r w:rsidR="008E7674" w:rsidRPr="00D95727">
        <w:rPr>
          <w:rFonts w:ascii="Arial" w:hAnsi="Arial" w:cs="Arial"/>
          <w:sz w:val="22"/>
          <w:szCs w:val="22"/>
          <w:lang w:val="es-ES"/>
        </w:rPr>
        <w:t>en torno a</w:t>
      </w:r>
      <w:r w:rsidRPr="00D95727">
        <w:rPr>
          <w:rFonts w:ascii="Arial" w:hAnsi="Arial" w:cs="Arial"/>
          <w:sz w:val="22"/>
          <w:szCs w:val="22"/>
          <w:lang w:val="es-ES"/>
        </w:rPr>
        <w:t xml:space="preserve"> las ECT se han centrado principal</w:t>
      </w:r>
      <w:r w:rsidR="008E7674" w:rsidRPr="00D95727">
        <w:rPr>
          <w:rFonts w:ascii="Arial" w:hAnsi="Arial" w:cs="Arial"/>
          <w:sz w:val="22"/>
          <w:szCs w:val="22"/>
          <w:lang w:val="es-ES"/>
        </w:rPr>
        <w:t>m</w:t>
      </w:r>
      <w:r w:rsidRPr="00D95727">
        <w:rPr>
          <w:rFonts w:ascii="Arial" w:hAnsi="Arial" w:cs="Arial"/>
          <w:sz w:val="22"/>
          <w:szCs w:val="22"/>
          <w:lang w:val="es-ES"/>
        </w:rPr>
        <w:t xml:space="preserve">ente en los siguientes aspectos: </w:t>
      </w:r>
      <w:r w:rsidR="00980000" w:rsidRPr="00D95727">
        <w:rPr>
          <w:rFonts w:ascii="Arial" w:hAnsi="Arial" w:cs="Arial"/>
          <w:sz w:val="22"/>
          <w:szCs w:val="22"/>
          <w:lang w:val="es-ES"/>
        </w:rPr>
        <w:t xml:space="preserve"> </w:t>
      </w:r>
      <w:r w:rsidRPr="00D95727">
        <w:rPr>
          <w:rFonts w:ascii="Arial" w:hAnsi="Arial" w:cs="Arial"/>
          <w:sz w:val="22"/>
          <w:szCs w:val="22"/>
          <w:lang w:val="es-ES"/>
        </w:rPr>
        <w:t xml:space="preserve">los objetivos de política; </w:t>
      </w:r>
      <w:r w:rsidR="007323AB" w:rsidRPr="00D95727">
        <w:rPr>
          <w:rFonts w:ascii="Arial" w:hAnsi="Arial" w:cs="Arial"/>
          <w:sz w:val="22"/>
          <w:szCs w:val="22"/>
          <w:lang w:val="es-ES"/>
        </w:rPr>
        <w:t xml:space="preserve"> </w:t>
      </w:r>
      <w:r w:rsidRPr="00D95727">
        <w:rPr>
          <w:rFonts w:ascii="Arial" w:hAnsi="Arial" w:cs="Arial"/>
          <w:sz w:val="22"/>
          <w:szCs w:val="22"/>
          <w:lang w:val="es-ES"/>
        </w:rPr>
        <w:t>la materia</w:t>
      </w:r>
      <w:r w:rsidR="00980000" w:rsidRPr="00D95727">
        <w:rPr>
          <w:rFonts w:ascii="Arial" w:hAnsi="Arial" w:cs="Arial"/>
          <w:sz w:val="22"/>
          <w:szCs w:val="22"/>
          <w:lang w:val="es-ES"/>
        </w:rPr>
        <w:t xml:space="preserve"> objeto de protección</w:t>
      </w:r>
      <w:r w:rsidRPr="00D95727">
        <w:rPr>
          <w:rFonts w:ascii="Arial" w:hAnsi="Arial" w:cs="Arial"/>
          <w:sz w:val="22"/>
          <w:szCs w:val="22"/>
          <w:lang w:val="es-ES"/>
        </w:rPr>
        <w:t>,</w:t>
      </w:r>
      <w:r w:rsidR="00980000" w:rsidRPr="00D95727">
        <w:rPr>
          <w:rFonts w:ascii="Arial" w:hAnsi="Arial" w:cs="Arial"/>
          <w:sz w:val="22"/>
          <w:szCs w:val="22"/>
          <w:lang w:val="es-ES"/>
        </w:rPr>
        <w:t xml:space="preserve"> </w:t>
      </w:r>
      <w:r w:rsidRPr="00D95727">
        <w:rPr>
          <w:rFonts w:ascii="Arial" w:hAnsi="Arial" w:cs="Arial"/>
          <w:sz w:val="22"/>
          <w:szCs w:val="22"/>
          <w:lang w:val="es-ES"/>
        </w:rPr>
        <w:t>en particular los criterios de admisibilidad;</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los beneficiarios;</w:t>
      </w:r>
      <w:r w:rsidR="00980000" w:rsidRPr="00D95727">
        <w:rPr>
          <w:rFonts w:ascii="Arial" w:hAnsi="Arial" w:cs="Arial"/>
          <w:sz w:val="22"/>
          <w:szCs w:val="22"/>
          <w:lang w:val="es-ES"/>
        </w:rPr>
        <w:t xml:space="preserve"> </w:t>
      </w:r>
      <w:r w:rsidRPr="00D95727">
        <w:rPr>
          <w:rFonts w:ascii="Arial" w:hAnsi="Arial" w:cs="Arial"/>
          <w:sz w:val="22"/>
          <w:szCs w:val="22"/>
          <w:lang w:val="es-ES"/>
        </w:rPr>
        <w:t xml:space="preserve"> el alcance de la protección;</w:t>
      </w:r>
      <w:r w:rsidR="00980000" w:rsidRPr="00D95727">
        <w:rPr>
          <w:rFonts w:ascii="Arial" w:hAnsi="Arial" w:cs="Arial"/>
          <w:sz w:val="22"/>
          <w:szCs w:val="22"/>
          <w:lang w:val="es-ES"/>
        </w:rPr>
        <w:t xml:space="preserve"> </w:t>
      </w:r>
      <w:r w:rsidRPr="00D95727">
        <w:rPr>
          <w:rFonts w:ascii="Arial" w:hAnsi="Arial" w:cs="Arial"/>
          <w:sz w:val="22"/>
          <w:szCs w:val="22"/>
          <w:lang w:val="es-ES"/>
        </w:rPr>
        <w:t xml:space="preserve"> las excepciones y limitaciones;</w:t>
      </w:r>
      <w:r w:rsidR="007323AB" w:rsidRPr="00D95727">
        <w:rPr>
          <w:rFonts w:ascii="Arial" w:hAnsi="Arial" w:cs="Arial"/>
          <w:sz w:val="22"/>
          <w:szCs w:val="22"/>
          <w:lang w:val="es-ES"/>
        </w:rPr>
        <w:t xml:space="preserve"> </w:t>
      </w:r>
      <w:r w:rsidRPr="00D95727">
        <w:rPr>
          <w:rFonts w:ascii="Arial" w:hAnsi="Arial" w:cs="Arial"/>
          <w:sz w:val="22"/>
          <w:szCs w:val="22"/>
          <w:lang w:val="es-ES"/>
        </w:rPr>
        <w:t xml:space="preserve"> las sanciones y recursos</w:t>
      </w:r>
      <w:r w:rsidR="00980000" w:rsidRPr="00D95727">
        <w:rPr>
          <w:rFonts w:ascii="Arial" w:hAnsi="Arial" w:cs="Arial"/>
          <w:sz w:val="22"/>
          <w:szCs w:val="22"/>
          <w:lang w:val="es-ES"/>
        </w:rPr>
        <w:t xml:space="preserve">; </w:t>
      </w:r>
      <w:r w:rsidR="007323AB" w:rsidRPr="00D95727">
        <w:rPr>
          <w:rFonts w:ascii="Arial" w:hAnsi="Arial" w:cs="Arial"/>
          <w:sz w:val="22"/>
          <w:szCs w:val="22"/>
          <w:lang w:val="es-ES"/>
        </w:rPr>
        <w:t xml:space="preserve"> </w:t>
      </w:r>
      <w:r w:rsidR="00980000" w:rsidRPr="00D95727">
        <w:rPr>
          <w:rFonts w:ascii="Arial" w:hAnsi="Arial" w:cs="Arial"/>
          <w:sz w:val="22"/>
          <w:szCs w:val="22"/>
          <w:lang w:val="es-ES"/>
        </w:rPr>
        <w:t>la relación con el dominio pú</w:t>
      </w:r>
      <w:r w:rsidRPr="00D95727">
        <w:rPr>
          <w:rFonts w:ascii="Arial" w:hAnsi="Arial" w:cs="Arial"/>
          <w:sz w:val="22"/>
          <w:szCs w:val="22"/>
          <w:lang w:val="es-ES"/>
        </w:rPr>
        <w:t>b</w:t>
      </w:r>
      <w:r w:rsidR="00980000" w:rsidRPr="00D95727">
        <w:rPr>
          <w:rFonts w:ascii="Arial" w:hAnsi="Arial" w:cs="Arial"/>
          <w:sz w:val="22"/>
          <w:szCs w:val="22"/>
          <w:lang w:val="es-ES"/>
        </w:rPr>
        <w:t>l</w:t>
      </w:r>
      <w:r w:rsidRPr="00D95727">
        <w:rPr>
          <w:rFonts w:ascii="Arial" w:hAnsi="Arial" w:cs="Arial"/>
          <w:sz w:val="22"/>
          <w:szCs w:val="22"/>
          <w:lang w:val="es-ES"/>
        </w:rPr>
        <w:t xml:space="preserve">ico; </w:t>
      </w:r>
      <w:r w:rsidR="00980000" w:rsidRPr="00D95727">
        <w:rPr>
          <w:rFonts w:ascii="Arial" w:hAnsi="Arial" w:cs="Arial"/>
          <w:sz w:val="22"/>
          <w:szCs w:val="22"/>
          <w:lang w:val="es-ES"/>
        </w:rPr>
        <w:t xml:space="preserve"> </w:t>
      </w:r>
      <w:r w:rsidRPr="00D95727">
        <w:rPr>
          <w:rFonts w:ascii="Arial" w:hAnsi="Arial" w:cs="Arial"/>
          <w:sz w:val="22"/>
          <w:szCs w:val="22"/>
          <w:lang w:val="es-ES"/>
        </w:rPr>
        <w:t>y los términos utilizados, en particular las definiciones de ECT y dominio público</w:t>
      </w:r>
      <w:r w:rsidR="00F515BE" w:rsidRPr="00D95727">
        <w:rPr>
          <w:rFonts w:ascii="Arial" w:hAnsi="Arial" w:cs="Arial"/>
          <w:sz w:val="22"/>
          <w:szCs w:val="22"/>
          <w:lang w:val="es-ES"/>
        </w:rPr>
        <w:t xml:space="preserve">.  </w:t>
      </w:r>
      <w:r w:rsidRPr="00D95727">
        <w:rPr>
          <w:rFonts w:ascii="Arial" w:hAnsi="Arial" w:cs="Arial"/>
          <w:sz w:val="22"/>
          <w:szCs w:val="22"/>
          <w:lang w:val="es-ES"/>
        </w:rPr>
        <w:t>Eso de</w:t>
      </w:r>
      <w:r w:rsidR="008E7674" w:rsidRPr="00D95727">
        <w:rPr>
          <w:rFonts w:ascii="Arial" w:hAnsi="Arial" w:cs="Arial"/>
          <w:sz w:val="22"/>
          <w:szCs w:val="22"/>
          <w:lang w:val="es-ES"/>
        </w:rPr>
        <w:t>muestra que exi</w:t>
      </w:r>
      <w:r w:rsidRPr="00D95727">
        <w:rPr>
          <w:rFonts w:ascii="Arial" w:hAnsi="Arial" w:cs="Arial"/>
          <w:sz w:val="22"/>
          <w:szCs w:val="22"/>
          <w:lang w:val="es-ES"/>
        </w:rPr>
        <w:t>sten notables coincidencias de política en</w:t>
      </w:r>
      <w:r w:rsidR="008E7674" w:rsidRPr="00D95727">
        <w:rPr>
          <w:rFonts w:ascii="Arial" w:hAnsi="Arial" w:cs="Arial"/>
          <w:sz w:val="22"/>
          <w:szCs w:val="22"/>
          <w:lang w:val="es-ES"/>
        </w:rPr>
        <w:t>tre</w:t>
      </w:r>
      <w:r w:rsidRPr="00D95727">
        <w:rPr>
          <w:rFonts w:ascii="Arial" w:hAnsi="Arial" w:cs="Arial"/>
          <w:sz w:val="22"/>
          <w:szCs w:val="22"/>
          <w:lang w:val="es-ES"/>
        </w:rPr>
        <w:t xml:space="preserve"> ambas materias, en particular en los ámbitos de los objetivos de política, los beneficiarios y el alcance y naturaleza de la protección</w:t>
      </w:r>
      <w:r w:rsidR="00F515BE" w:rsidRPr="00D95727">
        <w:rPr>
          <w:rFonts w:ascii="Arial" w:hAnsi="Arial" w:cs="Arial"/>
          <w:sz w:val="22"/>
          <w:szCs w:val="22"/>
          <w:lang w:val="es-ES"/>
        </w:rPr>
        <w:t xml:space="preserve">.  </w:t>
      </w:r>
      <w:r w:rsidR="00CB513F" w:rsidRPr="00D95727">
        <w:rPr>
          <w:rFonts w:ascii="Arial" w:hAnsi="Arial" w:cs="Arial"/>
          <w:sz w:val="22"/>
          <w:szCs w:val="22"/>
          <w:lang w:val="es-ES"/>
        </w:rPr>
        <w:t>No obstante, es preciso señalar también que existen diferencias claras en cuanto a la na</w:t>
      </w:r>
      <w:r w:rsidR="008E7674" w:rsidRPr="00D95727">
        <w:rPr>
          <w:rFonts w:ascii="Arial" w:hAnsi="Arial" w:cs="Arial"/>
          <w:sz w:val="22"/>
          <w:szCs w:val="22"/>
          <w:lang w:val="es-ES"/>
        </w:rPr>
        <w:t>turaleza d</w:t>
      </w:r>
      <w:r w:rsidR="00CB513F" w:rsidRPr="00D95727">
        <w:rPr>
          <w:rFonts w:ascii="Arial" w:hAnsi="Arial" w:cs="Arial"/>
          <w:sz w:val="22"/>
          <w:szCs w:val="22"/>
          <w:lang w:val="es-ES"/>
        </w:rPr>
        <w:t>e</w:t>
      </w:r>
      <w:r w:rsidR="00CE793A" w:rsidRPr="00D95727">
        <w:rPr>
          <w:rFonts w:ascii="Arial" w:hAnsi="Arial" w:cs="Arial"/>
          <w:sz w:val="22"/>
          <w:szCs w:val="22"/>
          <w:lang w:val="es-ES"/>
        </w:rPr>
        <w:t xml:space="preserve"> </w:t>
      </w:r>
      <w:r w:rsidR="00CB513F" w:rsidRPr="00D95727">
        <w:rPr>
          <w:rFonts w:ascii="Arial" w:hAnsi="Arial" w:cs="Arial"/>
          <w:sz w:val="22"/>
          <w:szCs w:val="22"/>
          <w:lang w:val="es-ES"/>
        </w:rPr>
        <w:t>la materia y la consiguiente relación con los sistemas de P.I</w:t>
      </w:r>
      <w:r w:rsidR="007323AB" w:rsidRPr="00D95727">
        <w:rPr>
          <w:rFonts w:ascii="Arial" w:hAnsi="Arial" w:cs="Arial"/>
          <w:sz w:val="22"/>
          <w:szCs w:val="22"/>
          <w:lang w:val="es-ES"/>
        </w:rPr>
        <w:t>.</w:t>
      </w:r>
      <w:r w:rsidR="00F515BE" w:rsidRPr="00D95727">
        <w:rPr>
          <w:rFonts w:ascii="Arial" w:hAnsi="Arial" w:cs="Arial"/>
          <w:sz w:val="22"/>
          <w:szCs w:val="22"/>
          <w:lang w:val="es-ES"/>
        </w:rPr>
        <w:t xml:space="preserve"> </w:t>
      </w:r>
      <w:r w:rsidR="00CB513F" w:rsidRPr="00D95727">
        <w:rPr>
          <w:rFonts w:ascii="Arial" w:hAnsi="Arial" w:cs="Arial"/>
          <w:sz w:val="22"/>
          <w:szCs w:val="22"/>
          <w:lang w:val="es-ES"/>
        </w:rPr>
        <w:t xml:space="preserve">y los acuerdos internacionales vigentes en relación con el patrimonio cultural </w:t>
      </w:r>
      <w:r w:rsidR="008E7674" w:rsidRPr="00D95727">
        <w:rPr>
          <w:rFonts w:ascii="Arial" w:hAnsi="Arial" w:cs="Arial"/>
          <w:sz w:val="22"/>
          <w:szCs w:val="22"/>
          <w:lang w:val="es-ES"/>
        </w:rPr>
        <w:t>inmaterial</w:t>
      </w:r>
      <w:r w:rsidR="007323AB" w:rsidRPr="00D95727">
        <w:rPr>
          <w:rFonts w:ascii="Arial" w:hAnsi="Arial" w:cs="Arial"/>
          <w:sz w:val="22"/>
          <w:szCs w:val="22"/>
          <w:lang w:val="es-ES"/>
        </w:rPr>
        <w:t xml:space="preserve">.  En relación con lo anterior, cabe señalar </w:t>
      </w:r>
      <w:r w:rsidR="008E7674" w:rsidRPr="00D95727">
        <w:rPr>
          <w:rFonts w:ascii="Arial" w:hAnsi="Arial" w:cs="Arial"/>
          <w:sz w:val="22"/>
          <w:szCs w:val="22"/>
          <w:lang w:val="es-ES"/>
        </w:rPr>
        <w:t>que</w:t>
      </w:r>
      <w:r w:rsidR="00CB513F" w:rsidRPr="00D95727">
        <w:rPr>
          <w:rFonts w:ascii="Arial" w:hAnsi="Arial" w:cs="Arial"/>
          <w:sz w:val="22"/>
          <w:szCs w:val="22"/>
          <w:lang w:val="es-ES"/>
        </w:rPr>
        <w:t xml:space="preserve"> los debates en torno a los CC.TT</w:t>
      </w:r>
      <w:r w:rsidR="007323AB" w:rsidRPr="00D95727">
        <w:rPr>
          <w:rFonts w:ascii="Arial" w:hAnsi="Arial" w:cs="Arial"/>
          <w:sz w:val="22"/>
          <w:szCs w:val="22"/>
          <w:lang w:val="es-ES"/>
        </w:rPr>
        <w:t>.</w:t>
      </w:r>
      <w:r w:rsidR="00F515BE" w:rsidRPr="00D95727">
        <w:rPr>
          <w:rFonts w:ascii="Arial" w:hAnsi="Arial" w:cs="Arial"/>
          <w:sz w:val="22"/>
          <w:szCs w:val="22"/>
          <w:lang w:val="es-ES"/>
        </w:rPr>
        <w:t xml:space="preserve"> </w:t>
      </w:r>
      <w:r w:rsidR="00CB513F" w:rsidRPr="00D95727">
        <w:rPr>
          <w:rFonts w:ascii="Arial" w:hAnsi="Arial" w:cs="Arial"/>
          <w:sz w:val="22"/>
          <w:szCs w:val="22"/>
          <w:lang w:val="es-ES"/>
        </w:rPr>
        <w:t>a nivel multilateral</w:t>
      </w:r>
      <w:r w:rsidR="00CE793A" w:rsidRPr="00D95727">
        <w:rPr>
          <w:rFonts w:ascii="Arial" w:hAnsi="Arial" w:cs="Arial"/>
          <w:sz w:val="22"/>
          <w:szCs w:val="22"/>
          <w:lang w:val="es-ES"/>
        </w:rPr>
        <w:t xml:space="preserve"> </w:t>
      </w:r>
      <w:r w:rsidR="00CB513F" w:rsidRPr="00D95727">
        <w:rPr>
          <w:rFonts w:ascii="Arial" w:hAnsi="Arial" w:cs="Arial"/>
          <w:sz w:val="22"/>
          <w:szCs w:val="22"/>
          <w:lang w:val="es-ES"/>
        </w:rPr>
        <w:t>son relativamente nuevos,</w:t>
      </w:r>
      <w:r w:rsidR="007323AB" w:rsidRPr="00D95727">
        <w:rPr>
          <w:rFonts w:ascii="Arial" w:hAnsi="Arial" w:cs="Arial"/>
          <w:sz w:val="22"/>
          <w:szCs w:val="22"/>
          <w:lang w:val="es-ES"/>
        </w:rPr>
        <w:t xml:space="preserve"> mientras que</w:t>
      </w:r>
      <w:r w:rsidR="00CB513F" w:rsidRPr="00D95727">
        <w:rPr>
          <w:rFonts w:ascii="Arial" w:hAnsi="Arial" w:cs="Arial"/>
          <w:sz w:val="22"/>
          <w:szCs w:val="22"/>
          <w:lang w:val="es-ES"/>
        </w:rPr>
        <w:t xml:space="preserve"> los debates en torno a l</w:t>
      </w:r>
      <w:r w:rsidR="002F5A0C" w:rsidRPr="00D95727">
        <w:rPr>
          <w:rFonts w:ascii="Arial" w:hAnsi="Arial" w:cs="Arial"/>
          <w:sz w:val="22"/>
          <w:szCs w:val="22"/>
          <w:lang w:val="es-ES"/>
        </w:rPr>
        <w:t>a</w:t>
      </w:r>
      <w:r w:rsidR="00CB513F" w:rsidRPr="00D95727">
        <w:rPr>
          <w:rFonts w:ascii="Arial" w:hAnsi="Arial" w:cs="Arial"/>
          <w:sz w:val="22"/>
          <w:szCs w:val="22"/>
          <w:lang w:val="es-ES"/>
        </w:rPr>
        <w:t xml:space="preserve">s ECT (o las “expresiones </w:t>
      </w:r>
      <w:r w:rsidR="002F5A0C" w:rsidRPr="00D95727">
        <w:rPr>
          <w:rFonts w:ascii="Arial" w:hAnsi="Arial" w:cs="Arial"/>
          <w:sz w:val="22"/>
          <w:szCs w:val="22"/>
          <w:lang w:val="es-ES"/>
        </w:rPr>
        <w:t>del folclore</w:t>
      </w:r>
      <w:r w:rsidR="00CB513F" w:rsidRPr="00D95727">
        <w:rPr>
          <w:rFonts w:ascii="Arial" w:hAnsi="Arial" w:cs="Arial"/>
          <w:sz w:val="22"/>
          <w:szCs w:val="22"/>
          <w:lang w:val="es-ES"/>
        </w:rPr>
        <w:t>”) se vienen realizando desde hace más de 50 años en diferentes foros.</w:t>
      </w:r>
    </w:p>
    <w:p w:rsidR="00D16F07" w:rsidRPr="00D95727" w:rsidRDefault="00D16F07" w:rsidP="003F4D5C">
      <w:pPr>
        <w:rPr>
          <w:rFonts w:ascii="Arial" w:hAnsi="Arial" w:cs="Arial"/>
          <w:sz w:val="22"/>
          <w:szCs w:val="22"/>
          <w:lang w:val="es-ES"/>
        </w:rPr>
      </w:pPr>
    </w:p>
    <w:p w:rsidR="00D16F07" w:rsidRPr="00D95727" w:rsidRDefault="002F5A0C" w:rsidP="000F43A2">
      <w:pPr>
        <w:rPr>
          <w:rFonts w:ascii="Arial" w:hAnsi="Arial" w:cs="Arial"/>
          <w:sz w:val="22"/>
          <w:szCs w:val="22"/>
          <w:lang w:val="es-ES"/>
        </w:rPr>
      </w:pPr>
      <w:r w:rsidRPr="00D95727">
        <w:rPr>
          <w:rFonts w:ascii="Arial" w:hAnsi="Arial" w:cs="Arial"/>
          <w:sz w:val="22"/>
          <w:szCs w:val="22"/>
          <w:lang w:val="es-ES"/>
        </w:rPr>
        <w:t xml:space="preserve">En el documento de trabajo actual sobre las ECT se recogen una serie de posturas divergentes sobre cuestiones esenciales, unas divergencias que cabe poner en relación con las formulaciones alternativas de los objetivos de política que figuran en el texto (véase más abajo, </w:t>
      </w:r>
      <w:r w:rsidR="000A267D" w:rsidRPr="00D95727">
        <w:rPr>
          <w:rFonts w:ascii="Arial" w:hAnsi="Arial" w:cs="Arial"/>
          <w:sz w:val="22"/>
          <w:szCs w:val="22"/>
          <w:u w:val="single"/>
          <w:lang w:val="es-ES"/>
        </w:rPr>
        <w:t>la interpretación es mía</w:t>
      </w:r>
      <w:r w:rsidRPr="00D95727">
        <w:rPr>
          <w:rFonts w:ascii="Arial" w:hAnsi="Arial" w:cs="Arial"/>
          <w:sz w:val="22"/>
          <w:szCs w:val="22"/>
          <w:lang w:val="es-ES"/>
        </w:rPr>
        <w:t>).</w:t>
      </w:r>
    </w:p>
    <w:p w:rsidR="00D16F07" w:rsidRPr="00D95727" w:rsidRDefault="00D16F07" w:rsidP="006170CC">
      <w:pPr>
        <w:outlineLvl w:val="0"/>
        <w:rPr>
          <w:rFonts w:ascii="Arial" w:hAnsi="Arial" w:cs="Arial"/>
          <w:i/>
          <w:sz w:val="22"/>
          <w:szCs w:val="22"/>
          <w:lang w:val="es-ES"/>
        </w:rPr>
      </w:pPr>
    </w:p>
    <w:p w:rsidR="00D16F07" w:rsidRPr="00D95727" w:rsidRDefault="00D16F07" w:rsidP="006170CC">
      <w:pPr>
        <w:outlineLvl w:val="0"/>
        <w:rPr>
          <w:rFonts w:ascii="Arial" w:hAnsi="Arial" w:cs="Arial"/>
          <w:i/>
          <w:sz w:val="22"/>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Alt 1</w:t>
      </w:r>
    </w:p>
    <w:p w:rsidR="00D16F07" w:rsidRPr="00D95727" w:rsidRDefault="00D16F07" w:rsidP="006170CC">
      <w:pPr>
        <w:outlineLvl w:val="0"/>
        <w:rPr>
          <w:rFonts w:ascii="Arial" w:hAnsi="Arial" w:cs="Arial"/>
          <w:i/>
          <w:sz w:val="22"/>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El presente instrumento deberá tender a:</w:t>
      </w:r>
    </w:p>
    <w:p w:rsidR="00D16F07" w:rsidRPr="00D95727" w:rsidRDefault="00D16F07" w:rsidP="000D45E3">
      <w:pPr>
        <w:rPr>
          <w:rFonts w:ascii="Arial" w:hAnsi="Arial" w:cs="Arial"/>
          <w:i/>
          <w:sz w:val="22"/>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1.</w:t>
      </w:r>
      <w:r w:rsidRPr="00D95727">
        <w:rPr>
          <w:rFonts w:ascii="Arial" w:hAnsi="Arial" w:cs="Arial"/>
          <w:i/>
          <w:sz w:val="22"/>
          <w:szCs w:val="22"/>
          <w:lang w:val="es-ES"/>
        </w:rPr>
        <w:tab/>
        <w:t>Proporcionar a los beneficiarios los medios para:</w:t>
      </w:r>
    </w:p>
    <w:p w:rsidR="00D16F07" w:rsidRPr="00D95727" w:rsidRDefault="00D16F07" w:rsidP="00772BBD">
      <w:pPr>
        <w:rPr>
          <w:rFonts w:ascii="Arial" w:hAnsi="Arial" w:cs="Arial"/>
          <w:i/>
          <w:sz w:val="22"/>
          <w:szCs w:val="22"/>
          <w:lang w:val="es-ES"/>
        </w:rPr>
      </w:pPr>
    </w:p>
    <w:p w:rsidR="00D16F07" w:rsidRPr="00D95727" w:rsidRDefault="00D16F07" w:rsidP="007140A7">
      <w:pPr>
        <w:numPr>
          <w:ilvl w:val="0"/>
          <w:numId w:val="13"/>
        </w:numPr>
        <w:ind w:left="1080" w:hanging="371"/>
        <w:rPr>
          <w:rFonts w:ascii="Arial" w:hAnsi="Arial" w:cs="Arial"/>
          <w:i/>
          <w:sz w:val="22"/>
          <w:szCs w:val="22"/>
          <w:lang w:val="es-ES"/>
        </w:rPr>
      </w:pPr>
      <w:r w:rsidRPr="00D95727">
        <w:rPr>
          <w:rFonts w:ascii="Arial" w:hAnsi="Arial" w:cs="Arial"/>
          <w:i/>
          <w:sz w:val="22"/>
          <w:szCs w:val="22"/>
          <w:lang w:val="es-ES"/>
        </w:rPr>
        <w:t>impedir la apropiación indebida y el uso indebido/el uso ofensivo y denigrante de sus expresiones culturales tradicionales;</w:t>
      </w:r>
    </w:p>
    <w:p w:rsidR="005A4543" w:rsidRPr="00D95727" w:rsidRDefault="005A4543" w:rsidP="005A4543">
      <w:pPr>
        <w:ind w:left="1080"/>
        <w:rPr>
          <w:rFonts w:ascii="Arial" w:hAnsi="Arial" w:cs="Arial"/>
          <w:i/>
          <w:sz w:val="22"/>
          <w:szCs w:val="22"/>
          <w:lang w:val="es-ES"/>
        </w:rPr>
      </w:pPr>
    </w:p>
    <w:p w:rsidR="00D16F07" w:rsidRPr="00D95727" w:rsidRDefault="00D16F07" w:rsidP="007140A7">
      <w:pPr>
        <w:numPr>
          <w:ilvl w:val="0"/>
          <w:numId w:val="13"/>
        </w:numPr>
        <w:ind w:left="1080" w:hanging="371"/>
        <w:rPr>
          <w:rFonts w:ascii="Arial" w:hAnsi="Arial" w:cs="Arial"/>
          <w:i/>
          <w:sz w:val="22"/>
          <w:szCs w:val="22"/>
          <w:lang w:val="es-ES"/>
        </w:rPr>
      </w:pPr>
      <w:r w:rsidRPr="00D95727">
        <w:rPr>
          <w:rFonts w:ascii="Arial" w:hAnsi="Arial" w:cs="Arial"/>
          <w:i/>
          <w:sz w:val="22"/>
          <w:szCs w:val="22"/>
          <w:lang w:val="es-ES"/>
        </w:rPr>
        <w:t>controlar las maneras en que se utilizan sus expresiones culturales tradicionales más allá del contexto tradicional y consuetudinario, según sea necesario;</w:t>
      </w:r>
    </w:p>
    <w:p w:rsidR="00D16F07" w:rsidRPr="00D95727" w:rsidRDefault="00D16F07" w:rsidP="00C772B7">
      <w:pPr>
        <w:ind w:left="1080"/>
        <w:rPr>
          <w:rFonts w:ascii="Arial" w:hAnsi="Arial" w:cs="Arial"/>
          <w:i/>
          <w:sz w:val="22"/>
          <w:szCs w:val="22"/>
          <w:lang w:val="es-ES"/>
        </w:rPr>
      </w:pPr>
    </w:p>
    <w:p w:rsidR="00D16F07" w:rsidRPr="00D95727" w:rsidRDefault="00D16F07" w:rsidP="007140A7">
      <w:pPr>
        <w:numPr>
          <w:ilvl w:val="0"/>
          <w:numId w:val="13"/>
        </w:numPr>
        <w:ind w:left="1080" w:hanging="371"/>
        <w:rPr>
          <w:rFonts w:ascii="Arial" w:hAnsi="Arial" w:cs="Arial"/>
          <w:i/>
          <w:sz w:val="22"/>
          <w:szCs w:val="22"/>
          <w:lang w:val="es-ES"/>
        </w:rPr>
      </w:pPr>
      <w:r w:rsidRPr="00D95727">
        <w:rPr>
          <w:rFonts w:ascii="Arial" w:hAnsi="Arial" w:cs="Arial"/>
          <w:i/>
          <w:sz w:val="22"/>
          <w:szCs w:val="22"/>
          <w:lang w:val="es-ES"/>
        </w:rPr>
        <w:t>promover la compensación equitativa/la participación en los beneficios que se derive de su uso con el consentimiento fundamentado previo y libre o la aprobación y la participación/una compensación justa y equitativa, según sea necesario;  y</w:t>
      </w:r>
    </w:p>
    <w:p w:rsidR="005A4543" w:rsidRPr="00D95727" w:rsidRDefault="005A4543" w:rsidP="005A4543">
      <w:pPr>
        <w:rPr>
          <w:rFonts w:ascii="Arial" w:hAnsi="Arial" w:cs="Arial"/>
          <w:i/>
          <w:sz w:val="22"/>
          <w:szCs w:val="22"/>
          <w:lang w:val="es-ES"/>
        </w:rPr>
      </w:pPr>
    </w:p>
    <w:p w:rsidR="00D16F07" w:rsidRPr="00D95727" w:rsidRDefault="00BB3BCB" w:rsidP="007140A7">
      <w:pPr>
        <w:numPr>
          <w:ilvl w:val="0"/>
          <w:numId w:val="13"/>
        </w:numPr>
        <w:ind w:left="1080" w:hanging="371"/>
        <w:rPr>
          <w:rFonts w:ascii="Arial" w:hAnsi="Arial" w:cs="Arial"/>
          <w:i/>
          <w:sz w:val="22"/>
          <w:szCs w:val="22"/>
          <w:lang w:val="es-ES"/>
        </w:rPr>
      </w:pPr>
      <w:r w:rsidRPr="00D95727">
        <w:rPr>
          <w:rFonts w:ascii="Arial" w:hAnsi="Arial" w:cs="Arial"/>
          <w:i/>
          <w:sz w:val="22"/>
          <w:szCs w:val="22"/>
          <w:lang w:val="es-ES"/>
        </w:rPr>
        <w:t>fomentar y proteger la creación y la innovación basadas en la tradición</w:t>
      </w:r>
      <w:r w:rsidR="00D16F07" w:rsidRPr="00D95727">
        <w:rPr>
          <w:rFonts w:ascii="Arial" w:hAnsi="Arial" w:cs="Arial"/>
          <w:i/>
          <w:sz w:val="22"/>
          <w:szCs w:val="22"/>
          <w:lang w:val="es-ES"/>
        </w:rPr>
        <w:t>.</w:t>
      </w:r>
    </w:p>
    <w:p w:rsidR="007140A7" w:rsidRPr="00D95727" w:rsidRDefault="007140A7" w:rsidP="007140A7">
      <w:pPr>
        <w:ind w:left="1080"/>
        <w:rPr>
          <w:rFonts w:ascii="Arial" w:hAnsi="Arial" w:cs="Arial"/>
          <w:i/>
          <w:sz w:val="22"/>
          <w:szCs w:val="22"/>
          <w:lang w:val="es-ES"/>
        </w:rPr>
      </w:pPr>
    </w:p>
    <w:p w:rsidR="00D16F07" w:rsidRPr="00D95727" w:rsidRDefault="00D16F07" w:rsidP="007140A7">
      <w:pPr>
        <w:ind w:left="1080"/>
        <w:rPr>
          <w:rFonts w:ascii="Arial" w:hAnsi="Arial" w:cs="Arial"/>
          <w:i/>
          <w:lang w:val="es-ES"/>
        </w:rPr>
      </w:pPr>
      <w:r w:rsidRPr="00D95727">
        <w:rPr>
          <w:rFonts w:ascii="Arial" w:hAnsi="Arial" w:cs="Arial"/>
          <w:i/>
          <w:sz w:val="22"/>
          <w:szCs w:val="22"/>
          <w:lang w:val="es-ES"/>
        </w:rPr>
        <w:t xml:space="preserve">Opción </w:t>
      </w:r>
    </w:p>
    <w:p w:rsidR="00D16F07" w:rsidRPr="00D95727" w:rsidRDefault="00D16F07" w:rsidP="00D16F07">
      <w:pPr>
        <w:pStyle w:val="NormalWeb"/>
        <w:ind w:left="993"/>
        <w:rPr>
          <w:i/>
          <w:lang w:val="es-ES"/>
        </w:rPr>
      </w:pPr>
      <w:r w:rsidRPr="00D95727">
        <w:rPr>
          <w:rFonts w:ascii="Arial" w:hAnsi="Arial" w:cs="Arial"/>
          <w:i/>
          <w:sz w:val="22"/>
          <w:szCs w:val="22"/>
          <w:lang w:val="es-ES"/>
        </w:rPr>
        <w:t>d)</w:t>
      </w:r>
      <w:r w:rsidRPr="00D95727">
        <w:rPr>
          <w:rFonts w:ascii="Arial" w:hAnsi="Arial" w:cs="Arial"/>
          <w:i/>
          <w:sz w:val="22"/>
          <w:szCs w:val="22"/>
          <w:lang w:val="es-ES"/>
        </w:rPr>
        <w:tab/>
        <w:t>fomentar y proteger la creación y la innovación.</w:t>
      </w: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2.</w:t>
      </w:r>
      <w:r w:rsidRPr="00D95727">
        <w:rPr>
          <w:rFonts w:ascii="Arial" w:hAnsi="Arial" w:cs="Arial"/>
          <w:i/>
          <w:sz w:val="22"/>
          <w:szCs w:val="22"/>
          <w:lang w:val="es-ES"/>
        </w:rPr>
        <w:tab/>
        <w:t>Ayudar a impedir la concesión de derechos erróneos de propiedad intelectual sobre las expresiones culturales tradicionales.</w:t>
      </w:r>
    </w:p>
    <w:p w:rsidR="00D16F07" w:rsidRPr="00D95727" w:rsidRDefault="00D16F07" w:rsidP="000D45E3">
      <w:pPr>
        <w:rPr>
          <w:szCs w:val="22"/>
          <w:lang w:val="es-ES"/>
        </w:rPr>
      </w:pPr>
    </w:p>
    <w:p w:rsidR="00D16F07" w:rsidRPr="00D95727" w:rsidRDefault="00D16F07" w:rsidP="00D16F07">
      <w:pPr>
        <w:outlineLvl w:val="0"/>
        <w:rPr>
          <w:rFonts w:ascii="Arial" w:hAnsi="Arial" w:cs="Arial"/>
          <w:i/>
          <w:sz w:val="22"/>
          <w:szCs w:val="22"/>
          <w:lang w:val="es-ES"/>
        </w:rPr>
      </w:pPr>
      <w:r w:rsidRPr="00D95727">
        <w:rPr>
          <w:rFonts w:ascii="Arial" w:hAnsi="Arial" w:cs="Arial"/>
          <w:i/>
          <w:sz w:val="22"/>
          <w:szCs w:val="22"/>
          <w:lang w:val="es-ES"/>
        </w:rPr>
        <w:t>Alt 2</w:t>
      </w:r>
    </w:p>
    <w:p w:rsidR="00D16F07" w:rsidRPr="00D95727" w:rsidRDefault="00D16F07" w:rsidP="000D45E3">
      <w:pPr>
        <w:rPr>
          <w:rFonts w:ascii="Arial" w:hAnsi="Arial" w:cs="Arial"/>
          <w:i/>
          <w:sz w:val="22"/>
          <w:szCs w:val="22"/>
          <w:lang w:val="es-ES"/>
        </w:rPr>
      </w:pPr>
    </w:p>
    <w:p w:rsidR="00D16F07" w:rsidRPr="00D95727" w:rsidRDefault="00D16F07" w:rsidP="00D16F07">
      <w:pPr>
        <w:rPr>
          <w:rFonts w:ascii="Arial" w:hAnsi="Arial" w:cs="Arial"/>
          <w:i/>
          <w:sz w:val="22"/>
          <w:szCs w:val="22"/>
          <w:lang w:val="es-ES"/>
        </w:rPr>
      </w:pPr>
      <w:r w:rsidRPr="00D95727">
        <w:rPr>
          <w:rFonts w:ascii="Arial" w:hAnsi="Arial" w:cs="Arial"/>
          <w:i/>
          <w:sz w:val="22"/>
          <w:szCs w:val="22"/>
          <w:lang w:val="es-ES"/>
        </w:rPr>
        <w:t>El presente instrumento deberá tender a:</w:t>
      </w:r>
    </w:p>
    <w:p w:rsidR="00D16F07" w:rsidRPr="00D95727" w:rsidRDefault="00D16F07" w:rsidP="000D45E3">
      <w:pPr>
        <w:rPr>
          <w:rFonts w:ascii="Arial" w:hAnsi="Arial" w:cs="Arial"/>
          <w:i/>
          <w:sz w:val="22"/>
          <w:szCs w:val="22"/>
          <w:lang w:val="es-ES"/>
        </w:rPr>
      </w:pPr>
    </w:p>
    <w:p w:rsidR="00D16F07" w:rsidRPr="00D95727" w:rsidRDefault="00D16F07" w:rsidP="00D16F07">
      <w:pPr>
        <w:numPr>
          <w:ilvl w:val="0"/>
          <w:numId w:val="14"/>
        </w:numPr>
        <w:rPr>
          <w:rFonts w:ascii="Arial" w:hAnsi="Arial" w:cs="Arial"/>
          <w:i/>
          <w:sz w:val="22"/>
          <w:szCs w:val="22"/>
          <w:lang w:val="es-ES"/>
        </w:rPr>
      </w:pPr>
      <w:r w:rsidRPr="00D95727">
        <w:rPr>
          <w:rFonts w:ascii="Arial" w:hAnsi="Arial" w:cs="Arial"/>
          <w:i/>
          <w:sz w:val="22"/>
          <w:szCs w:val="22"/>
          <w:lang w:val="es-ES"/>
        </w:rPr>
        <w:t>[impedir [el uso indebido]/[la apropiación ilegal] de las expresiones culturales tradicionales protegidas];</w:t>
      </w:r>
    </w:p>
    <w:p w:rsidR="00D16F07" w:rsidRPr="00D95727" w:rsidRDefault="00D16F07" w:rsidP="000D45E3">
      <w:pPr>
        <w:rPr>
          <w:rFonts w:ascii="Arial" w:hAnsi="Arial" w:cs="Arial"/>
          <w:i/>
          <w:sz w:val="22"/>
          <w:szCs w:val="22"/>
          <w:lang w:val="es-ES"/>
        </w:rPr>
      </w:pPr>
    </w:p>
    <w:p w:rsidR="00D16F07" w:rsidRPr="00D95727" w:rsidRDefault="00D16F07" w:rsidP="00D16F07">
      <w:pPr>
        <w:numPr>
          <w:ilvl w:val="0"/>
          <w:numId w:val="14"/>
        </w:numPr>
        <w:rPr>
          <w:rFonts w:ascii="Arial" w:hAnsi="Arial" w:cs="Arial"/>
          <w:i/>
          <w:sz w:val="22"/>
          <w:szCs w:val="22"/>
          <w:lang w:val="es-ES"/>
        </w:rPr>
      </w:pPr>
      <w:r w:rsidRPr="00D95727">
        <w:rPr>
          <w:rFonts w:ascii="Arial" w:hAnsi="Arial" w:cs="Arial"/>
          <w:i/>
          <w:sz w:val="22"/>
          <w:szCs w:val="22"/>
          <w:lang w:val="es-ES"/>
        </w:rPr>
        <w:t>fomentar la creación y la innovación;</w:t>
      </w:r>
    </w:p>
    <w:p w:rsidR="00D16F07" w:rsidRPr="00D95727" w:rsidRDefault="00D16F07" w:rsidP="000D45E3">
      <w:pPr>
        <w:rPr>
          <w:rFonts w:ascii="Arial" w:hAnsi="Arial" w:cs="Arial"/>
          <w:i/>
          <w:sz w:val="22"/>
          <w:szCs w:val="22"/>
          <w:lang w:val="es-ES"/>
        </w:rPr>
      </w:pPr>
    </w:p>
    <w:p w:rsidR="00D16F07" w:rsidRPr="00D95727" w:rsidRDefault="00D16F07" w:rsidP="00D16F07">
      <w:pPr>
        <w:numPr>
          <w:ilvl w:val="0"/>
          <w:numId w:val="14"/>
        </w:numPr>
        <w:rPr>
          <w:rFonts w:ascii="Arial" w:hAnsi="Arial" w:cs="Arial"/>
          <w:i/>
          <w:sz w:val="22"/>
          <w:szCs w:val="22"/>
          <w:lang w:val="es-ES"/>
        </w:rPr>
      </w:pPr>
      <w:r w:rsidRPr="00D95727">
        <w:rPr>
          <w:rFonts w:ascii="Arial" w:hAnsi="Arial" w:cs="Arial"/>
          <w:i/>
          <w:sz w:val="22"/>
          <w:szCs w:val="22"/>
          <w:lang w:val="es-ES"/>
        </w:rPr>
        <w:lastRenderedPageBreak/>
        <w:t>promover/facilitar la libertad intelectual y artística, las prácticas de investigación [u otras prácticas leales] y el intercambio cultural;  y</w:t>
      </w:r>
    </w:p>
    <w:p w:rsidR="00D16F07" w:rsidRPr="00D95727" w:rsidRDefault="00D16F07" w:rsidP="000D45E3">
      <w:pPr>
        <w:rPr>
          <w:rFonts w:ascii="Arial" w:hAnsi="Arial" w:cs="Arial"/>
          <w:i/>
          <w:sz w:val="22"/>
          <w:szCs w:val="22"/>
          <w:lang w:val="es-ES"/>
        </w:rPr>
      </w:pPr>
    </w:p>
    <w:p w:rsidR="00D16F07" w:rsidRPr="00D95727" w:rsidRDefault="00D16F07" w:rsidP="00D16F07">
      <w:pPr>
        <w:numPr>
          <w:ilvl w:val="0"/>
          <w:numId w:val="14"/>
        </w:numPr>
        <w:rPr>
          <w:rFonts w:ascii="Arial" w:hAnsi="Arial" w:cs="Arial"/>
          <w:i/>
          <w:sz w:val="22"/>
          <w:szCs w:val="22"/>
          <w:lang w:val="es-ES"/>
        </w:rPr>
      </w:pPr>
      <w:r w:rsidRPr="00D95727">
        <w:rPr>
          <w:rFonts w:ascii="Arial" w:hAnsi="Arial" w:cs="Arial"/>
          <w:i/>
          <w:sz w:val="22"/>
          <w:szCs w:val="22"/>
          <w:lang w:val="es-ES"/>
        </w:rPr>
        <w:t>garantizar/reconocer los derechos ya adquiridos por terceros y garantizar/proporcionar seguridad jurídica y un dominio público rico y accesible.</w:t>
      </w:r>
    </w:p>
    <w:p w:rsidR="00D16F07" w:rsidRPr="00D95727" w:rsidRDefault="00D16F07" w:rsidP="000D45E3">
      <w:pPr>
        <w:rPr>
          <w:szCs w:val="22"/>
          <w:lang w:val="es-ES"/>
        </w:rPr>
      </w:pPr>
    </w:p>
    <w:p w:rsidR="0049300F" w:rsidRPr="00D95727" w:rsidRDefault="0049300F" w:rsidP="0049300F">
      <w:pPr>
        <w:rPr>
          <w:rFonts w:ascii="Arial" w:hAnsi="Arial" w:cs="Arial"/>
          <w:sz w:val="22"/>
          <w:szCs w:val="22"/>
          <w:lang w:val="es-ES"/>
        </w:rPr>
      </w:pPr>
      <w:r w:rsidRPr="00D95727">
        <w:rPr>
          <w:rFonts w:ascii="Arial" w:hAnsi="Arial" w:cs="Arial"/>
          <w:sz w:val="22"/>
          <w:szCs w:val="22"/>
          <w:lang w:val="es-ES"/>
        </w:rPr>
        <w:t xml:space="preserve">Al igual que en el texto sobre los CC.TT., </w:t>
      </w:r>
      <w:r w:rsidR="00373135" w:rsidRPr="00D95727">
        <w:rPr>
          <w:rFonts w:ascii="Arial" w:hAnsi="Arial" w:cs="Arial"/>
          <w:sz w:val="22"/>
          <w:szCs w:val="22"/>
          <w:lang w:val="es-ES"/>
        </w:rPr>
        <w:t>la primera</w:t>
      </w:r>
      <w:r w:rsidRPr="00D95727">
        <w:rPr>
          <w:rFonts w:ascii="Arial" w:hAnsi="Arial" w:cs="Arial"/>
          <w:sz w:val="22"/>
          <w:szCs w:val="22"/>
          <w:lang w:val="es-ES"/>
        </w:rPr>
        <w:t xml:space="preserve"> alternativa está planteada desde la perspectiva</w:t>
      </w:r>
      <w:r w:rsidR="00F32956" w:rsidRPr="00D95727">
        <w:rPr>
          <w:rFonts w:ascii="Arial" w:hAnsi="Arial" w:cs="Arial"/>
          <w:sz w:val="22"/>
          <w:szCs w:val="22"/>
          <w:lang w:val="es-ES"/>
        </w:rPr>
        <w:t xml:space="preserve"> </w:t>
      </w:r>
      <w:r w:rsidRPr="00D95727">
        <w:rPr>
          <w:rFonts w:ascii="Arial" w:hAnsi="Arial" w:cs="Arial"/>
          <w:sz w:val="22"/>
          <w:szCs w:val="22"/>
          <w:lang w:val="es-ES"/>
        </w:rPr>
        <w:t>de las comunidades locales e indígenas y otras instancias que pueden considerarse custodios</w:t>
      </w:r>
      <w:r w:rsidR="00F32956" w:rsidRPr="00D95727">
        <w:rPr>
          <w:rFonts w:ascii="Arial" w:hAnsi="Arial" w:cs="Arial"/>
          <w:sz w:val="22"/>
          <w:szCs w:val="22"/>
          <w:lang w:val="es-ES"/>
        </w:rPr>
        <w:t xml:space="preserve"> </w:t>
      </w:r>
      <w:r w:rsidRPr="00D95727">
        <w:rPr>
          <w:rFonts w:ascii="Arial" w:hAnsi="Arial" w:cs="Arial"/>
          <w:sz w:val="22"/>
          <w:szCs w:val="22"/>
          <w:lang w:val="es-ES"/>
        </w:rPr>
        <w:t>de ECT, mientras que la segunda</w:t>
      </w:r>
      <w:r w:rsidR="00373135" w:rsidRPr="00D95727">
        <w:rPr>
          <w:rFonts w:ascii="Arial" w:hAnsi="Arial" w:cs="Arial"/>
          <w:sz w:val="22"/>
          <w:szCs w:val="22"/>
          <w:lang w:val="es-ES"/>
        </w:rPr>
        <w:t xml:space="preserve"> trata de encontrar un equilibrio entre</w:t>
      </w:r>
      <w:r w:rsidRPr="00D95727">
        <w:rPr>
          <w:rFonts w:ascii="Arial" w:hAnsi="Arial" w:cs="Arial"/>
          <w:sz w:val="22"/>
          <w:szCs w:val="22"/>
          <w:lang w:val="es-ES"/>
        </w:rPr>
        <w:t xml:space="preserve"> los intereses de esos beneficiarios con la protección del dominio público y la libertad artística.</w:t>
      </w:r>
    </w:p>
    <w:p w:rsidR="00D16F07" w:rsidRPr="00D95727" w:rsidRDefault="00D16F07" w:rsidP="003F4D5C">
      <w:pPr>
        <w:rPr>
          <w:rFonts w:ascii="Arial" w:hAnsi="Arial" w:cs="Arial"/>
          <w:sz w:val="22"/>
          <w:szCs w:val="22"/>
          <w:lang w:val="es-ES"/>
        </w:rPr>
      </w:pPr>
    </w:p>
    <w:p w:rsidR="00D16F07" w:rsidRPr="00D95727" w:rsidRDefault="0049300F" w:rsidP="003F4D5C">
      <w:pPr>
        <w:rPr>
          <w:rFonts w:ascii="Arial" w:hAnsi="Arial" w:cs="Arial"/>
          <w:sz w:val="22"/>
          <w:szCs w:val="22"/>
          <w:lang w:val="es-ES"/>
        </w:rPr>
      </w:pPr>
      <w:r w:rsidRPr="00D95727">
        <w:rPr>
          <w:rFonts w:ascii="Arial" w:hAnsi="Arial" w:cs="Arial"/>
          <w:sz w:val="22"/>
          <w:szCs w:val="22"/>
          <w:lang w:val="es-ES"/>
        </w:rPr>
        <w:t>Además del documento de trabajo,</w:t>
      </w:r>
      <w:r w:rsidR="00F32956" w:rsidRPr="00D95727">
        <w:rPr>
          <w:rFonts w:ascii="Arial" w:hAnsi="Arial" w:cs="Arial"/>
          <w:sz w:val="22"/>
          <w:szCs w:val="22"/>
          <w:lang w:val="es-ES"/>
        </w:rPr>
        <w:t xml:space="preserve"> </w:t>
      </w:r>
      <w:r w:rsidRPr="00D95727">
        <w:rPr>
          <w:rFonts w:ascii="Arial" w:hAnsi="Arial" w:cs="Arial"/>
          <w:sz w:val="22"/>
          <w:szCs w:val="22"/>
          <w:lang w:val="es-ES"/>
        </w:rPr>
        <w:t>se han sometido otros dos documentos relativos a las ECT</w:t>
      </w:r>
      <w:r w:rsidR="00373135" w:rsidRPr="00D95727">
        <w:rPr>
          <w:rFonts w:ascii="Arial" w:hAnsi="Arial" w:cs="Arial"/>
          <w:sz w:val="22"/>
          <w:szCs w:val="22"/>
          <w:lang w:val="es-ES"/>
        </w:rPr>
        <w:t xml:space="preserve"> </w:t>
      </w:r>
      <w:r w:rsidRPr="00D95727">
        <w:rPr>
          <w:rFonts w:ascii="Arial" w:hAnsi="Arial" w:cs="Arial"/>
          <w:sz w:val="22"/>
          <w:szCs w:val="22"/>
          <w:lang w:val="es-ES"/>
        </w:rPr>
        <w:t>a la consideración del Comité:</w:t>
      </w:r>
    </w:p>
    <w:p w:rsidR="00D16F07" w:rsidRPr="00D95727" w:rsidRDefault="00D16F07" w:rsidP="003F4D5C">
      <w:pPr>
        <w:rPr>
          <w:rFonts w:ascii="Arial" w:hAnsi="Arial" w:cs="Arial"/>
          <w:sz w:val="22"/>
          <w:szCs w:val="22"/>
          <w:lang w:val="es-ES"/>
        </w:rPr>
      </w:pPr>
    </w:p>
    <w:p w:rsidR="00D16F07" w:rsidRPr="00D95727" w:rsidRDefault="00EA05A9" w:rsidP="00EA05A9">
      <w:pPr>
        <w:numPr>
          <w:ilvl w:val="0"/>
          <w:numId w:val="1"/>
        </w:numPr>
        <w:rPr>
          <w:rFonts w:ascii="Arial" w:hAnsi="Arial" w:cs="Arial"/>
          <w:i/>
          <w:sz w:val="22"/>
          <w:szCs w:val="22"/>
          <w:lang w:val="es-ES"/>
        </w:rPr>
      </w:pPr>
      <w:r w:rsidRPr="00D95727">
        <w:rPr>
          <w:rFonts w:ascii="Arial" w:hAnsi="Arial" w:cs="Arial"/>
          <w:i/>
          <w:sz w:val="22"/>
          <w:szCs w:val="22"/>
          <w:lang w:val="es-ES"/>
        </w:rPr>
        <w:t xml:space="preserve">Expresiones culturales tradicionales: </w:t>
      </w:r>
      <w:r w:rsidR="007323AB" w:rsidRPr="00D95727">
        <w:rPr>
          <w:rFonts w:ascii="Arial" w:hAnsi="Arial" w:cs="Arial"/>
          <w:i/>
          <w:sz w:val="22"/>
          <w:szCs w:val="22"/>
          <w:lang w:val="es-ES"/>
        </w:rPr>
        <w:t xml:space="preserve"> </w:t>
      </w:r>
      <w:r w:rsidRPr="00D95727">
        <w:rPr>
          <w:rFonts w:ascii="Arial" w:hAnsi="Arial" w:cs="Arial"/>
          <w:i/>
          <w:sz w:val="22"/>
          <w:szCs w:val="22"/>
          <w:lang w:val="es-ES"/>
        </w:rPr>
        <w:t>Documento de debate</w:t>
      </w:r>
      <w:r w:rsidRPr="00D95727">
        <w:rPr>
          <w:rFonts w:ascii="Arial" w:hAnsi="Arial" w:cs="Arial"/>
          <w:sz w:val="22"/>
          <w:szCs w:val="22"/>
          <w:lang w:val="es-ES"/>
        </w:rPr>
        <w:t>, documento presentado</w:t>
      </w:r>
      <w:r w:rsidR="00F32956" w:rsidRPr="00D95727">
        <w:rPr>
          <w:rFonts w:ascii="Arial" w:hAnsi="Arial" w:cs="Arial"/>
          <w:sz w:val="22"/>
          <w:szCs w:val="22"/>
          <w:lang w:val="es-ES"/>
        </w:rPr>
        <w:t xml:space="preserve"> </w:t>
      </w:r>
      <w:r w:rsidRPr="00D95727">
        <w:rPr>
          <w:rFonts w:ascii="Arial" w:hAnsi="Arial" w:cs="Arial"/>
          <w:sz w:val="22"/>
          <w:szCs w:val="22"/>
          <w:lang w:val="es-ES"/>
        </w:rPr>
        <w:t>por la Delegación de los Estados Unidos de América</w:t>
      </w:r>
      <w:r w:rsidR="001D3E29" w:rsidRPr="00D95727">
        <w:rPr>
          <w:rFonts w:ascii="Arial" w:hAnsi="Arial" w:cs="Arial"/>
          <w:sz w:val="22"/>
          <w:szCs w:val="22"/>
          <w:lang w:val="es-ES"/>
        </w:rPr>
        <w:t>.</w:t>
      </w:r>
      <w:r w:rsidR="001D3E29" w:rsidRPr="00D95727">
        <w:rPr>
          <w:rStyle w:val="FootnoteReference"/>
          <w:rFonts w:ascii="Arial" w:hAnsi="Arial" w:cs="Arial"/>
          <w:sz w:val="22"/>
          <w:szCs w:val="22"/>
          <w:lang w:val="es-ES"/>
        </w:rPr>
        <w:footnoteReference w:id="11"/>
      </w:r>
    </w:p>
    <w:p w:rsidR="00D16F07" w:rsidRPr="00D95727" w:rsidRDefault="00366082" w:rsidP="00D16F07">
      <w:pPr>
        <w:numPr>
          <w:ilvl w:val="0"/>
          <w:numId w:val="1"/>
        </w:numPr>
        <w:rPr>
          <w:rFonts w:ascii="Arial" w:hAnsi="Arial" w:cs="Arial"/>
          <w:sz w:val="22"/>
          <w:szCs w:val="22"/>
          <w:lang w:val="es-ES"/>
        </w:rPr>
      </w:pPr>
      <w:r w:rsidRPr="00D95727">
        <w:rPr>
          <w:rFonts w:ascii="Arial" w:hAnsi="Arial" w:cs="Arial"/>
          <w:i/>
          <w:sz w:val="22"/>
          <w:szCs w:val="22"/>
          <w:lang w:val="es-ES"/>
        </w:rPr>
        <w:t>Propuesta de la Unión Europea para la realización de un estudio, presentada</w:t>
      </w:r>
      <w:r w:rsidR="00D16F07" w:rsidRPr="00D95727">
        <w:rPr>
          <w:rFonts w:ascii="Arial" w:hAnsi="Arial" w:cs="Arial"/>
          <w:i/>
          <w:sz w:val="22"/>
          <w:szCs w:val="22"/>
          <w:lang w:val="es-ES"/>
        </w:rPr>
        <w:t xml:space="preserve"> por la delegación permanente de la Unión Europea en Ginebra, en nombre de la Unión Europea y sus Estados miembros</w:t>
      </w:r>
      <w:r w:rsidR="00D671A6" w:rsidRPr="00D95727">
        <w:rPr>
          <w:rFonts w:ascii="Arial" w:hAnsi="Arial" w:cs="Arial"/>
          <w:i/>
          <w:sz w:val="22"/>
          <w:szCs w:val="22"/>
          <w:lang w:val="es-ES"/>
        </w:rPr>
        <w:t>.</w:t>
      </w:r>
      <w:r w:rsidR="00D16F07" w:rsidRPr="00D95727">
        <w:rPr>
          <w:rStyle w:val="FootnoteReference"/>
          <w:rFonts w:ascii="Arial" w:hAnsi="Arial" w:cs="Arial"/>
          <w:sz w:val="22"/>
          <w:szCs w:val="22"/>
          <w:lang w:val="es-ES"/>
        </w:rPr>
        <w:footnoteReference w:id="12"/>
      </w:r>
    </w:p>
    <w:p w:rsidR="005E280F" w:rsidRPr="00D95727" w:rsidRDefault="005E280F" w:rsidP="003F4D5C">
      <w:pPr>
        <w:rPr>
          <w:rFonts w:ascii="Arial" w:hAnsi="Arial" w:cs="Arial"/>
          <w:sz w:val="22"/>
          <w:szCs w:val="22"/>
          <w:lang w:val="es-ES"/>
        </w:rPr>
      </w:pPr>
    </w:p>
    <w:p w:rsidR="00D16F07" w:rsidRPr="00D95727" w:rsidRDefault="007162AA" w:rsidP="003F4D5C">
      <w:pPr>
        <w:rPr>
          <w:rFonts w:ascii="Arial" w:hAnsi="Arial" w:cs="Arial"/>
          <w:sz w:val="22"/>
          <w:szCs w:val="22"/>
          <w:lang w:val="es-ES"/>
        </w:rPr>
      </w:pPr>
      <w:r w:rsidRPr="00D95727">
        <w:rPr>
          <w:rFonts w:ascii="Arial" w:hAnsi="Arial" w:cs="Arial"/>
          <w:sz w:val="22"/>
          <w:szCs w:val="22"/>
          <w:lang w:val="es-ES"/>
        </w:rPr>
        <w:t>El primer documento es un simple documento de debate y no somete recomendaciones a la consideración del Comité</w:t>
      </w:r>
      <w:r w:rsidR="00F515BE" w:rsidRPr="00D95727">
        <w:rPr>
          <w:rFonts w:ascii="Arial" w:hAnsi="Arial" w:cs="Arial"/>
          <w:sz w:val="22"/>
          <w:szCs w:val="22"/>
          <w:lang w:val="es-ES"/>
        </w:rPr>
        <w:t xml:space="preserve">.  </w:t>
      </w:r>
      <w:r w:rsidRPr="00D95727">
        <w:rPr>
          <w:rFonts w:ascii="Arial" w:hAnsi="Arial" w:cs="Arial"/>
          <w:sz w:val="22"/>
          <w:szCs w:val="22"/>
          <w:lang w:val="es-ES"/>
        </w:rPr>
        <w:t>El segundo documento recomienda la elaboración de estudios sobre las ECT para facilitar la labor del Comité.</w:t>
      </w:r>
    </w:p>
    <w:p w:rsidR="00D16F07" w:rsidRPr="00D95727" w:rsidRDefault="00D16F07" w:rsidP="003F4D5C">
      <w:pPr>
        <w:rPr>
          <w:rFonts w:ascii="Arial" w:hAnsi="Arial" w:cs="Arial"/>
          <w:sz w:val="22"/>
          <w:szCs w:val="22"/>
          <w:lang w:val="es-ES"/>
        </w:rPr>
      </w:pPr>
    </w:p>
    <w:p w:rsidR="00D16F07" w:rsidRPr="00D95727" w:rsidRDefault="00373135" w:rsidP="00EE52FC">
      <w:pPr>
        <w:rPr>
          <w:rFonts w:ascii="Arial" w:hAnsi="Arial" w:cs="Arial"/>
          <w:sz w:val="22"/>
          <w:szCs w:val="22"/>
          <w:lang w:val="es-ES"/>
        </w:rPr>
      </w:pPr>
      <w:r w:rsidRPr="00D95727">
        <w:rPr>
          <w:rFonts w:ascii="Arial" w:hAnsi="Arial" w:cs="Arial"/>
          <w:sz w:val="22"/>
          <w:szCs w:val="22"/>
          <w:lang w:val="es-ES"/>
        </w:rPr>
        <w:t>Teniendo en cuenta</w:t>
      </w:r>
      <w:r w:rsidR="007162AA" w:rsidRPr="00D95727">
        <w:rPr>
          <w:rFonts w:ascii="Arial" w:hAnsi="Arial" w:cs="Arial"/>
          <w:sz w:val="22"/>
          <w:szCs w:val="22"/>
          <w:lang w:val="es-ES"/>
        </w:rPr>
        <w:t xml:space="preserve"> que los debates sob</w:t>
      </w:r>
      <w:r w:rsidR="00C07E33" w:rsidRPr="00D95727">
        <w:rPr>
          <w:rFonts w:ascii="Arial" w:hAnsi="Arial" w:cs="Arial"/>
          <w:sz w:val="22"/>
          <w:szCs w:val="22"/>
          <w:lang w:val="es-ES"/>
        </w:rPr>
        <w:t>r</w:t>
      </w:r>
      <w:r w:rsidR="007162AA" w:rsidRPr="00D95727">
        <w:rPr>
          <w:rFonts w:ascii="Arial" w:hAnsi="Arial" w:cs="Arial"/>
          <w:sz w:val="22"/>
          <w:szCs w:val="22"/>
          <w:lang w:val="es-ES"/>
        </w:rPr>
        <w:t xml:space="preserve">e las ECT siguen en curso, tal vez sea prematuro </w:t>
      </w:r>
      <w:r w:rsidR="00C07E33" w:rsidRPr="00D95727">
        <w:rPr>
          <w:rFonts w:ascii="Arial" w:hAnsi="Arial" w:cs="Arial"/>
          <w:sz w:val="22"/>
          <w:szCs w:val="22"/>
          <w:lang w:val="es-ES"/>
        </w:rPr>
        <w:t>plantear</w:t>
      </w:r>
      <w:r w:rsidR="007162AA" w:rsidRPr="00D95727">
        <w:rPr>
          <w:rFonts w:ascii="Arial" w:hAnsi="Arial" w:cs="Arial"/>
          <w:sz w:val="22"/>
          <w:szCs w:val="22"/>
          <w:lang w:val="es-ES"/>
        </w:rPr>
        <w:t xml:space="preserve"> opciones para la labor futura en esta esfera</w:t>
      </w:r>
      <w:r w:rsidR="00F515BE" w:rsidRPr="00D95727">
        <w:rPr>
          <w:rFonts w:ascii="Arial" w:hAnsi="Arial" w:cs="Arial"/>
          <w:sz w:val="22"/>
          <w:szCs w:val="22"/>
          <w:lang w:val="es-ES"/>
        </w:rPr>
        <w:t xml:space="preserve">.  </w:t>
      </w:r>
      <w:r w:rsidR="007162AA" w:rsidRPr="00D95727">
        <w:rPr>
          <w:rFonts w:ascii="Arial" w:hAnsi="Arial" w:cs="Arial"/>
          <w:sz w:val="22"/>
          <w:szCs w:val="22"/>
          <w:lang w:val="es-ES"/>
        </w:rPr>
        <w:t xml:space="preserve">No obstante, tal vez sea útil que los miembros </w:t>
      </w:r>
      <w:r w:rsidRPr="00D95727">
        <w:rPr>
          <w:rFonts w:ascii="Arial" w:hAnsi="Arial" w:cs="Arial"/>
          <w:sz w:val="22"/>
          <w:szCs w:val="22"/>
          <w:lang w:val="es-ES"/>
        </w:rPr>
        <w:t>examinen</w:t>
      </w:r>
      <w:r w:rsidR="007162AA" w:rsidRPr="00D95727">
        <w:rPr>
          <w:rFonts w:ascii="Arial" w:hAnsi="Arial" w:cs="Arial"/>
          <w:sz w:val="22"/>
          <w:szCs w:val="22"/>
          <w:lang w:val="es-ES"/>
        </w:rPr>
        <w:t xml:space="preserve"> las opciones </w:t>
      </w:r>
      <w:r w:rsidR="00EA414A" w:rsidRPr="00D95727">
        <w:rPr>
          <w:rFonts w:ascii="Arial" w:hAnsi="Arial" w:cs="Arial"/>
          <w:sz w:val="22"/>
          <w:szCs w:val="22"/>
          <w:lang w:val="es-ES"/>
        </w:rPr>
        <w:t>posibles que se han planteado</w:t>
      </w:r>
      <w:r w:rsidR="007162AA" w:rsidRPr="00D95727">
        <w:rPr>
          <w:rFonts w:ascii="Arial" w:hAnsi="Arial" w:cs="Arial"/>
          <w:sz w:val="22"/>
          <w:szCs w:val="22"/>
          <w:lang w:val="es-ES"/>
        </w:rPr>
        <w:t xml:space="preserve"> en </w:t>
      </w:r>
      <w:r w:rsidRPr="00D95727">
        <w:rPr>
          <w:rFonts w:ascii="Arial" w:hAnsi="Arial" w:cs="Arial"/>
          <w:sz w:val="22"/>
          <w:szCs w:val="22"/>
          <w:lang w:val="es-ES"/>
        </w:rPr>
        <w:t>la esfera</w:t>
      </w:r>
      <w:r w:rsidR="007162AA" w:rsidRPr="00D95727">
        <w:rPr>
          <w:rFonts w:ascii="Arial" w:hAnsi="Arial" w:cs="Arial"/>
          <w:sz w:val="22"/>
          <w:szCs w:val="22"/>
          <w:lang w:val="es-ES"/>
        </w:rPr>
        <w:t xml:space="preserve"> de los CC.TT., dad</w:t>
      </w:r>
      <w:r w:rsidR="00EA414A" w:rsidRPr="00D95727">
        <w:rPr>
          <w:rFonts w:ascii="Arial" w:hAnsi="Arial" w:cs="Arial"/>
          <w:sz w:val="22"/>
          <w:szCs w:val="22"/>
          <w:lang w:val="es-ES"/>
        </w:rPr>
        <w:t>a la proximidad de</w:t>
      </w:r>
      <w:r w:rsidR="007162AA" w:rsidRPr="00D95727">
        <w:rPr>
          <w:rFonts w:ascii="Arial" w:hAnsi="Arial" w:cs="Arial"/>
          <w:sz w:val="22"/>
          <w:szCs w:val="22"/>
          <w:lang w:val="es-ES"/>
        </w:rPr>
        <w:t xml:space="preserve"> las cuestiones esenciales </w:t>
      </w:r>
      <w:r w:rsidR="00EA414A" w:rsidRPr="00D95727">
        <w:rPr>
          <w:rFonts w:ascii="Arial" w:hAnsi="Arial" w:cs="Arial"/>
          <w:sz w:val="22"/>
          <w:szCs w:val="22"/>
          <w:lang w:val="es-ES"/>
        </w:rPr>
        <w:t>sobre las que se debate en ambos casos</w:t>
      </w:r>
      <w:r w:rsidR="00BB089E" w:rsidRPr="00D95727">
        <w:rPr>
          <w:rFonts w:ascii="Arial" w:hAnsi="Arial" w:cs="Arial"/>
          <w:sz w:val="22"/>
          <w:szCs w:val="22"/>
          <w:lang w:val="es-ES"/>
        </w:rPr>
        <w:t>.</w:t>
      </w:r>
    </w:p>
    <w:p w:rsidR="00D16F07" w:rsidRPr="00D95727" w:rsidRDefault="00D16F07" w:rsidP="00EE52FC">
      <w:pPr>
        <w:rPr>
          <w:rFonts w:ascii="Arial" w:hAnsi="Arial" w:cs="Arial"/>
          <w:sz w:val="22"/>
          <w:szCs w:val="22"/>
          <w:lang w:val="es-ES"/>
        </w:rPr>
      </w:pPr>
    </w:p>
    <w:p w:rsidR="00D16F07" w:rsidRPr="00D95727" w:rsidRDefault="00F45F4B" w:rsidP="006170CC">
      <w:pPr>
        <w:outlineLvl w:val="0"/>
        <w:rPr>
          <w:rFonts w:ascii="Arial" w:hAnsi="Arial" w:cs="Arial"/>
          <w:b/>
          <w:i/>
          <w:sz w:val="22"/>
          <w:szCs w:val="22"/>
          <w:lang w:val="es-ES"/>
        </w:rPr>
      </w:pPr>
      <w:r w:rsidRPr="00D95727">
        <w:rPr>
          <w:rFonts w:ascii="Arial" w:hAnsi="Arial" w:cs="Arial"/>
          <w:b/>
          <w:i/>
          <w:sz w:val="22"/>
          <w:szCs w:val="22"/>
          <w:lang w:val="es-ES"/>
        </w:rPr>
        <w:t>Principales cambios en los documentos de trabajo</w:t>
      </w:r>
    </w:p>
    <w:p w:rsidR="00D16F07" w:rsidRPr="00D95727" w:rsidRDefault="00D16F07" w:rsidP="00EE52FC">
      <w:pPr>
        <w:rPr>
          <w:rFonts w:ascii="Arial" w:hAnsi="Arial" w:cs="Arial"/>
          <w:sz w:val="22"/>
          <w:szCs w:val="22"/>
          <w:lang w:val="es-ES"/>
        </w:rPr>
      </w:pPr>
    </w:p>
    <w:p w:rsidR="00D16F07" w:rsidRPr="00D95727" w:rsidRDefault="00F45F4B" w:rsidP="00FA57B4">
      <w:pPr>
        <w:rPr>
          <w:rFonts w:ascii="Arial" w:hAnsi="Arial" w:cs="Arial"/>
          <w:sz w:val="22"/>
          <w:szCs w:val="22"/>
          <w:lang w:val="es-ES"/>
        </w:rPr>
      </w:pPr>
      <w:r w:rsidRPr="00D95727">
        <w:rPr>
          <w:rFonts w:ascii="Arial" w:hAnsi="Arial" w:cs="Arial"/>
          <w:sz w:val="22"/>
          <w:szCs w:val="22"/>
          <w:lang w:val="es-ES"/>
        </w:rPr>
        <w:t>Al margen de las posturas divergentes que se reflejan en los documentos de trabajo, se han producido cambios importantes en estos textos a lo largo del bienio, como por ejemplo</w:t>
      </w:r>
      <w:r w:rsidR="00FA57B4" w:rsidRPr="00D95727">
        <w:rPr>
          <w:rFonts w:ascii="Arial" w:hAnsi="Arial" w:cs="Arial"/>
          <w:sz w:val="22"/>
          <w:szCs w:val="22"/>
          <w:lang w:val="es-ES"/>
        </w:rPr>
        <w:t>:</w:t>
      </w:r>
    </w:p>
    <w:p w:rsidR="00D16F07" w:rsidRPr="00D95727" w:rsidRDefault="00D16F07" w:rsidP="00FA57B4">
      <w:pPr>
        <w:rPr>
          <w:rFonts w:ascii="Arial" w:hAnsi="Arial" w:cs="Arial"/>
          <w:sz w:val="22"/>
          <w:szCs w:val="22"/>
          <w:lang w:val="es-ES"/>
        </w:rPr>
      </w:pPr>
    </w:p>
    <w:p w:rsidR="00D16F07" w:rsidRPr="00D95727" w:rsidRDefault="000463EF" w:rsidP="00F8134A">
      <w:pPr>
        <w:numPr>
          <w:ilvl w:val="0"/>
          <w:numId w:val="1"/>
        </w:numPr>
        <w:rPr>
          <w:rFonts w:ascii="Arial" w:hAnsi="Arial" w:cs="Arial"/>
          <w:sz w:val="22"/>
          <w:szCs w:val="22"/>
          <w:lang w:val="es-ES"/>
        </w:rPr>
      </w:pPr>
      <w:r w:rsidRPr="00D95727">
        <w:rPr>
          <w:rFonts w:ascii="Arial" w:hAnsi="Arial" w:cs="Arial"/>
          <w:sz w:val="22"/>
          <w:szCs w:val="22"/>
          <w:lang w:val="es-ES"/>
        </w:rPr>
        <w:t xml:space="preserve">Se han revisado </w:t>
      </w:r>
      <w:r w:rsidR="00F45F4B" w:rsidRPr="00D95727">
        <w:rPr>
          <w:rFonts w:ascii="Arial" w:hAnsi="Arial" w:cs="Arial"/>
          <w:sz w:val="22"/>
          <w:szCs w:val="22"/>
          <w:lang w:val="es-ES"/>
        </w:rPr>
        <w:t xml:space="preserve">los </w:t>
      </w:r>
      <w:r w:rsidRPr="00D95727">
        <w:rPr>
          <w:rFonts w:ascii="Arial" w:hAnsi="Arial" w:cs="Arial"/>
          <w:sz w:val="22"/>
          <w:szCs w:val="22"/>
          <w:lang w:val="es-ES"/>
        </w:rPr>
        <w:t xml:space="preserve">objetivos de política para centrarlos </w:t>
      </w:r>
      <w:r w:rsidR="00F45F4B" w:rsidRPr="00D95727">
        <w:rPr>
          <w:rFonts w:ascii="Arial" w:hAnsi="Arial" w:cs="Arial"/>
          <w:sz w:val="22"/>
          <w:szCs w:val="22"/>
          <w:lang w:val="es-ES"/>
        </w:rPr>
        <w:t>en el sistema de P.I</w:t>
      </w:r>
      <w:r w:rsidR="00FA57B4" w:rsidRPr="00D95727">
        <w:rPr>
          <w:rFonts w:ascii="Arial" w:hAnsi="Arial" w:cs="Arial"/>
          <w:sz w:val="22"/>
          <w:szCs w:val="22"/>
          <w:lang w:val="es-ES"/>
        </w:rPr>
        <w:t>.</w:t>
      </w:r>
      <w:r w:rsidRPr="00D95727">
        <w:rPr>
          <w:rFonts w:ascii="Arial" w:hAnsi="Arial" w:cs="Arial"/>
          <w:sz w:val="22"/>
          <w:szCs w:val="22"/>
          <w:lang w:val="es-ES"/>
        </w:rPr>
        <w:t>, aunque siga sin haber consenso sobre ellos.</w:t>
      </w:r>
    </w:p>
    <w:p w:rsidR="00D16F07" w:rsidRPr="00D95727" w:rsidRDefault="00E543CE" w:rsidP="00F8134A">
      <w:pPr>
        <w:numPr>
          <w:ilvl w:val="0"/>
          <w:numId w:val="1"/>
        </w:numPr>
        <w:rPr>
          <w:rFonts w:ascii="Arial" w:hAnsi="Arial" w:cs="Arial"/>
          <w:sz w:val="22"/>
          <w:szCs w:val="22"/>
          <w:lang w:val="es-ES"/>
        </w:rPr>
      </w:pPr>
      <w:r w:rsidRPr="00D95727">
        <w:rPr>
          <w:rFonts w:ascii="Arial" w:hAnsi="Arial" w:cs="Arial"/>
          <w:sz w:val="22"/>
          <w:szCs w:val="22"/>
          <w:lang w:val="es-ES"/>
        </w:rPr>
        <w:t>Se ha reconocido</w:t>
      </w:r>
      <w:r w:rsidR="00D642F9" w:rsidRPr="00D95727">
        <w:rPr>
          <w:rFonts w:ascii="Arial" w:hAnsi="Arial" w:cs="Arial"/>
          <w:sz w:val="22"/>
          <w:szCs w:val="22"/>
          <w:lang w:val="es-ES"/>
        </w:rPr>
        <w:t xml:space="preserve"> que la labor en el ámbito de los RR.GG no </w:t>
      </w:r>
      <w:r w:rsidR="00EA106E" w:rsidRPr="00D95727">
        <w:rPr>
          <w:rFonts w:ascii="Arial" w:hAnsi="Arial" w:cs="Arial"/>
          <w:sz w:val="22"/>
          <w:szCs w:val="22"/>
          <w:lang w:val="es-ES"/>
        </w:rPr>
        <w:t>se dirige principalmente a</w:t>
      </w:r>
      <w:r w:rsidR="00D642F9" w:rsidRPr="00D95727">
        <w:rPr>
          <w:rFonts w:ascii="Arial" w:hAnsi="Arial" w:cs="Arial"/>
          <w:sz w:val="22"/>
          <w:szCs w:val="22"/>
          <w:lang w:val="es-ES"/>
        </w:rPr>
        <w:t xml:space="preserve"> establec</w:t>
      </w:r>
      <w:r w:rsidR="00EA106E" w:rsidRPr="00D95727">
        <w:rPr>
          <w:rFonts w:ascii="Arial" w:hAnsi="Arial" w:cs="Arial"/>
          <w:sz w:val="22"/>
          <w:szCs w:val="22"/>
          <w:lang w:val="es-ES"/>
        </w:rPr>
        <w:t>er</w:t>
      </w:r>
      <w:r w:rsidR="00D642F9" w:rsidRPr="00D95727">
        <w:rPr>
          <w:rFonts w:ascii="Arial" w:hAnsi="Arial" w:cs="Arial"/>
          <w:sz w:val="22"/>
          <w:szCs w:val="22"/>
          <w:lang w:val="es-ES"/>
        </w:rPr>
        <w:t xml:space="preserve"> </w:t>
      </w:r>
      <w:r w:rsidR="00EA106E" w:rsidRPr="00D95727">
        <w:rPr>
          <w:rFonts w:ascii="Arial" w:hAnsi="Arial" w:cs="Arial"/>
          <w:sz w:val="22"/>
          <w:szCs w:val="22"/>
          <w:lang w:val="es-ES"/>
        </w:rPr>
        <w:t xml:space="preserve">los </w:t>
      </w:r>
      <w:r w:rsidR="00D642F9" w:rsidRPr="00D95727">
        <w:rPr>
          <w:rFonts w:ascii="Arial" w:hAnsi="Arial" w:cs="Arial"/>
          <w:sz w:val="22"/>
          <w:szCs w:val="22"/>
          <w:lang w:val="es-ES"/>
        </w:rPr>
        <w:t>derechos relativos a los RR.GG</w:t>
      </w:r>
      <w:r w:rsidR="00F515BE" w:rsidRPr="00D95727">
        <w:rPr>
          <w:rFonts w:ascii="Arial" w:hAnsi="Arial" w:cs="Arial"/>
          <w:sz w:val="22"/>
          <w:szCs w:val="22"/>
          <w:lang w:val="es-ES"/>
        </w:rPr>
        <w:t xml:space="preserve">. </w:t>
      </w:r>
      <w:r w:rsidR="00D642F9" w:rsidRPr="00D95727">
        <w:rPr>
          <w:rFonts w:ascii="Arial" w:hAnsi="Arial" w:cs="Arial"/>
          <w:sz w:val="22"/>
          <w:szCs w:val="22"/>
          <w:lang w:val="es-ES"/>
        </w:rPr>
        <w:t>y los CC.TT</w:t>
      </w:r>
      <w:r w:rsidR="00F515BE" w:rsidRPr="00D95727">
        <w:rPr>
          <w:rFonts w:ascii="Arial" w:hAnsi="Arial" w:cs="Arial"/>
          <w:sz w:val="22"/>
          <w:szCs w:val="22"/>
          <w:lang w:val="es-ES"/>
        </w:rPr>
        <w:t xml:space="preserve">. </w:t>
      </w:r>
      <w:r w:rsidR="00D642F9" w:rsidRPr="00D95727">
        <w:rPr>
          <w:rFonts w:ascii="Arial" w:hAnsi="Arial" w:cs="Arial"/>
          <w:sz w:val="22"/>
          <w:szCs w:val="22"/>
          <w:lang w:val="es-ES"/>
        </w:rPr>
        <w:t xml:space="preserve">asociados a </w:t>
      </w:r>
      <w:r w:rsidR="007D6CBC" w:rsidRPr="00D95727">
        <w:rPr>
          <w:rFonts w:ascii="Arial" w:hAnsi="Arial" w:cs="Arial"/>
          <w:sz w:val="22"/>
          <w:szCs w:val="22"/>
          <w:lang w:val="es-ES"/>
        </w:rPr>
        <w:t xml:space="preserve">los </w:t>
      </w:r>
      <w:r w:rsidR="00D642F9" w:rsidRPr="00D95727">
        <w:rPr>
          <w:rFonts w:ascii="Arial" w:hAnsi="Arial" w:cs="Arial"/>
          <w:sz w:val="22"/>
          <w:szCs w:val="22"/>
          <w:lang w:val="es-ES"/>
        </w:rPr>
        <w:t xml:space="preserve">RR.GG., </w:t>
      </w:r>
      <w:r w:rsidR="009B412C" w:rsidRPr="00D95727">
        <w:rPr>
          <w:rFonts w:ascii="Arial" w:hAnsi="Arial" w:cs="Arial"/>
          <w:sz w:val="22"/>
          <w:szCs w:val="22"/>
          <w:lang w:val="es-ES"/>
        </w:rPr>
        <w:t>los cuales</w:t>
      </w:r>
      <w:r w:rsidR="00EA106E" w:rsidRPr="00D95727">
        <w:rPr>
          <w:rFonts w:ascii="Arial" w:hAnsi="Arial" w:cs="Arial"/>
          <w:sz w:val="22"/>
          <w:szCs w:val="22"/>
          <w:lang w:val="es-ES"/>
        </w:rPr>
        <w:t xml:space="preserve"> se encuentran recogidos en el Convenio sobre la Diversidad Biológica (CDB)</w:t>
      </w:r>
      <w:r w:rsidR="00D642F9" w:rsidRPr="00D95727">
        <w:rPr>
          <w:rFonts w:ascii="Arial" w:hAnsi="Arial" w:cs="Arial"/>
          <w:sz w:val="22"/>
          <w:szCs w:val="22"/>
          <w:lang w:val="es-ES"/>
        </w:rPr>
        <w:t xml:space="preserve">, sino </w:t>
      </w:r>
      <w:r w:rsidRPr="00D95727">
        <w:rPr>
          <w:rFonts w:ascii="Arial" w:hAnsi="Arial" w:cs="Arial"/>
          <w:sz w:val="22"/>
          <w:szCs w:val="22"/>
          <w:lang w:val="es-ES"/>
        </w:rPr>
        <w:t>a</w:t>
      </w:r>
      <w:r w:rsidR="00EA106E" w:rsidRPr="00D95727">
        <w:rPr>
          <w:rFonts w:ascii="Arial" w:hAnsi="Arial" w:cs="Arial"/>
          <w:sz w:val="22"/>
          <w:szCs w:val="22"/>
          <w:lang w:val="es-ES"/>
        </w:rPr>
        <w:t xml:space="preserve"> buscar </w:t>
      </w:r>
      <w:r w:rsidR="00D642F9" w:rsidRPr="00D95727">
        <w:rPr>
          <w:rFonts w:ascii="Arial" w:hAnsi="Arial" w:cs="Arial"/>
          <w:sz w:val="22"/>
          <w:szCs w:val="22"/>
          <w:lang w:val="es-ES"/>
        </w:rPr>
        <w:t>medidas normativas o no normativas</w:t>
      </w:r>
      <w:r w:rsidR="009B412C" w:rsidRPr="00D95727">
        <w:rPr>
          <w:rFonts w:ascii="Arial" w:hAnsi="Arial" w:cs="Arial"/>
          <w:sz w:val="22"/>
          <w:szCs w:val="22"/>
          <w:lang w:val="es-ES"/>
        </w:rPr>
        <w:t xml:space="preserve"> que permitan mejorar</w:t>
      </w:r>
      <w:r w:rsidR="00D642F9" w:rsidRPr="00D95727">
        <w:rPr>
          <w:rFonts w:ascii="Arial" w:hAnsi="Arial" w:cs="Arial"/>
          <w:sz w:val="22"/>
          <w:szCs w:val="22"/>
          <w:lang w:val="es-ES"/>
        </w:rPr>
        <w:t xml:space="preserve"> la aplicación del sistema de patentes/P.I. (por ejemplo, </w:t>
      </w:r>
      <w:r w:rsidR="009B412C" w:rsidRPr="00D95727">
        <w:rPr>
          <w:rFonts w:ascii="Arial" w:hAnsi="Arial" w:cs="Arial"/>
          <w:sz w:val="22"/>
          <w:szCs w:val="22"/>
          <w:lang w:val="es-ES"/>
        </w:rPr>
        <w:t>mejorar</w:t>
      </w:r>
      <w:r w:rsidR="00D642F9" w:rsidRPr="00D95727">
        <w:rPr>
          <w:rFonts w:ascii="Arial" w:hAnsi="Arial" w:cs="Arial"/>
          <w:sz w:val="22"/>
          <w:szCs w:val="22"/>
          <w:lang w:val="es-ES"/>
        </w:rPr>
        <w:t xml:space="preserve"> la calidad de las patentes </w:t>
      </w:r>
      <w:r w:rsidR="00EA106E" w:rsidRPr="00D95727">
        <w:rPr>
          <w:rFonts w:ascii="Arial" w:hAnsi="Arial" w:cs="Arial"/>
          <w:sz w:val="22"/>
          <w:szCs w:val="22"/>
          <w:lang w:val="es-ES"/>
        </w:rPr>
        <w:t>otorgadas</w:t>
      </w:r>
      <w:r w:rsidR="00D642F9" w:rsidRPr="00D95727">
        <w:rPr>
          <w:rFonts w:ascii="Arial" w:hAnsi="Arial" w:cs="Arial"/>
          <w:sz w:val="22"/>
          <w:szCs w:val="22"/>
          <w:lang w:val="es-ES"/>
        </w:rPr>
        <w:t xml:space="preserve">) y </w:t>
      </w:r>
      <w:r w:rsidR="00D20C3C" w:rsidRPr="00D95727">
        <w:rPr>
          <w:rFonts w:ascii="Arial" w:hAnsi="Arial" w:cs="Arial"/>
          <w:sz w:val="22"/>
          <w:szCs w:val="22"/>
          <w:lang w:val="es-ES"/>
        </w:rPr>
        <w:t>garantizar el</w:t>
      </w:r>
      <w:r w:rsidR="009B412C" w:rsidRPr="00D95727">
        <w:rPr>
          <w:rFonts w:ascii="Arial" w:hAnsi="Arial" w:cs="Arial"/>
          <w:sz w:val="22"/>
          <w:szCs w:val="22"/>
          <w:lang w:val="es-ES"/>
        </w:rPr>
        <w:t xml:space="preserve"> fortalecimiento mutuo entre</w:t>
      </w:r>
      <w:r w:rsidR="00D642F9" w:rsidRPr="00D95727">
        <w:rPr>
          <w:rFonts w:ascii="Arial" w:hAnsi="Arial" w:cs="Arial"/>
          <w:sz w:val="22"/>
          <w:szCs w:val="22"/>
          <w:lang w:val="es-ES"/>
        </w:rPr>
        <w:t xml:space="preserve"> </w:t>
      </w:r>
      <w:r w:rsidR="009B412C" w:rsidRPr="00D95727">
        <w:rPr>
          <w:rFonts w:ascii="Arial" w:hAnsi="Arial" w:cs="Arial"/>
          <w:sz w:val="22"/>
          <w:szCs w:val="22"/>
          <w:lang w:val="es-ES"/>
        </w:rPr>
        <w:t xml:space="preserve">dicho sistema y </w:t>
      </w:r>
      <w:r w:rsidR="00D642F9" w:rsidRPr="00D95727">
        <w:rPr>
          <w:rFonts w:ascii="Arial" w:hAnsi="Arial" w:cs="Arial"/>
          <w:sz w:val="22"/>
          <w:szCs w:val="22"/>
          <w:lang w:val="es-ES"/>
        </w:rPr>
        <w:t>los acuerdos inter</w:t>
      </w:r>
      <w:r w:rsidR="00EA106E" w:rsidRPr="00D95727">
        <w:rPr>
          <w:rFonts w:ascii="Arial" w:hAnsi="Arial" w:cs="Arial"/>
          <w:sz w:val="22"/>
          <w:szCs w:val="22"/>
          <w:lang w:val="es-ES"/>
        </w:rPr>
        <w:t>n</w:t>
      </w:r>
      <w:r w:rsidR="00D642F9" w:rsidRPr="00D95727">
        <w:rPr>
          <w:rFonts w:ascii="Arial" w:hAnsi="Arial" w:cs="Arial"/>
          <w:sz w:val="22"/>
          <w:szCs w:val="22"/>
          <w:lang w:val="es-ES"/>
        </w:rPr>
        <w:t>acionales relativos a la protección de los RR.GG</w:t>
      </w:r>
      <w:r w:rsidR="00F515BE" w:rsidRPr="00D95727">
        <w:rPr>
          <w:rFonts w:ascii="Arial" w:hAnsi="Arial" w:cs="Arial"/>
          <w:sz w:val="22"/>
          <w:szCs w:val="22"/>
          <w:lang w:val="es-ES"/>
        </w:rPr>
        <w:t xml:space="preserve">. </w:t>
      </w:r>
      <w:r w:rsidR="00D642F9" w:rsidRPr="00D95727">
        <w:rPr>
          <w:rFonts w:ascii="Arial" w:hAnsi="Arial" w:cs="Arial"/>
          <w:sz w:val="22"/>
          <w:szCs w:val="22"/>
          <w:lang w:val="es-ES"/>
        </w:rPr>
        <w:t>y los CC.TT</w:t>
      </w:r>
      <w:r w:rsidR="00F515BE" w:rsidRPr="00D95727">
        <w:rPr>
          <w:rFonts w:ascii="Arial" w:hAnsi="Arial" w:cs="Arial"/>
          <w:sz w:val="22"/>
          <w:szCs w:val="22"/>
          <w:lang w:val="es-ES"/>
        </w:rPr>
        <w:t xml:space="preserve">. </w:t>
      </w:r>
      <w:r w:rsidR="00D642F9" w:rsidRPr="00D95727">
        <w:rPr>
          <w:rFonts w:ascii="Arial" w:hAnsi="Arial" w:cs="Arial"/>
          <w:sz w:val="22"/>
          <w:szCs w:val="22"/>
          <w:lang w:val="es-ES"/>
        </w:rPr>
        <w:t xml:space="preserve">asociados a </w:t>
      </w:r>
      <w:r w:rsidR="007D6CBC" w:rsidRPr="00D95727">
        <w:rPr>
          <w:rFonts w:ascii="Arial" w:hAnsi="Arial" w:cs="Arial"/>
          <w:sz w:val="22"/>
          <w:szCs w:val="22"/>
          <w:lang w:val="es-ES"/>
        </w:rPr>
        <w:t xml:space="preserve">los </w:t>
      </w:r>
      <w:r w:rsidR="00D642F9" w:rsidRPr="00D95727">
        <w:rPr>
          <w:rFonts w:ascii="Arial" w:hAnsi="Arial" w:cs="Arial"/>
          <w:sz w:val="22"/>
          <w:szCs w:val="22"/>
          <w:lang w:val="es-ES"/>
        </w:rPr>
        <w:t>RR.GG.</w:t>
      </w:r>
    </w:p>
    <w:p w:rsidR="00D16F07" w:rsidRPr="00D95727" w:rsidRDefault="000927B5" w:rsidP="002D7831">
      <w:pPr>
        <w:numPr>
          <w:ilvl w:val="0"/>
          <w:numId w:val="12"/>
        </w:numPr>
        <w:rPr>
          <w:rFonts w:ascii="Arial" w:hAnsi="Arial" w:cs="Arial"/>
          <w:sz w:val="22"/>
          <w:szCs w:val="22"/>
          <w:lang w:val="es-ES"/>
        </w:rPr>
      </w:pPr>
      <w:r w:rsidRPr="00D95727">
        <w:rPr>
          <w:rFonts w:ascii="Arial" w:hAnsi="Arial" w:cs="Arial"/>
          <w:sz w:val="22"/>
          <w:szCs w:val="22"/>
          <w:lang w:val="es-ES"/>
        </w:rPr>
        <w:t>Las expectativas en cuanto al alcance de la protección en materia de CC.TT</w:t>
      </w:r>
      <w:r w:rsidR="00F515BE" w:rsidRPr="00D95727">
        <w:rPr>
          <w:rFonts w:ascii="Arial" w:hAnsi="Arial" w:cs="Arial"/>
          <w:sz w:val="22"/>
          <w:szCs w:val="22"/>
          <w:lang w:val="es-ES"/>
        </w:rPr>
        <w:t xml:space="preserve">. </w:t>
      </w:r>
      <w:r w:rsidRPr="00D95727">
        <w:rPr>
          <w:rFonts w:ascii="Arial" w:hAnsi="Arial" w:cs="Arial"/>
          <w:sz w:val="22"/>
          <w:szCs w:val="22"/>
          <w:lang w:val="es-ES"/>
        </w:rPr>
        <w:t>y ECT</w:t>
      </w:r>
      <w:r w:rsidR="00A63011" w:rsidRPr="00D95727">
        <w:rPr>
          <w:rFonts w:ascii="Arial" w:hAnsi="Arial" w:cs="Arial"/>
          <w:sz w:val="22"/>
          <w:szCs w:val="22"/>
          <w:lang w:val="es-ES"/>
        </w:rPr>
        <w:t xml:space="preserve"> </w:t>
      </w:r>
      <w:r w:rsidR="00181FCB" w:rsidRPr="00D95727">
        <w:rPr>
          <w:rFonts w:ascii="Arial" w:hAnsi="Arial" w:cs="Arial"/>
          <w:sz w:val="22"/>
          <w:szCs w:val="22"/>
          <w:lang w:val="es-ES"/>
        </w:rPr>
        <w:t xml:space="preserve">se han </w:t>
      </w:r>
      <w:r w:rsidR="004B04B6" w:rsidRPr="00D95727">
        <w:rPr>
          <w:rFonts w:ascii="Arial" w:hAnsi="Arial" w:cs="Arial"/>
          <w:sz w:val="22"/>
          <w:szCs w:val="22"/>
          <w:lang w:val="es-ES"/>
        </w:rPr>
        <w:t>acotado</w:t>
      </w:r>
      <w:r w:rsidR="00A63011" w:rsidRPr="00D95727">
        <w:rPr>
          <w:rFonts w:ascii="Arial" w:hAnsi="Arial" w:cs="Arial"/>
          <w:sz w:val="22"/>
          <w:szCs w:val="22"/>
          <w:lang w:val="es-ES"/>
        </w:rPr>
        <w:t xml:space="preserve"> con la ayuda de la introducción de un posible enfoque </w:t>
      </w:r>
      <w:r w:rsidR="00181FCB" w:rsidRPr="00D95727">
        <w:rPr>
          <w:rFonts w:ascii="Arial" w:hAnsi="Arial" w:cs="Arial"/>
          <w:sz w:val="22"/>
          <w:szCs w:val="22"/>
          <w:lang w:val="es-ES"/>
        </w:rPr>
        <w:t>estratificado</w:t>
      </w:r>
      <w:r w:rsidR="00A63011" w:rsidRPr="00D95727">
        <w:rPr>
          <w:rFonts w:ascii="Arial" w:hAnsi="Arial" w:cs="Arial"/>
          <w:sz w:val="22"/>
          <w:szCs w:val="22"/>
          <w:lang w:val="es-ES"/>
        </w:rPr>
        <w:t xml:space="preserve"> para tratar de abordar esta cuestión </w:t>
      </w:r>
      <w:r w:rsidR="00A566CA" w:rsidRPr="00D95727">
        <w:rPr>
          <w:rFonts w:ascii="Arial" w:hAnsi="Arial" w:cs="Arial"/>
          <w:sz w:val="22"/>
          <w:szCs w:val="22"/>
          <w:lang w:val="es-ES"/>
        </w:rPr>
        <w:t>esencial</w:t>
      </w:r>
      <w:r w:rsidR="00A63011" w:rsidRPr="00D95727">
        <w:rPr>
          <w:rFonts w:ascii="Arial" w:hAnsi="Arial" w:cs="Arial"/>
          <w:sz w:val="22"/>
          <w:szCs w:val="22"/>
          <w:lang w:val="es-ES"/>
        </w:rPr>
        <w:t xml:space="preserve"> a través de ejemplos prácticos.</w:t>
      </w:r>
    </w:p>
    <w:p w:rsidR="00D16F07" w:rsidRPr="00D95727" w:rsidRDefault="00A566CA" w:rsidP="00FA57B4">
      <w:pPr>
        <w:numPr>
          <w:ilvl w:val="0"/>
          <w:numId w:val="12"/>
        </w:numPr>
        <w:rPr>
          <w:rFonts w:ascii="Arial" w:hAnsi="Arial" w:cs="Arial"/>
          <w:sz w:val="22"/>
          <w:szCs w:val="22"/>
          <w:lang w:val="es-ES"/>
        </w:rPr>
      </w:pPr>
      <w:r w:rsidRPr="00D95727">
        <w:rPr>
          <w:rFonts w:ascii="Arial" w:hAnsi="Arial" w:cs="Arial"/>
          <w:sz w:val="22"/>
          <w:szCs w:val="22"/>
          <w:lang w:val="es-ES"/>
        </w:rPr>
        <w:t xml:space="preserve">Se ha optado </w:t>
      </w:r>
      <w:r w:rsidR="004B04B6" w:rsidRPr="00D95727">
        <w:rPr>
          <w:rFonts w:ascii="Arial" w:hAnsi="Arial" w:cs="Arial"/>
          <w:sz w:val="22"/>
          <w:szCs w:val="22"/>
          <w:lang w:val="es-ES"/>
        </w:rPr>
        <w:t>cada vez más</w:t>
      </w:r>
      <w:r w:rsidRPr="00D95727">
        <w:rPr>
          <w:rFonts w:ascii="Arial" w:hAnsi="Arial" w:cs="Arial"/>
          <w:sz w:val="22"/>
          <w:szCs w:val="22"/>
          <w:lang w:val="es-ES"/>
        </w:rPr>
        <w:t xml:space="preserve"> por </w:t>
      </w:r>
      <w:r w:rsidR="004B04B6" w:rsidRPr="00D95727">
        <w:rPr>
          <w:rFonts w:ascii="Arial" w:hAnsi="Arial" w:cs="Arial"/>
          <w:sz w:val="22"/>
          <w:szCs w:val="22"/>
          <w:lang w:val="es-ES"/>
        </w:rPr>
        <w:t>los</w:t>
      </w:r>
      <w:r w:rsidRPr="00D95727">
        <w:rPr>
          <w:rFonts w:ascii="Arial" w:hAnsi="Arial" w:cs="Arial"/>
          <w:sz w:val="22"/>
          <w:szCs w:val="22"/>
          <w:lang w:val="es-ES"/>
        </w:rPr>
        <w:t xml:space="preserve"> documentos marco, que establecen un conjunto de criterios (de mínimos/máximos) o mecanismos que permiten flexibilizar la aplicación a nivel nacional</w:t>
      </w:r>
      <w:r w:rsidR="00FA57B4" w:rsidRPr="00D95727">
        <w:rPr>
          <w:rFonts w:ascii="Arial" w:hAnsi="Arial" w:cs="Arial"/>
          <w:sz w:val="22"/>
          <w:szCs w:val="22"/>
          <w:lang w:val="es-ES"/>
        </w:rPr>
        <w:t>.</w:t>
      </w:r>
    </w:p>
    <w:p w:rsidR="00D16F07" w:rsidRPr="00D95727" w:rsidRDefault="00A566CA" w:rsidP="00FA57B4">
      <w:pPr>
        <w:numPr>
          <w:ilvl w:val="0"/>
          <w:numId w:val="12"/>
        </w:numPr>
        <w:rPr>
          <w:rFonts w:ascii="Arial" w:hAnsi="Arial" w:cs="Arial"/>
          <w:b/>
          <w:sz w:val="22"/>
          <w:szCs w:val="22"/>
          <w:u w:val="single"/>
          <w:lang w:val="es-ES"/>
        </w:rPr>
      </w:pPr>
      <w:r w:rsidRPr="00D95727">
        <w:rPr>
          <w:rFonts w:ascii="Arial" w:hAnsi="Arial" w:cs="Arial"/>
          <w:sz w:val="22"/>
          <w:szCs w:val="22"/>
          <w:lang w:val="es-ES"/>
        </w:rPr>
        <w:lastRenderedPageBreak/>
        <w:t xml:space="preserve">Los textos han dejado de buscar </w:t>
      </w:r>
      <w:r w:rsidR="004B04B6" w:rsidRPr="00D95727">
        <w:rPr>
          <w:rFonts w:ascii="Arial" w:hAnsi="Arial" w:cs="Arial"/>
          <w:sz w:val="22"/>
          <w:szCs w:val="22"/>
          <w:lang w:val="es-ES"/>
        </w:rPr>
        <w:t>la forma</w:t>
      </w:r>
      <w:r w:rsidRPr="00D95727">
        <w:rPr>
          <w:rFonts w:ascii="Arial" w:hAnsi="Arial" w:cs="Arial"/>
          <w:sz w:val="22"/>
          <w:szCs w:val="22"/>
          <w:lang w:val="es-ES"/>
        </w:rPr>
        <w:t xml:space="preserve"> de combinar las diferentes posturas para </w:t>
      </w:r>
      <w:r w:rsidR="004B04B6" w:rsidRPr="00D95727">
        <w:rPr>
          <w:rFonts w:ascii="Arial" w:hAnsi="Arial" w:cs="Arial"/>
          <w:sz w:val="22"/>
          <w:szCs w:val="22"/>
          <w:lang w:val="es-ES"/>
        </w:rPr>
        <w:t xml:space="preserve">centrarse en </w:t>
      </w:r>
      <w:r w:rsidRPr="00D95727">
        <w:rPr>
          <w:rFonts w:ascii="Arial" w:hAnsi="Arial" w:cs="Arial"/>
          <w:sz w:val="22"/>
          <w:szCs w:val="22"/>
          <w:lang w:val="es-ES"/>
        </w:rPr>
        <w:t xml:space="preserve">delimitar de forma clara los dos enfoques </w:t>
      </w:r>
      <w:r w:rsidR="004B04B6" w:rsidRPr="00D95727">
        <w:rPr>
          <w:rFonts w:ascii="Arial" w:hAnsi="Arial" w:cs="Arial"/>
          <w:sz w:val="22"/>
          <w:szCs w:val="22"/>
          <w:lang w:val="es-ES"/>
        </w:rPr>
        <w:t>alternativos</w:t>
      </w:r>
      <w:r w:rsidR="00F515BE" w:rsidRPr="00D95727">
        <w:rPr>
          <w:rFonts w:ascii="Arial" w:hAnsi="Arial" w:cs="Arial"/>
          <w:sz w:val="22"/>
          <w:szCs w:val="22"/>
          <w:lang w:val="es-ES"/>
        </w:rPr>
        <w:t xml:space="preserve">.  </w:t>
      </w:r>
      <w:r w:rsidR="00FA57B4" w:rsidRPr="00D95727">
        <w:rPr>
          <w:rFonts w:ascii="Arial" w:hAnsi="Arial" w:cs="Arial"/>
          <w:sz w:val="22"/>
          <w:szCs w:val="22"/>
          <w:lang w:val="es-ES"/>
        </w:rPr>
        <w:br/>
      </w:r>
    </w:p>
    <w:p w:rsidR="00D16F07" w:rsidRPr="00D95727" w:rsidRDefault="00D16F07" w:rsidP="007263FC">
      <w:pPr>
        <w:rPr>
          <w:rFonts w:ascii="Arial" w:hAnsi="Arial" w:cs="Arial"/>
          <w:b/>
          <w:sz w:val="22"/>
          <w:szCs w:val="22"/>
          <w:u w:val="single"/>
          <w:lang w:val="es-ES"/>
        </w:rPr>
      </w:pPr>
    </w:p>
    <w:p w:rsidR="00D16F07" w:rsidRPr="00D95727" w:rsidRDefault="00B66E79" w:rsidP="006170CC">
      <w:pPr>
        <w:outlineLvl w:val="0"/>
        <w:rPr>
          <w:rFonts w:ascii="Arial" w:hAnsi="Arial" w:cs="Arial"/>
          <w:b/>
          <w:sz w:val="22"/>
          <w:szCs w:val="22"/>
          <w:u w:val="single"/>
          <w:lang w:val="es-ES"/>
        </w:rPr>
      </w:pPr>
      <w:r w:rsidRPr="00D95727">
        <w:rPr>
          <w:rFonts w:ascii="Arial" w:hAnsi="Arial" w:cs="Arial"/>
          <w:b/>
          <w:sz w:val="22"/>
          <w:szCs w:val="22"/>
          <w:u w:val="single"/>
          <w:lang w:val="es-ES"/>
        </w:rPr>
        <w:t>Opc</w:t>
      </w:r>
      <w:r w:rsidR="004F5983" w:rsidRPr="00D95727">
        <w:rPr>
          <w:rFonts w:ascii="Arial" w:hAnsi="Arial" w:cs="Arial"/>
          <w:b/>
          <w:sz w:val="22"/>
          <w:szCs w:val="22"/>
          <w:u w:val="single"/>
          <w:lang w:val="es-ES"/>
        </w:rPr>
        <w:t>ion</w:t>
      </w:r>
      <w:r w:rsidRPr="00D95727">
        <w:rPr>
          <w:rFonts w:ascii="Arial" w:hAnsi="Arial" w:cs="Arial"/>
          <w:b/>
          <w:sz w:val="22"/>
          <w:szCs w:val="22"/>
          <w:u w:val="single"/>
          <w:lang w:val="es-ES"/>
        </w:rPr>
        <w:t>e</w:t>
      </w:r>
      <w:r w:rsidR="004F5983" w:rsidRPr="00D95727">
        <w:rPr>
          <w:rFonts w:ascii="Arial" w:hAnsi="Arial" w:cs="Arial"/>
          <w:b/>
          <w:sz w:val="22"/>
          <w:szCs w:val="22"/>
          <w:u w:val="single"/>
          <w:lang w:val="es-ES"/>
        </w:rPr>
        <w:t xml:space="preserve">s </w:t>
      </w:r>
      <w:r w:rsidRPr="00D95727">
        <w:rPr>
          <w:rFonts w:ascii="Arial" w:hAnsi="Arial" w:cs="Arial"/>
          <w:b/>
          <w:sz w:val="22"/>
          <w:szCs w:val="22"/>
          <w:u w:val="single"/>
          <w:lang w:val="es-ES"/>
        </w:rPr>
        <w:t>para la labor futura del CIG</w:t>
      </w:r>
    </w:p>
    <w:p w:rsidR="00D16F07" w:rsidRPr="00D95727" w:rsidRDefault="00D16F07" w:rsidP="007263FC">
      <w:pPr>
        <w:rPr>
          <w:rFonts w:ascii="Arial" w:hAnsi="Arial" w:cs="Arial"/>
          <w:b/>
          <w:sz w:val="22"/>
          <w:szCs w:val="22"/>
          <w:u w:val="single"/>
          <w:lang w:val="es-ES"/>
        </w:rPr>
      </w:pPr>
    </w:p>
    <w:p w:rsidR="00D16F07" w:rsidRPr="00D95727" w:rsidRDefault="003C58FA" w:rsidP="00C54505">
      <w:pPr>
        <w:rPr>
          <w:rFonts w:ascii="Arial" w:hAnsi="Arial" w:cs="Arial"/>
          <w:sz w:val="22"/>
          <w:szCs w:val="22"/>
          <w:lang w:val="es-ES"/>
        </w:rPr>
      </w:pPr>
      <w:r w:rsidRPr="00D95727">
        <w:rPr>
          <w:rFonts w:ascii="Arial" w:hAnsi="Arial" w:cs="Arial"/>
          <w:sz w:val="22"/>
          <w:szCs w:val="22"/>
          <w:lang w:val="es-ES"/>
        </w:rPr>
        <w:t xml:space="preserve">Teniendo en cuenta la situación </w:t>
      </w:r>
      <w:r w:rsidR="009F50B7" w:rsidRPr="00D95727">
        <w:rPr>
          <w:rFonts w:ascii="Arial" w:hAnsi="Arial" w:cs="Arial"/>
          <w:sz w:val="22"/>
          <w:szCs w:val="22"/>
          <w:lang w:val="es-ES"/>
        </w:rPr>
        <w:t>actual de</w:t>
      </w:r>
      <w:r w:rsidRPr="00D95727">
        <w:rPr>
          <w:rFonts w:ascii="Arial" w:hAnsi="Arial" w:cs="Arial"/>
          <w:sz w:val="22"/>
          <w:szCs w:val="22"/>
          <w:lang w:val="es-ES"/>
        </w:rPr>
        <w:t xml:space="preserve"> las </w:t>
      </w:r>
      <w:r w:rsidR="004B04B6" w:rsidRPr="00D95727">
        <w:rPr>
          <w:rFonts w:ascii="Arial" w:hAnsi="Arial" w:cs="Arial"/>
          <w:sz w:val="22"/>
          <w:szCs w:val="22"/>
          <w:lang w:val="es-ES"/>
        </w:rPr>
        <w:t>negociaciones</w:t>
      </w:r>
      <w:r w:rsidRPr="00D95727">
        <w:rPr>
          <w:rFonts w:ascii="Arial" w:hAnsi="Arial" w:cs="Arial"/>
          <w:sz w:val="22"/>
          <w:szCs w:val="22"/>
          <w:lang w:val="es-ES"/>
        </w:rPr>
        <w:t>, los miembros tal vez estimen oportuno considerar las siguientes opciones generales en relación con la labor futura</w:t>
      </w:r>
      <w:r w:rsidR="00B86FD5" w:rsidRPr="00D95727">
        <w:rPr>
          <w:rFonts w:ascii="Arial" w:hAnsi="Arial" w:cs="Arial"/>
          <w:sz w:val="22"/>
          <w:szCs w:val="22"/>
          <w:lang w:val="es-ES"/>
        </w:rPr>
        <w:t>:</w:t>
      </w:r>
    </w:p>
    <w:p w:rsidR="00D16F07" w:rsidRPr="00D95727" w:rsidRDefault="00D16F07" w:rsidP="00C54505">
      <w:pPr>
        <w:rPr>
          <w:rFonts w:ascii="Arial" w:hAnsi="Arial" w:cs="Arial"/>
          <w:sz w:val="22"/>
          <w:szCs w:val="22"/>
          <w:lang w:val="es-ES"/>
        </w:rPr>
      </w:pPr>
    </w:p>
    <w:p w:rsidR="00D16F07" w:rsidRPr="00D95727" w:rsidRDefault="00587C78" w:rsidP="00B86FD5">
      <w:pPr>
        <w:numPr>
          <w:ilvl w:val="0"/>
          <w:numId w:val="12"/>
        </w:numPr>
        <w:rPr>
          <w:rFonts w:ascii="Arial" w:hAnsi="Arial" w:cs="Arial"/>
          <w:b/>
          <w:sz w:val="22"/>
          <w:szCs w:val="22"/>
          <w:lang w:val="es-ES"/>
        </w:rPr>
      </w:pPr>
      <w:r w:rsidRPr="00D95727">
        <w:rPr>
          <w:rFonts w:ascii="Arial" w:hAnsi="Arial" w:cs="Arial"/>
          <w:b/>
          <w:sz w:val="22"/>
          <w:szCs w:val="22"/>
          <w:lang w:val="es-ES"/>
        </w:rPr>
        <w:t>RR.GG</w:t>
      </w:r>
      <w:r w:rsidR="00496D34" w:rsidRPr="00D95727">
        <w:rPr>
          <w:rFonts w:ascii="Arial" w:hAnsi="Arial" w:cs="Arial"/>
          <w:b/>
          <w:sz w:val="22"/>
          <w:szCs w:val="22"/>
          <w:lang w:val="es-ES"/>
        </w:rPr>
        <w:t>:</w:t>
      </w:r>
    </w:p>
    <w:p w:rsidR="00D16F07" w:rsidRPr="00D95727" w:rsidRDefault="00D3330F" w:rsidP="000414B1">
      <w:pPr>
        <w:numPr>
          <w:ilvl w:val="0"/>
          <w:numId w:val="26"/>
        </w:numPr>
        <w:rPr>
          <w:rFonts w:ascii="Arial" w:hAnsi="Arial" w:cs="Arial"/>
          <w:sz w:val="22"/>
          <w:szCs w:val="22"/>
          <w:lang w:val="es-ES"/>
        </w:rPr>
      </w:pPr>
      <w:r w:rsidRPr="00D95727">
        <w:rPr>
          <w:rFonts w:ascii="Arial" w:hAnsi="Arial" w:cs="Arial"/>
          <w:sz w:val="22"/>
          <w:szCs w:val="22"/>
          <w:lang w:val="es-ES"/>
        </w:rPr>
        <w:t>Proseguir las negociaci</w:t>
      </w:r>
      <w:r w:rsidR="00F14CA8" w:rsidRPr="00D95727">
        <w:rPr>
          <w:rFonts w:ascii="Arial" w:hAnsi="Arial" w:cs="Arial"/>
          <w:sz w:val="22"/>
          <w:szCs w:val="22"/>
          <w:lang w:val="es-ES"/>
        </w:rPr>
        <w:t>o</w:t>
      </w:r>
      <w:r w:rsidRPr="00D95727">
        <w:rPr>
          <w:rFonts w:ascii="Arial" w:hAnsi="Arial" w:cs="Arial"/>
          <w:sz w:val="22"/>
          <w:szCs w:val="22"/>
          <w:lang w:val="es-ES"/>
        </w:rPr>
        <w:t xml:space="preserve">nes en torno a los documentos de trabajo con </w:t>
      </w:r>
      <w:r w:rsidR="00F14CA8" w:rsidRPr="00D95727">
        <w:rPr>
          <w:rFonts w:ascii="Arial" w:hAnsi="Arial" w:cs="Arial"/>
          <w:sz w:val="22"/>
          <w:szCs w:val="22"/>
          <w:lang w:val="es-ES"/>
        </w:rPr>
        <w:t>el objetivo</w:t>
      </w:r>
      <w:r w:rsidRPr="00D95727">
        <w:rPr>
          <w:rFonts w:ascii="Arial" w:hAnsi="Arial" w:cs="Arial"/>
          <w:sz w:val="22"/>
          <w:szCs w:val="22"/>
          <w:lang w:val="es-ES"/>
        </w:rPr>
        <w:t xml:space="preserve"> de </w:t>
      </w:r>
      <w:r w:rsidR="00F773D5" w:rsidRPr="00D95727">
        <w:rPr>
          <w:rFonts w:ascii="Arial" w:hAnsi="Arial" w:cs="Arial"/>
          <w:sz w:val="22"/>
          <w:szCs w:val="22"/>
          <w:lang w:val="es-ES"/>
        </w:rPr>
        <w:t>alcanzar</w:t>
      </w:r>
      <w:r w:rsidRPr="00D95727">
        <w:rPr>
          <w:rFonts w:ascii="Arial" w:hAnsi="Arial" w:cs="Arial"/>
          <w:sz w:val="22"/>
          <w:szCs w:val="22"/>
          <w:lang w:val="es-ES"/>
        </w:rPr>
        <w:t xml:space="preserve"> un consenso sobre un único enfoque, que podría concretarse en una conferencia diplomática, en caso necesario</w:t>
      </w:r>
      <w:r w:rsidR="00F515BE" w:rsidRPr="00D95727">
        <w:rPr>
          <w:rFonts w:ascii="Arial" w:hAnsi="Arial" w:cs="Arial"/>
          <w:sz w:val="22"/>
          <w:szCs w:val="22"/>
          <w:lang w:val="es-ES"/>
        </w:rPr>
        <w:t xml:space="preserve">.  </w:t>
      </w:r>
      <w:r w:rsidR="00A22E85" w:rsidRPr="00D95727">
        <w:rPr>
          <w:rFonts w:ascii="Arial" w:hAnsi="Arial" w:cs="Arial"/>
          <w:sz w:val="22"/>
          <w:szCs w:val="22"/>
          <w:lang w:val="es-ES"/>
        </w:rPr>
        <w:t xml:space="preserve">En el marco de esta labor, se podría fijar un </w:t>
      </w:r>
      <w:r w:rsidRPr="00D95727">
        <w:rPr>
          <w:rFonts w:ascii="Arial" w:hAnsi="Arial" w:cs="Arial"/>
          <w:sz w:val="22"/>
          <w:szCs w:val="22"/>
          <w:lang w:val="es-ES"/>
        </w:rPr>
        <w:t xml:space="preserve">calendario para </w:t>
      </w:r>
      <w:r w:rsidR="00F14CA8" w:rsidRPr="00D95727">
        <w:rPr>
          <w:rFonts w:ascii="Arial" w:hAnsi="Arial" w:cs="Arial"/>
          <w:sz w:val="22"/>
          <w:szCs w:val="22"/>
          <w:lang w:val="es-ES"/>
        </w:rPr>
        <w:t xml:space="preserve">la adopción de </w:t>
      </w:r>
      <w:r w:rsidRPr="00D95727">
        <w:rPr>
          <w:rFonts w:ascii="Arial" w:hAnsi="Arial" w:cs="Arial"/>
          <w:sz w:val="22"/>
          <w:szCs w:val="22"/>
          <w:lang w:val="es-ES"/>
        </w:rPr>
        <w:t xml:space="preserve">las principales decisiones </w:t>
      </w:r>
      <w:r w:rsidR="00F14CA8" w:rsidRPr="00D95727">
        <w:rPr>
          <w:rFonts w:ascii="Arial" w:hAnsi="Arial" w:cs="Arial"/>
          <w:sz w:val="22"/>
          <w:szCs w:val="22"/>
          <w:lang w:val="es-ES"/>
        </w:rPr>
        <w:t>a fin de</w:t>
      </w:r>
      <w:r w:rsidRPr="00D95727">
        <w:rPr>
          <w:rFonts w:ascii="Arial" w:hAnsi="Arial" w:cs="Arial"/>
          <w:sz w:val="22"/>
          <w:szCs w:val="22"/>
          <w:lang w:val="es-ES"/>
        </w:rPr>
        <w:t xml:space="preserve"> garantizar que las negociaciones no se</w:t>
      </w:r>
      <w:r w:rsidR="00AD5AAA" w:rsidRPr="00D95727">
        <w:rPr>
          <w:rFonts w:ascii="Arial" w:hAnsi="Arial" w:cs="Arial"/>
          <w:sz w:val="22"/>
          <w:szCs w:val="22"/>
          <w:lang w:val="es-ES"/>
        </w:rPr>
        <w:t>an de duración indefinida</w:t>
      </w:r>
      <w:r w:rsidRPr="00D95727">
        <w:rPr>
          <w:rFonts w:ascii="Arial" w:hAnsi="Arial" w:cs="Arial"/>
          <w:sz w:val="22"/>
          <w:szCs w:val="22"/>
          <w:lang w:val="es-ES"/>
        </w:rPr>
        <w:t>.</w:t>
      </w:r>
    </w:p>
    <w:p w:rsidR="00D16F07" w:rsidRPr="00D95727" w:rsidRDefault="00F14CA8" w:rsidP="000414B1">
      <w:pPr>
        <w:numPr>
          <w:ilvl w:val="0"/>
          <w:numId w:val="26"/>
        </w:numPr>
        <w:rPr>
          <w:rFonts w:ascii="Arial" w:hAnsi="Arial" w:cs="Arial"/>
          <w:sz w:val="22"/>
          <w:szCs w:val="22"/>
          <w:lang w:val="es-ES"/>
        </w:rPr>
      </w:pPr>
      <w:r w:rsidRPr="00D95727">
        <w:rPr>
          <w:rFonts w:ascii="Arial" w:hAnsi="Arial" w:cs="Arial"/>
          <w:sz w:val="22"/>
          <w:szCs w:val="22"/>
          <w:lang w:val="es-ES"/>
        </w:rPr>
        <w:t xml:space="preserve">Elaborar un documento </w:t>
      </w:r>
      <w:r w:rsidR="00536D4C" w:rsidRPr="00D95727">
        <w:rPr>
          <w:rFonts w:ascii="Arial" w:hAnsi="Arial" w:cs="Arial"/>
          <w:sz w:val="22"/>
          <w:szCs w:val="22"/>
          <w:lang w:val="es-ES"/>
        </w:rPr>
        <w:t xml:space="preserve">para examinar </w:t>
      </w:r>
      <w:r w:rsidRPr="00D95727">
        <w:rPr>
          <w:rFonts w:ascii="Arial" w:hAnsi="Arial" w:cs="Arial"/>
          <w:sz w:val="22"/>
          <w:szCs w:val="22"/>
          <w:lang w:val="es-ES"/>
        </w:rPr>
        <w:t>medidas no normativas</w:t>
      </w:r>
      <w:r w:rsidR="00536D4C" w:rsidRPr="00D95727">
        <w:rPr>
          <w:rFonts w:ascii="Arial" w:hAnsi="Arial" w:cs="Arial"/>
          <w:sz w:val="22"/>
          <w:szCs w:val="22"/>
          <w:lang w:val="es-ES"/>
        </w:rPr>
        <w:t xml:space="preserve">, </w:t>
      </w:r>
      <w:r w:rsidR="00727F6A" w:rsidRPr="00D95727">
        <w:rPr>
          <w:rFonts w:ascii="Arial" w:hAnsi="Arial" w:cs="Arial"/>
          <w:sz w:val="22"/>
          <w:szCs w:val="22"/>
          <w:lang w:val="es-ES"/>
        </w:rPr>
        <w:t>puestas de manifiesto</w:t>
      </w:r>
      <w:r w:rsidR="00536D4C" w:rsidRPr="00D95727">
        <w:rPr>
          <w:rFonts w:ascii="Arial" w:hAnsi="Arial" w:cs="Arial"/>
          <w:sz w:val="22"/>
          <w:szCs w:val="22"/>
          <w:lang w:val="es-ES"/>
        </w:rPr>
        <w:t xml:space="preserve"> </w:t>
      </w:r>
      <w:r w:rsidR="00727F6A" w:rsidRPr="00D95727">
        <w:rPr>
          <w:rFonts w:ascii="Arial" w:hAnsi="Arial" w:cs="Arial"/>
          <w:sz w:val="22"/>
          <w:szCs w:val="22"/>
          <w:lang w:val="es-ES"/>
        </w:rPr>
        <w:t xml:space="preserve">en </w:t>
      </w:r>
      <w:r w:rsidRPr="00D95727">
        <w:rPr>
          <w:rFonts w:ascii="Arial" w:hAnsi="Arial" w:cs="Arial"/>
          <w:sz w:val="22"/>
          <w:szCs w:val="22"/>
          <w:lang w:val="es-ES"/>
        </w:rPr>
        <w:t xml:space="preserve">las recomendaciones conjuntas y el documento de trabajo, y </w:t>
      </w:r>
      <w:r w:rsidR="0041174F" w:rsidRPr="00D95727">
        <w:rPr>
          <w:rFonts w:ascii="Arial" w:hAnsi="Arial" w:cs="Arial"/>
          <w:sz w:val="22"/>
          <w:szCs w:val="22"/>
          <w:lang w:val="es-ES"/>
        </w:rPr>
        <w:t>realizar</w:t>
      </w:r>
      <w:r w:rsidRPr="00D95727">
        <w:rPr>
          <w:rFonts w:ascii="Arial" w:hAnsi="Arial" w:cs="Arial"/>
          <w:sz w:val="22"/>
          <w:szCs w:val="22"/>
          <w:lang w:val="es-ES"/>
        </w:rPr>
        <w:t xml:space="preserve"> recomendaciones acerca del modo de </w:t>
      </w:r>
      <w:r w:rsidR="0041174F" w:rsidRPr="00D95727">
        <w:rPr>
          <w:rFonts w:ascii="Arial" w:hAnsi="Arial" w:cs="Arial"/>
          <w:sz w:val="22"/>
          <w:szCs w:val="22"/>
          <w:lang w:val="es-ES"/>
        </w:rPr>
        <w:t>llevar a cabo esta</w:t>
      </w:r>
      <w:r w:rsidRPr="00D95727">
        <w:rPr>
          <w:rFonts w:ascii="Arial" w:hAnsi="Arial" w:cs="Arial"/>
          <w:sz w:val="22"/>
          <w:szCs w:val="22"/>
          <w:lang w:val="es-ES"/>
        </w:rPr>
        <w:t xml:space="preserve"> labor en paralelo con </w:t>
      </w:r>
      <w:r w:rsidR="0041174F" w:rsidRPr="00D95727">
        <w:rPr>
          <w:rFonts w:ascii="Arial" w:hAnsi="Arial" w:cs="Arial"/>
          <w:sz w:val="22"/>
          <w:szCs w:val="22"/>
          <w:lang w:val="es-ES"/>
        </w:rPr>
        <w:t xml:space="preserve">las </w:t>
      </w:r>
      <w:r w:rsidRPr="00D95727">
        <w:rPr>
          <w:rFonts w:ascii="Arial" w:hAnsi="Arial" w:cs="Arial"/>
          <w:sz w:val="22"/>
          <w:szCs w:val="22"/>
          <w:lang w:val="es-ES"/>
        </w:rPr>
        <w:t>nego</w:t>
      </w:r>
      <w:r w:rsidR="0041174F" w:rsidRPr="00D95727">
        <w:rPr>
          <w:rFonts w:ascii="Arial" w:hAnsi="Arial" w:cs="Arial"/>
          <w:sz w:val="22"/>
          <w:szCs w:val="22"/>
          <w:lang w:val="es-ES"/>
        </w:rPr>
        <w:t>c</w:t>
      </w:r>
      <w:r w:rsidRPr="00D95727">
        <w:rPr>
          <w:rFonts w:ascii="Arial" w:hAnsi="Arial" w:cs="Arial"/>
          <w:sz w:val="22"/>
          <w:szCs w:val="22"/>
          <w:lang w:val="es-ES"/>
        </w:rPr>
        <w:t>iaciones normativas</w:t>
      </w:r>
      <w:r w:rsidR="0041174F" w:rsidRPr="00D95727">
        <w:rPr>
          <w:rFonts w:ascii="Arial" w:hAnsi="Arial" w:cs="Arial"/>
          <w:sz w:val="22"/>
          <w:szCs w:val="22"/>
          <w:lang w:val="es-ES"/>
        </w:rPr>
        <w:t>,</w:t>
      </w:r>
      <w:r w:rsidRPr="00D95727">
        <w:rPr>
          <w:rFonts w:ascii="Arial" w:hAnsi="Arial" w:cs="Arial"/>
          <w:sz w:val="22"/>
          <w:szCs w:val="22"/>
          <w:lang w:val="es-ES"/>
        </w:rPr>
        <w:t xml:space="preserve"> como </w:t>
      </w:r>
      <w:r w:rsidR="0041174F" w:rsidRPr="00D95727">
        <w:rPr>
          <w:rFonts w:ascii="Arial" w:hAnsi="Arial" w:cs="Arial"/>
          <w:sz w:val="22"/>
          <w:szCs w:val="22"/>
          <w:lang w:val="es-ES"/>
        </w:rPr>
        <w:t>por ejemplo la creación</w:t>
      </w:r>
      <w:r w:rsidRPr="00D95727">
        <w:rPr>
          <w:rFonts w:ascii="Arial" w:hAnsi="Arial" w:cs="Arial"/>
          <w:sz w:val="22"/>
          <w:szCs w:val="22"/>
          <w:lang w:val="es-ES"/>
        </w:rPr>
        <w:t xml:space="preserve"> de un grupo de trabajo de expertos para abordar medidas de carácter no normativo</w:t>
      </w:r>
      <w:r w:rsidR="00F515BE" w:rsidRPr="00D95727">
        <w:rPr>
          <w:rFonts w:ascii="Arial" w:hAnsi="Arial" w:cs="Arial"/>
          <w:sz w:val="22"/>
          <w:szCs w:val="22"/>
          <w:lang w:val="es-ES"/>
        </w:rPr>
        <w:t xml:space="preserve">.  </w:t>
      </w:r>
    </w:p>
    <w:p w:rsidR="00D16F07" w:rsidRPr="00D95727" w:rsidRDefault="008D166F" w:rsidP="000414B1">
      <w:pPr>
        <w:numPr>
          <w:ilvl w:val="0"/>
          <w:numId w:val="26"/>
        </w:numPr>
        <w:rPr>
          <w:rFonts w:ascii="Arial" w:hAnsi="Arial" w:cs="Arial"/>
          <w:sz w:val="22"/>
          <w:szCs w:val="22"/>
          <w:lang w:val="es-ES"/>
        </w:rPr>
      </w:pPr>
      <w:r w:rsidRPr="00D95727">
        <w:rPr>
          <w:rFonts w:ascii="Arial" w:hAnsi="Arial" w:cs="Arial"/>
          <w:sz w:val="22"/>
          <w:szCs w:val="22"/>
          <w:lang w:val="es-ES"/>
        </w:rPr>
        <w:t>Aceptar que es improbable que se produzca ningún cambio en las posturas y orientar los esfuerzos hacia la obtención de un consenso entre los diferentes proponentes en torno a dos posturas claras, sobre las que se requeriría una decisión política ulterior por parte de los Estados miembros</w:t>
      </w:r>
      <w:r w:rsidR="00C54505" w:rsidRPr="00D95727">
        <w:rPr>
          <w:rFonts w:ascii="Arial" w:hAnsi="Arial" w:cs="Arial"/>
          <w:sz w:val="22"/>
          <w:szCs w:val="22"/>
          <w:lang w:val="es-ES"/>
        </w:rPr>
        <w:t>.</w:t>
      </w:r>
    </w:p>
    <w:p w:rsidR="00D16F07" w:rsidRPr="00D95727" w:rsidRDefault="008D166F" w:rsidP="000414B1">
      <w:pPr>
        <w:numPr>
          <w:ilvl w:val="0"/>
          <w:numId w:val="26"/>
        </w:numPr>
        <w:rPr>
          <w:rFonts w:ascii="Arial" w:hAnsi="Arial" w:cs="Arial"/>
          <w:sz w:val="22"/>
          <w:szCs w:val="22"/>
          <w:lang w:val="es-ES"/>
        </w:rPr>
      </w:pPr>
      <w:r w:rsidRPr="00D95727">
        <w:rPr>
          <w:rFonts w:ascii="Arial" w:hAnsi="Arial" w:cs="Arial"/>
          <w:sz w:val="22"/>
          <w:szCs w:val="22"/>
          <w:lang w:val="es-ES"/>
        </w:rPr>
        <w:t>Considerar la posibilidad de adoptar las recomendaciones conjuntas como medidas preliminares centradas en actividades de carácter no normativo, mientras prosiguen las negociaciones para alcanzar una postura consensuada sobre la divulgación</w:t>
      </w:r>
      <w:r w:rsidR="00F515BE" w:rsidRPr="00D95727">
        <w:rPr>
          <w:rFonts w:ascii="Arial" w:hAnsi="Arial" w:cs="Arial"/>
          <w:sz w:val="22"/>
          <w:szCs w:val="22"/>
          <w:lang w:val="es-ES"/>
        </w:rPr>
        <w:t xml:space="preserve">.  </w:t>
      </w:r>
    </w:p>
    <w:p w:rsidR="00D16F07" w:rsidRPr="00D95727" w:rsidRDefault="00D16F07" w:rsidP="007263FC">
      <w:pPr>
        <w:rPr>
          <w:rFonts w:ascii="Arial" w:hAnsi="Arial" w:cs="Arial"/>
          <w:sz w:val="22"/>
          <w:szCs w:val="22"/>
          <w:lang w:val="es-ES"/>
        </w:rPr>
      </w:pPr>
    </w:p>
    <w:p w:rsidR="00D16F07" w:rsidRPr="00D95727" w:rsidRDefault="00D16F07" w:rsidP="00D16F07">
      <w:pPr>
        <w:numPr>
          <w:ilvl w:val="0"/>
          <w:numId w:val="12"/>
        </w:numPr>
        <w:rPr>
          <w:rFonts w:ascii="Arial" w:hAnsi="Arial" w:cs="Arial"/>
          <w:b/>
          <w:sz w:val="22"/>
          <w:szCs w:val="22"/>
          <w:lang w:val="es-ES"/>
        </w:rPr>
      </w:pPr>
      <w:r w:rsidRPr="00D95727">
        <w:rPr>
          <w:rFonts w:ascii="Arial" w:hAnsi="Arial" w:cs="Arial"/>
          <w:b/>
          <w:sz w:val="22"/>
          <w:szCs w:val="22"/>
          <w:lang w:val="es-ES"/>
        </w:rPr>
        <w:t>CC.TT./ECT</w:t>
      </w:r>
      <w:r w:rsidR="008A5F8A" w:rsidRPr="00D95727">
        <w:rPr>
          <w:rFonts w:ascii="Arial" w:hAnsi="Arial" w:cs="Arial"/>
          <w:b/>
          <w:sz w:val="22"/>
          <w:szCs w:val="22"/>
          <w:lang w:val="es-ES"/>
        </w:rPr>
        <w:t>:</w:t>
      </w:r>
    </w:p>
    <w:p w:rsidR="00D16F07" w:rsidRPr="00D95727" w:rsidRDefault="008D166F" w:rsidP="000414B1">
      <w:pPr>
        <w:numPr>
          <w:ilvl w:val="0"/>
          <w:numId w:val="26"/>
        </w:numPr>
        <w:rPr>
          <w:rFonts w:ascii="Arial" w:hAnsi="Arial" w:cs="Arial"/>
          <w:sz w:val="22"/>
          <w:szCs w:val="22"/>
          <w:lang w:val="es-ES"/>
        </w:rPr>
      </w:pPr>
      <w:r w:rsidRPr="00D95727">
        <w:rPr>
          <w:rFonts w:ascii="Arial" w:hAnsi="Arial" w:cs="Arial"/>
          <w:sz w:val="22"/>
          <w:szCs w:val="22"/>
          <w:lang w:val="es-ES"/>
        </w:rPr>
        <w:t xml:space="preserve">Proseguir las negociaciones en torno a los documentos de trabajo con el objetivo de </w:t>
      </w:r>
      <w:r w:rsidR="00F773D5" w:rsidRPr="00D95727">
        <w:rPr>
          <w:rFonts w:ascii="Arial" w:hAnsi="Arial" w:cs="Arial"/>
          <w:sz w:val="22"/>
          <w:szCs w:val="22"/>
          <w:lang w:val="es-ES"/>
        </w:rPr>
        <w:t>alcanzar</w:t>
      </w:r>
      <w:r w:rsidRPr="00D95727">
        <w:rPr>
          <w:rFonts w:ascii="Arial" w:hAnsi="Arial" w:cs="Arial"/>
          <w:sz w:val="22"/>
          <w:szCs w:val="22"/>
          <w:lang w:val="es-ES"/>
        </w:rPr>
        <w:t xml:space="preserve"> un consenso en torno a las cuestiones fundamentales y a la naturaleza del instrumento</w:t>
      </w:r>
      <w:r w:rsidR="00F515BE" w:rsidRPr="00D95727">
        <w:rPr>
          <w:rFonts w:ascii="Arial" w:hAnsi="Arial" w:cs="Arial"/>
          <w:sz w:val="22"/>
          <w:szCs w:val="22"/>
          <w:lang w:val="es-ES"/>
        </w:rPr>
        <w:t xml:space="preserve">.  </w:t>
      </w:r>
      <w:r w:rsidRPr="00D95727">
        <w:rPr>
          <w:rFonts w:ascii="Arial" w:hAnsi="Arial" w:cs="Arial"/>
          <w:sz w:val="22"/>
          <w:szCs w:val="22"/>
          <w:lang w:val="es-ES"/>
        </w:rPr>
        <w:t>Esta opción podría contar con el apoyo de medidas como</w:t>
      </w:r>
      <w:r w:rsidR="00C54505" w:rsidRPr="00D95727">
        <w:rPr>
          <w:rFonts w:ascii="Arial" w:hAnsi="Arial" w:cs="Arial"/>
          <w:sz w:val="22"/>
          <w:szCs w:val="22"/>
          <w:lang w:val="es-ES"/>
        </w:rPr>
        <w:t>:</w:t>
      </w:r>
    </w:p>
    <w:p w:rsidR="00D16F07" w:rsidRPr="00D95727" w:rsidRDefault="008D166F" w:rsidP="000414B1">
      <w:pPr>
        <w:numPr>
          <w:ilvl w:val="1"/>
          <w:numId w:val="26"/>
        </w:numPr>
        <w:rPr>
          <w:rFonts w:ascii="Arial" w:hAnsi="Arial" w:cs="Arial"/>
          <w:sz w:val="22"/>
          <w:szCs w:val="22"/>
          <w:lang w:val="es-ES"/>
        </w:rPr>
      </w:pPr>
      <w:r w:rsidRPr="00D95727">
        <w:rPr>
          <w:rFonts w:ascii="Arial" w:hAnsi="Arial" w:cs="Arial"/>
          <w:sz w:val="22"/>
          <w:szCs w:val="22"/>
          <w:lang w:val="es-ES"/>
        </w:rPr>
        <w:t>Un calendario para la adopción de las principales decisiones a fin de garantizar que las negociaciones no se</w:t>
      </w:r>
      <w:r w:rsidR="00AD5AAA" w:rsidRPr="00D95727">
        <w:rPr>
          <w:rFonts w:ascii="Arial" w:hAnsi="Arial" w:cs="Arial"/>
          <w:sz w:val="22"/>
          <w:szCs w:val="22"/>
          <w:lang w:val="es-ES"/>
        </w:rPr>
        <w:t>an de duración indefinida</w:t>
      </w:r>
      <w:r w:rsidR="00C54505" w:rsidRPr="00D95727">
        <w:rPr>
          <w:rFonts w:ascii="Arial" w:hAnsi="Arial" w:cs="Arial"/>
          <w:sz w:val="22"/>
          <w:szCs w:val="22"/>
          <w:lang w:val="es-ES"/>
        </w:rPr>
        <w:t>.</w:t>
      </w:r>
    </w:p>
    <w:p w:rsidR="00D16F07" w:rsidRPr="00D95727" w:rsidRDefault="008D166F" w:rsidP="000414B1">
      <w:pPr>
        <w:numPr>
          <w:ilvl w:val="1"/>
          <w:numId w:val="26"/>
        </w:numPr>
        <w:rPr>
          <w:rFonts w:ascii="Arial" w:hAnsi="Arial" w:cs="Arial"/>
          <w:sz w:val="22"/>
          <w:szCs w:val="22"/>
          <w:lang w:val="es-ES"/>
        </w:rPr>
      </w:pPr>
      <w:r w:rsidRPr="00D95727">
        <w:rPr>
          <w:rFonts w:ascii="Arial" w:hAnsi="Arial" w:cs="Arial"/>
          <w:sz w:val="22"/>
          <w:szCs w:val="22"/>
          <w:lang w:val="es-ES"/>
        </w:rPr>
        <w:t xml:space="preserve">La creación de grupos de trabajo o de expertos </w:t>
      </w:r>
      <w:r w:rsidR="00D0180A" w:rsidRPr="00D95727">
        <w:rPr>
          <w:rFonts w:ascii="Arial" w:hAnsi="Arial" w:cs="Arial"/>
          <w:sz w:val="22"/>
          <w:szCs w:val="22"/>
          <w:lang w:val="es-ES"/>
        </w:rPr>
        <w:t>que se dediquen a presentar</w:t>
      </w:r>
      <w:r w:rsidRPr="00D95727">
        <w:rPr>
          <w:rFonts w:ascii="Arial" w:hAnsi="Arial" w:cs="Arial"/>
          <w:sz w:val="22"/>
          <w:szCs w:val="22"/>
          <w:lang w:val="es-ES"/>
        </w:rPr>
        <w:t xml:space="preserve"> propuestas sobre las cuestiones </w:t>
      </w:r>
      <w:r w:rsidR="00F773D5" w:rsidRPr="00D95727">
        <w:rPr>
          <w:rFonts w:ascii="Arial" w:hAnsi="Arial" w:cs="Arial"/>
          <w:sz w:val="22"/>
          <w:szCs w:val="22"/>
          <w:lang w:val="es-ES"/>
        </w:rPr>
        <w:t>esenciales</w:t>
      </w:r>
      <w:r w:rsidRPr="00D95727">
        <w:rPr>
          <w:rFonts w:ascii="Arial" w:hAnsi="Arial" w:cs="Arial"/>
          <w:sz w:val="22"/>
          <w:szCs w:val="22"/>
          <w:lang w:val="es-ES"/>
        </w:rPr>
        <w:t xml:space="preserve"> </w:t>
      </w:r>
      <w:r w:rsidR="00D0180A" w:rsidRPr="00D95727">
        <w:rPr>
          <w:rFonts w:ascii="Arial" w:hAnsi="Arial" w:cs="Arial"/>
          <w:sz w:val="22"/>
          <w:szCs w:val="22"/>
          <w:lang w:val="es-ES"/>
        </w:rPr>
        <w:t xml:space="preserve">con el fin de promover </w:t>
      </w:r>
      <w:r w:rsidRPr="00D95727">
        <w:rPr>
          <w:rFonts w:ascii="Arial" w:hAnsi="Arial" w:cs="Arial"/>
          <w:sz w:val="22"/>
          <w:szCs w:val="22"/>
          <w:lang w:val="es-ES"/>
        </w:rPr>
        <w:t>el consenso, teniendo en cuenta que la finalidad explícita de estos mecanismos o procesos sería agilizar y no retrasar las negociaciones</w:t>
      </w:r>
      <w:r w:rsidR="00C54505" w:rsidRPr="00D95727">
        <w:rPr>
          <w:rFonts w:ascii="Arial" w:hAnsi="Arial" w:cs="Arial"/>
          <w:sz w:val="22"/>
          <w:szCs w:val="22"/>
          <w:lang w:val="es-ES"/>
        </w:rPr>
        <w:t>.</w:t>
      </w:r>
    </w:p>
    <w:p w:rsidR="00D16F07" w:rsidRPr="00D95727" w:rsidRDefault="00D0180A" w:rsidP="000414B1">
      <w:pPr>
        <w:numPr>
          <w:ilvl w:val="0"/>
          <w:numId w:val="26"/>
        </w:numPr>
        <w:rPr>
          <w:rFonts w:ascii="Arial" w:hAnsi="Arial" w:cs="Arial"/>
          <w:sz w:val="22"/>
          <w:szCs w:val="22"/>
          <w:lang w:val="es-ES"/>
        </w:rPr>
      </w:pPr>
      <w:r w:rsidRPr="00D95727">
        <w:rPr>
          <w:rFonts w:ascii="Arial" w:hAnsi="Arial" w:cs="Arial"/>
          <w:sz w:val="22"/>
          <w:szCs w:val="22"/>
          <w:lang w:val="es-ES"/>
        </w:rPr>
        <w:t xml:space="preserve">Considerar la </w:t>
      </w:r>
      <w:r w:rsidR="00A22E85" w:rsidRPr="00D95727">
        <w:rPr>
          <w:rFonts w:ascii="Arial" w:hAnsi="Arial" w:cs="Arial"/>
          <w:sz w:val="22"/>
          <w:szCs w:val="22"/>
          <w:lang w:val="es-ES"/>
        </w:rPr>
        <w:t>posibilidad</w:t>
      </w:r>
      <w:r w:rsidRPr="00D95727">
        <w:rPr>
          <w:rFonts w:ascii="Arial" w:hAnsi="Arial" w:cs="Arial"/>
          <w:sz w:val="22"/>
          <w:szCs w:val="22"/>
          <w:lang w:val="es-ES"/>
        </w:rPr>
        <w:t xml:space="preserve"> de adoptar un enfoque </w:t>
      </w:r>
      <w:r w:rsidR="004E7091" w:rsidRPr="00D95727">
        <w:rPr>
          <w:rFonts w:ascii="Arial" w:hAnsi="Arial" w:cs="Arial"/>
          <w:sz w:val="22"/>
          <w:szCs w:val="22"/>
          <w:lang w:val="es-ES"/>
        </w:rPr>
        <w:t>progresivo</w:t>
      </w:r>
      <w:r w:rsidRPr="00D95727">
        <w:rPr>
          <w:rFonts w:ascii="Arial" w:hAnsi="Arial" w:cs="Arial"/>
          <w:sz w:val="22"/>
          <w:szCs w:val="22"/>
          <w:lang w:val="es-ES"/>
        </w:rPr>
        <w:t xml:space="preserve"> en las negociaciones y concentrar </w:t>
      </w:r>
      <w:r w:rsidR="009E2C8A" w:rsidRPr="00D95727">
        <w:rPr>
          <w:rFonts w:ascii="Arial" w:hAnsi="Arial" w:cs="Arial"/>
          <w:sz w:val="22"/>
          <w:szCs w:val="22"/>
          <w:lang w:val="es-ES"/>
        </w:rPr>
        <w:t xml:space="preserve">inicialmente </w:t>
      </w:r>
      <w:r w:rsidRPr="00D95727">
        <w:rPr>
          <w:rFonts w:ascii="Arial" w:hAnsi="Arial" w:cs="Arial"/>
          <w:sz w:val="22"/>
          <w:szCs w:val="22"/>
          <w:lang w:val="es-ES"/>
        </w:rPr>
        <w:t xml:space="preserve">los esfuerzos en </w:t>
      </w:r>
      <w:r w:rsidR="004E7091" w:rsidRPr="00D95727">
        <w:rPr>
          <w:rFonts w:ascii="Arial" w:hAnsi="Arial" w:cs="Arial"/>
          <w:sz w:val="22"/>
          <w:szCs w:val="22"/>
          <w:lang w:val="es-ES"/>
        </w:rPr>
        <w:t>alcanzar un</w:t>
      </w:r>
      <w:r w:rsidRPr="00D95727">
        <w:rPr>
          <w:rFonts w:ascii="Arial" w:hAnsi="Arial" w:cs="Arial"/>
          <w:sz w:val="22"/>
          <w:szCs w:val="22"/>
          <w:lang w:val="es-ES"/>
        </w:rPr>
        <w:t xml:space="preserve"> consenso sobre la cuestión menos disputada de los derechos morales </w:t>
      </w:r>
      <w:r w:rsidR="004E7091" w:rsidRPr="00D95727">
        <w:rPr>
          <w:rFonts w:ascii="Arial" w:hAnsi="Arial" w:cs="Arial"/>
          <w:sz w:val="22"/>
          <w:szCs w:val="22"/>
          <w:lang w:val="es-ES"/>
        </w:rPr>
        <w:t>en materia de</w:t>
      </w:r>
      <w:r w:rsidRPr="00D95727">
        <w:rPr>
          <w:rFonts w:ascii="Arial" w:hAnsi="Arial" w:cs="Arial"/>
          <w:sz w:val="22"/>
          <w:szCs w:val="22"/>
          <w:lang w:val="es-ES"/>
        </w:rPr>
        <w:t xml:space="preserve"> reconocimiento y atribución, mientras prosiguen las negociaciones sobre el alcance de los eventuales derechos </w:t>
      </w:r>
      <w:r w:rsidR="0023235C" w:rsidRPr="00D95727">
        <w:rPr>
          <w:rFonts w:ascii="Arial" w:hAnsi="Arial" w:cs="Arial"/>
          <w:sz w:val="22"/>
          <w:szCs w:val="22"/>
          <w:lang w:val="es-ES"/>
        </w:rPr>
        <w:t>patrimoniales</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Paralelamente </w:t>
      </w:r>
      <w:r w:rsidR="004E7091" w:rsidRPr="00D95727">
        <w:rPr>
          <w:rFonts w:ascii="Arial" w:hAnsi="Arial" w:cs="Arial"/>
          <w:sz w:val="22"/>
          <w:szCs w:val="22"/>
          <w:lang w:val="es-ES"/>
        </w:rPr>
        <w:t xml:space="preserve">a lo anterior </w:t>
      </w:r>
      <w:r w:rsidRPr="00D95727">
        <w:rPr>
          <w:rFonts w:ascii="Arial" w:hAnsi="Arial" w:cs="Arial"/>
          <w:sz w:val="22"/>
          <w:szCs w:val="22"/>
          <w:lang w:val="es-ES"/>
        </w:rPr>
        <w:t>se podrían emprender esfuerzos para desarrollar medidas complementarias o no normativas, como por ejemplo bases de datos.</w:t>
      </w:r>
    </w:p>
    <w:p w:rsidR="00D16F07" w:rsidRPr="00D95727" w:rsidRDefault="004E7091" w:rsidP="000414B1">
      <w:pPr>
        <w:numPr>
          <w:ilvl w:val="0"/>
          <w:numId w:val="26"/>
        </w:numPr>
        <w:rPr>
          <w:rFonts w:ascii="Arial" w:hAnsi="Arial" w:cs="Arial"/>
          <w:sz w:val="22"/>
          <w:szCs w:val="22"/>
          <w:lang w:val="es-ES"/>
        </w:rPr>
      </w:pPr>
      <w:r w:rsidRPr="00D95727">
        <w:rPr>
          <w:rFonts w:ascii="Arial" w:hAnsi="Arial" w:cs="Arial"/>
          <w:sz w:val="22"/>
          <w:szCs w:val="22"/>
          <w:lang w:val="es-ES"/>
        </w:rPr>
        <w:t>Aceptar que es improbable que se produzca ningún cambio en las posturas y orientar los esfuerzos hacia la obtención de un consenso entre los diferentes proponentes en torno a una serie de posturas claras, sobre las que se requeriría una decisión política ulterior por parte de los Estados miembros, por ejemplo en el marco de una conferencia diplomática, en función de la naturaleza del instrumento.</w:t>
      </w:r>
    </w:p>
    <w:p w:rsidR="00D16F07" w:rsidRPr="00D95727" w:rsidRDefault="00D16F07" w:rsidP="007263FC">
      <w:pPr>
        <w:rPr>
          <w:rFonts w:ascii="Arial" w:hAnsi="Arial" w:cs="Arial"/>
          <w:sz w:val="22"/>
          <w:szCs w:val="22"/>
          <w:lang w:val="es-ES"/>
        </w:rPr>
      </w:pPr>
    </w:p>
    <w:p w:rsidR="00D16F07" w:rsidRPr="00D95727" w:rsidRDefault="004E7091" w:rsidP="00C418F3">
      <w:pPr>
        <w:rPr>
          <w:rFonts w:ascii="Arial" w:hAnsi="Arial" w:cs="Arial"/>
          <w:sz w:val="22"/>
          <w:szCs w:val="22"/>
          <w:lang w:val="es-ES"/>
        </w:rPr>
      </w:pPr>
      <w:r w:rsidRPr="00D95727">
        <w:rPr>
          <w:rFonts w:ascii="Arial" w:hAnsi="Arial" w:cs="Arial"/>
          <w:sz w:val="22"/>
          <w:szCs w:val="22"/>
          <w:lang w:val="es-ES"/>
        </w:rPr>
        <w:t xml:space="preserve">En el cuadro que figura en el </w:t>
      </w:r>
      <w:r w:rsidR="000D6648" w:rsidRPr="00D95727">
        <w:rPr>
          <w:rFonts w:ascii="Arial" w:hAnsi="Arial" w:cs="Arial"/>
          <w:sz w:val="22"/>
          <w:szCs w:val="22"/>
          <w:lang w:val="es-ES"/>
        </w:rPr>
        <w:t>A</w:t>
      </w:r>
      <w:r w:rsidRPr="00D95727">
        <w:rPr>
          <w:rFonts w:ascii="Arial" w:hAnsi="Arial" w:cs="Arial"/>
          <w:sz w:val="22"/>
          <w:szCs w:val="22"/>
          <w:lang w:val="es-ES"/>
        </w:rPr>
        <w:t xml:space="preserve">nexo I se </w:t>
      </w:r>
      <w:r w:rsidR="00993E95" w:rsidRPr="00D95727">
        <w:rPr>
          <w:rFonts w:ascii="Arial" w:hAnsi="Arial" w:cs="Arial"/>
          <w:sz w:val="22"/>
          <w:szCs w:val="22"/>
          <w:lang w:val="es-ES"/>
        </w:rPr>
        <w:t>intentan</w:t>
      </w:r>
      <w:r w:rsidRPr="00D95727">
        <w:rPr>
          <w:rFonts w:ascii="Arial" w:hAnsi="Arial" w:cs="Arial"/>
          <w:sz w:val="22"/>
          <w:szCs w:val="22"/>
          <w:lang w:val="es-ES"/>
        </w:rPr>
        <w:t xml:space="preserve"> resumir algunas de las opciones </w:t>
      </w:r>
      <w:r w:rsidR="00993E95" w:rsidRPr="00D95727">
        <w:rPr>
          <w:rFonts w:ascii="Arial" w:hAnsi="Arial" w:cs="Arial"/>
          <w:sz w:val="22"/>
          <w:szCs w:val="22"/>
          <w:lang w:val="es-ES"/>
        </w:rPr>
        <w:t>que pueden adoptar</w:t>
      </w:r>
      <w:r w:rsidRPr="00D95727">
        <w:rPr>
          <w:rFonts w:ascii="Arial" w:hAnsi="Arial" w:cs="Arial"/>
          <w:sz w:val="22"/>
          <w:szCs w:val="22"/>
          <w:lang w:val="es-ES"/>
        </w:rPr>
        <w:t xml:space="preserve"> los Estados miembros </w:t>
      </w:r>
      <w:r w:rsidR="00993E95" w:rsidRPr="00D95727">
        <w:rPr>
          <w:rFonts w:ascii="Arial" w:hAnsi="Arial" w:cs="Arial"/>
          <w:sz w:val="22"/>
          <w:szCs w:val="22"/>
          <w:lang w:val="es-ES"/>
        </w:rPr>
        <w:t xml:space="preserve">para </w:t>
      </w:r>
      <w:r w:rsidR="00BF28D2" w:rsidRPr="00D95727">
        <w:rPr>
          <w:rFonts w:ascii="Arial" w:hAnsi="Arial" w:cs="Arial"/>
          <w:sz w:val="22"/>
          <w:szCs w:val="22"/>
          <w:lang w:val="es-ES"/>
        </w:rPr>
        <w:t>facilitar</w:t>
      </w:r>
      <w:r w:rsidRPr="00D95727">
        <w:rPr>
          <w:rFonts w:ascii="Arial" w:hAnsi="Arial" w:cs="Arial"/>
          <w:sz w:val="22"/>
          <w:szCs w:val="22"/>
          <w:lang w:val="es-ES"/>
        </w:rPr>
        <w:t xml:space="preserve"> sus deliberaciones sobre esta cuestión esencial</w:t>
      </w:r>
      <w:r w:rsidR="00F515BE" w:rsidRPr="00D95727">
        <w:rPr>
          <w:rFonts w:ascii="Arial" w:hAnsi="Arial" w:cs="Arial"/>
          <w:sz w:val="22"/>
          <w:szCs w:val="22"/>
          <w:lang w:val="es-ES"/>
        </w:rPr>
        <w:t xml:space="preserve">.  </w:t>
      </w:r>
      <w:r w:rsidRPr="00D95727">
        <w:rPr>
          <w:rFonts w:ascii="Arial" w:hAnsi="Arial" w:cs="Arial"/>
          <w:b/>
          <w:sz w:val="22"/>
          <w:szCs w:val="22"/>
          <w:lang w:val="es-ES"/>
        </w:rPr>
        <w:t xml:space="preserve">Debe subrayarse que las opciones que </w:t>
      </w:r>
      <w:r w:rsidR="009B58C2" w:rsidRPr="00D95727">
        <w:rPr>
          <w:rFonts w:ascii="Arial" w:hAnsi="Arial" w:cs="Arial"/>
          <w:b/>
          <w:sz w:val="22"/>
          <w:szCs w:val="22"/>
          <w:lang w:val="es-ES"/>
        </w:rPr>
        <w:t>figuran</w:t>
      </w:r>
      <w:r w:rsidRPr="00D95727">
        <w:rPr>
          <w:rFonts w:ascii="Arial" w:hAnsi="Arial" w:cs="Arial"/>
          <w:b/>
          <w:sz w:val="22"/>
          <w:szCs w:val="22"/>
          <w:lang w:val="es-ES"/>
        </w:rPr>
        <w:t xml:space="preserve"> en el anexo no </w:t>
      </w:r>
      <w:r w:rsidR="009B58C2" w:rsidRPr="00D95727">
        <w:rPr>
          <w:rFonts w:ascii="Arial" w:hAnsi="Arial" w:cs="Arial"/>
          <w:b/>
          <w:sz w:val="22"/>
          <w:szCs w:val="22"/>
          <w:lang w:val="es-ES"/>
        </w:rPr>
        <w:t>constituyen</w:t>
      </w:r>
      <w:r w:rsidRPr="00D95727">
        <w:rPr>
          <w:rFonts w:ascii="Arial" w:hAnsi="Arial" w:cs="Arial"/>
          <w:b/>
          <w:sz w:val="22"/>
          <w:szCs w:val="22"/>
          <w:lang w:val="es-ES"/>
        </w:rPr>
        <w:t xml:space="preserve"> necesariamente </w:t>
      </w:r>
      <w:r w:rsidR="009B58C2" w:rsidRPr="00D95727">
        <w:rPr>
          <w:rFonts w:ascii="Arial" w:hAnsi="Arial" w:cs="Arial"/>
          <w:b/>
          <w:sz w:val="22"/>
          <w:szCs w:val="22"/>
          <w:lang w:val="es-ES"/>
        </w:rPr>
        <w:t>una lista exhaustiva</w:t>
      </w:r>
      <w:r w:rsidRPr="00D95727">
        <w:rPr>
          <w:rFonts w:ascii="Arial" w:hAnsi="Arial" w:cs="Arial"/>
          <w:b/>
          <w:sz w:val="22"/>
          <w:szCs w:val="22"/>
          <w:lang w:val="es-ES"/>
        </w:rPr>
        <w:t xml:space="preserve"> y se presentan </w:t>
      </w:r>
      <w:r w:rsidRPr="00D95727">
        <w:rPr>
          <w:rFonts w:ascii="Arial" w:hAnsi="Arial" w:cs="Arial"/>
          <w:b/>
          <w:sz w:val="22"/>
          <w:szCs w:val="22"/>
          <w:u w:val="single"/>
          <w:lang w:val="es-ES"/>
        </w:rPr>
        <w:t>únicamente como sugerencias</w:t>
      </w:r>
      <w:r w:rsidRPr="00D95727">
        <w:rPr>
          <w:rFonts w:ascii="Arial" w:hAnsi="Arial" w:cs="Arial"/>
          <w:b/>
          <w:sz w:val="22"/>
          <w:szCs w:val="22"/>
          <w:lang w:val="es-ES"/>
        </w:rPr>
        <w:t xml:space="preserve"> </w:t>
      </w:r>
      <w:r w:rsidR="00BF28D2" w:rsidRPr="00D95727">
        <w:rPr>
          <w:rFonts w:ascii="Arial" w:hAnsi="Arial" w:cs="Arial"/>
          <w:b/>
          <w:sz w:val="22"/>
          <w:szCs w:val="22"/>
          <w:lang w:val="es-ES"/>
        </w:rPr>
        <w:t>que</w:t>
      </w:r>
      <w:r w:rsidRPr="00D95727">
        <w:rPr>
          <w:rFonts w:ascii="Arial" w:hAnsi="Arial" w:cs="Arial"/>
          <w:b/>
          <w:sz w:val="22"/>
          <w:szCs w:val="22"/>
          <w:lang w:val="es-ES"/>
        </w:rPr>
        <w:t xml:space="preserve"> no prejuzgan las posturas de los Estados miembros</w:t>
      </w:r>
      <w:r w:rsidR="00A8530F" w:rsidRPr="00D95727">
        <w:rPr>
          <w:rFonts w:ascii="Arial" w:hAnsi="Arial" w:cs="Arial"/>
          <w:b/>
          <w:sz w:val="22"/>
          <w:szCs w:val="22"/>
          <w:lang w:val="es-ES"/>
        </w:rPr>
        <w:t>.</w:t>
      </w:r>
    </w:p>
    <w:p w:rsidR="00D16F07" w:rsidRPr="00D95727" w:rsidRDefault="00D16F07" w:rsidP="00C418F3">
      <w:pPr>
        <w:rPr>
          <w:rFonts w:ascii="Arial" w:hAnsi="Arial" w:cs="Arial"/>
          <w:sz w:val="22"/>
          <w:szCs w:val="22"/>
          <w:lang w:val="es-ES"/>
        </w:rPr>
      </w:pPr>
    </w:p>
    <w:p w:rsidR="00D16F07" w:rsidRPr="00D95727" w:rsidRDefault="009B58C2" w:rsidP="00C418F3">
      <w:pPr>
        <w:rPr>
          <w:rFonts w:ascii="Arial" w:hAnsi="Arial" w:cs="Arial"/>
          <w:sz w:val="22"/>
          <w:szCs w:val="22"/>
          <w:lang w:val="es-ES"/>
        </w:rPr>
      </w:pPr>
      <w:r w:rsidRPr="00D95727">
        <w:rPr>
          <w:rFonts w:ascii="Arial" w:hAnsi="Arial" w:cs="Arial"/>
          <w:sz w:val="22"/>
          <w:szCs w:val="22"/>
          <w:lang w:val="es-ES"/>
        </w:rPr>
        <w:t>Como se ha señalado ante</w:t>
      </w:r>
      <w:r w:rsidR="00BF28D2" w:rsidRPr="00D95727">
        <w:rPr>
          <w:rFonts w:ascii="Arial" w:hAnsi="Arial" w:cs="Arial"/>
          <w:sz w:val="22"/>
          <w:szCs w:val="22"/>
          <w:lang w:val="es-ES"/>
        </w:rPr>
        <w:t>s</w:t>
      </w:r>
      <w:r w:rsidRPr="00D95727">
        <w:rPr>
          <w:rFonts w:ascii="Arial" w:hAnsi="Arial" w:cs="Arial"/>
          <w:sz w:val="22"/>
          <w:szCs w:val="22"/>
          <w:lang w:val="es-ES"/>
        </w:rPr>
        <w:t>, al examinar estas opciones los miembros deben tener en cuenta la situación actual de las negociaciones, en particular</w:t>
      </w:r>
      <w:r w:rsidR="00C418F3" w:rsidRPr="00D95727">
        <w:rPr>
          <w:rFonts w:ascii="Arial" w:hAnsi="Arial" w:cs="Arial"/>
          <w:sz w:val="22"/>
          <w:szCs w:val="22"/>
          <w:lang w:val="es-ES"/>
        </w:rPr>
        <w:t>:</w:t>
      </w:r>
    </w:p>
    <w:p w:rsidR="00D16F07" w:rsidRPr="00D95727" w:rsidRDefault="00D16F07" w:rsidP="00C418F3">
      <w:pPr>
        <w:rPr>
          <w:rFonts w:ascii="Arial" w:hAnsi="Arial" w:cs="Arial"/>
          <w:sz w:val="22"/>
          <w:szCs w:val="22"/>
          <w:lang w:val="es-ES"/>
        </w:rPr>
      </w:pPr>
    </w:p>
    <w:p w:rsidR="00D16F07" w:rsidRPr="00D95727" w:rsidRDefault="000D6648" w:rsidP="00C418F3">
      <w:pPr>
        <w:numPr>
          <w:ilvl w:val="0"/>
          <w:numId w:val="16"/>
        </w:numPr>
        <w:rPr>
          <w:rFonts w:ascii="Arial" w:hAnsi="Arial" w:cs="Arial"/>
          <w:sz w:val="22"/>
          <w:szCs w:val="22"/>
          <w:lang w:val="es-ES"/>
        </w:rPr>
      </w:pPr>
      <w:r w:rsidRPr="00D95727">
        <w:rPr>
          <w:rFonts w:ascii="Arial" w:hAnsi="Arial" w:cs="Arial"/>
          <w:sz w:val="22"/>
          <w:szCs w:val="22"/>
          <w:lang w:val="es-ES"/>
        </w:rPr>
        <w:t>El grado de</w:t>
      </w:r>
      <w:r w:rsidR="009B58C2" w:rsidRPr="00D95727">
        <w:rPr>
          <w:rFonts w:ascii="Arial" w:hAnsi="Arial" w:cs="Arial"/>
          <w:sz w:val="22"/>
          <w:szCs w:val="22"/>
          <w:lang w:val="es-ES"/>
        </w:rPr>
        <w:t xml:space="preserve"> madurez de los distintos documentos de trabajo en cuanto a</w:t>
      </w:r>
      <w:r w:rsidR="00C418F3" w:rsidRPr="00D95727">
        <w:rPr>
          <w:rFonts w:ascii="Arial" w:hAnsi="Arial" w:cs="Arial"/>
          <w:sz w:val="22"/>
          <w:szCs w:val="22"/>
          <w:lang w:val="es-ES"/>
        </w:rPr>
        <w:t>:</w:t>
      </w:r>
    </w:p>
    <w:p w:rsidR="00D16F07" w:rsidRPr="00D95727" w:rsidRDefault="000D6648" w:rsidP="00C418F3">
      <w:pPr>
        <w:numPr>
          <w:ilvl w:val="1"/>
          <w:numId w:val="16"/>
        </w:numPr>
        <w:rPr>
          <w:rFonts w:ascii="Arial" w:hAnsi="Arial" w:cs="Arial"/>
          <w:sz w:val="22"/>
          <w:szCs w:val="22"/>
          <w:lang w:val="es-ES"/>
        </w:rPr>
      </w:pPr>
      <w:r w:rsidRPr="00D95727">
        <w:rPr>
          <w:rFonts w:ascii="Arial" w:hAnsi="Arial" w:cs="Arial"/>
          <w:sz w:val="22"/>
          <w:szCs w:val="22"/>
          <w:lang w:val="es-ES"/>
        </w:rPr>
        <w:t xml:space="preserve">la </w:t>
      </w:r>
      <w:r w:rsidR="009B58C2" w:rsidRPr="00D95727">
        <w:rPr>
          <w:rFonts w:ascii="Arial" w:hAnsi="Arial" w:cs="Arial"/>
          <w:sz w:val="22"/>
          <w:szCs w:val="22"/>
          <w:lang w:val="es-ES"/>
        </w:rPr>
        <w:t xml:space="preserve">solución de las cuestiones </w:t>
      </w:r>
      <w:r w:rsidRPr="00D95727">
        <w:rPr>
          <w:rFonts w:ascii="Arial" w:hAnsi="Arial" w:cs="Arial"/>
          <w:sz w:val="22"/>
          <w:szCs w:val="22"/>
          <w:lang w:val="es-ES"/>
        </w:rPr>
        <w:t>esenciales</w:t>
      </w:r>
      <w:r w:rsidR="00BF28D2" w:rsidRPr="00D95727">
        <w:rPr>
          <w:rFonts w:ascii="Arial" w:hAnsi="Arial" w:cs="Arial"/>
          <w:sz w:val="22"/>
          <w:szCs w:val="22"/>
          <w:lang w:val="es-ES"/>
        </w:rPr>
        <w:t>;</w:t>
      </w:r>
    </w:p>
    <w:p w:rsidR="00D16F07" w:rsidRPr="00D95727" w:rsidRDefault="000D6648" w:rsidP="00D16F07">
      <w:pPr>
        <w:numPr>
          <w:ilvl w:val="1"/>
          <w:numId w:val="16"/>
        </w:numPr>
        <w:rPr>
          <w:rFonts w:ascii="Arial" w:hAnsi="Arial" w:cs="Arial"/>
          <w:sz w:val="22"/>
          <w:szCs w:val="22"/>
          <w:lang w:val="es-ES"/>
        </w:rPr>
      </w:pPr>
      <w:r w:rsidRPr="00D95727">
        <w:rPr>
          <w:rFonts w:ascii="Arial" w:hAnsi="Arial" w:cs="Arial"/>
          <w:sz w:val="22"/>
          <w:szCs w:val="22"/>
          <w:lang w:val="es-ES"/>
        </w:rPr>
        <w:t xml:space="preserve">el </w:t>
      </w:r>
      <w:r w:rsidR="009B58C2" w:rsidRPr="00D95727">
        <w:rPr>
          <w:rFonts w:ascii="Arial" w:hAnsi="Arial" w:cs="Arial"/>
          <w:sz w:val="22"/>
          <w:szCs w:val="22"/>
          <w:lang w:val="es-ES"/>
        </w:rPr>
        <w:t>nivel de consenso</w:t>
      </w:r>
      <w:r w:rsidR="00C2055C" w:rsidRPr="00D95727">
        <w:rPr>
          <w:rFonts w:ascii="Arial" w:hAnsi="Arial" w:cs="Arial"/>
          <w:sz w:val="22"/>
          <w:szCs w:val="22"/>
          <w:lang w:val="es-ES"/>
        </w:rPr>
        <w:t xml:space="preserve">; </w:t>
      </w:r>
      <w:r w:rsidR="007323AB" w:rsidRPr="00D95727">
        <w:rPr>
          <w:rFonts w:ascii="Arial" w:hAnsi="Arial" w:cs="Arial"/>
          <w:sz w:val="22"/>
          <w:szCs w:val="22"/>
          <w:lang w:val="es-ES"/>
        </w:rPr>
        <w:t xml:space="preserve"> </w:t>
      </w:r>
      <w:r w:rsidR="009B58C2" w:rsidRPr="00D95727">
        <w:rPr>
          <w:rFonts w:ascii="Arial" w:hAnsi="Arial" w:cs="Arial"/>
          <w:sz w:val="22"/>
          <w:szCs w:val="22"/>
          <w:lang w:val="es-ES"/>
        </w:rPr>
        <w:t>y</w:t>
      </w:r>
    </w:p>
    <w:p w:rsidR="00D16F07" w:rsidRPr="00D95727" w:rsidRDefault="000D6648" w:rsidP="00C418F3">
      <w:pPr>
        <w:numPr>
          <w:ilvl w:val="1"/>
          <w:numId w:val="16"/>
        </w:numPr>
        <w:rPr>
          <w:rFonts w:ascii="Arial" w:hAnsi="Arial" w:cs="Arial"/>
          <w:sz w:val="22"/>
          <w:szCs w:val="22"/>
          <w:lang w:val="es-ES"/>
        </w:rPr>
      </w:pPr>
      <w:r w:rsidRPr="00D95727">
        <w:rPr>
          <w:rFonts w:ascii="Arial" w:hAnsi="Arial" w:cs="Arial"/>
          <w:sz w:val="22"/>
          <w:szCs w:val="22"/>
          <w:lang w:val="es-ES"/>
        </w:rPr>
        <w:t xml:space="preserve">el </w:t>
      </w:r>
      <w:r w:rsidR="009B58C2" w:rsidRPr="00D95727">
        <w:rPr>
          <w:rFonts w:ascii="Arial" w:hAnsi="Arial" w:cs="Arial"/>
          <w:sz w:val="22"/>
          <w:szCs w:val="22"/>
          <w:lang w:val="es-ES"/>
        </w:rPr>
        <w:t>número de cuestiones pendientes de solución</w:t>
      </w:r>
      <w:r w:rsidR="00C418F3" w:rsidRPr="00D95727">
        <w:rPr>
          <w:rFonts w:ascii="Arial" w:hAnsi="Arial" w:cs="Arial"/>
          <w:sz w:val="22"/>
          <w:szCs w:val="22"/>
          <w:lang w:val="es-ES"/>
        </w:rPr>
        <w:t>.</w:t>
      </w:r>
    </w:p>
    <w:p w:rsidR="00D16F07" w:rsidRPr="00D95727" w:rsidRDefault="009B58C2" w:rsidP="00C418F3">
      <w:pPr>
        <w:numPr>
          <w:ilvl w:val="0"/>
          <w:numId w:val="16"/>
        </w:numPr>
        <w:rPr>
          <w:rFonts w:ascii="Arial" w:hAnsi="Arial" w:cs="Arial"/>
          <w:sz w:val="22"/>
          <w:szCs w:val="22"/>
          <w:lang w:val="es-ES"/>
        </w:rPr>
      </w:pPr>
      <w:r w:rsidRPr="00D95727">
        <w:rPr>
          <w:rFonts w:ascii="Arial" w:hAnsi="Arial" w:cs="Arial"/>
          <w:sz w:val="22"/>
          <w:szCs w:val="22"/>
          <w:lang w:val="es-ES"/>
        </w:rPr>
        <w:t>La forma del</w:t>
      </w:r>
      <w:r w:rsidR="000D6648" w:rsidRPr="00D95727">
        <w:rPr>
          <w:rFonts w:ascii="Arial" w:hAnsi="Arial" w:cs="Arial"/>
          <w:sz w:val="22"/>
          <w:szCs w:val="22"/>
          <w:lang w:val="es-ES"/>
        </w:rPr>
        <w:t xml:space="preserve"> instrumento o </w:t>
      </w:r>
      <w:r w:rsidRPr="00D95727">
        <w:rPr>
          <w:rFonts w:ascii="Arial" w:hAnsi="Arial" w:cs="Arial"/>
          <w:sz w:val="22"/>
          <w:szCs w:val="22"/>
          <w:lang w:val="es-ES"/>
        </w:rPr>
        <w:t>instrumento</w:t>
      </w:r>
      <w:r w:rsidR="00C418F3" w:rsidRPr="00D95727">
        <w:rPr>
          <w:rFonts w:ascii="Arial" w:hAnsi="Arial" w:cs="Arial"/>
          <w:sz w:val="22"/>
          <w:szCs w:val="22"/>
          <w:lang w:val="es-ES"/>
        </w:rPr>
        <w:t>s.</w:t>
      </w:r>
    </w:p>
    <w:p w:rsidR="00D16F07" w:rsidRPr="00D95727" w:rsidRDefault="000D6648" w:rsidP="00C418F3">
      <w:pPr>
        <w:numPr>
          <w:ilvl w:val="0"/>
          <w:numId w:val="16"/>
        </w:numPr>
        <w:rPr>
          <w:rFonts w:ascii="Arial" w:hAnsi="Arial" w:cs="Arial"/>
          <w:sz w:val="22"/>
          <w:szCs w:val="22"/>
          <w:lang w:val="es-ES"/>
        </w:rPr>
      </w:pPr>
      <w:r w:rsidRPr="00D95727">
        <w:rPr>
          <w:rFonts w:ascii="Arial" w:hAnsi="Arial" w:cs="Arial"/>
          <w:sz w:val="22"/>
          <w:szCs w:val="22"/>
          <w:lang w:val="es-ES"/>
        </w:rPr>
        <w:t xml:space="preserve">La disposición actual </w:t>
      </w:r>
      <w:r w:rsidR="00BF28D2" w:rsidRPr="00D95727">
        <w:rPr>
          <w:rFonts w:ascii="Arial" w:hAnsi="Arial" w:cs="Arial"/>
          <w:sz w:val="22"/>
          <w:szCs w:val="22"/>
          <w:lang w:val="es-ES"/>
        </w:rPr>
        <w:t>a</w:t>
      </w:r>
      <w:r w:rsidRPr="00D95727">
        <w:rPr>
          <w:rFonts w:ascii="Arial" w:hAnsi="Arial" w:cs="Arial"/>
          <w:sz w:val="22"/>
          <w:szCs w:val="22"/>
          <w:lang w:val="es-ES"/>
        </w:rPr>
        <w:t xml:space="preserve"> adoptar decisiones políticas, por ejemplo en una conferencia diplomática.</w:t>
      </w:r>
    </w:p>
    <w:p w:rsidR="00D16F07" w:rsidRPr="00D95727" w:rsidRDefault="00D16F07" w:rsidP="00C418F3">
      <w:pPr>
        <w:rPr>
          <w:rFonts w:ascii="Arial" w:hAnsi="Arial" w:cs="Arial"/>
          <w:sz w:val="22"/>
          <w:szCs w:val="22"/>
          <w:lang w:val="es-ES"/>
        </w:rPr>
      </w:pPr>
    </w:p>
    <w:p w:rsidR="00D16F07" w:rsidRPr="00D95727" w:rsidRDefault="000D6648" w:rsidP="00C418F3">
      <w:pPr>
        <w:rPr>
          <w:rFonts w:ascii="Arial" w:hAnsi="Arial" w:cs="Arial"/>
          <w:sz w:val="22"/>
          <w:szCs w:val="22"/>
          <w:lang w:val="es-ES"/>
        </w:rPr>
      </w:pPr>
      <w:r w:rsidRPr="00D95727">
        <w:rPr>
          <w:rFonts w:ascii="Arial" w:hAnsi="Arial" w:cs="Arial"/>
          <w:sz w:val="22"/>
          <w:szCs w:val="22"/>
          <w:lang w:val="es-ES"/>
        </w:rPr>
        <w:t xml:space="preserve">Las cuestiones que planteé al comienzo de esta nota y </w:t>
      </w:r>
      <w:r w:rsidR="001815CC" w:rsidRPr="00D95727">
        <w:rPr>
          <w:rFonts w:ascii="Arial" w:hAnsi="Arial" w:cs="Arial"/>
          <w:sz w:val="22"/>
          <w:szCs w:val="22"/>
          <w:lang w:val="es-ES"/>
        </w:rPr>
        <w:t>el examen de</w:t>
      </w:r>
      <w:r w:rsidRPr="00D95727">
        <w:rPr>
          <w:rFonts w:ascii="Arial" w:hAnsi="Arial" w:cs="Arial"/>
          <w:sz w:val="22"/>
          <w:szCs w:val="22"/>
          <w:lang w:val="es-ES"/>
        </w:rPr>
        <w:t xml:space="preserve"> la situación de las negociaciones </w:t>
      </w:r>
      <w:r w:rsidR="009A0645" w:rsidRPr="00D95727">
        <w:rPr>
          <w:rFonts w:ascii="Arial" w:hAnsi="Arial" w:cs="Arial"/>
          <w:sz w:val="22"/>
          <w:szCs w:val="22"/>
          <w:lang w:val="es-ES"/>
        </w:rPr>
        <w:t>han servido</w:t>
      </w:r>
      <w:r w:rsidRPr="00D95727">
        <w:rPr>
          <w:rFonts w:ascii="Arial" w:hAnsi="Arial" w:cs="Arial"/>
          <w:sz w:val="22"/>
          <w:szCs w:val="22"/>
          <w:lang w:val="es-ES"/>
        </w:rPr>
        <w:t xml:space="preserve"> para desarrollar las opciones que se pr</w:t>
      </w:r>
      <w:r w:rsidR="009A0645" w:rsidRPr="00D95727">
        <w:rPr>
          <w:rFonts w:ascii="Arial" w:hAnsi="Arial" w:cs="Arial"/>
          <w:sz w:val="22"/>
          <w:szCs w:val="22"/>
          <w:lang w:val="es-ES"/>
        </w:rPr>
        <w:t>e</w:t>
      </w:r>
      <w:r w:rsidRPr="00D95727">
        <w:rPr>
          <w:rFonts w:ascii="Arial" w:hAnsi="Arial" w:cs="Arial"/>
          <w:sz w:val="22"/>
          <w:szCs w:val="22"/>
          <w:lang w:val="es-ES"/>
        </w:rPr>
        <w:t xml:space="preserve">sentan </w:t>
      </w:r>
      <w:r w:rsidR="009A0645" w:rsidRPr="00D95727">
        <w:rPr>
          <w:rFonts w:ascii="Arial" w:hAnsi="Arial" w:cs="Arial"/>
          <w:sz w:val="22"/>
          <w:szCs w:val="22"/>
          <w:lang w:val="es-ES"/>
        </w:rPr>
        <w:t>a continuación</w:t>
      </w:r>
      <w:r w:rsidRPr="00D95727">
        <w:rPr>
          <w:rFonts w:ascii="Arial" w:hAnsi="Arial" w:cs="Arial"/>
          <w:sz w:val="22"/>
          <w:szCs w:val="22"/>
          <w:lang w:val="es-ES"/>
        </w:rPr>
        <w:t xml:space="preserve"> como una lista </w:t>
      </w:r>
      <w:r w:rsidR="009A0645" w:rsidRPr="00D95727">
        <w:rPr>
          <w:rFonts w:ascii="Arial" w:hAnsi="Arial" w:cs="Arial"/>
          <w:sz w:val="22"/>
          <w:szCs w:val="22"/>
          <w:lang w:val="es-ES"/>
        </w:rPr>
        <w:t>corta</w:t>
      </w:r>
      <w:r w:rsidRPr="00D95727">
        <w:rPr>
          <w:rFonts w:ascii="Arial" w:hAnsi="Arial" w:cs="Arial"/>
          <w:sz w:val="22"/>
          <w:szCs w:val="22"/>
          <w:lang w:val="es-ES"/>
        </w:rPr>
        <w:t xml:space="preserve"> de opciones de al</w:t>
      </w:r>
      <w:r w:rsidR="009A0645" w:rsidRPr="00D95727">
        <w:rPr>
          <w:rFonts w:ascii="Arial" w:hAnsi="Arial" w:cs="Arial"/>
          <w:sz w:val="22"/>
          <w:szCs w:val="22"/>
          <w:lang w:val="es-ES"/>
        </w:rPr>
        <w:t>t</w:t>
      </w:r>
      <w:r w:rsidRPr="00D95727">
        <w:rPr>
          <w:rFonts w:ascii="Arial" w:hAnsi="Arial" w:cs="Arial"/>
          <w:sz w:val="22"/>
          <w:szCs w:val="22"/>
          <w:lang w:val="es-ES"/>
        </w:rPr>
        <w:t xml:space="preserve">o nivel, y que se </w:t>
      </w:r>
      <w:r w:rsidR="009A0645" w:rsidRPr="00D95727">
        <w:rPr>
          <w:rFonts w:ascii="Arial" w:hAnsi="Arial" w:cs="Arial"/>
          <w:sz w:val="22"/>
          <w:szCs w:val="22"/>
          <w:lang w:val="es-ES"/>
        </w:rPr>
        <w:t>despliegan</w:t>
      </w:r>
      <w:r w:rsidRPr="00D95727">
        <w:rPr>
          <w:rFonts w:ascii="Arial" w:hAnsi="Arial" w:cs="Arial"/>
          <w:sz w:val="22"/>
          <w:szCs w:val="22"/>
          <w:lang w:val="es-ES"/>
        </w:rPr>
        <w:t xml:space="preserve"> </w:t>
      </w:r>
      <w:r w:rsidR="009A0645" w:rsidRPr="00D95727">
        <w:rPr>
          <w:rFonts w:ascii="Arial" w:hAnsi="Arial" w:cs="Arial"/>
          <w:sz w:val="22"/>
          <w:szCs w:val="22"/>
          <w:lang w:val="es-ES"/>
        </w:rPr>
        <w:t xml:space="preserve">posteriormente </w:t>
      </w:r>
      <w:r w:rsidRPr="00D95727">
        <w:rPr>
          <w:rFonts w:ascii="Arial" w:hAnsi="Arial" w:cs="Arial"/>
          <w:sz w:val="22"/>
          <w:szCs w:val="22"/>
          <w:lang w:val="es-ES"/>
        </w:rPr>
        <w:t xml:space="preserve">en una lista más detallada </w:t>
      </w:r>
      <w:r w:rsidR="009A0645" w:rsidRPr="00D95727">
        <w:rPr>
          <w:rFonts w:ascii="Arial" w:hAnsi="Arial" w:cs="Arial"/>
          <w:sz w:val="22"/>
          <w:szCs w:val="22"/>
          <w:lang w:val="es-ES"/>
        </w:rPr>
        <w:t>para reflejar</w:t>
      </w:r>
      <w:r w:rsidRPr="00D95727">
        <w:rPr>
          <w:rFonts w:ascii="Arial" w:hAnsi="Arial" w:cs="Arial"/>
          <w:sz w:val="22"/>
          <w:szCs w:val="22"/>
          <w:lang w:val="es-ES"/>
        </w:rPr>
        <w:t xml:space="preserve"> </w:t>
      </w:r>
      <w:r w:rsidR="009A0645" w:rsidRPr="00D95727">
        <w:rPr>
          <w:rFonts w:ascii="Arial" w:hAnsi="Arial" w:cs="Arial"/>
          <w:sz w:val="22"/>
          <w:szCs w:val="22"/>
          <w:lang w:val="es-ES"/>
        </w:rPr>
        <w:t>las distintas variantes que existen dentro de</w:t>
      </w:r>
      <w:r w:rsidRPr="00D95727">
        <w:rPr>
          <w:rFonts w:ascii="Arial" w:hAnsi="Arial" w:cs="Arial"/>
          <w:sz w:val="22"/>
          <w:szCs w:val="22"/>
          <w:lang w:val="es-ES"/>
        </w:rPr>
        <w:t xml:space="preserve"> </w:t>
      </w:r>
      <w:r w:rsidR="009A0645" w:rsidRPr="00D95727">
        <w:rPr>
          <w:rFonts w:ascii="Arial" w:hAnsi="Arial" w:cs="Arial"/>
          <w:sz w:val="22"/>
          <w:szCs w:val="22"/>
          <w:lang w:val="es-ES"/>
        </w:rPr>
        <w:t>cada</w:t>
      </w:r>
      <w:r w:rsidRPr="00D95727">
        <w:rPr>
          <w:rFonts w:ascii="Arial" w:hAnsi="Arial" w:cs="Arial"/>
          <w:sz w:val="22"/>
          <w:szCs w:val="22"/>
          <w:lang w:val="es-ES"/>
        </w:rPr>
        <w:t xml:space="preserve"> opción de alto nivel.</w:t>
      </w:r>
    </w:p>
    <w:p w:rsidR="00D16F07" w:rsidRPr="00D95727" w:rsidRDefault="00D16F07" w:rsidP="00C418F3">
      <w:pPr>
        <w:rPr>
          <w:rFonts w:ascii="Arial" w:hAnsi="Arial" w:cs="Arial"/>
          <w:sz w:val="22"/>
          <w:szCs w:val="22"/>
          <w:lang w:val="es-ES"/>
        </w:rPr>
      </w:pPr>
    </w:p>
    <w:p w:rsidR="00D16F07" w:rsidRPr="00D95727" w:rsidRDefault="000D6648" w:rsidP="00C418F3">
      <w:pPr>
        <w:rPr>
          <w:rFonts w:ascii="Arial" w:hAnsi="Arial" w:cs="Arial"/>
          <w:sz w:val="22"/>
          <w:szCs w:val="22"/>
          <w:lang w:val="es-ES"/>
        </w:rPr>
      </w:pPr>
      <w:r w:rsidRPr="00D95727">
        <w:rPr>
          <w:rFonts w:ascii="Arial" w:hAnsi="Arial" w:cs="Arial"/>
          <w:sz w:val="22"/>
          <w:szCs w:val="22"/>
          <w:lang w:val="es-ES"/>
        </w:rPr>
        <w:t xml:space="preserve">Como </w:t>
      </w:r>
      <w:r w:rsidR="005A5AB3" w:rsidRPr="00D95727">
        <w:rPr>
          <w:rFonts w:ascii="Arial" w:hAnsi="Arial" w:cs="Arial"/>
          <w:sz w:val="22"/>
          <w:szCs w:val="22"/>
          <w:lang w:val="es-ES"/>
        </w:rPr>
        <w:t xml:space="preserve">ya </w:t>
      </w:r>
      <w:r w:rsidR="003C5E79" w:rsidRPr="00D95727">
        <w:rPr>
          <w:rFonts w:ascii="Arial" w:hAnsi="Arial" w:cs="Arial"/>
          <w:sz w:val="22"/>
          <w:szCs w:val="22"/>
          <w:lang w:val="es-ES"/>
        </w:rPr>
        <w:t>se ha señalado</w:t>
      </w:r>
      <w:r w:rsidR="00B00687" w:rsidRPr="00D95727">
        <w:rPr>
          <w:rFonts w:ascii="Arial" w:hAnsi="Arial" w:cs="Arial"/>
          <w:sz w:val="22"/>
          <w:szCs w:val="22"/>
          <w:lang w:val="es-ES"/>
        </w:rPr>
        <w:t xml:space="preserve">, </w:t>
      </w:r>
      <w:r w:rsidR="003C5E79" w:rsidRPr="00D95727">
        <w:rPr>
          <w:rFonts w:ascii="Arial" w:hAnsi="Arial" w:cs="Arial"/>
          <w:sz w:val="22"/>
          <w:szCs w:val="22"/>
          <w:lang w:val="es-ES"/>
        </w:rPr>
        <w:t>el CIG también puede considerar la posibilidad de convertirse en un comité permanente</w:t>
      </w:r>
      <w:r w:rsidR="00F515BE" w:rsidRPr="00D95727">
        <w:rPr>
          <w:rFonts w:ascii="Arial" w:hAnsi="Arial" w:cs="Arial"/>
          <w:sz w:val="22"/>
          <w:szCs w:val="22"/>
          <w:lang w:val="es-ES"/>
        </w:rPr>
        <w:t xml:space="preserve">.  </w:t>
      </w:r>
      <w:r w:rsidR="003C5E79" w:rsidRPr="00D95727">
        <w:rPr>
          <w:rFonts w:ascii="Arial" w:hAnsi="Arial" w:cs="Arial"/>
          <w:sz w:val="22"/>
          <w:szCs w:val="22"/>
          <w:lang w:val="es-ES"/>
        </w:rPr>
        <w:t>Esta opción puede tener ventajas e inconvenientes desde la pers</w:t>
      </w:r>
      <w:r w:rsidR="00C77429" w:rsidRPr="00D95727">
        <w:rPr>
          <w:rFonts w:ascii="Arial" w:hAnsi="Arial" w:cs="Arial"/>
          <w:sz w:val="22"/>
          <w:szCs w:val="22"/>
          <w:lang w:val="es-ES"/>
        </w:rPr>
        <w:t>p</w:t>
      </w:r>
      <w:r w:rsidR="003C5E79" w:rsidRPr="00D95727">
        <w:rPr>
          <w:rFonts w:ascii="Arial" w:hAnsi="Arial" w:cs="Arial"/>
          <w:sz w:val="22"/>
          <w:szCs w:val="22"/>
          <w:lang w:val="es-ES"/>
        </w:rPr>
        <w:t>ectiva de distintas partes interesadas</w:t>
      </w:r>
      <w:r w:rsidR="00F515BE" w:rsidRPr="00D95727">
        <w:rPr>
          <w:rFonts w:ascii="Arial" w:hAnsi="Arial" w:cs="Arial"/>
          <w:sz w:val="22"/>
          <w:szCs w:val="22"/>
          <w:lang w:val="es-ES"/>
        </w:rPr>
        <w:t xml:space="preserve">.  </w:t>
      </w:r>
      <w:r w:rsidR="003C5E79" w:rsidRPr="00D95727">
        <w:rPr>
          <w:rFonts w:ascii="Arial" w:hAnsi="Arial" w:cs="Arial"/>
          <w:sz w:val="22"/>
          <w:szCs w:val="22"/>
          <w:lang w:val="es-ES"/>
        </w:rPr>
        <w:t>No he incluido el comité permanente como una opción específica independiente por considerar que se trata más bien de una cuestión de gobernanza</w:t>
      </w:r>
      <w:r w:rsidR="00F515BE" w:rsidRPr="00D95727">
        <w:rPr>
          <w:rFonts w:ascii="Arial" w:hAnsi="Arial" w:cs="Arial"/>
          <w:sz w:val="22"/>
          <w:szCs w:val="22"/>
          <w:lang w:val="es-ES"/>
        </w:rPr>
        <w:t xml:space="preserve">.  </w:t>
      </w:r>
      <w:r w:rsidR="00C77429" w:rsidRPr="00D95727">
        <w:rPr>
          <w:rFonts w:ascii="Arial" w:hAnsi="Arial" w:cs="Arial"/>
          <w:sz w:val="22"/>
          <w:szCs w:val="22"/>
          <w:lang w:val="es-ES"/>
        </w:rPr>
        <w:t>En el caso de que</w:t>
      </w:r>
      <w:r w:rsidR="003C5E79" w:rsidRPr="00D95727">
        <w:rPr>
          <w:rFonts w:ascii="Arial" w:hAnsi="Arial" w:cs="Arial"/>
          <w:sz w:val="22"/>
          <w:szCs w:val="22"/>
          <w:lang w:val="es-ES"/>
        </w:rPr>
        <w:t xml:space="preserve"> el CIG se convirtiera en un comité permanente, los Estados miembros deberían llegar a un consenso sobre su mandato, metodología de trabajo, programa de trabajo y </w:t>
      </w:r>
      <w:r w:rsidR="00C77429" w:rsidRPr="00D95727">
        <w:rPr>
          <w:rFonts w:ascii="Arial" w:hAnsi="Arial" w:cs="Arial"/>
          <w:sz w:val="22"/>
          <w:szCs w:val="22"/>
          <w:lang w:val="es-ES"/>
        </w:rPr>
        <w:t>reglamento interno</w:t>
      </w:r>
      <w:r w:rsidR="00B00687" w:rsidRPr="00D95727">
        <w:rPr>
          <w:rFonts w:ascii="Arial" w:hAnsi="Arial" w:cs="Arial"/>
          <w:sz w:val="22"/>
          <w:szCs w:val="22"/>
          <w:lang w:val="es-ES"/>
        </w:rPr>
        <w:t>.</w:t>
      </w:r>
    </w:p>
    <w:p w:rsidR="00D16F07" w:rsidRPr="00D95727" w:rsidRDefault="00D16F07" w:rsidP="00C02C62">
      <w:pPr>
        <w:rPr>
          <w:rFonts w:ascii="Arial" w:hAnsi="Arial" w:cs="Arial"/>
          <w:sz w:val="22"/>
          <w:szCs w:val="22"/>
          <w:lang w:val="es-ES"/>
        </w:rPr>
      </w:pPr>
    </w:p>
    <w:p w:rsidR="00D16F07" w:rsidRPr="00D95727" w:rsidRDefault="00D16F07" w:rsidP="00C02C62">
      <w:pPr>
        <w:rPr>
          <w:rFonts w:ascii="Arial" w:hAnsi="Arial" w:cs="Arial"/>
          <w:sz w:val="22"/>
          <w:szCs w:val="22"/>
          <w:lang w:val="es-ES"/>
        </w:rPr>
      </w:pPr>
    </w:p>
    <w:p w:rsidR="00D16F07" w:rsidRPr="00D95727" w:rsidRDefault="00D16F07" w:rsidP="00125B7F">
      <w:pPr>
        <w:rPr>
          <w:rFonts w:ascii="Arial" w:hAnsi="Arial" w:cs="Arial"/>
          <w:sz w:val="22"/>
          <w:szCs w:val="22"/>
          <w:lang w:val="es-ES"/>
        </w:rPr>
      </w:pPr>
    </w:p>
    <w:p w:rsidR="00D16F07" w:rsidRPr="00D95727" w:rsidRDefault="00D16F07" w:rsidP="00D16F07">
      <w:pPr>
        <w:ind w:left="5490"/>
        <w:rPr>
          <w:rFonts w:ascii="Arial" w:hAnsi="Arial" w:cs="Arial"/>
          <w:sz w:val="22"/>
          <w:szCs w:val="22"/>
          <w:lang w:val="es-ES"/>
        </w:rPr>
      </w:pPr>
      <w:r w:rsidRPr="00D95727">
        <w:rPr>
          <w:rFonts w:ascii="Arial" w:hAnsi="Arial" w:cs="Arial"/>
          <w:sz w:val="22"/>
          <w:szCs w:val="22"/>
          <w:lang w:val="es-ES"/>
        </w:rPr>
        <w:t>[Sigue el Anexo]</w:t>
      </w:r>
    </w:p>
    <w:p w:rsidR="00D16F07" w:rsidRPr="00D95727" w:rsidRDefault="00D16F07" w:rsidP="00C02C62">
      <w:pPr>
        <w:rPr>
          <w:rFonts w:ascii="Arial" w:hAnsi="Arial" w:cs="Arial"/>
          <w:sz w:val="22"/>
          <w:szCs w:val="22"/>
          <w:lang w:val="es-ES"/>
        </w:rPr>
      </w:pPr>
    </w:p>
    <w:p w:rsidR="00D16F07" w:rsidRPr="00D95727" w:rsidRDefault="00D16F07" w:rsidP="00C02C62">
      <w:pPr>
        <w:rPr>
          <w:rFonts w:ascii="Arial" w:hAnsi="Arial" w:cs="Arial"/>
          <w:sz w:val="22"/>
          <w:szCs w:val="22"/>
          <w:lang w:val="es-ES"/>
        </w:rPr>
      </w:pPr>
    </w:p>
    <w:p w:rsidR="00D16F07" w:rsidRPr="00D95727" w:rsidRDefault="00D16F07" w:rsidP="00C02C62">
      <w:pPr>
        <w:rPr>
          <w:rFonts w:ascii="Arial" w:hAnsi="Arial" w:cs="Arial"/>
          <w:sz w:val="22"/>
          <w:szCs w:val="22"/>
          <w:lang w:val="es-ES"/>
        </w:rPr>
      </w:pPr>
    </w:p>
    <w:p w:rsidR="00125B7F" w:rsidRPr="00D95727" w:rsidRDefault="00125B7F" w:rsidP="00C02C62">
      <w:pPr>
        <w:rPr>
          <w:rFonts w:ascii="Arial" w:hAnsi="Arial" w:cs="Arial"/>
          <w:sz w:val="22"/>
          <w:szCs w:val="22"/>
          <w:lang w:val="es-ES"/>
        </w:rPr>
        <w:sectPr w:rsidR="00125B7F" w:rsidRPr="00D95727" w:rsidSect="005E280F">
          <w:headerReference w:type="default" r:id="rId9"/>
          <w:footerReference w:type="default" r:id="rId10"/>
          <w:footnotePr>
            <w:numRestart w:val="eachSect"/>
          </w:footnotePr>
          <w:pgSz w:w="11909" w:h="16834" w:code="9"/>
          <w:pgMar w:top="1134" w:right="1418" w:bottom="1418" w:left="1418" w:header="510" w:footer="1021" w:gutter="0"/>
          <w:pgNumType w:start="1"/>
          <w:cols w:space="720"/>
          <w:titlePg/>
          <w:docGrid w:linePitch="360"/>
        </w:sectPr>
      </w:pPr>
    </w:p>
    <w:p w:rsidR="00D16F07" w:rsidRPr="00D95727" w:rsidRDefault="00CC75CD" w:rsidP="00D16F07">
      <w:pPr>
        <w:ind w:left="90"/>
        <w:outlineLvl w:val="0"/>
        <w:rPr>
          <w:rFonts w:ascii="Arial" w:hAnsi="Arial" w:cs="Arial"/>
          <w:b/>
          <w:sz w:val="22"/>
          <w:szCs w:val="22"/>
          <w:lang w:val="es-ES"/>
        </w:rPr>
      </w:pPr>
      <w:r w:rsidRPr="00D95727">
        <w:rPr>
          <w:rFonts w:ascii="Arial" w:hAnsi="Arial" w:cs="Arial"/>
          <w:b/>
          <w:sz w:val="22"/>
          <w:szCs w:val="22"/>
          <w:lang w:val="es-ES"/>
        </w:rPr>
        <w:lastRenderedPageBreak/>
        <w:t xml:space="preserve">Anexo </w:t>
      </w:r>
      <w:r w:rsidR="00D16F07" w:rsidRPr="00D95727">
        <w:rPr>
          <w:rFonts w:ascii="Arial" w:hAnsi="Arial" w:cs="Arial"/>
          <w:b/>
          <w:sz w:val="22"/>
          <w:szCs w:val="22"/>
          <w:lang w:val="es-ES"/>
        </w:rPr>
        <w:t>I</w:t>
      </w:r>
    </w:p>
    <w:p w:rsidR="00D16F07" w:rsidRPr="00D95727" w:rsidRDefault="00D16F07" w:rsidP="008B4365">
      <w:pPr>
        <w:ind w:left="90"/>
        <w:rPr>
          <w:rFonts w:ascii="Arial" w:hAnsi="Arial" w:cs="Arial"/>
          <w:b/>
          <w:sz w:val="22"/>
          <w:szCs w:val="22"/>
          <w:lang w:val="es-ES"/>
        </w:rPr>
      </w:pPr>
    </w:p>
    <w:p w:rsidR="00D16F07" w:rsidRPr="00D95727" w:rsidRDefault="00D16F07" w:rsidP="008B4365">
      <w:pPr>
        <w:ind w:left="90"/>
        <w:rPr>
          <w:rFonts w:ascii="Arial" w:hAnsi="Arial" w:cs="Arial"/>
          <w:b/>
          <w:sz w:val="22"/>
          <w:szCs w:val="22"/>
          <w:lang w:val="es-ES"/>
        </w:rPr>
      </w:pPr>
    </w:p>
    <w:p w:rsidR="00D16F07" w:rsidRPr="00D95727" w:rsidRDefault="00403459" w:rsidP="008B4365">
      <w:pPr>
        <w:ind w:left="90"/>
        <w:outlineLvl w:val="0"/>
        <w:rPr>
          <w:rFonts w:ascii="Arial" w:hAnsi="Arial" w:cs="Arial"/>
          <w:b/>
          <w:sz w:val="22"/>
          <w:szCs w:val="22"/>
          <w:lang w:val="es-ES"/>
        </w:rPr>
      </w:pPr>
      <w:r w:rsidRPr="00D95727">
        <w:rPr>
          <w:rFonts w:ascii="Arial" w:hAnsi="Arial" w:cs="Arial"/>
          <w:b/>
          <w:sz w:val="22"/>
          <w:szCs w:val="22"/>
          <w:lang w:val="es-ES"/>
        </w:rPr>
        <w:t>POSIBLE</w:t>
      </w:r>
      <w:r w:rsidR="003B36C7" w:rsidRPr="00D95727">
        <w:rPr>
          <w:rFonts w:ascii="Arial" w:hAnsi="Arial" w:cs="Arial"/>
          <w:b/>
          <w:sz w:val="22"/>
          <w:szCs w:val="22"/>
          <w:lang w:val="es-ES"/>
        </w:rPr>
        <w:t>S</w:t>
      </w:r>
      <w:r w:rsidR="000D6648" w:rsidRPr="00D95727">
        <w:rPr>
          <w:rFonts w:ascii="Arial" w:hAnsi="Arial" w:cs="Arial"/>
          <w:b/>
          <w:sz w:val="22"/>
          <w:szCs w:val="22"/>
          <w:lang w:val="es-ES"/>
        </w:rPr>
        <w:t xml:space="preserve"> </w:t>
      </w:r>
      <w:r w:rsidR="003B36C7" w:rsidRPr="00D95727">
        <w:rPr>
          <w:rFonts w:ascii="Arial" w:hAnsi="Arial" w:cs="Arial"/>
          <w:b/>
          <w:sz w:val="22"/>
          <w:szCs w:val="22"/>
          <w:lang w:val="es-ES"/>
        </w:rPr>
        <w:t>OPC</w:t>
      </w:r>
      <w:r w:rsidRPr="00D95727">
        <w:rPr>
          <w:rFonts w:ascii="Arial" w:hAnsi="Arial" w:cs="Arial"/>
          <w:b/>
          <w:sz w:val="22"/>
          <w:szCs w:val="22"/>
          <w:lang w:val="es-ES"/>
        </w:rPr>
        <w:t>ION</w:t>
      </w:r>
      <w:r w:rsidR="003B36C7" w:rsidRPr="00D95727">
        <w:rPr>
          <w:rFonts w:ascii="Arial" w:hAnsi="Arial" w:cs="Arial"/>
          <w:b/>
          <w:sz w:val="22"/>
          <w:szCs w:val="22"/>
          <w:lang w:val="es-ES"/>
        </w:rPr>
        <w:t>E</w:t>
      </w:r>
      <w:r w:rsidRPr="00D95727">
        <w:rPr>
          <w:rFonts w:ascii="Arial" w:hAnsi="Arial" w:cs="Arial"/>
          <w:b/>
          <w:sz w:val="22"/>
          <w:szCs w:val="22"/>
          <w:lang w:val="es-ES"/>
        </w:rPr>
        <w:t xml:space="preserve">S </w:t>
      </w:r>
      <w:r w:rsidR="003B36C7" w:rsidRPr="00D95727">
        <w:rPr>
          <w:rFonts w:ascii="Arial" w:hAnsi="Arial" w:cs="Arial"/>
          <w:b/>
          <w:sz w:val="22"/>
          <w:szCs w:val="22"/>
          <w:lang w:val="es-ES"/>
        </w:rPr>
        <w:t>PARA LA LABOR FUTURA</w:t>
      </w:r>
    </w:p>
    <w:p w:rsidR="00403459" w:rsidRPr="00D95727" w:rsidRDefault="00403459" w:rsidP="005442B2">
      <w:pPr>
        <w:ind w:left="720"/>
        <w:rPr>
          <w:rFonts w:ascii="Arial" w:hAnsi="Arial" w:cs="Arial"/>
          <w:b/>
          <w:sz w:val="22"/>
          <w:szCs w:val="22"/>
          <w:lang w:val="es-ES"/>
        </w:rPr>
      </w:pP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shd w:val="clear" w:color="auto" w:fill="FFFFFF"/>
        <w:tblLook w:val="04A0" w:firstRow="1" w:lastRow="0" w:firstColumn="1" w:lastColumn="0" w:noHBand="0" w:noVBand="1"/>
      </w:tblPr>
      <w:tblGrid>
        <w:gridCol w:w="1070"/>
        <w:gridCol w:w="1936"/>
        <w:gridCol w:w="3961"/>
        <w:gridCol w:w="2519"/>
      </w:tblGrid>
      <w:tr w:rsidR="00D95727" w:rsidRPr="00D95727" w:rsidTr="00722D62">
        <w:trPr>
          <w:trHeight w:val="678"/>
        </w:trPr>
        <w:tc>
          <w:tcPr>
            <w:tcW w:w="1101" w:type="dxa"/>
            <w:tcBorders>
              <w:top w:val="single" w:sz="6" w:space="0" w:color="000000"/>
              <w:bottom w:val="single" w:sz="6" w:space="0" w:color="000000"/>
            </w:tcBorders>
            <w:shd w:val="clear" w:color="auto" w:fill="BFBFBF"/>
          </w:tcPr>
          <w:p w:rsidR="00403459" w:rsidRPr="00D95727" w:rsidRDefault="009C6002"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Número</w:t>
            </w:r>
          </w:p>
        </w:tc>
        <w:tc>
          <w:tcPr>
            <w:tcW w:w="2551" w:type="dxa"/>
            <w:tcBorders>
              <w:top w:val="single" w:sz="6" w:space="0" w:color="000000"/>
              <w:bottom w:val="single" w:sz="6" w:space="0" w:color="000000"/>
            </w:tcBorders>
            <w:shd w:val="clear" w:color="auto" w:fill="BFBFBF"/>
          </w:tcPr>
          <w:p w:rsidR="00403459" w:rsidRPr="00D95727" w:rsidRDefault="0061647A" w:rsidP="00125B7F">
            <w:pPr>
              <w:spacing w:before="120" w:after="120"/>
              <w:rPr>
                <w:rFonts w:ascii="Arial" w:hAnsi="Arial" w:cs="Arial"/>
                <w:b/>
                <w:bCs/>
                <w:i/>
                <w:iCs/>
                <w:sz w:val="22"/>
                <w:szCs w:val="22"/>
                <w:lang w:val="es-ES"/>
              </w:rPr>
            </w:pPr>
            <w:r w:rsidRPr="00D95727">
              <w:rPr>
                <w:rFonts w:ascii="Arial" w:hAnsi="Arial" w:cs="Arial"/>
                <w:b/>
                <w:bCs/>
                <w:i/>
                <w:iCs/>
                <w:sz w:val="22"/>
                <w:szCs w:val="22"/>
                <w:lang w:val="es-ES"/>
              </w:rPr>
              <w:t>Opción de alto nivel</w:t>
            </w:r>
          </w:p>
        </w:tc>
        <w:tc>
          <w:tcPr>
            <w:tcW w:w="6975" w:type="dxa"/>
            <w:tcBorders>
              <w:top w:val="single" w:sz="6" w:space="0" w:color="000000"/>
              <w:bottom w:val="single" w:sz="6" w:space="0" w:color="000000"/>
            </w:tcBorders>
            <w:shd w:val="clear" w:color="auto" w:fill="BFBFBF"/>
          </w:tcPr>
          <w:p w:rsidR="0040345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Alternativa</w:t>
            </w:r>
            <w:r w:rsidR="00CC75CD" w:rsidRPr="00D95727">
              <w:rPr>
                <w:rFonts w:ascii="Arial" w:hAnsi="Arial" w:cs="Arial"/>
                <w:b/>
                <w:bCs/>
                <w:i/>
                <w:iCs/>
                <w:sz w:val="22"/>
                <w:szCs w:val="22"/>
                <w:lang w:val="es-ES"/>
              </w:rPr>
              <w:t>s</w:t>
            </w:r>
          </w:p>
        </w:tc>
        <w:tc>
          <w:tcPr>
            <w:tcW w:w="3543" w:type="dxa"/>
            <w:tcBorders>
              <w:top w:val="single" w:sz="6" w:space="0" w:color="000000"/>
              <w:bottom w:val="single" w:sz="6" w:space="0" w:color="000000"/>
            </w:tcBorders>
            <w:shd w:val="clear" w:color="auto" w:fill="BFBFBF"/>
          </w:tcPr>
          <w:p w:rsidR="0040345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Observaciones</w:t>
            </w:r>
          </w:p>
        </w:tc>
      </w:tr>
      <w:tr w:rsidR="00D95727" w:rsidRPr="00D95727" w:rsidTr="00722D62">
        <w:tc>
          <w:tcPr>
            <w:tcW w:w="1101" w:type="dxa"/>
            <w:tcBorders>
              <w:bottom w:val="single" w:sz="6" w:space="0" w:color="000000"/>
            </w:tcBorders>
            <w:shd w:val="clear" w:color="auto" w:fill="FFFFFF"/>
          </w:tcPr>
          <w:p w:rsidR="00403459" w:rsidRPr="00D95727" w:rsidRDefault="00E45419" w:rsidP="00125B7F">
            <w:pPr>
              <w:spacing w:before="120" w:after="120"/>
              <w:rPr>
                <w:rFonts w:ascii="Arial" w:hAnsi="Arial" w:cs="Arial"/>
                <w:b/>
                <w:bCs/>
                <w:sz w:val="22"/>
                <w:szCs w:val="22"/>
                <w:lang w:val="es-ES"/>
              </w:rPr>
            </w:pPr>
            <w:r w:rsidRPr="00D95727">
              <w:rPr>
                <w:rFonts w:ascii="Arial" w:hAnsi="Arial" w:cs="Arial"/>
                <w:b/>
                <w:bCs/>
                <w:sz w:val="22"/>
                <w:szCs w:val="22"/>
                <w:lang w:val="es-ES"/>
              </w:rPr>
              <w:t>1.a</w:t>
            </w:r>
          </w:p>
        </w:tc>
        <w:tc>
          <w:tcPr>
            <w:tcW w:w="2551" w:type="dxa"/>
            <w:tcBorders>
              <w:bottom w:val="single" w:sz="6" w:space="0" w:color="000000"/>
            </w:tcBorders>
            <w:shd w:val="clear" w:color="auto" w:fill="FFFFFF"/>
          </w:tcPr>
          <w:p w:rsidR="00403459" w:rsidRPr="00D95727" w:rsidRDefault="00C77429" w:rsidP="00125B7F">
            <w:pPr>
              <w:spacing w:before="120" w:after="120"/>
              <w:rPr>
                <w:rFonts w:ascii="Arial" w:hAnsi="Arial" w:cs="Arial"/>
                <w:sz w:val="22"/>
                <w:szCs w:val="22"/>
                <w:lang w:val="es-ES"/>
              </w:rPr>
            </w:pPr>
            <w:r w:rsidRPr="00D95727">
              <w:rPr>
                <w:rFonts w:ascii="Arial" w:hAnsi="Arial" w:cs="Arial"/>
                <w:sz w:val="22"/>
                <w:szCs w:val="22"/>
                <w:lang w:val="es-ES"/>
              </w:rPr>
              <w:t>Renovar el mandato actual para un periodo determinado</w:t>
            </w:r>
            <w:r w:rsidR="00F515BE" w:rsidRPr="00D95727">
              <w:rPr>
                <w:rFonts w:ascii="Arial" w:hAnsi="Arial" w:cs="Arial"/>
                <w:sz w:val="22"/>
                <w:szCs w:val="22"/>
                <w:lang w:val="es-ES"/>
              </w:rPr>
              <w:t xml:space="preserve">.  </w:t>
            </w:r>
          </w:p>
        </w:tc>
        <w:tc>
          <w:tcPr>
            <w:tcW w:w="6975" w:type="dxa"/>
            <w:tcBorders>
              <w:bottom w:val="single" w:sz="6" w:space="0" w:color="000000"/>
            </w:tcBorders>
            <w:shd w:val="clear" w:color="auto" w:fill="FFFFFF"/>
          </w:tcPr>
          <w:p w:rsidR="00403459" w:rsidRPr="00D95727" w:rsidRDefault="00C77429" w:rsidP="00C77429">
            <w:pPr>
              <w:spacing w:before="120" w:after="120"/>
              <w:rPr>
                <w:rFonts w:ascii="Arial" w:hAnsi="Arial" w:cs="Arial"/>
                <w:sz w:val="22"/>
                <w:szCs w:val="22"/>
                <w:lang w:val="es-ES"/>
              </w:rPr>
            </w:pPr>
            <w:r w:rsidRPr="00D95727">
              <w:rPr>
                <w:rFonts w:ascii="Arial" w:hAnsi="Arial" w:cs="Arial"/>
                <w:sz w:val="22"/>
                <w:szCs w:val="22"/>
                <w:lang w:val="es-ES"/>
              </w:rPr>
              <w:t>El programa de trabajo sigue otorgando la misma importancia y prioridad a todas las materias, y aplica métodos de trabajo similares a los actuales</w:t>
            </w:r>
            <w:r w:rsidR="00BB089E" w:rsidRPr="00D95727">
              <w:rPr>
                <w:rFonts w:ascii="Arial" w:hAnsi="Arial" w:cs="Arial"/>
                <w:sz w:val="22"/>
                <w:szCs w:val="22"/>
                <w:lang w:val="es-ES"/>
              </w:rPr>
              <w:t>.</w:t>
            </w:r>
          </w:p>
        </w:tc>
        <w:tc>
          <w:tcPr>
            <w:tcW w:w="3543" w:type="dxa"/>
            <w:tcBorders>
              <w:bottom w:val="single" w:sz="6" w:space="0" w:color="000000"/>
            </w:tcBorders>
            <w:shd w:val="clear" w:color="auto" w:fill="FFFFFF"/>
          </w:tcPr>
          <w:p w:rsidR="00403459" w:rsidRPr="00D95727" w:rsidRDefault="00C77429" w:rsidP="004F27B1">
            <w:pPr>
              <w:spacing w:before="120" w:after="120"/>
              <w:rPr>
                <w:rFonts w:ascii="Arial" w:hAnsi="Arial" w:cs="Arial"/>
                <w:sz w:val="22"/>
                <w:szCs w:val="22"/>
                <w:lang w:val="es-ES"/>
              </w:rPr>
            </w:pPr>
            <w:r w:rsidRPr="00D95727">
              <w:rPr>
                <w:rFonts w:ascii="Arial" w:hAnsi="Arial" w:cs="Arial"/>
                <w:sz w:val="22"/>
                <w:szCs w:val="22"/>
                <w:lang w:val="es-ES"/>
              </w:rPr>
              <w:t xml:space="preserve">El periodo podría ser de dos o tres años e incluir un calendario </w:t>
            </w:r>
            <w:r w:rsidR="00AD5AAA" w:rsidRPr="00D95727">
              <w:rPr>
                <w:rFonts w:ascii="Arial" w:hAnsi="Arial" w:cs="Arial"/>
                <w:sz w:val="22"/>
                <w:szCs w:val="22"/>
                <w:lang w:val="es-ES"/>
              </w:rPr>
              <w:t>relativo a</w:t>
            </w:r>
            <w:r w:rsidRPr="00D95727">
              <w:rPr>
                <w:rFonts w:ascii="Arial" w:hAnsi="Arial" w:cs="Arial"/>
                <w:sz w:val="22"/>
                <w:szCs w:val="22"/>
                <w:lang w:val="es-ES"/>
              </w:rPr>
              <w:t xml:space="preserve"> las principales decisiones </w:t>
            </w:r>
            <w:r w:rsidR="00AD5AAA" w:rsidRPr="00D95727">
              <w:rPr>
                <w:rFonts w:ascii="Arial" w:hAnsi="Arial" w:cs="Arial"/>
                <w:sz w:val="22"/>
                <w:szCs w:val="22"/>
                <w:lang w:val="es-ES"/>
              </w:rPr>
              <w:t>para</w:t>
            </w:r>
            <w:r w:rsidRPr="00D95727">
              <w:rPr>
                <w:rFonts w:ascii="Arial" w:hAnsi="Arial" w:cs="Arial"/>
                <w:sz w:val="22"/>
                <w:szCs w:val="22"/>
                <w:lang w:val="es-ES"/>
              </w:rPr>
              <w:t xml:space="preserve"> dar respuesta a </w:t>
            </w:r>
            <w:r w:rsidR="004F27B1" w:rsidRPr="00D95727">
              <w:rPr>
                <w:rFonts w:ascii="Arial" w:hAnsi="Arial" w:cs="Arial"/>
                <w:sz w:val="22"/>
                <w:szCs w:val="22"/>
                <w:lang w:val="es-ES"/>
              </w:rPr>
              <w:t>las inquietudes que suscita</w:t>
            </w:r>
            <w:r w:rsidR="00AD5AAA" w:rsidRPr="00D95727">
              <w:rPr>
                <w:rFonts w:ascii="Arial" w:hAnsi="Arial" w:cs="Arial"/>
                <w:sz w:val="22"/>
                <w:szCs w:val="22"/>
                <w:lang w:val="es-ES"/>
              </w:rPr>
              <w:t xml:space="preserve"> que las negociaciones sean de duración indefinida</w:t>
            </w:r>
            <w:r w:rsidR="00A153EB" w:rsidRPr="00D95727">
              <w:rPr>
                <w:rFonts w:ascii="Arial" w:hAnsi="Arial" w:cs="Arial"/>
                <w:sz w:val="22"/>
                <w:szCs w:val="22"/>
                <w:lang w:val="es-ES"/>
              </w:rPr>
              <w:t>.</w:t>
            </w:r>
          </w:p>
        </w:tc>
      </w:tr>
      <w:tr w:rsidR="00D95727" w:rsidRPr="00D95727" w:rsidTr="00722D62">
        <w:tc>
          <w:tcPr>
            <w:tcW w:w="1101" w:type="dxa"/>
            <w:tcBorders>
              <w:top w:val="single" w:sz="6" w:space="0" w:color="000000"/>
              <w:bottom w:val="single" w:sz="6" w:space="0" w:color="000000"/>
            </w:tcBorders>
            <w:shd w:val="clear" w:color="auto" w:fill="FFFFFF"/>
          </w:tcPr>
          <w:p w:rsidR="00403459" w:rsidRPr="00D95727" w:rsidRDefault="00E45419" w:rsidP="00125B7F">
            <w:pPr>
              <w:spacing w:before="120" w:after="120"/>
              <w:rPr>
                <w:rFonts w:ascii="Arial" w:hAnsi="Arial" w:cs="Arial"/>
                <w:b/>
                <w:bCs/>
                <w:sz w:val="22"/>
                <w:szCs w:val="22"/>
                <w:lang w:val="es-ES"/>
              </w:rPr>
            </w:pPr>
            <w:r w:rsidRPr="00D95727">
              <w:rPr>
                <w:rFonts w:ascii="Arial" w:hAnsi="Arial" w:cs="Arial"/>
                <w:b/>
                <w:bCs/>
                <w:sz w:val="22"/>
                <w:szCs w:val="22"/>
                <w:lang w:val="es-ES"/>
              </w:rPr>
              <w:t>1.b</w:t>
            </w:r>
          </w:p>
        </w:tc>
        <w:tc>
          <w:tcPr>
            <w:tcW w:w="2551" w:type="dxa"/>
            <w:tcBorders>
              <w:top w:val="single" w:sz="6" w:space="0" w:color="000000"/>
              <w:bottom w:val="single" w:sz="6" w:space="0" w:color="000000"/>
            </w:tcBorders>
            <w:shd w:val="clear" w:color="auto" w:fill="FFFFFF"/>
          </w:tcPr>
          <w:p w:rsidR="00403459" w:rsidRPr="00D95727" w:rsidRDefault="00403459" w:rsidP="00125B7F">
            <w:pPr>
              <w:spacing w:before="120" w:after="120"/>
              <w:rPr>
                <w:rFonts w:ascii="Arial" w:hAnsi="Arial" w:cs="Arial"/>
                <w:sz w:val="22"/>
                <w:szCs w:val="22"/>
                <w:lang w:val="es-ES"/>
              </w:rPr>
            </w:pPr>
          </w:p>
        </w:tc>
        <w:tc>
          <w:tcPr>
            <w:tcW w:w="6975" w:type="dxa"/>
            <w:tcBorders>
              <w:top w:val="single" w:sz="6" w:space="0" w:color="000000"/>
              <w:bottom w:val="single" w:sz="6" w:space="0" w:color="000000"/>
            </w:tcBorders>
            <w:shd w:val="clear" w:color="auto" w:fill="FFFFFF"/>
          </w:tcPr>
          <w:p w:rsidR="00D16F07" w:rsidRPr="00D95727" w:rsidRDefault="00AD5AAA" w:rsidP="00125B7F">
            <w:pPr>
              <w:spacing w:before="120" w:after="120"/>
              <w:rPr>
                <w:rFonts w:ascii="Arial" w:hAnsi="Arial" w:cs="Arial"/>
                <w:sz w:val="22"/>
                <w:szCs w:val="22"/>
                <w:lang w:val="es-ES"/>
              </w:rPr>
            </w:pPr>
            <w:r w:rsidRPr="00D95727">
              <w:rPr>
                <w:rFonts w:ascii="Arial" w:hAnsi="Arial" w:cs="Arial"/>
                <w:sz w:val="22"/>
                <w:szCs w:val="22"/>
                <w:lang w:val="es-ES"/>
              </w:rPr>
              <w:t>El programa de trabajo sigue otorgando la misma importancia y prioridad a todas las materias, pero aplica métodos de trabajo revisados para tratar de salvar discrepancias y propiciar consensos</w:t>
            </w:r>
            <w:r w:rsidR="00F515BE" w:rsidRPr="00D95727">
              <w:rPr>
                <w:rFonts w:ascii="Arial" w:hAnsi="Arial" w:cs="Arial"/>
                <w:sz w:val="22"/>
                <w:szCs w:val="22"/>
                <w:lang w:val="es-ES"/>
              </w:rPr>
              <w:t xml:space="preserve">.  </w:t>
            </w:r>
            <w:r w:rsidRPr="00D95727">
              <w:rPr>
                <w:rFonts w:ascii="Arial" w:hAnsi="Arial" w:cs="Arial"/>
                <w:sz w:val="22"/>
                <w:szCs w:val="22"/>
                <w:lang w:val="es-ES"/>
              </w:rPr>
              <w:t>Entre estos métodos revisados podrían figurar</w:t>
            </w:r>
            <w:r w:rsidR="00CC0EA5" w:rsidRPr="00D95727">
              <w:rPr>
                <w:rFonts w:ascii="Arial" w:hAnsi="Arial" w:cs="Arial"/>
                <w:sz w:val="22"/>
                <w:szCs w:val="22"/>
                <w:lang w:val="es-ES"/>
              </w:rPr>
              <w:t>:</w:t>
            </w:r>
          </w:p>
          <w:p w:rsidR="00D16F07" w:rsidRPr="00D95727" w:rsidRDefault="00AD5AAA" w:rsidP="005240F6">
            <w:pPr>
              <w:numPr>
                <w:ilvl w:val="0"/>
                <w:numId w:val="17"/>
              </w:numPr>
              <w:spacing w:before="120" w:after="120"/>
              <w:ind w:left="513" w:hanging="259"/>
              <w:rPr>
                <w:rFonts w:ascii="Arial" w:hAnsi="Arial" w:cs="Arial"/>
                <w:sz w:val="22"/>
                <w:szCs w:val="22"/>
                <w:lang w:val="es-ES"/>
              </w:rPr>
            </w:pPr>
            <w:r w:rsidRPr="00D95727">
              <w:rPr>
                <w:rFonts w:ascii="Arial" w:hAnsi="Arial" w:cs="Arial"/>
                <w:sz w:val="22"/>
                <w:szCs w:val="22"/>
                <w:lang w:val="es-ES"/>
              </w:rPr>
              <w:t>Grupos de trabajo</w:t>
            </w:r>
          </w:p>
          <w:p w:rsidR="00D16F07" w:rsidRPr="00D95727" w:rsidRDefault="00AD5AAA" w:rsidP="005240F6">
            <w:pPr>
              <w:numPr>
                <w:ilvl w:val="0"/>
                <w:numId w:val="17"/>
              </w:numPr>
              <w:spacing w:before="120" w:after="120"/>
              <w:ind w:left="513" w:hanging="259"/>
              <w:rPr>
                <w:rFonts w:ascii="Arial" w:hAnsi="Arial" w:cs="Arial"/>
                <w:sz w:val="22"/>
                <w:szCs w:val="22"/>
                <w:lang w:val="es-ES"/>
              </w:rPr>
            </w:pPr>
            <w:r w:rsidRPr="00D95727">
              <w:rPr>
                <w:rFonts w:ascii="Arial" w:hAnsi="Arial" w:cs="Arial"/>
                <w:sz w:val="22"/>
                <w:szCs w:val="22"/>
                <w:lang w:val="es-ES"/>
              </w:rPr>
              <w:t>Paneles de expertos</w:t>
            </w:r>
          </w:p>
          <w:p w:rsidR="00CC0EA5" w:rsidRPr="00D95727" w:rsidRDefault="00D16F07" w:rsidP="00D16F07">
            <w:pPr>
              <w:numPr>
                <w:ilvl w:val="0"/>
                <w:numId w:val="17"/>
              </w:numPr>
              <w:spacing w:before="120" w:after="120"/>
              <w:ind w:left="513" w:hanging="259"/>
              <w:rPr>
                <w:rFonts w:ascii="Arial" w:hAnsi="Arial" w:cs="Arial"/>
                <w:sz w:val="22"/>
                <w:szCs w:val="22"/>
                <w:lang w:val="es-ES"/>
              </w:rPr>
            </w:pPr>
            <w:r w:rsidRPr="00D95727">
              <w:rPr>
                <w:rFonts w:ascii="Arial" w:hAnsi="Arial" w:cs="Arial"/>
                <w:sz w:val="22"/>
                <w:szCs w:val="22"/>
                <w:lang w:val="es-ES"/>
              </w:rPr>
              <w:t>Estudio</w:t>
            </w:r>
            <w:r w:rsidR="00AD5AAA" w:rsidRPr="00D95727">
              <w:rPr>
                <w:rFonts w:ascii="Arial" w:hAnsi="Arial" w:cs="Arial"/>
                <w:sz w:val="22"/>
                <w:szCs w:val="22"/>
                <w:lang w:val="es-ES"/>
              </w:rPr>
              <w:t>s</w:t>
            </w:r>
          </w:p>
        </w:tc>
        <w:tc>
          <w:tcPr>
            <w:tcW w:w="3543" w:type="dxa"/>
            <w:tcBorders>
              <w:top w:val="single" w:sz="6" w:space="0" w:color="000000"/>
              <w:bottom w:val="single" w:sz="6" w:space="0" w:color="000000"/>
            </w:tcBorders>
            <w:shd w:val="clear" w:color="auto" w:fill="FFFFFF"/>
          </w:tcPr>
          <w:p w:rsidR="00403459" w:rsidRPr="00D95727" w:rsidRDefault="00D16F07" w:rsidP="00D16F07">
            <w:pPr>
              <w:spacing w:before="120" w:after="120"/>
              <w:rPr>
                <w:rFonts w:ascii="Arial" w:hAnsi="Arial" w:cs="Arial"/>
                <w:sz w:val="22"/>
                <w:szCs w:val="22"/>
                <w:lang w:val="es-ES"/>
              </w:rPr>
            </w:pPr>
            <w:r w:rsidRPr="00D95727">
              <w:rPr>
                <w:rFonts w:ascii="Arial" w:hAnsi="Arial" w:cs="Arial"/>
                <w:sz w:val="22"/>
                <w:szCs w:val="22"/>
                <w:lang w:val="es-ES"/>
              </w:rPr>
              <w:t>Idéntica al punto anterior.</w:t>
            </w:r>
          </w:p>
        </w:tc>
      </w:tr>
    </w:tbl>
    <w:p w:rsidR="00E45419" w:rsidRPr="00D95727" w:rsidRDefault="00E45419">
      <w:pPr>
        <w:rPr>
          <w:lang w:val="es-ES"/>
        </w:rPr>
      </w:pPr>
      <w:r w:rsidRPr="00D95727">
        <w:rPr>
          <w:lang w:val="es-ES"/>
        </w:rPr>
        <w:br w:type="page"/>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shd w:val="clear" w:color="auto" w:fill="FFFFFF"/>
        <w:tblLook w:val="04A0" w:firstRow="1" w:lastRow="0" w:firstColumn="1" w:lastColumn="0" w:noHBand="0" w:noVBand="1"/>
      </w:tblPr>
      <w:tblGrid>
        <w:gridCol w:w="1065"/>
        <w:gridCol w:w="1708"/>
        <w:gridCol w:w="4354"/>
        <w:gridCol w:w="2359"/>
      </w:tblGrid>
      <w:tr w:rsidR="00D95727" w:rsidRPr="00D95727" w:rsidTr="00722D62">
        <w:trPr>
          <w:tblHeader/>
        </w:trPr>
        <w:tc>
          <w:tcPr>
            <w:tcW w:w="1101"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lastRenderedPageBreak/>
              <w:t>Número</w:t>
            </w:r>
          </w:p>
        </w:tc>
        <w:tc>
          <w:tcPr>
            <w:tcW w:w="2551" w:type="dxa"/>
            <w:tcBorders>
              <w:top w:val="single" w:sz="6" w:space="0" w:color="000000"/>
              <w:bottom w:val="single" w:sz="6" w:space="0" w:color="000000"/>
            </w:tcBorders>
            <w:shd w:val="clear" w:color="auto" w:fill="BFBFBF"/>
          </w:tcPr>
          <w:p w:rsidR="00E45419" w:rsidRPr="00D95727" w:rsidRDefault="00C77429" w:rsidP="00125B7F">
            <w:pPr>
              <w:spacing w:before="120" w:after="120"/>
              <w:rPr>
                <w:rFonts w:ascii="Arial" w:hAnsi="Arial" w:cs="Arial"/>
                <w:b/>
                <w:bCs/>
                <w:i/>
                <w:iCs/>
                <w:sz w:val="22"/>
                <w:szCs w:val="22"/>
                <w:lang w:val="es-ES"/>
              </w:rPr>
            </w:pPr>
            <w:r w:rsidRPr="00D95727">
              <w:rPr>
                <w:rFonts w:ascii="Arial" w:hAnsi="Arial" w:cs="Arial"/>
                <w:b/>
                <w:bCs/>
                <w:i/>
                <w:iCs/>
                <w:sz w:val="22"/>
                <w:szCs w:val="22"/>
                <w:lang w:val="es-ES"/>
              </w:rPr>
              <w:t>Opción de alto nivel</w:t>
            </w:r>
          </w:p>
        </w:tc>
        <w:tc>
          <w:tcPr>
            <w:tcW w:w="6975"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Alternativa</w:t>
            </w:r>
            <w:r w:rsidR="00CC75CD" w:rsidRPr="00D95727">
              <w:rPr>
                <w:rFonts w:ascii="Arial" w:hAnsi="Arial" w:cs="Arial"/>
                <w:b/>
                <w:bCs/>
                <w:i/>
                <w:iCs/>
                <w:sz w:val="22"/>
                <w:szCs w:val="22"/>
                <w:lang w:val="es-ES"/>
              </w:rPr>
              <w:t>s</w:t>
            </w:r>
          </w:p>
        </w:tc>
        <w:tc>
          <w:tcPr>
            <w:tcW w:w="3543"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Observaciones</w:t>
            </w:r>
          </w:p>
        </w:tc>
      </w:tr>
      <w:tr w:rsidR="00D95727" w:rsidRPr="00D95727" w:rsidTr="00722D62">
        <w:tc>
          <w:tcPr>
            <w:tcW w:w="1101" w:type="dxa"/>
            <w:tcBorders>
              <w:bottom w:val="single" w:sz="6" w:space="0" w:color="000000"/>
            </w:tcBorders>
            <w:shd w:val="clear" w:color="auto" w:fill="FFFFFF"/>
          </w:tcPr>
          <w:p w:rsidR="00DE7FCC" w:rsidRPr="00D95727" w:rsidRDefault="00E45419" w:rsidP="00125B7F">
            <w:pPr>
              <w:spacing w:before="120" w:after="120"/>
              <w:rPr>
                <w:rFonts w:ascii="Arial" w:hAnsi="Arial" w:cs="Arial"/>
                <w:b/>
                <w:bCs/>
                <w:sz w:val="22"/>
                <w:szCs w:val="22"/>
                <w:lang w:val="es-ES"/>
              </w:rPr>
            </w:pPr>
            <w:r w:rsidRPr="00D95727">
              <w:rPr>
                <w:rFonts w:ascii="Arial" w:hAnsi="Arial" w:cs="Arial"/>
                <w:b/>
                <w:bCs/>
                <w:sz w:val="22"/>
                <w:szCs w:val="22"/>
                <w:lang w:val="es-ES"/>
              </w:rPr>
              <w:t>2.a</w:t>
            </w:r>
          </w:p>
        </w:tc>
        <w:tc>
          <w:tcPr>
            <w:tcW w:w="2551" w:type="dxa"/>
            <w:tcBorders>
              <w:bottom w:val="single" w:sz="6" w:space="0" w:color="000000"/>
            </w:tcBorders>
            <w:shd w:val="clear" w:color="auto" w:fill="FFFFFF"/>
          </w:tcPr>
          <w:p w:rsidR="00DE7FCC" w:rsidRPr="00D95727" w:rsidRDefault="00AD5AAA" w:rsidP="004F27B1">
            <w:pPr>
              <w:spacing w:before="120" w:after="120"/>
              <w:rPr>
                <w:rFonts w:ascii="Arial" w:hAnsi="Arial" w:cs="Arial"/>
                <w:sz w:val="22"/>
                <w:szCs w:val="22"/>
                <w:lang w:val="es-ES"/>
              </w:rPr>
            </w:pPr>
            <w:r w:rsidRPr="00D95727">
              <w:rPr>
                <w:rFonts w:ascii="Arial" w:hAnsi="Arial" w:cs="Arial"/>
                <w:sz w:val="22"/>
                <w:szCs w:val="22"/>
                <w:lang w:val="es-ES"/>
              </w:rPr>
              <w:t>Elaborar un nuevo mandato con un</w:t>
            </w:r>
            <w:r w:rsidR="005646C7" w:rsidRPr="00D95727">
              <w:rPr>
                <w:rFonts w:ascii="Arial" w:hAnsi="Arial" w:cs="Arial"/>
                <w:sz w:val="22"/>
                <w:szCs w:val="22"/>
                <w:lang w:val="es-ES"/>
              </w:rPr>
              <w:t xml:space="preserve"> </w:t>
            </w:r>
            <w:r w:rsidR="004F27B1" w:rsidRPr="00D95727">
              <w:rPr>
                <w:rFonts w:ascii="Arial" w:hAnsi="Arial" w:cs="Arial"/>
                <w:sz w:val="22"/>
                <w:szCs w:val="22"/>
                <w:lang w:val="es-ES"/>
              </w:rPr>
              <w:t>propósito</w:t>
            </w:r>
            <w:r w:rsidRPr="00D95727">
              <w:rPr>
                <w:rFonts w:ascii="Arial" w:hAnsi="Arial" w:cs="Arial"/>
                <w:sz w:val="22"/>
                <w:szCs w:val="22"/>
                <w:lang w:val="es-ES"/>
              </w:rPr>
              <w:t xml:space="preserve"> y un </w:t>
            </w:r>
            <w:r w:rsidR="005646C7" w:rsidRPr="00D95727">
              <w:rPr>
                <w:rFonts w:ascii="Arial" w:hAnsi="Arial" w:cs="Arial"/>
                <w:sz w:val="22"/>
                <w:szCs w:val="22"/>
                <w:lang w:val="es-ES"/>
              </w:rPr>
              <w:t>plazo</w:t>
            </w:r>
            <w:r w:rsidRPr="00D95727">
              <w:rPr>
                <w:rFonts w:ascii="Arial" w:hAnsi="Arial" w:cs="Arial"/>
                <w:sz w:val="22"/>
                <w:szCs w:val="22"/>
                <w:lang w:val="es-ES"/>
              </w:rPr>
              <w:t xml:space="preserve"> claramente definidos</w:t>
            </w:r>
            <w:r w:rsidR="00DE7FCC" w:rsidRPr="00D95727">
              <w:rPr>
                <w:rFonts w:ascii="Arial" w:hAnsi="Arial" w:cs="Arial"/>
                <w:sz w:val="22"/>
                <w:szCs w:val="22"/>
                <w:lang w:val="es-ES"/>
              </w:rPr>
              <w:t>.</w:t>
            </w:r>
          </w:p>
        </w:tc>
        <w:tc>
          <w:tcPr>
            <w:tcW w:w="6975" w:type="dxa"/>
            <w:tcBorders>
              <w:bottom w:val="single" w:sz="6" w:space="0" w:color="000000"/>
            </w:tcBorders>
            <w:shd w:val="clear" w:color="auto" w:fill="FFFFFF"/>
          </w:tcPr>
          <w:p w:rsidR="00D16F07" w:rsidRPr="00D95727" w:rsidRDefault="005646C7" w:rsidP="00125B7F">
            <w:pPr>
              <w:spacing w:before="120" w:after="120"/>
              <w:rPr>
                <w:rFonts w:ascii="Arial" w:hAnsi="Arial" w:cs="Arial"/>
                <w:sz w:val="22"/>
                <w:szCs w:val="22"/>
                <w:lang w:val="es-ES"/>
              </w:rPr>
            </w:pPr>
            <w:r w:rsidRPr="00D95727">
              <w:rPr>
                <w:rFonts w:ascii="Arial" w:hAnsi="Arial" w:cs="Arial"/>
                <w:sz w:val="22"/>
                <w:szCs w:val="22"/>
                <w:lang w:val="es-ES"/>
              </w:rPr>
              <w:t xml:space="preserve">El mandato prevé un único </w:t>
            </w:r>
            <w:r w:rsidR="004F27B1" w:rsidRPr="00D95727">
              <w:rPr>
                <w:rFonts w:ascii="Arial" w:hAnsi="Arial" w:cs="Arial"/>
                <w:sz w:val="22"/>
                <w:szCs w:val="22"/>
                <w:lang w:val="es-ES"/>
              </w:rPr>
              <w:t>propósito</w:t>
            </w:r>
            <w:r w:rsidRPr="00D95727">
              <w:rPr>
                <w:rFonts w:ascii="Arial" w:hAnsi="Arial" w:cs="Arial"/>
                <w:sz w:val="22"/>
                <w:szCs w:val="22"/>
                <w:lang w:val="es-ES"/>
              </w:rPr>
              <w:t>/fin, acompañado de</w:t>
            </w:r>
            <w:r w:rsidR="00894529" w:rsidRPr="00D95727">
              <w:rPr>
                <w:rFonts w:ascii="Arial" w:hAnsi="Arial" w:cs="Arial"/>
                <w:sz w:val="22"/>
                <w:szCs w:val="22"/>
                <w:lang w:val="es-ES"/>
              </w:rPr>
              <w:t>:</w:t>
            </w:r>
          </w:p>
          <w:p w:rsidR="00D16F07" w:rsidRPr="00D95727" w:rsidRDefault="004F27B1" w:rsidP="005240F6">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Objetivos</w:t>
            </w:r>
            <w:r w:rsidR="005646C7" w:rsidRPr="00D95727">
              <w:rPr>
                <w:rFonts w:ascii="Arial" w:hAnsi="Arial" w:cs="Arial"/>
                <w:sz w:val="22"/>
                <w:szCs w:val="22"/>
                <w:lang w:val="es-ES"/>
              </w:rPr>
              <w:t>/prioridades subordinadas</w:t>
            </w:r>
            <w:r w:rsidR="00894529" w:rsidRPr="00D95727">
              <w:rPr>
                <w:rFonts w:ascii="Arial" w:hAnsi="Arial" w:cs="Arial"/>
                <w:sz w:val="22"/>
                <w:szCs w:val="22"/>
                <w:lang w:val="es-ES"/>
              </w:rPr>
              <w:t>;</w:t>
            </w:r>
          </w:p>
          <w:p w:rsidR="00D16F07" w:rsidRPr="00D95727" w:rsidRDefault="005646C7" w:rsidP="005240F6">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 xml:space="preserve">Puntos </w:t>
            </w:r>
            <w:r w:rsidR="00284A4C" w:rsidRPr="00D95727">
              <w:rPr>
                <w:rFonts w:ascii="Arial" w:hAnsi="Arial" w:cs="Arial"/>
                <w:sz w:val="22"/>
                <w:szCs w:val="22"/>
                <w:lang w:val="es-ES"/>
              </w:rPr>
              <w:t>de</w:t>
            </w:r>
            <w:r w:rsidRPr="00D95727">
              <w:rPr>
                <w:rFonts w:ascii="Arial" w:hAnsi="Arial" w:cs="Arial"/>
                <w:sz w:val="22"/>
                <w:szCs w:val="22"/>
                <w:lang w:val="es-ES"/>
              </w:rPr>
              <w:t xml:space="preserve"> </w:t>
            </w:r>
            <w:r w:rsidR="00284A4C" w:rsidRPr="00D95727">
              <w:rPr>
                <w:rFonts w:ascii="Arial" w:hAnsi="Arial" w:cs="Arial"/>
                <w:sz w:val="22"/>
                <w:szCs w:val="22"/>
                <w:lang w:val="es-ES"/>
              </w:rPr>
              <w:t>decisión</w:t>
            </w:r>
            <w:r w:rsidR="00616B9E" w:rsidRPr="00D95727">
              <w:rPr>
                <w:rFonts w:ascii="Arial" w:hAnsi="Arial" w:cs="Arial"/>
                <w:sz w:val="22"/>
                <w:szCs w:val="22"/>
                <w:lang w:val="es-ES"/>
              </w:rPr>
              <w:t>;</w:t>
            </w:r>
            <w:r w:rsidR="00894529" w:rsidRPr="00D95727">
              <w:rPr>
                <w:rFonts w:ascii="Arial" w:hAnsi="Arial" w:cs="Arial"/>
                <w:sz w:val="22"/>
                <w:szCs w:val="22"/>
                <w:lang w:val="es-ES"/>
              </w:rPr>
              <w:t xml:space="preserve"> </w:t>
            </w:r>
            <w:r w:rsidR="007323AB" w:rsidRPr="00D95727">
              <w:rPr>
                <w:rFonts w:ascii="Arial" w:hAnsi="Arial" w:cs="Arial"/>
                <w:sz w:val="22"/>
                <w:szCs w:val="22"/>
                <w:lang w:val="es-ES"/>
              </w:rPr>
              <w:t xml:space="preserve"> </w:t>
            </w:r>
            <w:r w:rsidRPr="00D95727">
              <w:rPr>
                <w:rFonts w:ascii="Arial" w:hAnsi="Arial" w:cs="Arial"/>
                <w:sz w:val="22"/>
                <w:szCs w:val="22"/>
                <w:lang w:val="es-ES"/>
              </w:rPr>
              <w:t>y</w:t>
            </w:r>
          </w:p>
          <w:p w:rsidR="00D16F07" w:rsidRPr="00D95727" w:rsidRDefault="005646C7" w:rsidP="005240F6">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Asignación de recursos en términos de sesiones/días</w:t>
            </w:r>
            <w:r w:rsidR="00894529" w:rsidRPr="00D95727">
              <w:rPr>
                <w:rFonts w:ascii="Arial" w:hAnsi="Arial" w:cs="Arial"/>
                <w:sz w:val="22"/>
                <w:szCs w:val="22"/>
                <w:lang w:val="es-ES"/>
              </w:rPr>
              <w:t>.</w:t>
            </w:r>
          </w:p>
          <w:p w:rsidR="00DE7FCC" w:rsidRPr="00D95727" w:rsidRDefault="005646C7" w:rsidP="00125B7F">
            <w:pPr>
              <w:spacing w:before="120" w:after="120"/>
              <w:ind w:left="54"/>
              <w:rPr>
                <w:rFonts w:ascii="Arial" w:hAnsi="Arial" w:cs="Arial"/>
                <w:sz w:val="22"/>
                <w:szCs w:val="22"/>
                <w:lang w:val="es-ES"/>
              </w:rPr>
            </w:pPr>
            <w:r w:rsidRPr="00D95727">
              <w:rPr>
                <w:rFonts w:ascii="Arial" w:hAnsi="Arial" w:cs="Arial"/>
                <w:sz w:val="22"/>
                <w:szCs w:val="22"/>
                <w:lang w:val="es-ES"/>
              </w:rPr>
              <w:t>El programa de trabajo sigue otorgando la misma importancia y prioridad a todas las materias, y aplica métodos de trabajo similares a los actuales.</w:t>
            </w:r>
          </w:p>
        </w:tc>
        <w:tc>
          <w:tcPr>
            <w:tcW w:w="3543" w:type="dxa"/>
            <w:tcBorders>
              <w:bottom w:val="single" w:sz="6" w:space="0" w:color="000000"/>
            </w:tcBorders>
            <w:shd w:val="clear" w:color="auto" w:fill="FFFFFF"/>
          </w:tcPr>
          <w:p w:rsidR="00DE7FCC" w:rsidRPr="00D95727" w:rsidRDefault="004F27B1" w:rsidP="00125B7F">
            <w:pPr>
              <w:spacing w:before="120" w:after="120"/>
              <w:rPr>
                <w:rFonts w:ascii="Arial" w:hAnsi="Arial" w:cs="Arial"/>
                <w:sz w:val="22"/>
                <w:szCs w:val="22"/>
                <w:lang w:val="es-ES"/>
              </w:rPr>
            </w:pPr>
            <w:r w:rsidRPr="00D95727">
              <w:rPr>
                <w:rFonts w:ascii="Arial" w:hAnsi="Arial" w:cs="Arial"/>
                <w:sz w:val="22"/>
                <w:szCs w:val="22"/>
                <w:lang w:val="es-ES"/>
              </w:rPr>
              <w:t>El periodo podría ser de dos o tres años e incluir un calendario relativo a las principales decisiones para dar respuesta a las inquietudes que suscita que las negociaciones sean de duración indefinida.</w:t>
            </w:r>
          </w:p>
        </w:tc>
      </w:tr>
      <w:tr w:rsidR="00D95727" w:rsidRPr="00D95727" w:rsidTr="00150C13">
        <w:tc>
          <w:tcPr>
            <w:tcW w:w="1101" w:type="dxa"/>
            <w:tcBorders>
              <w:top w:val="single" w:sz="6" w:space="0" w:color="000000"/>
              <w:bottom w:val="single" w:sz="6" w:space="0" w:color="000000"/>
            </w:tcBorders>
            <w:shd w:val="clear" w:color="auto" w:fill="FFFFFF"/>
          </w:tcPr>
          <w:p w:rsidR="00DE7FCC" w:rsidRPr="00D95727" w:rsidRDefault="00E45419" w:rsidP="00125B7F">
            <w:pPr>
              <w:spacing w:before="120" w:after="120"/>
              <w:rPr>
                <w:rFonts w:ascii="Arial" w:hAnsi="Arial" w:cs="Arial"/>
                <w:b/>
                <w:bCs/>
                <w:sz w:val="22"/>
                <w:szCs w:val="22"/>
                <w:lang w:val="es-ES"/>
              </w:rPr>
            </w:pPr>
            <w:r w:rsidRPr="00D95727">
              <w:rPr>
                <w:rFonts w:ascii="Arial" w:hAnsi="Arial" w:cs="Arial"/>
                <w:b/>
                <w:bCs/>
                <w:sz w:val="22"/>
                <w:szCs w:val="22"/>
                <w:lang w:val="es-ES"/>
              </w:rPr>
              <w:t>2.b</w:t>
            </w:r>
          </w:p>
        </w:tc>
        <w:tc>
          <w:tcPr>
            <w:tcW w:w="2551" w:type="dxa"/>
            <w:tcBorders>
              <w:top w:val="single" w:sz="6" w:space="0" w:color="000000"/>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c>
          <w:tcPr>
            <w:tcW w:w="6975" w:type="dxa"/>
            <w:tcBorders>
              <w:top w:val="single" w:sz="6" w:space="0" w:color="000000"/>
              <w:bottom w:val="single" w:sz="6" w:space="0" w:color="000000"/>
            </w:tcBorders>
            <w:shd w:val="clear" w:color="auto" w:fill="FFFFFF"/>
          </w:tcPr>
          <w:p w:rsidR="005646C7" w:rsidRPr="00D95727" w:rsidRDefault="005646C7" w:rsidP="005646C7">
            <w:pPr>
              <w:spacing w:before="120" w:after="120"/>
              <w:rPr>
                <w:rFonts w:ascii="Arial" w:hAnsi="Arial" w:cs="Arial"/>
                <w:sz w:val="22"/>
                <w:szCs w:val="22"/>
                <w:lang w:val="es-ES"/>
              </w:rPr>
            </w:pPr>
            <w:r w:rsidRPr="00D95727">
              <w:rPr>
                <w:rFonts w:ascii="Arial" w:hAnsi="Arial" w:cs="Arial"/>
                <w:sz w:val="22"/>
                <w:szCs w:val="22"/>
                <w:lang w:val="es-ES"/>
              </w:rPr>
              <w:t xml:space="preserve">El mandato prevé un único </w:t>
            </w:r>
            <w:r w:rsidR="004F27B1" w:rsidRPr="00D95727">
              <w:rPr>
                <w:rFonts w:ascii="Arial" w:hAnsi="Arial" w:cs="Arial"/>
                <w:sz w:val="22"/>
                <w:szCs w:val="22"/>
                <w:lang w:val="es-ES"/>
              </w:rPr>
              <w:t>propósito</w:t>
            </w:r>
            <w:r w:rsidRPr="00D95727">
              <w:rPr>
                <w:rFonts w:ascii="Arial" w:hAnsi="Arial" w:cs="Arial"/>
                <w:sz w:val="22"/>
                <w:szCs w:val="22"/>
                <w:lang w:val="es-ES"/>
              </w:rPr>
              <w:t>/fin, acompañado de:</w:t>
            </w:r>
          </w:p>
          <w:p w:rsidR="005646C7" w:rsidRPr="00D95727" w:rsidRDefault="004F27B1" w:rsidP="005646C7">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Objetivos</w:t>
            </w:r>
            <w:r w:rsidR="005646C7" w:rsidRPr="00D95727">
              <w:rPr>
                <w:rFonts w:ascii="Arial" w:hAnsi="Arial" w:cs="Arial"/>
                <w:sz w:val="22"/>
                <w:szCs w:val="22"/>
                <w:lang w:val="es-ES"/>
              </w:rPr>
              <w:t>/prioridades subordinadas;</w:t>
            </w:r>
          </w:p>
          <w:p w:rsidR="005646C7" w:rsidRPr="00D95727" w:rsidRDefault="00284A4C" w:rsidP="005646C7">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Puntos de decisión</w:t>
            </w:r>
            <w:r w:rsidR="005646C7" w:rsidRPr="00D95727">
              <w:rPr>
                <w:rFonts w:ascii="Arial" w:hAnsi="Arial" w:cs="Arial"/>
                <w:sz w:val="22"/>
                <w:szCs w:val="22"/>
                <w:lang w:val="es-ES"/>
              </w:rPr>
              <w:t xml:space="preserve">; </w:t>
            </w:r>
            <w:r w:rsidR="007323AB" w:rsidRPr="00D95727">
              <w:rPr>
                <w:rFonts w:ascii="Arial" w:hAnsi="Arial" w:cs="Arial"/>
                <w:sz w:val="22"/>
                <w:szCs w:val="22"/>
                <w:lang w:val="es-ES"/>
              </w:rPr>
              <w:t xml:space="preserve"> </w:t>
            </w:r>
            <w:r w:rsidR="005646C7" w:rsidRPr="00D95727">
              <w:rPr>
                <w:rFonts w:ascii="Arial" w:hAnsi="Arial" w:cs="Arial"/>
                <w:sz w:val="22"/>
                <w:szCs w:val="22"/>
                <w:lang w:val="es-ES"/>
              </w:rPr>
              <w:t>y</w:t>
            </w:r>
          </w:p>
          <w:p w:rsidR="00D16F07" w:rsidRPr="00D95727" w:rsidRDefault="005646C7" w:rsidP="005646C7">
            <w:pPr>
              <w:numPr>
                <w:ilvl w:val="0"/>
                <w:numId w:val="19"/>
              </w:numPr>
              <w:spacing w:before="120" w:after="120"/>
              <w:ind w:left="455" w:hanging="270"/>
              <w:rPr>
                <w:rFonts w:ascii="Arial" w:hAnsi="Arial" w:cs="Arial"/>
                <w:sz w:val="22"/>
                <w:szCs w:val="22"/>
                <w:lang w:val="es-ES"/>
              </w:rPr>
            </w:pPr>
            <w:r w:rsidRPr="00D95727">
              <w:rPr>
                <w:rFonts w:ascii="Arial" w:hAnsi="Arial" w:cs="Arial"/>
                <w:sz w:val="22"/>
                <w:szCs w:val="22"/>
                <w:lang w:val="es-ES"/>
              </w:rPr>
              <w:t>Asignación de recursos en términos de sesiones/días</w:t>
            </w:r>
            <w:r w:rsidR="00616B9E" w:rsidRPr="00D95727">
              <w:rPr>
                <w:rFonts w:ascii="Arial" w:hAnsi="Arial" w:cs="Arial"/>
                <w:sz w:val="22"/>
                <w:szCs w:val="22"/>
                <w:lang w:val="es-ES"/>
              </w:rPr>
              <w:t>.</w:t>
            </w:r>
          </w:p>
          <w:p w:rsidR="00D16F07" w:rsidRPr="00D95727" w:rsidRDefault="005646C7" w:rsidP="00125B7F">
            <w:pPr>
              <w:spacing w:before="120" w:after="120"/>
              <w:rPr>
                <w:rFonts w:ascii="Arial" w:hAnsi="Arial" w:cs="Arial"/>
                <w:sz w:val="22"/>
                <w:szCs w:val="22"/>
                <w:lang w:val="es-ES"/>
              </w:rPr>
            </w:pPr>
            <w:r w:rsidRPr="00D95727">
              <w:rPr>
                <w:rFonts w:ascii="Arial" w:hAnsi="Arial" w:cs="Arial"/>
                <w:sz w:val="22"/>
                <w:szCs w:val="22"/>
                <w:lang w:val="es-ES"/>
              </w:rPr>
              <w:t>El programa de trabajo sigue otorgando la misma importancia y prioridad a todas las materias, pero aplica métodos de trabajo revisados para tratar de salvar discrepancias y propiciar consensos</w:t>
            </w:r>
            <w:r w:rsidR="00F515BE" w:rsidRPr="00D95727">
              <w:rPr>
                <w:rFonts w:ascii="Arial" w:hAnsi="Arial" w:cs="Arial"/>
                <w:sz w:val="22"/>
                <w:szCs w:val="22"/>
                <w:lang w:val="es-ES"/>
              </w:rPr>
              <w:t xml:space="preserve">.  </w:t>
            </w:r>
            <w:r w:rsidRPr="00D95727">
              <w:rPr>
                <w:rFonts w:ascii="Arial" w:hAnsi="Arial" w:cs="Arial"/>
                <w:sz w:val="22"/>
                <w:szCs w:val="22"/>
                <w:lang w:val="es-ES"/>
              </w:rPr>
              <w:t>Entre estos métodos revisados podrían figurar:</w:t>
            </w:r>
          </w:p>
          <w:p w:rsidR="00D16F07" w:rsidRPr="00D95727" w:rsidRDefault="005646C7" w:rsidP="005240F6">
            <w:pPr>
              <w:numPr>
                <w:ilvl w:val="0"/>
                <w:numId w:val="17"/>
              </w:numPr>
              <w:spacing w:before="120" w:after="120"/>
              <w:ind w:left="455" w:hanging="270"/>
              <w:rPr>
                <w:rFonts w:ascii="Arial" w:hAnsi="Arial" w:cs="Arial"/>
                <w:sz w:val="22"/>
                <w:szCs w:val="22"/>
                <w:lang w:val="es-ES"/>
              </w:rPr>
            </w:pPr>
            <w:r w:rsidRPr="00D95727">
              <w:rPr>
                <w:rFonts w:ascii="Arial" w:hAnsi="Arial" w:cs="Arial"/>
                <w:sz w:val="22"/>
                <w:szCs w:val="22"/>
                <w:lang w:val="es-ES"/>
              </w:rPr>
              <w:t>Grupos de trabajo</w:t>
            </w:r>
          </w:p>
          <w:p w:rsidR="00D16F07" w:rsidRPr="00D95727" w:rsidRDefault="005646C7" w:rsidP="005240F6">
            <w:pPr>
              <w:numPr>
                <w:ilvl w:val="0"/>
                <w:numId w:val="17"/>
              </w:numPr>
              <w:spacing w:before="120" w:after="120"/>
              <w:ind w:left="455" w:hanging="270"/>
              <w:rPr>
                <w:rFonts w:ascii="Arial" w:hAnsi="Arial" w:cs="Arial"/>
                <w:sz w:val="22"/>
                <w:szCs w:val="22"/>
                <w:lang w:val="es-ES"/>
              </w:rPr>
            </w:pPr>
            <w:r w:rsidRPr="00D95727">
              <w:rPr>
                <w:rFonts w:ascii="Arial" w:hAnsi="Arial" w:cs="Arial"/>
                <w:sz w:val="22"/>
                <w:szCs w:val="22"/>
                <w:lang w:val="es-ES"/>
              </w:rPr>
              <w:t>Paneles de expertos</w:t>
            </w:r>
          </w:p>
          <w:p w:rsidR="00DE7FCC" w:rsidRPr="00D95727" w:rsidRDefault="00D16F07" w:rsidP="00D16F07">
            <w:pPr>
              <w:numPr>
                <w:ilvl w:val="0"/>
                <w:numId w:val="17"/>
              </w:numPr>
              <w:spacing w:before="120" w:after="120"/>
              <w:ind w:left="455" w:hanging="270"/>
              <w:rPr>
                <w:rFonts w:ascii="Arial" w:hAnsi="Arial" w:cs="Arial"/>
                <w:sz w:val="22"/>
                <w:szCs w:val="22"/>
                <w:lang w:val="es-ES"/>
              </w:rPr>
            </w:pPr>
            <w:r w:rsidRPr="00D95727">
              <w:rPr>
                <w:rFonts w:ascii="Arial" w:hAnsi="Arial" w:cs="Arial"/>
                <w:sz w:val="22"/>
                <w:szCs w:val="22"/>
                <w:lang w:val="es-ES"/>
              </w:rPr>
              <w:t>Estudio</w:t>
            </w:r>
            <w:r w:rsidR="00CC75CD" w:rsidRPr="00D95727">
              <w:rPr>
                <w:rFonts w:ascii="Arial" w:hAnsi="Arial" w:cs="Arial"/>
                <w:sz w:val="22"/>
                <w:szCs w:val="22"/>
                <w:lang w:val="es-ES"/>
              </w:rPr>
              <w:t>s</w:t>
            </w:r>
          </w:p>
        </w:tc>
        <w:tc>
          <w:tcPr>
            <w:tcW w:w="3543" w:type="dxa"/>
            <w:tcBorders>
              <w:top w:val="single" w:sz="6" w:space="0" w:color="000000"/>
              <w:bottom w:val="single" w:sz="6" w:space="0" w:color="000000"/>
            </w:tcBorders>
            <w:shd w:val="clear" w:color="auto" w:fill="FFFFFF"/>
          </w:tcPr>
          <w:p w:rsidR="00DE7FCC" w:rsidRPr="00D95727" w:rsidRDefault="00D16F07" w:rsidP="00D16F07">
            <w:pPr>
              <w:spacing w:before="120" w:after="120"/>
              <w:rPr>
                <w:rFonts w:ascii="Arial" w:hAnsi="Arial" w:cs="Arial"/>
                <w:sz w:val="22"/>
                <w:szCs w:val="22"/>
                <w:lang w:val="es-ES"/>
              </w:rPr>
            </w:pPr>
            <w:r w:rsidRPr="00D95727">
              <w:rPr>
                <w:rFonts w:ascii="Arial" w:hAnsi="Arial" w:cs="Arial"/>
                <w:sz w:val="22"/>
                <w:szCs w:val="22"/>
                <w:lang w:val="es-ES"/>
              </w:rPr>
              <w:t>Idéntica al punto anterior.</w:t>
            </w:r>
          </w:p>
        </w:tc>
      </w:tr>
      <w:tr w:rsidR="00D95727" w:rsidRPr="00D95727" w:rsidTr="00150C13">
        <w:tc>
          <w:tcPr>
            <w:tcW w:w="1101" w:type="dxa"/>
            <w:tcBorders>
              <w:top w:val="single" w:sz="6" w:space="0" w:color="000000"/>
            </w:tcBorders>
            <w:shd w:val="clear" w:color="auto" w:fill="FFFFFF"/>
          </w:tcPr>
          <w:p w:rsidR="00DE7FCC" w:rsidRPr="00D95727" w:rsidRDefault="00E45419" w:rsidP="00125B7F">
            <w:pPr>
              <w:spacing w:before="120" w:after="120"/>
              <w:rPr>
                <w:rFonts w:ascii="Arial" w:hAnsi="Arial" w:cs="Arial"/>
                <w:b/>
                <w:bCs/>
                <w:sz w:val="22"/>
                <w:szCs w:val="22"/>
                <w:lang w:val="es-ES"/>
              </w:rPr>
            </w:pPr>
            <w:r w:rsidRPr="00D95727">
              <w:rPr>
                <w:rFonts w:ascii="Arial" w:hAnsi="Arial" w:cs="Arial"/>
                <w:b/>
                <w:bCs/>
                <w:sz w:val="22"/>
                <w:szCs w:val="22"/>
                <w:lang w:val="es-ES"/>
              </w:rPr>
              <w:t>2.c</w:t>
            </w:r>
          </w:p>
        </w:tc>
        <w:tc>
          <w:tcPr>
            <w:tcW w:w="2551" w:type="dxa"/>
            <w:tcBorders>
              <w:top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c>
          <w:tcPr>
            <w:tcW w:w="6975" w:type="dxa"/>
            <w:tcBorders>
              <w:top w:val="single" w:sz="6" w:space="0" w:color="000000"/>
            </w:tcBorders>
            <w:shd w:val="clear" w:color="auto" w:fill="FFFFFF"/>
          </w:tcPr>
          <w:p w:rsidR="00D16F07" w:rsidRPr="00D95727" w:rsidRDefault="0023235C" w:rsidP="00125B7F">
            <w:pPr>
              <w:spacing w:before="120" w:after="120"/>
              <w:rPr>
                <w:rFonts w:ascii="Arial" w:hAnsi="Arial" w:cs="Arial"/>
                <w:sz w:val="22"/>
                <w:szCs w:val="22"/>
                <w:lang w:val="es-ES"/>
              </w:rPr>
            </w:pPr>
            <w:r w:rsidRPr="00D95727">
              <w:rPr>
                <w:rFonts w:ascii="Arial" w:hAnsi="Arial" w:cs="Arial"/>
                <w:sz w:val="22"/>
                <w:szCs w:val="22"/>
                <w:lang w:val="es-ES"/>
              </w:rPr>
              <w:t xml:space="preserve">Un programa de trabajo revisado que permita adoptar un enfoque progresivo, </w:t>
            </w:r>
            <w:r w:rsidR="00AD24D1" w:rsidRPr="00D95727">
              <w:rPr>
                <w:rFonts w:ascii="Arial" w:hAnsi="Arial" w:cs="Arial"/>
                <w:sz w:val="22"/>
                <w:szCs w:val="22"/>
                <w:lang w:val="es-ES"/>
              </w:rPr>
              <w:t xml:space="preserve">basado </w:t>
            </w:r>
            <w:r w:rsidR="00284A4C" w:rsidRPr="00D95727">
              <w:rPr>
                <w:rFonts w:ascii="Arial" w:hAnsi="Arial" w:cs="Arial"/>
                <w:sz w:val="22"/>
                <w:szCs w:val="22"/>
                <w:lang w:val="es-ES"/>
              </w:rPr>
              <w:t xml:space="preserve">en </w:t>
            </w:r>
            <w:r w:rsidR="00AD24D1" w:rsidRPr="00D95727">
              <w:rPr>
                <w:rFonts w:ascii="Arial" w:hAnsi="Arial" w:cs="Arial"/>
                <w:sz w:val="22"/>
                <w:szCs w:val="22"/>
                <w:lang w:val="es-ES"/>
              </w:rPr>
              <w:t>dividir</w:t>
            </w:r>
            <w:r w:rsidRPr="00D95727">
              <w:rPr>
                <w:rFonts w:ascii="Arial" w:hAnsi="Arial" w:cs="Arial"/>
                <w:sz w:val="22"/>
                <w:szCs w:val="22"/>
                <w:lang w:val="es-ES"/>
              </w:rPr>
              <w:t xml:space="preserve"> las cuestiones en bloques más </w:t>
            </w:r>
            <w:r w:rsidR="0081785F" w:rsidRPr="00D95727">
              <w:rPr>
                <w:rFonts w:ascii="Arial" w:hAnsi="Arial" w:cs="Arial"/>
                <w:sz w:val="22"/>
                <w:szCs w:val="22"/>
                <w:lang w:val="es-ES"/>
              </w:rPr>
              <w:t>fácilmente abordables</w:t>
            </w:r>
            <w:r w:rsidR="00AD24D1" w:rsidRPr="00D95727">
              <w:rPr>
                <w:rFonts w:ascii="Arial" w:hAnsi="Arial" w:cs="Arial"/>
                <w:sz w:val="22"/>
                <w:szCs w:val="22"/>
                <w:lang w:val="es-ES"/>
              </w:rPr>
              <w:t>,</w:t>
            </w:r>
            <w:r w:rsidRPr="00D95727">
              <w:rPr>
                <w:rFonts w:ascii="Arial" w:hAnsi="Arial" w:cs="Arial"/>
                <w:sz w:val="22"/>
                <w:szCs w:val="22"/>
                <w:lang w:val="es-ES"/>
              </w:rPr>
              <w:t xml:space="preserve"> en función del grado de madurez del texto y de las oportunidades de alcanzar consensos, respetando las prioridades y los intereses de los Estados miembros</w:t>
            </w:r>
            <w:r w:rsidR="00F515BE" w:rsidRPr="00D95727">
              <w:rPr>
                <w:rFonts w:ascii="Arial" w:hAnsi="Arial" w:cs="Arial"/>
                <w:sz w:val="22"/>
                <w:szCs w:val="22"/>
                <w:lang w:val="es-ES"/>
              </w:rPr>
              <w:t xml:space="preserve">.  </w:t>
            </w:r>
            <w:r w:rsidRPr="00D95727">
              <w:rPr>
                <w:rFonts w:ascii="Arial" w:hAnsi="Arial" w:cs="Arial"/>
                <w:sz w:val="22"/>
                <w:szCs w:val="22"/>
                <w:lang w:val="es-ES"/>
              </w:rPr>
              <w:t xml:space="preserve">Ejemplos de ello serían </w:t>
            </w:r>
            <w:r w:rsidR="004F5983" w:rsidRPr="00D95727">
              <w:rPr>
                <w:rFonts w:ascii="Arial" w:hAnsi="Arial" w:cs="Arial"/>
                <w:b/>
                <w:sz w:val="22"/>
                <w:szCs w:val="22"/>
                <w:lang w:val="es-ES"/>
              </w:rPr>
              <w:t>(</w:t>
            </w:r>
            <w:r w:rsidRPr="00D95727">
              <w:rPr>
                <w:rFonts w:ascii="Arial" w:hAnsi="Arial" w:cs="Arial"/>
                <w:b/>
                <w:sz w:val="22"/>
                <w:szCs w:val="22"/>
                <w:lang w:val="es-ES"/>
              </w:rPr>
              <w:t>a título meramente ilustrativo</w:t>
            </w:r>
            <w:r w:rsidR="004F5983" w:rsidRPr="00D95727">
              <w:rPr>
                <w:rFonts w:ascii="Arial" w:hAnsi="Arial" w:cs="Arial"/>
                <w:b/>
                <w:sz w:val="22"/>
                <w:szCs w:val="22"/>
                <w:lang w:val="es-ES"/>
              </w:rPr>
              <w:t>)</w:t>
            </w:r>
            <w:r w:rsidR="00233249" w:rsidRPr="00D95727">
              <w:rPr>
                <w:rFonts w:ascii="Arial" w:hAnsi="Arial" w:cs="Arial"/>
                <w:sz w:val="22"/>
                <w:szCs w:val="22"/>
                <w:lang w:val="es-ES"/>
              </w:rPr>
              <w:t>:</w:t>
            </w:r>
          </w:p>
          <w:p w:rsidR="00D16F07" w:rsidRPr="00D95727" w:rsidRDefault="00D16F07" w:rsidP="00125B7F">
            <w:pPr>
              <w:spacing w:before="120" w:after="120"/>
              <w:rPr>
                <w:rFonts w:ascii="Arial" w:hAnsi="Arial" w:cs="Arial"/>
                <w:sz w:val="22"/>
                <w:szCs w:val="22"/>
                <w:lang w:val="es-ES"/>
              </w:rPr>
            </w:pPr>
          </w:p>
          <w:p w:rsidR="00D16F07" w:rsidRPr="00D95727" w:rsidRDefault="0023235C" w:rsidP="005240F6">
            <w:pPr>
              <w:numPr>
                <w:ilvl w:val="0"/>
                <w:numId w:val="20"/>
              </w:numPr>
              <w:spacing w:before="120" w:after="120"/>
              <w:ind w:left="455" w:hanging="270"/>
              <w:rPr>
                <w:rFonts w:ascii="Arial" w:hAnsi="Arial" w:cs="Arial"/>
                <w:sz w:val="22"/>
                <w:szCs w:val="22"/>
                <w:lang w:val="es-ES"/>
              </w:rPr>
            </w:pPr>
            <w:r w:rsidRPr="00D95727">
              <w:rPr>
                <w:rFonts w:ascii="Arial" w:hAnsi="Arial" w:cs="Arial"/>
                <w:sz w:val="22"/>
                <w:szCs w:val="22"/>
                <w:lang w:val="es-ES"/>
              </w:rPr>
              <w:t xml:space="preserve">Elaborar y distribuir una declaración de los miembros de la OMPI que fortalezca su compromiso con la labor en este ámbito en relación con todas las materias y desde una </w:t>
            </w:r>
            <w:r w:rsidRPr="00D95727">
              <w:rPr>
                <w:rFonts w:ascii="Arial" w:hAnsi="Arial" w:cs="Arial"/>
                <w:sz w:val="22"/>
                <w:szCs w:val="22"/>
                <w:lang w:val="es-ES"/>
              </w:rPr>
              <w:lastRenderedPageBreak/>
              <w:t>perspectiva equilibrada que tome en consideración los intereses de todas las partes interesadas</w:t>
            </w:r>
            <w:r w:rsidR="00F515BE" w:rsidRPr="00D95727">
              <w:rPr>
                <w:rFonts w:ascii="Arial" w:hAnsi="Arial" w:cs="Arial"/>
                <w:sz w:val="22"/>
                <w:szCs w:val="22"/>
                <w:lang w:val="es-ES"/>
              </w:rPr>
              <w:t xml:space="preserve">.  </w:t>
            </w:r>
          </w:p>
          <w:p w:rsidR="00D16F07" w:rsidRPr="00D95727" w:rsidRDefault="0023235C" w:rsidP="00125B7F">
            <w:pPr>
              <w:numPr>
                <w:ilvl w:val="0"/>
                <w:numId w:val="20"/>
              </w:numPr>
              <w:spacing w:before="120" w:after="120"/>
              <w:rPr>
                <w:rFonts w:ascii="Arial" w:hAnsi="Arial" w:cs="Arial"/>
                <w:sz w:val="22"/>
                <w:szCs w:val="22"/>
                <w:lang w:val="es-ES"/>
              </w:rPr>
            </w:pPr>
            <w:r w:rsidRPr="00D95727">
              <w:rPr>
                <w:rFonts w:ascii="Arial" w:hAnsi="Arial" w:cs="Arial"/>
                <w:sz w:val="22"/>
                <w:szCs w:val="22"/>
                <w:lang w:val="es-ES"/>
              </w:rPr>
              <w:t>Concluir las negociaciones sobre los RR.GG</w:t>
            </w:r>
            <w:r w:rsidR="00233249" w:rsidRPr="00D95727">
              <w:rPr>
                <w:rFonts w:ascii="Arial" w:hAnsi="Arial" w:cs="Arial"/>
                <w:sz w:val="22"/>
                <w:szCs w:val="22"/>
                <w:lang w:val="es-ES"/>
              </w:rPr>
              <w:t>.</w:t>
            </w:r>
          </w:p>
          <w:p w:rsidR="00D16F07" w:rsidRPr="00D95727" w:rsidRDefault="0023235C" w:rsidP="00125B7F">
            <w:pPr>
              <w:numPr>
                <w:ilvl w:val="0"/>
                <w:numId w:val="20"/>
              </w:numPr>
              <w:spacing w:before="120" w:after="120"/>
              <w:rPr>
                <w:rFonts w:ascii="Arial" w:hAnsi="Arial" w:cs="Arial"/>
                <w:sz w:val="22"/>
                <w:szCs w:val="22"/>
                <w:lang w:val="es-ES"/>
              </w:rPr>
            </w:pPr>
            <w:r w:rsidRPr="00D95727">
              <w:rPr>
                <w:rFonts w:ascii="Arial" w:hAnsi="Arial" w:cs="Arial"/>
                <w:sz w:val="22"/>
                <w:szCs w:val="22"/>
                <w:lang w:val="es-ES"/>
              </w:rPr>
              <w:t>Concluir las negociaciones sobre los CC.TT</w:t>
            </w:r>
            <w:r w:rsidR="00C41FB2"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y las ECT en materia de derechos morales</w:t>
            </w:r>
            <w:r w:rsidR="00233249" w:rsidRPr="00D95727">
              <w:rPr>
                <w:rFonts w:ascii="Arial" w:hAnsi="Arial" w:cs="Arial"/>
                <w:sz w:val="22"/>
                <w:szCs w:val="22"/>
                <w:lang w:val="es-ES"/>
              </w:rPr>
              <w:t>.</w:t>
            </w:r>
          </w:p>
          <w:p w:rsidR="00D16F07" w:rsidRPr="00D95727" w:rsidRDefault="0023235C" w:rsidP="00125B7F">
            <w:pPr>
              <w:numPr>
                <w:ilvl w:val="0"/>
                <w:numId w:val="20"/>
              </w:numPr>
              <w:spacing w:before="120" w:after="120"/>
              <w:rPr>
                <w:rFonts w:ascii="Arial" w:hAnsi="Arial" w:cs="Arial"/>
                <w:sz w:val="22"/>
                <w:szCs w:val="22"/>
                <w:lang w:val="es-ES"/>
              </w:rPr>
            </w:pPr>
            <w:r w:rsidRPr="00D95727">
              <w:rPr>
                <w:rFonts w:ascii="Arial" w:hAnsi="Arial" w:cs="Arial"/>
                <w:sz w:val="22"/>
                <w:szCs w:val="22"/>
                <w:lang w:val="es-ES"/>
              </w:rPr>
              <w:t>Concluir las negociaciones sobre los CC.TT</w:t>
            </w:r>
            <w:r w:rsidR="00C41FB2"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y las ECT en materia de derechos patrimoniales</w:t>
            </w:r>
            <w:r w:rsidR="00233249" w:rsidRPr="00D95727">
              <w:rPr>
                <w:rFonts w:ascii="Arial" w:hAnsi="Arial" w:cs="Arial"/>
                <w:sz w:val="22"/>
                <w:szCs w:val="22"/>
                <w:lang w:val="es-ES"/>
              </w:rPr>
              <w:t>.</w:t>
            </w:r>
          </w:p>
          <w:p w:rsidR="00DE7FCC" w:rsidRPr="00D95727" w:rsidRDefault="00371C30" w:rsidP="00371C30">
            <w:pPr>
              <w:spacing w:before="120" w:after="120"/>
              <w:rPr>
                <w:rFonts w:ascii="Arial" w:hAnsi="Arial" w:cs="Arial"/>
                <w:sz w:val="22"/>
                <w:szCs w:val="22"/>
                <w:lang w:val="es-ES"/>
              </w:rPr>
            </w:pPr>
            <w:r w:rsidRPr="00D95727">
              <w:rPr>
                <w:rFonts w:ascii="Arial" w:hAnsi="Arial" w:cs="Arial"/>
                <w:sz w:val="22"/>
                <w:szCs w:val="22"/>
                <w:lang w:val="es-ES"/>
              </w:rPr>
              <w:t xml:space="preserve">Paralelamente, elaborar recomendaciones/propuestas para avanzar en </w:t>
            </w:r>
            <w:r w:rsidR="00C41FB2" w:rsidRPr="00D95727">
              <w:rPr>
                <w:rFonts w:ascii="Arial" w:hAnsi="Arial" w:cs="Arial"/>
                <w:sz w:val="22"/>
                <w:szCs w:val="22"/>
                <w:lang w:val="es-ES"/>
              </w:rPr>
              <w:t xml:space="preserve">la esfera de </w:t>
            </w:r>
            <w:r w:rsidRPr="00D95727">
              <w:rPr>
                <w:rFonts w:ascii="Arial" w:hAnsi="Arial" w:cs="Arial"/>
                <w:sz w:val="22"/>
                <w:szCs w:val="22"/>
                <w:lang w:val="es-ES"/>
              </w:rPr>
              <w:t>las medidas no normativas</w:t>
            </w:r>
            <w:r w:rsidR="00233249" w:rsidRPr="00D95727">
              <w:rPr>
                <w:rFonts w:ascii="Arial" w:hAnsi="Arial" w:cs="Arial"/>
                <w:sz w:val="22"/>
                <w:szCs w:val="22"/>
                <w:lang w:val="es-ES"/>
              </w:rPr>
              <w:t>.</w:t>
            </w:r>
          </w:p>
        </w:tc>
        <w:tc>
          <w:tcPr>
            <w:tcW w:w="3543" w:type="dxa"/>
            <w:tcBorders>
              <w:top w:val="single" w:sz="6" w:space="0" w:color="000000"/>
            </w:tcBorders>
            <w:shd w:val="clear" w:color="auto" w:fill="FFFFFF"/>
          </w:tcPr>
          <w:p w:rsidR="00D16F07" w:rsidRPr="00D95727" w:rsidRDefault="0023235C" w:rsidP="00125B7F">
            <w:pPr>
              <w:spacing w:before="120" w:after="120"/>
              <w:rPr>
                <w:rFonts w:ascii="Arial" w:hAnsi="Arial" w:cs="Arial"/>
                <w:sz w:val="22"/>
                <w:szCs w:val="22"/>
                <w:lang w:val="es-ES"/>
              </w:rPr>
            </w:pPr>
            <w:r w:rsidRPr="00D95727">
              <w:rPr>
                <w:rFonts w:ascii="Arial" w:hAnsi="Arial" w:cs="Arial"/>
                <w:sz w:val="22"/>
                <w:szCs w:val="22"/>
                <w:lang w:val="es-ES"/>
              </w:rPr>
              <w:lastRenderedPageBreak/>
              <w:t>Un enfoque de este tipo debería incorporar salvaguardias para asegurar</w:t>
            </w:r>
            <w:r w:rsidR="00616B9E" w:rsidRPr="00D95727">
              <w:rPr>
                <w:rFonts w:ascii="Arial" w:hAnsi="Arial" w:cs="Arial"/>
                <w:sz w:val="22"/>
                <w:szCs w:val="22"/>
                <w:lang w:val="es-ES"/>
              </w:rPr>
              <w:t>:</w:t>
            </w:r>
          </w:p>
          <w:p w:rsidR="00D16F07" w:rsidRPr="00D95727" w:rsidRDefault="0023235C" w:rsidP="005240F6">
            <w:pPr>
              <w:numPr>
                <w:ilvl w:val="0"/>
                <w:numId w:val="18"/>
              </w:numPr>
              <w:spacing w:before="120" w:after="120"/>
              <w:ind w:left="402" w:hanging="287"/>
              <w:rPr>
                <w:rFonts w:ascii="Arial" w:hAnsi="Arial" w:cs="Arial"/>
                <w:sz w:val="22"/>
                <w:szCs w:val="22"/>
                <w:lang w:val="es-ES"/>
              </w:rPr>
            </w:pPr>
            <w:r w:rsidRPr="00D95727">
              <w:rPr>
                <w:rFonts w:ascii="Arial" w:hAnsi="Arial" w:cs="Arial"/>
                <w:sz w:val="22"/>
                <w:szCs w:val="22"/>
                <w:lang w:val="es-ES"/>
              </w:rPr>
              <w:t>Que los resultados alcanzados en un ámbito no amena</w:t>
            </w:r>
            <w:r w:rsidR="00371C30" w:rsidRPr="00D95727">
              <w:rPr>
                <w:rFonts w:ascii="Arial" w:hAnsi="Arial" w:cs="Arial"/>
                <w:sz w:val="22"/>
                <w:szCs w:val="22"/>
                <w:lang w:val="es-ES"/>
              </w:rPr>
              <w:t>ce</w:t>
            </w:r>
            <w:r w:rsidRPr="00D95727">
              <w:rPr>
                <w:rFonts w:ascii="Arial" w:hAnsi="Arial" w:cs="Arial"/>
                <w:sz w:val="22"/>
                <w:szCs w:val="22"/>
                <w:lang w:val="es-ES"/>
              </w:rPr>
              <w:t xml:space="preserve">n la continuidad </w:t>
            </w:r>
            <w:r w:rsidR="00C41FB2" w:rsidRPr="00D95727">
              <w:rPr>
                <w:rFonts w:ascii="Arial" w:hAnsi="Arial" w:cs="Arial"/>
                <w:sz w:val="22"/>
                <w:szCs w:val="22"/>
                <w:lang w:val="es-ES"/>
              </w:rPr>
              <w:t>de la labor</w:t>
            </w:r>
            <w:r w:rsidRPr="00D95727">
              <w:rPr>
                <w:rFonts w:ascii="Arial" w:hAnsi="Arial" w:cs="Arial"/>
                <w:sz w:val="22"/>
                <w:szCs w:val="22"/>
                <w:lang w:val="es-ES"/>
              </w:rPr>
              <w:t xml:space="preserve"> en las demás materias</w:t>
            </w:r>
          </w:p>
          <w:p w:rsidR="00D16F07" w:rsidRPr="00D95727" w:rsidRDefault="0023235C" w:rsidP="005240F6">
            <w:pPr>
              <w:numPr>
                <w:ilvl w:val="0"/>
                <w:numId w:val="18"/>
              </w:numPr>
              <w:spacing w:before="120" w:after="120"/>
              <w:ind w:left="402" w:hanging="287"/>
              <w:rPr>
                <w:rFonts w:ascii="Arial" w:hAnsi="Arial" w:cs="Arial"/>
                <w:sz w:val="22"/>
                <w:szCs w:val="22"/>
                <w:lang w:val="es-ES"/>
              </w:rPr>
            </w:pPr>
            <w:r w:rsidRPr="00D95727">
              <w:rPr>
                <w:rFonts w:ascii="Arial" w:hAnsi="Arial" w:cs="Arial"/>
                <w:sz w:val="22"/>
                <w:szCs w:val="22"/>
                <w:lang w:val="es-ES"/>
              </w:rPr>
              <w:t xml:space="preserve">Que los resultados obtenidos en </w:t>
            </w:r>
            <w:r w:rsidRPr="00D95727">
              <w:rPr>
                <w:rFonts w:ascii="Arial" w:hAnsi="Arial" w:cs="Arial"/>
                <w:sz w:val="22"/>
                <w:szCs w:val="22"/>
                <w:lang w:val="es-ES"/>
              </w:rPr>
              <w:lastRenderedPageBreak/>
              <w:t>materia de derechos morales relativos a los CC.TT</w:t>
            </w:r>
            <w:r w:rsidR="00C41FB2"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y las ECT no s</w:t>
            </w:r>
            <w:r w:rsidR="00371C30" w:rsidRPr="00D95727">
              <w:rPr>
                <w:rFonts w:ascii="Arial" w:hAnsi="Arial" w:cs="Arial"/>
                <w:sz w:val="22"/>
                <w:szCs w:val="22"/>
                <w:lang w:val="es-ES"/>
              </w:rPr>
              <w:t>ea</w:t>
            </w:r>
            <w:r w:rsidRPr="00D95727">
              <w:rPr>
                <w:rFonts w:ascii="Arial" w:hAnsi="Arial" w:cs="Arial"/>
                <w:sz w:val="22"/>
                <w:szCs w:val="22"/>
                <w:lang w:val="es-ES"/>
              </w:rPr>
              <w:t xml:space="preserve">n un obstáculo para </w:t>
            </w:r>
            <w:r w:rsidR="00371C30" w:rsidRPr="00D95727">
              <w:rPr>
                <w:rFonts w:ascii="Arial" w:hAnsi="Arial" w:cs="Arial"/>
                <w:sz w:val="22"/>
                <w:szCs w:val="22"/>
                <w:lang w:val="es-ES"/>
              </w:rPr>
              <w:t>abordar</w:t>
            </w:r>
            <w:r w:rsidRPr="00D95727">
              <w:rPr>
                <w:rFonts w:ascii="Arial" w:hAnsi="Arial" w:cs="Arial"/>
                <w:sz w:val="22"/>
                <w:szCs w:val="22"/>
                <w:lang w:val="es-ES"/>
              </w:rPr>
              <w:t xml:space="preserve"> los derechos patrimoniales</w:t>
            </w:r>
            <w:r w:rsidR="00616B9E" w:rsidRPr="00D95727">
              <w:rPr>
                <w:rFonts w:ascii="Arial" w:hAnsi="Arial" w:cs="Arial"/>
                <w:sz w:val="22"/>
                <w:szCs w:val="22"/>
                <w:lang w:val="es-ES"/>
              </w:rPr>
              <w:t xml:space="preserve"> </w:t>
            </w:r>
          </w:p>
          <w:p w:rsidR="00DE7FCC" w:rsidRPr="00D95727" w:rsidRDefault="0023235C" w:rsidP="00125B7F">
            <w:pPr>
              <w:spacing w:before="120" w:after="120"/>
              <w:rPr>
                <w:rFonts w:ascii="Arial" w:hAnsi="Arial" w:cs="Arial"/>
                <w:sz w:val="22"/>
                <w:szCs w:val="22"/>
                <w:lang w:val="es-ES"/>
              </w:rPr>
            </w:pPr>
            <w:r w:rsidRPr="00D95727">
              <w:rPr>
                <w:rFonts w:ascii="Arial" w:hAnsi="Arial" w:cs="Arial"/>
                <w:sz w:val="22"/>
                <w:szCs w:val="22"/>
                <w:lang w:val="es-ES"/>
              </w:rPr>
              <w:t>También debería reconocer que existen cuestiones transversales en relación con los CC.TT</w:t>
            </w:r>
            <w:r w:rsidR="00C41FB2" w:rsidRPr="00D95727">
              <w:rPr>
                <w:rFonts w:ascii="Arial" w:hAnsi="Arial" w:cs="Arial"/>
                <w:sz w:val="22"/>
                <w:szCs w:val="22"/>
                <w:lang w:val="es-ES"/>
              </w:rPr>
              <w:t>.</w:t>
            </w:r>
            <w:r w:rsidR="00F515BE" w:rsidRPr="00D95727">
              <w:rPr>
                <w:rFonts w:ascii="Arial" w:hAnsi="Arial" w:cs="Arial"/>
                <w:sz w:val="22"/>
                <w:szCs w:val="22"/>
                <w:lang w:val="es-ES"/>
              </w:rPr>
              <w:t xml:space="preserve"> </w:t>
            </w:r>
            <w:r w:rsidRPr="00D95727">
              <w:rPr>
                <w:rFonts w:ascii="Arial" w:hAnsi="Arial" w:cs="Arial"/>
                <w:sz w:val="22"/>
                <w:szCs w:val="22"/>
                <w:lang w:val="es-ES"/>
              </w:rPr>
              <w:t>y los ECT</w:t>
            </w:r>
            <w:r w:rsidR="00616B9E" w:rsidRPr="00D95727">
              <w:rPr>
                <w:rFonts w:ascii="Arial" w:hAnsi="Arial" w:cs="Arial"/>
                <w:sz w:val="22"/>
                <w:szCs w:val="22"/>
                <w:lang w:val="es-ES"/>
              </w:rPr>
              <w:t>.</w:t>
            </w:r>
          </w:p>
        </w:tc>
      </w:tr>
      <w:tr w:rsidR="00D95727" w:rsidRPr="00D95727" w:rsidTr="00722D62">
        <w:tc>
          <w:tcPr>
            <w:tcW w:w="1101" w:type="dxa"/>
            <w:tcBorders>
              <w:bottom w:val="single" w:sz="6" w:space="0" w:color="000000"/>
            </w:tcBorders>
            <w:shd w:val="clear" w:color="auto" w:fill="FFFFFF"/>
          </w:tcPr>
          <w:p w:rsidR="00DE7FCC" w:rsidRPr="00D95727" w:rsidRDefault="00DE7FCC" w:rsidP="00125B7F">
            <w:pPr>
              <w:spacing w:before="120" w:after="120"/>
              <w:rPr>
                <w:rFonts w:ascii="Arial" w:hAnsi="Arial" w:cs="Arial"/>
                <w:b/>
                <w:bCs/>
                <w:sz w:val="22"/>
                <w:szCs w:val="22"/>
                <w:lang w:val="es-ES"/>
              </w:rPr>
            </w:pPr>
          </w:p>
        </w:tc>
        <w:tc>
          <w:tcPr>
            <w:tcW w:w="2551" w:type="dxa"/>
            <w:tcBorders>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c>
          <w:tcPr>
            <w:tcW w:w="6975" w:type="dxa"/>
            <w:tcBorders>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c>
          <w:tcPr>
            <w:tcW w:w="3543" w:type="dxa"/>
            <w:tcBorders>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r>
    </w:tbl>
    <w:p w:rsidR="00E45419" w:rsidRPr="00D95727" w:rsidRDefault="00E45419" w:rsidP="00125B7F">
      <w:pPr>
        <w:spacing w:before="120" w:after="120"/>
        <w:rPr>
          <w:rFonts w:ascii="Arial" w:hAnsi="Arial" w:cs="Arial"/>
          <w:sz w:val="22"/>
          <w:szCs w:val="22"/>
          <w:lang w:val="es-ES"/>
        </w:rPr>
      </w:pPr>
      <w:r w:rsidRPr="00D95727">
        <w:rPr>
          <w:rFonts w:ascii="Arial" w:hAnsi="Arial" w:cs="Arial"/>
          <w:sz w:val="22"/>
          <w:szCs w:val="22"/>
          <w:lang w:val="es-ES"/>
        </w:rPr>
        <w:br w:type="page"/>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shd w:val="clear" w:color="auto" w:fill="FFFFFF"/>
        <w:tblLook w:val="04A0" w:firstRow="1" w:lastRow="0" w:firstColumn="1" w:lastColumn="0" w:noHBand="0" w:noVBand="1"/>
      </w:tblPr>
      <w:tblGrid>
        <w:gridCol w:w="1073"/>
        <w:gridCol w:w="2097"/>
        <w:gridCol w:w="4047"/>
        <w:gridCol w:w="2269"/>
      </w:tblGrid>
      <w:tr w:rsidR="00D95727" w:rsidRPr="00D95727" w:rsidTr="00722D62">
        <w:tc>
          <w:tcPr>
            <w:tcW w:w="1073"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lastRenderedPageBreak/>
              <w:t>Número</w:t>
            </w:r>
          </w:p>
        </w:tc>
        <w:tc>
          <w:tcPr>
            <w:tcW w:w="2097" w:type="dxa"/>
            <w:tcBorders>
              <w:top w:val="single" w:sz="6" w:space="0" w:color="000000"/>
              <w:bottom w:val="single" w:sz="6" w:space="0" w:color="000000"/>
            </w:tcBorders>
            <w:shd w:val="clear" w:color="auto" w:fill="BFBFBF"/>
          </w:tcPr>
          <w:p w:rsidR="00E45419" w:rsidRPr="00D95727" w:rsidRDefault="00C77429" w:rsidP="00125B7F">
            <w:pPr>
              <w:spacing w:before="120" w:after="120"/>
              <w:rPr>
                <w:rFonts w:ascii="Arial" w:hAnsi="Arial" w:cs="Arial"/>
                <w:b/>
                <w:bCs/>
                <w:i/>
                <w:iCs/>
                <w:sz w:val="22"/>
                <w:szCs w:val="22"/>
                <w:lang w:val="es-ES"/>
              </w:rPr>
            </w:pPr>
            <w:r w:rsidRPr="00D95727">
              <w:rPr>
                <w:rFonts w:ascii="Arial" w:hAnsi="Arial" w:cs="Arial"/>
                <w:b/>
                <w:bCs/>
                <w:i/>
                <w:iCs/>
                <w:sz w:val="22"/>
                <w:szCs w:val="22"/>
                <w:lang w:val="es-ES"/>
              </w:rPr>
              <w:t>Opción de alto nivel</w:t>
            </w:r>
          </w:p>
        </w:tc>
        <w:tc>
          <w:tcPr>
            <w:tcW w:w="4047"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Alternativa</w:t>
            </w:r>
            <w:r w:rsidR="00CC75CD" w:rsidRPr="00D95727">
              <w:rPr>
                <w:rFonts w:ascii="Arial" w:hAnsi="Arial" w:cs="Arial"/>
                <w:b/>
                <w:bCs/>
                <w:i/>
                <w:iCs/>
                <w:sz w:val="22"/>
                <w:szCs w:val="22"/>
                <w:lang w:val="es-ES"/>
              </w:rPr>
              <w:t>s</w:t>
            </w:r>
          </w:p>
        </w:tc>
        <w:tc>
          <w:tcPr>
            <w:tcW w:w="2269" w:type="dxa"/>
            <w:tcBorders>
              <w:top w:val="single" w:sz="6" w:space="0" w:color="000000"/>
              <w:bottom w:val="single" w:sz="6" w:space="0" w:color="000000"/>
            </w:tcBorders>
            <w:shd w:val="clear" w:color="auto" w:fill="BFBFBF"/>
          </w:tcPr>
          <w:p w:rsidR="00E45419" w:rsidRPr="00D95727" w:rsidRDefault="00D16F07" w:rsidP="00D16F07">
            <w:pPr>
              <w:spacing w:before="120" w:after="120"/>
              <w:rPr>
                <w:rFonts w:ascii="Arial" w:hAnsi="Arial" w:cs="Arial"/>
                <w:b/>
                <w:bCs/>
                <w:i/>
                <w:iCs/>
                <w:sz w:val="22"/>
                <w:szCs w:val="22"/>
                <w:lang w:val="es-ES"/>
              </w:rPr>
            </w:pPr>
            <w:r w:rsidRPr="00D95727">
              <w:rPr>
                <w:rFonts w:ascii="Arial" w:hAnsi="Arial" w:cs="Arial"/>
                <w:b/>
                <w:bCs/>
                <w:i/>
                <w:iCs/>
                <w:sz w:val="22"/>
                <w:szCs w:val="22"/>
                <w:lang w:val="es-ES"/>
              </w:rPr>
              <w:t>Observaciones</w:t>
            </w:r>
          </w:p>
        </w:tc>
      </w:tr>
      <w:tr w:rsidR="00D95727" w:rsidRPr="00D95727" w:rsidTr="00722D62">
        <w:tc>
          <w:tcPr>
            <w:tcW w:w="1073" w:type="dxa"/>
            <w:tcBorders>
              <w:bottom w:val="single" w:sz="6" w:space="0" w:color="000000"/>
            </w:tcBorders>
            <w:shd w:val="clear" w:color="auto" w:fill="FFFFFF"/>
          </w:tcPr>
          <w:p w:rsidR="00DE7FCC" w:rsidRPr="00D95727" w:rsidRDefault="00105B17" w:rsidP="00125B7F">
            <w:pPr>
              <w:spacing w:before="120" w:after="120"/>
              <w:rPr>
                <w:rFonts w:ascii="Arial" w:hAnsi="Arial" w:cs="Arial"/>
                <w:b/>
                <w:bCs/>
                <w:sz w:val="22"/>
                <w:szCs w:val="22"/>
                <w:lang w:val="es-ES"/>
              </w:rPr>
            </w:pPr>
            <w:r w:rsidRPr="00D95727">
              <w:rPr>
                <w:rFonts w:ascii="Arial" w:hAnsi="Arial" w:cs="Arial"/>
                <w:b/>
                <w:bCs/>
                <w:sz w:val="22"/>
                <w:szCs w:val="22"/>
                <w:lang w:val="es-ES"/>
              </w:rPr>
              <w:t>3</w:t>
            </w:r>
            <w:r w:rsidR="00A26C54" w:rsidRPr="00D95727">
              <w:rPr>
                <w:rFonts w:ascii="Arial" w:hAnsi="Arial" w:cs="Arial"/>
                <w:b/>
                <w:bCs/>
                <w:sz w:val="22"/>
                <w:szCs w:val="22"/>
                <w:lang w:val="es-ES"/>
              </w:rPr>
              <w:t>.a</w:t>
            </w:r>
          </w:p>
        </w:tc>
        <w:tc>
          <w:tcPr>
            <w:tcW w:w="2097" w:type="dxa"/>
            <w:tcBorders>
              <w:bottom w:val="single" w:sz="6" w:space="0" w:color="000000"/>
            </w:tcBorders>
            <w:shd w:val="clear" w:color="auto" w:fill="FFFFFF"/>
          </w:tcPr>
          <w:p w:rsidR="00DE7FCC" w:rsidRPr="00D95727" w:rsidRDefault="00371C30" w:rsidP="00AC5EEF">
            <w:pPr>
              <w:spacing w:before="120" w:after="120"/>
              <w:rPr>
                <w:rFonts w:ascii="Arial" w:hAnsi="Arial" w:cs="Arial"/>
                <w:sz w:val="22"/>
                <w:szCs w:val="22"/>
                <w:lang w:val="es-ES"/>
              </w:rPr>
            </w:pPr>
            <w:r w:rsidRPr="00D95727">
              <w:rPr>
                <w:rFonts w:ascii="Arial" w:hAnsi="Arial" w:cs="Arial"/>
                <w:sz w:val="22"/>
                <w:szCs w:val="22"/>
                <w:lang w:val="es-ES"/>
              </w:rPr>
              <w:t>Dividir la labor del comité en normativa y no normativa</w:t>
            </w:r>
          </w:p>
        </w:tc>
        <w:tc>
          <w:tcPr>
            <w:tcW w:w="4047" w:type="dxa"/>
            <w:tcBorders>
              <w:bottom w:val="single" w:sz="6" w:space="0" w:color="000000"/>
            </w:tcBorders>
            <w:shd w:val="clear" w:color="auto" w:fill="FFFFFF"/>
          </w:tcPr>
          <w:p w:rsidR="00A26C54" w:rsidRPr="00D95727" w:rsidRDefault="005B1B01" w:rsidP="005B1B01">
            <w:pPr>
              <w:spacing w:before="120" w:after="120"/>
              <w:rPr>
                <w:rFonts w:ascii="Arial" w:hAnsi="Arial" w:cs="Arial"/>
                <w:sz w:val="22"/>
                <w:szCs w:val="22"/>
                <w:lang w:val="es-ES"/>
              </w:rPr>
            </w:pPr>
            <w:r w:rsidRPr="00D95727">
              <w:rPr>
                <w:rFonts w:ascii="Arial" w:hAnsi="Arial" w:cs="Arial"/>
                <w:sz w:val="22"/>
                <w:szCs w:val="22"/>
                <w:lang w:val="es-ES"/>
              </w:rPr>
              <w:t>El Comité crea un grupo de trabajo para avanzar en la labor no normativa con el apoyo de la Secretaría de la OMPI</w:t>
            </w:r>
            <w:r w:rsidR="00F515BE" w:rsidRPr="00D95727">
              <w:rPr>
                <w:rFonts w:ascii="Arial" w:hAnsi="Arial" w:cs="Arial"/>
                <w:sz w:val="22"/>
                <w:szCs w:val="22"/>
                <w:lang w:val="es-ES"/>
              </w:rPr>
              <w:t xml:space="preserve">.  </w:t>
            </w:r>
            <w:r w:rsidRPr="00D95727">
              <w:rPr>
                <w:rFonts w:ascii="Arial" w:hAnsi="Arial" w:cs="Arial"/>
                <w:sz w:val="22"/>
                <w:szCs w:val="22"/>
                <w:lang w:val="es-ES"/>
              </w:rPr>
              <w:t>Dicha labor estaría supervisada por el Comité</w:t>
            </w:r>
            <w:r w:rsidR="00F515BE" w:rsidRPr="00D95727">
              <w:rPr>
                <w:rFonts w:ascii="Arial" w:hAnsi="Arial" w:cs="Arial"/>
                <w:sz w:val="22"/>
                <w:szCs w:val="22"/>
                <w:lang w:val="es-ES"/>
              </w:rPr>
              <w:t xml:space="preserve">.  </w:t>
            </w:r>
            <w:r w:rsidRPr="00D95727">
              <w:rPr>
                <w:rFonts w:ascii="Arial" w:hAnsi="Arial" w:cs="Arial"/>
                <w:sz w:val="22"/>
                <w:szCs w:val="22"/>
                <w:lang w:val="es-ES"/>
              </w:rPr>
              <w:t>La labor normativa prosigue bajo la dirección de la sesión plenaria del CIG.</w:t>
            </w:r>
          </w:p>
        </w:tc>
        <w:tc>
          <w:tcPr>
            <w:tcW w:w="2269" w:type="dxa"/>
            <w:tcBorders>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r>
      <w:tr w:rsidR="00D95727" w:rsidRPr="00D95727" w:rsidTr="00722D62">
        <w:tc>
          <w:tcPr>
            <w:tcW w:w="1073" w:type="dxa"/>
            <w:tcBorders>
              <w:top w:val="single" w:sz="6" w:space="0" w:color="000000"/>
              <w:bottom w:val="single" w:sz="6" w:space="0" w:color="000000"/>
            </w:tcBorders>
            <w:shd w:val="clear" w:color="auto" w:fill="FFFFFF"/>
          </w:tcPr>
          <w:p w:rsidR="00DE7FCC" w:rsidRPr="00D95727" w:rsidRDefault="00A26C54" w:rsidP="00125B7F">
            <w:pPr>
              <w:spacing w:before="120" w:after="120"/>
              <w:rPr>
                <w:rFonts w:ascii="Arial" w:hAnsi="Arial" w:cs="Arial"/>
                <w:b/>
                <w:bCs/>
                <w:sz w:val="22"/>
                <w:szCs w:val="22"/>
                <w:lang w:val="es-ES"/>
              </w:rPr>
            </w:pPr>
            <w:r w:rsidRPr="00D95727">
              <w:rPr>
                <w:rFonts w:ascii="Arial" w:hAnsi="Arial" w:cs="Arial"/>
                <w:b/>
                <w:bCs/>
                <w:sz w:val="22"/>
                <w:szCs w:val="22"/>
                <w:lang w:val="es-ES"/>
              </w:rPr>
              <w:t>3.b</w:t>
            </w:r>
          </w:p>
        </w:tc>
        <w:tc>
          <w:tcPr>
            <w:tcW w:w="2097" w:type="dxa"/>
            <w:tcBorders>
              <w:top w:val="single" w:sz="6" w:space="0" w:color="000000"/>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c>
          <w:tcPr>
            <w:tcW w:w="4047" w:type="dxa"/>
            <w:tcBorders>
              <w:top w:val="single" w:sz="6" w:space="0" w:color="000000"/>
              <w:bottom w:val="single" w:sz="6" w:space="0" w:color="000000"/>
            </w:tcBorders>
            <w:shd w:val="clear" w:color="auto" w:fill="FFFFFF"/>
          </w:tcPr>
          <w:p w:rsidR="00D16F07" w:rsidRPr="00D95727" w:rsidRDefault="005B1B01" w:rsidP="00125B7F">
            <w:pPr>
              <w:spacing w:before="120" w:after="120"/>
              <w:rPr>
                <w:rFonts w:ascii="Arial" w:hAnsi="Arial" w:cs="Arial"/>
                <w:sz w:val="22"/>
                <w:szCs w:val="22"/>
                <w:lang w:val="es-ES"/>
              </w:rPr>
            </w:pPr>
            <w:r w:rsidRPr="00D95727">
              <w:rPr>
                <w:rFonts w:ascii="Arial" w:hAnsi="Arial" w:cs="Arial"/>
                <w:sz w:val="22"/>
                <w:szCs w:val="22"/>
                <w:lang w:val="es-ES"/>
              </w:rPr>
              <w:t>El Comité asigna la labor no normativa a la Secretaría de la OM</w:t>
            </w:r>
            <w:r w:rsidR="00AC5EEF" w:rsidRPr="00D95727">
              <w:rPr>
                <w:rFonts w:ascii="Arial" w:hAnsi="Arial" w:cs="Arial"/>
                <w:sz w:val="22"/>
                <w:szCs w:val="22"/>
                <w:lang w:val="es-ES"/>
              </w:rPr>
              <w:t xml:space="preserve">PI en base a un mandato acordado. La Secretaría le presenta </w:t>
            </w:r>
            <w:r w:rsidRPr="00D95727">
              <w:rPr>
                <w:rFonts w:ascii="Arial" w:hAnsi="Arial" w:cs="Arial"/>
                <w:sz w:val="22"/>
                <w:szCs w:val="22"/>
                <w:lang w:val="es-ES"/>
              </w:rPr>
              <w:t>informes periódicos</w:t>
            </w:r>
            <w:r w:rsidR="001C0CD4" w:rsidRPr="00D95727">
              <w:rPr>
                <w:rFonts w:ascii="Arial" w:hAnsi="Arial" w:cs="Arial"/>
                <w:sz w:val="22"/>
                <w:szCs w:val="22"/>
                <w:lang w:val="es-ES"/>
              </w:rPr>
              <w:t xml:space="preserve"> sobre </w:t>
            </w:r>
            <w:r w:rsidR="00AC5EEF" w:rsidRPr="00D95727">
              <w:rPr>
                <w:rFonts w:ascii="Arial" w:hAnsi="Arial" w:cs="Arial"/>
                <w:sz w:val="22"/>
                <w:szCs w:val="22"/>
                <w:lang w:val="es-ES"/>
              </w:rPr>
              <w:t>sus</w:t>
            </w:r>
            <w:r w:rsidR="001C0CD4" w:rsidRPr="00D95727">
              <w:rPr>
                <w:rFonts w:ascii="Arial" w:hAnsi="Arial" w:cs="Arial"/>
                <w:sz w:val="22"/>
                <w:szCs w:val="22"/>
                <w:lang w:val="es-ES"/>
              </w:rPr>
              <w:t xml:space="preserve"> progresos</w:t>
            </w:r>
            <w:r w:rsidR="00F515BE" w:rsidRPr="00D95727">
              <w:rPr>
                <w:rFonts w:ascii="Arial" w:hAnsi="Arial" w:cs="Arial"/>
                <w:sz w:val="22"/>
                <w:szCs w:val="22"/>
                <w:lang w:val="es-ES"/>
              </w:rPr>
              <w:t xml:space="preserve">.  </w:t>
            </w:r>
          </w:p>
          <w:p w:rsidR="00A26C54" w:rsidRPr="00D95727" w:rsidRDefault="001C0CD4" w:rsidP="00125B7F">
            <w:pPr>
              <w:spacing w:before="120" w:after="120"/>
              <w:rPr>
                <w:rFonts w:ascii="Arial" w:hAnsi="Arial" w:cs="Arial"/>
                <w:sz w:val="22"/>
                <w:szCs w:val="22"/>
                <w:lang w:val="es-ES"/>
              </w:rPr>
            </w:pPr>
            <w:r w:rsidRPr="00D95727">
              <w:rPr>
                <w:rFonts w:ascii="Arial" w:hAnsi="Arial" w:cs="Arial"/>
                <w:sz w:val="22"/>
                <w:szCs w:val="22"/>
                <w:lang w:val="es-ES"/>
              </w:rPr>
              <w:t>El Comité centra sus esfuerzos en las negociaciones normativas</w:t>
            </w:r>
            <w:r w:rsidR="00A26C54" w:rsidRPr="00D95727">
              <w:rPr>
                <w:rFonts w:ascii="Arial" w:hAnsi="Arial" w:cs="Arial"/>
                <w:sz w:val="22"/>
                <w:szCs w:val="22"/>
                <w:lang w:val="es-ES"/>
              </w:rPr>
              <w:t>.</w:t>
            </w:r>
          </w:p>
        </w:tc>
        <w:tc>
          <w:tcPr>
            <w:tcW w:w="2269" w:type="dxa"/>
            <w:tcBorders>
              <w:top w:val="single" w:sz="6" w:space="0" w:color="000000"/>
              <w:bottom w:val="single" w:sz="6" w:space="0" w:color="000000"/>
            </w:tcBorders>
            <w:shd w:val="clear" w:color="auto" w:fill="FFFFFF"/>
          </w:tcPr>
          <w:p w:rsidR="00DE7FCC" w:rsidRPr="00D95727" w:rsidRDefault="00DE7FCC" w:rsidP="00125B7F">
            <w:pPr>
              <w:spacing w:before="120" w:after="120"/>
              <w:rPr>
                <w:rFonts w:ascii="Arial" w:hAnsi="Arial" w:cs="Arial"/>
                <w:sz w:val="22"/>
                <w:szCs w:val="22"/>
                <w:lang w:val="es-ES"/>
              </w:rPr>
            </w:pPr>
          </w:p>
        </w:tc>
      </w:tr>
    </w:tbl>
    <w:p w:rsidR="00D16F07" w:rsidRPr="00D95727" w:rsidRDefault="00D16F07" w:rsidP="005442B2">
      <w:pPr>
        <w:ind w:left="720"/>
        <w:rPr>
          <w:rFonts w:ascii="Arial" w:hAnsi="Arial" w:cs="Arial"/>
          <w:b/>
          <w:sz w:val="22"/>
          <w:szCs w:val="22"/>
          <w:lang w:val="es-ES"/>
        </w:rPr>
      </w:pPr>
    </w:p>
    <w:p w:rsidR="00D16F07" w:rsidRPr="00D95727" w:rsidRDefault="00D16F07" w:rsidP="00D16F07">
      <w:pPr>
        <w:ind w:left="6120"/>
        <w:rPr>
          <w:rFonts w:ascii="Arial" w:hAnsi="Arial" w:cs="Arial"/>
          <w:sz w:val="22"/>
          <w:szCs w:val="22"/>
          <w:lang w:val="es-ES"/>
        </w:rPr>
      </w:pPr>
      <w:r w:rsidRPr="00D95727">
        <w:rPr>
          <w:rFonts w:ascii="Arial" w:hAnsi="Arial" w:cs="Arial"/>
          <w:sz w:val="22"/>
          <w:szCs w:val="22"/>
          <w:lang w:val="es-ES"/>
        </w:rPr>
        <w:t>[Sigue el Anexo II]</w:t>
      </w:r>
    </w:p>
    <w:p w:rsidR="00D16F07" w:rsidRPr="00D95727" w:rsidRDefault="00D16F07" w:rsidP="00CE7F74">
      <w:pPr>
        <w:rPr>
          <w:rFonts w:ascii="Arial" w:hAnsi="Arial" w:cs="Arial"/>
          <w:sz w:val="22"/>
          <w:szCs w:val="22"/>
          <w:lang w:val="es-ES"/>
        </w:rPr>
      </w:pPr>
    </w:p>
    <w:p w:rsidR="00D16F07" w:rsidRPr="00D95727" w:rsidRDefault="00D16F07" w:rsidP="009A7C63">
      <w:pPr>
        <w:rPr>
          <w:rFonts w:ascii="Arial" w:hAnsi="Arial" w:cs="Arial"/>
          <w:sz w:val="22"/>
          <w:szCs w:val="22"/>
          <w:lang w:val="es-ES"/>
        </w:rPr>
      </w:pPr>
    </w:p>
    <w:p w:rsidR="00D16F07" w:rsidRPr="00D95727" w:rsidRDefault="00D16F07" w:rsidP="006170CC">
      <w:pPr>
        <w:outlineLvl w:val="0"/>
        <w:rPr>
          <w:rFonts w:ascii="Arial" w:hAnsi="Arial" w:cs="Arial"/>
          <w:sz w:val="22"/>
          <w:szCs w:val="22"/>
          <w:lang w:val="es-ES"/>
        </w:rPr>
      </w:pPr>
    </w:p>
    <w:p w:rsidR="00CE7F74" w:rsidRPr="00D95727" w:rsidRDefault="00CE7F74" w:rsidP="006170CC">
      <w:pPr>
        <w:outlineLvl w:val="0"/>
        <w:rPr>
          <w:rFonts w:ascii="Arial" w:hAnsi="Arial" w:cs="Arial"/>
          <w:sz w:val="22"/>
          <w:szCs w:val="22"/>
          <w:lang w:val="es-ES"/>
        </w:rPr>
        <w:sectPr w:rsidR="00CE7F74" w:rsidRPr="00D95727" w:rsidSect="008B4365">
          <w:headerReference w:type="default" r:id="rId11"/>
          <w:footnotePr>
            <w:numRestart w:val="eachSect"/>
          </w:footnotePr>
          <w:pgSz w:w="11909" w:h="16834" w:code="9"/>
          <w:pgMar w:top="1440" w:right="1199" w:bottom="1440" w:left="1440" w:header="720" w:footer="720" w:gutter="0"/>
          <w:pgNumType w:start="1"/>
          <w:cols w:space="720"/>
          <w:docGrid w:linePitch="360"/>
        </w:sectPr>
      </w:pPr>
    </w:p>
    <w:p w:rsidR="00D16F07" w:rsidRPr="00D95727" w:rsidRDefault="00CC75CD" w:rsidP="00D16F07">
      <w:pPr>
        <w:outlineLvl w:val="0"/>
        <w:rPr>
          <w:rFonts w:ascii="Arial" w:hAnsi="Arial" w:cs="Arial"/>
          <w:b/>
          <w:sz w:val="22"/>
          <w:szCs w:val="22"/>
          <w:lang w:val="es-ES"/>
        </w:rPr>
      </w:pPr>
      <w:r w:rsidRPr="00D95727">
        <w:rPr>
          <w:rFonts w:ascii="Arial" w:hAnsi="Arial" w:cs="Arial"/>
          <w:b/>
          <w:sz w:val="22"/>
          <w:szCs w:val="22"/>
          <w:lang w:val="es-ES"/>
        </w:rPr>
        <w:lastRenderedPageBreak/>
        <w:t xml:space="preserve">Anexo </w:t>
      </w:r>
      <w:r w:rsidR="00D16F07" w:rsidRPr="00D95727">
        <w:rPr>
          <w:rFonts w:ascii="Arial" w:hAnsi="Arial" w:cs="Arial"/>
          <w:b/>
          <w:sz w:val="22"/>
          <w:szCs w:val="22"/>
          <w:lang w:val="es-ES"/>
        </w:rPr>
        <w:t>II</w:t>
      </w:r>
    </w:p>
    <w:p w:rsidR="00D16F07" w:rsidRPr="00D95727" w:rsidRDefault="00D16F07" w:rsidP="009A7C63">
      <w:pPr>
        <w:rPr>
          <w:rFonts w:ascii="Arial" w:hAnsi="Arial" w:cs="Arial"/>
          <w:sz w:val="22"/>
          <w:szCs w:val="22"/>
          <w:lang w:val="es-ES"/>
        </w:rPr>
      </w:pPr>
    </w:p>
    <w:p w:rsidR="00125B7F" w:rsidRPr="00D95727" w:rsidRDefault="00125B7F" w:rsidP="009A7C63">
      <w:pPr>
        <w:rPr>
          <w:rFonts w:ascii="Arial" w:hAnsi="Arial" w:cs="Arial"/>
          <w:sz w:val="22"/>
          <w:szCs w:val="22"/>
          <w:lang w:val="es-E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340"/>
        <w:gridCol w:w="3150"/>
        <w:gridCol w:w="2520"/>
      </w:tblGrid>
      <w:tr w:rsidR="00D95727" w:rsidRPr="00D95727" w:rsidTr="00722D62">
        <w:trPr>
          <w:tblHeader/>
        </w:trPr>
        <w:tc>
          <w:tcPr>
            <w:tcW w:w="1530" w:type="dxa"/>
            <w:shd w:val="clear" w:color="auto" w:fill="BFBFBF"/>
          </w:tcPr>
          <w:p w:rsidR="006C39B7" w:rsidRPr="00D95727" w:rsidRDefault="006C39B7" w:rsidP="00125B7F">
            <w:pPr>
              <w:rPr>
                <w:rFonts w:ascii="Arial" w:hAnsi="Arial" w:cs="Arial"/>
                <w:sz w:val="22"/>
                <w:lang w:val="es-ES"/>
              </w:rPr>
            </w:pPr>
          </w:p>
        </w:tc>
        <w:tc>
          <w:tcPr>
            <w:tcW w:w="2340" w:type="dxa"/>
            <w:shd w:val="clear" w:color="auto" w:fill="BFBFBF"/>
          </w:tcPr>
          <w:p w:rsidR="006C39B7" w:rsidRPr="00D95727" w:rsidRDefault="00F76C12" w:rsidP="008A5F8A">
            <w:pPr>
              <w:spacing w:before="120" w:after="120"/>
              <w:rPr>
                <w:rFonts w:ascii="Arial" w:hAnsi="Arial" w:cs="Arial"/>
                <w:b/>
                <w:sz w:val="22"/>
                <w:szCs w:val="22"/>
                <w:lang w:val="es-ES"/>
              </w:rPr>
            </w:pPr>
            <w:r w:rsidRPr="00D95727">
              <w:rPr>
                <w:rFonts w:ascii="Arial" w:hAnsi="Arial" w:cs="Arial"/>
                <w:b/>
                <w:sz w:val="22"/>
                <w:szCs w:val="22"/>
                <w:lang w:val="es-ES"/>
              </w:rPr>
              <w:t>Evolución</w:t>
            </w:r>
          </w:p>
        </w:tc>
        <w:tc>
          <w:tcPr>
            <w:tcW w:w="3150" w:type="dxa"/>
            <w:shd w:val="clear" w:color="auto" w:fill="BFBFBF"/>
          </w:tcPr>
          <w:p w:rsidR="006C39B7" w:rsidRPr="00D95727" w:rsidRDefault="006C39B7" w:rsidP="00722D62">
            <w:pPr>
              <w:spacing w:before="120" w:after="120"/>
              <w:rPr>
                <w:rFonts w:ascii="Arial" w:hAnsi="Arial" w:cs="Arial"/>
                <w:b/>
                <w:sz w:val="22"/>
                <w:szCs w:val="22"/>
                <w:lang w:val="es-ES"/>
              </w:rPr>
            </w:pPr>
            <w:r w:rsidRPr="00D95727">
              <w:rPr>
                <w:rFonts w:ascii="Arial" w:hAnsi="Arial" w:cs="Arial"/>
                <w:b/>
                <w:sz w:val="22"/>
                <w:szCs w:val="22"/>
                <w:lang w:val="es-ES"/>
              </w:rPr>
              <w:t>Instrument</w:t>
            </w:r>
            <w:r w:rsidR="003D7E01" w:rsidRPr="00D95727">
              <w:rPr>
                <w:rFonts w:ascii="Arial" w:hAnsi="Arial" w:cs="Arial"/>
                <w:b/>
                <w:sz w:val="22"/>
                <w:szCs w:val="22"/>
                <w:lang w:val="es-ES"/>
              </w:rPr>
              <w:t>o</w:t>
            </w:r>
            <w:r w:rsidRPr="00D95727">
              <w:rPr>
                <w:rFonts w:ascii="Arial" w:hAnsi="Arial" w:cs="Arial"/>
                <w:b/>
                <w:sz w:val="22"/>
                <w:szCs w:val="22"/>
                <w:lang w:val="es-ES"/>
              </w:rPr>
              <w:t>s</w:t>
            </w:r>
            <w:r w:rsidR="003D7E01" w:rsidRPr="00D95727">
              <w:rPr>
                <w:rFonts w:ascii="Arial" w:hAnsi="Arial" w:cs="Arial"/>
                <w:b/>
                <w:sz w:val="22"/>
                <w:szCs w:val="22"/>
                <w:lang w:val="es-ES"/>
              </w:rPr>
              <w:t xml:space="preserve"> internacionales</w:t>
            </w:r>
          </w:p>
        </w:tc>
        <w:tc>
          <w:tcPr>
            <w:tcW w:w="2520" w:type="dxa"/>
            <w:shd w:val="clear" w:color="auto" w:fill="BFBFBF"/>
          </w:tcPr>
          <w:p w:rsidR="006C39B7" w:rsidRPr="00D95727" w:rsidRDefault="006C39B7" w:rsidP="003D7E01">
            <w:pPr>
              <w:spacing w:before="120" w:after="120"/>
              <w:rPr>
                <w:rFonts w:ascii="Arial" w:hAnsi="Arial" w:cs="Arial"/>
                <w:b/>
                <w:sz w:val="22"/>
                <w:szCs w:val="22"/>
                <w:lang w:val="es-ES"/>
              </w:rPr>
            </w:pPr>
            <w:r w:rsidRPr="00D95727">
              <w:rPr>
                <w:rFonts w:ascii="Arial" w:hAnsi="Arial" w:cs="Arial"/>
                <w:b/>
                <w:sz w:val="22"/>
                <w:szCs w:val="22"/>
                <w:lang w:val="es-ES"/>
              </w:rPr>
              <w:t>Instrument</w:t>
            </w:r>
            <w:r w:rsidR="003D7E01" w:rsidRPr="00D95727">
              <w:rPr>
                <w:rFonts w:ascii="Arial" w:hAnsi="Arial" w:cs="Arial"/>
                <w:b/>
                <w:sz w:val="22"/>
                <w:szCs w:val="22"/>
                <w:lang w:val="es-ES"/>
              </w:rPr>
              <w:t>o</w:t>
            </w:r>
            <w:r w:rsidRPr="00D95727">
              <w:rPr>
                <w:rFonts w:ascii="Arial" w:hAnsi="Arial" w:cs="Arial"/>
                <w:b/>
                <w:sz w:val="22"/>
                <w:szCs w:val="22"/>
                <w:lang w:val="es-ES"/>
              </w:rPr>
              <w:t>s</w:t>
            </w:r>
            <w:r w:rsidR="003D7E01" w:rsidRPr="00D95727">
              <w:rPr>
                <w:rFonts w:ascii="Arial" w:hAnsi="Arial" w:cs="Arial"/>
                <w:b/>
                <w:sz w:val="22"/>
                <w:szCs w:val="22"/>
                <w:lang w:val="es-ES"/>
              </w:rPr>
              <w:t xml:space="preserve"> regionales</w:t>
            </w:r>
          </w:p>
        </w:tc>
      </w:tr>
      <w:tr w:rsidR="00D95727" w:rsidRPr="00D95727" w:rsidTr="00722D62">
        <w:trPr>
          <w:trHeight w:val="1101"/>
        </w:trPr>
        <w:tc>
          <w:tcPr>
            <w:tcW w:w="1530" w:type="dxa"/>
            <w:shd w:val="clear" w:color="auto" w:fill="auto"/>
          </w:tcPr>
          <w:p w:rsidR="00D16F07" w:rsidRPr="00D95727" w:rsidRDefault="00C57BC2" w:rsidP="00722D62">
            <w:pPr>
              <w:spacing w:before="120"/>
              <w:rPr>
                <w:rFonts w:ascii="Arial" w:hAnsi="Arial" w:cs="Arial"/>
                <w:sz w:val="22"/>
                <w:szCs w:val="22"/>
                <w:lang w:val="es-ES"/>
              </w:rPr>
            </w:pPr>
            <w:r w:rsidRPr="00D95727">
              <w:rPr>
                <w:rFonts w:ascii="Arial" w:hAnsi="Arial" w:cs="Arial"/>
                <w:sz w:val="22"/>
                <w:szCs w:val="22"/>
                <w:lang w:val="es-ES"/>
              </w:rPr>
              <w:t>Antes de</w:t>
            </w:r>
            <w:r w:rsidR="006C39B7" w:rsidRPr="00D95727">
              <w:rPr>
                <w:rFonts w:ascii="Arial" w:hAnsi="Arial" w:cs="Arial"/>
                <w:sz w:val="22"/>
                <w:szCs w:val="22"/>
                <w:lang w:val="es-ES"/>
              </w:rPr>
              <w:t xml:space="preserve"> 1970</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C57BC2" w:rsidP="00C57BC2">
            <w:pPr>
              <w:spacing w:before="120"/>
              <w:rPr>
                <w:rFonts w:ascii="Arial" w:hAnsi="Arial" w:cs="Arial"/>
                <w:sz w:val="22"/>
                <w:szCs w:val="22"/>
                <w:lang w:val="es-ES"/>
              </w:rPr>
            </w:pPr>
            <w:r w:rsidRPr="00D95727">
              <w:rPr>
                <w:rFonts w:ascii="Arial" w:hAnsi="Arial" w:cs="Arial"/>
                <w:sz w:val="22"/>
                <w:szCs w:val="22"/>
                <w:lang w:val="es-ES"/>
              </w:rPr>
              <w:t>Inicio de los debates sobre las ECT / expresiones del folclore</w:t>
            </w:r>
          </w:p>
        </w:tc>
        <w:tc>
          <w:tcPr>
            <w:tcW w:w="3150" w:type="dxa"/>
            <w:shd w:val="clear" w:color="auto" w:fill="auto"/>
          </w:tcPr>
          <w:p w:rsidR="00D16F07" w:rsidRPr="00D95727" w:rsidRDefault="00377D9E" w:rsidP="00722D62">
            <w:pPr>
              <w:spacing w:before="120"/>
              <w:rPr>
                <w:rFonts w:ascii="Arial" w:hAnsi="Arial" w:cs="Arial"/>
                <w:sz w:val="22"/>
                <w:szCs w:val="22"/>
                <w:lang w:val="es-ES"/>
              </w:rPr>
            </w:pPr>
            <w:r w:rsidRPr="00D95727">
              <w:rPr>
                <w:rFonts w:ascii="Arial" w:hAnsi="Arial" w:cs="Arial"/>
                <w:sz w:val="22"/>
                <w:szCs w:val="22"/>
                <w:lang w:val="es-ES"/>
              </w:rPr>
              <w:t>Convenio de Berna para la Protección de las Obras Literarias y Artísticas</w:t>
            </w:r>
            <w:r w:rsidR="006C39B7" w:rsidRPr="00D95727">
              <w:rPr>
                <w:rFonts w:ascii="Arial" w:hAnsi="Arial" w:cs="Arial"/>
                <w:sz w:val="22"/>
                <w:szCs w:val="22"/>
                <w:lang w:val="es-ES"/>
              </w:rPr>
              <w:t xml:space="preserve">, </w:t>
            </w:r>
            <w:r w:rsidRPr="00D95727">
              <w:rPr>
                <w:rFonts w:ascii="Arial" w:hAnsi="Arial" w:cs="Arial"/>
                <w:sz w:val="22"/>
                <w:szCs w:val="22"/>
                <w:lang w:val="es-ES"/>
              </w:rPr>
              <w:t>Acta de Estocolmo</w:t>
            </w:r>
            <w:r w:rsidR="006C39B7" w:rsidRPr="00D95727">
              <w:rPr>
                <w:rFonts w:ascii="Arial" w:hAnsi="Arial" w:cs="Arial"/>
                <w:sz w:val="22"/>
                <w:szCs w:val="22"/>
                <w:lang w:val="es-ES"/>
              </w:rPr>
              <w:t xml:space="preserve">, </w:t>
            </w:r>
            <w:r w:rsidRPr="00D95727">
              <w:rPr>
                <w:rFonts w:ascii="Arial" w:hAnsi="Arial" w:cs="Arial"/>
                <w:sz w:val="22"/>
                <w:szCs w:val="22"/>
                <w:lang w:val="es-ES"/>
              </w:rPr>
              <w:t>Artículo</w:t>
            </w:r>
            <w:r w:rsidR="006C39B7" w:rsidRPr="00D95727">
              <w:rPr>
                <w:rFonts w:ascii="Arial" w:hAnsi="Arial" w:cs="Arial"/>
                <w:sz w:val="22"/>
                <w:szCs w:val="22"/>
                <w:lang w:val="es-ES"/>
              </w:rPr>
              <w:t xml:space="preserve"> 15(4) (1967)</w:t>
            </w:r>
          </w:p>
          <w:p w:rsidR="008B4365" w:rsidRPr="00D95727" w:rsidRDefault="008B4365" w:rsidP="00722D62">
            <w:pPr>
              <w:spacing w:before="120"/>
              <w:rPr>
                <w:rFonts w:ascii="Arial" w:hAnsi="Arial" w:cs="Arial"/>
                <w:sz w:val="22"/>
                <w:szCs w:val="22"/>
                <w:lang w:val="es-ES"/>
              </w:rPr>
            </w:pPr>
          </w:p>
        </w:tc>
        <w:tc>
          <w:tcPr>
            <w:tcW w:w="2520" w:type="dxa"/>
            <w:shd w:val="clear" w:color="auto" w:fill="auto"/>
          </w:tcPr>
          <w:p w:rsidR="006C39B7" w:rsidRPr="00D95727" w:rsidRDefault="006C39B7" w:rsidP="00722D62">
            <w:pPr>
              <w:spacing w:before="120"/>
              <w:rPr>
                <w:rFonts w:ascii="Arial" w:hAnsi="Arial" w:cs="Arial"/>
                <w:sz w:val="22"/>
                <w:szCs w:val="22"/>
                <w:lang w:val="es-ES"/>
              </w:rPr>
            </w:pPr>
          </w:p>
        </w:tc>
      </w:tr>
      <w:tr w:rsidR="00D95727" w:rsidRPr="00D95727" w:rsidTr="00722D62">
        <w:trPr>
          <w:trHeight w:val="1215"/>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1970 – 1980</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6C39B7" w:rsidP="00722D62">
            <w:pPr>
              <w:spacing w:before="120"/>
              <w:rPr>
                <w:rFonts w:ascii="Arial" w:hAnsi="Arial" w:cs="Arial"/>
                <w:sz w:val="22"/>
                <w:szCs w:val="22"/>
                <w:lang w:val="es-ES"/>
              </w:rPr>
            </w:pPr>
          </w:p>
        </w:tc>
        <w:tc>
          <w:tcPr>
            <w:tcW w:w="3150" w:type="dxa"/>
            <w:shd w:val="clear" w:color="auto" w:fill="auto"/>
          </w:tcPr>
          <w:p w:rsidR="006C39B7" w:rsidRPr="00D95727" w:rsidRDefault="00377D9E" w:rsidP="00377D9E">
            <w:pPr>
              <w:spacing w:before="120"/>
              <w:rPr>
                <w:rFonts w:ascii="Arial" w:hAnsi="Arial" w:cs="Arial"/>
                <w:sz w:val="22"/>
                <w:szCs w:val="22"/>
                <w:lang w:val="es-ES"/>
              </w:rPr>
            </w:pPr>
            <w:r w:rsidRPr="00D95727">
              <w:rPr>
                <w:rFonts w:ascii="Arial" w:hAnsi="Arial" w:cs="Arial"/>
                <w:sz w:val="22"/>
                <w:szCs w:val="22"/>
                <w:lang w:val="es-ES"/>
              </w:rPr>
              <w:t xml:space="preserve">Ley Tipo de Túnez sobre el derecho de autor para los países en desarrollo </w:t>
            </w:r>
            <w:r w:rsidR="006C39B7" w:rsidRPr="00D95727">
              <w:rPr>
                <w:rFonts w:ascii="Arial" w:hAnsi="Arial" w:cs="Arial"/>
                <w:sz w:val="22"/>
                <w:szCs w:val="22"/>
                <w:lang w:val="es-ES"/>
              </w:rPr>
              <w:t>(1976)</w:t>
            </w:r>
          </w:p>
        </w:tc>
        <w:tc>
          <w:tcPr>
            <w:tcW w:w="2520" w:type="dxa"/>
            <w:shd w:val="clear" w:color="auto" w:fill="auto"/>
          </w:tcPr>
          <w:p w:rsidR="00D16F07" w:rsidRPr="00D95727" w:rsidRDefault="00377D9E" w:rsidP="00722D62">
            <w:pPr>
              <w:spacing w:before="120"/>
              <w:rPr>
                <w:rFonts w:ascii="Arial" w:hAnsi="Arial" w:cs="Arial"/>
                <w:sz w:val="22"/>
                <w:szCs w:val="22"/>
                <w:lang w:val="es-ES"/>
              </w:rPr>
            </w:pPr>
            <w:r w:rsidRPr="00D95727">
              <w:rPr>
                <w:rFonts w:ascii="Arial" w:hAnsi="Arial" w:cs="Arial"/>
                <w:sz w:val="22"/>
                <w:szCs w:val="22"/>
                <w:lang w:val="es-ES"/>
              </w:rPr>
              <w:t>Acuerdo de Bangui</w:t>
            </w:r>
            <w:r w:rsidR="00AC5EEF" w:rsidRPr="00D95727">
              <w:rPr>
                <w:rFonts w:ascii="Arial" w:hAnsi="Arial" w:cs="Arial"/>
                <w:sz w:val="22"/>
                <w:szCs w:val="22"/>
                <w:lang w:val="es-ES"/>
              </w:rPr>
              <w:t>,</w:t>
            </w:r>
            <w:r w:rsidRPr="00D95727">
              <w:rPr>
                <w:rFonts w:ascii="Arial" w:hAnsi="Arial" w:cs="Arial"/>
                <w:sz w:val="22"/>
                <w:szCs w:val="22"/>
                <w:lang w:val="es-ES"/>
              </w:rPr>
              <w:t xml:space="preserve"> OAPI </w:t>
            </w:r>
            <w:r w:rsidR="006C39B7" w:rsidRPr="00D95727">
              <w:rPr>
                <w:rFonts w:ascii="Arial" w:hAnsi="Arial" w:cs="Arial"/>
                <w:sz w:val="22"/>
                <w:szCs w:val="22"/>
                <w:lang w:val="es-ES"/>
              </w:rPr>
              <w:t>(1977)</w:t>
            </w:r>
          </w:p>
          <w:p w:rsidR="006C39B7" w:rsidRPr="00D95727" w:rsidRDefault="006C39B7" w:rsidP="00722D62">
            <w:pPr>
              <w:spacing w:before="120"/>
              <w:rPr>
                <w:rFonts w:ascii="Arial" w:hAnsi="Arial" w:cs="Arial"/>
                <w:sz w:val="22"/>
                <w:szCs w:val="22"/>
                <w:lang w:val="es-ES"/>
              </w:rPr>
            </w:pPr>
          </w:p>
        </w:tc>
      </w:tr>
      <w:tr w:rsidR="00D95727" w:rsidRPr="00D95727" w:rsidTr="00722D62">
        <w:trPr>
          <w:trHeight w:val="1620"/>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1980 – 1985</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B42E8C" w:rsidP="00722D62">
            <w:pPr>
              <w:spacing w:before="120"/>
              <w:rPr>
                <w:rFonts w:ascii="Arial" w:hAnsi="Arial" w:cs="Arial"/>
                <w:sz w:val="22"/>
                <w:szCs w:val="22"/>
                <w:lang w:val="es-ES"/>
              </w:rPr>
            </w:pPr>
            <w:r w:rsidRPr="00D95727">
              <w:rPr>
                <w:rFonts w:ascii="Arial" w:hAnsi="Arial" w:cs="Arial"/>
                <w:sz w:val="22"/>
                <w:szCs w:val="22"/>
                <w:lang w:val="es-ES"/>
              </w:rPr>
              <w:t>Inicio de los debates sobre los CC.TT</w:t>
            </w:r>
            <w:r w:rsidR="00F515BE" w:rsidRPr="00D95727">
              <w:rPr>
                <w:rFonts w:ascii="Arial" w:hAnsi="Arial" w:cs="Arial"/>
                <w:sz w:val="22"/>
                <w:szCs w:val="22"/>
                <w:lang w:val="es-ES"/>
              </w:rPr>
              <w:t xml:space="preserve">.  </w:t>
            </w:r>
            <w:r w:rsidRPr="00D95727">
              <w:rPr>
                <w:rFonts w:ascii="Arial" w:hAnsi="Arial" w:cs="Arial"/>
                <w:sz w:val="22"/>
                <w:szCs w:val="22"/>
                <w:lang w:val="es-ES"/>
              </w:rPr>
              <w:t>y los RR.GG.</w:t>
            </w:r>
          </w:p>
        </w:tc>
        <w:tc>
          <w:tcPr>
            <w:tcW w:w="3150" w:type="dxa"/>
            <w:shd w:val="clear" w:color="auto" w:fill="auto"/>
          </w:tcPr>
          <w:p w:rsidR="00D16F07" w:rsidRPr="00D95727" w:rsidRDefault="00D16F07" w:rsidP="00D16F07">
            <w:pPr>
              <w:spacing w:before="120"/>
              <w:rPr>
                <w:rFonts w:ascii="Arial" w:hAnsi="Arial" w:cs="Arial"/>
                <w:sz w:val="22"/>
                <w:szCs w:val="22"/>
                <w:lang w:val="es-ES"/>
              </w:rPr>
            </w:pPr>
            <w:r w:rsidRPr="00D95727">
              <w:rPr>
                <w:rFonts w:ascii="Arial" w:hAnsi="Arial" w:cs="Arial"/>
                <w:sz w:val="22"/>
                <w:szCs w:val="22"/>
                <w:lang w:val="es-ES"/>
              </w:rPr>
              <w:t>Disposiciones Tipo OMPI-UNESCO para leyes nacionales sobre la protección de las expresiones del folclore contra la explotación ilícita y otras acciones lesivas</w:t>
            </w:r>
            <w:r w:rsidR="00B103C1" w:rsidRPr="00D95727">
              <w:rPr>
                <w:rFonts w:ascii="Arial" w:hAnsi="Arial" w:cs="Arial"/>
                <w:sz w:val="22"/>
                <w:szCs w:val="22"/>
                <w:lang w:val="es-ES"/>
              </w:rPr>
              <w:t xml:space="preserve"> (1982)</w:t>
            </w:r>
          </w:p>
          <w:p w:rsidR="008B4365" w:rsidRPr="00D95727" w:rsidRDefault="008B4365" w:rsidP="00722D62">
            <w:pPr>
              <w:spacing w:before="120"/>
              <w:rPr>
                <w:rFonts w:ascii="Arial" w:hAnsi="Arial" w:cs="Arial"/>
                <w:sz w:val="22"/>
                <w:szCs w:val="22"/>
                <w:lang w:val="es-ES"/>
              </w:rPr>
            </w:pPr>
          </w:p>
        </w:tc>
        <w:tc>
          <w:tcPr>
            <w:tcW w:w="2520" w:type="dxa"/>
            <w:shd w:val="clear" w:color="auto" w:fill="auto"/>
          </w:tcPr>
          <w:p w:rsidR="00D16F07" w:rsidRPr="00D95727" w:rsidRDefault="00D16F07" w:rsidP="00722D62">
            <w:pPr>
              <w:spacing w:before="120"/>
              <w:rPr>
                <w:rFonts w:ascii="Arial" w:hAnsi="Arial" w:cs="Arial"/>
                <w:sz w:val="22"/>
                <w:szCs w:val="22"/>
                <w:lang w:val="es-ES"/>
              </w:rPr>
            </w:pPr>
          </w:p>
          <w:p w:rsidR="006C39B7" w:rsidRPr="00D95727" w:rsidRDefault="006C39B7" w:rsidP="00722D62">
            <w:pPr>
              <w:spacing w:before="120"/>
              <w:rPr>
                <w:rFonts w:ascii="Arial" w:hAnsi="Arial" w:cs="Arial"/>
                <w:sz w:val="22"/>
                <w:szCs w:val="22"/>
                <w:lang w:val="es-ES"/>
              </w:rPr>
            </w:pPr>
          </w:p>
        </w:tc>
      </w:tr>
      <w:tr w:rsidR="00D95727" w:rsidRPr="00D95727" w:rsidTr="00722D62">
        <w:trPr>
          <w:trHeight w:val="2727"/>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1985 – 1990</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6C39B7" w:rsidP="00722D62">
            <w:pPr>
              <w:spacing w:before="120"/>
              <w:rPr>
                <w:rFonts w:ascii="Arial" w:hAnsi="Arial" w:cs="Arial"/>
                <w:sz w:val="22"/>
                <w:szCs w:val="22"/>
                <w:lang w:val="es-ES"/>
              </w:rPr>
            </w:pPr>
          </w:p>
        </w:tc>
        <w:tc>
          <w:tcPr>
            <w:tcW w:w="3150" w:type="dxa"/>
            <w:shd w:val="clear" w:color="auto" w:fill="auto"/>
          </w:tcPr>
          <w:p w:rsidR="00D16F07" w:rsidRPr="00D95727" w:rsidRDefault="00D16F07" w:rsidP="00D16F07">
            <w:pPr>
              <w:spacing w:before="120"/>
              <w:rPr>
                <w:rFonts w:ascii="Arial" w:hAnsi="Arial" w:cs="Arial"/>
                <w:sz w:val="22"/>
                <w:szCs w:val="22"/>
                <w:lang w:val="es-ES"/>
              </w:rPr>
            </w:pPr>
            <w:r w:rsidRPr="00D95727">
              <w:rPr>
                <w:rFonts w:ascii="Arial" w:hAnsi="Arial" w:cs="Arial"/>
                <w:sz w:val="22"/>
                <w:szCs w:val="22"/>
                <w:lang w:val="es-ES"/>
              </w:rPr>
              <w:t>Recomendación de la UNESCO sobre la salvaguardia de la cultura tradicional y popular, adoptada en 1989</w:t>
            </w:r>
          </w:p>
          <w:p w:rsidR="008B4365" w:rsidRPr="00D95727" w:rsidRDefault="00D16F07" w:rsidP="00D16F07">
            <w:pPr>
              <w:spacing w:before="100" w:beforeAutospacing="1"/>
              <w:rPr>
                <w:rFonts w:ascii="Arial" w:hAnsi="Arial" w:cs="Arial"/>
                <w:sz w:val="22"/>
                <w:szCs w:val="22"/>
                <w:lang w:val="es-ES"/>
              </w:rPr>
            </w:pPr>
            <w:r w:rsidRPr="00D95727">
              <w:rPr>
                <w:rFonts w:ascii="Arial" w:hAnsi="Arial" w:cs="Arial"/>
                <w:sz w:val="22"/>
                <w:szCs w:val="22"/>
                <w:lang w:val="es-ES"/>
              </w:rPr>
              <w:t>Convenio 169 de la OIT sobre Pueblos Indígenas y Tribales en Países Independientes</w:t>
            </w:r>
            <w:r w:rsidR="00B103C1" w:rsidRPr="00D95727">
              <w:rPr>
                <w:rFonts w:ascii="Arial" w:hAnsi="Arial" w:cs="Arial"/>
                <w:sz w:val="22"/>
                <w:szCs w:val="22"/>
                <w:lang w:val="es-ES"/>
              </w:rPr>
              <w:t xml:space="preserve"> (1989)</w:t>
            </w:r>
          </w:p>
        </w:tc>
        <w:tc>
          <w:tcPr>
            <w:tcW w:w="2520" w:type="dxa"/>
            <w:shd w:val="clear" w:color="auto" w:fill="auto"/>
          </w:tcPr>
          <w:p w:rsidR="00D16F07" w:rsidRPr="00D95727" w:rsidRDefault="00D16F07" w:rsidP="00722D62">
            <w:pPr>
              <w:spacing w:before="120"/>
              <w:rPr>
                <w:rFonts w:ascii="Arial" w:hAnsi="Arial" w:cs="Arial"/>
                <w:sz w:val="22"/>
                <w:szCs w:val="22"/>
                <w:lang w:val="es-ES"/>
              </w:rPr>
            </w:pPr>
          </w:p>
          <w:p w:rsidR="006C39B7" w:rsidRPr="00D95727" w:rsidRDefault="006C39B7" w:rsidP="00722D62">
            <w:pPr>
              <w:spacing w:before="120"/>
              <w:rPr>
                <w:rFonts w:ascii="Arial" w:hAnsi="Arial" w:cs="Arial"/>
                <w:sz w:val="22"/>
                <w:szCs w:val="22"/>
                <w:lang w:val="es-ES"/>
              </w:rPr>
            </w:pPr>
          </w:p>
        </w:tc>
      </w:tr>
      <w:tr w:rsidR="00D95727" w:rsidRPr="00D95727" w:rsidTr="008A5F8A">
        <w:trPr>
          <w:trHeight w:val="2380"/>
        </w:trPr>
        <w:tc>
          <w:tcPr>
            <w:tcW w:w="1530" w:type="dxa"/>
            <w:shd w:val="clear" w:color="auto" w:fill="auto"/>
          </w:tcPr>
          <w:p w:rsidR="006C39B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1990 – 1995</w:t>
            </w:r>
          </w:p>
        </w:tc>
        <w:tc>
          <w:tcPr>
            <w:tcW w:w="2340" w:type="dxa"/>
            <w:shd w:val="clear" w:color="auto" w:fill="auto"/>
          </w:tcPr>
          <w:p w:rsidR="006C39B7" w:rsidRPr="00D95727" w:rsidRDefault="006C39B7" w:rsidP="00722D62">
            <w:pPr>
              <w:spacing w:before="120"/>
              <w:rPr>
                <w:rFonts w:ascii="Arial" w:hAnsi="Arial" w:cs="Arial"/>
                <w:sz w:val="22"/>
                <w:szCs w:val="22"/>
                <w:lang w:val="es-ES"/>
              </w:rPr>
            </w:pPr>
          </w:p>
        </w:tc>
        <w:tc>
          <w:tcPr>
            <w:tcW w:w="3150" w:type="dxa"/>
            <w:shd w:val="clear" w:color="auto" w:fill="auto"/>
          </w:tcPr>
          <w:p w:rsidR="00D16F07" w:rsidRPr="00D95727" w:rsidRDefault="00D16F07" w:rsidP="00D16F07">
            <w:pPr>
              <w:spacing w:before="120"/>
              <w:rPr>
                <w:rFonts w:ascii="Arial" w:hAnsi="Arial" w:cs="Arial"/>
                <w:sz w:val="22"/>
                <w:szCs w:val="22"/>
                <w:lang w:val="es-ES"/>
              </w:rPr>
            </w:pPr>
            <w:r w:rsidRPr="00D95727">
              <w:rPr>
                <w:rFonts w:ascii="Arial" w:hAnsi="Arial" w:cs="Arial"/>
                <w:sz w:val="22"/>
                <w:szCs w:val="22"/>
                <w:lang w:val="es-ES"/>
              </w:rPr>
              <w:t>Convenio sobre la Diversidad Biológica, adoptado en 1992</w:t>
            </w:r>
          </w:p>
          <w:p w:rsidR="00D16F07" w:rsidRPr="00D95727" w:rsidRDefault="00122B08" w:rsidP="00D16F07">
            <w:pPr>
              <w:spacing w:before="100" w:beforeAutospacing="1"/>
              <w:rPr>
                <w:rFonts w:ascii="Arial" w:hAnsi="Arial" w:cs="Arial"/>
                <w:sz w:val="22"/>
                <w:szCs w:val="22"/>
                <w:lang w:val="es-ES"/>
              </w:rPr>
            </w:pPr>
            <w:r w:rsidRPr="00D95727">
              <w:rPr>
                <w:rFonts w:ascii="Arial" w:hAnsi="Arial" w:cs="Arial"/>
                <w:sz w:val="22"/>
                <w:szCs w:val="22"/>
                <w:lang w:val="es-ES"/>
              </w:rPr>
              <w:t xml:space="preserve">Acuerdo sobre los Aspectos de los Derechos de Propiedad Intelectual relacionados con el Comercio </w:t>
            </w:r>
            <w:r w:rsidR="00B103C1" w:rsidRPr="00D95727">
              <w:rPr>
                <w:rFonts w:ascii="Arial" w:hAnsi="Arial" w:cs="Arial"/>
                <w:sz w:val="22"/>
                <w:szCs w:val="22"/>
                <w:lang w:val="es-ES"/>
              </w:rPr>
              <w:t>(1994)</w:t>
            </w:r>
          </w:p>
          <w:p w:rsidR="008B4365" w:rsidRPr="00D95727" w:rsidRDefault="008B4365" w:rsidP="00722D62">
            <w:pPr>
              <w:spacing w:before="100" w:beforeAutospacing="1"/>
              <w:rPr>
                <w:rFonts w:ascii="Arial" w:hAnsi="Arial" w:cs="Arial"/>
                <w:sz w:val="22"/>
                <w:szCs w:val="22"/>
                <w:lang w:val="es-ES"/>
              </w:rPr>
            </w:pPr>
          </w:p>
        </w:tc>
        <w:tc>
          <w:tcPr>
            <w:tcW w:w="2520" w:type="dxa"/>
            <w:shd w:val="clear" w:color="auto" w:fill="auto"/>
          </w:tcPr>
          <w:p w:rsidR="006C39B7" w:rsidRPr="00D95727" w:rsidRDefault="006C39B7" w:rsidP="00722D62">
            <w:pPr>
              <w:spacing w:before="120"/>
              <w:rPr>
                <w:rFonts w:ascii="Arial" w:hAnsi="Arial" w:cs="Arial"/>
                <w:sz w:val="22"/>
                <w:szCs w:val="22"/>
                <w:lang w:val="es-ES"/>
              </w:rPr>
            </w:pPr>
          </w:p>
        </w:tc>
      </w:tr>
      <w:tr w:rsidR="00D95727" w:rsidRPr="00D95727" w:rsidTr="00722D62">
        <w:trPr>
          <w:trHeight w:val="5526"/>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lastRenderedPageBreak/>
              <w:t>1995 – 2000</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D16F07" w:rsidRPr="00D95727" w:rsidRDefault="001158D6" w:rsidP="00722D62">
            <w:pPr>
              <w:spacing w:before="120"/>
              <w:rPr>
                <w:rFonts w:ascii="Arial" w:hAnsi="Arial" w:cs="Arial"/>
                <w:sz w:val="22"/>
                <w:szCs w:val="22"/>
                <w:lang w:val="es-ES"/>
              </w:rPr>
            </w:pPr>
            <w:r w:rsidRPr="00D95727">
              <w:rPr>
                <w:rFonts w:ascii="Arial" w:hAnsi="Arial" w:cs="Arial"/>
                <w:sz w:val="22"/>
                <w:szCs w:val="22"/>
                <w:lang w:val="es-ES"/>
              </w:rPr>
              <w:t>Creación del Programa Principal</w:t>
            </w:r>
            <w:r w:rsidR="006C39B7" w:rsidRPr="00D95727">
              <w:rPr>
                <w:rFonts w:ascii="Arial" w:hAnsi="Arial" w:cs="Arial"/>
                <w:sz w:val="22"/>
                <w:szCs w:val="22"/>
                <w:lang w:val="es-ES"/>
              </w:rPr>
              <w:t xml:space="preserve"> 11 </w:t>
            </w:r>
            <w:r w:rsidRPr="00D95727">
              <w:rPr>
                <w:rFonts w:ascii="Arial" w:hAnsi="Arial" w:cs="Arial"/>
                <w:sz w:val="22"/>
                <w:szCs w:val="22"/>
                <w:lang w:val="es-ES"/>
              </w:rPr>
              <w:t>de la OMPI, de carácter exploratorio, sobre</w:t>
            </w:r>
            <w:r w:rsidR="006C39B7" w:rsidRPr="00D95727">
              <w:rPr>
                <w:rFonts w:ascii="Arial" w:hAnsi="Arial" w:cs="Arial"/>
                <w:sz w:val="22"/>
                <w:szCs w:val="22"/>
                <w:lang w:val="es-ES"/>
              </w:rPr>
              <w:t xml:space="preserve"> “</w:t>
            </w:r>
            <w:r w:rsidRPr="00D95727">
              <w:rPr>
                <w:rFonts w:ascii="Arial" w:hAnsi="Arial" w:cs="Arial"/>
                <w:sz w:val="22"/>
                <w:szCs w:val="22"/>
                <w:lang w:val="es-ES"/>
              </w:rPr>
              <w:t>Cuestiones mundiales de propiedad intelectual</w:t>
            </w:r>
            <w:r w:rsidR="006C39B7" w:rsidRPr="00D95727">
              <w:rPr>
                <w:rFonts w:ascii="Arial" w:hAnsi="Arial" w:cs="Arial"/>
                <w:sz w:val="22"/>
                <w:szCs w:val="22"/>
                <w:lang w:val="es-ES"/>
              </w:rPr>
              <w:t>” (1998 – 1999)</w:t>
            </w:r>
          </w:p>
          <w:p w:rsidR="00D16F07" w:rsidRPr="00D95727" w:rsidRDefault="001158D6" w:rsidP="00722D62">
            <w:pPr>
              <w:spacing w:before="100" w:beforeAutospacing="1"/>
              <w:rPr>
                <w:rFonts w:ascii="Arial" w:hAnsi="Arial" w:cs="Arial"/>
                <w:sz w:val="22"/>
                <w:szCs w:val="22"/>
                <w:lang w:val="es-ES"/>
              </w:rPr>
            </w:pPr>
            <w:r w:rsidRPr="00D95727">
              <w:rPr>
                <w:rFonts w:ascii="Arial" w:hAnsi="Arial" w:cs="Arial"/>
                <w:sz w:val="22"/>
                <w:szCs w:val="22"/>
                <w:lang w:val="es-ES"/>
              </w:rPr>
              <w:t xml:space="preserve">Misiones exploratorias de la OMPI sobre propiedad intelectual y conocimientos tradicionales </w:t>
            </w:r>
            <w:r w:rsidR="006C39B7" w:rsidRPr="00D95727">
              <w:rPr>
                <w:rFonts w:ascii="Arial" w:hAnsi="Arial" w:cs="Arial"/>
                <w:sz w:val="22"/>
                <w:szCs w:val="22"/>
                <w:lang w:val="es-ES"/>
              </w:rPr>
              <w:t>(1998 – 1999)</w:t>
            </w:r>
          </w:p>
          <w:p w:rsidR="00CE7F74" w:rsidRPr="00D95727" w:rsidRDefault="00F421C3" w:rsidP="00722D62">
            <w:pPr>
              <w:spacing w:before="100" w:beforeAutospacing="1"/>
              <w:rPr>
                <w:rFonts w:ascii="Arial" w:hAnsi="Arial" w:cs="Arial"/>
                <w:sz w:val="22"/>
                <w:szCs w:val="22"/>
                <w:lang w:val="es-ES"/>
              </w:rPr>
            </w:pPr>
            <w:r w:rsidRPr="00D95727">
              <w:rPr>
                <w:rFonts w:ascii="Arial" w:hAnsi="Arial" w:cs="Arial"/>
                <w:sz w:val="22"/>
                <w:szCs w:val="22"/>
                <w:lang w:val="es-ES"/>
              </w:rPr>
              <w:t>Consultas regionales OMPI-UNESCO sobre la protección de las expresiones del folclore</w:t>
            </w:r>
            <w:r w:rsidR="006C39B7" w:rsidRPr="00D95727">
              <w:rPr>
                <w:rFonts w:ascii="Arial" w:hAnsi="Arial" w:cs="Arial"/>
                <w:sz w:val="22"/>
                <w:szCs w:val="22"/>
                <w:lang w:val="es-ES"/>
              </w:rPr>
              <w:t xml:space="preserve"> (1999)</w:t>
            </w:r>
          </w:p>
        </w:tc>
        <w:tc>
          <w:tcPr>
            <w:tcW w:w="3150" w:type="dxa"/>
            <w:shd w:val="clear" w:color="auto" w:fill="auto"/>
          </w:tcPr>
          <w:p w:rsidR="00D16F07" w:rsidRPr="00D95727" w:rsidRDefault="00D16F07" w:rsidP="00D16F07">
            <w:pPr>
              <w:spacing w:before="120"/>
              <w:rPr>
                <w:rFonts w:ascii="Arial" w:hAnsi="Arial" w:cs="Arial"/>
                <w:sz w:val="22"/>
                <w:szCs w:val="22"/>
                <w:lang w:val="es-ES"/>
              </w:rPr>
            </w:pPr>
            <w:r w:rsidRPr="00D95727">
              <w:rPr>
                <w:rFonts w:ascii="Arial" w:hAnsi="Arial" w:cs="Arial"/>
                <w:sz w:val="22"/>
                <w:szCs w:val="22"/>
                <w:lang w:val="es-ES"/>
              </w:rPr>
              <w:t>Tratado de la OMPI sobre Interpretación o Ejecución y Fonogramas (WPPT) (1996)</w:t>
            </w:r>
          </w:p>
          <w:p w:rsidR="006C39B7" w:rsidRPr="00D95727" w:rsidRDefault="006C39B7" w:rsidP="00722D62">
            <w:pPr>
              <w:spacing w:before="120"/>
              <w:rPr>
                <w:rFonts w:ascii="Arial" w:hAnsi="Arial" w:cs="Arial"/>
                <w:sz w:val="22"/>
                <w:szCs w:val="22"/>
                <w:lang w:val="es-ES"/>
              </w:rPr>
            </w:pPr>
          </w:p>
        </w:tc>
        <w:tc>
          <w:tcPr>
            <w:tcW w:w="2520" w:type="dxa"/>
            <w:shd w:val="clear" w:color="auto" w:fill="auto"/>
          </w:tcPr>
          <w:p w:rsidR="006C39B7" w:rsidRPr="00D95727" w:rsidRDefault="006C39B7" w:rsidP="00722D62">
            <w:pPr>
              <w:spacing w:before="120"/>
              <w:rPr>
                <w:rFonts w:ascii="Arial" w:hAnsi="Arial" w:cs="Arial"/>
                <w:sz w:val="22"/>
                <w:szCs w:val="22"/>
                <w:lang w:val="es-ES"/>
              </w:rPr>
            </w:pPr>
          </w:p>
        </w:tc>
      </w:tr>
      <w:tr w:rsidR="00D95727" w:rsidRPr="00D95727" w:rsidTr="00722D62">
        <w:trPr>
          <w:trHeight w:val="3897"/>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2000 – 2005</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D16F07" w:rsidRPr="00D95727" w:rsidRDefault="00F90508" w:rsidP="00722D62">
            <w:pPr>
              <w:spacing w:before="120"/>
              <w:contextualSpacing/>
              <w:rPr>
                <w:rFonts w:ascii="Arial" w:hAnsi="Arial" w:cs="Arial"/>
                <w:sz w:val="22"/>
                <w:szCs w:val="22"/>
                <w:lang w:val="es-ES"/>
              </w:rPr>
            </w:pPr>
            <w:r w:rsidRPr="00D95727">
              <w:rPr>
                <w:rFonts w:ascii="Arial" w:hAnsi="Arial" w:cs="Arial"/>
                <w:sz w:val="22"/>
                <w:szCs w:val="22"/>
                <w:lang w:val="es-ES"/>
              </w:rPr>
              <w:t xml:space="preserve">Establecimiento del CIG </w:t>
            </w:r>
            <w:r w:rsidR="006C39B7" w:rsidRPr="00D95727">
              <w:rPr>
                <w:rFonts w:ascii="Arial" w:hAnsi="Arial" w:cs="Arial"/>
                <w:sz w:val="22"/>
                <w:szCs w:val="22"/>
                <w:lang w:val="es-ES"/>
              </w:rPr>
              <w:t>(2000)</w:t>
            </w:r>
          </w:p>
          <w:p w:rsidR="006C39B7" w:rsidRPr="00D95727" w:rsidRDefault="00F90508" w:rsidP="00722D62">
            <w:pPr>
              <w:spacing w:before="100" w:beforeAutospacing="1"/>
              <w:contextualSpacing/>
              <w:rPr>
                <w:rFonts w:ascii="Arial" w:hAnsi="Arial" w:cs="Arial"/>
                <w:sz w:val="22"/>
                <w:szCs w:val="22"/>
                <w:lang w:val="es-ES"/>
              </w:rPr>
            </w:pPr>
            <w:r w:rsidRPr="00D95727">
              <w:rPr>
                <w:rFonts w:ascii="Arial" w:hAnsi="Arial" w:cs="Arial"/>
                <w:sz w:val="22"/>
                <w:szCs w:val="22"/>
                <w:lang w:val="es-ES"/>
              </w:rPr>
              <w:t>Primera sesión del CIG</w:t>
            </w:r>
            <w:r w:rsidR="006C39B7" w:rsidRPr="00D95727">
              <w:rPr>
                <w:rFonts w:ascii="Arial" w:hAnsi="Arial" w:cs="Arial"/>
                <w:sz w:val="22"/>
                <w:szCs w:val="22"/>
                <w:lang w:val="es-ES"/>
              </w:rPr>
              <w:t xml:space="preserve"> (2001)</w:t>
            </w:r>
          </w:p>
        </w:tc>
        <w:tc>
          <w:tcPr>
            <w:tcW w:w="3150" w:type="dxa"/>
            <w:shd w:val="clear" w:color="auto" w:fill="auto"/>
          </w:tcPr>
          <w:p w:rsidR="00D16F07" w:rsidRPr="00D95727" w:rsidRDefault="005F24E9" w:rsidP="00722D62">
            <w:pPr>
              <w:spacing w:before="120"/>
              <w:rPr>
                <w:rFonts w:ascii="Arial" w:hAnsi="Arial" w:cs="Arial"/>
                <w:sz w:val="22"/>
                <w:szCs w:val="22"/>
                <w:lang w:val="es-ES"/>
              </w:rPr>
            </w:pPr>
            <w:r w:rsidRPr="00D95727">
              <w:rPr>
                <w:rFonts w:ascii="Arial" w:hAnsi="Arial" w:cs="Arial"/>
                <w:sz w:val="22"/>
                <w:szCs w:val="22"/>
                <w:lang w:val="es-ES"/>
              </w:rPr>
              <w:t>Protocolo de Cartagena sobre Seguridad de la Biotecnología</w:t>
            </w:r>
            <w:r w:rsidR="006C39B7" w:rsidRPr="00D95727">
              <w:rPr>
                <w:rFonts w:ascii="Arial" w:hAnsi="Arial" w:cs="Arial"/>
                <w:sz w:val="22"/>
                <w:szCs w:val="22"/>
                <w:lang w:val="es-ES"/>
              </w:rPr>
              <w:t xml:space="preserve"> (2000)</w:t>
            </w:r>
          </w:p>
          <w:p w:rsidR="00D16F07" w:rsidRPr="00D95727" w:rsidRDefault="00D16F07" w:rsidP="00D16F07">
            <w:pPr>
              <w:spacing w:before="100" w:beforeAutospacing="1"/>
              <w:rPr>
                <w:rFonts w:ascii="Arial" w:hAnsi="Arial" w:cs="Arial"/>
                <w:sz w:val="22"/>
                <w:szCs w:val="22"/>
                <w:lang w:val="es-ES"/>
              </w:rPr>
            </w:pPr>
            <w:r w:rsidRPr="00D95727">
              <w:rPr>
                <w:rFonts w:ascii="Arial" w:hAnsi="Arial" w:cs="Arial"/>
                <w:sz w:val="22"/>
                <w:szCs w:val="22"/>
                <w:lang w:val="es-ES"/>
              </w:rPr>
              <w:t>Tratado Internacional sobre los Recursos Fitogenéticos para la Alimentación y la Agricultura de junio de 2001</w:t>
            </w:r>
          </w:p>
          <w:p w:rsidR="00D16F07" w:rsidRPr="00D95727" w:rsidRDefault="005F24E9" w:rsidP="00722D62">
            <w:pPr>
              <w:spacing w:before="100" w:beforeAutospacing="1"/>
              <w:rPr>
                <w:rFonts w:ascii="Arial" w:hAnsi="Arial" w:cs="Arial"/>
                <w:sz w:val="22"/>
                <w:szCs w:val="22"/>
                <w:lang w:val="es-ES"/>
              </w:rPr>
            </w:pPr>
            <w:r w:rsidRPr="00D95727">
              <w:rPr>
                <w:rFonts w:ascii="Arial" w:hAnsi="Arial" w:cs="Arial"/>
                <w:sz w:val="22"/>
                <w:szCs w:val="22"/>
                <w:lang w:val="es-ES"/>
              </w:rPr>
              <w:t>Ronda de </w:t>
            </w:r>
            <w:r w:rsidRPr="00D95727">
              <w:rPr>
                <w:rFonts w:ascii="Arial" w:hAnsi="Arial" w:cs="Arial"/>
                <w:iCs/>
                <w:sz w:val="22"/>
                <w:szCs w:val="22"/>
                <w:lang w:val="es-ES"/>
              </w:rPr>
              <w:t>Doha</w:t>
            </w:r>
            <w:r w:rsidRPr="00D95727">
              <w:rPr>
                <w:rStyle w:val="apple-converted-space"/>
                <w:rFonts w:ascii="Helvetica" w:hAnsi="Helvetica" w:cs="Helvetica"/>
                <w:sz w:val="15"/>
                <w:szCs w:val="15"/>
                <w:shd w:val="clear" w:color="auto" w:fill="F5F5F5"/>
                <w:lang w:val="es-ES"/>
              </w:rPr>
              <w:t> </w:t>
            </w:r>
            <w:r w:rsidRPr="00D95727">
              <w:rPr>
                <w:rFonts w:ascii="Arial" w:hAnsi="Arial" w:cs="Arial"/>
                <w:sz w:val="22"/>
                <w:szCs w:val="22"/>
                <w:lang w:val="es-ES"/>
              </w:rPr>
              <w:t xml:space="preserve"> </w:t>
            </w:r>
            <w:r w:rsidR="006C39B7" w:rsidRPr="00D95727">
              <w:rPr>
                <w:rFonts w:ascii="Arial" w:hAnsi="Arial" w:cs="Arial"/>
                <w:sz w:val="22"/>
                <w:szCs w:val="22"/>
                <w:lang w:val="es-ES"/>
              </w:rPr>
              <w:t>(</w:t>
            </w:r>
            <w:r w:rsidRPr="00D95727">
              <w:rPr>
                <w:rFonts w:ascii="Arial" w:hAnsi="Arial" w:cs="Arial"/>
                <w:sz w:val="22"/>
                <w:szCs w:val="22"/>
                <w:lang w:val="es-ES"/>
              </w:rPr>
              <w:t>iniciada en</w:t>
            </w:r>
            <w:r w:rsidR="006C39B7" w:rsidRPr="00D95727">
              <w:rPr>
                <w:rFonts w:ascii="Arial" w:hAnsi="Arial" w:cs="Arial"/>
                <w:sz w:val="22"/>
                <w:szCs w:val="22"/>
                <w:lang w:val="es-ES"/>
              </w:rPr>
              <w:t xml:space="preserve"> 2001)</w:t>
            </w:r>
          </w:p>
          <w:p w:rsidR="006C39B7" w:rsidRPr="00D95727" w:rsidRDefault="00D16F07" w:rsidP="00FC0C29">
            <w:pPr>
              <w:spacing w:before="100" w:beforeAutospacing="1"/>
              <w:rPr>
                <w:rFonts w:ascii="Arial" w:hAnsi="Arial" w:cs="Arial"/>
                <w:sz w:val="22"/>
                <w:szCs w:val="22"/>
                <w:lang w:val="es-ES"/>
              </w:rPr>
            </w:pPr>
            <w:r w:rsidRPr="00D95727">
              <w:rPr>
                <w:rFonts w:ascii="Arial" w:hAnsi="Arial" w:cs="Arial"/>
                <w:sz w:val="22"/>
                <w:szCs w:val="22"/>
                <w:lang w:val="es-ES"/>
              </w:rPr>
              <w:t>Convención de la UNESCO sobre la salvaguardia del patrimonio cultural inmaterial, adoptada en 2003</w:t>
            </w:r>
          </w:p>
        </w:tc>
        <w:tc>
          <w:tcPr>
            <w:tcW w:w="2520" w:type="dxa"/>
            <w:shd w:val="clear" w:color="auto" w:fill="auto"/>
          </w:tcPr>
          <w:p w:rsidR="00D16F07" w:rsidRPr="00D95727" w:rsidRDefault="00AF6D62" w:rsidP="00722D62">
            <w:pPr>
              <w:spacing w:before="120"/>
              <w:rPr>
                <w:rFonts w:ascii="Arial" w:hAnsi="Arial" w:cs="Arial"/>
                <w:sz w:val="22"/>
                <w:szCs w:val="22"/>
                <w:lang w:val="es-ES"/>
              </w:rPr>
            </w:pPr>
            <w:r w:rsidRPr="00D95727">
              <w:rPr>
                <w:rFonts w:ascii="Arial" w:hAnsi="Arial" w:cs="Arial"/>
                <w:sz w:val="22"/>
                <w:szCs w:val="22"/>
                <w:lang w:val="es-ES"/>
              </w:rPr>
              <w:t>Decisión 391 de la Comunidad Andina</w:t>
            </w:r>
            <w:r w:rsidR="006C39B7" w:rsidRPr="00D95727">
              <w:rPr>
                <w:rFonts w:ascii="Arial" w:hAnsi="Arial" w:cs="Arial"/>
                <w:sz w:val="22"/>
                <w:szCs w:val="22"/>
                <w:lang w:val="es-ES"/>
              </w:rPr>
              <w:t xml:space="preserve"> (2000)</w:t>
            </w:r>
          </w:p>
          <w:p w:rsidR="006C39B7" w:rsidRPr="00D95727" w:rsidRDefault="0081216E" w:rsidP="00722D62">
            <w:pPr>
              <w:spacing w:before="100" w:beforeAutospacing="1"/>
              <w:rPr>
                <w:rFonts w:ascii="Arial" w:hAnsi="Arial" w:cs="Arial"/>
                <w:sz w:val="22"/>
                <w:szCs w:val="22"/>
                <w:lang w:val="es-ES"/>
              </w:rPr>
            </w:pPr>
            <w:r w:rsidRPr="00D95727">
              <w:rPr>
                <w:rFonts w:ascii="Arial" w:hAnsi="Arial" w:cs="Arial"/>
                <w:sz w:val="22"/>
                <w:szCs w:val="22"/>
                <w:lang w:val="es-ES"/>
              </w:rPr>
              <w:t>Marco Regional para el Pacífico relativo a la protección de los conocimientos tradicionales y las expresiones de la cultura,</w:t>
            </w:r>
            <w:r w:rsidRPr="00D95727">
              <w:rPr>
                <w:lang w:val="es-ES"/>
              </w:rPr>
              <w:t xml:space="preserve"> </w:t>
            </w:r>
            <w:r w:rsidRPr="00D95727">
              <w:rPr>
                <w:rFonts w:ascii="Arial" w:hAnsi="Arial" w:cs="Arial"/>
                <w:sz w:val="22"/>
                <w:szCs w:val="22"/>
                <w:lang w:val="es-ES"/>
              </w:rPr>
              <w:t>Secretaría de la Comunidad del Pacífico</w:t>
            </w:r>
            <w:r w:rsidR="006C39B7" w:rsidRPr="00D95727">
              <w:rPr>
                <w:rFonts w:ascii="Arial" w:hAnsi="Arial" w:cs="Arial"/>
                <w:sz w:val="22"/>
                <w:szCs w:val="22"/>
                <w:lang w:val="es-ES"/>
              </w:rPr>
              <w:t xml:space="preserve"> (2002)</w:t>
            </w:r>
          </w:p>
        </w:tc>
      </w:tr>
      <w:tr w:rsidR="00D95727" w:rsidRPr="00D95727" w:rsidTr="008A5F8A">
        <w:trPr>
          <w:trHeight w:val="541"/>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t xml:space="preserve">2005 – 2010 </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6C39B7" w:rsidP="00722D62">
            <w:pPr>
              <w:spacing w:before="120"/>
              <w:rPr>
                <w:rFonts w:ascii="Arial" w:hAnsi="Arial" w:cs="Arial"/>
                <w:sz w:val="22"/>
                <w:szCs w:val="22"/>
                <w:lang w:val="es-ES"/>
              </w:rPr>
            </w:pPr>
          </w:p>
        </w:tc>
        <w:tc>
          <w:tcPr>
            <w:tcW w:w="3150" w:type="dxa"/>
            <w:shd w:val="clear" w:color="auto" w:fill="auto"/>
          </w:tcPr>
          <w:p w:rsidR="00D16F07" w:rsidRPr="00D95727" w:rsidRDefault="00D16F07" w:rsidP="00D16F07">
            <w:pPr>
              <w:spacing w:before="120"/>
              <w:rPr>
                <w:rFonts w:ascii="Arial" w:hAnsi="Arial" w:cs="Arial"/>
                <w:sz w:val="22"/>
                <w:szCs w:val="22"/>
                <w:lang w:val="es-ES"/>
              </w:rPr>
            </w:pPr>
            <w:r w:rsidRPr="00D95727">
              <w:rPr>
                <w:rFonts w:ascii="Arial" w:hAnsi="Arial" w:cs="Arial"/>
                <w:sz w:val="22"/>
                <w:szCs w:val="22"/>
                <w:lang w:val="es-ES"/>
              </w:rPr>
              <w:t>Convención de la UNESCO sobre la protección y la promoción de la diversidad de las expresiones culturales, adoptada en 2005;</w:t>
            </w:r>
          </w:p>
          <w:p w:rsidR="008B4365" w:rsidRPr="00D95727" w:rsidRDefault="00D16F07" w:rsidP="008A5F8A">
            <w:pPr>
              <w:spacing w:before="100" w:beforeAutospacing="1"/>
              <w:rPr>
                <w:rFonts w:ascii="Arial" w:hAnsi="Arial" w:cs="Arial"/>
                <w:sz w:val="22"/>
                <w:szCs w:val="22"/>
                <w:lang w:val="es-ES"/>
              </w:rPr>
            </w:pPr>
            <w:r w:rsidRPr="00D95727">
              <w:rPr>
                <w:rFonts w:ascii="Arial" w:hAnsi="Arial" w:cs="Arial"/>
                <w:sz w:val="22"/>
                <w:szCs w:val="22"/>
                <w:lang w:val="es-ES"/>
              </w:rPr>
              <w:t>Declaración de las Naciones Unidas sobre los derechos de los pueblos indígenas, adoptada en 2007</w:t>
            </w:r>
          </w:p>
        </w:tc>
        <w:tc>
          <w:tcPr>
            <w:tcW w:w="2520" w:type="dxa"/>
            <w:shd w:val="clear" w:color="auto" w:fill="auto"/>
          </w:tcPr>
          <w:p w:rsidR="006C39B7" w:rsidRPr="00D95727" w:rsidRDefault="006C39B7" w:rsidP="00722D62">
            <w:pPr>
              <w:spacing w:before="100" w:beforeAutospacing="1"/>
              <w:rPr>
                <w:rFonts w:ascii="Arial" w:hAnsi="Arial" w:cs="Arial"/>
                <w:sz w:val="22"/>
                <w:szCs w:val="22"/>
                <w:lang w:val="es-ES"/>
              </w:rPr>
            </w:pPr>
          </w:p>
        </w:tc>
      </w:tr>
      <w:tr w:rsidR="006C39B7" w:rsidRPr="00D95727" w:rsidTr="00722D62">
        <w:trPr>
          <w:trHeight w:val="2916"/>
        </w:trPr>
        <w:tc>
          <w:tcPr>
            <w:tcW w:w="1530" w:type="dxa"/>
            <w:shd w:val="clear" w:color="auto" w:fill="auto"/>
          </w:tcPr>
          <w:p w:rsidR="00D16F07" w:rsidRPr="00D95727" w:rsidRDefault="006C39B7" w:rsidP="00722D62">
            <w:pPr>
              <w:spacing w:before="120"/>
              <w:rPr>
                <w:rFonts w:ascii="Arial" w:hAnsi="Arial" w:cs="Arial"/>
                <w:sz w:val="22"/>
                <w:szCs w:val="22"/>
                <w:lang w:val="es-ES"/>
              </w:rPr>
            </w:pPr>
            <w:r w:rsidRPr="00D95727">
              <w:rPr>
                <w:rFonts w:ascii="Arial" w:hAnsi="Arial" w:cs="Arial"/>
                <w:sz w:val="22"/>
                <w:szCs w:val="22"/>
                <w:lang w:val="es-ES"/>
              </w:rPr>
              <w:lastRenderedPageBreak/>
              <w:t xml:space="preserve">2010 – </w:t>
            </w:r>
            <w:r w:rsidR="00F90508" w:rsidRPr="00D95727">
              <w:rPr>
                <w:rFonts w:ascii="Arial" w:hAnsi="Arial" w:cs="Arial"/>
                <w:sz w:val="22"/>
                <w:szCs w:val="22"/>
                <w:lang w:val="es-ES"/>
              </w:rPr>
              <w:t>p</w:t>
            </w:r>
            <w:r w:rsidRPr="00D95727">
              <w:rPr>
                <w:rFonts w:ascii="Arial" w:hAnsi="Arial" w:cs="Arial"/>
                <w:sz w:val="22"/>
                <w:szCs w:val="22"/>
                <w:lang w:val="es-ES"/>
              </w:rPr>
              <w:t>resent</w:t>
            </w:r>
            <w:r w:rsidR="00F90508" w:rsidRPr="00D95727">
              <w:rPr>
                <w:rFonts w:ascii="Arial" w:hAnsi="Arial" w:cs="Arial"/>
                <w:sz w:val="22"/>
                <w:szCs w:val="22"/>
                <w:lang w:val="es-ES"/>
              </w:rPr>
              <w:t>e</w:t>
            </w:r>
          </w:p>
          <w:p w:rsidR="006C39B7" w:rsidRPr="00D95727" w:rsidRDefault="006C39B7" w:rsidP="00722D62">
            <w:pPr>
              <w:spacing w:before="120"/>
              <w:rPr>
                <w:rFonts w:ascii="Arial" w:hAnsi="Arial" w:cs="Arial"/>
                <w:sz w:val="22"/>
                <w:szCs w:val="22"/>
                <w:lang w:val="es-ES"/>
              </w:rPr>
            </w:pPr>
          </w:p>
        </w:tc>
        <w:tc>
          <w:tcPr>
            <w:tcW w:w="2340" w:type="dxa"/>
            <w:shd w:val="clear" w:color="auto" w:fill="auto"/>
          </w:tcPr>
          <w:p w:rsidR="006C39B7" w:rsidRPr="00D95727" w:rsidRDefault="00F90508" w:rsidP="00722D62">
            <w:pPr>
              <w:spacing w:before="120"/>
              <w:rPr>
                <w:rFonts w:ascii="Arial" w:hAnsi="Arial" w:cs="Arial"/>
                <w:sz w:val="22"/>
                <w:szCs w:val="22"/>
                <w:lang w:val="es-ES"/>
              </w:rPr>
            </w:pPr>
            <w:r w:rsidRPr="00D95727">
              <w:rPr>
                <w:rFonts w:ascii="Arial" w:hAnsi="Arial" w:cs="Arial"/>
                <w:sz w:val="22"/>
                <w:szCs w:val="22"/>
                <w:lang w:val="es-ES"/>
              </w:rPr>
              <w:t>Inicio de las negociaciones basadas en textos en el CIG</w:t>
            </w:r>
          </w:p>
        </w:tc>
        <w:tc>
          <w:tcPr>
            <w:tcW w:w="3150" w:type="dxa"/>
            <w:shd w:val="clear" w:color="auto" w:fill="auto"/>
          </w:tcPr>
          <w:p w:rsidR="00D16F07" w:rsidRPr="00D95727" w:rsidRDefault="00513F98" w:rsidP="00722D62">
            <w:pPr>
              <w:spacing w:before="120"/>
              <w:rPr>
                <w:rFonts w:ascii="Arial" w:hAnsi="Arial" w:cs="Arial"/>
                <w:sz w:val="22"/>
                <w:szCs w:val="22"/>
                <w:lang w:val="es-ES"/>
              </w:rPr>
            </w:pPr>
            <w:r w:rsidRPr="00D95727">
              <w:rPr>
                <w:rFonts w:ascii="Arial" w:hAnsi="Arial" w:cs="Arial"/>
                <w:sz w:val="22"/>
                <w:szCs w:val="22"/>
                <w:lang w:val="es-ES"/>
              </w:rPr>
              <w:t xml:space="preserve">Protocolo de Nagoya sobre Acceso y Participación en los Beneficios </w:t>
            </w:r>
            <w:r w:rsidR="006C39B7" w:rsidRPr="00D95727">
              <w:rPr>
                <w:rFonts w:ascii="Arial" w:hAnsi="Arial" w:cs="Arial"/>
                <w:sz w:val="22"/>
                <w:szCs w:val="22"/>
                <w:lang w:val="es-ES"/>
              </w:rPr>
              <w:t>(2010)</w:t>
            </w:r>
          </w:p>
          <w:p w:rsidR="00D16F07" w:rsidRPr="00D95727" w:rsidRDefault="00D16F07" w:rsidP="00D16F07">
            <w:pPr>
              <w:spacing w:before="100" w:beforeAutospacing="1"/>
              <w:rPr>
                <w:rFonts w:ascii="Arial" w:hAnsi="Arial" w:cs="Arial"/>
                <w:iCs/>
                <w:sz w:val="22"/>
                <w:szCs w:val="22"/>
                <w:lang w:val="es-ES"/>
              </w:rPr>
            </w:pPr>
            <w:r w:rsidRPr="00D95727">
              <w:rPr>
                <w:rFonts w:ascii="Arial" w:hAnsi="Arial" w:cs="Arial"/>
                <w:iCs/>
                <w:sz w:val="22"/>
                <w:szCs w:val="22"/>
                <w:lang w:val="es-ES"/>
              </w:rPr>
              <w:t>Tratado de Beijing sobre Interpretaciones y Ejecuciones Audiovisuales (2012)</w:t>
            </w:r>
          </w:p>
          <w:p w:rsidR="006C39B7" w:rsidRPr="00D95727" w:rsidRDefault="006C39B7" w:rsidP="00722D62">
            <w:pPr>
              <w:spacing w:before="100" w:beforeAutospacing="1"/>
              <w:rPr>
                <w:rFonts w:ascii="Arial" w:hAnsi="Arial" w:cs="Arial"/>
                <w:sz w:val="22"/>
                <w:szCs w:val="22"/>
                <w:lang w:val="es-ES"/>
              </w:rPr>
            </w:pPr>
          </w:p>
        </w:tc>
        <w:tc>
          <w:tcPr>
            <w:tcW w:w="2520" w:type="dxa"/>
            <w:shd w:val="clear" w:color="auto" w:fill="auto"/>
          </w:tcPr>
          <w:p w:rsidR="00D16F07" w:rsidRPr="00D95727" w:rsidRDefault="00513F98" w:rsidP="00722D62">
            <w:pPr>
              <w:spacing w:before="120"/>
              <w:rPr>
                <w:rFonts w:ascii="Arial" w:hAnsi="Arial" w:cs="Arial"/>
                <w:sz w:val="22"/>
                <w:szCs w:val="22"/>
                <w:lang w:val="es-ES"/>
              </w:rPr>
            </w:pPr>
            <w:r w:rsidRPr="00D95727">
              <w:rPr>
                <w:rFonts w:ascii="Arial" w:hAnsi="Arial" w:cs="Arial"/>
                <w:sz w:val="22"/>
                <w:szCs w:val="22"/>
                <w:lang w:val="es-ES"/>
              </w:rPr>
              <w:t xml:space="preserve">Protocolo de Swakopmund de la ARIPO </w:t>
            </w:r>
            <w:r w:rsidR="006C39B7" w:rsidRPr="00D95727">
              <w:rPr>
                <w:rFonts w:ascii="Arial" w:hAnsi="Arial" w:cs="Arial"/>
                <w:sz w:val="22"/>
                <w:szCs w:val="22"/>
                <w:lang w:val="es-ES"/>
              </w:rPr>
              <w:t>(2010)</w:t>
            </w:r>
          </w:p>
          <w:p w:rsidR="006C39B7" w:rsidRPr="00D95727" w:rsidRDefault="00513F98" w:rsidP="008D38A1">
            <w:pPr>
              <w:spacing w:before="100" w:beforeAutospacing="1"/>
              <w:rPr>
                <w:rFonts w:ascii="Arial" w:hAnsi="Arial" w:cs="Arial"/>
                <w:sz w:val="22"/>
                <w:szCs w:val="22"/>
                <w:lang w:val="es-ES"/>
              </w:rPr>
            </w:pPr>
            <w:r w:rsidRPr="00D95727">
              <w:rPr>
                <w:rFonts w:ascii="Arial" w:hAnsi="Arial" w:cs="Arial"/>
                <w:sz w:val="22"/>
                <w:szCs w:val="22"/>
                <w:lang w:val="es-ES"/>
              </w:rPr>
              <w:t xml:space="preserve">Tratado marco relativo a la protección de los conocimientos tradicionales y las expresiones culturales, Grupo </w:t>
            </w:r>
            <w:r w:rsidR="008D38A1" w:rsidRPr="00D95727">
              <w:rPr>
                <w:rFonts w:ascii="Arial" w:hAnsi="Arial" w:cs="Arial"/>
                <w:sz w:val="22"/>
                <w:szCs w:val="22"/>
                <w:lang w:val="es-ES"/>
              </w:rPr>
              <w:t>Melanesio de Avanzada</w:t>
            </w:r>
            <w:r w:rsidR="006C39B7" w:rsidRPr="00D95727">
              <w:rPr>
                <w:rFonts w:ascii="Arial" w:hAnsi="Arial" w:cs="Arial"/>
                <w:sz w:val="22"/>
                <w:szCs w:val="22"/>
                <w:lang w:val="es-ES"/>
              </w:rPr>
              <w:t xml:space="preserve"> (2011)</w:t>
            </w:r>
          </w:p>
        </w:tc>
      </w:tr>
    </w:tbl>
    <w:p w:rsidR="00D16F07" w:rsidRPr="00D95727" w:rsidRDefault="00D16F07" w:rsidP="006C39B7">
      <w:pPr>
        <w:rPr>
          <w:rFonts w:ascii="Arial" w:hAnsi="Arial" w:cs="Arial"/>
          <w:sz w:val="22"/>
          <w:szCs w:val="20"/>
          <w:lang w:val="es-ES"/>
        </w:rPr>
      </w:pPr>
    </w:p>
    <w:p w:rsidR="00D16F07" w:rsidRPr="00D95727" w:rsidRDefault="00D16F07" w:rsidP="005E280F">
      <w:pPr>
        <w:tabs>
          <w:tab w:val="num" w:pos="993"/>
          <w:tab w:val="left" w:pos="5760"/>
        </w:tabs>
        <w:autoSpaceDE w:val="0"/>
        <w:autoSpaceDN w:val="0"/>
        <w:adjustRightInd w:val="0"/>
        <w:rPr>
          <w:rFonts w:ascii="Arial" w:eastAsia="SimSun" w:hAnsi="Arial" w:cs="Arial"/>
          <w:sz w:val="22"/>
          <w:szCs w:val="22"/>
          <w:lang w:val="es-ES" w:eastAsia="zh-CN"/>
        </w:rPr>
      </w:pPr>
    </w:p>
    <w:p w:rsidR="008B4365" w:rsidRPr="00D95727" w:rsidRDefault="00D16F07" w:rsidP="005E280F">
      <w:pPr>
        <w:autoSpaceDE w:val="0"/>
        <w:autoSpaceDN w:val="0"/>
        <w:adjustRightInd w:val="0"/>
        <w:ind w:left="5490"/>
        <w:rPr>
          <w:rFonts w:ascii="Arial" w:eastAsia="SimSun" w:hAnsi="Arial" w:cs="Arial"/>
          <w:sz w:val="22"/>
          <w:szCs w:val="20"/>
          <w:lang w:val="es-ES" w:eastAsia="zh-CN"/>
        </w:rPr>
      </w:pPr>
      <w:r w:rsidRPr="00D95727">
        <w:rPr>
          <w:rFonts w:ascii="Arial" w:eastAsia="SimSun" w:hAnsi="Arial" w:cs="Arial"/>
          <w:sz w:val="22"/>
          <w:szCs w:val="20"/>
          <w:lang w:val="es-ES" w:eastAsia="zh-CN"/>
        </w:rPr>
        <w:t>[Fin del Anexo II y del documento]</w:t>
      </w:r>
    </w:p>
    <w:sectPr w:rsidR="008B4365" w:rsidRPr="00D95727" w:rsidSect="008B4365">
      <w:headerReference w:type="default" r:id="rId12"/>
      <w:footnotePr>
        <w:numRestart w:val="eachSect"/>
      </w:footnotePr>
      <w:pgSz w:w="11909" w:h="16834" w:code="9"/>
      <w:pgMar w:top="1440" w:right="1199"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17" w:rsidRDefault="00D40617" w:rsidP="00B24B34">
      <w:r>
        <w:separator/>
      </w:r>
    </w:p>
  </w:endnote>
  <w:endnote w:type="continuationSeparator" w:id="0">
    <w:p w:rsidR="00D40617" w:rsidRDefault="00D40617"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BE" w:rsidRPr="007330CE" w:rsidRDefault="00F515BE"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17" w:rsidRDefault="00D40617" w:rsidP="00B24B34">
      <w:r>
        <w:separator/>
      </w:r>
    </w:p>
  </w:footnote>
  <w:footnote w:type="continuationSeparator" w:id="0">
    <w:p w:rsidR="00D40617" w:rsidRDefault="00D40617" w:rsidP="00B24B34">
      <w:r>
        <w:continuationSeparator/>
      </w:r>
    </w:p>
  </w:footnote>
  <w:footnote w:id="1">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Nota de la Secretaría de la OMPI:  el presidente del CIG, Sr</w:t>
      </w:r>
      <w:r w:rsidR="00EA78E0" w:rsidRPr="005C2686">
        <w:rPr>
          <w:rFonts w:ascii="Arial" w:hAnsi="Arial" w:cs="Arial"/>
          <w:lang w:val="es-ES_tradnl"/>
        </w:rPr>
        <w:t>.</w:t>
      </w:r>
      <w:r w:rsidRPr="005C2686">
        <w:rPr>
          <w:rFonts w:ascii="Arial" w:hAnsi="Arial" w:cs="Arial"/>
          <w:lang w:val="es-ES_tradnl"/>
        </w:rPr>
        <w:t xml:space="preserve"> Ian Goss, ha preparado la presente nota informativa con el fin de ayudar a los Estados miembros en sus preparativos para la 34ª sesión del CIG.</w:t>
      </w:r>
    </w:p>
  </w:footnote>
  <w:footnote w:id="2">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WIPO/GRTKF/IC/34/9.</w:t>
      </w:r>
    </w:p>
  </w:footnote>
  <w:footnote w:id="3">
    <w:p w:rsidR="00F515BE" w:rsidRPr="005C2686" w:rsidRDefault="00F515BE">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WIPO/GRTKF/IC/34/10.</w:t>
      </w:r>
    </w:p>
  </w:footnote>
  <w:footnote w:id="4">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WIPO/GRTKF/IC/34/11.</w:t>
      </w:r>
    </w:p>
  </w:footnote>
  <w:footnote w:id="5">
    <w:p w:rsidR="00F515BE" w:rsidRPr="005C2686" w:rsidRDefault="00F515BE">
      <w:pPr>
        <w:pStyle w:val="FootnoteText"/>
        <w:rPr>
          <w:rFonts w:ascii="Arial" w:hAnsi="Arial" w:cs="Arial"/>
          <w:lang w:val="es-ES"/>
        </w:rPr>
      </w:pPr>
      <w:r w:rsidRPr="005C2686">
        <w:rPr>
          <w:rStyle w:val="FootnoteReference"/>
          <w:rFonts w:ascii="Arial" w:hAnsi="Arial" w:cs="Arial"/>
        </w:rPr>
        <w:footnoteRef/>
      </w:r>
      <w:r w:rsidRPr="005C2686">
        <w:rPr>
          <w:rFonts w:ascii="Arial" w:hAnsi="Arial" w:cs="Arial"/>
          <w:lang w:val="es-ES"/>
        </w:rPr>
        <w:t xml:space="preserve"> Véase el documento WIPO/GRTKF/IC/8/11 (Divulgación del origen o la fuente de los recursos genéticos y los conocimientos tradicionales conexos en las solicitudes de patentes).</w:t>
      </w:r>
    </w:p>
  </w:footnote>
  <w:footnote w:id="6">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WIPO/GRTKF/IC/34/9.</w:t>
      </w:r>
    </w:p>
  </w:footnote>
  <w:footnote w:id="7">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WIPO/GRTKF/IC/34/10.</w:t>
      </w:r>
    </w:p>
  </w:footnote>
  <w:footnote w:id="8">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WIPO/GRTKF/IC/34/11.</w:t>
      </w:r>
    </w:p>
  </w:footnote>
  <w:footnote w:id="9">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WIPO/GRTKF/IC/32/9.</w:t>
      </w:r>
    </w:p>
  </w:footnote>
  <w:footnote w:id="10">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5B2CF1" w:rsidRPr="005C2686">
        <w:rPr>
          <w:rFonts w:ascii="Arial" w:hAnsi="Arial" w:cs="Arial"/>
          <w:lang w:val="es-ES_tradnl"/>
        </w:rPr>
        <w:t xml:space="preserve"> </w:t>
      </w:r>
      <w:r w:rsidRPr="005C2686">
        <w:rPr>
          <w:rFonts w:ascii="Arial" w:hAnsi="Arial" w:cs="Arial"/>
          <w:lang w:val="es-ES_tradnl"/>
        </w:rPr>
        <w:t>Véase el documento WIPO/GRTKF/IC/34/13.</w:t>
      </w:r>
    </w:p>
  </w:footnote>
  <w:footnote w:id="11">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F127DB" w:rsidRPr="005C2686">
        <w:rPr>
          <w:rFonts w:ascii="Arial" w:hAnsi="Arial" w:cs="Arial"/>
          <w:lang w:val="es-ES_tradnl"/>
        </w:rPr>
        <w:t xml:space="preserve"> </w:t>
      </w:r>
      <w:r w:rsidRPr="005C2686">
        <w:rPr>
          <w:rFonts w:ascii="Arial" w:hAnsi="Arial" w:cs="Arial"/>
          <w:lang w:val="es-ES_tradnl"/>
        </w:rPr>
        <w:t>Véase el documento WIPO/GRTKF/IC/34/12.</w:t>
      </w:r>
    </w:p>
  </w:footnote>
  <w:footnote w:id="12">
    <w:p w:rsidR="00F515BE" w:rsidRPr="005C2686" w:rsidRDefault="00F515BE" w:rsidP="00D16F07">
      <w:pPr>
        <w:pStyle w:val="FootnoteText"/>
        <w:rPr>
          <w:rFonts w:ascii="Arial" w:hAnsi="Arial" w:cs="Arial"/>
          <w:lang w:val="es-ES"/>
        </w:rPr>
      </w:pPr>
      <w:r w:rsidRPr="005C2686">
        <w:rPr>
          <w:rStyle w:val="FootnoteReference"/>
          <w:rFonts w:ascii="Arial" w:hAnsi="Arial" w:cs="Arial"/>
        </w:rPr>
        <w:footnoteRef/>
      </w:r>
      <w:r w:rsidR="00F127DB" w:rsidRPr="005C2686">
        <w:rPr>
          <w:rFonts w:ascii="Arial" w:hAnsi="Arial" w:cs="Arial"/>
          <w:lang w:val="es-ES_tradnl"/>
        </w:rPr>
        <w:t xml:space="preserve"> </w:t>
      </w:r>
      <w:r w:rsidRPr="005C2686">
        <w:rPr>
          <w:rFonts w:ascii="Arial" w:hAnsi="Arial" w:cs="Arial"/>
          <w:lang w:val="es-ES_tradnl"/>
        </w:rPr>
        <w:t>Véase el documento WIPO/GRTKF/IC/33/6.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BE" w:rsidRPr="005E280F" w:rsidRDefault="005E280F" w:rsidP="005E280F">
    <w:pPr>
      <w:pStyle w:val="Header"/>
      <w:jc w:val="right"/>
      <w:rPr>
        <w:rFonts w:ascii="Arial" w:hAnsi="Arial" w:cs="Arial"/>
        <w:sz w:val="22"/>
        <w:szCs w:val="22"/>
      </w:rPr>
    </w:pPr>
    <w:r>
      <w:rPr>
        <w:rFonts w:ascii="Arial" w:hAnsi="Arial" w:cs="Arial"/>
        <w:sz w:val="22"/>
        <w:szCs w:val="22"/>
      </w:rPr>
      <w:t xml:space="preserve">página </w:t>
    </w:r>
    <w:r w:rsidR="00F515BE" w:rsidRPr="005E280F">
      <w:rPr>
        <w:rFonts w:ascii="Arial" w:hAnsi="Arial" w:cs="Arial"/>
        <w:sz w:val="22"/>
        <w:szCs w:val="22"/>
      </w:rPr>
      <w:fldChar w:fldCharType="begin"/>
    </w:r>
    <w:r w:rsidR="00F515BE" w:rsidRPr="005E280F">
      <w:rPr>
        <w:rFonts w:ascii="Arial" w:hAnsi="Arial" w:cs="Arial"/>
        <w:sz w:val="22"/>
        <w:szCs w:val="22"/>
      </w:rPr>
      <w:instrText xml:space="preserve"> PAGE   \* MERGEFORMAT </w:instrText>
    </w:r>
    <w:r w:rsidR="00F515BE" w:rsidRPr="005E280F">
      <w:rPr>
        <w:rFonts w:ascii="Arial" w:hAnsi="Arial" w:cs="Arial"/>
        <w:sz w:val="22"/>
        <w:szCs w:val="22"/>
      </w:rPr>
      <w:fldChar w:fldCharType="separate"/>
    </w:r>
    <w:r w:rsidR="00D50303">
      <w:rPr>
        <w:rFonts w:ascii="Arial" w:hAnsi="Arial" w:cs="Arial"/>
        <w:noProof/>
        <w:sz w:val="22"/>
        <w:szCs w:val="22"/>
      </w:rPr>
      <w:t>5</w:t>
    </w:r>
    <w:r w:rsidR="00F515BE" w:rsidRPr="005E280F">
      <w:rPr>
        <w:rFonts w:ascii="Arial" w:hAnsi="Arial" w:cs="Arial"/>
        <w:noProof/>
        <w:sz w:val="22"/>
        <w:szCs w:val="22"/>
      </w:rPr>
      <w:fldChar w:fldCharType="end"/>
    </w:r>
  </w:p>
  <w:p w:rsidR="00F515BE" w:rsidRPr="005E280F" w:rsidRDefault="00F515BE" w:rsidP="005E280F">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BE" w:rsidRPr="00CC75CD" w:rsidRDefault="00F515BE" w:rsidP="00D16F07">
    <w:pPr>
      <w:pStyle w:val="Header"/>
      <w:jc w:val="right"/>
      <w:rPr>
        <w:rFonts w:ascii="Arial" w:hAnsi="Arial" w:cs="Arial"/>
        <w:sz w:val="22"/>
        <w:szCs w:val="22"/>
      </w:rPr>
    </w:pPr>
    <w:r w:rsidRPr="00CC75CD">
      <w:rPr>
        <w:rFonts w:ascii="Arial" w:hAnsi="Arial" w:cs="Arial"/>
        <w:sz w:val="22"/>
        <w:szCs w:val="22"/>
        <w:lang w:val="es-ES_tradnl"/>
      </w:rPr>
      <w:t>Anexo I, página</w:t>
    </w:r>
    <w:r w:rsidRPr="00CC75CD">
      <w:rPr>
        <w:rFonts w:ascii="Arial" w:hAnsi="Arial" w:cs="Arial"/>
        <w:sz w:val="22"/>
        <w:szCs w:val="22"/>
      </w:rPr>
      <w:fldChar w:fldCharType="begin"/>
    </w:r>
    <w:r w:rsidRPr="00CC75CD">
      <w:rPr>
        <w:rFonts w:ascii="Arial" w:hAnsi="Arial" w:cs="Arial"/>
        <w:sz w:val="22"/>
        <w:szCs w:val="22"/>
      </w:rPr>
      <w:instrText xml:space="preserve"> PAGE   \* MERGEFORMAT </w:instrText>
    </w:r>
    <w:r w:rsidRPr="00CC75CD">
      <w:rPr>
        <w:rFonts w:ascii="Arial" w:hAnsi="Arial" w:cs="Arial"/>
        <w:sz w:val="22"/>
        <w:szCs w:val="22"/>
      </w:rPr>
      <w:fldChar w:fldCharType="separate"/>
    </w:r>
    <w:r w:rsidR="00D50303">
      <w:rPr>
        <w:rFonts w:ascii="Arial" w:hAnsi="Arial" w:cs="Arial"/>
        <w:noProof/>
        <w:sz w:val="22"/>
        <w:szCs w:val="22"/>
      </w:rPr>
      <w:t>4</w:t>
    </w:r>
    <w:r w:rsidRPr="00CC75CD">
      <w:rPr>
        <w:rFonts w:ascii="Arial" w:hAnsi="Arial" w:cs="Arial"/>
        <w:noProof/>
        <w:sz w:val="22"/>
        <w:szCs w:val="22"/>
      </w:rPr>
      <w:fldChar w:fldCharType="end"/>
    </w:r>
  </w:p>
  <w:p w:rsidR="00F515BE" w:rsidRPr="00CC75CD" w:rsidRDefault="00F515BE" w:rsidP="0040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BE" w:rsidRPr="00CC75CD" w:rsidRDefault="00F515BE" w:rsidP="00D16F07">
    <w:pPr>
      <w:pStyle w:val="Header"/>
      <w:jc w:val="right"/>
      <w:rPr>
        <w:rFonts w:ascii="Arial" w:hAnsi="Arial" w:cs="Arial"/>
        <w:sz w:val="22"/>
        <w:szCs w:val="22"/>
      </w:rPr>
    </w:pPr>
    <w:r w:rsidRPr="00CC75CD">
      <w:rPr>
        <w:rFonts w:ascii="Arial" w:hAnsi="Arial" w:cs="Arial"/>
        <w:sz w:val="22"/>
        <w:szCs w:val="22"/>
        <w:lang w:val="es-ES_tradnl"/>
      </w:rPr>
      <w:t>Anexo II, página</w:t>
    </w:r>
    <w:r w:rsidRPr="00CC75CD">
      <w:rPr>
        <w:rFonts w:ascii="Arial" w:hAnsi="Arial" w:cs="Arial"/>
        <w:sz w:val="22"/>
        <w:szCs w:val="22"/>
      </w:rPr>
      <w:fldChar w:fldCharType="begin"/>
    </w:r>
    <w:r w:rsidRPr="00CC75CD">
      <w:rPr>
        <w:rFonts w:ascii="Arial" w:hAnsi="Arial" w:cs="Arial"/>
        <w:sz w:val="22"/>
        <w:szCs w:val="22"/>
      </w:rPr>
      <w:instrText xml:space="preserve"> PAGE   \* MERGEFORMAT </w:instrText>
    </w:r>
    <w:r w:rsidRPr="00CC75CD">
      <w:rPr>
        <w:rFonts w:ascii="Arial" w:hAnsi="Arial" w:cs="Arial"/>
        <w:sz w:val="22"/>
        <w:szCs w:val="22"/>
      </w:rPr>
      <w:fldChar w:fldCharType="separate"/>
    </w:r>
    <w:r w:rsidR="00D50303">
      <w:rPr>
        <w:rFonts w:ascii="Arial" w:hAnsi="Arial" w:cs="Arial"/>
        <w:noProof/>
        <w:sz w:val="22"/>
        <w:szCs w:val="22"/>
      </w:rPr>
      <w:t>3</w:t>
    </w:r>
    <w:r w:rsidRPr="00CC75CD">
      <w:rPr>
        <w:rFonts w:ascii="Arial" w:hAnsi="Arial" w:cs="Arial"/>
        <w:noProof/>
        <w:sz w:val="22"/>
        <w:szCs w:val="22"/>
      </w:rPr>
      <w:fldChar w:fldCharType="end"/>
    </w:r>
  </w:p>
  <w:p w:rsidR="00F515BE" w:rsidRPr="00CC75CD" w:rsidRDefault="00F515BE" w:rsidP="00403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8E6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11F4"/>
    <w:multiLevelType w:val="hybridMultilevel"/>
    <w:tmpl w:val="84148F24"/>
    <w:lvl w:ilvl="0" w:tplc="3044FB2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95E11"/>
    <w:multiLevelType w:val="hybridMultilevel"/>
    <w:tmpl w:val="06100D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186752DC"/>
    <w:multiLevelType w:val="hybridMultilevel"/>
    <w:tmpl w:val="6320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D10CC3"/>
    <w:multiLevelType w:val="hybridMultilevel"/>
    <w:tmpl w:val="EFE84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37572A"/>
    <w:multiLevelType w:val="hybridMultilevel"/>
    <w:tmpl w:val="3FA0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4C3B"/>
    <w:multiLevelType w:val="hybridMultilevel"/>
    <w:tmpl w:val="8626E0DE"/>
    <w:lvl w:ilvl="0" w:tplc="12743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E5000"/>
    <w:multiLevelType w:val="hybridMultilevel"/>
    <w:tmpl w:val="B3C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E0B00"/>
    <w:multiLevelType w:val="hybridMultilevel"/>
    <w:tmpl w:val="6A001FF0"/>
    <w:lvl w:ilvl="0" w:tplc="517EDCCE">
      <w:start w:val="2"/>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5F70A2"/>
    <w:multiLevelType w:val="hybridMultilevel"/>
    <w:tmpl w:val="2F3EB734"/>
    <w:lvl w:ilvl="0" w:tplc="36502002">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5B7CCD"/>
    <w:multiLevelType w:val="hybridMultilevel"/>
    <w:tmpl w:val="156A056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4C9375DA"/>
    <w:multiLevelType w:val="hybridMultilevel"/>
    <w:tmpl w:val="5C409F04"/>
    <w:lvl w:ilvl="0" w:tplc="0C090001">
      <w:start w:val="1"/>
      <w:numFmt w:val="bullet"/>
      <w:lvlText w:val=""/>
      <w:lvlJc w:val="left"/>
      <w:pPr>
        <w:ind w:left="1021" w:hanging="360"/>
      </w:pPr>
      <w:rPr>
        <w:rFonts w:ascii="Symbol" w:hAnsi="Symbol" w:hint="default"/>
      </w:rPr>
    </w:lvl>
    <w:lvl w:ilvl="1" w:tplc="0C090005">
      <w:start w:val="1"/>
      <w:numFmt w:val="bullet"/>
      <w:lvlText w:val=""/>
      <w:lvlJc w:val="left"/>
      <w:pPr>
        <w:ind w:left="1741" w:hanging="360"/>
      </w:pPr>
      <w:rPr>
        <w:rFonts w:ascii="Wingdings" w:hAnsi="Wingdings"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5">
    <w:nsid w:val="56D73BCB"/>
    <w:multiLevelType w:val="hybridMultilevel"/>
    <w:tmpl w:val="560E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F8041D"/>
    <w:multiLevelType w:val="hybridMultilevel"/>
    <w:tmpl w:val="1BC25E8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nsid w:val="5D7179E9"/>
    <w:multiLevelType w:val="hybridMultilevel"/>
    <w:tmpl w:val="9E3A85E4"/>
    <w:lvl w:ilvl="0" w:tplc="A57E7A0C">
      <w:start w:val="1"/>
      <w:numFmt w:val="lowerLetter"/>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146D16"/>
    <w:multiLevelType w:val="hybridMultilevel"/>
    <w:tmpl w:val="6F6AA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84E4077"/>
    <w:multiLevelType w:val="hybridMultilevel"/>
    <w:tmpl w:val="CDA4A9B2"/>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3">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7EA1263"/>
    <w:multiLevelType w:val="hybridMultilevel"/>
    <w:tmpl w:val="9F60C56C"/>
    <w:lvl w:ilvl="0" w:tplc="83B06B0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85607D"/>
    <w:multiLevelType w:val="hybridMultilevel"/>
    <w:tmpl w:val="B90211BC"/>
    <w:lvl w:ilvl="0" w:tplc="4694F42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4"/>
  </w:num>
  <w:num w:numId="2">
    <w:abstractNumId w:val="23"/>
  </w:num>
  <w:num w:numId="3">
    <w:abstractNumId w:val="25"/>
  </w:num>
  <w:num w:numId="4">
    <w:abstractNumId w:val="21"/>
  </w:num>
  <w:num w:numId="5">
    <w:abstractNumId w:val="18"/>
  </w:num>
  <w:num w:numId="6">
    <w:abstractNumId w:val="20"/>
  </w:num>
  <w:num w:numId="7">
    <w:abstractNumId w:val="22"/>
  </w:num>
  <w:num w:numId="8">
    <w:abstractNumId w:val="2"/>
  </w:num>
  <w:num w:numId="9">
    <w:abstractNumId w:val="12"/>
  </w:num>
  <w:num w:numId="10">
    <w:abstractNumId w:val="10"/>
  </w:num>
  <w:num w:numId="11">
    <w:abstractNumId w:val="14"/>
  </w:num>
  <w:num w:numId="12">
    <w:abstractNumId w:val="5"/>
  </w:num>
  <w:num w:numId="13">
    <w:abstractNumId w:val="27"/>
  </w:num>
  <w:num w:numId="14">
    <w:abstractNumId w:val="7"/>
  </w:num>
  <w:num w:numId="15">
    <w:abstractNumId w:val="16"/>
  </w:num>
  <w:num w:numId="16">
    <w:abstractNumId w:val="6"/>
  </w:num>
  <w:num w:numId="17">
    <w:abstractNumId w:val="8"/>
  </w:num>
  <w:num w:numId="18">
    <w:abstractNumId w:val="13"/>
  </w:num>
  <w:num w:numId="19">
    <w:abstractNumId w:val="3"/>
  </w:num>
  <w:num w:numId="20">
    <w:abstractNumId w:val="15"/>
  </w:num>
  <w:num w:numId="21">
    <w:abstractNumId w:val="19"/>
  </w:num>
  <w:num w:numId="22">
    <w:abstractNumId w:val="4"/>
  </w:num>
  <w:num w:numId="23">
    <w:abstractNumId w:val="0"/>
  </w:num>
  <w:num w:numId="24">
    <w:abstractNumId w:val="26"/>
  </w:num>
  <w:num w:numId="25">
    <w:abstractNumId w:val="17"/>
  </w:num>
  <w:num w:numId="26">
    <w:abstractNumId w:val="1"/>
  </w:num>
  <w:num w:numId="27">
    <w:abstractNumId w:val="9"/>
  </w:num>
  <w:num w:numId="28">
    <w:abstractNumId w:val="27"/>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GRTKF\GRTKF|TextBase TMs\WorkspaceSTS\Administration &amp; Finance\FAB Main"/>
    <w:docVar w:name="TextBaseURL" w:val="empty"/>
    <w:docVar w:name="UILng" w:val="en"/>
  </w:docVars>
  <w:rsids>
    <w:rsidRoot w:val="00B35DC3"/>
    <w:rsid w:val="000050B8"/>
    <w:rsid w:val="000060F8"/>
    <w:rsid w:val="000121D5"/>
    <w:rsid w:val="00012B05"/>
    <w:rsid w:val="00015D0E"/>
    <w:rsid w:val="00016E47"/>
    <w:rsid w:val="00017893"/>
    <w:rsid w:val="00017FDF"/>
    <w:rsid w:val="000245DE"/>
    <w:rsid w:val="000315C3"/>
    <w:rsid w:val="00034CDD"/>
    <w:rsid w:val="000414B1"/>
    <w:rsid w:val="00041572"/>
    <w:rsid w:val="0004311E"/>
    <w:rsid w:val="00045694"/>
    <w:rsid w:val="000463EF"/>
    <w:rsid w:val="00046980"/>
    <w:rsid w:val="00047928"/>
    <w:rsid w:val="00055F9F"/>
    <w:rsid w:val="00060C58"/>
    <w:rsid w:val="0006460D"/>
    <w:rsid w:val="00066474"/>
    <w:rsid w:val="00066F04"/>
    <w:rsid w:val="000769D8"/>
    <w:rsid w:val="000776CB"/>
    <w:rsid w:val="00077A2F"/>
    <w:rsid w:val="00083D56"/>
    <w:rsid w:val="00084A9B"/>
    <w:rsid w:val="00085337"/>
    <w:rsid w:val="00086229"/>
    <w:rsid w:val="000927B5"/>
    <w:rsid w:val="00095304"/>
    <w:rsid w:val="00095798"/>
    <w:rsid w:val="00096086"/>
    <w:rsid w:val="000A267D"/>
    <w:rsid w:val="000A3CA6"/>
    <w:rsid w:val="000A4668"/>
    <w:rsid w:val="000A520A"/>
    <w:rsid w:val="000A68A0"/>
    <w:rsid w:val="000B01FD"/>
    <w:rsid w:val="000B4EF3"/>
    <w:rsid w:val="000B58E4"/>
    <w:rsid w:val="000C08A8"/>
    <w:rsid w:val="000C751B"/>
    <w:rsid w:val="000C75B6"/>
    <w:rsid w:val="000C7718"/>
    <w:rsid w:val="000D1B6B"/>
    <w:rsid w:val="000D2576"/>
    <w:rsid w:val="000D45E3"/>
    <w:rsid w:val="000D6648"/>
    <w:rsid w:val="000D6841"/>
    <w:rsid w:val="000D6AB5"/>
    <w:rsid w:val="000E03D3"/>
    <w:rsid w:val="000E1C67"/>
    <w:rsid w:val="000E29F2"/>
    <w:rsid w:val="000E4930"/>
    <w:rsid w:val="000E4ADD"/>
    <w:rsid w:val="000E59E1"/>
    <w:rsid w:val="000E59E6"/>
    <w:rsid w:val="000E6661"/>
    <w:rsid w:val="000E76D6"/>
    <w:rsid w:val="000F0399"/>
    <w:rsid w:val="000F07E5"/>
    <w:rsid w:val="000F43A2"/>
    <w:rsid w:val="000F4DF8"/>
    <w:rsid w:val="000F725D"/>
    <w:rsid w:val="000F75BA"/>
    <w:rsid w:val="00101B04"/>
    <w:rsid w:val="00103CDB"/>
    <w:rsid w:val="00105B17"/>
    <w:rsid w:val="001067D6"/>
    <w:rsid w:val="001109EB"/>
    <w:rsid w:val="001111B5"/>
    <w:rsid w:val="00112D10"/>
    <w:rsid w:val="00112DB2"/>
    <w:rsid w:val="0011304C"/>
    <w:rsid w:val="00114614"/>
    <w:rsid w:val="001158D6"/>
    <w:rsid w:val="0011787A"/>
    <w:rsid w:val="00117CB0"/>
    <w:rsid w:val="00122B08"/>
    <w:rsid w:val="001243ED"/>
    <w:rsid w:val="00125B7F"/>
    <w:rsid w:val="00126215"/>
    <w:rsid w:val="00126C66"/>
    <w:rsid w:val="00130AA8"/>
    <w:rsid w:val="00133714"/>
    <w:rsid w:val="00134CCE"/>
    <w:rsid w:val="0013699D"/>
    <w:rsid w:val="00136BE6"/>
    <w:rsid w:val="00137C1B"/>
    <w:rsid w:val="00137F76"/>
    <w:rsid w:val="00141E52"/>
    <w:rsid w:val="00150C13"/>
    <w:rsid w:val="00150F54"/>
    <w:rsid w:val="001516DA"/>
    <w:rsid w:val="001533FA"/>
    <w:rsid w:val="00155427"/>
    <w:rsid w:val="00157348"/>
    <w:rsid w:val="00157FAB"/>
    <w:rsid w:val="00161391"/>
    <w:rsid w:val="00161F42"/>
    <w:rsid w:val="00162599"/>
    <w:rsid w:val="00163302"/>
    <w:rsid w:val="00164C91"/>
    <w:rsid w:val="00164DD7"/>
    <w:rsid w:val="00165109"/>
    <w:rsid w:val="00166E19"/>
    <w:rsid w:val="00167740"/>
    <w:rsid w:val="00171DA7"/>
    <w:rsid w:val="00172343"/>
    <w:rsid w:val="001732BF"/>
    <w:rsid w:val="00174571"/>
    <w:rsid w:val="001757ED"/>
    <w:rsid w:val="001815CC"/>
    <w:rsid w:val="00181FCB"/>
    <w:rsid w:val="00184117"/>
    <w:rsid w:val="00184465"/>
    <w:rsid w:val="00185000"/>
    <w:rsid w:val="0019003C"/>
    <w:rsid w:val="00191258"/>
    <w:rsid w:val="00191A79"/>
    <w:rsid w:val="00192163"/>
    <w:rsid w:val="00197032"/>
    <w:rsid w:val="001A110B"/>
    <w:rsid w:val="001A23E4"/>
    <w:rsid w:val="001A3B3C"/>
    <w:rsid w:val="001A4091"/>
    <w:rsid w:val="001A71DF"/>
    <w:rsid w:val="001A75BC"/>
    <w:rsid w:val="001B03FC"/>
    <w:rsid w:val="001B3683"/>
    <w:rsid w:val="001B3C19"/>
    <w:rsid w:val="001B5752"/>
    <w:rsid w:val="001B58D5"/>
    <w:rsid w:val="001B663B"/>
    <w:rsid w:val="001B785C"/>
    <w:rsid w:val="001C0CD4"/>
    <w:rsid w:val="001C610E"/>
    <w:rsid w:val="001C6198"/>
    <w:rsid w:val="001C75BB"/>
    <w:rsid w:val="001D2A8D"/>
    <w:rsid w:val="001D2C11"/>
    <w:rsid w:val="001D312D"/>
    <w:rsid w:val="001D3E29"/>
    <w:rsid w:val="001D478D"/>
    <w:rsid w:val="001D4BA7"/>
    <w:rsid w:val="001D57B6"/>
    <w:rsid w:val="001E22F3"/>
    <w:rsid w:val="001E346B"/>
    <w:rsid w:val="001F0DB2"/>
    <w:rsid w:val="001F1164"/>
    <w:rsid w:val="001F499E"/>
    <w:rsid w:val="001F4D4E"/>
    <w:rsid w:val="00200C0B"/>
    <w:rsid w:val="00203255"/>
    <w:rsid w:val="00205372"/>
    <w:rsid w:val="0020704B"/>
    <w:rsid w:val="00211745"/>
    <w:rsid w:val="00213D24"/>
    <w:rsid w:val="00215478"/>
    <w:rsid w:val="00217FB8"/>
    <w:rsid w:val="0022433E"/>
    <w:rsid w:val="002243D9"/>
    <w:rsid w:val="00227AB8"/>
    <w:rsid w:val="00227E86"/>
    <w:rsid w:val="00231C16"/>
    <w:rsid w:val="00231F5E"/>
    <w:rsid w:val="0023235C"/>
    <w:rsid w:val="0023294D"/>
    <w:rsid w:val="002331A1"/>
    <w:rsid w:val="00233249"/>
    <w:rsid w:val="00235D0C"/>
    <w:rsid w:val="002365A6"/>
    <w:rsid w:val="0024069D"/>
    <w:rsid w:val="002408BB"/>
    <w:rsid w:val="00241C60"/>
    <w:rsid w:val="00243224"/>
    <w:rsid w:val="00243CCC"/>
    <w:rsid w:val="0024406F"/>
    <w:rsid w:val="00244450"/>
    <w:rsid w:val="002470BA"/>
    <w:rsid w:val="002471C8"/>
    <w:rsid w:val="00247C29"/>
    <w:rsid w:val="002511D1"/>
    <w:rsid w:val="00257BCC"/>
    <w:rsid w:val="00260006"/>
    <w:rsid w:val="00260258"/>
    <w:rsid w:val="00261620"/>
    <w:rsid w:val="00261AFD"/>
    <w:rsid w:val="00262341"/>
    <w:rsid w:val="00264862"/>
    <w:rsid w:val="00264E3B"/>
    <w:rsid w:val="002664F4"/>
    <w:rsid w:val="00266E69"/>
    <w:rsid w:val="00267DD8"/>
    <w:rsid w:val="00272DDF"/>
    <w:rsid w:val="002738CF"/>
    <w:rsid w:val="00274F70"/>
    <w:rsid w:val="002753D9"/>
    <w:rsid w:val="0027680D"/>
    <w:rsid w:val="00284770"/>
    <w:rsid w:val="00284A4C"/>
    <w:rsid w:val="00284C15"/>
    <w:rsid w:val="002853D9"/>
    <w:rsid w:val="002856AC"/>
    <w:rsid w:val="002858DC"/>
    <w:rsid w:val="00286A27"/>
    <w:rsid w:val="002870B1"/>
    <w:rsid w:val="002912D9"/>
    <w:rsid w:val="00292D26"/>
    <w:rsid w:val="00292D80"/>
    <w:rsid w:val="002937F6"/>
    <w:rsid w:val="00296DDB"/>
    <w:rsid w:val="002A13DE"/>
    <w:rsid w:val="002A359E"/>
    <w:rsid w:val="002A4FEC"/>
    <w:rsid w:val="002A6742"/>
    <w:rsid w:val="002B055A"/>
    <w:rsid w:val="002B2E33"/>
    <w:rsid w:val="002B34AF"/>
    <w:rsid w:val="002B510D"/>
    <w:rsid w:val="002C1FD6"/>
    <w:rsid w:val="002C323C"/>
    <w:rsid w:val="002C49B0"/>
    <w:rsid w:val="002C556A"/>
    <w:rsid w:val="002C67B0"/>
    <w:rsid w:val="002C683E"/>
    <w:rsid w:val="002D4DEB"/>
    <w:rsid w:val="002D7463"/>
    <w:rsid w:val="002D7831"/>
    <w:rsid w:val="002E342F"/>
    <w:rsid w:val="002E5597"/>
    <w:rsid w:val="002E5B14"/>
    <w:rsid w:val="002E7E62"/>
    <w:rsid w:val="002F0864"/>
    <w:rsid w:val="002F0B46"/>
    <w:rsid w:val="002F1684"/>
    <w:rsid w:val="002F39DF"/>
    <w:rsid w:val="002F5A0C"/>
    <w:rsid w:val="002F5C79"/>
    <w:rsid w:val="002F768C"/>
    <w:rsid w:val="002F7BA8"/>
    <w:rsid w:val="00300FC8"/>
    <w:rsid w:val="003035B3"/>
    <w:rsid w:val="00303A4C"/>
    <w:rsid w:val="0030646A"/>
    <w:rsid w:val="00306BF8"/>
    <w:rsid w:val="00320BBB"/>
    <w:rsid w:val="00320EF3"/>
    <w:rsid w:val="00325060"/>
    <w:rsid w:val="00330341"/>
    <w:rsid w:val="00330547"/>
    <w:rsid w:val="00330B2E"/>
    <w:rsid w:val="00332532"/>
    <w:rsid w:val="00332EB9"/>
    <w:rsid w:val="00336943"/>
    <w:rsid w:val="0034294C"/>
    <w:rsid w:val="00344D40"/>
    <w:rsid w:val="0034649B"/>
    <w:rsid w:val="0034698F"/>
    <w:rsid w:val="003515BF"/>
    <w:rsid w:val="00352FED"/>
    <w:rsid w:val="00355067"/>
    <w:rsid w:val="0035627C"/>
    <w:rsid w:val="00363008"/>
    <w:rsid w:val="00366082"/>
    <w:rsid w:val="00366A6F"/>
    <w:rsid w:val="00367C06"/>
    <w:rsid w:val="00371C30"/>
    <w:rsid w:val="00372482"/>
    <w:rsid w:val="00373135"/>
    <w:rsid w:val="00376B5E"/>
    <w:rsid w:val="00377D9E"/>
    <w:rsid w:val="003814E5"/>
    <w:rsid w:val="00381639"/>
    <w:rsid w:val="00383654"/>
    <w:rsid w:val="00383EBF"/>
    <w:rsid w:val="003859D4"/>
    <w:rsid w:val="00386103"/>
    <w:rsid w:val="00391ED0"/>
    <w:rsid w:val="00393101"/>
    <w:rsid w:val="00395486"/>
    <w:rsid w:val="00395E2E"/>
    <w:rsid w:val="003A1477"/>
    <w:rsid w:val="003A45B2"/>
    <w:rsid w:val="003A5DED"/>
    <w:rsid w:val="003A7B65"/>
    <w:rsid w:val="003B1998"/>
    <w:rsid w:val="003B36C7"/>
    <w:rsid w:val="003B3DEC"/>
    <w:rsid w:val="003B425D"/>
    <w:rsid w:val="003B5D82"/>
    <w:rsid w:val="003B7F8A"/>
    <w:rsid w:val="003C54E4"/>
    <w:rsid w:val="003C58FA"/>
    <w:rsid w:val="003C5E79"/>
    <w:rsid w:val="003C60CE"/>
    <w:rsid w:val="003C6436"/>
    <w:rsid w:val="003C6B6A"/>
    <w:rsid w:val="003D0D65"/>
    <w:rsid w:val="003D20DC"/>
    <w:rsid w:val="003D285F"/>
    <w:rsid w:val="003D7E01"/>
    <w:rsid w:val="003E098F"/>
    <w:rsid w:val="003E3D65"/>
    <w:rsid w:val="003E58C6"/>
    <w:rsid w:val="003E6B43"/>
    <w:rsid w:val="003E73B0"/>
    <w:rsid w:val="003F0055"/>
    <w:rsid w:val="003F1846"/>
    <w:rsid w:val="003F3BED"/>
    <w:rsid w:val="003F4D5C"/>
    <w:rsid w:val="003F52EC"/>
    <w:rsid w:val="003F614D"/>
    <w:rsid w:val="003F6574"/>
    <w:rsid w:val="003F6A59"/>
    <w:rsid w:val="003F78C4"/>
    <w:rsid w:val="003F7C4B"/>
    <w:rsid w:val="00401860"/>
    <w:rsid w:val="00403346"/>
    <w:rsid w:val="00403459"/>
    <w:rsid w:val="0040364D"/>
    <w:rsid w:val="00404A29"/>
    <w:rsid w:val="00410805"/>
    <w:rsid w:val="0041174F"/>
    <w:rsid w:val="00414FF1"/>
    <w:rsid w:val="00416FE9"/>
    <w:rsid w:val="004175B0"/>
    <w:rsid w:val="00423C95"/>
    <w:rsid w:val="004247DB"/>
    <w:rsid w:val="00425B13"/>
    <w:rsid w:val="00430991"/>
    <w:rsid w:val="0043203C"/>
    <w:rsid w:val="00434B4B"/>
    <w:rsid w:val="00435E65"/>
    <w:rsid w:val="0043696C"/>
    <w:rsid w:val="00436D64"/>
    <w:rsid w:val="0043760B"/>
    <w:rsid w:val="00442001"/>
    <w:rsid w:val="00445E6C"/>
    <w:rsid w:val="004574D3"/>
    <w:rsid w:val="00465A9C"/>
    <w:rsid w:val="004662FC"/>
    <w:rsid w:val="004673ED"/>
    <w:rsid w:val="0047085D"/>
    <w:rsid w:val="004736FE"/>
    <w:rsid w:val="00476882"/>
    <w:rsid w:val="0047715F"/>
    <w:rsid w:val="00477605"/>
    <w:rsid w:val="004805EF"/>
    <w:rsid w:val="00481273"/>
    <w:rsid w:val="00481A2F"/>
    <w:rsid w:val="004829F6"/>
    <w:rsid w:val="00486CBF"/>
    <w:rsid w:val="004876E5"/>
    <w:rsid w:val="00492749"/>
    <w:rsid w:val="0049300F"/>
    <w:rsid w:val="0049450F"/>
    <w:rsid w:val="00496D34"/>
    <w:rsid w:val="0049769D"/>
    <w:rsid w:val="004A5933"/>
    <w:rsid w:val="004A670F"/>
    <w:rsid w:val="004A75E6"/>
    <w:rsid w:val="004B04B6"/>
    <w:rsid w:val="004B099E"/>
    <w:rsid w:val="004B0CAB"/>
    <w:rsid w:val="004B2FF9"/>
    <w:rsid w:val="004B3D1D"/>
    <w:rsid w:val="004B4AA1"/>
    <w:rsid w:val="004B52B5"/>
    <w:rsid w:val="004B687B"/>
    <w:rsid w:val="004B6AC7"/>
    <w:rsid w:val="004C0ECA"/>
    <w:rsid w:val="004C1977"/>
    <w:rsid w:val="004C1FF8"/>
    <w:rsid w:val="004C658F"/>
    <w:rsid w:val="004C6D14"/>
    <w:rsid w:val="004D1765"/>
    <w:rsid w:val="004D1DF7"/>
    <w:rsid w:val="004D471B"/>
    <w:rsid w:val="004E6399"/>
    <w:rsid w:val="004E6C54"/>
    <w:rsid w:val="004E7091"/>
    <w:rsid w:val="004E7356"/>
    <w:rsid w:val="004F1501"/>
    <w:rsid w:val="004F1D18"/>
    <w:rsid w:val="004F1E40"/>
    <w:rsid w:val="004F27B1"/>
    <w:rsid w:val="004F5983"/>
    <w:rsid w:val="00502679"/>
    <w:rsid w:val="0050341E"/>
    <w:rsid w:val="00506F01"/>
    <w:rsid w:val="00511459"/>
    <w:rsid w:val="005130B8"/>
    <w:rsid w:val="00513F43"/>
    <w:rsid w:val="00513F98"/>
    <w:rsid w:val="00515578"/>
    <w:rsid w:val="00516E06"/>
    <w:rsid w:val="00520146"/>
    <w:rsid w:val="005240F6"/>
    <w:rsid w:val="0052591E"/>
    <w:rsid w:val="00526BB0"/>
    <w:rsid w:val="0053162E"/>
    <w:rsid w:val="005328F8"/>
    <w:rsid w:val="00532B1F"/>
    <w:rsid w:val="00533116"/>
    <w:rsid w:val="00533722"/>
    <w:rsid w:val="00534450"/>
    <w:rsid w:val="00535BDF"/>
    <w:rsid w:val="00536D4C"/>
    <w:rsid w:val="0054157C"/>
    <w:rsid w:val="0054176F"/>
    <w:rsid w:val="0054219E"/>
    <w:rsid w:val="005442B2"/>
    <w:rsid w:val="00544742"/>
    <w:rsid w:val="005521CD"/>
    <w:rsid w:val="0055434F"/>
    <w:rsid w:val="00557B7B"/>
    <w:rsid w:val="005617DB"/>
    <w:rsid w:val="00563AFF"/>
    <w:rsid w:val="005646C7"/>
    <w:rsid w:val="005653BB"/>
    <w:rsid w:val="00565DC7"/>
    <w:rsid w:val="00566283"/>
    <w:rsid w:val="00570CF4"/>
    <w:rsid w:val="00573C50"/>
    <w:rsid w:val="00573E1D"/>
    <w:rsid w:val="00574DED"/>
    <w:rsid w:val="00576299"/>
    <w:rsid w:val="005800A7"/>
    <w:rsid w:val="005810F5"/>
    <w:rsid w:val="00582F2E"/>
    <w:rsid w:val="00584F98"/>
    <w:rsid w:val="00587C78"/>
    <w:rsid w:val="00593002"/>
    <w:rsid w:val="0059565D"/>
    <w:rsid w:val="005967D2"/>
    <w:rsid w:val="00597DD0"/>
    <w:rsid w:val="005A0604"/>
    <w:rsid w:val="005A0E89"/>
    <w:rsid w:val="005A0F84"/>
    <w:rsid w:val="005A3F75"/>
    <w:rsid w:val="005A4543"/>
    <w:rsid w:val="005A54DB"/>
    <w:rsid w:val="005A5AB3"/>
    <w:rsid w:val="005A64C4"/>
    <w:rsid w:val="005A67EF"/>
    <w:rsid w:val="005A7704"/>
    <w:rsid w:val="005B01BF"/>
    <w:rsid w:val="005B19CF"/>
    <w:rsid w:val="005B1B01"/>
    <w:rsid w:val="005B2CF1"/>
    <w:rsid w:val="005B3068"/>
    <w:rsid w:val="005B68B1"/>
    <w:rsid w:val="005B70BA"/>
    <w:rsid w:val="005C2686"/>
    <w:rsid w:val="005C3147"/>
    <w:rsid w:val="005C3799"/>
    <w:rsid w:val="005C49E9"/>
    <w:rsid w:val="005C7253"/>
    <w:rsid w:val="005D0B72"/>
    <w:rsid w:val="005D14A5"/>
    <w:rsid w:val="005D3915"/>
    <w:rsid w:val="005D406D"/>
    <w:rsid w:val="005D566E"/>
    <w:rsid w:val="005D5CFE"/>
    <w:rsid w:val="005D64BB"/>
    <w:rsid w:val="005E280F"/>
    <w:rsid w:val="005E3B59"/>
    <w:rsid w:val="005E4E4F"/>
    <w:rsid w:val="005E515C"/>
    <w:rsid w:val="005E57C2"/>
    <w:rsid w:val="005E5EC2"/>
    <w:rsid w:val="005E6B88"/>
    <w:rsid w:val="005F12CB"/>
    <w:rsid w:val="005F24E9"/>
    <w:rsid w:val="005F3CE6"/>
    <w:rsid w:val="005F4DB6"/>
    <w:rsid w:val="005F6927"/>
    <w:rsid w:val="005F7809"/>
    <w:rsid w:val="00600401"/>
    <w:rsid w:val="00605EB9"/>
    <w:rsid w:val="0061461B"/>
    <w:rsid w:val="00614DC8"/>
    <w:rsid w:val="0061647A"/>
    <w:rsid w:val="00616B9E"/>
    <w:rsid w:val="006170CC"/>
    <w:rsid w:val="00621B54"/>
    <w:rsid w:val="0062435A"/>
    <w:rsid w:val="00625EEB"/>
    <w:rsid w:val="0063261A"/>
    <w:rsid w:val="00634E3D"/>
    <w:rsid w:val="00635D3E"/>
    <w:rsid w:val="00643635"/>
    <w:rsid w:val="00644230"/>
    <w:rsid w:val="00645BA2"/>
    <w:rsid w:val="00646715"/>
    <w:rsid w:val="00647230"/>
    <w:rsid w:val="006504F2"/>
    <w:rsid w:val="006519AD"/>
    <w:rsid w:val="00653748"/>
    <w:rsid w:val="006605E8"/>
    <w:rsid w:val="00662549"/>
    <w:rsid w:val="0066556B"/>
    <w:rsid w:val="00665A36"/>
    <w:rsid w:val="00667D23"/>
    <w:rsid w:val="00670DCD"/>
    <w:rsid w:val="006813F4"/>
    <w:rsid w:val="006830CA"/>
    <w:rsid w:val="00684746"/>
    <w:rsid w:val="0068494C"/>
    <w:rsid w:val="00684AB7"/>
    <w:rsid w:val="0068679D"/>
    <w:rsid w:val="0068688C"/>
    <w:rsid w:val="00691F27"/>
    <w:rsid w:val="0069437E"/>
    <w:rsid w:val="00695548"/>
    <w:rsid w:val="00695A3F"/>
    <w:rsid w:val="006A1303"/>
    <w:rsid w:val="006A613B"/>
    <w:rsid w:val="006B12C5"/>
    <w:rsid w:val="006B20FE"/>
    <w:rsid w:val="006B4C68"/>
    <w:rsid w:val="006B5889"/>
    <w:rsid w:val="006C128E"/>
    <w:rsid w:val="006C2397"/>
    <w:rsid w:val="006C2DAF"/>
    <w:rsid w:val="006C39B7"/>
    <w:rsid w:val="006C3F71"/>
    <w:rsid w:val="006C5046"/>
    <w:rsid w:val="006C783D"/>
    <w:rsid w:val="006C7EE0"/>
    <w:rsid w:val="006D0FF6"/>
    <w:rsid w:val="006D1569"/>
    <w:rsid w:val="006D5C35"/>
    <w:rsid w:val="006D6D3C"/>
    <w:rsid w:val="006D70FE"/>
    <w:rsid w:val="006E15D4"/>
    <w:rsid w:val="006E27B3"/>
    <w:rsid w:val="006E3FF1"/>
    <w:rsid w:val="006E510F"/>
    <w:rsid w:val="006E5ED5"/>
    <w:rsid w:val="006E5EF9"/>
    <w:rsid w:val="006E651E"/>
    <w:rsid w:val="006F0C4A"/>
    <w:rsid w:val="006F23E3"/>
    <w:rsid w:val="006F39D6"/>
    <w:rsid w:val="006F521F"/>
    <w:rsid w:val="006F585B"/>
    <w:rsid w:val="006F6F89"/>
    <w:rsid w:val="007013E9"/>
    <w:rsid w:val="00704F02"/>
    <w:rsid w:val="007054AD"/>
    <w:rsid w:val="0071007F"/>
    <w:rsid w:val="007101DB"/>
    <w:rsid w:val="00710388"/>
    <w:rsid w:val="00713CE2"/>
    <w:rsid w:val="007140A7"/>
    <w:rsid w:val="00714C2C"/>
    <w:rsid w:val="007162AA"/>
    <w:rsid w:val="00722D62"/>
    <w:rsid w:val="00725593"/>
    <w:rsid w:val="007263FC"/>
    <w:rsid w:val="00727F1F"/>
    <w:rsid w:val="00727F6A"/>
    <w:rsid w:val="00730FEA"/>
    <w:rsid w:val="0073203F"/>
    <w:rsid w:val="007323AB"/>
    <w:rsid w:val="007330CE"/>
    <w:rsid w:val="007349EE"/>
    <w:rsid w:val="00734F15"/>
    <w:rsid w:val="00740E3C"/>
    <w:rsid w:val="00746822"/>
    <w:rsid w:val="00751835"/>
    <w:rsid w:val="00752180"/>
    <w:rsid w:val="007527D3"/>
    <w:rsid w:val="0075490C"/>
    <w:rsid w:val="00757154"/>
    <w:rsid w:val="0076502E"/>
    <w:rsid w:val="00765067"/>
    <w:rsid w:val="007719B1"/>
    <w:rsid w:val="00772BBD"/>
    <w:rsid w:val="00773664"/>
    <w:rsid w:val="00773BCD"/>
    <w:rsid w:val="0077539B"/>
    <w:rsid w:val="00780DB6"/>
    <w:rsid w:val="007825F5"/>
    <w:rsid w:val="007827F0"/>
    <w:rsid w:val="00783244"/>
    <w:rsid w:val="00786B06"/>
    <w:rsid w:val="0079098F"/>
    <w:rsid w:val="00790E19"/>
    <w:rsid w:val="007916C6"/>
    <w:rsid w:val="00792183"/>
    <w:rsid w:val="00792403"/>
    <w:rsid w:val="00793589"/>
    <w:rsid w:val="00793D3F"/>
    <w:rsid w:val="00795259"/>
    <w:rsid w:val="007A1102"/>
    <w:rsid w:val="007A1E6F"/>
    <w:rsid w:val="007A266A"/>
    <w:rsid w:val="007A54CA"/>
    <w:rsid w:val="007A6155"/>
    <w:rsid w:val="007A61E0"/>
    <w:rsid w:val="007A6DD9"/>
    <w:rsid w:val="007B1181"/>
    <w:rsid w:val="007B3045"/>
    <w:rsid w:val="007B35CF"/>
    <w:rsid w:val="007B47B2"/>
    <w:rsid w:val="007B4AF2"/>
    <w:rsid w:val="007B5597"/>
    <w:rsid w:val="007B6B48"/>
    <w:rsid w:val="007C5259"/>
    <w:rsid w:val="007C529A"/>
    <w:rsid w:val="007C5CF2"/>
    <w:rsid w:val="007D048E"/>
    <w:rsid w:val="007D0A2F"/>
    <w:rsid w:val="007D5E29"/>
    <w:rsid w:val="007D6CBC"/>
    <w:rsid w:val="007D70B3"/>
    <w:rsid w:val="007D710B"/>
    <w:rsid w:val="007E0617"/>
    <w:rsid w:val="007E1C9C"/>
    <w:rsid w:val="007E26AD"/>
    <w:rsid w:val="007E2FE2"/>
    <w:rsid w:val="007E3615"/>
    <w:rsid w:val="007E3784"/>
    <w:rsid w:val="007E4FC4"/>
    <w:rsid w:val="007E698B"/>
    <w:rsid w:val="007F2547"/>
    <w:rsid w:val="007F28D2"/>
    <w:rsid w:val="007F38B4"/>
    <w:rsid w:val="0080369E"/>
    <w:rsid w:val="008054C9"/>
    <w:rsid w:val="008063C5"/>
    <w:rsid w:val="00807C5F"/>
    <w:rsid w:val="00811D48"/>
    <w:rsid w:val="0081216E"/>
    <w:rsid w:val="008137C8"/>
    <w:rsid w:val="00816DD4"/>
    <w:rsid w:val="0081785F"/>
    <w:rsid w:val="00821F1E"/>
    <w:rsid w:val="00822027"/>
    <w:rsid w:val="00824997"/>
    <w:rsid w:val="0082612F"/>
    <w:rsid w:val="00833B0D"/>
    <w:rsid w:val="00835F09"/>
    <w:rsid w:val="00841085"/>
    <w:rsid w:val="00841F2E"/>
    <w:rsid w:val="00844AE7"/>
    <w:rsid w:val="008458A7"/>
    <w:rsid w:val="00845F1F"/>
    <w:rsid w:val="0084676D"/>
    <w:rsid w:val="00851433"/>
    <w:rsid w:val="008516AB"/>
    <w:rsid w:val="008516DF"/>
    <w:rsid w:val="00854AC9"/>
    <w:rsid w:val="0085596F"/>
    <w:rsid w:val="0085610C"/>
    <w:rsid w:val="00857263"/>
    <w:rsid w:val="00860E95"/>
    <w:rsid w:val="00863A36"/>
    <w:rsid w:val="00864AEF"/>
    <w:rsid w:val="0086644C"/>
    <w:rsid w:val="008673CA"/>
    <w:rsid w:val="00867B3A"/>
    <w:rsid w:val="00867E27"/>
    <w:rsid w:val="008713EA"/>
    <w:rsid w:val="008730C8"/>
    <w:rsid w:val="008741DE"/>
    <w:rsid w:val="00876CC7"/>
    <w:rsid w:val="008771F7"/>
    <w:rsid w:val="00881138"/>
    <w:rsid w:val="00881CCC"/>
    <w:rsid w:val="008861FC"/>
    <w:rsid w:val="008865EC"/>
    <w:rsid w:val="008917C8"/>
    <w:rsid w:val="00891C6B"/>
    <w:rsid w:val="00894529"/>
    <w:rsid w:val="008949A8"/>
    <w:rsid w:val="00896FA7"/>
    <w:rsid w:val="00897406"/>
    <w:rsid w:val="008A0DF4"/>
    <w:rsid w:val="008A1DFB"/>
    <w:rsid w:val="008A3F08"/>
    <w:rsid w:val="008A5945"/>
    <w:rsid w:val="008A5F8A"/>
    <w:rsid w:val="008B11FF"/>
    <w:rsid w:val="008B4365"/>
    <w:rsid w:val="008B4B44"/>
    <w:rsid w:val="008B7FFC"/>
    <w:rsid w:val="008C10BB"/>
    <w:rsid w:val="008C19C6"/>
    <w:rsid w:val="008C1E09"/>
    <w:rsid w:val="008C1E39"/>
    <w:rsid w:val="008C26E5"/>
    <w:rsid w:val="008C67B0"/>
    <w:rsid w:val="008C7557"/>
    <w:rsid w:val="008D0C06"/>
    <w:rsid w:val="008D1154"/>
    <w:rsid w:val="008D163B"/>
    <w:rsid w:val="008D166F"/>
    <w:rsid w:val="008D38A1"/>
    <w:rsid w:val="008D4AFA"/>
    <w:rsid w:val="008D7AAC"/>
    <w:rsid w:val="008E13C2"/>
    <w:rsid w:val="008E1572"/>
    <w:rsid w:val="008E4294"/>
    <w:rsid w:val="008E7674"/>
    <w:rsid w:val="008F0065"/>
    <w:rsid w:val="008F2F29"/>
    <w:rsid w:val="008F3BFE"/>
    <w:rsid w:val="008F4B41"/>
    <w:rsid w:val="008F5161"/>
    <w:rsid w:val="008F5616"/>
    <w:rsid w:val="008F5695"/>
    <w:rsid w:val="00901CAF"/>
    <w:rsid w:val="00903A40"/>
    <w:rsid w:val="00903B21"/>
    <w:rsid w:val="00904E10"/>
    <w:rsid w:val="00907A4C"/>
    <w:rsid w:val="00910095"/>
    <w:rsid w:val="00910313"/>
    <w:rsid w:val="00912361"/>
    <w:rsid w:val="0091555E"/>
    <w:rsid w:val="00921780"/>
    <w:rsid w:val="00921B68"/>
    <w:rsid w:val="00923E63"/>
    <w:rsid w:val="00924CCB"/>
    <w:rsid w:val="0092682E"/>
    <w:rsid w:val="009278C4"/>
    <w:rsid w:val="00930B5D"/>
    <w:rsid w:val="009310EA"/>
    <w:rsid w:val="00931B2F"/>
    <w:rsid w:val="00931BC9"/>
    <w:rsid w:val="009331A3"/>
    <w:rsid w:val="0093416A"/>
    <w:rsid w:val="00937C2A"/>
    <w:rsid w:val="00940D02"/>
    <w:rsid w:val="00940D57"/>
    <w:rsid w:val="009410D5"/>
    <w:rsid w:val="009425BB"/>
    <w:rsid w:val="0094530B"/>
    <w:rsid w:val="00950E11"/>
    <w:rsid w:val="0095267A"/>
    <w:rsid w:val="00956A75"/>
    <w:rsid w:val="009579B5"/>
    <w:rsid w:val="00961AAA"/>
    <w:rsid w:val="00962BB8"/>
    <w:rsid w:val="0096429C"/>
    <w:rsid w:val="00964F9A"/>
    <w:rsid w:val="00965266"/>
    <w:rsid w:val="00967AD0"/>
    <w:rsid w:val="0097022B"/>
    <w:rsid w:val="00970836"/>
    <w:rsid w:val="00971067"/>
    <w:rsid w:val="009711DB"/>
    <w:rsid w:val="00975A3F"/>
    <w:rsid w:val="0097753F"/>
    <w:rsid w:val="00977DC6"/>
    <w:rsid w:val="00980000"/>
    <w:rsid w:val="00981A32"/>
    <w:rsid w:val="00982D18"/>
    <w:rsid w:val="00986889"/>
    <w:rsid w:val="00986A3B"/>
    <w:rsid w:val="00987BD0"/>
    <w:rsid w:val="0099237F"/>
    <w:rsid w:val="00993E95"/>
    <w:rsid w:val="009A0645"/>
    <w:rsid w:val="009A7C63"/>
    <w:rsid w:val="009B0990"/>
    <w:rsid w:val="009B1F03"/>
    <w:rsid w:val="009B412C"/>
    <w:rsid w:val="009B4848"/>
    <w:rsid w:val="009B58C2"/>
    <w:rsid w:val="009B78F0"/>
    <w:rsid w:val="009C0007"/>
    <w:rsid w:val="009C206A"/>
    <w:rsid w:val="009C4920"/>
    <w:rsid w:val="009C6002"/>
    <w:rsid w:val="009C7653"/>
    <w:rsid w:val="009D1707"/>
    <w:rsid w:val="009D3FF4"/>
    <w:rsid w:val="009D6383"/>
    <w:rsid w:val="009D74CE"/>
    <w:rsid w:val="009E0295"/>
    <w:rsid w:val="009E1F32"/>
    <w:rsid w:val="009E2C8A"/>
    <w:rsid w:val="009E6146"/>
    <w:rsid w:val="009F1C0E"/>
    <w:rsid w:val="009F229A"/>
    <w:rsid w:val="009F3C5A"/>
    <w:rsid w:val="009F4204"/>
    <w:rsid w:val="009F50B7"/>
    <w:rsid w:val="009F6700"/>
    <w:rsid w:val="00A026CD"/>
    <w:rsid w:val="00A034C0"/>
    <w:rsid w:val="00A04DD2"/>
    <w:rsid w:val="00A05110"/>
    <w:rsid w:val="00A06122"/>
    <w:rsid w:val="00A072E3"/>
    <w:rsid w:val="00A076AE"/>
    <w:rsid w:val="00A13355"/>
    <w:rsid w:val="00A14B4A"/>
    <w:rsid w:val="00A153EB"/>
    <w:rsid w:val="00A165FB"/>
    <w:rsid w:val="00A17053"/>
    <w:rsid w:val="00A20972"/>
    <w:rsid w:val="00A22E85"/>
    <w:rsid w:val="00A2654A"/>
    <w:rsid w:val="00A26C54"/>
    <w:rsid w:val="00A32D04"/>
    <w:rsid w:val="00A35C14"/>
    <w:rsid w:val="00A402F8"/>
    <w:rsid w:val="00A40924"/>
    <w:rsid w:val="00A42148"/>
    <w:rsid w:val="00A42D23"/>
    <w:rsid w:val="00A43A8C"/>
    <w:rsid w:val="00A4559D"/>
    <w:rsid w:val="00A45770"/>
    <w:rsid w:val="00A45AC0"/>
    <w:rsid w:val="00A54409"/>
    <w:rsid w:val="00A55697"/>
    <w:rsid w:val="00A564B4"/>
    <w:rsid w:val="00A566CA"/>
    <w:rsid w:val="00A56B85"/>
    <w:rsid w:val="00A61670"/>
    <w:rsid w:val="00A63011"/>
    <w:rsid w:val="00A64284"/>
    <w:rsid w:val="00A70224"/>
    <w:rsid w:val="00A7414B"/>
    <w:rsid w:val="00A745E4"/>
    <w:rsid w:val="00A7485A"/>
    <w:rsid w:val="00A7759E"/>
    <w:rsid w:val="00A81455"/>
    <w:rsid w:val="00A845EB"/>
    <w:rsid w:val="00A8530F"/>
    <w:rsid w:val="00A928F5"/>
    <w:rsid w:val="00A93382"/>
    <w:rsid w:val="00AA00E8"/>
    <w:rsid w:val="00AA0127"/>
    <w:rsid w:val="00AA1F4E"/>
    <w:rsid w:val="00AA2553"/>
    <w:rsid w:val="00AA43B0"/>
    <w:rsid w:val="00AA784D"/>
    <w:rsid w:val="00AB03D3"/>
    <w:rsid w:val="00AB21DA"/>
    <w:rsid w:val="00AB2D16"/>
    <w:rsid w:val="00AB518A"/>
    <w:rsid w:val="00AB5314"/>
    <w:rsid w:val="00AB5BB5"/>
    <w:rsid w:val="00AB661F"/>
    <w:rsid w:val="00AB72F5"/>
    <w:rsid w:val="00AC02AC"/>
    <w:rsid w:val="00AC4135"/>
    <w:rsid w:val="00AC49F7"/>
    <w:rsid w:val="00AC5EEF"/>
    <w:rsid w:val="00AD0157"/>
    <w:rsid w:val="00AD1A58"/>
    <w:rsid w:val="00AD24D1"/>
    <w:rsid w:val="00AD5AAA"/>
    <w:rsid w:val="00AD6A83"/>
    <w:rsid w:val="00AD71D2"/>
    <w:rsid w:val="00AE0A8F"/>
    <w:rsid w:val="00AE0B87"/>
    <w:rsid w:val="00AE0EEF"/>
    <w:rsid w:val="00AE12F8"/>
    <w:rsid w:val="00AF0B2D"/>
    <w:rsid w:val="00AF14D0"/>
    <w:rsid w:val="00AF1C6F"/>
    <w:rsid w:val="00AF458F"/>
    <w:rsid w:val="00AF6D62"/>
    <w:rsid w:val="00B00687"/>
    <w:rsid w:val="00B03500"/>
    <w:rsid w:val="00B05AF0"/>
    <w:rsid w:val="00B07467"/>
    <w:rsid w:val="00B103C1"/>
    <w:rsid w:val="00B1434A"/>
    <w:rsid w:val="00B15384"/>
    <w:rsid w:val="00B2175F"/>
    <w:rsid w:val="00B24AA9"/>
    <w:rsid w:val="00B24B34"/>
    <w:rsid w:val="00B27A4C"/>
    <w:rsid w:val="00B35DC3"/>
    <w:rsid w:val="00B42695"/>
    <w:rsid w:val="00B42E8C"/>
    <w:rsid w:val="00B47430"/>
    <w:rsid w:val="00B4791E"/>
    <w:rsid w:val="00B503A9"/>
    <w:rsid w:val="00B5547C"/>
    <w:rsid w:val="00B5566D"/>
    <w:rsid w:val="00B65782"/>
    <w:rsid w:val="00B66E79"/>
    <w:rsid w:val="00B72AC6"/>
    <w:rsid w:val="00B72AD6"/>
    <w:rsid w:val="00B73174"/>
    <w:rsid w:val="00B73A48"/>
    <w:rsid w:val="00B75864"/>
    <w:rsid w:val="00B77D4A"/>
    <w:rsid w:val="00B80EF5"/>
    <w:rsid w:val="00B86FD5"/>
    <w:rsid w:val="00B87B2D"/>
    <w:rsid w:val="00B90BD0"/>
    <w:rsid w:val="00B93DCE"/>
    <w:rsid w:val="00B959D7"/>
    <w:rsid w:val="00B969CA"/>
    <w:rsid w:val="00B97AE8"/>
    <w:rsid w:val="00BA3E50"/>
    <w:rsid w:val="00BB089E"/>
    <w:rsid w:val="00BB0E83"/>
    <w:rsid w:val="00BB22B6"/>
    <w:rsid w:val="00BB2469"/>
    <w:rsid w:val="00BB2E36"/>
    <w:rsid w:val="00BB3BCB"/>
    <w:rsid w:val="00BB7C11"/>
    <w:rsid w:val="00BC18D0"/>
    <w:rsid w:val="00BC1E28"/>
    <w:rsid w:val="00BC20F8"/>
    <w:rsid w:val="00BC3D4D"/>
    <w:rsid w:val="00BC4276"/>
    <w:rsid w:val="00BC524F"/>
    <w:rsid w:val="00BC6120"/>
    <w:rsid w:val="00BD0B70"/>
    <w:rsid w:val="00BD16DB"/>
    <w:rsid w:val="00BD35D7"/>
    <w:rsid w:val="00BD5454"/>
    <w:rsid w:val="00BD55B7"/>
    <w:rsid w:val="00BD5927"/>
    <w:rsid w:val="00BE0053"/>
    <w:rsid w:val="00BE0982"/>
    <w:rsid w:val="00BE0C0A"/>
    <w:rsid w:val="00BF0BBA"/>
    <w:rsid w:val="00BF0FB3"/>
    <w:rsid w:val="00BF28D2"/>
    <w:rsid w:val="00BF418C"/>
    <w:rsid w:val="00BF4AAD"/>
    <w:rsid w:val="00BF4F93"/>
    <w:rsid w:val="00BF7F77"/>
    <w:rsid w:val="00C02C62"/>
    <w:rsid w:val="00C041D9"/>
    <w:rsid w:val="00C05798"/>
    <w:rsid w:val="00C06D23"/>
    <w:rsid w:val="00C07E33"/>
    <w:rsid w:val="00C12271"/>
    <w:rsid w:val="00C12BA0"/>
    <w:rsid w:val="00C15B51"/>
    <w:rsid w:val="00C17069"/>
    <w:rsid w:val="00C17184"/>
    <w:rsid w:val="00C20301"/>
    <w:rsid w:val="00C2055C"/>
    <w:rsid w:val="00C21AA5"/>
    <w:rsid w:val="00C250E6"/>
    <w:rsid w:val="00C26BE8"/>
    <w:rsid w:val="00C328FA"/>
    <w:rsid w:val="00C331F4"/>
    <w:rsid w:val="00C37982"/>
    <w:rsid w:val="00C418F3"/>
    <w:rsid w:val="00C41FB2"/>
    <w:rsid w:val="00C422E3"/>
    <w:rsid w:val="00C433AD"/>
    <w:rsid w:val="00C44DC8"/>
    <w:rsid w:val="00C47029"/>
    <w:rsid w:val="00C520A1"/>
    <w:rsid w:val="00C54505"/>
    <w:rsid w:val="00C57BC2"/>
    <w:rsid w:val="00C605D8"/>
    <w:rsid w:val="00C60B23"/>
    <w:rsid w:val="00C63364"/>
    <w:rsid w:val="00C67774"/>
    <w:rsid w:val="00C7112D"/>
    <w:rsid w:val="00C720A4"/>
    <w:rsid w:val="00C74E82"/>
    <w:rsid w:val="00C76F17"/>
    <w:rsid w:val="00C772B7"/>
    <w:rsid w:val="00C77429"/>
    <w:rsid w:val="00C83512"/>
    <w:rsid w:val="00C84365"/>
    <w:rsid w:val="00C847E8"/>
    <w:rsid w:val="00C85383"/>
    <w:rsid w:val="00C85CC1"/>
    <w:rsid w:val="00C86EB5"/>
    <w:rsid w:val="00C90C5C"/>
    <w:rsid w:val="00C913A9"/>
    <w:rsid w:val="00C95D1B"/>
    <w:rsid w:val="00CA043B"/>
    <w:rsid w:val="00CA1145"/>
    <w:rsid w:val="00CA176E"/>
    <w:rsid w:val="00CA1ADE"/>
    <w:rsid w:val="00CA1D17"/>
    <w:rsid w:val="00CA2735"/>
    <w:rsid w:val="00CA4776"/>
    <w:rsid w:val="00CB0F19"/>
    <w:rsid w:val="00CB1742"/>
    <w:rsid w:val="00CB19D3"/>
    <w:rsid w:val="00CB3841"/>
    <w:rsid w:val="00CB513F"/>
    <w:rsid w:val="00CC0890"/>
    <w:rsid w:val="00CC0E6B"/>
    <w:rsid w:val="00CC0EA5"/>
    <w:rsid w:val="00CC2413"/>
    <w:rsid w:val="00CC3776"/>
    <w:rsid w:val="00CC5668"/>
    <w:rsid w:val="00CC5C56"/>
    <w:rsid w:val="00CC6715"/>
    <w:rsid w:val="00CC75CD"/>
    <w:rsid w:val="00CD4026"/>
    <w:rsid w:val="00CD6025"/>
    <w:rsid w:val="00CE0546"/>
    <w:rsid w:val="00CE1DC3"/>
    <w:rsid w:val="00CE2A2E"/>
    <w:rsid w:val="00CE5AF0"/>
    <w:rsid w:val="00CE607F"/>
    <w:rsid w:val="00CE793A"/>
    <w:rsid w:val="00CE7CFD"/>
    <w:rsid w:val="00CE7F74"/>
    <w:rsid w:val="00CF2D9D"/>
    <w:rsid w:val="00CF38CF"/>
    <w:rsid w:val="00CF7216"/>
    <w:rsid w:val="00CF775C"/>
    <w:rsid w:val="00CF7E42"/>
    <w:rsid w:val="00D01330"/>
    <w:rsid w:val="00D0180A"/>
    <w:rsid w:val="00D0705E"/>
    <w:rsid w:val="00D079D8"/>
    <w:rsid w:val="00D112CB"/>
    <w:rsid w:val="00D1276F"/>
    <w:rsid w:val="00D13677"/>
    <w:rsid w:val="00D14AEE"/>
    <w:rsid w:val="00D167E6"/>
    <w:rsid w:val="00D16F07"/>
    <w:rsid w:val="00D1727E"/>
    <w:rsid w:val="00D17B82"/>
    <w:rsid w:val="00D2012A"/>
    <w:rsid w:val="00D20C3C"/>
    <w:rsid w:val="00D23086"/>
    <w:rsid w:val="00D2481F"/>
    <w:rsid w:val="00D317A3"/>
    <w:rsid w:val="00D3330F"/>
    <w:rsid w:val="00D342B4"/>
    <w:rsid w:val="00D34C90"/>
    <w:rsid w:val="00D359A6"/>
    <w:rsid w:val="00D40617"/>
    <w:rsid w:val="00D45BDF"/>
    <w:rsid w:val="00D47438"/>
    <w:rsid w:val="00D50303"/>
    <w:rsid w:val="00D552E3"/>
    <w:rsid w:val="00D55BC5"/>
    <w:rsid w:val="00D574D1"/>
    <w:rsid w:val="00D57A7E"/>
    <w:rsid w:val="00D60C14"/>
    <w:rsid w:val="00D6178E"/>
    <w:rsid w:val="00D62426"/>
    <w:rsid w:val="00D63F45"/>
    <w:rsid w:val="00D642F9"/>
    <w:rsid w:val="00D663B7"/>
    <w:rsid w:val="00D66A36"/>
    <w:rsid w:val="00D671A6"/>
    <w:rsid w:val="00D707D4"/>
    <w:rsid w:val="00D71B3F"/>
    <w:rsid w:val="00D71FAB"/>
    <w:rsid w:val="00D76283"/>
    <w:rsid w:val="00D80F11"/>
    <w:rsid w:val="00D82E6E"/>
    <w:rsid w:val="00D83199"/>
    <w:rsid w:val="00D84F19"/>
    <w:rsid w:val="00D85F20"/>
    <w:rsid w:val="00D87B2C"/>
    <w:rsid w:val="00D92E27"/>
    <w:rsid w:val="00D95232"/>
    <w:rsid w:val="00D95727"/>
    <w:rsid w:val="00D95D73"/>
    <w:rsid w:val="00DA0F65"/>
    <w:rsid w:val="00DA2D62"/>
    <w:rsid w:val="00DA4C0B"/>
    <w:rsid w:val="00DA5D7A"/>
    <w:rsid w:val="00DB2CA8"/>
    <w:rsid w:val="00DB3E53"/>
    <w:rsid w:val="00DB6C34"/>
    <w:rsid w:val="00DB71D9"/>
    <w:rsid w:val="00DB7AC4"/>
    <w:rsid w:val="00DC1267"/>
    <w:rsid w:val="00DC50A9"/>
    <w:rsid w:val="00DC6663"/>
    <w:rsid w:val="00DE01BF"/>
    <w:rsid w:val="00DE40FB"/>
    <w:rsid w:val="00DE5132"/>
    <w:rsid w:val="00DE6D48"/>
    <w:rsid w:val="00DE75FE"/>
    <w:rsid w:val="00DE7FCC"/>
    <w:rsid w:val="00DF1544"/>
    <w:rsid w:val="00DF1B16"/>
    <w:rsid w:val="00DF2285"/>
    <w:rsid w:val="00DF2C48"/>
    <w:rsid w:val="00DF7C8F"/>
    <w:rsid w:val="00E008C0"/>
    <w:rsid w:val="00E07192"/>
    <w:rsid w:val="00E079E4"/>
    <w:rsid w:val="00E1109D"/>
    <w:rsid w:val="00E13BF3"/>
    <w:rsid w:val="00E154FE"/>
    <w:rsid w:val="00E15EB8"/>
    <w:rsid w:val="00E20C26"/>
    <w:rsid w:val="00E26E89"/>
    <w:rsid w:val="00E34CF6"/>
    <w:rsid w:val="00E3515A"/>
    <w:rsid w:val="00E4048A"/>
    <w:rsid w:val="00E41239"/>
    <w:rsid w:val="00E41738"/>
    <w:rsid w:val="00E4281E"/>
    <w:rsid w:val="00E43010"/>
    <w:rsid w:val="00E43228"/>
    <w:rsid w:val="00E43423"/>
    <w:rsid w:val="00E45419"/>
    <w:rsid w:val="00E543CE"/>
    <w:rsid w:val="00E5584F"/>
    <w:rsid w:val="00E57064"/>
    <w:rsid w:val="00E64FF1"/>
    <w:rsid w:val="00E70F9D"/>
    <w:rsid w:val="00E73F8A"/>
    <w:rsid w:val="00E74E7D"/>
    <w:rsid w:val="00E753D2"/>
    <w:rsid w:val="00E8175E"/>
    <w:rsid w:val="00E839A7"/>
    <w:rsid w:val="00E84806"/>
    <w:rsid w:val="00E875AB"/>
    <w:rsid w:val="00E90879"/>
    <w:rsid w:val="00E91839"/>
    <w:rsid w:val="00E93422"/>
    <w:rsid w:val="00E93E31"/>
    <w:rsid w:val="00E942DA"/>
    <w:rsid w:val="00E94B1A"/>
    <w:rsid w:val="00E95A2D"/>
    <w:rsid w:val="00E96720"/>
    <w:rsid w:val="00E97834"/>
    <w:rsid w:val="00EA05A9"/>
    <w:rsid w:val="00EA106E"/>
    <w:rsid w:val="00EA2A68"/>
    <w:rsid w:val="00EA414A"/>
    <w:rsid w:val="00EA78E0"/>
    <w:rsid w:val="00EB0EEF"/>
    <w:rsid w:val="00EB1917"/>
    <w:rsid w:val="00EB21D7"/>
    <w:rsid w:val="00EB2C53"/>
    <w:rsid w:val="00EB5728"/>
    <w:rsid w:val="00EB5778"/>
    <w:rsid w:val="00EB6B40"/>
    <w:rsid w:val="00EB6DD8"/>
    <w:rsid w:val="00EC2624"/>
    <w:rsid w:val="00EC2A4C"/>
    <w:rsid w:val="00EC3064"/>
    <w:rsid w:val="00ED24D7"/>
    <w:rsid w:val="00ED26A5"/>
    <w:rsid w:val="00ED391C"/>
    <w:rsid w:val="00ED5368"/>
    <w:rsid w:val="00EE2DA1"/>
    <w:rsid w:val="00EE49EF"/>
    <w:rsid w:val="00EE4A4B"/>
    <w:rsid w:val="00EE509F"/>
    <w:rsid w:val="00EE52FC"/>
    <w:rsid w:val="00EF44E6"/>
    <w:rsid w:val="00EF5C60"/>
    <w:rsid w:val="00EF5F59"/>
    <w:rsid w:val="00EF673F"/>
    <w:rsid w:val="00EF6B3A"/>
    <w:rsid w:val="00EF7B99"/>
    <w:rsid w:val="00F07334"/>
    <w:rsid w:val="00F127DB"/>
    <w:rsid w:val="00F12F6A"/>
    <w:rsid w:val="00F1340F"/>
    <w:rsid w:val="00F14CA8"/>
    <w:rsid w:val="00F17AEE"/>
    <w:rsid w:val="00F17FB4"/>
    <w:rsid w:val="00F207D4"/>
    <w:rsid w:val="00F20BD9"/>
    <w:rsid w:val="00F20E08"/>
    <w:rsid w:val="00F21E0A"/>
    <w:rsid w:val="00F23CFA"/>
    <w:rsid w:val="00F24D13"/>
    <w:rsid w:val="00F24DD4"/>
    <w:rsid w:val="00F3172B"/>
    <w:rsid w:val="00F32869"/>
    <w:rsid w:val="00F32956"/>
    <w:rsid w:val="00F3314D"/>
    <w:rsid w:val="00F3700E"/>
    <w:rsid w:val="00F374C7"/>
    <w:rsid w:val="00F37517"/>
    <w:rsid w:val="00F421C3"/>
    <w:rsid w:val="00F427E7"/>
    <w:rsid w:val="00F445A8"/>
    <w:rsid w:val="00F44C01"/>
    <w:rsid w:val="00F45F4B"/>
    <w:rsid w:val="00F47AE6"/>
    <w:rsid w:val="00F515BE"/>
    <w:rsid w:val="00F5292C"/>
    <w:rsid w:val="00F55F3A"/>
    <w:rsid w:val="00F57589"/>
    <w:rsid w:val="00F61246"/>
    <w:rsid w:val="00F61996"/>
    <w:rsid w:val="00F61B68"/>
    <w:rsid w:val="00F635D7"/>
    <w:rsid w:val="00F64080"/>
    <w:rsid w:val="00F7026B"/>
    <w:rsid w:val="00F719B6"/>
    <w:rsid w:val="00F7231C"/>
    <w:rsid w:val="00F72E5A"/>
    <w:rsid w:val="00F76C12"/>
    <w:rsid w:val="00F773D5"/>
    <w:rsid w:val="00F77A4E"/>
    <w:rsid w:val="00F8134A"/>
    <w:rsid w:val="00F83769"/>
    <w:rsid w:val="00F86D5E"/>
    <w:rsid w:val="00F87564"/>
    <w:rsid w:val="00F90417"/>
    <w:rsid w:val="00F90508"/>
    <w:rsid w:val="00F910A0"/>
    <w:rsid w:val="00F9632C"/>
    <w:rsid w:val="00FA41D4"/>
    <w:rsid w:val="00FA57B4"/>
    <w:rsid w:val="00FA6723"/>
    <w:rsid w:val="00FB0164"/>
    <w:rsid w:val="00FB0AEE"/>
    <w:rsid w:val="00FB2A72"/>
    <w:rsid w:val="00FB39F7"/>
    <w:rsid w:val="00FB57F2"/>
    <w:rsid w:val="00FB6459"/>
    <w:rsid w:val="00FC0C29"/>
    <w:rsid w:val="00FC1DDE"/>
    <w:rsid w:val="00FC3343"/>
    <w:rsid w:val="00FC5152"/>
    <w:rsid w:val="00FC6C33"/>
    <w:rsid w:val="00FD1FDD"/>
    <w:rsid w:val="00FD3892"/>
    <w:rsid w:val="00FD4B75"/>
    <w:rsid w:val="00FE7D65"/>
    <w:rsid w:val="00FF1476"/>
    <w:rsid w:val="00FF168B"/>
    <w:rsid w:val="00FF1F91"/>
    <w:rsid w:val="00FF27BA"/>
    <w:rsid w:val="00FF4A93"/>
    <w:rsid w:val="00FF6B12"/>
  </w:rsids>
  <m:mathPr>
    <m:mathFont m:val="Cambria Math"/>
    <m:brkBin m:val="before"/>
    <m:brkBinSub m:val="--"/>
    <m:smallFrac/>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E5"/>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MediumGrid1-Accent21">
    <w:name w:val="Medium Grid 1 - Accent 2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4"/>
      </w:numPr>
    </w:pPr>
  </w:style>
  <w:style w:type="paragraph" w:customStyle="1" w:styleId="ONUME">
    <w:name w:val="ONUM E"/>
    <w:basedOn w:val="BodyText"/>
    <w:rsid w:val="009A7C63"/>
    <w:pPr>
      <w:numPr>
        <w:numId w:val="3"/>
      </w:numPr>
    </w:pPr>
  </w:style>
  <w:style w:type="paragraph" w:styleId="ListNumber">
    <w:name w:val="List Number"/>
    <w:basedOn w:val="Normal"/>
    <w:rsid w:val="009A7C63"/>
    <w:pPr>
      <w:numPr>
        <w:numId w:val="5"/>
      </w:numPr>
    </w:pPr>
    <w:rPr>
      <w:rFonts w:ascii="Arial" w:hAnsi="Arial" w:cs="Arial"/>
      <w:sz w:val="22"/>
      <w:szCs w:val="20"/>
    </w:rPr>
  </w:style>
  <w:style w:type="character" w:styleId="LineNumber">
    <w:name w:val="line number"/>
    <w:rsid w:val="003D0D65"/>
  </w:style>
  <w:style w:type="paragraph" w:customStyle="1" w:styleId="ColorfulList-Accent11">
    <w:name w:val="Colorful List - Accent 11"/>
    <w:basedOn w:val="Normal"/>
    <w:uiPriority w:val="34"/>
    <w:qFormat/>
    <w:rsid w:val="00A81455"/>
    <w:pPr>
      <w:spacing w:after="200" w:line="276" w:lineRule="auto"/>
      <w:ind w:left="720"/>
    </w:pPr>
    <w:rPr>
      <w:rFonts w:ascii="Calibri" w:hAnsi="Calibri"/>
      <w:sz w:val="22"/>
      <w:szCs w:val="22"/>
      <w:lang w:val="sv-SE"/>
    </w:rPr>
  </w:style>
  <w:style w:type="paragraph" w:customStyle="1" w:styleId="Char">
    <w:name w:val="Char 字元 字元"/>
    <w:basedOn w:val="Normal"/>
    <w:rsid w:val="007F38B4"/>
    <w:pPr>
      <w:spacing w:after="160" w:line="240" w:lineRule="exact"/>
    </w:pPr>
    <w:rPr>
      <w:rFonts w:ascii="Verdana" w:eastAsia="PMingLiU" w:hAnsi="Verdana"/>
      <w:sz w:val="20"/>
      <w:szCs w:val="20"/>
    </w:rPr>
  </w:style>
  <w:style w:type="table" w:styleId="TableList8">
    <w:name w:val="Table List 8"/>
    <w:basedOn w:val="TableNormal"/>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List-Accent2">
    <w:name w:val="Light List Accent 2"/>
    <w:basedOn w:val="TableNormal"/>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olorfulShading-Accent11">
    <w:name w:val="Colorful Shading - Accent 11"/>
    <w:hidden/>
    <w:uiPriority w:val="71"/>
    <w:rsid w:val="001D2C11"/>
    <w:rPr>
      <w:sz w:val="24"/>
      <w:szCs w:val="24"/>
      <w:lang w:val="en-US" w:eastAsia="en-US"/>
    </w:rPr>
  </w:style>
  <w:style w:type="paragraph" w:styleId="NormalWeb">
    <w:name w:val="Normal (Web)"/>
    <w:basedOn w:val="Normal"/>
    <w:uiPriority w:val="99"/>
    <w:unhideWhenUsed/>
    <w:rsid w:val="008949A8"/>
    <w:pPr>
      <w:spacing w:before="100" w:beforeAutospacing="1" w:after="100" w:afterAutospacing="1"/>
    </w:pPr>
    <w:rPr>
      <w:rFonts w:ascii="Times" w:hAnsi="Times"/>
      <w:sz w:val="20"/>
      <w:szCs w:val="20"/>
      <w:lang w:val="fr-FR" w:eastAsia="fr-FR"/>
    </w:rPr>
  </w:style>
  <w:style w:type="table" w:styleId="MediumList2-Accent1">
    <w:name w:val="Medium List 2 Accent 1"/>
    <w:basedOn w:val="TableNormal"/>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5A4543"/>
    <w:pPr>
      <w:ind w:left="720"/>
      <w:contextualSpacing/>
    </w:pPr>
  </w:style>
  <w:style w:type="character" w:customStyle="1" w:styleId="apple-converted-space">
    <w:name w:val="apple-converted-space"/>
    <w:basedOn w:val="DefaultParagraphFont"/>
    <w:rsid w:val="005F24E9"/>
  </w:style>
  <w:style w:type="character" w:styleId="Emphasis">
    <w:name w:val="Emphasis"/>
    <w:basedOn w:val="DefaultParagraphFont"/>
    <w:uiPriority w:val="20"/>
    <w:qFormat/>
    <w:rsid w:val="005F2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E5"/>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MediumGrid1-Accent21">
    <w:name w:val="Medium Grid 1 - Accent 2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4"/>
      </w:numPr>
    </w:pPr>
  </w:style>
  <w:style w:type="paragraph" w:customStyle="1" w:styleId="ONUME">
    <w:name w:val="ONUM E"/>
    <w:basedOn w:val="BodyText"/>
    <w:rsid w:val="009A7C63"/>
    <w:pPr>
      <w:numPr>
        <w:numId w:val="3"/>
      </w:numPr>
    </w:pPr>
  </w:style>
  <w:style w:type="paragraph" w:styleId="ListNumber">
    <w:name w:val="List Number"/>
    <w:basedOn w:val="Normal"/>
    <w:rsid w:val="009A7C63"/>
    <w:pPr>
      <w:numPr>
        <w:numId w:val="5"/>
      </w:numPr>
    </w:pPr>
    <w:rPr>
      <w:rFonts w:ascii="Arial" w:hAnsi="Arial" w:cs="Arial"/>
      <w:sz w:val="22"/>
      <w:szCs w:val="20"/>
    </w:rPr>
  </w:style>
  <w:style w:type="character" w:styleId="LineNumber">
    <w:name w:val="line number"/>
    <w:rsid w:val="003D0D65"/>
  </w:style>
  <w:style w:type="paragraph" w:customStyle="1" w:styleId="ColorfulList-Accent11">
    <w:name w:val="Colorful List - Accent 11"/>
    <w:basedOn w:val="Normal"/>
    <w:uiPriority w:val="34"/>
    <w:qFormat/>
    <w:rsid w:val="00A81455"/>
    <w:pPr>
      <w:spacing w:after="200" w:line="276" w:lineRule="auto"/>
      <w:ind w:left="720"/>
    </w:pPr>
    <w:rPr>
      <w:rFonts w:ascii="Calibri" w:hAnsi="Calibri"/>
      <w:sz w:val="22"/>
      <w:szCs w:val="22"/>
      <w:lang w:val="sv-SE"/>
    </w:rPr>
  </w:style>
  <w:style w:type="paragraph" w:customStyle="1" w:styleId="Char">
    <w:name w:val="Char 字元 字元"/>
    <w:basedOn w:val="Normal"/>
    <w:rsid w:val="007F38B4"/>
    <w:pPr>
      <w:spacing w:after="160" w:line="240" w:lineRule="exact"/>
    </w:pPr>
    <w:rPr>
      <w:rFonts w:ascii="Verdana" w:eastAsia="PMingLiU" w:hAnsi="Verdana"/>
      <w:sz w:val="20"/>
      <w:szCs w:val="20"/>
    </w:rPr>
  </w:style>
  <w:style w:type="table" w:styleId="TableList8">
    <w:name w:val="Table List 8"/>
    <w:basedOn w:val="TableNormal"/>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List-Accent2">
    <w:name w:val="Light List Accent 2"/>
    <w:basedOn w:val="TableNormal"/>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olorfulShading-Accent11">
    <w:name w:val="Colorful Shading - Accent 11"/>
    <w:hidden/>
    <w:uiPriority w:val="71"/>
    <w:rsid w:val="001D2C11"/>
    <w:rPr>
      <w:sz w:val="24"/>
      <w:szCs w:val="24"/>
      <w:lang w:val="en-US" w:eastAsia="en-US"/>
    </w:rPr>
  </w:style>
  <w:style w:type="paragraph" w:styleId="NormalWeb">
    <w:name w:val="Normal (Web)"/>
    <w:basedOn w:val="Normal"/>
    <w:uiPriority w:val="99"/>
    <w:unhideWhenUsed/>
    <w:rsid w:val="008949A8"/>
    <w:pPr>
      <w:spacing w:before="100" w:beforeAutospacing="1" w:after="100" w:afterAutospacing="1"/>
    </w:pPr>
    <w:rPr>
      <w:rFonts w:ascii="Times" w:hAnsi="Times"/>
      <w:sz w:val="20"/>
      <w:szCs w:val="20"/>
      <w:lang w:val="fr-FR" w:eastAsia="fr-FR"/>
    </w:rPr>
  </w:style>
  <w:style w:type="table" w:styleId="MediumList2-Accent1">
    <w:name w:val="Medium List 2 Accent 1"/>
    <w:basedOn w:val="TableNormal"/>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5A4543"/>
    <w:pPr>
      <w:ind w:left="720"/>
      <w:contextualSpacing/>
    </w:pPr>
  </w:style>
  <w:style w:type="character" w:customStyle="1" w:styleId="apple-converted-space">
    <w:name w:val="apple-converted-space"/>
    <w:basedOn w:val="DefaultParagraphFont"/>
    <w:rsid w:val="005F24E9"/>
  </w:style>
  <w:style w:type="character" w:styleId="Emphasis">
    <w:name w:val="Emphasis"/>
    <w:basedOn w:val="DefaultParagraphFont"/>
    <w:uiPriority w:val="20"/>
    <w:qFormat/>
    <w:rsid w:val="005F2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0693">
      <w:bodyDiv w:val="1"/>
      <w:marLeft w:val="0"/>
      <w:marRight w:val="0"/>
      <w:marTop w:val="0"/>
      <w:marBottom w:val="0"/>
      <w:divBdr>
        <w:top w:val="none" w:sz="0" w:space="0" w:color="auto"/>
        <w:left w:val="none" w:sz="0" w:space="0" w:color="auto"/>
        <w:bottom w:val="none" w:sz="0" w:space="0" w:color="auto"/>
        <w:right w:val="none" w:sz="0" w:space="0" w:color="auto"/>
      </w:divBdr>
      <w:divsChild>
        <w:div w:id="667294333">
          <w:marLeft w:val="0"/>
          <w:marRight w:val="0"/>
          <w:marTop w:val="0"/>
          <w:marBottom w:val="0"/>
          <w:divBdr>
            <w:top w:val="none" w:sz="0" w:space="0" w:color="auto"/>
            <w:left w:val="none" w:sz="0" w:space="0" w:color="auto"/>
            <w:bottom w:val="none" w:sz="0" w:space="0" w:color="auto"/>
            <w:right w:val="none" w:sz="0" w:space="0" w:color="auto"/>
          </w:divBdr>
          <w:divsChild>
            <w:div w:id="1668899341">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669">
      <w:bodyDiv w:val="1"/>
      <w:marLeft w:val="0"/>
      <w:marRight w:val="0"/>
      <w:marTop w:val="0"/>
      <w:marBottom w:val="0"/>
      <w:divBdr>
        <w:top w:val="none" w:sz="0" w:space="0" w:color="auto"/>
        <w:left w:val="none" w:sz="0" w:space="0" w:color="auto"/>
        <w:bottom w:val="none" w:sz="0" w:space="0" w:color="auto"/>
        <w:right w:val="none" w:sz="0" w:space="0" w:color="auto"/>
      </w:divBdr>
      <w:divsChild>
        <w:div w:id="1398436857">
          <w:marLeft w:val="0"/>
          <w:marRight w:val="0"/>
          <w:marTop w:val="0"/>
          <w:marBottom w:val="0"/>
          <w:divBdr>
            <w:top w:val="none" w:sz="0" w:space="0" w:color="auto"/>
            <w:left w:val="none" w:sz="0" w:space="0" w:color="auto"/>
            <w:bottom w:val="none" w:sz="0" w:space="0" w:color="auto"/>
            <w:right w:val="none" w:sz="0" w:space="0" w:color="auto"/>
          </w:divBdr>
          <w:divsChild>
            <w:div w:id="479077424">
              <w:marLeft w:val="0"/>
              <w:marRight w:val="0"/>
              <w:marTop w:val="0"/>
              <w:marBottom w:val="0"/>
              <w:divBdr>
                <w:top w:val="none" w:sz="0" w:space="0" w:color="auto"/>
                <w:left w:val="none" w:sz="0" w:space="0" w:color="auto"/>
                <w:bottom w:val="none" w:sz="0" w:space="0" w:color="auto"/>
                <w:right w:val="none" w:sz="0" w:space="0" w:color="auto"/>
              </w:divBdr>
              <w:divsChild>
                <w:div w:id="12407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2917-CC37-4CA6-B47F-C5EE39D7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6135</Words>
  <Characters>33625</Characters>
  <Application>Microsoft Office Word</Application>
  <DocSecurity>0</DocSecurity>
  <Lines>622</Lines>
  <Paragraphs>138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Nota informativa: Deliberaciones en el marco del punto 8 del orden del día - </vt:lpstr>
      <vt:lpstr>Background note – IGC 31</vt:lpstr>
      <vt:lpstr>Background note – IGC 31</vt:lpstr>
    </vt:vector>
  </TitlesOfParts>
  <Company>Microsoft</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Deliberaciones en el marco del punto 8 del orden del día - </dc:title>
  <dc:creator/>
  <dc:description>RV (trad. ext.) - 2.6.2017</dc:description>
  <cp:lastModifiedBy>CEVALLOS DUQUE Nilo</cp:lastModifiedBy>
  <cp:revision>16</cp:revision>
  <cp:lastPrinted>2017-05-30T16:18:00Z</cp:lastPrinted>
  <dcterms:created xsi:type="dcterms:W3CDTF">2017-06-08T06:39:00Z</dcterms:created>
  <dcterms:modified xsi:type="dcterms:W3CDTF">2017-06-08T09:30:00Z</dcterms:modified>
</cp:coreProperties>
</file>