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E065DF">
              <w:rPr>
                <w:rFonts w:ascii="Arial Black" w:hAnsi="Arial Black"/>
                <w:caps/>
                <w:sz w:val="15"/>
              </w:rPr>
              <w:t>INF/7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065DF">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F0544">
              <w:rPr>
                <w:rFonts w:ascii="Arial Black" w:hAnsi="Arial Black"/>
                <w:caps/>
                <w:sz w:val="15"/>
              </w:rPr>
              <w:t>September 28</w:t>
            </w:r>
            <w:r w:rsidR="00E065DF">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E065DF" w:rsidP="008B2CC1">
      <w:pPr>
        <w:rPr>
          <w:caps/>
          <w:sz w:val="24"/>
        </w:rPr>
      </w:pPr>
      <w:bookmarkStart w:id="3" w:name="TitleOfDoc"/>
      <w:bookmarkEnd w:id="3"/>
      <w:r>
        <w:rPr>
          <w:caps/>
          <w:sz w:val="24"/>
        </w:rPr>
        <w:t>Glossary</w:t>
      </w:r>
      <w:r w:rsidRPr="00E065DF">
        <w:rPr>
          <w:caps/>
          <w:sz w:val="24"/>
        </w:rPr>
        <w:t xml:space="preserve"> </w:t>
      </w:r>
      <w:r w:rsidRPr="00931A24">
        <w:rPr>
          <w:caps/>
          <w:sz w:val="24"/>
        </w:rPr>
        <w:t>OF KEY TERMS RELATED TO INTELLECTUAL PROPERTY AND GENETIC RESOURCES, TRADITIONAL KNOWLEDGE AND TRADITIONAL CULTURAL EXPRESSIONS</w:t>
      </w:r>
    </w:p>
    <w:p w:rsidR="008B2CC1" w:rsidRPr="008B2CC1" w:rsidRDefault="008B2CC1" w:rsidP="008B2CC1"/>
    <w:p w:rsidR="008B2CC1" w:rsidRPr="008B2CC1" w:rsidRDefault="00E065DF" w:rsidP="008B2CC1">
      <w:pPr>
        <w:rPr>
          <w:i/>
        </w:rPr>
      </w:pPr>
      <w:bookmarkStart w:id="4" w:name="Prepared"/>
      <w:bookmarkEnd w:id="4"/>
      <w:r>
        <w:rPr>
          <w:i/>
        </w:rPr>
        <w:t xml:space="preserve">Document </w:t>
      </w:r>
      <w:r w:rsidRPr="00931A24">
        <w:rPr>
          <w:i/>
        </w:rPr>
        <w:t>prepared by the Secretariat</w:t>
      </w:r>
    </w:p>
    <w:p w:rsidR="00AC205C" w:rsidRDefault="00AC205C"/>
    <w:p w:rsidR="000F5E56" w:rsidRDefault="000F5E56"/>
    <w:p w:rsidR="002928D3" w:rsidRDefault="002928D3"/>
    <w:p w:rsidR="002928D3" w:rsidRDefault="002928D3" w:rsidP="0053057A"/>
    <w:p w:rsidR="00E065DF" w:rsidRPr="00637B69" w:rsidRDefault="00E065DF" w:rsidP="00E065DF">
      <w:pPr>
        <w:pStyle w:val="Heading1"/>
        <w:keepNext w:val="0"/>
        <w:spacing w:before="0" w:after="0" w:line="260" w:lineRule="atLeast"/>
        <w:rPr>
          <w:szCs w:val="22"/>
          <w:lang w:val="en-GB"/>
        </w:rPr>
      </w:pPr>
      <w:r w:rsidRPr="00637B69">
        <w:rPr>
          <w:szCs w:val="22"/>
          <w:lang w:val="en-GB"/>
        </w:rPr>
        <w:t>introduction</w:t>
      </w:r>
    </w:p>
    <w:p w:rsidR="00E065DF" w:rsidRPr="00F05DC0" w:rsidRDefault="00E065DF" w:rsidP="00E065DF">
      <w:pPr>
        <w:autoSpaceDE w:val="0"/>
        <w:autoSpaceDN w:val="0"/>
        <w:adjustRightInd w:val="0"/>
        <w:spacing w:line="260" w:lineRule="atLeast"/>
        <w:rPr>
          <w:szCs w:val="22"/>
          <w:lang w:val="en-GB"/>
        </w:rPr>
      </w:pPr>
    </w:p>
    <w:p w:rsidR="00E065DF" w:rsidRPr="00F05DC0" w:rsidRDefault="00E065DF" w:rsidP="00E065DF">
      <w:pPr>
        <w:contextualSpacing/>
        <w:rPr>
          <w:szCs w:val="22"/>
          <w:lang w:eastAsia="en-US"/>
        </w:rPr>
      </w:pPr>
      <w:r>
        <w:rPr>
          <w:szCs w:val="22"/>
        </w:rPr>
        <w:t>1.</w:t>
      </w:r>
      <w:r>
        <w:rPr>
          <w:szCs w:val="22"/>
        </w:rPr>
        <w:tab/>
        <w:t>At its Sixteenth and Seventeenth S</w:t>
      </w:r>
      <w:r w:rsidRPr="00F05DC0">
        <w:rPr>
          <w:szCs w:val="22"/>
        </w:rPr>
        <w:t>ession</w:t>
      </w:r>
      <w:r>
        <w:rPr>
          <w:szCs w:val="22"/>
        </w:rPr>
        <w:t>s, held from May 3 to 7, 2010 and from December 6 to 10, 2010, respectively,</w:t>
      </w:r>
      <w:r w:rsidRPr="00F05DC0">
        <w:rPr>
          <w:szCs w:val="22"/>
        </w:rPr>
        <w:t xml:space="preserve"> the Intergovernmental Committee on Intellectual </w:t>
      </w:r>
      <w:r>
        <w:rPr>
          <w:szCs w:val="22"/>
        </w:rPr>
        <w:br/>
      </w:r>
      <w:r w:rsidRPr="00F05DC0">
        <w:rPr>
          <w:szCs w:val="22"/>
        </w:rPr>
        <w:t xml:space="preserve">Property and Genetic Resources, Traditional Knowledge and Folklore (“the IGC”) </w:t>
      </w:r>
      <w:r>
        <w:rPr>
          <w:szCs w:val="22"/>
        </w:rPr>
        <w:t>request</w:t>
      </w:r>
      <w:r w:rsidRPr="00F05DC0">
        <w:rPr>
          <w:szCs w:val="22"/>
        </w:rPr>
        <w:t>ed</w:t>
      </w:r>
      <w:r>
        <w:rPr>
          <w:szCs w:val="22"/>
        </w:rPr>
        <w:br/>
      </w:r>
      <w:r w:rsidRPr="00F05DC0">
        <w:rPr>
          <w:szCs w:val="22"/>
        </w:rPr>
        <w:t xml:space="preserve">the Secretariat </w:t>
      </w:r>
      <w:r>
        <w:rPr>
          <w:szCs w:val="22"/>
        </w:rPr>
        <w:t xml:space="preserve">to </w:t>
      </w:r>
      <w:r w:rsidRPr="00F05DC0">
        <w:rPr>
          <w:szCs w:val="22"/>
          <w:lang w:eastAsia="en-US" w:bidi="th-TH"/>
        </w:rPr>
        <w:t>prepare</w:t>
      </w:r>
      <w:r>
        <w:rPr>
          <w:szCs w:val="22"/>
          <w:lang w:eastAsia="en-US" w:bidi="th-TH"/>
        </w:rPr>
        <w:t>,</w:t>
      </w:r>
      <w:r w:rsidRPr="00F05DC0">
        <w:rPr>
          <w:szCs w:val="22"/>
          <w:lang w:eastAsia="en-US" w:bidi="th-TH"/>
        </w:rPr>
        <w:t xml:space="preserve"> as information document</w:t>
      </w:r>
      <w:r>
        <w:rPr>
          <w:szCs w:val="22"/>
          <w:lang w:eastAsia="en-US" w:bidi="th-TH"/>
        </w:rPr>
        <w:t>s,</w:t>
      </w:r>
      <w:r w:rsidRPr="00F05DC0">
        <w:rPr>
          <w:szCs w:val="22"/>
          <w:lang w:eastAsia="en-US" w:bidi="th-TH"/>
        </w:rPr>
        <w:t xml:space="preserve"> </w:t>
      </w:r>
      <w:r>
        <w:rPr>
          <w:szCs w:val="22"/>
          <w:lang w:eastAsia="en-US" w:bidi="th-TH"/>
        </w:rPr>
        <w:t xml:space="preserve">three </w:t>
      </w:r>
      <w:r w:rsidRPr="00F05DC0">
        <w:rPr>
          <w:szCs w:val="22"/>
          <w:lang w:eastAsia="en-US" w:bidi="th-TH"/>
        </w:rPr>
        <w:t>glossar</w:t>
      </w:r>
      <w:r>
        <w:rPr>
          <w:szCs w:val="22"/>
          <w:lang w:eastAsia="en-US" w:bidi="th-TH"/>
        </w:rPr>
        <w:t>ies</w:t>
      </w:r>
      <w:r w:rsidRPr="00F05DC0">
        <w:rPr>
          <w:szCs w:val="22"/>
          <w:lang w:eastAsia="en-US" w:bidi="th-TH"/>
        </w:rPr>
        <w:t xml:space="preserve"> of key terms related to intellectual property and genetic resources</w:t>
      </w:r>
      <w:r>
        <w:rPr>
          <w:szCs w:val="22"/>
          <w:lang w:eastAsia="en-US" w:bidi="th-TH"/>
        </w:rPr>
        <w:t xml:space="preserve">, traditional knowledge and </w:t>
      </w:r>
      <w:r w:rsidRPr="007B0610">
        <w:rPr>
          <w:szCs w:val="22"/>
          <w:lang w:eastAsia="en-US" w:bidi="th-TH"/>
        </w:rPr>
        <w:t>traditional cultural expressions</w:t>
      </w:r>
      <w:r w:rsidRPr="00F05DC0">
        <w:rPr>
          <w:rStyle w:val="FootnoteReference"/>
          <w:szCs w:val="22"/>
        </w:rPr>
        <w:footnoteReference w:id="2"/>
      </w:r>
      <w:r>
        <w:rPr>
          <w:szCs w:val="22"/>
        </w:rPr>
        <w:t xml:space="preserve"> and to make them available to the IGC. </w:t>
      </w:r>
    </w:p>
    <w:p w:rsidR="00E065DF" w:rsidRPr="00F05DC0" w:rsidRDefault="00E065DF" w:rsidP="00E065DF">
      <w:pPr>
        <w:rPr>
          <w:szCs w:val="22"/>
          <w:lang w:eastAsia="en-US"/>
        </w:rPr>
      </w:pPr>
    </w:p>
    <w:p w:rsidR="00E065DF" w:rsidRDefault="00E065DF" w:rsidP="00E065DF">
      <w:pPr>
        <w:contextualSpacing/>
        <w:rPr>
          <w:szCs w:val="22"/>
          <w:lang w:eastAsia="en-US"/>
        </w:rPr>
      </w:pPr>
      <w:r>
        <w:rPr>
          <w:szCs w:val="22"/>
          <w:lang w:eastAsia="en-US"/>
        </w:rPr>
        <w:t>2</w:t>
      </w:r>
      <w:r w:rsidRPr="00F05DC0">
        <w:rPr>
          <w:szCs w:val="22"/>
          <w:lang w:eastAsia="en-US"/>
        </w:rPr>
        <w:t>.</w:t>
      </w:r>
      <w:r w:rsidRPr="00F05DC0">
        <w:rPr>
          <w:szCs w:val="22"/>
          <w:lang w:eastAsia="en-US"/>
        </w:rPr>
        <w:tab/>
      </w:r>
      <w:r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Pr>
          <w:szCs w:val="22"/>
          <w:lang w:eastAsia="en-US"/>
        </w:rPr>
        <w:t>r the next session of the IGC.”</w:t>
      </w:r>
      <w:r>
        <w:rPr>
          <w:rStyle w:val="FootnoteReference"/>
          <w:szCs w:val="22"/>
          <w:lang w:eastAsia="en-US"/>
        </w:rPr>
        <w:footnoteReference w:id="3"/>
      </w:r>
    </w:p>
    <w:p w:rsidR="00E065DF" w:rsidRDefault="00E065DF" w:rsidP="00E065DF">
      <w:pPr>
        <w:contextualSpacing/>
        <w:rPr>
          <w:szCs w:val="22"/>
          <w:lang w:eastAsia="en-US"/>
        </w:rPr>
      </w:pPr>
    </w:p>
    <w:p w:rsidR="00E065DF" w:rsidRPr="00F05DC0" w:rsidRDefault="00E065DF" w:rsidP="00E065DF">
      <w:pPr>
        <w:contextualSpacing/>
        <w:rPr>
          <w:szCs w:val="22"/>
        </w:rPr>
      </w:pPr>
      <w:r>
        <w:rPr>
          <w:szCs w:val="22"/>
        </w:rPr>
        <w:t>3.</w:t>
      </w:r>
      <w:r>
        <w:rPr>
          <w:szCs w:val="22"/>
        </w:rPr>
        <w:tab/>
        <w:t>Pursuant to that decision, and g</w:t>
      </w:r>
      <w:r w:rsidRPr="00F05DC0">
        <w:rPr>
          <w:szCs w:val="22"/>
        </w:rPr>
        <w:t>iven that some terms contained in the</w:t>
      </w:r>
      <w:r>
        <w:rPr>
          <w:szCs w:val="22"/>
        </w:rPr>
        <w:t>se</w:t>
      </w:r>
      <w:r w:rsidRPr="00F05DC0">
        <w:rPr>
          <w:szCs w:val="22"/>
        </w:rPr>
        <w:t xml:space="preserve"> glossaries </w:t>
      </w:r>
      <w:r>
        <w:rPr>
          <w:szCs w:val="22"/>
        </w:rPr>
        <w:t>were</w:t>
      </w:r>
      <w:r w:rsidRPr="00F05DC0">
        <w:rPr>
          <w:szCs w:val="22"/>
        </w:rPr>
        <w:t xml:space="preserve"> related to all three themes, the Secretariat consolidated the three glossaries into one</w:t>
      </w:r>
      <w:r>
        <w:rPr>
          <w:szCs w:val="22"/>
        </w:rPr>
        <w:t xml:space="preserve"> and </w:t>
      </w:r>
      <w:r w:rsidRPr="005B0A02">
        <w:rPr>
          <w:szCs w:val="22"/>
        </w:rPr>
        <w:lastRenderedPageBreak/>
        <w:t>updated some of the definitions included therein</w:t>
      </w:r>
      <w:r>
        <w:rPr>
          <w:szCs w:val="22"/>
        </w:rPr>
        <w:t xml:space="preserve">.  </w:t>
      </w:r>
      <w:r>
        <w:rPr>
          <w:rFonts w:hint="eastAsia"/>
          <w:szCs w:val="22"/>
        </w:rPr>
        <w:t xml:space="preserve">The </w:t>
      </w:r>
      <w:r>
        <w:rPr>
          <w:szCs w:val="22"/>
        </w:rPr>
        <w:t xml:space="preserve">consolidated </w:t>
      </w:r>
      <w:r>
        <w:rPr>
          <w:rFonts w:hint="eastAsia"/>
          <w:szCs w:val="22"/>
        </w:rPr>
        <w:t>glossary</w:t>
      </w:r>
      <w:r>
        <w:rPr>
          <w:szCs w:val="22"/>
        </w:rPr>
        <w:t xml:space="preserve"> has been made available as an information document for the previous IGC sessions.  It</w:t>
      </w:r>
      <w:r>
        <w:rPr>
          <w:rFonts w:hint="eastAsia"/>
          <w:szCs w:val="22"/>
        </w:rPr>
        <w:t xml:space="preserve"> </w:t>
      </w:r>
      <w:r w:rsidRPr="00F05DC0">
        <w:rPr>
          <w:szCs w:val="22"/>
          <w:lang w:eastAsia="en-US"/>
        </w:rPr>
        <w:t>is contained in the Annex to the present document</w:t>
      </w:r>
      <w:r>
        <w:rPr>
          <w:szCs w:val="22"/>
          <w:lang w:eastAsia="en-US"/>
        </w:rPr>
        <w:t>.</w:t>
      </w:r>
    </w:p>
    <w:p w:rsidR="00E065DF" w:rsidRPr="00F05DC0" w:rsidRDefault="00E065DF" w:rsidP="00E065DF">
      <w:pPr>
        <w:rPr>
          <w:szCs w:val="22"/>
          <w:lang w:eastAsia="en-US"/>
        </w:rPr>
      </w:pPr>
    </w:p>
    <w:p w:rsidR="00E065DF" w:rsidRPr="00F05DC0" w:rsidRDefault="00E065DF" w:rsidP="00E065DF">
      <w:pPr>
        <w:rPr>
          <w:szCs w:val="22"/>
        </w:rPr>
      </w:pPr>
      <w:r>
        <w:rPr>
          <w:szCs w:val="22"/>
          <w:lang w:eastAsia="en-US"/>
        </w:rPr>
        <w:t>4</w:t>
      </w:r>
      <w:r w:rsidRPr="00F05DC0">
        <w:rPr>
          <w:szCs w:val="22"/>
          <w:lang w:eastAsia="en-US"/>
        </w:rPr>
        <w:t>.</w:t>
      </w:r>
      <w:r w:rsidRPr="00F05DC0">
        <w:rPr>
          <w:szCs w:val="22"/>
          <w:lang w:eastAsia="en-US"/>
        </w:rPr>
        <w:tab/>
      </w:r>
      <w:r w:rsidRPr="00F05DC0">
        <w:rPr>
          <w:szCs w:val="22"/>
        </w:rPr>
        <w:t xml:space="preserve">The </w:t>
      </w:r>
      <w:r>
        <w:rPr>
          <w:szCs w:val="22"/>
        </w:rPr>
        <w:t>glossary</w:t>
      </w:r>
      <w:r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w:t>
      </w:r>
      <w:r>
        <w:rPr>
          <w:szCs w:val="22"/>
        </w:rPr>
        <w:t>rk programs of WIPO.  That said</w:t>
      </w:r>
      <w:r w:rsidRPr="00F05DC0">
        <w:rPr>
          <w:szCs w:val="22"/>
        </w:rPr>
        <w:t xml:space="preserve"> the proposed definitions are not exhaustive.  Other terms may also be relevant to intellectual property and genetic resources, traditional knowledge, and traditional cultural expressions and the terms selected may also be defined in other ways. </w:t>
      </w:r>
    </w:p>
    <w:p w:rsidR="00E065DF" w:rsidRPr="00F05DC0" w:rsidRDefault="00E065DF" w:rsidP="00E065DF">
      <w:pPr>
        <w:rPr>
          <w:szCs w:val="22"/>
          <w:lang w:eastAsia="en-US"/>
        </w:rPr>
      </w:pPr>
    </w:p>
    <w:p w:rsidR="00E065DF" w:rsidRDefault="00E065DF" w:rsidP="00E065DF">
      <w:pPr>
        <w:contextualSpacing/>
        <w:rPr>
          <w:szCs w:val="22"/>
        </w:rPr>
      </w:pPr>
      <w:r>
        <w:rPr>
          <w:szCs w:val="22"/>
        </w:rPr>
        <w:t>5</w:t>
      </w:r>
      <w:r w:rsidRPr="00F05DC0">
        <w:rPr>
          <w:szCs w:val="22"/>
        </w:rPr>
        <w:t>.</w:t>
      </w:r>
      <w:r w:rsidRPr="00F05DC0">
        <w:rPr>
          <w:szCs w:val="22"/>
        </w:rPr>
        <w:tab/>
        <w:t xml:space="preserve">The selection of key terms is based on the terms used most frequently in the draft </w:t>
      </w:r>
      <w:r>
        <w:rPr>
          <w:szCs w:val="22"/>
        </w:rPr>
        <w:t>IGC texts</w:t>
      </w:r>
      <w:r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E065DF" w:rsidRDefault="00E065DF" w:rsidP="00E065DF">
      <w:pPr>
        <w:contextualSpacing/>
        <w:rPr>
          <w:szCs w:val="22"/>
        </w:rPr>
      </w:pPr>
    </w:p>
    <w:p w:rsidR="00E065DF" w:rsidRPr="006B0488" w:rsidRDefault="00E065DF" w:rsidP="006B0488">
      <w:pPr>
        <w:pStyle w:val="DecisionInvitingPara"/>
        <w:ind w:left="5533"/>
        <w:rPr>
          <w:rFonts w:cs="Arial"/>
          <w:sz w:val="22"/>
          <w:szCs w:val="22"/>
        </w:rPr>
      </w:pPr>
      <w:r>
        <w:rPr>
          <w:rFonts w:cs="Arial"/>
          <w:sz w:val="22"/>
          <w:szCs w:val="22"/>
        </w:rPr>
        <w:t>6</w:t>
      </w:r>
      <w:r w:rsidRPr="00F05DC0">
        <w:rPr>
          <w:rFonts w:cs="Arial"/>
          <w:sz w:val="22"/>
          <w:szCs w:val="22"/>
        </w:rPr>
        <w:t>.</w:t>
      </w:r>
      <w:r w:rsidRPr="006B0488">
        <w:rPr>
          <w:rFonts w:cs="Arial"/>
          <w:sz w:val="22"/>
          <w:szCs w:val="22"/>
        </w:rPr>
        <w:tab/>
        <w:t>The IGC is invited to take note of this document and the Annex to it.</w:t>
      </w:r>
    </w:p>
    <w:p w:rsidR="00E065DF" w:rsidRPr="00F05DC0" w:rsidRDefault="00E065DF" w:rsidP="006B0488">
      <w:pPr>
        <w:rPr>
          <w:i/>
          <w:szCs w:val="22"/>
        </w:rPr>
      </w:pPr>
    </w:p>
    <w:p w:rsidR="00E065DF" w:rsidRDefault="00E065DF" w:rsidP="006B0488">
      <w:pPr>
        <w:pStyle w:val="Endofdocument"/>
        <w:spacing w:after="0" w:line="240" w:lineRule="auto"/>
        <w:ind w:left="4966" w:firstLine="567"/>
        <w:jc w:val="left"/>
        <w:rPr>
          <w:sz w:val="22"/>
          <w:szCs w:val="22"/>
        </w:rPr>
      </w:pPr>
      <w:r w:rsidRPr="00F05DC0">
        <w:rPr>
          <w:sz w:val="22"/>
          <w:szCs w:val="22"/>
        </w:rPr>
        <w:t>[Annex follows]</w:t>
      </w:r>
    </w:p>
    <w:p w:rsidR="006B0488" w:rsidRDefault="006B0488" w:rsidP="006B0488">
      <w:pPr>
        <w:sectPr w:rsidR="006B0488" w:rsidSect="00E065DF">
          <w:headerReference w:type="default" r:id="rId9"/>
          <w:endnotePr>
            <w:numFmt w:val="decimal"/>
          </w:endnotePr>
          <w:pgSz w:w="11907" w:h="16840" w:code="9"/>
          <w:pgMar w:top="567" w:right="1134" w:bottom="1418" w:left="1418" w:header="510" w:footer="1021" w:gutter="0"/>
          <w:cols w:space="720"/>
          <w:titlePg/>
          <w:docGrid w:linePitch="299"/>
        </w:sectPr>
      </w:pPr>
    </w:p>
    <w:p w:rsidR="006B0488" w:rsidRPr="006B0488" w:rsidRDefault="006B0488" w:rsidP="006B0488">
      <w:r w:rsidRPr="006B0488">
        <w:lastRenderedPageBreak/>
        <w:t>GLOSSARY OF KEY TERMS RELATED TO INTELLECTUAL PROPERTY AND GENETIC RESOURCES, TRADITIONAL KNOWLEDGE AND TRADITIONAL CULTURAL EXPRESSIONS</w:t>
      </w:r>
    </w:p>
    <w:p w:rsidR="006B0488" w:rsidRPr="006B0488" w:rsidRDefault="006B0488" w:rsidP="006B0488"/>
    <w:p w:rsidR="006B0488" w:rsidRDefault="006B0488" w:rsidP="006B0488">
      <w:pPr>
        <w:rPr>
          <w:b/>
        </w:rPr>
        <w:sectPr w:rsidR="006B0488" w:rsidSect="00E065DF">
          <w:headerReference w:type="first" r:id="rId10"/>
          <w:endnotePr>
            <w:numFmt w:val="decimal"/>
          </w:endnotePr>
          <w:pgSz w:w="11907" w:h="16840" w:code="9"/>
          <w:pgMar w:top="567" w:right="1134" w:bottom="1418" w:left="1418" w:header="510" w:footer="1021" w:gutter="0"/>
          <w:cols w:space="720"/>
          <w:titlePg/>
          <w:docGrid w:linePitch="299"/>
        </w:sectPr>
      </w:pPr>
      <w:r w:rsidRPr="006B0488">
        <w:rPr>
          <w:b/>
        </w:rPr>
        <w:t>Access and Benefit-sharing</w:t>
      </w:r>
    </w:p>
    <w:p w:rsidR="006B0488" w:rsidRDefault="006B0488" w:rsidP="006B0488">
      <w:pPr>
        <w:rPr>
          <w:b/>
        </w:rPr>
      </w:pPr>
    </w:p>
    <w:p w:rsidR="006B0488" w:rsidRPr="006B0488" w:rsidRDefault="006B0488" w:rsidP="006B0488">
      <w:r w:rsidRPr="006B0488">
        <w:t xml:space="preserve">Article 1 of the </w:t>
      </w:r>
      <w:r w:rsidRPr="006B0488">
        <w:rPr>
          <w:i/>
        </w:rPr>
        <w:t xml:space="preserve">Convention on Biological Diversity </w:t>
      </w:r>
      <w:r w:rsidRPr="006B0488">
        <w:t xml:space="preserve">(1992) prescribes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6B0488" w:rsidRPr="006B0488" w:rsidRDefault="006B0488" w:rsidP="006B0488"/>
    <w:p w:rsidR="006B0488" w:rsidRPr="006B0488" w:rsidRDefault="006B0488" w:rsidP="006B0488">
      <w:r w:rsidRPr="006B0488">
        <w:rPr>
          <w:lang w:val="en-GB"/>
        </w:rPr>
        <w:t xml:space="preserve">The </w:t>
      </w:r>
      <w:r w:rsidRPr="006B0488">
        <w:rPr>
          <w:i/>
          <w:lang w:val="en-GB"/>
        </w:rPr>
        <w:t xml:space="preserve">Nagoya Protocol on Access to Genetic Resources and the Fair and Equitable Sharing of Benefits Arising from their Utilization to the Convention on Biological Diversity </w:t>
      </w:r>
      <w:r w:rsidRPr="006B0488">
        <w:rPr>
          <w:lang w:val="en-GB"/>
        </w:rPr>
        <w:t xml:space="preserve">(2010) </w:t>
      </w:r>
      <w:r w:rsidRPr="006B0488">
        <w:t>aims to “</w:t>
      </w:r>
      <w:r w:rsidRPr="006B0488">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6B0488">
        <w:t>”  According to Article 3, the Protocol “shall also apply to traditional knowledge associated with genetic resources within the scope of the Convention and to the benefits arising from the utilization of such knowledge</w:t>
      </w:r>
      <w:r w:rsidRPr="006B0488">
        <w:rPr>
          <w:i/>
        </w:rPr>
        <w:t>.</w:t>
      </w:r>
      <w:r w:rsidRPr="006B0488">
        <w:t>”</w:t>
      </w:r>
    </w:p>
    <w:p w:rsidR="006B0488" w:rsidRPr="006B0488" w:rsidRDefault="006B0488" w:rsidP="006B0488"/>
    <w:p w:rsidR="006B0488" w:rsidRPr="006B0488" w:rsidRDefault="006B0488" w:rsidP="006B0488">
      <w:r w:rsidRPr="006B0488">
        <w:t xml:space="preserve">For plant genetic resources for food and agriculture, the </w:t>
      </w:r>
      <w:r w:rsidRPr="006B0488">
        <w:rPr>
          <w:i/>
        </w:rPr>
        <w:t>International Treaty on Plant Genetic Resources</w:t>
      </w:r>
      <w:r w:rsidRPr="006B0488">
        <w:t xml:space="preserve"> </w:t>
      </w:r>
      <w:r w:rsidRPr="006B0488">
        <w:rPr>
          <w:i/>
        </w:rPr>
        <w:t>for Food and Agriculture</w:t>
      </w:r>
      <w:r w:rsidRPr="006B0488">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6B0488" w:rsidRPr="006B0488" w:rsidRDefault="006B0488" w:rsidP="006B0488"/>
    <w:p w:rsidR="006B0488" w:rsidRPr="006B0488" w:rsidRDefault="006B0488" w:rsidP="006B0488">
      <w:r w:rsidRPr="006B0488">
        <w:t xml:space="preserve">“Access” is defined in Article 1 of the </w:t>
      </w:r>
      <w:r w:rsidRPr="006B0488">
        <w:rPr>
          <w:i/>
        </w:rPr>
        <w:t>Decision 391</w:t>
      </w:r>
      <w:r w:rsidRPr="006B0488">
        <w:t xml:space="preserve"> </w:t>
      </w:r>
      <w:r w:rsidRPr="006B0488">
        <w:rPr>
          <w:i/>
        </w:rPr>
        <w:t>on Access to Genetic Resources of Andean Community</w:t>
      </w:r>
      <w:r w:rsidRPr="006B0488">
        <w:t xml:space="preserve"> (1996)</w:t>
      </w:r>
      <w:r w:rsidRPr="006B0488" w:rsidDel="009A112A">
        <w:rPr>
          <w:i/>
        </w:rPr>
        <w:t xml:space="preserve"> </w:t>
      </w:r>
      <w:r w:rsidRPr="006B0488">
        <w:t xml:space="preserve">as “the obtaining and use of genetic resources conserved </w:t>
      </w:r>
      <w:r w:rsidRPr="006B0488">
        <w:rPr>
          <w:i/>
        </w:rPr>
        <w:t>in situ</w:t>
      </w:r>
      <w:r w:rsidRPr="006B0488">
        <w:t xml:space="preserve"> and </w:t>
      </w:r>
      <w:r w:rsidRPr="006B0488">
        <w:rPr>
          <w:i/>
        </w:rPr>
        <w:t>ex situ</w:t>
      </w:r>
      <w:r w:rsidRPr="006B0488">
        <w:t>, of their by-products and, if applicable, of their intangible components, for purposes of research, biological prospecting, conservation, industrial application and commercial use, among other things.”</w:t>
      </w:r>
    </w:p>
    <w:p w:rsidR="006B0488" w:rsidRPr="006B0488" w:rsidRDefault="006B0488" w:rsidP="006B0488"/>
    <w:p w:rsidR="006B0488" w:rsidRPr="006B0488" w:rsidRDefault="006B0488" w:rsidP="006B0488">
      <w:r w:rsidRPr="006B0488">
        <w:t xml:space="preserve">Benefits may include monetary and non-monetary benefits, including but not limited to those listed in the Annex to the </w:t>
      </w:r>
      <w:r w:rsidRPr="006B0488">
        <w:rPr>
          <w:i/>
        </w:rPr>
        <w:t>Nagoya Protocol</w:t>
      </w:r>
      <w:r w:rsidRPr="006B0488">
        <w:t>.</w:t>
      </w:r>
      <w:r w:rsidRPr="006B0488">
        <w:rPr>
          <w:vertAlign w:val="superscript"/>
        </w:rPr>
        <w:footnoteReference w:id="4"/>
      </w:r>
      <w:r w:rsidRPr="006B0488">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6B0488">
        <w:rPr>
          <w:vertAlign w:val="superscript"/>
        </w:rPr>
        <w:footnoteReference w:id="5"/>
      </w:r>
    </w:p>
    <w:p w:rsidR="006B0488" w:rsidRPr="006B0488" w:rsidRDefault="006B0488" w:rsidP="006B0488">
      <w:pPr>
        <w:rPr>
          <w:b/>
        </w:rPr>
      </w:pPr>
    </w:p>
    <w:p w:rsidR="006B0488" w:rsidRPr="006B0488" w:rsidRDefault="006B0488" w:rsidP="006B0488">
      <w:pPr>
        <w:rPr>
          <w:b/>
        </w:rPr>
      </w:pPr>
      <w:r w:rsidRPr="006B0488">
        <w:rPr>
          <w:b/>
        </w:rPr>
        <w:t>Adaptation</w:t>
      </w:r>
    </w:p>
    <w:p w:rsidR="006B0488" w:rsidRPr="006B0488" w:rsidRDefault="006B0488" w:rsidP="006B0488">
      <w:pPr>
        <w:rPr>
          <w:b/>
        </w:rPr>
      </w:pPr>
    </w:p>
    <w:p w:rsidR="002928D3" w:rsidRDefault="006B0488" w:rsidP="006B0488">
      <w:pPr>
        <w:rPr>
          <w:szCs w:val="22"/>
        </w:rPr>
      </w:pPr>
      <w:r w:rsidRPr="006B0488">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6" w:name="_Ref289433821"/>
      <w:r w:rsidRPr="006B0488">
        <w:rPr>
          <w:vertAlign w:val="superscript"/>
        </w:rPr>
        <w:footnoteReference w:id="6"/>
      </w:r>
      <w:bookmarkEnd w:id="6"/>
      <w:r w:rsidRPr="006B0488">
        <w:t xml:space="preserve">  Article 12 of the </w:t>
      </w:r>
      <w:r w:rsidRPr="006B0488">
        <w:rPr>
          <w:i/>
        </w:rPr>
        <w:t>Berne Convention for the Protection of Literary and Artistic Works</w:t>
      </w:r>
      <w:r w:rsidRPr="006B0488">
        <w:t xml:space="preserve"> (1971) provides that authors o</w:t>
      </w:r>
      <w:r>
        <w:t xml:space="preserve">f </w:t>
      </w:r>
      <w:r w:rsidRPr="00F05DC0">
        <w:rPr>
          <w:szCs w:val="22"/>
        </w:rPr>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w:t>
      </w:r>
      <w:r w:rsidRPr="00F05DC0">
        <w:rPr>
          <w:szCs w:val="22"/>
        </w:rPr>
        <w:lastRenderedPageBreak/>
        <w:t xml:space="preserve">copyright holders have the exclusive right to prepare derivative works, or adaptations, based on the protected work.  </w:t>
      </w:r>
    </w:p>
    <w:p w:rsidR="006B0488" w:rsidRDefault="006B0488" w:rsidP="006B0488">
      <w:pPr>
        <w:rPr>
          <w:szCs w:val="22"/>
        </w:rPr>
      </w:pPr>
    </w:p>
    <w:p w:rsidR="006B0488" w:rsidRDefault="006B0488" w:rsidP="006B0488">
      <w:pPr>
        <w:spacing w:line="260" w:lineRule="atLeast"/>
        <w:rPr>
          <w:b/>
          <w:szCs w:val="22"/>
        </w:rPr>
      </w:pPr>
      <w:r>
        <w:rPr>
          <w:b/>
          <w:szCs w:val="22"/>
        </w:rPr>
        <w:t xml:space="preserve">Alternative Dispute Resolution </w:t>
      </w:r>
    </w:p>
    <w:p w:rsidR="006B0488" w:rsidRDefault="006B0488" w:rsidP="006B0488">
      <w:pPr>
        <w:spacing w:line="260" w:lineRule="atLeast"/>
        <w:rPr>
          <w:b/>
          <w:szCs w:val="22"/>
        </w:rPr>
      </w:pPr>
    </w:p>
    <w:p w:rsidR="006B0488" w:rsidRPr="006E4B84" w:rsidRDefault="006B0488" w:rsidP="006B0488">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ADR is characterized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6B0488" w:rsidRPr="006E4B84" w:rsidRDefault="006B0488" w:rsidP="006B0488">
      <w:pPr>
        <w:autoSpaceDE w:val="0"/>
        <w:autoSpaceDN w:val="0"/>
        <w:adjustRightInd w:val="0"/>
        <w:rPr>
          <w:rFonts w:ascii="HelveticaNeueLTStd-Roman" w:hAnsi="HelveticaNeueLTStd-Roman" w:cs="HelveticaNeueLTStd-Roman"/>
          <w:sz w:val="18"/>
          <w:szCs w:val="18"/>
        </w:rPr>
      </w:pPr>
      <w:r>
        <w:rPr>
          <w:szCs w:val="22"/>
        </w:rPr>
        <w:t>Issues related to traditional knowledge are often intricately intertwined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rsidR="006B0488" w:rsidRPr="00515BE0" w:rsidRDefault="006B0488" w:rsidP="006B0488">
      <w:pPr>
        <w:spacing w:line="260" w:lineRule="atLeast"/>
        <w:rPr>
          <w:szCs w:val="22"/>
        </w:rPr>
      </w:pPr>
    </w:p>
    <w:p w:rsidR="006B0488" w:rsidRPr="00F05DC0" w:rsidRDefault="006B0488" w:rsidP="006B0488">
      <w:pPr>
        <w:spacing w:line="260" w:lineRule="atLeast"/>
        <w:rPr>
          <w:b/>
          <w:szCs w:val="22"/>
        </w:rPr>
      </w:pPr>
      <w:r>
        <w:rPr>
          <w:b/>
          <w:szCs w:val="22"/>
        </w:rPr>
        <w:t>Approval and I</w:t>
      </w:r>
      <w:r w:rsidRPr="00F05DC0">
        <w:rPr>
          <w:b/>
          <w:szCs w:val="22"/>
        </w:rPr>
        <w:t>nvolvement</w:t>
      </w:r>
    </w:p>
    <w:p w:rsidR="006B0488" w:rsidRPr="00F05DC0" w:rsidRDefault="006B0488" w:rsidP="006B0488">
      <w:pPr>
        <w:spacing w:line="260" w:lineRule="atLeast"/>
        <w:rPr>
          <w:b/>
          <w:szCs w:val="22"/>
        </w:rPr>
      </w:pPr>
    </w:p>
    <w:p w:rsidR="006B0488" w:rsidRPr="00F05DC0" w:rsidRDefault="006B0488" w:rsidP="006B0488">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6B0488" w:rsidRPr="00F05DC0" w:rsidRDefault="006B0488" w:rsidP="006B0488">
      <w:pPr>
        <w:rPr>
          <w:szCs w:val="22"/>
        </w:rPr>
      </w:pPr>
    </w:p>
    <w:p w:rsidR="006B0488" w:rsidRPr="00F05DC0" w:rsidRDefault="006B0488" w:rsidP="006B0488">
      <w:pPr>
        <w:spacing w:line="260" w:lineRule="atLeast"/>
        <w:rPr>
          <w:b/>
          <w:szCs w:val="22"/>
        </w:rPr>
      </w:pPr>
      <w:r w:rsidRPr="00F05DC0">
        <w:rPr>
          <w:b/>
          <w:szCs w:val="22"/>
        </w:rPr>
        <w:t>Beneficiaries</w:t>
      </w:r>
    </w:p>
    <w:p w:rsidR="006B0488" w:rsidRPr="00F05DC0" w:rsidRDefault="006B0488" w:rsidP="006B0488">
      <w:pPr>
        <w:spacing w:line="260" w:lineRule="atLeast"/>
        <w:rPr>
          <w:b/>
          <w:szCs w:val="22"/>
        </w:rPr>
      </w:pPr>
    </w:p>
    <w:p w:rsidR="006B0488" w:rsidRPr="00F05DC0" w:rsidRDefault="006B0488" w:rsidP="006B0488">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10"/>
      </w:r>
    </w:p>
    <w:p w:rsidR="006B0488" w:rsidRPr="00F05DC0" w:rsidRDefault="006B0488" w:rsidP="006B0488">
      <w:pPr>
        <w:spacing w:line="260" w:lineRule="atLeast"/>
        <w:rPr>
          <w:szCs w:val="22"/>
        </w:rPr>
      </w:pPr>
    </w:p>
    <w:p w:rsidR="006B0488" w:rsidRPr="00F05DC0" w:rsidRDefault="006B0488" w:rsidP="006B0488">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6B0488" w:rsidRPr="00F05DC0" w:rsidRDefault="006B0488" w:rsidP="006B0488">
      <w:pPr>
        <w:spacing w:line="260" w:lineRule="atLeast"/>
        <w:rPr>
          <w:szCs w:val="22"/>
        </w:rPr>
      </w:pPr>
    </w:p>
    <w:p w:rsidR="006B0488" w:rsidRPr="00F05DC0" w:rsidRDefault="006B0488" w:rsidP="006B0488">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6B0488" w:rsidRPr="00F05DC0" w:rsidRDefault="006B0488" w:rsidP="006B0488">
      <w:pPr>
        <w:spacing w:line="260" w:lineRule="atLeast"/>
        <w:rPr>
          <w:rStyle w:val="Strong"/>
          <w:szCs w:val="22"/>
        </w:rPr>
      </w:pPr>
      <w:r>
        <w:rPr>
          <w:rStyle w:val="Strong"/>
          <w:szCs w:val="22"/>
        </w:rPr>
        <w:br w:type="page"/>
      </w:r>
      <w:r w:rsidRPr="00F05DC0">
        <w:rPr>
          <w:rStyle w:val="Strong"/>
          <w:szCs w:val="22"/>
        </w:rPr>
        <w:lastRenderedPageBreak/>
        <w:t xml:space="preserve">Biological Diversity </w:t>
      </w:r>
    </w:p>
    <w:p w:rsidR="006B0488" w:rsidRPr="00F05DC0" w:rsidRDefault="006B0488" w:rsidP="006B0488">
      <w:pPr>
        <w:spacing w:line="260" w:lineRule="atLeast"/>
        <w:rPr>
          <w:rStyle w:val="Strong"/>
          <w:szCs w:val="22"/>
        </w:rPr>
      </w:pPr>
    </w:p>
    <w:p w:rsidR="006B0488" w:rsidRPr="00DD311D" w:rsidRDefault="006B0488" w:rsidP="006B0488">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6B0488" w:rsidRPr="00F05DC0" w:rsidRDefault="006B0488" w:rsidP="006B0488">
      <w:pPr>
        <w:spacing w:line="260" w:lineRule="atLeast"/>
        <w:rPr>
          <w:snapToGrid w:val="0"/>
          <w:szCs w:val="22"/>
        </w:rPr>
      </w:pPr>
    </w:p>
    <w:p w:rsidR="006B0488" w:rsidRPr="00F05DC0" w:rsidRDefault="006B0488" w:rsidP="006B0488">
      <w:pPr>
        <w:spacing w:line="260" w:lineRule="atLeast"/>
        <w:rPr>
          <w:b/>
          <w:szCs w:val="22"/>
        </w:rPr>
      </w:pPr>
      <w:r w:rsidRPr="00F05DC0">
        <w:rPr>
          <w:b/>
          <w:szCs w:val="22"/>
        </w:rPr>
        <w:t>Biological Resources</w:t>
      </w:r>
    </w:p>
    <w:p w:rsidR="006B0488" w:rsidRPr="00F05DC0" w:rsidRDefault="006B0488" w:rsidP="006B0488">
      <w:pPr>
        <w:spacing w:line="260" w:lineRule="atLeast"/>
        <w:rPr>
          <w:b/>
          <w:szCs w:val="22"/>
        </w:rPr>
      </w:pPr>
    </w:p>
    <w:p w:rsidR="006B0488" w:rsidRPr="00F05DC0" w:rsidRDefault="006B0488" w:rsidP="006B0488">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6B0488" w:rsidRPr="00F05DC0" w:rsidRDefault="006B0488" w:rsidP="006B0488">
      <w:pPr>
        <w:spacing w:line="260" w:lineRule="atLeast"/>
        <w:rPr>
          <w:szCs w:val="22"/>
        </w:rPr>
      </w:pPr>
    </w:p>
    <w:p w:rsidR="006B0488" w:rsidRPr="00F05DC0" w:rsidRDefault="006B0488" w:rsidP="006B0488">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6B0488" w:rsidRDefault="006B0488" w:rsidP="006B0488">
      <w:pPr>
        <w:spacing w:line="260" w:lineRule="atLeast"/>
        <w:rPr>
          <w:snapToGrid w:val="0"/>
          <w:szCs w:val="22"/>
        </w:rPr>
      </w:pPr>
    </w:p>
    <w:p w:rsidR="006B0488" w:rsidRPr="007E3B38" w:rsidRDefault="006B0488" w:rsidP="006B0488">
      <w:pPr>
        <w:spacing w:line="260" w:lineRule="atLeast"/>
        <w:rPr>
          <w:szCs w:val="22"/>
        </w:rPr>
      </w:pPr>
      <w:r w:rsidRPr="007E3B38">
        <w:rPr>
          <w:rStyle w:val="Emphasis"/>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6B0488" w:rsidRPr="007E3B38" w:rsidRDefault="006B0488" w:rsidP="006B0488">
      <w:pPr>
        <w:spacing w:line="260" w:lineRule="atLeast"/>
        <w:rPr>
          <w:szCs w:val="22"/>
        </w:rPr>
      </w:pPr>
    </w:p>
    <w:p w:rsidR="006B0488" w:rsidRPr="007E3B38" w:rsidRDefault="006B0488" w:rsidP="006B0488">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6B0488" w:rsidRPr="00F05DC0" w:rsidRDefault="006B0488" w:rsidP="006B0488">
      <w:pPr>
        <w:spacing w:line="260" w:lineRule="atLeast"/>
        <w:rPr>
          <w:snapToGrid w:val="0"/>
          <w:szCs w:val="22"/>
        </w:rPr>
      </w:pPr>
    </w:p>
    <w:p w:rsidR="006B0488" w:rsidRPr="00F05DC0" w:rsidRDefault="006B0488" w:rsidP="006B0488">
      <w:pPr>
        <w:spacing w:line="260" w:lineRule="atLeast"/>
        <w:rPr>
          <w:b/>
          <w:szCs w:val="22"/>
        </w:rPr>
      </w:pPr>
      <w:r w:rsidRPr="00F05DC0">
        <w:rPr>
          <w:b/>
          <w:szCs w:val="22"/>
        </w:rPr>
        <w:t>Biotechnological Inventions</w:t>
      </w:r>
    </w:p>
    <w:p w:rsidR="006B0488" w:rsidRPr="00F05DC0" w:rsidRDefault="006B0488" w:rsidP="006B0488">
      <w:pPr>
        <w:spacing w:line="260" w:lineRule="atLeast"/>
        <w:rPr>
          <w:b/>
          <w:snapToGrid w:val="0"/>
          <w:szCs w:val="22"/>
        </w:rPr>
      </w:pPr>
    </w:p>
    <w:p w:rsidR="006B0488" w:rsidRPr="00F05DC0" w:rsidRDefault="006B0488" w:rsidP="006B0488">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6B0488" w:rsidRPr="00F05DC0" w:rsidRDefault="006B0488" w:rsidP="006B0488">
      <w:pPr>
        <w:spacing w:line="260" w:lineRule="atLeast"/>
        <w:rPr>
          <w:szCs w:val="22"/>
        </w:rPr>
      </w:pPr>
    </w:p>
    <w:p w:rsidR="006B0488" w:rsidRPr="00F05DC0" w:rsidRDefault="006B0488" w:rsidP="006B0488">
      <w:pPr>
        <w:spacing w:line="260" w:lineRule="atLeast"/>
        <w:rPr>
          <w:rStyle w:val="Strong"/>
          <w:szCs w:val="22"/>
        </w:rPr>
      </w:pPr>
      <w:r w:rsidRPr="00F05DC0">
        <w:rPr>
          <w:rStyle w:val="Strong"/>
          <w:szCs w:val="22"/>
        </w:rPr>
        <w:t>Biotechnology</w:t>
      </w:r>
    </w:p>
    <w:p w:rsidR="006B0488" w:rsidRPr="00F05DC0" w:rsidRDefault="006B0488" w:rsidP="006B0488">
      <w:pPr>
        <w:spacing w:line="260" w:lineRule="atLeast"/>
        <w:rPr>
          <w:rStyle w:val="Strong"/>
          <w:szCs w:val="22"/>
        </w:rPr>
      </w:pPr>
    </w:p>
    <w:p w:rsidR="006B0488" w:rsidRPr="00F05DC0" w:rsidRDefault="006B0488" w:rsidP="006B0488">
      <w:pPr>
        <w:spacing w:line="260" w:lineRule="atLeast"/>
        <w:rPr>
          <w:rStyle w:val="Emphasis"/>
          <w:i w:val="0"/>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rPr>
        <w:t xml:space="preserve">any technological application that uses biological systems, living organisms, or derivatives thereof, to make or modify products or processes for specific use.” </w:t>
      </w:r>
      <w:r>
        <w:rPr>
          <w:rStyle w:val="Emphasis"/>
        </w:rPr>
        <w:t xml:space="preserve"> </w:t>
      </w:r>
      <w:r w:rsidRPr="00F05DC0">
        <w:rPr>
          <w:rStyle w:val="Emphasis"/>
        </w:rPr>
        <w:t xml:space="preserve">The Nagoya Protocol on Access to Genetic Resources and the Fair and Equitable Sharing of Benefits Arising from their Utilization to the Convention on Biological Diversity (2010) uses the same definition in its Article 2. </w:t>
      </w:r>
    </w:p>
    <w:p w:rsidR="006B0488" w:rsidRPr="00F05DC0" w:rsidRDefault="006B0488" w:rsidP="006B0488">
      <w:pPr>
        <w:spacing w:line="260" w:lineRule="atLeast"/>
        <w:rPr>
          <w:rStyle w:val="Emphasis"/>
          <w:i w:val="0"/>
        </w:rPr>
      </w:pPr>
    </w:p>
    <w:p w:rsidR="006B0488" w:rsidRPr="00F05DC0" w:rsidRDefault="006B0488" w:rsidP="006B0488">
      <w:pPr>
        <w:autoSpaceDE w:val="0"/>
        <w:autoSpaceDN w:val="0"/>
        <w:adjustRightInd w:val="0"/>
        <w:spacing w:line="260" w:lineRule="atLeast"/>
        <w:rPr>
          <w:snapToGrid w:val="0"/>
          <w:szCs w:val="22"/>
        </w:rPr>
      </w:pPr>
      <w:r w:rsidRPr="00F05DC0">
        <w:rPr>
          <w:szCs w:val="22"/>
        </w:rPr>
        <w:lastRenderedPageBreak/>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6B0488" w:rsidRPr="00F05DC0" w:rsidRDefault="006B0488" w:rsidP="006B0488">
      <w:pPr>
        <w:autoSpaceDE w:val="0"/>
        <w:autoSpaceDN w:val="0"/>
        <w:adjustRightInd w:val="0"/>
        <w:spacing w:line="260" w:lineRule="atLeast"/>
        <w:rPr>
          <w:snapToGrid w:val="0"/>
          <w:szCs w:val="22"/>
        </w:rPr>
      </w:pPr>
    </w:p>
    <w:p w:rsidR="006B0488" w:rsidRDefault="006B0488" w:rsidP="006B0488">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6B0488" w:rsidRPr="00F05DC0" w:rsidRDefault="006B0488" w:rsidP="006B0488">
      <w:pPr>
        <w:autoSpaceDE w:val="0"/>
        <w:autoSpaceDN w:val="0"/>
        <w:adjustRightInd w:val="0"/>
        <w:spacing w:line="260" w:lineRule="atLeast"/>
        <w:rPr>
          <w:snapToGrid w:val="0"/>
          <w:szCs w:val="22"/>
        </w:rPr>
      </w:pPr>
      <w:r w:rsidRPr="00F05DC0">
        <w:rPr>
          <w:snapToGrid w:val="0"/>
          <w:szCs w:val="22"/>
        </w:rPr>
        <w:t xml:space="preserve">a)  in vitro nucleic acid techniques, including recombinant deoxyribonucleic acid (DNA) and direct injection of nucleic acid into cells or organelles, or </w:t>
      </w:r>
      <w:proofErr w:type="gramStart"/>
      <w:r w:rsidRPr="00F05DC0">
        <w:rPr>
          <w:snapToGrid w:val="0"/>
          <w:szCs w:val="22"/>
        </w:rPr>
        <w:t>b)  fusion</w:t>
      </w:r>
      <w:proofErr w:type="gramEnd"/>
      <w:r w:rsidRPr="00F05DC0">
        <w:rPr>
          <w:snapToGrid w:val="0"/>
          <w:szCs w:val="22"/>
        </w:rPr>
        <w:t xml:space="preserve"> of cells beyond the taxonomic family, that overcome natural physiological reproductive or recombination barriers and that are not techniques used in traditional breeding and selection.”</w:t>
      </w:r>
    </w:p>
    <w:p w:rsidR="006B0488" w:rsidRPr="00F05DC0" w:rsidRDefault="006B0488" w:rsidP="006B0488">
      <w:pPr>
        <w:autoSpaceDE w:val="0"/>
        <w:autoSpaceDN w:val="0"/>
        <w:adjustRightInd w:val="0"/>
        <w:spacing w:line="260" w:lineRule="atLeast"/>
        <w:rPr>
          <w:snapToGrid w:val="0"/>
          <w:szCs w:val="22"/>
        </w:rPr>
      </w:pPr>
    </w:p>
    <w:p w:rsidR="006B0488" w:rsidRPr="00F05DC0" w:rsidRDefault="006B0488" w:rsidP="006B0488">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Pr="00F05DC0">
        <w:rPr>
          <w:rStyle w:val="Strong"/>
          <w:szCs w:val="22"/>
        </w:rPr>
        <w:t>bioinfo</w:t>
      </w:r>
      <w:r>
        <w:rPr>
          <w:rStyle w:val="Strong"/>
          <w:szCs w:val="22"/>
        </w:rPr>
        <w:t>rmatics” and ”</w:t>
      </w:r>
      <w:proofErr w:type="spellStart"/>
      <w:r>
        <w:rPr>
          <w:rStyle w:val="Strong"/>
          <w:szCs w:val="22"/>
        </w:rPr>
        <w:t>nanobiotechnology</w:t>
      </w:r>
      <w:proofErr w:type="spellEnd"/>
      <w:r w:rsidRPr="00F05DC0">
        <w:rPr>
          <w:rStyle w:val="Strong"/>
          <w:szCs w:val="22"/>
        </w:rPr>
        <w:t>”</w:t>
      </w:r>
      <w:r>
        <w:rPr>
          <w:rStyle w:val="Strong"/>
          <w:szCs w:val="22"/>
        </w:rPr>
        <w:t>.</w:t>
      </w:r>
      <w:r w:rsidRPr="00F05DC0">
        <w:rPr>
          <w:rStyle w:val="FootnoteReference"/>
          <w:szCs w:val="22"/>
        </w:rPr>
        <w:footnoteReference w:id="14"/>
      </w:r>
    </w:p>
    <w:p w:rsidR="006B0488" w:rsidRPr="00F05DC0" w:rsidRDefault="006B0488" w:rsidP="006B0488">
      <w:pPr>
        <w:spacing w:line="260" w:lineRule="atLeast"/>
        <w:rPr>
          <w:szCs w:val="22"/>
        </w:rPr>
      </w:pPr>
    </w:p>
    <w:p w:rsidR="006B0488" w:rsidRPr="00F05DC0" w:rsidRDefault="006B0488" w:rsidP="006B0488">
      <w:pPr>
        <w:spacing w:line="260" w:lineRule="atLeast"/>
        <w:rPr>
          <w:rStyle w:val="Strong"/>
          <w:szCs w:val="22"/>
        </w:rPr>
      </w:pPr>
      <w:r w:rsidRPr="00F05DC0">
        <w:rPr>
          <w:rStyle w:val="Strong"/>
          <w:szCs w:val="22"/>
        </w:rPr>
        <w:t xml:space="preserve">Bonn Guidelines on Access to Genetic Resources and Fair and Equitable Sharing of </w:t>
      </w:r>
      <w:r>
        <w:rPr>
          <w:rStyle w:val="Strong"/>
          <w:szCs w:val="22"/>
        </w:rPr>
        <w:br/>
      </w:r>
      <w:r w:rsidRPr="00F05DC0">
        <w:rPr>
          <w:rStyle w:val="Strong"/>
          <w:szCs w:val="22"/>
        </w:rPr>
        <w:t>the Benefits Arising out of their Utilization</w:t>
      </w:r>
    </w:p>
    <w:p w:rsidR="006B0488" w:rsidRPr="00F05DC0" w:rsidRDefault="006B0488" w:rsidP="006B0488">
      <w:pPr>
        <w:spacing w:line="260" w:lineRule="atLeast"/>
        <w:rPr>
          <w:rStyle w:val="Strong"/>
          <w:szCs w:val="22"/>
        </w:rPr>
      </w:pPr>
    </w:p>
    <w:p w:rsidR="006B0488" w:rsidRPr="00F05DC0" w:rsidRDefault="006B0488" w:rsidP="006B0488">
      <w:pPr>
        <w:tabs>
          <w:tab w:val="num" w:pos="1440"/>
        </w:tabs>
        <w:spacing w:line="260" w:lineRule="atLeast"/>
        <w:rPr>
          <w:bCs/>
          <w:szCs w:val="22"/>
        </w:rPr>
      </w:pPr>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6"/>
      </w:r>
    </w:p>
    <w:p w:rsidR="006B0488" w:rsidRPr="00F05DC0" w:rsidRDefault="006B0488" w:rsidP="006B0488">
      <w:pPr>
        <w:spacing w:line="260" w:lineRule="atLeast"/>
        <w:rPr>
          <w:rStyle w:val="Strong"/>
          <w:b w:val="0"/>
          <w:szCs w:val="22"/>
        </w:rPr>
      </w:pPr>
    </w:p>
    <w:p w:rsidR="006B0488" w:rsidRPr="007E3B38" w:rsidRDefault="006B0488" w:rsidP="006B0488">
      <w:pPr>
        <w:spacing w:line="260" w:lineRule="atLeast"/>
        <w:rPr>
          <w:b/>
          <w:szCs w:val="22"/>
        </w:rPr>
      </w:pPr>
      <w:r w:rsidRPr="007E3B38">
        <w:rPr>
          <w:b/>
          <w:szCs w:val="22"/>
        </w:rPr>
        <w:t>Clearing House Mechanism</w:t>
      </w:r>
    </w:p>
    <w:p w:rsidR="006B0488" w:rsidRPr="007E3B38" w:rsidRDefault="006B0488" w:rsidP="006B0488">
      <w:pPr>
        <w:spacing w:line="260" w:lineRule="atLeast"/>
        <w:rPr>
          <w:b/>
          <w:szCs w:val="22"/>
        </w:rPr>
      </w:pPr>
    </w:p>
    <w:p w:rsidR="006B0488" w:rsidRPr="007E5F16" w:rsidRDefault="006B0488" w:rsidP="006B0488">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are exchanged among member banks so that only the net balances need to be settled in cash. Today, its meaning has been extended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rsidR="006B0488" w:rsidRPr="007E3B38" w:rsidRDefault="006B0488" w:rsidP="006B0488">
      <w:pPr>
        <w:rPr>
          <w:szCs w:val="22"/>
        </w:rPr>
      </w:pPr>
    </w:p>
    <w:p w:rsidR="006B0488" w:rsidRPr="007E3B38" w:rsidRDefault="006B0488" w:rsidP="006B0488">
      <w:pPr>
        <w:pStyle w:val="FootnoteText"/>
        <w:spacing w:line="260" w:lineRule="atLeast"/>
        <w:rPr>
          <w:b/>
          <w:sz w:val="22"/>
          <w:szCs w:val="22"/>
        </w:rPr>
      </w:pPr>
      <w:r>
        <w:rPr>
          <w:b/>
          <w:sz w:val="22"/>
          <w:szCs w:val="22"/>
        </w:rPr>
        <w:br w:type="page"/>
      </w:r>
      <w:r w:rsidRPr="007E3B38">
        <w:rPr>
          <w:b/>
          <w:sz w:val="22"/>
          <w:szCs w:val="22"/>
        </w:rPr>
        <w:lastRenderedPageBreak/>
        <w:t>Codified Traditional Knowledge</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6B0488" w:rsidRDefault="006B0488" w:rsidP="006B0488">
      <w:pPr>
        <w:pStyle w:val="FootnoteText"/>
        <w:spacing w:line="260" w:lineRule="atLeast"/>
        <w:rPr>
          <w:sz w:val="22"/>
          <w:szCs w:val="22"/>
        </w:rPr>
      </w:pPr>
    </w:p>
    <w:p w:rsidR="006B0488" w:rsidRPr="007E3B38" w:rsidRDefault="006B0488" w:rsidP="006B0488">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6B0488" w:rsidRPr="007E3B38" w:rsidRDefault="006B0488" w:rsidP="006B0488">
      <w:pPr>
        <w:pStyle w:val="FootnoteText"/>
        <w:spacing w:line="260" w:lineRule="atLeast"/>
        <w:rPr>
          <w:sz w:val="22"/>
          <w:szCs w:val="22"/>
        </w:rPr>
      </w:pPr>
    </w:p>
    <w:p w:rsidR="006B0488" w:rsidRPr="007E3B38" w:rsidRDefault="006B0488" w:rsidP="006B0488">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6B0488" w:rsidRPr="007E3B38" w:rsidRDefault="006B0488" w:rsidP="006B0488">
      <w:pPr>
        <w:pStyle w:val="FootnoteText"/>
        <w:spacing w:line="260" w:lineRule="atLeast"/>
        <w:rPr>
          <w:b/>
          <w:sz w:val="22"/>
          <w:szCs w:val="22"/>
          <w:lang w:val="en"/>
        </w:rPr>
      </w:pPr>
    </w:p>
    <w:p w:rsidR="006B0488" w:rsidRPr="007E3B38" w:rsidRDefault="006B0488" w:rsidP="006B0488">
      <w:pPr>
        <w:pStyle w:val="FootnoteText"/>
        <w:spacing w:line="260" w:lineRule="atLeast"/>
        <w:rPr>
          <w:b/>
          <w:sz w:val="22"/>
          <w:szCs w:val="22"/>
          <w:lang w:val="en"/>
        </w:rPr>
      </w:pPr>
      <w:r w:rsidRPr="007E3B38">
        <w:rPr>
          <w:b/>
          <w:sz w:val="22"/>
          <w:szCs w:val="22"/>
          <w:lang w:val="en"/>
        </w:rPr>
        <w:t>Consultation</w:t>
      </w:r>
    </w:p>
    <w:p w:rsidR="006B0488" w:rsidRPr="007E3B38" w:rsidRDefault="006B0488" w:rsidP="006B0488">
      <w:pPr>
        <w:pStyle w:val="FootnoteText"/>
        <w:spacing w:line="260" w:lineRule="atLeast"/>
        <w:rPr>
          <w:b/>
          <w:sz w:val="22"/>
          <w:szCs w:val="22"/>
          <w:lang w:val="en"/>
        </w:rPr>
      </w:pPr>
    </w:p>
    <w:p w:rsidR="006B0488" w:rsidRPr="007E3B38" w:rsidRDefault="006B0488" w:rsidP="006B0488">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rsidR="006B0488" w:rsidRPr="007E3B38" w:rsidRDefault="006B0488" w:rsidP="006B0488">
      <w:pPr>
        <w:pStyle w:val="FootnoteText"/>
        <w:spacing w:line="260" w:lineRule="atLeast"/>
        <w:rPr>
          <w:sz w:val="22"/>
          <w:szCs w:val="22"/>
          <w:lang w:val="en"/>
        </w:rPr>
      </w:pPr>
    </w:p>
    <w:p w:rsidR="006B0488" w:rsidRDefault="006B0488" w:rsidP="006B0488">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3"/>
      </w:r>
      <w:bookmarkEnd w:id="7"/>
    </w:p>
    <w:p w:rsidR="006B0488" w:rsidRPr="007E3B38" w:rsidRDefault="006B0488" w:rsidP="006B0488">
      <w:pPr>
        <w:pStyle w:val="FootnoteText"/>
        <w:spacing w:line="260" w:lineRule="atLeast"/>
        <w:rPr>
          <w:sz w:val="22"/>
          <w:szCs w:val="22"/>
          <w:lang w:val="en"/>
        </w:rPr>
      </w:pPr>
    </w:p>
    <w:p w:rsidR="006B0488" w:rsidRPr="007E3B38" w:rsidRDefault="006B0488" w:rsidP="006B0488">
      <w:pPr>
        <w:pStyle w:val="FootnoteText"/>
        <w:spacing w:line="260" w:lineRule="atLeast"/>
        <w:rPr>
          <w:sz w:val="22"/>
          <w:szCs w:val="22"/>
          <w:lang w:val="en"/>
        </w:rPr>
      </w:pPr>
      <w:proofErr w:type="spellStart"/>
      <w:r w:rsidRPr="007E3B38">
        <w:rPr>
          <w:snapToGrid w:val="0"/>
          <w:sz w:val="22"/>
          <w:szCs w:val="22"/>
        </w:rPr>
        <w:lastRenderedPageBreak/>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6B0488" w:rsidRDefault="006B0488" w:rsidP="006B0488">
      <w:pPr>
        <w:rPr>
          <w:szCs w:val="22"/>
        </w:rPr>
      </w:pPr>
    </w:p>
    <w:p w:rsidR="006B0488" w:rsidRPr="007E3B38" w:rsidRDefault="006B0488" w:rsidP="006B0488">
      <w:pPr>
        <w:spacing w:line="260" w:lineRule="atLeast"/>
        <w:rPr>
          <w:b/>
          <w:szCs w:val="22"/>
        </w:rPr>
      </w:pPr>
      <w:r w:rsidRPr="007E3B38">
        <w:rPr>
          <w:b/>
          <w:szCs w:val="22"/>
        </w:rPr>
        <w:t>Convention on Biological Diversity</w:t>
      </w:r>
    </w:p>
    <w:p w:rsidR="006B0488" w:rsidRPr="007E3B38" w:rsidRDefault="006B0488" w:rsidP="006B0488">
      <w:pPr>
        <w:spacing w:line="260" w:lineRule="atLeast"/>
        <w:rPr>
          <w:szCs w:val="22"/>
        </w:rPr>
      </w:pPr>
    </w:p>
    <w:p w:rsidR="006B0488" w:rsidRPr="007E3B38" w:rsidRDefault="006B0488" w:rsidP="006B0488">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Rio de Janeiro, Brazil.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6B0488" w:rsidRPr="007E3B38" w:rsidRDefault="006B0488" w:rsidP="006B0488">
      <w:pPr>
        <w:spacing w:line="260" w:lineRule="atLeast"/>
        <w:rPr>
          <w:snapToGrid w:val="0"/>
          <w:szCs w:val="22"/>
        </w:rPr>
      </w:pPr>
    </w:p>
    <w:p w:rsidR="006B0488" w:rsidRPr="007E3B38" w:rsidRDefault="006B0488" w:rsidP="006B0488">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6B0488" w:rsidRPr="007E3B38" w:rsidRDefault="006B0488" w:rsidP="006B0488">
      <w:pPr>
        <w:spacing w:line="260" w:lineRule="atLeast"/>
        <w:rPr>
          <w:bCs/>
          <w:snapToGrid w:val="0"/>
          <w:szCs w:val="22"/>
        </w:rPr>
      </w:pPr>
    </w:p>
    <w:p w:rsidR="006B0488" w:rsidRPr="007E3B38" w:rsidRDefault="006B0488" w:rsidP="006B0488">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6B0488" w:rsidRPr="007E3B38" w:rsidRDefault="006B0488" w:rsidP="006B0488">
      <w:pPr>
        <w:spacing w:line="260" w:lineRule="atLeast"/>
        <w:rPr>
          <w:snapToGrid w:val="0"/>
          <w:szCs w:val="22"/>
        </w:rPr>
      </w:pPr>
    </w:p>
    <w:p w:rsidR="006B0488" w:rsidRPr="007E3B38" w:rsidRDefault="006B0488" w:rsidP="006B0488">
      <w:pPr>
        <w:spacing w:line="260" w:lineRule="atLeast"/>
        <w:rPr>
          <w:b/>
          <w:szCs w:val="22"/>
        </w:rPr>
      </w:pPr>
      <w:r w:rsidRPr="007E3B38">
        <w:rPr>
          <w:b/>
          <w:szCs w:val="22"/>
        </w:rPr>
        <w:t>Country providing Genetic Resources</w:t>
      </w:r>
    </w:p>
    <w:p w:rsidR="006B0488" w:rsidRPr="007E3B38" w:rsidRDefault="006B0488" w:rsidP="006B0488">
      <w:pPr>
        <w:spacing w:line="260" w:lineRule="atLeast"/>
        <w:rPr>
          <w:b/>
          <w:szCs w:val="22"/>
        </w:rPr>
      </w:pPr>
    </w:p>
    <w:p w:rsidR="006B0488" w:rsidRPr="007E3B38" w:rsidRDefault="006B0488" w:rsidP="006B0488">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6B0488" w:rsidRPr="007E3B38" w:rsidRDefault="006B0488" w:rsidP="006B0488">
      <w:pPr>
        <w:spacing w:line="260" w:lineRule="atLeast"/>
        <w:rPr>
          <w:bCs/>
          <w:szCs w:val="22"/>
        </w:rPr>
      </w:pPr>
    </w:p>
    <w:p w:rsidR="006B0488" w:rsidRPr="007E3B38" w:rsidRDefault="006B0488" w:rsidP="006B0488">
      <w:pPr>
        <w:pStyle w:val="FootnoteText"/>
        <w:spacing w:line="260" w:lineRule="atLeast"/>
        <w:rPr>
          <w:b/>
          <w:sz w:val="22"/>
          <w:szCs w:val="22"/>
          <w:lang w:val="en"/>
        </w:rPr>
      </w:pPr>
      <w:r w:rsidRPr="007E3B38">
        <w:rPr>
          <w:b/>
          <w:sz w:val="22"/>
          <w:szCs w:val="22"/>
          <w:lang w:val="en"/>
        </w:rPr>
        <w:t>Cultural Community</w:t>
      </w:r>
    </w:p>
    <w:p w:rsidR="006B0488" w:rsidRPr="007E3B38" w:rsidRDefault="006B0488" w:rsidP="006B0488">
      <w:pPr>
        <w:pStyle w:val="FootnoteText"/>
        <w:spacing w:line="260" w:lineRule="atLeast"/>
        <w:rPr>
          <w:b/>
          <w:sz w:val="22"/>
          <w:szCs w:val="22"/>
          <w:lang w:val="en"/>
        </w:rPr>
      </w:pPr>
    </w:p>
    <w:p w:rsidR="006B0488" w:rsidRPr="007E3B38" w:rsidRDefault="006B0488" w:rsidP="006B0488">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4"/>
      </w:r>
      <w:bookmarkEnd w:id="8"/>
      <w:r w:rsidRPr="007E3B38">
        <w:rPr>
          <w:sz w:val="22"/>
          <w:szCs w:val="22"/>
          <w:lang w:val="en-GB"/>
        </w:rPr>
        <w:t xml:space="preserve"> </w:t>
      </w:r>
    </w:p>
    <w:p w:rsidR="006B0488" w:rsidRPr="007E3B38" w:rsidRDefault="006B0488" w:rsidP="006B0488">
      <w:pPr>
        <w:rPr>
          <w:szCs w:val="22"/>
          <w:lang w:val="en-GB"/>
        </w:rPr>
      </w:pPr>
    </w:p>
    <w:p w:rsidR="006B0488" w:rsidRPr="007E3B38" w:rsidRDefault="006B0488" w:rsidP="006B0488">
      <w:pPr>
        <w:pStyle w:val="FootnoteText"/>
        <w:spacing w:line="260" w:lineRule="atLeast"/>
        <w:rPr>
          <w:b/>
          <w:sz w:val="22"/>
          <w:szCs w:val="22"/>
          <w:lang w:val="en"/>
        </w:rPr>
      </w:pPr>
      <w:r w:rsidRPr="007E3B38">
        <w:rPr>
          <w:b/>
          <w:sz w:val="22"/>
          <w:szCs w:val="22"/>
          <w:lang w:val="en"/>
        </w:rPr>
        <w:t>Cultural Diversity</w:t>
      </w:r>
    </w:p>
    <w:p w:rsidR="006B0488" w:rsidRPr="007E3B38" w:rsidRDefault="006B0488" w:rsidP="006B0488">
      <w:pPr>
        <w:pStyle w:val="FootnoteText"/>
        <w:spacing w:line="260" w:lineRule="atLeast"/>
        <w:rPr>
          <w:b/>
          <w:sz w:val="22"/>
          <w:szCs w:val="22"/>
          <w:lang w:val="en"/>
        </w:rPr>
      </w:pPr>
    </w:p>
    <w:p w:rsidR="006B0488" w:rsidRPr="007E3B38" w:rsidRDefault="006B0488" w:rsidP="006B0488">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5"/>
      </w:r>
    </w:p>
    <w:p w:rsidR="006B0488" w:rsidRPr="007E3B38" w:rsidRDefault="006B0488" w:rsidP="006B0488">
      <w:pPr>
        <w:rPr>
          <w:b/>
          <w:szCs w:val="22"/>
        </w:rPr>
      </w:pPr>
    </w:p>
    <w:p w:rsidR="006B0488" w:rsidRPr="007E3B38" w:rsidRDefault="006B0488" w:rsidP="006B0488">
      <w:pPr>
        <w:pStyle w:val="FootnoteText"/>
        <w:spacing w:line="260" w:lineRule="atLeast"/>
        <w:rPr>
          <w:b/>
          <w:sz w:val="22"/>
          <w:szCs w:val="22"/>
        </w:rPr>
      </w:pPr>
      <w:r>
        <w:rPr>
          <w:b/>
          <w:sz w:val="22"/>
          <w:szCs w:val="22"/>
        </w:rPr>
        <w:br w:type="page"/>
      </w:r>
      <w:r w:rsidRPr="007E3B38">
        <w:rPr>
          <w:b/>
          <w:sz w:val="22"/>
          <w:szCs w:val="22"/>
        </w:rPr>
        <w:lastRenderedPageBreak/>
        <w:t>Cultural Expressions</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6"/>
      </w:r>
    </w:p>
    <w:p w:rsidR="006B0488" w:rsidRPr="007E3B38" w:rsidRDefault="006B0488" w:rsidP="006B0488">
      <w:pPr>
        <w:rPr>
          <w:szCs w:val="22"/>
        </w:rPr>
      </w:pPr>
    </w:p>
    <w:p w:rsidR="006B0488" w:rsidRPr="007E3B38" w:rsidRDefault="006B0488" w:rsidP="006B0488">
      <w:pPr>
        <w:pStyle w:val="FootnoteText"/>
        <w:spacing w:line="260" w:lineRule="atLeast"/>
        <w:rPr>
          <w:b/>
          <w:snapToGrid w:val="0"/>
          <w:sz w:val="22"/>
          <w:szCs w:val="22"/>
        </w:rPr>
      </w:pPr>
      <w:r w:rsidRPr="007E3B38">
        <w:rPr>
          <w:b/>
          <w:snapToGrid w:val="0"/>
          <w:sz w:val="22"/>
          <w:szCs w:val="22"/>
        </w:rPr>
        <w:t xml:space="preserve">Cultural Heritage </w:t>
      </w:r>
    </w:p>
    <w:p w:rsidR="006B0488" w:rsidRPr="007E3B38" w:rsidRDefault="006B0488" w:rsidP="006B0488">
      <w:pPr>
        <w:pStyle w:val="FootnoteText"/>
        <w:spacing w:line="260" w:lineRule="atLeast"/>
        <w:rPr>
          <w:b/>
          <w:snapToGrid w:val="0"/>
          <w:sz w:val="22"/>
          <w:szCs w:val="22"/>
        </w:rPr>
      </w:pPr>
    </w:p>
    <w:p w:rsidR="006B0488" w:rsidRPr="007E3B38" w:rsidRDefault="006B0488" w:rsidP="006B0488">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is considered as cultural heritage, as outlined in Article 1: </w:t>
      </w:r>
    </w:p>
    <w:p w:rsidR="006B0488" w:rsidRDefault="006B0488" w:rsidP="006B0488">
      <w:pPr>
        <w:pStyle w:val="FootnoteText"/>
        <w:spacing w:line="260" w:lineRule="atLeast"/>
        <w:rPr>
          <w:i/>
          <w:sz w:val="22"/>
          <w:szCs w:val="22"/>
        </w:rPr>
      </w:pPr>
    </w:p>
    <w:p w:rsidR="006B0488" w:rsidRPr="007E3B38" w:rsidRDefault="006B0488" w:rsidP="006B0488">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6B0488" w:rsidRPr="007E3B38" w:rsidRDefault="006B0488" w:rsidP="006B0488">
      <w:pPr>
        <w:pStyle w:val="FootnoteText"/>
        <w:spacing w:line="260" w:lineRule="atLeast"/>
        <w:ind w:left="567"/>
        <w:rPr>
          <w:i/>
          <w:sz w:val="22"/>
          <w:szCs w:val="22"/>
        </w:rPr>
      </w:pPr>
      <w:r>
        <w:rPr>
          <w:i/>
          <w:sz w:val="22"/>
          <w:szCs w:val="22"/>
        </w:rPr>
        <w:t xml:space="preserve">(b)  </w:t>
      </w:r>
      <w:r w:rsidRPr="007E3B38">
        <w:rPr>
          <w:i/>
          <w:sz w:val="22"/>
          <w:szCs w:val="22"/>
        </w:rPr>
        <w:t>groups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6B0488" w:rsidRPr="007E3B38" w:rsidRDefault="006B0488" w:rsidP="006B0488">
      <w:pPr>
        <w:pStyle w:val="FootnoteText"/>
        <w:spacing w:line="260" w:lineRule="atLeast"/>
        <w:ind w:left="567"/>
        <w:rPr>
          <w:i/>
          <w:sz w:val="22"/>
          <w:szCs w:val="22"/>
        </w:rPr>
      </w:pPr>
      <w:r w:rsidRPr="007E3B38">
        <w:rPr>
          <w:i/>
          <w:sz w:val="22"/>
          <w:szCs w:val="22"/>
        </w:rPr>
        <w:t xml:space="preserve">(c) </w:t>
      </w:r>
      <w:r>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6B0488" w:rsidRPr="007E3B38" w:rsidRDefault="006B0488" w:rsidP="006B0488">
      <w:pPr>
        <w:rPr>
          <w:b/>
          <w:szCs w:val="22"/>
        </w:rPr>
      </w:pPr>
    </w:p>
    <w:p w:rsidR="006B0488" w:rsidRPr="007E3B38" w:rsidRDefault="006B0488" w:rsidP="006B0488">
      <w:pPr>
        <w:pStyle w:val="FootnoteText"/>
        <w:spacing w:line="260" w:lineRule="atLeast"/>
        <w:rPr>
          <w:b/>
          <w:sz w:val="22"/>
          <w:szCs w:val="22"/>
        </w:rPr>
      </w:pPr>
      <w:r w:rsidRPr="007E3B38">
        <w:rPr>
          <w:b/>
          <w:sz w:val="22"/>
          <w:szCs w:val="22"/>
        </w:rPr>
        <w:t>Cultural Identity</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8"/>
      </w:r>
    </w:p>
    <w:p w:rsidR="006B0488" w:rsidRPr="007E3B38" w:rsidRDefault="006B0488" w:rsidP="006B0488">
      <w:pPr>
        <w:autoSpaceDE w:val="0"/>
        <w:autoSpaceDN w:val="0"/>
        <w:adjustRightInd w:val="0"/>
        <w:rPr>
          <w:b/>
          <w:snapToGrid w:val="0"/>
          <w:szCs w:val="22"/>
        </w:rPr>
      </w:pPr>
    </w:p>
    <w:p w:rsidR="006B0488" w:rsidRPr="007E3B38" w:rsidRDefault="006B0488" w:rsidP="006B0488">
      <w:pPr>
        <w:pStyle w:val="FootnoteText"/>
        <w:spacing w:line="260" w:lineRule="atLeast"/>
        <w:rPr>
          <w:b/>
          <w:snapToGrid w:val="0"/>
          <w:sz w:val="22"/>
          <w:szCs w:val="22"/>
        </w:rPr>
      </w:pPr>
      <w:r w:rsidRPr="007E3B38">
        <w:rPr>
          <w:b/>
          <w:snapToGrid w:val="0"/>
          <w:sz w:val="22"/>
          <w:szCs w:val="22"/>
        </w:rPr>
        <w:t>Cultural Property</w:t>
      </w:r>
    </w:p>
    <w:p w:rsidR="006B0488" w:rsidRPr="007E3B38" w:rsidRDefault="006B0488" w:rsidP="006B0488">
      <w:pPr>
        <w:pStyle w:val="FootnoteText"/>
        <w:spacing w:line="260" w:lineRule="atLeast"/>
        <w:rPr>
          <w:b/>
          <w:snapToGrid w:val="0"/>
          <w:sz w:val="22"/>
          <w:szCs w:val="22"/>
        </w:rPr>
      </w:pPr>
    </w:p>
    <w:p w:rsidR="006B0488" w:rsidRDefault="006B0488" w:rsidP="006B0488">
      <w:pPr>
        <w:pStyle w:val="FootnoteText"/>
        <w:spacing w:line="260" w:lineRule="atLeast"/>
        <w:rPr>
          <w:snapToGrid w:val="0"/>
          <w:sz w:val="22"/>
          <w:szCs w:val="22"/>
        </w:rPr>
      </w:pPr>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6B0488" w:rsidRPr="007E3B38" w:rsidRDefault="006B0488" w:rsidP="006B0488">
      <w:pPr>
        <w:pStyle w:val="FootnoteText"/>
        <w:spacing w:line="260" w:lineRule="atLeast"/>
        <w:ind w:left="567"/>
        <w:rPr>
          <w:snapToGrid w:val="0"/>
          <w:sz w:val="22"/>
          <w:szCs w:val="22"/>
        </w:rPr>
      </w:pPr>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Pr>
          <w:snapToGrid w:val="0"/>
          <w:sz w:val="22"/>
          <w:szCs w:val="22"/>
        </w:rPr>
        <w:br/>
      </w:r>
      <w:r w:rsidRPr="007E3B38">
        <w:rPr>
          <w:snapToGrid w:val="0"/>
          <w:sz w:val="22"/>
          <w:szCs w:val="22"/>
        </w:rPr>
        <w:t xml:space="preserve">(d)  elements of artistic or historical monuments or archaeological sites which have been dismembered;  (e)  antiquities more than one hundred years old, such as inscriptions, </w:t>
      </w:r>
      <w:r w:rsidRPr="007E3B38">
        <w:rPr>
          <w:snapToGrid w:val="0"/>
          <w:sz w:val="22"/>
          <w:szCs w:val="22"/>
        </w:rPr>
        <w:lastRenderedPageBreak/>
        <w:t>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including sound, photographic and cinematographic archives;  (k)  articles of furniture more than one hundred years old and old musical instruments. </w:t>
      </w:r>
    </w:p>
    <w:p w:rsidR="006B0488" w:rsidRDefault="006B0488" w:rsidP="006B0488">
      <w:pPr>
        <w:rPr>
          <w:szCs w:val="22"/>
        </w:rPr>
      </w:pPr>
    </w:p>
    <w:p w:rsidR="006B0488" w:rsidRPr="007E3B38" w:rsidRDefault="006B0488" w:rsidP="006B0488">
      <w:pPr>
        <w:pStyle w:val="FootnoteText"/>
        <w:spacing w:line="260" w:lineRule="atLeast"/>
        <w:rPr>
          <w:b/>
          <w:sz w:val="22"/>
          <w:szCs w:val="22"/>
        </w:rPr>
      </w:pPr>
      <w:r w:rsidRPr="007E3B38">
        <w:rPr>
          <w:b/>
          <w:sz w:val="22"/>
          <w:szCs w:val="22"/>
        </w:rPr>
        <w:t>Custodian</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 xml:space="preserve">something or </w:t>
      </w:r>
      <w:proofErr w:type="gramStart"/>
      <w:r>
        <w:rPr>
          <w:sz w:val="22"/>
          <w:szCs w:val="22"/>
          <w:lang w:val="en"/>
        </w:rPr>
        <w:t>someone</w:t>
      </w:r>
      <w:r w:rsidRPr="007E3B38">
        <w:rPr>
          <w:sz w:val="22"/>
          <w:szCs w:val="22"/>
          <w:lang w:val="en"/>
        </w:rPr>
        <w:t xml:space="preserve">; </w:t>
      </w:r>
      <w:r>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b/>
          <w:sz w:val="22"/>
          <w:szCs w:val="22"/>
        </w:rPr>
      </w:pPr>
      <w:r w:rsidRPr="007E3B38">
        <w:rPr>
          <w:b/>
          <w:sz w:val="22"/>
          <w:szCs w:val="22"/>
        </w:rPr>
        <w:t>Customary Context</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29"/>
      </w:r>
    </w:p>
    <w:p w:rsidR="006B0488" w:rsidRPr="007E3B38" w:rsidRDefault="006B0488" w:rsidP="006B0488">
      <w:pPr>
        <w:autoSpaceDE w:val="0"/>
        <w:autoSpaceDN w:val="0"/>
        <w:adjustRightInd w:val="0"/>
        <w:rPr>
          <w:szCs w:val="22"/>
        </w:rPr>
      </w:pPr>
    </w:p>
    <w:p w:rsidR="006B0488" w:rsidRPr="007E3B38" w:rsidRDefault="006B0488" w:rsidP="006B0488">
      <w:pPr>
        <w:pStyle w:val="FootnoteText"/>
        <w:spacing w:line="260" w:lineRule="atLeast"/>
        <w:rPr>
          <w:b/>
          <w:sz w:val="22"/>
          <w:szCs w:val="22"/>
        </w:rPr>
      </w:pPr>
      <w:r w:rsidRPr="007E3B38">
        <w:rPr>
          <w:b/>
          <w:sz w:val="22"/>
          <w:szCs w:val="22"/>
        </w:rPr>
        <w:t>Customary Law and Protocols</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w:t>
      </w:r>
      <w:proofErr w:type="gramStart"/>
      <w:r w:rsidRPr="007E3B38">
        <w:rPr>
          <w:sz w:val="22"/>
          <w:szCs w:val="22"/>
        </w:rPr>
        <w:t xml:space="preserve">conduct; </w:t>
      </w:r>
      <w:r>
        <w:rPr>
          <w:sz w:val="22"/>
          <w:szCs w:val="22"/>
        </w:rPr>
        <w:t xml:space="preserve"> </w:t>
      </w:r>
      <w:r w:rsidRPr="007E3B38">
        <w:rPr>
          <w:sz w:val="22"/>
          <w:szCs w:val="22"/>
        </w:rPr>
        <w:t>practices</w:t>
      </w:r>
      <w:proofErr w:type="gramEnd"/>
      <w:r w:rsidRPr="007E3B38">
        <w:rPr>
          <w:sz w:val="22"/>
          <w:szCs w:val="22"/>
        </w:rPr>
        <w:t xml:space="preserve">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6B0488" w:rsidRPr="007E3B38" w:rsidRDefault="006B0488" w:rsidP="006B0488">
      <w:pPr>
        <w:pStyle w:val="FootnoteText"/>
        <w:spacing w:line="260" w:lineRule="atLeast"/>
        <w:rPr>
          <w:sz w:val="22"/>
          <w:szCs w:val="22"/>
          <w:lang w:val="en"/>
        </w:rPr>
      </w:pPr>
    </w:p>
    <w:p w:rsidR="006B0488" w:rsidRPr="007E3B38" w:rsidRDefault="006B0488" w:rsidP="006B0488">
      <w:pPr>
        <w:pStyle w:val="FootnoteText"/>
        <w:spacing w:line="260" w:lineRule="atLeast"/>
        <w:rPr>
          <w:sz w:val="22"/>
          <w:szCs w:val="22"/>
        </w:rPr>
      </w:pPr>
      <w:r w:rsidRPr="007E3B38">
        <w:rPr>
          <w:sz w:val="22"/>
          <w:szCs w:val="22"/>
          <w:lang w:val="en"/>
        </w:rPr>
        <w:lastRenderedPageBreak/>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1"/>
      </w:r>
      <w:r w:rsidRPr="007E3B38">
        <w:rPr>
          <w:sz w:val="22"/>
          <w:szCs w:val="22"/>
          <w:lang w:val="en"/>
        </w:rPr>
        <w:t xml:space="preserve">  </w:t>
      </w:r>
      <w:r w:rsidRPr="007E3B38">
        <w:rPr>
          <w:sz w:val="22"/>
          <w:szCs w:val="22"/>
        </w:rPr>
        <w:t>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2"/>
      </w:r>
    </w:p>
    <w:p w:rsidR="006B0488" w:rsidRPr="007E3B38" w:rsidRDefault="006B0488" w:rsidP="006B0488">
      <w:pPr>
        <w:pStyle w:val="FootnoteText"/>
        <w:spacing w:line="260" w:lineRule="atLeast"/>
        <w:rPr>
          <w:sz w:val="22"/>
          <w:szCs w:val="22"/>
        </w:rPr>
      </w:pPr>
    </w:p>
    <w:p w:rsidR="006B0488" w:rsidRPr="007E3B38" w:rsidRDefault="006B0488" w:rsidP="006B0488">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6B0488" w:rsidRDefault="006B0488" w:rsidP="006B0488">
      <w:pPr>
        <w:pStyle w:val="FootnoteText"/>
        <w:spacing w:line="260" w:lineRule="atLeast"/>
        <w:rPr>
          <w:sz w:val="22"/>
          <w:szCs w:val="22"/>
        </w:rPr>
      </w:pPr>
    </w:p>
    <w:p w:rsidR="006B0488" w:rsidRPr="007E3B38" w:rsidRDefault="006B0488" w:rsidP="006B0488">
      <w:pPr>
        <w:pStyle w:val="FootnoteText"/>
        <w:spacing w:line="260" w:lineRule="atLeast"/>
        <w:rPr>
          <w:b/>
          <w:sz w:val="22"/>
          <w:szCs w:val="22"/>
        </w:rPr>
      </w:pPr>
      <w:r w:rsidRPr="007E3B38">
        <w:rPr>
          <w:b/>
          <w:sz w:val="22"/>
          <w:szCs w:val="22"/>
        </w:rPr>
        <w:t>Customary Practices</w:t>
      </w:r>
    </w:p>
    <w:p w:rsidR="006B0488" w:rsidRPr="007E3B38" w:rsidRDefault="006B0488" w:rsidP="006B0488">
      <w:pPr>
        <w:pStyle w:val="FootnoteText"/>
        <w:spacing w:line="260" w:lineRule="atLeast"/>
        <w:rPr>
          <w:b/>
          <w:sz w:val="22"/>
          <w:szCs w:val="22"/>
        </w:rPr>
      </w:pPr>
    </w:p>
    <w:p w:rsidR="006B0488" w:rsidRPr="007E3B38" w:rsidRDefault="006B0488" w:rsidP="006B0488">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3"/>
      </w:r>
    </w:p>
    <w:p w:rsidR="006B0488" w:rsidRPr="007E3B38" w:rsidRDefault="006B0488" w:rsidP="006B0488">
      <w:pPr>
        <w:pStyle w:val="FootnoteText"/>
        <w:spacing w:line="260" w:lineRule="atLeast"/>
        <w:rPr>
          <w:b/>
          <w:sz w:val="22"/>
          <w:szCs w:val="22"/>
        </w:rPr>
      </w:pPr>
    </w:p>
    <w:p w:rsidR="006B0488" w:rsidRPr="007E3B38" w:rsidRDefault="006B0488" w:rsidP="006B0488">
      <w:pPr>
        <w:spacing w:line="260" w:lineRule="atLeast"/>
        <w:rPr>
          <w:b/>
          <w:bCs/>
          <w:szCs w:val="22"/>
        </w:rPr>
      </w:pPr>
      <w:r w:rsidRPr="007E3B38">
        <w:rPr>
          <w:b/>
          <w:bCs/>
          <w:szCs w:val="22"/>
        </w:rPr>
        <w:t>Database of Biodiversity-related Access and Benefit-sharing Agreements</w:t>
      </w:r>
    </w:p>
    <w:p w:rsidR="006B0488" w:rsidRPr="007E3B38" w:rsidRDefault="006B0488" w:rsidP="006B0488">
      <w:pPr>
        <w:spacing w:line="260" w:lineRule="atLeast"/>
        <w:rPr>
          <w:b/>
          <w:bCs/>
          <w:szCs w:val="22"/>
        </w:rPr>
      </w:pPr>
    </w:p>
    <w:p w:rsidR="006B0488" w:rsidRPr="007E3B38" w:rsidRDefault="006B0488" w:rsidP="006B0488">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6B0488" w:rsidRPr="007E3B38" w:rsidRDefault="006B0488" w:rsidP="006B0488">
      <w:pPr>
        <w:pStyle w:val="BodyText"/>
        <w:spacing w:after="0" w:line="260" w:lineRule="atLeast"/>
        <w:rPr>
          <w:szCs w:val="22"/>
        </w:rPr>
      </w:pPr>
    </w:p>
    <w:p w:rsidR="006B0488" w:rsidRPr="007E3B38" w:rsidRDefault="006B0488" w:rsidP="006B0488">
      <w:pPr>
        <w:spacing w:line="260" w:lineRule="atLeast"/>
        <w:rPr>
          <w:b/>
          <w:szCs w:val="22"/>
        </w:rPr>
      </w:pPr>
      <w:r w:rsidRPr="007E3B38">
        <w:rPr>
          <w:b/>
          <w:szCs w:val="22"/>
        </w:rPr>
        <w:t>Derivative</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 xml:space="preserve">Article 2(e) of the </w:t>
      </w:r>
      <w:r w:rsidRPr="007E3B38">
        <w:rPr>
          <w:rStyle w:val="Emphasis"/>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w:t>
      </w:r>
      <w:proofErr w:type="gramStart"/>
      <w:r w:rsidRPr="007E3B38">
        <w:rPr>
          <w:szCs w:val="22"/>
        </w:rPr>
        <w:t>:  “</w:t>
      </w:r>
      <w:proofErr w:type="gramEnd"/>
      <w:r w:rsidRPr="007E3B38">
        <w:rPr>
          <w:szCs w:val="22"/>
        </w:rPr>
        <w:t>a naturally occurring biochemical compound resulting from the genetic expression or metabolism of biological or genetic resources, even if it does not contain functional units of heredity.”</w:t>
      </w:r>
    </w:p>
    <w:p w:rsidR="006B0488" w:rsidRPr="007E3B38" w:rsidRDefault="006B0488" w:rsidP="006B0488">
      <w:pPr>
        <w:autoSpaceDE w:val="0"/>
        <w:autoSpaceDN w:val="0"/>
        <w:adjustRightInd w:val="0"/>
        <w:spacing w:line="260" w:lineRule="atLeast"/>
        <w:rPr>
          <w:szCs w:val="22"/>
          <w:lang w:eastAsia="en-US" w:bidi="th-TH"/>
        </w:rPr>
      </w:pPr>
    </w:p>
    <w:p w:rsidR="006B0488" w:rsidRDefault="006B0488" w:rsidP="006B0488">
      <w:pPr>
        <w:pStyle w:val="CommentText"/>
        <w:spacing w:line="260" w:lineRule="atLeast"/>
        <w:rPr>
          <w:b/>
          <w:sz w:val="22"/>
          <w:szCs w:val="22"/>
        </w:rPr>
      </w:pPr>
      <w:r>
        <w:rPr>
          <w:b/>
          <w:sz w:val="22"/>
          <w:szCs w:val="22"/>
        </w:rPr>
        <w:br w:type="page"/>
      </w:r>
    </w:p>
    <w:p w:rsidR="006B0488" w:rsidRPr="007E3B38" w:rsidRDefault="006B0488" w:rsidP="006B0488">
      <w:pPr>
        <w:pStyle w:val="CommentText"/>
        <w:spacing w:line="260" w:lineRule="atLeast"/>
        <w:rPr>
          <w:b/>
          <w:sz w:val="22"/>
          <w:szCs w:val="22"/>
        </w:rPr>
      </w:pPr>
      <w:r w:rsidRPr="007E3B38">
        <w:rPr>
          <w:b/>
          <w:sz w:val="22"/>
          <w:szCs w:val="22"/>
        </w:rPr>
        <w:lastRenderedPageBreak/>
        <w:t>Derivative Work</w:t>
      </w:r>
    </w:p>
    <w:p w:rsidR="006B0488" w:rsidRPr="007E3B38" w:rsidRDefault="006B0488" w:rsidP="006B0488">
      <w:pPr>
        <w:pStyle w:val="CommentText"/>
        <w:spacing w:line="260" w:lineRule="atLeast"/>
        <w:rPr>
          <w:b/>
          <w:sz w:val="22"/>
          <w:szCs w:val="22"/>
        </w:rPr>
      </w:pPr>
    </w:p>
    <w:p w:rsidR="006B0488" w:rsidRDefault="006B0488" w:rsidP="006B0488">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7"/>
      </w:r>
      <w:r w:rsidRPr="007E3B38">
        <w:rPr>
          <w:sz w:val="22"/>
          <w:szCs w:val="22"/>
        </w:rPr>
        <w:t xml:space="preserve"> </w:t>
      </w:r>
      <w:r w:rsidRPr="007E3B38">
        <w:rPr>
          <w:sz w:val="22"/>
          <w:szCs w:val="22"/>
        </w:rPr>
        <w:br/>
      </w:r>
    </w:p>
    <w:p w:rsidR="006B0488" w:rsidRPr="007E3B38" w:rsidRDefault="006B0488" w:rsidP="006B0488">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38"/>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39"/>
      </w:r>
      <w:bookmarkEnd w:id="9"/>
      <w:bookmarkEnd w:id="10"/>
    </w:p>
    <w:p w:rsidR="006B0488" w:rsidRPr="007E3B38" w:rsidRDefault="006B0488" w:rsidP="006B0488">
      <w:pPr>
        <w:pStyle w:val="CommentText"/>
        <w:spacing w:line="260" w:lineRule="atLeast"/>
        <w:rPr>
          <w:sz w:val="22"/>
          <w:szCs w:val="22"/>
        </w:rPr>
      </w:pPr>
    </w:p>
    <w:p w:rsidR="006B0488" w:rsidRPr="007E3B38" w:rsidRDefault="006B0488" w:rsidP="006B0488">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6B0488" w:rsidRPr="007E3B38" w:rsidRDefault="006B0488" w:rsidP="006B0488">
      <w:pPr>
        <w:pStyle w:val="CommentText"/>
        <w:spacing w:line="260" w:lineRule="atLeast"/>
        <w:rPr>
          <w:sz w:val="22"/>
          <w:szCs w:val="22"/>
        </w:rPr>
      </w:pPr>
    </w:p>
    <w:p w:rsidR="006B0488" w:rsidRPr="007E3B38" w:rsidRDefault="006B0488" w:rsidP="006B0488">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0"/>
      </w:r>
      <w:bookmarkEnd w:id="11"/>
    </w:p>
    <w:p w:rsidR="006B0488" w:rsidRPr="007E3B38" w:rsidRDefault="006B0488" w:rsidP="006B0488">
      <w:pPr>
        <w:autoSpaceDE w:val="0"/>
        <w:autoSpaceDN w:val="0"/>
        <w:adjustRightInd w:val="0"/>
        <w:rPr>
          <w:szCs w:val="22"/>
        </w:rPr>
      </w:pPr>
    </w:p>
    <w:p w:rsidR="006B0488" w:rsidRPr="007E3B38" w:rsidRDefault="006B0488" w:rsidP="006B0488">
      <w:pPr>
        <w:pStyle w:val="CommentText"/>
        <w:spacing w:line="260" w:lineRule="atLeast"/>
        <w:rPr>
          <w:b/>
          <w:sz w:val="22"/>
          <w:szCs w:val="22"/>
        </w:rPr>
      </w:pPr>
      <w:r w:rsidRPr="007E3B38">
        <w:rPr>
          <w:b/>
          <w:sz w:val="22"/>
          <w:szCs w:val="22"/>
        </w:rPr>
        <w:t>Derogatory Action</w:t>
      </w:r>
    </w:p>
    <w:p w:rsidR="006B0488" w:rsidRPr="007E3B38" w:rsidRDefault="006B0488" w:rsidP="006B0488">
      <w:pPr>
        <w:pStyle w:val="CommentText"/>
        <w:spacing w:line="260" w:lineRule="atLeast"/>
        <w:rPr>
          <w:b/>
          <w:sz w:val="22"/>
          <w:szCs w:val="22"/>
        </w:rPr>
      </w:pPr>
    </w:p>
    <w:p w:rsidR="006B0488" w:rsidRPr="007E3B38" w:rsidRDefault="006B0488" w:rsidP="006B0488">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1"/>
      </w:r>
      <w:r w:rsidRPr="007E3B38">
        <w:rPr>
          <w:sz w:val="22"/>
          <w:szCs w:val="22"/>
        </w:rPr>
        <w:t xml:space="preserve"> </w:t>
      </w:r>
    </w:p>
    <w:p w:rsidR="006B0488" w:rsidRPr="007E3B38" w:rsidRDefault="006B0488" w:rsidP="006B0488">
      <w:pPr>
        <w:autoSpaceDE w:val="0"/>
        <w:autoSpaceDN w:val="0"/>
        <w:adjustRightInd w:val="0"/>
        <w:spacing w:line="260" w:lineRule="atLeast"/>
        <w:rPr>
          <w:szCs w:val="22"/>
          <w:lang w:eastAsia="en-US" w:bidi="th-TH"/>
        </w:rPr>
      </w:pPr>
    </w:p>
    <w:p w:rsidR="006B0488" w:rsidRPr="007E3B38" w:rsidRDefault="006B0488" w:rsidP="006B0488">
      <w:pPr>
        <w:pStyle w:val="CommentText"/>
        <w:spacing w:line="260" w:lineRule="atLeast"/>
        <w:rPr>
          <w:b/>
          <w:sz w:val="22"/>
          <w:szCs w:val="22"/>
        </w:rPr>
      </w:pPr>
      <w:r w:rsidRPr="007E3B38">
        <w:rPr>
          <w:b/>
          <w:sz w:val="22"/>
          <w:szCs w:val="22"/>
        </w:rPr>
        <w:t xml:space="preserve">Disclosed Traditional Knowledge </w:t>
      </w:r>
    </w:p>
    <w:p w:rsidR="006B0488" w:rsidRPr="007E3B38" w:rsidRDefault="006B0488" w:rsidP="006B0488">
      <w:pPr>
        <w:pStyle w:val="CommentText"/>
        <w:spacing w:line="260" w:lineRule="atLeast"/>
        <w:rPr>
          <w:b/>
          <w:sz w:val="22"/>
          <w:szCs w:val="22"/>
        </w:rPr>
      </w:pPr>
    </w:p>
    <w:p w:rsidR="006B0488" w:rsidRPr="007E3B38" w:rsidRDefault="006B0488" w:rsidP="006B0488">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w:t>
      </w:r>
      <w:r w:rsidRPr="007E3B38">
        <w:rPr>
          <w:sz w:val="22"/>
          <w:szCs w:val="22"/>
        </w:rPr>
        <w:lastRenderedPageBreak/>
        <w:t>[traditional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6B0488" w:rsidRPr="007E3B38" w:rsidRDefault="006B0488" w:rsidP="006B0488">
      <w:pPr>
        <w:pStyle w:val="CommentText"/>
        <w:spacing w:line="260" w:lineRule="atLeast"/>
        <w:rPr>
          <w:sz w:val="22"/>
          <w:szCs w:val="22"/>
        </w:rPr>
      </w:pPr>
    </w:p>
    <w:p w:rsidR="006B0488" w:rsidRPr="007E3B38" w:rsidRDefault="006B0488" w:rsidP="006B0488">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6B0488" w:rsidRPr="007E3B3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b/>
          <w:sz w:val="22"/>
          <w:szCs w:val="22"/>
          <w:lang w:val="en"/>
        </w:rPr>
      </w:pPr>
      <w:r w:rsidRPr="007E3B38">
        <w:rPr>
          <w:b/>
          <w:sz w:val="22"/>
          <w:szCs w:val="22"/>
          <w:lang w:val="en"/>
        </w:rPr>
        <w:t>Disclosure</w:t>
      </w:r>
    </w:p>
    <w:p w:rsidR="006B0488" w:rsidRPr="007E3B3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4"/>
      </w:r>
      <w:r w:rsidRPr="007E3B38">
        <w:rPr>
          <w:sz w:val="22"/>
          <w:szCs w:val="22"/>
        </w:rPr>
        <w:t xml:space="preserve">  Under certain national laws, the “right of disclosure” is a moral right. </w:t>
      </w:r>
    </w:p>
    <w:p w:rsidR="006B0488" w:rsidRPr="007E3B38" w:rsidRDefault="006B0488" w:rsidP="006B0488">
      <w:pPr>
        <w:rPr>
          <w:szCs w:val="22"/>
        </w:rPr>
      </w:pPr>
    </w:p>
    <w:p w:rsidR="006B0488" w:rsidRPr="007E3B38" w:rsidRDefault="006B0488" w:rsidP="006B0488">
      <w:pPr>
        <w:spacing w:line="260" w:lineRule="atLeast"/>
        <w:rPr>
          <w:b/>
          <w:szCs w:val="22"/>
        </w:rPr>
      </w:pPr>
      <w:r w:rsidRPr="007E3B38">
        <w:rPr>
          <w:b/>
          <w:szCs w:val="22"/>
        </w:rPr>
        <w:t>Disclosure Requirements</w:t>
      </w:r>
    </w:p>
    <w:p w:rsidR="006B0488" w:rsidRPr="007E3B38" w:rsidRDefault="006B0488" w:rsidP="006B0488">
      <w:pPr>
        <w:spacing w:line="260" w:lineRule="atLeast"/>
        <w:rPr>
          <w:b/>
          <w:szCs w:val="22"/>
        </w:rPr>
      </w:pPr>
    </w:p>
    <w:p w:rsidR="006B0488" w:rsidRPr="007E3B38" w:rsidRDefault="006B0488" w:rsidP="006B0488">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Three broad functions have been considered for disclosure methods relating to genetic resources and traditional knowledge:</w:t>
      </w:r>
    </w:p>
    <w:p w:rsidR="006B0488" w:rsidRPr="007E3B38" w:rsidRDefault="006B0488" w:rsidP="006B0488">
      <w:pPr>
        <w:spacing w:line="260" w:lineRule="atLeast"/>
        <w:ind w:left="567"/>
        <w:rPr>
          <w:szCs w:val="22"/>
        </w:rPr>
      </w:pPr>
    </w:p>
    <w:p w:rsidR="006B0488" w:rsidRDefault="006B0488" w:rsidP="006B0488">
      <w:pPr>
        <w:numPr>
          <w:ilvl w:val="0"/>
          <w:numId w:val="22"/>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6B0488" w:rsidRDefault="006B0488" w:rsidP="006B0488">
      <w:pPr>
        <w:spacing w:line="260" w:lineRule="exact"/>
        <w:ind w:left="1287"/>
        <w:rPr>
          <w:szCs w:val="22"/>
        </w:rPr>
      </w:pPr>
    </w:p>
    <w:p w:rsidR="006B0488" w:rsidRDefault="006B0488" w:rsidP="006B0488">
      <w:pPr>
        <w:numPr>
          <w:ilvl w:val="0"/>
          <w:numId w:val="22"/>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Pr>
          <w:szCs w:val="22"/>
        </w:rPr>
        <w:t xml:space="preserve"> </w:t>
      </w:r>
    </w:p>
    <w:p w:rsidR="006B0488" w:rsidRDefault="006B0488" w:rsidP="006B0488">
      <w:pPr>
        <w:pStyle w:val="ListParagraph"/>
        <w:rPr>
          <w:szCs w:val="22"/>
        </w:rPr>
      </w:pPr>
    </w:p>
    <w:p w:rsidR="006B0488" w:rsidRPr="00A1610E" w:rsidRDefault="006B0488" w:rsidP="006B0488">
      <w:pPr>
        <w:numPr>
          <w:ilvl w:val="0"/>
          <w:numId w:val="22"/>
        </w:numPr>
        <w:spacing w:line="260" w:lineRule="exact"/>
        <w:rPr>
          <w:szCs w:val="22"/>
        </w:rPr>
      </w:pPr>
      <w:r w:rsidRPr="00A1610E">
        <w:rPr>
          <w:szCs w:val="22"/>
        </w:rPr>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
    <w:p w:rsidR="006B0488" w:rsidRPr="007E3B38" w:rsidRDefault="006B0488" w:rsidP="006B0488">
      <w:pPr>
        <w:spacing w:line="260" w:lineRule="atLeast"/>
        <w:rPr>
          <w:szCs w:val="22"/>
        </w:rPr>
      </w:pPr>
    </w:p>
    <w:p w:rsidR="006B0488" w:rsidRPr="007E3B38" w:rsidRDefault="006B0488" w:rsidP="006B0488">
      <w:pPr>
        <w:rPr>
          <w:szCs w:val="22"/>
        </w:rPr>
      </w:pPr>
      <w:r w:rsidRPr="007E3B38">
        <w:rPr>
          <w:szCs w:val="22"/>
        </w:rPr>
        <w:t>Alternative mechanisms to disclosure requirements have been proposed.</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6B0488" w:rsidRPr="007E3B38" w:rsidRDefault="006B0488" w:rsidP="006B0488">
      <w:pPr>
        <w:rPr>
          <w:szCs w:val="22"/>
        </w:rPr>
      </w:pPr>
    </w:p>
    <w:p w:rsidR="006B0488" w:rsidRPr="007E3B38" w:rsidRDefault="006B0488" w:rsidP="006B0488">
      <w:pPr>
        <w:pStyle w:val="CommentText"/>
        <w:spacing w:line="260" w:lineRule="atLeast"/>
        <w:rPr>
          <w:b/>
          <w:sz w:val="22"/>
          <w:szCs w:val="22"/>
        </w:rPr>
      </w:pPr>
      <w:r w:rsidRPr="007E3B38">
        <w:rPr>
          <w:b/>
          <w:sz w:val="22"/>
          <w:szCs w:val="22"/>
        </w:rPr>
        <w:t>Documentation</w:t>
      </w:r>
    </w:p>
    <w:p w:rsidR="006B0488" w:rsidRPr="007E3B38" w:rsidRDefault="006B0488" w:rsidP="006B0488">
      <w:pPr>
        <w:pStyle w:val="CommentText"/>
        <w:spacing w:line="260" w:lineRule="atLeast"/>
        <w:rPr>
          <w:b/>
          <w:sz w:val="22"/>
          <w:szCs w:val="22"/>
        </w:rPr>
      </w:pPr>
    </w:p>
    <w:p w:rsidR="006B0488" w:rsidRPr="007E3B38" w:rsidRDefault="006B0488" w:rsidP="006B0488">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6B0488" w:rsidRPr="007E3B38" w:rsidRDefault="006B0488" w:rsidP="006B0488">
      <w:pPr>
        <w:pStyle w:val="CommentText"/>
        <w:spacing w:line="260" w:lineRule="atLeast"/>
        <w:rPr>
          <w:sz w:val="22"/>
          <w:szCs w:val="22"/>
        </w:rPr>
      </w:pPr>
    </w:p>
    <w:p w:rsidR="006B0488" w:rsidRPr="007E3B38" w:rsidRDefault="006B0488" w:rsidP="006B0488">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6B0488" w:rsidRDefault="006B0488" w:rsidP="006B0488">
      <w:pPr>
        <w:rPr>
          <w:b/>
          <w:szCs w:val="22"/>
        </w:rPr>
      </w:pPr>
    </w:p>
    <w:p w:rsidR="006B0488" w:rsidRDefault="006B0488" w:rsidP="006B0488">
      <w:pPr>
        <w:pStyle w:val="CommentText"/>
        <w:spacing w:line="260" w:lineRule="atLeast"/>
        <w:rPr>
          <w:b/>
          <w:sz w:val="22"/>
          <w:szCs w:val="22"/>
          <w:lang w:val="en"/>
        </w:rPr>
      </w:pPr>
      <w:r>
        <w:rPr>
          <w:b/>
          <w:sz w:val="22"/>
          <w:szCs w:val="22"/>
          <w:lang w:val="en"/>
        </w:rPr>
        <w:t xml:space="preserve">Due Diligence </w:t>
      </w:r>
    </w:p>
    <w:p w:rsidR="006B0488" w:rsidRDefault="006B0488" w:rsidP="006B0488">
      <w:pPr>
        <w:pStyle w:val="CommentText"/>
        <w:spacing w:line="260" w:lineRule="atLeast"/>
        <w:rPr>
          <w:b/>
          <w:sz w:val="22"/>
          <w:szCs w:val="22"/>
          <w:lang w:val="en"/>
        </w:rPr>
      </w:pPr>
    </w:p>
    <w:p w:rsidR="006B0488" w:rsidRPr="00DA3E4B" w:rsidRDefault="006B0488" w:rsidP="006B0488">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rsidR="006B048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b/>
          <w:sz w:val="22"/>
          <w:szCs w:val="22"/>
          <w:lang w:val="en"/>
        </w:rPr>
      </w:pPr>
      <w:r w:rsidRPr="007E3B38">
        <w:rPr>
          <w:b/>
          <w:sz w:val="22"/>
          <w:szCs w:val="22"/>
          <w:lang w:val="en"/>
        </w:rPr>
        <w:t>Equitable Remuneration</w:t>
      </w:r>
    </w:p>
    <w:p w:rsidR="006B0488" w:rsidRPr="007E3B3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xml:space="preserve">, 1996 (WPPT), provides that </w:t>
      </w:r>
      <w:r w:rsidRPr="007E3B38">
        <w:rPr>
          <w:sz w:val="22"/>
          <w:szCs w:val="22"/>
          <w:lang w:val="en"/>
        </w:rPr>
        <w:lastRenderedPageBreak/>
        <w:t>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provided that it makes a reservation to the Treaty</w:t>
      </w:r>
      <w:r>
        <w:rPr>
          <w:sz w:val="22"/>
          <w:szCs w:val="22"/>
          <w:lang w:val="en"/>
        </w:rPr>
        <w:t xml:space="preserve"> </w:t>
      </w:r>
      <w:r w:rsidRPr="007E3B38">
        <w:rPr>
          <w:sz w:val="22"/>
          <w:szCs w:val="22"/>
          <w:lang w:val="en"/>
        </w:rPr>
        <w:t xml:space="preserve">– deny this right (Article 15(3)).  </w:t>
      </w:r>
    </w:p>
    <w:p w:rsidR="006B0488" w:rsidRPr="007E3B38" w:rsidRDefault="006B0488" w:rsidP="006B0488">
      <w:pPr>
        <w:rPr>
          <w:szCs w:val="22"/>
          <w:lang w:val="en"/>
        </w:rPr>
      </w:pPr>
    </w:p>
    <w:p w:rsidR="006B0488" w:rsidRPr="007E3B38" w:rsidRDefault="006B0488" w:rsidP="006B0488">
      <w:pPr>
        <w:pStyle w:val="CommentText"/>
        <w:spacing w:line="260" w:lineRule="atLeast"/>
        <w:rPr>
          <w:b/>
          <w:sz w:val="22"/>
          <w:szCs w:val="22"/>
          <w:lang w:val="en"/>
        </w:rPr>
      </w:pPr>
      <w:r w:rsidRPr="007E3B38">
        <w:rPr>
          <w:b/>
          <w:sz w:val="22"/>
          <w:szCs w:val="22"/>
          <w:lang w:val="en"/>
        </w:rPr>
        <w:t>Exceptions</w:t>
      </w:r>
    </w:p>
    <w:p w:rsidR="006B0488" w:rsidRPr="007E3B3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52"/>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53"/>
      </w:r>
      <w:r w:rsidRPr="007E3B38">
        <w:rPr>
          <w:sz w:val="22"/>
          <w:szCs w:val="22"/>
        </w:rPr>
        <w:t xml:space="preserve">  </w:t>
      </w:r>
    </w:p>
    <w:p w:rsidR="006B0488" w:rsidRPr="007E3B38" w:rsidRDefault="006B0488" w:rsidP="006B0488">
      <w:pPr>
        <w:autoSpaceDE w:val="0"/>
        <w:autoSpaceDN w:val="0"/>
        <w:adjustRightInd w:val="0"/>
        <w:rPr>
          <w:szCs w:val="22"/>
        </w:rPr>
      </w:pPr>
    </w:p>
    <w:p w:rsidR="006B0488" w:rsidRPr="007E3B38" w:rsidRDefault="006B0488" w:rsidP="006B0488">
      <w:pPr>
        <w:pStyle w:val="CommentText"/>
        <w:spacing w:line="260" w:lineRule="atLeast"/>
        <w:rPr>
          <w:b/>
          <w:sz w:val="22"/>
          <w:szCs w:val="22"/>
          <w:lang w:val="en"/>
        </w:rPr>
      </w:pPr>
      <w:r w:rsidRPr="007E3B38">
        <w:rPr>
          <w:b/>
          <w:sz w:val="22"/>
          <w:szCs w:val="22"/>
          <w:lang w:val="en"/>
        </w:rPr>
        <w:t>Expression by Action</w:t>
      </w:r>
    </w:p>
    <w:p w:rsidR="006B0488" w:rsidRPr="007E3B38" w:rsidRDefault="006B0488" w:rsidP="006B0488">
      <w:pPr>
        <w:pStyle w:val="CommentText"/>
        <w:spacing w:line="260" w:lineRule="atLeast"/>
        <w:rPr>
          <w:b/>
          <w:sz w:val="22"/>
          <w:szCs w:val="22"/>
          <w:lang w:val="en"/>
        </w:rPr>
      </w:pPr>
    </w:p>
    <w:p w:rsidR="006B0488" w:rsidRPr="00146645" w:rsidRDefault="006B0488" w:rsidP="006B0488">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55"/>
      </w:r>
    </w:p>
    <w:p w:rsidR="006B048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b/>
          <w:sz w:val="22"/>
          <w:szCs w:val="22"/>
          <w:lang w:val="en"/>
        </w:rPr>
      </w:pPr>
      <w:r w:rsidRPr="007E3B38">
        <w:rPr>
          <w:b/>
          <w:sz w:val="22"/>
          <w:szCs w:val="22"/>
          <w:lang w:val="en"/>
        </w:rPr>
        <w:t>Expressions of Folklore</w:t>
      </w:r>
    </w:p>
    <w:p w:rsidR="006B0488" w:rsidRPr="007E3B38" w:rsidRDefault="006B0488" w:rsidP="006B0488">
      <w:pPr>
        <w:pStyle w:val="CommentText"/>
        <w:spacing w:line="260" w:lineRule="atLeast"/>
        <w:rPr>
          <w:b/>
          <w:sz w:val="22"/>
          <w:szCs w:val="22"/>
          <w:lang w:val="en"/>
        </w:rPr>
      </w:pPr>
    </w:p>
    <w:p w:rsidR="006B0488" w:rsidRPr="007E3B38" w:rsidRDefault="006B0488" w:rsidP="006B0488">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6B0488" w:rsidRPr="007E3B38" w:rsidRDefault="006B0488" w:rsidP="006B0488">
      <w:pPr>
        <w:pStyle w:val="CommentText"/>
        <w:ind w:left="567"/>
        <w:rPr>
          <w:sz w:val="22"/>
          <w:szCs w:val="22"/>
        </w:rPr>
      </w:pPr>
    </w:p>
    <w:p w:rsidR="006B0488" w:rsidRPr="007E3B38" w:rsidRDefault="006B0488" w:rsidP="006B0488">
      <w:pPr>
        <w:numPr>
          <w:ilvl w:val="0"/>
          <w:numId w:val="12"/>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6B0488" w:rsidRPr="007E3B38" w:rsidRDefault="006B0488" w:rsidP="006B0488">
      <w:pPr>
        <w:numPr>
          <w:ilvl w:val="0"/>
          <w:numId w:val="12"/>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6B0488" w:rsidRPr="007E3B38" w:rsidRDefault="006B0488" w:rsidP="006B0488">
      <w:pPr>
        <w:numPr>
          <w:ilvl w:val="0"/>
          <w:numId w:val="12"/>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6B0488" w:rsidRPr="007E3B38" w:rsidRDefault="006B0488" w:rsidP="006B0488">
      <w:pPr>
        <w:numPr>
          <w:ilvl w:val="0"/>
          <w:numId w:val="12"/>
        </w:numPr>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56"/>
      </w:r>
    </w:p>
    <w:p w:rsidR="006B0488" w:rsidRDefault="006B0488" w:rsidP="006B0488">
      <w:pPr>
        <w:pStyle w:val="CommentText"/>
        <w:rPr>
          <w:sz w:val="22"/>
          <w:szCs w:val="22"/>
        </w:rPr>
      </w:pPr>
    </w:p>
    <w:p w:rsidR="006B0488" w:rsidRPr="007E3B38" w:rsidRDefault="006B0488" w:rsidP="006B0488">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6B0488" w:rsidRPr="007E3B38" w:rsidRDefault="006B0488" w:rsidP="006B0488">
      <w:pPr>
        <w:spacing w:line="260" w:lineRule="atLeast"/>
        <w:rPr>
          <w:bCs/>
          <w:szCs w:val="22"/>
          <w:lang w:val="en"/>
        </w:rPr>
      </w:pPr>
    </w:p>
    <w:p w:rsidR="006B0488" w:rsidRPr="005E0C3F" w:rsidRDefault="006B0488" w:rsidP="006B0488">
      <w:pPr>
        <w:spacing w:line="260" w:lineRule="atLeast"/>
        <w:rPr>
          <w:b/>
          <w:szCs w:val="22"/>
        </w:rPr>
      </w:pPr>
      <w:r w:rsidRPr="009A736D">
        <w:rPr>
          <w:b/>
          <w:i/>
          <w:szCs w:val="22"/>
        </w:rPr>
        <w:t>Ex-situ</w:t>
      </w:r>
      <w:r>
        <w:rPr>
          <w:b/>
          <w:i/>
          <w:szCs w:val="22"/>
        </w:rPr>
        <w:t xml:space="preserve"> </w:t>
      </w:r>
      <w:r>
        <w:rPr>
          <w:b/>
          <w:szCs w:val="22"/>
        </w:rPr>
        <w:t xml:space="preserve">Conservation </w:t>
      </w:r>
    </w:p>
    <w:p w:rsidR="006B0488" w:rsidRPr="007E3B38" w:rsidRDefault="006B0488" w:rsidP="006B0488">
      <w:pPr>
        <w:spacing w:line="260" w:lineRule="atLeast"/>
        <w:rPr>
          <w:b/>
          <w:szCs w:val="22"/>
        </w:rPr>
      </w:pPr>
    </w:p>
    <w:p w:rsidR="006B0488" w:rsidRDefault="006B0488" w:rsidP="006B0488">
      <w:pPr>
        <w:spacing w:line="260" w:lineRule="atLeast"/>
        <w:rPr>
          <w:bCs/>
          <w:szCs w:val="22"/>
        </w:rPr>
      </w:pPr>
      <w:r w:rsidRPr="007E3B38">
        <w:rPr>
          <w:bCs/>
          <w:szCs w:val="22"/>
        </w:rPr>
        <w:lastRenderedPageBreak/>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6B0488" w:rsidRPr="007E3B38" w:rsidRDefault="006B0488" w:rsidP="006B0488">
      <w:pPr>
        <w:spacing w:line="260" w:lineRule="atLeast"/>
        <w:rPr>
          <w:bCs/>
          <w:szCs w:val="22"/>
        </w:rPr>
      </w:pPr>
    </w:p>
    <w:p w:rsidR="006B0488" w:rsidRPr="007E3B38" w:rsidRDefault="006B0488" w:rsidP="006B0488">
      <w:pPr>
        <w:spacing w:line="260" w:lineRule="atLeast"/>
        <w:rPr>
          <w:b/>
          <w:szCs w:val="22"/>
          <w:lang w:val="en"/>
        </w:rPr>
      </w:pPr>
      <w:r w:rsidRPr="007E3B38">
        <w:rPr>
          <w:b/>
          <w:szCs w:val="22"/>
          <w:lang w:val="en"/>
        </w:rPr>
        <w:t>Fair Practice</w:t>
      </w:r>
    </w:p>
    <w:p w:rsidR="006B0488" w:rsidRPr="007E3B38" w:rsidRDefault="006B0488" w:rsidP="006B0488">
      <w:pPr>
        <w:spacing w:line="260" w:lineRule="atLeast"/>
        <w:rPr>
          <w:b/>
          <w:szCs w:val="22"/>
          <w:lang w:val="en"/>
        </w:rPr>
      </w:pPr>
    </w:p>
    <w:p w:rsidR="006B0488" w:rsidRPr="007E3B38" w:rsidRDefault="006B0488" w:rsidP="006B0488">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57"/>
      </w:r>
    </w:p>
    <w:p w:rsidR="006B0488" w:rsidRPr="007E3B38" w:rsidRDefault="006B0488" w:rsidP="006B0488">
      <w:pPr>
        <w:autoSpaceDE w:val="0"/>
        <w:autoSpaceDN w:val="0"/>
        <w:adjustRightInd w:val="0"/>
        <w:rPr>
          <w:szCs w:val="22"/>
        </w:rPr>
      </w:pPr>
    </w:p>
    <w:p w:rsidR="006B0488" w:rsidRPr="007E3B38" w:rsidRDefault="006B0488" w:rsidP="006B0488">
      <w:pPr>
        <w:spacing w:line="260" w:lineRule="atLeast"/>
        <w:rPr>
          <w:b/>
          <w:szCs w:val="22"/>
        </w:rPr>
      </w:pPr>
      <w:r w:rsidRPr="007E3B38">
        <w:rPr>
          <w:b/>
          <w:szCs w:val="22"/>
        </w:rPr>
        <w:t>Farmers’ Rights</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Pr>
          <w:szCs w:val="22"/>
        </w:rPr>
        <w:t xml:space="preserve"> </w:t>
      </w:r>
      <w:r w:rsidRPr="007E3B38">
        <w:rPr>
          <w:szCs w:val="22"/>
        </w:rPr>
        <w:t>Article 9.2 defines “farmers’ rights” as “(</w:t>
      </w:r>
      <w:proofErr w:type="gramStart"/>
      <w:r w:rsidRPr="007E3B38">
        <w:rPr>
          <w:szCs w:val="22"/>
        </w:rPr>
        <w:t xml:space="preserve">a) </w:t>
      </w:r>
      <w:r>
        <w:rPr>
          <w:szCs w:val="22"/>
        </w:rPr>
        <w:t xml:space="preserve"> </w:t>
      </w:r>
      <w:r w:rsidRPr="007E3B38">
        <w:rPr>
          <w:szCs w:val="22"/>
        </w:rPr>
        <w:t>protection</w:t>
      </w:r>
      <w:proofErr w:type="gramEnd"/>
      <w:r w:rsidRPr="007E3B38">
        <w:rPr>
          <w:szCs w:val="22"/>
        </w:rPr>
        <w:t xml:space="preserve">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6B0488" w:rsidRPr="007E3B38" w:rsidRDefault="006B0488" w:rsidP="006B0488">
      <w:pPr>
        <w:spacing w:line="260" w:lineRule="atLeast"/>
        <w:rPr>
          <w:bCs/>
          <w:szCs w:val="22"/>
        </w:rPr>
      </w:pPr>
    </w:p>
    <w:p w:rsidR="006B0488" w:rsidRPr="007E3B38" w:rsidRDefault="006B0488" w:rsidP="006B0488">
      <w:pPr>
        <w:spacing w:line="260" w:lineRule="atLeast"/>
        <w:rPr>
          <w:b/>
          <w:szCs w:val="22"/>
          <w:lang w:val="en"/>
        </w:rPr>
      </w:pPr>
      <w:r w:rsidRPr="007E3B38">
        <w:rPr>
          <w:b/>
          <w:szCs w:val="22"/>
          <w:lang w:val="en"/>
        </w:rPr>
        <w:t xml:space="preserve">Fixation </w:t>
      </w:r>
    </w:p>
    <w:p w:rsidR="006B0488" w:rsidRPr="007E3B38" w:rsidRDefault="006B0488" w:rsidP="006B0488">
      <w:pPr>
        <w:spacing w:line="260" w:lineRule="atLeast"/>
        <w:rPr>
          <w:b/>
          <w:szCs w:val="22"/>
          <w:lang w:val="en"/>
        </w:rPr>
      </w:pPr>
    </w:p>
    <w:p w:rsidR="006B0488" w:rsidRDefault="006B0488" w:rsidP="006B0488">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w:t>
      </w:r>
      <w:r w:rsidRPr="007E3B38">
        <w:rPr>
          <w:szCs w:val="22"/>
        </w:rPr>
        <w:lastRenderedPageBreak/>
        <w:t>such a strategy has been used to protect ancient rock art.</w:t>
      </w:r>
      <w:bookmarkStart w:id="12" w:name="_Ref289444051"/>
      <w:r w:rsidRPr="007E3B38">
        <w:rPr>
          <w:rStyle w:val="FootnoteReference"/>
          <w:szCs w:val="22"/>
        </w:rPr>
        <w:footnoteReference w:id="60"/>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1"/>
      </w:r>
    </w:p>
    <w:p w:rsidR="006B0488" w:rsidRPr="007E3B38" w:rsidRDefault="006B0488" w:rsidP="006B0488">
      <w:pPr>
        <w:spacing w:line="260" w:lineRule="atLeast"/>
        <w:rPr>
          <w:szCs w:val="22"/>
          <w:lang w:val="en"/>
        </w:rPr>
      </w:pPr>
    </w:p>
    <w:p w:rsidR="006B0488" w:rsidRPr="007E3B38" w:rsidRDefault="006B0488" w:rsidP="006B0488">
      <w:pPr>
        <w:spacing w:line="260" w:lineRule="atLeast"/>
        <w:rPr>
          <w:b/>
          <w:snapToGrid w:val="0"/>
          <w:szCs w:val="22"/>
        </w:rPr>
      </w:pPr>
      <w:r w:rsidRPr="007E3B38">
        <w:rPr>
          <w:b/>
          <w:snapToGrid w:val="0"/>
          <w:szCs w:val="22"/>
        </w:rPr>
        <w:t>Folklore</w:t>
      </w:r>
    </w:p>
    <w:p w:rsidR="006B0488" w:rsidRPr="007E3B38" w:rsidRDefault="006B0488" w:rsidP="006B0488">
      <w:pPr>
        <w:spacing w:line="260" w:lineRule="atLeast"/>
        <w:rPr>
          <w:b/>
          <w:snapToGrid w:val="0"/>
          <w:szCs w:val="22"/>
        </w:rPr>
      </w:pPr>
    </w:p>
    <w:p w:rsidR="006B0488" w:rsidRPr="007E3B38" w:rsidRDefault="006B0488" w:rsidP="006B0488">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6B0488" w:rsidRPr="007E3B38" w:rsidRDefault="006B0488" w:rsidP="006B0488">
      <w:pPr>
        <w:spacing w:line="260" w:lineRule="atLeast"/>
        <w:rPr>
          <w:snapToGrid w:val="0"/>
          <w:szCs w:val="22"/>
        </w:rPr>
      </w:pPr>
    </w:p>
    <w:p w:rsidR="006B0488" w:rsidRPr="007E3B38" w:rsidRDefault="006B0488" w:rsidP="006B0488">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  All these texts consider works of folklore as part of the cultural heritage of the nation (“traditional heritage,” “cultural patrimony</w:t>
      </w:r>
      <w:proofErr w:type="gramStart"/>
      <w:r w:rsidRPr="007E3B38">
        <w:rPr>
          <w:szCs w:val="22"/>
        </w:rPr>
        <w:t>”;  in</w:t>
      </w:r>
      <w:proofErr w:type="gramEnd"/>
      <w:r w:rsidRPr="007E3B38">
        <w:rPr>
          <w:szCs w:val="22"/>
        </w:rPr>
        <w:t xml:space="preserve"> Chile, “cultural public domain” the use of which is subject to payment).  The meaning of folklore</w:t>
      </w:r>
      <w:r>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6B0488" w:rsidRDefault="006B0488" w:rsidP="006B0488">
      <w:pPr>
        <w:spacing w:line="260" w:lineRule="atLeast"/>
        <w:rPr>
          <w:b/>
          <w:szCs w:val="22"/>
          <w:lang w:val="en"/>
        </w:rPr>
      </w:pPr>
    </w:p>
    <w:p w:rsidR="006B0488" w:rsidRPr="007E3B38" w:rsidRDefault="006B0488" w:rsidP="006B0488">
      <w:pPr>
        <w:spacing w:line="260" w:lineRule="atLeast"/>
        <w:rPr>
          <w:b/>
          <w:szCs w:val="22"/>
          <w:lang w:val="en"/>
        </w:rPr>
      </w:pPr>
      <w:r w:rsidRPr="007E3B38">
        <w:rPr>
          <w:b/>
          <w:szCs w:val="22"/>
          <w:lang w:val="en"/>
        </w:rPr>
        <w:t>Formality</w:t>
      </w:r>
    </w:p>
    <w:p w:rsidR="006B0488" w:rsidRPr="007E3B38" w:rsidRDefault="006B0488" w:rsidP="006B0488">
      <w:pPr>
        <w:spacing w:line="260" w:lineRule="atLeast"/>
        <w:rPr>
          <w:b/>
          <w:szCs w:val="22"/>
          <w:lang w:val="en"/>
        </w:rPr>
      </w:pPr>
    </w:p>
    <w:p w:rsidR="006B0488" w:rsidRPr="007E3B38" w:rsidRDefault="006B0488" w:rsidP="006B0488">
      <w:pPr>
        <w:spacing w:line="260" w:lineRule="atLeast"/>
        <w:rPr>
          <w:szCs w:val="22"/>
          <w:lang w:val="en"/>
        </w:rPr>
      </w:pPr>
      <w:r w:rsidRPr="007E3B38">
        <w:rPr>
          <w:snapToGrid w:val="0"/>
          <w:szCs w:val="22"/>
        </w:rPr>
        <w:t xml:space="preserve">Black’s Law Dictionary defines a formality as </w:t>
      </w:r>
      <w:r>
        <w:rPr>
          <w:snapToGrid w:val="0"/>
          <w:szCs w:val="22"/>
        </w:rPr>
        <w:t xml:space="preserve">an act, esp. an established form or conventional procedure, that must be done to make something legal.  </w:t>
      </w:r>
      <w:r w:rsidRPr="007E3B38">
        <w:rPr>
          <w:snapToGrid w:val="0"/>
          <w:szCs w:val="22"/>
        </w:rPr>
        <w:t xml:space="preserve">In the copyright context, the term “formality” refers to a procedural or administrative requirement, such as placing a copyright notice, deposing copies or registration, to be fulfilled as condition for the acquisition, enjoyment </w:t>
      </w:r>
      <w:r w:rsidRPr="007E3B38">
        <w:rPr>
          <w:snapToGrid w:val="0"/>
          <w:szCs w:val="22"/>
        </w:rPr>
        <w:lastRenderedPageBreak/>
        <w:t>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6B0488" w:rsidRPr="007E3B38" w:rsidRDefault="006B0488" w:rsidP="006B0488">
      <w:pPr>
        <w:spacing w:line="260" w:lineRule="atLeast"/>
        <w:rPr>
          <w:szCs w:val="22"/>
        </w:rPr>
      </w:pPr>
    </w:p>
    <w:p w:rsidR="006B0488" w:rsidRPr="007E3B38" w:rsidRDefault="006B0488" w:rsidP="006B0488">
      <w:pPr>
        <w:spacing w:line="260" w:lineRule="atLeast"/>
        <w:rPr>
          <w:rStyle w:val="Strong"/>
          <w:szCs w:val="22"/>
        </w:rPr>
      </w:pPr>
      <w:r w:rsidRPr="007E3B38">
        <w:rPr>
          <w:rStyle w:val="Strong"/>
          <w:szCs w:val="22"/>
        </w:rPr>
        <w:t>Genetic Material</w:t>
      </w:r>
    </w:p>
    <w:p w:rsidR="006B0488" w:rsidRPr="007E3B38" w:rsidRDefault="006B0488" w:rsidP="006B0488">
      <w:pPr>
        <w:spacing w:line="260" w:lineRule="atLeast"/>
        <w:rPr>
          <w:rStyle w:val="Strong"/>
          <w:szCs w:val="22"/>
        </w:rPr>
      </w:pPr>
    </w:p>
    <w:p w:rsidR="006B0488" w:rsidRPr="007E3B38" w:rsidRDefault="006B0488" w:rsidP="006B0488">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rPr>
        <w:t>any material of plant, animal, microbial or other origin containing functional units of heredity.”</w:t>
      </w:r>
      <w:r w:rsidRPr="007E3B38">
        <w:rPr>
          <w:szCs w:val="22"/>
        </w:rPr>
        <w:t xml:space="preserve"> </w:t>
      </w:r>
      <w:r>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6B0488" w:rsidRPr="007E3B38" w:rsidRDefault="006B0488" w:rsidP="006B0488">
      <w:pPr>
        <w:spacing w:line="260" w:lineRule="atLeast"/>
        <w:rPr>
          <w:szCs w:val="22"/>
        </w:rPr>
      </w:pPr>
    </w:p>
    <w:p w:rsidR="006B0488" w:rsidRPr="007E3B38" w:rsidRDefault="006B0488" w:rsidP="006B0488">
      <w:pPr>
        <w:spacing w:line="260" w:lineRule="atLeast"/>
        <w:rPr>
          <w:rStyle w:val="Strong"/>
          <w:szCs w:val="22"/>
        </w:rPr>
      </w:pPr>
      <w:r w:rsidRPr="007E3B38">
        <w:rPr>
          <w:rStyle w:val="Strong"/>
          <w:szCs w:val="22"/>
        </w:rPr>
        <w:t>Genetic Resources</w:t>
      </w:r>
    </w:p>
    <w:p w:rsidR="006B0488" w:rsidRPr="007E3B38" w:rsidRDefault="006B0488" w:rsidP="006B0488">
      <w:pPr>
        <w:spacing w:line="260" w:lineRule="atLeast"/>
        <w:rPr>
          <w:rStyle w:val="Strong"/>
          <w:szCs w:val="22"/>
        </w:rPr>
      </w:pPr>
    </w:p>
    <w:p w:rsidR="006B0488" w:rsidRPr="007E3B38" w:rsidRDefault="006B0488" w:rsidP="006B0488">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rPr>
        <w:t>genetic resources” as “genetic material of actual or potential value.”</w:t>
      </w:r>
      <w:r w:rsidRPr="007E3B38">
        <w:rPr>
          <w:szCs w:val="22"/>
        </w:rPr>
        <w:t xml:space="preserve"> </w:t>
      </w:r>
      <w:r>
        <w:rPr>
          <w:szCs w:val="22"/>
        </w:rPr>
        <w:t xml:space="preserve"> </w:t>
      </w:r>
    </w:p>
    <w:p w:rsidR="006B0488" w:rsidRPr="007E3B38" w:rsidRDefault="006B0488" w:rsidP="006B0488">
      <w:pPr>
        <w:spacing w:line="260" w:lineRule="atLeast"/>
        <w:rPr>
          <w:rStyle w:val="Emphasis"/>
        </w:rPr>
      </w:pPr>
    </w:p>
    <w:p w:rsidR="006B0488" w:rsidRPr="007E3B38" w:rsidRDefault="006B0488" w:rsidP="006B0488">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6B0488" w:rsidRPr="007E3B38" w:rsidRDefault="006B0488" w:rsidP="006B0488">
      <w:pPr>
        <w:spacing w:line="260" w:lineRule="atLeast"/>
        <w:rPr>
          <w:snapToGrid w:val="0"/>
          <w:szCs w:val="22"/>
        </w:rPr>
      </w:pPr>
    </w:p>
    <w:p w:rsidR="006B0488" w:rsidRPr="007E3B38" w:rsidRDefault="006B0488" w:rsidP="006B0488">
      <w:pPr>
        <w:spacing w:line="260" w:lineRule="atLeast"/>
        <w:rPr>
          <w:snapToGrid w:val="0"/>
          <w:szCs w:val="22"/>
        </w:rPr>
      </w:pPr>
      <w:r w:rsidRPr="007E3B38">
        <w:rPr>
          <w:snapToGrid w:val="0"/>
          <w:szCs w:val="22"/>
        </w:rPr>
        <w:t>Other legal instruments make reference to genetic resources using different terms:</w:t>
      </w:r>
    </w:p>
    <w:p w:rsidR="006B0488" w:rsidRPr="007E3B38" w:rsidRDefault="006B0488" w:rsidP="006B0488">
      <w:pPr>
        <w:spacing w:line="260" w:lineRule="atLeast"/>
        <w:rPr>
          <w:snapToGrid w:val="0"/>
          <w:szCs w:val="22"/>
        </w:rPr>
      </w:pPr>
    </w:p>
    <w:p w:rsidR="006B0488" w:rsidRPr="007E3B38" w:rsidRDefault="006B0488" w:rsidP="006B0488">
      <w:pPr>
        <w:spacing w:line="260" w:lineRule="atLeast"/>
        <w:rPr>
          <w:rStyle w:val="Emphasis"/>
          <w:i w:val="0"/>
        </w:rPr>
      </w:pPr>
      <w:r w:rsidRPr="007E3B38">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6B0488" w:rsidRPr="007E3B38" w:rsidRDefault="006B0488" w:rsidP="006B0488">
      <w:pPr>
        <w:spacing w:line="260" w:lineRule="atLeast"/>
        <w:rPr>
          <w:rStyle w:val="Emphasis"/>
          <w:i w:val="0"/>
        </w:rPr>
      </w:pPr>
    </w:p>
    <w:p w:rsidR="006B0488" w:rsidRPr="007E3B38" w:rsidRDefault="006B0488" w:rsidP="006B0488">
      <w:pPr>
        <w:spacing w:line="260" w:lineRule="atLeast"/>
        <w:rPr>
          <w:rStyle w:val="Emphasis"/>
          <w:i w:val="0"/>
        </w:rPr>
      </w:pPr>
      <w:r w:rsidRPr="007E3B38">
        <w:rPr>
          <w:rStyle w:val="Emphasis"/>
        </w:rPr>
        <w:t>Article 2 of the FAO International Code of Conduct for Plant Germplasm Collecting and Transfer (1993) defines plant genetic resources as “the reproductive or vegetative propagating materials of plants.”</w:t>
      </w:r>
    </w:p>
    <w:p w:rsidR="006B0488" w:rsidRPr="007E3B38" w:rsidRDefault="006B0488" w:rsidP="006B0488">
      <w:pPr>
        <w:spacing w:line="260" w:lineRule="atLeast"/>
        <w:rPr>
          <w:rStyle w:val="Emphasis"/>
          <w:i w:val="0"/>
        </w:rPr>
      </w:pPr>
    </w:p>
    <w:p w:rsidR="006B0488" w:rsidRDefault="006B0488" w:rsidP="006B0488">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  The International Undertaking does not refer to “functional units of heredity.”</w:t>
      </w:r>
    </w:p>
    <w:p w:rsidR="006B0488" w:rsidRPr="007E3B38" w:rsidRDefault="006B0488" w:rsidP="006B0488">
      <w:pPr>
        <w:spacing w:line="260" w:lineRule="atLeast"/>
        <w:rPr>
          <w:b/>
          <w:snapToGrid w:val="0"/>
          <w:szCs w:val="22"/>
        </w:rPr>
      </w:pPr>
    </w:p>
    <w:p w:rsidR="006B0488" w:rsidRPr="007E3B38" w:rsidRDefault="006B0488" w:rsidP="006B0488">
      <w:pPr>
        <w:spacing w:line="260" w:lineRule="atLeast"/>
        <w:rPr>
          <w:b/>
          <w:snapToGrid w:val="0"/>
          <w:szCs w:val="22"/>
        </w:rPr>
      </w:pPr>
      <w:r w:rsidRPr="007E3B38">
        <w:rPr>
          <w:b/>
          <w:snapToGrid w:val="0"/>
          <w:szCs w:val="22"/>
        </w:rPr>
        <w:t>Heritage (of Indigenous Peoples)</w:t>
      </w:r>
    </w:p>
    <w:p w:rsidR="006B0488" w:rsidRPr="007E3B38" w:rsidRDefault="006B0488" w:rsidP="006B0488">
      <w:pPr>
        <w:spacing w:line="260" w:lineRule="atLeast"/>
        <w:rPr>
          <w:b/>
          <w:snapToGrid w:val="0"/>
          <w:szCs w:val="22"/>
        </w:rPr>
      </w:pPr>
    </w:p>
    <w:p w:rsidR="006B0488" w:rsidRPr="007E3B38" w:rsidRDefault="006B0488" w:rsidP="006B0488">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Pr>
          <w:szCs w:val="22"/>
        </w:rPr>
        <w:t xml:space="preserve"> </w:t>
      </w:r>
      <w:r w:rsidRPr="007E3B38">
        <w:rPr>
          <w:szCs w:val="22"/>
        </w:rPr>
        <w:t xml:space="preserve"> Paragraph 14 stipulates that:</w:t>
      </w:r>
      <w:r>
        <w:rPr>
          <w:szCs w:val="22"/>
        </w:rPr>
        <w:t xml:space="preserve">  “[e]</w:t>
      </w:r>
      <w:r w:rsidRPr="007E3B38">
        <w:rPr>
          <w:szCs w:val="22"/>
        </w:rPr>
        <w:t>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6B0488" w:rsidRPr="007E3B38" w:rsidRDefault="006B0488" w:rsidP="006B0488">
      <w:pPr>
        <w:rPr>
          <w:b/>
          <w:szCs w:val="22"/>
        </w:rPr>
      </w:pPr>
    </w:p>
    <w:p w:rsidR="006B0488" w:rsidRPr="007E3B38" w:rsidRDefault="006B0488" w:rsidP="006B0488">
      <w:pPr>
        <w:rPr>
          <w:b/>
          <w:szCs w:val="22"/>
        </w:rPr>
      </w:pPr>
      <w:r w:rsidRPr="007E3B38">
        <w:rPr>
          <w:b/>
          <w:szCs w:val="22"/>
        </w:rPr>
        <w:t>Holder</w:t>
      </w:r>
    </w:p>
    <w:p w:rsidR="006B0488" w:rsidRPr="007E3B38" w:rsidRDefault="006B0488" w:rsidP="006B0488">
      <w:pPr>
        <w:rPr>
          <w:b/>
          <w:szCs w:val="22"/>
        </w:rPr>
      </w:pPr>
    </w:p>
    <w:p w:rsidR="006B0488" w:rsidRPr="007E3B38" w:rsidRDefault="006B0488" w:rsidP="006B0488">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6B0488" w:rsidRPr="007E3B38" w:rsidRDefault="006B0488" w:rsidP="006B0488">
      <w:pPr>
        <w:rPr>
          <w:szCs w:val="22"/>
        </w:rPr>
      </w:pPr>
    </w:p>
    <w:p w:rsidR="006B0488" w:rsidRPr="007E3B38" w:rsidRDefault="006B0488" w:rsidP="006B0488">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6B0488" w:rsidRPr="007E3B38" w:rsidRDefault="006B0488" w:rsidP="006B0488">
      <w:pPr>
        <w:rPr>
          <w:szCs w:val="22"/>
        </w:rPr>
      </w:pPr>
    </w:p>
    <w:p w:rsidR="006B0488" w:rsidRPr="007E3B38" w:rsidRDefault="006B0488" w:rsidP="006B0488">
      <w:pPr>
        <w:rPr>
          <w:b/>
          <w:szCs w:val="22"/>
        </w:rPr>
      </w:pPr>
      <w:r w:rsidRPr="007E3B38">
        <w:rPr>
          <w:b/>
          <w:szCs w:val="22"/>
        </w:rPr>
        <w:t>Indigenous and Local Communities</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6B0488" w:rsidRPr="007E3B38" w:rsidRDefault="006B0488" w:rsidP="006B0488">
      <w:pPr>
        <w:rPr>
          <w:szCs w:val="22"/>
        </w:rPr>
      </w:pPr>
    </w:p>
    <w:p w:rsidR="006B0488" w:rsidRPr="007E3B38" w:rsidRDefault="006B0488" w:rsidP="006B0488">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w:t>
      </w:r>
      <w:proofErr w:type="gramStart"/>
      <w:r w:rsidRPr="007E3B38">
        <w:rPr>
          <w:szCs w:val="22"/>
        </w:rPr>
        <w:t>:  “</w:t>
      </w:r>
      <w:proofErr w:type="gramEnd"/>
      <w:r w:rsidRPr="007E3B38">
        <w:rPr>
          <w:szCs w:val="22"/>
        </w:rPr>
        <w:t>[e]ach Contracting Party … shall in part</w:t>
      </w:r>
      <w:r>
        <w:rPr>
          <w:szCs w:val="22"/>
        </w:rPr>
        <w:t>icular, as appropriate:  … (c) [p]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w:t>
      </w:r>
      <w:r w:rsidRPr="007E3B38">
        <w:rPr>
          <w:szCs w:val="22"/>
        </w:rPr>
        <w:lastRenderedPageBreak/>
        <w:t>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6B0488" w:rsidRPr="007E3B38" w:rsidRDefault="006B0488" w:rsidP="006B0488">
      <w:pPr>
        <w:rPr>
          <w:szCs w:val="22"/>
        </w:rPr>
      </w:pPr>
    </w:p>
    <w:p w:rsidR="006B0488" w:rsidRPr="007E3B38" w:rsidRDefault="006B0488" w:rsidP="006B0488">
      <w:pPr>
        <w:rPr>
          <w:b/>
          <w:szCs w:val="22"/>
        </w:rPr>
      </w:pPr>
      <w:r w:rsidRPr="007E3B38">
        <w:rPr>
          <w:b/>
          <w:szCs w:val="22"/>
        </w:rPr>
        <w:t>Indigenous Knowledge</w:t>
      </w:r>
    </w:p>
    <w:p w:rsidR="006B0488" w:rsidRPr="007E3B38" w:rsidRDefault="006B0488" w:rsidP="006B0488">
      <w:pPr>
        <w:rPr>
          <w:b/>
          <w:szCs w:val="22"/>
        </w:rPr>
      </w:pPr>
    </w:p>
    <w:p w:rsidR="006B0488" w:rsidRPr="007E3B38" w:rsidRDefault="006B0488" w:rsidP="006B0488">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rsidR="006B0488" w:rsidRPr="007E3B38" w:rsidRDefault="006B0488" w:rsidP="006B0488">
      <w:pPr>
        <w:rPr>
          <w:b/>
          <w:szCs w:val="22"/>
        </w:rPr>
      </w:pPr>
    </w:p>
    <w:p w:rsidR="006B0488" w:rsidRPr="007E3B38" w:rsidRDefault="006B0488" w:rsidP="006B0488">
      <w:pPr>
        <w:rPr>
          <w:b/>
          <w:szCs w:val="22"/>
        </w:rPr>
      </w:pPr>
      <w:r w:rsidRPr="007E3B38">
        <w:rPr>
          <w:b/>
          <w:szCs w:val="22"/>
        </w:rPr>
        <w:t>Indigenous Peoples</w:t>
      </w:r>
    </w:p>
    <w:p w:rsidR="006B0488" w:rsidRPr="007E3B38" w:rsidRDefault="006B0488" w:rsidP="006B0488">
      <w:pPr>
        <w:rPr>
          <w:b/>
          <w:szCs w:val="22"/>
        </w:rPr>
      </w:pPr>
    </w:p>
    <w:p w:rsidR="006B0488" w:rsidRPr="007E3B38" w:rsidRDefault="006B0488" w:rsidP="006B0488">
      <w:pPr>
        <w:rPr>
          <w:szCs w:val="22"/>
        </w:rPr>
      </w:pPr>
      <w:r w:rsidRPr="007E3B38">
        <w:rPr>
          <w:szCs w:val="22"/>
        </w:rPr>
        <w:t>The term “indigenous peoples” has been the subject of considerable discussion and study and there is no universal, standard definition thereof.</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6B0488" w:rsidRPr="007E3B38" w:rsidRDefault="006B0488" w:rsidP="006B0488">
      <w:pPr>
        <w:rPr>
          <w:iCs/>
          <w:szCs w:val="22"/>
          <w:lang w:val="en-GB"/>
        </w:rPr>
      </w:pPr>
    </w:p>
    <w:p w:rsidR="006B0488" w:rsidRPr="007E3B38" w:rsidRDefault="006B0488" w:rsidP="006B0488">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6B0488" w:rsidRPr="007E3B38" w:rsidRDefault="006B0488" w:rsidP="006B0488">
      <w:pPr>
        <w:rPr>
          <w:iCs/>
          <w:szCs w:val="22"/>
          <w:lang w:val="en-GB"/>
        </w:rPr>
      </w:pPr>
    </w:p>
    <w:p w:rsidR="006B0488" w:rsidRPr="007E3B38" w:rsidRDefault="006B0488" w:rsidP="006B0488">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6B0488" w:rsidRPr="007E3B38" w:rsidRDefault="006B0488" w:rsidP="006B0488">
      <w:pPr>
        <w:pStyle w:val="FootnoteText"/>
        <w:ind w:left="567"/>
        <w:rPr>
          <w:iCs/>
          <w:sz w:val="22"/>
          <w:szCs w:val="22"/>
          <w:lang w:val="en-GB"/>
        </w:rPr>
      </w:pPr>
      <w:r w:rsidRPr="007E3B38">
        <w:rPr>
          <w:sz w:val="22"/>
          <w:szCs w:val="22"/>
        </w:rPr>
        <w:lastRenderedPageBreak/>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2"/>
      </w:r>
    </w:p>
    <w:p w:rsidR="006B0488" w:rsidRPr="007E3B38" w:rsidRDefault="006B0488" w:rsidP="006B0488">
      <w:pPr>
        <w:rPr>
          <w:iCs/>
          <w:szCs w:val="22"/>
          <w:lang w:val="en-GB"/>
        </w:rPr>
      </w:pPr>
    </w:p>
    <w:p w:rsidR="006B0488" w:rsidRPr="007E3B38" w:rsidRDefault="006B0488" w:rsidP="006B0488">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World Bank uses the term “indigenous peoples” in a generic sense to refer to distinct groups with the following characteristics in varying degrees: </w:t>
      </w:r>
    </w:p>
    <w:p w:rsidR="006B0488" w:rsidRPr="007E3B38" w:rsidRDefault="006B0488" w:rsidP="006B0488">
      <w:pPr>
        <w:rPr>
          <w:szCs w:val="22"/>
        </w:rPr>
      </w:pPr>
    </w:p>
    <w:p w:rsidR="006B0488" w:rsidRPr="00451286" w:rsidRDefault="006B0488" w:rsidP="006B0488">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6B0488" w:rsidRPr="007E3B38" w:rsidRDefault="006B0488" w:rsidP="006B0488">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6B0488" w:rsidRPr="00451286" w:rsidRDefault="006B0488" w:rsidP="006B0488">
      <w:pPr>
        <w:pStyle w:val="Default"/>
        <w:numPr>
          <w:ilvl w:val="0"/>
          <w:numId w:val="13"/>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6B0488" w:rsidRPr="007E3B38" w:rsidRDefault="006B0488" w:rsidP="006B0488">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74"/>
      </w:r>
    </w:p>
    <w:p w:rsidR="006B0488" w:rsidRPr="007E3B38" w:rsidRDefault="006B0488" w:rsidP="006B0488">
      <w:pPr>
        <w:pStyle w:val="Pa4"/>
        <w:rPr>
          <w:rFonts w:ascii="Arial" w:hAnsi="Arial" w:cs="Arial"/>
          <w:bCs/>
          <w:sz w:val="22"/>
          <w:szCs w:val="22"/>
        </w:rPr>
      </w:pPr>
    </w:p>
    <w:p w:rsidR="006B0488" w:rsidRPr="007E3B38" w:rsidRDefault="006B0488" w:rsidP="006B0488">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6B0488" w:rsidRPr="007E3B38" w:rsidRDefault="006B0488" w:rsidP="006B0488">
      <w:pPr>
        <w:rPr>
          <w:iCs/>
          <w:szCs w:val="22"/>
          <w:lang w:val="en-GB"/>
        </w:rPr>
      </w:pPr>
    </w:p>
    <w:p w:rsidR="006B0488" w:rsidRDefault="006B0488" w:rsidP="006B0488">
      <w:pPr>
        <w:numPr>
          <w:ilvl w:val="0"/>
          <w:numId w:val="17"/>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rsidR="006B0488" w:rsidRDefault="006B0488" w:rsidP="006B0488">
      <w:pPr>
        <w:numPr>
          <w:ilvl w:val="0"/>
          <w:numId w:val="17"/>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rsidR="006B0488" w:rsidRDefault="006B0488" w:rsidP="006B0488">
      <w:pPr>
        <w:numPr>
          <w:ilvl w:val="0"/>
          <w:numId w:val="17"/>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rsidR="006B0488" w:rsidRPr="007E3B38" w:rsidRDefault="006B0488" w:rsidP="006B0488">
      <w:pPr>
        <w:numPr>
          <w:ilvl w:val="0"/>
          <w:numId w:val="17"/>
        </w:numPr>
        <w:tabs>
          <w:tab w:val="clear" w:pos="1713"/>
          <w:tab w:val="num" w:pos="550"/>
        </w:tabs>
        <w:ind w:left="550" w:hanging="10"/>
        <w:rPr>
          <w:iCs/>
          <w:szCs w:val="22"/>
          <w:lang w:val="en-GB"/>
        </w:rPr>
      </w:pPr>
      <w:r>
        <w:rPr>
          <w:iCs/>
          <w:szCs w:val="22"/>
          <w:lang w:val="en-GB"/>
        </w:rPr>
        <w:lastRenderedPageBreak/>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rsidR="006B0488" w:rsidRPr="007E3B38" w:rsidRDefault="006B0488" w:rsidP="006B0488">
      <w:pPr>
        <w:rPr>
          <w:iCs/>
          <w:szCs w:val="22"/>
          <w:lang w:val="en-GB"/>
        </w:rPr>
      </w:pPr>
    </w:p>
    <w:p w:rsidR="006B0488" w:rsidRDefault="006B0488" w:rsidP="006B0488">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r w:rsidRPr="007E3B38">
        <w:rPr>
          <w:iCs/>
          <w:szCs w:val="22"/>
          <w:lang w:val="en-GB"/>
        </w:rPr>
        <w:t xml:space="preserve"> </w:t>
      </w:r>
    </w:p>
    <w:p w:rsidR="006B0488" w:rsidRPr="007E3B38" w:rsidRDefault="006B0488" w:rsidP="006B0488">
      <w:pPr>
        <w:rPr>
          <w:iCs/>
          <w:szCs w:val="22"/>
          <w:lang w:val="en-GB"/>
        </w:rPr>
      </w:pPr>
    </w:p>
    <w:p w:rsidR="006B0488" w:rsidRPr="007E3B38" w:rsidRDefault="006B0488" w:rsidP="006B0488">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6B0488" w:rsidRPr="007E3B38" w:rsidRDefault="006B0488" w:rsidP="006B0488">
      <w:pPr>
        <w:rPr>
          <w:szCs w:val="22"/>
        </w:rPr>
      </w:pPr>
    </w:p>
    <w:p w:rsidR="006B0488" w:rsidRPr="007E3B38" w:rsidRDefault="006B0488" w:rsidP="006B0488">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proofErr w:type="gramStart"/>
      <w:r w:rsidRPr="007E3B38">
        <w:rPr>
          <w:szCs w:val="22"/>
        </w:rPr>
        <w:t>”;  (</w:t>
      </w:r>
      <w:proofErr w:type="gramEnd"/>
      <w:r w:rsidRPr="007E3B38">
        <w:rPr>
          <w:szCs w:val="22"/>
        </w:rPr>
        <w:t>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 xml:space="preserve">” </w:t>
      </w:r>
    </w:p>
    <w:p w:rsidR="006B0488" w:rsidRPr="007E3B38" w:rsidRDefault="006B0488" w:rsidP="006B0488">
      <w:pPr>
        <w:rPr>
          <w:szCs w:val="22"/>
        </w:rPr>
      </w:pPr>
    </w:p>
    <w:p w:rsidR="006B0488" w:rsidRDefault="006B0488" w:rsidP="006B0488">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w:t>
      </w:r>
      <w:proofErr w:type="gramStart"/>
      <w:r w:rsidRPr="007E3B38">
        <w:rPr>
          <w:szCs w:val="22"/>
        </w:rPr>
        <w:t>:  “</w:t>
      </w:r>
      <w:proofErr w:type="gramEnd"/>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rsidR="006B0488" w:rsidRPr="007E3B38" w:rsidRDefault="006B0488" w:rsidP="006B0488">
      <w:pPr>
        <w:rPr>
          <w:szCs w:val="22"/>
        </w:rPr>
      </w:pPr>
    </w:p>
    <w:p w:rsidR="006B0488" w:rsidRPr="007E3B38" w:rsidRDefault="006B0488" w:rsidP="006B0488">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6B0488" w:rsidRDefault="006B0488" w:rsidP="006B0488">
      <w:pPr>
        <w:rPr>
          <w:b/>
          <w:szCs w:val="22"/>
        </w:rPr>
      </w:pPr>
    </w:p>
    <w:p w:rsidR="00AF0544" w:rsidRDefault="00AF0544" w:rsidP="006B0488">
      <w:pPr>
        <w:rPr>
          <w:b/>
          <w:szCs w:val="22"/>
        </w:rPr>
      </w:pPr>
    </w:p>
    <w:p w:rsidR="00AF0544" w:rsidRDefault="00AF0544" w:rsidP="006B0488">
      <w:pPr>
        <w:rPr>
          <w:b/>
          <w:szCs w:val="22"/>
        </w:rPr>
      </w:pPr>
    </w:p>
    <w:p w:rsidR="00AF0544" w:rsidRDefault="00AF0544" w:rsidP="006B0488">
      <w:pPr>
        <w:rPr>
          <w:b/>
          <w:szCs w:val="22"/>
        </w:rPr>
      </w:pPr>
    </w:p>
    <w:p w:rsidR="00AF0544" w:rsidRPr="007E3B38" w:rsidRDefault="00AF0544" w:rsidP="006B0488">
      <w:pPr>
        <w:rPr>
          <w:b/>
          <w:szCs w:val="22"/>
        </w:rPr>
      </w:pPr>
    </w:p>
    <w:p w:rsidR="006B0488" w:rsidRPr="007E3B38" w:rsidRDefault="006B0488" w:rsidP="006B0488">
      <w:pPr>
        <w:rPr>
          <w:b/>
          <w:szCs w:val="22"/>
        </w:rPr>
      </w:pPr>
      <w:r w:rsidRPr="007E3B38">
        <w:rPr>
          <w:b/>
          <w:szCs w:val="22"/>
        </w:rPr>
        <w:lastRenderedPageBreak/>
        <w:t>Infringement</w:t>
      </w:r>
    </w:p>
    <w:p w:rsidR="006B0488" w:rsidRPr="007E3B38" w:rsidRDefault="006B0488" w:rsidP="006B0488">
      <w:pPr>
        <w:rPr>
          <w:b/>
          <w:szCs w:val="22"/>
          <w:lang w:val="en"/>
        </w:rPr>
      </w:pPr>
    </w:p>
    <w:p w:rsidR="006B0488" w:rsidRPr="007E3B38" w:rsidRDefault="006B0488" w:rsidP="006B0488">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6B0488" w:rsidRPr="007E3B38" w:rsidRDefault="006B0488" w:rsidP="006B0488">
      <w:pPr>
        <w:rPr>
          <w:szCs w:val="22"/>
          <w:lang w:val="en"/>
        </w:rPr>
      </w:pPr>
    </w:p>
    <w:p w:rsidR="006B0488" w:rsidRPr="009A7E8F" w:rsidRDefault="006B0488" w:rsidP="006B0488">
      <w:pPr>
        <w:spacing w:line="260" w:lineRule="atLeast"/>
        <w:rPr>
          <w:b/>
          <w:snapToGrid w:val="0"/>
          <w:szCs w:val="22"/>
        </w:rPr>
      </w:pPr>
      <w:r w:rsidRPr="00920AF8">
        <w:rPr>
          <w:b/>
          <w:i/>
          <w:snapToGrid w:val="0"/>
          <w:szCs w:val="22"/>
        </w:rPr>
        <w:t>In-situ</w:t>
      </w:r>
      <w:r>
        <w:rPr>
          <w:b/>
          <w:i/>
          <w:snapToGrid w:val="0"/>
          <w:szCs w:val="22"/>
        </w:rPr>
        <w:t xml:space="preserve"> </w:t>
      </w:r>
      <w:r>
        <w:rPr>
          <w:b/>
          <w:snapToGrid w:val="0"/>
          <w:szCs w:val="22"/>
        </w:rPr>
        <w:t>Conditions</w:t>
      </w:r>
    </w:p>
    <w:p w:rsidR="006B0488" w:rsidRPr="007E3B38" w:rsidRDefault="006B0488" w:rsidP="006B0488">
      <w:pPr>
        <w:spacing w:line="260" w:lineRule="atLeast"/>
        <w:rPr>
          <w:b/>
          <w:snapToGrid w:val="0"/>
          <w:szCs w:val="22"/>
        </w:rPr>
      </w:pPr>
    </w:p>
    <w:p w:rsidR="006B0488" w:rsidRPr="007E3B38" w:rsidRDefault="006B0488" w:rsidP="006B0488">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rsidR="006B0488" w:rsidRPr="007E3B38" w:rsidRDefault="006B0488" w:rsidP="006B0488">
      <w:pPr>
        <w:spacing w:line="260" w:lineRule="atLeast"/>
        <w:rPr>
          <w:b/>
          <w:szCs w:val="22"/>
        </w:rPr>
      </w:pPr>
    </w:p>
    <w:p w:rsidR="006B0488" w:rsidRPr="007E3B38" w:rsidRDefault="006B0488" w:rsidP="006B0488">
      <w:pPr>
        <w:spacing w:line="260" w:lineRule="atLeast"/>
        <w:rPr>
          <w:b/>
          <w:szCs w:val="22"/>
        </w:rPr>
      </w:pPr>
      <w:r w:rsidRPr="007E3B38">
        <w:rPr>
          <w:b/>
          <w:szCs w:val="22"/>
        </w:rPr>
        <w:t>Intangible Cultural Heritage</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6B0488" w:rsidRPr="007E3B38" w:rsidRDefault="006B0488" w:rsidP="006B0488">
      <w:pPr>
        <w:spacing w:line="260" w:lineRule="atLeast"/>
        <w:rPr>
          <w:szCs w:val="22"/>
        </w:rPr>
      </w:pPr>
    </w:p>
    <w:p w:rsidR="006B0488" w:rsidRDefault="006B0488" w:rsidP="006B0488">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rsidR="006B0488" w:rsidRDefault="006B0488" w:rsidP="006B0488">
      <w:pPr>
        <w:spacing w:line="260" w:lineRule="atLeast"/>
        <w:rPr>
          <w:b/>
          <w:szCs w:val="22"/>
          <w:lang w:val="en-GB"/>
        </w:rPr>
      </w:pPr>
    </w:p>
    <w:p w:rsidR="006B0488" w:rsidRPr="007E3B38" w:rsidRDefault="006B0488" w:rsidP="006B0488">
      <w:pPr>
        <w:spacing w:line="260" w:lineRule="atLeast"/>
        <w:rPr>
          <w:b/>
          <w:szCs w:val="22"/>
          <w:lang w:val="en-GB"/>
        </w:rPr>
      </w:pPr>
      <w:r w:rsidRPr="007E3B38">
        <w:rPr>
          <w:b/>
          <w:szCs w:val="22"/>
          <w:lang w:val="en-GB"/>
        </w:rPr>
        <w:t>Integrity</w:t>
      </w:r>
    </w:p>
    <w:p w:rsidR="006B0488" w:rsidRPr="007E3B38" w:rsidRDefault="006B0488" w:rsidP="006B0488">
      <w:pPr>
        <w:spacing w:line="260" w:lineRule="atLeast"/>
        <w:rPr>
          <w:b/>
          <w:szCs w:val="22"/>
          <w:lang w:val="en-GB"/>
        </w:rPr>
      </w:pPr>
    </w:p>
    <w:p w:rsidR="006B0488" w:rsidRPr="007E3B38" w:rsidRDefault="006B0488" w:rsidP="006B0488">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6B0488" w:rsidRPr="007E3B38" w:rsidRDefault="006B0488" w:rsidP="006B0488">
      <w:pPr>
        <w:spacing w:line="260" w:lineRule="atLeast"/>
        <w:rPr>
          <w:b/>
          <w:szCs w:val="22"/>
        </w:rPr>
      </w:pPr>
    </w:p>
    <w:p w:rsidR="006B0488" w:rsidRPr="007E3B38" w:rsidRDefault="006B0488" w:rsidP="006B0488">
      <w:pPr>
        <w:spacing w:line="260" w:lineRule="atLeast"/>
        <w:rPr>
          <w:b/>
          <w:szCs w:val="22"/>
        </w:rPr>
      </w:pPr>
      <w:r w:rsidRPr="007E3B38">
        <w:rPr>
          <w:b/>
          <w:szCs w:val="22"/>
        </w:rPr>
        <w:t>Intellectual Property Guidelines for Access and Benefit-sharing</w:t>
      </w:r>
    </w:p>
    <w:p w:rsidR="006B0488" w:rsidRPr="007E3B38" w:rsidRDefault="006B0488" w:rsidP="006B0488">
      <w:pPr>
        <w:spacing w:line="260" w:lineRule="atLeast"/>
        <w:rPr>
          <w:b/>
          <w:szCs w:val="22"/>
        </w:rPr>
      </w:pPr>
    </w:p>
    <w:p w:rsidR="006B0488" w:rsidRPr="007E3B38" w:rsidRDefault="006B0488" w:rsidP="006B0488">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1"/>
      </w:r>
    </w:p>
    <w:p w:rsidR="006B0488" w:rsidRPr="007E3B38" w:rsidRDefault="006B0488" w:rsidP="006B0488">
      <w:pPr>
        <w:pStyle w:val="NormalArial"/>
        <w:ind w:left="0"/>
        <w:rPr>
          <w:rFonts w:cs="Arial"/>
          <w:sz w:val="22"/>
          <w:szCs w:val="22"/>
        </w:rPr>
      </w:pPr>
    </w:p>
    <w:p w:rsidR="006B0488" w:rsidRPr="007E3B38" w:rsidRDefault="006B0488" w:rsidP="006B0488">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3"/>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84"/>
      </w:r>
    </w:p>
    <w:p w:rsidR="006B0488" w:rsidRPr="007E3B38" w:rsidRDefault="006B0488" w:rsidP="006B0488">
      <w:pPr>
        <w:pStyle w:val="NormalArial"/>
        <w:ind w:left="0"/>
        <w:rPr>
          <w:rFonts w:cs="Arial"/>
          <w:bCs/>
          <w:sz w:val="22"/>
          <w:szCs w:val="22"/>
        </w:rPr>
      </w:pPr>
    </w:p>
    <w:p w:rsidR="006B0488" w:rsidRPr="007E3B38" w:rsidRDefault="006B0488" w:rsidP="006B0488">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6B0488" w:rsidRPr="007E3B38" w:rsidRDefault="006B0488" w:rsidP="006B0488">
      <w:pPr>
        <w:pStyle w:val="Para1"/>
        <w:tabs>
          <w:tab w:val="clear" w:pos="360"/>
          <w:tab w:val="left" w:pos="567"/>
        </w:tabs>
        <w:spacing w:before="0" w:after="0" w:line="260" w:lineRule="atLeast"/>
        <w:ind w:left="0" w:firstLine="0"/>
        <w:rPr>
          <w:rFonts w:ascii="Arial" w:hAnsi="Arial" w:cs="Arial"/>
          <w:szCs w:val="22"/>
        </w:rPr>
      </w:pPr>
    </w:p>
    <w:p w:rsidR="006B0488" w:rsidRPr="007E3B38" w:rsidRDefault="006B0488" w:rsidP="006B0488">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6B0488" w:rsidRPr="007E3B38" w:rsidRDefault="006B0488" w:rsidP="006B0488">
      <w:pPr>
        <w:pStyle w:val="Para1"/>
        <w:tabs>
          <w:tab w:val="clear" w:pos="360"/>
          <w:tab w:val="left" w:pos="567"/>
        </w:tabs>
        <w:spacing w:before="0" w:after="0" w:line="260" w:lineRule="atLeast"/>
        <w:ind w:left="0" w:firstLine="0"/>
        <w:jc w:val="left"/>
        <w:rPr>
          <w:rFonts w:ascii="Arial" w:hAnsi="Arial" w:cs="Arial"/>
          <w:szCs w:val="22"/>
          <w:lang w:eastAsia="zh-CN"/>
        </w:rPr>
      </w:pPr>
    </w:p>
    <w:p w:rsidR="006B0488" w:rsidRPr="007E3B38" w:rsidRDefault="006B0488" w:rsidP="006B0488">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6B0488" w:rsidRPr="007E3B38" w:rsidRDefault="006B0488" w:rsidP="006B0488">
      <w:pPr>
        <w:spacing w:line="260" w:lineRule="atLeast"/>
        <w:rPr>
          <w:snapToGrid w:val="0"/>
          <w:szCs w:val="22"/>
          <w:lang w:val="en-GB"/>
        </w:rPr>
      </w:pPr>
    </w:p>
    <w:p w:rsidR="006B0488" w:rsidRPr="007E3B38" w:rsidRDefault="006B0488" w:rsidP="006B0488">
      <w:pPr>
        <w:spacing w:line="260" w:lineRule="atLeast"/>
        <w:rPr>
          <w:b/>
          <w:szCs w:val="22"/>
        </w:rPr>
      </w:pPr>
      <w:r w:rsidRPr="007E3B38">
        <w:rPr>
          <w:b/>
          <w:szCs w:val="22"/>
        </w:rPr>
        <w:t xml:space="preserve">International Patent Classification </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6B0488" w:rsidRPr="007E3B38" w:rsidRDefault="006B0488" w:rsidP="006B0488">
      <w:pPr>
        <w:spacing w:line="260" w:lineRule="atLeast"/>
        <w:rPr>
          <w:szCs w:val="22"/>
        </w:rPr>
      </w:pPr>
    </w:p>
    <w:p w:rsidR="006B0488" w:rsidRDefault="006B0488" w:rsidP="006B0488">
      <w:pPr>
        <w:spacing w:line="260" w:lineRule="atLeast"/>
        <w:rPr>
          <w:szCs w:val="22"/>
          <w:lang w:val="en"/>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 xml:space="preserve">the amendments which have entered into force pursuant to Article 2(2) of the European Convention prior to the </w:t>
      </w:r>
      <w:r w:rsidRPr="007E3B38">
        <w:rPr>
          <w:szCs w:val="22"/>
          <w:lang w:val="en"/>
        </w:rPr>
        <w:lastRenderedPageBreak/>
        <w:t>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
    <w:p w:rsidR="006B0488" w:rsidRDefault="006B0488" w:rsidP="006B0488">
      <w:pPr>
        <w:spacing w:line="260" w:lineRule="atLeast"/>
        <w:rPr>
          <w:szCs w:val="22"/>
        </w:rPr>
      </w:pPr>
    </w:p>
    <w:p w:rsidR="006B0488" w:rsidRPr="00DA3E4B" w:rsidRDefault="006B0488" w:rsidP="006B0488">
      <w:pPr>
        <w:spacing w:line="260" w:lineRule="atLeast"/>
        <w:rPr>
          <w:b/>
          <w:szCs w:val="22"/>
        </w:rPr>
      </w:pPr>
      <w:r w:rsidRPr="00DA3E4B">
        <w:rPr>
          <w:b/>
          <w:szCs w:val="22"/>
        </w:rPr>
        <w:t xml:space="preserve">International Treaty on Plant Genetic Resources for Food and Agriculture </w:t>
      </w:r>
    </w:p>
    <w:p w:rsidR="006B0488" w:rsidRDefault="006B0488" w:rsidP="006B0488">
      <w:pPr>
        <w:spacing w:line="260" w:lineRule="atLeast"/>
        <w:rPr>
          <w:szCs w:val="22"/>
        </w:rPr>
      </w:pPr>
    </w:p>
    <w:p w:rsidR="006B0488" w:rsidRPr="00F06CBE" w:rsidRDefault="006B0488" w:rsidP="006B0488">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was adopted by the Thirty-First Session of the Conference of the Food and Agriculture Organization of the United Nations on November 3, 2001, and entered into force in 2004.  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ascii="Arial" w:hAnsi="Arial" w:cs="Arial"/>
          <w:sz w:val="22"/>
          <w:szCs w:val="22"/>
          <w:lang w:val="en"/>
        </w:rPr>
        <w:footnoteReference w:id="89"/>
      </w:r>
    </w:p>
    <w:p w:rsidR="006B0488" w:rsidRPr="007E3B38" w:rsidRDefault="006B0488" w:rsidP="006B0488">
      <w:pPr>
        <w:spacing w:line="260" w:lineRule="atLeast"/>
        <w:rPr>
          <w:szCs w:val="22"/>
        </w:rPr>
      </w:pPr>
    </w:p>
    <w:p w:rsidR="006B0488" w:rsidRPr="007E3B38" w:rsidRDefault="006B0488" w:rsidP="006B0488">
      <w:pPr>
        <w:spacing w:line="260" w:lineRule="atLeast"/>
        <w:rPr>
          <w:b/>
          <w:szCs w:val="22"/>
        </w:rPr>
      </w:pPr>
      <w:r w:rsidRPr="007E3B38">
        <w:rPr>
          <w:b/>
          <w:szCs w:val="22"/>
        </w:rPr>
        <w:t>Inventive Step</w:t>
      </w:r>
    </w:p>
    <w:p w:rsidR="006B0488" w:rsidRPr="007E3B38" w:rsidRDefault="006B0488" w:rsidP="006B0488">
      <w:pPr>
        <w:spacing w:line="260" w:lineRule="atLeast"/>
        <w:rPr>
          <w:b/>
          <w:szCs w:val="22"/>
        </w:rPr>
      </w:pPr>
    </w:p>
    <w:p w:rsidR="006B0488" w:rsidRPr="007E3B38" w:rsidRDefault="006B0488" w:rsidP="006B0488">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6B0488" w:rsidRPr="007E3B38" w:rsidRDefault="006B0488" w:rsidP="006B0488">
      <w:pPr>
        <w:autoSpaceDE w:val="0"/>
        <w:autoSpaceDN w:val="0"/>
        <w:adjustRightInd w:val="0"/>
        <w:spacing w:line="260" w:lineRule="atLeast"/>
        <w:rPr>
          <w:bCs/>
          <w:szCs w:val="22"/>
        </w:rPr>
      </w:pPr>
    </w:p>
    <w:p w:rsidR="006B0488" w:rsidRPr="007E3B38" w:rsidRDefault="006B0488" w:rsidP="006B0488">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6B0488" w:rsidRPr="007E3B38" w:rsidRDefault="006B0488" w:rsidP="006B0488">
      <w:pPr>
        <w:autoSpaceDE w:val="0"/>
        <w:autoSpaceDN w:val="0"/>
        <w:adjustRightInd w:val="0"/>
        <w:spacing w:line="260" w:lineRule="atLeast"/>
        <w:rPr>
          <w:bCs/>
          <w:szCs w:val="22"/>
        </w:rPr>
      </w:pPr>
    </w:p>
    <w:p w:rsidR="006B0488" w:rsidRPr="007E3B38" w:rsidRDefault="006B0488" w:rsidP="006B0488">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rsidR="006B0488" w:rsidRPr="007E3B38" w:rsidRDefault="006B0488" w:rsidP="006B0488">
      <w:pPr>
        <w:autoSpaceDE w:val="0"/>
        <w:autoSpaceDN w:val="0"/>
        <w:adjustRightInd w:val="0"/>
        <w:spacing w:line="260" w:lineRule="atLeast"/>
        <w:rPr>
          <w:bCs/>
          <w:szCs w:val="22"/>
          <w:lang w:eastAsia="en-US" w:bidi="th-TH"/>
        </w:rPr>
      </w:pPr>
    </w:p>
    <w:p w:rsidR="006B0488" w:rsidRPr="007E3B38" w:rsidRDefault="006B0488" w:rsidP="006B0488">
      <w:pPr>
        <w:spacing w:line="260" w:lineRule="atLeast"/>
        <w:rPr>
          <w:b/>
          <w:snapToGrid w:val="0"/>
          <w:szCs w:val="22"/>
        </w:rPr>
      </w:pPr>
      <w:r w:rsidRPr="007E3B38">
        <w:rPr>
          <w:b/>
          <w:snapToGrid w:val="0"/>
          <w:szCs w:val="22"/>
        </w:rPr>
        <w:t>Licensing Agreements</w:t>
      </w:r>
    </w:p>
    <w:p w:rsidR="006B0488" w:rsidRPr="007E3B38" w:rsidRDefault="006B0488" w:rsidP="006B0488">
      <w:pPr>
        <w:spacing w:line="260" w:lineRule="atLeast"/>
        <w:rPr>
          <w:b/>
          <w:snapToGrid w:val="0"/>
          <w:szCs w:val="22"/>
        </w:rPr>
      </w:pPr>
    </w:p>
    <w:p w:rsidR="006B0488" w:rsidRPr="007E3B38" w:rsidRDefault="006B0488" w:rsidP="006B0488">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6B0488" w:rsidRPr="007E3B38" w:rsidRDefault="006B0488" w:rsidP="006B0488">
      <w:pPr>
        <w:rPr>
          <w:b/>
          <w:szCs w:val="22"/>
        </w:rPr>
      </w:pPr>
    </w:p>
    <w:p w:rsidR="006B0488" w:rsidRDefault="006B0488" w:rsidP="006B0488">
      <w:pPr>
        <w:spacing w:line="260" w:lineRule="atLeast"/>
        <w:rPr>
          <w:b/>
          <w:szCs w:val="22"/>
        </w:rPr>
      </w:pPr>
      <w:r>
        <w:rPr>
          <w:b/>
          <w:szCs w:val="22"/>
        </w:rPr>
        <w:br w:type="page"/>
      </w:r>
    </w:p>
    <w:p w:rsidR="006B0488" w:rsidRPr="007E3B38" w:rsidRDefault="006B0488" w:rsidP="006B0488">
      <w:pPr>
        <w:spacing w:line="260" w:lineRule="atLeast"/>
        <w:rPr>
          <w:b/>
          <w:szCs w:val="22"/>
        </w:rPr>
      </w:pPr>
      <w:r w:rsidRPr="007E3B38">
        <w:rPr>
          <w:b/>
          <w:szCs w:val="22"/>
        </w:rPr>
        <w:lastRenderedPageBreak/>
        <w:t>Limitations</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Black’s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rsidR="006B0488" w:rsidRPr="007E3B38" w:rsidRDefault="006B0488" w:rsidP="006B0488">
      <w:pPr>
        <w:spacing w:line="260" w:lineRule="atLeast"/>
        <w:rPr>
          <w:szCs w:val="22"/>
          <w:lang w:val="en"/>
        </w:rPr>
      </w:pPr>
    </w:p>
    <w:p w:rsidR="006B0488" w:rsidRPr="007E3B38" w:rsidRDefault="006B0488" w:rsidP="006B0488">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has been extended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6B0488" w:rsidRPr="007E3B38" w:rsidRDefault="006B0488" w:rsidP="006B0488">
      <w:pPr>
        <w:autoSpaceDE w:val="0"/>
        <w:autoSpaceDN w:val="0"/>
        <w:adjustRightInd w:val="0"/>
        <w:rPr>
          <w:szCs w:val="22"/>
          <w:lang w:val="en"/>
        </w:rPr>
      </w:pPr>
    </w:p>
    <w:p w:rsidR="006B0488" w:rsidRPr="007E3B38" w:rsidRDefault="006B0488" w:rsidP="006B0488">
      <w:pPr>
        <w:spacing w:line="260" w:lineRule="atLeast"/>
        <w:rPr>
          <w:b/>
          <w:szCs w:val="22"/>
        </w:rPr>
      </w:pPr>
      <w:r w:rsidRPr="007E3B38">
        <w:rPr>
          <w:b/>
          <w:szCs w:val="22"/>
        </w:rPr>
        <w:t xml:space="preserve">Material Transfer Agreements </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6B0488" w:rsidRPr="007E3B38" w:rsidRDefault="006B0488" w:rsidP="006B0488">
      <w:pPr>
        <w:rPr>
          <w:b/>
          <w:szCs w:val="22"/>
        </w:rPr>
      </w:pPr>
    </w:p>
    <w:p w:rsidR="006B0488" w:rsidRPr="007E3B38" w:rsidRDefault="006B0488" w:rsidP="006B0488">
      <w:pPr>
        <w:spacing w:line="260" w:lineRule="atLeast"/>
        <w:rPr>
          <w:b/>
          <w:szCs w:val="22"/>
        </w:rPr>
      </w:pPr>
      <w:r w:rsidRPr="007E3B38">
        <w:rPr>
          <w:b/>
          <w:szCs w:val="22"/>
        </w:rPr>
        <w:t>Minimum Documentation PCT</w:t>
      </w:r>
    </w:p>
    <w:p w:rsidR="006B0488" w:rsidRPr="007E3B38" w:rsidRDefault="006B0488" w:rsidP="006B0488">
      <w:pPr>
        <w:spacing w:line="260" w:lineRule="atLeast"/>
        <w:rPr>
          <w:b/>
          <w:szCs w:val="22"/>
        </w:rPr>
      </w:pPr>
    </w:p>
    <w:p w:rsidR="006B0488" w:rsidRPr="007E3B38" w:rsidRDefault="006B0488" w:rsidP="006B0488">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rPr>
      </w:pPr>
      <w:r w:rsidRPr="007E3B38">
        <w:rPr>
          <w:szCs w:val="22"/>
        </w:rPr>
        <w:lastRenderedPageBreak/>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rsidR="006B048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are identified as non-patent literature in the “PCT Minimum Documentation – List of Periodicals:  Periodicals to Be Used for Search and Examination.”</w:t>
      </w:r>
    </w:p>
    <w:p w:rsidR="006B0488" w:rsidRPr="007E3B38" w:rsidRDefault="006B0488" w:rsidP="006B0488">
      <w:pPr>
        <w:rPr>
          <w:b/>
          <w:szCs w:val="22"/>
        </w:rPr>
      </w:pPr>
    </w:p>
    <w:p w:rsidR="006B0488" w:rsidRPr="007E3B38" w:rsidRDefault="006B0488" w:rsidP="006B0488">
      <w:pPr>
        <w:autoSpaceDE w:val="0"/>
        <w:autoSpaceDN w:val="0"/>
        <w:adjustRightInd w:val="0"/>
        <w:spacing w:line="260" w:lineRule="atLeast"/>
        <w:rPr>
          <w:b/>
          <w:szCs w:val="22"/>
        </w:rPr>
      </w:pPr>
      <w:r w:rsidRPr="007E3B38">
        <w:rPr>
          <w:b/>
          <w:szCs w:val="22"/>
        </w:rPr>
        <w:t>Minority</w:t>
      </w:r>
    </w:p>
    <w:p w:rsidR="006B0488" w:rsidRPr="007E3B38" w:rsidRDefault="006B0488" w:rsidP="006B0488">
      <w:pPr>
        <w:autoSpaceDE w:val="0"/>
        <w:autoSpaceDN w:val="0"/>
        <w:adjustRightInd w:val="0"/>
        <w:spacing w:line="260" w:lineRule="atLeast"/>
        <w:rPr>
          <w:b/>
          <w:szCs w:val="22"/>
        </w:rPr>
      </w:pPr>
    </w:p>
    <w:p w:rsidR="006B0488" w:rsidRDefault="006B0488" w:rsidP="006B0488">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6B0488" w:rsidRPr="007E3B38" w:rsidRDefault="006B0488" w:rsidP="006B0488">
      <w:pPr>
        <w:autoSpaceDE w:val="0"/>
        <w:autoSpaceDN w:val="0"/>
        <w:adjustRightInd w:val="0"/>
        <w:spacing w:line="260" w:lineRule="atLeast"/>
        <w:rPr>
          <w:szCs w:val="22"/>
          <w:lang w:val="en"/>
        </w:rPr>
      </w:pPr>
    </w:p>
    <w:p w:rsidR="006B0488" w:rsidRPr="007E3B38" w:rsidRDefault="006B0488" w:rsidP="006B0488">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b/>
          <w:szCs w:val="22"/>
        </w:rPr>
      </w:pPr>
      <w:r w:rsidRPr="007E3B38">
        <w:rPr>
          <w:b/>
          <w:szCs w:val="22"/>
        </w:rPr>
        <w:t>Misappropriation</w:t>
      </w:r>
    </w:p>
    <w:p w:rsidR="006B0488" w:rsidRPr="007E3B38" w:rsidRDefault="006B0488" w:rsidP="006B0488">
      <w:pPr>
        <w:autoSpaceDE w:val="0"/>
        <w:autoSpaceDN w:val="0"/>
        <w:adjustRightInd w:val="0"/>
        <w:spacing w:line="260" w:lineRule="atLeast"/>
        <w:rPr>
          <w:b/>
          <w:szCs w:val="22"/>
        </w:rPr>
      </w:pPr>
    </w:p>
    <w:p w:rsidR="006B0488" w:rsidRPr="007E3B38" w:rsidRDefault="006B0488" w:rsidP="006B0488">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w:t>
      </w:r>
      <w:proofErr w:type="gramStart"/>
      <w:r w:rsidRPr="007E3B38">
        <w:rPr>
          <w:szCs w:val="22"/>
        </w:rPr>
        <w:t>:  (</w:t>
      </w:r>
      <w:proofErr w:type="gramEnd"/>
      <w:r w:rsidRPr="007E3B38">
        <w:rPr>
          <w:szCs w:val="22"/>
        </w:rPr>
        <w:t>1)</w:t>
      </w:r>
      <w:r>
        <w:rPr>
          <w:szCs w:val="22"/>
        </w:rPr>
        <w:t xml:space="preserve"> </w:t>
      </w:r>
      <w:r w:rsidRPr="007E3B38">
        <w:rPr>
          <w:szCs w:val="22"/>
        </w:rPr>
        <w:t xml:space="preserve"> the plaintiff must have invested time, money, or effort to </w:t>
      </w:r>
      <w:r w:rsidRPr="007E3B38">
        <w:rPr>
          <w:szCs w:val="22"/>
        </w:rPr>
        <w:lastRenderedPageBreak/>
        <w:t xml:space="preserve">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
    <w:p w:rsidR="006B0488" w:rsidRDefault="006B0488" w:rsidP="006B0488">
      <w:pPr>
        <w:autoSpaceDE w:val="0"/>
        <w:autoSpaceDN w:val="0"/>
        <w:adjustRightInd w:val="0"/>
        <w:spacing w:line="260" w:lineRule="atLeast"/>
        <w:rPr>
          <w:szCs w:val="22"/>
        </w:rPr>
      </w:pPr>
    </w:p>
    <w:p w:rsidR="006B0488" w:rsidRPr="00BD225A" w:rsidRDefault="006B0488" w:rsidP="006B0488">
      <w:pPr>
        <w:autoSpaceDE w:val="0"/>
        <w:autoSpaceDN w:val="0"/>
        <w:adjustRightInd w:val="0"/>
        <w:spacing w:line="260" w:lineRule="atLeast"/>
        <w:rPr>
          <w:szCs w:val="22"/>
        </w:rPr>
      </w:pPr>
      <w:r w:rsidRPr="007E3B38">
        <w:rPr>
          <w:b/>
          <w:szCs w:val="22"/>
        </w:rPr>
        <w:t>Misuse</w:t>
      </w:r>
      <w:r w:rsidRPr="00AF287D">
        <w:rPr>
          <w:rStyle w:val="FootnoteReference"/>
          <w:szCs w:val="22"/>
        </w:rPr>
        <w:footnoteReference w:id="109"/>
      </w:r>
    </w:p>
    <w:p w:rsidR="006B0488" w:rsidRPr="007E3B38" w:rsidRDefault="006B0488" w:rsidP="006B0488">
      <w:pPr>
        <w:autoSpaceDE w:val="0"/>
        <w:autoSpaceDN w:val="0"/>
        <w:adjustRightInd w:val="0"/>
        <w:spacing w:line="260" w:lineRule="atLeast"/>
        <w:rPr>
          <w:b/>
          <w:szCs w:val="22"/>
        </w:rPr>
      </w:pPr>
    </w:p>
    <w:p w:rsidR="006B0488" w:rsidRPr="007E3B38" w:rsidRDefault="006B0488" w:rsidP="006B0488">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6B0488" w:rsidRPr="007E3B38" w:rsidRDefault="006B0488" w:rsidP="006B0488">
      <w:pPr>
        <w:rPr>
          <w:b/>
          <w:szCs w:val="22"/>
        </w:rPr>
      </w:pPr>
    </w:p>
    <w:p w:rsidR="006B0488" w:rsidRPr="007E3B38" w:rsidRDefault="006B0488" w:rsidP="006B0488">
      <w:pPr>
        <w:autoSpaceDE w:val="0"/>
        <w:autoSpaceDN w:val="0"/>
        <w:adjustRightInd w:val="0"/>
        <w:spacing w:line="260" w:lineRule="atLeast"/>
        <w:rPr>
          <w:b/>
          <w:szCs w:val="22"/>
        </w:rPr>
      </w:pPr>
      <w:r w:rsidRPr="007E3B38">
        <w:rPr>
          <w:b/>
          <w:szCs w:val="22"/>
        </w:rPr>
        <w:t>Modification</w:t>
      </w:r>
    </w:p>
    <w:p w:rsidR="006B0488" w:rsidRPr="007E3B38" w:rsidRDefault="006B0488" w:rsidP="006B0488">
      <w:pPr>
        <w:autoSpaceDE w:val="0"/>
        <w:autoSpaceDN w:val="0"/>
        <w:adjustRightInd w:val="0"/>
        <w:spacing w:line="260" w:lineRule="atLeast"/>
        <w:rPr>
          <w:b/>
          <w:szCs w:val="22"/>
        </w:rPr>
      </w:pPr>
    </w:p>
    <w:p w:rsidR="006B0488" w:rsidRPr="007E3B38" w:rsidRDefault="006B0488" w:rsidP="006B0488">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6B0488" w:rsidRDefault="006B0488" w:rsidP="006B0488">
      <w:pPr>
        <w:rPr>
          <w:b/>
          <w:szCs w:val="22"/>
        </w:rPr>
      </w:pPr>
    </w:p>
    <w:p w:rsidR="006B0488" w:rsidRPr="007E3B38" w:rsidRDefault="006B0488" w:rsidP="006B0488">
      <w:pPr>
        <w:autoSpaceDE w:val="0"/>
        <w:autoSpaceDN w:val="0"/>
        <w:adjustRightInd w:val="0"/>
        <w:spacing w:line="260" w:lineRule="atLeast"/>
        <w:rPr>
          <w:b/>
          <w:szCs w:val="22"/>
        </w:rPr>
      </w:pPr>
      <w:r w:rsidRPr="007E3B38">
        <w:rPr>
          <w:b/>
          <w:szCs w:val="22"/>
        </w:rPr>
        <w:t>Mutilation</w:t>
      </w:r>
    </w:p>
    <w:p w:rsidR="006B0488" w:rsidRPr="007E3B38" w:rsidRDefault="006B0488" w:rsidP="006B0488">
      <w:pPr>
        <w:autoSpaceDE w:val="0"/>
        <w:autoSpaceDN w:val="0"/>
        <w:adjustRightInd w:val="0"/>
        <w:spacing w:line="260" w:lineRule="atLeast"/>
        <w:rPr>
          <w:b/>
          <w:szCs w:val="22"/>
          <w:lang w:val="en"/>
        </w:rPr>
      </w:pPr>
    </w:p>
    <w:p w:rsidR="006B0488" w:rsidRPr="007E3B38" w:rsidRDefault="006B0488" w:rsidP="006B0488">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6B0488" w:rsidRDefault="006B0488" w:rsidP="006B0488">
      <w:pPr>
        <w:rPr>
          <w:b/>
          <w:szCs w:val="22"/>
        </w:rPr>
      </w:pPr>
    </w:p>
    <w:p w:rsidR="00AF0544" w:rsidRPr="007E3B38" w:rsidRDefault="00AF0544" w:rsidP="006B0488">
      <w:pPr>
        <w:rPr>
          <w:b/>
          <w:szCs w:val="22"/>
        </w:rPr>
      </w:pPr>
    </w:p>
    <w:p w:rsidR="006B0488" w:rsidRPr="007E3B38" w:rsidRDefault="006B0488" w:rsidP="006B0488">
      <w:pPr>
        <w:autoSpaceDE w:val="0"/>
        <w:autoSpaceDN w:val="0"/>
        <w:adjustRightInd w:val="0"/>
        <w:spacing w:line="260" w:lineRule="atLeast"/>
        <w:rPr>
          <w:b/>
          <w:szCs w:val="22"/>
        </w:rPr>
      </w:pPr>
      <w:r w:rsidRPr="007E3B38">
        <w:rPr>
          <w:b/>
          <w:szCs w:val="22"/>
        </w:rPr>
        <w:lastRenderedPageBreak/>
        <w:t>Mutual Respect</w:t>
      </w:r>
    </w:p>
    <w:p w:rsidR="006B0488" w:rsidRPr="007E3B38" w:rsidRDefault="006B0488" w:rsidP="006B0488">
      <w:pPr>
        <w:autoSpaceDE w:val="0"/>
        <w:autoSpaceDN w:val="0"/>
        <w:adjustRightInd w:val="0"/>
        <w:spacing w:line="260" w:lineRule="atLeast"/>
        <w:rPr>
          <w:b/>
          <w:szCs w:val="22"/>
        </w:rPr>
      </w:pPr>
    </w:p>
    <w:p w:rsidR="006B0488" w:rsidRPr="007E3B38" w:rsidRDefault="006B0488" w:rsidP="006B0488">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pStyle w:val="BodyText"/>
        <w:tabs>
          <w:tab w:val="left" w:pos="567"/>
        </w:tabs>
        <w:spacing w:after="0" w:line="260" w:lineRule="atLeast"/>
        <w:rPr>
          <w:b/>
          <w:bCs/>
          <w:iCs/>
          <w:szCs w:val="22"/>
        </w:rPr>
      </w:pPr>
      <w:r w:rsidRPr="007E3B38">
        <w:rPr>
          <w:b/>
          <w:bCs/>
          <w:iCs/>
          <w:szCs w:val="22"/>
        </w:rPr>
        <w:t>Mutually Agreed Terms</w:t>
      </w:r>
    </w:p>
    <w:p w:rsidR="006B0488" w:rsidRPr="007E3B38" w:rsidRDefault="006B0488" w:rsidP="006B0488">
      <w:pPr>
        <w:pStyle w:val="BodyText"/>
        <w:tabs>
          <w:tab w:val="left" w:pos="567"/>
        </w:tabs>
        <w:spacing w:after="0" w:line="260" w:lineRule="atLeast"/>
        <w:rPr>
          <w:b/>
          <w:bCs/>
          <w:iCs/>
          <w:szCs w:val="22"/>
        </w:rPr>
      </w:pPr>
    </w:p>
    <w:p w:rsidR="006B0488" w:rsidRPr="007E3B38" w:rsidRDefault="006B0488" w:rsidP="006B0488">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contracts are the most common way of recording mutually agreed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6B0488" w:rsidRPr="007E3B38" w:rsidRDefault="006B0488" w:rsidP="006B0488">
      <w:pPr>
        <w:rPr>
          <w:b/>
          <w:bCs/>
          <w:iCs/>
          <w:szCs w:val="22"/>
        </w:rPr>
      </w:pPr>
    </w:p>
    <w:p w:rsidR="006B0488" w:rsidRPr="007E3B38" w:rsidRDefault="006B0488" w:rsidP="006B0488">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w:t>
      </w:r>
      <w:proofErr w:type="gramStart"/>
      <w:r w:rsidRPr="007E3B38">
        <w:rPr>
          <w:szCs w:val="22"/>
        </w:rPr>
        <w:t>:  (</w:t>
      </w:r>
      <w:proofErr w:type="gramEnd"/>
      <w:r w:rsidRPr="007E3B38">
        <w:rPr>
          <w:szCs w:val="22"/>
        </w:rPr>
        <w:t xml:space="preserve">a) Access to justice; </w:t>
      </w:r>
      <w:r>
        <w:rPr>
          <w:szCs w:val="22"/>
        </w:rPr>
        <w:t xml:space="preserve"> </w:t>
      </w:r>
      <w:r w:rsidRPr="007E3B38">
        <w:rPr>
          <w:szCs w:val="22"/>
        </w:rPr>
        <w:t>and (b) The utilization of mechanisms regarding mutual recognition and enforcement of foreign judgments and arbitral awards.  4.</w:t>
      </w:r>
      <w:r>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6B0488" w:rsidRDefault="006B0488" w:rsidP="006B0488">
      <w:pPr>
        <w:pStyle w:val="Header"/>
        <w:spacing w:line="260" w:lineRule="atLeast"/>
        <w:rPr>
          <w:szCs w:val="22"/>
        </w:rPr>
      </w:pPr>
    </w:p>
    <w:p w:rsidR="006B0488" w:rsidRPr="007E3B38" w:rsidRDefault="006B0488" w:rsidP="006B0488">
      <w:pPr>
        <w:pStyle w:val="BodyText"/>
        <w:tabs>
          <w:tab w:val="left" w:pos="567"/>
        </w:tabs>
        <w:spacing w:after="0" w:line="260" w:lineRule="atLeast"/>
        <w:rPr>
          <w:b/>
          <w:szCs w:val="22"/>
          <w:lang w:val="en-GB"/>
        </w:rPr>
      </w:pPr>
      <w:r w:rsidRPr="007E3B38">
        <w:rPr>
          <w:b/>
          <w:szCs w:val="22"/>
          <w:lang w:val="en-GB"/>
        </w:rPr>
        <w:t xml:space="preserve">Nagoya Protocol on Access to Genetic Resources and the Fair and Equitable Sharing of Benefits Arising from their Utilization to the Convention on Biological Diversity (2010) </w:t>
      </w:r>
    </w:p>
    <w:p w:rsidR="006B0488" w:rsidRPr="007E3B38" w:rsidRDefault="006B0488" w:rsidP="006B0488">
      <w:pPr>
        <w:pStyle w:val="BodyText"/>
        <w:tabs>
          <w:tab w:val="left" w:pos="567"/>
        </w:tabs>
        <w:spacing w:after="0" w:line="260" w:lineRule="atLeast"/>
        <w:rPr>
          <w:b/>
          <w:szCs w:val="22"/>
          <w:lang w:val="en-GB"/>
        </w:rPr>
      </w:pPr>
    </w:p>
    <w:p w:rsidR="006B0488" w:rsidRPr="007E3B38" w:rsidRDefault="006B0488" w:rsidP="006B0488">
      <w:pPr>
        <w:pStyle w:val="BodyText"/>
        <w:tabs>
          <w:tab w:val="left" w:pos="567"/>
        </w:tabs>
        <w:spacing w:after="0" w:line="260" w:lineRule="atLeast"/>
        <w:rPr>
          <w:szCs w:val="22"/>
        </w:rPr>
      </w:pPr>
      <w:r w:rsidRPr="007E3B38">
        <w:rPr>
          <w:szCs w:val="22"/>
        </w:rPr>
        <w:t>A protocol was adopted in October 2010 during the tenth meeting of the Conference of the Parties (COP 10) held in Nagoya, Japan.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New York from </w:t>
      </w:r>
      <w:r>
        <w:rPr>
          <w:szCs w:val="22"/>
          <w:lang w:val="en-GB"/>
        </w:rPr>
        <w:br/>
      </w:r>
      <w:r w:rsidRPr="007E3B38">
        <w:rPr>
          <w:szCs w:val="22"/>
          <w:lang w:val="en-GB"/>
        </w:rPr>
        <w:t xml:space="preserve">2 February 2011 to 1 February 2012.  </w:t>
      </w:r>
    </w:p>
    <w:p w:rsidR="006B0488" w:rsidRPr="007E3B38" w:rsidRDefault="006B0488" w:rsidP="006B0488">
      <w:pPr>
        <w:pStyle w:val="BodyText"/>
        <w:tabs>
          <w:tab w:val="left" w:pos="567"/>
        </w:tabs>
        <w:spacing w:after="0" w:line="260" w:lineRule="atLeast"/>
        <w:rPr>
          <w:szCs w:val="22"/>
        </w:rPr>
      </w:pPr>
    </w:p>
    <w:p w:rsidR="006B0488" w:rsidRPr="007E3B38" w:rsidRDefault="006B0488" w:rsidP="006B0488">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lastRenderedPageBreak/>
        <w:t>Article 16 (Compliance with Domestic Legislation or Regulatory Requirements on Access and Benefit-Sharing for Traditional Knowledge Associated with Genetic Resources).</w:t>
      </w:r>
    </w:p>
    <w:p w:rsidR="006B0488" w:rsidRPr="007E3B38" w:rsidRDefault="006B0488" w:rsidP="006B0488">
      <w:pPr>
        <w:rPr>
          <w:b/>
          <w:szCs w:val="22"/>
        </w:rPr>
      </w:pPr>
    </w:p>
    <w:p w:rsidR="006B0488" w:rsidRPr="007E3B38" w:rsidRDefault="006B0488" w:rsidP="006B0488">
      <w:pPr>
        <w:pStyle w:val="BodyText"/>
        <w:tabs>
          <w:tab w:val="left" w:pos="567"/>
        </w:tabs>
        <w:spacing w:after="0" w:line="260" w:lineRule="atLeast"/>
        <w:rPr>
          <w:b/>
          <w:szCs w:val="22"/>
        </w:rPr>
      </w:pPr>
      <w:r w:rsidRPr="007E3B38">
        <w:rPr>
          <w:b/>
          <w:szCs w:val="22"/>
        </w:rPr>
        <w:t>Nation</w:t>
      </w:r>
    </w:p>
    <w:p w:rsidR="006B0488" w:rsidRPr="007E3B38" w:rsidRDefault="006B0488" w:rsidP="006B0488">
      <w:pPr>
        <w:pStyle w:val="BodyText"/>
        <w:tabs>
          <w:tab w:val="left" w:pos="567"/>
        </w:tabs>
        <w:spacing w:after="0" w:line="260" w:lineRule="atLeast"/>
        <w:rPr>
          <w:b/>
          <w:szCs w:val="22"/>
          <w:lang w:val="en"/>
        </w:rPr>
      </w:pPr>
    </w:p>
    <w:p w:rsidR="006B0488" w:rsidRPr="007E3B38" w:rsidRDefault="006B0488" w:rsidP="006B0488">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1"/>
      </w:r>
      <w:bookmarkEnd w:id="13"/>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6B0488" w:rsidRPr="007E3B38" w:rsidRDefault="006B0488" w:rsidP="006B0488">
      <w:pPr>
        <w:pStyle w:val="Header"/>
        <w:spacing w:line="260" w:lineRule="atLeast"/>
        <w:rPr>
          <w:rStyle w:val="Strong"/>
          <w:szCs w:val="22"/>
          <w:lang w:val="en"/>
        </w:rPr>
      </w:pPr>
    </w:p>
    <w:p w:rsidR="006B0488" w:rsidRPr="007E3B38" w:rsidRDefault="006B0488" w:rsidP="006B0488">
      <w:pPr>
        <w:spacing w:line="260" w:lineRule="atLeast"/>
        <w:rPr>
          <w:rStyle w:val="Strong"/>
          <w:szCs w:val="22"/>
        </w:rPr>
      </w:pPr>
      <w:r w:rsidRPr="007E3B38">
        <w:rPr>
          <w:rStyle w:val="Strong"/>
          <w:szCs w:val="22"/>
        </w:rPr>
        <w:t>Novelty</w:t>
      </w:r>
    </w:p>
    <w:p w:rsidR="006B0488" w:rsidRPr="007E3B38" w:rsidRDefault="006B0488" w:rsidP="006B0488">
      <w:pPr>
        <w:spacing w:line="260" w:lineRule="atLeast"/>
        <w:rPr>
          <w:rStyle w:val="Strong"/>
          <w:szCs w:val="22"/>
        </w:rPr>
      </w:pPr>
    </w:p>
    <w:p w:rsidR="006B0488" w:rsidRPr="007E3B38" w:rsidRDefault="006B0488" w:rsidP="006B0488">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w:t>
      </w:r>
      <w:proofErr w:type="gramStart"/>
      <w:r w:rsidRPr="007E3B38">
        <w:rPr>
          <w:szCs w:val="22"/>
        </w:rPr>
        <w:t>:  “</w:t>
      </w:r>
      <w:proofErr w:type="gramEnd"/>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6B0488" w:rsidRPr="007E3B38" w:rsidRDefault="006B0488" w:rsidP="006B0488">
      <w:pPr>
        <w:autoSpaceDE w:val="0"/>
        <w:autoSpaceDN w:val="0"/>
        <w:adjustRightInd w:val="0"/>
        <w:spacing w:line="260" w:lineRule="atLeast"/>
        <w:rPr>
          <w:szCs w:val="22"/>
          <w:lang w:eastAsia="en-US" w:bidi="th-TH"/>
        </w:rPr>
      </w:pPr>
    </w:p>
    <w:p w:rsidR="006B0488" w:rsidRPr="007E3B38" w:rsidRDefault="006B0488" w:rsidP="006B0488">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6B0488" w:rsidRPr="007E3B38" w:rsidRDefault="006B0488" w:rsidP="006B0488">
      <w:pPr>
        <w:autoSpaceDE w:val="0"/>
        <w:autoSpaceDN w:val="0"/>
        <w:adjustRightInd w:val="0"/>
        <w:spacing w:line="260" w:lineRule="atLeast"/>
        <w:rPr>
          <w:szCs w:val="22"/>
          <w:lang w:eastAsia="en-US" w:bidi="th-TH"/>
        </w:rPr>
      </w:pPr>
    </w:p>
    <w:p w:rsidR="006B0488" w:rsidRPr="007E3B38" w:rsidRDefault="006B0488" w:rsidP="006B0488">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r>
        <w:rPr>
          <w:iCs/>
          <w:szCs w:val="22"/>
          <w:lang w:eastAsia="en-US" w:bidi="th-TH"/>
        </w:rPr>
        <w:t xml:space="preserve"> </w:t>
      </w:r>
    </w:p>
    <w:p w:rsidR="006B0488" w:rsidRPr="007E3B38" w:rsidRDefault="006B0488" w:rsidP="006B0488">
      <w:pPr>
        <w:rPr>
          <w:b/>
          <w:bCs/>
          <w:szCs w:val="22"/>
        </w:rPr>
      </w:pPr>
    </w:p>
    <w:p w:rsidR="006B0488" w:rsidRPr="007E3B38" w:rsidRDefault="006B0488" w:rsidP="006B0488">
      <w:pPr>
        <w:spacing w:line="260" w:lineRule="atLeast"/>
        <w:rPr>
          <w:b/>
          <w:szCs w:val="22"/>
        </w:rPr>
      </w:pPr>
      <w:r w:rsidRPr="007E3B38">
        <w:rPr>
          <w:b/>
          <w:szCs w:val="22"/>
        </w:rPr>
        <w:t>Offensive</w:t>
      </w:r>
    </w:p>
    <w:p w:rsidR="006B0488" w:rsidRPr="007E3B38" w:rsidRDefault="006B0488" w:rsidP="006B0488">
      <w:pPr>
        <w:spacing w:line="260" w:lineRule="atLeast"/>
        <w:rPr>
          <w:b/>
          <w:szCs w:val="22"/>
          <w:lang w:val="en"/>
        </w:rPr>
      </w:pPr>
    </w:p>
    <w:p w:rsidR="006B0488" w:rsidRPr="007E3B38" w:rsidRDefault="006B0488" w:rsidP="006B0488">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6B0488" w:rsidRDefault="006B0488" w:rsidP="006B0488">
      <w:pPr>
        <w:rPr>
          <w:b/>
          <w:szCs w:val="22"/>
        </w:rPr>
      </w:pPr>
    </w:p>
    <w:p w:rsidR="006B0488" w:rsidRPr="007E3B38" w:rsidRDefault="006B0488" w:rsidP="006B0488">
      <w:pPr>
        <w:spacing w:line="260" w:lineRule="atLeast"/>
        <w:rPr>
          <w:b/>
          <w:szCs w:val="22"/>
        </w:rPr>
      </w:pPr>
      <w:r w:rsidRPr="007E3B38">
        <w:rPr>
          <w:b/>
          <w:szCs w:val="22"/>
        </w:rPr>
        <w:t>Patent</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6B0488" w:rsidRPr="007E3B38" w:rsidRDefault="006B0488" w:rsidP="006B0488">
      <w:pPr>
        <w:spacing w:line="260" w:lineRule="atLeast"/>
        <w:rPr>
          <w:szCs w:val="22"/>
        </w:rPr>
      </w:pPr>
    </w:p>
    <w:p w:rsidR="006B0488" w:rsidRPr="007E3B38" w:rsidRDefault="006B0488" w:rsidP="006B0488">
      <w:pPr>
        <w:spacing w:line="260" w:lineRule="atLeast"/>
        <w:rPr>
          <w:b/>
          <w:szCs w:val="22"/>
        </w:rPr>
      </w:pPr>
      <w:r w:rsidRPr="007E3B38">
        <w:rPr>
          <w:b/>
          <w:szCs w:val="22"/>
        </w:rPr>
        <w:t>Preservation</w:t>
      </w:r>
    </w:p>
    <w:p w:rsidR="006B0488" w:rsidRPr="007E3B38" w:rsidRDefault="006B0488" w:rsidP="006B0488">
      <w:pPr>
        <w:spacing w:line="260" w:lineRule="atLeast"/>
        <w:rPr>
          <w:b/>
          <w:szCs w:val="22"/>
          <w:lang w:val="en"/>
        </w:rPr>
      </w:pPr>
    </w:p>
    <w:p w:rsidR="006B0488" w:rsidRPr="007E3B38" w:rsidRDefault="006B0488" w:rsidP="006B0488">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w:t>
      </w:r>
      <w:proofErr w:type="gramStart"/>
      <w:r w:rsidRPr="007E3B38">
        <w:rPr>
          <w:szCs w:val="22"/>
        </w:rPr>
        <w:t xml:space="preserve">maintained; </w:t>
      </w:r>
      <w:r>
        <w:rPr>
          <w:szCs w:val="22"/>
        </w:rPr>
        <w:t xml:space="preserve"> </w:t>
      </w:r>
      <w:r w:rsidRPr="007E3B38">
        <w:rPr>
          <w:szCs w:val="22"/>
        </w:rPr>
        <w:t>and</w:t>
      </w:r>
      <w:proofErr w:type="gramEnd"/>
      <w:r w:rsidRPr="007E3B38">
        <w:rPr>
          <w:szCs w:val="22"/>
        </w:rPr>
        <w:t xml:space="preserve">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6B0488" w:rsidRPr="007E3B38" w:rsidRDefault="006B0488" w:rsidP="006B0488">
      <w:pPr>
        <w:spacing w:line="260" w:lineRule="atLeast"/>
        <w:rPr>
          <w:szCs w:val="22"/>
        </w:rPr>
      </w:pPr>
    </w:p>
    <w:p w:rsidR="006B0488" w:rsidRDefault="006B0488" w:rsidP="006B0488">
      <w:pPr>
        <w:spacing w:line="260" w:lineRule="atLeast"/>
        <w:rPr>
          <w:b/>
          <w:snapToGrid w:val="0"/>
          <w:szCs w:val="22"/>
        </w:rPr>
      </w:pPr>
      <w:r>
        <w:rPr>
          <w:b/>
          <w:snapToGrid w:val="0"/>
          <w:szCs w:val="22"/>
        </w:rPr>
        <w:br w:type="page"/>
      </w:r>
    </w:p>
    <w:p w:rsidR="006B0488" w:rsidRPr="007E3B38" w:rsidRDefault="006B0488" w:rsidP="006B0488">
      <w:pPr>
        <w:spacing w:line="260" w:lineRule="atLeast"/>
        <w:rPr>
          <w:b/>
          <w:snapToGrid w:val="0"/>
          <w:szCs w:val="22"/>
        </w:rPr>
      </w:pPr>
      <w:r w:rsidRPr="007E3B38">
        <w:rPr>
          <w:b/>
          <w:snapToGrid w:val="0"/>
          <w:szCs w:val="22"/>
        </w:rPr>
        <w:lastRenderedPageBreak/>
        <w:t>Prior Informed Consent</w:t>
      </w:r>
    </w:p>
    <w:p w:rsidR="006B0488" w:rsidRPr="007E3B38" w:rsidRDefault="006B0488" w:rsidP="006B0488">
      <w:pPr>
        <w:spacing w:line="260" w:lineRule="atLeast"/>
        <w:rPr>
          <w:b/>
          <w:snapToGrid w:val="0"/>
          <w:szCs w:val="22"/>
        </w:rPr>
      </w:pPr>
    </w:p>
    <w:p w:rsidR="006B0488" w:rsidRPr="007E3B38" w:rsidRDefault="006B0488" w:rsidP="006B0488">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6B0488" w:rsidRPr="007E3B38" w:rsidRDefault="006B0488" w:rsidP="006B0488">
      <w:pPr>
        <w:spacing w:line="260" w:lineRule="atLeast"/>
        <w:rPr>
          <w:szCs w:val="22"/>
          <w:lang w:eastAsia="en-US"/>
        </w:rPr>
      </w:pPr>
    </w:p>
    <w:p w:rsidR="006B0488" w:rsidRPr="003F5C8A" w:rsidRDefault="006B0488" w:rsidP="006B0488">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6B0488" w:rsidRPr="003F5C8A" w:rsidRDefault="006B0488" w:rsidP="006B0488">
      <w:pPr>
        <w:spacing w:line="260" w:lineRule="atLeast"/>
        <w:rPr>
          <w:szCs w:val="22"/>
        </w:rPr>
      </w:pPr>
    </w:p>
    <w:p w:rsidR="006B0488" w:rsidRPr="007E3B38" w:rsidRDefault="006B0488" w:rsidP="006B0488">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6B0488" w:rsidRPr="007E3B38" w:rsidRDefault="006B0488" w:rsidP="006B0488">
      <w:pPr>
        <w:pStyle w:val="H2"/>
        <w:keepNext w:val="0"/>
        <w:spacing w:before="0" w:after="0" w:line="260" w:lineRule="atLeast"/>
        <w:rPr>
          <w:rFonts w:ascii="Arial" w:hAnsi="Arial" w:cs="Arial"/>
          <w:b w:val="0"/>
          <w:sz w:val="22"/>
          <w:szCs w:val="22"/>
        </w:rPr>
      </w:pPr>
    </w:p>
    <w:p w:rsidR="006B0488" w:rsidRPr="007E3B38" w:rsidRDefault="006B0488" w:rsidP="006B0488">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w:t>
      </w:r>
      <w:r w:rsidRPr="007E3B38">
        <w:rPr>
          <w:szCs w:val="22"/>
          <w:lang w:val="en"/>
        </w:rPr>
        <w:lastRenderedPageBreak/>
        <w:t>possible benefits, impacts and future uses.  The process should be transparent, and the language fully understood by indigenous peoples.</w:t>
      </w:r>
      <w:r w:rsidRPr="007E3B38">
        <w:rPr>
          <w:rStyle w:val="FootnoteReference"/>
          <w:szCs w:val="22"/>
          <w:lang w:val="en"/>
        </w:rPr>
        <w:footnoteReference w:id="120"/>
      </w:r>
    </w:p>
    <w:p w:rsidR="006B0488" w:rsidRDefault="006B0488" w:rsidP="006B0488">
      <w:pPr>
        <w:rPr>
          <w:b/>
          <w:szCs w:val="22"/>
        </w:rPr>
      </w:pPr>
    </w:p>
    <w:p w:rsidR="006B0488" w:rsidRPr="00553A21" w:rsidRDefault="006B0488" w:rsidP="006B0488">
      <w:pPr>
        <w:rPr>
          <w:b/>
        </w:rPr>
      </w:pPr>
      <w:r w:rsidRPr="00553A21">
        <w:rPr>
          <w:b/>
        </w:rPr>
        <w:t>Prior Art</w:t>
      </w:r>
    </w:p>
    <w:p w:rsidR="006B0488" w:rsidRPr="007E3B38" w:rsidRDefault="006B0488" w:rsidP="006B0488">
      <w:pPr>
        <w:rPr>
          <w:szCs w:val="22"/>
          <w:lang w:eastAsia="en-US"/>
        </w:rPr>
      </w:pPr>
    </w:p>
    <w:p w:rsidR="006B0488" w:rsidRPr="007E3B38" w:rsidRDefault="006B0488" w:rsidP="006B0488">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1"/>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6B0488" w:rsidRPr="007E3B38" w:rsidRDefault="006B0488" w:rsidP="006B0488">
      <w:pPr>
        <w:autoSpaceDE w:val="0"/>
        <w:autoSpaceDN w:val="0"/>
        <w:adjustRightInd w:val="0"/>
        <w:spacing w:line="260" w:lineRule="atLeast"/>
        <w:rPr>
          <w:szCs w:val="22"/>
          <w:lang w:eastAsia="en-US" w:bidi="th-TH"/>
        </w:rPr>
      </w:pPr>
    </w:p>
    <w:p w:rsidR="006B0488" w:rsidRPr="007E3B38" w:rsidRDefault="006B0488" w:rsidP="006B0488">
      <w:pPr>
        <w:autoSpaceDE w:val="0"/>
        <w:autoSpaceDN w:val="0"/>
        <w:adjustRightInd w:val="0"/>
        <w:spacing w:line="260" w:lineRule="atLeast"/>
        <w:rPr>
          <w:szCs w:val="22"/>
        </w:rPr>
      </w:pPr>
      <w:r w:rsidRPr="007E3B38">
        <w:rPr>
          <w:szCs w:val="22"/>
          <w:lang w:eastAsia="en-US" w:bidi="th-TH"/>
        </w:rPr>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autoSpaceDE w:val="0"/>
        <w:autoSpaceDN w:val="0"/>
        <w:adjustRightInd w:val="0"/>
        <w:spacing w:line="260" w:lineRule="atLeast"/>
        <w:rPr>
          <w:szCs w:val="22"/>
          <w:lang w:eastAsia="en-US" w:bidi="th-TH"/>
        </w:rPr>
      </w:pPr>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
    <w:p w:rsidR="006B0488" w:rsidRPr="007E3B38" w:rsidRDefault="006B0488" w:rsidP="006B0488">
      <w:pPr>
        <w:autoSpaceDE w:val="0"/>
        <w:autoSpaceDN w:val="0"/>
        <w:adjustRightInd w:val="0"/>
        <w:spacing w:line="260" w:lineRule="atLeast"/>
        <w:rPr>
          <w:szCs w:val="22"/>
          <w:lang w:eastAsia="en-US" w:bidi="th-TH"/>
        </w:rPr>
      </w:pPr>
    </w:p>
    <w:p w:rsidR="006B0488" w:rsidRDefault="006B0488" w:rsidP="006B0488">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
    <w:p w:rsidR="006B0488" w:rsidRPr="00BD225A" w:rsidRDefault="006B0488" w:rsidP="006B0488">
      <w:pPr>
        <w:autoSpaceDE w:val="0"/>
        <w:autoSpaceDN w:val="0"/>
        <w:adjustRightInd w:val="0"/>
        <w:spacing w:line="260" w:lineRule="atLeast"/>
        <w:rPr>
          <w:i/>
          <w:iCs/>
          <w:szCs w:val="22"/>
          <w:lang w:bidi="th-TH"/>
        </w:rPr>
      </w:pPr>
    </w:p>
    <w:p w:rsidR="006B0488" w:rsidRPr="007E3B38" w:rsidRDefault="006B0488" w:rsidP="006B0488">
      <w:pPr>
        <w:autoSpaceDE w:val="0"/>
        <w:autoSpaceDN w:val="0"/>
        <w:adjustRightInd w:val="0"/>
        <w:spacing w:line="260" w:lineRule="atLeast"/>
        <w:rPr>
          <w:b/>
          <w:szCs w:val="22"/>
        </w:rPr>
      </w:pPr>
      <w:r w:rsidRPr="007E3B38">
        <w:rPr>
          <w:b/>
          <w:szCs w:val="22"/>
        </w:rPr>
        <w:lastRenderedPageBreak/>
        <w:t>Protection</w:t>
      </w:r>
    </w:p>
    <w:p w:rsidR="006B0488" w:rsidRPr="007E3B38" w:rsidRDefault="006B0488" w:rsidP="006B0488">
      <w:pPr>
        <w:autoSpaceDE w:val="0"/>
        <w:autoSpaceDN w:val="0"/>
        <w:adjustRightInd w:val="0"/>
        <w:spacing w:line="260" w:lineRule="atLeast"/>
        <w:rPr>
          <w:b/>
          <w:szCs w:val="22"/>
        </w:rPr>
      </w:pPr>
    </w:p>
    <w:p w:rsidR="006B0488" w:rsidRPr="007E3B38" w:rsidRDefault="006B0488" w:rsidP="006B0488">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rsidR="006B0488" w:rsidRPr="007E3B38" w:rsidRDefault="006B0488" w:rsidP="006B0488">
      <w:pPr>
        <w:rPr>
          <w:i/>
          <w:szCs w:val="22"/>
          <w:u w:val="single"/>
        </w:rPr>
      </w:pPr>
    </w:p>
    <w:p w:rsidR="006B0488" w:rsidRPr="007E3B38" w:rsidRDefault="006B0488" w:rsidP="006B0488">
      <w:pPr>
        <w:autoSpaceDE w:val="0"/>
        <w:autoSpaceDN w:val="0"/>
        <w:adjustRightInd w:val="0"/>
        <w:spacing w:line="260" w:lineRule="atLeast"/>
        <w:rPr>
          <w:i/>
          <w:szCs w:val="22"/>
          <w:u w:val="single"/>
        </w:rPr>
      </w:pPr>
      <w:r w:rsidRPr="007E3B38">
        <w:rPr>
          <w:i/>
          <w:szCs w:val="22"/>
          <w:u w:val="single"/>
        </w:rPr>
        <w:t>Positive Protection</w:t>
      </w:r>
    </w:p>
    <w:p w:rsidR="006B0488" w:rsidRPr="007E3B38" w:rsidRDefault="006B0488" w:rsidP="006B0488">
      <w:pPr>
        <w:autoSpaceDE w:val="0"/>
        <w:autoSpaceDN w:val="0"/>
        <w:adjustRightInd w:val="0"/>
        <w:spacing w:line="260" w:lineRule="atLeast"/>
        <w:rPr>
          <w:i/>
          <w:szCs w:val="22"/>
          <w:u w:val="single"/>
        </w:rPr>
      </w:pPr>
    </w:p>
    <w:p w:rsidR="006B0488" w:rsidRPr="007E3B38" w:rsidRDefault="006B0488" w:rsidP="006B0488">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rsidR="006B0488" w:rsidRPr="007E3B38" w:rsidRDefault="006B0488" w:rsidP="006B0488">
      <w:pPr>
        <w:rPr>
          <w:szCs w:val="22"/>
        </w:rPr>
      </w:pPr>
    </w:p>
    <w:p w:rsidR="006B0488" w:rsidRPr="007E3B38" w:rsidRDefault="006B0488" w:rsidP="006B0488">
      <w:pPr>
        <w:autoSpaceDE w:val="0"/>
        <w:autoSpaceDN w:val="0"/>
        <w:adjustRightInd w:val="0"/>
        <w:spacing w:line="260" w:lineRule="atLeast"/>
        <w:rPr>
          <w:i/>
          <w:szCs w:val="22"/>
          <w:u w:val="single"/>
        </w:rPr>
      </w:pPr>
      <w:r w:rsidRPr="007E3B38">
        <w:rPr>
          <w:i/>
          <w:szCs w:val="22"/>
          <w:u w:val="single"/>
        </w:rPr>
        <w:t>Defensive Protection</w:t>
      </w:r>
    </w:p>
    <w:p w:rsidR="006B0488" w:rsidRPr="007E3B38" w:rsidRDefault="006B0488" w:rsidP="006B0488">
      <w:pPr>
        <w:autoSpaceDE w:val="0"/>
        <w:autoSpaceDN w:val="0"/>
        <w:adjustRightInd w:val="0"/>
        <w:spacing w:line="260" w:lineRule="atLeast"/>
        <w:rPr>
          <w:i/>
          <w:szCs w:val="22"/>
          <w:u w:val="single"/>
        </w:rPr>
      </w:pPr>
    </w:p>
    <w:p w:rsidR="006B0488" w:rsidRPr="007E3B38" w:rsidRDefault="006B0488" w:rsidP="006B0488">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6B0488" w:rsidRDefault="006B0488" w:rsidP="006B0488">
      <w:pPr>
        <w:autoSpaceDE w:val="0"/>
        <w:autoSpaceDN w:val="0"/>
        <w:adjustRightInd w:val="0"/>
        <w:spacing w:line="260" w:lineRule="atLeast"/>
        <w:rPr>
          <w:b/>
          <w:szCs w:val="22"/>
          <w:lang w:val="en"/>
        </w:rPr>
      </w:pPr>
    </w:p>
    <w:p w:rsidR="006B0488" w:rsidRPr="007E3B38" w:rsidRDefault="006B0488" w:rsidP="006B0488">
      <w:pPr>
        <w:autoSpaceDE w:val="0"/>
        <w:autoSpaceDN w:val="0"/>
        <w:adjustRightInd w:val="0"/>
        <w:spacing w:line="260" w:lineRule="atLeast"/>
        <w:rPr>
          <w:b/>
          <w:szCs w:val="22"/>
          <w:lang w:val="en"/>
        </w:rPr>
      </w:pPr>
      <w:r w:rsidRPr="007E3B38">
        <w:rPr>
          <w:b/>
          <w:szCs w:val="22"/>
          <w:lang w:val="en"/>
        </w:rPr>
        <w:t>Protocol</w:t>
      </w:r>
    </w:p>
    <w:p w:rsidR="006B0488" w:rsidRPr="007E3B38" w:rsidRDefault="006B0488" w:rsidP="006B0488">
      <w:pPr>
        <w:autoSpaceDE w:val="0"/>
        <w:autoSpaceDN w:val="0"/>
        <w:adjustRightInd w:val="0"/>
        <w:spacing w:line="260" w:lineRule="atLeast"/>
        <w:rPr>
          <w:b/>
          <w:szCs w:val="22"/>
          <w:lang w:val="en"/>
        </w:rPr>
      </w:pPr>
    </w:p>
    <w:p w:rsidR="006B0488" w:rsidRPr="007E3B38" w:rsidRDefault="006B0488" w:rsidP="006B0488">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6B0488" w:rsidRPr="007E3B38" w:rsidRDefault="006B0488" w:rsidP="006B0488">
      <w:pPr>
        <w:pStyle w:val="BodyText"/>
        <w:tabs>
          <w:tab w:val="left" w:pos="567"/>
        </w:tabs>
        <w:spacing w:after="0" w:line="260" w:lineRule="atLeast"/>
        <w:rPr>
          <w:bCs/>
          <w:iCs/>
          <w:szCs w:val="22"/>
        </w:rPr>
      </w:pPr>
    </w:p>
    <w:p w:rsidR="006B0488" w:rsidRPr="007E3B38" w:rsidRDefault="006B0488" w:rsidP="006B0488">
      <w:pPr>
        <w:pStyle w:val="BodyText"/>
        <w:tabs>
          <w:tab w:val="left" w:pos="567"/>
        </w:tabs>
        <w:spacing w:after="0" w:line="260" w:lineRule="atLeast"/>
        <w:rPr>
          <w:b/>
          <w:bCs/>
          <w:iCs/>
          <w:szCs w:val="22"/>
        </w:rPr>
      </w:pPr>
      <w:r w:rsidRPr="007E3B38">
        <w:rPr>
          <w:b/>
          <w:bCs/>
          <w:iCs/>
          <w:szCs w:val="22"/>
        </w:rPr>
        <w:t>Providers and Recipients</w:t>
      </w:r>
      <w:r>
        <w:rPr>
          <w:b/>
          <w:bCs/>
          <w:iCs/>
          <w:szCs w:val="22"/>
        </w:rPr>
        <w:t xml:space="preserve"> of Genetic Resources </w:t>
      </w:r>
    </w:p>
    <w:p w:rsidR="006B0488" w:rsidRPr="007E3B38" w:rsidRDefault="006B0488" w:rsidP="006B0488">
      <w:pPr>
        <w:pStyle w:val="BodyText"/>
        <w:tabs>
          <w:tab w:val="left" w:pos="567"/>
        </w:tabs>
        <w:spacing w:after="0" w:line="260" w:lineRule="atLeast"/>
        <w:rPr>
          <w:b/>
          <w:bCs/>
          <w:iCs/>
          <w:szCs w:val="22"/>
        </w:rPr>
      </w:pPr>
    </w:p>
    <w:p w:rsidR="006B0488" w:rsidRPr="007E3B38" w:rsidRDefault="006B0488" w:rsidP="006B0488">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Pr>
          <w:szCs w:val="22"/>
        </w:rPr>
        <w:br/>
      </w:r>
      <w:r w:rsidRPr="007E3B38">
        <w:rPr>
          <w:szCs w:val="22"/>
        </w:rPr>
        <w:t xml:space="preserve">(e.g., government ministries, government agencies (national, regional or local), including those responsible for administration of national parks and government land);  commerce or industry (e.g., pharmaceutical, food and agriculture, horticulture, and cosmetics enterprises);  research </w:t>
      </w:r>
      <w:r w:rsidRPr="007E3B38">
        <w:rPr>
          <w:szCs w:val="22"/>
        </w:rPr>
        <w:lastRenderedPageBreak/>
        <w:t>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
    <w:p w:rsidR="006B0488" w:rsidRDefault="006B0488" w:rsidP="006B0488">
      <w:pPr>
        <w:pStyle w:val="BodyText"/>
        <w:tabs>
          <w:tab w:val="left" w:pos="567"/>
        </w:tabs>
        <w:spacing w:after="0" w:line="260" w:lineRule="atLeast"/>
        <w:rPr>
          <w:b/>
          <w:bCs/>
          <w:iCs/>
          <w:szCs w:val="22"/>
        </w:rPr>
      </w:pPr>
    </w:p>
    <w:p w:rsidR="006B0488" w:rsidRPr="007E3B38" w:rsidRDefault="006B0488" w:rsidP="006B0488">
      <w:pPr>
        <w:pStyle w:val="BodyText"/>
        <w:tabs>
          <w:tab w:val="left" w:pos="567"/>
        </w:tabs>
        <w:spacing w:after="0" w:line="260" w:lineRule="atLeast"/>
        <w:rPr>
          <w:b/>
          <w:bCs/>
          <w:iCs/>
          <w:szCs w:val="22"/>
        </w:rPr>
      </w:pPr>
      <w:r w:rsidRPr="007E3B38">
        <w:rPr>
          <w:b/>
          <w:bCs/>
          <w:iCs/>
          <w:szCs w:val="22"/>
        </w:rPr>
        <w:t>Public Domain</w:t>
      </w:r>
    </w:p>
    <w:p w:rsidR="006B0488" w:rsidRPr="007E3B38" w:rsidRDefault="006B0488" w:rsidP="006B0488">
      <w:pPr>
        <w:pStyle w:val="BodyText"/>
        <w:tabs>
          <w:tab w:val="left" w:pos="567"/>
        </w:tabs>
        <w:spacing w:after="0" w:line="260" w:lineRule="atLeast"/>
        <w:rPr>
          <w:b/>
          <w:bCs/>
          <w:iCs/>
          <w:szCs w:val="22"/>
        </w:rPr>
      </w:pPr>
    </w:p>
    <w:p w:rsidR="006B0488" w:rsidRPr="007E3B38" w:rsidRDefault="006B0488" w:rsidP="006B0488">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0"/>
      </w:r>
    </w:p>
    <w:p w:rsidR="006B0488" w:rsidRPr="007E3B38" w:rsidRDefault="006B0488" w:rsidP="006B0488">
      <w:pPr>
        <w:spacing w:line="260" w:lineRule="atLeast"/>
        <w:rPr>
          <w:szCs w:val="22"/>
          <w:lang w:val="en"/>
        </w:rPr>
      </w:pPr>
    </w:p>
    <w:p w:rsidR="006B0488" w:rsidRPr="007E3B38" w:rsidRDefault="006B0488" w:rsidP="006B0488">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6B0488" w:rsidRPr="007E3B38" w:rsidRDefault="006B0488" w:rsidP="006B0488">
      <w:pPr>
        <w:spacing w:line="260" w:lineRule="atLeast"/>
        <w:rPr>
          <w:szCs w:val="22"/>
          <w:lang w:val="en"/>
        </w:rPr>
      </w:pPr>
    </w:p>
    <w:p w:rsidR="006B0488" w:rsidRPr="007E3B38" w:rsidRDefault="006B0488" w:rsidP="006B0488">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6B0488" w:rsidRPr="007E3B38" w:rsidRDefault="006B0488" w:rsidP="006B0488">
      <w:pPr>
        <w:autoSpaceDE w:val="0"/>
        <w:autoSpaceDN w:val="0"/>
        <w:adjustRightInd w:val="0"/>
        <w:spacing w:line="260" w:lineRule="atLeast"/>
        <w:rPr>
          <w:szCs w:val="22"/>
        </w:rPr>
      </w:pPr>
    </w:p>
    <w:p w:rsidR="006B0488" w:rsidRPr="007E3B38" w:rsidRDefault="006B0488" w:rsidP="006B0488">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6B0488" w:rsidRDefault="006B0488" w:rsidP="006B0488">
      <w:pPr>
        <w:spacing w:line="260" w:lineRule="atLeast"/>
        <w:rPr>
          <w:b/>
          <w:szCs w:val="22"/>
        </w:rPr>
      </w:pPr>
    </w:p>
    <w:p w:rsidR="006B0488" w:rsidRPr="007E3B38" w:rsidRDefault="006B0488" w:rsidP="006B0488">
      <w:pPr>
        <w:spacing w:line="260" w:lineRule="atLeast"/>
        <w:rPr>
          <w:b/>
          <w:szCs w:val="22"/>
        </w:rPr>
      </w:pPr>
      <w:r w:rsidRPr="007E3B38">
        <w:rPr>
          <w:b/>
          <w:szCs w:val="22"/>
        </w:rPr>
        <w:t>Publicly Available</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 xml:space="preserve">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w:t>
      </w:r>
      <w:r w:rsidRPr="007E3B38">
        <w:rPr>
          <w:szCs w:val="22"/>
        </w:rPr>
        <w:lastRenderedPageBreak/>
        <w:t>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6B0488" w:rsidRDefault="006B0488" w:rsidP="006B0488">
      <w:pPr>
        <w:spacing w:line="260" w:lineRule="atLeast"/>
        <w:rPr>
          <w:szCs w:val="22"/>
        </w:rPr>
      </w:pPr>
    </w:p>
    <w:p w:rsidR="006B0488" w:rsidRPr="007E3B38" w:rsidRDefault="006B0488" w:rsidP="006B0488">
      <w:pPr>
        <w:spacing w:line="260" w:lineRule="atLeast"/>
        <w:rPr>
          <w:b/>
          <w:szCs w:val="22"/>
        </w:rPr>
      </w:pPr>
      <w:r w:rsidRPr="007E3B38">
        <w:rPr>
          <w:b/>
          <w:szCs w:val="22"/>
        </w:rPr>
        <w:t>Registers of Traditional Knowledge</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benefit–sharing between users and providers.</w:t>
      </w:r>
      <w:r w:rsidRPr="007E3B38">
        <w:rPr>
          <w:rStyle w:val="FootnoteReference"/>
          <w:szCs w:val="22"/>
        </w:rPr>
        <w:footnoteReference w:id="135"/>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Public National Register of Collective Knowledge of Indigenous Peoples;  (b)</w:t>
      </w:r>
      <w:r>
        <w:rPr>
          <w:szCs w:val="22"/>
        </w:rPr>
        <w:t xml:space="preserve"> </w:t>
      </w:r>
      <w:r w:rsidRPr="007E3B38">
        <w:rPr>
          <w:szCs w:val="22"/>
        </w:rPr>
        <w:t xml:space="preserve"> Confidential National Register of Collective </w:t>
      </w:r>
      <w:r w:rsidRPr="007E3B38">
        <w:rPr>
          <w:szCs w:val="22"/>
        </w:rPr>
        <w:lastRenderedPageBreak/>
        <w:t xml:space="preserve">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6B0488" w:rsidRDefault="006B0488" w:rsidP="006B0488">
      <w:pPr>
        <w:spacing w:line="260" w:lineRule="atLeast"/>
        <w:rPr>
          <w:szCs w:val="22"/>
        </w:rPr>
      </w:pPr>
    </w:p>
    <w:p w:rsidR="006B0488" w:rsidRPr="007E3B38" w:rsidRDefault="006B0488" w:rsidP="006B0488">
      <w:pPr>
        <w:spacing w:line="260" w:lineRule="atLeast"/>
        <w:rPr>
          <w:b/>
          <w:szCs w:val="22"/>
          <w:lang w:val="en"/>
        </w:rPr>
      </w:pPr>
      <w:r w:rsidRPr="007E3B38">
        <w:rPr>
          <w:b/>
          <w:szCs w:val="22"/>
          <w:lang w:val="en"/>
        </w:rPr>
        <w:t>Reputation</w:t>
      </w:r>
    </w:p>
    <w:p w:rsidR="006B0488" w:rsidRPr="007E3B38" w:rsidRDefault="006B0488" w:rsidP="006B0488">
      <w:pPr>
        <w:spacing w:line="260" w:lineRule="atLeast"/>
        <w:rPr>
          <w:b/>
          <w:szCs w:val="22"/>
          <w:lang w:val="en"/>
        </w:rPr>
      </w:pPr>
    </w:p>
    <w:p w:rsidR="006B0488" w:rsidRPr="007E3B38" w:rsidRDefault="006B0488" w:rsidP="006B0488">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39"/>
      </w:r>
    </w:p>
    <w:p w:rsidR="006B0488" w:rsidRPr="007E3B38" w:rsidRDefault="006B0488" w:rsidP="006B0488">
      <w:pPr>
        <w:spacing w:line="260" w:lineRule="atLeast"/>
        <w:rPr>
          <w:b/>
          <w:szCs w:val="22"/>
        </w:rPr>
      </w:pPr>
    </w:p>
    <w:p w:rsidR="006B0488" w:rsidRPr="007E3B38" w:rsidRDefault="006B0488" w:rsidP="006B0488">
      <w:pPr>
        <w:spacing w:line="260" w:lineRule="atLeast"/>
        <w:rPr>
          <w:b/>
          <w:szCs w:val="22"/>
        </w:rPr>
      </w:pPr>
      <w:r w:rsidRPr="007E3B38">
        <w:rPr>
          <w:b/>
          <w:szCs w:val="22"/>
        </w:rPr>
        <w:t>Sacred</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6B0488" w:rsidRPr="007E3B38" w:rsidRDefault="006B0488" w:rsidP="006B0488">
      <w:pPr>
        <w:spacing w:line="260" w:lineRule="atLeast"/>
        <w:rPr>
          <w:szCs w:val="22"/>
        </w:rPr>
      </w:pPr>
    </w:p>
    <w:p w:rsidR="006B0488" w:rsidRPr="007E3B38" w:rsidRDefault="006B0488" w:rsidP="006B0488">
      <w:pPr>
        <w:spacing w:line="260" w:lineRule="atLeast"/>
        <w:rPr>
          <w:szCs w:val="22"/>
        </w:rPr>
      </w:pPr>
      <w:r w:rsidRPr="007E3B38">
        <w:rPr>
          <w:szCs w:val="22"/>
        </w:rPr>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6B0488" w:rsidRPr="007E3B38" w:rsidRDefault="006B0488" w:rsidP="006B0488">
      <w:pPr>
        <w:rPr>
          <w:szCs w:val="22"/>
        </w:rPr>
      </w:pPr>
    </w:p>
    <w:p w:rsidR="006B0488" w:rsidRPr="007E3B38" w:rsidRDefault="006B0488" w:rsidP="006B0488">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is considered in indigenous and local communities in different ways, and is stored, transmitted and recorded in diverse ways.</w:t>
      </w:r>
    </w:p>
    <w:p w:rsidR="006B0488" w:rsidRDefault="006B0488" w:rsidP="006B0488">
      <w:pPr>
        <w:rPr>
          <w:szCs w:val="22"/>
        </w:rPr>
      </w:pPr>
    </w:p>
    <w:p w:rsidR="006B0488" w:rsidRPr="007E3B38" w:rsidRDefault="006B0488" w:rsidP="006B0488">
      <w:pPr>
        <w:spacing w:line="260" w:lineRule="atLeast"/>
        <w:rPr>
          <w:szCs w:val="22"/>
        </w:rPr>
      </w:pPr>
      <w:r w:rsidRPr="007E3B38">
        <w:rPr>
          <w:szCs w:val="22"/>
        </w:rPr>
        <w:lastRenderedPageBreak/>
        <w:t>From an intellectual property perspective, and the work of the IGC in particular, the following observations may be made:</w:t>
      </w:r>
    </w:p>
    <w:p w:rsidR="006B0488" w:rsidRPr="007E3B38" w:rsidRDefault="006B0488" w:rsidP="006B0488">
      <w:pPr>
        <w:spacing w:line="260" w:lineRule="atLeast"/>
        <w:rPr>
          <w:szCs w:val="22"/>
        </w:rPr>
      </w:pPr>
    </w:p>
    <w:p w:rsidR="006B0488" w:rsidRPr="0018544D" w:rsidRDefault="006B0488" w:rsidP="006B0488">
      <w:pPr>
        <w:numPr>
          <w:ilvl w:val="0"/>
          <w:numId w:val="21"/>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rsidR="006B0488" w:rsidRPr="007E3B38" w:rsidRDefault="006B0488" w:rsidP="006B0488">
      <w:pPr>
        <w:numPr>
          <w:ilvl w:val="0"/>
          <w:numId w:val="20"/>
        </w:numPr>
        <w:spacing w:after="120" w:line="260" w:lineRule="exact"/>
        <w:ind w:firstLine="0"/>
        <w:rPr>
          <w:szCs w:val="22"/>
          <w:u w:val="single"/>
        </w:rPr>
      </w:pPr>
      <w:r>
        <w:rPr>
          <w:szCs w:val="22"/>
        </w:rPr>
        <w:t>g</w:t>
      </w:r>
      <w:r w:rsidRPr="007E3B38">
        <w:rPr>
          <w:szCs w:val="22"/>
        </w:rPr>
        <w:t>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rsidR="006B0488" w:rsidRDefault="006B0488" w:rsidP="006B0488">
      <w:pPr>
        <w:spacing w:line="260" w:lineRule="atLeast"/>
        <w:rPr>
          <w:b/>
          <w:szCs w:val="22"/>
        </w:rPr>
      </w:pPr>
    </w:p>
    <w:p w:rsidR="006B0488" w:rsidRPr="007E3B38" w:rsidRDefault="006B0488" w:rsidP="006B0488">
      <w:pPr>
        <w:spacing w:line="260" w:lineRule="atLeast"/>
        <w:rPr>
          <w:b/>
          <w:szCs w:val="22"/>
        </w:rPr>
      </w:pPr>
      <w:r w:rsidRPr="007E3B38">
        <w:rPr>
          <w:b/>
          <w:szCs w:val="22"/>
        </w:rPr>
        <w:t>Safeguarding</w:t>
      </w:r>
    </w:p>
    <w:p w:rsidR="006B0488" w:rsidRPr="007E3B38" w:rsidRDefault="006B0488" w:rsidP="006B0488">
      <w:pPr>
        <w:spacing w:line="260" w:lineRule="atLeast"/>
        <w:rPr>
          <w:b/>
          <w:szCs w:val="22"/>
        </w:rPr>
      </w:pPr>
    </w:p>
    <w:p w:rsidR="006B0488" w:rsidRPr="007E3B38" w:rsidRDefault="006B0488" w:rsidP="006B0488">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p>
    <w:p w:rsidR="006B0488" w:rsidRPr="007E3B38" w:rsidRDefault="006B0488" w:rsidP="006B0488">
      <w:pPr>
        <w:rPr>
          <w:b/>
          <w:szCs w:val="22"/>
          <w:lang w:val="en"/>
        </w:rPr>
      </w:pPr>
    </w:p>
    <w:p w:rsidR="006B0488" w:rsidRPr="007E3B38" w:rsidRDefault="006B0488" w:rsidP="006B0488">
      <w:pPr>
        <w:spacing w:line="260" w:lineRule="atLeast"/>
        <w:rPr>
          <w:b/>
          <w:szCs w:val="22"/>
          <w:lang w:val="en"/>
        </w:rPr>
      </w:pPr>
      <w:r w:rsidRPr="007E3B38">
        <w:rPr>
          <w:b/>
          <w:szCs w:val="22"/>
          <w:lang w:val="en"/>
        </w:rPr>
        <w:t>Secret</w:t>
      </w:r>
    </w:p>
    <w:p w:rsidR="006B0488" w:rsidRPr="007E3B38" w:rsidRDefault="006B0488" w:rsidP="006B0488">
      <w:pPr>
        <w:spacing w:line="260" w:lineRule="atLeast"/>
        <w:rPr>
          <w:b/>
          <w:szCs w:val="22"/>
          <w:lang w:val="en"/>
        </w:rPr>
      </w:pPr>
    </w:p>
    <w:p w:rsidR="006B0488" w:rsidRPr="007E3B38" w:rsidRDefault="006B0488" w:rsidP="006B0488">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6B0488" w:rsidRPr="007E3B38" w:rsidRDefault="006B0488" w:rsidP="006B0488">
      <w:pPr>
        <w:spacing w:line="260" w:lineRule="atLeast"/>
        <w:rPr>
          <w:b/>
          <w:szCs w:val="22"/>
        </w:rPr>
      </w:pPr>
    </w:p>
    <w:p w:rsidR="006B0488" w:rsidRPr="007E3B38" w:rsidRDefault="006B0488" w:rsidP="006B0488">
      <w:pPr>
        <w:spacing w:line="260" w:lineRule="atLeast"/>
        <w:rPr>
          <w:rStyle w:val="Emphasis"/>
          <w:b/>
          <w:i w:val="0"/>
        </w:rPr>
      </w:pPr>
      <w:r w:rsidRPr="007E3B38">
        <w:rPr>
          <w:rStyle w:val="Emphasis"/>
          <w:b/>
        </w:rPr>
        <w:t>Source of genetic resources</w:t>
      </w:r>
    </w:p>
    <w:p w:rsidR="006B0488" w:rsidRPr="007E3B38" w:rsidRDefault="006B0488" w:rsidP="006B0488">
      <w:pPr>
        <w:spacing w:line="260" w:lineRule="atLeast"/>
        <w:rPr>
          <w:rStyle w:val="Emphasis"/>
          <w:i w:val="0"/>
        </w:rPr>
      </w:pPr>
    </w:p>
    <w:p w:rsidR="006B0488" w:rsidRPr="007E3B38" w:rsidRDefault="006B0488" w:rsidP="006B0488">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be declared as the source is the entity competent (1) to grant access to genetic resources and/or traditional knowledge or (2) to </w:t>
      </w:r>
      <w:r w:rsidRPr="007E3B38">
        <w:rPr>
          <w:iCs/>
          <w:szCs w:val="22"/>
        </w:rPr>
        <w:lastRenderedPageBreak/>
        <w:t>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6B0488" w:rsidRPr="007E3B38" w:rsidRDefault="006B0488" w:rsidP="006B0488">
      <w:pPr>
        <w:spacing w:line="260" w:lineRule="atLeast"/>
        <w:rPr>
          <w:b/>
          <w:i/>
          <w:szCs w:val="22"/>
        </w:rPr>
      </w:pPr>
    </w:p>
    <w:p w:rsidR="006B0488" w:rsidRPr="007E3B38" w:rsidRDefault="006B0488" w:rsidP="006B0488">
      <w:pPr>
        <w:spacing w:line="260" w:lineRule="atLeast"/>
        <w:rPr>
          <w:b/>
          <w:i/>
          <w:szCs w:val="22"/>
        </w:rPr>
      </w:pPr>
      <w:r w:rsidRPr="007E3B38">
        <w:rPr>
          <w:b/>
          <w:i/>
          <w:szCs w:val="22"/>
        </w:rPr>
        <w:t>Sui Generis</w:t>
      </w:r>
    </w:p>
    <w:p w:rsidR="006B0488" w:rsidRPr="007E3B38" w:rsidRDefault="006B0488" w:rsidP="006B0488">
      <w:pPr>
        <w:spacing w:line="260" w:lineRule="atLeast"/>
        <w:rPr>
          <w:b/>
          <w:i/>
          <w:szCs w:val="22"/>
        </w:rPr>
      </w:pPr>
    </w:p>
    <w:p w:rsidR="006B0488" w:rsidRPr="007E3B38" w:rsidRDefault="006B0488" w:rsidP="006B0488">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6B0488" w:rsidRPr="007E3B38" w:rsidRDefault="006B0488" w:rsidP="006B0488">
      <w:pPr>
        <w:rPr>
          <w:szCs w:val="22"/>
        </w:rPr>
      </w:pPr>
    </w:p>
    <w:p w:rsidR="006B0488" w:rsidRPr="007E3B38" w:rsidRDefault="006B0488" w:rsidP="006B0488">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6B0488" w:rsidRPr="007E3B38" w:rsidRDefault="006B0488" w:rsidP="006B0488">
      <w:pPr>
        <w:spacing w:line="260" w:lineRule="atLeast"/>
        <w:rPr>
          <w:b/>
          <w:szCs w:val="22"/>
        </w:rPr>
      </w:pPr>
    </w:p>
    <w:p w:rsidR="006B0488" w:rsidRPr="007E3B38" w:rsidRDefault="006B0488" w:rsidP="006B0488">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r w:rsidRPr="007E3B38">
        <w:rPr>
          <w:szCs w:val="22"/>
        </w:rPr>
        <w:t>Swakopmund</w:t>
      </w:r>
      <w:proofErr w:type="spellEnd"/>
      <w:r w:rsidRPr="007E3B38">
        <w:rPr>
          <w:szCs w:val="22"/>
        </w:rPr>
        <w:t xml:space="preserve">,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when six Member States of the ARIPO either deposit</w:t>
      </w:r>
      <w:r>
        <w:rPr>
          <w:szCs w:val="22"/>
        </w:rPr>
        <w:t>ed</w:t>
      </w:r>
      <w:r w:rsidRPr="00216931">
        <w:rPr>
          <w:szCs w:val="22"/>
        </w:rPr>
        <w:t xml:space="preserve"> instruments of ratification or instruments of accession</w:t>
      </w:r>
      <w:r w:rsidRPr="007E3B38">
        <w:rPr>
          <w:szCs w:val="22"/>
        </w:rPr>
        <w:t>.</w:t>
      </w:r>
    </w:p>
    <w:p w:rsidR="006B0488" w:rsidRPr="007E3B38" w:rsidRDefault="006B0488" w:rsidP="006B0488">
      <w:pPr>
        <w:rPr>
          <w:b/>
          <w:szCs w:val="22"/>
        </w:rPr>
      </w:pPr>
    </w:p>
    <w:p w:rsidR="006B0488" w:rsidRPr="007E3B38" w:rsidRDefault="006B0488" w:rsidP="006B0488">
      <w:pPr>
        <w:rPr>
          <w:b/>
          <w:szCs w:val="22"/>
          <w:lang w:val="en"/>
        </w:rPr>
      </w:pPr>
      <w:r w:rsidRPr="007E3B38">
        <w:rPr>
          <w:b/>
          <w:szCs w:val="22"/>
        </w:rPr>
        <w:t>Tangible</w:t>
      </w:r>
      <w:r w:rsidRPr="007E3B38">
        <w:rPr>
          <w:b/>
          <w:szCs w:val="22"/>
          <w:lang w:val="en"/>
        </w:rPr>
        <w:t xml:space="preserve"> Expressions</w:t>
      </w:r>
    </w:p>
    <w:p w:rsidR="006B0488" w:rsidRPr="007E3B38" w:rsidRDefault="006B0488" w:rsidP="006B0488">
      <w:pPr>
        <w:rPr>
          <w:b/>
          <w:szCs w:val="22"/>
          <w:lang w:val="en"/>
        </w:rPr>
      </w:pPr>
    </w:p>
    <w:p w:rsidR="006B0488" w:rsidRPr="007E3B38" w:rsidRDefault="006B0488" w:rsidP="006B0488">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6B0488" w:rsidRDefault="006B0488" w:rsidP="006B0488">
      <w:pPr>
        <w:rPr>
          <w:szCs w:val="22"/>
        </w:rPr>
      </w:pPr>
    </w:p>
    <w:p w:rsidR="006B0488" w:rsidRPr="007E3B38" w:rsidRDefault="006B0488" w:rsidP="006B0488">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6B0488" w:rsidRPr="007E3B38" w:rsidRDefault="006B0488" w:rsidP="006B0488">
      <w:pPr>
        <w:rPr>
          <w:szCs w:val="22"/>
        </w:rPr>
      </w:pPr>
    </w:p>
    <w:p w:rsidR="006B0488" w:rsidRPr="007E3B38" w:rsidRDefault="006B0488" w:rsidP="006B0488">
      <w:pPr>
        <w:numPr>
          <w:ilvl w:val="2"/>
          <w:numId w:val="13"/>
        </w:numPr>
        <w:tabs>
          <w:tab w:val="clear" w:pos="2340"/>
          <w:tab w:val="num" w:pos="1080"/>
        </w:tabs>
        <w:autoSpaceDE w:val="0"/>
        <w:autoSpaceDN w:val="0"/>
        <w:adjustRightInd w:val="0"/>
        <w:spacing w:after="120" w:line="260" w:lineRule="exact"/>
        <w:ind w:left="1080" w:firstLine="0"/>
        <w:rPr>
          <w:szCs w:val="22"/>
        </w:rPr>
      </w:pPr>
      <w:r w:rsidRPr="007E3B38">
        <w:rPr>
          <w:szCs w:val="22"/>
        </w:rPr>
        <w:lastRenderedPageBreak/>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6B0488" w:rsidRPr="007E3B38" w:rsidRDefault="006B0488" w:rsidP="006B0488">
      <w:pPr>
        <w:numPr>
          <w:ilvl w:val="2"/>
          <w:numId w:val="13"/>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6B0488" w:rsidRPr="007E3B38" w:rsidRDefault="006B0488" w:rsidP="006B0488">
      <w:pPr>
        <w:numPr>
          <w:ilvl w:val="2"/>
          <w:numId w:val="13"/>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2"/>
      </w:r>
    </w:p>
    <w:p w:rsidR="006B0488" w:rsidRPr="007E3B38" w:rsidRDefault="006B0488" w:rsidP="006B0488">
      <w:pPr>
        <w:rPr>
          <w:b/>
          <w:szCs w:val="22"/>
        </w:rPr>
      </w:pPr>
    </w:p>
    <w:p w:rsidR="006B0488" w:rsidRPr="007E3B38" w:rsidRDefault="006B0488" w:rsidP="006B0488">
      <w:pPr>
        <w:rPr>
          <w:b/>
          <w:szCs w:val="22"/>
        </w:rPr>
      </w:pPr>
      <w:r w:rsidRPr="007E3B38">
        <w:rPr>
          <w:b/>
          <w:szCs w:val="22"/>
        </w:rPr>
        <w:t>Traditional Context</w:t>
      </w:r>
    </w:p>
    <w:p w:rsidR="006B0488" w:rsidRPr="007E3B38" w:rsidRDefault="006B0488" w:rsidP="006B0488">
      <w:pPr>
        <w:rPr>
          <w:b/>
          <w:szCs w:val="22"/>
        </w:rPr>
      </w:pPr>
    </w:p>
    <w:p w:rsidR="006B0488" w:rsidRPr="007E3B38" w:rsidRDefault="006B0488" w:rsidP="006B0488">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56"/>
      </w:r>
    </w:p>
    <w:p w:rsidR="006B0488" w:rsidRPr="007E3B38" w:rsidRDefault="006B0488" w:rsidP="006B0488">
      <w:pPr>
        <w:rPr>
          <w:szCs w:val="22"/>
        </w:rPr>
      </w:pPr>
    </w:p>
    <w:p w:rsidR="006B0488" w:rsidRPr="007E3B38" w:rsidRDefault="006B0488" w:rsidP="006B0488">
      <w:pPr>
        <w:rPr>
          <w:b/>
          <w:szCs w:val="22"/>
        </w:rPr>
      </w:pPr>
      <w:r w:rsidRPr="007E3B38">
        <w:rPr>
          <w:b/>
          <w:szCs w:val="22"/>
        </w:rPr>
        <w:t>Traditional Cultural Expressions</w:t>
      </w:r>
    </w:p>
    <w:p w:rsidR="006B0488" w:rsidRPr="007E3B38" w:rsidRDefault="006B0488" w:rsidP="006B0488">
      <w:pPr>
        <w:rPr>
          <w:b/>
          <w:szCs w:val="22"/>
        </w:rPr>
      </w:pPr>
    </w:p>
    <w:p w:rsidR="006B0488" w:rsidRDefault="006B0488" w:rsidP="006B0488">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6B0488" w:rsidRPr="007E3B38" w:rsidRDefault="006B0488" w:rsidP="006B0488">
      <w:pPr>
        <w:rPr>
          <w:szCs w:val="22"/>
        </w:rPr>
      </w:pPr>
    </w:p>
    <w:p w:rsidR="006B0488" w:rsidRPr="007E3B38" w:rsidRDefault="006B0488" w:rsidP="006B0488">
      <w:pPr>
        <w:rPr>
          <w:b/>
          <w:szCs w:val="22"/>
        </w:rPr>
      </w:pPr>
      <w:r w:rsidRPr="007E3B38">
        <w:rPr>
          <w:b/>
          <w:szCs w:val="22"/>
        </w:rPr>
        <w:t>Traditional Cultures</w:t>
      </w:r>
    </w:p>
    <w:p w:rsidR="006B0488" w:rsidRPr="007E3B38" w:rsidRDefault="006B0488" w:rsidP="006B0488">
      <w:pPr>
        <w:rPr>
          <w:b/>
          <w:szCs w:val="22"/>
        </w:rPr>
      </w:pPr>
    </w:p>
    <w:p w:rsidR="006B0488" w:rsidRPr="00460F2B" w:rsidRDefault="006B0488" w:rsidP="006B0488">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w:t>
      </w:r>
      <w:r w:rsidRPr="007E3B38">
        <w:rPr>
          <w:szCs w:val="22"/>
        </w:rPr>
        <w:lastRenderedPageBreak/>
        <w:t>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6B0488" w:rsidRPr="007E3B38" w:rsidRDefault="006B0488" w:rsidP="006B0488">
      <w:pPr>
        <w:rPr>
          <w:b/>
          <w:szCs w:val="22"/>
          <w:lang w:val="en"/>
        </w:rPr>
      </w:pPr>
    </w:p>
    <w:p w:rsidR="006B0488" w:rsidRPr="007E3B38" w:rsidRDefault="006B0488" w:rsidP="006B0488">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6B0488" w:rsidRPr="007E3B38" w:rsidRDefault="006B0488" w:rsidP="006B0488">
      <w:pPr>
        <w:rPr>
          <w:b/>
          <w:szCs w:val="22"/>
        </w:rPr>
      </w:pPr>
    </w:p>
    <w:p w:rsidR="006B0488" w:rsidRPr="007E3B38" w:rsidRDefault="006B0488" w:rsidP="006B0488">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6B0488" w:rsidRPr="007E3B38" w:rsidRDefault="006B0488" w:rsidP="006B0488">
      <w:pPr>
        <w:rPr>
          <w:szCs w:val="22"/>
        </w:rPr>
      </w:pPr>
    </w:p>
    <w:p w:rsidR="006B0488" w:rsidRPr="007E3B38" w:rsidRDefault="006B0488" w:rsidP="006B0488">
      <w:pPr>
        <w:rPr>
          <w:b/>
          <w:szCs w:val="22"/>
        </w:rPr>
      </w:pPr>
      <w:r w:rsidRPr="007E3B38">
        <w:rPr>
          <w:b/>
          <w:szCs w:val="22"/>
        </w:rPr>
        <w:t>Traditional Knowledge</w:t>
      </w:r>
    </w:p>
    <w:p w:rsidR="006B0488" w:rsidRPr="007E3B38" w:rsidRDefault="006B0488" w:rsidP="006B0488">
      <w:pPr>
        <w:rPr>
          <w:b/>
          <w:szCs w:val="22"/>
        </w:rPr>
      </w:pPr>
    </w:p>
    <w:p w:rsidR="006B0488" w:rsidRPr="007E3B38" w:rsidRDefault="006B0488" w:rsidP="006B0488">
      <w:pPr>
        <w:rPr>
          <w:szCs w:val="22"/>
        </w:rPr>
      </w:pPr>
      <w:r w:rsidRPr="007E3B38">
        <w:rPr>
          <w:szCs w:val="22"/>
        </w:rPr>
        <w:t xml:space="preserve">There is as yet no accepted definition of traditional knowledge (TK) at the international level.  </w:t>
      </w:r>
    </w:p>
    <w:p w:rsidR="006B0488" w:rsidRPr="007E3B38" w:rsidRDefault="006B0488" w:rsidP="006B0488">
      <w:pPr>
        <w:rPr>
          <w:szCs w:val="22"/>
        </w:rPr>
      </w:pPr>
    </w:p>
    <w:p w:rsidR="006B0488" w:rsidRDefault="006B0488" w:rsidP="006B0488">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Pr>
          <w:szCs w:val="22"/>
        </w:rPr>
        <w:t xml:space="preserve"> </w:t>
      </w:r>
      <w:r w:rsidRPr="007E3B38">
        <w:rPr>
          <w:szCs w:val="22"/>
        </w:rPr>
        <w:t xml:space="preserve">scientific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6B0488" w:rsidRPr="007E3B38" w:rsidRDefault="006B0488" w:rsidP="006B0488">
      <w:pPr>
        <w:rPr>
          <w:szCs w:val="22"/>
        </w:rPr>
      </w:pPr>
    </w:p>
    <w:p w:rsidR="006B0488" w:rsidRPr="007E3B38" w:rsidRDefault="006B0488" w:rsidP="006B0488">
      <w:pPr>
        <w:rPr>
          <w:b/>
          <w:szCs w:val="22"/>
        </w:rPr>
      </w:pPr>
      <w:r w:rsidRPr="007E3B38">
        <w:rPr>
          <w:b/>
          <w:szCs w:val="22"/>
        </w:rPr>
        <w:t>Traditional Knowledge Digital Library</w:t>
      </w:r>
    </w:p>
    <w:p w:rsidR="006B0488" w:rsidRPr="007E3B38" w:rsidRDefault="006B0488" w:rsidP="006B0488">
      <w:pPr>
        <w:rPr>
          <w:b/>
          <w:szCs w:val="22"/>
        </w:rPr>
      </w:pPr>
    </w:p>
    <w:p w:rsidR="006B0488" w:rsidRPr="007E3B38" w:rsidRDefault="006B0488" w:rsidP="006B0488">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w:t>
      </w:r>
      <w:r w:rsidRPr="007E3B38">
        <w:rPr>
          <w:szCs w:val="22"/>
        </w:rPr>
        <w:lastRenderedPageBreak/>
        <w:t>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1"/>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6B0488" w:rsidRDefault="006B0488" w:rsidP="006B0488">
      <w:pPr>
        <w:rPr>
          <w:b/>
          <w:szCs w:val="22"/>
        </w:rPr>
      </w:pPr>
    </w:p>
    <w:p w:rsidR="006B0488" w:rsidRPr="007E3B38" w:rsidRDefault="006B0488" w:rsidP="006B0488">
      <w:pPr>
        <w:rPr>
          <w:b/>
          <w:szCs w:val="22"/>
        </w:rPr>
      </w:pPr>
      <w:r w:rsidRPr="007E3B38">
        <w:rPr>
          <w:b/>
          <w:szCs w:val="22"/>
        </w:rPr>
        <w:t>Traditional Knowledge Resource Classification</w:t>
      </w:r>
    </w:p>
    <w:p w:rsidR="006B0488" w:rsidRPr="007E3B38" w:rsidRDefault="006B0488" w:rsidP="006B0488">
      <w:pPr>
        <w:rPr>
          <w:b/>
          <w:szCs w:val="22"/>
        </w:rPr>
      </w:pPr>
    </w:p>
    <w:p w:rsidR="006B0488" w:rsidRPr="007E3B38" w:rsidRDefault="006B0488" w:rsidP="006B0488">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6B0488" w:rsidRPr="007E3B38" w:rsidRDefault="006B0488" w:rsidP="006B0488">
      <w:pPr>
        <w:rPr>
          <w:szCs w:val="22"/>
        </w:rPr>
      </w:pPr>
    </w:p>
    <w:p w:rsidR="006B0488" w:rsidRPr="007E3B38" w:rsidRDefault="006B0488" w:rsidP="006B0488">
      <w:pPr>
        <w:rPr>
          <w:b/>
          <w:szCs w:val="22"/>
        </w:rPr>
      </w:pPr>
      <w:r w:rsidRPr="007E3B38">
        <w:rPr>
          <w:b/>
          <w:szCs w:val="22"/>
        </w:rPr>
        <w:t>Traditional Medicine</w:t>
      </w:r>
    </w:p>
    <w:p w:rsidR="006B0488" w:rsidRPr="007E3B38" w:rsidRDefault="006B0488" w:rsidP="006B0488">
      <w:pPr>
        <w:rPr>
          <w:b/>
          <w:szCs w:val="22"/>
        </w:rPr>
      </w:pPr>
    </w:p>
    <w:p w:rsidR="006B0488" w:rsidRPr="007E3B38" w:rsidRDefault="006B0488" w:rsidP="006B0488">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66"/>
      </w:r>
    </w:p>
    <w:p w:rsidR="006B0488" w:rsidRDefault="006B0488" w:rsidP="006B0488">
      <w:pPr>
        <w:rPr>
          <w:b/>
          <w:szCs w:val="22"/>
          <w:lang w:val="en"/>
        </w:rPr>
      </w:pPr>
    </w:p>
    <w:p w:rsidR="006B0488" w:rsidRDefault="006B0488" w:rsidP="006B0488">
      <w:pPr>
        <w:rPr>
          <w:b/>
          <w:szCs w:val="22"/>
        </w:rPr>
      </w:pPr>
      <w:r>
        <w:rPr>
          <w:b/>
          <w:szCs w:val="22"/>
        </w:rPr>
        <w:br w:type="page"/>
      </w:r>
    </w:p>
    <w:p w:rsidR="006B0488" w:rsidRPr="007E3B38" w:rsidRDefault="006B0488" w:rsidP="006B0488">
      <w:pPr>
        <w:rPr>
          <w:b/>
          <w:szCs w:val="22"/>
        </w:rPr>
      </w:pPr>
      <w:r w:rsidRPr="007E3B38">
        <w:rPr>
          <w:b/>
          <w:szCs w:val="22"/>
        </w:rPr>
        <w:lastRenderedPageBreak/>
        <w:t>Tradition-Based Creations and Innovations</w:t>
      </w:r>
    </w:p>
    <w:p w:rsidR="006B0488" w:rsidRPr="007E3B38" w:rsidRDefault="006B0488" w:rsidP="006B0488">
      <w:pPr>
        <w:rPr>
          <w:b/>
          <w:szCs w:val="22"/>
        </w:rPr>
      </w:pPr>
    </w:p>
    <w:p w:rsidR="006B0488" w:rsidRPr="007E3B38" w:rsidRDefault="006B0488" w:rsidP="006B0488">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rsidR="006B0488" w:rsidRPr="007E3B38" w:rsidRDefault="006B0488" w:rsidP="006B0488">
      <w:pPr>
        <w:rPr>
          <w:b/>
          <w:szCs w:val="22"/>
        </w:rPr>
      </w:pPr>
    </w:p>
    <w:p w:rsidR="006B0488" w:rsidRPr="007E3B38" w:rsidRDefault="006B0488" w:rsidP="006B0488">
      <w:pPr>
        <w:rPr>
          <w:b/>
          <w:szCs w:val="22"/>
        </w:rPr>
      </w:pPr>
      <w:r w:rsidRPr="007E3B38">
        <w:rPr>
          <w:b/>
          <w:szCs w:val="22"/>
        </w:rPr>
        <w:t>UNESCO Convention on the Means of Prohibiting and Preventing the Illicit Import, Export and Transfer of Ownership of Cultural Property</w:t>
      </w:r>
    </w:p>
    <w:p w:rsidR="006B0488" w:rsidRPr="007E3B38" w:rsidRDefault="006B0488" w:rsidP="006B0488">
      <w:pPr>
        <w:rPr>
          <w:b/>
          <w:szCs w:val="22"/>
        </w:rPr>
      </w:pPr>
    </w:p>
    <w:p w:rsidR="006B0488" w:rsidRPr="007E3B38" w:rsidRDefault="006B0488" w:rsidP="006B0488">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6B0488" w:rsidRPr="007E3B38" w:rsidRDefault="006B0488" w:rsidP="006B0488">
      <w:pPr>
        <w:rPr>
          <w:szCs w:val="22"/>
        </w:rPr>
      </w:pPr>
    </w:p>
    <w:p w:rsidR="006B0488" w:rsidRPr="007E3B38" w:rsidRDefault="006B0488" w:rsidP="006B0488">
      <w:pPr>
        <w:rPr>
          <w:szCs w:val="22"/>
        </w:rPr>
      </w:pPr>
      <w:r w:rsidRPr="007E3B38">
        <w:rPr>
          <w:szCs w:val="22"/>
        </w:rPr>
        <w:t>The Convention requires its States Parties to take action in three main fields:</w:t>
      </w:r>
    </w:p>
    <w:p w:rsidR="006B0488" w:rsidRPr="007E3B38" w:rsidRDefault="006B0488" w:rsidP="006B0488">
      <w:pPr>
        <w:ind w:left="567"/>
        <w:rPr>
          <w:szCs w:val="22"/>
        </w:rPr>
      </w:pPr>
    </w:p>
    <w:p w:rsidR="006B0488" w:rsidRDefault="006B0488" w:rsidP="006B0488">
      <w:pPr>
        <w:ind w:left="567"/>
        <w:rPr>
          <w:szCs w:val="22"/>
        </w:rPr>
      </w:pPr>
      <w:r w:rsidRPr="007E3B38">
        <w:rPr>
          <w:szCs w:val="22"/>
        </w:rPr>
        <w:t xml:space="preserve">1- </w:t>
      </w:r>
      <w:r>
        <w:rPr>
          <w:szCs w:val="22"/>
        </w:rPr>
        <w:t xml:space="preserve"> </w:t>
      </w:r>
      <w:r w:rsidRPr="007E3B38">
        <w:rPr>
          <w:szCs w:val="22"/>
        </w:rPr>
        <w:t>Preventive measures: inventories, export certificates, monitoring trade, imposition of penal or administrative sanctions, educational campaigns, etc.</w:t>
      </w:r>
    </w:p>
    <w:p w:rsidR="006B0488" w:rsidRPr="007E3B38" w:rsidRDefault="006B0488" w:rsidP="006B0488">
      <w:pPr>
        <w:ind w:left="567"/>
        <w:rPr>
          <w:szCs w:val="22"/>
        </w:rPr>
      </w:pPr>
    </w:p>
    <w:p w:rsidR="006B0488" w:rsidRDefault="006B0488" w:rsidP="006B0488">
      <w:pPr>
        <w:ind w:left="567"/>
        <w:rPr>
          <w:szCs w:val="22"/>
        </w:rPr>
      </w:pPr>
      <w:r w:rsidRPr="007E3B38">
        <w:rPr>
          <w:szCs w:val="22"/>
        </w:rPr>
        <w:t xml:space="preserve">2- </w:t>
      </w:r>
      <w:r>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6B0488" w:rsidRPr="007E3B38" w:rsidRDefault="006B0488" w:rsidP="006B0488">
      <w:pPr>
        <w:ind w:left="567"/>
        <w:rPr>
          <w:szCs w:val="22"/>
        </w:rPr>
      </w:pPr>
    </w:p>
    <w:p w:rsidR="006B0488" w:rsidRPr="007E3B38" w:rsidRDefault="006B0488" w:rsidP="006B0488">
      <w:pPr>
        <w:ind w:left="567"/>
        <w:rPr>
          <w:szCs w:val="22"/>
        </w:rPr>
      </w:pPr>
      <w:r w:rsidRPr="007E3B38">
        <w:rPr>
          <w:szCs w:val="22"/>
        </w:rPr>
        <w:t>3-</w:t>
      </w:r>
      <w:r>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6B0488" w:rsidRPr="007E3B38" w:rsidRDefault="006B0488" w:rsidP="006B0488">
      <w:pPr>
        <w:rPr>
          <w:szCs w:val="22"/>
        </w:rPr>
      </w:pPr>
    </w:p>
    <w:p w:rsidR="006B0488" w:rsidRPr="007E3B38" w:rsidRDefault="006B0488" w:rsidP="006B0488">
      <w:pPr>
        <w:rPr>
          <w:b/>
          <w:szCs w:val="22"/>
        </w:rPr>
      </w:pPr>
      <w:r w:rsidRPr="007E3B38">
        <w:rPr>
          <w:b/>
          <w:szCs w:val="22"/>
        </w:rPr>
        <w:t>UNESCO Convention on the Protection and Promotion of the Diversity of Cultural Expressions</w:t>
      </w:r>
    </w:p>
    <w:p w:rsidR="006B0488" w:rsidRPr="007E3B38" w:rsidRDefault="006B0488" w:rsidP="006B0488">
      <w:pPr>
        <w:rPr>
          <w:b/>
          <w:szCs w:val="22"/>
        </w:rPr>
      </w:pPr>
    </w:p>
    <w:p w:rsidR="006B0488" w:rsidRPr="007E3B38" w:rsidRDefault="006B0488" w:rsidP="006B0488">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6B0488" w:rsidRPr="007E3B38" w:rsidRDefault="006B0488" w:rsidP="006B0488">
      <w:pPr>
        <w:rPr>
          <w:szCs w:val="22"/>
        </w:rPr>
      </w:pPr>
    </w:p>
    <w:p w:rsidR="006B0488" w:rsidRPr="007E3B38" w:rsidRDefault="006B0488" w:rsidP="006B0488">
      <w:pPr>
        <w:rPr>
          <w:szCs w:val="22"/>
        </w:rPr>
      </w:pPr>
      <w:r w:rsidRPr="007E3B38">
        <w:rPr>
          <w:szCs w:val="22"/>
        </w:rPr>
        <w:lastRenderedPageBreak/>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6B0488" w:rsidRPr="007E3B38" w:rsidRDefault="006B0488" w:rsidP="006B0488">
      <w:pPr>
        <w:rPr>
          <w:b/>
          <w:szCs w:val="22"/>
        </w:rPr>
      </w:pPr>
    </w:p>
    <w:p w:rsidR="006B0488" w:rsidRPr="007E3B38" w:rsidRDefault="006B0488" w:rsidP="006B0488">
      <w:pPr>
        <w:rPr>
          <w:b/>
          <w:szCs w:val="22"/>
        </w:rPr>
      </w:pPr>
      <w:r w:rsidRPr="007E3B38">
        <w:rPr>
          <w:b/>
          <w:szCs w:val="22"/>
        </w:rPr>
        <w:t>UNESCO Convention for the Safeguarding of the Intangible Cultural Heritage</w:t>
      </w:r>
    </w:p>
    <w:p w:rsidR="006B0488" w:rsidRPr="007E3B38" w:rsidRDefault="006B0488" w:rsidP="006B0488">
      <w:pPr>
        <w:rPr>
          <w:szCs w:val="22"/>
        </w:rPr>
      </w:pPr>
    </w:p>
    <w:p w:rsidR="006B0488" w:rsidRPr="007E3B38" w:rsidRDefault="006B0488" w:rsidP="006B0488">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6B0488" w:rsidRPr="007E3B38" w:rsidRDefault="006B0488" w:rsidP="006B0488">
      <w:pPr>
        <w:rPr>
          <w:b/>
          <w:szCs w:val="22"/>
        </w:rPr>
      </w:pPr>
    </w:p>
    <w:p w:rsidR="006B0488" w:rsidRPr="007E3B38" w:rsidRDefault="006B0488" w:rsidP="006B0488">
      <w:pPr>
        <w:rPr>
          <w:b/>
          <w:szCs w:val="22"/>
        </w:rPr>
      </w:pPr>
      <w:r w:rsidRPr="007E3B38">
        <w:rPr>
          <w:b/>
          <w:szCs w:val="22"/>
        </w:rPr>
        <w:t>Unfair Competition</w:t>
      </w:r>
    </w:p>
    <w:p w:rsidR="006B0488" w:rsidRPr="007E3B38" w:rsidRDefault="006B0488" w:rsidP="006B0488">
      <w:pPr>
        <w:rPr>
          <w:b/>
          <w:szCs w:val="22"/>
        </w:rPr>
      </w:pPr>
    </w:p>
    <w:p w:rsidR="006B0488" w:rsidRPr="007E3B38" w:rsidRDefault="006B0488" w:rsidP="006B0488">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6B0488" w:rsidRPr="007E3B38" w:rsidRDefault="006B0488" w:rsidP="006B0488">
      <w:pPr>
        <w:rPr>
          <w:szCs w:val="22"/>
        </w:rPr>
      </w:pPr>
    </w:p>
    <w:p w:rsidR="006B0488" w:rsidRPr="007E3B38" w:rsidRDefault="006B0488" w:rsidP="006B0488">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6B0488" w:rsidRPr="007E3B38" w:rsidRDefault="006B0488" w:rsidP="006B0488">
      <w:pPr>
        <w:rPr>
          <w:szCs w:val="22"/>
        </w:rPr>
      </w:pPr>
    </w:p>
    <w:p w:rsidR="006B0488" w:rsidRPr="007E3B38" w:rsidRDefault="006B0488" w:rsidP="006B0488">
      <w:pPr>
        <w:rPr>
          <w:b/>
          <w:szCs w:val="22"/>
        </w:rPr>
      </w:pPr>
      <w:r w:rsidRPr="007E3B38">
        <w:rPr>
          <w:b/>
          <w:szCs w:val="22"/>
        </w:rPr>
        <w:t>United Nations Declaration on the Rights of Indigenous Peoples</w:t>
      </w:r>
    </w:p>
    <w:p w:rsidR="006B0488" w:rsidRPr="007E3B38" w:rsidRDefault="006B0488" w:rsidP="006B0488">
      <w:pPr>
        <w:rPr>
          <w:b/>
          <w:szCs w:val="22"/>
        </w:rPr>
      </w:pPr>
    </w:p>
    <w:p w:rsidR="006B0488" w:rsidRDefault="006B0488" w:rsidP="006B0488">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6B0488" w:rsidRPr="007E3B38" w:rsidRDefault="006B0488" w:rsidP="006B0488">
      <w:pPr>
        <w:rPr>
          <w:szCs w:val="22"/>
        </w:rPr>
      </w:pPr>
    </w:p>
    <w:p w:rsidR="006B0488" w:rsidRPr="007E3B38" w:rsidRDefault="006B0488" w:rsidP="006B0488">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w:t>
      </w:r>
      <w:r w:rsidRPr="007E3B38">
        <w:rPr>
          <w:bCs/>
          <w:szCs w:val="22"/>
        </w:rPr>
        <w:lastRenderedPageBreak/>
        <w:t>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6B0488" w:rsidRDefault="006B0488" w:rsidP="006B0488">
      <w:pPr>
        <w:rPr>
          <w:b/>
          <w:szCs w:val="22"/>
        </w:rPr>
      </w:pPr>
    </w:p>
    <w:p w:rsidR="006B0488" w:rsidRDefault="006B0488" w:rsidP="006B0488">
      <w:pPr>
        <w:rPr>
          <w:b/>
          <w:szCs w:val="22"/>
        </w:rPr>
      </w:pPr>
      <w:r>
        <w:rPr>
          <w:b/>
          <w:szCs w:val="22"/>
        </w:rPr>
        <w:t xml:space="preserve">Universal Declaration of Human Rights </w:t>
      </w:r>
    </w:p>
    <w:p w:rsidR="006B0488" w:rsidRDefault="006B0488" w:rsidP="006B0488">
      <w:pPr>
        <w:rPr>
          <w:b/>
          <w:szCs w:val="22"/>
        </w:rPr>
      </w:pPr>
    </w:p>
    <w:p w:rsidR="006B0488" w:rsidRPr="00FE2EBD" w:rsidRDefault="006B0488" w:rsidP="006B0488">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Drafted by representatives with different legal and cultural backgrounds from all regions of the world, the Declaration was proclaimed by the United Nations General Assembly in Paris 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be universally protected.</w:t>
      </w:r>
      <w:r w:rsidRPr="00FE2EBD">
        <w:rPr>
          <w:rStyle w:val="FootnoteReference"/>
          <w:color w:val="333333"/>
          <w:szCs w:val="22"/>
          <w:lang w:val="en"/>
        </w:rPr>
        <w:footnoteReference w:id="171"/>
      </w:r>
    </w:p>
    <w:p w:rsidR="006B0488" w:rsidRPr="007E3B38" w:rsidRDefault="006B0488" w:rsidP="006B0488">
      <w:pPr>
        <w:rPr>
          <w:b/>
          <w:szCs w:val="22"/>
        </w:rPr>
      </w:pPr>
    </w:p>
    <w:p w:rsidR="006B0488" w:rsidRPr="007E3B38" w:rsidRDefault="006B0488" w:rsidP="006B0488">
      <w:pPr>
        <w:rPr>
          <w:b/>
          <w:szCs w:val="22"/>
        </w:rPr>
      </w:pPr>
      <w:r w:rsidRPr="007E3B38">
        <w:rPr>
          <w:b/>
          <w:szCs w:val="22"/>
        </w:rPr>
        <w:t>Use of Traditional Cultural Expressions/Traditional Knowledge</w:t>
      </w:r>
    </w:p>
    <w:p w:rsidR="006B0488" w:rsidRPr="007E3B38" w:rsidRDefault="006B0488" w:rsidP="006B0488">
      <w:pPr>
        <w:rPr>
          <w:b/>
          <w:szCs w:val="22"/>
        </w:rPr>
      </w:pPr>
    </w:p>
    <w:p w:rsidR="006B0488" w:rsidRPr="007E3B38" w:rsidRDefault="006B0488" w:rsidP="006B0488">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6B0488" w:rsidRPr="007E3B38" w:rsidRDefault="006B0488" w:rsidP="006B0488">
      <w:pPr>
        <w:rPr>
          <w:szCs w:val="22"/>
        </w:rPr>
      </w:pPr>
    </w:p>
    <w:p w:rsidR="006B0488" w:rsidRPr="007E3B38" w:rsidRDefault="006B0488" w:rsidP="006B0488">
      <w:pPr>
        <w:rPr>
          <w:i/>
          <w:szCs w:val="22"/>
          <w:u w:val="single"/>
        </w:rPr>
      </w:pPr>
      <w:r w:rsidRPr="007E3B38">
        <w:rPr>
          <w:i/>
          <w:szCs w:val="22"/>
          <w:u w:val="single"/>
        </w:rPr>
        <w:t>Commercial Use</w:t>
      </w:r>
    </w:p>
    <w:p w:rsidR="006B0488" w:rsidRPr="007E3B38" w:rsidRDefault="006B0488" w:rsidP="006B0488">
      <w:pPr>
        <w:rPr>
          <w:i/>
          <w:szCs w:val="22"/>
          <w:u w:val="single"/>
        </w:rPr>
      </w:pPr>
    </w:p>
    <w:p w:rsidR="006B0488" w:rsidRPr="007E3B38" w:rsidRDefault="006B0488" w:rsidP="006B0488">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6B0488" w:rsidRPr="007E3B38" w:rsidRDefault="006B0488" w:rsidP="006B0488">
      <w:pPr>
        <w:rPr>
          <w:i/>
          <w:szCs w:val="22"/>
          <w:u w:val="single"/>
        </w:rPr>
      </w:pPr>
    </w:p>
    <w:p w:rsidR="006B0488" w:rsidRPr="007E3B38" w:rsidRDefault="006B0488" w:rsidP="006B0488">
      <w:pPr>
        <w:rPr>
          <w:i/>
          <w:szCs w:val="22"/>
          <w:u w:val="single"/>
        </w:rPr>
      </w:pPr>
      <w:r w:rsidRPr="007E3B38">
        <w:rPr>
          <w:i/>
          <w:szCs w:val="22"/>
          <w:u w:val="single"/>
        </w:rPr>
        <w:t>Customary Use</w:t>
      </w:r>
    </w:p>
    <w:p w:rsidR="006B0488" w:rsidRPr="007E3B38" w:rsidRDefault="006B0488" w:rsidP="006B0488">
      <w:pPr>
        <w:rPr>
          <w:i/>
          <w:szCs w:val="22"/>
          <w:u w:val="single"/>
        </w:rPr>
      </w:pPr>
    </w:p>
    <w:p w:rsidR="006B0488" w:rsidRPr="007E3B38" w:rsidRDefault="006B0488" w:rsidP="006B0488">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6B0488" w:rsidRPr="007E3B38" w:rsidRDefault="006B0488" w:rsidP="006B0488">
      <w:pPr>
        <w:rPr>
          <w:szCs w:val="22"/>
        </w:rPr>
      </w:pPr>
    </w:p>
    <w:p w:rsidR="006B0488" w:rsidRPr="007E3B38" w:rsidRDefault="006B0488" w:rsidP="006B0488">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6B0488" w:rsidRPr="007E3B38" w:rsidRDefault="006B0488" w:rsidP="006B0488">
      <w:pPr>
        <w:rPr>
          <w:szCs w:val="22"/>
        </w:rPr>
      </w:pPr>
    </w:p>
    <w:p w:rsidR="006B0488" w:rsidRPr="007E3B38" w:rsidRDefault="006B0488" w:rsidP="006B0488">
      <w:pPr>
        <w:rPr>
          <w:i/>
          <w:szCs w:val="22"/>
          <w:u w:val="single"/>
        </w:rPr>
      </w:pPr>
      <w:r w:rsidRPr="007E3B38">
        <w:rPr>
          <w:i/>
          <w:szCs w:val="22"/>
          <w:u w:val="single"/>
        </w:rPr>
        <w:t>Fair Use</w:t>
      </w:r>
    </w:p>
    <w:p w:rsidR="006B0488" w:rsidRPr="007E3B38" w:rsidRDefault="006B0488" w:rsidP="006B0488">
      <w:pPr>
        <w:rPr>
          <w:i/>
          <w:szCs w:val="22"/>
          <w:u w:val="single"/>
        </w:rPr>
      </w:pPr>
    </w:p>
    <w:p w:rsidR="006B0488" w:rsidRPr="007E3B38" w:rsidRDefault="006B0488" w:rsidP="006B0488">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6B0488" w:rsidRDefault="006B0488" w:rsidP="006B0488">
      <w:pPr>
        <w:rPr>
          <w:szCs w:val="22"/>
        </w:rPr>
      </w:pPr>
    </w:p>
    <w:p w:rsidR="006B0488" w:rsidRPr="007E3B38" w:rsidRDefault="006B0488" w:rsidP="006B0488">
      <w:pPr>
        <w:rPr>
          <w:i/>
          <w:szCs w:val="22"/>
          <w:u w:val="single"/>
        </w:rPr>
      </w:pPr>
      <w:r w:rsidRPr="007E3B38">
        <w:rPr>
          <w:i/>
          <w:szCs w:val="22"/>
          <w:u w:val="single"/>
        </w:rPr>
        <w:lastRenderedPageBreak/>
        <w:t>Household Use and Public Health Use</w:t>
      </w:r>
    </w:p>
    <w:p w:rsidR="006B0488" w:rsidRPr="007E3B38" w:rsidRDefault="006B0488" w:rsidP="006B0488">
      <w:pPr>
        <w:rPr>
          <w:i/>
          <w:szCs w:val="22"/>
          <w:u w:val="single"/>
        </w:rPr>
      </w:pPr>
    </w:p>
    <w:p w:rsidR="006B0488" w:rsidRDefault="006B0488" w:rsidP="006B0488">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w:t>
      </w:r>
      <w:proofErr w:type="gramStart"/>
      <w:r w:rsidRPr="00813660">
        <w:rPr>
          <w:szCs w:val="22"/>
        </w:rPr>
        <w:t>family;  domestic</w:t>
      </w:r>
      <w:proofErr w:type="gramEnd"/>
      <w:r>
        <w:rPr>
          <w:szCs w:val="22"/>
        </w:rPr>
        <w:t>.</w:t>
      </w:r>
      <w:r w:rsidRPr="00813660">
        <w:rPr>
          <w:szCs w:val="22"/>
        </w:rPr>
        <w:t xml:space="preserve">”  </w:t>
      </w:r>
    </w:p>
    <w:p w:rsidR="006B0488" w:rsidRPr="00813660" w:rsidRDefault="006B0488" w:rsidP="006B0488">
      <w:pPr>
        <w:rPr>
          <w:szCs w:val="22"/>
        </w:rPr>
      </w:pPr>
    </w:p>
    <w:p w:rsidR="006B0488" w:rsidRPr="007E3B38" w:rsidRDefault="006B0488" w:rsidP="006B0488">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6B0488" w:rsidRPr="007E3B38" w:rsidRDefault="006B0488" w:rsidP="006B0488">
      <w:pPr>
        <w:rPr>
          <w:i/>
          <w:szCs w:val="22"/>
          <w:u w:val="single"/>
        </w:rPr>
      </w:pPr>
    </w:p>
    <w:p w:rsidR="006B0488" w:rsidRPr="007E3B38" w:rsidRDefault="006B0488" w:rsidP="006B0488">
      <w:pPr>
        <w:rPr>
          <w:i/>
          <w:szCs w:val="22"/>
          <w:u w:val="single"/>
        </w:rPr>
      </w:pPr>
      <w:r w:rsidRPr="007E3B38">
        <w:rPr>
          <w:i/>
          <w:szCs w:val="22"/>
          <w:u w:val="single"/>
        </w:rPr>
        <w:t>Research and Educational Use</w:t>
      </w:r>
    </w:p>
    <w:p w:rsidR="006B0488" w:rsidRPr="007E3B38" w:rsidRDefault="006B0488" w:rsidP="006B0488">
      <w:pPr>
        <w:rPr>
          <w:i/>
          <w:szCs w:val="22"/>
          <w:u w:val="single"/>
        </w:rPr>
      </w:pPr>
    </w:p>
    <w:p w:rsidR="006B0488" w:rsidRDefault="006B0488" w:rsidP="006B0488">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6B0488" w:rsidRPr="007E3B38" w:rsidRDefault="006B0488" w:rsidP="006B0488">
      <w:pPr>
        <w:rPr>
          <w:szCs w:val="22"/>
        </w:rPr>
      </w:pPr>
    </w:p>
    <w:p w:rsidR="006B0488" w:rsidRPr="007E3B38" w:rsidRDefault="006B0488" w:rsidP="006B0488">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6B0488" w:rsidRPr="007E3B38" w:rsidRDefault="006B0488" w:rsidP="006B0488">
      <w:pPr>
        <w:ind w:left="567"/>
        <w:rPr>
          <w:szCs w:val="22"/>
        </w:rPr>
      </w:pPr>
    </w:p>
    <w:p w:rsidR="006B0488" w:rsidRPr="007E3B38" w:rsidRDefault="006B0488" w:rsidP="006B0488">
      <w:pPr>
        <w:ind w:left="567"/>
        <w:rPr>
          <w:szCs w:val="22"/>
        </w:rPr>
      </w:pPr>
      <w:r w:rsidRPr="007E3B38">
        <w:rPr>
          <w:szCs w:val="22"/>
        </w:rPr>
        <w:t>a) acts done for private and non-commercial use;</w:t>
      </w:r>
    </w:p>
    <w:p w:rsidR="006B0488" w:rsidRPr="007E3B38" w:rsidRDefault="006B0488" w:rsidP="006B0488">
      <w:pPr>
        <w:ind w:left="567"/>
        <w:rPr>
          <w:szCs w:val="22"/>
        </w:rPr>
      </w:pPr>
      <w:r w:rsidRPr="007E3B38">
        <w:rPr>
          <w:szCs w:val="22"/>
        </w:rPr>
        <w:t>b) acts done only for experimental purposes or research purposes.</w:t>
      </w:r>
    </w:p>
    <w:p w:rsidR="006B0488" w:rsidRPr="007E3B38" w:rsidRDefault="006B0488" w:rsidP="006B0488">
      <w:pPr>
        <w:rPr>
          <w:szCs w:val="22"/>
        </w:rPr>
      </w:pPr>
    </w:p>
    <w:p w:rsidR="006B0488" w:rsidRPr="007E3B38" w:rsidRDefault="006B0488" w:rsidP="006B0488">
      <w:pPr>
        <w:rPr>
          <w:szCs w:val="22"/>
        </w:rPr>
      </w:pPr>
      <w:r w:rsidRPr="007E3B38">
        <w:rPr>
          <w:b/>
          <w:szCs w:val="22"/>
        </w:rPr>
        <w:t>Utilization</w:t>
      </w:r>
      <w:r w:rsidRPr="007E3B38">
        <w:rPr>
          <w:szCs w:val="22"/>
        </w:rPr>
        <w:t xml:space="preserve"> </w:t>
      </w:r>
    </w:p>
    <w:p w:rsidR="006B0488" w:rsidRPr="007E3B38" w:rsidRDefault="006B0488" w:rsidP="006B0488">
      <w:pPr>
        <w:rPr>
          <w:szCs w:val="22"/>
        </w:rPr>
      </w:pPr>
    </w:p>
    <w:p w:rsidR="006B0488" w:rsidRPr="007E3B38" w:rsidRDefault="006B0488" w:rsidP="006B0488">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defines at Article 2(c) as follows</w:t>
      </w:r>
      <w:proofErr w:type="gramStart"/>
      <w:r w:rsidRPr="007E3B38">
        <w:rPr>
          <w:szCs w:val="22"/>
        </w:rPr>
        <w:t xml:space="preserve">: </w:t>
      </w:r>
      <w:r>
        <w:rPr>
          <w:szCs w:val="22"/>
        </w:rPr>
        <w:t xml:space="preserve"> </w:t>
      </w:r>
      <w:r w:rsidRPr="007E3B38">
        <w:rPr>
          <w:szCs w:val="22"/>
        </w:rPr>
        <w:t>“</w:t>
      </w:r>
      <w:proofErr w:type="gramEnd"/>
      <w:r w:rsidRPr="007E3B38">
        <w:rPr>
          <w:szCs w:val="22"/>
        </w:rPr>
        <w:t xml:space="preserve">to conduct research and development on the genetic and/or biochemical composition of genetic resources, including through the application of biotechnology as defined in Article 2 of the Convention.” </w:t>
      </w:r>
    </w:p>
    <w:p w:rsidR="006B0488" w:rsidRPr="007E3B38" w:rsidRDefault="006B0488" w:rsidP="006B0488">
      <w:pPr>
        <w:spacing w:line="260" w:lineRule="atLeast"/>
        <w:rPr>
          <w:szCs w:val="22"/>
        </w:rPr>
      </w:pPr>
    </w:p>
    <w:p w:rsidR="006B0488" w:rsidRPr="007E3B38" w:rsidRDefault="006B0488" w:rsidP="006B0488">
      <w:pPr>
        <w:rPr>
          <w:b/>
          <w:szCs w:val="22"/>
        </w:rPr>
      </w:pPr>
      <w:r w:rsidRPr="00216931">
        <w:rPr>
          <w:b/>
          <w:szCs w:val="22"/>
        </w:rPr>
        <w:t xml:space="preserve">WIPO Traditional Knowledge </w:t>
      </w:r>
      <w:r>
        <w:rPr>
          <w:b/>
          <w:szCs w:val="22"/>
        </w:rPr>
        <w:t xml:space="preserve">Documentation </w:t>
      </w:r>
      <w:r w:rsidRPr="00216931">
        <w:rPr>
          <w:b/>
          <w:szCs w:val="22"/>
        </w:rPr>
        <w:t>Toolkit</w:t>
      </w:r>
      <w:r>
        <w:rPr>
          <w:b/>
          <w:szCs w:val="22"/>
        </w:rPr>
        <w:t xml:space="preserve"> (Documenting Traditional Knowledge – A Toolkit)</w:t>
      </w:r>
    </w:p>
    <w:p w:rsidR="006B0488" w:rsidRPr="007E3B38" w:rsidRDefault="006B0488" w:rsidP="006B0488">
      <w:pPr>
        <w:rPr>
          <w:b/>
          <w:szCs w:val="22"/>
        </w:rPr>
      </w:pPr>
    </w:p>
    <w:p w:rsidR="006B0488" w:rsidRPr="007E3B38" w:rsidRDefault="006B0488" w:rsidP="006B0488">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Toolkit focuses on management of intellectual property concerns during the documentation process, and also takes the documentation process as a starting point for a more beneficial management of traditional knowledge as a community’s intellectual and cultural asset.</w:t>
      </w:r>
      <w:r w:rsidRPr="007E3B38">
        <w:rPr>
          <w:szCs w:val="22"/>
          <w:vertAlign w:val="superscript"/>
        </w:rPr>
        <w:footnoteReference w:id="172"/>
      </w:r>
    </w:p>
    <w:p w:rsidR="006B0488" w:rsidRPr="007E3B38" w:rsidRDefault="006B0488" w:rsidP="006B0488">
      <w:pPr>
        <w:rPr>
          <w:szCs w:val="22"/>
        </w:rPr>
      </w:pPr>
    </w:p>
    <w:p w:rsidR="006B0488" w:rsidRPr="007E3B38" w:rsidRDefault="006B0488" w:rsidP="006B0488">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is especially designed to be used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rsidR="006B0488" w:rsidRPr="007E3B38" w:rsidRDefault="006B0488" w:rsidP="006B0488">
      <w:pPr>
        <w:rPr>
          <w:szCs w:val="22"/>
        </w:rPr>
      </w:pPr>
    </w:p>
    <w:p w:rsidR="006B0488" w:rsidRPr="007E3B38" w:rsidRDefault="006B0488" w:rsidP="006B0488">
      <w:pPr>
        <w:rPr>
          <w:szCs w:val="22"/>
        </w:rPr>
      </w:pPr>
      <w:r w:rsidRPr="007E3B38">
        <w:rPr>
          <w:szCs w:val="22"/>
        </w:rPr>
        <w:t>Intellectual property rig</w:t>
      </w:r>
      <w:bookmarkStart w:id="14" w:name="_GoBack"/>
      <w:bookmarkEnd w:id="14"/>
      <w:r w:rsidRPr="007E3B38">
        <w:rPr>
          <w:szCs w:val="22"/>
        </w:rPr>
        <w:t xml:space="preserve">hts and other legal tools may be available to protect the knowledge when it is documented, but only if the right steps are taken during documentation.  The WIPO </w:t>
      </w:r>
      <w:r w:rsidRPr="007E3B38">
        <w:rPr>
          <w:szCs w:val="22"/>
        </w:rPr>
        <w:lastRenderedPageBreak/>
        <w:t xml:space="preserve">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rsidR="006B0488" w:rsidRPr="007E3B38" w:rsidRDefault="006B0488" w:rsidP="006B0488">
      <w:pPr>
        <w:rPr>
          <w:snapToGrid w:val="0"/>
          <w:szCs w:val="22"/>
        </w:rPr>
      </w:pPr>
    </w:p>
    <w:p w:rsidR="006B0488" w:rsidRPr="007E3B38" w:rsidRDefault="006B0488" w:rsidP="006B0488">
      <w:pPr>
        <w:rPr>
          <w:b/>
          <w:szCs w:val="22"/>
        </w:rPr>
      </w:pPr>
      <w:r w:rsidRPr="007E3B38">
        <w:rPr>
          <w:b/>
          <w:szCs w:val="22"/>
        </w:rPr>
        <w:t>WIPO-UNESCO Model Provisions for National Laws on the Protection of Expressions of Folklore Against Illicit Exploitation and other Prejudicial Actions</w:t>
      </w:r>
    </w:p>
    <w:p w:rsidR="006B0488" w:rsidRPr="007E3B38" w:rsidRDefault="006B0488" w:rsidP="006B0488">
      <w:pPr>
        <w:rPr>
          <w:b/>
          <w:szCs w:val="22"/>
        </w:rPr>
      </w:pPr>
    </w:p>
    <w:p w:rsidR="006B0488" w:rsidRPr="007E3B38" w:rsidRDefault="006B0488" w:rsidP="006B0488">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6B0488" w:rsidRPr="007E3B38" w:rsidRDefault="006B0488" w:rsidP="006B0488">
      <w:pPr>
        <w:rPr>
          <w:snapToGrid w:val="0"/>
          <w:szCs w:val="22"/>
        </w:rPr>
      </w:pPr>
    </w:p>
    <w:p w:rsidR="006B0488" w:rsidRPr="007E3B38" w:rsidRDefault="006B0488" w:rsidP="006B0488">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6B0488" w:rsidRPr="007E3B38" w:rsidRDefault="006B0488" w:rsidP="006B0488">
      <w:pPr>
        <w:rPr>
          <w:snapToGrid w:val="0"/>
          <w:szCs w:val="22"/>
        </w:rPr>
      </w:pPr>
    </w:p>
    <w:p w:rsidR="006B0488" w:rsidRPr="007E3B38" w:rsidRDefault="006B0488" w:rsidP="006B0488">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6B0488" w:rsidRPr="007E3B38" w:rsidRDefault="006B0488" w:rsidP="006B0488">
      <w:pPr>
        <w:rPr>
          <w:szCs w:val="22"/>
        </w:rPr>
      </w:pPr>
    </w:p>
    <w:p w:rsidR="006B0488" w:rsidRDefault="006B0488" w:rsidP="006B0488"/>
    <w:p w:rsidR="006B0488" w:rsidRPr="00553505" w:rsidRDefault="006B0488" w:rsidP="006B0488">
      <w:pPr>
        <w:pStyle w:val="Endofdocument"/>
        <w:rPr>
          <w:sz w:val="22"/>
          <w:szCs w:val="22"/>
        </w:rPr>
      </w:pPr>
      <w:r w:rsidRPr="00553505">
        <w:rPr>
          <w:sz w:val="22"/>
          <w:szCs w:val="22"/>
        </w:rPr>
        <w:t>[End of Annex and of document]</w:t>
      </w:r>
    </w:p>
    <w:p w:rsidR="006B0488" w:rsidRDefault="006B0488" w:rsidP="006B0488"/>
    <w:p w:rsidR="006B0488" w:rsidRPr="006B0488" w:rsidRDefault="006B0488" w:rsidP="006B0488"/>
    <w:sectPr w:rsidR="006B0488" w:rsidRPr="006B0488" w:rsidSect="006B0488">
      <w:headerReference w:type="default" r:id="rId11"/>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DF" w:rsidRDefault="00E065DF">
      <w:r>
        <w:separator/>
      </w:r>
    </w:p>
  </w:endnote>
  <w:endnote w:type="continuationSeparator" w:id="0">
    <w:p w:rsidR="00E065DF" w:rsidRDefault="00E065DF" w:rsidP="003B38C1">
      <w:r>
        <w:separator/>
      </w:r>
    </w:p>
    <w:p w:rsidR="00E065DF" w:rsidRPr="003B38C1" w:rsidRDefault="00E065DF" w:rsidP="003B38C1">
      <w:pPr>
        <w:spacing w:after="60"/>
        <w:rPr>
          <w:sz w:val="17"/>
        </w:rPr>
      </w:pPr>
      <w:r>
        <w:rPr>
          <w:sz w:val="17"/>
        </w:rPr>
        <w:t>[Endnote continued from previous page]</w:t>
      </w:r>
    </w:p>
  </w:endnote>
  <w:endnote w:type="continuationNotice" w:id="1">
    <w:p w:rsidR="00E065DF" w:rsidRPr="003B38C1" w:rsidRDefault="00E065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DF" w:rsidRDefault="00E065DF">
      <w:r>
        <w:separator/>
      </w:r>
    </w:p>
  </w:footnote>
  <w:footnote w:type="continuationSeparator" w:id="0">
    <w:p w:rsidR="00E065DF" w:rsidRDefault="00E065DF" w:rsidP="008B60B2">
      <w:r>
        <w:separator/>
      </w:r>
    </w:p>
    <w:p w:rsidR="00E065DF" w:rsidRPr="00ED77FB" w:rsidRDefault="00E065DF" w:rsidP="008B60B2">
      <w:pPr>
        <w:spacing w:after="60"/>
        <w:rPr>
          <w:sz w:val="17"/>
          <w:szCs w:val="17"/>
        </w:rPr>
      </w:pPr>
      <w:r w:rsidRPr="00ED77FB">
        <w:rPr>
          <w:sz w:val="17"/>
          <w:szCs w:val="17"/>
        </w:rPr>
        <w:t>[Footnote continued from previous page]</w:t>
      </w:r>
    </w:p>
  </w:footnote>
  <w:footnote w:type="continuationNotice" w:id="1">
    <w:p w:rsidR="00E065DF" w:rsidRPr="00ED77FB" w:rsidRDefault="00E065DF" w:rsidP="008B60B2">
      <w:pPr>
        <w:spacing w:before="60"/>
        <w:jc w:val="right"/>
        <w:rPr>
          <w:sz w:val="17"/>
          <w:szCs w:val="17"/>
        </w:rPr>
      </w:pPr>
      <w:r w:rsidRPr="00ED77FB">
        <w:rPr>
          <w:sz w:val="17"/>
          <w:szCs w:val="17"/>
        </w:rPr>
        <w:t>[Footnote continued on next page]</w:t>
      </w:r>
    </w:p>
  </w:footnote>
  <w:footnote w:id="2">
    <w:p w:rsidR="00E065DF" w:rsidRPr="00E065DF" w:rsidRDefault="00E065DF" w:rsidP="00E065DF">
      <w:pPr>
        <w:pStyle w:val="FootnoteText"/>
        <w:ind w:left="540" w:hanging="540"/>
        <w:rPr>
          <w:rStyle w:val="FooterChar"/>
          <w:sz w:val="18"/>
          <w:szCs w:val="18"/>
        </w:rPr>
      </w:pPr>
      <w:r w:rsidRPr="00434DB8">
        <w:rPr>
          <w:rStyle w:val="FootnoteReference"/>
          <w:szCs w:val="18"/>
        </w:rPr>
        <w:footnoteRef/>
      </w:r>
      <w:r w:rsidRPr="00434DB8">
        <w:rPr>
          <w:szCs w:val="18"/>
        </w:rPr>
        <w:t xml:space="preserve"> </w:t>
      </w:r>
      <w:r w:rsidRPr="00434DB8">
        <w:rPr>
          <w:szCs w:val="18"/>
        </w:rPr>
        <w:tab/>
      </w:r>
      <w:r w:rsidRPr="00E065DF">
        <w:rPr>
          <w:rStyle w:val="FooterChar"/>
          <w:sz w:val="18"/>
          <w:szCs w:val="18"/>
        </w:rPr>
        <w:t xml:space="preserve">Report of the Sixteenth Session of the Committee (WIPO/GRTKF/IC/16/8) and Report of the Seventeenth Session of the Committee (WIPO/GRTKF/IC/17/12). </w:t>
      </w:r>
    </w:p>
  </w:footnote>
  <w:footnote w:id="3">
    <w:p w:rsidR="00E065DF" w:rsidRPr="00E065DF" w:rsidRDefault="00E065DF" w:rsidP="00E065DF">
      <w:pPr>
        <w:pStyle w:val="FootnoteText"/>
        <w:rPr>
          <w:szCs w:val="18"/>
        </w:rPr>
      </w:pPr>
      <w:r w:rsidRPr="00E065DF">
        <w:rPr>
          <w:rStyle w:val="FootnoteReference"/>
          <w:szCs w:val="18"/>
        </w:rPr>
        <w:footnoteRef/>
      </w:r>
      <w:r w:rsidRPr="00E065DF">
        <w:rPr>
          <w:szCs w:val="18"/>
        </w:rPr>
        <w:t xml:space="preserve"> </w:t>
      </w:r>
      <w:r w:rsidRPr="00E065DF">
        <w:rPr>
          <w:szCs w:val="18"/>
        </w:rPr>
        <w:tab/>
        <w:t>Report of the Nineteenth Session of the Committee (WIPO/GRTKF/IC/19/12).</w:t>
      </w:r>
    </w:p>
  </w:footnote>
  <w:footnote w:id="4">
    <w:p w:rsidR="006B0488" w:rsidRPr="00434DB8" w:rsidRDefault="006B0488" w:rsidP="006B0488">
      <w:pPr>
        <w:pStyle w:val="FootnoteText"/>
        <w:ind w:left="540" w:hanging="55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Nagoya Protocol on Access to Genetic Resources and the Fair and Equitable Sharing of Benefits Arising from their Utilization to the Convention on Biological Diversity, Art. 5(4).</w:t>
      </w:r>
    </w:p>
  </w:footnote>
  <w:footnote w:id="5">
    <w:p w:rsidR="006B0488" w:rsidRPr="00434DB8" w:rsidRDefault="006B0488" w:rsidP="006B0488">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Bonn Guidelines on Access to Genetic Resources and Fair and Equitable Sharing of the Benefits Arising out of their utilization, para. 23.</w:t>
      </w:r>
    </w:p>
  </w:footnote>
  <w:footnote w:id="6">
    <w:p w:rsidR="006B0488" w:rsidRPr="00434DB8" w:rsidRDefault="006B0488" w:rsidP="006B0488">
      <w:pPr>
        <w:pStyle w:val="FootnoteText"/>
        <w:ind w:left="550" w:hanging="550"/>
        <w:rPr>
          <w:rStyle w:val="FootnoteReference"/>
          <w:szCs w:val="18"/>
        </w:rPr>
      </w:pPr>
      <w:r w:rsidRPr="00434DB8">
        <w:rPr>
          <w:rStyle w:val="FootnoteReference"/>
          <w:szCs w:val="18"/>
        </w:rPr>
        <w:footnoteRef/>
      </w:r>
      <w:r w:rsidRPr="00434DB8">
        <w:rPr>
          <w:szCs w:val="18"/>
        </w:rPr>
        <w:t xml:space="preserve"> </w:t>
      </w:r>
      <w:r w:rsidRPr="00434DB8">
        <w:rPr>
          <w:szCs w:val="18"/>
        </w:rPr>
        <w:tab/>
        <w:t>WIPO Guide to the Copyright and Related Right Treaties Administered by WIPO and Glossary of Copyright and Related Rights Terms, WIPO, p. 264.</w:t>
      </w:r>
    </w:p>
  </w:footnote>
  <w:footnote w:id="7">
    <w:p w:rsidR="006B0488" w:rsidRPr="00434DB8" w:rsidRDefault="006B0488" w:rsidP="006B0488">
      <w:pPr>
        <w:pStyle w:val="FootnoteText"/>
        <w:tabs>
          <w:tab w:val="left" w:pos="500"/>
        </w:tabs>
        <w:rPr>
          <w:szCs w:val="18"/>
        </w:rPr>
      </w:pPr>
      <w:r w:rsidRPr="00434DB8">
        <w:rPr>
          <w:rStyle w:val="FootnoteReference"/>
          <w:szCs w:val="18"/>
        </w:rPr>
        <w:footnoteRef/>
      </w:r>
      <w:r w:rsidRPr="00434DB8">
        <w:rPr>
          <w:szCs w:val="18"/>
        </w:rPr>
        <w:t xml:space="preserve"> </w:t>
      </w:r>
      <w:r w:rsidRPr="00434DB8">
        <w:rPr>
          <w:szCs w:val="18"/>
        </w:rPr>
        <w:tab/>
        <w:t>The edition used for this document is the 10th edition, by Bryan A. Garner.</w:t>
      </w:r>
    </w:p>
  </w:footnote>
  <w:footnote w:id="8">
    <w:p w:rsidR="006B0488" w:rsidRPr="00434DB8" w:rsidRDefault="006B0488" w:rsidP="006B0488">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WIPO Background Brief No. 8, Alternative Dispute Resolution for Disputes Related to Intellectual Property and Traditional Knowledge, Traditional Cultural Expressions and Genetic Resources, available at http://www.wipo.int/publications/en/details.jsp?id=3877. </w:t>
      </w:r>
    </w:p>
  </w:footnote>
  <w:footnote w:id="9">
    <w:p w:rsidR="006B0488" w:rsidRPr="00145313" w:rsidRDefault="006B0488" w:rsidP="006B0488">
      <w:pPr>
        <w:pStyle w:val="FootnoteText"/>
        <w:tabs>
          <w:tab w:val="left" w:pos="500"/>
        </w:tabs>
        <w:ind w:left="499" w:hanging="499"/>
        <w:rPr>
          <w:szCs w:val="18"/>
        </w:rPr>
      </w:pPr>
      <w:r w:rsidRPr="00434DB8">
        <w:rPr>
          <w:rStyle w:val="FootnoteReference"/>
          <w:szCs w:val="18"/>
        </w:rPr>
        <w:footnoteRef/>
      </w:r>
      <w:r w:rsidRPr="00434DB8">
        <w:rPr>
          <w:szCs w:val="18"/>
        </w:rPr>
        <w:t xml:space="preserve"> </w:t>
      </w:r>
      <w:r w:rsidRPr="00434DB8">
        <w:rPr>
          <w:szCs w:val="18"/>
        </w:rPr>
        <w:tab/>
      </w:r>
      <w:r w:rsidRPr="00145313">
        <w:rPr>
          <w:szCs w:val="18"/>
        </w:rPr>
        <w:t>R</w:t>
      </w:r>
      <w:r w:rsidRPr="00145313">
        <w:rPr>
          <w:rStyle w:val="FootnoteTextChar"/>
          <w:sz w:val="18"/>
          <w:szCs w:val="18"/>
        </w:rPr>
        <w:t xml:space="preserve">ecommendations for African Negotiators from the 2nd Preparatory Meeting of African Indigenous Peoples and Local Communities, UNEP/CBD/COP/10/INF/37, 14 October 2010. </w:t>
      </w:r>
    </w:p>
  </w:footnote>
  <w:footnote w:id="10">
    <w:p w:rsidR="006B0488" w:rsidRPr="00434DB8" w:rsidRDefault="006B0488" w:rsidP="006B0488">
      <w:pPr>
        <w:pStyle w:val="FootnoteText"/>
        <w:tabs>
          <w:tab w:val="left" w:pos="500"/>
        </w:tabs>
        <w:rPr>
          <w:szCs w:val="18"/>
        </w:rPr>
      </w:pPr>
      <w:r w:rsidRPr="00434DB8">
        <w:rPr>
          <w:rStyle w:val="FootnoteReference"/>
          <w:szCs w:val="18"/>
        </w:rPr>
        <w:footnoteRef/>
      </w:r>
      <w:r w:rsidRPr="00434DB8">
        <w:rPr>
          <w:szCs w:val="18"/>
        </w:rPr>
        <w:t xml:space="preserve"> </w:t>
      </w:r>
      <w:r w:rsidRPr="00434DB8">
        <w:rPr>
          <w:szCs w:val="18"/>
        </w:rPr>
        <w:tab/>
        <w:t>Report of the Seventeenth Session of the Committee (WIPO/GRTKF/IC/17/12).</w:t>
      </w:r>
    </w:p>
  </w:footnote>
  <w:footnote w:id="11">
    <w:p w:rsidR="006B0488" w:rsidRPr="00434DB8" w:rsidRDefault="006B0488" w:rsidP="006B0488">
      <w:pPr>
        <w:pStyle w:val="FootnoteText"/>
        <w:tabs>
          <w:tab w:val="left" w:pos="0"/>
        </w:tabs>
        <w:ind w:left="550" w:hanging="550"/>
        <w:rPr>
          <w:szCs w:val="18"/>
        </w:rPr>
      </w:pPr>
      <w:r w:rsidRPr="00434DB8">
        <w:rPr>
          <w:rStyle w:val="FootnoteReference"/>
          <w:szCs w:val="18"/>
        </w:rPr>
        <w:footnoteRef/>
      </w:r>
      <w:r w:rsidRPr="00434DB8">
        <w:rPr>
          <w:szCs w:val="18"/>
        </w:rPr>
        <w:t xml:space="preserve"> </w:t>
      </w:r>
      <w:r w:rsidRPr="00434DB8">
        <w:rPr>
          <w:szCs w:val="18"/>
        </w:rPr>
        <w:tab/>
        <w:t>Article 3.1 of the Directive 98/44/EC of the European Parliament and of the Council of 6 July, 1998 on the legal protection of biotechnological inventions.</w:t>
      </w:r>
    </w:p>
  </w:footnote>
  <w:footnote w:id="12">
    <w:p w:rsidR="006B0488" w:rsidRPr="00434DB8" w:rsidRDefault="006B0488" w:rsidP="006B0488">
      <w:pPr>
        <w:pStyle w:val="FootnoteText"/>
        <w:tabs>
          <w:tab w:val="left" w:pos="550"/>
        </w:tabs>
        <w:rPr>
          <w:szCs w:val="18"/>
        </w:rPr>
      </w:pPr>
      <w:r w:rsidRPr="00434DB8">
        <w:rPr>
          <w:rStyle w:val="FootnoteReference"/>
          <w:szCs w:val="18"/>
        </w:rPr>
        <w:footnoteRef/>
      </w:r>
      <w:r w:rsidRPr="00434DB8">
        <w:rPr>
          <w:szCs w:val="18"/>
        </w:rPr>
        <w:t xml:space="preserve"> </w:t>
      </w:r>
      <w:r w:rsidRPr="00434DB8">
        <w:rPr>
          <w:szCs w:val="18"/>
        </w:rPr>
        <w:tab/>
        <w:t>See document WIPO/GRTKF/IC/1/3, para. 16.</w:t>
      </w:r>
    </w:p>
  </w:footnote>
  <w:footnote w:id="13">
    <w:p w:rsidR="006B0488" w:rsidRPr="00AF0544" w:rsidRDefault="006B0488" w:rsidP="006B0488">
      <w:pPr>
        <w:pStyle w:val="FootnoteText"/>
        <w:ind w:left="630" w:hanging="550"/>
        <w:rPr>
          <w:color w:val="000000" w:themeColor="text1"/>
          <w:szCs w:val="18"/>
        </w:rPr>
      </w:pPr>
      <w:r w:rsidRPr="00434DB8">
        <w:rPr>
          <w:rStyle w:val="FootnoteReference"/>
          <w:szCs w:val="18"/>
        </w:rPr>
        <w:footnoteRef/>
      </w:r>
      <w:r w:rsidRPr="00434DB8">
        <w:rPr>
          <w:szCs w:val="18"/>
        </w:rPr>
        <w:t xml:space="preserve"> </w:t>
      </w:r>
      <w:r w:rsidRPr="00434DB8">
        <w:rPr>
          <w:szCs w:val="18"/>
        </w:rPr>
        <w:tab/>
        <w:t>FAO Statement on Biotechnology, available at</w:t>
      </w:r>
      <w:r w:rsidRPr="00AF0544">
        <w:rPr>
          <w:color w:val="000000" w:themeColor="text1"/>
          <w:szCs w:val="18"/>
        </w:rPr>
        <w:t xml:space="preserve">: </w:t>
      </w:r>
      <w:hyperlink r:id="rId1" w:history="1">
        <w:r w:rsidR="00145313" w:rsidRPr="00AF0544">
          <w:rPr>
            <w:rStyle w:val="Hyperlink"/>
            <w:color w:val="000000" w:themeColor="text1"/>
            <w:szCs w:val="18"/>
            <w:u w:val="none"/>
          </w:rPr>
          <w:t>http://www.fao.org/biotech/fao-statement-on-biotechnology/en/</w:t>
        </w:r>
      </w:hyperlink>
      <w:r w:rsidRPr="00AF0544">
        <w:rPr>
          <w:color w:val="000000" w:themeColor="text1"/>
          <w:szCs w:val="18"/>
        </w:rPr>
        <w:t>.</w:t>
      </w:r>
      <w:r w:rsidR="00145313" w:rsidRPr="00AF0544">
        <w:rPr>
          <w:color w:val="000000" w:themeColor="text1"/>
          <w:szCs w:val="18"/>
        </w:rPr>
        <w:t xml:space="preserve"> </w:t>
      </w:r>
      <w:r w:rsidRPr="00AF0544">
        <w:rPr>
          <w:color w:val="000000" w:themeColor="text1"/>
          <w:szCs w:val="18"/>
        </w:rPr>
        <w:t xml:space="preserve"> </w:t>
      </w:r>
    </w:p>
  </w:footnote>
  <w:footnote w:id="14">
    <w:p w:rsidR="006B0488" w:rsidRPr="00AF0544" w:rsidRDefault="006B0488" w:rsidP="006B0488">
      <w:pPr>
        <w:pStyle w:val="FootnoteText"/>
        <w:tabs>
          <w:tab w:val="left" w:pos="600"/>
        </w:tabs>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definition and full list-based definition, available at:  http://www.oecd.org/sti/biotechnologypolicies/statisticaldefinitionofbiotechnology.htm.</w:t>
      </w:r>
    </w:p>
  </w:footnote>
  <w:footnote w:id="15">
    <w:p w:rsidR="006B0488" w:rsidRPr="00AF0544" w:rsidRDefault="006B0488" w:rsidP="006B0488">
      <w:pPr>
        <w:pStyle w:val="FootnoteText"/>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Bonn Guidelines, Articles 1, 7(a) and 17 to 21.</w:t>
      </w:r>
    </w:p>
  </w:footnote>
  <w:footnote w:id="16">
    <w:p w:rsidR="006B0488" w:rsidRPr="00AF0544" w:rsidRDefault="006B0488" w:rsidP="006B0488">
      <w:pPr>
        <w:pStyle w:val="FootnoteText"/>
        <w:tabs>
          <w:tab w:val="left" w:pos="600"/>
        </w:tabs>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Bonn Guidelines, Articles 24 to 50 and Appendix II.</w:t>
      </w:r>
    </w:p>
  </w:footnote>
  <w:footnote w:id="17">
    <w:p w:rsidR="006B0488" w:rsidRPr="00AF0544" w:rsidRDefault="006B0488" w:rsidP="006B0488">
      <w:pPr>
        <w:pStyle w:val="FootnoteText"/>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UNEP Glossary of Terms for Negotiators of Multilateral Environmental Agreements, page 22, available at </w:t>
      </w:r>
      <w:hyperlink r:id="rId2" w:history="1">
        <w:r w:rsidRPr="00AF0544">
          <w:rPr>
            <w:rStyle w:val="Hyperlink"/>
            <w:color w:val="000000" w:themeColor="text1"/>
            <w:szCs w:val="18"/>
            <w:u w:val="none"/>
          </w:rPr>
          <w:t>https://www.unenvironment.org/resources/report/glossary-terms-negotiators-multilateral-environmental-agreements</w:t>
        </w:r>
      </w:hyperlink>
      <w:r w:rsidRPr="00AF0544">
        <w:rPr>
          <w:color w:val="000000" w:themeColor="text1"/>
          <w:szCs w:val="18"/>
        </w:rPr>
        <w:t xml:space="preserve">. </w:t>
      </w:r>
    </w:p>
  </w:footnote>
  <w:footnote w:id="18">
    <w:p w:rsidR="006B0488" w:rsidRPr="00434DB8" w:rsidRDefault="006B0488" w:rsidP="006B0488">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List and Brief Technical Explanation of Various Forms in which Traditional Knowledge may be </w:t>
      </w:r>
      <w:proofErr w:type="gramStart"/>
      <w:r w:rsidRPr="00434DB8">
        <w:rPr>
          <w:szCs w:val="18"/>
        </w:rPr>
        <w:t>Found  (</w:t>
      </w:r>
      <w:proofErr w:type="gramEnd"/>
      <w:r w:rsidRPr="00434DB8">
        <w:rPr>
          <w:szCs w:val="18"/>
        </w:rPr>
        <w:t>WIPO/GRTKF/IC/17/INF/9), para. 16 of Annex.</w:t>
      </w:r>
    </w:p>
  </w:footnote>
  <w:footnote w:id="19">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Ayurveda is a codified system of traditional medicine which was disclosed in writing in the Vedic period when the Aryans compiled the four Vedas (1500-1800 B.C.) with maximum references in the </w:t>
      </w:r>
      <w:r w:rsidRPr="00434DB8">
        <w:rPr>
          <w:i/>
          <w:szCs w:val="18"/>
        </w:rPr>
        <w:t>Rigveda</w:t>
      </w:r>
      <w:r w:rsidRPr="00434DB8">
        <w:rPr>
          <w:szCs w:val="18"/>
        </w:rPr>
        <w:t xml:space="preserve"> and the </w:t>
      </w:r>
      <w:r w:rsidRPr="00434DB8">
        <w:rPr>
          <w:i/>
          <w:szCs w:val="18"/>
        </w:rPr>
        <w:t>Atharvaveda.</w:t>
      </w:r>
    </w:p>
  </w:footnote>
  <w:footnote w:id="20">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Traditional Chinese Medicine was initially codified and disclosed in writing in the </w:t>
      </w:r>
      <w:r w:rsidRPr="00434DB8">
        <w:rPr>
          <w:i/>
          <w:szCs w:val="18"/>
        </w:rPr>
        <w:t>Yellow Emperor’s Canon of Medicine</w:t>
      </w:r>
      <w:r w:rsidRPr="00434DB8">
        <w:rPr>
          <w:szCs w:val="18"/>
        </w:rPr>
        <w:t>, the first monumental classic establishing TCM.  The Canon was compiled over several hundred years and appeared between 300 and 100 B.C.</w:t>
      </w:r>
    </w:p>
  </w:footnote>
  <w:footnote w:id="21">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In India the First Schedule of the Drugs and Cosmetics Act, No. 23 of 1940, as amended by the Drugs and Cosmetics (Amendment) Act No. 71 of 1986, specifies the authoritative books of the </w:t>
      </w:r>
      <w:proofErr w:type="spellStart"/>
      <w:r w:rsidRPr="00434DB8">
        <w:rPr>
          <w:szCs w:val="18"/>
        </w:rPr>
        <w:t>Ayurvedic</w:t>
      </w:r>
      <w:proofErr w:type="spellEnd"/>
      <w:r w:rsidRPr="00434DB8">
        <w:rPr>
          <w:szCs w:val="18"/>
        </w:rPr>
        <w:t xml:space="preserve">, Siddha and Unani </w:t>
      </w:r>
      <w:proofErr w:type="spellStart"/>
      <w:r w:rsidRPr="00434DB8">
        <w:rPr>
          <w:szCs w:val="18"/>
        </w:rPr>
        <w:t>Tibb</w:t>
      </w:r>
      <w:proofErr w:type="spellEnd"/>
      <w:r w:rsidRPr="00434DB8">
        <w:rPr>
          <w:szCs w:val="18"/>
        </w:rPr>
        <w:t xml:space="preserve"> Systems. See Inventory of Existing Online Databases Containing Traditional Knowledge Documentation Data (WIPO/GRTKF/IC/3/6), para. 8.  Also see Karin Timmermans and </w:t>
      </w:r>
      <w:proofErr w:type="spellStart"/>
      <w:r w:rsidRPr="00434DB8">
        <w:rPr>
          <w:szCs w:val="18"/>
        </w:rPr>
        <w:t>Togi</w:t>
      </w:r>
      <w:proofErr w:type="spellEnd"/>
      <w:r w:rsidRPr="00434DB8">
        <w:rPr>
          <w:szCs w:val="18"/>
        </w:rPr>
        <w:t xml:space="preserve"> </w:t>
      </w:r>
      <w:proofErr w:type="spellStart"/>
      <w:r w:rsidRPr="00434DB8">
        <w:rPr>
          <w:szCs w:val="18"/>
        </w:rPr>
        <w:t>Hutadjulu</w:t>
      </w:r>
      <w:proofErr w:type="spellEnd"/>
      <w:r w:rsidRPr="00434DB8">
        <w:rPr>
          <w:szCs w:val="18"/>
        </w:rPr>
        <w:t>, The TRIPs Agreement and Pharmaceuticals:  Report of an ASEAN Workshop on the TRIPs Agreement and its Impact on Pharmaceuticals, p. 45.</w:t>
      </w:r>
    </w:p>
  </w:footnote>
  <w:footnote w:id="22">
    <w:p w:rsidR="006B0488" w:rsidRPr="00AF0544" w:rsidRDefault="006B0488" w:rsidP="006B0488">
      <w:pPr>
        <w:pStyle w:val="FootnoteText"/>
        <w:ind w:left="499" w:hanging="499"/>
        <w:rPr>
          <w:szCs w:val="18"/>
          <w:lang w:val="de-CH"/>
        </w:rPr>
      </w:pPr>
      <w:r w:rsidRPr="00434DB8">
        <w:rPr>
          <w:rStyle w:val="FootnoteReference"/>
          <w:szCs w:val="18"/>
        </w:rPr>
        <w:footnoteRef/>
      </w:r>
      <w:r w:rsidRPr="00434DB8">
        <w:rPr>
          <w:szCs w:val="18"/>
        </w:rPr>
        <w:t xml:space="preserve"> </w:t>
      </w:r>
      <w:r w:rsidRPr="00434DB8">
        <w:rPr>
          <w:szCs w:val="18"/>
        </w:rPr>
        <w:tab/>
        <w:t xml:space="preserve">Intervention of the Delegation of Canada, Report of the Second Session (WIPO/GRTKF/IC/2/16), para. </w:t>
      </w:r>
      <w:r w:rsidRPr="00AF0544">
        <w:rPr>
          <w:szCs w:val="18"/>
          <w:lang w:val="de-CH"/>
        </w:rPr>
        <w:t>131.</w:t>
      </w:r>
    </w:p>
  </w:footnote>
  <w:footnote w:id="23">
    <w:p w:rsidR="006B0488" w:rsidRPr="00145313" w:rsidRDefault="006B0488" w:rsidP="006B0488">
      <w:pPr>
        <w:pStyle w:val="FootnoteText"/>
        <w:ind w:left="499" w:hanging="499"/>
        <w:rPr>
          <w:rStyle w:val="FootnoteReference"/>
          <w:iCs/>
          <w:szCs w:val="18"/>
          <w:vertAlign w:val="baseline"/>
          <w:lang w:val="de-CH"/>
        </w:rPr>
      </w:pPr>
      <w:r w:rsidRPr="00434DB8">
        <w:rPr>
          <w:rStyle w:val="FootnoteReference"/>
          <w:szCs w:val="18"/>
        </w:rPr>
        <w:footnoteRef/>
      </w:r>
      <w:r w:rsidRPr="00434DB8">
        <w:rPr>
          <w:rStyle w:val="FootnoteReference"/>
          <w:szCs w:val="18"/>
          <w:lang w:val="de-CH"/>
        </w:rPr>
        <w:t xml:space="preserve"> </w:t>
      </w:r>
      <w:r w:rsidRPr="00434DB8">
        <w:rPr>
          <w:szCs w:val="18"/>
          <w:lang w:val="de-CH"/>
        </w:rPr>
        <w:tab/>
      </w:r>
      <w:r w:rsidRPr="00145313">
        <w:rPr>
          <w:rStyle w:val="FootnoteReference"/>
          <w:szCs w:val="18"/>
          <w:vertAlign w:val="baseline"/>
          <w:lang w:val="de-CH"/>
        </w:rPr>
        <w:t xml:space="preserve">Terri </w:t>
      </w:r>
      <w:r w:rsidRPr="00145313">
        <w:rPr>
          <w:rStyle w:val="FootnoteReference"/>
          <w:szCs w:val="18"/>
          <w:vertAlign w:val="baseline"/>
          <w:lang w:val="de-CH"/>
        </w:rPr>
        <w:t>J</w:t>
      </w:r>
      <w:r w:rsidRPr="00145313">
        <w:rPr>
          <w:szCs w:val="18"/>
          <w:lang w:val="de-CH"/>
        </w:rPr>
        <w:t>anke</w:t>
      </w:r>
      <w:r w:rsidRPr="00145313">
        <w:rPr>
          <w:rStyle w:val="FootnoteReference"/>
          <w:szCs w:val="18"/>
          <w:vertAlign w:val="baseline"/>
          <w:lang w:val="de-CH"/>
        </w:rPr>
        <w:t xml:space="preserve">, </w:t>
      </w:r>
      <w:r w:rsidRPr="00145313">
        <w:rPr>
          <w:rStyle w:val="FootnoteReference"/>
          <w:iCs/>
          <w:szCs w:val="18"/>
          <w:vertAlign w:val="baseline"/>
          <w:lang w:val="de-CH"/>
        </w:rPr>
        <w:t>Pathways &amp; Protocols – A Filmmaker’s guide to Working with Indigenous People, Culture and Concepts, p. 51</w:t>
      </w:r>
      <w:r w:rsidRPr="00145313">
        <w:rPr>
          <w:iCs/>
          <w:szCs w:val="18"/>
          <w:lang w:val="de-CH"/>
        </w:rPr>
        <w:t>.</w:t>
      </w:r>
    </w:p>
  </w:footnote>
  <w:footnote w:id="24">
    <w:p w:rsidR="006B0488" w:rsidRPr="00434DB8" w:rsidRDefault="006B0488" w:rsidP="006B0488">
      <w:pPr>
        <w:pStyle w:val="FootnoteText"/>
        <w:ind w:left="499" w:hanging="499"/>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Draft Glossary proposed by a group of Dutch experts convened by the bureau of the Netherlands National Commission for UNESCO, TER/CH/2002/WD/4, 2002.</w:t>
      </w:r>
    </w:p>
  </w:footnote>
  <w:footnote w:id="25">
    <w:p w:rsidR="006B0488" w:rsidRPr="00145313" w:rsidRDefault="006B0488" w:rsidP="006B0488">
      <w:pPr>
        <w:pStyle w:val="FootnoteText"/>
        <w:ind w:left="499" w:hanging="499"/>
        <w:rPr>
          <w:rStyle w:val="FootnoteReference"/>
          <w:szCs w:val="18"/>
          <w:vertAlign w:val="baseline"/>
          <w:lang w:val="es-ES_tradnl"/>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r w:rsidRPr="00145313">
        <w:rPr>
          <w:szCs w:val="18"/>
          <w:lang w:val="es-ES"/>
        </w:rPr>
        <w:t>A</w:t>
      </w:r>
      <w:r w:rsidRPr="00145313">
        <w:rPr>
          <w:rStyle w:val="FootnoteReference"/>
          <w:szCs w:val="18"/>
          <w:vertAlign w:val="baseline"/>
          <w:lang w:val="es-ES"/>
        </w:rPr>
        <w:t>rt</w:t>
      </w:r>
      <w:r w:rsidRPr="00145313">
        <w:rPr>
          <w:szCs w:val="18"/>
          <w:lang w:val="es-ES"/>
        </w:rPr>
        <w:t>.</w:t>
      </w:r>
      <w:r w:rsidRPr="00145313">
        <w:rPr>
          <w:rStyle w:val="FootnoteReference"/>
          <w:szCs w:val="18"/>
          <w:vertAlign w:val="baseline"/>
          <w:lang w:val="es-ES"/>
        </w:rPr>
        <w:t>4(1)</w:t>
      </w:r>
      <w:r w:rsidRPr="00145313">
        <w:rPr>
          <w:szCs w:val="18"/>
          <w:lang w:val="es-ES"/>
        </w:rPr>
        <w:t xml:space="preserve">, </w:t>
      </w:r>
      <w:r w:rsidRPr="00145313">
        <w:rPr>
          <w:szCs w:val="18"/>
          <w:lang w:val="es-ES_tradnl"/>
        </w:rPr>
        <w:t>UNESCO</w:t>
      </w:r>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Convention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Protection</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Promotion</w:t>
      </w:r>
      <w:proofErr w:type="spellEnd"/>
      <w:r w:rsidRPr="00145313">
        <w:rPr>
          <w:rStyle w:val="FootnoteReference"/>
          <w:szCs w:val="18"/>
          <w:vertAlign w:val="baseline"/>
          <w:lang w:val="es-ES_tradnl"/>
        </w:rPr>
        <w:t xml:space="preserve"> of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Diversity</w:t>
      </w:r>
      <w:proofErr w:type="spellEnd"/>
      <w:r w:rsidRPr="00145313">
        <w:rPr>
          <w:rStyle w:val="FootnoteReference"/>
          <w:szCs w:val="18"/>
          <w:vertAlign w:val="baseline"/>
          <w:lang w:val="es-ES_tradnl"/>
        </w:rPr>
        <w:t xml:space="preserve"> of Cultural </w:t>
      </w:r>
      <w:proofErr w:type="spellStart"/>
      <w:r w:rsidRPr="00145313">
        <w:rPr>
          <w:rStyle w:val="FootnoteReference"/>
          <w:szCs w:val="18"/>
          <w:vertAlign w:val="baseline"/>
          <w:lang w:val="es-ES_tradnl"/>
        </w:rPr>
        <w:t>Expressions</w:t>
      </w:r>
      <w:proofErr w:type="spellEnd"/>
      <w:r w:rsidRPr="00145313">
        <w:rPr>
          <w:szCs w:val="18"/>
          <w:lang w:val="es-ES_tradnl"/>
        </w:rPr>
        <w:t>,</w:t>
      </w:r>
      <w:r w:rsidRPr="00145313">
        <w:rPr>
          <w:rStyle w:val="FootnoteReference"/>
          <w:szCs w:val="18"/>
          <w:vertAlign w:val="baseline"/>
          <w:lang w:val="es-ES_tradnl"/>
        </w:rPr>
        <w:t xml:space="preserve"> 2005</w:t>
      </w:r>
      <w:r w:rsidRPr="00145313">
        <w:rPr>
          <w:szCs w:val="18"/>
          <w:lang w:val="es-ES_tradnl"/>
        </w:rPr>
        <w:t>.</w:t>
      </w:r>
    </w:p>
  </w:footnote>
  <w:footnote w:id="26">
    <w:p w:rsidR="006B0488" w:rsidRPr="00145313" w:rsidRDefault="006B0488" w:rsidP="006B0488">
      <w:pPr>
        <w:pStyle w:val="FootnoteText"/>
        <w:ind w:left="499" w:hanging="499"/>
        <w:rPr>
          <w:szCs w:val="18"/>
          <w:lang w:val="es-ES"/>
        </w:rPr>
      </w:pPr>
      <w:r w:rsidRPr="00434DB8">
        <w:rPr>
          <w:rStyle w:val="FootnoteReference"/>
          <w:szCs w:val="18"/>
        </w:rPr>
        <w:footnoteRef/>
      </w:r>
      <w:r w:rsidRPr="00434DB8">
        <w:rPr>
          <w:szCs w:val="18"/>
          <w:lang w:val="es-ES"/>
        </w:rPr>
        <w:t xml:space="preserve"> </w:t>
      </w:r>
      <w:r w:rsidRPr="00434DB8">
        <w:rPr>
          <w:szCs w:val="18"/>
          <w:lang w:val="es-ES"/>
        </w:rPr>
        <w:tab/>
      </w:r>
      <w:r w:rsidRPr="00145313">
        <w:rPr>
          <w:szCs w:val="18"/>
          <w:lang w:val="es-ES"/>
        </w:rPr>
        <w:t>A</w:t>
      </w:r>
      <w:r w:rsidRPr="00145313">
        <w:rPr>
          <w:rStyle w:val="FootnoteReference"/>
          <w:szCs w:val="18"/>
          <w:vertAlign w:val="baseline"/>
          <w:lang w:val="es-ES"/>
        </w:rPr>
        <w:t>rt</w:t>
      </w:r>
      <w:r w:rsidRPr="00145313">
        <w:rPr>
          <w:szCs w:val="18"/>
          <w:lang w:val="es-ES"/>
        </w:rPr>
        <w:t>.</w:t>
      </w:r>
      <w:r w:rsidRPr="00145313">
        <w:rPr>
          <w:rStyle w:val="FootnoteReference"/>
          <w:szCs w:val="18"/>
          <w:vertAlign w:val="baseline"/>
          <w:lang w:val="es-ES"/>
        </w:rPr>
        <w:t>4(3)</w:t>
      </w:r>
      <w:r w:rsidRPr="00145313">
        <w:rPr>
          <w:szCs w:val="18"/>
          <w:lang w:val="es-ES"/>
        </w:rPr>
        <w:t>, UNESCO</w:t>
      </w:r>
      <w:r w:rsidRPr="00145313">
        <w:rPr>
          <w:rStyle w:val="FootnoteReference"/>
          <w:szCs w:val="18"/>
          <w:vertAlign w:val="baseline"/>
          <w:lang w:val="es-ES"/>
        </w:rPr>
        <w:t xml:space="preserve"> </w:t>
      </w:r>
      <w:proofErr w:type="spellStart"/>
      <w:r w:rsidRPr="00145313">
        <w:rPr>
          <w:rStyle w:val="FootnoteReference"/>
          <w:szCs w:val="18"/>
          <w:vertAlign w:val="baseline"/>
          <w:lang w:val="es-ES"/>
        </w:rPr>
        <w:t>Convention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Promotion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Diversity</w:t>
      </w:r>
      <w:proofErr w:type="spellEnd"/>
      <w:r w:rsidRPr="00145313">
        <w:rPr>
          <w:rStyle w:val="FootnoteReference"/>
          <w:szCs w:val="18"/>
          <w:vertAlign w:val="baseline"/>
          <w:lang w:val="es-ES"/>
        </w:rPr>
        <w:t xml:space="preserve"> of Cultural </w:t>
      </w:r>
      <w:proofErr w:type="spellStart"/>
      <w:r w:rsidRPr="00145313">
        <w:rPr>
          <w:rStyle w:val="FootnoteReference"/>
          <w:szCs w:val="18"/>
          <w:vertAlign w:val="baseline"/>
          <w:lang w:val="es-ES"/>
        </w:rPr>
        <w:t>Expressions</w:t>
      </w:r>
      <w:proofErr w:type="spellEnd"/>
      <w:r w:rsidRPr="00145313">
        <w:rPr>
          <w:szCs w:val="18"/>
          <w:lang w:val="es-ES"/>
        </w:rPr>
        <w:t>,</w:t>
      </w:r>
      <w:r w:rsidRPr="00145313">
        <w:rPr>
          <w:rStyle w:val="FootnoteReference"/>
          <w:szCs w:val="18"/>
          <w:vertAlign w:val="baseline"/>
          <w:lang w:val="es-ES"/>
        </w:rPr>
        <w:t xml:space="preserve"> 2005</w:t>
      </w:r>
      <w:r w:rsidRPr="00145313">
        <w:rPr>
          <w:szCs w:val="18"/>
          <w:lang w:val="es-ES"/>
        </w:rPr>
        <w:t>.</w:t>
      </w:r>
    </w:p>
  </w:footnote>
  <w:footnote w:id="27">
    <w:p w:rsidR="006B0488" w:rsidRPr="00434DB8" w:rsidRDefault="006B0488" w:rsidP="006B0488">
      <w:pPr>
        <w:pStyle w:val="FootnoteText"/>
        <w:ind w:left="500" w:hanging="500"/>
        <w:rPr>
          <w:rStyle w:val="FootnoteReference"/>
          <w:szCs w:val="18"/>
        </w:rPr>
      </w:pPr>
      <w:r w:rsidRPr="00434DB8">
        <w:rPr>
          <w:rStyle w:val="FootnoteReference"/>
          <w:szCs w:val="18"/>
        </w:rPr>
        <w:footnoteRef/>
      </w:r>
      <w:r w:rsidRPr="00434DB8">
        <w:rPr>
          <w:rStyle w:val="FootnoteTextChar"/>
          <w:szCs w:val="18"/>
        </w:rPr>
        <w:t xml:space="preserve"> </w:t>
      </w:r>
      <w:r w:rsidRPr="00434DB8">
        <w:rPr>
          <w:rStyle w:val="FootnoteTextChar"/>
          <w:szCs w:val="18"/>
        </w:rPr>
        <w:tab/>
      </w:r>
      <w:r w:rsidRPr="00145313">
        <w:rPr>
          <w:rStyle w:val="FootnoteReference"/>
          <w:szCs w:val="18"/>
          <w:vertAlign w:val="baseline"/>
        </w:rPr>
        <w:t>UNESCO Thesaurus,</w:t>
      </w:r>
      <w:r w:rsidRPr="00145313">
        <w:rPr>
          <w:szCs w:val="18"/>
        </w:rPr>
        <w:t xml:space="preserve"> available</w:t>
      </w:r>
      <w:r w:rsidRPr="00434DB8">
        <w:rPr>
          <w:szCs w:val="18"/>
        </w:rPr>
        <w:t xml:space="preserve"> at http://www.vocabularyserver.com/unesco/en/index.php?tema=2526&amp;/cultural-identity.</w:t>
      </w:r>
    </w:p>
  </w:footnote>
  <w:footnote w:id="28">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ILO Convention 169 Concerning Indigenous and Tribal Peoples in Independent Countries, 1989, </w:t>
      </w:r>
      <w:r w:rsidRPr="00434DB8">
        <w:rPr>
          <w:szCs w:val="18"/>
        </w:rPr>
        <w:br/>
        <w:t>Art. 2(2)(b).</w:t>
      </w:r>
    </w:p>
  </w:footnote>
  <w:footnote w:id="29">
    <w:p w:rsidR="006B0488" w:rsidRPr="00145313" w:rsidRDefault="006B0488" w:rsidP="006B0488">
      <w:pPr>
        <w:pStyle w:val="FootnoteText"/>
        <w:ind w:left="499" w:hanging="499"/>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TextChar"/>
          <w:sz w:val="18"/>
          <w:szCs w:val="18"/>
        </w:rPr>
        <w:t>Model Provisions for National Laws on the Protection of Expressions of Folklore against Illicit Exploitation and Other Prejudicial Actions, 1982, Part III, para. 42.</w:t>
      </w:r>
    </w:p>
  </w:footnote>
  <w:footnote w:id="30">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Protection Rights over Traditional Knowledge: Implications of Customary Laws and Practices, Research Planning Workshop, Cusco, Peru, 20-25 May, 2005.</w:t>
      </w:r>
    </w:p>
  </w:footnote>
  <w:footnote w:id="31">
    <w:p w:rsidR="006B0488" w:rsidRPr="00434DB8" w:rsidRDefault="006B0488" w:rsidP="006B0488">
      <w:pPr>
        <w:pStyle w:val="FootnoteText"/>
        <w:tabs>
          <w:tab w:val="left" w:pos="500"/>
        </w:tabs>
        <w:ind w:left="499" w:hanging="499"/>
        <w:rPr>
          <w:rStyle w:val="FootnoteReference"/>
          <w:szCs w:val="18"/>
        </w:rPr>
      </w:pPr>
      <w:r w:rsidRPr="00434DB8">
        <w:rPr>
          <w:rStyle w:val="FootnoteReference"/>
          <w:szCs w:val="18"/>
          <w:lang w:val="en"/>
        </w:rPr>
        <w:footnoteRef/>
      </w:r>
      <w:r w:rsidRPr="00434DB8">
        <w:rPr>
          <w:szCs w:val="18"/>
        </w:rPr>
        <w:tab/>
        <w:t>Customary Law, Traditional Knowledge and Intellectual Property: An Outline of the Issues (2013) http://www.wipo.int/export/sites/www/tk/en/resources/pdf/overview_customary_law.pdf</w:t>
      </w:r>
      <w:r w:rsidRPr="00434DB8">
        <w:rPr>
          <w:rStyle w:val="FootnoteReference"/>
          <w:szCs w:val="18"/>
        </w:rPr>
        <w:t xml:space="preserve"> </w:t>
      </w:r>
    </w:p>
  </w:footnote>
  <w:footnote w:id="32">
    <w:p w:rsidR="006B0488" w:rsidRPr="00434DB8" w:rsidRDefault="006B0488" w:rsidP="006B0488">
      <w:pPr>
        <w:pStyle w:val="FootnoteText"/>
        <w:tabs>
          <w:tab w:val="left" w:pos="500"/>
        </w:tabs>
        <w:ind w:left="500" w:hanging="500"/>
        <w:rPr>
          <w:rStyle w:val="FootnoteReference"/>
          <w:szCs w:val="18"/>
        </w:rPr>
      </w:pPr>
      <w:r w:rsidRPr="00434DB8">
        <w:rPr>
          <w:rStyle w:val="FootnoteReference"/>
          <w:szCs w:val="18"/>
        </w:rPr>
        <w:footnoteRef/>
      </w:r>
      <w:r w:rsidRPr="00434DB8">
        <w:rPr>
          <w:szCs w:val="18"/>
        </w:rPr>
        <w:tab/>
        <w:t xml:space="preserve">Paul </w:t>
      </w:r>
      <w:proofErr w:type="spellStart"/>
      <w:r w:rsidRPr="00434DB8">
        <w:rPr>
          <w:szCs w:val="18"/>
        </w:rPr>
        <w:t>Kuruk</w:t>
      </w:r>
      <w:proofErr w:type="spellEnd"/>
      <w:r w:rsidRPr="00434DB8">
        <w:rPr>
          <w:szCs w:val="18"/>
        </w:rPr>
        <w:t xml:space="preserve">, “African Customary Law and the Protection of Folklore”, Copyright Bulletin, XXXVI, No.2, 2002, </w:t>
      </w:r>
      <w:r w:rsidRPr="00434DB8">
        <w:rPr>
          <w:szCs w:val="18"/>
        </w:rPr>
        <w:br/>
        <w:t xml:space="preserve">p. 6, quoting, in part, Paris, 15 June 1982, Gazette du </w:t>
      </w:r>
      <w:proofErr w:type="spellStart"/>
      <w:r w:rsidRPr="00434DB8">
        <w:rPr>
          <w:szCs w:val="18"/>
        </w:rPr>
        <w:t>Palais</w:t>
      </w:r>
      <w:proofErr w:type="spellEnd"/>
      <w:r w:rsidRPr="00434DB8">
        <w:rPr>
          <w:szCs w:val="18"/>
        </w:rPr>
        <w:t xml:space="preserve">, 1982.2, Summary, p. 378, or Paris, 25 April 1978, Gazette du </w:t>
      </w:r>
      <w:proofErr w:type="spellStart"/>
      <w:r w:rsidRPr="00434DB8">
        <w:rPr>
          <w:szCs w:val="18"/>
        </w:rPr>
        <w:t>Palais</w:t>
      </w:r>
      <w:proofErr w:type="spellEnd"/>
      <w:r w:rsidRPr="00434DB8">
        <w:rPr>
          <w:szCs w:val="18"/>
        </w:rPr>
        <w:t>, 1978.2, p. 448.</w:t>
      </w:r>
    </w:p>
  </w:footnote>
  <w:footnote w:id="33">
    <w:p w:rsidR="006B0488" w:rsidRPr="00434DB8" w:rsidRDefault="006B0488" w:rsidP="006B0488">
      <w:pPr>
        <w:pStyle w:val="FootnoteText"/>
        <w:tabs>
          <w:tab w:val="left" w:pos="500"/>
        </w:tabs>
        <w:ind w:left="499" w:hanging="499"/>
        <w:rPr>
          <w:szCs w:val="18"/>
        </w:rPr>
      </w:pPr>
      <w:r w:rsidRPr="00434DB8">
        <w:rPr>
          <w:rStyle w:val="FootnoteReference"/>
          <w:szCs w:val="18"/>
        </w:rPr>
        <w:footnoteRef/>
      </w:r>
      <w:r w:rsidRPr="00434DB8">
        <w:rPr>
          <w:szCs w:val="18"/>
        </w:rPr>
        <w:t xml:space="preserve"> </w:t>
      </w:r>
      <w:r w:rsidRPr="00434DB8">
        <w:rPr>
          <w:szCs w:val="18"/>
        </w:rPr>
        <w:tab/>
        <w:t>Customary Law, Traditional Knowledge and Intellectual Property: An Outline of the Issues (2013) http://www.wipo.int/export/sites/www/tk/en/resources/pdf/overview_customary_law.pdf</w:t>
      </w:r>
      <w:r w:rsidRPr="00434DB8">
        <w:rPr>
          <w:rStyle w:val="FootnoteReference"/>
          <w:szCs w:val="18"/>
        </w:rPr>
        <w:t xml:space="preserve"> </w:t>
      </w:r>
    </w:p>
  </w:footnote>
  <w:footnote w:id="34">
    <w:p w:rsidR="006B0488" w:rsidRPr="00434DB8" w:rsidRDefault="006B0488" w:rsidP="006B0488">
      <w:pPr>
        <w:pStyle w:val="FootnoteText"/>
        <w:tabs>
          <w:tab w:val="left" w:pos="500"/>
        </w:tabs>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WIPO/GRTKF/IC/2/3 p</w:t>
      </w:r>
      <w:r w:rsidRPr="00434DB8">
        <w:rPr>
          <w:i/>
          <w:szCs w:val="18"/>
        </w:rPr>
        <w:t>.</w:t>
      </w:r>
      <w:r w:rsidRPr="00434DB8">
        <w:rPr>
          <w:szCs w:val="18"/>
        </w:rPr>
        <w:t xml:space="preserve"> 4 para. 2; the online database is available at:  http://www.wipo.int/tk/en/databases/contracts/index.html </w:t>
      </w:r>
    </w:p>
  </w:footnote>
  <w:footnote w:id="35">
    <w:p w:rsidR="006B0488" w:rsidRPr="00434DB8" w:rsidRDefault="006B0488" w:rsidP="006B0488">
      <w:pPr>
        <w:pStyle w:val="FootnoteText"/>
        <w:tabs>
          <w:tab w:val="left" w:pos="550"/>
        </w:tabs>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WIPO/GRTKF/IC/17/INF/11.</w:t>
      </w:r>
    </w:p>
  </w:footnote>
  <w:footnote w:id="36">
    <w:p w:rsidR="006B0488" w:rsidRPr="00145313" w:rsidRDefault="006B0488" w:rsidP="006B0488">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 2(3) Berne Convention</w:t>
      </w:r>
      <w:r w:rsidRPr="00145313">
        <w:rPr>
          <w:szCs w:val="18"/>
        </w:rPr>
        <w:t xml:space="preserve">. </w:t>
      </w:r>
      <w:r w:rsidRPr="00145313">
        <w:rPr>
          <w:rStyle w:val="FootnoteReference"/>
          <w:szCs w:val="18"/>
          <w:vertAlign w:val="baseline"/>
        </w:rPr>
        <w:t xml:space="preserve"> </w:t>
      </w:r>
      <w:r w:rsidRPr="00145313">
        <w:rPr>
          <w:szCs w:val="18"/>
        </w:rPr>
        <w:t>“</w:t>
      </w:r>
      <w:r w:rsidRPr="00145313">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145313">
        <w:rPr>
          <w:szCs w:val="18"/>
        </w:rPr>
        <w:t>”</w:t>
      </w:r>
    </w:p>
  </w:footnote>
  <w:footnote w:id="37">
    <w:p w:rsidR="006B0488" w:rsidRPr="00145313" w:rsidRDefault="006B0488" w:rsidP="006B0488">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r>
      <w:r w:rsidRPr="00145313">
        <w:rPr>
          <w:rStyle w:val="FootnoteTextChar"/>
          <w:sz w:val="18"/>
          <w:szCs w:val="18"/>
        </w:rPr>
        <w:t xml:space="preserve">WIPO </w:t>
      </w:r>
      <w:r w:rsidRPr="00145313">
        <w:rPr>
          <w:szCs w:val="18"/>
        </w:rPr>
        <w:t>Guide</w:t>
      </w:r>
      <w:r w:rsidRPr="00145313">
        <w:rPr>
          <w:rStyle w:val="FootnoteTextChar"/>
          <w:sz w:val="18"/>
          <w:szCs w:val="18"/>
        </w:rPr>
        <w:t xml:space="preserve"> to the Copyright and Related Right Treaties Administered by WIPO and Glossary of Copyright and Related Rights Terms, WIPO</w:t>
      </w:r>
      <w:r w:rsidRPr="00145313">
        <w:rPr>
          <w:szCs w:val="18"/>
        </w:rPr>
        <w:t>.</w:t>
      </w:r>
    </w:p>
  </w:footnote>
  <w:footnote w:id="38">
    <w:p w:rsidR="006B0488" w:rsidRPr="00145313" w:rsidRDefault="006B0488" w:rsidP="006B0488">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2(5) Berne Convention, Art.</w:t>
      </w:r>
      <w:r w:rsidRPr="00145313">
        <w:rPr>
          <w:szCs w:val="18"/>
        </w:rPr>
        <w:t xml:space="preserve"> </w:t>
      </w:r>
      <w:r w:rsidRPr="00145313">
        <w:rPr>
          <w:rStyle w:val="FootnoteReference"/>
          <w:szCs w:val="18"/>
          <w:vertAlign w:val="baseline"/>
        </w:rPr>
        <w:t>10(2) TRIPS</w:t>
      </w:r>
      <w:r w:rsidRPr="00145313">
        <w:rPr>
          <w:szCs w:val="18"/>
        </w:rPr>
        <w:t xml:space="preserve"> Agreement, </w:t>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6 W</w:t>
      </w:r>
      <w:r w:rsidRPr="00145313">
        <w:rPr>
          <w:szCs w:val="18"/>
        </w:rPr>
        <w:t>orld Copyright Treaty</w:t>
      </w:r>
      <w:r w:rsidRPr="00145313">
        <w:rPr>
          <w:rStyle w:val="FootnoteReference"/>
          <w:szCs w:val="18"/>
          <w:vertAlign w:val="baseline"/>
        </w:rPr>
        <w:t>.</w:t>
      </w:r>
    </w:p>
  </w:footnote>
  <w:footnote w:id="39">
    <w:p w:rsidR="006B0488" w:rsidRPr="00145313" w:rsidRDefault="006B0488" w:rsidP="006B0488">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
          <w:szCs w:val="18"/>
          <w:vertAlign w:val="baseline"/>
        </w:rPr>
        <w:t>See</w:t>
      </w:r>
      <w:r w:rsidRPr="00145313">
        <w:rPr>
          <w:rStyle w:val="FootnoteReference"/>
          <w:szCs w:val="18"/>
          <w:vertAlign w:val="baseline"/>
        </w:rPr>
        <w:t xml:space="preserve"> Sam </w:t>
      </w:r>
      <w:proofErr w:type="spellStart"/>
      <w:r w:rsidRPr="00145313">
        <w:rPr>
          <w:rStyle w:val="FootnoteReference"/>
          <w:szCs w:val="18"/>
          <w:vertAlign w:val="baseline"/>
        </w:rPr>
        <w:t>Ricketson</w:t>
      </w:r>
      <w:proofErr w:type="spellEnd"/>
      <w:r w:rsidRPr="00145313">
        <w:rPr>
          <w:szCs w:val="18"/>
        </w:rPr>
        <w:t xml:space="preserve"> and</w:t>
      </w:r>
      <w:r w:rsidRPr="00145313">
        <w:rPr>
          <w:rStyle w:val="FootnoteReference"/>
          <w:szCs w:val="18"/>
          <w:vertAlign w:val="baseline"/>
        </w:rPr>
        <w:t xml:space="preserve"> Jane C. Ginsburg, </w:t>
      </w:r>
      <w:r w:rsidRPr="00145313">
        <w:rPr>
          <w:rStyle w:val="FootnoteReference"/>
          <w:iCs/>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w:t>
      </w:r>
      <w:r w:rsidRPr="00145313">
        <w:rPr>
          <w:rStyle w:val="FootnoteReference"/>
          <w:szCs w:val="18"/>
          <w:vertAlign w:val="baseline"/>
        </w:rPr>
        <w:t xml:space="preserve"> p.</w:t>
      </w:r>
      <w:r w:rsidRPr="00145313">
        <w:rPr>
          <w:szCs w:val="18"/>
        </w:rPr>
        <w:t xml:space="preserve"> </w:t>
      </w:r>
      <w:r w:rsidRPr="00145313">
        <w:rPr>
          <w:rStyle w:val="FootnoteReference"/>
          <w:szCs w:val="18"/>
          <w:vertAlign w:val="baseline"/>
        </w:rPr>
        <w:t>485</w:t>
      </w:r>
      <w:r w:rsidRPr="00145313">
        <w:rPr>
          <w:szCs w:val="18"/>
        </w:rPr>
        <w:t>.</w:t>
      </w:r>
    </w:p>
  </w:footnote>
  <w:footnote w:id="40">
    <w:p w:rsidR="006B0488" w:rsidRPr="00145313" w:rsidRDefault="006B0488" w:rsidP="006B0488">
      <w:pPr>
        <w:pStyle w:val="FootnoteText"/>
        <w:tabs>
          <w:tab w:val="left" w:pos="880"/>
        </w:tabs>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szCs w:val="18"/>
        </w:rPr>
        <w:t xml:space="preserve">Pacific </w:t>
      </w:r>
      <w:r w:rsidRPr="00145313">
        <w:rPr>
          <w:rStyle w:val="FootnoteReference"/>
          <w:szCs w:val="18"/>
          <w:vertAlign w:val="baseline"/>
        </w:rPr>
        <w:t>Regional Framework for the Protection of Traditional Knowledge and Expressions of Culture, 2002, Part I. 4</w:t>
      </w:r>
      <w:r w:rsidRPr="00145313">
        <w:rPr>
          <w:szCs w:val="18"/>
        </w:rPr>
        <w:t>.</w:t>
      </w:r>
    </w:p>
  </w:footnote>
  <w:footnote w:id="41">
    <w:p w:rsidR="006B0488" w:rsidRPr="00145313" w:rsidRDefault="006B0488" w:rsidP="006B0488">
      <w:pPr>
        <w:pStyle w:val="FootnoteText"/>
        <w:tabs>
          <w:tab w:val="left" w:pos="990"/>
        </w:tabs>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and</w:t>
      </w:r>
      <w:r w:rsidRPr="00145313">
        <w:rPr>
          <w:rStyle w:val="FootnoteReference"/>
          <w:szCs w:val="18"/>
          <w:vertAlign w:val="baseline"/>
        </w:rPr>
        <w:t xml:space="preserve"> Jane C. Ginsburg</w:t>
      </w:r>
      <w:r w:rsidRPr="00145313">
        <w:rPr>
          <w:szCs w:val="18"/>
        </w:rPr>
        <w:t xml:space="preserve">, </w:t>
      </w:r>
      <w:r w:rsidRPr="00145313">
        <w:rPr>
          <w:rStyle w:val="FootnoteReference"/>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xml:space="preserve">, p. </w:t>
      </w:r>
      <w:r w:rsidRPr="00145313">
        <w:rPr>
          <w:rStyle w:val="FootnoteReference"/>
          <w:szCs w:val="18"/>
          <w:vertAlign w:val="baseline"/>
        </w:rPr>
        <w:t>603</w:t>
      </w:r>
      <w:r w:rsidRPr="00145313">
        <w:rPr>
          <w:szCs w:val="18"/>
        </w:rPr>
        <w:t>.</w:t>
      </w:r>
    </w:p>
  </w:footnote>
  <w:footnote w:id="42">
    <w:p w:rsidR="006B0488" w:rsidRPr="00434DB8" w:rsidRDefault="006B0488" w:rsidP="006B0488">
      <w:pPr>
        <w:pStyle w:val="FootnoteText"/>
        <w:tabs>
          <w:tab w:val="left" w:pos="990"/>
        </w:tabs>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List and Brief Technical Explanation of Various Forms in which Traditional Knowledge may be Found (WIPO/GRTKF/IC/17/INF/9), para. 4 of Annex. </w:t>
      </w:r>
    </w:p>
  </w:footnote>
  <w:footnote w:id="43">
    <w:p w:rsidR="006B0488" w:rsidRPr="00145313" w:rsidRDefault="006B0488" w:rsidP="006B0488">
      <w:pPr>
        <w:pStyle w:val="FootnoteText"/>
        <w:ind w:left="600" w:hanging="600"/>
        <w:rPr>
          <w:rStyle w:val="FootnoteReference"/>
          <w:szCs w:val="18"/>
          <w:vertAlign w:val="baseline"/>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WIPO Guide to the Copyright and Related Right Treaties Administered by WIPO and Glossary of Copyright and Related Rights Terms, p.282</w:t>
      </w:r>
      <w:r w:rsidRPr="00145313">
        <w:rPr>
          <w:szCs w:val="18"/>
        </w:rPr>
        <w:t>.</w:t>
      </w:r>
    </w:p>
  </w:footnote>
  <w:footnote w:id="44">
    <w:p w:rsidR="006B0488" w:rsidRPr="00145313" w:rsidRDefault="006B0488" w:rsidP="006B0488">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 xml:space="preserve"> </w:t>
      </w:r>
      <w:r w:rsidRPr="00434DB8">
        <w:rPr>
          <w:szCs w:val="18"/>
        </w:rPr>
        <w:tab/>
      </w:r>
      <w:r w:rsidRPr="00145313">
        <w:rPr>
          <w:rStyle w:val="FootnoteReference"/>
          <w:szCs w:val="18"/>
          <w:vertAlign w:val="baseline"/>
        </w:rPr>
        <w:t>Art</w:t>
      </w:r>
      <w:r w:rsidRPr="00145313">
        <w:rPr>
          <w:szCs w:val="18"/>
        </w:rPr>
        <w:t>.</w:t>
      </w:r>
      <w:r w:rsidRPr="00145313">
        <w:rPr>
          <w:rStyle w:val="FootnoteReference"/>
          <w:szCs w:val="18"/>
          <w:vertAlign w:val="baseline"/>
        </w:rPr>
        <w:t xml:space="preserve"> 10</w:t>
      </w:r>
      <w:r w:rsidRPr="00145313">
        <w:rPr>
          <w:rStyle w:val="FootnoteReference"/>
          <w:i/>
          <w:szCs w:val="18"/>
          <w:vertAlign w:val="baseline"/>
        </w:rPr>
        <w:t>bis</w:t>
      </w:r>
      <w:r w:rsidRPr="00145313">
        <w:rPr>
          <w:rStyle w:val="FootnoteReference"/>
          <w:szCs w:val="18"/>
          <w:vertAlign w:val="baseline"/>
        </w:rPr>
        <w:t xml:space="preserve"> and 11. </w:t>
      </w:r>
      <w:r w:rsidRPr="00145313">
        <w:rPr>
          <w:rStyle w:val="FootnoteReference"/>
          <w:i/>
          <w:szCs w:val="18"/>
          <w:vertAlign w:val="baseline"/>
        </w:rPr>
        <w:t>See also</w:t>
      </w:r>
      <w:r w:rsidRPr="00145313">
        <w:rPr>
          <w:rStyle w:val="FootnoteReference"/>
          <w:szCs w:val="18"/>
          <w:vertAlign w:val="baseline"/>
        </w:rPr>
        <w:t xml:space="preserve"> Sam </w:t>
      </w:r>
      <w:proofErr w:type="spellStart"/>
      <w:r w:rsidRPr="00145313">
        <w:rPr>
          <w:rStyle w:val="FootnoteReference"/>
          <w:szCs w:val="18"/>
          <w:vertAlign w:val="baseline"/>
        </w:rPr>
        <w:t>Ricketson</w:t>
      </w:r>
      <w:proofErr w:type="spellEnd"/>
      <w:r w:rsidRPr="00145313">
        <w:rPr>
          <w:szCs w:val="18"/>
        </w:rPr>
        <w:t xml:space="preserve"> and</w:t>
      </w:r>
      <w:r w:rsidRPr="00145313">
        <w:rPr>
          <w:rStyle w:val="FootnoteReference"/>
          <w:szCs w:val="18"/>
          <w:vertAlign w:val="baseline"/>
        </w:rPr>
        <w:t xml:space="preserve"> Jane C. Ginsburg</w:t>
      </w:r>
      <w:r w:rsidRPr="00145313">
        <w:rPr>
          <w:szCs w:val="18"/>
        </w:rPr>
        <w:t xml:space="preserve">, </w:t>
      </w:r>
      <w:r w:rsidRPr="00145313">
        <w:rPr>
          <w:rStyle w:val="FootnoteReference"/>
          <w:iCs/>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p</w:t>
      </w:r>
      <w:r w:rsidRPr="00145313">
        <w:rPr>
          <w:rStyle w:val="FootnoteReference"/>
          <w:szCs w:val="18"/>
          <w:vertAlign w:val="baseline"/>
        </w:rPr>
        <w:t>.</w:t>
      </w:r>
      <w:r w:rsidRPr="00145313">
        <w:rPr>
          <w:szCs w:val="18"/>
        </w:rPr>
        <w:t xml:space="preserve"> </w:t>
      </w:r>
      <w:r w:rsidRPr="00145313">
        <w:rPr>
          <w:rStyle w:val="FootnoteReference"/>
          <w:szCs w:val="18"/>
          <w:vertAlign w:val="baseline"/>
        </w:rPr>
        <w:t>614</w:t>
      </w:r>
      <w:r w:rsidRPr="00145313">
        <w:rPr>
          <w:szCs w:val="18"/>
        </w:rPr>
        <w:t>.</w:t>
      </w:r>
    </w:p>
  </w:footnote>
  <w:footnote w:id="45">
    <w:p w:rsidR="006B0488" w:rsidRPr="00434DB8" w:rsidRDefault="006B0488" w:rsidP="006B0488">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See document WO/GA/32/8, Annex, p. 32.</w:t>
      </w:r>
    </w:p>
  </w:footnote>
  <w:footnote w:id="46">
    <w:p w:rsidR="006B0488" w:rsidRPr="00434DB8" w:rsidRDefault="006B0488" w:rsidP="006B0488">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 xml:space="preserve">For further information see document WIPO/GRTKF/IC/16/6, Annex I, pages 7 to 11 </w:t>
      </w:r>
    </w:p>
  </w:footnote>
  <w:footnote w:id="47">
    <w:p w:rsidR="006B0488" w:rsidRPr="00434DB8" w:rsidRDefault="006B0488" w:rsidP="006B0488">
      <w:pPr>
        <w:pStyle w:val="FootnoteText"/>
        <w:ind w:left="601" w:hanging="601"/>
        <w:rPr>
          <w:szCs w:val="18"/>
        </w:rPr>
      </w:pPr>
      <w:r w:rsidRPr="00434DB8">
        <w:rPr>
          <w:rStyle w:val="FootnoteReference"/>
          <w:szCs w:val="18"/>
        </w:rPr>
        <w:footnoteRef/>
      </w:r>
      <w:r w:rsidRPr="00434DB8">
        <w:rPr>
          <w:szCs w:val="18"/>
        </w:rPr>
        <w:t xml:space="preserve"> </w:t>
      </w:r>
      <w:r w:rsidRPr="00434DB8">
        <w:rPr>
          <w:szCs w:val="18"/>
        </w:rPr>
        <w:tab/>
        <w:t>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http://www.wipo.int/publications/en/details.jsp?id=4194</w:t>
      </w:r>
    </w:p>
  </w:footnote>
  <w:footnote w:id="48">
    <w:p w:rsidR="006B0488" w:rsidRPr="00434DB8" w:rsidRDefault="006B0488" w:rsidP="006B0488">
      <w:pPr>
        <w:pStyle w:val="FootnoteText"/>
        <w:ind w:left="601" w:hanging="601"/>
        <w:rPr>
          <w:szCs w:val="18"/>
        </w:rPr>
      </w:pPr>
      <w:r w:rsidRPr="00434DB8">
        <w:rPr>
          <w:rStyle w:val="FootnoteReference"/>
          <w:szCs w:val="18"/>
        </w:rPr>
        <w:footnoteRef/>
      </w:r>
      <w:r w:rsidRPr="00434DB8">
        <w:rPr>
          <w:szCs w:val="18"/>
        </w:rPr>
        <w:t xml:space="preserve"> </w:t>
      </w:r>
      <w:r w:rsidRPr="00434DB8">
        <w:rPr>
          <w:szCs w:val="18"/>
        </w:rPr>
        <w:tab/>
        <w:t>Document WIPO/GRTKF/IC/9/13 (Alternative Proposal).</w:t>
      </w:r>
    </w:p>
  </w:footnote>
  <w:footnote w:id="49">
    <w:p w:rsidR="006B0488" w:rsidRPr="00434DB8" w:rsidRDefault="006B0488" w:rsidP="006B0488">
      <w:pPr>
        <w:pStyle w:val="FootnoteText"/>
        <w:ind w:left="601" w:hanging="601"/>
        <w:rPr>
          <w:i/>
          <w:iCs/>
          <w:szCs w:val="18"/>
        </w:rPr>
      </w:pPr>
      <w:r w:rsidRPr="00434DB8">
        <w:rPr>
          <w:rStyle w:val="FootnoteReference"/>
          <w:szCs w:val="18"/>
        </w:rPr>
        <w:footnoteRef/>
      </w:r>
      <w:r w:rsidRPr="00434DB8">
        <w:rPr>
          <w:szCs w:val="18"/>
        </w:rPr>
        <w:t xml:space="preserve"> </w:t>
      </w:r>
      <w:r w:rsidRPr="00434DB8">
        <w:rPr>
          <w:szCs w:val="18"/>
        </w:rPr>
        <w:tab/>
        <w:t>Document</w:t>
      </w:r>
      <w:r w:rsidRPr="00434DB8">
        <w:rPr>
          <w:i/>
          <w:iCs/>
          <w:szCs w:val="18"/>
        </w:rPr>
        <w:t xml:space="preserve"> </w:t>
      </w:r>
      <w:r w:rsidRPr="00434DB8">
        <w:rPr>
          <w:rStyle w:val="Emphasis"/>
          <w:szCs w:val="18"/>
        </w:rPr>
        <w:t>TN</w:t>
      </w:r>
      <w:r w:rsidRPr="00434DB8">
        <w:rPr>
          <w:i/>
          <w:iCs/>
          <w:szCs w:val="18"/>
        </w:rPr>
        <w:t>/</w:t>
      </w:r>
      <w:r w:rsidRPr="00434DB8">
        <w:rPr>
          <w:szCs w:val="18"/>
        </w:rPr>
        <w:t>C/W/</w:t>
      </w:r>
      <w:r w:rsidRPr="00434DB8">
        <w:rPr>
          <w:rStyle w:val="Emphasis"/>
          <w:szCs w:val="18"/>
        </w:rPr>
        <w:t>52.</w:t>
      </w:r>
    </w:p>
  </w:footnote>
  <w:footnote w:id="50">
    <w:p w:rsidR="006B0488" w:rsidRPr="00434DB8" w:rsidRDefault="006B0488" w:rsidP="006B0488">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Report on the Toolkit for Managing Intellectual Property when Documenting Traditional Knowledge and Genetic Resources (WIPO/GRTKF/IC/5/5), p. 4 of Annex.</w:t>
      </w:r>
    </w:p>
  </w:footnote>
  <w:footnote w:id="51">
    <w:p w:rsidR="006B0488" w:rsidRPr="00434DB8" w:rsidRDefault="006B0488" w:rsidP="006B0488">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 xml:space="preserve">WIPO Guide to the Copyright and Related Right Treaties Administered by WIPO and Glossary of Copyright and Related Rights Terms. </w:t>
      </w:r>
    </w:p>
  </w:footnote>
  <w:footnote w:id="52">
    <w:p w:rsidR="006B0488" w:rsidRPr="00145313" w:rsidRDefault="006B0488" w:rsidP="006B0488">
      <w:pPr>
        <w:pStyle w:val="FootnoteText"/>
        <w:ind w:left="600" w:hanging="600"/>
        <w:jc w:val="both"/>
        <w:rPr>
          <w:rStyle w:val="FootnoteReference"/>
          <w:szCs w:val="18"/>
          <w:vertAlign w:val="baseline"/>
          <w:lang w:val="es-ES_tradnl"/>
        </w:rPr>
      </w:pPr>
      <w:r w:rsidRPr="00434DB8">
        <w:rPr>
          <w:rStyle w:val="FootnoteReference"/>
          <w:bCs/>
          <w:szCs w:val="18"/>
        </w:rPr>
        <w:footnoteRef/>
      </w:r>
      <w:r w:rsidRPr="00434DB8">
        <w:rPr>
          <w:rStyle w:val="FootnoteReference"/>
          <w:bCs/>
          <w:szCs w:val="18"/>
        </w:rPr>
        <w:t xml:space="preserve"> </w:t>
      </w:r>
      <w:r w:rsidRPr="00434DB8">
        <w:rPr>
          <w:bCs/>
          <w:szCs w:val="18"/>
        </w:rPr>
        <w:tab/>
      </w:r>
      <w:proofErr w:type="spellStart"/>
      <w:r w:rsidRPr="00145313">
        <w:rPr>
          <w:rStyle w:val="FootnoteReference"/>
          <w:szCs w:val="18"/>
          <w:vertAlign w:val="baseline"/>
          <w:lang w:val="es-ES_tradnl"/>
        </w:rPr>
        <w:t>Exceptions</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Limits</w:t>
      </w:r>
      <w:proofErr w:type="spellEnd"/>
      <w:r w:rsidRPr="00145313">
        <w:rPr>
          <w:rStyle w:val="FootnoteReference"/>
          <w:szCs w:val="18"/>
          <w:vertAlign w:val="baseline"/>
          <w:lang w:val="es-ES_tradnl"/>
        </w:rPr>
        <w:t xml:space="preserve"> to Copyright and </w:t>
      </w:r>
      <w:proofErr w:type="spellStart"/>
      <w:r w:rsidRPr="00145313">
        <w:rPr>
          <w:rStyle w:val="FootnoteReference"/>
          <w:szCs w:val="18"/>
          <w:vertAlign w:val="baseline"/>
          <w:lang w:val="es-ES_tradnl"/>
        </w:rPr>
        <w:t>Neighboring</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Rights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study</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prepared</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by</w:t>
      </w:r>
      <w:proofErr w:type="spellEnd"/>
      <w:r w:rsidRPr="00145313">
        <w:rPr>
          <w:rStyle w:val="FootnoteReference"/>
          <w:szCs w:val="18"/>
          <w:vertAlign w:val="baseline"/>
          <w:lang w:val="es-ES_tradnl"/>
        </w:rPr>
        <w:t xml:space="preserve"> Pierre </w:t>
      </w:r>
      <w:proofErr w:type="spellStart"/>
      <w:r w:rsidRPr="00145313">
        <w:rPr>
          <w:rStyle w:val="FootnoteReference"/>
          <w:szCs w:val="18"/>
          <w:vertAlign w:val="baseline"/>
          <w:lang w:val="es-ES_tradnl"/>
        </w:rPr>
        <w:t>Sirinelli</w:t>
      </w:r>
      <w:proofErr w:type="spellEnd"/>
      <w:r w:rsidRPr="00145313">
        <w:rPr>
          <w:rStyle w:val="FootnoteReference"/>
          <w:szCs w:val="18"/>
          <w:vertAlign w:val="baseline"/>
          <w:lang w:val="es-ES_tradnl"/>
        </w:rPr>
        <w:t xml:space="preserve">, </w:t>
      </w:r>
    </w:p>
    <w:p w:rsidR="006B0488" w:rsidRPr="00145313" w:rsidRDefault="006B0488" w:rsidP="006B0488">
      <w:pPr>
        <w:pStyle w:val="FootnoteText"/>
        <w:ind w:left="630"/>
        <w:jc w:val="both"/>
        <w:rPr>
          <w:rStyle w:val="FootnoteReference"/>
          <w:szCs w:val="18"/>
          <w:vertAlign w:val="baseline"/>
          <w:lang w:val="es-ES_tradnl"/>
        </w:rPr>
      </w:pPr>
      <w:r w:rsidRPr="00145313">
        <w:rPr>
          <w:rStyle w:val="FootnoteReference"/>
          <w:szCs w:val="18"/>
          <w:vertAlign w:val="baseline"/>
          <w:lang w:val="es-ES_tradnl"/>
        </w:rPr>
        <w:t xml:space="preserve">WCT-WPPT/IMP/1, 1999, p.2. </w:t>
      </w:r>
    </w:p>
  </w:footnote>
  <w:footnote w:id="53">
    <w:p w:rsidR="006B0488" w:rsidRPr="00145313" w:rsidRDefault="006B0488" w:rsidP="006B0488">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 9(2).</w:t>
      </w:r>
    </w:p>
  </w:footnote>
  <w:footnote w:id="54">
    <w:p w:rsidR="006B0488" w:rsidRPr="00145313" w:rsidRDefault="006B0488" w:rsidP="006B0488">
      <w:pPr>
        <w:pStyle w:val="FootnoteText"/>
        <w:ind w:left="600" w:hanging="600"/>
        <w:rPr>
          <w:rStyle w:val="FootnoteReference"/>
          <w:szCs w:val="18"/>
          <w:vertAlign w:val="baseline"/>
          <w:lang w:val="es-ES"/>
        </w:rPr>
      </w:pPr>
      <w:r w:rsidRPr="00434DB8">
        <w:rPr>
          <w:rStyle w:val="FootnoteReference"/>
          <w:szCs w:val="18"/>
        </w:rPr>
        <w:footnoteRef/>
      </w:r>
      <w:r w:rsidRPr="00434DB8">
        <w:rPr>
          <w:rStyle w:val="FootnoteReference"/>
          <w:szCs w:val="18"/>
          <w:lang w:val="es-ES_tradnl"/>
        </w:rPr>
        <w:t xml:space="preserve"> </w:t>
      </w:r>
      <w:r w:rsidRPr="00434DB8">
        <w:rPr>
          <w:szCs w:val="18"/>
          <w:lang w:val="es-ES_tradnl"/>
        </w:rPr>
        <w:tab/>
      </w:r>
      <w:proofErr w:type="spellStart"/>
      <w:r w:rsidRPr="00145313">
        <w:rPr>
          <w:rStyle w:val="FootnoteReference"/>
          <w:szCs w:val="18"/>
          <w:vertAlign w:val="baseline"/>
          <w:lang w:val="es-ES_tradnl"/>
        </w:rPr>
        <w:t>Model</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Provisions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for</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National</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Laws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Protection</w:t>
      </w:r>
      <w:proofErr w:type="spellEnd"/>
      <w:r w:rsidRPr="00145313">
        <w:rPr>
          <w:rStyle w:val="FootnoteReference"/>
          <w:szCs w:val="18"/>
          <w:vertAlign w:val="baseline"/>
          <w:lang w:val="es-ES_tradnl"/>
        </w:rPr>
        <w:t xml:space="preserve"> of </w:t>
      </w:r>
      <w:proofErr w:type="spellStart"/>
      <w:r w:rsidRPr="00145313">
        <w:rPr>
          <w:rStyle w:val="FootnoteReference"/>
          <w:szCs w:val="18"/>
          <w:vertAlign w:val="baseline"/>
          <w:lang w:val="es-ES_tradnl"/>
        </w:rPr>
        <w:t>Expressions</w:t>
      </w:r>
      <w:proofErr w:type="spellEnd"/>
      <w:r w:rsidRPr="00145313">
        <w:rPr>
          <w:rStyle w:val="FootnoteReference"/>
          <w:szCs w:val="18"/>
          <w:vertAlign w:val="baseline"/>
          <w:lang w:val="es-ES_tradnl"/>
        </w:rPr>
        <w:t xml:space="preserve"> of Folklore </w:t>
      </w:r>
      <w:proofErr w:type="spellStart"/>
      <w:r w:rsidRPr="00145313">
        <w:rPr>
          <w:rStyle w:val="FootnoteReference"/>
          <w:szCs w:val="18"/>
          <w:vertAlign w:val="baseline"/>
          <w:lang w:val="es-ES_tradnl"/>
        </w:rPr>
        <w:t>against</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Illicit</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Exploitation</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Other</w:t>
      </w:r>
      <w:proofErr w:type="spellEnd"/>
      <w:r w:rsidRPr="00145313">
        <w:rPr>
          <w:rStyle w:val="FootnoteReference"/>
          <w:szCs w:val="18"/>
          <w:vertAlign w:val="baseline"/>
          <w:lang w:val="es-ES_tradnl"/>
        </w:rPr>
        <w:t xml:space="preserve"> Prejudicial </w:t>
      </w:r>
      <w:proofErr w:type="spellStart"/>
      <w:r w:rsidRPr="00145313">
        <w:rPr>
          <w:rStyle w:val="FootnoteReference"/>
          <w:szCs w:val="18"/>
          <w:vertAlign w:val="baseline"/>
          <w:lang w:val="es-ES_tradnl"/>
        </w:rPr>
        <w:t>Actions</w:t>
      </w:r>
      <w:proofErr w:type="spellEnd"/>
      <w:r w:rsidRPr="00145313">
        <w:rPr>
          <w:rStyle w:val="FootnoteReference"/>
          <w:i/>
          <w:szCs w:val="18"/>
          <w:vertAlign w:val="baseline"/>
          <w:lang w:val="es-ES_tradnl"/>
        </w:rPr>
        <w:t>, 1982</w:t>
      </w:r>
      <w:r w:rsidRPr="00145313">
        <w:rPr>
          <w:szCs w:val="18"/>
          <w:lang w:val="es-ES_tradnl"/>
        </w:rPr>
        <w:t xml:space="preserve">, para. </w:t>
      </w:r>
      <w:r w:rsidRPr="00145313">
        <w:rPr>
          <w:szCs w:val="18"/>
          <w:lang w:val="es-ES"/>
        </w:rPr>
        <w:t>37.</w:t>
      </w:r>
    </w:p>
  </w:footnote>
  <w:footnote w:id="55">
    <w:p w:rsidR="006B0488" w:rsidRPr="00145313" w:rsidRDefault="006B0488" w:rsidP="006B0488">
      <w:pPr>
        <w:pStyle w:val="FootnoteText"/>
        <w:ind w:left="600" w:hanging="600"/>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proofErr w:type="spellStart"/>
      <w:r w:rsidRPr="00145313">
        <w:rPr>
          <w:rStyle w:val="FootnoteReference"/>
          <w:szCs w:val="18"/>
          <w:vertAlign w:val="baseline"/>
          <w:lang w:val="es-ES"/>
        </w:rPr>
        <w:t>Model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Provisions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for</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National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Laws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Expressions</w:t>
      </w:r>
      <w:proofErr w:type="spellEnd"/>
      <w:r w:rsidRPr="00145313">
        <w:rPr>
          <w:rStyle w:val="FootnoteReference"/>
          <w:szCs w:val="18"/>
          <w:vertAlign w:val="baseline"/>
          <w:lang w:val="es-ES"/>
        </w:rPr>
        <w:t xml:space="preserve"> of Folklore </w:t>
      </w:r>
      <w:proofErr w:type="spellStart"/>
      <w:r w:rsidRPr="00145313">
        <w:rPr>
          <w:rStyle w:val="FootnoteReference"/>
          <w:szCs w:val="18"/>
          <w:vertAlign w:val="baseline"/>
          <w:lang w:val="es-ES"/>
        </w:rPr>
        <w:t>against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Illicit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Exploitation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Other</w:t>
      </w:r>
      <w:proofErr w:type="spellEnd"/>
      <w:r w:rsidRPr="00145313">
        <w:rPr>
          <w:rStyle w:val="FootnoteReference"/>
          <w:szCs w:val="18"/>
          <w:vertAlign w:val="baseline"/>
          <w:lang w:val="es-ES"/>
        </w:rPr>
        <w:t xml:space="preserve"> Prejudicial </w:t>
      </w:r>
      <w:proofErr w:type="spellStart"/>
      <w:r w:rsidRPr="00145313">
        <w:rPr>
          <w:rStyle w:val="FootnoteReference"/>
          <w:szCs w:val="18"/>
          <w:vertAlign w:val="baseline"/>
          <w:lang w:val="es-ES"/>
        </w:rPr>
        <w:t>Actions</w:t>
      </w:r>
      <w:proofErr w:type="spellEnd"/>
      <w:r w:rsidRPr="00145313">
        <w:rPr>
          <w:i/>
          <w:szCs w:val="18"/>
          <w:lang w:val="es-ES"/>
        </w:rPr>
        <w:t xml:space="preserve">, 1982, </w:t>
      </w:r>
      <w:r w:rsidRPr="00145313">
        <w:rPr>
          <w:szCs w:val="18"/>
          <w:lang w:val="es-ES"/>
        </w:rPr>
        <w:t>para. 37.</w:t>
      </w:r>
    </w:p>
  </w:footnote>
  <w:footnote w:id="56">
    <w:p w:rsidR="006B0488" w:rsidRPr="00145313" w:rsidRDefault="006B0488" w:rsidP="006B0488">
      <w:pPr>
        <w:pStyle w:val="FootnoteText"/>
        <w:ind w:left="601" w:hanging="601"/>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proofErr w:type="spellStart"/>
      <w:r w:rsidRPr="00145313">
        <w:rPr>
          <w:rStyle w:val="FootnoteReference"/>
          <w:szCs w:val="18"/>
          <w:vertAlign w:val="baseline"/>
          <w:lang w:val="es-ES"/>
        </w:rPr>
        <w:t>Model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Provisions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for</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National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Laws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Expressions</w:t>
      </w:r>
      <w:proofErr w:type="spellEnd"/>
      <w:r w:rsidRPr="00145313">
        <w:rPr>
          <w:rStyle w:val="FootnoteReference"/>
          <w:szCs w:val="18"/>
          <w:vertAlign w:val="baseline"/>
          <w:lang w:val="es-ES"/>
        </w:rPr>
        <w:t xml:space="preserve"> of Folklore </w:t>
      </w:r>
      <w:proofErr w:type="spellStart"/>
      <w:r w:rsidRPr="00145313">
        <w:rPr>
          <w:rStyle w:val="FootnoteReference"/>
          <w:szCs w:val="18"/>
          <w:vertAlign w:val="baseline"/>
          <w:lang w:val="es-ES"/>
        </w:rPr>
        <w:t>against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Illicit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Exploitation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Other</w:t>
      </w:r>
      <w:proofErr w:type="spellEnd"/>
      <w:r w:rsidRPr="00145313">
        <w:rPr>
          <w:rStyle w:val="FootnoteReference"/>
          <w:szCs w:val="18"/>
          <w:vertAlign w:val="baseline"/>
          <w:lang w:val="es-ES"/>
        </w:rPr>
        <w:t xml:space="preserve"> Prejudicial </w:t>
      </w:r>
      <w:proofErr w:type="spellStart"/>
      <w:r w:rsidRPr="00145313">
        <w:rPr>
          <w:rStyle w:val="FootnoteReference"/>
          <w:szCs w:val="18"/>
          <w:vertAlign w:val="baseline"/>
          <w:lang w:val="es-ES"/>
        </w:rPr>
        <w:t>Actions</w:t>
      </w:r>
      <w:proofErr w:type="spellEnd"/>
      <w:r w:rsidRPr="00145313">
        <w:rPr>
          <w:szCs w:val="18"/>
          <w:lang w:val="es-ES"/>
        </w:rPr>
        <w:t xml:space="preserve">, </w:t>
      </w:r>
      <w:proofErr w:type="spellStart"/>
      <w:r w:rsidRPr="00145313">
        <w:rPr>
          <w:rStyle w:val="FootnoteReference"/>
          <w:szCs w:val="18"/>
          <w:vertAlign w:val="baseline"/>
          <w:lang w:val="es-ES"/>
        </w:rPr>
        <w:t>Sect</w:t>
      </w:r>
      <w:r w:rsidRPr="00145313">
        <w:rPr>
          <w:szCs w:val="18"/>
          <w:lang w:val="es-ES"/>
        </w:rPr>
        <w:t>ion</w:t>
      </w:r>
      <w:proofErr w:type="spellEnd"/>
      <w:r w:rsidRPr="00145313">
        <w:rPr>
          <w:szCs w:val="18"/>
          <w:lang w:val="es-ES"/>
        </w:rPr>
        <w:t xml:space="preserve"> </w:t>
      </w:r>
      <w:r w:rsidRPr="00145313">
        <w:rPr>
          <w:rStyle w:val="FootnoteReference"/>
          <w:szCs w:val="18"/>
          <w:vertAlign w:val="baseline"/>
          <w:lang w:val="es-ES"/>
        </w:rPr>
        <w:t>2</w:t>
      </w:r>
      <w:r w:rsidRPr="00145313">
        <w:rPr>
          <w:szCs w:val="18"/>
          <w:lang w:val="es-ES"/>
        </w:rPr>
        <w:t>.</w:t>
      </w:r>
    </w:p>
  </w:footnote>
  <w:footnote w:id="57">
    <w:p w:rsidR="006B0488" w:rsidRPr="00145313" w:rsidRDefault="006B0488" w:rsidP="006B0488">
      <w:pPr>
        <w:pStyle w:val="FootnoteText"/>
        <w:ind w:left="601" w:hanging="601"/>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r w:rsidRPr="00145313">
        <w:rPr>
          <w:rStyle w:val="FootnoteReference"/>
          <w:szCs w:val="18"/>
          <w:vertAlign w:val="baseline"/>
          <w:lang w:val="es-ES"/>
        </w:rPr>
        <w:t xml:space="preserve">WIPO </w:t>
      </w:r>
      <w:proofErr w:type="spellStart"/>
      <w:r w:rsidRPr="00145313">
        <w:rPr>
          <w:rStyle w:val="FootnoteReference"/>
          <w:szCs w:val="18"/>
          <w:vertAlign w:val="baseline"/>
          <w:lang w:val="es-ES"/>
        </w:rPr>
        <w:t>Guide</w:t>
      </w:r>
      <w:proofErr w:type="spellEnd"/>
      <w:r w:rsidRPr="00145313">
        <w:rPr>
          <w:rStyle w:val="FootnoteReference"/>
          <w:szCs w:val="18"/>
          <w:vertAlign w:val="baseline"/>
          <w:lang w:val="es-ES"/>
        </w:rPr>
        <w:t xml:space="preserve"> to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Treaties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Administered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by</w:t>
      </w:r>
      <w:proofErr w:type="spellEnd"/>
      <w:r w:rsidRPr="00145313">
        <w:rPr>
          <w:rStyle w:val="FootnoteReference"/>
          <w:szCs w:val="18"/>
          <w:vertAlign w:val="baseline"/>
          <w:lang w:val="es-ES"/>
        </w:rPr>
        <w:t xml:space="preserve"> WIPO and </w:t>
      </w:r>
      <w:proofErr w:type="spellStart"/>
      <w:r w:rsidRPr="00145313">
        <w:rPr>
          <w:rStyle w:val="FootnoteReference"/>
          <w:szCs w:val="18"/>
          <w:vertAlign w:val="baseline"/>
          <w:lang w:val="es-ES"/>
        </w:rPr>
        <w:t>Glossary</w:t>
      </w:r>
      <w:proofErr w:type="spellEnd"/>
      <w:r w:rsidRPr="00145313">
        <w:rPr>
          <w:rStyle w:val="FootnoteReference"/>
          <w:szCs w:val="18"/>
          <w:vertAlign w:val="baseline"/>
          <w:lang w:val="es-ES"/>
        </w:rPr>
        <w:t xml:space="preserve"> of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Terms</w:t>
      </w:r>
      <w:proofErr w:type="spellEnd"/>
      <w:r w:rsidRPr="00145313">
        <w:rPr>
          <w:szCs w:val="18"/>
          <w:lang w:val="es-ES"/>
        </w:rPr>
        <w:t>, p. 289.</w:t>
      </w:r>
    </w:p>
  </w:footnote>
  <w:footnote w:id="58">
    <w:p w:rsidR="006B0488" w:rsidRPr="00145313" w:rsidRDefault="006B0488" w:rsidP="006B0488">
      <w:pPr>
        <w:pStyle w:val="FootnoteText"/>
        <w:ind w:left="600" w:hanging="600"/>
        <w:rPr>
          <w:rStyle w:val="FootnoteReference"/>
          <w:szCs w:val="18"/>
          <w:vertAlign w:val="baseline"/>
          <w:lang w:val="nl-NL"/>
        </w:rPr>
      </w:pPr>
      <w:r w:rsidRPr="00434DB8">
        <w:rPr>
          <w:rStyle w:val="FootnoteReference"/>
          <w:szCs w:val="18"/>
        </w:rPr>
        <w:footnoteRef/>
      </w:r>
      <w:r w:rsidRPr="00434DB8">
        <w:rPr>
          <w:rStyle w:val="FootnoteReference"/>
          <w:szCs w:val="18"/>
          <w:lang w:val="nl-NL"/>
        </w:rPr>
        <w:t xml:space="preserve"> </w:t>
      </w:r>
      <w:r w:rsidRPr="00434DB8">
        <w:rPr>
          <w:szCs w:val="18"/>
          <w:lang w:val="nl-NL"/>
        </w:rPr>
        <w:tab/>
      </w:r>
      <w:r w:rsidRPr="00145313">
        <w:rPr>
          <w:rStyle w:val="FootnoteReference"/>
          <w:szCs w:val="18"/>
          <w:vertAlign w:val="baseline"/>
          <w:lang w:val="es-ES"/>
        </w:rPr>
        <w:t xml:space="preserve">WIPO </w:t>
      </w:r>
      <w:proofErr w:type="spellStart"/>
      <w:r w:rsidRPr="00145313">
        <w:rPr>
          <w:rStyle w:val="FootnoteReference"/>
          <w:szCs w:val="18"/>
          <w:vertAlign w:val="baseline"/>
          <w:lang w:val="es-ES"/>
        </w:rPr>
        <w:t>Guide</w:t>
      </w:r>
      <w:proofErr w:type="spellEnd"/>
      <w:r w:rsidRPr="00145313">
        <w:rPr>
          <w:rStyle w:val="FootnoteReference"/>
          <w:szCs w:val="18"/>
          <w:vertAlign w:val="baseline"/>
          <w:lang w:val="es-ES"/>
        </w:rPr>
        <w:t xml:space="preserve"> to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Treaties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Administered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by</w:t>
      </w:r>
      <w:proofErr w:type="spellEnd"/>
      <w:r w:rsidRPr="00145313">
        <w:rPr>
          <w:rStyle w:val="FootnoteReference"/>
          <w:szCs w:val="18"/>
          <w:vertAlign w:val="baseline"/>
          <w:lang w:val="es-ES"/>
        </w:rPr>
        <w:t xml:space="preserve"> WIPO and </w:t>
      </w:r>
      <w:proofErr w:type="spellStart"/>
      <w:r w:rsidRPr="00145313">
        <w:rPr>
          <w:rStyle w:val="FootnoteReference"/>
          <w:szCs w:val="18"/>
          <w:vertAlign w:val="baseline"/>
          <w:lang w:val="es-ES"/>
        </w:rPr>
        <w:t>Glossary</w:t>
      </w:r>
      <w:proofErr w:type="spellEnd"/>
      <w:r w:rsidRPr="00145313">
        <w:rPr>
          <w:rStyle w:val="FootnoteReference"/>
          <w:szCs w:val="18"/>
          <w:vertAlign w:val="baseline"/>
          <w:lang w:val="es-ES"/>
        </w:rPr>
        <w:t xml:space="preserve"> of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Terms</w:t>
      </w:r>
      <w:proofErr w:type="spellEnd"/>
      <w:r w:rsidRPr="00145313">
        <w:rPr>
          <w:rStyle w:val="FootnoteReference"/>
          <w:szCs w:val="18"/>
          <w:vertAlign w:val="baseline"/>
          <w:lang w:val="nl-NL"/>
        </w:rPr>
        <w:t>, p. 290</w:t>
      </w:r>
      <w:r w:rsidRPr="00145313">
        <w:rPr>
          <w:szCs w:val="18"/>
          <w:lang w:val="nl-NL"/>
        </w:rPr>
        <w:t>.</w:t>
      </w:r>
    </w:p>
  </w:footnote>
  <w:footnote w:id="59">
    <w:p w:rsidR="006B0488" w:rsidRPr="00145313" w:rsidRDefault="006B0488" w:rsidP="006B0488">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Art.2(2). </w:t>
      </w:r>
    </w:p>
  </w:footnote>
  <w:footnote w:id="60">
    <w:p w:rsidR="006B0488" w:rsidRPr="00434DB8" w:rsidRDefault="006B0488" w:rsidP="006B0488">
      <w:pPr>
        <w:pStyle w:val="FootnoteText"/>
        <w:ind w:left="600" w:hanging="60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 xml:space="preserve">Terri </w:t>
      </w:r>
      <w:proofErr w:type="spellStart"/>
      <w:r w:rsidRPr="00434DB8">
        <w:rPr>
          <w:szCs w:val="18"/>
        </w:rPr>
        <w:t>Janke</w:t>
      </w:r>
      <w:proofErr w:type="spellEnd"/>
      <w:r w:rsidRPr="00434DB8">
        <w:rPr>
          <w:szCs w:val="18"/>
        </w:rPr>
        <w:t>, “Unauthorized Reproduction of Rock Art”, in Minding Culture:  Case Studies on Intellectual Property and Traditional Cultural Expressions, WIPO, 2003.</w:t>
      </w:r>
    </w:p>
  </w:footnote>
  <w:footnote w:id="61">
    <w:p w:rsidR="006B0488" w:rsidRPr="00434DB8" w:rsidRDefault="006B0488" w:rsidP="006B0488">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Report of the Seventeenth Session of the Committee (WIPO/GRTKF/IC/17/12), para. 50.</w:t>
      </w:r>
    </w:p>
  </w:footnote>
  <w:footnote w:id="62">
    <w:p w:rsidR="006B0488" w:rsidRPr="00434DB8" w:rsidRDefault="006B0488" w:rsidP="006B0488">
      <w:pPr>
        <w:pStyle w:val="FootnoteText"/>
        <w:ind w:left="550" w:hanging="55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Model Provisions for National Laws on the Protection of Expressions of Folklore against Illicit Exploitation and Other Prejudicial Actions, 1982</w:t>
      </w:r>
      <w:r w:rsidRPr="00434DB8">
        <w:rPr>
          <w:i/>
          <w:szCs w:val="18"/>
        </w:rPr>
        <w:t>,</w:t>
      </w:r>
      <w:r w:rsidRPr="00434DB8">
        <w:rPr>
          <w:szCs w:val="18"/>
        </w:rPr>
        <w:t xml:space="preserve"> </w:t>
      </w:r>
      <w:r w:rsidRPr="00434DB8">
        <w:rPr>
          <w:rStyle w:val="FootnoteReference"/>
          <w:szCs w:val="18"/>
        </w:rPr>
        <w:t>Part I, para. 5</w:t>
      </w:r>
      <w:r w:rsidRPr="00434DB8">
        <w:rPr>
          <w:szCs w:val="18"/>
        </w:rPr>
        <w:t>-7.</w:t>
      </w:r>
    </w:p>
  </w:footnote>
  <w:footnote w:id="63">
    <w:p w:rsidR="006B0488" w:rsidRPr="00145313" w:rsidRDefault="006B0488" w:rsidP="006B0488">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WIPO Guide to the Copyright and Related Right Treaties Administered by WIPO and Glossary of Copyright and Related Rights Terms,</w:t>
      </w:r>
      <w:r w:rsidRPr="00145313">
        <w:rPr>
          <w:szCs w:val="18"/>
        </w:rPr>
        <w:t xml:space="preserve"> </w:t>
      </w:r>
      <w:r w:rsidRPr="00145313">
        <w:rPr>
          <w:rStyle w:val="FootnoteReference"/>
          <w:szCs w:val="18"/>
          <w:vertAlign w:val="baseline"/>
        </w:rPr>
        <w:t>p.</w:t>
      </w:r>
      <w:r w:rsidRPr="00145313">
        <w:rPr>
          <w:szCs w:val="18"/>
        </w:rPr>
        <w:t xml:space="preserve"> </w:t>
      </w:r>
      <w:r w:rsidRPr="00145313">
        <w:rPr>
          <w:rStyle w:val="FootnoteReference"/>
          <w:szCs w:val="18"/>
          <w:vertAlign w:val="baseline"/>
        </w:rPr>
        <w:t>290</w:t>
      </w:r>
      <w:r w:rsidRPr="00145313">
        <w:rPr>
          <w:szCs w:val="18"/>
        </w:rPr>
        <w:t>.</w:t>
      </w:r>
    </w:p>
  </w:footnote>
  <w:footnote w:id="64">
    <w:p w:rsidR="006B0488" w:rsidRPr="00145313" w:rsidRDefault="006B0488" w:rsidP="006B0488">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5(2)</w:t>
      </w:r>
      <w:r w:rsidRPr="00145313">
        <w:rPr>
          <w:szCs w:val="18"/>
        </w:rPr>
        <w:t xml:space="preserve"> Berne Convention, </w:t>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9(1) TRIPS</w:t>
      </w:r>
      <w:r w:rsidRPr="00145313">
        <w:rPr>
          <w:szCs w:val="18"/>
        </w:rPr>
        <w:t xml:space="preserve"> Agreement</w:t>
      </w:r>
      <w:r w:rsidRPr="00145313">
        <w:rPr>
          <w:rStyle w:val="FootnoteReference"/>
          <w:szCs w:val="18"/>
          <w:vertAlign w:val="baseline"/>
        </w:rPr>
        <w:t>, Art.</w:t>
      </w:r>
      <w:r w:rsidRPr="00145313">
        <w:rPr>
          <w:szCs w:val="18"/>
        </w:rPr>
        <w:t xml:space="preserve"> </w:t>
      </w:r>
      <w:r w:rsidRPr="00145313">
        <w:rPr>
          <w:rStyle w:val="FootnoteReference"/>
          <w:szCs w:val="18"/>
          <w:vertAlign w:val="baseline"/>
        </w:rPr>
        <w:t>25(10) WIPO Copyright Treaty</w:t>
      </w:r>
      <w:r w:rsidRPr="00145313">
        <w:rPr>
          <w:szCs w:val="18"/>
        </w:rPr>
        <w:t xml:space="preserve"> and Art. 20 WIPO Performances and Phonograms Treaty</w:t>
      </w:r>
      <w:r w:rsidRPr="00145313">
        <w:rPr>
          <w:rStyle w:val="FootnoteReference"/>
          <w:szCs w:val="18"/>
          <w:vertAlign w:val="baseline"/>
        </w:rPr>
        <w:t>.</w:t>
      </w:r>
      <w:r w:rsidRPr="00145313">
        <w:rPr>
          <w:szCs w:val="18"/>
        </w:rPr>
        <w:t xml:space="preserve"> </w:t>
      </w:r>
      <w:r w:rsidRPr="00145313">
        <w:rPr>
          <w:i/>
          <w:szCs w:val="18"/>
        </w:rPr>
        <w:t>See</w:t>
      </w:r>
      <w:r w:rsidRPr="00145313">
        <w:rPr>
          <w:szCs w:val="18"/>
        </w:rPr>
        <w:t xml:space="preserve"> </w:t>
      </w:r>
      <w:r w:rsidRPr="00145313">
        <w:rPr>
          <w:rStyle w:val="FootnoteReference"/>
          <w:szCs w:val="18"/>
          <w:vertAlign w:val="baseline"/>
        </w:rPr>
        <w:t>WIPO Guide to the Copyright and Related Right Treaties Administered by WIPO and Glossary of Copyright and Related Rights Terms, p.</w:t>
      </w:r>
      <w:r w:rsidRPr="00145313">
        <w:rPr>
          <w:szCs w:val="18"/>
        </w:rPr>
        <w:t xml:space="preserve"> </w:t>
      </w:r>
      <w:r w:rsidRPr="00145313">
        <w:rPr>
          <w:rStyle w:val="FootnoteReference"/>
          <w:szCs w:val="18"/>
          <w:vertAlign w:val="baseline"/>
        </w:rPr>
        <w:t>291</w:t>
      </w:r>
      <w:r w:rsidRPr="00145313">
        <w:rPr>
          <w:szCs w:val="18"/>
        </w:rPr>
        <w:t>.</w:t>
      </w:r>
    </w:p>
  </w:footnote>
  <w:footnote w:id="65">
    <w:p w:rsidR="006B0488" w:rsidRPr="00434DB8" w:rsidRDefault="006B0488" w:rsidP="006B0488">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Document UNEP/CBD/WG-ABS/9/INF/1 (The Concept of “Genetic Resources” in the Convention on Biological Diversity and how it relates to a functional international regime on access and benefit-sharing”), p. 8.</w:t>
      </w:r>
    </w:p>
  </w:footnote>
  <w:footnote w:id="66">
    <w:p w:rsidR="006B0488" w:rsidRPr="00434DB8" w:rsidRDefault="006B0488" w:rsidP="006B0488">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Standard-Setting: Future Priorities for Standard-Setting Activities, Review of the draft principles and guidelines on the heritage of indigenous peoples, Working paper submitted by </w:t>
      </w:r>
      <w:proofErr w:type="spellStart"/>
      <w:r w:rsidRPr="00434DB8">
        <w:rPr>
          <w:szCs w:val="18"/>
        </w:rPr>
        <w:t>Yozo</w:t>
      </w:r>
      <w:proofErr w:type="spellEnd"/>
      <w:r w:rsidRPr="00434DB8">
        <w:rPr>
          <w:szCs w:val="18"/>
        </w:rPr>
        <w:t xml:space="preserve"> Yokota and the Saami Council, E/CN.4/Sub.2/AC.4/2006/5, 16 June 2006.</w:t>
      </w:r>
    </w:p>
  </w:footnote>
  <w:footnote w:id="67">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WIPO Report on Fact-finding Missions on Intellectual Property and Traditional Knowledge (1998-1999) “Intellectual Property Needs and Expectations of Traditional Knowledge”, p. 26.</w:t>
      </w:r>
    </w:p>
  </w:footnote>
  <w:footnote w:id="68">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List and Brief Technical Explanation of Various Forms in which Traditional Knowledge may be Found (WIPO/GRTKF/IC/17/INF/9), paras. 43 and 44 of Annex.</w:t>
      </w:r>
    </w:p>
  </w:footnote>
  <w:footnote w:id="69">
    <w:p w:rsidR="006B0488" w:rsidRPr="00434DB8" w:rsidRDefault="006B0488" w:rsidP="006B0488">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“The Concept of Local Communities”, Background paper prepared by the Secretariat of the Permanent Forum on Indigenous Issues for the Expert Workshop on the </w:t>
      </w:r>
      <w:proofErr w:type="spellStart"/>
      <w:r w:rsidRPr="00434DB8">
        <w:rPr>
          <w:szCs w:val="18"/>
        </w:rPr>
        <w:t>Dissaggregation</w:t>
      </w:r>
      <w:proofErr w:type="spellEnd"/>
      <w:r w:rsidRPr="00434DB8">
        <w:rPr>
          <w:szCs w:val="18"/>
        </w:rPr>
        <w:t xml:space="preserve"> of Data (PFII/2004/WS.1/3/Add.1).  </w:t>
      </w:r>
      <w:r w:rsidRPr="00434DB8">
        <w:rPr>
          <w:i/>
          <w:szCs w:val="18"/>
        </w:rPr>
        <w:t>See also</w:t>
      </w:r>
      <w:r w:rsidRPr="00434DB8">
        <w:rPr>
          <w:szCs w:val="18"/>
        </w:rPr>
        <w:t xml:space="preserve"> UNEP/CBD/WS-CB/LAC/1/INF/5.</w:t>
      </w:r>
    </w:p>
  </w:footnote>
  <w:footnote w:id="70">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CBD, Development of Elements of </w:t>
      </w:r>
      <w:r w:rsidRPr="00434DB8">
        <w:rPr>
          <w:i/>
          <w:iCs/>
          <w:szCs w:val="18"/>
        </w:rPr>
        <w:t>Sui Generis</w:t>
      </w:r>
      <w:r w:rsidRPr="00434DB8">
        <w:rPr>
          <w:szCs w:val="18"/>
        </w:rPr>
        <w:t xml:space="preserve"> Systems for the Protection of Traditional Knowledge, Innovations and Practices, UNEP/CBD/WG8J/4/INF/18, p.5.</w:t>
      </w:r>
    </w:p>
  </w:footnote>
  <w:footnote w:id="71">
    <w:p w:rsidR="006B0488" w:rsidRPr="00434DB8" w:rsidRDefault="006B0488" w:rsidP="006B0488">
      <w:pPr>
        <w:pStyle w:val="FootnoteText"/>
        <w:tabs>
          <w:tab w:val="left" w:pos="540"/>
        </w:tabs>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WIPO Report on Fact-finding Missions on Intellectual Property and Traditional Knowledge (1998-1999) “Intellectual Property Needs and Expectations of Traditional Knowledge”, p.23.  </w:t>
      </w:r>
      <w:r w:rsidRPr="00434DB8">
        <w:rPr>
          <w:i/>
          <w:szCs w:val="18"/>
        </w:rPr>
        <w:t xml:space="preserve">See also </w:t>
      </w:r>
      <w:r w:rsidRPr="00434DB8">
        <w:rPr>
          <w:szCs w:val="18"/>
        </w:rPr>
        <w:t>List and Brief Technical Explanation of Various Forms in which Traditional Knowledge may be Found (WIPO/GRTKF/IC/17/INF/9), para. 41 of Annex.</w:t>
      </w:r>
    </w:p>
  </w:footnote>
  <w:footnote w:id="72">
    <w:p w:rsidR="006B0488" w:rsidRPr="00145313" w:rsidRDefault="006B0488" w:rsidP="006B0488">
      <w:pPr>
        <w:pStyle w:val="FootnoteText"/>
        <w:ind w:left="500" w:hanging="5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 xml:space="preserve"> </w:t>
      </w:r>
      <w:r w:rsidRPr="00434DB8">
        <w:rPr>
          <w:szCs w:val="18"/>
        </w:rPr>
        <w:tab/>
        <w:t>Article 1</w:t>
      </w:r>
      <w:r w:rsidRPr="00145313">
        <w:rPr>
          <w:szCs w:val="18"/>
        </w:rPr>
        <w:t>,</w:t>
      </w:r>
      <w:r w:rsidRPr="00145313">
        <w:rPr>
          <w:rStyle w:val="FootnoteReference"/>
          <w:szCs w:val="18"/>
          <w:vertAlign w:val="baseline"/>
        </w:rPr>
        <w:t xml:space="preserve"> ILO Convention No. 169 concerning Indigenous and Tribal Peoples in Independent Countries. </w:t>
      </w:r>
    </w:p>
  </w:footnote>
  <w:footnote w:id="73">
    <w:p w:rsidR="006B0488" w:rsidRPr="00AF0544" w:rsidRDefault="006B0488" w:rsidP="006B0488">
      <w:pPr>
        <w:pStyle w:val="FootnoteText"/>
        <w:ind w:left="500"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UNEP Glossary of Terms for Negotiators of Multilateral Environmental Agreements, page 49, available at </w:t>
      </w:r>
      <w:hyperlink r:id="rId3" w:history="1">
        <w:r w:rsidRPr="00AF0544">
          <w:rPr>
            <w:rStyle w:val="Hyperlink"/>
            <w:color w:val="000000" w:themeColor="text1"/>
            <w:szCs w:val="18"/>
            <w:u w:val="none"/>
          </w:rPr>
          <w:t>http://wedocs.unep.org/handle/20.500.11822/7569</w:t>
        </w:r>
      </w:hyperlink>
      <w:r w:rsidRPr="00AF0544">
        <w:rPr>
          <w:color w:val="000000" w:themeColor="text1"/>
          <w:szCs w:val="18"/>
        </w:rPr>
        <w:t xml:space="preserve"> </w:t>
      </w:r>
    </w:p>
  </w:footnote>
  <w:footnote w:id="74">
    <w:p w:rsidR="006B0488" w:rsidRPr="00145313" w:rsidRDefault="006B0488" w:rsidP="006B0488">
      <w:pPr>
        <w:pStyle w:val="FootnoteText"/>
        <w:ind w:left="500" w:hanging="5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
          <w:szCs w:val="18"/>
          <w:vertAlign w:val="baseline"/>
        </w:rPr>
        <w:t>See</w:t>
      </w:r>
      <w:r w:rsidRPr="00145313">
        <w:rPr>
          <w:rStyle w:val="FootnoteReference"/>
          <w:szCs w:val="18"/>
          <w:vertAlign w:val="baseline"/>
        </w:rPr>
        <w:t xml:space="preserve"> Operational Policy 4.10 on Indigenous Peoples, World Bank 2005; John </w:t>
      </w:r>
      <w:proofErr w:type="spellStart"/>
      <w:r w:rsidRPr="00145313">
        <w:rPr>
          <w:rStyle w:val="FootnoteReference"/>
          <w:szCs w:val="18"/>
          <w:vertAlign w:val="baseline"/>
        </w:rPr>
        <w:t>Henriksen</w:t>
      </w:r>
      <w:proofErr w:type="spellEnd"/>
      <w:r w:rsidRPr="00145313">
        <w:rPr>
          <w:rStyle w:val="FootnoteReference"/>
          <w:szCs w:val="18"/>
          <w:vertAlign w:val="baseline"/>
        </w:rPr>
        <w:t>: Key Principles in Implementing ILO Convention No. 169, 2008.</w:t>
      </w:r>
      <w:r w:rsidRPr="00145313">
        <w:rPr>
          <w:szCs w:val="18"/>
        </w:rPr>
        <w:t xml:space="preserve"> </w:t>
      </w:r>
    </w:p>
  </w:footnote>
  <w:footnote w:id="75">
    <w:p w:rsidR="006B0488" w:rsidRPr="00145313" w:rsidRDefault="006B0488" w:rsidP="006B0488">
      <w:pPr>
        <w:pStyle w:val="FootnoteText"/>
        <w:ind w:left="500" w:hanging="500"/>
        <w:rPr>
          <w:szCs w:val="18"/>
          <w:lang w:val="en-GB"/>
        </w:rPr>
      </w:pPr>
      <w:r w:rsidRPr="00434DB8">
        <w:rPr>
          <w:rStyle w:val="FootnoteReference"/>
          <w:szCs w:val="18"/>
        </w:rPr>
        <w:footnoteRef/>
      </w:r>
      <w:r w:rsidRPr="00434DB8">
        <w:rPr>
          <w:szCs w:val="18"/>
        </w:rPr>
        <w:t xml:space="preserve"> </w:t>
      </w:r>
      <w:r w:rsidRPr="00434DB8">
        <w:rPr>
          <w:szCs w:val="18"/>
        </w:rPr>
        <w:tab/>
        <w:t>[This footnote is part of the definition</w:t>
      </w:r>
      <w:r w:rsidRPr="00145313">
        <w:rPr>
          <w:szCs w:val="18"/>
        </w:rPr>
        <w:t xml:space="preserve">] </w:t>
      </w:r>
      <w:r w:rsidRPr="00145313">
        <w:rPr>
          <w:rStyle w:val="FootnoteReference"/>
          <w:szCs w:val="18"/>
          <w:vertAlign w:val="baseline"/>
        </w:rPr>
        <w:t xml:space="preserve">International </w:t>
      </w:r>
      <w:proofErr w:type="spellStart"/>
      <w:r w:rsidRPr="00145313">
        <w:rPr>
          <w:rStyle w:val="FootnoteReference"/>
          <w:szCs w:val="18"/>
          <w:vertAlign w:val="baseline"/>
        </w:rPr>
        <w:t>Labour</w:t>
      </w:r>
      <w:proofErr w:type="spellEnd"/>
      <w:r w:rsidRPr="00145313">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145313">
        <w:rPr>
          <w:szCs w:val="18"/>
        </w:rPr>
        <w:t xml:space="preserve"> </w:t>
      </w:r>
      <w:r w:rsidRPr="00145313">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145313">
        <w:rPr>
          <w:iCs/>
          <w:szCs w:val="18"/>
          <w:lang w:val="en-GB"/>
        </w:rPr>
        <w:t xml:space="preserve"> The same criteria are used by the FAO in its policy on indigenous and tribal peoples (</w:t>
      </w:r>
      <w:r w:rsidRPr="00145313">
        <w:rPr>
          <w:szCs w:val="18"/>
        </w:rPr>
        <w:t xml:space="preserve">Available at </w:t>
      </w:r>
      <w:hyperlink r:id="rId4" w:tooltip="http://www.fao.org/docrep/013/i1857e/i1857e00.pdf" w:history="1">
        <w:r w:rsidRPr="00145313">
          <w:rPr>
            <w:iCs/>
            <w:szCs w:val="18"/>
            <w:lang w:val="en-GB"/>
          </w:rPr>
          <w:t>http://www.fao.org/docrep/013/i1857e/i1857e00.pdf</w:t>
        </w:r>
      </w:hyperlink>
      <w:r w:rsidRPr="00145313">
        <w:rPr>
          <w:iCs/>
          <w:szCs w:val="18"/>
          <w:lang w:val="en-GB"/>
        </w:rPr>
        <w:t>)</w:t>
      </w:r>
    </w:p>
  </w:footnote>
  <w:footnote w:id="76">
    <w:p w:rsidR="006B0488" w:rsidRPr="00AF0544" w:rsidRDefault="006B0488" w:rsidP="006B0488">
      <w:pPr>
        <w:pStyle w:val="FootnoteText"/>
        <w:ind w:left="500"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Available </w:t>
      </w:r>
      <w:r w:rsidRPr="00AF0544">
        <w:rPr>
          <w:color w:val="000000" w:themeColor="text1"/>
          <w:szCs w:val="18"/>
        </w:rPr>
        <w:t xml:space="preserve">at </w:t>
      </w:r>
      <w:hyperlink r:id="rId5" w:history="1">
        <w:r w:rsidRPr="00AF0544">
          <w:rPr>
            <w:rStyle w:val="Hyperlink"/>
            <w:iCs/>
            <w:color w:val="000000" w:themeColor="text1"/>
            <w:szCs w:val="18"/>
            <w:u w:val="none"/>
            <w:lang w:val="en-GB"/>
          </w:rPr>
          <w:t>http://www.ifad.org/english/indigenous/documents/ip_policy_e.pdf</w:t>
        </w:r>
      </w:hyperlink>
      <w:r w:rsidRPr="00AF0544">
        <w:rPr>
          <w:iCs/>
          <w:color w:val="000000" w:themeColor="text1"/>
          <w:szCs w:val="18"/>
          <w:lang w:val="en-GB"/>
        </w:rPr>
        <w:t xml:space="preserve">. </w:t>
      </w:r>
    </w:p>
  </w:footnote>
  <w:footnote w:id="77">
    <w:p w:rsidR="006B0488" w:rsidRPr="00434DB8" w:rsidRDefault="006B0488" w:rsidP="006B0488">
      <w:pPr>
        <w:pStyle w:val="FootnoteText"/>
        <w:ind w:left="500" w:hanging="500"/>
        <w:rPr>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6" w:history="1">
        <w:r w:rsidRPr="00AF0544">
          <w:rPr>
            <w:rStyle w:val="Hyperlink"/>
            <w:iCs/>
            <w:color w:val="000000" w:themeColor="text1"/>
            <w:szCs w:val="18"/>
            <w:u w:val="none"/>
            <w:lang w:val="en-GB"/>
          </w:rPr>
          <w:t>http://www.undp.org/content/undp/en/home/librarypage/environment-energy/local_development/undp-and-indigenous-peoples-a-policy-of-engagement.html</w:t>
        </w:r>
      </w:hyperlink>
      <w:r>
        <w:rPr>
          <w:rStyle w:val="Hyperlink"/>
          <w:iCs/>
          <w:szCs w:val="18"/>
          <w:lang w:val="en-GB"/>
        </w:rPr>
        <w:t xml:space="preserve"> </w:t>
      </w:r>
      <w:r w:rsidRPr="00DA6273">
        <w:rPr>
          <w:iCs/>
          <w:szCs w:val="18"/>
          <w:lang w:val="en-GB"/>
        </w:rPr>
        <w:t xml:space="preserve"> </w:t>
      </w:r>
      <w:r>
        <w:rPr>
          <w:iCs/>
          <w:szCs w:val="18"/>
          <w:lang w:val="en-GB"/>
        </w:rPr>
        <w:t xml:space="preserve"> </w:t>
      </w:r>
    </w:p>
  </w:footnote>
  <w:footnote w:id="78">
    <w:p w:rsidR="006B0488" w:rsidRPr="00434DB8" w:rsidRDefault="006B0488" w:rsidP="006B0488">
      <w:pPr>
        <w:pStyle w:val="FootnoteText"/>
        <w:ind w:left="499" w:hanging="499"/>
        <w:rPr>
          <w:szCs w:val="18"/>
          <w:lang w:val="it-IT"/>
        </w:rPr>
      </w:pPr>
      <w:r w:rsidRPr="00434DB8">
        <w:rPr>
          <w:rStyle w:val="FootnoteReference"/>
          <w:szCs w:val="18"/>
        </w:rPr>
        <w:footnoteRef/>
      </w:r>
      <w:r w:rsidRPr="00434DB8">
        <w:rPr>
          <w:szCs w:val="18"/>
        </w:rPr>
        <w:t xml:space="preserve"> </w:t>
      </w:r>
      <w:r w:rsidRPr="00434DB8">
        <w:rPr>
          <w:szCs w:val="18"/>
        </w:rPr>
        <w:tab/>
        <w:t xml:space="preserve">United Nations Sub-Commission on Prevention of Discrimination and Protection of Minorities and its Study of the Problem of Discrimination against Indigenous Populations, UN Doc. </w:t>
      </w:r>
      <w:r w:rsidRPr="00434DB8">
        <w:rPr>
          <w:szCs w:val="18"/>
          <w:lang w:val="it-IT"/>
        </w:rPr>
        <w:t>E/CN.4/Sub.2/1986/7/Add.4., para 379 (1986).</w:t>
      </w:r>
    </w:p>
  </w:footnote>
  <w:footnote w:id="79">
    <w:p w:rsidR="006B0488" w:rsidRPr="00145313" w:rsidRDefault="006B0488" w:rsidP="006B0488">
      <w:pPr>
        <w:pStyle w:val="FootnoteText"/>
        <w:ind w:left="499" w:hanging="499"/>
        <w:rPr>
          <w:szCs w:val="18"/>
          <w:lang w:val="nl-NL"/>
        </w:rPr>
      </w:pPr>
      <w:r w:rsidRPr="00434DB8">
        <w:rPr>
          <w:rStyle w:val="FootnoteReference"/>
          <w:szCs w:val="18"/>
        </w:rPr>
        <w:footnoteRef/>
      </w:r>
      <w:r w:rsidRPr="00434DB8">
        <w:rPr>
          <w:rStyle w:val="FootnoteReference"/>
          <w:szCs w:val="18"/>
          <w:lang w:val="nl-NL"/>
        </w:rPr>
        <w:t xml:space="preserve"> </w:t>
      </w:r>
      <w:r w:rsidRPr="00434DB8">
        <w:rPr>
          <w:szCs w:val="18"/>
          <w:lang w:val="nl-NL"/>
        </w:rPr>
        <w:tab/>
      </w:r>
      <w:r w:rsidRPr="00145313">
        <w:rPr>
          <w:rStyle w:val="FootnoteReference"/>
          <w:szCs w:val="18"/>
          <w:vertAlign w:val="baseline"/>
          <w:lang w:val="nl-NL"/>
        </w:rPr>
        <w:t>WIPO Guide to the Copyright and Related Right Treaties Administered by WIPO and Glossary of Copyright and Related Rights Terms, p.</w:t>
      </w:r>
      <w:r w:rsidRPr="00145313">
        <w:rPr>
          <w:szCs w:val="18"/>
          <w:lang w:val="nl-NL"/>
        </w:rPr>
        <w:t xml:space="preserve"> </w:t>
      </w:r>
      <w:r w:rsidRPr="00145313">
        <w:rPr>
          <w:rStyle w:val="FootnoteReference"/>
          <w:szCs w:val="18"/>
          <w:vertAlign w:val="baseline"/>
          <w:lang w:val="nl-NL"/>
        </w:rPr>
        <w:t>293</w:t>
      </w:r>
      <w:r w:rsidRPr="00145313">
        <w:rPr>
          <w:szCs w:val="18"/>
          <w:lang w:val="nl-NL"/>
        </w:rPr>
        <w:t>.</w:t>
      </w:r>
    </w:p>
  </w:footnote>
  <w:footnote w:id="80">
    <w:p w:rsidR="006B0488" w:rsidRPr="00145313" w:rsidRDefault="006B0488" w:rsidP="006B0488">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and</w:t>
      </w:r>
      <w:r w:rsidRPr="00145313">
        <w:rPr>
          <w:rStyle w:val="FootnoteReference"/>
          <w:szCs w:val="18"/>
          <w:vertAlign w:val="baseline"/>
        </w:rPr>
        <w:t xml:space="preserve"> Jane C. Ginsburg, </w:t>
      </w:r>
      <w:r w:rsidRPr="00145313">
        <w:rPr>
          <w:rStyle w:val="FootnoteReference"/>
          <w:i/>
          <w:szCs w:val="18"/>
          <w:vertAlign w:val="baseline"/>
        </w:rPr>
        <w:t>International Copyright and Neighboring Rights</w:t>
      </w:r>
      <w:r w:rsidRPr="00145313">
        <w:rPr>
          <w:rStyle w:val="FootnoteReference"/>
          <w:szCs w:val="18"/>
          <w:vertAlign w:val="baseline"/>
        </w:rPr>
        <w:t>—</w:t>
      </w:r>
      <w:r w:rsidRPr="00145313">
        <w:rPr>
          <w:rStyle w:val="FootnoteReference"/>
          <w:i/>
          <w:szCs w:val="18"/>
          <w:vertAlign w:val="baseline"/>
        </w:rPr>
        <w:t>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p.602.</w:t>
      </w:r>
    </w:p>
  </w:footnote>
  <w:footnote w:id="81">
    <w:p w:rsidR="006B0488" w:rsidRPr="00434DB8" w:rsidRDefault="006B0488" w:rsidP="006B0488">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See document WIPO/GRTKF/IC/2/3, para. 133. </w:t>
      </w:r>
    </w:p>
  </w:footnote>
  <w:footnote w:id="82">
    <w:p w:rsidR="006B0488" w:rsidRPr="00434DB8" w:rsidRDefault="006B0488" w:rsidP="006B0488">
      <w:pPr>
        <w:pStyle w:val="FootnoteText"/>
        <w:ind w:left="500" w:hanging="500"/>
        <w:rPr>
          <w:szCs w:val="18"/>
        </w:rPr>
      </w:pPr>
      <w:r w:rsidRPr="00434DB8">
        <w:rPr>
          <w:rStyle w:val="FootnoteReference"/>
          <w:szCs w:val="18"/>
        </w:rPr>
        <w:footnoteRef/>
      </w:r>
      <w:r w:rsidRPr="00434DB8">
        <w:rPr>
          <w:rStyle w:val="FootnoteReference"/>
          <w:szCs w:val="18"/>
        </w:rPr>
        <w:t xml:space="preserve"> </w:t>
      </w:r>
      <w:r w:rsidRPr="00434DB8">
        <w:rPr>
          <w:szCs w:val="18"/>
        </w:rPr>
        <w:tab/>
        <w:t>See document WIPO/GRTKF/IC/7/9 (Genetic Resources:  Draft Intellectual Property Guidelines for Access and Equitable Benefit-sharing).</w:t>
      </w:r>
    </w:p>
  </w:footnote>
  <w:footnote w:id="83">
    <w:p w:rsidR="006B0488" w:rsidRPr="00434DB8" w:rsidRDefault="006B0488" w:rsidP="006B0488">
      <w:pPr>
        <w:pStyle w:val="FootnoteText"/>
        <w:ind w:left="500" w:hanging="500"/>
        <w:rPr>
          <w:szCs w:val="18"/>
        </w:rPr>
      </w:pPr>
      <w:r w:rsidRPr="00434DB8">
        <w:rPr>
          <w:rStyle w:val="FootnoteReference"/>
          <w:szCs w:val="18"/>
        </w:rPr>
        <w:footnoteRef/>
      </w:r>
      <w:r w:rsidRPr="00434DB8">
        <w:rPr>
          <w:rStyle w:val="FootnoteReference"/>
          <w:szCs w:val="18"/>
        </w:rPr>
        <w:t xml:space="preserve"> </w:t>
      </w:r>
      <w:r w:rsidRPr="00434DB8">
        <w:rPr>
          <w:szCs w:val="18"/>
        </w:rPr>
        <w:tab/>
        <w:t>See operational principles in document WIPO/GRTKF/IC/2/3, Section V.B, p. 50.</w:t>
      </w:r>
    </w:p>
  </w:footnote>
  <w:footnote w:id="84">
    <w:p w:rsidR="006B0488" w:rsidRPr="00434DB8" w:rsidRDefault="006B0488" w:rsidP="006B0488">
      <w:pPr>
        <w:pStyle w:val="FootnoteText"/>
        <w:ind w:left="499" w:hanging="499"/>
        <w:rPr>
          <w:szCs w:val="18"/>
        </w:rPr>
      </w:pPr>
      <w:r w:rsidRPr="00434DB8">
        <w:rPr>
          <w:rStyle w:val="FootnoteReference"/>
          <w:szCs w:val="18"/>
        </w:rPr>
        <w:footnoteRef/>
      </w:r>
      <w:r w:rsidRPr="00434DB8">
        <w:rPr>
          <w:rStyle w:val="FootnoteReference"/>
          <w:szCs w:val="18"/>
        </w:rPr>
        <w:t xml:space="preserve"> </w:t>
      </w:r>
      <w:r w:rsidRPr="00434DB8">
        <w:rPr>
          <w:szCs w:val="18"/>
        </w:rPr>
        <w:tab/>
        <w:t>See document WIPO/GRTKF/IC/17/INF/12 (Genetic Resources:  Draft Intellectual Property Guidelines for Access and Equitable Benefit-sharing:  Updated version).</w:t>
      </w:r>
    </w:p>
  </w:footnote>
  <w:footnote w:id="85">
    <w:p w:rsidR="006B0488" w:rsidRPr="00434DB8" w:rsidRDefault="006B0488" w:rsidP="006B0488">
      <w:pPr>
        <w:pStyle w:val="FootnoteText"/>
        <w:ind w:left="499" w:hanging="499"/>
        <w:rPr>
          <w:szCs w:val="18"/>
        </w:rPr>
      </w:pPr>
      <w:r w:rsidRPr="00434DB8">
        <w:rPr>
          <w:szCs w:val="18"/>
          <w:lang w:val="en-GB"/>
        </w:rPr>
        <w:footnoteRef/>
      </w:r>
      <w:r w:rsidRPr="00434DB8">
        <w:rPr>
          <w:szCs w:val="18"/>
        </w:rPr>
        <w:tab/>
      </w:r>
      <w:r w:rsidRPr="00434DB8">
        <w:rPr>
          <w:i/>
          <w:szCs w:val="18"/>
        </w:rPr>
        <w:t>Id.</w:t>
      </w:r>
    </w:p>
  </w:footnote>
  <w:footnote w:id="86">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ab/>
      </w:r>
      <w:r w:rsidRPr="00434DB8">
        <w:rPr>
          <w:i/>
          <w:szCs w:val="18"/>
        </w:rPr>
        <w:t>Id</w:t>
      </w:r>
      <w:r w:rsidRPr="00434DB8">
        <w:rPr>
          <w:szCs w:val="18"/>
        </w:rPr>
        <w:t>, page 4 of Annex.</w:t>
      </w:r>
    </w:p>
  </w:footnote>
  <w:footnote w:id="87">
    <w:p w:rsidR="006B0488" w:rsidRPr="00434DB8" w:rsidRDefault="006B0488" w:rsidP="006B0488">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WIPO/GRTKF/IC/17/INF/12.</w:t>
      </w:r>
    </w:p>
  </w:footnote>
  <w:footnote w:id="88">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PATENTSCOPE Glossary.</w:t>
      </w:r>
    </w:p>
  </w:footnote>
  <w:footnote w:id="89">
    <w:p w:rsidR="006B0488" w:rsidRPr="00434DB8" w:rsidRDefault="006B0488" w:rsidP="006B0488">
      <w:pPr>
        <w:pStyle w:val="FootnoteText"/>
        <w:rPr>
          <w:szCs w:val="18"/>
        </w:rPr>
      </w:pPr>
      <w:r w:rsidRPr="00434DB8">
        <w:rPr>
          <w:rStyle w:val="FootnoteReference"/>
          <w:szCs w:val="18"/>
        </w:rPr>
        <w:footnoteRef/>
      </w:r>
      <w:r>
        <w:rPr>
          <w:szCs w:val="18"/>
        </w:rPr>
        <w:tab/>
      </w:r>
      <w:r w:rsidRPr="00434DB8">
        <w:rPr>
          <w:szCs w:val="18"/>
        </w:rPr>
        <w:t xml:space="preserve">Article 1 of the ITPGRFA. </w:t>
      </w:r>
    </w:p>
  </w:footnote>
  <w:footnote w:id="90">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Intellectual Property Handbook, WIPO Publication No. 489 (E), 2008, p. 20.</w:t>
      </w:r>
    </w:p>
  </w:footnote>
  <w:footnote w:id="91">
    <w:p w:rsidR="006B0488" w:rsidRPr="00434DB8" w:rsidRDefault="006B0488" w:rsidP="006B0488">
      <w:pPr>
        <w:pStyle w:val="FootnoteText"/>
        <w:rPr>
          <w:szCs w:val="18"/>
        </w:rPr>
      </w:pPr>
      <w:r w:rsidRPr="00434DB8">
        <w:rPr>
          <w:rStyle w:val="FootnoteReference"/>
          <w:szCs w:val="18"/>
        </w:rPr>
        <w:footnoteRef/>
      </w:r>
      <w:r>
        <w:rPr>
          <w:szCs w:val="18"/>
        </w:rPr>
        <w:t xml:space="preserve"> </w:t>
      </w:r>
      <w:r>
        <w:rPr>
          <w:szCs w:val="18"/>
        </w:rPr>
        <w:tab/>
      </w:r>
      <w:r w:rsidRPr="00434DB8">
        <w:rPr>
          <w:szCs w:val="18"/>
        </w:rPr>
        <w:t>See Section 35 U.S.C. 103 available at: https://www.uspto.gov/web/offices/pac/mpep/s2158.html</w:t>
      </w:r>
    </w:p>
  </w:footnote>
  <w:footnote w:id="92">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WIPO/GRTKF/IC/17/INF/12.</w:t>
      </w:r>
    </w:p>
  </w:footnote>
  <w:footnote w:id="93">
    <w:p w:rsidR="006B0488" w:rsidRPr="00AF0544" w:rsidRDefault="006B0488" w:rsidP="006B0488">
      <w:pPr>
        <w:pStyle w:val="FootnoteText"/>
        <w:ind w:left="499" w:hanging="499"/>
        <w:rPr>
          <w:rStyle w:val="FootnoteReference"/>
          <w:bCs/>
          <w:caps/>
          <w:color w:val="000000" w:themeColor="text1"/>
          <w:szCs w:val="18"/>
          <w:vertAlign w:val="baseline"/>
        </w:rPr>
      </w:pPr>
      <w:r w:rsidRPr="00434DB8">
        <w:rPr>
          <w:rStyle w:val="FootnoteReference"/>
          <w:szCs w:val="18"/>
        </w:rPr>
        <w:footnoteRef/>
      </w:r>
      <w:r w:rsidRPr="00434DB8">
        <w:rPr>
          <w:szCs w:val="18"/>
        </w:rPr>
        <w:t xml:space="preserve"> </w:t>
      </w:r>
      <w:r w:rsidRPr="00434DB8">
        <w:rPr>
          <w:bCs/>
          <w:szCs w:val="18"/>
        </w:rPr>
        <w:tab/>
      </w:r>
      <w:r w:rsidRPr="00145313">
        <w:rPr>
          <w:bCs/>
          <w:szCs w:val="18"/>
        </w:rPr>
        <w:t>“</w:t>
      </w:r>
      <w:r w:rsidRPr="00145313">
        <w:rPr>
          <w:rStyle w:val="FootnoteReference"/>
          <w:bCs/>
          <w:szCs w:val="18"/>
          <w:vertAlign w:val="baseline"/>
        </w:rPr>
        <w:t xml:space="preserve">Exceptions and Limits </w:t>
      </w:r>
      <w:r w:rsidRPr="00145313">
        <w:rPr>
          <w:bCs/>
          <w:szCs w:val="18"/>
        </w:rPr>
        <w:t>t</w:t>
      </w:r>
      <w:r w:rsidRPr="00145313">
        <w:rPr>
          <w:rStyle w:val="FootnoteReference"/>
          <w:bCs/>
          <w:szCs w:val="18"/>
          <w:vertAlign w:val="baseline"/>
        </w:rPr>
        <w:t xml:space="preserve">o Copyright </w:t>
      </w:r>
      <w:r w:rsidRPr="00145313">
        <w:rPr>
          <w:bCs/>
          <w:szCs w:val="18"/>
        </w:rPr>
        <w:t>a</w:t>
      </w:r>
      <w:r w:rsidRPr="00145313">
        <w:rPr>
          <w:rStyle w:val="FootnoteReference"/>
          <w:bCs/>
          <w:szCs w:val="18"/>
          <w:vertAlign w:val="baseline"/>
        </w:rPr>
        <w:t>nd Neighboring Rights</w:t>
      </w:r>
      <w:r w:rsidRPr="00145313">
        <w:rPr>
          <w:bCs/>
          <w:szCs w:val="18"/>
        </w:rPr>
        <w:t>,”</w:t>
      </w:r>
      <w:r w:rsidRPr="00145313">
        <w:rPr>
          <w:rStyle w:val="FootnoteReference"/>
          <w:bCs/>
          <w:caps/>
          <w:szCs w:val="18"/>
          <w:vertAlign w:val="baseline"/>
        </w:rPr>
        <w:t xml:space="preserve"> </w:t>
      </w:r>
      <w:r w:rsidRPr="00145313">
        <w:rPr>
          <w:bCs/>
          <w:szCs w:val="18"/>
        </w:rPr>
        <w:t xml:space="preserve">study prepared by Pierre </w:t>
      </w:r>
      <w:proofErr w:type="spellStart"/>
      <w:r w:rsidRPr="00145313">
        <w:rPr>
          <w:bCs/>
          <w:szCs w:val="18"/>
        </w:rPr>
        <w:t>Sirinelli</w:t>
      </w:r>
      <w:proofErr w:type="spellEnd"/>
      <w:r w:rsidRPr="00145313">
        <w:rPr>
          <w:rStyle w:val="FootnoteReference"/>
          <w:bCs/>
          <w:caps/>
          <w:szCs w:val="18"/>
          <w:vertAlign w:val="baseline"/>
        </w:rPr>
        <w:t xml:space="preserve">, </w:t>
      </w:r>
      <w:r w:rsidRPr="00145313">
        <w:rPr>
          <w:bCs/>
          <w:caps/>
          <w:szCs w:val="18"/>
        </w:rPr>
        <w:t xml:space="preserve"> </w:t>
      </w:r>
      <w:r w:rsidRPr="00145313">
        <w:rPr>
          <w:bCs/>
          <w:caps/>
          <w:szCs w:val="18"/>
        </w:rPr>
        <w:br/>
      </w:r>
      <w:r w:rsidRPr="00145313">
        <w:rPr>
          <w:rStyle w:val="FootnoteReference"/>
          <w:bCs/>
          <w:caps/>
          <w:szCs w:val="18"/>
          <w:vertAlign w:val="baseline"/>
        </w:rPr>
        <w:t>WC</w:t>
      </w:r>
      <w:r w:rsidRPr="00145313">
        <w:rPr>
          <w:bCs/>
          <w:caps/>
          <w:szCs w:val="18"/>
        </w:rPr>
        <w:t>T</w:t>
      </w:r>
      <w:r w:rsidRPr="00145313">
        <w:rPr>
          <w:rStyle w:val="FootnoteReference"/>
          <w:bCs/>
          <w:caps/>
          <w:szCs w:val="18"/>
          <w:vertAlign w:val="baseline"/>
        </w:rPr>
        <w:t>-WP</w:t>
      </w:r>
      <w:r w:rsidRPr="00145313">
        <w:rPr>
          <w:bCs/>
          <w:caps/>
          <w:szCs w:val="18"/>
        </w:rPr>
        <w:t>PT</w:t>
      </w:r>
      <w:r w:rsidRPr="00145313">
        <w:rPr>
          <w:rStyle w:val="FootnoteReference"/>
          <w:bCs/>
          <w:caps/>
          <w:szCs w:val="18"/>
          <w:vertAlign w:val="baseline"/>
        </w:rPr>
        <w:t>/IM</w:t>
      </w:r>
      <w:r w:rsidRPr="00145313">
        <w:rPr>
          <w:bCs/>
          <w:caps/>
          <w:szCs w:val="18"/>
        </w:rPr>
        <w:t>P</w:t>
      </w:r>
      <w:r w:rsidRPr="00145313">
        <w:rPr>
          <w:rStyle w:val="FootnoteReference"/>
          <w:bCs/>
          <w:caps/>
          <w:szCs w:val="18"/>
          <w:vertAlign w:val="baseline"/>
        </w:rPr>
        <w:t xml:space="preserve">/1, </w:t>
      </w:r>
      <w:r w:rsidRPr="00145313">
        <w:rPr>
          <w:bCs/>
          <w:szCs w:val="18"/>
        </w:rPr>
        <w:t>p</w:t>
      </w:r>
      <w:r w:rsidRPr="00145313">
        <w:rPr>
          <w:rStyle w:val="FootnoteReference"/>
          <w:bCs/>
          <w:caps/>
          <w:szCs w:val="18"/>
          <w:vertAlign w:val="baseline"/>
        </w:rPr>
        <w:t>.</w:t>
      </w:r>
      <w:r w:rsidRPr="00145313">
        <w:rPr>
          <w:bCs/>
          <w:caps/>
          <w:szCs w:val="18"/>
        </w:rPr>
        <w:t xml:space="preserve"> </w:t>
      </w:r>
      <w:r w:rsidRPr="00145313">
        <w:rPr>
          <w:rStyle w:val="FootnoteReference"/>
          <w:bCs/>
          <w:caps/>
          <w:szCs w:val="18"/>
          <w:vertAlign w:val="baseline"/>
        </w:rPr>
        <w:t>2</w:t>
      </w:r>
      <w:r w:rsidRPr="00145313">
        <w:rPr>
          <w:bCs/>
          <w:caps/>
          <w:szCs w:val="18"/>
        </w:rPr>
        <w:t>.</w:t>
      </w:r>
      <w:r w:rsidRPr="00145313">
        <w:rPr>
          <w:rStyle w:val="FootnoteReference"/>
          <w:bCs/>
          <w:caps/>
          <w:szCs w:val="18"/>
          <w:vertAlign w:val="baseline"/>
        </w:rPr>
        <w:t xml:space="preserve"> </w:t>
      </w:r>
    </w:p>
  </w:footnote>
  <w:footnote w:id="94">
    <w:p w:rsidR="006B0488" w:rsidRPr="00AF0544" w:rsidRDefault="006B0488" w:rsidP="006B0488">
      <w:pPr>
        <w:pStyle w:val="FootnoteText"/>
        <w:ind w:left="499" w:hanging="499"/>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WIPO Copyright and Related Rights</w:t>
      </w:r>
      <w:r w:rsidRPr="00AF0544">
        <w:rPr>
          <w:color w:val="000000" w:themeColor="text1"/>
          <w:szCs w:val="18"/>
        </w:rPr>
        <w:t xml:space="preserve"> website</w:t>
      </w:r>
      <w:r w:rsidRPr="00AF0544">
        <w:rPr>
          <w:rStyle w:val="FootnoteReference"/>
          <w:color w:val="000000" w:themeColor="text1"/>
          <w:szCs w:val="18"/>
          <w:vertAlign w:val="baseline"/>
        </w:rPr>
        <w:t xml:space="preserve">, </w:t>
      </w:r>
      <w:hyperlink r:id="rId7" w:history="1">
        <w:r w:rsidRPr="00AF0544">
          <w:rPr>
            <w:rStyle w:val="Hyperlink"/>
            <w:color w:val="000000" w:themeColor="text1"/>
            <w:szCs w:val="18"/>
            <w:u w:val="none"/>
          </w:rPr>
          <w:t>http://www.wipo.int/copyright/en/limitations/index.html</w:t>
        </w:r>
      </w:hyperlink>
      <w:r w:rsidRPr="00AF0544">
        <w:rPr>
          <w:color w:val="000000" w:themeColor="text1"/>
          <w:szCs w:val="18"/>
        </w:rPr>
        <w:t xml:space="preserve">. </w:t>
      </w:r>
    </w:p>
  </w:footnote>
  <w:footnote w:id="95">
    <w:p w:rsidR="006B0488" w:rsidRPr="00AF0544" w:rsidRDefault="006B0488" w:rsidP="006B0488">
      <w:pPr>
        <w:pStyle w:val="FootnoteText"/>
        <w:ind w:left="500" w:hanging="500"/>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Art.</w:t>
      </w:r>
      <w:r w:rsidRPr="00AF0544">
        <w:rPr>
          <w:color w:val="000000" w:themeColor="text1"/>
          <w:szCs w:val="18"/>
        </w:rPr>
        <w:t xml:space="preserve"> </w:t>
      </w:r>
      <w:r w:rsidRPr="00AF0544">
        <w:rPr>
          <w:rStyle w:val="FootnoteReference"/>
          <w:color w:val="000000" w:themeColor="text1"/>
          <w:szCs w:val="18"/>
          <w:vertAlign w:val="baseline"/>
        </w:rPr>
        <w:t>10(1)</w:t>
      </w:r>
      <w:r w:rsidRPr="00AF0544">
        <w:rPr>
          <w:color w:val="000000" w:themeColor="text1"/>
          <w:szCs w:val="18"/>
        </w:rPr>
        <w:t>.</w:t>
      </w:r>
    </w:p>
  </w:footnote>
  <w:footnote w:id="96">
    <w:p w:rsidR="006B0488" w:rsidRPr="00AF0544" w:rsidRDefault="006B0488" w:rsidP="006B0488">
      <w:pPr>
        <w:pStyle w:val="FootnoteText"/>
        <w:ind w:left="500" w:hanging="500"/>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Art.</w:t>
      </w:r>
      <w:r w:rsidRPr="00AF0544">
        <w:rPr>
          <w:color w:val="000000" w:themeColor="text1"/>
          <w:szCs w:val="18"/>
        </w:rPr>
        <w:t xml:space="preserve"> </w:t>
      </w:r>
      <w:r w:rsidRPr="00AF0544">
        <w:rPr>
          <w:rStyle w:val="FootnoteReference"/>
          <w:color w:val="000000" w:themeColor="text1"/>
          <w:szCs w:val="18"/>
          <w:vertAlign w:val="baseline"/>
        </w:rPr>
        <w:t>9(2)</w:t>
      </w:r>
      <w:r w:rsidRPr="00AF0544">
        <w:rPr>
          <w:color w:val="000000" w:themeColor="text1"/>
          <w:szCs w:val="18"/>
        </w:rPr>
        <w:t>.</w:t>
      </w:r>
    </w:p>
  </w:footnote>
  <w:footnote w:id="97">
    <w:p w:rsidR="006B0488" w:rsidRPr="00AF0544" w:rsidRDefault="006B0488" w:rsidP="006B0488">
      <w:pPr>
        <w:pStyle w:val="FootnoteText"/>
        <w:ind w:left="499" w:hanging="499"/>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WIPO Guide to the Copyright and Related Right Treaties Administered by WIPO and Glossary of Copyright and Related Rights Terms, p.</w:t>
      </w:r>
      <w:r w:rsidRPr="00AF0544">
        <w:rPr>
          <w:color w:val="000000" w:themeColor="text1"/>
          <w:szCs w:val="18"/>
        </w:rPr>
        <w:t xml:space="preserve"> </w:t>
      </w:r>
      <w:r w:rsidRPr="00AF0544">
        <w:rPr>
          <w:rStyle w:val="FootnoteReference"/>
          <w:color w:val="000000" w:themeColor="text1"/>
          <w:szCs w:val="18"/>
          <w:vertAlign w:val="baseline"/>
        </w:rPr>
        <w:t>313</w:t>
      </w:r>
      <w:r w:rsidRPr="00AF0544">
        <w:rPr>
          <w:color w:val="000000" w:themeColor="text1"/>
          <w:szCs w:val="18"/>
        </w:rPr>
        <w:t>.</w:t>
      </w:r>
    </w:p>
  </w:footnote>
  <w:footnote w:id="98">
    <w:p w:rsidR="006B0488" w:rsidRPr="00AF0544" w:rsidRDefault="006B0488" w:rsidP="006B0488">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document WIPO/GRTKF/IC/17/INF/12.</w:t>
      </w:r>
    </w:p>
  </w:footnote>
  <w:footnote w:id="99">
    <w:p w:rsidR="006B0488" w:rsidRPr="00AF0544" w:rsidRDefault="006B0488" w:rsidP="006B0488">
      <w:pPr>
        <w:ind w:left="500" w:hanging="500"/>
        <w:rPr>
          <w:color w:val="000000" w:themeColor="text1"/>
          <w:sz w:val="18"/>
          <w:szCs w:val="18"/>
        </w:rPr>
      </w:pPr>
      <w:r w:rsidRPr="00AF0544">
        <w:rPr>
          <w:rStyle w:val="FootnoteReference"/>
          <w:color w:val="000000" w:themeColor="text1"/>
          <w:sz w:val="18"/>
          <w:szCs w:val="18"/>
        </w:rPr>
        <w:footnoteRef/>
      </w:r>
      <w:r w:rsidRPr="00AF0544">
        <w:rPr>
          <w:color w:val="000000" w:themeColor="text1"/>
          <w:sz w:val="18"/>
          <w:szCs w:val="18"/>
        </w:rPr>
        <w:t xml:space="preserve"> </w:t>
      </w:r>
      <w:r w:rsidRPr="00AF0544">
        <w:rPr>
          <w:color w:val="000000" w:themeColor="text1"/>
          <w:sz w:val="18"/>
          <w:szCs w:val="18"/>
        </w:rPr>
        <w:tab/>
        <w:t xml:space="preserve">Available at:  </w:t>
      </w:r>
      <w:hyperlink r:id="rId8" w:history="1">
        <w:r w:rsidRPr="00AF0544">
          <w:rPr>
            <w:rStyle w:val="Hyperlink"/>
            <w:color w:val="000000" w:themeColor="text1"/>
            <w:sz w:val="18"/>
            <w:szCs w:val="18"/>
            <w:u w:val="none"/>
          </w:rPr>
          <w:t>http://www.wipo.int/tk/en/databases/contracts/index.html</w:t>
        </w:r>
      </w:hyperlink>
      <w:r w:rsidRPr="00AF0544">
        <w:rPr>
          <w:color w:val="000000" w:themeColor="text1"/>
          <w:sz w:val="18"/>
          <w:szCs w:val="18"/>
        </w:rPr>
        <w:t xml:space="preserve">   </w:t>
      </w:r>
    </w:p>
  </w:footnote>
  <w:footnote w:id="100">
    <w:p w:rsidR="006B0488" w:rsidRPr="00AF0544" w:rsidRDefault="006B0488" w:rsidP="006B0488">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9" w:history="1">
        <w:r w:rsidRPr="00AF0544">
          <w:rPr>
            <w:rStyle w:val="Hyperlink"/>
            <w:bCs/>
            <w:color w:val="000000" w:themeColor="text1"/>
            <w:szCs w:val="18"/>
            <w:u w:val="none"/>
          </w:rPr>
          <w:t>http://www.fao.org/3/a-be623e.pdf</w:t>
        </w:r>
      </w:hyperlink>
      <w:r w:rsidRPr="00AF0544">
        <w:rPr>
          <w:bCs/>
          <w:color w:val="000000" w:themeColor="text1"/>
          <w:szCs w:val="18"/>
        </w:rPr>
        <w:t xml:space="preserve"> </w:t>
      </w:r>
    </w:p>
  </w:footnote>
  <w:footnote w:id="101">
    <w:p w:rsidR="006B0488" w:rsidRPr="00AF0544" w:rsidRDefault="006B0488" w:rsidP="006B0488">
      <w:pPr>
        <w:pStyle w:val="FootnoteText"/>
        <w:tabs>
          <w:tab w:val="left" w:pos="1000"/>
        </w:tabs>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10" w:anchor="M" w:history="1">
        <w:r w:rsidRPr="00AF0544">
          <w:rPr>
            <w:rStyle w:val="Hyperlink"/>
            <w:color w:val="000000" w:themeColor="text1"/>
            <w:szCs w:val="18"/>
            <w:u w:val="none"/>
          </w:rPr>
          <w:t>http://www.wipo.int/pct/en/texts/glossary.html#M</w:t>
        </w:r>
      </w:hyperlink>
      <w:r w:rsidRPr="00AF0544">
        <w:rPr>
          <w:color w:val="000000" w:themeColor="text1"/>
          <w:szCs w:val="18"/>
        </w:rPr>
        <w:t xml:space="preserve">   </w:t>
      </w:r>
    </w:p>
  </w:footnote>
  <w:footnote w:id="102">
    <w:p w:rsidR="006B0488" w:rsidRPr="00434DB8" w:rsidRDefault="006B0488" w:rsidP="006B0488">
      <w:pPr>
        <w:pStyle w:val="FootnoteText"/>
        <w:tabs>
          <w:tab w:val="left" w:pos="1000"/>
        </w:tabs>
        <w:ind w:left="500" w:hanging="500"/>
        <w:rPr>
          <w:szCs w:val="18"/>
        </w:rPr>
      </w:pPr>
      <w:r w:rsidRPr="00434DB8">
        <w:rPr>
          <w:rStyle w:val="FootnoteReference"/>
          <w:szCs w:val="18"/>
        </w:rPr>
        <w:footnoteRef/>
      </w:r>
      <w:r w:rsidRPr="00434DB8">
        <w:rPr>
          <w:szCs w:val="18"/>
        </w:rPr>
        <w:t xml:space="preserve"> </w:t>
      </w:r>
      <w:r w:rsidRPr="00434DB8">
        <w:rPr>
          <w:szCs w:val="18"/>
        </w:rPr>
        <w:tab/>
        <w:t>Para IX-2.1, PCT International Search Guidelines (as in force from 18 September 1998).</w:t>
      </w:r>
    </w:p>
  </w:footnote>
  <w:footnote w:id="103">
    <w:p w:rsidR="006B0488" w:rsidRPr="00434DB8" w:rsidRDefault="006B0488" w:rsidP="006B0488">
      <w:pPr>
        <w:pStyle w:val="FootnoteText"/>
        <w:tabs>
          <w:tab w:val="left" w:pos="500"/>
        </w:tabs>
        <w:ind w:left="500" w:hanging="500"/>
        <w:rPr>
          <w:szCs w:val="18"/>
          <w:lang w:val="it-IT"/>
        </w:rPr>
      </w:pPr>
      <w:r w:rsidRPr="00434DB8">
        <w:rPr>
          <w:rStyle w:val="FootnoteReference"/>
          <w:szCs w:val="18"/>
        </w:rPr>
        <w:footnoteRef/>
      </w:r>
      <w:r w:rsidRPr="00434DB8">
        <w:rPr>
          <w:szCs w:val="18"/>
          <w:lang w:val="it-IT"/>
        </w:rPr>
        <w:t xml:space="preserve"> </w:t>
      </w:r>
      <w:r w:rsidRPr="00434DB8">
        <w:rPr>
          <w:szCs w:val="18"/>
          <w:lang w:val="it-IT"/>
        </w:rPr>
        <w:tab/>
        <w:t>PCT Minimum Documentation, document PCT/MIA/9/4.</w:t>
      </w:r>
    </w:p>
  </w:footnote>
  <w:footnote w:id="104">
    <w:p w:rsidR="006B0488" w:rsidRPr="00145313" w:rsidRDefault="006B0488" w:rsidP="006B0488">
      <w:pPr>
        <w:pStyle w:val="FootnoteText"/>
        <w:tabs>
          <w:tab w:val="left" w:pos="500"/>
        </w:tabs>
        <w:ind w:left="499" w:hanging="499"/>
        <w:rPr>
          <w:rStyle w:val="FootnoteReference"/>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Francesco Capotorti, Former Special Rapporteur of the United Nations, 1979, cited by Di</w:t>
      </w:r>
      <w:r w:rsidRPr="00145313">
        <w:rPr>
          <w:szCs w:val="18"/>
          <w:lang w:val="it-IT"/>
        </w:rPr>
        <w:t>e</w:t>
      </w:r>
      <w:r w:rsidRPr="00145313">
        <w:rPr>
          <w:rStyle w:val="FootnoteReference"/>
          <w:szCs w:val="18"/>
          <w:vertAlign w:val="baseline"/>
          <w:lang w:val="it-IT"/>
        </w:rPr>
        <w:t xml:space="preserve">ter Kugelmann, </w:t>
      </w:r>
      <w:r w:rsidRPr="00145313">
        <w:rPr>
          <w:szCs w:val="18"/>
          <w:lang w:val="it-IT"/>
        </w:rPr>
        <w:br/>
      </w:r>
      <w:r w:rsidRPr="00145313">
        <w:rPr>
          <w:rStyle w:val="FootnoteReference"/>
          <w:iCs/>
          <w:szCs w:val="18"/>
          <w:vertAlign w:val="baseline"/>
          <w:lang w:val="it-IT"/>
        </w:rPr>
        <w:t>The Protection of Minorities and Indigenous Peoples Respective Cultural Diversity,</w:t>
      </w:r>
      <w:r w:rsidRPr="00145313">
        <w:rPr>
          <w:rStyle w:val="FootnoteReference"/>
          <w:szCs w:val="18"/>
          <w:vertAlign w:val="baseline"/>
          <w:lang w:val="it-IT"/>
        </w:rPr>
        <w:t xml:space="preserve"> A. Von Bogdandy and </w:t>
      </w:r>
      <w:r w:rsidRPr="00145313">
        <w:rPr>
          <w:szCs w:val="18"/>
          <w:lang w:val="it-IT"/>
        </w:rPr>
        <w:br/>
      </w:r>
      <w:r w:rsidRPr="00145313">
        <w:rPr>
          <w:rStyle w:val="FootnoteReference"/>
          <w:szCs w:val="18"/>
          <w:vertAlign w:val="baseline"/>
          <w:lang w:val="it-IT"/>
        </w:rPr>
        <w:t xml:space="preserve">R. Wolffrum, (eds), Max Planck Year Book of United Nations Law, Vol. 11, 2007, p. </w:t>
      </w:r>
      <w:r w:rsidRPr="00145313">
        <w:rPr>
          <w:szCs w:val="18"/>
          <w:lang w:val="it-IT"/>
        </w:rPr>
        <w:t>2</w:t>
      </w:r>
      <w:r w:rsidRPr="00145313">
        <w:rPr>
          <w:rStyle w:val="FootnoteReference"/>
          <w:szCs w:val="18"/>
          <w:vertAlign w:val="baseline"/>
          <w:lang w:val="it-IT"/>
        </w:rPr>
        <w:t>37</w:t>
      </w:r>
      <w:r w:rsidRPr="00145313">
        <w:rPr>
          <w:szCs w:val="18"/>
          <w:lang w:val="it-IT"/>
        </w:rPr>
        <w:t>.</w:t>
      </w:r>
    </w:p>
  </w:footnote>
  <w:footnote w:id="105">
    <w:p w:rsidR="006B0488" w:rsidRPr="00145313" w:rsidRDefault="006B0488" w:rsidP="006B0488">
      <w:pPr>
        <w:pStyle w:val="FootnoteText"/>
        <w:tabs>
          <w:tab w:val="left" w:pos="540"/>
        </w:tabs>
        <w:ind w:left="499" w:hanging="499"/>
        <w:rPr>
          <w:rStyle w:val="FootnoteReference"/>
          <w:szCs w:val="18"/>
          <w:vertAlign w:val="baseline"/>
          <w:lang w:val="it-IT"/>
        </w:rPr>
      </w:pPr>
      <w:r w:rsidRPr="00434DB8">
        <w:rPr>
          <w:rStyle w:val="FootnoteReference"/>
          <w:szCs w:val="18"/>
        </w:rPr>
        <w:footnoteRef/>
      </w:r>
      <w:r w:rsidRPr="00434DB8">
        <w:rPr>
          <w:szCs w:val="18"/>
          <w:lang w:val="it-IT"/>
        </w:rPr>
        <w:t xml:space="preserve"> </w:t>
      </w:r>
      <w:r w:rsidRPr="00434DB8">
        <w:rPr>
          <w:szCs w:val="18"/>
          <w:lang w:val="it-IT"/>
        </w:rPr>
        <w:tab/>
      </w:r>
      <w:r w:rsidRPr="00145313">
        <w:rPr>
          <w:rStyle w:val="FootnoteReference"/>
          <w:szCs w:val="18"/>
          <w:vertAlign w:val="baseline"/>
          <w:lang w:val="it-IT"/>
        </w:rPr>
        <w:t>Art.2 (1) Declaration on the Rights of Persons belonging to National or Ethnic, Religious and Linguistic Minorities</w:t>
      </w:r>
      <w:r w:rsidRPr="00145313">
        <w:rPr>
          <w:szCs w:val="18"/>
          <w:lang w:val="it-IT"/>
        </w:rPr>
        <w:t>, a</w:t>
      </w:r>
      <w:r w:rsidRPr="00145313">
        <w:rPr>
          <w:rStyle w:val="FootnoteReference"/>
          <w:szCs w:val="18"/>
          <w:vertAlign w:val="baseline"/>
          <w:lang w:val="it-IT"/>
        </w:rPr>
        <w:t xml:space="preserve">dopted by General Assembly </w:t>
      </w:r>
      <w:r w:rsidRPr="00145313">
        <w:rPr>
          <w:szCs w:val="18"/>
          <w:lang w:val="it-IT"/>
        </w:rPr>
        <w:t>R</w:t>
      </w:r>
      <w:r w:rsidRPr="00145313">
        <w:rPr>
          <w:rStyle w:val="FootnoteReference"/>
          <w:szCs w:val="18"/>
          <w:vertAlign w:val="baseline"/>
          <w:lang w:val="it-IT"/>
        </w:rPr>
        <w:t>esolution 47/135 of December 1992.</w:t>
      </w:r>
    </w:p>
  </w:footnote>
  <w:footnote w:id="106">
    <w:p w:rsidR="006B0488" w:rsidRPr="00434DB8" w:rsidRDefault="006B0488" w:rsidP="006B0488">
      <w:pPr>
        <w:pStyle w:val="FootnoteText"/>
        <w:tabs>
          <w:tab w:val="left" w:pos="500"/>
        </w:tabs>
        <w:ind w:left="499" w:hanging="499"/>
        <w:rPr>
          <w:rStyle w:val="FootnoteReference"/>
          <w:szCs w:val="18"/>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Declaration on the Rights of Persons belonging to National or Ethnic, Religious and Linguistic Minorities</w:t>
      </w:r>
      <w:r w:rsidRPr="00145313">
        <w:rPr>
          <w:szCs w:val="18"/>
          <w:lang w:val="it-IT"/>
        </w:rPr>
        <w:t xml:space="preserve">, </w:t>
      </w:r>
      <w:r w:rsidRPr="00145313">
        <w:rPr>
          <w:rStyle w:val="FootnoteReference"/>
          <w:szCs w:val="18"/>
          <w:vertAlign w:val="baseline"/>
          <w:lang w:val="it-IT"/>
        </w:rPr>
        <w:t>Art.1(1)</w:t>
      </w:r>
      <w:r w:rsidRPr="00145313">
        <w:rPr>
          <w:szCs w:val="18"/>
          <w:lang w:val="it-IT"/>
        </w:rPr>
        <w:t>.</w:t>
      </w:r>
    </w:p>
  </w:footnote>
  <w:footnote w:id="107">
    <w:p w:rsidR="006B0488" w:rsidRPr="00145313" w:rsidRDefault="006B0488" w:rsidP="006B0488">
      <w:pPr>
        <w:pStyle w:val="FootnoteText"/>
        <w:tabs>
          <w:tab w:val="left" w:pos="500"/>
        </w:tabs>
        <w:ind w:left="499" w:hanging="499"/>
        <w:rPr>
          <w:rStyle w:val="FootnoteReference"/>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Art.</w:t>
      </w:r>
      <w:r w:rsidRPr="00145313">
        <w:rPr>
          <w:szCs w:val="18"/>
          <w:lang w:val="it-IT"/>
        </w:rPr>
        <w:t xml:space="preserve"> </w:t>
      </w:r>
      <w:r w:rsidRPr="00145313">
        <w:rPr>
          <w:rStyle w:val="FootnoteReference"/>
          <w:szCs w:val="18"/>
          <w:vertAlign w:val="baseline"/>
          <w:lang w:val="it-IT"/>
        </w:rPr>
        <w:t xml:space="preserve">27 </w:t>
      </w:r>
      <w:r w:rsidRPr="00145313">
        <w:rPr>
          <w:rStyle w:val="FootnoteReference"/>
          <w:i/>
          <w:szCs w:val="18"/>
          <w:vertAlign w:val="baseline"/>
          <w:lang w:val="it-IT"/>
        </w:rPr>
        <w:t>International Covenant on Civil and Political Rights</w:t>
      </w:r>
      <w:r w:rsidRPr="00145313">
        <w:rPr>
          <w:szCs w:val="18"/>
          <w:lang w:val="it-IT"/>
        </w:rPr>
        <w:t>, a</w:t>
      </w:r>
      <w:r w:rsidRPr="00145313">
        <w:rPr>
          <w:rStyle w:val="FootnoteReference"/>
          <w:szCs w:val="18"/>
          <w:vertAlign w:val="baseline"/>
          <w:lang w:val="it-IT"/>
        </w:rPr>
        <w:t>dopted and opened for signature, ratification and accession by General Assembly resolution 2200A (XXI) of 16 December 1966</w:t>
      </w:r>
      <w:r w:rsidRPr="00145313">
        <w:rPr>
          <w:szCs w:val="18"/>
          <w:lang w:val="it-IT"/>
        </w:rPr>
        <w:t>,</w:t>
      </w:r>
      <w:r w:rsidRPr="00145313">
        <w:rPr>
          <w:rStyle w:val="FootnoteReference"/>
          <w:szCs w:val="18"/>
          <w:vertAlign w:val="baseline"/>
          <w:lang w:val="it-IT"/>
        </w:rPr>
        <w:t xml:space="preserve"> entered into force </w:t>
      </w:r>
      <w:r w:rsidRPr="00145313">
        <w:rPr>
          <w:szCs w:val="18"/>
          <w:lang w:val="it-IT"/>
        </w:rPr>
        <w:br/>
      </w:r>
      <w:r w:rsidRPr="00145313">
        <w:rPr>
          <w:rStyle w:val="FootnoteReference"/>
          <w:szCs w:val="18"/>
          <w:vertAlign w:val="baseline"/>
          <w:lang w:val="it-IT"/>
        </w:rPr>
        <w:t xml:space="preserve">23 March 1976. </w:t>
      </w:r>
    </w:p>
  </w:footnote>
  <w:footnote w:id="108">
    <w:p w:rsidR="006B0488" w:rsidRPr="00434DB8" w:rsidRDefault="006B0488" w:rsidP="006B0488">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“A Legal Framework for the Protection of Traditional Knowledge in Sri Lanka,” Working Document-Version 01- January 2009.  </w:t>
      </w:r>
    </w:p>
  </w:footnote>
  <w:footnote w:id="109">
    <w:p w:rsidR="006B0488" w:rsidRPr="00434DB8" w:rsidRDefault="006B0488" w:rsidP="006B0488">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was used in the context of the Convention on Biological Diversity within the draft negotiating text for an international regime on access and benefit sharing of genetic resources and associated traditional knowledge.  It was used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6B0488" w:rsidRPr="00AF0544" w:rsidRDefault="006B0488" w:rsidP="006B0488">
      <w:pPr>
        <w:pStyle w:val="FootnoteText"/>
        <w:ind w:left="550" w:hanging="550"/>
        <w:rPr>
          <w:szCs w:val="18"/>
          <w:lang w:val="es-US"/>
        </w:rPr>
      </w:pPr>
      <w:r w:rsidRPr="00434DB8">
        <w:rPr>
          <w:rStyle w:val="FootnoteReference"/>
          <w:szCs w:val="18"/>
        </w:rPr>
        <w:footnoteRef/>
      </w:r>
      <w:r w:rsidRPr="00AF0544">
        <w:rPr>
          <w:szCs w:val="18"/>
          <w:lang w:val="es-US"/>
        </w:rPr>
        <w:t xml:space="preserve"> </w:t>
      </w:r>
      <w:r w:rsidRPr="00AF0544">
        <w:rPr>
          <w:szCs w:val="18"/>
          <w:lang w:val="es-US"/>
        </w:rPr>
        <w:tab/>
      </w:r>
      <w:proofErr w:type="spellStart"/>
      <w:r w:rsidRPr="00AF0544">
        <w:rPr>
          <w:szCs w:val="18"/>
          <w:lang w:val="es-US"/>
        </w:rPr>
        <w:t>See</w:t>
      </w:r>
      <w:proofErr w:type="spellEnd"/>
      <w:r w:rsidRPr="00AF0544">
        <w:rPr>
          <w:szCs w:val="18"/>
          <w:lang w:val="es-US"/>
        </w:rPr>
        <w:t xml:space="preserve"> </w:t>
      </w:r>
      <w:proofErr w:type="spellStart"/>
      <w:r w:rsidRPr="00AF0544">
        <w:rPr>
          <w:szCs w:val="18"/>
          <w:lang w:val="es-US"/>
        </w:rPr>
        <w:t>document</w:t>
      </w:r>
      <w:proofErr w:type="spellEnd"/>
      <w:r w:rsidRPr="00AF0544">
        <w:rPr>
          <w:szCs w:val="18"/>
          <w:lang w:val="es-US"/>
        </w:rPr>
        <w:t xml:space="preserve"> UNEP/CBD/COP/4/22, para. 32</w:t>
      </w:r>
    </w:p>
  </w:footnote>
  <w:footnote w:id="111">
    <w:p w:rsidR="006B0488" w:rsidRPr="00AF0544" w:rsidRDefault="006B0488" w:rsidP="006B0488">
      <w:pPr>
        <w:pStyle w:val="FootnoteText"/>
        <w:ind w:left="500" w:hanging="500"/>
        <w:rPr>
          <w:rStyle w:val="FootnoteReference"/>
          <w:szCs w:val="18"/>
          <w:vertAlign w:val="baseline"/>
          <w:lang w:val="es-US"/>
        </w:rPr>
      </w:pPr>
      <w:r w:rsidRPr="00434DB8">
        <w:rPr>
          <w:rStyle w:val="FootnoteReference"/>
          <w:szCs w:val="18"/>
        </w:rPr>
        <w:footnoteRef/>
      </w:r>
      <w:r w:rsidRPr="00AF0544">
        <w:rPr>
          <w:szCs w:val="18"/>
          <w:lang w:val="es-US"/>
        </w:rPr>
        <w:t xml:space="preserve"> </w:t>
      </w:r>
      <w:r w:rsidRPr="00AF0544">
        <w:rPr>
          <w:szCs w:val="18"/>
          <w:lang w:val="es-US"/>
        </w:rPr>
        <w:tab/>
      </w:r>
      <w:r w:rsidRPr="00AF0544">
        <w:rPr>
          <w:rStyle w:val="FootnoteReference"/>
          <w:szCs w:val="18"/>
          <w:vertAlign w:val="baseline"/>
          <w:lang w:val="es-US"/>
        </w:rPr>
        <w:t xml:space="preserve">Daniel </w:t>
      </w:r>
      <w:proofErr w:type="spellStart"/>
      <w:r w:rsidRPr="00AF0544">
        <w:rPr>
          <w:rStyle w:val="FootnoteReference"/>
          <w:szCs w:val="18"/>
          <w:vertAlign w:val="baseline"/>
          <w:lang w:val="es-US"/>
        </w:rPr>
        <w:t>Gervais</w:t>
      </w:r>
      <w:proofErr w:type="spellEnd"/>
      <w:r w:rsidRPr="00AF0544">
        <w:rPr>
          <w:rStyle w:val="FootnoteReference"/>
          <w:szCs w:val="18"/>
          <w:vertAlign w:val="baseline"/>
          <w:lang w:val="es-US"/>
        </w:rPr>
        <w:t xml:space="preserve">, </w:t>
      </w:r>
      <w:proofErr w:type="spellStart"/>
      <w:r w:rsidRPr="00AF0544">
        <w:rPr>
          <w:rStyle w:val="FootnoteReference"/>
          <w:szCs w:val="18"/>
          <w:vertAlign w:val="baseline"/>
          <w:lang w:val="es-US"/>
        </w:rPr>
        <w:t>The</w:t>
      </w:r>
      <w:proofErr w:type="spellEnd"/>
      <w:r w:rsidRPr="00AF0544">
        <w:rPr>
          <w:rStyle w:val="FootnoteReference"/>
          <w:szCs w:val="18"/>
          <w:vertAlign w:val="baseline"/>
          <w:lang w:val="es-US"/>
        </w:rPr>
        <w:t xml:space="preserve"> TRIPS </w:t>
      </w:r>
      <w:proofErr w:type="spellStart"/>
      <w:r w:rsidRPr="00AF0544">
        <w:rPr>
          <w:rStyle w:val="FootnoteReference"/>
          <w:szCs w:val="18"/>
          <w:vertAlign w:val="baseline"/>
          <w:lang w:val="es-US"/>
        </w:rPr>
        <w:t>Agreement</w:t>
      </w:r>
      <w:proofErr w:type="spellEnd"/>
      <w:r w:rsidRPr="00AF0544">
        <w:rPr>
          <w:rStyle w:val="FootnoteReference"/>
          <w:szCs w:val="18"/>
          <w:vertAlign w:val="baseline"/>
          <w:lang w:val="es-US"/>
        </w:rPr>
        <w:t xml:space="preserve">. </w:t>
      </w:r>
      <w:proofErr w:type="spellStart"/>
      <w:r w:rsidRPr="00AF0544">
        <w:rPr>
          <w:rStyle w:val="FootnoteReference"/>
          <w:szCs w:val="18"/>
          <w:vertAlign w:val="baseline"/>
          <w:lang w:val="es-US"/>
        </w:rPr>
        <w:t>Drafting</w:t>
      </w:r>
      <w:proofErr w:type="spellEnd"/>
      <w:r w:rsidRPr="00AF0544">
        <w:rPr>
          <w:rStyle w:val="FootnoteReference"/>
          <w:szCs w:val="18"/>
          <w:vertAlign w:val="baseline"/>
          <w:lang w:val="es-US"/>
        </w:rPr>
        <w:t xml:space="preserve"> and </w:t>
      </w:r>
      <w:proofErr w:type="spellStart"/>
      <w:r w:rsidRPr="00AF0544">
        <w:rPr>
          <w:rStyle w:val="FootnoteReference"/>
          <w:szCs w:val="18"/>
          <w:vertAlign w:val="baseline"/>
          <w:lang w:val="es-US"/>
        </w:rPr>
        <w:t>Analysis</w:t>
      </w:r>
      <w:proofErr w:type="spellEnd"/>
      <w:r w:rsidRPr="00AF0544">
        <w:rPr>
          <w:rStyle w:val="FootnoteReference"/>
          <w:szCs w:val="18"/>
          <w:vertAlign w:val="baseline"/>
          <w:lang w:val="es-US"/>
        </w:rPr>
        <w:t xml:space="preserve">, 3rd </w:t>
      </w:r>
      <w:proofErr w:type="spellStart"/>
      <w:r w:rsidRPr="00AF0544">
        <w:rPr>
          <w:rStyle w:val="FootnoteReference"/>
          <w:szCs w:val="18"/>
          <w:vertAlign w:val="baseline"/>
          <w:lang w:val="es-US"/>
        </w:rPr>
        <w:t>Edition</w:t>
      </w:r>
      <w:proofErr w:type="spellEnd"/>
      <w:r w:rsidRPr="00AF0544">
        <w:rPr>
          <w:szCs w:val="18"/>
          <w:lang w:val="es-US"/>
        </w:rPr>
        <w:t xml:space="preserve">, </w:t>
      </w:r>
      <w:proofErr w:type="spellStart"/>
      <w:r w:rsidRPr="00AF0544">
        <w:rPr>
          <w:rStyle w:val="FootnoteReference"/>
          <w:szCs w:val="18"/>
          <w:vertAlign w:val="baseline"/>
          <w:lang w:val="es-US"/>
        </w:rPr>
        <w:t>Sweet</w:t>
      </w:r>
      <w:proofErr w:type="spellEnd"/>
      <w:r w:rsidRPr="00AF0544">
        <w:rPr>
          <w:szCs w:val="18"/>
          <w:lang w:val="es-US"/>
        </w:rPr>
        <w:t xml:space="preserve"> </w:t>
      </w:r>
      <w:r w:rsidRPr="00AF0544">
        <w:rPr>
          <w:rStyle w:val="FootnoteReference"/>
          <w:szCs w:val="18"/>
          <w:vertAlign w:val="baseline"/>
          <w:lang w:val="es-US"/>
        </w:rPr>
        <w:t>&amp;</w:t>
      </w:r>
      <w:r w:rsidRPr="00AF0544">
        <w:rPr>
          <w:szCs w:val="18"/>
          <w:lang w:val="es-US"/>
        </w:rPr>
        <w:t xml:space="preserve"> </w:t>
      </w:r>
      <w:r w:rsidRPr="00AF0544">
        <w:rPr>
          <w:rStyle w:val="FootnoteReference"/>
          <w:szCs w:val="18"/>
          <w:vertAlign w:val="baseline"/>
          <w:lang w:val="es-US"/>
        </w:rPr>
        <w:t>Maxwell, p. 161</w:t>
      </w:r>
      <w:r w:rsidRPr="00AF0544">
        <w:rPr>
          <w:szCs w:val="18"/>
          <w:lang w:val="es-US"/>
        </w:rPr>
        <w:t>.</w:t>
      </w:r>
    </w:p>
  </w:footnote>
  <w:footnote w:id="112">
    <w:p w:rsidR="006B0488" w:rsidRPr="00AF0544" w:rsidRDefault="006B0488" w:rsidP="006B0488">
      <w:pPr>
        <w:pStyle w:val="FootnoteText"/>
        <w:ind w:left="499" w:hanging="499"/>
        <w:rPr>
          <w:rStyle w:val="FootnoteReference"/>
          <w:color w:val="000000" w:themeColor="text1"/>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Di</w:t>
      </w:r>
      <w:r w:rsidRPr="00145313">
        <w:rPr>
          <w:szCs w:val="18"/>
          <w:lang w:val="it-IT"/>
        </w:rPr>
        <w:t>e</w:t>
      </w:r>
      <w:r w:rsidRPr="00145313">
        <w:rPr>
          <w:rStyle w:val="FootnoteReference"/>
          <w:szCs w:val="18"/>
          <w:vertAlign w:val="baseline"/>
          <w:lang w:val="it-IT"/>
        </w:rPr>
        <w:t xml:space="preserve">ter Kugelmann, The Protection of Minorities and Indigenous Peoples Respective Cultural Diversity, A. Von Bogdandy and R. Wolffrum, (eds), Max </w:t>
      </w:r>
      <w:r w:rsidRPr="00AF0544">
        <w:rPr>
          <w:rStyle w:val="FootnoteReference"/>
          <w:color w:val="000000" w:themeColor="text1"/>
          <w:szCs w:val="18"/>
          <w:vertAlign w:val="baseline"/>
          <w:lang w:val="it-IT"/>
        </w:rPr>
        <w:t>Planck Year Book of United Nations Law, Vol. 11, 2007, p.</w:t>
      </w:r>
      <w:r w:rsidRPr="00AF0544">
        <w:rPr>
          <w:color w:val="000000" w:themeColor="text1"/>
          <w:szCs w:val="18"/>
          <w:lang w:val="it-IT"/>
        </w:rPr>
        <w:t xml:space="preserve"> </w:t>
      </w:r>
      <w:r w:rsidRPr="00AF0544">
        <w:rPr>
          <w:rStyle w:val="FootnoteReference"/>
          <w:color w:val="000000" w:themeColor="text1"/>
          <w:szCs w:val="18"/>
          <w:vertAlign w:val="baseline"/>
          <w:lang w:val="it-IT"/>
        </w:rPr>
        <w:t>235</w:t>
      </w:r>
      <w:r w:rsidRPr="00AF0544">
        <w:rPr>
          <w:color w:val="000000" w:themeColor="text1"/>
          <w:szCs w:val="18"/>
          <w:lang w:val="it-IT"/>
        </w:rPr>
        <w:t>.</w:t>
      </w:r>
    </w:p>
  </w:footnote>
  <w:footnote w:id="113">
    <w:p w:rsidR="006B0488" w:rsidRPr="00AF0544" w:rsidRDefault="006B0488" w:rsidP="006B0488">
      <w:pPr>
        <w:pStyle w:val="FootnoteText"/>
        <w:ind w:left="499" w:hanging="499"/>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Glossary on Intangible Cultural Heritage, Netherlands National Commission for UNESCO, 2002 (“. . . A nation can be a cultural community”), as quoted in “The Protection of Traditional Cultural Expressions/Expressions of Folklore: Revised Objectives and Principles”, WIPO/GRTKF/IC/17/4. </w:t>
      </w:r>
    </w:p>
  </w:footnote>
  <w:footnote w:id="114">
    <w:p w:rsidR="006B0488" w:rsidRPr="00AF0544" w:rsidRDefault="006B0488" w:rsidP="006B0488">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WIPO Intellectual Property Handbook, WIPO Publication No. 489 (E), 2008, p. 19.</w:t>
      </w:r>
    </w:p>
  </w:footnote>
  <w:footnote w:id="115">
    <w:p w:rsidR="006B0488" w:rsidRPr="00434DB8" w:rsidRDefault="006B0488" w:rsidP="006B0488">
      <w:pPr>
        <w:pStyle w:val="FootnoteText"/>
        <w:ind w:left="540" w:hanging="540"/>
        <w:rPr>
          <w:rFonts w:eastAsia="Times New Roman"/>
          <w:color w:val="333333"/>
          <w:szCs w:val="18"/>
          <w:lang w:val="en" w:eastAsia="en-US"/>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Section 35 U.S.C. 102, available at: </w:t>
      </w:r>
      <w:hyperlink r:id="rId11" w:anchor="al_d1fbe1_19797_b0" w:history="1">
        <w:r w:rsidRPr="00AF0544">
          <w:rPr>
            <w:rStyle w:val="Hyperlink"/>
            <w:color w:val="000000" w:themeColor="text1"/>
            <w:szCs w:val="18"/>
            <w:u w:val="none"/>
          </w:rPr>
          <w:t>https://www.uspto.gov/web/offices/pac/mpep/mpep-9015-appx-l.html#al_d1fbe1_19797_b0</w:t>
        </w:r>
      </w:hyperlink>
      <w:r w:rsidRPr="00AF0544">
        <w:rPr>
          <w:color w:val="000000" w:themeColor="text1"/>
          <w:szCs w:val="18"/>
        </w:rPr>
        <w:t>.  It is referred to Section 35 U.S.C. 151 – Issue of patent, which is available at: https://www.gpo.gov/fdsys/pkg/USCODE-2011-title35/pdf/USCODE-2011-title35-partII-chap14-sec151</w:t>
      </w:r>
      <w:r w:rsidRPr="00434DB8">
        <w:rPr>
          <w:szCs w:val="18"/>
        </w:rPr>
        <w:t xml:space="preserve">.pdf and to </w:t>
      </w:r>
      <w:r w:rsidRPr="00434DB8">
        <w:rPr>
          <w:rFonts w:eastAsia="Times New Roman"/>
          <w:szCs w:val="18"/>
          <w:lang w:val="en" w:eastAsia="en-US"/>
        </w:rPr>
        <w:t xml:space="preserve">Section 35 U.S.C. 122(b) – Confidential status of applications; publication of patent applications, which is available at: https://www.gpo.gov/fdsys/pkg/USCODE-2011-title35/pdf/USCODE-2011-title35-partII-chap11-sec122.pdf. </w:t>
      </w:r>
    </w:p>
  </w:footnote>
  <w:footnote w:id="116">
    <w:p w:rsidR="006B0488" w:rsidRPr="00434DB8" w:rsidRDefault="006B0488" w:rsidP="006B0488">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WIPO PATENTSCOPE Glossary.</w:t>
      </w:r>
    </w:p>
  </w:footnote>
  <w:footnote w:id="117">
    <w:p w:rsidR="006B0488" w:rsidRPr="00434DB8" w:rsidRDefault="006B0488" w:rsidP="006B0488">
      <w:pPr>
        <w:pStyle w:val="FootnoteText"/>
        <w:ind w:left="550" w:hanging="551"/>
        <w:rPr>
          <w:szCs w:val="18"/>
        </w:rPr>
      </w:pPr>
      <w:r w:rsidRPr="00434DB8">
        <w:rPr>
          <w:rStyle w:val="FootnoteReference"/>
          <w:szCs w:val="18"/>
        </w:rPr>
        <w:footnoteRef/>
      </w:r>
      <w:r w:rsidRPr="00434DB8">
        <w:rPr>
          <w:szCs w:val="18"/>
        </w:rPr>
        <w:t xml:space="preserve"> </w:t>
      </w:r>
      <w:r w:rsidRPr="00434DB8">
        <w:rPr>
          <w:szCs w:val="18"/>
        </w:rPr>
        <w:tab/>
        <w:t xml:space="preserve">Overview of Activities and Outcomes of the Intergovernmental Committee (WIPO/GRTKF/IC/5/12), </w:t>
      </w:r>
    </w:p>
    <w:p w:rsidR="006B0488" w:rsidRPr="00434DB8" w:rsidRDefault="006B0488" w:rsidP="006B0488">
      <w:pPr>
        <w:pStyle w:val="FootnoteText"/>
        <w:ind w:left="550"/>
        <w:rPr>
          <w:szCs w:val="18"/>
        </w:rPr>
      </w:pPr>
      <w:r w:rsidRPr="00434DB8">
        <w:rPr>
          <w:szCs w:val="18"/>
        </w:rPr>
        <w:t>para. 37.</w:t>
      </w:r>
    </w:p>
  </w:footnote>
  <w:footnote w:id="118">
    <w:p w:rsidR="006B0488" w:rsidRPr="00434DB8" w:rsidRDefault="006B0488" w:rsidP="006B0488">
      <w:pPr>
        <w:pStyle w:val="FootnoteText"/>
        <w:ind w:left="550" w:hanging="551"/>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 xml:space="preserve">The Protection of Traditional Knowledge: Draft Gap Analysis: Revision, </w:t>
      </w:r>
      <w:r w:rsidRPr="00434DB8">
        <w:rPr>
          <w:rStyle w:val="FootnoteReference"/>
          <w:szCs w:val="18"/>
        </w:rPr>
        <w:t>WIPO/GRTKF/IC/13/5(b) Rev. Annex I, p</w:t>
      </w:r>
      <w:r w:rsidRPr="00434DB8">
        <w:rPr>
          <w:szCs w:val="18"/>
        </w:rPr>
        <w:t>.</w:t>
      </w:r>
      <w:r w:rsidRPr="00434DB8">
        <w:rPr>
          <w:rStyle w:val="FootnoteReference"/>
          <w:szCs w:val="18"/>
        </w:rPr>
        <w:t xml:space="preserve"> 6</w:t>
      </w:r>
      <w:r w:rsidRPr="00434DB8">
        <w:rPr>
          <w:szCs w:val="18"/>
        </w:rPr>
        <w:t>.</w:t>
      </w:r>
    </w:p>
  </w:footnote>
  <w:footnote w:id="119">
    <w:p w:rsidR="006B0488" w:rsidRPr="00145313" w:rsidRDefault="006B0488" w:rsidP="006B0488">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Art.32(2)</w:t>
      </w:r>
      <w:r w:rsidRPr="00145313">
        <w:rPr>
          <w:szCs w:val="18"/>
        </w:rPr>
        <w:t>,</w:t>
      </w:r>
      <w:r w:rsidRPr="00145313">
        <w:rPr>
          <w:rStyle w:val="FootnoteReference"/>
          <w:szCs w:val="18"/>
          <w:vertAlign w:val="baseline"/>
        </w:rPr>
        <w:t xml:space="preserve"> United Nations Declaration on the Rights of Indigenous Peoples; </w:t>
      </w:r>
      <w:r w:rsidRPr="00145313">
        <w:rPr>
          <w:rStyle w:val="FootnoteReference"/>
          <w:i/>
          <w:szCs w:val="18"/>
          <w:vertAlign w:val="baseline"/>
        </w:rPr>
        <w:t>See also</w:t>
      </w:r>
      <w:r w:rsidRPr="00145313">
        <w:rPr>
          <w:rStyle w:val="FootnoteReference"/>
          <w:szCs w:val="18"/>
          <w:vertAlign w:val="baseline"/>
        </w:rPr>
        <w:t xml:space="preserve"> United Nations Development  Group, Guidelines Related to Indigenous Peoples. </w:t>
      </w:r>
    </w:p>
  </w:footnote>
  <w:footnote w:id="120">
    <w:p w:rsidR="006B0488" w:rsidRPr="00145313" w:rsidRDefault="006B0488" w:rsidP="006B0488">
      <w:pPr>
        <w:pStyle w:val="FootnoteText"/>
        <w:ind w:left="499" w:hanging="499"/>
        <w:rPr>
          <w:rStyle w:val="FootnoteReference"/>
          <w:szCs w:val="18"/>
          <w:vertAlign w:val="baseline"/>
        </w:rPr>
      </w:pPr>
      <w:r w:rsidRPr="00434DB8">
        <w:rPr>
          <w:rStyle w:val="FootnoteReference"/>
          <w:szCs w:val="18"/>
          <w:lang w:val="en"/>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Stephen Allen and Alexandra </w:t>
      </w:r>
      <w:proofErr w:type="spellStart"/>
      <w:r w:rsidRPr="00145313">
        <w:rPr>
          <w:rStyle w:val="FootnoteReference"/>
          <w:szCs w:val="18"/>
          <w:vertAlign w:val="baseline"/>
        </w:rPr>
        <w:t>Xanthaki</w:t>
      </w:r>
      <w:proofErr w:type="spellEnd"/>
      <w:r w:rsidRPr="00145313">
        <w:rPr>
          <w:rStyle w:val="FootnoteReference"/>
          <w:szCs w:val="18"/>
          <w:vertAlign w:val="baseline"/>
        </w:rPr>
        <w:t xml:space="preserve">, </w:t>
      </w:r>
      <w:r w:rsidRPr="00145313">
        <w:rPr>
          <w:szCs w:val="18"/>
        </w:rPr>
        <w:t>“</w:t>
      </w:r>
      <w:r w:rsidRPr="00145313">
        <w:rPr>
          <w:rStyle w:val="FootnoteReference"/>
          <w:szCs w:val="18"/>
          <w:vertAlign w:val="baseline"/>
        </w:rPr>
        <w:t>Reflections on the UN Declaration on the Rights of Indigenous Peoples</w:t>
      </w:r>
      <w:r w:rsidRPr="00145313">
        <w:rPr>
          <w:szCs w:val="18"/>
        </w:rPr>
        <w:t xml:space="preserve">”, </w:t>
      </w:r>
      <w:r w:rsidRPr="00145313">
        <w:rPr>
          <w:rStyle w:val="FootnoteReference"/>
          <w:szCs w:val="18"/>
          <w:vertAlign w:val="baseline"/>
        </w:rPr>
        <w:t>Oxford and Portland, Oregon</w:t>
      </w:r>
      <w:r w:rsidRPr="00145313">
        <w:rPr>
          <w:szCs w:val="18"/>
        </w:rPr>
        <w:t>, p</w:t>
      </w:r>
      <w:r w:rsidRPr="00145313">
        <w:rPr>
          <w:rStyle w:val="FootnoteReference"/>
          <w:szCs w:val="18"/>
          <w:vertAlign w:val="baseline"/>
        </w:rPr>
        <w:t xml:space="preserve">.49. </w:t>
      </w:r>
      <w:r w:rsidRPr="00145313">
        <w:rPr>
          <w:rStyle w:val="FootnoteReference"/>
          <w:i/>
          <w:szCs w:val="18"/>
          <w:vertAlign w:val="baseline"/>
        </w:rPr>
        <w:t>See also</w:t>
      </w:r>
      <w:r w:rsidRPr="00145313">
        <w:rPr>
          <w:rStyle w:val="FootnoteReference"/>
          <w:szCs w:val="18"/>
          <w:vertAlign w:val="baseline"/>
        </w:rPr>
        <w:t xml:space="preserve"> </w:t>
      </w:r>
      <w:r w:rsidRPr="00145313">
        <w:rPr>
          <w:szCs w:val="18"/>
        </w:rPr>
        <w:t>“</w:t>
      </w:r>
      <w:r w:rsidRPr="00145313">
        <w:rPr>
          <w:rStyle w:val="FootnoteReference"/>
          <w:szCs w:val="18"/>
          <w:vertAlign w:val="baseline"/>
        </w:rPr>
        <w:t>United Nations Economic and Social Council Permanent Forum on Indigenous Issues</w:t>
      </w:r>
      <w:r w:rsidRPr="00145313">
        <w:rPr>
          <w:szCs w:val="18"/>
        </w:rPr>
        <w:t>”,</w:t>
      </w:r>
      <w:r w:rsidRPr="00145313">
        <w:rPr>
          <w:rStyle w:val="FootnoteReference"/>
          <w:szCs w:val="18"/>
          <w:vertAlign w:val="baseline"/>
        </w:rPr>
        <w:t xml:space="preserve"> Fourth </w:t>
      </w:r>
      <w:r w:rsidRPr="00145313">
        <w:rPr>
          <w:szCs w:val="18"/>
        </w:rPr>
        <w:t>S</w:t>
      </w:r>
      <w:r w:rsidRPr="00145313">
        <w:rPr>
          <w:rStyle w:val="FootnoteReference"/>
          <w:szCs w:val="18"/>
          <w:vertAlign w:val="baseline"/>
        </w:rPr>
        <w:t>ession</w:t>
      </w:r>
      <w:r w:rsidRPr="00145313">
        <w:rPr>
          <w:szCs w:val="18"/>
        </w:rPr>
        <w:t>,</w:t>
      </w:r>
      <w:r w:rsidRPr="00145313">
        <w:rPr>
          <w:rStyle w:val="FootnoteReference"/>
          <w:szCs w:val="18"/>
          <w:vertAlign w:val="baseline"/>
        </w:rPr>
        <w:t xml:space="preserve"> </w:t>
      </w:r>
      <w:r w:rsidRPr="00145313">
        <w:rPr>
          <w:szCs w:val="18"/>
        </w:rPr>
        <w:t>and</w:t>
      </w:r>
      <w:r w:rsidRPr="00145313">
        <w:rPr>
          <w:rStyle w:val="FootnoteReference"/>
          <w:szCs w:val="18"/>
          <w:vertAlign w:val="baseline"/>
        </w:rPr>
        <w:t xml:space="preserve"> </w:t>
      </w:r>
      <w:r w:rsidRPr="00145313">
        <w:rPr>
          <w:szCs w:val="18"/>
        </w:rPr>
        <w:t>“</w:t>
      </w:r>
      <w:r w:rsidRPr="00145313">
        <w:rPr>
          <w:rStyle w:val="FootnoteReference"/>
          <w:szCs w:val="18"/>
          <w:vertAlign w:val="baseline"/>
        </w:rPr>
        <w:t>Report of the International Workshop on Methodologies regarding Free, Prior and Informed Consent and Indigenous Peoples</w:t>
      </w:r>
      <w:r w:rsidRPr="00145313">
        <w:rPr>
          <w:szCs w:val="18"/>
        </w:rPr>
        <w:t xml:space="preserve">”, </w:t>
      </w:r>
      <w:r w:rsidRPr="00145313">
        <w:rPr>
          <w:rStyle w:val="FootnoteReference"/>
          <w:szCs w:val="18"/>
          <w:vertAlign w:val="baseline"/>
        </w:rPr>
        <w:t>E/C.19/2005/3. p.8</w:t>
      </w:r>
      <w:r w:rsidRPr="00145313">
        <w:rPr>
          <w:szCs w:val="18"/>
        </w:rPr>
        <w:t>.</w:t>
      </w:r>
    </w:p>
  </w:footnote>
  <w:footnote w:id="121">
    <w:p w:rsidR="006B0488" w:rsidRPr="00AF0544" w:rsidRDefault="006B0488" w:rsidP="006B0488">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WIPO Intellectual Property Handbook, </w:t>
      </w:r>
      <w:r w:rsidRPr="00AF0544">
        <w:rPr>
          <w:color w:val="000000" w:themeColor="text1"/>
          <w:szCs w:val="18"/>
        </w:rPr>
        <w:t>WIPO Publication No. 489 (E), 2008, p. 19.</w:t>
      </w:r>
    </w:p>
  </w:footnote>
  <w:footnote w:id="122">
    <w:p w:rsidR="006B0488" w:rsidRPr="00AF0544" w:rsidRDefault="006B0488" w:rsidP="006B0488">
      <w:pPr>
        <w:pStyle w:val="FootnoteText"/>
        <w:ind w:left="540" w:hanging="54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Section 35 U.S.C. 102, available at: </w:t>
      </w:r>
      <w:hyperlink r:id="rId12" w:anchor="al_d1fbe1_19797_b0" w:history="1">
        <w:r w:rsidRPr="00AF0544">
          <w:rPr>
            <w:rStyle w:val="Hyperlink"/>
            <w:color w:val="000000" w:themeColor="text1"/>
            <w:szCs w:val="18"/>
            <w:u w:val="none"/>
          </w:rPr>
          <w:t>https://www.uspto.gov/web/offices/pac/mpep/mpep-9015-appx-l.html#al_d1fbe1_19797_b0</w:t>
        </w:r>
      </w:hyperlink>
      <w:r w:rsidRPr="00AF0544">
        <w:rPr>
          <w:color w:val="000000" w:themeColor="text1"/>
          <w:szCs w:val="18"/>
        </w:rPr>
        <w:t xml:space="preserve">.  It is referred to Section 35 U.S.C. 151 – Issue of patent, which is available at: </w:t>
      </w:r>
      <w:hyperlink r:id="rId13" w:history="1">
        <w:r w:rsidRPr="00AF0544">
          <w:rPr>
            <w:rStyle w:val="Hyperlink"/>
            <w:color w:val="000000" w:themeColor="text1"/>
            <w:szCs w:val="18"/>
            <w:u w:val="none"/>
          </w:rPr>
          <w:t>https://www.gpo.gov/fdsys/pkg/USCODE-2011-title35/pdf/USCODE-2011-title35-partII-chap14-sec151.pdf</w:t>
        </w:r>
      </w:hyperlink>
      <w:r w:rsidRPr="00AF0544">
        <w:rPr>
          <w:color w:val="000000" w:themeColor="text1"/>
          <w:szCs w:val="18"/>
        </w:rPr>
        <w:t xml:space="preserve"> and to </w:t>
      </w:r>
      <w:r w:rsidRPr="00AF0544">
        <w:rPr>
          <w:color w:val="000000" w:themeColor="text1"/>
          <w:szCs w:val="18"/>
          <w:lang w:val="en"/>
        </w:rPr>
        <w:t xml:space="preserve">Section 35 U.S.C. 122(b) – Confidential status of applications; publication of patent applications, which is available at: </w:t>
      </w:r>
      <w:hyperlink r:id="rId14" w:history="1">
        <w:r w:rsidRPr="00AF0544">
          <w:rPr>
            <w:rStyle w:val="Hyperlink"/>
            <w:color w:val="000000" w:themeColor="text1"/>
            <w:szCs w:val="18"/>
            <w:u w:val="none"/>
            <w:lang w:val="en"/>
          </w:rPr>
          <w:t>https://www.gpo.gov/fdsys/pkg/USCODE-2011-title35/pdf/USCODE-2011-title35-partII-chap11-sec122.pdf</w:t>
        </w:r>
      </w:hyperlink>
      <w:r w:rsidRPr="00AF0544">
        <w:rPr>
          <w:color w:val="000000" w:themeColor="text1"/>
          <w:szCs w:val="18"/>
          <w:lang w:val="en"/>
        </w:rPr>
        <w:t xml:space="preserve">. </w:t>
      </w:r>
    </w:p>
  </w:footnote>
  <w:footnote w:id="123">
    <w:p w:rsidR="006B0488" w:rsidRPr="00AF0544" w:rsidRDefault="006B0488" w:rsidP="006B0488">
      <w:pPr>
        <w:pStyle w:val="FootnoteText"/>
        <w:ind w:left="540" w:hanging="54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Japanese Patent Law available at: </w:t>
      </w:r>
      <w:hyperlink r:id="rId15" w:history="1">
        <w:r w:rsidRPr="00AF0544">
          <w:rPr>
            <w:rStyle w:val="Hyperlink"/>
            <w:color w:val="000000" w:themeColor="text1"/>
            <w:szCs w:val="18"/>
            <w:u w:val="none"/>
          </w:rPr>
          <w:t>http://www.wipo.int/wipolex/en/details.jsp?id=16061</w:t>
        </w:r>
      </w:hyperlink>
      <w:r w:rsidRPr="00AF0544">
        <w:rPr>
          <w:color w:val="000000" w:themeColor="text1"/>
          <w:szCs w:val="18"/>
        </w:rPr>
        <w:t xml:space="preserve">. </w:t>
      </w:r>
    </w:p>
  </w:footnote>
  <w:footnote w:id="124">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 xml:space="preserve">Overview of Activities and Outcomes of the Intergovernmental Committee (WIPO/GRTKF/IC/5/12), </w:t>
      </w:r>
    </w:p>
    <w:p w:rsidR="006B0488" w:rsidRPr="00434DB8" w:rsidRDefault="006B0488" w:rsidP="006B0488">
      <w:pPr>
        <w:pStyle w:val="FootnoteText"/>
        <w:ind w:left="499"/>
        <w:rPr>
          <w:szCs w:val="18"/>
          <w:lang w:val="es-ES"/>
        </w:rPr>
      </w:pPr>
      <w:r w:rsidRPr="00434DB8">
        <w:rPr>
          <w:szCs w:val="18"/>
          <w:lang w:val="es-ES"/>
        </w:rPr>
        <w:t>para. 20.</w:t>
      </w:r>
    </w:p>
  </w:footnote>
  <w:footnote w:id="125">
    <w:p w:rsidR="006B0488" w:rsidRPr="00434DB8" w:rsidRDefault="006B0488" w:rsidP="006B0488">
      <w:pPr>
        <w:pStyle w:val="FootnoteText"/>
        <w:ind w:left="499" w:hanging="500"/>
        <w:rPr>
          <w:szCs w:val="18"/>
          <w:lang w:val="es-ES"/>
        </w:rPr>
      </w:pPr>
      <w:r w:rsidRPr="00434DB8">
        <w:rPr>
          <w:rStyle w:val="FootnoteReference"/>
          <w:szCs w:val="18"/>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paras. 21 and 22.</w:t>
      </w:r>
    </w:p>
  </w:footnote>
  <w:footnote w:id="126">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xml:space="preserve">, para. </w:t>
      </w:r>
      <w:r w:rsidRPr="00434DB8">
        <w:rPr>
          <w:szCs w:val="18"/>
        </w:rPr>
        <w:t>21.</w:t>
      </w:r>
    </w:p>
  </w:footnote>
  <w:footnote w:id="127">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r w:rsidRPr="00434DB8">
        <w:rPr>
          <w:szCs w:val="18"/>
        </w:rPr>
        <w:t>, para. 28.</w:t>
      </w:r>
    </w:p>
  </w:footnote>
  <w:footnote w:id="128">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Jane Anderson, “Indigenous Knowledge/Traditional Knowledge and Intellectual </w:t>
      </w:r>
      <w:r w:rsidRPr="006C24FA">
        <w:rPr>
          <w:szCs w:val="18"/>
        </w:rPr>
        <w:t xml:space="preserve">Property,” Issues Paper, Centre for the Public Domain, Duke University, 2011, available </w:t>
      </w:r>
      <w:r w:rsidRPr="00AF0544">
        <w:rPr>
          <w:color w:val="000000" w:themeColor="text1"/>
          <w:szCs w:val="18"/>
        </w:rPr>
        <w:t xml:space="preserve">at </w:t>
      </w:r>
      <w:hyperlink r:id="rId16" w:history="1">
        <w:r w:rsidRPr="00AF0544">
          <w:rPr>
            <w:rStyle w:val="Hyperlink"/>
            <w:color w:val="000000" w:themeColor="text1"/>
            <w:szCs w:val="18"/>
            <w:u w:val="none"/>
          </w:rPr>
          <w:t>http://www.law.duke.edu/cspd/itkpaper</w:t>
        </w:r>
      </w:hyperlink>
      <w:r w:rsidRPr="006C24FA">
        <w:rPr>
          <w:szCs w:val="18"/>
        </w:rPr>
        <w:t>.</w:t>
      </w:r>
    </w:p>
  </w:footnote>
  <w:footnote w:id="129">
    <w:p w:rsidR="006B0488" w:rsidRPr="00434DB8" w:rsidRDefault="006B0488" w:rsidP="006B0488">
      <w:pPr>
        <w:pStyle w:val="FootnoteText"/>
        <w:ind w:left="499" w:hanging="499"/>
        <w:rPr>
          <w:szCs w:val="18"/>
          <w:lang w:val="nl-NL"/>
        </w:rPr>
      </w:pPr>
      <w:r w:rsidRPr="00434DB8">
        <w:rPr>
          <w:rStyle w:val="FootnoteReference"/>
          <w:szCs w:val="18"/>
        </w:rPr>
        <w:footnoteRef/>
      </w:r>
      <w:r w:rsidRPr="00434DB8">
        <w:rPr>
          <w:szCs w:val="18"/>
          <w:lang w:val="nl-NL"/>
        </w:rPr>
        <w:t xml:space="preserve"> </w:t>
      </w:r>
      <w:r w:rsidRPr="00434DB8">
        <w:rPr>
          <w:szCs w:val="18"/>
          <w:lang w:val="nl-NL"/>
        </w:rPr>
        <w:tab/>
        <w:t>See document WIPO/GRTKF/17/INF/12.</w:t>
      </w:r>
    </w:p>
  </w:footnote>
  <w:footnote w:id="130">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SCP/13/5.</w:t>
      </w:r>
    </w:p>
  </w:footnote>
  <w:footnote w:id="131">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Guide to the Copyright and Related Rights Treaties by WIPO and Glossary of Copyright and Related Rights Terms.</w:t>
      </w:r>
    </w:p>
  </w:footnote>
  <w:footnote w:id="132">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SCP/13/5.</w:t>
      </w:r>
    </w:p>
  </w:footnote>
  <w:footnote w:id="133">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The Role of Registers &amp; Databases in the Protection of Traditional Knowledge:  A Comparative Analysis.  UNU-IAS Report, January 2004, p. 32.</w:t>
      </w:r>
    </w:p>
  </w:footnote>
  <w:footnote w:id="135">
    <w:p w:rsidR="006B0488" w:rsidRPr="00434DB8" w:rsidRDefault="006B0488" w:rsidP="006B0488">
      <w:pPr>
        <w:pStyle w:val="FootnoteText"/>
        <w:ind w:left="499" w:hanging="499"/>
        <w:rPr>
          <w:i/>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p>
  </w:footnote>
  <w:footnote w:id="136">
    <w:p w:rsidR="006B0488" w:rsidRPr="00434DB8" w:rsidRDefault="006B0488" w:rsidP="006B0488">
      <w:pPr>
        <w:pStyle w:val="FootnoteText"/>
        <w:ind w:left="499" w:hanging="499"/>
        <w:rPr>
          <w:i/>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p>
  </w:footnote>
  <w:footnote w:id="137">
    <w:p w:rsidR="006B0488" w:rsidRPr="00AF0544" w:rsidRDefault="006B0488" w:rsidP="006B0488">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Article 16 of Law N° 27811, Law Introducing a Protection Regime for the Collective Knowledge of Indigenous </w:t>
      </w:r>
      <w:r w:rsidRPr="00AF0544">
        <w:rPr>
          <w:color w:val="000000" w:themeColor="text1"/>
          <w:szCs w:val="18"/>
        </w:rPr>
        <w:t xml:space="preserve">Peoples Derived from Biological Resources.  The law is available at </w:t>
      </w:r>
      <w:hyperlink r:id="rId17" w:history="1">
        <w:r w:rsidRPr="00AF0544">
          <w:rPr>
            <w:rStyle w:val="Hyperlink"/>
            <w:color w:val="000000" w:themeColor="text1"/>
            <w:szCs w:val="18"/>
            <w:u w:val="none"/>
          </w:rPr>
          <w:t>http://www.wipo.int/wipolex/en/details.jsp?id=3420</w:t>
        </w:r>
      </w:hyperlink>
      <w:r w:rsidRPr="00AF0544">
        <w:rPr>
          <w:color w:val="000000" w:themeColor="text1"/>
          <w:szCs w:val="18"/>
        </w:rPr>
        <w:t xml:space="preserve">.  </w:t>
      </w:r>
    </w:p>
  </w:footnote>
  <w:footnote w:id="138">
    <w:p w:rsidR="006B0488" w:rsidRPr="00145313" w:rsidRDefault="006B0488" w:rsidP="006B0488">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6</w:t>
      </w:r>
      <w:r w:rsidRPr="00145313">
        <w:rPr>
          <w:rStyle w:val="FootnoteReference"/>
          <w:i/>
          <w:szCs w:val="18"/>
          <w:vertAlign w:val="baseline"/>
        </w:rPr>
        <w:t>bis</w:t>
      </w:r>
      <w:r w:rsidRPr="00145313">
        <w:rPr>
          <w:rStyle w:val="FootnoteReference"/>
          <w:szCs w:val="18"/>
          <w:vertAlign w:val="baseline"/>
        </w:rPr>
        <w:t xml:space="preserve"> of the Berne Convention</w:t>
      </w:r>
      <w:r w:rsidRPr="00145313">
        <w:rPr>
          <w:szCs w:val="18"/>
        </w:rPr>
        <w:t>.</w:t>
      </w:r>
    </w:p>
  </w:footnote>
  <w:footnote w:id="139">
    <w:p w:rsidR="006B0488" w:rsidRPr="00145313" w:rsidRDefault="006B0488" w:rsidP="006B0488">
      <w:pPr>
        <w:pStyle w:val="FootnoteText"/>
        <w:ind w:left="499" w:hanging="499"/>
        <w:rPr>
          <w:rStyle w:val="FootnoteReference"/>
          <w:szCs w:val="18"/>
          <w:vertAlign w:val="baseline"/>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and</w:t>
      </w:r>
      <w:r w:rsidRPr="00145313">
        <w:rPr>
          <w:rStyle w:val="FootnoteReference"/>
          <w:szCs w:val="18"/>
          <w:vertAlign w:val="baseline"/>
        </w:rPr>
        <w:t xml:space="preserve"> Jane C. Ginsburg, 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xml:space="preserve">, </w:t>
      </w:r>
      <w:r w:rsidRPr="00145313">
        <w:rPr>
          <w:rStyle w:val="FootnoteReference"/>
          <w:szCs w:val="18"/>
          <w:vertAlign w:val="baseline"/>
        </w:rPr>
        <w:t>p</w:t>
      </w:r>
      <w:r w:rsidRPr="00145313">
        <w:rPr>
          <w:szCs w:val="18"/>
        </w:rPr>
        <w:t xml:space="preserve">. </w:t>
      </w:r>
      <w:r w:rsidRPr="00145313">
        <w:rPr>
          <w:rStyle w:val="FootnoteReference"/>
          <w:szCs w:val="18"/>
          <w:vertAlign w:val="baseline"/>
        </w:rPr>
        <w:t>606</w:t>
      </w:r>
      <w:r w:rsidRPr="00145313">
        <w:rPr>
          <w:szCs w:val="18"/>
        </w:rPr>
        <w:t>.</w:t>
      </w:r>
    </w:p>
  </w:footnote>
  <w:footnote w:id="140">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Daniel J. Gervais, Spiritual but not Intellectual: the Protection of Sacred Intangible Traditional Knowledge, 11 Cardozo J. Int’l &amp; Comp. L. 467, 469-490 (2003).</w:t>
      </w:r>
    </w:p>
  </w:footnote>
  <w:footnote w:id="141">
    <w:p w:rsidR="006B0488" w:rsidRPr="00AF0544" w:rsidRDefault="006B0488" w:rsidP="006B0488">
      <w:pPr>
        <w:pStyle w:val="FootnoteText"/>
        <w:ind w:left="499"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Gupta, A., “Rewarding Traditional Knowledge and Contemporary Grassroots Creativity:  The Role of </w:t>
      </w:r>
      <w:r w:rsidRPr="00AF0544">
        <w:rPr>
          <w:color w:val="000000" w:themeColor="text1"/>
          <w:szCs w:val="18"/>
        </w:rPr>
        <w:t>Intellectual Property Protection”, on file with the Secretariat.</w:t>
      </w:r>
    </w:p>
  </w:footnote>
  <w:footnote w:id="142">
    <w:p w:rsidR="006B0488" w:rsidRPr="00AF0544" w:rsidRDefault="006B0488" w:rsidP="006B0488">
      <w:pPr>
        <w:pStyle w:val="FootnoteText"/>
        <w:ind w:left="499"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18" w:history="1">
        <w:r w:rsidRPr="00AF0544">
          <w:rPr>
            <w:rStyle w:val="Hyperlink"/>
            <w:color w:val="000000" w:themeColor="text1"/>
            <w:szCs w:val="18"/>
            <w:u w:val="none"/>
          </w:rPr>
          <w:t>http://www.wipo.int/tk/en/tk/ffm/report/index.html</w:t>
        </w:r>
      </w:hyperlink>
      <w:r w:rsidRPr="00AF0544">
        <w:rPr>
          <w:color w:val="000000" w:themeColor="text1"/>
          <w:szCs w:val="18"/>
        </w:rPr>
        <w:t xml:space="preserve">.    </w:t>
      </w:r>
    </w:p>
  </w:footnote>
  <w:footnote w:id="143">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Statement by the Delegation of New Zealand during the eleventh session of the Committee.  See Adopted Report of the Eleventh Session (WIPO/GRTKF/IC/11/15), paragraph 220.</w:t>
      </w:r>
    </w:p>
  </w:footnote>
  <w:footnote w:id="144">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Statement by the Delegation of Japan during the eleventh session of the Committee.  See Adopted Report of the Eleventh Session (WIPO/GRTKF/IC/11/15), paragraph 296.</w:t>
      </w:r>
    </w:p>
  </w:footnote>
  <w:footnote w:id="145">
    <w:p w:rsidR="006B0488" w:rsidRPr="00434DB8" w:rsidRDefault="006B0488" w:rsidP="006B0488">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 xml:space="preserve">The Protection of Traditional Knowledge:  Draft Gap Analysis:  Revision (WIPO/GRTKF/IC/13/5(b) Rev.), </w:t>
      </w:r>
    </w:p>
    <w:p w:rsidR="006B0488" w:rsidRPr="00434DB8" w:rsidRDefault="006B0488" w:rsidP="006B0488">
      <w:pPr>
        <w:pStyle w:val="FootnoteText"/>
        <w:ind w:left="499"/>
        <w:rPr>
          <w:szCs w:val="18"/>
        </w:rPr>
      </w:pPr>
      <w:r w:rsidRPr="00434DB8">
        <w:rPr>
          <w:szCs w:val="18"/>
        </w:rPr>
        <w:t>p. 23 of Annex I, pages 11 and 16 of Annex II.</w:t>
      </w:r>
    </w:p>
  </w:footnote>
  <w:footnote w:id="146">
    <w:p w:rsidR="006B0488" w:rsidRPr="00145313" w:rsidRDefault="006B0488" w:rsidP="006B0488">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Pacific Regional Framework for the Protection of Traditional Knowledge and Expressions of Culture, 2002</w:t>
      </w:r>
      <w:r w:rsidR="00145313">
        <w:rPr>
          <w:szCs w:val="18"/>
        </w:rPr>
        <w:t xml:space="preserve">, </w:t>
      </w:r>
      <w:r w:rsidRPr="00145313">
        <w:rPr>
          <w:szCs w:val="18"/>
        </w:rPr>
        <w:t>Part</w:t>
      </w:r>
      <w:r w:rsidRPr="00145313">
        <w:rPr>
          <w:rStyle w:val="FootnoteReference"/>
          <w:szCs w:val="18"/>
          <w:vertAlign w:val="baseline"/>
        </w:rPr>
        <w:t xml:space="preserve"> I (4)</w:t>
      </w:r>
      <w:r w:rsidRPr="00145313">
        <w:rPr>
          <w:szCs w:val="18"/>
        </w:rPr>
        <w:t>.</w:t>
      </w:r>
    </w:p>
  </w:footnote>
  <w:footnote w:id="147">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Articles 15, 16 and 19 of the CBD.</w:t>
      </w:r>
    </w:p>
  </w:footnote>
  <w:footnote w:id="148">
    <w:p w:rsidR="006B0488" w:rsidRPr="00434DB8" w:rsidRDefault="006B0488" w:rsidP="006B0488">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Articles 10-13 of the ITPGRFA.</w:t>
      </w:r>
    </w:p>
  </w:footnote>
  <w:footnote w:id="149">
    <w:p w:rsidR="006B0488" w:rsidRPr="00434DB8" w:rsidRDefault="006B0488" w:rsidP="006B0488">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Article 8(j) of the CBD.</w:t>
      </w:r>
    </w:p>
  </w:footnote>
  <w:footnote w:id="150">
    <w:p w:rsidR="006B0488" w:rsidRPr="00434DB8" w:rsidRDefault="006B0488" w:rsidP="006B0488">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document WIPO/GRTKF/IC/11/10.</w:t>
      </w:r>
    </w:p>
  </w:footnote>
  <w:footnote w:id="151">
    <w:p w:rsidR="006B0488" w:rsidRPr="00145313" w:rsidRDefault="006B0488" w:rsidP="006B0488">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w:t>
      </w:r>
      <w:r w:rsidRPr="00145313">
        <w:rPr>
          <w:iCs/>
          <w:szCs w:val="18"/>
        </w:rPr>
        <w:t xml:space="preserve">, </w:t>
      </w:r>
      <w:r w:rsidRPr="00145313">
        <w:rPr>
          <w:rStyle w:val="FootnoteReference"/>
          <w:iCs/>
          <w:szCs w:val="18"/>
          <w:vertAlign w:val="baseline"/>
        </w:rPr>
        <w:t xml:space="preserve">Part III. </w:t>
      </w:r>
    </w:p>
  </w:footnote>
  <w:footnote w:id="152">
    <w:p w:rsidR="006B0488" w:rsidRPr="00145313" w:rsidRDefault="006B0488" w:rsidP="006B0488">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w:t>
      </w:r>
      <w:r w:rsidRPr="00145313">
        <w:rPr>
          <w:iCs/>
          <w:szCs w:val="18"/>
        </w:rPr>
        <w:t xml:space="preserve">, </w:t>
      </w:r>
      <w:r w:rsidRPr="00145313">
        <w:rPr>
          <w:rStyle w:val="FootnoteReference"/>
          <w:iCs/>
          <w:szCs w:val="18"/>
          <w:vertAlign w:val="baseline"/>
        </w:rPr>
        <w:t>Sect.2(iv)</w:t>
      </w:r>
      <w:r w:rsidRPr="00145313">
        <w:rPr>
          <w:iCs/>
          <w:szCs w:val="18"/>
        </w:rPr>
        <w:t>.</w:t>
      </w:r>
    </w:p>
  </w:footnote>
  <w:footnote w:id="153">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Nino </w:t>
      </w:r>
      <w:proofErr w:type="spellStart"/>
      <w:r w:rsidRPr="00434DB8">
        <w:rPr>
          <w:szCs w:val="18"/>
        </w:rPr>
        <w:t>Pires</w:t>
      </w:r>
      <w:proofErr w:type="spellEnd"/>
      <w:r w:rsidRPr="00434DB8">
        <w:rPr>
          <w:szCs w:val="18"/>
        </w:rPr>
        <w:t xml:space="preserve"> de </w:t>
      </w:r>
      <w:proofErr w:type="spellStart"/>
      <w:r w:rsidRPr="00434DB8">
        <w:rPr>
          <w:szCs w:val="18"/>
        </w:rPr>
        <w:t>Carvalho</w:t>
      </w:r>
      <w:proofErr w:type="spellEnd"/>
      <w:r w:rsidRPr="00434DB8">
        <w:rPr>
          <w:szCs w:val="18"/>
        </w:rPr>
        <w:t>, From the Shaman’s Hut to the Patent Office: A Road Under Construction, Biodiversity and the Law, p. 244.</w:t>
      </w:r>
    </w:p>
  </w:footnote>
  <w:footnote w:id="154">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Consolidated Analysis of the Legal Protection of Traditional Cultural Expressions, WIPO/GRTKF/IC/5/3, para. 53.</w:t>
      </w:r>
    </w:p>
  </w:footnote>
  <w:footnote w:id="155">
    <w:p w:rsidR="006B0488" w:rsidRPr="00145313" w:rsidRDefault="006B0488" w:rsidP="006B0488">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 Part III. 42</w:t>
      </w:r>
      <w:r w:rsidRPr="00145313">
        <w:rPr>
          <w:iCs/>
          <w:szCs w:val="18"/>
        </w:rPr>
        <w:t>.</w:t>
      </w:r>
    </w:p>
  </w:footnote>
  <w:footnote w:id="156">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Elements of a Sui Generis System for the Protection of Traditional Knowledge (WIPO/GRTKF/IC/4/8), para. 27.</w:t>
      </w:r>
    </w:p>
  </w:footnote>
  <w:footnote w:id="157">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t>para. 54.</w:t>
      </w:r>
    </w:p>
  </w:footnote>
  <w:footnote w:id="158">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Also see Marc G. Stevenson. “Indigenous Knowledge in Environmental Assessments”, 49 ARCTIC 278 (1996), p. 281.</w:t>
      </w:r>
    </w:p>
  </w:footnote>
  <w:footnote w:id="159">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r>
      <w:proofErr w:type="spellStart"/>
      <w:r w:rsidRPr="00434DB8">
        <w:rPr>
          <w:szCs w:val="18"/>
        </w:rPr>
        <w:t>Fikret</w:t>
      </w:r>
      <w:proofErr w:type="spellEnd"/>
      <w:r w:rsidRPr="00434DB8">
        <w:rPr>
          <w:szCs w:val="18"/>
        </w:rPr>
        <w:t xml:space="preserve"> </w:t>
      </w:r>
      <w:proofErr w:type="spellStart"/>
      <w:r w:rsidRPr="00434DB8">
        <w:rPr>
          <w:szCs w:val="18"/>
        </w:rPr>
        <w:t>Berkes</w:t>
      </w:r>
      <w:proofErr w:type="spellEnd"/>
      <w:r w:rsidRPr="00434DB8">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6B0488" w:rsidRPr="00434DB8" w:rsidRDefault="006B0488" w:rsidP="006B0488">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WIPO Report on </w:t>
      </w:r>
      <w:r w:rsidRPr="00291BB9">
        <w:rPr>
          <w:color w:val="000000" w:themeColor="text1"/>
          <w:szCs w:val="18"/>
        </w:rPr>
        <w:t xml:space="preserve">Fact-finding Missions on Intellectual Property and Traditional Knowledge (1998-1999) “Intellectual Property Needs and Expectations of Traditional Knowledge”, at p. 25, available at </w:t>
      </w:r>
      <w:hyperlink r:id="rId19" w:history="1">
        <w:r w:rsidRPr="00291BB9">
          <w:rPr>
            <w:rStyle w:val="Hyperlink"/>
            <w:color w:val="000000" w:themeColor="text1"/>
            <w:szCs w:val="18"/>
            <w:u w:val="none"/>
          </w:rPr>
          <w:t>http://www.wipo.int/publications/en/details.jsp?id=283&amp;plang=EN</w:t>
        </w:r>
      </w:hyperlink>
      <w:r w:rsidRPr="006C24FA">
        <w:rPr>
          <w:szCs w:val="18"/>
        </w:rPr>
        <w:t xml:space="preserve">.  </w:t>
      </w:r>
    </w:p>
  </w:footnote>
  <w:footnote w:id="161">
    <w:p w:rsidR="006B0488" w:rsidRPr="00291BB9" w:rsidRDefault="006B0488" w:rsidP="006B0488">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More information is available at </w:t>
      </w:r>
      <w:hyperlink r:id="rId20" w:history="1">
        <w:r w:rsidRPr="00291BB9">
          <w:rPr>
            <w:rStyle w:val="Hyperlink"/>
            <w:color w:val="000000" w:themeColor="text1"/>
            <w:szCs w:val="18"/>
            <w:u w:val="none"/>
          </w:rPr>
          <w:t>http://www.tkdl.res.in/tkdl/langdefault/common/Abouttkdl.asp?GL=Eng</w:t>
        </w:r>
      </w:hyperlink>
      <w:r w:rsidRPr="00291BB9">
        <w:rPr>
          <w:color w:val="000000" w:themeColor="text1"/>
          <w:szCs w:val="18"/>
        </w:rPr>
        <w:t xml:space="preserve">  </w:t>
      </w:r>
    </w:p>
  </w:footnote>
  <w:footnote w:id="162">
    <w:p w:rsidR="006B0488" w:rsidRPr="00291BB9" w:rsidRDefault="006B0488" w:rsidP="006B0488">
      <w:pPr>
        <w:pStyle w:val="FootnoteText"/>
        <w:ind w:left="500"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The Role of Registers &amp; Databases in the Protection of Traditional Knowledge:  A Comparative Analysis.  UNU-IAS Report, January 2004, p. 18.</w:t>
      </w:r>
    </w:p>
  </w:footnote>
  <w:footnote w:id="163">
    <w:p w:rsidR="006B0488" w:rsidRPr="00291BB9" w:rsidRDefault="006B0488" w:rsidP="006B0488">
      <w:pPr>
        <w:pStyle w:val="FootnoteText"/>
        <w:ind w:left="499"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r>
      <w:r w:rsidRPr="00291BB9">
        <w:rPr>
          <w:i/>
          <w:color w:val="000000" w:themeColor="text1"/>
          <w:szCs w:val="18"/>
        </w:rPr>
        <w:t>Id.</w:t>
      </w:r>
    </w:p>
  </w:footnote>
  <w:footnote w:id="164">
    <w:p w:rsidR="006B0488" w:rsidRPr="00291BB9" w:rsidRDefault="006B0488" w:rsidP="006B0488">
      <w:pPr>
        <w:pStyle w:val="FootnoteText"/>
        <w:ind w:left="499"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 xml:space="preserve">More information is available at </w:t>
      </w:r>
      <w:hyperlink r:id="rId21" w:history="1">
        <w:r w:rsidRPr="00291BB9">
          <w:rPr>
            <w:rStyle w:val="Hyperlink"/>
            <w:color w:val="000000" w:themeColor="text1"/>
            <w:szCs w:val="18"/>
            <w:u w:val="none"/>
          </w:rPr>
          <w:t>http://www.tkdl.res.in/tkdl/langdefault/common/TKRC.asp?GL=Eng</w:t>
        </w:r>
      </w:hyperlink>
      <w:r w:rsidRPr="00291BB9">
        <w:rPr>
          <w:color w:val="000000" w:themeColor="text1"/>
          <w:szCs w:val="18"/>
        </w:rPr>
        <w:t xml:space="preserve">  </w:t>
      </w:r>
    </w:p>
  </w:footnote>
  <w:footnote w:id="165">
    <w:p w:rsidR="006B0488" w:rsidRPr="00434DB8" w:rsidRDefault="006B0488" w:rsidP="006B0488">
      <w:pPr>
        <w:pStyle w:val="FootnoteText"/>
        <w:ind w:left="499" w:hanging="500"/>
        <w:rPr>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 xml:space="preserve">WHO General Guidelines for Methodologies on Research and Evaluation of Traditional Medicine </w:t>
      </w:r>
      <w:r w:rsidRPr="00434DB8">
        <w:rPr>
          <w:szCs w:val="18"/>
        </w:rPr>
        <w:t>(WHO/EDM/TRM/2000.1), p. 1.</w:t>
      </w:r>
    </w:p>
  </w:footnote>
  <w:footnote w:id="166">
    <w:p w:rsidR="006B0488" w:rsidRPr="00434DB8" w:rsidRDefault="006B0488" w:rsidP="006B0488">
      <w:pPr>
        <w:pStyle w:val="FootnoteText"/>
        <w:ind w:left="499" w:hanging="492"/>
        <w:rPr>
          <w:szCs w:val="18"/>
        </w:rPr>
      </w:pPr>
      <w:r w:rsidRPr="00434DB8">
        <w:rPr>
          <w:rStyle w:val="FootnoteReference"/>
          <w:szCs w:val="18"/>
        </w:rPr>
        <w:footnoteRef/>
      </w:r>
      <w:r w:rsidRPr="00434DB8">
        <w:rPr>
          <w:szCs w:val="18"/>
        </w:rPr>
        <w:t xml:space="preserve"> </w:t>
      </w:r>
      <w:r w:rsidRPr="00434DB8">
        <w:rPr>
          <w:szCs w:val="18"/>
        </w:rPr>
        <w:tab/>
        <w:t>WHO Traditional Medicine Strategy 2002-2005, p. 7.</w:t>
      </w:r>
    </w:p>
  </w:footnote>
  <w:footnote w:id="167">
    <w:p w:rsidR="006B0488" w:rsidRPr="00434DB8" w:rsidRDefault="006B0488" w:rsidP="006B0488">
      <w:pPr>
        <w:pStyle w:val="FootnoteText"/>
        <w:ind w:left="499" w:hanging="493"/>
        <w:rPr>
          <w:szCs w:val="18"/>
        </w:rPr>
      </w:pPr>
      <w:r w:rsidRPr="00434DB8">
        <w:rPr>
          <w:szCs w:val="18"/>
        </w:rPr>
        <w:footnoteRef/>
      </w:r>
      <w:r w:rsidRPr="00434DB8">
        <w:rPr>
          <w:szCs w:val="18"/>
        </w:rPr>
        <w:t xml:space="preserve"> </w:t>
      </w:r>
      <w:r w:rsidRPr="00434DB8">
        <w:rPr>
          <w:szCs w:val="18"/>
        </w:rPr>
        <w:tab/>
        <w:t>See Articles 10-13 of the ITPGRFA.</w:t>
      </w:r>
    </w:p>
  </w:footnote>
  <w:footnote w:id="168">
    <w:p w:rsidR="006B0488" w:rsidRPr="00434DB8" w:rsidRDefault="006B0488" w:rsidP="006B0488">
      <w:pPr>
        <w:pStyle w:val="FootnoteText"/>
        <w:ind w:left="499" w:hanging="493"/>
        <w:rPr>
          <w:szCs w:val="18"/>
        </w:rPr>
      </w:pPr>
      <w:r w:rsidRPr="00434DB8">
        <w:rPr>
          <w:rStyle w:val="FootnoteReference"/>
          <w:szCs w:val="18"/>
        </w:rPr>
        <w:footnoteRef/>
      </w:r>
      <w:r w:rsidRPr="00434DB8">
        <w:rPr>
          <w:szCs w:val="18"/>
        </w:rPr>
        <w:t xml:space="preserve"> </w:t>
      </w:r>
      <w:r w:rsidRPr="00434DB8">
        <w:rPr>
          <w:szCs w:val="18"/>
        </w:rPr>
        <w:tab/>
        <w:t>See WIPO Document WIPO/GRTKF/IC/3/9.</w:t>
      </w:r>
    </w:p>
  </w:footnote>
  <w:footnote w:id="169">
    <w:p w:rsidR="006B0488" w:rsidRPr="00434DB8" w:rsidRDefault="006B0488" w:rsidP="006B0488">
      <w:pPr>
        <w:pStyle w:val="FootnoteText"/>
        <w:ind w:left="499" w:hanging="493"/>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t>para. 57.</w:t>
      </w:r>
    </w:p>
  </w:footnote>
  <w:footnote w:id="170">
    <w:p w:rsidR="006B0488" w:rsidRPr="00145313" w:rsidRDefault="006B0488" w:rsidP="006B0488">
      <w:pPr>
        <w:pStyle w:val="FootnoteText"/>
        <w:ind w:left="499" w:hanging="493"/>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Daniel Gervais, The TRIPS Agreement. Drafting and Analysis, 3rd Edition</w:t>
      </w:r>
      <w:r w:rsidRPr="00145313">
        <w:rPr>
          <w:szCs w:val="18"/>
        </w:rPr>
        <w:t xml:space="preserve">, </w:t>
      </w:r>
      <w:r w:rsidRPr="00145313">
        <w:rPr>
          <w:rStyle w:val="FootnoteReference"/>
          <w:szCs w:val="18"/>
          <w:vertAlign w:val="baseline"/>
        </w:rPr>
        <w:t>Sweet</w:t>
      </w:r>
      <w:r w:rsidRPr="00145313">
        <w:rPr>
          <w:szCs w:val="18"/>
        </w:rPr>
        <w:t xml:space="preserve"> </w:t>
      </w:r>
      <w:r w:rsidRPr="00145313">
        <w:rPr>
          <w:rStyle w:val="FootnoteReference"/>
          <w:szCs w:val="18"/>
          <w:vertAlign w:val="baseline"/>
        </w:rPr>
        <w:t>&amp;</w:t>
      </w:r>
      <w:r w:rsidRPr="00145313">
        <w:rPr>
          <w:szCs w:val="18"/>
        </w:rPr>
        <w:t xml:space="preserve"> </w:t>
      </w:r>
      <w:r w:rsidRPr="00145313">
        <w:rPr>
          <w:rStyle w:val="FootnoteReference"/>
          <w:szCs w:val="18"/>
          <w:vertAlign w:val="baseline"/>
        </w:rPr>
        <w:t>Maxwell</w:t>
      </w:r>
      <w:r w:rsidRPr="00145313">
        <w:rPr>
          <w:szCs w:val="18"/>
        </w:rPr>
        <w:t>, p.</w:t>
      </w:r>
      <w:r w:rsidRPr="00145313">
        <w:rPr>
          <w:rStyle w:val="FootnoteReference"/>
          <w:szCs w:val="18"/>
          <w:vertAlign w:val="baseline"/>
        </w:rPr>
        <w:t xml:space="preserve"> 132</w:t>
      </w:r>
      <w:r w:rsidRPr="00145313">
        <w:rPr>
          <w:szCs w:val="18"/>
        </w:rPr>
        <w:t>.</w:t>
      </w:r>
    </w:p>
  </w:footnote>
  <w:footnote w:id="171">
    <w:p w:rsidR="006B0488" w:rsidRPr="00434DB8" w:rsidRDefault="006B0488" w:rsidP="006B0488">
      <w:pPr>
        <w:pStyle w:val="FootnoteText"/>
        <w:rPr>
          <w:szCs w:val="18"/>
        </w:rPr>
      </w:pPr>
      <w:r w:rsidRPr="00434DB8">
        <w:rPr>
          <w:rStyle w:val="FootnoteReference"/>
          <w:szCs w:val="18"/>
        </w:rPr>
        <w:footnoteRef/>
      </w:r>
      <w:r w:rsidRPr="00434DB8">
        <w:rPr>
          <w:szCs w:val="18"/>
        </w:rPr>
        <w:t xml:space="preserve"> </w:t>
      </w:r>
      <w:r w:rsidRPr="00291BB9">
        <w:rPr>
          <w:color w:val="000000" w:themeColor="text1"/>
          <w:szCs w:val="18"/>
        </w:rPr>
        <w:t xml:space="preserve">See </w:t>
      </w:r>
      <w:hyperlink r:id="rId22" w:history="1">
        <w:r w:rsidRPr="00291BB9">
          <w:rPr>
            <w:rStyle w:val="Hyperlink"/>
            <w:color w:val="000000" w:themeColor="text1"/>
            <w:szCs w:val="18"/>
            <w:u w:val="none"/>
          </w:rPr>
          <w:t>http://www.un.org/en/universal-declaration-human-rights/</w:t>
        </w:r>
      </w:hyperlink>
      <w:r w:rsidRPr="006C24FA">
        <w:rPr>
          <w:szCs w:val="18"/>
        </w:rPr>
        <w:t xml:space="preserve"> </w:t>
      </w:r>
    </w:p>
  </w:footnote>
  <w:footnote w:id="172">
    <w:p w:rsidR="006B0488" w:rsidRPr="00434DB8" w:rsidRDefault="006B0488" w:rsidP="006B0488">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r>
      <w:r w:rsidRPr="00291BB9">
        <w:rPr>
          <w:color w:val="000000" w:themeColor="text1"/>
          <w:szCs w:val="18"/>
        </w:rPr>
        <w:t xml:space="preserve">WIPO Documenting Traditional Knowledge – A Toolkit is available at:   </w:t>
      </w:r>
      <w:hyperlink r:id="rId23" w:history="1">
        <w:r w:rsidRPr="00291BB9">
          <w:rPr>
            <w:rStyle w:val="Hyperlink"/>
            <w:color w:val="000000" w:themeColor="text1"/>
            <w:szCs w:val="18"/>
            <w:u w:val="none"/>
          </w:rPr>
          <w:t>http://www.wipo.int/publications/en/details.jsp?id=4235</w:t>
        </w:r>
      </w:hyperlink>
      <w:r w:rsidRPr="006C24F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065DF" w:rsidP="00477D6B">
    <w:pPr>
      <w:jc w:val="right"/>
    </w:pPr>
    <w:bookmarkStart w:id="5" w:name="Code2"/>
    <w:bookmarkEnd w:id="5"/>
    <w:r>
      <w:t>WIPO/GRTKF/IC/38/INF/7</w:t>
    </w:r>
  </w:p>
  <w:p w:rsidR="00EC4E49" w:rsidRDefault="00EC4E49" w:rsidP="00477D6B">
    <w:pPr>
      <w:jc w:val="right"/>
    </w:pPr>
    <w:r>
      <w:t xml:space="preserve">page </w:t>
    </w:r>
    <w:r>
      <w:fldChar w:fldCharType="begin"/>
    </w:r>
    <w:r>
      <w:instrText xml:space="preserve"> PAGE  \* MERGEFORMAT </w:instrText>
    </w:r>
    <w:r>
      <w:fldChar w:fldCharType="separate"/>
    </w:r>
    <w:r w:rsidR="00AF0544">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88" w:rsidRDefault="006B0488" w:rsidP="003A666B">
    <w:pPr>
      <w:pStyle w:val="Header"/>
      <w:jc w:val="right"/>
    </w:pPr>
    <w:r>
      <w:t>WIPO/GRTKF/IC/38/INF/7</w:t>
    </w:r>
  </w:p>
  <w:p w:rsidR="006B0488" w:rsidRDefault="006B0488" w:rsidP="003A666B">
    <w:pPr>
      <w:pStyle w:val="Header"/>
      <w:jc w:val="right"/>
    </w:pPr>
    <w:r>
      <w:t>ANNEX</w:t>
    </w:r>
  </w:p>
  <w:p w:rsidR="006B0488" w:rsidRDefault="006B0488">
    <w:pPr>
      <w:pStyle w:val="Header"/>
    </w:pPr>
  </w:p>
  <w:p w:rsidR="006B0488" w:rsidRDefault="006B0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88" w:rsidRDefault="006B0488" w:rsidP="00477D6B">
    <w:pPr>
      <w:jc w:val="right"/>
    </w:pPr>
    <w:r>
      <w:t>WIPO/GRTKF/IC/38/INF/7</w:t>
    </w:r>
  </w:p>
  <w:p w:rsidR="006B0488" w:rsidRDefault="006B0488" w:rsidP="00477D6B">
    <w:pPr>
      <w:jc w:val="right"/>
    </w:pPr>
    <w:r>
      <w:t xml:space="preserve">Annex, page </w:t>
    </w:r>
    <w:r>
      <w:fldChar w:fldCharType="begin"/>
    </w:r>
    <w:r>
      <w:instrText xml:space="preserve"> PAGE  \* MERGEFORMAT </w:instrText>
    </w:r>
    <w:r>
      <w:fldChar w:fldCharType="separate"/>
    </w:r>
    <w:r w:rsidR="00291BB9">
      <w:rPr>
        <w:noProof/>
      </w:rPr>
      <w:t>46</w:t>
    </w:r>
    <w:r>
      <w:fldChar w:fldCharType="end"/>
    </w:r>
  </w:p>
  <w:p w:rsidR="006B0488" w:rsidRDefault="006B0488" w:rsidP="00477D6B">
    <w:pPr>
      <w:jc w:val="right"/>
    </w:pPr>
  </w:p>
  <w:p w:rsidR="006B0488" w:rsidRDefault="006B048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2"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2"/>
  </w:num>
  <w:num w:numId="6">
    <w:abstractNumId w:val="6"/>
  </w:num>
  <w:num w:numId="7">
    <w:abstractNumId w:val="20"/>
  </w:num>
  <w:num w:numId="8">
    <w:abstractNumId w:val="15"/>
  </w:num>
  <w:num w:numId="9">
    <w:abstractNumId w:val="16"/>
  </w:num>
  <w:num w:numId="10">
    <w:abstractNumId w:val="19"/>
  </w:num>
  <w:num w:numId="11">
    <w:abstractNumId w:val="12"/>
  </w:num>
  <w:num w:numId="12">
    <w:abstractNumId w:val="9"/>
  </w:num>
  <w:num w:numId="13">
    <w:abstractNumId w:val="18"/>
  </w:num>
  <w:num w:numId="14">
    <w:abstractNumId w:val="8"/>
  </w:num>
  <w:num w:numId="15">
    <w:abstractNumId w:val="1"/>
  </w:num>
  <w:num w:numId="16">
    <w:abstractNumId w:val="3"/>
  </w:num>
  <w:num w:numId="17">
    <w:abstractNumId w:val="17"/>
  </w:num>
  <w:num w:numId="18">
    <w:abstractNumId w:val="10"/>
  </w:num>
  <w:num w:numId="19">
    <w:abstractNumId w:val="21"/>
  </w:num>
  <w:num w:numId="20">
    <w:abstractNumId w:val="22"/>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DF"/>
    <w:rsid w:val="00043CAA"/>
    <w:rsid w:val="00075432"/>
    <w:rsid w:val="000968ED"/>
    <w:rsid w:val="000F5E56"/>
    <w:rsid w:val="001362EE"/>
    <w:rsid w:val="00145313"/>
    <w:rsid w:val="001647D5"/>
    <w:rsid w:val="001832A6"/>
    <w:rsid w:val="0018359A"/>
    <w:rsid w:val="0021217E"/>
    <w:rsid w:val="002634C4"/>
    <w:rsid w:val="00291BB9"/>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B0488"/>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544"/>
    <w:rsid w:val="00AF0A6B"/>
    <w:rsid w:val="00B05A69"/>
    <w:rsid w:val="00B9734B"/>
    <w:rsid w:val="00BA30E2"/>
    <w:rsid w:val="00C11BFE"/>
    <w:rsid w:val="00C5068F"/>
    <w:rsid w:val="00C86D74"/>
    <w:rsid w:val="00CD04F1"/>
    <w:rsid w:val="00D45252"/>
    <w:rsid w:val="00D71B4D"/>
    <w:rsid w:val="00D93D55"/>
    <w:rsid w:val="00E065DF"/>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1139C6"/>
  <w15:docId w15:val="{7F233F8B-B326-488C-B86A-1B537B4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6B0488"/>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6B0488"/>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6B0488"/>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semiHidden/>
    <w:rsid w:val="00E065DF"/>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E065DF"/>
    <w:rPr>
      <w:rFonts w:ascii="Arial" w:eastAsia="SimSun" w:hAnsi="Arial" w:cs="Arial"/>
      <w:sz w:val="18"/>
      <w:lang w:val="en-US" w:eastAsia="zh-CN"/>
    </w:rPr>
  </w:style>
  <w:style w:type="paragraph" w:customStyle="1" w:styleId="Endofdocument">
    <w:name w:val="End of document"/>
    <w:basedOn w:val="Normal"/>
    <w:semiHidden/>
    <w:rsid w:val="00E065DF"/>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E065DF"/>
    <w:rPr>
      <w:vertAlign w:val="superscript"/>
    </w:rPr>
  </w:style>
  <w:style w:type="paragraph" w:customStyle="1" w:styleId="DecisionInvitingPara">
    <w:name w:val="Decision Inviting Para."/>
    <w:basedOn w:val="Normal"/>
    <w:rsid w:val="00E065DF"/>
    <w:pPr>
      <w:spacing w:after="120" w:line="260" w:lineRule="atLeast"/>
      <w:ind w:left="5534"/>
      <w:contextualSpacing/>
    </w:pPr>
    <w:rPr>
      <w:rFonts w:eastAsia="Times New Roman" w:cs="Times New Roman"/>
      <w:i/>
      <w:sz w:val="20"/>
      <w:lang w:eastAsia="en-US"/>
    </w:rPr>
  </w:style>
  <w:style w:type="character" w:customStyle="1" w:styleId="Heading5Char">
    <w:name w:val="Heading 5 Char"/>
    <w:basedOn w:val="DefaultParagraphFont"/>
    <w:link w:val="Heading5"/>
    <w:rsid w:val="006B0488"/>
    <w:rPr>
      <w:rFonts w:ascii="Arial" w:eastAsia="SimSun" w:hAnsi="Arial"/>
      <w:lang w:val="en-US" w:eastAsia="en-US"/>
    </w:rPr>
  </w:style>
  <w:style w:type="character" w:customStyle="1" w:styleId="Heading6Char">
    <w:name w:val="Heading 6 Char"/>
    <w:basedOn w:val="DefaultParagraphFont"/>
    <w:link w:val="Heading6"/>
    <w:rsid w:val="006B0488"/>
    <w:rPr>
      <w:rFonts w:ascii="Arial" w:eastAsia="SimSun" w:hAnsi="Arial"/>
      <w:lang w:val="en-US" w:eastAsia="en-US"/>
    </w:rPr>
  </w:style>
  <w:style w:type="character" w:customStyle="1" w:styleId="Heading9Char">
    <w:name w:val="Heading 9 Char"/>
    <w:basedOn w:val="DefaultParagraphFont"/>
    <w:link w:val="Heading9"/>
    <w:rsid w:val="006B0488"/>
    <w:rPr>
      <w:rFonts w:ascii="Arial" w:eastAsia="SimSun" w:hAnsi="Arial"/>
      <w:i/>
      <w:sz w:val="22"/>
      <w:lang w:val="en-US" w:eastAsia="en-US"/>
    </w:rPr>
  </w:style>
  <w:style w:type="character" w:customStyle="1" w:styleId="BodyTextChar">
    <w:name w:val="Body Text Char"/>
    <w:link w:val="BodyText"/>
    <w:rsid w:val="006B0488"/>
    <w:rPr>
      <w:rFonts w:ascii="Arial" w:eastAsia="SimSun" w:hAnsi="Arial" w:cs="Arial"/>
      <w:sz w:val="22"/>
      <w:lang w:val="en-US" w:eastAsia="zh-CN"/>
    </w:rPr>
  </w:style>
  <w:style w:type="character" w:customStyle="1" w:styleId="CommentTextChar">
    <w:name w:val="Comment Text Char"/>
    <w:basedOn w:val="DefaultParagraphFont"/>
    <w:semiHidden/>
    <w:rsid w:val="006B0488"/>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6B0488"/>
    <w:rPr>
      <w:rFonts w:ascii="Arial" w:eastAsia="SimSun" w:hAnsi="Arial" w:cs="Arial"/>
      <w:sz w:val="22"/>
      <w:lang w:val="en-US" w:eastAsia="zh-CN"/>
    </w:rPr>
  </w:style>
  <w:style w:type="character" w:customStyle="1" w:styleId="ONUMEChar">
    <w:name w:val="ONUM E Char"/>
    <w:basedOn w:val="BodyTextChar"/>
    <w:link w:val="ONUME"/>
    <w:rsid w:val="006B0488"/>
    <w:rPr>
      <w:rFonts w:ascii="Arial" w:eastAsia="SimSun" w:hAnsi="Arial" w:cs="Arial"/>
      <w:sz w:val="22"/>
      <w:lang w:val="en-US" w:eastAsia="zh-CN"/>
    </w:rPr>
  </w:style>
  <w:style w:type="paragraph" w:styleId="BalloonText">
    <w:name w:val="Balloon Text"/>
    <w:basedOn w:val="Normal"/>
    <w:link w:val="BalloonTextChar"/>
    <w:rsid w:val="006B0488"/>
    <w:rPr>
      <w:rFonts w:ascii="Tahoma" w:hAnsi="Tahoma" w:cs="Tahoma"/>
      <w:sz w:val="16"/>
      <w:szCs w:val="16"/>
    </w:rPr>
  </w:style>
  <w:style w:type="character" w:customStyle="1" w:styleId="BalloonTextChar">
    <w:name w:val="Balloon Text Char"/>
    <w:basedOn w:val="DefaultParagraphFont"/>
    <w:link w:val="BalloonText"/>
    <w:rsid w:val="006B0488"/>
    <w:rPr>
      <w:rFonts w:ascii="Tahoma" w:eastAsia="SimSun" w:hAnsi="Tahoma" w:cs="Tahoma"/>
      <w:sz w:val="16"/>
      <w:szCs w:val="16"/>
      <w:lang w:val="en-US" w:eastAsia="zh-CN"/>
    </w:rPr>
  </w:style>
  <w:style w:type="paragraph" w:customStyle="1" w:styleId="CharCharCharChar">
    <w:name w:val="Char Char Char Char"/>
    <w:basedOn w:val="Normal"/>
    <w:rsid w:val="006B0488"/>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6B0488"/>
    <w:rPr>
      <w:rFonts w:ascii="Times New Roman" w:eastAsia="Times New Roman" w:hAnsi="Times New Roman" w:cs="Times New Roman"/>
      <w:sz w:val="24"/>
      <w:szCs w:val="24"/>
      <w:lang w:val="pl-PL" w:eastAsia="pl-PL"/>
    </w:rPr>
  </w:style>
  <w:style w:type="character" w:styleId="PageNumber">
    <w:name w:val="page number"/>
    <w:basedOn w:val="DefaultParagraphFont"/>
    <w:rsid w:val="006B0488"/>
  </w:style>
  <w:style w:type="character" w:styleId="LineNumber">
    <w:name w:val="line number"/>
    <w:basedOn w:val="DefaultParagraphFont"/>
    <w:rsid w:val="006B0488"/>
  </w:style>
  <w:style w:type="character" w:styleId="Hyperlink">
    <w:name w:val="Hyperlink"/>
    <w:unhideWhenUsed/>
    <w:rsid w:val="006B0488"/>
    <w:rPr>
      <w:color w:val="0000FF"/>
      <w:u w:val="single"/>
    </w:rPr>
  </w:style>
  <w:style w:type="paragraph" w:styleId="BodyTextIndent2">
    <w:name w:val="Body Text Indent 2"/>
    <w:basedOn w:val="Normal"/>
    <w:link w:val="BodyTextIndent2Char"/>
    <w:rsid w:val="006B0488"/>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6B0488"/>
    <w:rPr>
      <w:sz w:val="24"/>
      <w:lang w:val="en-US" w:eastAsia="de-DE"/>
    </w:rPr>
  </w:style>
  <w:style w:type="paragraph" w:customStyle="1" w:styleId="TitleofDoc">
    <w:name w:val="Title of Doc"/>
    <w:basedOn w:val="Normal"/>
    <w:rsid w:val="006B0488"/>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6B0488"/>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6B0488"/>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6B0488"/>
    <w:rPr>
      <w:sz w:val="16"/>
      <w:szCs w:val="16"/>
      <w:lang w:val="en-US" w:eastAsia="de-DE"/>
    </w:rPr>
  </w:style>
  <w:style w:type="paragraph" w:styleId="BodyText2">
    <w:name w:val="Body Text 2"/>
    <w:basedOn w:val="Normal"/>
    <w:link w:val="BodyText2Char"/>
    <w:rsid w:val="006B0488"/>
    <w:rPr>
      <w:rFonts w:eastAsia="Times New Roman"/>
      <w:snapToGrid w:val="0"/>
      <w:szCs w:val="22"/>
      <w:lang w:eastAsia="en-US"/>
    </w:rPr>
  </w:style>
  <w:style w:type="character" w:customStyle="1" w:styleId="BodyText2Char">
    <w:name w:val="Body Text 2 Char"/>
    <w:basedOn w:val="DefaultParagraphFont"/>
    <w:link w:val="BodyText2"/>
    <w:rsid w:val="006B0488"/>
    <w:rPr>
      <w:rFonts w:ascii="Arial" w:hAnsi="Arial" w:cs="Arial"/>
      <w:snapToGrid w:val="0"/>
      <w:sz w:val="22"/>
      <w:szCs w:val="22"/>
      <w:lang w:val="en-US" w:eastAsia="en-US"/>
    </w:rPr>
  </w:style>
  <w:style w:type="character" w:styleId="Emphasis">
    <w:name w:val="Emphasis"/>
    <w:qFormat/>
    <w:rsid w:val="006B0488"/>
    <w:rPr>
      <w:i/>
      <w:iCs/>
    </w:rPr>
  </w:style>
  <w:style w:type="character" w:styleId="Strong">
    <w:name w:val="Strong"/>
    <w:qFormat/>
    <w:rsid w:val="006B0488"/>
    <w:rPr>
      <w:b/>
      <w:bCs/>
    </w:rPr>
  </w:style>
  <w:style w:type="character" w:styleId="FollowedHyperlink">
    <w:name w:val="FollowedHyperlink"/>
    <w:rsid w:val="006B0488"/>
    <w:rPr>
      <w:color w:val="800080"/>
      <w:u w:val="single"/>
    </w:rPr>
  </w:style>
  <w:style w:type="paragraph" w:styleId="BodyTextIndent">
    <w:name w:val="Body Text Indent"/>
    <w:basedOn w:val="Normal"/>
    <w:link w:val="BodyTextIndentChar"/>
    <w:rsid w:val="006B0488"/>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6B0488"/>
    <w:rPr>
      <w:sz w:val="24"/>
      <w:szCs w:val="24"/>
      <w:lang w:val="en-US" w:eastAsia="en-US"/>
    </w:rPr>
  </w:style>
  <w:style w:type="paragraph" w:customStyle="1" w:styleId="H2">
    <w:name w:val="H2"/>
    <w:basedOn w:val="Normal"/>
    <w:next w:val="Normal"/>
    <w:rsid w:val="006B0488"/>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6B0488"/>
    <w:rPr>
      <w:rFonts w:ascii="Arial" w:hAnsi="Arial" w:cs="Arial" w:hint="default"/>
      <w:b w:val="0"/>
      <w:bCs w:val="0"/>
      <w:color w:val="000000"/>
      <w:sz w:val="20"/>
      <w:szCs w:val="20"/>
    </w:rPr>
  </w:style>
  <w:style w:type="paragraph" w:customStyle="1" w:styleId="preparedby">
    <w:name w:val="prepared by"/>
    <w:basedOn w:val="Normal"/>
    <w:next w:val="Normal"/>
    <w:rsid w:val="006B0488"/>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6B0488"/>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6B0488"/>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6B0488"/>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6B0488"/>
    <w:pPr>
      <w:spacing w:after="0"/>
    </w:pPr>
    <w:rPr>
      <w:sz w:val="24"/>
    </w:rPr>
  </w:style>
  <w:style w:type="paragraph" w:customStyle="1" w:styleId="Meetingdateplace">
    <w:name w:val="Meeting date &amp; place"/>
    <w:basedOn w:val="Sessiontitle"/>
    <w:next w:val="Documenttitle"/>
    <w:rsid w:val="006B0488"/>
    <w:rPr>
      <w:lang w:val="en-US"/>
    </w:rPr>
  </w:style>
  <w:style w:type="character" w:customStyle="1" w:styleId="MeetinglanguageDateChar">
    <w:name w:val="Meeting language &amp; Date Char"/>
    <w:link w:val="MeetinglanguageDate"/>
    <w:rsid w:val="006B0488"/>
    <w:rPr>
      <w:rFonts w:ascii="Arial Black" w:hAnsi="Arial Black"/>
      <w:b/>
      <w:caps/>
      <w:sz w:val="15"/>
      <w:lang w:val="fr-FR" w:eastAsia="en-US"/>
    </w:rPr>
  </w:style>
  <w:style w:type="paragraph" w:customStyle="1" w:styleId="Language">
    <w:name w:val="Language"/>
    <w:basedOn w:val="Normal"/>
    <w:next w:val="Normal"/>
    <w:autoRedefine/>
    <w:rsid w:val="006B0488"/>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6B0488"/>
    <w:pPr>
      <w:spacing w:before="300" w:after="0"/>
    </w:pPr>
  </w:style>
  <w:style w:type="paragraph" w:customStyle="1" w:styleId="Char">
    <w:name w:val="Char 字元 字元"/>
    <w:basedOn w:val="Normal"/>
    <w:rsid w:val="006B0488"/>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6B0488"/>
    <w:pPr>
      <w:spacing w:line="336" w:lineRule="exact"/>
    </w:pPr>
    <w:rPr>
      <w:lang w:val="en-US"/>
    </w:rPr>
  </w:style>
  <w:style w:type="paragraph" w:customStyle="1" w:styleId="Default">
    <w:name w:val="Default"/>
    <w:rsid w:val="006B0488"/>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6B0488"/>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6B0488"/>
  </w:style>
  <w:style w:type="character" w:customStyle="1" w:styleId="definition">
    <w:name w:val="definition"/>
    <w:basedOn w:val="DefaultParagraphFont"/>
    <w:rsid w:val="006B0488"/>
  </w:style>
  <w:style w:type="paragraph" w:styleId="NormalWeb">
    <w:name w:val="Normal (Web)"/>
    <w:basedOn w:val="Normal"/>
    <w:rsid w:val="006B0488"/>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6B0488"/>
    <w:rPr>
      <w:rFonts w:ascii="Arial" w:hAnsi="Arial" w:cs="Angsana New"/>
      <w:color w:val="auto"/>
    </w:rPr>
  </w:style>
  <w:style w:type="paragraph" w:customStyle="1" w:styleId="SP131099">
    <w:name w:val="SP131099"/>
    <w:basedOn w:val="Default"/>
    <w:next w:val="Default"/>
    <w:rsid w:val="006B0488"/>
    <w:rPr>
      <w:rFonts w:ascii="Times New Roman" w:hAnsi="Times New Roman" w:cs="Angsana New"/>
      <w:color w:val="auto"/>
    </w:rPr>
  </w:style>
  <w:style w:type="character" w:customStyle="1" w:styleId="SC229382">
    <w:name w:val="SC229382"/>
    <w:rsid w:val="006B0488"/>
    <w:rPr>
      <w:rFonts w:cs="Times New Roman"/>
      <w:color w:val="000000"/>
      <w:sz w:val="22"/>
      <w:szCs w:val="22"/>
    </w:rPr>
  </w:style>
  <w:style w:type="paragraph" w:customStyle="1" w:styleId="Styleinl">
    <w:name w:val="Styleinl"/>
    <w:basedOn w:val="Normal"/>
    <w:rsid w:val="006B0488"/>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6B0488"/>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6B0488"/>
    <w:rPr>
      <w:rFonts w:ascii="Arial" w:eastAsia="SimSun" w:hAnsi="Arial" w:cs="Arial"/>
      <w:b/>
      <w:bCs/>
      <w:sz w:val="18"/>
      <w:lang w:val="en-US" w:eastAsia="de-DE"/>
    </w:rPr>
  </w:style>
  <w:style w:type="paragraph" w:styleId="CommentSubject">
    <w:name w:val="annotation subject"/>
    <w:basedOn w:val="CommentText"/>
    <w:next w:val="CommentText"/>
    <w:link w:val="CommentSubjectChar"/>
    <w:semiHidden/>
    <w:rsid w:val="006B0488"/>
    <w:rPr>
      <w:b/>
      <w:bCs/>
      <w:lang w:eastAsia="de-DE"/>
    </w:rPr>
  </w:style>
  <w:style w:type="character" w:customStyle="1" w:styleId="CommentTextChar1">
    <w:name w:val="Comment Text Char1"/>
    <w:basedOn w:val="DefaultParagraphFont"/>
    <w:link w:val="CommentText"/>
    <w:semiHidden/>
    <w:rsid w:val="006B0488"/>
    <w:rPr>
      <w:rFonts w:ascii="Arial" w:eastAsia="SimSun" w:hAnsi="Arial" w:cs="Arial"/>
      <w:sz w:val="18"/>
      <w:lang w:val="en-US" w:eastAsia="zh-CN"/>
    </w:rPr>
  </w:style>
  <w:style w:type="character" w:customStyle="1" w:styleId="CommentSubjectChar1">
    <w:name w:val="Comment Subject Char1"/>
    <w:basedOn w:val="CommentTextChar1"/>
    <w:semiHidden/>
    <w:rsid w:val="006B0488"/>
    <w:rPr>
      <w:rFonts w:ascii="Arial" w:eastAsia="SimSun" w:hAnsi="Arial" w:cs="Arial"/>
      <w:b/>
      <w:bCs/>
      <w:sz w:val="18"/>
      <w:lang w:val="en-US" w:eastAsia="zh-CN"/>
    </w:rPr>
  </w:style>
  <w:style w:type="character" w:customStyle="1" w:styleId="longdesc">
    <w:name w:val="long_desc"/>
    <w:basedOn w:val="DefaultParagraphFont"/>
    <w:rsid w:val="006B0488"/>
  </w:style>
  <w:style w:type="character" w:customStyle="1" w:styleId="Title1">
    <w:name w:val="Title1"/>
    <w:basedOn w:val="DefaultParagraphFont"/>
    <w:rsid w:val="006B0488"/>
  </w:style>
  <w:style w:type="paragraph" w:customStyle="1" w:styleId="NormalArial">
    <w:name w:val="Normal + Arial"/>
    <w:aliases w:val="(Complex) Bold"/>
    <w:basedOn w:val="Normal"/>
    <w:rsid w:val="006B0488"/>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6B0488"/>
    <w:rPr>
      <w:rFonts w:ascii="Tahoma" w:hAnsi="Tahoma" w:cs="Tahoma"/>
      <w:shd w:val="clear" w:color="auto" w:fill="000080"/>
      <w:lang w:val="en-US" w:eastAsia="de-DE"/>
    </w:rPr>
  </w:style>
  <w:style w:type="paragraph" w:styleId="DocumentMap">
    <w:name w:val="Document Map"/>
    <w:basedOn w:val="Normal"/>
    <w:link w:val="DocumentMapChar"/>
    <w:semiHidden/>
    <w:rsid w:val="006B0488"/>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6B0488"/>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6B0488"/>
    <w:rPr>
      <w:rFonts w:ascii="Arial" w:eastAsia="SimSun" w:hAnsi="Arial"/>
      <w:lang w:val="en-US" w:eastAsia="en-US"/>
    </w:rPr>
  </w:style>
  <w:style w:type="paragraph" w:styleId="Closing">
    <w:name w:val="Closing"/>
    <w:basedOn w:val="Normal"/>
    <w:link w:val="ClosingChar"/>
    <w:semiHidden/>
    <w:rsid w:val="006B0488"/>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6B0488"/>
    <w:rPr>
      <w:rFonts w:ascii="Arial" w:eastAsia="SimSun" w:hAnsi="Arial" w:cs="Arial"/>
      <w:sz w:val="22"/>
      <w:lang w:val="en-US" w:eastAsia="zh-CN"/>
    </w:rPr>
  </w:style>
  <w:style w:type="paragraph" w:styleId="MacroText">
    <w:name w:val="macro"/>
    <w:link w:val="MacroTextChar"/>
    <w:rsid w:val="006B048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6B0488"/>
    <w:rPr>
      <w:rFonts w:ascii="Courier New" w:eastAsia="SimSun" w:hAnsi="Courier New"/>
      <w:sz w:val="16"/>
      <w:lang w:val="en-US" w:eastAsia="en-US"/>
    </w:rPr>
  </w:style>
  <w:style w:type="paragraph" w:styleId="Title">
    <w:name w:val="Title"/>
    <w:basedOn w:val="Normal"/>
    <w:link w:val="TitleChar"/>
    <w:qFormat/>
    <w:rsid w:val="006B0488"/>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6B0488"/>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6B0488"/>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6B0488"/>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6B0488"/>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6B0488"/>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6B0488"/>
  </w:style>
  <w:style w:type="character" w:customStyle="1" w:styleId="TESTorganisationChar">
    <w:name w:val="TESTorganisation Char"/>
    <w:basedOn w:val="TESTintellectualpropertyChar"/>
    <w:link w:val="TESTorganisation"/>
    <w:semiHidden/>
    <w:rsid w:val="006B0488"/>
    <w:rPr>
      <w:rFonts w:ascii="Arial" w:eastAsia="SimSun" w:hAnsi="Arial"/>
      <w:caps/>
      <w:sz w:val="16"/>
      <w:lang w:val="en-US" w:eastAsia="en-US"/>
    </w:rPr>
  </w:style>
  <w:style w:type="paragraph" w:customStyle="1" w:styleId="TestIWIPO">
    <w:name w:val="Test I WIPO"/>
    <w:basedOn w:val="TESTwiposouslogo"/>
    <w:link w:val="TestIWIPOChar"/>
    <w:semiHidden/>
    <w:rsid w:val="006B0488"/>
    <w:pPr>
      <w:ind w:right="4763"/>
    </w:pPr>
    <w:rPr>
      <w:sz w:val="28"/>
      <w:szCs w:val="28"/>
    </w:rPr>
  </w:style>
  <w:style w:type="character" w:customStyle="1" w:styleId="TestIWIPOChar">
    <w:name w:val="Test I WIPO Char"/>
    <w:link w:val="TestIWIPO"/>
    <w:semiHidden/>
    <w:rsid w:val="006B0488"/>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6B0488"/>
    <w:rPr>
      <w:rFonts w:ascii="Arial Black" w:hAnsi="Arial Black"/>
      <w:b/>
      <w:sz w:val="20"/>
    </w:rPr>
  </w:style>
  <w:style w:type="character" w:customStyle="1" w:styleId="TESTIintellectualChar">
    <w:name w:val="TEST I intellectual Char"/>
    <w:link w:val="TESTIintellectual"/>
    <w:semiHidden/>
    <w:rsid w:val="006B0488"/>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6B0488"/>
    <w:rPr>
      <w:b/>
      <w:sz w:val="20"/>
    </w:rPr>
  </w:style>
  <w:style w:type="character" w:customStyle="1" w:styleId="TESTIorganisationChar">
    <w:name w:val="TEST I organisation Char"/>
    <w:link w:val="TESTIorganisation"/>
    <w:semiHidden/>
    <w:rsid w:val="006B0488"/>
    <w:rPr>
      <w:rFonts w:ascii="Arial" w:eastAsia="SimSun" w:hAnsi="Arial"/>
      <w:b/>
      <w:caps/>
      <w:lang w:val="en-US" w:eastAsia="en-US"/>
    </w:rPr>
  </w:style>
  <w:style w:type="character" w:customStyle="1" w:styleId="FootnoteTextChar">
    <w:name w:val="Footnote Text Char"/>
    <w:rsid w:val="006B0488"/>
    <w:rPr>
      <w:rFonts w:ascii="Arial" w:hAnsi="Arial" w:cs="Arial"/>
      <w:sz w:val="22"/>
      <w:lang w:val="en-US" w:eastAsia="en-US" w:bidi="ar-SA"/>
    </w:rPr>
  </w:style>
  <w:style w:type="paragraph" w:customStyle="1" w:styleId="Pa4">
    <w:name w:val="Pa4"/>
    <w:basedOn w:val="Default"/>
    <w:next w:val="Default"/>
    <w:rsid w:val="006B0488"/>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6B0488"/>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6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6B0488"/>
    <w:rPr>
      <w:rFonts w:ascii="Courier New" w:hAnsi="Courier New" w:cs="Courier New"/>
      <w:lang w:val="en-US" w:eastAsia="en-US"/>
    </w:rPr>
  </w:style>
  <w:style w:type="paragraph" w:styleId="PlainText">
    <w:name w:val="Plain Text"/>
    <w:basedOn w:val="Normal"/>
    <w:link w:val="PlainTextChar"/>
    <w:rsid w:val="006B0488"/>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6B0488"/>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6B0488"/>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6B0488"/>
    <w:rPr>
      <w:rFonts w:eastAsia="SimSun"/>
      <w:b/>
      <w:caps/>
      <w:sz w:val="22"/>
      <w:szCs w:val="24"/>
      <w:lang w:val="en-GB" w:eastAsia="en-US"/>
    </w:rPr>
  </w:style>
  <w:style w:type="character" w:customStyle="1" w:styleId="pagetitle1">
    <w:name w:val="pagetitle1"/>
    <w:rsid w:val="006B0488"/>
    <w:rPr>
      <w:rFonts w:ascii="Verdana" w:hAnsi="Verdana" w:hint="default"/>
      <w:b/>
      <w:bCs/>
    </w:rPr>
  </w:style>
  <w:style w:type="paragraph" w:styleId="ListParagraph">
    <w:name w:val="List Paragraph"/>
    <w:basedOn w:val="Normal"/>
    <w:uiPriority w:val="34"/>
    <w:qFormat/>
    <w:rsid w:val="006B0488"/>
    <w:pPr>
      <w:ind w:left="720"/>
      <w:contextualSpacing/>
    </w:pPr>
  </w:style>
  <w:style w:type="character" w:styleId="CommentReference">
    <w:name w:val="annotation reference"/>
    <w:basedOn w:val="DefaultParagraphFont"/>
    <w:rsid w:val="006B0488"/>
    <w:rPr>
      <w:sz w:val="16"/>
      <w:szCs w:val="16"/>
    </w:rPr>
  </w:style>
  <w:style w:type="character" w:customStyle="1" w:styleId="num2">
    <w:name w:val="num2"/>
    <w:basedOn w:val="DefaultParagraphFont"/>
    <w:rsid w:val="006B0488"/>
    <w:rPr>
      <w:b/>
      <w:bCs/>
    </w:rPr>
  </w:style>
  <w:style w:type="character" w:customStyle="1" w:styleId="heading20">
    <w:name w:val="heading2"/>
    <w:basedOn w:val="DefaultParagraphFont"/>
    <w:rsid w:val="006B0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databases/contracts/index.html" TargetMode="External"/><Relationship Id="rId13" Type="http://schemas.openxmlformats.org/officeDocument/2006/relationships/hyperlink" Target="https://www.gpo.gov/fdsys/pkg/USCODE-2011-title35/pdf/USCODE-2011-title35-partII-chap14-sec151.pdf" TargetMode="External"/><Relationship Id="rId18" Type="http://schemas.openxmlformats.org/officeDocument/2006/relationships/hyperlink" Target="http://www.wipo.int/tk/en/tk/ffm/report/index.html" TargetMode="External"/><Relationship Id="rId3" Type="http://schemas.openxmlformats.org/officeDocument/2006/relationships/hyperlink" Target="http://wedocs.unep.org/handle/20.500.11822/7569" TargetMode="External"/><Relationship Id="rId21" Type="http://schemas.openxmlformats.org/officeDocument/2006/relationships/hyperlink" Target="http://www.tkdl.res.in/tkdl/langdefault/common/TKRC.asp?GL=Eng" TargetMode="External"/><Relationship Id="rId7" Type="http://schemas.openxmlformats.org/officeDocument/2006/relationships/hyperlink" Target="http://www.wipo.int/copyright/en/limitations/index.html" TargetMode="External"/><Relationship Id="rId12" Type="http://schemas.openxmlformats.org/officeDocument/2006/relationships/hyperlink" Target="https://www.uspto.gov/web/offices/pac/mpep/mpep-9015-appx-l.html" TargetMode="External"/><Relationship Id="rId17" Type="http://schemas.openxmlformats.org/officeDocument/2006/relationships/hyperlink" Target="http://www.wipo.int/wipolex/en/details.jsp?id=3420" TargetMode="External"/><Relationship Id="rId2" Type="http://schemas.openxmlformats.org/officeDocument/2006/relationships/hyperlink" Target="https://www.unenvironment.org/resources/report/glossary-terms-negotiators-multilateral-environmental-agreements" TargetMode="External"/><Relationship Id="rId16" Type="http://schemas.openxmlformats.org/officeDocument/2006/relationships/hyperlink" Target="http://www.law.duke.edu/cspd/itkpaper" TargetMode="External"/><Relationship Id="rId20" Type="http://schemas.openxmlformats.org/officeDocument/2006/relationships/hyperlink" Target="http://www.tkdl.res.in/tkdl/langdefault/common/Abouttkdl.asp?GL=Eng"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undp.org/content/undp/en/home/librarypage/environment-energy/local_development/undp-and-indigenous-peoples-a-policy-of-engagement.html" TargetMode="External"/><Relationship Id="rId11" Type="http://schemas.openxmlformats.org/officeDocument/2006/relationships/hyperlink" Target="https://www.uspto.gov/web/offices/pac/mpep/mpep-9015-appx-l.html" TargetMode="External"/><Relationship Id="rId5" Type="http://schemas.openxmlformats.org/officeDocument/2006/relationships/hyperlink" Target="http://www.ifad.org/english/indigenous/documents/ip_policy_e.pdf" TargetMode="External"/><Relationship Id="rId15" Type="http://schemas.openxmlformats.org/officeDocument/2006/relationships/hyperlink" Target="http://www.wipo.int/wipolex/en/details.jsp?id=16061" TargetMode="External"/><Relationship Id="rId23" Type="http://schemas.openxmlformats.org/officeDocument/2006/relationships/hyperlink" Target="http://www.wipo.int/publications/en/details.jsp?id=4235" TargetMode="External"/><Relationship Id="rId10" Type="http://schemas.openxmlformats.org/officeDocument/2006/relationships/hyperlink" Target="http://www.wipo.int/pct/en/texts/glossary.html" TargetMode="External"/><Relationship Id="rId19" Type="http://schemas.openxmlformats.org/officeDocument/2006/relationships/hyperlink" Target="http://www.wipo.int/publications/en/details.jsp?id=283&amp;plang=EN" TargetMode="External"/><Relationship Id="rId4" Type="http://schemas.openxmlformats.org/officeDocument/2006/relationships/hyperlink" Target="http://www.fao.org/docrep/013/i1857e/i1857e00.pdf" TargetMode="External"/><Relationship Id="rId9" Type="http://schemas.openxmlformats.org/officeDocument/2006/relationships/hyperlink" Target="http://www.fao.org/3/a-be623e.pdf" TargetMode="External"/><Relationship Id="rId14" Type="http://schemas.openxmlformats.org/officeDocument/2006/relationships/hyperlink" Target="https://www.gpo.gov/fdsys/pkg/USCODE-2011-title35/pdf/USCODE-2011-title35-partII-chap11-sec122.pdf" TargetMode="External"/><Relationship Id="rId22" Type="http://schemas.openxmlformats.org/officeDocument/2006/relationships/hyperlink" Target="http://www.un.org/en/universal-declaration-human-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138B-DA3B-4091-8D17-E9608F4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31</TotalTime>
  <Pages>48</Pages>
  <Words>20700</Words>
  <Characters>121491</Characters>
  <Application>Microsoft Office Word</Application>
  <DocSecurity>0</DocSecurity>
  <Lines>1012</Lines>
  <Paragraphs>283</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WIPO/GRTKF/IC/38/INF/7</dc:title>
  <dc:creator>JIAO Fei</dc:creator>
  <cp:lastModifiedBy>MORENO PALESTINI Maria Del Pilar</cp:lastModifiedBy>
  <cp:revision>5</cp:revision>
  <cp:lastPrinted>2011-02-15T11:56:00Z</cp:lastPrinted>
  <dcterms:created xsi:type="dcterms:W3CDTF">2018-09-24T13:47:00Z</dcterms:created>
  <dcterms:modified xsi:type="dcterms:W3CDTF">2018-09-28T10:20:00Z</dcterms:modified>
</cp:coreProperties>
</file>