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8B81" w14:textId="77777777" w:rsidR="008B2CC1" w:rsidRPr="006211EE" w:rsidRDefault="00DB0349" w:rsidP="00DB0349">
      <w:pPr>
        <w:spacing w:after="120"/>
        <w:jc w:val="right"/>
        <w:rPr>
          <w:lang w:val="fr-FR"/>
        </w:rPr>
      </w:pPr>
      <w:r w:rsidRPr="006211EE">
        <w:rPr>
          <w:noProof/>
          <w:lang w:val="fr-FR" w:eastAsia="en-US"/>
        </w:rPr>
        <w:drawing>
          <wp:inline distT="0" distB="0" distL="0" distR="0" wp14:anchorId="51E3FB5B" wp14:editId="322EA63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211EE">
        <w:rPr>
          <w:rFonts w:ascii="Arial Black" w:hAnsi="Arial Black"/>
          <w:caps/>
          <w:noProof/>
          <w:sz w:val="15"/>
          <w:szCs w:val="15"/>
          <w:lang w:val="fr-FR" w:eastAsia="en-US"/>
        </w:rPr>
        <mc:AlternateContent>
          <mc:Choice Requires="wps">
            <w:drawing>
              <wp:inline distT="0" distB="0" distL="0" distR="0" wp14:anchorId="42AAF20E" wp14:editId="3314E2C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0D81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4DE9101" w14:textId="77777777" w:rsidR="008B2CC1" w:rsidRPr="006211EE" w:rsidRDefault="00FC45E7" w:rsidP="00DB0349">
      <w:pPr>
        <w:jc w:val="right"/>
        <w:rPr>
          <w:rFonts w:ascii="Arial Black" w:hAnsi="Arial Black"/>
          <w:caps/>
          <w:sz w:val="15"/>
          <w:szCs w:val="15"/>
          <w:lang w:val="fr-FR"/>
        </w:rPr>
      </w:pPr>
      <w:r w:rsidRPr="006211EE">
        <w:rPr>
          <w:rFonts w:ascii="Arial Black" w:hAnsi="Arial Black"/>
          <w:caps/>
          <w:sz w:val="15"/>
          <w:szCs w:val="15"/>
          <w:lang w:val="fr-FR"/>
        </w:rPr>
        <w:t>pct</w:t>
      </w:r>
      <w:r w:rsidR="00AE7C04" w:rsidRPr="006211EE">
        <w:rPr>
          <w:rFonts w:ascii="Arial Black" w:hAnsi="Arial Black"/>
          <w:caps/>
          <w:sz w:val="15"/>
          <w:szCs w:val="15"/>
          <w:lang w:val="fr-FR"/>
        </w:rPr>
        <w:t>/</w:t>
      </w:r>
      <w:r w:rsidRPr="006211EE">
        <w:rPr>
          <w:rFonts w:ascii="Arial Black" w:hAnsi="Arial Black"/>
          <w:caps/>
          <w:sz w:val="15"/>
          <w:szCs w:val="15"/>
          <w:lang w:val="fr-FR"/>
        </w:rPr>
        <w:t>wg</w:t>
      </w:r>
      <w:r w:rsidR="00AE7C04" w:rsidRPr="006211EE">
        <w:rPr>
          <w:rFonts w:ascii="Arial Black" w:hAnsi="Arial Black"/>
          <w:caps/>
          <w:sz w:val="15"/>
          <w:szCs w:val="15"/>
          <w:lang w:val="fr-FR"/>
        </w:rPr>
        <w:t>/</w:t>
      </w:r>
      <w:r w:rsidRPr="006211EE">
        <w:rPr>
          <w:rFonts w:ascii="Arial Black" w:hAnsi="Arial Black"/>
          <w:caps/>
          <w:sz w:val="15"/>
          <w:szCs w:val="15"/>
          <w:lang w:val="fr-FR"/>
        </w:rPr>
        <w:t>1</w:t>
      </w:r>
      <w:r w:rsidR="004010C2" w:rsidRPr="006211EE">
        <w:rPr>
          <w:rFonts w:ascii="Arial Black" w:hAnsi="Arial Black"/>
          <w:caps/>
          <w:sz w:val="15"/>
          <w:szCs w:val="15"/>
          <w:lang w:val="fr-FR"/>
        </w:rPr>
        <w:t>7</w:t>
      </w:r>
      <w:r w:rsidR="00D04414" w:rsidRPr="006211EE">
        <w:rPr>
          <w:rFonts w:ascii="Arial Black" w:hAnsi="Arial Black"/>
          <w:caps/>
          <w:sz w:val="15"/>
          <w:szCs w:val="15"/>
          <w:lang w:val="fr-FR"/>
        </w:rPr>
        <w:t>/</w:t>
      </w:r>
      <w:bookmarkStart w:id="0" w:name="Code"/>
      <w:r w:rsidR="00790857" w:rsidRPr="006211EE">
        <w:rPr>
          <w:rFonts w:ascii="Arial Black" w:hAnsi="Arial Black"/>
          <w:caps/>
          <w:sz w:val="15"/>
          <w:szCs w:val="15"/>
          <w:lang w:val="fr-FR"/>
        </w:rPr>
        <w:t>7</w:t>
      </w:r>
    </w:p>
    <w:bookmarkEnd w:id="0"/>
    <w:p w14:paraId="496DB598" w14:textId="0C99EC44" w:rsidR="008B2CC1" w:rsidRPr="006211EE" w:rsidRDefault="00DB0349" w:rsidP="00DB0349">
      <w:pPr>
        <w:jc w:val="right"/>
        <w:rPr>
          <w:rFonts w:ascii="Arial Black" w:hAnsi="Arial Black"/>
          <w:caps/>
          <w:sz w:val="15"/>
          <w:szCs w:val="15"/>
          <w:lang w:val="fr-FR"/>
        </w:rPr>
      </w:pPr>
      <w:r w:rsidRPr="006211EE">
        <w:rPr>
          <w:rFonts w:ascii="Arial Black" w:hAnsi="Arial Black"/>
          <w:caps/>
          <w:sz w:val="15"/>
          <w:szCs w:val="15"/>
          <w:lang w:val="fr-FR"/>
        </w:rPr>
        <w:t>Original</w:t>
      </w:r>
      <w:r w:rsidR="009F4075" w:rsidRPr="006211EE">
        <w:rPr>
          <w:rFonts w:ascii="Arial Black" w:hAnsi="Arial Black"/>
          <w:caps/>
          <w:sz w:val="15"/>
          <w:szCs w:val="15"/>
          <w:lang w:val="fr-FR"/>
        </w:rPr>
        <w:t> :</w:t>
      </w:r>
      <w:r w:rsidRPr="006211EE">
        <w:rPr>
          <w:rFonts w:ascii="Arial Black" w:hAnsi="Arial Black"/>
          <w:caps/>
          <w:sz w:val="15"/>
          <w:szCs w:val="15"/>
          <w:lang w:val="fr-FR"/>
        </w:rPr>
        <w:t xml:space="preserve"> </w:t>
      </w:r>
      <w:bookmarkStart w:id="1" w:name="Original"/>
      <w:r w:rsidR="00790857" w:rsidRPr="006211EE">
        <w:rPr>
          <w:rFonts w:ascii="Arial Black" w:hAnsi="Arial Black"/>
          <w:caps/>
          <w:sz w:val="15"/>
          <w:szCs w:val="15"/>
          <w:lang w:val="fr-FR"/>
        </w:rPr>
        <w:t>anglais</w:t>
      </w:r>
    </w:p>
    <w:bookmarkEnd w:id="1"/>
    <w:p w14:paraId="10DC6715" w14:textId="7421F894" w:rsidR="008B2CC1" w:rsidRPr="006211EE" w:rsidRDefault="00DB0349" w:rsidP="00DB0349">
      <w:pPr>
        <w:spacing w:after="1200"/>
        <w:jc w:val="right"/>
        <w:rPr>
          <w:rFonts w:ascii="Arial Black" w:hAnsi="Arial Black"/>
          <w:caps/>
          <w:sz w:val="15"/>
          <w:szCs w:val="15"/>
          <w:lang w:val="fr-FR"/>
        </w:rPr>
      </w:pPr>
      <w:r w:rsidRPr="006211EE">
        <w:rPr>
          <w:rFonts w:ascii="Arial Black" w:hAnsi="Arial Black"/>
          <w:caps/>
          <w:sz w:val="15"/>
          <w:szCs w:val="15"/>
          <w:lang w:val="fr-FR"/>
        </w:rPr>
        <w:t>date</w:t>
      </w:r>
      <w:r w:rsidR="009F4075" w:rsidRPr="006211EE">
        <w:rPr>
          <w:rFonts w:ascii="Arial Black" w:hAnsi="Arial Black"/>
          <w:caps/>
          <w:sz w:val="15"/>
          <w:szCs w:val="15"/>
          <w:lang w:val="fr-FR"/>
        </w:rPr>
        <w:t> :</w:t>
      </w:r>
      <w:r w:rsidRPr="006211EE">
        <w:rPr>
          <w:rFonts w:ascii="Arial Black" w:hAnsi="Arial Black"/>
          <w:caps/>
          <w:sz w:val="15"/>
          <w:szCs w:val="15"/>
          <w:lang w:val="fr-FR"/>
        </w:rPr>
        <w:t xml:space="preserve"> </w:t>
      </w:r>
      <w:bookmarkStart w:id="2" w:name="Date"/>
      <w:r w:rsidR="00790857" w:rsidRPr="006211EE">
        <w:rPr>
          <w:rFonts w:ascii="Arial Black" w:hAnsi="Arial Black"/>
          <w:caps/>
          <w:sz w:val="15"/>
          <w:szCs w:val="15"/>
          <w:lang w:val="fr-FR"/>
        </w:rPr>
        <w:t>18 janvier 2024</w:t>
      </w:r>
    </w:p>
    <w:bookmarkEnd w:id="2"/>
    <w:p w14:paraId="726B4274" w14:textId="77777777" w:rsidR="00C40E15" w:rsidRPr="006211EE" w:rsidRDefault="00BB16AB" w:rsidP="00A003A7">
      <w:pPr>
        <w:spacing w:after="600"/>
        <w:rPr>
          <w:b/>
          <w:sz w:val="28"/>
          <w:szCs w:val="28"/>
          <w:lang w:val="fr-FR"/>
        </w:rPr>
      </w:pPr>
      <w:r w:rsidRPr="006211EE">
        <w:rPr>
          <w:b/>
          <w:sz w:val="28"/>
          <w:szCs w:val="28"/>
          <w:lang w:val="fr-FR"/>
        </w:rPr>
        <w:t>Groupe de travail du Traité de coopération en matière de brevets (PCT)</w:t>
      </w:r>
    </w:p>
    <w:p w14:paraId="17E15454" w14:textId="65F2C671" w:rsidR="008B2CC1" w:rsidRPr="006211EE" w:rsidRDefault="004010C2" w:rsidP="008B2CC1">
      <w:pPr>
        <w:rPr>
          <w:b/>
          <w:sz w:val="24"/>
          <w:szCs w:val="24"/>
          <w:lang w:val="fr-FR"/>
        </w:rPr>
      </w:pPr>
      <w:r w:rsidRPr="006211EE">
        <w:rPr>
          <w:b/>
          <w:sz w:val="24"/>
          <w:szCs w:val="24"/>
          <w:lang w:val="fr-FR"/>
        </w:rPr>
        <w:t>Dix</w:t>
      </w:r>
      <w:r w:rsidR="002A5ABE">
        <w:rPr>
          <w:b/>
          <w:sz w:val="24"/>
          <w:szCs w:val="24"/>
          <w:lang w:val="fr-FR"/>
        </w:rPr>
        <w:noBreakHyphen/>
      </w:r>
      <w:r w:rsidRPr="006211EE">
        <w:rPr>
          <w:b/>
          <w:sz w:val="24"/>
          <w:szCs w:val="24"/>
          <w:lang w:val="fr-FR"/>
        </w:rPr>
        <w:t>sept</w:t>
      </w:r>
      <w:r w:rsidR="009F4075" w:rsidRPr="006211EE">
        <w:rPr>
          <w:b/>
          <w:sz w:val="24"/>
          <w:szCs w:val="24"/>
          <w:lang w:val="fr-FR"/>
        </w:rPr>
        <w:t>ième session</w:t>
      </w:r>
    </w:p>
    <w:p w14:paraId="3A6CDB7B" w14:textId="77777777" w:rsidR="008B2CC1" w:rsidRPr="006211EE" w:rsidRDefault="00BB16AB" w:rsidP="00DB0349">
      <w:pPr>
        <w:spacing w:after="720"/>
        <w:rPr>
          <w:b/>
          <w:sz w:val="24"/>
          <w:szCs w:val="24"/>
          <w:lang w:val="fr-FR"/>
        </w:rPr>
      </w:pPr>
      <w:r w:rsidRPr="006211EE">
        <w:rPr>
          <w:b/>
          <w:sz w:val="24"/>
          <w:szCs w:val="24"/>
          <w:lang w:val="fr-FR"/>
        </w:rPr>
        <w:t xml:space="preserve">Genève, </w:t>
      </w:r>
      <w:r w:rsidR="004010C2" w:rsidRPr="006211EE">
        <w:rPr>
          <w:b/>
          <w:sz w:val="24"/>
          <w:szCs w:val="24"/>
          <w:lang w:val="fr-FR"/>
        </w:rPr>
        <w:t>19 – 21 février 2024</w:t>
      </w:r>
    </w:p>
    <w:p w14:paraId="7D2CC3AA" w14:textId="14AC3BE8" w:rsidR="00AE7C04" w:rsidRPr="002A5ABE" w:rsidRDefault="002A5ABE" w:rsidP="002A5ABE">
      <w:pPr>
        <w:spacing w:after="360"/>
        <w:rPr>
          <w:caps/>
          <w:sz w:val="24"/>
          <w:lang w:val="fr-FR"/>
        </w:rPr>
      </w:pPr>
      <w:bookmarkStart w:id="3" w:name="TitleOfDoc"/>
      <w:r w:rsidRPr="002A5ABE">
        <w:rPr>
          <w:caps/>
          <w:sz w:val="24"/>
          <w:lang w:val="fr-FR"/>
        </w:rPr>
        <w:t>Nouvelle modification de la règle 26.3</w:t>
      </w:r>
      <w:r w:rsidRPr="00F26ED8">
        <w:rPr>
          <w:i/>
          <w:iCs/>
          <w:sz w:val="24"/>
          <w:lang w:val="fr-FR"/>
        </w:rPr>
        <w:t>ter</w:t>
      </w:r>
      <w:r w:rsidRPr="002A5ABE">
        <w:rPr>
          <w:caps/>
          <w:sz w:val="24"/>
          <w:lang w:val="fr-FR"/>
        </w:rPr>
        <w:t xml:space="preserve"> – Invitation à corriger des irrégularités en vertu de l’article </w:t>
      </w:r>
      <w:proofErr w:type="gramStart"/>
      <w:r w:rsidRPr="002A5ABE">
        <w:rPr>
          <w:caps/>
          <w:sz w:val="24"/>
          <w:lang w:val="fr-FR"/>
        </w:rPr>
        <w:t>3.4)</w:t>
      </w:r>
      <w:r w:rsidR="00F26ED8" w:rsidRPr="00F26ED8">
        <w:rPr>
          <w:sz w:val="24"/>
          <w:lang w:val="fr-FR"/>
        </w:rPr>
        <w:t>i</w:t>
      </w:r>
      <w:proofErr w:type="gramEnd"/>
      <w:r w:rsidRPr="002A5ABE">
        <w:rPr>
          <w:caps/>
          <w:sz w:val="24"/>
          <w:lang w:val="fr-FR"/>
        </w:rPr>
        <w:t>)</w:t>
      </w:r>
    </w:p>
    <w:p w14:paraId="395B43A0" w14:textId="78C97DA5" w:rsidR="00525B63" w:rsidRPr="006211EE" w:rsidRDefault="00790857" w:rsidP="00DB0349">
      <w:pPr>
        <w:spacing w:after="960"/>
        <w:rPr>
          <w:i/>
          <w:lang w:val="fr-FR"/>
        </w:rPr>
      </w:pPr>
      <w:bookmarkStart w:id="4" w:name="Prepared"/>
      <w:bookmarkEnd w:id="3"/>
      <w:r w:rsidRPr="006211EE">
        <w:rPr>
          <w:i/>
          <w:lang w:val="fr-FR"/>
        </w:rPr>
        <w:t>Document présenté par le Japon</w:t>
      </w:r>
    </w:p>
    <w:bookmarkEnd w:id="4"/>
    <w:p w14:paraId="4CBCFAF2" w14:textId="717AC155" w:rsidR="00790857" w:rsidRPr="006211EE" w:rsidRDefault="002A5ABE" w:rsidP="002A5ABE">
      <w:pPr>
        <w:pStyle w:val="Heading1"/>
        <w:rPr>
          <w:lang w:val="fr-FR"/>
        </w:rPr>
      </w:pPr>
      <w:r w:rsidRPr="006211EE">
        <w:rPr>
          <w:lang w:val="fr-FR"/>
        </w:rPr>
        <w:t>Résumé</w:t>
      </w:r>
    </w:p>
    <w:p w14:paraId="08F3F3CE" w14:textId="40A4FC94" w:rsidR="00790857" w:rsidRPr="006211EE" w:rsidRDefault="00790857" w:rsidP="002A5ABE">
      <w:pPr>
        <w:pStyle w:val="ONUMFS"/>
        <w:rPr>
          <w:lang w:val="fr-FR"/>
        </w:rPr>
      </w:pPr>
      <w:r w:rsidRPr="006211EE">
        <w:rPr>
          <w:lang w:val="fr-FR"/>
        </w:rPr>
        <w:t>Le Japon souhaiterait proposer une nouvelle modification de la règle </w:t>
      </w:r>
      <w:proofErr w:type="gramStart"/>
      <w:r w:rsidRPr="006211EE">
        <w:rPr>
          <w:lang w:val="fr-FR"/>
        </w:rPr>
        <w:t>26.3</w:t>
      </w:r>
      <w:r w:rsidRPr="006211EE">
        <w:rPr>
          <w:i/>
          <w:iCs/>
          <w:lang w:val="fr-FR"/>
        </w:rPr>
        <w:t>ter</w:t>
      </w:r>
      <w:r w:rsidRPr="006211EE">
        <w:rPr>
          <w:lang w:val="fr-FR"/>
        </w:rPr>
        <w:t>.a</w:t>
      </w:r>
      <w:proofErr w:type="gramEnd"/>
      <w:r w:rsidRPr="006211EE">
        <w:rPr>
          <w:lang w:val="fr-FR"/>
        </w:rPr>
        <w:t>)i) afin de clarifier les opérations de l</w:t>
      </w:r>
      <w:r w:rsidR="009F4075" w:rsidRPr="006211EE">
        <w:rPr>
          <w:lang w:val="fr-FR"/>
        </w:rPr>
        <w:t>’</w:t>
      </w:r>
      <w:r w:rsidRPr="006211EE">
        <w:rPr>
          <w:lang w:val="fr-FR"/>
        </w:rPr>
        <w:t>office récepteur et de leur conférer plus de cohérence sur le plan juridique.</w:t>
      </w:r>
    </w:p>
    <w:p w14:paraId="11DCC9CE" w14:textId="43FB3C0B" w:rsidR="00790857" w:rsidRPr="006211EE" w:rsidRDefault="00790857" w:rsidP="002A5ABE">
      <w:pPr>
        <w:pStyle w:val="ONUMFS"/>
        <w:rPr>
          <w:lang w:val="fr-FR"/>
        </w:rPr>
      </w:pPr>
      <w:r w:rsidRPr="006211EE">
        <w:rPr>
          <w:lang w:val="fr-FR"/>
        </w:rPr>
        <w:t>Cette proposition de révision vise à combler une lacune de la règle 26.3</w:t>
      </w:r>
      <w:r w:rsidRPr="006211EE">
        <w:rPr>
          <w:i/>
          <w:iCs/>
          <w:lang w:val="fr-FR"/>
        </w:rPr>
        <w:t>ter</w:t>
      </w:r>
      <w:r w:rsidRPr="006211EE">
        <w:rPr>
          <w:lang w:val="fr-FR"/>
        </w:rPr>
        <w:t xml:space="preserve"> qui ne permet pas à l</w:t>
      </w:r>
      <w:r w:rsidR="009F4075" w:rsidRPr="006211EE">
        <w:rPr>
          <w:lang w:val="fr-FR"/>
        </w:rPr>
        <w:t>’</w:t>
      </w:r>
      <w:r w:rsidRPr="006211EE">
        <w:rPr>
          <w:lang w:val="fr-FR"/>
        </w:rPr>
        <w:t>office récepteur d</w:t>
      </w:r>
      <w:r w:rsidR="009F4075" w:rsidRPr="006211EE">
        <w:rPr>
          <w:lang w:val="fr-FR"/>
        </w:rPr>
        <w:t>’</w:t>
      </w:r>
      <w:r w:rsidRPr="006211EE">
        <w:rPr>
          <w:lang w:val="fr-FR"/>
        </w:rPr>
        <w:t>envoyer des invitations à effectuer des corrections.</w:t>
      </w:r>
    </w:p>
    <w:p w14:paraId="5E369E81" w14:textId="77777777" w:rsidR="00790857" w:rsidRPr="006211EE" w:rsidRDefault="00790857" w:rsidP="002A5ABE">
      <w:pPr>
        <w:pStyle w:val="Heading1"/>
        <w:rPr>
          <w:lang w:val="fr-FR"/>
        </w:rPr>
      </w:pPr>
      <w:r w:rsidRPr="006211EE">
        <w:rPr>
          <w:lang w:val="fr-FR"/>
        </w:rPr>
        <w:t>Informations générales</w:t>
      </w:r>
    </w:p>
    <w:p w14:paraId="706B9D51" w14:textId="10810702" w:rsidR="00790857" w:rsidRPr="006211EE" w:rsidRDefault="00790857" w:rsidP="002A5ABE">
      <w:pPr>
        <w:pStyle w:val="ONUMFS"/>
        <w:rPr>
          <w:lang w:val="fr-FR"/>
        </w:rPr>
      </w:pPr>
      <w:bookmarkStart w:id="5" w:name="_Ref156400083"/>
      <w:r w:rsidRPr="006211EE">
        <w:rPr>
          <w:lang w:val="fr-FR"/>
        </w:rPr>
        <w:t>À la seiz</w:t>
      </w:r>
      <w:r w:rsidR="009F4075" w:rsidRPr="006211EE">
        <w:rPr>
          <w:lang w:val="fr-FR"/>
        </w:rPr>
        <w:t>ième session</w:t>
      </w:r>
      <w:r w:rsidRPr="006211EE">
        <w:rPr>
          <w:lang w:val="fr-FR"/>
        </w:rPr>
        <w:t xml:space="preserve"> du groupe de travail, en février 2023, la délégation du Japon a indiqué qu</w:t>
      </w:r>
      <w:r w:rsidR="009F4075" w:rsidRPr="006211EE">
        <w:rPr>
          <w:lang w:val="fr-FR"/>
        </w:rPr>
        <w:t>’</w:t>
      </w:r>
      <w:r w:rsidRPr="006211EE">
        <w:rPr>
          <w:lang w:val="fr-FR"/>
        </w:rPr>
        <w:t>elle avait l</w:t>
      </w:r>
      <w:r w:rsidR="009F4075" w:rsidRPr="006211EE">
        <w:rPr>
          <w:lang w:val="fr-FR"/>
        </w:rPr>
        <w:t>’</w:t>
      </w:r>
      <w:r w:rsidRPr="006211EE">
        <w:rPr>
          <w:lang w:val="fr-FR"/>
        </w:rPr>
        <w:t>intention de présenter une proposition relative à une nouvelle modification de la règle </w:t>
      </w:r>
      <w:proofErr w:type="gramStart"/>
      <w:r w:rsidRPr="006211EE">
        <w:rPr>
          <w:lang w:val="fr-FR"/>
        </w:rPr>
        <w:t>26.3</w:t>
      </w:r>
      <w:r w:rsidRPr="006211EE">
        <w:rPr>
          <w:i/>
          <w:iCs/>
          <w:lang w:val="fr-FR"/>
        </w:rPr>
        <w:t>ter</w:t>
      </w:r>
      <w:r w:rsidRPr="006211EE">
        <w:rPr>
          <w:lang w:val="fr-FR"/>
        </w:rPr>
        <w:t>.a</w:t>
      </w:r>
      <w:proofErr w:type="gramEnd"/>
      <w:r w:rsidRPr="006211EE">
        <w:rPr>
          <w:lang w:val="fr-FR"/>
        </w:rPr>
        <w:t xml:space="preserve">) (voir le paragraphe 17 du résumé établi par la présidente de la session, </w:t>
      </w:r>
      <w:r w:rsidR="009F4075" w:rsidRPr="006211EE">
        <w:rPr>
          <w:lang w:val="fr-FR"/>
        </w:rPr>
        <w:t>document</w:t>
      </w:r>
      <w:r w:rsidR="002A5ABE">
        <w:rPr>
          <w:lang w:val="fr-FR"/>
        </w:rPr>
        <w:t> </w:t>
      </w:r>
      <w:r w:rsidR="009F4075" w:rsidRPr="006211EE">
        <w:rPr>
          <w:lang w:val="fr-FR"/>
        </w:rPr>
        <w:t>PC</w:t>
      </w:r>
      <w:r w:rsidRPr="006211EE">
        <w:rPr>
          <w:lang w:val="fr-FR"/>
        </w:rPr>
        <w:t>T/WG/16/9).  La règle actuelle ne permet pas à l</w:t>
      </w:r>
      <w:r w:rsidR="009F4075" w:rsidRPr="006211EE">
        <w:rPr>
          <w:lang w:val="fr-FR"/>
        </w:rPr>
        <w:t>’</w:t>
      </w:r>
      <w:r w:rsidRPr="006211EE">
        <w:rPr>
          <w:lang w:val="fr-FR"/>
        </w:rPr>
        <w:t>office récepteur d</w:t>
      </w:r>
      <w:r w:rsidR="009F4075" w:rsidRPr="006211EE">
        <w:rPr>
          <w:lang w:val="fr-FR"/>
        </w:rPr>
        <w:t>’</w:t>
      </w:r>
      <w:r w:rsidRPr="006211EE">
        <w:rPr>
          <w:lang w:val="fr-FR"/>
        </w:rPr>
        <w:t>inviter le déposant à soumettre la traduction du texte contenu dans les dessins et de l</w:t>
      </w:r>
      <w:r w:rsidR="009F4075" w:rsidRPr="006211EE">
        <w:rPr>
          <w:lang w:val="fr-FR"/>
        </w:rPr>
        <w:t>’</w:t>
      </w:r>
      <w:r w:rsidRPr="006211EE">
        <w:rPr>
          <w:lang w:val="fr-FR"/>
        </w:rPr>
        <w:t>abrégé dans la langue de publication dans le cas suivant</w:t>
      </w:r>
      <w:r w:rsidR="009F4075" w:rsidRPr="006211EE">
        <w:rPr>
          <w:lang w:val="fr-FR"/>
        </w:rPr>
        <w:t> :</w:t>
      </w:r>
      <w:bookmarkEnd w:id="5"/>
    </w:p>
    <w:p w14:paraId="6B7F2030" w14:textId="07B8F83C" w:rsidR="00790857" w:rsidRPr="006211EE" w:rsidRDefault="00790857" w:rsidP="002A5ABE">
      <w:pPr>
        <w:pStyle w:val="ONUMFS"/>
        <w:numPr>
          <w:ilvl w:val="1"/>
          <w:numId w:val="6"/>
        </w:numPr>
        <w:rPr>
          <w:lang w:val="fr-FR"/>
        </w:rPr>
      </w:pPr>
      <w:proofErr w:type="gramStart"/>
      <w:r w:rsidRPr="006211EE">
        <w:rPr>
          <w:lang w:val="fr-FR"/>
        </w:rPr>
        <w:t>la</w:t>
      </w:r>
      <w:proofErr w:type="gramEnd"/>
      <w:r w:rsidRPr="006211EE">
        <w:rPr>
          <w:lang w:val="fr-FR"/>
        </w:rPr>
        <w:t xml:space="preserve"> description et les revendications sont déposées en français, allemand, arabe, chinois, coréen, espagnol, japonais, portugais ou russe (toutes les langues de publication visées à la règle 48.3.a), à l</w:t>
      </w:r>
      <w:r w:rsidR="009F4075" w:rsidRPr="006211EE">
        <w:rPr>
          <w:lang w:val="fr-FR"/>
        </w:rPr>
        <w:t>’</w:t>
      </w:r>
      <w:r w:rsidRPr="006211EE">
        <w:rPr>
          <w:lang w:val="fr-FR"/>
        </w:rPr>
        <w:t>exception de l</w:t>
      </w:r>
      <w:r w:rsidR="009F4075" w:rsidRPr="006211EE">
        <w:rPr>
          <w:lang w:val="fr-FR"/>
        </w:rPr>
        <w:t>’</w:t>
      </w:r>
      <w:r w:rsidRPr="006211EE">
        <w:rPr>
          <w:lang w:val="fr-FR"/>
        </w:rPr>
        <w:t>anglais)</w:t>
      </w:r>
      <w:r w:rsidR="002A5ABE">
        <w:rPr>
          <w:lang w:val="fr-FR"/>
        </w:rPr>
        <w:t>;</w:t>
      </w:r>
    </w:p>
    <w:p w14:paraId="0702C3B5" w14:textId="708FAB41" w:rsidR="00790857" w:rsidRPr="006211EE" w:rsidRDefault="00790857" w:rsidP="002A5ABE">
      <w:pPr>
        <w:pStyle w:val="ONUMFS"/>
        <w:numPr>
          <w:ilvl w:val="1"/>
          <w:numId w:val="6"/>
        </w:numPr>
        <w:rPr>
          <w:lang w:val="fr-FR"/>
        </w:rPr>
      </w:pPr>
      <w:proofErr w:type="gramStart"/>
      <w:r w:rsidRPr="006211EE">
        <w:rPr>
          <w:lang w:val="fr-FR"/>
        </w:rPr>
        <w:t>l</w:t>
      </w:r>
      <w:r w:rsidR="009F4075" w:rsidRPr="006211EE">
        <w:rPr>
          <w:lang w:val="fr-FR"/>
        </w:rPr>
        <w:t>’</w:t>
      </w:r>
      <w:r w:rsidRPr="006211EE">
        <w:rPr>
          <w:lang w:val="fr-FR"/>
        </w:rPr>
        <w:t>abrégé</w:t>
      </w:r>
      <w:proofErr w:type="gramEnd"/>
      <w:r w:rsidRPr="006211EE">
        <w:rPr>
          <w:lang w:val="fr-FR"/>
        </w:rPr>
        <w:t xml:space="preserve"> et le texte contenu dans les dessins sont déposés en anglais</w:t>
      </w:r>
      <w:r w:rsidR="002A5ABE">
        <w:rPr>
          <w:lang w:val="fr-FR"/>
        </w:rPr>
        <w:t xml:space="preserve">; </w:t>
      </w:r>
      <w:r w:rsidRPr="006211EE">
        <w:rPr>
          <w:lang w:val="fr-FR"/>
        </w:rPr>
        <w:t xml:space="preserve"> et</w:t>
      </w:r>
    </w:p>
    <w:p w14:paraId="101AAA62" w14:textId="77777777" w:rsidR="00790857" w:rsidRPr="006211EE" w:rsidRDefault="00790857" w:rsidP="002A5ABE">
      <w:pPr>
        <w:pStyle w:val="ONUMFS"/>
        <w:numPr>
          <w:ilvl w:val="1"/>
          <w:numId w:val="6"/>
        </w:numPr>
        <w:rPr>
          <w:lang w:val="fr-FR"/>
        </w:rPr>
      </w:pPr>
      <w:proofErr w:type="gramStart"/>
      <w:r w:rsidRPr="006211EE">
        <w:rPr>
          <w:lang w:val="fr-FR"/>
        </w:rPr>
        <w:lastRenderedPageBreak/>
        <w:t>la</w:t>
      </w:r>
      <w:proofErr w:type="gramEnd"/>
      <w:r w:rsidRPr="006211EE">
        <w:rPr>
          <w:lang w:val="fr-FR"/>
        </w:rPr>
        <w:t xml:space="preserve"> traduction visée à la règle 12.3 est soumise en anglais.</w:t>
      </w:r>
    </w:p>
    <w:p w14:paraId="6A072AD8" w14:textId="55E1E268" w:rsidR="00790857" w:rsidRPr="006211EE" w:rsidRDefault="00790857" w:rsidP="002A5ABE">
      <w:pPr>
        <w:pStyle w:val="ONUMFS"/>
        <w:rPr>
          <w:lang w:val="fr-FR"/>
        </w:rPr>
      </w:pPr>
      <w:r w:rsidRPr="006211EE">
        <w:rPr>
          <w:lang w:val="fr-FR"/>
        </w:rPr>
        <w:t>Par conséquent, ni l</w:t>
      </w:r>
      <w:r w:rsidR="009F4075" w:rsidRPr="006211EE">
        <w:rPr>
          <w:lang w:val="fr-FR"/>
        </w:rPr>
        <w:t>’</w:t>
      </w:r>
      <w:r w:rsidRPr="006211EE">
        <w:rPr>
          <w:lang w:val="fr-FR"/>
        </w:rPr>
        <w:t>abrégé ni le texte contenu dans les dessins ne seraient rédigés dans la langue dans laquelle la demande internationale doit être publiée (règle 48.3.a)), comme l</w:t>
      </w:r>
      <w:r w:rsidR="009F4075" w:rsidRPr="006211EE">
        <w:rPr>
          <w:lang w:val="fr-FR"/>
        </w:rPr>
        <w:t>’</w:t>
      </w:r>
      <w:r w:rsidRPr="006211EE">
        <w:rPr>
          <w:lang w:val="fr-FR"/>
        </w:rPr>
        <w:t>illustrent les figures suivantes [CAS 2].</w:t>
      </w:r>
    </w:p>
    <w:p w14:paraId="300397FB" w14:textId="5CC84F24" w:rsidR="00790857" w:rsidRPr="006211EE" w:rsidRDefault="002A5ABE" w:rsidP="00790857">
      <w:pPr>
        <w:pStyle w:val="ONUME"/>
        <w:numPr>
          <w:ilvl w:val="0"/>
          <w:numId w:val="0"/>
        </w:numPr>
        <w:rPr>
          <w:lang w:val="fr-FR"/>
        </w:rPr>
      </w:pPr>
      <w:r w:rsidRPr="002A5ABE">
        <w:rPr>
          <w:noProof/>
        </w:rPr>
        <w:drawing>
          <wp:inline distT="0" distB="0" distL="0" distR="0" wp14:anchorId="6A2CF14A" wp14:editId="756D9F51">
            <wp:extent cx="5939012" cy="3730752"/>
            <wp:effectExtent l="0" t="0" r="5080" b="3175"/>
            <wp:docPr id="3" name="Picture 3" descr="Cas 1 ISA/JP : lorsque l'abrégé et le texte contenu dans les dessins sont en anglais alors que les revendications et la description sont rédigés en japonais dans une demande, l'abrégé et le texte contenu dans les dessins sont traduits en japonais pour la publication.&#10;Cas 2 ISA/autre que JP : lorsque l'abrégé et le texte contenu dans les dessins sont en anglais alors que les revendications et la description sont rédigés en japonais dans une demande, la publication devrait être faite en japonais, mais pas de texte contenu dans les dessins ni d'abrégé en jap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s 1 ISA/JP : lorsque l'abrégé et le texte contenu dans les dessins sont en anglais alors que les revendications et la description sont rédigés en japonais dans une demande, l'abrégé et le texte contenu dans les dessins sont traduits en japonais pour la publication.&#10;Cas 2 ISA/autre que JP : lorsque l'abrégé et le texte contenu dans les dessins sont en anglais alors que les revendications et la description sont rédigés en japonais dans une demande, la publication devrait être faite en japonais, mais pas de texte contenu dans les dessins ni d'abrégé en japonai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26" b="4128"/>
                    <a:stretch/>
                  </pic:blipFill>
                  <pic:spPr bwMode="auto">
                    <a:xfrm>
                      <a:off x="0" y="0"/>
                      <a:ext cx="5940000" cy="3731373"/>
                    </a:xfrm>
                    <a:prstGeom prst="rect">
                      <a:avLst/>
                    </a:prstGeom>
                    <a:noFill/>
                    <a:ln>
                      <a:noFill/>
                    </a:ln>
                    <a:extLst>
                      <a:ext uri="{53640926-AAD7-44D8-BBD7-CCE9431645EC}">
                        <a14:shadowObscured xmlns:a14="http://schemas.microsoft.com/office/drawing/2010/main"/>
                      </a:ext>
                    </a:extLst>
                  </pic:spPr>
                </pic:pic>
              </a:graphicData>
            </a:graphic>
          </wp:inline>
        </w:drawing>
      </w:r>
    </w:p>
    <w:p w14:paraId="14EA4729" w14:textId="3448F280" w:rsidR="00790857" w:rsidRPr="006211EE" w:rsidRDefault="00790857" w:rsidP="002A5ABE">
      <w:pPr>
        <w:pStyle w:val="ONUMFS"/>
        <w:rPr>
          <w:lang w:val="fr-FR"/>
        </w:rPr>
      </w:pPr>
      <w:r w:rsidRPr="006211EE">
        <w:rPr>
          <w:lang w:val="fr-FR"/>
        </w:rPr>
        <w:t>L</w:t>
      </w:r>
      <w:r w:rsidR="009F4075" w:rsidRPr="006211EE">
        <w:rPr>
          <w:lang w:val="fr-FR"/>
        </w:rPr>
        <w:t>’</w:t>
      </w:r>
      <w:r w:rsidRPr="006211EE">
        <w:rPr>
          <w:lang w:val="fr-FR"/>
        </w:rPr>
        <w:t>Assemblée de l</w:t>
      </w:r>
      <w:r w:rsidR="009F4075" w:rsidRPr="006211EE">
        <w:rPr>
          <w:lang w:val="fr-FR"/>
        </w:rPr>
        <w:t>’</w:t>
      </w:r>
      <w:r w:rsidRPr="006211EE">
        <w:rPr>
          <w:lang w:val="fr-FR"/>
        </w:rPr>
        <w:t>Union</w:t>
      </w:r>
      <w:r w:rsidR="009F4075" w:rsidRPr="006211EE">
        <w:rPr>
          <w:lang w:val="fr-FR"/>
        </w:rPr>
        <w:t xml:space="preserve"> du PCT</w:t>
      </w:r>
      <w:r w:rsidRPr="006211EE">
        <w:rPr>
          <w:lang w:val="fr-FR"/>
        </w:rPr>
        <w:t xml:space="preserve"> a adopté la règle 12.3 à sa vingt</w:t>
      </w:r>
      <w:r w:rsidR="002A5ABE">
        <w:rPr>
          <w:lang w:val="fr-FR"/>
        </w:rPr>
        <w:noBreakHyphen/>
      </w:r>
      <w:r w:rsidRPr="006211EE">
        <w:rPr>
          <w:lang w:val="fr-FR"/>
        </w:rPr>
        <w:t>quatr</w:t>
      </w:r>
      <w:r w:rsidR="009F4075" w:rsidRPr="006211EE">
        <w:rPr>
          <w:lang w:val="fr-FR"/>
        </w:rPr>
        <w:t>ième session</w:t>
      </w:r>
      <w:r w:rsidRPr="006211EE">
        <w:rPr>
          <w:lang w:val="fr-FR"/>
        </w:rPr>
        <w:t xml:space="preserve"> en 1997, lors de l</w:t>
      </w:r>
      <w:r w:rsidR="009F4075" w:rsidRPr="006211EE">
        <w:rPr>
          <w:lang w:val="fr-FR"/>
        </w:rPr>
        <w:t>’</w:t>
      </w:r>
      <w:r w:rsidRPr="006211EE">
        <w:rPr>
          <w:lang w:val="fr-FR"/>
        </w:rPr>
        <w:t>introduction de mesures permettant de déposer des demandes internationales dans une langue différente de celles acceptées par l</w:t>
      </w:r>
      <w:r w:rsidR="009F4075" w:rsidRPr="006211EE">
        <w:rPr>
          <w:lang w:val="fr-FR"/>
        </w:rPr>
        <w:t>’</w:t>
      </w:r>
      <w:r w:rsidRPr="006211EE">
        <w:rPr>
          <w:lang w:val="fr-FR"/>
        </w:rPr>
        <w:t>administration compétente chargée de la recherche internationale, et a modifié la règle 26.3</w:t>
      </w:r>
      <w:r w:rsidRPr="006211EE">
        <w:rPr>
          <w:i/>
          <w:iCs/>
          <w:lang w:val="fr-FR"/>
        </w:rPr>
        <w:t>ter</w:t>
      </w:r>
      <w:r w:rsidRPr="006211EE">
        <w:rPr>
          <w:lang w:val="fr-FR"/>
        </w:rPr>
        <w:t>.a) pour tenir compte de la nouvelle disposition (voir le paragraphe 14 et l</w:t>
      </w:r>
      <w:r w:rsidR="009F4075" w:rsidRPr="006211EE">
        <w:rPr>
          <w:lang w:val="fr-FR"/>
        </w:rPr>
        <w:t>’</w:t>
      </w:r>
      <w:r w:rsidRPr="006211EE">
        <w:rPr>
          <w:lang w:val="fr-FR"/>
        </w:rPr>
        <w:t>annexe I du document </w:t>
      </w:r>
      <w:hyperlink r:id="rId9" w:history="1">
        <w:r w:rsidRPr="006211EE">
          <w:rPr>
            <w:rStyle w:val="Hyperlink"/>
            <w:color w:val="auto"/>
            <w:u w:val="none"/>
            <w:lang w:val="fr-FR"/>
          </w:rPr>
          <w:t>PCT/A/XXIV/6</w:t>
        </w:r>
      </w:hyperlink>
      <w:r w:rsidRPr="006211EE">
        <w:rPr>
          <w:lang w:val="fr-FR"/>
        </w:rPr>
        <w:t xml:space="preserve"> et le paragraphe 16 et l</w:t>
      </w:r>
      <w:r w:rsidR="009F4075" w:rsidRPr="006211EE">
        <w:rPr>
          <w:lang w:val="fr-FR"/>
        </w:rPr>
        <w:t>’</w:t>
      </w:r>
      <w:r w:rsidRPr="006211EE">
        <w:rPr>
          <w:lang w:val="fr-FR"/>
        </w:rPr>
        <w:t>annexe III du rapport de la session, document </w:t>
      </w:r>
      <w:hyperlink r:id="rId10" w:history="1">
        <w:r w:rsidRPr="006211EE">
          <w:rPr>
            <w:rStyle w:val="Hyperlink"/>
            <w:color w:val="auto"/>
            <w:u w:val="none"/>
            <w:lang w:val="fr-FR"/>
          </w:rPr>
          <w:t>PCT/A/XXIV/10</w:t>
        </w:r>
      </w:hyperlink>
      <w:r w:rsidRPr="006211EE">
        <w:rPr>
          <w:lang w:val="fr-FR"/>
        </w:rPr>
        <w:t>).  La proposition de modification de la règle </w:t>
      </w:r>
      <w:proofErr w:type="gramStart"/>
      <w:r w:rsidRPr="006211EE">
        <w:rPr>
          <w:lang w:val="fr-FR"/>
        </w:rPr>
        <w:t>26.3</w:t>
      </w:r>
      <w:r w:rsidRPr="006211EE">
        <w:rPr>
          <w:i/>
          <w:iCs/>
          <w:lang w:val="fr-FR"/>
        </w:rPr>
        <w:t>ter</w:t>
      </w:r>
      <w:r w:rsidRPr="006211EE">
        <w:rPr>
          <w:lang w:val="fr-FR"/>
        </w:rPr>
        <w:t>.a</w:t>
      </w:r>
      <w:proofErr w:type="gramEnd"/>
      <w:r w:rsidRPr="006211EE">
        <w:rPr>
          <w:lang w:val="fr-FR"/>
        </w:rPr>
        <w:t>) contenait l</w:t>
      </w:r>
      <w:r w:rsidR="009F4075" w:rsidRPr="006211EE">
        <w:rPr>
          <w:lang w:val="fr-FR"/>
        </w:rPr>
        <w:t>’</w:t>
      </w:r>
      <w:r w:rsidRPr="006211EE">
        <w:rPr>
          <w:lang w:val="fr-FR"/>
        </w:rPr>
        <w:t>explication suivante (voir l</w:t>
      </w:r>
      <w:r w:rsidR="009F4075" w:rsidRPr="006211EE">
        <w:rPr>
          <w:lang w:val="fr-FR"/>
        </w:rPr>
        <w:t>’</w:t>
      </w:r>
      <w:r w:rsidRPr="006211EE">
        <w:rPr>
          <w:lang w:val="fr-FR"/>
        </w:rPr>
        <w:t xml:space="preserve">annexe I du </w:t>
      </w:r>
      <w:r w:rsidR="009F4075" w:rsidRPr="006211EE">
        <w:rPr>
          <w:lang w:val="fr-FR"/>
        </w:rPr>
        <w:t>document</w:t>
      </w:r>
      <w:r w:rsidR="002A5ABE">
        <w:rPr>
          <w:lang w:val="fr-FR"/>
        </w:rPr>
        <w:t> </w:t>
      </w:r>
      <w:r w:rsidR="009F4075" w:rsidRPr="006211EE">
        <w:rPr>
          <w:lang w:val="fr-FR"/>
        </w:rPr>
        <w:t>PC</w:t>
      </w:r>
      <w:r w:rsidRPr="006211EE">
        <w:rPr>
          <w:lang w:val="fr-FR"/>
        </w:rPr>
        <w:t>T/A/XXIV/6)</w:t>
      </w:r>
      <w:r w:rsidR="009F4075" w:rsidRPr="006211EE">
        <w:rPr>
          <w:lang w:val="fr-FR"/>
        </w:rPr>
        <w:t> :</w:t>
      </w:r>
    </w:p>
    <w:p w14:paraId="7AB8B49A" w14:textId="023B9367" w:rsidR="00790857" w:rsidRPr="006211EE" w:rsidRDefault="00790857" w:rsidP="002A5ABE">
      <w:pPr>
        <w:pStyle w:val="ONUMFS"/>
        <w:numPr>
          <w:ilvl w:val="0"/>
          <w:numId w:val="0"/>
        </w:numPr>
        <w:ind w:left="567"/>
        <w:rPr>
          <w:lang w:val="fr-FR"/>
        </w:rPr>
      </w:pPr>
      <w:proofErr w:type="gramStart"/>
      <w:r w:rsidRPr="006211EE">
        <w:rPr>
          <w:lang w:val="fr-FR"/>
        </w:rPr>
        <w:t>“[</w:t>
      </w:r>
      <w:proofErr w:type="gramEnd"/>
      <w:r w:rsidRPr="006211EE">
        <w:rPr>
          <w:lang w:val="fr-FR"/>
        </w:rPr>
        <w:t>COMMENTAIRE</w:t>
      </w:r>
      <w:r w:rsidR="009F4075" w:rsidRPr="006211EE">
        <w:rPr>
          <w:lang w:val="fr-FR"/>
        </w:rPr>
        <w:t> :</w:t>
      </w:r>
      <w:r w:rsidRPr="006211EE">
        <w:rPr>
          <w:lang w:val="fr-FR"/>
        </w:rPr>
        <w:t xml:space="preserve"> Lorsque l</w:t>
      </w:r>
      <w:r w:rsidR="009F4075" w:rsidRPr="006211EE">
        <w:rPr>
          <w:lang w:val="fr-FR"/>
        </w:rPr>
        <w:t>’</w:t>
      </w:r>
      <w:r w:rsidRPr="006211EE">
        <w:rPr>
          <w:lang w:val="fr-FR"/>
        </w:rPr>
        <w:t>abrégé est rédigé dans une langue différente de celle de la description et des revendications, une traduction en sera généralement exigée en vertu de l</w:t>
      </w:r>
      <w:r w:rsidR="009F4075" w:rsidRPr="006211EE">
        <w:rPr>
          <w:lang w:val="fr-FR"/>
        </w:rPr>
        <w:t>’</w:t>
      </w:r>
      <w:r w:rsidRPr="006211EE">
        <w:rPr>
          <w:lang w:val="fr-FR"/>
        </w:rPr>
        <w:t>alinéa a).  Cette traduction devra être dans la langue dans laquelle la demande internationale doit être publi</w:t>
      </w:r>
      <w:r w:rsidR="006211EE" w:rsidRPr="006211EE">
        <w:rPr>
          <w:lang w:val="fr-FR"/>
        </w:rPr>
        <w:t>ée.  Né</w:t>
      </w:r>
      <w:r w:rsidRPr="006211EE">
        <w:rPr>
          <w:lang w:val="fr-FR"/>
        </w:rPr>
        <w:t>anmoins, il n</w:t>
      </w:r>
      <w:r w:rsidR="009F4075" w:rsidRPr="006211EE">
        <w:rPr>
          <w:lang w:val="fr-FR"/>
        </w:rPr>
        <w:t>’</w:t>
      </w:r>
      <w:r w:rsidRPr="006211EE">
        <w:rPr>
          <w:lang w:val="fr-FR"/>
        </w:rPr>
        <w:t>y aurait pas lieu de fournir une traduction de l</w:t>
      </w:r>
      <w:r w:rsidR="009F4075" w:rsidRPr="006211EE">
        <w:rPr>
          <w:lang w:val="fr-FR"/>
        </w:rPr>
        <w:t>’</w:t>
      </w:r>
      <w:r w:rsidRPr="006211EE">
        <w:rPr>
          <w:lang w:val="fr-FR"/>
        </w:rPr>
        <w:t>abrégé si une traduction de la demande internationale était requise en vertu de la règle 12.3.a), puisque l</w:t>
      </w:r>
      <w:r w:rsidR="009F4075" w:rsidRPr="006211EE">
        <w:rPr>
          <w:lang w:val="fr-FR"/>
        </w:rPr>
        <w:t>’</w:t>
      </w:r>
      <w:r w:rsidRPr="006211EE">
        <w:rPr>
          <w:lang w:val="fr-FR"/>
        </w:rPr>
        <w:t>abrégé serait nécessairement compris dans la traduction ainsi fourn</w:t>
      </w:r>
      <w:r w:rsidR="006211EE" w:rsidRPr="006211EE">
        <w:rPr>
          <w:lang w:val="fr-FR"/>
        </w:rPr>
        <w:t>ie.  Un</w:t>
      </w:r>
      <w:r w:rsidRPr="006211EE">
        <w:rPr>
          <w:lang w:val="fr-FR"/>
        </w:rPr>
        <w:t>e traduction de l</w:t>
      </w:r>
      <w:r w:rsidR="009F4075" w:rsidRPr="006211EE">
        <w:rPr>
          <w:lang w:val="fr-FR"/>
        </w:rPr>
        <w:t>’</w:t>
      </w:r>
      <w:r w:rsidRPr="006211EE">
        <w:rPr>
          <w:lang w:val="fr-FR"/>
        </w:rPr>
        <w:t>abrégé ne serait pas non plus exigée si l</w:t>
      </w:r>
      <w:r w:rsidR="009F4075" w:rsidRPr="006211EE">
        <w:rPr>
          <w:lang w:val="fr-FR"/>
        </w:rPr>
        <w:t>’</w:t>
      </w:r>
      <w:r w:rsidRPr="006211EE">
        <w:rPr>
          <w:lang w:val="fr-FR"/>
        </w:rPr>
        <w:t>abrégé est déjà rédigé dans la langue dans laquelle la demande internationale doit être publiée, même si la description et les revendications sont déposées dans une autre lang</w:t>
      </w:r>
      <w:r w:rsidR="006211EE" w:rsidRPr="006211EE">
        <w:rPr>
          <w:lang w:val="fr-FR"/>
        </w:rPr>
        <w:t>ue.  Le</w:t>
      </w:r>
      <w:r w:rsidRPr="006211EE">
        <w:rPr>
          <w:lang w:val="fr-FR"/>
        </w:rPr>
        <w:t>s explications qui viennent d</w:t>
      </w:r>
      <w:r w:rsidR="009F4075" w:rsidRPr="006211EE">
        <w:rPr>
          <w:lang w:val="fr-FR"/>
        </w:rPr>
        <w:t>’</w:t>
      </w:r>
      <w:r w:rsidRPr="006211EE">
        <w:rPr>
          <w:lang w:val="fr-FR"/>
        </w:rPr>
        <w:t>être données s</w:t>
      </w:r>
      <w:r w:rsidR="009F4075" w:rsidRPr="006211EE">
        <w:rPr>
          <w:lang w:val="fr-FR"/>
        </w:rPr>
        <w:t>’</w:t>
      </w:r>
      <w:r w:rsidRPr="006211EE">
        <w:rPr>
          <w:lang w:val="fr-FR"/>
        </w:rPr>
        <w:t>appliquent aussi aux traductions de tout texte contenu dans les dessins.</w:t>
      </w:r>
    </w:p>
    <w:p w14:paraId="1AF56771" w14:textId="0844585B" w:rsidR="00790857" w:rsidRPr="006211EE" w:rsidRDefault="002A5ABE" w:rsidP="002A5ABE">
      <w:pPr>
        <w:pStyle w:val="ONUMFS"/>
        <w:numPr>
          <w:ilvl w:val="0"/>
          <w:numId w:val="0"/>
        </w:numPr>
        <w:ind w:left="567"/>
        <w:rPr>
          <w:lang w:val="fr-FR"/>
        </w:rPr>
      </w:pPr>
      <w:r>
        <w:rPr>
          <w:lang w:val="fr-FR"/>
        </w:rPr>
        <w:t>“</w:t>
      </w:r>
      <w:r w:rsidR="00790857" w:rsidRPr="006211EE">
        <w:rPr>
          <w:lang w:val="fr-FR"/>
        </w:rPr>
        <w:t>EXEMPLE 1</w:t>
      </w:r>
      <w:r w:rsidR="009F4075" w:rsidRPr="006211EE">
        <w:rPr>
          <w:lang w:val="fr-FR"/>
        </w:rPr>
        <w:t> :</w:t>
      </w:r>
      <w:r w:rsidR="00790857" w:rsidRPr="006211EE">
        <w:rPr>
          <w:lang w:val="fr-FR"/>
        </w:rPr>
        <w:t xml:space="preserve"> Description et revendications déposées en allemand auprès de l</w:t>
      </w:r>
      <w:r w:rsidR="009F4075" w:rsidRPr="006211EE">
        <w:rPr>
          <w:lang w:val="fr-FR"/>
        </w:rPr>
        <w:t>’</w:t>
      </w:r>
      <w:r w:rsidR="00790857" w:rsidRPr="006211EE">
        <w:rPr>
          <w:lang w:val="fr-FR"/>
        </w:rPr>
        <w:t>Office allemand des brevets, abrégé déposé en français.  L</w:t>
      </w:r>
      <w:r w:rsidR="009F4075" w:rsidRPr="006211EE">
        <w:rPr>
          <w:lang w:val="fr-FR"/>
        </w:rPr>
        <w:t>’</w:t>
      </w:r>
      <w:r w:rsidR="00790857" w:rsidRPr="006211EE">
        <w:rPr>
          <w:lang w:val="fr-FR"/>
        </w:rPr>
        <w:t>Office européen des brevets est l</w:t>
      </w:r>
      <w:r w:rsidR="009F4075" w:rsidRPr="006211EE">
        <w:rPr>
          <w:lang w:val="fr-FR"/>
        </w:rPr>
        <w:t>’</w:t>
      </w:r>
      <w:r w:rsidR="00790857" w:rsidRPr="006211EE">
        <w:rPr>
          <w:lang w:val="fr-FR"/>
        </w:rPr>
        <w:t xml:space="preserve">administration chargée de la recherche internationale </w:t>
      </w:r>
      <w:proofErr w:type="gramStart"/>
      <w:r w:rsidR="00790857" w:rsidRPr="006211EE">
        <w:rPr>
          <w:lang w:val="fr-FR"/>
        </w:rPr>
        <w:t>compétente;  la</w:t>
      </w:r>
      <w:proofErr w:type="gramEnd"/>
      <w:r w:rsidR="00790857" w:rsidRPr="006211EE">
        <w:rPr>
          <w:lang w:val="fr-FR"/>
        </w:rPr>
        <w:t xml:space="preserve"> demande </w:t>
      </w:r>
      <w:r w:rsidR="00790857" w:rsidRPr="006211EE">
        <w:rPr>
          <w:lang w:val="fr-FR"/>
        </w:rPr>
        <w:lastRenderedPageBreak/>
        <w:t>internationale sera publiée en allema</w:t>
      </w:r>
      <w:r w:rsidR="006211EE" w:rsidRPr="006211EE">
        <w:rPr>
          <w:lang w:val="fr-FR"/>
        </w:rPr>
        <w:t>nd.  Un</w:t>
      </w:r>
      <w:r w:rsidR="00790857" w:rsidRPr="006211EE">
        <w:rPr>
          <w:lang w:val="fr-FR"/>
        </w:rPr>
        <w:t>e traduction en allemand de l</w:t>
      </w:r>
      <w:r w:rsidR="009F4075" w:rsidRPr="006211EE">
        <w:rPr>
          <w:lang w:val="fr-FR"/>
        </w:rPr>
        <w:t>’</w:t>
      </w:r>
      <w:r w:rsidR="00790857" w:rsidRPr="006211EE">
        <w:rPr>
          <w:lang w:val="fr-FR"/>
        </w:rPr>
        <w:t>abrégé doit être fournie.</w:t>
      </w:r>
    </w:p>
    <w:p w14:paraId="538E1851" w14:textId="40FE4671" w:rsidR="00790857" w:rsidRPr="006211EE" w:rsidRDefault="002A5ABE" w:rsidP="002A5ABE">
      <w:pPr>
        <w:pStyle w:val="ONUMFS"/>
        <w:numPr>
          <w:ilvl w:val="0"/>
          <w:numId w:val="0"/>
        </w:numPr>
        <w:ind w:left="567"/>
        <w:rPr>
          <w:lang w:val="fr-FR"/>
        </w:rPr>
      </w:pPr>
      <w:r>
        <w:rPr>
          <w:lang w:val="fr-FR"/>
        </w:rPr>
        <w:t>“</w:t>
      </w:r>
      <w:r w:rsidR="00790857" w:rsidRPr="006211EE">
        <w:rPr>
          <w:lang w:val="fr-FR"/>
        </w:rPr>
        <w:t>EXEMPLE 2</w:t>
      </w:r>
      <w:r w:rsidR="009F4075" w:rsidRPr="006211EE">
        <w:rPr>
          <w:lang w:val="fr-FR"/>
        </w:rPr>
        <w:t> :</w:t>
      </w:r>
      <w:r w:rsidR="00790857" w:rsidRPr="006211EE">
        <w:rPr>
          <w:lang w:val="fr-FR"/>
        </w:rPr>
        <w:t xml:space="preserve"> Description et revendications déposées en italien auprès de l</w:t>
      </w:r>
      <w:r w:rsidR="009F4075" w:rsidRPr="006211EE">
        <w:rPr>
          <w:lang w:val="fr-FR"/>
        </w:rPr>
        <w:t>’</w:t>
      </w:r>
      <w:r w:rsidR="00790857" w:rsidRPr="006211EE">
        <w:rPr>
          <w:lang w:val="fr-FR"/>
        </w:rPr>
        <w:t>Office italien des brevets et des marques, le texte contenu dans les dessins étant rédigé en français.  L</w:t>
      </w:r>
      <w:r w:rsidR="009F4075" w:rsidRPr="006211EE">
        <w:rPr>
          <w:lang w:val="fr-FR"/>
        </w:rPr>
        <w:t>’</w:t>
      </w:r>
      <w:r w:rsidR="00790857" w:rsidRPr="006211EE">
        <w:rPr>
          <w:lang w:val="fr-FR"/>
        </w:rPr>
        <w:t>Office européen des brevets est l</w:t>
      </w:r>
      <w:r w:rsidR="009F4075" w:rsidRPr="006211EE">
        <w:rPr>
          <w:lang w:val="fr-FR"/>
        </w:rPr>
        <w:t>’</w:t>
      </w:r>
      <w:r w:rsidR="00790857" w:rsidRPr="006211EE">
        <w:rPr>
          <w:lang w:val="fr-FR"/>
        </w:rPr>
        <w:t>administration chargée de la recherche internationale compéten</w:t>
      </w:r>
      <w:r w:rsidR="006211EE" w:rsidRPr="006211EE">
        <w:rPr>
          <w:lang w:val="fr-FR"/>
        </w:rPr>
        <w:t>te.  En</w:t>
      </w:r>
      <w:r w:rsidR="00790857" w:rsidRPr="006211EE">
        <w:rPr>
          <w:lang w:val="fr-FR"/>
        </w:rPr>
        <w:t xml:space="preserve"> application de la règle 12.3.a), une traduction de la demande internationale (dans son intégralité), </w:t>
      </w:r>
      <w:r w:rsidR="009F4075" w:rsidRPr="006211EE">
        <w:rPr>
          <w:lang w:val="fr-FR"/>
        </w:rPr>
        <w:t>y compris</w:t>
      </w:r>
      <w:r w:rsidR="00790857" w:rsidRPr="006211EE">
        <w:rPr>
          <w:lang w:val="fr-FR"/>
        </w:rPr>
        <w:t xml:space="preserve"> du texte contenu dans les dessins, est requise aux fins de la recherche internationale et de la publication internationale (ce peut être une traduction en allemand, en anglais ou en frança</w:t>
      </w:r>
      <w:r w:rsidR="006211EE" w:rsidRPr="006211EE">
        <w:rPr>
          <w:lang w:val="fr-FR"/>
        </w:rPr>
        <w:t>is).  La</w:t>
      </w:r>
      <w:r w:rsidR="00790857" w:rsidRPr="006211EE">
        <w:rPr>
          <w:lang w:val="fr-FR"/>
        </w:rPr>
        <w:t xml:space="preserve"> traduction du texte en italien n</w:t>
      </w:r>
      <w:r w:rsidR="009F4075" w:rsidRPr="006211EE">
        <w:rPr>
          <w:lang w:val="fr-FR"/>
        </w:rPr>
        <w:t>’</w:t>
      </w:r>
      <w:r w:rsidR="00790857" w:rsidRPr="006211EE">
        <w:rPr>
          <w:lang w:val="fr-FR"/>
        </w:rPr>
        <w:t>est pas nécessaire</w:t>
      </w:r>
      <w:r w:rsidR="00790857" w:rsidRPr="006211EE">
        <w:rPr>
          <w:rStyle w:val="FootnoteReference"/>
          <w:lang w:val="fr-FR"/>
        </w:rPr>
        <w:footnoteReference w:id="2"/>
      </w:r>
      <w:r w:rsidR="007916F8" w:rsidRPr="006211EE">
        <w:rPr>
          <w:lang w:val="fr-FR"/>
        </w:rPr>
        <w:t>.</w:t>
      </w:r>
      <w:r w:rsidR="00790857" w:rsidRPr="006211EE">
        <w:rPr>
          <w:lang w:val="fr-FR"/>
        </w:rPr>
        <w:t>]”</w:t>
      </w:r>
    </w:p>
    <w:p w14:paraId="0D47B318" w14:textId="01DB01F1" w:rsidR="00790857" w:rsidRPr="006211EE" w:rsidRDefault="00790857" w:rsidP="002A5ABE">
      <w:pPr>
        <w:pStyle w:val="ONUMFS"/>
        <w:rPr>
          <w:lang w:val="fr-FR"/>
        </w:rPr>
      </w:pPr>
      <w:r w:rsidRPr="006211EE">
        <w:rPr>
          <w:lang w:val="fr-FR"/>
        </w:rPr>
        <w:t>Le cas exposé au paragraphe </w:t>
      </w:r>
      <w:r w:rsidRPr="006211EE">
        <w:rPr>
          <w:lang w:val="fr-FR"/>
        </w:rPr>
        <w:fldChar w:fldCharType="begin"/>
      </w:r>
      <w:r w:rsidRPr="006211EE">
        <w:rPr>
          <w:lang w:val="fr-FR"/>
        </w:rPr>
        <w:instrText xml:space="preserve"> REF _Ref156400083 \r \h </w:instrText>
      </w:r>
      <w:r w:rsidR="002A5ABE">
        <w:rPr>
          <w:lang w:val="fr-FR"/>
        </w:rPr>
        <w:instrText xml:space="preserve"> \* MERGEFORMAT </w:instrText>
      </w:r>
      <w:r w:rsidRPr="006211EE">
        <w:rPr>
          <w:lang w:val="fr-FR"/>
        </w:rPr>
      </w:r>
      <w:r w:rsidRPr="006211EE">
        <w:rPr>
          <w:lang w:val="fr-FR"/>
        </w:rPr>
        <w:fldChar w:fldCharType="separate"/>
      </w:r>
      <w:r w:rsidR="00D15B53">
        <w:rPr>
          <w:lang w:val="fr-FR"/>
        </w:rPr>
        <w:t>3</w:t>
      </w:r>
      <w:r w:rsidRPr="006211EE">
        <w:rPr>
          <w:lang w:val="fr-FR"/>
        </w:rPr>
        <w:fldChar w:fldCharType="end"/>
      </w:r>
      <w:r w:rsidRPr="006211EE">
        <w:rPr>
          <w:lang w:val="fr-FR"/>
        </w:rPr>
        <w:t xml:space="preserve"> ci</w:t>
      </w:r>
      <w:r w:rsidR="002A5ABE">
        <w:rPr>
          <w:lang w:val="fr-FR"/>
        </w:rPr>
        <w:noBreakHyphen/>
      </w:r>
      <w:r w:rsidRPr="006211EE">
        <w:rPr>
          <w:lang w:val="fr-FR"/>
        </w:rPr>
        <w:t>dessus, où la traduction à fournir en vertu de la règle 12.3 n</w:t>
      </w:r>
      <w:r w:rsidR="009F4075" w:rsidRPr="006211EE">
        <w:rPr>
          <w:lang w:val="fr-FR"/>
        </w:rPr>
        <w:t>’</w:t>
      </w:r>
      <w:r w:rsidRPr="006211EE">
        <w:rPr>
          <w:lang w:val="fr-FR"/>
        </w:rPr>
        <w:t>est pas dans la langue dans laquelle la demande internationale doit être publiée, ne semble pas avoir été examiné à la vingt</w:t>
      </w:r>
      <w:r w:rsidR="002A5ABE">
        <w:rPr>
          <w:lang w:val="fr-FR"/>
        </w:rPr>
        <w:noBreakHyphen/>
      </w:r>
      <w:r w:rsidRPr="006211EE">
        <w:rPr>
          <w:lang w:val="fr-FR"/>
        </w:rPr>
        <w:t>quatr</w:t>
      </w:r>
      <w:r w:rsidR="009F4075" w:rsidRPr="006211EE">
        <w:rPr>
          <w:lang w:val="fr-FR"/>
        </w:rPr>
        <w:t>ième session</w:t>
      </w:r>
      <w:r w:rsidRPr="006211EE">
        <w:rPr>
          <w:lang w:val="fr-FR"/>
        </w:rPr>
        <w:t xml:space="preserve"> de l</w:t>
      </w:r>
      <w:r w:rsidR="009F4075" w:rsidRPr="006211EE">
        <w:rPr>
          <w:lang w:val="fr-FR"/>
        </w:rPr>
        <w:t>’</w:t>
      </w:r>
      <w:r w:rsidRPr="006211EE">
        <w:rPr>
          <w:lang w:val="fr-FR"/>
        </w:rPr>
        <w:t>Assemblée de l</w:t>
      </w:r>
      <w:r w:rsidR="009F4075" w:rsidRPr="006211EE">
        <w:rPr>
          <w:lang w:val="fr-FR"/>
        </w:rPr>
        <w:t>’</w:t>
      </w:r>
      <w:r w:rsidRPr="006211EE">
        <w:rPr>
          <w:lang w:val="fr-FR"/>
        </w:rPr>
        <w:t>Union</w:t>
      </w:r>
      <w:r w:rsidR="009F4075" w:rsidRPr="006211EE">
        <w:rPr>
          <w:lang w:val="fr-FR"/>
        </w:rPr>
        <w:t xml:space="preserve"> du PCT</w:t>
      </w:r>
      <w:r w:rsidRPr="006211EE">
        <w:rPr>
          <w:lang w:val="fr-FR"/>
        </w:rPr>
        <w:t>.</w:t>
      </w:r>
    </w:p>
    <w:p w14:paraId="12AE6721" w14:textId="1C482E48" w:rsidR="00790857" w:rsidRPr="006211EE" w:rsidRDefault="00790857" w:rsidP="002A5ABE">
      <w:pPr>
        <w:pStyle w:val="ONUMFS"/>
        <w:rPr>
          <w:lang w:val="fr-FR"/>
        </w:rPr>
      </w:pPr>
      <w:r w:rsidRPr="006211EE">
        <w:rPr>
          <w:lang w:val="fr-FR"/>
        </w:rPr>
        <w:t>Compte tenu de ce qui précède, l</w:t>
      </w:r>
      <w:r w:rsidR="009F4075" w:rsidRPr="006211EE">
        <w:rPr>
          <w:lang w:val="fr-FR"/>
        </w:rPr>
        <w:t>’</w:t>
      </w:r>
      <w:r w:rsidRPr="006211EE">
        <w:rPr>
          <w:lang w:val="fr-FR"/>
        </w:rPr>
        <w:t>Office des brevets du Japon (JPO) a consulté le Bureau international et ouvert une discussion sur cette question en proposant la modification de la règle </w:t>
      </w:r>
      <w:proofErr w:type="gramStart"/>
      <w:r w:rsidRPr="006211EE">
        <w:rPr>
          <w:lang w:val="fr-FR"/>
        </w:rPr>
        <w:t>26.3</w:t>
      </w:r>
      <w:r w:rsidRPr="006211EE">
        <w:rPr>
          <w:i/>
          <w:iCs/>
          <w:lang w:val="fr-FR"/>
        </w:rPr>
        <w:t>ter</w:t>
      </w:r>
      <w:r w:rsidRPr="006211EE">
        <w:rPr>
          <w:lang w:val="fr-FR"/>
        </w:rPr>
        <w:t>.a</w:t>
      </w:r>
      <w:proofErr w:type="gramEnd"/>
      <w:r w:rsidRPr="006211EE">
        <w:rPr>
          <w:lang w:val="fr-FR"/>
        </w:rPr>
        <w:t>) figurant à l</w:t>
      </w:r>
      <w:r w:rsidR="009F4075" w:rsidRPr="006211EE">
        <w:rPr>
          <w:lang w:val="fr-FR"/>
        </w:rPr>
        <w:t>’</w:t>
      </w:r>
      <w:r w:rsidRPr="006211EE">
        <w:rPr>
          <w:lang w:val="fr-FR"/>
        </w:rPr>
        <w:t xml:space="preserve">annexe I du présent document dans le forum électronique du </w:t>
      </w:r>
      <w:r w:rsidR="007916F8" w:rsidRPr="006211EE">
        <w:rPr>
          <w:lang w:val="fr-FR"/>
        </w:rPr>
        <w:t>Groupe</w:t>
      </w:r>
      <w:r w:rsidRPr="006211EE">
        <w:rPr>
          <w:lang w:val="fr-FR"/>
        </w:rPr>
        <w:t xml:space="preserve"> de travail</w:t>
      </w:r>
      <w:r w:rsidR="009F4075" w:rsidRPr="006211EE">
        <w:rPr>
          <w:lang w:val="fr-FR"/>
        </w:rPr>
        <w:t xml:space="preserve"> du PCT</w:t>
      </w:r>
      <w:r w:rsidRPr="006211EE">
        <w:rPr>
          <w:lang w:val="fr-FR"/>
        </w:rPr>
        <w:t xml:space="preserve"> (wiki) en septembre 2023.  La modification proposée du texte de la règle 26.3</w:t>
      </w:r>
      <w:r w:rsidRPr="006211EE">
        <w:rPr>
          <w:i/>
          <w:iCs/>
          <w:lang w:val="fr-FR"/>
        </w:rPr>
        <w:t>ter</w:t>
      </w:r>
      <w:r w:rsidRPr="006211EE">
        <w:rPr>
          <w:lang w:val="fr-FR"/>
        </w:rPr>
        <w:t>.a) qui entrera en vigueur le</w:t>
      </w:r>
      <w:r w:rsidR="009F4075" w:rsidRPr="006211EE">
        <w:rPr>
          <w:lang w:val="fr-FR"/>
        </w:rPr>
        <w:t xml:space="preserve"> 1</w:t>
      </w:r>
      <w:r w:rsidR="009F4075" w:rsidRPr="006211EE">
        <w:rPr>
          <w:vertAlign w:val="superscript"/>
          <w:lang w:val="fr-FR"/>
        </w:rPr>
        <w:t>er</w:t>
      </w:r>
      <w:r w:rsidR="009F4075" w:rsidRPr="006211EE">
        <w:rPr>
          <w:lang w:val="fr-FR"/>
        </w:rPr>
        <w:t> </w:t>
      </w:r>
      <w:r w:rsidRPr="006211EE">
        <w:rPr>
          <w:lang w:val="fr-FR"/>
        </w:rPr>
        <w:t>juillet 2024</w:t>
      </w:r>
      <w:r w:rsidRPr="006211EE">
        <w:rPr>
          <w:rStyle w:val="FootnoteReference"/>
          <w:lang w:val="fr-FR"/>
        </w:rPr>
        <w:footnoteReference w:id="3"/>
      </w:r>
      <w:r w:rsidRPr="006211EE">
        <w:rPr>
          <w:lang w:val="fr-FR"/>
        </w:rPr>
        <w:t xml:space="preserve"> limiterait l</w:t>
      </w:r>
      <w:r w:rsidR="009F4075" w:rsidRPr="006211EE">
        <w:rPr>
          <w:lang w:val="fr-FR"/>
        </w:rPr>
        <w:t>’</w:t>
      </w:r>
      <w:r w:rsidRPr="006211EE">
        <w:rPr>
          <w:lang w:val="fr-FR"/>
        </w:rPr>
        <w:t>exception à l</w:t>
      </w:r>
      <w:r w:rsidR="009F4075" w:rsidRPr="006211EE">
        <w:rPr>
          <w:lang w:val="fr-FR"/>
        </w:rPr>
        <w:t>’</w:t>
      </w:r>
      <w:r w:rsidRPr="006211EE">
        <w:rPr>
          <w:lang w:val="fr-FR"/>
        </w:rPr>
        <w:t>obligation pour l</w:t>
      </w:r>
      <w:r w:rsidR="009F4075" w:rsidRPr="006211EE">
        <w:rPr>
          <w:lang w:val="fr-FR"/>
        </w:rPr>
        <w:t>’</w:t>
      </w:r>
      <w:r w:rsidRPr="006211EE">
        <w:rPr>
          <w:lang w:val="fr-FR"/>
        </w:rPr>
        <w:t>office récepteur d</w:t>
      </w:r>
      <w:r w:rsidR="009F4075" w:rsidRPr="006211EE">
        <w:rPr>
          <w:lang w:val="fr-FR"/>
        </w:rPr>
        <w:t>’</w:t>
      </w:r>
      <w:r w:rsidRPr="006211EE">
        <w:rPr>
          <w:lang w:val="fr-FR"/>
        </w:rPr>
        <w:t>inviter le déposant à fournir une traduction de l</w:t>
      </w:r>
      <w:r w:rsidR="009F4075" w:rsidRPr="006211EE">
        <w:rPr>
          <w:lang w:val="fr-FR"/>
        </w:rPr>
        <w:t>’</w:t>
      </w:r>
      <w:r w:rsidRPr="006211EE">
        <w:rPr>
          <w:lang w:val="fr-FR"/>
        </w:rPr>
        <w:t>abrégé ou du texte contenu dans les dessins dans la langue de publication internationale lorsque le déposant est tenu de fournir une traduction aux fins de la recherche internationale aux situations dans lesquelles la traduction fournie aux fins de la recherche internationale est également dans la langue à utiliser pour la publication internationa</w:t>
      </w:r>
      <w:r w:rsidR="006211EE" w:rsidRPr="006211EE">
        <w:rPr>
          <w:lang w:val="fr-FR"/>
        </w:rPr>
        <w:t>le.  D’a</w:t>
      </w:r>
      <w:r w:rsidRPr="006211EE">
        <w:rPr>
          <w:lang w:val="fr-FR"/>
        </w:rPr>
        <w:t>près les commentaires formulés sur la proposition, il serait utile de veiller à ce que l</w:t>
      </w:r>
      <w:r w:rsidR="009F4075" w:rsidRPr="006211EE">
        <w:rPr>
          <w:lang w:val="fr-FR"/>
        </w:rPr>
        <w:t>’</w:t>
      </w:r>
      <w:r w:rsidRPr="006211EE">
        <w:rPr>
          <w:lang w:val="fr-FR"/>
        </w:rPr>
        <w:t>intégralité de la demande soit publiée dans une seule langue, et certains offices s</w:t>
      </w:r>
      <w:r w:rsidR="009F4075" w:rsidRPr="006211EE">
        <w:rPr>
          <w:lang w:val="fr-FR"/>
        </w:rPr>
        <w:t>’</w:t>
      </w:r>
      <w:r w:rsidRPr="006211EE">
        <w:rPr>
          <w:lang w:val="fr-FR"/>
        </w:rPr>
        <w:t>inquiètent de la charge que cette modification fait peser sur l</w:t>
      </w:r>
      <w:r w:rsidR="009F4075" w:rsidRPr="006211EE">
        <w:rPr>
          <w:lang w:val="fr-FR"/>
        </w:rPr>
        <w:t>’</w:t>
      </w:r>
      <w:r w:rsidRPr="006211EE">
        <w:rPr>
          <w:lang w:val="fr-FR"/>
        </w:rPr>
        <w:t>office récepteur.</w:t>
      </w:r>
    </w:p>
    <w:p w14:paraId="47B7146F" w14:textId="77777777" w:rsidR="00790857" w:rsidRPr="006211EE" w:rsidRDefault="00790857" w:rsidP="003A669D">
      <w:pPr>
        <w:pStyle w:val="Heading1"/>
        <w:rPr>
          <w:lang w:val="fr-FR"/>
        </w:rPr>
      </w:pPr>
      <w:r w:rsidRPr="006211EE">
        <w:rPr>
          <w:lang w:val="fr-FR"/>
        </w:rPr>
        <w:t>Proposition</w:t>
      </w:r>
    </w:p>
    <w:p w14:paraId="4EA6736F" w14:textId="77EA7A42" w:rsidR="009F4075" w:rsidRPr="006211EE" w:rsidRDefault="00790857" w:rsidP="002A5ABE">
      <w:pPr>
        <w:pStyle w:val="ONUMFS"/>
        <w:rPr>
          <w:lang w:val="fr-FR"/>
        </w:rPr>
      </w:pPr>
      <w:r w:rsidRPr="006211EE">
        <w:rPr>
          <w:lang w:val="fr-FR"/>
        </w:rPr>
        <w:t>Se fondant sur les commentaires formulés sur le wiki,</w:t>
      </w:r>
      <w:r w:rsidR="009F4075" w:rsidRPr="006211EE">
        <w:rPr>
          <w:lang w:val="fr-FR"/>
        </w:rPr>
        <w:t xml:space="preserve"> le JPO</w:t>
      </w:r>
      <w:r w:rsidRPr="006211EE">
        <w:rPr>
          <w:lang w:val="fr-FR"/>
        </w:rPr>
        <w:t xml:space="preserve"> a conclu que cette modification est pertinente dans la mesure où le système</w:t>
      </w:r>
      <w:r w:rsidR="009F4075" w:rsidRPr="006211EE">
        <w:rPr>
          <w:lang w:val="fr-FR"/>
        </w:rPr>
        <w:t xml:space="preserve"> du PCT</w:t>
      </w:r>
      <w:r w:rsidRPr="006211EE">
        <w:rPr>
          <w:lang w:val="fr-FR"/>
        </w:rPr>
        <w:t xml:space="preserve"> est devenu davantage multiling</w:t>
      </w:r>
      <w:r w:rsidR="006211EE" w:rsidRPr="006211EE">
        <w:rPr>
          <w:lang w:val="fr-FR"/>
        </w:rPr>
        <w:t>ue.  Il</w:t>
      </w:r>
      <w:r w:rsidRPr="006211EE">
        <w:rPr>
          <w:lang w:val="fr-FR"/>
        </w:rPr>
        <w:t xml:space="preserve"> existe actuellement un total de 10 langues de publication.</w:t>
      </w:r>
    </w:p>
    <w:p w14:paraId="45C873EE" w14:textId="3F63BACD" w:rsidR="009F4075" w:rsidRPr="006211EE" w:rsidRDefault="00790857" w:rsidP="002A5ABE">
      <w:pPr>
        <w:pStyle w:val="ONUMFS"/>
        <w:rPr>
          <w:lang w:val="fr-FR"/>
        </w:rPr>
      </w:pPr>
      <w:r w:rsidRPr="006211EE">
        <w:rPr>
          <w:lang w:val="fr-FR"/>
        </w:rPr>
        <w:t>La publication de tous les éléments de la demande internationale dans une seule langue est conforme à l</w:t>
      </w:r>
      <w:r w:rsidR="009F4075" w:rsidRPr="006211EE">
        <w:rPr>
          <w:lang w:val="fr-FR"/>
        </w:rPr>
        <w:t>’</w:t>
      </w:r>
      <w:r w:rsidRPr="006211EE">
        <w:rPr>
          <w:lang w:val="fr-FR"/>
        </w:rPr>
        <w:t>article </w:t>
      </w:r>
      <w:proofErr w:type="gramStart"/>
      <w:r w:rsidRPr="006211EE">
        <w:rPr>
          <w:lang w:val="fr-FR"/>
        </w:rPr>
        <w:t>3.4)i</w:t>
      </w:r>
      <w:proofErr w:type="gramEnd"/>
      <w:r w:rsidRPr="006211EE">
        <w:rPr>
          <w:lang w:val="fr-FR"/>
        </w:rPr>
        <w:t>) et à la règle 48.3.a).  En outre, du point de vue des tiers, il serait plus pratique que tous les éléments soient rédigés dans une seule langue.</w:t>
      </w:r>
    </w:p>
    <w:p w14:paraId="43885B6C" w14:textId="79AC5E4E" w:rsidR="009F4075" w:rsidRPr="006211EE" w:rsidRDefault="00790857" w:rsidP="002A5ABE">
      <w:pPr>
        <w:pStyle w:val="ONUMFS"/>
        <w:rPr>
          <w:lang w:val="fr-FR"/>
        </w:rPr>
      </w:pPr>
      <w:r w:rsidRPr="006211EE">
        <w:rPr>
          <w:lang w:val="fr-FR"/>
        </w:rPr>
        <w:t>Certains offices considèrent également que, dans certains domaines techniques, il n</w:t>
      </w:r>
      <w:r w:rsidR="009F4075" w:rsidRPr="006211EE">
        <w:rPr>
          <w:lang w:val="fr-FR"/>
        </w:rPr>
        <w:t>’</w:t>
      </w:r>
      <w:r w:rsidRPr="006211EE">
        <w:rPr>
          <w:lang w:val="fr-FR"/>
        </w:rPr>
        <w:t>est pas nécessaire de traduire le texte contenu dans les dessins, qui peut être publié tel quel, même si la langue du texte contenu dans les dessins et de l</w:t>
      </w:r>
      <w:r w:rsidR="009F4075" w:rsidRPr="006211EE">
        <w:rPr>
          <w:lang w:val="fr-FR"/>
        </w:rPr>
        <w:t>’</w:t>
      </w:r>
      <w:r w:rsidRPr="006211EE">
        <w:rPr>
          <w:lang w:val="fr-FR"/>
        </w:rPr>
        <w:t>abrégé est différente de celle de la description et des revendicatio</w:t>
      </w:r>
      <w:r w:rsidR="006211EE" w:rsidRPr="006211EE">
        <w:rPr>
          <w:lang w:val="fr-FR"/>
        </w:rPr>
        <w:t>ns.  Il</w:t>
      </w:r>
      <w:r w:rsidRPr="006211EE">
        <w:rPr>
          <w:lang w:val="fr-FR"/>
        </w:rPr>
        <w:t xml:space="preserve"> est donc suggéré de modifier les directives à l</w:t>
      </w:r>
      <w:r w:rsidR="009F4075" w:rsidRPr="006211EE">
        <w:rPr>
          <w:lang w:val="fr-FR"/>
        </w:rPr>
        <w:t>’</w:t>
      </w:r>
      <w:r w:rsidRPr="006211EE">
        <w:rPr>
          <w:lang w:val="fr-FR"/>
        </w:rPr>
        <w:t>usage des offices récepteurs afin que le déposant puisse répondre à l</w:t>
      </w:r>
      <w:r w:rsidR="009F4075" w:rsidRPr="006211EE">
        <w:rPr>
          <w:lang w:val="fr-FR"/>
        </w:rPr>
        <w:t>’</w:t>
      </w:r>
      <w:r w:rsidRPr="006211EE">
        <w:rPr>
          <w:lang w:val="fr-FR"/>
        </w:rPr>
        <w:t>invitation de l</w:t>
      </w:r>
      <w:r w:rsidR="009F4075" w:rsidRPr="006211EE">
        <w:rPr>
          <w:lang w:val="fr-FR"/>
        </w:rPr>
        <w:t>’</w:t>
      </w:r>
      <w:r w:rsidRPr="006211EE">
        <w:rPr>
          <w:lang w:val="fr-FR"/>
        </w:rPr>
        <w:t>office récepteur en expliquant qu</w:t>
      </w:r>
      <w:r w:rsidR="009F4075" w:rsidRPr="006211EE">
        <w:rPr>
          <w:lang w:val="fr-FR"/>
        </w:rPr>
        <w:t>’</w:t>
      </w:r>
      <w:r w:rsidRPr="006211EE">
        <w:rPr>
          <w:lang w:val="fr-FR"/>
        </w:rPr>
        <w:t>il n</w:t>
      </w:r>
      <w:r w:rsidR="009F4075" w:rsidRPr="006211EE">
        <w:rPr>
          <w:lang w:val="fr-FR"/>
        </w:rPr>
        <w:t>’</w:t>
      </w:r>
      <w:r w:rsidRPr="006211EE">
        <w:rPr>
          <w:lang w:val="fr-FR"/>
        </w:rPr>
        <w:t>est pas nécessaire de traduire le texte contenu dans les dessins, puisqu</w:t>
      </w:r>
      <w:r w:rsidR="009F4075" w:rsidRPr="006211EE">
        <w:rPr>
          <w:lang w:val="fr-FR"/>
        </w:rPr>
        <w:t>’</w:t>
      </w:r>
      <w:r w:rsidRPr="006211EE">
        <w:rPr>
          <w:lang w:val="fr-FR"/>
        </w:rPr>
        <w:t>il est évident dans le domaine technique.</w:t>
      </w:r>
    </w:p>
    <w:p w14:paraId="5813FAE3" w14:textId="216D90B8" w:rsidR="009F4075" w:rsidRPr="006211EE" w:rsidRDefault="00790857" w:rsidP="002A5ABE">
      <w:pPr>
        <w:pStyle w:val="ONUMFS"/>
        <w:rPr>
          <w:lang w:val="fr-FR"/>
        </w:rPr>
      </w:pPr>
      <w:r w:rsidRPr="006211EE">
        <w:rPr>
          <w:lang w:val="fr-FR"/>
        </w:rPr>
        <w:t>Le projet de directives à l</w:t>
      </w:r>
      <w:r w:rsidR="009F4075" w:rsidRPr="006211EE">
        <w:rPr>
          <w:lang w:val="fr-FR"/>
        </w:rPr>
        <w:t>’</w:t>
      </w:r>
      <w:r w:rsidRPr="006211EE">
        <w:rPr>
          <w:lang w:val="fr-FR"/>
        </w:rPr>
        <w:t>usage des offices récepteurs figurant à l</w:t>
      </w:r>
      <w:r w:rsidR="009F4075" w:rsidRPr="006211EE">
        <w:rPr>
          <w:lang w:val="fr-FR"/>
        </w:rPr>
        <w:t>’</w:t>
      </w:r>
      <w:r w:rsidRPr="006211EE">
        <w:rPr>
          <w:lang w:val="fr-FR"/>
        </w:rPr>
        <w:t xml:space="preserve">annexe II vise à répondre aux préoccupations que les offices pourraient avoir, tout en réaffirmant leur rôle clair </w:t>
      </w:r>
      <w:r w:rsidRPr="006211EE">
        <w:rPr>
          <w:lang w:val="fr-FR"/>
        </w:rPr>
        <w:lastRenderedPageBreak/>
        <w:t>en tant qu</w:t>
      </w:r>
      <w:r w:rsidR="009F4075" w:rsidRPr="006211EE">
        <w:rPr>
          <w:lang w:val="fr-FR"/>
        </w:rPr>
        <w:t>’</w:t>
      </w:r>
      <w:r w:rsidRPr="006211EE">
        <w:rPr>
          <w:lang w:val="fr-FR"/>
        </w:rPr>
        <w:t>office récepteur après la mise en œuvre de la modification du règlement d</w:t>
      </w:r>
      <w:r w:rsidR="009F4075" w:rsidRPr="006211EE">
        <w:rPr>
          <w:lang w:val="fr-FR"/>
        </w:rPr>
        <w:t>’</w:t>
      </w:r>
      <w:r w:rsidRPr="006211EE">
        <w:rPr>
          <w:lang w:val="fr-FR"/>
        </w:rPr>
        <w:t>exécuti</w:t>
      </w:r>
      <w:r w:rsidR="006211EE" w:rsidRPr="006211EE">
        <w:rPr>
          <w:lang w:val="fr-FR"/>
        </w:rPr>
        <w:t>on.  L’a</w:t>
      </w:r>
      <w:r w:rsidRPr="006211EE">
        <w:rPr>
          <w:lang w:val="fr-FR"/>
        </w:rPr>
        <w:t>nnexe II n</w:t>
      </w:r>
      <w:r w:rsidR="009F4075" w:rsidRPr="006211EE">
        <w:rPr>
          <w:lang w:val="fr-FR"/>
        </w:rPr>
        <w:t>’</w:t>
      </w:r>
      <w:r w:rsidRPr="006211EE">
        <w:rPr>
          <w:lang w:val="fr-FR"/>
        </w:rPr>
        <w:t>est incluse qu</w:t>
      </w:r>
      <w:r w:rsidR="009F4075" w:rsidRPr="006211EE">
        <w:rPr>
          <w:lang w:val="fr-FR"/>
        </w:rPr>
        <w:t>’</w:t>
      </w:r>
      <w:r w:rsidRPr="006211EE">
        <w:rPr>
          <w:lang w:val="fr-FR"/>
        </w:rPr>
        <w:t>à titre d</w:t>
      </w:r>
      <w:r w:rsidR="009F4075" w:rsidRPr="006211EE">
        <w:rPr>
          <w:lang w:val="fr-FR"/>
        </w:rPr>
        <w:t>’</w:t>
      </w:r>
      <w:r w:rsidRPr="006211EE">
        <w:rPr>
          <w:lang w:val="fr-FR"/>
        </w:rPr>
        <w:t>information et pour recevoir d</w:t>
      </w:r>
      <w:r w:rsidR="009F4075" w:rsidRPr="006211EE">
        <w:rPr>
          <w:lang w:val="fr-FR"/>
        </w:rPr>
        <w:t>’</w:t>
      </w:r>
      <w:r w:rsidRPr="006211EE">
        <w:rPr>
          <w:lang w:val="fr-FR"/>
        </w:rPr>
        <w:t>autres commentaires que le Bureau international pourrait approfondir si l</w:t>
      </w:r>
      <w:r w:rsidR="009F4075" w:rsidRPr="006211EE">
        <w:rPr>
          <w:lang w:val="fr-FR"/>
        </w:rPr>
        <w:t>’</w:t>
      </w:r>
      <w:r w:rsidRPr="006211EE">
        <w:rPr>
          <w:lang w:val="fr-FR"/>
        </w:rPr>
        <w:t>Assemblée adoptait les modifications du règlement d</w:t>
      </w:r>
      <w:r w:rsidR="009F4075" w:rsidRPr="006211EE">
        <w:rPr>
          <w:lang w:val="fr-FR"/>
        </w:rPr>
        <w:t>’</w:t>
      </w:r>
      <w:r w:rsidRPr="006211EE">
        <w:rPr>
          <w:lang w:val="fr-FR"/>
        </w:rPr>
        <w:t>exécution proposées dans le présent document.</w:t>
      </w:r>
    </w:p>
    <w:p w14:paraId="16FB7137" w14:textId="612809FC" w:rsidR="00790857" w:rsidRPr="003A669D" w:rsidRDefault="00790857" w:rsidP="003A669D">
      <w:pPr>
        <w:pStyle w:val="ONUMFS"/>
        <w:ind w:left="5533"/>
        <w:rPr>
          <w:i/>
        </w:rPr>
      </w:pPr>
      <w:r w:rsidRPr="003A669D">
        <w:rPr>
          <w:i/>
        </w:rPr>
        <w:t>Le groupe de travail est invité</w:t>
      </w:r>
    </w:p>
    <w:p w14:paraId="5E62A5DA" w14:textId="0D8A34A1" w:rsidR="009F4075" w:rsidRPr="003A669D" w:rsidRDefault="00790857" w:rsidP="003A669D">
      <w:pPr>
        <w:pStyle w:val="ONUMFS"/>
        <w:numPr>
          <w:ilvl w:val="2"/>
          <w:numId w:val="6"/>
        </w:numPr>
        <w:tabs>
          <w:tab w:val="left" w:pos="6237"/>
        </w:tabs>
        <w:ind w:left="5533"/>
        <w:rPr>
          <w:i/>
        </w:rPr>
      </w:pPr>
      <w:proofErr w:type="gramStart"/>
      <w:r w:rsidRPr="003A669D">
        <w:rPr>
          <w:i/>
        </w:rPr>
        <w:t>à</w:t>
      </w:r>
      <w:proofErr w:type="gramEnd"/>
      <w:r w:rsidRPr="003A669D">
        <w:rPr>
          <w:i/>
        </w:rPr>
        <w:t xml:space="preserve"> examiner les propositions de modification du règlement d</w:t>
      </w:r>
      <w:r w:rsidR="009F4075" w:rsidRPr="003A669D">
        <w:rPr>
          <w:i/>
        </w:rPr>
        <w:t>’</w:t>
      </w:r>
      <w:r w:rsidRPr="003A669D">
        <w:rPr>
          <w:i/>
        </w:rPr>
        <w:t>exécution figurant à l</w:t>
      </w:r>
      <w:r w:rsidR="009F4075" w:rsidRPr="003A669D">
        <w:rPr>
          <w:i/>
        </w:rPr>
        <w:t>’</w:t>
      </w:r>
      <w:r w:rsidRPr="003A669D">
        <w:rPr>
          <w:i/>
        </w:rPr>
        <w:t>annexe I du présent document et</w:t>
      </w:r>
    </w:p>
    <w:p w14:paraId="45F9102F" w14:textId="7BB1B99D" w:rsidR="009F4075" w:rsidRPr="003A669D" w:rsidRDefault="00790857" w:rsidP="003A669D">
      <w:pPr>
        <w:pStyle w:val="ONUMFS"/>
        <w:numPr>
          <w:ilvl w:val="2"/>
          <w:numId w:val="6"/>
        </w:numPr>
        <w:ind w:left="5533"/>
        <w:rPr>
          <w:i/>
        </w:rPr>
      </w:pPr>
      <w:proofErr w:type="gramStart"/>
      <w:r w:rsidRPr="003A669D">
        <w:rPr>
          <w:i/>
        </w:rPr>
        <w:t>à</w:t>
      </w:r>
      <w:proofErr w:type="gramEnd"/>
      <w:r w:rsidRPr="003A669D">
        <w:rPr>
          <w:i/>
        </w:rPr>
        <w:t xml:space="preserve"> formuler des commentaires préliminaires sur les projets de modification des directives à l</w:t>
      </w:r>
      <w:r w:rsidR="009F4075" w:rsidRPr="003A669D">
        <w:rPr>
          <w:i/>
        </w:rPr>
        <w:t>’</w:t>
      </w:r>
      <w:r w:rsidRPr="003A669D">
        <w:rPr>
          <w:i/>
        </w:rPr>
        <w:t>usage des offices récepteurs figurant à l</w:t>
      </w:r>
      <w:r w:rsidR="009F4075" w:rsidRPr="003A669D">
        <w:rPr>
          <w:i/>
        </w:rPr>
        <w:t>’</w:t>
      </w:r>
      <w:r w:rsidRPr="003A669D">
        <w:rPr>
          <w:i/>
        </w:rPr>
        <w:t>annexe II du présent document.</w:t>
      </w:r>
    </w:p>
    <w:p w14:paraId="2BAB1A8D" w14:textId="098171D8" w:rsidR="00790857" w:rsidRPr="006211EE" w:rsidRDefault="00790857" w:rsidP="00790857">
      <w:pPr>
        <w:pStyle w:val="Endofdocument-Annex"/>
        <w:sectPr w:rsidR="00790857" w:rsidRPr="006211EE" w:rsidSect="00ED5FB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6211EE">
        <w:t>[Les annexes suivent]</w:t>
      </w:r>
    </w:p>
    <w:p w14:paraId="5E265BFA" w14:textId="3BB544D7" w:rsidR="00790857" w:rsidRPr="006211EE" w:rsidRDefault="00790857" w:rsidP="00247017">
      <w:pPr>
        <w:jc w:val="center"/>
        <w:rPr>
          <w:lang w:val="fr-FR"/>
        </w:rPr>
      </w:pPr>
      <w:r w:rsidRPr="006211EE">
        <w:rPr>
          <w:lang w:val="fr-FR"/>
        </w:rPr>
        <w:lastRenderedPageBreak/>
        <w:t>PROPOSITIONS DE MODIFICATION DU RÈGLEMENT D</w:t>
      </w:r>
      <w:r w:rsidR="009F4075" w:rsidRPr="006211EE">
        <w:rPr>
          <w:lang w:val="fr-FR"/>
        </w:rPr>
        <w:t>’</w:t>
      </w:r>
      <w:r w:rsidRPr="006211EE">
        <w:rPr>
          <w:lang w:val="fr-FR"/>
        </w:rPr>
        <w:t>EXÉCUTION DU PCT</w:t>
      </w:r>
      <w:r w:rsidRPr="006211EE">
        <w:rPr>
          <w:rStyle w:val="FootnoteReference"/>
          <w:caps/>
          <w:lang w:val="fr-FR"/>
        </w:rPr>
        <w:footnoteReference w:id="4"/>
      </w:r>
    </w:p>
    <w:p w14:paraId="00A36DFA" w14:textId="77777777" w:rsidR="00790857" w:rsidRPr="006211EE" w:rsidRDefault="00790857" w:rsidP="00247017">
      <w:pPr>
        <w:jc w:val="center"/>
        <w:rPr>
          <w:lang w:val="fr-FR"/>
        </w:rPr>
      </w:pPr>
    </w:p>
    <w:p w14:paraId="18BEAF5E" w14:textId="77777777" w:rsidR="00790857" w:rsidRPr="006211EE" w:rsidRDefault="00790857" w:rsidP="00247017">
      <w:pPr>
        <w:jc w:val="center"/>
        <w:rPr>
          <w:lang w:val="fr-FR"/>
        </w:rPr>
      </w:pPr>
    </w:p>
    <w:p w14:paraId="665A6EAE" w14:textId="77777777" w:rsidR="00790857" w:rsidRPr="006211EE" w:rsidRDefault="00790857" w:rsidP="00247017">
      <w:pPr>
        <w:jc w:val="center"/>
        <w:rPr>
          <w:lang w:val="fr-FR"/>
        </w:rPr>
      </w:pPr>
      <w:r w:rsidRPr="006211EE">
        <w:rPr>
          <w:lang w:val="fr-FR"/>
        </w:rPr>
        <w:t>TABLE DES MATIÈRES</w:t>
      </w:r>
    </w:p>
    <w:p w14:paraId="36550422" w14:textId="77777777" w:rsidR="00790857" w:rsidRPr="006211EE" w:rsidRDefault="00790857" w:rsidP="00247017">
      <w:pPr>
        <w:jc w:val="center"/>
        <w:rPr>
          <w:lang w:val="fr-FR"/>
        </w:rPr>
      </w:pPr>
    </w:p>
    <w:p w14:paraId="768C5255" w14:textId="77777777" w:rsidR="00790857" w:rsidRPr="006211EE" w:rsidRDefault="00790857" w:rsidP="00247017">
      <w:pPr>
        <w:jc w:val="center"/>
        <w:rPr>
          <w:lang w:val="fr-FR"/>
        </w:rPr>
      </w:pPr>
    </w:p>
    <w:p w14:paraId="18299B33" w14:textId="15BD6D8F" w:rsidR="00247017" w:rsidRDefault="00247017">
      <w:pPr>
        <w:pStyle w:val="TOC1"/>
        <w:tabs>
          <w:tab w:val="right" w:leader="dot" w:pos="9345"/>
        </w:tabs>
        <w:rPr>
          <w:noProof/>
        </w:rPr>
      </w:pPr>
      <w:r>
        <w:rPr>
          <w:lang w:val="fr-FR"/>
        </w:rPr>
        <w:fldChar w:fldCharType="begin"/>
      </w:r>
      <w:r>
        <w:rPr>
          <w:lang w:val="fr-FR"/>
        </w:rPr>
        <w:instrText xml:space="preserve"> TOC \h \z \t "Leg # Title;1;Leg SubRule #;2" </w:instrText>
      </w:r>
      <w:r>
        <w:rPr>
          <w:lang w:val="fr-FR"/>
        </w:rPr>
        <w:fldChar w:fldCharType="separate"/>
      </w:r>
      <w:hyperlink w:anchor="_Toc157422236" w:history="1">
        <w:r w:rsidRPr="002B39B4">
          <w:rPr>
            <w:rStyle w:val="Hyperlink"/>
            <w:noProof/>
          </w:rPr>
          <w:t>Règle 26  Contrôle et correction de certains éléments de la demande internationale auprès de l’office récepteur</w:t>
        </w:r>
        <w:r>
          <w:rPr>
            <w:noProof/>
            <w:webHidden/>
          </w:rPr>
          <w:tab/>
        </w:r>
        <w:r>
          <w:rPr>
            <w:noProof/>
            <w:webHidden/>
          </w:rPr>
          <w:fldChar w:fldCharType="begin"/>
        </w:r>
        <w:r>
          <w:rPr>
            <w:noProof/>
            <w:webHidden/>
          </w:rPr>
          <w:instrText xml:space="preserve"> PAGEREF _Toc157422236 \h </w:instrText>
        </w:r>
        <w:r>
          <w:rPr>
            <w:noProof/>
            <w:webHidden/>
          </w:rPr>
        </w:r>
        <w:r>
          <w:rPr>
            <w:noProof/>
            <w:webHidden/>
          </w:rPr>
          <w:fldChar w:fldCharType="separate"/>
        </w:r>
        <w:r w:rsidR="00D15B53">
          <w:rPr>
            <w:noProof/>
            <w:webHidden/>
          </w:rPr>
          <w:t>2</w:t>
        </w:r>
        <w:r>
          <w:rPr>
            <w:noProof/>
            <w:webHidden/>
          </w:rPr>
          <w:fldChar w:fldCharType="end"/>
        </w:r>
      </w:hyperlink>
    </w:p>
    <w:p w14:paraId="0F33B7CA" w14:textId="49F92006" w:rsidR="00247017" w:rsidRDefault="00D15B53">
      <w:pPr>
        <w:pStyle w:val="TOC2"/>
        <w:tabs>
          <w:tab w:val="right" w:leader="dot" w:pos="9345"/>
        </w:tabs>
        <w:rPr>
          <w:noProof/>
        </w:rPr>
      </w:pPr>
      <w:hyperlink w:anchor="_Toc157422237" w:history="1">
        <w:r w:rsidR="00247017" w:rsidRPr="002B39B4">
          <w:rPr>
            <w:rStyle w:val="Hyperlink"/>
            <w:noProof/>
          </w:rPr>
          <w:t>26.1 à 26.3</w:t>
        </w:r>
        <w:r w:rsidR="00247017" w:rsidRPr="002B39B4">
          <w:rPr>
            <w:rStyle w:val="Hyperlink"/>
            <w:i/>
            <w:noProof/>
          </w:rPr>
          <w:t>bis</w:t>
        </w:r>
        <w:r w:rsidR="00AD34E8">
          <w:rPr>
            <w:rStyle w:val="Hyperlink"/>
            <w:i/>
            <w:noProof/>
          </w:rPr>
          <w:t>   </w:t>
        </w:r>
        <w:r w:rsidR="00247017" w:rsidRPr="002B39B4">
          <w:rPr>
            <w:rStyle w:val="Hyperlink"/>
            <w:i/>
            <w:noProof/>
          </w:rPr>
          <w:t>[Sans changement]</w:t>
        </w:r>
        <w:r w:rsidR="00247017">
          <w:rPr>
            <w:noProof/>
            <w:webHidden/>
          </w:rPr>
          <w:tab/>
        </w:r>
        <w:r w:rsidR="00247017">
          <w:rPr>
            <w:noProof/>
            <w:webHidden/>
          </w:rPr>
          <w:fldChar w:fldCharType="begin"/>
        </w:r>
        <w:r w:rsidR="00247017">
          <w:rPr>
            <w:noProof/>
            <w:webHidden/>
          </w:rPr>
          <w:instrText xml:space="preserve"> PAGEREF _Toc157422237 \h </w:instrText>
        </w:r>
        <w:r w:rsidR="00247017">
          <w:rPr>
            <w:noProof/>
            <w:webHidden/>
          </w:rPr>
        </w:r>
        <w:r w:rsidR="00247017">
          <w:rPr>
            <w:noProof/>
            <w:webHidden/>
          </w:rPr>
          <w:fldChar w:fldCharType="separate"/>
        </w:r>
        <w:r>
          <w:rPr>
            <w:noProof/>
            <w:webHidden/>
          </w:rPr>
          <w:t>2</w:t>
        </w:r>
        <w:r w:rsidR="00247017">
          <w:rPr>
            <w:noProof/>
            <w:webHidden/>
          </w:rPr>
          <w:fldChar w:fldCharType="end"/>
        </w:r>
      </w:hyperlink>
    </w:p>
    <w:p w14:paraId="4E1E8611" w14:textId="08537046" w:rsidR="00247017" w:rsidRDefault="00D15B53">
      <w:pPr>
        <w:pStyle w:val="TOC2"/>
        <w:tabs>
          <w:tab w:val="right" w:leader="dot" w:pos="9345"/>
        </w:tabs>
        <w:rPr>
          <w:noProof/>
        </w:rPr>
      </w:pPr>
      <w:hyperlink w:anchor="_Toc157422238" w:history="1">
        <w:r w:rsidR="00247017" w:rsidRPr="002B39B4">
          <w:rPr>
            <w:rStyle w:val="Hyperlink"/>
            <w:noProof/>
          </w:rPr>
          <w:t>26.3</w:t>
        </w:r>
        <w:r w:rsidR="00247017" w:rsidRPr="002B39B4">
          <w:rPr>
            <w:rStyle w:val="Hyperlink"/>
            <w:i/>
            <w:noProof/>
          </w:rPr>
          <w:t>ter</w:t>
        </w:r>
        <w:r w:rsidR="00AD34E8">
          <w:rPr>
            <w:rStyle w:val="Hyperlink"/>
            <w:i/>
            <w:noProof/>
          </w:rPr>
          <w:t>   </w:t>
        </w:r>
        <w:r w:rsidR="00247017" w:rsidRPr="002B39B4">
          <w:rPr>
            <w:rStyle w:val="Hyperlink"/>
            <w:i/>
            <w:noProof/>
          </w:rPr>
          <w:t>Invitation à corriger des irrégularités en vertu de l’article 3.4)i)</w:t>
        </w:r>
        <w:r w:rsidR="00247017">
          <w:rPr>
            <w:noProof/>
            <w:webHidden/>
          </w:rPr>
          <w:tab/>
        </w:r>
        <w:r w:rsidR="00247017">
          <w:rPr>
            <w:noProof/>
            <w:webHidden/>
          </w:rPr>
          <w:fldChar w:fldCharType="begin"/>
        </w:r>
        <w:r w:rsidR="00247017">
          <w:rPr>
            <w:noProof/>
            <w:webHidden/>
          </w:rPr>
          <w:instrText xml:space="preserve"> PAGEREF _Toc157422238 \h </w:instrText>
        </w:r>
        <w:r w:rsidR="00247017">
          <w:rPr>
            <w:noProof/>
            <w:webHidden/>
          </w:rPr>
        </w:r>
        <w:r w:rsidR="00247017">
          <w:rPr>
            <w:noProof/>
            <w:webHidden/>
          </w:rPr>
          <w:fldChar w:fldCharType="separate"/>
        </w:r>
        <w:r>
          <w:rPr>
            <w:noProof/>
            <w:webHidden/>
          </w:rPr>
          <w:t>2</w:t>
        </w:r>
        <w:r w:rsidR="00247017">
          <w:rPr>
            <w:noProof/>
            <w:webHidden/>
          </w:rPr>
          <w:fldChar w:fldCharType="end"/>
        </w:r>
      </w:hyperlink>
    </w:p>
    <w:p w14:paraId="003F79C0" w14:textId="040A112C" w:rsidR="00790857" w:rsidRPr="006211EE" w:rsidRDefault="00247017" w:rsidP="00790857">
      <w:pPr>
        <w:rPr>
          <w:lang w:val="fr-FR"/>
        </w:rPr>
      </w:pPr>
      <w:r>
        <w:rPr>
          <w:lang w:val="fr-FR"/>
        </w:rPr>
        <w:fldChar w:fldCharType="end"/>
      </w:r>
    </w:p>
    <w:p w14:paraId="1E2E5966" w14:textId="182432E3" w:rsidR="00790857" w:rsidRPr="006211EE" w:rsidRDefault="00790857" w:rsidP="00790857">
      <w:pPr>
        <w:pStyle w:val="LegTitle"/>
      </w:pPr>
      <w:bookmarkStart w:id="6" w:name="_Toc114584490"/>
      <w:bookmarkStart w:id="7" w:name="_Toc114827706"/>
      <w:bookmarkStart w:id="8" w:name="_Toc157422236"/>
      <w:bookmarkStart w:id="9" w:name="_Hlk156398147"/>
      <w:r w:rsidRPr="006211EE">
        <w:lastRenderedPageBreak/>
        <w:t xml:space="preserve">Règle 26 </w:t>
      </w:r>
      <w:r w:rsidRPr="006211EE">
        <w:br/>
      </w:r>
      <w:bookmarkEnd w:id="6"/>
      <w:r w:rsidRPr="006211EE">
        <w:t>Contrôle et correction de certains éléments de la demande internationale auprès de l</w:t>
      </w:r>
      <w:r w:rsidR="009F4075" w:rsidRPr="006211EE">
        <w:t>’</w:t>
      </w:r>
      <w:r w:rsidRPr="006211EE">
        <w:t>office récepteur</w:t>
      </w:r>
      <w:bookmarkEnd w:id="7"/>
      <w:bookmarkEnd w:id="8"/>
    </w:p>
    <w:p w14:paraId="73285CB2" w14:textId="58EBF35F" w:rsidR="00790857" w:rsidRPr="006211EE" w:rsidRDefault="00790857" w:rsidP="00790857">
      <w:pPr>
        <w:pStyle w:val="LegSubRule"/>
        <w:keepLines w:val="0"/>
        <w:outlineLvl w:val="0"/>
        <w:rPr>
          <w:i/>
        </w:rPr>
      </w:pPr>
      <w:bookmarkStart w:id="10" w:name="_Toc114827707"/>
      <w:bookmarkStart w:id="11" w:name="_Toc157422237"/>
      <w:r w:rsidRPr="006211EE">
        <w:t>26.1 à 26.3</w:t>
      </w:r>
      <w:r w:rsidRPr="006211EE">
        <w:rPr>
          <w:i/>
        </w:rPr>
        <w:t>bis</w:t>
      </w:r>
      <w:r w:rsidR="003647CA">
        <w:rPr>
          <w:i/>
        </w:rPr>
        <w:t>   </w:t>
      </w:r>
      <w:r w:rsidRPr="006211EE">
        <w:rPr>
          <w:i/>
        </w:rPr>
        <w:t>[Sans changement]</w:t>
      </w:r>
      <w:bookmarkEnd w:id="10"/>
      <w:bookmarkEnd w:id="11"/>
    </w:p>
    <w:p w14:paraId="6E78FB31" w14:textId="398A9017" w:rsidR="00790857" w:rsidRPr="006211EE" w:rsidRDefault="00790857" w:rsidP="00790857">
      <w:pPr>
        <w:pStyle w:val="LegSubRule"/>
      </w:pPr>
      <w:bookmarkStart w:id="12" w:name="_Toc114827710"/>
      <w:bookmarkStart w:id="13" w:name="_Toc157422238"/>
      <w:r w:rsidRPr="006211EE">
        <w:t>26.3</w:t>
      </w:r>
      <w:r w:rsidRPr="006211EE">
        <w:rPr>
          <w:i/>
        </w:rPr>
        <w:t>ter</w:t>
      </w:r>
      <w:r w:rsidR="003647CA">
        <w:t>   </w:t>
      </w:r>
      <w:r w:rsidRPr="006211EE">
        <w:rPr>
          <w:i/>
        </w:rPr>
        <w:t>Invitation à corriger des irrégularités en vertu de l</w:t>
      </w:r>
      <w:r w:rsidR="009F4075" w:rsidRPr="006211EE">
        <w:rPr>
          <w:i/>
        </w:rPr>
        <w:t>’</w:t>
      </w:r>
      <w:r w:rsidRPr="006211EE">
        <w:rPr>
          <w:i/>
        </w:rPr>
        <w:t>article 3.4)i)</w:t>
      </w:r>
      <w:bookmarkEnd w:id="12"/>
      <w:bookmarkEnd w:id="13"/>
    </w:p>
    <w:p w14:paraId="3249819C" w14:textId="46826EE7" w:rsidR="00790857" w:rsidRPr="003647CA" w:rsidRDefault="00790857" w:rsidP="003647CA">
      <w:pPr>
        <w:pStyle w:val="Lega"/>
        <w:tabs>
          <w:tab w:val="clear" w:pos="454"/>
          <w:tab w:val="left" w:pos="567"/>
        </w:tabs>
        <w:rPr>
          <w:rStyle w:val="Deletedtext"/>
          <w:strike w:val="0"/>
          <w:color w:val="auto"/>
        </w:rPr>
      </w:pPr>
      <w:r w:rsidRPr="003647CA">
        <w:rPr>
          <w:rStyle w:val="Deletedtext"/>
          <w:strike w:val="0"/>
          <w:color w:val="auto"/>
        </w:rPr>
        <w:t>a)</w:t>
      </w:r>
      <w:r w:rsidR="003647CA">
        <w:rPr>
          <w:rStyle w:val="Deletedtext"/>
          <w:strike w:val="0"/>
          <w:color w:val="auto"/>
        </w:rPr>
        <w:tab/>
      </w:r>
      <w:r w:rsidRPr="003647CA">
        <w:rPr>
          <w:rStyle w:val="Deletedtext"/>
          <w:strike w:val="0"/>
          <w:color w:val="auto"/>
        </w:rPr>
        <w:t>Lorsque l</w:t>
      </w:r>
      <w:r w:rsidR="009F4075" w:rsidRPr="003647CA">
        <w:rPr>
          <w:rStyle w:val="Deletedtext"/>
          <w:strike w:val="0"/>
          <w:color w:val="auto"/>
        </w:rPr>
        <w:t>’</w:t>
      </w:r>
      <w:r w:rsidRPr="003647CA">
        <w:rPr>
          <w:rStyle w:val="Deletedtext"/>
          <w:strike w:val="0"/>
          <w:color w:val="auto"/>
        </w:rPr>
        <w:t>abrégé ou tout texte contenu dans les dessins est déposé dans une langue qui est différente de celle, sous réserve des règles 12.1</w:t>
      </w:r>
      <w:r w:rsidRPr="003647CA">
        <w:rPr>
          <w:rStyle w:val="Deletedtext"/>
          <w:i/>
          <w:strike w:val="0"/>
          <w:color w:val="auto"/>
        </w:rPr>
        <w:t>bis</w:t>
      </w:r>
      <w:r w:rsidRPr="003647CA">
        <w:rPr>
          <w:rStyle w:val="Deletedtext"/>
          <w:strike w:val="0"/>
          <w:color w:val="auto"/>
        </w:rPr>
        <w:t xml:space="preserve"> et 26.3</w:t>
      </w:r>
      <w:r w:rsidRPr="003647CA">
        <w:rPr>
          <w:rStyle w:val="Deletedtext"/>
          <w:i/>
          <w:strike w:val="0"/>
          <w:color w:val="auto"/>
        </w:rPr>
        <w:t>ter.</w:t>
      </w:r>
      <w:r w:rsidRPr="003647CA">
        <w:rPr>
          <w:rStyle w:val="Deletedtext"/>
          <w:strike w:val="0"/>
          <w:color w:val="auto"/>
        </w:rPr>
        <w:t>e), de la description et des revendications, l</w:t>
      </w:r>
      <w:r w:rsidR="009F4075" w:rsidRPr="003647CA">
        <w:rPr>
          <w:rStyle w:val="Deletedtext"/>
          <w:strike w:val="0"/>
          <w:color w:val="auto"/>
        </w:rPr>
        <w:t>’</w:t>
      </w:r>
      <w:r w:rsidRPr="003647CA">
        <w:rPr>
          <w:rStyle w:val="Deletedtext"/>
          <w:strike w:val="0"/>
          <w:color w:val="auto"/>
        </w:rPr>
        <w:t>office récepteur, sauf</w:t>
      </w:r>
    </w:p>
    <w:p w14:paraId="48FE0C6C" w14:textId="77777777" w:rsidR="00790857" w:rsidRPr="003647CA" w:rsidRDefault="00790857" w:rsidP="003647CA">
      <w:pPr>
        <w:pStyle w:val="Lega"/>
        <w:tabs>
          <w:tab w:val="clear" w:pos="454"/>
          <w:tab w:val="left" w:pos="567"/>
          <w:tab w:val="left" w:pos="1134"/>
        </w:tabs>
      </w:pPr>
      <w:r w:rsidRPr="006211EE">
        <w:tab/>
      </w:r>
      <w:r w:rsidRPr="003647CA">
        <w:t>i)</w:t>
      </w:r>
      <w:r w:rsidRPr="003647CA">
        <w:tab/>
      </w:r>
      <w:r w:rsidRPr="006211EE">
        <w:t xml:space="preserve">si une traduction de la demande internationale est exigée en vertu de la règle 12.3.a) </w:t>
      </w:r>
      <w:r w:rsidRPr="006211EE">
        <w:rPr>
          <w:color w:val="0000FF"/>
          <w:u w:val="single"/>
        </w:rPr>
        <w:t>dans une langue dans laquelle la demande internationale doit être publiée</w:t>
      </w:r>
      <w:r w:rsidRPr="006211EE">
        <w:t xml:space="preserve"> ou</w:t>
      </w:r>
    </w:p>
    <w:p w14:paraId="552F6167" w14:textId="361E200E" w:rsidR="00790857" w:rsidRPr="006211EE" w:rsidRDefault="00790857" w:rsidP="003647CA">
      <w:pPr>
        <w:pStyle w:val="Lega"/>
        <w:tabs>
          <w:tab w:val="clear" w:pos="454"/>
          <w:tab w:val="left" w:pos="567"/>
          <w:tab w:val="left" w:pos="1134"/>
        </w:tabs>
      </w:pPr>
      <w:r w:rsidRPr="006211EE">
        <w:tab/>
      </w:r>
      <w:r w:rsidRPr="003647CA">
        <w:t>ii)</w:t>
      </w:r>
      <w:r w:rsidRPr="003647CA">
        <w:tab/>
      </w:r>
      <w:r w:rsidRPr="006211EE">
        <w:t>si l</w:t>
      </w:r>
      <w:r w:rsidR="009F4075" w:rsidRPr="006211EE">
        <w:t>’</w:t>
      </w:r>
      <w:r w:rsidRPr="006211EE">
        <w:t>abrégé ou le texte contenu dans les dessins est rédigé dans la langue dans laquelle la demande internationale doit être publiée,</w:t>
      </w:r>
    </w:p>
    <w:p w14:paraId="009C4B7C" w14:textId="143C1EBC" w:rsidR="009F4075" w:rsidRPr="003647CA" w:rsidRDefault="00790857" w:rsidP="00790857">
      <w:pPr>
        <w:pStyle w:val="Lega"/>
      </w:pPr>
      <w:r w:rsidRPr="006211EE">
        <w:t>invite le déposant à remettre une traduction de l</w:t>
      </w:r>
      <w:r w:rsidR="009F4075" w:rsidRPr="006211EE">
        <w:t>’</w:t>
      </w:r>
      <w:r w:rsidRPr="006211EE">
        <w:t>abrégé ou du texte contenu dans les dessins dans la langue dans laquelle la demande internationale doit être publi</w:t>
      </w:r>
      <w:r w:rsidR="006211EE" w:rsidRPr="006211EE">
        <w:t>ée.  Le</w:t>
      </w:r>
      <w:r w:rsidRPr="006211EE">
        <w:t>s règles 26.1, 26.2, 26.3, 26.3</w:t>
      </w:r>
      <w:r w:rsidRPr="006211EE">
        <w:rPr>
          <w:i/>
        </w:rPr>
        <w:t>bis</w:t>
      </w:r>
      <w:r w:rsidRPr="006211EE">
        <w:t>, 26.5 et 29.1 s</w:t>
      </w:r>
      <w:r w:rsidR="009F4075" w:rsidRPr="006211EE">
        <w:t>’</w:t>
      </w:r>
      <w:r w:rsidRPr="006211EE">
        <w:t xml:space="preserve">appliquent </w:t>
      </w:r>
      <w:r w:rsidRPr="006211EE">
        <w:rPr>
          <w:i/>
        </w:rPr>
        <w:t>mutatis mutandis</w:t>
      </w:r>
      <w:r w:rsidRPr="006211EE">
        <w:t>.</w:t>
      </w:r>
    </w:p>
    <w:p w14:paraId="625CAB26" w14:textId="28EC315F" w:rsidR="00790857" w:rsidRPr="003647CA" w:rsidRDefault="00790857" w:rsidP="003647CA">
      <w:pPr>
        <w:pStyle w:val="Lega"/>
        <w:rPr>
          <w:rStyle w:val="Deletedtext"/>
          <w:strike w:val="0"/>
          <w:color w:val="auto"/>
        </w:rPr>
      </w:pPr>
      <w:r w:rsidRPr="003647CA">
        <w:rPr>
          <w:rStyle w:val="Deletedtext"/>
          <w:strike w:val="0"/>
          <w:color w:val="auto"/>
        </w:rPr>
        <w:t>b) à e)</w:t>
      </w:r>
      <w:r w:rsidR="003647CA">
        <w:rPr>
          <w:rStyle w:val="Deletedtext"/>
          <w:strike w:val="0"/>
          <w:color w:val="auto"/>
        </w:rPr>
        <w:t>   </w:t>
      </w:r>
      <w:r w:rsidRPr="003647CA">
        <w:rPr>
          <w:rStyle w:val="Deletedtext"/>
          <w:i/>
          <w:iCs/>
          <w:strike w:val="0"/>
          <w:color w:val="auto"/>
        </w:rPr>
        <w:t>[Sans changement]</w:t>
      </w:r>
    </w:p>
    <w:p w14:paraId="181EB30A" w14:textId="68FBD834" w:rsidR="00790857" w:rsidRPr="006211EE" w:rsidRDefault="00790857" w:rsidP="00790857">
      <w:pPr>
        <w:pStyle w:val="Endofdocument-Annex"/>
        <w:sectPr w:rsidR="00790857" w:rsidRPr="006211EE" w:rsidSect="00344FA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6211EE">
        <w:t>[L</w:t>
      </w:r>
      <w:r w:rsidR="009F4075" w:rsidRPr="006211EE">
        <w:t>’</w:t>
      </w:r>
      <w:r w:rsidRPr="006211EE">
        <w:t>annexe II suit]</w:t>
      </w:r>
    </w:p>
    <w:p w14:paraId="6CC73F20" w14:textId="12A587C6" w:rsidR="00790857" w:rsidRPr="006211EE" w:rsidRDefault="00790857" w:rsidP="00247017">
      <w:pPr>
        <w:jc w:val="center"/>
        <w:rPr>
          <w:lang w:val="fr-FR"/>
        </w:rPr>
      </w:pPr>
      <w:r w:rsidRPr="006211EE">
        <w:rPr>
          <w:lang w:val="fr-FR"/>
        </w:rPr>
        <w:lastRenderedPageBreak/>
        <w:t>PROJET DE MODIFICATIONS DES DIRECTIVES À L</w:t>
      </w:r>
      <w:r w:rsidR="009F4075" w:rsidRPr="006211EE">
        <w:rPr>
          <w:lang w:val="fr-FR"/>
        </w:rPr>
        <w:t>’</w:t>
      </w:r>
      <w:r w:rsidRPr="006211EE">
        <w:rPr>
          <w:lang w:val="fr-FR"/>
        </w:rPr>
        <w:t>USAGE DES OFFICES RÉCEPTEURS CONCERNANT LA RÈGLE </w:t>
      </w:r>
      <w:proofErr w:type="gramStart"/>
      <w:r w:rsidRPr="006211EE">
        <w:rPr>
          <w:lang w:val="fr-FR"/>
        </w:rPr>
        <w:t>26.3</w:t>
      </w:r>
      <w:r w:rsidR="00247017" w:rsidRPr="006211EE">
        <w:rPr>
          <w:i/>
          <w:lang w:val="fr-FR"/>
        </w:rPr>
        <w:t>ter.</w:t>
      </w:r>
      <w:r w:rsidR="00247017" w:rsidRPr="006211EE">
        <w:rPr>
          <w:lang w:val="fr-FR"/>
        </w:rPr>
        <w:t>a</w:t>
      </w:r>
      <w:proofErr w:type="gramEnd"/>
      <w:r w:rsidRPr="006211EE">
        <w:rPr>
          <w:lang w:val="fr-FR"/>
        </w:rPr>
        <w:t>)</w:t>
      </w:r>
    </w:p>
    <w:p w14:paraId="32CDAD2E" w14:textId="77777777" w:rsidR="00790857" w:rsidRPr="006211EE" w:rsidRDefault="00790857" w:rsidP="00790857">
      <w:pPr>
        <w:rPr>
          <w:lang w:val="fr-FR"/>
        </w:rPr>
      </w:pPr>
    </w:p>
    <w:p w14:paraId="17798F9C" w14:textId="09E69A5F" w:rsidR="00790857" w:rsidRPr="006211EE" w:rsidRDefault="00790857" w:rsidP="00790857">
      <w:pPr>
        <w:rPr>
          <w:b/>
          <w:bCs/>
          <w:lang w:val="fr-FR"/>
        </w:rPr>
      </w:pPr>
      <w:r w:rsidRPr="006211EE">
        <w:rPr>
          <w:b/>
          <w:lang w:val="fr-FR"/>
        </w:rPr>
        <w:t>Langue de l</w:t>
      </w:r>
      <w:r w:rsidR="009F4075" w:rsidRPr="006211EE">
        <w:rPr>
          <w:b/>
          <w:lang w:val="fr-FR"/>
        </w:rPr>
        <w:t>’</w:t>
      </w:r>
      <w:r w:rsidRPr="006211EE">
        <w:rPr>
          <w:b/>
          <w:lang w:val="fr-FR"/>
        </w:rPr>
        <w:t>abrégé et du texte contenu dans les dessins</w:t>
      </w:r>
    </w:p>
    <w:p w14:paraId="2D871B9B" w14:textId="77777777" w:rsidR="00790857" w:rsidRPr="006211EE" w:rsidRDefault="00790857" w:rsidP="00790857">
      <w:pPr>
        <w:rPr>
          <w:b/>
          <w:bCs/>
          <w:lang w:val="fr-FR"/>
        </w:rPr>
      </w:pPr>
    </w:p>
    <w:p w14:paraId="333ACB2C" w14:textId="5AE343E4" w:rsidR="00790857" w:rsidRPr="006211EE" w:rsidRDefault="00790857" w:rsidP="00790857">
      <w:pPr>
        <w:rPr>
          <w:lang w:val="fr-FR"/>
        </w:rPr>
      </w:pPr>
      <w:r w:rsidRPr="006211EE">
        <w:rPr>
          <w:lang w:val="fr-FR"/>
        </w:rPr>
        <w:t>63.</w:t>
      </w:r>
      <w:r w:rsidRPr="006211EE">
        <w:rPr>
          <w:lang w:val="fr-FR"/>
        </w:rPr>
        <w:tab/>
      </w:r>
      <w:r w:rsidRPr="006211EE">
        <w:rPr>
          <w:b/>
          <w:bCs/>
          <w:lang w:val="fr-FR"/>
        </w:rPr>
        <w:t>Correction d</w:t>
      </w:r>
      <w:r w:rsidR="009F4075" w:rsidRPr="006211EE">
        <w:rPr>
          <w:b/>
          <w:bCs/>
          <w:lang w:val="fr-FR"/>
        </w:rPr>
        <w:t>’</w:t>
      </w:r>
      <w:r w:rsidRPr="006211EE">
        <w:rPr>
          <w:b/>
          <w:bCs/>
          <w:lang w:val="fr-FR"/>
        </w:rPr>
        <w:t>irrégularités</w:t>
      </w:r>
      <w:r w:rsidRPr="006211EE">
        <w:rPr>
          <w:lang w:val="fr-FR"/>
        </w:rPr>
        <w:t xml:space="preserve"> </w:t>
      </w:r>
      <w:r w:rsidR="00247017">
        <w:rPr>
          <w:lang w:val="fr-FR"/>
        </w:rPr>
        <w:t xml:space="preserve"> </w:t>
      </w:r>
      <w:r w:rsidRPr="006211EE">
        <w:rPr>
          <w:lang w:val="fr-FR"/>
        </w:rPr>
        <w:t>Lorsque la langue dans laquelle est rédigé l</w:t>
      </w:r>
      <w:r w:rsidR="009F4075" w:rsidRPr="006211EE">
        <w:rPr>
          <w:lang w:val="fr-FR"/>
        </w:rPr>
        <w:t>’</w:t>
      </w:r>
      <w:r w:rsidRPr="006211EE">
        <w:rPr>
          <w:lang w:val="fr-FR"/>
        </w:rPr>
        <w:t>abrégé ou le texte éventuel contenu dans les dessins, ou une partie de l</w:t>
      </w:r>
      <w:r w:rsidR="009F4075" w:rsidRPr="006211EE">
        <w:rPr>
          <w:lang w:val="fr-FR"/>
        </w:rPr>
        <w:t>’</w:t>
      </w:r>
      <w:r w:rsidRPr="006211EE">
        <w:rPr>
          <w:lang w:val="fr-FR"/>
        </w:rPr>
        <w:t>abrégé ou du texte contenu dans les dessins, est différente de la langue dans laquelle la description et les revendications sont rédigées, l</w:t>
      </w:r>
      <w:r w:rsidR="009F4075" w:rsidRPr="006211EE">
        <w:rPr>
          <w:lang w:val="fr-FR"/>
        </w:rPr>
        <w:t>’</w:t>
      </w:r>
      <w:r w:rsidRPr="006211EE">
        <w:rPr>
          <w:lang w:val="fr-FR"/>
        </w:rPr>
        <w:t>office récepteur invite (formulaire PCT/RO/106) le déposant à lui fournir, dans le délai mentionné à la règle 26.2 (règle 26.3</w:t>
      </w:r>
      <w:r w:rsidRPr="006211EE">
        <w:rPr>
          <w:i/>
          <w:iCs/>
          <w:lang w:val="fr-FR"/>
        </w:rPr>
        <w:t>ter</w:t>
      </w:r>
      <w:r w:rsidRPr="006211EE">
        <w:rPr>
          <w:lang w:val="fr-FR"/>
        </w:rPr>
        <w:t>.a)), une traduction de l</w:t>
      </w:r>
      <w:r w:rsidR="009F4075" w:rsidRPr="006211EE">
        <w:rPr>
          <w:lang w:val="fr-FR"/>
        </w:rPr>
        <w:t>’</w:t>
      </w:r>
      <w:r w:rsidRPr="006211EE">
        <w:rPr>
          <w:lang w:val="fr-FR"/>
        </w:rPr>
        <w:t>abrégé ou du texte éventuel contenu dans les dessins dans la langue dans laquelle la demande internationale doit être publiée en vertu de la règle 48.3.a) ou b), à moins</w:t>
      </w:r>
      <w:r w:rsidRPr="006211EE">
        <w:rPr>
          <w:lang w:val="fr-FR"/>
        </w:rPr>
        <w:br/>
      </w:r>
    </w:p>
    <w:p w14:paraId="719123DC" w14:textId="316EC7A9" w:rsidR="00790857" w:rsidRPr="006211EE" w:rsidRDefault="00790857" w:rsidP="00247017">
      <w:pPr>
        <w:pStyle w:val="ListParagraph"/>
        <w:numPr>
          <w:ilvl w:val="0"/>
          <w:numId w:val="7"/>
        </w:numPr>
        <w:ind w:left="1134" w:hanging="567"/>
      </w:pPr>
      <w:proofErr w:type="gramStart"/>
      <w:r w:rsidRPr="006211EE">
        <w:t>qu</w:t>
      </w:r>
      <w:r w:rsidR="009F4075" w:rsidRPr="006211EE">
        <w:t>’</w:t>
      </w:r>
      <w:r w:rsidRPr="006211EE">
        <w:t>une</w:t>
      </w:r>
      <w:proofErr w:type="gramEnd"/>
      <w:r w:rsidRPr="006211EE">
        <w:t xml:space="preserve"> traduction de (toute) la demande internationale ne soit requise en vertu de la règle 12.3.a) </w:t>
      </w:r>
      <w:r w:rsidRPr="006211EE">
        <w:rPr>
          <w:color w:val="0000FF"/>
          <w:u w:val="single"/>
        </w:rPr>
        <w:t>dans la langue dans laquelle la demande internationale doit être publiée</w:t>
      </w:r>
      <w:r w:rsidR="00140880">
        <w:t xml:space="preserve"> </w:t>
      </w:r>
      <w:r w:rsidRPr="006211EE">
        <w:t>ou</w:t>
      </w:r>
      <w:r w:rsidR="00140880">
        <w:t xml:space="preserve"> de la règle </w:t>
      </w:r>
      <w:r w:rsidR="00140880" w:rsidRPr="00140880">
        <w:t>12.4.a) (paragraphe</w:t>
      </w:r>
      <w:r w:rsidR="00140880">
        <w:t> </w:t>
      </w:r>
      <w:r w:rsidR="00140880" w:rsidRPr="00140880">
        <w:t>67 ou 67A), ou</w:t>
      </w:r>
      <w:r w:rsidRPr="006211EE">
        <w:br/>
      </w:r>
    </w:p>
    <w:p w14:paraId="681996B2" w14:textId="5FD44045" w:rsidR="00790857" w:rsidRPr="006211EE" w:rsidRDefault="00790857" w:rsidP="00247017">
      <w:pPr>
        <w:pStyle w:val="ListParagraph"/>
        <w:numPr>
          <w:ilvl w:val="0"/>
          <w:numId w:val="7"/>
        </w:numPr>
        <w:ind w:left="1134" w:hanging="567"/>
      </w:pPr>
      <w:proofErr w:type="gramStart"/>
      <w:r w:rsidRPr="006211EE">
        <w:t>que</w:t>
      </w:r>
      <w:proofErr w:type="gramEnd"/>
      <w:r w:rsidRPr="006211EE">
        <w:t xml:space="preserve"> l</w:t>
      </w:r>
      <w:r w:rsidR="009F4075" w:rsidRPr="006211EE">
        <w:t>’</w:t>
      </w:r>
      <w:r w:rsidRPr="006211EE">
        <w:t>abrégé et le texte éventuel contenu dans les dessins ne soient (déjà) rédigés dans la langue dans laquelle la demande internationale doit être publiée.</w:t>
      </w:r>
    </w:p>
    <w:p w14:paraId="38B71A88" w14:textId="77777777" w:rsidR="00790857" w:rsidRPr="006211EE" w:rsidRDefault="00790857" w:rsidP="00790857">
      <w:pPr>
        <w:rPr>
          <w:lang w:val="fr-FR"/>
        </w:rPr>
      </w:pPr>
    </w:p>
    <w:p w14:paraId="6381B483" w14:textId="5BB074FE" w:rsidR="00790857" w:rsidRPr="006211EE" w:rsidRDefault="00790857" w:rsidP="00790857">
      <w:pPr>
        <w:rPr>
          <w:lang w:val="fr-FR"/>
        </w:rPr>
      </w:pPr>
      <w:r w:rsidRPr="006211EE">
        <w:rPr>
          <w:lang w:val="fr-FR"/>
        </w:rPr>
        <w:t>64.</w:t>
      </w:r>
      <w:r w:rsidRPr="006211EE">
        <w:rPr>
          <w:lang w:val="fr-FR"/>
        </w:rPr>
        <w:tab/>
        <w:t xml:space="preserve">[Sans </w:t>
      </w:r>
      <w:proofErr w:type="gramStart"/>
      <w:r w:rsidRPr="006211EE">
        <w:rPr>
          <w:lang w:val="fr-FR"/>
        </w:rPr>
        <w:t xml:space="preserve">changement] </w:t>
      </w:r>
      <w:r w:rsidR="00247017">
        <w:rPr>
          <w:lang w:val="fr-FR"/>
        </w:rPr>
        <w:t xml:space="preserve"> </w:t>
      </w:r>
      <w:r w:rsidRPr="006211EE">
        <w:rPr>
          <w:lang w:val="fr-FR"/>
        </w:rPr>
        <w:t>Dans</w:t>
      </w:r>
      <w:proofErr w:type="gramEnd"/>
      <w:r w:rsidRPr="006211EE">
        <w:rPr>
          <w:lang w:val="fr-FR"/>
        </w:rPr>
        <w:t xml:space="preserve"> l</w:t>
      </w:r>
      <w:r w:rsidR="009F4075" w:rsidRPr="006211EE">
        <w:rPr>
          <w:lang w:val="fr-FR"/>
        </w:rPr>
        <w:t>’</w:t>
      </w:r>
      <w:r w:rsidRPr="006211EE">
        <w:rPr>
          <w:lang w:val="fr-FR"/>
        </w:rPr>
        <w:t>invitation, l</w:t>
      </w:r>
      <w:r w:rsidR="009F4075" w:rsidRPr="006211EE">
        <w:rPr>
          <w:lang w:val="fr-FR"/>
        </w:rPr>
        <w:t>’</w:t>
      </w:r>
      <w:r w:rsidRPr="006211EE">
        <w:rPr>
          <w:lang w:val="fr-FR"/>
        </w:rPr>
        <w:t>office récepteur indique la langue dans laquelle l</w:t>
      </w:r>
      <w:r w:rsidR="009F4075" w:rsidRPr="006211EE">
        <w:rPr>
          <w:lang w:val="fr-FR"/>
        </w:rPr>
        <w:t>’</w:t>
      </w:r>
      <w:r w:rsidRPr="006211EE">
        <w:rPr>
          <w:lang w:val="fr-FR"/>
        </w:rPr>
        <w:t>abrégé ou le texte contenu dans les dessins doit être traduit de sorte à remplir les conditions de la règle 26.3</w:t>
      </w:r>
      <w:r w:rsidRPr="006211EE">
        <w:rPr>
          <w:i/>
          <w:lang w:val="fr-FR"/>
        </w:rPr>
        <w:t>ter</w:t>
      </w:r>
      <w:r w:rsidRPr="006211EE">
        <w:rPr>
          <w:lang w:val="fr-FR"/>
        </w:rPr>
        <w:t>.a).  Les règles 26.3 et 26.3</w:t>
      </w:r>
      <w:r w:rsidRPr="006211EE">
        <w:rPr>
          <w:i/>
          <w:lang w:val="fr-FR"/>
        </w:rPr>
        <w:t xml:space="preserve">bis </w:t>
      </w:r>
      <w:r w:rsidRPr="006211EE">
        <w:rPr>
          <w:lang w:val="fr-FR"/>
        </w:rPr>
        <w:t>concernant les conditions matérielles (paragraphes 132 à 146) s</w:t>
      </w:r>
      <w:r w:rsidR="009F4075" w:rsidRPr="006211EE">
        <w:rPr>
          <w:lang w:val="fr-FR"/>
        </w:rPr>
        <w:t>’</w:t>
      </w:r>
      <w:r w:rsidRPr="006211EE">
        <w:rPr>
          <w:lang w:val="fr-FR"/>
        </w:rPr>
        <w:t xml:space="preserve">appliquent </w:t>
      </w:r>
      <w:r w:rsidRPr="006211EE">
        <w:rPr>
          <w:i/>
          <w:lang w:val="fr-FR"/>
        </w:rPr>
        <w:t>mutatis mutandis</w:t>
      </w:r>
      <w:r w:rsidRPr="006211EE">
        <w:rPr>
          <w:lang w:val="fr-FR"/>
        </w:rPr>
        <w:t xml:space="preserve"> à toute traduction remise par le déposant en vertu de la règle </w:t>
      </w:r>
      <w:proofErr w:type="gramStart"/>
      <w:r w:rsidRPr="006211EE">
        <w:rPr>
          <w:lang w:val="fr-FR"/>
        </w:rPr>
        <w:t>26.3</w:t>
      </w:r>
      <w:r w:rsidRPr="006211EE">
        <w:rPr>
          <w:i/>
          <w:lang w:val="fr-FR"/>
        </w:rPr>
        <w:t>ter</w:t>
      </w:r>
      <w:r w:rsidRPr="006211EE">
        <w:rPr>
          <w:lang w:val="fr-FR"/>
        </w:rPr>
        <w:t>.a</w:t>
      </w:r>
      <w:proofErr w:type="gramEnd"/>
      <w:r w:rsidRPr="006211EE">
        <w:rPr>
          <w:lang w:val="fr-FR"/>
        </w:rPr>
        <w:t>).</w:t>
      </w:r>
    </w:p>
    <w:p w14:paraId="01F6EF05" w14:textId="77777777" w:rsidR="00790857" w:rsidRPr="006211EE" w:rsidRDefault="00790857" w:rsidP="00790857">
      <w:pPr>
        <w:rPr>
          <w:lang w:val="fr-FR"/>
        </w:rPr>
      </w:pPr>
    </w:p>
    <w:p w14:paraId="793C35BB" w14:textId="046968B9" w:rsidR="00790857" w:rsidRPr="006211EE" w:rsidRDefault="00790857" w:rsidP="00790857">
      <w:pPr>
        <w:rPr>
          <w:lang w:val="fr-FR"/>
        </w:rPr>
      </w:pPr>
      <w:r w:rsidRPr="006211EE">
        <w:rPr>
          <w:lang w:val="fr-FR"/>
        </w:rPr>
        <w:t>65.</w:t>
      </w:r>
      <w:r w:rsidRPr="006211EE">
        <w:rPr>
          <w:lang w:val="fr-FR"/>
        </w:rPr>
        <w:tab/>
      </w:r>
      <w:r w:rsidRPr="006211EE">
        <w:rPr>
          <w:b/>
          <w:bCs/>
          <w:lang w:val="fr-FR"/>
        </w:rPr>
        <w:t xml:space="preserve">Irrégularités non </w:t>
      </w:r>
      <w:proofErr w:type="gramStart"/>
      <w:r w:rsidRPr="006211EE">
        <w:rPr>
          <w:b/>
          <w:bCs/>
          <w:lang w:val="fr-FR"/>
        </w:rPr>
        <w:t>corrigées</w:t>
      </w:r>
      <w:r w:rsidRPr="006211EE">
        <w:rPr>
          <w:lang w:val="fr-FR"/>
        </w:rPr>
        <w:t xml:space="preserve"> </w:t>
      </w:r>
      <w:r w:rsidR="00247017">
        <w:rPr>
          <w:lang w:val="fr-FR"/>
        </w:rPr>
        <w:t xml:space="preserve"> </w:t>
      </w:r>
      <w:r w:rsidRPr="006211EE">
        <w:rPr>
          <w:lang w:val="fr-FR"/>
        </w:rPr>
        <w:t>Lorsqu</w:t>
      </w:r>
      <w:r w:rsidR="009F4075" w:rsidRPr="006211EE">
        <w:rPr>
          <w:lang w:val="fr-FR"/>
        </w:rPr>
        <w:t>’</w:t>
      </w:r>
      <w:r w:rsidRPr="006211EE">
        <w:rPr>
          <w:lang w:val="fr-FR"/>
        </w:rPr>
        <w:t>il</w:t>
      </w:r>
      <w:proofErr w:type="gramEnd"/>
      <w:r w:rsidRPr="006211EE">
        <w:rPr>
          <w:lang w:val="fr-FR"/>
        </w:rPr>
        <w:t xml:space="preserve"> a envoyé au déposant une invitation en vertu de la règle 26.3</w:t>
      </w:r>
      <w:r w:rsidRPr="006211EE">
        <w:rPr>
          <w:i/>
          <w:iCs/>
          <w:lang w:val="fr-FR"/>
        </w:rPr>
        <w:t>ter</w:t>
      </w:r>
      <w:r w:rsidRPr="006211EE">
        <w:rPr>
          <w:lang w:val="fr-FR"/>
        </w:rPr>
        <w:t xml:space="preserve"> et que le déposant n</w:t>
      </w:r>
      <w:r w:rsidR="009F4075" w:rsidRPr="006211EE">
        <w:rPr>
          <w:lang w:val="fr-FR"/>
        </w:rPr>
        <w:t>’</w:t>
      </w:r>
      <w:r w:rsidRPr="006211EE">
        <w:rPr>
          <w:lang w:val="fr-FR"/>
        </w:rPr>
        <w:t>a pas, dans le délai fixé, remis la traduction requise, l</w:t>
      </w:r>
      <w:r w:rsidR="009F4075" w:rsidRPr="006211EE">
        <w:rPr>
          <w:lang w:val="fr-FR"/>
        </w:rPr>
        <w:t>’</w:t>
      </w:r>
      <w:r w:rsidRPr="006211EE">
        <w:rPr>
          <w:lang w:val="fr-FR"/>
        </w:rPr>
        <w:t>office récepteur procède comme prévu aux règles 26.5 et 29.1, qui s</w:t>
      </w:r>
      <w:r w:rsidR="009F4075" w:rsidRPr="006211EE">
        <w:rPr>
          <w:lang w:val="fr-FR"/>
        </w:rPr>
        <w:t>’</w:t>
      </w:r>
      <w:r w:rsidRPr="006211EE">
        <w:rPr>
          <w:lang w:val="fr-FR"/>
        </w:rPr>
        <w:t xml:space="preserve">appliquent </w:t>
      </w:r>
      <w:r w:rsidRPr="006211EE">
        <w:rPr>
          <w:i/>
          <w:lang w:val="fr-FR"/>
        </w:rPr>
        <w:t>mutatis mutandis</w:t>
      </w:r>
      <w:r w:rsidRPr="006211EE">
        <w:rPr>
          <w:lang w:val="fr-FR"/>
        </w:rPr>
        <w:t xml:space="preserve"> (règle 26.3</w:t>
      </w:r>
      <w:r w:rsidRPr="006211EE">
        <w:rPr>
          <w:i/>
          <w:iCs/>
          <w:lang w:val="fr-FR"/>
        </w:rPr>
        <w:t>ter</w:t>
      </w:r>
      <w:r w:rsidRPr="006211EE">
        <w:rPr>
          <w:lang w:val="fr-FR"/>
        </w:rPr>
        <w:t xml:space="preserve">.a)).  En ce qui concerne la procédure à appliquer dans ce cas, voir le paragraphe 159.  </w:t>
      </w:r>
      <w:r w:rsidRPr="006211EE">
        <w:rPr>
          <w:color w:val="0000FF"/>
          <w:u w:val="single"/>
          <w:lang w:val="fr-FR"/>
        </w:rPr>
        <w:t>Si la réponse du déposant démontre qu</w:t>
      </w:r>
      <w:r w:rsidR="009F4075" w:rsidRPr="006211EE">
        <w:rPr>
          <w:color w:val="0000FF"/>
          <w:u w:val="single"/>
          <w:lang w:val="fr-FR"/>
        </w:rPr>
        <w:t>’</w:t>
      </w:r>
      <w:r w:rsidRPr="006211EE">
        <w:rPr>
          <w:color w:val="0000FF"/>
          <w:u w:val="single"/>
          <w:lang w:val="fr-FR"/>
        </w:rPr>
        <w:t>une traduction du texte contenu dans les dessins n</w:t>
      </w:r>
      <w:r w:rsidR="009F4075" w:rsidRPr="006211EE">
        <w:rPr>
          <w:color w:val="0000FF"/>
          <w:u w:val="single"/>
          <w:lang w:val="fr-FR"/>
        </w:rPr>
        <w:t>’</w:t>
      </w:r>
      <w:r w:rsidRPr="006211EE">
        <w:rPr>
          <w:color w:val="0000FF"/>
          <w:u w:val="single"/>
          <w:lang w:val="fr-FR"/>
        </w:rPr>
        <w:t>est pas nécessaire dans un domaine technique particulier, l</w:t>
      </w:r>
      <w:r w:rsidR="009F4075" w:rsidRPr="006211EE">
        <w:rPr>
          <w:color w:val="0000FF"/>
          <w:u w:val="single"/>
          <w:lang w:val="fr-FR"/>
        </w:rPr>
        <w:t>’</w:t>
      </w:r>
      <w:r w:rsidRPr="006211EE">
        <w:rPr>
          <w:color w:val="0000FF"/>
          <w:u w:val="single"/>
          <w:lang w:val="fr-FR"/>
        </w:rPr>
        <w:t>office récepteur peut considérer que l</w:t>
      </w:r>
      <w:r w:rsidR="009F4075" w:rsidRPr="006211EE">
        <w:rPr>
          <w:color w:val="0000FF"/>
          <w:u w:val="single"/>
          <w:lang w:val="fr-FR"/>
        </w:rPr>
        <w:t>’</w:t>
      </w:r>
      <w:r w:rsidRPr="006211EE">
        <w:rPr>
          <w:color w:val="0000FF"/>
          <w:u w:val="single"/>
          <w:lang w:val="fr-FR"/>
        </w:rPr>
        <w:t>irrégularité a été corrigée.</w:t>
      </w:r>
    </w:p>
    <w:p w14:paraId="7D3E1621" w14:textId="76BA9340" w:rsidR="000F5E56" w:rsidRPr="006211EE" w:rsidRDefault="00790857" w:rsidP="00790857">
      <w:pPr>
        <w:pStyle w:val="Endofdocument-Annex"/>
      </w:pPr>
      <w:r w:rsidRPr="006211EE">
        <w:t>[Fin de l</w:t>
      </w:r>
      <w:r w:rsidR="009F4075" w:rsidRPr="006211EE">
        <w:t>’</w:t>
      </w:r>
      <w:r w:rsidRPr="006211EE">
        <w:t>annexe II et du document]</w:t>
      </w:r>
      <w:bookmarkEnd w:id="9"/>
    </w:p>
    <w:sectPr w:rsidR="000F5E56" w:rsidRPr="006211EE" w:rsidSect="00790857">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9E41" w14:textId="77777777" w:rsidR="00790857" w:rsidRDefault="00790857">
      <w:r>
        <w:separator/>
      </w:r>
    </w:p>
  </w:endnote>
  <w:endnote w:type="continuationSeparator" w:id="0">
    <w:p w14:paraId="0EE4C091" w14:textId="77777777" w:rsidR="00790857" w:rsidRPr="009D30E6" w:rsidRDefault="00790857" w:rsidP="00D45252">
      <w:pPr>
        <w:rPr>
          <w:sz w:val="17"/>
          <w:szCs w:val="17"/>
        </w:rPr>
      </w:pPr>
      <w:r w:rsidRPr="009D30E6">
        <w:rPr>
          <w:sz w:val="17"/>
          <w:szCs w:val="17"/>
        </w:rPr>
        <w:separator/>
      </w:r>
    </w:p>
    <w:p w14:paraId="78BC321F" w14:textId="77777777" w:rsidR="00790857" w:rsidRPr="009D30E6" w:rsidRDefault="00790857" w:rsidP="00D45252">
      <w:pPr>
        <w:spacing w:after="60"/>
        <w:rPr>
          <w:sz w:val="17"/>
          <w:szCs w:val="17"/>
        </w:rPr>
      </w:pPr>
      <w:r w:rsidRPr="009D30E6">
        <w:rPr>
          <w:sz w:val="17"/>
          <w:szCs w:val="17"/>
        </w:rPr>
        <w:t>[Suite de la note de la page précédente]</w:t>
      </w:r>
    </w:p>
  </w:endnote>
  <w:endnote w:type="continuationNotice" w:id="1">
    <w:p w14:paraId="165480C7" w14:textId="77777777" w:rsidR="00790857" w:rsidRPr="009D30E6" w:rsidRDefault="0079085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4AC" w14:textId="77777777" w:rsidR="00CC53FF" w:rsidRDefault="00CC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272C" w14:textId="77777777" w:rsidR="00CC53FF" w:rsidRDefault="00CC5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0AAC" w14:textId="77777777" w:rsidR="00CC53FF" w:rsidRDefault="00CC5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12F8" w14:textId="77777777" w:rsidR="00790857" w:rsidRDefault="00790857">
      <w:r>
        <w:separator/>
      </w:r>
    </w:p>
  </w:footnote>
  <w:footnote w:type="continuationSeparator" w:id="0">
    <w:p w14:paraId="415DFA89" w14:textId="77777777" w:rsidR="00790857" w:rsidRDefault="00790857" w:rsidP="007461F1">
      <w:r>
        <w:separator/>
      </w:r>
    </w:p>
    <w:p w14:paraId="4D612AEB" w14:textId="77777777" w:rsidR="00790857" w:rsidRPr="009D30E6" w:rsidRDefault="00790857" w:rsidP="007461F1">
      <w:pPr>
        <w:spacing w:after="60"/>
        <w:rPr>
          <w:sz w:val="17"/>
          <w:szCs w:val="17"/>
        </w:rPr>
      </w:pPr>
      <w:r w:rsidRPr="009D30E6">
        <w:rPr>
          <w:sz w:val="17"/>
          <w:szCs w:val="17"/>
        </w:rPr>
        <w:t>[Suite de la note de la page précédente]</w:t>
      </w:r>
    </w:p>
  </w:footnote>
  <w:footnote w:type="continuationNotice" w:id="1">
    <w:p w14:paraId="6FBC430A" w14:textId="77777777" w:rsidR="00790857" w:rsidRPr="009D30E6" w:rsidRDefault="00790857" w:rsidP="007461F1">
      <w:pPr>
        <w:spacing w:before="60"/>
        <w:jc w:val="right"/>
        <w:rPr>
          <w:sz w:val="17"/>
          <w:szCs w:val="17"/>
        </w:rPr>
      </w:pPr>
      <w:r w:rsidRPr="009D30E6">
        <w:rPr>
          <w:sz w:val="17"/>
          <w:szCs w:val="17"/>
        </w:rPr>
        <w:t>[Suite de la note page suivante]</w:t>
      </w:r>
    </w:p>
  </w:footnote>
  <w:footnote w:id="2">
    <w:p w14:paraId="76C239B7" w14:textId="53506D59" w:rsidR="00790857" w:rsidRPr="00CE1BC3" w:rsidRDefault="00790857" w:rsidP="00790857">
      <w:pPr>
        <w:pStyle w:val="FootnoteText"/>
      </w:pPr>
      <w:r>
        <w:rPr>
          <w:rStyle w:val="FootnoteReference"/>
        </w:rPr>
        <w:footnoteRef/>
      </w:r>
      <w:r>
        <w:tab/>
        <w:t>Un troisième</w:t>
      </w:r>
      <w:r w:rsidR="003A669D">
        <w:t> </w:t>
      </w:r>
      <w:r>
        <w:t>exemple a été fourni dans l</w:t>
      </w:r>
      <w:r w:rsidR="00A91675">
        <w:t>’</w:t>
      </w:r>
      <w:r>
        <w:t>explication relative à une disposition qui n</w:t>
      </w:r>
      <w:r w:rsidR="00A91675">
        <w:t>’</w:t>
      </w:r>
      <w:r>
        <w:t>est plus applicable (la règle 48.3.b) en vigueur en 1997 a été supprimée par l</w:t>
      </w:r>
      <w:r w:rsidR="00A91675">
        <w:t>’</w:t>
      </w:r>
      <w:r>
        <w:t>Assemblée</w:t>
      </w:r>
      <w:r w:rsidR="00A91675">
        <w:t xml:space="preserve"> du PCT</w:t>
      </w:r>
      <w:r>
        <w:t xml:space="preserve"> en 2002 avec effet au</w:t>
      </w:r>
      <w:r w:rsidR="00A91675">
        <w:t xml:space="preserve"> 1</w:t>
      </w:r>
      <w:r w:rsidR="00A91675" w:rsidRPr="00A91675">
        <w:rPr>
          <w:vertAlign w:val="superscript"/>
        </w:rPr>
        <w:t>er</w:t>
      </w:r>
      <w:r w:rsidR="00A91675">
        <w:t> </w:t>
      </w:r>
      <w:r>
        <w:t xml:space="preserve">janvier 2003).  La </w:t>
      </w:r>
      <w:hyperlink w:anchor="_48_3" w:history="1">
        <w:r>
          <w:rPr>
            <w:rStyle w:val="Hyperlink"/>
            <w:color w:val="auto"/>
            <w:u w:val="none"/>
          </w:rPr>
          <w:t>règle 48.3.b)</w:t>
        </w:r>
      </w:hyperlink>
      <w:r>
        <w:t xml:space="preserve"> actuelle était numérotée règle 48.3.a</w:t>
      </w:r>
      <w:r w:rsidR="00A91675">
        <w:t>-</w:t>
      </w:r>
      <w:r>
        <w:rPr>
          <w:i/>
          <w:iCs/>
        </w:rPr>
        <w:t>bis</w:t>
      </w:r>
      <w:r>
        <w:t>) avant 2003 (voir la note de bas de page 7 de l</w:t>
      </w:r>
      <w:r w:rsidR="00A91675">
        <w:t>’</w:t>
      </w:r>
      <w:r>
        <w:t>annexe IV du document </w:t>
      </w:r>
      <w:hyperlink r:id="rId1" w:history="1">
        <w:r>
          <w:rPr>
            <w:rStyle w:val="Hyperlink"/>
            <w:color w:val="auto"/>
            <w:u w:val="none"/>
          </w:rPr>
          <w:t>PCT/A/31/10</w:t>
        </w:r>
      </w:hyperlink>
      <w:r>
        <w:t>).</w:t>
      </w:r>
    </w:p>
  </w:footnote>
  <w:footnote w:id="3">
    <w:p w14:paraId="142D0AD5" w14:textId="398B0956" w:rsidR="00790857" w:rsidRPr="00CE1BC3" w:rsidRDefault="00790857" w:rsidP="00790857">
      <w:pPr>
        <w:pStyle w:val="FootnoteText"/>
      </w:pPr>
      <w:r>
        <w:rPr>
          <w:rStyle w:val="FootnoteReference"/>
        </w:rPr>
        <w:footnoteRef/>
      </w:r>
      <w:r>
        <w:tab/>
        <w:t>Voir la notification PCT n° 224 à l</w:t>
      </w:r>
      <w:r w:rsidR="00A91675">
        <w:t>’</w:t>
      </w:r>
      <w:r>
        <w:t>adresse </w:t>
      </w:r>
      <w:hyperlink r:id="rId2" w:history="1">
        <w:r>
          <w:rPr>
            <w:rStyle w:val="Hyperlink"/>
            <w:color w:val="auto"/>
            <w:u w:val="none"/>
          </w:rPr>
          <w:t>https://www.wipo.int/treaties/fr/notifications/pct/treaty_pct_224</w:t>
        </w:r>
        <w:r w:rsidR="00A91675">
          <w:rPr>
            <w:rStyle w:val="Hyperlink"/>
            <w:color w:val="auto"/>
            <w:u w:val="none"/>
          </w:rPr>
          <w:t>-</w:t>
        </w:r>
        <w:r>
          <w:rPr>
            <w:rStyle w:val="Hyperlink"/>
            <w:color w:val="auto"/>
            <w:u w:val="none"/>
          </w:rPr>
          <w:t>annex1.html</w:t>
        </w:r>
      </w:hyperlink>
      <w:r>
        <w:t>.</w:t>
      </w:r>
    </w:p>
  </w:footnote>
  <w:footnote w:id="4">
    <w:p w14:paraId="1F054FD8" w14:textId="7D997CF2" w:rsidR="00790857" w:rsidRPr="00A64B60" w:rsidRDefault="00790857" w:rsidP="00790857">
      <w:pPr>
        <w:pStyle w:val="FootnoteText"/>
      </w:pPr>
      <w:r>
        <w:rPr>
          <w:rStyle w:val="FootnoteReference"/>
        </w:rPr>
        <w:footnoteRef/>
      </w:r>
      <w:r>
        <w:t xml:space="preserve"> </w:t>
      </w:r>
      <w:r>
        <w:tab/>
        <w:t>Le texte qu</w:t>
      </w:r>
      <w:r w:rsidR="00A91675">
        <w:t>’</w:t>
      </w:r>
      <w:r>
        <w:t>il est proposé d</w:t>
      </w:r>
      <w:r w:rsidR="00A91675">
        <w:t>’</w:t>
      </w:r>
      <w:r>
        <w:t>ajouter est souligné et celui qu</w:t>
      </w:r>
      <w:r w:rsidR="00A91675">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C95E" w14:textId="77777777" w:rsidR="00790857" w:rsidRDefault="00790857">
    <w:pPr>
      <w:pStyle w:val="Header"/>
    </w:pPr>
  </w:p>
  <w:p w14:paraId="633DE1F4" w14:textId="77777777" w:rsidR="00790857" w:rsidRDefault="007908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A04A" w14:textId="77777777" w:rsidR="00790857" w:rsidRDefault="00790857" w:rsidP="00477D6B">
    <w:pPr>
      <w:jc w:val="right"/>
    </w:pPr>
    <w:r>
      <w:t>PCT/WG/17/7</w:t>
    </w:r>
  </w:p>
  <w:p w14:paraId="78C7DDB8" w14:textId="07DAEABB" w:rsidR="00790857" w:rsidRDefault="002A5ABE" w:rsidP="002A5ABE">
    <w:pPr>
      <w:spacing w:after="480"/>
      <w:jc w:val="right"/>
    </w:pPr>
    <w:proofErr w:type="gramStart"/>
    <w:r>
      <w:t>p</w:t>
    </w:r>
    <w:r w:rsidR="00790857">
      <w:t>age</w:t>
    </w:r>
    <w:proofErr w:type="gramEnd"/>
    <w:r w:rsidR="00790857">
      <w:t> </w:t>
    </w:r>
    <w:r w:rsidR="00790857">
      <w:fldChar w:fldCharType="begin"/>
    </w:r>
    <w:r w:rsidR="00790857">
      <w:instrText xml:space="preserve"> PAGE  \* MERGEFORMAT </w:instrText>
    </w:r>
    <w:r w:rsidR="00790857">
      <w:fldChar w:fldCharType="separate"/>
    </w:r>
    <w:r w:rsidR="00790857">
      <w:t>2</w:t>
    </w:r>
    <w:r w:rsidR="0079085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947" w14:textId="77777777" w:rsidR="00CC53FF" w:rsidRDefault="00CC5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518B" w14:textId="77777777" w:rsidR="00790857" w:rsidRDefault="00790857" w:rsidP="00477D6B">
    <w:pPr>
      <w:jc w:val="right"/>
    </w:pPr>
    <w:r>
      <w:t>PCT/WG/17/7</w:t>
    </w:r>
  </w:p>
  <w:p w14:paraId="17B84050" w14:textId="44CBBA58" w:rsidR="00790857" w:rsidRDefault="00790857" w:rsidP="0008243B">
    <w:pPr>
      <w:spacing w:after="480"/>
      <w:jc w:val="right"/>
    </w:pPr>
    <w:r>
      <w:t>Annexe I, page </w:t>
    </w:r>
    <w:r>
      <w:fldChar w:fldCharType="begin"/>
    </w:r>
    <w:r>
      <w:instrText xml:space="preserve"> PAGE  \* MERGEFORMAT </w:instrText>
    </w:r>
    <w:r>
      <w:fldChar w:fldCharType="separate"/>
    </w:r>
    <w: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CDDE" w14:textId="77777777" w:rsidR="00790857" w:rsidRDefault="00790857" w:rsidP="00A64B60">
    <w:pPr>
      <w:pStyle w:val="Header"/>
      <w:jc w:val="right"/>
    </w:pPr>
    <w:r>
      <w:t>PCT/WG/17/7</w:t>
    </w:r>
  </w:p>
  <w:p w14:paraId="51F77156" w14:textId="49C43E96" w:rsidR="00790857" w:rsidRPr="00A64B60" w:rsidRDefault="00790857" w:rsidP="0008243B">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ADFC" w14:textId="77777777" w:rsidR="00F16975" w:rsidRDefault="00790857" w:rsidP="00477D6B">
    <w:pPr>
      <w:jc w:val="right"/>
    </w:pPr>
    <w:bookmarkStart w:id="14" w:name="Code2"/>
    <w:bookmarkEnd w:id="14"/>
    <w:r>
      <w:t>PCT/WG/17/7</w:t>
    </w:r>
  </w:p>
  <w:p w14:paraId="1B717D5B"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F4E31">
      <w:rPr>
        <w:noProof/>
      </w:rPr>
      <w:t>2</w:t>
    </w:r>
    <w:r>
      <w:fldChar w:fldCharType="end"/>
    </w:r>
  </w:p>
  <w:p w14:paraId="6BE2D99B" w14:textId="77777777" w:rsidR="00F16975" w:rsidRDefault="00F16975" w:rsidP="00477D6B">
    <w:pPr>
      <w:jc w:val="right"/>
    </w:pPr>
  </w:p>
  <w:p w14:paraId="78C30F6F" w14:textId="77777777" w:rsidR="004F4E31" w:rsidRDefault="004F4E3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0D35" w14:textId="77777777" w:rsidR="0008243B" w:rsidRDefault="0008243B" w:rsidP="00A64B60">
    <w:pPr>
      <w:pStyle w:val="Header"/>
      <w:jc w:val="right"/>
    </w:pPr>
    <w:r>
      <w:t>PCT/WG/17/7</w:t>
    </w:r>
  </w:p>
  <w:p w14:paraId="4313890A" w14:textId="5F7D15DA" w:rsidR="0008243B" w:rsidRPr="00A64B60" w:rsidRDefault="0008243B" w:rsidP="0008243B">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187BF9"/>
    <w:multiLevelType w:val="hybridMultilevel"/>
    <w:tmpl w:val="5D28284E"/>
    <w:lvl w:ilvl="0" w:tplc="C3D66818">
      <w:start w:val="1"/>
      <w:numFmt w:val="lowerRoman"/>
      <w:lvlText w:val="%1)"/>
      <w:lvlJc w:val="left"/>
      <w:pPr>
        <w:ind w:left="720" w:hanging="360"/>
      </w:pPr>
      <w:rPr>
        <w:rFonts w:eastAsiaTheme="minorEastAsia"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 w:numId="7" w16cid:durableId="14347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57"/>
    <w:rsid w:val="00011B7D"/>
    <w:rsid w:val="00050E4E"/>
    <w:rsid w:val="00075432"/>
    <w:rsid w:val="0008243B"/>
    <w:rsid w:val="000F3F68"/>
    <w:rsid w:val="000F5E56"/>
    <w:rsid w:val="001362EE"/>
    <w:rsid w:val="00140880"/>
    <w:rsid w:val="001832A6"/>
    <w:rsid w:val="00195C6E"/>
    <w:rsid w:val="001B266A"/>
    <w:rsid w:val="001D3D56"/>
    <w:rsid w:val="00240654"/>
    <w:rsid w:val="00247017"/>
    <w:rsid w:val="002634C4"/>
    <w:rsid w:val="002A5ABE"/>
    <w:rsid w:val="002D4918"/>
    <w:rsid w:val="002E4D1A"/>
    <w:rsid w:val="002F16BC"/>
    <w:rsid w:val="002F4E68"/>
    <w:rsid w:val="00315B92"/>
    <w:rsid w:val="00315FCA"/>
    <w:rsid w:val="003647CA"/>
    <w:rsid w:val="003845C1"/>
    <w:rsid w:val="003A1BCD"/>
    <w:rsid w:val="003A669D"/>
    <w:rsid w:val="004008A2"/>
    <w:rsid w:val="004010C2"/>
    <w:rsid w:val="004025DF"/>
    <w:rsid w:val="00423E3E"/>
    <w:rsid w:val="00427AF4"/>
    <w:rsid w:val="004647DA"/>
    <w:rsid w:val="00477D6B"/>
    <w:rsid w:val="004D6471"/>
    <w:rsid w:val="004F4E31"/>
    <w:rsid w:val="00525B63"/>
    <w:rsid w:val="00547476"/>
    <w:rsid w:val="00561DB8"/>
    <w:rsid w:val="00567A4C"/>
    <w:rsid w:val="005E6516"/>
    <w:rsid w:val="00605827"/>
    <w:rsid w:val="006211EE"/>
    <w:rsid w:val="00676936"/>
    <w:rsid w:val="006B0DB5"/>
    <w:rsid w:val="006E4243"/>
    <w:rsid w:val="007461F1"/>
    <w:rsid w:val="0075224E"/>
    <w:rsid w:val="00790857"/>
    <w:rsid w:val="007916F8"/>
    <w:rsid w:val="007D0CB1"/>
    <w:rsid w:val="007D6961"/>
    <w:rsid w:val="007F07CB"/>
    <w:rsid w:val="00810CEF"/>
    <w:rsid w:val="0081208D"/>
    <w:rsid w:val="00842A13"/>
    <w:rsid w:val="00892E32"/>
    <w:rsid w:val="008B2CC1"/>
    <w:rsid w:val="008E7930"/>
    <w:rsid w:val="0090731E"/>
    <w:rsid w:val="00966A22"/>
    <w:rsid w:val="00974CD6"/>
    <w:rsid w:val="009D1BD4"/>
    <w:rsid w:val="009D30E6"/>
    <w:rsid w:val="009E3F6F"/>
    <w:rsid w:val="009F4075"/>
    <w:rsid w:val="009F499F"/>
    <w:rsid w:val="00A003A7"/>
    <w:rsid w:val="00A02BD3"/>
    <w:rsid w:val="00A91675"/>
    <w:rsid w:val="00AA1F20"/>
    <w:rsid w:val="00AC0AE4"/>
    <w:rsid w:val="00AD34E8"/>
    <w:rsid w:val="00AD61DB"/>
    <w:rsid w:val="00AE7C04"/>
    <w:rsid w:val="00B85A2A"/>
    <w:rsid w:val="00B87BCF"/>
    <w:rsid w:val="00BA62D4"/>
    <w:rsid w:val="00BB16AB"/>
    <w:rsid w:val="00C40E15"/>
    <w:rsid w:val="00C664C8"/>
    <w:rsid w:val="00C76A79"/>
    <w:rsid w:val="00CA15F5"/>
    <w:rsid w:val="00CC53FF"/>
    <w:rsid w:val="00CF0460"/>
    <w:rsid w:val="00D04414"/>
    <w:rsid w:val="00D15B53"/>
    <w:rsid w:val="00D45252"/>
    <w:rsid w:val="00D71B4D"/>
    <w:rsid w:val="00D75C1E"/>
    <w:rsid w:val="00D93D55"/>
    <w:rsid w:val="00DB0349"/>
    <w:rsid w:val="00DD6A16"/>
    <w:rsid w:val="00E0091A"/>
    <w:rsid w:val="00E150D1"/>
    <w:rsid w:val="00E203AA"/>
    <w:rsid w:val="00E527A5"/>
    <w:rsid w:val="00E76456"/>
    <w:rsid w:val="00EE71CB"/>
    <w:rsid w:val="00F16975"/>
    <w:rsid w:val="00F26ED8"/>
    <w:rsid w:val="00F66152"/>
    <w:rsid w:val="00F83BE1"/>
    <w:rsid w:val="00FC45E7"/>
    <w:rsid w:val="00FE00D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108C"/>
  <w15:docId w15:val="{0DA651E4-3423-4F68-9991-B49862D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90857"/>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790857"/>
    <w:pPr>
      <w:ind w:left="720"/>
      <w:contextualSpacing/>
    </w:pPr>
    <w:rPr>
      <w:lang w:val="fr-FR"/>
    </w:rPr>
  </w:style>
  <w:style w:type="character" w:styleId="FootnoteReference">
    <w:name w:val="footnote reference"/>
    <w:basedOn w:val="DefaultParagraphFont"/>
    <w:semiHidden/>
    <w:unhideWhenUsed/>
    <w:rsid w:val="00790857"/>
    <w:rPr>
      <w:vertAlign w:val="superscript"/>
    </w:rPr>
  </w:style>
  <w:style w:type="character" w:styleId="Hyperlink">
    <w:name w:val="Hyperlink"/>
    <w:basedOn w:val="DefaultParagraphFont"/>
    <w:uiPriority w:val="99"/>
    <w:unhideWhenUsed/>
    <w:rsid w:val="00790857"/>
    <w:rPr>
      <w:color w:val="0000FF" w:themeColor="hyperlink"/>
      <w:u w:val="single"/>
    </w:rPr>
  </w:style>
  <w:style w:type="paragraph" w:customStyle="1" w:styleId="LegTitle">
    <w:name w:val="Leg # Title"/>
    <w:basedOn w:val="Normal"/>
    <w:next w:val="Normal"/>
    <w:rsid w:val="00790857"/>
    <w:pPr>
      <w:keepNext/>
      <w:keepLines/>
      <w:pageBreakBefore/>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790857"/>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rsid w:val="00790857"/>
    <w:pPr>
      <w:tabs>
        <w:tab w:val="left" w:pos="454"/>
      </w:tabs>
      <w:spacing w:before="119" w:after="240" w:line="360" w:lineRule="auto"/>
    </w:pPr>
    <w:rPr>
      <w:rFonts w:eastAsia="Times New Roman" w:cs="Times New Roman"/>
      <w:noProof/>
      <w:snapToGrid w:val="0"/>
      <w:lang w:val="fr-FR" w:eastAsia="en-US"/>
    </w:rPr>
  </w:style>
  <w:style w:type="character" w:customStyle="1" w:styleId="Deletedtext">
    <w:name w:val="Deleted text"/>
    <w:basedOn w:val="DefaultParagraphFont"/>
    <w:uiPriority w:val="1"/>
    <w:qFormat/>
    <w:rsid w:val="00790857"/>
    <w:rPr>
      <w:strike/>
      <w:dstrike w:val="0"/>
      <w:color w:val="FF0000"/>
    </w:rPr>
  </w:style>
  <w:style w:type="paragraph" w:styleId="TOC1">
    <w:name w:val="toc 1"/>
    <w:basedOn w:val="Normal"/>
    <w:next w:val="Normal"/>
    <w:autoRedefine/>
    <w:uiPriority w:val="39"/>
    <w:unhideWhenUsed/>
    <w:rsid w:val="00247017"/>
    <w:pPr>
      <w:spacing w:after="100"/>
    </w:pPr>
  </w:style>
  <w:style w:type="paragraph" w:styleId="TOC2">
    <w:name w:val="toc 2"/>
    <w:basedOn w:val="Normal"/>
    <w:next w:val="Normal"/>
    <w:autoRedefine/>
    <w:uiPriority w:val="39"/>
    <w:unhideWhenUsed/>
    <w:rsid w:val="002470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meetings/fr/doc_details.jsp?doc_id=725"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wipo.int/meetings/fr/doc_details.jsp?doc_id=730"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treaties/fr/notifications/pct/treaty_pct_224-annex1.html" TargetMode="External"/><Relationship Id="rId1" Type="http://schemas.openxmlformats.org/officeDocument/2006/relationships/hyperlink" Target="https://www.wipo.int/edocs/mdocs/govbody/fr/pct_a_31/pct_a_31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1770</Words>
  <Characters>10019</Characters>
  <Application>Microsoft Office Word</Application>
  <DocSecurity>0</DocSecurity>
  <Lines>910</Lines>
  <Paragraphs>561</Paragraphs>
  <ScaleCrop>false</ScaleCrop>
  <HeadingPairs>
    <vt:vector size="2" baseType="variant">
      <vt:variant>
        <vt:lpstr>Title</vt:lpstr>
      </vt:variant>
      <vt:variant>
        <vt:i4>1</vt:i4>
      </vt:variant>
    </vt:vector>
  </HeadingPairs>
  <TitlesOfParts>
    <vt:vector size="1" baseType="lpstr">
      <vt:lpstr>PCT/WG/17/7</vt:lpstr>
    </vt:vector>
  </TitlesOfParts>
  <Company>WIPO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PCT/WG/17/7</dc:title>
  <dc:creator>OLIVIÉ Karen</dc:creator>
  <cp:keywords>PUBLIC</cp:keywords>
  <cp:lastModifiedBy>MARLOW Thomas</cp:lastModifiedBy>
  <cp:revision>4</cp:revision>
  <cp:lastPrinted>2011-05-19T12:37:00Z</cp:lastPrinted>
  <dcterms:created xsi:type="dcterms:W3CDTF">2024-01-30T08:58:00Z</dcterms:created>
  <dcterms:modified xsi:type="dcterms:W3CDTF">2024-01-30T09:40:00Z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